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Ind w:w="-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650"/>
      </w:tblGrid>
      <w:tr w:rsidR="00B9662D" w:rsidRPr="00E07116" w14:paraId="0A0DE8AD" w14:textId="77777777">
        <w:tblPrEx>
          <w:tblCellMar>
            <w:top w:w="0" w:type="dxa"/>
            <w:bottom w:w="0" w:type="dxa"/>
          </w:tblCellMar>
        </w:tblPrEx>
        <w:tc>
          <w:tcPr>
            <w:tcW w:w="9160" w:type="dxa"/>
            <w:shd w:val="clear" w:color="auto" w:fill="EEECE1"/>
          </w:tcPr>
          <w:p w14:paraId="7331D5C1" w14:textId="77777777" w:rsidR="00B9662D" w:rsidRPr="00E07116" w:rsidRDefault="00B9662D" w:rsidP="00B9662D">
            <w:pPr>
              <w:pStyle w:val="En-tte"/>
              <w:tabs>
                <w:tab w:val="clear" w:pos="4320"/>
                <w:tab w:val="clear" w:pos="8640"/>
              </w:tabs>
              <w:rPr>
                <w:rFonts w:ascii="Times New Roman" w:hAnsi="Times New Roman"/>
                <w:sz w:val="28"/>
                <w:lang w:val="en-CA" w:bidi="ar-SA"/>
              </w:rPr>
            </w:pPr>
          </w:p>
          <w:p w14:paraId="59E25003" w14:textId="77777777" w:rsidR="00B9662D" w:rsidRPr="00E07116" w:rsidRDefault="00B9662D">
            <w:pPr>
              <w:ind w:firstLine="0"/>
              <w:jc w:val="center"/>
              <w:rPr>
                <w:b/>
                <w:lang w:bidi="ar-SA"/>
              </w:rPr>
            </w:pPr>
          </w:p>
          <w:p w14:paraId="5A246984" w14:textId="77777777" w:rsidR="00B9662D" w:rsidRPr="00E07116" w:rsidRDefault="00B9662D">
            <w:pPr>
              <w:ind w:firstLine="0"/>
              <w:jc w:val="center"/>
              <w:rPr>
                <w:b/>
                <w:lang w:bidi="ar-SA"/>
              </w:rPr>
            </w:pPr>
          </w:p>
          <w:p w14:paraId="41F0D268" w14:textId="77777777" w:rsidR="00B9662D" w:rsidRDefault="00B9662D" w:rsidP="00B9662D">
            <w:pPr>
              <w:ind w:firstLine="0"/>
              <w:jc w:val="center"/>
              <w:rPr>
                <w:b/>
                <w:sz w:val="20"/>
                <w:lang w:bidi="ar-SA"/>
              </w:rPr>
            </w:pPr>
          </w:p>
          <w:p w14:paraId="4EC4B75F" w14:textId="77777777" w:rsidR="00B9662D" w:rsidRDefault="00B9662D" w:rsidP="00B9662D">
            <w:pPr>
              <w:ind w:firstLine="0"/>
              <w:jc w:val="center"/>
              <w:rPr>
                <w:b/>
                <w:sz w:val="36"/>
              </w:rPr>
            </w:pPr>
            <w:r>
              <w:rPr>
                <w:sz w:val="36"/>
              </w:rPr>
              <w:t>Marc BLOCH</w:t>
            </w:r>
          </w:p>
          <w:p w14:paraId="6BBB9E50" w14:textId="77777777" w:rsidR="00B9662D" w:rsidRDefault="00B9662D" w:rsidP="00B9662D">
            <w:pPr>
              <w:ind w:firstLine="0"/>
              <w:jc w:val="center"/>
              <w:rPr>
                <w:i/>
                <w:color w:val="000000"/>
              </w:rPr>
            </w:pPr>
            <w:r w:rsidRPr="009531BD">
              <w:rPr>
                <w:sz w:val="24"/>
              </w:rPr>
              <w:t xml:space="preserve">Historien </w:t>
            </w:r>
            <w:r>
              <w:rPr>
                <w:sz w:val="24"/>
              </w:rPr>
              <w:t>français  [1886-1944]</w:t>
            </w:r>
          </w:p>
          <w:p w14:paraId="17B544FF" w14:textId="77777777" w:rsidR="00B9662D" w:rsidRPr="00F3780C" w:rsidRDefault="00B9662D" w:rsidP="00B9662D">
            <w:pPr>
              <w:ind w:firstLine="0"/>
              <w:jc w:val="center"/>
              <w:rPr>
                <w:sz w:val="20"/>
                <w:lang w:bidi="ar-SA"/>
              </w:rPr>
            </w:pPr>
          </w:p>
          <w:p w14:paraId="2024ADB3" w14:textId="77777777" w:rsidR="00B9662D" w:rsidRPr="00AA0F60" w:rsidRDefault="00B9662D" w:rsidP="00B9662D">
            <w:pPr>
              <w:pStyle w:val="Corpsdetexte"/>
              <w:widowControl w:val="0"/>
              <w:spacing w:before="0" w:after="0"/>
              <w:rPr>
                <w:sz w:val="44"/>
                <w:lang w:bidi="ar-SA"/>
              </w:rPr>
            </w:pPr>
            <w:r w:rsidRPr="00AA0F60">
              <w:rPr>
                <w:sz w:val="44"/>
                <w:lang w:bidi="ar-SA"/>
              </w:rPr>
              <w:t>(</w:t>
            </w:r>
            <w:r>
              <w:rPr>
                <w:sz w:val="44"/>
                <w:lang w:bidi="ar-SA"/>
              </w:rPr>
              <w:t>1963</w:t>
            </w:r>
            <w:r w:rsidRPr="00AA0F60">
              <w:rPr>
                <w:sz w:val="44"/>
                <w:lang w:bidi="ar-SA"/>
              </w:rPr>
              <w:t>)</w:t>
            </w:r>
          </w:p>
          <w:p w14:paraId="3A28754F" w14:textId="77777777" w:rsidR="00B9662D" w:rsidRDefault="00B9662D" w:rsidP="00B9662D">
            <w:pPr>
              <w:pStyle w:val="Corpsdetexte"/>
              <w:widowControl w:val="0"/>
              <w:spacing w:before="0" w:after="0"/>
              <w:rPr>
                <w:color w:val="FF0000"/>
                <w:sz w:val="24"/>
                <w:lang w:bidi="ar-SA"/>
              </w:rPr>
            </w:pPr>
          </w:p>
          <w:p w14:paraId="3D2923E7" w14:textId="77777777" w:rsidR="00B9662D" w:rsidRDefault="00B9662D" w:rsidP="00B9662D">
            <w:pPr>
              <w:ind w:firstLine="0"/>
              <w:jc w:val="center"/>
              <w:rPr>
                <w:lang w:bidi="ar-SA"/>
              </w:rPr>
            </w:pPr>
          </w:p>
          <w:p w14:paraId="6E532457" w14:textId="77777777" w:rsidR="00B9662D" w:rsidRPr="007D29D4" w:rsidRDefault="00B9662D" w:rsidP="00B9662D">
            <w:pPr>
              <w:pStyle w:val="Titlest"/>
            </w:pPr>
            <w:r>
              <w:t>MÉLANGES</w:t>
            </w:r>
            <w:r>
              <w:br/>
              <w:t>HISTORIQUES</w:t>
            </w:r>
          </w:p>
          <w:p w14:paraId="06A60C21" w14:textId="77777777" w:rsidR="00B9662D" w:rsidRDefault="00B9662D" w:rsidP="00B9662D">
            <w:pPr>
              <w:widowControl w:val="0"/>
              <w:ind w:firstLine="0"/>
              <w:jc w:val="center"/>
              <w:rPr>
                <w:lang w:bidi="ar-SA"/>
              </w:rPr>
            </w:pPr>
          </w:p>
          <w:p w14:paraId="2B2BFE78" w14:textId="77777777" w:rsidR="00B9662D" w:rsidRPr="00567178" w:rsidRDefault="00B9662D" w:rsidP="00B9662D">
            <w:pPr>
              <w:widowControl w:val="0"/>
              <w:tabs>
                <w:tab w:val="left" w:pos="1104"/>
                <w:tab w:val="center" w:pos="4330"/>
              </w:tabs>
              <w:ind w:firstLine="0"/>
              <w:jc w:val="center"/>
              <w:rPr>
                <w:b/>
                <w:color w:val="FF0000"/>
                <w:sz w:val="48"/>
                <w:lang w:bidi="ar-SA"/>
              </w:rPr>
            </w:pPr>
            <w:r w:rsidRPr="00567178">
              <w:rPr>
                <w:b/>
                <w:color w:val="FF0000"/>
                <w:sz w:val="48"/>
                <w:lang w:bidi="ar-SA"/>
              </w:rPr>
              <w:t>TOME I</w:t>
            </w:r>
            <w:r>
              <w:rPr>
                <w:b/>
                <w:color w:val="FF0000"/>
                <w:sz w:val="48"/>
                <w:lang w:bidi="ar-SA"/>
              </w:rPr>
              <w:t>I</w:t>
            </w:r>
          </w:p>
          <w:p w14:paraId="51CE0913" w14:textId="77777777" w:rsidR="00B9662D" w:rsidRDefault="00B9662D" w:rsidP="00B9662D">
            <w:pPr>
              <w:widowControl w:val="0"/>
              <w:ind w:firstLine="0"/>
              <w:jc w:val="center"/>
              <w:rPr>
                <w:sz w:val="20"/>
                <w:lang w:bidi="ar-SA"/>
              </w:rPr>
            </w:pPr>
          </w:p>
          <w:p w14:paraId="683F02AE" w14:textId="77777777" w:rsidR="00B9662D" w:rsidRDefault="00B9662D" w:rsidP="00B9662D">
            <w:pPr>
              <w:widowControl w:val="0"/>
              <w:ind w:firstLine="0"/>
              <w:jc w:val="center"/>
              <w:rPr>
                <w:sz w:val="20"/>
                <w:lang w:bidi="ar-SA"/>
              </w:rPr>
            </w:pPr>
          </w:p>
          <w:p w14:paraId="5456B2D0" w14:textId="77777777" w:rsidR="00B9662D" w:rsidRDefault="00B9662D" w:rsidP="00B9662D">
            <w:pPr>
              <w:widowControl w:val="0"/>
              <w:ind w:firstLine="0"/>
              <w:jc w:val="center"/>
              <w:rPr>
                <w:sz w:val="20"/>
                <w:lang w:bidi="ar-SA"/>
              </w:rPr>
            </w:pPr>
          </w:p>
          <w:p w14:paraId="1D16BB18" w14:textId="77777777" w:rsidR="00B9662D" w:rsidRDefault="00B9662D" w:rsidP="00B9662D">
            <w:pPr>
              <w:widowControl w:val="0"/>
              <w:ind w:firstLine="0"/>
              <w:jc w:val="center"/>
              <w:rPr>
                <w:sz w:val="20"/>
                <w:lang w:bidi="ar-SA"/>
              </w:rPr>
            </w:pPr>
          </w:p>
          <w:p w14:paraId="0C143FEB" w14:textId="77777777" w:rsidR="00B9662D" w:rsidRDefault="00B9662D" w:rsidP="00B9662D">
            <w:pPr>
              <w:widowControl w:val="0"/>
              <w:ind w:firstLine="0"/>
              <w:jc w:val="center"/>
              <w:rPr>
                <w:sz w:val="20"/>
                <w:lang w:bidi="ar-SA"/>
              </w:rPr>
            </w:pPr>
          </w:p>
          <w:p w14:paraId="7FE4D6AF" w14:textId="77777777" w:rsidR="00B9662D" w:rsidRDefault="00B9662D" w:rsidP="00B9662D">
            <w:pPr>
              <w:widowControl w:val="0"/>
              <w:ind w:firstLine="0"/>
              <w:jc w:val="center"/>
              <w:rPr>
                <w:sz w:val="20"/>
                <w:lang w:bidi="ar-SA"/>
              </w:rPr>
            </w:pPr>
          </w:p>
          <w:p w14:paraId="090D003F" w14:textId="77777777" w:rsidR="00B9662D" w:rsidRPr="00384B20" w:rsidRDefault="00B9662D" w:rsidP="00B9662D">
            <w:pPr>
              <w:widowControl w:val="0"/>
              <w:ind w:firstLine="0"/>
              <w:jc w:val="center"/>
              <w:rPr>
                <w:sz w:val="20"/>
                <w:lang w:bidi="ar-SA"/>
              </w:rPr>
            </w:pPr>
          </w:p>
          <w:p w14:paraId="52CF305A" w14:textId="77777777" w:rsidR="00B9662D" w:rsidRPr="00384B20" w:rsidRDefault="00B9662D" w:rsidP="00B9662D">
            <w:pPr>
              <w:ind w:firstLine="0"/>
              <w:jc w:val="center"/>
              <w:rPr>
                <w:sz w:val="20"/>
                <w:lang w:bidi="ar-SA"/>
              </w:rPr>
            </w:pPr>
            <w:r w:rsidRPr="00083144">
              <w:rPr>
                <w:b/>
                <w:lang w:bidi="ar-SA"/>
              </w:rPr>
              <w:t>LES CLASSIQUES DES SCIENCES SOCIALES</w:t>
            </w:r>
            <w:r>
              <w:rPr>
                <w:lang w:bidi="ar-SA"/>
              </w:rPr>
              <w:br/>
              <w:t>CHICOUTIMI, QUÉBEC</w:t>
            </w:r>
            <w:r>
              <w:rPr>
                <w:lang w:bidi="ar-SA"/>
              </w:rPr>
              <w:br/>
            </w:r>
            <w:hyperlink r:id="rId7" w:history="1">
              <w:r w:rsidRPr="00A433C0">
                <w:rPr>
                  <w:rStyle w:val="Hyperlien"/>
                  <w:lang w:bidi="ar-SA"/>
                </w:rPr>
                <w:t>https://classiques.uqam.ca/</w:t>
              </w:r>
            </w:hyperlink>
            <w:r>
              <w:rPr>
                <w:sz w:val="20"/>
                <w:lang w:bidi="ar-SA"/>
              </w:rPr>
              <w:t xml:space="preserve"> </w:t>
            </w:r>
          </w:p>
          <w:p w14:paraId="717EC0C3" w14:textId="77777777" w:rsidR="00B9662D" w:rsidRPr="00E07116" w:rsidRDefault="00B9662D">
            <w:pPr>
              <w:widowControl w:val="0"/>
              <w:ind w:firstLine="0"/>
              <w:jc w:val="both"/>
              <w:rPr>
                <w:lang w:bidi="ar-SA"/>
              </w:rPr>
            </w:pPr>
          </w:p>
          <w:p w14:paraId="26B5F167" w14:textId="77777777" w:rsidR="00B9662D" w:rsidRDefault="00B9662D">
            <w:pPr>
              <w:widowControl w:val="0"/>
              <w:ind w:firstLine="0"/>
              <w:jc w:val="both"/>
              <w:rPr>
                <w:lang w:bidi="ar-SA"/>
              </w:rPr>
            </w:pPr>
          </w:p>
          <w:p w14:paraId="2CFAB9F0" w14:textId="77777777" w:rsidR="00B9662D" w:rsidRDefault="00B9662D">
            <w:pPr>
              <w:widowControl w:val="0"/>
              <w:ind w:firstLine="0"/>
              <w:jc w:val="both"/>
              <w:rPr>
                <w:lang w:bidi="ar-SA"/>
              </w:rPr>
            </w:pPr>
          </w:p>
          <w:p w14:paraId="29BBE489" w14:textId="77777777" w:rsidR="00B9662D" w:rsidRDefault="00B9662D">
            <w:pPr>
              <w:widowControl w:val="0"/>
              <w:ind w:firstLine="0"/>
              <w:jc w:val="both"/>
              <w:rPr>
                <w:lang w:bidi="ar-SA"/>
              </w:rPr>
            </w:pPr>
          </w:p>
          <w:p w14:paraId="283B2606" w14:textId="77777777" w:rsidR="00B9662D" w:rsidRDefault="00B9662D">
            <w:pPr>
              <w:widowControl w:val="0"/>
              <w:ind w:firstLine="0"/>
              <w:jc w:val="both"/>
              <w:rPr>
                <w:lang w:bidi="ar-SA"/>
              </w:rPr>
            </w:pPr>
          </w:p>
          <w:p w14:paraId="002E8E3F" w14:textId="77777777" w:rsidR="00B9662D" w:rsidRDefault="00B9662D">
            <w:pPr>
              <w:widowControl w:val="0"/>
              <w:ind w:firstLine="0"/>
              <w:jc w:val="both"/>
              <w:rPr>
                <w:lang w:bidi="ar-SA"/>
              </w:rPr>
            </w:pPr>
          </w:p>
          <w:p w14:paraId="1513C71A" w14:textId="77777777" w:rsidR="00B9662D" w:rsidRPr="00E07116" w:rsidRDefault="00B9662D">
            <w:pPr>
              <w:widowControl w:val="0"/>
              <w:ind w:firstLine="0"/>
              <w:jc w:val="both"/>
              <w:rPr>
                <w:lang w:bidi="ar-SA"/>
              </w:rPr>
            </w:pPr>
          </w:p>
          <w:p w14:paraId="32C9FD79" w14:textId="77777777" w:rsidR="00B9662D" w:rsidRPr="00E07116" w:rsidRDefault="00B9662D">
            <w:pPr>
              <w:ind w:firstLine="0"/>
              <w:jc w:val="both"/>
              <w:rPr>
                <w:lang w:bidi="ar-SA"/>
              </w:rPr>
            </w:pPr>
          </w:p>
        </w:tc>
      </w:tr>
    </w:tbl>
    <w:p w14:paraId="52A3F91B" w14:textId="77777777" w:rsidR="00B9662D" w:rsidRDefault="00B9662D" w:rsidP="00B9662D">
      <w:pPr>
        <w:ind w:firstLine="0"/>
        <w:jc w:val="both"/>
      </w:pPr>
      <w:r w:rsidRPr="00E07116">
        <w:br w:type="page"/>
      </w:r>
    </w:p>
    <w:p w14:paraId="77986CDA" w14:textId="77777777" w:rsidR="00B9662D" w:rsidRDefault="00B9662D" w:rsidP="00B9662D">
      <w:pPr>
        <w:ind w:firstLine="0"/>
        <w:jc w:val="both"/>
      </w:pPr>
    </w:p>
    <w:p w14:paraId="2D94E48D" w14:textId="77777777" w:rsidR="00B9662D" w:rsidRDefault="00B9662D" w:rsidP="00B9662D">
      <w:pPr>
        <w:ind w:firstLine="0"/>
        <w:jc w:val="both"/>
      </w:pPr>
    </w:p>
    <w:p w14:paraId="4410CAB7" w14:textId="77777777" w:rsidR="00B9662D" w:rsidRDefault="00B9662D" w:rsidP="00B9662D">
      <w:pPr>
        <w:ind w:firstLine="0"/>
        <w:jc w:val="both"/>
      </w:pPr>
    </w:p>
    <w:p w14:paraId="533DB1FC" w14:textId="77777777" w:rsidR="00B9662D" w:rsidRDefault="00287BD5" w:rsidP="00B9662D">
      <w:pPr>
        <w:ind w:firstLine="0"/>
        <w:jc w:val="right"/>
      </w:pPr>
      <w:r>
        <w:rPr>
          <w:noProof/>
        </w:rPr>
        <w:drawing>
          <wp:inline distT="0" distB="0" distL="0" distR="0" wp14:anchorId="561AA5E7" wp14:editId="575B81C8">
            <wp:extent cx="2654300" cy="1041400"/>
            <wp:effectExtent l="0" t="0" r="0" b="0"/>
            <wp:docPr id="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14:paraId="00E1F2C8" w14:textId="77777777" w:rsidR="00B9662D" w:rsidRPr="00C146C6" w:rsidRDefault="00B9662D" w:rsidP="00B9662D">
      <w:pPr>
        <w:ind w:firstLine="0"/>
        <w:jc w:val="right"/>
        <w:rPr>
          <w:lang w:val="en-US"/>
        </w:rPr>
      </w:pPr>
      <w:hyperlink r:id="rId9" w:history="1">
        <w:r w:rsidRPr="00A5444F">
          <w:rPr>
            <w:rStyle w:val="Hyperlien"/>
            <w:lang w:val="en-US"/>
          </w:rPr>
          <w:t>https://classiques.uqam.ca/</w:t>
        </w:r>
      </w:hyperlink>
      <w:r>
        <w:rPr>
          <w:lang w:val="en-US"/>
        </w:rPr>
        <w:t xml:space="preserve"> </w:t>
      </w:r>
    </w:p>
    <w:p w14:paraId="772B9B26" w14:textId="77777777" w:rsidR="00B9662D" w:rsidRDefault="00B9662D" w:rsidP="00B9662D">
      <w:pPr>
        <w:ind w:firstLine="0"/>
        <w:jc w:val="both"/>
      </w:pPr>
    </w:p>
    <w:p w14:paraId="5EEBFF5C" w14:textId="77777777" w:rsidR="00B9662D" w:rsidRDefault="00B9662D" w:rsidP="00B9662D">
      <w:pPr>
        <w:ind w:firstLine="0"/>
        <w:jc w:val="both"/>
      </w:pPr>
    </w:p>
    <w:p w14:paraId="1EB049B6" w14:textId="77777777" w:rsidR="00B9662D" w:rsidRDefault="00B9662D" w:rsidP="00B9662D">
      <w:pPr>
        <w:ind w:firstLine="0"/>
        <w:jc w:val="both"/>
      </w:pPr>
      <w:r w:rsidRPr="00D2666B">
        <w:rPr>
          <w:i/>
        </w:rPr>
        <w:t>Les Classiques des sciences sociales</w:t>
      </w:r>
      <w:r>
        <w:t xml:space="preserve"> est une bibliothèque numérique en libre accès, fondée au Cégep de Chicoutimi en 1993 et développée en coopération avec l’Université du Québec à Chicoutimi (UQÀC) de 2000 à 2024 et avec l’UQAM à partir du mois de septembre 2024.</w:t>
      </w:r>
    </w:p>
    <w:p w14:paraId="6C08840F" w14:textId="77777777" w:rsidR="00B9662D" w:rsidRDefault="00B9662D" w:rsidP="00B9662D">
      <w:pPr>
        <w:ind w:firstLine="0"/>
        <w:jc w:val="both"/>
      </w:pPr>
    </w:p>
    <w:p w14:paraId="1DBF3574" w14:textId="77777777" w:rsidR="00B9662D" w:rsidRDefault="00B9662D" w:rsidP="00B9662D">
      <w:pPr>
        <w:ind w:firstLine="0"/>
        <w:jc w:val="both"/>
      </w:pPr>
    </w:p>
    <w:tbl>
      <w:tblPr>
        <w:tblW w:w="0" w:type="auto"/>
        <w:tblLook w:val="00BF" w:firstRow="1" w:lastRow="0" w:firstColumn="1" w:lastColumn="0" w:noHBand="0" w:noVBand="0"/>
      </w:tblPr>
      <w:tblGrid>
        <w:gridCol w:w="3945"/>
        <w:gridCol w:w="3975"/>
      </w:tblGrid>
      <w:tr w:rsidR="00B9662D" w14:paraId="6F56A49E" w14:textId="77777777">
        <w:tc>
          <w:tcPr>
            <w:tcW w:w="4014" w:type="dxa"/>
          </w:tcPr>
          <w:p w14:paraId="4B725C4F" w14:textId="77777777" w:rsidR="00B9662D" w:rsidRDefault="00287BD5" w:rsidP="00B9662D">
            <w:pPr>
              <w:spacing w:before="120" w:after="120"/>
              <w:ind w:firstLine="0"/>
              <w:jc w:val="center"/>
            </w:pPr>
            <w:r>
              <w:rPr>
                <w:noProof/>
              </w:rPr>
              <w:drawing>
                <wp:inline distT="0" distB="0" distL="0" distR="0" wp14:anchorId="6C8EC0F3" wp14:editId="3B8D2EAD">
                  <wp:extent cx="2082800" cy="838200"/>
                  <wp:effectExtent l="0" t="0" r="0" b="0"/>
                  <wp:docPr id="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82800" cy="838200"/>
                          </a:xfrm>
                          <a:prstGeom prst="rect">
                            <a:avLst/>
                          </a:prstGeom>
                          <a:noFill/>
                          <a:ln>
                            <a:noFill/>
                          </a:ln>
                        </pic:spPr>
                      </pic:pic>
                    </a:graphicData>
                  </a:graphic>
                </wp:inline>
              </w:drawing>
            </w:r>
          </w:p>
        </w:tc>
        <w:tc>
          <w:tcPr>
            <w:tcW w:w="4014" w:type="dxa"/>
          </w:tcPr>
          <w:p w14:paraId="7D4C333D" w14:textId="77777777" w:rsidR="00B9662D" w:rsidRDefault="00287BD5" w:rsidP="00B9662D">
            <w:pPr>
              <w:spacing w:before="120" w:after="120"/>
              <w:ind w:firstLine="0"/>
              <w:jc w:val="center"/>
            </w:pPr>
            <w:r>
              <w:rPr>
                <w:noProof/>
              </w:rPr>
              <w:drawing>
                <wp:inline distT="0" distB="0" distL="0" distR="0" wp14:anchorId="32447B30" wp14:editId="0836C033">
                  <wp:extent cx="2222500" cy="9017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500" cy="901700"/>
                          </a:xfrm>
                          <a:prstGeom prst="rect">
                            <a:avLst/>
                          </a:prstGeom>
                          <a:noFill/>
                          <a:ln>
                            <a:noFill/>
                          </a:ln>
                        </pic:spPr>
                      </pic:pic>
                    </a:graphicData>
                  </a:graphic>
                </wp:inline>
              </w:drawing>
            </w:r>
          </w:p>
        </w:tc>
      </w:tr>
      <w:tr w:rsidR="00B9662D" w:rsidRPr="00B67BF4" w14:paraId="17DB53EF" w14:textId="77777777">
        <w:tc>
          <w:tcPr>
            <w:tcW w:w="4014" w:type="dxa"/>
          </w:tcPr>
          <w:p w14:paraId="69F62C2B" w14:textId="77777777" w:rsidR="00B9662D" w:rsidRPr="00EF26DF" w:rsidRDefault="00B9662D" w:rsidP="00B9662D">
            <w:pPr>
              <w:spacing w:before="120" w:after="120"/>
              <w:ind w:firstLine="0"/>
              <w:jc w:val="center"/>
              <w:rPr>
                <w:sz w:val="24"/>
              </w:rPr>
            </w:pPr>
            <w:hyperlink r:id="rId12" w:history="1">
              <w:r w:rsidRPr="0057737F">
                <w:rPr>
                  <w:rStyle w:val="Hyperlien"/>
                  <w:sz w:val="24"/>
                </w:rPr>
                <w:t>https://classiques.uqam.ca/</w:t>
              </w:r>
            </w:hyperlink>
            <w:r>
              <w:rPr>
                <w:sz w:val="24"/>
              </w:rPr>
              <w:t xml:space="preserve"> </w:t>
            </w:r>
          </w:p>
        </w:tc>
        <w:tc>
          <w:tcPr>
            <w:tcW w:w="4014" w:type="dxa"/>
          </w:tcPr>
          <w:p w14:paraId="240967AE" w14:textId="77777777" w:rsidR="00B9662D" w:rsidRPr="00EF26DF" w:rsidRDefault="00B9662D" w:rsidP="00B9662D">
            <w:pPr>
              <w:spacing w:before="120" w:after="120"/>
              <w:ind w:firstLine="0"/>
              <w:jc w:val="center"/>
              <w:rPr>
                <w:sz w:val="24"/>
              </w:rPr>
            </w:pPr>
            <w:hyperlink r:id="rId13" w:history="1">
              <w:r w:rsidRPr="0057737F">
                <w:rPr>
                  <w:rStyle w:val="Hyperlien"/>
                  <w:sz w:val="24"/>
                </w:rPr>
                <w:t>http://classiques.uqac.ca/</w:t>
              </w:r>
            </w:hyperlink>
            <w:r>
              <w:rPr>
                <w:sz w:val="24"/>
              </w:rPr>
              <w:t xml:space="preserve"> </w:t>
            </w:r>
          </w:p>
        </w:tc>
      </w:tr>
    </w:tbl>
    <w:p w14:paraId="542FA382" w14:textId="77777777" w:rsidR="00B9662D" w:rsidRDefault="00B9662D" w:rsidP="00B9662D">
      <w:pPr>
        <w:ind w:firstLine="0"/>
        <w:jc w:val="both"/>
      </w:pPr>
    </w:p>
    <w:p w14:paraId="42A08818" w14:textId="77777777" w:rsidR="00B9662D" w:rsidRDefault="00B9662D" w:rsidP="00B9662D">
      <w:pPr>
        <w:ind w:firstLine="0"/>
        <w:jc w:val="both"/>
      </w:pPr>
      <w:r>
        <w:t>L’UQÀM assure à partir de septembre 2024 la pérennité des Class</w:t>
      </w:r>
      <w:r>
        <w:t>i</w:t>
      </w:r>
      <w:r>
        <w:t>ques des sciences sociales et son développement futur, bien sûr avec les bénévoles des Classiques des sciences sociales.</w:t>
      </w:r>
    </w:p>
    <w:p w14:paraId="2391E0B4" w14:textId="77777777" w:rsidR="00B9662D" w:rsidRDefault="00B9662D" w:rsidP="00B9662D">
      <w:pPr>
        <w:ind w:firstLine="0"/>
        <w:jc w:val="both"/>
      </w:pPr>
    </w:p>
    <w:p w14:paraId="2E662705" w14:textId="77777777" w:rsidR="00B9662D" w:rsidRDefault="00B9662D" w:rsidP="00B9662D">
      <w:pPr>
        <w:ind w:firstLine="0"/>
        <w:jc w:val="both"/>
      </w:pPr>
    </w:p>
    <w:p w14:paraId="1FF3A530" w14:textId="77777777" w:rsidR="00B9662D" w:rsidRDefault="00B9662D" w:rsidP="00B9662D">
      <w:pPr>
        <w:ind w:firstLine="0"/>
        <w:jc w:val="both"/>
      </w:pPr>
      <w:r>
        <w:t>En 2023, Les Classiques des sciences sociales fêtèrent leur 30</w:t>
      </w:r>
      <w:r w:rsidRPr="00622FDA">
        <w:rPr>
          <w:vertAlign w:val="superscript"/>
        </w:rPr>
        <w:t>e</w:t>
      </w:r>
      <w:r>
        <w:t xml:space="preserve"> ann</w:t>
      </w:r>
      <w:r>
        <w:t>i</w:t>
      </w:r>
      <w:r>
        <w:t>versa</w:t>
      </w:r>
      <w:r>
        <w:t>i</w:t>
      </w:r>
      <w:r>
        <w:t>re de fondation. Une belle initiative citoyenne.</w:t>
      </w:r>
    </w:p>
    <w:p w14:paraId="6114E905" w14:textId="77777777" w:rsidR="00B9662D" w:rsidRPr="00E07116" w:rsidRDefault="00B9662D" w:rsidP="00B9662D">
      <w:pPr>
        <w:ind w:firstLine="0"/>
        <w:jc w:val="both"/>
        <w:rPr>
          <w:szCs w:val="32"/>
        </w:rPr>
      </w:pPr>
      <w:r w:rsidRPr="00E07116">
        <w:br w:type="page"/>
      </w:r>
    </w:p>
    <w:p w14:paraId="7A3C42B3" w14:textId="77777777" w:rsidR="00B9662D" w:rsidRPr="005B6592" w:rsidRDefault="00B9662D">
      <w:pPr>
        <w:widowControl w:val="0"/>
        <w:autoSpaceDE w:val="0"/>
        <w:autoSpaceDN w:val="0"/>
        <w:adjustRightInd w:val="0"/>
        <w:jc w:val="center"/>
        <w:rPr>
          <w:color w:val="008B00"/>
          <w:sz w:val="40"/>
          <w:szCs w:val="36"/>
        </w:rPr>
      </w:pPr>
      <w:r w:rsidRPr="005B6592">
        <w:rPr>
          <w:color w:val="008B00"/>
          <w:sz w:val="40"/>
          <w:szCs w:val="36"/>
        </w:rPr>
        <w:t>Politique d'utilisation</w:t>
      </w:r>
      <w:r w:rsidRPr="005B6592">
        <w:rPr>
          <w:color w:val="008B00"/>
          <w:sz w:val="40"/>
          <w:szCs w:val="36"/>
        </w:rPr>
        <w:br/>
        <w:t>de la bibliothèque des Classiques</w:t>
      </w:r>
    </w:p>
    <w:p w14:paraId="74D7BDB7" w14:textId="77777777" w:rsidR="00B9662D" w:rsidRPr="00E07116" w:rsidRDefault="00B9662D">
      <w:pPr>
        <w:widowControl w:val="0"/>
        <w:autoSpaceDE w:val="0"/>
        <w:autoSpaceDN w:val="0"/>
        <w:adjustRightInd w:val="0"/>
        <w:rPr>
          <w:szCs w:val="32"/>
        </w:rPr>
      </w:pPr>
    </w:p>
    <w:p w14:paraId="13961CE1" w14:textId="77777777" w:rsidR="00B9662D" w:rsidRPr="00E07116" w:rsidRDefault="00B9662D">
      <w:pPr>
        <w:widowControl w:val="0"/>
        <w:autoSpaceDE w:val="0"/>
        <w:autoSpaceDN w:val="0"/>
        <w:adjustRightInd w:val="0"/>
        <w:jc w:val="both"/>
        <w:rPr>
          <w:color w:val="1C1C1C"/>
          <w:szCs w:val="26"/>
        </w:rPr>
      </w:pPr>
    </w:p>
    <w:p w14:paraId="00DE9FE9" w14:textId="77777777" w:rsidR="00B9662D" w:rsidRPr="00E07116" w:rsidRDefault="00B9662D">
      <w:pPr>
        <w:widowControl w:val="0"/>
        <w:autoSpaceDE w:val="0"/>
        <w:autoSpaceDN w:val="0"/>
        <w:adjustRightInd w:val="0"/>
        <w:jc w:val="both"/>
        <w:rPr>
          <w:color w:val="1C1C1C"/>
          <w:szCs w:val="26"/>
        </w:rPr>
      </w:pPr>
    </w:p>
    <w:p w14:paraId="77A95BA6" w14:textId="77777777" w:rsidR="00B9662D" w:rsidRPr="00E07116" w:rsidRDefault="00B9662D">
      <w:pPr>
        <w:widowControl w:val="0"/>
        <w:autoSpaceDE w:val="0"/>
        <w:autoSpaceDN w:val="0"/>
        <w:adjustRightInd w:val="0"/>
        <w:jc w:val="both"/>
        <w:rPr>
          <w:color w:val="1C1C1C"/>
          <w:szCs w:val="26"/>
        </w:rPr>
      </w:pPr>
      <w:r w:rsidRPr="00E07116">
        <w:rPr>
          <w:color w:val="1C1C1C"/>
          <w:szCs w:val="26"/>
        </w:rPr>
        <w:t>Toute reproduction et rediffusion de nos fichiers est inte</w:t>
      </w:r>
      <w:r w:rsidRPr="00E07116">
        <w:rPr>
          <w:color w:val="1C1C1C"/>
          <w:szCs w:val="26"/>
        </w:rPr>
        <w:t>r</w:t>
      </w:r>
      <w:r w:rsidRPr="00E07116">
        <w:rPr>
          <w:color w:val="1C1C1C"/>
          <w:szCs w:val="26"/>
        </w:rPr>
        <w:t>dite, m</w:t>
      </w:r>
      <w:r w:rsidRPr="00E07116">
        <w:rPr>
          <w:color w:val="1C1C1C"/>
          <w:szCs w:val="26"/>
        </w:rPr>
        <w:t>ê</w:t>
      </w:r>
      <w:r w:rsidRPr="00E07116">
        <w:rPr>
          <w:color w:val="1C1C1C"/>
          <w:szCs w:val="26"/>
        </w:rPr>
        <w:t>me avec la mention de leur provenance, sans l’autorisation fo</w:t>
      </w:r>
      <w:r w:rsidRPr="00E07116">
        <w:rPr>
          <w:color w:val="1C1C1C"/>
          <w:szCs w:val="26"/>
        </w:rPr>
        <w:t>r</w:t>
      </w:r>
      <w:r w:rsidRPr="00E07116">
        <w:rPr>
          <w:color w:val="1C1C1C"/>
          <w:szCs w:val="26"/>
        </w:rPr>
        <w:t>melle, écrite, du fondateur des Classiques des sciences s</w:t>
      </w:r>
      <w:r w:rsidRPr="00E07116">
        <w:rPr>
          <w:color w:val="1C1C1C"/>
          <w:szCs w:val="26"/>
        </w:rPr>
        <w:t>o</w:t>
      </w:r>
      <w:r w:rsidRPr="00E07116">
        <w:rPr>
          <w:color w:val="1C1C1C"/>
          <w:szCs w:val="26"/>
        </w:rPr>
        <w:t>ciales, Jean-Marie Tremblay, sociologue.</w:t>
      </w:r>
    </w:p>
    <w:p w14:paraId="372DDD60" w14:textId="77777777" w:rsidR="00B9662D" w:rsidRPr="00E07116" w:rsidRDefault="00B9662D">
      <w:pPr>
        <w:widowControl w:val="0"/>
        <w:autoSpaceDE w:val="0"/>
        <w:autoSpaceDN w:val="0"/>
        <w:adjustRightInd w:val="0"/>
        <w:jc w:val="both"/>
        <w:rPr>
          <w:color w:val="1C1C1C"/>
          <w:szCs w:val="26"/>
        </w:rPr>
      </w:pPr>
    </w:p>
    <w:p w14:paraId="75928AA8" w14:textId="77777777" w:rsidR="00B9662D" w:rsidRPr="00E07116" w:rsidRDefault="00B9662D" w:rsidP="00B9662D">
      <w:pPr>
        <w:widowControl w:val="0"/>
        <w:autoSpaceDE w:val="0"/>
        <w:autoSpaceDN w:val="0"/>
        <w:adjustRightInd w:val="0"/>
        <w:jc w:val="both"/>
        <w:rPr>
          <w:color w:val="1C1C1C"/>
          <w:szCs w:val="26"/>
        </w:rPr>
      </w:pPr>
      <w:r w:rsidRPr="00E07116">
        <w:rPr>
          <w:color w:val="1C1C1C"/>
          <w:szCs w:val="26"/>
        </w:rPr>
        <w:t>Les fichiers des Classiques des sciences sociales ne pe</w:t>
      </w:r>
      <w:r w:rsidRPr="00E07116">
        <w:rPr>
          <w:color w:val="1C1C1C"/>
          <w:szCs w:val="26"/>
        </w:rPr>
        <w:t>u</w:t>
      </w:r>
      <w:r w:rsidRPr="00E07116">
        <w:rPr>
          <w:color w:val="1C1C1C"/>
          <w:szCs w:val="26"/>
        </w:rPr>
        <w:t>vent sans autorisation formelle:</w:t>
      </w:r>
    </w:p>
    <w:p w14:paraId="11DE469F" w14:textId="77777777" w:rsidR="00B9662D" w:rsidRPr="00E07116" w:rsidRDefault="00B9662D" w:rsidP="00B9662D">
      <w:pPr>
        <w:widowControl w:val="0"/>
        <w:autoSpaceDE w:val="0"/>
        <w:autoSpaceDN w:val="0"/>
        <w:adjustRightInd w:val="0"/>
        <w:jc w:val="both"/>
        <w:rPr>
          <w:color w:val="1C1C1C"/>
          <w:szCs w:val="26"/>
        </w:rPr>
      </w:pPr>
    </w:p>
    <w:p w14:paraId="1747F158" w14:textId="77777777" w:rsidR="00B9662D" w:rsidRPr="00E07116" w:rsidRDefault="00B9662D" w:rsidP="00B9662D">
      <w:pPr>
        <w:widowControl w:val="0"/>
        <w:autoSpaceDE w:val="0"/>
        <w:autoSpaceDN w:val="0"/>
        <w:adjustRightInd w:val="0"/>
        <w:jc w:val="both"/>
        <w:rPr>
          <w:color w:val="1C1C1C"/>
          <w:szCs w:val="26"/>
        </w:rPr>
      </w:pPr>
      <w:r w:rsidRPr="00E07116">
        <w:rPr>
          <w:color w:val="1C1C1C"/>
          <w:szCs w:val="26"/>
        </w:rPr>
        <w:t>- être hébergés (en fichier ou page web, en totalité ou en partie) sur un serveur autre que celui des Classiques.</w:t>
      </w:r>
    </w:p>
    <w:p w14:paraId="3E027D8F" w14:textId="77777777" w:rsidR="00B9662D" w:rsidRPr="00E07116" w:rsidRDefault="00B9662D" w:rsidP="00B9662D">
      <w:pPr>
        <w:widowControl w:val="0"/>
        <w:autoSpaceDE w:val="0"/>
        <w:autoSpaceDN w:val="0"/>
        <w:adjustRightInd w:val="0"/>
        <w:jc w:val="both"/>
        <w:rPr>
          <w:color w:val="1C1C1C"/>
          <w:szCs w:val="26"/>
        </w:rPr>
      </w:pPr>
      <w:r w:rsidRPr="00E07116">
        <w:rPr>
          <w:color w:val="1C1C1C"/>
          <w:szCs w:val="26"/>
        </w:rPr>
        <w:t>- servir de base de travail à un autre fichier modifié ensuite par tout autre moyen (couleur, police, mise en page, extraits, support, etc...),</w:t>
      </w:r>
    </w:p>
    <w:p w14:paraId="0097A075" w14:textId="77777777" w:rsidR="00B9662D" w:rsidRPr="00E07116" w:rsidRDefault="00B9662D" w:rsidP="00B9662D">
      <w:pPr>
        <w:widowControl w:val="0"/>
        <w:autoSpaceDE w:val="0"/>
        <w:autoSpaceDN w:val="0"/>
        <w:adjustRightInd w:val="0"/>
        <w:jc w:val="both"/>
        <w:rPr>
          <w:color w:val="1C1C1C"/>
          <w:szCs w:val="26"/>
        </w:rPr>
      </w:pPr>
    </w:p>
    <w:p w14:paraId="53F3633F" w14:textId="77777777" w:rsidR="00B9662D" w:rsidRPr="00E07116" w:rsidRDefault="00B9662D">
      <w:pPr>
        <w:widowControl w:val="0"/>
        <w:autoSpaceDE w:val="0"/>
        <w:autoSpaceDN w:val="0"/>
        <w:adjustRightInd w:val="0"/>
        <w:jc w:val="both"/>
        <w:rPr>
          <w:color w:val="1C1C1C"/>
          <w:szCs w:val="26"/>
        </w:rPr>
      </w:pPr>
      <w:r w:rsidRPr="00E07116">
        <w:rPr>
          <w:color w:val="1C1C1C"/>
          <w:szCs w:val="26"/>
        </w:rPr>
        <w:t xml:space="preserve">Les fichiers (.html, .doc, .pdf, .rtf, .jpg, .gif) disponibles sur le site Les Classiques des sciences sociales sont la propriété des </w:t>
      </w:r>
      <w:r w:rsidRPr="00E07116">
        <w:rPr>
          <w:b/>
          <w:color w:val="1C1C1C"/>
          <w:szCs w:val="26"/>
        </w:rPr>
        <w:t>Class</w:t>
      </w:r>
      <w:r w:rsidRPr="00E07116">
        <w:rPr>
          <w:b/>
          <w:color w:val="1C1C1C"/>
          <w:szCs w:val="26"/>
        </w:rPr>
        <w:t>i</w:t>
      </w:r>
      <w:r w:rsidRPr="00E07116">
        <w:rPr>
          <w:b/>
          <w:color w:val="1C1C1C"/>
          <w:szCs w:val="26"/>
        </w:rPr>
        <w:t>ques des sciences sociales</w:t>
      </w:r>
      <w:r w:rsidRPr="00E07116">
        <w:rPr>
          <w:color w:val="1C1C1C"/>
          <w:szCs w:val="26"/>
        </w:rPr>
        <w:t>, un organisme à but non lucratif composé excl</w:t>
      </w:r>
      <w:r w:rsidRPr="00E07116">
        <w:rPr>
          <w:color w:val="1C1C1C"/>
          <w:szCs w:val="26"/>
        </w:rPr>
        <w:t>u</w:t>
      </w:r>
      <w:r w:rsidRPr="00E07116">
        <w:rPr>
          <w:color w:val="1C1C1C"/>
          <w:szCs w:val="26"/>
        </w:rPr>
        <w:t>sivement de bénévoles.</w:t>
      </w:r>
    </w:p>
    <w:p w14:paraId="3B335150" w14:textId="77777777" w:rsidR="00B9662D" w:rsidRPr="00E07116" w:rsidRDefault="00B9662D">
      <w:pPr>
        <w:widowControl w:val="0"/>
        <w:autoSpaceDE w:val="0"/>
        <w:autoSpaceDN w:val="0"/>
        <w:adjustRightInd w:val="0"/>
        <w:jc w:val="both"/>
        <w:rPr>
          <w:color w:val="1C1C1C"/>
          <w:szCs w:val="26"/>
        </w:rPr>
      </w:pPr>
    </w:p>
    <w:p w14:paraId="3AC33ECF" w14:textId="77777777" w:rsidR="00B9662D" w:rsidRPr="00E07116" w:rsidRDefault="00B9662D">
      <w:pPr>
        <w:rPr>
          <w:color w:val="1C1C1C"/>
          <w:szCs w:val="26"/>
        </w:rPr>
      </w:pPr>
      <w:r w:rsidRPr="00E07116">
        <w:rPr>
          <w:color w:val="1C1C1C"/>
          <w:szCs w:val="26"/>
        </w:rPr>
        <w:t>Ils sont disponibles pour une utilisation intellectuelle et perso</w:t>
      </w:r>
      <w:r w:rsidRPr="00E07116">
        <w:rPr>
          <w:color w:val="1C1C1C"/>
          <w:szCs w:val="26"/>
        </w:rPr>
        <w:t>n</w:t>
      </w:r>
      <w:r w:rsidRPr="00E07116">
        <w:rPr>
          <w:color w:val="1C1C1C"/>
          <w:szCs w:val="26"/>
        </w:rPr>
        <w:t>ne</w:t>
      </w:r>
      <w:r w:rsidRPr="00E07116">
        <w:rPr>
          <w:color w:val="1C1C1C"/>
          <w:szCs w:val="26"/>
        </w:rPr>
        <w:t>l</w:t>
      </w:r>
      <w:r w:rsidRPr="00E07116">
        <w:rPr>
          <w:color w:val="1C1C1C"/>
          <w:szCs w:val="26"/>
        </w:rPr>
        <w:t>le et, en aucun cas, commerciale. Toute utilisation à des fins commerci</w:t>
      </w:r>
      <w:r w:rsidRPr="00E07116">
        <w:rPr>
          <w:color w:val="1C1C1C"/>
          <w:szCs w:val="26"/>
        </w:rPr>
        <w:t>a</w:t>
      </w:r>
      <w:r w:rsidRPr="00E07116">
        <w:rPr>
          <w:color w:val="1C1C1C"/>
          <w:szCs w:val="26"/>
        </w:rPr>
        <w:t>les des fichiers sur ce site est strictement inte</w:t>
      </w:r>
      <w:r w:rsidRPr="00E07116">
        <w:rPr>
          <w:color w:val="1C1C1C"/>
          <w:szCs w:val="26"/>
        </w:rPr>
        <w:t>r</w:t>
      </w:r>
      <w:r w:rsidRPr="00E07116">
        <w:rPr>
          <w:color w:val="1C1C1C"/>
          <w:szCs w:val="26"/>
        </w:rPr>
        <w:t>dite et toute rediffusion est également strictement interdite.</w:t>
      </w:r>
    </w:p>
    <w:p w14:paraId="6F4D4F62" w14:textId="77777777" w:rsidR="00B9662D" w:rsidRPr="00E07116" w:rsidRDefault="00B9662D">
      <w:pPr>
        <w:rPr>
          <w:b/>
          <w:color w:val="1C1C1C"/>
          <w:szCs w:val="26"/>
        </w:rPr>
      </w:pPr>
    </w:p>
    <w:p w14:paraId="03EB47AF" w14:textId="77777777" w:rsidR="00B9662D" w:rsidRPr="00E07116" w:rsidRDefault="00B9662D">
      <w:pPr>
        <w:rPr>
          <w:b/>
          <w:color w:val="1C1C1C"/>
          <w:szCs w:val="26"/>
        </w:rPr>
      </w:pPr>
      <w:r w:rsidRPr="00E07116">
        <w:rPr>
          <w:b/>
          <w:color w:val="1C1C1C"/>
          <w:szCs w:val="26"/>
        </w:rPr>
        <w:t>L'accès à notre travail est libre et gratuit à tous les utilis</w:t>
      </w:r>
      <w:r w:rsidRPr="00E07116">
        <w:rPr>
          <w:b/>
          <w:color w:val="1C1C1C"/>
          <w:szCs w:val="26"/>
        </w:rPr>
        <w:t>a</w:t>
      </w:r>
      <w:r w:rsidRPr="00E07116">
        <w:rPr>
          <w:b/>
          <w:color w:val="1C1C1C"/>
          <w:szCs w:val="26"/>
        </w:rPr>
        <w:t>teurs. C'est notre mission.</w:t>
      </w:r>
    </w:p>
    <w:p w14:paraId="7429B965" w14:textId="77777777" w:rsidR="00B9662D" w:rsidRPr="00E07116" w:rsidRDefault="00B9662D">
      <w:pPr>
        <w:rPr>
          <w:b/>
          <w:color w:val="1C1C1C"/>
          <w:szCs w:val="26"/>
        </w:rPr>
      </w:pPr>
    </w:p>
    <w:p w14:paraId="7FBA5A10" w14:textId="77777777" w:rsidR="00B9662D" w:rsidRPr="00E07116" w:rsidRDefault="00B9662D">
      <w:pPr>
        <w:rPr>
          <w:color w:val="1C1C1C"/>
          <w:szCs w:val="26"/>
        </w:rPr>
      </w:pPr>
      <w:r w:rsidRPr="00E07116">
        <w:rPr>
          <w:color w:val="1C1C1C"/>
          <w:szCs w:val="26"/>
        </w:rPr>
        <w:t>Jean-Marie Tremblay, sociologue</w:t>
      </w:r>
    </w:p>
    <w:p w14:paraId="2B1E1A1D" w14:textId="77777777" w:rsidR="00B9662D" w:rsidRPr="00E07116" w:rsidRDefault="00B9662D">
      <w:pPr>
        <w:rPr>
          <w:color w:val="1C1C1C"/>
          <w:szCs w:val="26"/>
        </w:rPr>
      </w:pPr>
      <w:r w:rsidRPr="00E07116">
        <w:rPr>
          <w:color w:val="1C1C1C"/>
          <w:szCs w:val="26"/>
        </w:rPr>
        <w:t>Fondateur et Président-directeur général,</w:t>
      </w:r>
    </w:p>
    <w:p w14:paraId="3CDC9F94" w14:textId="77777777" w:rsidR="00B9662D" w:rsidRPr="00E07116" w:rsidRDefault="00B9662D">
      <w:pPr>
        <w:rPr>
          <w:color w:val="000080"/>
        </w:rPr>
      </w:pPr>
      <w:r w:rsidRPr="00E07116">
        <w:rPr>
          <w:color w:val="000080"/>
          <w:szCs w:val="26"/>
        </w:rPr>
        <w:t>LES CLASSIQUES DES SCIENCES SOCIALES.</w:t>
      </w:r>
    </w:p>
    <w:p w14:paraId="76E2D0D2" w14:textId="77777777" w:rsidR="00B9662D" w:rsidRDefault="00B9662D" w:rsidP="00B9662D">
      <w:pPr>
        <w:ind w:firstLine="0"/>
        <w:rPr>
          <w:sz w:val="24"/>
        </w:rPr>
      </w:pPr>
      <w:r>
        <w:br w:type="page"/>
      </w:r>
      <w:r w:rsidRPr="00E026FA">
        <w:rPr>
          <w:sz w:val="24"/>
        </w:rPr>
        <w:lastRenderedPageBreak/>
        <w:t xml:space="preserve">Cette édition électronique a été réalisée </w:t>
      </w:r>
      <w:r>
        <w:rPr>
          <w:sz w:val="24"/>
        </w:rPr>
        <w:t>avec le concours de</w:t>
      </w:r>
      <w:r w:rsidRPr="00E026FA">
        <w:rPr>
          <w:sz w:val="24"/>
        </w:rPr>
        <w:t xml:space="preserve"> Pierre Patenaude, bénévole, professeur de français à la retraite et écrivain, </w:t>
      </w:r>
      <w:r>
        <w:rPr>
          <w:sz w:val="24"/>
        </w:rPr>
        <w:t>Lac-Saint-Jean, Québec.</w:t>
      </w:r>
    </w:p>
    <w:p w14:paraId="7672033E" w14:textId="77777777" w:rsidR="00B9662D" w:rsidRPr="00E026FA" w:rsidRDefault="00B9662D" w:rsidP="00B9662D">
      <w:pPr>
        <w:ind w:firstLine="0"/>
        <w:rPr>
          <w:sz w:val="24"/>
        </w:rPr>
      </w:pPr>
      <w:hyperlink r:id="rId14" w:history="1">
        <w:r w:rsidRPr="00616EDF">
          <w:rPr>
            <w:rStyle w:val="Hyperlien"/>
            <w:sz w:val="24"/>
          </w:rPr>
          <w:t>http://classiques.uqac.ca/inter/benevoles_equipe/liste_patena</w:t>
        </w:r>
        <w:r w:rsidRPr="00616EDF">
          <w:rPr>
            <w:rStyle w:val="Hyperlien"/>
            <w:sz w:val="24"/>
          </w:rPr>
          <w:t>u</w:t>
        </w:r>
        <w:r w:rsidRPr="00616EDF">
          <w:rPr>
            <w:rStyle w:val="Hyperlien"/>
            <w:sz w:val="24"/>
          </w:rPr>
          <w:t>de_pierre.html</w:t>
        </w:r>
      </w:hyperlink>
      <w:r>
        <w:rPr>
          <w:sz w:val="24"/>
        </w:rPr>
        <w:t xml:space="preserve"> </w:t>
      </w:r>
    </w:p>
    <w:p w14:paraId="0EF36494" w14:textId="77777777" w:rsidR="00B9662D" w:rsidRPr="00E026FA" w:rsidRDefault="00B9662D" w:rsidP="00B9662D">
      <w:pPr>
        <w:widowControl w:val="0"/>
        <w:ind w:left="20" w:right="1800" w:hanging="20"/>
        <w:rPr>
          <w:sz w:val="24"/>
        </w:rPr>
      </w:pPr>
      <w:r w:rsidRPr="00E026FA">
        <w:rPr>
          <w:sz w:val="24"/>
        </w:rPr>
        <w:t xml:space="preserve">Courriel : </w:t>
      </w:r>
      <w:hyperlink r:id="rId15" w:history="1">
        <w:r w:rsidRPr="00E026FA">
          <w:rPr>
            <w:rStyle w:val="Hyperlien"/>
            <w:sz w:val="24"/>
          </w:rPr>
          <w:t>pierre.patenaude@gmail.com</w:t>
        </w:r>
      </w:hyperlink>
      <w:r w:rsidRPr="00E026FA">
        <w:rPr>
          <w:sz w:val="24"/>
        </w:rPr>
        <w:t xml:space="preserve"> </w:t>
      </w:r>
    </w:p>
    <w:p w14:paraId="2A662968" w14:textId="77777777" w:rsidR="00B9662D" w:rsidRDefault="00B9662D" w:rsidP="00B9662D">
      <w:pPr>
        <w:ind w:firstLine="0"/>
        <w:jc w:val="both"/>
        <w:rPr>
          <w:sz w:val="24"/>
        </w:rPr>
      </w:pPr>
    </w:p>
    <w:p w14:paraId="2C4F31A1" w14:textId="77777777" w:rsidR="00B9662D" w:rsidRPr="00CF4C8E" w:rsidRDefault="00B9662D" w:rsidP="00B9662D">
      <w:pPr>
        <w:ind w:firstLine="0"/>
        <w:jc w:val="both"/>
        <w:rPr>
          <w:sz w:val="24"/>
        </w:rPr>
      </w:pPr>
      <w:r w:rsidRPr="00CF4C8E">
        <w:rPr>
          <w:sz w:val="24"/>
        </w:rPr>
        <w:t>à partir du texte de :</w:t>
      </w:r>
    </w:p>
    <w:p w14:paraId="752FC5D3" w14:textId="77777777" w:rsidR="00B9662D" w:rsidRDefault="00B9662D" w:rsidP="00B9662D">
      <w:pPr>
        <w:ind w:firstLine="0"/>
        <w:jc w:val="both"/>
        <w:rPr>
          <w:sz w:val="24"/>
        </w:rPr>
      </w:pPr>
    </w:p>
    <w:p w14:paraId="44C535C6" w14:textId="77777777" w:rsidR="00B9662D" w:rsidRPr="00384B20" w:rsidRDefault="00B9662D" w:rsidP="00B9662D">
      <w:pPr>
        <w:ind w:firstLine="0"/>
        <w:jc w:val="both"/>
        <w:rPr>
          <w:sz w:val="24"/>
        </w:rPr>
      </w:pPr>
    </w:p>
    <w:p w14:paraId="5CACCC03" w14:textId="77777777" w:rsidR="00B9662D" w:rsidRPr="00E07116" w:rsidRDefault="00B9662D" w:rsidP="00B9662D">
      <w:pPr>
        <w:ind w:left="20" w:hanging="20"/>
        <w:jc w:val="both"/>
      </w:pPr>
      <w:r>
        <w:t>Marc BLOCH</w:t>
      </w:r>
    </w:p>
    <w:p w14:paraId="6C1B7C2F" w14:textId="77777777" w:rsidR="00B9662D" w:rsidRDefault="00B9662D" w:rsidP="00B9662D">
      <w:pPr>
        <w:ind w:left="20" w:firstLine="340"/>
        <w:jc w:val="both"/>
      </w:pPr>
    </w:p>
    <w:p w14:paraId="757802E5" w14:textId="77777777" w:rsidR="00B9662D" w:rsidRPr="00E07116" w:rsidRDefault="00B9662D" w:rsidP="00B9662D">
      <w:pPr>
        <w:ind w:firstLine="0"/>
        <w:jc w:val="both"/>
      </w:pPr>
      <w:r>
        <w:rPr>
          <w:b/>
          <w:color w:val="000080"/>
        </w:rPr>
        <w:t>MÉLANGES HISTORIQUES. Tome II.</w:t>
      </w:r>
    </w:p>
    <w:p w14:paraId="1813F3B8" w14:textId="77777777" w:rsidR="00B9662D" w:rsidRPr="00E07116" w:rsidRDefault="00B9662D" w:rsidP="00B9662D">
      <w:pPr>
        <w:jc w:val="both"/>
      </w:pPr>
    </w:p>
    <w:p w14:paraId="50799C4E" w14:textId="77777777" w:rsidR="00B9662D" w:rsidRPr="00567178" w:rsidRDefault="00B9662D" w:rsidP="00B9662D">
      <w:pPr>
        <w:ind w:left="20" w:hanging="20"/>
        <w:jc w:val="both"/>
      </w:pPr>
      <w:r w:rsidRPr="00567178">
        <w:t xml:space="preserve">Paris : École pratique des Hautes Études. S.E.V.P.E.N., 1963, pp. </w:t>
      </w:r>
      <w:r>
        <w:t xml:space="preserve">561-1108. </w:t>
      </w:r>
      <w:r w:rsidRPr="00567178">
        <w:t>Collection : “Bibliothèque générale de l’École Pratique des Hautes Ét</w:t>
      </w:r>
      <w:r w:rsidRPr="00567178">
        <w:t>u</w:t>
      </w:r>
      <w:r w:rsidRPr="00567178">
        <w:t>des.”</w:t>
      </w:r>
    </w:p>
    <w:p w14:paraId="646E3A98" w14:textId="77777777" w:rsidR="00B9662D" w:rsidRPr="00384B20" w:rsidRDefault="00B9662D" w:rsidP="00B9662D">
      <w:pPr>
        <w:jc w:val="both"/>
        <w:rPr>
          <w:sz w:val="24"/>
        </w:rPr>
      </w:pPr>
    </w:p>
    <w:p w14:paraId="73CAC663" w14:textId="77777777" w:rsidR="00B9662D" w:rsidRPr="00384B20" w:rsidRDefault="00B9662D" w:rsidP="00B9662D">
      <w:pPr>
        <w:jc w:val="both"/>
        <w:rPr>
          <w:sz w:val="24"/>
        </w:rPr>
      </w:pPr>
    </w:p>
    <w:p w14:paraId="4529B6C1" w14:textId="77777777" w:rsidR="00B9662D" w:rsidRPr="00384B20" w:rsidRDefault="00B9662D" w:rsidP="00B9662D">
      <w:pPr>
        <w:ind w:left="20"/>
        <w:jc w:val="both"/>
        <w:rPr>
          <w:sz w:val="24"/>
        </w:rPr>
      </w:pPr>
    </w:p>
    <w:p w14:paraId="6C54EE71" w14:textId="77777777" w:rsidR="00B9662D" w:rsidRPr="00384B20" w:rsidRDefault="00B9662D">
      <w:pPr>
        <w:ind w:right="1800" w:firstLine="0"/>
        <w:jc w:val="both"/>
        <w:rPr>
          <w:sz w:val="24"/>
        </w:rPr>
      </w:pPr>
      <w:r>
        <w:rPr>
          <w:sz w:val="24"/>
        </w:rPr>
        <w:t>Police</w:t>
      </w:r>
      <w:r w:rsidRPr="00384B20">
        <w:rPr>
          <w:sz w:val="24"/>
        </w:rPr>
        <w:t xml:space="preserve"> de caractères utilisé</w:t>
      </w:r>
      <w:r>
        <w:rPr>
          <w:sz w:val="24"/>
        </w:rPr>
        <w:t>s</w:t>
      </w:r>
      <w:r w:rsidRPr="00384B20">
        <w:rPr>
          <w:sz w:val="24"/>
        </w:rPr>
        <w:t> :</w:t>
      </w:r>
    </w:p>
    <w:p w14:paraId="114C4736" w14:textId="77777777" w:rsidR="00B9662D" w:rsidRPr="00384B20" w:rsidRDefault="00B9662D">
      <w:pPr>
        <w:ind w:right="1800" w:firstLine="0"/>
        <w:jc w:val="both"/>
        <w:rPr>
          <w:sz w:val="24"/>
        </w:rPr>
      </w:pPr>
    </w:p>
    <w:p w14:paraId="36549425" w14:textId="77777777" w:rsidR="00B9662D" w:rsidRPr="00384B20" w:rsidRDefault="00B9662D" w:rsidP="00B9662D">
      <w:pPr>
        <w:ind w:left="360" w:right="360" w:firstLine="0"/>
        <w:jc w:val="both"/>
        <w:rPr>
          <w:sz w:val="24"/>
        </w:rPr>
      </w:pPr>
      <w:r w:rsidRPr="00384B20">
        <w:rPr>
          <w:sz w:val="24"/>
        </w:rPr>
        <w:t>Pour le texte: Times New Roman, 14 points.</w:t>
      </w:r>
    </w:p>
    <w:p w14:paraId="65C42BC0" w14:textId="77777777" w:rsidR="00B9662D" w:rsidRPr="00384B20" w:rsidRDefault="00B9662D" w:rsidP="00B9662D">
      <w:pPr>
        <w:ind w:left="360" w:right="360" w:firstLine="0"/>
        <w:jc w:val="both"/>
        <w:rPr>
          <w:sz w:val="24"/>
        </w:rPr>
      </w:pPr>
      <w:r w:rsidRPr="00384B20">
        <w:rPr>
          <w:sz w:val="24"/>
        </w:rPr>
        <w:t>Pour les notes de bas de page : Times New Roman, 12 points.</w:t>
      </w:r>
    </w:p>
    <w:p w14:paraId="31CF5C90" w14:textId="77777777" w:rsidR="00B9662D" w:rsidRPr="00384B20" w:rsidRDefault="00B9662D">
      <w:pPr>
        <w:ind w:left="360" w:right="1800" w:firstLine="0"/>
        <w:jc w:val="both"/>
        <w:rPr>
          <w:sz w:val="24"/>
        </w:rPr>
      </w:pPr>
    </w:p>
    <w:p w14:paraId="7B1EC4CB" w14:textId="77777777" w:rsidR="00B9662D" w:rsidRPr="00384B20" w:rsidRDefault="00B9662D">
      <w:pPr>
        <w:ind w:right="360" w:firstLine="0"/>
        <w:jc w:val="both"/>
        <w:rPr>
          <w:sz w:val="24"/>
        </w:rPr>
      </w:pPr>
      <w:r w:rsidRPr="00384B20">
        <w:rPr>
          <w:sz w:val="24"/>
        </w:rPr>
        <w:t>Édition électronique réalisée avec le traitement de textes Microsoft Word 2008 pour Macintosh.</w:t>
      </w:r>
    </w:p>
    <w:p w14:paraId="6670A0B2" w14:textId="77777777" w:rsidR="00B9662D" w:rsidRPr="00384B20" w:rsidRDefault="00B9662D">
      <w:pPr>
        <w:ind w:right="1800" w:firstLine="0"/>
        <w:jc w:val="both"/>
        <w:rPr>
          <w:sz w:val="24"/>
        </w:rPr>
      </w:pPr>
    </w:p>
    <w:p w14:paraId="09D1BDBC" w14:textId="77777777" w:rsidR="00B9662D" w:rsidRPr="00384B20" w:rsidRDefault="00B9662D" w:rsidP="00B9662D">
      <w:pPr>
        <w:ind w:right="540" w:firstLine="0"/>
        <w:jc w:val="both"/>
        <w:rPr>
          <w:sz w:val="24"/>
        </w:rPr>
      </w:pPr>
      <w:r w:rsidRPr="00384B20">
        <w:rPr>
          <w:sz w:val="24"/>
        </w:rPr>
        <w:t>Mise en page sur papier format : LETTRE US, 8.5’’ x 11’’.</w:t>
      </w:r>
    </w:p>
    <w:p w14:paraId="4E688C72" w14:textId="77777777" w:rsidR="00B9662D" w:rsidRDefault="00B9662D">
      <w:pPr>
        <w:ind w:right="1800" w:firstLine="0"/>
        <w:jc w:val="both"/>
        <w:rPr>
          <w:sz w:val="24"/>
        </w:rPr>
      </w:pPr>
    </w:p>
    <w:p w14:paraId="1BE0BF44" w14:textId="77777777" w:rsidR="00B9662D" w:rsidRDefault="00B9662D">
      <w:pPr>
        <w:ind w:right="1800" w:firstLine="0"/>
        <w:jc w:val="both"/>
        <w:rPr>
          <w:sz w:val="24"/>
        </w:rPr>
      </w:pPr>
    </w:p>
    <w:p w14:paraId="181662FB" w14:textId="77777777" w:rsidR="00B9662D" w:rsidRPr="00384B20" w:rsidRDefault="00B9662D">
      <w:pPr>
        <w:ind w:right="1800" w:firstLine="0"/>
        <w:jc w:val="both"/>
        <w:rPr>
          <w:sz w:val="24"/>
        </w:rPr>
      </w:pPr>
    </w:p>
    <w:p w14:paraId="2DDFF168" w14:textId="77777777" w:rsidR="00B9662D" w:rsidRPr="00384B20" w:rsidRDefault="00B9662D" w:rsidP="00B9662D">
      <w:pPr>
        <w:ind w:firstLine="0"/>
        <w:jc w:val="both"/>
        <w:rPr>
          <w:sz w:val="24"/>
        </w:rPr>
      </w:pPr>
      <w:r w:rsidRPr="00384B20">
        <w:rPr>
          <w:sz w:val="24"/>
        </w:rPr>
        <w:t xml:space="preserve">Édition numérique réalisée le </w:t>
      </w:r>
      <w:r>
        <w:rPr>
          <w:sz w:val="24"/>
        </w:rPr>
        <w:t>19 juillet 2026 à Chicoutimi</w:t>
      </w:r>
      <w:r w:rsidRPr="00384B20">
        <w:rPr>
          <w:sz w:val="24"/>
        </w:rPr>
        <w:t>, Qu</w:t>
      </w:r>
      <w:r w:rsidRPr="00384B20">
        <w:rPr>
          <w:sz w:val="24"/>
        </w:rPr>
        <w:t>é</w:t>
      </w:r>
      <w:r w:rsidRPr="00384B20">
        <w:rPr>
          <w:sz w:val="24"/>
        </w:rPr>
        <w:t>bec.</w:t>
      </w:r>
    </w:p>
    <w:p w14:paraId="033CDB6E" w14:textId="77777777" w:rsidR="00B9662D" w:rsidRPr="00384B20" w:rsidRDefault="00B9662D">
      <w:pPr>
        <w:ind w:right="1800" w:firstLine="0"/>
        <w:jc w:val="both"/>
        <w:rPr>
          <w:sz w:val="24"/>
        </w:rPr>
      </w:pPr>
    </w:p>
    <w:p w14:paraId="50BACAB9" w14:textId="77777777" w:rsidR="00B9662D" w:rsidRPr="00E07116" w:rsidRDefault="00287BD5">
      <w:pPr>
        <w:ind w:right="1800" w:firstLine="0"/>
        <w:jc w:val="both"/>
      </w:pPr>
      <w:r w:rsidRPr="00E07116">
        <w:rPr>
          <w:noProof/>
        </w:rPr>
        <w:drawing>
          <wp:inline distT="0" distB="0" distL="0" distR="0" wp14:anchorId="37781D40" wp14:editId="1606E6FC">
            <wp:extent cx="1117600" cy="393700"/>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17600" cy="393700"/>
                    </a:xfrm>
                    <a:prstGeom prst="rect">
                      <a:avLst/>
                    </a:prstGeom>
                    <a:noFill/>
                    <a:ln>
                      <a:noFill/>
                    </a:ln>
                  </pic:spPr>
                </pic:pic>
              </a:graphicData>
            </a:graphic>
          </wp:inline>
        </w:drawing>
      </w:r>
    </w:p>
    <w:p w14:paraId="29000B27" w14:textId="77777777" w:rsidR="00B9662D" w:rsidRPr="00E07116" w:rsidRDefault="00B9662D" w:rsidP="00B9662D">
      <w:pPr>
        <w:ind w:left="20"/>
        <w:jc w:val="both"/>
      </w:pPr>
      <w:r w:rsidRPr="00E07116">
        <w:br w:type="page"/>
      </w:r>
    </w:p>
    <w:p w14:paraId="01B8AFE3" w14:textId="77777777" w:rsidR="00B9662D" w:rsidRDefault="00B9662D" w:rsidP="00B9662D">
      <w:pPr>
        <w:ind w:firstLine="0"/>
        <w:jc w:val="center"/>
        <w:rPr>
          <w:b/>
          <w:sz w:val="36"/>
        </w:rPr>
      </w:pPr>
      <w:r>
        <w:rPr>
          <w:sz w:val="36"/>
        </w:rPr>
        <w:t>Marc BLOCH</w:t>
      </w:r>
    </w:p>
    <w:p w14:paraId="25404D57" w14:textId="77777777" w:rsidR="00B9662D" w:rsidRDefault="00B9662D" w:rsidP="00B9662D">
      <w:pPr>
        <w:ind w:firstLine="0"/>
        <w:jc w:val="center"/>
        <w:rPr>
          <w:sz w:val="24"/>
          <w:lang w:bidi="ar-SA"/>
        </w:rPr>
      </w:pPr>
      <w:r w:rsidRPr="009531BD">
        <w:rPr>
          <w:sz w:val="24"/>
        </w:rPr>
        <w:t xml:space="preserve">Historien </w:t>
      </w:r>
      <w:r>
        <w:rPr>
          <w:sz w:val="24"/>
        </w:rPr>
        <w:t>français  [1886-1944]</w:t>
      </w:r>
    </w:p>
    <w:p w14:paraId="2EE3CD17" w14:textId="77777777" w:rsidR="00B9662D" w:rsidRPr="00E07116" w:rsidRDefault="00B9662D" w:rsidP="00B9662D">
      <w:pPr>
        <w:ind w:firstLine="0"/>
        <w:jc w:val="center"/>
      </w:pPr>
    </w:p>
    <w:p w14:paraId="743FA499" w14:textId="77777777" w:rsidR="00B9662D" w:rsidRPr="00F3780C" w:rsidRDefault="00B9662D" w:rsidP="00B9662D">
      <w:pPr>
        <w:ind w:firstLine="0"/>
        <w:jc w:val="center"/>
        <w:rPr>
          <w:color w:val="000080"/>
          <w:sz w:val="36"/>
        </w:rPr>
      </w:pPr>
      <w:r>
        <w:rPr>
          <w:color w:val="000080"/>
          <w:sz w:val="36"/>
        </w:rPr>
        <w:t>MÉLANGES HISTORIQUES.</w:t>
      </w:r>
      <w:r>
        <w:rPr>
          <w:color w:val="000080"/>
          <w:sz w:val="36"/>
        </w:rPr>
        <w:br/>
        <w:t>Tome II.</w:t>
      </w:r>
    </w:p>
    <w:p w14:paraId="489A7918" w14:textId="77777777" w:rsidR="00B9662D" w:rsidRPr="00E07116" w:rsidRDefault="00B9662D" w:rsidP="00B9662D">
      <w:pPr>
        <w:ind w:firstLine="0"/>
        <w:jc w:val="center"/>
      </w:pPr>
    </w:p>
    <w:p w14:paraId="69245CC4" w14:textId="77777777" w:rsidR="00B9662D" w:rsidRPr="00E07116" w:rsidRDefault="00287BD5" w:rsidP="00B9662D">
      <w:pPr>
        <w:ind w:firstLine="0"/>
        <w:jc w:val="center"/>
      </w:pPr>
      <w:r>
        <w:rPr>
          <w:noProof/>
        </w:rPr>
        <w:drawing>
          <wp:inline distT="0" distB="0" distL="0" distR="0" wp14:anchorId="21D81702" wp14:editId="79F769CF">
            <wp:extent cx="3073400" cy="4610100"/>
            <wp:effectExtent l="25400" t="25400" r="12700" b="1270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73400" cy="4610100"/>
                    </a:xfrm>
                    <a:prstGeom prst="rect">
                      <a:avLst/>
                    </a:prstGeom>
                    <a:noFill/>
                    <a:ln w="19050" cmpd="sng">
                      <a:solidFill>
                        <a:srgbClr val="000000"/>
                      </a:solidFill>
                      <a:miter lim="800000"/>
                      <a:headEnd/>
                      <a:tailEnd/>
                    </a:ln>
                    <a:effectLst/>
                  </pic:spPr>
                </pic:pic>
              </a:graphicData>
            </a:graphic>
          </wp:inline>
        </w:drawing>
      </w:r>
    </w:p>
    <w:p w14:paraId="3307BD3F" w14:textId="77777777" w:rsidR="00B9662D" w:rsidRPr="00E07116" w:rsidRDefault="00B9662D" w:rsidP="00B9662D">
      <w:pPr>
        <w:jc w:val="both"/>
      </w:pPr>
    </w:p>
    <w:p w14:paraId="4AF3DEE5" w14:textId="77777777" w:rsidR="00B9662D" w:rsidRDefault="00B9662D" w:rsidP="00B9662D">
      <w:pPr>
        <w:jc w:val="both"/>
      </w:pPr>
      <w:r w:rsidRPr="00567178">
        <w:t xml:space="preserve">Paris : École pratique des Hautes Études. S.E.V.P.E.N., 1963, pp. </w:t>
      </w:r>
      <w:r>
        <w:t xml:space="preserve">561-1108. </w:t>
      </w:r>
      <w:r w:rsidRPr="00567178">
        <w:t>Collection : “Bibliothèque générale de l’École Pratique des Hautes Ét</w:t>
      </w:r>
      <w:r w:rsidRPr="00567178">
        <w:t>u</w:t>
      </w:r>
      <w:r w:rsidRPr="00567178">
        <w:t>des.”</w:t>
      </w:r>
      <w:r>
        <w:t xml:space="preserve"> </w:t>
      </w:r>
    </w:p>
    <w:p w14:paraId="08BADC33" w14:textId="77777777" w:rsidR="00B9662D" w:rsidRDefault="00B9662D" w:rsidP="00B9662D">
      <w:pPr>
        <w:pStyle w:val="p"/>
      </w:pPr>
      <w:r w:rsidRPr="00E07116">
        <w:br w:type="page"/>
      </w:r>
    </w:p>
    <w:p w14:paraId="039E3E50" w14:textId="77777777" w:rsidR="00B9662D" w:rsidRDefault="00B9662D" w:rsidP="00B9662D">
      <w:pPr>
        <w:spacing w:before="120" w:after="120"/>
        <w:ind w:firstLine="0"/>
      </w:pPr>
    </w:p>
    <w:p w14:paraId="68C935DD" w14:textId="77777777" w:rsidR="00B9662D" w:rsidRPr="004436F8" w:rsidRDefault="00B9662D" w:rsidP="00B9662D">
      <w:pPr>
        <w:spacing w:before="120" w:after="120"/>
        <w:ind w:firstLine="0"/>
        <w:jc w:val="center"/>
        <w:rPr>
          <w:sz w:val="24"/>
        </w:rPr>
      </w:pPr>
      <w:r w:rsidRPr="004436F8">
        <w:rPr>
          <w:rFonts w:eastAsia="Courier New"/>
          <w:sz w:val="24"/>
        </w:rPr>
        <w:t>BIBLIOTHÈQUE GÉNÉRALE</w:t>
      </w:r>
      <w:r w:rsidRPr="004436F8">
        <w:rPr>
          <w:rFonts w:eastAsia="Courier New"/>
          <w:sz w:val="24"/>
        </w:rPr>
        <w:br/>
        <w:t>DE L’ÉCOLE PRATIQUE DES HAUTES ÉTUDES</w:t>
      </w:r>
    </w:p>
    <w:p w14:paraId="0A243EF9" w14:textId="77777777" w:rsidR="00B9662D" w:rsidRPr="004436F8" w:rsidRDefault="00B9662D" w:rsidP="00B9662D">
      <w:pPr>
        <w:spacing w:before="120" w:after="120"/>
        <w:ind w:firstLine="0"/>
        <w:jc w:val="center"/>
        <w:rPr>
          <w:rFonts w:eastAsia="Courier New"/>
          <w:b/>
          <w:bCs/>
          <w:sz w:val="24"/>
        </w:rPr>
      </w:pPr>
      <w:r w:rsidRPr="004436F8">
        <w:rPr>
          <w:sz w:val="24"/>
        </w:rPr>
        <w:t>VI</w:t>
      </w:r>
      <w:r w:rsidRPr="004436F8">
        <w:rPr>
          <w:sz w:val="24"/>
          <w:vertAlign w:val="superscript"/>
        </w:rPr>
        <w:t xml:space="preserve">e </w:t>
      </w:r>
      <w:r w:rsidRPr="004436F8">
        <w:rPr>
          <w:sz w:val="24"/>
        </w:rPr>
        <w:t>SECTION</w:t>
      </w:r>
    </w:p>
    <w:p w14:paraId="2B908836" w14:textId="77777777" w:rsidR="00B9662D" w:rsidRDefault="00B9662D" w:rsidP="00B9662D">
      <w:pPr>
        <w:spacing w:before="120" w:after="120"/>
        <w:ind w:firstLine="0"/>
        <w:jc w:val="center"/>
        <w:rPr>
          <w:rFonts w:eastAsia="Courier New"/>
          <w:b/>
          <w:bCs/>
        </w:rPr>
      </w:pPr>
    </w:p>
    <w:p w14:paraId="62C64A78" w14:textId="77777777" w:rsidR="00B9662D" w:rsidRPr="00A47EEF" w:rsidRDefault="00B9662D" w:rsidP="00B9662D">
      <w:pPr>
        <w:spacing w:before="120" w:after="120"/>
        <w:ind w:firstLine="0"/>
        <w:jc w:val="center"/>
      </w:pPr>
    </w:p>
    <w:p w14:paraId="6C23C90A" w14:textId="77777777" w:rsidR="00B9662D" w:rsidRPr="004436F8" w:rsidRDefault="00B9662D" w:rsidP="00B9662D">
      <w:pPr>
        <w:spacing w:before="120" w:after="120"/>
        <w:ind w:firstLine="0"/>
        <w:jc w:val="center"/>
        <w:rPr>
          <w:sz w:val="48"/>
        </w:rPr>
      </w:pPr>
      <w:r w:rsidRPr="004436F8">
        <w:rPr>
          <w:sz w:val="48"/>
        </w:rPr>
        <w:t>MARC BLOCH</w:t>
      </w:r>
    </w:p>
    <w:p w14:paraId="33E4709B" w14:textId="77777777" w:rsidR="00B9662D" w:rsidRDefault="00B9662D" w:rsidP="00B9662D">
      <w:pPr>
        <w:spacing w:before="120" w:after="120"/>
        <w:ind w:firstLine="0"/>
        <w:jc w:val="center"/>
      </w:pPr>
    </w:p>
    <w:p w14:paraId="5DC0BA68" w14:textId="77777777" w:rsidR="00B9662D" w:rsidRDefault="00B9662D" w:rsidP="00B9662D">
      <w:pPr>
        <w:spacing w:before="120" w:after="120"/>
        <w:ind w:firstLine="0"/>
        <w:jc w:val="center"/>
      </w:pPr>
    </w:p>
    <w:p w14:paraId="45BC084A" w14:textId="77777777" w:rsidR="00B9662D" w:rsidRPr="004436F8" w:rsidRDefault="00B9662D" w:rsidP="00B9662D">
      <w:pPr>
        <w:spacing w:before="120" w:after="120"/>
        <w:ind w:firstLine="0"/>
        <w:jc w:val="center"/>
        <w:rPr>
          <w:sz w:val="72"/>
        </w:rPr>
      </w:pPr>
      <w:r w:rsidRPr="004436F8">
        <w:rPr>
          <w:sz w:val="72"/>
        </w:rPr>
        <w:t>MÉLANGES</w:t>
      </w:r>
      <w:r>
        <w:rPr>
          <w:sz w:val="72"/>
        </w:rPr>
        <w:br/>
      </w:r>
      <w:r w:rsidRPr="004436F8">
        <w:rPr>
          <w:sz w:val="72"/>
        </w:rPr>
        <w:t>HISTOR</w:t>
      </w:r>
      <w:r w:rsidRPr="004436F8">
        <w:rPr>
          <w:sz w:val="72"/>
        </w:rPr>
        <w:t>I</w:t>
      </w:r>
      <w:r w:rsidRPr="004436F8">
        <w:rPr>
          <w:sz w:val="72"/>
        </w:rPr>
        <w:t>QUES</w:t>
      </w:r>
    </w:p>
    <w:p w14:paraId="5996D6EC" w14:textId="77777777" w:rsidR="00B9662D" w:rsidRPr="00A47EEF" w:rsidRDefault="00B9662D" w:rsidP="00B9662D">
      <w:pPr>
        <w:spacing w:before="120" w:after="120"/>
        <w:ind w:firstLine="0"/>
        <w:jc w:val="center"/>
      </w:pPr>
    </w:p>
    <w:p w14:paraId="0AC005FC" w14:textId="77777777" w:rsidR="00B9662D" w:rsidRPr="00A47EEF" w:rsidRDefault="00B9662D" w:rsidP="00B9662D">
      <w:pPr>
        <w:spacing w:before="120" w:after="120"/>
        <w:ind w:firstLine="0"/>
        <w:jc w:val="center"/>
      </w:pPr>
      <w:r w:rsidRPr="00A47EEF">
        <w:rPr>
          <w:rStyle w:val="Corpsdutexte3ItaliqueEspacement0pt"/>
          <w:rFonts w:eastAsia="Courier New"/>
        </w:rPr>
        <w:t>Préface de</w:t>
      </w:r>
      <w:r w:rsidRPr="00A47EEF">
        <w:rPr>
          <w:rStyle w:val="Corpsdutexte3ItaliqueEspacement0pt"/>
          <w:rFonts w:eastAsia="Courier New"/>
        </w:rPr>
        <w:br/>
      </w:r>
      <w:r w:rsidRPr="00A47EEF">
        <w:t>Charles-Edmond</w:t>
      </w:r>
      <w:r>
        <w:t xml:space="preserve"> PERRIN</w:t>
      </w:r>
    </w:p>
    <w:p w14:paraId="03B25DC1" w14:textId="77777777" w:rsidR="00B9662D" w:rsidRPr="00085769" w:rsidRDefault="00B9662D" w:rsidP="00B9662D">
      <w:pPr>
        <w:spacing w:before="120" w:after="120"/>
        <w:ind w:firstLine="0"/>
        <w:jc w:val="center"/>
        <w:rPr>
          <w:i/>
        </w:rPr>
      </w:pPr>
      <w:r w:rsidRPr="00085769">
        <w:rPr>
          <w:i/>
        </w:rPr>
        <w:t>Membre de l’Institut</w:t>
      </w:r>
    </w:p>
    <w:p w14:paraId="6CC37A58" w14:textId="77777777" w:rsidR="00B9662D" w:rsidRDefault="00B9662D" w:rsidP="00B9662D">
      <w:pPr>
        <w:spacing w:before="120" w:after="120"/>
        <w:ind w:firstLine="0"/>
        <w:jc w:val="center"/>
        <w:rPr>
          <w:rFonts w:eastAsia="Courier New"/>
          <w:b/>
          <w:bCs/>
        </w:rPr>
      </w:pPr>
    </w:p>
    <w:p w14:paraId="22397BE1" w14:textId="77777777" w:rsidR="00B9662D" w:rsidRDefault="00B9662D" w:rsidP="00B9662D">
      <w:pPr>
        <w:spacing w:before="120" w:after="120"/>
        <w:ind w:firstLine="0"/>
        <w:jc w:val="center"/>
        <w:rPr>
          <w:rFonts w:eastAsia="Courier New"/>
          <w:b/>
          <w:bCs/>
        </w:rPr>
      </w:pPr>
    </w:p>
    <w:p w14:paraId="12522E99" w14:textId="77777777" w:rsidR="00B9662D" w:rsidRPr="004436F8" w:rsidRDefault="00B9662D" w:rsidP="00B9662D">
      <w:pPr>
        <w:spacing w:before="120" w:after="120"/>
        <w:ind w:firstLine="0"/>
        <w:jc w:val="center"/>
        <w:rPr>
          <w:rFonts w:eastAsia="Courier New"/>
          <w:b/>
          <w:bCs/>
          <w:sz w:val="36"/>
        </w:rPr>
      </w:pPr>
      <w:r w:rsidRPr="004436F8">
        <w:rPr>
          <w:rFonts w:eastAsia="Courier New"/>
          <w:b/>
          <w:bCs/>
          <w:sz w:val="36"/>
        </w:rPr>
        <w:t>TOME I</w:t>
      </w:r>
      <w:r>
        <w:rPr>
          <w:rFonts w:eastAsia="Courier New"/>
          <w:b/>
          <w:bCs/>
          <w:sz w:val="36"/>
        </w:rPr>
        <w:t>I</w:t>
      </w:r>
    </w:p>
    <w:p w14:paraId="75D25E79" w14:textId="77777777" w:rsidR="00B9662D" w:rsidRDefault="00B9662D" w:rsidP="00B9662D">
      <w:pPr>
        <w:spacing w:before="120" w:after="120"/>
        <w:ind w:firstLine="0"/>
        <w:jc w:val="center"/>
      </w:pPr>
    </w:p>
    <w:p w14:paraId="227F3F52" w14:textId="77777777" w:rsidR="00B9662D" w:rsidRDefault="00B9662D" w:rsidP="00B9662D">
      <w:pPr>
        <w:spacing w:before="120" w:after="120"/>
        <w:ind w:firstLine="0"/>
        <w:jc w:val="center"/>
      </w:pPr>
    </w:p>
    <w:p w14:paraId="06ACEDE8" w14:textId="77777777" w:rsidR="00B9662D" w:rsidRDefault="00B9662D" w:rsidP="00B9662D">
      <w:pPr>
        <w:spacing w:before="120" w:after="120"/>
        <w:ind w:firstLine="0"/>
        <w:jc w:val="center"/>
      </w:pPr>
    </w:p>
    <w:p w14:paraId="332F8AD7" w14:textId="77777777" w:rsidR="00B9662D" w:rsidRDefault="00B9662D" w:rsidP="00B9662D">
      <w:pPr>
        <w:spacing w:before="120" w:after="120"/>
        <w:ind w:firstLine="0"/>
        <w:jc w:val="center"/>
      </w:pPr>
      <w:r w:rsidRPr="00A47EEF">
        <w:t>S. E. V. P. E. N.</w:t>
      </w:r>
    </w:p>
    <w:p w14:paraId="41EE1E5E" w14:textId="77777777" w:rsidR="00B9662D" w:rsidRPr="00A47EEF" w:rsidRDefault="00B9662D" w:rsidP="00B9662D">
      <w:pPr>
        <w:spacing w:before="120" w:after="120"/>
        <w:ind w:firstLine="0"/>
        <w:jc w:val="center"/>
      </w:pPr>
      <w:r>
        <w:t>13, rue du Four, Paris</w:t>
      </w:r>
    </w:p>
    <w:p w14:paraId="670FC1D4" w14:textId="77777777" w:rsidR="00B9662D" w:rsidRPr="00A47EEF" w:rsidRDefault="00B9662D" w:rsidP="00B9662D">
      <w:pPr>
        <w:spacing w:before="120" w:after="120"/>
        <w:ind w:firstLine="0"/>
        <w:jc w:val="center"/>
      </w:pPr>
      <w:r>
        <w:t>1</w:t>
      </w:r>
      <w:r w:rsidRPr="00A47EEF">
        <w:t>963</w:t>
      </w:r>
    </w:p>
    <w:p w14:paraId="628BDF5E" w14:textId="77777777" w:rsidR="00B9662D" w:rsidRDefault="00B9662D" w:rsidP="00B9662D">
      <w:pPr>
        <w:spacing w:before="120" w:after="120"/>
        <w:ind w:firstLine="0"/>
        <w:jc w:val="both"/>
      </w:pPr>
      <w:r w:rsidRPr="00A47EEF">
        <w:br w:type="page"/>
      </w:r>
    </w:p>
    <w:p w14:paraId="2B0514EE" w14:textId="77777777" w:rsidR="00B9662D" w:rsidRDefault="00B9662D" w:rsidP="00B9662D">
      <w:pPr>
        <w:spacing w:before="120" w:after="120"/>
        <w:ind w:firstLine="0"/>
        <w:jc w:val="both"/>
      </w:pPr>
    </w:p>
    <w:p w14:paraId="7D00CAFE" w14:textId="77777777" w:rsidR="00B9662D" w:rsidRDefault="00B9662D" w:rsidP="00B9662D">
      <w:pPr>
        <w:spacing w:before="120" w:after="120"/>
        <w:ind w:firstLine="0"/>
        <w:jc w:val="both"/>
      </w:pPr>
    </w:p>
    <w:p w14:paraId="22787EFE" w14:textId="77777777" w:rsidR="00B9662D" w:rsidRDefault="00B9662D" w:rsidP="00B9662D">
      <w:pPr>
        <w:spacing w:before="120" w:after="120"/>
        <w:ind w:firstLine="0"/>
        <w:jc w:val="both"/>
      </w:pPr>
    </w:p>
    <w:p w14:paraId="03AC8E66" w14:textId="77777777" w:rsidR="00B9662D" w:rsidRDefault="00B9662D" w:rsidP="00B9662D">
      <w:pPr>
        <w:spacing w:before="120" w:after="120"/>
        <w:ind w:firstLine="0"/>
        <w:jc w:val="both"/>
      </w:pPr>
    </w:p>
    <w:p w14:paraId="0DDF9468" w14:textId="77777777" w:rsidR="00B9662D" w:rsidRDefault="00B9662D" w:rsidP="00B9662D">
      <w:pPr>
        <w:spacing w:before="120" w:after="120"/>
        <w:ind w:firstLine="0"/>
        <w:jc w:val="both"/>
      </w:pPr>
    </w:p>
    <w:p w14:paraId="554D19D8" w14:textId="77777777" w:rsidR="00B9662D" w:rsidRDefault="00B9662D" w:rsidP="00B9662D">
      <w:pPr>
        <w:spacing w:before="120" w:after="120"/>
        <w:ind w:firstLine="0"/>
        <w:jc w:val="both"/>
      </w:pPr>
    </w:p>
    <w:p w14:paraId="09E558ED" w14:textId="77777777" w:rsidR="00B9662D" w:rsidRDefault="00B9662D" w:rsidP="00B9662D">
      <w:pPr>
        <w:spacing w:before="120" w:after="120"/>
        <w:ind w:firstLine="0"/>
        <w:jc w:val="both"/>
      </w:pPr>
    </w:p>
    <w:p w14:paraId="3E912D53" w14:textId="77777777" w:rsidR="00B9662D" w:rsidRDefault="00B9662D" w:rsidP="00B9662D">
      <w:pPr>
        <w:spacing w:before="120" w:after="120"/>
        <w:ind w:firstLine="0"/>
        <w:jc w:val="both"/>
      </w:pPr>
    </w:p>
    <w:p w14:paraId="6284AFF4" w14:textId="77777777" w:rsidR="00B9662D" w:rsidRDefault="00B9662D" w:rsidP="00B9662D">
      <w:pPr>
        <w:spacing w:before="120" w:after="120"/>
        <w:ind w:firstLine="0"/>
        <w:jc w:val="both"/>
      </w:pPr>
    </w:p>
    <w:p w14:paraId="175F0593" w14:textId="77777777" w:rsidR="00B9662D" w:rsidRDefault="00B9662D" w:rsidP="00B9662D">
      <w:pPr>
        <w:spacing w:before="120" w:after="120"/>
        <w:ind w:firstLine="0"/>
        <w:jc w:val="both"/>
      </w:pPr>
    </w:p>
    <w:p w14:paraId="33659B64" w14:textId="77777777" w:rsidR="00B9662D" w:rsidRDefault="00B9662D" w:rsidP="00B9662D">
      <w:pPr>
        <w:spacing w:before="120" w:after="120"/>
        <w:ind w:firstLine="0"/>
        <w:jc w:val="both"/>
      </w:pPr>
    </w:p>
    <w:p w14:paraId="5C070DA3" w14:textId="77777777" w:rsidR="00B9662D" w:rsidRDefault="00B9662D" w:rsidP="00B9662D">
      <w:pPr>
        <w:spacing w:before="120" w:after="120"/>
        <w:ind w:firstLine="0"/>
        <w:jc w:val="both"/>
      </w:pPr>
    </w:p>
    <w:p w14:paraId="15A31CE7" w14:textId="77777777" w:rsidR="00B9662D" w:rsidRDefault="00B9662D" w:rsidP="00B9662D">
      <w:pPr>
        <w:spacing w:before="120" w:after="120"/>
        <w:ind w:firstLine="0"/>
        <w:jc w:val="both"/>
      </w:pPr>
    </w:p>
    <w:p w14:paraId="2D9898F8" w14:textId="77777777" w:rsidR="00B9662D" w:rsidRDefault="00B9662D" w:rsidP="00B9662D">
      <w:pPr>
        <w:spacing w:before="120" w:after="120"/>
        <w:ind w:firstLine="0"/>
        <w:jc w:val="both"/>
      </w:pPr>
    </w:p>
    <w:p w14:paraId="52312DC5" w14:textId="77777777" w:rsidR="00B9662D" w:rsidRDefault="00B9662D" w:rsidP="00B9662D">
      <w:pPr>
        <w:spacing w:before="120" w:after="120"/>
        <w:ind w:firstLine="0"/>
        <w:jc w:val="both"/>
      </w:pPr>
    </w:p>
    <w:p w14:paraId="43B5C9F0" w14:textId="77777777" w:rsidR="00B9662D" w:rsidRDefault="00B9662D" w:rsidP="00B9662D">
      <w:pPr>
        <w:spacing w:before="120" w:after="120"/>
        <w:ind w:firstLine="0"/>
        <w:jc w:val="both"/>
      </w:pPr>
    </w:p>
    <w:p w14:paraId="3010E131" w14:textId="77777777" w:rsidR="00B9662D" w:rsidRDefault="00B9662D" w:rsidP="00B9662D">
      <w:pPr>
        <w:spacing w:before="120" w:after="120"/>
        <w:ind w:firstLine="0"/>
        <w:jc w:val="both"/>
      </w:pPr>
    </w:p>
    <w:p w14:paraId="129BE8F3" w14:textId="77777777" w:rsidR="00B9662D" w:rsidRDefault="00B9662D" w:rsidP="00B9662D">
      <w:pPr>
        <w:spacing w:before="120" w:after="120"/>
        <w:ind w:firstLine="0"/>
        <w:jc w:val="both"/>
      </w:pPr>
    </w:p>
    <w:p w14:paraId="02446515" w14:textId="77777777" w:rsidR="00B9662D" w:rsidRPr="00A47EEF" w:rsidRDefault="00B9662D" w:rsidP="00B9662D">
      <w:pPr>
        <w:spacing w:before="120" w:after="120"/>
        <w:ind w:firstLine="0"/>
        <w:jc w:val="both"/>
      </w:pPr>
    </w:p>
    <w:p w14:paraId="14E68FF4" w14:textId="77777777" w:rsidR="00B9662D" w:rsidRPr="00A47EEF" w:rsidRDefault="00B9662D" w:rsidP="00B9662D">
      <w:pPr>
        <w:spacing w:before="120" w:after="120"/>
        <w:ind w:firstLine="0"/>
        <w:jc w:val="center"/>
      </w:pPr>
      <w:r w:rsidRPr="00A47EEF">
        <w:t>© 1963 by École Pratique des Hautes Études</w:t>
      </w:r>
    </w:p>
    <w:p w14:paraId="6C2D3565" w14:textId="77777777" w:rsidR="00B9662D" w:rsidRPr="00A47EEF" w:rsidRDefault="00B9662D" w:rsidP="00B9662D">
      <w:pPr>
        <w:spacing w:before="120" w:after="120"/>
        <w:ind w:firstLine="0"/>
        <w:jc w:val="center"/>
      </w:pPr>
      <w:r w:rsidRPr="00A47EEF">
        <w:t>Tous droits de reproduction, de traduction et d’adaptation</w:t>
      </w:r>
      <w:r>
        <w:br/>
      </w:r>
      <w:r w:rsidRPr="00A47EEF">
        <w:t>r</w:t>
      </w:r>
      <w:r w:rsidRPr="00A47EEF">
        <w:t>é</w:t>
      </w:r>
      <w:r w:rsidRPr="00A47EEF">
        <w:t>servés pour tous pays</w:t>
      </w:r>
    </w:p>
    <w:p w14:paraId="1D66458D" w14:textId="77777777" w:rsidR="00B9662D" w:rsidRPr="00E07116" w:rsidRDefault="00B9662D" w:rsidP="00B9662D">
      <w:pPr>
        <w:pStyle w:val="p"/>
      </w:pPr>
      <w:r w:rsidRPr="00A47EEF">
        <w:br w:type="page"/>
      </w:r>
    </w:p>
    <w:p w14:paraId="7786EE3D" w14:textId="77777777" w:rsidR="00B9662D" w:rsidRPr="00E07116" w:rsidRDefault="00B9662D" w:rsidP="00B9662D">
      <w:pPr>
        <w:jc w:val="both"/>
      </w:pPr>
    </w:p>
    <w:p w14:paraId="0E6E86F6" w14:textId="77777777" w:rsidR="00B9662D" w:rsidRPr="00E07116" w:rsidRDefault="00B9662D" w:rsidP="00B9662D">
      <w:pPr>
        <w:jc w:val="both"/>
      </w:pPr>
    </w:p>
    <w:p w14:paraId="413C34F4" w14:textId="77777777" w:rsidR="00B9662D" w:rsidRPr="00E07116" w:rsidRDefault="00B9662D" w:rsidP="00B9662D">
      <w:pPr>
        <w:jc w:val="both"/>
      </w:pPr>
    </w:p>
    <w:p w14:paraId="3DC84736" w14:textId="77777777" w:rsidR="00B9662D" w:rsidRPr="00E07116" w:rsidRDefault="00B9662D" w:rsidP="00B9662D">
      <w:pPr>
        <w:jc w:val="both"/>
      </w:pPr>
    </w:p>
    <w:p w14:paraId="4760C2E6" w14:textId="77777777" w:rsidR="00B9662D" w:rsidRPr="00E07116" w:rsidRDefault="00B9662D" w:rsidP="00B9662D">
      <w:pPr>
        <w:jc w:val="both"/>
      </w:pPr>
    </w:p>
    <w:p w14:paraId="6621DB0D" w14:textId="77777777" w:rsidR="00B9662D" w:rsidRPr="00E07116" w:rsidRDefault="00B9662D" w:rsidP="00B9662D">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14:paraId="3BDD7856" w14:textId="77777777" w:rsidR="00B9662D" w:rsidRPr="00E07116" w:rsidRDefault="00B9662D" w:rsidP="00B9662D">
      <w:pPr>
        <w:pStyle w:val="NormalWeb"/>
        <w:spacing w:before="2" w:after="2"/>
        <w:jc w:val="both"/>
        <w:rPr>
          <w:rFonts w:ascii="Times New Roman" w:hAnsi="Times New Roman"/>
          <w:sz w:val="28"/>
        </w:rPr>
      </w:pPr>
    </w:p>
    <w:p w14:paraId="3A5E4353" w14:textId="77777777" w:rsidR="00B9662D" w:rsidRPr="00E07116" w:rsidRDefault="00B9662D" w:rsidP="00B9662D">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14:paraId="4D4996F3" w14:textId="77777777" w:rsidR="00B9662D" w:rsidRPr="00E07116" w:rsidRDefault="00B9662D" w:rsidP="00B9662D">
      <w:pPr>
        <w:jc w:val="both"/>
        <w:rPr>
          <w:szCs w:val="19"/>
        </w:rPr>
      </w:pPr>
    </w:p>
    <w:p w14:paraId="1B30D347" w14:textId="77777777" w:rsidR="00B9662D" w:rsidRPr="00E07116" w:rsidRDefault="00B9662D" w:rsidP="00B9662D">
      <w:pPr>
        <w:jc w:val="both"/>
        <w:rPr>
          <w:szCs w:val="19"/>
        </w:rPr>
      </w:pPr>
    </w:p>
    <w:p w14:paraId="3B260CF5" w14:textId="77777777" w:rsidR="00B9662D" w:rsidRPr="00E07116" w:rsidRDefault="00B9662D" w:rsidP="00B9662D">
      <w:pPr>
        <w:pStyle w:val="p"/>
      </w:pPr>
      <w:r w:rsidRPr="00E07116">
        <w:br w:type="page"/>
      </w:r>
      <w:r>
        <w:lastRenderedPageBreak/>
        <w:t>[1105]</w:t>
      </w:r>
    </w:p>
    <w:p w14:paraId="3DCBD564" w14:textId="77777777" w:rsidR="00B9662D" w:rsidRDefault="00B9662D" w:rsidP="00B9662D">
      <w:pPr>
        <w:jc w:val="both"/>
      </w:pPr>
    </w:p>
    <w:p w14:paraId="4FC6349E" w14:textId="77777777" w:rsidR="00B9662D" w:rsidRDefault="00B9662D" w:rsidP="00B9662D">
      <w:pPr>
        <w:jc w:val="both"/>
      </w:pPr>
    </w:p>
    <w:p w14:paraId="01DD82B2" w14:textId="77777777" w:rsidR="00B9662D" w:rsidRDefault="00B9662D" w:rsidP="00B9662D">
      <w:pPr>
        <w:jc w:val="both"/>
      </w:pPr>
    </w:p>
    <w:p w14:paraId="29EB8C5B" w14:textId="77777777" w:rsidR="00B9662D" w:rsidRPr="00F54CC7" w:rsidRDefault="00B9662D" w:rsidP="00B9662D">
      <w:pPr>
        <w:spacing w:after="120"/>
        <w:ind w:firstLine="0"/>
        <w:jc w:val="center"/>
        <w:rPr>
          <w:sz w:val="24"/>
        </w:rPr>
      </w:pPr>
      <w:bookmarkStart w:id="0" w:name="tdm"/>
      <w:r>
        <w:rPr>
          <w:b/>
          <w:sz w:val="24"/>
        </w:rPr>
        <w:t>Mélanges historiques.</w:t>
      </w:r>
      <w:r>
        <w:rPr>
          <w:b/>
          <w:sz w:val="24"/>
        </w:rPr>
        <w:br/>
        <w:t>Tome II.</w:t>
      </w:r>
    </w:p>
    <w:p w14:paraId="4C74408C" w14:textId="77777777" w:rsidR="00B9662D" w:rsidRPr="00384B20" w:rsidRDefault="00B9662D" w:rsidP="00B9662D">
      <w:pPr>
        <w:pStyle w:val="planchest"/>
      </w:pPr>
      <w:r w:rsidRPr="00384B20">
        <w:t>Table des matières</w:t>
      </w:r>
      <w:bookmarkEnd w:id="0"/>
    </w:p>
    <w:p w14:paraId="22DD2243" w14:textId="77777777" w:rsidR="00B9662D" w:rsidRDefault="00B9662D" w:rsidP="00B9662D">
      <w:pPr>
        <w:ind w:firstLine="0"/>
      </w:pPr>
    </w:p>
    <w:p w14:paraId="1878314B" w14:textId="77777777" w:rsidR="00B9662D" w:rsidRDefault="00B9662D" w:rsidP="00B9662D">
      <w:pPr>
        <w:ind w:firstLine="0"/>
      </w:pPr>
    </w:p>
    <w:p w14:paraId="5607D2A0" w14:textId="77777777" w:rsidR="00B9662D" w:rsidRPr="00E07116" w:rsidRDefault="00B9662D" w:rsidP="00B9662D">
      <w:pPr>
        <w:ind w:firstLine="0"/>
      </w:pPr>
    </w:p>
    <w:p w14:paraId="05282FCD" w14:textId="77777777" w:rsidR="00B9662D" w:rsidRDefault="00B9662D" w:rsidP="00B9662D">
      <w:pPr>
        <w:ind w:firstLine="0"/>
      </w:pPr>
      <w:hyperlink w:anchor="Melanges_t1_preface" w:history="1">
        <w:r w:rsidRPr="00522B44">
          <w:rPr>
            <w:rStyle w:val="Hyperlien"/>
            <w:rFonts w:eastAsia="Courier New"/>
            <w:sz w:val="24"/>
          </w:rPr>
          <w:t>PRÉFACE</w:t>
        </w:r>
      </w:hyperlink>
      <w:r>
        <w:rPr>
          <w:rFonts w:eastAsia="Courier New"/>
          <w:sz w:val="24"/>
        </w:rPr>
        <w:t xml:space="preserve"> (tome I) de Charles-Edmond Perrin [vii]</w:t>
      </w:r>
    </w:p>
    <w:p w14:paraId="71BE7F9F" w14:textId="77777777" w:rsidR="00B9662D" w:rsidRPr="008B2E22" w:rsidRDefault="00B9662D" w:rsidP="00B9662D">
      <w:pPr>
        <w:ind w:left="540" w:hanging="540"/>
        <w:rPr>
          <w:sz w:val="24"/>
        </w:rPr>
      </w:pPr>
    </w:p>
    <w:p w14:paraId="3432E0C9" w14:textId="77777777" w:rsidR="00B9662D" w:rsidRPr="008B2E22" w:rsidRDefault="00B9662D" w:rsidP="00B9662D">
      <w:pPr>
        <w:ind w:firstLine="0"/>
        <w:jc w:val="center"/>
        <w:rPr>
          <w:sz w:val="24"/>
        </w:rPr>
      </w:pPr>
      <w:r>
        <w:rPr>
          <w:b/>
          <w:color w:val="FF0000"/>
          <w:sz w:val="24"/>
        </w:rPr>
        <w:t>Sixième</w:t>
      </w:r>
      <w:r w:rsidRPr="00C2219D">
        <w:rPr>
          <w:b/>
          <w:color w:val="FF0000"/>
          <w:sz w:val="24"/>
        </w:rPr>
        <w:t xml:space="preserve"> partie</w:t>
      </w:r>
      <w:r w:rsidRPr="008B2E22">
        <w:rPr>
          <w:sz w:val="24"/>
        </w:rPr>
        <w:t>.</w:t>
      </w:r>
      <w:r w:rsidRPr="008B2E22">
        <w:rPr>
          <w:sz w:val="24"/>
        </w:rPr>
        <w:br/>
      </w:r>
      <w:hyperlink w:anchor="Melanges_t2_pt_6" w:history="1">
        <w:r w:rsidRPr="00522B44">
          <w:rPr>
            <w:rStyle w:val="Hyperlien"/>
            <w:sz w:val="24"/>
          </w:rPr>
          <w:t>Vie rurale</w:t>
        </w:r>
      </w:hyperlink>
      <w:r>
        <w:rPr>
          <w:sz w:val="24"/>
        </w:rPr>
        <w:t xml:space="preserve"> [563</w:t>
      </w:r>
      <w:r w:rsidRPr="008B2E22">
        <w:rPr>
          <w:sz w:val="24"/>
        </w:rPr>
        <w:t>]</w:t>
      </w:r>
    </w:p>
    <w:p w14:paraId="1EE659C3" w14:textId="77777777" w:rsidR="00B9662D" w:rsidRPr="008B2E22" w:rsidRDefault="00B9662D" w:rsidP="00B9662D">
      <w:pPr>
        <w:ind w:left="540" w:hanging="540"/>
        <w:rPr>
          <w:sz w:val="24"/>
        </w:rPr>
      </w:pPr>
    </w:p>
    <w:p w14:paraId="060E400C"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hyperlink w:anchor="Melanges_t2_pt_6_chap_I" w:history="1">
        <w:r w:rsidRPr="00522B44">
          <w:rPr>
            <w:rStyle w:val="Hyperlien"/>
            <w:rFonts w:eastAsia="Courier New"/>
            <w:sz w:val="24"/>
          </w:rPr>
          <w:t>Les plans parcellaires en France</w:t>
        </w:r>
      </w:hyperlink>
      <w:r>
        <w:rPr>
          <w:rFonts w:eastAsia="Courier New"/>
          <w:sz w:val="24"/>
        </w:rPr>
        <w:t xml:space="preserve"> [</w:t>
      </w:r>
      <w:r w:rsidRPr="003B18D6">
        <w:rPr>
          <w:rFonts w:eastAsia="Courier New"/>
          <w:sz w:val="24"/>
        </w:rPr>
        <w:t>565</w:t>
      </w:r>
      <w:r>
        <w:rPr>
          <w:rFonts w:eastAsia="Courier New"/>
          <w:sz w:val="24"/>
        </w:rPr>
        <w:t>]</w:t>
      </w:r>
    </w:p>
    <w:p w14:paraId="6BBBB44B" w14:textId="77777777" w:rsidR="00B9662D" w:rsidRDefault="00B9662D" w:rsidP="00B9662D">
      <w:pPr>
        <w:spacing w:before="60" w:after="60"/>
        <w:ind w:left="900" w:hanging="360"/>
        <w:jc w:val="both"/>
        <w:rPr>
          <w:rFonts w:eastAsia="Courier New"/>
          <w:sz w:val="24"/>
        </w:rPr>
      </w:pPr>
      <w:r>
        <w:rPr>
          <w:rFonts w:eastAsia="Courier New"/>
          <w:sz w:val="24"/>
        </w:rPr>
        <w:t>1.</w:t>
      </w:r>
      <w:r>
        <w:rPr>
          <w:rFonts w:eastAsia="Courier New"/>
          <w:sz w:val="24"/>
        </w:rPr>
        <w:tab/>
      </w:r>
      <w:hyperlink w:anchor="Melanges_t2_pt_6_chap_I_1" w:history="1">
        <w:r w:rsidRPr="00303D92">
          <w:rPr>
            <w:rStyle w:val="Hyperlien"/>
            <w:rFonts w:eastAsia="Courier New"/>
            <w:sz w:val="24"/>
          </w:rPr>
          <w:t>Le plan parcellaire document historique</w:t>
        </w:r>
      </w:hyperlink>
      <w:r>
        <w:rPr>
          <w:rFonts w:eastAsia="Courier New"/>
          <w:sz w:val="24"/>
        </w:rPr>
        <w:t xml:space="preserve"> [565]</w:t>
      </w:r>
    </w:p>
    <w:p w14:paraId="1B009A55" w14:textId="77777777" w:rsidR="00B9662D" w:rsidRDefault="00B9662D" w:rsidP="00B9662D">
      <w:pPr>
        <w:spacing w:before="60" w:after="60"/>
        <w:ind w:left="900" w:hanging="360"/>
        <w:jc w:val="both"/>
        <w:rPr>
          <w:rFonts w:eastAsia="Courier New"/>
          <w:sz w:val="24"/>
        </w:rPr>
      </w:pPr>
      <w:r>
        <w:rPr>
          <w:rFonts w:eastAsia="Courier New"/>
          <w:sz w:val="24"/>
        </w:rPr>
        <w:t>2.</w:t>
      </w:r>
      <w:r>
        <w:rPr>
          <w:rFonts w:eastAsia="Courier New"/>
          <w:sz w:val="24"/>
        </w:rPr>
        <w:tab/>
      </w:r>
      <w:hyperlink w:anchor="Melanges_t2_pt_6_chap_I_2" w:history="1">
        <w:r w:rsidRPr="00303D92">
          <w:rPr>
            <w:rStyle w:val="Hyperlien"/>
            <w:rFonts w:eastAsia="Courier New"/>
            <w:sz w:val="24"/>
          </w:rPr>
          <w:t>Coup d’œil sur les plans parcellaires français : le cadastre</w:t>
        </w:r>
      </w:hyperlink>
      <w:r>
        <w:rPr>
          <w:rFonts w:eastAsia="Courier New"/>
          <w:sz w:val="24"/>
        </w:rPr>
        <w:t xml:space="preserve"> [568]</w:t>
      </w:r>
    </w:p>
    <w:p w14:paraId="012D76BD" w14:textId="77777777" w:rsidR="00B9662D" w:rsidRDefault="00B9662D" w:rsidP="00B9662D">
      <w:pPr>
        <w:spacing w:before="60" w:after="60"/>
        <w:ind w:left="900" w:hanging="360"/>
        <w:jc w:val="both"/>
        <w:rPr>
          <w:rFonts w:eastAsia="Courier New"/>
          <w:sz w:val="24"/>
        </w:rPr>
      </w:pPr>
      <w:r>
        <w:rPr>
          <w:rFonts w:eastAsia="Courier New"/>
          <w:sz w:val="24"/>
        </w:rPr>
        <w:t>3.</w:t>
      </w:r>
      <w:r>
        <w:rPr>
          <w:rFonts w:eastAsia="Courier New"/>
          <w:sz w:val="24"/>
        </w:rPr>
        <w:tab/>
      </w:r>
      <w:hyperlink w:anchor="Melanges_t2_pt_6_chap_I_3" w:history="1">
        <w:r w:rsidRPr="00303D92">
          <w:rPr>
            <w:rStyle w:val="Hyperlien"/>
            <w:rFonts w:eastAsia="Courier New"/>
            <w:sz w:val="24"/>
          </w:rPr>
          <w:t>Les plans parcellaires anciens, en France : plans seigneuriaux</w:t>
        </w:r>
      </w:hyperlink>
      <w:r>
        <w:rPr>
          <w:rFonts w:eastAsia="Courier New"/>
          <w:sz w:val="24"/>
        </w:rPr>
        <w:t xml:space="preserve"> [571]</w:t>
      </w:r>
    </w:p>
    <w:p w14:paraId="4830EB8E" w14:textId="77777777" w:rsidR="00B9662D" w:rsidRDefault="00B9662D" w:rsidP="00B9662D">
      <w:pPr>
        <w:spacing w:before="60" w:after="60"/>
        <w:ind w:left="540" w:hanging="540"/>
        <w:jc w:val="both"/>
        <w:rPr>
          <w:rFonts w:eastAsia="Courier New"/>
          <w:sz w:val="24"/>
        </w:rPr>
      </w:pPr>
    </w:p>
    <w:p w14:paraId="17C97796"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hyperlink w:anchor="Melanges_t2_pt_6_chap_II" w:history="1">
        <w:r w:rsidRPr="00303D92">
          <w:rPr>
            <w:rStyle w:val="Hyperlien"/>
            <w:rFonts w:eastAsia="Courier New"/>
            <w:sz w:val="24"/>
          </w:rPr>
          <w:t>Les plans</w:t>
        </w:r>
        <w:r w:rsidRPr="00303D92">
          <w:rPr>
            <w:rStyle w:val="Hyperlien"/>
            <w:rFonts w:eastAsia="Courier New"/>
            <w:sz w:val="24"/>
          </w:rPr>
          <w:t xml:space="preserve"> </w:t>
        </w:r>
        <w:r w:rsidRPr="00303D92">
          <w:rPr>
            <w:rStyle w:val="Hyperlien"/>
            <w:rFonts w:eastAsia="Courier New"/>
            <w:sz w:val="24"/>
          </w:rPr>
          <w:t>cadastraux de l’Ancien Régime</w:t>
        </w:r>
      </w:hyperlink>
      <w:r>
        <w:rPr>
          <w:rFonts w:eastAsia="Courier New"/>
          <w:sz w:val="24"/>
        </w:rPr>
        <w:t xml:space="preserve"> [</w:t>
      </w:r>
      <w:r w:rsidRPr="003B18D6">
        <w:rPr>
          <w:rFonts w:eastAsia="Courier New"/>
          <w:sz w:val="24"/>
        </w:rPr>
        <w:t>577</w:t>
      </w:r>
      <w:r>
        <w:rPr>
          <w:rFonts w:eastAsia="Courier New"/>
          <w:sz w:val="24"/>
        </w:rPr>
        <w:t>]</w:t>
      </w:r>
    </w:p>
    <w:p w14:paraId="26FD81FF"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6_chap_II_I" w:history="1">
        <w:r w:rsidRPr="00303D92">
          <w:rPr>
            <w:rStyle w:val="Hyperlien"/>
            <w:rFonts w:eastAsia="Courier New"/>
            <w:sz w:val="24"/>
          </w:rPr>
          <w:t>Plans et compoix</w:t>
        </w:r>
      </w:hyperlink>
      <w:r>
        <w:rPr>
          <w:rFonts w:eastAsia="Courier New"/>
          <w:sz w:val="24"/>
        </w:rPr>
        <w:t xml:space="preserve"> [577]</w:t>
      </w:r>
    </w:p>
    <w:p w14:paraId="6670D892"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6_chap_II_II" w:history="1">
        <w:r w:rsidRPr="00303D92">
          <w:rPr>
            <w:rStyle w:val="Hyperlien"/>
            <w:rFonts w:eastAsia="Courier New"/>
            <w:sz w:val="24"/>
          </w:rPr>
          <w:t>Table «proportionnelle» ettaille «tarifée»</w:t>
        </w:r>
      </w:hyperlink>
      <w:r>
        <w:rPr>
          <w:rFonts w:eastAsia="Courier New"/>
          <w:sz w:val="24"/>
        </w:rPr>
        <w:t xml:space="preserve"> [578]</w:t>
      </w:r>
    </w:p>
    <w:p w14:paraId="12313714" w14:textId="77777777" w:rsidR="00B9662D" w:rsidRDefault="00B9662D" w:rsidP="00B9662D">
      <w:pPr>
        <w:spacing w:before="60" w:after="60"/>
        <w:ind w:left="900" w:hanging="360"/>
        <w:jc w:val="both"/>
        <w:rPr>
          <w:rFonts w:eastAsia="Courier New"/>
          <w:sz w:val="24"/>
        </w:rPr>
      </w:pPr>
      <w:r>
        <w:rPr>
          <w:rFonts w:eastAsia="Courier New"/>
          <w:sz w:val="24"/>
        </w:rPr>
        <w:t>III.</w:t>
      </w:r>
      <w:r>
        <w:rPr>
          <w:rFonts w:eastAsia="Courier New"/>
          <w:sz w:val="24"/>
        </w:rPr>
        <w:tab/>
      </w:r>
      <w:hyperlink w:anchor="Melanges_t2_pt_6_chap_II_III" w:history="1">
        <w:r w:rsidRPr="00303D92">
          <w:rPr>
            <w:rStyle w:val="Hyperlien"/>
            <w:rFonts w:eastAsia="Courier New"/>
            <w:sz w:val="24"/>
          </w:rPr>
          <w:t>Taille «abonnée» et plans dans la généralité de Limoges</w:t>
        </w:r>
      </w:hyperlink>
      <w:r>
        <w:rPr>
          <w:rFonts w:eastAsia="Courier New"/>
          <w:sz w:val="24"/>
        </w:rPr>
        <w:t xml:space="preserve"> [581]</w:t>
      </w:r>
    </w:p>
    <w:p w14:paraId="051AAC2C" w14:textId="77777777" w:rsidR="00B9662D" w:rsidRDefault="00B9662D" w:rsidP="00B9662D">
      <w:pPr>
        <w:spacing w:before="60" w:after="60"/>
        <w:ind w:left="900" w:hanging="360"/>
        <w:jc w:val="both"/>
        <w:rPr>
          <w:rFonts w:eastAsia="Courier New"/>
          <w:sz w:val="24"/>
        </w:rPr>
      </w:pPr>
      <w:r>
        <w:rPr>
          <w:rFonts w:eastAsia="Courier New"/>
          <w:sz w:val="24"/>
        </w:rPr>
        <w:t>IV.</w:t>
      </w:r>
      <w:r>
        <w:rPr>
          <w:rFonts w:eastAsia="Courier New"/>
          <w:sz w:val="24"/>
        </w:rPr>
        <w:tab/>
      </w:r>
      <w:hyperlink w:anchor="Melanges_t2_pt_6_chap_II_IV" w:history="1">
        <w:r w:rsidRPr="00303D92">
          <w:rPr>
            <w:rStyle w:val="Hyperlien"/>
            <w:rFonts w:eastAsia="Courier New"/>
            <w:sz w:val="24"/>
          </w:rPr>
          <w:t>Les arpentements d’Auvergne</w:t>
        </w:r>
      </w:hyperlink>
      <w:r>
        <w:rPr>
          <w:rFonts w:eastAsia="Courier New"/>
          <w:sz w:val="24"/>
        </w:rPr>
        <w:t xml:space="preserve"> [584]</w:t>
      </w:r>
    </w:p>
    <w:p w14:paraId="6B4BC669" w14:textId="77777777" w:rsidR="00B9662D" w:rsidRDefault="00B9662D" w:rsidP="00B9662D">
      <w:pPr>
        <w:spacing w:before="60" w:after="60"/>
        <w:ind w:left="900" w:hanging="360"/>
        <w:jc w:val="both"/>
        <w:rPr>
          <w:rFonts w:eastAsia="Courier New"/>
          <w:sz w:val="24"/>
        </w:rPr>
      </w:pPr>
      <w:r>
        <w:rPr>
          <w:rFonts w:eastAsia="Courier New"/>
          <w:sz w:val="24"/>
        </w:rPr>
        <w:t>V.</w:t>
      </w:r>
      <w:r>
        <w:rPr>
          <w:rFonts w:eastAsia="Courier New"/>
          <w:sz w:val="24"/>
        </w:rPr>
        <w:tab/>
      </w:r>
      <w:hyperlink w:anchor="Melanges_t2_pt_6_chap_II_V" w:history="1">
        <w:r w:rsidRPr="00303D92">
          <w:rPr>
            <w:rStyle w:val="Hyperlien"/>
            <w:rFonts w:eastAsia="Courier New"/>
            <w:sz w:val="24"/>
          </w:rPr>
          <w:t>Les plans de la taille tarifée dans la généralité de Paris</w:t>
        </w:r>
      </w:hyperlink>
      <w:r>
        <w:rPr>
          <w:rFonts w:eastAsia="Courier New"/>
          <w:sz w:val="24"/>
        </w:rPr>
        <w:t xml:space="preserve"> [591]</w:t>
      </w:r>
    </w:p>
    <w:p w14:paraId="55078D59" w14:textId="77777777" w:rsidR="00B9662D" w:rsidRDefault="00B9662D" w:rsidP="00B9662D">
      <w:pPr>
        <w:spacing w:before="60" w:after="60"/>
        <w:ind w:left="540" w:hanging="540"/>
        <w:jc w:val="both"/>
        <w:rPr>
          <w:rFonts w:eastAsia="Courier New"/>
          <w:sz w:val="24"/>
        </w:rPr>
      </w:pPr>
    </w:p>
    <w:p w14:paraId="1DC67C0E"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hyperlink w:anchor="Melanges_t2_pt_6_chap_III" w:history="1">
        <w:r w:rsidRPr="00C61373">
          <w:rPr>
            <w:rStyle w:val="Hyperlien"/>
            <w:rFonts w:eastAsia="Courier New"/>
            <w:sz w:val="24"/>
          </w:rPr>
          <w:t>La lutte pour l’individualisme agraire dans la France du XVIII</w:t>
        </w:r>
        <w:r w:rsidRPr="00C61373">
          <w:rPr>
            <w:rStyle w:val="Hyperlien"/>
            <w:rFonts w:eastAsia="Courier New"/>
            <w:sz w:val="24"/>
            <w:vertAlign w:val="superscript"/>
          </w:rPr>
          <w:t>e</w:t>
        </w:r>
        <w:r w:rsidRPr="00C61373">
          <w:rPr>
            <w:rStyle w:val="Hyperlien"/>
            <w:rFonts w:eastAsia="Courier New"/>
            <w:sz w:val="24"/>
          </w:rPr>
          <w:t xml:space="preserve"> siècle</w:t>
        </w:r>
      </w:hyperlink>
      <w:r>
        <w:rPr>
          <w:rFonts w:eastAsia="Courier New"/>
          <w:sz w:val="24"/>
        </w:rPr>
        <w:t xml:space="preserve"> [593]</w:t>
      </w:r>
    </w:p>
    <w:p w14:paraId="6291EE10"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6_chap_III_I" w:history="1">
        <w:r w:rsidRPr="00C61373">
          <w:rPr>
            <w:rStyle w:val="Hyperlien"/>
            <w:rFonts w:eastAsia="Courier New"/>
            <w:sz w:val="24"/>
          </w:rPr>
          <w:t>Les servitudes collectives et leurs admersaires</w:t>
        </w:r>
      </w:hyperlink>
      <w:r>
        <w:rPr>
          <w:rFonts w:eastAsia="Courier New"/>
          <w:sz w:val="24"/>
        </w:rPr>
        <w:t xml:space="preserve"> [593]</w:t>
      </w:r>
    </w:p>
    <w:p w14:paraId="1366D8DF"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6_chap_III_II" w:history="1">
        <w:r w:rsidRPr="00C61373">
          <w:rPr>
            <w:rStyle w:val="Hyperlien"/>
            <w:rFonts w:eastAsia="Courier New"/>
            <w:sz w:val="24"/>
          </w:rPr>
          <w:t>L’œuvre des pouvoirs locaux</w:t>
        </w:r>
      </w:hyperlink>
      <w:r>
        <w:rPr>
          <w:rFonts w:eastAsia="Courier New"/>
          <w:sz w:val="24"/>
        </w:rPr>
        <w:t xml:space="preserve"> [600]</w:t>
      </w:r>
    </w:p>
    <w:p w14:paraId="6B9A9C8E" w14:textId="77777777" w:rsidR="00B9662D" w:rsidRDefault="00B9662D" w:rsidP="00B9662D">
      <w:pPr>
        <w:spacing w:before="60" w:after="60"/>
        <w:ind w:left="900" w:hanging="360"/>
        <w:jc w:val="both"/>
        <w:rPr>
          <w:rFonts w:eastAsia="Courier New"/>
          <w:sz w:val="24"/>
        </w:rPr>
      </w:pPr>
      <w:r>
        <w:rPr>
          <w:rFonts w:eastAsia="Courier New"/>
          <w:sz w:val="24"/>
        </w:rPr>
        <w:t>III.</w:t>
      </w:r>
      <w:r>
        <w:rPr>
          <w:rFonts w:eastAsia="Courier New"/>
          <w:sz w:val="24"/>
        </w:rPr>
        <w:tab/>
      </w:r>
      <w:hyperlink w:anchor="Melanges_t2_pt_6_chap_III_III" w:history="1">
        <w:r w:rsidRPr="00C61373">
          <w:rPr>
            <w:rStyle w:val="Hyperlien"/>
            <w:rFonts w:eastAsia="Courier New"/>
            <w:sz w:val="24"/>
          </w:rPr>
          <w:t>L’œuvre de Bertin et de Trudaine</w:t>
        </w:r>
      </w:hyperlink>
      <w:r>
        <w:rPr>
          <w:rFonts w:eastAsia="Courier New"/>
          <w:sz w:val="24"/>
        </w:rPr>
        <w:t xml:space="preserve"> [611]</w:t>
      </w:r>
    </w:p>
    <w:p w14:paraId="2574E09C" w14:textId="77777777" w:rsidR="00B9662D" w:rsidRDefault="00B9662D" w:rsidP="00B9662D">
      <w:pPr>
        <w:tabs>
          <w:tab w:val="left" w:pos="1060"/>
        </w:tabs>
        <w:spacing w:before="60" w:after="60"/>
        <w:ind w:left="900" w:hanging="360"/>
        <w:jc w:val="both"/>
        <w:rPr>
          <w:rFonts w:eastAsia="Courier New"/>
          <w:sz w:val="24"/>
        </w:rPr>
      </w:pPr>
      <w:r>
        <w:rPr>
          <w:rFonts w:eastAsia="Courier New"/>
          <w:sz w:val="24"/>
        </w:rPr>
        <w:t>IV.</w:t>
      </w:r>
      <w:r>
        <w:rPr>
          <w:rFonts w:eastAsia="Courier New"/>
          <w:sz w:val="24"/>
        </w:rPr>
        <w:tab/>
      </w:r>
      <w:hyperlink w:anchor="Melanges_t2_pt_6_chap_III_IV" w:history="1">
        <w:r w:rsidRPr="00C61373">
          <w:rPr>
            <w:rStyle w:val="Hyperlien"/>
            <w:rFonts w:eastAsia="Courier New"/>
            <w:sz w:val="24"/>
          </w:rPr>
          <w:t>L’œuvre de d’Ormesson; les Éditys des Clos</w:t>
        </w:r>
      </w:hyperlink>
      <w:r>
        <w:rPr>
          <w:rFonts w:eastAsia="Courier New"/>
          <w:sz w:val="24"/>
        </w:rPr>
        <w:t xml:space="preserve"> [616]</w:t>
      </w:r>
    </w:p>
    <w:p w14:paraId="0FD97F3E" w14:textId="77777777" w:rsidR="00B9662D" w:rsidRDefault="00B9662D" w:rsidP="00B9662D">
      <w:pPr>
        <w:tabs>
          <w:tab w:val="left" w:pos="1060"/>
        </w:tabs>
        <w:spacing w:before="60" w:after="60"/>
        <w:ind w:left="900" w:hanging="360"/>
        <w:jc w:val="both"/>
        <w:rPr>
          <w:rFonts w:eastAsia="Courier New"/>
          <w:sz w:val="24"/>
        </w:rPr>
      </w:pPr>
      <w:r>
        <w:rPr>
          <w:rFonts w:eastAsia="Courier New"/>
          <w:sz w:val="24"/>
        </w:rPr>
        <w:t>V.</w:t>
      </w:r>
      <w:r>
        <w:rPr>
          <w:rFonts w:eastAsia="Courier New"/>
          <w:sz w:val="24"/>
        </w:rPr>
        <w:tab/>
      </w:r>
      <w:hyperlink w:anchor="Melanges_t2_pt_6_chap_III_V" w:history="1">
        <w:r w:rsidRPr="00EA1B5E">
          <w:rPr>
            <w:rStyle w:val="Hyperlien"/>
            <w:rFonts w:eastAsia="Courier New"/>
            <w:sz w:val="24"/>
          </w:rPr>
          <w:t>La fin du régime; Bertin et Vergennes</w:t>
        </w:r>
      </w:hyperlink>
      <w:r>
        <w:rPr>
          <w:rFonts w:eastAsia="Courier New"/>
          <w:sz w:val="24"/>
        </w:rPr>
        <w:t xml:space="preserve"> [634]</w:t>
      </w:r>
    </w:p>
    <w:p w14:paraId="25F31457" w14:textId="77777777" w:rsidR="00B9662D" w:rsidRDefault="00B9662D" w:rsidP="00B9662D">
      <w:pPr>
        <w:tabs>
          <w:tab w:val="left" w:pos="1060"/>
        </w:tabs>
        <w:spacing w:before="60" w:after="60"/>
        <w:ind w:left="900" w:hanging="360"/>
        <w:jc w:val="both"/>
        <w:rPr>
          <w:rFonts w:eastAsia="Courier New"/>
          <w:sz w:val="24"/>
        </w:rPr>
      </w:pPr>
    </w:p>
    <w:p w14:paraId="79600486"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hyperlink w:anchor="Melanges_t2_pt_6_chap_IV" w:history="1">
        <w:r w:rsidRPr="00684072">
          <w:rPr>
            <w:rStyle w:val="Hyperlien"/>
            <w:rFonts w:eastAsia="Courier New"/>
            <w:sz w:val="24"/>
          </w:rPr>
          <w:t>Les problèmes du peuplement beauceron</w:t>
        </w:r>
      </w:hyperlink>
      <w:r>
        <w:rPr>
          <w:rFonts w:eastAsia="Courier New"/>
          <w:sz w:val="24"/>
        </w:rPr>
        <w:t xml:space="preserve"> [</w:t>
      </w:r>
      <w:r w:rsidRPr="003B18D6">
        <w:rPr>
          <w:rFonts w:eastAsia="Courier New"/>
          <w:sz w:val="24"/>
        </w:rPr>
        <w:t>638</w:t>
      </w:r>
      <w:r>
        <w:rPr>
          <w:rFonts w:eastAsia="Courier New"/>
          <w:sz w:val="24"/>
        </w:rPr>
        <w:t>]</w:t>
      </w:r>
    </w:p>
    <w:p w14:paraId="739A8E59" w14:textId="77777777" w:rsidR="00B9662D" w:rsidRPr="003B18D6" w:rsidRDefault="00B9662D" w:rsidP="00B9662D">
      <w:pPr>
        <w:spacing w:before="60" w:after="60"/>
        <w:ind w:left="540" w:hanging="540"/>
        <w:rPr>
          <w:rFonts w:eastAsia="Courier New"/>
          <w:sz w:val="24"/>
        </w:rPr>
      </w:pPr>
      <w:r>
        <w:rPr>
          <w:rFonts w:eastAsia="Courier New"/>
          <w:sz w:val="24"/>
        </w:rPr>
        <w:t>V.</w:t>
      </w:r>
      <w:r>
        <w:rPr>
          <w:rFonts w:eastAsia="Courier New"/>
          <w:sz w:val="24"/>
        </w:rPr>
        <w:tab/>
      </w:r>
      <w:hyperlink w:anchor="Melanges_t2_pt_6_chap_V" w:history="1">
        <w:r w:rsidRPr="00684072">
          <w:rPr>
            <w:rStyle w:val="Hyperlien"/>
            <w:rFonts w:eastAsia="Courier New"/>
            <w:sz w:val="24"/>
          </w:rPr>
          <w:t>Le problème des régimes agraires</w:t>
        </w:r>
      </w:hyperlink>
      <w:r>
        <w:rPr>
          <w:rFonts w:eastAsia="Courier New"/>
          <w:sz w:val="24"/>
        </w:rPr>
        <w:t xml:space="preserve"> [648]</w:t>
      </w:r>
    </w:p>
    <w:p w14:paraId="0B53EE56" w14:textId="77777777" w:rsidR="00B9662D" w:rsidRDefault="00B9662D" w:rsidP="00B9662D">
      <w:pPr>
        <w:spacing w:before="240" w:after="60"/>
        <w:ind w:left="540" w:hanging="540"/>
        <w:jc w:val="both"/>
        <w:rPr>
          <w:rFonts w:eastAsia="Courier New"/>
          <w:sz w:val="24"/>
        </w:rPr>
      </w:pPr>
      <w:r>
        <w:rPr>
          <w:rFonts w:eastAsia="Courier New"/>
          <w:sz w:val="24"/>
        </w:rPr>
        <w:lastRenderedPageBreak/>
        <w:t>VI.</w:t>
      </w:r>
      <w:r>
        <w:rPr>
          <w:rFonts w:eastAsia="Courier New"/>
          <w:sz w:val="24"/>
        </w:rPr>
        <w:tab/>
      </w:r>
      <w:hyperlink w:anchor="Melanges_t2_pt_6_chap_VI" w:history="1">
        <w:r w:rsidRPr="00684072">
          <w:rPr>
            <w:rStyle w:val="Hyperlien"/>
            <w:rFonts w:eastAsia="Courier New"/>
            <w:sz w:val="24"/>
          </w:rPr>
          <w:t>De la grande exploitation domaniale à la rente du sol : un problème et un projet d’enquête</w:t>
        </w:r>
      </w:hyperlink>
      <w:r>
        <w:rPr>
          <w:rFonts w:eastAsia="Courier New"/>
          <w:sz w:val="24"/>
        </w:rPr>
        <w:t xml:space="preserve"> [670]</w:t>
      </w:r>
    </w:p>
    <w:p w14:paraId="2DEB126A" w14:textId="77777777" w:rsidR="00B9662D" w:rsidRPr="003B18D6" w:rsidRDefault="00B9662D" w:rsidP="00B9662D">
      <w:pPr>
        <w:spacing w:before="60" w:after="60"/>
        <w:ind w:firstLine="0"/>
        <w:jc w:val="both"/>
        <w:rPr>
          <w:rFonts w:eastAsia="Courier New"/>
          <w:sz w:val="24"/>
        </w:rPr>
      </w:pPr>
    </w:p>
    <w:p w14:paraId="2E2E36B0" w14:textId="77777777" w:rsidR="00B9662D" w:rsidRPr="00922268" w:rsidRDefault="00B9662D" w:rsidP="00B9662D">
      <w:pPr>
        <w:spacing w:before="60" w:after="60"/>
        <w:ind w:firstLine="0"/>
        <w:jc w:val="center"/>
        <w:rPr>
          <w:rFonts w:eastAsia="Courier New"/>
          <w:b/>
          <w:color w:val="FF0000"/>
          <w:sz w:val="24"/>
        </w:rPr>
      </w:pPr>
      <w:r w:rsidRPr="00922268">
        <w:rPr>
          <w:rFonts w:eastAsia="Courier New"/>
          <w:b/>
          <w:color w:val="FF0000"/>
          <w:sz w:val="24"/>
        </w:rPr>
        <w:t>Septième Partie</w:t>
      </w:r>
    </w:p>
    <w:p w14:paraId="3DF4D109" w14:textId="77777777" w:rsidR="00B9662D" w:rsidRPr="003B18D6" w:rsidRDefault="00B9662D" w:rsidP="00B9662D">
      <w:pPr>
        <w:spacing w:before="60" w:after="60"/>
        <w:ind w:firstLine="0"/>
        <w:jc w:val="center"/>
        <w:rPr>
          <w:rFonts w:eastAsia="Courier New"/>
          <w:sz w:val="24"/>
        </w:rPr>
      </w:pPr>
      <w:hyperlink w:anchor="Melanges_t2_pt_7" w:history="1">
        <w:r w:rsidRPr="007B5AAB">
          <w:rPr>
            <w:rStyle w:val="Hyperlien"/>
            <w:rFonts w:eastAsia="Courier New"/>
            <w:sz w:val="24"/>
          </w:rPr>
          <w:t>GÉOGRAPHIE HISTORIQUE :</w:t>
        </w:r>
        <w:r w:rsidRPr="007B5AAB">
          <w:rPr>
            <w:rStyle w:val="Hyperlien"/>
            <w:rFonts w:eastAsia="Courier New"/>
            <w:sz w:val="24"/>
          </w:rPr>
          <w:br/>
          <w:t>L’ILE-DE-</w:t>
        </w:r>
        <w:r w:rsidRPr="007B5AAB">
          <w:rPr>
            <w:rStyle w:val="Hyperlien"/>
            <w:rFonts w:eastAsia="Courier New"/>
            <w:caps/>
            <w:sz w:val="24"/>
          </w:rPr>
          <w:t>France</w:t>
        </w:r>
      </w:hyperlink>
      <w:r>
        <w:rPr>
          <w:rFonts w:eastAsia="Courier New"/>
          <w:sz w:val="24"/>
        </w:rPr>
        <w:t xml:space="preserve"> [675]</w:t>
      </w:r>
    </w:p>
    <w:p w14:paraId="74040A9A" w14:textId="77777777" w:rsidR="00B9662D" w:rsidRDefault="00B9662D" w:rsidP="00B9662D">
      <w:pPr>
        <w:spacing w:before="60" w:after="60"/>
        <w:ind w:firstLine="0"/>
        <w:jc w:val="both"/>
        <w:rPr>
          <w:rFonts w:eastAsia="Courier New"/>
          <w:sz w:val="24"/>
        </w:rPr>
      </w:pPr>
    </w:p>
    <w:p w14:paraId="5A17A8F5"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hyperlink w:anchor="Melanges_t2_pt_7_chap_I" w:history="1">
        <w:r w:rsidRPr="007B5AAB">
          <w:rPr>
            <w:rStyle w:val="Hyperlien"/>
            <w:rFonts w:eastAsia="Courier New"/>
            <w:sz w:val="24"/>
          </w:rPr>
          <w:t>Notes sur les sources de l’histoire de l’Ile-de-France au Moyen Âge</w:t>
        </w:r>
      </w:hyperlink>
      <w:r>
        <w:rPr>
          <w:rFonts w:eastAsia="Courier New"/>
          <w:sz w:val="24"/>
        </w:rPr>
        <w:t xml:space="preserve"> [</w:t>
      </w:r>
      <w:r w:rsidRPr="003B18D6">
        <w:rPr>
          <w:rFonts w:eastAsia="Courier New"/>
          <w:sz w:val="24"/>
        </w:rPr>
        <w:t>677</w:t>
      </w:r>
      <w:r>
        <w:rPr>
          <w:rFonts w:eastAsia="Courier New"/>
          <w:sz w:val="24"/>
        </w:rPr>
        <w:t>]</w:t>
      </w:r>
    </w:p>
    <w:p w14:paraId="58B9B850"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7_chap_I_I" w:history="1">
        <w:r w:rsidRPr="007B5AAB">
          <w:rPr>
            <w:rStyle w:val="Hyperlien"/>
            <w:rFonts w:eastAsia="Courier New"/>
            <w:sz w:val="24"/>
          </w:rPr>
          <w:t>Les archives et les cartulaires de l’Abbaye de Chelles</w:t>
        </w:r>
      </w:hyperlink>
      <w:r>
        <w:rPr>
          <w:rFonts w:eastAsia="Courier New"/>
          <w:sz w:val="24"/>
        </w:rPr>
        <w:t xml:space="preserve"> [677]</w:t>
      </w:r>
    </w:p>
    <w:p w14:paraId="67E0B1D2"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7_chap_I_II" w:history="1">
        <w:r w:rsidRPr="007B5AAB">
          <w:rPr>
            <w:rStyle w:val="Hyperlien"/>
            <w:rFonts w:eastAsia="Courier New"/>
            <w:sz w:val="24"/>
          </w:rPr>
          <w:t>Les cartulaires des Sires de Bouville ; une enquête sur les droits du Roi à Chelles en 1303</w:t>
        </w:r>
      </w:hyperlink>
      <w:r>
        <w:rPr>
          <w:rFonts w:eastAsia="Courier New"/>
          <w:sz w:val="24"/>
        </w:rPr>
        <w:t xml:space="preserve"> [683]</w:t>
      </w:r>
    </w:p>
    <w:p w14:paraId="3212C08C" w14:textId="77777777" w:rsidR="00B9662D"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hyperlink w:anchor="Melanges_t2_pt_7_chap_II" w:history="1">
        <w:r w:rsidRPr="00605591">
          <w:rPr>
            <w:rStyle w:val="Hyperlien"/>
            <w:rFonts w:eastAsia="Courier New"/>
            <w:sz w:val="24"/>
          </w:rPr>
          <w:t>L’Ile-de-France (Les pays autour de Paris)</w:t>
        </w:r>
      </w:hyperlink>
      <w:r>
        <w:rPr>
          <w:rFonts w:eastAsia="Courier New"/>
          <w:sz w:val="24"/>
        </w:rPr>
        <w:t xml:space="preserve"> [</w:t>
      </w:r>
      <w:r w:rsidRPr="003B18D6">
        <w:rPr>
          <w:rFonts w:eastAsia="Courier New"/>
          <w:sz w:val="24"/>
        </w:rPr>
        <w:t>692</w:t>
      </w:r>
      <w:r>
        <w:rPr>
          <w:rFonts w:eastAsia="Courier New"/>
          <w:sz w:val="24"/>
        </w:rPr>
        <w:t>]</w:t>
      </w:r>
    </w:p>
    <w:p w14:paraId="14718CFC"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7_chap_II_I" w:history="1">
        <w:r w:rsidRPr="00605591">
          <w:rPr>
            <w:rStyle w:val="Hyperlien"/>
            <w:rFonts w:eastAsia="Courier New"/>
            <w:sz w:val="24"/>
          </w:rPr>
          <w:t>La région</w:t>
        </w:r>
      </w:hyperlink>
      <w:r>
        <w:rPr>
          <w:rFonts w:eastAsia="Courier New"/>
          <w:sz w:val="24"/>
        </w:rPr>
        <w:t xml:space="preserve"> [692]</w:t>
      </w:r>
    </w:p>
    <w:p w14:paraId="633A5605" w14:textId="77777777" w:rsidR="00B9662D" w:rsidRDefault="00B9662D" w:rsidP="00B9662D">
      <w:pPr>
        <w:spacing w:before="60" w:after="60"/>
        <w:ind w:left="1260" w:hanging="360"/>
        <w:jc w:val="both"/>
        <w:rPr>
          <w:rFonts w:eastAsia="Courier New"/>
          <w:sz w:val="24"/>
        </w:rPr>
      </w:pPr>
      <w:r>
        <w:rPr>
          <w:rFonts w:eastAsia="Courier New"/>
          <w:sz w:val="24"/>
        </w:rPr>
        <w:t>1.</w:t>
      </w:r>
      <w:r>
        <w:rPr>
          <w:rFonts w:eastAsia="Courier New"/>
          <w:sz w:val="24"/>
        </w:rPr>
        <w:tab/>
      </w:r>
      <w:hyperlink w:anchor="Melanges_t2_pt_7_chap_II_I_1" w:history="1">
        <w:r w:rsidRPr="0008022A">
          <w:rPr>
            <w:rStyle w:val="Hyperlien"/>
            <w:rFonts w:eastAsia="Courier New"/>
            <w:sz w:val="24"/>
          </w:rPr>
          <w:t>Le nom d’Ile-de-France</w:t>
        </w:r>
      </w:hyperlink>
      <w:r>
        <w:rPr>
          <w:rFonts w:eastAsia="Courier New"/>
          <w:sz w:val="24"/>
        </w:rPr>
        <w:t xml:space="preserve"> [692]</w:t>
      </w:r>
    </w:p>
    <w:p w14:paraId="5002D9AE" w14:textId="77777777" w:rsidR="00B9662D" w:rsidRDefault="00B9662D" w:rsidP="00B9662D">
      <w:pPr>
        <w:spacing w:before="60" w:after="60"/>
        <w:ind w:left="1260" w:hanging="360"/>
        <w:jc w:val="both"/>
        <w:rPr>
          <w:rFonts w:eastAsia="Courier New"/>
          <w:sz w:val="24"/>
        </w:rPr>
      </w:pPr>
      <w:r>
        <w:rPr>
          <w:rFonts w:eastAsia="Courier New"/>
          <w:sz w:val="24"/>
        </w:rPr>
        <w:t>2.</w:t>
      </w:r>
      <w:r>
        <w:rPr>
          <w:rFonts w:eastAsia="Courier New"/>
          <w:sz w:val="24"/>
        </w:rPr>
        <w:tab/>
      </w:r>
      <w:hyperlink w:anchor="Melanges_t2_pt_7_chap_II_I_2" w:history="1">
        <w:r w:rsidRPr="00A865B8">
          <w:rPr>
            <w:rStyle w:val="Hyperlien"/>
            <w:rFonts w:eastAsia="Courier New"/>
            <w:sz w:val="24"/>
          </w:rPr>
          <w:t>Les caractères géographiques de l’Ile-de-France</w:t>
        </w:r>
      </w:hyperlink>
      <w:r>
        <w:rPr>
          <w:rFonts w:eastAsia="Courier New"/>
          <w:sz w:val="24"/>
        </w:rPr>
        <w:t xml:space="preserve"> [703]</w:t>
      </w:r>
    </w:p>
    <w:p w14:paraId="1865B637"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7_chap_II_II" w:history="1">
        <w:r w:rsidRPr="00A865B8">
          <w:rPr>
            <w:rStyle w:val="Hyperlien"/>
            <w:rFonts w:eastAsia="Courier New"/>
            <w:sz w:val="24"/>
          </w:rPr>
          <w:t>L’histoire locale, dans l’Ile-de-France, avant le XIX</w:t>
        </w:r>
        <w:r w:rsidRPr="00A865B8">
          <w:rPr>
            <w:rStyle w:val="Hyperlien"/>
            <w:rFonts w:eastAsia="Courier New"/>
            <w:sz w:val="24"/>
            <w:vertAlign w:val="superscript"/>
          </w:rPr>
          <w:t>e</w:t>
        </w:r>
        <w:r w:rsidRPr="00A865B8">
          <w:rPr>
            <w:rStyle w:val="Hyperlien"/>
            <w:rFonts w:eastAsia="Courier New"/>
            <w:sz w:val="24"/>
          </w:rPr>
          <w:t xml:space="preserve"> siècle</w:t>
        </w:r>
      </w:hyperlink>
      <w:r>
        <w:rPr>
          <w:rFonts w:eastAsia="Courier New"/>
          <w:sz w:val="24"/>
        </w:rPr>
        <w:t xml:space="preserve"> [714]</w:t>
      </w:r>
    </w:p>
    <w:p w14:paraId="110C12D5" w14:textId="77777777" w:rsidR="00B9662D" w:rsidRDefault="00B9662D" w:rsidP="00B9662D">
      <w:pPr>
        <w:spacing w:before="60" w:after="60"/>
        <w:ind w:left="900" w:hanging="360"/>
        <w:jc w:val="both"/>
        <w:rPr>
          <w:rFonts w:eastAsia="Courier New"/>
          <w:sz w:val="24"/>
        </w:rPr>
      </w:pPr>
      <w:r>
        <w:rPr>
          <w:rFonts w:eastAsia="Courier New"/>
          <w:sz w:val="24"/>
        </w:rPr>
        <w:t>III.</w:t>
      </w:r>
      <w:r>
        <w:rPr>
          <w:rFonts w:eastAsia="Courier New"/>
          <w:sz w:val="24"/>
        </w:rPr>
        <w:tab/>
      </w:r>
      <w:hyperlink w:anchor="Melanges_t2_pt_7_chap_II_III" w:history="1">
        <w:r w:rsidRPr="003301CB">
          <w:rPr>
            <w:rStyle w:val="Hyperlien"/>
            <w:rFonts w:eastAsia="Courier New"/>
            <w:sz w:val="24"/>
          </w:rPr>
          <w:t>L’histoire locale, dans l’Ile-de-France, à l’époque  contemporaine</w:t>
        </w:r>
      </w:hyperlink>
      <w:r>
        <w:rPr>
          <w:rFonts w:eastAsia="Courier New"/>
          <w:sz w:val="24"/>
        </w:rPr>
        <w:t xml:space="preserve"> [725]</w:t>
      </w:r>
    </w:p>
    <w:p w14:paraId="173B275C" w14:textId="77777777" w:rsidR="00B9662D" w:rsidRDefault="00B9662D" w:rsidP="00B9662D">
      <w:pPr>
        <w:spacing w:before="60" w:after="60"/>
        <w:ind w:left="1260" w:hanging="360"/>
        <w:jc w:val="both"/>
        <w:rPr>
          <w:rFonts w:eastAsia="Courier New"/>
          <w:sz w:val="24"/>
        </w:rPr>
      </w:pPr>
      <w:r>
        <w:rPr>
          <w:rFonts w:eastAsia="Courier New"/>
          <w:sz w:val="24"/>
        </w:rPr>
        <w:t>I.</w:t>
      </w:r>
      <w:r>
        <w:rPr>
          <w:rFonts w:eastAsia="Courier New"/>
          <w:sz w:val="24"/>
        </w:rPr>
        <w:tab/>
      </w:r>
      <w:hyperlink w:anchor="Melanges_t2_pt_7_chap_II_III_I" w:history="1">
        <w:r w:rsidRPr="003301CB">
          <w:rPr>
            <w:rStyle w:val="Hyperlien"/>
            <w:rFonts w:eastAsia="Courier New"/>
            <w:sz w:val="24"/>
          </w:rPr>
          <w:t>L’organisation du travail</w:t>
        </w:r>
      </w:hyperlink>
      <w:r>
        <w:rPr>
          <w:rFonts w:eastAsia="Courier New"/>
          <w:sz w:val="24"/>
        </w:rPr>
        <w:t xml:space="preserve"> [725]</w:t>
      </w:r>
    </w:p>
    <w:p w14:paraId="5361ADD1" w14:textId="77777777" w:rsidR="00B9662D" w:rsidRDefault="00B9662D" w:rsidP="00B9662D">
      <w:pPr>
        <w:spacing w:before="60" w:after="60"/>
        <w:ind w:left="1260" w:hanging="360"/>
        <w:jc w:val="both"/>
        <w:rPr>
          <w:rFonts w:eastAsia="Courier New"/>
          <w:sz w:val="24"/>
        </w:rPr>
      </w:pPr>
      <w:r>
        <w:rPr>
          <w:rFonts w:eastAsia="Courier New"/>
          <w:sz w:val="24"/>
        </w:rPr>
        <w:tab/>
      </w:r>
      <w:hyperlink w:anchor="Melanges_t2_pt_7_chap_II_III_appendice" w:history="1">
        <w:r w:rsidRPr="003301CB">
          <w:rPr>
            <w:rStyle w:val="Hyperlien"/>
            <w:rFonts w:eastAsia="Courier New"/>
            <w:sz w:val="24"/>
          </w:rPr>
          <w:t>Appendice</w:t>
        </w:r>
      </w:hyperlink>
      <w:r>
        <w:rPr>
          <w:rFonts w:eastAsia="Courier New"/>
          <w:sz w:val="24"/>
        </w:rPr>
        <w:t xml:space="preserve"> [734]</w:t>
      </w:r>
    </w:p>
    <w:p w14:paraId="65560A02" w14:textId="77777777" w:rsidR="00B9662D" w:rsidRDefault="00B9662D" w:rsidP="00B9662D">
      <w:pPr>
        <w:spacing w:before="60" w:after="60"/>
        <w:ind w:left="900" w:hanging="360"/>
        <w:jc w:val="both"/>
        <w:rPr>
          <w:rFonts w:eastAsia="Courier New"/>
          <w:sz w:val="24"/>
        </w:rPr>
      </w:pPr>
      <w:r>
        <w:rPr>
          <w:rFonts w:eastAsia="Courier New"/>
          <w:sz w:val="24"/>
        </w:rPr>
        <w:t>IV.</w:t>
      </w:r>
      <w:r>
        <w:rPr>
          <w:rFonts w:eastAsia="Courier New"/>
          <w:sz w:val="24"/>
        </w:rPr>
        <w:tab/>
      </w:r>
      <w:hyperlink w:anchor="Melanges_t2_pt_7_chap_II_IV" w:history="1">
        <w:r w:rsidRPr="003301CB">
          <w:rPr>
            <w:rStyle w:val="Hyperlien"/>
            <w:rFonts w:eastAsia="Courier New"/>
            <w:sz w:val="24"/>
          </w:rPr>
          <w:t>L’histoire locale dans l’Ile-de-France, à l’époque contemporaine</w:t>
        </w:r>
      </w:hyperlink>
      <w:r>
        <w:rPr>
          <w:rFonts w:eastAsia="Courier New"/>
          <w:sz w:val="24"/>
        </w:rPr>
        <w:t xml:space="preserve"> [735]</w:t>
      </w:r>
    </w:p>
    <w:p w14:paraId="30CADBD3" w14:textId="77777777" w:rsidR="00B9662D" w:rsidRDefault="00B9662D" w:rsidP="00B9662D">
      <w:pPr>
        <w:spacing w:before="60" w:after="60"/>
        <w:ind w:left="1260" w:hanging="360"/>
        <w:jc w:val="both"/>
        <w:rPr>
          <w:rFonts w:eastAsia="Courier New"/>
          <w:sz w:val="24"/>
        </w:rPr>
      </w:pPr>
      <w:r>
        <w:rPr>
          <w:rFonts w:eastAsia="Courier New"/>
          <w:sz w:val="24"/>
        </w:rPr>
        <w:t>II.</w:t>
      </w:r>
      <w:r>
        <w:rPr>
          <w:rFonts w:eastAsia="Courier New"/>
          <w:sz w:val="24"/>
        </w:rPr>
        <w:tab/>
      </w:r>
      <w:hyperlink w:anchor="Melanges_t2_pt_7_chap_II_IV_II" w:history="1">
        <w:r w:rsidRPr="00CB4EDA">
          <w:rPr>
            <w:rStyle w:val="Hyperlien"/>
            <w:rFonts w:eastAsia="Courier New"/>
            <w:sz w:val="24"/>
          </w:rPr>
          <w:t>Les problèmes et les résultats</w:t>
        </w:r>
      </w:hyperlink>
      <w:r>
        <w:rPr>
          <w:rFonts w:eastAsia="Courier New"/>
          <w:sz w:val="24"/>
        </w:rPr>
        <w:t xml:space="preserve"> [735]</w:t>
      </w:r>
    </w:p>
    <w:p w14:paraId="715FF31C" w14:textId="77777777" w:rsidR="00B9662D" w:rsidRDefault="00B9662D" w:rsidP="00B9662D">
      <w:pPr>
        <w:spacing w:before="60" w:after="60"/>
        <w:ind w:left="1260" w:hanging="360"/>
        <w:jc w:val="both"/>
        <w:rPr>
          <w:rFonts w:eastAsia="Courier New"/>
          <w:sz w:val="24"/>
        </w:rPr>
      </w:pPr>
    </w:p>
    <w:p w14:paraId="08FE61A0" w14:textId="77777777" w:rsidR="00B9662D" w:rsidRDefault="00B9662D" w:rsidP="00B9662D">
      <w:pPr>
        <w:spacing w:before="60" w:after="60"/>
        <w:ind w:left="900" w:hanging="360"/>
        <w:jc w:val="both"/>
        <w:rPr>
          <w:rFonts w:eastAsia="Courier New"/>
          <w:sz w:val="24"/>
        </w:rPr>
      </w:pPr>
      <w:r>
        <w:rPr>
          <w:rFonts w:eastAsia="Courier New"/>
          <w:sz w:val="24"/>
        </w:rPr>
        <w:t>V.</w:t>
      </w:r>
      <w:r>
        <w:rPr>
          <w:rFonts w:eastAsia="Courier New"/>
          <w:sz w:val="24"/>
        </w:rPr>
        <w:tab/>
      </w:r>
      <w:hyperlink w:anchor="Melanges_t2_pt_7_chap_II_V" w:history="1">
        <w:r w:rsidRPr="0000216B">
          <w:rPr>
            <w:rStyle w:val="Hyperlien"/>
            <w:rFonts w:eastAsia="Courier New"/>
            <w:sz w:val="24"/>
          </w:rPr>
          <w:t>Conclusions</w:t>
        </w:r>
      </w:hyperlink>
      <w:r>
        <w:rPr>
          <w:rFonts w:eastAsia="Courier New"/>
          <w:sz w:val="24"/>
        </w:rPr>
        <w:t xml:space="preserve"> [785]</w:t>
      </w:r>
    </w:p>
    <w:p w14:paraId="21F3F28C" w14:textId="77777777" w:rsidR="00B9662D" w:rsidRPr="003B18D6" w:rsidRDefault="00B9662D" w:rsidP="00B9662D">
      <w:pPr>
        <w:spacing w:before="60" w:after="60"/>
        <w:ind w:firstLine="0"/>
        <w:jc w:val="both"/>
        <w:rPr>
          <w:rFonts w:eastAsia="Courier New"/>
          <w:sz w:val="24"/>
        </w:rPr>
      </w:pPr>
    </w:p>
    <w:p w14:paraId="26AC99E9" w14:textId="77777777" w:rsidR="00B9662D" w:rsidRPr="00922268" w:rsidRDefault="00B9662D" w:rsidP="00B9662D">
      <w:pPr>
        <w:spacing w:before="60" w:after="60"/>
        <w:ind w:firstLine="0"/>
        <w:jc w:val="center"/>
        <w:rPr>
          <w:rFonts w:eastAsia="Courier New"/>
          <w:b/>
          <w:color w:val="FF0000"/>
          <w:sz w:val="24"/>
        </w:rPr>
      </w:pPr>
      <w:r w:rsidRPr="00922268">
        <w:rPr>
          <w:rFonts w:eastAsia="Courier New"/>
          <w:b/>
          <w:color w:val="FF0000"/>
          <w:sz w:val="24"/>
        </w:rPr>
        <w:t>Huitième Partie</w:t>
      </w:r>
    </w:p>
    <w:p w14:paraId="46994A33" w14:textId="77777777" w:rsidR="00B9662D" w:rsidRPr="003B18D6" w:rsidRDefault="00B9662D" w:rsidP="00B9662D">
      <w:pPr>
        <w:spacing w:before="60" w:after="60"/>
        <w:ind w:firstLine="0"/>
        <w:jc w:val="center"/>
        <w:rPr>
          <w:rFonts w:eastAsia="Courier New"/>
          <w:sz w:val="24"/>
        </w:rPr>
      </w:pPr>
      <w:hyperlink w:anchor="Melanges_t2_pt_8" w:history="1">
        <w:r w:rsidRPr="00C23E77">
          <w:rPr>
            <w:rStyle w:val="Hyperlien"/>
            <w:rFonts w:eastAsia="Courier New"/>
            <w:sz w:val="24"/>
          </w:rPr>
          <w:t>HISTOIRE DE L’ÉCONOMIE ET DES TECHNIQUES</w:t>
        </w:r>
      </w:hyperlink>
      <w:r>
        <w:rPr>
          <w:rFonts w:eastAsia="Courier New"/>
          <w:sz w:val="24"/>
        </w:rPr>
        <w:t xml:space="preserve"> [789]</w:t>
      </w:r>
    </w:p>
    <w:p w14:paraId="01C0561B" w14:textId="77777777" w:rsidR="00B9662D" w:rsidRDefault="00B9662D" w:rsidP="00B9662D">
      <w:pPr>
        <w:spacing w:before="60" w:after="60"/>
        <w:ind w:firstLine="0"/>
        <w:jc w:val="both"/>
        <w:rPr>
          <w:rFonts w:eastAsia="Courier New"/>
          <w:sz w:val="24"/>
        </w:rPr>
      </w:pPr>
    </w:p>
    <w:p w14:paraId="4AB3F98A"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hyperlink w:anchor="Melanges_t2_pt_8_chap_I" w:history="1">
        <w:r w:rsidRPr="00B82124">
          <w:rPr>
            <w:rStyle w:val="Hyperlien"/>
            <w:rFonts w:eastAsia="Courier New"/>
            <w:sz w:val="24"/>
          </w:rPr>
          <w:t>Les transformations des techniques comme problème de psychologie colle</w:t>
        </w:r>
        <w:r w:rsidRPr="00B82124">
          <w:rPr>
            <w:rStyle w:val="Hyperlien"/>
            <w:rFonts w:eastAsia="Courier New"/>
            <w:sz w:val="24"/>
          </w:rPr>
          <w:t>c</w:t>
        </w:r>
        <w:r w:rsidRPr="00B82124">
          <w:rPr>
            <w:rStyle w:val="Hyperlien"/>
            <w:rFonts w:eastAsia="Courier New"/>
            <w:sz w:val="24"/>
          </w:rPr>
          <w:t>tive</w:t>
        </w:r>
      </w:hyperlink>
      <w:r>
        <w:rPr>
          <w:rFonts w:eastAsia="Courier New"/>
          <w:sz w:val="24"/>
        </w:rPr>
        <w:t xml:space="preserve"> [</w:t>
      </w:r>
      <w:r w:rsidRPr="003B18D6">
        <w:rPr>
          <w:rFonts w:eastAsia="Courier New"/>
          <w:sz w:val="24"/>
        </w:rPr>
        <w:t>791</w:t>
      </w:r>
      <w:r>
        <w:rPr>
          <w:rFonts w:eastAsia="Courier New"/>
          <w:sz w:val="24"/>
        </w:rPr>
        <w:t>]</w:t>
      </w:r>
    </w:p>
    <w:p w14:paraId="7578F1A8"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hyperlink w:anchor="Melanges_t2_pt_8_chap_II" w:history="1">
        <w:r w:rsidRPr="00694859">
          <w:rPr>
            <w:rStyle w:val="Hyperlien"/>
            <w:rFonts w:eastAsia="Courier New"/>
            <w:sz w:val="24"/>
          </w:rPr>
          <w:t>Avènement et conquêtes du moulin à eau</w:t>
        </w:r>
      </w:hyperlink>
      <w:r>
        <w:rPr>
          <w:rFonts w:eastAsia="Courier New"/>
          <w:sz w:val="24"/>
        </w:rPr>
        <w:t xml:space="preserve"> [</w:t>
      </w:r>
      <w:r w:rsidRPr="003B18D6">
        <w:rPr>
          <w:rFonts w:eastAsia="Courier New"/>
          <w:sz w:val="24"/>
        </w:rPr>
        <w:t>800</w:t>
      </w:r>
      <w:r>
        <w:rPr>
          <w:rFonts w:eastAsia="Courier New"/>
          <w:sz w:val="24"/>
        </w:rPr>
        <w:t>]</w:t>
      </w:r>
    </w:p>
    <w:p w14:paraId="3BDBB8A9"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hyperlink w:anchor="Melanges_t2_pt_8_chap_III" w:history="1">
        <w:r w:rsidRPr="00694859">
          <w:rPr>
            <w:rStyle w:val="Hyperlien"/>
            <w:rFonts w:eastAsia="Courier New"/>
            <w:sz w:val="24"/>
          </w:rPr>
          <w:t>Les inventions médiévales</w:t>
        </w:r>
      </w:hyperlink>
      <w:r>
        <w:rPr>
          <w:rFonts w:eastAsia="Courier New"/>
          <w:sz w:val="24"/>
        </w:rPr>
        <w:t xml:space="preserve"> [</w:t>
      </w:r>
      <w:r w:rsidRPr="003B18D6">
        <w:rPr>
          <w:rFonts w:eastAsia="Courier New"/>
          <w:sz w:val="24"/>
        </w:rPr>
        <w:t>822</w:t>
      </w:r>
      <w:r>
        <w:rPr>
          <w:rFonts w:eastAsia="Courier New"/>
          <w:sz w:val="24"/>
        </w:rPr>
        <w:t>]</w:t>
      </w:r>
    </w:p>
    <w:p w14:paraId="7748042E"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hyperlink w:anchor="Melanges_t2_pt_8_chap_IV" w:history="1">
        <w:r w:rsidRPr="00A81C2C">
          <w:rPr>
            <w:rStyle w:val="Hyperlien"/>
            <w:rFonts w:eastAsia="Courier New"/>
            <w:sz w:val="24"/>
          </w:rPr>
          <w:t>Technique et évolution sociale : réflexions d’un historien</w:t>
        </w:r>
      </w:hyperlink>
      <w:r>
        <w:rPr>
          <w:rFonts w:eastAsia="Courier New"/>
          <w:sz w:val="24"/>
        </w:rPr>
        <w:t xml:space="preserve"> [</w:t>
      </w:r>
      <w:r w:rsidRPr="003B18D6">
        <w:rPr>
          <w:rFonts w:eastAsia="Courier New"/>
          <w:sz w:val="24"/>
        </w:rPr>
        <w:t>833</w:t>
      </w:r>
      <w:r>
        <w:rPr>
          <w:rFonts w:eastAsia="Courier New"/>
          <w:sz w:val="24"/>
        </w:rPr>
        <w:t>]</w:t>
      </w:r>
    </w:p>
    <w:p w14:paraId="20D56248" w14:textId="77777777" w:rsidR="00B9662D" w:rsidRPr="003B18D6" w:rsidRDefault="00B9662D" w:rsidP="00B9662D">
      <w:pPr>
        <w:spacing w:before="60" w:after="60"/>
        <w:ind w:left="540" w:hanging="540"/>
        <w:jc w:val="both"/>
        <w:rPr>
          <w:rFonts w:eastAsia="Courier New"/>
          <w:sz w:val="24"/>
        </w:rPr>
      </w:pPr>
      <w:r>
        <w:rPr>
          <w:rFonts w:eastAsia="Courier New"/>
          <w:sz w:val="24"/>
        </w:rPr>
        <w:t>V.</w:t>
      </w:r>
      <w:r>
        <w:rPr>
          <w:rFonts w:eastAsia="Courier New"/>
          <w:sz w:val="24"/>
        </w:rPr>
        <w:tab/>
      </w:r>
      <w:hyperlink w:anchor="Melanges_t2_pt_8_chap_V" w:history="1">
        <w:r w:rsidRPr="00CB7FFD">
          <w:rPr>
            <w:rStyle w:val="Hyperlien"/>
            <w:rFonts w:eastAsia="Courier New"/>
            <w:sz w:val="24"/>
          </w:rPr>
          <w:t>Le problème de l’or au Moyen Âge</w:t>
        </w:r>
      </w:hyperlink>
      <w:r>
        <w:rPr>
          <w:rFonts w:eastAsia="Courier New"/>
          <w:sz w:val="24"/>
        </w:rPr>
        <w:t xml:space="preserve"> [</w:t>
      </w:r>
      <w:r w:rsidRPr="003B18D6">
        <w:rPr>
          <w:rFonts w:eastAsia="Courier New"/>
          <w:sz w:val="24"/>
        </w:rPr>
        <w:t>839</w:t>
      </w:r>
      <w:r>
        <w:rPr>
          <w:rFonts w:eastAsia="Courier New"/>
          <w:sz w:val="24"/>
        </w:rPr>
        <w:t>]</w:t>
      </w:r>
    </w:p>
    <w:p w14:paraId="35282A84" w14:textId="77777777" w:rsidR="00B9662D" w:rsidRPr="003B18D6" w:rsidRDefault="00B9662D" w:rsidP="00B9662D">
      <w:pPr>
        <w:spacing w:before="60" w:after="60"/>
        <w:ind w:left="540" w:hanging="540"/>
        <w:jc w:val="both"/>
        <w:rPr>
          <w:rFonts w:eastAsia="Courier New"/>
          <w:sz w:val="24"/>
        </w:rPr>
      </w:pPr>
      <w:r>
        <w:rPr>
          <w:rFonts w:eastAsia="Courier New"/>
          <w:sz w:val="24"/>
        </w:rPr>
        <w:t>VI.</w:t>
      </w:r>
      <w:r>
        <w:rPr>
          <w:rFonts w:eastAsia="Courier New"/>
          <w:sz w:val="24"/>
        </w:rPr>
        <w:tab/>
      </w:r>
      <w:hyperlink w:anchor="Melanges_t2_pt_8_chap_VI" w:history="1">
        <w:r w:rsidRPr="00CB7FFD">
          <w:rPr>
            <w:rStyle w:val="Hyperlien"/>
            <w:rFonts w:eastAsia="Courier New"/>
            <w:sz w:val="24"/>
          </w:rPr>
          <w:t>Économie-nature ou économie-argent : un pseudo-dilemme</w:t>
        </w:r>
      </w:hyperlink>
      <w:r>
        <w:rPr>
          <w:rFonts w:eastAsia="Courier New"/>
          <w:sz w:val="24"/>
        </w:rPr>
        <w:t xml:space="preserve"> [</w:t>
      </w:r>
      <w:r w:rsidRPr="003B18D6">
        <w:rPr>
          <w:rFonts w:eastAsia="Courier New"/>
          <w:sz w:val="24"/>
        </w:rPr>
        <w:t>868</w:t>
      </w:r>
      <w:r>
        <w:rPr>
          <w:rFonts w:eastAsia="Courier New"/>
          <w:sz w:val="24"/>
        </w:rPr>
        <w:t>]</w:t>
      </w:r>
    </w:p>
    <w:p w14:paraId="60F3D2EE" w14:textId="77777777" w:rsidR="00B9662D" w:rsidRPr="003B18D6" w:rsidRDefault="00B9662D" w:rsidP="00B9662D">
      <w:pPr>
        <w:spacing w:before="60" w:after="60"/>
        <w:ind w:left="540" w:hanging="540"/>
        <w:jc w:val="both"/>
        <w:rPr>
          <w:rFonts w:eastAsia="Courier New"/>
          <w:sz w:val="24"/>
        </w:rPr>
      </w:pPr>
      <w:r>
        <w:rPr>
          <w:rFonts w:eastAsia="Courier New"/>
          <w:sz w:val="24"/>
        </w:rPr>
        <w:t>VII.</w:t>
      </w:r>
      <w:r>
        <w:rPr>
          <w:rFonts w:eastAsia="Courier New"/>
          <w:sz w:val="24"/>
        </w:rPr>
        <w:tab/>
      </w:r>
      <w:hyperlink w:anchor="Melanges_t2_pt_8_chap_VII" w:history="1">
        <w:r w:rsidRPr="00716E9E">
          <w:rPr>
            <w:rStyle w:val="Hyperlien"/>
            <w:rFonts w:eastAsia="Courier New"/>
            <w:sz w:val="24"/>
          </w:rPr>
          <w:t>L’histoire des prix : quelques remarques critiques</w:t>
        </w:r>
      </w:hyperlink>
      <w:r>
        <w:rPr>
          <w:rFonts w:eastAsia="Courier New"/>
          <w:sz w:val="24"/>
        </w:rPr>
        <w:t xml:space="preserve"> [</w:t>
      </w:r>
      <w:r w:rsidRPr="003B18D6">
        <w:rPr>
          <w:rFonts w:eastAsia="Courier New"/>
          <w:sz w:val="24"/>
        </w:rPr>
        <w:t>878</w:t>
      </w:r>
      <w:r>
        <w:rPr>
          <w:rFonts w:eastAsia="Courier New"/>
          <w:sz w:val="24"/>
        </w:rPr>
        <w:t>]</w:t>
      </w:r>
    </w:p>
    <w:p w14:paraId="04EFF185" w14:textId="77777777" w:rsidR="00B9662D" w:rsidRPr="003B18D6" w:rsidRDefault="00B9662D" w:rsidP="00B9662D">
      <w:pPr>
        <w:spacing w:before="60" w:after="60"/>
        <w:ind w:left="540" w:hanging="540"/>
        <w:jc w:val="both"/>
        <w:rPr>
          <w:rFonts w:eastAsia="Courier New"/>
          <w:sz w:val="24"/>
        </w:rPr>
      </w:pPr>
      <w:r>
        <w:rPr>
          <w:rFonts w:eastAsia="Courier New"/>
          <w:sz w:val="24"/>
        </w:rPr>
        <w:t>VIII.</w:t>
      </w:r>
      <w:r>
        <w:rPr>
          <w:rFonts w:eastAsia="Courier New"/>
          <w:sz w:val="24"/>
        </w:rPr>
        <w:tab/>
      </w:r>
      <w:hyperlink w:anchor="Melanges_t2_pt_8_chap_VIII" w:history="1">
        <w:r w:rsidRPr="00716E9E">
          <w:rPr>
            <w:rStyle w:val="Hyperlien"/>
            <w:rFonts w:eastAsia="Courier New"/>
            <w:sz w:val="24"/>
          </w:rPr>
          <w:t>Le salaire et les fluctuations économiques à longue période</w:t>
        </w:r>
      </w:hyperlink>
      <w:r>
        <w:rPr>
          <w:rFonts w:eastAsia="Courier New"/>
          <w:sz w:val="24"/>
        </w:rPr>
        <w:t xml:space="preserve"> [</w:t>
      </w:r>
      <w:r w:rsidRPr="003B18D6">
        <w:rPr>
          <w:rFonts w:eastAsia="Courier New"/>
          <w:sz w:val="24"/>
        </w:rPr>
        <w:t>890</w:t>
      </w:r>
      <w:r>
        <w:rPr>
          <w:rFonts w:eastAsia="Courier New"/>
          <w:sz w:val="24"/>
        </w:rPr>
        <w:t>]</w:t>
      </w:r>
    </w:p>
    <w:p w14:paraId="041134DE" w14:textId="77777777" w:rsidR="00B9662D" w:rsidRPr="003B18D6" w:rsidRDefault="00B9662D" w:rsidP="00B9662D">
      <w:pPr>
        <w:spacing w:before="60" w:after="60"/>
        <w:ind w:firstLine="0"/>
        <w:jc w:val="both"/>
        <w:rPr>
          <w:rFonts w:eastAsia="Courier New"/>
          <w:sz w:val="24"/>
        </w:rPr>
      </w:pPr>
      <w:r>
        <w:rPr>
          <w:rFonts w:eastAsia="Courier New"/>
          <w:sz w:val="24"/>
        </w:rPr>
        <w:br w:type="page"/>
      </w:r>
    </w:p>
    <w:p w14:paraId="2325C8F2" w14:textId="77777777" w:rsidR="00B9662D" w:rsidRPr="00922268" w:rsidRDefault="00B9662D" w:rsidP="00B9662D">
      <w:pPr>
        <w:spacing w:before="60" w:after="60"/>
        <w:ind w:firstLine="0"/>
        <w:jc w:val="center"/>
        <w:rPr>
          <w:rFonts w:eastAsia="Courier New"/>
          <w:b/>
          <w:color w:val="FF0000"/>
          <w:sz w:val="24"/>
        </w:rPr>
      </w:pPr>
      <w:r w:rsidRPr="00922268">
        <w:rPr>
          <w:rFonts w:eastAsia="Courier New"/>
          <w:b/>
          <w:color w:val="FF0000"/>
          <w:sz w:val="24"/>
        </w:rPr>
        <w:t>Neuvième Partie</w:t>
      </w:r>
    </w:p>
    <w:p w14:paraId="7B9AAA67" w14:textId="77777777" w:rsidR="00B9662D" w:rsidRPr="003B18D6" w:rsidRDefault="00B9662D" w:rsidP="00B9662D">
      <w:pPr>
        <w:spacing w:before="60" w:after="60"/>
        <w:ind w:firstLine="0"/>
        <w:jc w:val="center"/>
        <w:rPr>
          <w:rFonts w:eastAsia="Courier New"/>
          <w:sz w:val="24"/>
        </w:rPr>
      </w:pPr>
      <w:hyperlink w:anchor="Melanges_t2_pt_9" w:history="1">
        <w:r w:rsidRPr="00BD4723">
          <w:rPr>
            <w:rStyle w:val="Hyperlien"/>
            <w:rFonts w:eastAsia="Courier New"/>
            <w:sz w:val="24"/>
          </w:rPr>
          <w:t>ASPECTS DE LA MENTALITÉ MÉDIÉVALE</w:t>
        </w:r>
      </w:hyperlink>
      <w:r>
        <w:rPr>
          <w:rFonts w:eastAsia="Courier New"/>
          <w:sz w:val="24"/>
        </w:rPr>
        <w:t xml:space="preserve"> [915]</w:t>
      </w:r>
    </w:p>
    <w:p w14:paraId="77881DFC" w14:textId="77777777" w:rsidR="00B9662D" w:rsidRDefault="00B9662D" w:rsidP="00B9662D">
      <w:pPr>
        <w:spacing w:before="60" w:after="60"/>
        <w:ind w:firstLine="0"/>
        <w:jc w:val="both"/>
        <w:rPr>
          <w:rFonts w:eastAsia="Courier New"/>
          <w:sz w:val="24"/>
        </w:rPr>
      </w:pPr>
    </w:p>
    <w:p w14:paraId="3BF35464"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hyperlink w:anchor="Melanges_t2_pt_9_chap_I" w:history="1">
        <w:r w:rsidRPr="00BD4723">
          <w:rPr>
            <w:rStyle w:val="Hyperlien"/>
            <w:rFonts w:eastAsia="Courier New"/>
            <w:sz w:val="24"/>
          </w:rPr>
          <w:t>Les vicissitudes d’une statue équestre : Philippe de Valois, Constantin ou Marc-Aurèle ?</w:t>
        </w:r>
      </w:hyperlink>
      <w:r>
        <w:rPr>
          <w:rFonts w:eastAsia="Courier New"/>
          <w:sz w:val="24"/>
        </w:rPr>
        <w:t xml:space="preserve"> [</w:t>
      </w:r>
      <w:r w:rsidRPr="003B18D6">
        <w:rPr>
          <w:rFonts w:eastAsia="Courier New"/>
          <w:sz w:val="24"/>
        </w:rPr>
        <w:t>917</w:t>
      </w:r>
      <w:r>
        <w:rPr>
          <w:rFonts w:eastAsia="Courier New"/>
          <w:sz w:val="24"/>
        </w:rPr>
        <w:t>]</w:t>
      </w:r>
    </w:p>
    <w:p w14:paraId="00F9664F"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hyperlink w:anchor="Melanges_t2_pt_9_chap_II" w:history="1">
        <w:r w:rsidRPr="00BD4723">
          <w:rPr>
            <w:rStyle w:val="Hyperlien"/>
            <w:rFonts w:eastAsia="Courier New"/>
            <w:sz w:val="24"/>
          </w:rPr>
          <w:t>La vie d’outre-tombe du roi Salomon</w:t>
        </w:r>
      </w:hyperlink>
      <w:r>
        <w:rPr>
          <w:rFonts w:eastAsia="Courier New"/>
          <w:sz w:val="24"/>
        </w:rPr>
        <w:t xml:space="preserve"> [</w:t>
      </w:r>
      <w:r w:rsidRPr="003B18D6">
        <w:rPr>
          <w:rFonts w:eastAsia="Courier New"/>
          <w:sz w:val="24"/>
        </w:rPr>
        <w:t>920</w:t>
      </w:r>
      <w:r>
        <w:rPr>
          <w:rFonts w:eastAsia="Courier New"/>
          <w:sz w:val="24"/>
        </w:rPr>
        <w:t>]</w:t>
      </w:r>
    </w:p>
    <w:p w14:paraId="7AD6A057"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hyperlink w:anchor="Melanges_t2_pt_9_chap_III" w:history="1">
        <w:r w:rsidRPr="00B5567C">
          <w:rPr>
            <w:rStyle w:val="Hyperlien"/>
            <w:rFonts w:eastAsia="Courier New"/>
            <w:sz w:val="24"/>
          </w:rPr>
          <w:t>Saint Martin de Tours : à propos d’une polémique</w:t>
        </w:r>
      </w:hyperlink>
      <w:r>
        <w:rPr>
          <w:rFonts w:eastAsia="Courier New"/>
          <w:sz w:val="24"/>
        </w:rPr>
        <w:t xml:space="preserve"> [</w:t>
      </w:r>
      <w:r w:rsidRPr="003B18D6">
        <w:rPr>
          <w:rFonts w:eastAsia="Courier New"/>
          <w:sz w:val="24"/>
        </w:rPr>
        <w:t>939</w:t>
      </w:r>
      <w:r>
        <w:rPr>
          <w:rFonts w:eastAsia="Courier New"/>
          <w:sz w:val="24"/>
        </w:rPr>
        <w:t>]</w:t>
      </w:r>
    </w:p>
    <w:p w14:paraId="16D219ED"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9_chap_III_I" w:history="1">
        <w:r w:rsidRPr="00B5567C">
          <w:rPr>
            <w:rStyle w:val="Hyperlien"/>
            <w:rFonts w:eastAsia="Courier New"/>
            <w:sz w:val="24"/>
          </w:rPr>
          <w:t>Valeur du témoignage de Sulpice Sévère</w:t>
        </w:r>
      </w:hyperlink>
      <w:r>
        <w:rPr>
          <w:rFonts w:eastAsia="Courier New"/>
          <w:sz w:val="24"/>
        </w:rPr>
        <w:t xml:space="preserve"> [940]</w:t>
      </w:r>
    </w:p>
    <w:p w14:paraId="153962C1"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9_chap_III_II" w:history="1">
        <w:r w:rsidRPr="00831C36">
          <w:rPr>
            <w:rStyle w:val="Hyperlien"/>
            <w:rFonts w:eastAsia="Courier New"/>
            <w:sz w:val="24"/>
          </w:rPr>
          <w:t>Saint Martin évêque et missionnaire</w:t>
        </w:r>
      </w:hyperlink>
      <w:r>
        <w:rPr>
          <w:rFonts w:eastAsia="Courier New"/>
          <w:sz w:val="24"/>
        </w:rPr>
        <w:t xml:space="preserve"> [942]</w:t>
      </w:r>
    </w:p>
    <w:p w14:paraId="558E4ECB" w14:textId="77777777" w:rsidR="00B9662D" w:rsidRDefault="00B9662D" w:rsidP="00B9662D">
      <w:pPr>
        <w:spacing w:before="60" w:after="60"/>
        <w:ind w:left="900" w:hanging="360"/>
        <w:jc w:val="both"/>
        <w:rPr>
          <w:rFonts w:eastAsia="Courier New"/>
          <w:sz w:val="24"/>
        </w:rPr>
      </w:pPr>
      <w:r>
        <w:rPr>
          <w:rFonts w:eastAsia="Courier New"/>
          <w:sz w:val="24"/>
        </w:rPr>
        <w:t>III.</w:t>
      </w:r>
      <w:r>
        <w:rPr>
          <w:rFonts w:eastAsia="Courier New"/>
          <w:sz w:val="24"/>
        </w:rPr>
        <w:tab/>
      </w:r>
      <w:hyperlink w:anchor="Melanges_t2_pt_9_chap_III_III" w:history="1">
        <w:r w:rsidRPr="00093E0D">
          <w:rPr>
            <w:rStyle w:val="Hyperlien"/>
            <w:rFonts w:eastAsia="Courier New"/>
            <w:sz w:val="24"/>
          </w:rPr>
          <w:t>Histoire de Saiint Martin après sa mort</w:t>
        </w:r>
      </w:hyperlink>
      <w:r>
        <w:rPr>
          <w:rFonts w:eastAsia="Courier New"/>
          <w:sz w:val="24"/>
        </w:rPr>
        <w:t xml:space="preserve"> [945]</w:t>
      </w:r>
    </w:p>
    <w:p w14:paraId="4F71A2ED" w14:textId="77777777" w:rsidR="00B9662D" w:rsidRDefault="00B9662D" w:rsidP="00B9662D">
      <w:pPr>
        <w:spacing w:before="60" w:after="60"/>
        <w:ind w:left="900" w:hanging="360"/>
        <w:jc w:val="both"/>
        <w:rPr>
          <w:rFonts w:eastAsia="Courier New"/>
          <w:sz w:val="24"/>
        </w:rPr>
      </w:pPr>
    </w:p>
    <w:p w14:paraId="55844E7D"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hyperlink w:anchor="Melanges_t2_pt_9_chap_IV" w:history="1">
        <w:r w:rsidRPr="00F53097">
          <w:rPr>
            <w:rStyle w:val="Hyperlien"/>
            <w:rFonts w:eastAsia="Courier New"/>
            <w:sz w:val="24"/>
          </w:rPr>
          <w:t>La vie de saint Édouard le Confesseur, par Osbert de Clare</w:t>
        </w:r>
      </w:hyperlink>
      <w:r>
        <w:rPr>
          <w:rFonts w:eastAsia="Courier New"/>
          <w:sz w:val="24"/>
        </w:rPr>
        <w:t xml:space="preserve"> [</w:t>
      </w:r>
      <w:r w:rsidRPr="003B18D6">
        <w:rPr>
          <w:rFonts w:eastAsia="Courier New"/>
          <w:sz w:val="24"/>
        </w:rPr>
        <w:t>948</w:t>
      </w:r>
      <w:r>
        <w:rPr>
          <w:rFonts w:eastAsia="Courier New"/>
          <w:sz w:val="24"/>
        </w:rPr>
        <w:t>]</w:t>
      </w:r>
    </w:p>
    <w:p w14:paraId="4FC3FCEE" w14:textId="77777777" w:rsidR="00B9662D" w:rsidRDefault="00B9662D" w:rsidP="00B9662D">
      <w:pPr>
        <w:spacing w:before="60" w:after="60"/>
        <w:ind w:left="900" w:hanging="360"/>
        <w:jc w:val="both"/>
        <w:rPr>
          <w:rFonts w:eastAsia="Courier New"/>
          <w:sz w:val="24"/>
        </w:rPr>
      </w:pPr>
    </w:p>
    <w:p w14:paraId="2CCB2967" w14:textId="77777777" w:rsidR="00B9662D" w:rsidRDefault="00B9662D" w:rsidP="00B9662D">
      <w:pPr>
        <w:spacing w:before="60" w:after="60"/>
        <w:ind w:left="900" w:hanging="360"/>
        <w:jc w:val="both"/>
        <w:rPr>
          <w:rFonts w:eastAsia="Courier New"/>
          <w:sz w:val="24"/>
        </w:rPr>
      </w:pPr>
      <w:hyperlink w:anchor="Melanges_t2_pt_9_chap_IV_intro" w:history="1">
        <w:r w:rsidRPr="00F53097">
          <w:rPr>
            <w:rStyle w:val="Hyperlien"/>
            <w:rFonts w:eastAsia="Courier New"/>
            <w:sz w:val="24"/>
          </w:rPr>
          <w:t>Introduction</w:t>
        </w:r>
      </w:hyperlink>
      <w:r>
        <w:rPr>
          <w:rFonts w:eastAsia="Courier New"/>
          <w:sz w:val="24"/>
        </w:rPr>
        <w:t xml:space="preserve"> [948]</w:t>
      </w:r>
    </w:p>
    <w:p w14:paraId="09002053" w14:textId="77777777" w:rsidR="00B9662D" w:rsidRDefault="00B9662D" w:rsidP="00B9662D">
      <w:pPr>
        <w:spacing w:before="60" w:after="60"/>
        <w:ind w:left="900" w:hanging="360"/>
        <w:jc w:val="both"/>
        <w:rPr>
          <w:rFonts w:eastAsia="Courier New"/>
          <w:sz w:val="24"/>
        </w:rPr>
      </w:pPr>
      <w:r>
        <w:rPr>
          <w:rFonts w:eastAsia="Courier New"/>
          <w:sz w:val="24"/>
        </w:rPr>
        <w:t>I.</w:t>
      </w:r>
      <w:r>
        <w:rPr>
          <w:rFonts w:eastAsia="Courier New"/>
          <w:sz w:val="24"/>
        </w:rPr>
        <w:tab/>
      </w:r>
      <w:hyperlink w:anchor="Melanges_t2_pt_9_chap_IV_I" w:history="1">
        <w:r w:rsidRPr="00F53097">
          <w:rPr>
            <w:rStyle w:val="Hyperlien"/>
            <w:rFonts w:eastAsia="Courier New"/>
            <w:sz w:val="24"/>
          </w:rPr>
          <w:t>Place d’Osbert dans la tradition hagiographique</w:t>
        </w:r>
      </w:hyperlink>
      <w:r>
        <w:rPr>
          <w:rFonts w:eastAsia="Courier New"/>
          <w:sz w:val="24"/>
        </w:rPr>
        <w:t xml:space="preserve"> [949]</w:t>
      </w:r>
    </w:p>
    <w:p w14:paraId="64E4C3B3" w14:textId="77777777" w:rsidR="00B9662D" w:rsidRDefault="00B9662D" w:rsidP="00B9662D">
      <w:pPr>
        <w:spacing w:before="60" w:after="60"/>
        <w:ind w:left="900" w:hanging="360"/>
        <w:jc w:val="both"/>
        <w:rPr>
          <w:rFonts w:eastAsia="Courier New"/>
          <w:sz w:val="24"/>
        </w:rPr>
      </w:pPr>
      <w:r>
        <w:rPr>
          <w:rFonts w:eastAsia="Courier New"/>
          <w:sz w:val="24"/>
        </w:rPr>
        <w:t>II.</w:t>
      </w:r>
      <w:r>
        <w:rPr>
          <w:rFonts w:eastAsia="Courier New"/>
          <w:sz w:val="24"/>
        </w:rPr>
        <w:tab/>
      </w:r>
      <w:hyperlink w:anchor="Melanges_t2_pt_9_chap_IV_II" w:history="1">
        <w:r w:rsidRPr="00F53097">
          <w:rPr>
            <w:rStyle w:val="Hyperlien"/>
            <w:rFonts w:eastAsia="Courier New"/>
            <w:sz w:val="24"/>
          </w:rPr>
          <w:t>Une source d’Osbert de Clare : La Vita «Aeduuardi régis qui apud Westmonasterium requiescit»</w:t>
        </w:r>
      </w:hyperlink>
      <w:r>
        <w:rPr>
          <w:rFonts w:eastAsia="Courier New"/>
          <w:sz w:val="24"/>
        </w:rPr>
        <w:t xml:space="preserve"> [956]</w:t>
      </w:r>
    </w:p>
    <w:p w14:paraId="3734A908" w14:textId="77777777" w:rsidR="00B9662D" w:rsidRDefault="00B9662D" w:rsidP="00B9662D">
      <w:pPr>
        <w:spacing w:before="60" w:after="60"/>
        <w:ind w:left="900" w:hanging="360"/>
        <w:jc w:val="both"/>
        <w:rPr>
          <w:rFonts w:eastAsia="Courier New"/>
          <w:sz w:val="24"/>
        </w:rPr>
      </w:pPr>
      <w:r>
        <w:rPr>
          <w:rFonts w:eastAsia="Courier New"/>
          <w:sz w:val="24"/>
        </w:rPr>
        <w:t>III.</w:t>
      </w:r>
      <w:r>
        <w:rPr>
          <w:rFonts w:eastAsia="Courier New"/>
          <w:sz w:val="24"/>
        </w:rPr>
        <w:tab/>
      </w:r>
      <w:hyperlink w:anchor="Melanges_t2_pt_9_chap_IV_III" w:history="1">
        <w:r w:rsidRPr="00A41148">
          <w:rPr>
            <w:rStyle w:val="Hyperlien"/>
            <w:rFonts w:eastAsia="Courier New"/>
            <w:sz w:val="24"/>
          </w:rPr>
          <w:t>L’œuvre d’Osbert de Clare; ses sources et sa valeur : récit de la restaur</w:t>
        </w:r>
        <w:r w:rsidRPr="00A41148">
          <w:rPr>
            <w:rStyle w:val="Hyperlien"/>
            <w:rFonts w:eastAsia="Courier New"/>
            <w:sz w:val="24"/>
          </w:rPr>
          <w:t>a</w:t>
        </w:r>
        <w:r w:rsidRPr="00A41148">
          <w:rPr>
            <w:rStyle w:val="Hyperlien"/>
            <w:rFonts w:eastAsia="Courier New"/>
            <w:sz w:val="24"/>
          </w:rPr>
          <w:t>tion de Westminster</w:t>
        </w:r>
      </w:hyperlink>
      <w:r>
        <w:rPr>
          <w:rFonts w:eastAsia="Courier New"/>
          <w:sz w:val="24"/>
        </w:rPr>
        <w:t xml:space="preserve"> [973]</w:t>
      </w:r>
    </w:p>
    <w:p w14:paraId="7A456D2C" w14:textId="77777777" w:rsidR="00B9662D" w:rsidRDefault="00B9662D" w:rsidP="00B9662D">
      <w:pPr>
        <w:spacing w:before="60" w:after="60"/>
        <w:ind w:left="900" w:hanging="360"/>
        <w:jc w:val="both"/>
        <w:rPr>
          <w:rFonts w:eastAsia="Courier New"/>
          <w:sz w:val="24"/>
        </w:rPr>
      </w:pPr>
      <w:r>
        <w:rPr>
          <w:rFonts w:eastAsia="Courier New"/>
          <w:sz w:val="24"/>
        </w:rPr>
        <w:t>IV.</w:t>
      </w:r>
      <w:r>
        <w:rPr>
          <w:rFonts w:eastAsia="Courier New"/>
          <w:sz w:val="24"/>
        </w:rPr>
        <w:tab/>
      </w:r>
      <w:hyperlink w:anchor="Melanges_t2_pt_9_chap_IV_IV" w:history="1">
        <w:r w:rsidRPr="00A41148">
          <w:rPr>
            <w:rStyle w:val="Hyperlien"/>
            <w:rFonts w:eastAsia="Courier New"/>
            <w:sz w:val="24"/>
          </w:rPr>
          <w:t>Les manuscrits de l’œuvre d’Osbert. Les miracles interpolés du Ms. De Cambridge</w:t>
        </w:r>
      </w:hyperlink>
      <w:r>
        <w:rPr>
          <w:rFonts w:eastAsia="Courier New"/>
          <w:sz w:val="24"/>
        </w:rPr>
        <w:t xml:space="preserve"> [980]</w:t>
      </w:r>
    </w:p>
    <w:p w14:paraId="547A25F2" w14:textId="77777777" w:rsidR="00B9662D" w:rsidRDefault="00B9662D" w:rsidP="00B9662D">
      <w:pPr>
        <w:spacing w:before="60" w:after="60"/>
        <w:ind w:left="900" w:hanging="360"/>
        <w:jc w:val="both"/>
        <w:rPr>
          <w:rFonts w:eastAsia="Courier New"/>
          <w:sz w:val="24"/>
        </w:rPr>
      </w:pPr>
      <w:hyperlink w:anchor="Melanges_t2_pt_9_chap_IV_IV_appendice_I" w:history="1">
        <w:r w:rsidRPr="0030796E">
          <w:rPr>
            <w:rStyle w:val="Hyperlien"/>
            <w:rFonts w:eastAsia="Courier New"/>
            <w:sz w:val="24"/>
          </w:rPr>
          <w:t>Appendice I</w:t>
        </w:r>
      </w:hyperlink>
      <w:r>
        <w:rPr>
          <w:rFonts w:eastAsia="Courier New"/>
          <w:sz w:val="24"/>
        </w:rPr>
        <w:t>. Miracles ajoutés à la vie d’Osbert par le manuscrit de Ca</w:t>
      </w:r>
      <w:r>
        <w:rPr>
          <w:rFonts w:eastAsia="Courier New"/>
          <w:sz w:val="24"/>
        </w:rPr>
        <w:t>m</w:t>
      </w:r>
      <w:r>
        <w:rPr>
          <w:rFonts w:eastAsia="Courier New"/>
          <w:sz w:val="24"/>
        </w:rPr>
        <w:t>bridge [1024]</w:t>
      </w:r>
    </w:p>
    <w:p w14:paraId="6D0EA395" w14:textId="77777777" w:rsidR="00B9662D" w:rsidRDefault="00B9662D" w:rsidP="00B9662D">
      <w:pPr>
        <w:spacing w:before="60" w:after="60"/>
        <w:ind w:left="900" w:hanging="360"/>
        <w:jc w:val="both"/>
        <w:rPr>
          <w:rFonts w:eastAsia="Courier New"/>
          <w:sz w:val="24"/>
        </w:rPr>
      </w:pPr>
      <w:hyperlink w:anchor="Melanges_t2_pt_9_chap_IV_IV_appendice_II" w:history="1">
        <w:r w:rsidRPr="0030796E">
          <w:rPr>
            <w:rStyle w:val="Hyperlien"/>
            <w:rFonts w:eastAsia="Courier New"/>
            <w:sz w:val="24"/>
          </w:rPr>
          <w:t>Appendice II</w:t>
        </w:r>
      </w:hyperlink>
      <w:r>
        <w:rPr>
          <w:rFonts w:eastAsia="Courier New"/>
          <w:sz w:val="24"/>
        </w:rPr>
        <w:t>. Extrait relatif à Saint Édouard le Confesseur, de l’histoire de Westminster par Sulcard [1028]</w:t>
      </w:r>
    </w:p>
    <w:p w14:paraId="65A66FD5" w14:textId="77777777" w:rsidR="00B9662D" w:rsidRDefault="00B9662D" w:rsidP="00B9662D">
      <w:pPr>
        <w:spacing w:before="60" w:after="60"/>
        <w:ind w:left="540" w:hanging="540"/>
        <w:jc w:val="both"/>
        <w:rPr>
          <w:rFonts w:eastAsia="Courier New"/>
          <w:sz w:val="24"/>
        </w:rPr>
      </w:pPr>
    </w:p>
    <w:p w14:paraId="3D1D1D04" w14:textId="77777777" w:rsidR="00B9662D" w:rsidRPr="003B18D6" w:rsidRDefault="00B9662D" w:rsidP="00B9662D">
      <w:pPr>
        <w:spacing w:before="60" w:after="60"/>
        <w:ind w:left="540" w:hanging="540"/>
        <w:jc w:val="both"/>
        <w:rPr>
          <w:rFonts w:eastAsia="Courier New"/>
          <w:sz w:val="24"/>
        </w:rPr>
      </w:pPr>
      <w:hyperlink w:anchor="Melanges_t2_biblio" w:history="1">
        <w:r w:rsidRPr="00D0423A">
          <w:rPr>
            <w:rStyle w:val="Hyperlien"/>
            <w:rFonts w:eastAsia="Courier New"/>
            <w:sz w:val="24"/>
          </w:rPr>
          <w:t>Bibliographie</w:t>
        </w:r>
      </w:hyperlink>
      <w:r>
        <w:rPr>
          <w:rFonts w:eastAsia="Courier New"/>
          <w:sz w:val="24"/>
        </w:rPr>
        <w:t xml:space="preserve"> [</w:t>
      </w:r>
      <w:r w:rsidRPr="003B18D6">
        <w:rPr>
          <w:rFonts w:eastAsia="Courier New"/>
          <w:sz w:val="24"/>
        </w:rPr>
        <w:t>1031</w:t>
      </w:r>
      <w:r>
        <w:rPr>
          <w:rFonts w:eastAsia="Courier New"/>
          <w:sz w:val="24"/>
        </w:rPr>
        <w:t>]</w:t>
      </w:r>
    </w:p>
    <w:p w14:paraId="20EEE5BE" w14:textId="77777777" w:rsidR="00B9662D" w:rsidRDefault="00B9662D" w:rsidP="00B9662D">
      <w:pPr>
        <w:ind w:left="1620" w:hanging="1620"/>
      </w:pPr>
      <w:r>
        <w:t>Table des matières [1105]</w:t>
      </w:r>
    </w:p>
    <w:p w14:paraId="07F061D9" w14:textId="77777777" w:rsidR="00B9662D" w:rsidRDefault="00B9662D" w:rsidP="00B9662D">
      <w:pPr>
        <w:ind w:left="1620" w:hanging="1620"/>
      </w:pPr>
    </w:p>
    <w:p w14:paraId="2BE681AC" w14:textId="77777777" w:rsidR="00B9662D" w:rsidRPr="00E07116" w:rsidRDefault="00B9662D" w:rsidP="00B9662D">
      <w:pPr>
        <w:pStyle w:val="p"/>
      </w:pPr>
      <w:r w:rsidRPr="00E07116">
        <w:br w:type="page"/>
      </w:r>
      <w:r w:rsidRPr="00E07116">
        <w:lastRenderedPageBreak/>
        <w:t>[</w:t>
      </w:r>
      <w:r>
        <w:t>vii</w:t>
      </w:r>
      <w:r w:rsidRPr="00E07116">
        <w:t>]</w:t>
      </w:r>
    </w:p>
    <w:p w14:paraId="45097408" w14:textId="77777777" w:rsidR="00B9662D" w:rsidRPr="00E07116" w:rsidRDefault="00B9662D" w:rsidP="00B9662D">
      <w:pPr>
        <w:jc w:val="both"/>
      </w:pPr>
    </w:p>
    <w:p w14:paraId="16B53ADD" w14:textId="77777777" w:rsidR="00B9662D" w:rsidRPr="00E07116" w:rsidRDefault="00B9662D" w:rsidP="00B9662D">
      <w:pPr>
        <w:jc w:val="both"/>
      </w:pPr>
    </w:p>
    <w:p w14:paraId="419FEF9A" w14:textId="77777777" w:rsidR="00B9662D" w:rsidRPr="00E07116" w:rsidRDefault="00B9662D" w:rsidP="00B9662D">
      <w:pPr>
        <w:jc w:val="both"/>
      </w:pPr>
    </w:p>
    <w:p w14:paraId="2FB7AD14" w14:textId="77777777" w:rsidR="00B9662D" w:rsidRPr="00F54CC7" w:rsidRDefault="00B9662D" w:rsidP="00B9662D">
      <w:pPr>
        <w:spacing w:after="120"/>
        <w:ind w:firstLine="0"/>
        <w:jc w:val="center"/>
        <w:rPr>
          <w:sz w:val="24"/>
        </w:rPr>
      </w:pPr>
      <w:bookmarkStart w:id="1" w:name="Melanges_t1_preface"/>
      <w:r>
        <w:rPr>
          <w:b/>
          <w:sz w:val="24"/>
        </w:rPr>
        <w:t>Mélanges historiques.</w:t>
      </w:r>
      <w:r>
        <w:rPr>
          <w:b/>
          <w:sz w:val="24"/>
        </w:rPr>
        <w:br/>
        <w:t>Tome I.</w:t>
      </w:r>
    </w:p>
    <w:p w14:paraId="3477B2B5" w14:textId="77777777" w:rsidR="00B9662D" w:rsidRPr="007D3797" w:rsidRDefault="00B9662D" w:rsidP="00B9662D">
      <w:pPr>
        <w:pStyle w:val="planchest"/>
      </w:pPr>
      <w:r w:rsidRPr="007D3797">
        <w:t>PRÉFACE</w:t>
      </w:r>
    </w:p>
    <w:bookmarkEnd w:id="1"/>
    <w:p w14:paraId="6F0F8671" w14:textId="77777777" w:rsidR="00B9662D" w:rsidRPr="00E07116" w:rsidRDefault="00B9662D" w:rsidP="00B9662D">
      <w:pPr>
        <w:jc w:val="both"/>
      </w:pPr>
    </w:p>
    <w:p w14:paraId="41A5A233" w14:textId="77777777" w:rsidR="00B9662D" w:rsidRPr="00E07116" w:rsidRDefault="00B9662D" w:rsidP="00B9662D">
      <w:pPr>
        <w:jc w:val="both"/>
      </w:pPr>
    </w:p>
    <w:p w14:paraId="0A4C4FD4" w14:textId="77777777" w:rsidR="00B9662D" w:rsidRPr="00E07116" w:rsidRDefault="00B9662D" w:rsidP="00B9662D">
      <w:pPr>
        <w:jc w:val="both"/>
      </w:pPr>
    </w:p>
    <w:p w14:paraId="2C9F2E91" w14:textId="77777777" w:rsidR="00B9662D" w:rsidRPr="00E07116" w:rsidRDefault="00B9662D" w:rsidP="00B9662D">
      <w:pPr>
        <w:jc w:val="both"/>
      </w:pPr>
    </w:p>
    <w:p w14:paraId="71CA2D24" w14:textId="77777777" w:rsidR="00B9662D" w:rsidRPr="00E07116" w:rsidRDefault="00B9662D" w:rsidP="00B9662D">
      <w:pPr>
        <w:jc w:val="both"/>
      </w:pPr>
    </w:p>
    <w:p w14:paraId="7432AE51"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7565D60" w14:textId="77777777" w:rsidR="00B9662D" w:rsidRPr="00A117A2" w:rsidRDefault="00B9662D" w:rsidP="00B9662D">
      <w:pPr>
        <w:spacing w:before="120" w:after="120"/>
        <w:jc w:val="both"/>
      </w:pPr>
      <w:r w:rsidRPr="00A117A2">
        <w:t>Dès le lendemain de la Libération, alors que les informations r</w:t>
      </w:r>
      <w:r w:rsidRPr="00A117A2">
        <w:t>e</w:t>
      </w:r>
      <w:r w:rsidRPr="00A117A2">
        <w:t>cueillies confirmaient la nouvelle de la mort h</w:t>
      </w:r>
      <w:r w:rsidRPr="00A117A2">
        <w:t>é</w:t>
      </w:r>
      <w:r w:rsidRPr="00A117A2">
        <w:t>roïque de Marc Bloch, Lucien Febvre, resté seul à la direction des</w:t>
      </w:r>
      <w:r w:rsidRPr="00A117A2">
        <w:rPr>
          <w:rStyle w:val="Corpsdutexte16105ptNonItaliqueEspacement1pt"/>
          <w:rFonts w:eastAsia="Courier New"/>
        </w:rPr>
        <w:t> A</w:t>
      </w:r>
      <w:r w:rsidRPr="00A117A2">
        <w:rPr>
          <w:rStyle w:val="Corpsdutexte16105ptNonItalique"/>
          <w:rFonts w:eastAsia="Courier New"/>
        </w:rPr>
        <w:t xml:space="preserve">nnales d’histoire sociale, </w:t>
      </w:r>
      <w:r w:rsidRPr="00A117A2">
        <w:t>déc</w:t>
      </w:r>
      <w:r w:rsidRPr="00A117A2">
        <w:t>i</w:t>
      </w:r>
      <w:r w:rsidRPr="00A117A2">
        <w:t xml:space="preserve">dait de </w:t>
      </w:r>
      <w:r w:rsidRPr="00D82BB0">
        <w:t>dédier à la mémoire de son collègue et ami les deux fasc</w:t>
      </w:r>
      <w:r w:rsidRPr="00D82BB0">
        <w:t>i</w:t>
      </w:r>
      <w:r w:rsidRPr="00D82BB0">
        <w:t>cules de la revue à paraître en 1945. Ces deux fascicules ont été p</w:t>
      </w:r>
      <w:r w:rsidRPr="00D82BB0">
        <w:t>u</w:t>
      </w:r>
      <w:r w:rsidRPr="00D82BB0">
        <w:t>bliés sous le titre</w:t>
      </w:r>
      <w:r w:rsidRPr="00D82BB0">
        <w:rPr>
          <w:rStyle w:val="Corpsdutexte16105ptNonItalique"/>
          <w:rFonts w:eastAsia="Courier New"/>
          <w:sz w:val="28"/>
        </w:rPr>
        <w:t xml:space="preserve"> </w:t>
      </w:r>
      <w:r w:rsidRPr="00D82BB0">
        <w:rPr>
          <w:rStyle w:val="Corpsdutexte16105ptNonItalique"/>
          <w:rFonts w:eastAsia="Courier New"/>
          <w:i/>
          <w:sz w:val="28"/>
        </w:rPr>
        <w:t>Hommages à Marc Bloch </w:t>
      </w:r>
      <w:r w:rsidRPr="00D82BB0">
        <w:rPr>
          <w:rStyle w:val="Corpsdutexte16105ptNonItalique"/>
          <w:rFonts w:eastAsia="Courier New"/>
          <w:sz w:val="28"/>
        </w:rPr>
        <w:t xml:space="preserve">; </w:t>
      </w:r>
      <w:r w:rsidRPr="00D82BB0">
        <w:t>destinés à honorer la mémoire du grand historien, ils groupent des textes de caractère assez diff</w:t>
      </w:r>
      <w:r w:rsidRPr="00D82BB0">
        <w:t>é</w:t>
      </w:r>
      <w:r w:rsidRPr="00D82BB0">
        <w:t>rent ; ils comprennent, en effet, le testament spirituel de March Bloch, une ét</w:t>
      </w:r>
      <w:r w:rsidRPr="00D82BB0">
        <w:t>u</w:t>
      </w:r>
      <w:r w:rsidRPr="00D82BB0">
        <w:t>de inédite de celui-ci sur les invasions, puis une série d'articles, rédigés par des collègues et amis du Maître en</w:t>
      </w:r>
      <w:r w:rsidRPr="00A117A2">
        <w:t xml:space="preserve"> vue d'honorer sa m</w:t>
      </w:r>
      <w:r w:rsidRPr="00A117A2">
        <w:t>é</w:t>
      </w:r>
      <w:r w:rsidRPr="00A117A2">
        <w:t>mo</w:t>
      </w:r>
      <w:r w:rsidRPr="00A117A2">
        <w:t>i</w:t>
      </w:r>
      <w:r w:rsidRPr="00A117A2">
        <w:t>re. Après la publication de ces deux fascicules, il parut à plusieurs des amis de Marc Bloch qu'il était une autre forme d'hommage qui mér</w:t>
      </w:r>
      <w:r w:rsidRPr="00A117A2">
        <w:t>i</w:t>
      </w:r>
      <w:r w:rsidRPr="00A117A2">
        <w:t>tait d'être retenue ; il s'agissait de réunir en un même ouvrage les nombreux articles et comptes rendus publiés par Marc Bloch et dont certains avaient paru dans des publications d'un accès difficile. L'util</w:t>
      </w:r>
      <w:r w:rsidRPr="00A117A2">
        <w:t>i</w:t>
      </w:r>
      <w:r w:rsidRPr="00A117A2">
        <w:t>té d'un tel recueil, surtout quand il s'agit d'un a</w:t>
      </w:r>
      <w:r w:rsidRPr="00A117A2">
        <w:t>u</w:t>
      </w:r>
      <w:r w:rsidRPr="00A117A2">
        <w:t>teur d'une fécondité exceptionnelle, ce qui est le cas de Marc Bloch, est évidente et, si l'on pouvait en douter un seul instant, je n'en vo</w:t>
      </w:r>
      <w:r w:rsidRPr="00A117A2">
        <w:t>u</w:t>
      </w:r>
      <w:r w:rsidRPr="00A117A2">
        <w:t>drais pour preuve que l'anecdote suivante ; je l'évoque d'autant plus volontiers, que le souv</w:t>
      </w:r>
      <w:r w:rsidRPr="00A117A2">
        <w:t>e</w:t>
      </w:r>
      <w:r w:rsidRPr="00A117A2">
        <w:t>nir de Marc Bloch s'y trouve associé.</w:t>
      </w:r>
    </w:p>
    <w:p w14:paraId="274900C5" w14:textId="77777777" w:rsidR="00B9662D" w:rsidRPr="00A117A2" w:rsidRDefault="00B9662D" w:rsidP="00B9662D">
      <w:pPr>
        <w:spacing w:before="120" w:after="120"/>
        <w:jc w:val="both"/>
      </w:pPr>
      <w:r w:rsidRPr="00A117A2">
        <w:t>En 1911, l'historien allemand du droit médiéval Hei</w:t>
      </w:r>
      <w:r w:rsidRPr="00A117A2">
        <w:t>n</w:t>
      </w:r>
      <w:r w:rsidRPr="00A117A2">
        <w:t xml:space="preserve">rich Brunner avait fait paraître dans </w:t>
      </w:r>
      <w:r w:rsidRPr="008B2E22">
        <w:t>un</w:t>
      </w:r>
      <w:r w:rsidRPr="008B2E22">
        <w:rPr>
          <w:rStyle w:val="Corpsdutexte16105ptNonItalique"/>
          <w:rFonts w:eastAsia="Courier New"/>
          <w:sz w:val="28"/>
        </w:rPr>
        <w:t xml:space="preserve"> </w:t>
      </w:r>
      <w:r w:rsidRPr="008B2E22">
        <w:rPr>
          <w:rStyle w:val="Corpsdutexte16105ptNonItalique"/>
          <w:rFonts w:eastAsia="Courier New"/>
          <w:i/>
          <w:sz w:val="28"/>
          <w:u w:val="single"/>
        </w:rPr>
        <w:t>Festschrift</w:t>
      </w:r>
      <w:r w:rsidRPr="008B2E22">
        <w:rPr>
          <w:rStyle w:val="Corpsdutexte16105ptNonItalique"/>
          <w:rFonts w:eastAsia="Courier New"/>
          <w:sz w:val="28"/>
        </w:rPr>
        <w:t xml:space="preserve"> </w:t>
      </w:r>
      <w:r w:rsidRPr="008B2E22">
        <w:t>dédié à von Ma</w:t>
      </w:r>
      <w:r w:rsidRPr="008B2E22">
        <w:t>r</w:t>
      </w:r>
      <w:r w:rsidRPr="008B2E22">
        <w:t>titz, soit dans un de ces Hommages, qui sont tirés à peu d'exe</w:t>
      </w:r>
      <w:r w:rsidRPr="008B2E22">
        <w:t>m</w:t>
      </w:r>
      <w:r w:rsidRPr="008B2E22">
        <w:t>plaires et qui pour cette raison sont parfois difficiles à se procurer, une étude sur l'orig</w:t>
      </w:r>
      <w:r w:rsidRPr="008B2E22">
        <w:t>i</w:t>
      </w:r>
      <w:r w:rsidRPr="008B2E22">
        <w:t xml:space="preserve">ne de la </w:t>
      </w:r>
      <w:r w:rsidRPr="008B2E22">
        <w:lastRenderedPageBreak/>
        <w:t>mainmorte dans le droit germ</w:t>
      </w:r>
      <w:r w:rsidRPr="008B2E22">
        <w:t>a</w:t>
      </w:r>
      <w:r w:rsidRPr="008B2E22">
        <w:t>nique. Le seul titre de cette étude</w:t>
      </w:r>
      <w:r w:rsidRPr="008B2E22">
        <w:rPr>
          <w:rStyle w:val="Corpsdutexte16105ptNonItalique"/>
          <w:rFonts w:eastAsia="Courier New"/>
          <w:sz w:val="28"/>
        </w:rPr>
        <w:t xml:space="preserve"> (Zur </w:t>
      </w:r>
      <w:r w:rsidRPr="008B2E22">
        <w:rPr>
          <w:rStyle w:val="Corpsdutexte16105ptNonItalique"/>
          <w:rFonts w:eastAsia="Courier New"/>
          <w:i/>
          <w:sz w:val="28"/>
          <w:u w:val="single"/>
        </w:rPr>
        <w:t>Geschichte der ältesten deutschen Erbschaftssteuer</w:t>
      </w:r>
      <w:r w:rsidRPr="008B2E22">
        <w:rPr>
          <w:rStyle w:val="Corpsdutexte16105ptNonItalique"/>
          <w:rFonts w:eastAsia="Courier New"/>
          <w:sz w:val="28"/>
        </w:rPr>
        <w:t xml:space="preserve">) </w:t>
      </w:r>
      <w:r w:rsidRPr="008B2E22">
        <w:t>était bien fait pour piquer la curiosité de Marc Bloch ; avait-il eu connai</w:t>
      </w:r>
      <w:r w:rsidRPr="008B2E22">
        <w:t>s</w:t>
      </w:r>
      <w:r w:rsidRPr="008B2E22">
        <w:t>sance du titre de l'article en question dès sa parution, avait-il cherché à en pre</w:t>
      </w:r>
      <w:r w:rsidRPr="008B2E22">
        <w:t>n</w:t>
      </w:r>
      <w:r w:rsidRPr="008B2E22">
        <w:t>dre connaissa</w:t>
      </w:r>
      <w:r w:rsidRPr="008B2E22">
        <w:t>n</w:t>
      </w:r>
      <w:r w:rsidRPr="008B2E22">
        <w:t>ce ? je ne sais ; toujours est-il que, installé à Strasbourg en 1919, il eut la désagréable surprise de con</w:t>
      </w:r>
      <w:r w:rsidRPr="008B2E22">
        <w:t>s</w:t>
      </w:r>
      <w:r w:rsidRPr="008B2E22">
        <w:t>tater que le</w:t>
      </w:r>
      <w:r w:rsidRPr="008B2E22">
        <w:rPr>
          <w:rStyle w:val="Corpsdutexte16105ptNonItalique"/>
          <w:rFonts w:eastAsia="Courier New"/>
          <w:sz w:val="28"/>
        </w:rPr>
        <w:t xml:space="preserve"> Festschrift </w:t>
      </w:r>
      <w:r w:rsidRPr="008B2E22">
        <w:t>en question, qu'il n'avait pas eu jusqu'alors l'occasion de consulter, ne figurait pas au cat</w:t>
      </w:r>
      <w:r w:rsidRPr="008B2E22">
        <w:t>a</w:t>
      </w:r>
      <w:r w:rsidRPr="008B2E22">
        <w:t>logue de la Bibliothèque nationale et universitaire de Strasbourg, qui pourtant était supérieurement équ</w:t>
      </w:r>
      <w:r w:rsidRPr="008B2E22">
        <w:t>i</w:t>
      </w:r>
      <w:r w:rsidRPr="008B2E22">
        <w:t>pée ; l'ouvrage était rare et de consultation difficile à une époque où le prêt intern</w:t>
      </w:r>
      <w:r w:rsidRPr="008B2E22">
        <w:t>a</w:t>
      </w:r>
      <w:r w:rsidRPr="008B2E22">
        <w:t>tional n'était pas organisé comme il l'est aujourd'hui. En fait, c'est se</w:t>
      </w:r>
      <w:r w:rsidRPr="008B2E22">
        <w:t>u</w:t>
      </w:r>
      <w:r w:rsidRPr="008B2E22">
        <w:t>lement en 1928 que Marc Bloch, profitant d'un voy</w:t>
      </w:r>
      <w:r w:rsidRPr="008B2E22">
        <w:t>a</w:t>
      </w:r>
      <w:r w:rsidRPr="008B2E22">
        <w:t>ge à Oslo, où se tenait le Congrès international d'histoire, fit un d</w:t>
      </w:r>
      <w:r w:rsidRPr="008B2E22">
        <w:t>é</w:t>
      </w:r>
      <w:r w:rsidRPr="008B2E22">
        <w:t>tour par Berlin et put enfin prendre connaissance du mémoire de Heinrich Brunner à la B</w:t>
      </w:r>
      <w:r w:rsidRPr="008B2E22">
        <w:t>i</w:t>
      </w:r>
      <w:r w:rsidRPr="008B2E22">
        <w:t>bliothèque nationale de cette ville. La publication en 1931, sous le t</w:t>
      </w:r>
      <w:r w:rsidRPr="008B2E22">
        <w:t>i</w:t>
      </w:r>
      <w:r w:rsidRPr="008B2E22">
        <w:t>tre de</w:t>
      </w:r>
      <w:r w:rsidRPr="008B2E22">
        <w:rPr>
          <w:rStyle w:val="Corpsdutexte16105ptNonItalique"/>
          <w:rFonts w:eastAsia="Courier New"/>
          <w:sz w:val="28"/>
        </w:rPr>
        <w:t> </w:t>
      </w:r>
      <w:r w:rsidRPr="008B2E22">
        <w:rPr>
          <w:rStyle w:val="Corpsdutexte16105ptNonItalique"/>
          <w:rFonts w:eastAsia="Courier New"/>
          <w:i/>
          <w:sz w:val="28"/>
          <w:u w:val="single"/>
        </w:rPr>
        <w:t>Abha</w:t>
      </w:r>
      <w:r w:rsidRPr="008B2E22">
        <w:rPr>
          <w:rStyle w:val="Corpsdutexte16105ptNonItalique"/>
          <w:rFonts w:eastAsia="Courier New"/>
          <w:i/>
          <w:sz w:val="28"/>
          <w:u w:val="single"/>
        </w:rPr>
        <w:t>n</w:t>
      </w:r>
      <w:r w:rsidRPr="008B2E22">
        <w:rPr>
          <w:rStyle w:val="Corpsdutexte16105ptNonItalique"/>
          <w:rFonts w:eastAsia="Courier New"/>
          <w:i/>
          <w:sz w:val="28"/>
          <w:u w:val="single"/>
        </w:rPr>
        <w:t>dlungen zur Rechtsgeschichte</w:t>
      </w:r>
      <w:r w:rsidRPr="008B2E22">
        <w:rPr>
          <w:rStyle w:val="Corpsdutexte16105ptNonItalique"/>
          <w:rFonts w:eastAsia="Courier New"/>
          <w:sz w:val="28"/>
        </w:rPr>
        <w:t xml:space="preserve">, </w:t>
      </w:r>
      <w:r w:rsidRPr="008B2E22">
        <w:t>d'un recueil, qui, paru sou</w:t>
      </w:r>
      <w:r w:rsidRPr="00A117A2">
        <w:t>s le nom</w:t>
      </w:r>
      <w:r>
        <w:t xml:space="preserve"> </w:t>
      </w:r>
      <w:r w:rsidRPr="00A117A2">
        <w:t>[viii]</w:t>
      </w:r>
      <w:r>
        <w:t xml:space="preserve"> </w:t>
      </w:r>
      <w:r w:rsidRPr="00A117A2">
        <w:t>d'H. Brunner, groupe les articles, comptes rendus et alloc</w:t>
      </w:r>
      <w:r w:rsidRPr="00A117A2">
        <w:t>u</w:t>
      </w:r>
      <w:r w:rsidRPr="00A117A2">
        <w:t>tions de cet historien du droit, si elle avait été avancée de plusieurs années, aurait permis à Marc Bloch de satisfaire facilement sa légit</w:t>
      </w:r>
      <w:r w:rsidRPr="00A117A2">
        <w:t>i</w:t>
      </w:r>
      <w:r w:rsidRPr="00A117A2">
        <w:t>me curi</w:t>
      </w:r>
      <w:r w:rsidRPr="00A117A2">
        <w:t>o</w:t>
      </w:r>
      <w:r w:rsidRPr="00A117A2">
        <w:t>sité.</w:t>
      </w:r>
    </w:p>
    <w:p w14:paraId="36AF57B0" w14:textId="77777777" w:rsidR="00B9662D" w:rsidRPr="00A117A2" w:rsidRDefault="00B9662D" w:rsidP="00B9662D">
      <w:pPr>
        <w:pStyle w:val="c"/>
      </w:pPr>
      <w:r w:rsidRPr="00A117A2">
        <w:t>*</w:t>
      </w:r>
      <w:r w:rsidRPr="00A117A2">
        <w:br/>
        <w:t>*     *</w:t>
      </w:r>
    </w:p>
    <w:p w14:paraId="7FC3D7C5" w14:textId="77777777" w:rsidR="00B9662D" w:rsidRPr="00A117A2" w:rsidRDefault="00B9662D" w:rsidP="00B9662D">
      <w:pPr>
        <w:spacing w:before="120" w:after="120"/>
        <w:jc w:val="both"/>
      </w:pPr>
      <w:r w:rsidRPr="00A117A2">
        <w:t>Le projet de réunir en un seul recueil de Mélanges la production de Marc Bloch dispersée dans des publications variées, avait obtenu dès l’origine l’approbation de Lucien Febvre. Si toutefois ce projet n'a trouvé son aboutissement qu'avec un retard regrettable, cela tient aux difficultés d'ordre matériel inhérentes à toute entreprise de ce genre, comme le prouve l'exemple même des</w:t>
      </w:r>
      <w:r w:rsidRPr="00A117A2">
        <w:rPr>
          <w:rStyle w:val="Corpsdutexte16105ptNonItalique"/>
          <w:rFonts w:eastAsia="Courier New"/>
        </w:rPr>
        <w:t xml:space="preserve"> Abhandlungen </w:t>
      </w:r>
      <w:r w:rsidRPr="00A117A2">
        <w:t>de Heinrich Bru</w:t>
      </w:r>
      <w:r w:rsidRPr="00A117A2">
        <w:t>n</w:t>
      </w:r>
      <w:r w:rsidRPr="00A117A2">
        <w:t>ner, qui n'ont vu le jour qu'en 1931, soit seize ans après la mort de l'auteur. Dans le cas de Marc Bloch ces difficultés étaient particuli</w:t>
      </w:r>
      <w:r w:rsidRPr="00A117A2">
        <w:t>è</w:t>
      </w:r>
      <w:r w:rsidRPr="00A117A2">
        <w:t>rement redoutables, en raison de l'abondance et de la vari</w:t>
      </w:r>
      <w:r w:rsidRPr="00A117A2">
        <w:t>é</w:t>
      </w:r>
      <w:r w:rsidRPr="00A117A2">
        <w:t>té de sa production ; aussi, au lendemain de la mort de Lucien Febvre, l'entr</w:t>
      </w:r>
      <w:r w:rsidRPr="00A117A2">
        <w:t>e</w:t>
      </w:r>
      <w:r w:rsidRPr="00A117A2">
        <w:t>prise risquait-elle de rester à l'état de projet, si elle n'avait été prise en main par Fernand Braudel, qui s'est dépensé sans com</w:t>
      </w:r>
      <w:r w:rsidRPr="00A117A2">
        <w:t>p</w:t>
      </w:r>
      <w:r w:rsidRPr="00A117A2">
        <w:t>ter pour la faire aboutir et qui a mis à sa disposition le personnel et les moyens mat</w:t>
      </w:r>
      <w:r w:rsidRPr="00A117A2">
        <w:t>é</w:t>
      </w:r>
      <w:r w:rsidRPr="00A117A2">
        <w:t>riels du Centre de recherches historiques qu'il dirige.</w:t>
      </w:r>
    </w:p>
    <w:p w14:paraId="1739A2CB" w14:textId="77777777" w:rsidR="00B9662D" w:rsidRPr="00A117A2" w:rsidRDefault="00B9662D" w:rsidP="00B9662D">
      <w:pPr>
        <w:spacing w:before="120" w:after="120"/>
        <w:jc w:val="both"/>
      </w:pPr>
      <w:r w:rsidRPr="00A117A2">
        <w:t>La réalisation de l'entreprise supposait au point de départ, que fût établi un inventaire de toute la production scient</w:t>
      </w:r>
      <w:r w:rsidRPr="00A117A2">
        <w:t>i</w:t>
      </w:r>
      <w:r w:rsidRPr="00A117A2">
        <w:t xml:space="preserve">fique de Marc Bloch </w:t>
      </w:r>
      <w:r w:rsidRPr="00A117A2">
        <w:lastRenderedPageBreak/>
        <w:t>en dehors des ouvrages signés de son nom. La tâche des éditeurs était au premier abord f</w:t>
      </w:r>
      <w:r w:rsidRPr="00A117A2">
        <w:t>a</w:t>
      </w:r>
      <w:r w:rsidRPr="00A117A2">
        <w:t>cilitée par la découverte dans les papiers de Marc Bloch d'une bibliographie de ses œuvres, établie par lui-même au d</w:t>
      </w:r>
      <w:r w:rsidRPr="00A117A2">
        <w:t>é</w:t>
      </w:r>
      <w:r w:rsidRPr="00A117A2">
        <w:t>but de 1934 et imprimée à l'occasion d'une candid</w:t>
      </w:r>
      <w:r w:rsidRPr="00A117A2">
        <w:t>a</w:t>
      </w:r>
      <w:r w:rsidRPr="00A117A2">
        <w:t>ture au Collège de France, faite à cette date et présentée en même temps qu'un projet v</w:t>
      </w:r>
      <w:r w:rsidRPr="00A117A2">
        <w:t>i</w:t>
      </w:r>
      <w:r w:rsidRPr="00A117A2">
        <w:t>sant à la création d'une chaire d'histoire comparée des sociétés eur</w:t>
      </w:r>
      <w:r w:rsidRPr="00A117A2">
        <w:t>o</w:t>
      </w:r>
      <w:r w:rsidRPr="00A117A2">
        <w:t>péennes. De plus cette bibliographie avait été tenue à jour par l'a</w:t>
      </w:r>
      <w:r w:rsidRPr="00A117A2">
        <w:t>u</w:t>
      </w:r>
      <w:r w:rsidRPr="00A117A2">
        <w:t>teur lui-même, qui, dans les interlignes du texte, avait inséré la me</w:t>
      </w:r>
      <w:r w:rsidRPr="00A117A2">
        <w:t>n</w:t>
      </w:r>
      <w:r w:rsidRPr="00A117A2">
        <w:t>tion de publications qui s'échelonnaient de 1934 à l'été de 1939, date à laque</w:t>
      </w:r>
      <w:r w:rsidRPr="00A117A2">
        <w:t>l</w:t>
      </w:r>
      <w:r w:rsidRPr="00A117A2">
        <w:t>le la guerre vint interrompre l'activité scientifique de Marc Bloch, qui, en dépit de son âge et de ses six enfants, fut mobilisé avec le grade de capitaine dès la fin du mois d'août 1939.</w:t>
      </w:r>
    </w:p>
    <w:p w14:paraId="192713C0" w14:textId="77777777" w:rsidR="00B9662D" w:rsidRPr="003B3476" w:rsidRDefault="00B9662D" w:rsidP="00B9662D">
      <w:pPr>
        <w:spacing w:before="120" w:after="120"/>
        <w:jc w:val="both"/>
      </w:pPr>
      <w:r>
        <w:t>À</w:t>
      </w:r>
      <w:r w:rsidRPr="00A117A2">
        <w:t xml:space="preserve"> en juger par les indications portées sur cette bibliographie, il a</w:t>
      </w:r>
      <w:r w:rsidRPr="00A117A2">
        <w:t>p</w:t>
      </w:r>
      <w:r w:rsidRPr="00A117A2">
        <w:t>paraissait que les articles et comptes rendus représentaient une masse considérable. C'est alors que Fernand Braudel, d'accord avec la fami</w:t>
      </w:r>
      <w:r w:rsidRPr="00A117A2">
        <w:t>l</w:t>
      </w:r>
      <w:r w:rsidRPr="00A117A2">
        <w:t>le de Marc Bloch, me chargea en 1959 d'étudier la question et de pr</w:t>
      </w:r>
      <w:r w:rsidRPr="00A117A2">
        <w:t>é</w:t>
      </w:r>
      <w:r w:rsidRPr="00A117A2">
        <w:t>senter à l'Association Marc Bloch un projet de publication qui fût r</w:t>
      </w:r>
      <w:r w:rsidRPr="00A117A2">
        <w:t>é</w:t>
      </w:r>
      <w:r w:rsidRPr="00A117A2">
        <w:t>alisable. Prenant pour base la bibliographie de 1934-1939, fa</w:t>
      </w:r>
      <w:r w:rsidRPr="00A117A2">
        <w:t>i</w:t>
      </w:r>
      <w:r w:rsidRPr="00A117A2">
        <w:t xml:space="preserve">sant état de tirages à part que je devais à l'amitié de Marc Bloch et procédant à des sondages à travers la </w:t>
      </w:r>
      <w:r w:rsidRPr="003B3476">
        <w:t>collection des</w:t>
      </w:r>
      <w:r w:rsidRPr="003B3476">
        <w:rPr>
          <w:rStyle w:val="Corpsdutexte16105ptNonItalique"/>
          <w:rFonts w:eastAsia="Courier New"/>
          <w:sz w:val="28"/>
        </w:rPr>
        <w:t xml:space="preserve"> Annales, </w:t>
      </w:r>
      <w:r w:rsidRPr="003B3476">
        <w:t>il m'a</w:t>
      </w:r>
      <w:r w:rsidRPr="003B3476">
        <w:t>p</w:t>
      </w:r>
      <w:r w:rsidRPr="003B3476">
        <w:t>parut que cette bibliographie, même enrichie des additions portées par l'auteur ju</w:t>
      </w:r>
      <w:r w:rsidRPr="003B3476">
        <w:t>s</w:t>
      </w:r>
      <w:r w:rsidRPr="003B3476">
        <w:t>qu'en 1939, ne donnait pas l'inventaire complet de sa production ; des articles et des comptes rendus d'importance n'y fig</w:t>
      </w:r>
      <w:r w:rsidRPr="003B3476">
        <w:t>u</w:t>
      </w:r>
      <w:r w:rsidRPr="003B3476">
        <w:t>raient pas. À vrai dire leur absence ne signifiait nullement que l'a</w:t>
      </w:r>
      <w:r w:rsidRPr="003B3476">
        <w:t>u</w:t>
      </w:r>
      <w:r w:rsidRPr="003B3476">
        <w:t>teur les avait écartés parce qu'il les désavouait ; elle s'expliquait soit par une omission, l'a</w:t>
      </w:r>
      <w:r w:rsidRPr="003B3476">
        <w:t>u</w:t>
      </w:r>
      <w:r w:rsidRPr="003B3476">
        <w:t>teur n'ayant pas procédé à une mise à jour systém</w:t>
      </w:r>
      <w:r w:rsidRPr="003B3476">
        <w:t>a</w:t>
      </w:r>
      <w:r w:rsidRPr="003B3476">
        <w:t>tique, soit par des raisons d'un ordre matériel très humble, la difficulté d'insérer de no</w:t>
      </w:r>
      <w:r w:rsidRPr="003B3476">
        <w:t>u</w:t>
      </w:r>
      <w:r w:rsidRPr="003B3476">
        <w:t>velles mentions dans une bibliographie dont le texte était su</w:t>
      </w:r>
      <w:r w:rsidRPr="003B3476">
        <w:t>r</w:t>
      </w:r>
      <w:r w:rsidRPr="003B3476">
        <w:t>chargé et compact.</w:t>
      </w:r>
    </w:p>
    <w:p w14:paraId="0B2D639A" w14:textId="77777777" w:rsidR="00B9662D" w:rsidRPr="00A117A2" w:rsidRDefault="00B9662D" w:rsidP="00B9662D">
      <w:pPr>
        <w:spacing w:before="120" w:after="120"/>
        <w:jc w:val="both"/>
      </w:pPr>
      <w:r w:rsidRPr="003B3476">
        <w:t>À la suite de mes investigations il apparut que les textes à publier étaient plus nombreux qu'on ne l'avait d'abord pensé, d'autant plus nombreux [ix] que, à côté de comptes rendus amplement développés, il fallait faire état d’une masse imposante de comptes re</w:t>
      </w:r>
      <w:r w:rsidRPr="003B3476">
        <w:t>n</w:t>
      </w:r>
      <w:r w:rsidRPr="003B3476">
        <w:t>dus succincts que rien n’autorisait à exclure de prime abord, en dépit de leur brièv</w:t>
      </w:r>
      <w:r w:rsidRPr="003B3476">
        <w:t>e</w:t>
      </w:r>
      <w:r w:rsidRPr="003B3476">
        <w:t>té. En parcourant la collection des</w:t>
      </w:r>
      <w:r>
        <w:rPr>
          <w:rStyle w:val="Corpsdutexte16105ptNonItalique"/>
          <w:rFonts w:eastAsia="Courier New"/>
          <w:sz w:val="28"/>
        </w:rPr>
        <w:t xml:space="preserve"> </w:t>
      </w:r>
      <w:r w:rsidRPr="003B3476">
        <w:rPr>
          <w:rStyle w:val="Corpsdutexte16105ptNonItalique"/>
          <w:rFonts w:eastAsia="Courier New"/>
          <w:i/>
          <w:sz w:val="28"/>
        </w:rPr>
        <w:t>Annales</w:t>
      </w:r>
      <w:r w:rsidRPr="003B3476">
        <w:rPr>
          <w:rStyle w:val="Corpsdutexte16105ptNonItalique"/>
          <w:rFonts w:eastAsia="Courier New"/>
          <w:sz w:val="28"/>
        </w:rPr>
        <w:t xml:space="preserve">, </w:t>
      </w:r>
      <w:r w:rsidRPr="003B3476">
        <w:t>on s’apercevait, en effet, que, à partir de 1929, date de la fondation de la revue, Marc Bloch, disp</w:t>
      </w:r>
      <w:r w:rsidRPr="003B3476">
        <w:t>o</w:t>
      </w:r>
      <w:r w:rsidRPr="003B3476">
        <w:t>sant librement de celle-ci pour pouvoir y défendre sa conception de l’histoire et diffuser des idées qui lui étaient</w:t>
      </w:r>
      <w:r w:rsidRPr="00A117A2">
        <w:t xml:space="preserve"> chères, avait pris </w:t>
      </w:r>
      <w:r w:rsidRPr="00A117A2">
        <w:lastRenderedPageBreak/>
        <w:t>l’habitude de confier aux</w:t>
      </w:r>
      <w:r w:rsidRPr="00A117A2">
        <w:rPr>
          <w:rStyle w:val="Corpsdutexte16105ptNonItalique"/>
          <w:rFonts w:eastAsia="Courier New"/>
        </w:rPr>
        <w:t xml:space="preserve"> Annales </w:t>
      </w:r>
      <w:r w:rsidRPr="00A117A2">
        <w:t>de préférence ce qu’on pourrait app</w:t>
      </w:r>
      <w:r w:rsidRPr="00A117A2">
        <w:t>e</w:t>
      </w:r>
      <w:r w:rsidRPr="00A117A2">
        <w:t>ler des notes de lecture. Je propose ce terme pour désigner des rece</w:t>
      </w:r>
      <w:r w:rsidRPr="00A117A2">
        <w:t>n</w:t>
      </w:r>
      <w:r w:rsidRPr="00A117A2">
        <w:t>sions enfermées en général dans les limites d’une demi-page ou e</w:t>
      </w:r>
      <w:r w:rsidRPr="00A117A2">
        <w:t>x</w:t>
      </w:r>
      <w:r w:rsidRPr="00A117A2">
        <w:t>ceptionnellement d’une page et consacrées à des publ</w:t>
      </w:r>
      <w:r w:rsidRPr="00A117A2">
        <w:t>i</w:t>
      </w:r>
      <w:r w:rsidRPr="00A117A2">
        <w:t>cations qui, en raison de leur minceur ou de la nature trop spéciale du sujet, ne se</w:t>
      </w:r>
      <w:r w:rsidRPr="00A117A2">
        <w:t>m</w:t>
      </w:r>
      <w:r w:rsidRPr="00A117A2">
        <w:t>blaient pas mériter un compte rendu étoffé et présenté sous sa forme traditionnelle. Ces notes de lecture, qui répudiaient la disposition t</w:t>
      </w:r>
      <w:r w:rsidRPr="00A117A2">
        <w:t>y</w:t>
      </w:r>
      <w:r w:rsidRPr="00A117A2">
        <w:t>pogr</w:t>
      </w:r>
      <w:r w:rsidRPr="00A117A2">
        <w:t>a</w:t>
      </w:r>
      <w:r w:rsidRPr="00A117A2">
        <w:t>phique du compte rendu, étaient introduites par un titre bref, mais évocateur, qui attirait l’attention du lecteur. Le procédé avait d’ailleurs l’avantage de permettre de gro</w:t>
      </w:r>
      <w:r w:rsidRPr="00A117A2">
        <w:t>u</w:t>
      </w:r>
      <w:r w:rsidRPr="00A117A2">
        <w:t>per sous un même titre des notes de lecture se rapportant à des publications différentes, mais qui, en raison du sujet traité, offraient d’évidentes analogies.</w:t>
      </w:r>
    </w:p>
    <w:p w14:paraId="6752BCEC" w14:textId="77777777" w:rsidR="00B9662D" w:rsidRPr="00A117A2" w:rsidRDefault="00B9662D" w:rsidP="00B9662D">
      <w:pPr>
        <w:spacing w:before="120" w:after="120"/>
        <w:jc w:val="both"/>
      </w:pPr>
      <w:r w:rsidRPr="00A117A2">
        <w:t>En fin de compte les textes à retenir en vue d’une éventuelle publ</w:t>
      </w:r>
      <w:r w:rsidRPr="00A117A2">
        <w:t>i</w:t>
      </w:r>
      <w:r w:rsidRPr="00A117A2">
        <w:t>cation de</w:t>
      </w:r>
      <w:r w:rsidRPr="00A117A2">
        <w:rPr>
          <w:rStyle w:val="Corpsdutexte16105ptNonItalique"/>
          <w:rFonts w:eastAsia="Courier New"/>
        </w:rPr>
        <w:t xml:space="preserve"> Mélanges </w:t>
      </w:r>
      <w:r w:rsidRPr="00A117A2">
        <w:t>se répartissaient en trois catégories : des articles or</w:t>
      </w:r>
      <w:r w:rsidRPr="00A117A2">
        <w:t>i</w:t>
      </w:r>
      <w:r w:rsidRPr="00A117A2">
        <w:t>ginaux, des comptes rendus développés consacrés à un seul ouvr</w:t>
      </w:r>
      <w:r w:rsidRPr="00A117A2">
        <w:t>a</w:t>
      </w:r>
      <w:r w:rsidRPr="00A117A2">
        <w:t>ge ou à la production historique se rapportant à un même pays (co</w:t>
      </w:r>
      <w:r w:rsidRPr="00A117A2">
        <w:t>m</w:t>
      </w:r>
      <w:r w:rsidRPr="00A117A2">
        <w:t xml:space="preserve">me </w:t>
      </w:r>
      <w:r w:rsidRPr="004436F8">
        <w:t xml:space="preserve">ce fut le cas pour les </w:t>
      </w:r>
      <w:r w:rsidRPr="004436F8">
        <w:rPr>
          <w:rStyle w:val="Corpsdutexte16105ptNonItalique"/>
          <w:rFonts w:eastAsia="Courier New"/>
          <w:i/>
          <w:sz w:val="28"/>
          <w:u w:val="single"/>
        </w:rPr>
        <w:t>Bulletins d’histoire d’Allemagne du Moyen Âge</w:t>
      </w:r>
      <w:r w:rsidRPr="004436F8">
        <w:rPr>
          <w:rStyle w:val="Corpsdutexte16105ptNonItalique"/>
          <w:rFonts w:eastAsia="Courier New"/>
          <w:sz w:val="28"/>
        </w:rPr>
        <w:t xml:space="preserve"> </w:t>
      </w:r>
      <w:r w:rsidRPr="004436F8">
        <w:t>que Marc Bloch fit paraître régulièrement dans la</w:t>
      </w:r>
      <w:r w:rsidRPr="004436F8">
        <w:rPr>
          <w:rStyle w:val="Corpsdutexte16105ptNonItalique"/>
          <w:rFonts w:eastAsia="Courier New"/>
          <w:sz w:val="28"/>
        </w:rPr>
        <w:t xml:space="preserve"> </w:t>
      </w:r>
      <w:r w:rsidRPr="004436F8">
        <w:rPr>
          <w:rStyle w:val="Corpsdutexte16105ptNonItalique"/>
          <w:rFonts w:eastAsia="Courier New"/>
          <w:i/>
          <w:sz w:val="28"/>
          <w:u w:val="single"/>
        </w:rPr>
        <w:t>Revue histor</w:t>
      </w:r>
      <w:r w:rsidRPr="004436F8">
        <w:rPr>
          <w:rStyle w:val="Corpsdutexte16105ptNonItalique"/>
          <w:rFonts w:eastAsia="Courier New"/>
          <w:i/>
          <w:sz w:val="28"/>
          <w:u w:val="single"/>
        </w:rPr>
        <w:t>i</w:t>
      </w:r>
      <w:r w:rsidRPr="004436F8">
        <w:rPr>
          <w:rStyle w:val="Corpsdutexte16105ptNonItalique"/>
          <w:rFonts w:eastAsia="Courier New"/>
          <w:i/>
          <w:sz w:val="28"/>
          <w:u w:val="single"/>
        </w:rPr>
        <w:t>que</w:t>
      </w:r>
      <w:r w:rsidRPr="004436F8">
        <w:rPr>
          <w:rStyle w:val="Corpsdutexte16105ptNonItalique"/>
          <w:rFonts w:eastAsia="Courier New"/>
          <w:sz w:val="28"/>
        </w:rPr>
        <w:t xml:space="preserve"> </w:t>
      </w:r>
      <w:r w:rsidRPr="004436F8">
        <w:t>de 1928 à 1939),</w:t>
      </w:r>
      <w:r w:rsidRPr="00A117A2">
        <w:t xml:space="preserve"> enfin des notes de lecture au sens qui a été défini plus haut, lesdites notes ne pouvant être d’emblée éliminées des</w:t>
      </w:r>
      <w:r w:rsidRPr="00A117A2">
        <w:rPr>
          <w:rStyle w:val="Corpsdutexte16105ptNonItalique"/>
          <w:rFonts w:eastAsia="Courier New"/>
        </w:rPr>
        <w:t xml:space="preserve"> Mélanges, </w:t>
      </w:r>
      <w:r w:rsidRPr="00A117A2">
        <w:t>étant donné qu’elles renferment souvent des vues origin</w:t>
      </w:r>
      <w:r w:rsidRPr="00A117A2">
        <w:t>a</w:t>
      </w:r>
      <w:r w:rsidRPr="00A117A2">
        <w:t>les et qu’elles ne sont jamais indifférentes.</w:t>
      </w:r>
    </w:p>
    <w:p w14:paraId="6C26897E" w14:textId="77777777" w:rsidR="00B9662D" w:rsidRPr="00A117A2" w:rsidRDefault="00B9662D" w:rsidP="00B9662D">
      <w:pPr>
        <w:spacing w:before="120" w:after="120"/>
        <w:jc w:val="both"/>
      </w:pPr>
      <w:r w:rsidRPr="00A117A2">
        <w:t>A la suite du rapport que je lui ai présenté en 1960, l’Association Marc Bloch, adoptant la solution que je recomma</w:t>
      </w:r>
      <w:r w:rsidRPr="00A117A2">
        <w:t>n</w:t>
      </w:r>
      <w:r w:rsidRPr="00A117A2">
        <w:t>dais, a renoncé à publier dès maintenant l’ensemble de ces trois catégories de textes, se contentant pour l’instant de réunir dans le présent volume de</w:t>
      </w:r>
      <w:r w:rsidRPr="00A117A2">
        <w:rPr>
          <w:rStyle w:val="Corpsdutexte16105ptNonItalique"/>
          <w:rFonts w:eastAsia="Courier New"/>
        </w:rPr>
        <w:t xml:space="preserve"> Méla</w:t>
      </w:r>
      <w:r w:rsidRPr="00A117A2">
        <w:rPr>
          <w:rStyle w:val="Corpsdutexte16105ptNonItalique"/>
          <w:rFonts w:eastAsia="Courier New"/>
        </w:rPr>
        <w:t>n</w:t>
      </w:r>
      <w:r w:rsidRPr="00A117A2">
        <w:rPr>
          <w:rStyle w:val="Corpsdutexte16105ptNonItalique"/>
          <w:rFonts w:eastAsia="Courier New"/>
        </w:rPr>
        <w:t xml:space="preserve">ges </w:t>
      </w:r>
      <w:r w:rsidRPr="00A117A2">
        <w:t>les articles originaux de Marc Bloch à l’exclusion des comptes rendus et des notes de lecture. Cette solution a le mérite de ne pas di</w:t>
      </w:r>
      <w:r w:rsidRPr="00A117A2">
        <w:t>f</w:t>
      </w:r>
      <w:r w:rsidRPr="00A117A2">
        <w:t>férer plus longtemps un hommage qui a déjà trop tardé et du même coup de réserver l’avenir. D’ailleurs dans l’intention de préparer la publication éventuelle des comptes rendus et des notes de lecture, on a établi à la fin des présents</w:t>
      </w:r>
      <w:r w:rsidRPr="00A117A2">
        <w:rPr>
          <w:rStyle w:val="Corpsdutexte16105ptNonItalique"/>
          <w:rFonts w:eastAsia="Courier New"/>
        </w:rPr>
        <w:t xml:space="preserve"> Mélanges </w:t>
      </w:r>
      <w:r w:rsidRPr="00A117A2">
        <w:t xml:space="preserve">une bibliographie complète de l’œuvre entière de Marc Bloch. On peut espérer qu’un jour le volume des </w:t>
      </w:r>
      <w:r w:rsidRPr="00A117A2">
        <w:rPr>
          <w:rStyle w:val="Corpsdutexte16105ptNonItalique"/>
          <w:rFonts w:eastAsia="Courier New"/>
        </w:rPr>
        <w:t xml:space="preserve">Mélanges </w:t>
      </w:r>
      <w:r w:rsidRPr="00A117A2">
        <w:t>(a</w:t>
      </w:r>
      <w:r w:rsidRPr="00A117A2">
        <w:t>r</w:t>
      </w:r>
      <w:r w:rsidRPr="00A117A2">
        <w:t>ticles) sera complété par un volume de</w:t>
      </w:r>
      <w:r w:rsidRPr="00A117A2">
        <w:rPr>
          <w:rStyle w:val="Corpsdutexte16105ptNonItalique"/>
          <w:rFonts w:eastAsia="Courier New"/>
        </w:rPr>
        <w:t xml:space="preserve"> Mélanges </w:t>
      </w:r>
      <w:r w:rsidRPr="00A117A2">
        <w:t>(comptes rendus) ; ce jour-là les historiens disposeront sous une fo</w:t>
      </w:r>
      <w:r w:rsidRPr="00A117A2">
        <w:t>r</w:t>
      </w:r>
      <w:r w:rsidRPr="00A117A2">
        <w:t>me maniable de l’ensemble de l’œuvre considérable de Marc Bloch ; l’hommage de</w:t>
      </w:r>
      <w:r w:rsidRPr="00A117A2">
        <w:t>s</w:t>
      </w:r>
      <w:r w:rsidRPr="00A117A2">
        <w:t>tiné à honorer le grand historien aura pris sa forme d</w:t>
      </w:r>
      <w:r w:rsidRPr="00A117A2">
        <w:t>é</w:t>
      </w:r>
      <w:r w:rsidRPr="00A117A2">
        <w:t>finitive.</w:t>
      </w:r>
    </w:p>
    <w:p w14:paraId="1D7585DC" w14:textId="77777777" w:rsidR="00B9662D" w:rsidRPr="00A117A2" w:rsidRDefault="00B9662D" w:rsidP="00B9662D">
      <w:pPr>
        <w:spacing w:before="120" w:after="120"/>
        <w:jc w:val="both"/>
      </w:pPr>
      <w:r w:rsidRPr="00A117A2">
        <w:lastRenderedPageBreak/>
        <w:t>On trouvera donc en principe dans le présent recueil de</w:t>
      </w:r>
      <w:r w:rsidRPr="00A117A2">
        <w:rPr>
          <w:rStyle w:val="Corpsdutexte16105ptNonItalique"/>
          <w:rFonts w:eastAsia="Courier New"/>
        </w:rPr>
        <w:t xml:space="preserve"> Mélanges, </w:t>
      </w:r>
      <w:r w:rsidRPr="00A117A2">
        <w:t>d</w:t>
      </w:r>
      <w:r w:rsidRPr="00A117A2">
        <w:t>i</w:t>
      </w:r>
      <w:r w:rsidRPr="00A117A2">
        <w:t>visé en deux tomes, les articles scientifiques publiés par Marc Bloch ou rédigés par lui en vue d’une publication éventuelle. Cette règle e</w:t>
      </w:r>
      <w:r w:rsidRPr="00A117A2">
        <w:t>x</w:t>
      </w:r>
      <w:r w:rsidRPr="00A117A2">
        <w:t>clut quelques articles de circonstance publiés par Marc Bloch dans une éphémère feuille politique parue lors de la campagne préparato</w:t>
      </w:r>
      <w:r w:rsidRPr="00A117A2">
        <w:t>i</w:t>
      </w:r>
      <w:r w:rsidRPr="00A117A2">
        <w:t>re aux élections législatives de 1928. Toutefois la règle adoptée par l’Association Marc Bloch a subi de légères dérogations. Par un scr</w:t>
      </w:r>
      <w:r w:rsidRPr="00A117A2">
        <w:t>u</w:t>
      </w:r>
      <w:r w:rsidRPr="00A117A2">
        <w:t>pule peut-être excessif, mais dont on comprendra les raisons, on n’a pas accueilli dans les</w:t>
      </w:r>
      <w:r w:rsidRPr="00A117A2">
        <w:rPr>
          <w:rStyle w:val="Corpsdutexte16105ptNonItalique"/>
          <w:rFonts w:eastAsia="Courier New"/>
        </w:rPr>
        <w:t xml:space="preserve"> Mélanges </w:t>
      </w:r>
      <w:r w:rsidRPr="00A117A2">
        <w:t>un très bref</w:t>
      </w:r>
      <w:r>
        <w:t xml:space="preserve"> </w:t>
      </w:r>
      <w:r w:rsidRPr="00A117A2">
        <w:t>[x]</w:t>
      </w:r>
      <w:r>
        <w:t xml:space="preserve"> </w:t>
      </w:r>
      <w:r w:rsidRPr="00A117A2">
        <w:t>article de toponymie r</w:t>
      </w:r>
      <w:r w:rsidRPr="00A117A2">
        <w:t>é</w:t>
      </w:r>
      <w:r w:rsidRPr="00A117A2">
        <w:t>gionale publié par Marc Bloch tout au d</w:t>
      </w:r>
      <w:r w:rsidRPr="00A117A2">
        <w:t>é</w:t>
      </w:r>
      <w:r w:rsidRPr="00A117A2">
        <w:t>but de sa carrière (1912) et dont après coup il a barré la mention qui fig</w:t>
      </w:r>
      <w:r w:rsidRPr="00A117A2">
        <w:t>u</w:t>
      </w:r>
      <w:r w:rsidRPr="00A117A2">
        <w:t>rait sur la bibliographie de 1934</w:t>
      </w:r>
      <w:r>
        <w:t> </w:t>
      </w:r>
      <w:r>
        <w:rPr>
          <w:rStyle w:val="Appelnotedebasdep"/>
        </w:rPr>
        <w:footnoteReference w:id="1"/>
      </w:r>
      <w:r w:rsidRPr="00A117A2">
        <w:t>. En revanche on a jugé bon de r</w:t>
      </w:r>
      <w:r w:rsidRPr="00A117A2">
        <w:t>é</w:t>
      </w:r>
      <w:r w:rsidRPr="00A117A2">
        <w:t xml:space="preserve">éditer dans </w:t>
      </w:r>
      <w:r w:rsidRPr="00D82BB0">
        <w:t xml:space="preserve">les </w:t>
      </w:r>
      <w:r w:rsidRPr="00D82BB0">
        <w:rPr>
          <w:rStyle w:val="Corpsdutexte16105ptNonItalique"/>
          <w:rFonts w:eastAsia="Courier New"/>
          <w:i/>
          <w:sz w:val="28"/>
          <w:u w:val="single"/>
        </w:rPr>
        <w:t>Mélanges</w:t>
      </w:r>
      <w:r w:rsidRPr="00D82BB0">
        <w:rPr>
          <w:rStyle w:val="Corpsdutexte16105ptNonItalique"/>
          <w:rFonts w:eastAsia="Courier New"/>
          <w:sz w:val="28"/>
        </w:rPr>
        <w:t xml:space="preserve"> </w:t>
      </w:r>
      <w:r w:rsidRPr="00D82BB0">
        <w:t>le copieux mémoire publié par l’auteur dans la</w:t>
      </w:r>
      <w:r w:rsidRPr="00D82BB0">
        <w:rPr>
          <w:rStyle w:val="Corpsdutexte16105ptNonItalique"/>
          <w:rFonts w:eastAsia="Courier New"/>
          <w:sz w:val="28"/>
        </w:rPr>
        <w:t xml:space="preserve"> </w:t>
      </w:r>
      <w:r w:rsidRPr="00D82BB0">
        <w:rPr>
          <w:rStyle w:val="Corpsdutexte16105ptNonItalique"/>
          <w:rFonts w:eastAsia="Courier New"/>
          <w:i/>
          <w:sz w:val="28"/>
          <w:u w:val="single"/>
        </w:rPr>
        <w:t>Revue de sy</w:t>
      </w:r>
      <w:r w:rsidRPr="004436F8">
        <w:rPr>
          <w:rStyle w:val="Corpsdutexte16105ptNonItalique"/>
          <w:rFonts w:eastAsia="Courier New"/>
          <w:i/>
          <w:sz w:val="28"/>
          <w:u w:val="single"/>
        </w:rPr>
        <w:t>nthèse hist</w:t>
      </w:r>
      <w:r w:rsidRPr="004436F8">
        <w:rPr>
          <w:rStyle w:val="Corpsdutexte16105ptNonItalique"/>
          <w:rFonts w:eastAsia="Courier New"/>
          <w:i/>
          <w:sz w:val="28"/>
          <w:u w:val="single"/>
        </w:rPr>
        <w:t>o</w:t>
      </w:r>
      <w:r w:rsidRPr="004436F8">
        <w:rPr>
          <w:rStyle w:val="Corpsdutexte16105ptNonItalique"/>
          <w:rFonts w:eastAsia="Courier New"/>
          <w:i/>
          <w:sz w:val="28"/>
          <w:u w:val="single"/>
        </w:rPr>
        <w:t>rique</w:t>
      </w:r>
      <w:r w:rsidRPr="00A117A2">
        <w:rPr>
          <w:rStyle w:val="Corpsdutexte16105ptNonItalique"/>
          <w:rFonts w:eastAsia="Courier New"/>
        </w:rPr>
        <w:t xml:space="preserve"> </w:t>
      </w:r>
      <w:r w:rsidRPr="00A117A2">
        <w:t>en 1913 et consacré à l’Île-de-France (R</w:t>
      </w:r>
      <w:r w:rsidRPr="00A117A2">
        <w:t>é</w:t>
      </w:r>
      <w:r w:rsidRPr="00A117A2">
        <w:t>gions autour de Paris), bien que ledit article ait donné lieu à un tirage spécial destiné à la ve</w:t>
      </w:r>
      <w:r w:rsidRPr="00A117A2">
        <w:t>n</w:t>
      </w:r>
      <w:r w:rsidRPr="00A117A2">
        <w:t>te, ceci dans la pensée de mettre à la di</w:t>
      </w:r>
      <w:r w:rsidRPr="00A117A2">
        <w:t>s</w:t>
      </w:r>
      <w:r w:rsidRPr="00A117A2">
        <w:t>position des historiens une monographie, aujourd'hui épuisée en librairie et qui est toujours int</w:t>
      </w:r>
      <w:r w:rsidRPr="00A117A2">
        <w:t>é</w:t>
      </w:r>
      <w:r w:rsidRPr="00A117A2">
        <w:t>ressante à consulter. Ajoutons que les articles ont été reproduits fid</w:t>
      </w:r>
      <w:r w:rsidRPr="00A117A2">
        <w:t>è</w:t>
      </w:r>
      <w:r w:rsidRPr="00A117A2">
        <w:t>lement d'après le texte de la publ</w:t>
      </w:r>
      <w:r w:rsidRPr="00A117A2">
        <w:t>i</w:t>
      </w:r>
      <w:r w:rsidRPr="00A117A2">
        <w:t>cation où ils ont paru ; toutefois, dans un cas particulier, celui de l’important mémoire intitulé</w:t>
      </w:r>
      <w:r w:rsidRPr="00A117A2">
        <w:rPr>
          <w:rStyle w:val="Corpsdutexte16105ptNonItalique"/>
          <w:rFonts w:eastAsia="Courier New"/>
        </w:rPr>
        <w:t xml:space="preserve"> </w:t>
      </w:r>
      <w:r w:rsidRPr="004436F8">
        <w:rPr>
          <w:rStyle w:val="Corpsdutexte16105ptNonItalique"/>
          <w:rFonts w:eastAsia="Courier New"/>
          <w:i/>
          <w:sz w:val="28"/>
          <w:u w:val="single"/>
        </w:rPr>
        <w:t>Liberté et servitude personnelles au Moyen Âge</w:t>
      </w:r>
      <w:r w:rsidRPr="00A117A2">
        <w:rPr>
          <w:rStyle w:val="Corpsdutexte16105ptNonItalique"/>
          <w:rFonts w:eastAsia="Courier New"/>
        </w:rPr>
        <w:t xml:space="preserve">, </w:t>
      </w:r>
      <w:r w:rsidRPr="00A117A2">
        <w:t>il a fallu so</w:t>
      </w:r>
      <w:r w:rsidRPr="00A117A2">
        <w:t>u</w:t>
      </w:r>
      <w:r w:rsidRPr="00A117A2">
        <w:t>mettre le texte à une révision très sérieuse. Ce mémoire, en effet, a été imprimé dans une revue espagnole dont les proies, peu f</w:t>
      </w:r>
      <w:r w:rsidRPr="00A117A2">
        <w:t>a</w:t>
      </w:r>
      <w:r w:rsidRPr="00A117A2">
        <w:t>miliarisés avec un texte rédigé en français, ont commis des nombreuses bévues et manifest</w:t>
      </w:r>
      <w:r w:rsidRPr="00A117A2">
        <w:t>e</w:t>
      </w:r>
      <w:r w:rsidRPr="00A117A2">
        <w:t>ment ont négligé ou ont interprété à contr</w:t>
      </w:r>
      <w:r>
        <w:t>et</w:t>
      </w:r>
      <w:r w:rsidRPr="00A117A2">
        <w:t>emps des corrections s</w:t>
      </w:r>
      <w:r w:rsidRPr="00A117A2">
        <w:t>i</w:t>
      </w:r>
      <w:r w:rsidRPr="00A117A2">
        <w:t>gnalées par l'auteur.</w:t>
      </w:r>
    </w:p>
    <w:p w14:paraId="409D0FBB" w14:textId="77777777" w:rsidR="00B9662D" w:rsidRPr="00A117A2" w:rsidRDefault="00B9662D" w:rsidP="00B9662D">
      <w:pPr>
        <w:spacing w:before="120" w:after="120"/>
        <w:jc w:val="both"/>
      </w:pPr>
      <w:r w:rsidRPr="00A117A2">
        <w:t>Les différents articles ont été rangés sous un certain nombre de r</w:t>
      </w:r>
      <w:r w:rsidRPr="00A117A2">
        <w:t>u</w:t>
      </w:r>
      <w:r w:rsidRPr="00A117A2">
        <w:t>briques, celles-là mêmes qu'avait adoptées Marc Bloch en 1934 pour établir la bibliographie dont il a été question plus haut. Il suffit de se reporter à la Table des matières du volume pour r</w:t>
      </w:r>
      <w:r w:rsidRPr="00A117A2">
        <w:t>e</w:t>
      </w:r>
      <w:r w:rsidRPr="00A117A2">
        <w:t>trouver, à travers l'extrême variété des articles, les thèmes princ</w:t>
      </w:r>
      <w:r w:rsidRPr="00A117A2">
        <w:t>i</w:t>
      </w:r>
      <w:r w:rsidRPr="00A117A2">
        <w:t>paux qui ont scandé l'activité scientifique de Marc Bloch. Il n'est pas sans intérêt de rapp</w:t>
      </w:r>
      <w:r w:rsidRPr="00A117A2">
        <w:t>e</w:t>
      </w:r>
      <w:r w:rsidRPr="00A117A2">
        <w:t>ler, à ce propos, en une très brève esquisse, ce que fut la ca</w:t>
      </w:r>
      <w:r w:rsidRPr="00A117A2">
        <w:t>r</w:t>
      </w:r>
      <w:r w:rsidRPr="00A117A2">
        <w:t>rière de l'historien ; si le programme de travail qu'il s'était primitiv</w:t>
      </w:r>
      <w:r w:rsidRPr="00A117A2">
        <w:t>e</w:t>
      </w:r>
      <w:r w:rsidRPr="00A117A2">
        <w:t xml:space="preserve">ment fixé a </w:t>
      </w:r>
      <w:r w:rsidRPr="00A117A2">
        <w:lastRenderedPageBreak/>
        <w:t>subi de légères modifications, il n'a cessé de bénéficier d'enrichiss</w:t>
      </w:r>
      <w:r w:rsidRPr="00A117A2">
        <w:t>e</w:t>
      </w:r>
      <w:r w:rsidRPr="00A117A2">
        <w:t>ments et de renouvellements successifs.</w:t>
      </w:r>
    </w:p>
    <w:p w14:paraId="6471455C" w14:textId="77777777" w:rsidR="00B9662D" w:rsidRPr="00A117A2" w:rsidRDefault="00B9662D" w:rsidP="00B9662D">
      <w:pPr>
        <w:pStyle w:val="c"/>
      </w:pPr>
      <w:r w:rsidRPr="00A117A2">
        <w:t>*</w:t>
      </w:r>
      <w:r w:rsidRPr="00A117A2">
        <w:br/>
        <w:t>*     *</w:t>
      </w:r>
    </w:p>
    <w:p w14:paraId="687EBEC0" w14:textId="77777777" w:rsidR="00B9662D" w:rsidRPr="00A117A2" w:rsidRDefault="00B9662D" w:rsidP="00B9662D">
      <w:pPr>
        <w:spacing w:before="120" w:after="120"/>
        <w:jc w:val="both"/>
      </w:pPr>
      <w:r w:rsidRPr="00A117A2">
        <w:t>À la veille de la guerre de 1914, Marc Bloch, qui, après avoir pr</w:t>
      </w:r>
      <w:r w:rsidRPr="00A117A2">
        <w:t>o</w:t>
      </w:r>
      <w:r w:rsidRPr="00A117A2">
        <w:t>fité des trois années de loisirs que la Fondation Thiers o</w:t>
      </w:r>
      <w:r w:rsidRPr="00A117A2">
        <w:t>c</w:t>
      </w:r>
      <w:r w:rsidRPr="00A117A2">
        <w:t>troyait à ses pensionnaires, occupait un poste de professeur au lycée d'Amiens, était engagé dans de vastes dépouillements d'a</w:t>
      </w:r>
      <w:r w:rsidRPr="00A117A2">
        <w:t>r</w:t>
      </w:r>
      <w:r w:rsidRPr="00A117A2">
        <w:t>chives en vue d'une thèse de doctorat, dont le sujet portait sur les classes rurales (l'expre</w:t>
      </w:r>
      <w:r w:rsidRPr="00A117A2">
        <w:t>s</w:t>
      </w:r>
      <w:r w:rsidRPr="00A117A2">
        <w:t>sion était alors à la mode) dans la région parisienne au Moyen Âge, l'auteur donnant à l'expression région p</w:t>
      </w:r>
      <w:r w:rsidRPr="00A117A2">
        <w:t>a</w:t>
      </w:r>
      <w:r w:rsidRPr="00A117A2">
        <w:t>risienne le sens qu'il a précisé dans son opuscule sur l’Ile-de-France. Au lendemain de l'armistice de 1918, alors que les mobilisés entrevoyaient un pr</w:t>
      </w:r>
      <w:r w:rsidRPr="00A117A2">
        <w:t>o</w:t>
      </w:r>
      <w:r w:rsidRPr="00A117A2">
        <w:t>che retour à la vie normale, Marc Bloch, qui avait fait toute la guerre dans l'infanterie, songeait à reprendre dès que possible ses reche</w:t>
      </w:r>
      <w:r w:rsidRPr="00A117A2">
        <w:t>r</w:t>
      </w:r>
      <w:r w:rsidRPr="00A117A2">
        <w:t>ches, mais déjà son programme de travail s'était quelque peu élargi.</w:t>
      </w:r>
    </w:p>
    <w:p w14:paraId="6168ADE8" w14:textId="77777777" w:rsidR="00B9662D" w:rsidRPr="00A117A2" w:rsidRDefault="00B9662D" w:rsidP="00B9662D">
      <w:pPr>
        <w:spacing w:before="120" w:after="120"/>
        <w:jc w:val="both"/>
      </w:pPr>
      <w:r w:rsidRPr="00A117A2">
        <w:t>Je n'en veux pour preuve qu'une confidence que me fit mon coll</w:t>
      </w:r>
      <w:r w:rsidRPr="00A117A2">
        <w:t>è</w:t>
      </w:r>
      <w:r w:rsidRPr="00A117A2">
        <w:t>gue en février 1919, alors que nous étions tous deux affectés au serv</w:t>
      </w:r>
      <w:r w:rsidRPr="00A117A2">
        <w:t>i</w:t>
      </w:r>
      <w:r w:rsidRPr="00A117A2">
        <w:t>ce de l'enseignement à Strasbourg, en attendant une d</w:t>
      </w:r>
      <w:r w:rsidRPr="00A117A2">
        <w:t>é</w:t>
      </w:r>
      <w:r w:rsidRPr="00A117A2">
        <w:t>mobilisation que nous espérions prochaine. Profitant d'une journée d'hiver ensolei</w:t>
      </w:r>
      <w:r w:rsidRPr="00A117A2">
        <w:t>l</w:t>
      </w:r>
      <w:r w:rsidRPr="00A117A2">
        <w:t>lée, nous avions projeté de faire l'excursion du Haut-Barr, sommet des Basses-Vosges, qui domine Saverne et qui réserve des vues éte</w:t>
      </w:r>
      <w:r w:rsidRPr="00A117A2">
        <w:t>n</w:t>
      </w:r>
      <w:r w:rsidRPr="00A117A2">
        <w:t>dues sur la plaine d'Alsace. Alors que, parvenus au terme de notre excu</w:t>
      </w:r>
      <w:r w:rsidRPr="00A117A2">
        <w:t>r</w:t>
      </w:r>
      <w:r w:rsidRPr="00A117A2">
        <w:t>sion, nou</w:t>
      </w:r>
      <w:r>
        <w:t>s parcourions du regard le pano</w:t>
      </w:r>
      <w:r w:rsidRPr="00A117A2">
        <w:t>rama</w:t>
      </w:r>
      <w:r w:rsidRPr="00D82BB0">
        <w:t xml:space="preserve"> [xi]</w:t>
      </w:r>
      <w:r w:rsidRPr="00A117A2">
        <w:t xml:space="preserve"> pittoresque que nous avions sous les yeux et que par e</w:t>
      </w:r>
      <w:r w:rsidRPr="00A117A2">
        <w:t>x</w:t>
      </w:r>
      <w:r w:rsidRPr="00A117A2">
        <w:t>ception ce jour-là ne voilait aucune brume, Marc Bloch, m'entr</w:t>
      </w:r>
      <w:r w:rsidRPr="00A117A2">
        <w:t>e</w:t>
      </w:r>
      <w:r w:rsidRPr="00A117A2">
        <w:t>tenant de ses projets de travail, me dit :</w:t>
      </w:r>
      <w:r w:rsidRPr="00A117A2">
        <w:rPr>
          <w:rStyle w:val="Corpsdutexte16105ptNonItalique"/>
          <w:rFonts w:eastAsia="Courier New"/>
        </w:rPr>
        <w:t xml:space="preserve"> « </w:t>
      </w:r>
      <w:r w:rsidRPr="00A117A2">
        <w:t>Quand j'en aurai fini avec mes r</w:t>
      </w:r>
      <w:r w:rsidRPr="00A117A2">
        <w:t>u</w:t>
      </w:r>
      <w:r w:rsidRPr="00A117A2">
        <w:t>raux, j'aborderai l'étude de l'onction du sacre royal de Reims</w:t>
      </w:r>
      <w:r w:rsidRPr="00A117A2">
        <w:rPr>
          <w:rStyle w:val="Corpsdutexte16105ptNonItalique"/>
          <w:rFonts w:eastAsia="Courier New"/>
        </w:rPr>
        <w:t xml:space="preserve"> », </w:t>
      </w:r>
      <w:r w:rsidRPr="00A117A2">
        <w:t>puis, au cours de notre convers</w:t>
      </w:r>
      <w:r w:rsidRPr="00A117A2">
        <w:t>a</w:t>
      </w:r>
      <w:r w:rsidRPr="00A117A2">
        <w:t>tion, il me fit remarquer le dessin des champs qui parsemaient la pla</w:t>
      </w:r>
      <w:r w:rsidRPr="00A117A2">
        <w:t>i</w:t>
      </w:r>
      <w:r w:rsidRPr="00A117A2">
        <w:t>ne et dont l'extrême morcellement était saisi</w:t>
      </w:r>
      <w:r w:rsidRPr="00A117A2">
        <w:t>s</w:t>
      </w:r>
      <w:r w:rsidRPr="00A117A2">
        <w:t>sant. J'ai toujours eu le sentiment que ce jour-là, du haut du be</w:t>
      </w:r>
      <w:r w:rsidRPr="00A117A2">
        <w:t>l</w:t>
      </w:r>
      <w:r w:rsidRPr="00A117A2">
        <w:t>védère du Haut-Barr, Marc Bloch, qui jusqu'alors avait atteint la pa</w:t>
      </w:r>
      <w:r w:rsidRPr="00A117A2">
        <w:t>y</w:t>
      </w:r>
      <w:r w:rsidRPr="00A117A2">
        <w:t>sannerie d'autrefois par le truchement des documents d'archives, avait pris direct</w:t>
      </w:r>
      <w:r w:rsidRPr="00A117A2">
        <w:t>e</w:t>
      </w:r>
      <w:r w:rsidRPr="00A117A2">
        <w:t>ment contact avec ce problème des régimes agraires, qui par la suite devait sans r</w:t>
      </w:r>
      <w:r w:rsidRPr="00A117A2">
        <w:t>e</w:t>
      </w:r>
      <w:r w:rsidRPr="00A117A2">
        <w:t>lâche s'imposer à son attention.</w:t>
      </w:r>
    </w:p>
    <w:p w14:paraId="07E4752D" w14:textId="77777777" w:rsidR="00B9662D" w:rsidRPr="00A117A2" w:rsidRDefault="00B9662D" w:rsidP="00B9662D">
      <w:pPr>
        <w:spacing w:before="120" w:after="120"/>
        <w:jc w:val="both"/>
      </w:pPr>
      <w:r w:rsidRPr="00A117A2">
        <w:t>Démobilisé en mars 1919, nommé maître de conférences à la F</w:t>
      </w:r>
      <w:r w:rsidRPr="00A117A2">
        <w:t>a</w:t>
      </w:r>
      <w:r w:rsidRPr="00A117A2">
        <w:t xml:space="preserve">culté des Lettres de Strasbourg au mois d'octobre suivant, Marc Bloch, </w:t>
      </w:r>
      <w:r w:rsidRPr="00A117A2">
        <w:lastRenderedPageBreak/>
        <w:t>profitant des mesures prises en faveur des candidats au doctorat d</w:t>
      </w:r>
      <w:r w:rsidRPr="00A117A2">
        <w:t>é</w:t>
      </w:r>
      <w:r w:rsidRPr="00A117A2">
        <w:t>mobilisés, soumit au jugement de la Sorbonne dès 1920 une ét</w:t>
      </w:r>
      <w:r w:rsidRPr="00A117A2">
        <w:t>u</w:t>
      </w:r>
      <w:r w:rsidRPr="00A117A2">
        <w:t>de</w:t>
      </w:r>
      <w:r w:rsidRPr="00A117A2">
        <w:rPr>
          <w:rStyle w:val="Corpsdutexte16105ptNonItalique"/>
          <w:rFonts w:eastAsia="Courier New"/>
        </w:rPr>
        <w:t xml:space="preserve"> (Rois et serfs) </w:t>
      </w:r>
      <w:r w:rsidRPr="00A117A2">
        <w:t>qui n'était qu'une partie de l'étude beaucoup plus ample qu'il avait projeté de mener à bien. On doit se féliciter grand</w:t>
      </w:r>
      <w:r w:rsidRPr="00A117A2">
        <w:t>e</w:t>
      </w:r>
      <w:r w:rsidRPr="00A117A2">
        <w:t>ment de la solution adoptée par Marc Bloch ; celui-ci, délivré rap</w:t>
      </w:r>
      <w:r w:rsidRPr="00A117A2">
        <w:t>i</w:t>
      </w:r>
      <w:r w:rsidRPr="00A117A2">
        <w:t>dement de la lourde corvée du doctorat, a pu, sans tarder, tout en mettant en train son enseignement à la Faculté des Lettres de Strasbourg, comme</w:t>
      </w:r>
      <w:r w:rsidRPr="00A117A2">
        <w:t>n</w:t>
      </w:r>
      <w:r w:rsidRPr="00A117A2">
        <w:t>cer ces dépouillements prolongés, qui ont gonflé ses dossiers et nourri une série d'études, dont l'horizon, dépassant hardiment la région parisie</w:t>
      </w:r>
      <w:r w:rsidRPr="00A117A2">
        <w:t>n</w:t>
      </w:r>
      <w:r w:rsidRPr="00A117A2">
        <w:t>ne, allait en fin de compte s'étendre à une grande partie de l'Europe occidentale. Toutefois, au cours de ses premières années de Stra</w:t>
      </w:r>
      <w:r w:rsidRPr="00A117A2">
        <w:t>s</w:t>
      </w:r>
      <w:r w:rsidRPr="00A117A2">
        <w:t>bourg, tout en commençant les dépouillements en que</w:t>
      </w:r>
      <w:r w:rsidRPr="00A117A2">
        <w:t>s</w:t>
      </w:r>
      <w:r w:rsidRPr="00A117A2">
        <w:t>tion, Marc Bloch a consacré une large partie de son temps à l'étude de l'onction royale, étude qui trouva son couronn</w:t>
      </w:r>
      <w:r w:rsidRPr="00A117A2">
        <w:t>e</w:t>
      </w:r>
      <w:r w:rsidRPr="00A117A2">
        <w:t>ment dans son ouvrage,</w:t>
      </w:r>
      <w:r w:rsidRPr="00A117A2">
        <w:rPr>
          <w:rStyle w:val="Corpsdutexte16105ptNonItalique"/>
          <w:rFonts w:eastAsia="Courier New"/>
        </w:rPr>
        <w:t xml:space="preserve"> </w:t>
      </w:r>
      <w:r w:rsidRPr="004436F8">
        <w:rPr>
          <w:rStyle w:val="Corpsdutexte16105ptNonItalique"/>
          <w:rFonts w:eastAsia="Courier New"/>
          <w:i/>
          <w:sz w:val="28"/>
          <w:u w:val="single"/>
        </w:rPr>
        <w:t>Les rois thaumaturges</w:t>
      </w:r>
      <w:r>
        <w:rPr>
          <w:rStyle w:val="Corpsdutexte16105ptNonItalique"/>
          <w:rFonts w:eastAsia="Courier New"/>
          <w:sz w:val="28"/>
          <w:u w:val="single"/>
        </w:rPr>
        <w:t> </w:t>
      </w:r>
      <w:r>
        <w:rPr>
          <w:rStyle w:val="Appelnotedebasdep"/>
          <w:rFonts w:eastAsia="Courier New"/>
          <w:szCs w:val="21"/>
          <w:u w:val="single"/>
          <w:lang w:val="fr-FR" w:eastAsia="fr-FR" w:bidi="fr-FR"/>
        </w:rPr>
        <w:footnoteReference w:customMarkFollows="1" w:id="2"/>
        <w:t>*</w:t>
      </w:r>
      <w:r w:rsidRPr="004436F8">
        <w:rPr>
          <w:rStyle w:val="Corpsdutexte16105ptNonItalique"/>
          <w:rFonts w:eastAsia="Courier New"/>
          <w:sz w:val="28"/>
        </w:rPr>
        <w:t>,</w:t>
      </w:r>
      <w:r w:rsidRPr="00A117A2">
        <w:rPr>
          <w:rStyle w:val="Corpsdutexte16105ptNonItalique"/>
          <w:rFonts w:eastAsia="Courier New"/>
        </w:rPr>
        <w:t xml:space="preserve"> </w:t>
      </w:r>
      <w:r w:rsidRPr="00A117A2">
        <w:t>paru en 1924.</w:t>
      </w:r>
    </w:p>
    <w:p w14:paraId="626FF54B" w14:textId="77777777" w:rsidR="00B9662D" w:rsidRPr="004436F8" w:rsidRDefault="00B9662D" w:rsidP="00B9662D">
      <w:pPr>
        <w:spacing w:before="120" w:after="120"/>
        <w:jc w:val="both"/>
      </w:pPr>
      <w:r w:rsidRPr="00A117A2">
        <w:t>Il est à noter que, après cette date, Marc Bloch n'est plus revenu sur la question de l'onction royale ; l'ouvrage qu'il lui a consacré fait à cet égard figure unique dans son œuvre ; il se suffit en quelque sorte à lui-même : il n'a été préparé par aucun article et il n'a été suivi d'aucune étude complémentaire. Il en va différemment des autres o</w:t>
      </w:r>
      <w:r w:rsidRPr="00A117A2">
        <w:t>u</w:t>
      </w:r>
      <w:r w:rsidRPr="00A117A2">
        <w:t>vrages de Marc Bloch ; ceux-ci se sont nourris d'articles qui les avaient en que</w:t>
      </w:r>
      <w:r w:rsidRPr="00A117A2">
        <w:t>l</w:t>
      </w:r>
      <w:r w:rsidRPr="004436F8">
        <w:t>que sorte préparés et parfois ils ont donné lieu à des études postérie</w:t>
      </w:r>
      <w:r w:rsidRPr="004436F8">
        <w:t>u</w:t>
      </w:r>
      <w:r w:rsidRPr="004436F8">
        <w:t>res, qui leur ont apporté quelque complément. Ainsi de nombreux a</w:t>
      </w:r>
      <w:r w:rsidRPr="004436F8">
        <w:t>r</w:t>
      </w:r>
      <w:r w:rsidRPr="004436F8">
        <w:t xml:space="preserve">ticles sur le servage et les institutions féodales annoncent </w:t>
      </w:r>
      <w:r w:rsidRPr="004436F8">
        <w:rPr>
          <w:rStyle w:val="Corpsdutexte16105ptNonItalique"/>
          <w:rFonts w:eastAsia="Courier New"/>
          <w:i/>
          <w:sz w:val="28"/>
          <w:u w:val="single"/>
        </w:rPr>
        <w:t>La Société fé</w:t>
      </w:r>
      <w:r w:rsidRPr="004436F8">
        <w:rPr>
          <w:rStyle w:val="Corpsdutexte16105ptNonItalique"/>
          <w:rFonts w:eastAsia="Courier New"/>
          <w:i/>
          <w:sz w:val="28"/>
          <w:u w:val="single"/>
        </w:rPr>
        <w:t>o</w:t>
      </w:r>
      <w:r w:rsidRPr="004436F8">
        <w:rPr>
          <w:rStyle w:val="Corpsdutexte16105ptNonItalique"/>
          <w:rFonts w:eastAsia="Courier New"/>
          <w:i/>
          <w:sz w:val="28"/>
          <w:u w:val="single"/>
        </w:rPr>
        <w:t>dale </w:t>
      </w:r>
      <w:r w:rsidRPr="004436F8">
        <w:rPr>
          <w:rStyle w:val="Corpsdutexte16105ptNonItalique"/>
          <w:rFonts w:eastAsia="Courier New"/>
          <w:sz w:val="28"/>
        </w:rPr>
        <w:t xml:space="preserve">; </w:t>
      </w:r>
      <w:r w:rsidRPr="004436F8">
        <w:t>une conférence de 1936 évoque quelques-uns des thèmes qui s</w:t>
      </w:r>
      <w:r w:rsidRPr="004436F8">
        <w:t>e</w:t>
      </w:r>
      <w:r w:rsidRPr="004436F8">
        <w:t>ront amplement développés dans</w:t>
      </w:r>
      <w:r w:rsidRPr="004436F8">
        <w:rPr>
          <w:rStyle w:val="Corpsdutexte16105ptNonItalique"/>
          <w:rFonts w:eastAsia="Courier New"/>
          <w:sz w:val="28"/>
        </w:rPr>
        <w:t> </w:t>
      </w:r>
      <w:r w:rsidRPr="004436F8">
        <w:rPr>
          <w:rStyle w:val="Corpsdutexte16105ptNonItalique"/>
          <w:rFonts w:eastAsia="Courier New"/>
          <w:i/>
          <w:sz w:val="28"/>
          <w:u w:val="single"/>
        </w:rPr>
        <w:t>Apologie pour l’histoire </w:t>
      </w:r>
      <w:r w:rsidRPr="004436F8">
        <w:rPr>
          <w:rStyle w:val="Corpsdutexte16105ptNonItalique"/>
          <w:rFonts w:eastAsia="Courier New"/>
          <w:sz w:val="28"/>
        </w:rPr>
        <w:t xml:space="preserve">; </w:t>
      </w:r>
      <w:r w:rsidRPr="004436F8">
        <w:t>bien des chap</w:t>
      </w:r>
      <w:r w:rsidRPr="004436F8">
        <w:t>i</w:t>
      </w:r>
      <w:r w:rsidRPr="004436F8">
        <w:t>tres des</w:t>
      </w:r>
      <w:r w:rsidRPr="004436F8">
        <w:rPr>
          <w:rStyle w:val="Corpsdutexte16105ptNonItalique"/>
          <w:rFonts w:eastAsia="Courier New"/>
          <w:sz w:val="28"/>
        </w:rPr>
        <w:t xml:space="preserve"> </w:t>
      </w:r>
      <w:r w:rsidRPr="004436F8">
        <w:rPr>
          <w:rStyle w:val="Corpsdutexte16105ptNonItalique"/>
          <w:rFonts w:eastAsia="Courier New"/>
          <w:i/>
          <w:sz w:val="28"/>
          <w:u w:val="single"/>
        </w:rPr>
        <w:t>Caractères originaux</w:t>
      </w:r>
      <w:r w:rsidRPr="004436F8">
        <w:rPr>
          <w:rStyle w:val="Corpsdutexte16105ptNonItalique"/>
          <w:rFonts w:eastAsia="Courier New"/>
          <w:sz w:val="28"/>
        </w:rPr>
        <w:t xml:space="preserve"> </w:t>
      </w:r>
      <w:r w:rsidRPr="004436F8">
        <w:t>ont été mis au point par le moyen d'articles qui ont débroussaillé la matière, cepe</w:t>
      </w:r>
      <w:r w:rsidRPr="004436F8">
        <w:t>n</w:t>
      </w:r>
      <w:r w:rsidRPr="004436F8">
        <w:t>dant que des études postérieures sur les parcellaires et les régimes agraires en ont enrichi et précisé la rédaction. Dans cet ordre d'idées, on ne manquera pas de remarquer que les articles groupés à la Table des matières sous la r</w:t>
      </w:r>
      <w:r w:rsidRPr="004436F8">
        <w:t>u</w:t>
      </w:r>
      <w:r w:rsidRPr="004436F8">
        <w:t>brique</w:t>
      </w:r>
      <w:r w:rsidRPr="004436F8">
        <w:rPr>
          <w:rStyle w:val="Corpsdutexte16105ptNonItalique"/>
          <w:rFonts w:eastAsia="Courier New"/>
          <w:sz w:val="28"/>
        </w:rPr>
        <w:t> </w:t>
      </w:r>
      <w:r w:rsidRPr="004436F8">
        <w:rPr>
          <w:rStyle w:val="Corpsdutexte16105ptNonItalique"/>
          <w:rFonts w:eastAsia="Courier New"/>
          <w:i/>
          <w:sz w:val="28"/>
          <w:u w:val="single"/>
        </w:rPr>
        <w:t>Aspects de la mentalité médiévale</w:t>
      </w:r>
      <w:r w:rsidRPr="004436F8">
        <w:rPr>
          <w:rStyle w:val="Corpsdutexte16105ptNonItalique"/>
          <w:rFonts w:eastAsia="Courier New"/>
          <w:sz w:val="28"/>
        </w:rPr>
        <w:t xml:space="preserve"> </w:t>
      </w:r>
      <w:r w:rsidRPr="004436F8">
        <w:t>forment un ensemble relat</w:t>
      </w:r>
      <w:r w:rsidRPr="004436F8">
        <w:t>i</w:t>
      </w:r>
      <w:r w:rsidRPr="004436F8">
        <w:t>vement peu fourni ; dans ce cas particulier les nombreux dossiers constitués par l'auteur ont été élaborés directement au profit de</w:t>
      </w:r>
      <w:r w:rsidRPr="004436F8">
        <w:rPr>
          <w:rStyle w:val="Corpsdutexte16105ptNonItalique"/>
          <w:rFonts w:eastAsia="Courier New"/>
          <w:sz w:val="28"/>
        </w:rPr>
        <w:t xml:space="preserve"> La S</w:t>
      </w:r>
      <w:r w:rsidRPr="004436F8">
        <w:rPr>
          <w:rStyle w:val="Corpsdutexte16105ptNonItalique"/>
          <w:rFonts w:eastAsia="Courier New"/>
          <w:sz w:val="28"/>
        </w:rPr>
        <w:t>o</w:t>
      </w:r>
      <w:r w:rsidRPr="004436F8">
        <w:rPr>
          <w:rStyle w:val="Corpsdutexte16105ptNonItalique"/>
          <w:rFonts w:eastAsia="Courier New"/>
          <w:sz w:val="28"/>
        </w:rPr>
        <w:lastRenderedPageBreak/>
        <w:t xml:space="preserve">ciété féodale, </w:t>
      </w:r>
      <w:r w:rsidRPr="004436F8">
        <w:t>où ils constituent un livre tout entier (Livre II,</w:t>
      </w:r>
      <w:r w:rsidRPr="004436F8">
        <w:rPr>
          <w:rStyle w:val="Corpsdutexte16105ptNonItalique"/>
          <w:rFonts w:eastAsia="Courier New"/>
          <w:sz w:val="28"/>
        </w:rPr>
        <w:t xml:space="preserve"> </w:t>
      </w:r>
      <w:r w:rsidRPr="004436F8">
        <w:rPr>
          <w:rStyle w:val="Corpsdutexte16105ptNonItalique"/>
          <w:rFonts w:eastAsia="Courier New"/>
          <w:i/>
          <w:sz w:val="28"/>
          <w:u w:val="single"/>
        </w:rPr>
        <w:t>Les co</w:t>
      </w:r>
      <w:r w:rsidRPr="004436F8">
        <w:rPr>
          <w:rStyle w:val="Corpsdutexte16105ptNonItalique"/>
          <w:rFonts w:eastAsia="Courier New"/>
          <w:i/>
          <w:sz w:val="28"/>
          <w:u w:val="single"/>
        </w:rPr>
        <w:t>n</w:t>
      </w:r>
      <w:r w:rsidRPr="004436F8">
        <w:rPr>
          <w:rStyle w:val="Corpsdutexte16105ptNonItalique"/>
          <w:rFonts w:eastAsia="Courier New"/>
          <w:i/>
          <w:sz w:val="28"/>
          <w:u w:val="single"/>
        </w:rPr>
        <w:t>ditions de vie et l’atmosphère mentale</w:t>
      </w:r>
      <w:r w:rsidRPr="004436F8">
        <w:rPr>
          <w:rStyle w:val="Corpsdutexte16105ptNonItalique"/>
          <w:rFonts w:eastAsia="Courier New"/>
          <w:sz w:val="28"/>
        </w:rPr>
        <w:t>).</w:t>
      </w:r>
    </w:p>
    <w:p w14:paraId="7C22360E" w14:textId="77777777" w:rsidR="00B9662D" w:rsidRPr="00A117A2" w:rsidRDefault="00B9662D" w:rsidP="00B9662D">
      <w:pPr>
        <w:spacing w:before="120" w:after="120"/>
        <w:jc w:val="both"/>
      </w:pPr>
      <w:r w:rsidRPr="004436F8">
        <w:t>Plusieurs articles reproduisent des conférences qui ont été faites devant des publics fort divers : historiens de métier, réunis à l'occ</w:t>
      </w:r>
      <w:r w:rsidRPr="004436F8">
        <w:t>a</w:t>
      </w:r>
      <w:r w:rsidRPr="004436F8">
        <w:t>sion</w:t>
      </w:r>
      <w:r w:rsidRPr="00A117A2">
        <w:t xml:space="preserve"> d'un congrès, spécialistes adonnés à telle ou telle de ces sciences h</w:t>
      </w:r>
      <w:r w:rsidRPr="00A117A2">
        <w:t>u</w:t>
      </w:r>
      <w:r w:rsidRPr="00A117A2">
        <w:t>maines, que l'auteur conviait à collaborer étroitement pour le plus grand profit de la science</w:t>
      </w:r>
      <w:r>
        <w:t xml:space="preserve"> </w:t>
      </w:r>
      <w:r w:rsidRPr="00A117A2">
        <w:t>[xii]</w:t>
      </w:r>
      <w:r>
        <w:t xml:space="preserve"> </w:t>
      </w:r>
      <w:r w:rsidRPr="00A117A2">
        <w:t>historique ; parfois même il est arrivé à Marc Bloch d'exposer le résultat de ses méditations d'historien devant un public étra</w:t>
      </w:r>
      <w:r w:rsidRPr="00A117A2">
        <w:t>n</w:t>
      </w:r>
      <w:r w:rsidRPr="00A117A2">
        <w:t>ger aux études historiques proprement dites. Dans ces conditions on peut s'étonner que Marc Bloch ait montré peu d'empre</w:t>
      </w:r>
      <w:r w:rsidRPr="00A117A2">
        <w:t>s</w:t>
      </w:r>
      <w:r w:rsidRPr="00A117A2">
        <w:t>sement à publier sous forme d'articles des fragments des cours qu'il pr</w:t>
      </w:r>
      <w:r w:rsidRPr="00A117A2">
        <w:t>o</w:t>
      </w:r>
      <w:r w:rsidRPr="00A117A2">
        <w:t>fessait devant ses étudiants de Strasbourg. La vérité, c'est qu'il se méfiait du cours magistral et allait jusqu'à sous-estimer le bénéf</w:t>
      </w:r>
      <w:r w:rsidRPr="00A117A2">
        <w:t>i</w:t>
      </w:r>
      <w:r w:rsidRPr="00A117A2">
        <w:t>ce que les étudiants attendent de cette forme d'enseignement oral. Cette méfiance se just</w:t>
      </w:r>
      <w:r w:rsidRPr="00A117A2">
        <w:t>i</w:t>
      </w:r>
      <w:r w:rsidRPr="00A117A2">
        <w:t xml:space="preserve">fiait sans doute à ses yeux par le fait que le cours, parce qu'il porte en </w:t>
      </w:r>
      <w:r w:rsidRPr="004436F8">
        <w:t>général sur des questions de libellé traditionnel inscrites aux programmes des examens et concours, comprime l'orig</w:t>
      </w:r>
      <w:r w:rsidRPr="004436F8">
        <w:t>i</w:t>
      </w:r>
      <w:r w:rsidRPr="004436F8">
        <w:t>nalité du profe</w:t>
      </w:r>
      <w:r w:rsidRPr="004436F8">
        <w:t>s</w:t>
      </w:r>
      <w:r w:rsidRPr="004436F8">
        <w:t>seur et ne réclame de lui qu'une mise au point aussi claire et complète que possible. Sauf erreur de ma part, c'est dans deux circonstances seulement, que Marc Bloch a consenti à livrer à la p</w:t>
      </w:r>
      <w:r w:rsidRPr="004436F8">
        <w:t>u</w:t>
      </w:r>
      <w:r w:rsidRPr="004436F8">
        <w:t>blicité des études empruntées à la matière d'un cours. Je crois me ra</w:t>
      </w:r>
      <w:r w:rsidRPr="004436F8">
        <w:t>p</w:t>
      </w:r>
      <w:r w:rsidRPr="004436F8">
        <w:t>peler que ce</w:t>
      </w:r>
      <w:r w:rsidRPr="004436F8">
        <w:t>r</w:t>
      </w:r>
      <w:r w:rsidRPr="004436F8">
        <w:t>tains chapitres des</w:t>
      </w:r>
      <w:r w:rsidRPr="004436F8">
        <w:rPr>
          <w:rStyle w:val="Corpsdutexte16105ptNonItalique"/>
          <w:rFonts w:eastAsia="Courier New"/>
          <w:sz w:val="28"/>
        </w:rPr>
        <w:t xml:space="preserve"> </w:t>
      </w:r>
      <w:r w:rsidRPr="004436F8">
        <w:rPr>
          <w:rStyle w:val="Corpsdutexte16105ptNonItalique"/>
          <w:rFonts w:eastAsia="Courier New"/>
          <w:i/>
          <w:sz w:val="28"/>
          <w:u w:val="single"/>
        </w:rPr>
        <w:t>Caractères originaux</w:t>
      </w:r>
      <w:r w:rsidRPr="004436F8">
        <w:rPr>
          <w:rStyle w:val="Corpsdutexte16105ptNonItalique"/>
          <w:rFonts w:eastAsia="Courier New"/>
          <w:sz w:val="28"/>
        </w:rPr>
        <w:t xml:space="preserve"> </w:t>
      </w:r>
      <w:r w:rsidRPr="004436F8">
        <w:t>ont été professés sous forme d'un cours public, forme de présentation qui à certains égards écha</w:t>
      </w:r>
      <w:r w:rsidRPr="004436F8">
        <w:t>p</w:t>
      </w:r>
      <w:r w:rsidRPr="004436F8">
        <w:t>pait aux contraintes qui ligotent le cours préparatoire à des examens ou des concours. D'autre part Marc Bloch a livré à l'i</w:t>
      </w:r>
      <w:r w:rsidRPr="004436F8">
        <w:t>m</w:t>
      </w:r>
      <w:r w:rsidRPr="004436F8">
        <w:t xml:space="preserve">pression un cours sur </w:t>
      </w:r>
      <w:r w:rsidRPr="004436F8">
        <w:rPr>
          <w:rStyle w:val="Corpsdutexte16105ptNonItalique"/>
          <w:rFonts w:eastAsia="Courier New"/>
          <w:i/>
          <w:sz w:val="28"/>
          <w:u w:val="single"/>
        </w:rPr>
        <w:t>L’Empire et l’idée d’Empire sous les Hohen</w:t>
      </w:r>
      <w:r w:rsidRPr="004436F8">
        <w:rPr>
          <w:rStyle w:val="Corpsdutexte16105ptNonItalique"/>
          <w:rFonts w:eastAsia="Courier New"/>
          <w:i/>
          <w:sz w:val="28"/>
          <w:u w:val="single"/>
        </w:rPr>
        <w:t>s</w:t>
      </w:r>
      <w:r w:rsidRPr="004436F8">
        <w:rPr>
          <w:rStyle w:val="Corpsdutexte16105ptNonItalique"/>
          <w:rFonts w:eastAsia="Courier New"/>
          <w:i/>
          <w:sz w:val="28"/>
          <w:u w:val="single"/>
        </w:rPr>
        <w:t>taufen</w:t>
      </w:r>
      <w:r w:rsidRPr="004436F8">
        <w:rPr>
          <w:rStyle w:val="Corpsdutexte16105ptNonItalique"/>
          <w:rFonts w:eastAsia="Courier New"/>
          <w:sz w:val="28"/>
        </w:rPr>
        <w:t xml:space="preserve">. </w:t>
      </w:r>
      <w:r w:rsidRPr="004436F8">
        <w:t>Il s'agissait en l'espèce d'une série de conférences à l'usage des candidats à l'agrégation d'allemand, un peu désorientés par une que</w:t>
      </w:r>
      <w:r w:rsidRPr="004436F8">
        <w:t>s</w:t>
      </w:r>
      <w:r w:rsidRPr="004436F8">
        <w:t>tion inscrite au programme de l’agrégation avec laquelle leurs études a</w:t>
      </w:r>
      <w:r w:rsidRPr="004436F8">
        <w:t>n</w:t>
      </w:r>
      <w:r w:rsidRPr="004436F8">
        <w:t>térieures ne les avaient pas</w:t>
      </w:r>
      <w:r w:rsidRPr="00A117A2">
        <w:t xml:space="preserve"> familiarisés. La netteté et l'originalité qui marquent l'exp</w:t>
      </w:r>
      <w:r w:rsidRPr="00A117A2">
        <w:t>o</w:t>
      </w:r>
      <w:r w:rsidRPr="00A117A2">
        <w:t>sé d'un sujet difficile et d'une importance capitale dans l'histoire de la pensée politique allemande témoignent de la ma</w:t>
      </w:r>
      <w:r w:rsidRPr="00A117A2">
        <w:t>î</w:t>
      </w:r>
      <w:r w:rsidRPr="00A117A2">
        <w:t>trise dont Marc Bloch pouvait faire preuve dans un genre de public</w:t>
      </w:r>
      <w:r w:rsidRPr="00A117A2">
        <w:t>a</w:t>
      </w:r>
      <w:r w:rsidRPr="00A117A2">
        <w:t>tions auquel il ne réservait pas ses préf</w:t>
      </w:r>
      <w:r w:rsidRPr="00A117A2">
        <w:t>é</w:t>
      </w:r>
      <w:r w:rsidRPr="00A117A2">
        <w:t>rences</w:t>
      </w:r>
      <w:r w:rsidRPr="00A117A2">
        <w:rPr>
          <w:rStyle w:val="Corpsdutexte16105ptNonItalique"/>
          <w:rFonts w:eastAsia="Courier New"/>
        </w:rPr>
        <w:t>.</w:t>
      </w:r>
    </w:p>
    <w:p w14:paraId="4780A1EF" w14:textId="77777777" w:rsidR="00B9662D" w:rsidRPr="004436F8" w:rsidRDefault="00B9662D" w:rsidP="00B9662D">
      <w:pPr>
        <w:spacing w:before="120" w:after="120"/>
        <w:jc w:val="both"/>
      </w:pPr>
      <w:r>
        <w:t>À</w:t>
      </w:r>
      <w:r w:rsidRPr="00A117A2">
        <w:t xml:space="preserve"> lire les titres des différents articles du présent recueil en les groupant sous les rubriques entre lesquelles ils se répartissent, on prendra directement conscience de l'enr</w:t>
      </w:r>
      <w:r w:rsidRPr="00A117A2">
        <w:t>i</w:t>
      </w:r>
      <w:r w:rsidRPr="00A117A2">
        <w:t>chissement continu dont ont bénéficié la pensée et l'œuvre de Marc Bloch. Une étude qui à l'ori</w:t>
      </w:r>
      <w:r w:rsidRPr="00A117A2">
        <w:lastRenderedPageBreak/>
        <w:t>g</w:t>
      </w:r>
      <w:r w:rsidRPr="00A117A2">
        <w:t>i</w:t>
      </w:r>
      <w:r w:rsidRPr="00A117A2">
        <w:t>ne était centrée sur les classes rurales de la région parisienne au Moyen Âge s'est amplifiée au point de devenir une enquête sur les s</w:t>
      </w:r>
      <w:r w:rsidRPr="00A117A2">
        <w:t>o</w:t>
      </w:r>
      <w:r w:rsidRPr="00A117A2">
        <w:t>ciétés médiévales de l'Europe occidentale. D'autre part, dépassant les limites d'une histoire proprement sociale, instruit par les prodigie</w:t>
      </w:r>
      <w:r w:rsidRPr="00A117A2">
        <w:t>u</w:t>
      </w:r>
      <w:r w:rsidRPr="00A117A2">
        <w:t>ses transformations que subissait le monde contemporain, Marc Bloch a abordé le domaine de l'histoire économique avant même que l'ense</w:t>
      </w:r>
      <w:r w:rsidRPr="00A117A2">
        <w:t>i</w:t>
      </w:r>
      <w:r w:rsidRPr="00A117A2">
        <w:t>gnement qui lui fut confié en Sorbonne en 1936 consacrât sa maîtrise en pareille matière. En exposant sous une forme exceptio</w:t>
      </w:r>
      <w:r w:rsidRPr="00A117A2">
        <w:t>n</w:t>
      </w:r>
      <w:r w:rsidRPr="00A117A2">
        <w:t>nellement lucide les résultats des études parfois ardues de Simiand et d'Hauser, il a contribué à diffuser largement parmi les historiens français des thé</w:t>
      </w:r>
      <w:r w:rsidRPr="00A117A2">
        <w:t>o</w:t>
      </w:r>
      <w:r w:rsidRPr="00A117A2">
        <w:t>ries riches de promesses sur les cycles économiques et sur l'év</w:t>
      </w:r>
      <w:r w:rsidRPr="00A117A2">
        <w:t>a</w:t>
      </w:r>
      <w:r w:rsidRPr="00A117A2">
        <w:t>luation des prix. Si le temps lui a manqué pour donner forme aux études d'hi</w:t>
      </w:r>
      <w:r w:rsidRPr="00A117A2">
        <w:t>s</w:t>
      </w:r>
      <w:r w:rsidRPr="00A117A2">
        <w:t>toire économique de l'époque moderne et contemp</w:t>
      </w:r>
      <w:r w:rsidRPr="00A117A2">
        <w:t>o</w:t>
      </w:r>
      <w:r w:rsidRPr="00A117A2">
        <w:t>raine auxquelles le vouait l’enseignement qui lui avait été confié en So</w:t>
      </w:r>
      <w:r w:rsidRPr="00A117A2">
        <w:t>r</w:t>
      </w:r>
      <w:r w:rsidRPr="00A117A2">
        <w:t xml:space="preserve">bonne, on doit signaler parmi les articles recueillis dans les </w:t>
      </w:r>
      <w:r w:rsidRPr="004436F8">
        <w:rPr>
          <w:rStyle w:val="Corpsdutexte16105ptNonItalique"/>
          <w:rFonts w:eastAsia="Courier New"/>
          <w:i/>
          <w:sz w:val="28"/>
          <w:u w:val="single"/>
        </w:rPr>
        <w:t>M</w:t>
      </w:r>
      <w:r w:rsidRPr="004436F8">
        <w:rPr>
          <w:rStyle w:val="Corpsdutexte16105ptNonItalique"/>
          <w:rFonts w:eastAsia="Courier New"/>
          <w:i/>
          <w:sz w:val="28"/>
          <w:u w:val="single"/>
        </w:rPr>
        <w:t>é</w:t>
      </w:r>
      <w:r w:rsidRPr="004436F8">
        <w:rPr>
          <w:rStyle w:val="Corpsdutexte16105ptNonItalique"/>
          <w:rFonts w:eastAsia="Courier New"/>
          <w:i/>
          <w:sz w:val="28"/>
          <w:u w:val="single"/>
        </w:rPr>
        <w:t>langes</w:t>
      </w:r>
      <w:r w:rsidRPr="00A117A2">
        <w:rPr>
          <w:rStyle w:val="Corpsdutexte16105ptNonItalique"/>
          <w:rFonts w:eastAsia="Courier New"/>
        </w:rPr>
        <w:t xml:space="preserve"> </w:t>
      </w:r>
      <w:r w:rsidRPr="00A117A2">
        <w:t>un mémoire fort original sur le problème de l'or au Moyen Âge, c</w:t>
      </w:r>
      <w:r w:rsidRPr="00A117A2">
        <w:t>e</w:t>
      </w:r>
      <w:r w:rsidRPr="00A117A2">
        <w:t>pendant qu'un article sur le moulin à eau inaugurait avec un éclat exceptionnel l'hi</w:t>
      </w:r>
      <w:r w:rsidRPr="00A117A2">
        <w:t>s</w:t>
      </w:r>
      <w:r w:rsidRPr="00A117A2">
        <w:t>toire des techniques à une époque où celle-ci en était encore à ses premiers ba</w:t>
      </w:r>
      <w:r w:rsidRPr="00A117A2">
        <w:t>l</w:t>
      </w:r>
      <w:r w:rsidRPr="00A117A2">
        <w:t>butiements. Enfin l'enrichissement de la pensée de Marc Bloch ne se marque pas seulement par la variété des sujets abordés et par l'élargissement de leur étude dans le temps, mais aussi par l'a</w:t>
      </w:r>
      <w:r w:rsidRPr="00A117A2">
        <w:t>m</w:t>
      </w:r>
      <w:r w:rsidRPr="00A117A2">
        <w:t>pleur de leur extension géographique. Ayant conçu à l'origine ses r</w:t>
      </w:r>
      <w:r w:rsidRPr="00A117A2">
        <w:t>e</w:t>
      </w:r>
      <w:r w:rsidRPr="00A117A2">
        <w:t>cherches dans le cadre français,</w:t>
      </w:r>
      <w:r>
        <w:t xml:space="preserve"> </w:t>
      </w:r>
      <w:r w:rsidRPr="00A117A2">
        <w:t>[xiii]</w:t>
      </w:r>
      <w:r>
        <w:t xml:space="preserve"> </w:t>
      </w:r>
      <w:r w:rsidRPr="00A117A2">
        <w:t>Marc Bloch a très rapidement étendu son information à l’Allemagne et à l’Angleterre, sans parler de l’exploitation moins systématique des sources italiennes et espagn</w:t>
      </w:r>
      <w:r w:rsidRPr="00A117A2">
        <w:t>o</w:t>
      </w:r>
      <w:r w:rsidRPr="00A117A2">
        <w:t>les. Il a ainsi appliqué à l’étude des sociétés européennes cette méth</w:t>
      </w:r>
      <w:r w:rsidRPr="00A117A2">
        <w:t>o</w:t>
      </w:r>
      <w:r w:rsidRPr="00A117A2">
        <w:t>de comparative dont la conception et l’application constituent pour lui des titres de gloire i</w:t>
      </w:r>
      <w:r w:rsidRPr="00A117A2">
        <w:t>n</w:t>
      </w:r>
      <w:r w:rsidRPr="004436F8">
        <w:t>discutables.</w:t>
      </w:r>
    </w:p>
    <w:p w14:paraId="2CD1286A" w14:textId="77777777" w:rsidR="00B9662D" w:rsidRPr="004436F8" w:rsidRDefault="00B9662D" w:rsidP="00B9662D">
      <w:pPr>
        <w:spacing w:before="120" w:after="120"/>
        <w:jc w:val="both"/>
      </w:pPr>
      <w:r w:rsidRPr="004436F8">
        <w:t>Les articles des</w:t>
      </w:r>
      <w:r w:rsidRPr="004436F8">
        <w:rPr>
          <w:rStyle w:val="Corpsdutexte16105ptNonItalique"/>
          <w:rFonts w:eastAsia="Courier New"/>
          <w:sz w:val="28"/>
        </w:rPr>
        <w:t xml:space="preserve"> </w:t>
      </w:r>
      <w:r w:rsidRPr="004436F8">
        <w:rPr>
          <w:rStyle w:val="Corpsdutexte16105ptNonItalique"/>
          <w:rFonts w:eastAsia="Courier New"/>
          <w:i/>
          <w:sz w:val="28"/>
          <w:u w:val="single"/>
        </w:rPr>
        <w:t>Mélanges</w:t>
      </w:r>
      <w:r w:rsidRPr="004436F8">
        <w:rPr>
          <w:rStyle w:val="Corpsdutexte16105ptNonItalique"/>
          <w:rFonts w:eastAsia="Courier New"/>
          <w:sz w:val="28"/>
        </w:rPr>
        <w:t xml:space="preserve"> </w:t>
      </w:r>
      <w:r w:rsidRPr="004436F8">
        <w:t>permettent également de saisir sur le vif une des qualités primordiales de Marc Bloch, son absolue probité i</w:t>
      </w:r>
      <w:r w:rsidRPr="004436F8">
        <w:t>n</w:t>
      </w:r>
      <w:r w:rsidRPr="004436F8">
        <w:t>tellectuelle, reflet d'une inaltérable probité morale. L'homme qui a s</w:t>
      </w:r>
      <w:r w:rsidRPr="004436F8">
        <w:t>a</w:t>
      </w:r>
      <w:r w:rsidRPr="004436F8">
        <w:t>crifié sa vie à une noble cause n'a jamais failli à la devise dont il se r</w:t>
      </w:r>
      <w:r w:rsidRPr="004436F8">
        <w:t>é</w:t>
      </w:r>
      <w:r w:rsidRPr="004436F8">
        <w:t>clamait à l'exemple d'H. Taine :</w:t>
      </w:r>
      <w:r w:rsidRPr="004436F8">
        <w:rPr>
          <w:rStyle w:val="Corpsdutexte16105ptNonItalique"/>
          <w:rFonts w:eastAsia="Courier New"/>
          <w:sz w:val="28"/>
        </w:rPr>
        <w:t xml:space="preserve"> </w:t>
      </w:r>
      <w:r w:rsidRPr="004436F8">
        <w:rPr>
          <w:rStyle w:val="Corpsdutexte16105ptNonItalique"/>
          <w:rFonts w:eastAsia="Courier New"/>
          <w:i/>
          <w:sz w:val="28"/>
          <w:u w:val="single"/>
        </w:rPr>
        <w:t>Veritatem unice dilexit</w:t>
      </w:r>
      <w:r w:rsidRPr="004436F8">
        <w:rPr>
          <w:rStyle w:val="Corpsdutexte16105ptNonItalique"/>
          <w:rFonts w:eastAsia="Courier New"/>
          <w:sz w:val="28"/>
        </w:rPr>
        <w:t>.</w:t>
      </w:r>
      <w:r>
        <w:rPr>
          <w:rStyle w:val="Corpsdutexte16105ptNonItalique"/>
          <w:rFonts w:eastAsia="Courier New"/>
          <w:sz w:val="28"/>
        </w:rPr>
        <w:t xml:space="preserve"> </w:t>
      </w:r>
      <w:r w:rsidRPr="004436F8">
        <w:rPr>
          <w:rStyle w:val="Corpsdutexte16105ptNonItalique"/>
          <w:rFonts w:eastAsia="Courier New"/>
          <w:sz w:val="28"/>
        </w:rPr>
        <w:t>A</w:t>
      </w:r>
      <w:r w:rsidRPr="004436F8">
        <w:t>u service de la recherche de la vérité Marc Bloch a mis sa haute intelligence, sa culture exceptionnellement étendue, son étonnante puissance de tr</w:t>
      </w:r>
      <w:r w:rsidRPr="004436F8">
        <w:t>a</w:t>
      </w:r>
      <w:r w:rsidRPr="004436F8">
        <w:t>vail. Préparant une réédition des</w:t>
      </w:r>
      <w:r w:rsidRPr="004436F8">
        <w:rPr>
          <w:rStyle w:val="Corpsdutexte16105ptNonItalique"/>
          <w:rFonts w:eastAsia="Courier New"/>
          <w:sz w:val="28"/>
        </w:rPr>
        <w:t xml:space="preserve"> </w:t>
      </w:r>
      <w:r w:rsidRPr="004436F8">
        <w:rPr>
          <w:rStyle w:val="Corpsdutexte16105ptNonItalique"/>
          <w:rFonts w:eastAsia="Courier New"/>
          <w:i/>
          <w:sz w:val="28"/>
          <w:u w:val="single"/>
        </w:rPr>
        <w:t>Caractères originaux</w:t>
      </w:r>
      <w:r w:rsidRPr="004436F8">
        <w:rPr>
          <w:rStyle w:val="Corpsdutexte16105ptNonItalique"/>
          <w:rFonts w:eastAsia="Courier New"/>
          <w:sz w:val="28"/>
        </w:rPr>
        <w:t xml:space="preserve">, </w:t>
      </w:r>
      <w:r w:rsidRPr="004436F8">
        <w:t>un de ses di</w:t>
      </w:r>
      <w:r w:rsidRPr="004436F8">
        <w:t>s</w:t>
      </w:r>
      <w:r w:rsidRPr="004436F8">
        <w:t>ciples, M. Dauvergne, a eu l'ingénieuse idée d'adjoindre à l'édition un co</w:t>
      </w:r>
      <w:r w:rsidRPr="004436F8">
        <w:t>m</w:t>
      </w:r>
      <w:r w:rsidRPr="004436F8">
        <w:t xml:space="preserve">mentaire, dont la substance a été empruntée aux articles de Marc </w:t>
      </w:r>
      <w:r w:rsidRPr="004436F8">
        <w:lastRenderedPageBreak/>
        <w:t>Bloch lui-même. Du rapprochement des textes, il apparaît que sur ce</w:t>
      </w:r>
      <w:r w:rsidRPr="004436F8">
        <w:t>r</w:t>
      </w:r>
      <w:r w:rsidRPr="004436F8">
        <w:t>tains problèmes esse</w:t>
      </w:r>
      <w:r w:rsidRPr="004436F8">
        <w:t>n</w:t>
      </w:r>
      <w:r w:rsidRPr="004436F8">
        <w:t>tiels de l'histoire agraire de la France, la doctrine de Marc Bloch s'est modifiée au cours des années, preuve de l'extr</w:t>
      </w:r>
      <w:r w:rsidRPr="004436F8">
        <w:t>ê</w:t>
      </w:r>
      <w:r w:rsidRPr="004436F8">
        <w:t>me liberté d'esprit avec laquelle celui-ci acceptait de réviser sa prise de position. Il est même possible, pour ne pas dire probable, que la thé</w:t>
      </w:r>
      <w:r w:rsidRPr="004436F8">
        <w:t>o</w:t>
      </w:r>
      <w:r w:rsidRPr="004436F8">
        <w:t>rie sur l'origine du servage, telle qu'elle a été formulée dans l'impo</w:t>
      </w:r>
      <w:r w:rsidRPr="004436F8">
        <w:t>r</w:t>
      </w:r>
      <w:r w:rsidRPr="004436F8">
        <w:t>tant mémoire sur les</w:t>
      </w:r>
      <w:r w:rsidRPr="004436F8">
        <w:rPr>
          <w:rStyle w:val="Corpsdutexte16105ptNonItalique"/>
          <w:rFonts w:eastAsia="Courier New"/>
          <w:sz w:val="28"/>
        </w:rPr>
        <w:t xml:space="preserve"> </w:t>
      </w:r>
      <w:r w:rsidRPr="004436F8">
        <w:rPr>
          <w:rStyle w:val="Corpsdutexte16105ptNonItalique"/>
          <w:rFonts w:eastAsia="Courier New"/>
          <w:i/>
          <w:sz w:val="28"/>
          <w:u w:val="single"/>
        </w:rPr>
        <w:t>Colliberti</w:t>
      </w:r>
      <w:r w:rsidRPr="004436F8">
        <w:rPr>
          <w:rStyle w:val="Corpsdutexte16105ptNonItalique"/>
          <w:rFonts w:eastAsia="Courier New"/>
          <w:sz w:val="28"/>
        </w:rPr>
        <w:t xml:space="preserve">, </w:t>
      </w:r>
      <w:r w:rsidRPr="004436F8">
        <w:t>soit sujette à caution. Mais il importe peu ; Marc Bloch savait que, dans le domaine des sciences humaines, la recherche de la vérité suppose une incessa</w:t>
      </w:r>
      <w:r w:rsidRPr="004436F8">
        <w:t>n</w:t>
      </w:r>
      <w:r w:rsidRPr="004436F8">
        <w:t>te remise en question de résultats qui paraissaient acquis. Les historiens de l'avenir qui se r</w:t>
      </w:r>
      <w:r w:rsidRPr="004436F8">
        <w:t>é</w:t>
      </w:r>
      <w:r w:rsidRPr="004436F8">
        <w:t>clameront de Marc Bloch resteront fidèles à la pensée de leur Maître en reprenant le problème du servage à son point de départ pour le tra</w:t>
      </w:r>
      <w:r w:rsidRPr="004436F8">
        <w:t>i</w:t>
      </w:r>
      <w:r w:rsidRPr="004436F8">
        <w:t>ter en toute indépenda</w:t>
      </w:r>
      <w:r w:rsidRPr="004436F8">
        <w:t>n</w:t>
      </w:r>
      <w:r w:rsidRPr="004436F8">
        <w:t>ce d'esprit</w:t>
      </w:r>
      <w:r w:rsidRPr="004436F8">
        <w:rPr>
          <w:rStyle w:val="Corpsdutexte16105ptNonItalique"/>
          <w:rFonts w:eastAsia="Courier New"/>
          <w:sz w:val="28"/>
        </w:rPr>
        <w:t>.</w:t>
      </w:r>
    </w:p>
    <w:p w14:paraId="6F083522" w14:textId="77777777" w:rsidR="00B9662D" w:rsidRPr="00A117A2" w:rsidRDefault="00B9662D" w:rsidP="00B9662D">
      <w:pPr>
        <w:spacing w:before="120" w:after="120"/>
        <w:jc w:val="both"/>
      </w:pPr>
      <w:r w:rsidRPr="004436F8">
        <w:t>J'ai évoqué l'excursion au belvédère du Haut-Barr que je fis avec Marc Bloch en février 1919 ; je ne l'ai pas fait sans éprouver une po</w:t>
      </w:r>
      <w:r w:rsidRPr="004436F8">
        <w:t>i</w:t>
      </w:r>
      <w:r w:rsidRPr="004436F8">
        <w:t>gnante émotion. Ce jour-là, tout à la joie de la victoire, gr</w:t>
      </w:r>
      <w:r w:rsidRPr="004436F8">
        <w:t>i</w:t>
      </w:r>
      <w:r w:rsidRPr="004436F8">
        <w:t>sés par les</w:t>
      </w:r>
      <w:r w:rsidRPr="00A117A2">
        <w:t xml:space="preserve"> projets d'avenir que nous nous confiions mutuellement, nous ne sou</w:t>
      </w:r>
      <w:r w:rsidRPr="00A117A2">
        <w:t>p</w:t>
      </w:r>
      <w:r w:rsidRPr="00A117A2">
        <w:t>çonnions pas que, à quelques centaines de kilomètres au delà du Rhin, que nous apercevions dans le lointain, dans une ville rongée par la fièvre de la défaite, commençait à s'agiter un misérable Feldgrau, qui s'apprêtait à déchaîner des passions d</w:t>
      </w:r>
      <w:r w:rsidRPr="00A117A2">
        <w:t>é</w:t>
      </w:r>
      <w:r w:rsidRPr="00A117A2">
        <w:t>moniaques dont Marc Bloch devait être un jour la noble victime. Que Marc Bloch au cours d'une carrière scientifique qui dépasse de peu un quart de siècle ait pu in</w:t>
      </w:r>
      <w:r w:rsidRPr="00A117A2">
        <w:t>s</w:t>
      </w:r>
      <w:r w:rsidRPr="00A117A2">
        <w:t>crire à son actif une production aussi abondante, c'est là un fait qui confond l'imagination. On est accablé de tristesse quand on songe aux nombreux travaux que nous étions en droit d'attendre de lui, si sa vie n'avait pas été tranchée avant l'heure. Du moins, grâce à Fernand Braudel et au Centre de Recherches historiques qu'il dirige, auxquels va notre gratitude, les disciples de Marc Bloch et à l'avenir les jeunes chercheurs qui se réclameront de sa méthode trouveront-ils réunis sous une forme commode un ensemble d'articles qui les inspir</w:t>
      </w:r>
      <w:r w:rsidRPr="00A117A2">
        <w:t>e</w:t>
      </w:r>
      <w:r w:rsidRPr="00A117A2">
        <w:t>ront et les inciteront à poursuivre dans la voie tracée par le Ma</w:t>
      </w:r>
      <w:r w:rsidRPr="00A117A2">
        <w:t>î</w:t>
      </w:r>
      <w:r w:rsidRPr="00A117A2">
        <w:t>tre.</w:t>
      </w:r>
    </w:p>
    <w:p w14:paraId="28EB5642" w14:textId="77777777" w:rsidR="00B9662D" w:rsidRDefault="00B9662D" w:rsidP="00B9662D">
      <w:pPr>
        <w:spacing w:before="120" w:after="120"/>
        <w:jc w:val="both"/>
      </w:pPr>
    </w:p>
    <w:p w14:paraId="6758F405" w14:textId="77777777" w:rsidR="00B9662D" w:rsidRPr="005C6AC3" w:rsidRDefault="00B9662D" w:rsidP="00B9662D">
      <w:pPr>
        <w:spacing w:before="120" w:after="120"/>
        <w:jc w:val="right"/>
        <w:rPr>
          <w:rStyle w:val="Corpsdutexte265ptGras"/>
          <w:rFonts w:eastAsia="Courier New"/>
          <w:b w:val="0"/>
          <w:sz w:val="28"/>
        </w:rPr>
      </w:pPr>
      <w:r w:rsidRPr="005C6AC3">
        <w:t xml:space="preserve">Charles-Edmond </w:t>
      </w:r>
      <w:r w:rsidRPr="005C6AC3">
        <w:rPr>
          <w:bCs/>
        </w:rPr>
        <w:t>Perrin.</w:t>
      </w:r>
    </w:p>
    <w:p w14:paraId="5A96600C" w14:textId="77777777" w:rsidR="00B9662D" w:rsidRPr="00E07116" w:rsidRDefault="00B9662D" w:rsidP="00B9662D">
      <w:pPr>
        <w:pStyle w:val="p"/>
      </w:pPr>
      <w:r w:rsidRPr="00E07116">
        <w:br w:type="page"/>
      </w:r>
      <w:r w:rsidRPr="00E07116">
        <w:lastRenderedPageBreak/>
        <w:t>[</w:t>
      </w:r>
      <w:r>
        <w:t>563</w:t>
      </w:r>
      <w:r w:rsidRPr="00E07116">
        <w:t>]</w:t>
      </w:r>
    </w:p>
    <w:p w14:paraId="55EF8C57" w14:textId="77777777" w:rsidR="00B9662D" w:rsidRPr="00E07116" w:rsidRDefault="00B9662D" w:rsidP="00B9662D">
      <w:pPr>
        <w:jc w:val="both"/>
      </w:pPr>
    </w:p>
    <w:p w14:paraId="61E7D998" w14:textId="77777777" w:rsidR="00B9662D" w:rsidRPr="00E07116" w:rsidRDefault="00B9662D" w:rsidP="00B9662D"/>
    <w:p w14:paraId="16937CF4" w14:textId="77777777" w:rsidR="00B9662D" w:rsidRPr="00E07116" w:rsidRDefault="00B9662D" w:rsidP="00B9662D">
      <w:pPr>
        <w:jc w:val="both"/>
      </w:pPr>
    </w:p>
    <w:p w14:paraId="332D6339" w14:textId="77777777" w:rsidR="00B9662D" w:rsidRPr="00E07116" w:rsidRDefault="00B9662D" w:rsidP="00B9662D">
      <w:pPr>
        <w:jc w:val="both"/>
      </w:pPr>
    </w:p>
    <w:p w14:paraId="6F445F97" w14:textId="77777777" w:rsidR="00B9662D" w:rsidRPr="00F54CC7" w:rsidRDefault="00B9662D" w:rsidP="00B9662D">
      <w:pPr>
        <w:spacing w:after="120"/>
        <w:ind w:firstLine="0"/>
        <w:jc w:val="center"/>
        <w:rPr>
          <w:sz w:val="24"/>
        </w:rPr>
      </w:pPr>
      <w:bookmarkStart w:id="2" w:name="Melanges_t2_pt_6"/>
      <w:r>
        <w:rPr>
          <w:b/>
          <w:sz w:val="24"/>
        </w:rPr>
        <w:t>Mélanges historiques.</w:t>
      </w:r>
      <w:r>
        <w:rPr>
          <w:b/>
          <w:sz w:val="24"/>
        </w:rPr>
        <w:br/>
      </w:r>
      <w:r w:rsidRPr="000D320C">
        <w:rPr>
          <w:color w:val="FF0000"/>
          <w:sz w:val="24"/>
        </w:rPr>
        <w:t>Tome I</w:t>
      </w:r>
      <w:r>
        <w:rPr>
          <w:color w:val="FF0000"/>
          <w:sz w:val="24"/>
        </w:rPr>
        <w:t>I</w:t>
      </w:r>
      <w:r w:rsidRPr="000D320C">
        <w:rPr>
          <w:color w:val="FF0000"/>
          <w:sz w:val="24"/>
        </w:rPr>
        <w:t>.</w:t>
      </w:r>
    </w:p>
    <w:p w14:paraId="2D14148D" w14:textId="77777777" w:rsidR="00B9662D" w:rsidRPr="00E07116" w:rsidRDefault="00B9662D" w:rsidP="00B9662D">
      <w:pPr>
        <w:jc w:val="both"/>
      </w:pPr>
    </w:p>
    <w:p w14:paraId="76651FE3" w14:textId="77777777" w:rsidR="00B9662D" w:rsidRPr="00384B20" w:rsidRDefault="00B9662D" w:rsidP="00B9662D">
      <w:pPr>
        <w:pStyle w:val="partie"/>
        <w:jc w:val="center"/>
        <w:rPr>
          <w:sz w:val="72"/>
        </w:rPr>
      </w:pPr>
      <w:r>
        <w:rPr>
          <w:sz w:val="72"/>
        </w:rPr>
        <w:t>Sixième</w:t>
      </w:r>
      <w:r w:rsidRPr="00384B20">
        <w:rPr>
          <w:sz w:val="72"/>
        </w:rPr>
        <w:t xml:space="preserve"> partie</w:t>
      </w:r>
    </w:p>
    <w:p w14:paraId="20855049" w14:textId="77777777" w:rsidR="00B9662D" w:rsidRPr="00E07116" w:rsidRDefault="00B9662D" w:rsidP="00B9662D">
      <w:pPr>
        <w:jc w:val="both"/>
      </w:pPr>
    </w:p>
    <w:p w14:paraId="3565CDEC" w14:textId="77777777" w:rsidR="00B9662D" w:rsidRPr="00384B20" w:rsidRDefault="00B9662D" w:rsidP="00B9662D">
      <w:pPr>
        <w:pStyle w:val="Titreniveau2"/>
      </w:pPr>
      <w:r>
        <w:t>VIE RURALE</w:t>
      </w:r>
    </w:p>
    <w:bookmarkEnd w:id="2"/>
    <w:p w14:paraId="1D99A290" w14:textId="77777777" w:rsidR="00B9662D" w:rsidRPr="00E07116" w:rsidRDefault="00B9662D" w:rsidP="00B9662D">
      <w:pPr>
        <w:jc w:val="both"/>
      </w:pPr>
    </w:p>
    <w:p w14:paraId="29FE4143" w14:textId="77777777" w:rsidR="00B9662D" w:rsidRPr="00E07116" w:rsidRDefault="00B9662D" w:rsidP="00B9662D">
      <w:pPr>
        <w:jc w:val="both"/>
      </w:pPr>
    </w:p>
    <w:p w14:paraId="1A1A5DBE" w14:textId="77777777" w:rsidR="00B9662D" w:rsidRPr="00E07116" w:rsidRDefault="00B9662D" w:rsidP="00B9662D">
      <w:pPr>
        <w:jc w:val="both"/>
      </w:pPr>
    </w:p>
    <w:p w14:paraId="008AF08F" w14:textId="77777777" w:rsidR="00B9662D" w:rsidRPr="00E07116" w:rsidRDefault="00B9662D" w:rsidP="00B9662D">
      <w:pPr>
        <w:jc w:val="both"/>
      </w:pPr>
    </w:p>
    <w:p w14:paraId="6D3B49B4" w14:textId="77777777" w:rsidR="00B9662D" w:rsidRPr="00E07116" w:rsidRDefault="00B9662D" w:rsidP="00B9662D">
      <w:pPr>
        <w:jc w:val="both"/>
      </w:pPr>
    </w:p>
    <w:p w14:paraId="16878198" w14:textId="77777777" w:rsidR="00B9662D" w:rsidRPr="00E07116" w:rsidRDefault="00B9662D" w:rsidP="00B9662D">
      <w:pPr>
        <w:jc w:val="both"/>
      </w:pPr>
    </w:p>
    <w:p w14:paraId="6783652E" w14:textId="77777777" w:rsidR="00B9662D" w:rsidRPr="00E07116" w:rsidRDefault="00B9662D" w:rsidP="00B9662D">
      <w:pPr>
        <w:jc w:val="both"/>
      </w:pPr>
    </w:p>
    <w:p w14:paraId="36CD820F" w14:textId="77777777" w:rsidR="00B9662D" w:rsidRPr="00E07116" w:rsidRDefault="00B9662D" w:rsidP="00B9662D">
      <w:pPr>
        <w:jc w:val="both"/>
      </w:pPr>
    </w:p>
    <w:p w14:paraId="050345F4"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99F6693" w14:textId="77777777" w:rsidR="00B9662D" w:rsidRPr="00E07116" w:rsidRDefault="00B9662D" w:rsidP="00B9662D">
      <w:pPr>
        <w:jc w:val="both"/>
      </w:pPr>
    </w:p>
    <w:p w14:paraId="232EF370" w14:textId="77777777" w:rsidR="00B9662D" w:rsidRDefault="00B9662D" w:rsidP="00B9662D">
      <w:pPr>
        <w:pStyle w:val="p"/>
      </w:pPr>
    </w:p>
    <w:p w14:paraId="5B3DE7F4" w14:textId="77777777" w:rsidR="00B9662D" w:rsidRDefault="00B9662D" w:rsidP="00B9662D">
      <w:pPr>
        <w:pStyle w:val="p"/>
      </w:pPr>
      <w:r>
        <w:t>[564]</w:t>
      </w:r>
    </w:p>
    <w:p w14:paraId="70F8546E" w14:textId="77777777" w:rsidR="00B9662D" w:rsidRPr="00E07116" w:rsidRDefault="00B9662D" w:rsidP="00B9662D">
      <w:pPr>
        <w:pStyle w:val="p"/>
      </w:pPr>
      <w:r w:rsidRPr="00E07116">
        <w:br w:type="page"/>
      </w:r>
      <w:r w:rsidRPr="00E07116">
        <w:lastRenderedPageBreak/>
        <w:t>[</w:t>
      </w:r>
      <w:r>
        <w:t>565</w:t>
      </w:r>
      <w:r w:rsidRPr="00E07116">
        <w:t>]</w:t>
      </w:r>
    </w:p>
    <w:p w14:paraId="01CBE32C" w14:textId="77777777" w:rsidR="00B9662D" w:rsidRPr="00E07116" w:rsidRDefault="00B9662D" w:rsidP="00B9662D">
      <w:pPr>
        <w:jc w:val="both"/>
      </w:pPr>
    </w:p>
    <w:p w14:paraId="05D6AEFC" w14:textId="77777777" w:rsidR="00B9662D" w:rsidRDefault="00B9662D" w:rsidP="00B9662D">
      <w:pPr>
        <w:jc w:val="both"/>
      </w:pPr>
    </w:p>
    <w:p w14:paraId="18039C2B" w14:textId="77777777" w:rsidR="00B9662D" w:rsidRPr="00E07116" w:rsidRDefault="00B9662D" w:rsidP="00B9662D">
      <w:pPr>
        <w:jc w:val="both"/>
      </w:pPr>
    </w:p>
    <w:p w14:paraId="5D8AE4F2" w14:textId="77777777" w:rsidR="00B9662D" w:rsidRPr="00F54CC7" w:rsidRDefault="00B9662D" w:rsidP="00B9662D">
      <w:pPr>
        <w:spacing w:after="120"/>
        <w:ind w:firstLine="0"/>
        <w:jc w:val="center"/>
        <w:rPr>
          <w:sz w:val="24"/>
        </w:rPr>
      </w:pPr>
      <w:bookmarkStart w:id="3" w:name="Melanges_t2_pt_6_chap_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347E0D7F"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62D892E2" w14:textId="77777777" w:rsidR="00B9662D" w:rsidRPr="00384B20" w:rsidRDefault="00B9662D" w:rsidP="00B9662D">
      <w:pPr>
        <w:pStyle w:val="Titreniveau1"/>
      </w:pPr>
      <w:r w:rsidRPr="00384B20">
        <w:t>Chapitre I</w:t>
      </w:r>
    </w:p>
    <w:p w14:paraId="2987C876" w14:textId="77777777" w:rsidR="00B9662D" w:rsidRPr="00E07116" w:rsidRDefault="00B9662D" w:rsidP="00B9662D">
      <w:pPr>
        <w:jc w:val="both"/>
        <w:rPr>
          <w:szCs w:val="36"/>
        </w:rPr>
      </w:pPr>
    </w:p>
    <w:p w14:paraId="592220F8" w14:textId="77777777" w:rsidR="00B9662D" w:rsidRPr="00E07116" w:rsidRDefault="00B9662D" w:rsidP="00B9662D">
      <w:pPr>
        <w:pStyle w:val="Titreniveau2"/>
      </w:pPr>
      <w:r>
        <w:t>LES PLANS PARCELLAIRES</w:t>
      </w:r>
      <w:r>
        <w:br/>
        <w:t>EN France </w:t>
      </w:r>
      <w:r>
        <w:rPr>
          <w:rStyle w:val="Appelnotedebasdep"/>
        </w:rPr>
        <w:footnoteReference w:id="3"/>
      </w:r>
    </w:p>
    <w:bookmarkEnd w:id="3"/>
    <w:p w14:paraId="0D57BC96" w14:textId="77777777" w:rsidR="00B9662D" w:rsidRPr="00E07116" w:rsidRDefault="00B9662D" w:rsidP="00B9662D">
      <w:pPr>
        <w:jc w:val="both"/>
        <w:rPr>
          <w:szCs w:val="36"/>
        </w:rPr>
      </w:pPr>
    </w:p>
    <w:p w14:paraId="79EA8EF2" w14:textId="77777777" w:rsidR="00B9662D" w:rsidRPr="00E07116" w:rsidRDefault="00B9662D" w:rsidP="00B9662D">
      <w:pPr>
        <w:jc w:val="both"/>
      </w:pPr>
    </w:p>
    <w:p w14:paraId="367ACC8E" w14:textId="77777777" w:rsidR="00B9662D" w:rsidRPr="00922268" w:rsidRDefault="00B9662D" w:rsidP="00B9662D">
      <w:pPr>
        <w:pStyle w:val="planche"/>
      </w:pPr>
      <w:bookmarkStart w:id="4" w:name="Melanges_t2_pt_6_chap_I_1"/>
      <w:r>
        <w:t xml:space="preserve">1. </w:t>
      </w:r>
      <w:r w:rsidRPr="00922268">
        <w:t>Le plan parcellaire document historique</w:t>
      </w:r>
    </w:p>
    <w:bookmarkEnd w:id="4"/>
    <w:p w14:paraId="200639FB" w14:textId="77777777" w:rsidR="00B9662D" w:rsidRDefault="00B9662D" w:rsidP="00B9662D">
      <w:pPr>
        <w:jc w:val="both"/>
      </w:pPr>
    </w:p>
    <w:p w14:paraId="29EB1638" w14:textId="77777777" w:rsidR="00B9662D" w:rsidRPr="00E07116" w:rsidRDefault="00B9662D" w:rsidP="00B9662D">
      <w:pPr>
        <w:jc w:val="both"/>
      </w:pPr>
    </w:p>
    <w:p w14:paraId="3AC0397C" w14:textId="77777777" w:rsidR="00B9662D" w:rsidRPr="00E07116" w:rsidRDefault="00B9662D" w:rsidP="00B9662D">
      <w:pPr>
        <w:jc w:val="both"/>
      </w:pPr>
    </w:p>
    <w:p w14:paraId="7B6A2D66"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35C9CB7" w14:textId="77777777" w:rsidR="00B9662D" w:rsidRPr="009C29C2" w:rsidRDefault="00B9662D" w:rsidP="00B9662D">
      <w:pPr>
        <w:spacing w:before="120" w:after="120"/>
        <w:jc w:val="both"/>
      </w:pPr>
      <w:r w:rsidRPr="00B13486">
        <w:rPr>
          <w:i/>
        </w:rPr>
        <w:t>Le Recueil méthodique des lois</w:t>
      </w:r>
      <w:r w:rsidRPr="00B13486">
        <w:rPr>
          <w:i/>
          <w:color w:val="000000"/>
          <w:lang w:eastAsia="fr-FR" w:bidi="fr-FR"/>
        </w:rPr>
        <w:t xml:space="preserve">, </w:t>
      </w:r>
      <w:r w:rsidRPr="00B13486">
        <w:rPr>
          <w:i/>
        </w:rPr>
        <w:t>décrets</w:t>
      </w:r>
      <w:r w:rsidRPr="00B13486">
        <w:rPr>
          <w:i/>
          <w:color w:val="000000"/>
          <w:lang w:eastAsia="fr-FR" w:bidi="fr-FR"/>
        </w:rPr>
        <w:t xml:space="preserve">, </w:t>
      </w:r>
      <w:r w:rsidRPr="00B13486">
        <w:rPr>
          <w:i/>
        </w:rPr>
        <w:t>règlements</w:t>
      </w:r>
      <w:r w:rsidRPr="00B13486">
        <w:rPr>
          <w:i/>
          <w:color w:val="000000"/>
          <w:lang w:eastAsia="fr-FR" w:bidi="fr-FR"/>
        </w:rPr>
        <w:t xml:space="preserve">, </w:t>
      </w:r>
      <w:r w:rsidRPr="00B13486">
        <w:rPr>
          <w:i/>
        </w:rPr>
        <w:t>instructions et décisions sur le cadastre de la France</w:t>
      </w:r>
      <w:r w:rsidRPr="009C29C2">
        <w:rPr>
          <w:color w:val="000000"/>
          <w:lang w:eastAsia="fr-FR" w:bidi="fr-FR"/>
        </w:rPr>
        <w:t>, Paris, Imprimerie Nationale, 1811, n’offre peut-être pas une lecture particulièrement attrayante ; mais c’est, comme beaucoup d’écrits émanés des administrateurs de ce temps, un ouvrage d’un fort bon style. On y trouve une définition parfaitement précise de la parcelle :</w:t>
      </w:r>
      <w:r>
        <w:rPr>
          <w:color w:val="000000"/>
          <w:lang w:eastAsia="fr-FR" w:bidi="fr-FR"/>
        </w:rPr>
        <w:t xml:space="preserve"> « une portion de terrain... 1° </w:t>
      </w:r>
      <w:r w:rsidRPr="009C29C2">
        <w:rPr>
          <w:color w:val="000000"/>
          <w:lang w:eastAsia="fr-FR" w:bidi="fr-FR"/>
        </w:rPr>
        <w:t>située dans un même canton, triage ou lieu-dit, 2</w:t>
      </w:r>
      <w:r>
        <w:rPr>
          <w:color w:val="000000"/>
          <w:lang w:eastAsia="fr-FR" w:bidi="fr-FR"/>
        </w:rPr>
        <w:t>° </w:t>
      </w:r>
      <w:r w:rsidRPr="009C29C2">
        <w:rPr>
          <w:color w:val="000000"/>
          <w:lang w:eastAsia="fr-FR" w:bidi="fr-FR"/>
        </w:rPr>
        <w:t>présentant une même nature de culture..., 3</w:t>
      </w:r>
      <w:r>
        <w:rPr>
          <w:color w:val="000000"/>
          <w:lang w:eastAsia="fr-FR" w:bidi="fr-FR"/>
        </w:rPr>
        <w:t>° </w:t>
      </w:r>
      <w:r w:rsidRPr="009C29C2">
        <w:rPr>
          <w:color w:val="000000"/>
          <w:lang w:eastAsia="fr-FR" w:bidi="fr-FR"/>
        </w:rPr>
        <w:t>appartenant à un même propriétaire</w:t>
      </w:r>
      <w:r>
        <w:rPr>
          <w:color w:val="000000"/>
          <w:lang w:eastAsia="fr-FR" w:bidi="fr-FR"/>
        </w:rPr>
        <w:t> </w:t>
      </w:r>
      <w:r>
        <w:rPr>
          <w:rStyle w:val="Appelnotedebasdep"/>
        </w:rPr>
        <w:footnoteReference w:id="4"/>
      </w:r>
      <w:r w:rsidRPr="009C29C2">
        <w:rPr>
          <w:color w:val="000000"/>
          <w:lang w:eastAsia="fr-FR" w:bidi="fr-FR"/>
        </w:rPr>
        <w:t xml:space="preserve">. </w:t>
      </w:r>
      <w:r w:rsidRPr="009C29C2">
        <w:rPr>
          <w:color w:val="000000"/>
          <w:lang w:eastAsia="fr-FR" w:bidi="fr-FR"/>
        </w:rPr>
        <w:lastRenderedPageBreak/>
        <w:t>Supposons que, levant le plan d’un terroir rural ou d’une de ses se</w:t>
      </w:r>
      <w:r w:rsidRPr="009C29C2">
        <w:rPr>
          <w:color w:val="000000"/>
          <w:lang w:eastAsia="fr-FR" w:bidi="fr-FR"/>
        </w:rPr>
        <w:t>c</w:t>
      </w:r>
      <w:r w:rsidRPr="009C29C2">
        <w:rPr>
          <w:color w:val="000000"/>
          <w:lang w:eastAsia="fr-FR" w:bidi="fr-FR"/>
        </w:rPr>
        <w:t>tions, on reporte sur le papier les limites de toutes les parcelles ; nous aurons ce qu’on est convenu d’appeler le plan parcellaire de cette su</w:t>
      </w:r>
      <w:r w:rsidRPr="009C29C2">
        <w:rPr>
          <w:color w:val="000000"/>
          <w:lang w:eastAsia="fr-FR" w:bidi="fr-FR"/>
        </w:rPr>
        <w:t>r</w:t>
      </w:r>
      <w:r w:rsidRPr="009C29C2">
        <w:rPr>
          <w:color w:val="000000"/>
          <w:lang w:eastAsia="fr-FR" w:bidi="fr-FR"/>
        </w:rPr>
        <w:t>face. Supposons encore</w:t>
      </w:r>
      <w:r>
        <w:rPr>
          <w:color w:val="000000"/>
          <w:lang w:eastAsia="fr-FR" w:bidi="fr-FR"/>
        </w:rPr>
        <w:t> — </w:t>
      </w:r>
      <w:r w:rsidRPr="009C29C2">
        <w:rPr>
          <w:color w:val="000000"/>
          <w:lang w:eastAsia="fr-FR" w:bidi="fr-FR"/>
        </w:rPr>
        <w:t>le cas est réalisé assez souvent dans les plans anciens</w:t>
      </w:r>
      <w:r>
        <w:rPr>
          <w:color w:val="000000"/>
          <w:lang w:eastAsia="fr-FR" w:bidi="fr-FR"/>
        </w:rPr>
        <w:t> — </w:t>
      </w:r>
      <w:r w:rsidRPr="009C29C2">
        <w:rPr>
          <w:color w:val="000000"/>
          <w:lang w:eastAsia="fr-FR" w:bidi="fr-FR"/>
        </w:rPr>
        <w:t>que le cartographe, au lieu de s’attacher à reproduire toutes les parcelles, à l’intérieur d’un espace donné, se soit contenté de dessiner les contours de certaines d’entre elles, choisies en raison de tel ou tel caractère particulier, le plus souvent l’appartenance à un même propriétaire (par exemple, sous un régime seigneurial, celles qui constituaient le domaine) ; le plan ainsi obtenu, si incomplet qu’il soit, sera encore dit : parcellaire.</w:t>
      </w:r>
    </w:p>
    <w:p w14:paraId="02F4D94C" w14:textId="77777777" w:rsidR="00B9662D" w:rsidRPr="009C29C2" w:rsidRDefault="00B9662D" w:rsidP="00B9662D">
      <w:pPr>
        <w:spacing w:before="120" w:after="120"/>
        <w:jc w:val="both"/>
      </w:pPr>
      <w:r w:rsidRPr="009C29C2">
        <w:rPr>
          <w:color w:val="000000"/>
          <w:lang w:eastAsia="fr-FR" w:bidi="fr-FR"/>
        </w:rPr>
        <w:t>Documents historiques, ces plans, œuvre menue de seigneurs pe</w:t>
      </w:r>
      <w:r w:rsidRPr="009C29C2">
        <w:rPr>
          <w:color w:val="000000"/>
          <w:lang w:eastAsia="fr-FR" w:bidi="fr-FR"/>
        </w:rPr>
        <w:t>n</w:t>
      </w:r>
      <w:r w:rsidRPr="009C29C2">
        <w:rPr>
          <w:color w:val="000000"/>
          <w:lang w:eastAsia="fr-FR" w:bidi="fr-FR"/>
        </w:rPr>
        <w:t>chés sur leurs redevances ou d’administrations en mal de fiscalité ? documents vivants, ces mornes feuilles où l’œil inexpérimenté n’aperçoit qu’une foule de petits traits, rayant le papier dans tous les sens ? Dans les bureaux des</w:t>
      </w:r>
      <w:r>
        <w:t xml:space="preserve"> </w:t>
      </w:r>
      <w:r>
        <w:rPr>
          <w:color w:val="000000"/>
          <w:lang w:eastAsia="fr-FR" w:bidi="fr-FR"/>
        </w:rPr>
        <w:t xml:space="preserve">[566] </w:t>
      </w:r>
      <w:r w:rsidRPr="009C29C2">
        <w:rPr>
          <w:color w:val="000000"/>
          <w:lang w:eastAsia="fr-FR" w:bidi="fr-FR"/>
        </w:rPr>
        <w:t>Contributions Directes, où, comme on le verra plus loin, un grand nombre de plans parcellaires français sont déposés, parfois un propri</w:t>
      </w:r>
      <w:r w:rsidRPr="009C29C2">
        <w:rPr>
          <w:color w:val="000000"/>
          <w:lang w:eastAsia="fr-FR" w:bidi="fr-FR"/>
        </w:rPr>
        <w:t>é</w:t>
      </w:r>
      <w:r w:rsidRPr="009C29C2">
        <w:rPr>
          <w:color w:val="000000"/>
          <w:lang w:eastAsia="fr-FR" w:bidi="fr-FR"/>
        </w:rPr>
        <w:t>taire rural, inquiet sur son bornage, vient les consulter ; nul ne s’en étonne. Mais si, d’aventure, c’est un historien qui en demande co</w:t>
      </w:r>
      <w:r w:rsidRPr="009C29C2">
        <w:rPr>
          <w:color w:val="000000"/>
          <w:lang w:eastAsia="fr-FR" w:bidi="fr-FR"/>
        </w:rPr>
        <w:t>m</w:t>
      </w:r>
      <w:r w:rsidRPr="009C29C2">
        <w:rPr>
          <w:color w:val="000000"/>
          <w:lang w:eastAsia="fr-FR" w:bidi="fr-FR"/>
        </w:rPr>
        <w:t>munication, l’amusement qu’il perçoit sous la courtoisie de l’accueil a vite fait de lui donner le juste sent</w:t>
      </w:r>
      <w:r w:rsidRPr="009C29C2">
        <w:rPr>
          <w:color w:val="000000"/>
          <w:lang w:eastAsia="fr-FR" w:bidi="fr-FR"/>
        </w:rPr>
        <w:t>i</w:t>
      </w:r>
      <w:r w:rsidRPr="009C29C2">
        <w:rPr>
          <w:color w:val="000000"/>
          <w:lang w:eastAsia="fr-FR" w:bidi="fr-FR"/>
        </w:rPr>
        <w:t>ment de ce que sa curiosité, aux regards du grand public, a de par</w:t>
      </w:r>
      <w:r w:rsidRPr="009C29C2">
        <w:rPr>
          <w:color w:val="000000"/>
          <w:lang w:eastAsia="fr-FR" w:bidi="fr-FR"/>
        </w:rPr>
        <w:t>a</w:t>
      </w:r>
      <w:r w:rsidRPr="009C29C2">
        <w:rPr>
          <w:color w:val="000000"/>
          <w:lang w:eastAsia="fr-FR" w:bidi="fr-FR"/>
        </w:rPr>
        <w:t>doxal. Par malheur, il semble bien que, en France, le personnel des Finances ne soit pas seul à penser de la sorte. Alors que, en Allem</w:t>
      </w:r>
      <w:r w:rsidRPr="009C29C2">
        <w:rPr>
          <w:color w:val="000000"/>
          <w:lang w:eastAsia="fr-FR" w:bidi="fr-FR"/>
        </w:rPr>
        <w:t>a</w:t>
      </w:r>
      <w:r w:rsidRPr="009C29C2">
        <w:rPr>
          <w:color w:val="000000"/>
          <w:lang w:eastAsia="fr-FR" w:bidi="fr-FR"/>
        </w:rPr>
        <w:t xml:space="preserve">gne, les </w:t>
      </w:r>
      <w:r w:rsidRPr="00316BC6">
        <w:rPr>
          <w:i/>
        </w:rPr>
        <w:t>Flurkarten</w:t>
      </w:r>
      <w:r w:rsidRPr="009C29C2">
        <w:t>,</w:t>
      </w:r>
      <w:r w:rsidRPr="009C29C2">
        <w:rPr>
          <w:color w:val="000000"/>
          <w:lang w:eastAsia="fr-FR" w:bidi="fr-FR"/>
        </w:rPr>
        <w:t xml:space="preserve"> en Angleterre, en Belgique, les plans analogues sont depuis longtemps exploités par les historiens, les plans parcella</w:t>
      </w:r>
      <w:r w:rsidRPr="009C29C2">
        <w:rPr>
          <w:color w:val="000000"/>
          <w:lang w:eastAsia="fr-FR" w:bidi="fr-FR"/>
        </w:rPr>
        <w:t>i</w:t>
      </w:r>
      <w:r w:rsidRPr="009C29C2">
        <w:rPr>
          <w:color w:val="000000"/>
          <w:lang w:eastAsia="fr-FR" w:bidi="fr-FR"/>
        </w:rPr>
        <w:t>res français qui, pourtant, ne manquent point, n’ont presque jamais été étudiés. Il est urgent d’attirer sur eux l’attention des travailleurs, et notamment de ces chercheurs, préoccupés d’histoire régionale ou l</w:t>
      </w:r>
      <w:r w:rsidRPr="009C29C2">
        <w:rPr>
          <w:color w:val="000000"/>
          <w:lang w:eastAsia="fr-FR" w:bidi="fr-FR"/>
        </w:rPr>
        <w:t>o</w:t>
      </w:r>
      <w:r w:rsidRPr="009C29C2">
        <w:rPr>
          <w:color w:val="000000"/>
          <w:lang w:eastAsia="fr-FR" w:bidi="fr-FR"/>
        </w:rPr>
        <w:t>cale, dont nous espérons un si grand s</w:t>
      </w:r>
      <w:r w:rsidRPr="009C29C2">
        <w:rPr>
          <w:color w:val="000000"/>
          <w:lang w:eastAsia="fr-FR" w:bidi="fr-FR"/>
        </w:rPr>
        <w:t>e</w:t>
      </w:r>
      <w:r w:rsidRPr="009C29C2">
        <w:rPr>
          <w:color w:val="000000"/>
          <w:lang w:eastAsia="fr-FR" w:bidi="fr-FR"/>
        </w:rPr>
        <w:t>cours pour nos études : écrire l’histoire d’un village, sans avoir même jeté les yeux sur la carte c</w:t>
      </w:r>
      <w:r w:rsidRPr="009C29C2">
        <w:rPr>
          <w:color w:val="000000"/>
          <w:lang w:eastAsia="fr-FR" w:bidi="fr-FR"/>
        </w:rPr>
        <w:t>a</w:t>
      </w:r>
      <w:r w:rsidRPr="009C29C2">
        <w:rPr>
          <w:color w:val="000000"/>
          <w:lang w:eastAsia="fr-FR" w:bidi="fr-FR"/>
        </w:rPr>
        <w:t>dastrale, c’est se priver, de gaieté de cœur, d’un instrument entre tous efficace ; pourtant, combien de fois cette erreur n’a-t-elle pas été commise</w:t>
      </w:r>
      <w:r>
        <w:rPr>
          <w:color w:val="000000"/>
          <w:lang w:eastAsia="fr-FR" w:bidi="fr-FR"/>
        </w:rPr>
        <w:t> !</w:t>
      </w:r>
      <w:r w:rsidRPr="009C29C2">
        <w:rPr>
          <w:color w:val="000000"/>
          <w:lang w:eastAsia="fr-FR" w:bidi="fr-FR"/>
        </w:rPr>
        <w:t xml:space="preserve"> En inscrivant les plans parcellaires en tête de nos enquêtes, nous nous proposons la réparation d’un trop long oubli.</w:t>
      </w:r>
    </w:p>
    <w:p w14:paraId="0640F0A9" w14:textId="77777777" w:rsidR="00B9662D" w:rsidRDefault="00B9662D" w:rsidP="00B9662D">
      <w:pPr>
        <w:spacing w:before="120" w:after="120"/>
        <w:jc w:val="both"/>
        <w:rPr>
          <w:color w:val="000000"/>
          <w:lang w:eastAsia="fr-FR" w:bidi="fr-FR"/>
        </w:rPr>
      </w:pPr>
      <w:r w:rsidRPr="009C29C2">
        <w:rPr>
          <w:color w:val="000000"/>
          <w:lang w:eastAsia="fr-FR" w:bidi="fr-FR"/>
        </w:rPr>
        <w:t>Cette raison, si forte soit-elle, n’est d’ailleurs pas la seule qui ait dét</w:t>
      </w:r>
    </w:p>
    <w:p w14:paraId="045D31C8" w14:textId="77777777" w:rsidR="00B9662D" w:rsidRPr="009C29C2" w:rsidRDefault="00B9662D" w:rsidP="00B9662D">
      <w:pPr>
        <w:spacing w:before="120" w:after="120"/>
        <w:jc w:val="both"/>
      </w:pPr>
      <w:r>
        <w:rPr>
          <w:color w:val="000000"/>
          <w:lang w:eastAsia="fr-FR" w:bidi="fr-FR"/>
        </w:rPr>
        <w:br w:type="page"/>
      </w:r>
      <w:r w:rsidRPr="009C29C2">
        <w:rPr>
          <w:color w:val="000000"/>
          <w:lang w:eastAsia="fr-FR" w:bidi="fr-FR"/>
        </w:rPr>
        <w:lastRenderedPageBreak/>
        <w:t>erminé notre choix. Nous ne nous bornerons pas aux plans fra</w:t>
      </w:r>
      <w:r w:rsidRPr="009C29C2">
        <w:rPr>
          <w:color w:val="000000"/>
          <w:lang w:eastAsia="fr-FR" w:bidi="fr-FR"/>
        </w:rPr>
        <w:t>n</w:t>
      </w:r>
      <w:r w:rsidRPr="009C29C2">
        <w:rPr>
          <w:color w:val="000000"/>
          <w:lang w:eastAsia="fr-FR" w:bidi="fr-FR"/>
        </w:rPr>
        <w:t>çais. Les collaborations, qui sont amicalement venues à nous, perme</w:t>
      </w:r>
      <w:r w:rsidRPr="009C29C2">
        <w:rPr>
          <w:color w:val="000000"/>
          <w:lang w:eastAsia="fr-FR" w:bidi="fr-FR"/>
        </w:rPr>
        <w:t>t</w:t>
      </w:r>
      <w:r w:rsidRPr="009C29C2">
        <w:rPr>
          <w:color w:val="000000"/>
          <w:lang w:eastAsia="fr-FR" w:bidi="fr-FR"/>
        </w:rPr>
        <w:t>tront d’étendre, dès les prochains numéros, la recherche à divers pays étrangers</w:t>
      </w:r>
      <w:r>
        <w:rPr>
          <w:color w:val="000000"/>
          <w:lang w:eastAsia="fr-FR" w:bidi="fr-FR"/>
        </w:rPr>
        <w:t> </w:t>
      </w:r>
      <w:r>
        <w:rPr>
          <w:rStyle w:val="Appelnotedebasdep"/>
        </w:rPr>
        <w:footnoteReference w:id="5"/>
      </w:r>
      <w:r w:rsidRPr="009C29C2">
        <w:rPr>
          <w:color w:val="000000"/>
          <w:lang w:eastAsia="fr-FR" w:bidi="fr-FR"/>
        </w:rPr>
        <w:t>. Car sur ce terrain, comme sur tant d’autres, plus encore sur beaucoup d’autres, la méthode comparée s’impose et les vieux c</w:t>
      </w:r>
      <w:r w:rsidRPr="009C29C2">
        <w:rPr>
          <w:color w:val="000000"/>
          <w:lang w:eastAsia="fr-FR" w:bidi="fr-FR"/>
        </w:rPr>
        <w:t>a</w:t>
      </w:r>
      <w:r w:rsidRPr="009C29C2">
        <w:rPr>
          <w:color w:val="000000"/>
          <w:lang w:eastAsia="fr-FR" w:bidi="fr-FR"/>
        </w:rPr>
        <w:t>dres nationaux, où trop souvent s’enferment les historiens, doivent enfin être brisés. Aussi bien, quelques mots échangés au dernier Congrès d’Oslo nous l’ont prouvé : partir à la recherche de rense</w:t>
      </w:r>
      <w:r w:rsidRPr="009C29C2">
        <w:rPr>
          <w:color w:val="000000"/>
          <w:lang w:eastAsia="fr-FR" w:bidi="fr-FR"/>
        </w:rPr>
        <w:t>i</w:t>
      </w:r>
      <w:r w:rsidRPr="009C29C2">
        <w:rPr>
          <w:color w:val="000000"/>
          <w:lang w:eastAsia="fr-FR" w:bidi="fr-FR"/>
        </w:rPr>
        <w:t>gnements sur les plans au</w:t>
      </w:r>
      <w:r>
        <w:rPr>
          <w:color w:val="000000"/>
          <w:lang w:eastAsia="fr-FR" w:bidi="fr-FR"/>
        </w:rPr>
        <w:t>-</w:t>
      </w:r>
      <w:r w:rsidRPr="009C29C2">
        <w:rPr>
          <w:color w:val="000000"/>
          <w:lang w:eastAsia="fr-FR" w:bidi="fr-FR"/>
        </w:rPr>
        <w:t>delà des frontières de son propre pays et revenir bredouille, ce fait divers d’érudition n’a rien d’imaginaire. Nous sommes donc certains de répondre, par notre entreprise, à un besoin réellement ressenti. Enfin, poursuivant ici avant tout une œuvre de liaison et d’échanges, il nous a paru tentant de porter tout d’abord notre effort sur les documents qui, par leur nature même, les inform</w:t>
      </w:r>
      <w:r w:rsidRPr="009C29C2">
        <w:rPr>
          <w:color w:val="000000"/>
          <w:lang w:eastAsia="fr-FR" w:bidi="fr-FR"/>
        </w:rPr>
        <w:t>a</w:t>
      </w:r>
      <w:r w:rsidRPr="009C29C2">
        <w:rPr>
          <w:color w:val="000000"/>
          <w:lang w:eastAsia="fr-FR" w:bidi="fr-FR"/>
        </w:rPr>
        <w:t>tions qu’ils apportent, et les connaissances qu’ils exigent pour être correctement interprétés et utilisés, appellent la coopération de spéci</w:t>
      </w:r>
      <w:r w:rsidRPr="009C29C2">
        <w:rPr>
          <w:color w:val="000000"/>
          <w:lang w:eastAsia="fr-FR" w:bidi="fr-FR"/>
        </w:rPr>
        <w:t>a</w:t>
      </w:r>
      <w:r w:rsidRPr="009C29C2">
        <w:rPr>
          <w:color w:val="000000"/>
          <w:lang w:eastAsia="fr-FR" w:bidi="fr-FR"/>
        </w:rPr>
        <w:t>listes très divers.</w:t>
      </w:r>
    </w:p>
    <w:p w14:paraId="064B7A7B" w14:textId="77777777" w:rsidR="00B9662D" w:rsidRPr="009C29C2" w:rsidRDefault="00B9662D" w:rsidP="00B9662D">
      <w:pPr>
        <w:spacing w:before="120" w:after="120"/>
        <w:jc w:val="both"/>
      </w:pPr>
      <w:r w:rsidRPr="009C29C2">
        <w:rPr>
          <w:color w:val="000000"/>
          <w:lang w:eastAsia="fr-FR" w:bidi="fr-FR"/>
        </w:rPr>
        <w:t>Car les plans parcellaires, comme tous les documents, ne deme</w:t>
      </w:r>
      <w:r w:rsidRPr="009C29C2">
        <w:rPr>
          <w:color w:val="000000"/>
          <w:lang w:eastAsia="fr-FR" w:bidi="fr-FR"/>
        </w:rPr>
        <w:t>u</w:t>
      </w:r>
      <w:r w:rsidRPr="009C29C2">
        <w:rPr>
          <w:color w:val="000000"/>
          <w:lang w:eastAsia="fr-FR" w:bidi="fr-FR"/>
        </w:rPr>
        <w:t>rent monotones et exsangues que jusqu’au jour où le coup de baguette de l’intuition historique leur a rendu une âme. En leurs traits figés, une vie mouvante, pleine de travaux et d’aventures, s’est inscrite et se r</w:t>
      </w:r>
      <w:r w:rsidRPr="009C29C2">
        <w:rPr>
          <w:color w:val="000000"/>
          <w:lang w:eastAsia="fr-FR" w:bidi="fr-FR"/>
        </w:rPr>
        <w:t>é</w:t>
      </w:r>
      <w:r w:rsidRPr="009C29C2">
        <w:rPr>
          <w:color w:val="000000"/>
          <w:lang w:eastAsia="fr-FR" w:bidi="fr-FR"/>
        </w:rPr>
        <w:t>vèle, toute chaude, à qui a l’art de la saisir : la vie rurale, dans ses p</w:t>
      </w:r>
      <w:r w:rsidRPr="009C29C2">
        <w:rPr>
          <w:color w:val="000000"/>
          <w:lang w:eastAsia="fr-FR" w:bidi="fr-FR"/>
        </w:rPr>
        <w:t>é</w:t>
      </w:r>
      <w:r w:rsidRPr="009C29C2">
        <w:rPr>
          <w:color w:val="000000"/>
          <w:lang w:eastAsia="fr-FR" w:bidi="fr-FR"/>
        </w:rPr>
        <w:t>ripéties et l’infini de ses variétés régionales. La forme et la disposition des champs, qu’ils font apparaître à nos yeux, éclairent les prémices de l’occupation du sol, et révèlent entre les usages agraires, selon les contrées, des ressemblances</w:t>
      </w:r>
      <w:r>
        <w:t xml:space="preserve"> </w:t>
      </w:r>
      <w:r>
        <w:rPr>
          <w:color w:val="000000"/>
          <w:lang w:eastAsia="fr-FR" w:bidi="fr-FR"/>
        </w:rPr>
        <w:t xml:space="preserve">[567] </w:t>
      </w:r>
      <w:r w:rsidRPr="009C29C2">
        <w:rPr>
          <w:color w:val="000000"/>
          <w:lang w:eastAsia="fr-FR" w:bidi="fr-FR"/>
        </w:rPr>
        <w:t>et des oppositions où l’historien des civilisations les plus reculées, recouvertes aujourd’hui par des peuples et des États plus jeunes, puise des suggestions qu’il chercherait va</w:t>
      </w:r>
      <w:r w:rsidRPr="009C29C2">
        <w:rPr>
          <w:color w:val="000000"/>
          <w:lang w:eastAsia="fr-FR" w:bidi="fr-FR"/>
        </w:rPr>
        <w:t>i</w:t>
      </w:r>
      <w:r w:rsidRPr="009C29C2">
        <w:rPr>
          <w:color w:val="000000"/>
          <w:lang w:eastAsia="fr-FR" w:bidi="fr-FR"/>
        </w:rPr>
        <w:t>nement ailleurs. Le long effort de défrichement, qui, dans la suite des temps, par à-coups, entama landes et forêts, accrut et morcela les te</w:t>
      </w:r>
      <w:r w:rsidRPr="009C29C2">
        <w:rPr>
          <w:color w:val="000000"/>
          <w:lang w:eastAsia="fr-FR" w:bidi="fr-FR"/>
        </w:rPr>
        <w:t>r</w:t>
      </w:r>
      <w:r w:rsidRPr="009C29C2">
        <w:rPr>
          <w:color w:val="000000"/>
          <w:lang w:eastAsia="fr-FR" w:bidi="fr-FR"/>
        </w:rPr>
        <w:t>roirs, créa des centres d’habitat no</w:t>
      </w:r>
      <w:r w:rsidRPr="009C29C2">
        <w:rPr>
          <w:color w:val="000000"/>
          <w:lang w:eastAsia="fr-FR" w:bidi="fr-FR"/>
        </w:rPr>
        <w:t>u</w:t>
      </w:r>
      <w:r w:rsidRPr="009C29C2">
        <w:rPr>
          <w:color w:val="000000"/>
          <w:lang w:eastAsia="fr-FR" w:bidi="fr-FR"/>
        </w:rPr>
        <w:t>veaux, y a déposé ses traces</w:t>
      </w:r>
      <w:r>
        <w:rPr>
          <w:color w:val="000000"/>
          <w:lang w:eastAsia="fr-FR" w:bidi="fr-FR"/>
        </w:rPr>
        <w:t> </w:t>
      </w:r>
      <w:r>
        <w:rPr>
          <w:rStyle w:val="Appelnotedebasdep"/>
        </w:rPr>
        <w:footnoteReference w:id="6"/>
      </w:r>
      <w:r w:rsidRPr="009C29C2">
        <w:rPr>
          <w:color w:val="000000"/>
          <w:lang w:eastAsia="fr-FR" w:bidi="fr-FR"/>
        </w:rPr>
        <w:t xml:space="preserve">. Les </w:t>
      </w:r>
      <w:r w:rsidRPr="009C29C2">
        <w:rPr>
          <w:color w:val="000000"/>
          <w:lang w:eastAsia="fr-FR" w:bidi="fr-FR"/>
        </w:rPr>
        <w:lastRenderedPageBreak/>
        <w:t>vicissitudes du régime seigneurial s’y traduisent par les variations du domaine, dans son étendue et sa constitution topographique. La répa</w:t>
      </w:r>
      <w:r w:rsidRPr="009C29C2">
        <w:rPr>
          <w:color w:val="000000"/>
          <w:lang w:eastAsia="fr-FR" w:bidi="fr-FR"/>
        </w:rPr>
        <w:t>r</w:t>
      </w:r>
      <w:r w:rsidRPr="009C29C2">
        <w:rPr>
          <w:color w:val="000000"/>
          <w:lang w:eastAsia="fr-FR" w:bidi="fr-FR"/>
        </w:rPr>
        <w:t xml:space="preserve">tition des fortunes foncières, l’histoire sociale des communautés paysannes s’y montrent au grand jour. Voici, par exemple, un plan beauceron du début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w:t>
      </w:r>
      <w:r w:rsidRPr="009C29C2">
        <w:rPr>
          <w:color w:val="000000"/>
          <w:lang w:eastAsia="fr-FR" w:bidi="fr-FR"/>
        </w:rPr>
        <w:t>è</w:t>
      </w:r>
      <w:r w:rsidRPr="009C29C2">
        <w:rPr>
          <w:color w:val="000000"/>
          <w:lang w:eastAsia="fr-FR" w:bidi="fr-FR"/>
        </w:rPr>
        <w:t>cle, celui de Monnerville, exécuté entre 1699 et 1702</w:t>
      </w:r>
      <w:r>
        <w:rPr>
          <w:color w:val="000000"/>
          <w:lang w:eastAsia="fr-FR" w:bidi="fr-FR"/>
        </w:rPr>
        <w:t> </w:t>
      </w:r>
      <w:r>
        <w:rPr>
          <w:rStyle w:val="Appelnotedebasdep"/>
        </w:rPr>
        <w:footnoteReference w:id="7"/>
      </w:r>
      <w:r w:rsidRPr="009C29C2">
        <w:rPr>
          <w:color w:val="000000"/>
          <w:lang w:eastAsia="fr-FR" w:bidi="fr-FR"/>
        </w:rPr>
        <w:t>. Les exploit</w:t>
      </w:r>
      <w:r w:rsidRPr="009C29C2">
        <w:rPr>
          <w:color w:val="000000"/>
          <w:lang w:eastAsia="fr-FR" w:bidi="fr-FR"/>
        </w:rPr>
        <w:t>a</w:t>
      </w:r>
      <w:r w:rsidRPr="009C29C2">
        <w:rPr>
          <w:color w:val="000000"/>
          <w:lang w:eastAsia="fr-FR" w:bidi="fr-FR"/>
        </w:rPr>
        <w:t>tions y sont morcelées et dispersées à l’extrême. Pourtant, au milieu de cette poussière de parcelles, que</w:t>
      </w:r>
      <w:r w:rsidRPr="009C29C2">
        <w:rPr>
          <w:color w:val="000000"/>
          <w:lang w:eastAsia="fr-FR" w:bidi="fr-FR"/>
        </w:rPr>
        <w:t>l</w:t>
      </w:r>
      <w:r w:rsidRPr="009C29C2">
        <w:rPr>
          <w:color w:val="000000"/>
          <w:lang w:eastAsia="fr-FR" w:bidi="fr-FR"/>
        </w:rPr>
        <w:t>ques grandes pièces d’un seul tenant marquent de larges taches bla</w:t>
      </w:r>
      <w:r w:rsidRPr="009C29C2">
        <w:rPr>
          <w:color w:val="000000"/>
          <w:lang w:eastAsia="fr-FR" w:bidi="fr-FR"/>
        </w:rPr>
        <w:t>n</w:t>
      </w:r>
      <w:r w:rsidRPr="009C29C2">
        <w:rPr>
          <w:color w:val="000000"/>
          <w:lang w:eastAsia="fr-FR" w:bidi="fr-FR"/>
        </w:rPr>
        <w:t>ches ; quelle leçon de constater qu’elles appartiennent toutes, les unes au seigneur, les autres</w:t>
      </w:r>
      <w:r>
        <w:rPr>
          <w:color w:val="000000"/>
          <w:lang w:eastAsia="fr-FR" w:bidi="fr-FR"/>
        </w:rPr>
        <w:t> — </w:t>
      </w:r>
      <w:r w:rsidRPr="009C29C2">
        <w:rPr>
          <w:color w:val="000000"/>
          <w:lang w:eastAsia="fr-FR" w:bidi="fr-FR"/>
        </w:rPr>
        <w:t>constituées certainement par la réunion p</w:t>
      </w:r>
      <w:r w:rsidRPr="009C29C2">
        <w:rPr>
          <w:color w:val="000000"/>
          <w:lang w:eastAsia="fr-FR" w:bidi="fr-FR"/>
        </w:rPr>
        <w:t>a</w:t>
      </w:r>
      <w:r w:rsidRPr="009C29C2">
        <w:rPr>
          <w:color w:val="000000"/>
          <w:lang w:eastAsia="fr-FR" w:bidi="fr-FR"/>
        </w:rPr>
        <w:t>tiemment poursuivie de parcelles plus petites</w:t>
      </w:r>
      <w:r>
        <w:rPr>
          <w:color w:val="000000"/>
          <w:lang w:eastAsia="fr-FR" w:bidi="fr-FR"/>
        </w:rPr>
        <w:t> — </w:t>
      </w:r>
      <w:r w:rsidRPr="009C29C2">
        <w:rPr>
          <w:color w:val="000000"/>
          <w:lang w:eastAsia="fr-FR" w:bidi="fr-FR"/>
        </w:rPr>
        <w:t>à quelques familles de noblesse d’office et à un certain Sébastien de Villiers, « marchand et laboureur », que tout le plan dénonce comme un acharné rasse</w:t>
      </w:r>
      <w:r w:rsidRPr="009C29C2">
        <w:rPr>
          <w:color w:val="000000"/>
          <w:lang w:eastAsia="fr-FR" w:bidi="fr-FR"/>
        </w:rPr>
        <w:t>m</w:t>
      </w:r>
      <w:r w:rsidRPr="009C29C2">
        <w:rPr>
          <w:color w:val="000000"/>
          <w:lang w:eastAsia="fr-FR" w:bidi="fr-FR"/>
        </w:rPr>
        <w:t>bleur de terres : probablement un de ces petits capitalistes ruraux, un de ces « coqs de village », commerçants et usuriers, qui ont si souvent fait souche de grands pr</w:t>
      </w:r>
      <w:r w:rsidRPr="009C29C2">
        <w:rPr>
          <w:color w:val="000000"/>
          <w:lang w:eastAsia="fr-FR" w:bidi="fr-FR"/>
        </w:rPr>
        <w:t>o</w:t>
      </w:r>
      <w:r w:rsidRPr="009C29C2">
        <w:rPr>
          <w:color w:val="000000"/>
          <w:lang w:eastAsia="fr-FR" w:bidi="fr-FR"/>
        </w:rPr>
        <w:t>priétaires ! La comparaison méthodique entre les plans de dates diverses, là où il en existe pour le même terroir, a</w:t>
      </w:r>
      <w:r w:rsidRPr="009C29C2">
        <w:rPr>
          <w:color w:val="000000"/>
          <w:lang w:eastAsia="fr-FR" w:bidi="fr-FR"/>
        </w:rPr>
        <w:t>p</w:t>
      </w:r>
      <w:r w:rsidRPr="009C29C2">
        <w:rPr>
          <w:color w:val="000000"/>
          <w:lang w:eastAsia="fr-FR" w:bidi="fr-FR"/>
        </w:rPr>
        <w:t>porte sur l’histoire de la propriété plus de précisions parfois qu’un monceau de textes. Repr</w:t>
      </w:r>
      <w:r w:rsidRPr="009C29C2">
        <w:rPr>
          <w:color w:val="000000"/>
          <w:lang w:eastAsia="fr-FR" w:bidi="fr-FR"/>
        </w:rPr>
        <w:t>e</w:t>
      </w:r>
      <w:r w:rsidRPr="009C29C2">
        <w:rPr>
          <w:color w:val="000000"/>
          <w:lang w:eastAsia="fr-FR" w:bidi="fr-FR"/>
        </w:rPr>
        <w:t>nons notre plan de Monnerville de 1699-1702 ; mettons-le en regard du plan cadastral, établi en 1831, en commentant les deux cartes à l’aide des pièces annexes, le terrier pour l’une, la matrice pour l’autre ; nous aurons face à face, en deux im</w:t>
      </w:r>
      <w:r w:rsidRPr="009C29C2">
        <w:rPr>
          <w:color w:val="000000"/>
          <w:lang w:eastAsia="fr-FR" w:bidi="fr-FR"/>
        </w:rPr>
        <w:t>a</w:t>
      </w:r>
      <w:r w:rsidRPr="009C29C2">
        <w:rPr>
          <w:color w:val="000000"/>
          <w:lang w:eastAsia="fr-FR" w:bidi="fr-FR"/>
        </w:rPr>
        <w:t>ges concrètes, le point de départ et le point d’arrivée des grandes m</w:t>
      </w:r>
      <w:r w:rsidRPr="009C29C2">
        <w:rPr>
          <w:color w:val="000000"/>
          <w:lang w:eastAsia="fr-FR" w:bidi="fr-FR"/>
        </w:rPr>
        <w:t>u</w:t>
      </w:r>
      <w:r w:rsidRPr="009C29C2">
        <w:rPr>
          <w:color w:val="000000"/>
          <w:lang w:eastAsia="fr-FR" w:bidi="fr-FR"/>
        </w:rPr>
        <w:t>tations révolutionnaires</w:t>
      </w:r>
      <w:r>
        <w:rPr>
          <w:color w:val="000000"/>
          <w:lang w:eastAsia="fr-FR" w:bidi="fr-FR"/>
        </w:rPr>
        <w:t> </w:t>
      </w:r>
      <w:r>
        <w:rPr>
          <w:rStyle w:val="Appelnotedebasdep"/>
        </w:rPr>
        <w:footnoteReference w:id="8"/>
      </w:r>
      <w:r w:rsidRPr="009C29C2">
        <w:rPr>
          <w:color w:val="000000"/>
          <w:lang w:eastAsia="fr-FR" w:bidi="fr-FR"/>
        </w:rPr>
        <w:t>.</w:t>
      </w:r>
    </w:p>
    <w:p w14:paraId="18A66EB5" w14:textId="77777777" w:rsidR="00B9662D" w:rsidRDefault="00B9662D" w:rsidP="00B9662D">
      <w:pPr>
        <w:spacing w:before="120" w:after="120"/>
        <w:jc w:val="both"/>
        <w:rPr>
          <w:color w:val="000000"/>
          <w:lang w:eastAsia="fr-FR" w:bidi="fr-FR"/>
        </w:rPr>
      </w:pPr>
      <w:r w:rsidRPr="009C29C2">
        <w:rPr>
          <w:color w:val="000000"/>
          <w:lang w:eastAsia="fr-FR" w:bidi="fr-FR"/>
        </w:rPr>
        <w:lastRenderedPageBreak/>
        <w:t>Il</w:t>
      </w:r>
      <w:r w:rsidRPr="009C29C2">
        <w:rPr>
          <w:color w:val="000000"/>
          <w:lang w:eastAsia="fr-FR" w:bidi="fr-FR"/>
        </w:rPr>
        <w:tab/>
        <w:t>n’est guère de documents qui se suffisent à eux-mêmes. Les plans parcellaires pas plus que les autres. Ce sont des témoins pr</w:t>
      </w:r>
      <w:r w:rsidRPr="009C29C2">
        <w:rPr>
          <w:color w:val="000000"/>
          <w:lang w:eastAsia="fr-FR" w:bidi="fr-FR"/>
        </w:rPr>
        <w:t>é</w:t>
      </w:r>
      <w:r w:rsidRPr="009C29C2">
        <w:rPr>
          <w:color w:val="000000"/>
          <w:lang w:eastAsia="fr-FR" w:bidi="fr-FR"/>
        </w:rPr>
        <w:t>cieux qu’on a eu tort de ne pas interroger d’assez près ; mais ils ne livrent leurs secrets qu’une fois confrontés avec d’autres témoins. J’ai déjà fait allusion aux textes annexes ; j’aurai l’occasion d’y revenir plus loin. Ces textes même, sorte de glose perpétuelle des plans, ne nous donnent pas tout le nécessaire. Le dépouillement des pièces d’archives de tout ordre, de la littérature</w:t>
      </w:r>
      <w:r>
        <w:t xml:space="preserve"> [568] </w:t>
      </w:r>
      <w:r w:rsidRPr="009C29C2">
        <w:rPr>
          <w:color w:val="000000"/>
          <w:lang w:eastAsia="fr-FR" w:bidi="fr-FR"/>
        </w:rPr>
        <w:t>juridique, l’examen des noms de lieux</w:t>
      </w:r>
      <w:r>
        <w:rPr>
          <w:color w:val="000000"/>
          <w:lang w:eastAsia="fr-FR" w:bidi="fr-FR"/>
        </w:rPr>
        <w:t> — </w:t>
      </w:r>
      <w:r w:rsidRPr="009C29C2">
        <w:rPr>
          <w:color w:val="000000"/>
          <w:lang w:eastAsia="fr-FR" w:bidi="fr-FR"/>
        </w:rPr>
        <w:t>notamment ces noms de « lieux-dits », dont les plans eux-mêmes fournissent le relevé et que la toponymie a jusqu’ici trop négligés</w:t>
      </w:r>
      <w:r>
        <w:rPr>
          <w:color w:val="000000"/>
          <w:lang w:eastAsia="fr-FR" w:bidi="fr-FR"/>
        </w:rPr>
        <w:t> — </w:t>
      </w:r>
      <w:r w:rsidRPr="009C29C2">
        <w:rPr>
          <w:color w:val="000000"/>
          <w:lang w:eastAsia="fr-FR" w:bidi="fr-FR"/>
        </w:rPr>
        <w:t>les recherches archéologiques, un grand nombre de sou</w:t>
      </w:r>
      <w:r w:rsidRPr="009C29C2">
        <w:rPr>
          <w:color w:val="000000"/>
          <w:lang w:eastAsia="fr-FR" w:bidi="fr-FR"/>
        </w:rPr>
        <w:t>r</w:t>
      </w:r>
      <w:r w:rsidRPr="009C29C2">
        <w:rPr>
          <w:color w:val="000000"/>
          <w:lang w:eastAsia="fr-FR" w:bidi="fr-FR"/>
        </w:rPr>
        <w:t>ces et de méthodes diverses doivent tour à tour être mises à contrib</w:t>
      </w:r>
      <w:r w:rsidRPr="009C29C2">
        <w:rPr>
          <w:color w:val="000000"/>
          <w:lang w:eastAsia="fr-FR" w:bidi="fr-FR"/>
        </w:rPr>
        <w:t>u</w:t>
      </w:r>
      <w:r w:rsidRPr="009C29C2">
        <w:rPr>
          <w:color w:val="000000"/>
          <w:lang w:eastAsia="fr-FR" w:bidi="fr-FR"/>
        </w:rPr>
        <w:t>tion. Aussi bien l’étude des plans n’est év</w:t>
      </w:r>
      <w:r w:rsidRPr="009C29C2">
        <w:rPr>
          <w:color w:val="000000"/>
          <w:lang w:eastAsia="fr-FR" w:bidi="fr-FR"/>
        </w:rPr>
        <w:t>i</w:t>
      </w:r>
      <w:r w:rsidRPr="009C29C2">
        <w:rPr>
          <w:color w:val="000000"/>
          <w:lang w:eastAsia="fr-FR" w:bidi="fr-FR"/>
        </w:rPr>
        <w:t>demment pas une fin en soi. Les traits matériels qu’on y voit inscrits ne valent que par ce qu’ils révèlent. Ils donnent l’anatomie. Ce qui nous importe, c’est la physi</w:t>
      </w:r>
      <w:r w:rsidRPr="009C29C2">
        <w:rPr>
          <w:color w:val="000000"/>
          <w:lang w:eastAsia="fr-FR" w:bidi="fr-FR"/>
        </w:rPr>
        <w:t>o</w:t>
      </w:r>
      <w:r w:rsidRPr="009C29C2">
        <w:rPr>
          <w:color w:val="000000"/>
          <w:lang w:eastAsia="fr-FR" w:bidi="fr-FR"/>
        </w:rPr>
        <w:t>logie de l’animal vivant, je veux dire de la communauté rurale. Mais l’anatomie est la connaissance première dont le physiologiste ne sa</w:t>
      </w:r>
      <w:r w:rsidRPr="009C29C2">
        <w:rPr>
          <w:color w:val="000000"/>
          <w:lang w:eastAsia="fr-FR" w:bidi="fr-FR"/>
        </w:rPr>
        <w:t>u</w:t>
      </w:r>
      <w:r w:rsidRPr="009C29C2">
        <w:rPr>
          <w:color w:val="000000"/>
          <w:lang w:eastAsia="fr-FR" w:bidi="fr-FR"/>
        </w:rPr>
        <w:t>rait se passer, et, réciproquement, elle ne devient intelligible qu’une fois ses dessous physiologiques scrutés et décrits. De même le plan parcellaire se place au début et à la fin de l’étude agraire : au début comme instrument d’investigation, un des plus pratiques et des plus sûrs qui soient ; à la fin,</w:t>
      </w:r>
      <w:r>
        <w:rPr>
          <w:color w:val="000000"/>
          <w:lang w:eastAsia="fr-FR" w:bidi="fr-FR"/>
        </w:rPr>
        <w:t> — </w:t>
      </w:r>
      <w:r w:rsidRPr="009C29C2">
        <w:rPr>
          <w:color w:val="000000"/>
          <w:lang w:eastAsia="fr-FR" w:bidi="fr-FR"/>
        </w:rPr>
        <w:t>une fois bien connue et bien comprise la petite société dont le terroir est la carap</w:t>
      </w:r>
      <w:r w:rsidRPr="009C29C2">
        <w:rPr>
          <w:color w:val="000000"/>
          <w:lang w:eastAsia="fr-FR" w:bidi="fr-FR"/>
        </w:rPr>
        <w:t>a</w:t>
      </w:r>
      <w:r w:rsidRPr="009C29C2">
        <w:rPr>
          <w:color w:val="000000"/>
          <w:lang w:eastAsia="fr-FR" w:bidi="fr-FR"/>
        </w:rPr>
        <w:t>ce,</w:t>
      </w:r>
      <w:r>
        <w:rPr>
          <w:color w:val="000000"/>
          <w:lang w:eastAsia="fr-FR" w:bidi="fr-FR"/>
        </w:rPr>
        <w:t> — </w:t>
      </w:r>
      <w:r w:rsidRPr="009C29C2">
        <w:rPr>
          <w:color w:val="000000"/>
          <w:lang w:eastAsia="fr-FR" w:bidi="fr-FR"/>
        </w:rPr>
        <w:t>comme l’image la plus immédiatement sensible de réalités s</w:t>
      </w:r>
      <w:r w:rsidRPr="009C29C2">
        <w:rPr>
          <w:color w:val="000000"/>
          <w:lang w:eastAsia="fr-FR" w:bidi="fr-FR"/>
        </w:rPr>
        <w:t>o</w:t>
      </w:r>
      <w:r w:rsidRPr="009C29C2">
        <w:rPr>
          <w:color w:val="000000"/>
          <w:lang w:eastAsia="fr-FR" w:bidi="fr-FR"/>
        </w:rPr>
        <w:t>ciales profondes.</w:t>
      </w:r>
    </w:p>
    <w:p w14:paraId="43F1CDFC" w14:textId="77777777" w:rsidR="00B9662D" w:rsidRPr="009C29C2" w:rsidRDefault="00B9662D" w:rsidP="00B9662D">
      <w:pPr>
        <w:spacing w:before="120" w:after="120"/>
        <w:jc w:val="both"/>
      </w:pPr>
    </w:p>
    <w:p w14:paraId="2E7807E8" w14:textId="77777777" w:rsidR="00B9662D" w:rsidRPr="009C29C2" w:rsidRDefault="00B9662D" w:rsidP="00B9662D">
      <w:pPr>
        <w:pStyle w:val="planche"/>
      </w:pPr>
      <w:bookmarkStart w:id="5" w:name="Melanges_t2_pt_6_chap_I_2"/>
      <w:r w:rsidRPr="00B13486">
        <w:t>2. Coup d’œil sur les plans parcellaires français :</w:t>
      </w:r>
      <w:r w:rsidRPr="00B13486">
        <w:br/>
      </w:r>
      <w:r w:rsidRPr="00C10FC4">
        <w:t>LE CADASTRE</w:t>
      </w:r>
    </w:p>
    <w:bookmarkEnd w:id="5"/>
    <w:p w14:paraId="4DD426A6" w14:textId="77777777" w:rsidR="00B9662D" w:rsidRDefault="00B9662D" w:rsidP="00B9662D">
      <w:pPr>
        <w:spacing w:before="120" w:after="120"/>
        <w:jc w:val="both"/>
        <w:rPr>
          <w:color w:val="000000"/>
          <w:lang w:eastAsia="fr-FR" w:bidi="fr-FR"/>
        </w:rPr>
      </w:pPr>
    </w:p>
    <w:p w14:paraId="5EDB8033"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5D212D3" w14:textId="77777777" w:rsidR="00B9662D" w:rsidRPr="009C29C2" w:rsidRDefault="00B9662D" w:rsidP="00B9662D">
      <w:pPr>
        <w:spacing w:before="120" w:after="120"/>
        <w:jc w:val="both"/>
      </w:pPr>
      <w:r w:rsidRPr="009C29C2">
        <w:rPr>
          <w:color w:val="000000"/>
          <w:lang w:eastAsia="fr-FR" w:bidi="fr-FR"/>
        </w:rPr>
        <w:t xml:space="preserve">Du point de vue qui nous occupe, les pays de l’Europe peuvent se classer en deux catégories : ceux qui ont été, à une époque plus ou moins rapprochée de nous, l’objet d’un cadastre général, accompagné de levés topographiques, de telle sorte que pour chaque terroir il existe </w:t>
      </w:r>
      <w:r w:rsidRPr="009C29C2">
        <w:rPr>
          <w:color w:val="000000"/>
          <w:lang w:eastAsia="fr-FR" w:bidi="fr-FR"/>
        </w:rPr>
        <w:lastRenderedPageBreak/>
        <w:t>au moins un plan parcellaire ; ceux où aucune opération d’ensemble n’a eu lieu. Type de la première catégorie : la France. De la seconde : l’Angleterre.</w:t>
      </w:r>
    </w:p>
    <w:p w14:paraId="0728EA85" w14:textId="77777777" w:rsidR="00B9662D" w:rsidRPr="009C29C2" w:rsidRDefault="00B9662D" w:rsidP="00B9662D">
      <w:pPr>
        <w:spacing w:before="120" w:after="120"/>
        <w:jc w:val="both"/>
      </w:pPr>
      <w:r w:rsidRPr="009C29C2">
        <w:rPr>
          <w:color w:val="000000"/>
          <w:lang w:eastAsia="fr-FR" w:bidi="fr-FR"/>
        </w:rPr>
        <w:t>Nous pouvons, dans ce premier coup d’œil, envisager d’ensemble tout le territoire de la France métropolitaine, en excluant toutefois la Savoie et le Comté de Nice, qui, par suite de leur réunion tardive (1860), ont une histoire cadastrale toute particulière. Nous aurons à revenir sur ces deux provinces.</w:t>
      </w:r>
    </w:p>
    <w:p w14:paraId="47B996D4" w14:textId="77777777" w:rsidR="00B9662D" w:rsidRPr="009C29C2" w:rsidRDefault="00B9662D" w:rsidP="00B9662D">
      <w:pPr>
        <w:spacing w:before="120" w:after="120"/>
        <w:jc w:val="both"/>
      </w:pPr>
      <w:r w:rsidRPr="009C29C2">
        <w:rPr>
          <w:color w:val="000000"/>
          <w:lang w:eastAsia="fr-FR" w:bidi="fr-FR"/>
        </w:rPr>
        <w:t>Dans la France, ainsi entendue, il faut distinguer, par ordre chron</w:t>
      </w:r>
      <w:r w:rsidRPr="009C29C2">
        <w:rPr>
          <w:color w:val="000000"/>
          <w:lang w:eastAsia="fr-FR" w:bidi="fr-FR"/>
        </w:rPr>
        <w:t>o</w:t>
      </w:r>
      <w:r w:rsidRPr="009C29C2">
        <w:rPr>
          <w:color w:val="000000"/>
          <w:lang w:eastAsia="fr-FR" w:bidi="fr-FR"/>
        </w:rPr>
        <w:t>logique, trois groupes de plans parcellaires : les plans antérieurs au grand cadastre ; ceux de ce cadastre lui-même ; les plans plus récents. Commençons par l’étude des plans de la deuxième catégorie, dont l’établissement marque, dans ce développement, le point tournant</w:t>
      </w:r>
      <w:r>
        <w:rPr>
          <w:color w:val="000000"/>
          <w:lang w:eastAsia="fr-FR" w:bidi="fr-FR"/>
        </w:rPr>
        <w:t> </w:t>
      </w:r>
      <w:r>
        <w:rPr>
          <w:rStyle w:val="Appelnotedebasdep"/>
        </w:rPr>
        <w:footnoteReference w:id="9"/>
      </w:r>
      <w:r w:rsidRPr="009C29C2">
        <w:rPr>
          <w:color w:val="000000"/>
          <w:lang w:eastAsia="fr-FR" w:bidi="fr-FR"/>
        </w:rPr>
        <w:t>.</w:t>
      </w:r>
    </w:p>
    <w:p w14:paraId="35DC2ACB" w14:textId="77777777" w:rsidR="00B9662D" w:rsidRPr="009C29C2" w:rsidRDefault="00B9662D" w:rsidP="00B9662D">
      <w:pPr>
        <w:spacing w:before="120" w:after="120"/>
        <w:jc w:val="both"/>
      </w:pPr>
      <w:r w:rsidRPr="009C29C2">
        <w:rPr>
          <w:color w:val="000000"/>
          <w:lang w:eastAsia="fr-FR" w:bidi="fr-FR"/>
        </w:rPr>
        <w:t>Le cadastre général de la France, entrepris pour servir à la levée de la contribution foncière (plus tard contribution foncière des propriétés non bâties), fut commencé sous le Premier Empire, en 1808 ; achevé sous la Deuxième République, en 1850. En réalité il doit être consid</w:t>
      </w:r>
      <w:r w:rsidRPr="009C29C2">
        <w:rPr>
          <w:color w:val="000000"/>
          <w:lang w:eastAsia="fr-FR" w:bidi="fr-FR"/>
        </w:rPr>
        <w:t>é</w:t>
      </w:r>
      <w:r w:rsidRPr="009C29C2">
        <w:rPr>
          <w:color w:val="000000"/>
          <w:lang w:eastAsia="fr-FR" w:bidi="fr-FR"/>
        </w:rPr>
        <w:t>ré, pour l’essentiel, comme l’œuvre de la Monarchie Censitaire. Neuf mille communes à peu près</w:t>
      </w:r>
      <w:r>
        <w:rPr>
          <w:color w:val="000000"/>
          <w:lang w:eastAsia="fr-FR" w:bidi="fr-FR"/>
        </w:rPr>
        <w:t> — </w:t>
      </w:r>
      <w:r w:rsidRPr="009C29C2">
        <w:rPr>
          <w:color w:val="000000"/>
          <w:lang w:eastAsia="fr-FR" w:bidi="fr-FR"/>
        </w:rPr>
        <w:t>mais dont beaucoup devaient, par la suite, être détachées du territoire français</w:t>
      </w:r>
      <w:r>
        <w:rPr>
          <w:color w:val="000000"/>
          <w:lang w:eastAsia="fr-FR" w:bidi="fr-FR"/>
        </w:rPr>
        <w:t> — </w:t>
      </w:r>
      <w:r w:rsidRPr="009C29C2">
        <w:rPr>
          <w:color w:val="000000"/>
          <w:lang w:eastAsia="fr-FR" w:bidi="fr-FR"/>
        </w:rPr>
        <w:t>avaient été levées sous l’Empire ; en 1840, il n’en restait plus que trois cents ou environ à ne pas avoir été visitées par les géomètres. Transposées du plan de l’histoire politique dans</w:t>
      </w:r>
      <w:r>
        <w:t xml:space="preserve"> </w:t>
      </w:r>
      <w:r>
        <w:rPr>
          <w:color w:val="000000"/>
          <w:lang w:eastAsia="fr-FR" w:bidi="fr-FR"/>
        </w:rPr>
        <w:t xml:space="preserve">[569] </w:t>
      </w:r>
      <w:r w:rsidRPr="009C29C2">
        <w:rPr>
          <w:color w:val="000000"/>
          <w:lang w:eastAsia="fr-FR" w:bidi="fr-FR"/>
        </w:rPr>
        <w:t>celui de l’histoire agraire, ces dates e</w:t>
      </w:r>
      <w:r w:rsidRPr="009C29C2">
        <w:rPr>
          <w:color w:val="000000"/>
          <w:lang w:eastAsia="fr-FR" w:bidi="fr-FR"/>
        </w:rPr>
        <w:t>x</w:t>
      </w:r>
      <w:r w:rsidRPr="009C29C2">
        <w:rPr>
          <w:color w:val="000000"/>
          <w:lang w:eastAsia="fr-FR" w:bidi="fr-FR"/>
        </w:rPr>
        <w:t>priment un fait d’une grande importance : l’image que le cadastre nous donne de la France rurale, est celle des campagnes qui étaient déjà touchées, mais n’étaient pas encore atteintes bien profondément, ni dans toute leur étendue, par la « révolution agricole » ; cette grande métamorphose, dont les deux traits principaux sont, comme l’on sait, la suppression de la jachère morte et la disparition des servitudes co</w:t>
      </w:r>
      <w:r w:rsidRPr="009C29C2">
        <w:rPr>
          <w:color w:val="000000"/>
          <w:lang w:eastAsia="fr-FR" w:bidi="fr-FR"/>
        </w:rPr>
        <w:t>l</w:t>
      </w:r>
      <w:r w:rsidRPr="009C29C2">
        <w:rPr>
          <w:color w:val="000000"/>
          <w:lang w:eastAsia="fr-FR" w:bidi="fr-FR"/>
        </w:rPr>
        <w:t>lectives, suivit, dans notre pays, une marche particulièrement lente.</w:t>
      </w:r>
    </w:p>
    <w:p w14:paraId="5A62772D" w14:textId="77777777" w:rsidR="00B9662D" w:rsidRPr="009C29C2" w:rsidRDefault="00B9662D" w:rsidP="00B9662D">
      <w:pPr>
        <w:spacing w:before="120" w:after="120"/>
        <w:jc w:val="both"/>
      </w:pPr>
      <w:r>
        <w:rPr>
          <w:color w:val="000000"/>
          <w:lang w:eastAsia="fr-FR" w:bidi="fr-FR"/>
        </w:rPr>
        <w:br w:type="page"/>
      </w:r>
      <w:r w:rsidRPr="009C29C2">
        <w:rPr>
          <w:color w:val="000000"/>
          <w:lang w:eastAsia="fr-FR" w:bidi="fr-FR"/>
        </w:rPr>
        <w:lastRenderedPageBreak/>
        <w:t>Le dossier du cadastre, pour chaque commune, comprend :</w:t>
      </w:r>
    </w:p>
    <w:p w14:paraId="0E82D37D" w14:textId="77777777" w:rsidR="00B9662D" w:rsidRDefault="00B9662D" w:rsidP="00B9662D">
      <w:pPr>
        <w:spacing w:before="120" w:after="120"/>
        <w:jc w:val="both"/>
        <w:rPr>
          <w:color w:val="000000"/>
          <w:lang w:eastAsia="fr-FR" w:bidi="fr-FR"/>
        </w:rPr>
      </w:pPr>
    </w:p>
    <w:p w14:paraId="4BF82997" w14:textId="77777777" w:rsidR="00B9662D" w:rsidRPr="009C29C2" w:rsidRDefault="00B9662D" w:rsidP="00B9662D">
      <w:pPr>
        <w:spacing w:before="120" w:after="120"/>
        <w:jc w:val="both"/>
      </w:pPr>
      <w:r>
        <w:rPr>
          <w:color w:val="000000"/>
          <w:lang w:eastAsia="fr-FR" w:bidi="fr-FR"/>
        </w:rPr>
        <w:t>1° </w:t>
      </w:r>
      <w:r w:rsidRPr="009C29C2">
        <w:rPr>
          <w:color w:val="000000"/>
          <w:lang w:eastAsia="fr-FR" w:bidi="fr-FR"/>
        </w:rPr>
        <w:t>Un plan parcellaire, généralement établi à l’échelle du 2</w:t>
      </w:r>
      <w:r>
        <w:rPr>
          <w:color w:val="000000"/>
          <w:lang w:eastAsia="fr-FR" w:bidi="fr-FR"/>
        </w:rPr>
        <w:t> </w:t>
      </w:r>
      <w:r w:rsidRPr="009C29C2">
        <w:rPr>
          <w:color w:val="000000"/>
          <w:lang w:eastAsia="fr-FR" w:bidi="fr-FR"/>
        </w:rPr>
        <w:t>500</w:t>
      </w:r>
      <w:r w:rsidRPr="009C29C2">
        <w:rPr>
          <w:color w:val="000000"/>
          <w:vertAlign w:val="superscript"/>
          <w:lang w:eastAsia="fr-FR" w:bidi="fr-FR"/>
        </w:rPr>
        <w:t>e</w:t>
      </w:r>
      <w:r>
        <w:rPr>
          <w:color w:val="000000"/>
          <w:lang w:eastAsia="fr-FR" w:bidi="fr-FR"/>
        </w:rPr>
        <w:t> avant 1837, du 2 </w:t>
      </w:r>
      <w:r w:rsidRPr="009C29C2">
        <w:rPr>
          <w:color w:val="000000"/>
          <w:lang w:eastAsia="fr-FR" w:bidi="fr-FR"/>
        </w:rPr>
        <w:t>000</w:t>
      </w:r>
      <w:r w:rsidRPr="009C29C2">
        <w:rPr>
          <w:color w:val="000000"/>
          <w:vertAlign w:val="superscript"/>
          <w:lang w:eastAsia="fr-FR" w:bidi="fr-FR"/>
        </w:rPr>
        <w:t>e</w:t>
      </w:r>
      <w:r w:rsidRPr="009C29C2">
        <w:rPr>
          <w:color w:val="000000"/>
          <w:lang w:eastAsia="fr-FR" w:bidi="fr-FR"/>
        </w:rPr>
        <w:t xml:space="preserve"> depuis</w:t>
      </w:r>
      <w:r>
        <w:rPr>
          <w:color w:val="000000"/>
          <w:lang w:eastAsia="fr-FR" w:bidi="fr-FR"/>
        </w:rPr>
        <w:t> </w:t>
      </w:r>
      <w:r>
        <w:rPr>
          <w:rStyle w:val="Appelnotedebasdep"/>
        </w:rPr>
        <w:footnoteReference w:id="10"/>
      </w:r>
      <w:r w:rsidRPr="009C29C2">
        <w:rPr>
          <w:color w:val="000000"/>
          <w:lang w:eastAsia="fr-FR" w:bidi="fr-FR"/>
        </w:rPr>
        <w:t>, et accompagné d’un tableau d’assemblage</w:t>
      </w:r>
      <w:r>
        <w:rPr>
          <w:color w:val="000000"/>
          <w:lang w:eastAsia="fr-FR" w:bidi="fr-FR"/>
        </w:rPr>
        <w:t> </w:t>
      </w:r>
      <w:r>
        <w:rPr>
          <w:rStyle w:val="Appelnotedebasdep"/>
        </w:rPr>
        <w:footnoteReference w:id="11"/>
      </w:r>
      <w:r w:rsidRPr="009C29C2">
        <w:rPr>
          <w:color w:val="000000"/>
          <w:lang w:eastAsia="fr-FR" w:bidi="fr-FR"/>
        </w:rPr>
        <w:t>.</w:t>
      </w:r>
    </w:p>
    <w:p w14:paraId="0A607521" w14:textId="77777777" w:rsidR="00B9662D" w:rsidRPr="009C29C2" w:rsidRDefault="00B9662D" w:rsidP="00B9662D">
      <w:pPr>
        <w:spacing w:before="120" w:after="120"/>
        <w:jc w:val="both"/>
      </w:pPr>
      <w:r>
        <w:rPr>
          <w:color w:val="000000"/>
          <w:lang w:eastAsia="fr-FR" w:bidi="fr-FR"/>
        </w:rPr>
        <w:t>2° </w:t>
      </w:r>
      <w:r w:rsidRPr="009C29C2">
        <w:rPr>
          <w:color w:val="000000"/>
          <w:lang w:eastAsia="fr-FR" w:bidi="fr-FR"/>
        </w:rPr>
        <w:t>Un état de sections, donnant par ordre topographique, et parce</w:t>
      </w:r>
      <w:r w:rsidRPr="009C29C2">
        <w:rPr>
          <w:color w:val="000000"/>
          <w:lang w:eastAsia="fr-FR" w:bidi="fr-FR"/>
        </w:rPr>
        <w:t>l</w:t>
      </w:r>
      <w:r w:rsidRPr="009C29C2">
        <w:rPr>
          <w:color w:val="000000"/>
          <w:lang w:eastAsia="fr-FR" w:bidi="fr-FR"/>
        </w:rPr>
        <w:t>le par parcelle, les noms des propriétaires, en possession au moment de l’exécution du cadastre, la nature de culture, la contenance, et d</w:t>
      </w:r>
      <w:r w:rsidRPr="009C29C2">
        <w:rPr>
          <w:color w:val="000000"/>
          <w:lang w:eastAsia="fr-FR" w:bidi="fr-FR"/>
        </w:rPr>
        <w:t>i</w:t>
      </w:r>
      <w:r w:rsidRPr="009C29C2">
        <w:rPr>
          <w:color w:val="000000"/>
          <w:lang w:eastAsia="fr-FR" w:bidi="fr-FR"/>
        </w:rPr>
        <w:t>verses indications, d’ordre fiscal, sur lesquelles je me contenterai de renvoyer aux ouvrages spéciaux.</w:t>
      </w:r>
    </w:p>
    <w:p w14:paraId="317A1C5A" w14:textId="77777777" w:rsidR="00B9662D" w:rsidRPr="009C29C2" w:rsidRDefault="00B9662D" w:rsidP="00B9662D">
      <w:pPr>
        <w:spacing w:before="120" w:after="120"/>
        <w:jc w:val="both"/>
      </w:pPr>
      <w:r>
        <w:rPr>
          <w:color w:val="000000"/>
          <w:lang w:eastAsia="fr-FR" w:bidi="fr-FR"/>
        </w:rPr>
        <w:t>3° </w:t>
      </w:r>
      <w:r w:rsidRPr="009C29C2">
        <w:rPr>
          <w:color w:val="000000"/>
          <w:lang w:eastAsia="fr-FR" w:bidi="fr-FR"/>
        </w:rPr>
        <w:t>Une matrice qui reproduit les indications des états de sections, mais classées par cet ordre alphabétique des propriétaires. Plans et états de sections sont considérés comme immuables, à moins de réfe</w:t>
      </w:r>
      <w:r w:rsidRPr="009C29C2">
        <w:rPr>
          <w:color w:val="000000"/>
          <w:lang w:eastAsia="fr-FR" w:bidi="fr-FR"/>
        </w:rPr>
        <w:t>c</w:t>
      </w:r>
      <w:r w:rsidRPr="009C29C2">
        <w:rPr>
          <w:color w:val="000000"/>
          <w:lang w:eastAsia="fr-FR" w:bidi="fr-FR"/>
        </w:rPr>
        <w:t>tion totale du cadastre ; les matrices, au contraire, devaient, en princ</w:t>
      </w:r>
      <w:r w:rsidRPr="009C29C2">
        <w:rPr>
          <w:color w:val="000000"/>
          <w:lang w:eastAsia="fr-FR" w:bidi="fr-FR"/>
        </w:rPr>
        <w:t>i</w:t>
      </w:r>
      <w:r w:rsidRPr="009C29C2">
        <w:rPr>
          <w:color w:val="000000"/>
          <w:lang w:eastAsia="fr-FR" w:bidi="fr-FR"/>
        </w:rPr>
        <w:t>pe, être tenues régulièrement au courant des mutations ; en fait elles l’ont toujours été assez mal, le travail, pour toutes sortes de raisons techniques, présentant de grandes difficultés</w:t>
      </w:r>
      <w:r>
        <w:rPr>
          <w:color w:val="000000"/>
          <w:lang w:eastAsia="fr-FR" w:bidi="fr-FR"/>
        </w:rPr>
        <w:t> </w:t>
      </w:r>
      <w:r>
        <w:rPr>
          <w:rStyle w:val="Appelnotedebasdep"/>
        </w:rPr>
        <w:footnoteReference w:id="12"/>
      </w:r>
      <w:r w:rsidRPr="009C29C2">
        <w:rPr>
          <w:color w:val="000000"/>
          <w:lang w:eastAsia="fr-FR" w:bidi="fr-FR"/>
        </w:rPr>
        <w:t>.</w:t>
      </w:r>
    </w:p>
    <w:p w14:paraId="349E665D" w14:textId="77777777" w:rsidR="00B9662D" w:rsidRDefault="00B9662D" w:rsidP="00B9662D">
      <w:pPr>
        <w:spacing w:before="120" w:after="120"/>
        <w:jc w:val="both"/>
        <w:rPr>
          <w:color w:val="000000"/>
          <w:lang w:eastAsia="fr-FR" w:bidi="fr-FR"/>
        </w:rPr>
      </w:pPr>
    </w:p>
    <w:p w14:paraId="3BC9C412" w14:textId="77777777" w:rsidR="00B9662D" w:rsidRPr="009C29C2" w:rsidRDefault="00B9662D" w:rsidP="00B9662D">
      <w:pPr>
        <w:spacing w:before="120" w:after="120"/>
        <w:jc w:val="both"/>
      </w:pPr>
      <w:r w:rsidRPr="009C29C2">
        <w:rPr>
          <w:color w:val="000000"/>
          <w:lang w:eastAsia="fr-FR" w:bidi="fr-FR"/>
        </w:rPr>
        <w:t>Où trouver ces documents ? Les états de sections n’existent qu’en un seul exemplaire, dans la commune même, à la mairie ; les plans et les matrices en deux exemplaires, l’un conservé à la mairie, l’autre au chef-lieu du département, dans les bureaux de la Direction des Contr</w:t>
      </w:r>
      <w:r w:rsidRPr="009C29C2">
        <w:rPr>
          <w:color w:val="000000"/>
          <w:lang w:eastAsia="fr-FR" w:bidi="fr-FR"/>
        </w:rPr>
        <w:t>i</w:t>
      </w:r>
      <w:r w:rsidRPr="009C29C2">
        <w:rPr>
          <w:color w:val="000000"/>
          <w:lang w:eastAsia="fr-FR" w:bidi="fr-FR"/>
        </w:rPr>
        <w:t>butions Directes. C’est dans ce dernier dépôt que les historiens, lor</w:t>
      </w:r>
      <w:r w:rsidRPr="009C29C2">
        <w:rPr>
          <w:color w:val="000000"/>
          <w:lang w:eastAsia="fr-FR" w:bidi="fr-FR"/>
        </w:rPr>
        <w:t>s</w:t>
      </w:r>
      <w:r w:rsidRPr="009C29C2">
        <w:rPr>
          <w:color w:val="000000"/>
          <w:lang w:eastAsia="fr-FR" w:bidi="fr-FR"/>
        </w:rPr>
        <w:t>qu’ils s’intéressent à une région et non uniquement à un village pris à part, devront aller les consulter. En outre des copies des plans (sans les matrices), se rencontrent dans certaines Archives Départemen</w:t>
      </w:r>
      <w:r w:rsidRPr="009C29C2">
        <w:rPr>
          <w:color w:val="000000"/>
          <w:lang w:eastAsia="fr-FR" w:bidi="fr-FR"/>
        </w:rPr>
        <w:lastRenderedPageBreak/>
        <w:t>t</w:t>
      </w:r>
      <w:r w:rsidRPr="009C29C2">
        <w:rPr>
          <w:color w:val="000000"/>
          <w:lang w:eastAsia="fr-FR" w:bidi="fr-FR"/>
        </w:rPr>
        <w:t>a</w:t>
      </w:r>
      <w:r w:rsidRPr="009C29C2">
        <w:rPr>
          <w:color w:val="000000"/>
          <w:lang w:eastAsia="fr-FR" w:bidi="fr-FR"/>
        </w:rPr>
        <w:t>les</w:t>
      </w:r>
      <w:r>
        <w:rPr>
          <w:color w:val="000000"/>
          <w:lang w:eastAsia="fr-FR" w:bidi="fr-FR"/>
        </w:rPr>
        <w:t> </w:t>
      </w:r>
      <w:r>
        <w:rPr>
          <w:rStyle w:val="Appelnotedebasdep"/>
        </w:rPr>
        <w:footnoteReference w:id="13"/>
      </w:r>
      <w:r w:rsidRPr="009C29C2">
        <w:rPr>
          <w:color w:val="000000"/>
          <w:lang w:eastAsia="fr-FR" w:bidi="fr-FR"/>
        </w:rPr>
        <w:t>, dont il serait bien désirable que l’administration centrale fît dre</w:t>
      </w:r>
      <w:r w:rsidRPr="009C29C2">
        <w:rPr>
          <w:color w:val="000000"/>
          <w:lang w:eastAsia="fr-FR" w:bidi="fr-FR"/>
        </w:rPr>
        <w:t>s</w:t>
      </w:r>
      <w:r w:rsidRPr="009C29C2">
        <w:rPr>
          <w:color w:val="000000"/>
          <w:lang w:eastAsia="fr-FR" w:bidi="fr-FR"/>
        </w:rPr>
        <w:t>ser et publier la liste : le chemin en est plus familier aux érudits que celui des Directions des Contributions Directes, et les conditions m</w:t>
      </w:r>
      <w:r w:rsidRPr="009C29C2">
        <w:rPr>
          <w:color w:val="000000"/>
          <w:lang w:eastAsia="fr-FR" w:bidi="fr-FR"/>
        </w:rPr>
        <w:t>a</w:t>
      </w:r>
      <w:r w:rsidRPr="009C29C2">
        <w:rPr>
          <w:color w:val="000000"/>
          <w:lang w:eastAsia="fr-FR" w:bidi="fr-FR"/>
        </w:rPr>
        <w:t>térielles du travail, à l’ordinaire, plus propices.</w:t>
      </w:r>
    </w:p>
    <w:p w14:paraId="4673A88D" w14:textId="77777777" w:rsidR="00B9662D" w:rsidRPr="009C29C2" w:rsidRDefault="00B9662D" w:rsidP="00B9662D">
      <w:pPr>
        <w:spacing w:before="120" w:after="120"/>
        <w:jc w:val="both"/>
      </w:pPr>
      <w:r w:rsidRPr="009C29C2">
        <w:rPr>
          <w:color w:val="000000"/>
          <w:lang w:eastAsia="fr-FR" w:bidi="fr-FR"/>
        </w:rPr>
        <w:t>Les ouvrages d’histoire, en France, ayant, comme il a été dit, gén</w:t>
      </w:r>
      <w:r w:rsidRPr="009C29C2">
        <w:rPr>
          <w:color w:val="000000"/>
          <w:lang w:eastAsia="fr-FR" w:bidi="fr-FR"/>
        </w:rPr>
        <w:t>é</w:t>
      </w:r>
      <w:r w:rsidRPr="009C29C2">
        <w:rPr>
          <w:color w:val="000000"/>
          <w:lang w:eastAsia="fr-FR" w:bidi="fr-FR"/>
        </w:rPr>
        <w:t>ralement</w:t>
      </w:r>
      <w:r>
        <w:t xml:space="preserve"> </w:t>
      </w:r>
      <w:r>
        <w:rPr>
          <w:color w:val="000000"/>
          <w:lang w:eastAsia="fr-FR" w:bidi="fr-FR"/>
        </w:rPr>
        <w:t>[570]</w:t>
      </w:r>
      <w:r w:rsidRPr="009C29C2">
        <w:rPr>
          <w:color w:val="000000"/>
          <w:lang w:eastAsia="fr-FR" w:bidi="fr-FR"/>
        </w:rPr>
        <w:t xml:space="preserve"> négligé l’étude des plans parcellaires, il n’a guère été publié de reproductions des plans cadastraux. Des reproductions is</w:t>
      </w:r>
      <w:r w:rsidRPr="009C29C2">
        <w:rPr>
          <w:color w:val="000000"/>
          <w:lang w:eastAsia="fr-FR" w:bidi="fr-FR"/>
        </w:rPr>
        <w:t>o</w:t>
      </w:r>
      <w:r w:rsidRPr="009C29C2">
        <w:rPr>
          <w:color w:val="000000"/>
          <w:lang w:eastAsia="fr-FR" w:bidi="fr-FR"/>
        </w:rPr>
        <w:t>lées ont pu m’échapper ; mais qu’aucune collection d’ensemble des principaux types, dans une région donnée ou dans la France entière, n’ait été p</w:t>
      </w:r>
      <w:r w:rsidRPr="009C29C2">
        <w:rPr>
          <w:color w:val="000000"/>
          <w:lang w:eastAsia="fr-FR" w:bidi="fr-FR"/>
        </w:rPr>
        <w:t>u</w:t>
      </w:r>
      <w:r w:rsidRPr="009C29C2">
        <w:rPr>
          <w:color w:val="000000"/>
          <w:lang w:eastAsia="fr-FR" w:bidi="fr-FR"/>
        </w:rPr>
        <w:t>bliée ni même constituée à l’état de dépôt de cartes et mise ainsi à la disposition des travailleurs, c’est un fait malheureusement trop ce</w:t>
      </w:r>
      <w:r w:rsidRPr="009C29C2">
        <w:rPr>
          <w:color w:val="000000"/>
          <w:lang w:eastAsia="fr-FR" w:bidi="fr-FR"/>
        </w:rPr>
        <w:t>r</w:t>
      </w:r>
      <w:r w:rsidRPr="009C29C2">
        <w:rPr>
          <w:color w:val="000000"/>
          <w:lang w:eastAsia="fr-FR" w:bidi="fr-FR"/>
        </w:rPr>
        <w:t>tain. Une tentative en ce sens sera sans doute amorcée d’ici peu, à la fois pour le cadastre et les plans plus anciens.</w:t>
      </w:r>
    </w:p>
    <w:p w14:paraId="5E160409" w14:textId="77777777" w:rsidR="00B9662D" w:rsidRPr="009C29C2" w:rsidRDefault="00B9662D" w:rsidP="00B9662D">
      <w:pPr>
        <w:spacing w:before="120" w:after="120"/>
        <w:jc w:val="both"/>
      </w:pPr>
      <w:r w:rsidRPr="009C29C2">
        <w:rPr>
          <w:color w:val="000000"/>
          <w:lang w:eastAsia="fr-FR" w:bidi="fr-FR"/>
        </w:rPr>
        <w:t>Œuvres de géomètres qui n’avaient tous ni la même valeur techn</w:t>
      </w:r>
      <w:r w:rsidRPr="009C29C2">
        <w:rPr>
          <w:color w:val="000000"/>
          <w:lang w:eastAsia="fr-FR" w:bidi="fr-FR"/>
        </w:rPr>
        <w:t>i</w:t>
      </w:r>
      <w:r w:rsidRPr="009C29C2">
        <w:rPr>
          <w:color w:val="000000"/>
          <w:lang w:eastAsia="fr-FR" w:bidi="fr-FR"/>
        </w:rPr>
        <w:t>que ni le même degré de conscience professionnelle, et qui ne furent pas partout dirigés et surveillés avec le même soin, les plans cada</w:t>
      </w:r>
      <w:r w:rsidRPr="009C29C2">
        <w:rPr>
          <w:color w:val="000000"/>
          <w:lang w:eastAsia="fr-FR" w:bidi="fr-FR"/>
        </w:rPr>
        <w:t>s</w:t>
      </w:r>
      <w:r w:rsidRPr="009C29C2">
        <w:rPr>
          <w:color w:val="000000"/>
          <w:lang w:eastAsia="fr-FR" w:bidi="fr-FR"/>
        </w:rPr>
        <w:t>traux ne présentent naturellement pas, en tous lieux, une valeur égale. Quelques observations d’ensemble, néanmoins, peuvent être form</w:t>
      </w:r>
      <w:r w:rsidRPr="009C29C2">
        <w:rPr>
          <w:color w:val="000000"/>
          <w:lang w:eastAsia="fr-FR" w:bidi="fr-FR"/>
        </w:rPr>
        <w:t>u</w:t>
      </w:r>
      <w:r w:rsidRPr="009C29C2">
        <w:rPr>
          <w:color w:val="000000"/>
          <w:lang w:eastAsia="fr-FR" w:bidi="fr-FR"/>
        </w:rPr>
        <w:t>lées.</w:t>
      </w:r>
    </w:p>
    <w:p w14:paraId="0DA5ACCE" w14:textId="77777777" w:rsidR="00B9662D" w:rsidRPr="009C29C2" w:rsidRDefault="00B9662D" w:rsidP="00B9662D">
      <w:pPr>
        <w:spacing w:before="120" w:after="120"/>
        <w:jc w:val="both"/>
      </w:pPr>
      <w:r w:rsidRPr="009C29C2">
        <w:rPr>
          <w:color w:val="000000"/>
          <w:lang w:eastAsia="fr-FR" w:bidi="fr-FR"/>
        </w:rPr>
        <w:t>Sur un point particulier, l’exactitude des plans a été vivement att</w:t>
      </w:r>
      <w:r w:rsidRPr="009C29C2">
        <w:rPr>
          <w:color w:val="000000"/>
          <w:lang w:eastAsia="fr-FR" w:bidi="fr-FR"/>
        </w:rPr>
        <w:t>a</w:t>
      </w:r>
      <w:r w:rsidRPr="009C29C2">
        <w:rPr>
          <w:color w:val="000000"/>
          <w:lang w:eastAsia="fr-FR" w:bidi="fr-FR"/>
        </w:rPr>
        <w:t>quée par certains critiques, Instrument purement fiscal, le cadastre, dans la pensée de ses auteurs, n’avait rien d’un « livre foncier », app</w:t>
      </w:r>
      <w:r w:rsidRPr="009C29C2">
        <w:rPr>
          <w:color w:val="000000"/>
          <w:lang w:eastAsia="fr-FR" w:bidi="fr-FR"/>
        </w:rPr>
        <w:t>e</w:t>
      </w:r>
      <w:r w:rsidRPr="009C29C2">
        <w:rPr>
          <w:color w:val="000000"/>
          <w:lang w:eastAsia="fr-FR" w:bidi="fr-FR"/>
        </w:rPr>
        <w:t xml:space="preserve">lé à fournir la preuve des droits de propriété. Aussi les règlements ne prescrivirent-ils, pour la détermination des limites entre les biens, que des procédés assez sommaires. Le résultat fut, nous dit-on, que trop souvent les géomètres acceptèrent sans contrôle les déclarations de cultivateurs empressés à s’attribuer, de leur propre autorité, quelques </w:t>
      </w:r>
      <w:r w:rsidRPr="009C29C2">
        <w:rPr>
          <w:color w:val="000000"/>
          <w:lang w:eastAsia="fr-FR" w:bidi="fr-FR"/>
        </w:rPr>
        <w:lastRenderedPageBreak/>
        <w:t>mètres carrés des terres voisines</w:t>
      </w:r>
      <w:r>
        <w:rPr>
          <w:color w:val="000000"/>
          <w:lang w:eastAsia="fr-FR" w:bidi="fr-FR"/>
        </w:rPr>
        <w:t> </w:t>
      </w:r>
      <w:r>
        <w:rPr>
          <w:rStyle w:val="Appelnotedebasdep"/>
        </w:rPr>
        <w:footnoteReference w:id="14"/>
      </w:r>
      <w:r w:rsidRPr="009C29C2">
        <w:rPr>
          <w:color w:val="000000"/>
          <w:lang w:eastAsia="fr-FR" w:bidi="fr-FR"/>
        </w:rPr>
        <w:t>. Le reproche n’est probablement pas dénué de fondement. Mais il n’intéresse guère l’utilisation histor</w:t>
      </w:r>
      <w:r w:rsidRPr="009C29C2">
        <w:rPr>
          <w:color w:val="000000"/>
          <w:lang w:eastAsia="fr-FR" w:bidi="fr-FR"/>
        </w:rPr>
        <w:t>i</w:t>
      </w:r>
      <w:r w:rsidRPr="009C29C2">
        <w:rPr>
          <w:color w:val="000000"/>
          <w:lang w:eastAsia="fr-FR" w:bidi="fr-FR"/>
        </w:rPr>
        <w:t>que des plans ; car les erreurs ne portent évidemment que sur un assez petit nombre de parcelles</w:t>
      </w:r>
      <w:r>
        <w:rPr>
          <w:color w:val="000000"/>
          <w:lang w:eastAsia="fr-FR" w:bidi="fr-FR"/>
        </w:rPr>
        <w:t> — </w:t>
      </w:r>
      <w:r w:rsidRPr="009C29C2">
        <w:rPr>
          <w:color w:val="000000"/>
          <w:lang w:eastAsia="fr-FR" w:bidi="fr-FR"/>
        </w:rPr>
        <w:t>et, pour chacune d’elles, sur une quantité de terrain relativement faible</w:t>
      </w:r>
      <w:r>
        <w:rPr>
          <w:color w:val="000000"/>
          <w:lang w:eastAsia="fr-FR" w:bidi="fr-FR"/>
        </w:rPr>
        <w:t> </w:t>
      </w:r>
      <w:r>
        <w:rPr>
          <w:rStyle w:val="Appelnotedebasdep"/>
        </w:rPr>
        <w:footnoteReference w:id="15"/>
      </w:r>
      <w:r w:rsidRPr="009C29C2">
        <w:rPr>
          <w:color w:val="000000"/>
          <w:lang w:eastAsia="fr-FR" w:bidi="fr-FR"/>
        </w:rPr>
        <w:t> : ni la forme générale des champs, ni la répartition des propriétés, qui est affaire de moyennes, n’en sont s</w:t>
      </w:r>
      <w:r w:rsidRPr="009C29C2">
        <w:rPr>
          <w:color w:val="000000"/>
          <w:lang w:eastAsia="fr-FR" w:bidi="fr-FR"/>
        </w:rPr>
        <w:t>é</w:t>
      </w:r>
      <w:r w:rsidRPr="009C29C2">
        <w:rPr>
          <w:color w:val="000000"/>
          <w:lang w:eastAsia="fr-FR" w:bidi="fr-FR"/>
        </w:rPr>
        <w:t>rieusement affectées.</w:t>
      </w:r>
    </w:p>
    <w:p w14:paraId="27E32504" w14:textId="77777777" w:rsidR="00B9662D" w:rsidRDefault="00B9662D" w:rsidP="00B9662D">
      <w:pPr>
        <w:spacing w:before="120" w:after="120"/>
        <w:jc w:val="both"/>
        <w:rPr>
          <w:color w:val="000000"/>
          <w:lang w:eastAsia="fr-FR" w:bidi="fr-FR"/>
        </w:rPr>
      </w:pPr>
      <w:r w:rsidRPr="009C29C2">
        <w:rPr>
          <w:color w:val="000000"/>
          <w:lang w:eastAsia="fr-FR" w:bidi="fr-FR"/>
        </w:rPr>
        <w:t>Plus dangereuses, sans doute, de notre point de vue, sont certaines omissions graphiques : la première, générale et inévitable, les autres, malheureusement, trop fréquentes. En principe la planimétrie seule est tracée ; le relief n’est qu’exceptionnellement figuré et, dans ce cas, d’une façon toujours schématique et approximative. D’où la nécessité, pour comprendre vraiment le terroir, de s’aider d’autres documents topographiques.</w:t>
      </w:r>
      <w:r>
        <w:rPr>
          <w:color w:val="000000"/>
          <w:lang w:eastAsia="fr-FR" w:bidi="fr-FR"/>
        </w:rPr>
        <w:t> — </w:t>
      </w:r>
      <w:r w:rsidRPr="009C29C2">
        <w:rPr>
          <w:color w:val="000000"/>
          <w:lang w:eastAsia="fr-FR" w:bidi="fr-FR"/>
        </w:rPr>
        <w:t>Les règlements veulent que les natures de culture soient indiquées par des lettres, qui, d’ailleurs, faute de tableau de co</w:t>
      </w:r>
      <w:r w:rsidRPr="009C29C2">
        <w:rPr>
          <w:color w:val="000000"/>
          <w:lang w:eastAsia="fr-FR" w:bidi="fr-FR"/>
        </w:rPr>
        <w:t>r</w:t>
      </w:r>
      <w:r w:rsidRPr="009C29C2">
        <w:rPr>
          <w:color w:val="000000"/>
          <w:lang w:eastAsia="fr-FR" w:bidi="fr-FR"/>
        </w:rPr>
        <w:t>respondance uniforme, exigent, pour être comprises, une initiation préalable et, parfois, la connaissance de la langue agraire locale : pa</w:t>
      </w:r>
      <w:r w:rsidRPr="009C29C2">
        <w:rPr>
          <w:color w:val="000000"/>
          <w:lang w:eastAsia="fr-FR" w:bidi="fr-FR"/>
        </w:rPr>
        <w:t>s</w:t>
      </w:r>
      <w:r w:rsidRPr="009C29C2">
        <w:rPr>
          <w:color w:val="000000"/>
          <w:lang w:eastAsia="fr-FR" w:bidi="fr-FR"/>
        </w:rPr>
        <w:t xml:space="preserve">se encore que </w:t>
      </w:r>
      <w:r w:rsidRPr="0076381F">
        <w:rPr>
          <w:i/>
        </w:rPr>
        <w:t>t</w:t>
      </w:r>
      <w:r w:rsidRPr="009C29C2">
        <w:rPr>
          <w:color w:val="000000"/>
          <w:lang w:eastAsia="fr-FR" w:bidi="fr-FR"/>
        </w:rPr>
        <w:t xml:space="preserve"> et </w:t>
      </w:r>
      <w:r>
        <w:rPr>
          <w:i/>
        </w:rPr>
        <w:t>l</w:t>
      </w:r>
      <w:r w:rsidRPr="009C29C2">
        <w:t xml:space="preserve"> </w:t>
      </w:r>
      <w:r w:rsidRPr="009C29C2">
        <w:rPr>
          <w:color w:val="000000"/>
          <w:lang w:eastAsia="fr-FR" w:bidi="fr-FR"/>
        </w:rPr>
        <w:t xml:space="preserve">alternent capricieusement dans la désignation des terres labourées ! mais, dans le Midi, il arrive que les terres incultes soient notées par un </w:t>
      </w:r>
      <w:r w:rsidRPr="0076381F">
        <w:rPr>
          <w:i/>
        </w:rPr>
        <w:t>h</w:t>
      </w:r>
      <w:r w:rsidRPr="009C29C2">
        <w:rPr>
          <w:color w:val="000000"/>
          <w:lang w:eastAsia="fr-FR" w:bidi="fr-FR"/>
        </w:rPr>
        <w:t xml:space="preserve"> (du provençal </w:t>
      </w:r>
      <w:r w:rsidRPr="00F2708B">
        <w:rPr>
          <w:i/>
        </w:rPr>
        <w:t>herm</w:t>
      </w:r>
      <w:r w:rsidRPr="009C29C2">
        <w:t xml:space="preserve">, </w:t>
      </w:r>
      <w:r>
        <w:t>l’</w:t>
      </w:r>
      <w:r w:rsidRPr="0076381F">
        <w:rPr>
          <w:i/>
        </w:rPr>
        <w:t>eremus</w:t>
      </w:r>
      <w:r w:rsidRPr="009C29C2">
        <w:rPr>
          <w:color w:val="000000"/>
          <w:lang w:eastAsia="fr-FR" w:bidi="fr-FR"/>
        </w:rPr>
        <w:t xml:space="preserve"> latin), petite énigme posée aux hommes du Nord. Le pis est que certains géom</w:t>
      </w:r>
      <w:r w:rsidRPr="009C29C2">
        <w:rPr>
          <w:color w:val="000000"/>
          <w:lang w:eastAsia="fr-FR" w:bidi="fr-FR"/>
        </w:rPr>
        <w:t>è</w:t>
      </w:r>
      <w:r w:rsidRPr="009C29C2">
        <w:rPr>
          <w:color w:val="000000"/>
          <w:lang w:eastAsia="fr-FR" w:bidi="fr-FR"/>
        </w:rPr>
        <w:t>tres, en dépit des instructions ministérielles, ont absolument négligé d’inscrire les précieuses lettres. Leurs plans, où</w:t>
      </w:r>
      <w:r>
        <w:t xml:space="preserve"> </w:t>
      </w:r>
      <w:r>
        <w:rPr>
          <w:color w:val="000000"/>
          <w:lang w:eastAsia="fr-FR" w:bidi="fr-FR"/>
        </w:rPr>
        <w:t xml:space="preserve">[571] </w:t>
      </w:r>
      <w:r w:rsidRPr="009C29C2">
        <w:rPr>
          <w:color w:val="000000"/>
          <w:lang w:eastAsia="fr-FR" w:bidi="fr-FR"/>
        </w:rPr>
        <w:t>rien ne distingue un champ d’une vigne et une prairie d’un boqu</w:t>
      </w:r>
      <w:r w:rsidRPr="009C29C2">
        <w:rPr>
          <w:color w:val="000000"/>
          <w:lang w:eastAsia="fr-FR" w:bidi="fr-FR"/>
        </w:rPr>
        <w:t>e</w:t>
      </w:r>
      <w:r w:rsidRPr="009C29C2">
        <w:rPr>
          <w:color w:val="000000"/>
          <w:lang w:eastAsia="fr-FR" w:bidi="fr-FR"/>
        </w:rPr>
        <w:t>teau, ne pourraient guère être utilisés qu’à l’aide d’une comparaison perpétuelle avec les états de sections, travail que son énormité même rend presque irréal</w:t>
      </w:r>
      <w:r w:rsidRPr="009C29C2">
        <w:rPr>
          <w:color w:val="000000"/>
          <w:lang w:eastAsia="fr-FR" w:bidi="fr-FR"/>
        </w:rPr>
        <w:t>i</w:t>
      </w:r>
      <w:r w:rsidRPr="009C29C2">
        <w:rPr>
          <w:color w:val="000000"/>
          <w:lang w:eastAsia="fr-FR" w:bidi="fr-FR"/>
        </w:rPr>
        <w:t>sable.</w:t>
      </w:r>
      <w:r>
        <w:rPr>
          <w:color w:val="000000"/>
          <w:lang w:eastAsia="fr-FR" w:bidi="fr-FR"/>
        </w:rPr>
        <w:t> — </w:t>
      </w:r>
      <w:r w:rsidRPr="009C29C2">
        <w:rPr>
          <w:color w:val="000000"/>
          <w:lang w:eastAsia="fr-FR" w:bidi="fr-FR"/>
        </w:rPr>
        <w:t>Dans les pays d’enclos, comme l’Ouest de la France, ce</w:t>
      </w:r>
      <w:r w:rsidRPr="009C29C2">
        <w:rPr>
          <w:color w:val="000000"/>
          <w:lang w:eastAsia="fr-FR" w:bidi="fr-FR"/>
        </w:rPr>
        <w:t>r</w:t>
      </w:r>
      <w:r w:rsidRPr="009C29C2">
        <w:rPr>
          <w:color w:val="000000"/>
          <w:lang w:eastAsia="fr-FR" w:bidi="fr-FR"/>
        </w:rPr>
        <w:t>tains géomètres, particulièrement attentifs, ont pris soin de distinguer les séparations par clôtures permanentes (par haies le plus souvent) de celles qui ne sont marquées que par de simples bornages ou même par des lignes tout idéales ; aux premières ils r</w:t>
      </w:r>
      <w:r w:rsidRPr="009C29C2">
        <w:rPr>
          <w:color w:val="000000"/>
          <w:lang w:eastAsia="fr-FR" w:bidi="fr-FR"/>
        </w:rPr>
        <w:t>é</w:t>
      </w:r>
      <w:r w:rsidRPr="009C29C2">
        <w:rPr>
          <w:color w:val="000000"/>
          <w:lang w:eastAsia="fr-FR" w:bidi="fr-FR"/>
        </w:rPr>
        <w:t xml:space="preserve">servent le trait </w:t>
      </w:r>
      <w:r w:rsidRPr="009C29C2">
        <w:rPr>
          <w:color w:val="000000"/>
          <w:lang w:eastAsia="fr-FR" w:bidi="fr-FR"/>
        </w:rPr>
        <w:lastRenderedPageBreak/>
        <w:t>plein, les secondes n’ont droit qu’au pointillé. Par malheur, ce scrupule est d</w:t>
      </w:r>
      <w:r w:rsidRPr="009C29C2">
        <w:rPr>
          <w:color w:val="000000"/>
          <w:lang w:eastAsia="fr-FR" w:bidi="fr-FR"/>
        </w:rPr>
        <w:t>e</w:t>
      </w:r>
      <w:r w:rsidRPr="009C29C2">
        <w:rPr>
          <w:color w:val="000000"/>
          <w:lang w:eastAsia="fr-FR" w:bidi="fr-FR"/>
        </w:rPr>
        <w:t>meuré inconnu à beaucoup de leurs collègues : dessinateurs paresseux, dont la négligence risque d’induire en de curieuses erreurs les hist</w:t>
      </w:r>
      <w:r w:rsidRPr="009C29C2">
        <w:rPr>
          <w:color w:val="000000"/>
          <w:lang w:eastAsia="fr-FR" w:bidi="fr-FR"/>
        </w:rPr>
        <w:t>o</w:t>
      </w:r>
      <w:r w:rsidRPr="009C29C2">
        <w:rPr>
          <w:color w:val="000000"/>
          <w:lang w:eastAsia="fr-FR" w:bidi="fr-FR"/>
        </w:rPr>
        <w:t>riens plus familiers avec la carte qu’avec le pays. Dans l’Ouest, en effet, il arrive fréquemment que, à l’intérieur d’un même enclos, la terre ait été, au cours des temps, partagée entre plusieurs propriétaires, qui l’ont découpée, à l’ordinaire, en minces parcelles, toutes allongées dans le même sens. Supposons que tout signe spécial pour la haie manque ; seules ces lanières apparaîtront sur le plan, dont l’aspect alors reproduit, à s’y méprendre, l’image des terroirs de la Beauce, par exemple, ou de la Picardie, avec leurs champs sans clôtures, étroits et longs : l’oubli du cartographe masque ainsi un des contrastes les plus frappants de la vie agraire française. Je crois bien que le grand hist</w:t>
      </w:r>
      <w:r w:rsidRPr="009C29C2">
        <w:rPr>
          <w:color w:val="000000"/>
          <w:lang w:eastAsia="fr-FR" w:bidi="fr-FR"/>
        </w:rPr>
        <w:t>o</w:t>
      </w:r>
      <w:r w:rsidRPr="009C29C2">
        <w:rPr>
          <w:color w:val="000000"/>
          <w:lang w:eastAsia="fr-FR" w:bidi="fr-FR"/>
        </w:rPr>
        <w:t>rien anglais Seebohm s’y est un jour lai</w:t>
      </w:r>
      <w:r w:rsidRPr="009C29C2">
        <w:rPr>
          <w:color w:val="000000"/>
          <w:lang w:eastAsia="fr-FR" w:bidi="fr-FR"/>
        </w:rPr>
        <w:t>s</w:t>
      </w:r>
      <w:r w:rsidRPr="009C29C2">
        <w:rPr>
          <w:color w:val="000000"/>
          <w:lang w:eastAsia="fr-FR" w:bidi="fr-FR"/>
        </w:rPr>
        <w:t>sé tromper</w:t>
      </w:r>
      <w:r>
        <w:rPr>
          <w:color w:val="000000"/>
          <w:lang w:eastAsia="fr-FR" w:bidi="fr-FR"/>
        </w:rPr>
        <w:t> </w:t>
      </w:r>
      <w:r>
        <w:rPr>
          <w:rStyle w:val="Appelnotedebasdep"/>
        </w:rPr>
        <w:footnoteReference w:id="16"/>
      </w:r>
      <w:r w:rsidRPr="009C29C2">
        <w:rPr>
          <w:color w:val="000000"/>
          <w:lang w:eastAsia="fr-FR" w:bidi="fr-FR"/>
        </w:rPr>
        <w:t>. Tant il est vrai que les cartes agraires, comme toutes les cartes, comme tous les d</w:t>
      </w:r>
      <w:r w:rsidRPr="009C29C2">
        <w:rPr>
          <w:color w:val="000000"/>
          <w:lang w:eastAsia="fr-FR" w:bidi="fr-FR"/>
        </w:rPr>
        <w:t>o</w:t>
      </w:r>
      <w:r w:rsidRPr="009C29C2">
        <w:rPr>
          <w:color w:val="000000"/>
          <w:lang w:eastAsia="fr-FR" w:bidi="fr-FR"/>
        </w:rPr>
        <w:t>cuments, exigent, pour être correctement interprétées, une étude crit</w:t>
      </w:r>
      <w:r w:rsidRPr="009C29C2">
        <w:rPr>
          <w:color w:val="000000"/>
          <w:lang w:eastAsia="fr-FR" w:bidi="fr-FR"/>
        </w:rPr>
        <w:t>i</w:t>
      </w:r>
      <w:r w:rsidRPr="009C29C2">
        <w:rPr>
          <w:color w:val="000000"/>
          <w:lang w:eastAsia="fr-FR" w:bidi="fr-FR"/>
        </w:rPr>
        <w:t>que sur leurs procédés d’établissement.</w:t>
      </w:r>
    </w:p>
    <w:p w14:paraId="500FDD8C" w14:textId="77777777" w:rsidR="00B9662D" w:rsidRPr="009C29C2" w:rsidRDefault="00B9662D" w:rsidP="00B9662D">
      <w:pPr>
        <w:spacing w:before="120" w:after="120"/>
        <w:jc w:val="both"/>
      </w:pPr>
    </w:p>
    <w:p w14:paraId="0BB32E90" w14:textId="77777777" w:rsidR="00B9662D" w:rsidRPr="009C29C2" w:rsidRDefault="00B9662D" w:rsidP="00B9662D">
      <w:pPr>
        <w:pStyle w:val="planche"/>
      </w:pPr>
      <w:bookmarkStart w:id="6" w:name="Melanges_t2_pt_6_chap_I_3"/>
      <w:r>
        <w:t xml:space="preserve">3. </w:t>
      </w:r>
      <w:r w:rsidRPr="0076381F">
        <w:t>Les plans parcellaires anciens, en France :</w:t>
      </w:r>
      <w:r>
        <w:br/>
      </w:r>
      <w:r w:rsidRPr="00C10FC4">
        <w:t>PLANS SEIGNEURIAUX</w:t>
      </w:r>
    </w:p>
    <w:bookmarkEnd w:id="6"/>
    <w:p w14:paraId="740DF099" w14:textId="77777777" w:rsidR="00B9662D" w:rsidRDefault="00B9662D" w:rsidP="00B9662D">
      <w:pPr>
        <w:spacing w:before="120" w:after="120"/>
        <w:jc w:val="both"/>
        <w:rPr>
          <w:color w:val="000000"/>
          <w:lang w:eastAsia="fr-FR" w:bidi="fr-FR"/>
        </w:rPr>
      </w:pPr>
    </w:p>
    <w:p w14:paraId="55D416D1"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47C25B8" w14:textId="77777777" w:rsidR="00B9662D" w:rsidRPr="009C29C2" w:rsidRDefault="00B9662D" w:rsidP="00B9662D">
      <w:pPr>
        <w:spacing w:before="120" w:after="120"/>
        <w:jc w:val="both"/>
      </w:pPr>
      <w:r w:rsidRPr="009C29C2">
        <w:rPr>
          <w:color w:val="000000"/>
          <w:lang w:eastAsia="fr-FR" w:bidi="fr-FR"/>
        </w:rPr>
        <w:t>Les tentatives de cadastre fiscal esquissées à plusieurs reprises par l’Ancien Régime ne semblent pas avoir jamais comporté l’établissement de levés topographiques. Les plans parcellaires fra</w:t>
      </w:r>
      <w:r w:rsidRPr="009C29C2">
        <w:rPr>
          <w:color w:val="000000"/>
          <w:lang w:eastAsia="fr-FR" w:bidi="fr-FR"/>
        </w:rPr>
        <w:t>n</w:t>
      </w:r>
      <w:r w:rsidRPr="009C29C2">
        <w:rPr>
          <w:color w:val="000000"/>
          <w:lang w:eastAsia="fr-FR" w:bidi="fr-FR"/>
        </w:rPr>
        <w:t>çais antérieurs à 1700 (Savoie exceptée) sont tous</w:t>
      </w:r>
      <w:r>
        <w:rPr>
          <w:color w:val="000000"/>
          <w:lang w:eastAsia="fr-FR" w:bidi="fr-FR"/>
        </w:rPr>
        <w:t> — </w:t>
      </w:r>
      <w:r w:rsidRPr="009C29C2">
        <w:rPr>
          <w:color w:val="000000"/>
          <w:lang w:eastAsia="fr-FR" w:bidi="fr-FR"/>
        </w:rPr>
        <w:t>au moins à ma connaissance</w:t>
      </w:r>
      <w:r>
        <w:rPr>
          <w:color w:val="000000"/>
          <w:lang w:eastAsia="fr-FR" w:bidi="fr-FR"/>
        </w:rPr>
        <w:t> — </w:t>
      </w:r>
      <w:r w:rsidRPr="009C29C2">
        <w:rPr>
          <w:color w:val="000000"/>
          <w:lang w:eastAsia="fr-FR" w:bidi="fr-FR"/>
        </w:rPr>
        <w:t>d’origine seigneuriale. Ils accompagnent général</w:t>
      </w:r>
      <w:r w:rsidRPr="009C29C2">
        <w:rPr>
          <w:color w:val="000000"/>
          <w:lang w:eastAsia="fr-FR" w:bidi="fr-FR"/>
        </w:rPr>
        <w:t>e</w:t>
      </w:r>
      <w:r w:rsidRPr="009C29C2">
        <w:rPr>
          <w:color w:val="000000"/>
          <w:lang w:eastAsia="fr-FR" w:bidi="fr-FR"/>
        </w:rPr>
        <w:t xml:space="preserve">ment des terriers et sont, comme ceux-ci, destinés à assurer sur des bases certaines l’exploitation du domaine et de la directe, parfois, </w:t>
      </w:r>
      <w:r w:rsidRPr="009C29C2">
        <w:rPr>
          <w:color w:val="000000"/>
          <w:lang w:eastAsia="fr-FR" w:bidi="fr-FR"/>
        </w:rPr>
        <w:lastRenderedPageBreak/>
        <w:t>mais beaucoup plus rarement, la perception de dîmes placées en d’autres mains que celles du seigneur foncier</w:t>
      </w:r>
      <w:r>
        <w:rPr>
          <w:color w:val="000000"/>
          <w:lang w:eastAsia="fr-FR" w:bidi="fr-FR"/>
        </w:rPr>
        <w:t> </w:t>
      </w:r>
      <w:r>
        <w:rPr>
          <w:rStyle w:val="Appelnotedebasdep"/>
        </w:rPr>
        <w:footnoteReference w:id="17"/>
      </w:r>
      <w:r w:rsidRPr="009C29C2">
        <w:rPr>
          <w:color w:val="000000"/>
          <w:lang w:eastAsia="fr-FR" w:bidi="fr-FR"/>
        </w:rPr>
        <w:t>. La « féodalité »</w:t>
      </w:r>
      <w:r>
        <w:rPr>
          <w:color w:val="000000"/>
          <w:lang w:eastAsia="fr-FR" w:bidi="fr-FR"/>
        </w:rPr>
        <w:t> — </w:t>
      </w:r>
      <w:r w:rsidRPr="009C29C2">
        <w:rPr>
          <w:color w:val="000000"/>
          <w:lang w:eastAsia="fr-FR" w:bidi="fr-FR"/>
        </w:rPr>
        <w:t xml:space="preserve">comme disaient les hommes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w:t>
      </w:r>
      <w:r>
        <w:rPr>
          <w:color w:val="000000"/>
          <w:lang w:eastAsia="fr-FR" w:bidi="fr-FR"/>
        </w:rPr>
        <w:t> — </w:t>
      </w:r>
      <w:r w:rsidRPr="009C29C2">
        <w:rPr>
          <w:color w:val="000000"/>
          <w:lang w:eastAsia="fr-FR" w:bidi="fr-FR"/>
        </w:rPr>
        <w:t>élabora les méthodes dont le cadastre napoléonien devait faire son profit ; à son service, une grande partie du personnel, employé plus tard aux opérations cadastr</w:t>
      </w:r>
      <w:r w:rsidRPr="009C29C2">
        <w:rPr>
          <w:color w:val="000000"/>
          <w:lang w:eastAsia="fr-FR" w:bidi="fr-FR"/>
        </w:rPr>
        <w:t>a</w:t>
      </w:r>
      <w:r w:rsidRPr="009C29C2">
        <w:rPr>
          <w:color w:val="000000"/>
          <w:lang w:eastAsia="fr-FR" w:bidi="fr-FR"/>
        </w:rPr>
        <w:t>les, avait, selon toute apparence, reçu sa première formation.</w:t>
      </w:r>
    </w:p>
    <w:p w14:paraId="69BFDCDB" w14:textId="77777777" w:rsidR="00B9662D" w:rsidRPr="009C29C2" w:rsidRDefault="00B9662D" w:rsidP="00B9662D">
      <w:pPr>
        <w:spacing w:before="120" w:after="120"/>
        <w:jc w:val="both"/>
      </w:pPr>
      <w:r w:rsidRPr="009C29C2">
        <w:rPr>
          <w:color w:val="000000"/>
          <w:lang w:eastAsia="fr-FR" w:bidi="fr-FR"/>
        </w:rPr>
        <w:t>L’œuvre topographique des administrations seigneuriales fut d’ailleurs</w:t>
      </w:r>
      <w:r w:rsidR="00287BD5" w:rsidRPr="009C29C2">
        <w:rPr>
          <w:noProof/>
          <w:lang w:bidi="fr-FR"/>
        </w:rPr>
        <mc:AlternateContent>
          <mc:Choice Requires="wps">
            <w:drawing>
              <wp:anchor distT="0" distB="0" distL="63500" distR="63500" simplePos="0" relativeHeight="251656704" behindDoc="1" locked="0" layoutInCell="1" allowOverlap="1" wp14:anchorId="23A33259" wp14:editId="46CF3575">
                <wp:simplePos x="0" y="0"/>
                <wp:positionH relativeFrom="margin">
                  <wp:posOffset>5103495</wp:posOffset>
                </wp:positionH>
                <wp:positionV relativeFrom="paragraph">
                  <wp:posOffset>7958455</wp:posOffset>
                </wp:positionV>
                <wp:extent cx="54610" cy="88900"/>
                <wp:effectExtent l="0" t="0" r="0" b="0"/>
                <wp:wrapSquare wrapText="bothSides"/>
                <wp:docPr id="48697053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610"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7731B" w14:textId="77777777" w:rsidR="00B9662D" w:rsidRDefault="00B9662D" w:rsidP="00B9662D">
                            <w:pPr>
                              <w:spacing w:line="140" w:lineRule="exact"/>
                            </w:pPr>
                            <w:r>
                              <w:t>J</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A33259" id="_x0000_t202" coordsize="21600,21600" o:spt="202" path="m,l,21600r21600,l21600,xe">
                <v:stroke joinstyle="miter"/>
                <v:path gradientshapeok="t" o:connecttype="rect"/>
              </v:shapetype>
              <v:shape id="Text Box 6" o:spid="_x0000_s1026" type="#_x0000_t202" style="position:absolute;left:0;text-align:left;margin-left:401.85pt;margin-top:626.65pt;width:4.3pt;height:7pt;z-index:-2516597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" filled="f" stroked="f">
                <v:path arrowok="t"/>
                <v:textbox style="mso-fit-shape-to-text:t" inset="0,0,0,0">
                  <w:txbxContent>
                    <w:p w14:paraId="33C7731B" w14:textId="77777777" w:rsidR="00B9662D" w:rsidRDefault="00B9662D" w:rsidP="00B9662D">
                      <w:pPr>
                        <w:spacing w:line="140" w:lineRule="exact"/>
                      </w:pPr>
                      <w:r>
                        <w:t>J</w:t>
                      </w:r>
                    </w:p>
                  </w:txbxContent>
                </v:textbox>
                <w10:wrap type="square" anchorx="margin"/>
              </v:shape>
            </w:pict>
          </mc:Fallback>
        </mc:AlternateContent>
      </w:r>
      <w:r>
        <w:t xml:space="preserve"> [</w:t>
      </w:r>
      <w:r>
        <w:rPr>
          <w:color w:val="000000"/>
          <w:lang w:eastAsia="fr-FR" w:bidi="fr-FR"/>
        </w:rPr>
        <w:t xml:space="preserve">572] </w:t>
      </w:r>
      <w:r w:rsidRPr="009C29C2">
        <w:rPr>
          <w:color w:val="000000"/>
          <w:lang w:eastAsia="fr-FR" w:bidi="fr-FR"/>
        </w:rPr>
        <w:t>considérable. Son ampleur a frappé les contemp</w:t>
      </w:r>
      <w:r w:rsidRPr="009C29C2">
        <w:rPr>
          <w:color w:val="000000"/>
          <w:lang w:eastAsia="fr-FR" w:bidi="fr-FR"/>
        </w:rPr>
        <w:t>o</w:t>
      </w:r>
      <w:r w:rsidRPr="009C29C2">
        <w:rPr>
          <w:color w:val="000000"/>
          <w:lang w:eastAsia="fr-FR" w:bidi="fr-FR"/>
        </w:rPr>
        <w:t>rains. En 1789, Babeuf, dont l’expérience de commissaire à terrier n’était pas négligeable, estimait aux deux tiers du total des seigne</w:t>
      </w:r>
      <w:r w:rsidRPr="009C29C2">
        <w:rPr>
          <w:color w:val="000000"/>
          <w:lang w:eastAsia="fr-FR" w:bidi="fr-FR"/>
        </w:rPr>
        <w:t>u</w:t>
      </w:r>
      <w:r w:rsidRPr="009C29C2">
        <w:rPr>
          <w:color w:val="000000"/>
          <w:lang w:eastAsia="fr-FR" w:bidi="fr-FR"/>
        </w:rPr>
        <w:t>ries, dans tout le royaume, celles qui avaient été « cartées</w:t>
      </w:r>
      <w:r>
        <w:rPr>
          <w:color w:val="000000"/>
          <w:lang w:eastAsia="fr-FR" w:bidi="fr-FR"/>
        </w:rPr>
        <w:t> » </w:t>
      </w:r>
      <w:r>
        <w:rPr>
          <w:rStyle w:val="Appelnotedebasdep"/>
        </w:rPr>
        <w:footnoteReference w:id="18"/>
      </w:r>
      <w:r>
        <w:rPr>
          <w:color w:val="000000"/>
          <w:lang w:eastAsia="fr-FR" w:bidi="fr-FR"/>
        </w:rPr>
        <w:t>.</w:t>
      </w:r>
      <w:r w:rsidRPr="009C29C2">
        <w:rPr>
          <w:color w:val="000000"/>
          <w:lang w:eastAsia="fr-FR" w:bidi="fr-FR"/>
        </w:rPr>
        <w:t xml:space="preserve"> Il ex</w:t>
      </w:r>
      <w:r w:rsidRPr="009C29C2">
        <w:rPr>
          <w:color w:val="000000"/>
          <w:lang w:eastAsia="fr-FR" w:bidi="fr-FR"/>
        </w:rPr>
        <w:t>a</w:t>
      </w:r>
      <w:r w:rsidRPr="009C29C2">
        <w:rPr>
          <w:color w:val="000000"/>
          <w:lang w:eastAsia="fr-FR" w:bidi="fr-FR"/>
        </w:rPr>
        <w:t>gérait certainement, et de beaucoup. Mais ce sont surtout les mots : « dans tout le royaume », qui appellent une sérieuse rectification. Re</w:t>
      </w:r>
      <w:r w:rsidRPr="009C29C2">
        <w:rPr>
          <w:color w:val="000000"/>
          <w:lang w:eastAsia="fr-FR" w:bidi="fr-FR"/>
        </w:rPr>
        <w:t>s</w:t>
      </w:r>
      <w:r w:rsidRPr="009C29C2">
        <w:rPr>
          <w:color w:val="000000"/>
          <w:lang w:eastAsia="fr-FR" w:bidi="fr-FR"/>
        </w:rPr>
        <w:t>treinte à certaines régions, comme l’Ile-de-France, où la propriété se</w:t>
      </w:r>
      <w:r w:rsidRPr="009C29C2">
        <w:rPr>
          <w:color w:val="000000"/>
          <w:lang w:eastAsia="fr-FR" w:bidi="fr-FR"/>
        </w:rPr>
        <w:t>i</w:t>
      </w:r>
      <w:r w:rsidRPr="009C29C2">
        <w:rPr>
          <w:color w:val="000000"/>
          <w:lang w:eastAsia="fr-FR" w:bidi="fr-FR"/>
        </w:rPr>
        <w:t>gneuriale était fort concentrée et les seigneurs assez riches et d’esprit assez ouvert pour pratiquer une gestion rationnelle, l’affirmation d</w:t>
      </w:r>
      <w:r w:rsidRPr="009C29C2">
        <w:rPr>
          <w:color w:val="000000"/>
          <w:lang w:eastAsia="fr-FR" w:bidi="fr-FR"/>
        </w:rPr>
        <w:t>é</w:t>
      </w:r>
      <w:r w:rsidRPr="009C29C2">
        <w:rPr>
          <w:color w:val="000000"/>
          <w:lang w:eastAsia="fr-FR" w:bidi="fr-FR"/>
        </w:rPr>
        <w:t>passe encore la vér</w:t>
      </w:r>
      <w:r w:rsidRPr="009C29C2">
        <w:rPr>
          <w:color w:val="000000"/>
          <w:lang w:eastAsia="fr-FR" w:bidi="fr-FR"/>
        </w:rPr>
        <w:t>i</w:t>
      </w:r>
      <w:r w:rsidRPr="009C29C2">
        <w:rPr>
          <w:color w:val="000000"/>
          <w:lang w:eastAsia="fr-FR" w:bidi="fr-FR"/>
        </w:rPr>
        <w:t>té, mais de moins loin qu’on ne pourrait le croire : témoin</w:t>
      </w:r>
      <w:r>
        <w:rPr>
          <w:color w:val="000000"/>
          <w:lang w:eastAsia="fr-FR" w:bidi="fr-FR"/>
        </w:rPr>
        <w:t> — </w:t>
      </w:r>
      <w:r w:rsidRPr="009C29C2">
        <w:rPr>
          <w:color w:val="000000"/>
          <w:lang w:eastAsia="fr-FR" w:bidi="fr-FR"/>
        </w:rPr>
        <w:t>malgré d’incalculables dilapidations</w:t>
      </w:r>
      <w:r>
        <w:rPr>
          <w:color w:val="000000"/>
          <w:lang w:eastAsia="fr-FR" w:bidi="fr-FR"/>
        </w:rPr>
        <w:t> — </w:t>
      </w:r>
      <w:r w:rsidRPr="009C29C2">
        <w:rPr>
          <w:color w:val="000000"/>
          <w:lang w:eastAsia="fr-FR" w:bidi="fr-FR"/>
        </w:rPr>
        <w:t>l’admirable série de plans parcellaires que possède encore aujourd’hui la Seine-et-Oise, soit dans les Arch</w:t>
      </w:r>
      <w:r w:rsidRPr="009C29C2">
        <w:rPr>
          <w:color w:val="000000"/>
          <w:lang w:eastAsia="fr-FR" w:bidi="fr-FR"/>
        </w:rPr>
        <w:t>i</w:t>
      </w:r>
      <w:r w:rsidRPr="009C29C2">
        <w:rPr>
          <w:color w:val="000000"/>
          <w:lang w:eastAsia="fr-FR" w:bidi="fr-FR"/>
        </w:rPr>
        <w:t>ves du département, soit dans celles des communes, soit enfin dans diverses collections particulières. D’autres contrées, dans le Midi n</w:t>
      </w:r>
      <w:r w:rsidRPr="009C29C2">
        <w:rPr>
          <w:color w:val="000000"/>
          <w:lang w:eastAsia="fr-FR" w:bidi="fr-FR"/>
        </w:rPr>
        <w:t>o</w:t>
      </w:r>
      <w:r w:rsidRPr="009C29C2">
        <w:rPr>
          <w:color w:val="000000"/>
          <w:lang w:eastAsia="fr-FR" w:bidi="fr-FR"/>
        </w:rPr>
        <w:t>tamment, sont infiniment moins favorisées. L’inventaire général des plans parcellaires français, s’il peut jamais être dressé, apportera, entre autres renseignements précieux, des vues d’un grand intérêt sur les différences, à travers le royaume, des m</w:t>
      </w:r>
      <w:r w:rsidRPr="009C29C2">
        <w:rPr>
          <w:color w:val="000000"/>
          <w:lang w:eastAsia="fr-FR" w:bidi="fr-FR"/>
        </w:rPr>
        <w:t>é</w:t>
      </w:r>
      <w:r w:rsidRPr="009C29C2">
        <w:rPr>
          <w:color w:val="000000"/>
          <w:lang w:eastAsia="fr-FR" w:bidi="fr-FR"/>
        </w:rPr>
        <w:t>thodes de l’exploitation se</w:t>
      </w:r>
      <w:r w:rsidRPr="009C29C2">
        <w:rPr>
          <w:color w:val="000000"/>
          <w:lang w:eastAsia="fr-FR" w:bidi="fr-FR"/>
        </w:rPr>
        <w:t>i</w:t>
      </w:r>
      <w:r w:rsidRPr="009C29C2">
        <w:rPr>
          <w:color w:val="000000"/>
          <w:lang w:eastAsia="fr-FR" w:bidi="fr-FR"/>
        </w:rPr>
        <w:t>gneuriale. Sur leurs variations dans le temps, aussi. Existe-t-il des l</w:t>
      </w:r>
      <w:r w:rsidRPr="009C29C2">
        <w:rPr>
          <w:color w:val="000000"/>
          <w:lang w:eastAsia="fr-FR" w:bidi="fr-FR"/>
        </w:rPr>
        <w:t>e</w:t>
      </w:r>
      <w:r w:rsidRPr="009C29C2">
        <w:rPr>
          <w:color w:val="000000"/>
          <w:lang w:eastAsia="fr-FR" w:bidi="fr-FR"/>
        </w:rPr>
        <w:t xml:space="preserve">vés, parcelle par parcelle, antérieurs à la seconde moitié du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w:t>
      </w:r>
      <w:r w:rsidRPr="009C29C2">
        <w:rPr>
          <w:color w:val="000000"/>
          <w:lang w:eastAsia="fr-FR" w:bidi="fr-FR"/>
        </w:rPr>
        <w:t>è</w:t>
      </w:r>
      <w:r w:rsidRPr="009C29C2">
        <w:rPr>
          <w:color w:val="000000"/>
          <w:lang w:eastAsia="fr-FR" w:bidi="fr-FR"/>
        </w:rPr>
        <w:t xml:space="preserve">cle ? Peut-être ; mais je n’en ai, pour ma part, jamais rencontré ; au mieux, ils sont extrêmement rares. Bien </w:t>
      </w:r>
      <w:r w:rsidRPr="009C29C2">
        <w:rPr>
          <w:color w:val="000000"/>
          <w:lang w:eastAsia="fr-FR" w:bidi="fr-FR"/>
        </w:rPr>
        <w:lastRenderedPageBreak/>
        <w:t xml:space="preserve">rares encore, ceux qui furent exécutés entre 1650 et 1700. La plupart des plans-terriers datent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 ils se multiplient, en même temps qu’ils acquièrent une remarquable perfection technique, surtout à partir de 1740. Symptôme d’ordre économique : c’est le moment de la « réaction féodale » ; d’ordre intellectuel : les méthodes scientif</w:t>
      </w:r>
      <w:r w:rsidRPr="009C29C2">
        <w:rPr>
          <w:color w:val="000000"/>
          <w:lang w:eastAsia="fr-FR" w:bidi="fr-FR"/>
        </w:rPr>
        <w:t>i</w:t>
      </w:r>
      <w:r w:rsidRPr="009C29C2">
        <w:rPr>
          <w:color w:val="000000"/>
          <w:lang w:eastAsia="fr-FR" w:bidi="fr-FR"/>
        </w:rPr>
        <w:t>ques, applications des sciences mathématiques, commencent à pén</w:t>
      </w:r>
      <w:r w:rsidRPr="009C29C2">
        <w:rPr>
          <w:color w:val="000000"/>
          <w:lang w:eastAsia="fr-FR" w:bidi="fr-FR"/>
        </w:rPr>
        <w:t>é</w:t>
      </w:r>
      <w:r w:rsidRPr="009C29C2">
        <w:rPr>
          <w:color w:val="000000"/>
          <w:lang w:eastAsia="fr-FR" w:bidi="fr-FR"/>
        </w:rPr>
        <w:t>trer la vie quotidienne.</w:t>
      </w:r>
    </w:p>
    <w:p w14:paraId="0088B5AC" w14:textId="77777777" w:rsidR="00B9662D" w:rsidRPr="009C29C2" w:rsidRDefault="00B9662D" w:rsidP="00B9662D">
      <w:pPr>
        <w:spacing w:before="120" w:after="120"/>
        <w:jc w:val="both"/>
      </w:pPr>
      <w:r w:rsidRPr="009C29C2">
        <w:rPr>
          <w:color w:val="000000"/>
          <w:lang w:eastAsia="fr-FR" w:bidi="fr-FR"/>
        </w:rPr>
        <w:t>Un très grand nombre de fonds seigneuriaux ayant été confisqués en vertu des lois révolutionnaires, la plupart des plans anciens sont à présent conservés, soit à Paris, aux Archives Nationales (où, au m</w:t>
      </w:r>
      <w:r w:rsidRPr="009C29C2">
        <w:rPr>
          <w:color w:val="000000"/>
          <w:lang w:eastAsia="fr-FR" w:bidi="fr-FR"/>
        </w:rPr>
        <w:t>é</w:t>
      </w:r>
      <w:r w:rsidRPr="009C29C2">
        <w:rPr>
          <w:color w:val="000000"/>
          <w:lang w:eastAsia="fr-FR" w:bidi="fr-FR"/>
        </w:rPr>
        <w:t>pris de la règle tutélaire du « respect des fonds », ils ont été, en princ</w:t>
      </w:r>
      <w:r w:rsidRPr="009C29C2">
        <w:rPr>
          <w:color w:val="000000"/>
          <w:lang w:eastAsia="fr-FR" w:bidi="fr-FR"/>
        </w:rPr>
        <w:t>i</w:t>
      </w:r>
      <w:r w:rsidRPr="009C29C2">
        <w:rPr>
          <w:color w:val="000000"/>
          <w:lang w:eastAsia="fr-FR" w:bidi="fr-FR"/>
        </w:rPr>
        <w:t>pe, mais non toujours en fait, distraits des papiers terriers auxquels, originellement, ils se rattachaient, pour former, avec toutes sortes d’autres cartes, une série spéciale : la série N), soit dans les Archives Départementales. Certains, pourtant, sont demeurés entre les mains de particuliers, ayants droit des ci-devant châtelains, de leurs intendants, notaires</w:t>
      </w:r>
      <w:r>
        <w:rPr>
          <w:color w:val="000000"/>
          <w:lang w:eastAsia="fr-FR" w:bidi="fr-FR"/>
        </w:rPr>
        <w:t> </w:t>
      </w:r>
      <w:r>
        <w:rPr>
          <w:rStyle w:val="Appelnotedebasdep"/>
        </w:rPr>
        <w:footnoteReference w:id="19"/>
      </w:r>
      <w:r w:rsidRPr="009C29C2">
        <w:rPr>
          <w:color w:val="000000"/>
          <w:lang w:eastAsia="fr-FR" w:bidi="fr-FR"/>
        </w:rPr>
        <w:t>, ou arpenteurs. D’autres encore n’ont quitté, sous la Révol</w:t>
      </w:r>
      <w:r w:rsidRPr="009C29C2">
        <w:rPr>
          <w:color w:val="000000"/>
          <w:lang w:eastAsia="fr-FR" w:bidi="fr-FR"/>
        </w:rPr>
        <w:t>u</w:t>
      </w:r>
      <w:r w:rsidRPr="009C29C2">
        <w:rPr>
          <w:color w:val="000000"/>
          <w:lang w:eastAsia="fr-FR" w:bidi="fr-FR"/>
        </w:rPr>
        <w:t>tion, les coffres du seigneur ou de son fermier que pour ceux de la mairie voisine, où, bien souvent, en attendant la confection plus ou moins tardive du cadastre officiel, la municipalité les employa à a</w:t>
      </w:r>
      <w:r w:rsidRPr="009C29C2">
        <w:rPr>
          <w:color w:val="000000"/>
          <w:lang w:eastAsia="fr-FR" w:bidi="fr-FR"/>
        </w:rPr>
        <w:t>s</w:t>
      </w:r>
      <w:r w:rsidRPr="009C29C2">
        <w:rPr>
          <w:color w:val="000000"/>
          <w:lang w:eastAsia="fr-FR" w:bidi="fr-FR"/>
        </w:rPr>
        <w:t>seoir la contribution foncière. C’est ainsi que les beaux plans du ma</w:t>
      </w:r>
      <w:r w:rsidRPr="009C29C2">
        <w:rPr>
          <w:color w:val="000000"/>
          <w:lang w:eastAsia="fr-FR" w:bidi="fr-FR"/>
        </w:rPr>
        <w:t>r</w:t>
      </w:r>
      <w:r w:rsidRPr="009C29C2">
        <w:rPr>
          <w:color w:val="000000"/>
          <w:lang w:eastAsia="fr-FR" w:bidi="fr-FR"/>
        </w:rPr>
        <w:t>quisat de Bâville, exécutés de 1786 à 1789, sont actuellement dispe</w:t>
      </w:r>
      <w:r w:rsidRPr="009C29C2">
        <w:rPr>
          <w:color w:val="000000"/>
          <w:lang w:eastAsia="fr-FR" w:bidi="fr-FR"/>
        </w:rPr>
        <w:t>r</w:t>
      </w:r>
      <w:r w:rsidRPr="009C29C2">
        <w:rPr>
          <w:color w:val="000000"/>
          <w:lang w:eastAsia="fr-FR" w:bidi="fr-FR"/>
        </w:rPr>
        <w:t>sés entre plusieurs communes de la Seine-et-Oise</w:t>
      </w:r>
      <w:r>
        <w:rPr>
          <w:color w:val="000000"/>
          <w:lang w:eastAsia="fr-FR" w:bidi="fr-FR"/>
        </w:rPr>
        <w:t> </w:t>
      </w:r>
      <w:r>
        <w:rPr>
          <w:rStyle w:val="Appelnotedebasdep"/>
        </w:rPr>
        <w:footnoteReference w:id="20"/>
      </w:r>
      <w:r w:rsidRPr="009C29C2">
        <w:rPr>
          <w:color w:val="000000"/>
          <w:lang w:eastAsia="fr-FR" w:bidi="fr-FR"/>
        </w:rPr>
        <w:t>.</w:t>
      </w:r>
    </w:p>
    <w:p w14:paraId="17AE417B" w14:textId="77777777" w:rsidR="00B9662D" w:rsidRPr="009C29C2" w:rsidRDefault="00B9662D" w:rsidP="00B9662D">
      <w:pPr>
        <w:spacing w:before="120" w:after="120"/>
        <w:jc w:val="both"/>
      </w:pPr>
      <w:r>
        <w:rPr>
          <w:color w:val="000000"/>
          <w:lang w:eastAsia="fr-FR" w:bidi="fr-FR"/>
        </w:rPr>
        <w:t>[573]</w:t>
      </w:r>
    </w:p>
    <w:p w14:paraId="1312D5CB" w14:textId="77777777" w:rsidR="00B9662D" w:rsidRPr="009C29C2" w:rsidRDefault="00B9662D" w:rsidP="00B9662D">
      <w:pPr>
        <w:spacing w:before="120" w:after="120"/>
        <w:jc w:val="both"/>
      </w:pPr>
      <w:r w:rsidRPr="009C29C2">
        <w:rPr>
          <w:color w:val="000000"/>
          <w:lang w:eastAsia="fr-FR" w:bidi="fr-FR"/>
        </w:rPr>
        <w:t>Enfouis dans des bibliothèques privées, les plans échappent pre</w:t>
      </w:r>
      <w:r w:rsidRPr="009C29C2">
        <w:rPr>
          <w:color w:val="000000"/>
          <w:lang w:eastAsia="fr-FR" w:bidi="fr-FR"/>
        </w:rPr>
        <w:t>s</w:t>
      </w:r>
      <w:r w:rsidRPr="009C29C2">
        <w:rPr>
          <w:color w:val="000000"/>
          <w:lang w:eastAsia="fr-FR" w:bidi="fr-FR"/>
        </w:rPr>
        <w:t>que nécessairement à tout inventaire général. Déposés dans les mairies de villages, ils courent également grand risque de passer inaperçus ; on les verra pourtant quelquefois mentionnés, au milieu de beaucoup d’autres pièces, dans les collections d’inventaires d’archives comm</w:t>
      </w:r>
      <w:r w:rsidRPr="009C29C2">
        <w:rPr>
          <w:color w:val="000000"/>
          <w:lang w:eastAsia="fr-FR" w:bidi="fr-FR"/>
        </w:rPr>
        <w:t>u</w:t>
      </w:r>
      <w:r w:rsidRPr="009C29C2">
        <w:rPr>
          <w:color w:val="000000"/>
          <w:lang w:eastAsia="fr-FR" w:bidi="fr-FR"/>
        </w:rPr>
        <w:t xml:space="preserve">nales que publient certains départements, ou bien encore dans </w:t>
      </w:r>
      <w:r w:rsidRPr="009C29C2">
        <w:rPr>
          <w:color w:val="000000"/>
          <w:lang w:eastAsia="fr-FR" w:bidi="fr-FR"/>
        </w:rPr>
        <w:lastRenderedPageBreak/>
        <w:t>les ra</w:t>
      </w:r>
      <w:r w:rsidRPr="009C29C2">
        <w:rPr>
          <w:color w:val="000000"/>
          <w:lang w:eastAsia="fr-FR" w:bidi="fr-FR"/>
        </w:rPr>
        <w:t>p</w:t>
      </w:r>
      <w:r w:rsidRPr="009C29C2">
        <w:rPr>
          <w:color w:val="000000"/>
          <w:lang w:eastAsia="fr-FR" w:bidi="fr-FR"/>
        </w:rPr>
        <w:t>ports annuels des archivistes départementaux, bourrés, à l’ordinaire, de renseignements précieux, mais difficiles à se procurer et lament</w:t>
      </w:r>
      <w:r w:rsidRPr="009C29C2">
        <w:rPr>
          <w:color w:val="000000"/>
          <w:lang w:eastAsia="fr-FR" w:bidi="fr-FR"/>
        </w:rPr>
        <w:t>a</w:t>
      </w:r>
      <w:r w:rsidRPr="009C29C2">
        <w:rPr>
          <w:color w:val="000000"/>
          <w:lang w:eastAsia="fr-FR" w:bidi="fr-FR"/>
        </w:rPr>
        <w:t>blement dépourvus d’index</w:t>
      </w:r>
      <w:r>
        <w:rPr>
          <w:color w:val="000000"/>
          <w:lang w:eastAsia="fr-FR" w:bidi="fr-FR"/>
        </w:rPr>
        <w:t> </w:t>
      </w:r>
      <w:r>
        <w:rPr>
          <w:rStyle w:val="Appelnotedebasdep"/>
        </w:rPr>
        <w:footnoteReference w:id="21"/>
      </w:r>
      <w:r w:rsidRPr="009C29C2">
        <w:rPr>
          <w:color w:val="000000"/>
          <w:lang w:eastAsia="fr-FR" w:bidi="fr-FR"/>
        </w:rPr>
        <w:t>. Il semblerait que dans les Archives D</w:t>
      </w:r>
      <w:r w:rsidRPr="009C29C2">
        <w:rPr>
          <w:color w:val="000000"/>
          <w:lang w:eastAsia="fr-FR" w:bidi="fr-FR"/>
        </w:rPr>
        <w:t>é</w:t>
      </w:r>
      <w:r w:rsidRPr="009C29C2">
        <w:rPr>
          <w:color w:val="000000"/>
          <w:lang w:eastAsia="fr-FR" w:bidi="fr-FR"/>
        </w:rPr>
        <w:t>partementales ou Nationales la situation dût être plus favorable. De fait, un certain nombre d’Archives Départementales possèdent des répertoires des cartes et plans, généralement sur fiches ; à Paris la s</w:t>
      </w:r>
      <w:r w:rsidRPr="009C29C2">
        <w:rPr>
          <w:color w:val="000000"/>
          <w:lang w:eastAsia="fr-FR" w:bidi="fr-FR"/>
        </w:rPr>
        <w:t>é</w:t>
      </w:r>
      <w:r w:rsidRPr="009C29C2">
        <w:rPr>
          <w:color w:val="000000"/>
          <w:lang w:eastAsia="fr-FR" w:bidi="fr-FR"/>
        </w:rPr>
        <w:t>rie N est dotée d’un inventaire manuscrit. Mais que ces instruments sont insuffisants ! Sans vouloir diminuer en rien le mérite des admir</w:t>
      </w:r>
      <w:r w:rsidRPr="009C29C2">
        <w:rPr>
          <w:color w:val="000000"/>
          <w:lang w:eastAsia="fr-FR" w:bidi="fr-FR"/>
        </w:rPr>
        <w:t>a</w:t>
      </w:r>
      <w:r w:rsidRPr="009C29C2">
        <w:rPr>
          <w:color w:val="000000"/>
          <w:lang w:eastAsia="fr-FR" w:bidi="fr-FR"/>
        </w:rPr>
        <w:t>bles travailleurs qui, depuis le milieu du siècle dernier, ont accompli, dans nos archives, une si utile besogne de classement et de descri</w:t>
      </w:r>
      <w:r w:rsidRPr="009C29C2">
        <w:rPr>
          <w:color w:val="000000"/>
          <w:lang w:eastAsia="fr-FR" w:bidi="fr-FR"/>
        </w:rPr>
        <w:t>p</w:t>
      </w:r>
      <w:r w:rsidRPr="009C29C2">
        <w:rPr>
          <w:color w:val="000000"/>
          <w:lang w:eastAsia="fr-FR" w:bidi="fr-FR"/>
        </w:rPr>
        <w:t>tion, il faut bien reconnaître que leur formation les avait mieux prép</w:t>
      </w:r>
      <w:r w:rsidRPr="009C29C2">
        <w:rPr>
          <w:color w:val="000000"/>
          <w:lang w:eastAsia="fr-FR" w:bidi="fr-FR"/>
        </w:rPr>
        <w:t>a</w:t>
      </w:r>
      <w:r w:rsidRPr="009C29C2">
        <w:rPr>
          <w:color w:val="000000"/>
          <w:lang w:eastAsia="fr-FR" w:bidi="fr-FR"/>
        </w:rPr>
        <w:t>rés à dresser la fiche signalétique d’une charte que celle d’un doc</w:t>
      </w:r>
      <w:r w:rsidRPr="009C29C2">
        <w:rPr>
          <w:color w:val="000000"/>
          <w:lang w:eastAsia="fr-FR" w:bidi="fr-FR"/>
        </w:rPr>
        <w:t>u</w:t>
      </w:r>
      <w:r w:rsidRPr="009C29C2">
        <w:rPr>
          <w:color w:val="000000"/>
          <w:lang w:eastAsia="fr-FR" w:bidi="fr-FR"/>
        </w:rPr>
        <w:t>ment topographique. Le chercheur, préoccupé d’histoire rurale, d</w:t>
      </w:r>
      <w:r w:rsidRPr="009C29C2">
        <w:rPr>
          <w:color w:val="000000"/>
          <w:lang w:eastAsia="fr-FR" w:bidi="fr-FR"/>
        </w:rPr>
        <w:t>e</w:t>
      </w:r>
      <w:r w:rsidRPr="009C29C2">
        <w:rPr>
          <w:color w:val="000000"/>
          <w:lang w:eastAsia="fr-FR" w:bidi="fr-FR"/>
        </w:rPr>
        <w:t>mande essentiellement à un répertoire de plans quatre indications : 1</w:t>
      </w:r>
      <w:r>
        <w:rPr>
          <w:color w:val="000000"/>
          <w:lang w:eastAsia="fr-FR" w:bidi="fr-FR"/>
        </w:rPr>
        <w:t>° </w:t>
      </w:r>
      <w:r w:rsidRPr="009C29C2">
        <w:rPr>
          <w:color w:val="000000"/>
          <w:lang w:eastAsia="fr-FR" w:bidi="fr-FR"/>
        </w:rPr>
        <w:t>la date (laquelle, dans beaucoup de cas, ne peut être déterminée que par l’examen des pièces jointes, les cartes manquant fréquemment de mentions chronologiques, les terriers jamais) ; 2</w:t>
      </w:r>
      <w:r>
        <w:rPr>
          <w:color w:val="000000"/>
          <w:lang w:eastAsia="fr-FR" w:bidi="fr-FR"/>
        </w:rPr>
        <w:t>° </w:t>
      </w:r>
      <w:r w:rsidRPr="009C29C2">
        <w:rPr>
          <w:color w:val="000000"/>
          <w:lang w:eastAsia="fr-FR" w:bidi="fr-FR"/>
        </w:rPr>
        <w:t>l’échelle (souvent très délicate à fixer) ; 3</w:t>
      </w:r>
      <w:r>
        <w:rPr>
          <w:color w:val="000000"/>
          <w:lang w:eastAsia="fr-FR" w:bidi="fr-FR"/>
        </w:rPr>
        <w:t>° </w:t>
      </w:r>
      <w:r w:rsidRPr="009C29C2">
        <w:rPr>
          <w:color w:val="000000"/>
          <w:lang w:eastAsia="fr-FR" w:bidi="fr-FR"/>
        </w:rPr>
        <w:t>la surface levée ; 4</w:t>
      </w:r>
      <w:r>
        <w:rPr>
          <w:color w:val="000000"/>
          <w:lang w:eastAsia="fr-FR" w:bidi="fr-FR"/>
        </w:rPr>
        <w:t>° </w:t>
      </w:r>
      <w:r w:rsidRPr="009C29C2">
        <w:rPr>
          <w:color w:val="000000"/>
          <w:lang w:eastAsia="fr-FR" w:bidi="fr-FR"/>
        </w:rPr>
        <w:t>le plan est-il parcellaire ou non ? Dans les répertoires actuels, les trois premières indications sont rarement toutes trois réunies, et n’ont que plus rarement encore la précision nécessaire. La quatrième, la plus indispensable sans doute, fait régulièrement défaut. Impossible, par exemple, dans l’immense série N, aux Archives Nationales, de distinguer, d’après l’inventaire, les plans qui analysent le sol, champ par champ, de ceux qui se contentent de dessiner d’un trait sommaire les frontières de la seigne</w:t>
      </w:r>
      <w:r w:rsidRPr="009C29C2">
        <w:rPr>
          <w:color w:val="000000"/>
          <w:lang w:eastAsia="fr-FR" w:bidi="fr-FR"/>
        </w:rPr>
        <w:t>u</w:t>
      </w:r>
      <w:r w:rsidRPr="009C29C2">
        <w:rPr>
          <w:color w:val="000000"/>
          <w:lang w:eastAsia="fr-FR" w:bidi="fr-FR"/>
        </w:rPr>
        <w:t>rie ou du terroir. La refonte du grand recueil parisien serait un travail de longue haleine. Mais, dans chaque dépôt départemental, dresser l’état des plans parcellaires anciens,</w:t>
      </w:r>
      <w:r>
        <w:rPr>
          <w:color w:val="000000"/>
          <w:lang w:eastAsia="fr-FR" w:bidi="fr-FR"/>
        </w:rPr>
        <w:t> — </w:t>
      </w:r>
      <w:r w:rsidRPr="009C29C2">
        <w:rPr>
          <w:color w:val="000000"/>
          <w:lang w:eastAsia="fr-FR" w:bidi="fr-FR"/>
        </w:rPr>
        <w:t>état « néant » s’il y a heu, le renseignement a son prix pour les chercheurs,</w:t>
      </w:r>
      <w:r>
        <w:rPr>
          <w:color w:val="000000"/>
          <w:lang w:eastAsia="fr-FR" w:bidi="fr-FR"/>
        </w:rPr>
        <w:t> — </w:t>
      </w:r>
      <w:r w:rsidRPr="009C29C2">
        <w:rPr>
          <w:color w:val="000000"/>
          <w:lang w:eastAsia="fr-FR" w:bidi="fr-FR"/>
        </w:rPr>
        <w:t>y joindre la liste provisoire des plans reconnus dans les communes, la tâche, dans ce</w:t>
      </w:r>
      <w:r w:rsidRPr="009C29C2">
        <w:rPr>
          <w:color w:val="000000"/>
          <w:lang w:eastAsia="fr-FR" w:bidi="fr-FR"/>
        </w:rPr>
        <w:t>r</w:t>
      </w:r>
      <w:r w:rsidRPr="009C29C2">
        <w:rPr>
          <w:color w:val="000000"/>
          <w:lang w:eastAsia="fr-FR" w:bidi="fr-FR"/>
        </w:rPr>
        <w:t xml:space="preserve">tains cas relativement aisée, ailleurs beaucoup plus lourde, ne semble nulle part </w:t>
      </w:r>
      <w:r w:rsidRPr="009C29C2">
        <w:rPr>
          <w:color w:val="000000"/>
          <w:lang w:eastAsia="fr-FR" w:bidi="fr-FR"/>
        </w:rPr>
        <w:lastRenderedPageBreak/>
        <w:t>impossible à mener à bien. Il serait temps de songer à l’entreprendre</w:t>
      </w:r>
      <w:r>
        <w:rPr>
          <w:color w:val="000000"/>
          <w:lang w:eastAsia="fr-FR" w:bidi="fr-FR"/>
        </w:rPr>
        <w:t> </w:t>
      </w:r>
      <w:r>
        <w:rPr>
          <w:rStyle w:val="Appelnotedebasdep"/>
        </w:rPr>
        <w:footnoteReference w:id="22"/>
      </w:r>
      <w:r w:rsidRPr="009C29C2">
        <w:rPr>
          <w:color w:val="000000"/>
          <w:lang w:eastAsia="fr-FR" w:bidi="fr-FR"/>
        </w:rPr>
        <w:t>.</w:t>
      </w:r>
    </w:p>
    <w:p w14:paraId="54A07E03" w14:textId="77777777" w:rsidR="00B9662D" w:rsidRPr="009C29C2" w:rsidRDefault="00B9662D" w:rsidP="00B9662D">
      <w:pPr>
        <w:spacing w:before="120" w:after="120"/>
        <w:jc w:val="both"/>
      </w:pPr>
      <w:r w:rsidRPr="009C29C2">
        <w:rPr>
          <w:color w:val="000000"/>
          <w:lang w:eastAsia="fr-FR" w:bidi="fr-FR"/>
        </w:rPr>
        <w:t>Je vais maintenant donner quelques exemples de plans parcellaires anciens, choisis parmi des types aussi divers que possible.</w:t>
      </w:r>
    </w:p>
    <w:p w14:paraId="2C0F1032" w14:textId="77777777" w:rsidR="00B9662D" w:rsidRPr="009C29C2" w:rsidRDefault="00B9662D" w:rsidP="00B9662D">
      <w:pPr>
        <w:spacing w:before="120" w:after="120"/>
        <w:jc w:val="both"/>
      </w:pPr>
      <w:r w:rsidRPr="009C29C2">
        <w:rPr>
          <w:color w:val="000000"/>
          <w:lang w:eastAsia="fr-FR" w:bidi="fr-FR"/>
        </w:rPr>
        <w:t>Voici d’abord les plans reliés avec le terrier de l’abbaye de Gorze, au diocèse de Metz : 1746-1749</w:t>
      </w:r>
      <w:r>
        <w:rPr>
          <w:color w:val="000000"/>
          <w:lang w:eastAsia="fr-FR" w:bidi="fr-FR"/>
        </w:rPr>
        <w:t> </w:t>
      </w:r>
      <w:r>
        <w:rPr>
          <w:rStyle w:val="Appelnotedebasdep"/>
        </w:rPr>
        <w:footnoteReference w:id="23"/>
      </w:r>
      <w:r w:rsidRPr="009C29C2">
        <w:rPr>
          <w:color w:val="000000"/>
          <w:lang w:eastAsia="fr-FR" w:bidi="fr-FR"/>
        </w:rPr>
        <w:t>. Domaniaux plutôt que seigne</w:t>
      </w:r>
      <w:r w:rsidRPr="009C29C2">
        <w:rPr>
          <w:color w:val="000000"/>
          <w:lang w:eastAsia="fr-FR" w:bidi="fr-FR"/>
        </w:rPr>
        <w:t>u</w:t>
      </w:r>
      <w:r w:rsidRPr="009C29C2">
        <w:rPr>
          <w:color w:val="000000"/>
          <w:lang w:eastAsia="fr-FR" w:bidi="fr-FR"/>
        </w:rPr>
        <w:t>riaux, ils donnent seulement les parcelles qui composaient, dans les différents</w:t>
      </w:r>
      <w:r>
        <w:t xml:space="preserve"> </w:t>
      </w:r>
      <w:r>
        <w:rPr>
          <w:color w:val="000000"/>
          <w:lang w:eastAsia="fr-FR" w:bidi="fr-FR"/>
        </w:rPr>
        <w:t xml:space="preserve">[574] </w:t>
      </w:r>
      <w:r w:rsidRPr="009C29C2">
        <w:rPr>
          <w:color w:val="000000"/>
          <w:lang w:eastAsia="fr-FR" w:bidi="fr-FR"/>
        </w:rPr>
        <w:t>terroirs, la réserve exploitée directement par le m</w:t>
      </w:r>
      <w:r w:rsidRPr="009C29C2">
        <w:rPr>
          <w:color w:val="000000"/>
          <w:lang w:eastAsia="fr-FR" w:bidi="fr-FR"/>
        </w:rPr>
        <w:t>o</w:t>
      </w:r>
      <w:r w:rsidRPr="009C29C2">
        <w:rPr>
          <w:color w:val="000000"/>
          <w:lang w:eastAsia="fr-FR" w:bidi="fr-FR"/>
        </w:rPr>
        <w:t>nastère ou ses fermiers. Deux grands types de domaines, comportant, bien entendu, des formes intermédiaires, s’opposent nettement : d</w:t>
      </w:r>
      <w:r w:rsidRPr="009C29C2">
        <w:rPr>
          <w:color w:val="000000"/>
          <w:lang w:eastAsia="fr-FR" w:bidi="fr-FR"/>
        </w:rPr>
        <w:t>o</w:t>
      </w:r>
      <w:r w:rsidRPr="009C29C2">
        <w:rPr>
          <w:color w:val="000000"/>
          <w:lang w:eastAsia="fr-FR" w:bidi="fr-FR"/>
        </w:rPr>
        <w:t>maine aggloméré (exemple : Champs) ; domaine dispersé (exemple : Saint-Julien). Ce contraste, propre à mettre en garde contre toute g</w:t>
      </w:r>
      <w:r w:rsidRPr="009C29C2">
        <w:rPr>
          <w:color w:val="000000"/>
          <w:lang w:eastAsia="fr-FR" w:bidi="fr-FR"/>
        </w:rPr>
        <w:t>é</w:t>
      </w:r>
      <w:r w:rsidRPr="009C29C2">
        <w:rPr>
          <w:color w:val="000000"/>
          <w:lang w:eastAsia="fr-FR" w:bidi="fr-FR"/>
        </w:rPr>
        <w:t xml:space="preserve">néralisation hâtive les historiens de la vie rurale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est en lui-même un fait important. Resterait, dans chaque cas, à l’expliquer par le passé et à en suivre les effets, sur la répartition de la propriété, après la Révolution. Les plans ne peuvent que poser la que</w:t>
      </w:r>
      <w:r w:rsidRPr="009C29C2">
        <w:rPr>
          <w:color w:val="000000"/>
          <w:lang w:eastAsia="fr-FR" w:bidi="fr-FR"/>
        </w:rPr>
        <w:t>s</w:t>
      </w:r>
      <w:r w:rsidRPr="009C29C2">
        <w:rPr>
          <w:color w:val="000000"/>
          <w:lang w:eastAsia="fr-FR" w:bidi="fr-FR"/>
        </w:rPr>
        <w:t>tion. C’est déjà beaucoup.</w:t>
      </w:r>
    </w:p>
    <w:p w14:paraId="58ED1AE4" w14:textId="77777777" w:rsidR="00B9662D" w:rsidRPr="009C29C2" w:rsidRDefault="00B9662D" w:rsidP="00B9662D">
      <w:pPr>
        <w:spacing w:before="120" w:after="120"/>
        <w:jc w:val="both"/>
      </w:pPr>
      <w:r w:rsidRPr="009C29C2">
        <w:rPr>
          <w:color w:val="000000"/>
          <w:lang w:eastAsia="fr-FR" w:bidi="fr-FR"/>
        </w:rPr>
        <w:t>Passons à la Thiérache. Le village de La Flamengrie, antique po</w:t>
      </w:r>
      <w:r w:rsidRPr="009C29C2">
        <w:rPr>
          <w:color w:val="000000"/>
          <w:lang w:eastAsia="fr-FR" w:bidi="fr-FR"/>
        </w:rPr>
        <w:t>s</w:t>
      </w:r>
      <w:r w:rsidRPr="009C29C2">
        <w:rPr>
          <w:color w:val="000000"/>
          <w:lang w:eastAsia="fr-FR" w:bidi="fr-FR"/>
        </w:rPr>
        <w:t>session de Saint-Denis, passa, en 1686, avec le reste de la mense a</w:t>
      </w:r>
      <w:r w:rsidRPr="009C29C2">
        <w:rPr>
          <w:color w:val="000000"/>
          <w:lang w:eastAsia="fr-FR" w:bidi="fr-FR"/>
        </w:rPr>
        <w:t>b</w:t>
      </w:r>
      <w:r w:rsidRPr="009C29C2">
        <w:rPr>
          <w:color w:val="000000"/>
          <w:lang w:eastAsia="fr-FR" w:bidi="fr-FR"/>
        </w:rPr>
        <w:t>batiale, aux mains des Dames de Saint-Cyr, personnes fort soigneuses de leur fortune et à qui nous devons une des plus belles séries de plans terriers qu’il m’ait été donné de consulter. Celui de La Flamengrie est de 1719</w:t>
      </w:r>
      <w:r>
        <w:rPr>
          <w:color w:val="000000"/>
          <w:lang w:eastAsia="fr-FR" w:bidi="fr-FR"/>
        </w:rPr>
        <w:t> </w:t>
      </w:r>
      <w:r>
        <w:rPr>
          <w:rStyle w:val="Appelnotedebasdep"/>
        </w:rPr>
        <w:footnoteReference w:id="24"/>
      </w:r>
      <w:r w:rsidRPr="009C29C2">
        <w:rPr>
          <w:color w:val="000000"/>
          <w:lang w:eastAsia="fr-FR" w:bidi="fr-FR"/>
        </w:rPr>
        <w:t>. Une partie de la surface est occupée par le hameau du Bois-Saint-Denis, ancien défrichement, dont la date précise n’est pas connu</w:t>
      </w:r>
      <w:r>
        <w:rPr>
          <w:color w:val="000000"/>
          <w:lang w:eastAsia="fr-FR" w:bidi="fr-FR"/>
        </w:rPr>
        <w:t>e, mais</w:t>
      </w:r>
      <w:r w:rsidRPr="009C29C2">
        <w:rPr>
          <w:color w:val="000000"/>
          <w:lang w:eastAsia="fr-FR" w:bidi="fr-FR"/>
        </w:rPr>
        <w:t xml:space="preserve"> qui, certainement antérieur au </w:t>
      </w:r>
      <w:r>
        <w:rPr>
          <w:color w:val="000000"/>
          <w:lang w:eastAsia="fr-FR" w:bidi="fr-FR"/>
        </w:rPr>
        <w:t>XVI</w:t>
      </w:r>
      <w:r w:rsidRPr="009C29C2">
        <w:rPr>
          <w:color w:val="000000"/>
          <w:vertAlign w:val="superscript"/>
          <w:lang w:eastAsia="fr-FR" w:bidi="fr-FR"/>
        </w:rPr>
        <w:t>e</w:t>
      </w:r>
      <w:r>
        <w:rPr>
          <w:color w:val="000000"/>
          <w:lang w:eastAsia="fr-FR" w:bidi="fr-FR"/>
        </w:rPr>
        <w:t> </w:t>
      </w:r>
      <w:r w:rsidRPr="009C29C2">
        <w:rPr>
          <w:color w:val="000000"/>
          <w:lang w:eastAsia="fr-FR" w:bidi="fr-FR"/>
        </w:rPr>
        <w:t>siècle</w:t>
      </w:r>
      <w:r>
        <w:rPr>
          <w:color w:val="000000"/>
          <w:lang w:eastAsia="fr-FR" w:bidi="fr-FR"/>
        </w:rPr>
        <w:t> </w:t>
      </w:r>
      <w:r>
        <w:rPr>
          <w:rStyle w:val="Appelnotedebasdep"/>
        </w:rPr>
        <w:footnoteReference w:id="25"/>
      </w:r>
      <w:r w:rsidRPr="009C29C2">
        <w:rPr>
          <w:color w:val="000000"/>
          <w:lang w:eastAsia="fr-FR" w:bidi="fr-FR"/>
        </w:rPr>
        <w:t xml:space="preserve">, remonte selon toute apparence à la grande époque des essarts : </w:t>
      </w:r>
      <w:r>
        <w:rPr>
          <w:color w:val="000000"/>
          <w:lang w:eastAsia="fr-FR" w:bidi="fr-FR"/>
        </w:rPr>
        <w:t>XVII</w:t>
      </w:r>
      <w:r w:rsidRPr="009C29C2">
        <w:rPr>
          <w:color w:val="000000"/>
          <w:vertAlign w:val="superscript"/>
          <w:lang w:eastAsia="fr-FR" w:bidi="fr-FR"/>
        </w:rPr>
        <w:t>e</w:t>
      </w:r>
      <w:r w:rsidRPr="009C29C2">
        <w:rPr>
          <w:color w:val="000000"/>
          <w:lang w:eastAsia="fr-FR" w:bidi="fr-FR"/>
        </w:rPr>
        <w:t>-</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siècles. Des maisons, chacune entourée d’enclos, en files des deux côtés d’un chemin ; de part et d’autre de cette arête dorsale, des pa</w:t>
      </w:r>
      <w:r w:rsidRPr="009C29C2">
        <w:rPr>
          <w:color w:val="000000"/>
          <w:lang w:eastAsia="fr-FR" w:bidi="fr-FR"/>
        </w:rPr>
        <w:t>r</w:t>
      </w:r>
      <w:r w:rsidRPr="009C29C2">
        <w:rPr>
          <w:color w:val="000000"/>
          <w:lang w:eastAsia="fr-FR" w:bidi="fr-FR"/>
        </w:rPr>
        <w:lastRenderedPageBreak/>
        <w:t>celles très longues et très minces qui s’étirent jusqu’aux parties inta</w:t>
      </w:r>
      <w:r w:rsidRPr="009C29C2">
        <w:rPr>
          <w:color w:val="000000"/>
          <w:lang w:eastAsia="fr-FR" w:bidi="fr-FR"/>
        </w:rPr>
        <w:t>c</w:t>
      </w:r>
      <w:r w:rsidRPr="009C29C2">
        <w:rPr>
          <w:color w:val="000000"/>
          <w:lang w:eastAsia="fr-FR" w:bidi="fr-FR"/>
        </w:rPr>
        <w:t xml:space="preserve">tes de la forêt : on reconnaît un type d’occupation du sol, évidemment réglé d’avance et d’ensemble, avec lequel de nombreuses </w:t>
      </w:r>
      <w:r w:rsidRPr="003C1AC1">
        <w:rPr>
          <w:i/>
        </w:rPr>
        <w:t>Flurkarten</w:t>
      </w:r>
      <w:r w:rsidRPr="009C29C2">
        <w:rPr>
          <w:color w:val="000000"/>
          <w:lang w:eastAsia="fr-FR" w:bidi="fr-FR"/>
        </w:rPr>
        <w:t xml:space="preserve"> allemandes, empruntées à des régions autrefois couvertes de bois, ont rendu nos yeux familiers</w:t>
      </w:r>
      <w:r>
        <w:rPr>
          <w:color w:val="000000"/>
          <w:lang w:eastAsia="fr-FR" w:bidi="fr-FR"/>
        </w:rPr>
        <w:t> </w:t>
      </w:r>
      <w:r>
        <w:rPr>
          <w:rStyle w:val="Appelnotedebasdep"/>
        </w:rPr>
        <w:footnoteReference w:id="26"/>
      </w:r>
      <w:r w:rsidRPr="009C29C2">
        <w:rPr>
          <w:color w:val="000000"/>
          <w:lang w:eastAsia="fr-FR" w:bidi="fr-FR"/>
        </w:rPr>
        <w:t>. Ces champs démesurément allongés, v</w:t>
      </w:r>
      <w:r w:rsidRPr="009C29C2">
        <w:rPr>
          <w:color w:val="000000"/>
          <w:lang w:eastAsia="fr-FR" w:bidi="fr-FR"/>
        </w:rPr>
        <w:t>o</w:t>
      </w:r>
      <w:r w:rsidRPr="009C29C2">
        <w:rPr>
          <w:color w:val="000000"/>
          <w:lang w:eastAsia="fr-FR" w:bidi="fr-FR"/>
        </w:rPr>
        <w:t>lontiers nous en estimons aujourd’hui la forme absurde. Dans la Fra</w:t>
      </w:r>
      <w:r w:rsidRPr="009C29C2">
        <w:rPr>
          <w:color w:val="000000"/>
          <w:lang w:eastAsia="fr-FR" w:bidi="fr-FR"/>
        </w:rPr>
        <w:t>n</w:t>
      </w:r>
      <w:r w:rsidRPr="009C29C2">
        <w:rPr>
          <w:color w:val="000000"/>
          <w:lang w:eastAsia="fr-FR" w:bidi="fr-FR"/>
        </w:rPr>
        <w:t>ce du Nord, elle semblait jadis nécessaire ; on l’adoptait, tout nature</w:t>
      </w:r>
      <w:r w:rsidRPr="009C29C2">
        <w:rPr>
          <w:color w:val="000000"/>
          <w:lang w:eastAsia="fr-FR" w:bidi="fr-FR"/>
        </w:rPr>
        <w:t>l</w:t>
      </w:r>
      <w:r w:rsidRPr="009C29C2">
        <w:rPr>
          <w:color w:val="000000"/>
          <w:lang w:eastAsia="fr-FR" w:bidi="fr-FR"/>
        </w:rPr>
        <w:t>lement, dans les terroirs créés de toute pièce, comme l’adopteront e</w:t>
      </w:r>
      <w:r w:rsidRPr="009C29C2">
        <w:rPr>
          <w:color w:val="000000"/>
          <w:lang w:eastAsia="fr-FR" w:bidi="fr-FR"/>
        </w:rPr>
        <w:t>n</w:t>
      </w:r>
      <w:r w:rsidRPr="009C29C2">
        <w:rPr>
          <w:color w:val="000000"/>
          <w:lang w:eastAsia="fr-FR" w:bidi="fr-FR"/>
        </w:rPr>
        <w:t xml:space="preserve">core, au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dans les pays neufs de l’Amérique septentrion</w:t>
      </w:r>
      <w:r w:rsidRPr="009C29C2">
        <w:rPr>
          <w:color w:val="000000"/>
          <w:lang w:eastAsia="fr-FR" w:bidi="fr-FR"/>
        </w:rPr>
        <w:t>a</w:t>
      </w:r>
      <w:r w:rsidRPr="009C29C2">
        <w:rPr>
          <w:color w:val="000000"/>
          <w:lang w:eastAsia="fr-FR" w:bidi="fr-FR"/>
        </w:rPr>
        <w:t>le, les colons français et anglais.</w:t>
      </w:r>
    </w:p>
    <w:p w14:paraId="1B2D76AB" w14:textId="77777777" w:rsidR="00B9662D" w:rsidRPr="009C29C2" w:rsidRDefault="00B9662D" w:rsidP="00B9662D">
      <w:pPr>
        <w:spacing w:before="120" w:after="120"/>
        <w:jc w:val="both"/>
      </w:pPr>
      <w:r w:rsidRPr="009C29C2">
        <w:rPr>
          <w:color w:val="000000"/>
          <w:lang w:eastAsia="fr-FR" w:bidi="fr-FR"/>
        </w:rPr>
        <w:t xml:space="preserve">Parmi les nombreux villages de l’Ile-de-France levés au cours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celui de Brunoy offre à l’histoire de la propriété un o</w:t>
      </w:r>
      <w:r w:rsidRPr="009C29C2">
        <w:rPr>
          <w:color w:val="000000"/>
          <w:lang w:eastAsia="fr-FR" w:bidi="fr-FR"/>
        </w:rPr>
        <w:t>b</w:t>
      </w:r>
      <w:r w:rsidRPr="009C29C2">
        <w:rPr>
          <w:color w:val="000000"/>
          <w:lang w:eastAsia="fr-FR" w:bidi="fr-FR"/>
        </w:rPr>
        <w:t>jet d’étude particulièrement favorable. On en possède en effet trois plans parcellaires relativement rapprochés : 1724-1735, alors que la seigneurie venait d’être acquise par le financier Paris de Montmartel ; 1783-1789, le seigneur étant Monsieur, le futur Louis</w:t>
      </w:r>
      <w:r>
        <w:rPr>
          <w:color w:val="000000"/>
          <w:lang w:eastAsia="fr-FR" w:bidi="fr-FR"/>
        </w:rPr>
        <w:t> </w:t>
      </w:r>
      <w:r w:rsidRPr="009C29C2">
        <w:rPr>
          <w:color w:val="000000"/>
          <w:lang w:eastAsia="fr-FR" w:bidi="fr-FR"/>
        </w:rPr>
        <w:t>XVIII</w:t>
      </w:r>
      <w:r>
        <w:rPr>
          <w:color w:val="000000"/>
          <w:lang w:eastAsia="fr-FR" w:bidi="fr-FR"/>
        </w:rPr>
        <w:t> </w:t>
      </w:r>
      <w:r>
        <w:rPr>
          <w:rStyle w:val="Appelnotedebasdep"/>
        </w:rPr>
        <w:footnoteReference w:id="27"/>
      </w:r>
      <w:r w:rsidRPr="009C29C2">
        <w:rPr>
          <w:color w:val="000000"/>
          <w:lang w:eastAsia="fr-FR" w:bidi="fr-FR"/>
        </w:rPr>
        <w:t> ; 1810, le plan cadastral, exceptionnellement ancien. Paris de Montmartel e</w:t>
      </w:r>
      <w:r w:rsidRPr="009C29C2">
        <w:rPr>
          <w:color w:val="000000"/>
          <w:lang w:eastAsia="fr-FR" w:bidi="fr-FR"/>
        </w:rPr>
        <w:t>x</w:t>
      </w:r>
      <w:r w:rsidRPr="009C29C2">
        <w:rPr>
          <w:color w:val="000000"/>
          <w:lang w:eastAsia="fr-FR" w:bidi="fr-FR"/>
        </w:rPr>
        <w:t>ploitait en grand capitaliste. La comparaison des premier et deuxième plans</w:t>
      </w:r>
      <w:r>
        <w:rPr>
          <w:color w:val="000000"/>
          <w:lang w:eastAsia="fr-FR" w:bidi="fr-FR"/>
        </w:rPr>
        <w:t> — </w:t>
      </w:r>
      <w:r w:rsidRPr="009C29C2">
        <w:rPr>
          <w:color w:val="000000"/>
          <w:lang w:eastAsia="fr-FR" w:bidi="fr-FR"/>
        </w:rPr>
        <w:t>commentés à l’aide des terriers</w:t>
      </w:r>
      <w:r>
        <w:rPr>
          <w:color w:val="000000"/>
          <w:lang w:eastAsia="fr-FR" w:bidi="fr-FR"/>
        </w:rPr>
        <w:t> — </w:t>
      </w:r>
      <w:r w:rsidRPr="009C29C2">
        <w:rPr>
          <w:color w:val="000000"/>
          <w:lang w:eastAsia="fr-FR" w:bidi="fr-FR"/>
        </w:rPr>
        <w:t>révèle ses efforts pour concentrer le domaine en quelques grandes parcelles. La Révolution semble avoir entraîné de nouvelles divisions. A Rueil, pour une partie du terroir, nous pouvons mettre</w:t>
      </w:r>
      <w:r>
        <w:t xml:space="preserve"> [</w:t>
      </w:r>
      <w:r w:rsidRPr="009C29C2">
        <w:rPr>
          <w:color w:val="000000"/>
          <w:lang w:eastAsia="fr-FR" w:bidi="fr-FR"/>
        </w:rPr>
        <w:t>575</w:t>
      </w:r>
      <w:r>
        <w:rPr>
          <w:color w:val="000000"/>
          <w:lang w:eastAsia="fr-FR" w:bidi="fr-FR"/>
        </w:rPr>
        <w:t xml:space="preserve">] </w:t>
      </w:r>
      <w:r w:rsidRPr="009C29C2">
        <w:rPr>
          <w:color w:val="000000"/>
          <w:lang w:eastAsia="fr-FR" w:bidi="fr-FR"/>
        </w:rPr>
        <w:t>en regard deux plans anciens, le premier de 1680, le second, non daté, du milieu du siècle suivant</w:t>
      </w:r>
      <w:r>
        <w:rPr>
          <w:color w:val="000000"/>
          <w:lang w:eastAsia="fr-FR" w:bidi="fr-FR"/>
        </w:rPr>
        <w:t> </w:t>
      </w:r>
      <w:r>
        <w:rPr>
          <w:rStyle w:val="Appelnotedebasdep"/>
        </w:rPr>
        <w:footnoteReference w:id="28"/>
      </w:r>
      <w:r w:rsidRPr="009C29C2">
        <w:rPr>
          <w:color w:val="000000"/>
          <w:lang w:eastAsia="fr-FR" w:bidi="fr-FR"/>
        </w:rPr>
        <w:t> ; dans les deux, le morcellement des tenures est extrême ; de l’un à l’autre, il progresse légèrement. Images à méditer par les économistes qui chargent de tous les péchés le Gode civil ! Ailleurs, à Guillerville, c’est l’enchevêtrement des droits seigneuriaux qui apparaît clair</w:t>
      </w:r>
      <w:r w:rsidRPr="009C29C2">
        <w:rPr>
          <w:color w:val="000000"/>
          <w:lang w:eastAsia="fr-FR" w:bidi="fr-FR"/>
        </w:rPr>
        <w:t>e</w:t>
      </w:r>
      <w:r w:rsidRPr="009C29C2">
        <w:rPr>
          <w:color w:val="000000"/>
          <w:lang w:eastAsia="fr-FR" w:bidi="fr-FR"/>
        </w:rPr>
        <w:t>ment ; il n’y a pas moins de trois se</w:t>
      </w:r>
      <w:r w:rsidRPr="009C29C2">
        <w:rPr>
          <w:color w:val="000000"/>
          <w:lang w:eastAsia="fr-FR" w:bidi="fr-FR"/>
        </w:rPr>
        <w:t>i</w:t>
      </w:r>
      <w:r w:rsidRPr="009C29C2">
        <w:rPr>
          <w:color w:val="000000"/>
          <w:lang w:eastAsia="fr-FR" w:bidi="fr-FR"/>
        </w:rPr>
        <w:t xml:space="preserve">gneurs dont les mouvances </w:t>
      </w:r>
      <w:r w:rsidRPr="009C29C2">
        <w:rPr>
          <w:color w:val="000000"/>
          <w:lang w:eastAsia="fr-FR" w:bidi="fr-FR"/>
        </w:rPr>
        <w:lastRenderedPageBreak/>
        <w:t>s’entremêlent ; pour certaines terres, on ne sait pas bien de qui elles relèvent</w:t>
      </w:r>
      <w:r>
        <w:rPr>
          <w:color w:val="000000"/>
          <w:lang w:eastAsia="fr-FR" w:bidi="fr-FR"/>
        </w:rPr>
        <w:t> </w:t>
      </w:r>
      <w:r>
        <w:rPr>
          <w:rStyle w:val="Appelnotedebasdep"/>
        </w:rPr>
        <w:footnoteReference w:id="29"/>
      </w:r>
      <w:r w:rsidRPr="009C29C2">
        <w:rPr>
          <w:color w:val="000000"/>
          <w:lang w:eastAsia="fr-FR" w:bidi="fr-FR"/>
        </w:rPr>
        <w:t>.</w:t>
      </w:r>
    </w:p>
    <w:p w14:paraId="3A2E4FCB" w14:textId="77777777" w:rsidR="00B9662D" w:rsidRPr="009C29C2" w:rsidRDefault="00B9662D" w:rsidP="00B9662D">
      <w:pPr>
        <w:spacing w:before="120" w:after="120"/>
        <w:jc w:val="both"/>
      </w:pPr>
      <w:r w:rsidRPr="009C29C2">
        <w:rPr>
          <w:color w:val="000000"/>
          <w:lang w:eastAsia="fr-FR" w:bidi="fr-FR"/>
        </w:rPr>
        <w:t>Morcellement, parcelles allongées et sans clôtures, ces traits, si a</w:t>
      </w:r>
      <w:r w:rsidRPr="009C29C2">
        <w:rPr>
          <w:color w:val="000000"/>
          <w:lang w:eastAsia="fr-FR" w:bidi="fr-FR"/>
        </w:rPr>
        <w:t>p</w:t>
      </w:r>
      <w:r w:rsidRPr="009C29C2">
        <w:rPr>
          <w:color w:val="000000"/>
          <w:lang w:eastAsia="fr-FR" w:bidi="fr-FR"/>
        </w:rPr>
        <w:t>parents</w:t>
      </w:r>
      <w:r>
        <w:rPr>
          <w:color w:val="000000"/>
          <w:lang w:eastAsia="fr-FR" w:bidi="fr-FR"/>
        </w:rPr>
        <w:t> — </w:t>
      </w:r>
      <w:r w:rsidRPr="009C29C2">
        <w:rPr>
          <w:color w:val="000000"/>
          <w:lang w:eastAsia="fr-FR" w:bidi="fr-FR"/>
        </w:rPr>
        <w:t>en dépit de quelques irrégularités locales</w:t>
      </w:r>
      <w:r>
        <w:rPr>
          <w:color w:val="000000"/>
          <w:lang w:eastAsia="fr-FR" w:bidi="fr-FR"/>
        </w:rPr>
        <w:t> — </w:t>
      </w:r>
      <w:r w:rsidRPr="009C29C2">
        <w:rPr>
          <w:color w:val="000000"/>
          <w:lang w:eastAsia="fr-FR" w:bidi="fr-FR"/>
        </w:rPr>
        <w:t>sur les plans de l’Ile-de-France, figurent parmi les signes classiques du système des « champs ouverts », tant de fois étudiés par les savants anglais et a</w:t>
      </w:r>
      <w:r w:rsidRPr="009C29C2">
        <w:rPr>
          <w:color w:val="000000"/>
          <w:lang w:eastAsia="fr-FR" w:bidi="fr-FR"/>
        </w:rPr>
        <w:t>l</w:t>
      </w:r>
      <w:r w:rsidRPr="009C29C2">
        <w:rPr>
          <w:color w:val="000000"/>
          <w:lang w:eastAsia="fr-FR" w:bidi="fr-FR"/>
        </w:rPr>
        <w:t xml:space="preserve">lemands </w:t>
      </w:r>
      <w:r w:rsidRPr="009C29C2">
        <w:t>(</w:t>
      </w:r>
      <w:r w:rsidRPr="003C1AC1">
        <w:rPr>
          <w:i/>
        </w:rPr>
        <w:t>open-</w:t>
      </w:r>
      <w:r w:rsidRPr="00D1562C">
        <w:rPr>
          <w:i/>
        </w:rPr>
        <w:t>field System</w:t>
      </w:r>
      <w:r w:rsidRPr="00D1562C">
        <w:rPr>
          <w:i/>
          <w:color w:val="000000"/>
          <w:lang w:eastAsia="fr-FR" w:bidi="fr-FR"/>
        </w:rPr>
        <w:t xml:space="preserve">, </w:t>
      </w:r>
      <w:r w:rsidRPr="00D1562C">
        <w:rPr>
          <w:i/>
        </w:rPr>
        <w:t>Gewanndörfer</w:t>
      </w:r>
      <w:r w:rsidRPr="009C29C2">
        <w:t>).</w:t>
      </w:r>
      <w:r w:rsidRPr="009C29C2">
        <w:rPr>
          <w:color w:val="000000"/>
          <w:lang w:eastAsia="fr-FR" w:bidi="fr-FR"/>
        </w:rPr>
        <w:t xml:space="preserve"> Mais un autre caractère, parfois considéré comme essentiel, fait ici constamment défaut : la division du terroir en soles. Nul doute que l’assolement triennal ne fût généralement pratiqué ; bien plus,</w:t>
      </w:r>
      <w:r>
        <w:rPr>
          <w:color w:val="000000"/>
          <w:lang w:eastAsia="fr-FR" w:bidi="fr-FR"/>
        </w:rPr>
        <w:t> — </w:t>
      </w:r>
      <w:r w:rsidRPr="009C29C2">
        <w:rPr>
          <w:color w:val="000000"/>
          <w:lang w:eastAsia="fr-FR" w:bidi="fr-FR"/>
        </w:rPr>
        <w:t>nous le savons de source sûre</w:t>
      </w:r>
      <w:r>
        <w:rPr>
          <w:color w:val="000000"/>
          <w:lang w:eastAsia="fr-FR" w:bidi="fr-FR"/>
        </w:rPr>
        <w:t> — </w:t>
      </w:r>
      <w:r w:rsidRPr="009C29C2">
        <w:rPr>
          <w:color w:val="000000"/>
          <w:lang w:eastAsia="fr-FR" w:bidi="fr-FR"/>
        </w:rPr>
        <w:t>d’impérieuses nécessités, d’ordre à la fois technique et social, imp</w:t>
      </w:r>
      <w:r w:rsidRPr="009C29C2">
        <w:rPr>
          <w:color w:val="000000"/>
          <w:lang w:eastAsia="fr-FR" w:bidi="fr-FR"/>
        </w:rPr>
        <w:t>o</w:t>
      </w:r>
      <w:r w:rsidRPr="009C29C2">
        <w:rPr>
          <w:color w:val="000000"/>
          <w:lang w:eastAsia="fr-FR" w:bidi="fr-FR"/>
        </w:rPr>
        <w:t>saient aux exploitants l’obéissance à des règles de culture communes. Nulle part, cependant, les labours ne nous apparaissent, comme on eût pu s’y attendre, répartis en trois grands cantons, réservés chacun à une utilisation saisonnière déterminée et alternant entre eux selon un rythme annuel immuable ; terriers et cartes ignorent les mots de « sole », « saison », ou tout autre terme analogue. En Lorraine, au contraire, notamment dans la Lorraine de langue allemande, à cette même époque, les trois « saisons » se détachent nettement sur les plans ; voyez, par exemple, ceux de la baronnie de Fénét</w:t>
      </w:r>
      <w:r>
        <w:rPr>
          <w:color w:val="000000"/>
          <w:lang w:eastAsia="fr-FR" w:bidi="fr-FR"/>
        </w:rPr>
        <w:t>range (1717-1739), ou celui de V</w:t>
      </w:r>
      <w:r w:rsidRPr="009C29C2">
        <w:rPr>
          <w:color w:val="000000"/>
          <w:lang w:eastAsia="fr-FR" w:bidi="fr-FR"/>
        </w:rPr>
        <w:t>ittersbourg (1688)</w:t>
      </w:r>
      <w:r>
        <w:rPr>
          <w:color w:val="000000"/>
          <w:lang w:eastAsia="fr-FR" w:bidi="fr-FR"/>
        </w:rPr>
        <w:t> </w:t>
      </w:r>
      <w:r>
        <w:rPr>
          <w:rStyle w:val="Appelnotedebasdep"/>
        </w:rPr>
        <w:footnoteReference w:id="30"/>
      </w:r>
      <w:r w:rsidRPr="009C29C2">
        <w:rPr>
          <w:color w:val="000000"/>
          <w:lang w:eastAsia="fr-FR" w:bidi="fr-FR"/>
        </w:rPr>
        <w:t>. Symptôme, dans l’Est, d’un état agraire moins évolué ? Il se peut. Pourtant, faisons-y bien atte</w:t>
      </w:r>
      <w:r w:rsidRPr="009C29C2">
        <w:rPr>
          <w:color w:val="000000"/>
          <w:lang w:eastAsia="fr-FR" w:bidi="fr-FR"/>
        </w:rPr>
        <w:t>n</w:t>
      </w:r>
      <w:r w:rsidRPr="009C29C2">
        <w:rPr>
          <w:color w:val="000000"/>
          <w:lang w:eastAsia="fr-FR" w:bidi="fr-FR"/>
        </w:rPr>
        <w:t>tion : l’histoire des campagnes lorraines, aux temps modernes, est ce</w:t>
      </w:r>
      <w:r w:rsidRPr="009C29C2">
        <w:rPr>
          <w:color w:val="000000"/>
          <w:lang w:eastAsia="fr-FR" w:bidi="fr-FR"/>
        </w:rPr>
        <w:t>l</w:t>
      </w:r>
      <w:r w:rsidRPr="009C29C2">
        <w:rPr>
          <w:color w:val="000000"/>
          <w:lang w:eastAsia="fr-FR" w:bidi="fr-FR"/>
        </w:rPr>
        <w:t xml:space="preserve">le d’une série d’accidents, beaucoup plutôt que d’une continuité. De terribles guerres, tout le long du </w:t>
      </w:r>
      <w:r>
        <w:rPr>
          <w:color w:val="000000"/>
          <w:lang w:eastAsia="fr-FR" w:bidi="fr-FR"/>
        </w:rPr>
        <w:t>XVII</w:t>
      </w:r>
      <w:r w:rsidRPr="009C29C2">
        <w:rPr>
          <w:color w:val="000000"/>
          <w:vertAlign w:val="superscript"/>
          <w:lang w:eastAsia="fr-FR" w:bidi="fr-FR"/>
        </w:rPr>
        <w:t>e</w:t>
      </w:r>
      <w:r>
        <w:rPr>
          <w:color w:val="000000"/>
          <w:lang w:eastAsia="fr-FR" w:bidi="fr-FR"/>
        </w:rPr>
        <w:t> </w:t>
      </w:r>
      <w:r w:rsidRPr="009C29C2">
        <w:rPr>
          <w:color w:val="000000"/>
          <w:lang w:eastAsia="fr-FR" w:bidi="fr-FR"/>
        </w:rPr>
        <w:t>siècle, avaient ravagé le d</w:t>
      </w:r>
      <w:r w:rsidRPr="009C29C2">
        <w:rPr>
          <w:color w:val="000000"/>
          <w:lang w:eastAsia="fr-FR" w:bidi="fr-FR"/>
        </w:rPr>
        <w:t>u</w:t>
      </w:r>
      <w:r w:rsidRPr="009C29C2">
        <w:rPr>
          <w:color w:val="000000"/>
          <w:lang w:eastAsia="fr-FR" w:bidi="fr-FR"/>
        </w:rPr>
        <w:t>ché ; beaucoup de villages, pendant des périodes plus ou moins lo</w:t>
      </w:r>
      <w:r w:rsidRPr="009C29C2">
        <w:rPr>
          <w:color w:val="000000"/>
          <w:lang w:eastAsia="fr-FR" w:bidi="fr-FR"/>
        </w:rPr>
        <w:t>n</w:t>
      </w:r>
      <w:r w:rsidRPr="009C29C2">
        <w:rPr>
          <w:color w:val="000000"/>
          <w:lang w:eastAsia="fr-FR" w:bidi="fr-FR"/>
        </w:rPr>
        <w:t>gues, étaient demeurés déserts ; revenus, les paysans, qui ne tro</w:t>
      </w:r>
      <w:r w:rsidRPr="009C29C2">
        <w:rPr>
          <w:color w:val="000000"/>
          <w:lang w:eastAsia="fr-FR" w:bidi="fr-FR"/>
        </w:rPr>
        <w:t>u</w:t>
      </w:r>
      <w:r w:rsidRPr="009C29C2">
        <w:rPr>
          <w:color w:val="000000"/>
          <w:lang w:eastAsia="fr-FR" w:bidi="fr-FR"/>
        </w:rPr>
        <w:t>vaient plus guère devant eux que des friches, se prirent à cultiver « confusément », sans tenir compte des vieilles coutumes, protectrices des intérêts de la communauté, négligeant même, à l’occasion, de re</w:t>
      </w:r>
      <w:r w:rsidRPr="009C29C2">
        <w:rPr>
          <w:color w:val="000000"/>
          <w:lang w:eastAsia="fr-FR" w:bidi="fr-FR"/>
        </w:rPr>
        <w:t>s</w:t>
      </w:r>
      <w:r w:rsidRPr="009C29C2">
        <w:rPr>
          <w:color w:val="000000"/>
          <w:lang w:eastAsia="fr-FR" w:bidi="fr-FR"/>
        </w:rPr>
        <w:t>pecter les limites des propriétés. Pouvoirs publics et seigneurs mirent le holà. En certains lieux, on dut procéder à de véritables redistrib</w:t>
      </w:r>
      <w:r w:rsidRPr="009C29C2">
        <w:rPr>
          <w:color w:val="000000"/>
          <w:lang w:eastAsia="fr-FR" w:bidi="fr-FR"/>
        </w:rPr>
        <w:t>u</w:t>
      </w:r>
      <w:r w:rsidRPr="009C29C2">
        <w:rPr>
          <w:color w:val="000000"/>
          <w:lang w:eastAsia="fr-FR" w:bidi="fr-FR"/>
        </w:rPr>
        <w:t xml:space="preserve">tions de parcelles. Partout, on prescrivit l’observation des « anciennes </w:t>
      </w:r>
      <w:r w:rsidRPr="009C29C2">
        <w:rPr>
          <w:color w:val="000000"/>
          <w:lang w:eastAsia="fr-FR" w:bidi="fr-FR"/>
        </w:rPr>
        <w:lastRenderedPageBreak/>
        <w:t>saisons ». Et sans doute, en voulant rétablir l’ordre primitif, on fit di</w:t>
      </w:r>
      <w:r w:rsidRPr="009C29C2">
        <w:rPr>
          <w:color w:val="000000"/>
          <w:lang w:eastAsia="fr-FR" w:bidi="fr-FR"/>
        </w:rPr>
        <w:t>s</w:t>
      </w:r>
      <w:r w:rsidRPr="009C29C2">
        <w:rPr>
          <w:color w:val="000000"/>
          <w:lang w:eastAsia="fr-FR" w:bidi="fr-FR"/>
        </w:rPr>
        <w:t>paraître des anomalies, dont beaucoup remontaient aux origines m</w:t>
      </w:r>
      <w:r w:rsidRPr="009C29C2">
        <w:rPr>
          <w:color w:val="000000"/>
          <w:lang w:eastAsia="fr-FR" w:bidi="fr-FR"/>
        </w:rPr>
        <w:t>ê</w:t>
      </w:r>
      <w:r w:rsidRPr="009C29C2">
        <w:rPr>
          <w:color w:val="000000"/>
          <w:lang w:eastAsia="fr-FR" w:bidi="fr-FR"/>
        </w:rPr>
        <w:t xml:space="preserve">mes des terroirs. Selon toute vraisemblance, le système agraire lorrain n’avait,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une allure si régulière que parce qu’il venait d’être régularisé</w:t>
      </w:r>
      <w:r>
        <w:rPr>
          <w:color w:val="000000"/>
          <w:lang w:eastAsia="fr-FR" w:bidi="fr-FR"/>
        </w:rPr>
        <w:t> </w:t>
      </w:r>
      <w:r>
        <w:rPr>
          <w:rStyle w:val="Appelnotedebasdep"/>
        </w:rPr>
        <w:footnoteReference w:id="31"/>
      </w:r>
      <w:r w:rsidRPr="009C29C2">
        <w:rPr>
          <w:color w:val="000000"/>
          <w:lang w:eastAsia="fr-FR" w:bidi="fr-FR"/>
        </w:rPr>
        <w:t>.</w:t>
      </w:r>
    </w:p>
    <w:p w14:paraId="1DB7F823" w14:textId="77777777" w:rsidR="00B9662D" w:rsidRPr="009C29C2" w:rsidRDefault="00B9662D" w:rsidP="00B9662D">
      <w:pPr>
        <w:spacing w:before="120" w:after="120"/>
        <w:jc w:val="both"/>
      </w:pPr>
      <w:r>
        <w:rPr>
          <w:color w:val="000000"/>
          <w:lang w:eastAsia="fr-FR" w:bidi="fr-FR"/>
        </w:rPr>
        <w:t>[576]</w:t>
      </w:r>
    </w:p>
    <w:p w14:paraId="35B724F1" w14:textId="77777777" w:rsidR="00B9662D" w:rsidRPr="009C29C2" w:rsidRDefault="00B9662D" w:rsidP="00B9662D">
      <w:pPr>
        <w:spacing w:before="120" w:after="120"/>
        <w:jc w:val="both"/>
      </w:pPr>
      <w:r w:rsidRPr="009C29C2">
        <w:rPr>
          <w:color w:val="000000"/>
          <w:lang w:eastAsia="fr-FR" w:bidi="fr-FR"/>
        </w:rPr>
        <w:t xml:space="preserve">De ce point de vue, les anciens plans de la Lorraine, ou du moins certains d’entre eux, rentrent dans une catégorie assez particulière : celle des plans destinés à constater un « remembrement », c’est-à-dire une réforme générale du terroir. Ici, on ne cherchait qu’à renouer les traditions. Les remembrements plus récents visent, au contraire, à rompre avec les errements du passé : on veut grouper les parcelles, diminuer le morcellement. La plupart de ces opérations, en France, datent des </w:t>
      </w:r>
      <w:r w:rsidRPr="00D1562C">
        <w:rPr>
          <w:caps/>
          <w:color w:val="000000"/>
          <w:lang w:eastAsia="fr-FR" w:bidi="fr-FR"/>
        </w:rPr>
        <w:t>xix</w:t>
      </w:r>
      <w:r w:rsidRPr="006C2147">
        <w:rPr>
          <w:color w:val="000000"/>
          <w:vertAlign w:val="superscript"/>
          <w:lang w:eastAsia="fr-FR" w:bidi="fr-FR"/>
        </w:rPr>
        <w:t>e</w:t>
      </w:r>
      <w:r w:rsidRPr="009C29C2">
        <w:rPr>
          <w:color w:val="000000"/>
          <w:lang w:eastAsia="fr-FR" w:bidi="fr-FR"/>
        </w:rPr>
        <w:t xml:space="preserve"> et </w:t>
      </w:r>
      <w:r w:rsidRPr="00D1562C">
        <w:rPr>
          <w:caps/>
          <w:color w:val="000000"/>
          <w:lang w:eastAsia="fr-FR" w:bidi="fr-FR"/>
        </w:rPr>
        <w:t>xx</w:t>
      </w:r>
      <w:r w:rsidRPr="009C29C2">
        <w:rPr>
          <w:color w:val="000000"/>
          <w:vertAlign w:val="superscript"/>
          <w:lang w:eastAsia="fr-FR" w:bidi="fr-FR"/>
        </w:rPr>
        <w:t>e</w:t>
      </w:r>
      <w:r w:rsidRPr="009C29C2">
        <w:rPr>
          <w:color w:val="000000"/>
          <w:lang w:eastAsia="fr-FR" w:bidi="fr-FR"/>
        </w:rPr>
        <w:t xml:space="preserve"> siècles ; nous les retrouverons plus loin. Mais les premières ont été accomplies avant la Révolution, sous l’autorité seigneuriale. Un plan venait fixer le nouvel état de choses : tel, celui des « bans de Neuviller et Roville » après la « nouvelle division et distribution » qui, accomplie en 1770 par un intendant éclairé, La G</w:t>
      </w:r>
      <w:r w:rsidRPr="009C29C2">
        <w:rPr>
          <w:color w:val="000000"/>
          <w:lang w:eastAsia="fr-FR" w:bidi="fr-FR"/>
        </w:rPr>
        <w:t>a</w:t>
      </w:r>
      <w:r w:rsidRPr="009C29C2">
        <w:rPr>
          <w:color w:val="000000"/>
          <w:lang w:eastAsia="fr-FR" w:bidi="fr-FR"/>
        </w:rPr>
        <w:t>laizière, fit époque dans la doctrine</w:t>
      </w:r>
      <w:r>
        <w:rPr>
          <w:color w:val="000000"/>
          <w:lang w:eastAsia="fr-FR" w:bidi="fr-FR"/>
        </w:rPr>
        <w:t> </w:t>
      </w:r>
      <w:r>
        <w:rPr>
          <w:rStyle w:val="Appelnotedebasdep"/>
        </w:rPr>
        <w:footnoteReference w:id="32"/>
      </w:r>
      <w:r w:rsidRPr="009C29C2">
        <w:rPr>
          <w:color w:val="000000"/>
          <w:lang w:eastAsia="fr-FR" w:bidi="fr-FR"/>
        </w:rPr>
        <w:t>.</w:t>
      </w:r>
    </w:p>
    <w:p w14:paraId="4E10FD4E" w14:textId="77777777" w:rsidR="00B9662D" w:rsidRPr="009C29C2" w:rsidRDefault="00B9662D" w:rsidP="00B9662D">
      <w:pPr>
        <w:spacing w:before="120" w:after="120"/>
        <w:jc w:val="both"/>
      </w:pPr>
      <w:r w:rsidRPr="009C29C2">
        <w:rPr>
          <w:color w:val="000000"/>
          <w:lang w:eastAsia="fr-FR" w:bidi="fr-FR"/>
        </w:rPr>
        <w:t>Les terroirs du Midi de la France diffèrent grandement de ceux du Nord ; les champs y ont des formes beaucoup plus variées et tendent souvent vers le carré. Cet aspect de puzzle, bien connu des travailleurs qui ont feuilleté les cadastres méridionaux, apparaît dès les plans a</w:t>
      </w:r>
      <w:r w:rsidRPr="009C29C2">
        <w:rPr>
          <w:color w:val="000000"/>
          <w:lang w:eastAsia="fr-FR" w:bidi="fr-FR"/>
        </w:rPr>
        <w:t>n</w:t>
      </w:r>
      <w:r w:rsidRPr="009C29C2">
        <w:rPr>
          <w:color w:val="000000"/>
          <w:lang w:eastAsia="fr-FR" w:bidi="fr-FR"/>
        </w:rPr>
        <w:t>ciens : tel, celui de Montgaillard, en Lauraguais</w:t>
      </w:r>
      <w:r>
        <w:rPr>
          <w:color w:val="000000"/>
          <w:lang w:eastAsia="fr-FR" w:bidi="fr-FR"/>
        </w:rPr>
        <w:t> </w:t>
      </w:r>
      <w:r>
        <w:rPr>
          <w:rStyle w:val="Appelnotedebasdep"/>
        </w:rPr>
        <w:footnoteReference w:id="33"/>
      </w:r>
      <w:r w:rsidRPr="009C29C2">
        <w:rPr>
          <w:color w:val="000000"/>
          <w:lang w:eastAsia="fr-FR" w:bidi="fr-FR"/>
        </w:rPr>
        <w:t>. Encore s’agit-il là d’un village aggloméré. Plus étrange encore, à des yeux formés par les campagnes du Nord, un fragment du plan de Langon, en Guyenne, exécuté avant 1764, où l’on voit un grand nombre de maisons dispe</w:t>
      </w:r>
      <w:r w:rsidRPr="009C29C2">
        <w:rPr>
          <w:color w:val="000000"/>
          <w:lang w:eastAsia="fr-FR" w:bidi="fr-FR"/>
        </w:rPr>
        <w:t>r</w:t>
      </w:r>
      <w:r w:rsidRPr="009C29C2">
        <w:rPr>
          <w:color w:val="000000"/>
          <w:lang w:eastAsia="fr-FR" w:bidi="fr-FR"/>
        </w:rPr>
        <w:t>sées, chacune entourée de son exploitation, qui, souvent, est en</w:t>
      </w:r>
      <w:r w:rsidRPr="009C29C2">
        <w:rPr>
          <w:color w:val="000000"/>
          <w:lang w:eastAsia="fr-FR" w:bidi="fr-FR"/>
        </w:rPr>
        <w:lastRenderedPageBreak/>
        <w:t>close</w:t>
      </w:r>
      <w:r>
        <w:rPr>
          <w:color w:val="000000"/>
          <w:lang w:eastAsia="fr-FR" w:bidi="fr-FR"/>
        </w:rPr>
        <w:t> </w:t>
      </w:r>
      <w:r>
        <w:rPr>
          <w:rStyle w:val="Appelnotedebasdep"/>
        </w:rPr>
        <w:footnoteReference w:id="34"/>
      </w:r>
      <w:r>
        <w:rPr>
          <w:color w:val="000000"/>
          <w:lang w:eastAsia="fr-FR" w:bidi="fr-FR"/>
        </w:rPr>
        <w:t>. Curieux en lui-</w:t>
      </w:r>
      <w:r w:rsidRPr="009C29C2">
        <w:rPr>
          <w:color w:val="000000"/>
          <w:lang w:eastAsia="fr-FR" w:bidi="fr-FR"/>
        </w:rPr>
        <w:t>même, ce dernier document a eu, par surcroît, un destin assez surprenant. Avec tout un lot de papiers d’arpenteur, il a échoué aux Archives de Seine-et-Oise, où je ne pense pas qu’aucun historien bordelais ait jamais eu l’idée d’aller le chercher. Je tenais à citer, en terminant, ce trait ; il fera sentir, mieux qu’un long discours, l’incertitude qui pèsera sur nos recherches tant que n’aura pas été constitué, archives par archives, l’inventaire général des anciens plans parcellaires français.</w:t>
      </w:r>
    </w:p>
    <w:p w14:paraId="7CD2654F" w14:textId="77777777" w:rsidR="00B9662D" w:rsidRDefault="00B9662D" w:rsidP="00B9662D">
      <w:pPr>
        <w:pStyle w:val="p"/>
      </w:pPr>
    </w:p>
    <w:p w14:paraId="2E858EF2" w14:textId="77777777" w:rsidR="00B9662D" w:rsidRDefault="00B9662D" w:rsidP="00B9662D">
      <w:pPr>
        <w:pStyle w:val="p"/>
      </w:pPr>
      <w:r w:rsidRPr="009C29C2">
        <w:br w:type="page"/>
      </w:r>
      <w:r>
        <w:lastRenderedPageBreak/>
        <w:t>[577]</w:t>
      </w:r>
    </w:p>
    <w:p w14:paraId="54C9AE82" w14:textId="77777777" w:rsidR="00B9662D" w:rsidRPr="00E07116" w:rsidRDefault="00B9662D" w:rsidP="00B9662D">
      <w:pPr>
        <w:jc w:val="both"/>
      </w:pPr>
    </w:p>
    <w:p w14:paraId="58388DD6" w14:textId="77777777" w:rsidR="00B9662D" w:rsidRDefault="00B9662D" w:rsidP="00B9662D">
      <w:pPr>
        <w:jc w:val="both"/>
      </w:pPr>
    </w:p>
    <w:p w14:paraId="0CA63811" w14:textId="77777777" w:rsidR="00B9662D" w:rsidRPr="00E07116" w:rsidRDefault="00B9662D" w:rsidP="00B9662D">
      <w:pPr>
        <w:jc w:val="both"/>
      </w:pPr>
    </w:p>
    <w:p w14:paraId="5FC1982D" w14:textId="77777777" w:rsidR="00B9662D" w:rsidRPr="00F54CC7" w:rsidRDefault="00B9662D" w:rsidP="00B9662D">
      <w:pPr>
        <w:spacing w:after="120"/>
        <w:ind w:firstLine="0"/>
        <w:jc w:val="center"/>
        <w:rPr>
          <w:sz w:val="24"/>
        </w:rPr>
      </w:pPr>
      <w:bookmarkStart w:id="7" w:name="Melanges_t2_pt_6_chap_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20F7D270"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5E50CF3A" w14:textId="77777777" w:rsidR="00B9662D" w:rsidRPr="00384B20" w:rsidRDefault="00B9662D" w:rsidP="00B9662D">
      <w:pPr>
        <w:pStyle w:val="Titreniveau1"/>
      </w:pPr>
      <w:r w:rsidRPr="00384B20">
        <w:t>Chapitre I</w:t>
      </w:r>
      <w:r>
        <w:t>I</w:t>
      </w:r>
    </w:p>
    <w:p w14:paraId="5D2ADB48" w14:textId="77777777" w:rsidR="00B9662D" w:rsidRPr="00E07116" w:rsidRDefault="00B9662D" w:rsidP="00B9662D">
      <w:pPr>
        <w:jc w:val="both"/>
        <w:rPr>
          <w:szCs w:val="36"/>
        </w:rPr>
      </w:pPr>
    </w:p>
    <w:p w14:paraId="502B329F" w14:textId="77777777" w:rsidR="00B9662D" w:rsidRPr="00E07116" w:rsidRDefault="00B9662D" w:rsidP="00B9662D">
      <w:pPr>
        <w:pStyle w:val="Titreniveau2"/>
      </w:pPr>
      <w:r>
        <w:t>LES PLANS CADASTRAUX</w:t>
      </w:r>
      <w:r>
        <w:br/>
        <w:t xml:space="preserve">DE L’ANCIEN RÉGIME </w:t>
      </w:r>
      <w:r>
        <w:rPr>
          <w:rStyle w:val="Appelnotedebasdep"/>
        </w:rPr>
        <w:footnoteReference w:id="35"/>
      </w:r>
    </w:p>
    <w:bookmarkEnd w:id="7"/>
    <w:p w14:paraId="2441D2F5" w14:textId="77777777" w:rsidR="00B9662D" w:rsidRPr="00E07116" w:rsidRDefault="00B9662D" w:rsidP="00B9662D">
      <w:pPr>
        <w:jc w:val="both"/>
        <w:rPr>
          <w:szCs w:val="36"/>
        </w:rPr>
      </w:pPr>
    </w:p>
    <w:p w14:paraId="0C46C8A4" w14:textId="77777777" w:rsidR="00B9662D" w:rsidRPr="00E07116" w:rsidRDefault="00B9662D" w:rsidP="00B9662D">
      <w:pPr>
        <w:jc w:val="both"/>
      </w:pPr>
    </w:p>
    <w:p w14:paraId="128BE192"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B59550A" w14:textId="77777777" w:rsidR="00B9662D" w:rsidRPr="009C29C2" w:rsidRDefault="00B9662D" w:rsidP="00B9662D">
      <w:pPr>
        <w:spacing w:before="120" w:after="120"/>
        <w:jc w:val="both"/>
      </w:pPr>
      <w:r w:rsidRPr="009C29C2">
        <w:rPr>
          <w:color w:val="000000"/>
          <w:lang w:eastAsia="fr-FR" w:bidi="fr-FR"/>
        </w:rPr>
        <w:t>Le mémoire sur les plans parcellaires français, que Marc Bloch a publié, en 1929</w:t>
      </w:r>
      <w:r>
        <w:rPr>
          <w:color w:val="000000"/>
          <w:lang w:eastAsia="fr-FR" w:bidi="fr-FR"/>
        </w:rPr>
        <w:t> </w:t>
      </w:r>
      <w:r>
        <w:rPr>
          <w:rStyle w:val="Appelnotedebasdep"/>
        </w:rPr>
        <w:footnoteReference w:id="36"/>
      </w:r>
      <w:r w:rsidRPr="009C29C2">
        <w:rPr>
          <w:color w:val="000000"/>
          <w:lang w:eastAsia="fr-FR" w:bidi="fr-FR"/>
        </w:rPr>
        <w:t>, appellerait aujourd’hui une sérieuse refonte. On se bornera, pour l’instant, à rectifier une erreur, qui semble particulièr</w:t>
      </w:r>
      <w:r w:rsidRPr="009C29C2">
        <w:rPr>
          <w:color w:val="000000"/>
          <w:lang w:eastAsia="fr-FR" w:bidi="fr-FR"/>
        </w:rPr>
        <w:t>e</w:t>
      </w:r>
      <w:r w:rsidRPr="009C29C2">
        <w:rPr>
          <w:color w:val="000000"/>
          <w:lang w:eastAsia="fr-FR" w:bidi="fr-FR"/>
        </w:rPr>
        <w:t>ment grave : car elle risque de dissimuler aux travailleurs l’existence de documents dont ils ont beaucoup à attendre.</w:t>
      </w:r>
    </w:p>
    <w:p w14:paraId="4D20208C" w14:textId="77777777" w:rsidR="00B9662D" w:rsidRDefault="00B9662D" w:rsidP="00B9662D">
      <w:pPr>
        <w:spacing w:before="120" w:after="120"/>
        <w:jc w:val="both"/>
        <w:rPr>
          <w:color w:val="000000"/>
          <w:lang w:eastAsia="fr-FR" w:bidi="fr-FR"/>
        </w:rPr>
      </w:pPr>
      <w:r>
        <w:rPr>
          <w:color w:val="000000"/>
          <w:lang w:eastAsia="fr-FR" w:bidi="fr-FR"/>
        </w:rPr>
        <w:t>À</w:t>
      </w:r>
      <w:r w:rsidRPr="009C29C2">
        <w:rPr>
          <w:color w:val="000000"/>
          <w:lang w:eastAsia="fr-FR" w:bidi="fr-FR"/>
        </w:rPr>
        <w:t xml:space="preserve"> la page 571 du mémoire cité, se lit l’affirmation suivante : « Les tentatives de cadastre fiscal esquissées, à plusieurs reprises, par l’Ancien Régime, ne semblent pas avoir comporté l’établissement de levés topographiques. » Or, cela est faux. L’Ancien Régime a eu, bel et bien, ses plans fiscaux, et de plus d’une sorte.</w:t>
      </w:r>
    </w:p>
    <w:p w14:paraId="648D7260" w14:textId="77777777" w:rsidR="00B9662D" w:rsidRPr="009C29C2" w:rsidRDefault="00B9662D" w:rsidP="00B9662D">
      <w:pPr>
        <w:spacing w:before="120" w:after="120"/>
        <w:jc w:val="both"/>
      </w:pPr>
    </w:p>
    <w:p w14:paraId="2169ACB6" w14:textId="77777777" w:rsidR="00B9662D" w:rsidRPr="009C29C2" w:rsidRDefault="00B9662D" w:rsidP="00B9662D">
      <w:pPr>
        <w:pStyle w:val="planche"/>
      </w:pPr>
      <w:bookmarkStart w:id="8" w:name="Melanges_t2_pt_6_chap_II_I"/>
      <w:r>
        <w:t>I. — </w:t>
      </w:r>
      <w:r w:rsidRPr="009C29C2">
        <w:t>Plans et compoix</w:t>
      </w:r>
    </w:p>
    <w:bookmarkEnd w:id="8"/>
    <w:p w14:paraId="6E1381CE" w14:textId="77777777" w:rsidR="00B9662D" w:rsidRDefault="00B9662D" w:rsidP="00B9662D">
      <w:pPr>
        <w:spacing w:before="120" w:after="120"/>
        <w:jc w:val="both"/>
        <w:rPr>
          <w:color w:val="000000"/>
          <w:lang w:eastAsia="fr-FR" w:bidi="fr-FR"/>
        </w:rPr>
      </w:pPr>
    </w:p>
    <w:p w14:paraId="7D67A4CF" w14:textId="77777777" w:rsidR="00B9662D" w:rsidRPr="009C29C2" w:rsidRDefault="00B9662D" w:rsidP="00B9662D">
      <w:pPr>
        <w:spacing w:before="120" w:after="120"/>
        <w:jc w:val="both"/>
      </w:pPr>
      <w:r w:rsidRPr="009C29C2">
        <w:rPr>
          <w:color w:val="000000"/>
          <w:lang w:eastAsia="fr-FR" w:bidi="fr-FR"/>
        </w:rPr>
        <w:t xml:space="preserve">D’abord, en pays de taille réelle. On le sait : en Provence et en Languedoc, la structure fiscale particulière de ces provinces amena les communautés à établir, dès la fin du Moyen </w:t>
      </w:r>
      <w:r>
        <w:rPr>
          <w:color w:val="000000"/>
          <w:lang w:eastAsia="fr-FR" w:bidi="fr-FR"/>
        </w:rPr>
        <w:t>Â</w:t>
      </w:r>
      <w:r w:rsidRPr="009C29C2">
        <w:rPr>
          <w:color w:val="000000"/>
          <w:lang w:eastAsia="fr-FR" w:bidi="fr-FR"/>
        </w:rPr>
        <w:t>ge, de véritables matr</w:t>
      </w:r>
      <w:r w:rsidRPr="009C29C2">
        <w:rPr>
          <w:color w:val="000000"/>
          <w:lang w:eastAsia="fr-FR" w:bidi="fr-FR"/>
        </w:rPr>
        <w:t>i</w:t>
      </w:r>
      <w:r w:rsidRPr="009C29C2">
        <w:rPr>
          <w:color w:val="000000"/>
          <w:lang w:eastAsia="fr-FR" w:bidi="fr-FR"/>
        </w:rPr>
        <w:t xml:space="preserve">ces cadastrales. Ce sont les « compoix », témoignages entre tous </w:t>
      </w:r>
      <w:r w:rsidRPr="009C29C2">
        <w:rPr>
          <w:color w:val="000000"/>
          <w:lang w:eastAsia="fr-FR" w:bidi="fr-FR"/>
        </w:rPr>
        <w:lastRenderedPageBreak/>
        <w:t>r</w:t>
      </w:r>
      <w:r w:rsidRPr="009C29C2">
        <w:rPr>
          <w:color w:val="000000"/>
          <w:lang w:eastAsia="fr-FR" w:bidi="fr-FR"/>
        </w:rPr>
        <w:t>i</w:t>
      </w:r>
      <w:r w:rsidRPr="009C29C2">
        <w:rPr>
          <w:color w:val="000000"/>
          <w:lang w:eastAsia="fr-FR" w:bidi="fr-FR"/>
        </w:rPr>
        <w:t>ches d’enseignements sur l’ancienne société rurale, mais qui ne pou</w:t>
      </w:r>
      <w:r w:rsidRPr="009C29C2">
        <w:rPr>
          <w:color w:val="000000"/>
          <w:lang w:eastAsia="fr-FR" w:bidi="fr-FR"/>
        </w:rPr>
        <w:t>r</w:t>
      </w:r>
      <w:r w:rsidRPr="009C29C2">
        <w:rPr>
          <w:color w:val="000000"/>
          <w:lang w:eastAsia="fr-FR" w:bidi="fr-FR"/>
        </w:rPr>
        <w:t>ront être utilisés à plein rendement que le jour où leur étude critique, déjà amorcée par de bons travaux, aura été poussée encore beaucoup plus avant</w:t>
      </w:r>
      <w:r>
        <w:rPr>
          <w:color w:val="000000"/>
          <w:lang w:eastAsia="fr-FR" w:bidi="fr-FR"/>
        </w:rPr>
        <w:t> </w:t>
      </w:r>
      <w:r>
        <w:rPr>
          <w:rStyle w:val="Appelnotedebasdep"/>
        </w:rPr>
        <w:footnoteReference w:id="37"/>
      </w:r>
      <w:r w:rsidRPr="009C29C2">
        <w:rPr>
          <w:color w:val="000000"/>
          <w:lang w:eastAsia="fr-FR" w:bidi="fr-FR"/>
        </w:rPr>
        <w:t>. En règle</w:t>
      </w:r>
      <w:r>
        <w:t xml:space="preserve"> </w:t>
      </w:r>
      <w:r>
        <w:rPr>
          <w:color w:val="000000"/>
          <w:lang w:eastAsia="fr-FR" w:bidi="fr-FR"/>
        </w:rPr>
        <w:t xml:space="preserve">[578] </w:t>
      </w:r>
      <w:r w:rsidRPr="009C29C2">
        <w:rPr>
          <w:color w:val="000000"/>
          <w:lang w:eastAsia="fr-FR" w:bidi="fr-FR"/>
        </w:rPr>
        <w:t>générale, les compoix, même les plus r</w:t>
      </w:r>
      <w:r w:rsidRPr="009C29C2">
        <w:rPr>
          <w:color w:val="000000"/>
          <w:lang w:eastAsia="fr-FR" w:bidi="fr-FR"/>
        </w:rPr>
        <w:t>é</w:t>
      </w:r>
      <w:r w:rsidRPr="009C29C2">
        <w:rPr>
          <w:color w:val="000000"/>
          <w:lang w:eastAsia="fr-FR" w:bidi="fr-FR"/>
        </w:rPr>
        <w:t>cents, ne s’accompagnent pas de plans. Il y a, pourtant, des exce</w:t>
      </w:r>
      <w:r w:rsidRPr="009C29C2">
        <w:rPr>
          <w:color w:val="000000"/>
          <w:lang w:eastAsia="fr-FR" w:bidi="fr-FR"/>
        </w:rPr>
        <w:t>p</w:t>
      </w:r>
      <w:r w:rsidRPr="009C29C2">
        <w:rPr>
          <w:color w:val="000000"/>
          <w:lang w:eastAsia="fr-FR" w:bidi="fr-FR"/>
        </w:rPr>
        <w:t>tions. E</w:t>
      </w:r>
      <w:r>
        <w:rPr>
          <w:color w:val="000000"/>
          <w:lang w:eastAsia="fr-FR" w:bidi="fr-FR"/>
        </w:rPr>
        <w:t>n 1787, la communauté de Saint-</w:t>
      </w:r>
      <w:r w:rsidRPr="009C29C2">
        <w:rPr>
          <w:color w:val="000000"/>
          <w:lang w:eastAsia="fr-FR" w:bidi="fr-FR"/>
        </w:rPr>
        <w:t>Geniès-des-Mourgues, au diocèse de Montpellier, procédant à la réfection de son compoix, fit en même temps les frais d’un plan parcellaire</w:t>
      </w:r>
      <w:r>
        <w:rPr>
          <w:color w:val="000000"/>
          <w:lang w:eastAsia="fr-FR" w:bidi="fr-FR"/>
        </w:rPr>
        <w:t> </w:t>
      </w:r>
      <w:r>
        <w:rPr>
          <w:rStyle w:val="Appelnotedebasdep"/>
        </w:rPr>
        <w:footnoteReference w:id="38"/>
      </w:r>
      <w:r w:rsidRPr="009C29C2">
        <w:rPr>
          <w:color w:val="000000"/>
          <w:lang w:eastAsia="fr-FR" w:bidi="fr-FR"/>
        </w:rPr>
        <w:t>. Vers la même date, celle de Saint-Jean-de-la-Blaquière, au diocèse de Lodève</w:t>
      </w:r>
      <w:r>
        <w:rPr>
          <w:color w:val="000000"/>
          <w:lang w:eastAsia="fr-FR" w:bidi="fr-FR"/>
        </w:rPr>
        <w:t> </w:t>
      </w:r>
      <w:r>
        <w:rPr>
          <w:rStyle w:val="Appelnotedebasdep"/>
        </w:rPr>
        <w:footnoteReference w:id="39"/>
      </w:r>
      <w:r w:rsidRPr="009C29C2">
        <w:rPr>
          <w:color w:val="000000"/>
          <w:lang w:eastAsia="fr-FR" w:bidi="fr-FR"/>
        </w:rPr>
        <w:t>, en fit autant. Des recherches plus approfo</w:t>
      </w:r>
      <w:r w:rsidRPr="009C29C2">
        <w:rPr>
          <w:color w:val="000000"/>
          <w:lang w:eastAsia="fr-FR" w:bidi="fr-FR"/>
        </w:rPr>
        <w:t>n</w:t>
      </w:r>
      <w:r w:rsidRPr="009C29C2">
        <w:rPr>
          <w:color w:val="000000"/>
          <w:lang w:eastAsia="fr-FR" w:bidi="fr-FR"/>
        </w:rPr>
        <w:t>dies fourniraient, probablement, d’autres exemples de cette pratique. De plus en plus communément, le « plan géométrique » passait pour l’annexe nécessaire de tout terrier seigne</w:t>
      </w:r>
      <w:r w:rsidRPr="009C29C2">
        <w:rPr>
          <w:color w:val="000000"/>
          <w:lang w:eastAsia="fr-FR" w:bidi="fr-FR"/>
        </w:rPr>
        <w:t>u</w:t>
      </w:r>
      <w:r w:rsidRPr="009C29C2">
        <w:rPr>
          <w:color w:val="000000"/>
          <w:lang w:eastAsia="fr-FR" w:bidi="fr-FR"/>
        </w:rPr>
        <w:t>rial. Ce précédent ne po</w:t>
      </w:r>
      <w:r w:rsidRPr="009C29C2">
        <w:rPr>
          <w:color w:val="000000"/>
          <w:lang w:eastAsia="fr-FR" w:bidi="fr-FR"/>
        </w:rPr>
        <w:t>u</w:t>
      </w:r>
      <w:r w:rsidRPr="009C29C2">
        <w:rPr>
          <w:color w:val="000000"/>
          <w:lang w:eastAsia="fr-FR" w:bidi="fr-FR"/>
        </w:rPr>
        <w:t>vait manquer d’être imité quelquefois par les autorités municipales, appelées, elles aussi, quoique pour d’autres fins, à inventorier des biens-fonds.</w:t>
      </w:r>
    </w:p>
    <w:p w14:paraId="0C2A8579" w14:textId="77777777" w:rsidR="00B9662D" w:rsidRDefault="00B9662D" w:rsidP="00B9662D">
      <w:pPr>
        <w:spacing w:before="120" w:after="120"/>
        <w:jc w:val="both"/>
        <w:rPr>
          <w:rStyle w:val="Corpsdutexte9105ptNonGras"/>
          <w:b w:val="0"/>
          <w:bCs w:val="0"/>
          <w:sz w:val="28"/>
          <w:lang w:val="fr-CA"/>
        </w:rPr>
      </w:pPr>
      <w:r>
        <w:rPr>
          <w:rStyle w:val="Corpsdutexte9105ptNonGras"/>
          <w:b w:val="0"/>
          <w:bCs w:val="0"/>
          <w:sz w:val="28"/>
          <w:lang w:val="fr-CA"/>
        </w:rPr>
        <w:br w:type="page"/>
      </w:r>
    </w:p>
    <w:p w14:paraId="564F3890" w14:textId="77777777" w:rsidR="00B9662D" w:rsidRPr="009C29C2" w:rsidRDefault="00B9662D" w:rsidP="00B9662D">
      <w:pPr>
        <w:pStyle w:val="planche"/>
      </w:pPr>
      <w:bookmarkStart w:id="9" w:name="Melanges_t2_pt_6_chap_II_II"/>
      <w:r w:rsidRPr="00303D92">
        <w:t>II. — </w:t>
      </w:r>
      <w:r w:rsidRPr="009C29C2">
        <w:t>Taille « proportionnelle »</w:t>
      </w:r>
      <w:r>
        <w:br/>
      </w:r>
      <w:r w:rsidRPr="009C29C2">
        <w:t>et taille « tarifée »</w:t>
      </w:r>
    </w:p>
    <w:bookmarkEnd w:id="9"/>
    <w:p w14:paraId="3839E2B3" w14:textId="77777777" w:rsidR="00B9662D" w:rsidRDefault="00B9662D" w:rsidP="00B9662D">
      <w:pPr>
        <w:spacing w:before="120" w:after="120"/>
        <w:jc w:val="both"/>
        <w:rPr>
          <w:color w:val="000000"/>
          <w:lang w:eastAsia="fr-FR" w:bidi="fr-FR"/>
        </w:rPr>
      </w:pPr>
    </w:p>
    <w:p w14:paraId="1FBAC692"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B6084D6" w14:textId="77777777" w:rsidR="00B9662D" w:rsidRPr="009C29C2" w:rsidRDefault="00B9662D" w:rsidP="00B9662D">
      <w:pPr>
        <w:spacing w:before="120" w:after="120"/>
        <w:jc w:val="both"/>
      </w:pPr>
      <w:r w:rsidRPr="009C29C2">
        <w:rPr>
          <w:color w:val="000000"/>
          <w:lang w:eastAsia="fr-FR" w:bidi="fr-FR"/>
        </w:rPr>
        <w:t>Ce fut, cependant, dans les pays de taille personnelle que la cart</w:t>
      </w:r>
      <w:r w:rsidRPr="009C29C2">
        <w:rPr>
          <w:color w:val="000000"/>
          <w:lang w:eastAsia="fr-FR" w:bidi="fr-FR"/>
        </w:rPr>
        <w:t>o</w:t>
      </w:r>
      <w:r w:rsidRPr="009C29C2">
        <w:rPr>
          <w:color w:val="000000"/>
          <w:lang w:eastAsia="fr-FR" w:bidi="fr-FR"/>
        </w:rPr>
        <w:t xml:space="preserve">graphie fiscale prit,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son plus grand développement. </w:t>
      </w:r>
      <w:r>
        <w:rPr>
          <w:color w:val="000000"/>
          <w:lang w:eastAsia="fr-FR" w:bidi="fr-FR"/>
        </w:rPr>
        <w:t>À</w:t>
      </w:r>
      <w:r w:rsidRPr="009C29C2">
        <w:rPr>
          <w:color w:val="000000"/>
          <w:lang w:eastAsia="fr-FR" w:bidi="fr-FR"/>
        </w:rPr>
        <w:t xml:space="preserve"> vrai dire, là où l’imposition continuait d’être perçue selon les a</w:t>
      </w:r>
      <w:r w:rsidRPr="009C29C2">
        <w:rPr>
          <w:color w:val="000000"/>
          <w:lang w:eastAsia="fr-FR" w:bidi="fr-FR"/>
        </w:rPr>
        <w:t>n</w:t>
      </w:r>
      <w:r w:rsidRPr="009C29C2">
        <w:rPr>
          <w:color w:val="000000"/>
          <w:lang w:eastAsia="fr-FR" w:bidi="fr-FR"/>
        </w:rPr>
        <w:t>ciens errements, les levés eussent été bien inutiles. Partout où nous voyons entrepris un travail de cette nat</w:t>
      </w:r>
      <w:r w:rsidRPr="009C29C2">
        <w:rPr>
          <w:color w:val="000000"/>
          <w:lang w:eastAsia="fr-FR" w:bidi="fr-FR"/>
        </w:rPr>
        <w:t>u</w:t>
      </w:r>
      <w:r w:rsidRPr="009C29C2">
        <w:rPr>
          <w:color w:val="000000"/>
          <w:lang w:eastAsia="fr-FR" w:bidi="fr-FR"/>
        </w:rPr>
        <w:t>re, il nous apparaît en liaison avec l’introduction de techniques d’assiette nouvelles. Il ne sera pas superflu de chercher, d’abord, à préciser l’orientation générale de ces tentatives de réforme,</w:t>
      </w:r>
      <w:r>
        <w:rPr>
          <w:color w:val="000000"/>
          <w:lang w:eastAsia="fr-FR" w:bidi="fr-FR"/>
        </w:rPr>
        <w:t> — </w:t>
      </w:r>
      <w:r w:rsidRPr="009C29C2">
        <w:rPr>
          <w:color w:val="000000"/>
          <w:lang w:eastAsia="fr-FR" w:bidi="fr-FR"/>
        </w:rPr>
        <w:t>sans prétendre, cela va de soi, exposer dans le détail une histoire très complexe et, d’ailleurs, insuffisamment e</w:t>
      </w:r>
      <w:r w:rsidRPr="009C29C2">
        <w:rPr>
          <w:color w:val="000000"/>
          <w:lang w:eastAsia="fr-FR" w:bidi="fr-FR"/>
        </w:rPr>
        <w:t>x</w:t>
      </w:r>
      <w:r w:rsidRPr="009C29C2">
        <w:rPr>
          <w:color w:val="000000"/>
          <w:lang w:eastAsia="fr-FR" w:bidi="fr-FR"/>
        </w:rPr>
        <w:t>plorée</w:t>
      </w:r>
      <w:r>
        <w:rPr>
          <w:color w:val="000000"/>
          <w:lang w:eastAsia="fr-FR" w:bidi="fr-FR"/>
        </w:rPr>
        <w:t> </w:t>
      </w:r>
      <w:r>
        <w:rPr>
          <w:rStyle w:val="Appelnotedebasdep"/>
        </w:rPr>
        <w:footnoteReference w:id="40"/>
      </w:r>
      <w:r w:rsidRPr="009C29C2">
        <w:rPr>
          <w:color w:val="000000"/>
          <w:lang w:eastAsia="fr-FR" w:bidi="fr-FR"/>
        </w:rPr>
        <w:t>.</w:t>
      </w:r>
    </w:p>
    <w:p w14:paraId="20D4EF9E" w14:textId="77777777" w:rsidR="00B9662D" w:rsidRDefault="00B9662D" w:rsidP="00B9662D">
      <w:pPr>
        <w:pStyle w:val="c"/>
        <w:rPr>
          <w:lang w:eastAsia="fr-FR" w:bidi="fr-FR"/>
        </w:rPr>
      </w:pPr>
      <w:r>
        <w:rPr>
          <w:lang w:eastAsia="fr-FR" w:bidi="fr-FR"/>
        </w:rPr>
        <w:t>*</w:t>
      </w:r>
      <w:r>
        <w:rPr>
          <w:lang w:eastAsia="fr-FR" w:bidi="fr-FR"/>
        </w:rPr>
        <w:br/>
        <w:t>*    *</w:t>
      </w:r>
    </w:p>
    <w:p w14:paraId="23F94D21" w14:textId="77777777" w:rsidR="00B9662D" w:rsidRPr="009C29C2" w:rsidRDefault="00B9662D" w:rsidP="00B9662D">
      <w:pPr>
        <w:spacing w:before="120" w:after="120"/>
        <w:jc w:val="both"/>
      </w:pPr>
      <w:r w:rsidRPr="009C29C2">
        <w:rPr>
          <w:color w:val="000000"/>
          <w:lang w:eastAsia="fr-FR" w:bidi="fr-FR"/>
        </w:rPr>
        <w:t>Pour asseoir la taille personnelle, les asséeurs</w:t>
      </w:r>
      <w:r>
        <w:rPr>
          <w:color w:val="000000"/>
          <w:lang w:eastAsia="fr-FR" w:bidi="fr-FR"/>
        </w:rPr>
        <w:t> — </w:t>
      </w:r>
      <w:r w:rsidRPr="009C29C2">
        <w:rPr>
          <w:color w:val="000000"/>
          <w:lang w:eastAsia="fr-FR" w:bidi="fr-FR"/>
        </w:rPr>
        <w:t>généralement, depuis 1600, confondus avec les collecteurs</w:t>
      </w:r>
      <w:r>
        <w:rPr>
          <w:color w:val="000000"/>
          <w:lang w:eastAsia="fr-FR" w:bidi="fr-FR"/>
        </w:rPr>
        <w:t> — </w:t>
      </w:r>
      <w:r w:rsidRPr="009C29C2">
        <w:rPr>
          <w:color w:val="000000"/>
          <w:lang w:eastAsia="fr-FR" w:bidi="fr-FR"/>
        </w:rPr>
        <w:t xml:space="preserve">se contentaient, à l’ordinaire, de procéder à une évaluation globale et sommaire de la fortune de chaque contribuable. Sans doute, au cours des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et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siècles, une série d’édits royaux et de règlements provinciaux s’attachèrent à obtenir qu’on prît soin de rechercher et de spécifier, par écrit, les divers éléments du revenu. Ces prescriptions ne demeur</w:t>
      </w:r>
      <w:r w:rsidRPr="009C29C2">
        <w:rPr>
          <w:color w:val="000000"/>
          <w:lang w:eastAsia="fr-FR" w:bidi="fr-FR"/>
        </w:rPr>
        <w:t>è</w:t>
      </w:r>
      <w:r w:rsidRPr="009C29C2">
        <w:rPr>
          <w:color w:val="000000"/>
          <w:lang w:eastAsia="fr-FR" w:bidi="fr-FR"/>
        </w:rPr>
        <w:lastRenderedPageBreak/>
        <w:t>rent pas toujours lettre morte.</w:t>
      </w:r>
      <w:r>
        <w:t xml:space="preserve"> </w:t>
      </w:r>
      <w:r>
        <w:rPr>
          <w:color w:val="000000"/>
          <w:lang w:eastAsia="fr-FR" w:bidi="fr-FR"/>
        </w:rPr>
        <w:t xml:space="preserve">[579] </w:t>
      </w:r>
      <w:r w:rsidRPr="009C29C2">
        <w:rPr>
          <w:color w:val="000000"/>
          <w:lang w:eastAsia="fr-FR" w:bidi="fr-FR"/>
        </w:rPr>
        <w:t>Nous leur devons la présence, dans les archives, de quelques rôles exceptionnellement détaillés : s’ils vont rarement, semble-t-il, jusqu’à l’énumération des parcelles, du moins donnent-ils une image singuli</w:t>
      </w:r>
      <w:r w:rsidRPr="009C29C2">
        <w:rPr>
          <w:color w:val="000000"/>
          <w:lang w:eastAsia="fr-FR" w:bidi="fr-FR"/>
        </w:rPr>
        <w:t>è</w:t>
      </w:r>
      <w:r w:rsidRPr="009C29C2">
        <w:rPr>
          <w:color w:val="000000"/>
          <w:lang w:eastAsia="fr-FR" w:bidi="fr-FR"/>
        </w:rPr>
        <w:t>rement frappante à la fois de la répartition des fortunes et de l’état des cultures</w:t>
      </w:r>
      <w:r>
        <w:rPr>
          <w:color w:val="000000"/>
          <w:lang w:eastAsia="fr-FR" w:bidi="fr-FR"/>
        </w:rPr>
        <w:t> </w:t>
      </w:r>
      <w:r>
        <w:rPr>
          <w:rStyle w:val="Appelnotedebasdep"/>
        </w:rPr>
        <w:footnoteReference w:id="41"/>
      </w:r>
      <w:r w:rsidRPr="009C29C2">
        <w:rPr>
          <w:color w:val="000000"/>
          <w:lang w:eastAsia="fr-FR" w:bidi="fr-FR"/>
        </w:rPr>
        <w:t>. Le plus souvent, cependant, de beaucoup, les rôles de la taille se bornaient à indiquer, pour chaque cote, la somme qui devait être exigée. L’appréciation des biens, faite au jugé, n’a pas laissé de traces ; et c’est pourquoi les d</w:t>
      </w:r>
      <w:r w:rsidRPr="009C29C2">
        <w:rPr>
          <w:color w:val="000000"/>
          <w:lang w:eastAsia="fr-FR" w:bidi="fr-FR"/>
        </w:rPr>
        <w:t>o</w:t>
      </w:r>
      <w:r w:rsidRPr="009C29C2">
        <w:rPr>
          <w:color w:val="000000"/>
          <w:lang w:eastAsia="fr-FR" w:bidi="fr-FR"/>
        </w:rPr>
        <w:t>cuments de ce type sont à peu près in</w:t>
      </w:r>
      <w:r w:rsidRPr="009C29C2">
        <w:rPr>
          <w:color w:val="000000"/>
          <w:lang w:eastAsia="fr-FR" w:bidi="fr-FR"/>
        </w:rPr>
        <w:t>u</w:t>
      </w:r>
      <w:r w:rsidRPr="009C29C2">
        <w:rPr>
          <w:color w:val="000000"/>
          <w:lang w:eastAsia="fr-FR" w:bidi="fr-FR"/>
        </w:rPr>
        <w:t>tiles à l’histoire rurale.</w:t>
      </w:r>
    </w:p>
    <w:p w14:paraId="2E109E77" w14:textId="77777777" w:rsidR="00B9662D" w:rsidRPr="009C29C2" w:rsidRDefault="00B9662D" w:rsidP="00B9662D">
      <w:pPr>
        <w:spacing w:before="120" w:after="120"/>
        <w:jc w:val="both"/>
      </w:pPr>
      <w:r w:rsidRPr="009C29C2">
        <w:rPr>
          <w:color w:val="000000"/>
          <w:lang w:eastAsia="fr-FR" w:bidi="fr-FR"/>
        </w:rPr>
        <w:t>Les vices d’une pareille méthode sautaient aux yeux. Elle ne pr</w:t>
      </w:r>
      <w:r w:rsidRPr="009C29C2">
        <w:rPr>
          <w:color w:val="000000"/>
          <w:lang w:eastAsia="fr-FR" w:bidi="fr-FR"/>
        </w:rPr>
        <w:t>ê</w:t>
      </w:r>
      <w:r w:rsidRPr="009C29C2">
        <w:rPr>
          <w:color w:val="000000"/>
          <w:lang w:eastAsia="fr-FR" w:bidi="fr-FR"/>
        </w:rPr>
        <w:t xml:space="preserve">tait pas seulement aux pires injustices. Elle compromettait, de la façon la plus grave, les intérêts du fisc. Durant tout le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le projet d’un « cadastre général » du Royaume ne cessa d’être agité par les administrateurs et les publicistes. Il faillit prendre corps, en 1763, sous le ministère de Bertin, c’est-à-dire, proprement, vers l’apogée du de</w:t>
      </w:r>
      <w:r w:rsidRPr="009C29C2">
        <w:rPr>
          <w:color w:val="000000"/>
          <w:lang w:eastAsia="fr-FR" w:bidi="fr-FR"/>
        </w:rPr>
        <w:t>s</w:t>
      </w:r>
      <w:r w:rsidRPr="009C29C2">
        <w:rPr>
          <w:color w:val="000000"/>
          <w:lang w:eastAsia="fr-FR" w:bidi="fr-FR"/>
        </w:rPr>
        <w:t>potisme éclairé français. Le « cadastre » alors envisagé devait, d’ailleurs, comporter simplement le « dénombrement » et « l’estimation » des biens, par écrit. L’établissement de plans n’était pas prévu. La tentative échoua. L’hostilité des parlementaires et, plus généralement, la faiblesse latente qui minait tout l’appareil gouvern</w:t>
      </w:r>
      <w:r w:rsidRPr="009C29C2">
        <w:rPr>
          <w:color w:val="000000"/>
          <w:lang w:eastAsia="fr-FR" w:bidi="fr-FR"/>
        </w:rPr>
        <w:t>e</w:t>
      </w:r>
      <w:r w:rsidRPr="009C29C2">
        <w:rPr>
          <w:color w:val="000000"/>
          <w:lang w:eastAsia="fr-FR" w:bidi="fr-FR"/>
        </w:rPr>
        <w:t>mental et dont les résistances des Cours n’étaient qu’un des sympt</w:t>
      </w:r>
      <w:r w:rsidRPr="009C29C2">
        <w:rPr>
          <w:color w:val="000000"/>
          <w:lang w:eastAsia="fr-FR" w:bidi="fr-FR"/>
        </w:rPr>
        <w:t>ô</w:t>
      </w:r>
      <w:r w:rsidRPr="009C29C2">
        <w:rPr>
          <w:color w:val="000000"/>
          <w:lang w:eastAsia="fr-FR" w:bidi="fr-FR"/>
        </w:rPr>
        <w:t>mes, ne permirent même pas, semble-t-il, un commencement d’exécution</w:t>
      </w:r>
      <w:r>
        <w:rPr>
          <w:color w:val="000000"/>
          <w:lang w:eastAsia="fr-FR" w:bidi="fr-FR"/>
        </w:rPr>
        <w:t> </w:t>
      </w:r>
      <w:r>
        <w:rPr>
          <w:rStyle w:val="Appelnotedebasdep"/>
        </w:rPr>
        <w:footnoteReference w:id="42"/>
      </w:r>
      <w:r w:rsidRPr="009C29C2">
        <w:rPr>
          <w:color w:val="000000"/>
          <w:lang w:eastAsia="fr-FR" w:bidi="fr-FR"/>
        </w:rPr>
        <w:t>.</w:t>
      </w:r>
    </w:p>
    <w:p w14:paraId="4E9C0CE7" w14:textId="77777777" w:rsidR="00B9662D" w:rsidRPr="009C29C2" w:rsidRDefault="00B9662D" w:rsidP="00B9662D">
      <w:pPr>
        <w:spacing w:before="120" w:after="120"/>
        <w:jc w:val="both"/>
      </w:pPr>
      <w:r w:rsidRPr="009C29C2">
        <w:rPr>
          <w:color w:val="000000"/>
          <w:lang w:eastAsia="fr-FR" w:bidi="fr-FR"/>
        </w:rPr>
        <w:t>Mais déjà, à cette date, des procédés de perception plus perfectio</w:t>
      </w:r>
      <w:r w:rsidRPr="009C29C2">
        <w:rPr>
          <w:color w:val="000000"/>
          <w:lang w:eastAsia="fr-FR" w:bidi="fr-FR"/>
        </w:rPr>
        <w:t>n</w:t>
      </w:r>
      <w:r w:rsidRPr="009C29C2">
        <w:rPr>
          <w:color w:val="000000"/>
          <w:lang w:eastAsia="fr-FR" w:bidi="fr-FR"/>
        </w:rPr>
        <w:t>nés que les anciens avaient, çà et là, fait leur apparition : « taille pr</w:t>
      </w:r>
      <w:r w:rsidRPr="009C29C2">
        <w:rPr>
          <w:color w:val="000000"/>
          <w:lang w:eastAsia="fr-FR" w:bidi="fr-FR"/>
        </w:rPr>
        <w:t>o</w:t>
      </w:r>
      <w:r w:rsidRPr="009C29C2">
        <w:rPr>
          <w:color w:val="000000"/>
          <w:lang w:eastAsia="fr-FR" w:bidi="fr-FR"/>
        </w:rPr>
        <w:t>portionnelle » et « taille tarifée ».</w:t>
      </w:r>
    </w:p>
    <w:p w14:paraId="53A7D34E" w14:textId="77777777" w:rsidR="00B9662D" w:rsidRPr="009C29C2" w:rsidRDefault="00B9662D" w:rsidP="00B9662D">
      <w:pPr>
        <w:spacing w:before="120" w:after="120"/>
        <w:jc w:val="both"/>
      </w:pPr>
      <w:r w:rsidRPr="009C29C2">
        <w:rPr>
          <w:color w:val="000000"/>
          <w:lang w:eastAsia="fr-FR" w:bidi="fr-FR"/>
        </w:rPr>
        <w:lastRenderedPageBreak/>
        <w:t xml:space="preserve">Cette dernière expression a été popularisée par l’abbé de Saint-Pierre, dans un écrit publié en 1723. Dans son premier </w:t>
      </w:r>
      <w:r w:rsidRPr="00546C86">
        <w:rPr>
          <w:i/>
        </w:rPr>
        <w:t>Mémoire</w:t>
      </w:r>
      <w:r w:rsidRPr="009C29C2">
        <w:rPr>
          <w:color w:val="000000"/>
          <w:lang w:eastAsia="fr-FR" w:bidi="fr-FR"/>
        </w:rPr>
        <w:t xml:space="preserve">, en 1717, il ne parlait encore que de « taille proportionnelle ». Dès le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les deux épithètes semblent avoir été quelque</w:t>
      </w:r>
      <w:r>
        <w:rPr>
          <w:color w:val="000000"/>
          <w:lang w:eastAsia="fr-FR" w:bidi="fr-FR"/>
        </w:rPr>
        <w:t>fois prises à peu près indiffé</w:t>
      </w:r>
      <w:r w:rsidRPr="009C29C2">
        <w:rPr>
          <w:color w:val="000000"/>
          <w:lang w:eastAsia="fr-FR" w:bidi="fr-FR"/>
        </w:rPr>
        <w:t>remment l’une pour l’autre ; les historiens, de nos jours, les ont presque unanimement confondues. Il s’en fallait de beaucoup, cependant, qu’elles fussent exactement synonymes. La tai</w:t>
      </w:r>
      <w:r w:rsidRPr="009C29C2">
        <w:rPr>
          <w:color w:val="000000"/>
          <w:lang w:eastAsia="fr-FR" w:bidi="fr-FR"/>
        </w:rPr>
        <w:t>l</w:t>
      </w:r>
      <w:r w:rsidRPr="009C29C2">
        <w:rPr>
          <w:color w:val="000000"/>
          <w:lang w:eastAsia="fr-FR" w:bidi="fr-FR"/>
        </w:rPr>
        <w:t>le « tarifée » ne représentait, en somme, qu’une application particuli</w:t>
      </w:r>
      <w:r w:rsidRPr="009C29C2">
        <w:rPr>
          <w:color w:val="000000"/>
          <w:lang w:eastAsia="fr-FR" w:bidi="fr-FR"/>
        </w:rPr>
        <w:t>è</w:t>
      </w:r>
      <w:r w:rsidRPr="009C29C2">
        <w:rPr>
          <w:color w:val="000000"/>
          <w:lang w:eastAsia="fr-FR" w:bidi="fr-FR"/>
        </w:rPr>
        <w:t>re de la taille « proportionnelle ».</w:t>
      </w:r>
    </w:p>
    <w:p w14:paraId="68624BEC" w14:textId="77777777" w:rsidR="00B9662D" w:rsidRPr="009C29C2" w:rsidRDefault="00B9662D" w:rsidP="00B9662D">
      <w:pPr>
        <w:spacing w:before="120" w:after="120"/>
        <w:jc w:val="both"/>
      </w:pPr>
      <w:r w:rsidRPr="009C29C2">
        <w:rPr>
          <w:color w:val="000000"/>
          <w:lang w:eastAsia="fr-FR" w:bidi="fr-FR"/>
        </w:rPr>
        <w:t>De part et d’autre, les règles fondamentales d’imposition deme</w:t>
      </w:r>
      <w:r w:rsidRPr="009C29C2">
        <w:rPr>
          <w:color w:val="000000"/>
          <w:lang w:eastAsia="fr-FR" w:bidi="fr-FR"/>
        </w:rPr>
        <w:t>u</w:t>
      </w:r>
      <w:r w:rsidRPr="009C29C2">
        <w:rPr>
          <w:color w:val="000000"/>
          <w:lang w:eastAsia="fr-FR" w:bidi="fr-FR"/>
        </w:rPr>
        <w:t>raient celles de la vieille taille personnelle. Rien, notamment, n’était touché aux privilèges d’exemption. La réforme portait, uniquement, sur l’assiette de l’impôt. Les ressources de chaque contribuable d</w:t>
      </w:r>
      <w:r w:rsidRPr="009C29C2">
        <w:rPr>
          <w:color w:val="000000"/>
          <w:lang w:eastAsia="fr-FR" w:bidi="fr-FR"/>
        </w:rPr>
        <w:t>e</w:t>
      </w:r>
      <w:r w:rsidRPr="009C29C2">
        <w:rPr>
          <w:color w:val="000000"/>
          <w:lang w:eastAsia="fr-FR" w:bidi="fr-FR"/>
        </w:rPr>
        <w:t>vaient être, désormais, exactement recensées et appréciées. Ainsi la taille serait, à l’avenir, véritablement « proportionnelle » aux fortunes. Tel était le premier principe du nouveau système et le plus général.</w:t>
      </w:r>
    </w:p>
    <w:p w14:paraId="1E078EDA" w14:textId="77777777" w:rsidR="00B9662D" w:rsidRPr="009C29C2" w:rsidRDefault="00B9662D" w:rsidP="00B9662D">
      <w:pPr>
        <w:spacing w:before="120" w:after="120"/>
        <w:jc w:val="both"/>
      </w:pPr>
      <w:r w:rsidRPr="009C29C2">
        <w:rPr>
          <w:color w:val="000000"/>
          <w:lang w:eastAsia="fr-FR" w:bidi="fr-FR"/>
        </w:rPr>
        <w:t>Restait cependant à faciliter le calcul de cette juste proportion. Pour</w:t>
      </w:r>
      <w:r>
        <w:t xml:space="preserve"> </w:t>
      </w:r>
      <w:r>
        <w:rPr>
          <w:color w:val="000000"/>
          <w:lang w:eastAsia="fr-FR" w:bidi="fr-FR"/>
        </w:rPr>
        <w:t xml:space="preserve">[580] </w:t>
      </w:r>
      <w:r w:rsidRPr="009C29C2">
        <w:rPr>
          <w:color w:val="000000"/>
          <w:lang w:eastAsia="fr-FR" w:bidi="fr-FR"/>
        </w:rPr>
        <w:t>cela les pays de taille réelle offraient un excellent modèle. Les compoix, traditionnellement, rangeaient les biens-fonds, d’abord répartis par natures de culture, en un certain nombre de classes, de valeur décroissante. Les terres, par exemple, ou les prairies, ou les ol</w:t>
      </w:r>
      <w:r w:rsidRPr="009C29C2">
        <w:rPr>
          <w:color w:val="000000"/>
          <w:lang w:eastAsia="fr-FR" w:bidi="fr-FR"/>
        </w:rPr>
        <w:t>i</w:t>
      </w:r>
      <w:r w:rsidRPr="009C29C2">
        <w:rPr>
          <w:color w:val="000000"/>
          <w:lang w:eastAsia="fr-FR" w:bidi="fr-FR"/>
        </w:rPr>
        <w:t xml:space="preserve">vettes avaient ainsi, chacune, leur échelle propre. </w:t>
      </w:r>
      <w:r>
        <w:rPr>
          <w:color w:val="000000"/>
          <w:lang w:eastAsia="fr-FR" w:bidi="fr-FR"/>
        </w:rPr>
        <w:t>À</w:t>
      </w:r>
      <w:r w:rsidRPr="009C29C2">
        <w:rPr>
          <w:color w:val="000000"/>
          <w:lang w:eastAsia="fr-FR" w:bidi="fr-FR"/>
        </w:rPr>
        <w:t xml:space="preserve"> l’intérieur de chaque « degré », l’unité de superficie était frappée d’une taxe un</w:t>
      </w:r>
      <w:r w:rsidRPr="009C29C2">
        <w:rPr>
          <w:color w:val="000000"/>
          <w:lang w:eastAsia="fr-FR" w:bidi="fr-FR"/>
        </w:rPr>
        <w:t>i</w:t>
      </w:r>
      <w:r w:rsidRPr="009C29C2">
        <w:rPr>
          <w:color w:val="000000"/>
          <w:lang w:eastAsia="fr-FR" w:bidi="fr-FR"/>
        </w:rPr>
        <w:t>forme. L’idée de ce barème parut pratique. Sous le nom de « tarif », il fut souvent imité dans les provinces où avait été introduite la taille réfo</w:t>
      </w:r>
      <w:r w:rsidRPr="009C29C2">
        <w:rPr>
          <w:color w:val="000000"/>
          <w:lang w:eastAsia="fr-FR" w:bidi="fr-FR"/>
        </w:rPr>
        <w:t>r</w:t>
      </w:r>
      <w:r w:rsidRPr="009C29C2">
        <w:rPr>
          <w:color w:val="000000"/>
          <w:lang w:eastAsia="fr-FR" w:bidi="fr-FR"/>
        </w:rPr>
        <w:t>mée. Celle-ci, en pareil cas, n’était plus dite seulement « proportionnelle ». Elle était aussi « tarifée »</w:t>
      </w:r>
      <w:r>
        <w:rPr>
          <w:color w:val="000000"/>
          <w:lang w:eastAsia="fr-FR" w:bidi="fr-FR"/>
        </w:rPr>
        <w:t> </w:t>
      </w:r>
      <w:r>
        <w:rPr>
          <w:rStyle w:val="Appelnotedebasdep"/>
        </w:rPr>
        <w:footnoteReference w:id="43"/>
      </w:r>
      <w:r>
        <w:rPr>
          <w:color w:val="000000"/>
          <w:lang w:eastAsia="fr-FR" w:bidi="fr-FR"/>
        </w:rPr>
        <w:t>.</w:t>
      </w:r>
      <w:r w:rsidRPr="009C29C2">
        <w:rPr>
          <w:color w:val="000000"/>
          <w:lang w:eastAsia="fr-FR" w:bidi="fr-FR"/>
        </w:rPr>
        <w:t xml:space="preserve"> Mais la méthode du tarif </w:t>
      </w:r>
      <w:r w:rsidRPr="009C29C2">
        <w:rPr>
          <w:color w:val="000000"/>
          <w:lang w:eastAsia="fr-FR" w:bidi="fr-FR"/>
        </w:rPr>
        <w:lastRenderedPageBreak/>
        <w:t>pouvait paraître, en somme, assez grossière. Nous verrons qu’elle fut parfois abandonnée, après coup, sans que l’on renonçât pour cela, bien au contraire, à la proportionnalité de l’impôt.</w:t>
      </w:r>
    </w:p>
    <w:p w14:paraId="23000D2D" w14:textId="77777777" w:rsidR="00B9662D" w:rsidRDefault="00B9662D" w:rsidP="00B9662D">
      <w:pPr>
        <w:pStyle w:val="c"/>
        <w:rPr>
          <w:lang w:eastAsia="fr-FR" w:bidi="fr-FR"/>
        </w:rPr>
      </w:pPr>
      <w:r>
        <w:rPr>
          <w:lang w:eastAsia="fr-FR" w:bidi="fr-FR"/>
        </w:rPr>
        <w:t>*</w:t>
      </w:r>
      <w:r>
        <w:rPr>
          <w:lang w:eastAsia="fr-FR" w:bidi="fr-FR"/>
        </w:rPr>
        <w:br/>
        <w:t>*     *</w:t>
      </w:r>
    </w:p>
    <w:p w14:paraId="540631DE" w14:textId="77777777" w:rsidR="00B9662D" w:rsidRPr="009C29C2" w:rsidRDefault="00B9662D" w:rsidP="00B9662D">
      <w:pPr>
        <w:spacing w:before="120" w:after="120"/>
        <w:jc w:val="both"/>
      </w:pPr>
      <w:r w:rsidRPr="009C29C2">
        <w:rPr>
          <w:color w:val="000000"/>
          <w:lang w:eastAsia="fr-FR" w:bidi="fr-FR"/>
        </w:rPr>
        <w:t>Dès 1716, un effort avait été tenté pour établir la taille « proportionnelle » dans le royaume tout entier, pays de taille réelle, bien entendu, mis à part. L’idée fut reprise, plusieurs fois, par la suite. Toujours, sans succès. Dans une France encore imparfaitement un</w:t>
      </w:r>
      <w:r w:rsidRPr="009C29C2">
        <w:rPr>
          <w:color w:val="000000"/>
          <w:lang w:eastAsia="fr-FR" w:bidi="fr-FR"/>
        </w:rPr>
        <w:t>i</w:t>
      </w:r>
      <w:r w:rsidRPr="009C29C2">
        <w:rPr>
          <w:color w:val="000000"/>
          <w:lang w:eastAsia="fr-FR" w:bidi="fr-FR"/>
        </w:rPr>
        <w:t>fiée, les réformes par « loi générale » se heurtaient à trop d’obstacles. Mieux valait procéder par le biais de « lois particulières » : entendez, de portée exclusivement régionale. Ainsi en usèrent, par exemple,</w:t>
      </w:r>
      <w:r>
        <w:rPr>
          <w:color w:val="000000"/>
          <w:lang w:eastAsia="fr-FR" w:bidi="fr-FR"/>
        </w:rPr>
        <w:t> — </w:t>
      </w:r>
      <w:r w:rsidRPr="009C29C2">
        <w:rPr>
          <w:color w:val="000000"/>
          <w:lang w:eastAsia="fr-FR" w:bidi="fr-FR"/>
        </w:rPr>
        <w:t>non sans avoir conçu, d’abord, des rêves plus vastes</w:t>
      </w:r>
      <w:r>
        <w:rPr>
          <w:color w:val="000000"/>
          <w:lang w:eastAsia="fr-FR" w:bidi="fr-FR"/>
        </w:rPr>
        <w:t> — </w:t>
      </w:r>
      <w:r w:rsidRPr="009C29C2">
        <w:rPr>
          <w:color w:val="000000"/>
          <w:lang w:eastAsia="fr-FR" w:bidi="fr-FR"/>
        </w:rPr>
        <w:t>les auteurs des édits, sur les clôtures et sur le partage des communaux, qui d</w:t>
      </w:r>
      <w:r w:rsidRPr="009C29C2">
        <w:rPr>
          <w:color w:val="000000"/>
          <w:lang w:eastAsia="fr-FR" w:bidi="fr-FR"/>
        </w:rPr>
        <w:t>e</w:t>
      </w:r>
      <w:r w:rsidRPr="009C29C2">
        <w:rPr>
          <w:color w:val="000000"/>
          <w:lang w:eastAsia="fr-FR" w:bidi="fr-FR"/>
        </w:rPr>
        <w:t>vaient bouleverser si profondément les antiques usages champêtres. Les réformateurs de la taille, finalement, agirent de même. Çà et là, la taille « proportionnelle » et, parfois, « tarifée » se substitua progress</w:t>
      </w:r>
      <w:r w:rsidRPr="009C29C2">
        <w:rPr>
          <w:color w:val="000000"/>
          <w:lang w:eastAsia="fr-FR" w:bidi="fr-FR"/>
        </w:rPr>
        <w:t>i</w:t>
      </w:r>
      <w:r w:rsidRPr="009C29C2">
        <w:rPr>
          <w:color w:val="000000"/>
          <w:lang w:eastAsia="fr-FR" w:bidi="fr-FR"/>
        </w:rPr>
        <w:t>vement aux anciens modes d’assiette : non, d’ailleurs, sans quelques retours en arrière. Ordinairement, on choisissait, pour cela, une gén</w:t>
      </w:r>
      <w:r w:rsidRPr="009C29C2">
        <w:rPr>
          <w:color w:val="000000"/>
          <w:lang w:eastAsia="fr-FR" w:bidi="fr-FR"/>
        </w:rPr>
        <w:t>é</w:t>
      </w:r>
      <w:r w:rsidRPr="009C29C2">
        <w:rPr>
          <w:color w:val="000000"/>
          <w:lang w:eastAsia="fr-FR" w:bidi="fr-FR"/>
        </w:rPr>
        <w:t>ralité ; à l’intérieur de la circonscription les communautés étaient, les unes après les autres, cadastrées, sans que, cependant, le plus souvent, la réforme parvînt jamais à les atteindre toutes. Ailleurs, comme en Bourgogne, c’était un village isolé qui servait de terrain d’expérience</w:t>
      </w:r>
      <w:r>
        <w:rPr>
          <w:color w:val="000000"/>
          <w:lang w:eastAsia="fr-FR" w:bidi="fr-FR"/>
        </w:rPr>
        <w:t> </w:t>
      </w:r>
      <w:r>
        <w:rPr>
          <w:rStyle w:val="Appelnotedebasdep"/>
        </w:rPr>
        <w:footnoteReference w:id="44"/>
      </w:r>
      <w:r w:rsidRPr="009C29C2">
        <w:rPr>
          <w:color w:val="000000"/>
          <w:lang w:eastAsia="fr-FR" w:bidi="fr-FR"/>
        </w:rPr>
        <w:t>. Autour de ces îlots de nouveautés, grands ou petits, les méthodes traditionnelles continuaient de régner.</w:t>
      </w:r>
    </w:p>
    <w:p w14:paraId="0CB3E62C" w14:textId="77777777" w:rsidR="00B9662D" w:rsidRDefault="00B9662D" w:rsidP="00B9662D">
      <w:pPr>
        <w:spacing w:before="120" w:after="120"/>
        <w:jc w:val="both"/>
        <w:rPr>
          <w:color w:val="000000"/>
          <w:lang w:eastAsia="fr-FR" w:bidi="fr-FR"/>
        </w:rPr>
      </w:pPr>
      <w:r w:rsidRPr="009C29C2">
        <w:rPr>
          <w:color w:val="000000"/>
          <w:lang w:eastAsia="fr-FR" w:bidi="fr-FR"/>
        </w:rPr>
        <w:t>La taille proportionnelle n’imposait pas nécessairement la confe</w:t>
      </w:r>
      <w:r w:rsidRPr="009C29C2">
        <w:rPr>
          <w:color w:val="000000"/>
          <w:lang w:eastAsia="fr-FR" w:bidi="fr-FR"/>
        </w:rPr>
        <w:t>c</w:t>
      </w:r>
      <w:r w:rsidRPr="009C29C2">
        <w:rPr>
          <w:color w:val="000000"/>
          <w:lang w:eastAsia="fr-FR" w:bidi="fr-FR"/>
        </w:rPr>
        <w:t>tion de plans. Mais elle y conduisait par une conséquence presque n</w:t>
      </w:r>
      <w:r w:rsidRPr="009C29C2">
        <w:rPr>
          <w:color w:val="000000"/>
          <w:lang w:eastAsia="fr-FR" w:bidi="fr-FR"/>
        </w:rPr>
        <w:t>a</w:t>
      </w:r>
      <w:r w:rsidRPr="009C29C2">
        <w:rPr>
          <w:color w:val="000000"/>
          <w:lang w:eastAsia="fr-FR" w:bidi="fr-FR"/>
        </w:rPr>
        <w:t>turelle.</w:t>
      </w:r>
      <w:r>
        <w:rPr>
          <w:color w:val="000000"/>
          <w:lang w:eastAsia="fr-FR" w:bidi="fr-FR"/>
        </w:rPr>
        <w:t xml:space="preserve"> [581] </w:t>
      </w:r>
      <w:r w:rsidRPr="009C29C2">
        <w:rPr>
          <w:color w:val="000000"/>
          <w:lang w:eastAsia="fr-FR" w:bidi="fr-FR"/>
        </w:rPr>
        <w:t>Probablement, des études poursuivies avec méthode dans les divers lieux où la réforme de l’assiette fut, tour à tour, appl</w:t>
      </w:r>
      <w:r w:rsidRPr="009C29C2">
        <w:rPr>
          <w:color w:val="000000"/>
          <w:lang w:eastAsia="fr-FR" w:bidi="fr-FR"/>
        </w:rPr>
        <w:t>i</w:t>
      </w:r>
      <w:r w:rsidRPr="009C29C2">
        <w:rPr>
          <w:color w:val="000000"/>
          <w:lang w:eastAsia="fr-FR" w:bidi="fr-FR"/>
        </w:rPr>
        <w:lastRenderedPageBreak/>
        <w:t>quée mettraient sur la trace de ces travaux cartographiques. Trois g</w:t>
      </w:r>
      <w:r w:rsidRPr="009C29C2">
        <w:rPr>
          <w:color w:val="000000"/>
          <w:lang w:eastAsia="fr-FR" w:bidi="fr-FR"/>
        </w:rPr>
        <w:t>é</w:t>
      </w:r>
      <w:r w:rsidRPr="009C29C2">
        <w:rPr>
          <w:color w:val="000000"/>
          <w:lang w:eastAsia="fr-FR" w:bidi="fr-FR"/>
        </w:rPr>
        <w:t>néralités seulement retiendront ici, d’ailleurs inégalement, notre atte</w:t>
      </w:r>
      <w:r w:rsidRPr="009C29C2">
        <w:rPr>
          <w:color w:val="000000"/>
          <w:lang w:eastAsia="fr-FR" w:bidi="fr-FR"/>
        </w:rPr>
        <w:t>n</w:t>
      </w:r>
      <w:r w:rsidRPr="009C29C2">
        <w:rPr>
          <w:color w:val="000000"/>
          <w:lang w:eastAsia="fr-FR" w:bidi="fr-FR"/>
        </w:rPr>
        <w:t>tion : celles de Limoges, de Riom et de Paris.</w:t>
      </w:r>
    </w:p>
    <w:p w14:paraId="6C91D543" w14:textId="77777777" w:rsidR="00B9662D" w:rsidRPr="009C29C2" w:rsidRDefault="00B9662D" w:rsidP="00B9662D">
      <w:pPr>
        <w:spacing w:before="120" w:after="120"/>
        <w:jc w:val="both"/>
      </w:pPr>
    </w:p>
    <w:p w14:paraId="31AF5CC8" w14:textId="77777777" w:rsidR="00B9662D" w:rsidRPr="00B83838" w:rsidRDefault="00B9662D" w:rsidP="00B9662D">
      <w:pPr>
        <w:pStyle w:val="planche"/>
      </w:pPr>
      <w:bookmarkStart w:id="10" w:name="Melanges_t2_pt_6_chap_II_III"/>
      <w:r w:rsidRPr="00303D92">
        <w:t>III. — </w:t>
      </w:r>
      <w:r w:rsidRPr="009C29C2">
        <w:t>Taille « abonnée » et plans</w:t>
      </w:r>
      <w:r>
        <w:br/>
      </w:r>
      <w:r w:rsidRPr="009C29C2">
        <w:t>dans la généralité</w:t>
      </w:r>
      <w:r>
        <w:t xml:space="preserve"> </w:t>
      </w:r>
      <w:r w:rsidRPr="00B83838">
        <w:t>de Limoges</w:t>
      </w:r>
    </w:p>
    <w:bookmarkEnd w:id="10"/>
    <w:p w14:paraId="2F873EA5" w14:textId="77777777" w:rsidR="00B9662D" w:rsidRDefault="00B9662D" w:rsidP="00B9662D">
      <w:pPr>
        <w:spacing w:before="120" w:after="120"/>
        <w:jc w:val="both"/>
        <w:rPr>
          <w:color w:val="000000"/>
          <w:lang w:eastAsia="fr-FR" w:bidi="fr-FR"/>
        </w:rPr>
      </w:pPr>
    </w:p>
    <w:p w14:paraId="727B1F8C"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7876355E" w14:textId="77777777" w:rsidR="00B9662D" w:rsidRPr="009C29C2" w:rsidRDefault="00B9662D" w:rsidP="00B9662D">
      <w:pPr>
        <w:spacing w:before="120" w:after="120"/>
        <w:jc w:val="both"/>
      </w:pPr>
      <w:r w:rsidRPr="009C29C2">
        <w:rPr>
          <w:color w:val="000000"/>
          <w:lang w:eastAsia="fr-FR" w:bidi="fr-FR"/>
        </w:rPr>
        <w:t>Tous les témoignages s’accordent à faire remonter à Tourny, qui fut intendant de 1730 à 1743, les premiers essais de taille proportio</w:t>
      </w:r>
      <w:r w:rsidRPr="009C29C2">
        <w:rPr>
          <w:color w:val="000000"/>
          <w:lang w:eastAsia="fr-FR" w:bidi="fr-FR"/>
        </w:rPr>
        <w:t>n</w:t>
      </w:r>
      <w:r w:rsidRPr="009C29C2">
        <w:rPr>
          <w:color w:val="000000"/>
          <w:lang w:eastAsia="fr-FR" w:bidi="fr-FR"/>
        </w:rPr>
        <w:t>nelle dans la généralité de Limoges</w:t>
      </w:r>
      <w:r>
        <w:rPr>
          <w:color w:val="000000"/>
          <w:lang w:eastAsia="fr-FR" w:bidi="fr-FR"/>
        </w:rPr>
        <w:t> </w:t>
      </w:r>
      <w:r>
        <w:rPr>
          <w:rStyle w:val="Appelnotedebasdep"/>
        </w:rPr>
        <w:footnoteReference w:id="45"/>
      </w:r>
      <w:r w:rsidRPr="009C29C2">
        <w:rPr>
          <w:color w:val="000000"/>
          <w:lang w:eastAsia="fr-FR" w:bidi="fr-FR"/>
        </w:rPr>
        <w:t>. Mais, dès son administration, on vit se succéder deux procédés différents.</w:t>
      </w:r>
    </w:p>
    <w:p w14:paraId="69EA4C8F" w14:textId="77777777" w:rsidR="00B9662D" w:rsidRPr="009C29C2" w:rsidRDefault="00B9662D" w:rsidP="00B9662D">
      <w:pPr>
        <w:spacing w:before="120" w:after="120"/>
        <w:jc w:val="both"/>
      </w:pPr>
      <w:r w:rsidRPr="009C29C2">
        <w:rPr>
          <w:color w:val="000000"/>
          <w:lang w:eastAsia="fr-FR" w:bidi="fr-FR"/>
        </w:rPr>
        <w:t xml:space="preserve">Tourny s’était d’abord contenté de </w:t>
      </w:r>
      <w:r>
        <w:rPr>
          <w:color w:val="000000"/>
          <w:lang w:eastAsia="fr-FR" w:bidi="fr-FR"/>
        </w:rPr>
        <w:t>demander aux contribuables eux-</w:t>
      </w:r>
      <w:r w:rsidRPr="009C29C2">
        <w:rPr>
          <w:color w:val="000000"/>
          <w:lang w:eastAsia="fr-FR" w:bidi="fr-FR"/>
        </w:rPr>
        <w:t>mêmes leurs déclarations. Celles-ci ne comportaient pas seul</w:t>
      </w:r>
      <w:r w:rsidRPr="009C29C2">
        <w:rPr>
          <w:color w:val="000000"/>
          <w:lang w:eastAsia="fr-FR" w:bidi="fr-FR"/>
        </w:rPr>
        <w:t>e</w:t>
      </w:r>
      <w:r w:rsidRPr="009C29C2">
        <w:rPr>
          <w:color w:val="000000"/>
          <w:lang w:eastAsia="fr-FR" w:bidi="fr-FR"/>
        </w:rPr>
        <w:t>ment un état détaillé des biens-fonds. Le déclarant indiquait, en outre, pour chaque parcelle, la classe dans laquelle elle devait être rangée, d’après son revenu. On distinguait, dans chaque nature de culture, deux classes, au moins ; trois au plus. C’était peu, par comparaison avec la gradation, beaucoup plus poussée, des compoix langued</w:t>
      </w:r>
      <w:r w:rsidRPr="009C29C2">
        <w:rPr>
          <w:color w:val="000000"/>
          <w:lang w:eastAsia="fr-FR" w:bidi="fr-FR"/>
        </w:rPr>
        <w:t>o</w:t>
      </w:r>
      <w:r w:rsidRPr="009C29C2">
        <w:rPr>
          <w:color w:val="000000"/>
          <w:lang w:eastAsia="fr-FR" w:bidi="fr-FR"/>
        </w:rPr>
        <w:t>ciens. L’administration n’intervenait ensuite que pour fixer, comm</w:t>
      </w:r>
      <w:r w:rsidRPr="009C29C2">
        <w:rPr>
          <w:color w:val="000000"/>
          <w:lang w:eastAsia="fr-FR" w:bidi="fr-FR"/>
        </w:rPr>
        <w:t>u</w:t>
      </w:r>
      <w:r w:rsidRPr="009C29C2">
        <w:rPr>
          <w:color w:val="000000"/>
          <w:lang w:eastAsia="fr-FR" w:bidi="fr-FR"/>
        </w:rPr>
        <w:t>nauté par communauté, la valeur cadastrale de chaque classe. Les d</w:t>
      </w:r>
      <w:r w:rsidRPr="009C29C2">
        <w:rPr>
          <w:color w:val="000000"/>
          <w:lang w:eastAsia="fr-FR" w:bidi="fr-FR"/>
        </w:rPr>
        <w:t>é</w:t>
      </w:r>
      <w:r w:rsidRPr="009C29C2">
        <w:rPr>
          <w:color w:val="000000"/>
          <w:lang w:eastAsia="fr-FR" w:bidi="fr-FR"/>
        </w:rPr>
        <w:t>clarations servaient de base aux rôles, qui étaient donc, proprement, « faits par tarif ».</w:t>
      </w:r>
    </w:p>
    <w:p w14:paraId="5C87FC10" w14:textId="77777777" w:rsidR="00B9662D" w:rsidRPr="009C29C2" w:rsidRDefault="00B9662D" w:rsidP="00B9662D">
      <w:pPr>
        <w:spacing w:before="120" w:after="120"/>
        <w:jc w:val="both"/>
      </w:pPr>
      <w:r w:rsidRPr="009C29C2">
        <w:rPr>
          <w:color w:val="000000"/>
          <w:lang w:eastAsia="fr-FR" w:bidi="fr-FR"/>
        </w:rPr>
        <w:t>Comme on devait s’y attendre, ce système donna beaucoup de d</w:t>
      </w:r>
      <w:r w:rsidRPr="009C29C2">
        <w:rPr>
          <w:color w:val="000000"/>
          <w:lang w:eastAsia="fr-FR" w:bidi="fr-FR"/>
        </w:rPr>
        <w:t>é</w:t>
      </w:r>
      <w:r w:rsidRPr="009C29C2">
        <w:rPr>
          <w:color w:val="000000"/>
          <w:lang w:eastAsia="fr-FR" w:bidi="fr-FR"/>
        </w:rPr>
        <w:t>boires. Les déclarations étaient souvent inexactes ; elles étaient to</w:t>
      </w:r>
      <w:r w:rsidRPr="009C29C2">
        <w:rPr>
          <w:color w:val="000000"/>
          <w:lang w:eastAsia="fr-FR" w:bidi="fr-FR"/>
        </w:rPr>
        <w:t>u</w:t>
      </w:r>
      <w:r w:rsidRPr="009C29C2">
        <w:rPr>
          <w:color w:val="000000"/>
          <w:lang w:eastAsia="fr-FR" w:bidi="fr-FR"/>
        </w:rPr>
        <w:t>jours suspectes. Tourny, nous dit-on</w:t>
      </w:r>
      <w:r>
        <w:rPr>
          <w:color w:val="000000"/>
          <w:lang w:eastAsia="fr-FR" w:bidi="fr-FR"/>
        </w:rPr>
        <w:t> </w:t>
      </w:r>
      <w:r>
        <w:rPr>
          <w:rStyle w:val="Appelnotedebasdep"/>
        </w:rPr>
        <w:footnoteReference w:id="46"/>
      </w:r>
      <w:r w:rsidRPr="009C29C2">
        <w:rPr>
          <w:color w:val="000000"/>
          <w:lang w:eastAsia="fr-FR" w:bidi="fr-FR"/>
        </w:rPr>
        <w:t>, avait prévu ces inconvénients. Ils étaient, en vérité, à ce point manifestes qu’on a le droit de se d</w:t>
      </w:r>
      <w:r w:rsidRPr="009C29C2">
        <w:rPr>
          <w:color w:val="000000"/>
          <w:lang w:eastAsia="fr-FR" w:bidi="fr-FR"/>
        </w:rPr>
        <w:t>e</w:t>
      </w:r>
      <w:r w:rsidRPr="009C29C2">
        <w:rPr>
          <w:color w:val="000000"/>
          <w:lang w:eastAsia="fr-FR" w:bidi="fr-FR"/>
        </w:rPr>
        <w:lastRenderedPageBreak/>
        <w:t>mander si le « tarif », ainsi compris, n’avait pas été conçu, par ses in</w:t>
      </w:r>
      <w:r w:rsidRPr="009C29C2">
        <w:rPr>
          <w:color w:val="000000"/>
          <w:lang w:eastAsia="fr-FR" w:bidi="fr-FR"/>
        </w:rPr>
        <w:t>i</w:t>
      </w:r>
      <w:r w:rsidRPr="009C29C2">
        <w:rPr>
          <w:color w:val="000000"/>
          <w:lang w:eastAsia="fr-FR" w:bidi="fr-FR"/>
        </w:rPr>
        <w:t>tiateurs, avant tout comme une mesure préparatoire destinée à ouvrir la voie à une réforme plus radicale. On s’était, tant bien que mal, a</w:t>
      </w:r>
      <w:r w:rsidRPr="009C29C2">
        <w:rPr>
          <w:color w:val="000000"/>
          <w:lang w:eastAsia="fr-FR" w:bidi="fr-FR"/>
        </w:rPr>
        <w:t>c</w:t>
      </w:r>
      <w:r w:rsidRPr="009C29C2">
        <w:rPr>
          <w:color w:val="000000"/>
          <w:lang w:eastAsia="fr-FR" w:bidi="fr-FR"/>
        </w:rPr>
        <w:t>commodé des anciens abus. Un remaniement des cotes qui, par suite des fausses déclarations, aboutissait seulement à modifier la répart</w:t>
      </w:r>
      <w:r w:rsidRPr="009C29C2">
        <w:rPr>
          <w:color w:val="000000"/>
          <w:lang w:eastAsia="fr-FR" w:bidi="fr-FR"/>
        </w:rPr>
        <w:t>i</w:t>
      </w:r>
      <w:r w:rsidRPr="009C29C2">
        <w:rPr>
          <w:color w:val="000000"/>
          <w:lang w:eastAsia="fr-FR" w:bidi="fr-FR"/>
        </w:rPr>
        <w:t>tion de l’impôt, sans la rendre plus juste, parut difficilement tolérable. Que pouvaient faire, cependant, les communautés, pour ramener un peu d’équité, sinon réclamer l’établissement, par un expert, d’un a</w:t>
      </w:r>
      <w:r w:rsidRPr="009C29C2">
        <w:rPr>
          <w:color w:val="000000"/>
          <w:lang w:eastAsia="fr-FR" w:bidi="fr-FR"/>
        </w:rPr>
        <w:t>r</w:t>
      </w:r>
      <w:r w:rsidRPr="009C29C2">
        <w:rPr>
          <w:color w:val="000000"/>
          <w:lang w:eastAsia="fr-FR" w:bidi="fr-FR"/>
        </w:rPr>
        <w:t>pentement de leur terroir ? Beaucoup se décidèrent, en effet, à cette démarche. Le travail devait être, naturellement, exécuté à leurs frais. Elles n’auraient sans doute pas aussi bénévolement assumé cette lou</w:t>
      </w:r>
      <w:r w:rsidRPr="009C29C2">
        <w:rPr>
          <w:color w:val="000000"/>
          <w:lang w:eastAsia="fr-FR" w:bidi="fr-FR"/>
        </w:rPr>
        <w:t>r</w:t>
      </w:r>
      <w:r w:rsidRPr="009C29C2">
        <w:rPr>
          <w:color w:val="000000"/>
          <w:lang w:eastAsia="fr-FR" w:bidi="fr-FR"/>
        </w:rPr>
        <w:t>de dépense, si elles n’avaient eu la main en quelque sorte forcée par les criantes inégalités qu’entraînait, presque nécessairement, la pr</w:t>
      </w:r>
      <w:r w:rsidRPr="009C29C2">
        <w:rPr>
          <w:color w:val="000000"/>
          <w:lang w:eastAsia="fr-FR" w:bidi="fr-FR"/>
        </w:rPr>
        <w:t>e</w:t>
      </w:r>
      <w:r w:rsidRPr="009C29C2">
        <w:rPr>
          <w:color w:val="000000"/>
          <w:lang w:eastAsia="fr-FR" w:bidi="fr-FR"/>
        </w:rPr>
        <w:t>mière tentative de proportionnalisation de l’impôt.</w:t>
      </w:r>
    </w:p>
    <w:p w14:paraId="67DDE427" w14:textId="77777777" w:rsidR="00B9662D" w:rsidRPr="009C29C2" w:rsidRDefault="00B9662D" w:rsidP="00B9662D">
      <w:pPr>
        <w:spacing w:before="120" w:after="120"/>
        <w:jc w:val="both"/>
      </w:pPr>
      <w:r>
        <w:rPr>
          <w:color w:val="000000"/>
          <w:lang w:eastAsia="fr-FR" w:bidi="fr-FR"/>
        </w:rPr>
        <w:t>[582]</w:t>
      </w:r>
    </w:p>
    <w:p w14:paraId="46868D0D" w14:textId="77777777" w:rsidR="00B9662D" w:rsidRPr="009C29C2" w:rsidRDefault="00B9662D" w:rsidP="00B9662D">
      <w:pPr>
        <w:spacing w:before="120" w:after="120"/>
        <w:jc w:val="both"/>
      </w:pPr>
      <w:r w:rsidRPr="009C29C2">
        <w:rPr>
          <w:color w:val="000000"/>
          <w:lang w:eastAsia="fr-FR" w:bidi="fr-FR"/>
        </w:rPr>
        <w:t>Ainsi s’introduisit une nouvelle et plus sûre méthode. Appelé par la communauté, dont la délibération, selon une règle alors universelle, devrait être sanctionnée par une ordonnance de l’intendant, un géom</w:t>
      </w:r>
      <w:r w:rsidRPr="009C29C2">
        <w:rPr>
          <w:color w:val="000000"/>
          <w:lang w:eastAsia="fr-FR" w:bidi="fr-FR"/>
        </w:rPr>
        <w:t>è</w:t>
      </w:r>
      <w:r w:rsidRPr="009C29C2">
        <w:rPr>
          <w:color w:val="000000"/>
          <w:lang w:eastAsia="fr-FR" w:bidi="fr-FR"/>
        </w:rPr>
        <w:t>tre procédait, sur le terrain, à la reconnaissance et à la mensuration des terres. Il enregistrait les résultats de son travail dans un « état général des fonds ». Ce registre, disposé selon un ordre topographique, co</w:t>
      </w:r>
      <w:r w:rsidRPr="009C29C2">
        <w:rPr>
          <w:color w:val="000000"/>
          <w:lang w:eastAsia="fr-FR" w:bidi="fr-FR"/>
        </w:rPr>
        <w:t>r</w:t>
      </w:r>
      <w:r w:rsidRPr="009C29C2">
        <w:rPr>
          <w:color w:val="000000"/>
          <w:lang w:eastAsia="fr-FR" w:bidi="fr-FR"/>
        </w:rPr>
        <w:t>re</w:t>
      </w:r>
      <w:r>
        <w:rPr>
          <w:color w:val="000000"/>
          <w:lang w:eastAsia="fr-FR" w:bidi="fr-FR"/>
        </w:rPr>
        <w:t>spondait, très exactement, à 1’</w:t>
      </w:r>
      <w:r w:rsidRPr="009C29C2">
        <w:rPr>
          <w:color w:val="000000"/>
          <w:lang w:eastAsia="fr-FR" w:bidi="fr-FR"/>
        </w:rPr>
        <w:t>« état par sections » de notre cadastre. Puis tantôt le géomètre encore, tantôt</w:t>
      </w:r>
      <w:r>
        <w:rPr>
          <w:color w:val="000000"/>
          <w:lang w:eastAsia="fr-FR" w:bidi="fr-FR"/>
        </w:rPr>
        <w:t xml:space="preserve"> et plus souvent des « experts-</w:t>
      </w:r>
      <w:r w:rsidRPr="009C29C2">
        <w:rPr>
          <w:color w:val="000000"/>
          <w:lang w:eastAsia="fr-FR" w:bidi="fr-FR"/>
        </w:rPr>
        <w:t>abonnateurs », spécialement désignés, passaient à l’estimation des biens, qui était, à son tour, portée sur « l’état général ». Plus de div</w:t>
      </w:r>
      <w:r w:rsidRPr="009C29C2">
        <w:rPr>
          <w:color w:val="000000"/>
          <w:lang w:eastAsia="fr-FR" w:bidi="fr-FR"/>
        </w:rPr>
        <w:t>i</w:t>
      </w:r>
      <w:r w:rsidRPr="009C29C2">
        <w:rPr>
          <w:color w:val="000000"/>
          <w:lang w:eastAsia="fr-FR" w:bidi="fr-FR"/>
        </w:rPr>
        <w:t>sion par classes, cette fois : plus de « tarif ». Le revenu de chaque pa</w:t>
      </w:r>
      <w:r w:rsidRPr="009C29C2">
        <w:rPr>
          <w:color w:val="000000"/>
          <w:lang w:eastAsia="fr-FR" w:bidi="fr-FR"/>
        </w:rPr>
        <w:t>r</w:t>
      </w:r>
      <w:r w:rsidRPr="009C29C2">
        <w:rPr>
          <w:color w:val="000000"/>
          <w:lang w:eastAsia="fr-FR" w:bidi="fr-FR"/>
        </w:rPr>
        <w:t>celle était évalué en lui-même. On ne parlera donc plus de taille « tarifée ». Là où nous disons « évaluation », l’habitude, dans la pr</w:t>
      </w:r>
      <w:r w:rsidRPr="009C29C2">
        <w:rPr>
          <w:color w:val="000000"/>
          <w:lang w:eastAsia="fr-FR" w:bidi="fr-FR"/>
        </w:rPr>
        <w:t>o</w:t>
      </w:r>
      <w:r w:rsidRPr="009C29C2">
        <w:rPr>
          <w:color w:val="000000"/>
          <w:lang w:eastAsia="fr-FR" w:bidi="fr-FR"/>
        </w:rPr>
        <w:t>vince, était d’employer le mot d’« abonnement » (d’où le terme d’« abonnateur », que l’on vient de voir). Les paroisses ainsi cada</w:t>
      </w:r>
      <w:r w:rsidRPr="009C29C2">
        <w:rPr>
          <w:color w:val="000000"/>
          <w:lang w:eastAsia="fr-FR" w:bidi="fr-FR"/>
        </w:rPr>
        <w:t>s</w:t>
      </w:r>
      <w:r w:rsidRPr="009C29C2">
        <w:rPr>
          <w:color w:val="000000"/>
          <w:lang w:eastAsia="fr-FR" w:bidi="fr-FR"/>
        </w:rPr>
        <w:t>trées seront, en conséquence, dénommées « abonnées » : mode de langage qui, particulier, semble-t-il, au Limousin, expose aujourd’hui l’historien à de graves risques de confusion. L’administration faisait ensuite dresser des « feuilles d’abonnement », qui, reprenant les ind</w:t>
      </w:r>
      <w:r w:rsidRPr="009C29C2">
        <w:rPr>
          <w:color w:val="000000"/>
          <w:lang w:eastAsia="fr-FR" w:bidi="fr-FR"/>
        </w:rPr>
        <w:t>i</w:t>
      </w:r>
      <w:r w:rsidRPr="009C29C2">
        <w:rPr>
          <w:color w:val="000000"/>
          <w:lang w:eastAsia="fr-FR" w:bidi="fr-FR"/>
        </w:rPr>
        <w:t>cations dispersées dans l’état général des fonds, les groupaient pr</w:t>
      </w:r>
      <w:r w:rsidRPr="009C29C2">
        <w:rPr>
          <w:color w:val="000000"/>
          <w:lang w:eastAsia="fr-FR" w:bidi="fr-FR"/>
        </w:rPr>
        <w:t>o</w:t>
      </w:r>
      <w:r w:rsidRPr="009C29C2">
        <w:rPr>
          <w:color w:val="000000"/>
          <w:lang w:eastAsia="fr-FR" w:bidi="fr-FR"/>
        </w:rPr>
        <w:t>priétaire par propriétaire. Et, à l’aide de ces pièces, les rôles étaient établis.</w:t>
      </w:r>
    </w:p>
    <w:p w14:paraId="32DE003E" w14:textId="77777777" w:rsidR="00B9662D" w:rsidRPr="009C29C2" w:rsidRDefault="00B9662D" w:rsidP="00B9662D">
      <w:pPr>
        <w:spacing w:before="120" w:after="120"/>
        <w:jc w:val="both"/>
      </w:pPr>
      <w:r w:rsidRPr="009C29C2">
        <w:rPr>
          <w:color w:val="000000"/>
          <w:lang w:eastAsia="fr-FR" w:bidi="fr-FR"/>
        </w:rPr>
        <w:lastRenderedPageBreak/>
        <w:t>Ce grand travail de cadastration fut rondement mené. Du 2 avril 1739 au 26 août 1759, 605 collectes avaient déjà été arpentées</w:t>
      </w:r>
      <w:r>
        <w:rPr>
          <w:color w:val="000000"/>
          <w:lang w:eastAsia="fr-FR" w:bidi="fr-FR"/>
        </w:rPr>
        <w:t> </w:t>
      </w:r>
      <w:r>
        <w:rPr>
          <w:rStyle w:val="Appelnotedebasdep"/>
        </w:rPr>
        <w:footnoteReference w:id="47"/>
      </w:r>
      <w:r w:rsidRPr="009C29C2">
        <w:rPr>
          <w:color w:val="000000"/>
          <w:lang w:eastAsia="fr-FR" w:bidi="fr-FR"/>
        </w:rPr>
        <w:t xml:space="preserve">. Puis Turgot, intendant de 1761 à 1774, poursuivit vigoureusement l’entreprise. Elle ne s’arrêta pas après lui. Le 20 février 1777 encore, les bureaux du Contrôleur Général expédiaient à l’intendant une lettre l’habilitant à « autoriser 346 paroisses... à faire faire à leurs frais, </w:t>
      </w:r>
      <w:r>
        <w:rPr>
          <w:color w:val="000000"/>
          <w:lang w:eastAsia="fr-FR" w:bidi="fr-FR"/>
        </w:rPr>
        <w:t>comme elles le demandent, l’ar</w:t>
      </w:r>
      <w:r w:rsidRPr="009C29C2">
        <w:rPr>
          <w:color w:val="000000"/>
          <w:lang w:eastAsia="fr-FR" w:bidi="fr-FR"/>
        </w:rPr>
        <w:t>pentement et l’évaluation des fonds de leur territoire »</w:t>
      </w:r>
      <w:r>
        <w:rPr>
          <w:color w:val="000000"/>
          <w:lang w:eastAsia="fr-FR" w:bidi="fr-FR"/>
        </w:rPr>
        <w:t> </w:t>
      </w:r>
      <w:r>
        <w:rPr>
          <w:rStyle w:val="Appelnotedebasdep"/>
        </w:rPr>
        <w:footnoteReference w:id="48"/>
      </w:r>
      <w:r w:rsidRPr="009C29C2">
        <w:rPr>
          <w:color w:val="000000"/>
          <w:lang w:eastAsia="fr-FR" w:bidi="fr-FR"/>
        </w:rPr>
        <w:t>. Deux ans plus tard, l’inspecteur général des Ponts et Chaussées Munier estimait que les trois quarts des paroisses de la « province » avaient été ainsi « abonnées » ; le dernier quart possédait, dit-il, des rôles par tarif, c’est-à-dire établis, selon le premier système, sur déclarations.</w:t>
      </w:r>
    </w:p>
    <w:p w14:paraId="09BC202C" w14:textId="77777777" w:rsidR="00B9662D" w:rsidRPr="009C29C2" w:rsidRDefault="00B9662D" w:rsidP="00B9662D">
      <w:pPr>
        <w:spacing w:before="120" w:after="120"/>
        <w:jc w:val="both"/>
      </w:pPr>
      <w:r w:rsidRPr="009C29C2">
        <w:rPr>
          <w:color w:val="000000"/>
          <w:lang w:eastAsia="fr-FR" w:bidi="fr-FR"/>
        </w:rPr>
        <w:t>Originairement, aucun levé topographique n’avait été prévu. Au temps de Turgot et avec son appui, un fonctionnaire de la généralité s’employa de tout son zèle à remédier à cette lacune.</w:t>
      </w:r>
    </w:p>
    <w:p w14:paraId="112ADCB4" w14:textId="77777777" w:rsidR="00B9662D" w:rsidRPr="009C29C2" w:rsidRDefault="00B9662D" w:rsidP="00B9662D">
      <w:pPr>
        <w:spacing w:before="120" w:after="120"/>
        <w:jc w:val="both"/>
      </w:pPr>
      <w:r w:rsidRPr="009C29C2">
        <w:rPr>
          <w:color w:val="000000"/>
          <w:lang w:eastAsia="fr-FR" w:bidi="fr-FR"/>
        </w:rPr>
        <w:t>Manceau de naissance, Pierre Cornuau</w:t>
      </w:r>
      <w:r>
        <w:rPr>
          <w:color w:val="000000"/>
          <w:lang w:eastAsia="fr-FR" w:bidi="fr-FR"/>
        </w:rPr>
        <w:t> </w:t>
      </w:r>
      <w:r>
        <w:rPr>
          <w:rStyle w:val="Appelnotedebasdep"/>
        </w:rPr>
        <w:footnoteReference w:id="49"/>
      </w:r>
      <w:r w:rsidRPr="009C29C2">
        <w:rPr>
          <w:color w:val="000000"/>
          <w:lang w:eastAsia="fr-FR" w:bidi="fr-FR"/>
        </w:rPr>
        <w:t xml:space="preserve"> était, par sa formation, i</w:t>
      </w:r>
      <w:r w:rsidRPr="009C29C2">
        <w:rPr>
          <w:color w:val="000000"/>
          <w:lang w:eastAsia="fr-FR" w:bidi="fr-FR"/>
        </w:rPr>
        <w:t>n</w:t>
      </w:r>
      <w:r w:rsidRPr="009C29C2">
        <w:rPr>
          <w:color w:val="000000"/>
          <w:lang w:eastAsia="fr-FR" w:bidi="fr-FR"/>
        </w:rPr>
        <w:t>génieur topographe. Il avait d’abord participé aux travaux de la carte de Cassini. Puis Turgot, appelé à l’intendance de Limoges, se l’attacha comme collaborateur et le fixa ainsi dans le Limousin, où devait s’écouler tout le reste de sa longue vie. Il fut inspecteur général des manufactures de la généralité, de 1772 à 1790, secrétaire, en 1787, de l’Assemblée Provinciale.</w:t>
      </w:r>
      <w:r>
        <w:t xml:space="preserve"> </w:t>
      </w:r>
      <w:r>
        <w:rPr>
          <w:color w:val="000000"/>
          <w:lang w:eastAsia="fr-FR" w:bidi="fr-FR"/>
        </w:rPr>
        <w:t>[583]</w:t>
      </w:r>
      <w:r w:rsidRPr="009C29C2">
        <w:rPr>
          <w:color w:val="000000"/>
          <w:lang w:eastAsia="fr-FR" w:bidi="fr-FR"/>
        </w:rPr>
        <w:t xml:space="preserve"> Sous la Révolution, il se tint, pr</w:t>
      </w:r>
      <w:r w:rsidRPr="009C29C2">
        <w:rPr>
          <w:color w:val="000000"/>
          <w:lang w:eastAsia="fr-FR" w:bidi="fr-FR"/>
        </w:rPr>
        <w:t>u</w:t>
      </w:r>
      <w:r w:rsidRPr="009C29C2">
        <w:rPr>
          <w:color w:val="000000"/>
          <w:lang w:eastAsia="fr-FR" w:bidi="fr-FR"/>
        </w:rPr>
        <w:t>demment sans doute, dans la pénombre. On le vit secrétaire général du district en 1790 et 1791 ; membre de l’administration du département durant quelques mois, après Thermidor ; enfin, modestement, profe</w:t>
      </w:r>
      <w:r w:rsidRPr="009C29C2">
        <w:rPr>
          <w:color w:val="000000"/>
          <w:lang w:eastAsia="fr-FR" w:bidi="fr-FR"/>
        </w:rPr>
        <w:t>s</w:t>
      </w:r>
      <w:r w:rsidRPr="009C29C2">
        <w:rPr>
          <w:color w:val="000000"/>
          <w:lang w:eastAsia="fr-FR" w:bidi="fr-FR"/>
        </w:rPr>
        <w:t xml:space="preserve">seur à l’École Centrale de la Haute-Vienne. De 1800 jusqu’à sa mort, </w:t>
      </w:r>
      <w:r w:rsidRPr="009C29C2">
        <w:rPr>
          <w:color w:val="000000"/>
          <w:lang w:eastAsia="fr-FR" w:bidi="fr-FR"/>
        </w:rPr>
        <w:lastRenderedPageBreak/>
        <w:t>surv</w:t>
      </w:r>
      <w:r w:rsidRPr="009C29C2">
        <w:rPr>
          <w:color w:val="000000"/>
          <w:lang w:eastAsia="fr-FR" w:bidi="fr-FR"/>
        </w:rPr>
        <w:t>e</w:t>
      </w:r>
      <w:r w:rsidRPr="009C29C2">
        <w:rPr>
          <w:color w:val="000000"/>
          <w:lang w:eastAsia="fr-FR" w:bidi="fr-FR"/>
        </w:rPr>
        <w:t>nue en 1822, à plus de quatre-vingt-deux ans, il siégea au Conseil m</w:t>
      </w:r>
      <w:r w:rsidRPr="009C29C2">
        <w:rPr>
          <w:color w:val="000000"/>
          <w:lang w:eastAsia="fr-FR" w:bidi="fr-FR"/>
        </w:rPr>
        <w:t>u</w:t>
      </w:r>
      <w:r w:rsidRPr="009C29C2">
        <w:rPr>
          <w:color w:val="000000"/>
          <w:lang w:eastAsia="fr-FR" w:bidi="fr-FR"/>
        </w:rPr>
        <w:t>nicipal de Limoges. Un gros travailleur, certainement, et un bon tec</w:t>
      </w:r>
      <w:r w:rsidRPr="009C29C2">
        <w:rPr>
          <w:color w:val="000000"/>
          <w:lang w:eastAsia="fr-FR" w:bidi="fr-FR"/>
        </w:rPr>
        <w:t>h</w:t>
      </w:r>
      <w:r w:rsidRPr="009C29C2">
        <w:rPr>
          <w:color w:val="000000"/>
          <w:lang w:eastAsia="fr-FR" w:bidi="fr-FR"/>
        </w:rPr>
        <w:t xml:space="preserve">nicien, d’esprit ouvert et lucide, comme le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en a tant fourni. Ces hommes de second plan sont peut-être ceux qui ont le plus contribué à faire, de l’administration de l’Ancien Régime fini</w:t>
      </w:r>
      <w:r w:rsidRPr="009C29C2">
        <w:rPr>
          <w:color w:val="000000"/>
          <w:lang w:eastAsia="fr-FR" w:bidi="fr-FR"/>
        </w:rPr>
        <w:t>s</w:t>
      </w:r>
      <w:r w:rsidRPr="009C29C2">
        <w:rPr>
          <w:color w:val="000000"/>
          <w:lang w:eastAsia="fr-FR" w:bidi="fr-FR"/>
        </w:rPr>
        <w:t>sant, quelque chose de fondamentalement différent du système go</w:t>
      </w:r>
      <w:r w:rsidRPr="009C29C2">
        <w:rPr>
          <w:color w:val="000000"/>
          <w:lang w:eastAsia="fr-FR" w:bidi="fr-FR"/>
        </w:rPr>
        <w:t>u</w:t>
      </w:r>
      <w:r w:rsidRPr="009C29C2">
        <w:rPr>
          <w:color w:val="000000"/>
          <w:lang w:eastAsia="fr-FR" w:bidi="fr-FR"/>
        </w:rPr>
        <w:t>vern</w:t>
      </w:r>
      <w:r w:rsidRPr="009C29C2">
        <w:rPr>
          <w:color w:val="000000"/>
          <w:lang w:eastAsia="fr-FR" w:bidi="fr-FR"/>
        </w:rPr>
        <w:t>e</w:t>
      </w:r>
      <w:r w:rsidRPr="009C29C2">
        <w:rPr>
          <w:color w:val="000000"/>
          <w:lang w:eastAsia="fr-FR" w:bidi="fr-FR"/>
        </w:rPr>
        <w:t>mental, encore si rudimentaire, sous lequel on avait vécu à l’époque de Louis</w:t>
      </w:r>
      <w:r>
        <w:rPr>
          <w:color w:val="000000"/>
          <w:lang w:eastAsia="fr-FR" w:bidi="fr-FR"/>
        </w:rPr>
        <w:t> </w:t>
      </w:r>
      <w:r w:rsidRPr="009C29C2">
        <w:rPr>
          <w:color w:val="000000"/>
          <w:lang w:eastAsia="fr-FR" w:bidi="fr-FR"/>
        </w:rPr>
        <w:t>XIV.</w:t>
      </w:r>
    </w:p>
    <w:p w14:paraId="34619904" w14:textId="77777777" w:rsidR="00B9662D" w:rsidRPr="009C29C2" w:rsidRDefault="00B9662D" w:rsidP="00B9662D">
      <w:pPr>
        <w:spacing w:before="120" w:after="120"/>
        <w:jc w:val="both"/>
      </w:pPr>
      <w:r w:rsidRPr="009C29C2">
        <w:rPr>
          <w:color w:val="000000"/>
          <w:lang w:eastAsia="fr-FR" w:bidi="fr-FR"/>
        </w:rPr>
        <w:t>Cornuau, auquel on doit, nous dit sa notice nécrologique, « plusieurs cartes de la généralité et du diocèse », n’avait jamais perdu le goût des travaux topographiques, qui avaient été l’occupation de sa jeunesse. Diverses notes manuscrites et surtout une « instruction pr</w:t>
      </w:r>
      <w:r w:rsidRPr="009C29C2">
        <w:rPr>
          <w:color w:val="000000"/>
          <w:lang w:eastAsia="fr-FR" w:bidi="fr-FR"/>
        </w:rPr>
        <w:t>o</w:t>
      </w:r>
      <w:r w:rsidRPr="009C29C2">
        <w:rPr>
          <w:color w:val="000000"/>
          <w:lang w:eastAsia="fr-FR" w:bidi="fr-FR"/>
        </w:rPr>
        <w:t>visoire pour les ingénieurs chargés de la mesure et du plan figuré des héritages », que les bureaux de Turgot firent imprimer, témoignent de l’intérêt qu’il porta à l’établissement de plans parcellaires, comme complément des arpentages fiscaux</w:t>
      </w:r>
      <w:r>
        <w:rPr>
          <w:color w:val="000000"/>
          <w:lang w:eastAsia="fr-FR" w:bidi="fr-FR"/>
        </w:rPr>
        <w:t> </w:t>
      </w:r>
      <w:r>
        <w:rPr>
          <w:rStyle w:val="Appelnotedebasdep"/>
        </w:rPr>
        <w:footnoteReference w:id="50"/>
      </w:r>
      <w:r w:rsidRPr="009C29C2">
        <w:rPr>
          <w:color w:val="000000"/>
          <w:lang w:eastAsia="fr-FR" w:bidi="fr-FR"/>
        </w:rPr>
        <w:t>. Dans son esprit comme dans celui de son chef, il s’agissait, visiblement, d’une œuvre de grande envergure : assez importante en elle-même et de valeur exemplaire assez considérable pour que Turgot ait jugé bon d’adresser au Contr</w:t>
      </w:r>
      <w:r w:rsidRPr="009C29C2">
        <w:rPr>
          <w:color w:val="000000"/>
          <w:lang w:eastAsia="fr-FR" w:bidi="fr-FR"/>
        </w:rPr>
        <w:t>ô</w:t>
      </w:r>
      <w:r w:rsidRPr="009C29C2">
        <w:rPr>
          <w:color w:val="000000"/>
          <w:lang w:eastAsia="fr-FR" w:bidi="fr-FR"/>
        </w:rPr>
        <w:t>leur Général, à titre de spécimen, le dossier cadastral d’une des p</w:t>
      </w:r>
      <w:r w:rsidRPr="009C29C2">
        <w:rPr>
          <w:color w:val="000000"/>
          <w:lang w:eastAsia="fr-FR" w:bidi="fr-FR"/>
        </w:rPr>
        <w:t>a</w:t>
      </w:r>
      <w:r w:rsidRPr="009C29C2">
        <w:rPr>
          <w:color w:val="000000"/>
          <w:lang w:eastAsia="fr-FR" w:bidi="fr-FR"/>
        </w:rPr>
        <w:t>roisses dont le levé avait été ainsi exécuté : celle de Sainte-Claire de Soubrevas, aux portes de Limoges</w:t>
      </w:r>
      <w:r>
        <w:rPr>
          <w:color w:val="000000"/>
          <w:lang w:eastAsia="fr-FR" w:bidi="fr-FR"/>
        </w:rPr>
        <w:t> </w:t>
      </w:r>
      <w:r>
        <w:rPr>
          <w:rStyle w:val="Appelnotedebasdep"/>
        </w:rPr>
        <w:footnoteReference w:id="51"/>
      </w:r>
      <w:r w:rsidRPr="009C29C2">
        <w:rPr>
          <w:color w:val="000000"/>
          <w:lang w:eastAsia="fr-FR" w:bidi="fr-FR"/>
        </w:rPr>
        <w:t>. Outre le plan, ce dossier co</w:t>
      </w:r>
      <w:r w:rsidRPr="009C29C2">
        <w:rPr>
          <w:color w:val="000000"/>
          <w:lang w:eastAsia="fr-FR" w:bidi="fr-FR"/>
        </w:rPr>
        <w:t>m</w:t>
      </w:r>
      <w:r w:rsidRPr="009C29C2">
        <w:rPr>
          <w:color w:val="000000"/>
          <w:lang w:eastAsia="fr-FR" w:bidi="fr-FR"/>
        </w:rPr>
        <w:t>prenait l’état général des fonds et aussi</w:t>
      </w:r>
      <w:r>
        <w:rPr>
          <w:color w:val="000000"/>
          <w:lang w:eastAsia="fr-FR" w:bidi="fr-FR"/>
        </w:rPr>
        <w:t> — </w:t>
      </w:r>
      <w:r w:rsidRPr="009C29C2">
        <w:rPr>
          <w:color w:val="000000"/>
          <w:lang w:eastAsia="fr-FR" w:bidi="fr-FR"/>
        </w:rPr>
        <w:t>conformément à F « instruction » de Cornuau</w:t>
      </w:r>
      <w:r>
        <w:rPr>
          <w:color w:val="000000"/>
          <w:lang w:eastAsia="fr-FR" w:bidi="fr-FR"/>
        </w:rPr>
        <w:t> — </w:t>
      </w:r>
      <w:r w:rsidRPr="009C29C2">
        <w:rPr>
          <w:color w:val="000000"/>
          <w:lang w:eastAsia="fr-FR" w:bidi="fr-FR"/>
        </w:rPr>
        <w:t>un « état des tènements ». Par ce de</w:t>
      </w:r>
      <w:r w:rsidRPr="009C29C2">
        <w:rPr>
          <w:color w:val="000000"/>
          <w:lang w:eastAsia="fr-FR" w:bidi="fr-FR"/>
        </w:rPr>
        <w:t>r</w:t>
      </w:r>
      <w:r w:rsidRPr="009C29C2">
        <w:rPr>
          <w:color w:val="000000"/>
          <w:lang w:eastAsia="fr-FR" w:bidi="fr-FR"/>
        </w:rPr>
        <w:t>nier mot, on désignait, dans le Centre, des groupements de parcelles, dont les divers tenanciers étaient, vis-à-vis du seigneur, solidairement redevables de la rente : institution qui, sous des noms variables, se rencontre dans plusieurs régions et, partout, nous ouvre un jour extr</w:t>
      </w:r>
      <w:r w:rsidRPr="009C29C2">
        <w:rPr>
          <w:color w:val="000000"/>
          <w:lang w:eastAsia="fr-FR" w:bidi="fr-FR"/>
        </w:rPr>
        <w:t>ê</w:t>
      </w:r>
      <w:r w:rsidRPr="009C29C2">
        <w:rPr>
          <w:color w:val="000000"/>
          <w:lang w:eastAsia="fr-FR" w:bidi="fr-FR"/>
        </w:rPr>
        <w:t xml:space="preserve">mement curieux sur l’évolution interne des sociétés villageoises. Mais ce </w:t>
      </w:r>
      <w:r w:rsidRPr="009C29C2">
        <w:rPr>
          <w:color w:val="000000"/>
          <w:lang w:eastAsia="fr-FR" w:bidi="fr-FR"/>
        </w:rPr>
        <w:lastRenderedPageBreak/>
        <w:t>n’est pas ici le lieu d’en aborder l’étude, qui sera, j’espère, reprise ailleurs.</w:t>
      </w:r>
    </w:p>
    <w:p w14:paraId="1F380E10" w14:textId="77777777" w:rsidR="00B9662D" w:rsidRDefault="00B9662D" w:rsidP="00B9662D">
      <w:pPr>
        <w:spacing w:before="120" w:after="120"/>
        <w:jc w:val="both"/>
        <w:rPr>
          <w:color w:val="000000"/>
          <w:lang w:eastAsia="fr-FR" w:bidi="fr-FR"/>
        </w:rPr>
      </w:pPr>
      <w:r w:rsidRPr="009C29C2">
        <w:rPr>
          <w:color w:val="000000"/>
          <w:lang w:eastAsia="fr-FR" w:bidi="fr-FR"/>
        </w:rPr>
        <w:t>Qu’advint-il, cependant, de la vaste entreprise rêvée par Cornuau ? L’état de nos témoignages ne permet pas une réponse précise. Les d</w:t>
      </w:r>
      <w:r w:rsidRPr="009C29C2">
        <w:rPr>
          <w:color w:val="000000"/>
          <w:lang w:eastAsia="fr-FR" w:bidi="fr-FR"/>
        </w:rPr>
        <w:t>o</w:t>
      </w:r>
      <w:r w:rsidRPr="009C29C2">
        <w:rPr>
          <w:color w:val="000000"/>
          <w:lang w:eastAsia="fr-FR" w:bidi="fr-FR"/>
        </w:rPr>
        <w:t>cuments cartographiques ruraux ont été longtemps considérés, dans les archives, comme des pièces de seconde zone, qu’on ne se préo</w:t>
      </w:r>
      <w:r w:rsidRPr="009C29C2">
        <w:rPr>
          <w:color w:val="000000"/>
          <w:lang w:eastAsia="fr-FR" w:bidi="fr-FR"/>
        </w:rPr>
        <w:t>c</w:t>
      </w:r>
      <w:r w:rsidRPr="009C29C2">
        <w:rPr>
          <w:color w:val="000000"/>
          <w:lang w:eastAsia="fr-FR" w:bidi="fr-FR"/>
        </w:rPr>
        <w:t>cupait guère d’identifier, de classer, ni même, parfois, de conserver. Ils sont, aujourd’hui, partout, l’objet de soins attentifs. Mais les pertes demeurent irréparables. Il semble bien, néanmoins, qu’au total un a</w:t>
      </w:r>
      <w:r w:rsidRPr="009C29C2">
        <w:rPr>
          <w:color w:val="000000"/>
          <w:lang w:eastAsia="fr-FR" w:bidi="fr-FR"/>
        </w:rPr>
        <w:t>s</w:t>
      </w:r>
      <w:r w:rsidRPr="009C29C2">
        <w:rPr>
          <w:color w:val="000000"/>
          <w:lang w:eastAsia="fr-FR" w:bidi="fr-FR"/>
        </w:rPr>
        <w:t>sez petit nombre de plans parcellaires fiscaux aient été exécutés dans la généralité. Les projets de Cornuau avaient toujours rencontré des adversaires, jusque</w:t>
      </w:r>
      <w:r>
        <w:rPr>
          <w:color w:val="000000"/>
          <w:lang w:eastAsia="fr-FR" w:bidi="fr-FR"/>
        </w:rPr>
        <w:t xml:space="preserve"> [584] </w:t>
      </w:r>
      <w:r w:rsidRPr="009C29C2">
        <w:rPr>
          <w:color w:val="000000"/>
          <w:lang w:eastAsia="fr-FR" w:bidi="fr-FR"/>
        </w:rPr>
        <w:t>parmi les subdélégués de l’intendant</w:t>
      </w:r>
      <w:r>
        <w:rPr>
          <w:color w:val="000000"/>
          <w:lang w:eastAsia="fr-FR" w:bidi="fr-FR"/>
        </w:rPr>
        <w:t> </w:t>
      </w:r>
      <w:r>
        <w:rPr>
          <w:rStyle w:val="Appelnotedebasdep"/>
        </w:rPr>
        <w:footnoteReference w:id="52"/>
      </w:r>
      <w:r w:rsidRPr="009C29C2">
        <w:rPr>
          <w:color w:val="000000"/>
          <w:lang w:eastAsia="fr-FR" w:bidi="fr-FR"/>
        </w:rPr>
        <w:t>. Le départ de Turgot le pr</w:t>
      </w:r>
      <w:r w:rsidRPr="009C29C2">
        <w:rPr>
          <w:color w:val="000000"/>
          <w:lang w:eastAsia="fr-FR" w:bidi="fr-FR"/>
        </w:rPr>
        <w:t>i</w:t>
      </w:r>
      <w:r w:rsidRPr="009C29C2">
        <w:rPr>
          <w:color w:val="000000"/>
          <w:lang w:eastAsia="fr-FR" w:bidi="fr-FR"/>
        </w:rPr>
        <w:t>va, sans doute, de son meilleur soutien. Les quelques plans qui subsistent, autrement que sous la forme de broui</w:t>
      </w:r>
      <w:r w:rsidRPr="009C29C2">
        <w:rPr>
          <w:color w:val="000000"/>
          <w:lang w:eastAsia="fr-FR" w:bidi="fr-FR"/>
        </w:rPr>
        <w:t>l</w:t>
      </w:r>
      <w:r w:rsidRPr="009C29C2">
        <w:rPr>
          <w:color w:val="000000"/>
          <w:lang w:eastAsia="fr-FR" w:bidi="fr-FR"/>
        </w:rPr>
        <w:t>lons ou de pièces dét</w:t>
      </w:r>
      <w:r w:rsidRPr="009C29C2">
        <w:rPr>
          <w:color w:val="000000"/>
          <w:lang w:eastAsia="fr-FR" w:bidi="fr-FR"/>
        </w:rPr>
        <w:t>a</w:t>
      </w:r>
      <w:r w:rsidRPr="009C29C2">
        <w:rPr>
          <w:color w:val="000000"/>
          <w:lang w:eastAsia="fr-FR" w:bidi="fr-FR"/>
        </w:rPr>
        <w:t>chées, sont d’un excellent travail</w:t>
      </w:r>
      <w:r>
        <w:rPr>
          <w:color w:val="000000"/>
          <w:lang w:eastAsia="fr-FR" w:bidi="fr-FR"/>
        </w:rPr>
        <w:t> </w:t>
      </w:r>
      <w:r>
        <w:rPr>
          <w:rStyle w:val="Appelnotedebasdep"/>
        </w:rPr>
        <w:footnoteReference w:id="53"/>
      </w:r>
      <w:r w:rsidRPr="009C29C2">
        <w:rPr>
          <w:color w:val="000000"/>
          <w:lang w:eastAsia="fr-FR" w:bidi="fr-FR"/>
        </w:rPr>
        <w:t xml:space="preserve">. Cependant, si nous ne disposions, à côté d’eux, d’autres plans parcellaires, d’origine seigneuriale ceux-ci, la figure des campagnes limousines ou angoumoises (l’Angoumois dépendait, on le sait, de la généralité de Limoges) ne nous apparaîtrait, au </w:t>
      </w:r>
      <w:r w:rsidRPr="003C5161">
        <w:rPr>
          <w:smallCaps/>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qu’avec bien des lac</w:t>
      </w:r>
      <w:r w:rsidRPr="009C29C2">
        <w:rPr>
          <w:color w:val="000000"/>
          <w:lang w:eastAsia="fr-FR" w:bidi="fr-FR"/>
        </w:rPr>
        <w:t>u</w:t>
      </w:r>
      <w:r w:rsidRPr="009C29C2">
        <w:rPr>
          <w:color w:val="000000"/>
          <w:lang w:eastAsia="fr-FR" w:bidi="fr-FR"/>
        </w:rPr>
        <w:t>nes.</w:t>
      </w:r>
    </w:p>
    <w:p w14:paraId="44804CF6" w14:textId="77777777" w:rsidR="00B9662D" w:rsidRPr="009C29C2" w:rsidRDefault="00B9662D" w:rsidP="00B9662D">
      <w:pPr>
        <w:spacing w:before="120" w:after="120"/>
        <w:jc w:val="both"/>
      </w:pPr>
      <w:r>
        <w:br w:type="page"/>
      </w:r>
    </w:p>
    <w:p w14:paraId="09154858" w14:textId="77777777" w:rsidR="00B9662D" w:rsidRPr="00B83838" w:rsidRDefault="00B9662D" w:rsidP="00B9662D">
      <w:pPr>
        <w:pStyle w:val="planche"/>
      </w:pPr>
      <w:bookmarkStart w:id="11" w:name="Melanges_t2_pt_6_chap_II_IV"/>
      <w:r>
        <w:t>IV</w:t>
      </w:r>
      <w:r w:rsidRPr="00B83838">
        <w:t>.</w:t>
      </w:r>
      <w:r>
        <w:t> — </w:t>
      </w:r>
      <w:r w:rsidRPr="00B83838">
        <w:t>Les arpentements d’Auvergne</w:t>
      </w:r>
    </w:p>
    <w:bookmarkEnd w:id="11"/>
    <w:p w14:paraId="10851CAE" w14:textId="77777777" w:rsidR="00B9662D" w:rsidRDefault="00B9662D" w:rsidP="00B9662D">
      <w:pPr>
        <w:spacing w:before="120" w:after="120"/>
        <w:jc w:val="both"/>
        <w:rPr>
          <w:color w:val="000000"/>
          <w:lang w:eastAsia="fr-FR" w:bidi="fr-FR"/>
        </w:rPr>
      </w:pPr>
    </w:p>
    <w:p w14:paraId="5DAA0857"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F0ED63C" w14:textId="77777777" w:rsidR="00B9662D" w:rsidRPr="009C29C2" w:rsidRDefault="00B9662D" w:rsidP="00B9662D">
      <w:pPr>
        <w:spacing w:before="120" w:after="120"/>
        <w:jc w:val="both"/>
      </w:pPr>
      <w:r w:rsidRPr="009C29C2">
        <w:rPr>
          <w:color w:val="000000"/>
          <w:lang w:eastAsia="fr-FR" w:bidi="fr-FR"/>
        </w:rPr>
        <w:t>La taille « tarifée » fut « introduite » dans la généralité de Riom, vers 1733, par Trudaine, qui en était alors intendant. Ainsi, du moins, s’exprimait, en 1767, un de ses successeurs</w:t>
      </w:r>
      <w:r>
        <w:rPr>
          <w:color w:val="000000"/>
          <w:lang w:eastAsia="fr-FR" w:bidi="fr-FR"/>
        </w:rPr>
        <w:t> </w:t>
      </w:r>
      <w:r>
        <w:rPr>
          <w:rStyle w:val="Appelnotedebasdep"/>
        </w:rPr>
        <w:footnoteReference w:id="54"/>
      </w:r>
      <w:r w:rsidRPr="009C29C2">
        <w:rPr>
          <w:color w:val="000000"/>
          <w:lang w:eastAsia="fr-FR" w:bidi="fr-FR"/>
        </w:rPr>
        <w:t>. Mais, là comme ai</w:t>
      </w:r>
      <w:r w:rsidRPr="009C29C2">
        <w:rPr>
          <w:color w:val="000000"/>
          <w:lang w:eastAsia="fr-FR" w:bidi="fr-FR"/>
        </w:rPr>
        <w:t>l</w:t>
      </w:r>
      <w:r w:rsidRPr="009C29C2">
        <w:rPr>
          <w:color w:val="000000"/>
          <w:lang w:eastAsia="fr-FR" w:bidi="fr-FR"/>
        </w:rPr>
        <w:t>leurs, la réforme connut, selon les lieux ou les moments, plus d’une variante.</w:t>
      </w:r>
    </w:p>
    <w:p w14:paraId="573D9376" w14:textId="77777777" w:rsidR="00B9662D" w:rsidRPr="009C29C2" w:rsidRDefault="00B9662D" w:rsidP="00B9662D">
      <w:pPr>
        <w:spacing w:before="120" w:after="120"/>
        <w:jc w:val="both"/>
      </w:pPr>
      <w:r w:rsidRPr="009C29C2">
        <w:rPr>
          <w:color w:val="000000"/>
          <w:lang w:eastAsia="fr-FR" w:bidi="fr-FR"/>
        </w:rPr>
        <w:t>En Auvergne, comme en Limousin, on semble s’être d’abord borné à recueillir les déclarations des contribuables : quitte à reconnaître aux communautés le droit de les « contredire », si elles le jugeaient utile. De bonne heure, cependant, un système intermédiaire s’introduisit, qui paraît avoir été assez répandu entre 1</w:t>
      </w:r>
      <w:r>
        <w:rPr>
          <w:color w:val="000000"/>
          <w:lang w:eastAsia="fr-FR" w:bidi="fr-FR"/>
        </w:rPr>
        <w:t>740 et 1750, au moins en Haute-</w:t>
      </w:r>
      <w:r w:rsidRPr="009C29C2">
        <w:rPr>
          <w:color w:val="000000"/>
          <w:lang w:eastAsia="fr-FR" w:bidi="fr-FR"/>
        </w:rPr>
        <w:t>Auvergne : pour une partie des propriétaires, on se contentait de déclarations ; les biens des autres étaient soumis à un véritable a</w:t>
      </w:r>
      <w:r w:rsidRPr="009C29C2">
        <w:rPr>
          <w:color w:val="000000"/>
          <w:lang w:eastAsia="fr-FR" w:bidi="fr-FR"/>
        </w:rPr>
        <w:t>r</w:t>
      </w:r>
      <w:r w:rsidRPr="009C29C2">
        <w:rPr>
          <w:color w:val="000000"/>
          <w:lang w:eastAsia="fr-FR" w:bidi="fr-FR"/>
        </w:rPr>
        <w:t>pentement. Le principe de la discrimination nous échappe d’ailleurs absolument. Parfois, il y avait simplement estimation des diverses sources de revenus : immeubles, revenus d’industrie, bétail. Ailleurs et plus généralement sans doute, un tarif, par classes, était établi. Tout cela donne une grande impression d’irrégularité. Aussi passa-t-on r</w:t>
      </w:r>
      <w:r w:rsidRPr="009C29C2">
        <w:rPr>
          <w:color w:val="000000"/>
          <w:lang w:eastAsia="fr-FR" w:bidi="fr-FR"/>
        </w:rPr>
        <w:t>a</w:t>
      </w:r>
      <w:r w:rsidRPr="009C29C2">
        <w:rPr>
          <w:color w:val="000000"/>
          <w:lang w:eastAsia="fr-FR" w:bidi="fr-FR"/>
        </w:rPr>
        <w:t>pidement, dans beaucoup de communautés, à un arpentement total : comme dans la généralité de Limoges, mais, nous allons le voir, avec des modalités sensiblement différentes</w:t>
      </w:r>
      <w:r>
        <w:rPr>
          <w:color w:val="000000"/>
          <w:lang w:eastAsia="fr-FR" w:bidi="fr-FR"/>
        </w:rPr>
        <w:t> </w:t>
      </w:r>
      <w:r>
        <w:rPr>
          <w:rStyle w:val="Appelnotedebasdep"/>
        </w:rPr>
        <w:footnoteReference w:id="55"/>
      </w:r>
      <w:r w:rsidRPr="009C29C2">
        <w:rPr>
          <w:color w:val="000000"/>
          <w:lang w:eastAsia="fr-FR" w:bidi="fr-FR"/>
        </w:rPr>
        <w:t>.</w:t>
      </w:r>
    </w:p>
    <w:p w14:paraId="704F03A2" w14:textId="77777777" w:rsidR="00B9662D" w:rsidRPr="009C29C2" w:rsidRDefault="00B9662D" w:rsidP="00B9662D">
      <w:pPr>
        <w:spacing w:before="120" w:after="120"/>
        <w:jc w:val="both"/>
      </w:pPr>
      <w:r w:rsidRPr="009C29C2">
        <w:br w:type="page"/>
      </w:r>
      <w:r>
        <w:rPr>
          <w:color w:val="000000"/>
          <w:lang w:eastAsia="fr-FR" w:bidi="fr-FR"/>
        </w:rPr>
        <w:lastRenderedPageBreak/>
        <w:t>[585]</w:t>
      </w:r>
    </w:p>
    <w:p w14:paraId="224B6207" w14:textId="77777777" w:rsidR="00B9662D" w:rsidRPr="009C29C2" w:rsidRDefault="00B9662D" w:rsidP="00B9662D">
      <w:pPr>
        <w:spacing w:before="120" w:after="120"/>
        <w:jc w:val="both"/>
      </w:pPr>
      <w:r w:rsidRPr="009C29C2">
        <w:rPr>
          <w:color w:val="000000"/>
          <w:lang w:eastAsia="fr-FR" w:bidi="fr-FR"/>
        </w:rPr>
        <w:t>L’initiative partait généralement de la communauté intéressée : sous réserve, cela va de soi, de 1’ « homologation » par l’intendant. Exceptionnellement, il arrivait que, mis en présence de rôles trop m</w:t>
      </w:r>
      <w:r w:rsidRPr="009C29C2">
        <w:rPr>
          <w:color w:val="000000"/>
          <w:lang w:eastAsia="fr-FR" w:bidi="fr-FR"/>
        </w:rPr>
        <w:t>a</w:t>
      </w:r>
      <w:r w:rsidRPr="009C29C2">
        <w:rPr>
          <w:color w:val="000000"/>
          <w:lang w:eastAsia="fr-FR" w:bidi="fr-FR"/>
        </w:rPr>
        <w:t>nifestement fautifs, l’intendant prescrivait l’arpentement d’office</w:t>
      </w:r>
      <w:r>
        <w:rPr>
          <w:color w:val="000000"/>
          <w:lang w:eastAsia="fr-FR" w:bidi="fr-FR"/>
        </w:rPr>
        <w:t> </w:t>
      </w:r>
      <w:r>
        <w:rPr>
          <w:rStyle w:val="Appelnotedebasdep"/>
        </w:rPr>
        <w:footnoteReference w:id="56"/>
      </w:r>
      <w:r w:rsidRPr="009C29C2">
        <w:rPr>
          <w:color w:val="000000"/>
          <w:lang w:eastAsia="fr-FR" w:bidi="fr-FR"/>
        </w:rPr>
        <w:t>. Restait à traiter avec un technicien. Ceux-ci, en Auvergne, pas plus qu’en Limousin, ne semblent avoir manqué. Tout un personnel de feudistes, formés par la pratique des terriers seigneuriaux, ne dema</w:t>
      </w:r>
      <w:r w:rsidRPr="009C29C2">
        <w:rPr>
          <w:color w:val="000000"/>
          <w:lang w:eastAsia="fr-FR" w:bidi="fr-FR"/>
        </w:rPr>
        <w:t>n</w:t>
      </w:r>
      <w:r w:rsidRPr="009C29C2">
        <w:rPr>
          <w:color w:val="000000"/>
          <w:lang w:eastAsia="fr-FR" w:bidi="fr-FR"/>
        </w:rPr>
        <w:t>dait qu’à trouver au service des communautés une nouvelle source de gain : bourgeois de petites villes pour la plupart, voire de gros vill</w:t>
      </w:r>
      <w:r w:rsidRPr="009C29C2">
        <w:rPr>
          <w:color w:val="000000"/>
          <w:lang w:eastAsia="fr-FR" w:bidi="fr-FR"/>
        </w:rPr>
        <w:t>a</w:t>
      </w:r>
      <w:r w:rsidRPr="009C29C2">
        <w:rPr>
          <w:color w:val="000000"/>
          <w:lang w:eastAsia="fr-FR" w:bidi="fr-FR"/>
        </w:rPr>
        <w:t>ges, à la fois hommes de loi et géomètres, et qui, aux emplois un peu aléatoires que leur promettait leur talent de faiseurs de cadastres, jo</w:t>
      </w:r>
      <w:r w:rsidRPr="009C29C2">
        <w:rPr>
          <w:color w:val="000000"/>
          <w:lang w:eastAsia="fr-FR" w:bidi="fr-FR"/>
        </w:rPr>
        <w:t>i</w:t>
      </w:r>
      <w:r w:rsidRPr="009C29C2">
        <w:rPr>
          <w:color w:val="000000"/>
          <w:lang w:eastAsia="fr-FR" w:bidi="fr-FR"/>
        </w:rPr>
        <w:t>gnaient souvent les fonctions plus stables et plus honorifiques de n</w:t>
      </w:r>
      <w:r w:rsidRPr="009C29C2">
        <w:rPr>
          <w:color w:val="000000"/>
          <w:lang w:eastAsia="fr-FR" w:bidi="fr-FR"/>
        </w:rPr>
        <w:t>o</w:t>
      </w:r>
      <w:r w:rsidRPr="009C29C2">
        <w:rPr>
          <w:color w:val="000000"/>
          <w:lang w:eastAsia="fr-FR" w:bidi="fr-FR"/>
        </w:rPr>
        <w:t>taires royaux. L’arpenteur, son traité une fois conclu, se mettait au travail, sur le terrain : aidé, pour l’identification des parcelles, par des « syndics », que désignaient les habitants. Quant au tarif, auquel l’Auvergne, à la différence du Limousin, demeura fidèle, la comm</w:t>
      </w:r>
      <w:r w:rsidRPr="009C29C2">
        <w:rPr>
          <w:color w:val="000000"/>
          <w:lang w:eastAsia="fr-FR" w:bidi="fr-FR"/>
        </w:rPr>
        <w:t>u</w:t>
      </w:r>
      <w:r w:rsidRPr="009C29C2">
        <w:rPr>
          <w:color w:val="000000"/>
          <w:lang w:eastAsia="fr-FR" w:bidi="fr-FR"/>
        </w:rPr>
        <w:t>nauté en fixait d’abord les diverses classes. Puis la répartition des « héritages » particuliers, entre ces classes, était opérée tantôt par l’arpenteur lui-même, tantôt par un « expert-estimateur », pris dans un village voisin : l’un ou l’autre assistés, ici encore, par des représe</w:t>
      </w:r>
      <w:r w:rsidRPr="009C29C2">
        <w:rPr>
          <w:color w:val="000000"/>
          <w:lang w:eastAsia="fr-FR" w:bidi="fr-FR"/>
        </w:rPr>
        <w:t>n</w:t>
      </w:r>
      <w:r w:rsidRPr="009C29C2">
        <w:rPr>
          <w:color w:val="000000"/>
          <w:lang w:eastAsia="fr-FR" w:bidi="fr-FR"/>
        </w:rPr>
        <w:t>tants des habitants. Les résultats de ces travaux étaient portés, non comme en Limousin, dans un état de sections, disposé par ordre top</w:t>
      </w:r>
      <w:r w:rsidRPr="009C29C2">
        <w:rPr>
          <w:color w:val="000000"/>
          <w:lang w:eastAsia="fr-FR" w:bidi="fr-FR"/>
        </w:rPr>
        <w:t>o</w:t>
      </w:r>
      <w:r w:rsidRPr="009C29C2">
        <w:rPr>
          <w:color w:val="000000"/>
          <w:lang w:eastAsia="fr-FR" w:bidi="fr-FR"/>
        </w:rPr>
        <w:t>graphique, mais dans une sorte de matrice cadastrale, où les parcelles étaient groupées sous les noms des différents propriétaires. Ce doc</w:t>
      </w:r>
      <w:r w:rsidRPr="009C29C2">
        <w:rPr>
          <w:color w:val="000000"/>
          <w:lang w:eastAsia="fr-FR" w:bidi="fr-FR"/>
        </w:rPr>
        <w:t>u</w:t>
      </w:r>
      <w:r w:rsidRPr="009C29C2">
        <w:rPr>
          <w:color w:val="000000"/>
          <w:lang w:eastAsia="fr-FR" w:bidi="fr-FR"/>
        </w:rPr>
        <w:t>ment recevait, au propre, le nom « d’arpentement »</w:t>
      </w:r>
      <w:r>
        <w:rPr>
          <w:color w:val="000000"/>
          <w:lang w:eastAsia="fr-FR" w:bidi="fr-FR"/>
        </w:rPr>
        <w:t> </w:t>
      </w:r>
      <w:r>
        <w:rPr>
          <w:rStyle w:val="Appelnotedebasdep"/>
        </w:rPr>
        <w:footnoteReference w:id="57"/>
      </w:r>
      <w:r w:rsidRPr="009C29C2">
        <w:rPr>
          <w:color w:val="000000"/>
          <w:lang w:eastAsia="fr-FR" w:bidi="fr-FR"/>
        </w:rPr>
        <w:t>. L’arpenteur d</w:t>
      </w:r>
      <w:r w:rsidRPr="009C29C2">
        <w:rPr>
          <w:color w:val="000000"/>
          <w:lang w:eastAsia="fr-FR" w:bidi="fr-FR"/>
        </w:rPr>
        <w:t>e</w:t>
      </w:r>
      <w:r w:rsidRPr="009C29C2">
        <w:rPr>
          <w:color w:val="000000"/>
          <w:lang w:eastAsia="fr-FR" w:bidi="fr-FR"/>
        </w:rPr>
        <w:t>vait généralement en fournir deux exemplaires. L’un était conservé par la communauté, qui, selon un usage partout assez commun, util</w:t>
      </w:r>
      <w:r w:rsidRPr="009C29C2">
        <w:rPr>
          <w:color w:val="000000"/>
          <w:lang w:eastAsia="fr-FR" w:bidi="fr-FR"/>
        </w:rPr>
        <w:t>i</w:t>
      </w:r>
      <w:r w:rsidRPr="009C29C2">
        <w:rPr>
          <w:color w:val="000000"/>
          <w:lang w:eastAsia="fr-FR" w:bidi="fr-FR"/>
        </w:rPr>
        <w:lastRenderedPageBreak/>
        <w:t>sait quelquefois, à cette fin, le « coffre » de l’église</w:t>
      </w:r>
      <w:r>
        <w:rPr>
          <w:color w:val="000000"/>
          <w:lang w:eastAsia="fr-FR" w:bidi="fr-FR"/>
        </w:rPr>
        <w:t> </w:t>
      </w:r>
      <w:r>
        <w:rPr>
          <w:rStyle w:val="Appelnotedebasdep"/>
        </w:rPr>
        <w:footnoteReference w:id="58"/>
      </w:r>
      <w:r w:rsidRPr="009C29C2">
        <w:rPr>
          <w:color w:val="000000"/>
          <w:lang w:eastAsia="fr-FR" w:bidi="fr-FR"/>
        </w:rPr>
        <w:t>. L’autre était versé au greffe de l’Élection</w:t>
      </w:r>
      <w:r>
        <w:rPr>
          <w:color w:val="000000"/>
          <w:lang w:eastAsia="fr-FR" w:bidi="fr-FR"/>
        </w:rPr>
        <w:t> </w:t>
      </w:r>
      <w:r>
        <w:rPr>
          <w:rStyle w:val="Appelnotedebasdep"/>
        </w:rPr>
        <w:footnoteReference w:id="59"/>
      </w:r>
      <w:r w:rsidRPr="009C29C2">
        <w:rPr>
          <w:color w:val="000000"/>
          <w:lang w:eastAsia="fr-FR" w:bidi="fr-FR"/>
        </w:rPr>
        <w:t>.</w:t>
      </w:r>
    </w:p>
    <w:p w14:paraId="40FC69E7" w14:textId="77777777" w:rsidR="00B9662D" w:rsidRPr="009C29C2" w:rsidRDefault="00B9662D" w:rsidP="00B9662D">
      <w:pPr>
        <w:spacing w:before="120" w:after="120"/>
        <w:jc w:val="both"/>
      </w:pPr>
      <w:r w:rsidRPr="009C29C2">
        <w:rPr>
          <w:color w:val="000000"/>
          <w:lang w:eastAsia="fr-FR" w:bidi="fr-FR"/>
        </w:rPr>
        <w:t>Pour couvrir les frais, la communauté, presque toujours, finissait par se voir obligée de recourir à une imposition spéciale. Comme elle ne se résignait, cependant, à ce sacrifice qu’en dernière extrémité, elle ne manquait pas de tirer en longueur le règlement des sommes dues à l’arpenteur, et se retranchait, volontiers, pour cela, derrière des fautes d’exécution, qui ne paraissent pas avoir toujours été imaginaires</w:t>
      </w:r>
      <w:r>
        <w:rPr>
          <w:color w:val="000000"/>
          <w:lang w:eastAsia="fr-FR" w:bidi="fr-FR"/>
        </w:rPr>
        <w:t> </w:t>
      </w:r>
      <w:r>
        <w:rPr>
          <w:rStyle w:val="Appelnotedebasdep"/>
        </w:rPr>
        <w:footnoteReference w:id="60"/>
      </w:r>
      <w:r w:rsidRPr="009C29C2">
        <w:rPr>
          <w:color w:val="000000"/>
          <w:lang w:eastAsia="fr-FR" w:bidi="fr-FR"/>
        </w:rPr>
        <w:t>. Ces dépenses,</w:t>
      </w:r>
      <w:r>
        <w:t xml:space="preserve"> </w:t>
      </w:r>
      <w:r>
        <w:rPr>
          <w:color w:val="000000"/>
          <w:lang w:eastAsia="fr-FR" w:bidi="fr-FR"/>
        </w:rPr>
        <w:t xml:space="preserve">[586] </w:t>
      </w:r>
      <w:r w:rsidRPr="009C29C2">
        <w:rPr>
          <w:color w:val="000000"/>
          <w:lang w:eastAsia="fr-FR" w:bidi="fr-FR"/>
        </w:rPr>
        <w:t xml:space="preserve">sans nul doute, grevaient lourdement des budgets assez pauvres et ordinairement déjà fort obérés. Elles fournissaient aux adversaires de </w:t>
      </w:r>
      <w:r>
        <w:t>l’</w:t>
      </w:r>
      <w:r>
        <w:rPr>
          <w:color w:val="000000"/>
          <w:lang w:eastAsia="fr-FR" w:bidi="fr-FR"/>
        </w:rPr>
        <w:t>arpen</w:t>
      </w:r>
      <w:r w:rsidRPr="009C29C2">
        <w:rPr>
          <w:color w:val="000000"/>
          <w:lang w:eastAsia="fr-FR" w:bidi="fr-FR"/>
        </w:rPr>
        <w:t>tement un de leurs arguments favoris. Telle fut, en particulier, la raison invoquée de préférence par deux inte</w:t>
      </w:r>
      <w:r w:rsidRPr="009C29C2">
        <w:rPr>
          <w:color w:val="000000"/>
          <w:lang w:eastAsia="fr-FR" w:bidi="fr-FR"/>
        </w:rPr>
        <w:t>n</w:t>
      </w:r>
      <w:r w:rsidRPr="009C29C2">
        <w:rPr>
          <w:color w:val="000000"/>
          <w:lang w:eastAsia="fr-FR" w:bidi="fr-FR"/>
        </w:rPr>
        <w:t>dants, Ballainvilliers (1758-1767) et surtout Chazerat (1771-1789), pour justifier leur host</w:t>
      </w:r>
      <w:r w:rsidRPr="009C29C2">
        <w:rPr>
          <w:color w:val="000000"/>
          <w:lang w:eastAsia="fr-FR" w:bidi="fr-FR"/>
        </w:rPr>
        <w:t>i</w:t>
      </w:r>
      <w:r w:rsidRPr="009C29C2">
        <w:rPr>
          <w:color w:val="000000"/>
          <w:lang w:eastAsia="fr-FR" w:bidi="fr-FR"/>
        </w:rPr>
        <w:t>lité avouée à une opération qu’ils n’acceptaient plus guère que sous la pression impérieuse de certaines communa</w:t>
      </w:r>
      <w:r w:rsidRPr="009C29C2">
        <w:rPr>
          <w:color w:val="000000"/>
          <w:lang w:eastAsia="fr-FR" w:bidi="fr-FR"/>
        </w:rPr>
        <w:t>u</w:t>
      </w:r>
      <w:r w:rsidRPr="009C29C2">
        <w:rPr>
          <w:color w:val="000000"/>
          <w:lang w:eastAsia="fr-FR" w:bidi="fr-FR"/>
        </w:rPr>
        <w:t>tés</w:t>
      </w:r>
      <w:r>
        <w:rPr>
          <w:color w:val="000000"/>
          <w:lang w:eastAsia="fr-FR" w:bidi="fr-FR"/>
        </w:rPr>
        <w:t> </w:t>
      </w:r>
      <w:r>
        <w:rPr>
          <w:rStyle w:val="Appelnotedebasdep"/>
        </w:rPr>
        <w:footnoteReference w:id="61"/>
      </w:r>
      <w:r w:rsidRPr="009C29C2">
        <w:rPr>
          <w:color w:val="000000"/>
          <w:lang w:eastAsia="fr-FR" w:bidi="fr-FR"/>
        </w:rPr>
        <w:t>. Le motif était spécieux. Mais les résistances auxquelles se heu</w:t>
      </w:r>
      <w:r w:rsidRPr="009C29C2">
        <w:rPr>
          <w:color w:val="000000"/>
          <w:lang w:eastAsia="fr-FR" w:bidi="fr-FR"/>
        </w:rPr>
        <w:t>r</w:t>
      </w:r>
      <w:r w:rsidRPr="009C29C2">
        <w:rPr>
          <w:color w:val="000000"/>
          <w:lang w:eastAsia="fr-FR" w:bidi="fr-FR"/>
        </w:rPr>
        <w:t>ta, de plus en plus, l’œuvre de cadastration, tant dans les villages m</w:t>
      </w:r>
      <w:r w:rsidRPr="009C29C2">
        <w:rPr>
          <w:color w:val="000000"/>
          <w:lang w:eastAsia="fr-FR" w:bidi="fr-FR"/>
        </w:rPr>
        <w:t>ê</w:t>
      </w:r>
      <w:r w:rsidRPr="009C29C2">
        <w:rPr>
          <w:color w:val="000000"/>
          <w:lang w:eastAsia="fr-FR" w:bidi="fr-FR"/>
        </w:rPr>
        <w:t>mes qu’à l’Hôtel de l’Intendance, avaient certainement des causes plus profondes. Les implications sociales des arpentements nous app</w:t>
      </w:r>
      <w:r w:rsidRPr="009C29C2">
        <w:rPr>
          <w:color w:val="000000"/>
          <w:lang w:eastAsia="fr-FR" w:bidi="fr-FR"/>
        </w:rPr>
        <w:t>a</w:t>
      </w:r>
      <w:r w:rsidRPr="009C29C2">
        <w:rPr>
          <w:color w:val="000000"/>
          <w:lang w:eastAsia="fr-FR" w:bidi="fr-FR"/>
        </w:rPr>
        <w:lastRenderedPageBreak/>
        <w:t>raissent, en Auvergne, beaucoup plus clairement qu’en Limousin. Il vaut la peine de chercher à les dégager.</w:t>
      </w:r>
    </w:p>
    <w:p w14:paraId="2E77A813" w14:textId="77777777" w:rsidR="00B9662D" w:rsidRDefault="00B9662D" w:rsidP="00B9662D">
      <w:pPr>
        <w:pStyle w:val="c"/>
        <w:rPr>
          <w:lang w:eastAsia="fr-FR" w:bidi="fr-FR"/>
        </w:rPr>
      </w:pPr>
      <w:r>
        <w:rPr>
          <w:lang w:eastAsia="fr-FR" w:bidi="fr-FR"/>
        </w:rPr>
        <w:t>*</w:t>
      </w:r>
      <w:r>
        <w:rPr>
          <w:lang w:eastAsia="fr-FR" w:bidi="fr-FR"/>
        </w:rPr>
        <w:br/>
        <w:t>*     *</w:t>
      </w:r>
    </w:p>
    <w:p w14:paraId="3F779C9F" w14:textId="77777777" w:rsidR="00B9662D" w:rsidRPr="009C29C2" w:rsidRDefault="00B9662D" w:rsidP="00B9662D">
      <w:pPr>
        <w:spacing w:before="120" w:after="120"/>
        <w:jc w:val="both"/>
      </w:pPr>
      <w:r w:rsidRPr="009C29C2">
        <w:rPr>
          <w:color w:val="000000"/>
          <w:lang w:eastAsia="fr-FR" w:bidi="fr-FR"/>
        </w:rPr>
        <w:t>L’opération inquiétait les gros contribuables, habitués, de longue date, à payer beaucoup moins que ne l’eût voulu l’état réel de leurs ressources, il n’était point rare de les voir menacer ou même molester l’arpenteur</w:t>
      </w:r>
      <w:r>
        <w:rPr>
          <w:color w:val="000000"/>
          <w:lang w:eastAsia="fr-FR" w:bidi="fr-FR"/>
        </w:rPr>
        <w:t> </w:t>
      </w:r>
      <w:r>
        <w:rPr>
          <w:rStyle w:val="Appelnotedebasdep"/>
        </w:rPr>
        <w:footnoteReference w:id="62"/>
      </w:r>
      <w:r w:rsidRPr="009C29C2">
        <w:rPr>
          <w:color w:val="000000"/>
          <w:lang w:eastAsia="fr-FR" w:bidi="fr-FR"/>
        </w:rPr>
        <w:t>. A Auzers, l’un des plus importants propriétaires était le greffier de l’Élection de Mauriac ; à ce titre, il avait reçu en dépôt le procès-verbal d’arpentement, qui, semble-t-il, n’avait été, par exce</w:t>
      </w:r>
      <w:r w:rsidRPr="009C29C2">
        <w:rPr>
          <w:color w:val="000000"/>
          <w:lang w:eastAsia="fr-FR" w:bidi="fr-FR"/>
        </w:rPr>
        <w:t>p</w:t>
      </w:r>
      <w:r w:rsidRPr="009C29C2">
        <w:rPr>
          <w:color w:val="000000"/>
          <w:lang w:eastAsia="fr-FR" w:bidi="fr-FR"/>
        </w:rPr>
        <w:t>tion, établi qu’à un seul exemplaire ; par la suite, il en refusa obstin</w:t>
      </w:r>
      <w:r w:rsidRPr="009C29C2">
        <w:rPr>
          <w:color w:val="000000"/>
          <w:lang w:eastAsia="fr-FR" w:bidi="fr-FR"/>
        </w:rPr>
        <w:t>é</w:t>
      </w:r>
      <w:r w:rsidRPr="009C29C2">
        <w:rPr>
          <w:color w:val="000000"/>
          <w:lang w:eastAsia="fr-FR" w:bidi="fr-FR"/>
        </w:rPr>
        <w:t>ment communication</w:t>
      </w:r>
      <w:r>
        <w:rPr>
          <w:color w:val="000000"/>
          <w:lang w:eastAsia="fr-FR" w:bidi="fr-FR"/>
        </w:rPr>
        <w:t> </w:t>
      </w:r>
      <w:r>
        <w:rPr>
          <w:rStyle w:val="Appelnotedebasdep"/>
        </w:rPr>
        <w:footnoteReference w:id="63"/>
      </w:r>
      <w:r w:rsidRPr="009C29C2">
        <w:rPr>
          <w:color w:val="000000"/>
          <w:lang w:eastAsia="fr-FR" w:bidi="fr-FR"/>
        </w:rPr>
        <w:t>. Mais le cas le plus instructif est sans doute celui du bourg de Saint-Paulien</w:t>
      </w:r>
      <w:r>
        <w:rPr>
          <w:color w:val="000000"/>
          <w:lang w:eastAsia="fr-FR" w:bidi="fr-FR"/>
        </w:rPr>
        <w:t> </w:t>
      </w:r>
      <w:r>
        <w:rPr>
          <w:rStyle w:val="Appelnotedebasdep"/>
        </w:rPr>
        <w:footnoteReference w:id="64"/>
      </w:r>
      <w:r w:rsidRPr="009C29C2">
        <w:rPr>
          <w:color w:val="000000"/>
          <w:lang w:eastAsia="fr-FR" w:bidi="fr-FR"/>
        </w:rPr>
        <w:t>. L’arpentement avait été demandé, en 1738, par les habitants de plusieurs hameaux compris dans la co</w:t>
      </w:r>
      <w:r w:rsidRPr="009C29C2">
        <w:rPr>
          <w:color w:val="000000"/>
          <w:lang w:eastAsia="fr-FR" w:bidi="fr-FR"/>
        </w:rPr>
        <w:t>l</w:t>
      </w:r>
      <w:r w:rsidRPr="009C29C2">
        <w:rPr>
          <w:color w:val="000000"/>
          <w:lang w:eastAsia="fr-FR" w:bidi="fr-FR"/>
        </w:rPr>
        <w:t>lecte. Là, le principal notable était un ancien subdélégué du Puy, M. Chabron. Au témoignage du subdélégué de Brioude, dont dépendait Saint-Paulien, ce potentat de petite ville, possesseur de beaucoup de biens à Saint-Paulien et dans les environs et qui en acquérait de no</w:t>
      </w:r>
      <w:r w:rsidRPr="009C29C2">
        <w:rPr>
          <w:color w:val="000000"/>
          <w:lang w:eastAsia="fr-FR" w:bidi="fr-FR"/>
        </w:rPr>
        <w:t>u</w:t>
      </w:r>
      <w:r w:rsidRPr="009C29C2">
        <w:rPr>
          <w:color w:val="000000"/>
          <w:lang w:eastAsia="fr-FR" w:bidi="fr-FR"/>
        </w:rPr>
        <w:t>veaux « tous les jours », n’était néanmoins frappé que d’une cote « modiq</w:t>
      </w:r>
      <w:r>
        <w:rPr>
          <w:color w:val="000000"/>
          <w:lang w:eastAsia="fr-FR" w:bidi="fr-FR"/>
        </w:rPr>
        <w:t>ue ». Il prit parti contre l’ar</w:t>
      </w:r>
      <w:r w:rsidRPr="009C29C2">
        <w:rPr>
          <w:color w:val="000000"/>
          <w:lang w:eastAsia="fr-FR" w:bidi="fr-FR"/>
        </w:rPr>
        <w:t>pentement : si bien qu’à titre, semble-t-il, d’essai, l’intendant se contenta, pour 1740, de désigner d’office un « commissaire équitable », chargé d’établir le rôle aux lieu et place des collecteurs désignés, normalement, par la communauté. Le résultat fut inattendu. Laissons la parole au commissaire lui-même : « Le mauvais tems », écrivait, le 11 février 1740, cet homme candide, « m’ayant empêc</w:t>
      </w:r>
      <w:r>
        <w:rPr>
          <w:color w:val="000000"/>
          <w:lang w:eastAsia="fr-FR" w:bidi="fr-FR"/>
        </w:rPr>
        <w:t>hé de m’y transporter [à Saint-</w:t>
      </w:r>
      <w:r w:rsidRPr="009C29C2">
        <w:rPr>
          <w:color w:val="000000"/>
          <w:lang w:eastAsia="fr-FR" w:bidi="fr-FR"/>
        </w:rPr>
        <w:t>Paulien], je vous avoue que j’ay fait venir ici les consuls ; ils n’ont eu entre eux aucune altercation et la nouvelle répartition s’est faite d’une voix un</w:t>
      </w:r>
      <w:r w:rsidRPr="009C29C2">
        <w:rPr>
          <w:color w:val="000000"/>
          <w:lang w:eastAsia="fr-FR" w:bidi="fr-FR"/>
        </w:rPr>
        <w:t>a</w:t>
      </w:r>
      <w:r w:rsidRPr="009C29C2">
        <w:rPr>
          <w:color w:val="000000"/>
          <w:lang w:eastAsia="fr-FR" w:bidi="fr-FR"/>
        </w:rPr>
        <w:t>nime. Si quelqu’un se plaint encore, je puis vous assurer que ce sera sans fondement, M. Chabron se trouve, par cette variation, diminué de 72 livres 12 sous de principal de taille. J’en suis charmé, par raport aux protections qu’il a... » On ne s’étonnera point qu’en dépit de ce bel optimisme, l’intendant, le rôle à peine paru, ait été saisi d’une « in</w:t>
      </w:r>
      <w:r w:rsidRPr="009C29C2">
        <w:rPr>
          <w:color w:val="000000"/>
          <w:lang w:eastAsia="fr-FR" w:bidi="fr-FR"/>
        </w:rPr>
        <w:lastRenderedPageBreak/>
        <w:t>finité »</w:t>
      </w:r>
      <w:r>
        <w:t xml:space="preserve"> </w:t>
      </w:r>
      <w:r>
        <w:rPr>
          <w:color w:val="000000"/>
          <w:lang w:eastAsia="fr-FR" w:bidi="fr-FR"/>
        </w:rPr>
        <w:t xml:space="preserve">[587] </w:t>
      </w:r>
      <w:r w:rsidRPr="009C29C2">
        <w:rPr>
          <w:color w:val="000000"/>
          <w:lang w:eastAsia="fr-FR" w:bidi="fr-FR"/>
        </w:rPr>
        <w:t>de plaintes. S’étant convaincu que « jamais ouvrage ne fut plus mal fait », il se hâta, cette fois, de décider l’arpentement</w:t>
      </w:r>
      <w:r>
        <w:rPr>
          <w:color w:val="000000"/>
          <w:lang w:eastAsia="fr-FR" w:bidi="fr-FR"/>
        </w:rPr>
        <w:t> </w:t>
      </w:r>
      <w:r>
        <w:rPr>
          <w:rStyle w:val="Appelnotedebasdep"/>
        </w:rPr>
        <w:footnoteReference w:id="65"/>
      </w:r>
      <w:r w:rsidRPr="009C29C2">
        <w:rPr>
          <w:color w:val="000000"/>
          <w:lang w:eastAsia="fr-FR" w:bidi="fr-FR"/>
        </w:rPr>
        <w:t>.</w:t>
      </w:r>
    </w:p>
    <w:p w14:paraId="6AC050AF" w14:textId="77777777" w:rsidR="00B9662D" w:rsidRPr="009C29C2" w:rsidRDefault="00B9662D" w:rsidP="00B9662D">
      <w:pPr>
        <w:spacing w:before="120" w:after="120"/>
        <w:jc w:val="both"/>
      </w:pPr>
      <w:r w:rsidRPr="009C29C2">
        <w:rPr>
          <w:color w:val="000000"/>
          <w:lang w:eastAsia="fr-FR" w:bidi="fr-FR"/>
        </w:rPr>
        <w:t>Parmi les grands propriétaires, il convient de faire une place à part aux privilégiés. Ils avaient beau ne pas payer la taille personnell</w:t>
      </w:r>
      <w:r w:rsidRPr="009C29C2">
        <w:rPr>
          <w:color w:val="000000"/>
          <w:lang w:eastAsia="fr-FR" w:bidi="fr-FR"/>
        </w:rPr>
        <w:t>e</w:t>
      </w:r>
      <w:r w:rsidRPr="009C29C2">
        <w:rPr>
          <w:color w:val="000000"/>
          <w:lang w:eastAsia="fr-FR" w:bidi="fr-FR"/>
        </w:rPr>
        <w:t>ment : leurs fermiers la payaient, qu’ils étaient naturellement intére</w:t>
      </w:r>
      <w:r w:rsidRPr="009C29C2">
        <w:rPr>
          <w:color w:val="000000"/>
          <w:lang w:eastAsia="fr-FR" w:bidi="fr-FR"/>
        </w:rPr>
        <w:t>s</w:t>
      </w:r>
      <w:r w:rsidRPr="009C29C2">
        <w:rPr>
          <w:color w:val="000000"/>
          <w:lang w:eastAsia="fr-FR" w:bidi="fr-FR"/>
        </w:rPr>
        <w:t>sés à ne pas voir trop chargés. Eux aussi, eux surtout, redoutaient, en général, les effets de l’arpentement. Il y eut, à vrai dire, des exce</w:t>
      </w:r>
      <w:r w:rsidRPr="009C29C2">
        <w:rPr>
          <w:color w:val="000000"/>
          <w:lang w:eastAsia="fr-FR" w:bidi="fr-FR"/>
        </w:rPr>
        <w:t>p</w:t>
      </w:r>
      <w:r w:rsidRPr="009C29C2">
        <w:rPr>
          <w:color w:val="000000"/>
          <w:lang w:eastAsia="fr-FR" w:bidi="fr-FR"/>
        </w:rPr>
        <w:t>tions. Le premier arpentement de Cros avait laissé de côté les biens du duc d’Ayen. Celui-ci crut de son intérêt de faire refaire l’opération, au complet cette fois et en prenant à son compte au moins une partie des frais</w:t>
      </w:r>
      <w:r>
        <w:rPr>
          <w:color w:val="000000"/>
          <w:lang w:eastAsia="fr-FR" w:bidi="fr-FR"/>
        </w:rPr>
        <w:t> </w:t>
      </w:r>
      <w:r>
        <w:rPr>
          <w:rStyle w:val="Appelnotedebasdep"/>
        </w:rPr>
        <w:footnoteReference w:id="66"/>
      </w:r>
      <w:r w:rsidRPr="009C29C2">
        <w:rPr>
          <w:color w:val="000000"/>
          <w:lang w:eastAsia="fr-FR" w:bidi="fr-FR"/>
        </w:rPr>
        <w:t>. Mais la plupart des propriétaires nobles agirent tout autrement. L’intendant des finances d’Ormesson</w:t>
      </w:r>
      <w:r>
        <w:rPr>
          <w:color w:val="000000"/>
          <w:lang w:eastAsia="fr-FR" w:bidi="fr-FR"/>
        </w:rPr>
        <w:t> — </w:t>
      </w:r>
      <w:r w:rsidRPr="009C29C2">
        <w:rPr>
          <w:color w:val="000000"/>
          <w:lang w:eastAsia="fr-FR" w:bidi="fr-FR"/>
        </w:rPr>
        <w:t>l’un des coryphées cependant des réformes agraires</w:t>
      </w:r>
      <w:r>
        <w:rPr>
          <w:color w:val="000000"/>
          <w:lang w:eastAsia="fr-FR" w:bidi="fr-FR"/>
        </w:rPr>
        <w:t> — </w:t>
      </w:r>
      <w:r w:rsidRPr="009C29C2">
        <w:rPr>
          <w:color w:val="000000"/>
          <w:lang w:eastAsia="fr-FR" w:bidi="fr-FR"/>
        </w:rPr>
        <w:t>se plaint, en 1744, que, par suite du tarif i</w:t>
      </w:r>
      <w:r w:rsidRPr="009C29C2">
        <w:rPr>
          <w:color w:val="000000"/>
          <w:lang w:eastAsia="fr-FR" w:bidi="fr-FR"/>
        </w:rPr>
        <w:t>n</w:t>
      </w:r>
      <w:r w:rsidRPr="009C29C2">
        <w:rPr>
          <w:color w:val="000000"/>
          <w:lang w:eastAsia="fr-FR" w:bidi="fr-FR"/>
        </w:rPr>
        <w:t>troduit au Crest (dont je ne sais, d’ailleurs, s’il s’accompagnait d’un arpentement), les fermiers de sa femme se trouvent trop lourdement imposés ; il suggère de recommencer l’opération ou, mieux encore, de revenir à « l’ancien pied »</w:t>
      </w:r>
      <w:r>
        <w:rPr>
          <w:color w:val="000000"/>
          <w:lang w:eastAsia="fr-FR" w:bidi="fr-FR"/>
        </w:rPr>
        <w:t> </w:t>
      </w:r>
      <w:r>
        <w:rPr>
          <w:rStyle w:val="Appelnotedebasdep"/>
        </w:rPr>
        <w:footnoteReference w:id="67"/>
      </w:r>
      <w:r w:rsidRPr="009C29C2">
        <w:rPr>
          <w:color w:val="000000"/>
          <w:lang w:eastAsia="fr-FR" w:bidi="fr-FR"/>
        </w:rPr>
        <w:t xml:space="preserve">. </w:t>
      </w:r>
      <w:r>
        <w:rPr>
          <w:color w:val="000000"/>
          <w:lang w:eastAsia="fr-FR" w:bidi="fr-FR"/>
        </w:rPr>
        <w:t>À</w:t>
      </w:r>
      <w:r w:rsidRPr="009C29C2">
        <w:rPr>
          <w:color w:val="000000"/>
          <w:lang w:eastAsia="fr-FR" w:bidi="fr-FR"/>
        </w:rPr>
        <w:t xml:space="preserve"> Aulhat, à Trizac, les gentilshommes, possesseurs de « domaines », refusent de laisser arpenter leurs terres, comme de contribuer aux dépenses</w:t>
      </w:r>
      <w:r>
        <w:rPr>
          <w:color w:val="000000"/>
          <w:lang w:eastAsia="fr-FR" w:bidi="fr-FR"/>
        </w:rPr>
        <w:t> </w:t>
      </w:r>
      <w:r>
        <w:rPr>
          <w:rStyle w:val="Appelnotedebasdep"/>
        </w:rPr>
        <w:footnoteReference w:id="68"/>
      </w:r>
      <w:r w:rsidRPr="009C29C2">
        <w:rPr>
          <w:color w:val="000000"/>
          <w:lang w:eastAsia="fr-FR" w:bidi="fr-FR"/>
        </w:rPr>
        <w:t>.</w:t>
      </w:r>
    </w:p>
    <w:p w14:paraId="6EE42A01" w14:textId="77777777" w:rsidR="00B9662D" w:rsidRPr="009C29C2" w:rsidRDefault="00B9662D" w:rsidP="00B9662D">
      <w:pPr>
        <w:spacing w:before="120" w:after="120"/>
        <w:jc w:val="both"/>
      </w:pPr>
      <w:r w:rsidRPr="009C29C2">
        <w:rPr>
          <w:color w:val="000000"/>
          <w:lang w:eastAsia="fr-FR" w:bidi="fr-FR"/>
        </w:rPr>
        <w:t>La crainte de se voir obligés de baisser les fermages n’était d’ailleurs pas la seule raison qui dressât les privilégiés contre l’arpentement et le tarif. Un passage de la lettre de Chabron (ce gros bonnet de Saint-Paulien, dont il a été question il y a un instant) met en lumière l’influence exercée sur les populations par l’exemple langu</w:t>
      </w:r>
      <w:r w:rsidRPr="009C29C2">
        <w:rPr>
          <w:color w:val="000000"/>
          <w:lang w:eastAsia="fr-FR" w:bidi="fr-FR"/>
        </w:rPr>
        <w:t>e</w:t>
      </w:r>
      <w:r w:rsidRPr="009C29C2">
        <w:rPr>
          <w:color w:val="000000"/>
          <w:lang w:eastAsia="fr-FR" w:bidi="fr-FR"/>
        </w:rPr>
        <w:t>docien</w:t>
      </w:r>
      <w:r>
        <w:rPr>
          <w:color w:val="000000"/>
          <w:lang w:eastAsia="fr-FR" w:bidi="fr-FR"/>
        </w:rPr>
        <w:t> </w:t>
      </w:r>
      <w:r>
        <w:rPr>
          <w:rStyle w:val="Appelnotedebasdep"/>
        </w:rPr>
        <w:footnoteReference w:id="69"/>
      </w:r>
      <w:r w:rsidRPr="009C29C2">
        <w:rPr>
          <w:color w:val="000000"/>
          <w:lang w:eastAsia="fr-FR" w:bidi="fr-FR"/>
        </w:rPr>
        <w:t xml:space="preserve">. « Les habitantes de ces villages sont les plus limitrophes du </w:t>
      </w:r>
      <w:r w:rsidRPr="009C29C2">
        <w:rPr>
          <w:color w:val="000000"/>
          <w:lang w:eastAsia="fr-FR" w:bidi="fr-FR"/>
        </w:rPr>
        <w:lastRenderedPageBreak/>
        <w:t>Languedoc où les fonds sont cadastrés ; et comme c’est un pays d’Estat où les impositions ne sont pas si fortes qu’en cette province, les habitants de ces cinq vilages se sont flatés que si leurs fonds po</w:t>
      </w:r>
      <w:r w:rsidRPr="009C29C2">
        <w:rPr>
          <w:color w:val="000000"/>
          <w:lang w:eastAsia="fr-FR" w:bidi="fr-FR"/>
        </w:rPr>
        <w:t>u</w:t>
      </w:r>
      <w:r w:rsidRPr="009C29C2">
        <w:rPr>
          <w:color w:val="000000"/>
          <w:lang w:eastAsia="fr-FR" w:bidi="fr-FR"/>
        </w:rPr>
        <w:t>voit estre cadastrés, ils pourroit estre comme ceux du Languedoc. » L’introduction d’une méthode d’assiette nouvelle, fort proche de celle des pays de taille réelle, n’était-elle pas le signe annonciateur d’une modification plus profonde du système fiscal lui-même ? Certains, comme on le voit, semblent l’avoir espéré. Dans l’autre camp on ne pouvait manquer, inversement, de le redouter.</w:t>
      </w:r>
    </w:p>
    <w:p w14:paraId="422C5FCD" w14:textId="77777777" w:rsidR="00B9662D" w:rsidRPr="009C29C2" w:rsidRDefault="00B9662D" w:rsidP="00B9662D">
      <w:pPr>
        <w:spacing w:before="120" w:after="120"/>
        <w:jc w:val="both"/>
      </w:pPr>
      <w:r w:rsidRPr="009C29C2">
        <w:rPr>
          <w:color w:val="000000"/>
          <w:lang w:eastAsia="fr-FR" w:bidi="fr-FR"/>
        </w:rPr>
        <w:t xml:space="preserve">Il y a plus. Dans cet inquiet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les personnes attachées, par intérêt ou tradition, à l’ordre établi, étendaient volontiers à toutes les nouveautés une méfiance de principe. « Les sisthèmes nouveaux en fait de religion et de politique sont ordinairement tous suspects et pernicieux », écrivait encore le bon Chabron. Chez les administr</w:t>
      </w:r>
      <w:r w:rsidRPr="009C29C2">
        <w:rPr>
          <w:color w:val="000000"/>
          <w:lang w:eastAsia="fr-FR" w:bidi="fr-FR"/>
        </w:rPr>
        <w:t>a</w:t>
      </w:r>
      <w:r w:rsidRPr="009C29C2">
        <w:rPr>
          <w:color w:val="000000"/>
          <w:lang w:eastAsia="fr-FR" w:bidi="fr-FR"/>
        </w:rPr>
        <w:t>teurs, ce sentiment</w:t>
      </w:r>
      <w:r>
        <w:t xml:space="preserve"> </w:t>
      </w:r>
      <w:r>
        <w:rPr>
          <w:color w:val="000000"/>
          <w:lang w:eastAsia="fr-FR" w:bidi="fr-FR"/>
        </w:rPr>
        <w:t>[588]</w:t>
      </w:r>
      <w:r w:rsidRPr="009C29C2">
        <w:rPr>
          <w:color w:val="000000"/>
          <w:lang w:eastAsia="fr-FR" w:bidi="fr-FR"/>
        </w:rPr>
        <w:t xml:space="preserve"> paraît s’être fait particulièrement aigu dans les dernières a</w:t>
      </w:r>
      <w:r w:rsidRPr="009C29C2">
        <w:rPr>
          <w:color w:val="000000"/>
          <w:lang w:eastAsia="fr-FR" w:bidi="fr-FR"/>
        </w:rPr>
        <w:t>n</w:t>
      </w:r>
      <w:r w:rsidRPr="009C29C2">
        <w:rPr>
          <w:color w:val="000000"/>
          <w:lang w:eastAsia="fr-FR" w:bidi="fr-FR"/>
        </w:rPr>
        <w:t>nées d’un régime, que les esprits avisés savaient à la merci de toute secousse un peu forte. Avant d’accéder aux fonctions d’intendant, Chazerat avait été Premier Président de la Cour des Aides de Cle</w:t>
      </w:r>
      <w:r w:rsidRPr="009C29C2">
        <w:rPr>
          <w:color w:val="000000"/>
          <w:lang w:eastAsia="fr-FR" w:bidi="fr-FR"/>
        </w:rPr>
        <w:t>r</w:t>
      </w:r>
      <w:r w:rsidRPr="009C29C2">
        <w:rPr>
          <w:color w:val="000000"/>
          <w:lang w:eastAsia="fr-FR" w:bidi="fr-FR"/>
        </w:rPr>
        <w:t>mont, qui, conformément à la politique ordinaire des grands corps pr</w:t>
      </w:r>
      <w:r w:rsidRPr="009C29C2">
        <w:rPr>
          <w:color w:val="000000"/>
          <w:lang w:eastAsia="fr-FR" w:bidi="fr-FR"/>
        </w:rPr>
        <w:t>i</w:t>
      </w:r>
      <w:r w:rsidRPr="009C29C2">
        <w:rPr>
          <w:color w:val="000000"/>
          <w:lang w:eastAsia="fr-FR" w:bidi="fr-FR"/>
        </w:rPr>
        <w:t xml:space="preserve">vilégiés, témoignait à la taille tarifée une hostilité manifeste. </w:t>
      </w:r>
      <w:r>
        <w:rPr>
          <w:color w:val="000000"/>
          <w:lang w:eastAsia="fr-FR" w:bidi="fr-FR"/>
        </w:rPr>
        <w:t>À</w:t>
      </w:r>
      <w:r w:rsidRPr="009C29C2">
        <w:rPr>
          <w:color w:val="000000"/>
          <w:lang w:eastAsia="fr-FR" w:bidi="fr-FR"/>
        </w:rPr>
        <w:t xml:space="preserve"> en croire d’Ormesson, il ne partageait pourtant pas pleinement, sur ce point, les partis pris de sa Compagnie</w:t>
      </w:r>
      <w:r>
        <w:rPr>
          <w:color w:val="000000"/>
          <w:lang w:eastAsia="fr-FR" w:bidi="fr-FR"/>
        </w:rPr>
        <w:t> </w:t>
      </w:r>
      <w:r>
        <w:rPr>
          <w:rStyle w:val="Appelnotedebasdep"/>
        </w:rPr>
        <w:footnoteReference w:id="70"/>
      </w:r>
      <w:r w:rsidRPr="009C29C2">
        <w:rPr>
          <w:color w:val="000000"/>
          <w:lang w:eastAsia="fr-FR" w:bidi="fr-FR"/>
        </w:rPr>
        <w:t>. Les quelques mots dans le</w:t>
      </w:r>
      <w:r w:rsidRPr="009C29C2">
        <w:rPr>
          <w:color w:val="000000"/>
          <w:lang w:eastAsia="fr-FR" w:bidi="fr-FR"/>
        </w:rPr>
        <w:t>s</w:t>
      </w:r>
      <w:r w:rsidRPr="009C29C2">
        <w:rPr>
          <w:color w:val="000000"/>
          <w:lang w:eastAsia="fr-FR" w:bidi="fr-FR"/>
        </w:rPr>
        <w:t>quels, en une lettre du 24 février 1785, il rassemble les arguments qu’on pouvait faire valoir contre l’arpentement n’en sont que plus c</w:t>
      </w:r>
      <w:r w:rsidRPr="009C29C2">
        <w:rPr>
          <w:color w:val="000000"/>
          <w:lang w:eastAsia="fr-FR" w:bidi="fr-FR"/>
        </w:rPr>
        <w:t>a</w:t>
      </w:r>
      <w:r w:rsidRPr="009C29C2">
        <w:rPr>
          <w:color w:val="000000"/>
          <w:lang w:eastAsia="fr-FR" w:bidi="fr-FR"/>
        </w:rPr>
        <w:t xml:space="preserve">ractéristiques : « J’ai reconnu par expérience que ces opérations... sont non seulement très coûteuses, mais encore qu’elles sont rarement bien faites et que, par conséquent, </w:t>
      </w:r>
      <w:r w:rsidRPr="00267866">
        <w:rPr>
          <w:i/>
        </w:rPr>
        <w:t>elles entraîneront des procès et des di</w:t>
      </w:r>
      <w:r w:rsidRPr="00267866">
        <w:rPr>
          <w:i/>
        </w:rPr>
        <w:t>f</w:t>
      </w:r>
      <w:r w:rsidRPr="00267866">
        <w:rPr>
          <w:i/>
        </w:rPr>
        <w:t>ficultés sans fin</w:t>
      </w:r>
      <w:r w:rsidRPr="00267866">
        <w:rPr>
          <w:i/>
          <w:color w:val="000000"/>
          <w:lang w:eastAsia="fr-FR" w:bidi="fr-FR"/>
        </w:rPr>
        <w:t> </w:t>
      </w:r>
      <w:r w:rsidRPr="009C29C2">
        <w:rPr>
          <w:color w:val="000000"/>
          <w:lang w:eastAsia="fr-FR" w:bidi="fr-FR"/>
        </w:rPr>
        <w:t>»</w:t>
      </w:r>
      <w:r>
        <w:rPr>
          <w:color w:val="000000"/>
          <w:lang w:eastAsia="fr-FR" w:bidi="fr-FR"/>
        </w:rPr>
        <w:t> </w:t>
      </w:r>
      <w:r>
        <w:rPr>
          <w:rStyle w:val="Appelnotedebasdep"/>
        </w:rPr>
        <w:footnoteReference w:id="71"/>
      </w:r>
      <w:r w:rsidRPr="009C29C2">
        <w:rPr>
          <w:color w:val="000000"/>
          <w:lang w:eastAsia="fr-FR" w:bidi="fr-FR"/>
        </w:rPr>
        <w:t>.</w:t>
      </w:r>
    </w:p>
    <w:p w14:paraId="3B64037B" w14:textId="77777777" w:rsidR="00B9662D" w:rsidRPr="009C29C2" w:rsidRDefault="00B9662D" w:rsidP="00B9662D">
      <w:pPr>
        <w:spacing w:before="120" w:after="120"/>
        <w:jc w:val="both"/>
      </w:pPr>
      <w:r w:rsidRPr="009C29C2">
        <w:rPr>
          <w:color w:val="000000"/>
          <w:lang w:eastAsia="fr-FR" w:bidi="fr-FR"/>
        </w:rPr>
        <w:lastRenderedPageBreak/>
        <w:t>Les résistances opposées à l’arpentement furent parfois si vives que, dans une paroisse au moins, qui avait été dûment arpentée et tar</w:t>
      </w:r>
      <w:r w:rsidRPr="009C29C2">
        <w:rPr>
          <w:color w:val="000000"/>
          <w:lang w:eastAsia="fr-FR" w:bidi="fr-FR"/>
        </w:rPr>
        <w:t>i</w:t>
      </w:r>
      <w:r w:rsidRPr="009C29C2">
        <w:rPr>
          <w:color w:val="000000"/>
          <w:lang w:eastAsia="fr-FR" w:bidi="fr-FR"/>
        </w:rPr>
        <w:t>fée, on put voir, au bout de quelques années, les consuls revenir, de leur propre autorité, aux anciennes pratiques d’établissement des r</w:t>
      </w:r>
      <w:r w:rsidRPr="009C29C2">
        <w:rPr>
          <w:color w:val="000000"/>
          <w:lang w:eastAsia="fr-FR" w:bidi="fr-FR"/>
        </w:rPr>
        <w:t>ô</w:t>
      </w:r>
      <w:r w:rsidRPr="009C29C2">
        <w:rPr>
          <w:color w:val="000000"/>
          <w:lang w:eastAsia="fr-FR" w:bidi="fr-FR"/>
        </w:rPr>
        <w:t>les</w:t>
      </w:r>
      <w:r>
        <w:rPr>
          <w:color w:val="000000"/>
          <w:lang w:eastAsia="fr-FR" w:bidi="fr-FR"/>
        </w:rPr>
        <w:t> </w:t>
      </w:r>
      <w:r>
        <w:rPr>
          <w:rStyle w:val="Appelnotedebasdep"/>
        </w:rPr>
        <w:footnoteReference w:id="72"/>
      </w:r>
      <w:r w:rsidRPr="009C29C2">
        <w:rPr>
          <w:color w:val="000000"/>
          <w:lang w:eastAsia="fr-FR" w:bidi="fr-FR"/>
        </w:rPr>
        <w:t>. Les « pauvres », cependant, continuaient à réclamer de toutes parts, une opération dont, avec une foi peut-être un peu naïve, mais qui n’était pas sans fondement, ils attendaient le soulagement de leur injuste fardeau. Un curieux épisode met clairement en relief, vers la fin de l’Ancien Régime, l’antagonisme d’intérêts qui se jouait ainsi autour de ce qui eût pu paraître un simple problème de technique fi</w:t>
      </w:r>
      <w:r w:rsidRPr="009C29C2">
        <w:rPr>
          <w:color w:val="000000"/>
          <w:lang w:eastAsia="fr-FR" w:bidi="fr-FR"/>
        </w:rPr>
        <w:t>s</w:t>
      </w:r>
      <w:r w:rsidRPr="009C29C2">
        <w:rPr>
          <w:color w:val="000000"/>
          <w:lang w:eastAsia="fr-FR" w:bidi="fr-FR"/>
        </w:rPr>
        <w:t>cale. Ce fut l’affaire du cadastre général de l’Auvergne</w:t>
      </w:r>
      <w:r>
        <w:rPr>
          <w:color w:val="000000"/>
          <w:lang w:eastAsia="fr-FR" w:bidi="fr-FR"/>
        </w:rPr>
        <w:t> </w:t>
      </w:r>
      <w:r>
        <w:rPr>
          <w:rStyle w:val="Appelnotedebasdep"/>
        </w:rPr>
        <w:footnoteReference w:id="73"/>
      </w:r>
      <w:r w:rsidRPr="009C29C2">
        <w:rPr>
          <w:color w:val="000000"/>
          <w:lang w:eastAsia="fr-FR" w:bidi="fr-FR"/>
        </w:rPr>
        <w:t>.</w:t>
      </w:r>
    </w:p>
    <w:p w14:paraId="06E64E85" w14:textId="77777777" w:rsidR="00B9662D" w:rsidRDefault="00B9662D" w:rsidP="00B9662D">
      <w:pPr>
        <w:pStyle w:val="c"/>
        <w:rPr>
          <w:lang w:eastAsia="fr-FR" w:bidi="fr-FR"/>
        </w:rPr>
      </w:pPr>
      <w:r>
        <w:rPr>
          <w:lang w:eastAsia="fr-FR" w:bidi="fr-FR"/>
        </w:rPr>
        <w:t>*</w:t>
      </w:r>
      <w:r>
        <w:rPr>
          <w:lang w:eastAsia="fr-FR" w:bidi="fr-FR"/>
        </w:rPr>
        <w:br/>
        <w:t>*     *</w:t>
      </w:r>
    </w:p>
    <w:p w14:paraId="4C5EE6B5" w14:textId="77777777" w:rsidR="00B9662D" w:rsidRPr="009C29C2" w:rsidRDefault="00B9662D" w:rsidP="00B9662D">
      <w:pPr>
        <w:spacing w:before="120" w:after="120"/>
        <w:jc w:val="both"/>
      </w:pPr>
      <w:r w:rsidRPr="009C29C2">
        <w:rPr>
          <w:color w:val="000000"/>
          <w:lang w:eastAsia="fr-FR" w:bidi="fr-FR"/>
        </w:rPr>
        <w:t>Elle eut son origine à Paris, dans les milieux de l’émigration a</w:t>
      </w:r>
      <w:r w:rsidRPr="009C29C2">
        <w:rPr>
          <w:color w:val="000000"/>
          <w:lang w:eastAsia="fr-FR" w:bidi="fr-FR"/>
        </w:rPr>
        <w:t>u</w:t>
      </w:r>
      <w:r w:rsidRPr="009C29C2">
        <w:rPr>
          <w:color w:val="000000"/>
          <w:lang w:eastAsia="fr-FR" w:bidi="fr-FR"/>
        </w:rPr>
        <w:t>vergnate. Ces expatriés étaient pour la plupart d’assez humbles gens : chaudronniers, porteurs d’eau, frotteurs, crocheteurs « et autres gagne-deniers ». Mais une grande solidarité, favorisée par leur habitude de vivre en « chambrées », régnait entre eux. Ils n’étaient, d’ailleurs, pas tous pauvres, ni absolument dénués d’influence. Au té</w:t>
      </w:r>
      <w:r>
        <w:rPr>
          <w:color w:val="000000"/>
          <w:lang w:eastAsia="fr-FR" w:bidi="fr-FR"/>
        </w:rPr>
        <w:t>moignage d’un garde de la conné</w:t>
      </w:r>
      <w:r w:rsidRPr="009C29C2">
        <w:rPr>
          <w:color w:val="000000"/>
          <w:lang w:eastAsia="fr-FR" w:bidi="fr-FR"/>
        </w:rPr>
        <w:t>tablie de France, Quérelle, qui semble avoir servi d’indicateur en chef à l’Intendance de Riom, il se trouvait dans le nombre des individus « opulens ». Disons, du moins : modestement aisés. Tels, un certain Jean Cayrou, à la fois frotteur public et « fameux prêteur d’argent à grosse uzure » ; un autre frotteur, Vid</w:t>
      </w:r>
      <w:r w:rsidRPr="009C29C2">
        <w:rPr>
          <w:color w:val="000000"/>
          <w:lang w:eastAsia="fr-FR" w:bidi="fr-FR"/>
        </w:rPr>
        <w:t>a</w:t>
      </w:r>
      <w:r w:rsidRPr="009C29C2">
        <w:rPr>
          <w:color w:val="000000"/>
          <w:lang w:eastAsia="fr-FR" w:bidi="fr-FR"/>
        </w:rPr>
        <w:t>lenc, dont la femme tenait boutique de fruitière et d’herboriste rue de Seine. D’autres, par leur métier même, se trouvaient en état d’approcher les grands. Un frère de Jean Cayrou, Guillaume, était frotteur du comte de Vergennes, alors secrétaire d’État,</w:t>
      </w:r>
      <w:r>
        <w:rPr>
          <w:color w:val="000000"/>
          <w:lang w:eastAsia="fr-FR" w:bidi="fr-FR"/>
        </w:rPr>
        <w:t xml:space="preserve"> </w:t>
      </w:r>
      <w:r>
        <w:t xml:space="preserve">[589] </w:t>
      </w:r>
      <w:r w:rsidRPr="009C29C2">
        <w:rPr>
          <w:color w:val="000000"/>
          <w:lang w:eastAsia="fr-FR" w:bidi="fr-FR"/>
        </w:rPr>
        <w:t>chargé des Affaires Étrangères. Le rapport de Quérelle en fait foi : ses co</w:t>
      </w:r>
      <w:r w:rsidRPr="009C29C2">
        <w:rPr>
          <w:color w:val="000000"/>
          <w:lang w:eastAsia="fr-FR" w:bidi="fr-FR"/>
        </w:rPr>
        <w:t>m</w:t>
      </w:r>
      <w:r w:rsidRPr="009C29C2">
        <w:rPr>
          <w:color w:val="000000"/>
          <w:lang w:eastAsia="fr-FR" w:bidi="fr-FR"/>
        </w:rPr>
        <w:t>patriotes ne le tenaient point pour un personnage sans impo</w:t>
      </w:r>
      <w:r w:rsidRPr="009C29C2">
        <w:rPr>
          <w:color w:val="000000"/>
          <w:lang w:eastAsia="fr-FR" w:bidi="fr-FR"/>
        </w:rPr>
        <w:t>r</w:t>
      </w:r>
      <w:r w:rsidRPr="009C29C2">
        <w:rPr>
          <w:color w:val="000000"/>
          <w:lang w:eastAsia="fr-FR" w:bidi="fr-FR"/>
        </w:rPr>
        <w:t>tance.</w:t>
      </w:r>
    </w:p>
    <w:p w14:paraId="6FC595E7" w14:textId="77777777" w:rsidR="00B9662D" w:rsidRPr="009C29C2" w:rsidRDefault="00B9662D" w:rsidP="00B9662D">
      <w:pPr>
        <w:spacing w:before="120" w:after="120"/>
        <w:jc w:val="both"/>
      </w:pPr>
      <w:r w:rsidRPr="009C29C2">
        <w:rPr>
          <w:color w:val="000000"/>
          <w:lang w:eastAsia="fr-FR" w:bidi="fr-FR"/>
        </w:rPr>
        <w:lastRenderedPageBreak/>
        <w:t>Or, même parmi les moins favorisés de ces Auvergnats de Paris, presque tous possédaient au pays au moins quelques lopins. Ils s’estimaient, en général, trop lourdement taxés ; car, disaient-ils, les autres contribuables et notamment les gros se déchargeaient volontiers sur le dos des absents. D’où l’idée de réclamer la confection d’un « cadastre général » de l’Auvergne, avec arpentement de « tous les terrains de chaque particulier ». Elle semble avoir d’abord pris corps, vers 1785, chez les originaires de la Haute-Auvergne, qui fournissait, sans doute, la majeure partie des émigrants et dont les populations, par surcroît, étant proches voisines des contrées de taille réelle, ne po</w:t>
      </w:r>
      <w:r w:rsidRPr="009C29C2">
        <w:rPr>
          <w:color w:val="000000"/>
          <w:lang w:eastAsia="fr-FR" w:bidi="fr-FR"/>
        </w:rPr>
        <w:t>u</w:t>
      </w:r>
      <w:r w:rsidRPr="009C29C2">
        <w:rPr>
          <w:color w:val="000000"/>
          <w:lang w:eastAsia="fr-FR" w:bidi="fr-FR"/>
        </w:rPr>
        <w:t>vaient guère manquer de connaître et d’apprécier la pratique des co</w:t>
      </w:r>
      <w:r w:rsidRPr="009C29C2">
        <w:rPr>
          <w:color w:val="000000"/>
          <w:lang w:eastAsia="fr-FR" w:bidi="fr-FR"/>
        </w:rPr>
        <w:t>m</w:t>
      </w:r>
      <w:r w:rsidRPr="009C29C2">
        <w:rPr>
          <w:color w:val="000000"/>
          <w:lang w:eastAsia="fr-FR" w:bidi="fr-FR"/>
        </w:rPr>
        <w:t>poix ; la première pétition au roi, du 23 janvier 1786, est rédigée un</w:t>
      </w:r>
      <w:r w:rsidRPr="009C29C2">
        <w:rPr>
          <w:color w:val="000000"/>
          <w:lang w:eastAsia="fr-FR" w:bidi="fr-FR"/>
        </w:rPr>
        <w:t>i</w:t>
      </w:r>
      <w:r w:rsidRPr="009C29C2">
        <w:rPr>
          <w:color w:val="000000"/>
          <w:lang w:eastAsia="fr-FR" w:bidi="fr-FR"/>
        </w:rPr>
        <w:t>quement au nom des « habitans » de cette région. Puis on s’unit aux gens de Basse-Auvergne. La seconde pétition, du 18 mars 1786, r</w:t>
      </w:r>
      <w:r w:rsidRPr="009C29C2">
        <w:rPr>
          <w:color w:val="000000"/>
          <w:lang w:eastAsia="fr-FR" w:bidi="fr-FR"/>
        </w:rPr>
        <w:t>é</w:t>
      </w:r>
      <w:r w:rsidRPr="009C29C2">
        <w:rPr>
          <w:color w:val="000000"/>
          <w:lang w:eastAsia="fr-FR" w:bidi="fr-FR"/>
        </w:rPr>
        <w:t>clame le cadastre général des « deux provinces ». On fit une collecte pour subvenir aux frais des mémoires et des voyages à Versailles. Deux avocats au Grand Conseil accordèrent leurs services pour la r</w:t>
      </w:r>
      <w:r w:rsidRPr="009C29C2">
        <w:rPr>
          <w:color w:val="000000"/>
          <w:lang w:eastAsia="fr-FR" w:bidi="fr-FR"/>
        </w:rPr>
        <w:t>é</w:t>
      </w:r>
      <w:r w:rsidRPr="009C29C2">
        <w:rPr>
          <w:color w:val="000000"/>
          <w:lang w:eastAsia="fr-FR" w:bidi="fr-FR"/>
        </w:rPr>
        <w:t>daction des pièces : l’un avait pour domestique un frère de Jean Cayrou ; l’autre avait plaidé pour les chaudronniers du faubourg Saint-Antoine, parmi lesquels il se trouvait probablement beaucoup d’Auvergnats. Jean Cayrou s’en alla, durant l’été, recueillir de nouve</w:t>
      </w:r>
      <w:r w:rsidRPr="009C29C2">
        <w:rPr>
          <w:color w:val="000000"/>
          <w:lang w:eastAsia="fr-FR" w:bidi="fr-FR"/>
        </w:rPr>
        <w:t>l</w:t>
      </w:r>
      <w:r w:rsidRPr="009C29C2">
        <w:rPr>
          <w:color w:val="000000"/>
          <w:lang w:eastAsia="fr-FR" w:bidi="fr-FR"/>
        </w:rPr>
        <w:t>les signatures dans son village natal de Tagenac-en-Planèze</w:t>
      </w:r>
      <w:r>
        <w:rPr>
          <w:color w:val="000000"/>
          <w:lang w:eastAsia="fr-FR" w:bidi="fr-FR"/>
        </w:rPr>
        <w:t> </w:t>
      </w:r>
      <w:r>
        <w:rPr>
          <w:rStyle w:val="Appelnotedebasdep"/>
        </w:rPr>
        <w:footnoteReference w:id="74"/>
      </w:r>
      <w:r w:rsidRPr="009C29C2">
        <w:rPr>
          <w:color w:val="000000"/>
          <w:lang w:eastAsia="fr-FR" w:bidi="fr-FR"/>
        </w:rPr>
        <w:t>. Deux pétitions, comme il a été dit, furent adressées au roi. D’autres placets furent remis à Calonne, aux princes du sang, au chancelier, enfin à l’intendant des finances Vergennes, neveu du maître de Guillaume Cayrou et chargé spécialement du département des impositions.</w:t>
      </w:r>
    </w:p>
    <w:p w14:paraId="0A14AB31" w14:textId="77777777" w:rsidR="00B9662D" w:rsidRPr="009C29C2" w:rsidRDefault="00B9662D" w:rsidP="00B9662D">
      <w:pPr>
        <w:spacing w:before="120" w:after="120"/>
        <w:jc w:val="both"/>
      </w:pPr>
      <w:r w:rsidRPr="009C29C2">
        <w:rPr>
          <w:color w:val="000000"/>
          <w:lang w:eastAsia="fr-FR" w:bidi="fr-FR"/>
        </w:rPr>
        <w:t>Fut-ce vraiment par l’entremise du frotteur de son oncle ? Le jeune Vergennes semble s’être intéressé à l’affaire. Mais il se heurta, de la part de Chazerat, à une véritable fin de non-recevoir. Déjà, la seconde requête au roi s’était élevée contre l’attitude de l’intendant de Riom. Dans le privé, les pétitionnaires, paraît-il, allaient jusqu’à l’accuser de s’être laissé corrompre par les cadeaux de certains « riches partic</w:t>
      </w:r>
      <w:r w:rsidRPr="009C29C2">
        <w:rPr>
          <w:color w:val="000000"/>
          <w:lang w:eastAsia="fr-FR" w:bidi="fr-FR"/>
        </w:rPr>
        <w:t>u</w:t>
      </w:r>
      <w:r w:rsidRPr="009C29C2">
        <w:rPr>
          <w:color w:val="000000"/>
          <w:lang w:eastAsia="fr-FR" w:bidi="fr-FR"/>
        </w:rPr>
        <w:t xml:space="preserve">liers ». La vérité était, probablement, plus simple : défavorable déjà </w:t>
      </w:r>
      <w:r w:rsidRPr="009C29C2">
        <w:rPr>
          <w:color w:val="000000"/>
          <w:lang w:eastAsia="fr-FR" w:bidi="fr-FR"/>
        </w:rPr>
        <w:lastRenderedPageBreak/>
        <w:t>aux arpentements de villages pris isolément, les mêmes raisons d</w:t>
      </w:r>
      <w:r w:rsidRPr="009C29C2">
        <w:rPr>
          <w:color w:val="000000"/>
          <w:lang w:eastAsia="fr-FR" w:bidi="fr-FR"/>
        </w:rPr>
        <w:t>e</w:t>
      </w:r>
      <w:r w:rsidRPr="009C29C2">
        <w:rPr>
          <w:color w:val="000000"/>
          <w:lang w:eastAsia="fr-FR" w:bidi="fr-FR"/>
        </w:rPr>
        <w:t>vaient le rendre encore plus résolument hostile à une mesure générale, de caractère presque révolutionnaire. La campagne finalement tomba à plat, non sans avoir, visiblement, beaucoup agité les esprits, surtout dans les groupes auvergnats de la capitale. Il ne serait peut-être pas sans intérêt de pouvoir suivre les destinées des principaux meneurs, après 89. Quant au plus adroit des mouchards au service de l’agent Quérelle</w:t>
      </w:r>
      <w:r>
        <w:rPr>
          <w:color w:val="000000"/>
          <w:lang w:eastAsia="fr-FR" w:bidi="fr-FR"/>
        </w:rPr>
        <w:t> — </w:t>
      </w:r>
      <w:r w:rsidRPr="009C29C2">
        <w:rPr>
          <w:color w:val="000000"/>
          <w:lang w:eastAsia="fr-FR" w:bidi="fr-FR"/>
        </w:rPr>
        <w:t>un pauvre gagne-deniers, natif lui aussi de La Planèze,</w:t>
      </w:r>
      <w:r>
        <w:rPr>
          <w:color w:val="000000"/>
          <w:lang w:eastAsia="fr-FR" w:bidi="fr-FR"/>
        </w:rPr>
        <w:t> — </w:t>
      </w:r>
      <w:r w:rsidRPr="009C29C2">
        <w:rPr>
          <w:color w:val="000000"/>
          <w:lang w:eastAsia="fr-FR" w:bidi="fr-FR"/>
        </w:rPr>
        <w:t>nous ignorerons sans doute toujours s’il obtint de M</w:t>
      </w:r>
      <w:r>
        <w:rPr>
          <w:color w:val="000000"/>
          <w:vertAlign w:val="superscript"/>
          <w:lang w:eastAsia="fr-FR" w:bidi="fr-FR"/>
        </w:rPr>
        <w:t>gr</w:t>
      </w:r>
      <w:r w:rsidRPr="009C29C2">
        <w:rPr>
          <w:color w:val="000000"/>
          <w:lang w:eastAsia="fr-FR" w:bidi="fr-FR"/>
        </w:rPr>
        <w:t xml:space="preserve"> l’Intendant la récompense, singulièrement appropriée, que son employeur avait so</w:t>
      </w:r>
      <w:r w:rsidRPr="009C29C2">
        <w:rPr>
          <w:color w:val="000000"/>
          <w:lang w:eastAsia="fr-FR" w:bidi="fr-FR"/>
        </w:rPr>
        <w:t>l</w:t>
      </w:r>
      <w:r w:rsidRPr="009C29C2">
        <w:rPr>
          <w:color w:val="000000"/>
          <w:lang w:eastAsia="fr-FR" w:bidi="fr-FR"/>
        </w:rPr>
        <w:t>licitée, avec insistance, en sa faveur : une décharge d’impôt dans son village d’origine.</w:t>
      </w:r>
    </w:p>
    <w:p w14:paraId="55F83C68" w14:textId="77777777" w:rsidR="00B9662D" w:rsidRDefault="00B9662D" w:rsidP="00B9662D">
      <w:pPr>
        <w:spacing w:before="120" w:after="120"/>
        <w:jc w:val="both"/>
        <w:rPr>
          <w:color w:val="000000"/>
          <w:lang w:eastAsia="fr-FR" w:bidi="fr-FR"/>
        </w:rPr>
      </w:pPr>
      <w:r>
        <w:rPr>
          <w:color w:val="000000"/>
          <w:lang w:eastAsia="fr-FR" w:bidi="fr-FR"/>
        </w:rPr>
        <w:t>[590]</w:t>
      </w:r>
    </w:p>
    <w:p w14:paraId="2F32582B" w14:textId="77777777" w:rsidR="00B9662D" w:rsidRDefault="00B9662D" w:rsidP="00B9662D">
      <w:pPr>
        <w:pStyle w:val="c"/>
        <w:rPr>
          <w:lang w:eastAsia="fr-FR" w:bidi="fr-FR"/>
        </w:rPr>
      </w:pPr>
      <w:r>
        <w:rPr>
          <w:lang w:eastAsia="fr-FR" w:bidi="fr-FR"/>
        </w:rPr>
        <w:t>*</w:t>
      </w:r>
      <w:r>
        <w:rPr>
          <w:lang w:eastAsia="fr-FR" w:bidi="fr-FR"/>
        </w:rPr>
        <w:br/>
        <w:t>*     *</w:t>
      </w:r>
    </w:p>
    <w:p w14:paraId="396D4329" w14:textId="77777777" w:rsidR="00B9662D" w:rsidRPr="009C29C2" w:rsidRDefault="00B9662D" w:rsidP="00B9662D">
      <w:pPr>
        <w:spacing w:before="120" w:after="120"/>
        <w:jc w:val="both"/>
      </w:pPr>
      <w:r w:rsidRPr="009C29C2">
        <w:rPr>
          <w:color w:val="000000"/>
          <w:lang w:eastAsia="fr-FR" w:bidi="fr-FR"/>
        </w:rPr>
        <w:t xml:space="preserve">Quelque utile que pût être en lui-même l’arpentement, le travail de cadastration n’était évidemment complet que si la matrice s’accompagnait d’un plan parcellaire. Tel ne fut pas toujours le cas, à beaucoup près. </w:t>
      </w:r>
      <w:r>
        <w:rPr>
          <w:color w:val="000000"/>
          <w:lang w:eastAsia="fr-FR" w:bidi="fr-FR"/>
        </w:rPr>
        <w:t>À</w:t>
      </w:r>
      <w:r w:rsidRPr="009C29C2">
        <w:rPr>
          <w:color w:val="000000"/>
          <w:lang w:eastAsia="fr-FR" w:bidi="fr-FR"/>
        </w:rPr>
        <w:t xml:space="preserve"> vrai dire, de l’absence d’un document dans nos a</w:t>
      </w:r>
      <w:r w:rsidRPr="009C29C2">
        <w:rPr>
          <w:color w:val="000000"/>
          <w:lang w:eastAsia="fr-FR" w:bidi="fr-FR"/>
        </w:rPr>
        <w:t>r</w:t>
      </w:r>
      <w:r w:rsidRPr="009C29C2">
        <w:rPr>
          <w:color w:val="000000"/>
          <w:lang w:eastAsia="fr-FR" w:bidi="fr-FR"/>
        </w:rPr>
        <w:t>chives, il sera toujours imprudent de conclure qu’il n’a jamais existé. Certainement, plus d’un plan s’est perdu</w:t>
      </w:r>
      <w:r>
        <w:rPr>
          <w:color w:val="000000"/>
          <w:lang w:eastAsia="fr-FR" w:bidi="fr-FR"/>
        </w:rPr>
        <w:t> </w:t>
      </w:r>
      <w:r>
        <w:rPr>
          <w:rStyle w:val="Appelnotedebasdep"/>
        </w:rPr>
        <w:footnoteReference w:id="75"/>
      </w:r>
      <w:r w:rsidRPr="009C29C2">
        <w:rPr>
          <w:color w:val="000000"/>
          <w:lang w:eastAsia="fr-FR" w:bidi="fr-FR"/>
        </w:rPr>
        <w:t>. Mais nous savons aussi, de la façon la plus sûre, que souvent aucun plan n’était prévu dans la soumission de l’arpenteur</w:t>
      </w:r>
      <w:r>
        <w:rPr>
          <w:color w:val="000000"/>
          <w:lang w:eastAsia="fr-FR" w:bidi="fr-FR"/>
        </w:rPr>
        <w:t> </w:t>
      </w:r>
      <w:r>
        <w:rPr>
          <w:rStyle w:val="Appelnotedebasdep"/>
        </w:rPr>
        <w:footnoteReference w:id="76"/>
      </w:r>
      <w:r w:rsidRPr="009C29C2">
        <w:rPr>
          <w:color w:val="000000"/>
          <w:lang w:eastAsia="fr-FR" w:bidi="fr-FR"/>
        </w:rPr>
        <w:t>.</w:t>
      </w:r>
    </w:p>
    <w:p w14:paraId="2FB6580F" w14:textId="77777777" w:rsidR="00B9662D" w:rsidRPr="009C29C2" w:rsidRDefault="00B9662D" w:rsidP="00B9662D">
      <w:pPr>
        <w:spacing w:before="120" w:after="120"/>
        <w:jc w:val="both"/>
      </w:pPr>
      <w:r w:rsidRPr="009C29C2">
        <w:rPr>
          <w:color w:val="000000"/>
          <w:lang w:eastAsia="fr-FR" w:bidi="fr-FR"/>
        </w:rPr>
        <w:t>En fin de compte, un bon nombre cependant furent exécutés ; et ceux que nous avons conservés méritent de compter parmi les beaux documents de l’histoire agraire</w:t>
      </w:r>
      <w:r>
        <w:rPr>
          <w:color w:val="000000"/>
          <w:lang w:eastAsia="fr-FR" w:bidi="fr-FR"/>
        </w:rPr>
        <w:t> </w:t>
      </w:r>
      <w:r>
        <w:rPr>
          <w:rStyle w:val="Appelnotedebasdep"/>
        </w:rPr>
        <w:footnoteReference w:id="77"/>
      </w:r>
      <w:r w:rsidRPr="009C29C2">
        <w:rPr>
          <w:color w:val="000000"/>
          <w:lang w:eastAsia="fr-FR" w:bidi="fr-FR"/>
        </w:rPr>
        <w:t xml:space="preserve">. Les plus soignés étaient, comme on </w:t>
      </w:r>
      <w:r w:rsidRPr="009C29C2">
        <w:rPr>
          <w:color w:val="000000"/>
          <w:lang w:eastAsia="fr-FR" w:bidi="fr-FR"/>
        </w:rPr>
        <w:lastRenderedPageBreak/>
        <w:t>disait, « enluminés » : entendez que les natures de culture sont disti</w:t>
      </w:r>
      <w:r w:rsidRPr="009C29C2">
        <w:rPr>
          <w:color w:val="000000"/>
          <w:lang w:eastAsia="fr-FR" w:bidi="fr-FR"/>
        </w:rPr>
        <w:t>n</w:t>
      </w:r>
      <w:r w:rsidRPr="009C29C2">
        <w:rPr>
          <w:color w:val="000000"/>
          <w:lang w:eastAsia="fr-FR" w:bidi="fr-FR"/>
        </w:rPr>
        <w:t>guées par des teintes différentes</w:t>
      </w:r>
      <w:r>
        <w:rPr>
          <w:color w:val="000000"/>
          <w:lang w:eastAsia="fr-FR" w:bidi="fr-FR"/>
        </w:rPr>
        <w:t> </w:t>
      </w:r>
      <w:r>
        <w:rPr>
          <w:rStyle w:val="Appelnotedebasdep"/>
        </w:rPr>
        <w:footnoteReference w:id="78"/>
      </w:r>
      <w:r w:rsidRPr="009C29C2">
        <w:rPr>
          <w:color w:val="000000"/>
          <w:lang w:eastAsia="fr-FR" w:bidi="fr-FR"/>
        </w:rPr>
        <w:t>. Tel celui de Laty, dans la commune de Sayat, au Nord de Clermont. La plupart ne comportent pas de col</w:t>
      </w:r>
      <w:r w:rsidRPr="009C29C2">
        <w:rPr>
          <w:color w:val="000000"/>
          <w:lang w:eastAsia="fr-FR" w:bidi="fr-FR"/>
        </w:rPr>
        <w:t>o</w:t>
      </w:r>
      <w:r w:rsidRPr="009C29C2">
        <w:rPr>
          <w:color w:val="000000"/>
          <w:lang w:eastAsia="fr-FR" w:bidi="fr-FR"/>
        </w:rPr>
        <w:t>ris. Mais ils mettent en bonne lumière le dessin des parcelles.</w:t>
      </w:r>
    </w:p>
    <w:p w14:paraId="015CFAF7" w14:textId="77777777" w:rsidR="00B9662D" w:rsidRPr="009C29C2" w:rsidRDefault="00B9662D" w:rsidP="00B9662D">
      <w:pPr>
        <w:spacing w:before="120" w:after="120"/>
        <w:jc w:val="both"/>
      </w:pPr>
      <w:r w:rsidRPr="009C29C2">
        <w:rPr>
          <w:color w:val="000000"/>
          <w:lang w:eastAsia="fr-FR" w:bidi="fr-FR"/>
        </w:rPr>
        <w:t>Or, celui-ci se trouve particulièrement intéressant à étudier en A</w:t>
      </w:r>
      <w:r w:rsidRPr="009C29C2">
        <w:rPr>
          <w:color w:val="000000"/>
          <w:lang w:eastAsia="fr-FR" w:bidi="fr-FR"/>
        </w:rPr>
        <w:t>u</w:t>
      </w:r>
      <w:r w:rsidRPr="009C29C2">
        <w:rPr>
          <w:color w:val="000000"/>
          <w:lang w:eastAsia="fr-FR" w:bidi="fr-FR"/>
        </w:rPr>
        <w:t>vergne, où, au moins dans les Limagnes, se rencontrent tant de terroirs mixtes, dont certaines fractions présentent l’aspect caractéristique du « puzzle », alors que d’autres sont faites de champs régulièrement a</w:t>
      </w:r>
      <w:r w:rsidRPr="009C29C2">
        <w:rPr>
          <w:color w:val="000000"/>
          <w:lang w:eastAsia="fr-FR" w:bidi="fr-FR"/>
        </w:rPr>
        <w:t>l</w:t>
      </w:r>
      <w:r w:rsidRPr="009C29C2">
        <w:rPr>
          <w:color w:val="000000"/>
          <w:lang w:eastAsia="fr-FR" w:bidi="fr-FR"/>
        </w:rPr>
        <w:t>longés. Cette disposition traduit-elle le contraste de deux stades d’occupation ? On le conjecturera volontiers. La conclusion définitive ne pourra être donnée que par une étude historique minutieuse. Le jour où, à l’aide des plans d’arpentement comme de ceux du Cadastre, cette recherche aura été menée à bien, notre passé rural nous livrera un de ses plus importants secrets.</w:t>
      </w:r>
    </w:p>
    <w:p w14:paraId="67147C17" w14:textId="77777777" w:rsidR="00B9662D" w:rsidRDefault="00B9662D" w:rsidP="00B9662D">
      <w:pPr>
        <w:spacing w:before="120" w:after="120"/>
        <w:jc w:val="both"/>
        <w:rPr>
          <w:color w:val="000000"/>
          <w:lang w:eastAsia="fr-FR" w:bidi="fr-FR"/>
        </w:rPr>
      </w:pPr>
      <w:r>
        <w:rPr>
          <w:color w:val="000000"/>
          <w:lang w:eastAsia="fr-FR" w:bidi="fr-FR"/>
        </w:rPr>
        <w:br w:type="page"/>
      </w:r>
      <w:r>
        <w:rPr>
          <w:color w:val="000000"/>
          <w:lang w:eastAsia="fr-FR" w:bidi="fr-FR"/>
        </w:rPr>
        <w:lastRenderedPageBreak/>
        <w:t>[591]</w:t>
      </w:r>
    </w:p>
    <w:p w14:paraId="17E97E90" w14:textId="77777777" w:rsidR="00B9662D" w:rsidRDefault="00B9662D" w:rsidP="00B9662D">
      <w:pPr>
        <w:pStyle w:val="c"/>
        <w:rPr>
          <w:lang w:eastAsia="fr-FR" w:bidi="fr-FR"/>
        </w:rPr>
      </w:pPr>
      <w:r>
        <w:rPr>
          <w:lang w:eastAsia="fr-FR" w:bidi="fr-FR"/>
        </w:rPr>
        <w:t>*</w:t>
      </w:r>
      <w:r>
        <w:rPr>
          <w:lang w:eastAsia="fr-FR" w:bidi="fr-FR"/>
        </w:rPr>
        <w:br/>
        <w:t>*     *</w:t>
      </w:r>
    </w:p>
    <w:p w14:paraId="73A91115" w14:textId="77777777" w:rsidR="00B9662D" w:rsidRPr="009C29C2" w:rsidRDefault="00B9662D" w:rsidP="00B9662D">
      <w:pPr>
        <w:spacing w:before="120" w:after="120"/>
        <w:jc w:val="both"/>
      </w:pPr>
      <w:r w:rsidRPr="009C29C2">
        <w:rPr>
          <w:color w:val="000000"/>
          <w:lang w:eastAsia="fr-FR" w:bidi="fr-FR"/>
        </w:rPr>
        <w:t>L’extension que, malgré de si farouches résistances, les arpent</w:t>
      </w:r>
      <w:r w:rsidRPr="009C29C2">
        <w:rPr>
          <w:color w:val="000000"/>
          <w:lang w:eastAsia="fr-FR" w:bidi="fr-FR"/>
        </w:rPr>
        <w:t>e</w:t>
      </w:r>
      <w:r w:rsidRPr="009C29C2">
        <w:rPr>
          <w:color w:val="000000"/>
          <w:lang w:eastAsia="fr-FR" w:bidi="fr-FR"/>
        </w:rPr>
        <w:t>ments avaient pris en Auvergne et leur popularité, dans certains m</w:t>
      </w:r>
      <w:r w:rsidRPr="009C29C2">
        <w:rPr>
          <w:color w:val="000000"/>
          <w:lang w:eastAsia="fr-FR" w:bidi="fr-FR"/>
        </w:rPr>
        <w:t>i</w:t>
      </w:r>
      <w:r w:rsidRPr="009C29C2">
        <w:rPr>
          <w:color w:val="000000"/>
          <w:lang w:eastAsia="fr-FR" w:bidi="fr-FR"/>
        </w:rPr>
        <w:t>lieux paysans, ne devaient pas rester sans effets sur les pratiques de l’époque révolutionnaire</w:t>
      </w:r>
      <w:r>
        <w:rPr>
          <w:color w:val="000000"/>
          <w:lang w:eastAsia="fr-FR" w:bidi="fr-FR"/>
        </w:rPr>
        <w:t> </w:t>
      </w:r>
      <w:r>
        <w:rPr>
          <w:rStyle w:val="Appelnotedebasdep"/>
        </w:rPr>
        <w:footnoteReference w:id="79"/>
      </w:r>
      <w:r w:rsidRPr="009C29C2">
        <w:rPr>
          <w:color w:val="000000"/>
          <w:lang w:eastAsia="fr-FR" w:bidi="fr-FR"/>
        </w:rPr>
        <w:t>. La loi du 28 août 1791 avait accordé aux communes la faculté de faire établir, à leurs frais, le plan de leur terr</w:t>
      </w:r>
      <w:r w:rsidRPr="009C29C2">
        <w:rPr>
          <w:color w:val="000000"/>
          <w:lang w:eastAsia="fr-FR" w:bidi="fr-FR"/>
        </w:rPr>
        <w:t>i</w:t>
      </w:r>
      <w:r w:rsidRPr="009C29C2">
        <w:rPr>
          <w:color w:val="000000"/>
          <w:lang w:eastAsia="fr-FR" w:bidi="fr-FR"/>
        </w:rPr>
        <w:t>toire : plan parcellaire, précisait le décret du 23 septembre. Dans l’ensemble de la France, une très petite quantité de communes seul</w:t>
      </w:r>
      <w:r w:rsidRPr="009C29C2">
        <w:rPr>
          <w:color w:val="000000"/>
          <w:lang w:eastAsia="fr-FR" w:bidi="fr-FR"/>
        </w:rPr>
        <w:t>e</w:t>
      </w:r>
      <w:r w:rsidRPr="009C29C2">
        <w:rPr>
          <w:color w:val="000000"/>
          <w:lang w:eastAsia="fr-FR" w:bidi="fr-FR"/>
        </w:rPr>
        <w:t>ment mirent à profit cette autorisation, entre 1791 et les premières a</w:t>
      </w:r>
      <w:r w:rsidRPr="009C29C2">
        <w:rPr>
          <w:color w:val="000000"/>
          <w:lang w:eastAsia="fr-FR" w:bidi="fr-FR"/>
        </w:rPr>
        <w:t>p</w:t>
      </w:r>
      <w:r w:rsidRPr="009C29C2">
        <w:rPr>
          <w:color w:val="000000"/>
          <w:lang w:eastAsia="fr-FR" w:bidi="fr-FR"/>
        </w:rPr>
        <w:t>plications du grand cadastre parcellaire, décidé en 1807. En Auvergne, au contraire, leur nombre apparaît relativement considérable</w:t>
      </w:r>
      <w:r>
        <w:rPr>
          <w:color w:val="000000"/>
          <w:lang w:eastAsia="fr-FR" w:bidi="fr-FR"/>
        </w:rPr>
        <w:t> </w:t>
      </w:r>
      <w:r>
        <w:rPr>
          <w:rStyle w:val="Appelnotedebasdep"/>
        </w:rPr>
        <w:footnoteReference w:id="80"/>
      </w:r>
      <w:r w:rsidRPr="009C29C2">
        <w:rPr>
          <w:color w:val="000000"/>
          <w:lang w:eastAsia="fr-FR" w:bidi="fr-FR"/>
        </w:rPr>
        <w:t>. Il se</w:t>
      </w:r>
      <w:r w:rsidRPr="009C29C2">
        <w:rPr>
          <w:color w:val="000000"/>
          <w:lang w:eastAsia="fr-FR" w:bidi="fr-FR"/>
        </w:rPr>
        <w:t>m</w:t>
      </w:r>
      <w:r w:rsidRPr="009C29C2">
        <w:rPr>
          <w:color w:val="000000"/>
          <w:lang w:eastAsia="fr-FR" w:bidi="fr-FR"/>
        </w:rPr>
        <w:t xml:space="preserve">ble, à vrai dire, que, parfois, l’opération, après avoir été annoncée, n’ait pas été terminée. Ou bien, on voit, à Vinzelles, une municipalité économe décider de se contenter de plans « visuels » : ce qui marquait </w:t>
      </w:r>
      <w:r w:rsidRPr="009C29C2">
        <w:rPr>
          <w:color w:val="000000"/>
          <w:lang w:eastAsia="fr-FR" w:bidi="fr-FR"/>
        </w:rPr>
        <w:lastRenderedPageBreak/>
        <w:t>un recul évident sur les plans « géométriques » de l’arpentement</w:t>
      </w:r>
      <w:r>
        <w:rPr>
          <w:color w:val="000000"/>
          <w:lang w:eastAsia="fr-FR" w:bidi="fr-FR"/>
        </w:rPr>
        <w:t> </w:t>
      </w:r>
      <w:r>
        <w:rPr>
          <w:rStyle w:val="Appelnotedebasdep"/>
        </w:rPr>
        <w:footnoteReference w:id="81"/>
      </w:r>
      <w:r w:rsidRPr="009C29C2">
        <w:rPr>
          <w:color w:val="000000"/>
          <w:lang w:eastAsia="fr-FR" w:bidi="fr-FR"/>
        </w:rPr>
        <w:t>. Au total cependant, on ne saurait douter qu’une quantité de plans cada</w:t>
      </w:r>
      <w:r w:rsidRPr="009C29C2">
        <w:rPr>
          <w:color w:val="000000"/>
          <w:lang w:eastAsia="fr-FR" w:bidi="fr-FR"/>
        </w:rPr>
        <w:t>s</w:t>
      </w:r>
      <w:r w:rsidRPr="009C29C2">
        <w:rPr>
          <w:color w:val="000000"/>
          <w:lang w:eastAsia="fr-FR" w:bidi="fr-FR"/>
        </w:rPr>
        <w:t>traux proportionnellement beaucoup plus élevée qu’ailleurs</w:t>
      </w:r>
      <w:r>
        <w:rPr>
          <w:color w:val="000000"/>
          <w:lang w:eastAsia="fr-FR" w:bidi="fr-FR"/>
        </w:rPr>
        <w:t> — </w:t>
      </w:r>
      <w:r w:rsidRPr="009C29C2">
        <w:rPr>
          <w:color w:val="000000"/>
          <w:lang w:eastAsia="fr-FR" w:bidi="fr-FR"/>
        </w:rPr>
        <w:t>mais dont nous n’avons, malheureusement, conservé qu’une part</w:t>
      </w:r>
      <w:r>
        <w:rPr>
          <w:color w:val="000000"/>
          <w:lang w:eastAsia="fr-FR" w:bidi="fr-FR"/>
        </w:rPr>
        <w:t> — </w:t>
      </w:r>
      <w:r w:rsidRPr="009C29C2">
        <w:rPr>
          <w:color w:val="000000"/>
          <w:lang w:eastAsia="fr-FR" w:bidi="fr-FR"/>
        </w:rPr>
        <w:t>n’ait été exécutée durant cette période, dans l’ancienne généralité de Riom. Preuve, une fois de plus, d’une continuité de traditions administrat</w:t>
      </w:r>
      <w:r w:rsidRPr="009C29C2">
        <w:rPr>
          <w:color w:val="000000"/>
          <w:lang w:eastAsia="fr-FR" w:bidi="fr-FR"/>
        </w:rPr>
        <w:t>i</w:t>
      </w:r>
      <w:r w:rsidRPr="009C29C2">
        <w:rPr>
          <w:color w:val="000000"/>
          <w:lang w:eastAsia="fr-FR" w:bidi="fr-FR"/>
        </w:rPr>
        <w:t>ves, dont une autre généralité, celle de Paris, va nous offrir maintenant un nouvel exemple.</w:t>
      </w:r>
    </w:p>
    <w:p w14:paraId="38014A5D" w14:textId="77777777" w:rsidR="00B9662D" w:rsidRDefault="00B9662D" w:rsidP="00B9662D">
      <w:pPr>
        <w:spacing w:before="120" w:after="120"/>
        <w:jc w:val="both"/>
        <w:rPr>
          <w:rStyle w:val="Corpsdutexte9105ptNonGras"/>
          <w:b w:val="0"/>
          <w:bCs w:val="0"/>
          <w:sz w:val="28"/>
          <w:lang w:val="fr-CA"/>
        </w:rPr>
      </w:pPr>
    </w:p>
    <w:p w14:paraId="248EB5AB" w14:textId="77777777" w:rsidR="00B9662D" w:rsidRPr="009C29C2" w:rsidRDefault="00B9662D" w:rsidP="00B9662D">
      <w:pPr>
        <w:pStyle w:val="planche"/>
      </w:pPr>
      <w:bookmarkStart w:id="12" w:name="Melanges_t2_pt_6_chap_II_V"/>
      <w:r w:rsidRPr="00303D92">
        <w:t>V. — </w:t>
      </w:r>
      <w:r w:rsidRPr="009C29C2">
        <w:t>Les plans de la taille tarifée</w:t>
      </w:r>
      <w:r>
        <w:br/>
      </w:r>
      <w:r w:rsidRPr="009C29C2">
        <w:t xml:space="preserve">dans la généralité de </w:t>
      </w:r>
      <w:r>
        <w:t>P</w:t>
      </w:r>
      <w:r w:rsidRPr="009C29C2">
        <w:t>aris</w:t>
      </w:r>
    </w:p>
    <w:bookmarkEnd w:id="12"/>
    <w:p w14:paraId="11DC1978" w14:textId="77777777" w:rsidR="00B9662D" w:rsidRDefault="00B9662D" w:rsidP="00B9662D">
      <w:pPr>
        <w:spacing w:before="120" w:after="120"/>
        <w:jc w:val="both"/>
        <w:rPr>
          <w:color w:val="000000"/>
          <w:lang w:eastAsia="fr-FR" w:bidi="fr-FR"/>
        </w:rPr>
      </w:pPr>
    </w:p>
    <w:p w14:paraId="43C9DAD9"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1DD90E6" w14:textId="77777777" w:rsidR="00B9662D" w:rsidRPr="009C29C2" w:rsidRDefault="00B9662D" w:rsidP="00B9662D">
      <w:pPr>
        <w:spacing w:before="120" w:after="120"/>
        <w:jc w:val="both"/>
      </w:pPr>
      <w:r w:rsidRPr="009C29C2">
        <w:rPr>
          <w:color w:val="000000"/>
          <w:lang w:eastAsia="fr-FR" w:bidi="fr-FR"/>
        </w:rPr>
        <w:t>Dans la généralité de Paris, l’introduction de la taille tarifée n’eut lieu qu’en 1776. Elle fut l’œuvre de l’intendant Bertier de Sauvigny. L’histoire de cette réforme fiscale est relativement bien connue et, pour plusieurs raisons, je n’ai pas l’intention d’y revenir ici</w:t>
      </w:r>
      <w:r>
        <w:rPr>
          <w:color w:val="000000"/>
          <w:lang w:eastAsia="fr-FR" w:bidi="fr-FR"/>
        </w:rPr>
        <w:t> </w:t>
      </w:r>
      <w:r>
        <w:rPr>
          <w:rStyle w:val="Appelnotedebasdep"/>
        </w:rPr>
        <w:footnoteReference w:id="82"/>
      </w:r>
      <w:r w:rsidRPr="009C29C2">
        <w:rPr>
          <w:color w:val="000000"/>
          <w:lang w:eastAsia="fr-FR" w:bidi="fr-FR"/>
        </w:rPr>
        <w:t>. Seule l’œuvre</w:t>
      </w:r>
      <w:r>
        <w:t xml:space="preserve"> </w:t>
      </w:r>
      <w:r>
        <w:rPr>
          <w:color w:val="000000"/>
          <w:lang w:eastAsia="fr-FR" w:bidi="fr-FR"/>
        </w:rPr>
        <w:t xml:space="preserve">[592] </w:t>
      </w:r>
      <w:r w:rsidRPr="009C29C2">
        <w:rPr>
          <w:color w:val="000000"/>
          <w:lang w:eastAsia="fr-FR" w:bidi="fr-FR"/>
        </w:rPr>
        <w:t>cartographique, qui fut une de ses manifestations, mér</w:t>
      </w:r>
      <w:r w:rsidRPr="009C29C2">
        <w:rPr>
          <w:color w:val="000000"/>
          <w:lang w:eastAsia="fr-FR" w:bidi="fr-FR"/>
        </w:rPr>
        <w:t>i</w:t>
      </w:r>
      <w:r w:rsidRPr="009C29C2">
        <w:rPr>
          <w:color w:val="000000"/>
          <w:lang w:eastAsia="fr-FR" w:bidi="fr-FR"/>
        </w:rPr>
        <w:t>te de nous retenir un moment.</w:t>
      </w:r>
    </w:p>
    <w:p w14:paraId="1C0C87C5" w14:textId="77777777" w:rsidR="00B9662D" w:rsidRPr="009C29C2" w:rsidRDefault="00B9662D" w:rsidP="00B9662D">
      <w:pPr>
        <w:spacing w:before="120" w:after="120"/>
        <w:jc w:val="both"/>
      </w:pPr>
      <w:r w:rsidRPr="009C29C2">
        <w:rPr>
          <w:color w:val="000000"/>
          <w:lang w:eastAsia="fr-FR" w:bidi="fr-FR"/>
        </w:rPr>
        <w:t>Car, là aussi, la confection de nouveaux rôles s’accompagna de l’établissement de plans. Il semble même qu’à la différence de ce que nous avons vu en Auvergne, l’initiative de ces levés ne fût pas aba</w:t>
      </w:r>
      <w:r w:rsidRPr="009C29C2">
        <w:rPr>
          <w:color w:val="000000"/>
          <w:lang w:eastAsia="fr-FR" w:bidi="fr-FR"/>
        </w:rPr>
        <w:t>n</w:t>
      </w:r>
      <w:r w:rsidRPr="009C29C2">
        <w:rPr>
          <w:color w:val="000000"/>
          <w:lang w:eastAsia="fr-FR" w:bidi="fr-FR"/>
        </w:rPr>
        <w:t>donnée aux communautés. L’intendance en prescrivait l’exécution en même temps que celle des rôles</w:t>
      </w:r>
      <w:r>
        <w:rPr>
          <w:color w:val="000000"/>
          <w:lang w:eastAsia="fr-FR" w:bidi="fr-FR"/>
        </w:rPr>
        <w:t> </w:t>
      </w:r>
      <w:r>
        <w:rPr>
          <w:rStyle w:val="Appelnotedebasdep"/>
        </w:rPr>
        <w:footnoteReference w:id="83"/>
      </w:r>
      <w:r w:rsidRPr="009C29C2">
        <w:rPr>
          <w:color w:val="000000"/>
          <w:lang w:eastAsia="fr-FR" w:bidi="fr-FR"/>
        </w:rPr>
        <w:t>. Mais</w:t>
      </w:r>
      <w:r>
        <w:rPr>
          <w:color w:val="000000"/>
          <w:lang w:eastAsia="fr-FR" w:bidi="fr-FR"/>
        </w:rPr>
        <w:t> — </w:t>
      </w:r>
      <w:r w:rsidRPr="009C29C2">
        <w:rPr>
          <w:color w:val="000000"/>
          <w:lang w:eastAsia="fr-FR" w:bidi="fr-FR"/>
        </w:rPr>
        <w:t>et c’est ce qui n’a peut-être pas jusqu’ici été assez remarqué,</w:t>
      </w:r>
      <w:r>
        <w:rPr>
          <w:color w:val="000000"/>
          <w:lang w:eastAsia="fr-FR" w:bidi="fr-FR"/>
        </w:rPr>
        <w:t> — </w:t>
      </w:r>
      <w:r w:rsidRPr="009C29C2">
        <w:rPr>
          <w:color w:val="000000"/>
          <w:lang w:eastAsia="fr-FR" w:bidi="fr-FR"/>
        </w:rPr>
        <w:t>ces plans ne sont pas parcellaires. Ils indiquent simplement, par un coloris approprié, les natures de culture. Confrontons-les donc avec les plans du cadastre commun</w:t>
      </w:r>
      <w:r w:rsidRPr="009C29C2">
        <w:rPr>
          <w:color w:val="000000"/>
          <w:lang w:eastAsia="fr-FR" w:bidi="fr-FR"/>
        </w:rPr>
        <w:t>é</w:t>
      </w:r>
      <w:r w:rsidRPr="009C29C2">
        <w:rPr>
          <w:color w:val="000000"/>
          <w:lang w:eastAsia="fr-FR" w:bidi="fr-FR"/>
        </w:rPr>
        <w:t>ment nommé par « masses de culture », qui, entrepris par le Consu</w:t>
      </w:r>
      <w:r w:rsidRPr="009C29C2">
        <w:rPr>
          <w:color w:val="000000"/>
          <w:lang w:eastAsia="fr-FR" w:bidi="fr-FR"/>
        </w:rPr>
        <w:lastRenderedPageBreak/>
        <w:t>lat, précéda, comme l’on sait, le cadastre proprement dit. La ressembla</w:t>
      </w:r>
      <w:r w:rsidRPr="009C29C2">
        <w:rPr>
          <w:color w:val="000000"/>
          <w:lang w:eastAsia="fr-FR" w:bidi="fr-FR"/>
        </w:rPr>
        <w:t>n</w:t>
      </w:r>
      <w:r w:rsidRPr="009C29C2">
        <w:rPr>
          <w:color w:val="000000"/>
          <w:lang w:eastAsia="fr-FR" w:bidi="fr-FR"/>
        </w:rPr>
        <w:t>ce, dans la conception générale et jusque dans les détails de la techn</w:t>
      </w:r>
      <w:r w:rsidRPr="009C29C2">
        <w:rPr>
          <w:color w:val="000000"/>
          <w:lang w:eastAsia="fr-FR" w:bidi="fr-FR"/>
        </w:rPr>
        <w:t>i</w:t>
      </w:r>
      <w:r w:rsidRPr="009C29C2">
        <w:rPr>
          <w:color w:val="000000"/>
          <w:lang w:eastAsia="fr-FR" w:bidi="fr-FR"/>
        </w:rPr>
        <w:t>que, saute aux yeux. Or, en l’espèce, ressemblance a toutes les cha</w:t>
      </w:r>
      <w:r w:rsidRPr="009C29C2">
        <w:rPr>
          <w:color w:val="000000"/>
          <w:lang w:eastAsia="fr-FR" w:bidi="fr-FR"/>
        </w:rPr>
        <w:t>n</w:t>
      </w:r>
      <w:r w:rsidRPr="009C29C2">
        <w:rPr>
          <w:color w:val="000000"/>
          <w:lang w:eastAsia="fr-FR" w:bidi="fr-FR"/>
        </w:rPr>
        <w:t>ces du monde de vouloir dire filiation. Retrouverait-on, dans le pe</w:t>
      </w:r>
      <w:r w:rsidRPr="009C29C2">
        <w:rPr>
          <w:color w:val="000000"/>
          <w:lang w:eastAsia="fr-FR" w:bidi="fr-FR"/>
        </w:rPr>
        <w:t>r</w:t>
      </w:r>
      <w:r w:rsidRPr="009C29C2">
        <w:rPr>
          <w:color w:val="000000"/>
          <w:lang w:eastAsia="fr-FR" w:bidi="fr-FR"/>
        </w:rPr>
        <w:t>sonnel des gens de bureau ou des géomètres, certains éléments co</w:t>
      </w:r>
      <w:r w:rsidRPr="009C29C2">
        <w:rPr>
          <w:color w:val="000000"/>
          <w:lang w:eastAsia="fr-FR" w:bidi="fr-FR"/>
        </w:rPr>
        <w:t>m</w:t>
      </w:r>
      <w:r w:rsidRPr="009C29C2">
        <w:rPr>
          <w:color w:val="000000"/>
          <w:lang w:eastAsia="fr-FR" w:bidi="fr-FR"/>
        </w:rPr>
        <w:t>muns aux services de l’Intendance de Paris, entre 1776 et 1789, et à ceux du Ministère des Finances du Consulat ? Une enquête inconte</w:t>
      </w:r>
      <w:r w:rsidRPr="009C29C2">
        <w:rPr>
          <w:color w:val="000000"/>
          <w:lang w:eastAsia="fr-FR" w:bidi="fr-FR"/>
        </w:rPr>
        <w:t>s</w:t>
      </w:r>
      <w:r w:rsidRPr="009C29C2">
        <w:rPr>
          <w:color w:val="000000"/>
          <w:lang w:eastAsia="fr-FR" w:bidi="fr-FR"/>
        </w:rPr>
        <w:t>tablement trop rapide ne m’a pas permis de le déterminer. On le sait, d’ailleurs : la mystérieuse disparition des Archives de l’Hôtel de la rue de Vendôme n’est pas pour faciliter ce genre de recherches</w:t>
      </w:r>
      <w:r>
        <w:rPr>
          <w:color w:val="000000"/>
          <w:lang w:eastAsia="fr-FR" w:bidi="fr-FR"/>
        </w:rPr>
        <w:t> </w:t>
      </w:r>
      <w:r>
        <w:rPr>
          <w:rStyle w:val="Appelnotedebasdep"/>
        </w:rPr>
        <w:footnoteReference w:id="84"/>
      </w:r>
      <w:r w:rsidRPr="009C29C2">
        <w:rPr>
          <w:color w:val="000000"/>
          <w:lang w:eastAsia="fr-FR" w:bidi="fr-FR"/>
        </w:rPr>
        <w:t>. Mais, même en l’absence de cette confirmation, on peut, je crois, tenir d’ores et déjà pour infiniment probable que l’origine de l’entreprise tentée en 1802 par l’administration consulaire</w:t>
      </w:r>
      <w:r>
        <w:rPr>
          <w:color w:val="000000"/>
          <w:lang w:eastAsia="fr-FR" w:bidi="fr-FR"/>
        </w:rPr>
        <w:t> — </w:t>
      </w:r>
      <w:r w:rsidRPr="009C29C2">
        <w:rPr>
          <w:color w:val="000000"/>
          <w:lang w:eastAsia="fr-FR" w:bidi="fr-FR"/>
        </w:rPr>
        <w:t>entreprise, du point de vue fiscal, en somme assez singulière et maladroite doit être che</w:t>
      </w:r>
      <w:r w:rsidRPr="009C29C2">
        <w:rPr>
          <w:color w:val="000000"/>
          <w:lang w:eastAsia="fr-FR" w:bidi="fr-FR"/>
        </w:rPr>
        <w:t>r</w:t>
      </w:r>
      <w:r w:rsidRPr="009C29C2">
        <w:rPr>
          <w:color w:val="000000"/>
          <w:lang w:eastAsia="fr-FR" w:bidi="fr-FR"/>
        </w:rPr>
        <w:t>chée du côté de l’Intendance parisienne. Quant à l’historien de l’agriculture dans l’Ile-de-France, il faudra, désormais, que, parmi les témoignages qui lui permettent de jalonner, de repère en repère, l’évolution de l’exploitation du sol, il accorde une place de choix, aux plans, admirablement lisibles, dont les dessinateurs de l’intendant Be</w:t>
      </w:r>
      <w:r w:rsidRPr="009C29C2">
        <w:rPr>
          <w:color w:val="000000"/>
          <w:lang w:eastAsia="fr-FR" w:bidi="fr-FR"/>
        </w:rPr>
        <w:t>r</w:t>
      </w:r>
      <w:r w:rsidRPr="009C29C2">
        <w:rPr>
          <w:color w:val="000000"/>
          <w:lang w:eastAsia="fr-FR" w:bidi="fr-FR"/>
        </w:rPr>
        <w:t>tier nous ont laissé le cadeau</w:t>
      </w:r>
      <w:r>
        <w:rPr>
          <w:color w:val="000000"/>
          <w:lang w:eastAsia="fr-FR" w:bidi="fr-FR"/>
        </w:rPr>
        <w:t> </w:t>
      </w:r>
      <w:r>
        <w:rPr>
          <w:rStyle w:val="Appelnotedebasdep"/>
        </w:rPr>
        <w:footnoteReference w:id="85"/>
      </w:r>
      <w:r w:rsidRPr="009C29C2">
        <w:rPr>
          <w:color w:val="000000"/>
          <w:lang w:eastAsia="fr-FR" w:bidi="fr-FR"/>
        </w:rPr>
        <w:t>.</w:t>
      </w:r>
    </w:p>
    <w:p w14:paraId="27C15D98" w14:textId="77777777" w:rsidR="00B9662D" w:rsidRDefault="00B9662D" w:rsidP="00B9662D">
      <w:pPr>
        <w:pStyle w:val="p"/>
      </w:pPr>
      <w:r w:rsidRPr="009C29C2">
        <w:br w:type="page"/>
      </w:r>
      <w:r>
        <w:lastRenderedPageBreak/>
        <w:t>[593]</w:t>
      </w:r>
    </w:p>
    <w:p w14:paraId="40305F91" w14:textId="77777777" w:rsidR="00B9662D" w:rsidRPr="00E07116" w:rsidRDefault="00B9662D" w:rsidP="00B9662D">
      <w:pPr>
        <w:jc w:val="both"/>
      </w:pPr>
    </w:p>
    <w:p w14:paraId="1ACF253B" w14:textId="77777777" w:rsidR="00B9662D" w:rsidRDefault="00B9662D" w:rsidP="00B9662D">
      <w:pPr>
        <w:jc w:val="both"/>
      </w:pPr>
    </w:p>
    <w:p w14:paraId="17D3FCF6" w14:textId="77777777" w:rsidR="00B9662D" w:rsidRPr="00E07116" w:rsidRDefault="00B9662D" w:rsidP="00B9662D">
      <w:pPr>
        <w:jc w:val="both"/>
      </w:pPr>
    </w:p>
    <w:p w14:paraId="3A9C2982" w14:textId="77777777" w:rsidR="00B9662D" w:rsidRPr="00F54CC7" w:rsidRDefault="00B9662D" w:rsidP="00B9662D">
      <w:pPr>
        <w:spacing w:after="120"/>
        <w:ind w:firstLine="0"/>
        <w:jc w:val="center"/>
        <w:rPr>
          <w:sz w:val="24"/>
        </w:rPr>
      </w:pPr>
      <w:bookmarkStart w:id="13" w:name="Melanges_t2_pt_6_chap_I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13F1264A"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255691FE" w14:textId="77777777" w:rsidR="00B9662D" w:rsidRPr="00384B20" w:rsidRDefault="00B9662D" w:rsidP="00B9662D">
      <w:pPr>
        <w:pStyle w:val="Titreniveau1"/>
      </w:pPr>
      <w:r w:rsidRPr="00384B20">
        <w:t>Chapitre I</w:t>
      </w:r>
      <w:r>
        <w:t>II</w:t>
      </w:r>
    </w:p>
    <w:p w14:paraId="052B7E17" w14:textId="77777777" w:rsidR="00B9662D" w:rsidRPr="00E07116" w:rsidRDefault="00B9662D" w:rsidP="00B9662D">
      <w:pPr>
        <w:jc w:val="both"/>
        <w:rPr>
          <w:szCs w:val="36"/>
        </w:rPr>
      </w:pPr>
    </w:p>
    <w:p w14:paraId="7090F066" w14:textId="77777777" w:rsidR="00B9662D" w:rsidRDefault="00B9662D" w:rsidP="00B9662D">
      <w:pPr>
        <w:pStyle w:val="Titreniveau2"/>
      </w:pPr>
      <w:r>
        <w:t>LA LUTTE POUR</w:t>
      </w:r>
      <w:r>
        <w:br/>
        <w:t>l’INDIVIDUALISME AGRAIRE DANS LA France</w:t>
      </w:r>
      <w:r>
        <w:br/>
        <w:t>DU XVIII</w:t>
      </w:r>
      <w:r w:rsidRPr="000972DE">
        <w:rPr>
          <w:caps w:val="0"/>
          <w:vertAlign w:val="superscript"/>
        </w:rPr>
        <w:t>e</w:t>
      </w:r>
      <w:r>
        <w:t xml:space="preserve"> si</w:t>
      </w:r>
      <w:r>
        <w:t>è</w:t>
      </w:r>
      <w:r>
        <w:t>cle :</w:t>
      </w:r>
    </w:p>
    <w:p w14:paraId="0363742A" w14:textId="77777777" w:rsidR="00B9662D" w:rsidRPr="00E07116" w:rsidRDefault="00B9662D" w:rsidP="00B9662D">
      <w:pPr>
        <w:pStyle w:val="Titreniveau2st"/>
      </w:pPr>
      <w:r>
        <w:t>l’œuvre des pouvoirs</w:t>
      </w:r>
      <w:r>
        <w:br/>
        <w:t xml:space="preserve">d’ancien régime. </w:t>
      </w:r>
      <w:r>
        <w:rPr>
          <w:rStyle w:val="Appelnotedebasdep"/>
        </w:rPr>
        <w:footnoteReference w:id="86"/>
      </w:r>
    </w:p>
    <w:bookmarkEnd w:id="13"/>
    <w:p w14:paraId="196C3385" w14:textId="77777777" w:rsidR="00B9662D" w:rsidRPr="00E07116" w:rsidRDefault="00B9662D" w:rsidP="00B9662D">
      <w:pPr>
        <w:jc w:val="both"/>
        <w:rPr>
          <w:szCs w:val="36"/>
        </w:rPr>
      </w:pPr>
    </w:p>
    <w:p w14:paraId="67013AFF" w14:textId="77777777" w:rsidR="00B9662D" w:rsidRDefault="00B9662D" w:rsidP="00B9662D">
      <w:pPr>
        <w:spacing w:before="120" w:after="120"/>
        <w:jc w:val="both"/>
        <w:rPr>
          <w:color w:val="000000"/>
          <w:lang w:eastAsia="fr-FR" w:bidi="fr-FR"/>
        </w:rPr>
      </w:pPr>
    </w:p>
    <w:p w14:paraId="354145FE" w14:textId="77777777" w:rsidR="00B9662D" w:rsidRPr="00C76642" w:rsidRDefault="00B9662D" w:rsidP="00B9662D">
      <w:pPr>
        <w:spacing w:before="120" w:after="120"/>
        <w:ind w:left="1800"/>
        <w:jc w:val="both"/>
        <w:rPr>
          <w:color w:val="000000"/>
          <w:sz w:val="24"/>
          <w:lang w:eastAsia="fr-FR" w:bidi="fr-FR"/>
        </w:rPr>
      </w:pPr>
      <w:r w:rsidRPr="00C76642">
        <w:rPr>
          <w:color w:val="000000"/>
          <w:sz w:val="24"/>
          <w:lang w:eastAsia="fr-FR" w:bidi="fr-FR"/>
        </w:rPr>
        <w:t>« </w:t>
      </w:r>
      <w:r w:rsidRPr="00C76642">
        <w:rPr>
          <w:color w:val="000090"/>
          <w:sz w:val="24"/>
          <w:lang w:eastAsia="fr-FR" w:bidi="fr-FR"/>
        </w:rPr>
        <w:t xml:space="preserve">Le premier qui, </w:t>
      </w:r>
      <w:r w:rsidRPr="00C76642">
        <w:rPr>
          <w:bCs/>
          <w:i/>
          <w:color w:val="000090"/>
          <w:sz w:val="24"/>
        </w:rPr>
        <w:t>ayant enclos un terrain</w:t>
      </w:r>
      <w:r w:rsidRPr="00C76642">
        <w:rPr>
          <w:color w:val="000090"/>
          <w:sz w:val="24"/>
          <w:lang w:eastAsia="fr-FR" w:bidi="fr-FR"/>
        </w:rPr>
        <w:t>, « s’avisa de d</w:t>
      </w:r>
      <w:r w:rsidRPr="00C76642">
        <w:rPr>
          <w:color w:val="000090"/>
          <w:sz w:val="24"/>
          <w:lang w:eastAsia="fr-FR" w:bidi="fr-FR"/>
        </w:rPr>
        <w:t>i</w:t>
      </w:r>
      <w:r w:rsidRPr="00C76642">
        <w:rPr>
          <w:color w:val="000090"/>
          <w:sz w:val="24"/>
          <w:lang w:eastAsia="fr-FR" w:bidi="fr-FR"/>
        </w:rPr>
        <w:t>re : ceci est à moi... fut le vrai « fondateur de la société civile</w:t>
      </w:r>
      <w:r w:rsidRPr="00C76642">
        <w:rPr>
          <w:color w:val="000000"/>
          <w:sz w:val="24"/>
          <w:lang w:eastAsia="fr-FR" w:bidi="fr-FR"/>
        </w:rPr>
        <w:t>. »</w:t>
      </w:r>
    </w:p>
    <w:p w14:paraId="2426F6B2" w14:textId="77777777" w:rsidR="00B9662D" w:rsidRPr="009C29C2" w:rsidRDefault="00B9662D" w:rsidP="00B9662D">
      <w:pPr>
        <w:spacing w:before="120" w:after="120"/>
        <w:jc w:val="both"/>
      </w:pPr>
    </w:p>
    <w:p w14:paraId="05D2C0D7" w14:textId="77777777" w:rsidR="00B9662D" w:rsidRPr="00C76642" w:rsidRDefault="00B9662D" w:rsidP="00B9662D">
      <w:pPr>
        <w:pStyle w:val="planche"/>
      </w:pPr>
      <w:bookmarkStart w:id="14" w:name="Melanges_t2_pt_6_chap_III_I"/>
      <w:r w:rsidRPr="00C76642">
        <w:t>I.</w:t>
      </w:r>
      <w:r>
        <w:t> — </w:t>
      </w:r>
      <w:r w:rsidRPr="00C76642">
        <w:t>Les servitudes collectives et leurs adversaires</w:t>
      </w:r>
    </w:p>
    <w:bookmarkEnd w:id="14"/>
    <w:p w14:paraId="013CB819" w14:textId="77777777" w:rsidR="00B9662D" w:rsidRDefault="00B9662D" w:rsidP="00B9662D">
      <w:pPr>
        <w:spacing w:before="120" w:after="120"/>
        <w:jc w:val="both"/>
        <w:rPr>
          <w:color w:val="000000"/>
          <w:lang w:eastAsia="fr-FR" w:bidi="fr-FR"/>
        </w:rPr>
      </w:pPr>
    </w:p>
    <w:p w14:paraId="116F4F35"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763E599A" w14:textId="77777777" w:rsidR="00B9662D" w:rsidRPr="009C29C2" w:rsidRDefault="00B9662D" w:rsidP="00B9662D">
      <w:pPr>
        <w:spacing w:before="120" w:after="120"/>
        <w:jc w:val="both"/>
      </w:pPr>
      <w:r w:rsidRPr="009C29C2">
        <w:rPr>
          <w:color w:val="000000"/>
          <w:lang w:eastAsia="fr-FR" w:bidi="fr-FR"/>
        </w:rPr>
        <w:t>En 1864, parvenu au ter</w:t>
      </w:r>
      <w:r>
        <w:rPr>
          <w:color w:val="000000"/>
          <w:lang w:eastAsia="fr-FR" w:bidi="fr-FR"/>
        </w:rPr>
        <w:t>m</w:t>
      </w:r>
      <w:r w:rsidRPr="009C29C2">
        <w:rPr>
          <w:color w:val="000000"/>
          <w:lang w:eastAsia="fr-FR" w:bidi="fr-FR"/>
        </w:rPr>
        <w:t>e d’une longue vie habile dont le seul point fixe avait été un goût très vif de l’ordre social, Dupin aîné re</w:t>
      </w:r>
      <w:r w:rsidRPr="009C29C2">
        <w:rPr>
          <w:color w:val="000000"/>
          <w:lang w:eastAsia="fr-FR" w:bidi="fr-FR"/>
        </w:rPr>
        <w:t>n</w:t>
      </w:r>
      <w:r w:rsidRPr="009C29C2">
        <w:rPr>
          <w:color w:val="000000"/>
          <w:lang w:eastAsia="fr-FR" w:bidi="fr-FR"/>
        </w:rPr>
        <w:t xml:space="preserve">contra dans la </w:t>
      </w:r>
      <w:r w:rsidRPr="00265F5E">
        <w:rPr>
          <w:i/>
        </w:rPr>
        <w:t>Coutume de Nivernais</w:t>
      </w:r>
      <w:r w:rsidRPr="009C29C2">
        <w:rPr>
          <w:color w:val="000000"/>
          <w:lang w:eastAsia="fr-FR" w:bidi="fr-FR"/>
        </w:rPr>
        <w:t>, de Gui Coquille, quelques mots qui lui parurent choquants. Expliquant comment, dans son pays, la plupart des prés s’ouvraient, dès après la première fauchaison, au b</w:t>
      </w:r>
      <w:r w:rsidRPr="009C29C2">
        <w:rPr>
          <w:color w:val="000000"/>
          <w:lang w:eastAsia="fr-FR" w:bidi="fr-FR"/>
        </w:rPr>
        <w:t>é</w:t>
      </w:r>
      <w:r w:rsidRPr="009C29C2">
        <w:rPr>
          <w:color w:val="000000"/>
          <w:lang w:eastAsia="fr-FR" w:bidi="fr-FR"/>
        </w:rPr>
        <w:t xml:space="preserve">tail de tous les habitants, le vieux juriste de la Renaissance avait écrit : </w:t>
      </w:r>
      <w:r w:rsidRPr="009C29C2">
        <w:rPr>
          <w:color w:val="000000"/>
          <w:lang w:eastAsia="fr-FR" w:bidi="fr-FR"/>
        </w:rPr>
        <w:lastRenderedPageBreak/>
        <w:t>« avant que les proprietez des choses fussent distinctes, tout estoit p</w:t>
      </w:r>
      <w:r w:rsidRPr="009C29C2">
        <w:rPr>
          <w:color w:val="000000"/>
          <w:lang w:eastAsia="fr-FR" w:bidi="fr-FR"/>
        </w:rPr>
        <w:t>u</w:t>
      </w:r>
      <w:r w:rsidRPr="009C29C2">
        <w:rPr>
          <w:color w:val="000000"/>
          <w:lang w:eastAsia="fr-FR" w:bidi="fr-FR"/>
        </w:rPr>
        <w:t>blic et commun. Et faut croire que les premiers Autheurs des loix qui ont réglé les peuples pour les faire vivre en paix... ont réservé au p</w:t>
      </w:r>
      <w:r w:rsidRPr="009C29C2">
        <w:rPr>
          <w:color w:val="000000"/>
          <w:lang w:eastAsia="fr-FR" w:bidi="fr-FR"/>
        </w:rPr>
        <w:t>u</w:t>
      </w:r>
      <w:r w:rsidRPr="009C29C2">
        <w:rPr>
          <w:color w:val="000000"/>
          <w:lang w:eastAsia="fr-FR" w:bidi="fr-FR"/>
        </w:rPr>
        <w:t>blic pour demeurer en sa première nature ce qui estoit nécessaire pour tous ensemble... Suivant ce, se peut dire que le seigneur d’un pré en prairie n’est pas seigneur de la pleine propriété, mais seulement pour s’en servir selon ce que la Coutume luy en a donné puissance et pe</w:t>
      </w:r>
      <w:r w:rsidRPr="009C29C2">
        <w:rPr>
          <w:color w:val="000000"/>
          <w:lang w:eastAsia="fr-FR" w:bidi="fr-FR"/>
        </w:rPr>
        <w:t>r</w:t>
      </w:r>
      <w:r w:rsidRPr="009C29C2">
        <w:rPr>
          <w:color w:val="000000"/>
          <w:lang w:eastAsia="fr-FR" w:bidi="fr-FR"/>
        </w:rPr>
        <w:t>mission ». Ces idées, commente Dupin, « sembleraient un peu soci</w:t>
      </w:r>
      <w:r w:rsidRPr="009C29C2">
        <w:rPr>
          <w:color w:val="000000"/>
          <w:lang w:eastAsia="fr-FR" w:bidi="fr-FR"/>
        </w:rPr>
        <w:t>a</w:t>
      </w:r>
      <w:r w:rsidRPr="009C29C2">
        <w:rPr>
          <w:color w:val="000000"/>
          <w:lang w:eastAsia="fr-FR" w:bidi="fr-FR"/>
        </w:rPr>
        <w:t>listes, si on les isolait des autres doctrines</w:t>
      </w:r>
      <w:r>
        <w:t xml:space="preserve"> [594]</w:t>
      </w:r>
      <w:r w:rsidRPr="009C29C2">
        <w:rPr>
          <w:color w:val="000000"/>
          <w:lang w:eastAsia="fr-FR" w:bidi="fr-FR"/>
        </w:rPr>
        <w:t xml:space="preserve"> de cet auteur, qui sont essentiellement conservatr</w:t>
      </w:r>
      <w:r w:rsidRPr="009C29C2">
        <w:rPr>
          <w:color w:val="000000"/>
          <w:lang w:eastAsia="fr-FR" w:bidi="fr-FR"/>
        </w:rPr>
        <w:t>i</w:t>
      </w:r>
      <w:r w:rsidRPr="009C29C2">
        <w:rPr>
          <w:color w:val="000000"/>
          <w:lang w:eastAsia="fr-FR" w:bidi="fr-FR"/>
        </w:rPr>
        <w:t>ces »</w:t>
      </w:r>
      <w:r>
        <w:rPr>
          <w:color w:val="000000"/>
          <w:lang w:eastAsia="fr-FR" w:bidi="fr-FR"/>
        </w:rPr>
        <w:t> </w:t>
      </w:r>
      <w:r>
        <w:rPr>
          <w:rStyle w:val="Appelnotedebasdep"/>
        </w:rPr>
        <w:footnoteReference w:id="87"/>
      </w:r>
      <w:r w:rsidRPr="009C29C2">
        <w:rPr>
          <w:color w:val="000000"/>
          <w:lang w:eastAsia="fr-FR" w:bidi="fr-FR"/>
        </w:rPr>
        <w:t>. Antithèse fallacieuse ! Ce « socialisme »</w:t>
      </w:r>
      <w:r>
        <w:rPr>
          <w:color w:val="000000"/>
          <w:lang w:eastAsia="fr-FR" w:bidi="fr-FR"/>
        </w:rPr>
        <w:t> — </w:t>
      </w:r>
      <w:r w:rsidRPr="009C29C2">
        <w:rPr>
          <w:color w:val="000000"/>
          <w:lang w:eastAsia="fr-FR" w:bidi="fr-FR"/>
        </w:rPr>
        <w:t>disons, plus justement, cette mentalité communa</w:t>
      </w:r>
      <w:r w:rsidRPr="009C29C2">
        <w:rPr>
          <w:color w:val="000000"/>
          <w:lang w:eastAsia="fr-FR" w:bidi="fr-FR"/>
        </w:rPr>
        <w:t>u</w:t>
      </w:r>
      <w:r w:rsidRPr="009C29C2">
        <w:rPr>
          <w:color w:val="000000"/>
          <w:lang w:eastAsia="fr-FR" w:bidi="fr-FR"/>
        </w:rPr>
        <w:t xml:space="preserve">taire étaient, dans l’ancienne France rurale, choses traditionnelles ; dans la mesure où ils s’y attaquèrent, les temps modernes, le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en particulier, firent œuvre de révolution.</w:t>
      </w:r>
    </w:p>
    <w:p w14:paraId="51005AE0" w14:textId="77777777" w:rsidR="00B9662D" w:rsidRPr="009C29C2" w:rsidRDefault="00B9662D" w:rsidP="00B9662D">
      <w:pPr>
        <w:spacing w:before="120" w:after="120"/>
        <w:jc w:val="both"/>
      </w:pPr>
      <w:r w:rsidRPr="009C29C2">
        <w:rPr>
          <w:color w:val="000000"/>
          <w:lang w:eastAsia="fr-FR" w:bidi="fr-FR"/>
        </w:rPr>
        <w:t>Pour apprécier l’empire des collectivités, ne portons pas seulement nos regards sur cette portion du sol dont, compte tenu, en général, des droits éminents des seigneurs, elles se pouvaient dire véritablement</w:t>
      </w:r>
      <w:r>
        <w:rPr>
          <w:color w:val="000000"/>
          <w:lang w:eastAsia="fr-FR" w:bidi="fr-FR"/>
        </w:rPr>
        <w:t xml:space="preserve"> </w:t>
      </w:r>
      <w:r w:rsidRPr="009C29C2">
        <w:rPr>
          <w:color w:val="000000"/>
          <w:lang w:eastAsia="fr-FR" w:bidi="fr-FR"/>
        </w:rPr>
        <w:t>maîtresses. Certes, forêts soumises aux droits d’affouage, landes et bruyères où le paysan allait chercher, avec les feuilles ou les tiges de la litière, les gazons et les broussailles qui lui servaient d’engrais, m</w:t>
      </w:r>
      <w:r w:rsidRPr="009C29C2">
        <w:rPr>
          <w:color w:val="000000"/>
          <w:lang w:eastAsia="fr-FR" w:bidi="fr-FR"/>
        </w:rPr>
        <w:t>a</w:t>
      </w:r>
      <w:r w:rsidRPr="009C29C2">
        <w:rPr>
          <w:color w:val="000000"/>
          <w:lang w:eastAsia="fr-FR" w:bidi="fr-FR"/>
        </w:rPr>
        <w:t>rais tourbeux, réserves de terre arable livrées quelques années durant à l’exploitation individuelle pour faire ensuite retour à la masse, terrains de pâture surtout, les « communaux », en dépit des grands défrich</w:t>
      </w:r>
      <w:r w:rsidRPr="009C29C2">
        <w:rPr>
          <w:color w:val="000000"/>
          <w:lang w:eastAsia="fr-FR" w:bidi="fr-FR"/>
        </w:rPr>
        <w:t>e</w:t>
      </w:r>
      <w:r w:rsidRPr="009C29C2">
        <w:rPr>
          <w:color w:val="000000"/>
          <w:lang w:eastAsia="fr-FR" w:bidi="fr-FR"/>
        </w:rPr>
        <w:t xml:space="preserve">ments du Moyen </w:t>
      </w:r>
      <w:r>
        <w:rPr>
          <w:color w:val="000000"/>
          <w:lang w:eastAsia="fr-FR" w:bidi="fr-FR"/>
        </w:rPr>
        <w:t>Â</w:t>
      </w:r>
      <w:r w:rsidRPr="009C29C2">
        <w:rPr>
          <w:color w:val="000000"/>
          <w:lang w:eastAsia="fr-FR" w:bidi="fr-FR"/>
        </w:rPr>
        <w:t xml:space="preserve">ge et des multiples usurpations accomplies de tout temps, mais principalement depuis le </w:t>
      </w:r>
      <w:r w:rsidRPr="004E7675">
        <w:rPr>
          <w:caps/>
          <w:color w:val="000000"/>
          <w:lang w:eastAsia="fr-FR" w:bidi="fr-FR"/>
        </w:rPr>
        <w:t>xvi</w:t>
      </w:r>
      <w:r w:rsidRPr="009C29C2">
        <w:rPr>
          <w:color w:val="000000"/>
          <w:vertAlign w:val="superscript"/>
          <w:lang w:eastAsia="fr-FR" w:bidi="fr-FR"/>
        </w:rPr>
        <w:t>e</w:t>
      </w:r>
      <w:r w:rsidRPr="009C29C2">
        <w:rPr>
          <w:color w:val="000000"/>
          <w:lang w:eastAsia="fr-FR" w:bidi="fr-FR"/>
        </w:rPr>
        <w:t xml:space="preserve"> siècle, par les seigneurs et les riches, occupaient encore, vers 1700, de vastes espaces ; leur rôle dans la vie agricole se mesure aux plaintes des villages qui avaient trop fortement laissé entamer leurs biens. Mais les champs même et les prés, dont le propriétaire ou le tenancier engrangeait, pour son propre compte, les récoltes, demeuraient eux aussi, dans une grande partie du pays, soumis, au profit du groupe, à des contraintes fort lourdes. </w:t>
      </w:r>
      <w:r>
        <w:rPr>
          <w:color w:val="000000"/>
          <w:lang w:eastAsia="fr-FR" w:bidi="fr-FR"/>
        </w:rPr>
        <w:t>À</w:t>
      </w:r>
      <w:r w:rsidRPr="009C29C2">
        <w:rPr>
          <w:color w:val="000000"/>
          <w:lang w:eastAsia="fr-FR" w:bidi="fr-FR"/>
        </w:rPr>
        <w:t xml:space="preserve"> côté de la propriété collective, dont l’étude ne sera pas r</w:t>
      </w:r>
      <w:r w:rsidRPr="009C29C2">
        <w:rPr>
          <w:color w:val="000000"/>
          <w:lang w:eastAsia="fr-FR" w:bidi="fr-FR"/>
        </w:rPr>
        <w:t>e</w:t>
      </w:r>
      <w:r w:rsidRPr="009C29C2">
        <w:rPr>
          <w:color w:val="000000"/>
          <w:lang w:eastAsia="fr-FR" w:bidi="fr-FR"/>
        </w:rPr>
        <w:t>prise ici, les servitudes collectives, qui ligotaient la propriété indiv</w:t>
      </w:r>
      <w:r w:rsidRPr="009C29C2">
        <w:rPr>
          <w:color w:val="000000"/>
          <w:lang w:eastAsia="fr-FR" w:bidi="fr-FR"/>
        </w:rPr>
        <w:t>i</w:t>
      </w:r>
      <w:r w:rsidRPr="009C29C2">
        <w:rPr>
          <w:color w:val="000000"/>
          <w:lang w:eastAsia="fr-FR" w:bidi="fr-FR"/>
        </w:rPr>
        <w:t xml:space="preserve">duelle elle-même. L’assaut passionné dont, en des temps relativement proches de nous, elles furent l’objet, leur longue résistance, toute cette </w:t>
      </w:r>
      <w:r w:rsidRPr="009C29C2">
        <w:rPr>
          <w:color w:val="000000"/>
          <w:lang w:eastAsia="fr-FR" w:bidi="fr-FR"/>
        </w:rPr>
        <w:lastRenderedPageBreak/>
        <w:t>sourde révolution, en un mot, révélatrice de profonds mouvements sociaux, voilà ce que je me propose de décrire. Mais, auparavant, il importe de rappeler sommairement les diverses règles par où s’exprimait l’ancienne sujétion.</w:t>
      </w:r>
    </w:p>
    <w:p w14:paraId="15AB1114" w14:textId="77777777" w:rsidR="00B9662D" w:rsidRPr="009C29C2" w:rsidRDefault="00B9662D" w:rsidP="00B9662D">
      <w:pPr>
        <w:spacing w:before="120" w:after="120"/>
        <w:jc w:val="both"/>
      </w:pPr>
      <w:r w:rsidRPr="009C29C2">
        <w:rPr>
          <w:color w:val="000000"/>
          <w:lang w:eastAsia="fr-FR" w:bidi="fr-FR"/>
        </w:rPr>
        <w:t>D’abord la vaine pâture obligatoire. Une fois coupés les épis ou le foin, la terre devenue « vaine », c’est-à-dire vide, ne restait pas inutil</w:t>
      </w:r>
      <w:r w:rsidRPr="009C29C2">
        <w:rPr>
          <w:color w:val="000000"/>
          <w:lang w:eastAsia="fr-FR" w:bidi="fr-FR"/>
        </w:rPr>
        <w:t>i</w:t>
      </w:r>
      <w:r w:rsidRPr="009C29C2">
        <w:rPr>
          <w:color w:val="000000"/>
          <w:lang w:eastAsia="fr-FR" w:bidi="fr-FR"/>
        </w:rPr>
        <w:t>sée. Les bestiaux, que ne suffisaient à nourrir ni les communaux, ni les prairies, trop rares, et auxquels la technique agricole ne savait pas encore offrir l’appoint des fourrages artificiels, se répandaient sur les guérets pour y paître chaumes et herbes folles. Alors les droits du pr</w:t>
      </w:r>
      <w:r w:rsidRPr="009C29C2">
        <w:rPr>
          <w:color w:val="000000"/>
          <w:lang w:eastAsia="fr-FR" w:bidi="fr-FR"/>
        </w:rPr>
        <w:t>o</w:t>
      </w:r>
      <w:r w:rsidRPr="009C29C2">
        <w:rPr>
          <w:color w:val="000000"/>
          <w:lang w:eastAsia="fr-FR" w:bidi="fr-FR"/>
        </w:rPr>
        <w:t>priétaire entraient en sommeil : c’est aux bêtes du village tout entier, groupées, à l’ordinaire, en un troupeau commun qu’il devait ouvrir labour ou pré. « Par le droit général de la France », écrivait un juri</w:t>
      </w:r>
      <w:r w:rsidRPr="009C29C2">
        <w:rPr>
          <w:color w:val="000000"/>
          <w:lang w:eastAsia="fr-FR" w:bidi="fr-FR"/>
        </w:rPr>
        <w:t>s</w:t>
      </w:r>
      <w:r w:rsidRPr="009C29C2">
        <w:rPr>
          <w:color w:val="000000"/>
          <w:lang w:eastAsia="fr-FR" w:bidi="fr-FR"/>
        </w:rPr>
        <w:t>te</w:t>
      </w:r>
      <w:r>
        <w:rPr>
          <w:color w:val="000000"/>
          <w:lang w:eastAsia="fr-FR" w:bidi="fr-FR"/>
        </w:rPr>
        <w:t> — </w:t>
      </w:r>
      <w:r w:rsidRPr="009C29C2">
        <w:rPr>
          <w:color w:val="000000"/>
          <w:lang w:eastAsia="fr-FR" w:bidi="fr-FR"/>
        </w:rPr>
        <w:t>peut-être Laurière,</w:t>
      </w:r>
      <w:r>
        <w:rPr>
          <w:color w:val="000000"/>
          <w:lang w:eastAsia="fr-FR" w:bidi="fr-FR"/>
        </w:rPr>
        <w:t> — </w:t>
      </w:r>
      <w:r w:rsidRPr="009C29C2">
        <w:rPr>
          <w:color w:val="000000"/>
          <w:lang w:eastAsia="fr-FR" w:bidi="fr-FR"/>
        </w:rPr>
        <w:t>« les héritages ne sont en défense et en garde que quand les fruits sont dessus ; et dès qu’ils sont enlevés, la terre, par une espèce de droit des gens, devient commune à tous les hommes, riches ou pauvres également »</w:t>
      </w:r>
      <w:r>
        <w:rPr>
          <w:color w:val="000000"/>
          <w:lang w:eastAsia="fr-FR" w:bidi="fr-FR"/>
        </w:rPr>
        <w:t> </w:t>
      </w:r>
      <w:r>
        <w:rPr>
          <w:rStyle w:val="Appelnotedebasdep"/>
        </w:rPr>
        <w:footnoteReference w:id="88"/>
      </w:r>
      <w:r w:rsidRPr="009C29C2">
        <w:rPr>
          <w:color w:val="000000"/>
          <w:lang w:eastAsia="fr-FR" w:bidi="fr-FR"/>
        </w:rPr>
        <w:t>.</w:t>
      </w:r>
    </w:p>
    <w:p w14:paraId="5EBAED9A" w14:textId="77777777" w:rsidR="00B9662D" w:rsidRPr="009C29C2" w:rsidRDefault="00B9662D" w:rsidP="00B9662D">
      <w:pPr>
        <w:spacing w:before="120" w:after="120"/>
        <w:jc w:val="both"/>
      </w:pPr>
      <w:r w:rsidRPr="009C29C2">
        <w:rPr>
          <w:color w:val="000000"/>
          <w:lang w:eastAsia="fr-FR" w:bidi="fr-FR"/>
        </w:rPr>
        <w:t>Souvent, cette communauté des terres vides débordait même le vi</w:t>
      </w:r>
      <w:r w:rsidRPr="009C29C2">
        <w:rPr>
          <w:color w:val="000000"/>
          <w:lang w:eastAsia="fr-FR" w:bidi="fr-FR"/>
        </w:rPr>
        <w:t>l</w:t>
      </w:r>
      <w:r w:rsidRPr="009C29C2">
        <w:rPr>
          <w:color w:val="000000"/>
          <w:lang w:eastAsia="fr-FR" w:bidi="fr-FR"/>
        </w:rPr>
        <w:t>lage ou la paroisse. En face de la vaine pâture, le « parcours ». Terme équivoque, à vrai dire, que celui-là ; les irrégularités de son emploi ne</w:t>
      </w:r>
      <w:r>
        <w:rPr>
          <w:color w:val="000000"/>
          <w:lang w:eastAsia="fr-FR" w:bidi="fr-FR"/>
        </w:rPr>
        <w:t xml:space="preserve"> [595] </w:t>
      </w:r>
      <w:r w:rsidRPr="009C29C2">
        <w:rPr>
          <w:color w:val="000000"/>
          <w:lang w:eastAsia="fr-FR" w:bidi="fr-FR"/>
        </w:rPr>
        <w:t>sont pas une des moindres difficultés de nos sources. Il arrivait que, par lui, les écrivains de l’Ancien Régime entendaient tout bo</w:t>
      </w:r>
      <w:r w:rsidRPr="009C29C2">
        <w:rPr>
          <w:color w:val="000000"/>
          <w:lang w:eastAsia="fr-FR" w:bidi="fr-FR"/>
        </w:rPr>
        <w:t>n</w:t>
      </w:r>
      <w:r w:rsidRPr="009C29C2">
        <w:rPr>
          <w:color w:val="000000"/>
          <w:lang w:eastAsia="fr-FR" w:bidi="fr-FR"/>
        </w:rPr>
        <w:t>nement la vaine pâture obligatoire. Mais son sens précis, son sens j</w:t>
      </w:r>
      <w:r w:rsidRPr="009C29C2">
        <w:rPr>
          <w:color w:val="000000"/>
          <w:lang w:eastAsia="fr-FR" w:bidi="fr-FR"/>
        </w:rPr>
        <w:t>u</w:t>
      </w:r>
      <w:r w:rsidRPr="009C29C2">
        <w:rPr>
          <w:color w:val="000000"/>
          <w:lang w:eastAsia="fr-FR" w:bidi="fr-FR"/>
        </w:rPr>
        <w:t>ridique était plus particulier. Le parcours, ou, comme on disai</w:t>
      </w:r>
      <w:r>
        <w:rPr>
          <w:color w:val="000000"/>
          <w:lang w:eastAsia="fr-FR" w:bidi="fr-FR"/>
        </w:rPr>
        <w:t>t dans le Nord, « l’entrecours</w:t>
      </w:r>
      <w:r w:rsidRPr="009C29C2">
        <w:rPr>
          <w:color w:val="000000"/>
          <w:lang w:eastAsia="fr-FR" w:bidi="fr-FR"/>
        </w:rPr>
        <w:t xml:space="preserve"> de pâturage », c’était proprement la vaine pâture réciproque entre communautés. Dans beaucoup de provinces, les groupes limitrophes avaien</w:t>
      </w:r>
      <w:r>
        <w:rPr>
          <w:color w:val="000000"/>
          <w:lang w:eastAsia="fr-FR" w:bidi="fr-FR"/>
        </w:rPr>
        <w:t>t</w:t>
      </w:r>
      <w:r w:rsidRPr="009C29C2">
        <w:rPr>
          <w:color w:val="000000"/>
          <w:lang w:eastAsia="fr-FR" w:bidi="fr-FR"/>
        </w:rPr>
        <w:t xml:space="preserve"> la faculté d’envoyer leurs troupeaux cha</w:t>
      </w:r>
      <w:r>
        <w:rPr>
          <w:color w:val="000000"/>
          <w:lang w:eastAsia="fr-FR" w:bidi="fr-FR"/>
        </w:rPr>
        <w:t>mp</w:t>
      </w:r>
      <w:r w:rsidRPr="009C29C2">
        <w:t>oyer</w:t>
      </w:r>
      <w:r w:rsidRPr="009C29C2">
        <w:rPr>
          <w:color w:val="000000"/>
          <w:lang w:eastAsia="fr-FR" w:bidi="fr-FR"/>
        </w:rPr>
        <w:t xml:space="preserve"> chacun sur le terroir de l’autre : de village voisin à village voisin et sur toute l’étendue des finages, selon la plupart des coutumes du Nord et de l’Est ; de village voisin à village voisin encore, mais seulement sur la moitié ou environ du finage d’autrui, marquée d’ordinaire p</w:t>
      </w:r>
      <w:r>
        <w:rPr>
          <w:color w:val="000000"/>
          <w:lang w:eastAsia="fr-FR" w:bidi="fr-FR"/>
        </w:rPr>
        <w:t>ar l’équerre du clocher (c’est-</w:t>
      </w:r>
      <w:r w:rsidRPr="009C29C2">
        <w:rPr>
          <w:color w:val="000000"/>
          <w:lang w:eastAsia="fr-FR" w:bidi="fr-FR"/>
        </w:rPr>
        <w:t>à-dire sa projection), selon les coutumes champenoises et lorraines ; en Béarn, où les agglomér</w:t>
      </w:r>
      <w:r w:rsidRPr="009C29C2">
        <w:rPr>
          <w:color w:val="000000"/>
          <w:lang w:eastAsia="fr-FR" w:bidi="fr-FR"/>
        </w:rPr>
        <w:t>a</w:t>
      </w:r>
      <w:r w:rsidRPr="009C29C2">
        <w:rPr>
          <w:color w:val="000000"/>
          <w:lang w:eastAsia="fr-FR" w:bidi="fr-FR"/>
        </w:rPr>
        <w:t>tions étaient petites, jusqu’au troisième clocher. Véritable « noma</w:t>
      </w:r>
      <w:r w:rsidRPr="009C29C2">
        <w:rPr>
          <w:color w:val="000000"/>
          <w:lang w:eastAsia="fr-FR" w:bidi="fr-FR"/>
        </w:rPr>
        <w:lastRenderedPageBreak/>
        <w:t xml:space="preserve">disme » de peuples « pasteurs », disaient les agronomes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w:t>
      </w:r>
    </w:p>
    <w:p w14:paraId="443A15C5" w14:textId="77777777" w:rsidR="00B9662D" w:rsidRPr="009C29C2" w:rsidRDefault="00B9662D" w:rsidP="00B9662D">
      <w:pPr>
        <w:spacing w:before="120" w:after="120"/>
        <w:jc w:val="both"/>
      </w:pPr>
      <w:r w:rsidRPr="009C29C2">
        <w:rPr>
          <w:color w:val="000000"/>
          <w:lang w:eastAsia="fr-FR" w:bidi="fr-FR"/>
        </w:rPr>
        <w:t>Pour que les bêtes pussent ainsi librement errer sur les terres d</w:t>
      </w:r>
      <w:r w:rsidRPr="009C29C2">
        <w:rPr>
          <w:color w:val="000000"/>
          <w:lang w:eastAsia="fr-FR" w:bidi="fr-FR"/>
        </w:rPr>
        <w:t>é</w:t>
      </w:r>
      <w:r w:rsidRPr="009C29C2">
        <w:rPr>
          <w:color w:val="000000"/>
          <w:lang w:eastAsia="fr-FR" w:bidi="fr-FR"/>
        </w:rPr>
        <w:t xml:space="preserve">pouillées, il leur fallait ne rencontrer l’obstacle d’aucune barrière, haie ou| ligne de fossés. </w:t>
      </w:r>
      <w:r>
        <w:rPr>
          <w:color w:val="000000"/>
          <w:lang w:eastAsia="fr-FR" w:bidi="fr-FR"/>
        </w:rPr>
        <w:t>À</w:t>
      </w:r>
      <w:r w:rsidRPr="009C29C2">
        <w:rPr>
          <w:color w:val="000000"/>
          <w:lang w:eastAsia="fr-FR" w:bidi="fr-FR"/>
        </w:rPr>
        <w:t xml:space="preserve"> moins qu’il ne s’agît d’un terrain que sa destin</w:t>
      </w:r>
      <w:r w:rsidRPr="009C29C2">
        <w:rPr>
          <w:color w:val="000000"/>
          <w:lang w:eastAsia="fr-FR" w:bidi="fr-FR"/>
        </w:rPr>
        <w:t>a</w:t>
      </w:r>
      <w:r w:rsidRPr="009C29C2">
        <w:rPr>
          <w:color w:val="000000"/>
          <w:lang w:eastAsia="fr-FR" w:bidi="fr-FR"/>
        </w:rPr>
        <w:t>tion spéciale</w:t>
      </w:r>
      <w:r>
        <w:rPr>
          <w:color w:val="000000"/>
          <w:lang w:eastAsia="fr-FR" w:bidi="fr-FR"/>
        </w:rPr>
        <w:t> — </w:t>
      </w:r>
      <w:r w:rsidRPr="009C29C2">
        <w:rPr>
          <w:color w:val="000000"/>
          <w:lang w:eastAsia="fr-FR" w:bidi="fr-FR"/>
        </w:rPr>
        <w:t>jardin, chénevière et, dans ce</w:t>
      </w:r>
      <w:r>
        <w:rPr>
          <w:color w:val="000000"/>
          <w:lang w:eastAsia="fr-FR" w:bidi="fr-FR"/>
        </w:rPr>
        <w:t>rtains pays, vignoble — ou bien</w:t>
      </w:r>
      <w:r w:rsidRPr="009C29C2">
        <w:rPr>
          <w:color w:val="000000"/>
          <w:lang w:eastAsia="fr-FR" w:bidi="fr-FR"/>
        </w:rPr>
        <w:t xml:space="preserve"> quelque privilège, né le plus souvent d’un abus que la cout</w:t>
      </w:r>
      <w:r w:rsidRPr="009C29C2">
        <w:rPr>
          <w:color w:val="000000"/>
          <w:lang w:eastAsia="fr-FR" w:bidi="fr-FR"/>
        </w:rPr>
        <w:t>u</w:t>
      </w:r>
      <w:r w:rsidRPr="009C29C2">
        <w:rPr>
          <w:color w:val="000000"/>
          <w:lang w:eastAsia="fr-FR" w:bidi="fr-FR"/>
        </w:rPr>
        <w:t>me avait</w:t>
      </w:r>
      <w:r w:rsidRPr="009C29C2">
        <w:t xml:space="preserve"> </w:t>
      </w:r>
      <w:r w:rsidRPr="009C29C2">
        <w:rPr>
          <w:color w:val="000000"/>
          <w:lang w:eastAsia="fr-FR" w:bidi="fr-FR"/>
        </w:rPr>
        <w:t>sanctionné, mettait à part de la règle commune, le propriéta</w:t>
      </w:r>
      <w:r w:rsidRPr="009C29C2">
        <w:rPr>
          <w:color w:val="000000"/>
          <w:lang w:eastAsia="fr-FR" w:bidi="fr-FR"/>
        </w:rPr>
        <w:t>i</w:t>
      </w:r>
      <w:r w:rsidRPr="009C29C2">
        <w:rPr>
          <w:color w:val="000000"/>
          <w:lang w:eastAsia="fr-FR" w:bidi="fr-FR"/>
        </w:rPr>
        <w:t>re n’avait pas le droit de se clore, ou du moins d’élever de clôture permanente, plus durable que cette période, de pleine appropriation, qui s’étendait des semailles ou des premières pousses jusqu’à la réco</w:t>
      </w:r>
      <w:r w:rsidRPr="009C29C2">
        <w:rPr>
          <w:color w:val="000000"/>
          <w:lang w:eastAsia="fr-FR" w:bidi="fr-FR"/>
        </w:rPr>
        <w:t>l</w:t>
      </w:r>
      <w:r w:rsidRPr="009C29C2">
        <w:rPr>
          <w:color w:val="000000"/>
          <w:lang w:eastAsia="fr-FR" w:bidi="fr-FR"/>
        </w:rPr>
        <w:t xml:space="preserve">te. Certains textes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nous ont conservé une image fid</w:t>
      </w:r>
      <w:r w:rsidRPr="009C29C2">
        <w:rPr>
          <w:color w:val="000000"/>
          <w:lang w:eastAsia="fr-FR" w:bidi="fr-FR"/>
        </w:rPr>
        <w:t>è</w:t>
      </w:r>
      <w:r w:rsidRPr="009C29C2">
        <w:rPr>
          <w:color w:val="000000"/>
          <w:lang w:eastAsia="fr-FR" w:bidi="fr-FR"/>
        </w:rPr>
        <w:t>le de ces « rases campagnes », où, ni murs, ni enclos d’aucune sorte n’arrêtant le regard, « un cultivateur voit du même coup d’œil ce qui se passe sur toutes les pièces de terre qu’il a dans une plaine ou dans un même canton ».</w:t>
      </w:r>
    </w:p>
    <w:p w14:paraId="036204D5" w14:textId="77777777" w:rsidR="00B9662D" w:rsidRPr="009C29C2" w:rsidRDefault="00B9662D" w:rsidP="00B9662D">
      <w:pPr>
        <w:spacing w:before="120" w:after="120"/>
        <w:jc w:val="both"/>
      </w:pPr>
      <w:r w:rsidRPr="009C29C2">
        <w:rPr>
          <w:color w:val="000000"/>
          <w:lang w:eastAsia="fr-FR" w:bidi="fr-FR"/>
        </w:rPr>
        <w:t xml:space="preserve">Enfin l’assolement forcé. </w:t>
      </w:r>
      <w:r>
        <w:rPr>
          <w:color w:val="000000"/>
          <w:lang w:eastAsia="fr-FR" w:bidi="fr-FR"/>
        </w:rPr>
        <w:t>À</w:t>
      </w:r>
      <w:r w:rsidRPr="009C29C2">
        <w:rPr>
          <w:color w:val="000000"/>
          <w:lang w:eastAsia="fr-FR" w:bidi="fr-FR"/>
        </w:rPr>
        <w:t xml:space="preserve"> la fois pour permettre, aux époques habituelles, l’indispensable vaine pâture, aussi, dans certaines régions, en raison de la forme et de la disposition des parcelles, qui imposaient de gênantes servitudes de passage, le propriétaire devait respecter, dans la suite des cultures, l’ordre commun et accoutumé : semer à l’automne l’année où ses voisins, dans le même quartier du terroir, faisaient du « blé d’hiver » ; au printemps, lorsque c’était le tour des grains de carême ; moissonner au temps convenu ; enfin, lor</w:t>
      </w:r>
      <w:r w:rsidRPr="009C29C2">
        <w:rPr>
          <w:color w:val="000000"/>
          <w:lang w:eastAsia="fr-FR" w:bidi="fr-FR"/>
        </w:rPr>
        <w:t>s</w:t>
      </w:r>
      <w:r w:rsidRPr="009C29C2">
        <w:rPr>
          <w:color w:val="000000"/>
          <w:lang w:eastAsia="fr-FR" w:bidi="fr-FR"/>
        </w:rPr>
        <w:t>qu’arrivait le moment de la jachère</w:t>
      </w:r>
      <w:r>
        <w:rPr>
          <w:color w:val="000000"/>
          <w:lang w:eastAsia="fr-FR" w:bidi="fr-FR"/>
        </w:rPr>
        <w:t> — </w:t>
      </w:r>
      <w:r w:rsidRPr="009C29C2">
        <w:rPr>
          <w:color w:val="000000"/>
          <w:lang w:eastAsia="fr-FR" w:bidi="fr-FR"/>
        </w:rPr>
        <w:t>tous les deux ans dans le Midi, tous les trois ans dans la plus grande partie du reste du pays</w:t>
      </w:r>
      <w:r>
        <w:rPr>
          <w:color w:val="000000"/>
          <w:lang w:eastAsia="fr-FR" w:bidi="fr-FR"/>
        </w:rPr>
        <w:t> — </w:t>
      </w:r>
      <w:r w:rsidRPr="009C29C2">
        <w:rPr>
          <w:color w:val="000000"/>
          <w:lang w:eastAsia="fr-FR" w:bidi="fr-FR"/>
        </w:rPr>
        <w:t xml:space="preserve">laisser, de la moisson jusqu’aux labours de l’année suivante, ses champs en friche, c’est-à-dire pendant de longs mois les abandonner, </w:t>
      </w:r>
      <w:r w:rsidRPr="004E7675">
        <w:rPr>
          <w:color w:val="000000"/>
          <w:lang w:eastAsia="fr-FR" w:bidi="fr-FR"/>
        </w:rPr>
        <w:t xml:space="preserve">sans en tirer aucun profit personnel, à la </w:t>
      </w:r>
      <w:r>
        <w:rPr>
          <w:color w:val="000000"/>
          <w:lang w:eastAsia="fr-FR" w:bidi="fr-FR"/>
        </w:rPr>
        <w:t>d</w:t>
      </w:r>
      <w:r w:rsidRPr="004E7675">
        <w:rPr>
          <w:color w:val="000000"/>
          <w:lang w:eastAsia="fr-FR" w:bidi="fr-FR"/>
        </w:rPr>
        <w:t>é</w:t>
      </w:r>
      <w:r>
        <w:rPr>
          <w:color w:val="000000"/>
          <w:lang w:eastAsia="fr-FR" w:bidi="fr-FR"/>
        </w:rPr>
        <w:t>p</w:t>
      </w:r>
      <w:r w:rsidRPr="004E7675">
        <w:rPr>
          <w:color w:val="000000"/>
          <w:lang w:eastAsia="fr-FR" w:bidi="fr-FR"/>
        </w:rPr>
        <w:t xml:space="preserve">aissance </w:t>
      </w:r>
      <w:r w:rsidRPr="004E7675">
        <w:rPr>
          <w:bCs/>
        </w:rPr>
        <w:t>collective.</w:t>
      </w:r>
      <w:r w:rsidRPr="004E7675">
        <w:rPr>
          <w:b/>
          <w:bCs/>
        </w:rPr>
        <w:t xml:space="preserve"> </w:t>
      </w:r>
      <w:r w:rsidRPr="004E7675">
        <w:rPr>
          <w:color w:val="000000"/>
          <w:lang w:eastAsia="fr-FR" w:bidi="fr-FR"/>
        </w:rPr>
        <w:t>Il était rigoure</w:t>
      </w:r>
      <w:r w:rsidRPr="004E7675">
        <w:rPr>
          <w:color w:val="000000"/>
          <w:lang w:eastAsia="fr-FR" w:bidi="fr-FR"/>
        </w:rPr>
        <w:t>u</w:t>
      </w:r>
      <w:r w:rsidRPr="004E7675">
        <w:rPr>
          <w:color w:val="000000"/>
          <w:lang w:eastAsia="fr-FR" w:bidi="fr-FR"/>
        </w:rPr>
        <w:t>sement interdit</w:t>
      </w:r>
      <w:r>
        <w:rPr>
          <w:color w:val="000000"/>
          <w:lang w:eastAsia="fr-FR" w:bidi="fr-FR"/>
        </w:rPr>
        <w:t> — </w:t>
      </w:r>
      <w:r w:rsidRPr="004E7675">
        <w:rPr>
          <w:color w:val="000000"/>
          <w:lang w:eastAsia="fr-FR" w:bidi="fr-FR"/>
        </w:rPr>
        <w:t>et, d’ailleurs, le plus souvent,</w:t>
      </w:r>
      <w:r w:rsidRPr="009C29C2">
        <w:rPr>
          <w:color w:val="000000"/>
          <w:lang w:eastAsia="fr-FR" w:bidi="fr-FR"/>
        </w:rPr>
        <w:t xml:space="preserve"> pratiquement impo</w:t>
      </w:r>
      <w:r w:rsidRPr="009C29C2">
        <w:rPr>
          <w:color w:val="000000"/>
          <w:lang w:eastAsia="fr-FR" w:bidi="fr-FR"/>
        </w:rPr>
        <w:t>s</w:t>
      </w:r>
      <w:r w:rsidRPr="009C29C2">
        <w:rPr>
          <w:color w:val="000000"/>
          <w:lang w:eastAsia="fr-FR" w:bidi="fr-FR"/>
        </w:rPr>
        <w:t>sible</w:t>
      </w:r>
      <w:r>
        <w:rPr>
          <w:color w:val="000000"/>
          <w:lang w:eastAsia="fr-FR" w:bidi="fr-FR"/>
        </w:rPr>
        <w:t> — </w:t>
      </w:r>
      <w:r w:rsidRPr="009C29C2">
        <w:rPr>
          <w:color w:val="000000"/>
          <w:lang w:eastAsia="fr-FR" w:bidi="fr-FR"/>
        </w:rPr>
        <w:t>de « </w:t>
      </w:r>
      <w:r w:rsidRPr="009C29C2">
        <w:t>dessaisonner »</w:t>
      </w:r>
      <w:r w:rsidRPr="009C29C2">
        <w:rPr>
          <w:color w:val="000000"/>
          <w:lang w:eastAsia="fr-FR" w:bidi="fr-FR"/>
        </w:rPr>
        <w:t>.</w:t>
      </w:r>
    </w:p>
    <w:p w14:paraId="625FFFD2" w14:textId="77777777" w:rsidR="00B9662D" w:rsidRPr="009C29C2" w:rsidRDefault="00B9662D" w:rsidP="00B9662D">
      <w:pPr>
        <w:spacing w:before="120" w:after="120"/>
        <w:jc w:val="both"/>
      </w:pPr>
      <w:r w:rsidRPr="009C29C2">
        <w:rPr>
          <w:color w:val="000000"/>
          <w:lang w:eastAsia="fr-FR" w:bidi="fr-FR"/>
        </w:rPr>
        <w:t xml:space="preserve">Assurément, ces servitudes, au début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ne pesaient</w:t>
      </w:r>
      <w:r w:rsidRPr="009C29C2">
        <w:rPr>
          <w:color w:val="000000"/>
          <w:vertAlign w:val="superscript"/>
          <w:lang w:eastAsia="fr-FR" w:bidi="fr-FR"/>
        </w:rPr>
        <w:t xml:space="preserve"> </w:t>
      </w:r>
      <w:r w:rsidRPr="009C29C2">
        <w:rPr>
          <w:color w:val="000000"/>
          <w:lang w:eastAsia="fr-FR" w:bidi="fr-FR"/>
        </w:rPr>
        <w:t>pas sur toutes les campagnes françaises d’un poids égal. Partis d’un système agraire très primitif, tout un groupe de pays</w:t>
      </w:r>
      <w:r>
        <w:rPr>
          <w:color w:val="000000"/>
          <w:lang w:eastAsia="fr-FR" w:bidi="fr-FR"/>
        </w:rPr>
        <w:t> — </w:t>
      </w:r>
      <w:r w:rsidRPr="009C29C2">
        <w:rPr>
          <w:color w:val="000000"/>
          <w:lang w:eastAsia="fr-FR" w:bidi="fr-FR"/>
        </w:rPr>
        <w:t xml:space="preserve">dans l’Ouest et le </w:t>
      </w:r>
      <w:r>
        <w:t>C</w:t>
      </w:r>
      <w:r w:rsidRPr="009C29C2">
        <w:t>entre</w:t>
      </w:r>
      <w:r w:rsidRPr="009C29C2">
        <w:rPr>
          <w:color w:val="000000"/>
          <w:lang w:eastAsia="fr-FR" w:bidi="fr-FR"/>
        </w:rPr>
        <w:t xml:space="preserve"> surtout</w:t>
      </w:r>
      <w:r>
        <w:rPr>
          <w:color w:val="000000"/>
          <w:lang w:eastAsia="fr-FR" w:bidi="fr-FR"/>
        </w:rPr>
        <w:t> — </w:t>
      </w:r>
      <w:r w:rsidRPr="009C29C2">
        <w:rPr>
          <w:color w:val="000000"/>
          <w:lang w:eastAsia="fr-FR" w:bidi="fr-FR"/>
        </w:rPr>
        <w:t>étaient peu à peu arrivés à établir leur écon</w:t>
      </w:r>
      <w:r w:rsidRPr="009C29C2">
        <w:rPr>
          <w:color w:val="000000"/>
          <w:lang w:eastAsia="fr-FR" w:bidi="fr-FR"/>
        </w:rPr>
        <w:t>o</w:t>
      </w:r>
      <w:r w:rsidRPr="009C29C2">
        <w:rPr>
          <w:color w:val="000000"/>
          <w:lang w:eastAsia="fr-FR" w:bidi="fr-FR"/>
        </w:rPr>
        <w:t>mie agricole sur un système d’enclos ; les prés, d’ordinaire, y deme</w:t>
      </w:r>
      <w:r w:rsidRPr="009C29C2">
        <w:rPr>
          <w:color w:val="000000"/>
          <w:lang w:eastAsia="fr-FR" w:bidi="fr-FR"/>
        </w:rPr>
        <w:t>u</w:t>
      </w:r>
      <w:r w:rsidRPr="009C29C2">
        <w:rPr>
          <w:color w:val="000000"/>
          <w:lang w:eastAsia="fr-FR" w:bidi="fr-FR"/>
        </w:rPr>
        <w:t>raient ouverts et soumis au vain pâturage ; mais les champs</w:t>
      </w:r>
      <w:r>
        <w:rPr>
          <w:color w:val="000000"/>
          <w:lang w:eastAsia="fr-FR" w:bidi="fr-FR"/>
        </w:rPr>
        <w:t> — </w:t>
      </w:r>
      <w:r w:rsidRPr="009C29C2">
        <w:rPr>
          <w:color w:val="000000"/>
          <w:lang w:eastAsia="fr-FR" w:bidi="fr-FR"/>
        </w:rPr>
        <w:t>cultivés du reste selon les mêmes routines qu’ailleurs</w:t>
      </w:r>
      <w:r>
        <w:rPr>
          <w:color w:val="000000"/>
          <w:lang w:eastAsia="fr-FR" w:bidi="fr-FR"/>
        </w:rPr>
        <w:t> — </w:t>
      </w:r>
      <w:r w:rsidRPr="009C29C2">
        <w:rPr>
          <w:color w:val="000000"/>
          <w:lang w:eastAsia="fr-FR" w:bidi="fr-FR"/>
        </w:rPr>
        <w:t>à l’abri de</w:t>
      </w:r>
      <w:r w:rsidRPr="009C29C2">
        <w:rPr>
          <w:color w:val="000000"/>
          <w:lang w:eastAsia="fr-FR" w:bidi="fr-FR"/>
        </w:rPr>
        <w:t>r</w:t>
      </w:r>
      <w:r w:rsidRPr="009C29C2">
        <w:rPr>
          <w:color w:val="000000"/>
          <w:lang w:eastAsia="fr-FR" w:bidi="fr-FR"/>
        </w:rPr>
        <w:lastRenderedPageBreak/>
        <w:t>rière murettes</w:t>
      </w:r>
      <w:r>
        <w:t xml:space="preserve"> </w:t>
      </w:r>
      <w:r>
        <w:rPr>
          <w:color w:val="000000"/>
          <w:lang w:eastAsia="fr-FR" w:bidi="fr-FR"/>
        </w:rPr>
        <w:t xml:space="preserve">[596] </w:t>
      </w:r>
      <w:r w:rsidRPr="009C29C2">
        <w:rPr>
          <w:color w:val="000000"/>
          <w:lang w:eastAsia="fr-FR" w:bidi="fr-FR"/>
        </w:rPr>
        <w:t>et surtou</w:t>
      </w:r>
      <w:r w:rsidRPr="009C29C2">
        <w:t>t haies vives,</w:t>
      </w:r>
      <w:r w:rsidRPr="009C29C2">
        <w:rPr>
          <w:color w:val="000000"/>
          <w:lang w:eastAsia="fr-FR" w:bidi="fr-FR"/>
        </w:rPr>
        <w:t xml:space="preserve"> n’accueillaient, une fois vides de fruits, que les bestiaux du propriétaire. La Provence, depuis la fin du Moyen Age, au cours d’une lente révolution que favorisa la forme des parcelles, presque aussi larges que longues, avait, sans g</w:t>
      </w:r>
      <w:r w:rsidRPr="009C29C2">
        <w:rPr>
          <w:color w:val="000000"/>
          <w:lang w:eastAsia="fr-FR" w:bidi="fr-FR"/>
        </w:rPr>
        <w:t>é</w:t>
      </w:r>
      <w:r w:rsidRPr="009C29C2">
        <w:rPr>
          <w:color w:val="000000"/>
          <w:lang w:eastAsia="fr-FR" w:bidi="fr-FR"/>
        </w:rPr>
        <w:t>néraliser les clôt</w:t>
      </w:r>
      <w:r w:rsidRPr="009C29C2">
        <w:rPr>
          <w:color w:val="000000"/>
          <w:lang w:eastAsia="fr-FR" w:bidi="fr-FR"/>
        </w:rPr>
        <w:t>u</w:t>
      </w:r>
      <w:r w:rsidRPr="009C29C2">
        <w:rPr>
          <w:color w:val="000000"/>
          <w:lang w:eastAsia="fr-FR" w:bidi="fr-FR"/>
        </w:rPr>
        <w:t>res, à peu près éliminé la dépaissance commune. De même la Flandre, qui, la première sans doute en Europe, avait, du même coup, supprimé la jachère morte ; et, en Normandie, beaucoup des parties jadis ouvertes. Mais, dans le reste du royaume, les oblig</w:t>
      </w:r>
      <w:r w:rsidRPr="009C29C2">
        <w:rPr>
          <w:color w:val="000000"/>
          <w:lang w:eastAsia="fr-FR" w:bidi="fr-FR"/>
        </w:rPr>
        <w:t>a</w:t>
      </w:r>
      <w:r w:rsidRPr="009C29C2">
        <w:rPr>
          <w:color w:val="000000"/>
          <w:lang w:eastAsia="fr-FR" w:bidi="fr-FR"/>
        </w:rPr>
        <w:t>tions communautaires et la mentalité qui les soutenait demeuraient extrêmement vivaces. Tantôt les coutumes provinciales, que la m</w:t>
      </w:r>
      <w:r w:rsidRPr="009C29C2">
        <w:rPr>
          <w:color w:val="000000"/>
          <w:lang w:eastAsia="fr-FR" w:bidi="fr-FR"/>
        </w:rPr>
        <w:t>o</w:t>
      </w:r>
      <w:r w:rsidRPr="009C29C2">
        <w:rPr>
          <w:color w:val="000000"/>
          <w:lang w:eastAsia="fr-FR" w:bidi="fr-FR"/>
        </w:rPr>
        <w:t>narchie avait mises par écrit et sanctionnées, les imposaient express</w:t>
      </w:r>
      <w:r w:rsidRPr="009C29C2">
        <w:rPr>
          <w:color w:val="000000"/>
          <w:lang w:eastAsia="fr-FR" w:bidi="fr-FR"/>
        </w:rPr>
        <w:t>é</w:t>
      </w:r>
      <w:r w:rsidRPr="009C29C2">
        <w:rPr>
          <w:color w:val="000000"/>
          <w:lang w:eastAsia="fr-FR" w:bidi="fr-FR"/>
        </w:rPr>
        <w:t>ment ; tantôt c’était la tradition locale, reconnue par la jurisprudence ; ailleurs encore, et parfois en dépit même des tribunaux et des lois, une pression collective qui s</w:t>
      </w:r>
      <w:r w:rsidRPr="009C29C2">
        <w:rPr>
          <w:color w:val="000000"/>
          <w:lang w:eastAsia="fr-FR" w:bidi="fr-FR"/>
        </w:rPr>
        <w:t>a</w:t>
      </w:r>
      <w:r w:rsidRPr="009C29C2">
        <w:rPr>
          <w:color w:val="000000"/>
          <w:lang w:eastAsia="fr-FR" w:bidi="fr-FR"/>
        </w:rPr>
        <w:t>vait, à l’occasion, se faire brutale. Qu’elles eussent encore une grande force, c’est ce que suffiraient à prouver, s’il en était besoin, les critiques que dirigèrent contre elles, dans la s</w:t>
      </w:r>
      <w:r w:rsidRPr="009C29C2">
        <w:rPr>
          <w:color w:val="000000"/>
          <w:lang w:eastAsia="fr-FR" w:bidi="fr-FR"/>
        </w:rPr>
        <w:t>e</w:t>
      </w:r>
      <w:r w:rsidRPr="009C29C2">
        <w:rPr>
          <w:color w:val="000000"/>
          <w:lang w:eastAsia="fr-FR" w:bidi="fr-FR"/>
        </w:rPr>
        <w:t xml:space="preserve">conde moitié du siècle, les partisans de </w:t>
      </w:r>
      <w:r>
        <w:rPr>
          <w:color w:val="000000"/>
          <w:lang w:eastAsia="fr-FR" w:bidi="fr-FR"/>
        </w:rPr>
        <w:t>l’</w:t>
      </w:r>
      <w:r w:rsidRPr="009C29C2">
        <w:rPr>
          <w:color w:val="000000"/>
          <w:lang w:eastAsia="fr-FR" w:bidi="fr-FR"/>
        </w:rPr>
        <w:t>« agriculture nouvelle » : on n’attaque pas un mort, ou un moribond, avec tant de vigueur.</w:t>
      </w:r>
    </w:p>
    <w:p w14:paraId="17E60E15" w14:textId="77777777" w:rsidR="00B9662D" w:rsidRDefault="00B9662D" w:rsidP="00B9662D">
      <w:pPr>
        <w:pStyle w:val="c"/>
        <w:rPr>
          <w:lang w:eastAsia="fr-FR" w:bidi="fr-FR"/>
        </w:rPr>
      </w:pPr>
      <w:r>
        <w:rPr>
          <w:lang w:eastAsia="fr-FR" w:bidi="fr-FR"/>
        </w:rPr>
        <w:t>*</w:t>
      </w:r>
      <w:r>
        <w:rPr>
          <w:lang w:eastAsia="fr-FR" w:bidi="fr-FR"/>
        </w:rPr>
        <w:br/>
        <w:t>*     *</w:t>
      </w:r>
    </w:p>
    <w:p w14:paraId="6FB6F998" w14:textId="77777777" w:rsidR="00B9662D" w:rsidRPr="009C29C2" w:rsidRDefault="00B9662D" w:rsidP="00B9662D">
      <w:pPr>
        <w:spacing w:before="120" w:after="120"/>
        <w:jc w:val="both"/>
      </w:pPr>
      <w:r w:rsidRPr="009C29C2">
        <w:rPr>
          <w:color w:val="000000"/>
          <w:lang w:eastAsia="fr-FR" w:bidi="fr-FR"/>
        </w:rPr>
        <w:t>Les anciens « usages champêtres », en effet, qu’un agronome co</w:t>
      </w:r>
      <w:r w:rsidRPr="009C29C2">
        <w:rPr>
          <w:color w:val="000000"/>
          <w:lang w:eastAsia="fr-FR" w:bidi="fr-FR"/>
        </w:rPr>
        <w:t>m</w:t>
      </w:r>
      <w:r w:rsidRPr="009C29C2">
        <w:rPr>
          <w:color w:val="000000"/>
          <w:lang w:eastAsia="fr-FR" w:bidi="fr-FR"/>
        </w:rPr>
        <w:t>parait, pour leur barbarie et leur peu de solidité, aux « édifices goth</w:t>
      </w:r>
      <w:r w:rsidRPr="009C29C2">
        <w:rPr>
          <w:color w:val="000000"/>
          <w:lang w:eastAsia="fr-FR" w:bidi="fr-FR"/>
        </w:rPr>
        <w:t>i</w:t>
      </w:r>
      <w:r w:rsidRPr="009C29C2">
        <w:rPr>
          <w:color w:val="000000"/>
          <w:lang w:eastAsia="fr-FR" w:bidi="fr-FR"/>
        </w:rPr>
        <w:t>ques »</w:t>
      </w:r>
      <w:r>
        <w:rPr>
          <w:color w:val="000000"/>
          <w:lang w:eastAsia="fr-FR" w:bidi="fr-FR"/>
        </w:rPr>
        <w:t> </w:t>
      </w:r>
      <w:r>
        <w:rPr>
          <w:rStyle w:val="Appelnotedebasdep"/>
        </w:rPr>
        <w:footnoteReference w:id="89"/>
      </w:r>
      <w:r w:rsidRPr="009C29C2">
        <w:rPr>
          <w:color w:val="000000"/>
          <w:lang w:eastAsia="fr-FR" w:bidi="fr-FR"/>
        </w:rPr>
        <w:t xml:space="preserve"> et, en tout premier lieu, la vaine pâture et le parcours, furent alors frappés d’un véritable anathème doctrinal. On leur réserve une place, pour les condamner, dans les traités d’ensemble, tels que les illustres </w:t>
      </w:r>
      <w:r w:rsidRPr="004E7675">
        <w:rPr>
          <w:i/>
        </w:rPr>
        <w:t>Éléments d'agriculture</w:t>
      </w:r>
      <w:r w:rsidRPr="009C29C2">
        <w:rPr>
          <w:color w:val="000000"/>
          <w:lang w:eastAsia="fr-FR" w:bidi="fr-FR"/>
        </w:rPr>
        <w:t xml:space="preserve"> de Duhamel du Monceau. On cons</w:t>
      </w:r>
      <w:r w:rsidRPr="009C29C2">
        <w:rPr>
          <w:color w:val="000000"/>
          <w:lang w:eastAsia="fr-FR" w:bidi="fr-FR"/>
        </w:rPr>
        <w:t>a</w:t>
      </w:r>
      <w:r w:rsidRPr="009C29C2">
        <w:rPr>
          <w:color w:val="000000"/>
          <w:lang w:eastAsia="fr-FR" w:bidi="fr-FR"/>
        </w:rPr>
        <w:t xml:space="preserve">cre à les combattre des ouvrages spéciaux : le </w:t>
      </w:r>
      <w:r w:rsidRPr="004E7675">
        <w:rPr>
          <w:i/>
        </w:rPr>
        <w:t>Mémoire concernant la clôture des héritages, le vain</w:t>
      </w:r>
      <w:r w:rsidRPr="004E7675">
        <w:rPr>
          <w:i/>
          <w:color w:val="000000"/>
          <w:lang w:eastAsia="fr-FR" w:bidi="fr-FR"/>
        </w:rPr>
        <w:t xml:space="preserve"> </w:t>
      </w:r>
      <w:r w:rsidRPr="004E7675">
        <w:rPr>
          <w:i/>
        </w:rPr>
        <w:t>pâturage et le parcours en Lorraine</w:t>
      </w:r>
      <w:r w:rsidRPr="004E7675">
        <w:rPr>
          <w:i/>
          <w:color w:val="000000"/>
          <w:lang w:eastAsia="fr-FR" w:bidi="fr-FR"/>
        </w:rPr>
        <w:t xml:space="preserve"> de Durival</w:t>
      </w:r>
      <w:r w:rsidRPr="009C29C2">
        <w:rPr>
          <w:color w:val="000000"/>
          <w:lang w:eastAsia="fr-FR" w:bidi="fr-FR"/>
        </w:rPr>
        <w:t xml:space="preserve"> </w:t>
      </w:r>
      <w:r w:rsidRPr="009C29C2">
        <w:rPr>
          <w:rStyle w:val="Corpsdutexte210ptGras"/>
          <w:sz w:val="28"/>
          <w:lang w:val="fr-CA"/>
        </w:rPr>
        <w:t>(</w:t>
      </w:r>
      <w:r w:rsidRPr="009C29C2">
        <w:rPr>
          <w:color w:val="000000"/>
          <w:lang w:eastAsia="fr-FR" w:bidi="fr-FR"/>
        </w:rPr>
        <w:t>1763</w:t>
      </w:r>
      <w:r w:rsidRPr="009C29C2">
        <w:rPr>
          <w:rStyle w:val="Corpsdutexte210ptGras"/>
          <w:sz w:val="28"/>
          <w:lang w:val="fr-CA"/>
        </w:rPr>
        <w:t xml:space="preserve">), </w:t>
      </w:r>
      <w:r w:rsidRPr="009C29C2">
        <w:rPr>
          <w:color w:val="000000"/>
          <w:lang w:eastAsia="fr-FR" w:bidi="fr-FR"/>
        </w:rPr>
        <w:t xml:space="preserve">le travail de Marcandier, </w:t>
      </w:r>
      <w:r w:rsidRPr="004E7675">
        <w:rPr>
          <w:i/>
        </w:rPr>
        <w:t>Sur la clôture des terres en Berry</w:t>
      </w:r>
      <w:r>
        <w:t> </w:t>
      </w:r>
      <w:r>
        <w:rPr>
          <w:rStyle w:val="Appelnotedebasdep"/>
        </w:rPr>
        <w:footnoteReference w:id="90"/>
      </w:r>
      <w:r w:rsidRPr="009C29C2">
        <w:t>,</w:t>
      </w:r>
      <w:r w:rsidRPr="009C29C2">
        <w:rPr>
          <w:color w:val="000000"/>
          <w:lang w:eastAsia="fr-FR" w:bidi="fr-FR"/>
        </w:rPr>
        <w:t xml:space="preserve"> les </w:t>
      </w:r>
      <w:r w:rsidRPr="004E7675">
        <w:rPr>
          <w:i/>
        </w:rPr>
        <w:t>Nouveaux essais d'agriculture à la faveur des enclos co</w:t>
      </w:r>
      <w:r w:rsidRPr="004E7675">
        <w:rPr>
          <w:i/>
        </w:rPr>
        <w:t>m</w:t>
      </w:r>
      <w:r w:rsidRPr="004E7675">
        <w:rPr>
          <w:i/>
        </w:rPr>
        <w:t>parés avec l’agriculture soumise au parcours</w:t>
      </w:r>
      <w:r w:rsidRPr="009C29C2">
        <w:t>,</w:t>
      </w:r>
      <w:r w:rsidRPr="009C29C2">
        <w:rPr>
          <w:color w:val="000000"/>
          <w:lang w:eastAsia="fr-FR" w:bidi="fr-FR"/>
        </w:rPr>
        <w:t xml:space="preserve"> par un « fermier » bourguignon </w:t>
      </w:r>
      <w:r w:rsidRPr="009C29C2">
        <w:rPr>
          <w:rStyle w:val="Corpsdutexte210ptGras"/>
          <w:sz w:val="28"/>
          <w:lang w:val="fr-CA"/>
        </w:rPr>
        <w:t>(</w:t>
      </w:r>
      <w:r w:rsidRPr="009C29C2">
        <w:rPr>
          <w:color w:val="000000"/>
          <w:lang w:eastAsia="fr-FR" w:bidi="fr-FR"/>
        </w:rPr>
        <w:t>1769</w:t>
      </w:r>
      <w:r w:rsidRPr="009C29C2">
        <w:rPr>
          <w:rStyle w:val="Corpsdutexte210ptGras"/>
          <w:sz w:val="28"/>
          <w:lang w:val="fr-CA"/>
        </w:rPr>
        <w:t>)</w:t>
      </w:r>
      <w:r>
        <w:rPr>
          <w:rStyle w:val="Corpsdutexte210ptGras"/>
          <w:sz w:val="28"/>
          <w:lang w:val="fr-CA"/>
        </w:rPr>
        <w:t> </w:t>
      </w:r>
      <w:r w:rsidRPr="004D3025">
        <w:rPr>
          <w:rStyle w:val="Appelnotedebasdep"/>
          <w:bCs/>
        </w:rPr>
        <w:footnoteReference w:id="91"/>
      </w:r>
      <w:r w:rsidRPr="009C29C2">
        <w:rPr>
          <w:rStyle w:val="Corpsdutexte210ptGras"/>
          <w:sz w:val="28"/>
          <w:lang w:val="fr-CA"/>
        </w:rPr>
        <w:t xml:space="preserve">. </w:t>
      </w:r>
      <w:r w:rsidRPr="009C29C2">
        <w:rPr>
          <w:color w:val="000000"/>
          <w:lang w:eastAsia="fr-FR" w:bidi="fr-FR"/>
        </w:rPr>
        <w:t>En 1767</w:t>
      </w:r>
      <w:r w:rsidRPr="009C29C2">
        <w:rPr>
          <w:rStyle w:val="Corpsdutexte210ptGras"/>
          <w:sz w:val="28"/>
          <w:lang w:val="fr-CA"/>
        </w:rPr>
        <w:t xml:space="preserve">, </w:t>
      </w:r>
      <w:r w:rsidRPr="009C29C2">
        <w:rPr>
          <w:color w:val="000000"/>
          <w:lang w:eastAsia="fr-FR" w:bidi="fr-FR"/>
        </w:rPr>
        <w:t>l’Académie de Besançon mit au con</w:t>
      </w:r>
      <w:r w:rsidRPr="009C29C2">
        <w:rPr>
          <w:color w:val="000000"/>
          <w:lang w:eastAsia="fr-FR" w:bidi="fr-FR"/>
        </w:rPr>
        <w:lastRenderedPageBreak/>
        <w:t>cours la question suivante : « S’il est plus utile en Franche-Comté de donner à chacun la liberté de clore ses héritages pour les cultiver à son gré que de les laisser ouverts pour le vain pâturage après la récolte des premiers fruits ». L’auteur du mémoire couron</w:t>
      </w:r>
      <w:r>
        <w:rPr>
          <w:color w:val="000000"/>
          <w:lang w:eastAsia="fr-FR" w:bidi="fr-FR"/>
        </w:rPr>
        <w:t>né, Éthis de N</w:t>
      </w:r>
      <w:r>
        <w:rPr>
          <w:color w:val="000000"/>
          <w:lang w:eastAsia="fr-FR" w:bidi="fr-FR"/>
        </w:rPr>
        <w:t>o</w:t>
      </w:r>
      <w:r w:rsidRPr="009C29C2">
        <w:rPr>
          <w:color w:val="000000"/>
          <w:lang w:eastAsia="fr-FR" w:bidi="fr-FR"/>
        </w:rPr>
        <w:t>véant, se prononçait, énergiquement, en faveur de la liberté de clôt</w:t>
      </w:r>
      <w:r w:rsidRPr="009C29C2">
        <w:rPr>
          <w:color w:val="000000"/>
          <w:lang w:eastAsia="fr-FR" w:bidi="fr-FR"/>
        </w:rPr>
        <w:t>u</w:t>
      </w:r>
      <w:r w:rsidRPr="009C29C2">
        <w:rPr>
          <w:color w:val="000000"/>
          <w:lang w:eastAsia="fr-FR" w:bidi="fr-FR"/>
        </w:rPr>
        <w:t>re</w:t>
      </w:r>
      <w:r>
        <w:rPr>
          <w:color w:val="000000"/>
          <w:lang w:eastAsia="fr-FR" w:bidi="fr-FR"/>
        </w:rPr>
        <w:t> </w:t>
      </w:r>
      <w:r>
        <w:rPr>
          <w:rStyle w:val="Appelnotedebasdep"/>
        </w:rPr>
        <w:footnoteReference w:id="92"/>
      </w:r>
      <w:r w:rsidRPr="009C29C2">
        <w:rPr>
          <w:color w:val="000000"/>
          <w:lang w:eastAsia="fr-FR" w:bidi="fr-FR"/>
        </w:rPr>
        <w:t>. S’il avait conclu autrement, eût-il remporté la victoire ? Même son de cloche dans les rapports des administrateurs, lorsque ceux-ci étaient gagnés aux idées nouvelles. Le ton est très monté : « droits odieux », « usages barbares », « qui n’ont pu prendre naissance que dans des siècles d’ignorance », « monuments de la condition sauvage et grossière où l’humanité fut longtemps réduite », on pourrait mult</w:t>
      </w:r>
      <w:r w:rsidRPr="009C29C2">
        <w:rPr>
          <w:color w:val="000000"/>
          <w:lang w:eastAsia="fr-FR" w:bidi="fr-FR"/>
        </w:rPr>
        <w:t>i</w:t>
      </w:r>
      <w:r w:rsidRPr="009C29C2">
        <w:rPr>
          <w:color w:val="000000"/>
          <w:lang w:eastAsia="fr-FR" w:bidi="fr-FR"/>
        </w:rPr>
        <w:t>plier les exemples de ces gentillesses. Cette</w:t>
      </w:r>
      <w:r>
        <w:t xml:space="preserve"> </w:t>
      </w:r>
      <w:r>
        <w:rPr>
          <w:color w:val="000000"/>
          <w:lang w:eastAsia="fr-FR" w:bidi="fr-FR"/>
        </w:rPr>
        <w:t xml:space="preserve">[597] </w:t>
      </w:r>
      <w:r w:rsidRPr="009C29C2">
        <w:rPr>
          <w:color w:val="000000"/>
          <w:lang w:eastAsia="fr-FR" w:bidi="fr-FR"/>
        </w:rPr>
        <w:t>littérature est mon</w:t>
      </w:r>
      <w:r w:rsidRPr="009C29C2">
        <w:rPr>
          <w:color w:val="000000"/>
          <w:lang w:eastAsia="fr-FR" w:bidi="fr-FR"/>
        </w:rPr>
        <w:t>o</w:t>
      </w:r>
      <w:r w:rsidRPr="009C29C2">
        <w:rPr>
          <w:color w:val="000000"/>
          <w:lang w:eastAsia="fr-FR" w:bidi="fr-FR"/>
        </w:rPr>
        <w:t>tone ; quelques observations précises, nées d’une juste connaissance de la vie rurale, ne réussissent qu’imparfaitement à vivifier des idées générales sans originalité, e</w:t>
      </w:r>
      <w:r w:rsidRPr="009C29C2">
        <w:rPr>
          <w:color w:val="000000"/>
          <w:lang w:eastAsia="fr-FR" w:bidi="fr-FR"/>
        </w:rPr>
        <w:t>m</w:t>
      </w:r>
      <w:r w:rsidRPr="009C29C2">
        <w:rPr>
          <w:color w:val="000000"/>
          <w:lang w:eastAsia="fr-FR" w:bidi="fr-FR"/>
        </w:rPr>
        <w:t>pruntées, plus ou moins fidèlement, aux coryphées de l’École. Instructive uniformité ! elle traduit un mouv</w:t>
      </w:r>
      <w:r w:rsidRPr="009C29C2">
        <w:rPr>
          <w:color w:val="000000"/>
          <w:lang w:eastAsia="fr-FR" w:bidi="fr-FR"/>
        </w:rPr>
        <w:t>e</w:t>
      </w:r>
      <w:r w:rsidRPr="009C29C2">
        <w:rPr>
          <w:color w:val="000000"/>
          <w:lang w:eastAsia="fr-FR" w:bidi="fr-FR"/>
        </w:rPr>
        <w:t>ment d’opinion vraiment pr</w:t>
      </w:r>
      <w:r w:rsidRPr="009C29C2">
        <w:rPr>
          <w:color w:val="000000"/>
          <w:lang w:eastAsia="fr-FR" w:bidi="fr-FR"/>
        </w:rPr>
        <w:t>o</w:t>
      </w:r>
      <w:r w:rsidRPr="009C29C2">
        <w:rPr>
          <w:color w:val="000000"/>
          <w:lang w:eastAsia="fr-FR" w:bidi="fr-FR"/>
        </w:rPr>
        <w:t>fond. Cherchons à dégager les arguments fondamentaux qui se</w:t>
      </w:r>
      <w:r w:rsidRPr="009C29C2">
        <w:rPr>
          <w:color w:val="000000"/>
          <w:lang w:eastAsia="fr-FR" w:bidi="fr-FR"/>
        </w:rPr>
        <w:t>m</w:t>
      </w:r>
      <w:r w:rsidRPr="009C29C2">
        <w:rPr>
          <w:color w:val="000000"/>
          <w:lang w:eastAsia="fr-FR" w:bidi="fr-FR"/>
        </w:rPr>
        <w:t>blaient justifier un si sévère verdict.</w:t>
      </w:r>
    </w:p>
    <w:p w14:paraId="59921E60" w14:textId="77777777" w:rsidR="00B9662D" w:rsidRPr="009C29C2" w:rsidRDefault="00B9662D" w:rsidP="00B9662D">
      <w:pPr>
        <w:spacing w:before="120" w:after="120"/>
        <w:jc w:val="both"/>
      </w:pPr>
      <w:r w:rsidRPr="009C29C2">
        <w:rPr>
          <w:color w:val="000000"/>
          <w:lang w:eastAsia="fr-FR" w:bidi="fr-FR"/>
        </w:rPr>
        <w:t>Ils se divisaient en deux groupes : les uns d’ordre économique, les autres, juridiques. C’est ce qu’exprimait très exactement le Contrôleur général Laverdy, lorsque, dans une lettre au Procureur général du Pa</w:t>
      </w:r>
      <w:r w:rsidRPr="009C29C2">
        <w:rPr>
          <w:color w:val="000000"/>
          <w:lang w:eastAsia="fr-FR" w:bidi="fr-FR"/>
        </w:rPr>
        <w:t>r</w:t>
      </w:r>
      <w:r w:rsidRPr="009C29C2">
        <w:rPr>
          <w:color w:val="000000"/>
          <w:lang w:eastAsia="fr-FR" w:bidi="fr-FR"/>
        </w:rPr>
        <w:t>lement de Paris, il accusait le parcours à la fois de s’opposer « à toutes les vues d’amélioration » et d’être « contraire à la liberté naturelle</w:t>
      </w:r>
      <w:r>
        <w:rPr>
          <w:color w:val="000000"/>
          <w:lang w:eastAsia="fr-FR" w:bidi="fr-FR"/>
        </w:rPr>
        <w:t> » </w:t>
      </w:r>
      <w:r>
        <w:rPr>
          <w:rStyle w:val="Appelnotedebasdep"/>
        </w:rPr>
        <w:footnoteReference w:id="93"/>
      </w:r>
      <w:r w:rsidRPr="009C29C2">
        <w:rPr>
          <w:color w:val="000000"/>
          <w:lang w:eastAsia="fr-FR" w:bidi="fr-FR"/>
        </w:rPr>
        <w:t xml:space="preserve">. Toute la doctrine économique du </w:t>
      </w:r>
      <w:r w:rsidRPr="0097236F">
        <w:rPr>
          <w:caps/>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w:t>
      </w:r>
      <w:r>
        <w:rPr>
          <w:color w:val="000000"/>
          <w:lang w:eastAsia="fr-FR" w:bidi="fr-FR"/>
        </w:rPr>
        <w:t> — </w:t>
      </w:r>
      <w:r w:rsidRPr="009C29C2">
        <w:rPr>
          <w:color w:val="000000"/>
          <w:lang w:eastAsia="fr-FR" w:bidi="fr-FR"/>
        </w:rPr>
        <w:t>qui a légué ce tour d’esprit à l’économie « classique » de l’âge suivant</w:t>
      </w:r>
      <w:r>
        <w:rPr>
          <w:color w:val="000000"/>
          <w:lang w:eastAsia="fr-FR" w:bidi="fr-FR"/>
        </w:rPr>
        <w:t> — </w:t>
      </w:r>
      <w:r w:rsidRPr="009C29C2">
        <w:rPr>
          <w:color w:val="000000"/>
          <w:lang w:eastAsia="fr-FR" w:bidi="fr-FR"/>
        </w:rPr>
        <w:t>a été dominée par</w:t>
      </w:r>
      <w:r>
        <w:rPr>
          <w:color w:val="000000"/>
          <w:lang w:eastAsia="fr-FR" w:bidi="fr-FR"/>
        </w:rPr>
        <w:t xml:space="preserve"> l</w:t>
      </w:r>
      <w:r w:rsidRPr="009C29C2">
        <w:rPr>
          <w:color w:val="000000"/>
          <w:lang w:eastAsia="fr-FR" w:bidi="fr-FR"/>
        </w:rPr>
        <w:t>e souci de la production ; et pour la plupart des économistes fra</w:t>
      </w:r>
      <w:r w:rsidRPr="009C29C2">
        <w:rPr>
          <w:color w:val="000000"/>
          <w:lang w:eastAsia="fr-FR" w:bidi="fr-FR"/>
        </w:rPr>
        <w:t>n</w:t>
      </w:r>
      <w:r w:rsidRPr="009C29C2">
        <w:rPr>
          <w:color w:val="000000"/>
          <w:lang w:eastAsia="fr-FR" w:bidi="fr-FR"/>
        </w:rPr>
        <w:t xml:space="preserve">çais,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production voulait dire avant tout culture. Cette idée directrice se fondait évidemment sur des vues théoriques ; mais elle répondait aussi à des préoccupations pratiques, plus ou moins clairement senties ; crainte de la famine, spectre toujours dressé sous les yeux des dirigeants, mais tout particulièrement redou</w:t>
      </w:r>
      <w:r w:rsidRPr="009C29C2">
        <w:rPr>
          <w:color w:val="000000"/>
          <w:lang w:eastAsia="fr-FR" w:bidi="fr-FR"/>
        </w:rPr>
        <w:lastRenderedPageBreak/>
        <w:t>table en un temps où la population croissait sans cesse et où la guerre de Sept Ans avait, un moment, menacé de tarir les sources du ravitaillement ext</w:t>
      </w:r>
      <w:r w:rsidRPr="009C29C2">
        <w:rPr>
          <w:color w:val="000000"/>
          <w:lang w:eastAsia="fr-FR" w:bidi="fr-FR"/>
        </w:rPr>
        <w:t>é</w:t>
      </w:r>
      <w:r w:rsidRPr="009C29C2">
        <w:rPr>
          <w:color w:val="000000"/>
          <w:lang w:eastAsia="fr-FR" w:bidi="fr-FR"/>
        </w:rPr>
        <w:t>rieur ; chez les administrateurs, le désir, en développant la fortune des cultivateurs, d’augmenter la force du royaume et, spécialement, le produit des impositions, qui presque tout entières reposaient sur eux. Or la vaine pâture, pensait-on, mettait obstacle à tout progrès sérieux dans l’exploitation agricole. Sa raison d’être était de permettre l’alimentation du bétail. Si elle y avait réussi, les agronomes de la nouvelle école n’auraient guère pu avoir pour elle que louanges ; car ils tenaient, par-dessus tout, à la constitution d’un abondant cheptel, moins pour sa valeur propre que parce que l’agriculture de rythme a</w:t>
      </w:r>
      <w:r w:rsidRPr="009C29C2">
        <w:rPr>
          <w:color w:val="000000"/>
          <w:lang w:eastAsia="fr-FR" w:bidi="fr-FR"/>
        </w:rPr>
        <w:t>c</w:t>
      </w:r>
      <w:r w:rsidRPr="009C29C2">
        <w:rPr>
          <w:color w:val="000000"/>
          <w:lang w:eastAsia="fr-FR" w:bidi="fr-FR"/>
        </w:rPr>
        <w:t xml:space="preserve">céléré, qu’ils rêvaient, exigeait de fortes fumures. N’était-ce point le grand Quesnay lui-même qui, parmi ses </w:t>
      </w:r>
      <w:r w:rsidRPr="004D3025">
        <w:rPr>
          <w:i/>
        </w:rPr>
        <w:t>Maximes générales du go</w:t>
      </w:r>
      <w:r w:rsidRPr="004D3025">
        <w:rPr>
          <w:i/>
        </w:rPr>
        <w:t>u</w:t>
      </w:r>
      <w:r w:rsidRPr="004D3025">
        <w:rPr>
          <w:i/>
        </w:rPr>
        <w:t>vernement économique d'un royaume agricole</w:t>
      </w:r>
      <w:r w:rsidRPr="009C29C2">
        <w:t>,</w:t>
      </w:r>
      <w:r w:rsidRPr="009C29C2">
        <w:rPr>
          <w:color w:val="000000"/>
          <w:lang w:eastAsia="fr-FR" w:bidi="fr-FR"/>
        </w:rPr>
        <w:t xml:space="preserve"> avait inscrit celle-ci, la quatorzième : « Qu’on favorise la multiplication des bestiaux ; car ce sont eux qui fournissent aux terres les engrais qui produisent les riches moissons ». Mais cet objet essentiel, précisément, on accusait, non sans raison, la dépaissance collective de le très mal remplir. Au lieu de l’herbe rare des champs dépouillés ou des friches, n’eût-il pas mieux valu donner aux animaux le bon foin de prés soigneusement entret</w:t>
      </w:r>
      <w:r w:rsidRPr="009C29C2">
        <w:rPr>
          <w:color w:val="000000"/>
          <w:lang w:eastAsia="fr-FR" w:bidi="fr-FR"/>
        </w:rPr>
        <w:t>e</w:t>
      </w:r>
      <w:r w:rsidRPr="009C29C2">
        <w:rPr>
          <w:color w:val="000000"/>
          <w:lang w:eastAsia="fr-FR" w:bidi="fr-FR"/>
        </w:rPr>
        <w:t>nus ou bien quelques-uns de ces fourrages artificiels</w:t>
      </w:r>
      <w:r>
        <w:rPr>
          <w:color w:val="000000"/>
          <w:lang w:eastAsia="fr-FR" w:bidi="fr-FR"/>
        </w:rPr>
        <w:t> — </w:t>
      </w:r>
      <w:r w:rsidRPr="009C29C2">
        <w:rPr>
          <w:color w:val="000000"/>
          <w:lang w:eastAsia="fr-FR" w:bidi="fr-FR"/>
        </w:rPr>
        <w:t>luzerne, sai</w:t>
      </w:r>
      <w:r w:rsidRPr="009C29C2">
        <w:rPr>
          <w:color w:val="000000"/>
          <w:lang w:eastAsia="fr-FR" w:bidi="fr-FR"/>
        </w:rPr>
        <w:t>n</w:t>
      </w:r>
      <w:r w:rsidRPr="009C29C2">
        <w:rPr>
          <w:color w:val="000000"/>
          <w:lang w:eastAsia="fr-FR" w:bidi="fr-FR"/>
        </w:rPr>
        <w:t>foin, trèfle, turneps</w:t>
      </w:r>
      <w:r>
        <w:rPr>
          <w:color w:val="000000"/>
          <w:lang w:eastAsia="fr-FR" w:bidi="fr-FR"/>
        </w:rPr>
        <w:t> — </w:t>
      </w:r>
      <w:r w:rsidRPr="009C29C2">
        <w:rPr>
          <w:color w:val="000000"/>
          <w:lang w:eastAsia="fr-FR" w:bidi="fr-FR"/>
        </w:rPr>
        <w:t>que l’exemple anglais ou flamand avait appris à connaître ? au lieu de les envoyer errer, à l’infini, sur les guérets, les nourrir, de foins ou de fourrage, dans l’étable même, où l’engrais n</w:t>
      </w:r>
      <w:r w:rsidRPr="009C29C2">
        <w:rPr>
          <w:color w:val="000000"/>
          <w:lang w:eastAsia="fr-FR" w:bidi="fr-FR"/>
        </w:rPr>
        <w:t>a</w:t>
      </w:r>
      <w:r w:rsidRPr="009C29C2">
        <w:rPr>
          <w:color w:val="000000"/>
          <w:lang w:eastAsia="fr-FR" w:bidi="fr-FR"/>
        </w:rPr>
        <w:t>turel était aisé à recueillir ? Or la vaine pâture, justement, empêchait presque partout les regains ; et pour les prairies artificielles, comment faire ? Parmi les plantes fourragères, les unes</w:t>
      </w:r>
      <w:r>
        <w:rPr>
          <w:color w:val="000000"/>
          <w:lang w:eastAsia="fr-FR" w:bidi="fr-FR"/>
        </w:rPr>
        <w:t> — </w:t>
      </w:r>
      <w:r w:rsidRPr="009C29C2">
        <w:rPr>
          <w:color w:val="000000"/>
          <w:lang w:eastAsia="fr-FR" w:bidi="fr-FR"/>
        </w:rPr>
        <w:t>c’était le cas de la plupart des légumineuses</w:t>
      </w:r>
      <w:r>
        <w:rPr>
          <w:color w:val="000000"/>
          <w:lang w:eastAsia="fr-FR" w:bidi="fr-FR"/>
        </w:rPr>
        <w:t> — </w:t>
      </w:r>
      <w:r w:rsidRPr="009C29C2">
        <w:rPr>
          <w:color w:val="000000"/>
          <w:lang w:eastAsia="fr-FR" w:bidi="fr-FR"/>
        </w:rPr>
        <w:t>exigeaient, pour atteindre leur plein re</w:t>
      </w:r>
      <w:r w:rsidRPr="009C29C2">
        <w:rPr>
          <w:color w:val="000000"/>
          <w:lang w:eastAsia="fr-FR" w:bidi="fr-FR"/>
        </w:rPr>
        <w:t>n</w:t>
      </w:r>
      <w:r w:rsidRPr="009C29C2">
        <w:rPr>
          <w:color w:val="000000"/>
          <w:lang w:eastAsia="fr-FR" w:bidi="fr-FR"/>
        </w:rPr>
        <w:t>dement, qu’on les laissât plusieurs années de suite sur une même terre. Les autres</w:t>
      </w:r>
      <w:r>
        <w:rPr>
          <w:color w:val="000000"/>
          <w:lang w:eastAsia="fr-FR" w:bidi="fr-FR"/>
        </w:rPr>
        <w:t> — </w:t>
      </w:r>
      <w:r w:rsidRPr="009C29C2">
        <w:rPr>
          <w:color w:val="000000"/>
          <w:lang w:eastAsia="fr-FR" w:bidi="fr-FR"/>
        </w:rPr>
        <w:t>les plantes à tubercules</w:t>
      </w:r>
      <w:r>
        <w:t xml:space="preserve"> </w:t>
      </w:r>
      <w:r>
        <w:rPr>
          <w:color w:val="000000"/>
          <w:lang w:eastAsia="fr-FR" w:bidi="fr-FR"/>
        </w:rPr>
        <w:t>[598]</w:t>
      </w:r>
      <w:r w:rsidRPr="009C29C2">
        <w:rPr>
          <w:color w:val="000000"/>
          <w:lang w:eastAsia="fr-FR" w:bidi="fr-FR"/>
        </w:rPr>
        <w:t xml:space="preserve"> notamment</w:t>
      </w:r>
      <w:r>
        <w:rPr>
          <w:color w:val="000000"/>
          <w:lang w:eastAsia="fr-FR" w:bidi="fr-FR"/>
        </w:rPr>
        <w:t> — </w:t>
      </w:r>
      <w:r w:rsidRPr="009C29C2">
        <w:rPr>
          <w:color w:val="000000"/>
          <w:lang w:eastAsia="fr-FR" w:bidi="fr-FR"/>
        </w:rPr>
        <w:t>étaient, il est vrai, annuelles ; mais dans une rotation rationnelle, telle que la r</w:t>
      </w:r>
      <w:r w:rsidRPr="009C29C2">
        <w:rPr>
          <w:color w:val="000000"/>
          <w:lang w:eastAsia="fr-FR" w:bidi="fr-FR"/>
        </w:rPr>
        <w:t>e</w:t>
      </w:r>
      <w:r w:rsidRPr="009C29C2">
        <w:rPr>
          <w:color w:val="000000"/>
          <w:lang w:eastAsia="fr-FR" w:bidi="fr-FR"/>
        </w:rPr>
        <w:t>commandaient les traités techniques, elles devaient venir naturell</w:t>
      </w:r>
      <w:r w:rsidRPr="009C29C2">
        <w:rPr>
          <w:color w:val="000000"/>
          <w:lang w:eastAsia="fr-FR" w:bidi="fr-FR"/>
        </w:rPr>
        <w:t>e</w:t>
      </w:r>
      <w:r w:rsidRPr="009C29C2">
        <w:rPr>
          <w:color w:val="000000"/>
          <w:lang w:eastAsia="fr-FR" w:bidi="fr-FR"/>
        </w:rPr>
        <w:t>ment après un ou deux ans consacrés aux céréales, c’est-à-dire pe</w:t>
      </w:r>
      <w:r w:rsidRPr="009C29C2">
        <w:rPr>
          <w:color w:val="000000"/>
          <w:lang w:eastAsia="fr-FR" w:bidi="fr-FR"/>
        </w:rPr>
        <w:t>n</w:t>
      </w:r>
      <w:r w:rsidRPr="009C29C2">
        <w:rPr>
          <w:color w:val="000000"/>
          <w:lang w:eastAsia="fr-FR" w:bidi="fr-FR"/>
        </w:rPr>
        <w:t>dant l’année même qui était ancie</w:t>
      </w:r>
      <w:r w:rsidRPr="009C29C2">
        <w:rPr>
          <w:color w:val="000000"/>
          <w:lang w:eastAsia="fr-FR" w:bidi="fr-FR"/>
        </w:rPr>
        <w:t>n</w:t>
      </w:r>
      <w:r w:rsidRPr="009C29C2">
        <w:rPr>
          <w:color w:val="000000"/>
          <w:lang w:eastAsia="fr-FR" w:bidi="fr-FR"/>
        </w:rPr>
        <w:t>nement réservée à la jachère ; leur principal intérêt était de renouveler la fert</w:t>
      </w:r>
      <w:r w:rsidRPr="009C29C2">
        <w:rPr>
          <w:color w:val="000000"/>
          <w:lang w:eastAsia="fr-FR" w:bidi="fr-FR"/>
        </w:rPr>
        <w:t>i</w:t>
      </w:r>
      <w:r w:rsidRPr="009C29C2">
        <w:rPr>
          <w:color w:val="000000"/>
          <w:lang w:eastAsia="fr-FR" w:bidi="fr-FR"/>
        </w:rPr>
        <w:t>lité du sol, sans l’astreindre au repos ; d’ailleurs à leur attribuer la place du blé, au lieu de les me</w:t>
      </w:r>
      <w:r w:rsidRPr="009C29C2">
        <w:rPr>
          <w:color w:val="000000"/>
          <w:lang w:eastAsia="fr-FR" w:bidi="fr-FR"/>
        </w:rPr>
        <w:t>t</w:t>
      </w:r>
      <w:r w:rsidRPr="009C29C2">
        <w:rPr>
          <w:color w:val="000000"/>
          <w:lang w:eastAsia="fr-FR" w:bidi="fr-FR"/>
        </w:rPr>
        <w:t>tre à sa suite, on eût</w:t>
      </w:r>
      <w:r>
        <w:rPr>
          <w:color w:val="000000"/>
          <w:lang w:eastAsia="fr-FR" w:bidi="fr-FR"/>
        </w:rPr>
        <w:t> — </w:t>
      </w:r>
      <w:r w:rsidRPr="009C29C2">
        <w:rPr>
          <w:color w:val="000000"/>
          <w:lang w:eastAsia="fr-FR" w:bidi="fr-FR"/>
        </w:rPr>
        <w:t>chose grave</w:t>
      </w:r>
      <w:r>
        <w:rPr>
          <w:color w:val="000000"/>
          <w:lang w:eastAsia="fr-FR" w:bidi="fr-FR"/>
        </w:rPr>
        <w:t> — </w:t>
      </w:r>
      <w:r w:rsidRPr="009C29C2">
        <w:rPr>
          <w:color w:val="000000"/>
          <w:lang w:eastAsia="fr-FR" w:bidi="fr-FR"/>
        </w:rPr>
        <w:t>diminué à l’excès les emblav</w:t>
      </w:r>
      <w:r w:rsidRPr="009C29C2">
        <w:rPr>
          <w:color w:val="000000"/>
          <w:lang w:eastAsia="fr-FR" w:bidi="fr-FR"/>
        </w:rPr>
        <w:t>u</w:t>
      </w:r>
      <w:r w:rsidRPr="009C29C2">
        <w:rPr>
          <w:color w:val="000000"/>
          <w:lang w:eastAsia="fr-FR" w:bidi="fr-FR"/>
        </w:rPr>
        <w:t>res. Or, la vaine pâture perpétuait ce que François de Neufchâteau d</w:t>
      </w:r>
      <w:r w:rsidRPr="009C29C2">
        <w:rPr>
          <w:color w:val="000000"/>
          <w:lang w:eastAsia="fr-FR" w:bidi="fr-FR"/>
        </w:rPr>
        <w:t>e</w:t>
      </w:r>
      <w:r w:rsidRPr="009C29C2">
        <w:rPr>
          <w:color w:val="000000"/>
          <w:lang w:eastAsia="fr-FR" w:bidi="fr-FR"/>
        </w:rPr>
        <w:t xml:space="preserve">vait appeler un peu plus tard « l’opprobre des jachères », et, </w:t>
      </w:r>
      <w:r w:rsidRPr="009C29C2">
        <w:rPr>
          <w:color w:val="000000"/>
          <w:lang w:eastAsia="fr-FR" w:bidi="fr-FR"/>
        </w:rPr>
        <w:lastRenderedPageBreak/>
        <w:t>livrant, de la moisson aux semailles, les labours à la dent des bêtes, elle s’opposait absolument à toute culture étendue sur plus d’une année. C’étaient là ses deux grands crimes. Ce n’étaient pas les seuls. Les bêtes, disait-on encore, se fat</w:t>
      </w:r>
      <w:r w:rsidRPr="009C29C2">
        <w:rPr>
          <w:color w:val="000000"/>
          <w:lang w:eastAsia="fr-FR" w:bidi="fr-FR"/>
        </w:rPr>
        <w:t>i</w:t>
      </w:r>
      <w:r w:rsidRPr="009C29C2">
        <w:rPr>
          <w:color w:val="000000"/>
          <w:lang w:eastAsia="fr-FR" w:bidi="fr-FR"/>
        </w:rPr>
        <w:t>guaient à parcourir d’immenses « champagnes ». Leur concentration en troupeaux, conséquence n</w:t>
      </w:r>
      <w:r w:rsidRPr="009C29C2">
        <w:rPr>
          <w:color w:val="000000"/>
          <w:lang w:eastAsia="fr-FR" w:bidi="fr-FR"/>
        </w:rPr>
        <w:t>é</w:t>
      </w:r>
      <w:r w:rsidRPr="009C29C2">
        <w:rPr>
          <w:color w:val="000000"/>
          <w:lang w:eastAsia="fr-FR" w:bidi="fr-FR"/>
        </w:rPr>
        <w:t>cessaire du pacage collectif, favorisait les épizooties. En champoyant sur les champs et les prés, elles en d</w:t>
      </w:r>
      <w:r w:rsidRPr="009C29C2">
        <w:rPr>
          <w:color w:val="000000"/>
          <w:lang w:eastAsia="fr-FR" w:bidi="fr-FR"/>
        </w:rPr>
        <w:t>é</w:t>
      </w:r>
      <w:r w:rsidRPr="009C29C2">
        <w:rPr>
          <w:color w:val="000000"/>
          <w:lang w:eastAsia="fr-FR" w:bidi="fr-FR"/>
        </w:rPr>
        <w:t>fonçaient le sol. Leur présence empêchait que l’on multipliât, là où cela eût été désirable, les façons culturales. Enfin, pour que l’ouverture du pâturage commun fût convenablement assurée, il fallait que, sur tout le terroir, on moisso</w:t>
      </w:r>
      <w:r w:rsidRPr="009C29C2">
        <w:rPr>
          <w:color w:val="000000"/>
          <w:lang w:eastAsia="fr-FR" w:bidi="fr-FR"/>
        </w:rPr>
        <w:t>n</w:t>
      </w:r>
      <w:r w:rsidRPr="009C29C2">
        <w:rPr>
          <w:color w:val="000000"/>
          <w:lang w:eastAsia="fr-FR" w:bidi="fr-FR"/>
        </w:rPr>
        <w:t>nât et fauchât à des dates uniformes, que déterminaient, soit une co</w:t>
      </w:r>
      <w:r w:rsidRPr="009C29C2">
        <w:rPr>
          <w:color w:val="000000"/>
          <w:lang w:eastAsia="fr-FR" w:bidi="fr-FR"/>
        </w:rPr>
        <w:t>u</w:t>
      </w:r>
      <w:r w:rsidRPr="009C29C2">
        <w:rPr>
          <w:color w:val="000000"/>
          <w:lang w:eastAsia="fr-FR" w:bidi="fr-FR"/>
        </w:rPr>
        <w:t>tume déplorablement immuable, soit les décisions d’une communauté ou d’un seigneur, souvent mal éclairés ; d’où l’obligation, trop fr</w:t>
      </w:r>
      <w:r w:rsidRPr="009C29C2">
        <w:rPr>
          <w:color w:val="000000"/>
          <w:lang w:eastAsia="fr-FR" w:bidi="fr-FR"/>
        </w:rPr>
        <w:t>é</w:t>
      </w:r>
      <w:r w:rsidRPr="009C29C2">
        <w:rPr>
          <w:color w:val="000000"/>
          <w:lang w:eastAsia="fr-FR" w:bidi="fr-FR"/>
        </w:rPr>
        <w:t>quente, de couper avant maturité. Intensive et soucieuse de se plier aux néc</w:t>
      </w:r>
      <w:r>
        <w:rPr>
          <w:color w:val="000000"/>
          <w:lang w:eastAsia="fr-FR" w:bidi="fr-FR"/>
        </w:rPr>
        <w:t>essités du lieu et du moment, l’</w:t>
      </w:r>
      <w:r w:rsidRPr="009C29C2">
        <w:rPr>
          <w:color w:val="000000"/>
          <w:lang w:eastAsia="fr-FR" w:bidi="fr-FR"/>
        </w:rPr>
        <w:t>« agriculture nouvelle » luttait contre celle de l’ancien temps, exte</w:t>
      </w:r>
      <w:r w:rsidRPr="009C29C2">
        <w:rPr>
          <w:color w:val="000000"/>
          <w:lang w:eastAsia="fr-FR" w:bidi="fr-FR"/>
        </w:rPr>
        <w:t>n</w:t>
      </w:r>
      <w:r w:rsidRPr="009C29C2">
        <w:rPr>
          <w:color w:val="000000"/>
          <w:lang w:eastAsia="fr-FR" w:bidi="fr-FR"/>
        </w:rPr>
        <w:t>sive et sans souplesse.</w:t>
      </w:r>
    </w:p>
    <w:p w14:paraId="55A420C4" w14:textId="77777777" w:rsidR="00B9662D" w:rsidRPr="009C29C2" w:rsidRDefault="00B9662D" w:rsidP="00B9662D">
      <w:pPr>
        <w:spacing w:before="120" w:after="120"/>
        <w:jc w:val="both"/>
      </w:pPr>
      <w:r w:rsidRPr="009C29C2">
        <w:rPr>
          <w:color w:val="000000"/>
          <w:lang w:eastAsia="fr-FR" w:bidi="fr-FR"/>
        </w:rPr>
        <w:t xml:space="preserve">Mais ce qui donnait au conflit toute son âpreté, c’est qu’il n’opposait pas seulement deux techniques différentes ; deux notions du droit s’affrontaient. Les économistes croyaient au caractère « sacré » de la propriété individuelle ; ils ne pardonnaient pas au vain pâturage de la limiter et, par moments, de l’abolir. Par lui, elle était « déshonorée ». </w:t>
      </w:r>
      <w:r>
        <w:rPr>
          <w:color w:val="000000"/>
          <w:lang w:eastAsia="fr-FR" w:bidi="fr-FR"/>
        </w:rPr>
        <w:t>À</w:t>
      </w:r>
      <w:r w:rsidRPr="009C29C2">
        <w:rPr>
          <w:color w:val="000000"/>
          <w:lang w:eastAsia="fr-FR" w:bidi="fr-FR"/>
        </w:rPr>
        <w:t xml:space="preserve"> leurs yeux, les clôtures, qu’il interdisait, prenaient la valeur d’un symbole. « Un héritage fermé de murs, de palissades ou de hayes », écrivait Durival (p. 11), « est la seule vraye propriété ». C’est chez les esprits les plus résolument novateurs que ce sentiment était le plus vif. La propriété leur apparaissait comme garrottée par deux entraves : les droits seigneuriaux, les droits collectifs. Ils déte</w:t>
      </w:r>
      <w:r w:rsidRPr="009C29C2">
        <w:rPr>
          <w:color w:val="000000"/>
          <w:lang w:eastAsia="fr-FR" w:bidi="fr-FR"/>
        </w:rPr>
        <w:t>s</w:t>
      </w:r>
      <w:r w:rsidRPr="009C29C2">
        <w:rPr>
          <w:color w:val="000000"/>
          <w:lang w:eastAsia="fr-FR" w:bidi="fr-FR"/>
        </w:rPr>
        <w:t>taient les uns et les autres d’une haine égale et ne craignaient pas, au mépris de l’histoire, de rendre responsables des seconds, comme des premiers, le « gouvernement féodal ». Le fameux pamphlet de Bo</w:t>
      </w:r>
      <w:r w:rsidRPr="009C29C2">
        <w:rPr>
          <w:color w:val="000000"/>
          <w:lang w:eastAsia="fr-FR" w:bidi="fr-FR"/>
        </w:rPr>
        <w:t>n</w:t>
      </w:r>
      <w:r w:rsidRPr="009C29C2">
        <w:rPr>
          <w:color w:val="000000"/>
          <w:lang w:eastAsia="fr-FR" w:bidi="fr-FR"/>
        </w:rPr>
        <w:t xml:space="preserve">cerf, </w:t>
      </w:r>
      <w:r w:rsidRPr="004D3025">
        <w:rPr>
          <w:i/>
        </w:rPr>
        <w:t>Les inconvénients des droits féodaux</w:t>
      </w:r>
      <w:r w:rsidRPr="009C29C2">
        <w:t>,</w:t>
      </w:r>
      <w:r w:rsidRPr="009C29C2">
        <w:rPr>
          <w:color w:val="000000"/>
          <w:lang w:eastAsia="fr-FR" w:bidi="fr-FR"/>
        </w:rPr>
        <w:t xml:space="preserve"> est un plaidoyer en faveur de la propriété absolue, que le Moyen </w:t>
      </w:r>
      <w:r>
        <w:rPr>
          <w:color w:val="000000"/>
          <w:lang w:eastAsia="fr-FR" w:bidi="fr-FR"/>
        </w:rPr>
        <w:t>Â</w:t>
      </w:r>
      <w:r w:rsidRPr="009C29C2">
        <w:rPr>
          <w:color w:val="000000"/>
          <w:lang w:eastAsia="fr-FR" w:bidi="fr-FR"/>
        </w:rPr>
        <w:t>ge avait ignorée ; parmi les gênes dont l’auteur veut qu’on la débarrasse, il n’a garde d’oublier la « coutume folle et barbare » de la vaine pâture</w:t>
      </w:r>
      <w:r>
        <w:rPr>
          <w:color w:val="000000"/>
          <w:lang w:eastAsia="fr-FR" w:bidi="fr-FR"/>
        </w:rPr>
        <w:t> </w:t>
      </w:r>
      <w:r>
        <w:rPr>
          <w:rStyle w:val="Appelnotedebasdep"/>
        </w:rPr>
        <w:footnoteReference w:id="94"/>
      </w:r>
      <w:r w:rsidRPr="009C29C2">
        <w:rPr>
          <w:color w:val="000000"/>
          <w:lang w:eastAsia="fr-FR" w:bidi="fr-FR"/>
        </w:rPr>
        <w:t>.</w:t>
      </w:r>
    </w:p>
    <w:p w14:paraId="1489DB85" w14:textId="77777777" w:rsidR="00B9662D" w:rsidRPr="009C29C2" w:rsidRDefault="00B9662D" w:rsidP="00B9662D">
      <w:pPr>
        <w:spacing w:before="120" w:after="120"/>
        <w:jc w:val="both"/>
      </w:pPr>
      <w:r w:rsidRPr="009C29C2">
        <w:rPr>
          <w:color w:val="000000"/>
          <w:lang w:eastAsia="fr-FR" w:bidi="fr-FR"/>
        </w:rPr>
        <w:t xml:space="preserve">Le parcours, qui n’était qu’une forme de la vaine pâture, était bien entendu enveloppé dans la même réprobation ; mais il était encore </w:t>
      </w:r>
      <w:r w:rsidRPr="009C29C2">
        <w:rPr>
          <w:color w:val="000000"/>
          <w:lang w:eastAsia="fr-FR" w:bidi="fr-FR"/>
        </w:rPr>
        <w:lastRenderedPageBreak/>
        <w:t>plus vivement attaqué parce que, liant les communautés les unes aux autres, il les empêchait, si, par aventure, elles le désiraient, de se d</w:t>
      </w:r>
      <w:r w:rsidRPr="009C29C2">
        <w:rPr>
          <w:color w:val="000000"/>
          <w:lang w:eastAsia="fr-FR" w:bidi="fr-FR"/>
        </w:rPr>
        <w:t>é</w:t>
      </w:r>
      <w:r w:rsidRPr="009C29C2">
        <w:rPr>
          <w:color w:val="000000"/>
          <w:lang w:eastAsia="fr-FR" w:bidi="fr-FR"/>
        </w:rPr>
        <w:t>gager, chacune pour son propre compte, des antiques servitudes. On pensait quelquefois qu’on pourrait se contenter de limiter la vaine p</w:t>
      </w:r>
      <w:r w:rsidRPr="009C29C2">
        <w:rPr>
          <w:color w:val="000000"/>
          <w:lang w:eastAsia="fr-FR" w:bidi="fr-FR"/>
        </w:rPr>
        <w:t>â</w:t>
      </w:r>
      <w:r w:rsidRPr="009C29C2">
        <w:rPr>
          <w:color w:val="000000"/>
          <w:lang w:eastAsia="fr-FR" w:bidi="fr-FR"/>
        </w:rPr>
        <w:t>ture ; mais on savait</w:t>
      </w:r>
      <w:r>
        <w:t xml:space="preserve"> </w:t>
      </w:r>
      <w:r>
        <w:rPr>
          <w:color w:val="000000"/>
          <w:lang w:eastAsia="fr-FR" w:bidi="fr-FR"/>
        </w:rPr>
        <w:t xml:space="preserve">[599] </w:t>
      </w:r>
      <w:r w:rsidRPr="009C29C2">
        <w:rPr>
          <w:color w:val="000000"/>
          <w:lang w:eastAsia="fr-FR" w:bidi="fr-FR"/>
        </w:rPr>
        <w:t>que même pour réaliser ce dessein, relat</w:t>
      </w:r>
      <w:r w:rsidRPr="009C29C2">
        <w:rPr>
          <w:color w:val="000000"/>
          <w:lang w:eastAsia="fr-FR" w:bidi="fr-FR"/>
        </w:rPr>
        <w:t>i</w:t>
      </w:r>
      <w:r w:rsidRPr="009C29C2">
        <w:rPr>
          <w:color w:val="000000"/>
          <w:lang w:eastAsia="fr-FR" w:bidi="fr-FR"/>
        </w:rPr>
        <w:t>vement modeste, il était nécessaire d’abord de supprimer totalement le parcours.</w:t>
      </w:r>
    </w:p>
    <w:p w14:paraId="07B72867" w14:textId="77777777" w:rsidR="00B9662D" w:rsidRPr="009C29C2" w:rsidRDefault="00B9662D" w:rsidP="00B9662D">
      <w:pPr>
        <w:spacing w:before="120" w:after="120"/>
        <w:jc w:val="both"/>
      </w:pPr>
      <w:r w:rsidRPr="009C29C2">
        <w:rPr>
          <w:color w:val="000000"/>
          <w:lang w:eastAsia="fr-FR" w:bidi="fr-FR"/>
        </w:rPr>
        <w:t>La vaine pâture eut ses défenseurs. Ils se recrutèrent, plutôt que chez les théoriciens, parmi les hommes mêlés à la vie pratique, et su</w:t>
      </w:r>
      <w:r w:rsidRPr="009C29C2">
        <w:rPr>
          <w:color w:val="000000"/>
          <w:lang w:eastAsia="fr-FR" w:bidi="fr-FR"/>
        </w:rPr>
        <w:t>r</w:t>
      </w:r>
      <w:r w:rsidRPr="009C29C2">
        <w:rPr>
          <w:color w:val="000000"/>
          <w:lang w:eastAsia="fr-FR" w:bidi="fr-FR"/>
        </w:rPr>
        <w:t>tout parmi les magistrats ou les administrateurs. Nous les retrouverons plus loin. Mais il importe d’indiquer, dès maintenant, leur principal argument. C’était l’intérêt des pauvres. Il n’était pas toujours parfa</w:t>
      </w:r>
      <w:r w:rsidRPr="009C29C2">
        <w:rPr>
          <w:color w:val="000000"/>
          <w:lang w:eastAsia="fr-FR" w:bidi="fr-FR"/>
        </w:rPr>
        <w:t>i</w:t>
      </w:r>
      <w:r w:rsidRPr="009C29C2">
        <w:rPr>
          <w:color w:val="000000"/>
          <w:lang w:eastAsia="fr-FR" w:bidi="fr-FR"/>
        </w:rPr>
        <w:t>tement sincère.</w:t>
      </w:r>
      <w:r>
        <w:rPr>
          <w:color w:val="000000"/>
          <w:lang w:eastAsia="fr-FR" w:bidi="fr-FR"/>
        </w:rPr>
        <w:t xml:space="preserve"> </w:t>
      </w:r>
      <w:r w:rsidRPr="009C29C2">
        <w:rPr>
          <w:color w:val="000000"/>
          <w:lang w:eastAsia="fr-FR" w:bidi="fr-FR"/>
        </w:rPr>
        <w:t>Il arrivait que le pâturage commun profitât surtout aux seigneurs ou aux riches. Il est exact cependant, comme on le verra, qu’à peu près partout les moins fortunés parmi les paysans en tiraient une part de leur subsistance. Les ennemis de la vaine pâture n’ignoraient pas cet aspect du problème ; ils savaient bien, comme le disait, en 1766, aux États de Languedoc, l’archevêque de Toulouse, qu’elle pouvait être « regardée comme une suite d’une société comme nécessaire entre les habitants d’une même communauté et renfermant une égalité toujours juste</w:t>
      </w:r>
      <w:r>
        <w:rPr>
          <w:color w:val="000000"/>
          <w:lang w:eastAsia="fr-FR" w:bidi="fr-FR"/>
        </w:rPr>
        <w:t> » </w:t>
      </w:r>
      <w:r>
        <w:rPr>
          <w:rStyle w:val="Appelnotedebasdep"/>
        </w:rPr>
        <w:footnoteReference w:id="95"/>
      </w:r>
      <w:r w:rsidRPr="009C29C2">
        <w:rPr>
          <w:color w:val="000000"/>
          <w:lang w:eastAsia="fr-FR" w:bidi="fr-FR"/>
        </w:rPr>
        <w:t>. Mais à l’égalité dans la médiocrité, ils préféraient sciemment le progrès par le libre jeu des forces individue</w:t>
      </w:r>
      <w:r w:rsidRPr="009C29C2">
        <w:rPr>
          <w:color w:val="000000"/>
          <w:lang w:eastAsia="fr-FR" w:bidi="fr-FR"/>
        </w:rPr>
        <w:t>l</w:t>
      </w:r>
      <w:r w:rsidRPr="009C29C2">
        <w:rPr>
          <w:color w:val="000000"/>
          <w:lang w:eastAsia="fr-FR" w:bidi="fr-FR"/>
        </w:rPr>
        <w:t>les. L’affaire des « clôtures », que nous allons décrire, épisode de la révolution agricole, fut aussi un des actes d’un grand drame d’idées.</w:t>
      </w:r>
    </w:p>
    <w:p w14:paraId="1895BBE8" w14:textId="77777777" w:rsidR="00B9662D" w:rsidRPr="009C29C2" w:rsidRDefault="00B9662D" w:rsidP="00B9662D">
      <w:pPr>
        <w:spacing w:before="120" w:after="120"/>
        <w:jc w:val="both"/>
      </w:pPr>
      <w:r w:rsidRPr="009C29C2">
        <w:rPr>
          <w:color w:val="000000"/>
          <w:lang w:eastAsia="fr-FR" w:bidi="fr-FR"/>
        </w:rPr>
        <w:t>C’est peu après 1760 que la condamnation portée par les théor</w:t>
      </w:r>
      <w:r w:rsidRPr="009C29C2">
        <w:rPr>
          <w:color w:val="000000"/>
          <w:lang w:eastAsia="fr-FR" w:bidi="fr-FR"/>
        </w:rPr>
        <w:t>i</w:t>
      </w:r>
      <w:r w:rsidRPr="009C29C2">
        <w:rPr>
          <w:color w:val="000000"/>
          <w:lang w:eastAsia="fr-FR" w:bidi="fr-FR"/>
        </w:rPr>
        <w:t>ciens contre la vaine pâture et le parcours commença à émouvoir les gouvernants ; c’est e</w:t>
      </w:r>
      <w:r w:rsidRPr="009C29C2">
        <w:t>n 1767</w:t>
      </w:r>
      <w:r>
        <w:t xml:space="preserve"> </w:t>
      </w:r>
      <w:r>
        <w:rPr>
          <w:color w:val="000000"/>
          <w:lang w:eastAsia="fr-FR" w:bidi="fr-FR"/>
        </w:rPr>
        <w:t>qu’ell</w:t>
      </w:r>
      <w:r w:rsidRPr="009C29C2">
        <w:rPr>
          <w:color w:val="000000"/>
          <w:lang w:eastAsia="fr-FR" w:bidi="fr-FR"/>
        </w:rPr>
        <w:t>e les i</w:t>
      </w:r>
      <w:r>
        <w:t>nc</w:t>
      </w:r>
      <w:r w:rsidRPr="009C29C2">
        <w:t>lina</w:t>
      </w:r>
      <w:r>
        <w:t xml:space="preserve"> p</w:t>
      </w:r>
      <w:r w:rsidRPr="009C29C2">
        <w:rPr>
          <w:color w:val="000000"/>
          <w:lang w:eastAsia="fr-FR" w:bidi="fr-FR"/>
        </w:rPr>
        <w:t>our la première fois, à des mesures décisives. Mais bien avant ces dates, en dehors de toute action du pouvoir central, les droits collectifs avaient reçu, dans diff</w:t>
      </w:r>
      <w:r w:rsidRPr="009C29C2">
        <w:rPr>
          <w:color w:val="000000"/>
          <w:lang w:eastAsia="fr-FR" w:bidi="fr-FR"/>
        </w:rPr>
        <w:t>é</w:t>
      </w:r>
      <w:r w:rsidRPr="009C29C2">
        <w:rPr>
          <w:color w:val="000000"/>
          <w:lang w:eastAsia="fr-FR" w:bidi="fr-FR"/>
        </w:rPr>
        <w:t>rentes régions, de très rudes atteintes. Mon objet n’est point ici de d</w:t>
      </w:r>
      <w:r w:rsidRPr="009C29C2">
        <w:rPr>
          <w:color w:val="000000"/>
          <w:lang w:eastAsia="fr-FR" w:bidi="fr-FR"/>
        </w:rPr>
        <w:t>é</w:t>
      </w:r>
      <w:r w:rsidRPr="009C29C2">
        <w:rPr>
          <w:color w:val="000000"/>
          <w:lang w:eastAsia="fr-FR" w:bidi="fr-FR"/>
        </w:rPr>
        <w:t xml:space="preserve">crire les transformations qui précédèrent de beaucoup le grand combat doctrinal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et, ignorées de ceux qui le menèrent, d</w:t>
      </w:r>
      <w:r w:rsidRPr="009C29C2">
        <w:rPr>
          <w:color w:val="000000"/>
          <w:lang w:eastAsia="fr-FR" w:bidi="fr-FR"/>
        </w:rPr>
        <w:t>e</w:t>
      </w:r>
      <w:r w:rsidRPr="009C29C2">
        <w:rPr>
          <w:color w:val="000000"/>
          <w:lang w:eastAsia="fr-FR" w:bidi="fr-FR"/>
        </w:rPr>
        <w:t>meurèrent à peu près sans influence sur lui : l’obscure évolution des pays d’enclos, les lents changements du droit, en Provence, en Fla</w:t>
      </w:r>
      <w:r w:rsidRPr="009C29C2">
        <w:rPr>
          <w:color w:val="000000"/>
          <w:lang w:eastAsia="fr-FR" w:bidi="fr-FR"/>
        </w:rPr>
        <w:t>n</w:t>
      </w:r>
      <w:r w:rsidRPr="009C29C2">
        <w:rPr>
          <w:color w:val="000000"/>
          <w:lang w:eastAsia="fr-FR" w:bidi="fr-FR"/>
        </w:rPr>
        <w:t>dre, en Normandie. Je ne chercherai pas non plus à raco</w:t>
      </w:r>
      <w:r>
        <w:rPr>
          <w:color w:val="000000"/>
          <w:lang w:eastAsia="fr-FR" w:bidi="fr-FR"/>
        </w:rPr>
        <w:t>n</w:t>
      </w:r>
      <w:r w:rsidRPr="009C29C2">
        <w:rPr>
          <w:color w:val="000000"/>
          <w:lang w:eastAsia="fr-FR" w:bidi="fr-FR"/>
        </w:rPr>
        <w:t>ter</w:t>
      </w:r>
      <w:r>
        <w:rPr>
          <w:color w:val="000000"/>
          <w:lang w:eastAsia="fr-FR" w:bidi="fr-FR"/>
        </w:rPr>
        <w:t xml:space="preserve"> l</w:t>
      </w:r>
      <w:r w:rsidRPr="009C29C2">
        <w:rPr>
          <w:color w:val="000000"/>
          <w:lang w:eastAsia="fr-FR" w:bidi="fr-FR"/>
        </w:rPr>
        <w:t>e</w:t>
      </w:r>
      <w:r>
        <w:rPr>
          <w:color w:val="000000"/>
          <w:lang w:eastAsia="fr-FR" w:bidi="fr-FR"/>
        </w:rPr>
        <w:t xml:space="preserve">s </w:t>
      </w:r>
      <w:r w:rsidRPr="009C29C2">
        <w:rPr>
          <w:color w:val="000000"/>
          <w:lang w:eastAsia="fr-FR" w:bidi="fr-FR"/>
        </w:rPr>
        <w:t>ten</w:t>
      </w:r>
      <w:r w:rsidRPr="009C29C2">
        <w:rPr>
          <w:color w:val="000000"/>
          <w:lang w:eastAsia="fr-FR" w:bidi="fr-FR"/>
        </w:rPr>
        <w:t>a</w:t>
      </w:r>
      <w:r w:rsidRPr="009C29C2">
        <w:rPr>
          <w:color w:val="000000"/>
          <w:lang w:eastAsia="fr-FR" w:bidi="fr-FR"/>
        </w:rPr>
        <w:t xml:space="preserve">ces empiétements de ces propriétaires, plus riches, plus puissants, </w:t>
      </w:r>
      <w:r w:rsidRPr="009C29C2">
        <w:rPr>
          <w:color w:val="000000"/>
          <w:lang w:eastAsia="fr-FR" w:bidi="fr-FR"/>
        </w:rPr>
        <w:lastRenderedPageBreak/>
        <w:t xml:space="preserve">plus hardis que d’autres qui, dès le Moyen </w:t>
      </w:r>
      <w:r>
        <w:rPr>
          <w:color w:val="000000"/>
          <w:lang w:eastAsia="fr-FR" w:bidi="fr-FR"/>
        </w:rPr>
        <w:t>Â</w:t>
      </w:r>
      <w:r w:rsidRPr="009C29C2">
        <w:rPr>
          <w:color w:val="000000"/>
          <w:lang w:eastAsia="fr-FR" w:bidi="fr-FR"/>
        </w:rPr>
        <w:t xml:space="preserve">ge et surtout depuis le </w:t>
      </w:r>
      <w:r w:rsidRPr="0097236F">
        <w:rPr>
          <w:caps/>
          <w:color w:val="000000"/>
          <w:lang w:eastAsia="fr-FR" w:bidi="fr-FR"/>
        </w:rPr>
        <w:t>xvi</w:t>
      </w:r>
      <w:r w:rsidRPr="009C29C2">
        <w:rPr>
          <w:color w:val="000000"/>
          <w:vertAlign w:val="superscript"/>
          <w:lang w:eastAsia="fr-FR" w:bidi="fr-FR"/>
        </w:rPr>
        <w:t>e</w:t>
      </w:r>
      <w:r w:rsidRPr="009C29C2">
        <w:rPr>
          <w:color w:val="000000"/>
          <w:lang w:eastAsia="fr-FR" w:bidi="fr-FR"/>
        </w:rPr>
        <w:t xml:space="preserve"> siècle, en plein pays de vaine pâture obligatoire et de champs oblig</w:t>
      </w:r>
      <w:r w:rsidRPr="009C29C2">
        <w:rPr>
          <w:color w:val="000000"/>
          <w:lang w:eastAsia="fr-FR" w:bidi="fr-FR"/>
        </w:rPr>
        <w:t>a</w:t>
      </w:r>
      <w:r w:rsidRPr="009C29C2">
        <w:rPr>
          <w:color w:val="000000"/>
          <w:lang w:eastAsia="fr-FR" w:bidi="fr-FR"/>
        </w:rPr>
        <w:t>toirement ouverts, s’efforcèrent, çà et là, avec plus ou moins de bo</w:t>
      </w:r>
      <w:r w:rsidRPr="009C29C2">
        <w:rPr>
          <w:color w:val="000000"/>
          <w:lang w:eastAsia="fr-FR" w:bidi="fr-FR"/>
        </w:rPr>
        <w:t>n</w:t>
      </w:r>
      <w:r w:rsidRPr="009C29C2">
        <w:rPr>
          <w:color w:val="000000"/>
          <w:lang w:eastAsia="fr-FR" w:bidi="fr-FR"/>
        </w:rPr>
        <w:t>heur, de soustraire leurs labours, et plus encore leurs prés, à la dépai</w:t>
      </w:r>
      <w:r w:rsidRPr="009C29C2">
        <w:rPr>
          <w:color w:val="000000"/>
          <w:lang w:eastAsia="fr-FR" w:bidi="fr-FR"/>
        </w:rPr>
        <w:t>s</w:t>
      </w:r>
      <w:r w:rsidRPr="009C29C2">
        <w:rPr>
          <w:color w:val="000000"/>
          <w:lang w:eastAsia="fr-FR" w:bidi="fr-FR"/>
        </w:rPr>
        <w:t xml:space="preserve">sance commune et élevèrent autour des terres affranchies ces clôtures dont la multiplication, au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en diverses régions</w:t>
      </w:r>
      <w:r>
        <w:rPr>
          <w:color w:val="000000"/>
          <w:lang w:eastAsia="fr-FR" w:bidi="fr-FR"/>
        </w:rPr>
        <w:t> — </w:t>
      </w:r>
      <w:r w:rsidRPr="009C29C2">
        <w:rPr>
          <w:color w:val="000000"/>
          <w:lang w:eastAsia="fr-FR" w:bidi="fr-FR"/>
        </w:rPr>
        <w:t>Lorraine, comté de Montbéliard</w:t>
      </w:r>
      <w:r>
        <w:rPr>
          <w:color w:val="000000"/>
          <w:lang w:eastAsia="fr-FR" w:bidi="fr-FR"/>
        </w:rPr>
        <w:t> — </w:t>
      </w:r>
      <w:r w:rsidRPr="009C29C2">
        <w:rPr>
          <w:color w:val="000000"/>
          <w:lang w:eastAsia="fr-FR" w:bidi="fr-FR"/>
        </w:rPr>
        <w:t>inquiétait les tribunaux et les pouvoirs publics ; ces tentatives isolées pouvaient gêner certains groupes ruraux ; elles étaient</w:t>
      </w:r>
      <w:r>
        <w:rPr>
          <w:color w:val="000000"/>
          <w:lang w:eastAsia="fr-FR" w:bidi="fr-FR"/>
        </w:rPr>
        <w:t> — </w:t>
      </w:r>
      <w:r w:rsidRPr="009C29C2">
        <w:rPr>
          <w:color w:val="000000"/>
          <w:lang w:eastAsia="fr-FR" w:bidi="fr-FR"/>
        </w:rPr>
        <w:t>lors même qu’elles réussissaient— impuissantes à atteindre bien profondément l’ordre traditionnel. Par contre, il importe de décrire, dans la mesure où la dispersion des sou</w:t>
      </w:r>
      <w:r w:rsidRPr="009C29C2">
        <w:rPr>
          <w:color w:val="000000"/>
          <w:lang w:eastAsia="fr-FR" w:bidi="fr-FR"/>
        </w:rPr>
        <w:t>r</w:t>
      </w:r>
      <w:r w:rsidRPr="009C29C2">
        <w:rPr>
          <w:color w:val="000000"/>
          <w:lang w:eastAsia="fr-FR" w:bidi="fr-FR"/>
        </w:rPr>
        <w:t>ces le permet, l’assaut donné au vieil édifice agraire, dès la première moitié du siècle, par diverses autorités locales ou provinciales. Dans ce premier acte, comme dans l’histoire de l’œuvre gouvernementale, dont il forme le prélude, les rivalités d’ordre purement administratif tiennent, en apparence, une grande place ; mais, derrière ces luttes des pouvoirs, c’est le combat de forces sociales ennemies qui, le plus so</w:t>
      </w:r>
      <w:r w:rsidRPr="009C29C2">
        <w:rPr>
          <w:color w:val="000000"/>
          <w:lang w:eastAsia="fr-FR" w:bidi="fr-FR"/>
        </w:rPr>
        <w:t>u</w:t>
      </w:r>
      <w:r w:rsidRPr="009C29C2">
        <w:rPr>
          <w:color w:val="000000"/>
          <w:lang w:eastAsia="fr-FR" w:bidi="fr-FR"/>
        </w:rPr>
        <w:t>vent, se dissimule.</w:t>
      </w:r>
    </w:p>
    <w:p w14:paraId="43566782" w14:textId="77777777" w:rsidR="00B9662D" w:rsidRDefault="00B9662D" w:rsidP="00B9662D">
      <w:pPr>
        <w:spacing w:before="120" w:after="120"/>
        <w:jc w:val="both"/>
        <w:rPr>
          <w:color w:val="000000"/>
          <w:lang w:eastAsia="fr-FR" w:bidi="fr-FR"/>
        </w:rPr>
      </w:pPr>
      <w:r>
        <w:rPr>
          <w:color w:val="000000"/>
          <w:lang w:eastAsia="fr-FR" w:bidi="fr-FR"/>
        </w:rPr>
        <w:t>[600]</w:t>
      </w:r>
    </w:p>
    <w:p w14:paraId="64CDB0DA" w14:textId="77777777" w:rsidR="00B9662D" w:rsidRPr="009C29C2" w:rsidRDefault="00B9662D" w:rsidP="00B9662D">
      <w:pPr>
        <w:spacing w:before="120" w:after="120"/>
        <w:jc w:val="both"/>
      </w:pPr>
    </w:p>
    <w:p w14:paraId="4206981A" w14:textId="77777777" w:rsidR="00B9662D" w:rsidRPr="009C29C2" w:rsidRDefault="00B9662D" w:rsidP="00B9662D">
      <w:pPr>
        <w:pStyle w:val="planche"/>
      </w:pPr>
      <w:bookmarkStart w:id="15" w:name="Melanges_t2_pt_6_chap_III_II"/>
      <w:r w:rsidRPr="00C61373">
        <w:t>II. — </w:t>
      </w:r>
      <w:r w:rsidRPr="009C29C2">
        <w:t>L’œuvre des pouvoirs locaux</w:t>
      </w:r>
    </w:p>
    <w:bookmarkEnd w:id="15"/>
    <w:p w14:paraId="1205EF6C" w14:textId="77777777" w:rsidR="00B9662D" w:rsidRDefault="00B9662D" w:rsidP="00B9662D">
      <w:pPr>
        <w:spacing w:before="120" w:after="120"/>
        <w:jc w:val="both"/>
        <w:rPr>
          <w:color w:val="000000"/>
          <w:lang w:eastAsia="fr-FR" w:bidi="fr-FR"/>
        </w:rPr>
      </w:pPr>
    </w:p>
    <w:p w14:paraId="08BEAAC6"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5AA2BAC" w14:textId="77777777" w:rsidR="00B9662D" w:rsidRPr="009C29C2" w:rsidRDefault="00B9662D" w:rsidP="00B9662D">
      <w:pPr>
        <w:spacing w:before="120" w:after="120"/>
        <w:jc w:val="both"/>
      </w:pPr>
      <w:r w:rsidRPr="009C29C2">
        <w:rPr>
          <w:color w:val="000000"/>
          <w:lang w:eastAsia="fr-FR" w:bidi="fr-FR"/>
        </w:rPr>
        <w:t xml:space="preserve">Un propriétaire qui,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voulait libérer son bien de la vaine pâture, avait le choix entre plusieurs façons de faire.</w:t>
      </w:r>
    </w:p>
    <w:p w14:paraId="3C5A32BC" w14:textId="77777777" w:rsidR="00B9662D" w:rsidRPr="009C29C2" w:rsidRDefault="00B9662D" w:rsidP="00B9662D">
      <w:pPr>
        <w:spacing w:before="120" w:after="120"/>
        <w:jc w:val="both"/>
      </w:pPr>
      <w:r w:rsidRPr="009C29C2">
        <w:rPr>
          <w:color w:val="000000"/>
          <w:lang w:eastAsia="fr-FR" w:bidi="fr-FR"/>
        </w:rPr>
        <w:t>Il pouvait, de sa propre initiative, élever quelque palissade ou cre</w:t>
      </w:r>
      <w:r w:rsidRPr="009C29C2">
        <w:rPr>
          <w:color w:val="000000"/>
          <w:lang w:eastAsia="fr-FR" w:bidi="fr-FR"/>
        </w:rPr>
        <w:t>u</w:t>
      </w:r>
      <w:r w:rsidRPr="009C29C2">
        <w:rPr>
          <w:color w:val="000000"/>
          <w:lang w:eastAsia="fr-FR" w:bidi="fr-FR"/>
        </w:rPr>
        <w:t xml:space="preserve">ser quelque fossé. </w:t>
      </w:r>
      <w:r>
        <w:rPr>
          <w:color w:val="000000"/>
          <w:lang w:eastAsia="fr-FR" w:bidi="fr-FR"/>
        </w:rPr>
        <w:t>À</w:t>
      </w:r>
      <w:r w:rsidRPr="009C29C2">
        <w:rPr>
          <w:color w:val="000000"/>
          <w:lang w:eastAsia="fr-FR" w:bidi="fr-FR"/>
        </w:rPr>
        <w:t xml:space="preserve"> ses risques et périls : car, à moins d’être bien fort, il s’exposait, en fait, à beaucoup de désagréments : action en justice, qui se terminait souvent par sa condamnation, bris de clôture, contre lesquels la police et les tribunaux, lors même que le droit strict se</w:t>
      </w:r>
      <w:r w:rsidRPr="009C29C2">
        <w:rPr>
          <w:color w:val="000000"/>
          <w:lang w:eastAsia="fr-FR" w:bidi="fr-FR"/>
        </w:rPr>
        <w:t>m</w:t>
      </w:r>
      <w:r w:rsidRPr="009C29C2">
        <w:rPr>
          <w:color w:val="000000"/>
          <w:lang w:eastAsia="fr-FR" w:bidi="fr-FR"/>
        </w:rPr>
        <w:t>blait donner raison au propriétaire</w:t>
      </w:r>
      <w:r>
        <w:rPr>
          <w:color w:val="000000"/>
          <w:lang w:eastAsia="fr-FR" w:bidi="fr-FR"/>
        </w:rPr>
        <w:t> — </w:t>
      </w:r>
      <w:r w:rsidRPr="009C29C2">
        <w:rPr>
          <w:color w:val="000000"/>
          <w:lang w:eastAsia="fr-FR" w:bidi="fr-FR"/>
        </w:rPr>
        <w:t>par exemple en Auvergne, lor</w:t>
      </w:r>
      <w:r w:rsidRPr="009C29C2">
        <w:rPr>
          <w:color w:val="000000"/>
          <w:lang w:eastAsia="fr-FR" w:bidi="fr-FR"/>
        </w:rPr>
        <w:t>s</w:t>
      </w:r>
      <w:r w:rsidRPr="009C29C2">
        <w:rPr>
          <w:color w:val="000000"/>
          <w:lang w:eastAsia="fr-FR" w:bidi="fr-FR"/>
        </w:rPr>
        <w:t>qu’il fermait un champ, non pour le maintenir en labour, mais pour le transformer en verger</w:t>
      </w:r>
      <w:r>
        <w:rPr>
          <w:color w:val="000000"/>
          <w:lang w:eastAsia="fr-FR" w:bidi="fr-FR"/>
        </w:rPr>
        <w:t> — </w:t>
      </w:r>
      <w:r w:rsidRPr="009C29C2">
        <w:rPr>
          <w:color w:val="000000"/>
          <w:lang w:eastAsia="fr-FR" w:bidi="fr-FR"/>
        </w:rPr>
        <w:t>s’avéraient fréquemment impuissants.</w:t>
      </w:r>
    </w:p>
    <w:p w14:paraId="6B593A8C" w14:textId="77777777" w:rsidR="00B9662D" w:rsidRPr="009C29C2" w:rsidRDefault="00B9662D" w:rsidP="00B9662D">
      <w:pPr>
        <w:spacing w:before="120" w:after="120"/>
        <w:jc w:val="both"/>
      </w:pPr>
      <w:r w:rsidRPr="009C29C2">
        <w:rPr>
          <w:color w:val="000000"/>
          <w:lang w:eastAsia="fr-FR" w:bidi="fr-FR"/>
        </w:rPr>
        <w:t>Pour se prémunir contre ces ennuis, notre homme, s’il était influent dans son village, pouvait obtenir de l’assemblée des habitants une d</w:t>
      </w:r>
      <w:r w:rsidRPr="009C29C2">
        <w:rPr>
          <w:color w:val="000000"/>
          <w:lang w:eastAsia="fr-FR" w:bidi="fr-FR"/>
        </w:rPr>
        <w:t>é</w:t>
      </w:r>
      <w:r w:rsidRPr="009C29C2">
        <w:rPr>
          <w:color w:val="000000"/>
          <w:lang w:eastAsia="fr-FR" w:bidi="fr-FR"/>
        </w:rPr>
        <w:t>libération réformant les règlements ruraux antérieurs : telles ces déc</w:t>
      </w:r>
      <w:r w:rsidRPr="009C29C2">
        <w:rPr>
          <w:color w:val="000000"/>
          <w:lang w:eastAsia="fr-FR" w:bidi="fr-FR"/>
        </w:rPr>
        <w:t>i</w:t>
      </w:r>
      <w:r w:rsidRPr="009C29C2">
        <w:rPr>
          <w:color w:val="000000"/>
          <w:lang w:eastAsia="fr-FR" w:bidi="fr-FR"/>
        </w:rPr>
        <w:lastRenderedPageBreak/>
        <w:t>sions qui çà et là, nous le verrons, prescrivirent la mise en défens des prairies artificielles. Mais c’était se mettre à la merci de récalcitrants, empressés à taxer ces actes d’illégalité et, souvent, assez heureux pour rallier les tribunaux à leur avis.</w:t>
      </w:r>
    </w:p>
    <w:p w14:paraId="59280E69" w14:textId="77777777" w:rsidR="00B9662D" w:rsidRPr="009C29C2" w:rsidRDefault="00B9662D" w:rsidP="00B9662D">
      <w:pPr>
        <w:spacing w:before="120" w:after="120"/>
        <w:jc w:val="both"/>
      </w:pPr>
      <w:r w:rsidRPr="009C29C2">
        <w:rPr>
          <w:color w:val="000000"/>
          <w:lang w:eastAsia="fr-FR" w:bidi="fr-FR"/>
        </w:rPr>
        <w:t>Restait enfin le recours aux autorités supérieures. Celles-ci distr</w:t>
      </w:r>
      <w:r w:rsidRPr="009C29C2">
        <w:rPr>
          <w:color w:val="000000"/>
          <w:lang w:eastAsia="fr-FR" w:bidi="fr-FR"/>
        </w:rPr>
        <w:t>i</w:t>
      </w:r>
      <w:r w:rsidRPr="009C29C2">
        <w:rPr>
          <w:color w:val="000000"/>
          <w:lang w:eastAsia="fr-FR" w:bidi="fr-FR"/>
        </w:rPr>
        <w:t>buaient parfois des faveurs personnelles. Les intendants, dont les po</w:t>
      </w:r>
      <w:r w:rsidRPr="009C29C2">
        <w:rPr>
          <w:color w:val="000000"/>
          <w:lang w:eastAsia="fr-FR" w:bidi="fr-FR"/>
        </w:rPr>
        <w:t>u</w:t>
      </w:r>
      <w:r w:rsidRPr="009C29C2">
        <w:rPr>
          <w:color w:val="000000"/>
          <w:lang w:eastAsia="fr-FR" w:bidi="fr-FR"/>
        </w:rPr>
        <w:t>voirs en matière de police rurale, n’étant fixés par aucune loi, se tro</w:t>
      </w:r>
      <w:r w:rsidRPr="009C29C2">
        <w:rPr>
          <w:color w:val="000000"/>
          <w:lang w:eastAsia="fr-FR" w:bidi="fr-FR"/>
        </w:rPr>
        <w:t>u</w:t>
      </w:r>
      <w:r w:rsidRPr="009C29C2">
        <w:rPr>
          <w:color w:val="000000"/>
          <w:lang w:eastAsia="fr-FR" w:bidi="fr-FR"/>
        </w:rPr>
        <w:t>vaient, en pratique, presque illimités, s’estimaient en droit d’accorder à l’occasion des autorisations de clore. Ce rôle de dispensateurs des grâces servait leur prestige. M. d’Étigny, qui fut intendant en Béarn de 1751 à 1765, était, nous dit-on, hostile à tout édit royal qui, dans sa généralité, eût rendu libres les clôtures, parce qu’il eût perdu par là la faculté, dont il était jaloux, de les permettre ou défendre « à son gré »</w:t>
      </w:r>
      <w:r>
        <w:rPr>
          <w:color w:val="000000"/>
          <w:lang w:eastAsia="fr-FR" w:bidi="fr-FR"/>
        </w:rPr>
        <w:t> </w:t>
      </w:r>
      <w:r>
        <w:rPr>
          <w:rStyle w:val="Appelnotedebasdep"/>
        </w:rPr>
        <w:footnoteReference w:id="96"/>
      </w:r>
      <w:r>
        <w:rPr>
          <w:color w:val="000000"/>
          <w:lang w:eastAsia="fr-FR" w:bidi="fr-FR"/>
        </w:rPr>
        <w:t>.</w:t>
      </w:r>
      <w:r w:rsidRPr="009C29C2">
        <w:rPr>
          <w:color w:val="000000"/>
          <w:lang w:eastAsia="fr-FR" w:bidi="fr-FR"/>
        </w:rPr>
        <w:t xml:space="preserve"> Plus haut encore, on pouvait s’adresser au roi, ou à son Conseil</w:t>
      </w:r>
      <w:r>
        <w:rPr>
          <w:color w:val="000000"/>
          <w:lang w:eastAsia="fr-FR" w:bidi="fr-FR"/>
        </w:rPr>
        <w:t> </w:t>
      </w:r>
      <w:r>
        <w:rPr>
          <w:rStyle w:val="Appelnotedebasdep"/>
        </w:rPr>
        <w:footnoteReference w:id="97"/>
      </w:r>
      <w:r w:rsidRPr="009C29C2">
        <w:rPr>
          <w:color w:val="000000"/>
          <w:lang w:eastAsia="fr-FR" w:bidi="fr-FR"/>
        </w:rPr>
        <w:t>. Mais plutôt que de solliciter ces mesures d’exception qui, nécessairement, étaient limitées à une terre ou à un groupe de terres et que les tribunaux ne se croyaient pas toujours tenus de respecter</w:t>
      </w:r>
      <w:r>
        <w:rPr>
          <w:color w:val="000000"/>
          <w:lang w:eastAsia="fr-FR" w:bidi="fr-FR"/>
        </w:rPr>
        <w:t> </w:t>
      </w:r>
      <w:r>
        <w:rPr>
          <w:rStyle w:val="Appelnotedebasdep"/>
        </w:rPr>
        <w:footnoteReference w:id="98"/>
      </w:r>
      <w:r w:rsidRPr="009C29C2">
        <w:rPr>
          <w:color w:val="000000"/>
          <w:lang w:eastAsia="fr-FR" w:bidi="fr-FR"/>
        </w:rPr>
        <w:t>, mieux valait provoquer une décision qui s’appliquât à toute une r</w:t>
      </w:r>
      <w:r w:rsidRPr="009C29C2">
        <w:rPr>
          <w:color w:val="000000"/>
          <w:lang w:eastAsia="fr-FR" w:bidi="fr-FR"/>
        </w:rPr>
        <w:t>é</w:t>
      </w:r>
      <w:r w:rsidRPr="009C29C2">
        <w:rPr>
          <w:color w:val="000000"/>
          <w:lang w:eastAsia="fr-FR" w:bidi="fr-FR"/>
        </w:rPr>
        <w:t>gion : arrêt de règlement d’un bailliage ou d’une Cour souveraine, qui modifiait la coutume, sous couleur de l’interpréter, ordonnance de p</w:t>
      </w:r>
      <w:r w:rsidRPr="009C29C2">
        <w:rPr>
          <w:color w:val="000000"/>
          <w:lang w:eastAsia="fr-FR" w:bidi="fr-FR"/>
        </w:rPr>
        <w:t>o</w:t>
      </w:r>
      <w:r w:rsidRPr="009C29C2">
        <w:rPr>
          <w:color w:val="000000"/>
          <w:lang w:eastAsia="fr-FR" w:bidi="fr-FR"/>
        </w:rPr>
        <w:t>lice de l’intendant.</w:t>
      </w:r>
    </w:p>
    <w:p w14:paraId="70BDAE3B" w14:textId="77777777" w:rsidR="00B9662D" w:rsidRPr="009C29C2" w:rsidRDefault="00B9662D" w:rsidP="00B9662D">
      <w:pPr>
        <w:spacing w:before="120" w:after="120"/>
        <w:jc w:val="both"/>
      </w:pPr>
      <w:r w:rsidRPr="009C29C2">
        <w:rPr>
          <w:color w:val="000000"/>
          <w:lang w:eastAsia="fr-FR" w:bidi="fr-FR"/>
        </w:rPr>
        <w:t>Cours de justice, ou intendants : quel que fût le chemin choisi, c’était toujours l’un ou l’autre de ces deux pouvoirs que l’on finissait par rencontrer devant soi. On vient de le voir dans le dernier cas env</w:t>
      </w:r>
      <w:r w:rsidRPr="009C29C2">
        <w:rPr>
          <w:color w:val="000000"/>
          <w:lang w:eastAsia="fr-FR" w:bidi="fr-FR"/>
        </w:rPr>
        <w:t>i</w:t>
      </w:r>
      <w:r w:rsidRPr="009C29C2">
        <w:rPr>
          <w:color w:val="000000"/>
          <w:lang w:eastAsia="fr-FR" w:bidi="fr-FR"/>
        </w:rPr>
        <w:t>sagé. Il en était de même dans les autres ; car les limites des deux jur</w:t>
      </w:r>
      <w:r w:rsidRPr="009C29C2">
        <w:rPr>
          <w:color w:val="000000"/>
          <w:lang w:eastAsia="fr-FR" w:bidi="fr-FR"/>
        </w:rPr>
        <w:t>i</w:t>
      </w:r>
      <w:r w:rsidRPr="009C29C2">
        <w:rPr>
          <w:color w:val="000000"/>
          <w:lang w:eastAsia="fr-FR" w:bidi="fr-FR"/>
        </w:rPr>
        <w:t>dictions étant</w:t>
      </w:r>
      <w:r>
        <w:rPr>
          <w:color w:val="000000"/>
          <w:lang w:eastAsia="fr-FR" w:bidi="fr-FR"/>
        </w:rPr>
        <w:t xml:space="preserve"> [601] </w:t>
      </w:r>
      <w:r w:rsidRPr="009C29C2">
        <w:rPr>
          <w:color w:val="000000"/>
          <w:lang w:eastAsia="fr-FR" w:bidi="fr-FR"/>
        </w:rPr>
        <w:t xml:space="preserve">fort mal définies, les procès se déroulaient tantôt </w:t>
      </w:r>
      <w:r w:rsidRPr="009C29C2">
        <w:rPr>
          <w:color w:val="000000"/>
          <w:lang w:eastAsia="fr-FR" w:bidi="fr-FR"/>
        </w:rPr>
        <w:lastRenderedPageBreak/>
        <w:t>devant les tribunaux ordinaires, tantôt devant la juridiction administr</w:t>
      </w:r>
      <w:r w:rsidRPr="009C29C2">
        <w:rPr>
          <w:color w:val="000000"/>
          <w:lang w:eastAsia="fr-FR" w:bidi="fr-FR"/>
        </w:rPr>
        <w:t>a</w:t>
      </w:r>
      <w:r w:rsidRPr="009C29C2">
        <w:rPr>
          <w:color w:val="000000"/>
          <w:lang w:eastAsia="fr-FR" w:bidi="fr-FR"/>
        </w:rPr>
        <w:t>tive, et, selon l’occasion ou l’usage provincial, c’était soit le bailliage ou la Cour souveraine, soit l’intendant à qui revenait le soin d’homologuer les décisions des communautés. Ce dualisme, caract</w:t>
      </w:r>
      <w:r w:rsidRPr="009C29C2">
        <w:rPr>
          <w:color w:val="000000"/>
          <w:lang w:eastAsia="fr-FR" w:bidi="fr-FR"/>
        </w:rPr>
        <w:t>é</w:t>
      </w:r>
      <w:r w:rsidRPr="009C29C2">
        <w:rPr>
          <w:color w:val="000000"/>
          <w:lang w:eastAsia="fr-FR" w:bidi="fr-FR"/>
        </w:rPr>
        <w:t>ristique de l’Ancien Régime, entraînait bien des conflits ; souvent, il mit obstacle aux pr</w:t>
      </w:r>
      <w:r w:rsidRPr="009C29C2">
        <w:rPr>
          <w:color w:val="000000"/>
          <w:lang w:eastAsia="fr-FR" w:bidi="fr-FR"/>
        </w:rPr>
        <w:t>o</w:t>
      </w:r>
      <w:r w:rsidRPr="009C29C2">
        <w:rPr>
          <w:color w:val="000000"/>
          <w:lang w:eastAsia="fr-FR" w:bidi="fr-FR"/>
        </w:rPr>
        <w:t>grès de la réforme agraire.</w:t>
      </w:r>
    </w:p>
    <w:p w14:paraId="37D1F057" w14:textId="77777777" w:rsidR="00B9662D" w:rsidRPr="009C29C2" w:rsidRDefault="00B9662D" w:rsidP="00B9662D">
      <w:pPr>
        <w:spacing w:before="120" w:after="120"/>
        <w:jc w:val="both"/>
      </w:pPr>
      <w:r w:rsidRPr="009C29C2">
        <w:rPr>
          <w:color w:val="000000"/>
          <w:lang w:eastAsia="fr-FR" w:bidi="fr-FR"/>
        </w:rPr>
        <w:t>Les pouvoirs locaux, à l’ordinaire, se bornèrent à limiter, parfois très gravement, l’exercice des servitudes collectives : sur les prés, les vignes, les nouvelles cultures fourragères. Exceptionnellement, dans une province</w:t>
      </w:r>
      <w:r>
        <w:rPr>
          <w:color w:val="000000"/>
          <w:lang w:eastAsia="fr-FR" w:bidi="fr-FR"/>
        </w:rPr>
        <w:t> — </w:t>
      </w:r>
      <w:r w:rsidRPr="009C29C2">
        <w:rPr>
          <w:color w:val="000000"/>
          <w:lang w:eastAsia="fr-FR" w:bidi="fr-FR"/>
        </w:rPr>
        <w:t>le Languedoc</w:t>
      </w:r>
      <w:r>
        <w:rPr>
          <w:color w:val="000000"/>
          <w:lang w:eastAsia="fr-FR" w:bidi="fr-FR"/>
        </w:rPr>
        <w:t> — </w:t>
      </w:r>
      <w:r w:rsidRPr="009C29C2">
        <w:rPr>
          <w:color w:val="000000"/>
          <w:lang w:eastAsia="fr-FR" w:bidi="fr-FR"/>
        </w:rPr>
        <w:t>qui, mieux que la plupart des autres, avait su se garder contre la centralisation monarchique, une décision, venue des autorités provinciales elles-mêmes, frappa la vaine pâture dans son ensemble.</w:t>
      </w:r>
    </w:p>
    <w:p w14:paraId="0BFE0A75" w14:textId="77777777" w:rsidR="00B9662D" w:rsidRDefault="00B9662D" w:rsidP="00B9662D">
      <w:pPr>
        <w:pStyle w:val="c"/>
        <w:rPr>
          <w:lang w:eastAsia="fr-FR" w:bidi="fr-FR"/>
        </w:rPr>
      </w:pPr>
      <w:r>
        <w:rPr>
          <w:lang w:eastAsia="fr-FR" w:bidi="fr-FR"/>
        </w:rPr>
        <w:t>*</w:t>
      </w:r>
      <w:r>
        <w:rPr>
          <w:lang w:eastAsia="fr-FR" w:bidi="fr-FR"/>
        </w:rPr>
        <w:br/>
        <w:t>*     *</w:t>
      </w:r>
    </w:p>
    <w:p w14:paraId="2BE3DD9B" w14:textId="77777777" w:rsidR="00B9662D" w:rsidRPr="009C29C2" w:rsidRDefault="00B9662D" w:rsidP="00B9662D">
      <w:pPr>
        <w:spacing w:before="120" w:after="120"/>
        <w:jc w:val="both"/>
      </w:pPr>
      <w:r w:rsidRPr="009C29C2">
        <w:rPr>
          <w:color w:val="000000"/>
          <w:lang w:eastAsia="fr-FR" w:bidi="fr-FR"/>
        </w:rPr>
        <w:t xml:space="preserve">Les champs, dans l’ancienne France, n’étaient pas seuls soumis à la dépaissance collective. Dans la plus grande partie du pays, les prés aussi y obéissaient, là même, parfois, où la terre arable ne la subissait point. Sur la plupart d’entre eux, c’était dès la première fauchaison. Seule, la première herbe, comme disait, vers la fin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l’intendant de Hainaut, appartenait à « celui que l’on considère co</w:t>
      </w:r>
      <w:r w:rsidRPr="009C29C2">
        <w:rPr>
          <w:color w:val="000000"/>
          <w:lang w:eastAsia="fr-FR" w:bidi="fr-FR"/>
        </w:rPr>
        <w:t>m</w:t>
      </w:r>
      <w:r w:rsidRPr="009C29C2">
        <w:rPr>
          <w:color w:val="000000"/>
          <w:lang w:eastAsia="fr-FR" w:bidi="fr-FR"/>
        </w:rPr>
        <w:t>me le propriétaire du fonds »</w:t>
      </w:r>
      <w:r>
        <w:rPr>
          <w:color w:val="000000"/>
          <w:lang w:eastAsia="fr-FR" w:bidi="fr-FR"/>
        </w:rPr>
        <w:t> </w:t>
      </w:r>
      <w:r>
        <w:rPr>
          <w:rStyle w:val="Appelnotedebasdep"/>
        </w:rPr>
        <w:footnoteReference w:id="99"/>
      </w:r>
      <w:r w:rsidRPr="009C29C2">
        <w:rPr>
          <w:color w:val="000000"/>
          <w:lang w:eastAsia="fr-FR" w:bidi="fr-FR"/>
        </w:rPr>
        <w:t> ; le regain était à tous. Tantôt la co</w:t>
      </w:r>
      <w:r w:rsidRPr="009C29C2">
        <w:rPr>
          <w:color w:val="000000"/>
          <w:lang w:eastAsia="fr-FR" w:bidi="fr-FR"/>
        </w:rPr>
        <w:t>m</w:t>
      </w:r>
      <w:r w:rsidRPr="009C29C2">
        <w:rPr>
          <w:color w:val="000000"/>
          <w:lang w:eastAsia="fr-FR" w:bidi="fr-FR"/>
        </w:rPr>
        <w:t>munauté le faisait paître sur pied, quitte, assez souvent, à réserver les plus grasses prairies aux animaux de labour, à l’exclusion des autres bêtes, moins nécessaires à la culture ; tantôt elle le conservait, en tout ou en partie, pour le faucher, ne laissant au troupeau commun que les pauvres herbes de l’automne ; dans ce cas, elle pouvait soit distribuer à tous ses membres le foin coupé, soit, selon une pratique qu’on tro</w:t>
      </w:r>
      <w:r w:rsidRPr="009C29C2">
        <w:rPr>
          <w:color w:val="000000"/>
          <w:lang w:eastAsia="fr-FR" w:bidi="fr-FR"/>
        </w:rPr>
        <w:t>u</w:t>
      </w:r>
      <w:r w:rsidRPr="009C29C2">
        <w:rPr>
          <w:color w:val="000000"/>
          <w:lang w:eastAsia="fr-FR" w:bidi="fr-FR"/>
        </w:rPr>
        <w:t xml:space="preserve">ve en vigueur dans l’Auvergne, dès le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w:t>
      </w:r>
      <w:r>
        <w:rPr>
          <w:color w:val="000000"/>
          <w:lang w:eastAsia="fr-FR" w:bidi="fr-FR"/>
        </w:rPr>
        <w:t> </w:t>
      </w:r>
      <w:r>
        <w:rPr>
          <w:rStyle w:val="Appelnotedebasdep"/>
        </w:rPr>
        <w:footnoteReference w:id="100"/>
      </w:r>
      <w:r w:rsidRPr="009C29C2">
        <w:rPr>
          <w:color w:val="000000"/>
          <w:lang w:eastAsia="fr-FR" w:bidi="fr-FR"/>
        </w:rPr>
        <w:t xml:space="preserve">, et qui dans l’Est, vers la fin de l’Ancien Régime, se répandit de plus en plus, le vendre à son profit. Cette dernière méthode était la plus favorable </w:t>
      </w:r>
      <w:r w:rsidRPr="009C29C2">
        <w:rPr>
          <w:color w:val="000000"/>
          <w:lang w:eastAsia="fr-FR" w:bidi="fr-FR"/>
        </w:rPr>
        <w:lastRenderedPageBreak/>
        <w:t>aux riches ; mais, quelle que fût la solution adoptée, le principe demeurait : les droits du propriétaire s’éteignaient avec la première récolte. Nul ava</w:t>
      </w:r>
      <w:r w:rsidRPr="009C29C2">
        <w:rPr>
          <w:color w:val="000000"/>
          <w:lang w:eastAsia="fr-FR" w:bidi="fr-FR"/>
        </w:rPr>
        <w:t>n</w:t>
      </w:r>
      <w:r w:rsidRPr="009C29C2">
        <w:rPr>
          <w:color w:val="000000"/>
          <w:lang w:eastAsia="fr-FR" w:bidi="fr-FR"/>
        </w:rPr>
        <w:t>tage collectif plus que celui-là ne tenait à cœur à la masse paysanne ; on l’estimait indispensable à la vie du village, que hantait la préocc</w:t>
      </w:r>
      <w:r w:rsidRPr="009C29C2">
        <w:rPr>
          <w:color w:val="000000"/>
          <w:lang w:eastAsia="fr-FR" w:bidi="fr-FR"/>
        </w:rPr>
        <w:t>u</w:t>
      </w:r>
      <w:r w:rsidRPr="009C29C2">
        <w:rPr>
          <w:color w:val="000000"/>
          <w:lang w:eastAsia="fr-FR" w:bidi="fr-FR"/>
        </w:rPr>
        <w:t>pation de subvenir à la difficile nourriture du bétail ; il semblait inh</w:t>
      </w:r>
      <w:r w:rsidRPr="009C29C2">
        <w:rPr>
          <w:color w:val="000000"/>
          <w:lang w:eastAsia="fr-FR" w:bidi="fr-FR"/>
        </w:rPr>
        <w:t>é</w:t>
      </w:r>
      <w:r w:rsidRPr="009C29C2">
        <w:rPr>
          <w:color w:val="000000"/>
          <w:lang w:eastAsia="fr-FR" w:bidi="fr-FR"/>
        </w:rPr>
        <w:t>rent à toute une tradition communautaire à laquelle les sentiments, comme les idées, s’attachaient de toutes leurs forces. « Depuis la cré</w:t>
      </w:r>
      <w:r w:rsidRPr="009C29C2">
        <w:rPr>
          <w:color w:val="000000"/>
          <w:lang w:eastAsia="fr-FR" w:bidi="fr-FR"/>
        </w:rPr>
        <w:t>a</w:t>
      </w:r>
      <w:r w:rsidRPr="009C29C2">
        <w:rPr>
          <w:color w:val="000000"/>
          <w:lang w:eastAsia="fr-FR" w:bidi="fr-FR"/>
        </w:rPr>
        <w:t>tion du monde jusqu’à présent », dira, en 1789, un cahier lorrain, « le second surpoil » appartient aux communautés</w:t>
      </w:r>
      <w:r>
        <w:rPr>
          <w:color w:val="000000"/>
          <w:lang w:eastAsia="fr-FR" w:bidi="fr-FR"/>
        </w:rPr>
        <w:t> </w:t>
      </w:r>
      <w:r>
        <w:rPr>
          <w:rStyle w:val="Appelnotedebasdep"/>
        </w:rPr>
        <w:footnoteReference w:id="101"/>
      </w:r>
      <w:r w:rsidRPr="009C29C2">
        <w:rPr>
          <w:color w:val="000000"/>
          <w:lang w:eastAsia="fr-FR" w:bidi="fr-FR"/>
        </w:rPr>
        <w:t>.</w:t>
      </w:r>
    </w:p>
    <w:p w14:paraId="5FB95880" w14:textId="77777777" w:rsidR="00B9662D" w:rsidRPr="009C29C2" w:rsidRDefault="00B9662D" w:rsidP="00B9662D">
      <w:pPr>
        <w:spacing w:before="120" w:after="120"/>
        <w:jc w:val="both"/>
      </w:pPr>
      <w:r w:rsidRPr="009C29C2">
        <w:rPr>
          <w:color w:val="000000"/>
          <w:lang w:eastAsia="fr-FR" w:bidi="fr-FR"/>
        </w:rPr>
        <w:t>Nulle contrainte, en revanche, qui parût plus dure aux principaux propriétaires. Sur les labours, la vaine pâture ne fut guère ressentie comme une gêne qu’à partir du moment où l’on rêva d’abolir la jach</w:t>
      </w:r>
      <w:r w:rsidRPr="009C29C2">
        <w:rPr>
          <w:color w:val="000000"/>
          <w:lang w:eastAsia="fr-FR" w:bidi="fr-FR"/>
        </w:rPr>
        <w:t>è</w:t>
      </w:r>
      <w:r w:rsidRPr="009C29C2">
        <w:rPr>
          <w:color w:val="000000"/>
          <w:lang w:eastAsia="fr-FR" w:bidi="fr-FR"/>
        </w:rPr>
        <w:t>re et de</w:t>
      </w:r>
      <w:r>
        <w:t xml:space="preserve"> </w:t>
      </w:r>
      <w:r>
        <w:rPr>
          <w:color w:val="000000"/>
          <w:lang w:eastAsia="fr-FR" w:bidi="fr-FR"/>
        </w:rPr>
        <w:t xml:space="preserve">[602] </w:t>
      </w:r>
      <w:r w:rsidRPr="009C29C2">
        <w:rPr>
          <w:color w:val="000000"/>
          <w:lang w:eastAsia="fr-FR" w:bidi="fr-FR"/>
        </w:rPr>
        <w:t>cultiver les fourrages. De tout temps par contre, ou du moins d</w:t>
      </w:r>
      <w:r w:rsidRPr="009C29C2">
        <w:rPr>
          <w:color w:val="000000"/>
          <w:lang w:eastAsia="fr-FR" w:bidi="fr-FR"/>
        </w:rPr>
        <w:t>e</w:t>
      </w:r>
      <w:r w:rsidRPr="009C29C2">
        <w:rPr>
          <w:color w:val="000000"/>
          <w:lang w:eastAsia="fr-FR" w:bidi="fr-FR"/>
        </w:rPr>
        <w:t>puis qu’on s’était aperçu que les herbages pouvaient donner une s</w:t>
      </w:r>
      <w:r w:rsidRPr="009C29C2">
        <w:rPr>
          <w:color w:val="000000"/>
          <w:lang w:eastAsia="fr-FR" w:bidi="fr-FR"/>
        </w:rPr>
        <w:t>e</w:t>
      </w:r>
      <w:r w:rsidRPr="009C29C2">
        <w:rPr>
          <w:color w:val="000000"/>
          <w:lang w:eastAsia="fr-FR" w:bidi="fr-FR"/>
        </w:rPr>
        <w:t>conde récolte</w:t>
      </w:r>
      <w:r>
        <w:rPr>
          <w:color w:val="000000"/>
          <w:lang w:eastAsia="fr-FR" w:bidi="fr-FR"/>
        </w:rPr>
        <w:t> — </w:t>
      </w:r>
      <w:r w:rsidRPr="009C29C2">
        <w:rPr>
          <w:color w:val="000000"/>
          <w:lang w:eastAsia="fr-FR" w:bidi="fr-FR"/>
        </w:rPr>
        <w:t xml:space="preserve">dès le Moyen </w:t>
      </w:r>
      <w:r>
        <w:rPr>
          <w:color w:val="000000"/>
          <w:lang w:eastAsia="fr-FR" w:bidi="fr-FR"/>
        </w:rPr>
        <w:t>Â</w:t>
      </w:r>
      <w:r w:rsidRPr="009C29C2">
        <w:rPr>
          <w:color w:val="000000"/>
          <w:lang w:eastAsia="fr-FR" w:bidi="fr-FR"/>
        </w:rPr>
        <w:t>ge, avant même, sans doute</w:t>
      </w:r>
      <w:r>
        <w:rPr>
          <w:color w:val="000000"/>
          <w:lang w:eastAsia="fr-FR" w:bidi="fr-FR"/>
        </w:rPr>
        <w:t> — </w:t>
      </w:r>
      <w:r w:rsidRPr="009C29C2">
        <w:rPr>
          <w:color w:val="000000"/>
          <w:lang w:eastAsia="fr-FR" w:bidi="fr-FR"/>
        </w:rPr>
        <w:t>les maîtres des prés déplorèrent de ne tirer, d’un bien si précieux, qu’un profit toujours imparfait. Dans une foule de procès, nous tro</w:t>
      </w:r>
      <w:r w:rsidRPr="009C29C2">
        <w:rPr>
          <w:color w:val="000000"/>
          <w:lang w:eastAsia="fr-FR" w:bidi="fr-FR"/>
        </w:rPr>
        <w:t>u</w:t>
      </w:r>
      <w:r w:rsidRPr="009C29C2">
        <w:rPr>
          <w:color w:val="000000"/>
          <w:lang w:eastAsia="fr-FR" w:bidi="fr-FR"/>
        </w:rPr>
        <w:t>vons r</w:t>
      </w:r>
      <w:r w:rsidRPr="009C29C2">
        <w:rPr>
          <w:color w:val="000000"/>
          <w:lang w:eastAsia="fr-FR" w:bidi="fr-FR"/>
        </w:rPr>
        <w:t>e</w:t>
      </w:r>
      <w:r w:rsidRPr="009C29C2">
        <w:rPr>
          <w:color w:val="000000"/>
          <w:lang w:eastAsia="fr-FR" w:bidi="fr-FR"/>
        </w:rPr>
        <w:t>tracés au vif leurs efforts soit pour clore définitivement leurs terrains, soit, du moins, pour ne les abandonner à l’exploitation colle</w:t>
      </w:r>
      <w:r w:rsidRPr="009C29C2">
        <w:rPr>
          <w:color w:val="000000"/>
          <w:lang w:eastAsia="fr-FR" w:bidi="fr-FR"/>
        </w:rPr>
        <w:t>c</w:t>
      </w:r>
      <w:r w:rsidRPr="009C29C2">
        <w:rPr>
          <w:color w:val="000000"/>
          <w:lang w:eastAsia="fr-FR" w:bidi="fr-FR"/>
        </w:rPr>
        <w:t>tive qu’après le regain. Non sans succès parfois : car ces accapareurs étaient souvent puissants : relativement rares, puisqu’elles exigeaient des fonds humides et point trop marécageux, de plus haute valeur, presque partout, que les labours, les prairies appartenaient en grand nombre soit aux seigneurs, qui les avaient retenues dans leurs doma</w:t>
      </w:r>
      <w:r w:rsidRPr="009C29C2">
        <w:rPr>
          <w:color w:val="000000"/>
          <w:lang w:eastAsia="fr-FR" w:bidi="fr-FR"/>
        </w:rPr>
        <w:t>i</w:t>
      </w:r>
      <w:r w:rsidRPr="009C29C2">
        <w:rPr>
          <w:color w:val="000000"/>
          <w:lang w:eastAsia="fr-FR" w:bidi="fr-FR"/>
        </w:rPr>
        <w:t>nes propres, soit à des bourgeois ou à de gros laboureurs, qui en avaient patiemment poursuivi l’acquisition. L’influence du propriéta</w:t>
      </w:r>
      <w:r w:rsidRPr="009C29C2">
        <w:rPr>
          <w:color w:val="000000"/>
          <w:lang w:eastAsia="fr-FR" w:bidi="fr-FR"/>
        </w:rPr>
        <w:t>i</w:t>
      </w:r>
      <w:r w:rsidRPr="009C29C2">
        <w:rPr>
          <w:color w:val="000000"/>
          <w:lang w:eastAsia="fr-FR" w:bidi="fr-FR"/>
        </w:rPr>
        <w:t>re avait-elle été assez forte pour qu’il eût réussi, plusieurs années de suite, à protéger son regain ? l’abus se transformait en « ancienneté » et prenait figure de droit</w:t>
      </w:r>
      <w:r>
        <w:rPr>
          <w:color w:val="000000"/>
          <w:lang w:eastAsia="fr-FR" w:bidi="fr-FR"/>
        </w:rPr>
        <w:t> </w:t>
      </w:r>
      <w:r>
        <w:rPr>
          <w:rStyle w:val="Appelnotedebasdep"/>
        </w:rPr>
        <w:footnoteReference w:id="102"/>
      </w:r>
      <w:r w:rsidRPr="009C29C2">
        <w:rPr>
          <w:color w:val="000000"/>
          <w:lang w:eastAsia="fr-FR" w:bidi="fr-FR"/>
        </w:rPr>
        <w:t>. Dans beaucoup de terroirs, nous trou</w:t>
      </w:r>
      <w:r w:rsidRPr="009C29C2">
        <w:rPr>
          <w:color w:val="000000"/>
          <w:lang w:eastAsia="fr-FR" w:bidi="fr-FR"/>
        </w:rPr>
        <w:lastRenderedPageBreak/>
        <w:t>vons, vers la fin du Moyen Age, de ces prés privilégiés</w:t>
      </w:r>
      <w:r>
        <w:rPr>
          <w:color w:val="000000"/>
          <w:lang w:eastAsia="fr-FR" w:bidi="fr-FR"/>
        </w:rPr>
        <w:t> — </w:t>
      </w:r>
      <w:r w:rsidRPr="009C29C2">
        <w:rPr>
          <w:color w:val="000000"/>
          <w:lang w:eastAsia="fr-FR" w:bidi="fr-FR"/>
        </w:rPr>
        <w:t>« prés ga</w:t>
      </w:r>
      <w:r w:rsidRPr="009C29C2">
        <w:rPr>
          <w:color w:val="000000"/>
          <w:lang w:eastAsia="fr-FR" w:bidi="fr-FR"/>
        </w:rPr>
        <w:t>i</w:t>
      </w:r>
      <w:r w:rsidRPr="009C29C2">
        <w:rPr>
          <w:color w:val="000000"/>
          <w:lang w:eastAsia="fr-FR" w:bidi="fr-FR"/>
        </w:rPr>
        <w:t>gneaux », « de revivre », « à deux herbes »</w:t>
      </w:r>
      <w:r>
        <w:rPr>
          <w:color w:val="000000"/>
          <w:lang w:eastAsia="fr-FR" w:bidi="fr-FR"/>
        </w:rPr>
        <w:t> — </w:t>
      </w:r>
      <w:r w:rsidRPr="009C29C2">
        <w:rPr>
          <w:color w:val="000000"/>
          <w:lang w:eastAsia="fr-FR" w:bidi="fr-FR"/>
        </w:rPr>
        <w:t>qui s’opposaient à la masse des terres de même nature, ouvertes dès le printemps. Ce n’étaient là, pourtant, que des exceptions. La majorité des herbages continuaient à ne permettre à leurs possesseurs qu’une seule faucha</w:t>
      </w:r>
      <w:r w:rsidRPr="009C29C2">
        <w:rPr>
          <w:color w:val="000000"/>
          <w:lang w:eastAsia="fr-FR" w:bidi="fr-FR"/>
        </w:rPr>
        <w:t>i</w:t>
      </w:r>
      <w:r w:rsidRPr="009C29C2">
        <w:rPr>
          <w:color w:val="000000"/>
          <w:lang w:eastAsia="fr-FR" w:bidi="fr-FR"/>
        </w:rPr>
        <w:t>son.</w:t>
      </w:r>
    </w:p>
    <w:p w14:paraId="6485147E" w14:textId="77777777" w:rsidR="00B9662D" w:rsidRPr="009C29C2" w:rsidRDefault="00B9662D" w:rsidP="00B9662D">
      <w:pPr>
        <w:spacing w:before="120" w:after="120"/>
        <w:jc w:val="both"/>
      </w:pPr>
      <w:r w:rsidRPr="009C29C2">
        <w:rPr>
          <w:color w:val="000000"/>
          <w:lang w:eastAsia="fr-FR" w:bidi="fr-FR"/>
        </w:rPr>
        <w:t>Mais il arriva que le gaspillage des regains par la vaine pâture, pa</w:t>
      </w:r>
      <w:r w:rsidRPr="009C29C2">
        <w:rPr>
          <w:color w:val="000000"/>
          <w:lang w:eastAsia="fr-FR" w:bidi="fr-FR"/>
        </w:rPr>
        <w:t>r</w:t>
      </w:r>
      <w:r w:rsidRPr="009C29C2">
        <w:rPr>
          <w:color w:val="000000"/>
          <w:lang w:eastAsia="fr-FR" w:bidi="fr-FR"/>
        </w:rPr>
        <w:t>ticulièrement redoutable lorsque quelque accident avait fait manquer la première récolte, vînt à inquiéter les administrateurs. Cela, au moins dans les premiers temps, pour une raison d’ordre politique pl</w:t>
      </w:r>
      <w:r w:rsidRPr="009C29C2">
        <w:rPr>
          <w:color w:val="000000"/>
          <w:lang w:eastAsia="fr-FR" w:bidi="fr-FR"/>
        </w:rPr>
        <w:t>u</w:t>
      </w:r>
      <w:r w:rsidRPr="009C29C2">
        <w:rPr>
          <w:color w:val="000000"/>
          <w:lang w:eastAsia="fr-FR" w:bidi="fr-FR"/>
        </w:rPr>
        <w:t>tôt qu’économique : la disette de fourrages menaçait la cavalerie du roi. Expressément, en 1685 et 1714, les États de Bourgogne, suspe</w:t>
      </w:r>
      <w:r w:rsidRPr="009C29C2">
        <w:rPr>
          <w:color w:val="000000"/>
          <w:lang w:eastAsia="fr-FR" w:bidi="fr-FR"/>
        </w:rPr>
        <w:t>n</w:t>
      </w:r>
      <w:r w:rsidRPr="009C29C2">
        <w:rPr>
          <w:color w:val="000000"/>
          <w:lang w:eastAsia="fr-FR" w:bidi="fr-FR"/>
        </w:rPr>
        <w:t>dant pour l’année en cours la dépaissance jusqu’à la seconde herbe, invoquaient, à l’appui de leur décision, le séjour dans la province de nombreux escadrons</w:t>
      </w:r>
      <w:r>
        <w:rPr>
          <w:color w:val="000000"/>
          <w:lang w:eastAsia="fr-FR" w:bidi="fr-FR"/>
        </w:rPr>
        <w:t> </w:t>
      </w:r>
      <w:r>
        <w:rPr>
          <w:rStyle w:val="Appelnotedebasdep"/>
        </w:rPr>
        <w:footnoteReference w:id="103"/>
      </w:r>
      <w:r w:rsidRPr="009C29C2">
        <w:rPr>
          <w:color w:val="000000"/>
          <w:lang w:eastAsia="fr-FR" w:bidi="fr-FR"/>
        </w:rPr>
        <w:t>. Ailleurs le même motif, pour n’être pas ind</w:t>
      </w:r>
      <w:r w:rsidRPr="009C29C2">
        <w:rPr>
          <w:color w:val="000000"/>
          <w:lang w:eastAsia="fr-FR" w:bidi="fr-FR"/>
        </w:rPr>
        <w:t>i</w:t>
      </w:r>
      <w:r w:rsidRPr="009C29C2">
        <w:rPr>
          <w:color w:val="000000"/>
          <w:lang w:eastAsia="fr-FR" w:bidi="fr-FR"/>
        </w:rPr>
        <w:t>qué par les textes, n’en ressort pas moins clairement des faits eux-mêmes. Assurément, ce n’est pas un hasard si en Bourgogne encore, alors marche avancée du royaume, la plus ancienne ordonnance sur la protection des regains, prise en 1524 par le gouverneur Louis de la Trémouille, date de l’été qui précéda la campagne de Pavie</w:t>
      </w:r>
      <w:r>
        <w:rPr>
          <w:color w:val="000000"/>
          <w:lang w:eastAsia="fr-FR" w:bidi="fr-FR"/>
        </w:rPr>
        <w:t> </w:t>
      </w:r>
      <w:r>
        <w:rPr>
          <w:rStyle w:val="Appelnotedebasdep"/>
        </w:rPr>
        <w:footnoteReference w:id="104"/>
      </w:r>
      <w:r w:rsidRPr="009C29C2">
        <w:rPr>
          <w:color w:val="000000"/>
          <w:lang w:eastAsia="fr-FR" w:bidi="fr-FR"/>
        </w:rPr>
        <w:t>, ou si, au siècle suivant, l’édit le plus draconien qui ait jamais été rendu à ce sujet se trouve, de nouveau, concerner une province frontière et coï</w:t>
      </w:r>
      <w:r w:rsidRPr="009C29C2">
        <w:rPr>
          <w:color w:val="000000"/>
          <w:lang w:eastAsia="fr-FR" w:bidi="fr-FR"/>
        </w:rPr>
        <w:t>n</w:t>
      </w:r>
      <w:r w:rsidRPr="009C29C2">
        <w:rPr>
          <w:color w:val="000000"/>
          <w:lang w:eastAsia="fr-FR" w:bidi="fr-FR"/>
        </w:rPr>
        <w:t>cider avec de grands armements.</w:t>
      </w:r>
    </w:p>
    <w:p w14:paraId="6070187D" w14:textId="77777777" w:rsidR="00B9662D" w:rsidRPr="009C29C2" w:rsidRDefault="00B9662D" w:rsidP="00B9662D">
      <w:pPr>
        <w:spacing w:before="120" w:after="120"/>
        <w:jc w:val="both"/>
      </w:pPr>
      <w:r w:rsidRPr="009C29C2">
        <w:rPr>
          <w:color w:val="000000"/>
          <w:lang w:eastAsia="fr-FR" w:bidi="fr-FR"/>
        </w:rPr>
        <w:t>Le 1</w:t>
      </w:r>
      <w:r w:rsidRPr="009C29C2">
        <w:rPr>
          <w:color w:val="000000"/>
          <w:vertAlign w:val="superscript"/>
          <w:lang w:eastAsia="fr-FR" w:bidi="fr-FR"/>
        </w:rPr>
        <w:t>er</w:t>
      </w:r>
      <w:r w:rsidRPr="009C29C2">
        <w:rPr>
          <w:color w:val="000000"/>
          <w:lang w:eastAsia="fr-FR" w:bidi="fr-FR"/>
        </w:rPr>
        <w:t xml:space="preserve"> mars 1682, l’intendant d’Alsace, La Grange, proscrivit abs</w:t>
      </w:r>
      <w:r w:rsidRPr="009C29C2">
        <w:rPr>
          <w:color w:val="000000"/>
          <w:lang w:eastAsia="fr-FR" w:bidi="fr-FR"/>
        </w:rPr>
        <w:t>o</w:t>
      </w:r>
      <w:r w:rsidRPr="009C29C2">
        <w:rPr>
          <w:color w:val="000000"/>
          <w:lang w:eastAsia="fr-FR" w:bidi="fr-FR"/>
        </w:rPr>
        <w:t>lument, dans son ressort, la vaine pâture sur les prairies avant l’enlèvement de la seconde récolte. Ses successeurs, pendant la pr</w:t>
      </w:r>
      <w:r w:rsidRPr="009C29C2">
        <w:rPr>
          <w:color w:val="000000"/>
          <w:lang w:eastAsia="fr-FR" w:bidi="fr-FR"/>
        </w:rPr>
        <w:t>e</w:t>
      </w:r>
      <w:r w:rsidRPr="009C29C2">
        <w:rPr>
          <w:color w:val="000000"/>
          <w:lang w:eastAsia="fr-FR" w:bidi="fr-FR"/>
        </w:rPr>
        <w:t>mière moitié du siècle suivant, confirmèrent à plusieurs reprises cette ordonnance</w:t>
      </w:r>
      <w:r>
        <w:rPr>
          <w:color w:val="000000"/>
          <w:lang w:eastAsia="fr-FR" w:bidi="fr-FR"/>
        </w:rPr>
        <w:t> </w:t>
      </w:r>
      <w:r>
        <w:rPr>
          <w:rStyle w:val="Appelnotedebasdep"/>
        </w:rPr>
        <w:footnoteReference w:id="105"/>
      </w:r>
      <w:r w:rsidRPr="009C29C2">
        <w:rPr>
          <w:color w:val="000000"/>
          <w:lang w:eastAsia="fr-FR" w:bidi="fr-FR"/>
        </w:rPr>
        <w:t>.</w:t>
      </w:r>
    </w:p>
    <w:p w14:paraId="476850C5" w14:textId="77777777" w:rsidR="00B9662D" w:rsidRPr="009C29C2" w:rsidRDefault="00B9662D" w:rsidP="00B9662D">
      <w:pPr>
        <w:spacing w:before="120" w:after="120"/>
        <w:jc w:val="both"/>
      </w:pPr>
      <w:r>
        <w:rPr>
          <w:color w:val="000000"/>
          <w:lang w:eastAsia="fr-FR" w:bidi="fr-FR"/>
        </w:rPr>
        <w:t>[603]</w:t>
      </w:r>
    </w:p>
    <w:p w14:paraId="07EF7BD9" w14:textId="77777777" w:rsidR="00B9662D" w:rsidRPr="009C29C2" w:rsidRDefault="00B9662D" w:rsidP="00B9662D">
      <w:pPr>
        <w:spacing w:before="120" w:after="120"/>
        <w:jc w:val="both"/>
      </w:pPr>
      <w:r w:rsidRPr="009C29C2">
        <w:rPr>
          <w:color w:val="000000"/>
          <w:lang w:eastAsia="fr-FR" w:bidi="fr-FR"/>
        </w:rPr>
        <w:t>Malgré leurs efforts, elle ne paraît pas avoir jamais été fort bien observée. Les communautés ne s’y plièrent pas volontiers ; tirant pr</w:t>
      </w:r>
      <w:r w:rsidRPr="009C29C2">
        <w:rPr>
          <w:color w:val="000000"/>
          <w:lang w:eastAsia="fr-FR" w:bidi="fr-FR"/>
        </w:rPr>
        <w:t>o</w:t>
      </w:r>
      <w:r w:rsidRPr="009C29C2">
        <w:rPr>
          <w:color w:val="000000"/>
          <w:lang w:eastAsia="fr-FR" w:bidi="fr-FR"/>
        </w:rPr>
        <w:t>fit de l’antagonisme qui divisait les pouvoirs publics, elles traduisaient les propriétaires, qui défendaient leurs prés, devant les tribunaux ord</w:t>
      </w:r>
      <w:r w:rsidRPr="009C29C2">
        <w:rPr>
          <w:color w:val="000000"/>
          <w:lang w:eastAsia="fr-FR" w:bidi="fr-FR"/>
        </w:rPr>
        <w:t>i</w:t>
      </w:r>
      <w:r w:rsidRPr="009C29C2">
        <w:rPr>
          <w:color w:val="000000"/>
          <w:lang w:eastAsia="fr-FR" w:bidi="fr-FR"/>
        </w:rPr>
        <w:lastRenderedPageBreak/>
        <w:t>naires et obtenaient gain de cause. Il fallut, pour remédier à ce déso</w:t>
      </w:r>
      <w:r w:rsidRPr="009C29C2">
        <w:rPr>
          <w:color w:val="000000"/>
          <w:lang w:eastAsia="fr-FR" w:bidi="fr-FR"/>
        </w:rPr>
        <w:t>r</w:t>
      </w:r>
      <w:r w:rsidRPr="009C29C2">
        <w:rPr>
          <w:color w:val="000000"/>
          <w:lang w:eastAsia="fr-FR" w:bidi="fr-FR"/>
        </w:rPr>
        <w:t>dre, qu’un arrêt du Conseil, le 25 avril 1727, réservât à l’intendant lui-même le jugement de « toutes contestations nées et à naître sur le fait du règlement dudit sieur La Grange</w:t>
      </w:r>
      <w:r>
        <w:rPr>
          <w:color w:val="000000"/>
          <w:lang w:eastAsia="fr-FR" w:bidi="fr-FR"/>
        </w:rPr>
        <w:t> » </w:t>
      </w:r>
      <w:r>
        <w:rPr>
          <w:rStyle w:val="Appelnotedebasdep"/>
        </w:rPr>
        <w:footnoteReference w:id="106"/>
      </w:r>
      <w:r w:rsidRPr="009C29C2">
        <w:rPr>
          <w:color w:val="000000"/>
          <w:lang w:eastAsia="fr-FR" w:bidi="fr-FR"/>
        </w:rPr>
        <w:t>. Encore y eut-il, par la suite, bien des dérogations, autorisées</w:t>
      </w:r>
      <w:r>
        <w:rPr>
          <w:color w:val="000000"/>
          <w:lang w:eastAsia="fr-FR" w:bidi="fr-FR"/>
        </w:rPr>
        <w:t> </w:t>
      </w:r>
      <w:r>
        <w:rPr>
          <w:rStyle w:val="Appelnotedebasdep"/>
        </w:rPr>
        <w:footnoteReference w:id="107"/>
      </w:r>
      <w:r w:rsidRPr="009C29C2">
        <w:rPr>
          <w:color w:val="000000"/>
          <w:lang w:eastAsia="fr-FR" w:bidi="fr-FR"/>
        </w:rPr>
        <w:t xml:space="preserve"> ou non</w:t>
      </w:r>
      <w:r>
        <w:rPr>
          <w:color w:val="000000"/>
          <w:lang w:eastAsia="fr-FR" w:bidi="fr-FR"/>
        </w:rPr>
        <w:t> </w:t>
      </w:r>
      <w:r>
        <w:rPr>
          <w:rStyle w:val="Appelnotedebasdep"/>
        </w:rPr>
        <w:footnoteReference w:id="108"/>
      </w:r>
      <w:r w:rsidRPr="009C29C2">
        <w:rPr>
          <w:color w:val="000000"/>
          <w:lang w:eastAsia="fr-FR" w:bidi="fr-FR"/>
        </w:rPr>
        <w:t>.</w:t>
      </w:r>
    </w:p>
    <w:p w14:paraId="096EE4FD" w14:textId="77777777" w:rsidR="00B9662D" w:rsidRPr="009C29C2" w:rsidRDefault="00B9662D" w:rsidP="00B9662D">
      <w:pPr>
        <w:spacing w:before="120" w:after="120"/>
        <w:jc w:val="both"/>
      </w:pPr>
      <w:r w:rsidRPr="009C29C2">
        <w:rPr>
          <w:color w:val="000000"/>
          <w:lang w:eastAsia="fr-FR" w:bidi="fr-FR"/>
        </w:rPr>
        <w:t>Le tort de La Grange avait été de se montrer trop radical. Suscitée à la fois par les préoccupations des dirigeants et les intérêts des pr</w:t>
      </w:r>
      <w:r w:rsidRPr="009C29C2">
        <w:rPr>
          <w:color w:val="000000"/>
          <w:lang w:eastAsia="fr-FR" w:bidi="fr-FR"/>
        </w:rPr>
        <w:t>o</w:t>
      </w:r>
      <w:r w:rsidRPr="009C29C2">
        <w:rPr>
          <w:color w:val="000000"/>
          <w:lang w:eastAsia="fr-FR" w:bidi="fr-FR"/>
        </w:rPr>
        <w:t xml:space="preserve">priétaires, soutenue,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par un souci croissant de la pr</w:t>
      </w:r>
      <w:r w:rsidRPr="009C29C2">
        <w:rPr>
          <w:color w:val="000000"/>
          <w:lang w:eastAsia="fr-FR" w:bidi="fr-FR"/>
        </w:rPr>
        <w:t>o</w:t>
      </w:r>
      <w:r w:rsidRPr="009C29C2">
        <w:rPr>
          <w:color w:val="000000"/>
          <w:lang w:eastAsia="fr-FR" w:bidi="fr-FR"/>
        </w:rPr>
        <w:t>duction et un goût d’individualisme de plus en plus vif, la campagne pour les regains se fit, dans le reste de la France, plus modérée, plus insidieuse, et, par là, plus efficace. Dans un grand nombre de provi</w:t>
      </w:r>
      <w:r w:rsidRPr="009C29C2">
        <w:rPr>
          <w:color w:val="000000"/>
          <w:lang w:eastAsia="fr-FR" w:bidi="fr-FR"/>
        </w:rPr>
        <w:t>n</w:t>
      </w:r>
      <w:r w:rsidRPr="009C29C2">
        <w:rPr>
          <w:color w:val="000000"/>
          <w:lang w:eastAsia="fr-FR" w:bidi="fr-FR"/>
        </w:rPr>
        <w:t>ces</w:t>
      </w:r>
      <w:r>
        <w:rPr>
          <w:color w:val="000000"/>
          <w:lang w:eastAsia="fr-FR" w:bidi="fr-FR"/>
        </w:rPr>
        <w:t> — </w:t>
      </w:r>
      <w:r w:rsidRPr="009C29C2">
        <w:rPr>
          <w:color w:val="000000"/>
          <w:lang w:eastAsia="fr-FR" w:bidi="fr-FR"/>
        </w:rPr>
        <w:t>Champagne, Picardie, Lorraine et Trois-Évêchés, Bour</w:t>
      </w:r>
      <w:r>
        <w:rPr>
          <w:color w:val="000000"/>
          <w:lang w:eastAsia="fr-FR" w:bidi="fr-FR"/>
        </w:rPr>
        <w:t>gogne et Bresse, Franche-Comté,</w:t>
      </w:r>
      <w:r w:rsidRPr="009C29C2">
        <w:rPr>
          <w:color w:val="000000"/>
          <w:lang w:eastAsia="fr-FR" w:bidi="fr-FR"/>
        </w:rPr>
        <w:t xml:space="preserve"> Berry, Auvergne, Toulousain, Béarn,</w:t>
      </w:r>
      <w:r>
        <w:rPr>
          <w:color w:val="000000"/>
          <w:lang w:eastAsia="fr-FR" w:bidi="fr-FR"/>
        </w:rPr>
        <w:t> — </w:t>
      </w:r>
      <w:r w:rsidRPr="009C29C2">
        <w:rPr>
          <w:color w:val="000000"/>
          <w:lang w:eastAsia="fr-FR" w:bidi="fr-FR"/>
        </w:rPr>
        <w:t xml:space="preserve">dès le </w:t>
      </w:r>
      <w:r w:rsidRPr="0097236F">
        <w:rPr>
          <w:caps/>
          <w:color w:val="000000"/>
          <w:lang w:eastAsia="fr-FR" w:bidi="fr-FR"/>
        </w:rPr>
        <w:t>xvi</w:t>
      </w:r>
      <w:r w:rsidRPr="009C29C2">
        <w:rPr>
          <w:color w:val="000000"/>
          <w:vertAlign w:val="superscript"/>
          <w:lang w:eastAsia="fr-FR" w:bidi="fr-FR"/>
        </w:rPr>
        <w:t>e</w:t>
      </w:r>
      <w:r w:rsidRPr="009C29C2">
        <w:rPr>
          <w:color w:val="000000"/>
          <w:lang w:eastAsia="fr-FR" w:bidi="fr-FR"/>
        </w:rPr>
        <w:t xml:space="preserve"> et le </w:t>
      </w:r>
      <w:r>
        <w:rPr>
          <w:color w:val="000000"/>
          <w:lang w:eastAsia="fr-FR" w:bidi="fr-FR"/>
        </w:rPr>
        <w:t>XVII</w:t>
      </w:r>
      <w:r w:rsidRPr="009C29C2">
        <w:rPr>
          <w:color w:val="000000"/>
          <w:vertAlign w:val="superscript"/>
          <w:lang w:eastAsia="fr-FR" w:bidi="fr-FR"/>
        </w:rPr>
        <w:t>e</w:t>
      </w:r>
      <w:r>
        <w:rPr>
          <w:color w:val="000000"/>
          <w:lang w:eastAsia="fr-FR" w:bidi="fr-FR"/>
        </w:rPr>
        <w:t xml:space="preserve"> siècle,</w:t>
      </w:r>
      <w:r w:rsidRPr="009C29C2">
        <w:rPr>
          <w:color w:val="000000"/>
          <w:lang w:eastAsia="fr-FR" w:bidi="fr-FR"/>
        </w:rPr>
        <w:t xml:space="preserve"> mais surtout à partir de 1730 ou environ, on vit se succéder une série de dispositions temporaires par où, chaque fois qu’il y avait eu sécheresse, gelée, ou inondations, la vaine pâture sur les prés avant la seconde herbe était, sinon toujours abolie, du moins restreinte l’année durant. Quelquefois, le règlement était pris par l’intendant</w:t>
      </w:r>
      <w:r>
        <w:rPr>
          <w:color w:val="000000"/>
          <w:lang w:eastAsia="fr-FR" w:bidi="fr-FR"/>
        </w:rPr>
        <w:t> </w:t>
      </w:r>
      <w:r>
        <w:rPr>
          <w:rStyle w:val="Appelnotedebasdep"/>
        </w:rPr>
        <w:footnoteReference w:id="109"/>
      </w:r>
      <w:r w:rsidRPr="009C29C2">
        <w:rPr>
          <w:color w:val="000000"/>
          <w:lang w:eastAsia="fr-FR" w:bidi="fr-FR"/>
        </w:rPr>
        <w:t>. Ailleurs, par un tribunal de bailliage</w:t>
      </w:r>
      <w:r>
        <w:rPr>
          <w:color w:val="000000"/>
          <w:lang w:eastAsia="fr-FR" w:bidi="fr-FR"/>
        </w:rPr>
        <w:t> </w:t>
      </w:r>
      <w:r>
        <w:rPr>
          <w:rStyle w:val="Appelnotedebasdep"/>
        </w:rPr>
        <w:footnoteReference w:id="110"/>
      </w:r>
      <w:r w:rsidRPr="009C29C2">
        <w:rPr>
          <w:color w:val="000000"/>
          <w:lang w:eastAsia="fr-FR" w:bidi="fr-FR"/>
        </w:rPr>
        <w:t>. Ou bien le Parlement se chargeait de ce soin : tel fut le cas, très régu</w:t>
      </w:r>
      <w:r w:rsidRPr="009C29C2">
        <w:rPr>
          <w:color w:val="000000"/>
          <w:lang w:eastAsia="fr-FR" w:bidi="fr-FR"/>
        </w:rPr>
        <w:lastRenderedPageBreak/>
        <w:t>lièrement, dans les Trois-Évêchés</w:t>
      </w:r>
      <w:r>
        <w:rPr>
          <w:color w:val="000000"/>
          <w:lang w:eastAsia="fr-FR" w:bidi="fr-FR"/>
        </w:rPr>
        <w:t> </w:t>
      </w:r>
      <w:r>
        <w:rPr>
          <w:rStyle w:val="Appelnotedebasdep"/>
        </w:rPr>
        <w:footnoteReference w:id="111"/>
      </w:r>
      <w:r w:rsidRPr="009C29C2">
        <w:rPr>
          <w:color w:val="000000"/>
          <w:lang w:eastAsia="fr-FR" w:bidi="fr-FR"/>
        </w:rPr>
        <w:t>, en Béarn</w:t>
      </w:r>
      <w:r>
        <w:rPr>
          <w:color w:val="000000"/>
          <w:lang w:eastAsia="fr-FR" w:bidi="fr-FR"/>
        </w:rPr>
        <w:t> </w:t>
      </w:r>
      <w:r>
        <w:rPr>
          <w:rStyle w:val="Appelnotedebasdep"/>
        </w:rPr>
        <w:footnoteReference w:id="112"/>
      </w:r>
      <w:r>
        <w:rPr>
          <w:color w:val="000000"/>
          <w:lang w:eastAsia="fr-FR" w:bidi="fr-FR"/>
        </w:rPr>
        <w:t>, en Franche-</w:t>
      </w:r>
      <w:r w:rsidRPr="009C29C2">
        <w:rPr>
          <w:color w:val="000000"/>
          <w:lang w:eastAsia="fr-FR" w:bidi="fr-FR"/>
        </w:rPr>
        <w:t>Comté</w:t>
      </w:r>
      <w:r>
        <w:rPr>
          <w:color w:val="000000"/>
          <w:lang w:eastAsia="fr-FR" w:bidi="fr-FR"/>
        </w:rPr>
        <w:t> </w:t>
      </w:r>
      <w:r>
        <w:rPr>
          <w:rStyle w:val="Appelnotedebasdep"/>
        </w:rPr>
        <w:footnoteReference w:id="113"/>
      </w:r>
      <w:r w:rsidRPr="009C29C2">
        <w:rPr>
          <w:color w:val="000000"/>
          <w:lang w:eastAsia="fr-FR" w:bidi="fr-FR"/>
        </w:rPr>
        <w:t>, en Bourg</w:t>
      </w:r>
      <w:r w:rsidRPr="009C29C2">
        <w:rPr>
          <w:color w:val="000000"/>
          <w:lang w:eastAsia="fr-FR" w:bidi="fr-FR"/>
        </w:rPr>
        <w:t>o</w:t>
      </w:r>
      <w:r w:rsidRPr="009C29C2">
        <w:rPr>
          <w:color w:val="000000"/>
          <w:lang w:eastAsia="fr-FR" w:bidi="fr-FR"/>
        </w:rPr>
        <w:t>gne</w:t>
      </w:r>
      <w:r>
        <w:rPr>
          <w:color w:val="000000"/>
          <w:lang w:eastAsia="fr-FR" w:bidi="fr-FR"/>
        </w:rPr>
        <w:t> </w:t>
      </w:r>
      <w:r>
        <w:rPr>
          <w:rStyle w:val="Appelnotedebasdep"/>
        </w:rPr>
        <w:footnoteReference w:id="114"/>
      </w:r>
      <w:r w:rsidRPr="009C29C2">
        <w:rPr>
          <w:color w:val="000000"/>
          <w:lang w:eastAsia="fr-FR" w:bidi="fr-FR"/>
        </w:rPr>
        <w:t> ; mais dans cette dernière province, la Cour agissait général</w:t>
      </w:r>
      <w:r w:rsidRPr="009C29C2">
        <w:rPr>
          <w:color w:val="000000"/>
          <w:lang w:eastAsia="fr-FR" w:bidi="fr-FR"/>
        </w:rPr>
        <w:t>e</w:t>
      </w:r>
      <w:r w:rsidRPr="009C29C2">
        <w:rPr>
          <w:color w:val="000000"/>
          <w:lang w:eastAsia="fr-FR" w:bidi="fr-FR"/>
        </w:rPr>
        <w:t>ment sur l’initiative des États. Naturellement, l’incertitude des comp</w:t>
      </w:r>
      <w:r w:rsidRPr="009C29C2">
        <w:rPr>
          <w:color w:val="000000"/>
          <w:lang w:eastAsia="fr-FR" w:bidi="fr-FR"/>
        </w:rPr>
        <w:t>é</w:t>
      </w:r>
      <w:r w:rsidRPr="009C29C2">
        <w:rPr>
          <w:color w:val="000000"/>
          <w:lang w:eastAsia="fr-FR" w:bidi="fr-FR"/>
        </w:rPr>
        <w:t>tences donnait lieu aux incidents habituels. Dans le pays de Langr</w:t>
      </w:r>
      <w:r>
        <w:rPr>
          <w:color w:val="000000"/>
          <w:lang w:eastAsia="fr-FR" w:bidi="fr-FR"/>
        </w:rPr>
        <w:t>e</w:t>
      </w:r>
      <w:r w:rsidRPr="009C29C2">
        <w:rPr>
          <w:color w:val="000000"/>
          <w:lang w:eastAsia="fr-FR" w:bidi="fr-FR"/>
        </w:rPr>
        <w:t>s,</w:t>
      </w:r>
      <w:r>
        <w:t xml:space="preserve"> </w:t>
      </w:r>
      <w:r>
        <w:rPr>
          <w:color w:val="000000"/>
          <w:lang w:eastAsia="fr-FR" w:bidi="fr-FR"/>
        </w:rPr>
        <w:t>[604]</w:t>
      </w:r>
      <w:r w:rsidRPr="009C29C2">
        <w:rPr>
          <w:color w:val="000000"/>
          <w:lang w:eastAsia="fr-FR" w:bidi="fr-FR"/>
        </w:rPr>
        <w:t xml:space="preserve"> intendant et bailliage luttaient de vitesse à qui établirait le pr</w:t>
      </w:r>
      <w:r w:rsidRPr="009C29C2">
        <w:rPr>
          <w:color w:val="000000"/>
          <w:lang w:eastAsia="fr-FR" w:bidi="fr-FR"/>
        </w:rPr>
        <w:t>e</w:t>
      </w:r>
      <w:r w:rsidRPr="009C29C2">
        <w:rPr>
          <w:color w:val="000000"/>
          <w:lang w:eastAsia="fr-FR" w:bidi="fr-FR"/>
        </w:rPr>
        <w:t>mier son ordonnance et parfois promulguaient, la même année, des déclarations contradictoires</w:t>
      </w:r>
      <w:r>
        <w:rPr>
          <w:color w:val="000000"/>
          <w:lang w:eastAsia="fr-FR" w:bidi="fr-FR"/>
        </w:rPr>
        <w:t> </w:t>
      </w:r>
      <w:r>
        <w:rPr>
          <w:rStyle w:val="Appelnotedebasdep"/>
        </w:rPr>
        <w:footnoteReference w:id="115"/>
      </w:r>
      <w:r w:rsidRPr="009C29C2">
        <w:rPr>
          <w:color w:val="000000"/>
          <w:lang w:eastAsia="fr-FR" w:bidi="fr-FR"/>
        </w:rPr>
        <w:t xml:space="preserve">. C’est en Lorraine qu’éclata le conflit le plus grave. Depuis le début du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les ducs y avaient rendu, de temps à autre, des édits protégeant les regains</w:t>
      </w:r>
      <w:r>
        <w:rPr>
          <w:color w:val="000000"/>
          <w:lang w:eastAsia="fr-FR" w:bidi="fr-FR"/>
        </w:rPr>
        <w:t> </w:t>
      </w:r>
      <w:r>
        <w:rPr>
          <w:rStyle w:val="Appelnotedebasdep"/>
        </w:rPr>
        <w:footnoteReference w:id="116"/>
      </w:r>
      <w:r w:rsidRPr="009C29C2">
        <w:rPr>
          <w:color w:val="000000"/>
          <w:lang w:eastAsia="fr-FR" w:bidi="fr-FR"/>
        </w:rPr>
        <w:t> ; dès le règne de Stanislas, souverain d’apparence, plutôt que de fait, deux pouvoirs prétendirent à leur succéder, dans cette attribution : d’un c</w:t>
      </w:r>
      <w:r w:rsidRPr="009C29C2">
        <w:rPr>
          <w:color w:val="000000"/>
          <w:lang w:eastAsia="fr-FR" w:bidi="fr-FR"/>
        </w:rPr>
        <w:t>ô</w:t>
      </w:r>
      <w:r w:rsidRPr="009C29C2">
        <w:rPr>
          <w:color w:val="000000"/>
          <w:lang w:eastAsia="fr-FR" w:bidi="fr-FR"/>
        </w:rPr>
        <w:t>té, la Cour, qui, sous le régime français, deviendra Parlement, de l’autre le cha</w:t>
      </w:r>
      <w:r w:rsidRPr="009C29C2">
        <w:rPr>
          <w:color w:val="000000"/>
          <w:lang w:eastAsia="fr-FR" w:bidi="fr-FR"/>
        </w:rPr>
        <w:t>n</w:t>
      </w:r>
      <w:r w:rsidRPr="009C29C2">
        <w:rPr>
          <w:color w:val="000000"/>
          <w:lang w:eastAsia="fr-FR" w:bidi="fr-FR"/>
        </w:rPr>
        <w:t>celier Chaumont de La Galaizière, et son fils l’intendant, détestés des magistrats et de la noblesse indigène. En 1762, à un jour d’intervalle, deux règlements presque semblables f</w:t>
      </w:r>
      <w:r w:rsidRPr="009C29C2">
        <w:rPr>
          <w:color w:val="000000"/>
          <w:lang w:eastAsia="fr-FR" w:bidi="fr-FR"/>
        </w:rPr>
        <w:t>u</w:t>
      </w:r>
      <w:r w:rsidRPr="009C29C2">
        <w:rPr>
          <w:color w:val="000000"/>
          <w:lang w:eastAsia="fr-FR" w:bidi="fr-FR"/>
        </w:rPr>
        <w:t xml:space="preserve">rent publiés, de part et d’autre ; la Cour cassa celui de l’intendant, vit son propre arrêt cassé à son tour par le Conseil d’État du roi-duc et </w:t>
      </w:r>
      <w:r w:rsidRPr="009C29C2">
        <w:rPr>
          <w:color w:val="000000"/>
          <w:lang w:eastAsia="fr-FR" w:bidi="fr-FR"/>
        </w:rPr>
        <w:lastRenderedPageBreak/>
        <w:t>refusa de s’incliner</w:t>
      </w:r>
      <w:r>
        <w:rPr>
          <w:color w:val="000000"/>
          <w:lang w:eastAsia="fr-FR" w:bidi="fr-FR"/>
        </w:rPr>
        <w:t> </w:t>
      </w:r>
      <w:r>
        <w:rPr>
          <w:rStyle w:val="Appelnotedebasdep"/>
        </w:rPr>
        <w:footnoteReference w:id="117"/>
      </w:r>
      <w:r w:rsidRPr="009C29C2">
        <w:rPr>
          <w:color w:val="000000"/>
          <w:lang w:eastAsia="fr-FR" w:bidi="fr-FR"/>
        </w:rPr>
        <w:t>. En fait, après l’annexion, elle l’emporta ; d</w:t>
      </w:r>
      <w:r w:rsidRPr="009C29C2">
        <w:rPr>
          <w:color w:val="000000"/>
          <w:lang w:eastAsia="fr-FR" w:bidi="fr-FR"/>
        </w:rPr>
        <w:t>é</w:t>
      </w:r>
      <w:r w:rsidRPr="009C29C2">
        <w:rPr>
          <w:color w:val="000000"/>
          <w:lang w:eastAsia="fr-FR" w:bidi="fr-FR"/>
        </w:rPr>
        <w:t>sormais c’est à elle, comme dans la plus grande partie du royaume, à ses sœurs, que revint cet important dépa</w:t>
      </w:r>
      <w:r w:rsidRPr="009C29C2">
        <w:rPr>
          <w:color w:val="000000"/>
          <w:lang w:eastAsia="fr-FR" w:bidi="fr-FR"/>
        </w:rPr>
        <w:t>r</w:t>
      </w:r>
      <w:r w:rsidRPr="009C29C2">
        <w:rPr>
          <w:color w:val="000000"/>
          <w:lang w:eastAsia="fr-FR" w:bidi="fr-FR"/>
        </w:rPr>
        <w:t>tement de la police rurale</w:t>
      </w:r>
      <w:r>
        <w:rPr>
          <w:color w:val="000000"/>
          <w:lang w:eastAsia="fr-FR" w:bidi="fr-FR"/>
        </w:rPr>
        <w:t> </w:t>
      </w:r>
      <w:r>
        <w:rPr>
          <w:rStyle w:val="Appelnotedebasdep"/>
        </w:rPr>
        <w:footnoteReference w:id="118"/>
      </w:r>
      <w:r w:rsidRPr="009C29C2">
        <w:rPr>
          <w:color w:val="000000"/>
          <w:lang w:eastAsia="fr-FR" w:bidi="fr-FR"/>
        </w:rPr>
        <w:t> : témoignage frappant de la force que conservaient encore, en dépit de la centralisation administrative, les vieux pouvoirs régionaux. Quant au gouvernement de la monarchie, en tout ceci, il se contentait génér</w:t>
      </w:r>
      <w:r w:rsidRPr="009C29C2">
        <w:rPr>
          <w:color w:val="000000"/>
          <w:lang w:eastAsia="fr-FR" w:bidi="fr-FR"/>
        </w:rPr>
        <w:t>a</w:t>
      </w:r>
      <w:r w:rsidRPr="009C29C2">
        <w:rPr>
          <w:color w:val="000000"/>
          <w:lang w:eastAsia="fr-FR" w:bidi="fr-FR"/>
        </w:rPr>
        <w:t>lement d’approuver les mesures locales ; parfois</w:t>
      </w:r>
      <w:r>
        <w:rPr>
          <w:color w:val="000000"/>
          <w:lang w:eastAsia="fr-FR" w:bidi="fr-FR"/>
        </w:rPr>
        <w:t> — </w:t>
      </w:r>
      <w:r w:rsidRPr="009C29C2">
        <w:rPr>
          <w:color w:val="000000"/>
          <w:lang w:eastAsia="fr-FR" w:bidi="fr-FR"/>
        </w:rPr>
        <w:t>comme fit Orry, en 1731</w:t>
      </w:r>
      <w:r>
        <w:rPr>
          <w:color w:val="000000"/>
          <w:lang w:eastAsia="fr-FR" w:bidi="fr-FR"/>
        </w:rPr>
        <w:t> — </w:t>
      </w:r>
      <w:r w:rsidRPr="009C29C2">
        <w:rPr>
          <w:color w:val="000000"/>
          <w:lang w:eastAsia="fr-FR" w:bidi="fr-FR"/>
        </w:rPr>
        <w:t>il les conseillait</w:t>
      </w:r>
      <w:r>
        <w:rPr>
          <w:color w:val="000000"/>
          <w:lang w:eastAsia="fr-FR" w:bidi="fr-FR"/>
        </w:rPr>
        <w:t> </w:t>
      </w:r>
      <w:r>
        <w:rPr>
          <w:rStyle w:val="Appelnotedebasdep"/>
        </w:rPr>
        <w:footnoteReference w:id="119"/>
      </w:r>
      <w:r w:rsidRPr="009C29C2">
        <w:rPr>
          <w:color w:val="000000"/>
          <w:lang w:eastAsia="fr-FR" w:bidi="fr-FR"/>
        </w:rPr>
        <w:t>. Mais, sagement, les ministres refusèrent toujours de se laisser entra</w:t>
      </w:r>
      <w:r w:rsidRPr="009C29C2">
        <w:rPr>
          <w:color w:val="000000"/>
          <w:lang w:eastAsia="fr-FR" w:bidi="fr-FR"/>
        </w:rPr>
        <w:t>î</w:t>
      </w:r>
      <w:r w:rsidRPr="009C29C2">
        <w:rPr>
          <w:color w:val="000000"/>
          <w:lang w:eastAsia="fr-FR" w:bidi="fr-FR"/>
        </w:rPr>
        <w:t>ner à donner un édit commun au royaume entier</w:t>
      </w:r>
      <w:r>
        <w:rPr>
          <w:color w:val="000000"/>
          <w:lang w:eastAsia="fr-FR" w:bidi="fr-FR"/>
        </w:rPr>
        <w:t> </w:t>
      </w:r>
      <w:r>
        <w:rPr>
          <w:rStyle w:val="Appelnotedebasdep"/>
        </w:rPr>
        <w:footnoteReference w:id="120"/>
      </w:r>
      <w:r w:rsidRPr="009C29C2">
        <w:rPr>
          <w:color w:val="000000"/>
          <w:lang w:eastAsia="fr-FR" w:bidi="fr-FR"/>
        </w:rPr>
        <w:t>. Ils préféraient s’en remettre à des autorités mieux placées pour apprécier les besoins des diverses contrées et pour calculer le danger des résistances possibles. Déjà ces décisions particulières, qui déplaisaient « au petit peuple », ne troublaient que trop les villages</w:t>
      </w:r>
      <w:r>
        <w:rPr>
          <w:color w:val="000000"/>
          <w:lang w:eastAsia="fr-FR" w:bidi="fr-FR"/>
        </w:rPr>
        <w:t> </w:t>
      </w:r>
      <w:r>
        <w:rPr>
          <w:rStyle w:val="Appelnotedebasdep"/>
        </w:rPr>
        <w:footnoteReference w:id="121"/>
      </w:r>
      <w:r>
        <w:rPr>
          <w:color w:val="000000"/>
          <w:lang w:eastAsia="fr-FR" w:bidi="fr-FR"/>
        </w:rPr>
        <w:t>.</w:t>
      </w:r>
    </w:p>
    <w:p w14:paraId="7E537760" w14:textId="77777777" w:rsidR="00B9662D" w:rsidRPr="009C29C2" w:rsidRDefault="00B9662D" w:rsidP="00B9662D">
      <w:pPr>
        <w:spacing w:before="120" w:after="120"/>
        <w:jc w:val="both"/>
      </w:pPr>
      <w:r>
        <w:rPr>
          <w:color w:val="000000"/>
          <w:lang w:eastAsia="fr-FR" w:bidi="fr-FR"/>
        </w:rPr>
        <w:t>À</w:t>
      </w:r>
      <w:r w:rsidRPr="009C29C2">
        <w:rPr>
          <w:color w:val="000000"/>
          <w:lang w:eastAsia="fr-FR" w:bidi="fr-FR"/>
        </w:rPr>
        <w:t xml:space="preserve"> dire vrai, dans les premiers temps, elles se bornaient, le plus souvent, à permettre aux communautés, si tel était leur désir, la mise en réserves de tout ou partie des regains, ou, lorsqu’elles allaient ju</w:t>
      </w:r>
      <w:r w:rsidRPr="009C29C2">
        <w:rPr>
          <w:color w:val="000000"/>
          <w:lang w:eastAsia="fr-FR" w:bidi="fr-FR"/>
        </w:rPr>
        <w:t>s</w:t>
      </w:r>
      <w:r w:rsidRPr="009C29C2">
        <w:rPr>
          <w:color w:val="000000"/>
          <w:lang w:eastAsia="fr-FR" w:bidi="fr-FR"/>
        </w:rPr>
        <w:t xml:space="preserve">qu’à prescrire celle-ci, ne l’imposaient, à l’ordinaire, que pour une fraction de chaque terroir. Dans la seconde moitié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cependant, elles se firent de plus en plus volontiers impératives et os</w:t>
      </w:r>
      <w:r w:rsidRPr="009C29C2">
        <w:rPr>
          <w:color w:val="000000"/>
          <w:lang w:eastAsia="fr-FR" w:bidi="fr-FR"/>
        </w:rPr>
        <w:t>è</w:t>
      </w:r>
      <w:r w:rsidRPr="009C29C2">
        <w:rPr>
          <w:color w:val="000000"/>
          <w:lang w:eastAsia="fr-FR" w:bidi="fr-FR"/>
        </w:rPr>
        <w:t>rent, de plus en plus fréquemment, étendre leur protection, sans e</w:t>
      </w:r>
      <w:r w:rsidRPr="009C29C2">
        <w:rPr>
          <w:color w:val="000000"/>
          <w:lang w:eastAsia="fr-FR" w:bidi="fr-FR"/>
        </w:rPr>
        <w:t>x</w:t>
      </w:r>
      <w:r w:rsidRPr="009C29C2">
        <w:rPr>
          <w:color w:val="000000"/>
          <w:lang w:eastAsia="fr-FR" w:bidi="fr-FR"/>
        </w:rPr>
        <w:t xml:space="preserve">ceptions, à tout l’ensemble des prés. En même temps, elles prenaient une régularité et une continuité nouvelles. Les plus anciens règlements </w:t>
      </w:r>
      <w:r w:rsidRPr="009C29C2">
        <w:rPr>
          <w:color w:val="000000"/>
          <w:lang w:eastAsia="fr-FR" w:bidi="fr-FR"/>
        </w:rPr>
        <w:lastRenderedPageBreak/>
        <w:t>s’étaient succédé</w:t>
      </w:r>
      <w:r>
        <w:rPr>
          <w:color w:val="000000"/>
          <w:lang w:eastAsia="fr-FR" w:bidi="fr-FR"/>
        </w:rPr>
        <w:t xml:space="preserve"> [605] </w:t>
      </w:r>
      <w:r w:rsidRPr="009C29C2">
        <w:rPr>
          <w:color w:val="000000"/>
          <w:lang w:eastAsia="fr-FR" w:bidi="fr-FR"/>
        </w:rPr>
        <w:t>à longs intervalles. On s’habitua à y avoir r</w:t>
      </w:r>
      <w:r w:rsidRPr="009C29C2">
        <w:rPr>
          <w:color w:val="000000"/>
          <w:lang w:eastAsia="fr-FR" w:bidi="fr-FR"/>
        </w:rPr>
        <w:t>e</w:t>
      </w:r>
      <w:r w:rsidRPr="009C29C2">
        <w:rPr>
          <w:color w:val="000000"/>
          <w:lang w:eastAsia="fr-FR" w:bidi="fr-FR"/>
        </w:rPr>
        <w:t>cours à époques de plus en plus rapprochées, au moindre prétexte, voire même en dehors de tout prétexte. En Béarn, dès 1739, on con</w:t>
      </w:r>
      <w:r w:rsidRPr="009C29C2">
        <w:rPr>
          <w:color w:val="000000"/>
          <w:lang w:eastAsia="fr-FR" w:bidi="fr-FR"/>
        </w:rPr>
        <w:t>s</w:t>
      </w:r>
      <w:r w:rsidRPr="009C29C2">
        <w:rPr>
          <w:color w:val="000000"/>
          <w:lang w:eastAsia="fr-FR" w:bidi="fr-FR"/>
        </w:rPr>
        <w:t>tatait que les arrêts du Parlement de Pau se rendaient « chaque a</w:t>
      </w:r>
      <w:r w:rsidRPr="009C29C2">
        <w:rPr>
          <w:color w:val="000000"/>
          <w:lang w:eastAsia="fr-FR" w:bidi="fr-FR"/>
        </w:rPr>
        <w:t>n</w:t>
      </w:r>
      <w:r w:rsidRPr="009C29C2">
        <w:rPr>
          <w:color w:val="000000"/>
          <w:lang w:eastAsia="fr-FR" w:bidi="fr-FR"/>
        </w:rPr>
        <w:t>née »</w:t>
      </w:r>
      <w:r>
        <w:rPr>
          <w:color w:val="000000"/>
          <w:lang w:eastAsia="fr-FR" w:bidi="fr-FR"/>
        </w:rPr>
        <w:t>. </w:t>
      </w:r>
      <w:r>
        <w:rPr>
          <w:rStyle w:val="Appelnotedebasdep"/>
        </w:rPr>
        <w:footnoteReference w:id="122"/>
      </w:r>
      <w:r w:rsidRPr="009C29C2">
        <w:rPr>
          <w:color w:val="000000"/>
          <w:lang w:eastAsia="fr-FR" w:bidi="fr-FR"/>
        </w:rPr>
        <w:t xml:space="preserve"> De même, en Franche-Comté, de 1779 à 1787, ceux par le</w:t>
      </w:r>
      <w:r w:rsidRPr="009C29C2">
        <w:rPr>
          <w:color w:val="000000"/>
          <w:lang w:eastAsia="fr-FR" w:bidi="fr-FR"/>
        </w:rPr>
        <w:t>s</w:t>
      </w:r>
      <w:r w:rsidRPr="009C29C2">
        <w:rPr>
          <w:color w:val="000000"/>
          <w:lang w:eastAsia="fr-FR" w:bidi="fr-FR"/>
        </w:rPr>
        <w:t>quels la Cour ordonnait, ch</w:t>
      </w:r>
      <w:r w:rsidRPr="009C29C2">
        <w:rPr>
          <w:color w:val="000000"/>
          <w:lang w:eastAsia="fr-FR" w:bidi="fr-FR"/>
        </w:rPr>
        <w:t>a</w:t>
      </w:r>
      <w:r w:rsidRPr="009C29C2">
        <w:rPr>
          <w:color w:val="000000"/>
          <w:lang w:eastAsia="fr-FR" w:bidi="fr-FR"/>
        </w:rPr>
        <w:t>que été, de « mettre en ban », jusqu’au regain, les deux tiers des prés et landes. Or il arriva, en 1788, que le Parlement de Besançon, avec tous les autres Parlements de France, fut envoyé en vacances, au mois de mai : l’intendant demanda et sans doute obtint que l’on pourvût, par acte royal, à la mesure accout</w:t>
      </w:r>
      <w:r w:rsidRPr="009C29C2">
        <w:rPr>
          <w:color w:val="000000"/>
          <w:lang w:eastAsia="fr-FR" w:bidi="fr-FR"/>
        </w:rPr>
        <w:t>u</w:t>
      </w:r>
      <w:r w:rsidRPr="009C29C2">
        <w:rPr>
          <w:color w:val="000000"/>
          <w:lang w:eastAsia="fr-FR" w:bidi="fr-FR"/>
        </w:rPr>
        <w:t>mée</w:t>
      </w:r>
      <w:r>
        <w:rPr>
          <w:color w:val="000000"/>
          <w:lang w:eastAsia="fr-FR" w:bidi="fr-FR"/>
        </w:rPr>
        <w:t> </w:t>
      </w:r>
      <w:r>
        <w:rPr>
          <w:rStyle w:val="Appelnotedebasdep"/>
        </w:rPr>
        <w:footnoteReference w:id="123"/>
      </w:r>
      <w:r w:rsidRPr="009C29C2">
        <w:rPr>
          <w:color w:val="000000"/>
          <w:lang w:eastAsia="fr-FR" w:bidi="fr-FR"/>
        </w:rPr>
        <w:t> : tant celle-ci avait fini par faire corps avec les mœurs rurales. Ainsi peu à peu, plus ou moins complètement selon les lieux</w:t>
      </w:r>
      <w:r>
        <w:rPr>
          <w:color w:val="000000"/>
          <w:lang w:eastAsia="fr-FR" w:bidi="fr-FR"/>
        </w:rPr>
        <w:t> — </w:t>
      </w:r>
      <w:r w:rsidRPr="009C29C2">
        <w:rPr>
          <w:color w:val="000000"/>
          <w:lang w:eastAsia="fr-FR" w:bidi="fr-FR"/>
        </w:rPr>
        <w:t>car la jurisprudence variait beaucoup, de province à province, et elle est d’ailleurs, dans ses détails, fort di</w:t>
      </w:r>
      <w:r w:rsidRPr="009C29C2">
        <w:rPr>
          <w:color w:val="000000"/>
          <w:lang w:eastAsia="fr-FR" w:bidi="fr-FR"/>
        </w:rPr>
        <w:t>f</w:t>
      </w:r>
      <w:r w:rsidRPr="009C29C2">
        <w:rPr>
          <w:color w:val="000000"/>
          <w:lang w:eastAsia="fr-FR" w:bidi="fr-FR"/>
        </w:rPr>
        <w:t>ficile à connaître —, en dehors de toute loi générale et vraisembl</w:t>
      </w:r>
      <w:r w:rsidRPr="009C29C2">
        <w:rPr>
          <w:color w:val="000000"/>
          <w:lang w:eastAsia="fr-FR" w:bidi="fr-FR"/>
        </w:rPr>
        <w:t>a</w:t>
      </w:r>
      <w:r w:rsidRPr="009C29C2">
        <w:rPr>
          <w:color w:val="000000"/>
          <w:lang w:eastAsia="fr-FR" w:bidi="fr-FR"/>
        </w:rPr>
        <w:t>blement, au début du moins, de tout dessein préconçu, le droit colle</w:t>
      </w:r>
      <w:r w:rsidRPr="009C29C2">
        <w:rPr>
          <w:color w:val="000000"/>
          <w:lang w:eastAsia="fr-FR" w:bidi="fr-FR"/>
        </w:rPr>
        <w:t>c</w:t>
      </w:r>
      <w:r w:rsidRPr="009C29C2">
        <w:rPr>
          <w:color w:val="000000"/>
          <w:lang w:eastAsia="fr-FR" w:bidi="fr-FR"/>
        </w:rPr>
        <w:t>tif sur les prés, jusqu’à la deuxième herbe, avait été diminué, entravé, et, si j’ose dire, grignoté.</w:t>
      </w:r>
    </w:p>
    <w:p w14:paraId="6317AA4A" w14:textId="77777777" w:rsidR="00B9662D" w:rsidRPr="009C29C2" w:rsidRDefault="00B9662D" w:rsidP="00B9662D">
      <w:pPr>
        <w:spacing w:before="120" w:after="120"/>
        <w:jc w:val="both"/>
      </w:pPr>
      <w:r w:rsidRPr="009C29C2">
        <w:rPr>
          <w:color w:val="000000"/>
          <w:lang w:eastAsia="fr-FR" w:bidi="fr-FR"/>
        </w:rPr>
        <w:t>Mais ce n’était pas tout que de soustraire les regains au vain pât</w:t>
      </w:r>
      <w:r w:rsidRPr="009C29C2">
        <w:rPr>
          <w:color w:val="000000"/>
          <w:lang w:eastAsia="fr-FR" w:bidi="fr-FR"/>
        </w:rPr>
        <w:t>u</w:t>
      </w:r>
      <w:r w:rsidRPr="009C29C2">
        <w:rPr>
          <w:color w:val="000000"/>
          <w:lang w:eastAsia="fr-FR" w:bidi="fr-FR"/>
        </w:rPr>
        <w:t xml:space="preserve">rage. Encore fallait-il décider qui les récolterait. Le propriétaire, sans nul doute, eût dit un économiste du </w:t>
      </w:r>
      <w:r w:rsidRPr="00B22495">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 Aux yeux d’un ho</w:t>
      </w:r>
      <w:r w:rsidRPr="009C29C2">
        <w:rPr>
          <w:color w:val="000000"/>
          <w:lang w:eastAsia="fr-FR" w:bidi="fr-FR"/>
        </w:rPr>
        <w:t>m</w:t>
      </w:r>
      <w:r w:rsidRPr="009C29C2">
        <w:rPr>
          <w:color w:val="000000"/>
          <w:lang w:eastAsia="fr-FR" w:bidi="fr-FR"/>
        </w:rPr>
        <w:t>me de l’Ancien Régime, la chose ne semblait pas aussi évidente. D</w:t>
      </w:r>
      <w:r w:rsidRPr="009C29C2">
        <w:rPr>
          <w:color w:val="000000"/>
          <w:lang w:eastAsia="fr-FR" w:bidi="fr-FR"/>
        </w:rPr>
        <w:t>é</w:t>
      </w:r>
      <w:r w:rsidRPr="009C29C2">
        <w:rPr>
          <w:color w:val="000000"/>
          <w:lang w:eastAsia="fr-FR" w:bidi="fr-FR"/>
        </w:rPr>
        <w:t>pouillées de la dépaissance, les communautés souhaitaient naturell</w:t>
      </w:r>
      <w:r w:rsidRPr="009C29C2">
        <w:rPr>
          <w:color w:val="000000"/>
          <w:lang w:eastAsia="fr-FR" w:bidi="fr-FR"/>
        </w:rPr>
        <w:t>e</w:t>
      </w:r>
      <w:r w:rsidRPr="009C29C2">
        <w:rPr>
          <w:color w:val="000000"/>
          <w:lang w:eastAsia="fr-FR" w:bidi="fr-FR"/>
        </w:rPr>
        <w:t>ment réparer cette perte en faisant faucher elles-mêmes, pour les di</w:t>
      </w:r>
      <w:r w:rsidRPr="009C29C2">
        <w:rPr>
          <w:color w:val="000000"/>
          <w:lang w:eastAsia="fr-FR" w:bidi="fr-FR"/>
        </w:rPr>
        <w:t>s</w:t>
      </w:r>
      <w:r w:rsidRPr="009C29C2">
        <w:rPr>
          <w:color w:val="000000"/>
          <w:lang w:eastAsia="fr-FR" w:bidi="fr-FR"/>
        </w:rPr>
        <w:t>tribuer entre les habitants ou pour les vendre, les secondes herbes. Leurs prétentions s’appuyaient sur la coutume ; elles ne laissaient pas les administrateurs indifférents. Ceux-ci se préoccupaient avant tout de l’engrangement des regains ; cela obtenu, ils ne se souciaient pas d’entretenir dans les campagnes, par des mesures trop révolutionna</w:t>
      </w:r>
      <w:r w:rsidRPr="009C29C2">
        <w:rPr>
          <w:color w:val="000000"/>
          <w:lang w:eastAsia="fr-FR" w:bidi="fr-FR"/>
        </w:rPr>
        <w:t>i</w:t>
      </w:r>
      <w:r w:rsidRPr="009C29C2">
        <w:rPr>
          <w:color w:val="000000"/>
          <w:lang w:eastAsia="fr-FR" w:bidi="fr-FR"/>
        </w:rPr>
        <w:t xml:space="preserve">res, cette « fermentation » dont ils avaient, généralement, si grand peur. Ajoutez que les intérêts des communautés leur semblaient d’autant plus respectables qu’ils étaient, dans une certaine mesure, solidaires de ceux du fisc ; les intendants, à l’occasion, n’hésitaient pas à ordonner que le produit de la vente des regains fût employé au </w:t>
      </w:r>
      <w:r w:rsidRPr="009C29C2">
        <w:rPr>
          <w:color w:val="000000"/>
          <w:lang w:eastAsia="fr-FR" w:bidi="fr-FR"/>
        </w:rPr>
        <w:lastRenderedPageBreak/>
        <w:t>paiement des impositions</w:t>
      </w:r>
      <w:r>
        <w:rPr>
          <w:color w:val="000000"/>
          <w:lang w:eastAsia="fr-FR" w:bidi="fr-FR"/>
        </w:rPr>
        <w:t> </w:t>
      </w:r>
      <w:r>
        <w:rPr>
          <w:rStyle w:val="Appelnotedebasdep"/>
        </w:rPr>
        <w:footnoteReference w:id="124"/>
      </w:r>
      <w:r w:rsidRPr="009C29C2">
        <w:rPr>
          <w:color w:val="000000"/>
          <w:lang w:eastAsia="fr-FR" w:bidi="fr-FR"/>
        </w:rPr>
        <w:t>. Mais autorisait-on les habitants à se pa</w:t>
      </w:r>
      <w:r w:rsidRPr="009C29C2">
        <w:rPr>
          <w:color w:val="000000"/>
          <w:lang w:eastAsia="fr-FR" w:bidi="fr-FR"/>
        </w:rPr>
        <w:t>r</w:t>
      </w:r>
      <w:r w:rsidRPr="009C29C2">
        <w:rPr>
          <w:color w:val="000000"/>
          <w:lang w:eastAsia="fr-FR" w:bidi="fr-FR"/>
        </w:rPr>
        <w:t>tager le foin ? Une autre difficulté se présentait. Car les sociétés vill</w:t>
      </w:r>
      <w:r w:rsidRPr="009C29C2">
        <w:rPr>
          <w:color w:val="000000"/>
          <w:lang w:eastAsia="fr-FR" w:bidi="fr-FR"/>
        </w:rPr>
        <w:t>a</w:t>
      </w:r>
      <w:r w:rsidRPr="009C29C2">
        <w:rPr>
          <w:color w:val="000000"/>
          <w:lang w:eastAsia="fr-FR" w:bidi="fr-FR"/>
        </w:rPr>
        <w:t>geoises étaient loin d’être unes, ou égalitaires : deux classes surtout</w:t>
      </w:r>
      <w:r>
        <w:rPr>
          <w:color w:val="000000"/>
          <w:lang w:eastAsia="fr-FR" w:bidi="fr-FR"/>
        </w:rPr>
        <w:t> — </w:t>
      </w:r>
      <w:r w:rsidRPr="009C29C2">
        <w:rPr>
          <w:color w:val="000000"/>
          <w:lang w:eastAsia="fr-FR" w:bidi="fr-FR"/>
        </w:rPr>
        <w:t>avec de l’une à l’autre des nuances intermédiaires</w:t>
      </w:r>
      <w:r>
        <w:rPr>
          <w:color w:val="000000"/>
          <w:lang w:eastAsia="fr-FR" w:bidi="fr-FR"/>
        </w:rPr>
        <w:t> — </w:t>
      </w:r>
      <w:r w:rsidRPr="009C29C2">
        <w:rPr>
          <w:color w:val="000000"/>
          <w:lang w:eastAsia="fr-FR" w:bidi="fr-FR"/>
        </w:rPr>
        <w:t>s’y disputaient l’influence : laboureurs pourvus de terres et de bétail, manouvriers plus ou moins complètement privés de ces deux ressources : selon le mode de distribution adopté, l’une ou l’autre se trouvait favorisée. Puis, au-dessus des tenanciers, il y avait le seigneur. Partout, en qual</w:t>
      </w:r>
      <w:r w:rsidRPr="009C29C2">
        <w:rPr>
          <w:color w:val="000000"/>
          <w:lang w:eastAsia="fr-FR" w:bidi="fr-FR"/>
        </w:rPr>
        <w:t>i</w:t>
      </w:r>
      <w:r w:rsidRPr="009C29C2">
        <w:rPr>
          <w:color w:val="000000"/>
          <w:lang w:eastAsia="fr-FR" w:bidi="fr-FR"/>
        </w:rPr>
        <w:t>té de « premier habitant », il pouvait prétendre à un lot particulier. Dans certaines provinces, il faisait valoir des privilèges plus précis. En Lorraine, par exemple, il possédait</w:t>
      </w:r>
      <w:r>
        <w:rPr>
          <w:color w:val="000000"/>
          <w:lang w:eastAsia="fr-FR" w:bidi="fr-FR"/>
        </w:rPr>
        <w:t> — </w:t>
      </w:r>
      <w:r w:rsidRPr="009C29C2">
        <w:rPr>
          <w:color w:val="000000"/>
          <w:lang w:eastAsia="fr-FR" w:bidi="fr-FR"/>
        </w:rPr>
        <w:t>d’office, lorsqu’il était haut ju</w:t>
      </w:r>
      <w:r w:rsidRPr="009C29C2">
        <w:rPr>
          <w:color w:val="000000"/>
          <w:lang w:eastAsia="fr-FR" w:bidi="fr-FR"/>
        </w:rPr>
        <w:t>s</w:t>
      </w:r>
      <w:r w:rsidRPr="009C29C2">
        <w:rPr>
          <w:color w:val="000000"/>
          <w:lang w:eastAsia="fr-FR" w:bidi="fr-FR"/>
        </w:rPr>
        <w:t>ticier et souvent par prescription, lorsqu’il ne l’était pas</w:t>
      </w:r>
      <w:r>
        <w:rPr>
          <w:color w:val="000000"/>
          <w:lang w:eastAsia="fr-FR" w:bidi="fr-FR"/>
        </w:rPr>
        <w:t> — </w:t>
      </w:r>
      <w:r w:rsidRPr="009C29C2">
        <w:rPr>
          <w:color w:val="000000"/>
          <w:lang w:eastAsia="fr-FR" w:bidi="fr-FR"/>
        </w:rPr>
        <w:t>le droit de « troupeau à part », c’est-à-dire la faculté d’envoyer, sur les terres vaines comme</w:t>
      </w:r>
      <w:r>
        <w:rPr>
          <w:color w:val="000000"/>
          <w:lang w:eastAsia="fr-FR" w:bidi="fr-FR"/>
        </w:rPr>
        <w:t xml:space="preserve"> [606] </w:t>
      </w:r>
      <w:r w:rsidRPr="009C29C2">
        <w:rPr>
          <w:color w:val="000000"/>
          <w:lang w:eastAsia="fr-FR" w:bidi="fr-FR"/>
        </w:rPr>
        <w:t>sur le communal, un troupeau distinct, d’un nombre de bêtes, en pratique, à peu près illimité ; il affermait souvent ce droit ; il en tirait de beaux revenus. Prolongée de quelques mois, la mise en défens des prés limitait son profit. Pouvait-on oublier de l’indemniser ? Dans plusieurs régions aussi</w:t>
      </w:r>
      <w:r>
        <w:rPr>
          <w:color w:val="000000"/>
          <w:lang w:eastAsia="fr-FR" w:bidi="fr-FR"/>
        </w:rPr>
        <w:t> — </w:t>
      </w:r>
      <w:r w:rsidRPr="009C29C2">
        <w:rPr>
          <w:color w:val="000000"/>
          <w:lang w:eastAsia="fr-FR" w:bidi="fr-FR"/>
        </w:rPr>
        <w:t>en Lorraine encore, entre autres</w:t>
      </w:r>
      <w:r>
        <w:rPr>
          <w:color w:val="000000"/>
          <w:lang w:eastAsia="fr-FR" w:bidi="fr-FR"/>
        </w:rPr>
        <w:t> — </w:t>
      </w:r>
      <w:r w:rsidRPr="009C29C2">
        <w:rPr>
          <w:color w:val="000000"/>
          <w:lang w:eastAsia="fr-FR" w:bidi="fr-FR"/>
        </w:rPr>
        <w:t>il était en possession du triage, qui lui valait de prél</w:t>
      </w:r>
      <w:r w:rsidRPr="009C29C2">
        <w:rPr>
          <w:color w:val="000000"/>
          <w:lang w:eastAsia="fr-FR" w:bidi="fr-FR"/>
        </w:rPr>
        <w:t>e</w:t>
      </w:r>
      <w:r w:rsidRPr="009C29C2">
        <w:rPr>
          <w:color w:val="000000"/>
          <w:lang w:eastAsia="fr-FR" w:bidi="fr-FR"/>
        </w:rPr>
        <w:t>ver le tiers de tous les produits communaux ; ne devait-il point, par suite, percevoir le tiers des regains ou de leur prix de vente ? Il n’était point aisé de concilier toutes ces exigences contraires, expressions d’une structure sociale fort compliquée et d’un droit en pleine évol</w:t>
      </w:r>
      <w:r w:rsidRPr="009C29C2">
        <w:rPr>
          <w:color w:val="000000"/>
          <w:lang w:eastAsia="fr-FR" w:bidi="fr-FR"/>
        </w:rPr>
        <w:t>u</w:t>
      </w:r>
      <w:r w:rsidRPr="009C29C2">
        <w:rPr>
          <w:color w:val="000000"/>
          <w:lang w:eastAsia="fr-FR" w:bidi="fr-FR"/>
        </w:rPr>
        <w:t>tion. Les villages se div</w:t>
      </w:r>
      <w:r w:rsidRPr="009C29C2">
        <w:rPr>
          <w:color w:val="000000"/>
          <w:lang w:eastAsia="fr-FR" w:bidi="fr-FR"/>
        </w:rPr>
        <w:t>i</w:t>
      </w:r>
      <w:r w:rsidRPr="009C29C2">
        <w:rPr>
          <w:color w:val="000000"/>
          <w:lang w:eastAsia="fr-FR" w:bidi="fr-FR"/>
        </w:rPr>
        <w:t>saient. Lorsque, en 1785, le subdélégué de Vervins voulut faire ado</w:t>
      </w:r>
      <w:r w:rsidRPr="009C29C2">
        <w:rPr>
          <w:color w:val="000000"/>
          <w:lang w:eastAsia="fr-FR" w:bidi="fr-FR"/>
        </w:rPr>
        <w:t>p</w:t>
      </w:r>
      <w:r w:rsidRPr="009C29C2">
        <w:rPr>
          <w:color w:val="000000"/>
          <w:lang w:eastAsia="fr-FR" w:bidi="fr-FR"/>
        </w:rPr>
        <w:t>ter par les communautés de son ressort une solution transactionne</w:t>
      </w:r>
      <w:r w:rsidRPr="009C29C2">
        <w:rPr>
          <w:color w:val="000000"/>
          <w:lang w:eastAsia="fr-FR" w:bidi="fr-FR"/>
        </w:rPr>
        <w:t>l</w:t>
      </w:r>
      <w:r w:rsidRPr="009C29C2">
        <w:rPr>
          <w:color w:val="000000"/>
          <w:lang w:eastAsia="fr-FR" w:bidi="fr-FR"/>
        </w:rPr>
        <w:t>le</w:t>
      </w:r>
      <w:r>
        <w:rPr>
          <w:color w:val="000000"/>
          <w:lang w:eastAsia="fr-FR" w:bidi="fr-FR"/>
        </w:rPr>
        <w:t> — </w:t>
      </w:r>
      <w:r w:rsidRPr="009C29C2">
        <w:rPr>
          <w:color w:val="000000"/>
          <w:lang w:eastAsia="fr-FR" w:bidi="fr-FR"/>
        </w:rPr>
        <w:t>le partage des regains par moitié entre les propriétaires et la co</w:t>
      </w:r>
      <w:r w:rsidRPr="009C29C2">
        <w:rPr>
          <w:color w:val="000000"/>
          <w:lang w:eastAsia="fr-FR" w:bidi="fr-FR"/>
        </w:rPr>
        <w:t>l</w:t>
      </w:r>
      <w:r w:rsidRPr="009C29C2">
        <w:rPr>
          <w:color w:val="000000"/>
          <w:lang w:eastAsia="fr-FR" w:bidi="fr-FR"/>
        </w:rPr>
        <w:t>lectivité</w:t>
      </w:r>
      <w:r>
        <w:rPr>
          <w:color w:val="000000"/>
          <w:lang w:eastAsia="fr-FR" w:bidi="fr-FR"/>
        </w:rPr>
        <w:t> — </w:t>
      </w:r>
      <w:r w:rsidRPr="009C29C2">
        <w:rPr>
          <w:color w:val="000000"/>
          <w:lang w:eastAsia="fr-FR" w:bidi="fr-FR"/>
        </w:rPr>
        <w:t>il échoua presque partout : selon les influences auxquelles elles se trouvaient soumises, les assemblées embrassaient tantôt le parti des riches propriétaires, tantôt celui des plus pauvres usagers</w:t>
      </w:r>
      <w:r>
        <w:rPr>
          <w:color w:val="000000"/>
          <w:lang w:eastAsia="fr-FR" w:bidi="fr-FR"/>
        </w:rPr>
        <w:t> </w:t>
      </w:r>
      <w:r>
        <w:rPr>
          <w:rStyle w:val="Appelnotedebasdep"/>
        </w:rPr>
        <w:footnoteReference w:id="125"/>
      </w:r>
      <w:r w:rsidRPr="009C29C2">
        <w:rPr>
          <w:color w:val="000000"/>
          <w:lang w:eastAsia="fr-FR" w:bidi="fr-FR"/>
        </w:rPr>
        <w:t>. Tiraillé entre les réclamations des seigneurs, des laboureurs, des manouvriers, le Parlement de Metz ne parvint j</w:t>
      </w:r>
      <w:r w:rsidRPr="009C29C2">
        <w:rPr>
          <w:color w:val="000000"/>
          <w:lang w:eastAsia="fr-FR" w:bidi="fr-FR"/>
        </w:rPr>
        <w:t>a</w:t>
      </w:r>
      <w:r w:rsidRPr="009C29C2">
        <w:rPr>
          <w:color w:val="000000"/>
          <w:lang w:eastAsia="fr-FR" w:bidi="fr-FR"/>
        </w:rPr>
        <w:t>mais à fixer son choix</w:t>
      </w:r>
      <w:r>
        <w:rPr>
          <w:color w:val="000000"/>
          <w:lang w:eastAsia="fr-FR" w:bidi="fr-FR"/>
        </w:rPr>
        <w:t> </w:t>
      </w:r>
      <w:r>
        <w:rPr>
          <w:rStyle w:val="Appelnotedebasdep"/>
        </w:rPr>
        <w:footnoteReference w:id="126"/>
      </w:r>
      <w:r w:rsidRPr="009C29C2">
        <w:rPr>
          <w:color w:val="000000"/>
          <w:lang w:eastAsia="fr-FR" w:bidi="fr-FR"/>
        </w:rPr>
        <w:t>. Ailleurs la jurisprudence se stabilisa, mais dans des sens, selon les provinces, très différents. En Lorraine, le Pa</w:t>
      </w:r>
      <w:r w:rsidRPr="009C29C2">
        <w:rPr>
          <w:color w:val="000000"/>
          <w:lang w:eastAsia="fr-FR" w:bidi="fr-FR"/>
        </w:rPr>
        <w:t>r</w:t>
      </w:r>
      <w:r w:rsidRPr="009C29C2">
        <w:rPr>
          <w:color w:val="000000"/>
          <w:lang w:eastAsia="fr-FR" w:bidi="fr-FR"/>
        </w:rPr>
        <w:lastRenderedPageBreak/>
        <w:t>lement de Nancy, dont toute la politique agraire tendait à établir une sorte d’alliance entre les intérêts des privilégiés, parmi lesquels il se recrutait, et ceux de la masse rurale, sacrifia les propriétaires : le se</w:t>
      </w:r>
      <w:r w:rsidRPr="009C29C2">
        <w:rPr>
          <w:color w:val="000000"/>
          <w:lang w:eastAsia="fr-FR" w:bidi="fr-FR"/>
        </w:rPr>
        <w:t>i</w:t>
      </w:r>
      <w:r w:rsidRPr="009C29C2">
        <w:rPr>
          <w:color w:val="000000"/>
          <w:lang w:eastAsia="fr-FR" w:bidi="fr-FR"/>
        </w:rPr>
        <w:t>gneur, à condition qu’il eût haute justice ou troupeau à part, recueillait un tiers des regains ; les habitants, les deux tiers restants, qu’</w:t>
      </w:r>
      <w:r>
        <w:rPr>
          <w:color w:val="000000"/>
          <w:lang w:eastAsia="fr-FR" w:bidi="fr-FR"/>
        </w:rPr>
        <w:t>ils se pa</w:t>
      </w:r>
      <w:r>
        <w:rPr>
          <w:color w:val="000000"/>
          <w:lang w:eastAsia="fr-FR" w:bidi="fr-FR"/>
        </w:rPr>
        <w:t>r</w:t>
      </w:r>
      <w:r>
        <w:rPr>
          <w:color w:val="000000"/>
          <w:lang w:eastAsia="fr-FR" w:bidi="fr-FR"/>
        </w:rPr>
        <w:t>tageaient proportio</w:t>
      </w:r>
      <w:r>
        <w:rPr>
          <w:color w:val="000000"/>
          <w:lang w:eastAsia="fr-FR" w:bidi="fr-FR"/>
        </w:rPr>
        <w:t>n</w:t>
      </w:r>
      <w:r w:rsidRPr="009C29C2">
        <w:rPr>
          <w:color w:val="000000"/>
          <w:lang w:eastAsia="fr-FR" w:bidi="fr-FR"/>
        </w:rPr>
        <w:t>nellement au nombre de leurs têtes de bétail. Dans le duché de Bou</w:t>
      </w:r>
      <w:r w:rsidRPr="009C29C2">
        <w:rPr>
          <w:color w:val="000000"/>
          <w:lang w:eastAsia="fr-FR" w:bidi="fr-FR"/>
        </w:rPr>
        <w:t>r</w:t>
      </w:r>
      <w:r w:rsidRPr="009C29C2">
        <w:rPr>
          <w:color w:val="000000"/>
          <w:lang w:eastAsia="fr-FR" w:bidi="fr-FR"/>
        </w:rPr>
        <w:t>gogne, tout allait aux communautés, selon le même mode distributif ; de l’autre côté de la Saône, en Comté, comme en Béarn, les propri</w:t>
      </w:r>
      <w:r w:rsidRPr="009C29C2">
        <w:rPr>
          <w:color w:val="000000"/>
          <w:lang w:eastAsia="fr-FR" w:bidi="fr-FR"/>
        </w:rPr>
        <w:t>é</w:t>
      </w:r>
      <w:r w:rsidRPr="009C29C2">
        <w:rPr>
          <w:color w:val="000000"/>
          <w:lang w:eastAsia="fr-FR" w:bidi="fr-FR"/>
        </w:rPr>
        <w:t>taires gardaient tout</w:t>
      </w:r>
      <w:r>
        <w:rPr>
          <w:color w:val="000000"/>
          <w:lang w:eastAsia="fr-FR" w:bidi="fr-FR"/>
        </w:rPr>
        <w:t> </w:t>
      </w:r>
      <w:r>
        <w:rPr>
          <w:rStyle w:val="Appelnotedebasdep"/>
        </w:rPr>
        <w:footnoteReference w:id="127"/>
      </w:r>
      <w:r w:rsidRPr="009C29C2">
        <w:rPr>
          <w:color w:val="000000"/>
          <w:lang w:eastAsia="fr-FR" w:bidi="fr-FR"/>
        </w:rPr>
        <w:t>.</w:t>
      </w:r>
    </w:p>
    <w:p w14:paraId="1DECC1DC" w14:textId="77777777" w:rsidR="00B9662D" w:rsidRDefault="00B9662D" w:rsidP="00B9662D">
      <w:pPr>
        <w:pStyle w:val="c"/>
        <w:rPr>
          <w:lang w:eastAsia="fr-FR" w:bidi="fr-FR"/>
        </w:rPr>
      </w:pPr>
      <w:r>
        <w:rPr>
          <w:lang w:eastAsia="fr-FR" w:bidi="fr-FR"/>
        </w:rPr>
        <w:t>*</w:t>
      </w:r>
      <w:r>
        <w:rPr>
          <w:lang w:eastAsia="fr-FR" w:bidi="fr-FR"/>
        </w:rPr>
        <w:br/>
        <w:t>*     *</w:t>
      </w:r>
    </w:p>
    <w:p w14:paraId="1ED5DAC2" w14:textId="77777777" w:rsidR="00B9662D" w:rsidRPr="009C29C2" w:rsidRDefault="00B9662D" w:rsidP="00B9662D">
      <w:pPr>
        <w:spacing w:before="120" w:after="120"/>
        <w:jc w:val="both"/>
      </w:pPr>
      <w:r w:rsidRPr="009C29C2">
        <w:rPr>
          <w:color w:val="000000"/>
          <w:lang w:eastAsia="fr-FR" w:bidi="fr-FR"/>
        </w:rPr>
        <w:t>Certaines cultures, particulièrement délicates, avaient de tout temps été soustraites à la dépaissance. Mais leur liste variait avec les régions. En Roussillon, les vignes, ailleurs protégées, s’ouvraient tr</w:t>
      </w:r>
      <w:r w:rsidRPr="009C29C2">
        <w:rPr>
          <w:color w:val="000000"/>
          <w:lang w:eastAsia="fr-FR" w:bidi="fr-FR"/>
        </w:rPr>
        <w:t>a</w:t>
      </w:r>
      <w:r w:rsidRPr="009C29C2">
        <w:rPr>
          <w:color w:val="000000"/>
          <w:lang w:eastAsia="fr-FR" w:bidi="fr-FR"/>
        </w:rPr>
        <w:t>ditionnellement au vain pâturage. Cette pratique n’entravait pas abs</w:t>
      </w:r>
      <w:r w:rsidRPr="009C29C2">
        <w:rPr>
          <w:color w:val="000000"/>
          <w:lang w:eastAsia="fr-FR" w:bidi="fr-FR"/>
        </w:rPr>
        <w:t>o</w:t>
      </w:r>
      <w:r w:rsidRPr="009C29C2">
        <w:rPr>
          <w:color w:val="000000"/>
          <w:lang w:eastAsia="fr-FR" w:bidi="fr-FR"/>
        </w:rPr>
        <w:t>lument leur développement</w:t>
      </w:r>
      <w:r>
        <w:rPr>
          <w:color w:val="000000"/>
          <w:lang w:eastAsia="fr-FR" w:bidi="fr-FR"/>
        </w:rPr>
        <w:t> — </w:t>
      </w:r>
      <w:r w:rsidRPr="009C29C2">
        <w:rPr>
          <w:color w:val="000000"/>
          <w:lang w:eastAsia="fr-FR" w:bidi="fr-FR"/>
        </w:rPr>
        <w:t>sous ce beau ciel, les ceps sont si viv</w:t>
      </w:r>
      <w:r w:rsidRPr="009C29C2">
        <w:rPr>
          <w:color w:val="000000"/>
          <w:lang w:eastAsia="fr-FR" w:bidi="fr-FR"/>
        </w:rPr>
        <w:t>a</w:t>
      </w:r>
      <w:r w:rsidRPr="009C29C2">
        <w:rPr>
          <w:color w:val="000000"/>
          <w:lang w:eastAsia="fr-FR" w:bidi="fr-FR"/>
        </w:rPr>
        <w:t>ces !</w:t>
      </w:r>
      <w:r>
        <w:rPr>
          <w:color w:val="000000"/>
          <w:lang w:eastAsia="fr-FR" w:bidi="fr-FR"/>
        </w:rPr>
        <w:t> — </w:t>
      </w:r>
      <w:r w:rsidRPr="009C29C2">
        <w:rPr>
          <w:color w:val="000000"/>
          <w:lang w:eastAsia="fr-FR" w:bidi="fr-FR"/>
        </w:rPr>
        <w:t>mais elle ne le favorisait point. Les vignerons s’en pla</w:t>
      </w:r>
      <w:r w:rsidRPr="009C29C2">
        <w:rPr>
          <w:color w:val="000000"/>
          <w:lang w:eastAsia="fr-FR" w:bidi="fr-FR"/>
        </w:rPr>
        <w:t>i</w:t>
      </w:r>
      <w:r w:rsidRPr="009C29C2">
        <w:rPr>
          <w:color w:val="000000"/>
          <w:lang w:eastAsia="fr-FR" w:bidi="fr-FR"/>
        </w:rPr>
        <w:t>gnaient ; mais les éleveurs, maîtres des grands troupeaux transh</w:t>
      </w:r>
      <w:r w:rsidRPr="009C29C2">
        <w:rPr>
          <w:color w:val="000000"/>
          <w:lang w:eastAsia="fr-FR" w:bidi="fr-FR"/>
        </w:rPr>
        <w:t>u</w:t>
      </w:r>
      <w:r w:rsidRPr="009C29C2">
        <w:rPr>
          <w:color w:val="000000"/>
          <w:lang w:eastAsia="fr-FR" w:bidi="fr-FR"/>
        </w:rPr>
        <w:t>mants, tenaient à l’ancien usage : antagonisme classique dans les pays méditerranéens et qui, au cours des siècles précédents, avait déchiré plus d’une communauté provençale.</w:t>
      </w:r>
      <w:r>
        <w:rPr>
          <w:color w:val="000000"/>
          <w:lang w:eastAsia="fr-FR" w:bidi="fr-FR"/>
        </w:rPr>
        <w:t xml:space="preserve"> </w:t>
      </w:r>
      <w:r>
        <w:t>[</w:t>
      </w:r>
      <w:r w:rsidRPr="009C29C2">
        <w:rPr>
          <w:color w:val="000000"/>
          <w:lang w:eastAsia="fr-FR" w:bidi="fr-FR"/>
        </w:rPr>
        <w:t>607</w:t>
      </w:r>
      <w:r>
        <w:rPr>
          <w:color w:val="000000"/>
          <w:lang w:eastAsia="fr-FR" w:bidi="fr-FR"/>
        </w:rPr>
        <w:t xml:space="preserve">] </w:t>
      </w:r>
      <w:r w:rsidRPr="009C29C2">
        <w:rPr>
          <w:color w:val="000000"/>
          <w:lang w:eastAsia="fr-FR" w:bidi="fr-FR"/>
        </w:rPr>
        <w:t>En 1752, un intendant agronome, Bertin, dont nous verrons plus tard l’action comme mini</w:t>
      </w:r>
      <w:r w:rsidRPr="009C29C2">
        <w:rPr>
          <w:color w:val="000000"/>
          <w:lang w:eastAsia="fr-FR" w:bidi="fr-FR"/>
        </w:rPr>
        <w:t>s</w:t>
      </w:r>
      <w:r w:rsidRPr="009C29C2">
        <w:rPr>
          <w:color w:val="000000"/>
          <w:lang w:eastAsia="fr-FR" w:bidi="fr-FR"/>
        </w:rPr>
        <w:t>tre, interdit le pacage sur les vignobles du Confient. Mais le Conseil souverain comptait dans son sein beaucoup de propriétaires de bétail ; il cassa l’ordonnance, non, il est vrai, comme mauvaise en soi, mais comme « attentatoire à l’autorité » de la Cour, en même temps</w:t>
      </w:r>
      <w:r>
        <w:rPr>
          <w:color w:val="000000"/>
          <w:lang w:eastAsia="fr-FR" w:bidi="fr-FR"/>
        </w:rPr>
        <w:t> — </w:t>
      </w:r>
      <w:r w:rsidRPr="009C29C2">
        <w:rPr>
          <w:color w:val="000000"/>
          <w:lang w:eastAsia="fr-FR" w:bidi="fr-FR"/>
        </w:rPr>
        <w:t>notez l’alliance des vieilles puissances</w:t>
      </w:r>
      <w:r>
        <w:rPr>
          <w:color w:val="000000"/>
          <w:lang w:eastAsia="fr-FR" w:bidi="fr-FR"/>
        </w:rPr>
        <w:t> — </w:t>
      </w:r>
      <w:r w:rsidRPr="009C29C2">
        <w:rPr>
          <w:color w:val="000000"/>
          <w:lang w:eastAsia="fr-FR" w:bidi="fr-FR"/>
        </w:rPr>
        <w:t>qu’à celle des hauts just</w:t>
      </w:r>
      <w:r w:rsidRPr="009C29C2">
        <w:rPr>
          <w:color w:val="000000"/>
          <w:lang w:eastAsia="fr-FR" w:bidi="fr-FR"/>
        </w:rPr>
        <w:t>i</w:t>
      </w:r>
      <w:r w:rsidRPr="009C29C2">
        <w:rPr>
          <w:color w:val="000000"/>
          <w:lang w:eastAsia="fr-FR" w:bidi="fr-FR"/>
        </w:rPr>
        <w:t>ciers. Le viguier, qui s’était fait auprès de l’intendant l’avocat des v</w:t>
      </w:r>
      <w:r w:rsidRPr="009C29C2">
        <w:rPr>
          <w:color w:val="000000"/>
          <w:lang w:eastAsia="fr-FR" w:bidi="fr-FR"/>
        </w:rPr>
        <w:t>i</w:t>
      </w:r>
      <w:r w:rsidRPr="009C29C2">
        <w:rPr>
          <w:color w:val="000000"/>
          <w:lang w:eastAsia="fr-FR" w:bidi="fr-FR"/>
        </w:rPr>
        <w:t>gnerons, prit peur : tant, pour un fonctio</w:t>
      </w:r>
      <w:r w:rsidRPr="009C29C2">
        <w:rPr>
          <w:color w:val="000000"/>
          <w:lang w:eastAsia="fr-FR" w:bidi="fr-FR"/>
        </w:rPr>
        <w:t>n</w:t>
      </w:r>
      <w:r w:rsidRPr="009C29C2">
        <w:rPr>
          <w:color w:val="000000"/>
          <w:lang w:eastAsia="fr-FR" w:bidi="fr-FR"/>
        </w:rPr>
        <w:t xml:space="preserve">naire attaché </w:t>
      </w:r>
      <w:r w:rsidRPr="009C29C2">
        <w:rPr>
          <w:color w:val="000000"/>
          <w:lang w:eastAsia="fr-FR" w:bidi="fr-FR"/>
        </w:rPr>
        <w:lastRenderedPageBreak/>
        <w:t>au pays, l’hostilité des hauts magistrats était difficil</w:t>
      </w:r>
      <w:r w:rsidRPr="009C29C2">
        <w:rPr>
          <w:color w:val="000000"/>
          <w:lang w:eastAsia="fr-FR" w:bidi="fr-FR"/>
        </w:rPr>
        <w:t>e</w:t>
      </w:r>
      <w:r w:rsidRPr="009C29C2">
        <w:rPr>
          <w:color w:val="000000"/>
          <w:lang w:eastAsia="fr-FR" w:bidi="fr-FR"/>
        </w:rPr>
        <w:t xml:space="preserve">ment supportable. Plus libre, le successeur de Bertin, M. de Bon, s’entêta. Pourtant, en dépit des procédures engagées, çà et là, par la juridiction administrative, l’usage, prétendument aboli, subsista, en maint endroit, jusqu’en plein </w:t>
      </w:r>
      <w:r w:rsidRPr="00B22495">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w:t>
      </w:r>
      <w:r>
        <w:rPr>
          <w:color w:val="000000"/>
          <w:lang w:eastAsia="fr-FR" w:bidi="fr-FR"/>
        </w:rPr>
        <w:t> </w:t>
      </w:r>
      <w:r>
        <w:rPr>
          <w:rStyle w:val="Appelnotedebasdep"/>
        </w:rPr>
        <w:footnoteReference w:id="128"/>
      </w:r>
      <w:r w:rsidRPr="009C29C2">
        <w:rPr>
          <w:color w:val="000000"/>
          <w:lang w:eastAsia="fr-FR" w:bidi="fr-FR"/>
        </w:rPr>
        <w:t>.</w:t>
      </w:r>
    </w:p>
    <w:p w14:paraId="0D36030C" w14:textId="77777777" w:rsidR="00B9662D" w:rsidRPr="009C29C2" w:rsidRDefault="00B9662D" w:rsidP="00B9662D">
      <w:pPr>
        <w:spacing w:before="120" w:after="120"/>
        <w:jc w:val="both"/>
      </w:pPr>
      <w:r w:rsidRPr="009C29C2">
        <w:rPr>
          <w:color w:val="000000"/>
          <w:lang w:eastAsia="fr-FR" w:bidi="fr-FR"/>
        </w:rPr>
        <w:t>Les prairies artificielles étaient étrangères à l’antique constitution agraire. On put donc, à la rigueur, lorsqu’elles commencèrent à se d</w:t>
      </w:r>
      <w:r w:rsidRPr="009C29C2">
        <w:rPr>
          <w:color w:val="000000"/>
          <w:lang w:eastAsia="fr-FR" w:bidi="fr-FR"/>
        </w:rPr>
        <w:t>é</w:t>
      </w:r>
      <w:r w:rsidRPr="009C29C2">
        <w:rPr>
          <w:color w:val="000000"/>
          <w:lang w:eastAsia="fr-FR" w:bidi="fr-FR"/>
        </w:rPr>
        <w:t>velopper, douter si elles devaient être soumises à la vaine pâture. Le problème, en fait, fut résolu, selon les lieux et les autorités intéressées, de façon fort différente.</w:t>
      </w:r>
    </w:p>
    <w:p w14:paraId="6C1F8A2B" w14:textId="77777777" w:rsidR="00B9662D" w:rsidRPr="009C29C2" w:rsidRDefault="00B9662D" w:rsidP="00B9662D">
      <w:pPr>
        <w:spacing w:before="120" w:after="120"/>
        <w:jc w:val="both"/>
      </w:pPr>
      <w:r w:rsidRPr="009C29C2">
        <w:rPr>
          <w:color w:val="000000"/>
          <w:lang w:eastAsia="fr-FR" w:bidi="fr-FR"/>
        </w:rPr>
        <w:t xml:space="preserve">Au cours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dans certaines régions</w:t>
      </w:r>
      <w:r>
        <w:rPr>
          <w:color w:val="000000"/>
          <w:lang w:eastAsia="fr-FR" w:bidi="fr-FR"/>
        </w:rPr>
        <w:t> — </w:t>
      </w:r>
      <w:r w:rsidRPr="009C29C2">
        <w:rPr>
          <w:color w:val="000000"/>
          <w:lang w:eastAsia="fr-FR" w:bidi="fr-FR"/>
        </w:rPr>
        <w:t>Champagne et Lorraine par exemple</w:t>
      </w:r>
      <w:r>
        <w:rPr>
          <w:color w:val="000000"/>
          <w:lang w:eastAsia="fr-FR" w:bidi="fr-FR"/>
        </w:rPr>
        <w:t> — </w:t>
      </w:r>
      <w:r w:rsidRPr="009C29C2">
        <w:rPr>
          <w:color w:val="000000"/>
          <w:lang w:eastAsia="fr-FR" w:bidi="fr-FR"/>
        </w:rPr>
        <w:t>un assez grand nombre de communautés, dominées par des influences novatrices, décidèrent de leur propre gré la mise en défens des fourrages</w:t>
      </w:r>
      <w:r>
        <w:rPr>
          <w:color w:val="000000"/>
          <w:lang w:eastAsia="fr-FR" w:bidi="fr-FR"/>
        </w:rPr>
        <w:t> </w:t>
      </w:r>
      <w:r>
        <w:rPr>
          <w:rStyle w:val="Appelnotedebasdep"/>
        </w:rPr>
        <w:footnoteReference w:id="129"/>
      </w:r>
      <w:r w:rsidRPr="009C29C2">
        <w:rPr>
          <w:color w:val="000000"/>
          <w:lang w:eastAsia="fr-FR" w:bidi="fr-FR"/>
        </w:rPr>
        <w:t>. Dans plusieurs cantons des plaines du Nord, vers le milieu du siècle, l’usage était constant</w:t>
      </w:r>
      <w:r>
        <w:rPr>
          <w:color w:val="000000"/>
          <w:lang w:eastAsia="fr-FR" w:bidi="fr-FR"/>
        </w:rPr>
        <w:t> </w:t>
      </w:r>
      <w:r>
        <w:rPr>
          <w:rStyle w:val="Appelnotedebasdep"/>
        </w:rPr>
        <w:footnoteReference w:id="130"/>
      </w:r>
      <w:r w:rsidRPr="009C29C2">
        <w:rPr>
          <w:color w:val="000000"/>
          <w:lang w:eastAsia="fr-FR" w:bidi="fr-FR"/>
        </w:rPr>
        <w:t xml:space="preserve">. Ailleurs, </w:t>
      </w:r>
      <w:r w:rsidRPr="009C29C2">
        <w:rPr>
          <w:color w:val="000000"/>
          <w:lang w:eastAsia="fr-FR" w:bidi="fr-FR"/>
        </w:rPr>
        <w:lastRenderedPageBreak/>
        <w:t>des officiers de bailliage</w:t>
      </w:r>
      <w:r>
        <w:rPr>
          <w:color w:val="000000"/>
          <w:lang w:eastAsia="fr-FR" w:bidi="fr-FR"/>
        </w:rPr>
        <w:t> </w:t>
      </w:r>
      <w:r>
        <w:rPr>
          <w:rStyle w:val="Appelnotedebasdep"/>
        </w:rPr>
        <w:footnoteReference w:id="131"/>
      </w:r>
      <w:r w:rsidRPr="0056560A">
        <w:rPr>
          <w:color w:val="000000"/>
          <w:highlight w:val="green"/>
          <w:lang w:eastAsia="fr-FR" w:bidi="fr-FR"/>
        </w:rPr>
        <w:t>,</w:t>
      </w:r>
      <w:r w:rsidRPr="009C29C2">
        <w:rPr>
          <w:color w:val="000000"/>
          <w:lang w:eastAsia="fr-FR" w:bidi="fr-FR"/>
        </w:rPr>
        <w:t xml:space="preserve"> surtout des intendants, osèrent prendre des r</w:t>
      </w:r>
      <w:r w:rsidRPr="009C29C2">
        <w:rPr>
          <w:color w:val="000000"/>
          <w:lang w:eastAsia="fr-FR" w:bidi="fr-FR"/>
        </w:rPr>
        <w:t>è</w:t>
      </w:r>
      <w:r w:rsidRPr="009C29C2">
        <w:rPr>
          <w:color w:val="000000"/>
          <w:lang w:eastAsia="fr-FR" w:bidi="fr-FR"/>
        </w:rPr>
        <w:t>glements généraux : telle, à Valenciennes, dans un pays qui, proche de la Flandre, avait de bonne heure été pénétré, au moins sur ses fronti</w:t>
      </w:r>
      <w:r w:rsidRPr="009C29C2">
        <w:rPr>
          <w:color w:val="000000"/>
          <w:lang w:eastAsia="fr-FR" w:bidi="fr-FR"/>
        </w:rPr>
        <w:t>è</w:t>
      </w:r>
      <w:r w:rsidRPr="009C29C2">
        <w:rPr>
          <w:color w:val="000000"/>
          <w:lang w:eastAsia="fr-FR" w:bidi="fr-FR"/>
        </w:rPr>
        <w:t>res, par l’agriculture nouvelle, l’ordonnance, d’ailleurs très modérée, de l’intendant Doujat</w:t>
      </w:r>
      <w:r>
        <w:rPr>
          <w:color w:val="000000"/>
          <w:lang w:eastAsia="fr-FR" w:bidi="fr-FR"/>
        </w:rPr>
        <w:t> </w:t>
      </w:r>
      <w:r>
        <w:rPr>
          <w:rStyle w:val="Appelnotedebasdep"/>
        </w:rPr>
        <w:footnoteReference w:id="132"/>
      </w:r>
      <w:r w:rsidRPr="009C29C2">
        <w:rPr>
          <w:color w:val="000000"/>
          <w:vertAlign w:val="superscript"/>
          <w:lang w:eastAsia="fr-FR" w:bidi="fr-FR"/>
        </w:rPr>
        <w:t xml:space="preserve"> </w:t>
      </w:r>
      <w:r w:rsidRPr="009C29C2">
        <w:rPr>
          <w:color w:val="000000"/>
          <w:lang w:eastAsia="fr-FR" w:bidi="fr-FR"/>
        </w:rPr>
        <w:t>(8 février 1716) ; en Champagne, en 1759, ce</w:t>
      </w:r>
      <w:r w:rsidRPr="009C29C2">
        <w:rPr>
          <w:color w:val="000000"/>
          <w:lang w:eastAsia="fr-FR" w:bidi="fr-FR"/>
        </w:rPr>
        <w:t>l</w:t>
      </w:r>
      <w:r w:rsidRPr="009C29C2">
        <w:rPr>
          <w:color w:val="000000"/>
          <w:lang w:eastAsia="fr-FR" w:bidi="fr-FR"/>
        </w:rPr>
        <w:t>le de La Châtaigneraie, qui</w:t>
      </w:r>
      <w:r>
        <w:t xml:space="preserve"> </w:t>
      </w:r>
      <w:r>
        <w:rPr>
          <w:color w:val="000000"/>
          <w:lang w:eastAsia="fr-FR" w:bidi="fr-FR"/>
        </w:rPr>
        <w:t xml:space="preserve">[608] </w:t>
      </w:r>
      <w:r w:rsidRPr="009C29C2">
        <w:rPr>
          <w:color w:val="000000"/>
          <w:lang w:eastAsia="fr-FR" w:bidi="fr-FR"/>
        </w:rPr>
        <w:t>ne concernait que les sainfoins</w:t>
      </w:r>
      <w:r>
        <w:rPr>
          <w:color w:val="000000"/>
          <w:lang w:eastAsia="fr-FR" w:bidi="fr-FR"/>
        </w:rPr>
        <w:t> </w:t>
      </w:r>
      <w:r>
        <w:rPr>
          <w:rStyle w:val="Appelnotedebasdep"/>
        </w:rPr>
        <w:footnoteReference w:id="133"/>
      </w:r>
      <w:r w:rsidRPr="009C29C2">
        <w:rPr>
          <w:color w:val="000000"/>
          <w:lang w:eastAsia="fr-FR" w:bidi="fr-FR"/>
        </w:rPr>
        <w:t>. La plupart de leurs collègues e</w:t>
      </w:r>
      <w:r w:rsidRPr="009C29C2">
        <w:rPr>
          <w:color w:val="000000"/>
          <w:lang w:eastAsia="fr-FR" w:bidi="fr-FR"/>
        </w:rPr>
        <w:t>u</w:t>
      </w:r>
      <w:r w:rsidRPr="009C29C2">
        <w:rPr>
          <w:color w:val="000000"/>
          <w:lang w:eastAsia="fr-FR" w:bidi="fr-FR"/>
        </w:rPr>
        <w:t>rent moins d’audace ; ils se contentaient d’approuver, au besoin de provoquer, les décisions des communa</w:t>
      </w:r>
      <w:r w:rsidRPr="009C29C2">
        <w:rPr>
          <w:color w:val="000000"/>
          <w:lang w:eastAsia="fr-FR" w:bidi="fr-FR"/>
        </w:rPr>
        <w:t>u</w:t>
      </w:r>
      <w:r w:rsidRPr="009C29C2">
        <w:rPr>
          <w:color w:val="000000"/>
          <w:lang w:eastAsia="fr-FR" w:bidi="fr-FR"/>
        </w:rPr>
        <w:t>tés</w:t>
      </w:r>
      <w:r>
        <w:rPr>
          <w:color w:val="000000"/>
          <w:lang w:eastAsia="fr-FR" w:bidi="fr-FR"/>
        </w:rPr>
        <w:t> </w:t>
      </w:r>
      <w:r>
        <w:rPr>
          <w:rStyle w:val="Appelnotedebasdep"/>
        </w:rPr>
        <w:footnoteReference w:id="134"/>
      </w:r>
      <w:r>
        <w:rPr>
          <w:color w:val="000000"/>
          <w:lang w:eastAsia="fr-FR" w:bidi="fr-FR"/>
        </w:rPr>
        <w:t> ; il</w:t>
      </w:r>
      <w:r w:rsidRPr="009C29C2">
        <w:rPr>
          <w:color w:val="000000"/>
          <w:lang w:eastAsia="fr-FR" w:bidi="fr-FR"/>
        </w:rPr>
        <w:t>s renonçaient, de parti pris, à intervenir, dans les affaires de clôture, en laveur des anciennes règles : ainsi agit, en Alsace, à partir de 1777, M. de Blair</w:t>
      </w:r>
      <w:r>
        <w:rPr>
          <w:color w:val="000000"/>
          <w:lang w:eastAsia="fr-FR" w:bidi="fr-FR"/>
        </w:rPr>
        <w:t> </w:t>
      </w:r>
      <w:r>
        <w:rPr>
          <w:rStyle w:val="Appelnotedebasdep"/>
        </w:rPr>
        <w:footnoteReference w:id="135"/>
      </w:r>
      <w:r w:rsidRPr="009C29C2">
        <w:rPr>
          <w:color w:val="000000"/>
          <w:lang w:eastAsia="fr-FR" w:bidi="fr-FR"/>
        </w:rPr>
        <w:t>.</w:t>
      </w:r>
    </w:p>
    <w:p w14:paraId="11049746" w14:textId="77777777" w:rsidR="00B9662D" w:rsidRPr="009C29C2" w:rsidRDefault="00B9662D" w:rsidP="00B9662D">
      <w:pPr>
        <w:spacing w:before="120" w:after="120"/>
        <w:jc w:val="both"/>
      </w:pPr>
      <w:r w:rsidRPr="009C29C2">
        <w:rPr>
          <w:color w:val="000000"/>
          <w:lang w:eastAsia="fr-FR" w:bidi="fr-FR"/>
        </w:rPr>
        <w:t>Quant aux tribunaux ordinaires, leur jurisprudence était fort vari</w:t>
      </w:r>
      <w:r w:rsidRPr="009C29C2">
        <w:rPr>
          <w:color w:val="000000"/>
          <w:lang w:eastAsia="fr-FR" w:bidi="fr-FR"/>
        </w:rPr>
        <w:t>a</w:t>
      </w:r>
      <w:r w:rsidRPr="009C29C2">
        <w:rPr>
          <w:color w:val="000000"/>
          <w:lang w:eastAsia="fr-FR" w:bidi="fr-FR"/>
        </w:rPr>
        <w:t>ble. Dans une même province, l’Auvergne, deux sénéchaussées vois</w:t>
      </w:r>
      <w:r w:rsidRPr="009C29C2">
        <w:rPr>
          <w:color w:val="000000"/>
          <w:lang w:eastAsia="fr-FR" w:bidi="fr-FR"/>
        </w:rPr>
        <w:t>i</w:t>
      </w:r>
      <w:r w:rsidRPr="009C29C2">
        <w:rPr>
          <w:color w:val="000000"/>
          <w:lang w:eastAsia="fr-FR" w:bidi="fr-FR"/>
        </w:rPr>
        <w:t>nes, celles de Clermont</w:t>
      </w:r>
      <w:r>
        <w:rPr>
          <w:color w:val="000000"/>
          <w:lang w:eastAsia="fr-FR" w:bidi="fr-FR"/>
        </w:rPr>
        <w:t> </w:t>
      </w:r>
      <w:r>
        <w:rPr>
          <w:rStyle w:val="Appelnotedebasdep"/>
        </w:rPr>
        <w:footnoteReference w:id="136"/>
      </w:r>
      <w:r w:rsidRPr="009C29C2">
        <w:rPr>
          <w:color w:val="000000"/>
          <w:lang w:eastAsia="fr-FR" w:bidi="fr-FR"/>
        </w:rPr>
        <w:t xml:space="preserve"> et de Riom</w:t>
      </w:r>
      <w:r>
        <w:rPr>
          <w:color w:val="000000"/>
          <w:lang w:eastAsia="fr-FR" w:bidi="fr-FR"/>
        </w:rPr>
        <w:t> </w:t>
      </w:r>
      <w:r>
        <w:rPr>
          <w:rStyle w:val="Appelnotedebasdep"/>
        </w:rPr>
        <w:footnoteReference w:id="137"/>
      </w:r>
      <w:r w:rsidRPr="009C29C2">
        <w:rPr>
          <w:color w:val="000000"/>
          <w:lang w:eastAsia="fr-FR" w:bidi="fr-FR"/>
        </w:rPr>
        <w:t xml:space="preserve">, à neuf ans de distance, </w:t>
      </w:r>
      <w:r w:rsidRPr="009C29C2">
        <w:rPr>
          <w:color w:val="000000"/>
          <w:lang w:eastAsia="fr-FR" w:bidi="fr-FR"/>
        </w:rPr>
        <w:lastRenderedPageBreak/>
        <w:t>décl</w:t>
      </w:r>
      <w:r w:rsidRPr="009C29C2">
        <w:rPr>
          <w:color w:val="000000"/>
          <w:lang w:eastAsia="fr-FR" w:bidi="fr-FR"/>
        </w:rPr>
        <w:t>a</w:t>
      </w:r>
      <w:r w:rsidRPr="009C29C2">
        <w:rPr>
          <w:color w:val="000000"/>
          <w:lang w:eastAsia="fr-FR" w:bidi="fr-FR"/>
        </w:rPr>
        <w:t>raient, la première les prairies artificielles défensables en tout temps, l’autre ces mêmes prairies assujetties à la vaine pâture. Les Cours souveraines n’étaient pas plus unanimes. Toutefois, à mesure que s’avance le siècle, on voit nettement certaines d’entre elles incliner vers des décisions favorables aux cultures nouvelles. En 1743, le Pa</w:t>
      </w:r>
      <w:r w:rsidRPr="009C29C2">
        <w:rPr>
          <w:color w:val="000000"/>
          <w:lang w:eastAsia="fr-FR" w:bidi="fr-FR"/>
        </w:rPr>
        <w:t>r</w:t>
      </w:r>
      <w:r w:rsidRPr="009C29C2">
        <w:rPr>
          <w:color w:val="000000"/>
          <w:lang w:eastAsia="fr-FR" w:bidi="fr-FR"/>
        </w:rPr>
        <w:t>lement de Rouen, qui, à vrai dire, avait depuis longtemps pris l’habitude de ne traiter les servitudes collectives qu’avec peu de considération, ordonna la mise en défense des trèfles</w:t>
      </w:r>
      <w:r>
        <w:rPr>
          <w:color w:val="000000"/>
          <w:lang w:eastAsia="fr-FR" w:bidi="fr-FR"/>
        </w:rPr>
        <w:t> </w:t>
      </w:r>
      <w:r>
        <w:rPr>
          <w:rStyle w:val="Appelnotedebasdep"/>
        </w:rPr>
        <w:footnoteReference w:id="138"/>
      </w:r>
      <w:r w:rsidRPr="009C29C2">
        <w:rPr>
          <w:color w:val="000000"/>
          <w:lang w:eastAsia="fr-FR" w:bidi="fr-FR"/>
        </w:rPr>
        <w:t>. De même, vers la même date, pour les sainfoins, le Conseil souverain de Roussillon, qui, en même temps, limitait sur l’ensemble des fourrages la durée de la dépaissance</w:t>
      </w:r>
      <w:r>
        <w:rPr>
          <w:color w:val="000000"/>
          <w:lang w:eastAsia="fr-FR" w:bidi="fr-FR"/>
        </w:rPr>
        <w:t> </w:t>
      </w:r>
      <w:r>
        <w:rPr>
          <w:rStyle w:val="Appelnotedebasdep"/>
        </w:rPr>
        <w:footnoteReference w:id="139"/>
      </w:r>
      <w:r w:rsidRPr="009C29C2">
        <w:rPr>
          <w:color w:val="000000"/>
          <w:lang w:eastAsia="fr-FR" w:bidi="fr-FR"/>
        </w:rPr>
        <w:t>. Sensiblement plus tard, en 1778 et 1781, le Parl</w:t>
      </w:r>
      <w:r w:rsidRPr="009C29C2">
        <w:rPr>
          <w:color w:val="000000"/>
          <w:lang w:eastAsia="fr-FR" w:bidi="fr-FR"/>
        </w:rPr>
        <w:t>e</w:t>
      </w:r>
      <w:r w:rsidRPr="009C29C2">
        <w:rPr>
          <w:color w:val="000000"/>
          <w:lang w:eastAsia="fr-FR" w:bidi="fr-FR"/>
        </w:rPr>
        <w:t>ment de Paris, par des décisions qui s’appliquaient à diverses parties de son ressort, prouva son désir de protéger, toutes les fois que la co</w:t>
      </w:r>
      <w:r w:rsidRPr="009C29C2">
        <w:rPr>
          <w:color w:val="000000"/>
          <w:lang w:eastAsia="fr-FR" w:bidi="fr-FR"/>
        </w:rPr>
        <w:t>u</w:t>
      </w:r>
      <w:r w:rsidRPr="009C29C2">
        <w:rPr>
          <w:color w:val="000000"/>
          <w:lang w:eastAsia="fr-FR" w:bidi="fr-FR"/>
        </w:rPr>
        <w:t>tume n’était pas trop difficile à plier en ce sens, les plantes fourrag</w:t>
      </w:r>
      <w:r w:rsidRPr="009C29C2">
        <w:rPr>
          <w:color w:val="000000"/>
          <w:lang w:eastAsia="fr-FR" w:bidi="fr-FR"/>
        </w:rPr>
        <w:t>è</w:t>
      </w:r>
      <w:r w:rsidRPr="009C29C2">
        <w:rPr>
          <w:color w:val="000000"/>
          <w:lang w:eastAsia="fr-FR" w:bidi="fr-FR"/>
        </w:rPr>
        <w:t>res</w:t>
      </w:r>
      <w:r>
        <w:rPr>
          <w:color w:val="000000"/>
          <w:lang w:eastAsia="fr-FR" w:bidi="fr-FR"/>
        </w:rPr>
        <w:t> </w:t>
      </w:r>
      <w:r>
        <w:rPr>
          <w:rStyle w:val="Appelnotedebasdep"/>
        </w:rPr>
        <w:footnoteReference w:id="140"/>
      </w:r>
      <w:r w:rsidRPr="009C29C2">
        <w:rPr>
          <w:color w:val="000000"/>
          <w:lang w:eastAsia="fr-FR" w:bidi="fr-FR"/>
        </w:rPr>
        <w:t>. Peu à peu, mais bien lentement, la révolution agricole se frayait son chemin.</w:t>
      </w:r>
    </w:p>
    <w:p w14:paraId="782C1172" w14:textId="77777777" w:rsidR="00B9662D" w:rsidRPr="009C29C2" w:rsidRDefault="00B9662D" w:rsidP="00B9662D">
      <w:pPr>
        <w:spacing w:before="120" w:after="120"/>
        <w:jc w:val="both"/>
      </w:pPr>
      <w:r w:rsidRPr="009C29C2">
        <w:rPr>
          <w:color w:val="000000"/>
          <w:lang w:eastAsia="fr-FR" w:bidi="fr-FR"/>
        </w:rPr>
        <w:t>Dans la plus grande partie du Sud-Ouest, les contraintes collectives avaient toujours eu moins de force qu’au Nord de la Loire ou dans les deux Bourgognes. L’esprit communautaire y était moins vif, la forme des champs qui, généralement, n’affectaient pas, comme dans le Nord et l’Est, l’aspect de longues et minces lanières, n’imposait pas aussi impérieusement la soumission à des règles d’exploitation communes. On ne saurait s’étonner que, de la part des pouvoirs locaux, l’assaut contre l’agriculture ancienne y ait été beaucoup plus vigoureusement</w:t>
      </w:r>
      <w:r>
        <w:t xml:space="preserve"> [</w:t>
      </w:r>
      <w:r w:rsidRPr="009C29C2">
        <w:rPr>
          <w:color w:val="000000"/>
          <w:lang w:eastAsia="fr-FR" w:bidi="fr-FR"/>
        </w:rPr>
        <w:t>609</w:t>
      </w:r>
      <w:r>
        <w:rPr>
          <w:color w:val="000000"/>
          <w:lang w:eastAsia="fr-FR" w:bidi="fr-FR"/>
        </w:rPr>
        <w:t xml:space="preserve">] </w:t>
      </w:r>
      <w:r w:rsidRPr="009C29C2">
        <w:rPr>
          <w:color w:val="000000"/>
          <w:lang w:eastAsia="fr-FR" w:bidi="fr-FR"/>
        </w:rPr>
        <w:t xml:space="preserve">mené. </w:t>
      </w:r>
      <w:r>
        <w:rPr>
          <w:color w:val="000000"/>
          <w:lang w:eastAsia="fr-FR" w:bidi="fr-FR"/>
        </w:rPr>
        <w:t>À</w:t>
      </w:r>
      <w:r w:rsidRPr="009C29C2">
        <w:rPr>
          <w:color w:val="000000"/>
          <w:lang w:eastAsia="fr-FR" w:bidi="fr-FR"/>
        </w:rPr>
        <w:t xml:space="preserve"> plusieurs reprises, au cours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le Parl</w:t>
      </w:r>
      <w:r w:rsidRPr="009C29C2">
        <w:rPr>
          <w:color w:val="000000"/>
          <w:lang w:eastAsia="fr-FR" w:bidi="fr-FR"/>
        </w:rPr>
        <w:t>e</w:t>
      </w:r>
      <w:r w:rsidRPr="009C29C2">
        <w:rPr>
          <w:color w:val="000000"/>
          <w:lang w:eastAsia="fr-FR" w:bidi="fr-FR"/>
        </w:rPr>
        <w:t>ment de Bordeaux alla jusqu’à proscrire, radicalement, tout pacage sur le fonds d’autrui ; trop absolue, à vrai dire, cette interdiction ne réussit pas à triompher de l’usage différent qui régnait en divers lieux du re</w:t>
      </w:r>
      <w:r w:rsidRPr="009C29C2">
        <w:rPr>
          <w:color w:val="000000"/>
          <w:lang w:eastAsia="fr-FR" w:bidi="fr-FR"/>
        </w:rPr>
        <w:t>s</w:t>
      </w:r>
      <w:r w:rsidRPr="009C29C2">
        <w:rPr>
          <w:color w:val="000000"/>
          <w:lang w:eastAsia="fr-FR" w:bidi="fr-FR"/>
        </w:rPr>
        <w:lastRenderedPageBreak/>
        <w:t>sort</w:t>
      </w:r>
      <w:r>
        <w:rPr>
          <w:color w:val="000000"/>
          <w:lang w:eastAsia="fr-FR" w:bidi="fr-FR"/>
        </w:rPr>
        <w:t> </w:t>
      </w:r>
      <w:r>
        <w:rPr>
          <w:rStyle w:val="Appelnotedebasdep"/>
        </w:rPr>
        <w:footnoteReference w:id="141"/>
      </w:r>
      <w:r w:rsidRPr="009C29C2">
        <w:rPr>
          <w:color w:val="000000"/>
          <w:lang w:eastAsia="fr-FR" w:bidi="fr-FR"/>
        </w:rPr>
        <w:t>. Plus prudente, l’action du Parlement de Toulouse fut plus eff</w:t>
      </w:r>
      <w:r w:rsidRPr="009C29C2">
        <w:rPr>
          <w:color w:val="000000"/>
          <w:lang w:eastAsia="fr-FR" w:bidi="fr-FR"/>
        </w:rPr>
        <w:t>i</w:t>
      </w:r>
      <w:r w:rsidRPr="009C29C2">
        <w:rPr>
          <w:color w:val="000000"/>
          <w:lang w:eastAsia="fr-FR" w:bidi="fr-FR"/>
        </w:rPr>
        <w:t>cace. Mais la Cour ici n’était guère que le truchement d’une autre puissance : les États de Languedoc.</w:t>
      </w:r>
    </w:p>
    <w:p w14:paraId="4DA64B62" w14:textId="77777777" w:rsidR="00B9662D" w:rsidRPr="009C29C2" w:rsidRDefault="00B9662D" w:rsidP="00B9662D">
      <w:pPr>
        <w:spacing w:before="120" w:after="120"/>
        <w:jc w:val="both"/>
      </w:pPr>
      <w:r w:rsidRPr="009C29C2">
        <w:rPr>
          <w:color w:val="000000"/>
          <w:lang w:eastAsia="fr-FR" w:bidi="fr-FR"/>
        </w:rPr>
        <w:t xml:space="preserve">Dans les transformations agraires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la place tenue par les États provinciaux, en général, fut loin d’être négligeable ; nous en avons déjà rencontré des preuves, nous en verrons davantage enc</w:t>
      </w:r>
      <w:r w:rsidRPr="009C29C2">
        <w:rPr>
          <w:color w:val="000000"/>
          <w:lang w:eastAsia="fr-FR" w:bidi="fr-FR"/>
        </w:rPr>
        <w:t>o</w:t>
      </w:r>
      <w:r w:rsidRPr="009C29C2">
        <w:rPr>
          <w:color w:val="000000"/>
          <w:lang w:eastAsia="fr-FR" w:bidi="fr-FR"/>
        </w:rPr>
        <w:t>re. Ils comptaient dans leur sein beaucoup de grands propriétaires, a</w:t>
      </w:r>
      <w:r w:rsidRPr="009C29C2">
        <w:rPr>
          <w:color w:val="000000"/>
          <w:lang w:eastAsia="fr-FR" w:bidi="fr-FR"/>
        </w:rPr>
        <w:t>s</w:t>
      </w:r>
      <w:r w:rsidRPr="009C29C2">
        <w:rPr>
          <w:color w:val="000000"/>
          <w:lang w:eastAsia="fr-FR" w:bidi="fr-FR"/>
        </w:rPr>
        <w:t>sez instruits pour accepter les idées nouvelles, assez avisés pour se mettre à l’affût de toutes les améliorations dont ils pouvaient attendre un accroissement de revenus. Les conditions administratives partic</w:t>
      </w:r>
      <w:r w:rsidRPr="009C29C2">
        <w:rPr>
          <w:color w:val="000000"/>
          <w:lang w:eastAsia="fr-FR" w:bidi="fr-FR"/>
        </w:rPr>
        <w:t>u</w:t>
      </w:r>
      <w:r w:rsidRPr="009C29C2">
        <w:rPr>
          <w:color w:val="000000"/>
          <w:lang w:eastAsia="fr-FR" w:bidi="fr-FR"/>
        </w:rPr>
        <w:t>lières au Languedoc firent que leur rôle y fut plus considérable que partout ailleurs.</w:t>
      </w:r>
    </w:p>
    <w:p w14:paraId="7FA6C9F0" w14:textId="77777777" w:rsidR="00B9662D" w:rsidRPr="009C29C2" w:rsidRDefault="00B9662D" w:rsidP="00B9662D">
      <w:pPr>
        <w:spacing w:before="120" w:after="120"/>
        <w:jc w:val="both"/>
      </w:pPr>
      <w:r w:rsidRPr="009C29C2">
        <w:rPr>
          <w:color w:val="000000"/>
          <w:lang w:eastAsia="fr-FR" w:bidi="fr-FR"/>
        </w:rPr>
        <w:t>De bonne heure, les États s’étaient préoccupés de protéger contre le pacage certaines cultures. Sur leur requête, le Parlement avait re</w:t>
      </w:r>
      <w:r w:rsidRPr="009C29C2">
        <w:rPr>
          <w:color w:val="000000"/>
          <w:lang w:eastAsia="fr-FR" w:bidi="fr-FR"/>
        </w:rPr>
        <w:t>n</w:t>
      </w:r>
      <w:r w:rsidRPr="009C29C2">
        <w:rPr>
          <w:color w:val="000000"/>
          <w:lang w:eastAsia="fr-FR" w:bidi="fr-FR"/>
        </w:rPr>
        <w:t xml:space="preserve">du, le 6 novembre 1534, </w:t>
      </w:r>
      <w:r>
        <w:t>l’</w:t>
      </w:r>
      <w:r w:rsidRPr="0056560A">
        <w:rPr>
          <w:i/>
        </w:rPr>
        <w:t>Édit du Vet</w:t>
      </w:r>
      <w:r w:rsidRPr="0056560A">
        <w:rPr>
          <w:i/>
          <w:color w:val="000000"/>
          <w:lang w:eastAsia="fr-FR" w:bidi="fr-FR"/>
        </w:rPr>
        <w:t xml:space="preserve"> </w:t>
      </w:r>
      <w:r w:rsidRPr="009C29C2">
        <w:rPr>
          <w:color w:val="000000"/>
          <w:lang w:eastAsia="fr-FR" w:bidi="fr-FR"/>
        </w:rPr>
        <w:t>qui mettait en défens, en tout temps, les vignes, les olivettes, les jardins, les vergers, les prés, les bois nouvellement plantés ou taillis. Les labours restaient soumis à la vaine pâture, qu’on appelait là-bas « compascuité »</w:t>
      </w:r>
      <w:r>
        <w:rPr>
          <w:color w:val="000000"/>
          <w:lang w:eastAsia="fr-FR" w:bidi="fr-FR"/>
        </w:rPr>
        <w:t> </w:t>
      </w:r>
      <w:r>
        <w:rPr>
          <w:rStyle w:val="Appelnotedebasdep"/>
        </w:rPr>
        <w:footnoteReference w:id="142"/>
      </w:r>
      <w:r w:rsidRPr="009C29C2">
        <w:rPr>
          <w:color w:val="000000"/>
          <w:lang w:eastAsia="fr-FR" w:bidi="fr-FR"/>
        </w:rPr>
        <w:t>. En 1725, to</w:t>
      </w:r>
      <w:r w:rsidRPr="009C29C2">
        <w:rPr>
          <w:color w:val="000000"/>
          <w:lang w:eastAsia="fr-FR" w:bidi="fr-FR"/>
        </w:rPr>
        <w:t>u</w:t>
      </w:r>
      <w:r w:rsidRPr="009C29C2">
        <w:rPr>
          <w:color w:val="000000"/>
          <w:lang w:eastAsia="fr-FR" w:bidi="fr-FR"/>
        </w:rPr>
        <w:t>jours sur la même initiative, un nouvel arrêt vint préciser, dans une vaste partie du ressort (diocèses de Nîmes, Montpellier, Alais, Uzès, Viviers, Mende, Le Puy) l’étendue de cette servitude. Recul signific</w:t>
      </w:r>
      <w:r w:rsidRPr="009C29C2">
        <w:rPr>
          <w:color w:val="000000"/>
          <w:lang w:eastAsia="fr-FR" w:bidi="fr-FR"/>
        </w:rPr>
        <w:t>a</w:t>
      </w:r>
      <w:r w:rsidRPr="009C29C2">
        <w:rPr>
          <w:color w:val="000000"/>
          <w:lang w:eastAsia="fr-FR" w:bidi="fr-FR"/>
        </w:rPr>
        <w:t>tif : les prés y étaient de nouveau soumis. Une disposition, qui avant</w:t>
      </w:r>
      <w:r w:rsidRPr="009C29C2">
        <w:rPr>
          <w:color w:val="000000"/>
          <w:lang w:eastAsia="fr-FR" w:bidi="fr-FR"/>
        </w:rPr>
        <w:t>a</w:t>
      </w:r>
      <w:r w:rsidRPr="009C29C2">
        <w:rPr>
          <w:color w:val="000000"/>
          <w:lang w:eastAsia="fr-FR" w:bidi="fr-FR"/>
        </w:rPr>
        <w:t>geait les riches, établissait que les habitants ne devaient envoyer à la dépaissance qu’un nombre de bêtes proportionnel à l’étendue de leurs biens. Enfin « les fonds renfermés dans des enclos » étaient exempts</w:t>
      </w:r>
      <w:r>
        <w:rPr>
          <w:color w:val="000000"/>
          <w:lang w:eastAsia="fr-FR" w:bidi="fr-FR"/>
        </w:rPr>
        <w:t> </w:t>
      </w:r>
      <w:r>
        <w:rPr>
          <w:rStyle w:val="Appelnotedebasdep"/>
        </w:rPr>
        <w:footnoteReference w:id="143"/>
      </w:r>
      <w:r w:rsidRPr="009C29C2">
        <w:rPr>
          <w:color w:val="000000"/>
          <w:lang w:eastAsia="fr-FR" w:bidi="fr-FR"/>
        </w:rPr>
        <w:t xml:space="preserve">. Grave exception : sur la liberté de clôture, l’arrêt ne se </w:t>
      </w:r>
      <w:r w:rsidRPr="009C29C2">
        <w:rPr>
          <w:color w:val="000000"/>
          <w:lang w:eastAsia="fr-FR" w:bidi="fr-FR"/>
        </w:rPr>
        <w:lastRenderedPageBreak/>
        <w:t>prononçait point ; mais tout concorde à montrer que dans le ressort, réserve faite de quelques rares districts, l’usage la reconnaissait à peu près pa</w:t>
      </w:r>
      <w:r w:rsidRPr="009C29C2">
        <w:rPr>
          <w:color w:val="000000"/>
          <w:lang w:eastAsia="fr-FR" w:bidi="fr-FR"/>
        </w:rPr>
        <w:t>r</w:t>
      </w:r>
      <w:r w:rsidRPr="009C29C2">
        <w:rPr>
          <w:color w:val="000000"/>
          <w:lang w:eastAsia="fr-FR" w:bidi="fr-FR"/>
        </w:rPr>
        <w:t>tout</w:t>
      </w:r>
      <w:r>
        <w:rPr>
          <w:color w:val="000000"/>
          <w:lang w:eastAsia="fr-FR" w:bidi="fr-FR"/>
        </w:rPr>
        <w:t> </w:t>
      </w:r>
      <w:r>
        <w:rPr>
          <w:rStyle w:val="Appelnotedebasdep"/>
        </w:rPr>
        <w:footnoteReference w:id="144"/>
      </w:r>
      <w:r w:rsidRPr="009C29C2">
        <w:rPr>
          <w:color w:val="000000"/>
          <w:lang w:eastAsia="fr-FR" w:bidi="fr-FR"/>
        </w:rPr>
        <w:t>. Le propriétaire qui voulait soustraire ses champs à l’exploitation collective avait donc une ressource, qui lui eût échappé dans le Nord : les clore ; mais il n’avait absolument que celle-là</w:t>
      </w:r>
      <w:r>
        <w:rPr>
          <w:color w:val="000000"/>
          <w:lang w:eastAsia="fr-FR" w:bidi="fr-FR"/>
        </w:rPr>
        <w:t> </w:t>
      </w:r>
      <w:r>
        <w:rPr>
          <w:rStyle w:val="Appelnotedebasdep"/>
        </w:rPr>
        <w:footnoteReference w:id="145"/>
      </w:r>
      <w:r w:rsidRPr="009C29C2">
        <w:rPr>
          <w:color w:val="000000"/>
          <w:lang w:eastAsia="fr-FR" w:bidi="fr-FR"/>
        </w:rPr>
        <w:t>. Au cours du siècle,</w:t>
      </w:r>
      <w:r>
        <w:t xml:space="preserve"> [610] </w:t>
      </w:r>
      <w:r w:rsidRPr="009C29C2">
        <w:rPr>
          <w:color w:val="000000"/>
          <w:lang w:eastAsia="fr-FR" w:bidi="fr-FR"/>
        </w:rPr>
        <w:t>cependant, les idées changèrent. Les plaintes des personnes écla</w:t>
      </w:r>
      <w:r w:rsidRPr="009C29C2">
        <w:rPr>
          <w:color w:val="000000"/>
          <w:lang w:eastAsia="fr-FR" w:bidi="fr-FR"/>
        </w:rPr>
        <w:t>i</w:t>
      </w:r>
      <w:r w:rsidRPr="009C29C2">
        <w:rPr>
          <w:color w:val="000000"/>
          <w:lang w:eastAsia="fr-FR" w:bidi="fr-FR"/>
        </w:rPr>
        <w:t>rées qui regardaient la compascuité « comme très préjudiciable à la culture des terres », arrivèrent jusqu’aux États. En 1765, les « Commissaires nommés pour ce qui regarde l’agriculture » étudièrent la question. Sur leur avis, les États décidèrent de consulter les asse</w:t>
      </w:r>
      <w:r w:rsidRPr="009C29C2">
        <w:rPr>
          <w:color w:val="000000"/>
          <w:lang w:eastAsia="fr-FR" w:bidi="fr-FR"/>
        </w:rPr>
        <w:t>m</w:t>
      </w:r>
      <w:r w:rsidRPr="009C29C2">
        <w:rPr>
          <w:color w:val="000000"/>
          <w:lang w:eastAsia="fr-FR" w:bidi="fr-FR"/>
        </w:rPr>
        <w:t>blées des diocèses. Le questionnaire portait à la fois sur la compascu</w:t>
      </w:r>
      <w:r w:rsidRPr="009C29C2">
        <w:rPr>
          <w:color w:val="000000"/>
          <w:lang w:eastAsia="fr-FR" w:bidi="fr-FR"/>
        </w:rPr>
        <w:t>i</w:t>
      </w:r>
      <w:r w:rsidRPr="009C29C2">
        <w:rPr>
          <w:color w:val="000000"/>
          <w:lang w:eastAsia="fr-FR" w:bidi="fr-FR"/>
        </w:rPr>
        <w:t>té et sur l’aliénation des communaux, que beaucoup d’agronomes estimaient alors opportune. Sur ce dernier point, les di</w:t>
      </w:r>
      <w:r w:rsidRPr="009C29C2">
        <w:rPr>
          <w:color w:val="000000"/>
          <w:lang w:eastAsia="fr-FR" w:bidi="fr-FR"/>
        </w:rPr>
        <w:t>o</w:t>
      </w:r>
      <w:r w:rsidRPr="009C29C2">
        <w:rPr>
          <w:color w:val="000000"/>
          <w:lang w:eastAsia="fr-FR" w:bidi="fr-FR"/>
        </w:rPr>
        <w:t>cèses, presque unanimement, manifestèrent leur fidélité aux anciens principes ; seuls, ceux de Viviers et de Narbonne se déclarèrent fav</w:t>
      </w:r>
      <w:r w:rsidRPr="009C29C2">
        <w:rPr>
          <w:color w:val="000000"/>
          <w:lang w:eastAsia="fr-FR" w:bidi="fr-FR"/>
        </w:rPr>
        <w:t>o</w:t>
      </w:r>
      <w:r w:rsidRPr="009C29C2">
        <w:rPr>
          <w:color w:val="000000"/>
          <w:lang w:eastAsia="fr-FR" w:bidi="fr-FR"/>
        </w:rPr>
        <w:t>rables à une réfo</w:t>
      </w:r>
      <w:r w:rsidRPr="009C29C2">
        <w:rPr>
          <w:color w:val="000000"/>
          <w:lang w:eastAsia="fr-FR" w:bidi="fr-FR"/>
        </w:rPr>
        <w:t>r</w:t>
      </w:r>
      <w:r w:rsidRPr="009C29C2">
        <w:rPr>
          <w:color w:val="000000"/>
          <w:lang w:eastAsia="fr-FR" w:bidi="fr-FR"/>
        </w:rPr>
        <w:t>me ; encore ne la désiraient-ils que pour la plaine. Sur la compascuité, on se divisa : Montpellier, Uzès, Béziers, Albi, le Gévaudan en demandèrent le maintien ; Nîmes, Alais, Viviers, Na</w:t>
      </w:r>
      <w:r w:rsidRPr="009C29C2">
        <w:rPr>
          <w:color w:val="000000"/>
          <w:lang w:eastAsia="fr-FR" w:bidi="fr-FR"/>
        </w:rPr>
        <w:t>r</w:t>
      </w:r>
      <w:r w:rsidRPr="009C29C2">
        <w:rPr>
          <w:color w:val="000000"/>
          <w:lang w:eastAsia="fr-FR" w:bidi="fr-FR"/>
        </w:rPr>
        <w:t>bonne, Saint-Pons, l’abolition ; le Velay se prononça contre toute r</w:t>
      </w:r>
      <w:r w:rsidRPr="009C29C2">
        <w:rPr>
          <w:color w:val="000000"/>
          <w:lang w:eastAsia="fr-FR" w:bidi="fr-FR"/>
        </w:rPr>
        <w:t>è</w:t>
      </w:r>
      <w:r w:rsidRPr="009C29C2">
        <w:rPr>
          <w:color w:val="000000"/>
          <w:lang w:eastAsia="fr-FR" w:bidi="fr-FR"/>
        </w:rPr>
        <w:t>gle absolue. Les États, estimant que la question des communaux n’était pas mûre, la « réservèrent »</w:t>
      </w:r>
      <w:r>
        <w:rPr>
          <w:color w:val="000000"/>
          <w:lang w:eastAsia="fr-FR" w:bidi="fr-FR"/>
        </w:rPr>
        <w:t> </w:t>
      </w:r>
      <w:r>
        <w:rPr>
          <w:rStyle w:val="Appelnotedebasdep"/>
        </w:rPr>
        <w:footnoteReference w:id="146"/>
      </w:r>
      <w:r>
        <w:rPr>
          <w:color w:val="000000"/>
          <w:lang w:eastAsia="fr-FR" w:bidi="fr-FR"/>
        </w:rPr>
        <w:t>.</w:t>
      </w:r>
      <w:r w:rsidRPr="009C29C2">
        <w:rPr>
          <w:color w:val="000000"/>
          <w:lang w:eastAsia="fr-FR" w:bidi="fr-FR"/>
        </w:rPr>
        <w:t xml:space="preserve"> Le problème de la compascuité </w:t>
      </w:r>
      <w:r w:rsidRPr="009C29C2">
        <w:rPr>
          <w:color w:val="000000"/>
          <w:lang w:eastAsia="fr-FR" w:bidi="fr-FR"/>
        </w:rPr>
        <w:lastRenderedPageBreak/>
        <w:t>leur parut, au contraire, susceptible d’être tranché ; le 25 janvier 1766, ils votèrent sa suppression. Toujours docile, le Parlement rendit, le 21 juin, un arrêt conforme. Il interdisait, en principe, la « compascuité générale », dans les diocèses qu’avait touchés le règlement de 1725, Viviers excepté. Elle pouvait, il est vrai, être conservée, à titre exce</w:t>
      </w:r>
      <w:r w:rsidRPr="009C29C2">
        <w:rPr>
          <w:color w:val="000000"/>
          <w:lang w:eastAsia="fr-FR" w:bidi="fr-FR"/>
        </w:rPr>
        <w:t>p</w:t>
      </w:r>
      <w:r w:rsidRPr="009C29C2">
        <w:rPr>
          <w:color w:val="000000"/>
          <w:lang w:eastAsia="fr-FR" w:bidi="fr-FR"/>
        </w:rPr>
        <w:t>tionnel, par les communautés, mais à condition que la délibération, toujours rév</w:t>
      </w:r>
      <w:r w:rsidRPr="009C29C2">
        <w:rPr>
          <w:color w:val="000000"/>
          <w:lang w:eastAsia="fr-FR" w:bidi="fr-FR"/>
        </w:rPr>
        <w:t>o</w:t>
      </w:r>
      <w:r w:rsidRPr="009C29C2">
        <w:rPr>
          <w:color w:val="000000"/>
          <w:lang w:eastAsia="fr-FR" w:bidi="fr-FR"/>
        </w:rPr>
        <w:t>cable, fût prise à l’unanimité des suffrages. Aussi bien, même dans les lieux où l’usage primitif se perpétuait ainsi, chaque particulier, en tout temps et sans être obligé de se clore, recevait le droit de défendre l’accès de ses biens au bétail d’autrui. La plupart des diocèses, même parmi ceux qui étaient opposés au vain pâturage, avaient exprimé le souhait que l’on continuât à limiter le nombre des bêtes à laine, redo</w:t>
      </w:r>
      <w:r w:rsidRPr="009C29C2">
        <w:rPr>
          <w:color w:val="000000"/>
          <w:lang w:eastAsia="fr-FR" w:bidi="fr-FR"/>
        </w:rPr>
        <w:t>u</w:t>
      </w:r>
      <w:r w:rsidRPr="009C29C2">
        <w:rPr>
          <w:color w:val="000000"/>
          <w:lang w:eastAsia="fr-FR" w:bidi="fr-FR"/>
        </w:rPr>
        <w:t>tées pour leurs ravages sur le pâquis. Cette opinion fut jugée trop t</w:t>
      </w:r>
      <w:r w:rsidRPr="009C29C2">
        <w:rPr>
          <w:color w:val="000000"/>
          <w:lang w:eastAsia="fr-FR" w:bidi="fr-FR"/>
        </w:rPr>
        <w:t>i</w:t>
      </w:r>
      <w:r w:rsidRPr="009C29C2">
        <w:rPr>
          <w:color w:val="000000"/>
          <w:lang w:eastAsia="fr-FR" w:bidi="fr-FR"/>
        </w:rPr>
        <w:t>mide. Partout où la compascuité cessait d’avoir lieu, les possesseurs de biens-fonds furent désormais maîtres de fixer à leur gré l’étendue de leurs troupeaux</w:t>
      </w:r>
      <w:r>
        <w:rPr>
          <w:color w:val="000000"/>
          <w:lang w:eastAsia="fr-FR" w:bidi="fr-FR"/>
        </w:rPr>
        <w:t> </w:t>
      </w:r>
      <w:r>
        <w:rPr>
          <w:rStyle w:val="Appelnotedebasdep"/>
        </w:rPr>
        <w:footnoteReference w:id="147"/>
      </w:r>
      <w:r w:rsidRPr="009C29C2">
        <w:rPr>
          <w:color w:val="000000"/>
          <w:lang w:eastAsia="fr-FR" w:bidi="fr-FR"/>
        </w:rPr>
        <w:t>. C’était de toute</w:t>
      </w:r>
      <w:r>
        <w:rPr>
          <w:color w:val="000000"/>
          <w:lang w:eastAsia="fr-FR" w:bidi="fr-FR"/>
        </w:rPr>
        <w:t xml:space="preserve"> façon</w:t>
      </w:r>
      <w:r w:rsidRPr="009C29C2">
        <w:rPr>
          <w:color w:val="000000"/>
          <w:lang w:eastAsia="fr-FR" w:bidi="fr-FR"/>
        </w:rPr>
        <w:t>, la victoire de l’individualisme. Il semble d’ailleurs qu’un bon nombre de co</w:t>
      </w:r>
      <w:r w:rsidRPr="009C29C2">
        <w:rPr>
          <w:color w:val="000000"/>
          <w:lang w:eastAsia="fr-FR" w:bidi="fr-FR"/>
        </w:rPr>
        <w:t>m</w:t>
      </w:r>
      <w:r w:rsidRPr="009C29C2">
        <w:rPr>
          <w:color w:val="000000"/>
          <w:lang w:eastAsia="fr-FR" w:bidi="fr-FR"/>
        </w:rPr>
        <w:t>munautés aient mis à profit l’autorisation, qui leur était accordée, de maintenir le pâturage commun</w:t>
      </w:r>
      <w:r>
        <w:rPr>
          <w:color w:val="000000"/>
          <w:lang w:eastAsia="fr-FR" w:bidi="fr-FR"/>
        </w:rPr>
        <w:t> </w:t>
      </w:r>
      <w:r>
        <w:rPr>
          <w:rStyle w:val="Appelnotedebasdep"/>
        </w:rPr>
        <w:footnoteReference w:id="148"/>
      </w:r>
      <w:r w:rsidRPr="009C29C2">
        <w:rPr>
          <w:color w:val="000000"/>
          <w:lang w:eastAsia="fr-FR" w:bidi="fr-FR"/>
        </w:rPr>
        <w:t>. Autour de Montpellier, en 1789, on se plaignait du dommage qu’il causait aux oliviers</w:t>
      </w:r>
      <w:r>
        <w:rPr>
          <w:color w:val="000000"/>
          <w:lang w:eastAsia="fr-FR" w:bidi="fr-FR"/>
        </w:rPr>
        <w:t> </w:t>
      </w:r>
      <w:r>
        <w:rPr>
          <w:rStyle w:val="Appelnotedebasdep"/>
        </w:rPr>
        <w:footnoteReference w:id="149"/>
      </w:r>
      <w:r w:rsidRPr="009C29C2">
        <w:rPr>
          <w:color w:val="000000"/>
          <w:lang w:eastAsia="fr-FR" w:bidi="fr-FR"/>
        </w:rPr>
        <w:t>. En Haute-Garonne, il subsista, par places, jusqu’au cours du</w:t>
      </w:r>
      <w:r>
        <w:t xml:space="preserve"> [</w:t>
      </w:r>
      <w:r w:rsidRPr="009C29C2">
        <w:rPr>
          <w:color w:val="000000"/>
          <w:lang w:eastAsia="fr-FR" w:bidi="fr-FR"/>
        </w:rPr>
        <w:t>611</w:t>
      </w:r>
      <w:r>
        <w:rPr>
          <w:color w:val="000000"/>
          <w:lang w:eastAsia="fr-FR" w:bidi="fr-FR"/>
        </w:rPr>
        <w:t xml:space="preserve">] </w:t>
      </w:r>
      <w:r w:rsidRPr="00FA1B0B">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w:t>
      </w:r>
      <w:r w:rsidRPr="009C29C2">
        <w:rPr>
          <w:color w:val="000000"/>
          <w:lang w:eastAsia="fr-FR" w:bidi="fr-FR"/>
        </w:rPr>
        <w:lastRenderedPageBreak/>
        <w:t>siècle</w:t>
      </w:r>
      <w:r>
        <w:rPr>
          <w:color w:val="000000"/>
          <w:lang w:eastAsia="fr-FR" w:bidi="fr-FR"/>
        </w:rPr>
        <w:t> </w:t>
      </w:r>
      <w:r>
        <w:rPr>
          <w:rStyle w:val="Appelnotedebasdep"/>
        </w:rPr>
        <w:footnoteReference w:id="150"/>
      </w:r>
      <w:r w:rsidRPr="009C29C2">
        <w:rPr>
          <w:color w:val="000000"/>
          <w:lang w:eastAsia="fr-FR" w:bidi="fr-FR"/>
        </w:rPr>
        <w:t>. Néanmoins un coup très rude avait été porté aux mœurs anciennes.</w:t>
      </w:r>
    </w:p>
    <w:p w14:paraId="3C9DE623" w14:textId="77777777" w:rsidR="00B9662D" w:rsidRPr="009C29C2" w:rsidRDefault="00B9662D" w:rsidP="00B9662D">
      <w:pPr>
        <w:spacing w:before="120" w:after="120"/>
        <w:jc w:val="both"/>
      </w:pPr>
      <w:r w:rsidRPr="009C29C2">
        <w:rPr>
          <w:color w:val="000000"/>
          <w:lang w:eastAsia="fr-FR" w:bidi="fr-FR"/>
        </w:rPr>
        <w:t>Doctrine et pratique, tout conviait donc le gouvernement, aux env</w:t>
      </w:r>
      <w:r w:rsidRPr="009C29C2">
        <w:rPr>
          <w:color w:val="000000"/>
          <w:lang w:eastAsia="fr-FR" w:bidi="fr-FR"/>
        </w:rPr>
        <w:t>i</w:t>
      </w:r>
      <w:r w:rsidRPr="009C29C2">
        <w:rPr>
          <w:color w:val="000000"/>
          <w:lang w:eastAsia="fr-FR" w:bidi="fr-FR"/>
        </w:rPr>
        <w:t>rons de 1765, à prendre en main le problème de la vaine pâture. Il se trouva qu’à ce moment précisément les hommes en place étaient tout prêts à obéir à ces suggestions.</w:t>
      </w:r>
    </w:p>
    <w:p w14:paraId="1092A06A" w14:textId="77777777" w:rsidR="00B9662D" w:rsidRDefault="00B9662D" w:rsidP="00B9662D">
      <w:pPr>
        <w:spacing w:before="120" w:after="120"/>
        <w:jc w:val="both"/>
        <w:rPr>
          <w:rStyle w:val="Corpsdutexte9105ptNonGras"/>
          <w:b w:val="0"/>
          <w:bCs w:val="0"/>
          <w:sz w:val="28"/>
          <w:lang w:val="fr-CA"/>
        </w:rPr>
      </w:pPr>
      <w:r>
        <w:rPr>
          <w:rStyle w:val="Corpsdutexte9105ptNonGras"/>
          <w:b w:val="0"/>
          <w:bCs w:val="0"/>
          <w:sz w:val="28"/>
          <w:lang w:val="fr-CA"/>
        </w:rPr>
        <w:br w:type="page"/>
      </w:r>
    </w:p>
    <w:p w14:paraId="6420B1DC" w14:textId="77777777" w:rsidR="00B9662D" w:rsidRPr="009C29C2" w:rsidRDefault="00B9662D" w:rsidP="00B9662D">
      <w:pPr>
        <w:pStyle w:val="planche"/>
      </w:pPr>
      <w:bookmarkStart w:id="16" w:name="Melanges_t2_pt_6_chap_III_III"/>
      <w:r w:rsidRPr="00C61373">
        <w:t>III. — </w:t>
      </w:r>
      <w:r w:rsidRPr="009C29C2">
        <w:t>L’œuvre de Bertin et de Trudaine</w:t>
      </w:r>
    </w:p>
    <w:bookmarkEnd w:id="16"/>
    <w:p w14:paraId="55543D55" w14:textId="77777777" w:rsidR="00B9662D" w:rsidRDefault="00B9662D" w:rsidP="00B9662D">
      <w:pPr>
        <w:spacing w:before="120" w:after="120"/>
        <w:jc w:val="both"/>
        <w:rPr>
          <w:color w:val="000000"/>
          <w:lang w:eastAsia="fr-FR" w:bidi="fr-FR"/>
        </w:rPr>
      </w:pPr>
    </w:p>
    <w:p w14:paraId="1BC1BBC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724C6E5E" w14:textId="77777777" w:rsidR="00B9662D" w:rsidRPr="009C29C2" w:rsidRDefault="00B9662D" w:rsidP="00B9662D">
      <w:pPr>
        <w:spacing w:before="120" w:after="120"/>
        <w:jc w:val="both"/>
      </w:pPr>
      <w:r w:rsidRPr="009C29C2">
        <w:rPr>
          <w:color w:val="000000"/>
          <w:lang w:eastAsia="fr-FR" w:bidi="fr-FR"/>
        </w:rPr>
        <w:t xml:space="preserve">Qui dit changement de politique dit, à l’ordinaire, changement dans la composition d’un groupe humain. Tel fut le cas vers le milieu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Aux postes administratifs importants accède alors une génération qu’ont profondément touchée les idées économiques nouvelles : beaucoup d’intendants</w:t>
      </w:r>
      <w:r>
        <w:rPr>
          <w:color w:val="000000"/>
          <w:lang w:eastAsia="fr-FR" w:bidi="fr-FR"/>
        </w:rPr>
        <w:t> — </w:t>
      </w:r>
      <w:r w:rsidRPr="009C29C2">
        <w:rPr>
          <w:color w:val="000000"/>
          <w:lang w:eastAsia="fr-FR" w:bidi="fr-FR"/>
        </w:rPr>
        <w:t>nous en avons vu et nous en ve</w:t>
      </w:r>
      <w:r w:rsidRPr="009C29C2">
        <w:rPr>
          <w:color w:val="000000"/>
          <w:lang w:eastAsia="fr-FR" w:bidi="fr-FR"/>
        </w:rPr>
        <w:t>r</w:t>
      </w:r>
      <w:r w:rsidRPr="009C29C2">
        <w:rPr>
          <w:color w:val="000000"/>
          <w:lang w:eastAsia="fr-FR" w:bidi="fr-FR"/>
        </w:rPr>
        <w:t>rons encore des exemples</w:t>
      </w:r>
      <w:r>
        <w:rPr>
          <w:color w:val="000000"/>
          <w:lang w:eastAsia="fr-FR" w:bidi="fr-FR"/>
        </w:rPr>
        <w:t> — </w:t>
      </w:r>
      <w:r w:rsidRPr="009C29C2">
        <w:rPr>
          <w:color w:val="000000"/>
          <w:lang w:eastAsia="fr-FR" w:bidi="fr-FR"/>
        </w:rPr>
        <w:t>lui appartiennent ; un peu plus bas, elle peuple les bureaux d’intendance, à Besançon par exemple, avec cet Éthis de Novéant qui écrivit contre la vaine pâture, à Nancy avec D</w:t>
      </w:r>
      <w:r w:rsidRPr="009C29C2">
        <w:rPr>
          <w:color w:val="000000"/>
          <w:lang w:eastAsia="fr-FR" w:bidi="fr-FR"/>
        </w:rPr>
        <w:t>u</w:t>
      </w:r>
      <w:r w:rsidRPr="009C29C2">
        <w:rPr>
          <w:color w:val="000000"/>
          <w:lang w:eastAsia="fr-FR" w:bidi="fr-FR"/>
        </w:rPr>
        <w:t>rival, qui fit de même, plus tard avec François de Neufchâteau ; plus haut, elle entre au ministère ou en occupe les avenues.</w:t>
      </w:r>
    </w:p>
    <w:p w14:paraId="79330022" w14:textId="77777777" w:rsidR="00B9662D" w:rsidRPr="003933A8" w:rsidRDefault="00B9662D" w:rsidP="00B9662D">
      <w:pPr>
        <w:spacing w:before="120" w:after="120"/>
        <w:jc w:val="both"/>
      </w:pPr>
      <w:r w:rsidRPr="009C29C2">
        <w:rPr>
          <w:color w:val="000000"/>
          <w:lang w:eastAsia="fr-FR" w:bidi="fr-FR"/>
        </w:rPr>
        <w:t>Depuis le 21 octobre 1759, Bertin était au pouvoir</w:t>
      </w:r>
      <w:r>
        <w:rPr>
          <w:color w:val="000000"/>
          <w:lang w:eastAsia="fr-FR" w:bidi="fr-FR"/>
        </w:rPr>
        <w:t> </w:t>
      </w:r>
      <w:r>
        <w:rPr>
          <w:rStyle w:val="Appelnotedebasdep"/>
        </w:rPr>
        <w:footnoteReference w:id="151"/>
      </w:r>
      <w:r w:rsidRPr="009C29C2">
        <w:rPr>
          <w:color w:val="000000"/>
          <w:lang w:eastAsia="fr-FR" w:bidi="fr-FR"/>
        </w:rPr>
        <w:t>. Contrôleur général jusqu’au 14 décembre 1763, il avait à ce titre, dans ses attrib</w:t>
      </w:r>
      <w:r w:rsidRPr="009C29C2">
        <w:rPr>
          <w:color w:val="000000"/>
          <w:lang w:eastAsia="fr-FR" w:bidi="fr-FR"/>
        </w:rPr>
        <w:t>u</w:t>
      </w:r>
      <w:r w:rsidRPr="009C29C2">
        <w:rPr>
          <w:color w:val="000000"/>
          <w:lang w:eastAsia="fr-FR" w:bidi="fr-FR"/>
        </w:rPr>
        <w:t>tions régulières, l’administration de l’agriculture. Devenu ensuite ci</w:t>
      </w:r>
      <w:r w:rsidRPr="009C29C2">
        <w:rPr>
          <w:color w:val="000000"/>
          <w:lang w:eastAsia="fr-FR" w:bidi="fr-FR"/>
        </w:rPr>
        <w:t>n</w:t>
      </w:r>
      <w:r w:rsidRPr="009C29C2">
        <w:rPr>
          <w:color w:val="000000"/>
          <w:lang w:eastAsia="fr-FR" w:bidi="fr-FR"/>
        </w:rPr>
        <w:t>quième Secrétaire d’État, il s’efforça de garder sur elle la haute main. Par là, il fut amené à porter son attention sur la vaine pâture.</w:t>
      </w:r>
      <w:r w:rsidRPr="003933A8">
        <w:rPr>
          <w:rStyle w:val="Notedebasdepage65ptNonGrasPetitesmajuscules"/>
          <w:b w:val="0"/>
          <w:bCs w:val="0"/>
        </w:rPr>
        <w:t xml:space="preserve"> </w:t>
      </w:r>
    </w:p>
    <w:p w14:paraId="34991F73" w14:textId="77777777" w:rsidR="00B9662D" w:rsidRPr="009C29C2" w:rsidRDefault="00B9662D" w:rsidP="00B9662D">
      <w:pPr>
        <w:spacing w:before="120" w:after="120"/>
        <w:jc w:val="both"/>
      </w:pPr>
      <w:r w:rsidRPr="009C29C2">
        <w:rPr>
          <w:color w:val="000000"/>
          <w:lang w:eastAsia="fr-FR" w:bidi="fr-FR"/>
        </w:rPr>
        <w:t>Toutefois l’initiative paraît avoir appartenu, en cette matière co</w:t>
      </w:r>
      <w:r w:rsidRPr="009C29C2">
        <w:rPr>
          <w:color w:val="000000"/>
          <w:lang w:eastAsia="fr-FR" w:bidi="fr-FR"/>
        </w:rPr>
        <w:t>m</w:t>
      </w:r>
      <w:r w:rsidRPr="009C29C2">
        <w:rPr>
          <w:color w:val="000000"/>
          <w:lang w:eastAsia="fr-FR" w:bidi="fr-FR"/>
        </w:rPr>
        <w:t>me en beaucoup d’autres, moins au ministre qu’à son principal conseiller, l’intendant des finances Daniel Trudaine. On associe d’ordinaire le souvenir de cet homme de bien à</w:t>
      </w:r>
    </w:p>
    <w:p w14:paraId="7158456F" w14:textId="77777777" w:rsidR="00B9662D" w:rsidRDefault="00B9662D" w:rsidP="00B9662D">
      <w:pPr>
        <w:spacing w:before="120" w:after="120"/>
        <w:jc w:val="both"/>
        <w:rPr>
          <w:color w:val="000000"/>
          <w:lang w:eastAsia="fr-FR" w:bidi="fr-FR"/>
        </w:rPr>
      </w:pPr>
    </w:p>
    <w:p w14:paraId="626C982D" w14:textId="77777777" w:rsidR="00B9662D" w:rsidRPr="009C29C2" w:rsidRDefault="00B9662D" w:rsidP="00B9662D">
      <w:pPr>
        <w:pStyle w:val="textecit"/>
      </w:pPr>
      <w:r w:rsidRPr="009C29C2">
        <w:t>« Ces vastes chemins en tous lieux départis</w:t>
      </w:r>
      <w:r>
        <w:br/>
        <w:t>Où l’</w:t>
      </w:r>
      <w:r w:rsidRPr="009C29C2">
        <w:t>étranger, à l’aise achevant son voyage,</w:t>
      </w:r>
      <w:r>
        <w:br/>
      </w:r>
      <w:r w:rsidRPr="009C29C2">
        <w:t>Pense au nom des Trudaine et bénit leur ouvrage »</w:t>
      </w:r>
      <w:r>
        <w:t> </w:t>
      </w:r>
      <w:r>
        <w:rPr>
          <w:rStyle w:val="Appelnotedebasdep"/>
        </w:rPr>
        <w:footnoteReference w:id="152"/>
      </w:r>
      <w:r w:rsidRPr="009C29C2">
        <w:t>.</w:t>
      </w:r>
    </w:p>
    <w:p w14:paraId="7B16E2EA" w14:textId="77777777" w:rsidR="00B9662D" w:rsidRDefault="00B9662D" w:rsidP="00B9662D">
      <w:pPr>
        <w:spacing w:before="120" w:after="120"/>
        <w:jc w:val="both"/>
        <w:rPr>
          <w:color w:val="000000"/>
          <w:lang w:eastAsia="fr-FR" w:bidi="fr-FR"/>
        </w:rPr>
      </w:pPr>
    </w:p>
    <w:p w14:paraId="380C32C7" w14:textId="77777777" w:rsidR="00B9662D" w:rsidRPr="009C29C2" w:rsidRDefault="00B9662D" w:rsidP="00B9662D">
      <w:pPr>
        <w:spacing w:before="120" w:after="120"/>
        <w:jc w:val="both"/>
      </w:pPr>
      <w:r>
        <w:rPr>
          <w:color w:val="000000"/>
          <w:lang w:eastAsia="fr-FR" w:bidi="fr-FR"/>
        </w:rPr>
        <w:br w:type="page"/>
      </w:r>
      <w:r w:rsidRPr="009C29C2">
        <w:rPr>
          <w:color w:val="000000"/>
          <w:lang w:eastAsia="fr-FR" w:bidi="fr-FR"/>
        </w:rPr>
        <w:lastRenderedPageBreak/>
        <w:t>Et c’est justice. Mais il convient de lui faire une grande place aussi dans l’histoire de la politique agricole. Il s’était, de bonne heure, int</w:t>
      </w:r>
      <w:r w:rsidRPr="009C29C2">
        <w:rPr>
          <w:color w:val="000000"/>
          <w:lang w:eastAsia="fr-FR" w:bidi="fr-FR"/>
        </w:rPr>
        <w:t>é</w:t>
      </w:r>
      <w:r w:rsidRPr="009C29C2">
        <w:rPr>
          <w:color w:val="000000"/>
          <w:lang w:eastAsia="fr-FR" w:bidi="fr-FR"/>
        </w:rPr>
        <w:t>ressé à ces problèmes ; dès 1753, il écrivait à l’intendant de Tours, pour lui conseiller de ne pas insister sur l’exécution de l’édit de 1731, qui défendait, à moins d’autorisation spéciale, les nouvelles plant</w:t>
      </w:r>
      <w:r w:rsidRPr="009C29C2">
        <w:rPr>
          <w:color w:val="000000"/>
          <w:lang w:eastAsia="fr-FR" w:bidi="fr-FR"/>
        </w:rPr>
        <w:t>a</w:t>
      </w:r>
      <w:r w:rsidRPr="009C29C2">
        <w:rPr>
          <w:color w:val="000000"/>
          <w:lang w:eastAsia="fr-FR" w:bidi="fr-FR"/>
        </w:rPr>
        <w:t>tions de vignes ; il ne parlait alors, ainsi qu’il l’indiquait lui-même, qu’en son nom personnel</w:t>
      </w:r>
      <w:r>
        <w:rPr>
          <w:color w:val="000000"/>
          <w:lang w:eastAsia="fr-FR" w:bidi="fr-FR"/>
        </w:rPr>
        <w:t> </w:t>
      </w:r>
      <w:r>
        <w:rPr>
          <w:rStyle w:val="Appelnotedebasdep"/>
        </w:rPr>
        <w:footnoteReference w:id="153"/>
      </w:r>
      <w:r w:rsidRPr="009C29C2">
        <w:rPr>
          <w:color w:val="000000"/>
          <w:lang w:eastAsia="fr-FR" w:bidi="fr-FR"/>
        </w:rPr>
        <w:t>. Mais l’avènement de Bertin, dont il avait la confiance, lui permit de jouer désormais dans cette branche de l’administration un rôle directeur. Le</w:t>
      </w:r>
      <w:r>
        <w:rPr>
          <w:color w:val="000000"/>
          <w:lang w:eastAsia="fr-FR" w:bidi="fr-FR"/>
        </w:rPr>
        <w:t xml:space="preserve"> [612] </w:t>
      </w:r>
      <w:r w:rsidRPr="009C29C2">
        <w:rPr>
          <w:color w:val="000000"/>
          <w:lang w:eastAsia="fr-FR" w:bidi="fr-FR"/>
        </w:rPr>
        <w:t>22 août 1760, le Contr</w:t>
      </w:r>
      <w:r w:rsidRPr="009C29C2">
        <w:rPr>
          <w:color w:val="000000"/>
          <w:lang w:eastAsia="fr-FR" w:bidi="fr-FR"/>
        </w:rPr>
        <w:t>ô</w:t>
      </w:r>
      <w:r w:rsidRPr="009C29C2">
        <w:rPr>
          <w:color w:val="000000"/>
          <w:lang w:eastAsia="fr-FR" w:bidi="fr-FR"/>
        </w:rPr>
        <w:t>leur général avait adressé aux intendants des généralités une circulaire pour les inviter à lui rendre compte des moyens qu’ils jugeaient pr</w:t>
      </w:r>
      <w:r w:rsidRPr="009C29C2">
        <w:rPr>
          <w:color w:val="000000"/>
          <w:lang w:eastAsia="fr-FR" w:bidi="fr-FR"/>
        </w:rPr>
        <w:t>o</w:t>
      </w:r>
      <w:r w:rsidRPr="009C29C2">
        <w:rPr>
          <w:color w:val="000000"/>
          <w:lang w:eastAsia="fr-FR" w:bidi="fr-FR"/>
        </w:rPr>
        <w:t>pres à « étendre » et à « perfectionner » l’agriculture dans les « provinces » confiées à leurs soins. L’intendant de Limoges crut d</w:t>
      </w:r>
      <w:r w:rsidRPr="009C29C2">
        <w:rPr>
          <w:color w:val="000000"/>
          <w:lang w:eastAsia="fr-FR" w:bidi="fr-FR"/>
        </w:rPr>
        <w:t>e</w:t>
      </w:r>
      <w:r w:rsidRPr="009C29C2">
        <w:rPr>
          <w:color w:val="000000"/>
          <w:lang w:eastAsia="fr-FR" w:bidi="fr-FR"/>
        </w:rPr>
        <w:t>voir répondre, non au ministre, mais à Trudaine, qu’il considérait év</w:t>
      </w:r>
      <w:r w:rsidRPr="009C29C2">
        <w:rPr>
          <w:color w:val="000000"/>
          <w:lang w:eastAsia="fr-FR" w:bidi="fr-FR"/>
        </w:rPr>
        <w:t>i</w:t>
      </w:r>
      <w:r w:rsidRPr="009C29C2">
        <w:rPr>
          <w:color w:val="000000"/>
          <w:lang w:eastAsia="fr-FR" w:bidi="fr-FR"/>
        </w:rPr>
        <w:t>demment comme l’inspirateur de l’enquête</w:t>
      </w:r>
      <w:r>
        <w:rPr>
          <w:color w:val="000000"/>
          <w:lang w:eastAsia="fr-FR" w:bidi="fr-FR"/>
        </w:rPr>
        <w:t> </w:t>
      </w:r>
      <w:r>
        <w:rPr>
          <w:rStyle w:val="Appelnotedebasdep"/>
        </w:rPr>
        <w:footnoteReference w:id="154"/>
      </w:r>
      <w:r w:rsidRPr="009C29C2">
        <w:rPr>
          <w:color w:val="000000"/>
          <w:lang w:eastAsia="fr-FR" w:bidi="fr-FR"/>
        </w:rPr>
        <w:t>. Ses collègues s’adressèrent, plus correctement, à Bertin, mais ce fut Tr</w:t>
      </w:r>
      <w:r w:rsidRPr="009C29C2">
        <w:rPr>
          <w:color w:val="000000"/>
          <w:lang w:eastAsia="fr-FR" w:bidi="fr-FR"/>
        </w:rPr>
        <w:t>u</w:t>
      </w:r>
      <w:r w:rsidRPr="009C29C2">
        <w:rPr>
          <w:color w:val="000000"/>
          <w:lang w:eastAsia="fr-FR" w:bidi="fr-FR"/>
        </w:rPr>
        <w:t>daine qui se chargea de centraliser leurs lettres</w:t>
      </w:r>
      <w:r>
        <w:rPr>
          <w:color w:val="000000"/>
          <w:lang w:eastAsia="fr-FR" w:bidi="fr-FR"/>
        </w:rPr>
        <w:t> </w:t>
      </w:r>
      <w:r>
        <w:rPr>
          <w:rStyle w:val="Appelnotedebasdep"/>
        </w:rPr>
        <w:footnoteReference w:id="155"/>
      </w:r>
      <w:r w:rsidRPr="009C29C2">
        <w:rPr>
          <w:color w:val="000000"/>
          <w:lang w:eastAsia="fr-FR" w:bidi="fr-FR"/>
        </w:rPr>
        <w:t>. Il prit une part active à la fond</w:t>
      </w:r>
      <w:r w:rsidRPr="009C29C2">
        <w:rPr>
          <w:color w:val="000000"/>
          <w:lang w:eastAsia="fr-FR" w:bidi="fr-FR"/>
        </w:rPr>
        <w:t>a</w:t>
      </w:r>
      <w:r w:rsidRPr="009C29C2">
        <w:rPr>
          <w:color w:val="000000"/>
          <w:lang w:eastAsia="fr-FR" w:bidi="fr-FR"/>
        </w:rPr>
        <w:t>tion des sociétés d’agriculture. Enfin il organisa et présida le fameux « Comité d’agriculture ».</w:t>
      </w:r>
    </w:p>
    <w:p w14:paraId="4704DB3A" w14:textId="77777777" w:rsidR="00B9662D" w:rsidRPr="009C29C2" w:rsidRDefault="00B9662D" w:rsidP="00B9662D">
      <w:pPr>
        <w:spacing w:before="120" w:after="120"/>
        <w:jc w:val="both"/>
      </w:pPr>
      <w:r w:rsidRPr="009C29C2">
        <w:rPr>
          <w:color w:val="000000"/>
          <w:lang w:eastAsia="fr-FR" w:bidi="fr-FR"/>
        </w:rPr>
        <w:t xml:space="preserve">« Espérons », dit un mémoire, rédigé </w:t>
      </w:r>
      <w:r>
        <w:rPr>
          <w:color w:val="000000"/>
          <w:lang w:eastAsia="fr-FR" w:bidi="fr-FR"/>
        </w:rPr>
        <w:t>en 1760, soit par Trudaine lui-</w:t>
      </w:r>
      <w:r w:rsidRPr="009C29C2">
        <w:rPr>
          <w:color w:val="000000"/>
          <w:lang w:eastAsia="fr-FR" w:bidi="fr-FR"/>
        </w:rPr>
        <w:t>même, soit sous sa direction, « que pour achever d’honorer l’agriculture et d’y porter tout le monde, le roy voudra bien se déte</w:t>
      </w:r>
      <w:r w:rsidRPr="009C29C2">
        <w:rPr>
          <w:color w:val="000000"/>
          <w:lang w:eastAsia="fr-FR" w:bidi="fr-FR"/>
        </w:rPr>
        <w:t>r</w:t>
      </w:r>
      <w:r w:rsidRPr="009C29C2">
        <w:rPr>
          <w:color w:val="000000"/>
          <w:lang w:eastAsia="fr-FR" w:bidi="fr-FR"/>
        </w:rPr>
        <w:t xml:space="preserve">miner quelque jour, sur les instances des cultivateurs, à former un </w:t>
      </w:r>
      <w:r w:rsidRPr="009C29C2">
        <w:rPr>
          <w:color w:val="000000"/>
          <w:lang w:eastAsia="fr-FR" w:bidi="fr-FR"/>
        </w:rPr>
        <w:lastRenderedPageBreak/>
        <w:t>Conseil royal d’agriculture dont il sera lui-même le chef ; l’on en a bien créé un pareil pour le commerce ; il paraîtra toujours surprenant qu’auparavant d’établir ce dernier, l’on n’ait point fait le premier, puisqu’il était naturel de s’occuper de la cause avant de pourvoir à l’effet ». Ce grand corps de l’État, chargé des intérêts agricoles, ne fut jamais qu’un rêve. Seul vit le jour, en janvier 1761, un « Comité » plus ou moins officieux, sorte de commission consultative, à la disp</w:t>
      </w:r>
      <w:r w:rsidRPr="009C29C2">
        <w:rPr>
          <w:color w:val="000000"/>
          <w:lang w:eastAsia="fr-FR" w:bidi="fr-FR"/>
        </w:rPr>
        <w:t>o</w:t>
      </w:r>
      <w:r w:rsidRPr="009C29C2">
        <w:rPr>
          <w:color w:val="000000"/>
          <w:lang w:eastAsia="fr-FR" w:bidi="fr-FR"/>
        </w:rPr>
        <w:t>sition du ministre. Les fonctionnaires y avaient la majorité : cinq conseillers d’État</w:t>
      </w:r>
      <w:r>
        <w:rPr>
          <w:color w:val="000000"/>
          <w:lang w:eastAsia="fr-FR" w:bidi="fr-FR"/>
        </w:rPr>
        <w:t> — </w:t>
      </w:r>
      <w:r w:rsidRPr="009C29C2">
        <w:rPr>
          <w:color w:val="000000"/>
          <w:lang w:eastAsia="fr-FR" w:bidi="fr-FR"/>
        </w:rPr>
        <w:t>Trudaine, son fils Trudaine de Montigny, l’abbé Bertin, frère du ministre, l’intendant des finances Courteil, spécialiste du commerce des grains, l’intendant de Paris Sauvigny</w:t>
      </w:r>
      <w:r>
        <w:rPr>
          <w:color w:val="000000"/>
          <w:lang w:eastAsia="fr-FR" w:bidi="fr-FR"/>
        </w:rPr>
        <w:t> — </w:t>
      </w:r>
      <w:r w:rsidRPr="009C29C2">
        <w:rPr>
          <w:color w:val="000000"/>
          <w:lang w:eastAsia="fr-FR" w:bidi="fr-FR"/>
        </w:rPr>
        <w:t>et, pour secrétaire, le commis de Bertin, Parent. En face de ces personnages officiels, deux particuliers seulement : un membre de l’Académie des Sciences, Mignot de Montigny, et, agronome plus illustre, le marquis de Turbilly. Parfois Bertin assistait aux séances. Mais le président e</w:t>
      </w:r>
      <w:r w:rsidRPr="009C29C2">
        <w:rPr>
          <w:color w:val="000000"/>
          <w:lang w:eastAsia="fr-FR" w:bidi="fr-FR"/>
        </w:rPr>
        <w:t>f</w:t>
      </w:r>
      <w:r w:rsidRPr="009C29C2">
        <w:rPr>
          <w:color w:val="000000"/>
          <w:lang w:eastAsia="fr-FR" w:bidi="fr-FR"/>
        </w:rPr>
        <w:t>fectif et l’âme de la réunion était Trudaine. On s’assemblait chez lui. Le Comité était vraiment</w:t>
      </w:r>
      <w:r>
        <w:rPr>
          <w:color w:val="000000"/>
          <w:lang w:eastAsia="fr-FR" w:bidi="fr-FR"/>
        </w:rPr>
        <w:t> — </w:t>
      </w:r>
      <w:r w:rsidRPr="009C29C2">
        <w:rPr>
          <w:color w:val="000000"/>
          <w:lang w:eastAsia="fr-FR" w:bidi="fr-FR"/>
        </w:rPr>
        <w:t>Bertin lui-même l’écrira</w:t>
      </w:r>
      <w:r>
        <w:rPr>
          <w:color w:val="000000"/>
          <w:lang w:eastAsia="fr-FR" w:bidi="fr-FR"/>
        </w:rPr>
        <w:t> — </w:t>
      </w:r>
      <w:r w:rsidRPr="009C29C2">
        <w:rPr>
          <w:color w:val="000000"/>
          <w:lang w:eastAsia="fr-FR" w:bidi="fr-FR"/>
        </w:rPr>
        <w:t>le « Comité de M. Trudaine »</w:t>
      </w:r>
      <w:r>
        <w:rPr>
          <w:color w:val="000000"/>
          <w:lang w:eastAsia="fr-FR" w:bidi="fr-FR"/>
        </w:rPr>
        <w:t> </w:t>
      </w:r>
      <w:r>
        <w:rPr>
          <w:rStyle w:val="Appelnotedebasdep"/>
        </w:rPr>
        <w:footnoteReference w:id="156"/>
      </w:r>
      <w:r w:rsidRPr="009C29C2">
        <w:rPr>
          <w:color w:val="000000"/>
          <w:lang w:eastAsia="fr-FR" w:bidi="fr-FR"/>
        </w:rPr>
        <w:t>.</w:t>
      </w:r>
    </w:p>
    <w:p w14:paraId="205B1F3B" w14:textId="77777777" w:rsidR="00B9662D" w:rsidRPr="009C29C2" w:rsidRDefault="00B9662D" w:rsidP="00B9662D">
      <w:pPr>
        <w:spacing w:before="120" w:after="120"/>
        <w:jc w:val="both"/>
      </w:pPr>
      <w:r>
        <w:lastRenderedPageBreak/>
        <w:t>[</w:t>
      </w:r>
      <w:r w:rsidRPr="009C29C2">
        <w:rPr>
          <w:color w:val="000000"/>
          <w:lang w:eastAsia="fr-FR" w:bidi="fr-FR"/>
        </w:rPr>
        <w:t>613</w:t>
      </w:r>
      <w:r>
        <w:rPr>
          <w:color w:val="000000"/>
          <w:lang w:eastAsia="fr-FR" w:bidi="fr-FR"/>
        </w:rPr>
        <w:t>]</w:t>
      </w:r>
    </w:p>
    <w:p w14:paraId="62C9E822" w14:textId="77777777" w:rsidR="00B9662D" w:rsidRPr="009C29C2" w:rsidRDefault="00B9662D" w:rsidP="00B9662D">
      <w:pPr>
        <w:spacing w:before="120" w:after="120"/>
        <w:jc w:val="both"/>
      </w:pPr>
      <w:r w:rsidRPr="009C29C2">
        <w:rPr>
          <w:color w:val="000000"/>
          <w:lang w:eastAsia="fr-FR" w:bidi="fr-FR"/>
        </w:rPr>
        <w:t>Les premières affaires qui lui furent soumises concernaient un</w:t>
      </w:r>
      <w:r w:rsidRPr="009C29C2">
        <w:rPr>
          <w:color w:val="000000"/>
          <w:lang w:eastAsia="fr-FR" w:bidi="fr-FR"/>
        </w:rPr>
        <w:t>i</w:t>
      </w:r>
      <w:r w:rsidRPr="009C29C2">
        <w:rPr>
          <w:color w:val="000000"/>
          <w:lang w:eastAsia="fr-FR" w:bidi="fr-FR"/>
        </w:rPr>
        <w:t>quement les sociétés d’agriculture. Mais bientôt Bertin prit l’habitude de le consulter sur toutes les questions qui touchaient aux choses rur</w:t>
      </w:r>
      <w:r w:rsidRPr="009C29C2">
        <w:rPr>
          <w:color w:val="000000"/>
          <w:lang w:eastAsia="fr-FR" w:bidi="fr-FR"/>
        </w:rPr>
        <w:t>a</w:t>
      </w:r>
      <w:r w:rsidRPr="009C29C2">
        <w:rPr>
          <w:color w:val="000000"/>
          <w:lang w:eastAsia="fr-FR" w:bidi="fr-FR"/>
        </w:rPr>
        <w:t>les. Par une lettre de lui, on voit que les règlements sur l’agriculture et le commerce des grains qu’il promulgua pendant son passage au Contrôle général, et même un grand nombre de ceux qui furent p</w:t>
      </w:r>
      <w:r w:rsidRPr="009C29C2">
        <w:rPr>
          <w:color w:val="000000"/>
          <w:lang w:eastAsia="fr-FR" w:bidi="fr-FR"/>
        </w:rPr>
        <w:t>u</w:t>
      </w:r>
      <w:r w:rsidRPr="009C29C2">
        <w:rPr>
          <w:color w:val="000000"/>
          <w:lang w:eastAsia="fr-FR" w:bidi="fr-FR"/>
        </w:rPr>
        <w:t>bliés ou « ébauchés » par la suite avaient été élaborés dans cette petite assemblée de techniciens</w:t>
      </w:r>
      <w:r>
        <w:rPr>
          <w:color w:val="000000"/>
          <w:lang w:eastAsia="fr-FR" w:bidi="fr-FR"/>
        </w:rPr>
        <w:t> </w:t>
      </w:r>
      <w:r>
        <w:rPr>
          <w:rStyle w:val="Appelnotedebasdep"/>
        </w:rPr>
        <w:footnoteReference w:id="157"/>
      </w:r>
      <w:r w:rsidRPr="009C29C2">
        <w:rPr>
          <w:color w:val="000000"/>
          <w:lang w:eastAsia="fr-FR" w:bidi="fr-FR"/>
        </w:rPr>
        <w:t>. Là, entre autres, fut étudié le projet relatif à la vaine pâture.</w:t>
      </w:r>
    </w:p>
    <w:p w14:paraId="76DB480D" w14:textId="77777777" w:rsidR="00B9662D" w:rsidRPr="009C29C2" w:rsidRDefault="00B9662D" w:rsidP="00B9662D">
      <w:pPr>
        <w:spacing w:before="120" w:after="120"/>
        <w:jc w:val="both"/>
      </w:pPr>
      <w:r w:rsidRPr="009C29C2">
        <w:rPr>
          <w:color w:val="000000"/>
          <w:lang w:eastAsia="fr-FR" w:bidi="fr-FR"/>
        </w:rPr>
        <w:t>Bertin et Trudaine avaient l’un et l’autre du goût pour les idées nouvelles. Ils étaient partisans, en principe, de la liberté économique. Trudaine n’avait-il pas été le collaborateur de Gournay ? Dès 1753, on l’a vu, il condamnait l’ancienne législation, qui, sous couleur de pr</w:t>
      </w:r>
      <w:r w:rsidRPr="009C29C2">
        <w:rPr>
          <w:color w:val="000000"/>
          <w:lang w:eastAsia="fr-FR" w:bidi="fr-FR"/>
        </w:rPr>
        <w:t>o</w:t>
      </w:r>
      <w:r w:rsidRPr="009C29C2">
        <w:rPr>
          <w:color w:val="000000"/>
          <w:lang w:eastAsia="fr-FR" w:bidi="fr-FR"/>
        </w:rPr>
        <w:t>téger les emblavures, entravait le libre jeu des intérêts. Tous deux ég</w:t>
      </w:r>
      <w:r w:rsidRPr="009C29C2">
        <w:rPr>
          <w:color w:val="000000"/>
          <w:lang w:eastAsia="fr-FR" w:bidi="fr-FR"/>
        </w:rPr>
        <w:t>a</w:t>
      </w:r>
      <w:r w:rsidRPr="009C29C2">
        <w:rPr>
          <w:color w:val="000000"/>
          <w:lang w:eastAsia="fr-FR" w:bidi="fr-FR"/>
        </w:rPr>
        <w:t>lement attachaient une importance primordiale à la production agric</w:t>
      </w:r>
      <w:r w:rsidRPr="009C29C2">
        <w:rPr>
          <w:color w:val="000000"/>
          <w:lang w:eastAsia="fr-FR" w:bidi="fr-FR"/>
        </w:rPr>
        <w:t>o</w:t>
      </w:r>
      <w:r w:rsidRPr="009C29C2">
        <w:rPr>
          <w:color w:val="000000"/>
          <w:lang w:eastAsia="fr-FR" w:bidi="fr-FR"/>
        </w:rPr>
        <w:t xml:space="preserve">le. Voltaire, dans son </w:t>
      </w:r>
      <w:r>
        <w:t>Épître sur l’</w:t>
      </w:r>
      <w:r w:rsidRPr="009C29C2">
        <w:t>agriculture,</w:t>
      </w:r>
      <w:r w:rsidRPr="009C29C2">
        <w:rPr>
          <w:color w:val="000000"/>
          <w:lang w:eastAsia="fr-FR" w:bidi="fr-FR"/>
        </w:rPr>
        <w:t xml:space="preserve"> parue en 1761, les uni</w:t>
      </w:r>
      <w:r w:rsidRPr="009C29C2">
        <w:rPr>
          <w:color w:val="000000"/>
          <w:lang w:eastAsia="fr-FR" w:bidi="fr-FR"/>
        </w:rPr>
        <w:t>s</w:t>
      </w:r>
      <w:r w:rsidRPr="009C29C2">
        <w:rPr>
          <w:color w:val="000000"/>
          <w:lang w:eastAsia="fr-FR" w:bidi="fr-FR"/>
        </w:rPr>
        <w:t>sait dans une même louange :</w:t>
      </w:r>
    </w:p>
    <w:p w14:paraId="5568038C" w14:textId="77777777" w:rsidR="00B9662D" w:rsidRDefault="00B9662D" w:rsidP="00B9662D">
      <w:pPr>
        <w:pStyle w:val="textecit"/>
      </w:pPr>
    </w:p>
    <w:p w14:paraId="125CF032" w14:textId="77777777" w:rsidR="00B9662D" w:rsidRPr="009C29C2" w:rsidRDefault="00B9662D" w:rsidP="00B9662D">
      <w:pPr>
        <w:pStyle w:val="textecit"/>
      </w:pPr>
      <w:r w:rsidRPr="009C29C2">
        <w:t>« Bertin, qui dans son roi voit toujours sa patrie.</w:t>
      </w:r>
    </w:p>
    <w:p w14:paraId="12777BF1" w14:textId="77777777" w:rsidR="00B9662D" w:rsidRPr="009C29C2" w:rsidRDefault="00B9662D" w:rsidP="00B9662D">
      <w:pPr>
        <w:pStyle w:val="textecit"/>
      </w:pPr>
      <w:r w:rsidRPr="009C29C2">
        <w:t>Prête un bras secourable à ta noble industrie.</w:t>
      </w:r>
    </w:p>
    <w:p w14:paraId="0CDA94DC" w14:textId="77777777" w:rsidR="00B9662D" w:rsidRPr="009C29C2" w:rsidRDefault="00B9662D" w:rsidP="00B9662D">
      <w:pPr>
        <w:pStyle w:val="textecit"/>
      </w:pPr>
      <w:r w:rsidRPr="009C29C2">
        <w:t>Trudaine sait assez que le cultivateur</w:t>
      </w:r>
    </w:p>
    <w:p w14:paraId="388D7A43" w14:textId="77777777" w:rsidR="00B9662D" w:rsidRDefault="00B9662D" w:rsidP="00B9662D">
      <w:pPr>
        <w:pStyle w:val="textecit"/>
      </w:pPr>
      <w:r w:rsidRPr="009C29C2">
        <w:t>Des ressorts de l’État est le premier moteur. »</w:t>
      </w:r>
    </w:p>
    <w:p w14:paraId="26983AFA" w14:textId="77777777" w:rsidR="00B9662D" w:rsidRPr="009C29C2" w:rsidRDefault="00B9662D" w:rsidP="00B9662D">
      <w:pPr>
        <w:pStyle w:val="textecit"/>
      </w:pPr>
    </w:p>
    <w:p w14:paraId="391B4C1B" w14:textId="77777777" w:rsidR="00B9662D" w:rsidRDefault="00B9662D" w:rsidP="00B9662D">
      <w:pPr>
        <w:spacing w:before="120" w:after="120"/>
        <w:jc w:val="both"/>
        <w:rPr>
          <w:color w:val="000000"/>
          <w:lang w:eastAsia="fr-FR" w:bidi="fr-FR"/>
        </w:rPr>
      </w:pPr>
      <w:r w:rsidRPr="009C29C2">
        <w:rPr>
          <w:color w:val="000000"/>
          <w:lang w:eastAsia="fr-FR" w:bidi="fr-FR"/>
        </w:rPr>
        <w:t>Mais ils n’avaient, ni l’un ni l’autre, un tempérament de doctrina</w:t>
      </w:r>
      <w:r w:rsidRPr="009C29C2">
        <w:rPr>
          <w:color w:val="000000"/>
          <w:lang w:eastAsia="fr-FR" w:bidi="fr-FR"/>
        </w:rPr>
        <w:t>i</w:t>
      </w:r>
      <w:r w:rsidRPr="009C29C2">
        <w:rPr>
          <w:color w:val="000000"/>
          <w:lang w:eastAsia="fr-FR" w:bidi="fr-FR"/>
        </w:rPr>
        <w:t>re. Dans un éloge nécrologique de Trudaine, dont l’auteur, selon son propre aveu, ne fit guère que reproduire des notes communiquées par le fils même du disparu, Trudaine de Montigny, d’autant moins su</w:t>
      </w:r>
      <w:r w:rsidRPr="009C29C2">
        <w:rPr>
          <w:color w:val="000000"/>
          <w:lang w:eastAsia="fr-FR" w:bidi="fr-FR"/>
        </w:rPr>
        <w:t>s</w:t>
      </w:r>
      <w:r w:rsidRPr="009C29C2">
        <w:rPr>
          <w:color w:val="000000"/>
          <w:lang w:eastAsia="fr-FR" w:bidi="fr-FR"/>
        </w:rPr>
        <w:t>pect d’atténuer la rigueur des principes professés par son père qu’il était, personnellement, un disciple beaucoup plus fidèle de l’orthodoxie physiocratique, cette position a été très exactement déf</w:t>
      </w:r>
      <w:r w:rsidRPr="009C29C2">
        <w:rPr>
          <w:color w:val="000000"/>
          <w:lang w:eastAsia="fr-FR" w:bidi="fr-FR"/>
        </w:rPr>
        <w:t>i</w:t>
      </w:r>
      <w:r w:rsidRPr="009C29C2">
        <w:rPr>
          <w:color w:val="000000"/>
          <w:lang w:eastAsia="fr-FR" w:bidi="fr-FR"/>
        </w:rPr>
        <w:t>nie : « Quelques hommes instruits critiquoient les principes adoptés jusqu’alors ; d’autres... rejettoient avec indignation tout ce qui leur paroissoit nouveau. M. Trudaine écoutoit tout, profitoit de ce qui lui paroissoit utile et savoit encourager les diffé- rens partis, en les conc</w:t>
      </w:r>
      <w:r w:rsidRPr="009C29C2">
        <w:rPr>
          <w:color w:val="000000"/>
          <w:lang w:eastAsia="fr-FR" w:bidi="fr-FR"/>
        </w:rPr>
        <w:t>i</w:t>
      </w:r>
      <w:r w:rsidRPr="009C29C2">
        <w:rPr>
          <w:color w:val="000000"/>
          <w:lang w:eastAsia="fr-FR" w:bidi="fr-FR"/>
        </w:rPr>
        <w:t>liant »</w:t>
      </w:r>
      <w:r>
        <w:rPr>
          <w:color w:val="000000"/>
          <w:lang w:eastAsia="fr-FR" w:bidi="fr-FR"/>
        </w:rPr>
        <w:t> </w:t>
      </w:r>
      <w:r>
        <w:rPr>
          <w:rStyle w:val="Appelnotedebasdep"/>
        </w:rPr>
        <w:footnoteReference w:id="158"/>
      </w:r>
      <w:r w:rsidRPr="009C29C2">
        <w:rPr>
          <w:color w:val="000000"/>
          <w:lang w:eastAsia="fr-FR" w:bidi="fr-FR"/>
        </w:rPr>
        <w:t>. Beaucoup plus tard, en 1785, Bertin qui, retiré des affaires, avait été consulté sur un projet dont le dessein était d’enlever aux communautés, dans tout le royaume, le droit de faire paître sur les prairies, ou du moins, une partie d’entre elles, avant le</w:t>
      </w:r>
      <w:r>
        <w:rPr>
          <w:color w:val="000000"/>
          <w:vertAlign w:val="superscript"/>
          <w:lang w:eastAsia="fr-FR" w:bidi="fr-FR"/>
        </w:rPr>
        <w:t xml:space="preserve"> </w:t>
      </w:r>
      <w:r>
        <w:rPr>
          <w:color w:val="000000"/>
          <w:lang w:eastAsia="fr-FR" w:bidi="fr-FR"/>
        </w:rPr>
        <w:t xml:space="preserve">[614] </w:t>
      </w:r>
      <w:r w:rsidRPr="009C29C2">
        <w:rPr>
          <w:color w:val="000000"/>
          <w:lang w:eastAsia="fr-FR" w:bidi="fr-FR"/>
        </w:rPr>
        <w:t>regain, repoussait cette proposition comme « attentatoire » aux droits des h</w:t>
      </w:r>
      <w:r w:rsidRPr="009C29C2">
        <w:rPr>
          <w:color w:val="000000"/>
          <w:lang w:eastAsia="fr-FR" w:bidi="fr-FR"/>
        </w:rPr>
        <w:t>a</w:t>
      </w:r>
      <w:r w:rsidRPr="009C29C2">
        <w:rPr>
          <w:color w:val="000000"/>
          <w:lang w:eastAsia="fr-FR" w:bidi="fr-FR"/>
        </w:rPr>
        <w:t>bitants, et protestait qu’il convenait de « laisser aux communautés la liberté... de juger par elles-mêmes de ce qu’elles croient être le plus avantageux dans le moment</w:t>
      </w:r>
      <w:r>
        <w:rPr>
          <w:color w:val="000000"/>
          <w:lang w:eastAsia="fr-FR" w:bidi="fr-FR"/>
        </w:rPr>
        <w:t xml:space="preserve"> actuel » </w:t>
      </w:r>
      <w:r>
        <w:rPr>
          <w:rStyle w:val="Appelnotedebasdep"/>
        </w:rPr>
        <w:footnoteReference w:id="159"/>
      </w:r>
      <w:r w:rsidRPr="009C29C2">
        <w:rPr>
          <w:color w:val="000000"/>
          <w:lang w:eastAsia="fr-FR" w:bidi="fr-FR"/>
        </w:rPr>
        <w:t>. Cet emp</w:t>
      </w:r>
      <w:r w:rsidRPr="009C29C2">
        <w:rPr>
          <w:color w:val="000000"/>
          <w:lang w:eastAsia="fr-FR" w:bidi="fr-FR"/>
        </w:rPr>
        <w:t>i</w:t>
      </w:r>
      <w:r w:rsidRPr="009C29C2">
        <w:rPr>
          <w:color w:val="000000"/>
          <w:lang w:eastAsia="fr-FR" w:bidi="fr-FR"/>
        </w:rPr>
        <w:t>risme sans routine, qui ne devait pas déplaire à Voltaire, inspira les solutions apportées par les deux hommes au plus brûlant des probl</w:t>
      </w:r>
      <w:r w:rsidRPr="009C29C2">
        <w:rPr>
          <w:color w:val="000000"/>
          <w:lang w:eastAsia="fr-FR" w:bidi="fr-FR"/>
        </w:rPr>
        <w:t>è</w:t>
      </w:r>
      <w:r w:rsidRPr="009C29C2">
        <w:rPr>
          <w:color w:val="000000"/>
          <w:lang w:eastAsia="fr-FR" w:bidi="fr-FR"/>
        </w:rPr>
        <w:t>mes économiques de l’heure : celui de la circulation des grains. Il les dirigea aussi dans l’affaire de la vaine pâture.</w:t>
      </w:r>
    </w:p>
    <w:p w14:paraId="674385FE" w14:textId="77777777" w:rsidR="00B9662D" w:rsidRPr="00A702AB" w:rsidRDefault="00B9662D" w:rsidP="00B9662D">
      <w:pPr>
        <w:spacing w:before="120" w:after="120"/>
        <w:jc w:val="center"/>
        <w:rPr>
          <w:color w:val="FF0000"/>
        </w:rPr>
      </w:pPr>
      <w:r w:rsidRPr="00A702AB">
        <w:rPr>
          <w:color w:val="FF0000"/>
          <w:lang w:eastAsia="fr-FR" w:bidi="fr-FR"/>
        </w:rPr>
        <w:t>* * *</w:t>
      </w:r>
    </w:p>
    <w:p w14:paraId="2478477A" w14:textId="77777777" w:rsidR="00B9662D" w:rsidRPr="009C29C2" w:rsidRDefault="00B9662D" w:rsidP="00B9662D">
      <w:pPr>
        <w:spacing w:before="120" w:after="120"/>
        <w:jc w:val="both"/>
      </w:pPr>
      <w:r w:rsidRPr="009C29C2">
        <w:rPr>
          <w:color w:val="000000"/>
          <w:lang w:eastAsia="fr-FR" w:bidi="fr-FR"/>
        </w:rPr>
        <w:t>Désireux d’éclairer leur religion, ils tournèrent d’abord leurs r</w:t>
      </w:r>
      <w:r w:rsidRPr="009C29C2">
        <w:rPr>
          <w:color w:val="000000"/>
          <w:lang w:eastAsia="fr-FR" w:bidi="fr-FR"/>
        </w:rPr>
        <w:t>e</w:t>
      </w:r>
      <w:r w:rsidRPr="009C29C2">
        <w:rPr>
          <w:color w:val="000000"/>
          <w:lang w:eastAsia="fr-FR" w:bidi="fr-FR"/>
        </w:rPr>
        <w:t xml:space="preserve">gards vers l’étranger. Les campagnes anglaises subissaient en ce temps une profonde métamorphose : le grand mouvement des </w:t>
      </w:r>
      <w:r w:rsidRPr="00A702AB">
        <w:rPr>
          <w:i/>
        </w:rPr>
        <w:t>inclos</w:t>
      </w:r>
      <w:r w:rsidRPr="00A702AB">
        <w:rPr>
          <w:i/>
        </w:rPr>
        <w:t>u</w:t>
      </w:r>
      <w:r w:rsidRPr="00A702AB">
        <w:rPr>
          <w:i/>
        </w:rPr>
        <w:t>res</w:t>
      </w:r>
      <w:r w:rsidRPr="009C29C2">
        <w:rPr>
          <w:color w:val="000000"/>
          <w:lang w:eastAsia="fr-FR" w:bidi="fr-FR"/>
        </w:rPr>
        <w:t xml:space="preserve">, qui devait transformer la vie économique de la nation entière et jusqu’au paysage lui-même, battait alors son plein. Il était à double </w:t>
      </w:r>
      <w:r w:rsidRPr="009C29C2">
        <w:rPr>
          <w:color w:val="000000"/>
          <w:lang w:eastAsia="fr-FR" w:bidi="fr-FR"/>
        </w:rPr>
        <w:lastRenderedPageBreak/>
        <w:t xml:space="preserve">face : d’un côté, partage des communaux </w:t>
      </w:r>
      <w:r w:rsidRPr="009C29C2">
        <w:t>(</w:t>
      </w:r>
      <w:r w:rsidRPr="00A702AB">
        <w:rPr>
          <w:i/>
        </w:rPr>
        <w:t>inclosure of commons</w:t>
      </w:r>
      <w:r w:rsidRPr="009C29C2">
        <w:t>) ;</w:t>
      </w:r>
      <w:r w:rsidRPr="009C29C2">
        <w:rPr>
          <w:color w:val="000000"/>
          <w:lang w:eastAsia="fr-FR" w:bidi="fr-FR"/>
        </w:rPr>
        <w:t xml:space="preserve"> de l’autre, suppression du pâturage commun sur les labours, désormais regroupés en parcelles plus amples, dont chacune s’entourait d’une clôture </w:t>
      </w:r>
      <w:r w:rsidRPr="009C29C2">
        <w:t>(</w:t>
      </w:r>
      <w:r w:rsidRPr="00A702AB">
        <w:rPr>
          <w:i/>
        </w:rPr>
        <w:t>inclosure of common field</w:t>
      </w:r>
      <w:r w:rsidRPr="009C29C2">
        <w:t xml:space="preserve">). </w:t>
      </w:r>
      <w:r w:rsidRPr="009C29C2">
        <w:rPr>
          <w:color w:val="000000"/>
          <w:lang w:eastAsia="fr-FR" w:bidi="fr-FR"/>
        </w:rPr>
        <w:t>Les économistes français le su</w:t>
      </w:r>
      <w:r w:rsidRPr="009C29C2">
        <w:rPr>
          <w:color w:val="000000"/>
          <w:lang w:eastAsia="fr-FR" w:bidi="fr-FR"/>
        </w:rPr>
        <w:t>i</w:t>
      </w:r>
      <w:r w:rsidRPr="009C29C2">
        <w:rPr>
          <w:color w:val="000000"/>
          <w:lang w:eastAsia="fr-FR" w:bidi="fr-FR"/>
        </w:rPr>
        <w:t>vaient avec un intérêt passionné. Ils aimaient à voir dans cette révol</w:t>
      </w:r>
      <w:r w:rsidRPr="009C29C2">
        <w:rPr>
          <w:color w:val="000000"/>
          <w:lang w:eastAsia="fr-FR" w:bidi="fr-FR"/>
        </w:rPr>
        <w:t>u</w:t>
      </w:r>
      <w:r w:rsidRPr="009C29C2">
        <w:rPr>
          <w:color w:val="000000"/>
          <w:lang w:eastAsia="fr-FR" w:bidi="fr-FR"/>
        </w:rPr>
        <w:t>tion agraire un autre aspect de ces révolutions politiques qui avaient rendu « le peuple anglais libre »</w:t>
      </w:r>
      <w:r>
        <w:rPr>
          <w:color w:val="000000"/>
          <w:lang w:eastAsia="fr-FR" w:bidi="fr-FR"/>
        </w:rPr>
        <w:t> </w:t>
      </w:r>
      <w:r>
        <w:rPr>
          <w:rStyle w:val="Appelnotedebasdep"/>
        </w:rPr>
        <w:footnoteReference w:id="160"/>
      </w:r>
      <w:r w:rsidRPr="009C29C2">
        <w:rPr>
          <w:color w:val="000000"/>
          <w:lang w:eastAsia="fr-FR" w:bidi="fr-FR"/>
        </w:rPr>
        <w:t xml:space="preserve">. Disons plutôt que la consolidation du régime parlementaire et la destruction des vieux usages ruraux qui favorisaient la communauté aux dépens de l’individu, retardées toutes deux par le despotisme des Tudors et des Stuarts, marquaient l’une et l’autre, avec une égale netteté, le triomphe de la </w:t>
      </w:r>
      <w:r w:rsidRPr="009C29C2">
        <w:t>gentry</w:t>
      </w:r>
      <w:r w:rsidRPr="009C29C2">
        <w:rPr>
          <w:color w:val="000000"/>
          <w:lang w:eastAsia="fr-FR" w:bidi="fr-FR"/>
        </w:rPr>
        <w:t>. Le président Musac, du Parlement de Metz, affirmait, en 1762, à l’Académie royale des Sciences de sa ville, à propos de la vaine pâture : « Nous ne nous douterions peut-être pas nous-mêmes que cet usage est un mal si les Anglois ne nous avoient appris à connaître les forces de la terre... ; sans l’ombre que les tableaux de leur agriculture ont jettée sur la nôtre nous pourrions croire encore avec nos Pères que ces droits de vaine pâture ne forment pas une servitude »</w:t>
      </w:r>
      <w:r>
        <w:rPr>
          <w:color w:val="000000"/>
          <w:lang w:eastAsia="fr-FR" w:bidi="fr-FR"/>
        </w:rPr>
        <w:t> </w:t>
      </w:r>
      <w:r>
        <w:rPr>
          <w:rStyle w:val="Appelnotedebasdep"/>
        </w:rPr>
        <w:footnoteReference w:id="161"/>
      </w:r>
      <w:r w:rsidRPr="009C29C2">
        <w:rPr>
          <w:color w:val="000000"/>
          <w:lang w:eastAsia="fr-FR" w:bidi="fr-FR"/>
        </w:rPr>
        <w:t>. De même, c’est l’exemple anglais que, pour justifier l’abolition de la compascuité, invoquèrent les commissaires des États de Languedoc.</w:t>
      </w:r>
    </w:p>
    <w:p w14:paraId="355AE3DF" w14:textId="77777777" w:rsidR="00B9662D" w:rsidRPr="009C29C2" w:rsidRDefault="00B9662D" w:rsidP="00B9662D">
      <w:pPr>
        <w:spacing w:before="120" w:after="120"/>
        <w:jc w:val="both"/>
      </w:pPr>
      <w:r w:rsidRPr="009C29C2">
        <w:rPr>
          <w:color w:val="000000"/>
          <w:lang w:eastAsia="fr-FR" w:bidi="fr-FR"/>
        </w:rPr>
        <w:t>Aussitôt la paix rétablie avec l’Angleterre, Bertin s’était occupé de se renseigner exactement sur ce qui se passait là-bas. Dès 1763, il fa</w:t>
      </w:r>
      <w:r w:rsidRPr="009C29C2">
        <w:rPr>
          <w:color w:val="000000"/>
          <w:lang w:eastAsia="fr-FR" w:bidi="fr-FR"/>
        </w:rPr>
        <w:t>i</w:t>
      </w:r>
      <w:r w:rsidRPr="009C29C2">
        <w:rPr>
          <w:color w:val="000000"/>
          <w:lang w:eastAsia="fr-FR" w:bidi="fr-FR"/>
        </w:rPr>
        <w:t>sait tenir au duc de Nivernais, ambassadeur à Londres, un questionna</w:t>
      </w:r>
      <w:r w:rsidRPr="009C29C2">
        <w:rPr>
          <w:color w:val="000000"/>
          <w:lang w:eastAsia="fr-FR" w:bidi="fr-FR"/>
        </w:rPr>
        <w:t>i</w:t>
      </w:r>
      <w:r w:rsidRPr="009C29C2">
        <w:rPr>
          <w:color w:val="000000"/>
          <w:lang w:eastAsia="fr-FR" w:bidi="fr-FR"/>
        </w:rPr>
        <w:t xml:space="preserve">re détaillé, auquel il fut donné réponse à l’automne. Malheureusement le commis qui l’avait rédigé n’avait des transformations rurales de l’Angleterre qu’une idée imparfaite : il connaissait </w:t>
      </w:r>
      <w:r>
        <w:rPr>
          <w:color w:val="000000"/>
          <w:lang w:eastAsia="fr-FR" w:bidi="fr-FR"/>
        </w:rPr>
        <w:t>l’</w:t>
      </w:r>
      <w:r w:rsidRPr="00B242F0">
        <w:rPr>
          <w:i/>
        </w:rPr>
        <w:t>inclosure of commons</w:t>
      </w:r>
      <w:r w:rsidRPr="009C29C2">
        <w:rPr>
          <w:color w:val="000000"/>
          <w:lang w:eastAsia="fr-FR" w:bidi="fr-FR"/>
        </w:rPr>
        <w:t>, il</w:t>
      </w:r>
      <w:r>
        <w:t xml:space="preserve"> </w:t>
      </w:r>
      <w:r>
        <w:rPr>
          <w:color w:val="000000"/>
          <w:lang w:eastAsia="fr-FR" w:bidi="fr-FR"/>
        </w:rPr>
        <w:t xml:space="preserve">[615] </w:t>
      </w:r>
      <w:r w:rsidRPr="009C29C2">
        <w:rPr>
          <w:color w:val="000000"/>
          <w:lang w:eastAsia="fr-FR" w:bidi="fr-FR"/>
        </w:rPr>
        <w:t xml:space="preserve">ignorait </w:t>
      </w:r>
      <w:r>
        <w:t>l’</w:t>
      </w:r>
      <w:r w:rsidRPr="00B242F0">
        <w:rPr>
          <w:i/>
        </w:rPr>
        <w:t>inclosure of common fields</w:t>
      </w:r>
      <w:r>
        <w:t> </w:t>
      </w:r>
      <w:r>
        <w:rPr>
          <w:rStyle w:val="Appelnotedebasdep"/>
        </w:rPr>
        <w:footnoteReference w:id="162"/>
      </w:r>
      <w:r w:rsidRPr="009C29C2">
        <w:t>.</w:t>
      </w:r>
      <w:r w:rsidRPr="009C29C2">
        <w:rPr>
          <w:color w:val="000000"/>
          <w:lang w:eastAsia="fr-FR" w:bidi="fr-FR"/>
        </w:rPr>
        <w:t xml:space="preserve"> Mais, déjà </w:t>
      </w:r>
      <w:r w:rsidRPr="009C29C2">
        <w:rPr>
          <w:color w:val="000000"/>
          <w:lang w:eastAsia="fr-FR" w:bidi="fr-FR"/>
        </w:rPr>
        <w:lastRenderedPageBreak/>
        <w:t>au mois de mars de cette même année, les bureaux de Bertin avaient reçu sur le même sujet un rapport beaucoup plus complet. L’auteur était un personnage dont le nom évoque d’ordinaire de plus romane</w:t>
      </w:r>
      <w:r w:rsidRPr="009C29C2">
        <w:rPr>
          <w:color w:val="000000"/>
          <w:lang w:eastAsia="fr-FR" w:bidi="fr-FR"/>
        </w:rPr>
        <w:t>s</w:t>
      </w:r>
      <w:r w:rsidRPr="009C29C2">
        <w:rPr>
          <w:color w:val="000000"/>
          <w:lang w:eastAsia="fr-FR" w:bidi="fr-FR"/>
        </w:rPr>
        <w:t>ques souvenirs : le chevalier d’Éon, alors attaché à l’ambassade de Londres</w:t>
      </w:r>
      <w:r>
        <w:rPr>
          <w:color w:val="000000"/>
          <w:lang w:eastAsia="fr-FR" w:bidi="fr-FR"/>
        </w:rPr>
        <w:t> </w:t>
      </w:r>
      <w:r>
        <w:rPr>
          <w:rStyle w:val="Appelnotedebasdep"/>
        </w:rPr>
        <w:footnoteReference w:id="163"/>
      </w:r>
      <w:r w:rsidRPr="009C29C2">
        <w:rPr>
          <w:color w:val="000000"/>
          <w:lang w:eastAsia="fr-FR" w:bidi="fr-FR"/>
        </w:rPr>
        <w:t xml:space="preserve">. Son travail, fort soigneux, dut décevoir les zélateurs de l’agronomie nouvelle. Tout le monde, en Angleterre, n’admirait pas les </w:t>
      </w:r>
      <w:r w:rsidRPr="00B242F0">
        <w:rPr>
          <w:i/>
        </w:rPr>
        <w:t>inclosures</w:t>
      </w:r>
      <w:r w:rsidRPr="009C29C2">
        <w:t>.</w:t>
      </w:r>
      <w:r w:rsidRPr="009C29C2">
        <w:rPr>
          <w:color w:val="000000"/>
          <w:lang w:eastAsia="fr-FR" w:bidi="fr-FR"/>
        </w:rPr>
        <w:t xml:space="preserve"> Leurs adversaires leur reprochaient d’amener la dim</w:t>
      </w:r>
      <w:r w:rsidRPr="009C29C2">
        <w:rPr>
          <w:color w:val="000000"/>
          <w:lang w:eastAsia="fr-FR" w:bidi="fr-FR"/>
        </w:rPr>
        <w:t>i</w:t>
      </w:r>
      <w:r w:rsidRPr="009C29C2">
        <w:rPr>
          <w:color w:val="000000"/>
          <w:lang w:eastAsia="fr-FR" w:bidi="fr-FR"/>
        </w:rPr>
        <w:t>nution de la surface emblavée au profit des pâturages, et, par là, le d</w:t>
      </w:r>
      <w:r w:rsidRPr="009C29C2">
        <w:rPr>
          <w:color w:val="000000"/>
          <w:lang w:eastAsia="fr-FR" w:bidi="fr-FR"/>
        </w:rPr>
        <w:t>é</w:t>
      </w:r>
      <w:r w:rsidRPr="009C29C2">
        <w:rPr>
          <w:color w:val="000000"/>
          <w:lang w:eastAsia="fr-FR" w:bidi="fr-FR"/>
        </w:rPr>
        <w:t>peuplement des ca</w:t>
      </w:r>
      <w:r w:rsidRPr="009C29C2">
        <w:rPr>
          <w:color w:val="000000"/>
          <w:lang w:eastAsia="fr-FR" w:bidi="fr-FR"/>
        </w:rPr>
        <w:t>m</w:t>
      </w:r>
      <w:r w:rsidRPr="009C29C2">
        <w:rPr>
          <w:color w:val="000000"/>
          <w:lang w:eastAsia="fr-FR" w:bidi="fr-FR"/>
        </w:rPr>
        <w:t>pagnes. Le chevalier avait prêté à ces critiques une oreille favorable. Un troisième mémoire encore, d’une remarqu</w:t>
      </w:r>
      <w:r w:rsidRPr="009C29C2">
        <w:rPr>
          <w:color w:val="000000"/>
          <w:lang w:eastAsia="fr-FR" w:bidi="fr-FR"/>
        </w:rPr>
        <w:t>a</w:t>
      </w:r>
      <w:r w:rsidRPr="009C29C2">
        <w:rPr>
          <w:color w:val="000000"/>
          <w:lang w:eastAsia="fr-FR" w:bidi="fr-FR"/>
        </w:rPr>
        <w:t>ble précision juridique, témoigne de l’ampleur de cette enquête hors des frontières</w:t>
      </w:r>
      <w:r>
        <w:rPr>
          <w:color w:val="000000"/>
          <w:lang w:eastAsia="fr-FR" w:bidi="fr-FR"/>
        </w:rPr>
        <w:t> </w:t>
      </w:r>
      <w:r>
        <w:rPr>
          <w:rStyle w:val="Appelnotedebasdep"/>
        </w:rPr>
        <w:footnoteReference w:id="164"/>
      </w:r>
      <w:r w:rsidRPr="009C29C2">
        <w:rPr>
          <w:color w:val="000000"/>
          <w:lang w:eastAsia="fr-FR" w:bidi="fr-FR"/>
        </w:rPr>
        <w:t>.</w:t>
      </w:r>
    </w:p>
    <w:p w14:paraId="7AE49F99" w14:textId="77777777" w:rsidR="00B9662D" w:rsidRPr="009C29C2" w:rsidRDefault="00B9662D" w:rsidP="00B9662D">
      <w:pPr>
        <w:spacing w:before="120" w:after="120"/>
        <w:jc w:val="both"/>
      </w:pPr>
      <w:r w:rsidRPr="009C29C2">
        <w:rPr>
          <w:color w:val="000000"/>
          <w:lang w:eastAsia="fr-FR" w:bidi="fr-FR"/>
        </w:rPr>
        <w:t>Mais n’allait-on pas aussi enquêter en France même ? Le 28 juillet 1764, Bertin annonçait aux sociétés d’agriculture son intention de les consulter prochainement sur la vaine pâture, les coutumes locales qui la régissaient, l’opportunité de son maintien ou de sa suppression</w:t>
      </w:r>
      <w:r>
        <w:rPr>
          <w:color w:val="000000"/>
          <w:lang w:eastAsia="fr-FR" w:bidi="fr-FR"/>
        </w:rPr>
        <w:t> </w:t>
      </w:r>
      <w:r>
        <w:rPr>
          <w:rStyle w:val="Appelnotedebasdep"/>
        </w:rPr>
        <w:footnoteReference w:id="165"/>
      </w:r>
      <w:r w:rsidRPr="009C29C2">
        <w:rPr>
          <w:color w:val="000000"/>
          <w:lang w:eastAsia="fr-FR" w:bidi="fr-FR"/>
        </w:rPr>
        <w:t>. Il ne se hâta point. Cependa</w:t>
      </w:r>
      <w:r>
        <w:rPr>
          <w:color w:val="000000"/>
          <w:lang w:eastAsia="fr-FR" w:bidi="fr-FR"/>
        </w:rPr>
        <w:t xml:space="preserve">nt des pétitions arrivaient au </w:t>
      </w:r>
      <w:r w:rsidRPr="009C29C2">
        <w:rPr>
          <w:color w:val="000000"/>
          <w:lang w:eastAsia="fr-FR" w:bidi="fr-FR"/>
        </w:rPr>
        <w:t>Conseil, inv</w:t>
      </w:r>
      <w:r w:rsidRPr="009C29C2">
        <w:rPr>
          <w:color w:val="000000"/>
          <w:lang w:eastAsia="fr-FR" w:bidi="fr-FR"/>
        </w:rPr>
        <w:t>i</w:t>
      </w:r>
      <w:r w:rsidRPr="009C29C2">
        <w:rPr>
          <w:color w:val="000000"/>
          <w:lang w:eastAsia="fr-FR" w:bidi="fr-FR"/>
        </w:rPr>
        <w:t>tant à l’action. Bertin et le Comité s’y décidèrent enfin, en</w:t>
      </w:r>
      <w:r>
        <w:t xml:space="preserve"> 1766,</w:t>
      </w:r>
      <w:r w:rsidRPr="009C29C2">
        <w:rPr>
          <w:color w:val="000000"/>
          <w:lang w:eastAsia="fr-FR" w:bidi="fr-FR"/>
        </w:rPr>
        <w:t xml:space="preserve"> mais avec une extrême prudence. Un projet de déclaration royale, comm</w:t>
      </w:r>
      <w:r w:rsidRPr="009C29C2">
        <w:rPr>
          <w:color w:val="000000"/>
          <w:lang w:eastAsia="fr-FR" w:bidi="fr-FR"/>
        </w:rPr>
        <w:t>u</w:t>
      </w:r>
      <w:r w:rsidRPr="009C29C2">
        <w:rPr>
          <w:color w:val="000000"/>
          <w:lang w:eastAsia="fr-FR" w:bidi="fr-FR"/>
        </w:rPr>
        <w:t>ne à tout le royaume, fut établi. Il n’abolissait pas la vaine pâture. Il ne reconnaissait pas aux particuliers, sans limites, le droit de s’y soustra</w:t>
      </w:r>
      <w:r w:rsidRPr="009C29C2">
        <w:rPr>
          <w:color w:val="000000"/>
          <w:lang w:eastAsia="fr-FR" w:bidi="fr-FR"/>
        </w:rPr>
        <w:t>i</w:t>
      </w:r>
      <w:r w:rsidRPr="009C29C2">
        <w:rPr>
          <w:color w:val="000000"/>
          <w:lang w:eastAsia="fr-FR" w:bidi="fr-FR"/>
        </w:rPr>
        <w:t>re. Plusieurs économistes, et les États de Bourgogne eux-</w:t>
      </w:r>
      <w:r w:rsidRPr="009C29C2">
        <w:rPr>
          <w:color w:val="000000"/>
          <w:lang w:eastAsia="fr-FR" w:bidi="fr-FR"/>
        </w:rPr>
        <w:lastRenderedPageBreak/>
        <w:t>mêmes avaient déjà suggéré que, afin de ménager les transitions, on comme</w:t>
      </w:r>
      <w:r w:rsidRPr="009C29C2">
        <w:rPr>
          <w:color w:val="000000"/>
          <w:lang w:eastAsia="fr-FR" w:bidi="fr-FR"/>
        </w:rPr>
        <w:t>n</w:t>
      </w:r>
      <w:r w:rsidRPr="009C29C2">
        <w:rPr>
          <w:color w:val="000000"/>
          <w:lang w:eastAsia="fr-FR" w:bidi="fr-FR"/>
        </w:rPr>
        <w:t>çât par autoriser les cultivateurs qui le désireraient à mettre en défens une partie seulement de leurs biens</w:t>
      </w:r>
      <w:r>
        <w:rPr>
          <w:color w:val="000000"/>
          <w:lang w:eastAsia="fr-FR" w:bidi="fr-FR"/>
        </w:rPr>
        <w:t> </w:t>
      </w:r>
      <w:r>
        <w:rPr>
          <w:rStyle w:val="Appelnotedebasdep"/>
        </w:rPr>
        <w:footnoteReference w:id="166"/>
      </w:r>
      <w:r w:rsidRPr="009C29C2">
        <w:rPr>
          <w:color w:val="000000"/>
          <w:lang w:eastAsia="fr-FR" w:bidi="fr-FR"/>
        </w:rPr>
        <w:t>. Telle fut la solution adoptée. Désormais, dans chaque paroisse, tout habitant pourrait interdire au pacage jusqu’au cinquième de ses] fonds. Encore cette faculté n’était-elle accordée qu’aux deux conditions ! suivantes : que les terres ainsi exemptées de la commune servitude fussent ? mises en nature de pra</w:t>
      </w:r>
      <w:r w:rsidRPr="009C29C2">
        <w:rPr>
          <w:color w:val="000000"/>
          <w:lang w:eastAsia="fr-FR" w:bidi="fr-FR"/>
        </w:rPr>
        <w:t>i</w:t>
      </w:r>
      <w:r w:rsidRPr="009C29C2">
        <w:rPr>
          <w:color w:val="000000"/>
          <w:lang w:eastAsia="fr-FR" w:bidi="fr-FR"/>
        </w:rPr>
        <w:t>ries artificielles ; qu’on eût pris soin de les enclore de haies ou de fo</w:t>
      </w:r>
      <w:r w:rsidRPr="009C29C2">
        <w:rPr>
          <w:color w:val="000000"/>
          <w:lang w:eastAsia="fr-FR" w:bidi="fr-FR"/>
        </w:rPr>
        <w:t>s</w:t>
      </w:r>
      <w:r w:rsidRPr="009C29C2">
        <w:rPr>
          <w:color w:val="000000"/>
          <w:lang w:eastAsia="fr-FR" w:bidi="fr-FR"/>
        </w:rPr>
        <w:t>sés</w:t>
      </w:r>
      <w:r>
        <w:rPr>
          <w:color w:val="000000"/>
          <w:lang w:eastAsia="fr-FR" w:bidi="fr-FR"/>
        </w:rPr>
        <w:t> </w:t>
      </w:r>
      <w:r>
        <w:rPr>
          <w:rStyle w:val="Appelnotedebasdep"/>
        </w:rPr>
        <w:footnoteReference w:id="167"/>
      </w:r>
      <w:r w:rsidRPr="009C29C2">
        <w:rPr>
          <w:color w:val="000000"/>
          <w:lang w:eastAsia="fr-FR" w:bidi="fr-FR"/>
        </w:rPr>
        <w:t>. Rien de définitif au reste. Il n’était pas question de</w:t>
      </w:r>
      <w:r>
        <w:t xml:space="preserve"> </w:t>
      </w:r>
      <w:r>
        <w:rPr>
          <w:color w:val="000000"/>
          <w:lang w:eastAsia="fr-FR" w:bidi="fr-FR"/>
        </w:rPr>
        <w:t xml:space="preserve">[616] </w:t>
      </w:r>
      <w:r w:rsidRPr="009C29C2">
        <w:rPr>
          <w:color w:val="000000"/>
          <w:lang w:eastAsia="fr-FR" w:bidi="fr-FR"/>
        </w:rPr>
        <w:t>publier cette déclaration, sans désemparer. Le projet fut envoyé, pour examen, aux intendants qui devaient, à leur tour, consulter les sociétés d’agriculture de leurs ressorts</w:t>
      </w:r>
      <w:r>
        <w:rPr>
          <w:color w:val="000000"/>
          <w:lang w:eastAsia="fr-FR" w:bidi="fr-FR"/>
        </w:rPr>
        <w:t> </w:t>
      </w:r>
      <w:r>
        <w:rPr>
          <w:rStyle w:val="Appelnotedebasdep"/>
        </w:rPr>
        <w:footnoteReference w:id="168"/>
      </w:r>
      <w:r w:rsidRPr="009C29C2">
        <w:rPr>
          <w:color w:val="000000"/>
          <w:lang w:eastAsia="fr-FR" w:bidi="fr-FR"/>
        </w:rPr>
        <w:t xml:space="preserve"> et aux procureurs généraux. Les r</w:t>
      </w:r>
      <w:r w:rsidRPr="009C29C2">
        <w:rPr>
          <w:color w:val="000000"/>
          <w:lang w:eastAsia="fr-FR" w:bidi="fr-FR"/>
        </w:rPr>
        <w:t>é</w:t>
      </w:r>
      <w:r w:rsidRPr="009C29C2">
        <w:rPr>
          <w:color w:val="000000"/>
          <w:lang w:eastAsia="fr-FR" w:bidi="fr-FR"/>
        </w:rPr>
        <w:t>ponses arrivèrent lentement. En fin de compte, autant qu’on peut en juger, vingt-trois intendants</w:t>
      </w:r>
      <w:r>
        <w:rPr>
          <w:color w:val="000000"/>
          <w:lang w:eastAsia="fr-FR" w:bidi="fr-FR"/>
        </w:rPr>
        <w:t> — </w:t>
      </w:r>
      <w:r w:rsidRPr="009C29C2">
        <w:rPr>
          <w:color w:val="000000"/>
          <w:lang w:eastAsia="fr-FR" w:bidi="fr-FR"/>
        </w:rPr>
        <w:t>sur trente et un</w:t>
      </w:r>
      <w:r>
        <w:rPr>
          <w:color w:val="000000"/>
          <w:lang w:eastAsia="fr-FR" w:bidi="fr-FR"/>
        </w:rPr>
        <w:t> — </w:t>
      </w:r>
      <w:r w:rsidRPr="009C29C2">
        <w:rPr>
          <w:color w:val="000000"/>
          <w:lang w:eastAsia="fr-FR" w:bidi="fr-FR"/>
        </w:rPr>
        <w:t>et dix pr</w:t>
      </w:r>
      <w:r w:rsidRPr="009C29C2">
        <w:rPr>
          <w:color w:val="000000"/>
          <w:lang w:eastAsia="fr-FR" w:bidi="fr-FR"/>
        </w:rPr>
        <w:t>o</w:t>
      </w:r>
      <w:r w:rsidRPr="009C29C2">
        <w:rPr>
          <w:color w:val="000000"/>
          <w:lang w:eastAsia="fr-FR" w:bidi="fr-FR"/>
        </w:rPr>
        <w:t>cureurs généraux</w:t>
      </w:r>
      <w:r>
        <w:rPr>
          <w:color w:val="000000"/>
          <w:lang w:eastAsia="fr-FR" w:bidi="fr-FR"/>
        </w:rPr>
        <w:t> — </w:t>
      </w:r>
      <w:r w:rsidRPr="009C29C2">
        <w:rPr>
          <w:color w:val="000000"/>
          <w:lang w:eastAsia="fr-FR" w:bidi="fr-FR"/>
        </w:rPr>
        <w:t>sur seize</w:t>
      </w:r>
      <w:r>
        <w:rPr>
          <w:color w:val="000000"/>
          <w:lang w:eastAsia="fr-FR" w:bidi="fr-FR"/>
        </w:rPr>
        <w:t> — </w:t>
      </w:r>
      <w:r w:rsidRPr="009C29C2">
        <w:rPr>
          <w:color w:val="000000"/>
          <w:lang w:eastAsia="fr-FR" w:bidi="fr-FR"/>
        </w:rPr>
        <w:t>firent parvenir leurs avis, plus ou moins c</w:t>
      </w:r>
      <w:r w:rsidRPr="009C29C2">
        <w:rPr>
          <w:color w:val="000000"/>
          <w:lang w:eastAsia="fr-FR" w:bidi="fr-FR"/>
        </w:rPr>
        <w:t>o</w:t>
      </w:r>
      <w:r w:rsidRPr="009C29C2">
        <w:rPr>
          <w:color w:val="000000"/>
          <w:lang w:eastAsia="fr-FR" w:bidi="fr-FR"/>
        </w:rPr>
        <w:t>pieusement motivés. Le Comité d’Agriculture, lui aussi m</w:t>
      </w:r>
      <w:r w:rsidRPr="009C29C2">
        <w:rPr>
          <w:color w:val="000000"/>
          <w:lang w:eastAsia="fr-FR" w:bidi="fr-FR"/>
        </w:rPr>
        <w:t>é</w:t>
      </w:r>
      <w:r w:rsidRPr="009C29C2">
        <w:rPr>
          <w:color w:val="000000"/>
          <w:lang w:eastAsia="fr-FR" w:bidi="fr-FR"/>
        </w:rPr>
        <w:t>diocrement rapide, en aborda l’étude vers la fin de 1768. Beaucoup des lettres r</w:t>
      </w:r>
      <w:r w:rsidRPr="009C29C2">
        <w:rPr>
          <w:color w:val="000000"/>
          <w:lang w:eastAsia="fr-FR" w:bidi="fr-FR"/>
        </w:rPr>
        <w:t>e</w:t>
      </w:r>
      <w:r w:rsidRPr="009C29C2">
        <w:rPr>
          <w:color w:val="000000"/>
          <w:lang w:eastAsia="fr-FR" w:bidi="fr-FR"/>
        </w:rPr>
        <w:t>çues renfermaient des objections assez pressantes, soit contre le pri</w:t>
      </w:r>
      <w:r w:rsidRPr="009C29C2">
        <w:rPr>
          <w:color w:val="000000"/>
          <w:lang w:eastAsia="fr-FR" w:bidi="fr-FR"/>
        </w:rPr>
        <w:t>n</w:t>
      </w:r>
      <w:r w:rsidRPr="009C29C2">
        <w:rPr>
          <w:color w:val="000000"/>
          <w:lang w:eastAsia="fr-FR" w:bidi="fr-FR"/>
        </w:rPr>
        <w:t>cipe même de la mesure, soit contre son opportunité ; d’autres a</w:t>
      </w:r>
      <w:r w:rsidRPr="009C29C2">
        <w:rPr>
          <w:color w:val="000000"/>
          <w:lang w:eastAsia="fr-FR" w:bidi="fr-FR"/>
        </w:rPr>
        <w:t>p</w:t>
      </w:r>
      <w:r w:rsidRPr="009C29C2">
        <w:rPr>
          <w:color w:val="000000"/>
          <w:lang w:eastAsia="fr-FR" w:bidi="fr-FR"/>
        </w:rPr>
        <w:t>prouvaient sans</w:t>
      </w:r>
      <w:r>
        <w:rPr>
          <w:color w:val="000000"/>
          <w:lang w:eastAsia="fr-FR" w:bidi="fr-FR"/>
        </w:rPr>
        <w:t xml:space="preserve"> </w:t>
      </w:r>
      <w:r w:rsidRPr="009C29C2">
        <w:rPr>
          <w:color w:val="000000"/>
          <w:lang w:eastAsia="fr-FR" w:bidi="fr-FR"/>
        </w:rPr>
        <w:t>réserves. Le Comité convint de tenir une seconde d</w:t>
      </w:r>
      <w:r w:rsidRPr="009C29C2">
        <w:rPr>
          <w:color w:val="000000"/>
          <w:lang w:eastAsia="fr-FR" w:bidi="fr-FR"/>
        </w:rPr>
        <w:t>é</w:t>
      </w:r>
      <w:r w:rsidRPr="009C29C2">
        <w:rPr>
          <w:color w:val="000000"/>
          <w:lang w:eastAsia="fr-FR" w:bidi="fr-FR"/>
        </w:rPr>
        <w:t>libération,</w:t>
      </w:r>
      <w:r>
        <w:rPr>
          <w:color w:val="000000"/>
          <w:lang w:eastAsia="fr-FR" w:bidi="fr-FR"/>
        </w:rPr>
        <w:t> — </w:t>
      </w:r>
      <w:r w:rsidRPr="009C29C2">
        <w:rPr>
          <w:color w:val="000000"/>
          <w:lang w:eastAsia="fr-FR" w:bidi="fr-FR"/>
        </w:rPr>
        <w:t>qui n’eut jamais lieu.</w:t>
      </w:r>
    </w:p>
    <w:p w14:paraId="2FCBBCA0" w14:textId="77777777" w:rsidR="00B9662D" w:rsidRPr="009C29C2" w:rsidRDefault="00B9662D" w:rsidP="00B9662D">
      <w:pPr>
        <w:spacing w:before="120" w:after="120"/>
        <w:jc w:val="both"/>
      </w:pPr>
      <w:r w:rsidRPr="009C29C2">
        <w:rPr>
          <w:color w:val="000000"/>
          <w:lang w:eastAsia="fr-FR" w:bidi="fr-FR"/>
        </w:rPr>
        <w:t>C’est que lui-même ne devait plus jamais se réunir. Trudaine to</w:t>
      </w:r>
      <w:r w:rsidRPr="009C29C2">
        <w:rPr>
          <w:color w:val="000000"/>
          <w:lang w:eastAsia="fr-FR" w:bidi="fr-FR"/>
        </w:rPr>
        <w:t>m</w:t>
      </w:r>
      <w:r w:rsidRPr="009C29C2">
        <w:rPr>
          <w:color w:val="000000"/>
          <w:lang w:eastAsia="fr-FR" w:bidi="fr-FR"/>
        </w:rPr>
        <w:t>ba malade et mourut le 19 janvier 1769. Son fils, depuis longtemps associé à son activité, lui succéda, il est vrai, dans la plupart de ses charges. La présidence du Comité semblait devoir lui revenir. En e</w:t>
      </w:r>
      <w:r w:rsidRPr="009C29C2">
        <w:rPr>
          <w:color w:val="000000"/>
          <w:lang w:eastAsia="fr-FR" w:bidi="fr-FR"/>
        </w:rPr>
        <w:t>f</w:t>
      </w:r>
      <w:r w:rsidRPr="009C29C2">
        <w:rPr>
          <w:color w:val="000000"/>
          <w:lang w:eastAsia="fr-FR" w:bidi="fr-FR"/>
        </w:rPr>
        <w:t>fet, Bertin</w:t>
      </w:r>
      <w:r>
        <w:rPr>
          <w:color w:val="000000"/>
          <w:lang w:eastAsia="fr-FR" w:bidi="fr-FR"/>
        </w:rPr>
        <w:t> — </w:t>
      </w:r>
      <w:r w:rsidRPr="009C29C2">
        <w:rPr>
          <w:color w:val="000000"/>
          <w:lang w:eastAsia="fr-FR" w:bidi="fr-FR"/>
        </w:rPr>
        <w:t>une fois passés les premiers temps où ce fils sensible « ne pouvoit s’occuper que de sa douleur »</w:t>
      </w:r>
      <w:r>
        <w:rPr>
          <w:color w:val="000000"/>
          <w:lang w:eastAsia="fr-FR" w:bidi="fr-FR"/>
        </w:rPr>
        <w:t> — </w:t>
      </w:r>
      <w:r w:rsidRPr="009C29C2">
        <w:rPr>
          <w:color w:val="000000"/>
          <w:lang w:eastAsia="fr-FR" w:bidi="fr-FR"/>
        </w:rPr>
        <w:t>comptait, si nous l’en croyons, le prier d’assurer la reprise des séances, lorsque, brusqu</w:t>
      </w:r>
      <w:r w:rsidRPr="009C29C2">
        <w:rPr>
          <w:color w:val="000000"/>
          <w:lang w:eastAsia="fr-FR" w:bidi="fr-FR"/>
        </w:rPr>
        <w:t>e</w:t>
      </w:r>
      <w:r w:rsidRPr="009C29C2">
        <w:rPr>
          <w:color w:val="000000"/>
          <w:lang w:eastAsia="fr-FR" w:bidi="fr-FR"/>
        </w:rPr>
        <w:lastRenderedPageBreak/>
        <w:t>ment, au mois de mars, l’infortuné ministre s’aperçut que tout ce tr</w:t>
      </w:r>
      <w:r w:rsidRPr="009C29C2">
        <w:rPr>
          <w:color w:val="000000"/>
          <w:lang w:eastAsia="fr-FR" w:bidi="fr-FR"/>
        </w:rPr>
        <w:t>a</w:t>
      </w:r>
      <w:r w:rsidRPr="009C29C2">
        <w:rPr>
          <w:color w:val="000000"/>
          <w:lang w:eastAsia="fr-FR" w:bidi="fr-FR"/>
        </w:rPr>
        <w:t>cas était bien inutile. Depuis deux ans, sans qu’il s’en doutât, une a</w:t>
      </w:r>
      <w:r w:rsidRPr="009C29C2">
        <w:rPr>
          <w:color w:val="000000"/>
          <w:lang w:eastAsia="fr-FR" w:bidi="fr-FR"/>
        </w:rPr>
        <w:t>d</w:t>
      </w:r>
      <w:r w:rsidRPr="009C29C2">
        <w:rPr>
          <w:color w:val="000000"/>
          <w:lang w:eastAsia="fr-FR" w:bidi="fr-FR"/>
        </w:rPr>
        <w:t>ministration rivale de la sienne l’avait, en fait, dessaisi des questions relatives à la vaine pâture</w:t>
      </w:r>
      <w:r>
        <w:rPr>
          <w:color w:val="000000"/>
          <w:lang w:eastAsia="fr-FR" w:bidi="fr-FR"/>
        </w:rPr>
        <w:t> </w:t>
      </w:r>
      <w:r>
        <w:rPr>
          <w:rStyle w:val="Appelnotedebasdep"/>
        </w:rPr>
        <w:footnoteReference w:id="169"/>
      </w:r>
      <w:r w:rsidRPr="009C29C2">
        <w:rPr>
          <w:color w:val="000000"/>
          <w:lang w:eastAsia="fr-FR" w:bidi="fr-FR"/>
        </w:rPr>
        <w:t>.</w:t>
      </w:r>
    </w:p>
    <w:p w14:paraId="36100C55" w14:textId="77777777" w:rsidR="00B9662D" w:rsidRDefault="00B9662D" w:rsidP="00B9662D">
      <w:pPr>
        <w:spacing w:before="120" w:after="120"/>
        <w:jc w:val="both"/>
        <w:rPr>
          <w:rStyle w:val="Corpsdutexte9105ptNonGras"/>
          <w:b w:val="0"/>
          <w:bCs w:val="0"/>
          <w:sz w:val="28"/>
          <w:lang w:val="fr-CA"/>
        </w:rPr>
      </w:pPr>
    </w:p>
    <w:p w14:paraId="20B5FA4A" w14:textId="77777777" w:rsidR="00B9662D" w:rsidRPr="00C61373" w:rsidRDefault="00B9662D" w:rsidP="00B9662D">
      <w:pPr>
        <w:pStyle w:val="planche"/>
      </w:pPr>
      <w:bookmarkStart w:id="17" w:name="Melanges_t2_pt_6_chap_III_IV"/>
      <w:r w:rsidRPr="00C61373">
        <w:t>IV. — </w:t>
      </w:r>
      <w:r>
        <w:t>L’œuvre de d’Ormesson ;</w:t>
      </w:r>
      <w:r>
        <w:br/>
      </w:r>
      <w:r w:rsidRPr="009C29C2">
        <w:t>les édits des clos</w:t>
      </w:r>
    </w:p>
    <w:bookmarkEnd w:id="17"/>
    <w:p w14:paraId="004FA175" w14:textId="77777777" w:rsidR="00B9662D" w:rsidRDefault="00B9662D" w:rsidP="00B9662D">
      <w:pPr>
        <w:spacing w:before="120" w:after="120"/>
        <w:jc w:val="both"/>
        <w:rPr>
          <w:color w:val="000000"/>
          <w:lang w:eastAsia="fr-FR" w:bidi="fr-FR"/>
        </w:rPr>
      </w:pPr>
    </w:p>
    <w:p w14:paraId="09F1BE4E"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A1E5DAD" w14:textId="77777777" w:rsidR="00B9662D" w:rsidRPr="009C29C2" w:rsidRDefault="00B9662D" w:rsidP="00B9662D">
      <w:pPr>
        <w:spacing w:before="120" w:after="120"/>
        <w:jc w:val="both"/>
      </w:pPr>
      <w:r w:rsidRPr="009C29C2">
        <w:rPr>
          <w:color w:val="000000"/>
          <w:lang w:eastAsia="fr-FR" w:bidi="fr-FR"/>
        </w:rPr>
        <w:t>L</w:t>
      </w:r>
      <w:r w:rsidRPr="009C29C2">
        <w:t>'</w:t>
      </w:r>
      <w:r w:rsidRPr="00B5730A">
        <w:rPr>
          <w:i/>
        </w:rPr>
        <w:t>Almanach royal</w:t>
      </w:r>
      <w:r w:rsidRPr="009C29C2">
        <w:rPr>
          <w:color w:val="000000"/>
          <w:lang w:eastAsia="fr-FR" w:bidi="fr-FR"/>
        </w:rPr>
        <w:t>, entre 1764 et 1773, indique, parmi les attrib</w:t>
      </w:r>
      <w:r w:rsidRPr="009C29C2">
        <w:rPr>
          <w:color w:val="000000"/>
          <w:lang w:eastAsia="fr-FR" w:bidi="fr-FR"/>
        </w:rPr>
        <w:t>u</w:t>
      </w:r>
      <w:r w:rsidRPr="009C29C2">
        <w:rPr>
          <w:color w:val="000000"/>
          <w:lang w:eastAsia="fr-FR" w:bidi="fr-FR"/>
        </w:rPr>
        <w:t>tions du Secrétaire d’État Bertin, « l’agriculture et les sociétés d’agriculture ». Mais c’est à tort que la plupart des historiens ont pris cette mention à la lettre. Les Sociétés d’Agriculture, certes personne n’en disputait le soin au ministre qui, les ayant créées, et bien que souvent inquiet lui-même de leur indépendance de pensée</w:t>
      </w:r>
      <w:r>
        <w:rPr>
          <w:color w:val="000000"/>
          <w:lang w:eastAsia="fr-FR" w:bidi="fr-FR"/>
        </w:rPr>
        <w:t> </w:t>
      </w:r>
      <w:r>
        <w:rPr>
          <w:rStyle w:val="Appelnotedebasdep"/>
        </w:rPr>
        <w:footnoteReference w:id="170"/>
      </w:r>
      <w:r w:rsidRPr="009C29C2">
        <w:rPr>
          <w:color w:val="000000"/>
          <w:lang w:eastAsia="fr-FR" w:bidi="fr-FR"/>
        </w:rPr>
        <w:t>, était, dans le monde administratif, presque seul à croire encore à leur av</w:t>
      </w:r>
      <w:r w:rsidRPr="009C29C2">
        <w:rPr>
          <w:color w:val="000000"/>
          <w:lang w:eastAsia="fr-FR" w:bidi="fr-FR"/>
        </w:rPr>
        <w:t>e</w:t>
      </w:r>
      <w:r w:rsidRPr="009C29C2">
        <w:rPr>
          <w:color w:val="000000"/>
          <w:lang w:eastAsia="fr-FR" w:bidi="fr-FR"/>
        </w:rPr>
        <w:t>nir. Mais sur l’agriculture française il ne régnait pas sans partage. Les affaires relatives aux défrichements</w:t>
      </w:r>
      <w:r>
        <w:rPr>
          <w:color w:val="000000"/>
          <w:lang w:eastAsia="fr-FR" w:bidi="fr-FR"/>
        </w:rPr>
        <w:t> </w:t>
      </w:r>
      <w:r>
        <w:rPr>
          <w:rStyle w:val="Appelnotedebasdep"/>
        </w:rPr>
        <w:footnoteReference w:id="171"/>
      </w:r>
      <w:r>
        <w:rPr>
          <w:color w:val="000000"/>
          <w:lang w:eastAsia="fr-FR" w:bidi="fr-FR"/>
        </w:rPr>
        <w:t>,</w:t>
      </w:r>
      <w:r w:rsidRPr="009C29C2">
        <w:rPr>
          <w:color w:val="000000"/>
          <w:lang w:eastAsia="fr-FR" w:bidi="fr-FR"/>
        </w:rPr>
        <w:t xml:space="preserve"> aux dessèchements de marais, aux communaux, à la vaine pâture enfin</w:t>
      </w:r>
      <w:r>
        <w:rPr>
          <w:color w:val="000000"/>
          <w:lang w:eastAsia="fr-FR" w:bidi="fr-FR"/>
        </w:rPr>
        <w:t> — </w:t>
      </w:r>
      <w:r w:rsidRPr="009C29C2">
        <w:rPr>
          <w:color w:val="000000"/>
          <w:lang w:eastAsia="fr-FR" w:bidi="fr-FR"/>
        </w:rPr>
        <w:t>les plus graves en somme, et les plus actuelles</w:t>
      </w:r>
      <w:r>
        <w:rPr>
          <w:color w:val="000000"/>
          <w:lang w:eastAsia="fr-FR" w:bidi="fr-FR"/>
        </w:rPr>
        <w:t> — </w:t>
      </w:r>
      <w:r w:rsidRPr="009C29C2">
        <w:rPr>
          <w:color w:val="000000"/>
          <w:lang w:eastAsia="fr-FR" w:bidi="fr-FR"/>
        </w:rPr>
        <w:t>lui échappèrent, de fait, pendant longtemps. En raison de leurs rapports étroits avec les problèmes fiscaux, elles étaient revendiquées par un des départements du</w:t>
      </w:r>
      <w:r>
        <w:t xml:space="preserve"> [</w:t>
      </w:r>
      <w:r w:rsidRPr="009C29C2">
        <w:rPr>
          <w:color w:val="000000"/>
          <w:lang w:eastAsia="fr-FR" w:bidi="fr-FR"/>
        </w:rPr>
        <w:t>617</w:t>
      </w:r>
      <w:r>
        <w:rPr>
          <w:color w:val="000000"/>
          <w:lang w:eastAsia="fr-FR" w:bidi="fr-FR"/>
        </w:rPr>
        <w:t xml:space="preserve">] </w:t>
      </w:r>
      <w:r w:rsidRPr="009C29C2">
        <w:rPr>
          <w:color w:val="000000"/>
          <w:lang w:eastAsia="fr-FR" w:bidi="fr-FR"/>
        </w:rPr>
        <w:t>Contrôle gén</w:t>
      </w:r>
      <w:r w:rsidRPr="009C29C2">
        <w:rPr>
          <w:color w:val="000000"/>
          <w:lang w:eastAsia="fr-FR" w:bidi="fr-FR"/>
        </w:rPr>
        <w:t>é</w:t>
      </w:r>
      <w:r w:rsidRPr="009C29C2">
        <w:rPr>
          <w:color w:val="000000"/>
          <w:lang w:eastAsia="fr-FR" w:bidi="fr-FR"/>
        </w:rPr>
        <w:t>ral, celui des impositions, que dirigeait l’intendant des finances d’Ormesson.</w:t>
      </w:r>
    </w:p>
    <w:p w14:paraId="19FC8591" w14:textId="77777777" w:rsidR="00B9662D" w:rsidRPr="009C29C2" w:rsidRDefault="00B9662D" w:rsidP="00B9662D">
      <w:pPr>
        <w:spacing w:before="120" w:after="120"/>
        <w:jc w:val="both"/>
      </w:pPr>
      <w:r w:rsidRPr="009C29C2">
        <w:rPr>
          <w:color w:val="000000"/>
          <w:lang w:eastAsia="fr-FR" w:bidi="fr-FR"/>
        </w:rPr>
        <w:t>Dans une lettre adressée, le 31 mai 1769, au Contrôleur général</w:t>
      </w:r>
      <w:r>
        <w:rPr>
          <w:color w:val="000000"/>
          <w:lang w:eastAsia="fr-FR" w:bidi="fr-FR"/>
        </w:rPr>
        <w:t> </w:t>
      </w:r>
      <w:r>
        <w:rPr>
          <w:rStyle w:val="Appelnotedebasdep"/>
        </w:rPr>
        <w:footnoteReference w:id="172"/>
      </w:r>
      <w:r w:rsidRPr="009C29C2">
        <w:rPr>
          <w:color w:val="000000"/>
          <w:lang w:eastAsia="fr-FR" w:bidi="fr-FR"/>
        </w:rPr>
        <w:t>, Bertin lui-même a exposé les raisons qui le dissuadèrent de faire r</w:t>
      </w:r>
      <w:r w:rsidRPr="009C29C2">
        <w:rPr>
          <w:color w:val="000000"/>
          <w:lang w:eastAsia="fr-FR" w:bidi="fr-FR"/>
        </w:rPr>
        <w:t>e</w:t>
      </w:r>
      <w:r w:rsidRPr="009C29C2">
        <w:rPr>
          <w:color w:val="000000"/>
          <w:lang w:eastAsia="fr-FR" w:bidi="fr-FR"/>
        </w:rPr>
        <w:t xml:space="preserve">prendre les séances du Comité d’Agriculture. Il y renonça lorsqu’il </w:t>
      </w:r>
      <w:r w:rsidRPr="009C29C2">
        <w:rPr>
          <w:color w:val="000000"/>
          <w:lang w:eastAsia="fr-FR" w:bidi="fr-FR"/>
        </w:rPr>
        <w:lastRenderedPageBreak/>
        <w:t>« vit publier » l’édit, daté de mars 1769, qui abolissait en Champagne le parcours et y autorisait les clôtures. Comment avait-il enfin connu ce texte ? L’édit avait été préparé dans les bureaux du département des impositions ; mais, lorsque le moment fut venu d’en obtenir l’enregistrement au Parlement de Paris, il fallut adresser au Procureur général la lettre de cachet d’usage et pour elle obtenir le contreseing d’un Secrétaire d’État. La Champagne faisant partie du ressort territ</w:t>
      </w:r>
      <w:r w:rsidRPr="009C29C2">
        <w:rPr>
          <w:color w:val="000000"/>
          <w:lang w:eastAsia="fr-FR" w:bidi="fr-FR"/>
        </w:rPr>
        <w:t>o</w:t>
      </w:r>
      <w:r w:rsidRPr="009C29C2">
        <w:rPr>
          <w:color w:val="000000"/>
          <w:lang w:eastAsia="fr-FR" w:bidi="fr-FR"/>
        </w:rPr>
        <w:t>rial de Bertin, la lettre fut présentée à sa signature</w:t>
      </w:r>
      <w:r>
        <w:rPr>
          <w:color w:val="000000"/>
          <w:lang w:eastAsia="fr-FR" w:bidi="fr-FR"/>
        </w:rPr>
        <w:t> </w:t>
      </w:r>
      <w:r>
        <w:rPr>
          <w:rStyle w:val="Appelnotedebasdep"/>
        </w:rPr>
        <w:footnoteReference w:id="173"/>
      </w:r>
      <w:r w:rsidRPr="009C29C2">
        <w:rPr>
          <w:color w:val="000000"/>
          <w:lang w:eastAsia="fr-FR" w:bidi="fr-FR"/>
        </w:rPr>
        <w:t>. Un hasard adm</w:t>
      </w:r>
      <w:r w:rsidRPr="009C29C2">
        <w:rPr>
          <w:color w:val="000000"/>
          <w:lang w:eastAsia="fr-FR" w:bidi="fr-FR"/>
        </w:rPr>
        <w:t>i</w:t>
      </w:r>
      <w:r w:rsidRPr="009C29C2">
        <w:rPr>
          <w:color w:val="000000"/>
          <w:lang w:eastAsia="fr-FR" w:bidi="fr-FR"/>
        </w:rPr>
        <w:t>nistratif l’avait renseigné. Mais très tardivement. Lorsque, vers la fin de l’année 1768, le Comité d’Agriculture délibérait sur la question de savoir s’il était opportun de permettre aux particuliers d’enclore, pour y établir des prairies artificielles, le cinquième de leurs biens, quatre édits, déjà, dans quatre provinces différentes, avaient accordé à tous ceux qui le désiraient la faculté de fermer l’entière étendue de leurs terres, à quelque culture qu’ils les destinassent. Pendant que les huit conseillers de Bertin dépouillaient gravement les résultats d’une e</w:t>
      </w:r>
      <w:r w:rsidRPr="009C29C2">
        <w:rPr>
          <w:color w:val="000000"/>
          <w:lang w:eastAsia="fr-FR" w:bidi="fr-FR"/>
        </w:rPr>
        <w:t>n</w:t>
      </w:r>
      <w:r w:rsidRPr="009C29C2">
        <w:rPr>
          <w:color w:val="000000"/>
          <w:lang w:eastAsia="fr-FR" w:bidi="fr-FR"/>
        </w:rPr>
        <w:t>quête, commencée depuis près de deux ans, une autre enquête, d’objet analogue, était en cours par les soins du Contrôleur général. D’Ormesson avait-il connu l’œuvre de Bertin ? Il fut en tout cas mis au courant, en 1768, par diverses lettres d’intendants qui faisaient a</w:t>
      </w:r>
      <w:r w:rsidRPr="009C29C2">
        <w:rPr>
          <w:color w:val="000000"/>
          <w:lang w:eastAsia="fr-FR" w:bidi="fr-FR"/>
        </w:rPr>
        <w:t>l</w:t>
      </w:r>
      <w:r w:rsidRPr="009C29C2">
        <w:rPr>
          <w:color w:val="000000"/>
          <w:lang w:eastAsia="fr-FR" w:bidi="fr-FR"/>
        </w:rPr>
        <w:t>lusion au questionnaire de 1766. Que Bertin, en revanche, n’ait pas eu la moindre idée de ce que tramait d’Ormesson, on n’en saurait douter. Ainsi, pendant deux ans environ, deux administrations rivales, l’une s’informant, l’autre s’informant aussi, mais surtout agissant, n’avaient cessé de poursuivre, sur le même problème, leurs travaux parallèles</w:t>
      </w:r>
      <w:r>
        <w:rPr>
          <w:color w:val="000000"/>
          <w:lang w:eastAsia="fr-FR" w:bidi="fr-FR"/>
        </w:rPr>
        <w:t> </w:t>
      </w:r>
      <w:r>
        <w:rPr>
          <w:rStyle w:val="Appelnotedebasdep"/>
        </w:rPr>
        <w:footnoteReference w:id="174"/>
      </w:r>
      <w:r w:rsidRPr="009C29C2">
        <w:rPr>
          <w:color w:val="000000"/>
          <w:lang w:eastAsia="fr-FR" w:bidi="fr-FR"/>
        </w:rPr>
        <w:t>. Piquant épisode d’histoire administrative !</w:t>
      </w:r>
    </w:p>
    <w:p w14:paraId="079CBA19" w14:textId="77777777" w:rsidR="00B9662D" w:rsidRPr="009C29C2" w:rsidRDefault="00B9662D" w:rsidP="00B9662D">
      <w:pPr>
        <w:spacing w:before="120" w:after="120"/>
        <w:jc w:val="both"/>
      </w:pPr>
      <w:r w:rsidRPr="009C29C2">
        <w:rPr>
          <w:color w:val="000000"/>
          <w:lang w:eastAsia="fr-FR" w:bidi="fr-FR"/>
        </w:rPr>
        <w:t>En 1769, un nouvel incident permit à Bertin de nourrir un moment l’espoir de redevenir le ministre de la vaine pâture. Un édit, conce</w:t>
      </w:r>
      <w:r w:rsidRPr="009C29C2">
        <w:rPr>
          <w:color w:val="000000"/>
          <w:lang w:eastAsia="fr-FR" w:bidi="fr-FR"/>
        </w:rPr>
        <w:t>r</w:t>
      </w:r>
      <w:r w:rsidRPr="009C29C2">
        <w:rPr>
          <w:color w:val="000000"/>
          <w:lang w:eastAsia="fr-FR" w:bidi="fr-FR"/>
        </w:rPr>
        <w:t>nant la Bourgogne, était alors en préparation. Une partie de la corre</w:t>
      </w:r>
      <w:r w:rsidRPr="009C29C2">
        <w:rPr>
          <w:color w:val="000000"/>
          <w:lang w:eastAsia="fr-FR" w:bidi="fr-FR"/>
        </w:rPr>
        <w:t>s</w:t>
      </w:r>
      <w:r w:rsidRPr="009C29C2">
        <w:rPr>
          <w:color w:val="000000"/>
          <w:lang w:eastAsia="fr-FR" w:bidi="fr-FR"/>
        </w:rPr>
        <w:t>pondance se trouva passer par les mains du commis chargé, dans les bureaux du Contrôleur général, des rapports avec la plupart des pays d’États : Mesnard de Conichard. Celui-ci n’avait aucune raison de t</w:t>
      </w:r>
      <w:r w:rsidRPr="009C29C2">
        <w:rPr>
          <w:color w:val="000000"/>
          <w:lang w:eastAsia="fr-FR" w:bidi="fr-FR"/>
        </w:rPr>
        <w:t>e</w:t>
      </w:r>
      <w:r w:rsidRPr="009C29C2">
        <w:rPr>
          <w:color w:val="000000"/>
          <w:lang w:eastAsia="fr-FR" w:bidi="fr-FR"/>
        </w:rPr>
        <w:t xml:space="preserve">nir Bertin à l’écart ; ayant appris, par une lettre privée, que ce ministre </w:t>
      </w:r>
      <w:r w:rsidRPr="009C29C2">
        <w:rPr>
          <w:color w:val="000000"/>
          <w:lang w:eastAsia="fr-FR" w:bidi="fr-FR"/>
        </w:rPr>
        <w:lastRenderedPageBreak/>
        <w:t>avait autrefois consulté, sur la question même qui devait faire l’objet de l’édit, le Procureur général du Parlement de Dijon, il lui adressa, en toute innocence, une demande de renseignements. Bertin n’eut garde de négliger cette ouverture. Il répondit par une longue lettre au Contrôleur général d’Invau. Il proposait, entre autres choses, de r</w:t>
      </w:r>
      <w:r w:rsidRPr="009C29C2">
        <w:rPr>
          <w:color w:val="000000"/>
          <w:lang w:eastAsia="fr-FR" w:bidi="fr-FR"/>
        </w:rPr>
        <w:t>e</w:t>
      </w:r>
      <w:r w:rsidRPr="009C29C2">
        <w:rPr>
          <w:color w:val="000000"/>
          <w:lang w:eastAsia="fr-FR" w:bidi="fr-FR"/>
        </w:rPr>
        <w:t>prendre « les assemblées » du Comité d’Agriculture, et témoignait de son esprit de conciliation en invitant le</w:t>
      </w:r>
      <w:r>
        <w:t xml:space="preserve"> [618] </w:t>
      </w:r>
      <w:r w:rsidRPr="009C29C2">
        <w:rPr>
          <w:color w:val="000000"/>
          <w:lang w:eastAsia="fr-FR" w:bidi="fr-FR"/>
        </w:rPr>
        <w:t>Contrôleur général à s’entendre avec lui sur le choix des personnes à convoquer. Un peu plus tard, ayant reçu communication du dossier bourguignon, il réd</w:t>
      </w:r>
      <w:r w:rsidRPr="009C29C2">
        <w:rPr>
          <w:color w:val="000000"/>
          <w:lang w:eastAsia="fr-FR" w:bidi="fr-FR"/>
        </w:rPr>
        <w:t>i</w:t>
      </w:r>
      <w:r w:rsidRPr="009C29C2">
        <w:rPr>
          <w:color w:val="000000"/>
          <w:lang w:eastAsia="fr-FR" w:bidi="fr-FR"/>
        </w:rPr>
        <w:t>geait un mémoire détaillé, dans lequel il suggérait d’importants ame</w:t>
      </w:r>
      <w:r w:rsidRPr="009C29C2">
        <w:rPr>
          <w:color w:val="000000"/>
          <w:lang w:eastAsia="fr-FR" w:bidi="fr-FR"/>
        </w:rPr>
        <w:t>n</w:t>
      </w:r>
      <w:r w:rsidRPr="009C29C2">
        <w:rPr>
          <w:color w:val="000000"/>
          <w:lang w:eastAsia="fr-FR" w:bidi="fr-FR"/>
        </w:rPr>
        <w:t>dements au projet d’édit</w:t>
      </w:r>
      <w:r>
        <w:rPr>
          <w:color w:val="000000"/>
          <w:lang w:eastAsia="fr-FR" w:bidi="fr-FR"/>
        </w:rPr>
        <w:t> </w:t>
      </w:r>
      <w:r>
        <w:rPr>
          <w:rStyle w:val="Appelnotedebasdep"/>
        </w:rPr>
        <w:footnoteReference w:id="175"/>
      </w:r>
      <w:r w:rsidRPr="009C29C2">
        <w:rPr>
          <w:color w:val="000000"/>
          <w:lang w:eastAsia="fr-FR" w:bidi="fr-FR"/>
        </w:rPr>
        <w:t>. Vains efforts ! Aucune des modifications indiquées ne fut retenue ; le Comité d’Agriculture ne ressuscita pas de ses cendres.</w:t>
      </w:r>
    </w:p>
    <w:p w14:paraId="229C0592" w14:textId="77777777" w:rsidR="00B9662D" w:rsidRPr="009C29C2" w:rsidRDefault="00B9662D" w:rsidP="00B9662D">
      <w:pPr>
        <w:spacing w:before="120" w:after="120"/>
        <w:jc w:val="both"/>
      </w:pPr>
      <w:r w:rsidRPr="009C29C2">
        <w:rPr>
          <w:color w:val="000000"/>
          <w:lang w:eastAsia="fr-FR" w:bidi="fr-FR"/>
        </w:rPr>
        <w:t>En 1771, Bertin poussa une pointe plus vigoureuse. Terray était alors Contrôleur général. Il n’était peut-être pas très bien disposé pour d’Ormesson, dont il ne partageait pas la foi dans l’opportunité des r</w:t>
      </w:r>
      <w:r w:rsidRPr="009C29C2">
        <w:rPr>
          <w:color w:val="000000"/>
          <w:lang w:eastAsia="fr-FR" w:bidi="fr-FR"/>
        </w:rPr>
        <w:t>é</w:t>
      </w:r>
      <w:r w:rsidRPr="009C29C2">
        <w:rPr>
          <w:color w:val="000000"/>
          <w:lang w:eastAsia="fr-FR" w:bidi="fr-FR"/>
        </w:rPr>
        <w:t>formes agraires</w:t>
      </w:r>
      <w:r>
        <w:rPr>
          <w:color w:val="000000"/>
          <w:lang w:eastAsia="fr-FR" w:bidi="fr-FR"/>
        </w:rPr>
        <w:t> </w:t>
      </w:r>
      <w:r>
        <w:rPr>
          <w:rStyle w:val="Appelnotedebasdep"/>
        </w:rPr>
        <w:footnoteReference w:id="176"/>
      </w:r>
      <w:r w:rsidRPr="009C29C2">
        <w:rPr>
          <w:color w:val="000000"/>
          <w:lang w:eastAsia="fr-FR" w:bidi="fr-FR"/>
        </w:rPr>
        <w:t>. De fait, si l’on en croit une lettre de Bertin, il consentit un moment à laisser celui-ci réunir à son département tout ce qui regardait la « culture ». Mais d’Ormesson protesta. Bertin ne d</w:t>
      </w:r>
      <w:r w:rsidRPr="009C29C2">
        <w:rPr>
          <w:color w:val="000000"/>
          <w:lang w:eastAsia="fr-FR" w:bidi="fr-FR"/>
        </w:rPr>
        <w:t>e</w:t>
      </w:r>
      <w:r w:rsidRPr="009C29C2">
        <w:rPr>
          <w:color w:val="000000"/>
          <w:lang w:eastAsia="fr-FR" w:bidi="fr-FR"/>
        </w:rPr>
        <w:t>vait obtenir gain de cause que plus de deux ans plus tard</w:t>
      </w:r>
      <w:r>
        <w:rPr>
          <w:color w:val="000000"/>
          <w:lang w:eastAsia="fr-FR" w:bidi="fr-FR"/>
        </w:rPr>
        <w:t> </w:t>
      </w:r>
      <w:r>
        <w:rPr>
          <w:rStyle w:val="Appelnotedebasdep"/>
        </w:rPr>
        <w:footnoteReference w:id="177"/>
      </w:r>
      <w:r w:rsidRPr="009C29C2">
        <w:rPr>
          <w:color w:val="000000"/>
          <w:lang w:eastAsia="fr-FR" w:bidi="fr-FR"/>
        </w:rPr>
        <w:t>. Jusque-là d’Ormesson continua, sous le nom des Contrôleurs généraux, son a</w:t>
      </w:r>
      <w:r w:rsidRPr="009C29C2">
        <w:rPr>
          <w:color w:val="000000"/>
          <w:lang w:eastAsia="fr-FR" w:bidi="fr-FR"/>
        </w:rPr>
        <w:t>c</w:t>
      </w:r>
      <w:r w:rsidRPr="009C29C2">
        <w:rPr>
          <w:color w:val="000000"/>
          <w:lang w:eastAsia="fr-FR" w:bidi="fr-FR"/>
        </w:rPr>
        <w:t xml:space="preserve">tion. Sans doute, la complexité des rouages administratifs l’obligeait à bien des détours. Fallait-il toucher les autorités provinciales, États ou </w:t>
      </w:r>
      <w:r w:rsidRPr="009C29C2">
        <w:rPr>
          <w:color w:val="000000"/>
          <w:lang w:eastAsia="fr-FR" w:bidi="fr-FR"/>
        </w:rPr>
        <w:lastRenderedPageBreak/>
        <w:t>Cours de justice ? L’intermédiaire des Secrétaires d’État, pourvus chacun d’un ressort territorial, devenait nécessaire, ou bien auprès des Cours, celui de la Chancellerie. Mais la correspondance considérable conservée dans les archives du Contrôle général ou dans les dépôts des intendances, les mentions de service en marge d’une foule de pi</w:t>
      </w:r>
      <w:r w:rsidRPr="009C29C2">
        <w:rPr>
          <w:color w:val="000000"/>
          <w:lang w:eastAsia="fr-FR" w:bidi="fr-FR"/>
        </w:rPr>
        <w:t>è</w:t>
      </w:r>
      <w:r w:rsidRPr="009C29C2">
        <w:rPr>
          <w:color w:val="000000"/>
          <w:lang w:eastAsia="fr-FR" w:bidi="fr-FR"/>
        </w:rPr>
        <w:t>ces relatives aux affaires agricoles attestent que c’est bien du dépa</w:t>
      </w:r>
      <w:r w:rsidRPr="009C29C2">
        <w:rPr>
          <w:color w:val="000000"/>
          <w:lang w:eastAsia="fr-FR" w:bidi="fr-FR"/>
        </w:rPr>
        <w:t>r</w:t>
      </w:r>
      <w:r w:rsidRPr="009C29C2">
        <w:rPr>
          <w:color w:val="000000"/>
          <w:lang w:eastAsia="fr-FR" w:bidi="fr-FR"/>
        </w:rPr>
        <w:t>tement des impositions que partit pendant cette période (où l’on vit, entre autres, se multiplier les édits favorisant le partage des comm</w:t>
      </w:r>
      <w:r w:rsidRPr="009C29C2">
        <w:rPr>
          <w:color w:val="000000"/>
          <w:lang w:eastAsia="fr-FR" w:bidi="fr-FR"/>
        </w:rPr>
        <w:t>u</w:t>
      </w:r>
      <w:r w:rsidRPr="009C29C2">
        <w:rPr>
          <w:color w:val="000000"/>
          <w:lang w:eastAsia="fr-FR" w:bidi="fr-FR"/>
        </w:rPr>
        <w:t>naux) l’initiative des réformes agraires et notamment des mesures re</w:t>
      </w:r>
      <w:r w:rsidRPr="009C29C2">
        <w:rPr>
          <w:color w:val="000000"/>
          <w:lang w:eastAsia="fr-FR" w:bidi="fr-FR"/>
        </w:rPr>
        <w:t>s</w:t>
      </w:r>
      <w:r w:rsidRPr="009C29C2">
        <w:rPr>
          <w:color w:val="000000"/>
          <w:lang w:eastAsia="fr-FR" w:bidi="fr-FR"/>
        </w:rPr>
        <w:t>trictives de la vaine pâture, dont d’Ormesson lui-même a d’ailleurs expressément revendiqué la responsabilité</w:t>
      </w:r>
      <w:r>
        <w:rPr>
          <w:color w:val="000000"/>
          <w:lang w:eastAsia="fr-FR" w:bidi="fr-FR"/>
        </w:rPr>
        <w:t> </w:t>
      </w:r>
      <w:r>
        <w:rPr>
          <w:rStyle w:val="Appelnotedebasdep"/>
        </w:rPr>
        <w:footnoteReference w:id="178"/>
      </w:r>
      <w:r w:rsidRPr="009C29C2">
        <w:rPr>
          <w:color w:val="000000"/>
          <w:lang w:eastAsia="fr-FR" w:bidi="fr-FR"/>
        </w:rPr>
        <w:t>.</w:t>
      </w:r>
    </w:p>
    <w:p w14:paraId="568E81E0" w14:textId="77777777" w:rsidR="00B9662D" w:rsidRPr="009C29C2" w:rsidRDefault="00B9662D" w:rsidP="00B9662D">
      <w:pPr>
        <w:spacing w:before="120" w:after="120"/>
        <w:jc w:val="both"/>
      </w:pPr>
      <w:r w:rsidRPr="009C29C2">
        <w:rPr>
          <w:color w:val="000000"/>
          <w:lang w:eastAsia="fr-FR" w:bidi="fr-FR"/>
        </w:rPr>
        <w:t>Guerre de bureaux ? sans doute ; mais surtout conflit de deux pol</w:t>
      </w:r>
      <w:r w:rsidRPr="009C29C2">
        <w:rPr>
          <w:color w:val="000000"/>
          <w:lang w:eastAsia="fr-FR" w:bidi="fr-FR"/>
        </w:rPr>
        <w:t>i</w:t>
      </w:r>
      <w:r w:rsidRPr="009C29C2">
        <w:rPr>
          <w:color w:val="000000"/>
          <w:lang w:eastAsia="fr-FR" w:bidi="fr-FR"/>
        </w:rPr>
        <w:t>tiques agraires. Membre d’une illustre famille de robe, Marie-François de Paule Le Fèvre, premier marquis d’Ormesson</w:t>
      </w:r>
      <w:r>
        <w:rPr>
          <w:color w:val="000000"/>
          <w:lang w:eastAsia="fr-FR" w:bidi="fr-FR"/>
        </w:rPr>
        <w:t> </w:t>
      </w:r>
      <w:r>
        <w:rPr>
          <w:rStyle w:val="Appelnotedebasdep"/>
        </w:rPr>
        <w:footnoteReference w:id="179"/>
      </w:r>
      <w:r w:rsidRPr="009C29C2">
        <w:rPr>
          <w:color w:val="000000"/>
          <w:lang w:eastAsia="fr-FR" w:bidi="fr-FR"/>
        </w:rPr>
        <w:t>, vécut la vie cachée</w:t>
      </w:r>
      <w:r>
        <w:rPr>
          <w:color w:val="000000"/>
          <w:lang w:eastAsia="fr-FR" w:bidi="fr-FR"/>
        </w:rPr>
        <w:t xml:space="preserve"> </w:t>
      </w:r>
      <w:r>
        <w:t>[</w:t>
      </w:r>
      <w:r w:rsidRPr="009C29C2">
        <w:rPr>
          <w:color w:val="000000"/>
          <w:lang w:eastAsia="fr-FR" w:bidi="fr-FR"/>
        </w:rPr>
        <w:t>619</w:t>
      </w:r>
      <w:r>
        <w:rPr>
          <w:color w:val="000000"/>
          <w:lang w:eastAsia="fr-FR" w:bidi="fr-FR"/>
        </w:rPr>
        <w:t xml:space="preserve">] </w:t>
      </w:r>
      <w:r w:rsidRPr="009C29C2">
        <w:rPr>
          <w:color w:val="000000"/>
          <w:lang w:eastAsia="fr-FR" w:bidi="fr-FR"/>
        </w:rPr>
        <w:t>d’un grand commis ; il agit beaucoup, mais fit peu parler de lui. Pourtant un trait dans sa personnalité apparaît avec netteté : d’esprit systématique</w:t>
      </w:r>
      <w:r>
        <w:rPr>
          <w:color w:val="000000"/>
          <w:lang w:eastAsia="fr-FR" w:bidi="fr-FR"/>
        </w:rPr>
        <w:t> — </w:t>
      </w:r>
      <w:r w:rsidRPr="009C29C2">
        <w:rPr>
          <w:color w:val="000000"/>
          <w:lang w:eastAsia="fr-FR" w:bidi="fr-FR"/>
        </w:rPr>
        <w:t>fort « entêté », disaient ses ennemis,</w:t>
      </w:r>
      <w:r>
        <w:rPr>
          <w:color w:val="000000"/>
          <w:lang w:eastAsia="fr-FR" w:bidi="fr-FR"/>
        </w:rPr>
        <w:t> — </w:t>
      </w:r>
      <w:r w:rsidRPr="009C29C2">
        <w:rPr>
          <w:color w:val="000000"/>
          <w:lang w:eastAsia="fr-FR" w:bidi="fr-FR"/>
        </w:rPr>
        <w:t>il était gagné aux idées économiques nouvelles beaucoup plus entièrement que Be</w:t>
      </w:r>
      <w:r w:rsidRPr="009C29C2">
        <w:rPr>
          <w:color w:val="000000"/>
          <w:lang w:eastAsia="fr-FR" w:bidi="fr-FR"/>
        </w:rPr>
        <w:t>r</w:t>
      </w:r>
      <w:r w:rsidRPr="009C29C2">
        <w:rPr>
          <w:color w:val="000000"/>
          <w:lang w:eastAsia="fr-FR" w:bidi="fr-FR"/>
        </w:rPr>
        <w:t>tin ou que Daniel Trudaine. Rien de plus instructif que de comparer, avec la lettre que Bertin, en 1766, avait adressée aux intendants et procureurs généraux, la circulaire à peu près pareille dans son objet, que d’Ormesson fit tenir aux intendants, en 1768, sous la signature du Contrôleur général Laverdy. « On prétend », disait Bertin, que la va</w:t>
      </w:r>
      <w:r w:rsidRPr="009C29C2">
        <w:rPr>
          <w:color w:val="000000"/>
          <w:lang w:eastAsia="fr-FR" w:bidi="fr-FR"/>
        </w:rPr>
        <w:t>i</w:t>
      </w:r>
      <w:r w:rsidRPr="009C29C2">
        <w:rPr>
          <w:color w:val="000000"/>
          <w:lang w:eastAsia="fr-FR" w:bidi="fr-FR"/>
        </w:rPr>
        <w:t xml:space="preserve">ne pâture « nuit à l’agriculture et principalement aux </w:t>
      </w:r>
      <w:r w:rsidRPr="009C29C2">
        <w:rPr>
          <w:color w:val="000000"/>
          <w:lang w:eastAsia="fr-FR" w:bidi="fr-FR"/>
        </w:rPr>
        <w:lastRenderedPageBreak/>
        <w:t>prairies artificie</w:t>
      </w:r>
      <w:r w:rsidRPr="009C29C2">
        <w:rPr>
          <w:color w:val="000000"/>
          <w:lang w:eastAsia="fr-FR" w:bidi="fr-FR"/>
        </w:rPr>
        <w:t>l</w:t>
      </w:r>
      <w:r w:rsidRPr="009C29C2">
        <w:rPr>
          <w:color w:val="000000"/>
          <w:lang w:eastAsia="fr-FR" w:bidi="fr-FR"/>
        </w:rPr>
        <w:t>les... ; cependant il est à présumer que cet usage n’a été établi qu’en faveur des pauvres... et cette considération est importante dans l’examen de la question de savoir si l’on peut et s’il est utile de dér</w:t>
      </w:r>
      <w:r w:rsidRPr="009C29C2">
        <w:rPr>
          <w:color w:val="000000"/>
          <w:lang w:eastAsia="fr-FR" w:bidi="fr-FR"/>
        </w:rPr>
        <w:t>o</w:t>
      </w:r>
      <w:r w:rsidRPr="009C29C2">
        <w:rPr>
          <w:color w:val="000000"/>
          <w:lang w:eastAsia="fr-FR" w:bidi="fr-FR"/>
        </w:rPr>
        <w:t>ger par une nouvelle loy au droit de parcours établi dans le royaume ». De quelles hésitations la condamnation de l’agriculture ancienne ne s’enveloppe-t-elle pas ici</w:t>
      </w:r>
      <w:r>
        <w:rPr>
          <w:color w:val="000000"/>
          <w:lang w:eastAsia="fr-FR" w:bidi="fr-FR"/>
        </w:rPr>
        <w:t> </w:t>
      </w:r>
      <w:r>
        <w:rPr>
          <w:rStyle w:val="Appelnotedebasdep"/>
        </w:rPr>
        <w:footnoteReference w:id="180"/>
      </w:r>
      <w:r w:rsidRPr="009C29C2">
        <w:rPr>
          <w:color w:val="000000"/>
          <w:lang w:eastAsia="fr-FR" w:bidi="fr-FR"/>
        </w:rPr>
        <w:t> ! Écoutons au contraire sur quel mode triomphant Laverdy, ou plutôt d’Ormesson, vante l’esprit nouveau : « Ces lois »</w:t>
      </w:r>
      <w:r>
        <w:rPr>
          <w:color w:val="000000"/>
          <w:lang w:eastAsia="fr-FR" w:bidi="fr-FR"/>
        </w:rPr>
        <w:t> — </w:t>
      </w:r>
      <w:r w:rsidRPr="009C29C2">
        <w:rPr>
          <w:color w:val="000000"/>
          <w:lang w:eastAsia="fr-FR" w:bidi="fr-FR"/>
        </w:rPr>
        <w:t>les anciennes coutumes agraires</w:t>
      </w:r>
      <w:r>
        <w:rPr>
          <w:color w:val="000000"/>
          <w:lang w:eastAsia="fr-FR" w:bidi="fr-FR"/>
        </w:rPr>
        <w:t> — </w:t>
      </w:r>
      <w:r w:rsidRPr="009C29C2">
        <w:rPr>
          <w:color w:val="000000"/>
          <w:lang w:eastAsia="fr-FR" w:bidi="fr-FR"/>
        </w:rPr>
        <w:t>« faittes dans un tems où l’agriculture étoit bien éloignée des progrès qu’elle a faits d</w:t>
      </w:r>
      <w:r w:rsidRPr="009C29C2">
        <w:rPr>
          <w:color w:val="000000"/>
          <w:lang w:eastAsia="fr-FR" w:bidi="fr-FR"/>
        </w:rPr>
        <w:t>e</w:t>
      </w:r>
      <w:r w:rsidRPr="009C29C2">
        <w:rPr>
          <w:color w:val="000000"/>
          <w:lang w:eastAsia="fr-FR" w:bidi="fr-FR"/>
        </w:rPr>
        <w:t>puis, s’opposoient aux nouveaux succès dont elle est encore suscept</w:t>
      </w:r>
      <w:r w:rsidRPr="009C29C2">
        <w:rPr>
          <w:color w:val="000000"/>
          <w:lang w:eastAsia="fr-FR" w:bidi="fr-FR"/>
        </w:rPr>
        <w:t>i</w:t>
      </w:r>
      <w:r w:rsidRPr="009C29C2">
        <w:rPr>
          <w:color w:val="000000"/>
          <w:lang w:eastAsia="fr-FR" w:bidi="fr-FR"/>
        </w:rPr>
        <w:t>ble ; les habitans de ces Provinces »</w:t>
      </w:r>
      <w:r>
        <w:rPr>
          <w:color w:val="000000"/>
          <w:lang w:eastAsia="fr-FR" w:bidi="fr-FR"/>
        </w:rPr>
        <w:t> — </w:t>
      </w:r>
      <w:r w:rsidRPr="009C29C2">
        <w:rPr>
          <w:color w:val="000000"/>
          <w:lang w:eastAsia="fr-FR" w:bidi="fr-FR"/>
        </w:rPr>
        <w:t>celles qui avaient déjà été to</w:t>
      </w:r>
      <w:r w:rsidRPr="009C29C2">
        <w:rPr>
          <w:color w:val="000000"/>
          <w:lang w:eastAsia="fr-FR" w:bidi="fr-FR"/>
        </w:rPr>
        <w:t>u</w:t>
      </w:r>
      <w:r w:rsidRPr="009C29C2">
        <w:rPr>
          <w:color w:val="000000"/>
          <w:lang w:eastAsia="fr-FR" w:bidi="fr-FR"/>
        </w:rPr>
        <w:t>chées par les édits permettant la clôture</w:t>
      </w:r>
      <w:r>
        <w:rPr>
          <w:color w:val="000000"/>
          <w:lang w:eastAsia="fr-FR" w:bidi="fr-FR"/>
        </w:rPr>
        <w:t> — </w:t>
      </w:r>
      <w:r w:rsidRPr="009C29C2">
        <w:rPr>
          <w:color w:val="000000"/>
          <w:lang w:eastAsia="fr-FR" w:bidi="fr-FR"/>
        </w:rPr>
        <w:t>« ont regardé comme un bienfait de Sa Majesté la faculté qu’elle leur a accordée de disposer de leurs héritages à leur gré et de les fermer touttes les fois qu’ils le jug</w:t>
      </w:r>
      <w:r w:rsidRPr="009C29C2">
        <w:rPr>
          <w:color w:val="000000"/>
          <w:lang w:eastAsia="fr-FR" w:bidi="fr-FR"/>
        </w:rPr>
        <w:t>e</w:t>
      </w:r>
      <w:r w:rsidRPr="009C29C2">
        <w:rPr>
          <w:color w:val="000000"/>
          <w:lang w:eastAsia="fr-FR" w:bidi="fr-FR"/>
        </w:rPr>
        <w:t>roient convenable ; et loin que l’on puisse craindre de voir diminuer le nombre des bestiaux, ces habitans sont bien convaincus qu’en mult</w:t>
      </w:r>
      <w:r w:rsidRPr="009C29C2">
        <w:rPr>
          <w:color w:val="000000"/>
          <w:lang w:eastAsia="fr-FR" w:bidi="fr-FR"/>
        </w:rPr>
        <w:t>i</w:t>
      </w:r>
      <w:r w:rsidRPr="009C29C2">
        <w:rPr>
          <w:color w:val="000000"/>
          <w:lang w:eastAsia="fr-FR" w:bidi="fr-FR"/>
        </w:rPr>
        <w:t>pliant les productions de la terre, l’on multiplie les subsistances et que, par conséquent, l’on donne la facilité d’élever et de nourrir une plus grande quantité de bestiaux ». Quant aux « préjugés » populaires, l’intendant pensait sans doute à leur sujet ce que, peut-être sous son inspiration, son ministre, Laverdy, en avait naguère écrit, à propos de la liberté des grains : « en se roidissant » contre eux, « ils s’affaiblissent successivement et on parviendra à les accoutumer à un bien »</w:t>
      </w:r>
      <w:r>
        <w:rPr>
          <w:color w:val="000000"/>
          <w:lang w:eastAsia="fr-FR" w:bidi="fr-FR"/>
        </w:rPr>
        <w:t> </w:t>
      </w:r>
      <w:r>
        <w:rPr>
          <w:rStyle w:val="Appelnotedebasdep"/>
        </w:rPr>
        <w:footnoteReference w:id="181"/>
      </w:r>
      <w:r w:rsidRPr="009C29C2">
        <w:rPr>
          <w:color w:val="000000"/>
          <w:lang w:eastAsia="fr-FR" w:bidi="fr-FR"/>
        </w:rPr>
        <w:t>.</w:t>
      </w:r>
    </w:p>
    <w:p w14:paraId="341949AD" w14:textId="77777777" w:rsidR="00B9662D" w:rsidRDefault="00B9662D" w:rsidP="00B9662D">
      <w:pPr>
        <w:pStyle w:val="c"/>
        <w:rPr>
          <w:lang w:eastAsia="fr-FR" w:bidi="fr-FR"/>
        </w:rPr>
      </w:pPr>
      <w:r>
        <w:rPr>
          <w:lang w:eastAsia="fr-FR" w:bidi="fr-FR"/>
        </w:rPr>
        <w:t>*</w:t>
      </w:r>
      <w:r>
        <w:rPr>
          <w:lang w:eastAsia="fr-FR" w:bidi="fr-FR"/>
        </w:rPr>
        <w:br/>
        <w:t>*     *</w:t>
      </w:r>
    </w:p>
    <w:p w14:paraId="492C452B" w14:textId="77777777" w:rsidR="00B9662D" w:rsidRPr="009C29C2" w:rsidRDefault="00B9662D" w:rsidP="00B9662D">
      <w:pPr>
        <w:spacing w:before="120" w:after="120"/>
        <w:jc w:val="both"/>
      </w:pPr>
      <w:r w:rsidRPr="009C29C2">
        <w:rPr>
          <w:color w:val="000000"/>
          <w:lang w:eastAsia="fr-FR" w:bidi="fr-FR"/>
        </w:rPr>
        <w:t>Il est bien caractéristique du tempérament de d’Ormesson qu’au lieu, comme Bertin ou Trudaine, de s’informer longuement avant d’agir, il ait mis en train l’action avant l’enquête. Il commença par prescrire dans trois provinces</w:t>
      </w:r>
      <w:r>
        <w:rPr>
          <w:color w:val="000000"/>
          <w:lang w:eastAsia="fr-FR" w:bidi="fr-FR"/>
        </w:rPr>
        <w:t> — </w:t>
      </w:r>
      <w:r w:rsidRPr="009C29C2">
        <w:rPr>
          <w:color w:val="000000"/>
          <w:lang w:eastAsia="fr-FR" w:bidi="fr-FR"/>
        </w:rPr>
        <w:t>Lorraine, Béarn, Trois-Évêchés</w:t>
      </w:r>
      <w:r>
        <w:rPr>
          <w:color w:val="000000"/>
          <w:lang w:eastAsia="fr-FR" w:bidi="fr-FR"/>
        </w:rPr>
        <w:t> — </w:t>
      </w:r>
      <w:r w:rsidRPr="009C29C2">
        <w:rPr>
          <w:color w:val="000000"/>
          <w:lang w:eastAsia="fr-FR" w:bidi="fr-FR"/>
        </w:rPr>
        <w:t xml:space="preserve">la liberté de clôture, et, dans la troisième, l’abolition du parcours : alors seulement, avant d’étendre « cette grâce » à toutes les contrées où subsistaient les vieilles « gênes », il crut nécessaire de s’instruire des </w:t>
      </w:r>
      <w:r w:rsidRPr="009C29C2">
        <w:rPr>
          <w:color w:val="000000"/>
          <w:lang w:eastAsia="fr-FR" w:bidi="fr-FR"/>
        </w:rPr>
        <w:lastRenderedPageBreak/>
        <w:t>conditions propres à chaque région. Ce fut l’objet du questionnaire</w:t>
      </w:r>
      <w:r>
        <w:rPr>
          <w:color w:val="000000"/>
          <w:lang w:eastAsia="fr-FR" w:bidi="fr-FR"/>
        </w:rPr>
        <w:t> — </w:t>
      </w:r>
      <w:r w:rsidRPr="009C29C2">
        <w:rPr>
          <w:color w:val="000000"/>
          <w:lang w:eastAsia="fr-FR" w:bidi="fr-FR"/>
        </w:rPr>
        <w:t>très large</w:t>
      </w:r>
      <w:r>
        <w:rPr>
          <w:color w:val="000000"/>
          <w:lang w:eastAsia="fr-FR" w:bidi="fr-FR"/>
        </w:rPr>
        <w:t> — </w:t>
      </w:r>
      <w:r w:rsidRPr="009C29C2">
        <w:rPr>
          <w:color w:val="000000"/>
          <w:lang w:eastAsia="fr-FR" w:bidi="fr-FR"/>
        </w:rPr>
        <w:t>qu’il fit tenir aux intendants, le 24 juin 1768, sous la s</w:t>
      </w:r>
      <w:r w:rsidRPr="009C29C2">
        <w:rPr>
          <w:color w:val="000000"/>
          <w:lang w:eastAsia="fr-FR" w:bidi="fr-FR"/>
        </w:rPr>
        <w:t>i</w:t>
      </w:r>
      <w:r w:rsidRPr="009C29C2">
        <w:rPr>
          <w:color w:val="000000"/>
          <w:lang w:eastAsia="fr-FR" w:bidi="fr-FR"/>
        </w:rPr>
        <w:t>gnature du Contrôleur</w:t>
      </w:r>
      <w:r>
        <w:rPr>
          <w:color w:val="000000"/>
          <w:lang w:eastAsia="fr-FR" w:bidi="fr-FR"/>
        </w:rPr>
        <w:t xml:space="preserve"> [620] </w:t>
      </w:r>
      <w:r w:rsidRPr="009C29C2">
        <w:rPr>
          <w:color w:val="000000"/>
          <w:lang w:eastAsia="fr-FR" w:bidi="fr-FR"/>
        </w:rPr>
        <w:t>général Laverdy</w:t>
      </w:r>
      <w:r>
        <w:rPr>
          <w:color w:val="000000"/>
          <w:lang w:eastAsia="fr-FR" w:bidi="fr-FR"/>
        </w:rPr>
        <w:t> </w:t>
      </w:r>
      <w:r>
        <w:rPr>
          <w:rStyle w:val="Appelnotedebasdep"/>
        </w:rPr>
        <w:footnoteReference w:id="182"/>
      </w:r>
      <w:r w:rsidRPr="009C29C2">
        <w:rPr>
          <w:color w:val="000000"/>
          <w:lang w:eastAsia="fr-FR" w:bidi="fr-FR"/>
        </w:rPr>
        <w:t>. Les réponses, qui, à leur ordinaire, n’arrivèrent que lentement et peut-être demeurèrent toujours incomplètes (sur vingt-neuf intendants interrogés, dix-huit, à notre connaissance, r</w:t>
      </w:r>
      <w:r w:rsidRPr="009C29C2">
        <w:rPr>
          <w:color w:val="000000"/>
          <w:lang w:eastAsia="fr-FR" w:bidi="fr-FR"/>
        </w:rPr>
        <w:t>é</w:t>
      </w:r>
      <w:r w:rsidRPr="009C29C2">
        <w:rPr>
          <w:color w:val="000000"/>
          <w:lang w:eastAsia="fr-FR" w:bidi="fr-FR"/>
        </w:rPr>
        <w:t>pondirent), furent, dans l’ensemble, beaucoup plus nettement favor</w:t>
      </w:r>
      <w:r w:rsidRPr="009C29C2">
        <w:rPr>
          <w:color w:val="000000"/>
          <w:lang w:eastAsia="fr-FR" w:bidi="fr-FR"/>
        </w:rPr>
        <w:t>a</w:t>
      </w:r>
      <w:r w:rsidRPr="009C29C2">
        <w:rPr>
          <w:color w:val="000000"/>
          <w:lang w:eastAsia="fr-FR" w:bidi="fr-FR"/>
        </w:rPr>
        <w:t>bles à la réforme qu’en 1766. Le personnel s’était en partie renouv</w:t>
      </w:r>
      <w:r w:rsidRPr="009C29C2">
        <w:rPr>
          <w:color w:val="000000"/>
          <w:lang w:eastAsia="fr-FR" w:bidi="fr-FR"/>
        </w:rPr>
        <w:t>e</w:t>
      </w:r>
      <w:r w:rsidRPr="009C29C2">
        <w:rPr>
          <w:color w:val="000000"/>
          <w:lang w:eastAsia="fr-FR" w:bidi="fr-FR"/>
        </w:rPr>
        <w:t>lé</w:t>
      </w:r>
      <w:r>
        <w:rPr>
          <w:color w:val="000000"/>
          <w:lang w:eastAsia="fr-FR" w:bidi="fr-FR"/>
        </w:rPr>
        <w:t> </w:t>
      </w:r>
      <w:r>
        <w:rPr>
          <w:rStyle w:val="Appelnotedebasdep"/>
        </w:rPr>
        <w:footnoteReference w:id="183"/>
      </w:r>
      <w:r w:rsidRPr="009C29C2">
        <w:rPr>
          <w:color w:val="000000"/>
          <w:lang w:eastAsia="fr-FR" w:bidi="fr-FR"/>
        </w:rPr>
        <w:t> : même chez les hommes qui étaient restés en place, les idées nouvelles avaient fait leur chemin.</w:t>
      </w:r>
    </w:p>
    <w:p w14:paraId="42665BDC" w14:textId="77777777" w:rsidR="00B9662D" w:rsidRPr="009C29C2" w:rsidRDefault="00B9662D" w:rsidP="00B9662D">
      <w:pPr>
        <w:spacing w:before="120" w:after="120"/>
        <w:jc w:val="both"/>
      </w:pPr>
      <w:r w:rsidRPr="009C29C2">
        <w:rPr>
          <w:color w:val="000000"/>
          <w:lang w:eastAsia="fr-FR" w:bidi="fr-FR"/>
        </w:rPr>
        <w:t>Mais ce fut par des actes surtout que se traduisirent les fortes convictions qui animaient le chef du département des impositions : les « édits des clos », mesures beaucoup plus radicales que celle qu’avait rêvée Bertin</w:t>
      </w:r>
      <w:r>
        <w:rPr>
          <w:color w:val="000000"/>
          <w:lang w:eastAsia="fr-FR" w:bidi="fr-FR"/>
        </w:rPr>
        <w:t> — </w:t>
      </w:r>
      <w:r w:rsidRPr="009C29C2">
        <w:rPr>
          <w:color w:val="000000"/>
          <w:lang w:eastAsia="fr-FR" w:bidi="fr-FR"/>
        </w:rPr>
        <w:t>beaucoup moins absolues, cependant qu’une connai</w:t>
      </w:r>
      <w:r w:rsidRPr="009C29C2">
        <w:rPr>
          <w:color w:val="000000"/>
          <w:lang w:eastAsia="fr-FR" w:bidi="fr-FR"/>
        </w:rPr>
        <w:t>s</w:t>
      </w:r>
      <w:r w:rsidRPr="009C29C2">
        <w:rPr>
          <w:color w:val="000000"/>
          <w:lang w:eastAsia="fr-FR" w:bidi="fr-FR"/>
        </w:rPr>
        <w:t>sance inexacte de la mentalité d’un administrateur d’Ancien Régime, quel qu’il fût, pourrait amener les historiens à le supposer.</w:t>
      </w:r>
    </w:p>
    <w:p w14:paraId="6BDEED92" w14:textId="77777777" w:rsidR="00B9662D" w:rsidRPr="009C29C2" w:rsidRDefault="00B9662D" w:rsidP="00B9662D">
      <w:pPr>
        <w:spacing w:before="120" w:after="120"/>
        <w:jc w:val="both"/>
      </w:pPr>
      <w:r w:rsidRPr="009C29C2">
        <w:rPr>
          <w:color w:val="000000"/>
          <w:lang w:eastAsia="fr-FR" w:bidi="fr-FR"/>
        </w:rPr>
        <w:t>Aucun édit n’alla jamais jusqu’à l’abolition même de la vaine pât</w:t>
      </w:r>
      <w:r w:rsidRPr="009C29C2">
        <w:rPr>
          <w:color w:val="000000"/>
          <w:lang w:eastAsia="fr-FR" w:bidi="fr-FR"/>
        </w:rPr>
        <w:t>u</w:t>
      </w:r>
      <w:r w:rsidRPr="009C29C2">
        <w:rPr>
          <w:color w:val="000000"/>
          <w:lang w:eastAsia="fr-FR" w:bidi="fr-FR"/>
        </w:rPr>
        <w:t>re. Les plus hardis se bornèrent à proscrire le parcours entre comm</w:t>
      </w:r>
      <w:r w:rsidRPr="009C29C2">
        <w:rPr>
          <w:color w:val="000000"/>
          <w:lang w:eastAsia="fr-FR" w:bidi="fr-FR"/>
        </w:rPr>
        <w:t>u</w:t>
      </w:r>
      <w:r w:rsidRPr="009C29C2">
        <w:rPr>
          <w:color w:val="000000"/>
          <w:lang w:eastAsia="fr-FR" w:bidi="fr-FR"/>
        </w:rPr>
        <w:t>nautés. Tous, par contre, uniformément, accordèrent aux cultivateurs la liberté de se clore. Plus de limitation à une fraction des biens. Plus d’obligation de convertir en prairies artificielles les fonds enclos. C’était faire preuve d’audace, mais de sagesse aussi. Par nature, les prairies artificielles ne sont pas permanentes. Un terrain qu’elles ont occupé quelques années durant doit ensuite être rendu pour un an ou deux au blé. Cette rotation, sans jachère, était le principe même de l’agriculture nouvelle. Quelle perte de temps et quelles dépenses inut</w:t>
      </w:r>
      <w:r w:rsidRPr="009C29C2">
        <w:rPr>
          <w:color w:val="000000"/>
          <w:lang w:eastAsia="fr-FR" w:bidi="fr-FR"/>
        </w:rPr>
        <w:t>i</w:t>
      </w:r>
      <w:r w:rsidRPr="009C29C2">
        <w:rPr>
          <w:color w:val="000000"/>
          <w:lang w:eastAsia="fr-FR" w:bidi="fr-FR"/>
        </w:rPr>
        <w:t>les que d’établir, autour des fourrages, fossés ou palissades, si ce d</w:t>
      </w:r>
      <w:r w:rsidRPr="009C29C2">
        <w:rPr>
          <w:color w:val="000000"/>
          <w:lang w:eastAsia="fr-FR" w:bidi="fr-FR"/>
        </w:rPr>
        <w:t>e</w:t>
      </w:r>
      <w:r w:rsidRPr="009C29C2">
        <w:rPr>
          <w:color w:val="000000"/>
          <w:lang w:eastAsia="fr-FR" w:bidi="fr-FR"/>
        </w:rPr>
        <w:t xml:space="preserve">vait être, comme le voulait le système de Bertin, pour se trouver contraint d’abattre ou combler ces obstacles aussitôt que serait revenu le </w:t>
      </w:r>
      <w:r w:rsidRPr="009C29C2">
        <w:rPr>
          <w:color w:val="000000"/>
          <w:lang w:eastAsia="fr-FR" w:bidi="fr-FR"/>
        </w:rPr>
        <w:lastRenderedPageBreak/>
        <w:t>tour de l’emblavure. Quant aux haies vives, elles n’auraient même pas eu le loisir de pousser. Cette objection, qu’avaient soulevée, en 1766, quelques-unes des personnes consultées</w:t>
      </w:r>
      <w:r>
        <w:rPr>
          <w:color w:val="000000"/>
          <w:lang w:eastAsia="fr-FR" w:bidi="fr-FR"/>
        </w:rPr>
        <w:t> </w:t>
      </w:r>
      <w:r>
        <w:rPr>
          <w:rStyle w:val="Appelnotedebasdep"/>
        </w:rPr>
        <w:footnoteReference w:id="184"/>
      </w:r>
      <w:r w:rsidRPr="009C29C2">
        <w:rPr>
          <w:color w:val="000000"/>
          <w:lang w:eastAsia="fr-FR" w:bidi="fr-FR"/>
        </w:rPr>
        <w:t>, était de simple bon sens. Évidemment, chez Bertin et ses conseillers, il y avait quelque chose de l’agronome en chambre.</w:t>
      </w:r>
    </w:p>
    <w:p w14:paraId="624CF465" w14:textId="77777777" w:rsidR="00B9662D" w:rsidRPr="009C29C2" w:rsidRDefault="00B9662D" w:rsidP="00B9662D">
      <w:pPr>
        <w:spacing w:before="120" w:after="120"/>
        <w:jc w:val="both"/>
      </w:pPr>
      <w:r w:rsidRPr="009C29C2">
        <w:rPr>
          <w:color w:val="000000"/>
          <w:lang w:eastAsia="fr-FR" w:bidi="fr-FR"/>
        </w:rPr>
        <w:t>Ils avaient commis une autre faute encore : celle de se représenter la France agraire de leur temps comme uniformément soumise aux servitudes collectives. Le Procureur général de Rouen, Belbeuf, écr</w:t>
      </w:r>
      <w:r w:rsidRPr="009C29C2">
        <w:rPr>
          <w:color w:val="000000"/>
          <w:lang w:eastAsia="fr-FR" w:bidi="fr-FR"/>
        </w:rPr>
        <w:t>i</w:t>
      </w:r>
      <w:r w:rsidRPr="009C29C2">
        <w:rPr>
          <w:color w:val="000000"/>
          <w:lang w:eastAsia="fr-FR" w:bidi="fr-FR"/>
        </w:rPr>
        <w:t>vait au ministre avec une juste sévérité : « Je croi, Monsieur, que l’exposé que l’on a fait au Roi est susceptible d’erreur et que ceux qui ont pu le faire ne connoissent qu’une petite partie du Royaume... et qu’ils n’ont point assez examiné les usages de la plupart des autres provinces »</w:t>
      </w:r>
      <w:r>
        <w:rPr>
          <w:color w:val="000000"/>
          <w:lang w:eastAsia="fr-FR" w:bidi="fr-FR"/>
        </w:rPr>
        <w:t> </w:t>
      </w:r>
      <w:r>
        <w:rPr>
          <w:rStyle w:val="Appelnotedebasdep"/>
        </w:rPr>
        <w:footnoteReference w:id="185"/>
      </w:r>
      <w:r w:rsidRPr="009C29C2">
        <w:rPr>
          <w:color w:val="000000"/>
          <w:lang w:eastAsia="fr-FR" w:bidi="fr-FR"/>
        </w:rPr>
        <w:t>. Quel bienfait les habitants des régions où la clôture était légalement libre eussent-ils pu</w:t>
      </w:r>
      <w:r>
        <w:rPr>
          <w:color w:val="000000"/>
          <w:lang w:eastAsia="fr-FR" w:bidi="fr-FR"/>
        </w:rPr>
        <w:t xml:space="preserve"> </w:t>
      </w:r>
      <w:r>
        <w:t xml:space="preserve">[621] </w:t>
      </w:r>
      <w:r w:rsidRPr="009C29C2">
        <w:rPr>
          <w:color w:val="000000"/>
          <w:lang w:eastAsia="fr-FR" w:bidi="fr-FR"/>
        </w:rPr>
        <w:t>tirer d’une déclaration qui re</w:t>
      </w:r>
      <w:r w:rsidRPr="009C29C2">
        <w:rPr>
          <w:color w:val="000000"/>
          <w:lang w:eastAsia="fr-FR" w:bidi="fr-FR"/>
        </w:rPr>
        <w:t>s</w:t>
      </w:r>
      <w:r w:rsidRPr="009C29C2">
        <w:rPr>
          <w:color w:val="000000"/>
          <w:lang w:eastAsia="fr-FR" w:bidi="fr-FR"/>
        </w:rPr>
        <w:t>treignait cette faculté au cinquième des fonds ? Sur ce point, la polit</w:t>
      </w:r>
      <w:r w:rsidRPr="009C29C2">
        <w:rPr>
          <w:color w:val="000000"/>
          <w:lang w:eastAsia="fr-FR" w:bidi="fr-FR"/>
        </w:rPr>
        <w:t>i</w:t>
      </w:r>
      <w:r w:rsidRPr="009C29C2">
        <w:rPr>
          <w:color w:val="000000"/>
          <w:lang w:eastAsia="fr-FR" w:bidi="fr-FR"/>
        </w:rPr>
        <w:t>que de d’Ormesson, pour l’essentiel si résolument novatrice, apparaît comme beaucoup plus sainement soucieuse des contingences. Au lieu d’un texte valable pour le roya</w:t>
      </w:r>
      <w:r w:rsidRPr="009C29C2">
        <w:rPr>
          <w:color w:val="000000"/>
          <w:lang w:eastAsia="fr-FR" w:bidi="fr-FR"/>
        </w:rPr>
        <w:t>u</w:t>
      </w:r>
      <w:r w:rsidRPr="009C29C2">
        <w:rPr>
          <w:color w:val="000000"/>
          <w:lang w:eastAsia="fr-FR" w:bidi="fr-FR"/>
        </w:rPr>
        <w:t>me entier, on vit se succéder une suite d’édits propres chacun à une province, tous inspirés du même esprit, différents pourtant entre eux par bien des traits. Plus raisonnable, cette méthode était en même temps plus habile. Elle paraissait apte à rédu</w:t>
      </w:r>
      <w:r w:rsidRPr="009C29C2">
        <w:rPr>
          <w:color w:val="000000"/>
          <w:lang w:eastAsia="fr-FR" w:bidi="fr-FR"/>
        </w:rPr>
        <w:t>i</w:t>
      </w:r>
      <w:r w:rsidRPr="009C29C2">
        <w:rPr>
          <w:color w:val="000000"/>
          <w:lang w:eastAsia="fr-FR" w:bidi="fr-FR"/>
        </w:rPr>
        <w:t>re les résistances. Imaginons, en pays anciennement ouvert, deux pr</w:t>
      </w:r>
      <w:r w:rsidRPr="009C29C2">
        <w:rPr>
          <w:color w:val="000000"/>
          <w:lang w:eastAsia="fr-FR" w:bidi="fr-FR"/>
        </w:rPr>
        <w:t>o</w:t>
      </w:r>
      <w:r w:rsidRPr="009C29C2">
        <w:rPr>
          <w:color w:val="000000"/>
          <w:lang w:eastAsia="fr-FR" w:bidi="fr-FR"/>
        </w:rPr>
        <w:t>vinces contiguës ; dans l’une, un édit a aboli le parcours ; l’autre d</w:t>
      </w:r>
      <w:r w:rsidRPr="009C29C2">
        <w:rPr>
          <w:color w:val="000000"/>
          <w:lang w:eastAsia="fr-FR" w:bidi="fr-FR"/>
        </w:rPr>
        <w:t>e</w:t>
      </w:r>
      <w:r w:rsidRPr="009C29C2">
        <w:rPr>
          <w:color w:val="000000"/>
          <w:lang w:eastAsia="fr-FR" w:bidi="fr-FR"/>
        </w:rPr>
        <w:t>meure assujettie aux règles traditionnelles. Jadis la frontière était l</w:t>
      </w:r>
      <w:r w:rsidRPr="009C29C2">
        <w:rPr>
          <w:color w:val="000000"/>
          <w:lang w:eastAsia="fr-FR" w:bidi="fr-FR"/>
        </w:rPr>
        <w:t>i</w:t>
      </w:r>
      <w:r w:rsidRPr="009C29C2">
        <w:rPr>
          <w:color w:val="000000"/>
          <w:lang w:eastAsia="fr-FR" w:bidi="fr-FR"/>
        </w:rPr>
        <w:t xml:space="preserve">brement franchie par les troupeaux, de part et d’autre. Désormais, elle ne sera plus traversée que dans un seul sens ; les villages touchés par l’édit se fermeront au bétail de leurs voisins ; mais ils continueront à aller champoyer chez ceux-ci. Admettons même que l’ordonnance se soit bornée à autoriser les enclos. Là où cette liberté a </w:t>
      </w:r>
      <w:r w:rsidRPr="009C29C2">
        <w:rPr>
          <w:color w:val="000000"/>
          <w:lang w:eastAsia="fr-FR" w:bidi="fr-FR"/>
        </w:rPr>
        <w:lastRenderedPageBreak/>
        <w:t>été accordée, les particuliers pourront soustraire leurs biens à toute pâture comm</w:t>
      </w:r>
      <w:r w:rsidRPr="009C29C2">
        <w:rPr>
          <w:color w:val="000000"/>
          <w:lang w:eastAsia="fr-FR" w:bidi="fr-FR"/>
        </w:rPr>
        <w:t>u</w:t>
      </w:r>
      <w:r w:rsidRPr="009C29C2">
        <w:rPr>
          <w:color w:val="000000"/>
          <w:lang w:eastAsia="fr-FR" w:bidi="fr-FR"/>
        </w:rPr>
        <w:t>ne ; leurs bestiaux, en r</w:t>
      </w:r>
      <w:r w:rsidRPr="009C29C2">
        <w:rPr>
          <w:color w:val="000000"/>
          <w:lang w:eastAsia="fr-FR" w:bidi="fr-FR"/>
        </w:rPr>
        <w:t>e</w:t>
      </w:r>
      <w:r w:rsidRPr="009C29C2">
        <w:rPr>
          <w:color w:val="000000"/>
          <w:lang w:eastAsia="fr-FR" w:bidi="fr-FR"/>
        </w:rPr>
        <w:t>vanche, lorsqu’ils iront chercher provende au</w:t>
      </w:r>
      <w:r>
        <w:rPr>
          <w:color w:val="000000"/>
          <w:lang w:eastAsia="fr-FR" w:bidi="fr-FR"/>
        </w:rPr>
        <w:t>-</w:t>
      </w:r>
      <w:r w:rsidRPr="009C29C2">
        <w:rPr>
          <w:color w:val="000000"/>
          <w:lang w:eastAsia="fr-FR" w:bidi="fr-FR"/>
        </w:rPr>
        <w:t>delà de la limite adm</w:t>
      </w:r>
      <w:r w:rsidRPr="009C29C2">
        <w:rPr>
          <w:color w:val="000000"/>
          <w:lang w:eastAsia="fr-FR" w:bidi="fr-FR"/>
        </w:rPr>
        <w:t>i</w:t>
      </w:r>
      <w:r w:rsidRPr="009C29C2">
        <w:rPr>
          <w:color w:val="000000"/>
          <w:lang w:eastAsia="fr-FR" w:bidi="fr-FR"/>
        </w:rPr>
        <w:t>nistrative, ne seront arrêtés par aucune barrière. Gravement lésées, les communautés sur lesquelles pèse encore la vieille constitution agraire exerceront une pression, souvent efficace, pour amener à leur provi</w:t>
      </w:r>
      <w:r w:rsidRPr="009C29C2">
        <w:rPr>
          <w:color w:val="000000"/>
          <w:lang w:eastAsia="fr-FR" w:bidi="fr-FR"/>
        </w:rPr>
        <w:t>n</w:t>
      </w:r>
      <w:r w:rsidRPr="009C29C2">
        <w:rPr>
          <w:color w:val="000000"/>
          <w:lang w:eastAsia="fr-FR" w:bidi="fr-FR"/>
        </w:rPr>
        <w:t xml:space="preserve">ce l’extension de </w:t>
      </w:r>
      <w:r>
        <w:rPr>
          <w:color w:val="000000"/>
          <w:lang w:eastAsia="fr-FR" w:bidi="fr-FR"/>
        </w:rPr>
        <w:t>l’acte libérateur. Depuis le 11 </w:t>
      </w:r>
      <w:r w:rsidRPr="009C29C2">
        <w:rPr>
          <w:color w:val="000000"/>
          <w:lang w:eastAsia="fr-FR" w:bidi="fr-FR"/>
        </w:rPr>
        <w:t>juin 1767, les habitants des duchés de Lorraine et de Bar po</w:t>
      </w:r>
      <w:r w:rsidRPr="009C29C2">
        <w:rPr>
          <w:color w:val="000000"/>
          <w:lang w:eastAsia="fr-FR" w:bidi="fr-FR"/>
        </w:rPr>
        <w:t>u</w:t>
      </w:r>
      <w:r w:rsidRPr="009C29C2">
        <w:rPr>
          <w:color w:val="000000"/>
          <w:lang w:eastAsia="fr-FR" w:bidi="fr-FR"/>
        </w:rPr>
        <w:t>vaient, à leur gré, enclore leurs champs ; de même depuis 1768, ceux des Trois-Évêchés, où, en outre, le parcours avait cessé d’exister. Or, beaucoup de communautés champenoises étaient riveraines de ces deux provinces ; certaines y étaient enclavées. En mettant sous les yeux du Parlement de Paris l’injuste sort où elles étaient réduites, on obtint de lui, en 1769, son acquiescement à un édit qui introduisait en Champagne les dispos</w:t>
      </w:r>
      <w:r w:rsidRPr="009C29C2">
        <w:rPr>
          <w:color w:val="000000"/>
          <w:lang w:eastAsia="fr-FR" w:bidi="fr-FR"/>
        </w:rPr>
        <w:t>i</w:t>
      </w:r>
      <w:r w:rsidRPr="009C29C2">
        <w:rPr>
          <w:color w:val="000000"/>
          <w:lang w:eastAsia="fr-FR" w:bidi="fr-FR"/>
        </w:rPr>
        <w:t>tions en vigueur dans les Trois-Évêchés</w:t>
      </w:r>
      <w:r>
        <w:rPr>
          <w:color w:val="000000"/>
          <w:lang w:eastAsia="fr-FR" w:bidi="fr-FR"/>
        </w:rPr>
        <w:t> </w:t>
      </w:r>
      <w:r>
        <w:rPr>
          <w:rStyle w:val="Appelnotedebasdep"/>
        </w:rPr>
        <w:footnoteReference w:id="186"/>
      </w:r>
      <w:r w:rsidRPr="009C29C2">
        <w:rPr>
          <w:color w:val="000000"/>
          <w:lang w:eastAsia="fr-FR" w:bidi="fr-FR"/>
        </w:rPr>
        <w:t>. Les bureaux du départ</w:t>
      </w:r>
      <w:r w:rsidRPr="009C29C2">
        <w:rPr>
          <w:color w:val="000000"/>
          <w:lang w:eastAsia="fr-FR" w:bidi="fr-FR"/>
        </w:rPr>
        <w:t>e</w:t>
      </w:r>
      <w:r w:rsidRPr="009C29C2">
        <w:rPr>
          <w:color w:val="000000"/>
          <w:lang w:eastAsia="fr-FR" w:bidi="fr-FR"/>
        </w:rPr>
        <w:t>ment des impositions comptaient bien ne pas en rester là ; ils pe</w:t>
      </w:r>
      <w:r w:rsidRPr="009C29C2">
        <w:rPr>
          <w:color w:val="000000"/>
          <w:lang w:eastAsia="fr-FR" w:bidi="fr-FR"/>
        </w:rPr>
        <w:t>n</w:t>
      </w:r>
      <w:r w:rsidRPr="009C29C2">
        <w:rPr>
          <w:color w:val="000000"/>
          <w:lang w:eastAsia="fr-FR" w:bidi="fr-FR"/>
        </w:rPr>
        <w:t>saient user avec succès d’un argument pareil pour répandre, de proche en proche, à partir de la Champagne, dans le m</w:t>
      </w:r>
      <w:r w:rsidRPr="009C29C2">
        <w:rPr>
          <w:color w:val="000000"/>
          <w:lang w:eastAsia="fr-FR" w:bidi="fr-FR"/>
        </w:rPr>
        <w:t>ê</w:t>
      </w:r>
      <w:r w:rsidRPr="009C29C2">
        <w:rPr>
          <w:color w:val="000000"/>
          <w:lang w:eastAsia="fr-FR" w:bidi="fr-FR"/>
        </w:rPr>
        <w:t>me ressort parleme</w:t>
      </w:r>
      <w:r w:rsidRPr="009C29C2">
        <w:rPr>
          <w:color w:val="000000"/>
          <w:lang w:eastAsia="fr-FR" w:bidi="fr-FR"/>
        </w:rPr>
        <w:t>n</w:t>
      </w:r>
      <w:r w:rsidRPr="009C29C2">
        <w:rPr>
          <w:color w:val="000000"/>
          <w:lang w:eastAsia="fr-FR" w:bidi="fr-FR"/>
        </w:rPr>
        <w:t>taire, le droit nouveau</w:t>
      </w:r>
      <w:r>
        <w:rPr>
          <w:color w:val="000000"/>
          <w:lang w:eastAsia="fr-FR" w:bidi="fr-FR"/>
        </w:rPr>
        <w:t> </w:t>
      </w:r>
      <w:r>
        <w:rPr>
          <w:rStyle w:val="Appelnotedebasdep"/>
        </w:rPr>
        <w:footnoteReference w:id="187"/>
      </w:r>
      <w:r w:rsidRPr="009C29C2">
        <w:rPr>
          <w:color w:val="000000"/>
          <w:lang w:eastAsia="fr-FR" w:bidi="fr-FR"/>
        </w:rPr>
        <w:t xml:space="preserve">. Ainsi la réforme agraire ferait tache d’huile. D’Ormesson et son entourage avaient un moment caressé l’idée d’une loi générale pour tout </w:t>
      </w:r>
      <w:r w:rsidRPr="009C29C2">
        <w:rPr>
          <w:color w:val="000000"/>
          <w:lang w:eastAsia="fr-FR" w:bidi="fr-FR"/>
        </w:rPr>
        <w:lastRenderedPageBreak/>
        <w:t>le royaume</w:t>
      </w:r>
      <w:r>
        <w:rPr>
          <w:color w:val="000000"/>
          <w:lang w:eastAsia="fr-FR" w:bidi="fr-FR"/>
        </w:rPr>
        <w:t> </w:t>
      </w:r>
      <w:r>
        <w:rPr>
          <w:rStyle w:val="Appelnotedebasdep"/>
        </w:rPr>
        <w:footnoteReference w:id="188"/>
      </w:r>
      <w:r w:rsidRPr="009C29C2">
        <w:rPr>
          <w:color w:val="000000"/>
          <w:lang w:eastAsia="fr-FR" w:bidi="fr-FR"/>
        </w:rPr>
        <w:t> ; ils y</w:t>
      </w:r>
      <w:r>
        <w:rPr>
          <w:color w:val="000000"/>
          <w:lang w:eastAsia="fr-FR" w:bidi="fr-FR"/>
        </w:rPr>
        <w:t xml:space="preserve"> </w:t>
      </w:r>
      <w:r>
        <w:t xml:space="preserve">[622] </w:t>
      </w:r>
      <w:r w:rsidRPr="009C29C2">
        <w:rPr>
          <w:color w:val="000000"/>
          <w:lang w:eastAsia="fr-FR" w:bidi="fr-FR"/>
        </w:rPr>
        <w:t>renoncèrent par opportunisme ; mais ils espéraient bien, de pièces et de morceaux, en réaliser l’équivalent.</w:t>
      </w:r>
    </w:p>
    <w:p w14:paraId="3D48B85C" w14:textId="77777777" w:rsidR="00B9662D" w:rsidRPr="009C29C2" w:rsidRDefault="00B9662D" w:rsidP="00B9662D">
      <w:pPr>
        <w:spacing w:before="120" w:after="120"/>
        <w:jc w:val="both"/>
      </w:pPr>
      <w:r w:rsidRPr="009C29C2">
        <w:rPr>
          <w:color w:val="000000"/>
          <w:lang w:eastAsia="fr-FR" w:bidi="fr-FR"/>
        </w:rPr>
        <w:t>Quelque habiles cependant que fussent leurs calculs, il leur fallait compter avec des résistances, dont ils n’avaient peut-être pas mesuré l’étendue. En passant en revue, par ordre chronologique, les divers édits, nous prendrons déjà une première idée de ces oppositions, de portée et de signification variables selon les provinces et dont le sens nous apparaîtra plus clairement encore lorsque, dans la seconde partie de l’étude, nous examinerons l’application des mesures royales.</w:t>
      </w:r>
    </w:p>
    <w:p w14:paraId="29D569F4" w14:textId="77777777" w:rsidR="00B9662D" w:rsidRDefault="00B9662D" w:rsidP="00B9662D">
      <w:pPr>
        <w:pStyle w:val="c"/>
      </w:pPr>
      <w:r>
        <w:t>*</w:t>
      </w:r>
      <w:r>
        <w:br/>
        <w:t>*    *</w:t>
      </w:r>
    </w:p>
    <w:p w14:paraId="7B4E88E2" w14:textId="77777777" w:rsidR="00B9662D" w:rsidRPr="009C29C2" w:rsidRDefault="00B9662D" w:rsidP="00B9662D">
      <w:pPr>
        <w:spacing w:before="120" w:after="120"/>
        <w:jc w:val="both"/>
      </w:pPr>
      <w:r>
        <w:t>1. </w:t>
      </w:r>
      <w:r w:rsidRPr="002519B0">
        <w:rPr>
          <w:i/>
        </w:rPr>
        <w:t>Duchés de Lorraine et de Bar</w:t>
      </w:r>
      <w:r w:rsidRPr="009C29C2">
        <w:t>.</w:t>
      </w:r>
      <w:r>
        <w:rPr>
          <w:color w:val="000000"/>
          <w:lang w:eastAsia="fr-FR" w:bidi="fr-FR"/>
        </w:rPr>
        <w:t> — </w:t>
      </w:r>
      <w:r w:rsidRPr="009C29C2">
        <w:rPr>
          <w:color w:val="000000"/>
          <w:lang w:eastAsia="fr-FR" w:bidi="fr-FR"/>
        </w:rPr>
        <w:t xml:space="preserve">Un premier édit, en mars </w:t>
      </w:r>
      <w:r w:rsidRPr="009C29C2">
        <w:t>1767</w:t>
      </w:r>
      <w:r w:rsidRPr="009C29C2">
        <w:rPr>
          <w:rStyle w:val="Corpsdutexte275ptGras"/>
          <w:sz w:val="28"/>
          <w:lang w:val="fr-CA"/>
        </w:rPr>
        <w:t xml:space="preserve">, </w:t>
      </w:r>
      <w:r w:rsidRPr="009C29C2">
        <w:rPr>
          <w:color w:val="000000"/>
          <w:lang w:eastAsia="fr-FR" w:bidi="fr-FR"/>
        </w:rPr>
        <w:t>permit les clôtures</w:t>
      </w:r>
      <w:r>
        <w:rPr>
          <w:color w:val="000000"/>
          <w:lang w:eastAsia="fr-FR" w:bidi="fr-FR"/>
        </w:rPr>
        <w:t> </w:t>
      </w:r>
      <w:r>
        <w:rPr>
          <w:rStyle w:val="Appelnotedebasdep"/>
        </w:rPr>
        <w:footnoteReference w:id="189"/>
      </w:r>
      <w:r w:rsidRPr="009C29C2">
        <w:rPr>
          <w:color w:val="000000"/>
          <w:lang w:eastAsia="fr-FR" w:bidi="fr-FR"/>
        </w:rPr>
        <w:t>. Dans tout le royaume, c’est le plus ancien. Pourquoi cette province, où la Cour souveraine était notoirement, dans sa majorité, mal disposée envers la nouvelle politique agraire</w:t>
      </w:r>
      <w:r>
        <w:rPr>
          <w:color w:val="000000"/>
          <w:lang w:eastAsia="fr-FR" w:bidi="fr-FR"/>
        </w:rPr>
        <w:t> </w:t>
      </w:r>
      <w:r>
        <w:rPr>
          <w:rStyle w:val="Appelnotedebasdep"/>
        </w:rPr>
        <w:footnoteReference w:id="190"/>
      </w:r>
      <w:r w:rsidRPr="009C29C2">
        <w:rPr>
          <w:color w:val="000000"/>
          <w:lang w:eastAsia="fr-FR" w:bidi="fr-FR"/>
        </w:rPr>
        <w:t>, fut-elle néanmoins choisie pour inaugurer celle-ci ? Le préambule inv</w:t>
      </w:r>
      <w:r w:rsidRPr="009C29C2">
        <w:rPr>
          <w:color w:val="000000"/>
          <w:lang w:eastAsia="fr-FR" w:bidi="fr-FR"/>
        </w:rPr>
        <w:t>o</w:t>
      </w:r>
      <w:r w:rsidRPr="009C29C2">
        <w:rPr>
          <w:color w:val="000000"/>
          <w:lang w:eastAsia="fr-FR" w:bidi="fr-FR"/>
        </w:rPr>
        <w:t>que l’intérêt de l’élève des chevaux. Dans une province voisine des frontières, la production des fourrages prenait, aux yeux de l’administration, une importance particulière. La Cour enregistra l’édit, le 11 juin, non sans se réserver la faculté de présenter des o</w:t>
      </w:r>
      <w:r w:rsidRPr="009C29C2">
        <w:rPr>
          <w:color w:val="000000"/>
          <w:lang w:eastAsia="fr-FR" w:bidi="fr-FR"/>
        </w:rPr>
        <w:t>b</w:t>
      </w:r>
      <w:r w:rsidRPr="009C29C2">
        <w:rPr>
          <w:color w:val="000000"/>
          <w:lang w:eastAsia="fr-FR" w:bidi="fr-FR"/>
        </w:rPr>
        <w:t xml:space="preserve">servations si son exécution rencontrait des difficultés « notamment à l’égard des manœuvres et des laboureurs qui n’ont aucun héritage en propriété ». Le parcours subsistait. Un nouvel édit, en juin </w:t>
      </w:r>
      <w:r w:rsidRPr="009C29C2">
        <w:t>1771</w:t>
      </w:r>
      <w:r w:rsidRPr="009C29C2">
        <w:rPr>
          <w:rStyle w:val="Corpsdutexte275ptGras"/>
          <w:sz w:val="28"/>
          <w:lang w:val="fr-CA"/>
        </w:rPr>
        <w:t xml:space="preserve">, </w:t>
      </w:r>
      <w:r w:rsidRPr="009C29C2">
        <w:rPr>
          <w:color w:val="000000"/>
          <w:lang w:eastAsia="fr-FR" w:bidi="fr-FR"/>
        </w:rPr>
        <w:lastRenderedPageBreak/>
        <w:t>l’abolit, en même temps qu’il autorisait les communautés, sur décision prise à la majorité des deux tiers, à partager leurs communaux. C’était, dit une délibération de la Cour, « changer totalement l’ordre de l’économie champêtre qui a eu lieu jusqu’à présent dans la Lorraine et le Barrois »</w:t>
      </w:r>
      <w:r>
        <w:rPr>
          <w:color w:val="000000"/>
          <w:lang w:eastAsia="fr-FR" w:bidi="fr-FR"/>
        </w:rPr>
        <w:t> </w:t>
      </w:r>
      <w:r>
        <w:rPr>
          <w:rStyle w:val="Appelnotedebasdep"/>
        </w:rPr>
        <w:footnoteReference w:id="191"/>
      </w:r>
      <w:r w:rsidRPr="009C29C2">
        <w:rPr>
          <w:color w:val="000000"/>
          <w:lang w:eastAsia="fr-FR" w:bidi="fr-FR"/>
        </w:rPr>
        <w:t>. Cette fois la Cour regimba. Au témoignage d’un de ses membres, « ce n’étoit pas le partage des pâtis qui souffrit le plus de difficulté ; et je ne doute pas que s’il eût été présenté seul, l’édit auroit passé.... Les réclamations tombèrent principalement sur la suppression du parcours »</w:t>
      </w:r>
      <w:r>
        <w:rPr>
          <w:color w:val="000000"/>
          <w:lang w:eastAsia="fr-FR" w:bidi="fr-FR"/>
        </w:rPr>
        <w:t> </w:t>
      </w:r>
      <w:r>
        <w:rPr>
          <w:rStyle w:val="Appelnotedebasdep"/>
        </w:rPr>
        <w:footnoteReference w:id="192"/>
      </w:r>
      <w:r w:rsidRPr="009C29C2">
        <w:rPr>
          <w:color w:val="000000"/>
          <w:lang w:eastAsia="fr-FR" w:bidi="fr-FR"/>
        </w:rPr>
        <w:t>. Celui-ci, dans ce pays de troupeau à part, ne rappo</w:t>
      </w:r>
      <w:r w:rsidRPr="009C29C2">
        <w:rPr>
          <w:color w:val="000000"/>
          <w:lang w:eastAsia="fr-FR" w:bidi="fr-FR"/>
        </w:rPr>
        <w:t>r</w:t>
      </w:r>
      <w:r w:rsidRPr="009C29C2">
        <w:rPr>
          <w:color w:val="000000"/>
          <w:lang w:eastAsia="fr-FR" w:bidi="fr-FR"/>
        </w:rPr>
        <w:t xml:space="preserve">tait-il pas aux seigneurs de fort beaux bénéfices ? Au lieu d’enregistrer, la Cour ouvrit une enquête, auprès des bailliages. C’était enterrer l’affaire. L’intendant La Galaizière fils, agronome convaincu, ne l’entendait pas ainsi. En </w:t>
      </w:r>
      <w:r w:rsidRPr="009C29C2">
        <w:t>1773</w:t>
      </w:r>
      <w:r w:rsidRPr="009C29C2">
        <w:rPr>
          <w:rStyle w:val="Corpsdutexte275ptGras"/>
          <w:sz w:val="28"/>
          <w:lang w:val="fr-CA"/>
        </w:rPr>
        <w:t xml:space="preserve">, </w:t>
      </w:r>
      <w:r w:rsidRPr="009C29C2">
        <w:rPr>
          <w:color w:val="000000"/>
          <w:lang w:eastAsia="fr-FR" w:bidi="fr-FR"/>
        </w:rPr>
        <w:t>il obtint du roi des lettres qui ordo</w:t>
      </w:r>
      <w:r w:rsidRPr="009C29C2">
        <w:rPr>
          <w:color w:val="000000"/>
          <w:lang w:eastAsia="fr-FR" w:bidi="fr-FR"/>
        </w:rPr>
        <w:t>n</w:t>
      </w:r>
      <w:r w:rsidRPr="009C29C2">
        <w:rPr>
          <w:color w:val="000000"/>
          <w:lang w:eastAsia="fr-FR" w:bidi="fr-FR"/>
        </w:rPr>
        <w:t>naient l’enregistrement. La Cour répondit par de nouvelles représent</w:t>
      </w:r>
      <w:r w:rsidRPr="009C29C2">
        <w:rPr>
          <w:color w:val="000000"/>
          <w:lang w:eastAsia="fr-FR" w:bidi="fr-FR"/>
        </w:rPr>
        <w:t>a</w:t>
      </w:r>
      <w:r w:rsidRPr="009C29C2">
        <w:rPr>
          <w:color w:val="000000"/>
          <w:lang w:eastAsia="fr-FR" w:bidi="fr-FR"/>
        </w:rPr>
        <w:t>tions. On se remit à échanger de part et d’autre des mémoires dont le ton, très vif, dit l’ardeur des passions en jeu</w:t>
      </w:r>
      <w:r>
        <w:rPr>
          <w:color w:val="000000"/>
          <w:lang w:eastAsia="fr-FR" w:bidi="fr-FR"/>
        </w:rPr>
        <w:t> </w:t>
      </w:r>
      <w:r>
        <w:rPr>
          <w:rStyle w:val="Appelnotedebasdep"/>
        </w:rPr>
        <w:footnoteReference w:id="193"/>
      </w:r>
      <w:r w:rsidRPr="009C29C2">
        <w:rPr>
          <w:color w:val="000000"/>
          <w:lang w:eastAsia="fr-FR" w:bidi="fr-FR"/>
        </w:rPr>
        <w:t>. Cependant l’intendant et même le Conseil autorisaient</w:t>
      </w:r>
      <w:r>
        <w:rPr>
          <w:color w:val="000000"/>
          <w:lang w:eastAsia="fr-FR" w:bidi="fr-FR"/>
        </w:rPr>
        <w:t xml:space="preserve"> [623] </w:t>
      </w:r>
      <w:r w:rsidRPr="009C29C2">
        <w:rPr>
          <w:color w:val="000000"/>
          <w:lang w:eastAsia="fr-FR" w:bidi="fr-FR"/>
        </w:rPr>
        <w:t>certains villages à partager leurs communaux ; mais dans les a</w:t>
      </w:r>
      <w:r w:rsidRPr="009C29C2">
        <w:rPr>
          <w:color w:val="000000"/>
          <w:lang w:eastAsia="fr-FR" w:bidi="fr-FR"/>
        </w:rPr>
        <w:t>s</w:t>
      </w:r>
      <w:r w:rsidRPr="009C29C2">
        <w:rPr>
          <w:color w:val="000000"/>
          <w:lang w:eastAsia="fr-FR" w:bidi="fr-FR"/>
        </w:rPr>
        <w:t>semblées les paysans étaient rarement unanimes ; les adversaires du partage, mis en minorité, portaient leur cause devant la Cour ; celle-ci annulait la décision de la communauté ; parfois ses arrêts étaient, à leur tour, cassés par le Conseil. En 1777, le comte de Saint-Germain, Secrétaire d’État à la Guerre, et à ce titre chargé de la Lorraine, mis au courant par l’intendant, s’adressa à Be</w:t>
      </w:r>
      <w:r w:rsidRPr="009C29C2">
        <w:rPr>
          <w:color w:val="000000"/>
          <w:lang w:eastAsia="fr-FR" w:bidi="fr-FR"/>
        </w:rPr>
        <w:t>r</w:t>
      </w:r>
      <w:r w:rsidRPr="009C29C2">
        <w:rPr>
          <w:color w:val="000000"/>
          <w:lang w:eastAsia="fr-FR" w:bidi="fr-FR"/>
        </w:rPr>
        <w:t>tin, redevenu, sur ces entrefa</w:t>
      </w:r>
      <w:r w:rsidRPr="009C29C2">
        <w:rPr>
          <w:color w:val="000000"/>
          <w:lang w:eastAsia="fr-FR" w:bidi="fr-FR"/>
        </w:rPr>
        <w:t>i</w:t>
      </w:r>
      <w:r w:rsidRPr="009C29C2">
        <w:rPr>
          <w:color w:val="000000"/>
          <w:lang w:eastAsia="fr-FR" w:bidi="fr-FR"/>
        </w:rPr>
        <w:t>tes, le chef de l’administration de l’agriculture, pour le prier de r</w:t>
      </w:r>
      <w:r w:rsidRPr="009C29C2">
        <w:rPr>
          <w:color w:val="000000"/>
          <w:lang w:eastAsia="fr-FR" w:bidi="fr-FR"/>
        </w:rPr>
        <w:t>e</w:t>
      </w:r>
      <w:r w:rsidRPr="009C29C2">
        <w:rPr>
          <w:color w:val="000000"/>
          <w:lang w:eastAsia="fr-FR" w:bidi="fr-FR"/>
        </w:rPr>
        <w:t>prendre l’affaire ; tant que l’édit ne sera pas enregistré, écrivait-il, « l’autorité de l’Intendant, celle du Conseil même seront comprom</w:t>
      </w:r>
      <w:r w:rsidRPr="009C29C2">
        <w:rPr>
          <w:color w:val="000000"/>
          <w:lang w:eastAsia="fr-FR" w:bidi="fr-FR"/>
        </w:rPr>
        <w:t>i</w:t>
      </w:r>
      <w:r w:rsidRPr="009C29C2">
        <w:rPr>
          <w:color w:val="000000"/>
          <w:lang w:eastAsia="fr-FR" w:bidi="fr-FR"/>
        </w:rPr>
        <w:t>ses ». Bertin se retourna vers son premier commis et lui infligea une verte semonce pour son « inertie ». La Cour</w:t>
      </w:r>
      <w:r>
        <w:rPr>
          <w:color w:val="000000"/>
          <w:lang w:eastAsia="fr-FR" w:bidi="fr-FR"/>
        </w:rPr>
        <w:t> — </w:t>
      </w:r>
      <w:r w:rsidRPr="009C29C2">
        <w:rPr>
          <w:color w:val="000000"/>
          <w:lang w:eastAsia="fr-FR" w:bidi="fr-FR"/>
        </w:rPr>
        <w:t>devenue Parlement</w:t>
      </w:r>
      <w:r>
        <w:rPr>
          <w:color w:val="000000"/>
          <w:lang w:eastAsia="fr-FR" w:bidi="fr-FR"/>
        </w:rPr>
        <w:t> — </w:t>
      </w:r>
      <w:r w:rsidRPr="009C29C2">
        <w:rPr>
          <w:color w:val="000000"/>
          <w:lang w:eastAsia="fr-FR" w:bidi="fr-FR"/>
        </w:rPr>
        <w:t>fut priée d’examiner, une fois de plus, l’édit ; elle rédigea, naturell</w:t>
      </w:r>
      <w:r w:rsidRPr="009C29C2">
        <w:rPr>
          <w:color w:val="000000"/>
          <w:lang w:eastAsia="fr-FR" w:bidi="fr-FR"/>
        </w:rPr>
        <w:t>e</w:t>
      </w:r>
      <w:r w:rsidRPr="009C29C2">
        <w:rPr>
          <w:color w:val="000000"/>
          <w:lang w:eastAsia="fr-FR" w:bidi="fr-FR"/>
        </w:rPr>
        <w:t xml:space="preserve">ment, de nouvelles observations. </w:t>
      </w:r>
      <w:r w:rsidRPr="009C29C2">
        <w:rPr>
          <w:color w:val="000000"/>
          <w:lang w:eastAsia="fr-FR" w:bidi="fr-FR"/>
        </w:rPr>
        <w:lastRenderedPageBreak/>
        <w:t>Puis, en mai 1778, La Galaizière fut transféré en Alsace. Son succe</w:t>
      </w:r>
      <w:r w:rsidRPr="009C29C2">
        <w:rPr>
          <w:color w:val="000000"/>
          <w:lang w:eastAsia="fr-FR" w:bidi="fr-FR"/>
        </w:rPr>
        <w:t>s</w:t>
      </w:r>
      <w:r w:rsidRPr="009C29C2">
        <w:rPr>
          <w:color w:val="000000"/>
          <w:lang w:eastAsia="fr-FR" w:bidi="fr-FR"/>
        </w:rPr>
        <w:t>seur, La Porte, n’était plus engagé par le même point d’honneur. Pou</w:t>
      </w:r>
      <w:r w:rsidRPr="009C29C2">
        <w:rPr>
          <w:color w:val="000000"/>
          <w:lang w:eastAsia="fr-FR" w:bidi="fr-FR"/>
        </w:rPr>
        <w:t>r</w:t>
      </w:r>
      <w:r w:rsidRPr="009C29C2">
        <w:rPr>
          <w:color w:val="000000"/>
          <w:lang w:eastAsia="fr-FR" w:bidi="fr-FR"/>
        </w:rPr>
        <w:t>tant, en 1779 encore, sur l’ordre de Bertin, il conférait, au sujet de l’édit, avec le Premier Président et le Procureur général. Mais déjà le Ministre avait renoncé à faire casser par le Conseil les arrêts du Pa</w:t>
      </w:r>
      <w:r w:rsidRPr="009C29C2">
        <w:rPr>
          <w:color w:val="000000"/>
          <w:lang w:eastAsia="fr-FR" w:bidi="fr-FR"/>
        </w:rPr>
        <w:t>r</w:t>
      </w:r>
      <w:r w:rsidRPr="009C29C2">
        <w:rPr>
          <w:color w:val="000000"/>
          <w:lang w:eastAsia="fr-FR" w:bidi="fr-FR"/>
        </w:rPr>
        <w:t>lement qui annulaient les partages de communaux. En 1780, il se fit renvoyer le dossier de l’affaire, qui ne fut plus jamais reprise</w:t>
      </w:r>
      <w:r>
        <w:rPr>
          <w:color w:val="000000"/>
          <w:lang w:eastAsia="fr-FR" w:bidi="fr-FR"/>
        </w:rPr>
        <w:t> </w:t>
      </w:r>
      <w:r>
        <w:rPr>
          <w:rStyle w:val="Appelnotedebasdep"/>
        </w:rPr>
        <w:footnoteReference w:id="194"/>
      </w:r>
      <w:r w:rsidRPr="009C29C2">
        <w:rPr>
          <w:color w:val="000000"/>
          <w:lang w:eastAsia="fr-FR" w:bidi="fr-FR"/>
        </w:rPr>
        <w:t>. Co</w:t>
      </w:r>
      <w:r w:rsidRPr="009C29C2">
        <w:rPr>
          <w:color w:val="000000"/>
          <w:lang w:eastAsia="fr-FR" w:bidi="fr-FR"/>
        </w:rPr>
        <w:t>m</w:t>
      </w:r>
      <w:r w:rsidRPr="009C29C2">
        <w:rPr>
          <w:color w:val="000000"/>
          <w:lang w:eastAsia="fr-FR" w:bidi="fr-FR"/>
        </w:rPr>
        <w:t>me si souvent sous l’Ancien Régime, la ténacité des parlementaires avait remporté la victoire. Les cultivateurs lorrains, il est vrai, po</w:t>
      </w:r>
      <w:r w:rsidRPr="009C29C2">
        <w:rPr>
          <w:color w:val="000000"/>
          <w:lang w:eastAsia="fr-FR" w:bidi="fr-FR"/>
        </w:rPr>
        <w:t>u</w:t>
      </w:r>
      <w:r w:rsidRPr="009C29C2">
        <w:rPr>
          <w:color w:val="000000"/>
          <w:lang w:eastAsia="fr-FR" w:bidi="fr-FR"/>
        </w:rPr>
        <w:t>vaient clore leurs terres ; mais les grandes « herdes » de bétail cont</w:t>
      </w:r>
      <w:r w:rsidRPr="009C29C2">
        <w:rPr>
          <w:color w:val="000000"/>
          <w:lang w:eastAsia="fr-FR" w:bidi="fr-FR"/>
        </w:rPr>
        <w:t>i</w:t>
      </w:r>
      <w:r w:rsidRPr="009C29C2">
        <w:rPr>
          <w:color w:val="000000"/>
          <w:lang w:eastAsia="fr-FR" w:bidi="fr-FR"/>
        </w:rPr>
        <w:t>nuaient à parcourir les campagnes, sans égard aux frontières des communautés.</w:t>
      </w:r>
    </w:p>
    <w:p w14:paraId="0EE63EBD" w14:textId="77777777" w:rsidR="00B9662D" w:rsidRDefault="00B9662D" w:rsidP="00B9662D">
      <w:pPr>
        <w:spacing w:before="120" w:after="120"/>
        <w:jc w:val="both"/>
      </w:pPr>
    </w:p>
    <w:p w14:paraId="32019D12" w14:textId="77777777" w:rsidR="00B9662D" w:rsidRPr="009C29C2" w:rsidRDefault="00B9662D" w:rsidP="00B9662D">
      <w:pPr>
        <w:spacing w:before="120" w:after="120"/>
        <w:jc w:val="both"/>
      </w:pPr>
      <w:r>
        <w:t xml:space="preserve">2. </w:t>
      </w:r>
      <w:r w:rsidRPr="00D65635">
        <w:rPr>
          <w:i/>
        </w:rPr>
        <w:t>Béarn</w:t>
      </w:r>
      <w:r w:rsidRPr="009C29C2">
        <w:t>.</w:t>
      </w:r>
      <w:r>
        <w:rPr>
          <w:color w:val="000000"/>
          <w:lang w:eastAsia="fr-FR" w:bidi="fr-FR"/>
        </w:rPr>
        <w:t> — </w:t>
      </w:r>
      <w:r w:rsidRPr="009C29C2">
        <w:rPr>
          <w:color w:val="000000"/>
          <w:lang w:eastAsia="fr-FR" w:bidi="fr-FR"/>
        </w:rPr>
        <w:t>Les conditions de la vie agraire, en Béarn, étaient très spéciales et le problème des clôtures s’y posait depuis fort longtemps, mais sous une forme trop originale pour être, de Paris, aisément co</w:t>
      </w:r>
      <w:r w:rsidRPr="009C29C2">
        <w:rPr>
          <w:color w:val="000000"/>
          <w:lang w:eastAsia="fr-FR" w:bidi="fr-FR"/>
        </w:rPr>
        <w:t>m</w:t>
      </w:r>
      <w:r w:rsidRPr="009C29C2">
        <w:rPr>
          <w:color w:val="000000"/>
          <w:lang w:eastAsia="fr-FR" w:bidi="fr-FR"/>
        </w:rPr>
        <w:t>prise</w:t>
      </w:r>
      <w:r>
        <w:rPr>
          <w:color w:val="000000"/>
          <w:lang w:eastAsia="fr-FR" w:bidi="fr-FR"/>
        </w:rPr>
        <w:t> </w:t>
      </w:r>
      <w:r>
        <w:rPr>
          <w:rStyle w:val="Appelnotedebasdep"/>
        </w:rPr>
        <w:footnoteReference w:id="195"/>
      </w:r>
      <w:r w:rsidRPr="009C29C2">
        <w:rPr>
          <w:color w:val="000000"/>
          <w:lang w:eastAsia="fr-FR" w:bidi="fr-FR"/>
        </w:rPr>
        <w:t>.</w:t>
      </w:r>
    </w:p>
    <w:p w14:paraId="02F38F2A" w14:textId="77777777" w:rsidR="00B9662D" w:rsidRPr="009C29C2" w:rsidRDefault="00B9662D" w:rsidP="00B9662D">
      <w:pPr>
        <w:spacing w:before="120" w:after="120"/>
        <w:jc w:val="both"/>
      </w:pPr>
      <w:r w:rsidRPr="009C29C2">
        <w:rPr>
          <w:color w:val="000000"/>
          <w:lang w:eastAsia="fr-FR" w:bidi="fr-FR"/>
        </w:rPr>
        <w:lastRenderedPageBreak/>
        <w:t>Autour de chacun des villages, généralement fort petits, s’étendait une « plaine » ou « campagne », que fermaient, vers l’extérieur, des clôtures permanentes, fossés ou cours d’eau. Elle était tout entière en labours, avec rotation biennale ; les champs y étaient entremêlés et obligatoirement ouverts ; parfois, chaque sole formait une plaine à part. De l’autre</w:t>
      </w:r>
      <w:r>
        <w:t xml:space="preserve"> </w:t>
      </w:r>
      <w:r>
        <w:rPr>
          <w:color w:val="000000"/>
          <w:lang w:eastAsia="fr-FR" w:bidi="fr-FR"/>
        </w:rPr>
        <w:t xml:space="preserve">[624] </w:t>
      </w:r>
      <w:r w:rsidRPr="009C29C2">
        <w:rPr>
          <w:color w:val="000000"/>
          <w:lang w:eastAsia="fr-FR" w:bidi="fr-FR"/>
        </w:rPr>
        <w:t>côté de la fermeture</w:t>
      </w:r>
      <w:r>
        <w:rPr>
          <w:color w:val="000000"/>
          <w:lang w:eastAsia="fr-FR" w:bidi="fr-FR"/>
        </w:rPr>
        <w:t> — </w:t>
      </w:r>
      <w:r w:rsidRPr="009C29C2">
        <w:rPr>
          <w:color w:val="000000"/>
          <w:lang w:eastAsia="fr-FR" w:bidi="fr-FR"/>
        </w:rPr>
        <w:t xml:space="preserve">dont l’objet, comme pour le mur de </w:t>
      </w:r>
      <w:r>
        <w:rPr>
          <w:color w:val="000000"/>
          <w:lang w:eastAsia="fr-FR" w:bidi="fr-FR"/>
        </w:rPr>
        <w:t>l’</w:t>
      </w:r>
      <w:r w:rsidRPr="00D65635">
        <w:rPr>
          <w:i/>
        </w:rPr>
        <w:t>in</w:t>
      </w:r>
      <w:r w:rsidRPr="009C29C2">
        <w:t>-</w:t>
      </w:r>
      <w:r w:rsidRPr="00D65635">
        <w:rPr>
          <w:i/>
        </w:rPr>
        <w:t>field</w:t>
      </w:r>
      <w:r w:rsidRPr="009C29C2">
        <w:t xml:space="preserve"> </w:t>
      </w:r>
      <w:r w:rsidRPr="009C29C2">
        <w:rPr>
          <w:color w:val="000000"/>
          <w:lang w:eastAsia="fr-FR" w:bidi="fr-FR"/>
        </w:rPr>
        <w:t>écossais, était évidemment d’arrêter les tro</w:t>
      </w:r>
      <w:r w:rsidRPr="009C29C2">
        <w:rPr>
          <w:color w:val="000000"/>
          <w:lang w:eastAsia="fr-FR" w:bidi="fr-FR"/>
        </w:rPr>
        <w:t>u</w:t>
      </w:r>
      <w:r w:rsidRPr="009C29C2">
        <w:rPr>
          <w:color w:val="000000"/>
          <w:lang w:eastAsia="fr-FR" w:bidi="fr-FR"/>
        </w:rPr>
        <w:t>peaux pâturant au dehors,</w:t>
      </w:r>
      <w:r>
        <w:rPr>
          <w:color w:val="000000"/>
          <w:lang w:eastAsia="fr-FR" w:bidi="fr-FR"/>
        </w:rPr>
        <w:t> — </w:t>
      </w:r>
      <w:r w:rsidRPr="009C29C2">
        <w:rPr>
          <w:color w:val="000000"/>
          <w:lang w:eastAsia="fr-FR" w:bidi="fr-FR"/>
        </w:rPr>
        <w:t>commençaient les « coteaux », vaste e</w:t>
      </w:r>
      <w:r w:rsidRPr="009C29C2">
        <w:rPr>
          <w:color w:val="000000"/>
          <w:lang w:eastAsia="fr-FR" w:bidi="fr-FR"/>
        </w:rPr>
        <w:t>s</w:t>
      </w:r>
      <w:r w:rsidRPr="009C29C2">
        <w:rPr>
          <w:color w:val="000000"/>
          <w:lang w:eastAsia="fr-FR" w:bidi="fr-FR"/>
        </w:rPr>
        <w:t>pace de terre ord</w:t>
      </w:r>
      <w:r w:rsidRPr="009C29C2">
        <w:rPr>
          <w:color w:val="000000"/>
          <w:lang w:eastAsia="fr-FR" w:bidi="fr-FR"/>
        </w:rPr>
        <w:t>i</w:t>
      </w:r>
      <w:r w:rsidRPr="009C29C2">
        <w:rPr>
          <w:color w:val="000000"/>
          <w:lang w:eastAsia="fr-FR" w:bidi="fr-FR"/>
        </w:rPr>
        <w:t>nairement inculte, pour partie exploitée comme communal, pour partie objet d’appropriation individuelle. La princip</w:t>
      </w:r>
      <w:r w:rsidRPr="009C29C2">
        <w:rPr>
          <w:color w:val="000000"/>
          <w:lang w:eastAsia="fr-FR" w:bidi="fr-FR"/>
        </w:rPr>
        <w:t>a</w:t>
      </w:r>
      <w:r w:rsidRPr="009C29C2">
        <w:rPr>
          <w:color w:val="000000"/>
          <w:lang w:eastAsia="fr-FR" w:bidi="fr-FR"/>
        </w:rPr>
        <w:t>le richesse en étaient les broussailles ou « tuyas »</w:t>
      </w:r>
      <w:r>
        <w:rPr>
          <w:color w:val="000000"/>
          <w:lang w:eastAsia="fr-FR" w:bidi="fr-FR"/>
        </w:rPr>
        <w:t> — </w:t>
      </w:r>
      <w:r w:rsidRPr="009C29C2">
        <w:rPr>
          <w:color w:val="000000"/>
          <w:lang w:eastAsia="fr-FR" w:bidi="fr-FR"/>
        </w:rPr>
        <w:t>fougères, ajoncs, bruyères</w:t>
      </w:r>
      <w:r>
        <w:rPr>
          <w:color w:val="000000"/>
          <w:lang w:eastAsia="fr-FR" w:bidi="fr-FR"/>
        </w:rPr>
        <w:t> — </w:t>
      </w:r>
      <w:r w:rsidRPr="009C29C2">
        <w:rPr>
          <w:color w:val="000000"/>
          <w:lang w:eastAsia="fr-FR" w:bidi="fr-FR"/>
        </w:rPr>
        <w:t>très reche</w:t>
      </w:r>
      <w:r w:rsidRPr="009C29C2">
        <w:rPr>
          <w:color w:val="000000"/>
          <w:lang w:eastAsia="fr-FR" w:bidi="fr-FR"/>
        </w:rPr>
        <w:t>r</w:t>
      </w:r>
      <w:r w:rsidRPr="009C29C2">
        <w:rPr>
          <w:color w:val="000000"/>
          <w:lang w:eastAsia="fr-FR" w:bidi="fr-FR"/>
        </w:rPr>
        <w:t>chées comme litière et aussi comme engrais ; sous le nom de soutrage, elles servaient à la fumure des plaines. On y pratiquait aussi, sporadiquement, la culture temporaire, alternance i</w:t>
      </w:r>
      <w:r w:rsidRPr="009C29C2">
        <w:rPr>
          <w:color w:val="000000"/>
          <w:lang w:eastAsia="fr-FR" w:bidi="fr-FR"/>
        </w:rPr>
        <w:t>r</w:t>
      </w:r>
      <w:r w:rsidRPr="009C29C2">
        <w:rPr>
          <w:color w:val="000000"/>
          <w:lang w:eastAsia="fr-FR" w:bidi="fr-FR"/>
        </w:rPr>
        <w:t>régulière de labours et de friches. Comme les terres vaines des pla</w:t>
      </w:r>
      <w:r w:rsidRPr="009C29C2">
        <w:rPr>
          <w:color w:val="000000"/>
          <w:lang w:eastAsia="fr-FR" w:bidi="fr-FR"/>
        </w:rPr>
        <w:t>i</w:t>
      </w:r>
      <w:r w:rsidRPr="009C29C2">
        <w:rPr>
          <w:color w:val="000000"/>
          <w:lang w:eastAsia="fr-FR" w:bidi="fr-FR"/>
        </w:rPr>
        <w:t>nes, les coteaux étaient soumis à la dépaissance collective et au pa</w:t>
      </w:r>
      <w:r w:rsidRPr="009C29C2">
        <w:rPr>
          <w:color w:val="000000"/>
          <w:lang w:eastAsia="fr-FR" w:bidi="fr-FR"/>
        </w:rPr>
        <w:t>r</w:t>
      </w:r>
      <w:r w:rsidRPr="009C29C2">
        <w:rPr>
          <w:color w:val="000000"/>
          <w:lang w:eastAsia="fr-FR" w:bidi="fr-FR"/>
        </w:rPr>
        <w:t>cours, avec leur corollaire h</w:t>
      </w:r>
      <w:r w:rsidRPr="009C29C2">
        <w:rPr>
          <w:color w:val="000000"/>
          <w:lang w:eastAsia="fr-FR" w:bidi="fr-FR"/>
        </w:rPr>
        <w:t>a</w:t>
      </w:r>
      <w:r w:rsidRPr="009C29C2">
        <w:rPr>
          <w:color w:val="000000"/>
          <w:lang w:eastAsia="fr-FR" w:bidi="fr-FR"/>
        </w:rPr>
        <w:t>bituel : l’interdiction de clore, ou, comme on disait là-bas, d’« emparer »</w:t>
      </w:r>
      <w:r>
        <w:rPr>
          <w:color w:val="000000"/>
          <w:lang w:eastAsia="fr-FR" w:bidi="fr-FR"/>
        </w:rPr>
        <w:t>. </w:t>
      </w:r>
      <w:r>
        <w:rPr>
          <w:rStyle w:val="Appelnotedebasdep"/>
        </w:rPr>
        <w:footnoteReference w:id="196"/>
      </w:r>
    </w:p>
    <w:p w14:paraId="54C7E6A5" w14:textId="77777777" w:rsidR="00B9662D" w:rsidRPr="009C29C2" w:rsidRDefault="00B9662D" w:rsidP="00B9662D">
      <w:pPr>
        <w:spacing w:before="120" w:after="120"/>
        <w:jc w:val="both"/>
      </w:pPr>
      <w:r w:rsidRPr="009C29C2">
        <w:rPr>
          <w:color w:val="000000"/>
          <w:lang w:eastAsia="fr-FR" w:bidi="fr-FR"/>
        </w:rPr>
        <w:t>Ces deux servitudes avaient d’autant plus d’importance que le Béarn était pays de transhumance. Les troupeaux, qui appartenaient en général aux gens de la montagne, passaient l’été dans les Pyrénées. Puis, aux approches de la mauvaise saison, ils descendaient dans le bas pays, soit en Béarn même, où l’immense lande du Pont-Long a</w:t>
      </w:r>
      <w:r w:rsidRPr="009C29C2">
        <w:rPr>
          <w:color w:val="000000"/>
          <w:lang w:eastAsia="fr-FR" w:bidi="fr-FR"/>
        </w:rPr>
        <w:t>p</w:t>
      </w:r>
      <w:r w:rsidRPr="009C29C2">
        <w:rPr>
          <w:color w:val="000000"/>
          <w:lang w:eastAsia="fr-FR" w:bidi="fr-FR"/>
        </w:rPr>
        <w:t>partenait aux gens d’Ossau, soit, plus loin, jusque dans les landes de Bordeaux ; même dans ce dernier cas, ils traversaient le Béarn et il leur fallait le long du chemin y trouver la pâture. Ils se la procuraient, soit grâce à d’antiques usages de réciprocité entre communautés, soit parce que les seigneurs affermaient aux pasteurs des transhumants leur droit d’herbes mortes. On désignait ainsi une coutume compar</w:t>
      </w:r>
      <w:r w:rsidRPr="009C29C2">
        <w:rPr>
          <w:color w:val="000000"/>
          <w:lang w:eastAsia="fr-FR" w:bidi="fr-FR"/>
        </w:rPr>
        <w:t>a</w:t>
      </w:r>
      <w:r w:rsidRPr="009C29C2">
        <w:rPr>
          <w:color w:val="000000"/>
          <w:lang w:eastAsia="fr-FR" w:bidi="fr-FR"/>
        </w:rPr>
        <w:t>ble au troupeau à part des pays lorrains : le seigneur pouvait envoyer paître ses bêtes ou celles de son fermier sur toutes les terres de ses t</w:t>
      </w:r>
      <w:r w:rsidRPr="009C29C2">
        <w:rPr>
          <w:color w:val="000000"/>
          <w:lang w:eastAsia="fr-FR" w:bidi="fr-FR"/>
        </w:rPr>
        <w:t>e</w:t>
      </w:r>
      <w:r w:rsidRPr="009C29C2">
        <w:rPr>
          <w:color w:val="000000"/>
          <w:lang w:eastAsia="fr-FR" w:bidi="fr-FR"/>
        </w:rPr>
        <w:t>nanciers, du 1</w:t>
      </w:r>
      <w:r w:rsidRPr="009C29C2">
        <w:rPr>
          <w:color w:val="000000"/>
          <w:vertAlign w:val="superscript"/>
          <w:lang w:eastAsia="fr-FR" w:bidi="fr-FR"/>
        </w:rPr>
        <w:t>er</w:t>
      </w:r>
      <w:r w:rsidRPr="009C29C2">
        <w:rPr>
          <w:color w:val="000000"/>
          <w:lang w:eastAsia="fr-FR" w:bidi="fr-FR"/>
        </w:rPr>
        <w:t xml:space="preserve"> ou 30 novembre au 25 mars, sans être contraint de les joindre à aucun troupeau communal et, semble-t-il, en pratique, sans limitation de nombre ; seul, en outre, dans la plupart des lieux, il avait la faculté d’admettre les bergers étrangers. Autrefois ce privilège l</w:t>
      </w:r>
      <w:r w:rsidRPr="009C29C2">
        <w:rPr>
          <w:color w:val="000000"/>
          <w:lang w:eastAsia="fr-FR" w:bidi="fr-FR"/>
        </w:rPr>
        <w:t>u</w:t>
      </w:r>
      <w:r w:rsidRPr="009C29C2">
        <w:rPr>
          <w:color w:val="000000"/>
          <w:lang w:eastAsia="fr-FR" w:bidi="fr-FR"/>
        </w:rPr>
        <w:lastRenderedPageBreak/>
        <w:t xml:space="preserve">cratif n’était pas très général ; mais, si l’on en croit l’intendant d’Aine, il avait été considérablement étendu depuis les dernières années du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par l’action du Parlement de Pau ; celui-ci, qui tenait lieu en Béarn de Chambre des Comptes, était chargé de recevoir les aveux de fiefs ; il avait laissé beaucoup de nobles introduire dans leurs d</w:t>
      </w:r>
      <w:r w:rsidRPr="009C29C2">
        <w:rPr>
          <w:color w:val="000000"/>
          <w:lang w:eastAsia="fr-FR" w:bidi="fr-FR"/>
        </w:rPr>
        <w:t>é</w:t>
      </w:r>
      <w:r w:rsidRPr="009C29C2">
        <w:rPr>
          <w:color w:val="000000"/>
          <w:lang w:eastAsia="fr-FR" w:bidi="fr-FR"/>
        </w:rPr>
        <w:t>nombrements la mention des herbes mortes, contrairement, parfois, aux usages anciens</w:t>
      </w:r>
      <w:r>
        <w:rPr>
          <w:color w:val="000000"/>
          <w:lang w:eastAsia="fr-FR" w:bidi="fr-FR"/>
        </w:rPr>
        <w:t> </w:t>
      </w:r>
      <w:r>
        <w:rPr>
          <w:rStyle w:val="Appelnotedebasdep"/>
        </w:rPr>
        <w:footnoteReference w:id="197"/>
      </w:r>
      <w:r w:rsidRPr="009C29C2">
        <w:rPr>
          <w:color w:val="000000"/>
          <w:lang w:eastAsia="fr-FR" w:bidi="fr-FR"/>
        </w:rPr>
        <w:t>. Exemple curieux, et qui n’est pas isolé, de « réaction féodale ».</w:t>
      </w:r>
    </w:p>
    <w:p w14:paraId="13E81E1D" w14:textId="77777777" w:rsidR="00B9662D" w:rsidRPr="009C29C2" w:rsidRDefault="00B9662D" w:rsidP="00B9662D">
      <w:pPr>
        <w:spacing w:before="120" w:after="120"/>
        <w:jc w:val="both"/>
      </w:pPr>
      <w:r w:rsidRPr="009C29C2">
        <w:rPr>
          <w:color w:val="000000"/>
          <w:lang w:eastAsia="fr-FR" w:bidi="fr-FR"/>
        </w:rPr>
        <w:t xml:space="preserve">La transhumance était une coutume millénaire ; mais elle semble bien, dans tous les pays méditerranéens, avoir pris depuis la fin du Moyen </w:t>
      </w:r>
      <w:r>
        <w:rPr>
          <w:color w:val="000000"/>
          <w:lang w:eastAsia="fr-FR" w:bidi="fr-FR"/>
        </w:rPr>
        <w:t>Â</w:t>
      </w:r>
      <w:r w:rsidRPr="009C29C2">
        <w:rPr>
          <w:color w:val="000000"/>
          <w:lang w:eastAsia="fr-FR" w:bidi="fr-FR"/>
        </w:rPr>
        <w:t>ge une extension jusque-là inconnue. D’où une réaction, qui se fit jour en Béarn, comme en Provence ; les propriétaires béarnais s’efforcèrent, à l’envi, de fermer leurs biens. Dès 1554, les États pr</w:t>
      </w:r>
      <w:r w:rsidRPr="009C29C2">
        <w:rPr>
          <w:color w:val="000000"/>
          <w:lang w:eastAsia="fr-FR" w:bidi="fr-FR"/>
        </w:rPr>
        <w:t>o</w:t>
      </w:r>
      <w:r w:rsidRPr="009C29C2">
        <w:rPr>
          <w:color w:val="000000"/>
          <w:lang w:eastAsia="fr-FR" w:bidi="fr-FR"/>
        </w:rPr>
        <w:t>testaient</w:t>
      </w:r>
      <w:r>
        <w:t xml:space="preserve"> </w:t>
      </w:r>
      <w:r>
        <w:rPr>
          <w:color w:val="000000"/>
          <w:lang w:eastAsia="fr-FR" w:bidi="fr-FR"/>
        </w:rPr>
        <w:t>[625]</w:t>
      </w:r>
      <w:r w:rsidRPr="009C29C2">
        <w:rPr>
          <w:color w:val="000000"/>
          <w:lang w:eastAsia="fr-FR" w:bidi="fr-FR"/>
        </w:rPr>
        <w:t xml:space="preserve"> contre les clôtures qui s’élevaient sur les portions am</w:t>
      </w:r>
      <w:r w:rsidRPr="009C29C2">
        <w:rPr>
          <w:color w:val="000000"/>
          <w:lang w:eastAsia="fr-FR" w:bidi="fr-FR"/>
        </w:rPr>
        <w:t>o</w:t>
      </w:r>
      <w:r w:rsidRPr="009C29C2">
        <w:rPr>
          <w:color w:val="000000"/>
          <w:lang w:eastAsia="fr-FR" w:bidi="fr-FR"/>
        </w:rPr>
        <w:t>diées des communaux ; en 1647, ils reconnurent aux communa</w:t>
      </w:r>
      <w:r w:rsidRPr="009C29C2">
        <w:rPr>
          <w:color w:val="000000"/>
          <w:lang w:eastAsia="fr-FR" w:bidi="fr-FR"/>
        </w:rPr>
        <w:t>u</w:t>
      </w:r>
      <w:r w:rsidRPr="009C29C2">
        <w:rPr>
          <w:color w:val="000000"/>
          <w:lang w:eastAsia="fr-FR" w:bidi="fr-FR"/>
        </w:rPr>
        <w:t>tés le droit de démolir, d’office, ces barrières abusives</w:t>
      </w:r>
      <w:r>
        <w:rPr>
          <w:color w:val="000000"/>
          <w:lang w:eastAsia="fr-FR" w:bidi="fr-FR"/>
        </w:rPr>
        <w:t> </w:t>
      </w:r>
      <w:r>
        <w:rPr>
          <w:rStyle w:val="Appelnotedebasdep"/>
        </w:rPr>
        <w:footnoteReference w:id="198"/>
      </w:r>
      <w:r w:rsidRPr="009C29C2">
        <w:rPr>
          <w:color w:val="000000"/>
          <w:lang w:eastAsia="fr-FR" w:bidi="fr-FR"/>
        </w:rPr>
        <w:t>. Puis ce fut l’affaire des vignes. L’usage était de ne les permettre que sur les c</w:t>
      </w:r>
      <w:r w:rsidRPr="009C29C2">
        <w:rPr>
          <w:color w:val="000000"/>
          <w:lang w:eastAsia="fr-FR" w:bidi="fr-FR"/>
        </w:rPr>
        <w:t>o</w:t>
      </w:r>
      <w:r w:rsidRPr="009C29C2">
        <w:rPr>
          <w:color w:val="000000"/>
          <w:lang w:eastAsia="fr-FR" w:bidi="fr-FR"/>
        </w:rPr>
        <w:t>teaux ; les pla</w:t>
      </w:r>
      <w:r w:rsidRPr="009C29C2">
        <w:rPr>
          <w:color w:val="000000"/>
          <w:lang w:eastAsia="fr-FR" w:bidi="fr-FR"/>
        </w:rPr>
        <w:t>i</w:t>
      </w:r>
      <w:r w:rsidRPr="009C29C2">
        <w:rPr>
          <w:color w:val="000000"/>
          <w:lang w:eastAsia="fr-FR" w:bidi="fr-FR"/>
        </w:rPr>
        <w:t xml:space="preserve">nes devaient être réservées aux grains nourriciers. Mais, vers le début du </w:t>
      </w:r>
      <w:r w:rsidRPr="00B17834">
        <w:rPr>
          <w:smallCaps/>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on se mit à en planter en plaine ou sur les terres jusque-là exclusivement vouées à la pâture </w:t>
      </w:r>
      <w:r w:rsidRPr="009C29C2">
        <w:t>(artigues) :</w:t>
      </w:r>
      <w:r w:rsidRPr="009C29C2">
        <w:rPr>
          <w:color w:val="000000"/>
          <w:lang w:eastAsia="fr-FR" w:bidi="fr-FR"/>
        </w:rPr>
        <w:t xml:space="preserve"> derrière clôt</w:t>
      </w:r>
      <w:r w:rsidRPr="009C29C2">
        <w:rPr>
          <w:color w:val="000000"/>
          <w:lang w:eastAsia="fr-FR" w:bidi="fr-FR"/>
        </w:rPr>
        <w:t>u</w:t>
      </w:r>
      <w:r w:rsidRPr="009C29C2">
        <w:rPr>
          <w:color w:val="000000"/>
          <w:lang w:eastAsia="fr-FR" w:bidi="fr-FR"/>
        </w:rPr>
        <w:t>res, naturellement. Gardiens à la fois de l’alimentation du peuple, des int</w:t>
      </w:r>
      <w:r w:rsidRPr="009C29C2">
        <w:rPr>
          <w:color w:val="000000"/>
          <w:lang w:eastAsia="fr-FR" w:bidi="fr-FR"/>
        </w:rPr>
        <w:t>é</w:t>
      </w:r>
      <w:r w:rsidRPr="009C29C2">
        <w:rPr>
          <w:color w:val="000000"/>
          <w:lang w:eastAsia="fr-FR" w:bidi="fr-FR"/>
        </w:rPr>
        <w:t>rêts des bergers et de la réputation même du vin de pays (les ceps des plaines passaient pour ne donner qu’une liqueur médiocre et ma</w:t>
      </w:r>
      <w:r w:rsidRPr="009C29C2">
        <w:rPr>
          <w:color w:val="000000"/>
          <w:lang w:eastAsia="fr-FR" w:bidi="fr-FR"/>
        </w:rPr>
        <w:t>l</w:t>
      </w:r>
      <w:r w:rsidRPr="009C29C2">
        <w:rPr>
          <w:color w:val="000000"/>
          <w:lang w:eastAsia="fr-FR" w:bidi="fr-FR"/>
        </w:rPr>
        <w:t>sa</w:t>
      </w:r>
      <w:r w:rsidRPr="009C29C2">
        <w:rPr>
          <w:color w:val="000000"/>
          <w:lang w:eastAsia="fr-FR" w:bidi="fr-FR"/>
        </w:rPr>
        <w:t>i</w:t>
      </w:r>
      <w:r w:rsidRPr="009C29C2">
        <w:rPr>
          <w:color w:val="000000"/>
          <w:lang w:eastAsia="fr-FR" w:bidi="fr-FR"/>
        </w:rPr>
        <w:t>ne), les États s’émurent, et ob</w:t>
      </w:r>
      <w:r>
        <w:rPr>
          <w:color w:val="000000"/>
          <w:lang w:eastAsia="fr-FR" w:bidi="fr-FR"/>
        </w:rPr>
        <w:t>tinrent du Parlement d’abord (5 </w:t>
      </w:r>
      <w:r w:rsidRPr="009C29C2">
        <w:rPr>
          <w:color w:val="000000"/>
          <w:lang w:eastAsia="fr-FR" w:bidi="fr-FR"/>
        </w:rPr>
        <w:t>avril 1727), puis du roi (17 juin 1728), des règlements o</w:t>
      </w:r>
      <w:r w:rsidRPr="009C29C2">
        <w:rPr>
          <w:color w:val="000000"/>
          <w:lang w:eastAsia="fr-FR" w:bidi="fr-FR"/>
        </w:rPr>
        <w:t>r</w:t>
      </w:r>
      <w:r w:rsidRPr="009C29C2">
        <w:rPr>
          <w:color w:val="000000"/>
          <w:lang w:eastAsia="fr-FR" w:bidi="fr-FR"/>
        </w:rPr>
        <w:t>donnant l’arrachage des nouveaux vignobles ; ceux qui avaient été faits depuis le 1</w:t>
      </w:r>
      <w:r w:rsidRPr="009C29C2">
        <w:rPr>
          <w:color w:val="000000"/>
          <w:vertAlign w:val="superscript"/>
          <w:lang w:eastAsia="fr-FR" w:bidi="fr-FR"/>
        </w:rPr>
        <w:t>er</w:t>
      </w:r>
      <w:r w:rsidRPr="009C29C2">
        <w:rPr>
          <w:color w:val="000000"/>
          <w:lang w:eastAsia="fr-FR" w:bidi="fr-FR"/>
        </w:rPr>
        <w:t xml:space="preserve"> octobre 1714 devaient, selon la Déclaration royale, </w:t>
      </w:r>
      <w:r w:rsidRPr="009C29C2">
        <w:rPr>
          <w:color w:val="000000"/>
          <w:lang w:eastAsia="fr-FR" w:bidi="fr-FR"/>
        </w:rPr>
        <w:lastRenderedPageBreak/>
        <w:t>être détruits à la diligence des Syndics des États</w:t>
      </w:r>
      <w:r>
        <w:rPr>
          <w:color w:val="000000"/>
          <w:lang w:eastAsia="fr-FR" w:bidi="fr-FR"/>
        </w:rPr>
        <w:t> </w:t>
      </w:r>
      <w:r>
        <w:rPr>
          <w:rStyle w:val="Appelnotedebasdep"/>
        </w:rPr>
        <w:footnoteReference w:id="199"/>
      </w:r>
      <w:r w:rsidRPr="009C29C2">
        <w:rPr>
          <w:color w:val="000000"/>
          <w:lang w:eastAsia="fr-FR" w:bidi="fr-FR"/>
        </w:rPr>
        <w:t>. Mais l’enquête que ceux-ci, à cette fin, durent entreprendre, révéla bien vite que la vigne n’était pas seule en cause. Beaucoup de fermetures avaient été établies autour de labours, de prés, voire sur des terres qui ne donnaient que des tuyas. En dépit d’une vive campagne des États</w:t>
      </w:r>
      <w:r>
        <w:rPr>
          <w:color w:val="000000"/>
          <w:lang w:eastAsia="fr-FR" w:bidi="fr-FR"/>
        </w:rPr>
        <w:t> </w:t>
      </w:r>
      <w:r>
        <w:rPr>
          <w:rStyle w:val="Appelnotedebasdep"/>
        </w:rPr>
        <w:footnoteReference w:id="200"/>
      </w:r>
      <w:r>
        <w:rPr>
          <w:color w:val="000000"/>
          <w:lang w:eastAsia="fr-FR" w:bidi="fr-FR"/>
        </w:rPr>
        <w:t> — </w:t>
      </w:r>
      <w:r w:rsidRPr="009C29C2">
        <w:rPr>
          <w:color w:val="000000"/>
          <w:lang w:eastAsia="fr-FR" w:bidi="fr-FR"/>
        </w:rPr>
        <w:t>qui, le 14 juin 1735, f</w:t>
      </w:r>
      <w:r w:rsidRPr="009C29C2">
        <w:rPr>
          <w:color w:val="000000"/>
          <w:lang w:eastAsia="fr-FR" w:bidi="fr-FR"/>
        </w:rPr>
        <w:t>i</w:t>
      </w:r>
      <w:r w:rsidRPr="009C29C2">
        <w:rPr>
          <w:color w:val="000000"/>
          <w:lang w:eastAsia="fr-FR" w:bidi="fr-FR"/>
        </w:rPr>
        <w:t>rent retirer au Parlement, à leur gré trop mou, le jugement de ces i</w:t>
      </w:r>
      <w:r w:rsidRPr="009C29C2">
        <w:rPr>
          <w:color w:val="000000"/>
          <w:lang w:eastAsia="fr-FR" w:bidi="fr-FR"/>
        </w:rPr>
        <w:t>n</w:t>
      </w:r>
      <w:r w:rsidRPr="009C29C2">
        <w:rPr>
          <w:color w:val="000000"/>
          <w:lang w:eastAsia="fr-FR" w:bidi="fr-FR"/>
        </w:rPr>
        <w:t>fractions, pour le remettre à l’intendant —, pendant toute la première moitié du siècle, ces enclôtures, provoquées, sans nul doute, par les abus de la transhumance, ne cessèrent de se poursuivre. Les comm</w:t>
      </w:r>
      <w:r w:rsidRPr="009C29C2">
        <w:rPr>
          <w:color w:val="000000"/>
          <w:lang w:eastAsia="fr-FR" w:bidi="fr-FR"/>
        </w:rPr>
        <w:t>u</w:t>
      </w:r>
      <w:r w:rsidRPr="009C29C2">
        <w:rPr>
          <w:color w:val="000000"/>
          <w:lang w:eastAsia="fr-FR" w:bidi="fr-FR"/>
        </w:rPr>
        <w:t>nautés elles-mêmes</w:t>
      </w:r>
      <w:r>
        <w:rPr>
          <w:color w:val="000000"/>
          <w:lang w:eastAsia="fr-FR" w:bidi="fr-FR"/>
        </w:rPr>
        <w:t> — </w:t>
      </w:r>
      <w:r w:rsidRPr="009C29C2">
        <w:rPr>
          <w:color w:val="000000"/>
          <w:lang w:eastAsia="fr-FR" w:bidi="fr-FR"/>
        </w:rPr>
        <w:t>parfois avec l’approbation de l’intendant ou de la Cour</w:t>
      </w:r>
      <w:r>
        <w:rPr>
          <w:color w:val="000000"/>
          <w:lang w:eastAsia="fr-FR" w:bidi="fr-FR"/>
        </w:rPr>
        <w:t> </w:t>
      </w:r>
      <w:r>
        <w:rPr>
          <w:rStyle w:val="Appelnotedebasdep"/>
        </w:rPr>
        <w:footnoteReference w:id="201"/>
      </w:r>
      <w:r>
        <w:rPr>
          <w:color w:val="000000"/>
          <w:lang w:eastAsia="fr-FR" w:bidi="fr-FR"/>
        </w:rPr>
        <w:t> — </w:t>
      </w:r>
      <w:r w:rsidRPr="009C29C2">
        <w:rPr>
          <w:color w:val="000000"/>
          <w:lang w:eastAsia="fr-FR" w:bidi="fr-FR"/>
        </w:rPr>
        <w:t>autorisaient assez souvent, moyennant paiement, tel ou tel propriétaire à « emparer » ses terres ou bien, par une mesure d’ensemble, permettaient à tous les habitants de clore une quote-part déterminée de leurs fonds. Le parcours ne faisait que pousser à la g</w:t>
      </w:r>
      <w:r w:rsidRPr="009C29C2">
        <w:rPr>
          <w:color w:val="000000"/>
          <w:lang w:eastAsia="fr-FR" w:bidi="fr-FR"/>
        </w:rPr>
        <w:t>é</w:t>
      </w:r>
      <w:r w:rsidRPr="009C29C2">
        <w:rPr>
          <w:color w:val="000000"/>
          <w:lang w:eastAsia="fr-FR" w:bidi="fr-FR"/>
        </w:rPr>
        <w:t xml:space="preserve">néralisation du mouvement : car, lorsqu’une communauté avait agi de la sorte, ses voisines, pour ne pas </w:t>
      </w:r>
      <w:r w:rsidRPr="009C29C2">
        <w:rPr>
          <w:color w:val="000000"/>
          <w:lang w:eastAsia="fr-FR" w:bidi="fr-FR"/>
        </w:rPr>
        <w:lastRenderedPageBreak/>
        <w:t>laisser manger leurs propres terroirs, sans possibilité de compensations, imitaient son exemple</w:t>
      </w:r>
      <w:r>
        <w:rPr>
          <w:color w:val="000000"/>
          <w:lang w:eastAsia="fr-FR" w:bidi="fr-FR"/>
        </w:rPr>
        <w:t> </w:t>
      </w:r>
      <w:r>
        <w:rPr>
          <w:rStyle w:val="Appelnotedebasdep"/>
        </w:rPr>
        <w:footnoteReference w:id="202"/>
      </w:r>
      <w:r w:rsidRPr="009C29C2">
        <w:rPr>
          <w:color w:val="000000"/>
          <w:lang w:eastAsia="fr-FR" w:bidi="fr-FR"/>
        </w:rPr>
        <w:t>.</w:t>
      </w:r>
    </w:p>
    <w:p w14:paraId="4AD804AB" w14:textId="77777777" w:rsidR="00B9662D" w:rsidRPr="009C29C2" w:rsidRDefault="00B9662D" w:rsidP="00B9662D">
      <w:pPr>
        <w:spacing w:before="120" w:after="120"/>
        <w:jc w:val="both"/>
      </w:pPr>
      <w:r w:rsidRPr="009C29C2">
        <w:rPr>
          <w:color w:val="000000"/>
          <w:lang w:eastAsia="fr-FR" w:bidi="fr-FR"/>
        </w:rPr>
        <w:t>Les États eux-mêmes avaient fini par se décourager. Leurs co</w:t>
      </w:r>
      <w:r w:rsidRPr="009C29C2">
        <w:rPr>
          <w:color w:val="000000"/>
          <w:lang w:eastAsia="fr-FR" w:bidi="fr-FR"/>
        </w:rPr>
        <w:t>m</w:t>
      </w:r>
      <w:r w:rsidRPr="009C29C2">
        <w:rPr>
          <w:color w:val="000000"/>
          <w:lang w:eastAsia="fr-FR" w:bidi="fr-FR"/>
        </w:rPr>
        <w:t>missaires</w:t>
      </w:r>
      <w:r>
        <w:t xml:space="preserve"> [626]</w:t>
      </w:r>
      <w:r w:rsidRPr="009C29C2">
        <w:rPr>
          <w:color w:val="000000"/>
          <w:lang w:eastAsia="fr-FR" w:bidi="fr-FR"/>
        </w:rPr>
        <w:t xml:space="preserve"> ayant cessé leurs fonctions en septembre 1740, l’affaire entra en sommeil</w:t>
      </w:r>
      <w:r>
        <w:rPr>
          <w:color w:val="000000"/>
          <w:lang w:eastAsia="fr-FR" w:bidi="fr-FR"/>
        </w:rPr>
        <w:t> </w:t>
      </w:r>
      <w:r>
        <w:rPr>
          <w:rStyle w:val="Appelnotedebasdep"/>
        </w:rPr>
        <w:footnoteReference w:id="203"/>
      </w:r>
      <w:r w:rsidRPr="009C29C2">
        <w:rPr>
          <w:color w:val="000000"/>
          <w:lang w:eastAsia="fr-FR" w:bidi="fr-FR"/>
        </w:rPr>
        <w:t>. L’intervention d’un député amena à la reprendre en 1754</w:t>
      </w:r>
      <w:r>
        <w:rPr>
          <w:color w:val="000000"/>
          <w:lang w:eastAsia="fr-FR" w:bidi="fr-FR"/>
        </w:rPr>
        <w:t> </w:t>
      </w:r>
      <w:r>
        <w:rPr>
          <w:rStyle w:val="Appelnotedebasdep"/>
        </w:rPr>
        <w:footnoteReference w:id="204"/>
      </w:r>
      <w:r w:rsidRPr="00E07EE1">
        <w:rPr>
          <w:color w:val="000000"/>
          <w:lang w:eastAsia="fr-FR" w:bidi="fr-FR"/>
        </w:rPr>
        <w:t>.</w:t>
      </w:r>
      <w:r w:rsidRPr="009C29C2">
        <w:rPr>
          <w:color w:val="000000"/>
          <w:lang w:eastAsia="fr-FR" w:bidi="fr-FR"/>
        </w:rPr>
        <w:t xml:space="preserve"> Mais un esprit nouveau avait soufflé, apporté par des hommes nouveaux. </w:t>
      </w:r>
      <w:r>
        <w:rPr>
          <w:color w:val="000000"/>
          <w:lang w:eastAsia="fr-FR" w:bidi="fr-FR"/>
        </w:rPr>
        <w:t>À</w:t>
      </w:r>
      <w:r w:rsidRPr="009C29C2">
        <w:rPr>
          <w:color w:val="000000"/>
          <w:lang w:eastAsia="fr-FR" w:bidi="fr-FR"/>
        </w:rPr>
        <w:t xml:space="preserve"> deux exceptions près, la commission no</w:t>
      </w:r>
      <w:r w:rsidRPr="009C29C2">
        <w:rPr>
          <w:color w:val="000000"/>
          <w:lang w:eastAsia="fr-FR" w:bidi="fr-FR"/>
        </w:rPr>
        <w:t>m</w:t>
      </w:r>
      <w:r w:rsidRPr="009C29C2">
        <w:rPr>
          <w:color w:val="000000"/>
          <w:lang w:eastAsia="fr-FR" w:bidi="fr-FR"/>
        </w:rPr>
        <w:t>mée en 1754 était composée tout différemment de celle de 1746. Le syndic général de robe, Jean-Louis de Navailles, véritable moteur de l’assemblée, n’était en charge que depuis un an</w:t>
      </w:r>
      <w:r>
        <w:rPr>
          <w:color w:val="000000"/>
          <w:lang w:eastAsia="fr-FR" w:bidi="fr-FR"/>
        </w:rPr>
        <w:t> </w:t>
      </w:r>
      <w:r>
        <w:rPr>
          <w:rStyle w:val="Appelnotedebasdep"/>
        </w:rPr>
        <w:footnoteReference w:id="205"/>
      </w:r>
      <w:r w:rsidRPr="009C29C2">
        <w:rPr>
          <w:color w:val="000000"/>
          <w:lang w:eastAsia="fr-FR" w:bidi="fr-FR"/>
        </w:rPr>
        <w:t>. En 1759, les sy</w:t>
      </w:r>
      <w:r w:rsidRPr="009C29C2">
        <w:rPr>
          <w:color w:val="000000"/>
          <w:lang w:eastAsia="fr-FR" w:bidi="fr-FR"/>
        </w:rPr>
        <w:t>n</w:t>
      </w:r>
      <w:r w:rsidRPr="009C29C2">
        <w:rPr>
          <w:color w:val="000000"/>
          <w:lang w:eastAsia="fr-FR" w:bidi="fr-FR"/>
        </w:rPr>
        <w:t>dics, après un éloge significatif, fondé sur la commodité et le droit naturel, de la liberté de clore, conclurent à autoriser les fermetures ; non point, à dire vrai, sur les plaines ; on n’y voyait point de ces grands rassemblements de parcelles, entre les mains des riches, qui, dans d’autres régions, devaient inciter les principaux propriétaires à réclamer si ardemment le droit de secouer les servitudes collectives</w:t>
      </w:r>
      <w:r>
        <w:rPr>
          <w:color w:val="000000"/>
          <w:lang w:eastAsia="fr-FR" w:bidi="fr-FR"/>
        </w:rPr>
        <w:t> </w:t>
      </w:r>
      <w:r>
        <w:rPr>
          <w:rStyle w:val="Appelnotedebasdep"/>
        </w:rPr>
        <w:footnoteReference w:id="206"/>
      </w:r>
      <w:r w:rsidRPr="009C29C2">
        <w:rPr>
          <w:color w:val="000000"/>
          <w:lang w:eastAsia="fr-FR" w:bidi="fr-FR"/>
        </w:rPr>
        <w:t> ; non plus sur les communaux ; mais, du moins, sur les « coteaux », où de vastes propriétés, soit par le défrichement, soit par l’exploitation rationnelle des tuyas, semblaient, une fois soustraites à la pâture, d</w:t>
      </w:r>
      <w:r w:rsidRPr="009C29C2">
        <w:rPr>
          <w:color w:val="000000"/>
          <w:lang w:eastAsia="fr-FR" w:bidi="fr-FR"/>
        </w:rPr>
        <w:t>e</w:t>
      </w:r>
      <w:r w:rsidRPr="009C29C2">
        <w:rPr>
          <w:color w:val="000000"/>
          <w:lang w:eastAsia="fr-FR" w:bidi="fr-FR"/>
        </w:rPr>
        <w:t>voir prendre une valeur nouvelle. Les États décidèrent de demander au roi un édit en ce sens</w:t>
      </w:r>
      <w:r>
        <w:rPr>
          <w:color w:val="000000"/>
          <w:lang w:eastAsia="fr-FR" w:bidi="fr-FR"/>
        </w:rPr>
        <w:t> </w:t>
      </w:r>
      <w:r>
        <w:rPr>
          <w:rStyle w:val="Appelnotedebasdep"/>
        </w:rPr>
        <w:footnoteReference w:id="207"/>
      </w:r>
      <w:r w:rsidRPr="009C29C2">
        <w:rPr>
          <w:color w:val="000000"/>
          <w:lang w:eastAsia="fr-FR" w:bidi="fr-FR"/>
        </w:rPr>
        <w:t>. Mais l’intendant d’Étigny y était défavorable : soit, comme on l’insinuait, qu’il préférât continuer à user lui-même d’un pouvoir arbitraire ; soit aussi qu’il craignît sincèrement les effets de cette révolution ; il eût voulu, du moins, borner les clos aux terres réellement défrichées</w:t>
      </w:r>
      <w:r>
        <w:rPr>
          <w:color w:val="000000"/>
          <w:lang w:eastAsia="fr-FR" w:bidi="fr-FR"/>
        </w:rPr>
        <w:t> </w:t>
      </w:r>
      <w:r>
        <w:rPr>
          <w:rStyle w:val="Appelnotedebasdep"/>
        </w:rPr>
        <w:footnoteReference w:id="208"/>
      </w:r>
      <w:r w:rsidRPr="009C29C2">
        <w:rPr>
          <w:color w:val="000000"/>
          <w:lang w:eastAsia="fr-FR" w:bidi="fr-FR"/>
        </w:rPr>
        <w:t>. Malgré d’incessantes dé</w:t>
      </w:r>
      <w:r w:rsidRPr="009C29C2">
        <w:rPr>
          <w:color w:val="000000"/>
          <w:lang w:eastAsia="fr-FR" w:bidi="fr-FR"/>
        </w:rPr>
        <w:lastRenderedPageBreak/>
        <w:t>marches</w:t>
      </w:r>
      <w:r>
        <w:rPr>
          <w:color w:val="000000"/>
          <w:lang w:eastAsia="fr-FR" w:bidi="fr-FR"/>
        </w:rPr>
        <w:t> </w:t>
      </w:r>
      <w:r>
        <w:rPr>
          <w:rStyle w:val="Appelnotedebasdep"/>
        </w:rPr>
        <w:footnoteReference w:id="209"/>
      </w:r>
      <w:r w:rsidRPr="009C29C2">
        <w:rPr>
          <w:color w:val="000000"/>
          <w:lang w:eastAsia="fr-FR" w:bidi="fr-FR"/>
        </w:rPr>
        <w:t>, seule sa disgrâce, survenue en 1765, permit aux États de voir leurs vœux a</w:t>
      </w:r>
      <w:r w:rsidRPr="009C29C2">
        <w:rPr>
          <w:color w:val="000000"/>
          <w:lang w:eastAsia="fr-FR" w:bidi="fr-FR"/>
        </w:rPr>
        <w:t>c</w:t>
      </w:r>
      <w:r w:rsidRPr="009C29C2">
        <w:rPr>
          <w:color w:val="000000"/>
          <w:lang w:eastAsia="fr-FR" w:bidi="fr-FR"/>
        </w:rPr>
        <w:t>complis. Encore l’édit, rendu enfin le 2 décembre 1767</w:t>
      </w:r>
      <w:r>
        <w:rPr>
          <w:color w:val="000000"/>
          <w:lang w:eastAsia="fr-FR" w:bidi="fr-FR"/>
        </w:rPr>
        <w:t> </w:t>
      </w:r>
      <w:r>
        <w:rPr>
          <w:rStyle w:val="Appelnotedebasdep"/>
        </w:rPr>
        <w:footnoteReference w:id="210"/>
      </w:r>
      <w:r w:rsidRPr="009C29C2">
        <w:rPr>
          <w:color w:val="000000"/>
          <w:lang w:eastAsia="fr-FR" w:bidi="fr-FR"/>
        </w:rPr>
        <w:t>, n’était-il guère conforme à leurs désirs. Il autorisait les clôtures, sans restriction de lieux.</w:t>
      </w:r>
    </w:p>
    <w:p w14:paraId="5C37EE8F" w14:textId="77777777" w:rsidR="00B9662D" w:rsidRPr="009C29C2" w:rsidRDefault="00B9662D" w:rsidP="00B9662D">
      <w:pPr>
        <w:spacing w:before="120" w:after="120"/>
        <w:jc w:val="both"/>
      </w:pPr>
      <w:r w:rsidRPr="009C29C2">
        <w:rPr>
          <w:color w:val="000000"/>
          <w:lang w:eastAsia="fr-FR" w:bidi="fr-FR"/>
        </w:rPr>
        <w:t>Mais le Parlement, plus fidèle encore aux intérêts nobiliaires que les États, où le Tiers avait une grande place, était sur ses gardes. Il n’enregistra, le 10 février 1768, que sous une double réserve : point de clôtures à l’intérieur des plaines ;</w:t>
      </w:r>
      <w:r>
        <w:rPr>
          <w:color w:val="000000"/>
          <w:lang w:eastAsia="fr-FR" w:bidi="fr-FR"/>
        </w:rPr>
        <w:t> — </w:t>
      </w:r>
      <w:r w:rsidRPr="009C29C2">
        <w:rPr>
          <w:color w:val="000000"/>
          <w:lang w:eastAsia="fr-FR" w:bidi="fr-FR"/>
        </w:rPr>
        <w:t>les dispositions de l’édit (celles notamment qui interdisaient aux bestiaux n’appartenant pas au pr</w:t>
      </w:r>
      <w:r w:rsidRPr="009C29C2">
        <w:rPr>
          <w:color w:val="000000"/>
          <w:lang w:eastAsia="fr-FR" w:bidi="fr-FR"/>
        </w:rPr>
        <w:t>o</w:t>
      </w:r>
      <w:r w:rsidRPr="009C29C2">
        <w:rPr>
          <w:color w:val="000000"/>
          <w:lang w:eastAsia="fr-FR" w:bidi="fr-FR"/>
        </w:rPr>
        <w:t>priétaire l’accès des parcelles encloses) ne pourraient « nuire ni préj</w:t>
      </w:r>
      <w:r w:rsidRPr="009C29C2">
        <w:rPr>
          <w:color w:val="000000"/>
          <w:lang w:eastAsia="fr-FR" w:bidi="fr-FR"/>
        </w:rPr>
        <w:t>u</w:t>
      </w:r>
      <w:r w:rsidRPr="009C29C2">
        <w:rPr>
          <w:color w:val="000000"/>
          <w:lang w:eastAsia="fr-FR" w:bidi="fr-FR"/>
        </w:rPr>
        <w:t>dicier au droit des seigneurs » ; en d’autres termes le droit seigneurial d’herbes mortes continuerait à s’exercer nonobstant les fermetures</w:t>
      </w:r>
      <w:r>
        <w:rPr>
          <w:color w:val="000000"/>
          <w:lang w:eastAsia="fr-FR" w:bidi="fr-FR"/>
        </w:rPr>
        <w:t> </w:t>
      </w:r>
      <w:r>
        <w:rPr>
          <w:rStyle w:val="Appelnotedebasdep"/>
        </w:rPr>
        <w:footnoteReference w:id="211"/>
      </w:r>
      <w:r w:rsidRPr="009C29C2">
        <w:rPr>
          <w:color w:val="000000"/>
          <w:lang w:eastAsia="fr-FR" w:bidi="fr-FR"/>
        </w:rPr>
        <w:t>. On transigea. En février 1770, le roi rendit un nouvel édit. L’article premier, qui rappelait la liberté absolument générale accordée par le texte précédent, cassait, par prétérition, le privilège des plaines. L’article trois organisait le rachat des herbes mortes, au gré des tena</w:t>
      </w:r>
      <w:r w:rsidRPr="009C29C2">
        <w:rPr>
          <w:color w:val="000000"/>
          <w:lang w:eastAsia="fr-FR" w:bidi="fr-FR"/>
        </w:rPr>
        <w:t>n</w:t>
      </w:r>
      <w:r w:rsidRPr="009C29C2">
        <w:rPr>
          <w:color w:val="000000"/>
          <w:lang w:eastAsia="fr-FR" w:bidi="fr-FR"/>
        </w:rPr>
        <w:t>ciers, moyennant une indemnité annuelle</w:t>
      </w:r>
      <w:r>
        <w:rPr>
          <w:color w:val="000000"/>
          <w:lang w:eastAsia="fr-FR" w:bidi="fr-FR"/>
        </w:rPr>
        <w:t xml:space="preserve"> [627] </w:t>
      </w:r>
      <w:r w:rsidRPr="009C29C2">
        <w:rPr>
          <w:color w:val="000000"/>
          <w:lang w:eastAsia="fr-FR" w:bidi="fr-FR"/>
        </w:rPr>
        <w:t>égale à la moitié du cens, qu’ils pourraient, s’ils le désiraient, capitaliser par un seul ve</w:t>
      </w:r>
      <w:r w:rsidRPr="009C29C2">
        <w:rPr>
          <w:color w:val="000000"/>
          <w:lang w:eastAsia="fr-FR" w:bidi="fr-FR"/>
        </w:rPr>
        <w:t>r</w:t>
      </w:r>
      <w:r w:rsidRPr="009C29C2">
        <w:rPr>
          <w:color w:val="000000"/>
          <w:lang w:eastAsia="fr-FR" w:bidi="fr-FR"/>
        </w:rPr>
        <w:t>sement calculé au taux de 4 %. Enfin on profitait de l’occasion pour supprimer en Béarn le parcours réciproque entre communautés</w:t>
      </w:r>
      <w:r>
        <w:rPr>
          <w:color w:val="000000"/>
          <w:lang w:eastAsia="fr-FR" w:bidi="fr-FR"/>
        </w:rPr>
        <w:t> </w:t>
      </w:r>
      <w:r>
        <w:rPr>
          <w:rStyle w:val="Appelnotedebasdep"/>
        </w:rPr>
        <w:footnoteReference w:id="212"/>
      </w:r>
      <w:r w:rsidRPr="009C29C2">
        <w:rPr>
          <w:color w:val="000000"/>
          <w:lang w:eastAsia="fr-FR" w:bidi="fr-FR"/>
        </w:rPr>
        <w:t>. Le Parlement, qui avait d’ailleurs été consulté par avance, enregistra cette fois sans difficultés. Dans les États, l’accord ne put se faire entre les ordres ; la Noblesse et le Clergé voulaient pr</w:t>
      </w:r>
      <w:r w:rsidRPr="009C29C2">
        <w:rPr>
          <w:color w:val="000000"/>
          <w:lang w:eastAsia="fr-FR" w:bidi="fr-FR"/>
        </w:rPr>
        <w:t>o</w:t>
      </w:r>
      <w:r w:rsidRPr="009C29C2">
        <w:rPr>
          <w:color w:val="000000"/>
          <w:lang w:eastAsia="fr-FR" w:bidi="fr-FR"/>
        </w:rPr>
        <w:t xml:space="preserve">tester à la fois contre le rachat des herbes mortes, fixé à leur gré trop bas, et contre l’abolition </w:t>
      </w:r>
      <w:r w:rsidRPr="009C29C2">
        <w:rPr>
          <w:color w:val="000000"/>
          <w:lang w:eastAsia="fr-FR" w:bidi="fr-FR"/>
        </w:rPr>
        <w:lastRenderedPageBreak/>
        <w:t>du parcours, nuisible à la transhumance ; le Tiers n’acceptait que la seconde protestation. On dut, faute d’entente, renoncer à rien faire</w:t>
      </w:r>
      <w:r>
        <w:rPr>
          <w:color w:val="000000"/>
          <w:lang w:eastAsia="fr-FR" w:bidi="fr-FR"/>
        </w:rPr>
        <w:t> </w:t>
      </w:r>
      <w:r>
        <w:rPr>
          <w:rStyle w:val="Appelnotedebasdep"/>
        </w:rPr>
        <w:footnoteReference w:id="213"/>
      </w:r>
      <w:r w:rsidRPr="009C29C2">
        <w:rPr>
          <w:color w:val="000000"/>
          <w:lang w:eastAsia="fr-FR" w:bidi="fr-FR"/>
        </w:rPr>
        <w:t>.</w:t>
      </w:r>
    </w:p>
    <w:p w14:paraId="68C7C701" w14:textId="77777777" w:rsidR="00B9662D" w:rsidRPr="009C29C2" w:rsidRDefault="00B9662D" w:rsidP="00B9662D">
      <w:pPr>
        <w:spacing w:before="120" w:after="120"/>
        <w:jc w:val="both"/>
      </w:pPr>
      <w:r w:rsidRPr="009C29C2">
        <w:rPr>
          <w:color w:val="000000"/>
          <w:lang w:eastAsia="fr-FR" w:bidi="fr-FR"/>
        </w:rPr>
        <w:t>Peu à peu cependant, les bureaux furent contraints de se rendre à l’évidence : une des prescriptions de l’édit, celle qui portait suppre</w:t>
      </w:r>
      <w:r w:rsidRPr="009C29C2">
        <w:rPr>
          <w:color w:val="000000"/>
          <w:lang w:eastAsia="fr-FR" w:bidi="fr-FR"/>
        </w:rPr>
        <w:t>s</w:t>
      </w:r>
      <w:r w:rsidRPr="009C29C2">
        <w:rPr>
          <w:color w:val="000000"/>
          <w:lang w:eastAsia="fr-FR" w:bidi="fr-FR"/>
        </w:rPr>
        <w:t>sion du parcours, était, dans toute une partie de la province, propr</w:t>
      </w:r>
      <w:r w:rsidRPr="009C29C2">
        <w:rPr>
          <w:color w:val="000000"/>
          <w:lang w:eastAsia="fr-FR" w:bidi="fr-FR"/>
        </w:rPr>
        <w:t>e</w:t>
      </w:r>
      <w:r w:rsidRPr="009C29C2">
        <w:rPr>
          <w:color w:val="000000"/>
          <w:lang w:eastAsia="fr-FR" w:bidi="fr-FR"/>
        </w:rPr>
        <w:t>ment inexécutable. Dans les montagnes, l’usage des hauts pâturages était partout indivis entre plusieurs communautés, appartenant parfois à des provinces différentes, ou même les unes à l’Espagne, les autres à la France. On ne pouvait d’un trait de plume effacer ces antiques a</w:t>
      </w:r>
      <w:r w:rsidRPr="009C29C2">
        <w:rPr>
          <w:color w:val="000000"/>
          <w:lang w:eastAsia="fr-FR" w:bidi="fr-FR"/>
        </w:rPr>
        <w:t>s</w:t>
      </w:r>
      <w:r w:rsidRPr="009C29C2">
        <w:rPr>
          <w:color w:val="000000"/>
          <w:lang w:eastAsia="fr-FR" w:bidi="fr-FR"/>
        </w:rPr>
        <w:t>sociations pastorales. Le 28 février 1773, une nouvelle Déclaration exemptait de l’application de l’édit de 1770 relatif au parcou</w:t>
      </w:r>
      <w:r>
        <w:rPr>
          <w:color w:val="000000"/>
          <w:lang w:eastAsia="fr-FR" w:bidi="fr-FR"/>
        </w:rPr>
        <w:t>rs les communautés des « Monts-</w:t>
      </w:r>
      <w:r w:rsidRPr="009C29C2">
        <w:rPr>
          <w:color w:val="000000"/>
          <w:lang w:eastAsia="fr-FR" w:bidi="fr-FR"/>
        </w:rPr>
        <w:t>Pirénées limitrophes de l’Espagne », celles « des montagnes adjacentes », celles enfin des « districts appelés Va</w:t>
      </w:r>
      <w:r w:rsidRPr="009C29C2">
        <w:rPr>
          <w:color w:val="000000"/>
          <w:lang w:eastAsia="fr-FR" w:bidi="fr-FR"/>
        </w:rPr>
        <w:t>l</w:t>
      </w:r>
      <w:r w:rsidRPr="009C29C2">
        <w:rPr>
          <w:color w:val="000000"/>
          <w:lang w:eastAsia="fr-FR" w:bidi="fr-FR"/>
        </w:rPr>
        <w:t>lées »</w:t>
      </w:r>
      <w:r>
        <w:rPr>
          <w:color w:val="000000"/>
          <w:lang w:eastAsia="fr-FR" w:bidi="fr-FR"/>
        </w:rPr>
        <w:t> </w:t>
      </w:r>
      <w:r>
        <w:rPr>
          <w:rStyle w:val="Appelnotedebasdep"/>
        </w:rPr>
        <w:footnoteReference w:id="214"/>
      </w:r>
      <w:r w:rsidRPr="009C29C2">
        <w:rPr>
          <w:color w:val="000000"/>
          <w:lang w:eastAsia="fr-FR" w:bidi="fr-FR"/>
        </w:rPr>
        <w:t>. Par la suite, quelques communautés, situées dans le bas ou le moyen pays, sollicitèrent, et parfois obtinrent, en invoquant les cond</w:t>
      </w:r>
      <w:r w:rsidRPr="009C29C2">
        <w:rPr>
          <w:color w:val="000000"/>
          <w:lang w:eastAsia="fr-FR" w:bidi="fr-FR"/>
        </w:rPr>
        <w:t>i</w:t>
      </w:r>
      <w:r w:rsidRPr="009C29C2">
        <w:rPr>
          <w:color w:val="000000"/>
          <w:lang w:eastAsia="fr-FR" w:bidi="fr-FR"/>
        </w:rPr>
        <w:t>tions spéciales de leur sol ou de leur régime agraire, des exemptions analogues</w:t>
      </w:r>
      <w:r>
        <w:rPr>
          <w:color w:val="000000"/>
          <w:lang w:eastAsia="fr-FR" w:bidi="fr-FR"/>
        </w:rPr>
        <w:t> </w:t>
      </w:r>
      <w:r>
        <w:rPr>
          <w:rStyle w:val="Appelnotedebasdep"/>
        </w:rPr>
        <w:footnoteReference w:id="215"/>
      </w:r>
      <w:r w:rsidRPr="009C29C2">
        <w:rPr>
          <w:color w:val="000000"/>
          <w:lang w:eastAsia="fr-FR" w:bidi="fr-FR"/>
        </w:rPr>
        <w:t>. D’autres, en 1789, en réclamaient encore</w:t>
      </w:r>
      <w:r>
        <w:rPr>
          <w:color w:val="000000"/>
          <w:lang w:eastAsia="fr-FR" w:bidi="fr-FR"/>
        </w:rPr>
        <w:t> </w:t>
      </w:r>
      <w:r>
        <w:rPr>
          <w:rStyle w:val="Appelnotedebasdep"/>
        </w:rPr>
        <w:footnoteReference w:id="216"/>
      </w:r>
      <w:r w:rsidRPr="009C29C2">
        <w:rPr>
          <w:color w:val="000000"/>
          <w:lang w:eastAsia="fr-FR" w:bidi="fr-FR"/>
        </w:rPr>
        <w:t>. Quant aux herbes mortes, elles subsistèrent en beaucoup de lieux</w:t>
      </w:r>
      <w:r>
        <w:rPr>
          <w:color w:val="000000"/>
          <w:lang w:eastAsia="fr-FR" w:bidi="fr-FR"/>
        </w:rPr>
        <w:t> — </w:t>
      </w:r>
      <w:r w:rsidRPr="009C29C2">
        <w:rPr>
          <w:color w:val="000000"/>
          <w:lang w:eastAsia="fr-FR" w:bidi="fr-FR"/>
        </w:rPr>
        <w:t>et même sur les clos</w:t>
      </w:r>
      <w:r>
        <w:rPr>
          <w:color w:val="000000"/>
          <w:lang w:eastAsia="fr-FR" w:bidi="fr-FR"/>
        </w:rPr>
        <w:t> — </w:t>
      </w:r>
      <w:r w:rsidRPr="009C29C2">
        <w:rPr>
          <w:color w:val="000000"/>
          <w:lang w:eastAsia="fr-FR" w:bidi="fr-FR"/>
        </w:rPr>
        <w:t>parce que les seigneurs n’acceptaient le rachat que des communautés entières, et que celles-ci étaient rarement unanimes</w:t>
      </w:r>
      <w:r>
        <w:rPr>
          <w:color w:val="000000"/>
          <w:lang w:eastAsia="fr-FR" w:bidi="fr-FR"/>
        </w:rPr>
        <w:t> </w:t>
      </w:r>
      <w:r>
        <w:rPr>
          <w:rStyle w:val="Appelnotedebasdep"/>
        </w:rPr>
        <w:footnoteReference w:id="217"/>
      </w:r>
      <w:r w:rsidRPr="009C29C2">
        <w:rPr>
          <w:color w:val="000000"/>
          <w:lang w:eastAsia="fr-FR" w:bidi="fr-FR"/>
        </w:rPr>
        <w:t>. Une fois de plus les résistances provinciales avaient, sinon réduit à rien, du moins singulièrement limité la législation agraire, rêvée par les novateurs du gouvernement central.</w:t>
      </w:r>
    </w:p>
    <w:p w14:paraId="532A5026" w14:textId="77777777" w:rsidR="00B9662D" w:rsidRDefault="00B9662D" w:rsidP="00B9662D">
      <w:pPr>
        <w:spacing w:before="120" w:after="120"/>
        <w:jc w:val="both"/>
      </w:pPr>
    </w:p>
    <w:p w14:paraId="19519308" w14:textId="77777777" w:rsidR="00B9662D" w:rsidRPr="009C29C2" w:rsidRDefault="00B9662D" w:rsidP="00B9662D">
      <w:pPr>
        <w:spacing w:before="120" w:after="120"/>
        <w:jc w:val="both"/>
      </w:pPr>
      <w:r>
        <w:lastRenderedPageBreak/>
        <w:t xml:space="preserve">3. </w:t>
      </w:r>
      <w:r>
        <w:rPr>
          <w:i/>
        </w:rPr>
        <w:t>Trois-É</w:t>
      </w:r>
      <w:r w:rsidRPr="0071385C">
        <w:rPr>
          <w:i/>
        </w:rPr>
        <w:t>vêchés</w:t>
      </w:r>
      <w:r w:rsidRPr="009C29C2">
        <w:t>.</w:t>
      </w:r>
      <w:r>
        <w:rPr>
          <w:color w:val="000000"/>
          <w:lang w:eastAsia="fr-FR" w:bidi="fr-FR"/>
        </w:rPr>
        <w:t> — </w:t>
      </w:r>
      <w:r w:rsidRPr="009C29C2">
        <w:rPr>
          <w:color w:val="000000"/>
          <w:lang w:eastAsia="fr-FR" w:bidi="fr-FR"/>
        </w:rPr>
        <w:t>L’affaire, comme il était naturel, paraît y avoir été engagée en même temps qu’en Lorraine. Dès 1767, le Pa</w:t>
      </w:r>
      <w:r w:rsidRPr="009C29C2">
        <w:rPr>
          <w:color w:val="000000"/>
          <w:lang w:eastAsia="fr-FR" w:bidi="fr-FR"/>
        </w:rPr>
        <w:t>r</w:t>
      </w:r>
      <w:r w:rsidRPr="009C29C2">
        <w:rPr>
          <w:color w:val="000000"/>
          <w:lang w:eastAsia="fr-FR" w:bidi="fr-FR"/>
        </w:rPr>
        <w:t>lement de Metz eut officieusement communication d’un projet d’édit entièrement semblable à celui du Duché. Il ne s’y montra point préc</w:t>
      </w:r>
      <w:r w:rsidRPr="009C29C2">
        <w:rPr>
          <w:color w:val="000000"/>
          <w:lang w:eastAsia="fr-FR" w:bidi="fr-FR"/>
        </w:rPr>
        <w:t>i</w:t>
      </w:r>
      <w:r w:rsidRPr="009C29C2">
        <w:rPr>
          <w:color w:val="000000"/>
          <w:lang w:eastAsia="fr-FR" w:bidi="fr-FR"/>
        </w:rPr>
        <w:t>sément hostile ; un peu effrayé seulement par le radicalisme de la m</w:t>
      </w:r>
      <w:r w:rsidRPr="009C29C2">
        <w:rPr>
          <w:color w:val="000000"/>
          <w:lang w:eastAsia="fr-FR" w:bidi="fr-FR"/>
        </w:rPr>
        <w:t>e</w:t>
      </w:r>
      <w:r w:rsidRPr="009C29C2">
        <w:rPr>
          <w:color w:val="000000"/>
          <w:lang w:eastAsia="fr-FR" w:bidi="fr-FR"/>
        </w:rPr>
        <w:t>sure proposée. Il eût préféré que l’on restreignît la liberté de clore au quart des terres labourabl</w:t>
      </w:r>
      <w:r>
        <w:rPr>
          <w:color w:val="000000"/>
          <w:lang w:eastAsia="fr-FR" w:bidi="fr-FR"/>
        </w:rPr>
        <w:t>e</w:t>
      </w:r>
      <w:r w:rsidRPr="009C29C2">
        <w:rPr>
          <w:color w:val="000000"/>
          <w:lang w:eastAsia="fr-FR" w:bidi="fr-FR"/>
        </w:rPr>
        <w:t>s</w:t>
      </w:r>
      <w:r>
        <w:t xml:space="preserve"> [628]</w:t>
      </w:r>
      <w:r w:rsidRPr="009C29C2">
        <w:rPr>
          <w:color w:val="000000"/>
          <w:lang w:eastAsia="fr-FR" w:bidi="fr-FR"/>
        </w:rPr>
        <w:t xml:space="preserve"> et au tiers des prés possédés par chaque propriétaire</w:t>
      </w:r>
      <w:r>
        <w:rPr>
          <w:color w:val="000000"/>
          <w:lang w:eastAsia="fr-FR" w:bidi="fr-FR"/>
        </w:rPr>
        <w:t> </w:t>
      </w:r>
      <w:r>
        <w:rPr>
          <w:rStyle w:val="Appelnotedebasdep"/>
        </w:rPr>
        <w:footnoteReference w:id="218"/>
      </w:r>
      <w:r w:rsidRPr="009C29C2">
        <w:rPr>
          <w:color w:val="000000"/>
          <w:lang w:eastAsia="fr-FR" w:bidi="fr-FR"/>
        </w:rPr>
        <w:t>. Cette timidité ne fut point approuvée. Mais la publication fut retardée par un incident quelque peu comique ; le pr</w:t>
      </w:r>
      <w:r w:rsidRPr="009C29C2">
        <w:rPr>
          <w:color w:val="000000"/>
          <w:lang w:eastAsia="fr-FR" w:bidi="fr-FR"/>
        </w:rPr>
        <w:t>o</w:t>
      </w:r>
      <w:r w:rsidRPr="009C29C2">
        <w:rPr>
          <w:color w:val="000000"/>
          <w:lang w:eastAsia="fr-FR" w:bidi="fr-FR"/>
        </w:rPr>
        <w:t>jet, transmis par le Contrôleur général, dès le mois de novembre 1767, s’égara dans les bureaux de Choiseul, qui, comme Secrétaire d’État, avait les Trois-Évêchés dans son ressort et, à ce titre, se trouvait cha</w:t>
      </w:r>
      <w:r w:rsidRPr="009C29C2">
        <w:rPr>
          <w:color w:val="000000"/>
          <w:lang w:eastAsia="fr-FR" w:bidi="fr-FR"/>
        </w:rPr>
        <w:t>r</w:t>
      </w:r>
      <w:r w:rsidRPr="009C29C2">
        <w:rPr>
          <w:color w:val="000000"/>
          <w:lang w:eastAsia="fr-FR" w:bidi="fr-FR"/>
        </w:rPr>
        <w:t>gé de la promulgation</w:t>
      </w:r>
      <w:r>
        <w:rPr>
          <w:color w:val="000000"/>
          <w:lang w:eastAsia="fr-FR" w:bidi="fr-FR"/>
        </w:rPr>
        <w:t> </w:t>
      </w:r>
      <w:r>
        <w:rPr>
          <w:rStyle w:val="Appelnotedebasdep"/>
        </w:rPr>
        <w:footnoteReference w:id="219"/>
      </w:r>
      <w:r w:rsidRPr="009C29C2">
        <w:rPr>
          <w:color w:val="000000"/>
          <w:lang w:eastAsia="fr-FR" w:bidi="fr-FR"/>
        </w:rPr>
        <w:t>. Il fa</w:t>
      </w:r>
      <w:r w:rsidRPr="009C29C2">
        <w:rPr>
          <w:color w:val="000000"/>
          <w:lang w:eastAsia="fr-FR" w:bidi="fr-FR"/>
        </w:rPr>
        <w:t>l</w:t>
      </w:r>
      <w:r w:rsidRPr="009C29C2">
        <w:rPr>
          <w:color w:val="000000"/>
          <w:lang w:eastAsia="fr-FR" w:bidi="fr-FR"/>
        </w:rPr>
        <w:t>lut reprendre l’affaire l’année suivante. Ce délai ne fut point sans conséquences. D’Ormesson, sur ces entr</w:t>
      </w:r>
      <w:r w:rsidRPr="009C29C2">
        <w:rPr>
          <w:color w:val="000000"/>
          <w:lang w:eastAsia="fr-FR" w:bidi="fr-FR"/>
        </w:rPr>
        <w:t>e</w:t>
      </w:r>
      <w:r w:rsidRPr="009C29C2">
        <w:rPr>
          <w:color w:val="000000"/>
          <w:lang w:eastAsia="fr-FR" w:bidi="fr-FR"/>
        </w:rPr>
        <w:t>faites, s’était décidé à poursuivre l’abolition du parcours en même temps que la liberté des clôt</w:t>
      </w:r>
      <w:r w:rsidRPr="009C29C2">
        <w:rPr>
          <w:color w:val="000000"/>
          <w:lang w:eastAsia="fr-FR" w:bidi="fr-FR"/>
        </w:rPr>
        <w:t>u</w:t>
      </w:r>
      <w:r w:rsidRPr="009C29C2">
        <w:rPr>
          <w:color w:val="000000"/>
          <w:lang w:eastAsia="fr-FR" w:bidi="fr-FR"/>
        </w:rPr>
        <w:t>res. L’édit, tel qu’il fut publié au mois de mai 1768</w:t>
      </w:r>
      <w:r>
        <w:rPr>
          <w:color w:val="000000"/>
          <w:lang w:eastAsia="fr-FR" w:bidi="fr-FR"/>
        </w:rPr>
        <w:t> </w:t>
      </w:r>
      <w:r>
        <w:rPr>
          <w:rStyle w:val="Appelnotedebasdep"/>
        </w:rPr>
        <w:footnoteReference w:id="220"/>
      </w:r>
      <w:r w:rsidRPr="009C29C2">
        <w:rPr>
          <w:color w:val="000000"/>
          <w:lang w:eastAsia="fr-FR" w:bidi="fr-FR"/>
        </w:rPr>
        <w:t>, unit pour la première fois les deux mesures dans une m</w:t>
      </w:r>
      <w:r w:rsidRPr="009C29C2">
        <w:rPr>
          <w:color w:val="000000"/>
          <w:lang w:eastAsia="fr-FR" w:bidi="fr-FR"/>
        </w:rPr>
        <w:t>ê</w:t>
      </w:r>
      <w:r w:rsidRPr="009C29C2">
        <w:rPr>
          <w:color w:val="000000"/>
          <w:lang w:eastAsia="fr-FR" w:bidi="fr-FR"/>
        </w:rPr>
        <w:t>me dispos</w:t>
      </w:r>
      <w:r w:rsidRPr="009C29C2">
        <w:rPr>
          <w:color w:val="000000"/>
          <w:lang w:eastAsia="fr-FR" w:bidi="fr-FR"/>
        </w:rPr>
        <w:t>i</w:t>
      </w:r>
      <w:r w:rsidRPr="009C29C2">
        <w:rPr>
          <w:color w:val="000000"/>
          <w:lang w:eastAsia="fr-FR" w:bidi="fr-FR"/>
        </w:rPr>
        <w:t>tion législative. Le Parlement l’enregistra, mais avec une réserve d’autant plus inqui</w:t>
      </w:r>
      <w:r w:rsidRPr="009C29C2">
        <w:rPr>
          <w:color w:val="000000"/>
          <w:lang w:eastAsia="fr-FR" w:bidi="fr-FR"/>
        </w:rPr>
        <w:t>é</w:t>
      </w:r>
      <w:r w:rsidRPr="009C29C2">
        <w:rPr>
          <w:color w:val="000000"/>
          <w:lang w:eastAsia="fr-FR" w:bidi="fr-FR"/>
        </w:rPr>
        <w:t>tante qu’elle était fort peu claire : « sauf... aux communautés ou autres propriétaires à faire valoir les droits de pât</w:t>
      </w:r>
      <w:r w:rsidRPr="009C29C2">
        <w:rPr>
          <w:color w:val="000000"/>
          <w:lang w:eastAsia="fr-FR" w:bidi="fr-FR"/>
        </w:rPr>
        <w:t>u</w:t>
      </w:r>
      <w:r w:rsidRPr="009C29C2">
        <w:rPr>
          <w:color w:val="000000"/>
          <w:lang w:eastAsia="fr-FR" w:bidi="fr-FR"/>
        </w:rPr>
        <w:t>rage sur les bans voisins qu’ils peuvent avoir à titre particulier ». L’intendant, Calonne, sou</w:t>
      </w:r>
      <w:r w:rsidRPr="009C29C2">
        <w:rPr>
          <w:color w:val="000000"/>
          <w:lang w:eastAsia="fr-FR" w:bidi="fr-FR"/>
        </w:rPr>
        <w:t>p</w:t>
      </w:r>
      <w:r w:rsidRPr="009C29C2">
        <w:rPr>
          <w:color w:val="000000"/>
          <w:lang w:eastAsia="fr-FR" w:bidi="fr-FR"/>
        </w:rPr>
        <w:t>çonnait un moyen de procédure ouvert aux seigneurs qui voudraient « conserver le droit de parcours à leurs tro</w:t>
      </w:r>
      <w:r w:rsidRPr="009C29C2">
        <w:rPr>
          <w:color w:val="000000"/>
          <w:lang w:eastAsia="fr-FR" w:bidi="fr-FR"/>
        </w:rPr>
        <w:t>u</w:t>
      </w:r>
      <w:r w:rsidRPr="009C29C2">
        <w:rPr>
          <w:color w:val="000000"/>
          <w:lang w:eastAsia="fr-FR" w:bidi="fr-FR"/>
        </w:rPr>
        <w:t>peaux ou à ceux de leurs fermiers ». Une longue négociation suivit. Finalement le roi, le 22 janvier 1771, défendit aux communautés et aux propriétaires de r</w:t>
      </w:r>
      <w:r w:rsidRPr="009C29C2">
        <w:rPr>
          <w:color w:val="000000"/>
          <w:lang w:eastAsia="fr-FR" w:bidi="fr-FR"/>
        </w:rPr>
        <w:t>é</w:t>
      </w:r>
      <w:r w:rsidRPr="009C29C2">
        <w:rPr>
          <w:color w:val="000000"/>
          <w:lang w:eastAsia="fr-FR" w:bidi="fr-FR"/>
        </w:rPr>
        <w:t xml:space="preserve">clamer le pâturage « sur les bans voisins », à </w:t>
      </w:r>
      <w:r w:rsidRPr="009C29C2">
        <w:rPr>
          <w:color w:val="000000"/>
          <w:lang w:eastAsia="fr-FR" w:bidi="fr-FR"/>
        </w:rPr>
        <w:lastRenderedPageBreak/>
        <w:t>moins que ce droit ne leur appartînt à titre onéreux ; encore dans ce cas était-il rachetable. Plus maniable que son voisin de Nancy, parce que, composé, à l’origine, d’immigrés, il ne s’appuyait pas, comme lui, sur l’aristocratie locale, le Parlement de Metz avait bien vite r</w:t>
      </w:r>
      <w:r w:rsidRPr="009C29C2">
        <w:rPr>
          <w:color w:val="000000"/>
          <w:lang w:eastAsia="fr-FR" w:bidi="fr-FR"/>
        </w:rPr>
        <w:t>e</w:t>
      </w:r>
      <w:r w:rsidRPr="009C29C2">
        <w:rPr>
          <w:color w:val="000000"/>
          <w:lang w:eastAsia="fr-FR" w:bidi="fr-FR"/>
        </w:rPr>
        <w:t>noncé à sa faible résistance</w:t>
      </w:r>
      <w:r>
        <w:rPr>
          <w:color w:val="000000"/>
          <w:lang w:eastAsia="fr-FR" w:bidi="fr-FR"/>
        </w:rPr>
        <w:t> </w:t>
      </w:r>
      <w:r>
        <w:rPr>
          <w:rStyle w:val="Appelnotedebasdep"/>
        </w:rPr>
        <w:footnoteReference w:id="221"/>
      </w:r>
      <w:r w:rsidRPr="009C29C2">
        <w:rPr>
          <w:color w:val="000000"/>
          <w:lang w:eastAsia="fr-FR" w:bidi="fr-FR"/>
        </w:rPr>
        <w:t>.</w:t>
      </w:r>
    </w:p>
    <w:p w14:paraId="6982497C" w14:textId="77777777" w:rsidR="00B9662D" w:rsidRDefault="00B9662D" w:rsidP="00B9662D">
      <w:pPr>
        <w:spacing w:before="120" w:after="120"/>
        <w:jc w:val="both"/>
      </w:pPr>
      <w:r>
        <w:br w:type="page"/>
      </w:r>
    </w:p>
    <w:p w14:paraId="464A0100" w14:textId="77777777" w:rsidR="00B9662D" w:rsidRPr="009C29C2" w:rsidRDefault="00B9662D" w:rsidP="00B9662D">
      <w:pPr>
        <w:spacing w:before="120" w:after="120"/>
        <w:jc w:val="both"/>
      </w:pPr>
      <w:r>
        <w:t xml:space="preserve">4. </w:t>
      </w:r>
      <w:r w:rsidRPr="0071385C">
        <w:rPr>
          <w:i/>
        </w:rPr>
        <w:t>Franche-Comté</w:t>
      </w:r>
      <w:r>
        <w:t> </w:t>
      </w:r>
      <w:r>
        <w:rPr>
          <w:rStyle w:val="Appelnotedebasdep"/>
        </w:rPr>
        <w:footnoteReference w:id="222"/>
      </w:r>
      <w:r w:rsidRPr="009C29C2">
        <w:t>.</w:t>
      </w:r>
      <w:r>
        <w:rPr>
          <w:color w:val="000000"/>
          <w:lang w:eastAsia="fr-FR" w:bidi="fr-FR"/>
        </w:rPr>
        <w:t> — </w:t>
      </w:r>
      <w:r w:rsidRPr="009C29C2">
        <w:rPr>
          <w:color w:val="000000"/>
          <w:lang w:eastAsia="fr-FR" w:bidi="fr-FR"/>
        </w:rPr>
        <w:t>Sollicité par l’intendant lui-même, M. de La Core, l’édit</w:t>
      </w:r>
      <w:r>
        <w:rPr>
          <w:color w:val="000000"/>
          <w:lang w:eastAsia="fr-FR" w:bidi="fr-FR"/>
        </w:rPr>
        <w:t> — </w:t>
      </w:r>
      <w:r w:rsidRPr="009C29C2">
        <w:rPr>
          <w:color w:val="000000"/>
          <w:lang w:eastAsia="fr-FR" w:bidi="fr-FR"/>
        </w:rPr>
        <w:t>juillet 1768</w:t>
      </w:r>
      <w:r>
        <w:rPr>
          <w:color w:val="000000"/>
          <w:lang w:eastAsia="fr-FR" w:bidi="fr-FR"/>
        </w:rPr>
        <w:t> — </w:t>
      </w:r>
      <w:r w:rsidRPr="009C29C2">
        <w:rPr>
          <w:color w:val="000000"/>
          <w:lang w:eastAsia="fr-FR" w:bidi="fr-FR"/>
        </w:rPr>
        <w:t>fut calqué sur celui des Trois-Évêchés : liberté de clôture, plus de parcours. Mais, là encore, il fallait compter avec le Parlement. Celui-ci, en enregistrant, réserva, en ce qui touchait les clôtures, les droits des seigneurs et des décimateurs ; quant au parcours, il « supplia » le roi de le maintenir. Quel était le sens de la première restriction</w:t>
      </w:r>
      <w:r>
        <w:rPr>
          <w:color w:val="000000"/>
          <w:lang w:eastAsia="fr-FR" w:bidi="fr-FR"/>
        </w:rPr>
        <w:t> </w:t>
      </w:r>
      <w:r>
        <w:rPr>
          <w:rStyle w:val="Appelnotedebasdep"/>
        </w:rPr>
        <w:footnoteReference w:id="223"/>
      </w:r>
      <w:r w:rsidRPr="009C29C2">
        <w:rPr>
          <w:color w:val="000000"/>
          <w:lang w:eastAsia="fr-FR" w:bidi="fr-FR"/>
        </w:rPr>
        <w:t> ? L’intendant pensait qu’elle avait pour objet de conserver aux seigneurs le droit d’envoyer paître leurs troupeaux sur les prairies de leurs tenanciers, après la première herbe, sans tenir compte des fermetures.</w:t>
      </w:r>
      <w:r>
        <w:t>[629]</w:t>
      </w:r>
      <w:r w:rsidRPr="009C29C2">
        <w:rPr>
          <w:color w:val="000000"/>
          <w:lang w:eastAsia="fr-FR" w:bidi="fr-FR"/>
        </w:rPr>
        <w:t xml:space="preserve"> Il est certain que, en dépit de l’édit, non seulement les seigneurs, mais encore plusieurs communa</w:t>
      </w:r>
      <w:r w:rsidRPr="009C29C2">
        <w:rPr>
          <w:color w:val="000000"/>
          <w:lang w:eastAsia="fr-FR" w:bidi="fr-FR"/>
        </w:rPr>
        <w:t>u</w:t>
      </w:r>
      <w:r w:rsidRPr="009C29C2">
        <w:rPr>
          <w:color w:val="000000"/>
          <w:lang w:eastAsia="fr-FR" w:bidi="fr-FR"/>
        </w:rPr>
        <w:t>tés continuèrent en fait à exercer leur droit au regain, sur les prés clos comme sur les prés o</w:t>
      </w:r>
      <w:r w:rsidRPr="009C29C2">
        <w:rPr>
          <w:color w:val="000000"/>
          <w:lang w:eastAsia="fr-FR" w:bidi="fr-FR"/>
        </w:rPr>
        <w:t>u</w:t>
      </w:r>
      <w:r w:rsidRPr="009C29C2">
        <w:rPr>
          <w:color w:val="000000"/>
          <w:lang w:eastAsia="fr-FR" w:bidi="fr-FR"/>
        </w:rPr>
        <w:t>verts</w:t>
      </w:r>
      <w:r>
        <w:rPr>
          <w:color w:val="000000"/>
          <w:lang w:eastAsia="fr-FR" w:bidi="fr-FR"/>
        </w:rPr>
        <w:t> </w:t>
      </w:r>
      <w:r>
        <w:rPr>
          <w:rStyle w:val="Appelnotedebasdep"/>
        </w:rPr>
        <w:footnoteReference w:id="224"/>
      </w:r>
      <w:r w:rsidRPr="009C29C2">
        <w:rPr>
          <w:color w:val="000000"/>
          <w:lang w:eastAsia="fr-FR" w:bidi="fr-FR"/>
        </w:rPr>
        <w:t>. Par ailleurs, le problème du parcours donna lieu à un conflit de juridiction entre le Parlement et le Conseil privé, le second jugeant conformément à l’édit, le premier s’efforçant de maintenir l’antique usage</w:t>
      </w:r>
      <w:r>
        <w:rPr>
          <w:color w:val="000000"/>
          <w:lang w:eastAsia="fr-FR" w:bidi="fr-FR"/>
        </w:rPr>
        <w:t> </w:t>
      </w:r>
      <w:r>
        <w:rPr>
          <w:rStyle w:val="Appelnotedebasdep"/>
        </w:rPr>
        <w:footnoteReference w:id="225"/>
      </w:r>
      <w:r w:rsidRPr="009C29C2">
        <w:rPr>
          <w:color w:val="000000"/>
          <w:lang w:eastAsia="fr-FR" w:bidi="fr-FR"/>
        </w:rPr>
        <w:t>. Les bureaux de l’intendance et ceux du Contrôle général im</w:t>
      </w:r>
      <w:r w:rsidRPr="009C29C2">
        <w:rPr>
          <w:color w:val="000000"/>
          <w:lang w:eastAsia="fr-FR" w:bidi="fr-FR"/>
        </w:rPr>
        <w:t>a</w:t>
      </w:r>
      <w:r w:rsidRPr="009C29C2">
        <w:rPr>
          <w:color w:val="000000"/>
          <w:lang w:eastAsia="fr-FR" w:bidi="fr-FR"/>
        </w:rPr>
        <w:t>ginèrent plusieurs projets destinés à mettre fin à ces abus ; on allait jusqu’à admettre le rachat du droit de secondes herbes</w:t>
      </w:r>
      <w:r>
        <w:rPr>
          <w:color w:val="000000"/>
          <w:lang w:eastAsia="fr-FR" w:bidi="fr-FR"/>
        </w:rPr>
        <w:t> </w:t>
      </w:r>
      <w:r>
        <w:rPr>
          <w:rStyle w:val="Appelnotedebasdep"/>
        </w:rPr>
        <w:footnoteReference w:id="226"/>
      </w:r>
      <w:r w:rsidRPr="009C29C2">
        <w:rPr>
          <w:color w:val="000000"/>
          <w:lang w:eastAsia="fr-FR" w:bidi="fr-FR"/>
        </w:rPr>
        <w:t>. Mais aucune de ces ébauches n’aboutit. Dans deux de ses dispositions essentielles, la loi de 1768, en Franche-Comté, demeura à peu près lettre morte</w:t>
      </w:r>
      <w:r>
        <w:rPr>
          <w:color w:val="000000"/>
          <w:lang w:eastAsia="fr-FR" w:bidi="fr-FR"/>
        </w:rPr>
        <w:t> </w:t>
      </w:r>
      <w:r>
        <w:rPr>
          <w:rStyle w:val="Appelnotedebasdep"/>
        </w:rPr>
        <w:footnoteReference w:id="227"/>
      </w:r>
      <w:r w:rsidRPr="009C29C2">
        <w:rPr>
          <w:color w:val="000000"/>
          <w:lang w:eastAsia="fr-FR" w:bidi="fr-FR"/>
        </w:rPr>
        <w:t>.</w:t>
      </w:r>
    </w:p>
    <w:p w14:paraId="20152682" w14:textId="77777777" w:rsidR="00B9662D" w:rsidRDefault="00B9662D" w:rsidP="00B9662D">
      <w:pPr>
        <w:spacing w:before="120" w:after="120"/>
        <w:jc w:val="both"/>
      </w:pPr>
    </w:p>
    <w:p w14:paraId="667303F8" w14:textId="77777777" w:rsidR="00B9662D" w:rsidRPr="009C29C2" w:rsidRDefault="00B9662D" w:rsidP="00B9662D">
      <w:pPr>
        <w:spacing w:before="120" w:after="120"/>
        <w:jc w:val="both"/>
      </w:pPr>
      <w:r>
        <w:t xml:space="preserve">5. </w:t>
      </w:r>
      <w:r w:rsidRPr="0071385C">
        <w:rPr>
          <w:i/>
        </w:rPr>
        <w:t>Champagne</w:t>
      </w:r>
      <w:r w:rsidRPr="009C29C2">
        <w:t>.</w:t>
      </w:r>
      <w:r>
        <w:rPr>
          <w:color w:val="000000"/>
          <w:lang w:eastAsia="fr-FR" w:bidi="fr-FR"/>
        </w:rPr>
        <w:t> — </w:t>
      </w:r>
      <w:r w:rsidRPr="009C29C2">
        <w:rPr>
          <w:color w:val="000000"/>
          <w:lang w:eastAsia="fr-FR" w:bidi="fr-FR"/>
        </w:rPr>
        <w:t>Là aussi, l’intendant, Rouillé d’Orfeuil, était un ami du progrès</w:t>
      </w:r>
      <w:r>
        <w:rPr>
          <w:color w:val="000000"/>
          <w:lang w:eastAsia="fr-FR" w:bidi="fr-FR"/>
        </w:rPr>
        <w:t> </w:t>
      </w:r>
      <w:r>
        <w:rPr>
          <w:rStyle w:val="Appelnotedebasdep"/>
        </w:rPr>
        <w:footnoteReference w:id="228"/>
      </w:r>
      <w:r w:rsidRPr="009C29C2">
        <w:rPr>
          <w:color w:val="000000"/>
          <w:lang w:eastAsia="fr-FR" w:bidi="fr-FR"/>
        </w:rPr>
        <w:t>. Dès le 11 mars 1768, il réclamait une déclaration analogue à l’édit lorrain. Le projet fut établi dans le courant de l’été, mais sur le modèle de l’édit des Trois-Évêchés, c’est-à-dire à la liberté de clore joignant l’abolition du parcours, que l’intendant n’avait pas demandée et qui lui semblait un peu inquiétante</w:t>
      </w:r>
      <w:r>
        <w:rPr>
          <w:color w:val="000000"/>
          <w:lang w:eastAsia="fr-FR" w:bidi="fr-FR"/>
        </w:rPr>
        <w:t> </w:t>
      </w:r>
      <w:r>
        <w:rPr>
          <w:rStyle w:val="Appelnotedebasdep"/>
        </w:rPr>
        <w:footnoteReference w:id="229"/>
      </w:r>
      <w:r w:rsidRPr="009C29C2">
        <w:rPr>
          <w:color w:val="000000"/>
          <w:lang w:eastAsia="fr-FR" w:bidi="fr-FR"/>
        </w:rPr>
        <w:t>. Mais il fallait so</w:t>
      </w:r>
      <w:r w:rsidRPr="009C29C2">
        <w:rPr>
          <w:color w:val="000000"/>
          <w:lang w:eastAsia="fr-FR" w:bidi="fr-FR"/>
        </w:rPr>
        <w:t>n</w:t>
      </w:r>
      <w:r w:rsidRPr="009C29C2">
        <w:rPr>
          <w:color w:val="000000"/>
          <w:lang w:eastAsia="fr-FR" w:bidi="fr-FR"/>
        </w:rPr>
        <w:t>ger au Parlement, en l’espèce le Parlement de Paris. Pour la première fois, cette illustre compagnie allait se prononcer sur la politique de d’Ormesson. En août, le projet fut communiqué au Premier Président Maupeou et au Procureur général Joly de Fleury</w:t>
      </w:r>
      <w:r>
        <w:rPr>
          <w:color w:val="000000"/>
          <w:lang w:eastAsia="fr-FR" w:bidi="fr-FR"/>
        </w:rPr>
        <w:t> </w:t>
      </w:r>
      <w:r>
        <w:rPr>
          <w:rStyle w:val="Appelnotedebasdep"/>
        </w:rPr>
        <w:footnoteReference w:id="230"/>
      </w:r>
      <w:r w:rsidRPr="009C29C2">
        <w:rPr>
          <w:color w:val="000000"/>
          <w:lang w:eastAsia="fr-FR" w:bidi="fr-FR"/>
        </w:rPr>
        <w:t>. Fut-ce reconnai</w:t>
      </w:r>
      <w:r w:rsidRPr="009C29C2">
        <w:rPr>
          <w:color w:val="000000"/>
          <w:lang w:eastAsia="fr-FR" w:bidi="fr-FR"/>
        </w:rPr>
        <w:t>s</w:t>
      </w:r>
      <w:r w:rsidRPr="009C29C2">
        <w:rPr>
          <w:color w:val="000000"/>
          <w:lang w:eastAsia="fr-FR" w:bidi="fr-FR"/>
        </w:rPr>
        <w:t>sance pour ces égards ? ou le motif d’opportunité invoqué pour mettre en harmonie la législation champenoise avec celle des provinces lim</w:t>
      </w:r>
      <w:r w:rsidRPr="009C29C2">
        <w:rPr>
          <w:color w:val="000000"/>
          <w:lang w:eastAsia="fr-FR" w:bidi="fr-FR"/>
        </w:rPr>
        <w:t>i</w:t>
      </w:r>
      <w:r w:rsidRPr="009C29C2">
        <w:rPr>
          <w:color w:val="000000"/>
          <w:lang w:eastAsia="fr-FR" w:bidi="fr-FR"/>
        </w:rPr>
        <w:t>trophes entraîna-t-il la conviction ? Ces deux magistrats ne firent que d’assez molles objections ; ils réservèrent leurs critiques à une disp</w:t>
      </w:r>
      <w:r w:rsidRPr="009C29C2">
        <w:rPr>
          <w:color w:val="000000"/>
          <w:lang w:eastAsia="fr-FR" w:bidi="fr-FR"/>
        </w:rPr>
        <w:t>o</w:t>
      </w:r>
      <w:r w:rsidRPr="009C29C2">
        <w:rPr>
          <w:color w:val="000000"/>
          <w:lang w:eastAsia="fr-FR" w:bidi="fr-FR"/>
        </w:rPr>
        <w:t>sition de procédure, dont ils obtinrent aisément la suppression. Rendu en mars 1769, l’édit fut paisiblement enregistré le mois suivant</w:t>
      </w:r>
      <w:r>
        <w:rPr>
          <w:color w:val="000000"/>
          <w:lang w:eastAsia="fr-FR" w:bidi="fr-FR"/>
        </w:rPr>
        <w:t> </w:t>
      </w:r>
      <w:r>
        <w:rPr>
          <w:rStyle w:val="Appelnotedebasdep"/>
        </w:rPr>
        <w:footnoteReference w:id="231"/>
      </w:r>
      <w:r w:rsidRPr="009C29C2">
        <w:rPr>
          <w:color w:val="000000"/>
          <w:lang w:eastAsia="fr-FR" w:bidi="fr-FR"/>
        </w:rPr>
        <w:t>.</w:t>
      </w:r>
    </w:p>
    <w:p w14:paraId="656C2A84" w14:textId="77777777" w:rsidR="00B9662D" w:rsidRDefault="00B9662D" w:rsidP="00B9662D">
      <w:pPr>
        <w:spacing w:before="120" w:after="120"/>
        <w:jc w:val="both"/>
      </w:pPr>
    </w:p>
    <w:p w14:paraId="01A7F99A" w14:textId="77777777" w:rsidR="00B9662D" w:rsidRPr="009C29C2" w:rsidRDefault="00B9662D" w:rsidP="00B9662D">
      <w:pPr>
        <w:spacing w:before="120" w:after="120"/>
        <w:jc w:val="both"/>
      </w:pPr>
      <w:r>
        <w:t xml:space="preserve">6. </w:t>
      </w:r>
      <w:r w:rsidRPr="0071385C">
        <w:rPr>
          <w:i/>
        </w:rPr>
        <w:t>Barrois ressortissant au Parlement de Paris</w:t>
      </w:r>
      <w:r w:rsidRPr="009C29C2">
        <w:t>.</w:t>
      </w:r>
      <w:r>
        <w:rPr>
          <w:color w:val="000000"/>
          <w:lang w:eastAsia="fr-FR" w:bidi="fr-FR"/>
        </w:rPr>
        <w:t> — </w:t>
      </w:r>
      <w:r w:rsidRPr="009C29C2">
        <w:rPr>
          <w:color w:val="000000"/>
          <w:lang w:eastAsia="fr-FR" w:bidi="fr-FR"/>
        </w:rPr>
        <w:t>Une partie du duché de Rar, formant le bailliage de La Marche, dépendait du Parl</w:t>
      </w:r>
      <w:r w:rsidRPr="009C29C2">
        <w:rPr>
          <w:color w:val="000000"/>
          <w:lang w:eastAsia="fr-FR" w:bidi="fr-FR"/>
        </w:rPr>
        <w:t>e</w:t>
      </w:r>
      <w:r w:rsidRPr="009C29C2">
        <w:rPr>
          <w:color w:val="000000"/>
          <w:lang w:eastAsia="fr-FR" w:bidi="fr-FR"/>
        </w:rPr>
        <w:t>ment de Paris. L’édit du 11 juin 1767 ne s’y appliquait point. Situation d’autant plus incommode que, depuis l’édit champenois, ce territoire se trouvait</w:t>
      </w:r>
      <w:r>
        <w:rPr>
          <w:color w:val="000000"/>
          <w:lang w:eastAsia="fr-FR" w:bidi="fr-FR"/>
        </w:rPr>
        <w:t xml:space="preserve"> </w:t>
      </w:r>
      <w:r>
        <w:t xml:space="preserve">[630] </w:t>
      </w:r>
      <w:r w:rsidRPr="009C29C2">
        <w:rPr>
          <w:color w:val="000000"/>
          <w:lang w:eastAsia="fr-FR" w:bidi="fr-FR"/>
        </w:rPr>
        <w:t>enclavé de toutes parts dans des contrées de libre cl</w:t>
      </w:r>
      <w:r w:rsidRPr="009C29C2">
        <w:rPr>
          <w:color w:val="000000"/>
          <w:lang w:eastAsia="fr-FR" w:bidi="fr-FR"/>
        </w:rPr>
        <w:t>ô</w:t>
      </w:r>
      <w:r w:rsidRPr="009C29C2">
        <w:rPr>
          <w:color w:val="000000"/>
          <w:lang w:eastAsia="fr-FR" w:bidi="fr-FR"/>
        </w:rPr>
        <w:t>ture. Les off</w:t>
      </w:r>
      <w:r w:rsidRPr="009C29C2">
        <w:rPr>
          <w:color w:val="000000"/>
          <w:lang w:eastAsia="fr-FR" w:bidi="fr-FR"/>
        </w:rPr>
        <w:t>i</w:t>
      </w:r>
      <w:r w:rsidRPr="009C29C2">
        <w:rPr>
          <w:color w:val="000000"/>
          <w:lang w:eastAsia="fr-FR" w:bidi="fr-FR"/>
        </w:rPr>
        <w:t>ciers du bailliage s’émurent ; ils saisirent de la question le Procureur général Joly de Fleury, qui, à son tour, sollicita du Con</w:t>
      </w:r>
      <w:r w:rsidRPr="009C29C2">
        <w:rPr>
          <w:color w:val="000000"/>
          <w:lang w:eastAsia="fr-FR" w:bidi="fr-FR"/>
        </w:rPr>
        <w:lastRenderedPageBreak/>
        <w:t>trôleur général une loi propre à ce petit canton. Ce fut l’édit d’août 1769</w:t>
      </w:r>
      <w:r>
        <w:rPr>
          <w:color w:val="000000"/>
          <w:lang w:eastAsia="fr-FR" w:bidi="fr-FR"/>
        </w:rPr>
        <w:t> </w:t>
      </w:r>
      <w:r>
        <w:rPr>
          <w:rStyle w:val="Appelnotedebasdep"/>
        </w:rPr>
        <w:footnoteReference w:id="232"/>
      </w:r>
      <w:r w:rsidRPr="009C29C2">
        <w:rPr>
          <w:color w:val="000000"/>
          <w:lang w:eastAsia="fr-FR" w:bidi="fr-FR"/>
        </w:rPr>
        <w:t>. Mais, re</w:t>
      </w:r>
      <w:r w:rsidRPr="009C29C2">
        <w:rPr>
          <w:color w:val="000000"/>
          <w:lang w:eastAsia="fr-FR" w:bidi="fr-FR"/>
        </w:rPr>
        <w:t>n</w:t>
      </w:r>
      <w:r w:rsidRPr="009C29C2">
        <w:rPr>
          <w:color w:val="000000"/>
          <w:lang w:eastAsia="fr-FR" w:bidi="fr-FR"/>
        </w:rPr>
        <w:t>du sur le modèle alors courant, ce texte n’autorisait pas seulement les enclos, comme dans le reste du Barrois ; il abolissait le parcours, comme en Champagne. D’où de nouvelles difficultés sur les frontières des ressorts des deux Cours de Paris et de Nancy.</w:t>
      </w:r>
    </w:p>
    <w:p w14:paraId="241F2EC9" w14:textId="77777777" w:rsidR="00B9662D" w:rsidRDefault="00B9662D" w:rsidP="00B9662D">
      <w:pPr>
        <w:spacing w:before="120" w:after="120"/>
        <w:jc w:val="both"/>
      </w:pPr>
    </w:p>
    <w:p w14:paraId="5B52A471" w14:textId="77777777" w:rsidR="00B9662D" w:rsidRPr="009C29C2" w:rsidRDefault="00B9662D" w:rsidP="00B9662D">
      <w:pPr>
        <w:spacing w:before="120" w:after="120"/>
        <w:jc w:val="both"/>
      </w:pPr>
      <w:r>
        <w:t xml:space="preserve">7. </w:t>
      </w:r>
      <w:r w:rsidRPr="0071385C">
        <w:rPr>
          <w:i/>
        </w:rPr>
        <w:t>Roussillon</w:t>
      </w:r>
      <w:r w:rsidRPr="0071385C">
        <w:rPr>
          <w:i/>
          <w:color w:val="000000"/>
          <w:lang w:eastAsia="fr-FR" w:bidi="fr-FR"/>
        </w:rPr>
        <w:t xml:space="preserve">, </w:t>
      </w:r>
      <w:r w:rsidRPr="0071385C">
        <w:rPr>
          <w:i/>
        </w:rPr>
        <w:t>Confient et Cerdagne</w:t>
      </w:r>
      <w:r w:rsidRPr="009C29C2">
        <w:t>.</w:t>
      </w:r>
      <w:r>
        <w:rPr>
          <w:color w:val="000000"/>
          <w:lang w:eastAsia="fr-FR" w:bidi="fr-FR"/>
        </w:rPr>
        <w:t> — </w:t>
      </w:r>
      <w:r w:rsidRPr="009C29C2">
        <w:rPr>
          <w:color w:val="000000"/>
          <w:lang w:eastAsia="fr-FR" w:bidi="fr-FR"/>
        </w:rPr>
        <w:t>L’édit, portant à la fois l</w:t>
      </w:r>
      <w:r w:rsidRPr="009C29C2">
        <w:rPr>
          <w:color w:val="000000"/>
          <w:lang w:eastAsia="fr-FR" w:bidi="fr-FR"/>
        </w:rPr>
        <w:t>i</w:t>
      </w:r>
      <w:r w:rsidRPr="009C29C2">
        <w:rPr>
          <w:color w:val="000000"/>
          <w:lang w:eastAsia="fr-FR" w:bidi="fr-FR"/>
        </w:rPr>
        <w:t>berté de clore et abolition du parcours, fut publié en juillet 1769, et enregistré sans difficulté</w:t>
      </w:r>
      <w:r>
        <w:rPr>
          <w:color w:val="000000"/>
          <w:lang w:eastAsia="fr-FR" w:bidi="fr-FR"/>
        </w:rPr>
        <w:t> </w:t>
      </w:r>
      <w:r>
        <w:rPr>
          <w:rStyle w:val="Appelnotedebasdep"/>
        </w:rPr>
        <w:footnoteReference w:id="233"/>
      </w:r>
      <w:r w:rsidRPr="009C29C2">
        <w:rPr>
          <w:color w:val="000000"/>
          <w:lang w:eastAsia="fr-FR" w:bidi="fr-FR"/>
        </w:rPr>
        <w:t>.</w:t>
      </w:r>
    </w:p>
    <w:p w14:paraId="0C7B7D13" w14:textId="77777777" w:rsidR="00B9662D" w:rsidRDefault="00B9662D" w:rsidP="00B9662D">
      <w:pPr>
        <w:spacing w:before="120" w:after="120"/>
        <w:jc w:val="both"/>
      </w:pPr>
    </w:p>
    <w:p w14:paraId="787A00FD" w14:textId="77777777" w:rsidR="00B9662D" w:rsidRPr="009C29C2" w:rsidRDefault="00B9662D" w:rsidP="00B9662D">
      <w:pPr>
        <w:spacing w:before="120" w:after="120"/>
        <w:jc w:val="both"/>
      </w:pPr>
      <w:r>
        <w:t xml:space="preserve">8. </w:t>
      </w:r>
      <w:r w:rsidRPr="0071385C">
        <w:rPr>
          <w:i/>
        </w:rPr>
        <w:t>Duché de Bourgogne</w:t>
      </w:r>
      <w:r w:rsidRPr="009C29C2">
        <w:rPr>
          <w:color w:val="000000"/>
          <w:lang w:eastAsia="fr-FR" w:bidi="fr-FR"/>
        </w:rPr>
        <w:t>.</w:t>
      </w:r>
      <w:r>
        <w:rPr>
          <w:color w:val="000000"/>
          <w:lang w:eastAsia="fr-FR" w:bidi="fr-FR"/>
        </w:rPr>
        <w:t> — </w:t>
      </w:r>
      <w:r w:rsidRPr="009C29C2">
        <w:rPr>
          <w:color w:val="000000"/>
          <w:lang w:eastAsia="fr-FR" w:bidi="fr-FR"/>
        </w:rPr>
        <w:t>Ici, comme en Béarn, l’initiative vint des États, surtout de leur secrétaire en chef Varenne de Béost. Dès 1760, ils chargeaient leurs syndics généraux de solliter une loi acco</w:t>
      </w:r>
      <w:r w:rsidRPr="009C29C2">
        <w:rPr>
          <w:color w:val="000000"/>
          <w:lang w:eastAsia="fr-FR" w:bidi="fr-FR"/>
        </w:rPr>
        <w:t>r</w:t>
      </w:r>
      <w:r w:rsidRPr="009C29C2">
        <w:rPr>
          <w:color w:val="000000"/>
          <w:lang w:eastAsia="fr-FR" w:bidi="fr-FR"/>
        </w:rPr>
        <w:t>dant à tout particulier le droit de clore, dans chaque p</w:t>
      </w:r>
      <w:r>
        <w:rPr>
          <w:color w:val="000000"/>
          <w:lang w:eastAsia="fr-FR" w:bidi="fr-FR"/>
        </w:rPr>
        <w:t>aroisse, le quart de ses biens-</w:t>
      </w:r>
      <w:r w:rsidRPr="009C29C2">
        <w:rPr>
          <w:color w:val="000000"/>
          <w:lang w:eastAsia="fr-FR" w:bidi="fr-FR"/>
        </w:rPr>
        <w:t>fonds ; ils n’osaient pas aller plus loin,</w:t>
      </w:r>
      <w:r>
        <w:rPr>
          <w:color w:val="000000"/>
          <w:lang w:eastAsia="fr-FR" w:bidi="fr-FR"/>
        </w:rPr>
        <w:t xml:space="preserve"> craignant, dit l’intendant, d’</w:t>
      </w:r>
      <w:r w:rsidRPr="009C29C2">
        <w:rPr>
          <w:color w:val="000000"/>
          <w:lang w:eastAsia="fr-FR" w:bidi="fr-FR"/>
        </w:rPr>
        <w:t>« effaroucher ceux qui, faute de connaissance ou de r</w:t>
      </w:r>
      <w:r w:rsidRPr="009C29C2">
        <w:rPr>
          <w:color w:val="000000"/>
          <w:lang w:eastAsia="fr-FR" w:bidi="fr-FR"/>
        </w:rPr>
        <w:t>é</w:t>
      </w:r>
      <w:r w:rsidRPr="009C29C2">
        <w:rPr>
          <w:color w:val="000000"/>
          <w:lang w:eastAsia="fr-FR" w:bidi="fr-FR"/>
        </w:rPr>
        <w:t>flexions, tiendroient encore aux anciens préjugés »</w:t>
      </w:r>
      <w:r>
        <w:rPr>
          <w:color w:val="000000"/>
          <w:lang w:eastAsia="fr-FR" w:bidi="fr-FR"/>
        </w:rPr>
        <w:t> </w:t>
      </w:r>
      <w:r>
        <w:rPr>
          <w:rStyle w:val="Appelnotedebasdep"/>
        </w:rPr>
        <w:footnoteReference w:id="234"/>
      </w:r>
      <w:r w:rsidRPr="009C29C2">
        <w:rPr>
          <w:color w:val="000000"/>
          <w:lang w:eastAsia="fr-FR" w:bidi="fr-FR"/>
        </w:rPr>
        <w:t>. Malgré des d</w:t>
      </w:r>
      <w:r w:rsidRPr="009C29C2">
        <w:rPr>
          <w:color w:val="000000"/>
          <w:lang w:eastAsia="fr-FR" w:bidi="fr-FR"/>
        </w:rPr>
        <w:t>e</w:t>
      </w:r>
      <w:r w:rsidRPr="009C29C2">
        <w:rPr>
          <w:color w:val="000000"/>
          <w:lang w:eastAsia="fr-FR" w:bidi="fr-FR"/>
        </w:rPr>
        <w:t>mandes répétées</w:t>
      </w:r>
      <w:r>
        <w:rPr>
          <w:color w:val="000000"/>
          <w:lang w:eastAsia="fr-FR" w:bidi="fr-FR"/>
        </w:rPr>
        <w:t> </w:t>
      </w:r>
      <w:r>
        <w:rPr>
          <w:rStyle w:val="Appelnotedebasdep"/>
        </w:rPr>
        <w:footnoteReference w:id="235"/>
      </w:r>
      <w:r w:rsidRPr="009C29C2">
        <w:rPr>
          <w:color w:val="000000"/>
          <w:lang w:eastAsia="fr-FR" w:bidi="fr-FR"/>
        </w:rPr>
        <w:t>, d’Ormesson ne saisit qu’en mai 1769 le Parlement de Dijon, en lui faisant tenir à la fois les requêtes des États et l’édit champenois. La Cour, plus radicale que les États, exprima ses préf</w:t>
      </w:r>
      <w:r w:rsidRPr="009C29C2">
        <w:rPr>
          <w:color w:val="000000"/>
          <w:lang w:eastAsia="fr-FR" w:bidi="fr-FR"/>
        </w:rPr>
        <w:t>é</w:t>
      </w:r>
      <w:r w:rsidRPr="009C29C2">
        <w:rPr>
          <w:color w:val="000000"/>
          <w:lang w:eastAsia="fr-FR" w:bidi="fr-FR"/>
        </w:rPr>
        <w:t xml:space="preserve">rences pour une liberté de clôture illimitée ; elle craignait que, vu l’influence exercée sur les assemblées villageoises par « les seigneurs, </w:t>
      </w:r>
      <w:r w:rsidRPr="009C29C2">
        <w:rPr>
          <w:color w:val="000000"/>
          <w:lang w:eastAsia="fr-FR" w:bidi="fr-FR"/>
        </w:rPr>
        <w:lastRenderedPageBreak/>
        <w:t>les forains et les principaux habitants », la restriction au quart ne fût en fait imposée qu’aux petits propriétaires ; ceux-ci, d’ailleurs, ne pourraient jamais mettre à profit la faculté qui leur serait octroyée, le quart de leurs propriétés représentant une surface trop peu considér</w:t>
      </w:r>
      <w:r w:rsidRPr="009C29C2">
        <w:rPr>
          <w:color w:val="000000"/>
          <w:lang w:eastAsia="fr-FR" w:bidi="fr-FR"/>
        </w:rPr>
        <w:t>a</w:t>
      </w:r>
      <w:r w:rsidRPr="009C29C2">
        <w:rPr>
          <w:color w:val="000000"/>
          <w:lang w:eastAsia="fr-FR" w:bidi="fr-FR"/>
        </w:rPr>
        <w:t>ble pour mériter la dépense d’une clôture. En revanche, le Parlement s’opposait résolument à la suppression du parcours ; il la jugeait i</w:t>
      </w:r>
      <w:r w:rsidRPr="009C29C2">
        <w:rPr>
          <w:color w:val="000000"/>
          <w:lang w:eastAsia="fr-FR" w:bidi="fr-FR"/>
        </w:rPr>
        <w:t>m</w:t>
      </w:r>
      <w:r w:rsidRPr="009C29C2">
        <w:rPr>
          <w:color w:val="000000"/>
          <w:lang w:eastAsia="fr-FR" w:bidi="fr-FR"/>
        </w:rPr>
        <w:t>praticable en Bourgogne, surtout à cause des communautés du vign</w:t>
      </w:r>
      <w:r w:rsidRPr="009C29C2">
        <w:rPr>
          <w:color w:val="000000"/>
          <w:lang w:eastAsia="fr-FR" w:bidi="fr-FR"/>
        </w:rPr>
        <w:t>o</w:t>
      </w:r>
      <w:r w:rsidRPr="009C29C2">
        <w:rPr>
          <w:color w:val="000000"/>
          <w:lang w:eastAsia="fr-FR" w:bidi="fr-FR"/>
        </w:rPr>
        <w:t>ble qui, dépourvues de pâquis et ne tirant que peu de profit de la vaine pâture, puisque les vignes étaient toutes fermées, ne pouvaient faire vivre leurs troupeaux qu’en les envoyant sur les bans voisins. L’édit définitif, rendu au mois d’août 1770, enregistré le 18 décembre, fut conforme aux désirs du Parlement : liberté de clôture, maintien</w:t>
      </w:r>
      <w:r>
        <w:rPr>
          <w:color w:val="000000"/>
          <w:lang w:eastAsia="fr-FR" w:bidi="fr-FR"/>
        </w:rPr>
        <w:t> — </w:t>
      </w:r>
      <w:r w:rsidRPr="009C29C2">
        <w:rPr>
          <w:color w:val="000000"/>
          <w:lang w:eastAsia="fr-FR" w:bidi="fr-FR"/>
        </w:rPr>
        <w:t>par prétérition</w:t>
      </w:r>
      <w:r>
        <w:rPr>
          <w:color w:val="000000"/>
          <w:lang w:eastAsia="fr-FR" w:bidi="fr-FR"/>
        </w:rPr>
        <w:t> — </w:t>
      </w:r>
      <w:r w:rsidRPr="009C29C2">
        <w:rPr>
          <w:color w:val="000000"/>
          <w:lang w:eastAsia="fr-FR" w:bidi="fr-FR"/>
        </w:rPr>
        <w:t>du parcours. Le pouvoir central s’était, par avance, plié aux vœux de la plus puissante autorité provinciale.</w:t>
      </w:r>
    </w:p>
    <w:p w14:paraId="7B84E7DC" w14:textId="77777777" w:rsidR="00B9662D" w:rsidRPr="009C29C2" w:rsidRDefault="00B9662D" w:rsidP="00B9662D">
      <w:pPr>
        <w:spacing w:before="120" w:after="120"/>
        <w:jc w:val="both"/>
      </w:pPr>
      <w:r>
        <w:t>[</w:t>
      </w:r>
      <w:r w:rsidRPr="009C29C2">
        <w:rPr>
          <w:color w:val="000000"/>
          <w:lang w:eastAsia="fr-FR" w:bidi="fr-FR"/>
        </w:rPr>
        <w:t>631</w:t>
      </w:r>
      <w:r>
        <w:rPr>
          <w:color w:val="000000"/>
          <w:lang w:eastAsia="fr-FR" w:bidi="fr-FR"/>
        </w:rPr>
        <w:t>]</w:t>
      </w:r>
    </w:p>
    <w:p w14:paraId="34BFF02A" w14:textId="77777777" w:rsidR="00B9662D" w:rsidRDefault="00B9662D" w:rsidP="00B9662D">
      <w:pPr>
        <w:spacing w:before="120" w:after="120"/>
        <w:jc w:val="both"/>
        <w:rPr>
          <w:color w:val="000000"/>
          <w:lang w:eastAsia="fr-FR" w:bidi="fr-FR"/>
        </w:rPr>
      </w:pPr>
    </w:p>
    <w:p w14:paraId="426D3DDF" w14:textId="77777777" w:rsidR="00B9662D" w:rsidRPr="009C29C2" w:rsidRDefault="00B9662D" w:rsidP="00B9662D">
      <w:pPr>
        <w:spacing w:before="120" w:after="120"/>
        <w:jc w:val="both"/>
      </w:pPr>
      <w:r>
        <w:rPr>
          <w:color w:val="000000"/>
          <w:lang w:eastAsia="fr-FR" w:bidi="fr-FR"/>
        </w:rPr>
        <w:t>9. </w:t>
      </w:r>
      <w:r w:rsidRPr="0071385C">
        <w:rPr>
          <w:i/>
        </w:rPr>
        <w:t>Comtés de Maçonnais</w:t>
      </w:r>
      <w:r w:rsidRPr="0071385C">
        <w:rPr>
          <w:i/>
          <w:color w:val="000000"/>
          <w:lang w:eastAsia="fr-FR" w:bidi="fr-FR"/>
        </w:rPr>
        <w:t xml:space="preserve">, </w:t>
      </w:r>
      <w:r w:rsidRPr="0071385C">
        <w:rPr>
          <w:i/>
        </w:rPr>
        <w:t>Auxerrois et Bar-sur-Seine</w:t>
      </w:r>
      <w:r w:rsidRPr="009C29C2">
        <w:t>.</w:t>
      </w:r>
      <w:r>
        <w:rPr>
          <w:color w:val="000000"/>
          <w:lang w:eastAsia="fr-FR" w:bidi="fr-FR"/>
        </w:rPr>
        <w:t> — </w:t>
      </w:r>
      <w:r w:rsidRPr="009C29C2">
        <w:rPr>
          <w:color w:val="000000"/>
          <w:lang w:eastAsia="fr-FR" w:bidi="fr-FR"/>
        </w:rPr>
        <w:t>Dépendant de la Généralité de Dijon et députant aux « États Gén</w:t>
      </w:r>
      <w:r w:rsidRPr="009C29C2">
        <w:rPr>
          <w:color w:val="000000"/>
          <w:lang w:eastAsia="fr-FR" w:bidi="fr-FR"/>
        </w:rPr>
        <w:t>é</w:t>
      </w:r>
      <w:r w:rsidRPr="009C29C2">
        <w:rPr>
          <w:color w:val="000000"/>
          <w:lang w:eastAsia="fr-FR" w:bidi="fr-FR"/>
        </w:rPr>
        <w:t>raux » de Bourgogne, ces trois comtés n’en ressortissaient pas moins au Parlement de Paris. Il leur fallait donc un édit spécial, qui, de m</w:t>
      </w:r>
      <w:r w:rsidRPr="009C29C2">
        <w:rPr>
          <w:color w:val="000000"/>
          <w:lang w:eastAsia="fr-FR" w:bidi="fr-FR"/>
        </w:rPr>
        <w:t>ê</w:t>
      </w:r>
      <w:r w:rsidRPr="009C29C2">
        <w:rPr>
          <w:color w:val="000000"/>
          <w:lang w:eastAsia="fr-FR" w:bidi="fr-FR"/>
        </w:rPr>
        <w:t>me date, fut, mot pour mot, semblable au précédent</w:t>
      </w:r>
      <w:r>
        <w:rPr>
          <w:color w:val="000000"/>
          <w:lang w:eastAsia="fr-FR" w:bidi="fr-FR"/>
        </w:rPr>
        <w:t> </w:t>
      </w:r>
      <w:r>
        <w:rPr>
          <w:rStyle w:val="Appelnotedebasdep"/>
        </w:rPr>
        <w:footnoteReference w:id="236"/>
      </w:r>
      <w:r w:rsidRPr="009C29C2">
        <w:rPr>
          <w:color w:val="000000"/>
          <w:lang w:eastAsia="fr-FR" w:bidi="fr-FR"/>
        </w:rPr>
        <w:t>.</w:t>
      </w:r>
    </w:p>
    <w:p w14:paraId="73EB59D8" w14:textId="77777777" w:rsidR="00B9662D" w:rsidRDefault="00B9662D" w:rsidP="00B9662D">
      <w:pPr>
        <w:spacing w:before="120" w:after="120"/>
        <w:jc w:val="both"/>
      </w:pPr>
    </w:p>
    <w:p w14:paraId="26E29866" w14:textId="77777777" w:rsidR="00B9662D" w:rsidRPr="009C29C2" w:rsidRDefault="00B9662D" w:rsidP="00B9662D">
      <w:pPr>
        <w:spacing w:before="120" w:after="120"/>
        <w:jc w:val="both"/>
      </w:pPr>
      <w:r>
        <w:t>10. </w:t>
      </w:r>
      <w:r w:rsidRPr="0071385C">
        <w:rPr>
          <w:i/>
        </w:rPr>
        <w:t>Pays de Bresse</w:t>
      </w:r>
      <w:r w:rsidRPr="0071385C">
        <w:rPr>
          <w:i/>
          <w:color w:val="000000"/>
          <w:lang w:eastAsia="fr-FR" w:bidi="fr-FR"/>
        </w:rPr>
        <w:t xml:space="preserve">, </w:t>
      </w:r>
      <w:r w:rsidRPr="0071385C">
        <w:rPr>
          <w:i/>
        </w:rPr>
        <w:t>Bugey et Gex</w:t>
      </w:r>
      <w:r w:rsidRPr="009C29C2">
        <w:t>.</w:t>
      </w:r>
      <w:r>
        <w:rPr>
          <w:color w:val="000000"/>
          <w:lang w:eastAsia="fr-FR" w:bidi="fr-FR"/>
        </w:rPr>
        <w:t> — </w:t>
      </w:r>
      <w:r w:rsidRPr="009C29C2">
        <w:rPr>
          <w:color w:val="000000"/>
          <w:lang w:eastAsia="fr-FR" w:bidi="fr-FR"/>
        </w:rPr>
        <w:t>Ici, encore, les États récl</w:t>
      </w:r>
      <w:r w:rsidRPr="009C29C2">
        <w:rPr>
          <w:color w:val="000000"/>
          <w:lang w:eastAsia="fr-FR" w:bidi="fr-FR"/>
        </w:rPr>
        <w:t>a</w:t>
      </w:r>
      <w:r w:rsidRPr="009C29C2">
        <w:rPr>
          <w:color w:val="000000"/>
          <w:lang w:eastAsia="fr-FR" w:bidi="fr-FR"/>
        </w:rPr>
        <w:t>maient la mesure, du moins ceux du Bugey, en avril 1769</w:t>
      </w:r>
      <w:r>
        <w:rPr>
          <w:color w:val="000000"/>
          <w:lang w:eastAsia="fr-FR" w:bidi="fr-FR"/>
        </w:rPr>
        <w:t> </w:t>
      </w:r>
      <w:r>
        <w:rPr>
          <w:rStyle w:val="Appelnotedebasdep"/>
        </w:rPr>
        <w:footnoteReference w:id="237"/>
      </w:r>
      <w:r w:rsidRPr="009C29C2">
        <w:rPr>
          <w:color w:val="000000"/>
          <w:lang w:eastAsia="fr-FR" w:bidi="fr-FR"/>
        </w:rPr>
        <w:t>. L’édit, pareil à celui de la Bourgogne, fut publié en octobre 1770, et enregi</w:t>
      </w:r>
      <w:r w:rsidRPr="009C29C2">
        <w:rPr>
          <w:color w:val="000000"/>
          <w:lang w:eastAsia="fr-FR" w:bidi="fr-FR"/>
        </w:rPr>
        <w:t>s</w:t>
      </w:r>
      <w:r w:rsidRPr="009C29C2">
        <w:rPr>
          <w:color w:val="000000"/>
          <w:lang w:eastAsia="fr-FR" w:bidi="fr-FR"/>
        </w:rPr>
        <w:t>tré sans peine</w:t>
      </w:r>
      <w:r>
        <w:rPr>
          <w:color w:val="000000"/>
          <w:lang w:eastAsia="fr-FR" w:bidi="fr-FR"/>
        </w:rPr>
        <w:t> </w:t>
      </w:r>
      <w:r>
        <w:rPr>
          <w:rStyle w:val="Appelnotedebasdep"/>
        </w:rPr>
        <w:footnoteReference w:id="238"/>
      </w:r>
      <w:r w:rsidRPr="009C29C2">
        <w:rPr>
          <w:color w:val="000000"/>
          <w:lang w:eastAsia="fr-FR" w:bidi="fr-FR"/>
        </w:rPr>
        <w:t>. L’intendant de Dijon avait cru bon d’y faire co</w:t>
      </w:r>
      <w:r w:rsidRPr="009C29C2">
        <w:rPr>
          <w:color w:val="000000"/>
          <w:lang w:eastAsia="fr-FR" w:bidi="fr-FR"/>
        </w:rPr>
        <w:t>m</w:t>
      </w:r>
      <w:r w:rsidRPr="009C29C2">
        <w:rPr>
          <w:color w:val="000000"/>
          <w:lang w:eastAsia="fr-FR" w:bidi="fr-FR"/>
        </w:rPr>
        <w:t>prendre, outre le Bugey, la Bresse et le Pays de Gex ; il est vrai que, dans la plus grande partie de ces deux régions, la clôture, permise de toute antiquité, était déjà largement pratiquée. Mais quelques cantons faisaient exception ; ce sont eux qu’on voulait toucher</w:t>
      </w:r>
      <w:r>
        <w:rPr>
          <w:color w:val="000000"/>
          <w:lang w:eastAsia="fr-FR" w:bidi="fr-FR"/>
        </w:rPr>
        <w:t> </w:t>
      </w:r>
      <w:r>
        <w:rPr>
          <w:rStyle w:val="Appelnotedebasdep"/>
        </w:rPr>
        <w:footnoteReference w:id="239"/>
      </w:r>
      <w:r w:rsidRPr="009C29C2">
        <w:rPr>
          <w:color w:val="000000"/>
          <w:lang w:eastAsia="fr-FR" w:bidi="fr-FR"/>
        </w:rPr>
        <w:t>.</w:t>
      </w:r>
    </w:p>
    <w:p w14:paraId="5DFD4E4E" w14:textId="77777777" w:rsidR="00B9662D" w:rsidRDefault="00B9662D" w:rsidP="00B9662D">
      <w:pPr>
        <w:spacing w:before="120" w:after="120"/>
        <w:jc w:val="both"/>
      </w:pPr>
    </w:p>
    <w:p w14:paraId="59B1EA97" w14:textId="77777777" w:rsidR="00B9662D" w:rsidRPr="009C29C2" w:rsidRDefault="00B9662D" w:rsidP="00B9662D">
      <w:pPr>
        <w:spacing w:before="120" w:after="120"/>
        <w:jc w:val="both"/>
      </w:pPr>
      <w:r>
        <w:t>11. </w:t>
      </w:r>
      <w:r w:rsidRPr="0071385C">
        <w:rPr>
          <w:i/>
        </w:rPr>
        <w:t>Hainaut, Pays Réunis</w:t>
      </w:r>
      <w:r w:rsidRPr="0071385C">
        <w:rPr>
          <w:i/>
          <w:color w:val="000000"/>
          <w:lang w:eastAsia="fr-FR" w:bidi="fr-FR"/>
        </w:rPr>
        <w:t xml:space="preserve">, </w:t>
      </w:r>
      <w:r w:rsidRPr="0071385C">
        <w:rPr>
          <w:i/>
        </w:rPr>
        <w:t>Flandre maritime et Flandre wallo</w:t>
      </w:r>
      <w:r w:rsidRPr="0071385C">
        <w:rPr>
          <w:i/>
        </w:rPr>
        <w:t>n</w:t>
      </w:r>
      <w:r w:rsidRPr="0071385C">
        <w:rPr>
          <w:i/>
        </w:rPr>
        <w:t>ne</w:t>
      </w:r>
      <w:r>
        <w:t> </w:t>
      </w:r>
      <w:r>
        <w:rPr>
          <w:rStyle w:val="Appelnotedebasdep"/>
        </w:rPr>
        <w:footnoteReference w:id="240"/>
      </w:r>
      <w:r w:rsidRPr="009C29C2">
        <w:rPr>
          <w:color w:val="000000"/>
          <w:lang w:eastAsia="fr-FR" w:bidi="fr-FR"/>
        </w:rPr>
        <w:t>.</w:t>
      </w:r>
      <w:r>
        <w:rPr>
          <w:color w:val="000000"/>
          <w:lang w:eastAsia="fr-FR" w:bidi="fr-FR"/>
        </w:rPr>
        <w:t> — </w:t>
      </w:r>
      <w:r w:rsidRPr="009C29C2">
        <w:rPr>
          <w:color w:val="000000"/>
          <w:lang w:eastAsia="fr-FR" w:bidi="fr-FR"/>
        </w:rPr>
        <w:t>Dans les derniers mois de 1770, on vit arriver au Conseil des pétitions par où diverses communautés du Hainaut et quelques grands propriétaires de ce pays demandaient un édit de clôture ; elles v</w:t>
      </w:r>
      <w:r w:rsidRPr="009C29C2">
        <w:rPr>
          <w:color w:val="000000"/>
          <w:lang w:eastAsia="fr-FR" w:bidi="fr-FR"/>
        </w:rPr>
        <w:t>e</w:t>
      </w:r>
      <w:r w:rsidRPr="009C29C2">
        <w:rPr>
          <w:color w:val="000000"/>
          <w:lang w:eastAsia="fr-FR" w:bidi="fr-FR"/>
        </w:rPr>
        <w:t>naient surtout des régions limitrophes des Trois-Évêchés et de la Champagne. Comme l’avait prévu d’Ormesson, la réforme agraire était contagieuse</w:t>
      </w:r>
      <w:r>
        <w:rPr>
          <w:color w:val="000000"/>
          <w:lang w:eastAsia="fr-FR" w:bidi="fr-FR"/>
        </w:rPr>
        <w:t> </w:t>
      </w:r>
      <w:r>
        <w:rPr>
          <w:rStyle w:val="Appelnotedebasdep"/>
        </w:rPr>
        <w:footnoteReference w:id="241"/>
      </w:r>
      <w:r w:rsidRPr="009C29C2">
        <w:rPr>
          <w:color w:val="000000"/>
          <w:lang w:eastAsia="fr-FR" w:bidi="fr-FR"/>
        </w:rPr>
        <w:t>. L’intendant de Valenciennes, Taboureau, hésitait ; renseigné par ses subdélégués, il prévoyait qu’un pareil boulevers</w:t>
      </w:r>
      <w:r w:rsidRPr="009C29C2">
        <w:rPr>
          <w:color w:val="000000"/>
          <w:lang w:eastAsia="fr-FR" w:bidi="fr-FR"/>
        </w:rPr>
        <w:t>e</w:t>
      </w:r>
      <w:r w:rsidRPr="009C29C2">
        <w:rPr>
          <w:color w:val="000000"/>
          <w:lang w:eastAsia="fr-FR" w:bidi="fr-FR"/>
        </w:rPr>
        <w:t>ment ne manquerait pas d’entraîner une assez vive agitation dans une partie au moins de sa généralité ; pourtant, il finit par se rallier. En Flandre, patrie de l’agriculture nouvelle, aucune réforme législative ne semblait nécessaire. D’Ormesson décida néanmoins d’étendre à tout le ressort du Parlement de Douai, Flandre comme Hainaut, le bénéfice de l’acte qu’il préparait. Une précision juridique est-elle jamais inut</w:t>
      </w:r>
      <w:r w:rsidRPr="009C29C2">
        <w:rPr>
          <w:color w:val="000000"/>
          <w:lang w:eastAsia="fr-FR" w:bidi="fr-FR"/>
        </w:rPr>
        <w:t>i</w:t>
      </w:r>
      <w:r w:rsidRPr="009C29C2">
        <w:rPr>
          <w:color w:val="000000"/>
          <w:lang w:eastAsia="fr-FR" w:bidi="fr-FR"/>
        </w:rPr>
        <w:t>le ?</w:t>
      </w:r>
    </w:p>
    <w:p w14:paraId="19817E0C" w14:textId="77777777" w:rsidR="00B9662D" w:rsidRPr="009C29C2" w:rsidRDefault="00B9662D" w:rsidP="00B9662D">
      <w:pPr>
        <w:spacing w:before="120" w:after="120"/>
        <w:jc w:val="both"/>
      </w:pPr>
      <w:r w:rsidRPr="009C29C2">
        <w:rPr>
          <w:color w:val="000000"/>
          <w:lang w:eastAsia="fr-FR" w:bidi="fr-FR"/>
        </w:rPr>
        <w:t>Publié en mai 1771, aisément enregistré, l’édit abolissait le pa</w:t>
      </w:r>
      <w:r w:rsidRPr="009C29C2">
        <w:rPr>
          <w:color w:val="000000"/>
          <w:lang w:eastAsia="fr-FR" w:bidi="fr-FR"/>
        </w:rPr>
        <w:t>r</w:t>
      </w:r>
      <w:r w:rsidRPr="009C29C2">
        <w:rPr>
          <w:color w:val="000000"/>
          <w:lang w:eastAsia="fr-FR" w:bidi="fr-FR"/>
        </w:rPr>
        <w:t>cours et autorisait les clôtures, tout en maintenant l’usage, encore plus favorable aux propriétaires, de la mise en défense par simple signe, qui se pratiquait en Flandre et dans certains cantons du Hainaut</w:t>
      </w:r>
      <w:r>
        <w:rPr>
          <w:color w:val="000000"/>
          <w:lang w:eastAsia="fr-FR" w:bidi="fr-FR"/>
        </w:rPr>
        <w:t> </w:t>
      </w:r>
      <w:r>
        <w:rPr>
          <w:rStyle w:val="Appelnotedebasdep"/>
        </w:rPr>
        <w:footnoteReference w:id="242"/>
      </w:r>
      <w:r w:rsidRPr="009C29C2">
        <w:rPr>
          <w:color w:val="000000"/>
          <w:lang w:eastAsia="fr-FR" w:bidi="fr-FR"/>
        </w:rPr>
        <w:t>. En Flandre, il ne pouvait rencontrer qu’indif</w:t>
      </w:r>
      <w:r>
        <w:rPr>
          <w:color w:val="000000"/>
          <w:lang w:eastAsia="fr-FR" w:bidi="fr-FR"/>
        </w:rPr>
        <w:t>f</w:t>
      </w:r>
      <w:r w:rsidRPr="009C29C2">
        <w:rPr>
          <w:color w:val="000000"/>
          <w:lang w:eastAsia="fr-FR" w:bidi="fr-FR"/>
        </w:rPr>
        <w:t>érence. En Hainaut, par contre, l’événement, comme on le verra, devait donner raison aux craintes de l’intendant.</w:t>
      </w:r>
    </w:p>
    <w:p w14:paraId="17CD4803" w14:textId="77777777" w:rsidR="00B9662D" w:rsidRDefault="00B9662D" w:rsidP="00B9662D">
      <w:pPr>
        <w:spacing w:before="120" w:after="120"/>
        <w:jc w:val="both"/>
      </w:pPr>
    </w:p>
    <w:p w14:paraId="395050AA" w14:textId="77777777" w:rsidR="00B9662D" w:rsidRPr="009C29C2" w:rsidRDefault="00B9662D" w:rsidP="00B9662D">
      <w:pPr>
        <w:spacing w:before="120" w:after="120"/>
        <w:jc w:val="both"/>
      </w:pPr>
      <w:r>
        <w:t>12. </w:t>
      </w:r>
      <w:r w:rsidRPr="0071385C">
        <w:rPr>
          <w:i/>
        </w:rPr>
        <w:t>Bigorre</w:t>
      </w:r>
      <w:r w:rsidRPr="009C29C2">
        <w:t>.</w:t>
      </w:r>
      <w:r>
        <w:rPr>
          <w:color w:val="000000"/>
          <w:lang w:eastAsia="fr-FR" w:bidi="fr-FR"/>
        </w:rPr>
        <w:t> — </w:t>
      </w:r>
      <w:r w:rsidRPr="009C29C2">
        <w:rPr>
          <w:color w:val="000000"/>
          <w:lang w:eastAsia="fr-FR" w:bidi="fr-FR"/>
        </w:rPr>
        <w:t>La Bigorre touchait au Béarn, où le parcours avait été supprimé. Contrainte encore d’accueillir les troupeaux béarnais, elle</w:t>
      </w:r>
      <w:r>
        <w:rPr>
          <w:color w:val="000000"/>
          <w:lang w:eastAsia="fr-FR" w:bidi="fr-FR"/>
        </w:rPr>
        <w:t xml:space="preserve"> [632] </w:t>
      </w:r>
      <w:r w:rsidRPr="009C29C2">
        <w:rPr>
          <w:color w:val="000000"/>
          <w:lang w:eastAsia="fr-FR" w:bidi="fr-FR"/>
        </w:rPr>
        <w:t>ne pouvait plus user de réciprocité. Les États firent des r</w:t>
      </w:r>
      <w:r w:rsidRPr="009C29C2">
        <w:rPr>
          <w:color w:val="000000"/>
          <w:lang w:eastAsia="fr-FR" w:bidi="fr-FR"/>
        </w:rPr>
        <w:t>e</w:t>
      </w:r>
      <w:r w:rsidRPr="009C29C2">
        <w:rPr>
          <w:color w:val="000000"/>
          <w:lang w:eastAsia="fr-FR" w:bidi="fr-FR"/>
        </w:rPr>
        <w:t>présent</w:t>
      </w:r>
      <w:r w:rsidRPr="009C29C2">
        <w:rPr>
          <w:color w:val="000000"/>
          <w:lang w:eastAsia="fr-FR" w:bidi="fr-FR"/>
        </w:rPr>
        <w:t>a</w:t>
      </w:r>
      <w:r w:rsidRPr="009C29C2">
        <w:rPr>
          <w:color w:val="000000"/>
          <w:lang w:eastAsia="fr-FR" w:bidi="fr-FR"/>
        </w:rPr>
        <w:t xml:space="preserve">tions au roi. La réponse, en juillet 1771, fut un édit, qui, en </w:t>
      </w:r>
      <w:r w:rsidRPr="009C29C2">
        <w:rPr>
          <w:color w:val="000000"/>
          <w:lang w:eastAsia="fr-FR" w:bidi="fr-FR"/>
        </w:rPr>
        <w:lastRenderedPageBreak/>
        <w:t>permettant les clôtures, abolissait le parcours</w:t>
      </w:r>
      <w:r>
        <w:rPr>
          <w:color w:val="000000"/>
          <w:lang w:eastAsia="fr-FR" w:bidi="fr-FR"/>
        </w:rPr>
        <w:t> </w:t>
      </w:r>
      <w:r>
        <w:rPr>
          <w:rStyle w:val="Appelnotedebasdep"/>
        </w:rPr>
        <w:footnoteReference w:id="243"/>
      </w:r>
      <w:r w:rsidRPr="009C29C2">
        <w:rPr>
          <w:color w:val="000000"/>
          <w:lang w:eastAsia="fr-FR" w:bidi="fr-FR"/>
        </w:rPr>
        <w:t>. Les Bigorrois n’en avaient pas tant demandé. Chez eux, le passage perpétuel des tro</w:t>
      </w:r>
      <w:r w:rsidRPr="009C29C2">
        <w:rPr>
          <w:color w:val="000000"/>
          <w:lang w:eastAsia="fr-FR" w:bidi="fr-FR"/>
        </w:rPr>
        <w:t>u</w:t>
      </w:r>
      <w:r w:rsidRPr="009C29C2">
        <w:rPr>
          <w:color w:val="000000"/>
          <w:lang w:eastAsia="fr-FR" w:bidi="fr-FR"/>
        </w:rPr>
        <w:t>peaux d’une communauté à l’autre semblait le fondement nécessaire de l’économie pastorale. Dès 1772, les États demandaient qu’il fût rétabli, au moins sur les communaux qui n’auraient pas été défrichés, entre les comm</w:t>
      </w:r>
      <w:r w:rsidRPr="009C29C2">
        <w:rPr>
          <w:color w:val="000000"/>
          <w:lang w:eastAsia="fr-FR" w:bidi="fr-FR"/>
        </w:rPr>
        <w:t>u</w:t>
      </w:r>
      <w:r w:rsidRPr="009C29C2">
        <w:rPr>
          <w:color w:val="000000"/>
          <w:lang w:eastAsia="fr-FR" w:bidi="fr-FR"/>
        </w:rPr>
        <w:t>nautés de la Plaine et celles du « Rustain »</w:t>
      </w:r>
      <w:r>
        <w:rPr>
          <w:color w:val="000000"/>
          <w:lang w:eastAsia="fr-FR" w:bidi="fr-FR"/>
        </w:rPr>
        <w:t> </w:t>
      </w:r>
      <w:r>
        <w:rPr>
          <w:rStyle w:val="Appelnotedebasdep"/>
        </w:rPr>
        <w:footnoteReference w:id="244"/>
      </w:r>
      <w:r w:rsidRPr="009C29C2">
        <w:rPr>
          <w:color w:val="000000"/>
          <w:lang w:eastAsia="fr-FR" w:bidi="fr-FR"/>
        </w:rPr>
        <w:t>. Ils n’obtinrent pas gain de cause. Mais il fallut bien reconnaître qu’en montagne du moins la réforme n’était pas applicable. L’édit du 28 f</w:t>
      </w:r>
      <w:r w:rsidRPr="009C29C2">
        <w:rPr>
          <w:color w:val="000000"/>
          <w:lang w:eastAsia="fr-FR" w:bidi="fr-FR"/>
        </w:rPr>
        <w:t>é</w:t>
      </w:r>
      <w:r w:rsidRPr="009C29C2">
        <w:rPr>
          <w:color w:val="000000"/>
          <w:lang w:eastAsia="fr-FR" w:bidi="fr-FR"/>
        </w:rPr>
        <w:t>vrier 1773, qui rétablissait le parcours dans les communautés mont</w:t>
      </w:r>
      <w:r w:rsidRPr="009C29C2">
        <w:rPr>
          <w:color w:val="000000"/>
          <w:lang w:eastAsia="fr-FR" w:bidi="fr-FR"/>
        </w:rPr>
        <w:t>a</w:t>
      </w:r>
      <w:r w:rsidRPr="009C29C2">
        <w:rPr>
          <w:color w:val="000000"/>
          <w:lang w:eastAsia="fr-FR" w:bidi="fr-FR"/>
        </w:rPr>
        <w:t>gnardes du Béarn, appliqua la même disposition à la Bigorre. Les vi</w:t>
      </w:r>
      <w:r w:rsidRPr="009C29C2">
        <w:rPr>
          <w:color w:val="000000"/>
          <w:lang w:eastAsia="fr-FR" w:bidi="fr-FR"/>
        </w:rPr>
        <w:t>l</w:t>
      </w:r>
      <w:r w:rsidRPr="009C29C2">
        <w:rPr>
          <w:color w:val="000000"/>
          <w:lang w:eastAsia="fr-FR" w:bidi="fr-FR"/>
        </w:rPr>
        <w:t>lages mêmes des terres plus basses ne se tenaient pas tous pour sati</w:t>
      </w:r>
      <w:r w:rsidRPr="009C29C2">
        <w:rPr>
          <w:color w:val="000000"/>
          <w:lang w:eastAsia="fr-FR" w:bidi="fr-FR"/>
        </w:rPr>
        <w:t>s</w:t>
      </w:r>
      <w:r w:rsidRPr="009C29C2">
        <w:rPr>
          <w:color w:val="000000"/>
          <w:lang w:eastAsia="fr-FR" w:bidi="fr-FR"/>
        </w:rPr>
        <w:t>faits ; en 1789, plusieurs réclamaient encore que la « liberté du pac</w:t>
      </w:r>
      <w:r w:rsidRPr="009C29C2">
        <w:rPr>
          <w:color w:val="000000"/>
          <w:lang w:eastAsia="fr-FR" w:bidi="fr-FR"/>
        </w:rPr>
        <w:t>a</w:t>
      </w:r>
      <w:r w:rsidRPr="009C29C2">
        <w:rPr>
          <w:color w:val="000000"/>
          <w:lang w:eastAsia="fr-FR" w:bidi="fr-FR"/>
        </w:rPr>
        <w:t>ge », telle qu’elle existait avant l’édit, leur fût rendue</w:t>
      </w:r>
      <w:r>
        <w:rPr>
          <w:color w:val="000000"/>
          <w:lang w:eastAsia="fr-FR" w:bidi="fr-FR"/>
        </w:rPr>
        <w:t> </w:t>
      </w:r>
      <w:r>
        <w:rPr>
          <w:rStyle w:val="Appelnotedebasdep"/>
        </w:rPr>
        <w:footnoteReference w:id="245"/>
      </w:r>
      <w:r w:rsidRPr="009C29C2">
        <w:rPr>
          <w:color w:val="000000"/>
          <w:lang w:eastAsia="fr-FR" w:bidi="fr-FR"/>
        </w:rPr>
        <w:t>. Quant à la f</w:t>
      </w:r>
      <w:r w:rsidRPr="009C29C2">
        <w:rPr>
          <w:color w:val="000000"/>
          <w:lang w:eastAsia="fr-FR" w:bidi="fr-FR"/>
        </w:rPr>
        <w:t>a</w:t>
      </w:r>
      <w:r w:rsidRPr="009C29C2">
        <w:rPr>
          <w:color w:val="000000"/>
          <w:lang w:eastAsia="fr-FR" w:bidi="fr-FR"/>
        </w:rPr>
        <w:t>culté de clore, les coutumes locales, plus fortes que la loi, semblent bien avoir par endroits cont</w:t>
      </w:r>
      <w:r w:rsidRPr="009C29C2">
        <w:rPr>
          <w:color w:val="000000"/>
          <w:lang w:eastAsia="fr-FR" w:bidi="fr-FR"/>
        </w:rPr>
        <w:t>i</w:t>
      </w:r>
      <w:r w:rsidRPr="009C29C2">
        <w:rPr>
          <w:color w:val="000000"/>
          <w:lang w:eastAsia="fr-FR" w:bidi="fr-FR"/>
        </w:rPr>
        <w:t>nué d’y mettre obstacle</w:t>
      </w:r>
      <w:r>
        <w:rPr>
          <w:color w:val="000000"/>
          <w:lang w:eastAsia="fr-FR" w:bidi="fr-FR"/>
        </w:rPr>
        <w:t> </w:t>
      </w:r>
      <w:r>
        <w:rPr>
          <w:rStyle w:val="Appelnotedebasdep"/>
        </w:rPr>
        <w:footnoteReference w:id="246"/>
      </w:r>
      <w:r w:rsidRPr="009C29C2">
        <w:rPr>
          <w:color w:val="000000"/>
          <w:lang w:eastAsia="fr-FR" w:bidi="fr-FR"/>
        </w:rPr>
        <w:t>.</w:t>
      </w:r>
    </w:p>
    <w:p w14:paraId="59335EBA" w14:textId="77777777" w:rsidR="00B9662D" w:rsidRDefault="00B9662D" w:rsidP="00B9662D">
      <w:pPr>
        <w:spacing w:before="120" w:after="120"/>
        <w:jc w:val="both"/>
      </w:pPr>
    </w:p>
    <w:p w14:paraId="22C5DEAA" w14:textId="77777777" w:rsidR="00B9662D" w:rsidRPr="009C29C2" w:rsidRDefault="00B9662D" w:rsidP="00B9662D">
      <w:pPr>
        <w:spacing w:before="120" w:after="120"/>
        <w:jc w:val="both"/>
      </w:pPr>
      <w:r>
        <w:t xml:space="preserve">13. </w:t>
      </w:r>
      <w:r w:rsidRPr="00A17BAD">
        <w:rPr>
          <w:i/>
        </w:rPr>
        <w:t>Corse</w:t>
      </w:r>
      <w:r w:rsidRPr="009C29C2">
        <w:rPr>
          <w:color w:val="000000"/>
          <w:lang w:eastAsia="fr-FR" w:bidi="fr-FR"/>
        </w:rPr>
        <w:t>.</w:t>
      </w:r>
      <w:r>
        <w:rPr>
          <w:color w:val="000000"/>
          <w:lang w:eastAsia="fr-FR" w:bidi="fr-FR"/>
        </w:rPr>
        <w:t> — </w:t>
      </w:r>
      <w:r w:rsidRPr="009C29C2">
        <w:rPr>
          <w:color w:val="000000"/>
          <w:lang w:eastAsia="fr-FR" w:bidi="fr-FR"/>
        </w:rPr>
        <w:t>Les administrateurs français avaient trouvé dans l’île un régime rural singulièrement primitif : peu de culture continue, la culture temporaire pratiquée largement, mais sans régularité, l’usage de la vaine pâture et du parcours aboutissant à livrer le sol presque tout entier à l’envahissement de troupeaux qui détruisaient toute vég</w:t>
      </w:r>
      <w:r w:rsidRPr="009C29C2">
        <w:rPr>
          <w:color w:val="000000"/>
          <w:lang w:eastAsia="fr-FR" w:bidi="fr-FR"/>
        </w:rPr>
        <w:t>é</w:t>
      </w:r>
      <w:r w:rsidRPr="009C29C2">
        <w:rPr>
          <w:color w:val="000000"/>
          <w:lang w:eastAsia="fr-FR" w:bidi="fr-FR"/>
        </w:rPr>
        <w:t>tation, notamment à ces terribles chèvres dont le jeune Napoléon B</w:t>
      </w:r>
      <w:r w:rsidRPr="009C29C2">
        <w:rPr>
          <w:color w:val="000000"/>
          <w:lang w:eastAsia="fr-FR" w:bidi="fr-FR"/>
        </w:rPr>
        <w:t>o</w:t>
      </w:r>
      <w:r w:rsidRPr="009C29C2">
        <w:rPr>
          <w:color w:val="000000"/>
          <w:lang w:eastAsia="fr-FR" w:bidi="fr-FR"/>
        </w:rPr>
        <w:t xml:space="preserve">naparte devait dénoncer les méfaits. L’occasion était belle d’appliquer les règles de la politique nouvelle. Un assez long édit de juillet 1771, destiné à doter le pays d’une meilleure police rurale, prononçait, entre </w:t>
      </w:r>
      <w:r w:rsidRPr="009C29C2">
        <w:rPr>
          <w:color w:val="000000"/>
          <w:lang w:eastAsia="fr-FR" w:bidi="fr-FR"/>
        </w:rPr>
        <w:lastRenderedPageBreak/>
        <w:t>autres dispositions, la liberté de clore et interdisait le parcours</w:t>
      </w:r>
      <w:r>
        <w:rPr>
          <w:color w:val="000000"/>
          <w:lang w:eastAsia="fr-FR" w:bidi="fr-FR"/>
        </w:rPr>
        <w:t> </w:t>
      </w:r>
      <w:r>
        <w:rPr>
          <w:rStyle w:val="Appelnotedebasdep"/>
        </w:rPr>
        <w:footnoteReference w:id="247"/>
      </w:r>
      <w:r w:rsidRPr="009C29C2">
        <w:rPr>
          <w:color w:val="000000"/>
          <w:lang w:eastAsia="fr-FR" w:bidi="fr-FR"/>
        </w:rPr>
        <w:t>. Cette dernière prescription demeura absolument vaine. La Corse n’était pas mûre pour l’agronomie à l’anglaise.</w:t>
      </w:r>
    </w:p>
    <w:p w14:paraId="1BFBD21D" w14:textId="77777777" w:rsidR="00B9662D" w:rsidRDefault="00B9662D" w:rsidP="00B9662D">
      <w:pPr>
        <w:pStyle w:val="c"/>
        <w:rPr>
          <w:lang w:eastAsia="fr-FR" w:bidi="fr-FR"/>
        </w:rPr>
      </w:pPr>
      <w:r>
        <w:rPr>
          <w:lang w:eastAsia="fr-FR" w:bidi="fr-FR"/>
        </w:rPr>
        <w:t>*</w:t>
      </w:r>
      <w:r>
        <w:rPr>
          <w:lang w:eastAsia="fr-FR" w:bidi="fr-FR"/>
        </w:rPr>
        <w:br/>
        <w:t>*     *</w:t>
      </w:r>
    </w:p>
    <w:p w14:paraId="26B85869" w14:textId="77777777" w:rsidR="00B9662D" w:rsidRPr="009C29C2" w:rsidRDefault="00B9662D" w:rsidP="00B9662D">
      <w:pPr>
        <w:spacing w:before="120" w:after="120"/>
        <w:jc w:val="both"/>
      </w:pPr>
      <w:r w:rsidRPr="009C29C2">
        <w:rPr>
          <w:color w:val="000000"/>
          <w:lang w:eastAsia="fr-FR" w:bidi="fr-FR"/>
        </w:rPr>
        <w:t>Suivis ou non d’effet pratique, les édits qui viennent d’être énum</w:t>
      </w:r>
      <w:r w:rsidRPr="009C29C2">
        <w:rPr>
          <w:color w:val="000000"/>
          <w:lang w:eastAsia="fr-FR" w:bidi="fr-FR"/>
        </w:rPr>
        <w:t>é</w:t>
      </w:r>
      <w:r w:rsidRPr="009C29C2">
        <w:rPr>
          <w:color w:val="000000"/>
          <w:lang w:eastAsia="fr-FR" w:bidi="fr-FR"/>
        </w:rPr>
        <w:t>rés furent au moins publiés. D’autres, de même sens et partis égal</w:t>
      </w:r>
      <w:r w:rsidRPr="009C29C2">
        <w:rPr>
          <w:color w:val="000000"/>
          <w:lang w:eastAsia="fr-FR" w:bidi="fr-FR"/>
        </w:rPr>
        <w:t>e</w:t>
      </w:r>
      <w:r w:rsidRPr="009C29C2">
        <w:rPr>
          <w:color w:val="000000"/>
          <w:lang w:eastAsia="fr-FR" w:bidi="fr-FR"/>
        </w:rPr>
        <w:t>ment des bureaux de d’Ormesson, demeurèrent à l’état d’ébauche.</w:t>
      </w:r>
    </w:p>
    <w:p w14:paraId="09247EA0" w14:textId="77777777" w:rsidR="00B9662D" w:rsidRPr="009C29C2" w:rsidRDefault="00B9662D" w:rsidP="00B9662D">
      <w:pPr>
        <w:spacing w:before="120" w:after="120"/>
        <w:jc w:val="both"/>
      </w:pPr>
      <w:r w:rsidRPr="009C29C2">
        <w:rPr>
          <w:color w:val="000000"/>
          <w:lang w:eastAsia="fr-FR" w:bidi="fr-FR"/>
        </w:rPr>
        <w:t>D’abord une « loi » abolissant le parcours et permettant la clôture dans toute l’étendue du ressort du Parlement de Paris,</w:t>
      </w:r>
      <w:r>
        <w:rPr>
          <w:color w:val="000000"/>
          <w:lang w:eastAsia="fr-FR" w:bidi="fr-FR"/>
        </w:rPr>
        <w:t> — </w:t>
      </w:r>
      <w:r w:rsidRPr="009C29C2">
        <w:rPr>
          <w:color w:val="000000"/>
          <w:lang w:eastAsia="fr-FR" w:bidi="fr-FR"/>
        </w:rPr>
        <w:t>environ les deux tiers du royaume. Le projet, communiqué le 15 février 1770, au</w:t>
      </w:r>
      <w:r>
        <w:rPr>
          <w:color w:val="000000"/>
          <w:lang w:eastAsia="fr-FR" w:bidi="fr-FR"/>
        </w:rPr>
        <w:t xml:space="preserve"> [633] </w:t>
      </w:r>
      <w:r w:rsidRPr="009C29C2">
        <w:rPr>
          <w:color w:val="000000"/>
          <w:lang w:eastAsia="fr-FR" w:bidi="fr-FR"/>
        </w:rPr>
        <w:t>Procureur général, ne rencontra sans doute qu’un accueil très tiède. D’Ormesson y renonça</w:t>
      </w:r>
      <w:r>
        <w:rPr>
          <w:color w:val="000000"/>
          <w:lang w:eastAsia="fr-FR" w:bidi="fr-FR"/>
        </w:rPr>
        <w:t> </w:t>
      </w:r>
      <w:r>
        <w:rPr>
          <w:rStyle w:val="Appelnotedebasdep"/>
        </w:rPr>
        <w:footnoteReference w:id="248"/>
      </w:r>
      <w:r w:rsidRPr="009C29C2">
        <w:rPr>
          <w:color w:val="000000"/>
          <w:lang w:eastAsia="fr-FR" w:bidi="fr-FR"/>
        </w:rPr>
        <w:t>.</w:t>
      </w:r>
    </w:p>
    <w:p w14:paraId="581A88BB" w14:textId="77777777" w:rsidR="00B9662D" w:rsidRPr="009C29C2" w:rsidRDefault="00B9662D" w:rsidP="00B9662D">
      <w:pPr>
        <w:spacing w:before="120" w:after="120"/>
        <w:jc w:val="both"/>
      </w:pPr>
      <w:r w:rsidRPr="009C29C2">
        <w:rPr>
          <w:color w:val="000000"/>
          <w:lang w:eastAsia="fr-FR" w:bidi="fr-FR"/>
        </w:rPr>
        <w:t>Puis un règlement concernant l’Alsace. Demandé par l’intendant, le texte</w:t>
      </w:r>
      <w:r>
        <w:rPr>
          <w:color w:val="000000"/>
          <w:lang w:eastAsia="fr-FR" w:bidi="fr-FR"/>
        </w:rPr>
        <w:t> — </w:t>
      </w:r>
      <w:r w:rsidRPr="009C29C2">
        <w:rPr>
          <w:color w:val="000000"/>
          <w:lang w:eastAsia="fr-FR" w:bidi="fr-FR"/>
        </w:rPr>
        <w:t>suppression du parcours, liberté de clore</w:t>
      </w:r>
      <w:r>
        <w:rPr>
          <w:color w:val="000000"/>
          <w:lang w:eastAsia="fr-FR" w:bidi="fr-FR"/>
        </w:rPr>
        <w:t> — </w:t>
      </w:r>
      <w:r w:rsidRPr="009C29C2">
        <w:rPr>
          <w:color w:val="000000"/>
          <w:lang w:eastAsia="fr-FR" w:bidi="fr-FR"/>
        </w:rPr>
        <w:t>fut, le 16 mars 1769, expédié par le Contrôleur général au Secrétaire d’État Choiseul, qui avait la province dans son département. Quelques mois plus tard, dans l’entourage de d’Ormesson, on était persuadé que le Conseil s</w:t>
      </w:r>
      <w:r w:rsidRPr="009C29C2">
        <w:rPr>
          <w:color w:val="000000"/>
          <w:lang w:eastAsia="fr-FR" w:bidi="fr-FR"/>
        </w:rPr>
        <w:t>u</w:t>
      </w:r>
      <w:r w:rsidRPr="009C29C2">
        <w:rPr>
          <w:color w:val="000000"/>
          <w:lang w:eastAsia="fr-FR" w:bidi="fr-FR"/>
        </w:rPr>
        <w:t>périeur de Colmar l’avait reçu, voire enregistré. Parti par la même voie, le même jour, l’édit roussillonnais n’avait-il pas rapidement a</w:t>
      </w:r>
      <w:r w:rsidRPr="009C29C2">
        <w:rPr>
          <w:color w:val="000000"/>
          <w:lang w:eastAsia="fr-FR" w:bidi="fr-FR"/>
        </w:rPr>
        <w:t>t</w:t>
      </w:r>
      <w:r w:rsidRPr="009C29C2">
        <w:rPr>
          <w:color w:val="000000"/>
          <w:lang w:eastAsia="fr-FR" w:bidi="fr-FR"/>
        </w:rPr>
        <w:t>teint le Conseil souverain de Perpignan ? En fait, comme, deux ans auparavant, le premier projet relatif aux Trois-Évêchés, l’édit alsacien s’était égaré en cours de route. Le curieux est qu’il n’ait jamais été l’objet d’aucune tentative de sauvetage</w:t>
      </w:r>
      <w:r>
        <w:rPr>
          <w:color w:val="000000"/>
          <w:lang w:eastAsia="fr-FR" w:bidi="fr-FR"/>
        </w:rPr>
        <w:t> </w:t>
      </w:r>
      <w:r>
        <w:rPr>
          <w:rStyle w:val="Appelnotedebasdep"/>
        </w:rPr>
        <w:footnoteReference w:id="249"/>
      </w:r>
      <w:r w:rsidRPr="009C29C2">
        <w:rPr>
          <w:color w:val="000000"/>
          <w:lang w:eastAsia="fr-FR" w:bidi="fr-FR"/>
        </w:rPr>
        <w:t>.</w:t>
      </w:r>
    </w:p>
    <w:p w14:paraId="0CFC4827" w14:textId="77777777" w:rsidR="00B9662D" w:rsidRPr="009C29C2" w:rsidRDefault="00B9662D" w:rsidP="00B9662D">
      <w:pPr>
        <w:spacing w:before="120" w:after="120"/>
        <w:jc w:val="both"/>
      </w:pPr>
      <w:r w:rsidRPr="009C29C2">
        <w:rPr>
          <w:color w:val="000000"/>
          <w:lang w:eastAsia="fr-FR" w:bidi="fr-FR"/>
        </w:rPr>
        <w:lastRenderedPageBreak/>
        <w:t>Enfin il fut sérieusement question de prendre un édit s’étendant à tout ou partie du ressort du Parlement de Bordeaux</w:t>
      </w:r>
      <w:r>
        <w:rPr>
          <w:color w:val="000000"/>
          <w:lang w:eastAsia="fr-FR" w:bidi="fr-FR"/>
        </w:rPr>
        <w:t> </w:t>
      </w:r>
      <w:r>
        <w:rPr>
          <w:rStyle w:val="Appelnotedebasdep"/>
        </w:rPr>
        <w:footnoteReference w:id="250"/>
      </w:r>
      <w:r w:rsidRPr="009C29C2">
        <w:rPr>
          <w:color w:val="000000"/>
          <w:lang w:eastAsia="fr-FR" w:bidi="fr-FR"/>
        </w:rPr>
        <w:t>. L’origine en fut, une fois de plus, cette influence par contiguïté sur laquelle d’Ormesson avait si justement compté. Certains propriétaires béa</w:t>
      </w:r>
      <w:r w:rsidRPr="009C29C2">
        <w:rPr>
          <w:color w:val="000000"/>
          <w:lang w:eastAsia="fr-FR" w:bidi="fr-FR"/>
        </w:rPr>
        <w:t>r</w:t>
      </w:r>
      <w:r w:rsidRPr="009C29C2">
        <w:rPr>
          <w:color w:val="000000"/>
          <w:lang w:eastAsia="fr-FR" w:bidi="fr-FR"/>
        </w:rPr>
        <w:t>nais, qui avaient enclos leurs terres après la promulgation de l’édit du 2 décembre 1767, se trouvaient posséder également des biens dans le pays de Chalosse, qui, tout en appartenant à la généralité de Pau, re</w:t>
      </w:r>
      <w:r w:rsidRPr="009C29C2">
        <w:rPr>
          <w:color w:val="000000"/>
          <w:lang w:eastAsia="fr-FR" w:bidi="fr-FR"/>
        </w:rPr>
        <w:t>s</w:t>
      </w:r>
      <w:r w:rsidRPr="009C29C2">
        <w:rPr>
          <w:color w:val="000000"/>
          <w:lang w:eastAsia="fr-FR" w:bidi="fr-FR"/>
        </w:rPr>
        <w:t>sortissait au Parlement de Bordeaux. Ils étaient contraints de les lai</w:t>
      </w:r>
      <w:r w:rsidRPr="009C29C2">
        <w:rPr>
          <w:color w:val="000000"/>
          <w:lang w:eastAsia="fr-FR" w:bidi="fr-FR"/>
        </w:rPr>
        <w:t>s</w:t>
      </w:r>
      <w:r w:rsidRPr="009C29C2">
        <w:rPr>
          <w:color w:val="000000"/>
          <w:lang w:eastAsia="fr-FR" w:bidi="fr-FR"/>
        </w:rPr>
        <w:t>ser ouverts. Cette gêne leur parut insupportable ; ils se plaignirent et furent écoutés. En 1772, l’intendant de Pau, d’Aine, établit un projet d’édit permettant la clôture des héritages et abolissant le parcours dans l’élection des Landes (dont la Chalosse faisait partie) et dans les pays de Labour et de Marsan. D’Ormesson chargea l’intendant de Bo</w:t>
      </w:r>
      <w:r w:rsidRPr="009C29C2">
        <w:rPr>
          <w:color w:val="000000"/>
          <w:lang w:eastAsia="fr-FR" w:bidi="fr-FR"/>
        </w:rPr>
        <w:t>r</w:t>
      </w:r>
      <w:r w:rsidRPr="009C29C2">
        <w:rPr>
          <w:color w:val="000000"/>
          <w:lang w:eastAsia="fr-FR" w:bidi="fr-FR"/>
        </w:rPr>
        <w:t>deaux, d’Esmangart, de communiquer ce texte pour avis au Premier Président et au Procureur général. Ceux-ci lui firent bon accueil, si bien que, encouragé par cette attitude, d’Esmangart crut pouvoir aller plus loin et proposa à d’Ormesson un projet de son cru qui étendait à tout le ressort la liberté de clôture et y ajoutait l’autorisation pour les communautés d’affermer ou aliéner leurs communaux. Mais ces n</w:t>
      </w:r>
      <w:r w:rsidRPr="009C29C2">
        <w:rPr>
          <w:color w:val="000000"/>
          <w:lang w:eastAsia="fr-FR" w:bidi="fr-FR"/>
        </w:rPr>
        <w:t>é</w:t>
      </w:r>
      <w:r w:rsidRPr="009C29C2">
        <w:rPr>
          <w:color w:val="000000"/>
          <w:lang w:eastAsia="fr-FR" w:bidi="fr-FR"/>
        </w:rPr>
        <w:t>gociations avaient pris du temps. Lorsque, le 29 janvier 1774, d’Esmangart communiqua son dessein à d’Ormesson, celui-ci, on le verra, avait, déjà depuis plusieurs mois, cessé d’avoir la</w:t>
      </w:r>
      <w:r>
        <w:rPr>
          <w:color w:val="000000"/>
          <w:lang w:eastAsia="fr-FR" w:bidi="fr-FR"/>
        </w:rPr>
        <w:t xml:space="preserve"> [534] </w:t>
      </w:r>
      <w:r w:rsidRPr="009C29C2">
        <w:rPr>
          <w:color w:val="000000"/>
          <w:lang w:eastAsia="fr-FR" w:bidi="fr-FR"/>
        </w:rPr>
        <w:t>haute main sur la politique agraire. Par ailleurs, c’était avec le nouveau Pa</w:t>
      </w:r>
      <w:r w:rsidRPr="009C29C2">
        <w:rPr>
          <w:color w:val="000000"/>
          <w:lang w:eastAsia="fr-FR" w:bidi="fr-FR"/>
        </w:rPr>
        <w:t>r</w:t>
      </w:r>
      <w:r w:rsidRPr="009C29C2">
        <w:rPr>
          <w:color w:val="000000"/>
          <w:lang w:eastAsia="fr-FR" w:bidi="fr-FR"/>
        </w:rPr>
        <w:t>lement installé par Maupeou que l’on avait négocié. Mais, le 2 mars 1775, l’ancienne cour fut rappelée. Situation délicate. Lor</w:t>
      </w:r>
      <w:r w:rsidRPr="009C29C2">
        <w:rPr>
          <w:color w:val="000000"/>
          <w:lang w:eastAsia="fr-FR" w:bidi="fr-FR"/>
        </w:rPr>
        <w:t>s</w:t>
      </w:r>
      <w:r w:rsidRPr="009C29C2">
        <w:rPr>
          <w:color w:val="000000"/>
          <w:lang w:eastAsia="fr-FR" w:bidi="fr-FR"/>
        </w:rPr>
        <w:t>que, en 1776, Bertin, redevenu véritablement ministre de l’Agriculture, so</w:t>
      </w:r>
      <w:r w:rsidRPr="009C29C2">
        <w:rPr>
          <w:color w:val="000000"/>
          <w:lang w:eastAsia="fr-FR" w:bidi="fr-FR"/>
        </w:rPr>
        <w:t>n</w:t>
      </w:r>
      <w:r w:rsidRPr="009C29C2">
        <w:rPr>
          <w:color w:val="000000"/>
          <w:lang w:eastAsia="fr-FR" w:bidi="fr-FR"/>
        </w:rPr>
        <w:t xml:space="preserve">gea à reprendre l’affaire, il recommanda à l’intendant d’éviter dans </w:t>
      </w:r>
      <w:r w:rsidRPr="009C29C2">
        <w:rPr>
          <w:color w:val="000000"/>
          <w:lang w:eastAsia="fr-FR" w:bidi="fr-FR"/>
        </w:rPr>
        <w:lastRenderedPageBreak/>
        <w:t>ses conversations avec le Premier Président et le Procureur général</w:t>
      </w:r>
      <w:r>
        <w:rPr>
          <w:color w:val="000000"/>
          <w:lang w:eastAsia="fr-FR" w:bidi="fr-FR"/>
        </w:rPr>
        <w:t> — </w:t>
      </w:r>
      <w:r w:rsidRPr="009C29C2">
        <w:rPr>
          <w:color w:val="000000"/>
          <w:lang w:eastAsia="fr-FR" w:bidi="fr-FR"/>
        </w:rPr>
        <w:t>tous deux jadis cassés par Maupeou et récemment revenus en cha</w:t>
      </w:r>
      <w:r w:rsidRPr="009C29C2">
        <w:rPr>
          <w:color w:val="000000"/>
          <w:lang w:eastAsia="fr-FR" w:bidi="fr-FR"/>
        </w:rPr>
        <w:t>r</w:t>
      </w:r>
      <w:r w:rsidRPr="009C29C2">
        <w:rPr>
          <w:color w:val="000000"/>
          <w:lang w:eastAsia="fr-FR" w:bidi="fr-FR"/>
        </w:rPr>
        <w:t>ge</w:t>
      </w:r>
      <w:r>
        <w:rPr>
          <w:color w:val="000000"/>
          <w:lang w:eastAsia="fr-FR" w:bidi="fr-FR"/>
        </w:rPr>
        <w:t> — </w:t>
      </w:r>
      <w:r w:rsidRPr="009C29C2">
        <w:rPr>
          <w:color w:val="000000"/>
          <w:lang w:eastAsia="fr-FR" w:bidi="fr-FR"/>
        </w:rPr>
        <w:t>la moindre allusion à « ce qui s’est déjà fait avec ceux qui étoient alors à la tête du Parlement ». En fait, soit hostilité de la part des magistrats ancien style, soit manque d’esprit de suite du côté du pouvoir central, qui avait changé de mains, la réforme n’aboutit point.</w:t>
      </w:r>
    </w:p>
    <w:p w14:paraId="4568A7F4" w14:textId="77777777" w:rsidR="00B9662D" w:rsidRDefault="00B9662D" w:rsidP="00B9662D">
      <w:pPr>
        <w:spacing w:before="120" w:after="120"/>
        <w:jc w:val="both"/>
        <w:rPr>
          <w:rStyle w:val="Corpsdutexte9105ptNonGrasPetitesmajuscules"/>
          <w:b w:val="0"/>
          <w:bCs w:val="0"/>
          <w:sz w:val="28"/>
        </w:rPr>
      </w:pPr>
    </w:p>
    <w:p w14:paraId="5B0026C9" w14:textId="77777777" w:rsidR="00B9662D" w:rsidRPr="009C29C2" w:rsidRDefault="00B9662D" w:rsidP="00B9662D">
      <w:pPr>
        <w:pStyle w:val="planche"/>
      </w:pPr>
      <w:bookmarkStart w:id="18" w:name="Melanges_t2_pt_6_chap_III_V"/>
      <w:r w:rsidRPr="00EA1B5E">
        <w:rPr>
          <w:smallCaps/>
        </w:rPr>
        <w:t xml:space="preserve">V. — La </w:t>
      </w:r>
      <w:r w:rsidRPr="009C29C2">
        <w:t xml:space="preserve">fin du régime ; Bertin et </w:t>
      </w:r>
      <w:r>
        <w:t>V</w:t>
      </w:r>
      <w:r w:rsidRPr="009C29C2">
        <w:t>ergennes</w:t>
      </w:r>
    </w:p>
    <w:bookmarkEnd w:id="18"/>
    <w:p w14:paraId="2FDCE37C" w14:textId="77777777" w:rsidR="00B9662D" w:rsidRDefault="00B9662D" w:rsidP="00B9662D">
      <w:pPr>
        <w:spacing w:before="120" w:after="120"/>
        <w:jc w:val="both"/>
        <w:rPr>
          <w:color w:val="000000"/>
          <w:lang w:eastAsia="fr-FR" w:bidi="fr-FR"/>
        </w:rPr>
      </w:pPr>
    </w:p>
    <w:p w14:paraId="480FC631"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0331DD8" w14:textId="77777777" w:rsidR="00B9662D" w:rsidRPr="009C29C2" w:rsidRDefault="00B9662D" w:rsidP="00B9662D">
      <w:pPr>
        <w:spacing w:before="120" w:after="120"/>
        <w:jc w:val="both"/>
      </w:pPr>
      <w:r w:rsidRPr="009C29C2">
        <w:rPr>
          <w:color w:val="000000"/>
          <w:lang w:eastAsia="fr-FR" w:bidi="fr-FR"/>
        </w:rPr>
        <w:t>Dans les premiers jours du mois de décembre 1773, le roi prescr</w:t>
      </w:r>
      <w:r w:rsidRPr="009C29C2">
        <w:rPr>
          <w:color w:val="000000"/>
          <w:lang w:eastAsia="fr-FR" w:bidi="fr-FR"/>
        </w:rPr>
        <w:t>i</w:t>
      </w:r>
      <w:r w:rsidRPr="009C29C2">
        <w:rPr>
          <w:color w:val="000000"/>
          <w:lang w:eastAsia="fr-FR" w:bidi="fr-FR"/>
        </w:rPr>
        <w:t>vit de réunir « au département de M. Bertin » « l’exécution des loix concernant les défrichemens, desséchemens et abolition du droit de parcours », ainsi que les questions relatives au partage des comm</w:t>
      </w:r>
      <w:r w:rsidRPr="009C29C2">
        <w:rPr>
          <w:color w:val="000000"/>
          <w:lang w:eastAsia="fr-FR" w:bidi="fr-FR"/>
        </w:rPr>
        <w:t>u</w:t>
      </w:r>
      <w:r w:rsidRPr="009C29C2">
        <w:rPr>
          <w:color w:val="000000"/>
          <w:lang w:eastAsia="fr-FR" w:bidi="fr-FR"/>
        </w:rPr>
        <w:t>naux. D’Ormesson plia à regret ; il ne livra ses dossiers que le 22 mars suivant, sur un ordre formel de Terray</w:t>
      </w:r>
      <w:r>
        <w:rPr>
          <w:color w:val="000000"/>
          <w:lang w:eastAsia="fr-FR" w:bidi="fr-FR"/>
        </w:rPr>
        <w:t> </w:t>
      </w:r>
      <w:r>
        <w:rPr>
          <w:rStyle w:val="Appelnotedebasdep"/>
        </w:rPr>
        <w:footnoteReference w:id="251"/>
      </w:r>
      <w:r w:rsidRPr="009C29C2">
        <w:rPr>
          <w:color w:val="000000"/>
          <w:lang w:eastAsia="fr-FR" w:bidi="fr-FR"/>
        </w:rPr>
        <w:t>. Il mourut peu après, en 1774.</w:t>
      </w:r>
    </w:p>
    <w:p w14:paraId="640CAB5A" w14:textId="77777777" w:rsidR="00B9662D" w:rsidRPr="009C29C2" w:rsidRDefault="00B9662D" w:rsidP="00B9662D">
      <w:pPr>
        <w:spacing w:before="120" w:after="120"/>
        <w:jc w:val="both"/>
      </w:pPr>
      <w:r w:rsidRPr="009C29C2">
        <w:rPr>
          <w:color w:val="000000"/>
          <w:lang w:eastAsia="fr-FR" w:bidi="fr-FR"/>
        </w:rPr>
        <w:t>Le triomphe de Bertin entraîna l’abandon de la politique vigoure</w:t>
      </w:r>
      <w:r w:rsidRPr="009C29C2">
        <w:rPr>
          <w:color w:val="000000"/>
          <w:lang w:eastAsia="fr-FR" w:bidi="fr-FR"/>
        </w:rPr>
        <w:t>u</w:t>
      </w:r>
      <w:r w:rsidRPr="009C29C2">
        <w:rPr>
          <w:color w:val="000000"/>
          <w:lang w:eastAsia="fr-FR" w:bidi="fr-FR"/>
        </w:rPr>
        <w:t>se du département des impositions. Le ministre se contenta de suivre les affaires en train : édit lorrain, édit bordelais ; encore ne le fit-il que mollement et sans rien mener à bien. Un seul édit nouveau date de son administration : celui qui concerne le Boulonnais. Préparé par d’Ormesson, il répondait à des nécessités économiques d’une nature toute particulière</w:t>
      </w:r>
      <w:r>
        <w:rPr>
          <w:color w:val="000000"/>
          <w:lang w:eastAsia="fr-FR" w:bidi="fr-FR"/>
        </w:rPr>
        <w:t> </w:t>
      </w:r>
      <w:r>
        <w:rPr>
          <w:rStyle w:val="Appelnotedebasdep"/>
        </w:rPr>
        <w:footnoteReference w:id="252"/>
      </w:r>
      <w:r w:rsidRPr="009C29C2">
        <w:rPr>
          <w:color w:val="000000"/>
          <w:lang w:eastAsia="fr-FR" w:bidi="fr-FR"/>
        </w:rPr>
        <w:t>.</w:t>
      </w:r>
    </w:p>
    <w:p w14:paraId="55168B43" w14:textId="77777777" w:rsidR="00B9662D" w:rsidRPr="009C29C2" w:rsidRDefault="00B9662D" w:rsidP="00B9662D">
      <w:pPr>
        <w:spacing w:before="120" w:after="120"/>
        <w:jc w:val="both"/>
      </w:pPr>
      <w:r w:rsidRPr="009C29C2">
        <w:rPr>
          <w:color w:val="000000"/>
          <w:lang w:eastAsia="fr-FR" w:bidi="fr-FR"/>
        </w:rPr>
        <w:t>Le Boulonnais subissait à ce moment une profonde métamorph</w:t>
      </w:r>
      <w:r w:rsidRPr="009C29C2">
        <w:rPr>
          <w:color w:val="000000"/>
          <w:lang w:eastAsia="fr-FR" w:bidi="fr-FR"/>
        </w:rPr>
        <w:t>o</w:t>
      </w:r>
      <w:r w:rsidRPr="009C29C2">
        <w:rPr>
          <w:color w:val="000000"/>
          <w:lang w:eastAsia="fr-FR" w:bidi="fr-FR"/>
        </w:rPr>
        <w:t xml:space="preserve">se : il devenait pays d’herbage. Le phénomène n’est pas unique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ni en France, ni, d’une façon générale, en Europe. L’agriculture ancienne était partout fondée sur les céréales : chaque </w:t>
      </w:r>
      <w:r w:rsidRPr="009C29C2">
        <w:rPr>
          <w:color w:val="000000"/>
          <w:lang w:eastAsia="fr-FR" w:bidi="fr-FR"/>
        </w:rPr>
        <w:lastRenderedPageBreak/>
        <w:t>région, ou mieux chaque village s’efforçait avant tout de produire son propre pain, parce qu’on jugeait imprudent et qu’il l’eût été en effet de compter sur le secours des contrées voisines ; ni l’état des commun</w:t>
      </w:r>
      <w:r w:rsidRPr="009C29C2">
        <w:rPr>
          <w:color w:val="000000"/>
          <w:lang w:eastAsia="fr-FR" w:bidi="fr-FR"/>
        </w:rPr>
        <w:t>i</w:t>
      </w:r>
      <w:r w:rsidRPr="009C29C2">
        <w:rPr>
          <w:color w:val="000000"/>
          <w:lang w:eastAsia="fr-FR" w:bidi="fr-FR"/>
        </w:rPr>
        <w:t xml:space="preserve">cations, ni les mœurs économiques ne favorisaient les échanges.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ces conceptions, jadis nécessaires, commençaient à paraître démodées aux esprits éclairés, ou simplement aux agriculteurs entreprenants. Le développement du réseau routier, l’établissement d’une vie économique nationale rendaient aisée et lucrative la circul</w:t>
      </w:r>
      <w:r w:rsidRPr="009C29C2">
        <w:rPr>
          <w:color w:val="000000"/>
          <w:lang w:eastAsia="fr-FR" w:bidi="fr-FR"/>
        </w:rPr>
        <w:t>a</w:t>
      </w:r>
      <w:r w:rsidRPr="009C29C2">
        <w:rPr>
          <w:color w:val="000000"/>
          <w:lang w:eastAsia="fr-FR" w:bidi="fr-FR"/>
        </w:rPr>
        <w:t>tion des biens ; la science agronomique popularisait l’idée que les productions doivent s’adapter aux conditions naturelles. Ces principes nouveaux trouvèrent de bonne heure leur application dans le Boulo</w:t>
      </w:r>
      <w:r w:rsidRPr="009C29C2">
        <w:rPr>
          <w:color w:val="000000"/>
          <w:lang w:eastAsia="fr-FR" w:bidi="fr-FR"/>
        </w:rPr>
        <w:t>n</w:t>
      </w:r>
      <w:r w:rsidRPr="009C29C2">
        <w:rPr>
          <w:color w:val="000000"/>
          <w:lang w:eastAsia="fr-FR" w:bidi="fr-FR"/>
        </w:rPr>
        <w:t>nais. Le sol argileux et le régime des pluies y étaient également prop</w:t>
      </w:r>
      <w:r w:rsidRPr="009C29C2">
        <w:rPr>
          <w:color w:val="000000"/>
          <w:lang w:eastAsia="fr-FR" w:bidi="fr-FR"/>
        </w:rPr>
        <w:t>i</w:t>
      </w:r>
      <w:r w:rsidRPr="009C29C2">
        <w:rPr>
          <w:color w:val="000000"/>
          <w:lang w:eastAsia="fr-FR" w:bidi="fr-FR"/>
        </w:rPr>
        <w:t>ces aux prairies, beaucoup plus qu’aux céréales. Les terres à blé des grandes plaines limoneuses, toutes proches, semblaient prêtes</w:t>
      </w:r>
      <w:r>
        <w:t xml:space="preserve"> </w:t>
      </w:r>
      <w:r>
        <w:rPr>
          <w:color w:val="000000"/>
          <w:lang w:eastAsia="fr-FR" w:bidi="fr-FR"/>
        </w:rPr>
        <w:t xml:space="preserve">[635] </w:t>
      </w:r>
      <w:r w:rsidRPr="009C29C2">
        <w:rPr>
          <w:color w:val="000000"/>
          <w:lang w:eastAsia="fr-FR" w:bidi="fr-FR"/>
        </w:rPr>
        <w:t>à livrer leurs grains, écartant ainsi toute menace de disette. En r</w:t>
      </w:r>
      <w:r w:rsidRPr="009C29C2">
        <w:rPr>
          <w:color w:val="000000"/>
          <w:lang w:eastAsia="fr-FR" w:bidi="fr-FR"/>
        </w:rPr>
        <w:t>e</w:t>
      </w:r>
      <w:r w:rsidRPr="009C29C2">
        <w:rPr>
          <w:color w:val="000000"/>
          <w:lang w:eastAsia="fr-FR" w:bidi="fr-FR"/>
        </w:rPr>
        <w:t>vanche, elles demandaient du bétail, des chevaux notamment ; pour la viande et le laitage, les villes flamandes et Boulogne même fourni</w:t>
      </w:r>
      <w:r w:rsidRPr="009C29C2">
        <w:rPr>
          <w:color w:val="000000"/>
          <w:lang w:eastAsia="fr-FR" w:bidi="fr-FR"/>
        </w:rPr>
        <w:t>s</w:t>
      </w:r>
      <w:r w:rsidRPr="009C29C2">
        <w:rPr>
          <w:color w:val="000000"/>
          <w:lang w:eastAsia="fr-FR" w:bidi="fr-FR"/>
        </w:rPr>
        <w:t>saient un débouché excellent. Dès 1769, le subdélégué pouvait écrire : « le Bo</w:t>
      </w:r>
      <w:r w:rsidRPr="009C29C2">
        <w:rPr>
          <w:color w:val="000000"/>
          <w:lang w:eastAsia="fr-FR" w:bidi="fr-FR"/>
        </w:rPr>
        <w:t>u</w:t>
      </w:r>
      <w:r w:rsidRPr="009C29C2">
        <w:rPr>
          <w:color w:val="000000"/>
          <w:lang w:eastAsia="fr-FR" w:bidi="fr-FR"/>
        </w:rPr>
        <w:t>lonnais n’est point un Pays d’Agriculture ». Mais l’évolution était e</w:t>
      </w:r>
      <w:r w:rsidRPr="009C29C2">
        <w:rPr>
          <w:color w:val="000000"/>
          <w:lang w:eastAsia="fr-FR" w:bidi="fr-FR"/>
        </w:rPr>
        <w:t>n</w:t>
      </w:r>
      <w:r w:rsidRPr="009C29C2">
        <w:rPr>
          <w:color w:val="000000"/>
          <w:lang w:eastAsia="fr-FR" w:bidi="fr-FR"/>
        </w:rPr>
        <w:t>core loin d’être achevée. Elle était entravée par les anciennes règles agraires que fixait, très strictement, la Coutume de la province. Sauf privilège contraire, tous les prés étaient ouverts après la première he</w:t>
      </w:r>
      <w:r w:rsidRPr="009C29C2">
        <w:rPr>
          <w:color w:val="000000"/>
          <w:lang w:eastAsia="fr-FR" w:bidi="fr-FR"/>
        </w:rPr>
        <w:t>r</w:t>
      </w:r>
      <w:r w:rsidRPr="009C29C2">
        <w:rPr>
          <w:color w:val="000000"/>
          <w:lang w:eastAsia="fr-FR" w:bidi="fr-FR"/>
        </w:rPr>
        <w:t>be. La clôture, limitée sur les fiefs au cinquième de leur superficie, était pratiquement interdite sur les terres tenues en censive, ou, co</w:t>
      </w:r>
      <w:r w:rsidRPr="009C29C2">
        <w:rPr>
          <w:color w:val="000000"/>
          <w:lang w:eastAsia="fr-FR" w:bidi="fr-FR"/>
        </w:rPr>
        <w:t>m</w:t>
      </w:r>
      <w:r w:rsidRPr="009C29C2">
        <w:rPr>
          <w:color w:val="000000"/>
          <w:lang w:eastAsia="fr-FR" w:bidi="fr-FR"/>
        </w:rPr>
        <w:t>me on disait, en « coterie » ; en effet, elle n’y était admise que jusqu’à concurrence d’un arpent, et cela encore à une double condition : l’enclos devait être attenant à un village ou à un chemin ;</w:t>
      </w:r>
      <w:r>
        <w:rPr>
          <w:color w:val="000000"/>
          <w:lang w:eastAsia="fr-FR" w:bidi="fr-FR"/>
        </w:rPr>
        <w:t> — </w:t>
      </w:r>
      <w:r w:rsidRPr="009C29C2">
        <w:rPr>
          <w:color w:val="000000"/>
          <w:lang w:eastAsia="fr-FR" w:bidi="fr-FR"/>
        </w:rPr>
        <w:t>il devait cesser d’être en labour ou en pré ; on ne pouvait le destiner qu’à faire un jardin ou un verger ou bien encore à y bâtir une maison. Donc pas de prairies artificielles possibles ; et, dans les herbages anciens ou nouveaux, une grande partie du produit prélevé par la vaine pâture. Beaucoup de propriétaires demandaient que ces usages fussent mod</w:t>
      </w:r>
      <w:r w:rsidRPr="009C29C2">
        <w:rPr>
          <w:color w:val="000000"/>
          <w:lang w:eastAsia="fr-FR" w:bidi="fr-FR"/>
        </w:rPr>
        <w:t>i</w:t>
      </w:r>
      <w:r w:rsidRPr="009C29C2">
        <w:rPr>
          <w:color w:val="000000"/>
          <w:lang w:eastAsia="fr-FR" w:bidi="fr-FR"/>
        </w:rPr>
        <w:t>fiés : ils avaient l’appui du subdélégué, Dauphin d’Halinghem, qui, en 1769, prit occasion de l’enquête poursuivie par d’Ormesson pour so</w:t>
      </w:r>
      <w:r w:rsidRPr="009C29C2">
        <w:rPr>
          <w:color w:val="000000"/>
          <w:lang w:eastAsia="fr-FR" w:bidi="fr-FR"/>
        </w:rPr>
        <w:t>l</w:t>
      </w:r>
      <w:r w:rsidRPr="009C29C2">
        <w:rPr>
          <w:color w:val="000000"/>
          <w:lang w:eastAsia="fr-FR" w:bidi="fr-FR"/>
        </w:rPr>
        <w:t>liciter un édit autorisant la clôture. Mais ce projet se heurtait aux int</w:t>
      </w:r>
      <w:r w:rsidRPr="009C29C2">
        <w:rPr>
          <w:color w:val="000000"/>
          <w:lang w:eastAsia="fr-FR" w:bidi="fr-FR"/>
        </w:rPr>
        <w:t>é</w:t>
      </w:r>
      <w:r w:rsidRPr="009C29C2">
        <w:rPr>
          <w:color w:val="000000"/>
          <w:lang w:eastAsia="fr-FR" w:bidi="fr-FR"/>
        </w:rPr>
        <w:t>rêts contraires : non seulement, comme un peu partout, ceux des pa</w:t>
      </w:r>
      <w:r w:rsidRPr="009C29C2">
        <w:rPr>
          <w:color w:val="000000"/>
          <w:lang w:eastAsia="fr-FR" w:bidi="fr-FR"/>
        </w:rPr>
        <w:t>u</w:t>
      </w:r>
      <w:r w:rsidRPr="009C29C2">
        <w:rPr>
          <w:color w:val="000000"/>
          <w:lang w:eastAsia="fr-FR" w:bidi="fr-FR"/>
        </w:rPr>
        <w:t>vres habitants, ceux des voituriers et notamment des commerçants en blé, les « blatiers », mais, chose plus rare et plus grave, ceux du cle</w:t>
      </w:r>
      <w:r w:rsidRPr="009C29C2">
        <w:rPr>
          <w:color w:val="000000"/>
          <w:lang w:eastAsia="fr-FR" w:bidi="fr-FR"/>
        </w:rPr>
        <w:t>r</w:t>
      </w:r>
      <w:r w:rsidRPr="009C29C2">
        <w:rPr>
          <w:color w:val="000000"/>
          <w:lang w:eastAsia="fr-FR" w:bidi="fr-FR"/>
        </w:rPr>
        <w:t xml:space="preserve">gé. L’opposition des ecclésiastiques fut extrêmement vive ; </w:t>
      </w:r>
      <w:r w:rsidRPr="009C29C2">
        <w:rPr>
          <w:color w:val="000000"/>
          <w:lang w:eastAsia="fr-FR" w:bidi="fr-FR"/>
        </w:rPr>
        <w:lastRenderedPageBreak/>
        <w:t>l’évêque de Boulogne lui-même en prit la tête, rédigeant, ou tout au moins a</w:t>
      </w:r>
      <w:r w:rsidRPr="009C29C2">
        <w:rPr>
          <w:color w:val="000000"/>
          <w:lang w:eastAsia="fr-FR" w:bidi="fr-FR"/>
        </w:rPr>
        <w:t>c</w:t>
      </w:r>
      <w:r w:rsidRPr="009C29C2">
        <w:rPr>
          <w:color w:val="000000"/>
          <w:lang w:eastAsia="fr-FR" w:bidi="fr-FR"/>
        </w:rPr>
        <w:t>ceptant de signer un long mémoire au Contrôleur général</w:t>
      </w:r>
      <w:r>
        <w:rPr>
          <w:color w:val="000000"/>
          <w:lang w:eastAsia="fr-FR" w:bidi="fr-FR"/>
        </w:rPr>
        <w:t> </w:t>
      </w:r>
      <w:r>
        <w:rPr>
          <w:rStyle w:val="Appelnotedebasdep"/>
        </w:rPr>
        <w:footnoteReference w:id="253"/>
      </w:r>
      <w:r w:rsidRPr="009C29C2">
        <w:rPr>
          <w:color w:val="000000"/>
          <w:lang w:eastAsia="fr-FR" w:bidi="fr-FR"/>
        </w:rPr>
        <w:t>. Il parlait au nom des pauvres ; il évoquait le spectre de la famine, qui ne ma</w:t>
      </w:r>
      <w:r w:rsidRPr="009C29C2">
        <w:rPr>
          <w:color w:val="000000"/>
          <w:lang w:eastAsia="fr-FR" w:bidi="fr-FR"/>
        </w:rPr>
        <w:t>n</w:t>
      </w:r>
      <w:r w:rsidRPr="009C29C2">
        <w:rPr>
          <w:color w:val="000000"/>
          <w:lang w:eastAsia="fr-FR" w:bidi="fr-FR"/>
        </w:rPr>
        <w:t>querait pas de fondre sur le pays lorsque les blatiers, privés du pâtur</w:t>
      </w:r>
      <w:r w:rsidRPr="009C29C2">
        <w:rPr>
          <w:color w:val="000000"/>
          <w:lang w:eastAsia="fr-FR" w:bidi="fr-FR"/>
        </w:rPr>
        <w:t>a</w:t>
      </w:r>
      <w:r w:rsidRPr="009C29C2">
        <w:rPr>
          <w:color w:val="000000"/>
          <w:lang w:eastAsia="fr-FR" w:bidi="fr-FR"/>
        </w:rPr>
        <w:t>ge commun, se trouveraient, faute de chevaux, contraints de cesser leur commerce ; il peignit sous de noires couleurs la dépopulation, suite nécessaire de la substitution des prairies aux emblavures. Il n’y a pas de raison de douter que ces arguments ne fussent sincères. Mais le prélat ne disait pas tout. Comme l’indiquait le subdélégué, le clergé avait de bonnes raisons pour ne pas approuver une mesure propre à précipiter l’évolution qui tendait à métamorphoser le Boulonnais en un vaste pâturage : le blé payait la dîme, les prés ne la payaient point. Les adversaires de la réforme parvinrent à la retarder pendant huit ans. L’édit ne fut publié qu’en septembre 1777</w:t>
      </w:r>
      <w:r>
        <w:rPr>
          <w:color w:val="000000"/>
          <w:lang w:eastAsia="fr-FR" w:bidi="fr-FR"/>
        </w:rPr>
        <w:t> </w:t>
      </w:r>
      <w:r>
        <w:rPr>
          <w:rStyle w:val="Appelnotedebasdep"/>
        </w:rPr>
        <w:footnoteReference w:id="254"/>
      </w:r>
      <w:r w:rsidRPr="009C29C2">
        <w:rPr>
          <w:color w:val="000000"/>
          <w:lang w:eastAsia="fr-FR" w:bidi="fr-FR"/>
        </w:rPr>
        <w:t>. Il autorisait les clôtures, mais sans abolir le parcours. Bertin n’aimait point les mesures trop radicales</w:t>
      </w:r>
      <w:r>
        <w:rPr>
          <w:color w:val="000000"/>
          <w:lang w:eastAsia="fr-FR" w:bidi="fr-FR"/>
        </w:rPr>
        <w:t> </w:t>
      </w:r>
      <w:r>
        <w:rPr>
          <w:rStyle w:val="Appelnotedebasdep"/>
        </w:rPr>
        <w:footnoteReference w:id="255"/>
      </w:r>
      <w:r w:rsidRPr="009C29C2">
        <w:rPr>
          <w:color w:val="000000"/>
          <w:lang w:eastAsia="fr-FR" w:bidi="fr-FR"/>
        </w:rPr>
        <w:t>.</w:t>
      </w:r>
    </w:p>
    <w:p w14:paraId="5CE974EF" w14:textId="77777777" w:rsidR="00B9662D" w:rsidRDefault="00B9662D" w:rsidP="00B9662D">
      <w:pPr>
        <w:spacing w:before="120" w:after="120"/>
        <w:jc w:val="both"/>
      </w:pPr>
      <w:r>
        <w:t>[636]</w:t>
      </w:r>
    </w:p>
    <w:p w14:paraId="0337EEBD" w14:textId="77777777" w:rsidR="00B9662D" w:rsidRPr="009C29C2" w:rsidRDefault="00B9662D" w:rsidP="00B9662D">
      <w:pPr>
        <w:pStyle w:val="c"/>
      </w:pPr>
      <w:r>
        <w:t>*</w:t>
      </w:r>
      <w:r>
        <w:br/>
        <w:t>*     *</w:t>
      </w:r>
    </w:p>
    <w:p w14:paraId="13CE6A15" w14:textId="77777777" w:rsidR="00B9662D" w:rsidRPr="009C29C2" w:rsidRDefault="00B9662D" w:rsidP="00B9662D">
      <w:pPr>
        <w:spacing w:before="120" w:after="120"/>
        <w:jc w:val="both"/>
      </w:pPr>
      <w:r w:rsidRPr="009C29C2">
        <w:rPr>
          <w:color w:val="000000"/>
          <w:lang w:eastAsia="fr-FR" w:bidi="fr-FR"/>
        </w:rPr>
        <w:t xml:space="preserve">Les bureaux des finances ne s’étaient jamais résignés à leur échec de 1773. En 1779, d’Ailly, ancien premier commis de d’Ormesson, devenu chef de bureau des impositions, prit l’offensive. Necker était alors « Directeur général » ; peu sympathique à Bertin, et par ailleurs </w:t>
      </w:r>
      <w:r w:rsidRPr="009C29C2">
        <w:rPr>
          <w:color w:val="000000"/>
          <w:lang w:eastAsia="fr-FR" w:bidi="fr-FR"/>
        </w:rPr>
        <w:lastRenderedPageBreak/>
        <w:t>jaloux de son autorité, il se laissa facilement gagner. Dès le 27 se</w:t>
      </w:r>
      <w:r w:rsidRPr="009C29C2">
        <w:rPr>
          <w:color w:val="000000"/>
          <w:lang w:eastAsia="fr-FR" w:bidi="fr-FR"/>
        </w:rPr>
        <w:t>p</w:t>
      </w:r>
      <w:r w:rsidRPr="009C29C2">
        <w:rPr>
          <w:color w:val="000000"/>
          <w:lang w:eastAsia="fr-FR" w:bidi="fr-FR"/>
        </w:rPr>
        <w:t>tembre 1779, il annonçait à ses services l’intention où il était de traiter désormais lui-même « toutes les affaires de défrichement, dessèch</w:t>
      </w:r>
      <w:r w:rsidRPr="009C29C2">
        <w:rPr>
          <w:color w:val="000000"/>
          <w:lang w:eastAsia="fr-FR" w:bidi="fr-FR"/>
        </w:rPr>
        <w:t>e</w:t>
      </w:r>
      <w:r w:rsidRPr="009C29C2">
        <w:rPr>
          <w:color w:val="000000"/>
          <w:lang w:eastAsia="fr-FR" w:bidi="fr-FR"/>
        </w:rPr>
        <w:t>ment ou partage des communes qui se présenteront »</w:t>
      </w:r>
      <w:r>
        <w:rPr>
          <w:color w:val="000000"/>
          <w:lang w:eastAsia="fr-FR" w:bidi="fr-FR"/>
        </w:rPr>
        <w:t> </w:t>
      </w:r>
      <w:r>
        <w:rPr>
          <w:rStyle w:val="Appelnotedebasdep"/>
        </w:rPr>
        <w:footnoteReference w:id="256"/>
      </w:r>
      <w:r>
        <w:rPr>
          <w:color w:val="000000"/>
          <w:lang w:eastAsia="fr-FR" w:bidi="fr-FR"/>
        </w:rPr>
        <w:t>.</w:t>
      </w:r>
      <w:r w:rsidRPr="009C29C2">
        <w:rPr>
          <w:color w:val="000000"/>
          <w:lang w:eastAsia="fr-FR" w:bidi="fr-FR"/>
        </w:rPr>
        <w:t xml:space="preserve"> Bertin, sans doute, apparaissait, d’ores et déjà, comme condamné. Il dut, en effet, se retirer en novembre 1780 ; sa charge même</w:t>
      </w:r>
      <w:r>
        <w:rPr>
          <w:color w:val="000000"/>
          <w:lang w:eastAsia="fr-FR" w:bidi="fr-FR"/>
        </w:rPr>
        <w:t> — </w:t>
      </w:r>
      <w:r w:rsidRPr="009C29C2">
        <w:rPr>
          <w:color w:val="000000"/>
          <w:lang w:eastAsia="fr-FR" w:bidi="fr-FR"/>
        </w:rPr>
        <w:t>le cinquième Secr</w:t>
      </w:r>
      <w:r w:rsidRPr="009C29C2">
        <w:rPr>
          <w:color w:val="000000"/>
          <w:lang w:eastAsia="fr-FR" w:bidi="fr-FR"/>
        </w:rPr>
        <w:t>é</w:t>
      </w:r>
      <w:r w:rsidRPr="009C29C2">
        <w:rPr>
          <w:color w:val="000000"/>
          <w:lang w:eastAsia="fr-FR" w:bidi="fr-FR"/>
        </w:rPr>
        <w:t>tariat d’État</w:t>
      </w:r>
      <w:r>
        <w:rPr>
          <w:color w:val="000000"/>
          <w:lang w:eastAsia="fr-FR" w:bidi="fr-FR"/>
        </w:rPr>
        <w:t> — </w:t>
      </w:r>
      <w:r w:rsidRPr="009C29C2">
        <w:rPr>
          <w:color w:val="000000"/>
          <w:lang w:eastAsia="fr-FR" w:bidi="fr-FR"/>
        </w:rPr>
        <w:t>fut supprimée. Les objets relatifs à l’agriculture furent remis de nouveau au bureau des impositions, et, de 1783 à 1787, fo</w:t>
      </w:r>
      <w:r w:rsidRPr="009C29C2">
        <w:rPr>
          <w:color w:val="000000"/>
          <w:lang w:eastAsia="fr-FR" w:bidi="fr-FR"/>
        </w:rPr>
        <w:t>r</w:t>
      </w:r>
      <w:r w:rsidRPr="009C29C2">
        <w:rPr>
          <w:color w:val="000000"/>
          <w:lang w:eastAsia="fr-FR" w:bidi="fr-FR"/>
        </w:rPr>
        <w:t>mèrent, avec ce dernier, sous l’autorité du Contrôleur général, un d</w:t>
      </w:r>
      <w:r w:rsidRPr="009C29C2">
        <w:rPr>
          <w:color w:val="000000"/>
          <w:lang w:eastAsia="fr-FR" w:bidi="fr-FR"/>
        </w:rPr>
        <w:t>é</w:t>
      </w:r>
      <w:r w:rsidRPr="009C29C2">
        <w:rPr>
          <w:color w:val="000000"/>
          <w:lang w:eastAsia="fr-FR" w:bidi="fr-FR"/>
        </w:rPr>
        <w:t>partement spécial confié à un maître des requêtes, Gravier de Verge</w:t>
      </w:r>
      <w:r w:rsidRPr="009C29C2">
        <w:rPr>
          <w:color w:val="000000"/>
          <w:lang w:eastAsia="fr-FR" w:bidi="fr-FR"/>
        </w:rPr>
        <w:t>n</w:t>
      </w:r>
      <w:r w:rsidRPr="009C29C2">
        <w:rPr>
          <w:color w:val="000000"/>
          <w:lang w:eastAsia="fr-FR" w:bidi="fr-FR"/>
        </w:rPr>
        <w:t xml:space="preserve">nes. En 1785, Vergennes crut bon d’instituer un nouveau comité consultatif, dit </w:t>
      </w:r>
      <w:r w:rsidRPr="003251A0">
        <w:rPr>
          <w:i/>
        </w:rPr>
        <w:t>Comité d'administration de L’Agriculture</w:t>
      </w:r>
      <w:r>
        <w:t> </w:t>
      </w:r>
      <w:r>
        <w:rPr>
          <w:rStyle w:val="Appelnotedebasdep"/>
        </w:rPr>
        <w:footnoteReference w:id="257"/>
      </w:r>
      <w:r w:rsidRPr="009C29C2">
        <w:t>.</w:t>
      </w:r>
      <w:r w:rsidRPr="009C29C2">
        <w:rPr>
          <w:color w:val="000000"/>
          <w:lang w:eastAsia="fr-FR" w:bidi="fr-FR"/>
        </w:rPr>
        <w:t xml:space="preserve"> De cette assemblée devait partir l’initiative d’une nouvelle enquête sur la vaine pâture.</w:t>
      </w:r>
    </w:p>
    <w:p w14:paraId="70C85B8E" w14:textId="77777777" w:rsidR="00B9662D" w:rsidRPr="009C29C2" w:rsidRDefault="00B9662D" w:rsidP="00B9662D">
      <w:pPr>
        <w:spacing w:before="120" w:after="120"/>
        <w:jc w:val="both"/>
      </w:pPr>
      <w:r w:rsidRPr="009C29C2">
        <w:rPr>
          <w:color w:val="000000"/>
          <w:lang w:eastAsia="fr-FR" w:bidi="fr-FR"/>
        </w:rPr>
        <w:t>La question y fut soulevée, le 17 novembre 1786, par deux de ses membres les plus illustres : le duc de Liancourt et Lavoisier. Le pr</w:t>
      </w:r>
      <w:r w:rsidRPr="009C29C2">
        <w:rPr>
          <w:color w:val="000000"/>
          <w:lang w:eastAsia="fr-FR" w:bidi="fr-FR"/>
        </w:rPr>
        <w:t>e</w:t>
      </w:r>
      <w:r w:rsidRPr="009C29C2">
        <w:rPr>
          <w:color w:val="000000"/>
          <w:lang w:eastAsia="fr-FR" w:bidi="fr-FR"/>
        </w:rPr>
        <w:t>mier avait vanté l’utilité des clôtures. Lavoisier fit observer que le principal obstacle qui s’opposait à leur extension était « le droit de parcours » (on ne sait trop s’il prenait le mot dans son sens restreint, ou entendait par là la vaine pâture en général) ; à son gré, « il fallait avant tout changer la législation ». Le chef de bureau, qui faisait fon</w:t>
      </w:r>
      <w:r w:rsidRPr="009C29C2">
        <w:rPr>
          <w:color w:val="000000"/>
          <w:lang w:eastAsia="fr-FR" w:bidi="fr-FR"/>
        </w:rPr>
        <w:t>c</w:t>
      </w:r>
      <w:r w:rsidRPr="009C29C2">
        <w:rPr>
          <w:color w:val="000000"/>
          <w:lang w:eastAsia="fr-FR" w:bidi="fr-FR"/>
        </w:rPr>
        <w:t>tion de secrétaire, Lubert, indiqua alors que « cette affaire avait déjà été entamée » quelques années auparavant « par l’administration », et promit de préciser ses souvenirs. Il le fit, en effet, dans un rapport pr</w:t>
      </w:r>
      <w:r w:rsidRPr="009C29C2">
        <w:rPr>
          <w:color w:val="000000"/>
          <w:lang w:eastAsia="fr-FR" w:bidi="fr-FR"/>
        </w:rPr>
        <w:t>é</w:t>
      </w:r>
      <w:r w:rsidRPr="009C29C2">
        <w:rPr>
          <w:color w:val="000000"/>
          <w:lang w:eastAsia="fr-FR" w:bidi="fr-FR"/>
        </w:rPr>
        <w:t>senté à la séance du 15 décembre. Le comité paraît avoir été surtout frappé du fait que, dans tout le domaine du Parlement de Paris, à peu près seule la Champagne avait été touchée par les édits supprimant le parcours. Il fut décidé que Vergennes consulterait les intendants de ce ressort</w:t>
      </w:r>
      <w:r>
        <w:rPr>
          <w:color w:val="000000"/>
          <w:lang w:eastAsia="fr-FR" w:bidi="fr-FR"/>
        </w:rPr>
        <w:t> </w:t>
      </w:r>
      <w:r>
        <w:rPr>
          <w:rStyle w:val="Appelnotedebasdep"/>
        </w:rPr>
        <w:footnoteReference w:id="258"/>
      </w:r>
      <w:r w:rsidRPr="009C29C2">
        <w:rPr>
          <w:color w:val="000000"/>
          <w:lang w:eastAsia="fr-FR" w:bidi="fr-FR"/>
        </w:rPr>
        <w:t>. La circulaire, en effet, fut envoyée le 30 janvier 1787, sous la signature du Contrôleur général Calonne. Celui-ci se déclarait di</w:t>
      </w:r>
      <w:r w:rsidRPr="009C29C2">
        <w:rPr>
          <w:color w:val="000000"/>
          <w:lang w:eastAsia="fr-FR" w:bidi="fr-FR"/>
        </w:rPr>
        <w:t>s</w:t>
      </w:r>
      <w:r w:rsidRPr="009C29C2">
        <w:rPr>
          <w:color w:val="000000"/>
          <w:lang w:eastAsia="fr-FR" w:bidi="fr-FR"/>
        </w:rPr>
        <w:lastRenderedPageBreak/>
        <w:t>posé à abolir le « parcours » ; par là, il désignait sans doute la vaine pâture, comportant l’interdiction de clore. Il qualifiait durement « ce droit qui paraît odieux de sa nature en ce qu’il attaque la propriété ». Mais les temps étaient-ils mûrs pour la suppression de cet « usage abusif » ? C’est sur ce point que, moins absolu, en somme, dans sa condamnation que jadis d’Ormesson, il désirait recueillir les avis. « Quoique bien convaincu des maux qu’entraîne le parcours, je ne me dissimule pas que</w:t>
      </w:r>
      <w:r>
        <w:rPr>
          <w:color w:val="000000"/>
          <w:lang w:eastAsia="fr-FR" w:bidi="fr-FR"/>
        </w:rPr>
        <w:t xml:space="preserve"> </w:t>
      </w:r>
      <w:r>
        <w:t xml:space="preserve">[637] </w:t>
      </w:r>
      <w:r w:rsidRPr="009C29C2">
        <w:rPr>
          <w:color w:val="000000"/>
          <w:lang w:eastAsia="fr-FR" w:bidi="fr-FR"/>
        </w:rPr>
        <w:t>dans les provinces où il est établi par un us</w:t>
      </w:r>
      <w:r w:rsidRPr="009C29C2">
        <w:rPr>
          <w:color w:val="000000"/>
          <w:lang w:eastAsia="fr-FR" w:bidi="fr-FR"/>
        </w:rPr>
        <w:t>a</w:t>
      </w:r>
      <w:r w:rsidRPr="009C29C2">
        <w:rPr>
          <w:color w:val="000000"/>
          <w:lang w:eastAsia="fr-FR" w:bidi="fr-FR"/>
        </w:rPr>
        <w:t>ge immémorial, il pourroit y avoir de l’inconvénient à le supprimer sans avoir amené le plus grand nombre des cultivateurs à en désirer l’abolition ». Les intendants répondirent sans hâte. Mais sur ces entr</w:t>
      </w:r>
      <w:r w:rsidRPr="009C29C2">
        <w:rPr>
          <w:color w:val="000000"/>
          <w:lang w:eastAsia="fr-FR" w:bidi="fr-FR"/>
        </w:rPr>
        <w:t>e</w:t>
      </w:r>
      <w:r w:rsidRPr="009C29C2">
        <w:rPr>
          <w:color w:val="000000"/>
          <w:lang w:eastAsia="fr-FR" w:bidi="fr-FR"/>
        </w:rPr>
        <w:t>faites, Vergennes, le 5 juin, s’était vu enlever le département de l’agriculture, désormais directement rattaché au Contrôleur général ; le 18 septembre de la même année, le Comité d’Agriculture, qui se</w:t>
      </w:r>
      <w:r w:rsidRPr="009C29C2">
        <w:rPr>
          <w:color w:val="000000"/>
          <w:lang w:eastAsia="fr-FR" w:bidi="fr-FR"/>
        </w:rPr>
        <w:t>m</w:t>
      </w:r>
      <w:r w:rsidRPr="009C29C2">
        <w:rPr>
          <w:color w:val="000000"/>
          <w:lang w:eastAsia="fr-FR" w:bidi="fr-FR"/>
        </w:rPr>
        <w:t>ble avoir porté ombr</w:t>
      </w:r>
      <w:r w:rsidRPr="009C29C2">
        <w:rPr>
          <w:color w:val="000000"/>
          <w:lang w:eastAsia="fr-FR" w:bidi="fr-FR"/>
        </w:rPr>
        <w:t>a</w:t>
      </w:r>
      <w:r w:rsidRPr="009C29C2">
        <w:rPr>
          <w:color w:val="000000"/>
          <w:lang w:eastAsia="fr-FR" w:bidi="fr-FR"/>
        </w:rPr>
        <w:t>ge aux bureaux, cessa d’être réuni</w:t>
      </w:r>
      <w:r>
        <w:rPr>
          <w:color w:val="000000"/>
          <w:lang w:eastAsia="fr-FR" w:bidi="fr-FR"/>
        </w:rPr>
        <w:t> </w:t>
      </w:r>
      <w:r>
        <w:rPr>
          <w:rStyle w:val="Appelnotedebasdep"/>
        </w:rPr>
        <w:footnoteReference w:id="259"/>
      </w:r>
      <w:r w:rsidRPr="009C29C2">
        <w:rPr>
          <w:color w:val="000000"/>
          <w:lang w:eastAsia="fr-FR" w:bidi="fr-FR"/>
        </w:rPr>
        <w:t>. Les lettres des intendants dorm</w:t>
      </w:r>
      <w:r w:rsidRPr="009C29C2">
        <w:rPr>
          <w:color w:val="000000"/>
          <w:lang w:eastAsia="fr-FR" w:bidi="fr-FR"/>
        </w:rPr>
        <w:t>i</w:t>
      </w:r>
      <w:r w:rsidRPr="009C29C2">
        <w:rPr>
          <w:color w:val="000000"/>
          <w:lang w:eastAsia="fr-FR" w:bidi="fr-FR"/>
        </w:rPr>
        <w:t>rent</w:t>
      </w:r>
      <w:r>
        <w:rPr>
          <w:color w:val="000000"/>
          <w:lang w:eastAsia="fr-FR" w:bidi="fr-FR"/>
        </w:rPr>
        <w:t> — </w:t>
      </w:r>
      <w:r w:rsidRPr="009C29C2">
        <w:rPr>
          <w:color w:val="000000"/>
          <w:lang w:eastAsia="fr-FR" w:bidi="fr-FR"/>
        </w:rPr>
        <w:t>en grand désordre</w:t>
      </w:r>
      <w:r>
        <w:rPr>
          <w:color w:val="000000"/>
          <w:lang w:eastAsia="fr-FR" w:bidi="fr-FR"/>
        </w:rPr>
        <w:t> — </w:t>
      </w:r>
      <w:r w:rsidRPr="009C29C2">
        <w:rPr>
          <w:color w:val="000000"/>
          <w:lang w:eastAsia="fr-FR" w:bidi="fr-FR"/>
        </w:rPr>
        <w:t>dans les archives. Aussi bien la plupart présentaient la réforme proposée comme ino</w:t>
      </w:r>
      <w:r w:rsidRPr="009C29C2">
        <w:rPr>
          <w:color w:val="000000"/>
          <w:lang w:eastAsia="fr-FR" w:bidi="fr-FR"/>
        </w:rPr>
        <w:t>p</w:t>
      </w:r>
      <w:r w:rsidRPr="009C29C2">
        <w:rPr>
          <w:color w:val="000000"/>
          <w:lang w:eastAsia="fr-FR" w:bidi="fr-FR"/>
        </w:rPr>
        <w:t>portune ; les plus hardis se bornaient à demander qu’on supprimât, ou restreignît, la vaine p</w:t>
      </w:r>
      <w:r w:rsidRPr="009C29C2">
        <w:rPr>
          <w:color w:val="000000"/>
          <w:lang w:eastAsia="fr-FR" w:bidi="fr-FR"/>
        </w:rPr>
        <w:t>â</w:t>
      </w:r>
      <w:r w:rsidRPr="009C29C2">
        <w:rPr>
          <w:color w:val="000000"/>
          <w:lang w:eastAsia="fr-FR" w:bidi="fr-FR"/>
        </w:rPr>
        <w:t>ture sur les prairies, à l’exclusion des labours. Le grand enthousiasme qui avait salué les débuts de l’agriculture no</w:t>
      </w:r>
      <w:r w:rsidRPr="009C29C2">
        <w:rPr>
          <w:color w:val="000000"/>
          <w:lang w:eastAsia="fr-FR" w:bidi="fr-FR"/>
        </w:rPr>
        <w:t>u</w:t>
      </w:r>
      <w:r w:rsidRPr="009C29C2">
        <w:rPr>
          <w:color w:val="000000"/>
          <w:lang w:eastAsia="fr-FR" w:bidi="fr-FR"/>
        </w:rPr>
        <w:t>velle avait évidemment fait place à des sentiments plus tièdes ; on s</w:t>
      </w:r>
      <w:r w:rsidRPr="009C29C2">
        <w:rPr>
          <w:color w:val="000000"/>
          <w:lang w:eastAsia="fr-FR" w:bidi="fr-FR"/>
        </w:rPr>
        <w:t>a</w:t>
      </w:r>
      <w:r w:rsidRPr="009C29C2">
        <w:rPr>
          <w:color w:val="000000"/>
          <w:lang w:eastAsia="fr-FR" w:bidi="fr-FR"/>
        </w:rPr>
        <w:t>vait que les édits antérieurs n’avaient, nous le verrons, que médiocr</w:t>
      </w:r>
      <w:r w:rsidRPr="009C29C2">
        <w:rPr>
          <w:color w:val="000000"/>
          <w:lang w:eastAsia="fr-FR" w:bidi="fr-FR"/>
        </w:rPr>
        <w:t>e</w:t>
      </w:r>
      <w:r w:rsidRPr="009C29C2">
        <w:rPr>
          <w:color w:val="000000"/>
          <w:lang w:eastAsia="fr-FR" w:bidi="fr-FR"/>
        </w:rPr>
        <w:t>ment réussi ; d’autre part, beaucoup d’administrateurs, qui sentaient chanceler le régime, craignaient, plus que jamais, tout ce qui pouvait susciter une émotion populaire.</w:t>
      </w:r>
    </w:p>
    <w:p w14:paraId="516D42B5" w14:textId="77777777" w:rsidR="00B9662D" w:rsidRPr="009C29C2" w:rsidRDefault="00B9662D" w:rsidP="00B9662D">
      <w:pPr>
        <w:spacing w:before="120" w:after="120"/>
        <w:jc w:val="both"/>
      </w:pPr>
      <w:r w:rsidRPr="009C29C2">
        <w:rPr>
          <w:color w:val="000000"/>
          <w:lang w:eastAsia="fr-FR" w:bidi="fr-FR"/>
        </w:rPr>
        <w:t>La monarchie, cependant, devait prendre encore un édit des clos, mais borné cette fois à un seul finage et par là beaucoup plus sembl</w:t>
      </w:r>
      <w:r w:rsidRPr="009C29C2">
        <w:rPr>
          <w:color w:val="000000"/>
          <w:lang w:eastAsia="fr-FR" w:bidi="fr-FR"/>
        </w:rPr>
        <w:t>a</w:t>
      </w:r>
      <w:r w:rsidRPr="009C29C2">
        <w:rPr>
          <w:color w:val="000000"/>
          <w:lang w:eastAsia="fr-FR" w:bidi="fr-FR"/>
        </w:rPr>
        <w:t xml:space="preserve">ble aux </w:t>
      </w:r>
      <w:r w:rsidRPr="00A17BAD">
        <w:rPr>
          <w:i/>
        </w:rPr>
        <w:t>bills of inclosure</w:t>
      </w:r>
      <w:r w:rsidRPr="009C29C2">
        <w:rPr>
          <w:color w:val="000000"/>
          <w:lang w:eastAsia="fr-FR" w:bidi="fr-FR"/>
        </w:rPr>
        <w:t xml:space="preserve"> anglais qu’aux autres ordonnances frança</w:t>
      </w:r>
      <w:r w:rsidRPr="009C29C2">
        <w:rPr>
          <w:color w:val="000000"/>
          <w:lang w:eastAsia="fr-FR" w:bidi="fr-FR"/>
        </w:rPr>
        <w:t>i</w:t>
      </w:r>
      <w:r w:rsidRPr="009C29C2">
        <w:rPr>
          <w:color w:val="000000"/>
          <w:lang w:eastAsia="fr-FR" w:bidi="fr-FR"/>
        </w:rPr>
        <w:t xml:space="preserve">ses. Le 10 février 1788, à la suite de démarches qui duraient depuis </w:t>
      </w:r>
      <w:r w:rsidRPr="009C29C2">
        <w:rPr>
          <w:color w:val="000000"/>
          <w:lang w:eastAsia="fr-FR" w:bidi="fr-FR"/>
        </w:rPr>
        <w:lastRenderedPageBreak/>
        <w:t>quatre ans, la ville de Haguenau, en Alsace, obtint des lettres patentes qui établissaient sur son territoire la liberté de clôture</w:t>
      </w:r>
      <w:r>
        <w:rPr>
          <w:color w:val="000000"/>
          <w:lang w:eastAsia="fr-FR" w:bidi="fr-FR"/>
        </w:rPr>
        <w:t> </w:t>
      </w:r>
      <w:r>
        <w:rPr>
          <w:rStyle w:val="Appelnotedebasdep"/>
        </w:rPr>
        <w:footnoteReference w:id="260"/>
      </w:r>
      <w:r w:rsidRPr="009C29C2">
        <w:rPr>
          <w:color w:val="000000"/>
          <w:lang w:eastAsia="fr-FR" w:bidi="fr-FR"/>
        </w:rPr>
        <w:t>. Faculté ava</w:t>
      </w:r>
      <w:r w:rsidRPr="009C29C2">
        <w:rPr>
          <w:color w:val="000000"/>
          <w:lang w:eastAsia="fr-FR" w:bidi="fr-FR"/>
        </w:rPr>
        <w:t>n</w:t>
      </w:r>
      <w:r w:rsidRPr="009C29C2">
        <w:rPr>
          <w:color w:val="000000"/>
          <w:lang w:eastAsia="fr-FR" w:bidi="fr-FR"/>
        </w:rPr>
        <w:t>tageuse aux cultures nouvelles, à la garance notamment, qu’avaient, autour de Haguenau, introduite quelques hommes entreprenants</w:t>
      </w:r>
      <w:r>
        <w:rPr>
          <w:color w:val="000000"/>
          <w:lang w:eastAsia="fr-FR" w:bidi="fr-FR"/>
        </w:rPr>
        <w:t> </w:t>
      </w:r>
      <w:r>
        <w:rPr>
          <w:rStyle w:val="Appelnotedebasdep"/>
        </w:rPr>
        <w:footnoteReference w:id="261"/>
      </w:r>
      <w:r w:rsidRPr="009C29C2">
        <w:rPr>
          <w:color w:val="000000"/>
          <w:lang w:eastAsia="fr-FR" w:bidi="fr-FR"/>
        </w:rPr>
        <w:t>,</w:t>
      </w:r>
      <w:r>
        <w:rPr>
          <w:color w:val="000000"/>
          <w:lang w:eastAsia="fr-FR" w:bidi="fr-FR"/>
        </w:rPr>
        <w:t> — </w:t>
      </w:r>
      <w:r w:rsidRPr="009C29C2">
        <w:rPr>
          <w:color w:val="000000"/>
          <w:lang w:eastAsia="fr-FR" w:bidi="fr-FR"/>
        </w:rPr>
        <w:t xml:space="preserve">et en même temps dépourvue de dangers : car, aux portes de la ville s’étendait la forêt, les bourgeois y avaient droit de pâture et leurs troupeaux, privés des labours, ne risquaient donc pas de dépérir. L’intendant de Strasbourg était alors ce même La Galaizière, qui, à Nancy, avait mis tant d’ardeur au service des idées agronomiques nouvelles. Il avait appuyé la requête des gens de Haguenau ; mais lorsque le Contrôleur général Villedeuil lui demanda si, plutôt que de procéder par mesures locales, il ne convenait pas de promulguer « une loi générale qui étendît à toutes les communautés d’Alsace la faculté </w:t>
      </w:r>
      <w:r>
        <w:rPr>
          <w:color w:val="000000"/>
          <w:lang w:eastAsia="fr-FR" w:bidi="fr-FR"/>
        </w:rPr>
        <w:t>d’enclore », il répondit que l’</w:t>
      </w:r>
      <w:r w:rsidRPr="009C29C2">
        <w:rPr>
          <w:color w:val="000000"/>
          <w:lang w:eastAsia="fr-FR" w:bidi="fr-FR"/>
        </w:rPr>
        <w:t>« empire de l’habitude » était encore trop fort dans sa province. Cette timidité était décidément la note domina</w:t>
      </w:r>
      <w:r w:rsidRPr="009C29C2">
        <w:rPr>
          <w:color w:val="000000"/>
          <w:lang w:eastAsia="fr-FR" w:bidi="fr-FR"/>
        </w:rPr>
        <w:t>n</w:t>
      </w:r>
      <w:r w:rsidRPr="009C29C2">
        <w:rPr>
          <w:color w:val="000000"/>
          <w:lang w:eastAsia="fr-FR" w:bidi="fr-FR"/>
        </w:rPr>
        <w:t>te de la politique agraire de l’Ancien Régime finissant</w:t>
      </w:r>
      <w:r>
        <w:rPr>
          <w:color w:val="000000"/>
          <w:lang w:eastAsia="fr-FR" w:bidi="fr-FR"/>
        </w:rPr>
        <w:t> </w:t>
      </w:r>
      <w:r>
        <w:rPr>
          <w:rStyle w:val="Appelnotedebasdep"/>
        </w:rPr>
        <w:footnoteReference w:id="262"/>
      </w:r>
      <w:r>
        <w:rPr>
          <w:color w:val="000000"/>
          <w:lang w:eastAsia="fr-FR" w:bidi="fr-FR"/>
        </w:rPr>
        <w:t>.</w:t>
      </w:r>
      <w:r w:rsidRPr="009C29C2">
        <w:rPr>
          <w:color w:val="000000"/>
          <w:vertAlign w:val="superscript"/>
          <w:lang w:eastAsia="fr-FR" w:bidi="fr-FR"/>
        </w:rPr>
        <w:t xml:space="preserve"> </w:t>
      </w:r>
      <w:r w:rsidRPr="009C29C2">
        <w:rPr>
          <w:color w:val="000000"/>
          <w:lang w:eastAsia="fr-FR" w:bidi="fr-FR"/>
        </w:rPr>
        <w:t xml:space="preserve"> C’est à la Révolution qu’il devait être réservé de donner aux efforts de d’Ormesson et de son entourage leurs conclusions naturelles.</w:t>
      </w:r>
    </w:p>
    <w:p w14:paraId="67A4F7C9" w14:textId="77777777" w:rsidR="00B9662D" w:rsidRDefault="00B9662D" w:rsidP="00B9662D">
      <w:pPr>
        <w:pStyle w:val="p"/>
      </w:pPr>
      <w:r w:rsidRPr="009C29C2">
        <w:br w:type="page"/>
      </w:r>
      <w:r>
        <w:lastRenderedPageBreak/>
        <w:t>[638]</w:t>
      </w:r>
    </w:p>
    <w:p w14:paraId="3EC2D8A6" w14:textId="77777777" w:rsidR="00B9662D" w:rsidRPr="00E07116" w:rsidRDefault="00B9662D" w:rsidP="00B9662D">
      <w:pPr>
        <w:jc w:val="both"/>
      </w:pPr>
    </w:p>
    <w:p w14:paraId="53FE3118" w14:textId="77777777" w:rsidR="00B9662D" w:rsidRDefault="00B9662D" w:rsidP="00B9662D">
      <w:pPr>
        <w:jc w:val="both"/>
      </w:pPr>
    </w:p>
    <w:p w14:paraId="59AE48EC" w14:textId="77777777" w:rsidR="00B9662D" w:rsidRPr="00E07116" w:rsidRDefault="00B9662D" w:rsidP="00B9662D">
      <w:pPr>
        <w:jc w:val="both"/>
      </w:pPr>
    </w:p>
    <w:p w14:paraId="0E307275" w14:textId="77777777" w:rsidR="00B9662D" w:rsidRPr="00F54CC7" w:rsidRDefault="00B9662D" w:rsidP="00B9662D">
      <w:pPr>
        <w:spacing w:after="120"/>
        <w:ind w:firstLine="0"/>
        <w:jc w:val="center"/>
        <w:rPr>
          <w:sz w:val="24"/>
        </w:rPr>
      </w:pPr>
      <w:bookmarkStart w:id="19" w:name="Melanges_t2_pt_6_chap_IV"/>
      <w:r>
        <w:rPr>
          <w:b/>
          <w:sz w:val="24"/>
        </w:rPr>
        <w:t>Mélanges historiques.</w:t>
      </w:r>
      <w:r>
        <w:rPr>
          <w:b/>
          <w:sz w:val="24"/>
        </w:rPr>
        <w:br/>
      </w:r>
      <w:r w:rsidRPr="000D320C">
        <w:rPr>
          <w:color w:val="FF0000"/>
          <w:sz w:val="24"/>
        </w:rPr>
        <w:t>Tome I</w:t>
      </w:r>
      <w:r>
        <w:rPr>
          <w:color w:val="FF0000"/>
          <w:sz w:val="24"/>
        </w:rPr>
        <w:t>I</w:t>
      </w:r>
      <w:r w:rsidRPr="000D320C">
        <w:rPr>
          <w:sz w:val="24"/>
        </w:rPr>
        <w:t>.</w:t>
      </w:r>
    </w:p>
    <w:p w14:paraId="73A3BB7B"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6B5C5ABD" w14:textId="77777777" w:rsidR="00B9662D" w:rsidRPr="00384B20" w:rsidRDefault="00B9662D" w:rsidP="00B9662D">
      <w:pPr>
        <w:pStyle w:val="Titreniveau1"/>
      </w:pPr>
      <w:r w:rsidRPr="00384B20">
        <w:t>Chapitre I</w:t>
      </w:r>
      <w:r>
        <w:t>V</w:t>
      </w:r>
    </w:p>
    <w:p w14:paraId="5111E4A5" w14:textId="77777777" w:rsidR="00B9662D" w:rsidRPr="00E07116" w:rsidRDefault="00B9662D" w:rsidP="00B9662D">
      <w:pPr>
        <w:jc w:val="both"/>
        <w:rPr>
          <w:szCs w:val="36"/>
        </w:rPr>
      </w:pPr>
    </w:p>
    <w:p w14:paraId="367D5BA5" w14:textId="77777777" w:rsidR="00B9662D" w:rsidRPr="00E07116" w:rsidRDefault="00B9662D" w:rsidP="00B9662D">
      <w:pPr>
        <w:pStyle w:val="Titreniveau2"/>
      </w:pPr>
      <w:r>
        <w:t>les problèmes</w:t>
      </w:r>
      <w:r>
        <w:br/>
        <w:t>du peuplement beauceron. </w:t>
      </w:r>
      <w:r>
        <w:rPr>
          <w:rStyle w:val="Appelnotedebasdep"/>
        </w:rPr>
        <w:footnoteReference w:id="263"/>
      </w:r>
    </w:p>
    <w:bookmarkEnd w:id="19"/>
    <w:p w14:paraId="02318A48" w14:textId="77777777" w:rsidR="00B9662D" w:rsidRPr="00E07116" w:rsidRDefault="00B9662D" w:rsidP="00B9662D">
      <w:pPr>
        <w:jc w:val="both"/>
        <w:rPr>
          <w:szCs w:val="36"/>
        </w:rPr>
      </w:pPr>
    </w:p>
    <w:p w14:paraId="4192AE9E" w14:textId="77777777" w:rsidR="00B9662D" w:rsidRDefault="00B9662D" w:rsidP="00B9662D">
      <w:pPr>
        <w:spacing w:before="120" w:after="120"/>
        <w:jc w:val="both"/>
        <w:rPr>
          <w:color w:val="000000"/>
          <w:lang w:eastAsia="fr-FR" w:bidi="fr-FR"/>
        </w:rPr>
      </w:pPr>
    </w:p>
    <w:p w14:paraId="3341C1A9" w14:textId="77777777" w:rsidR="00B9662D" w:rsidRPr="009C29C2" w:rsidRDefault="00B9662D" w:rsidP="00B9662D">
      <w:pPr>
        <w:pStyle w:val="planche"/>
      </w:pPr>
      <w:r w:rsidRPr="009C29C2">
        <w:t>I</w:t>
      </w:r>
    </w:p>
    <w:p w14:paraId="7CAF4E34" w14:textId="77777777" w:rsidR="00B9662D" w:rsidRDefault="00B9662D" w:rsidP="00B9662D">
      <w:pPr>
        <w:spacing w:before="120" w:after="120"/>
        <w:jc w:val="both"/>
        <w:rPr>
          <w:color w:val="000000"/>
          <w:lang w:eastAsia="fr-FR" w:bidi="fr-FR"/>
        </w:rPr>
      </w:pPr>
    </w:p>
    <w:p w14:paraId="6C580A9D" w14:textId="77777777" w:rsidR="00B9662D" w:rsidRDefault="00B9662D" w:rsidP="00B9662D">
      <w:pPr>
        <w:spacing w:before="120" w:after="120"/>
        <w:jc w:val="both"/>
        <w:rPr>
          <w:color w:val="000000"/>
          <w:lang w:eastAsia="fr-FR" w:bidi="fr-FR"/>
        </w:rPr>
      </w:pPr>
    </w:p>
    <w:p w14:paraId="089C0E44"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5DC0976" w14:textId="77777777" w:rsidR="00B9662D" w:rsidRPr="009C29C2" w:rsidRDefault="00B9662D" w:rsidP="00B9662D">
      <w:pPr>
        <w:spacing w:before="120" w:after="120"/>
        <w:jc w:val="both"/>
      </w:pPr>
      <w:r w:rsidRPr="009C29C2">
        <w:rPr>
          <w:color w:val="000000"/>
          <w:lang w:eastAsia="fr-FR" w:bidi="fr-FR"/>
        </w:rPr>
        <w:t>Mon intervention doit avoir un double effet :</w:t>
      </w:r>
    </w:p>
    <w:p w14:paraId="4563EE00" w14:textId="77777777" w:rsidR="00B9662D" w:rsidRPr="009C29C2" w:rsidRDefault="00B9662D" w:rsidP="00B9662D">
      <w:pPr>
        <w:spacing w:before="120" w:after="120"/>
        <w:jc w:val="both"/>
      </w:pPr>
      <w:r w:rsidRPr="009C29C2">
        <w:rPr>
          <w:color w:val="000000"/>
          <w:lang w:eastAsia="fr-FR" w:bidi="fr-FR"/>
        </w:rPr>
        <w:t>D’abord, introduire le problème ou, mieux, le faisceau de probl</w:t>
      </w:r>
      <w:r w:rsidRPr="009C29C2">
        <w:rPr>
          <w:color w:val="000000"/>
          <w:lang w:eastAsia="fr-FR" w:bidi="fr-FR"/>
        </w:rPr>
        <w:t>è</w:t>
      </w:r>
      <w:r w:rsidRPr="009C29C2">
        <w:rPr>
          <w:color w:val="000000"/>
          <w:lang w:eastAsia="fr-FR" w:bidi="fr-FR"/>
        </w:rPr>
        <w:t>mes qui va former l’objet de ces deux séances ;</w:t>
      </w:r>
    </w:p>
    <w:p w14:paraId="25AE52B0" w14:textId="77777777" w:rsidR="00B9662D" w:rsidRPr="009C29C2" w:rsidRDefault="00B9662D" w:rsidP="00B9662D">
      <w:pPr>
        <w:spacing w:before="120" w:after="120"/>
        <w:jc w:val="both"/>
      </w:pPr>
      <w:r w:rsidRPr="009C29C2">
        <w:rPr>
          <w:color w:val="000000"/>
          <w:lang w:eastAsia="fr-FR" w:bidi="fr-FR"/>
        </w:rPr>
        <w:t>En second lieu, dans le jeu convergent de disciplines auquel, conformément à nos méthodes, nous ferons appel pour traiter ces pr</w:t>
      </w:r>
      <w:r w:rsidRPr="009C29C2">
        <w:rPr>
          <w:color w:val="000000"/>
          <w:lang w:eastAsia="fr-FR" w:bidi="fr-FR"/>
        </w:rPr>
        <w:t>o</w:t>
      </w:r>
      <w:r w:rsidRPr="009C29C2">
        <w:rPr>
          <w:color w:val="000000"/>
          <w:lang w:eastAsia="fr-FR" w:bidi="fr-FR"/>
        </w:rPr>
        <w:t>blèmes, apporter ma contribution propre d’historien « rural ». Au do</w:t>
      </w:r>
      <w:r w:rsidRPr="009C29C2">
        <w:rPr>
          <w:color w:val="000000"/>
          <w:lang w:eastAsia="fr-FR" w:bidi="fr-FR"/>
        </w:rPr>
        <w:t>s</w:t>
      </w:r>
      <w:r w:rsidRPr="009C29C2">
        <w:rPr>
          <w:color w:val="000000"/>
          <w:lang w:eastAsia="fr-FR" w:bidi="fr-FR"/>
        </w:rPr>
        <w:t>sier du peuplement beauceron je me propose de verser quelques textes médiévaux. Afin de gagner du temps, ce sera, si vous le voulez bien, à leur place logique, dans le questionnaire dont je m’efforcerai de tracer les grandes lignes, que j’insérerai ces indications de caractère plus personnel.</w:t>
      </w:r>
    </w:p>
    <w:p w14:paraId="2BA6F7DD" w14:textId="77777777" w:rsidR="00B9662D" w:rsidRDefault="00B9662D" w:rsidP="00B9662D">
      <w:pPr>
        <w:spacing w:before="120" w:after="120"/>
        <w:jc w:val="both"/>
        <w:rPr>
          <w:color w:val="000000"/>
          <w:lang w:eastAsia="fr-FR" w:bidi="fr-FR"/>
        </w:rPr>
      </w:pPr>
      <w:r>
        <w:rPr>
          <w:color w:val="000000"/>
          <w:lang w:eastAsia="fr-FR" w:bidi="fr-FR"/>
        </w:rPr>
        <w:br w:type="page"/>
      </w:r>
    </w:p>
    <w:p w14:paraId="3F7FAF87" w14:textId="77777777" w:rsidR="00B9662D" w:rsidRPr="009C29C2" w:rsidRDefault="00B9662D" w:rsidP="00B9662D">
      <w:pPr>
        <w:pStyle w:val="planche"/>
      </w:pPr>
      <w:r w:rsidRPr="009C29C2">
        <w:t>II</w:t>
      </w:r>
    </w:p>
    <w:p w14:paraId="207DAA82" w14:textId="77777777" w:rsidR="00B9662D" w:rsidRDefault="00B9662D" w:rsidP="00B9662D">
      <w:pPr>
        <w:spacing w:before="120" w:after="120"/>
        <w:jc w:val="both"/>
        <w:rPr>
          <w:color w:val="000000"/>
          <w:lang w:eastAsia="fr-FR" w:bidi="fr-FR"/>
        </w:rPr>
      </w:pPr>
    </w:p>
    <w:p w14:paraId="1002F640" w14:textId="77777777" w:rsidR="00B9662D" w:rsidRPr="009C29C2" w:rsidRDefault="00B9662D" w:rsidP="00B9662D">
      <w:pPr>
        <w:spacing w:before="120" w:after="120"/>
        <w:jc w:val="both"/>
      </w:pPr>
      <w:r w:rsidRPr="009C29C2">
        <w:rPr>
          <w:color w:val="000000"/>
          <w:lang w:eastAsia="fr-FR" w:bidi="fr-FR"/>
        </w:rPr>
        <w:t>C’est sous le signe de la synthèse que nous travaillons ici. Par conséquent, sous celui de la collaboration : de cette collaboration e</w:t>
      </w:r>
      <w:r w:rsidRPr="009C29C2">
        <w:rPr>
          <w:color w:val="000000"/>
          <w:lang w:eastAsia="fr-FR" w:bidi="fr-FR"/>
        </w:rPr>
        <w:t>n</w:t>
      </w:r>
      <w:r w:rsidRPr="009C29C2">
        <w:rPr>
          <w:color w:val="000000"/>
          <w:lang w:eastAsia="fr-FR" w:bidi="fr-FR"/>
        </w:rPr>
        <w:t>tre sciences et entre savants pour laquelle le grand animateur du Ce</w:t>
      </w:r>
      <w:r w:rsidRPr="009C29C2">
        <w:rPr>
          <w:color w:val="000000"/>
          <w:lang w:eastAsia="fr-FR" w:bidi="fr-FR"/>
        </w:rPr>
        <w:t>n</w:t>
      </w:r>
      <w:r w:rsidRPr="009C29C2">
        <w:rPr>
          <w:color w:val="000000"/>
          <w:lang w:eastAsia="fr-FR" w:bidi="fr-FR"/>
        </w:rPr>
        <w:t xml:space="preserve">tre a tant fait et que s’attachent aussi à promouvoir, il me sera sans doute permis de le rappeler, nos </w:t>
      </w:r>
      <w:r w:rsidRPr="001E0429">
        <w:rPr>
          <w:i/>
        </w:rPr>
        <w:t>Annales d'histoire économique et s</w:t>
      </w:r>
      <w:r w:rsidRPr="001E0429">
        <w:rPr>
          <w:i/>
        </w:rPr>
        <w:t>o</w:t>
      </w:r>
      <w:r w:rsidRPr="001E0429">
        <w:rPr>
          <w:i/>
        </w:rPr>
        <w:t>ciale</w:t>
      </w:r>
      <w:r w:rsidRPr="005913BE">
        <w:rPr>
          <w:color w:val="000000"/>
          <w:lang w:eastAsia="fr-FR" w:bidi="fr-FR"/>
        </w:rPr>
        <w:t> </w:t>
      </w:r>
      <w:r w:rsidRPr="005913BE">
        <w:rPr>
          <w:rStyle w:val="Appelnotedebasdep"/>
        </w:rPr>
        <w:footnoteReference w:id="264"/>
      </w:r>
      <w:r w:rsidRPr="009C29C2">
        <w:rPr>
          <w:color w:val="000000"/>
          <w:lang w:eastAsia="fr-FR" w:bidi="fr-FR"/>
        </w:rPr>
        <w:t>, dont l’effort se relie, par tant de liens de concours personnel et d’affection, à l’œuvre poursuivie dans cette maison. Nous avons donc pensé que, pour manifester clairement la nécessité et le profit de cette recherche par équipes, le meilleur moyen était de proposer un thème central d’enquête dont la nature fût telle qu’il appelât impérieusement le concours de disciplines différentes. Chacun en tombera d’accord : les problèmes du peuplement sont trop complexes, les témoignages dont ils imposent l’emploi sont trop obscurs ou trop ambigus pour qu’aucun d’entre nous, réduit aux seules ressources de son atelier pr</w:t>
      </w:r>
      <w:r w:rsidRPr="009C29C2">
        <w:rPr>
          <w:color w:val="000000"/>
          <w:lang w:eastAsia="fr-FR" w:bidi="fr-FR"/>
        </w:rPr>
        <w:t>o</w:t>
      </w:r>
      <w:r w:rsidRPr="009C29C2">
        <w:rPr>
          <w:color w:val="000000"/>
          <w:lang w:eastAsia="fr-FR" w:bidi="fr-FR"/>
        </w:rPr>
        <w:t>pre, puisse espérer leur donner une</w:t>
      </w:r>
      <w:r>
        <w:rPr>
          <w:color w:val="000000"/>
          <w:lang w:eastAsia="fr-FR" w:bidi="fr-FR"/>
        </w:rPr>
        <w:t xml:space="preserve"> [639] </w:t>
      </w:r>
    </w:p>
    <w:p w14:paraId="5CADB17E" w14:textId="77777777" w:rsidR="00B9662D" w:rsidRPr="009C29C2" w:rsidRDefault="00B9662D" w:rsidP="00B9662D">
      <w:pPr>
        <w:spacing w:before="120" w:after="120"/>
        <w:jc w:val="both"/>
      </w:pPr>
      <w:r w:rsidRPr="009C29C2">
        <w:rPr>
          <w:color w:val="000000"/>
          <w:lang w:eastAsia="fr-FR" w:bidi="fr-FR"/>
        </w:rPr>
        <w:t>solution. Mais suffisait-il de grouper des spécialistes, sans offrir à leurs travaux un point d’application commun ? Supposez qu’un top</w:t>
      </w:r>
      <w:r w:rsidRPr="009C29C2">
        <w:rPr>
          <w:color w:val="000000"/>
          <w:lang w:eastAsia="fr-FR" w:bidi="fr-FR"/>
        </w:rPr>
        <w:t>o</w:t>
      </w:r>
      <w:r w:rsidRPr="009C29C2">
        <w:rPr>
          <w:color w:val="000000"/>
          <w:lang w:eastAsia="fr-FR" w:bidi="fr-FR"/>
        </w:rPr>
        <w:t>nymiste nous ait apporté ici, par exemple, une communication sur les noms de lieux de la Picardie, un historien, au sens usuel du terme, une étude sur les défrichements en Bourgogne, un folkloriste les résultats de ses fouilles dans les contes de la Haute-Provence : nous aurions pris, je n’en doute pas, beaucoup de plaisir à nous écouter les uns les autres ; toute confrontation, cependant, tout contrôle mutuel auraient été impossibles. C’est pourquoi nous vous avons invités à fixer tous votre attention sur une même région. Votre présence, aujourd’hui, prouve que nous n’avons pas eu tort.</w:t>
      </w:r>
    </w:p>
    <w:p w14:paraId="0E7F0A1D" w14:textId="77777777" w:rsidR="00B9662D" w:rsidRDefault="00B9662D" w:rsidP="00B9662D">
      <w:pPr>
        <w:spacing w:before="120" w:after="120"/>
        <w:jc w:val="both"/>
        <w:rPr>
          <w:color w:val="000000"/>
          <w:lang w:eastAsia="fr-FR" w:bidi="fr-FR"/>
        </w:rPr>
      </w:pPr>
      <w:r w:rsidRPr="009C29C2">
        <w:rPr>
          <w:color w:val="000000"/>
          <w:lang w:eastAsia="fr-FR" w:bidi="fr-FR"/>
        </w:rPr>
        <w:t>Restait à choisir la région. Nous avons proposé la Beauce. Certes, on pouvait imaginer d’autres choix, sans doute également bons. D</w:t>
      </w:r>
      <w:r w:rsidRPr="009C29C2">
        <w:rPr>
          <w:color w:val="000000"/>
          <w:lang w:eastAsia="fr-FR" w:bidi="fr-FR"/>
        </w:rPr>
        <w:t>i</w:t>
      </w:r>
      <w:r w:rsidRPr="009C29C2">
        <w:rPr>
          <w:color w:val="000000"/>
          <w:lang w:eastAsia="fr-FR" w:bidi="fr-FR"/>
        </w:rPr>
        <w:t>verses raisons, cependant, nous ont paru et nous paraissent encore ju</w:t>
      </w:r>
      <w:r w:rsidRPr="009C29C2">
        <w:rPr>
          <w:color w:val="000000"/>
          <w:lang w:eastAsia="fr-FR" w:bidi="fr-FR"/>
        </w:rPr>
        <w:t>s</w:t>
      </w:r>
      <w:r w:rsidRPr="009C29C2">
        <w:rPr>
          <w:color w:val="000000"/>
          <w:lang w:eastAsia="fr-FR" w:bidi="fr-FR"/>
        </w:rPr>
        <w:lastRenderedPageBreak/>
        <w:t>tifier notre décision. La Beauce présente des caractères naturels d’une rare netteté. En même temps, ces caractères, si accusés soient-ils, n’ayant en soi rien d’exceptionnel, elle peut servir de cas-type pour l’étude d’une catégorie de contrées bien déterminée : ces plateaux secs et limoneux dont la carte de l’Europe nous offre tant d’exemples. Ses horizons sont familiers à la plupart d’entre nous. Enfin, l’histoire de son peuplement, voire son histoire physique posent, en grand nombre, des problèmes troublants, capables, entre tous, d’aiguillonner l’intérêt des chercheurs.</w:t>
      </w:r>
    </w:p>
    <w:p w14:paraId="3AB3BE1F" w14:textId="77777777" w:rsidR="00B9662D" w:rsidRPr="009C29C2" w:rsidRDefault="00B9662D" w:rsidP="00B9662D">
      <w:pPr>
        <w:spacing w:before="120" w:after="120"/>
        <w:jc w:val="both"/>
      </w:pPr>
    </w:p>
    <w:p w14:paraId="1C917EF6" w14:textId="77777777" w:rsidR="00B9662D" w:rsidRPr="009C29C2" w:rsidRDefault="00B9662D" w:rsidP="00B9662D">
      <w:pPr>
        <w:pStyle w:val="planche"/>
      </w:pPr>
      <w:r w:rsidRPr="009C29C2">
        <w:t>III</w:t>
      </w:r>
    </w:p>
    <w:p w14:paraId="14C052BA" w14:textId="77777777" w:rsidR="00B9662D" w:rsidRDefault="00B9662D" w:rsidP="00B9662D">
      <w:pPr>
        <w:spacing w:before="120" w:after="120"/>
        <w:jc w:val="both"/>
        <w:rPr>
          <w:color w:val="000000"/>
          <w:lang w:eastAsia="fr-FR" w:bidi="fr-FR"/>
        </w:rPr>
      </w:pPr>
    </w:p>
    <w:p w14:paraId="31325541" w14:textId="77777777" w:rsidR="00B9662D" w:rsidRPr="009C29C2" w:rsidRDefault="00B9662D" w:rsidP="00B9662D">
      <w:pPr>
        <w:spacing w:before="120" w:after="120"/>
        <w:jc w:val="both"/>
      </w:pPr>
      <w:r w:rsidRPr="009C29C2">
        <w:rPr>
          <w:color w:val="000000"/>
          <w:lang w:eastAsia="fr-FR" w:bidi="fr-FR"/>
        </w:rPr>
        <w:t>Je laisserai à d’autres collaborateurs de ces journées le soin de d</w:t>
      </w:r>
      <w:r w:rsidRPr="009C29C2">
        <w:rPr>
          <w:color w:val="000000"/>
          <w:lang w:eastAsia="fr-FR" w:bidi="fr-FR"/>
        </w:rPr>
        <w:t>é</w:t>
      </w:r>
      <w:r w:rsidRPr="009C29C2">
        <w:rPr>
          <w:color w:val="000000"/>
          <w:lang w:eastAsia="fr-FR" w:bidi="fr-FR"/>
        </w:rPr>
        <w:t>finir, avec une compétence de beaucoup supérieure à la mienne, les conditions de sol et de végétation caractéristiques du paysage beauc</w:t>
      </w:r>
      <w:r w:rsidRPr="009C29C2">
        <w:rPr>
          <w:color w:val="000000"/>
          <w:lang w:eastAsia="fr-FR" w:bidi="fr-FR"/>
        </w:rPr>
        <w:t>e</w:t>
      </w:r>
      <w:r w:rsidRPr="009C29C2">
        <w:rPr>
          <w:color w:val="000000"/>
          <w:lang w:eastAsia="fr-FR" w:bidi="fr-FR"/>
        </w:rPr>
        <w:t>ron. Il me semble, par contre, conforme à mon rôle ici de résumer, dans ses grands traits, l’histoire du nom même de Beauce</w:t>
      </w:r>
      <w:r>
        <w:rPr>
          <w:color w:val="000000"/>
          <w:lang w:eastAsia="fr-FR" w:bidi="fr-FR"/>
        </w:rPr>
        <w:t> — </w:t>
      </w:r>
      <w:r w:rsidRPr="009C29C2">
        <w:rPr>
          <w:color w:val="000000"/>
          <w:lang w:eastAsia="fr-FR" w:bidi="fr-FR"/>
        </w:rPr>
        <w:t xml:space="preserve">l’histoire aussi, étroitement liée à la recherche toponymique, de l’image que les hommes, en employant ce nom, paraissent avoir évoquée par lui. Le sujet a déjà été traité dans un des chapitres du livre, bien connu, de M. Lucien Gallois, intitulé </w:t>
      </w:r>
      <w:r w:rsidRPr="005913BE">
        <w:rPr>
          <w:i/>
        </w:rPr>
        <w:t>Régions naturelles et noms de pays</w:t>
      </w:r>
      <w:r w:rsidRPr="009C29C2">
        <w:t> ;</w:t>
      </w:r>
      <w:r w:rsidRPr="009C29C2">
        <w:rPr>
          <w:color w:val="000000"/>
          <w:lang w:eastAsia="fr-FR" w:bidi="fr-FR"/>
        </w:rPr>
        <w:t xml:space="preserve"> j’ai pla</w:t>
      </w:r>
      <w:r w:rsidRPr="009C29C2">
        <w:rPr>
          <w:color w:val="000000"/>
          <w:lang w:eastAsia="fr-FR" w:bidi="fr-FR"/>
        </w:rPr>
        <w:t>i</w:t>
      </w:r>
      <w:r w:rsidRPr="009C29C2">
        <w:rPr>
          <w:color w:val="000000"/>
          <w:lang w:eastAsia="fr-FR" w:bidi="fr-FR"/>
        </w:rPr>
        <w:t>sir à rappeler, en commençant, tout ce que je dois à ce travail d’un maître dont j’ai naguère suivi les leçons.</w:t>
      </w:r>
    </w:p>
    <w:p w14:paraId="72FD747A" w14:textId="77777777" w:rsidR="00B9662D" w:rsidRPr="009C29C2" w:rsidRDefault="00B9662D" w:rsidP="00B9662D">
      <w:pPr>
        <w:spacing w:before="120" w:after="120"/>
        <w:jc w:val="both"/>
      </w:pPr>
      <w:r w:rsidRPr="009C29C2">
        <w:rPr>
          <w:color w:val="000000"/>
          <w:lang w:eastAsia="fr-FR" w:bidi="fr-FR"/>
        </w:rPr>
        <w:t xml:space="preserve">C’est un très vieux nom que celui de la Beauce. Il est attesté, pour la première fois, à notre connaissance, dans la </w:t>
      </w:r>
      <w:r w:rsidRPr="005913BE">
        <w:rPr>
          <w:i/>
        </w:rPr>
        <w:t>Vie de saint Germain de Paris</w:t>
      </w:r>
      <w:r w:rsidRPr="009C29C2">
        <w:rPr>
          <w:color w:val="000000"/>
          <w:lang w:eastAsia="fr-FR" w:bidi="fr-FR"/>
        </w:rPr>
        <w:t>, que Fortunat mit par écrit peu après la mort de cet évêque, survenue en 576. L’hagiographe nous rapporte comment son héros, un jour, « fit route à travers la Beauce » ; « </w:t>
      </w:r>
      <w:r w:rsidRPr="005913BE">
        <w:rPr>
          <w:i/>
        </w:rPr>
        <w:t>per Belsam sancto itinéra</w:t>
      </w:r>
      <w:r w:rsidRPr="005913BE">
        <w:rPr>
          <w:i/>
        </w:rPr>
        <w:t>n</w:t>
      </w:r>
      <w:r w:rsidRPr="005913BE">
        <w:rPr>
          <w:i/>
        </w:rPr>
        <w:t>te </w:t>
      </w:r>
      <w:r>
        <w:t>»</w:t>
      </w:r>
      <w:r>
        <w:rPr>
          <w:rStyle w:val="Appelnotedebasdep"/>
        </w:rPr>
        <w:footnoteReference w:id="265"/>
      </w:r>
      <w:r w:rsidRPr="009C29C2">
        <w:rPr>
          <w:color w:val="000000"/>
          <w:lang w:eastAsia="fr-FR" w:bidi="fr-FR"/>
        </w:rPr>
        <w:t xml:space="preserve"> (l’itinéraire, malheur</w:t>
      </w:r>
      <w:r>
        <w:rPr>
          <w:color w:val="000000"/>
          <w:lang w:eastAsia="fr-FR" w:bidi="fr-FR"/>
        </w:rPr>
        <w:t>eusement, n’est pas décrit). Au IX</w:t>
      </w:r>
      <w:r w:rsidRPr="009C29C2">
        <w:rPr>
          <w:color w:val="000000"/>
          <w:vertAlign w:val="superscript"/>
          <w:lang w:eastAsia="fr-FR" w:bidi="fr-FR"/>
        </w:rPr>
        <w:t>e</w:t>
      </w:r>
      <w:r>
        <w:rPr>
          <w:color w:val="000000"/>
          <w:lang w:eastAsia="fr-FR" w:bidi="fr-FR"/>
        </w:rPr>
        <w:t> </w:t>
      </w:r>
      <w:r w:rsidRPr="009C29C2">
        <w:rPr>
          <w:color w:val="000000"/>
          <w:lang w:eastAsia="fr-FR" w:bidi="fr-FR"/>
        </w:rPr>
        <w:t xml:space="preserve">siècle, nous retrouvons le terme, attaché, comme déterminant, à divers noms de lieu. Depuis lors, il ne cessera plus de figurer, constamment, dans les documents les plus proches du langage usuel. Aux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et </w:t>
      </w:r>
      <w:r>
        <w:rPr>
          <w:color w:val="000000"/>
          <w:lang w:eastAsia="fr-FR" w:bidi="fr-FR"/>
        </w:rPr>
        <w:t>XIII</w:t>
      </w:r>
      <w:r w:rsidRPr="009C29C2">
        <w:rPr>
          <w:color w:val="000000"/>
          <w:vertAlign w:val="superscript"/>
          <w:lang w:eastAsia="fr-FR" w:bidi="fr-FR"/>
        </w:rPr>
        <w:t>e</w:t>
      </w:r>
      <w:r>
        <w:rPr>
          <w:color w:val="000000"/>
          <w:lang w:eastAsia="fr-FR" w:bidi="fr-FR"/>
        </w:rPr>
        <w:t xml:space="preserve"> siècles, l’abbé de Saint-</w:t>
      </w:r>
      <w:r w:rsidRPr="009C29C2">
        <w:rPr>
          <w:color w:val="000000"/>
          <w:lang w:eastAsia="fr-FR" w:bidi="fr-FR"/>
        </w:rPr>
        <w:t>Denis, Suger, oppose, couramment, les terres possédées par les moines en Beauce à celles du Gâtinais ; les établi</w:t>
      </w:r>
      <w:r w:rsidRPr="009C29C2">
        <w:rPr>
          <w:color w:val="000000"/>
          <w:lang w:eastAsia="fr-FR" w:bidi="fr-FR"/>
        </w:rPr>
        <w:t>s</w:t>
      </w:r>
      <w:r w:rsidRPr="009C29C2">
        <w:rPr>
          <w:color w:val="000000"/>
          <w:lang w:eastAsia="fr-FR" w:bidi="fr-FR"/>
        </w:rPr>
        <w:t>sem</w:t>
      </w:r>
      <w:r>
        <w:rPr>
          <w:color w:val="000000"/>
          <w:lang w:eastAsia="fr-FR" w:bidi="fr-FR"/>
        </w:rPr>
        <w:t>ents chartrains, leurs seigneu</w:t>
      </w:r>
      <w:r w:rsidRPr="009C29C2">
        <w:rPr>
          <w:color w:val="000000"/>
          <w:lang w:eastAsia="fr-FR" w:bidi="fr-FR"/>
        </w:rPr>
        <w:t>ries</w:t>
      </w:r>
      <w:r>
        <w:t xml:space="preserve"> [640]</w:t>
      </w:r>
      <w:r w:rsidRPr="009C29C2">
        <w:rPr>
          <w:color w:val="000000"/>
          <w:lang w:eastAsia="fr-FR" w:bidi="fr-FR"/>
        </w:rPr>
        <w:t xml:space="preserve"> de Beauce </w:t>
      </w:r>
      <w:r w:rsidRPr="009C29C2">
        <w:rPr>
          <w:color w:val="000000"/>
          <w:lang w:eastAsia="fr-FR" w:bidi="fr-FR"/>
        </w:rPr>
        <w:lastRenderedPageBreak/>
        <w:t>à celles du Pe</w:t>
      </w:r>
      <w:r w:rsidRPr="009C29C2">
        <w:rPr>
          <w:color w:val="000000"/>
          <w:lang w:eastAsia="fr-FR" w:bidi="fr-FR"/>
        </w:rPr>
        <w:t>r</w:t>
      </w:r>
      <w:r w:rsidRPr="009C29C2">
        <w:rPr>
          <w:color w:val="000000"/>
          <w:lang w:eastAsia="fr-FR" w:bidi="fr-FR"/>
        </w:rPr>
        <w:t>che ; les établissements Orlé</w:t>
      </w:r>
      <w:r w:rsidRPr="009C29C2">
        <w:rPr>
          <w:color w:val="000000"/>
          <w:lang w:eastAsia="fr-FR" w:bidi="fr-FR"/>
        </w:rPr>
        <w:t>a</w:t>
      </w:r>
      <w:r w:rsidRPr="009C29C2">
        <w:rPr>
          <w:color w:val="000000"/>
          <w:lang w:eastAsia="fr-FR" w:bidi="fr-FR"/>
        </w:rPr>
        <w:t>nais, leurs hommes de Beauce à leurs hommes de Sologne. L’expression géographique sert à former des noms de personne : tel, l’illustre Jean de Beauce qui commença, en 1507, le clocher ajouré de la cathédrale de Chartres. Cette résistance d’un vocable purement t</w:t>
      </w:r>
      <w:r w:rsidRPr="009C29C2">
        <w:rPr>
          <w:color w:val="000000"/>
          <w:lang w:eastAsia="fr-FR" w:bidi="fr-FR"/>
        </w:rPr>
        <w:t>o</w:t>
      </w:r>
      <w:r w:rsidRPr="009C29C2">
        <w:rPr>
          <w:color w:val="000000"/>
          <w:lang w:eastAsia="fr-FR" w:bidi="fr-FR"/>
        </w:rPr>
        <w:t>pographique est d’autant plus remarquable qu’à la différence, par exemple, du Gâtinais voisin, qui fut un comté, le mot, ici, n’a jamais trouvé le support d’aucune circonscription jud</w:t>
      </w:r>
      <w:r w:rsidRPr="009C29C2">
        <w:rPr>
          <w:color w:val="000000"/>
          <w:lang w:eastAsia="fr-FR" w:bidi="fr-FR"/>
        </w:rPr>
        <w:t>i</w:t>
      </w:r>
      <w:r w:rsidRPr="009C29C2">
        <w:rPr>
          <w:color w:val="000000"/>
          <w:lang w:eastAsia="fr-FR" w:bidi="fr-FR"/>
        </w:rPr>
        <w:t>ciaire, administrative ou même ecclésia</w:t>
      </w:r>
      <w:r w:rsidRPr="009C29C2">
        <w:rPr>
          <w:color w:val="000000"/>
          <w:lang w:eastAsia="fr-FR" w:bidi="fr-FR"/>
        </w:rPr>
        <w:t>s</w:t>
      </w:r>
      <w:r w:rsidRPr="009C29C2">
        <w:rPr>
          <w:color w:val="000000"/>
          <w:lang w:eastAsia="fr-FR" w:bidi="fr-FR"/>
        </w:rPr>
        <w:t>tique ainsi dénommée. Il y eut bien, à la vérité, dans le diocèse d’Orléans, un archidiaconé de Beauce. Mais il était loin de compre</w:t>
      </w:r>
      <w:r w:rsidRPr="009C29C2">
        <w:rPr>
          <w:color w:val="000000"/>
          <w:lang w:eastAsia="fr-FR" w:bidi="fr-FR"/>
        </w:rPr>
        <w:t>n</w:t>
      </w:r>
      <w:r w:rsidRPr="009C29C2">
        <w:rPr>
          <w:color w:val="000000"/>
          <w:lang w:eastAsia="fr-FR" w:bidi="fr-FR"/>
        </w:rPr>
        <w:t>dre tout le pays beauceron. Il était, proprement, en Beauce, plutôt que de Beauce</w:t>
      </w:r>
      <w:r>
        <w:rPr>
          <w:color w:val="000000"/>
          <w:lang w:eastAsia="fr-FR" w:bidi="fr-FR"/>
        </w:rPr>
        <w:t> </w:t>
      </w:r>
      <w:r>
        <w:rPr>
          <w:rStyle w:val="Appelnotedebasdep"/>
        </w:rPr>
        <w:footnoteReference w:id="266"/>
      </w:r>
      <w:r w:rsidRPr="009C29C2">
        <w:rPr>
          <w:color w:val="000000"/>
          <w:lang w:eastAsia="fr-FR" w:bidi="fr-FR"/>
        </w:rPr>
        <w:t>.</w:t>
      </w:r>
    </w:p>
    <w:p w14:paraId="006A72AC" w14:textId="77777777" w:rsidR="00B9662D" w:rsidRPr="009C29C2" w:rsidRDefault="00B9662D" w:rsidP="00B9662D">
      <w:pPr>
        <w:spacing w:before="120" w:after="120"/>
        <w:jc w:val="both"/>
      </w:pPr>
      <w:r w:rsidRPr="009C29C2">
        <w:rPr>
          <w:color w:val="000000"/>
          <w:lang w:eastAsia="fr-FR" w:bidi="fr-FR"/>
        </w:rPr>
        <w:t>Comme il arrive presque toujours, c’était, avant tout, un contraste que, par ce nom familier, la langue des paysans et des voyageurs e</w:t>
      </w:r>
      <w:r w:rsidRPr="009C29C2">
        <w:rPr>
          <w:color w:val="000000"/>
          <w:lang w:eastAsia="fr-FR" w:bidi="fr-FR"/>
        </w:rPr>
        <w:t>n</w:t>
      </w:r>
      <w:r w:rsidRPr="009C29C2">
        <w:rPr>
          <w:color w:val="000000"/>
          <w:lang w:eastAsia="fr-FR" w:bidi="fr-FR"/>
        </w:rPr>
        <w:t>tendait marquer. La Beauce semblait très différente des régions qui l’environnaient : au Nord, le pays innommé qui, au</w:t>
      </w:r>
      <w:r>
        <w:rPr>
          <w:color w:val="000000"/>
          <w:lang w:eastAsia="fr-FR" w:bidi="fr-FR"/>
        </w:rPr>
        <w:t>-</w:t>
      </w:r>
      <w:r w:rsidRPr="009C29C2">
        <w:rPr>
          <w:color w:val="000000"/>
          <w:lang w:eastAsia="fr-FR" w:bidi="fr-FR"/>
        </w:rPr>
        <w:t>delà de Maleshe</w:t>
      </w:r>
      <w:r w:rsidRPr="009C29C2">
        <w:rPr>
          <w:color w:val="000000"/>
          <w:lang w:eastAsia="fr-FR" w:bidi="fr-FR"/>
        </w:rPr>
        <w:t>r</w:t>
      </w:r>
      <w:r w:rsidRPr="009C29C2">
        <w:rPr>
          <w:color w:val="000000"/>
          <w:lang w:eastAsia="fr-FR" w:bidi="fr-FR"/>
        </w:rPr>
        <w:t>bes, d’Étampes, de Dourdan, déroule jusque vers Paris la séduisante bigarrure de ses sols divers et de son relief morcelé</w:t>
      </w:r>
      <w:r>
        <w:rPr>
          <w:color w:val="000000"/>
          <w:lang w:eastAsia="fr-FR" w:bidi="fr-FR"/>
        </w:rPr>
        <w:t> — </w:t>
      </w:r>
      <w:r w:rsidRPr="009C29C2">
        <w:rPr>
          <w:color w:val="000000"/>
          <w:lang w:eastAsia="fr-FR" w:bidi="fr-FR"/>
        </w:rPr>
        <w:t>pays si varié, en vérité, qu’il n’y est point de plateau qui bientôt ne se troue d’un vallon, de labours au bout desquels on n’aperçoive de ligne bo</w:t>
      </w:r>
      <w:r w:rsidRPr="009C29C2">
        <w:rPr>
          <w:color w:val="000000"/>
          <w:lang w:eastAsia="fr-FR" w:bidi="fr-FR"/>
        </w:rPr>
        <w:t>i</w:t>
      </w:r>
      <w:r w:rsidRPr="009C29C2">
        <w:rPr>
          <w:color w:val="000000"/>
          <w:lang w:eastAsia="fr-FR" w:bidi="fr-FR"/>
        </w:rPr>
        <w:t>sée ;</w:t>
      </w:r>
      <w:r>
        <w:rPr>
          <w:color w:val="000000"/>
          <w:lang w:eastAsia="fr-FR" w:bidi="fr-FR"/>
        </w:rPr>
        <w:t> — </w:t>
      </w:r>
      <w:r w:rsidRPr="009C29C2">
        <w:rPr>
          <w:color w:val="000000"/>
          <w:lang w:eastAsia="fr-FR" w:bidi="fr-FR"/>
        </w:rPr>
        <w:t>au Sud la longue forêt d’Orléans ou, comme on l’appelait j</w:t>
      </w:r>
      <w:r w:rsidRPr="009C29C2">
        <w:rPr>
          <w:color w:val="000000"/>
          <w:lang w:eastAsia="fr-FR" w:bidi="fr-FR"/>
        </w:rPr>
        <w:t>a</w:t>
      </w:r>
      <w:r w:rsidRPr="009C29C2">
        <w:rPr>
          <w:color w:val="000000"/>
          <w:lang w:eastAsia="fr-FR" w:bidi="fr-FR"/>
        </w:rPr>
        <w:t>dis, de Loge ; à l’Est, commençant vers les vallées de la Rimarde et de l’Essonne, le Gâtinais, caractérisé alors, au milieu de ses champs, non seulement par ses bois ou ses landes, mais plus encore par ses vign</w:t>
      </w:r>
      <w:r w:rsidRPr="009C29C2">
        <w:rPr>
          <w:color w:val="000000"/>
          <w:lang w:eastAsia="fr-FR" w:bidi="fr-FR"/>
        </w:rPr>
        <w:t>o</w:t>
      </w:r>
      <w:r w:rsidRPr="009C29C2">
        <w:rPr>
          <w:color w:val="000000"/>
          <w:lang w:eastAsia="fr-FR" w:bidi="fr-FR"/>
        </w:rPr>
        <w:t>bles ; à l’Ouest, le Perche bocager. Par quels caractères donc le pays</w:t>
      </w:r>
      <w:r w:rsidRPr="009C29C2">
        <w:rPr>
          <w:color w:val="000000"/>
          <w:lang w:eastAsia="fr-FR" w:bidi="fr-FR"/>
        </w:rPr>
        <w:t>a</w:t>
      </w:r>
      <w:r w:rsidRPr="009C29C2">
        <w:rPr>
          <w:color w:val="000000"/>
          <w:lang w:eastAsia="fr-FR" w:bidi="fr-FR"/>
        </w:rPr>
        <w:t>ge beauceron semblait-il s’opposer si fermement aux horizons des alentours ? Une fois de plus, demandons leur avis aux vieux textes.</w:t>
      </w:r>
    </w:p>
    <w:p w14:paraId="0EBDD7D3" w14:textId="77777777" w:rsidR="00B9662D" w:rsidRDefault="00B9662D" w:rsidP="00B9662D">
      <w:pPr>
        <w:spacing w:before="120" w:after="120"/>
        <w:jc w:val="both"/>
        <w:rPr>
          <w:color w:val="000000"/>
          <w:lang w:eastAsia="fr-FR" w:bidi="fr-FR"/>
        </w:rPr>
      </w:pPr>
    </w:p>
    <w:p w14:paraId="240D7AFE" w14:textId="77777777" w:rsidR="00B9662D" w:rsidRPr="009C29C2" w:rsidRDefault="00B9662D" w:rsidP="00B9662D">
      <w:pPr>
        <w:pStyle w:val="planche"/>
      </w:pPr>
      <w:r w:rsidRPr="009C29C2">
        <w:t>IV</w:t>
      </w:r>
    </w:p>
    <w:p w14:paraId="3434303D" w14:textId="77777777" w:rsidR="00B9662D" w:rsidRDefault="00B9662D" w:rsidP="00B9662D">
      <w:pPr>
        <w:spacing w:before="120" w:after="120"/>
        <w:jc w:val="both"/>
        <w:rPr>
          <w:color w:val="000000"/>
          <w:lang w:eastAsia="fr-FR" w:bidi="fr-FR"/>
        </w:rPr>
      </w:pPr>
    </w:p>
    <w:p w14:paraId="512B5AB4" w14:textId="77777777" w:rsidR="00B9662D" w:rsidRPr="009C29C2" w:rsidRDefault="00B9662D" w:rsidP="00B9662D">
      <w:pPr>
        <w:spacing w:before="120" w:after="120"/>
        <w:jc w:val="both"/>
      </w:pPr>
      <w:r w:rsidRPr="009C29C2">
        <w:rPr>
          <w:color w:val="000000"/>
          <w:lang w:eastAsia="fr-FR" w:bidi="fr-FR"/>
        </w:rPr>
        <w:t xml:space="preserve">Voici d’abord un témoignage du début du </w:t>
      </w:r>
      <w:r w:rsidRPr="003919ED">
        <w:rPr>
          <w:caps/>
          <w:color w:val="000000"/>
          <w:lang w:eastAsia="fr-FR" w:bidi="fr-FR"/>
        </w:rPr>
        <w:t>xiv</w:t>
      </w:r>
      <w:r w:rsidRPr="009C29C2">
        <w:rPr>
          <w:color w:val="000000"/>
          <w:vertAlign w:val="superscript"/>
          <w:lang w:eastAsia="fr-FR" w:bidi="fr-FR"/>
        </w:rPr>
        <w:t>e</w:t>
      </w:r>
      <w:r w:rsidRPr="009C29C2">
        <w:rPr>
          <w:color w:val="000000"/>
          <w:lang w:eastAsia="fr-FR" w:bidi="fr-FR"/>
        </w:rPr>
        <w:t xml:space="preserve"> siècle. Nous l’emprunterons à un récit d’aventures, </w:t>
      </w:r>
      <w:r w:rsidRPr="0014689F">
        <w:rPr>
          <w:i/>
        </w:rPr>
        <w:t>Le roman du comte d'Anjou</w:t>
      </w:r>
      <w:r w:rsidRPr="009C29C2">
        <w:t>,</w:t>
      </w:r>
      <w:r w:rsidRPr="009C29C2">
        <w:rPr>
          <w:color w:val="000000"/>
          <w:lang w:eastAsia="fr-FR" w:bidi="fr-FR"/>
        </w:rPr>
        <w:t xml:space="preserve"> œuvre d’un certain Jean Maillart qu’il faut probablement identifier avec un personnage de ce nom, employé, comme notaire, à l’hôtel </w:t>
      </w:r>
      <w:r w:rsidRPr="009C29C2">
        <w:rPr>
          <w:color w:val="000000"/>
          <w:lang w:eastAsia="fr-FR" w:bidi="fr-FR"/>
        </w:rPr>
        <w:lastRenderedPageBreak/>
        <w:t>royal. L’ouvrage a été terminé, l’auteur lui-même nous le dit, en 1316. Parti à la recherche de sa femme, injustement accusée, le comte de Bourges chemine, déguisé en serf, d’Étampes à Orléans :</w:t>
      </w:r>
    </w:p>
    <w:p w14:paraId="074398FA" w14:textId="77777777" w:rsidR="00B9662D" w:rsidRDefault="00B9662D" w:rsidP="00B9662D">
      <w:pPr>
        <w:spacing w:before="120" w:after="120"/>
        <w:jc w:val="both"/>
        <w:rPr>
          <w:color w:val="000000"/>
          <w:lang w:eastAsia="fr-FR" w:bidi="fr-FR"/>
        </w:rPr>
      </w:pPr>
    </w:p>
    <w:p w14:paraId="47506811" w14:textId="77777777" w:rsidR="00B9662D" w:rsidRPr="009C29C2" w:rsidRDefault="00B9662D" w:rsidP="00B9662D">
      <w:pPr>
        <w:pStyle w:val="textecit"/>
      </w:pPr>
      <w:r w:rsidRPr="009C29C2">
        <w:t>« Lors s'en va cil grant aleüre,</w:t>
      </w:r>
    </w:p>
    <w:p w14:paraId="72B52552" w14:textId="77777777" w:rsidR="00B9662D" w:rsidRDefault="00B9662D" w:rsidP="00B9662D">
      <w:pPr>
        <w:pStyle w:val="textecit"/>
      </w:pPr>
      <w:r w:rsidRPr="009C29C2">
        <w:t>Le pas vers Orliens a droiture</w:t>
      </w:r>
    </w:p>
    <w:p w14:paraId="2A65B021" w14:textId="77777777" w:rsidR="00B9662D" w:rsidRPr="009C29C2" w:rsidRDefault="00B9662D" w:rsidP="00B9662D">
      <w:pPr>
        <w:pStyle w:val="textecit"/>
      </w:pPr>
      <w:r w:rsidRPr="009C29C2">
        <w:t>Tant qu'il est entréz en la Biausse.</w:t>
      </w:r>
    </w:p>
    <w:p w14:paraId="1A22A6B3" w14:textId="77777777" w:rsidR="00B9662D" w:rsidRPr="009C29C2" w:rsidRDefault="00B9662D" w:rsidP="00B9662D">
      <w:pPr>
        <w:pStyle w:val="textecit"/>
      </w:pPr>
      <w:r w:rsidRPr="009C29C2">
        <w:t>La li fist le vent mal sausse,</w:t>
      </w:r>
    </w:p>
    <w:p w14:paraId="3E61EA28" w14:textId="77777777" w:rsidR="00B9662D" w:rsidRPr="009C29C2" w:rsidRDefault="00B9662D" w:rsidP="00B9662D">
      <w:pPr>
        <w:pStyle w:val="textecit"/>
      </w:pPr>
      <w:r w:rsidRPr="009C29C2">
        <w:t>Car il le fiert à descouvert</w:t>
      </w:r>
    </w:p>
    <w:p w14:paraId="4D60E529" w14:textId="77777777" w:rsidR="00B9662D" w:rsidRDefault="00B9662D" w:rsidP="00B9662D">
      <w:pPr>
        <w:pStyle w:val="textecit"/>
      </w:pPr>
      <w:r>
        <w:t>…………………………………………..</w:t>
      </w:r>
    </w:p>
    <w:p w14:paraId="19442D90" w14:textId="77777777" w:rsidR="00B9662D" w:rsidRDefault="00B9662D" w:rsidP="00B9662D">
      <w:pPr>
        <w:pStyle w:val="textecit"/>
      </w:pPr>
      <w:r w:rsidRPr="009C29C2">
        <w:t xml:space="preserve">Quer la Biausse est large et honnie </w:t>
      </w:r>
    </w:p>
    <w:p w14:paraId="6794B4B8" w14:textId="77777777" w:rsidR="00B9662D" w:rsidRDefault="00B9662D" w:rsidP="00B9662D">
      <w:pPr>
        <w:pStyle w:val="textecit"/>
      </w:pPr>
      <w:r w:rsidRPr="009C29C2">
        <w:t xml:space="preserve">Et si n'i a rienz qui abrie </w:t>
      </w:r>
    </w:p>
    <w:p w14:paraId="4EE5D4A7" w14:textId="77777777" w:rsidR="00B9662D" w:rsidRDefault="00B9662D" w:rsidP="00B9662D">
      <w:pPr>
        <w:pStyle w:val="textecit"/>
      </w:pPr>
      <w:r w:rsidRPr="009C29C2">
        <w:t xml:space="preserve">N'a quoi esconser se puisse on, </w:t>
      </w:r>
    </w:p>
    <w:p w14:paraId="621BF464" w14:textId="77777777" w:rsidR="00B9662D" w:rsidRPr="009C29C2" w:rsidRDefault="00B9662D" w:rsidP="00B9662D">
      <w:pPr>
        <w:pStyle w:val="textecit"/>
      </w:pPr>
      <w:r w:rsidRPr="009C29C2">
        <w:t>Forest, ne haie, ne buisson... »</w:t>
      </w:r>
      <w:r>
        <w:t> </w:t>
      </w:r>
      <w:r>
        <w:rPr>
          <w:rStyle w:val="Appelnotedebasdep"/>
        </w:rPr>
        <w:footnoteReference w:id="267"/>
      </w:r>
    </w:p>
    <w:p w14:paraId="657B857B" w14:textId="77777777" w:rsidR="00B9662D" w:rsidRDefault="00B9662D" w:rsidP="00B9662D">
      <w:pPr>
        <w:spacing w:before="120" w:after="120"/>
        <w:jc w:val="both"/>
      </w:pPr>
    </w:p>
    <w:p w14:paraId="4EBCA1C4" w14:textId="77777777" w:rsidR="00B9662D" w:rsidRPr="009C29C2" w:rsidRDefault="00B9662D" w:rsidP="00B9662D">
      <w:pPr>
        <w:spacing w:before="120" w:after="120"/>
        <w:jc w:val="both"/>
      </w:pPr>
      <w:r>
        <w:t>[641]</w:t>
      </w:r>
    </w:p>
    <w:p w14:paraId="3596AD20" w14:textId="77777777" w:rsidR="00B9662D" w:rsidRPr="009C29C2" w:rsidRDefault="00B9662D" w:rsidP="00B9662D">
      <w:pPr>
        <w:spacing w:before="120" w:after="120"/>
        <w:jc w:val="both"/>
      </w:pPr>
      <w:r w:rsidRPr="009C29C2">
        <w:rPr>
          <w:color w:val="000000"/>
          <w:lang w:eastAsia="fr-FR" w:bidi="fr-FR"/>
        </w:rPr>
        <w:t>Ainsi, un pays largement ouvert, tout « uni » et où le vent, lorsqu’il souffle, ne trouve pour l’arrêter aucun obstacle, ni de relief, ni de v</w:t>
      </w:r>
      <w:r w:rsidRPr="009C29C2">
        <w:rPr>
          <w:color w:val="000000"/>
          <w:lang w:eastAsia="fr-FR" w:bidi="fr-FR"/>
        </w:rPr>
        <w:t>é</w:t>
      </w:r>
      <w:r w:rsidRPr="009C29C2">
        <w:rPr>
          <w:color w:val="000000"/>
          <w:lang w:eastAsia="fr-FR" w:bidi="fr-FR"/>
        </w:rPr>
        <w:t>gétation arborescente ou même buissonneuse.</w:t>
      </w:r>
    </w:p>
    <w:p w14:paraId="707C850E" w14:textId="77777777" w:rsidR="00B9662D" w:rsidRPr="009C29C2" w:rsidRDefault="00B9662D" w:rsidP="00B9662D">
      <w:pPr>
        <w:spacing w:before="120" w:after="120"/>
        <w:jc w:val="both"/>
      </w:pPr>
      <w:r w:rsidRPr="009C29C2">
        <w:rPr>
          <w:color w:val="000000"/>
          <w:lang w:eastAsia="fr-FR" w:bidi="fr-FR"/>
        </w:rPr>
        <w:t>Remontons le cours des siècles. La même impression de vastes e</w:t>
      </w:r>
      <w:r w:rsidRPr="009C29C2">
        <w:rPr>
          <w:color w:val="000000"/>
          <w:lang w:eastAsia="fr-FR" w:bidi="fr-FR"/>
        </w:rPr>
        <w:t>s</w:t>
      </w:r>
      <w:r w:rsidRPr="009C29C2">
        <w:rPr>
          <w:color w:val="000000"/>
          <w:lang w:eastAsia="fr-FR" w:bidi="fr-FR"/>
        </w:rPr>
        <w:t xml:space="preserve">paces découverts ressort d’un passage de la </w:t>
      </w:r>
      <w:r w:rsidRPr="007E1416">
        <w:rPr>
          <w:i/>
        </w:rPr>
        <w:t>Vie de Louis VI</w:t>
      </w:r>
      <w:r w:rsidRPr="009C29C2">
        <w:t>,</w:t>
      </w:r>
      <w:r w:rsidRPr="009C29C2">
        <w:rPr>
          <w:color w:val="000000"/>
          <w:lang w:eastAsia="fr-FR" w:bidi="fr-FR"/>
        </w:rPr>
        <w:t xml:space="preserve"> comp</w:t>
      </w:r>
      <w:r w:rsidRPr="009C29C2">
        <w:rPr>
          <w:color w:val="000000"/>
          <w:lang w:eastAsia="fr-FR" w:bidi="fr-FR"/>
        </w:rPr>
        <w:t>o</w:t>
      </w:r>
      <w:r w:rsidRPr="009C29C2">
        <w:rPr>
          <w:color w:val="000000"/>
          <w:lang w:eastAsia="fr-FR" w:bidi="fr-FR"/>
        </w:rPr>
        <w:t>sée, par Suger, vers 1140. Le</w:t>
      </w:r>
      <w:r>
        <w:rPr>
          <w:color w:val="000000"/>
          <w:lang w:eastAsia="fr-FR" w:bidi="fr-FR"/>
        </w:rPr>
        <w:t>s faits se rapportent à l’année </w:t>
      </w:r>
      <w:r w:rsidRPr="009C29C2">
        <w:rPr>
          <w:color w:val="000000"/>
          <w:lang w:eastAsia="fr-FR" w:bidi="fr-FR"/>
        </w:rPr>
        <w:t>1112. S</w:t>
      </w:r>
      <w:r w:rsidRPr="009C29C2">
        <w:rPr>
          <w:color w:val="000000"/>
          <w:lang w:eastAsia="fr-FR" w:bidi="fr-FR"/>
        </w:rPr>
        <w:t>u</w:t>
      </w:r>
      <w:r w:rsidRPr="009C29C2">
        <w:rPr>
          <w:color w:val="000000"/>
          <w:lang w:eastAsia="fr-FR" w:bidi="fr-FR"/>
        </w:rPr>
        <w:t xml:space="preserve">ger, à cette date, n’est pas encore abbé. Simple religieux, il administre l’importante seigneurie que la communauté de Saint-Denis possédait à Toury, au cœur de la Beauce, et que menaçait sans cesse un fâcheux voisin, Hugue, sire du Puiset. Candidement, notre moine se laisse un jour persuader d’aller plaider auprès du roi la cause de ce mauvais vassal. Il a la surprise de rencontrer en cours de route, vers Corbeil, Louis le Gros et d’apprendre de lui que cette mission prétendue n’avait, en réalité, d’autre objet que d’écarter de Toury, au moment d’une attaque déclenchée à l’improviste, le chef naturel de la défense. Rabroué pour sa naïveté, il reçoit l’ordre de regagner, au plus vite, son poste de combat, où plus tard l’ost royal, enfin rassemblé, devra le rejoindre. Il se hâte donc à travers pays, fort inquiet de savoir ce qui a </w:t>
      </w:r>
      <w:r w:rsidRPr="009C29C2">
        <w:rPr>
          <w:color w:val="000000"/>
          <w:lang w:eastAsia="fr-FR" w:bidi="fr-FR"/>
        </w:rPr>
        <w:lastRenderedPageBreak/>
        <w:t xml:space="preserve">pu arriver, en son absence, à la maison des moines : « Les yeux fixés uniquement dans cette direction, nos regards s’y portaient à chaque instant. De loin, nous n’avions qu’une preuve que la fortification n’était pas encore occupée par l’ennemi : par delà la longue plaine </w:t>
      </w:r>
      <w:r w:rsidRPr="009C29C2">
        <w:t>(</w:t>
      </w:r>
      <w:r w:rsidRPr="007E1416">
        <w:rPr>
          <w:i/>
        </w:rPr>
        <w:t>longa planitie</w:t>
      </w:r>
      <w:r w:rsidRPr="009C29C2">
        <w:t>)</w:t>
      </w:r>
      <w:r w:rsidRPr="009C29C2">
        <w:rPr>
          <w:color w:val="000000"/>
          <w:lang w:eastAsia="fr-FR" w:bidi="fr-FR"/>
        </w:rPr>
        <w:t xml:space="preserve"> et la dominant, on voyait toujours apparaître la tour à trois étages. Si les ennemis s’en étaient emparés, ils y auraient aussitôt mis le feu</w:t>
      </w:r>
      <w:r>
        <w:rPr>
          <w:color w:val="000000"/>
          <w:lang w:eastAsia="fr-FR" w:bidi="fr-FR"/>
        </w:rPr>
        <w:t> » </w:t>
      </w:r>
      <w:r>
        <w:rPr>
          <w:rStyle w:val="Appelnotedebasdep"/>
        </w:rPr>
        <w:footnoteReference w:id="268"/>
      </w:r>
      <w:r w:rsidRPr="009C29C2">
        <w:rPr>
          <w:color w:val="000000"/>
          <w:lang w:eastAsia="fr-FR" w:bidi="fr-FR"/>
        </w:rPr>
        <w:t>.</w:t>
      </w:r>
    </w:p>
    <w:p w14:paraId="74096185" w14:textId="77777777" w:rsidR="00B9662D" w:rsidRPr="009C29C2" w:rsidRDefault="00B9662D" w:rsidP="00B9662D">
      <w:pPr>
        <w:spacing w:before="120" w:after="120"/>
        <w:jc w:val="both"/>
      </w:pPr>
      <w:r w:rsidRPr="009C29C2">
        <w:rPr>
          <w:color w:val="000000"/>
          <w:lang w:eastAsia="fr-FR" w:bidi="fr-FR"/>
        </w:rPr>
        <w:t>Enfin, fils d’un âge beaucoup plus lointain encore, un gramma</w:t>
      </w:r>
      <w:r w:rsidRPr="009C29C2">
        <w:rPr>
          <w:color w:val="000000"/>
          <w:lang w:eastAsia="fr-FR" w:bidi="fr-FR"/>
        </w:rPr>
        <w:t>i</w:t>
      </w:r>
      <w:r w:rsidRPr="009C29C2">
        <w:rPr>
          <w:color w:val="000000"/>
          <w:lang w:eastAsia="fr-FR" w:bidi="fr-FR"/>
        </w:rPr>
        <w:t>rien : ce Virgilius Maro, au nom trop beau pour son médiocre talent, qui écrivait sous les rois mérovingiens, peu après 630. Il s’agit de d</w:t>
      </w:r>
      <w:r w:rsidRPr="009C29C2">
        <w:rPr>
          <w:color w:val="000000"/>
          <w:lang w:eastAsia="fr-FR" w:bidi="fr-FR"/>
        </w:rPr>
        <w:t>é</w:t>
      </w:r>
      <w:r w:rsidRPr="009C29C2">
        <w:rPr>
          <w:color w:val="000000"/>
          <w:lang w:eastAsia="fr-FR" w:bidi="fr-FR"/>
        </w:rPr>
        <w:t xml:space="preserve">couvrir au mot </w:t>
      </w:r>
      <w:r w:rsidRPr="007E1416">
        <w:rPr>
          <w:i/>
        </w:rPr>
        <w:t>bellum</w:t>
      </w:r>
      <w:r w:rsidRPr="009C29C2">
        <w:t>,</w:t>
      </w:r>
      <w:r w:rsidRPr="009C29C2">
        <w:rPr>
          <w:color w:val="000000"/>
          <w:lang w:eastAsia="fr-FR" w:bidi="fr-FR"/>
        </w:rPr>
        <w:t xml:space="preserve"> « la guerre », une étymologie aussi ingénieuse que possible. « La guerre </w:t>
      </w:r>
      <w:r w:rsidRPr="009C29C2">
        <w:t>(</w:t>
      </w:r>
      <w:r w:rsidRPr="007E1416">
        <w:rPr>
          <w:i/>
        </w:rPr>
        <w:t>bellum</w:t>
      </w:r>
      <w:r w:rsidRPr="009C29C2">
        <w:t>)</w:t>
      </w:r>
      <w:r w:rsidRPr="009C29C2">
        <w:rPr>
          <w:color w:val="000000"/>
          <w:lang w:eastAsia="fr-FR" w:bidi="fr-FR"/>
        </w:rPr>
        <w:t xml:space="preserve"> a lieu seulement dans une « beauce » </w:t>
      </w:r>
      <w:r w:rsidRPr="009C29C2">
        <w:t>(</w:t>
      </w:r>
      <w:r w:rsidRPr="007E1416">
        <w:rPr>
          <w:i/>
        </w:rPr>
        <w:t>belsa</w:t>
      </w:r>
      <w:r w:rsidRPr="009C29C2">
        <w:t>),</w:t>
      </w:r>
      <w:r w:rsidRPr="009C29C2">
        <w:rPr>
          <w:color w:val="000000"/>
          <w:lang w:eastAsia="fr-FR" w:bidi="fr-FR"/>
        </w:rPr>
        <w:t xml:space="preserve"> c’est-à-dire dans un terrain ouvert </w:t>
      </w:r>
      <w:r w:rsidRPr="009C29C2">
        <w:t>(</w:t>
      </w:r>
      <w:r w:rsidRPr="007E1416">
        <w:rPr>
          <w:i/>
        </w:rPr>
        <w:t>campo</w:t>
      </w:r>
      <w:r w:rsidRPr="009C29C2">
        <w:t>).</w:t>
      </w:r>
      <w:r w:rsidRPr="009C29C2">
        <w:rPr>
          <w:color w:val="000000"/>
          <w:lang w:eastAsia="fr-FR" w:bidi="fr-FR"/>
        </w:rPr>
        <w:t xml:space="preserve"> Une « beauce » est ainsi appelée parce qu’elle produit beaucoup de « beauces » </w:t>
      </w:r>
      <w:r w:rsidRPr="009C29C2">
        <w:t>(</w:t>
      </w:r>
      <w:r w:rsidRPr="007E1416">
        <w:rPr>
          <w:i/>
        </w:rPr>
        <w:t>belsa plurima</w:t>
      </w:r>
      <w:r w:rsidRPr="009C29C2">
        <w:t>),</w:t>
      </w:r>
      <w:r w:rsidRPr="009C29C2">
        <w:rPr>
          <w:color w:val="000000"/>
          <w:lang w:eastAsia="fr-FR" w:bidi="fr-FR"/>
        </w:rPr>
        <w:t xml:space="preserve"> autrement dit d’herbes </w:t>
      </w:r>
      <w:r w:rsidRPr="009C29C2">
        <w:t>(</w:t>
      </w:r>
      <w:r w:rsidRPr="007E1416">
        <w:rPr>
          <w:i/>
        </w:rPr>
        <w:t>gramina</w:t>
      </w:r>
      <w:r w:rsidRPr="009C29C2">
        <w:t>)</w:t>
      </w:r>
      <w:r w:rsidRPr="009C29C2">
        <w:rPr>
          <w:color w:val="000000"/>
          <w:lang w:eastAsia="fr-FR" w:bidi="fr-FR"/>
        </w:rPr>
        <w:t> »</w:t>
      </w:r>
      <w:r>
        <w:rPr>
          <w:color w:val="000000"/>
          <w:lang w:eastAsia="fr-FR" w:bidi="fr-FR"/>
        </w:rPr>
        <w:t> </w:t>
      </w:r>
      <w:r>
        <w:rPr>
          <w:rStyle w:val="Appelnotedebasdep"/>
        </w:rPr>
        <w:footnoteReference w:id="269"/>
      </w:r>
      <w:r w:rsidRPr="009C29C2">
        <w:rPr>
          <w:color w:val="000000"/>
          <w:lang w:eastAsia="fr-FR" w:bidi="fr-FR"/>
        </w:rPr>
        <w:t xml:space="preserve">. Laissons de côté, provisoirement, la traduction de ce dernier mot : </w:t>
      </w:r>
      <w:r w:rsidRPr="007E1416">
        <w:rPr>
          <w:i/>
        </w:rPr>
        <w:t>gramina</w:t>
      </w:r>
      <w:r w:rsidRPr="009C29C2">
        <w:rPr>
          <w:color w:val="000000"/>
          <w:lang w:eastAsia="fr-FR" w:bidi="fr-FR"/>
        </w:rPr>
        <w:t>. Je chercherai, dans un instant, à justifier celle que je viens de donner. Évitons même de nous appesantir sur les curieux probl</w:t>
      </w:r>
      <w:r w:rsidRPr="009C29C2">
        <w:rPr>
          <w:color w:val="000000"/>
          <w:lang w:eastAsia="fr-FR" w:bidi="fr-FR"/>
        </w:rPr>
        <w:t>è</w:t>
      </w:r>
      <w:r w:rsidRPr="009C29C2">
        <w:rPr>
          <w:color w:val="000000"/>
          <w:lang w:eastAsia="fr-FR" w:bidi="fr-FR"/>
        </w:rPr>
        <w:t>mes, d’ordre linguistique, que soulève ce texte : visiblement, pour Maro, « beauce » est, moins un terme géographique qu’un nom co</w:t>
      </w:r>
      <w:r w:rsidRPr="009C29C2">
        <w:rPr>
          <w:color w:val="000000"/>
          <w:lang w:eastAsia="fr-FR" w:bidi="fr-FR"/>
        </w:rPr>
        <w:t>m</w:t>
      </w:r>
      <w:r w:rsidRPr="009C29C2">
        <w:rPr>
          <w:color w:val="000000"/>
          <w:lang w:eastAsia="fr-FR" w:bidi="fr-FR"/>
        </w:rPr>
        <w:t>mun, qui désigne à la fois une certaine végétation et l’espace caract</w:t>
      </w:r>
      <w:r w:rsidRPr="009C29C2">
        <w:rPr>
          <w:color w:val="000000"/>
          <w:lang w:eastAsia="fr-FR" w:bidi="fr-FR"/>
        </w:rPr>
        <w:t>é</w:t>
      </w:r>
      <w:r w:rsidRPr="009C29C2">
        <w:rPr>
          <w:color w:val="000000"/>
          <w:lang w:eastAsia="fr-FR" w:bidi="fr-FR"/>
        </w:rPr>
        <w:t>risé par ce paysage botanique ; mais force est d’abandonner ces éni</w:t>
      </w:r>
      <w:r w:rsidRPr="009C29C2">
        <w:rPr>
          <w:color w:val="000000"/>
          <w:lang w:eastAsia="fr-FR" w:bidi="fr-FR"/>
        </w:rPr>
        <w:t>g</w:t>
      </w:r>
      <w:r w:rsidRPr="009C29C2">
        <w:rPr>
          <w:color w:val="000000"/>
          <w:lang w:eastAsia="fr-FR" w:bidi="fr-FR"/>
        </w:rPr>
        <w:t>mes du langage aux spécialistes qui, disposant d’un large clavier de comparaison, sont seuls qualifiés pour leur chercher une réponse. L’essentiel est, pour nous, ici, de constater que, substantif de valeur générale ou nom de pays, le mot de Beauce entraînait avec soi, avant tout, l’image d’une étendue toute rase : une « champagne », comme disaient nos vieux parlers agrestes</w:t>
      </w:r>
      <w:r>
        <w:rPr>
          <w:color w:val="000000"/>
          <w:lang w:eastAsia="fr-FR" w:bidi="fr-FR"/>
        </w:rPr>
        <w:t> — </w:t>
      </w:r>
      <w:r w:rsidRPr="009C29C2">
        <w:rPr>
          <w:color w:val="000000"/>
          <w:lang w:eastAsia="fr-FR" w:bidi="fr-FR"/>
        </w:rPr>
        <w:t>telle serait, au vrai, la plus exa</w:t>
      </w:r>
      <w:r w:rsidRPr="009C29C2">
        <w:rPr>
          <w:color w:val="000000"/>
          <w:lang w:eastAsia="fr-FR" w:bidi="fr-FR"/>
        </w:rPr>
        <w:t>c</w:t>
      </w:r>
      <w:r w:rsidRPr="009C29C2">
        <w:rPr>
          <w:color w:val="000000"/>
          <w:lang w:eastAsia="fr-FR" w:bidi="fr-FR"/>
        </w:rPr>
        <w:t xml:space="preserve">te traduction de </w:t>
      </w:r>
      <w:r w:rsidRPr="009C29C2">
        <w:t>campus</w:t>
      </w:r>
      <w:r>
        <w:rPr>
          <w:color w:val="000000"/>
          <w:lang w:eastAsia="fr-FR" w:bidi="fr-FR"/>
        </w:rPr>
        <w:t> — </w:t>
      </w:r>
      <w:r w:rsidRPr="009C29C2">
        <w:rPr>
          <w:color w:val="000000"/>
          <w:lang w:eastAsia="fr-FR" w:bidi="fr-FR"/>
        </w:rPr>
        <w:t>; en d’autres termes, une terre sans mo</w:t>
      </w:r>
      <w:r w:rsidRPr="009C29C2">
        <w:rPr>
          <w:color w:val="000000"/>
          <w:lang w:eastAsia="fr-FR" w:bidi="fr-FR"/>
        </w:rPr>
        <w:t>u</w:t>
      </w:r>
      <w:r w:rsidRPr="009C29C2">
        <w:rPr>
          <w:color w:val="000000"/>
          <w:lang w:eastAsia="fr-FR" w:bidi="fr-FR"/>
        </w:rPr>
        <w:t>vements de relief bien accentués ni épaisses lignes d’arbres.</w:t>
      </w:r>
    </w:p>
    <w:p w14:paraId="26EF19B0" w14:textId="77777777" w:rsidR="00B9662D" w:rsidRDefault="00B9662D" w:rsidP="00B9662D">
      <w:pPr>
        <w:spacing w:before="120" w:after="120"/>
        <w:jc w:val="both"/>
        <w:rPr>
          <w:color w:val="000000"/>
          <w:lang w:eastAsia="fr-FR" w:bidi="fr-FR"/>
        </w:rPr>
      </w:pPr>
      <w:r w:rsidRPr="009C29C2">
        <w:br w:type="page"/>
      </w:r>
      <w:r>
        <w:rPr>
          <w:color w:val="000000"/>
          <w:lang w:eastAsia="fr-FR" w:bidi="fr-FR"/>
        </w:rPr>
        <w:lastRenderedPageBreak/>
        <w:t>[642]</w:t>
      </w:r>
    </w:p>
    <w:p w14:paraId="3DB93DD8" w14:textId="77777777" w:rsidR="00B9662D" w:rsidRPr="009C29C2" w:rsidRDefault="00B9662D" w:rsidP="00B9662D">
      <w:pPr>
        <w:spacing w:before="120" w:after="120"/>
        <w:jc w:val="both"/>
      </w:pPr>
    </w:p>
    <w:p w14:paraId="06865732" w14:textId="77777777" w:rsidR="00B9662D" w:rsidRPr="009C29C2" w:rsidRDefault="00B9662D" w:rsidP="00B9662D">
      <w:pPr>
        <w:pStyle w:val="planche"/>
      </w:pPr>
      <w:r w:rsidRPr="009C29C2">
        <w:t>V</w:t>
      </w:r>
    </w:p>
    <w:p w14:paraId="6ACBD6D4" w14:textId="77777777" w:rsidR="00B9662D" w:rsidRDefault="00B9662D" w:rsidP="00B9662D">
      <w:pPr>
        <w:spacing w:before="120" w:after="120"/>
        <w:jc w:val="both"/>
        <w:rPr>
          <w:color w:val="000000"/>
          <w:lang w:eastAsia="fr-FR" w:bidi="fr-FR"/>
        </w:rPr>
      </w:pPr>
    </w:p>
    <w:p w14:paraId="28FD6FAA" w14:textId="77777777" w:rsidR="00B9662D" w:rsidRPr="009C29C2" w:rsidRDefault="00B9662D" w:rsidP="00B9662D">
      <w:pPr>
        <w:spacing w:before="120" w:after="120"/>
        <w:jc w:val="both"/>
      </w:pPr>
      <w:r w:rsidRPr="009C29C2">
        <w:rPr>
          <w:color w:val="000000"/>
          <w:lang w:eastAsia="fr-FR" w:bidi="fr-FR"/>
        </w:rPr>
        <w:t>Ce dernier point mérite qu’on y insiste. Car il touche à un probl</w:t>
      </w:r>
      <w:r w:rsidRPr="009C29C2">
        <w:rPr>
          <w:color w:val="000000"/>
          <w:lang w:eastAsia="fr-FR" w:bidi="fr-FR"/>
        </w:rPr>
        <w:t>è</w:t>
      </w:r>
      <w:r w:rsidRPr="009C29C2">
        <w:rPr>
          <w:color w:val="000000"/>
          <w:lang w:eastAsia="fr-FR" w:bidi="fr-FR"/>
        </w:rPr>
        <w:t>me souvent débattu. Que la Beauce, aujourd’hui, soit sans forêts et</w:t>
      </w:r>
      <w:r>
        <w:rPr>
          <w:color w:val="000000"/>
          <w:lang w:eastAsia="fr-FR" w:bidi="fr-FR"/>
        </w:rPr>
        <w:t> — </w:t>
      </w:r>
      <w:r w:rsidRPr="009C29C2">
        <w:rPr>
          <w:color w:val="000000"/>
          <w:lang w:eastAsia="fr-FR" w:bidi="fr-FR"/>
        </w:rPr>
        <w:t>réserve faite de quelques plantations récentes, généralement assez maigres</w:t>
      </w:r>
      <w:r>
        <w:rPr>
          <w:color w:val="000000"/>
          <w:lang w:eastAsia="fr-FR" w:bidi="fr-FR"/>
        </w:rPr>
        <w:t> — </w:t>
      </w:r>
      <w:r w:rsidRPr="009C29C2">
        <w:rPr>
          <w:color w:val="000000"/>
          <w:lang w:eastAsia="fr-FR" w:bidi="fr-FR"/>
        </w:rPr>
        <w:t xml:space="preserve">presque sans boqueteaux, chacun le sait. Mais en a-t-il toujours été ainsi ? Et ne serait-ce pas l’homme qui, ici comme en tant d’autres lieux, aurait, aidé de ses troupeaux, porté la ruine dans les futaies ou les taillis ? Certains l’ont pensé, s’appuyant, pour évoquer la mémoire d’une antique sylve beauceronne, sur une tenace tradition populaire, reproduite et entretenue par Rabelais. Aux géologues, il appartiendra de nous dire si les conditions naturelles ont jamais, en Beauce, favorisé la croissance d’arbres nombreux ; aux botanistes, si ces forêts, à les supposer possibles ou vraisemblables, ont laissé dans les flores « résiduelles » des traces sensibles. Le rôle de l’historien est plus modeste. Il ne peut qu’enregistrer la leçon de ses documents, qui, dans le temps, ne remontent guère plus haut que les débuts du Moyen </w:t>
      </w:r>
      <w:r>
        <w:rPr>
          <w:color w:val="000000"/>
          <w:lang w:eastAsia="fr-FR" w:bidi="fr-FR"/>
        </w:rPr>
        <w:t>Â</w:t>
      </w:r>
      <w:r w:rsidRPr="009C29C2">
        <w:rPr>
          <w:color w:val="000000"/>
          <w:lang w:eastAsia="fr-FR" w:bidi="fr-FR"/>
        </w:rPr>
        <w:t>ge. Du moins cette leçon est-elle claire. On l’a déjà constaté : les textes descriptifs, depuis Virgilius Maro, protestent contre l’image d’une Beauce où aucun écran n’aurait arrêté la vue. D’autres témo</w:t>
      </w:r>
      <w:r w:rsidRPr="009C29C2">
        <w:rPr>
          <w:color w:val="000000"/>
          <w:lang w:eastAsia="fr-FR" w:bidi="fr-FR"/>
        </w:rPr>
        <w:t>i</w:t>
      </w:r>
      <w:r w:rsidRPr="009C29C2">
        <w:rPr>
          <w:color w:val="000000"/>
          <w:lang w:eastAsia="fr-FR" w:bidi="fr-FR"/>
        </w:rPr>
        <w:t>gnages parlent dans le même sens.</w:t>
      </w:r>
    </w:p>
    <w:p w14:paraId="1DB18EC6" w14:textId="77777777" w:rsidR="00B9662D" w:rsidRPr="009C29C2" w:rsidRDefault="00B9662D" w:rsidP="00B9662D">
      <w:pPr>
        <w:spacing w:before="120" w:after="120"/>
        <w:jc w:val="both"/>
      </w:pPr>
      <w:r w:rsidRPr="009C29C2">
        <w:rPr>
          <w:color w:val="000000"/>
          <w:lang w:eastAsia="fr-FR" w:bidi="fr-FR"/>
        </w:rPr>
        <w:t>L’état de mes recherches ne me permet pas d’invoquer, avec bea</w:t>
      </w:r>
      <w:r w:rsidRPr="009C29C2">
        <w:rPr>
          <w:color w:val="000000"/>
          <w:lang w:eastAsia="fr-FR" w:bidi="fr-FR"/>
        </w:rPr>
        <w:t>u</w:t>
      </w:r>
      <w:r w:rsidRPr="009C29C2">
        <w:rPr>
          <w:color w:val="000000"/>
          <w:lang w:eastAsia="fr-FR" w:bidi="fr-FR"/>
        </w:rPr>
        <w:t>coup d’assurance, les arguments tirés de la toponymie. Aussi bien la présence de tel ou tel nom de lieu, tiré d’un nom d’arbre, ne saurait-elle être, par elle-même, bien concluante. On peut croire que l’arbre, en Beauce, était rare. Nul n’a jamais soutenu qu’il manquât tout à fait. Là où il s’en élevait quelques-uns, ce que leur silhouette, dans le paysage, avait d’exceptionnel devait conduire facilement à en faire le signe caractéristique du quartier de terre qu’ils ombrageaient ou du groupe de maisons auquel ils servaient de repère. Il semble cependant que les noms ainsi formés soient particulièrement denses sur le pou</w:t>
      </w:r>
      <w:r w:rsidRPr="009C29C2">
        <w:rPr>
          <w:color w:val="000000"/>
          <w:lang w:eastAsia="fr-FR" w:bidi="fr-FR"/>
        </w:rPr>
        <w:t>r</w:t>
      </w:r>
      <w:r w:rsidRPr="009C29C2">
        <w:rPr>
          <w:color w:val="000000"/>
          <w:lang w:eastAsia="fr-FR" w:bidi="fr-FR"/>
        </w:rPr>
        <w:t>tour du pays, dans cette zone de confins où les traits de sécheresse et de nudité si accentués dans la Beauce centrale commencent à s’effacer : ainsi, sur la marge de la Beauce chartraine, Fresnay-le-</w:t>
      </w:r>
      <w:r w:rsidRPr="009C29C2">
        <w:rPr>
          <w:color w:val="000000"/>
          <w:lang w:eastAsia="fr-FR" w:bidi="fr-FR"/>
        </w:rPr>
        <w:lastRenderedPageBreak/>
        <w:t>Comte, Rouvray-S</w:t>
      </w:r>
      <w:r>
        <w:rPr>
          <w:color w:val="000000"/>
          <w:lang w:eastAsia="fr-FR" w:bidi="fr-FR"/>
        </w:rPr>
        <w:t>aint-Florentin, Le Gault-Saint-</w:t>
      </w:r>
      <w:r w:rsidRPr="009C29C2">
        <w:rPr>
          <w:color w:val="000000"/>
          <w:lang w:eastAsia="fr-FR" w:bidi="fr-FR"/>
        </w:rPr>
        <w:t>Denis (Gault, app</w:t>
      </w:r>
      <w:r w:rsidRPr="009C29C2">
        <w:rPr>
          <w:color w:val="000000"/>
          <w:lang w:eastAsia="fr-FR" w:bidi="fr-FR"/>
        </w:rPr>
        <w:t>a</w:t>
      </w:r>
      <w:r w:rsidRPr="009C29C2">
        <w:rPr>
          <w:color w:val="000000"/>
          <w:lang w:eastAsia="fr-FR" w:bidi="fr-FR"/>
        </w:rPr>
        <w:t xml:space="preserve">renté à l’allemand </w:t>
      </w:r>
      <w:r w:rsidRPr="007E1416">
        <w:rPr>
          <w:i/>
        </w:rPr>
        <w:t>Wald</w:t>
      </w:r>
      <w:r w:rsidRPr="009C29C2">
        <w:rPr>
          <w:color w:val="000000"/>
          <w:lang w:eastAsia="fr-FR" w:bidi="fr-FR"/>
        </w:rPr>
        <w:t>, désignait un terrain boisé), Boisvillette. De même, vers le Sud et l’Est, la fréquente répétition, sur la carte, du d</w:t>
      </w:r>
      <w:r w:rsidRPr="009C29C2">
        <w:rPr>
          <w:color w:val="000000"/>
          <w:lang w:eastAsia="fr-FR" w:bidi="fr-FR"/>
        </w:rPr>
        <w:t>é</w:t>
      </w:r>
      <w:r w:rsidRPr="009C29C2">
        <w:rPr>
          <w:color w:val="000000"/>
          <w:lang w:eastAsia="fr-FR" w:bidi="fr-FR"/>
        </w:rPr>
        <w:t>terminatif « aux Bois » marque l’apparition de conditions naturelles nouvelles. Il est significatif que, des deux côtés de Pithiviers, Bo</w:t>
      </w:r>
      <w:r w:rsidRPr="009C29C2">
        <w:rPr>
          <w:color w:val="000000"/>
          <w:lang w:eastAsia="fr-FR" w:bidi="fr-FR"/>
        </w:rPr>
        <w:t>u</w:t>
      </w:r>
      <w:r w:rsidRPr="009C29C2">
        <w:rPr>
          <w:color w:val="000000"/>
          <w:lang w:eastAsia="fr-FR" w:bidi="fr-FR"/>
        </w:rPr>
        <w:t>zonville-aux-Bois s’oppose à Bouzonville-en-Beauce. Tout se passe, en somme, comme si, apercevant les premiers bouquets d’arbres, face à une étendue qui en était dépourvue, les hommes avaient été frappés de ce contraste et avaient éprouvé le besoin de l’exprimer.</w:t>
      </w:r>
    </w:p>
    <w:p w14:paraId="3FBEF661" w14:textId="77777777" w:rsidR="00B9662D" w:rsidRPr="009C29C2" w:rsidRDefault="00B9662D" w:rsidP="00B9662D">
      <w:pPr>
        <w:spacing w:before="120" w:after="120"/>
        <w:jc w:val="both"/>
      </w:pPr>
      <w:r w:rsidRPr="009C29C2">
        <w:rPr>
          <w:color w:val="000000"/>
          <w:lang w:eastAsia="fr-FR" w:bidi="fr-FR"/>
        </w:rPr>
        <w:t xml:space="preserve">Plus éloquent est le témoignage des textes relatifs à la vie rurale ou seigneuriale. Je puis, ici, ouvrir tout grand un dossier que des années de recherches ont beaucoup gonflé. Dans toutes les chartes que j’ai eu l’occasion de dépouiller, j’ai relevé exactement deux mentions de « forêts » qui aient quelque droit à être dites « en Beauce ». L’une est signalée, vers 1105, à </w:t>
      </w:r>
      <w:r w:rsidRPr="007E1416">
        <w:rPr>
          <w:i/>
        </w:rPr>
        <w:t>Bolonvilla</w:t>
      </w:r>
      <w:r w:rsidRPr="009C29C2">
        <w:rPr>
          <w:color w:val="000000"/>
          <w:lang w:eastAsia="fr-FR" w:bidi="fr-FR"/>
        </w:rPr>
        <w:t>, qui est peut-être Boulonville, co</w:t>
      </w:r>
      <w:r w:rsidRPr="009C29C2">
        <w:rPr>
          <w:color w:val="000000"/>
          <w:lang w:eastAsia="fr-FR" w:bidi="fr-FR"/>
        </w:rPr>
        <w:t>m</w:t>
      </w:r>
      <w:r w:rsidRPr="009C29C2">
        <w:rPr>
          <w:color w:val="000000"/>
          <w:lang w:eastAsia="fr-FR" w:bidi="fr-FR"/>
        </w:rPr>
        <w:t>mune de Sainville, dans le canton d’Auneau ; l’a</w:t>
      </w:r>
      <w:r>
        <w:rPr>
          <w:color w:val="000000"/>
          <w:lang w:eastAsia="fr-FR" w:bidi="fr-FR"/>
        </w:rPr>
        <w:t>utre, par un diplôme de Hugues C</w:t>
      </w:r>
      <w:r w:rsidRPr="009C29C2">
        <w:rPr>
          <w:color w:val="000000"/>
          <w:lang w:eastAsia="fr-FR" w:bidi="fr-FR"/>
        </w:rPr>
        <w:t>apet, près</w:t>
      </w:r>
      <w:r>
        <w:t xml:space="preserve"> </w:t>
      </w:r>
      <w:r>
        <w:rPr>
          <w:color w:val="000000"/>
          <w:lang w:eastAsia="fr-FR" w:bidi="fr-FR"/>
        </w:rPr>
        <w:t xml:space="preserve">[643] </w:t>
      </w:r>
      <w:r w:rsidRPr="009C29C2">
        <w:rPr>
          <w:color w:val="000000"/>
          <w:lang w:eastAsia="fr-FR" w:bidi="fr-FR"/>
        </w:rPr>
        <w:t>de</w:t>
      </w:r>
      <w:r>
        <w:rPr>
          <w:color w:val="000000"/>
          <w:lang w:eastAsia="fr-FR" w:bidi="fr-FR"/>
        </w:rPr>
        <w:t xml:space="preserve"> </w:t>
      </w:r>
      <w:r w:rsidRPr="009C29C2">
        <w:rPr>
          <w:color w:val="000000"/>
          <w:lang w:eastAsia="fr-FR" w:bidi="fr-FR"/>
        </w:rPr>
        <w:t>Lion-en-Beauce</w:t>
      </w:r>
      <w:r>
        <w:rPr>
          <w:color w:val="000000"/>
          <w:lang w:eastAsia="fr-FR" w:bidi="fr-FR"/>
        </w:rPr>
        <w:t> </w:t>
      </w:r>
      <w:r>
        <w:rPr>
          <w:rStyle w:val="Appelnotedebasdep"/>
        </w:rPr>
        <w:footnoteReference w:id="270"/>
      </w:r>
      <w:r w:rsidRPr="009C29C2">
        <w:rPr>
          <w:color w:val="000000"/>
          <w:lang w:eastAsia="fr-FR" w:bidi="fr-FR"/>
        </w:rPr>
        <w:t>. Mais Boulonville est sur les bords de la Beauce chartraine, où déjà l’aspect du pays change un peu ; et Lion se trouve placé au voisinage immédiat des premières plaques de sable et d’argile qui annoncent le sol et la vég</w:t>
      </w:r>
      <w:r w:rsidRPr="009C29C2">
        <w:rPr>
          <w:color w:val="000000"/>
          <w:lang w:eastAsia="fr-FR" w:bidi="fr-FR"/>
        </w:rPr>
        <w:t>é</w:t>
      </w:r>
      <w:r w:rsidRPr="009C29C2">
        <w:rPr>
          <w:color w:val="000000"/>
          <w:lang w:eastAsia="fr-FR" w:bidi="fr-FR"/>
        </w:rPr>
        <w:t>tation du grand massif feuillu Orléanais.</w:t>
      </w:r>
    </w:p>
    <w:p w14:paraId="1BFEC6C6" w14:textId="77777777" w:rsidR="00B9662D" w:rsidRPr="009C29C2" w:rsidRDefault="00B9662D" w:rsidP="00B9662D">
      <w:pPr>
        <w:spacing w:before="120" w:after="120"/>
        <w:jc w:val="both"/>
      </w:pPr>
      <w:r w:rsidRPr="009C29C2">
        <w:rPr>
          <w:color w:val="000000"/>
          <w:lang w:eastAsia="fr-FR" w:bidi="fr-FR"/>
        </w:rPr>
        <w:t xml:space="preserve">Beaucoup de défrichements, d’autre part, ont été exécutés en Beauce, comme ailleurs, du milieu du </w:t>
      </w:r>
      <w:r>
        <w:rPr>
          <w:color w:val="000000"/>
          <w:lang w:eastAsia="fr-FR" w:bidi="fr-FR"/>
        </w:rPr>
        <w:t>XI</w:t>
      </w:r>
      <w:r w:rsidRPr="009C29C2">
        <w:rPr>
          <w:color w:val="000000"/>
          <w:vertAlign w:val="superscript"/>
          <w:lang w:eastAsia="fr-FR" w:bidi="fr-FR"/>
        </w:rPr>
        <w:t>e</w:t>
      </w:r>
      <w:r w:rsidRPr="009C29C2">
        <w:rPr>
          <w:color w:val="000000"/>
          <w:lang w:eastAsia="fr-FR" w:bidi="fr-FR"/>
        </w:rPr>
        <w:t xml:space="preserve"> siècle au milieu du </w:t>
      </w:r>
      <w:r>
        <w:rPr>
          <w:color w:val="000000"/>
          <w:lang w:eastAsia="fr-FR" w:bidi="fr-FR"/>
        </w:rPr>
        <w:t>XIII</w:t>
      </w:r>
      <w:r w:rsidRPr="009C29C2">
        <w:rPr>
          <w:color w:val="000000"/>
          <w:vertAlign w:val="superscript"/>
          <w:lang w:eastAsia="fr-FR" w:bidi="fr-FR"/>
        </w:rPr>
        <w:t>e</w:t>
      </w:r>
      <w:r w:rsidRPr="009C29C2">
        <w:rPr>
          <w:color w:val="000000"/>
          <w:lang w:eastAsia="fr-FR" w:bidi="fr-FR"/>
        </w:rPr>
        <w:t>. Parmi tous les textes qui les relatent, je n’en connais pas un seul qui les présente comme opérés aux dépens d’une forêt. Mieux encore : un récit, au moins, donne, avec une admirable précision, un tableau exa</w:t>
      </w:r>
      <w:r w:rsidRPr="009C29C2">
        <w:rPr>
          <w:color w:val="000000"/>
          <w:lang w:eastAsia="fr-FR" w:bidi="fr-FR"/>
        </w:rPr>
        <w:t>c</w:t>
      </w:r>
      <w:r w:rsidRPr="009C29C2">
        <w:rPr>
          <w:color w:val="000000"/>
          <w:lang w:eastAsia="fr-FR" w:bidi="fr-FR"/>
        </w:rPr>
        <w:t>tement contraire. C’est</w:t>
      </w:r>
      <w:r>
        <w:rPr>
          <w:color w:val="000000"/>
          <w:lang w:eastAsia="fr-FR" w:bidi="fr-FR"/>
        </w:rPr>
        <w:t> — </w:t>
      </w:r>
      <w:r w:rsidRPr="009C29C2">
        <w:rPr>
          <w:color w:val="000000"/>
          <w:lang w:eastAsia="fr-FR" w:bidi="fr-FR"/>
        </w:rPr>
        <w:t>telle que l’a tracée, entre 1106 et 1108, le chroniqueur de l’abbaye de Morigny</w:t>
      </w:r>
      <w:r>
        <w:rPr>
          <w:color w:val="000000"/>
          <w:lang w:eastAsia="fr-FR" w:bidi="fr-FR"/>
        </w:rPr>
        <w:t> — </w:t>
      </w:r>
      <w:r w:rsidRPr="009C29C2">
        <w:rPr>
          <w:color w:val="000000"/>
          <w:lang w:eastAsia="fr-FR" w:bidi="fr-FR"/>
        </w:rPr>
        <w:t>la description des travau</w:t>
      </w:r>
      <w:r>
        <w:rPr>
          <w:color w:val="000000"/>
          <w:lang w:eastAsia="fr-FR" w:bidi="fr-FR"/>
        </w:rPr>
        <w:t>x a</w:t>
      </w:r>
      <w:r>
        <w:rPr>
          <w:color w:val="000000"/>
          <w:lang w:eastAsia="fr-FR" w:bidi="fr-FR"/>
        </w:rPr>
        <w:t>c</w:t>
      </w:r>
      <w:r>
        <w:rPr>
          <w:color w:val="000000"/>
          <w:lang w:eastAsia="fr-FR" w:bidi="fr-FR"/>
        </w:rPr>
        <w:t>complis, autour de Maisons-</w:t>
      </w:r>
      <w:r w:rsidRPr="009C29C2">
        <w:rPr>
          <w:color w:val="000000"/>
          <w:lang w:eastAsia="fr-FR" w:bidi="fr-FR"/>
        </w:rPr>
        <w:t>en-Beauce, sous la direction du moine Baudoin : « Il mit en culture ce lieu longtemps inculte ; tantôt avec la charrue, tantôt avec des houes, tantôt avec les autres armes du paysan, il faisait arracher les broussailles, les tribules, les fougères, les bui</w:t>
      </w:r>
      <w:r w:rsidRPr="009C29C2">
        <w:rPr>
          <w:color w:val="000000"/>
          <w:lang w:eastAsia="fr-FR" w:bidi="fr-FR"/>
        </w:rPr>
        <w:t>s</w:t>
      </w:r>
      <w:r w:rsidRPr="009C29C2">
        <w:rPr>
          <w:color w:val="000000"/>
          <w:lang w:eastAsia="fr-FR" w:bidi="fr-FR"/>
        </w:rPr>
        <w:t xml:space="preserve">sons et les autres encombrements adhérents aux entrailles de la </w:t>
      </w:r>
      <w:r w:rsidRPr="009C29C2">
        <w:rPr>
          <w:color w:val="000000"/>
          <w:lang w:eastAsia="fr-FR" w:bidi="fr-FR"/>
        </w:rPr>
        <w:lastRenderedPageBreak/>
        <w:t>te</w:t>
      </w:r>
      <w:r w:rsidRPr="009C29C2">
        <w:rPr>
          <w:color w:val="000000"/>
          <w:lang w:eastAsia="fr-FR" w:bidi="fr-FR"/>
        </w:rPr>
        <w:t>r</w:t>
      </w:r>
      <w:r w:rsidRPr="009C29C2">
        <w:rPr>
          <w:color w:val="000000"/>
          <w:lang w:eastAsia="fr-FR" w:bidi="fr-FR"/>
        </w:rPr>
        <w:t>re »</w:t>
      </w:r>
      <w:r>
        <w:rPr>
          <w:color w:val="000000"/>
          <w:lang w:eastAsia="fr-FR" w:bidi="fr-FR"/>
        </w:rPr>
        <w:t> </w:t>
      </w:r>
      <w:r>
        <w:rPr>
          <w:rStyle w:val="Appelnotedebasdep"/>
        </w:rPr>
        <w:footnoteReference w:id="271"/>
      </w:r>
      <w:r w:rsidRPr="009C29C2">
        <w:rPr>
          <w:color w:val="000000"/>
          <w:lang w:eastAsia="fr-FR" w:bidi="fr-FR"/>
        </w:rPr>
        <w:t>. Rien que des plantes basses ou buissonneuses. Visiblement, dans ce coin de Beauce, la cognée du bûcheron, qui en tant d’autres lieux dut frayer la voie au laboureur, n’avait rien à faire.</w:t>
      </w:r>
    </w:p>
    <w:p w14:paraId="181C641D" w14:textId="77777777" w:rsidR="00B9662D" w:rsidRDefault="00B9662D" w:rsidP="00B9662D">
      <w:pPr>
        <w:spacing w:before="120" w:after="120"/>
        <w:jc w:val="both"/>
        <w:rPr>
          <w:color w:val="000000"/>
          <w:lang w:eastAsia="fr-FR" w:bidi="fr-FR"/>
        </w:rPr>
      </w:pPr>
    </w:p>
    <w:p w14:paraId="14395945" w14:textId="77777777" w:rsidR="00B9662D" w:rsidRPr="009C29C2" w:rsidRDefault="00B9662D" w:rsidP="00B9662D">
      <w:pPr>
        <w:pStyle w:val="planche"/>
      </w:pPr>
      <w:r w:rsidRPr="009C29C2">
        <w:t>VI</w:t>
      </w:r>
    </w:p>
    <w:p w14:paraId="77227066" w14:textId="77777777" w:rsidR="00B9662D" w:rsidRDefault="00B9662D" w:rsidP="00B9662D">
      <w:pPr>
        <w:spacing w:before="120" w:after="120"/>
        <w:jc w:val="both"/>
      </w:pPr>
    </w:p>
    <w:p w14:paraId="7F3EEC11" w14:textId="77777777" w:rsidR="00B9662D" w:rsidRPr="009C29C2" w:rsidRDefault="00B9662D" w:rsidP="00B9662D">
      <w:pPr>
        <w:spacing w:before="120" w:after="120"/>
        <w:jc w:val="both"/>
      </w:pPr>
      <w:r w:rsidRPr="007E1416">
        <w:rPr>
          <w:i/>
        </w:rPr>
        <w:t>Gramina </w:t>
      </w:r>
      <w:r w:rsidRPr="009C29C2">
        <w:t>:</w:t>
      </w:r>
      <w:r w:rsidRPr="009C29C2">
        <w:rPr>
          <w:color w:val="000000"/>
          <w:lang w:eastAsia="fr-FR" w:bidi="fr-FR"/>
        </w:rPr>
        <w:t xml:space="preserve"> disait, on s’en souvient, Virgilius Maro, cherchant à i</w:t>
      </w:r>
      <w:r w:rsidRPr="009C29C2">
        <w:rPr>
          <w:color w:val="000000"/>
          <w:lang w:eastAsia="fr-FR" w:bidi="fr-FR"/>
        </w:rPr>
        <w:t>n</w:t>
      </w:r>
      <w:r w:rsidRPr="009C29C2">
        <w:rPr>
          <w:color w:val="000000"/>
          <w:lang w:eastAsia="fr-FR" w:bidi="fr-FR"/>
        </w:rPr>
        <w:t>terpréter, par la nature du tapis végétal, l’étymologie du nom de Bea</w:t>
      </w:r>
      <w:r w:rsidRPr="009C29C2">
        <w:rPr>
          <w:color w:val="000000"/>
          <w:lang w:eastAsia="fr-FR" w:bidi="fr-FR"/>
        </w:rPr>
        <w:t>u</w:t>
      </w:r>
      <w:r w:rsidRPr="009C29C2">
        <w:rPr>
          <w:color w:val="000000"/>
          <w:lang w:eastAsia="fr-FR" w:bidi="fr-FR"/>
        </w:rPr>
        <w:t>ce. M. Gallois, qui cite la phrase, traduit par « prairies ». Comme, c</w:t>
      </w:r>
      <w:r w:rsidRPr="009C29C2">
        <w:rPr>
          <w:color w:val="000000"/>
          <w:lang w:eastAsia="fr-FR" w:bidi="fr-FR"/>
        </w:rPr>
        <w:t>e</w:t>
      </w:r>
      <w:r w:rsidRPr="009C29C2">
        <w:rPr>
          <w:color w:val="000000"/>
          <w:lang w:eastAsia="fr-FR" w:bidi="fr-FR"/>
        </w:rPr>
        <w:t>pendant, il sait, mieux que personne, que les prés ne comptent pas, précisément, parmi les caractéristiques du paysage beauceron, il ajo</w:t>
      </w:r>
      <w:r w:rsidRPr="009C29C2">
        <w:rPr>
          <w:color w:val="000000"/>
          <w:lang w:eastAsia="fr-FR" w:bidi="fr-FR"/>
        </w:rPr>
        <w:t>u</w:t>
      </w:r>
      <w:r w:rsidRPr="009C29C2">
        <w:rPr>
          <w:color w:val="000000"/>
          <w:lang w:eastAsia="fr-FR" w:bidi="fr-FR"/>
        </w:rPr>
        <w:t xml:space="preserve">te que le mot ne doit pas être pris trop à la lettre ; il faut, assure-t-il, entendre : terre cultivée. Mais </w:t>
      </w:r>
      <w:r w:rsidRPr="003919ED">
        <w:rPr>
          <w:i/>
        </w:rPr>
        <w:t>gramina</w:t>
      </w:r>
      <w:r w:rsidRPr="009C29C2">
        <w:rPr>
          <w:color w:val="000000"/>
          <w:lang w:eastAsia="fr-FR" w:bidi="fr-FR"/>
        </w:rPr>
        <w:t xml:space="preserve"> signifie herbes, tout simpl</w:t>
      </w:r>
      <w:r w:rsidRPr="009C29C2">
        <w:rPr>
          <w:color w:val="000000"/>
          <w:lang w:eastAsia="fr-FR" w:bidi="fr-FR"/>
        </w:rPr>
        <w:t>e</w:t>
      </w:r>
      <w:r w:rsidRPr="009C29C2">
        <w:rPr>
          <w:color w:val="000000"/>
          <w:lang w:eastAsia="fr-FR" w:bidi="fr-FR"/>
        </w:rPr>
        <w:t>ment ; et, de fait, si la Beauce, sèche, limoneuse et éventée, n’a pas porté d’arbres, force est qu’avant sa conquête par l’agriculture huma</w:t>
      </w:r>
      <w:r w:rsidRPr="009C29C2">
        <w:rPr>
          <w:color w:val="000000"/>
          <w:lang w:eastAsia="fr-FR" w:bidi="fr-FR"/>
        </w:rPr>
        <w:t>i</w:t>
      </w:r>
      <w:r w:rsidRPr="009C29C2">
        <w:rPr>
          <w:color w:val="000000"/>
          <w:lang w:eastAsia="fr-FR" w:bidi="fr-FR"/>
        </w:rPr>
        <w:t>ne, elle ait été couverte, avant tout, de graminées sauvages ; qu’en d’autres termes, elle ait été une steppe avant de devenir une terre à blé. Le problème est de savoir quand s’est opéré le passage.</w:t>
      </w:r>
    </w:p>
    <w:p w14:paraId="2BF3417C" w14:textId="77777777" w:rsidR="00B9662D" w:rsidRPr="009C29C2" w:rsidRDefault="00B9662D" w:rsidP="00B9662D">
      <w:pPr>
        <w:spacing w:before="120" w:after="120"/>
        <w:jc w:val="both"/>
      </w:pPr>
      <w:r w:rsidRPr="009C29C2">
        <w:rPr>
          <w:color w:val="000000"/>
          <w:lang w:eastAsia="fr-FR" w:bidi="fr-FR"/>
        </w:rPr>
        <w:t xml:space="preserve">Depuis le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siècle, point de doutes : « terre féconde en fr</w:t>
      </w:r>
      <w:r w:rsidRPr="009C29C2">
        <w:rPr>
          <w:color w:val="000000"/>
          <w:lang w:eastAsia="fr-FR" w:bidi="fr-FR"/>
        </w:rPr>
        <w:t>o</w:t>
      </w:r>
      <w:r w:rsidRPr="009C29C2">
        <w:rPr>
          <w:color w:val="000000"/>
          <w:lang w:eastAsia="fr-FR" w:bidi="fr-FR"/>
        </w:rPr>
        <w:t>ment », dit Suger</w:t>
      </w:r>
      <w:r>
        <w:rPr>
          <w:color w:val="000000"/>
          <w:lang w:eastAsia="fr-FR" w:bidi="fr-FR"/>
        </w:rPr>
        <w:t> </w:t>
      </w:r>
      <w:r>
        <w:rPr>
          <w:rStyle w:val="Appelnotedebasdep"/>
        </w:rPr>
        <w:footnoteReference w:id="272"/>
      </w:r>
      <w:r w:rsidRPr="009C29C2">
        <w:rPr>
          <w:color w:val="000000"/>
          <w:lang w:eastAsia="fr-FR" w:bidi="fr-FR"/>
        </w:rPr>
        <w:t> ; et ailleurs, parlant de Toury : « village... aux champs fertiles en blés ». Bientôt la splendeur des moissons beauc</w:t>
      </w:r>
      <w:r w:rsidRPr="009C29C2">
        <w:rPr>
          <w:color w:val="000000"/>
          <w:lang w:eastAsia="fr-FR" w:bidi="fr-FR"/>
        </w:rPr>
        <w:t>e</w:t>
      </w:r>
      <w:r w:rsidRPr="009C29C2">
        <w:rPr>
          <w:color w:val="000000"/>
          <w:lang w:eastAsia="fr-FR" w:bidi="fr-FR"/>
        </w:rPr>
        <w:t>ronnes passera en proverbe. Vers 1217, l’historien de Philippe-Auguste, Guillaume le Breton, veut-il donner l’idée de la multitude de soldats dont dispose Jean sans Terre ? il ne trouve pas meilleure image que d’en comparer le nombre à celui des pommiers à cidre du pays d’Auge ou des blés beaucerons : « la</w:t>
      </w:r>
      <w:r>
        <w:t xml:space="preserve"> </w:t>
      </w:r>
      <w:r>
        <w:rPr>
          <w:color w:val="000000"/>
          <w:lang w:eastAsia="fr-FR" w:bidi="fr-FR"/>
        </w:rPr>
        <w:t xml:space="preserve">[644] </w:t>
      </w:r>
      <w:r w:rsidRPr="009C29C2">
        <w:rPr>
          <w:color w:val="000000"/>
          <w:lang w:eastAsia="fr-FR" w:bidi="fr-FR"/>
        </w:rPr>
        <w:t>Beauce, mère des grains, n’a pas autant d’épis jaunissants... »</w:t>
      </w:r>
      <w:r>
        <w:rPr>
          <w:color w:val="000000"/>
          <w:lang w:eastAsia="fr-FR" w:bidi="fr-FR"/>
        </w:rPr>
        <w:t> !</w:t>
      </w:r>
      <w:r w:rsidRPr="009C29C2">
        <w:rPr>
          <w:color w:val="000000"/>
          <w:lang w:eastAsia="fr-FR" w:bidi="fr-FR"/>
        </w:rPr>
        <w:t xml:space="preserve"> Au </w:t>
      </w:r>
      <w:r w:rsidRPr="00391321">
        <w:rPr>
          <w:caps/>
          <w:color w:val="000000"/>
          <w:lang w:eastAsia="fr-FR" w:bidi="fr-FR"/>
        </w:rPr>
        <w:t>xiv</w:t>
      </w:r>
      <w:r w:rsidRPr="009C29C2">
        <w:rPr>
          <w:color w:val="000000"/>
          <w:vertAlign w:val="superscript"/>
          <w:lang w:eastAsia="fr-FR" w:bidi="fr-FR"/>
        </w:rPr>
        <w:t>e</w:t>
      </w:r>
      <w:r w:rsidRPr="009C29C2">
        <w:rPr>
          <w:color w:val="000000"/>
          <w:lang w:eastAsia="fr-FR" w:bidi="fr-FR"/>
        </w:rPr>
        <w:t xml:space="preserve"> siècle, l’un des trois marchés à grains de Paris, sis dans l’île de la Cité, s’appelle le « marché de Beauce ». Aux </w:t>
      </w:r>
      <w:r w:rsidRPr="00391321">
        <w:rPr>
          <w:caps/>
          <w:color w:val="000000"/>
          <w:lang w:eastAsia="fr-FR" w:bidi="fr-FR"/>
        </w:rPr>
        <w:t>xiv</w:t>
      </w:r>
      <w:r w:rsidRPr="009C29C2">
        <w:rPr>
          <w:color w:val="000000"/>
          <w:vertAlign w:val="superscript"/>
          <w:lang w:eastAsia="fr-FR" w:bidi="fr-FR"/>
        </w:rPr>
        <w:t>e</w:t>
      </w:r>
      <w:r w:rsidRPr="009C29C2">
        <w:rPr>
          <w:color w:val="000000"/>
          <w:lang w:eastAsia="fr-FR" w:bidi="fr-FR"/>
        </w:rPr>
        <w:t xml:space="preserve"> et </w:t>
      </w:r>
      <w:r w:rsidRPr="00391321">
        <w:rPr>
          <w:caps/>
          <w:color w:val="000000"/>
          <w:lang w:eastAsia="fr-FR" w:bidi="fr-FR"/>
        </w:rPr>
        <w:t>xv</w:t>
      </w:r>
      <w:r w:rsidRPr="009C29C2">
        <w:rPr>
          <w:color w:val="000000"/>
          <w:vertAlign w:val="superscript"/>
          <w:lang w:eastAsia="fr-FR" w:bidi="fr-FR"/>
        </w:rPr>
        <w:t>e</w:t>
      </w:r>
      <w:r w:rsidRPr="009C29C2">
        <w:rPr>
          <w:color w:val="000000"/>
          <w:lang w:eastAsia="fr-FR" w:bidi="fr-FR"/>
        </w:rPr>
        <w:t xml:space="preserve"> siècles, les revenus en nature des </w:t>
      </w:r>
      <w:r w:rsidRPr="009C29C2">
        <w:rPr>
          <w:color w:val="000000"/>
          <w:lang w:eastAsia="fr-FR" w:bidi="fr-FR"/>
        </w:rPr>
        <w:lastRenderedPageBreak/>
        <w:t>grands établissements ecclésiastiques Orlé</w:t>
      </w:r>
      <w:r w:rsidRPr="009C29C2">
        <w:rPr>
          <w:color w:val="000000"/>
          <w:lang w:eastAsia="fr-FR" w:bidi="fr-FR"/>
        </w:rPr>
        <w:t>a</w:t>
      </w:r>
      <w:r w:rsidRPr="009C29C2">
        <w:rPr>
          <w:color w:val="000000"/>
          <w:lang w:eastAsia="fr-FR" w:bidi="fr-FR"/>
        </w:rPr>
        <w:t>nais sont faits presque exclusivement, en Beauce, de froment, céréale des pays riches, de se</w:t>
      </w:r>
      <w:r w:rsidRPr="009C29C2">
        <w:rPr>
          <w:color w:val="000000"/>
          <w:lang w:eastAsia="fr-FR" w:bidi="fr-FR"/>
        </w:rPr>
        <w:t>i</w:t>
      </w:r>
      <w:r w:rsidRPr="009C29C2">
        <w:rPr>
          <w:color w:val="000000"/>
          <w:lang w:eastAsia="fr-FR" w:bidi="fr-FR"/>
        </w:rPr>
        <w:t>gle dans la pauvre Sologne. Et ce ne fut point hasard si ces mêmes communautés qui, sous François I</w:t>
      </w:r>
      <w:r w:rsidRPr="009C29C2">
        <w:rPr>
          <w:color w:val="000000"/>
          <w:vertAlign w:val="superscript"/>
          <w:lang w:eastAsia="fr-FR" w:bidi="fr-FR"/>
        </w:rPr>
        <w:t>er</w:t>
      </w:r>
      <w:r w:rsidRPr="009C29C2">
        <w:rPr>
          <w:color w:val="000000"/>
          <w:lang w:eastAsia="fr-FR" w:bidi="fr-FR"/>
        </w:rPr>
        <w:t>, avaient encore des serfs en Sol</w:t>
      </w:r>
      <w:r w:rsidRPr="009C29C2">
        <w:rPr>
          <w:color w:val="000000"/>
          <w:lang w:eastAsia="fr-FR" w:bidi="fr-FR"/>
        </w:rPr>
        <w:t>o</w:t>
      </w:r>
      <w:r w:rsidRPr="009C29C2">
        <w:rPr>
          <w:color w:val="000000"/>
          <w:lang w:eastAsia="fr-FR" w:bidi="fr-FR"/>
        </w:rPr>
        <w:t xml:space="preserve">gne, s’étaient trouvées, dès le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 a</w:t>
      </w:r>
      <w:r w:rsidRPr="009C29C2">
        <w:rPr>
          <w:color w:val="000000"/>
          <w:lang w:eastAsia="fr-FR" w:bidi="fr-FR"/>
        </w:rPr>
        <w:t>f</w:t>
      </w:r>
      <w:r w:rsidRPr="009C29C2">
        <w:rPr>
          <w:color w:val="000000"/>
          <w:lang w:eastAsia="fr-FR" w:bidi="fr-FR"/>
        </w:rPr>
        <w:t>franchir tous leurs serfs de Beauce : là où le paysan cultivait des terres fertiles, proches d’actifs lieux d’échanges, il put, de bonne heure, acheter sa liberté</w:t>
      </w:r>
      <w:r>
        <w:rPr>
          <w:color w:val="000000"/>
          <w:lang w:eastAsia="fr-FR" w:bidi="fr-FR"/>
        </w:rPr>
        <w:t>.</w:t>
      </w:r>
    </w:p>
    <w:p w14:paraId="2E240EE2" w14:textId="77777777" w:rsidR="00B9662D" w:rsidRPr="009C29C2" w:rsidRDefault="00B9662D" w:rsidP="00B9662D">
      <w:pPr>
        <w:spacing w:before="120" w:after="120"/>
        <w:jc w:val="both"/>
      </w:pPr>
      <w:r w:rsidRPr="009C29C2">
        <w:rPr>
          <w:color w:val="000000"/>
          <w:lang w:eastAsia="fr-FR" w:bidi="fr-FR"/>
        </w:rPr>
        <w:t>Les « épis jaunissants » n’étaient d’ailleurs pas, alors, le seul trait marquant du paysage agricole beauceron. Il faut, pour compléter le tableau, évoquer aussi les vastes troupeaux de moutons qui, durant l’année de jachère ou bien pendant les intervalles entre la moisson d’été et les semailles d’automne ou de printemps, cherchaient leur p</w:t>
      </w:r>
      <w:r w:rsidRPr="009C29C2">
        <w:rPr>
          <w:color w:val="000000"/>
          <w:lang w:eastAsia="fr-FR" w:bidi="fr-FR"/>
        </w:rPr>
        <w:t>â</w:t>
      </w:r>
      <w:r w:rsidRPr="009C29C2">
        <w:rPr>
          <w:color w:val="000000"/>
          <w:lang w:eastAsia="fr-FR" w:bidi="fr-FR"/>
        </w:rPr>
        <w:t>ture sur les guérets largement ouverts.</w:t>
      </w:r>
    </w:p>
    <w:p w14:paraId="385BCFF7" w14:textId="77777777" w:rsidR="00B9662D" w:rsidRPr="009C29C2" w:rsidRDefault="00B9662D" w:rsidP="00B9662D">
      <w:pPr>
        <w:spacing w:before="120" w:after="120"/>
        <w:jc w:val="both"/>
      </w:pPr>
      <w:r w:rsidRPr="009C29C2">
        <w:rPr>
          <w:color w:val="000000"/>
          <w:lang w:eastAsia="fr-FR" w:bidi="fr-FR"/>
        </w:rPr>
        <w:t xml:space="preserve">Mais avant le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siècle ? Ou, plus exactement, avant le grand mouvement de défrichement auquel nous avons déjà fait allusion : mouvement quasi universel en France, voire en Europe, depuis le m</w:t>
      </w:r>
      <w:r w:rsidRPr="009C29C2">
        <w:rPr>
          <w:color w:val="000000"/>
          <w:lang w:eastAsia="fr-FR" w:bidi="fr-FR"/>
        </w:rPr>
        <w:t>i</w:t>
      </w:r>
      <w:r w:rsidRPr="009C29C2">
        <w:rPr>
          <w:color w:val="000000"/>
          <w:lang w:eastAsia="fr-FR" w:bidi="fr-FR"/>
        </w:rPr>
        <w:t xml:space="preserve">lieu du </w:t>
      </w:r>
      <w:r>
        <w:rPr>
          <w:color w:val="000000"/>
          <w:lang w:eastAsia="fr-FR" w:bidi="fr-FR"/>
        </w:rPr>
        <w:t>XI</w:t>
      </w:r>
      <w:r w:rsidRPr="009C29C2">
        <w:rPr>
          <w:color w:val="000000"/>
          <w:vertAlign w:val="superscript"/>
          <w:lang w:eastAsia="fr-FR" w:bidi="fr-FR"/>
        </w:rPr>
        <w:t>e</w:t>
      </w:r>
      <w:r w:rsidRPr="009C29C2">
        <w:rPr>
          <w:color w:val="000000"/>
          <w:lang w:eastAsia="fr-FR" w:bidi="fr-FR"/>
        </w:rPr>
        <w:t xml:space="preserve"> siècle ou environ, mais qui, en Beauce, semble bien avoir été remarquablement intense. Dans l’activité des essarteurs, la volonté des rois ou de leur état-major fut sans doute, ici, pour quelque chose : la présence de nombreuses villes neuves, aux abords de la route de Paris à Orléans, ne saurait guère s’expliquer que par le dessein, parfa</w:t>
      </w:r>
      <w:r w:rsidRPr="009C29C2">
        <w:rPr>
          <w:color w:val="000000"/>
          <w:lang w:eastAsia="fr-FR" w:bidi="fr-FR"/>
        </w:rPr>
        <w:t>i</w:t>
      </w:r>
      <w:r w:rsidRPr="009C29C2">
        <w:rPr>
          <w:color w:val="000000"/>
          <w:lang w:eastAsia="fr-FR" w:bidi="fr-FR"/>
        </w:rPr>
        <w:t>tement conscient, d’assurer la sécurité de cet axe vital de la mona</w:t>
      </w:r>
      <w:r w:rsidRPr="009C29C2">
        <w:rPr>
          <w:color w:val="000000"/>
          <w:lang w:eastAsia="fr-FR" w:bidi="fr-FR"/>
        </w:rPr>
        <w:t>r</w:t>
      </w:r>
      <w:r w:rsidRPr="009C29C2">
        <w:rPr>
          <w:color w:val="000000"/>
          <w:lang w:eastAsia="fr-FR" w:bidi="fr-FR"/>
        </w:rPr>
        <w:t>chie</w:t>
      </w:r>
      <w:r>
        <w:rPr>
          <w:color w:val="000000"/>
          <w:lang w:eastAsia="fr-FR" w:bidi="fr-FR"/>
        </w:rPr>
        <w:t> </w:t>
      </w:r>
      <w:r>
        <w:rPr>
          <w:rStyle w:val="Appelnotedebasdep"/>
        </w:rPr>
        <w:footnoteReference w:id="273"/>
      </w:r>
      <w:r w:rsidRPr="009C29C2">
        <w:rPr>
          <w:color w:val="000000"/>
          <w:lang w:eastAsia="fr-FR" w:bidi="fr-FR"/>
        </w:rPr>
        <w:t>. Mais encore fallait-il, pour permettre ou nécessiter tant de d</w:t>
      </w:r>
      <w:r w:rsidRPr="009C29C2">
        <w:rPr>
          <w:color w:val="000000"/>
          <w:lang w:eastAsia="fr-FR" w:bidi="fr-FR"/>
        </w:rPr>
        <w:t>é</w:t>
      </w:r>
      <w:r w:rsidRPr="009C29C2">
        <w:rPr>
          <w:color w:val="000000"/>
          <w:lang w:eastAsia="fr-FR" w:bidi="fr-FR"/>
        </w:rPr>
        <w:t>frichements, que les espaces incultes eussent été, auparavant, fort étendus. Consultons, en effet, les textes contemporains de cette œuvre puissante d’humanisation d</w:t>
      </w:r>
      <w:r>
        <w:rPr>
          <w:color w:val="000000"/>
          <w:lang w:eastAsia="fr-FR" w:bidi="fr-FR"/>
        </w:rPr>
        <w:t>u paysage : un diplôme de Louis V</w:t>
      </w:r>
      <w:r w:rsidRPr="009C29C2">
        <w:rPr>
          <w:color w:val="000000"/>
          <w:lang w:eastAsia="fr-FR" w:bidi="fr-FR"/>
        </w:rPr>
        <w:t>I pour Saint-Aignan d’Orléans, par exemple, ou Suger lui-même. L’image qu’ils nous donnent de la Beauce et, notamment, de la Beauce centrale est celle d’un pays encore troué de « solitudes », de « terres vides » : d’un pays, en somme, dont l’occupation agricole était longtemps d</w:t>
      </w:r>
      <w:r w:rsidRPr="009C29C2">
        <w:rPr>
          <w:color w:val="000000"/>
          <w:lang w:eastAsia="fr-FR" w:bidi="fr-FR"/>
        </w:rPr>
        <w:t>e</w:t>
      </w:r>
      <w:r w:rsidRPr="009C29C2">
        <w:rPr>
          <w:color w:val="000000"/>
          <w:lang w:eastAsia="fr-FR" w:bidi="fr-FR"/>
        </w:rPr>
        <w:t>meurée médiocrement dense</w:t>
      </w:r>
      <w:r>
        <w:rPr>
          <w:color w:val="000000"/>
          <w:lang w:eastAsia="fr-FR" w:bidi="fr-FR"/>
        </w:rPr>
        <w:t> </w:t>
      </w:r>
      <w:r>
        <w:rPr>
          <w:rStyle w:val="Appelnotedebasdep"/>
        </w:rPr>
        <w:footnoteReference w:id="274"/>
      </w:r>
      <w:r w:rsidRPr="009C29C2">
        <w:rPr>
          <w:color w:val="000000"/>
          <w:lang w:eastAsia="fr-FR" w:bidi="fr-FR"/>
        </w:rPr>
        <w:t>.</w:t>
      </w:r>
    </w:p>
    <w:p w14:paraId="354604BB" w14:textId="77777777" w:rsidR="00B9662D" w:rsidRPr="009C29C2" w:rsidRDefault="00B9662D" w:rsidP="00B9662D">
      <w:pPr>
        <w:spacing w:before="120" w:after="120"/>
        <w:jc w:val="both"/>
      </w:pPr>
      <w:r w:rsidRPr="009C29C2">
        <w:rPr>
          <w:color w:val="000000"/>
          <w:lang w:eastAsia="fr-FR" w:bidi="fr-FR"/>
        </w:rPr>
        <w:lastRenderedPageBreak/>
        <w:t>De ce retard dans la mise en valeur d’un sol qui nous semble a</w:t>
      </w:r>
      <w:r w:rsidRPr="009C29C2">
        <w:rPr>
          <w:color w:val="000000"/>
          <w:lang w:eastAsia="fr-FR" w:bidi="fr-FR"/>
        </w:rPr>
        <w:t>u</w:t>
      </w:r>
      <w:r w:rsidRPr="009C29C2">
        <w:rPr>
          <w:color w:val="000000"/>
          <w:lang w:eastAsia="fr-FR" w:bidi="fr-FR"/>
        </w:rPr>
        <w:t>jourd’hui si riche, faut-il s’étonner ? Le manque d’eaux superficielles, la difficulté d’atteindre des nappes phréatiques trop profondes et d’ailleurs volontiers oscillantes constituaient pour les établissements humains de terribles gênes. Les plaintes les plus clairement exprimées nous sont venues, à cet égard, surtout des milieux monastiques, au</w:t>
      </w:r>
      <w:r w:rsidRPr="009C29C2">
        <w:rPr>
          <w:color w:val="000000"/>
          <w:lang w:eastAsia="fr-FR" w:bidi="fr-FR"/>
        </w:rPr>
        <w:t>x</w:t>
      </w:r>
      <w:r w:rsidRPr="009C29C2">
        <w:rPr>
          <w:color w:val="000000"/>
          <w:lang w:eastAsia="fr-FR" w:bidi="fr-FR"/>
        </w:rPr>
        <w:t>quels l’observation du maigre rendait si nécessaire la possession d’étangs. L’abbaye de Saint-Denis avait, dans son patrimoine, la terre de Guillerval, située dans un des ravins, plus humides, qui du plateau descendent vers la Juine ; Suger se vante d’y avoir fait creuser un v</w:t>
      </w:r>
      <w:r w:rsidRPr="009C29C2">
        <w:rPr>
          <w:color w:val="000000"/>
          <w:lang w:eastAsia="fr-FR" w:bidi="fr-FR"/>
        </w:rPr>
        <w:t>i</w:t>
      </w:r>
      <w:r w:rsidRPr="009C29C2">
        <w:rPr>
          <w:color w:val="000000"/>
          <w:lang w:eastAsia="fr-FR" w:bidi="fr-FR"/>
        </w:rPr>
        <w:t>vier « afin de porter</w:t>
      </w:r>
      <w:r>
        <w:t xml:space="preserve"> </w:t>
      </w:r>
      <w:r>
        <w:rPr>
          <w:color w:val="000000"/>
          <w:lang w:eastAsia="fr-FR" w:bidi="fr-FR"/>
        </w:rPr>
        <w:t xml:space="preserve">[645] </w:t>
      </w:r>
      <w:r w:rsidRPr="009C29C2">
        <w:rPr>
          <w:color w:val="000000"/>
          <w:lang w:eastAsia="fr-FR" w:bidi="fr-FR"/>
        </w:rPr>
        <w:t>remède à l’aridité de la haute Beauce »</w:t>
      </w:r>
      <w:r>
        <w:rPr>
          <w:color w:val="000000"/>
          <w:lang w:eastAsia="fr-FR" w:bidi="fr-FR"/>
        </w:rPr>
        <w:t> </w:t>
      </w:r>
      <w:r>
        <w:rPr>
          <w:rStyle w:val="Appelnotedebasdep"/>
        </w:rPr>
        <w:footnoteReference w:id="275"/>
      </w:r>
      <w:r>
        <w:rPr>
          <w:color w:val="000000"/>
          <w:lang w:eastAsia="fr-FR" w:bidi="fr-FR"/>
        </w:rPr>
        <w:t>.</w:t>
      </w:r>
      <w:r w:rsidRPr="009C29C2">
        <w:rPr>
          <w:color w:val="000000"/>
          <w:lang w:eastAsia="fr-FR" w:bidi="fr-FR"/>
        </w:rPr>
        <w:t xml:space="preserve"> Mais, à l’occupation paysanne l’absence de sources, le travail et les frais que coûtait le f</w:t>
      </w:r>
      <w:r w:rsidRPr="009C29C2">
        <w:rPr>
          <w:color w:val="000000"/>
          <w:lang w:eastAsia="fr-FR" w:bidi="fr-FR"/>
        </w:rPr>
        <w:t>o</w:t>
      </w:r>
      <w:r w:rsidRPr="009C29C2">
        <w:rPr>
          <w:color w:val="000000"/>
          <w:lang w:eastAsia="fr-FR" w:bidi="fr-FR"/>
        </w:rPr>
        <w:t>rage de puits démesurés, n’opposaient-ils pas des obstacles encore plus graves ?</w:t>
      </w:r>
    </w:p>
    <w:p w14:paraId="5A305725" w14:textId="77777777" w:rsidR="00B9662D" w:rsidRPr="009C29C2" w:rsidRDefault="00B9662D" w:rsidP="00B9662D">
      <w:pPr>
        <w:spacing w:before="120" w:after="120"/>
        <w:jc w:val="both"/>
      </w:pPr>
      <w:r w:rsidRPr="009C29C2">
        <w:rPr>
          <w:color w:val="000000"/>
          <w:lang w:eastAsia="fr-FR" w:bidi="fr-FR"/>
        </w:rPr>
        <w:t>Aussi bien n’est-ce point aux usages domestiques de l’eau qu’il faut avant tout penser. Faute de boisson, faute aussi de prés, il était malaisé d’entretenir, sur ce sol trop sec, les bœufs ou les chevaux n</w:t>
      </w:r>
      <w:r w:rsidRPr="009C29C2">
        <w:rPr>
          <w:color w:val="000000"/>
          <w:lang w:eastAsia="fr-FR" w:bidi="fr-FR"/>
        </w:rPr>
        <w:t>é</w:t>
      </w:r>
      <w:r w:rsidRPr="009C29C2">
        <w:rPr>
          <w:color w:val="000000"/>
          <w:lang w:eastAsia="fr-FR" w:bidi="fr-FR"/>
        </w:rPr>
        <w:t xml:space="preserve">cessaires, non seulement aux labours et aux charrois, mais aussi à la fumure des champs. Faute de cours d’eau, il était impossible d’élever des moulins à grains. Ou du moins cela fut impossible jusqu’au jour où une force motrice nouvelle put être substituée à celle des rivières. La Beauce, écrivait un agronome, au milieu du </w:t>
      </w:r>
      <w:r>
        <w:rPr>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 « est, par excellence, la patrie des moulins à vent »</w:t>
      </w:r>
      <w:r>
        <w:rPr>
          <w:color w:val="000000"/>
          <w:lang w:eastAsia="fr-FR" w:bidi="fr-FR"/>
        </w:rPr>
        <w:t> </w:t>
      </w:r>
      <w:r>
        <w:rPr>
          <w:rStyle w:val="Appelnotedebasdep"/>
        </w:rPr>
        <w:footnoteReference w:id="276"/>
      </w:r>
      <w:r w:rsidRPr="009C29C2">
        <w:rPr>
          <w:color w:val="000000"/>
          <w:lang w:eastAsia="fr-FR" w:bidi="fr-FR"/>
        </w:rPr>
        <w:t xml:space="preserve">. Mais le moulin à vent ne fut pas introduit en France avant le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siècle. Certainement, ce pr</w:t>
      </w:r>
      <w:r w:rsidRPr="009C29C2">
        <w:rPr>
          <w:color w:val="000000"/>
          <w:lang w:eastAsia="fr-FR" w:bidi="fr-FR"/>
        </w:rPr>
        <w:t>o</w:t>
      </w:r>
      <w:r w:rsidRPr="009C29C2">
        <w:rPr>
          <w:color w:val="000000"/>
          <w:lang w:eastAsia="fr-FR" w:bidi="fr-FR"/>
        </w:rPr>
        <w:t>grès technique a contribué à faciliter le peuplement de la Beauce. Il serait intéressant de rechercher si des perfectionnements se sont ég</w:t>
      </w:r>
      <w:r w:rsidRPr="009C29C2">
        <w:rPr>
          <w:color w:val="000000"/>
          <w:lang w:eastAsia="fr-FR" w:bidi="fr-FR"/>
        </w:rPr>
        <w:t>a</w:t>
      </w:r>
      <w:r w:rsidRPr="009C29C2">
        <w:rPr>
          <w:color w:val="000000"/>
          <w:lang w:eastAsia="fr-FR" w:bidi="fr-FR"/>
        </w:rPr>
        <w:t>lement marqués, à la même époque, dans les procédés de forage ou de maçonnerie des puits.</w:t>
      </w:r>
    </w:p>
    <w:p w14:paraId="0B8BFEC9" w14:textId="77777777" w:rsidR="00B9662D" w:rsidRDefault="00B9662D" w:rsidP="00B9662D">
      <w:pPr>
        <w:spacing w:before="120" w:after="120"/>
        <w:jc w:val="both"/>
        <w:rPr>
          <w:color w:val="000000"/>
          <w:lang w:eastAsia="fr-FR" w:bidi="fr-FR"/>
        </w:rPr>
      </w:pPr>
      <w:r>
        <w:rPr>
          <w:color w:val="000000"/>
          <w:lang w:eastAsia="fr-FR" w:bidi="fr-FR"/>
        </w:rPr>
        <w:br w:type="page"/>
      </w:r>
    </w:p>
    <w:p w14:paraId="14BA1E6B" w14:textId="77777777" w:rsidR="00B9662D" w:rsidRPr="009C29C2" w:rsidRDefault="00B9662D" w:rsidP="00B9662D">
      <w:pPr>
        <w:pStyle w:val="planche"/>
      </w:pPr>
      <w:r w:rsidRPr="009C29C2">
        <w:t>VII</w:t>
      </w:r>
    </w:p>
    <w:p w14:paraId="432DA798" w14:textId="77777777" w:rsidR="00B9662D" w:rsidRDefault="00B9662D" w:rsidP="00B9662D">
      <w:pPr>
        <w:spacing w:before="120" w:after="120"/>
        <w:jc w:val="both"/>
        <w:rPr>
          <w:color w:val="000000"/>
          <w:lang w:eastAsia="fr-FR" w:bidi="fr-FR"/>
        </w:rPr>
      </w:pPr>
    </w:p>
    <w:p w14:paraId="498338F3" w14:textId="77777777" w:rsidR="00B9662D" w:rsidRPr="009C29C2" w:rsidRDefault="00B9662D" w:rsidP="00B9662D">
      <w:pPr>
        <w:spacing w:before="120" w:after="120"/>
        <w:jc w:val="both"/>
      </w:pPr>
      <w:r w:rsidRPr="009C29C2">
        <w:rPr>
          <w:color w:val="000000"/>
          <w:lang w:eastAsia="fr-FR" w:bidi="fr-FR"/>
        </w:rPr>
        <w:t>Trois méthodes d’investigation semblent capables d’apporter que</w:t>
      </w:r>
      <w:r w:rsidRPr="009C29C2">
        <w:rPr>
          <w:color w:val="000000"/>
          <w:lang w:eastAsia="fr-FR" w:bidi="fr-FR"/>
        </w:rPr>
        <w:t>l</w:t>
      </w:r>
      <w:r w:rsidRPr="009C29C2">
        <w:rPr>
          <w:color w:val="000000"/>
          <w:lang w:eastAsia="fr-FR" w:bidi="fr-FR"/>
        </w:rPr>
        <w:t>ques précisions sur le rythme du peuplement beauceron et sur l’origine même des occupants : l’étude du matériel archéologique ; celle des témoignages de la toponymie ; celle enfin des usages agra</w:t>
      </w:r>
      <w:r w:rsidRPr="009C29C2">
        <w:rPr>
          <w:color w:val="000000"/>
          <w:lang w:eastAsia="fr-FR" w:bidi="fr-FR"/>
        </w:rPr>
        <w:t>i</w:t>
      </w:r>
      <w:r w:rsidRPr="009C29C2">
        <w:rPr>
          <w:color w:val="000000"/>
          <w:lang w:eastAsia="fr-FR" w:bidi="fr-FR"/>
        </w:rPr>
        <w:t>res.</w:t>
      </w:r>
    </w:p>
    <w:p w14:paraId="4A2CAE19" w14:textId="77777777" w:rsidR="00B9662D" w:rsidRPr="009C29C2" w:rsidRDefault="00B9662D" w:rsidP="00B9662D">
      <w:pPr>
        <w:spacing w:before="120" w:after="120"/>
        <w:jc w:val="both"/>
      </w:pPr>
      <w:r w:rsidRPr="009C29C2">
        <w:rPr>
          <w:color w:val="000000"/>
          <w:lang w:eastAsia="fr-FR" w:bidi="fr-FR"/>
        </w:rPr>
        <w:t>Sur le premier point, je suis tout à fait sans compétence. Je me bornerai à constater que les inventaires les plus accessibles semblent bien attester dans la Beauce centrale</w:t>
      </w:r>
      <w:r>
        <w:rPr>
          <w:color w:val="000000"/>
          <w:lang w:eastAsia="fr-FR" w:bidi="fr-FR"/>
        </w:rPr>
        <w:t> — </w:t>
      </w:r>
      <w:r w:rsidRPr="009C29C2">
        <w:rPr>
          <w:color w:val="000000"/>
          <w:lang w:eastAsia="fr-FR" w:bidi="fr-FR"/>
        </w:rPr>
        <w:t>à la différence des vallées avoisinantes</w:t>
      </w:r>
      <w:r>
        <w:rPr>
          <w:color w:val="000000"/>
          <w:lang w:eastAsia="fr-FR" w:bidi="fr-FR"/>
        </w:rPr>
        <w:t> — </w:t>
      </w:r>
      <w:r w:rsidRPr="009C29C2">
        <w:rPr>
          <w:color w:val="000000"/>
          <w:lang w:eastAsia="fr-FR" w:bidi="fr-FR"/>
        </w:rPr>
        <w:t xml:space="preserve">une extrême pauvreté, non seulement de débris des âges préhistoriques, mais aussi de témoignages de </w:t>
      </w:r>
      <w:r>
        <w:rPr>
          <w:color w:val="000000"/>
          <w:lang w:eastAsia="fr-FR" w:bidi="fr-FR"/>
        </w:rPr>
        <w:t>l’occupation ga</w:t>
      </w:r>
      <w:r>
        <w:rPr>
          <w:color w:val="000000"/>
          <w:lang w:eastAsia="fr-FR" w:bidi="fr-FR"/>
        </w:rPr>
        <w:t>u</w:t>
      </w:r>
      <w:r>
        <w:rPr>
          <w:color w:val="000000"/>
          <w:lang w:eastAsia="fr-FR" w:bidi="fr-FR"/>
        </w:rPr>
        <w:t>loise ou gallo-</w:t>
      </w:r>
      <w:r w:rsidRPr="009C29C2">
        <w:rPr>
          <w:color w:val="000000"/>
          <w:lang w:eastAsia="fr-FR" w:bidi="fr-FR"/>
        </w:rPr>
        <w:t>romaine.</w:t>
      </w:r>
    </w:p>
    <w:p w14:paraId="2F1FDD89" w14:textId="77777777" w:rsidR="00B9662D" w:rsidRPr="009C29C2" w:rsidRDefault="00B9662D" w:rsidP="00B9662D">
      <w:pPr>
        <w:spacing w:before="120" w:after="120"/>
        <w:jc w:val="both"/>
      </w:pPr>
      <w:r w:rsidRPr="009C29C2">
        <w:rPr>
          <w:color w:val="000000"/>
          <w:lang w:eastAsia="fr-FR" w:bidi="fr-FR"/>
        </w:rPr>
        <w:t>Sur la toponymie, nous entendrons tout à l’heure l’exposé d’un spécialiste éminent, M. Albert Dauzat</w:t>
      </w:r>
      <w:r>
        <w:rPr>
          <w:color w:val="000000"/>
          <w:lang w:eastAsia="fr-FR" w:bidi="fr-FR"/>
        </w:rPr>
        <w:t> </w:t>
      </w:r>
      <w:r>
        <w:rPr>
          <w:rStyle w:val="Appelnotedebasdep"/>
        </w:rPr>
        <w:footnoteReference w:id="277"/>
      </w:r>
      <w:r w:rsidRPr="009C29C2">
        <w:rPr>
          <w:color w:val="000000"/>
          <w:lang w:eastAsia="fr-FR" w:bidi="fr-FR"/>
        </w:rPr>
        <w:t>. Mais le tour d’horizon auquel je vous ai convié serait trop incomplet si je manquais à rappeler d’un mot la particularité la plus saillante de la nomenclature beauceronne : je veux dire le nombre extraordinairement élevé, surtout vers le ce</w:t>
      </w:r>
      <w:r w:rsidRPr="009C29C2">
        <w:rPr>
          <w:color w:val="000000"/>
          <w:lang w:eastAsia="fr-FR" w:bidi="fr-FR"/>
        </w:rPr>
        <w:t>n</w:t>
      </w:r>
      <w:r w:rsidRPr="009C29C2">
        <w:rPr>
          <w:color w:val="000000"/>
          <w:lang w:eastAsia="fr-FR" w:bidi="fr-FR"/>
        </w:rPr>
        <w:t>tre, des noms de lieux en</w:t>
      </w:r>
      <w:r>
        <w:rPr>
          <w:color w:val="000000"/>
          <w:lang w:eastAsia="fr-FR" w:bidi="fr-FR"/>
        </w:rPr>
        <w:t> — </w:t>
      </w:r>
      <w:r w:rsidRPr="00615CF9">
        <w:rPr>
          <w:i/>
        </w:rPr>
        <w:t>ville</w:t>
      </w:r>
      <w:r w:rsidRPr="009C29C2">
        <w:rPr>
          <w:color w:val="000000"/>
          <w:lang w:eastAsia="fr-FR" w:bidi="fr-FR"/>
        </w:rPr>
        <w:t xml:space="preserve"> ou</w:t>
      </w:r>
      <w:r>
        <w:rPr>
          <w:color w:val="000000"/>
          <w:lang w:eastAsia="fr-FR" w:bidi="fr-FR"/>
        </w:rPr>
        <w:t> — </w:t>
      </w:r>
      <w:r w:rsidRPr="00027DC2">
        <w:rPr>
          <w:i/>
        </w:rPr>
        <w:t>villiers</w:t>
      </w:r>
      <w:r w:rsidRPr="009C29C2">
        <w:rPr>
          <w:color w:val="000000"/>
          <w:lang w:eastAsia="fr-FR" w:bidi="fr-FR"/>
        </w:rPr>
        <w:t xml:space="preserve"> qui, comportant d’ailleurs souvent, comme premier élément, un nom d’homme germ</w:t>
      </w:r>
      <w:r w:rsidRPr="009C29C2">
        <w:rPr>
          <w:color w:val="000000"/>
          <w:lang w:eastAsia="fr-FR" w:bidi="fr-FR"/>
        </w:rPr>
        <w:t>a</w:t>
      </w:r>
      <w:r w:rsidRPr="009C29C2">
        <w:rPr>
          <w:color w:val="000000"/>
          <w:lang w:eastAsia="fr-FR" w:bidi="fr-FR"/>
        </w:rPr>
        <w:t xml:space="preserve">nique, ne sauraient certainement remonter plus haut que l’époque des invasions. Comme, à la différence de la Lorraine, par exemple, où les toponymes de ce type sont également fréquents, la Beauce était située fort loin de la marge ancienne de la </w:t>
      </w:r>
      <w:r w:rsidRPr="009C29C2">
        <w:t>Romania</w:t>
      </w:r>
      <w:r w:rsidRPr="009C29C2">
        <w:rPr>
          <w:color w:val="000000"/>
          <w:lang w:eastAsia="fr-FR" w:bidi="fr-FR"/>
        </w:rPr>
        <w:t>, site préféré des établi</w:t>
      </w:r>
      <w:r w:rsidRPr="009C29C2">
        <w:rPr>
          <w:color w:val="000000"/>
          <w:lang w:eastAsia="fr-FR" w:bidi="fr-FR"/>
        </w:rPr>
        <w:t>s</w:t>
      </w:r>
      <w:r w:rsidRPr="009C29C2">
        <w:rPr>
          <w:color w:val="000000"/>
          <w:lang w:eastAsia="fr-FR" w:bidi="fr-FR"/>
        </w:rPr>
        <w:t>sements massifs des barbares, la présence sur son sol de tant de vill</w:t>
      </w:r>
      <w:r w:rsidRPr="009C29C2">
        <w:rPr>
          <w:color w:val="000000"/>
          <w:lang w:eastAsia="fr-FR" w:bidi="fr-FR"/>
        </w:rPr>
        <w:t>a</w:t>
      </w:r>
      <w:r w:rsidRPr="009C29C2">
        <w:rPr>
          <w:color w:val="000000"/>
          <w:lang w:eastAsia="fr-FR" w:bidi="fr-FR"/>
        </w:rPr>
        <w:t>ges ainsi baptisés vers la</w:t>
      </w:r>
      <w:r>
        <w:rPr>
          <w:color w:val="000000"/>
          <w:lang w:eastAsia="fr-FR" w:bidi="fr-FR"/>
        </w:rPr>
        <w:t xml:space="preserve"> </w:t>
      </w:r>
      <w:r>
        <w:t xml:space="preserve">[646] </w:t>
      </w:r>
      <w:r w:rsidRPr="009C29C2">
        <w:rPr>
          <w:color w:val="000000"/>
          <w:lang w:eastAsia="fr-FR" w:bidi="fr-FR"/>
        </w:rPr>
        <w:t>période mérovingienne</w:t>
      </w:r>
      <w:r>
        <w:rPr>
          <w:color w:val="000000"/>
          <w:lang w:eastAsia="fr-FR" w:bidi="fr-FR"/>
        </w:rPr>
        <w:t> — </w:t>
      </w:r>
      <w:r w:rsidRPr="009C29C2">
        <w:rPr>
          <w:color w:val="000000"/>
          <w:lang w:eastAsia="fr-FR" w:bidi="fr-FR"/>
        </w:rPr>
        <w:t xml:space="preserve">même compte tenu, çà et là, de quelques simples changements de nom, à </w:t>
      </w:r>
      <w:r w:rsidRPr="009C29C2">
        <w:rPr>
          <w:color w:val="000000"/>
          <w:lang w:eastAsia="fr-FR" w:bidi="fr-FR"/>
        </w:rPr>
        <w:lastRenderedPageBreak/>
        <w:t>ce</w:t>
      </w:r>
      <w:r w:rsidRPr="009C29C2">
        <w:rPr>
          <w:color w:val="000000"/>
          <w:lang w:eastAsia="fr-FR" w:bidi="fr-FR"/>
        </w:rPr>
        <w:t>t</w:t>
      </w:r>
      <w:r w:rsidRPr="009C29C2">
        <w:rPr>
          <w:color w:val="000000"/>
          <w:lang w:eastAsia="fr-FR" w:bidi="fr-FR"/>
        </w:rPr>
        <w:t>te date</w:t>
      </w:r>
      <w:r>
        <w:rPr>
          <w:color w:val="000000"/>
          <w:lang w:eastAsia="fr-FR" w:bidi="fr-FR"/>
        </w:rPr>
        <w:t> — </w:t>
      </w:r>
      <w:r w:rsidRPr="009C29C2">
        <w:rPr>
          <w:color w:val="000000"/>
          <w:lang w:eastAsia="fr-FR" w:bidi="fr-FR"/>
        </w:rPr>
        <w:t>sem</w:t>
      </w:r>
      <w:r>
        <w:rPr>
          <w:color w:val="000000"/>
          <w:lang w:eastAsia="fr-FR" w:bidi="fr-FR"/>
        </w:rPr>
        <w:t>ble bien y déceler, dans le peupl</w:t>
      </w:r>
      <w:r w:rsidRPr="009C29C2">
        <w:rPr>
          <w:color w:val="000000"/>
          <w:lang w:eastAsia="fr-FR" w:bidi="fr-FR"/>
        </w:rPr>
        <w:t>ement antérieur, une densité singulièrement faible.</w:t>
      </w:r>
    </w:p>
    <w:p w14:paraId="74828C2F" w14:textId="77777777" w:rsidR="00B9662D" w:rsidRPr="009C29C2" w:rsidRDefault="00B9662D" w:rsidP="00B9662D">
      <w:pPr>
        <w:spacing w:before="120" w:after="120"/>
        <w:jc w:val="both"/>
      </w:pPr>
      <w:r w:rsidRPr="009C29C2">
        <w:rPr>
          <w:color w:val="000000"/>
          <w:lang w:eastAsia="fr-FR" w:bidi="fr-FR"/>
        </w:rPr>
        <w:t xml:space="preserve">Le régime agraire de la Beauce, depuis les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et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siècles, au plus tard, jusqu’aux grandes révolutions techniques proches de nous, fut, par excellence, celui des champs ouverts et allongés, avec les fo</w:t>
      </w:r>
      <w:r w:rsidRPr="009C29C2">
        <w:rPr>
          <w:color w:val="000000"/>
          <w:lang w:eastAsia="fr-FR" w:bidi="fr-FR"/>
        </w:rPr>
        <w:t>r</w:t>
      </w:r>
      <w:r w:rsidRPr="009C29C2">
        <w:rPr>
          <w:color w:val="000000"/>
          <w:lang w:eastAsia="fr-FR" w:bidi="fr-FR"/>
        </w:rPr>
        <w:t>tes servitudes collectives caractéristiques de ce système. Par là, le pl</w:t>
      </w:r>
      <w:r w:rsidRPr="009C29C2">
        <w:rPr>
          <w:color w:val="000000"/>
          <w:lang w:eastAsia="fr-FR" w:bidi="fr-FR"/>
        </w:rPr>
        <w:t>a</w:t>
      </w:r>
      <w:r w:rsidRPr="009C29C2">
        <w:rPr>
          <w:color w:val="000000"/>
          <w:lang w:eastAsia="fr-FR" w:bidi="fr-FR"/>
        </w:rPr>
        <w:t>teau beauceron s’oppose très nettement à la plupart des régions avo</w:t>
      </w:r>
      <w:r w:rsidRPr="009C29C2">
        <w:rPr>
          <w:color w:val="000000"/>
          <w:lang w:eastAsia="fr-FR" w:bidi="fr-FR"/>
        </w:rPr>
        <w:t>i</w:t>
      </w:r>
      <w:r w:rsidRPr="009C29C2">
        <w:rPr>
          <w:color w:val="000000"/>
          <w:lang w:eastAsia="fr-FR" w:bidi="fr-FR"/>
        </w:rPr>
        <w:t>sinantes : au Perche, pays d’enclos ; aux plaines berrichonnes, ordina</w:t>
      </w:r>
      <w:r w:rsidRPr="009C29C2">
        <w:rPr>
          <w:color w:val="000000"/>
          <w:lang w:eastAsia="fr-FR" w:bidi="fr-FR"/>
        </w:rPr>
        <w:t>i</w:t>
      </w:r>
      <w:r w:rsidRPr="009C29C2">
        <w:rPr>
          <w:color w:val="000000"/>
          <w:lang w:eastAsia="fr-FR" w:bidi="fr-FR"/>
        </w:rPr>
        <w:t xml:space="preserve">rement sans clôtures, mais où les parcelles, irrégulièrement réparties dans les terroirs, au lieu d’être groupées, comme en Beauce, en « quartiers » caractérisés par la même orientation des sillons, sont, pour la plupart, presque aussi larges que longues ; avec le Gâtinais enfin, où </w:t>
      </w:r>
      <w:r>
        <w:rPr>
          <w:color w:val="000000"/>
          <w:lang w:eastAsia="fr-FR" w:bidi="fr-FR"/>
        </w:rPr>
        <w:t>l’</w:t>
      </w:r>
      <w:r w:rsidRPr="00391321">
        <w:rPr>
          <w:i/>
        </w:rPr>
        <w:t>open</w:t>
      </w:r>
      <w:r w:rsidRPr="009C29C2">
        <w:t>-</w:t>
      </w:r>
      <w:r w:rsidRPr="00391321">
        <w:rPr>
          <w:i/>
        </w:rPr>
        <w:t>field</w:t>
      </w:r>
      <w:r w:rsidRPr="009C29C2">
        <w:rPr>
          <w:color w:val="000000"/>
          <w:lang w:eastAsia="fr-FR" w:bidi="fr-FR"/>
        </w:rPr>
        <w:t xml:space="preserve"> semble bien avoir été moins général et moins unifor</w:t>
      </w:r>
      <w:r>
        <w:rPr>
          <w:color w:val="000000"/>
          <w:lang w:eastAsia="fr-FR" w:bidi="fr-FR"/>
        </w:rPr>
        <w:t xml:space="preserve">me. Un autre trait accentue le </w:t>
      </w:r>
      <w:r w:rsidRPr="009C29C2">
        <w:rPr>
          <w:color w:val="000000"/>
          <w:lang w:eastAsia="fr-FR" w:bidi="fr-FR"/>
        </w:rPr>
        <w:t xml:space="preserve">contraste : l’emploi du cheval, pour les labours, au lieu du bœuf. Nous pouvons, ici encore, remonter assez loin dans le temps. Les contrées qui usaient du bœuf comme animal de charrue, et, cela va de soi, celles-là seulement ont fait, au Moyen </w:t>
      </w:r>
      <w:r>
        <w:rPr>
          <w:color w:val="000000"/>
          <w:lang w:eastAsia="fr-FR" w:bidi="fr-FR"/>
        </w:rPr>
        <w:t>Â</w:t>
      </w:r>
      <w:r w:rsidRPr="009C29C2">
        <w:rPr>
          <w:color w:val="000000"/>
          <w:lang w:eastAsia="fr-FR" w:bidi="fr-FR"/>
        </w:rPr>
        <w:t xml:space="preserve">ge, un large emploi, comme mesure agraire, de la « bovée », qui correspondait, théoriquement, à la journée de travail d’une de ces bêtes. Or, reportons sur la carte les mentions de « bovées », dans des textes qui s’échelonnent du </w:t>
      </w:r>
      <w:r>
        <w:rPr>
          <w:color w:val="000000"/>
          <w:lang w:eastAsia="fr-FR" w:bidi="fr-FR"/>
        </w:rPr>
        <w:t>XI</w:t>
      </w:r>
      <w:r w:rsidRPr="009C29C2">
        <w:rPr>
          <w:color w:val="000000"/>
          <w:vertAlign w:val="superscript"/>
          <w:lang w:eastAsia="fr-FR" w:bidi="fr-FR"/>
        </w:rPr>
        <w:t>e</w:t>
      </w:r>
      <w:r w:rsidRPr="009C29C2">
        <w:rPr>
          <w:color w:val="000000"/>
          <w:lang w:eastAsia="fr-FR" w:bidi="fr-FR"/>
        </w:rPr>
        <w:t xml:space="preserve"> au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 On en rencontre que</w:t>
      </w:r>
      <w:r w:rsidRPr="009C29C2">
        <w:rPr>
          <w:color w:val="000000"/>
          <w:lang w:eastAsia="fr-FR" w:bidi="fr-FR"/>
        </w:rPr>
        <w:t>l</w:t>
      </w:r>
      <w:r w:rsidRPr="009C29C2">
        <w:rPr>
          <w:color w:val="000000"/>
          <w:lang w:eastAsia="fr-FR" w:bidi="fr-FR"/>
        </w:rPr>
        <w:t>ques-unes dans le pays vallonné qui, au Nord d’Étampes, s’incline vers la Seine. De même, au Sud, dans les clairières de la forêt d’Orléans. Elles abondent, vers l’Ouest, dans le Perche et pénètrent, de là, dans les marges de la Beauce chartraine, jusqu’à la longitude de Sainville et de Levesville-la-Chenard. On les retrouve dans le Ve</w:t>
      </w:r>
      <w:r w:rsidRPr="009C29C2">
        <w:rPr>
          <w:color w:val="000000"/>
          <w:lang w:eastAsia="fr-FR" w:bidi="fr-FR"/>
        </w:rPr>
        <w:t>n</w:t>
      </w:r>
      <w:r w:rsidRPr="009C29C2">
        <w:rPr>
          <w:color w:val="000000"/>
          <w:lang w:eastAsia="fr-FR" w:bidi="fr-FR"/>
        </w:rPr>
        <w:t>dômois et, plus à l’Est, jusqu’à Coulmiers. Dans laBeauce propre, e</w:t>
      </w:r>
      <w:r w:rsidRPr="009C29C2">
        <w:rPr>
          <w:color w:val="000000"/>
          <w:lang w:eastAsia="fr-FR" w:bidi="fr-FR"/>
        </w:rPr>
        <w:t>l</w:t>
      </w:r>
      <w:r w:rsidRPr="009C29C2">
        <w:rPr>
          <w:color w:val="000000"/>
          <w:lang w:eastAsia="fr-FR" w:bidi="fr-FR"/>
        </w:rPr>
        <w:t>les manquent tout à fait</w:t>
      </w:r>
      <w:r>
        <w:rPr>
          <w:color w:val="000000"/>
          <w:lang w:eastAsia="fr-FR" w:bidi="fr-FR"/>
        </w:rPr>
        <w:t> </w:t>
      </w:r>
      <w:r>
        <w:rPr>
          <w:rStyle w:val="Appelnotedebasdep"/>
        </w:rPr>
        <w:footnoteReference w:id="278"/>
      </w:r>
      <w:r w:rsidRPr="009C29C2">
        <w:rPr>
          <w:color w:val="000000"/>
          <w:lang w:eastAsia="fr-FR" w:bidi="fr-FR"/>
        </w:rPr>
        <w:t xml:space="preserve">. En un mot, îlot de champs ouverts et </w:t>
      </w:r>
      <w:r w:rsidRPr="009C29C2">
        <w:rPr>
          <w:color w:val="000000"/>
          <w:lang w:eastAsia="fr-FR" w:bidi="fr-FR"/>
        </w:rPr>
        <w:lastRenderedPageBreak/>
        <w:t>allo</w:t>
      </w:r>
      <w:r w:rsidRPr="009C29C2">
        <w:rPr>
          <w:color w:val="000000"/>
          <w:lang w:eastAsia="fr-FR" w:bidi="fr-FR"/>
        </w:rPr>
        <w:t>n</w:t>
      </w:r>
      <w:r w:rsidRPr="009C29C2">
        <w:rPr>
          <w:color w:val="000000"/>
          <w:lang w:eastAsia="fr-FR" w:bidi="fr-FR"/>
        </w:rPr>
        <w:t>gés et de culture par le cheval au milieu de terres vouées à une civil</w:t>
      </w:r>
      <w:r w:rsidRPr="009C29C2">
        <w:rPr>
          <w:color w:val="000000"/>
          <w:lang w:eastAsia="fr-FR" w:bidi="fr-FR"/>
        </w:rPr>
        <w:t>i</w:t>
      </w:r>
      <w:r w:rsidRPr="009C29C2">
        <w:rPr>
          <w:color w:val="000000"/>
          <w:lang w:eastAsia="fr-FR" w:bidi="fr-FR"/>
        </w:rPr>
        <w:t>sation rurale déjà d’un autre type, la Beauce semble figurer, au Sud de la Seine, une avancée, peut-être relativement tardive, des pratiques septentrionales.</w:t>
      </w:r>
    </w:p>
    <w:p w14:paraId="4F48E8D9" w14:textId="77777777" w:rsidR="00B9662D" w:rsidRPr="009C29C2" w:rsidRDefault="00B9662D" w:rsidP="00B9662D">
      <w:pPr>
        <w:spacing w:before="120" w:after="120"/>
        <w:jc w:val="both"/>
      </w:pPr>
      <w:r w:rsidRPr="009C29C2">
        <w:rPr>
          <w:color w:val="000000"/>
          <w:lang w:eastAsia="fr-FR" w:bidi="fr-FR"/>
        </w:rPr>
        <w:t>Par un caractère, cependant, la structure agraire de la Beauce se distinguait de celle de beaucoup d’autres régions ouvertes et à parce</w:t>
      </w:r>
      <w:r w:rsidRPr="009C29C2">
        <w:rPr>
          <w:color w:val="000000"/>
          <w:lang w:eastAsia="fr-FR" w:bidi="fr-FR"/>
        </w:rPr>
        <w:t>l</w:t>
      </w:r>
      <w:r w:rsidRPr="009C29C2">
        <w:rPr>
          <w:color w:val="000000"/>
          <w:lang w:eastAsia="fr-FR" w:bidi="fr-FR"/>
        </w:rPr>
        <w:t>les allongées. Nous n’avons point de trace que, comme en Lorraine ou en Bourgogne, les terroirs y fussent généralement divisés en trois s</w:t>
      </w:r>
      <w:r w:rsidRPr="009C29C2">
        <w:rPr>
          <w:color w:val="000000"/>
          <w:lang w:eastAsia="fr-FR" w:bidi="fr-FR"/>
        </w:rPr>
        <w:t>o</w:t>
      </w:r>
      <w:r w:rsidRPr="009C29C2">
        <w:rPr>
          <w:color w:val="000000"/>
          <w:lang w:eastAsia="fr-FR" w:bidi="fr-FR"/>
        </w:rPr>
        <w:t>les, toutes d’un bloc ou presque. L’unité d’assolement, plus petite, était constituée par le « quartier » ou « chantier », formé, je l’ai rapp</w:t>
      </w:r>
      <w:r w:rsidRPr="009C29C2">
        <w:rPr>
          <w:color w:val="000000"/>
          <w:lang w:eastAsia="fr-FR" w:bidi="fr-FR"/>
        </w:rPr>
        <w:t>e</w:t>
      </w:r>
      <w:r w:rsidRPr="009C29C2">
        <w:rPr>
          <w:color w:val="000000"/>
          <w:lang w:eastAsia="fr-FR" w:bidi="fr-FR"/>
        </w:rPr>
        <w:t>lé plus haut, d’un faisceau de champs en lanières dont tous les sillons s’orientaient parallèlement. Il est impossible de ne pas observer que cette disposition coïncide parfaitement avec l’hypothèse d’un défr</w:t>
      </w:r>
      <w:r w:rsidRPr="009C29C2">
        <w:rPr>
          <w:color w:val="000000"/>
          <w:lang w:eastAsia="fr-FR" w:bidi="fr-FR"/>
        </w:rPr>
        <w:t>i</w:t>
      </w:r>
      <w:r w:rsidRPr="009C29C2">
        <w:rPr>
          <w:color w:val="000000"/>
          <w:lang w:eastAsia="fr-FR" w:bidi="fr-FR"/>
        </w:rPr>
        <w:t>chement progressif des finages villageois, morceau par morceau.</w:t>
      </w:r>
    </w:p>
    <w:p w14:paraId="3B19BDC0" w14:textId="77777777" w:rsidR="00B9662D" w:rsidRDefault="00B9662D" w:rsidP="00B9662D">
      <w:pPr>
        <w:spacing w:before="120" w:after="120"/>
        <w:jc w:val="both"/>
      </w:pPr>
      <w:r>
        <w:t>[647]</w:t>
      </w:r>
    </w:p>
    <w:p w14:paraId="65913E52" w14:textId="77777777" w:rsidR="00B9662D" w:rsidRPr="009C29C2" w:rsidRDefault="00B9662D" w:rsidP="00B9662D">
      <w:pPr>
        <w:spacing w:before="120" w:after="120"/>
        <w:jc w:val="both"/>
      </w:pPr>
    </w:p>
    <w:p w14:paraId="1010CC40" w14:textId="77777777" w:rsidR="00B9662D" w:rsidRPr="009C29C2" w:rsidRDefault="00B9662D" w:rsidP="00B9662D">
      <w:pPr>
        <w:pStyle w:val="planche"/>
      </w:pPr>
      <w:r w:rsidRPr="009C29C2">
        <w:t>VIII</w:t>
      </w:r>
    </w:p>
    <w:p w14:paraId="6F785B69" w14:textId="77777777" w:rsidR="00B9662D" w:rsidRDefault="00B9662D" w:rsidP="00B9662D">
      <w:pPr>
        <w:spacing w:before="120" w:after="120"/>
        <w:jc w:val="both"/>
        <w:rPr>
          <w:color w:val="000000"/>
          <w:lang w:eastAsia="fr-FR" w:bidi="fr-FR"/>
        </w:rPr>
      </w:pPr>
    </w:p>
    <w:p w14:paraId="7757B2C4" w14:textId="77777777" w:rsidR="00B9662D" w:rsidRPr="009C29C2" w:rsidRDefault="00B9662D" w:rsidP="00B9662D">
      <w:pPr>
        <w:spacing w:before="120" w:after="120"/>
        <w:jc w:val="both"/>
      </w:pPr>
      <w:r w:rsidRPr="009C29C2">
        <w:rPr>
          <w:color w:val="000000"/>
          <w:lang w:eastAsia="fr-FR" w:bidi="fr-FR"/>
        </w:rPr>
        <w:t>Il convient, en terminant, de marquer, brièvement, moins les résu</w:t>
      </w:r>
      <w:r w:rsidRPr="009C29C2">
        <w:rPr>
          <w:color w:val="000000"/>
          <w:lang w:eastAsia="fr-FR" w:bidi="fr-FR"/>
        </w:rPr>
        <w:t>l</w:t>
      </w:r>
      <w:r w:rsidRPr="009C29C2">
        <w:rPr>
          <w:color w:val="000000"/>
          <w:lang w:eastAsia="fr-FR" w:bidi="fr-FR"/>
        </w:rPr>
        <w:t>tats</w:t>
      </w:r>
      <w:r>
        <w:rPr>
          <w:color w:val="000000"/>
          <w:lang w:eastAsia="fr-FR" w:bidi="fr-FR"/>
        </w:rPr>
        <w:t> — </w:t>
      </w:r>
      <w:r w:rsidRPr="009C29C2">
        <w:rPr>
          <w:color w:val="000000"/>
          <w:lang w:eastAsia="fr-FR" w:bidi="fr-FR"/>
        </w:rPr>
        <w:t>car il en est peu de certains</w:t>
      </w:r>
      <w:r>
        <w:rPr>
          <w:color w:val="000000"/>
          <w:lang w:eastAsia="fr-FR" w:bidi="fr-FR"/>
        </w:rPr>
        <w:t> — </w:t>
      </w:r>
      <w:r w:rsidRPr="009C29C2">
        <w:rPr>
          <w:color w:val="000000"/>
          <w:lang w:eastAsia="fr-FR" w:bidi="fr-FR"/>
        </w:rPr>
        <w:t>que les positions de problèmes auxquels semble conduire cette recherche :</w:t>
      </w:r>
    </w:p>
    <w:p w14:paraId="7A72117F" w14:textId="77777777" w:rsidR="00B9662D" w:rsidRPr="009C29C2" w:rsidRDefault="00B9662D" w:rsidP="00B9662D">
      <w:pPr>
        <w:spacing w:before="120" w:after="120"/>
        <w:jc w:val="both"/>
      </w:pPr>
      <w:r w:rsidRPr="009C29C2">
        <w:rPr>
          <w:color w:val="000000"/>
          <w:lang w:eastAsia="fr-FR" w:bidi="fr-FR"/>
        </w:rPr>
        <w:t>1</w:t>
      </w:r>
      <w:r>
        <w:rPr>
          <w:color w:val="000000"/>
          <w:lang w:eastAsia="fr-FR" w:bidi="fr-FR"/>
        </w:rPr>
        <w:t>° </w:t>
      </w:r>
      <w:r w:rsidRPr="009C29C2">
        <w:rPr>
          <w:color w:val="000000"/>
          <w:lang w:eastAsia="fr-FR" w:bidi="fr-FR"/>
        </w:rPr>
        <w:t>Incontestablement, la Beauce, pays de relief uni, à l’épais l</w:t>
      </w:r>
      <w:r w:rsidRPr="009C29C2">
        <w:rPr>
          <w:color w:val="000000"/>
          <w:lang w:eastAsia="fr-FR" w:bidi="fr-FR"/>
        </w:rPr>
        <w:t>i</w:t>
      </w:r>
      <w:r w:rsidRPr="009C29C2">
        <w:rPr>
          <w:color w:val="000000"/>
          <w:lang w:eastAsia="fr-FR" w:bidi="fr-FR"/>
        </w:rPr>
        <w:t xml:space="preserve">mon, a été, depuis le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siècle, une grande et riche terre à blé, sans clôtures, presque sans arbres.</w:t>
      </w:r>
    </w:p>
    <w:p w14:paraId="05161E91" w14:textId="77777777" w:rsidR="00B9662D" w:rsidRPr="009C29C2" w:rsidRDefault="00B9662D" w:rsidP="00B9662D">
      <w:pPr>
        <w:spacing w:before="120" w:after="120"/>
        <w:jc w:val="both"/>
      </w:pPr>
      <w:r w:rsidRPr="009C29C2">
        <w:rPr>
          <w:color w:val="000000"/>
          <w:lang w:eastAsia="fr-FR" w:bidi="fr-FR"/>
        </w:rPr>
        <w:t>2</w:t>
      </w:r>
      <w:r>
        <w:rPr>
          <w:color w:val="000000"/>
          <w:lang w:eastAsia="fr-FR" w:bidi="fr-FR"/>
        </w:rPr>
        <w:t>° </w:t>
      </w:r>
      <w:r w:rsidRPr="009C29C2">
        <w:rPr>
          <w:color w:val="000000"/>
          <w:lang w:eastAsia="fr-FR" w:bidi="fr-FR"/>
        </w:rPr>
        <w:t xml:space="preserve">Au début du Moyen </w:t>
      </w:r>
      <w:r>
        <w:rPr>
          <w:color w:val="000000"/>
          <w:lang w:eastAsia="fr-FR" w:bidi="fr-FR"/>
        </w:rPr>
        <w:t>Â</w:t>
      </w:r>
      <w:r w:rsidRPr="009C29C2">
        <w:rPr>
          <w:color w:val="000000"/>
          <w:lang w:eastAsia="fr-FR" w:bidi="fr-FR"/>
        </w:rPr>
        <w:t>ge, elle paraît s’être présentée, surtout vers le centre, sous l’aspect d’une vaste steppe herbue et buissonne</w:t>
      </w:r>
      <w:r w:rsidRPr="009C29C2">
        <w:rPr>
          <w:color w:val="000000"/>
          <w:lang w:eastAsia="fr-FR" w:bidi="fr-FR"/>
        </w:rPr>
        <w:t>u</w:t>
      </w:r>
      <w:r w:rsidRPr="009C29C2">
        <w:rPr>
          <w:color w:val="000000"/>
          <w:lang w:eastAsia="fr-FR" w:bidi="fr-FR"/>
        </w:rPr>
        <w:t>se, parsemée, çà et là, de quelques espaces cultivés. La présence de quelques bouquets d’arbres n’est sans doute pas exclue. Aucune forêt véritable, par contre, n’est attestée aux temps historiques. Il appartie</w:t>
      </w:r>
      <w:r w:rsidRPr="009C29C2">
        <w:rPr>
          <w:color w:val="000000"/>
          <w:lang w:eastAsia="fr-FR" w:bidi="fr-FR"/>
        </w:rPr>
        <w:t>n</w:t>
      </w:r>
      <w:r w:rsidRPr="009C29C2">
        <w:rPr>
          <w:color w:val="000000"/>
          <w:lang w:eastAsia="fr-FR" w:bidi="fr-FR"/>
        </w:rPr>
        <w:t>dra aux investigateurs d’âges plus reculés encore de nous dire si, peut-être sous l’action de conditions climatiques différentes, cette steppe avait pu être précédée par une plus abondante végétation arbo</w:t>
      </w:r>
      <w:r w:rsidRPr="009C29C2">
        <w:rPr>
          <w:color w:val="000000"/>
          <w:lang w:eastAsia="fr-FR" w:bidi="fr-FR"/>
        </w:rPr>
        <w:lastRenderedPageBreak/>
        <w:t>rescente, que nos textes les plus anciens avaient assurément cessé de connaître.</w:t>
      </w:r>
    </w:p>
    <w:p w14:paraId="3C9F43AB" w14:textId="77777777" w:rsidR="00B9662D" w:rsidRPr="009C29C2" w:rsidRDefault="00B9662D" w:rsidP="00B9662D">
      <w:pPr>
        <w:spacing w:before="120" w:after="120"/>
        <w:jc w:val="both"/>
      </w:pPr>
      <w:r w:rsidRPr="009C29C2">
        <w:rPr>
          <w:color w:val="000000"/>
          <w:lang w:eastAsia="fr-FR" w:bidi="fr-FR"/>
        </w:rPr>
        <w:t>3</w:t>
      </w:r>
      <w:r>
        <w:rPr>
          <w:color w:val="000000"/>
          <w:lang w:eastAsia="fr-FR" w:bidi="fr-FR"/>
        </w:rPr>
        <w:t>° </w:t>
      </w:r>
      <w:r w:rsidRPr="009C29C2">
        <w:rPr>
          <w:color w:val="000000"/>
          <w:lang w:eastAsia="fr-FR" w:bidi="fr-FR"/>
        </w:rPr>
        <w:t xml:space="preserve">La mise en culture et l’occupation de ces sèches étendues qui longtemps avaient rebuté l’homme ont été parachevées durant l’ère des grands défrichements du </w:t>
      </w:r>
      <w:r>
        <w:rPr>
          <w:color w:val="000000"/>
          <w:lang w:eastAsia="fr-FR" w:bidi="fr-FR"/>
        </w:rPr>
        <w:t>XI</w:t>
      </w:r>
      <w:r w:rsidRPr="009C29C2">
        <w:rPr>
          <w:color w:val="000000"/>
          <w:vertAlign w:val="superscript"/>
          <w:lang w:eastAsia="fr-FR" w:bidi="fr-FR"/>
        </w:rPr>
        <w:t>e</w:t>
      </w:r>
      <w:r w:rsidRPr="009C29C2">
        <w:rPr>
          <w:color w:val="000000"/>
          <w:lang w:eastAsia="fr-FR" w:bidi="fr-FR"/>
        </w:rPr>
        <w:t xml:space="preserve"> au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 Elles avaient prob</w:t>
      </w:r>
      <w:r w:rsidRPr="009C29C2">
        <w:rPr>
          <w:color w:val="000000"/>
          <w:lang w:eastAsia="fr-FR" w:bidi="fr-FR"/>
        </w:rPr>
        <w:t>a</w:t>
      </w:r>
      <w:r w:rsidRPr="009C29C2">
        <w:rPr>
          <w:color w:val="000000"/>
          <w:lang w:eastAsia="fr-FR" w:bidi="fr-FR"/>
        </w:rPr>
        <w:t>blement déjà fait de sensibles progrès durant la période franque. La civilisation agraire qui s’implanta alors en Beauce ressemble davant</w:t>
      </w:r>
      <w:r w:rsidRPr="009C29C2">
        <w:rPr>
          <w:color w:val="000000"/>
          <w:lang w:eastAsia="fr-FR" w:bidi="fr-FR"/>
        </w:rPr>
        <w:t>a</w:t>
      </w:r>
      <w:r w:rsidRPr="009C29C2">
        <w:rPr>
          <w:color w:val="000000"/>
          <w:lang w:eastAsia="fr-FR" w:bidi="fr-FR"/>
        </w:rPr>
        <w:t>ge à celle des populations vivant au Nord du pays qu’aux usages en vigueur à l’Est, à l’Ouest et au Sud.</w:t>
      </w:r>
    </w:p>
    <w:p w14:paraId="44F3CA4B" w14:textId="77777777" w:rsidR="00B9662D" w:rsidRDefault="00B9662D" w:rsidP="00B9662D">
      <w:pPr>
        <w:pStyle w:val="p"/>
        <w:rPr>
          <w:lang w:eastAsia="fr-FR" w:bidi="fr-FR"/>
        </w:rPr>
      </w:pPr>
      <w:r w:rsidRPr="009C29C2">
        <w:br w:type="page"/>
      </w:r>
      <w:r>
        <w:rPr>
          <w:lang w:eastAsia="fr-FR" w:bidi="fr-FR"/>
        </w:rPr>
        <w:lastRenderedPageBreak/>
        <w:t>[648]</w:t>
      </w:r>
    </w:p>
    <w:p w14:paraId="57A46A8C" w14:textId="77777777" w:rsidR="00B9662D" w:rsidRPr="00E07116" w:rsidRDefault="00B9662D" w:rsidP="00B9662D">
      <w:pPr>
        <w:jc w:val="both"/>
      </w:pPr>
    </w:p>
    <w:p w14:paraId="59986BC1" w14:textId="77777777" w:rsidR="00B9662D" w:rsidRDefault="00B9662D" w:rsidP="00B9662D">
      <w:pPr>
        <w:jc w:val="both"/>
      </w:pPr>
    </w:p>
    <w:p w14:paraId="476A9E5C" w14:textId="77777777" w:rsidR="00B9662D" w:rsidRPr="00E07116" w:rsidRDefault="00B9662D" w:rsidP="00B9662D">
      <w:pPr>
        <w:jc w:val="both"/>
      </w:pPr>
    </w:p>
    <w:p w14:paraId="604A01B1" w14:textId="77777777" w:rsidR="00B9662D" w:rsidRPr="00F54CC7" w:rsidRDefault="00B9662D" w:rsidP="00B9662D">
      <w:pPr>
        <w:spacing w:after="120"/>
        <w:ind w:firstLine="0"/>
        <w:jc w:val="center"/>
        <w:rPr>
          <w:sz w:val="24"/>
        </w:rPr>
      </w:pPr>
      <w:bookmarkStart w:id="20" w:name="Melanges_t2_pt_6_chap_V"/>
      <w:r>
        <w:rPr>
          <w:b/>
          <w:sz w:val="24"/>
        </w:rPr>
        <w:t>Mélanges historiques.</w:t>
      </w:r>
      <w:r>
        <w:rPr>
          <w:b/>
          <w:sz w:val="24"/>
        </w:rPr>
        <w:br/>
      </w:r>
      <w:r w:rsidRPr="000D320C">
        <w:rPr>
          <w:color w:val="FF0000"/>
          <w:sz w:val="24"/>
        </w:rPr>
        <w:t>Tome I</w:t>
      </w:r>
      <w:r>
        <w:rPr>
          <w:color w:val="FF0000"/>
          <w:sz w:val="24"/>
        </w:rPr>
        <w:t>I</w:t>
      </w:r>
      <w:r w:rsidRPr="000D320C">
        <w:rPr>
          <w:sz w:val="24"/>
        </w:rPr>
        <w:t>.</w:t>
      </w:r>
    </w:p>
    <w:p w14:paraId="122FCE14"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4F018286" w14:textId="77777777" w:rsidR="00B9662D" w:rsidRPr="00384B20" w:rsidRDefault="00B9662D" w:rsidP="00B9662D">
      <w:pPr>
        <w:pStyle w:val="Titreniveau1"/>
      </w:pPr>
      <w:r>
        <w:t>Chapitre V</w:t>
      </w:r>
    </w:p>
    <w:p w14:paraId="07F91D6F" w14:textId="77777777" w:rsidR="00B9662D" w:rsidRPr="00E07116" w:rsidRDefault="00B9662D" w:rsidP="00B9662D">
      <w:pPr>
        <w:jc w:val="both"/>
        <w:rPr>
          <w:szCs w:val="36"/>
        </w:rPr>
      </w:pPr>
    </w:p>
    <w:p w14:paraId="7AEADB20" w14:textId="77777777" w:rsidR="00B9662D" w:rsidRPr="00E07116" w:rsidRDefault="00B9662D" w:rsidP="00B9662D">
      <w:pPr>
        <w:pStyle w:val="Titreniveau2"/>
      </w:pPr>
      <w:r>
        <w:t>le problème</w:t>
      </w:r>
      <w:r>
        <w:br/>
        <w:t xml:space="preserve">des régimes agraires. </w:t>
      </w:r>
      <w:r>
        <w:rPr>
          <w:rStyle w:val="Appelnotedebasdep"/>
        </w:rPr>
        <w:footnoteReference w:id="279"/>
      </w:r>
    </w:p>
    <w:bookmarkEnd w:id="20"/>
    <w:p w14:paraId="1EE5567C" w14:textId="77777777" w:rsidR="00B9662D" w:rsidRPr="00E07116" w:rsidRDefault="00B9662D" w:rsidP="00B9662D">
      <w:pPr>
        <w:jc w:val="both"/>
        <w:rPr>
          <w:szCs w:val="36"/>
        </w:rPr>
      </w:pPr>
    </w:p>
    <w:p w14:paraId="5F339043" w14:textId="77777777" w:rsidR="00B9662D" w:rsidRDefault="00B9662D" w:rsidP="00B9662D">
      <w:pPr>
        <w:spacing w:before="120" w:after="120"/>
        <w:jc w:val="both"/>
        <w:rPr>
          <w:color w:val="000000"/>
          <w:lang w:eastAsia="fr-FR" w:bidi="fr-FR"/>
        </w:rPr>
      </w:pPr>
    </w:p>
    <w:p w14:paraId="5832438A" w14:textId="77777777" w:rsidR="00B9662D" w:rsidRDefault="00B9662D" w:rsidP="00B9662D">
      <w:pPr>
        <w:spacing w:before="120" w:after="120"/>
        <w:jc w:val="both"/>
        <w:rPr>
          <w:color w:val="000000"/>
          <w:lang w:eastAsia="fr-FR" w:bidi="fr-FR"/>
        </w:rPr>
      </w:pPr>
    </w:p>
    <w:p w14:paraId="1B55DFE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87A4694" w14:textId="77777777" w:rsidR="00B9662D" w:rsidRPr="009C29C2" w:rsidRDefault="00B9662D" w:rsidP="00B9662D">
      <w:pPr>
        <w:spacing w:before="120" w:after="120"/>
        <w:jc w:val="both"/>
      </w:pPr>
      <w:r w:rsidRPr="009C29C2">
        <w:rPr>
          <w:color w:val="000000"/>
          <w:lang w:eastAsia="fr-FR" w:bidi="fr-FR"/>
        </w:rPr>
        <w:t>Certains économistes ou historiens ont employé le mot de système agraire : je lui trouve un peu trop de rigidité et je préfère un mot moins compromettant, tel que celui de régime.</w:t>
      </w:r>
    </w:p>
    <w:p w14:paraId="15F26A12" w14:textId="77777777" w:rsidR="00B9662D" w:rsidRPr="009C29C2" w:rsidRDefault="00B9662D" w:rsidP="00B9662D">
      <w:pPr>
        <w:spacing w:before="120" w:after="120"/>
        <w:jc w:val="both"/>
      </w:pPr>
      <w:r w:rsidRPr="009C29C2">
        <w:rPr>
          <w:color w:val="000000"/>
          <w:lang w:eastAsia="fr-FR" w:bidi="fr-FR"/>
        </w:rPr>
        <w:t>Qu’est-ce donc que le régime agraire ? Si nous envisageons un groupe rural déterminé, une petite collectivité rurale vivant sur un te</w:t>
      </w:r>
      <w:r w:rsidRPr="009C29C2">
        <w:rPr>
          <w:color w:val="000000"/>
          <w:lang w:eastAsia="fr-FR" w:bidi="fr-FR"/>
        </w:rPr>
        <w:t>r</w:t>
      </w:r>
      <w:r w:rsidRPr="009C29C2">
        <w:rPr>
          <w:color w:val="000000"/>
          <w:lang w:eastAsia="fr-FR" w:bidi="fr-FR"/>
        </w:rPr>
        <w:t>roir de médiocre étendue, nous nous apercevrons aisément que sa vie entière est réglée par un ensemble complexe à la fois de recettes tec</w:t>
      </w:r>
      <w:r w:rsidRPr="009C29C2">
        <w:rPr>
          <w:color w:val="000000"/>
          <w:lang w:eastAsia="fr-FR" w:bidi="fr-FR"/>
        </w:rPr>
        <w:t>h</w:t>
      </w:r>
      <w:r w:rsidRPr="009C29C2">
        <w:rPr>
          <w:color w:val="000000"/>
          <w:lang w:eastAsia="fr-FR" w:bidi="fr-FR"/>
        </w:rPr>
        <w:t>niques et de coutumes juridiques, que ces recettes techniques et ces coutumes juridiques sont, dans une large mesure, conçues comme i</w:t>
      </w:r>
      <w:r w:rsidRPr="009C29C2">
        <w:rPr>
          <w:color w:val="000000"/>
          <w:lang w:eastAsia="fr-FR" w:bidi="fr-FR"/>
        </w:rPr>
        <w:t>m</w:t>
      </w:r>
      <w:r w:rsidRPr="009C29C2">
        <w:rPr>
          <w:color w:val="000000"/>
          <w:lang w:eastAsia="fr-FR" w:bidi="fr-FR"/>
        </w:rPr>
        <w:t>posées. (Je prends le mot « imposées » dans un sens très large, un sens familier à la sociologie, répandu par elle ; je ne fais pas allusion se</w:t>
      </w:r>
      <w:r w:rsidRPr="009C29C2">
        <w:rPr>
          <w:color w:val="000000"/>
          <w:lang w:eastAsia="fr-FR" w:bidi="fr-FR"/>
        </w:rPr>
        <w:t>u</w:t>
      </w:r>
      <w:r w:rsidRPr="009C29C2">
        <w:rPr>
          <w:color w:val="000000"/>
          <w:lang w:eastAsia="fr-FR" w:bidi="fr-FR"/>
        </w:rPr>
        <w:t>lement à des obligations établies par une loi précise ; j’envisage ég</w:t>
      </w:r>
      <w:r w:rsidRPr="009C29C2">
        <w:rPr>
          <w:color w:val="000000"/>
          <w:lang w:eastAsia="fr-FR" w:bidi="fr-FR"/>
        </w:rPr>
        <w:t>a</w:t>
      </w:r>
      <w:r w:rsidRPr="009C29C2">
        <w:rPr>
          <w:color w:val="000000"/>
          <w:lang w:eastAsia="fr-FR" w:bidi="fr-FR"/>
        </w:rPr>
        <w:t>lement l’action de la tradition, de l’opinion publique, de tout ce qui constitue véritablement la coutume, la contrainte du groupe).</w:t>
      </w:r>
    </w:p>
    <w:p w14:paraId="0FDBE0E6" w14:textId="77777777" w:rsidR="00B9662D" w:rsidRPr="009C29C2" w:rsidRDefault="00B9662D" w:rsidP="00B9662D">
      <w:pPr>
        <w:spacing w:before="120" w:after="120"/>
        <w:jc w:val="both"/>
      </w:pPr>
      <w:r w:rsidRPr="009C29C2">
        <w:rPr>
          <w:color w:val="000000"/>
          <w:lang w:eastAsia="fr-FR" w:bidi="fr-FR"/>
        </w:rPr>
        <w:t>Bien entendu ce régime agraire se présente avec une netteté part</w:t>
      </w:r>
      <w:r w:rsidRPr="009C29C2">
        <w:rPr>
          <w:color w:val="000000"/>
          <w:lang w:eastAsia="fr-FR" w:bidi="fr-FR"/>
        </w:rPr>
        <w:t>i</w:t>
      </w:r>
      <w:r w:rsidRPr="009C29C2">
        <w:rPr>
          <w:color w:val="000000"/>
          <w:lang w:eastAsia="fr-FR" w:bidi="fr-FR"/>
        </w:rPr>
        <w:t xml:space="preserve">culière, surtout aux époques anciennes. Aujourd’hui, les progrès de tout ce qu’on peut appeler en gros l’individualisme (je vous demande </w:t>
      </w:r>
      <w:r w:rsidRPr="009C29C2">
        <w:rPr>
          <w:color w:val="000000"/>
          <w:lang w:eastAsia="fr-FR" w:bidi="fr-FR"/>
        </w:rPr>
        <w:lastRenderedPageBreak/>
        <w:t>pardon d’employer des mots aussi imprécis, ils sont quelquefois commodes), les progrès en particulier de l’individualisme économique font que ces coutumes de groupes, bien qu’elles existent encore dans une large mesure, sont néanmoins moins impérieuses, moins unifo</w:t>
      </w:r>
      <w:r w:rsidRPr="009C29C2">
        <w:rPr>
          <w:color w:val="000000"/>
          <w:lang w:eastAsia="fr-FR" w:bidi="fr-FR"/>
        </w:rPr>
        <w:t>r</w:t>
      </w:r>
      <w:r w:rsidRPr="009C29C2">
        <w:rPr>
          <w:color w:val="000000"/>
          <w:lang w:eastAsia="fr-FR" w:bidi="fr-FR"/>
        </w:rPr>
        <w:t>mes qu’autrefois. Dans mon exposé, je laisserai délibérément de côté ce qui concerne les transformations relativement récentes que l’on r</w:t>
      </w:r>
      <w:r w:rsidRPr="009C29C2">
        <w:rPr>
          <w:color w:val="000000"/>
          <w:lang w:eastAsia="fr-FR" w:bidi="fr-FR"/>
        </w:rPr>
        <w:t>é</w:t>
      </w:r>
      <w:r w:rsidRPr="009C29C2">
        <w:rPr>
          <w:color w:val="000000"/>
          <w:lang w:eastAsia="fr-FR" w:bidi="fr-FR"/>
        </w:rPr>
        <w:t>unit ordinairement sous le nom de révolution agricole,</w:t>
      </w:r>
      <w:r>
        <w:rPr>
          <w:color w:val="000000"/>
          <w:lang w:eastAsia="fr-FR" w:bidi="fr-FR"/>
        </w:rPr>
        <w:t> — </w:t>
      </w:r>
      <w:r w:rsidRPr="009C29C2">
        <w:rPr>
          <w:color w:val="000000"/>
          <w:lang w:eastAsia="fr-FR" w:bidi="fr-FR"/>
        </w:rPr>
        <w:t>révolution d’ailleurs très lente, qui a duré plus d’un siècle et demi et qui dure e</w:t>
      </w:r>
      <w:r w:rsidRPr="009C29C2">
        <w:rPr>
          <w:color w:val="000000"/>
          <w:lang w:eastAsia="fr-FR" w:bidi="fr-FR"/>
        </w:rPr>
        <w:t>n</w:t>
      </w:r>
      <w:r w:rsidRPr="009C29C2">
        <w:rPr>
          <w:color w:val="000000"/>
          <w:lang w:eastAsia="fr-FR" w:bidi="fr-FR"/>
        </w:rPr>
        <w:t>core. Je prendrai les régimes agraires tels qu’ils se présentaient en gros, en France, aux environs de 1789.</w:t>
      </w:r>
    </w:p>
    <w:p w14:paraId="014F9F6A" w14:textId="77777777" w:rsidR="00B9662D" w:rsidRPr="009C29C2" w:rsidRDefault="00B9662D" w:rsidP="00B9662D">
      <w:pPr>
        <w:spacing w:before="120" w:after="120"/>
        <w:jc w:val="both"/>
      </w:pPr>
      <w:r w:rsidRPr="009C29C2">
        <w:rPr>
          <w:color w:val="000000"/>
          <w:lang w:eastAsia="fr-FR" w:bidi="fr-FR"/>
        </w:rPr>
        <w:t>Ces régimes agraires, dont un simple coup d’œil sur nos camp</w:t>
      </w:r>
      <w:r w:rsidRPr="009C29C2">
        <w:rPr>
          <w:color w:val="000000"/>
          <w:lang w:eastAsia="fr-FR" w:bidi="fr-FR"/>
        </w:rPr>
        <w:t>a</w:t>
      </w:r>
      <w:r w:rsidRPr="009C29C2">
        <w:rPr>
          <w:color w:val="000000"/>
          <w:lang w:eastAsia="fr-FR" w:bidi="fr-FR"/>
        </w:rPr>
        <w:t>gnes montre qu’il en existe en France plusieurs, que la France à cet égard est loin d’être uniforme, qu’elle présente des contrastes extr</w:t>
      </w:r>
      <w:r w:rsidRPr="009C29C2">
        <w:rPr>
          <w:color w:val="000000"/>
          <w:lang w:eastAsia="fr-FR" w:bidi="fr-FR"/>
        </w:rPr>
        <w:t>ê</w:t>
      </w:r>
      <w:r w:rsidRPr="009C29C2">
        <w:rPr>
          <w:color w:val="000000"/>
          <w:lang w:eastAsia="fr-FR" w:bidi="fr-FR"/>
        </w:rPr>
        <w:t>mement tranchés, et des contrastes par grandes masses, non pas des différences de</w:t>
      </w:r>
      <w:r>
        <w:t xml:space="preserve"> [649] </w:t>
      </w:r>
      <w:r w:rsidRPr="009C29C2">
        <w:rPr>
          <w:color w:val="000000"/>
          <w:lang w:eastAsia="fr-FR" w:bidi="fr-FR"/>
        </w:rPr>
        <w:t>village à village, mais des différences entre gro</w:t>
      </w:r>
      <w:r w:rsidRPr="009C29C2">
        <w:rPr>
          <w:color w:val="000000"/>
          <w:lang w:eastAsia="fr-FR" w:bidi="fr-FR"/>
        </w:rPr>
        <w:t>u</w:t>
      </w:r>
      <w:r w:rsidRPr="009C29C2">
        <w:rPr>
          <w:color w:val="000000"/>
          <w:lang w:eastAsia="fr-FR" w:bidi="fr-FR"/>
        </w:rPr>
        <w:t>pes sociaux d’étendue considérable.</w:t>
      </w:r>
    </w:p>
    <w:p w14:paraId="66A36066" w14:textId="77777777" w:rsidR="00B9662D" w:rsidRPr="009C29C2" w:rsidRDefault="00B9662D" w:rsidP="00B9662D">
      <w:pPr>
        <w:spacing w:before="120" w:after="120"/>
        <w:jc w:val="both"/>
      </w:pPr>
      <w:r w:rsidRPr="009C29C2">
        <w:rPr>
          <w:color w:val="000000"/>
          <w:lang w:eastAsia="fr-FR" w:bidi="fr-FR"/>
        </w:rPr>
        <w:t>Je vais énumérer dans un instant les divers régimes agraires que je crois reconnaître chez nous. Auparavant, pour éclairer l’exposé, je crois qu’un mot sur les conditions de production de l’agriculture a</w:t>
      </w:r>
      <w:r w:rsidRPr="009C29C2">
        <w:rPr>
          <w:color w:val="000000"/>
          <w:lang w:eastAsia="fr-FR" w:bidi="fr-FR"/>
        </w:rPr>
        <w:t>n</w:t>
      </w:r>
      <w:r w:rsidRPr="009C29C2">
        <w:rPr>
          <w:color w:val="000000"/>
          <w:lang w:eastAsia="fr-FR" w:bidi="fr-FR"/>
        </w:rPr>
        <w:t>cienne ne sera pas inutile.</w:t>
      </w:r>
    </w:p>
    <w:p w14:paraId="24B6206B" w14:textId="77777777" w:rsidR="00B9662D" w:rsidRPr="009C29C2" w:rsidRDefault="00B9662D" w:rsidP="00B9662D">
      <w:pPr>
        <w:spacing w:before="120" w:after="120"/>
        <w:jc w:val="both"/>
      </w:pPr>
      <w:r w:rsidRPr="009C29C2">
        <w:rPr>
          <w:color w:val="000000"/>
          <w:lang w:eastAsia="fr-FR" w:bidi="fr-FR"/>
        </w:rPr>
        <w:t>L’agriculture ancienne,</w:t>
      </w:r>
      <w:r>
        <w:rPr>
          <w:color w:val="000000"/>
          <w:lang w:eastAsia="fr-FR" w:bidi="fr-FR"/>
        </w:rPr>
        <w:t> — </w:t>
      </w:r>
      <w:r w:rsidRPr="009C29C2">
        <w:rPr>
          <w:color w:val="000000"/>
          <w:lang w:eastAsia="fr-FR" w:bidi="fr-FR"/>
        </w:rPr>
        <w:t>il ne faudrait attribuer à cet adjectif un sens trop rigoureux, car les habitudes traditionnelles se sont souvent perpétuées bien près de nous,</w:t>
      </w:r>
      <w:r>
        <w:rPr>
          <w:color w:val="000000"/>
          <w:lang w:eastAsia="fr-FR" w:bidi="fr-FR"/>
        </w:rPr>
        <w:t> — </w:t>
      </w:r>
      <w:r w:rsidRPr="009C29C2">
        <w:rPr>
          <w:color w:val="000000"/>
          <w:lang w:eastAsia="fr-FR" w:bidi="fr-FR"/>
        </w:rPr>
        <w:t>disons, si l’on préfère, l’agriculture avant les grandes transformations qui, de toutes parts, ont bouleversé l’économie moderne, était fondée avant tout sur la culture des céré</w:t>
      </w:r>
      <w:r w:rsidRPr="009C29C2">
        <w:rPr>
          <w:color w:val="000000"/>
          <w:lang w:eastAsia="fr-FR" w:bidi="fr-FR"/>
        </w:rPr>
        <w:t>a</w:t>
      </w:r>
      <w:r w:rsidRPr="009C29C2">
        <w:rPr>
          <w:color w:val="000000"/>
          <w:lang w:eastAsia="fr-FR" w:bidi="fr-FR"/>
        </w:rPr>
        <w:t>les, ou, comme on disait autrefois, sur les « blés ». Pour saisir les di</w:t>
      </w:r>
      <w:r w:rsidRPr="009C29C2">
        <w:rPr>
          <w:color w:val="000000"/>
          <w:lang w:eastAsia="fr-FR" w:bidi="fr-FR"/>
        </w:rPr>
        <w:t>f</w:t>
      </w:r>
      <w:r w:rsidRPr="009C29C2">
        <w:rPr>
          <w:color w:val="000000"/>
          <w:lang w:eastAsia="fr-FR" w:bidi="fr-FR"/>
        </w:rPr>
        <w:t>férentes caractéristiques des divers régimes d’exploitation, c’est des labours emblavés qu’il convient de partir. Certes ils ne couvraient pas tout le sol, même pas tout le sol cultivé. Des jardins s’étendaient rég</w:t>
      </w:r>
      <w:r w:rsidRPr="009C29C2">
        <w:rPr>
          <w:color w:val="000000"/>
          <w:lang w:eastAsia="fr-FR" w:bidi="fr-FR"/>
        </w:rPr>
        <w:t>u</w:t>
      </w:r>
      <w:r w:rsidRPr="009C29C2">
        <w:rPr>
          <w:color w:val="000000"/>
          <w:lang w:eastAsia="fr-FR" w:bidi="fr-FR"/>
        </w:rPr>
        <w:t>lièrement autour des maisons. Mais le jardin enclos a toujours été dans le terroir un élément de fait. Là, d’ailleurs, entre les régions point d’autres divergences fondamentales que celle des espèces botaniques ; les principes de la mise en valeur étaient partout pareils. D’autres cultures encore tenaient, dans la vie agraire, quelque place : la vigne, des cultures industrielles diverses.</w:t>
      </w:r>
    </w:p>
    <w:p w14:paraId="7A06755F" w14:textId="77777777" w:rsidR="00B9662D" w:rsidRPr="009C29C2" w:rsidRDefault="00B9662D" w:rsidP="00B9662D">
      <w:pPr>
        <w:spacing w:before="120" w:after="120"/>
        <w:jc w:val="both"/>
      </w:pPr>
      <w:r>
        <w:rPr>
          <w:color w:val="000000"/>
          <w:lang w:eastAsia="fr-FR" w:bidi="fr-FR"/>
        </w:rPr>
        <w:br w:type="page"/>
      </w:r>
      <w:r w:rsidRPr="009C29C2">
        <w:rPr>
          <w:color w:val="000000"/>
          <w:lang w:eastAsia="fr-FR" w:bidi="fr-FR"/>
        </w:rPr>
        <w:lastRenderedPageBreak/>
        <w:t>Je ne nie pas leur importance, mais quiconque s’est penché sur les anciennes sociétés rurales, sait que la grande préoccupation n’était pas là. Elle était de se nourrir, à l’aide du pain, donc de cultiver les céré</w:t>
      </w:r>
      <w:r w:rsidRPr="009C29C2">
        <w:rPr>
          <w:color w:val="000000"/>
          <w:lang w:eastAsia="fr-FR" w:bidi="fr-FR"/>
        </w:rPr>
        <w:t>a</w:t>
      </w:r>
      <w:r w:rsidRPr="009C29C2">
        <w:rPr>
          <w:color w:val="000000"/>
          <w:lang w:eastAsia="fr-FR" w:bidi="fr-FR"/>
        </w:rPr>
        <w:t>les, non seulement le froment, mais à une époque ancienne, l’orge et l’avoine mêmes, dont on tirait également le pain et, parfois, des boui</w:t>
      </w:r>
      <w:r w:rsidRPr="009C29C2">
        <w:rPr>
          <w:color w:val="000000"/>
          <w:lang w:eastAsia="fr-FR" w:bidi="fr-FR"/>
        </w:rPr>
        <w:t>l</w:t>
      </w:r>
      <w:r w:rsidRPr="009C29C2">
        <w:rPr>
          <w:color w:val="000000"/>
          <w:lang w:eastAsia="fr-FR" w:bidi="fr-FR"/>
        </w:rPr>
        <w:t>lies.</w:t>
      </w:r>
    </w:p>
    <w:p w14:paraId="64D1A8CF" w14:textId="77777777" w:rsidR="00B9662D" w:rsidRPr="009C29C2" w:rsidRDefault="00B9662D" w:rsidP="00B9662D">
      <w:pPr>
        <w:spacing w:before="120" w:after="120"/>
        <w:jc w:val="both"/>
      </w:pPr>
      <w:r w:rsidRPr="009C29C2">
        <w:rPr>
          <w:color w:val="000000"/>
          <w:lang w:eastAsia="fr-FR" w:bidi="fr-FR"/>
        </w:rPr>
        <w:t>En outre, à côté de cette préoccupation primordiale de la culture des blés, il en était une autre à peu près aussi vive : celle de l’élève du bétail. L’élève du bétail était, dans les formes d’agriculture ancienne, à la fois indispensable et difficile. Indispensable d’abord en raison des multiples utilisations du cheptel sur lesquelles il est inutile d’insister (laitage, cuir, viande, etc.), elle l’était aussi à la culture même du blé. Le bétail en effet fournissait le fumier, par conséquent le seul engrais connu en un temps où les engrais chimiques étaient ignorés. Imposs</w:t>
      </w:r>
      <w:r w:rsidRPr="009C29C2">
        <w:rPr>
          <w:color w:val="000000"/>
          <w:lang w:eastAsia="fr-FR" w:bidi="fr-FR"/>
        </w:rPr>
        <w:t>i</w:t>
      </w:r>
      <w:r w:rsidRPr="009C29C2">
        <w:rPr>
          <w:color w:val="000000"/>
          <w:lang w:eastAsia="fr-FR" w:bidi="fr-FR"/>
        </w:rPr>
        <w:t>ble de cultiver si l’on n’avait suffisamment de bétail. Or, la nourriture des animaux posait un problème délicat, et</w:t>
      </w:r>
      <w:r>
        <w:rPr>
          <w:color w:val="000000"/>
          <w:lang w:eastAsia="fr-FR" w:bidi="fr-FR"/>
        </w:rPr>
        <w:t> — </w:t>
      </w:r>
      <w:r w:rsidRPr="009C29C2">
        <w:rPr>
          <w:color w:val="000000"/>
          <w:lang w:eastAsia="fr-FR" w:bidi="fr-FR"/>
        </w:rPr>
        <w:t>disons-le tout de su</w:t>
      </w:r>
      <w:r w:rsidRPr="009C29C2">
        <w:rPr>
          <w:color w:val="000000"/>
          <w:lang w:eastAsia="fr-FR" w:bidi="fr-FR"/>
        </w:rPr>
        <w:t>i</w:t>
      </w:r>
      <w:r w:rsidRPr="009C29C2">
        <w:rPr>
          <w:color w:val="000000"/>
          <w:lang w:eastAsia="fr-FR" w:bidi="fr-FR"/>
        </w:rPr>
        <w:t>te</w:t>
      </w:r>
      <w:r>
        <w:rPr>
          <w:color w:val="000000"/>
          <w:lang w:eastAsia="fr-FR" w:bidi="fr-FR"/>
        </w:rPr>
        <w:t> — </w:t>
      </w:r>
      <w:r w:rsidRPr="009C29C2">
        <w:rPr>
          <w:color w:val="000000"/>
          <w:lang w:eastAsia="fr-FR" w:bidi="fr-FR"/>
        </w:rPr>
        <w:t>médiocrement résolu. Il est amusant de constater qu’à ce sujet, le folklore rural est pareil à peu près partout. Témoin, une tradition dont on trouve les échos à la fois dans des descriptions de la région ma</w:t>
      </w:r>
      <w:r w:rsidRPr="009C29C2">
        <w:rPr>
          <w:color w:val="000000"/>
          <w:lang w:eastAsia="fr-FR" w:bidi="fr-FR"/>
        </w:rPr>
        <w:t>n</w:t>
      </w:r>
      <w:r w:rsidRPr="009C29C2">
        <w:rPr>
          <w:color w:val="000000"/>
          <w:lang w:eastAsia="fr-FR" w:bidi="fr-FR"/>
        </w:rPr>
        <w:t xml:space="preserve">celle au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et jusqu’en Norvège. On racontait qu’après l’hiver, les bêtes étaient si affamées, les bœufs, les vaches en partic</w:t>
      </w:r>
      <w:r w:rsidRPr="009C29C2">
        <w:rPr>
          <w:color w:val="000000"/>
          <w:lang w:eastAsia="fr-FR" w:bidi="fr-FR"/>
        </w:rPr>
        <w:t>u</w:t>
      </w:r>
      <w:r w:rsidRPr="009C29C2">
        <w:rPr>
          <w:color w:val="000000"/>
          <w:lang w:eastAsia="fr-FR" w:bidi="fr-FR"/>
        </w:rPr>
        <w:t>lier, que quand on les menait au pâturage, elles étaient incapables de se relever toutes seules, les bergers étaient obligés de le mettre debout en les tirant par la queue ! Je ne donne pas cette historiette pour parole d’évangile, mais elle est en elle-même significative. On avait bea</w:t>
      </w:r>
      <w:r w:rsidRPr="009C29C2">
        <w:rPr>
          <w:color w:val="000000"/>
          <w:lang w:eastAsia="fr-FR" w:bidi="fr-FR"/>
        </w:rPr>
        <w:t>u</w:t>
      </w:r>
      <w:r w:rsidRPr="009C29C2">
        <w:rPr>
          <w:color w:val="000000"/>
          <w:lang w:eastAsia="fr-FR" w:bidi="fr-FR"/>
        </w:rPr>
        <w:t xml:space="preserve">coup de peine à nourrir le bétail parce qu’il n’existait pas de fourrages artificiels, qui sont, à voir les choses en gros, une innovation de la fin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 ni luzernes, ni trèfles, ni plantes à tubercules. On avait des prés, mais en assez petit nombre. D’abord parce qu’il ne pouvait s’agir que de prés naturels, par conséquent</w:t>
      </w:r>
      <w:r>
        <w:t xml:space="preserve"> [650] </w:t>
      </w:r>
      <w:r w:rsidRPr="009C29C2">
        <w:rPr>
          <w:color w:val="000000"/>
          <w:lang w:eastAsia="fr-FR" w:bidi="fr-FR"/>
        </w:rPr>
        <w:t>de prés de rivières, dont, en bien des terroirs, le sol ne permettait pas le vaste d</w:t>
      </w:r>
      <w:r w:rsidRPr="009C29C2">
        <w:rPr>
          <w:color w:val="000000"/>
          <w:lang w:eastAsia="fr-FR" w:bidi="fr-FR"/>
        </w:rPr>
        <w:t>é</w:t>
      </w:r>
      <w:r w:rsidRPr="009C29C2">
        <w:rPr>
          <w:color w:val="000000"/>
          <w:lang w:eastAsia="fr-FR" w:bidi="fr-FR"/>
        </w:rPr>
        <w:t>veloppement. Ensuite parce qu’à chercher à les multiplier, on eût r</w:t>
      </w:r>
      <w:r w:rsidRPr="009C29C2">
        <w:rPr>
          <w:color w:val="000000"/>
          <w:lang w:eastAsia="fr-FR" w:bidi="fr-FR"/>
        </w:rPr>
        <w:t>é</w:t>
      </w:r>
      <w:r w:rsidRPr="009C29C2">
        <w:rPr>
          <w:color w:val="000000"/>
          <w:lang w:eastAsia="fr-FR" w:bidi="fr-FR"/>
        </w:rPr>
        <w:t>duit à l’excès les emblavures. On était donc réduit, soit aux prés de bien peu d’étendue, soit à des pratiques de pacage sur la lande ou dans la forêt, cette dernière, à cette époque, pâture essentielle des bestiaux. Mais tout cela n’était pas toujours facile, et il y avait là pour les vill</w:t>
      </w:r>
      <w:r w:rsidRPr="009C29C2">
        <w:rPr>
          <w:color w:val="000000"/>
          <w:lang w:eastAsia="fr-FR" w:bidi="fr-FR"/>
        </w:rPr>
        <w:t>a</w:t>
      </w:r>
      <w:r w:rsidRPr="009C29C2">
        <w:rPr>
          <w:color w:val="000000"/>
          <w:lang w:eastAsia="fr-FR" w:bidi="fr-FR"/>
        </w:rPr>
        <w:t>ges antiques un perpétuel souci.</w:t>
      </w:r>
    </w:p>
    <w:p w14:paraId="5A45EB3C" w14:textId="77777777" w:rsidR="00B9662D" w:rsidRPr="009C29C2" w:rsidRDefault="00B9662D" w:rsidP="00B9662D">
      <w:pPr>
        <w:spacing w:before="120" w:after="120"/>
        <w:jc w:val="both"/>
      </w:pPr>
      <w:r w:rsidRPr="009C29C2">
        <w:rPr>
          <w:color w:val="000000"/>
          <w:lang w:eastAsia="fr-FR" w:bidi="fr-FR"/>
        </w:rPr>
        <w:lastRenderedPageBreak/>
        <w:t>En ce qui concerne les blés, un autre problème s’était posé aux agriculteurs : le problème des assolements. On avait reconnu de bonne heure que la terre, lorsqu’elle n’est pas suffisamment fumée</w:t>
      </w:r>
      <w:r>
        <w:rPr>
          <w:color w:val="000000"/>
          <w:lang w:eastAsia="fr-FR" w:bidi="fr-FR"/>
        </w:rPr>
        <w:t> — </w:t>
      </w:r>
      <w:r w:rsidRPr="009C29C2">
        <w:rPr>
          <w:color w:val="000000"/>
          <w:lang w:eastAsia="fr-FR" w:bidi="fr-FR"/>
        </w:rPr>
        <w:t>elle ne l’était jamais suffisamment</w:t>
      </w:r>
      <w:r>
        <w:rPr>
          <w:color w:val="000000"/>
          <w:lang w:eastAsia="fr-FR" w:bidi="fr-FR"/>
        </w:rPr>
        <w:t> — </w:t>
      </w:r>
      <w:r w:rsidRPr="009C29C2">
        <w:rPr>
          <w:color w:val="000000"/>
          <w:lang w:eastAsia="fr-FR" w:bidi="fr-FR"/>
        </w:rPr>
        <w:t>ne peut, sans risquer de s’épuiser, po</w:t>
      </w:r>
      <w:r w:rsidRPr="009C29C2">
        <w:rPr>
          <w:color w:val="000000"/>
          <w:lang w:eastAsia="fr-FR" w:bidi="fr-FR"/>
        </w:rPr>
        <w:t>r</w:t>
      </w:r>
      <w:r w:rsidRPr="009C29C2">
        <w:rPr>
          <w:color w:val="000000"/>
          <w:lang w:eastAsia="fr-FR" w:bidi="fr-FR"/>
        </w:rPr>
        <w:t>ter indéfiniment des fruits. On jugeait par conséquent nécessaire de laisser un certain temps les champs sans culture, de les laisser en j</w:t>
      </w:r>
      <w:r w:rsidRPr="009C29C2">
        <w:rPr>
          <w:color w:val="000000"/>
          <w:lang w:eastAsia="fr-FR" w:bidi="fr-FR"/>
        </w:rPr>
        <w:t>a</w:t>
      </w:r>
      <w:r w:rsidRPr="009C29C2">
        <w:rPr>
          <w:color w:val="000000"/>
          <w:lang w:eastAsia="fr-FR" w:bidi="fr-FR"/>
        </w:rPr>
        <w:t>chère morte. Pour réaliser ce résultat nécessaire, on a été amené dans l’ancienne France, ou, pour mieux dire, dans l’ancienne Europe, à créer un certain nombre de systèmes d’assolement. Prenons-y garde : il ne s’agit pas encore de régimes agraires. Les systèmes d’assolement ont des frontières différentes de celles des régimes agraires propr</w:t>
      </w:r>
      <w:r w:rsidRPr="009C29C2">
        <w:rPr>
          <w:color w:val="000000"/>
          <w:lang w:eastAsia="fr-FR" w:bidi="fr-FR"/>
        </w:rPr>
        <w:t>e</w:t>
      </w:r>
      <w:r w:rsidRPr="009C29C2">
        <w:rPr>
          <w:color w:val="000000"/>
          <w:lang w:eastAsia="fr-FR" w:bidi="fr-FR"/>
        </w:rPr>
        <w:t>ment dits, mais il nous importe ici de les bien connaître.</w:t>
      </w:r>
    </w:p>
    <w:p w14:paraId="475E3510" w14:textId="77777777" w:rsidR="00B9662D" w:rsidRPr="009C29C2" w:rsidRDefault="00B9662D" w:rsidP="00B9662D">
      <w:pPr>
        <w:spacing w:before="120" w:after="120"/>
        <w:jc w:val="both"/>
      </w:pPr>
      <w:r w:rsidRPr="009C29C2">
        <w:rPr>
          <w:color w:val="000000"/>
          <w:lang w:eastAsia="fr-FR" w:bidi="fr-FR"/>
        </w:rPr>
        <w:t>De ces systèmes d’assolement, il y en a eu (en laissant de côté les exceptions) essentiellement trois.</w:t>
      </w:r>
    </w:p>
    <w:p w14:paraId="04267F9B" w14:textId="77777777" w:rsidR="00B9662D" w:rsidRPr="009C29C2" w:rsidRDefault="00B9662D" w:rsidP="00B9662D">
      <w:pPr>
        <w:spacing w:before="120" w:after="120"/>
        <w:jc w:val="both"/>
      </w:pPr>
      <w:r w:rsidRPr="009C29C2">
        <w:rPr>
          <w:color w:val="000000"/>
          <w:lang w:eastAsia="fr-FR" w:bidi="fr-FR"/>
        </w:rPr>
        <w:t xml:space="preserve">D’abord le plus barbare de tous et très certainement le plus ancien ; la culture temporaire, que les Allemands appellent du mot expressif de </w:t>
      </w:r>
      <w:r w:rsidRPr="00391321">
        <w:rPr>
          <w:i/>
        </w:rPr>
        <w:t>Feld-gras-wirtschaft</w:t>
      </w:r>
      <w:r w:rsidRPr="009C29C2">
        <w:t>.</w:t>
      </w:r>
      <w:r w:rsidRPr="009C29C2">
        <w:rPr>
          <w:color w:val="000000"/>
          <w:lang w:eastAsia="fr-FR" w:bidi="fr-FR"/>
        </w:rPr>
        <w:t xml:space="preserve"> C’est la simplicité même : on cultive un champ pendant quelque temps, pendant plusieurs années de suite, en général, deux, trois, quatre, cinq ans ; puis, au bout de ce temps, on s’aperçoit que la terre ne donne plus rien, on la laisse alors en friche, c’est-à-dire qu’on laisse se développer librement les herbes ou buissons de la la</w:t>
      </w:r>
      <w:r w:rsidRPr="009C29C2">
        <w:rPr>
          <w:color w:val="000000"/>
          <w:lang w:eastAsia="fr-FR" w:bidi="fr-FR"/>
        </w:rPr>
        <w:t>n</w:t>
      </w:r>
      <w:r w:rsidRPr="009C29C2">
        <w:rPr>
          <w:color w:val="000000"/>
          <w:lang w:eastAsia="fr-FR" w:bidi="fr-FR"/>
        </w:rPr>
        <w:t>de, cela pendant un temps qui, en général, n’est pas fixe et qui est to</w:t>
      </w:r>
      <w:r w:rsidRPr="009C29C2">
        <w:rPr>
          <w:color w:val="000000"/>
          <w:lang w:eastAsia="fr-FR" w:bidi="fr-FR"/>
        </w:rPr>
        <w:t>u</w:t>
      </w:r>
      <w:r w:rsidRPr="009C29C2">
        <w:rPr>
          <w:color w:val="000000"/>
          <w:lang w:eastAsia="fr-FR" w:bidi="fr-FR"/>
        </w:rPr>
        <w:t>jours plus long que le temps de culture. Cette période de jachère une fois écoulée, on juge que le champ est suffisamment reposé</w:t>
      </w:r>
      <w:r>
        <w:rPr>
          <w:color w:val="000000"/>
          <w:lang w:eastAsia="fr-FR" w:bidi="fr-FR"/>
        </w:rPr>
        <w:t> — </w:t>
      </w:r>
      <w:r w:rsidRPr="009C29C2">
        <w:rPr>
          <w:color w:val="000000"/>
          <w:lang w:eastAsia="fr-FR" w:bidi="fr-FR"/>
        </w:rPr>
        <w:t>pour employer l’expression ancienne</w:t>
      </w:r>
      <w:r>
        <w:rPr>
          <w:color w:val="000000"/>
          <w:lang w:eastAsia="fr-FR" w:bidi="fr-FR"/>
        </w:rPr>
        <w:t> — </w:t>
      </w:r>
      <w:r w:rsidRPr="009C29C2">
        <w:rPr>
          <w:color w:val="000000"/>
          <w:lang w:eastAsia="fr-FR" w:bidi="fr-FR"/>
        </w:rPr>
        <w:t>et on le sème à nouveau.</w:t>
      </w:r>
    </w:p>
    <w:p w14:paraId="53FA1A26" w14:textId="77777777" w:rsidR="00B9662D" w:rsidRPr="009C29C2" w:rsidRDefault="00B9662D" w:rsidP="00B9662D">
      <w:pPr>
        <w:spacing w:before="120" w:after="120"/>
        <w:jc w:val="both"/>
      </w:pPr>
      <w:r w:rsidRPr="009C29C2">
        <w:rPr>
          <w:color w:val="000000"/>
          <w:lang w:eastAsia="fr-FR" w:bidi="fr-FR"/>
        </w:rPr>
        <w:t>Naturellement, un pareil système est susceptible de perfectionn</w:t>
      </w:r>
      <w:r w:rsidRPr="009C29C2">
        <w:rPr>
          <w:color w:val="000000"/>
          <w:lang w:eastAsia="fr-FR" w:bidi="fr-FR"/>
        </w:rPr>
        <w:t>e</w:t>
      </w:r>
      <w:r w:rsidRPr="009C29C2">
        <w:rPr>
          <w:color w:val="000000"/>
          <w:lang w:eastAsia="fr-FR" w:bidi="fr-FR"/>
        </w:rPr>
        <w:t>ments. On peut imaginer</w:t>
      </w:r>
      <w:r>
        <w:rPr>
          <w:color w:val="000000"/>
          <w:lang w:eastAsia="fr-FR" w:bidi="fr-FR"/>
        </w:rPr>
        <w:t> — </w:t>
      </w:r>
      <w:r w:rsidRPr="009C29C2">
        <w:rPr>
          <w:color w:val="000000"/>
          <w:lang w:eastAsia="fr-FR" w:bidi="fr-FR"/>
        </w:rPr>
        <w:t>cela s’est fait quelquefois</w:t>
      </w:r>
      <w:r>
        <w:rPr>
          <w:color w:val="000000"/>
          <w:lang w:eastAsia="fr-FR" w:bidi="fr-FR"/>
        </w:rPr>
        <w:t> — </w:t>
      </w:r>
      <w:r w:rsidRPr="009C29C2">
        <w:rPr>
          <w:color w:val="000000"/>
          <w:lang w:eastAsia="fr-FR" w:bidi="fr-FR"/>
        </w:rPr>
        <w:t>l’existence d’une période fixe pendant laquelle le champ est cultivé, d’une péri</w:t>
      </w:r>
      <w:r w:rsidRPr="009C29C2">
        <w:rPr>
          <w:color w:val="000000"/>
          <w:lang w:eastAsia="fr-FR" w:bidi="fr-FR"/>
        </w:rPr>
        <w:t>o</w:t>
      </w:r>
      <w:r w:rsidRPr="009C29C2">
        <w:rPr>
          <w:color w:val="000000"/>
          <w:lang w:eastAsia="fr-FR" w:bidi="fr-FR"/>
        </w:rPr>
        <w:t>de plus longue, mais également fixe, pendant laquelle il reste en j</w:t>
      </w:r>
      <w:r w:rsidRPr="009C29C2">
        <w:rPr>
          <w:color w:val="000000"/>
          <w:lang w:eastAsia="fr-FR" w:bidi="fr-FR"/>
        </w:rPr>
        <w:t>a</w:t>
      </w:r>
      <w:r w:rsidRPr="009C29C2">
        <w:rPr>
          <w:color w:val="000000"/>
          <w:lang w:eastAsia="fr-FR" w:bidi="fr-FR"/>
        </w:rPr>
        <w:t>chère. Pratiquement, dans les régions qui ont pratiqué la culture te</w:t>
      </w:r>
      <w:r w:rsidRPr="009C29C2">
        <w:rPr>
          <w:color w:val="000000"/>
          <w:lang w:eastAsia="fr-FR" w:bidi="fr-FR"/>
        </w:rPr>
        <w:t>m</w:t>
      </w:r>
      <w:r w:rsidRPr="009C29C2">
        <w:rPr>
          <w:color w:val="000000"/>
          <w:lang w:eastAsia="fr-FR" w:bidi="fr-FR"/>
        </w:rPr>
        <w:t>poraire jusque tout près de nous et qui quelquefois la pratiquent enc</w:t>
      </w:r>
      <w:r w:rsidRPr="009C29C2">
        <w:rPr>
          <w:color w:val="000000"/>
          <w:lang w:eastAsia="fr-FR" w:bidi="fr-FR"/>
        </w:rPr>
        <w:t>o</w:t>
      </w:r>
      <w:r w:rsidRPr="009C29C2">
        <w:rPr>
          <w:color w:val="000000"/>
          <w:lang w:eastAsia="fr-FR" w:bidi="fr-FR"/>
        </w:rPr>
        <w:t xml:space="preserve">re aujourd’hui, cette régularité n’existe guère : il a beaucoup frappé les agronomes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par son désordre, et, en effet, il laisse, dirons-nous, une très grande part aux nécessités du moment.</w:t>
      </w:r>
    </w:p>
    <w:p w14:paraId="3CCA1087" w14:textId="77777777" w:rsidR="00B9662D" w:rsidRPr="009C29C2" w:rsidRDefault="00B9662D" w:rsidP="00B9662D">
      <w:pPr>
        <w:spacing w:before="120" w:after="120"/>
        <w:jc w:val="both"/>
      </w:pPr>
      <w:r w:rsidRPr="009C29C2">
        <w:rPr>
          <w:color w:val="000000"/>
          <w:lang w:eastAsia="fr-FR" w:bidi="fr-FR"/>
        </w:rPr>
        <w:t>Au contraire, les deux autres régimes d’assolement, les deux rég</w:t>
      </w:r>
      <w:r w:rsidRPr="009C29C2">
        <w:rPr>
          <w:color w:val="000000"/>
          <w:lang w:eastAsia="fr-FR" w:bidi="fr-FR"/>
        </w:rPr>
        <w:t>i</w:t>
      </w:r>
      <w:r w:rsidRPr="009C29C2">
        <w:rPr>
          <w:color w:val="000000"/>
          <w:lang w:eastAsia="fr-FR" w:bidi="fr-FR"/>
        </w:rPr>
        <w:t>mes d’assolement proprement dits, comportent une périodicité fixe. Le système biennal est le plus simple : un an de culture, un an de j</w:t>
      </w:r>
      <w:r w:rsidRPr="009C29C2">
        <w:rPr>
          <w:color w:val="000000"/>
          <w:lang w:eastAsia="fr-FR" w:bidi="fr-FR"/>
        </w:rPr>
        <w:t>a</w:t>
      </w:r>
      <w:r w:rsidRPr="009C29C2">
        <w:rPr>
          <w:color w:val="000000"/>
          <w:lang w:eastAsia="fr-FR" w:bidi="fr-FR"/>
        </w:rPr>
        <w:lastRenderedPageBreak/>
        <w:t>chère, un an de culture, etc., rythme à deux temps. Plus complexe est le système triennal, qui suppose une adaptation plus exacte de la bot</w:t>
      </w:r>
      <w:r w:rsidRPr="009C29C2">
        <w:rPr>
          <w:color w:val="000000"/>
          <w:lang w:eastAsia="fr-FR" w:bidi="fr-FR"/>
        </w:rPr>
        <w:t>a</w:t>
      </w:r>
      <w:r w:rsidRPr="009C29C2">
        <w:rPr>
          <w:color w:val="000000"/>
          <w:lang w:eastAsia="fr-FR" w:bidi="fr-FR"/>
        </w:rPr>
        <w:t>nique à l’agriculture. Comme son nom l’indique, il est à trois temps. La première année, on sème des céréales dites d’hiver, qui, en réalité se sèment à l’automne (froment et seigle). La seconde, on sème des céréales de printemps (semailles</w:t>
      </w:r>
      <w:r>
        <w:t xml:space="preserve"> [651] </w:t>
      </w:r>
      <w:r w:rsidRPr="009C29C2">
        <w:rPr>
          <w:color w:val="000000"/>
          <w:lang w:eastAsia="fr-FR" w:bidi="fr-FR"/>
        </w:rPr>
        <w:t>de mars) ; ce sont les « grémois » ou « massages » des vieux textes : orge, avoine. La tro</w:t>
      </w:r>
      <w:r w:rsidRPr="009C29C2">
        <w:rPr>
          <w:color w:val="000000"/>
          <w:lang w:eastAsia="fr-FR" w:bidi="fr-FR"/>
        </w:rPr>
        <w:t>i</w:t>
      </w:r>
      <w:r w:rsidRPr="009C29C2">
        <w:rPr>
          <w:color w:val="000000"/>
          <w:lang w:eastAsia="fr-FR" w:bidi="fr-FR"/>
        </w:rPr>
        <w:t>sième année, pas de semailles, jachère complète. Puis le cycle r</w:t>
      </w:r>
      <w:r w:rsidRPr="009C29C2">
        <w:rPr>
          <w:color w:val="000000"/>
          <w:lang w:eastAsia="fr-FR" w:bidi="fr-FR"/>
        </w:rPr>
        <w:t>e</w:t>
      </w:r>
      <w:r w:rsidRPr="009C29C2">
        <w:rPr>
          <w:color w:val="000000"/>
          <w:lang w:eastAsia="fr-FR" w:bidi="fr-FR"/>
        </w:rPr>
        <w:t>commence.</w:t>
      </w:r>
    </w:p>
    <w:p w14:paraId="2EE8D406" w14:textId="77777777" w:rsidR="00B9662D" w:rsidRPr="009C29C2" w:rsidRDefault="00B9662D" w:rsidP="00B9662D">
      <w:pPr>
        <w:spacing w:before="120" w:after="120"/>
        <w:jc w:val="both"/>
      </w:pPr>
      <w:r w:rsidRPr="009C29C2">
        <w:rPr>
          <w:color w:val="000000"/>
          <w:lang w:eastAsia="fr-FR" w:bidi="fr-FR"/>
        </w:rPr>
        <w:t>Ici déjà, nous nous heurtons à un problème d’origine et de répart</w:t>
      </w:r>
      <w:r w:rsidRPr="009C29C2">
        <w:rPr>
          <w:color w:val="000000"/>
          <w:lang w:eastAsia="fr-FR" w:bidi="fr-FR"/>
        </w:rPr>
        <w:t>i</w:t>
      </w:r>
      <w:r w:rsidRPr="009C29C2">
        <w:rPr>
          <w:color w:val="000000"/>
          <w:lang w:eastAsia="fr-FR" w:bidi="fr-FR"/>
        </w:rPr>
        <w:t>tion qui n’est pas directement le problème des régimes agraires, mais qui y touche tout de même de trop près pour que je ne l’indique pas d’un mot.</w:t>
      </w:r>
    </w:p>
    <w:p w14:paraId="351AC0DF" w14:textId="77777777" w:rsidR="00B9662D" w:rsidRPr="009C29C2" w:rsidRDefault="00B9662D" w:rsidP="00B9662D">
      <w:pPr>
        <w:spacing w:before="120" w:after="120"/>
        <w:jc w:val="both"/>
      </w:pPr>
      <w:r w:rsidRPr="009C29C2">
        <w:rPr>
          <w:color w:val="000000"/>
          <w:lang w:eastAsia="fr-FR" w:bidi="fr-FR"/>
        </w:rPr>
        <w:t>Il serait extrêmement intéressant de savoir quelle était la répartition à une date donnée de l’assolement biennal et de l’assolement triennal : malheureusement, nos pères n’ont pas cru nécessaire de dresser ce tableau, bien que vers 1840 par exemple, il eût été encore très aisé à fixer. Dans l’ensemble, il y a d’abord une première division géogr</w:t>
      </w:r>
      <w:r w:rsidRPr="009C29C2">
        <w:rPr>
          <w:color w:val="000000"/>
          <w:lang w:eastAsia="fr-FR" w:bidi="fr-FR"/>
        </w:rPr>
        <w:t>a</w:t>
      </w:r>
      <w:r w:rsidRPr="009C29C2">
        <w:rPr>
          <w:color w:val="000000"/>
          <w:lang w:eastAsia="fr-FR" w:bidi="fr-FR"/>
        </w:rPr>
        <w:t>phique par grandes masses. Ici je vous demande, une fois de plus, la permission d’employer des mots un peu gros. Régime biennal : Midi ; Régime triennal : Nord et Centre. La Provence et le Languedoc</w:t>
      </w:r>
      <w:r>
        <w:rPr>
          <w:color w:val="000000"/>
          <w:lang w:eastAsia="fr-FR" w:bidi="fr-FR"/>
        </w:rPr>
        <w:t> : biennal. La Picardie, l’Île-</w:t>
      </w:r>
      <w:r w:rsidRPr="009C29C2">
        <w:rPr>
          <w:color w:val="000000"/>
          <w:lang w:eastAsia="fr-FR" w:bidi="fr-FR"/>
        </w:rPr>
        <w:t xml:space="preserve">de-France, la Lorraine : triennal. </w:t>
      </w:r>
      <w:r>
        <w:rPr>
          <w:color w:val="000000"/>
          <w:lang w:eastAsia="fr-FR" w:bidi="fr-FR"/>
        </w:rPr>
        <w:t>À</w:t>
      </w:r>
      <w:r w:rsidRPr="009C29C2">
        <w:rPr>
          <w:color w:val="000000"/>
          <w:lang w:eastAsia="fr-FR" w:bidi="fr-FR"/>
        </w:rPr>
        <w:t xml:space="preserve"> y rega</w:t>
      </w:r>
      <w:r w:rsidRPr="009C29C2">
        <w:rPr>
          <w:color w:val="000000"/>
          <w:lang w:eastAsia="fr-FR" w:bidi="fr-FR"/>
        </w:rPr>
        <w:t>r</w:t>
      </w:r>
      <w:r w:rsidRPr="009C29C2">
        <w:rPr>
          <w:color w:val="000000"/>
          <w:lang w:eastAsia="fr-FR" w:bidi="fr-FR"/>
        </w:rPr>
        <w:t>der de près, cependant, les choses apparaissent un peu moins simples. Dans les pays de rythme biennal, à la vérité, l’assolement type règne en maître. Je n’ose dire qu’il n’y a pas d’exceptions. Mais je n’ai j</w:t>
      </w:r>
      <w:r w:rsidRPr="009C29C2">
        <w:rPr>
          <w:color w:val="000000"/>
          <w:lang w:eastAsia="fr-FR" w:bidi="fr-FR"/>
        </w:rPr>
        <w:t>a</w:t>
      </w:r>
      <w:r w:rsidRPr="009C29C2">
        <w:rPr>
          <w:color w:val="000000"/>
          <w:lang w:eastAsia="fr-FR" w:bidi="fr-FR"/>
        </w:rPr>
        <w:t>mais rencontré pour ma part, de villages du Midi ayant pratiqué</w:t>
      </w:r>
      <w:r>
        <w:rPr>
          <w:color w:val="000000"/>
          <w:lang w:eastAsia="fr-FR" w:bidi="fr-FR"/>
        </w:rPr>
        <w:t> — </w:t>
      </w:r>
      <w:r w:rsidRPr="009C29C2">
        <w:rPr>
          <w:color w:val="000000"/>
          <w:lang w:eastAsia="fr-FR" w:bidi="fr-FR"/>
        </w:rPr>
        <w:t>disons : aux environs de 1800</w:t>
      </w:r>
      <w:r>
        <w:rPr>
          <w:color w:val="000000"/>
          <w:lang w:eastAsia="fr-FR" w:bidi="fr-FR"/>
        </w:rPr>
        <w:t> — </w:t>
      </w:r>
      <w:r w:rsidRPr="009C29C2">
        <w:rPr>
          <w:color w:val="000000"/>
          <w:lang w:eastAsia="fr-FR" w:bidi="fr-FR"/>
        </w:rPr>
        <w:t>l’assolement triennal. Dans le Nord, au contraire, la carte, si nous pouvions la dresser, se présenterait avec moins d’uniformité. On y verrait de larges teintes plates, figurant l’assolement triennal, avec çà et là, plus ou moins serré selon les r</w:t>
      </w:r>
      <w:r w:rsidRPr="009C29C2">
        <w:rPr>
          <w:color w:val="000000"/>
          <w:lang w:eastAsia="fr-FR" w:bidi="fr-FR"/>
        </w:rPr>
        <w:t>é</w:t>
      </w:r>
      <w:r w:rsidRPr="009C29C2">
        <w:rPr>
          <w:color w:val="000000"/>
          <w:lang w:eastAsia="fr-FR" w:bidi="fr-FR"/>
        </w:rPr>
        <w:t>gions, un pointillé d’une autre couleur qui indiquerait des îlots de r</w:t>
      </w:r>
      <w:r w:rsidRPr="009C29C2">
        <w:rPr>
          <w:color w:val="000000"/>
          <w:lang w:eastAsia="fr-FR" w:bidi="fr-FR"/>
        </w:rPr>
        <w:t>é</w:t>
      </w:r>
      <w:r w:rsidRPr="009C29C2">
        <w:rPr>
          <w:color w:val="000000"/>
          <w:lang w:eastAsia="fr-FR" w:bidi="fr-FR"/>
        </w:rPr>
        <w:t>gime biennal au milieu des vastes étendues soumises au rythme à trois temps. Quand on a une carte de cette sorte sous les yeux, il y a une première hypothèse</w:t>
      </w:r>
      <w:r>
        <w:rPr>
          <w:color w:val="000000"/>
          <w:lang w:eastAsia="fr-FR" w:bidi="fr-FR"/>
        </w:rPr>
        <w:t> — </w:t>
      </w:r>
      <w:r w:rsidRPr="009C29C2">
        <w:rPr>
          <w:color w:val="000000"/>
          <w:lang w:eastAsia="fr-FR" w:bidi="fr-FR"/>
        </w:rPr>
        <w:t>elle est bonne, vous allez le voir</w:t>
      </w:r>
      <w:r>
        <w:rPr>
          <w:color w:val="000000"/>
          <w:lang w:eastAsia="fr-FR" w:bidi="fr-FR"/>
        </w:rPr>
        <w:t> — </w:t>
      </w:r>
      <w:r w:rsidRPr="009C29C2">
        <w:rPr>
          <w:color w:val="000000"/>
          <w:lang w:eastAsia="fr-FR" w:bidi="fr-FR"/>
        </w:rPr>
        <w:t>qui vient tout de suite à l’esprit. C’est de l’interpréter comme ceux de nos co</w:t>
      </w:r>
      <w:r w:rsidRPr="009C29C2">
        <w:rPr>
          <w:color w:val="000000"/>
          <w:lang w:eastAsia="fr-FR" w:bidi="fr-FR"/>
        </w:rPr>
        <w:t>l</w:t>
      </w:r>
      <w:r w:rsidRPr="009C29C2">
        <w:rPr>
          <w:color w:val="000000"/>
          <w:lang w:eastAsia="fr-FR" w:bidi="fr-FR"/>
        </w:rPr>
        <w:t>lègues qui s’occupent de la géographie linguistique, comme les géol</w:t>
      </w:r>
      <w:r w:rsidRPr="009C29C2">
        <w:rPr>
          <w:color w:val="000000"/>
          <w:lang w:eastAsia="fr-FR" w:bidi="fr-FR"/>
        </w:rPr>
        <w:t>o</w:t>
      </w:r>
      <w:r w:rsidRPr="009C29C2">
        <w:rPr>
          <w:color w:val="000000"/>
          <w:lang w:eastAsia="fr-FR" w:bidi="fr-FR"/>
        </w:rPr>
        <w:t>gues aussi ont coutume de faire pour des croquis de type analogue,</w:t>
      </w:r>
      <w:r>
        <w:rPr>
          <w:color w:val="000000"/>
          <w:lang w:eastAsia="fr-FR" w:bidi="fr-FR"/>
        </w:rPr>
        <w:t> — </w:t>
      </w:r>
      <w:r w:rsidRPr="009C29C2">
        <w:rPr>
          <w:color w:val="000000"/>
          <w:lang w:eastAsia="fr-FR" w:bidi="fr-FR"/>
        </w:rPr>
        <w:t>de considérer notre pointillé,</w:t>
      </w:r>
      <w:r>
        <w:rPr>
          <w:color w:val="000000"/>
          <w:lang w:eastAsia="fr-FR" w:bidi="fr-FR"/>
        </w:rPr>
        <w:t> — </w:t>
      </w:r>
      <w:r w:rsidRPr="009C29C2">
        <w:rPr>
          <w:color w:val="000000"/>
          <w:lang w:eastAsia="fr-FR" w:bidi="fr-FR"/>
        </w:rPr>
        <w:t>en l’espèce le pointillé biennal fa</w:t>
      </w:r>
      <w:r w:rsidRPr="009C29C2">
        <w:rPr>
          <w:color w:val="000000"/>
          <w:lang w:eastAsia="fr-FR" w:bidi="fr-FR"/>
        </w:rPr>
        <w:t>i</w:t>
      </w:r>
      <w:r w:rsidRPr="009C29C2">
        <w:rPr>
          <w:color w:val="000000"/>
          <w:lang w:eastAsia="fr-FR" w:bidi="fr-FR"/>
        </w:rPr>
        <w:t>sant semis au milieu des larges teintes du triennal</w:t>
      </w:r>
      <w:r>
        <w:rPr>
          <w:color w:val="000000"/>
          <w:lang w:eastAsia="fr-FR" w:bidi="fr-FR"/>
        </w:rPr>
        <w:t> —</w:t>
      </w:r>
      <w:r>
        <w:rPr>
          <w:color w:val="000000"/>
          <w:lang w:eastAsia="fr-FR" w:bidi="fr-FR"/>
        </w:rPr>
        <w:lastRenderedPageBreak/>
        <w:t> </w:t>
      </w:r>
      <w:r w:rsidRPr="009C29C2">
        <w:rPr>
          <w:color w:val="000000"/>
          <w:lang w:eastAsia="fr-FR" w:bidi="fr-FR"/>
        </w:rPr>
        <w:t xml:space="preserve">comme indiquant les témoins d’un état de choses plus ancien, les restes d’une couche qui se serait étendue jadis sur tout le pays. Cette hypothèse se trouve confirmée par des observations d’ordre historique. </w:t>
      </w:r>
      <w:r>
        <w:rPr>
          <w:color w:val="000000"/>
          <w:lang w:eastAsia="fr-FR" w:bidi="fr-FR"/>
        </w:rPr>
        <w:t>À</w:t>
      </w:r>
      <w:r w:rsidRPr="009C29C2">
        <w:rPr>
          <w:color w:val="000000"/>
          <w:lang w:eastAsia="fr-FR" w:bidi="fr-FR"/>
        </w:rPr>
        <w:t xml:space="preserve"> mesure que l’on remonte le cours des temps, on s’aperçoit qu’autrefois ces îlots de r</w:t>
      </w:r>
      <w:r w:rsidRPr="009C29C2">
        <w:rPr>
          <w:color w:val="000000"/>
          <w:lang w:eastAsia="fr-FR" w:bidi="fr-FR"/>
        </w:rPr>
        <w:t>é</w:t>
      </w:r>
      <w:r w:rsidRPr="009C29C2">
        <w:rPr>
          <w:color w:val="000000"/>
          <w:lang w:eastAsia="fr-FR" w:bidi="fr-FR"/>
        </w:rPr>
        <w:t xml:space="preserve">gime biennal étaient beaucoup plus nombreux qu’aujourd’hui. Il en est fait mention dans les textes du Moyen </w:t>
      </w:r>
      <w:r>
        <w:rPr>
          <w:color w:val="000000"/>
          <w:lang w:eastAsia="fr-FR" w:bidi="fr-FR"/>
        </w:rPr>
        <w:t>Â</w:t>
      </w:r>
      <w:r w:rsidRPr="009C29C2">
        <w:rPr>
          <w:color w:val="000000"/>
          <w:lang w:eastAsia="fr-FR" w:bidi="fr-FR"/>
        </w:rPr>
        <w:t xml:space="preserve">ge, du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 même du </w:t>
      </w:r>
      <w:r>
        <w:rPr>
          <w:color w:val="000000"/>
          <w:lang w:eastAsia="fr-FR" w:bidi="fr-FR"/>
        </w:rPr>
        <w:t>XII</w:t>
      </w:r>
      <w:r w:rsidRPr="009C29C2">
        <w:rPr>
          <w:color w:val="000000"/>
          <w:vertAlign w:val="superscript"/>
          <w:lang w:eastAsia="fr-FR" w:bidi="fr-FR"/>
        </w:rPr>
        <w:t>e</w:t>
      </w:r>
      <w:r w:rsidRPr="009C29C2">
        <w:rPr>
          <w:color w:val="000000"/>
          <w:lang w:eastAsia="fr-FR" w:bidi="fr-FR"/>
        </w:rPr>
        <w:t xml:space="preserve"> siècle, à propos de régions où nous savons qu’aujourd’hui ce mode d’assolement ne se pratique plus. Les mêmes observations ont été faites en Allemagne et en Angleterre. Point de doute : l’assolement biennal est le plus ancien.</w:t>
      </w:r>
    </w:p>
    <w:p w14:paraId="5E660AEB" w14:textId="77777777" w:rsidR="00B9662D" w:rsidRPr="009C29C2" w:rsidRDefault="00B9662D" w:rsidP="00B9662D">
      <w:pPr>
        <w:spacing w:before="120" w:after="120"/>
        <w:jc w:val="both"/>
      </w:pPr>
      <w:r w:rsidRPr="009C29C2">
        <w:rPr>
          <w:color w:val="000000"/>
          <w:lang w:eastAsia="fr-FR" w:bidi="fr-FR"/>
        </w:rPr>
        <w:t>L’assolement triennal est relativement récent ; il devait être que</w:t>
      </w:r>
      <w:r w:rsidRPr="009C29C2">
        <w:rPr>
          <w:color w:val="000000"/>
          <w:lang w:eastAsia="fr-FR" w:bidi="fr-FR"/>
        </w:rPr>
        <w:t>l</w:t>
      </w:r>
      <w:r w:rsidRPr="009C29C2">
        <w:rPr>
          <w:color w:val="000000"/>
          <w:lang w:eastAsia="fr-FR" w:bidi="fr-FR"/>
        </w:rPr>
        <w:t xml:space="preserve">que chose de très neuf au </w:t>
      </w:r>
      <w:r>
        <w:rPr>
          <w:color w:val="000000"/>
          <w:lang w:eastAsia="fr-FR" w:bidi="fr-FR"/>
        </w:rPr>
        <w:t>1</w:t>
      </w:r>
      <w:r w:rsidRPr="009C29C2">
        <w:rPr>
          <w:color w:val="000000"/>
          <w:vertAlign w:val="superscript"/>
          <w:lang w:eastAsia="fr-FR" w:bidi="fr-FR"/>
        </w:rPr>
        <w:t>er</w:t>
      </w:r>
      <w:r w:rsidRPr="009C29C2">
        <w:rPr>
          <w:color w:val="000000"/>
          <w:lang w:eastAsia="fr-FR" w:bidi="fr-FR"/>
        </w:rPr>
        <w:t xml:space="preserve"> et au </w:t>
      </w:r>
      <w:r>
        <w:rPr>
          <w:color w:val="000000"/>
          <w:lang w:eastAsia="fr-FR" w:bidi="fr-FR"/>
        </w:rPr>
        <w:t>II</w:t>
      </w:r>
      <w:r w:rsidRPr="009C29C2">
        <w:rPr>
          <w:color w:val="000000"/>
          <w:vertAlign w:val="superscript"/>
          <w:lang w:eastAsia="fr-FR" w:bidi="fr-FR"/>
        </w:rPr>
        <w:t>e</w:t>
      </w:r>
      <w:r w:rsidRPr="009C29C2">
        <w:rPr>
          <w:color w:val="000000"/>
          <w:lang w:eastAsia="fr-FR" w:bidi="fr-FR"/>
        </w:rPr>
        <w:t xml:space="preserve"> siècle de notre ère. Il s’est r</w:t>
      </w:r>
      <w:r w:rsidRPr="009C29C2">
        <w:rPr>
          <w:color w:val="000000"/>
          <w:lang w:eastAsia="fr-FR" w:bidi="fr-FR"/>
        </w:rPr>
        <w:t>é</w:t>
      </w:r>
      <w:r w:rsidRPr="009C29C2">
        <w:rPr>
          <w:color w:val="000000"/>
          <w:lang w:eastAsia="fr-FR" w:bidi="fr-FR"/>
        </w:rPr>
        <w:t>pandu peu à peu dans ce que j’appelle le Nord. Le Midi, lui, y est resté fermé. Et ici, nous touchons à un problème d’origine qui annonce en quelque sorte celui que nous poseront tout à l’heure les régimes agra</w:t>
      </w:r>
      <w:r w:rsidRPr="009C29C2">
        <w:rPr>
          <w:color w:val="000000"/>
          <w:lang w:eastAsia="fr-FR" w:bidi="fr-FR"/>
        </w:rPr>
        <w:t>i</w:t>
      </w:r>
      <w:r w:rsidRPr="009C29C2">
        <w:rPr>
          <w:color w:val="000000"/>
          <w:lang w:eastAsia="fr-FR" w:bidi="fr-FR"/>
        </w:rPr>
        <w:t>res.</w:t>
      </w:r>
    </w:p>
    <w:p w14:paraId="0BBDC665" w14:textId="77777777" w:rsidR="00B9662D" w:rsidRPr="009C29C2" w:rsidRDefault="00B9662D" w:rsidP="00B9662D">
      <w:pPr>
        <w:spacing w:before="120" w:after="120"/>
        <w:jc w:val="both"/>
      </w:pPr>
      <w:r w:rsidRPr="009C29C2">
        <w:rPr>
          <w:color w:val="000000"/>
          <w:lang w:eastAsia="fr-FR" w:bidi="fr-FR"/>
        </w:rPr>
        <w:t>Ce problème est en partie soluble et en partie insoluble. Que l’assolement triennal soit né dans le Nord, il n’y a à cela rien d’étonnant. Il ne pouvait pas être imaginé dans le Midi méditerranéen, parce qu’il suppose des étés qui ne soient ni trop chauds, ni trop secs : ce n’est qu’exceptionnellement</w:t>
      </w:r>
      <w:r>
        <w:t xml:space="preserve"> [652]</w:t>
      </w:r>
      <w:r w:rsidRPr="009C29C2">
        <w:rPr>
          <w:color w:val="000000"/>
          <w:lang w:eastAsia="fr-FR" w:bidi="fr-FR"/>
        </w:rPr>
        <w:t xml:space="preserve"> que, sous le climat de l’Italie par exemple, l’Italie péni</w:t>
      </w:r>
      <w:r w:rsidRPr="009C29C2">
        <w:rPr>
          <w:color w:val="000000"/>
          <w:lang w:eastAsia="fr-FR" w:bidi="fr-FR"/>
        </w:rPr>
        <w:t>n</w:t>
      </w:r>
      <w:r w:rsidRPr="009C29C2">
        <w:rPr>
          <w:color w:val="000000"/>
          <w:lang w:eastAsia="fr-FR" w:bidi="fr-FR"/>
        </w:rPr>
        <w:t>sulaire tout au moins, on peut arriver à faire prospérer des blés de printemps. Le régime triennal a donc été inventé quelque part dans les plaines du Nord, ou peut-être</w:t>
      </w:r>
      <w:r>
        <w:rPr>
          <w:color w:val="000000"/>
          <w:lang w:eastAsia="fr-FR" w:bidi="fr-FR"/>
        </w:rPr>
        <w:t> — </w:t>
      </w:r>
      <w:r w:rsidRPr="009C29C2">
        <w:rPr>
          <w:color w:val="000000"/>
          <w:lang w:eastAsia="fr-FR" w:bidi="fr-FR"/>
        </w:rPr>
        <w:t>je n’en sais rien</w:t>
      </w:r>
      <w:r>
        <w:rPr>
          <w:color w:val="000000"/>
          <w:lang w:eastAsia="fr-FR" w:bidi="fr-FR"/>
        </w:rPr>
        <w:t> — </w:t>
      </w:r>
      <w:r w:rsidRPr="009C29C2">
        <w:rPr>
          <w:color w:val="000000"/>
          <w:lang w:eastAsia="fr-FR" w:bidi="fr-FR"/>
        </w:rPr>
        <w:t>concurremment dans plusieurs endroits des plaines du Nord. Et, à partir de là, encore une fois, il a fait tache d’huile. Cela surtout à partir du moment où, la population augmentant, on a trouvé meilleur d’adopter un système qui, au lieu d’abandonner chaque année la mo</w:t>
      </w:r>
      <w:r w:rsidRPr="009C29C2">
        <w:rPr>
          <w:color w:val="000000"/>
          <w:lang w:eastAsia="fr-FR" w:bidi="fr-FR"/>
        </w:rPr>
        <w:t>i</w:t>
      </w:r>
      <w:r w:rsidRPr="009C29C2">
        <w:rPr>
          <w:color w:val="000000"/>
          <w:lang w:eastAsia="fr-FR" w:bidi="fr-FR"/>
        </w:rPr>
        <w:t>tié du terroir à la jachère, ne lui en laissait que le tiers, et, par cons</w:t>
      </w:r>
      <w:r w:rsidRPr="009C29C2">
        <w:rPr>
          <w:color w:val="000000"/>
          <w:lang w:eastAsia="fr-FR" w:bidi="fr-FR"/>
        </w:rPr>
        <w:t>é</w:t>
      </w:r>
      <w:r w:rsidRPr="009C29C2">
        <w:rPr>
          <w:color w:val="000000"/>
          <w:lang w:eastAsia="fr-FR" w:bidi="fr-FR"/>
        </w:rPr>
        <w:t>quent, au total, donnait plus de blé.</w:t>
      </w:r>
    </w:p>
    <w:p w14:paraId="0A70CF2F" w14:textId="77777777" w:rsidR="00B9662D" w:rsidRPr="009C29C2" w:rsidRDefault="00B9662D" w:rsidP="00B9662D">
      <w:pPr>
        <w:spacing w:before="120" w:after="120"/>
        <w:jc w:val="both"/>
      </w:pPr>
      <w:r w:rsidRPr="009C29C2">
        <w:rPr>
          <w:color w:val="000000"/>
          <w:lang w:eastAsia="fr-FR" w:bidi="fr-FR"/>
        </w:rPr>
        <w:t>Mais alors</w:t>
      </w:r>
      <w:r>
        <w:rPr>
          <w:color w:val="000000"/>
          <w:lang w:eastAsia="fr-FR" w:bidi="fr-FR"/>
        </w:rPr>
        <w:t> — </w:t>
      </w:r>
      <w:r w:rsidRPr="009C29C2">
        <w:rPr>
          <w:color w:val="000000"/>
          <w:lang w:eastAsia="fr-FR" w:bidi="fr-FR"/>
        </w:rPr>
        <w:t>nous arrivons au point insoluble du problème</w:t>
      </w:r>
      <w:r>
        <w:rPr>
          <w:color w:val="000000"/>
          <w:lang w:eastAsia="fr-FR" w:bidi="fr-FR"/>
        </w:rPr>
        <w:t> — </w:t>
      </w:r>
      <w:r w:rsidRPr="009C29C2">
        <w:rPr>
          <w:color w:val="000000"/>
          <w:lang w:eastAsia="fr-FR" w:bidi="fr-FR"/>
        </w:rPr>
        <w:t>pourquoi est-ce que dans le Nord déjà, il y a des régions qui se sont toujours refusées à adopter le rythme triennal ? On pourrait être tenté d’invoquer des arguments d’ordre géographique. Je vais vous citer un petit fait qui prouve que cette hypothèse n’est pas acceptable. La pla</w:t>
      </w:r>
      <w:r w:rsidRPr="009C29C2">
        <w:rPr>
          <w:color w:val="000000"/>
          <w:lang w:eastAsia="fr-FR" w:bidi="fr-FR"/>
        </w:rPr>
        <w:t>i</w:t>
      </w:r>
      <w:r w:rsidRPr="009C29C2">
        <w:rPr>
          <w:color w:val="000000"/>
          <w:lang w:eastAsia="fr-FR" w:bidi="fr-FR"/>
        </w:rPr>
        <w:t>ne d’Alsace est une région, dans l’ensemble, remarquablement un</w:t>
      </w:r>
      <w:r w:rsidRPr="009C29C2">
        <w:rPr>
          <w:color w:val="000000"/>
          <w:lang w:eastAsia="fr-FR" w:bidi="fr-FR"/>
        </w:rPr>
        <w:t>i</w:t>
      </w:r>
      <w:r w:rsidRPr="009C29C2">
        <w:rPr>
          <w:color w:val="000000"/>
          <w:lang w:eastAsia="fr-FR" w:bidi="fr-FR"/>
        </w:rPr>
        <w:t xml:space="preserve">forme. Comme on pouvait s’y attendre, elle est presque tout entière soumise au régime triennal, classique dans les contrées avoisinantes. </w:t>
      </w:r>
      <w:r w:rsidRPr="009C29C2">
        <w:rPr>
          <w:color w:val="000000"/>
          <w:lang w:eastAsia="fr-FR" w:bidi="fr-FR"/>
        </w:rPr>
        <w:lastRenderedPageBreak/>
        <w:t>Pourtant, dans sa partie septentrionale, des portes de Strasbourg ju</w:t>
      </w:r>
      <w:r w:rsidRPr="009C29C2">
        <w:rPr>
          <w:color w:val="000000"/>
          <w:lang w:eastAsia="fr-FR" w:bidi="fr-FR"/>
        </w:rPr>
        <w:t>s</w:t>
      </w:r>
      <w:r w:rsidRPr="009C29C2">
        <w:rPr>
          <w:color w:val="000000"/>
          <w:lang w:eastAsia="fr-FR" w:bidi="fr-FR"/>
        </w:rPr>
        <w:t>qu’aux environs de Wissembourg, il y a une grande zone qui, jusqu’à la révolution agricole, est restée obstinément fidèle à l’assolement biennal. On a cherché des explications, évoqué jusqu’à la peuplade des Tréboques. En fait, on n’est jamais arrivé à établir un rapport quelconque entre ce phénomène technique et d’autres phénomènes, linguistiques, anthropologiques, archéologiques. Le lien ne se fait pas et il vaut mieux avouer, provisoirement, notre ignorance. Aussi bien le même problème se retrouve, et plus pressant encore, dans le vaste e</w:t>
      </w:r>
      <w:r w:rsidRPr="009C29C2">
        <w:rPr>
          <w:color w:val="000000"/>
          <w:lang w:eastAsia="fr-FR" w:bidi="fr-FR"/>
        </w:rPr>
        <w:t>n</w:t>
      </w:r>
      <w:r w:rsidRPr="009C29C2">
        <w:rPr>
          <w:color w:val="000000"/>
          <w:lang w:eastAsia="fr-FR" w:bidi="fr-FR"/>
        </w:rPr>
        <w:t>semble que je groupe sous le nom de Midi. Car s’il est entendu que dans certaines régions méridionales la culture des céréales de pri</w:t>
      </w:r>
      <w:r w:rsidRPr="009C29C2">
        <w:rPr>
          <w:color w:val="000000"/>
          <w:lang w:eastAsia="fr-FR" w:bidi="fr-FR"/>
        </w:rPr>
        <w:t>n</w:t>
      </w:r>
      <w:r w:rsidRPr="009C29C2">
        <w:rPr>
          <w:color w:val="000000"/>
          <w:lang w:eastAsia="fr-FR" w:bidi="fr-FR"/>
        </w:rPr>
        <w:t>temps ne serait guère commode, il n’en est pas moins vrai que, par exemple, dans une partie notable du Languedoc ou de l’Aquitaine, elle aurait parfaitement pu être pratiquée ; le climat ne s’y opposait pas... Nous avons l’impression qu’il y a eu comme deux aires de civilisation agraire, plus ou moins impénétrables l’une à l’autre. Je n’ai d’ailleurs pas la naïveté de prendre cette formule pour une solution. Il faut rester sur un point d’interrogation.</w:t>
      </w:r>
    </w:p>
    <w:p w14:paraId="24C90449" w14:textId="77777777" w:rsidR="00B9662D" w:rsidRDefault="00B9662D" w:rsidP="00B9662D">
      <w:pPr>
        <w:pStyle w:val="c"/>
        <w:rPr>
          <w:lang w:eastAsia="fr-FR" w:bidi="fr-FR"/>
        </w:rPr>
      </w:pPr>
      <w:r>
        <w:rPr>
          <w:lang w:eastAsia="fr-FR" w:bidi="fr-FR"/>
        </w:rPr>
        <w:t>*</w:t>
      </w:r>
      <w:r>
        <w:rPr>
          <w:lang w:eastAsia="fr-FR" w:bidi="fr-FR"/>
        </w:rPr>
        <w:br/>
        <w:t>*     *</w:t>
      </w:r>
    </w:p>
    <w:p w14:paraId="4EB61F90" w14:textId="77777777" w:rsidR="00B9662D" w:rsidRPr="009C29C2" w:rsidRDefault="00B9662D" w:rsidP="00B9662D">
      <w:pPr>
        <w:spacing w:before="120" w:after="120"/>
        <w:jc w:val="both"/>
      </w:pPr>
      <w:r w:rsidRPr="009C29C2">
        <w:rPr>
          <w:color w:val="000000"/>
          <w:lang w:eastAsia="fr-FR" w:bidi="fr-FR"/>
        </w:rPr>
        <w:t>Passons, si vous le voulez bien, aux régimes agraires proprement dits.</w:t>
      </w:r>
    </w:p>
    <w:p w14:paraId="3BE5B63F" w14:textId="77777777" w:rsidR="00B9662D" w:rsidRPr="009C29C2" w:rsidRDefault="00B9662D" w:rsidP="00B9662D">
      <w:pPr>
        <w:spacing w:before="120" w:after="120"/>
        <w:jc w:val="both"/>
      </w:pPr>
      <w:r w:rsidRPr="009C29C2">
        <w:rPr>
          <w:color w:val="000000"/>
          <w:lang w:eastAsia="fr-FR" w:bidi="fr-FR"/>
        </w:rPr>
        <w:t>Une première opposition se marquait très nettement, se marque e</w:t>
      </w:r>
      <w:r w:rsidRPr="009C29C2">
        <w:rPr>
          <w:color w:val="000000"/>
          <w:lang w:eastAsia="fr-FR" w:bidi="fr-FR"/>
        </w:rPr>
        <w:t>n</w:t>
      </w:r>
      <w:r w:rsidRPr="009C29C2">
        <w:rPr>
          <w:color w:val="000000"/>
          <w:lang w:eastAsia="fr-FR" w:bidi="fr-FR"/>
        </w:rPr>
        <w:t>core aujourd’hui lorsque l’on parcourt nos campagnes : celle des r</w:t>
      </w:r>
      <w:r w:rsidRPr="009C29C2">
        <w:rPr>
          <w:color w:val="000000"/>
          <w:lang w:eastAsia="fr-FR" w:bidi="fr-FR"/>
        </w:rPr>
        <w:t>é</w:t>
      </w:r>
      <w:r w:rsidRPr="009C29C2">
        <w:rPr>
          <w:color w:val="000000"/>
          <w:lang w:eastAsia="fr-FR" w:bidi="fr-FR"/>
        </w:rPr>
        <w:t>gions ouvertes et des régions d’enclos.</w:t>
      </w:r>
    </w:p>
    <w:p w14:paraId="768D6E0B" w14:textId="77777777" w:rsidR="00B9662D" w:rsidRPr="009C29C2" w:rsidRDefault="00B9662D" w:rsidP="00B9662D">
      <w:pPr>
        <w:spacing w:before="120" w:after="120"/>
        <w:jc w:val="both"/>
      </w:pPr>
      <w:r w:rsidRPr="009C29C2">
        <w:rPr>
          <w:color w:val="000000"/>
          <w:lang w:eastAsia="fr-FR" w:bidi="fr-FR"/>
        </w:rPr>
        <w:t>Dans les régions ouvertes, aucune clôture permanente ne sépare les différentes parcelles. Il peut exister des clôtures qui compartimentent les grandes sections du terroir, ou qui courent le long des chemins, mais entre les différentes parcelles, dans un même quartier du terroir, on ne voit aucune barrière. Il était jadis défendu d’en élever. Et c’est encore l’aspect que gardent ces régions, malgré la liberté de clore in</w:t>
      </w:r>
      <w:r w:rsidRPr="009C29C2">
        <w:rPr>
          <w:color w:val="000000"/>
          <w:lang w:eastAsia="fr-FR" w:bidi="fr-FR"/>
        </w:rPr>
        <w:t>s</w:t>
      </w:r>
      <w:r w:rsidRPr="009C29C2">
        <w:rPr>
          <w:color w:val="000000"/>
          <w:lang w:eastAsia="fr-FR" w:bidi="fr-FR"/>
        </w:rPr>
        <w:t>crite par la Révolution dans une de ses première</w:t>
      </w:r>
      <w:r>
        <w:rPr>
          <w:color w:val="000000"/>
          <w:lang w:eastAsia="fr-FR" w:bidi="fr-FR"/>
        </w:rPr>
        <w:t>s</w:t>
      </w:r>
      <w:r w:rsidRPr="009C29C2">
        <w:rPr>
          <w:color w:val="000000"/>
          <w:lang w:eastAsia="fr-FR" w:bidi="fr-FR"/>
        </w:rPr>
        <w:t xml:space="preserve"> lois. Car ce fut, n</w:t>
      </w:r>
      <w:r w:rsidRPr="009C29C2">
        <w:rPr>
          <w:color w:val="000000"/>
          <w:lang w:eastAsia="fr-FR" w:bidi="fr-FR"/>
        </w:rPr>
        <w:t>o</w:t>
      </w:r>
      <w:r w:rsidRPr="009C29C2">
        <w:rPr>
          <w:color w:val="000000"/>
          <w:lang w:eastAsia="fr-FR" w:bidi="fr-FR"/>
        </w:rPr>
        <w:t>tons-le en passant, un des premiers soins des assemblées révolutio</w:t>
      </w:r>
      <w:r w:rsidRPr="009C29C2">
        <w:rPr>
          <w:color w:val="000000"/>
          <w:lang w:eastAsia="fr-FR" w:bidi="fr-FR"/>
        </w:rPr>
        <w:t>n</w:t>
      </w:r>
      <w:r w:rsidRPr="009C29C2">
        <w:rPr>
          <w:color w:val="000000"/>
          <w:lang w:eastAsia="fr-FR" w:bidi="fr-FR"/>
        </w:rPr>
        <w:t>naires, que de permettre</w:t>
      </w:r>
      <w:r>
        <w:t xml:space="preserve"> [</w:t>
      </w:r>
      <w:r w:rsidRPr="009C29C2">
        <w:rPr>
          <w:color w:val="000000"/>
          <w:lang w:eastAsia="fr-FR" w:bidi="fr-FR"/>
        </w:rPr>
        <w:t>653</w:t>
      </w:r>
      <w:r>
        <w:rPr>
          <w:color w:val="000000"/>
          <w:lang w:eastAsia="fr-FR" w:bidi="fr-FR"/>
        </w:rPr>
        <w:t xml:space="preserve">] </w:t>
      </w:r>
      <w:r w:rsidRPr="009C29C2">
        <w:rPr>
          <w:color w:val="000000"/>
          <w:lang w:eastAsia="fr-FR" w:bidi="fr-FR"/>
        </w:rPr>
        <w:t>à chaque homme d’entourer son champ d’une barrière. En dépit du principe sacro-saint ainsi proclamé, celles des campagnes anciennement ouvertes qui n’ont pas cessé de prat</w:t>
      </w:r>
      <w:r w:rsidRPr="009C29C2">
        <w:rPr>
          <w:color w:val="000000"/>
          <w:lang w:eastAsia="fr-FR" w:bidi="fr-FR"/>
        </w:rPr>
        <w:t>i</w:t>
      </w:r>
      <w:r w:rsidRPr="009C29C2">
        <w:rPr>
          <w:color w:val="000000"/>
          <w:lang w:eastAsia="fr-FR" w:bidi="fr-FR"/>
        </w:rPr>
        <w:t>quer avant tout la culture des céréales ont conservé cet aspect « désen</w:t>
      </w:r>
      <w:r w:rsidRPr="009C29C2">
        <w:rPr>
          <w:color w:val="000000"/>
          <w:lang w:eastAsia="fr-FR" w:bidi="fr-FR"/>
        </w:rPr>
        <w:lastRenderedPageBreak/>
        <w:t>combré » qui est si caractéristique. Cela est vrai, par exe</w:t>
      </w:r>
      <w:r w:rsidRPr="009C29C2">
        <w:rPr>
          <w:color w:val="000000"/>
          <w:lang w:eastAsia="fr-FR" w:bidi="fr-FR"/>
        </w:rPr>
        <w:t>m</w:t>
      </w:r>
      <w:r w:rsidRPr="009C29C2">
        <w:rPr>
          <w:color w:val="000000"/>
          <w:lang w:eastAsia="fr-FR" w:bidi="fr-FR"/>
        </w:rPr>
        <w:t>ple,</w:t>
      </w:r>
      <w:r>
        <w:rPr>
          <w:color w:val="000000"/>
          <w:lang w:eastAsia="fr-FR" w:bidi="fr-FR"/>
        </w:rPr>
        <w:t> — </w:t>
      </w:r>
      <w:r w:rsidRPr="009C29C2">
        <w:rPr>
          <w:color w:val="000000"/>
          <w:lang w:eastAsia="fr-FR" w:bidi="fr-FR"/>
        </w:rPr>
        <w:t>prenons des images différe</w:t>
      </w:r>
      <w:r w:rsidRPr="009C29C2">
        <w:rPr>
          <w:color w:val="000000"/>
          <w:lang w:eastAsia="fr-FR" w:bidi="fr-FR"/>
        </w:rPr>
        <w:t>n</w:t>
      </w:r>
      <w:r w:rsidRPr="009C29C2">
        <w:rPr>
          <w:color w:val="000000"/>
          <w:lang w:eastAsia="fr-FR" w:bidi="fr-FR"/>
        </w:rPr>
        <w:t>tes,</w:t>
      </w:r>
      <w:r>
        <w:rPr>
          <w:color w:val="000000"/>
          <w:lang w:eastAsia="fr-FR" w:bidi="fr-FR"/>
        </w:rPr>
        <w:t> — </w:t>
      </w:r>
      <w:r w:rsidRPr="009C29C2">
        <w:rPr>
          <w:color w:val="000000"/>
          <w:lang w:eastAsia="fr-FR" w:bidi="fr-FR"/>
        </w:rPr>
        <w:t xml:space="preserve">de la Picardie, de la plaine berrichonne ; cela est vrai aussi de la Provence où, récemment, au </w:t>
      </w:r>
      <w:r w:rsidRPr="00391321">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 on a planté, des haies de cyprès ; mais placées du côté du vent, elles n’enclosent pas le champ complètement.</w:t>
      </w:r>
    </w:p>
    <w:p w14:paraId="2AC39010" w14:textId="77777777" w:rsidR="00B9662D" w:rsidRPr="009C29C2" w:rsidRDefault="00B9662D" w:rsidP="00B9662D">
      <w:pPr>
        <w:spacing w:before="120" w:after="120"/>
        <w:jc w:val="both"/>
      </w:pPr>
      <w:r>
        <w:rPr>
          <w:color w:val="000000"/>
          <w:lang w:eastAsia="fr-FR" w:bidi="fr-FR"/>
        </w:rPr>
        <w:t>À</w:t>
      </w:r>
      <w:r w:rsidRPr="009C29C2">
        <w:rPr>
          <w:color w:val="000000"/>
          <w:lang w:eastAsia="fr-FR" w:bidi="fr-FR"/>
        </w:rPr>
        <w:t xml:space="preserve"> ces pays de « plain », comme dit le vieux français, s’oppose br</w:t>
      </w:r>
      <w:r w:rsidRPr="009C29C2">
        <w:rPr>
          <w:color w:val="000000"/>
          <w:lang w:eastAsia="fr-FR" w:bidi="fr-FR"/>
        </w:rPr>
        <w:t>u</w:t>
      </w:r>
      <w:r w:rsidRPr="009C29C2">
        <w:rPr>
          <w:color w:val="000000"/>
          <w:lang w:eastAsia="fr-FR" w:bidi="fr-FR"/>
        </w:rPr>
        <w:t>talement</w:t>
      </w:r>
      <w:r>
        <w:rPr>
          <w:color w:val="000000"/>
          <w:lang w:eastAsia="fr-FR" w:bidi="fr-FR"/>
        </w:rPr>
        <w:t> — </w:t>
      </w:r>
      <w:r w:rsidRPr="009C29C2">
        <w:rPr>
          <w:color w:val="000000"/>
          <w:lang w:eastAsia="fr-FR" w:bidi="fr-FR"/>
        </w:rPr>
        <w:t>le contraste a été ressenti de toujours</w:t>
      </w:r>
      <w:r>
        <w:rPr>
          <w:color w:val="000000"/>
          <w:lang w:eastAsia="fr-FR" w:bidi="fr-FR"/>
        </w:rPr>
        <w:t> — </w:t>
      </w:r>
      <w:r w:rsidRPr="009C29C2">
        <w:rPr>
          <w:color w:val="000000"/>
          <w:lang w:eastAsia="fr-FR" w:bidi="fr-FR"/>
        </w:rPr>
        <w:t>le « bocage », c’est-à-dire les régions d’enclos. Ce nom de bocage a été appliqué à beaucoup de pays d’enclos, parce que les haies, qui dans la plupart d’entre elles servent de barrières, sont fréquemment plantées d’arbres, qui de loin donnent un aspect boisé. Mais, dans certaines contrées, on élève de préférence des murs de pierres sèches. Peu importe. Derrière sa haie ou son mur, chaque champ est comme une forteresse, avec son enceinte. Fait caractéristique : le champ est tellement individualisé qu’il a son nom à lui. Si vous regardez une carte cadastrale, vous vous apercevrez que dans la Beauce ou dans la Picardie, par exemple, ce n’est pas la parcelle qui possède un nom ; ceci est réservé au groupe de parcelles, aux « quartiers ». Au contraire, dans des pays comme la Bretagne ou la Creuse, chaque champ sur le plan a un nom ; il est v</w:t>
      </w:r>
      <w:r w:rsidRPr="009C29C2">
        <w:rPr>
          <w:color w:val="000000"/>
          <w:lang w:eastAsia="fr-FR" w:bidi="fr-FR"/>
        </w:rPr>
        <w:t>é</w:t>
      </w:r>
      <w:r w:rsidRPr="009C29C2">
        <w:rPr>
          <w:color w:val="000000"/>
          <w:lang w:eastAsia="fr-FR" w:bidi="fr-FR"/>
        </w:rPr>
        <w:t>ritablement une individualité agraire.</w:t>
      </w:r>
    </w:p>
    <w:p w14:paraId="2B7A773A" w14:textId="77777777" w:rsidR="00B9662D" w:rsidRPr="009C29C2" w:rsidRDefault="00B9662D" w:rsidP="00B9662D">
      <w:pPr>
        <w:spacing w:before="120" w:after="120"/>
        <w:jc w:val="both"/>
      </w:pPr>
      <w:r w:rsidRPr="009C29C2">
        <w:rPr>
          <w:color w:val="000000"/>
          <w:lang w:eastAsia="fr-FR" w:bidi="fr-FR"/>
        </w:rPr>
        <w:t>Regardons maintenant de plus près les pays ouverts. Nous nous apercevrons qu’ils n’obéissent pas à un régime agraire unique, mais, au contraire, se répartissent entre deux régimes différents, tous deux caractérisés par l’absence de clôture, séparés cependant l’un de l’autre par des contrastes extrêmement frappants. Je les appelle régimes des champs ouverts et allongés, et des champs ouverts et irréguliers. Leur opposition ressortira nettement de la brève description que je vais donner.</w:t>
      </w:r>
    </w:p>
    <w:p w14:paraId="143CB581" w14:textId="77777777" w:rsidR="00B9662D" w:rsidRPr="009C29C2" w:rsidRDefault="00B9662D" w:rsidP="00B9662D">
      <w:pPr>
        <w:spacing w:before="120" w:after="120"/>
        <w:jc w:val="both"/>
      </w:pPr>
      <w:r w:rsidRPr="009C29C2">
        <w:rPr>
          <w:color w:val="000000"/>
          <w:lang w:eastAsia="fr-FR" w:bidi="fr-FR"/>
        </w:rPr>
        <w:t>Le régime des champs allongés, ouverts et allongés, est celui qui présente les traits les plus singuliers, propres parfois à confondre l’imagination.</w:t>
      </w:r>
    </w:p>
    <w:p w14:paraId="780BC9A3" w14:textId="77777777" w:rsidR="00B9662D" w:rsidRPr="009C29C2" w:rsidRDefault="00B9662D" w:rsidP="00B9662D">
      <w:pPr>
        <w:spacing w:before="120" w:after="120"/>
        <w:jc w:val="both"/>
      </w:pPr>
      <w:r w:rsidRPr="009C29C2">
        <w:rPr>
          <w:color w:val="000000"/>
          <w:lang w:eastAsia="fr-FR" w:bidi="fr-FR"/>
        </w:rPr>
        <w:t xml:space="preserve">D’abord, le dessin même du terroir. La terre arable en terroir de champs allongés se présente comme compartimentée en un certain nombre de grandes divisions que, pour faire bref, j’appellerai des « quartiers » (en fait, leur nom est, selon les lieux, infiniment variable, mais il est nécessaire d’adopter un vocabulaire uniforme). Chaque quartier, à son tour, est composé d’un certain nombre de parcelles, </w:t>
      </w:r>
      <w:r w:rsidRPr="009C29C2">
        <w:rPr>
          <w:color w:val="000000"/>
          <w:lang w:eastAsia="fr-FR" w:bidi="fr-FR"/>
        </w:rPr>
        <w:lastRenderedPageBreak/>
        <w:t>dont les sillons sont dirigés dans le même sens, parallèlement les uns aux autres. En d’autres termes, il y a parallélisme de labour à l’intérieur d’un quartier et c’est cela au fond qui le définit. Il arrive qu’un quartier soit séparé de ses voisins par des accidents naturels, par des chemins, voire par une barrière, mais même lorsqu’il n’y a aucune espèce de limites visibles en relief, la distinction se marque par le fait que là, les sillons sont dirigés, par exemple, du Nord au Sud, tandis que, à côté, un faisceau de champs également parallèles entre eux aura ses « raies » dirigées de l’Est à l’Ouest. Quant aux parcelles elles-mêmes, qui s’alignent à l’intérieur des divers quartiers, elles affectent une forme extrêmement singulière, une forme qui, au regard d’un r</w:t>
      </w:r>
      <w:r w:rsidRPr="009C29C2">
        <w:rPr>
          <w:color w:val="000000"/>
          <w:lang w:eastAsia="fr-FR" w:bidi="fr-FR"/>
        </w:rPr>
        <w:t>a</w:t>
      </w:r>
      <w:r w:rsidRPr="009C29C2">
        <w:rPr>
          <w:color w:val="000000"/>
          <w:lang w:eastAsia="fr-FR" w:bidi="fr-FR"/>
        </w:rPr>
        <w:t>tionalisme un peu rapide, paraîtrait proprement absurde. Elles sont prodigieusement étroites et prodigieusement longues. On les</w:t>
      </w:r>
      <w:r>
        <w:t xml:space="preserve"> [654] </w:t>
      </w:r>
      <w:r w:rsidRPr="009C29C2">
        <w:rPr>
          <w:color w:val="000000"/>
          <w:lang w:eastAsia="fr-FR" w:bidi="fr-FR"/>
        </w:rPr>
        <w:t>voit couramment se poursuivre sur une cinquantaine de mètres, d’aventure sur une centaine, larges parfois d’une dizaine de sillons ou moins encore. Leur longueur toujours excède de beaucoup leur la</w:t>
      </w:r>
      <w:r w:rsidRPr="009C29C2">
        <w:rPr>
          <w:color w:val="000000"/>
          <w:lang w:eastAsia="fr-FR" w:bidi="fr-FR"/>
        </w:rPr>
        <w:t>r</w:t>
      </w:r>
      <w:r w:rsidRPr="009C29C2">
        <w:rPr>
          <w:color w:val="000000"/>
          <w:lang w:eastAsia="fr-FR" w:bidi="fr-FR"/>
        </w:rPr>
        <w:t>geur.</w:t>
      </w:r>
    </w:p>
    <w:p w14:paraId="77435FC2" w14:textId="77777777" w:rsidR="00B9662D" w:rsidRPr="009C29C2" w:rsidRDefault="00B9662D" w:rsidP="00B9662D">
      <w:pPr>
        <w:spacing w:before="120" w:after="120"/>
        <w:jc w:val="both"/>
      </w:pPr>
      <w:r w:rsidRPr="009C29C2">
        <w:rPr>
          <w:color w:val="000000"/>
          <w:lang w:eastAsia="fr-FR" w:bidi="fr-FR"/>
        </w:rPr>
        <w:t>Voilà donc les traits physiques les plus immédiatement sensibles : allongement des champs ; disposition du terroir en ces faisceaux rég</w:t>
      </w:r>
      <w:r w:rsidRPr="009C29C2">
        <w:rPr>
          <w:color w:val="000000"/>
          <w:lang w:eastAsia="fr-FR" w:bidi="fr-FR"/>
        </w:rPr>
        <w:t>u</w:t>
      </w:r>
      <w:r w:rsidRPr="009C29C2">
        <w:rPr>
          <w:color w:val="000000"/>
          <w:lang w:eastAsia="fr-FR" w:bidi="fr-FR"/>
        </w:rPr>
        <w:t>liers. D’autres caractères viennent compléter cette image. Ce ne sont plus cette fois des caractères d’ordre matériel. Ce sont des coutumes sociales,</w:t>
      </w:r>
      <w:r>
        <w:rPr>
          <w:color w:val="000000"/>
          <w:lang w:eastAsia="fr-FR" w:bidi="fr-FR"/>
        </w:rPr>
        <w:t> — </w:t>
      </w:r>
      <w:r w:rsidRPr="009C29C2">
        <w:rPr>
          <w:color w:val="000000"/>
          <w:lang w:eastAsia="fr-FR" w:bidi="fr-FR"/>
        </w:rPr>
        <w:t>disons mieux : des contraintes. En premier lieu, comme je l’ai déjà indiqué, l’interdiction de clore. Interdiction, soit, dira-t-on peut-être. Mais portée par quelle autorité ? Ici je vous demande la permission de ne pas répondre. Je n’ai que le temps en effet de traiter le problème ainsi soulevé. Comment les règles rurales étaient-elles faites ? Comment jadis entre le seigneur et la communauté, le pouvoir d’ordonner et de défendre se trouvait-il réparti ? Quel était le rôle de la simple opinion publique ? De la pression, souvent violente, souvent illégale, mais fort efficace exercée sur chaque exploitant par ses vo</w:t>
      </w:r>
      <w:r w:rsidRPr="009C29C2">
        <w:rPr>
          <w:color w:val="000000"/>
          <w:lang w:eastAsia="fr-FR" w:bidi="fr-FR"/>
        </w:rPr>
        <w:t>i</w:t>
      </w:r>
      <w:r w:rsidRPr="009C29C2">
        <w:rPr>
          <w:color w:val="000000"/>
          <w:lang w:eastAsia="fr-FR" w:bidi="fr-FR"/>
        </w:rPr>
        <w:t>sins ? Autant de questions, très délicates, qu’il est impossible de r</w:t>
      </w:r>
      <w:r w:rsidRPr="009C29C2">
        <w:rPr>
          <w:color w:val="000000"/>
          <w:lang w:eastAsia="fr-FR" w:bidi="fr-FR"/>
        </w:rPr>
        <w:t>é</w:t>
      </w:r>
      <w:r w:rsidRPr="009C29C2">
        <w:rPr>
          <w:color w:val="000000"/>
          <w:lang w:eastAsia="fr-FR" w:bidi="fr-FR"/>
        </w:rPr>
        <w:t>soudre ici en quelques mots. Aussi bien, pour graves qu’elles soient, elles ne touchent pas à ce qui est, pour nous, aujourd’hui le point cr</w:t>
      </w:r>
      <w:r w:rsidRPr="009C29C2">
        <w:rPr>
          <w:color w:val="000000"/>
          <w:lang w:eastAsia="fr-FR" w:bidi="fr-FR"/>
        </w:rPr>
        <w:t>u</w:t>
      </w:r>
      <w:r w:rsidRPr="009C29C2">
        <w:rPr>
          <w:color w:val="000000"/>
          <w:lang w:eastAsia="fr-FR" w:bidi="fr-FR"/>
        </w:rPr>
        <w:t>cial. Il nous suffira de retenir le fait en lui-même : j’entends l’interdiction dont était frappée, incontestablement, toute clôture qu’un possesseur de champ eût pu être tenté d’élever autour de sa pa</w:t>
      </w:r>
      <w:r w:rsidRPr="009C29C2">
        <w:rPr>
          <w:color w:val="000000"/>
          <w:lang w:eastAsia="fr-FR" w:bidi="fr-FR"/>
        </w:rPr>
        <w:t>r</w:t>
      </w:r>
      <w:r w:rsidRPr="009C29C2">
        <w:rPr>
          <w:color w:val="000000"/>
          <w:lang w:eastAsia="fr-FR" w:bidi="fr-FR"/>
        </w:rPr>
        <w:t>celle.</w:t>
      </w:r>
    </w:p>
    <w:p w14:paraId="6EBD84BE" w14:textId="77777777" w:rsidR="00B9662D" w:rsidRPr="009C29C2" w:rsidRDefault="00B9662D" w:rsidP="00B9662D">
      <w:pPr>
        <w:spacing w:before="120" w:after="120"/>
        <w:jc w:val="both"/>
      </w:pPr>
      <w:r>
        <w:rPr>
          <w:color w:val="000000"/>
          <w:lang w:eastAsia="fr-FR" w:bidi="fr-FR"/>
        </w:rPr>
        <w:lastRenderedPageBreak/>
        <w:t>À</w:t>
      </w:r>
      <w:r w:rsidRPr="009C29C2">
        <w:rPr>
          <w:color w:val="000000"/>
          <w:lang w:eastAsia="fr-FR" w:bidi="fr-FR"/>
        </w:rPr>
        <w:t xml:space="preserve"> cette règle fondamentale, une autre contrainte venait s’ajouter : l’assolement forcé. Dans un même quartier, les parcelles appartie</w:t>
      </w:r>
      <w:r w:rsidRPr="009C29C2">
        <w:rPr>
          <w:color w:val="000000"/>
          <w:lang w:eastAsia="fr-FR" w:bidi="fr-FR"/>
        </w:rPr>
        <w:t>n</w:t>
      </w:r>
      <w:r w:rsidRPr="009C29C2">
        <w:rPr>
          <w:color w:val="000000"/>
          <w:lang w:eastAsia="fr-FR" w:bidi="fr-FR"/>
        </w:rPr>
        <w:t>nent, bien entendu, à des possesseurs différents, mais sur elle, ces gens-là ne sont pas maîtres de faire ce qu’ils veulent. Il faut qu’ils su</w:t>
      </w:r>
      <w:r w:rsidRPr="009C29C2">
        <w:rPr>
          <w:color w:val="000000"/>
          <w:lang w:eastAsia="fr-FR" w:bidi="fr-FR"/>
        </w:rPr>
        <w:t>i</w:t>
      </w:r>
      <w:r w:rsidRPr="009C29C2">
        <w:rPr>
          <w:color w:val="000000"/>
          <w:lang w:eastAsia="fr-FR" w:bidi="fr-FR"/>
        </w:rPr>
        <w:t>vent l’ordre des « saisons » accoutumé. Tous, ils feront les semailles en automne l’année où la règle veut que le quartier soit consacré aux semailles d’automne ; l’année suivante, ils sèment tous au printemps ; la troisième année, ils laisseront tous leur parcelle en jachère, et ainsi de suite, selon un rythme qui ne peut être modifié</w:t>
      </w:r>
      <w:r>
        <w:rPr>
          <w:color w:val="000000"/>
          <w:lang w:eastAsia="fr-FR" w:bidi="fr-FR"/>
        </w:rPr>
        <w:t> — </w:t>
      </w:r>
      <w:r w:rsidRPr="009C29C2">
        <w:rPr>
          <w:color w:val="000000"/>
          <w:lang w:eastAsia="fr-FR" w:bidi="fr-FR"/>
        </w:rPr>
        <w:t>fort exceptio</w:t>
      </w:r>
      <w:r w:rsidRPr="009C29C2">
        <w:rPr>
          <w:color w:val="000000"/>
          <w:lang w:eastAsia="fr-FR" w:bidi="fr-FR"/>
        </w:rPr>
        <w:t>n</w:t>
      </w:r>
      <w:r w:rsidRPr="009C29C2">
        <w:rPr>
          <w:color w:val="000000"/>
          <w:lang w:eastAsia="fr-FR" w:bidi="fr-FR"/>
        </w:rPr>
        <w:t>nellement d’ailleurs</w:t>
      </w:r>
      <w:r>
        <w:rPr>
          <w:color w:val="000000"/>
          <w:lang w:eastAsia="fr-FR" w:bidi="fr-FR"/>
        </w:rPr>
        <w:t> — </w:t>
      </w:r>
      <w:r w:rsidRPr="009C29C2">
        <w:rPr>
          <w:color w:val="000000"/>
          <w:lang w:eastAsia="fr-FR" w:bidi="fr-FR"/>
        </w:rPr>
        <w:t>que par une décision de la communauté.</w:t>
      </w:r>
    </w:p>
    <w:p w14:paraId="779A632F" w14:textId="77777777" w:rsidR="00B9662D" w:rsidRPr="009C29C2" w:rsidRDefault="00B9662D" w:rsidP="00B9662D">
      <w:pPr>
        <w:spacing w:before="120" w:after="120"/>
        <w:jc w:val="both"/>
      </w:pPr>
      <w:r w:rsidRPr="009C29C2">
        <w:rPr>
          <w:color w:val="000000"/>
          <w:lang w:eastAsia="fr-FR" w:bidi="fr-FR"/>
        </w:rPr>
        <w:t>Enfin, dernière règle, l’obligation de la vaine pâture. Supposons la moisson faite. De ce jour et jusqu’au moment où il aura la faculté de semer, le possesseur de la parcelle n’a plus aucun droit particulier sur ce qui peut paraître son bien propre. Il doit y laisser paître les bêtes de tout le village. En effet, sur cette terre débarrassée de blé, des cha</w:t>
      </w:r>
      <w:r w:rsidRPr="009C29C2">
        <w:rPr>
          <w:color w:val="000000"/>
          <w:lang w:eastAsia="fr-FR" w:bidi="fr-FR"/>
        </w:rPr>
        <w:t>u</w:t>
      </w:r>
      <w:r w:rsidRPr="009C29C2">
        <w:rPr>
          <w:color w:val="000000"/>
          <w:lang w:eastAsia="fr-FR" w:bidi="fr-FR"/>
        </w:rPr>
        <w:t>mes subsistent, des herbes folles vont se développer. Tout cela c’est de la pâture qu’on ne peut pas laisser perdre alors qu’il est si difficile de nourrir le bétail. Mais elle n’est pas réservée aux bestiaux du seul possesseur de la parcelle. Tous les animaux du village qui, presque toujours sont groupés en un troupeau commun, ont un droit égal à ce</w:t>
      </w:r>
      <w:r w:rsidRPr="009C29C2">
        <w:rPr>
          <w:color w:val="000000"/>
          <w:lang w:eastAsia="fr-FR" w:bidi="fr-FR"/>
        </w:rPr>
        <w:t>t</w:t>
      </w:r>
      <w:r w:rsidRPr="009C29C2">
        <w:rPr>
          <w:color w:val="000000"/>
          <w:lang w:eastAsia="fr-FR" w:bidi="fr-FR"/>
        </w:rPr>
        <w:t>te précieuse nourriture.</w:t>
      </w:r>
    </w:p>
    <w:p w14:paraId="78DBED25" w14:textId="77777777" w:rsidR="00B9662D" w:rsidRPr="009C29C2" w:rsidRDefault="00B9662D" w:rsidP="00B9662D">
      <w:pPr>
        <w:spacing w:before="120" w:after="120"/>
        <w:jc w:val="both"/>
      </w:pPr>
      <w:r w:rsidRPr="009C29C2">
        <w:rPr>
          <w:color w:val="000000"/>
          <w:lang w:eastAsia="fr-FR" w:bidi="fr-FR"/>
        </w:rPr>
        <w:t>Ce tableau sous les yeux, un certain nombre de conclusions s’imposent tout de suite à nous. D’abord, le caractère nettement co</w:t>
      </w:r>
      <w:r w:rsidRPr="009C29C2">
        <w:rPr>
          <w:color w:val="000000"/>
          <w:lang w:eastAsia="fr-FR" w:bidi="fr-FR"/>
        </w:rPr>
        <w:t>m</w:t>
      </w:r>
      <w:r w:rsidRPr="009C29C2">
        <w:rPr>
          <w:color w:val="000000"/>
          <w:lang w:eastAsia="fr-FR" w:bidi="fr-FR"/>
        </w:rPr>
        <w:t>munautaire que revêt un pareil régime. Jaurès, le devinant plutôt que le connaissant, mais armé de son sens merveilleux de l’intuition hist</w:t>
      </w:r>
      <w:r w:rsidRPr="009C29C2">
        <w:rPr>
          <w:color w:val="000000"/>
          <w:lang w:eastAsia="fr-FR" w:bidi="fr-FR"/>
        </w:rPr>
        <w:t>o</w:t>
      </w:r>
      <w:r w:rsidRPr="009C29C2">
        <w:rPr>
          <w:color w:val="000000"/>
          <w:lang w:eastAsia="fr-FR" w:bidi="fr-FR"/>
        </w:rPr>
        <w:t>rique, lui a appliqué le mot de « communisme rudimentaire ». Mais pourquoi faire appel à Jaurès ? Un grand nombre de juristes de l’ancien régime nous ont transmis la même impression. Rien de plus caractéristique à cet égard que le texte de l’un d’eux, Laurière : « Par le droit général de la France »,</w:t>
      </w:r>
      <w:r>
        <w:t xml:space="preserve"> [</w:t>
      </w:r>
      <w:r w:rsidRPr="009C29C2">
        <w:rPr>
          <w:color w:val="000000"/>
          <w:lang w:eastAsia="fr-FR" w:bidi="fr-FR"/>
        </w:rPr>
        <w:t>655</w:t>
      </w:r>
      <w:r>
        <w:rPr>
          <w:color w:val="000000"/>
          <w:lang w:eastAsia="fr-FR" w:bidi="fr-FR"/>
        </w:rPr>
        <w:t xml:space="preserve">] </w:t>
      </w:r>
      <w:r w:rsidRPr="009C29C2">
        <w:rPr>
          <w:color w:val="000000"/>
          <w:lang w:eastAsia="fr-FR" w:bidi="fr-FR"/>
        </w:rPr>
        <w:t>écrit Laurière, « les héritages ne sont en défense et en garde que quand les fruits sont dessus, et dès qu’ils sont enlevés, la terre, par une espèce de droit des gens, devient commune à tous les hommes, riches ou pauvres également ». A dire vrai, ce texte si caractéristique et si juste, appelle cependant deux r</w:t>
      </w:r>
      <w:r w:rsidRPr="009C29C2">
        <w:rPr>
          <w:color w:val="000000"/>
          <w:lang w:eastAsia="fr-FR" w:bidi="fr-FR"/>
        </w:rPr>
        <w:t>é</w:t>
      </w:r>
      <w:r w:rsidRPr="009C29C2">
        <w:rPr>
          <w:color w:val="000000"/>
          <w:lang w:eastAsia="fr-FR" w:bidi="fr-FR"/>
        </w:rPr>
        <w:t xml:space="preserve">serves. Laurière ne connaissait guère, par expérience, que les régions des champs allongés. Sa phrase était vraie d’une grande partie de la France non de la France tout entière. En outre, il avait peut- être tort de parler de riches et de pauvres ; car ces communautés rurales, si fort </w:t>
      </w:r>
      <w:r w:rsidRPr="009C29C2">
        <w:rPr>
          <w:color w:val="000000"/>
          <w:lang w:eastAsia="fr-FR" w:bidi="fr-FR"/>
        </w:rPr>
        <w:lastRenderedPageBreak/>
        <w:t>qu’y fût l’esprit collectif, n’étaient pas, tant s’en faut, des démocraties. Il n’en a pas moins parfaitement vu qu’une fois récoltés les fruits du travail, la terre cessait véritablement d’être objet d’appropriation ind</w:t>
      </w:r>
      <w:r w:rsidRPr="009C29C2">
        <w:rPr>
          <w:color w:val="000000"/>
          <w:lang w:eastAsia="fr-FR" w:bidi="fr-FR"/>
        </w:rPr>
        <w:t>i</w:t>
      </w:r>
      <w:r w:rsidRPr="009C29C2">
        <w:rPr>
          <w:color w:val="000000"/>
          <w:lang w:eastAsia="fr-FR" w:bidi="fr-FR"/>
        </w:rPr>
        <w:t>viduelle.</w:t>
      </w:r>
    </w:p>
    <w:p w14:paraId="28259403" w14:textId="77777777" w:rsidR="00B9662D" w:rsidRPr="009C29C2" w:rsidRDefault="00B9662D" w:rsidP="00B9662D">
      <w:pPr>
        <w:spacing w:before="120" w:after="120"/>
        <w:jc w:val="both"/>
      </w:pPr>
      <w:r w:rsidRPr="009C29C2">
        <w:rPr>
          <w:color w:val="000000"/>
          <w:lang w:eastAsia="fr-FR" w:bidi="fr-FR"/>
        </w:rPr>
        <w:t>Une seconde impression se dégage de l’examen des faits : celle d’un merveilleux engrenage. Dans ce régime des champs ouverts et allongés, toutes les pièces sont intimement liées, et son</w:t>
      </w:r>
      <w:r>
        <w:rPr>
          <w:color w:val="000000"/>
          <w:lang w:eastAsia="fr-FR" w:bidi="fr-FR"/>
        </w:rPr>
        <w:t>t liées de telle façon, qu’évi</w:t>
      </w:r>
      <w:r w:rsidRPr="009C29C2">
        <w:rPr>
          <w:color w:val="000000"/>
          <w:lang w:eastAsia="fr-FR" w:bidi="fr-FR"/>
        </w:rPr>
        <w:t>demment, rien n’a été plus difficile que de porter la h</w:t>
      </w:r>
      <w:r w:rsidRPr="009C29C2">
        <w:rPr>
          <w:color w:val="000000"/>
          <w:lang w:eastAsia="fr-FR" w:bidi="fr-FR"/>
        </w:rPr>
        <w:t>a</w:t>
      </w:r>
      <w:r w:rsidRPr="009C29C2">
        <w:rPr>
          <w:color w:val="000000"/>
          <w:lang w:eastAsia="fr-FR" w:bidi="fr-FR"/>
        </w:rPr>
        <w:t>che dans un élément isolé. Tout se tient. Pourquoi pratique-t-on l’assolement forcé ? Tout d’abord parce qu’il serait presque imposs</w:t>
      </w:r>
      <w:r w:rsidRPr="009C29C2">
        <w:rPr>
          <w:color w:val="000000"/>
          <w:lang w:eastAsia="fr-FR" w:bidi="fr-FR"/>
        </w:rPr>
        <w:t>i</w:t>
      </w:r>
      <w:r w:rsidRPr="009C29C2">
        <w:rPr>
          <w:color w:val="000000"/>
          <w:lang w:eastAsia="fr-FR" w:bidi="fr-FR"/>
        </w:rPr>
        <w:t>ble de faire autrement sur des parcelles de cette forme : pour atteindre les champs placés au milieu du quartier, il est nécessaire de passer sur les champs qui en forment l’extrémité. Mais l’intérêt de la vaine pât</w:t>
      </w:r>
      <w:r w:rsidRPr="009C29C2">
        <w:rPr>
          <w:color w:val="000000"/>
          <w:lang w:eastAsia="fr-FR" w:bidi="fr-FR"/>
        </w:rPr>
        <w:t>u</w:t>
      </w:r>
      <w:r w:rsidRPr="009C29C2">
        <w:rPr>
          <w:color w:val="000000"/>
          <w:lang w:eastAsia="fr-FR" w:bidi="fr-FR"/>
        </w:rPr>
        <w:t>re impose lui aussi cette contrainte de culture. Supposons en effet qu’un individu ait le droit de faire pousser du blé à un moment où l’ensemble du quartier demeure normalement en jachère. Ce serait gêner le pacage, et sur le quartier tout entier : car les bêtes, si elles doivent et pour une raison respecter la parcelle mise en culture, ne pourront plus passer de l’une à l’autre des deux parcelles attenantes. Quant à la vaine pâture collective, il est évident qu’un système diff</w:t>
      </w:r>
      <w:r w:rsidRPr="009C29C2">
        <w:rPr>
          <w:color w:val="000000"/>
          <w:lang w:eastAsia="fr-FR" w:bidi="fr-FR"/>
        </w:rPr>
        <w:t>é</w:t>
      </w:r>
      <w:r w:rsidRPr="009C29C2">
        <w:rPr>
          <w:color w:val="000000"/>
          <w:lang w:eastAsia="fr-FR" w:bidi="fr-FR"/>
        </w:rPr>
        <w:t>rent serait, pour le moins, prodigieusement incommode sur des champs aussi étroits : comment empêcher les animaux de s’échapper sur la parcelle d’autrui ? Enfin vaine pâture et forme des champs</w:t>
      </w:r>
      <w:r>
        <w:rPr>
          <w:color w:val="000000"/>
          <w:lang w:eastAsia="fr-FR" w:bidi="fr-FR"/>
        </w:rPr>
        <w:t> — </w:t>
      </w:r>
      <w:r w:rsidRPr="009C29C2">
        <w:rPr>
          <w:color w:val="000000"/>
          <w:lang w:eastAsia="fr-FR" w:bidi="fr-FR"/>
        </w:rPr>
        <w:t>cette dernière entraînant les servitudes de passage que je viens de rappeler</w:t>
      </w:r>
      <w:r>
        <w:rPr>
          <w:color w:val="000000"/>
          <w:lang w:eastAsia="fr-FR" w:bidi="fr-FR"/>
        </w:rPr>
        <w:t> — </w:t>
      </w:r>
      <w:r w:rsidRPr="009C29C2">
        <w:rPr>
          <w:color w:val="000000"/>
          <w:lang w:eastAsia="fr-FR" w:bidi="fr-FR"/>
        </w:rPr>
        <w:t>conspiraient également à exiger l’interdiction de clore.</w:t>
      </w:r>
    </w:p>
    <w:p w14:paraId="44ABFC66" w14:textId="77777777" w:rsidR="00B9662D" w:rsidRDefault="00B9662D" w:rsidP="00B9662D">
      <w:pPr>
        <w:spacing w:before="120" w:after="120"/>
        <w:jc w:val="both"/>
        <w:rPr>
          <w:color w:val="000000"/>
          <w:lang w:eastAsia="fr-FR" w:bidi="fr-FR"/>
        </w:rPr>
      </w:pPr>
    </w:p>
    <w:p w14:paraId="14FEAF92" w14:textId="77777777" w:rsidR="00B9662D" w:rsidRPr="009C29C2" w:rsidRDefault="00B9662D" w:rsidP="00B9662D">
      <w:pPr>
        <w:spacing w:before="120" w:after="120"/>
        <w:jc w:val="both"/>
      </w:pPr>
      <w:r w:rsidRPr="009C29C2">
        <w:rPr>
          <w:color w:val="000000"/>
          <w:lang w:eastAsia="fr-FR" w:bidi="fr-FR"/>
        </w:rPr>
        <w:t>En face de cette belle régularité, le régime des champs ouverts et irréguliers donne une impression de système beaucoup moins rigo</w:t>
      </w:r>
      <w:r w:rsidRPr="009C29C2">
        <w:rPr>
          <w:color w:val="000000"/>
          <w:lang w:eastAsia="fr-FR" w:bidi="fr-FR"/>
        </w:rPr>
        <w:t>u</w:t>
      </w:r>
      <w:r w:rsidRPr="009C29C2">
        <w:rPr>
          <w:color w:val="000000"/>
          <w:lang w:eastAsia="fr-FR" w:bidi="fr-FR"/>
        </w:rPr>
        <w:t>reux. Un pareil terroir se présente comme une sorte de jeu de patience, un véritable puzzle. Les parcelles, au lieu d’être bien groupées en faisceaux de lanières parallèles, sont placées comme au hasard dans les terroirs, comme s’il n’y avait jamais eu de plan d’ensemble, co</w:t>
      </w:r>
      <w:r w:rsidRPr="009C29C2">
        <w:rPr>
          <w:color w:val="000000"/>
          <w:lang w:eastAsia="fr-FR" w:bidi="fr-FR"/>
        </w:rPr>
        <w:t>m</w:t>
      </w:r>
      <w:r w:rsidRPr="009C29C2">
        <w:rPr>
          <w:color w:val="000000"/>
          <w:lang w:eastAsia="fr-FR" w:bidi="fr-FR"/>
        </w:rPr>
        <w:t>me si chacun avait découpé son champ là où il lui plaisait. Elles sont de formes tout à fait variables. Mais on peut dire, en gros, qu’elles ont tendance à se rapprocher du carré. En d’autres termes, il n’y a pas, en principe, entre leur longueur et leur largeur, de différence très sens</w:t>
      </w:r>
      <w:r w:rsidRPr="009C29C2">
        <w:rPr>
          <w:color w:val="000000"/>
          <w:lang w:eastAsia="fr-FR" w:bidi="fr-FR"/>
        </w:rPr>
        <w:t>i</w:t>
      </w:r>
      <w:r w:rsidRPr="009C29C2">
        <w:rPr>
          <w:color w:val="000000"/>
          <w:lang w:eastAsia="fr-FR" w:bidi="fr-FR"/>
        </w:rPr>
        <w:t>ble.</w:t>
      </w:r>
    </w:p>
    <w:p w14:paraId="09A237B4" w14:textId="77777777" w:rsidR="00B9662D" w:rsidRPr="009C29C2" w:rsidRDefault="00B9662D" w:rsidP="00B9662D">
      <w:pPr>
        <w:spacing w:before="120" w:after="120"/>
        <w:jc w:val="both"/>
      </w:pPr>
      <w:r w:rsidRPr="009C29C2">
        <w:rPr>
          <w:color w:val="000000"/>
          <w:lang w:eastAsia="fr-FR" w:bidi="fr-FR"/>
        </w:rPr>
        <w:lastRenderedPageBreak/>
        <w:t>Le régime des champs ouverts et irréguliers n’est pas d’ailleurs, tant s’en faut, dépourvu de toute contrainte collective. Il a été autr</w:t>
      </w:r>
      <w:r w:rsidRPr="009C29C2">
        <w:rPr>
          <w:color w:val="000000"/>
          <w:lang w:eastAsia="fr-FR" w:bidi="fr-FR"/>
        </w:rPr>
        <w:t>e</w:t>
      </w:r>
      <w:r w:rsidRPr="009C29C2">
        <w:rPr>
          <w:color w:val="000000"/>
          <w:lang w:eastAsia="fr-FR" w:bidi="fr-FR"/>
        </w:rPr>
        <w:t>fois soumis à presque toutes les obligations du régime des champs allongés. On y a vu fonctionner, par exemple en Provence, la vaine pâture obligatoire, et le plus souvent, même, l’assolement forcé. Mais ces contraintes n’étaient pas là, comme en pays de champs ouverts et allongés, soutenues par une</w:t>
      </w:r>
      <w:r>
        <w:t xml:space="preserve"> [656] </w:t>
      </w:r>
      <w:r w:rsidRPr="009C29C2">
        <w:rPr>
          <w:color w:val="000000"/>
          <w:lang w:eastAsia="fr-FR" w:bidi="fr-FR"/>
        </w:rPr>
        <w:t>armature matérielle solide. Elles ont pu, par suite, disparaître bea</w:t>
      </w:r>
      <w:r w:rsidRPr="009C29C2">
        <w:rPr>
          <w:color w:val="000000"/>
          <w:lang w:eastAsia="fr-FR" w:bidi="fr-FR"/>
        </w:rPr>
        <w:t>u</w:t>
      </w:r>
      <w:r w:rsidRPr="009C29C2">
        <w:rPr>
          <w:color w:val="000000"/>
          <w:lang w:eastAsia="fr-FR" w:bidi="fr-FR"/>
        </w:rPr>
        <w:t xml:space="preserve">coup plus tôt. Rien de plus significatif que le cas de la Provence où, à partir de la fin du </w:t>
      </w:r>
      <w:r>
        <w:rPr>
          <w:color w:val="000000"/>
          <w:lang w:eastAsia="fr-FR" w:bidi="fr-FR"/>
        </w:rPr>
        <w:t>XV</w:t>
      </w:r>
      <w:r w:rsidRPr="009C29C2">
        <w:rPr>
          <w:color w:val="000000"/>
          <w:vertAlign w:val="superscript"/>
          <w:lang w:eastAsia="fr-FR" w:bidi="fr-FR"/>
        </w:rPr>
        <w:t>e</w:t>
      </w:r>
      <w:r w:rsidRPr="009C29C2">
        <w:rPr>
          <w:color w:val="000000"/>
          <w:lang w:eastAsia="fr-FR" w:bidi="fr-FR"/>
        </w:rPr>
        <w:t xml:space="preserve"> siècle, ces d</w:t>
      </w:r>
      <w:r w:rsidRPr="009C29C2">
        <w:rPr>
          <w:color w:val="000000"/>
          <w:lang w:eastAsia="fr-FR" w:bidi="fr-FR"/>
        </w:rPr>
        <w:t>i</w:t>
      </w:r>
      <w:r w:rsidRPr="009C29C2">
        <w:rPr>
          <w:color w:val="000000"/>
          <w:lang w:eastAsia="fr-FR" w:bidi="fr-FR"/>
        </w:rPr>
        <w:t>verses servitudes commencèrent à s’effacer, alors que dans les régions de champs ouverts et allongés elles conservaient, au même temps, la plus extrême vigueur.</w:t>
      </w:r>
    </w:p>
    <w:p w14:paraId="2F3FA8B1" w14:textId="77777777" w:rsidR="00B9662D" w:rsidRPr="009C29C2" w:rsidRDefault="00B9662D" w:rsidP="00B9662D">
      <w:pPr>
        <w:spacing w:before="120" w:after="120"/>
        <w:jc w:val="both"/>
      </w:pPr>
      <w:r w:rsidRPr="009C29C2">
        <w:rPr>
          <w:color w:val="000000"/>
          <w:lang w:eastAsia="fr-FR" w:bidi="fr-FR"/>
        </w:rPr>
        <w:t>Enfin, les enclos. Là le contraste avec les régimes précédents est absolu, non seulement dans l’aspect physique, mais dans l’aspect pr</w:t>
      </w:r>
      <w:r w:rsidRPr="009C29C2">
        <w:rPr>
          <w:color w:val="000000"/>
          <w:lang w:eastAsia="fr-FR" w:bidi="fr-FR"/>
        </w:rPr>
        <w:t>o</w:t>
      </w:r>
      <w:r w:rsidRPr="009C29C2">
        <w:rPr>
          <w:color w:val="000000"/>
          <w:lang w:eastAsia="fr-FR" w:bidi="fr-FR"/>
        </w:rPr>
        <w:t>prement social. Pourquoi, en effet, ces barrières entre les champs ? C’est que dans le champ, le propriétaire</w:t>
      </w:r>
      <w:r>
        <w:rPr>
          <w:color w:val="000000"/>
          <w:lang w:eastAsia="fr-FR" w:bidi="fr-FR"/>
        </w:rPr>
        <w:t> — </w:t>
      </w:r>
      <w:r w:rsidRPr="009C29C2">
        <w:rPr>
          <w:color w:val="000000"/>
          <w:lang w:eastAsia="fr-FR" w:bidi="fr-FR"/>
        </w:rPr>
        <w:t>non, n’employons pas c</w:t>
      </w:r>
      <w:r>
        <w:rPr>
          <w:color w:val="000000"/>
          <w:lang w:eastAsia="fr-FR" w:bidi="fr-FR"/>
        </w:rPr>
        <w:t>e mot dangereux de propriétaire </w:t>
      </w:r>
      <w:r w:rsidRPr="009C29C2">
        <w:rPr>
          <w:color w:val="000000"/>
          <w:lang w:eastAsia="fr-FR" w:bidi="fr-FR"/>
        </w:rPr>
        <w:t>—, le possesseur exploitant, à l’abri de son mur de pierres sèches ou de sa haie est véritablement chez lui. Il fait ce qu’il veut ; il cultive quand et comment il lui plaît ; naturell</w:t>
      </w:r>
      <w:r w:rsidRPr="009C29C2">
        <w:rPr>
          <w:color w:val="000000"/>
          <w:lang w:eastAsia="fr-FR" w:bidi="fr-FR"/>
        </w:rPr>
        <w:t>e</w:t>
      </w:r>
      <w:r w:rsidRPr="009C29C2">
        <w:rPr>
          <w:color w:val="000000"/>
          <w:lang w:eastAsia="fr-FR" w:bidi="fr-FR"/>
        </w:rPr>
        <w:t>ment, il pratique la jachère, et, à ce moment-là, il met des bêtes dans son champ, mais des bêtes à lui, ou tout au moins, celles qu’il veut bien admettre. Sur la terre arable, en pareils pays, ne pèse aucune obligation de vaine pâture collective, ni d’assolement.</w:t>
      </w:r>
    </w:p>
    <w:p w14:paraId="38375FE6" w14:textId="77777777" w:rsidR="00B9662D" w:rsidRPr="009C29C2" w:rsidRDefault="00B9662D" w:rsidP="00B9662D">
      <w:pPr>
        <w:spacing w:before="120" w:after="120"/>
        <w:jc w:val="both"/>
      </w:pPr>
      <w:r w:rsidRPr="009C29C2">
        <w:rPr>
          <w:color w:val="000000"/>
          <w:lang w:eastAsia="fr-FR" w:bidi="fr-FR"/>
        </w:rPr>
        <w:t>Et ce régime d’enclos était si bien un régime de chacun chez soi, au moins en ce qui concerne la terre arable, qu’il fonctionnait parfois, à titre exceptionnel bien entendu, en dehors même de toute clôture visible. Dans certains cantons de Bretagne, au bord de la mer, les haies étaient impossibles ; on ne paraît même pas avoir jugé nécessa</w:t>
      </w:r>
      <w:r w:rsidRPr="009C29C2">
        <w:rPr>
          <w:color w:val="000000"/>
          <w:lang w:eastAsia="fr-FR" w:bidi="fr-FR"/>
        </w:rPr>
        <w:t>i</w:t>
      </w:r>
      <w:r w:rsidRPr="009C29C2">
        <w:rPr>
          <w:color w:val="000000"/>
          <w:lang w:eastAsia="fr-FR" w:bidi="fr-FR"/>
        </w:rPr>
        <w:t>re d’y élever des murs de pierre sèche ; il y avait simplement, si je puis dire, enclos normal, et dans ces contrées ouvertes qui se tro</w:t>
      </w:r>
      <w:r w:rsidRPr="009C29C2">
        <w:rPr>
          <w:color w:val="000000"/>
          <w:lang w:eastAsia="fr-FR" w:bidi="fr-FR"/>
        </w:rPr>
        <w:t>u</w:t>
      </w:r>
      <w:r w:rsidRPr="009C29C2">
        <w:rPr>
          <w:color w:val="000000"/>
          <w:lang w:eastAsia="fr-FR" w:bidi="fr-FR"/>
        </w:rPr>
        <w:t>vaient insérées dans des pays d’enclos, on appliquait le même système que dans ceux-ci : le champ avait ses limites que les bêtes du voisin ne devaient pas dépasser, et, pour cela, on les attachait. Donc, nous avons là affaire</w:t>
      </w:r>
      <w:r>
        <w:rPr>
          <w:color w:val="000000"/>
          <w:lang w:eastAsia="fr-FR" w:bidi="fr-FR"/>
        </w:rPr>
        <w:t> — </w:t>
      </w:r>
      <w:r w:rsidRPr="009C29C2">
        <w:rPr>
          <w:color w:val="000000"/>
          <w:lang w:eastAsia="fr-FR" w:bidi="fr-FR"/>
        </w:rPr>
        <w:t>sur la terre arable encore une fois</w:t>
      </w:r>
      <w:r>
        <w:rPr>
          <w:color w:val="000000"/>
          <w:lang w:eastAsia="fr-FR" w:bidi="fr-FR"/>
        </w:rPr>
        <w:t> — </w:t>
      </w:r>
      <w:r w:rsidRPr="009C29C2">
        <w:rPr>
          <w:color w:val="000000"/>
          <w:lang w:eastAsia="fr-FR" w:bidi="fr-FR"/>
        </w:rPr>
        <w:t>à un véritable sy</w:t>
      </w:r>
      <w:r w:rsidRPr="009C29C2">
        <w:rPr>
          <w:color w:val="000000"/>
          <w:lang w:eastAsia="fr-FR" w:bidi="fr-FR"/>
        </w:rPr>
        <w:t>s</w:t>
      </w:r>
      <w:r w:rsidRPr="009C29C2">
        <w:rPr>
          <w:color w:val="000000"/>
          <w:lang w:eastAsia="fr-FR" w:bidi="fr-FR"/>
        </w:rPr>
        <w:t>tème d’individualisme, opposé au régime communautaire déjà des champs irréguliers, et au régime fortement communautaire des champs allongés.</w:t>
      </w:r>
    </w:p>
    <w:p w14:paraId="3F66CCFA" w14:textId="77777777" w:rsidR="00B9662D" w:rsidRDefault="00B9662D" w:rsidP="00B9662D">
      <w:pPr>
        <w:pStyle w:val="c"/>
        <w:rPr>
          <w:lang w:eastAsia="fr-FR" w:bidi="fr-FR"/>
        </w:rPr>
      </w:pPr>
      <w:r>
        <w:rPr>
          <w:lang w:eastAsia="fr-FR" w:bidi="fr-FR"/>
        </w:rPr>
        <w:lastRenderedPageBreak/>
        <w:t>*</w:t>
      </w:r>
      <w:r>
        <w:rPr>
          <w:lang w:eastAsia="fr-FR" w:bidi="fr-FR"/>
        </w:rPr>
        <w:br/>
        <w:t>*     *</w:t>
      </w:r>
    </w:p>
    <w:p w14:paraId="65D2652A" w14:textId="77777777" w:rsidR="00B9662D" w:rsidRPr="009C29C2" w:rsidRDefault="00B9662D" w:rsidP="00B9662D">
      <w:pPr>
        <w:spacing w:before="120" w:after="120"/>
        <w:jc w:val="both"/>
      </w:pPr>
      <w:r w:rsidRPr="009C29C2">
        <w:rPr>
          <w:color w:val="000000"/>
          <w:lang w:eastAsia="fr-FR" w:bidi="fr-FR"/>
        </w:rPr>
        <w:t>J’ai fait cette description aussi brève que possible, par conséquent un peu sans nuances ; mais je crois que nous pouvons partir d’elle pour poser le problème.</w:t>
      </w:r>
    </w:p>
    <w:p w14:paraId="537FEE00" w14:textId="77777777" w:rsidR="00B9662D" w:rsidRPr="009C29C2" w:rsidRDefault="00B9662D" w:rsidP="00B9662D">
      <w:pPr>
        <w:spacing w:before="120" w:after="120"/>
        <w:jc w:val="both"/>
      </w:pPr>
      <w:r w:rsidRPr="009C29C2">
        <w:rPr>
          <w:color w:val="000000"/>
          <w:lang w:eastAsia="fr-FR" w:bidi="fr-FR"/>
        </w:rPr>
        <w:t xml:space="preserve">Prenons d’abord les enclos. </w:t>
      </w:r>
      <w:r>
        <w:rPr>
          <w:color w:val="000000"/>
          <w:lang w:eastAsia="fr-FR" w:bidi="fr-FR"/>
        </w:rPr>
        <w:t>À</w:t>
      </w:r>
      <w:r w:rsidRPr="009C29C2">
        <w:rPr>
          <w:color w:val="000000"/>
          <w:lang w:eastAsia="fr-FR" w:bidi="fr-FR"/>
        </w:rPr>
        <w:t xml:space="preserve"> leur égard, jusqu’ici je me suis e</w:t>
      </w:r>
      <w:r w:rsidRPr="009C29C2">
        <w:rPr>
          <w:color w:val="000000"/>
          <w:lang w:eastAsia="fr-FR" w:bidi="fr-FR"/>
        </w:rPr>
        <w:t>x</w:t>
      </w:r>
      <w:r w:rsidRPr="009C29C2">
        <w:rPr>
          <w:color w:val="000000"/>
          <w:lang w:eastAsia="fr-FR" w:bidi="fr-FR"/>
        </w:rPr>
        <w:t>près abstenu de toute tentative de répartition géographique. Dema</w:t>
      </w:r>
      <w:r w:rsidRPr="009C29C2">
        <w:rPr>
          <w:color w:val="000000"/>
          <w:lang w:eastAsia="fr-FR" w:bidi="fr-FR"/>
        </w:rPr>
        <w:t>n</w:t>
      </w:r>
      <w:r w:rsidRPr="009C29C2">
        <w:rPr>
          <w:color w:val="000000"/>
          <w:lang w:eastAsia="fr-FR" w:bidi="fr-FR"/>
        </w:rPr>
        <w:t>dons-nous maintenant quelles régions sont soumises à ce régime. Ce sont la Bretagne ; en Normandie, le Cotentin et les collines qui ento</w:t>
      </w:r>
      <w:r w:rsidRPr="009C29C2">
        <w:rPr>
          <w:color w:val="000000"/>
          <w:lang w:eastAsia="fr-FR" w:bidi="fr-FR"/>
        </w:rPr>
        <w:t>u</w:t>
      </w:r>
      <w:r w:rsidRPr="009C29C2">
        <w:rPr>
          <w:color w:val="000000"/>
          <w:lang w:eastAsia="fr-FR" w:bidi="fr-FR"/>
        </w:rPr>
        <w:t>rent le pays de Caen ; les bocages de la Vendée et du Poitou ; une grande partie du Massif Central ; certaines contrées subalpestres, com</w:t>
      </w:r>
      <w:r>
        <w:rPr>
          <w:color w:val="000000"/>
          <w:lang w:eastAsia="fr-FR" w:bidi="fr-FR"/>
        </w:rPr>
        <w:t>me le pays de Gex, ou sub-pyré</w:t>
      </w:r>
      <w:r w:rsidRPr="009C29C2">
        <w:rPr>
          <w:color w:val="000000"/>
          <w:lang w:eastAsia="fr-FR" w:bidi="fr-FR"/>
        </w:rPr>
        <w:t xml:space="preserve">néennes, comme le </w:t>
      </w:r>
      <w:r>
        <w:rPr>
          <w:color w:val="000000"/>
          <w:lang w:eastAsia="fr-FR" w:bidi="fr-FR"/>
        </w:rPr>
        <w:t>P</w:t>
      </w:r>
      <w:r w:rsidRPr="009C29C2">
        <w:rPr>
          <w:color w:val="000000"/>
          <w:lang w:eastAsia="fr-FR" w:bidi="fr-FR"/>
        </w:rPr>
        <w:t>ays basque.</w:t>
      </w:r>
    </w:p>
    <w:p w14:paraId="6DDA457F" w14:textId="77777777" w:rsidR="00B9662D" w:rsidRPr="009C29C2" w:rsidRDefault="00B9662D" w:rsidP="00B9662D">
      <w:pPr>
        <w:spacing w:before="120" w:after="120"/>
        <w:jc w:val="both"/>
      </w:pPr>
      <w:r w:rsidRPr="009C29C2">
        <w:rPr>
          <w:color w:val="000000"/>
          <w:lang w:eastAsia="fr-FR" w:bidi="fr-FR"/>
        </w:rPr>
        <w:t>Ce tableau, si simplifié soit-il, peut nous suggérer quelques obse</w:t>
      </w:r>
      <w:r w:rsidRPr="009C29C2">
        <w:rPr>
          <w:color w:val="000000"/>
          <w:lang w:eastAsia="fr-FR" w:bidi="fr-FR"/>
        </w:rPr>
        <w:t>r</w:t>
      </w:r>
      <w:r w:rsidRPr="009C29C2">
        <w:rPr>
          <w:color w:val="000000"/>
          <w:lang w:eastAsia="fr-FR" w:bidi="fr-FR"/>
        </w:rPr>
        <w:t>vations :</w:t>
      </w:r>
    </w:p>
    <w:p w14:paraId="69A90E9F" w14:textId="77777777" w:rsidR="00B9662D" w:rsidRDefault="00B9662D" w:rsidP="00B9662D">
      <w:pPr>
        <w:spacing w:before="120" w:after="120"/>
        <w:jc w:val="both"/>
        <w:rPr>
          <w:color w:val="000000"/>
          <w:lang w:eastAsia="fr-FR" w:bidi="fr-FR"/>
        </w:rPr>
      </w:pPr>
    </w:p>
    <w:p w14:paraId="15A2E2C6" w14:textId="77777777" w:rsidR="00B9662D" w:rsidRPr="009C29C2" w:rsidRDefault="00B9662D" w:rsidP="00B9662D">
      <w:pPr>
        <w:spacing w:before="120" w:after="120"/>
        <w:jc w:val="both"/>
      </w:pPr>
      <w:r w:rsidRPr="009C29C2">
        <w:rPr>
          <w:color w:val="000000"/>
          <w:lang w:eastAsia="fr-FR" w:bidi="fr-FR"/>
        </w:rPr>
        <w:t>1</w:t>
      </w:r>
      <w:r>
        <w:rPr>
          <w:color w:val="000000"/>
          <w:lang w:eastAsia="fr-FR" w:bidi="fr-FR"/>
        </w:rPr>
        <w:t>° </w:t>
      </w:r>
      <w:r w:rsidRPr="009C29C2">
        <w:rPr>
          <w:color w:val="000000"/>
          <w:lang w:eastAsia="fr-FR" w:bidi="fr-FR"/>
        </w:rPr>
        <w:t>Il s’agit d’un régime très dispersé ; il n’y a pas une seule grande masse de pays d’enclos ;</w:t>
      </w:r>
    </w:p>
    <w:p w14:paraId="24E286D2" w14:textId="77777777" w:rsidR="00B9662D" w:rsidRPr="009C29C2" w:rsidRDefault="00B9662D" w:rsidP="00B9662D">
      <w:pPr>
        <w:spacing w:before="120" w:after="120"/>
        <w:jc w:val="both"/>
      </w:pPr>
      <w:r w:rsidRPr="009C29C2">
        <w:rPr>
          <w:color w:val="000000"/>
          <w:lang w:eastAsia="fr-FR" w:bidi="fr-FR"/>
        </w:rPr>
        <w:t>2</w:t>
      </w:r>
      <w:r>
        <w:rPr>
          <w:color w:val="000000"/>
          <w:lang w:eastAsia="fr-FR" w:bidi="fr-FR"/>
        </w:rPr>
        <w:t>° </w:t>
      </w:r>
      <w:r w:rsidRPr="009C29C2">
        <w:rPr>
          <w:color w:val="000000"/>
          <w:lang w:eastAsia="fr-FR" w:bidi="fr-FR"/>
        </w:rPr>
        <w:t>Tous ces pays sont de sol pauvre, au moins de sol anciennement pauvre (avant les amendements modernes, et, notamment, le chaul</w:t>
      </w:r>
      <w:r w:rsidRPr="009C29C2">
        <w:rPr>
          <w:color w:val="000000"/>
          <w:lang w:eastAsia="fr-FR" w:bidi="fr-FR"/>
        </w:rPr>
        <w:t>a</w:t>
      </w:r>
      <w:r w:rsidRPr="009C29C2">
        <w:rPr>
          <w:color w:val="000000"/>
          <w:lang w:eastAsia="fr-FR" w:bidi="fr-FR"/>
        </w:rPr>
        <w:t>ge). Il est certain qu’entre le Cotentin et la plaine de Caen, entre les collines</w:t>
      </w:r>
      <w:r>
        <w:t xml:space="preserve"> [</w:t>
      </w:r>
      <w:r w:rsidRPr="009C29C2">
        <w:rPr>
          <w:color w:val="000000"/>
          <w:lang w:eastAsia="fr-FR" w:bidi="fr-FR"/>
        </w:rPr>
        <w:t>657</w:t>
      </w:r>
      <w:r>
        <w:rPr>
          <w:color w:val="000000"/>
          <w:lang w:eastAsia="fr-FR" w:bidi="fr-FR"/>
        </w:rPr>
        <w:t xml:space="preserve">] </w:t>
      </w:r>
      <w:r w:rsidRPr="009C29C2">
        <w:rPr>
          <w:color w:val="000000"/>
          <w:lang w:eastAsia="fr-FR" w:bidi="fr-FR"/>
        </w:rPr>
        <w:t>de la Creuse ou du Bois-Chaud et la Champagne berr</w:t>
      </w:r>
      <w:r w:rsidRPr="009C29C2">
        <w:rPr>
          <w:color w:val="000000"/>
          <w:lang w:eastAsia="fr-FR" w:bidi="fr-FR"/>
        </w:rPr>
        <w:t>i</w:t>
      </w:r>
      <w:r w:rsidRPr="009C29C2">
        <w:rPr>
          <w:color w:val="000000"/>
          <w:lang w:eastAsia="fr-FR" w:bidi="fr-FR"/>
        </w:rPr>
        <w:t>chonne, entre le Forez et la Limagne, le contraste n’est pas seulement de campagnes d’enclos à campagnes ouvertes ; il oppose</w:t>
      </w:r>
      <w:r>
        <w:rPr>
          <w:color w:val="000000"/>
          <w:lang w:eastAsia="fr-FR" w:bidi="fr-FR"/>
        </w:rPr>
        <w:t xml:space="preserve"> aussi des pays ancienn</w:t>
      </w:r>
      <w:r>
        <w:rPr>
          <w:color w:val="000000"/>
          <w:lang w:eastAsia="fr-FR" w:bidi="fr-FR"/>
        </w:rPr>
        <w:t>e</w:t>
      </w:r>
      <w:r>
        <w:rPr>
          <w:color w:val="000000"/>
          <w:lang w:eastAsia="fr-FR" w:bidi="fr-FR"/>
        </w:rPr>
        <w:t xml:space="preserve">ment </w:t>
      </w:r>
      <w:r w:rsidRPr="009C29C2">
        <w:rPr>
          <w:color w:val="000000"/>
          <w:lang w:eastAsia="fr-FR" w:bidi="fr-FR"/>
        </w:rPr>
        <w:t>pauvres avec des pays anciennement riches. Ce sont, en outre, des régions d’habitat très lâche. La cellule ici est le hamea</w:t>
      </w:r>
      <w:r>
        <w:rPr>
          <w:color w:val="000000"/>
          <w:lang w:eastAsia="fr-FR" w:bidi="fr-FR"/>
        </w:rPr>
        <w:t>u, souvent d’origine familiale.</w:t>
      </w:r>
    </w:p>
    <w:p w14:paraId="215AE54E" w14:textId="77777777" w:rsidR="00B9662D" w:rsidRPr="009C29C2" w:rsidRDefault="00B9662D" w:rsidP="00B9662D">
      <w:pPr>
        <w:spacing w:before="120" w:after="120"/>
        <w:jc w:val="both"/>
      </w:pPr>
      <w:r w:rsidRPr="009C29C2">
        <w:rPr>
          <w:color w:val="000000"/>
          <w:lang w:eastAsia="fr-FR" w:bidi="fr-FR"/>
        </w:rPr>
        <w:t>Voici comment je crois qu’on peut se représenter la genèse du r</w:t>
      </w:r>
      <w:r w:rsidRPr="009C29C2">
        <w:rPr>
          <w:color w:val="000000"/>
          <w:lang w:eastAsia="fr-FR" w:bidi="fr-FR"/>
        </w:rPr>
        <w:t>é</w:t>
      </w:r>
      <w:r w:rsidRPr="009C29C2">
        <w:rPr>
          <w:color w:val="000000"/>
          <w:lang w:eastAsia="fr-FR" w:bidi="fr-FR"/>
        </w:rPr>
        <w:t>gime des enclos.</w:t>
      </w:r>
    </w:p>
    <w:p w14:paraId="371BB1F6" w14:textId="77777777" w:rsidR="00B9662D" w:rsidRPr="009C29C2" w:rsidRDefault="00B9662D" w:rsidP="00B9662D">
      <w:pPr>
        <w:spacing w:before="120" w:after="120"/>
        <w:jc w:val="both"/>
      </w:pPr>
      <w:r w:rsidRPr="009C29C2">
        <w:rPr>
          <w:color w:val="000000"/>
          <w:lang w:eastAsia="fr-FR" w:bidi="fr-FR"/>
        </w:rPr>
        <w:t xml:space="preserve">Ces pays ont été extrêmement longtemps soumis au système de la culture temporaire, jusqu’en plein Moyen </w:t>
      </w:r>
      <w:r>
        <w:rPr>
          <w:color w:val="000000"/>
          <w:lang w:eastAsia="fr-FR" w:bidi="fr-FR"/>
        </w:rPr>
        <w:t>Â</w:t>
      </w:r>
      <w:r w:rsidRPr="009C29C2">
        <w:rPr>
          <w:color w:val="000000"/>
          <w:lang w:eastAsia="fr-FR" w:bidi="fr-FR"/>
        </w:rPr>
        <w:t xml:space="preserve">ge. Comment ce système fonctionnait-il ? Nous le savons par des témoignages du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w:t>
      </w:r>
    </w:p>
    <w:p w14:paraId="3C86EEED" w14:textId="77777777" w:rsidR="00B9662D" w:rsidRPr="009C29C2" w:rsidRDefault="00B9662D" w:rsidP="00B9662D">
      <w:pPr>
        <w:spacing w:before="120" w:after="120"/>
        <w:jc w:val="both"/>
      </w:pPr>
      <w:r w:rsidRPr="009C29C2">
        <w:rPr>
          <w:color w:val="000000"/>
          <w:lang w:eastAsia="fr-FR" w:bidi="fr-FR"/>
        </w:rPr>
        <w:t xml:space="preserve">On découpait dans la lande, de temps en temps, des champs. L’individu qui les mettait en culture avait le droit de les enclore. Il y était d’ailleurs pratiquement obligé, parce que sur le reste de la lande les bêtes continuaient à errer ; s’il voulait protéger ses récoltes, une </w:t>
      </w:r>
      <w:r w:rsidRPr="009C29C2">
        <w:rPr>
          <w:color w:val="000000"/>
          <w:lang w:eastAsia="fr-FR" w:bidi="fr-FR"/>
        </w:rPr>
        <w:lastRenderedPageBreak/>
        <w:t>barrière était nécessaire. Cette clôture, il avait le droit de la maintenir tant que le champ restait en culture, c’est-à-dire pendant quatre, cinq, six ans. Puis quand la terre ainsi provisoirement vouée au blé retou</w:t>
      </w:r>
      <w:r w:rsidRPr="009C29C2">
        <w:rPr>
          <w:color w:val="000000"/>
          <w:lang w:eastAsia="fr-FR" w:bidi="fr-FR"/>
        </w:rPr>
        <w:t>r</w:t>
      </w:r>
      <w:r w:rsidRPr="009C29C2">
        <w:rPr>
          <w:color w:val="000000"/>
          <w:lang w:eastAsia="fr-FR" w:bidi="fr-FR"/>
        </w:rPr>
        <w:t>nait à la jachère, il fallait abattre l’enceinte protectrice. Peu à peu pr</w:t>
      </w:r>
      <w:r w:rsidRPr="009C29C2">
        <w:rPr>
          <w:color w:val="000000"/>
          <w:lang w:eastAsia="fr-FR" w:bidi="fr-FR"/>
        </w:rPr>
        <w:t>o</w:t>
      </w:r>
      <w:r w:rsidRPr="009C29C2">
        <w:rPr>
          <w:color w:val="000000"/>
          <w:lang w:eastAsia="fr-FR" w:bidi="fr-FR"/>
        </w:rPr>
        <w:t>bablement, autour des lieux habités, on a fini par permettre que les clôtures fussent définitives. Là, en effet, on put substituer à la culture temporaire un régime d’assolement bien réglé, parce qu’à ces champs tout voisins des maisons et des étables on réservait la totalité ou la plus grande partie du fumier. Et par ailleurs la communauté n’avait pas de raison de s’opposer à la transformation de ces barrières, d’abord provisoires, en haies ou murs jamais abattus, elle n’a pas r</w:t>
      </w:r>
      <w:r w:rsidRPr="009C29C2">
        <w:rPr>
          <w:color w:val="000000"/>
          <w:lang w:eastAsia="fr-FR" w:bidi="fr-FR"/>
        </w:rPr>
        <w:t>é</w:t>
      </w:r>
      <w:r w:rsidRPr="009C29C2">
        <w:rPr>
          <w:color w:val="000000"/>
          <w:lang w:eastAsia="fr-FR" w:bidi="fr-FR"/>
        </w:rPr>
        <w:t>clamé en faveur du droit de vaine pâture collective, parce que cette portion du terroir, enclose et soumise à un système de culture compo</w:t>
      </w:r>
      <w:r w:rsidRPr="009C29C2">
        <w:rPr>
          <w:color w:val="000000"/>
          <w:lang w:eastAsia="fr-FR" w:bidi="fr-FR"/>
        </w:rPr>
        <w:t>r</w:t>
      </w:r>
      <w:r w:rsidRPr="009C29C2">
        <w:rPr>
          <w:color w:val="000000"/>
          <w:lang w:eastAsia="fr-FR" w:bidi="fr-FR"/>
        </w:rPr>
        <w:t>tant une périodicité fixe, ne forme jamais qu’un tout petit îlot au m</w:t>
      </w:r>
      <w:r w:rsidRPr="009C29C2">
        <w:rPr>
          <w:color w:val="000000"/>
          <w:lang w:eastAsia="fr-FR" w:bidi="fr-FR"/>
        </w:rPr>
        <w:t>i</w:t>
      </w:r>
      <w:r w:rsidRPr="009C29C2">
        <w:rPr>
          <w:color w:val="000000"/>
          <w:lang w:eastAsia="fr-FR" w:bidi="fr-FR"/>
        </w:rPr>
        <w:t>lieu de l’océan des landes, abandonnées au pacage et à la culture te</w:t>
      </w:r>
      <w:r w:rsidRPr="009C29C2">
        <w:rPr>
          <w:color w:val="000000"/>
          <w:lang w:eastAsia="fr-FR" w:bidi="fr-FR"/>
        </w:rPr>
        <w:t>m</w:t>
      </w:r>
      <w:r w:rsidRPr="009C29C2">
        <w:rPr>
          <w:color w:val="000000"/>
          <w:lang w:eastAsia="fr-FR" w:bidi="fr-FR"/>
        </w:rPr>
        <w:t>poraire. Les pays d’enclos sont des contrées où seule une toute petite ! partie du sol a été, sauf ret</w:t>
      </w:r>
      <w:r>
        <w:rPr>
          <w:color w:val="000000"/>
          <w:lang w:eastAsia="fr-FR" w:bidi="fr-FR"/>
        </w:rPr>
        <w:t>our, conquise par la charrue.</w:t>
      </w:r>
    </w:p>
    <w:p w14:paraId="1F88DBA8" w14:textId="77777777" w:rsidR="00B9662D" w:rsidRPr="009C29C2" w:rsidRDefault="00B9662D" w:rsidP="00B9662D">
      <w:pPr>
        <w:pStyle w:val="c"/>
      </w:pPr>
      <w:r w:rsidRPr="009C29C2">
        <w:rPr>
          <w:lang w:eastAsia="fr-FR" w:bidi="fr-FR"/>
        </w:rPr>
        <w:t>*</w:t>
      </w:r>
      <w:r>
        <w:rPr>
          <w:lang w:eastAsia="fr-FR" w:bidi="fr-FR"/>
        </w:rPr>
        <w:br/>
      </w:r>
      <w:r w:rsidRPr="009C29C2">
        <w:rPr>
          <w:lang w:eastAsia="fr-FR" w:bidi="fr-FR"/>
        </w:rPr>
        <w:t xml:space="preserve">* </w:t>
      </w:r>
      <w:r>
        <w:rPr>
          <w:lang w:eastAsia="fr-FR" w:bidi="fr-FR"/>
        </w:rPr>
        <w:t xml:space="preserve">    </w:t>
      </w:r>
      <w:r w:rsidRPr="009C29C2">
        <w:rPr>
          <w:lang w:eastAsia="fr-FR" w:bidi="fr-FR"/>
        </w:rPr>
        <w:t>*</w:t>
      </w:r>
    </w:p>
    <w:p w14:paraId="605F828A" w14:textId="77777777" w:rsidR="00B9662D" w:rsidRPr="009C29C2" w:rsidRDefault="00B9662D" w:rsidP="00B9662D">
      <w:pPr>
        <w:spacing w:before="120" w:after="120"/>
        <w:jc w:val="both"/>
      </w:pPr>
      <w:r w:rsidRPr="009C29C2">
        <w:rPr>
          <w:color w:val="000000"/>
          <w:lang w:eastAsia="fr-FR" w:bidi="fr-FR"/>
        </w:rPr>
        <w:t>Passons maintenant au système ouvert. Là, les problèmes, plus passionnants peut-être, nous mènent plus loin dans l’ordre des temps ; mais, par là même, ils sont aussi beaucoup plus difficiles à résoudre, et ouvrent très largement la voie aux hypothèses.</w:t>
      </w:r>
    </w:p>
    <w:p w14:paraId="4B1FBF0D" w14:textId="77777777" w:rsidR="00B9662D" w:rsidRPr="009C29C2" w:rsidRDefault="00B9662D" w:rsidP="00B9662D">
      <w:pPr>
        <w:spacing w:before="120" w:after="120"/>
        <w:jc w:val="both"/>
      </w:pPr>
      <w:r w:rsidRPr="009C29C2">
        <w:rPr>
          <w:color w:val="000000"/>
          <w:lang w:eastAsia="fr-FR" w:bidi="fr-FR"/>
        </w:rPr>
        <w:t>Envisageons d’abord les traits les plus immédiatement sensibles. Pourquoi y a-t-il des régions où on a fait des champs allongés, si b</w:t>
      </w:r>
      <w:r w:rsidRPr="009C29C2">
        <w:rPr>
          <w:color w:val="000000"/>
          <w:lang w:eastAsia="fr-FR" w:bidi="fr-FR"/>
        </w:rPr>
        <w:t>i</w:t>
      </w:r>
      <w:r w:rsidRPr="009C29C2">
        <w:rPr>
          <w:color w:val="000000"/>
          <w:lang w:eastAsia="fr-FR" w:bidi="fr-FR"/>
        </w:rPr>
        <w:t>zarrement allongés et groupés en faisceaux réguliers ? Pourquoi en d’autres régions n’existe-t-il rien de tel ? Pourquoi enfin ces contrastes se présentent-ils par grandes masses ? Le régime des champs ouverts et irréguliers, en effet, c’est en gros, ce qu’on peut appeler le régime du Midi. Avec, toutefois, de forts dépassements du côté du Nord. La Champagne berrichonne est de champs irréguliers, alors qu’</w:t>
      </w:r>
      <w:r w:rsidRPr="00412F4A">
        <w:rPr>
          <w:i/>
          <w:color w:val="000000"/>
          <w:lang w:eastAsia="fr-FR" w:bidi="fr-FR"/>
        </w:rPr>
        <w:t xml:space="preserve">a </w:t>
      </w:r>
      <w:r w:rsidRPr="00412F4A">
        <w:rPr>
          <w:i/>
        </w:rPr>
        <w:t>priori</w:t>
      </w:r>
      <w:r w:rsidRPr="009C29C2">
        <w:rPr>
          <w:color w:val="000000"/>
          <w:lang w:eastAsia="fr-FR" w:bidi="fr-FR"/>
        </w:rPr>
        <w:t>, on eût pu la supposer comme les plaines limoneuses de la Beauce et de la Picardie, auxquelles elle ressemble tant, vouée aux champs a</w:t>
      </w:r>
      <w:r w:rsidRPr="009C29C2">
        <w:rPr>
          <w:color w:val="000000"/>
          <w:lang w:eastAsia="fr-FR" w:bidi="fr-FR"/>
        </w:rPr>
        <w:t>l</w:t>
      </w:r>
      <w:r w:rsidRPr="009C29C2">
        <w:rPr>
          <w:color w:val="000000"/>
          <w:lang w:eastAsia="fr-FR" w:bidi="fr-FR"/>
        </w:rPr>
        <w:t>longés ! Le pays de Caux, au moins une grande partie du pays de Caux, appartient aussi au régime des champs irréguliers, formant, à cet égard, comme un corps étranger inséré</w:t>
      </w:r>
      <w:r>
        <w:rPr>
          <w:color w:val="000000"/>
          <w:lang w:eastAsia="fr-FR" w:bidi="fr-FR"/>
        </w:rPr>
        <w:t xml:space="preserve"> </w:t>
      </w:r>
      <w:r>
        <w:t xml:space="preserve">[658] </w:t>
      </w:r>
      <w:r w:rsidRPr="009C29C2">
        <w:rPr>
          <w:color w:val="000000"/>
          <w:lang w:eastAsia="fr-FR" w:bidi="fr-FR"/>
        </w:rPr>
        <w:t>dans la zone de champs allongés qui couvre la plus grande partie du Nord et du Centre de la France.</w:t>
      </w:r>
    </w:p>
    <w:p w14:paraId="1BF1242D" w14:textId="77777777" w:rsidR="00B9662D" w:rsidRPr="009C29C2" w:rsidRDefault="00B9662D" w:rsidP="00B9662D">
      <w:pPr>
        <w:spacing w:before="120" w:after="120"/>
        <w:jc w:val="both"/>
      </w:pPr>
      <w:r w:rsidRPr="009C29C2">
        <w:rPr>
          <w:color w:val="000000"/>
          <w:lang w:eastAsia="fr-FR" w:bidi="fr-FR"/>
        </w:rPr>
        <w:lastRenderedPageBreak/>
        <w:t>Déjà cette répartition nous montre qu’on ne peut chercher la clef du problème dans des phénomènes proprement naturels, proprement géographiques. Ou plutôt si les phénomènes géographiques, comme nous le verrons, interviennent dans une certaine mesure, ce n’est qu’à l’origine même des deux régimes, dont ils ne sauraient expliquer la répartition finale. Témoin la Champagne berrichonne si proche, je le répète, par ses conditions physiques, des régimes classiques de champs allongés.</w:t>
      </w:r>
    </w:p>
    <w:p w14:paraId="0D058CA5" w14:textId="77777777" w:rsidR="00B9662D" w:rsidRPr="009C29C2" w:rsidRDefault="00B9662D" w:rsidP="00B9662D">
      <w:pPr>
        <w:spacing w:before="120" w:after="120"/>
        <w:jc w:val="both"/>
      </w:pPr>
      <w:r w:rsidRPr="009C29C2">
        <w:rPr>
          <w:color w:val="000000"/>
          <w:lang w:eastAsia="fr-FR" w:bidi="fr-FR"/>
        </w:rPr>
        <w:t>Il est d’autres hypothèses qu’il faut indiquer tout de suite, non pour les rejeter, cette fois, mais pour dire simplement et honnêtement : je ne sais pas...</w:t>
      </w:r>
    </w:p>
    <w:p w14:paraId="28F1558F" w14:textId="77777777" w:rsidR="00B9662D" w:rsidRPr="009C29C2" w:rsidRDefault="00B9662D" w:rsidP="00B9662D">
      <w:pPr>
        <w:spacing w:before="120" w:after="120"/>
        <w:jc w:val="both"/>
      </w:pPr>
      <w:r w:rsidRPr="009C29C2">
        <w:rPr>
          <w:color w:val="000000"/>
          <w:lang w:eastAsia="fr-FR" w:bidi="fr-FR"/>
        </w:rPr>
        <w:t>Lorsque nous nous occupons de ces problèmes agraires, il y a des questions que nous ne posons presque jamais, que nous aurions tort cependant de ne pas poser, mais que nous avons raison de ne pas r</w:t>
      </w:r>
      <w:r w:rsidRPr="009C29C2">
        <w:rPr>
          <w:color w:val="000000"/>
          <w:lang w:eastAsia="fr-FR" w:bidi="fr-FR"/>
        </w:rPr>
        <w:t>é</w:t>
      </w:r>
      <w:r w:rsidRPr="009C29C2">
        <w:rPr>
          <w:color w:val="000000"/>
          <w:lang w:eastAsia="fr-FR" w:bidi="fr-FR"/>
        </w:rPr>
        <w:t>soudre : celles qui touchent les faits d’ordre religieux. L’opposition des deux systèmes ouverts est certainement très ancienne. C’est une des raisons qui la font si difficile à expliquer. Si donc, comme cela n’a rien d’invraisemblable, des motifs inspirés par ces croyances et ces rites que l’on trouve, dans les sociétés primitives, intimement mêlés à tous les phénomènes sociaux, ont pu intervenir dans la formation de ces coutumes agraires si différentes, on ne saurait s’étonner que nous ayons aujourd’hui tant de peine à les déceler. Il y a quelques observ</w:t>
      </w:r>
      <w:r w:rsidRPr="009C29C2">
        <w:rPr>
          <w:color w:val="000000"/>
          <w:lang w:eastAsia="fr-FR" w:bidi="fr-FR"/>
        </w:rPr>
        <w:t>a</w:t>
      </w:r>
      <w:r w:rsidRPr="009C29C2">
        <w:rPr>
          <w:color w:val="000000"/>
          <w:lang w:eastAsia="fr-FR" w:bidi="fr-FR"/>
        </w:rPr>
        <w:t xml:space="preserve">tions véritablement troublantes. Le champ du Midi français, le champ romain aussi, semble-t-il, est presque carré. Or le </w:t>
      </w:r>
      <w:r w:rsidRPr="00412F4A">
        <w:rPr>
          <w:i/>
        </w:rPr>
        <w:t>templum</w:t>
      </w:r>
      <w:r w:rsidRPr="009C29C2">
        <w:rPr>
          <w:color w:val="000000"/>
          <w:lang w:eastAsia="fr-FR" w:bidi="fr-FR"/>
        </w:rPr>
        <w:t xml:space="preserve"> qui, dans les rites romains, joue un rôle que même un profane comme moi ne saurait ignorer, le </w:t>
      </w:r>
      <w:r w:rsidRPr="00412F4A">
        <w:rPr>
          <w:i/>
        </w:rPr>
        <w:t>templum</w:t>
      </w:r>
      <w:r w:rsidRPr="009C29C2">
        <w:rPr>
          <w:color w:val="000000"/>
          <w:lang w:eastAsia="fr-FR" w:bidi="fr-FR"/>
        </w:rPr>
        <w:t>, lieu sacré par excellence est lui aussi un carré, caractérisé par ses deux axes perpendiculaires. Par ailleurs, tout ce qui se rattache aux limites, dans les sociétés anciennes a été certa</w:t>
      </w:r>
      <w:r w:rsidRPr="009C29C2">
        <w:rPr>
          <w:color w:val="000000"/>
          <w:lang w:eastAsia="fr-FR" w:bidi="fr-FR"/>
        </w:rPr>
        <w:t>i</w:t>
      </w:r>
      <w:r w:rsidRPr="009C29C2">
        <w:rPr>
          <w:color w:val="000000"/>
          <w:lang w:eastAsia="fr-FR" w:bidi="fr-FR"/>
        </w:rPr>
        <w:t>nement empreint d’une valeur religieuse... Là-dessus, à vrai dire, nous ne pouvons, pour l’instant que rêver. Un jour, peut-être</w:t>
      </w:r>
      <w:r>
        <w:rPr>
          <w:color w:val="000000"/>
          <w:lang w:eastAsia="fr-FR" w:bidi="fr-FR"/>
        </w:rPr>
        <w:t> — </w:t>
      </w:r>
      <w:r w:rsidRPr="009C29C2">
        <w:rPr>
          <w:color w:val="000000"/>
          <w:lang w:eastAsia="fr-FR" w:bidi="fr-FR"/>
        </w:rPr>
        <w:t>ce n’est pas sûr</w:t>
      </w:r>
      <w:r>
        <w:rPr>
          <w:color w:val="000000"/>
          <w:lang w:eastAsia="fr-FR" w:bidi="fr-FR"/>
        </w:rPr>
        <w:t> — </w:t>
      </w:r>
      <w:r w:rsidRPr="009C29C2">
        <w:rPr>
          <w:color w:val="000000"/>
          <w:lang w:eastAsia="fr-FR" w:bidi="fr-FR"/>
        </w:rPr>
        <w:t>l’histoire comparée ouvrira là-dessus quelques lueurs. A l’heure actuelle, ce ne sont qu’hypothèses, et des hypothèses qu’on ne saurait indiquer que d’un mot, sans prétendre même en préciser l’énoncé.</w:t>
      </w:r>
    </w:p>
    <w:p w14:paraId="4D6C0A97" w14:textId="77777777" w:rsidR="00B9662D" w:rsidRPr="009C29C2" w:rsidRDefault="00B9662D" w:rsidP="00B9662D">
      <w:pPr>
        <w:spacing w:before="120" w:after="120"/>
        <w:jc w:val="both"/>
      </w:pPr>
      <w:r w:rsidRPr="009C29C2">
        <w:rPr>
          <w:color w:val="000000"/>
          <w:lang w:eastAsia="fr-FR" w:bidi="fr-FR"/>
        </w:rPr>
        <w:t xml:space="preserve">Tenons-nous-en donc à des réalités plus aisément saisissables. D’ailleurs, les explications d’ordre à la fois technique et proprement social auxquelles je vais avoir recours, ne contredisent nullement </w:t>
      </w:r>
      <w:r w:rsidRPr="009C29C2">
        <w:rPr>
          <w:color w:val="000000"/>
          <w:lang w:eastAsia="fr-FR" w:bidi="fr-FR"/>
        </w:rPr>
        <w:lastRenderedPageBreak/>
        <w:t>l’hypothèse religieuse. On peut concevoir qu’elles soient un jour r</w:t>
      </w:r>
      <w:r w:rsidRPr="009C29C2">
        <w:rPr>
          <w:color w:val="000000"/>
          <w:lang w:eastAsia="fr-FR" w:bidi="fr-FR"/>
        </w:rPr>
        <w:t>e</w:t>
      </w:r>
      <w:r w:rsidRPr="009C29C2">
        <w:rPr>
          <w:color w:val="000000"/>
          <w:lang w:eastAsia="fr-FR" w:bidi="fr-FR"/>
        </w:rPr>
        <w:t>liées à elle.</w:t>
      </w:r>
    </w:p>
    <w:p w14:paraId="44DF332C" w14:textId="77777777" w:rsidR="00B9662D" w:rsidRPr="009C29C2" w:rsidRDefault="00B9662D" w:rsidP="00B9662D">
      <w:pPr>
        <w:spacing w:before="120" w:after="120"/>
        <w:jc w:val="both"/>
      </w:pPr>
      <w:r w:rsidRPr="009C29C2">
        <w:rPr>
          <w:color w:val="000000"/>
          <w:lang w:eastAsia="fr-FR" w:bidi="fr-FR"/>
        </w:rPr>
        <w:t xml:space="preserve">L’ancienne Europe a connu deux instruments de labour : l’araire qui se caractérise par ceci qu’il est dépourvu de roues, et la charrue proprement dite, montée sur roues. L’araire est certainement le plus ancien des deux. Fait significatif : à de très rares exceptions près, dans tous les pays de langue indo-européenne, l’araire, c’est-à-dire, je le répète, l’instrument sans roues, a conservé son vieux nom tiré de l’indo-européen commun. En Russie, en Italie, en Allemagne, comme en France (domaine proprement français et domaine provençal), le terme qui le désigne se rattache toujours au même radical, celui du latin </w:t>
      </w:r>
      <w:r w:rsidRPr="00EA7DF5">
        <w:rPr>
          <w:i/>
        </w:rPr>
        <w:t>arare</w:t>
      </w:r>
      <w:r w:rsidRPr="009C29C2">
        <w:t>.</w:t>
      </w:r>
      <w:r w:rsidRPr="009C29C2">
        <w:rPr>
          <w:color w:val="000000"/>
          <w:lang w:eastAsia="fr-FR" w:bidi="fr-FR"/>
        </w:rPr>
        <w:t xml:space="preserve"> Puis, à un moment donné</w:t>
      </w:r>
      <w:r>
        <w:rPr>
          <w:color w:val="000000"/>
          <w:lang w:eastAsia="fr-FR" w:bidi="fr-FR"/>
        </w:rPr>
        <w:t> — </w:t>
      </w:r>
      <w:r w:rsidRPr="009C29C2">
        <w:rPr>
          <w:color w:val="000000"/>
          <w:lang w:eastAsia="fr-FR" w:bidi="fr-FR"/>
        </w:rPr>
        <w:t>Pline semble avoir considéré l’innovation comme relativement récente</w:t>
      </w:r>
      <w:r>
        <w:rPr>
          <w:color w:val="000000"/>
          <w:lang w:eastAsia="fr-FR" w:bidi="fr-FR"/>
        </w:rPr>
        <w:t> — </w:t>
      </w:r>
      <w:r w:rsidRPr="009C29C2">
        <w:rPr>
          <w:color w:val="000000"/>
          <w:lang w:eastAsia="fr-FR" w:bidi="fr-FR"/>
        </w:rPr>
        <w:t>on a vu s’introduire, dans les plaines du Nord, l’instrument à roues. Nous l’appelons en français « charrue ». Le nom est d’origine</w:t>
      </w:r>
      <w:r>
        <w:t xml:space="preserve"> [659] </w:t>
      </w:r>
      <w:r w:rsidRPr="009C29C2">
        <w:rPr>
          <w:color w:val="000000"/>
          <w:lang w:eastAsia="fr-FR" w:bidi="fr-FR"/>
        </w:rPr>
        <w:t xml:space="preserve">gauloise et son sens primitif est bien connu ; on le trouve attesté jusque dans les Codes. </w:t>
      </w:r>
      <w:r w:rsidRPr="00412F4A">
        <w:rPr>
          <w:i/>
        </w:rPr>
        <w:t>Carruca</w:t>
      </w:r>
      <w:r w:rsidRPr="009C29C2">
        <w:rPr>
          <w:color w:val="000000"/>
          <w:lang w:eastAsia="fr-FR" w:bidi="fr-FR"/>
        </w:rPr>
        <w:t xml:space="preserve"> voulait dire, primitivement, « petite voiture ». Ne sachant comment appeler l’instrument nouveau, on lui a donné le nom de l’objet qui, par excellence, comportait des roues. Le vocable allemand (d’où dérive, à son tour, le mot russe)</w:t>
      </w:r>
      <w:r>
        <w:rPr>
          <w:color w:val="000000"/>
          <w:lang w:eastAsia="fr-FR" w:bidi="fr-FR"/>
        </w:rPr>
        <w:t> — </w:t>
      </w:r>
      <w:r w:rsidRPr="009C29C2">
        <w:rPr>
          <w:color w:val="000000"/>
          <w:lang w:eastAsia="fr-FR" w:bidi="fr-FR"/>
        </w:rPr>
        <w:t xml:space="preserve">allemand moderne </w:t>
      </w:r>
      <w:r w:rsidRPr="00412F4A">
        <w:rPr>
          <w:i/>
        </w:rPr>
        <w:t>Pflug</w:t>
      </w:r>
      <w:r w:rsidRPr="00412F4A">
        <w:rPr>
          <w:i/>
          <w:color w:val="000000"/>
          <w:lang w:eastAsia="fr-FR" w:bidi="fr-FR"/>
        </w:rPr>
        <w:t> </w:t>
      </w:r>
      <w:r>
        <w:rPr>
          <w:color w:val="000000"/>
          <w:lang w:eastAsia="fr-FR" w:bidi="fr-FR"/>
        </w:rPr>
        <w:t>— </w:t>
      </w:r>
      <w:r w:rsidRPr="009C29C2">
        <w:rPr>
          <w:color w:val="000000"/>
          <w:lang w:eastAsia="fr-FR" w:bidi="fr-FR"/>
        </w:rPr>
        <w:t>est plus sing</w:t>
      </w:r>
      <w:r w:rsidRPr="009C29C2">
        <w:rPr>
          <w:color w:val="000000"/>
          <w:lang w:eastAsia="fr-FR" w:bidi="fr-FR"/>
        </w:rPr>
        <w:t>u</w:t>
      </w:r>
      <w:r w:rsidRPr="009C29C2">
        <w:rPr>
          <w:color w:val="000000"/>
          <w:lang w:eastAsia="fr-FR" w:bidi="fr-FR"/>
        </w:rPr>
        <w:t>lier. Très probablement, il n’est pas indo-européen : Pline paraît lui avoir attribué une origine « rhète ». Quelle importance doit-on acco</w:t>
      </w:r>
      <w:r w:rsidRPr="009C29C2">
        <w:rPr>
          <w:color w:val="000000"/>
          <w:lang w:eastAsia="fr-FR" w:bidi="fr-FR"/>
        </w:rPr>
        <w:t>r</w:t>
      </w:r>
      <w:r w:rsidRPr="009C29C2">
        <w:rPr>
          <w:color w:val="000000"/>
          <w:lang w:eastAsia="fr-FR" w:bidi="fr-FR"/>
        </w:rPr>
        <w:t>der, sur ce point de linguistique, à l’opinion de Pline ? Je suis incap</w:t>
      </w:r>
      <w:r w:rsidRPr="009C29C2">
        <w:rPr>
          <w:color w:val="000000"/>
          <w:lang w:eastAsia="fr-FR" w:bidi="fr-FR"/>
        </w:rPr>
        <w:t>a</w:t>
      </w:r>
      <w:r w:rsidRPr="009C29C2">
        <w:rPr>
          <w:color w:val="000000"/>
          <w:lang w:eastAsia="fr-FR" w:bidi="fr-FR"/>
        </w:rPr>
        <w:t>ble d’en décider. Peu importe d’ailleurs. Il y a là une invention qui s’est faite dans les plaines du Nord de l’Europe, où la technique de la roue a été de bonne heure po</w:t>
      </w:r>
      <w:r w:rsidRPr="009C29C2">
        <w:rPr>
          <w:color w:val="000000"/>
          <w:lang w:eastAsia="fr-FR" w:bidi="fr-FR"/>
        </w:rPr>
        <w:t>r</w:t>
      </w:r>
      <w:r w:rsidRPr="009C29C2">
        <w:rPr>
          <w:color w:val="000000"/>
          <w:lang w:eastAsia="fr-FR" w:bidi="fr-FR"/>
        </w:rPr>
        <w:t>tée à un très haut point : on a eu l’idée d’adjoindre des roues à l’instrument de labour et cette invention a rayonné, mais elle n’a pas atteint en France l’ensemble de la région méridionale.</w:t>
      </w:r>
    </w:p>
    <w:p w14:paraId="41BB038A" w14:textId="77777777" w:rsidR="00B9662D" w:rsidRPr="009C29C2" w:rsidRDefault="00B9662D" w:rsidP="00B9662D">
      <w:pPr>
        <w:spacing w:before="120" w:after="120"/>
        <w:jc w:val="both"/>
      </w:pPr>
      <w:r w:rsidRPr="009C29C2">
        <w:rPr>
          <w:color w:val="000000"/>
          <w:lang w:eastAsia="fr-FR" w:bidi="fr-FR"/>
        </w:rPr>
        <w:t>Or il y a là, autant que les documents permettent de le voir, entre l’aire de la charrue à roues et l’aire des champs allongés, une conco</w:t>
      </w:r>
      <w:r w:rsidRPr="009C29C2">
        <w:rPr>
          <w:color w:val="000000"/>
          <w:lang w:eastAsia="fr-FR" w:bidi="fr-FR"/>
        </w:rPr>
        <w:t>r</w:t>
      </w:r>
      <w:r w:rsidRPr="009C29C2">
        <w:rPr>
          <w:color w:val="000000"/>
          <w:lang w:eastAsia="fr-FR" w:bidi="fr-FR"/>
        </w:rPr>
        <w:t xml:space="preserve">dance significative. Cela non seulement en France, mais dans l’ensemble de l’Europe. Quelques observations ont la valeur d’expériences cruciales. Le Berry, qui n’a pas de champs allongés, était, anciennement, pays d’« ereau », c’est-à-dire d’araire. Quant au Pays de Caux, les Scandinaves qui, nous le savons, l’ont repeuplé en grande partie, ne possédaient pas la charrue à roues. Aussi bien cette coïncidence s’explique tout naturellement. La charrue à roues est un </w:t>
      </w:r>
      <w:r w:rsidRPr="009C29C2">
        <w:rPr>
          <w:color w:val="000000"/>
          <w:lang w:eastAsia="fr-FR" w:bidi="fr-FR"/>
        </w:rPr>
        <w:lastRenderedPageBreak/>
        <w:t>très bel outil. Elle a cependant un défaut. Elle ne tourne pas aisément, beaucoup plus difficilement, en tout cas, que l’araire. Par conséquent, là où elle était en usage, on a eu intérêt à faire les champs très longs, afin de réduire le nombre des tournants ; et les faisant très longs, sous peine de les faire exagérément étendus, il a fallu les faire très étroits.</w:t>
      </w:r>
    </w:p>
    <w:p w14:paraId="3E8395D5" w14:textId="77777777" w:rsidR="00B9662D" w:rsidRPr="009C29C2" w:rsidRDefault="00B9662D" w:rsidP="00B9662D">
      <w:pPr>
        <w:spacing w:before="120" w:after="120"/>
        <w:jc w:val="both"/>
      </w:pPr>
      <w:r w:rsidRPr="009C29C2">
        <w:rPr>
          <w:color w:val="000000"/>
          <w:lang w:eastAsia="fr-FR" w:bidi="fr-FR"/>
        </w:rPr>
        <w:t>Donc, à la base de ce contraste, si frappant, entre champs allongés et champs irréguliers, nous découvrons tout d’abord un phénomène d’ordre technique. Faut-il nous contenter de l’hypothèse ainsi dég</w:t>
      </w:r>
      <w:r w:rsidRPr="009C29C2">
        <w:rPr>
          <w:color w:val="000000"/>
          <w:lang w:eastAsia="fr-FR" w:bidi="fr-FR"/>
        </w:rPr>
        <w:t>a</w:t>
      </w:r>
      <w:r w:rsidRPr="009C29C2">
        <w:rPr>
          <w:color w:val="000000"/>
          <w:lang w:eastAsia="fr-FR" w:bidi="fr-FR"/>
        </w:rPr>
        <w:t>gée ? Je ne le crois pas, et c’est sur cette considération, à mon sens très importante, que je voudrais terminer mon exposé. L’explication technique subsiste certainement, mais elle n’a qu’une valeur en que</w:t>
      </w:r>
      <w:r w:rsidRPr="009C29C2">
        <w:rPr>
          <w:color w:val="000000"/>
          <w:lang w:eastAsia="fr-FR" w:bidi="fr-FR"/>
        </w:rPr>
        <w:t>l</w:t>
      </w:r>
      <w:r w:rsidRPr="009C29C2">
        <w:rPr>
          <w:color w:val="000000"/>
          <w:lang w:eastAsia="fr-FR" w:bidi="fr-FR"/>
        </w:rPr>
        <w:t>que sorte secondaire. Elle est loin d’épuiser tout le réel. Car enfin, qu’on ait fait les champs longs, rien de plus clair. Mais qui empêchait après tout de les faire aussi très larges ? Il nous paraît très naturel qu’on ne l’ait pas voulu. Mais pourquoi ? Tout simplement parce que nous estimons que dans un terroir donné, chaque exploitant doit dét</w:t>
      </w:r>
      <w:r w:rsidRPr="009C29C2">
        <w:rPr>
          <w:color w:val="000000"/>
          <w:lang w:eastAsia="fr-FR" w:bidi="fr-FR"/>
        </w:rPr>
        <w:t>e</w:t>
      </w:r>
      <w:r w:rsidRPr="009C29C2">
        <w:rPr>
          <w:color w:val="000000"/>
          <w:lang w:eastAsia="fr-FR" w:bidi="fr-FR"/>
        </w:rPr>
        <w:t>nir un très grand nombre de champs répartis sur de vastes surfaces, où le sol, l’exposition, les possibilités d’accident offrent des chances di</w:t>
      </w:r>
      <w:r w:rsidRPr="009C29C2">
        <w:rPr>
          <w:color w:val="000000"/>
          <w:lang w:eastAsia="fr-FR" w:bidi="fr-FR"/>
        </w:rPr>
        <w:t>f</w:t>
      </w:r>
      <w:r w:rsidRPr="009C29C2">
        <w:rPr>
          <w:color w:val="000000"/>
          <w:lang w:eastAsia="fr-FR" w:bidi="fr-FR"/>
        </w:rPr>
        <w:t>férentes. Si l’on avait fait les champs à la fois très larges et très longs, notre homme n’eût pu en avoir plus de deux ou trois. Comme nous, davantage que nous, les paysans d’autrefois jugeaient que la dispe</w:t>
      </w:r>
      <w:r w:rsidRPr="009C29C2">
        <w:rPr>
          <w:color w:val="000000"/>
          <w:lang w:eastAsia="fr-FR" w:bidi="fr-FR"/>
        </w:rPr>
        <w:t>r</w:t>
      </w:r>
      <w:r w:rsidRPr="009C29C2">
        <w:rPr>
          <w:color w:val="000000"/>
          <w:lang w:eastAsia="fr-FR" w:bidi="fr-FR"/>
        </w:rPr>
        <w:t>sion était au contraire le seul système qui fût naturel, qui fût équitable. D’où la nécessité, puisque la charrue imposait des champs longs, de les faire en même temps de largeur médiocre. Mais ici, qui ne le voit ? nous sortons déjà du domaine de la pure technique.</w:t>
      </w:r>
    </w:p>
    <w:p w14:paraId="5917D7E8" w14:textId="77777777" w:rsidR="00B9662D" w:rsidRPr="009C29C2" w:rsidRDefault="00B9662D" w:rsidP="00B9662D">
      <w:pPr>
        <w:spacing w:before="120" w:after="120"/>
        <w:jc w:val="both"/>
      </w:pPr>
      <w:r w:rsidRPr="009C29C2">
        <w:rPr>
          <w:color w:val="000000"/>
          <w:lang w:eastAsia="fr-FR" w:bidi="fr-FR"/>
        </w:rPr>
        <w:t>Ce n’est pas tout. Reprenons nos explications de tout à l’heure. J’ai paru supposer que la vaine pâture était exigée par la forme des champs. Cela est vrai dans une certaine mesure. Ce n’est pas tout à fait vrai.</w:t>
      </w:r>
      <w:r>
        <w:t xml:space="preserve"> [660] </w:t>
      </w:r>
      <w:r w:rsidRPr="009C29C2">
        <w:rPr>
          <w:color w:val="000000"/>
          <w:lang w:eastAsia="fr-FR" w:bidi="fr-FR"/>
        </w:rPr>
        <w:t>Et, je puis ici vous rapporter une anecdote qui a été pour moi un trait de lumière. Un jour que je me trouvais à la Direction des Contributions directes de la Manche, en train de consulter des ca</w:t>
      </w:r>
      <w:r w:rsidRPr="009C29C2">
        <w:rPr>
          <w:color w:val="000000"/>
          <w:lang w:eastAsia="fr-FR" w:bidi="fr-FR"/>
        </w:rPr>
        <w:t>r</w:t>
      </w:r>
      <w:r w:rsidRPr="009C29C2">
        <w:rPr>
          <w:color w:val="000000"/>
          <w:lang w:eastAsia="fr-FR" w:bidi="fr-FR"/>
        </w:rPr>
        <w:t>tes cada</w:t>
      </w:r>
      <w:r w:rsidRPr="009C29C2">
        <w:rPr>
          <w:color w:val="000000"/>
          <w:lang w:eastAsia="fr-FR" w:bidi="fr-FR"/>
        </w:rPr>
        <w:t>s</w:t>
      </w:r>
      <w:r w:rsidRPr="009C29C2">
        <w:rPr>
          <w:color w:val="000000"/>
          <w:lang w:eastAsia="fr-FR" w:bidi="fr-FR"/>
        </w:rPr>
        <w:t>trales, j’ai noté sur les plans de ce pays d’enclos une curieuse partic</w:t>
      </w:r>
      <w:r w:rsidRPr="009C29C2">
        <w:rPr>
          <w:color w:val="000000"/>
          <w:lang w:eastAsia="fr-FR" w:bidi="fr-FR"/>
        </w:rPr>
        <w:t>u</w:t>
      </w:r>
      <w:r w:rsidRPr="009C29C2">
        <w:rPr>
          <w:color w:val="000000"/>
          <w:lang w:eastAsia="fr-FR" w:bidi="fr-FR"/>
        </w:rPr>
        <w:t>larité que d’autres plans et des documents écrits m’ont, depuis lors, rendue familière : il arrive quelquefois, à la suite de partages su</w:t>
      </w:r>
      <w:r w:rsidRPr="009C29C2">
        <w:rPr>
          <w:color w:val="000000"/>
          <w:lang w:eastAsia="fr-FR" w:bidi="fr-FR"/>
        </w:rPr>
        <w:t>c</w:t>
      </w:r>
      <w:r w:rsidRPr="009C29C2">
        <w:rPr>
          <w:color w:val="000000"/>
          <w:lang w:eastAsia="fr-FR" w:bidi="fr-FR"/>
        </w:rPr>
        <w:t>ce</w:t>
      </w:r>
      <w:r w:rsidRPr="009C29C2">
        <w:rPr>
          <w:color w:val="000000"/>
          <w:lang w:eastAsia="fr-FR" w:bidi="fr-FR"/>
        </w:rPr>
        <w:t>s</w:t>
      </w:r>
      <w:r w:rsidRPr="009C29C2">
        <w:rPr>
          <w:color w:val="000000"/>
          <w:lang w:eastAsia="fr-FR" w:bidi="fr-FR"/>
        </w:rPr>
        <w:t>soraux par exemple, qu’à l’intérieur d’un même champ, encerclé de haies, un certain morcellement se soit produit et que les parcelles no</w:t>
      </w:r>
      <w:r w:rsidRPr="009C29C2">
        <w:rPr>
          <w:color w:val="000000"/>
          <w:lang w:eastAsia="fr-FR" w:bidi="fr-FR"/>
        </w:rPr>
        <w:t>u</w:t>
      </w:r>
      <w:r w:rsidRPr="009C29C2">
        <w:rPr>
          <w:color w:val="000000"/>
          <w:lang w:eastAsia="fr-FR" w:bidi="fr-FR"/>
        </w:rPr>
        <w:t xml:space="preserve">velles, ainsi délimitées, se trouvent dépourvues de clôtures. Je causais volontiers avec un vieil employé du cadastre fort au </w:t>
      </w:r>
      <w:r w:rsidRPr="009C29C2">
        <w:rPr>
          <w:color w:val="000000"/>
          <w:lang w:eastAsia="fr-FR" w:bidi="fr-FR"/>
        </w:rPr>
        <w:lastRenderedPageBreak/>
        <w:t>courant des us</w:t>
      </w:r>
      <w:r w:rsidRPr="009C29C2">
        <w:rPr>
          <w:color w:val="000000"/>
          <w:lang w:eastAsia="fr-FR" w:bidi="fr-FR"/>
        </w:rPr>
        <w:t>a</w:t>
      </w:r>
      <w:r w:rsidRPr="009C29C2">
        <w:rPr>
          <w:color w:val="000000"/>
          <w:lang w:eastAsia="fr-FR" w:bidi="fr-FR"/>
        </w:rPr>
        <w:t>ges ruraux de son coin de terre. Je lui ai dit : « En pareil cas vous êtes bien obligés d’avoir recours à une espèce de vaine pâture ? » Il m’a regardé avec pitié (ne connaissant pas les coutumes de son pays, j’étais, à ses yeux, un pauvre ignorant) et m’a répondu : « Eh non ! Monsieur, c’est tout simple ! on attache les bêtes ! » Il avait ra</w:t>
      </w:r>
      <w:r w:rsidRPr="009C29C2">
        <w:rPr>
          <w:color w:val="000000"/>
          <w:lang w:eastAsia="fr-FR" w:bidi="fr-FR"/>
        </w:rPr>
        <w:t>i</w:t>
      </w:r>
      <w:r w:rsidRPr="009C29C2">
        <w:rPr>
          <w:color w:val="000000"/>
          <w:lang w:eastAsia="fr-FR" w:bidi="fr-FR"/>
        </w:rPr>
        <w:t>son : à l’extrême rigueur, on aurait pu concevoir un système de cette sorte, même dans les pays de champs allongés.</w:t>
      </w:r>
    </w:p>
    <w:p w14:paraId="02C2BCB9" w14:textId="77777777" w:rsidR="00B9662D" w:rsidRPr="009C29C2" w:rsidRDefault="00B9662D" w:rsidP="00B9662D">
      <w:pPr>
        <w:spacing w:before="120" w:after="120"/>
        <w:jc w:val="both"/>
      </w:pPr>
      <w:r w:rsidRPr="009C29C2">
        <w:rPr>
          <w:color w:val="000000"/>
          <w:lang w:eastAsia="fr-FR" w:bidi="fr-FR"/>
        </w:rPr>
        <w:t>Il y a plus. Quand nous regardons un terroir de champs allongés, point de trait qui nous frappe davantage que la régularité du dessin. Les champs ne sont pas disposés au hasard ; ils allongent leurs sillons en faisceaux. Sans doute, direz-vous peut-être, comment en serait-il autrement ? Si, faisant les champs très longs, on avait manqué à les grouper en séries, à l’intérieur de chacune desquelles ils obéissent au même parallélisme, ils se seraient entrecroisés : hypothèse trop év</w:t>
      </w:r>
      <w:r w:rsidRPr="009C29C2">
        <w:rPr>
          <w:color w:val="000000"/>
          <w:lang w:eastAsia="fr-FR" w:bidi="fr-FR"/>
        </w:rPr>
        <w:t>i</w:t>
      </w:r>
      <w:r w:rsidRPr="009C29C2">
        <w:rPr>
          <w:color w:val="000000"/>
          <w:lang w:eastAsia="fr-FR" w:bidi="fr-FR"/>
        </w:rPr>
        <w:t>demment absurde. D’accord. Mais de cette observation d’une i</w:t>
      </w:r>
      <w:r w:rsidRPr="009C29C2">
        <w:rPr>
          <w:color w:val="000000"/>
          <w:lang w:eastAsia="fr-FR" w:bidi="fr-FR"/>
        </w:rPr>
        <w:t>n</w:t>
      </w:r>
      <w:r w:rsidRPr="009C29C2">
        <w:rPr>
          <w:color w:val="000000"/>
          <w:lang w:eastAsia="fr-FR" w:bidi="fr-FR"/>
        </w:rPr>
        <w:t>contestable justesse, sachons tirer les conclusions nécessaires. On n’a pu, par conséquent, faire les champs très longs que parce qu’on po</w:t>
      </w:r>
      <w:r w:rsidRPr="009C29C2">
        <w:rPr>
          <w:color w:val="000000"/>
          <w:lang w:eastAsia="fr-FR" w:bidi="fr-FR"/>
        </w:rPr>
        <w:t>u</w:t>
      </w:r>
      <w:r w:rsidRPr="009C29C2">
        <w:rPr>
          <w:color w:val="000000"/>
          <w:lang w:eastAsia="fr-FR" w:bidi="fr-FR"/>
        </w:rPr>
        <w:t>vait les constituer ainsi en séries régulières. En d’autres termes, ces terroirs véritablement systématiques ont été des terroirs faits, dans une certaine mesure, sur plans, faits morceau par morceau, bien entendu, mais de telle sorte que, chaque fois qu’on a mis en culture un quartier déterminé, on a consenti à suivre certaines directives d’ensemble. Nous voilà donc ramenés à une notion déjà entrevue : entre les régions de champs ouverts et allongés et les régions de champs ouverts et i</w:t>
      </w:r>
      <w:r w:rsidRPr="009C29C2">
        <w:rPr>
          <w:color w:val="000000"/>
          <w:lang w:eastAsia="fr-FR" w:bidi="fr-FR"/>
        </w:rPr>
        <w:t>r</w:t>
      </w:r>
      <w:r w:rsidRPr="009C29C2">
        <w:rPr>
          <w:color w:val="000000"/>
          <w:lang w:eastAsia="fr-FR" w:bidi="fr-FR"/>
        </w:rPr>
        <w:t>réguliers, la différence fondamentale est essentiellement une différe</w:t>
      </w:r>
      <w:r w:rsidRPr="009C29C2">
        <w:rPr>
          <w:color w:val="000000"/>
          <w:lang w:eastAsia="fr-FR" w:bidi="fr-FR"/>
        </w:rPr>
        <w:t>n</w:t>
      </w:r>
      <w:r w:rsidRPr="009C29C2">
        <w:rPr>
          <w:color w:val="000000"/>
          <w:lang w:eastAsia="fr-FR" w:bidi="fr-FR"/>
        </w:rPr>
        <w:t>ce de mentalité sociale. Dans les pays de champs allongés, le sent</w:t>
      </w:r>
      <w:r w:rsidRPr="009C29C2">
        <w:rPr>
          <w:color w:val="000000"/>
          <w:lang w:eastAsia="fr-FR" w:bidi="fr-FR"/>
        </w:rPr>
        <w:t>i</w:t>
      </w:r>
      <w:r w:rsidRPr="009C29C2">
        <w:rPr>
          <w:color w:val="000000"/>
          <w:lang w:eastAsia="fr-FR" w:bidi="fr-FR"/>
        </w:rPr>
        <w:t>ment communautaire a été beaucoup plus fort qu’ailleurs. Les contra</w:t>
      </w:r>
      <w:r w:rsidRPr="009C29C2">
        <w:rPr>
          <w:color w:val="000000"/>
          <w:lang w:eastAsia="fr-FR" w:bidi="fr-FR"/>
        </w:rPr>
        <w:t>s</w:t>
      </w:r>
      <w:r w:rsidRPr="009C29C2">
        <w:rPr>
          <w:color w:val="000000"/>
          <w:lang w:eastAsia="fr-FR" w:bidi="fr-FR"/>
        </w:rPr>
        <w:t>tes matériels s’expliquent bien par un fait d’ordre technique : l’usage de la charrue. Mais l’emploi de cet instrument de labour perfectionné n’a été rendu possible que parce que les communautés rurales qui l’ont adopté avaient assez de cohérence pour pouvoir constituer leur terroir sur un plan tel que l’allongement des champs imposé par la charrue à roues fût possible.</w:t>
      </w:r>
    </w:p>
    <w:p w14:paraId="03CEA5BB" w14:textId="77777777" w:rsidR="00B9662D" w:rsidRPr="009C29C2" w:rsidRDefault="00B9662D" w:rsidP="00B9662D">
      <w:pPr>
        <w:spacing w:before="120" w:after="120"/>
        <w:jc w:val="both"/>
      </w:pPr>
      <w:r w:rsidRPr="009C29C2">
        <w:rPr>
          <w:color w:val="000000"/>
          <w:lang w:eastAsia="fr-FR" w:bidi="fr-FR"/>
        </w:rPr>
        <w:t>Voilà, vous le voyez, comment ces problèmes agraires conduisent à poser des problèmes d’ordre social d’une très vaste portée.</w:t>
      </w:r>
    </w:p>
    <w:p w14:paraId="29B8A3F8" w14:textId="77777777" w:rsidR="00B9662D" w:rsidRPr="009C29C2" w:rsidRDefault="00B9662D" w:rsidP="00B9662D">
      <w:pPr>
        <w:spacing w:before="120" w:after="120"/>
        <w:jc w:val="both"/>
      </w:pPr>
      <w:r w:rsidRPr="009C29C2">
        <w:rPr>
          <w:color w:val="000000"/>
          <w:lang w:eastAsia="fr-FR" w:bidi="fr-FR"/>
        </w:rPr>
        <w:t>Je termine ici. Je ne dirai rien des classes ; je n’en aurais pas le temps. Je suis très désireux de me réserver le loisir d’entendre vos cr</w:t>
      </w:r>
      <w:r w:rsidRPr="009C29C2">
        <w:rPr>
          <w:color w:val="000000"/>
          <w:lang w:eastAsia="fr-FR" w:bidi="fr-FR"/>
        </w:rPr>
        <w:t>i</w:t>
      </w:r>
      <w:r w:rsidRPr="009C29C2">
        <w:rPr>
          <w:color w:val="000000"/>
          <w:lang w:eastAsia="fr-FR" w:bidi="fr-FR"/>
        </w:rPr>
        <w:t>tiques.</w:t>
      </w:r>
    </w:p>
    <w:p w14:paraId="2B7731F0" w14:textId="77777777" w:rsidR="00B9662D" w:rsidRDefault="00B9662D" w:rsidP="00B9662D">
      <w:pPr>
        <w:spacing w:before="120" w:after="120"/>
        <w:jc w:val="both"/>
        <w:rPr>
          <w:color w:val="000000"/>
          <w:lang w:eastAsia="fr-FR" w:bidi="fr-FR"/>
        </w:rPr>
      </w:pPr>
    </w:p>
    <w:p w14:paraId="16C39603" w14:textId="77777777" w:rsidR="00B9662D" w:rsidRPr="009E1A63" w:rsidRDefault="00B9662D" w:rsidP="00B9662D">
      <w:pPr>
        <w:spacing w:before="120" w:after="120"/>
        <w:jc w:val="both"/>
      </w:pPr>
      <w:r w:rsidRPr="009E1A63">
        <w:rPr>
          <w:color w:val="000000"/>
          <w:lang w:eastAsia="fr-FR" w:bidi="fr-FR"/>
        </w:rPr>
        <w:t xml:space="preserve">M. </w:t>
      </w:r>
      <w:r w:rsidRPr="009E1A63">
        <w:rPr>
          <w:rStyle w:val="Corpsdutexte275ptGras"/>
          <w:b w:val="0"/>
          <w:smallCaps/>
          <w:sz w:val="28"/>
        </w:rPr>
        <w:t>le Président</w:t>
      </w:r>
      <w:r w:rsidRPr="009E1A63">
        <w:rPr>
          <w:rStyle w:val="Corpsdutexte275ptGras"/>
          <w:b w:val="0"/>
          <w:sz w:val="28"/>
        </w:rPr>
        <w:t>.</w:t>
      </w:r>
      <w:r w:rsidRPr="009E1A63">
        <w:rPr>
          <w:rStyle w:val="Corpsdutexte275ptGras"/>
          <w:sz w:val="28"/>
        </w:rPr>
        <w:t> — </w:t>
      </w:r>
      <w:r w:rsidRPr="009E1A63">
        <w:rPr>
          <w:color w:val="000000"/>
          <w:lang w:eastAsia="fr-FR" w:bidi="fr-FR"/>
        </w:rPr>
        <w:t>Je vous remercie en peu de mots, mais bien vivement, d’abord, comme représentant de vos auditeurs très intére</w:t>
      </w:r>
      <w:r w:rsidRPr="009E1A63">
        <w:rPr>
          <w:color w:val="000000"/>
          <w:lang w:eastAsia="fr-FR" w:bidi="fr-FR"/>
        </w:rPr>
        <w:t>s</w:t>
      </w:r>
      <w:r w:rsidRPr="009E1A63">
        <w:rPr>
          <w:color w:val="000000"/>
          <w:lang w:eastAsia="fr-FR" w:bidi="fr-FR"/>
        </w:rPr>
        <w:t>sés, et aussi comme sociologue, parce que, dans cet exposé très écla</w:t>
      </w:r>
      <w:r w:rsidRPr="009E1A63">
        <w:rPr>
          <w:color w:val="000000"/>
          <w:lang w:eastAsia="fr-FR" w:bidi="fr-FR"/>
        </w:rPr>
        <w:t>i</w:t>
      </w:r>
      <w:r w:rsidRPr="009E1A63">
        <w:rPr>
          <w:color w:val="000000"/>
          <w:lang w:eastAsia="fr-FR" w:bidi="fr-FR"/>
        </w:rPr>
        <w:t>ré, les</w:t>
      </w:r>
      <w:r w:rsidRPr="009E1A63">
        <w:t xml:space="preserve"> [661] </w:t>
      </w:r>
      <w:r w:rsidRPr="009E1A63">
        <w:rPr>
          <w:color w:val="000000"/>
          <w:lang w:eastAsia="fr-FR" w:bidi="fr-FR"/>
        </w:rPr>
        <w:t>points d’interrogation auxquels il aboutit ici à dessein, vous les me</w:t>
      </w:r>
      <w:r w:rsidRPr="009E1A63">
        <w:rPr>
          <w:color w:val="000000"/>
          <w:lang w:eastAsia="fr-FR" w:bidi="fr-FR"/>
        </w:rPr>
        <w:t>t</w:t>
      </w:r>
      <w:r w:rsidRPr="009E1A63">
        <w:rPr>
          <w:color w:val="000000"/>
          <w:lang w:eastAsia="fr-FR" w:bidi="fr-FR"/>
        </w:rPr>
        <w:t>tez, — si j’ai bien compris — dans notre panier. Alors n’est-ce pas à nous maintenant d’essayer d’y trouver une réponse ? Cependant, je vais d’abord m’adresser à l’historien très qualifié et aussi peut-être un peu sociologue, que nous nous félicitons d’avoir aujourd’hui parmi nous, pour qu’il nous dise ce que nous avons enc</w:t>
      </w:r>
      <w:r w:rsidRPr="009E1A63">
        <w:rPr>
          <w:color w:val="000000"/>
          <w:lang w:eastAsia="fr-FR" w:bidi="fr-FR"/>
        </w:rPr>
        <w:t>o</w:t>
      </w:r>
      <w:r w:rsidRPr="009E1A63">
        <w:rPr>
          <w:color w:val="000000"/>
          <w:lang w:eastAsia="fr-FR" w:bidi="fr-FR"/>
        </w:rPr>
        <w:t>re tellement à a</w:t>
      </w:r>
      <w:r w:rsidRPr="009E1A63">
        <w:rPr>
          <w:color w:val="000000"/>
          <w:lang w:eastAsia="fr-FR" w:bidi="fr-FR"/>
        </w:rPr>
        <w:t>p</w:t>
      </w:r>
      <w:r w:rsidRPr="009E1A63">
        <w:rPr>
          <w:color w:val="000000"/>
          <w:lang w:eastAsia="fr-FR" w:bidi="fr-FR"/>
        </w:rPr>
        <w:t>prendre de lui sur les grands sujets.</w:t>
      </w:r>
    </w:p>
    <w:p w14:paraId="685EB20D" w14:textId="77777777" w:rsidR="00B9662D" w:rsidRPr="009E1A63" w:rsidRDefault="00B9662D" w:rsidP="00B9662D">
      <w:pPr>
        <w:spacing w:before="120" w:after="120"/>
        <w:jc w:val="both"/>
      </w:pPr>
      <w:r w:rsidRPr="009E1A63">
        <w:rPr>
          <w:color w:val="000000"/>
          <w:lang w:eastAsia="fr-FR" w:bidi="fr-FR"/>
        </w:rPr>
        <w:t xml:space="preserve">M. </w:t>
      </w:r>
      <w:r w:rsidRPr="009E1A63">
        <w:rPr>
          <w:rStyle w:val="Corpsdutexte275ptGras"/>
          <w:b w:val="0"/>
          <w:smallCaps/>
          <w:sz w:val="28"/>
        </w:rPr>
        <w:t>Lot</w:t>
      </w:r>
      <w:r w:rsidRPr="009E1A63">
        <w:rPr>
          <w:rStyle w:val="Corpsdutexte275ptGras"/>
          <w:b w:val="0"/>
          <w:sz w:val="28"/>
        </w:rPr>
        <w:t>.</w:t>
      </w:r>
      <w:r w:rsidRPr="009E1A63">
        <w:rPr>
          <w:rStyle w:val="Corpsdutexte275ptGras"/>
          <w:sz w:val="28"/>
        </w:rPr>
        <w:t> — </w:t>
      </w:r>
      <w:r w:rsidRPr="009E1A63">
        <w:rPr>
          <w:color w:val="000000"/>
          <w:lang w:eastAsia="fr-FR" w:bidi="fr-FR"/>
        </w:rPr>
        <w:t>Après cet exposé tout à fait lumineux de M. Bloch, je n’ai pas réellement, Monsieur le Président, la moindre objection à fa</w:t>
      </w:r>
      <w:r w:rsidRPr="009E1A63">
        <w:rPr>
          <w:color w:val="000000"/>
          <w:lang w:eastAsia="fr-FR" w:bidi="fr-FR"/>
        </w:rPr>
        <w:t>i</w:t>
      </w:r>
      <w:r w:rsidRPr="009E1A63">
        <w:rPr>
          <w:color w:val="000000"/>
          <w:lang w:eastAsia="fr-FR" w:bidi="fr-FR"/>
        </w:rPr>
        <w:t>re. Il paraît tout à fait juste dans l’ensemble.</w:t>
      </w:r>
    </w:p>
    <w:p w14:paraId="13E18912" w14:textId="77777777" w:rsidR="00B9662D" w:rsidRPr="009C29C2" w:rsidRDefault="00B9662D" w:rsidP="00B9662D">
      <w:pPr>
        <w:spacing w:before="120" w:after="120"/>
        <w:jc w:val="both"/>
      </w:pPr>
      <w:r w:rsidRPr="009E1A63">
        <w:rPr>
          <w:color w:val="000000"/>
          <w:lang w:eastAsia="fr-FR" w:bidi="fr-FR"/>
        </w:rPr>
        <w:t>Je me suis demandé — je ne suis pas le seul et je n’insiste pas sur cette idée — s’il n’y</w:t>
      </w:r>
      <w:r w:rsidRPr="009C29C2">
        <w:rPr>
          <w:color w:val="000000"/>
          <w:lang w:eastAsia="fr-FR" w:bidi="fr-FR"/>
        </w:rPr>
        <w:t xml:space="preserve"> avait pas eu dans ces champs allongés, l’influence d’un peuple. Il semble que ce soit le rameau celtique qui ait inventé la charrue, c’est chose connue, et cette invention s’est r</w:t>
      </w:r>
      <w:r w:rsidRPr="009C29C2">
        <w:rPr>
          <w:color w:val="000000"/>
          <w:lang w:eastAsia="fr-FR" w:bidi="fr-FR"/>
        </w:rPr>
        <w:t>é</w:t>
      </w:r>
      <w:r w:rsidRPr="009C29C2">
        <w:rPr>
          <w:color w:val="000000"/>
          <w:lang w:eastAsia="fr-FR" w:bidi="fr-FR"/>
        </w:rPr>
        <w:t>pandue chez les peuples de l’Europe centrale et même de l’Europe méridionale.</w:t>
      </w:r>
    </w:p>
    <w:p w14:paraId="4E54440A" w14:textId="77777777" w:rsidR="00B9662D" w:rsidRPr="009C29C2" w:rsidRDefault="00B9662D" w:rsidP="00B9662D">
      <w:pPr>
        <w:spacing w:before="120" w:after="120"/>
        <w:jc w:val="both"/>
      </w:pPr>
      <w:r w:rsidRPr="009C29C2">
        <w:rPr>
          <w:color w:val="000000"/>
          <w:lang w:eastAsia="fr-FR" w:bidi="fr-FR"/>
        </w:rPr>
        <w:t>En outre, l’influence celtique se manifeste chez nous par quelques termes techniques que vous connaissez : arpent, par exemple. Ce te</w:t>
      </w:r>
      <w:r w:rsidRPr="009C29C2">
        <w:rPr>
          <w:color w:val="000000"/>
          <w:lang w:eastAsia="fr-FR" w:bidi="fr-FR"/>
        </w:rPr>
        <w:t>r</w:t>
      </w:r>
      <w:r w:rsidRPr="009C29C2">
        <w:rPr>
          <w:color w:val="000000"/>
          <w:lang w:eastAsia="fr-FR" w:bidi="fr-FR"/>
        </w:rPr>
        <w:t>me (tourne-tête ?) n’indique pas simplement qu’au bout de la lanière on tourne la tête des bêtes.</w:t>
      </w:r>
    </w:p>
    <w:p w14:paraId="11C31EEF" w14:textId="77777777" w:rsidR="00B9662D" w:rsidRPr="005262A9" w:rsidRDefault="00B9662D" w:rsidP="00B9662D">
      <w:pPr>
        <w:spacing w:before="120" w:after="120"/>
        <w:jc w:val="both"/>
      </w:pPr>
      <w:r w:rsidRPr="009C29C2">
        <w:rPr>
          <w:color w:val="000000"/>
          <w:lang w:eastAsia="fr-FR" w:bidi="fr-FR"/>
        </w:rPr>
        <w:t xml:space="preserve">Il y a </w:t>
      </w:r>
      <w:r w:rsidRPr="005262A9">
        <w:rPr>
          <w:color w:val="000000"/>
          <w:lang w:eastAsia="fr-FR" w:bidi="fr-FR"/>
        </w:rPr>
        <w:t>aussi une petite subdivision de cet arpent, l’</w:t>
      </w:r>
      <w:r w:rsidRPr="005262A9">
        <w:rPr>
          <w:i/>
        </w:rPr>
        <w:t>ancinga</w:t>
      </w:r>
      <w:r w:rsidRPr="005262A9">
        <w:t>.</w:t>
      </w:r>
    </w:p>
    <w:p w14:paraId="05866E80" w14:textId="77777777" w:rsidR="00B9662D" w:rsidRPr="005262A9" w:rsidRDefault="00B9662D" w:rsidP="00B9662D">
      <w:pPr>
        <w:spacing w:before="120" w:after="120"/>
        <w:jc w:val="both"/>
      </w:pPr>
      <w:r w:rsidRPr="005262A9">
        <w:rPr>
          <w:color w:val="000000"/>
          <w:lang w:eastAsia="fr-FR" w:bidi="fr-FR"/>
        </w:rPr>
        <w:t>Cependant, vous savez qu’on a attribué ce système des champs o</w:t>
      </w:r>
      <w:r w:rsidRPr="005262A9">
        <w:rPr>
          <w:color w:val="000000"/>
          <w:lang w:eastAsia="fr-FR" w:bidi="fr-FR"/>
        </w:rPr>
        <w:t>u</w:t>
      </w:r>
      <w:r w:rsidRPr="005262A9">
        <w:rPr>
          <w:color w:val="000000"/>
          <w:lang w:eastAsia="fr-FR" w:bidi="fr-FR"/>
        </w:rPr>
        <w:t>verts, des lanières, à une influence germanique, et ce n’est pas invra</w:t>
      </w:r>
      <w:r w:rsidRPr="005262A9">
        <w:rPr>
          <w:color w:val="000000"/>
          <w:lang w:eastAsia="fr-FR" w:bidi="fr-FR"/>
        </w:rPr>
        <w:t>i</w:t>
      </w:r>
      <w:r w:rsidRPr="005262A9">
        <w:rPr>
          <w:color w:val="000000"/>
          <w:lang w:eastAsia="fr-FR" w:bidi="fr-FR"/>
        </w:rPr>
        <w:t>semblable, car aujourd’hui, où trouvons-nous encore ce système ? Dans l’Est.</w:t>
      </w:r>
    </w:p>
    <w:p w14:paraId="1149D668" w14:textId="77777777" w:rsidR="00B9662D" w:rsidRPr="005262A9" w:rsidRDefault="00B9662D" w:rsidP="00B9662D">
      <w:pPr>
        <w:spacing w:before="120" w:after="120"/>
        <w:jc w:val="both"/>
      </w:pPr>
      <w:r w:rsidRPr="005262A9">
        <w:rPr>
          <w:color w:val="000000"/>
          <w:lang w:eastAsia="fr-FR" w:bidi="fr-FR"/>
        </w:rPr>
        <w:t>Vous avez marqué le contraste entre le Nord et le Midi de l’Europe. Évidemment, dans le Midi, on a le champ carré et l’assolement biennal.</w:t>
      </w:r>
    </w:p>
    <w:p w14:paraId="58B30635" w14:textId="77777777" w:rsidR="00B9662D" w:rsidRPr="005262A9" w:rsidRDefault="00B9662D" w:rsidP="00B9662D">
      <w:pPr>
        <w:spacing w:before="120" w:after="120"/>
        <w:jc w:val="both"/>
      </w:pPr>
      <w:r w:rsidRPr="005262A9">
        <w:rPr>
          <w:color w:val="000000"/>
          <w:lang w:eastAsia="fr-FR" w:bidi="fr-FR"/>
        </w:rPr>
        <w:t>Je crois que M. Mauss a des observations très intéressantes, obse</w:t>
      </w:r>
      <w:r w:rsidRPr="005262A9">
        <w:rPr>
          <w:color w:val="000000"/>
          <w:lang w:eastAsia="fr-FR" w:bidi="fr-FR"/>
        </w:rPr>
        <w:t>r</w:t>
      </w:r>
      <w:r w:rsidRPr="005262A9">
        <w:rPr>
          <w:color w:val="000000"/>
          <w:lang w:eastAsia="fr-FR" w:bidi="fr-FR"/>
        </w:rPr>
        <w:t>vations personnelles sur la constitution des pierrailles.</w:t>
      </w:r>
    </w:p>
    <w:p w14:paraId="67020275" w14:textId="77777777" w:rsidR="00B9662D" w:rsidRPr="005262A9" w:rsidRDefault="00B9662D" w:rsidP="00B9662D">
      <w:pPr>
        <w:spacing w:before="120" w:after="120"/>
        <w:jc w:val="both"/>
      </w:pPr>
      <w:r w:rsidRPr="005262A9">
        <w:rPr>
          <w:color w:val="000000"/>
          <w:lang w:eastAsia="fr-FR" w:bidi="fr-FR"/>
        </w:rPr>
        <w:lastRenderedPageBreak/>
        <w:t xml:space="preserve">M. </w:t>
      </w:r>
      <w:r w:rsidRPr="005262A9">
        <w:rPr>
          <w:rStyle w:val="Corpsdutexte275ptGras"/>
          <w:b w:val="0"/>
          <w:smallCaps/>
          <w:sz w:val="28"/>
        </w:rPr>
        <w:t>Mauss</w:t>
      </w:r>
      <w:r w:rsidRPr="005262A9">
        <w:rPr>
          <w:rStyle w:val="Corpsdutexte275ptGras"/>
          <w:b w:val="0"/>
          <w:sz w:val="28"/>
        </w:rPr>
        <w:t>.</w:t>
      </w:r>
      <w:r w:rsidRPr="005262A9">
        <w:rPr>
          <w:rStyle w:val="Corpsdutexte275ptGras"/>
          <w:sz w:val="28"/>
        </w:rPr>
        <w:t> — </w:t>
      </w:r>
      <w:r w:rsidRPr="005262A9">
        <w:rPr>
          <w:color w:val="000000"/>
          <w:lang w:eastAsia="fr-FR" w:bidi="fr-FR"/>
        </w:rPr>
        <w:t>Elles ne me sont pas personnelles, toutes ces que</w:t>
      </w:r>
      <w:r w:rsidRPr="005262A9">
        <w:rPr>
          <w:color w:val="000000"/>
          <w:lang w:eastAsia="fr-FR" w:bidi="fr-FR"/>
        </w:rPr>
        <w:t>s</w:t>
      </w:r>
      <w:r w:rsidRPr="005262A9">
        <w:rPr>
          <w:color w:val="000000"/>
          <w:lang w:eastAsia="fr-FR" w:bidi="fr-FR"/>
        </w:rPr>
        <w:t>tions ont été débattues par Hubert dans son livre et vous le verrez e</w:t>
      </w:r>
      <w:r w:rsidRPr="005262A9">
        <w:rPr>
          <w:color w:val="000000"/>
          <w:lang w:eastAsia="fr-FR" w:bidi="fr-FR"/>
        </w:rPr>
        <w:t>n</w:t>
      </w:r>
      <w:r w:rsidRPr="005262A9">
        <w:rPr>
          <w:color w:val="000000"/>
          <w:lang w:eastAsia="fr-FR" w:bidi="fr-FR"/>
        </w:rPr>
        <w:t>core mieux dans son second volume. Bien des idées d’Hubert sur ce point manquent d’être connues</w:t>
      </w:r>
      <w:r w:rsidRPr="009C29C2">
        <w:rPr>
          <w:color w:val="000000"/>
          <w:lang w:eastAsia="fr-FR" w:bidi="fr-FR"/>
        </w:rPr>
        <w:t xml:space="preserve">, et généralement nous manquent. Ce qui prouverait peut-être la nécessité de notre Société, si elle-même </w:t>
      </w:r>
      <w:r w:rsidRPr="005262A9">
        <w:rPr>
          <w:color w:val="000000"/>
          <w:lang w:eastAsia="fr-FR" w:bidi="fr-FR"/>
        </w:rPr>
        <w:t>n’existait pas. Même précisément ce problème que vous avez posé a été traité par Hubert dans un délicieux petit article intitulé « Les a</w:t>
      </w:r>
      <w:r w:rsidRPr="005262A9">
        <w:rPr>
          <w:color w:val="000000"/>
          <w:lang w:eastAsia="fr-FR" w:bidi="fr-FR"/>
        </w:rPr>
        <w:t>s</w:t>
      </w:r>
      <w:r w:rsidRPr="005262A9">
        <w:rPr>
          <w:color w:val="000000"/>
          <w:lang w:eastAsia="fr-FR" w:bidi="fr-FR"/>
        </w:rPr>
        <w:t>pects de la civilisation française ». </w:t>
      </w:r>
      <w:r w:rsidRPr="005262A9">
        <w:rPr>
          <w:rStyle w:val="Appelnotedebasdep"/>
          <w:sz w:val="28"/>
        </w:rPr>
        <w:footnoteReference w:id="280"/>
      </w:r>
    </w:p>
    <w:p w14:paraId="53252F39" w14:textId="77777777" w:rsidR="00B9662D" w:rsidRPr="005262A9" w:rsidRDefault="00B9662D" w:rsidP="00B9662D">
      <w:pPr>
        <w:spacing w:before="120" w:after="120"/>
        <w:jc w:val="both"/>
      </w:pPr>
      <w:r w:rsidRPr="005262A9">
        <w:rPr>
          <w:color w:val="000000"/>
          <w:lang w:eastAsia="fr-FR" w:bidi="fr-FR"/>
        </w:rPr>
        <w:t xml:space="preserve">M. M. </w:t>
      </w:r>
      <w:r w:rsidRPr="005262A9">
        <w:rPr>
          <w:rStyle w:val="Corpsdutexte275ptGras"/>
          <w:b w:val="0"/>
          <w:smallCaps/>
          <w:sz w:val="28"/>
        </w:rPr>
        <w:t>Bloch</w:t>
      </w:r>
      <w:r w:rsidRPr="005262A9">
        <w:rPr>
          <w:rStyle w:val="Corpsdutexte275ptGras"/>
          <w:b w:val="0"/>
          <w:sz w:val="28"/>
        </w:rPr>
        <w:t>.</w:t>
      </w:r>
      <w:r w:rsidRPr="005262A9">
        <w:rPr>
          <w:rStyle w:val="Corpsdutexte275ptGras"/>
          <w:sz w:val="28"/>
        </w:rPr>
        <w:t> — </w:t>
      </w:r>
      <w:r w:rsidRPr="005262A9">
        <w:rPr>
          <w:color w:val="000000"/>
          <w:lang w:eastAsia="fr-FR" w:bidi="fr-FR"/>
        </w:rPr>
        <w:t>J’avais été précisément en correspondance avec H</w:t>
      </w:r>
      <w:r w:rsidRPr="005262A9">
        <w:rPr>
          <w:color w:val="000000"/>
          <w:lang w:eastAsia="fr-FR" w:bidi="fr-FR"/>
        </w:rPr>
        <w:t>u</w:t>
      </w:r>
      <w:r w:rsidRPr="005262A9">
        <w:rPr>
          <w:color w:val="000000"/>
          <w:lang w:eastAsia="fr-FR" w:bidi="fr-FR"/>
        </w:rPr>
        <w:t>bert.</w:t>
      </w:r>
    </w:p>
    <w:p w14:paraId="54918D0D" w14:textId="77777777" w:rsidR="00B9662D" w:rsidRPr="009C29C2"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Mauss</w:t>
      </w:r>
      <w:r w:rsidRPr="005262A9">
        <w:rPr>
          <w:rStyle w:val="Corpsdutexte275ptGras"/>
          <w:b w:val="0"/>
          <w:sz w:val="28"/>
        </w:rPr>
        <w:t>.</w:t>
      </w:r>
      <w:r w:rsidRPr="005262A9">
        <w:rPr>
          <w:rStyle w:val="Corpsdutexte275ptGras"/>
          <w:sz w:val="28"/>
        </w:rPr>
        <w:t> — </w:t>
      </w:r>
      <w:r w:rsidRPr="005262A9">
        <w:rPr>
          <w:color w:val="000000"/>
          <w:lang w:eastAsia="fr-FR" w:bidi="fr-FR"/>
        </w:rPr>
        <w:t>Dans le premier volume d’Hubert, sur « les Ce</w:t>
      </w:r>
      <w:r w:rsidRPr="005262A9">
        <w:rPr>
          <w:color w:val="000000"/>
          <w:lang w:eastAsia="fr-FR" w:bidi="fr-FR"/>
        </w:rPr>
        <w:t>l</w:t>
      </w:r>
      <w:r w:rsidRPr="005262A9">
        <w:rPr>
          <w:color w:val="000000"/>
          <w:lang w:eastAsia="fr-FR" w:bidi="fr-FR"/>
        </w:rPr>
        <w:t>tes », il y a une description de la succession des diverses formes de champs qui est un chef-d’œuvre. Voici l’hypothèse d’Hubert : il y a eu à un m</w:t>
      </w:r>
      <w:r w:rsidRPr="005262A9">
        <w:rPr>
          <w:color w:val="000000"/>
          <w:lang w:eastAsia="fr-FR" w:bidi="fr-FR"/>
        </w:rPr>
        <w:t>o</w:t>
      </w:r>
      <w:r w:rsidRPr="005262A9">
        <w:rPr>
          <w:color w:val="000000"/>
          <w:lang w:eastAsia="fr-FR" w:bidi="fr-FR"/>
        </w:rPr>
        <w:t>ment donné un peuplement progressif de l’Europe qui est la nôtre, de l’Europe qui est devenue l’Europe</w:t>
      </w:r>
      <w:r w:rsidRPr="009C29C2">
        <w:rPr>
          <w:color w:val="000000"/>
          <w:lang w:eastAsia="fr-FR" w:bidi="fr-FR"/>
        </w:rPr>
        <w:t xml:space="preserve"> celtique ; ce peupl</w:t>
      </w:r>
      <w:r w:rsidRPr="009C29C2">
        <w:rPr>
          <w:color w:val="000000"/>
          <w:lang w:eastAsia="fr-FR" w:bidi="fr-FR"/>
        </w:rPr>
        <w:t>e</w:t>
      </w:r>
      <w:r w:rsidRPr="009C29C2">
        <w:rPr>
          <w:color w:val="000000"/>
          <w:lang w:eastAsia="fr-FR" w:bidi="fr-FR"/>
        </w:rPr>
        <w:t>ment par les Celtes a fait de ceux-ci une sorte de famille de peuples mouvante, i</w:t>
      </w:r>
      <w:r w:rsidRPr="009C29C2">
        <w:rPr>
          <w:color w:val="000000"/>
          <w:lang w:eastAsia="fr-FR" w:bidi="fr-FR"/>
        </w:rPr>
        <w:t>n</w:t>
      </w:r>
      <w:r w:rsidRPr="009C29C2">
        <w:rPr>
          <w:color w:val="000000"/>
          <w:lang w:eastAsia="fr-FR" w:bidi="fr-FR"/>
        </w:rPr>
        <w:t>termédiaire, allant de la Bohême jusqu’à l’Asie et de l’Irlande jusqu’à la côte cisalpine. Il y a eu dans ce monde celtique trois apparitions ou trois grands mouvements :</w:t>
      </w:r>
      <w:r>
        <w:t xml:space="preserve"> </w:t>
      </w:r>
      <w:r>
        <w:rPr>
          <w:color w:val="000000"/>
          <w:lang w:eastAsia="fr-FR" w:bidi="fr-FR"/>
        </w:rPr>
        <w:t>[662]</w:t>
      </w:r>
      <w:r w:rsidRPr="009C29C2">
        <w:rPr>
          <w:color w:val="000000"/>
          <w:lang w:eastAsia="fr-FR" w:bidi="fr-FR"/>
        </w:rPr>
        <w:t xml:space="preserve"> le premier, le mouvement gaélique, avec les champs ca</w:t>
      </w:r>
      <w:r w:rsidRPr="009C29C2">
        <w:rPr>
          <w:color w:val="000000"/>
          <w:lang w:eastAsia="fr-FR" w:bidi="fr-FR"/>
        </w:rPr>
        <w:t>r</w:t>
      </w:r>
      <w:r w:rsidRPr="009C29C2">
        <w:rPr>
          <w:color w:val="000000"/>
          <w:lang w:eastAsia="fr-FR" w:bidi="fr-FR"/>
        </w:rPr>
        <w:t>rés ; puis les champs longs des Gaulois ; enfin le champ très long tout à fait spécial à l’invasion belge et coïncidant avec l’apparition de la charrue. Ces trois couches sont séparées les unes des autres et se r</w:t>
      </w:r>
      <w:r w:rsidRPr="009C29C2">
        <w:rPr>
          <w:color w:val="000000"/>
          <w:lang w:eastAsia="fr-FR" w:bidi="fr-FR"/>
        </w:rPr>
        <w:t>é</w:t>
      </w:r>
      <w:r w:rsidRPr="009C29C2">
        <w:rPr>
          <w:color w:val="000000"/>
          <w:lang w:eastAsia="fr-FR" w:bidi="fr-FR"/>
        </w:rPr>
        <w:t>partissent entre environ 1.500 ans, la dernière n’arrive qu’avec ce qui a précédé les grandes inve</w:t>
      </w:r>
      <w:r w:rsidRPr="009C29C2">
        <w:rPr>
          <w:color w:val="000000"/>
          <w:lang w:eastAsia="fr-FR" w:bidi="fr-FR"/>
        </w:rPr>
        <w:t>n</w:t>
      </w:r>
      <w:r w:rsidRPr="009C29C2">
        <w:rPr>
          <w:color w:val="000000"/>
          <w:lang w:eastAsia="fr-FR" w:bidi="fr-FR"/>
        </w:rPr>
        <w:t>tions.</w:t>
      </w:r>
    </w:p>
    <w:p w14:paraId="6EDD026A" w14:textId="77777777" w:rsidR="00B9662D" w:rsidRPr="009C29C2" w:rsidRDefault="00B9662D" w:rsidP="00B9662D">
      <w:pPr>
        <w:spacing w:before="120" w:after="120"/>
        <w:jc w:val="both"/>
      </w:pPr>
      <w:r w:rsidRPr="009C29C2">
        <w:rPr>
          <w:color w:val="000000"/>
          <w:lang w:eastAsia="fr-FR" w:bidi="fr-FR"/>
        </w:rPr>
        <w:t>La démonstration d’Hubert est considérable, et dans un sens expl</w:t>
      </w:r>
      <w:r w:rsidRPr="009C29C2">
        <w:rPr>
          <w:color w:val="000000"/>
          <w:lang w:eastAsia="fr-FR" w:bidi="fr-FR"/>
        </w:rPr>
        <w:t>i</w:t>
      </w:r>
      <w:r w:rsidRPr="009C29C2">
        <w:rPr>
          <w:color w:val="000000"/>
          <w:lang w:eastAsia="fr-FR" w:bidi="fr-FR"/>
        </w:rPr>
        <w:t>que la vôtre.</w:t>
      </w:r>
    </w:p>
    <w:p w14:paraId="2FB27C6B" w14:textId="77777777" w:rsidR="00B9662D" w:rsidRPr="009C29C2" w:rsidRDefault="00B9662D" w:rsidP="00B9662D">
      <w:pPr>
        <w:spacing w:before="120" w:after="120"/>
        <w:jc w:val="both"/>
      </w:pPr>
      <w:r w:rsidRPr="009C29C2">
        <w:rPr>
          <w:color w:val="000000"/>
          <w:lang w:eastAsia="fr-FR" w:bidi="fr-FR"/>
        </w:rPr>
        <w:t>Je voudrais dire un mot de l’épierrage. C’est une observation qui est encore plus grande. Quiconque a visité nos montagnes de Suisse, de France et par exemple les petites montagnettes de Provence et des Alpes-Maritimes, sait ce que c’est que l’épierrage. Les enfants qui mènent les bêtes aux champs, toute la journée, s’amusent à épierrer les champs : c’est un travail auquel toutes les familles ont été ado</w:t>
      </w:r>
      <w:r w:rsidRPr="009C29C2">
        <w:rPr>
          <w:color w:val="000000"/>
          <w:lang w:eastAsia="fr-FR" w:bidi="fr-FR"/>
        </w:rPr>
        <w:t>n</w:t>
      </w:r>
      <w:r w:rsidRPr="009C29C2">
        <w:rPr>
          <w:color w:val="000000"/>
          <w:lang w:eastAsia="fr-FR" w:bidi="fr-FR"/>
        </w:rPr>
        <w:t xml:space="preserve">nées pendant des siècles, et des millénaires probablement, et qui </w:t>
      </w:r>
      <w:r w:rsidRPr="009C29C2">
        <w:rPr>
          <w:color w:val="000000"/>
          <w:lang w:eastAsia="fr-FR" w:bidi="fr-FR"/>
        </w:rPr>
        <w:lastRenderedPageBreak/>
        <w:t>do</w:t>
      </w:r>
      <w:r w:rsidRPr="009C29C2">
        <w:rPr>
          <w:color w:val="000000"/>
          <w:lang w:eastAsia="fr-FR" w:bidi="fr-FR"/>
        </w:rPr>
        <w:t>n</w:t>
      </w:r>
      <w:r w:rsidRPr="009C29C2">
        <w:rPr>
          <w:color w:val="000000"/>
          <w:lang w:eastAsia="fr-FR" w:bidi="fr-FR"/>
        </w:rPr>
        <w:t>ne une physionomie toute particulière à ces « hauts champs » ronds, ovales ou carrés qui sont ceux des Vosges ou des Alpes. Moi-même, j’ai participé aux épierrages, pour m’amuser. Le mur s’élève nature</w:t>
      </w:r>
      <w:r w:rsidRPr="009C29C2">
        <w:rPr>
          <w:color w:val="000000"/>
          <w:lang w:eastAsia="fr-FR" w:bidi="fr-FR"/>
        </w:rPr>
        <w:t>l</w:t>
      </w:r>
      <w:r w:rsidRPr="009C29C2">
        <w:rPr>
          <w:color w:val="000000"/>
          <w:lang w:eastAsia="fr-FR" w:bidi="fr-FR"/>
        </w:rPr>
        <w:t>lement par l’épierrage du champ. Le champ est non seulement épierré mais, dans une certaine mesure, on le nivelle en amassant plus de pie</w:t>
      </w:r>
      <w:r w:rsidRPr="009C29C2">
        <w:rPr>
          <w:color w:val="000000"/>
          <w:lang w:eastAsia="fr-FR" w:bidi="fr-FR"/>
        </w:rPr>
        <w:t>r</w:t>
      </w:r>
      <w:r w:rsidRPr="009C29C2">
        <w:rPr>
          <w:color w:val="000000"/>
          <w:lang w:eastAsia="fr-FR" w:bidi="fr-FR"/>
        </w:rPr>
        <w:t>res sur le mur qui barre la pente ; dans une partie des Alpes-Maritimes, ces terrassements montent jusqu’à huit et neuf cents m</w:t>
      </w:r>
      <w:r w:rsidRPr="009C29C2">
        <w:rPr>
          <w:color w:val="000000"/>
          <w:lang w:eastAsia="fr-FR" w:bidi="fr-FR"/>
        </w:rPr>
        <w:t>è</w:t>
      </w:r>
      <w:r w:rsidRPr="009C29C2">
        <w:rPr>
          <w:color w:val="000000"/>
          <w:lang w:eastAsia="fr-FR" w:bidi="fr-FR"/>
        </w:rPr>
        <w:t>tres de dénivellement.</w:t>
      </w:r>
    </w:p>
    <w:p w14:paraId="6D5BDB87" w14:textId="77777777" w:rsidR="00B9662D" w:rsidRPr="009C29C2" w:rsidRDefault="00B9662D" w:rsidP="00B9662D">
      <w:pPr>
        <w:spacing w:before="120" w:after="120"/>
        <w:jc w:val="both"/>
      </w:pPr>
      <w:r w:rsidRPr="009C29C2">
        <w:rPr>
          <w:color w:val="000000"/>
          <w:lang w:eastAsia="fr-FR" w:bidi="fr-FR"/>
        </w:rPr>
        <w:t>J’ajoute ceci à vos observations, il n’y a aucune contradiction entre ce que vous avez dit et ce que je dis.</w:t>
      </w:r>
    </w:p>
    <w:p w14:paraId="7801AEE5" w14:textId="77777777" w:rsidR="00B9662D" w:rsidRPr="005262A9" w:rsidRDefault="00B9662D" w:rsidP="00B9662D">
      <w:pPr>
        <w:spacing w:before="120" w:after="120"/>
        <w:jc w:val="both"/>
      </w:pPr>
      <w:r w:rsidRPr="009C29C2">
        <w:rPr>
          <w:color w:val="000000"/>
          <w:lang w:eastAsia="fr-FR" w:bidi="fr-FR"/>
        </w:rPr>
        <w:t xml:space="preserve">Encore </w:t>
      </w:r>
      <w:r w:rsidRPr="005262A9">
        <w:rPr>
          <w:color w:val="000000"/>
          <w:lang w:eastAsia="fr-FR" w:bidi="fr-FR"/>
        </w:rPr>
        <w:t>une remarque. Hubert croyait à l’origine celtique de bien des traits de notre civilisation française. C’est qu’il avait fait bon ma</w:t>
      </w:r>
      <w:r w:rsidRPr="005262A9">
        <w:rPr>
          <w:color w:val="000000"/>
          <w:lang w:eastAsia="fr-FR" w:bidi="fr-FR"/>
        </w:rPr>
        <w:t>r</w:t>
      </w:r>
      <w:r w:rsidRPr="005262A9">
        <w:rPr>
          <w:color w:val="000000"/>
          <w:lang w:eastAsia="fr-FR" w:bidi="fr-FR"/>
        </w:rPr>
        <w:t>ché du préjugé qui fait venir tout d’Italie ou de Grèce. Nous avons l’habitude de sous-estimer la grande civilisation celtique. Et pourtant on sait ce qu’était la culture de la plaine du Pô entre les mains des Celtes ! On a l’habitude de considérer que les Celtes étaient inférieurs aux Méditerranéens... c’est exactement le contraire !</w:t>
      </w:r>
    </w:p>
    <w:p w14:paraId="739F73C2"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le Président</w:t>
      </w:r>
      <w:r w:rsidRPr="005262A9">
        <w:rPr>
          <w:rStyle w:val="Corpsdutexte275ptGras"/>
          <w:b w:val="0"/>
          <w:sz w:val="28"/>
        </w:rPr>
        <w:t>.</w:t>
      </w:r>
      <w:r w:rsidRPr="005262A9">
        <w:rPr>
          <w:rStyle w:val="Corpsdutexte275ptGras"/>
          <w:sz w:val="28"/>
        </w:rPr>
        <w:t> — </w:t>
      </w:r>
      <w:r w:rsidRPr="005262A9">
        <w:rPr>
          <w:color w:val="000000"/>
          <w:lang w:eastAsia="fr-FR" w:bidi="fr-FR"/>
        </w:rPr>
        <w:t xml:space="preserve">Monsieur Augé-Laribé, vous n’avez rien </w:t>
      </w:r>
      <w:r w:rsidRPr="005262A9">
        <w:rPr>
          <w:rStyle w:val="Corpsdutexte275ptGras"/>
          <w:sz w:val="28"/>
        </w:rPr>
        <w:t xml:space="preserve">à </w:t>
      </w:r>
      <w:r w:rsidRPr="005262A9">
        <w:rPr>
          <w:color w:val="000000"/>
          <w:lang w:eastAsia="fr-FR" w:bidi="fr-FR"/>
        </w:rPr>
        <w:t>nous dire ?</w:t>
      </w:r>
    </w:p>
    <w:p w14:paraId="4728E152" w14:textId="77777777" w:rsidR="00B9662D" w:rsidRPr="009C29C2"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Augé-Laribé</w:t>
      </w:r>
      <w:r w:rsidRPr="005262A9">
        <w:rPr>
          <w:rStyle w:val="Corpsdutexte275ptGras"/>
          <w:b w:val="0"/>
          <w:sz w:val="28"/>
        </w:rPr>
        <w:t>.</w:t>
      </w:r>
      <w:r w:rsidRPr="005262A9">
        <w:rPr>
          <w:rStyle w:val="Corpsdutexte275ptGras"/>
          <w:sz w:val="28"/>
        </w:rPr>
        <w:t> — </w:t>
      </w:r>
      <w:r w:rsidRPr="005262A9">
        <w:rPr>
          <w:color w:val="000000"/>
          <w:lang w:eastAsia="fr-FR" w:bidi="fr-FR"/>
        </w:rPr>
        <w:t>Vous me mettez dans un cruel embarras ! Vous m’obligez à avouer mon ignorance.</w:t>
      </w:r>
    </w:p>
    <w:p w14:paraId="0658ECC5" w14:textId="77777777" w:rsidR="00B9662D" w:rsidRPr="009C29C2" w:rsidRDefault="00B9662D" w:rsidP="00B9662D">
      <w:pPr>
        <w:spacing w:before="120" w:after="120"/>
        <w:jc w:val="both"/>
      </w:pPr>
      <w:r w:rsidRPr="009C29C2">
        <w:rPr>
          <w:color w:val="000000"/>
          <w:lang w:eastAsia="fr-FR" w:bidi="fr-FR"/>
        </w:rPr>
        <w:t>Économie, sociologie, pour moi cela ne signifie pas de la science, cela signifie de l’action. Je ne devrais être ici qu’un auditeur.</w:t>
      </w:r>
    </w:p>
    <w:p w14:paraId="1C7FFD36" w14:textId="77777777" w:rsidR="00B9662D" w:rsidRPr="009C29C2" w:rsidRDefault="00B9662D" w:rsidP="00B9662D">
      <w:pPr>
        <w:spacing w:before="120" w:after="120"/>
        <w:jc w:val="both"/>
      </w:pPr>
      <w:r w:rsidRPr="009C29C2">
        <w:rPr>
          <w:color w:val="000000"/>
          <w:lang w:eastAsia="fr-FR" w:bidi="fr-FR"/>
        </w:rPr>
        <w:t>J’ai été un peu surpris par la thèse de M. Bloch que le régime des champs ouverts et allongés « n’a pu naître que grâce à une mentalité foncièrement communautaire ». J’entends bien que le système des champs allongés impose des contraintes et maintient, une fois qu’il existe, l’esprit communautaire, mais je ne crois pas du tout nécessaire que cet esprit communautaire se trouve au début de l’institution. Su</w:t>
      </w:r>
      <w:r w:rsidRPr="009C29C2">
        <w:rPr>
          <w:color w:val="000000"/>
          <w:lang w:eastAsia="fr-FR" w:bidi="fr-FR"/>
        </w:rPr>
        <w:t>p</w:t>
      </w:r>
      <w:r w:rsidRPr="009C29C2">
        <w:rPr>
          <w:color w:val="000000"/>
          <w:lang w:eastAsia="fr-FR" w:bidi="fr-FR"/>
        </w:rPr>
        <w:t>posez un pays ou mieux un quartier, dans lequel la terre arable utilis</w:t>
      </w:r>
      <w:r w:rsidRPr="009C29C2">
        <w:rPr>
          <w:color w:val="000000"/>
          <w:lang w:eastAsia="fr-FR" w:bidi="fr-FR"/>
        </w:rPr>
        <w:t>a</w:t>
      </w:r>
      <w:r w:rsidRPr="009C29C2">
        <w:rPr>
          <w:color w:val="000000"/>
          <w:lang w:eastAsia="fr-FR" w:bidi="fr-FR"/>
        </w:rPr>
        <w:t>ble est peu étendue, dans lequel il y a une sorte de surpeuplement l</w:t>
      </w:r>
      <w:r w:rsidRPr="009C29C2">
        <w:rPr>
          <w:color w:val="000000"/>
          <w:lang w:eastAsia="fr-FR" w:bidi="fr-FR"/>
        </w:rPr>
        <w:t>o</w:t>
      </w:r>
      <w:r w:rsidRPr="009C29C2">
        <w:rPr>
          <w:color w:val="000000"/>
          <w:lang w:eastAsia="fr-FR" w:bidi="fr-FR"/>
        </w:rPr>
        <w:t>cal ; les gens, au moment des partages successoraux, tiennent à ne perdre aucune parcelle de cette terre. Même si l’on se trouvait à l’origine devant des propriétés aussi larges que longues, le moyen de les partager loyalement en quantité et qualité c’était de les partager dans le sens de la longueur. Il est vraisemblable</w:t>
      </w:r>
      <w:r>
        <w:t xml:space="preserve"> [</w:t>
      </w:r>
      <w:r w:rsidRPr="009C29C2">
        <w:rPr>
          <w:color w:val="000000"/>
          <w:lang w:eastAsia="fr-FR" w:bidi="fr-FR"/>
        </w:rPr>
        <w:t>663</w:t>
      </w:r>
      <w:r>
        <w:rPr>
          <w:color w:val="000000"/>
          <w:lang w:eastAsia="fr-FR" w:bidi="fr-FR"/>
        </w:rPr>
        <w:t>]</w:t>
      </w:r>
      <w:r w:rsidRPr="009C29C2">
        <w:rPr>
          <w:color w:val="000000"/>
          <w:lang w:eastAsia="fr-FR" w:bidi="fr-FR"/>
        </w:rPr>
        <w:t xml:space="preserve"> que ce régime, </w:t>
      </w:r>
      <w:r w:rsidRPr="009C29C2">
        <w:rPr>
          <w:color w:val="000000"/>
          <w:lang w:eastAsia="fr-FR" w:bidi="fr-FR"/>
        </w:rPr>
        <w:lastRenderedPageBreak/>
        <w:t>comme on l’a fait remarquer, est le régime des pays de l’Est caractér</w:t>
      </w:r>
      <w:r w:rsidRPr="009C29C2">
        <w:rPr>
          <w:color w:val="000000"/>
          <w:lang w:eastAsia="fr-FR" w:bidi="fr-FR"/>
        </w:rPr>
        <w:t>i</w:t>
      </w:r>
      <w:r w:rsidRPr="009C29C2">
        <w:rPr>
          <w:color w:val="000000"/>
          <w:lang w:eastAsia="fr-FR" w:bidi="fr-FR"/>
        </w:rPr>
        <w:t>sés par de grandes ondulations de te</w:t>
      </w:r>
      <w:r w:rsidRPr="009C29C2">
        <w:rPr>
          <w:color w:val="000000"/>
          <w:lang w:eastAsia="fr-FR" w:bidi="fr-FR"/>
        </w:rPr>
        <w:t>r</w:t>
      </w:r>
      <w:r w:rsidRPr="009C29C2">
        <w:rPr>
          <w:color w:val="000000"/>
          <w:lang w:eastAsia="fr-FR" w:bidi="fr-FR"/>
        </w:rPr>
        <w:t>rain. Ces champs qui sont sur le penchant des collines, on les a part</w:t>
      </w:r>
      <w:r w:rsidRPr="009C29C2">
        <w:rPr>
          <w:color w:val="000000"/>
          <w:lang w:eastAsia="fr-FR" w:bidi="fr-FR"/>
        </w:rPr>
        <w:t>a</w:t>
      </w:r>
      <w:r w:rsidRPr="009C29C2">
        <w:rPr>
          <w:color w:val="000000"/>
          <w:lang w:eastAsia="fr-FR" w:bidi="fr-FR"/>
        </w:rPr>
        <w:t>gés en longueur, parce que la terre n’a pas la même qualité en haut qu’en bas : elle a pu descendre en ce cas, le bas est meilleur ; ou bien, au contraire, on y craint les gelées tardives ; enfin certaines raisons mat</w:t>
      </w:r>
      <w:r w:rsidRPr="009C29C2">
        <w:rPr>
          <w:color w:val="000000"/>
          <w:lang w:eastAsia="fr-FR" w:bidi="fr-FR"/>
        </w:rPr>
        <w:t>é</w:t>
      </w:r>
      <w:r w:rsidRPr="009C29C2">
        <w:rPr>
          <w:color w:val="000000"/>
          <w:lang w:eastAsia="fr-FR" w:bidi="fr-FR"/>
        </w:rPr>
        <w:t>rielles font que le haut dénudé et le bas trop humide n’ont pas la m</w:t>
      </w:r>
      <w:r w:rsidRPr="009C29C2">
        <w:rPr>
          <w:color w:val="000000"/>
          <w:lang w:eastAsia="fr-FR" w:bidi="fr-FR"/>
        </w:rPr>
        <w:t>ê</w:t>
      </w:r>
      <w:r w:rsidRPr="009C29C2">
        <w:rPr>
          <w:color w:val="000000"/>
          <w:lang w:eastAsia="fr-FR" w:bidi="fr-FR"/>
        </w:rPr>
        <w:t>me valeur : il est tout naturel, par conséquent, que le partage se fa</w:t>
      </w:r>
      <w:r w:rsidRPr="009C29C2">
        <w:rPr>
          <w:color w:val="000000"/>
          <w:lang w:eastAsia="fr-FR" w:bidi="fr-FR"/>
        </w:rPr>
        <w:t>s</w:t>
      </w:r>
      <w:r w:rsidRPr="009C29C2">
        <w:rPr>
          <w:color w:val="000000"/>
          <w:lang w:eastAsia="fr-FR" w:bidi="fr-FR"/>
        </w:rPr>
        <w:t>se pour que chacun ait part égale du haut, du milieu et du bas.</w:t>
      </w:r>
    </w:p>
    <w:p w14:paraId="7521CA92" w14:textId="77777777" w:rsidR="00B9662D" w:rsidRPr="009C29C2" w:rsidRDefault="00B9662D" w:rsidP="00B9662D">
      <w:pPr>
        <w:spacing w:before="120" w:after="120"/>
        <w:jc w:val="both"/>
      </w:pPr>
      <w:r w:rsidRPr="009C29C2">
        <w:rPr>
          <w:color w:val="000000"/>
          <w:lang w:eastAsia="fr-FR" w:bidi="fr-FR"/>
        </w:rPr>
        <w:t>D’autre part, comme vous l’avez bien remarqué, cela ne nécessite pas d’une façon absolue la technique de la charrue, mais enfin cela s’accorde très bien avec cette forme allongée convient à des travaux, labour et autres, que l’on fait en marchant droit devant soi.</w:t>
      </w:r>
    </w:p>
    <w:p w14:paraId="2C652798" w14:textId="77777777" w:rsidR="00B9662D" w:rsidRPr="005262A9" w:rsidRDefault="00B9662D" w:rsidP="00B9662D">
      <w:pPr>
        <w:spacing w:before="120" w:after="120"/>
        <w:jc w:val="both"/>
      </w:pPr>
      <w:r w:rsidRPr="009C29C2">
        <w:rPr>
          <w:color w:val="000000"/>
          <w:lang w:eastAsia="fr-FR" w:bidi="fr-FR"/>
        </w:rPr>
        <w:t>Quant à l’assolement forcé, sa cause me paraît être l’utilisation à l’extrême du terrain cultivable, ce qui suppose un peuplement très dense par rapport à l’étendue disponible. S’il n’en était pas ainsi, il y aurait une solution extrêmement simple qui consisterait à prendre au bas ou en tête de chaque parcelle la largeur d’un chemin. Le cultiv</w:t>
      </w:r>
      <w:r w:rsidRPr="009C29C2">
        <w:rPr>
          <w:color w:val="000000"/>
          <w:lang w:eastAsia="fr-FR" w:bidi="fr-FR"/>
        </w:rPr>
        <w:t>a</w:t>
      </w:r>
      <w:r w:rsidRPr="009C29C2">
        <w:rPr>
          <w:color w:val="000000"/>
          <w:lang w:eastAsia="fr-FR" w:bidi="fr-FR"/>
        </w:rPr>
        <w:t xml:space="preserve">teur aurait ainsi la </w:t>
      </w:r>
      <w:r w:rsidRPr="005262A9">
        <w:rPr>
          <w:color w:val="000000"/>
          <w:lang w:eastAsia="fr-FR" w:bidi="fr-FR"/>
        </w:rPr>
        <w:t>liberté d’entrer dans chaque parcelle et pourrait o</w:t>
      </w:r>
      <w:r w:rsidRPr="005262A9">
        <w:rPr>
          <w:color w:val="000000"/>
          <w:lang w:eastAsia="fr-FR" w:bidi="fr-FR"/>
        </w:rPr>
        <w:t>r</w:t>
      </w:r>
      <w:r w:rsidRPr="005262A9">
        <w:rPr>
          <w:color w:val="000000"/>
          <w:lang w:eastAsia="fr-FR" w:bidi="fr-FR"/>
        </w:rPr>
        <w:t>ganiser l’assolement comme il le voudrait. On est arrivé à cultiver en même temps les mêmes plantes pour éviter les frais d’établissement et d’entretien qu’il aurait entraînés.</w:t>
      </w:r>
    </w:p>
    <w:p w14:paraId="3FACC2EB" w14:textId="77777777" w:rsidR="00B9662D" w:rsidRPr="005262A9" w:rsidRDefault="00B9662D" w:rsidP="00B9662D">
      <w:pPr>
        <w:spacing w:before="120" w:after="120"/>
        <w:jc w:val="both"/>
      </w:pPr>
      <w:r w:rsidRPr="005262A9">
        <w:rPr>
          <w:color w:val="000000"/>
          <w:lang w:eastAsia="fr-FR" w:bidi="fr-FR"/>
        </w:rPr>
        <w:t>Aujourd’hui dans tous les remembrements, assez nombreux dans l’Est, on rend aux cultivateurs leur liberté en créant des chemins d’exploitation qui se placent sur la ligne où les parcelles se touchaient.</w:t>
      </w:r>
    </w:p>
    <w:p w14:paraId="61BE7CE6" w14:textId="77777777" w:rsidR="00B9662D" w:rsidRPr="005262A9" w:rsidRDefault="00B9662D" w:rsidP="00B9662D">
      <w:pPr>
        <w:spacing w:before="120" w:after="120"/>
        <w:jc w:val="both"/>
      </w:pPr>
      <w:r w:rsidRPr="005262A9">
        <w:rPr>
          <w:color w:val="000000"/>
          <w:lang w:eastAsia="fr-FR" w:bidi="fr-FR"/>
        </w:rPr>
        <w:t>M</w:t>
      </w:r>
      <w:r w:rsidRPr="005262A9">
        <w:rPr>
          <w:smallCaps/>
          <w:color w:val="000000"/>
          <w:lang w:eastAsia="fr-FR" w:bidi="fr-FR"/>
        </w:rPr>
        <w:t xml:space="preserve">. </w:t>
      </w:r>
      <w:r w:rsidRPr="005262A9">
        <w:rPr>
          <w:rStyle w:val="Corpsdutexte275ptGras"/>
          <w:b w:val="0"/>
          <w:smallCaps/>
          <w:sz w:val="28"/>
        </w:rPr>
        <w:t>Lévy-Bruhl</w:t>
      </w:r>
      <w:r w:rsidRPr="005262A9">
        <w:rPr>
          <w:rStyle w:val="Corpsdutexte275ptGras"/>
          <w:b w:val="0"/>
          <w:sz w:val="28"/>
        </w:rPr>
        <w:t>.</w:t>
      </w:r>
      <w:r w:rsidRPr="005262A9">
        <w:rPr>
          <w:rStyle w:val="Corpsdutexte275ptGras"/>
          <w:sz w:val="28"/>
        </w:rPr>
        <w:t> — </w:t>
      </w:r>
      <w:r w:rsidRPr="005262A9">
        <w:rPr>
          <w:color w:val="000000"/>
          <w:lang w:eastAsia="fr-FR" w:bidi="fr-FR"/>
        </w:rPr>
        <w:t>Peut-être y avait-il des servitudes ?</w:t>
      </w:r>
    </w:p>
    <w:p w14:paraId="63CA60FD"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Augé-Laribé</w:t>
      </w:r>
      <w:r w:rsidRPr="005262A9">
        <w:rPr>
          <w:rStyle w:val="Corpsdutexte275ptGras"/>
          <w:smallCaps/>
          <w:sz w:val="28"/>
        </w:rPr>
        <w:t> </w:t>
      </w:r>
      <w:r w:rsidRPr="005262A9">
        <w:rPr>
          <w:rStyle w:val="Corpsdutexte275ptGras"/>
          <w:sz w:val="28"/>
        </w:rPr>
        <w:t>— </w:t>
      </w:r>
      <w:r w:rsidRPr="005262A9">
        <w:rPr>
          <w:color w:val="000000"/>
          <w:lang w:eastAsia="fr-FR" w:bidi="fr-FR"/>
        </w:rPr>
        <w:t xml:space="preserve">Il </w:t>
      </w:r>
      <w:r w:rsidRPr="005262A9">
        <w:rPr>
          <w:rStyle w:val="Corpsdutexte275ptGras"/>
          <w:sz w:val="28"/>
        </w:rPr>
        <w:t xml:space="preserve">y </w:t>
      </w:r>
      <w:r w:rsidRPr="005262A9">
        <w:rPr>
          <w:color w:val="000000"/>
          <w:lang w:eastAsia="fr-FR" w:bidi="fr-FR"/>
        </w:rPr>
        <w:t>avait la contrainte de l’assolement.</w:t>
      </w:r>
    </w:p>
    <w:p w14:paraId="65F7B727"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Lévy-Bruhl</w:t>
      </w:r>
      <w:r w:rsidRPr="005262A9">
        <w:rPr>
          <w:rStyle w:val="Corpsdutexte275ptGras"/>
          <w:b w:val="0"/>
          <w:sz w:val="28"/>
        </w:rPr>
        <w:t>.</w:t>
      </w:r>
      <w:r w:rsidRPr="005262A9">
        <w:rPr>
          <w:rStyle w:val="Corpsdutexte275ptGras"/>
          <w:sz w:val="28"/>
        </w:rPr>
        <w:t> — </w:t>
      </w:r>
      <w:r w:rsidRPr="005262A9">
        <w:rPr>
          <w:color w:val="000000"/>
          <w:lang w:eastAsia="fr-FR" w:bidi="fr-FR"/>
        </w:rPr>
        <w:t>Servitudes de passage.</w:t>
      </w:r>
    </w:p>
    <w:p w14:paraId="6B3A4CED"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Augé-Laribé</w:t>
      </w:r>
      <w:r w:rsidRPr="005262A9">
        <w:rPr>
          <w:rStyle w:val="Corpsdutexte275ptGras"/>
          <w:b w:val="0"/>
          <w:sz w:val="28"/>
        </w:rPr>
        <w:t>.</w:t>
      </w:r>
      <w:r w:rsidRPr="005262A9">
        <w:rPr>
          <w:rStyle w:val="Corpsdutexte275ptGras"/>
          <w:sz w:val="28"/>
        </w:rPr>
        <w:t> — </w:t>
      </w:r>
      <w:r w:rsidRPr="005262A9">
        <w:rPr>
          <w:color w:val="000000"/>
          <w:lang w:eastAsia="fr-FR" w:bidi="fr-FR"/>
        </w:rPr>
        <w:t>Elles nécessitaient l’assolement forcé, parce qu’il fa</w:t>
      </w:r>
      <w:r w:rsidRPr="005262A9">
        <w:rPr>
          <w:color w:val="000000"/>
          <w:lang w:eastAsia="fr-FR" w:bidi="fr-FR"/>
        </w:rPr>
        <w:t>l</w:t>
      </w:r>
      <w:r w:rsidRPr="005262A9">
        <w:rPr>
          <w:color w:val="000000"/>
          <w:lang w:eastAsia="fr-FR" w:bidi="fr-FR"/>
        </w:rPr>
        <w:t>lait que tous en même temps fissent leurs labours, et que tous en m</w:t>
      </w:r>
      <w:r w:rsidRPr="005262A9">
        <w:rPr>
          <w:color w:val="000000"/>
          <w:lang w:eastAsia="fr-FR" w:bidi="fr-FR"/>
        </w:rPr>
        <w:t>ê</w:t>
      </w:r>
      <w:r w:rsidRPr="005262A9">
        <w:rPr>
          <w:color w:val="000000"/>
          <w:lang w:eastAsia="fr-FR" w:bidi="fr-FR"/>
        </w:rPr>
        <w:t>me temps fissent leurs récoltes.</w:t>
      </w:r>
    </w:p>
    <w:p w14:paraId="36A6004E"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Lot</w:t>
      </w:r>
      <w:r w:rsidRPr="005262A9">
        <w:rPr>
          <w:rStyle w:val="Corpsdutexte275ptGras"/>
          <w:b w:val="0"/>
          <w:sz w:val="28"/>
        </w:rPr>
        <w:t>.</w:t>
      </w:r>
      <w:r w:rsidRPr="005262A9">
        <w:rPr>
          <w:rStyle w:val="Corpsdutexte275ptGras"/>
          <w:sz w:val="28"/>
        </w:rPr>
        <w:t> — </w:t>
      </w:r>
      <w:r w:rsidRPr="005262A9">
        <w:rPr>
          <w:color w:val="000000"/>
          <w:lang w:eastAsia="fr-FR" w:bidi="fr-FR"/>
        </w:rPr>
        <w:t>Cette servitude est peut-être tout simplement imposée par un maître, à l’origine ; il n’est pas nécessaire, en effet, que ce soit une communauté de gens parfaitement libres, conscients de ce qu’ils font, agissant dans leur intérêt. On a supposé — nous sommes dans le d</w:t>
      </w:r>
      <w:r w:rsidRPr="005262A9">
        <w:rPr>
          <w:color w:val="000000"/>
          <w:lang w:eastAsia="fr-FR" w:bidi="fr-FR"/>
        </w:rPr>
        <w:t>o</w:t>
      </w:r>
      <w:r w:rsidRPr="005262A9">
        <w:rPr>
          <w:color w:val="000000"/>
          <w:lang w:eastAsia="fr-FR" w:bidi="fr-FR"/>
        </w:rPr>
        <w:t xml:space="preserve">maine des suppositions — que ce régime a été le fait du maître qui </w:t>
      </w:r>
      <w:r w:rsidRPr="005262A9">
        <w:rPr>
          <w:color w:val="000000"/>
          <w:lang w:eastAsia="fr-FR" w:bidi="fr-FR"/>
        </w:rPr>
        <w:lastRenderedPageBreak/>
        <w:t>leur imposait cette division du sol, la même culture, la récolte au m</w:t>
      </w:r>
      <w:r w:rsidRPr="005262A9">
        <w:rPr>
          <w:color w:val="000000"/>
          <w:lang w:eastAsia="fr-FR" w:bidi="fr-FR"/>
        </w:rPr>
        <w:t>ê</w:t>
      </w:r>
      <w:r w:rsidRPr="005262A9">
        <w:rPr>
          <w:color w:val="000000"/>
          <w:lang w:eastAsia="fr-FR" w:bidi="fr-FR"/>
        </w:rPr>
        <w:t>me moment, et ensuite la pâture commune, dans son propre intérêt. Ensuite, c’est devenu, comme fatalement, un système communautaire, communiste... Mais, nous sommes dans le domaine des hypothèses.</w:t>
      </w:r>
    </w:p>
    <w:p w14:paraId="196692DF" w14:textId="77777777" w:rsidR="00B9662D" w:rsidRPr="005262A9" w:rsidRDefault="00B9662D" w:rsidP="00B9662D">
      <w:pPr>
        <w:spacing w:before="120" w:after="120"/>
        <w:jc w:val="both"/>
      </w:pPr>
      <w:r w:rsidRPr="005262A9">
        <w:rPr>
          <w:color w:val="000000"/>
          <w:lang w:eastAsia="fr-FR" w:bidi="fr-FR"/>
        </w:rPr>
        <w:t>Je ne sais pas si notre ami Bloch penche vers l’interprétation du maître qui impose à ses tenanciers un système, ou s’il croit que vérit</w:t>
      </w:r>
      <w:r w:rsidRPr="005262A9">
        <w:rPr>
          <w:color w:val="000000"/>
          <w:lang w:eastAsia="fr-FR" w:bidi="fr-FR"/>
        </w:rPr>
        <w:t>a</w:t>
      </w:r>
      <w:r w:rsidRPr="005262A9">
        <w:rPr>
          <w:color w:val="000000"/>
          <w:lang w:eastAsia="fr-FR" w:bidi="fr-FR"/>
        </w:rPr>
        <w:t>blement c’est une communauté et qu’on puisse dire que c’est là un état intermédiaire entre la propriété commune et la propriété indiv</w:t>
      </w:r>
      <w:r w:rsidRPr="005262A9">
        <w:rPr>
          <w:color w:val="000000"/>
          <w:lang w:eastAsia="fr-FR" w:bidi="fr-FR"/>
        </w:rPr>
        <w:t>i</w:t>
      </w:r>
      <w:r w:rsidRPr="005262A9">
        <w:rPr>
          <w:color w:val="000000"/>
          <w:lang w:eastAsia="fr-FR" w:bidi="fr-FR"/>
        </w:rPr>
        <w:t>duelle, la propriété où chacun a sa parcelle. Peut-être à l’origine, tout le monde fait la récolte du champ, et puis chacun veut avoir sa lanière, mais chacun reste assujetti à des servitudes.</w:t>
      </w:r>
    </w:p>
    <w:p w14:paraId="0F1D2305" w14:textId="77777777" w:rsidR="00B9662D" w:rsidRPr="009C29C2"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Augé-Laribé</w:t>
      </w:r>
      <w:r w:rsidRPr="005262A9">
        <w:rPr>
          <w:rStyle w:val="Corpsdutexte275ptGras"/>
          <w:b w:val="0"/>
          <w:sz w:val="28"/>
        </w:rPr>
        <w:t>.</w:t>
      </w:r>
      <w:r w:rsidRPr="005262A9">
        <w:rPr>
          <w:rStyle w:val="Corpsdutexte275ptGras"/>
          <w:sz w:val="28"/>
        </w:rPr>
        <w:t> — </w:t>
      </w:r>
      <w:r w:rsidRPr="005262A9">
        <w:rPr>
          <w:color w:val="000000"/>
          <w:lang w:eastAsia="fr-FR" w:bidi="fr-FR"/>
        </w:rPr>
        <w:t>Est-ce que cela ne pourrait pas s’expliquer par le sy</w:t>
      </w:r>
      <w:r w:rsidRPr="005262A9">
        <w:rPr>
          <w:color w:val="000000"/>
          <w:lang w:eastAsia="fr-FR" w:bidi="fr-FR"/>
        </w:rPr>
        <w:t>s</w:t>
      </w:r>
      <w:r w:rsidRPr="005262A9">
        <w:rPr>
          <w:color w:val="000000"/>
          <w:lang w:eastAsia="fr-FR" w:bidi="fr-FR"/>
        </w:rPr>
        <w:t>tème de la communauté familiale </w:t>
      </w:r>
      <w:r w:rsidRPr="009C29C2">
        <w:rPr>
          <w:color w:val="000000"/>
          <w:lang w:eastAsia="fr-FR" w:bidi="fr-FR"/>
        </w:rPr>
        <w:t>?</w:t>
      </w:r>
    </w:p>
    <w:p w14:paraId="6BD53E85" w14:textId="77777777" w:rsidR="00B9662D" w:rsidRPr="009C29C2" w:rsidRDefault="00B9662D" w:rsidP="00B9662D">
      <w:pPr>
        <w:spacing w:before="120" w:after="120"/>
        <w:jc w:val="both"/>
      </w:pPr>
      <w:r>
        <w:t>[664]</w:t>
      </w:r>
    </w:p>
    <w:p w14:paraId="6ECC6DFF" w14:textId="77777777" w:rsidR="00B9662D" w:rsidRPr="005262A9" w:rsidRDefault="00B9662D" w:rsidP="00B9662D">
      <w:pPr>
        <w:spacing w:before="120" w:after="120"/>
        <w:jc w:val="both"/>
      </w:pPr>
      <w:r w:rsidRPr="009C29C2">
        <w:rPr>
          <w:color w:val="000000"/>
          <w:lang w:eastAsia="fr-FR" w:bidi="fr-FR"/>
        </w:rPr>
        <w:t>Je voudrais dire encore un mot de la vaine pâture. Je ne la vois bien s’organiser que dans une région où l’herbe est extrêmement rare ; c’est un système de pays de pacages. Ce qu’a dit</w:t>
      </w:r>
      <w:r>
        <w:rPr>
          <w:color w:val="000000"/>
          <w:lang w:eastAsia="fr-FR" w:bidi="fr-FR"/>
        </w:rPr>
        <w:t xml:space="preserve"> à M. Bloch un rec</w:t>
      </w:r>
      <w:r>
        <w:rPr>
          <w:color w:val="000000"/>
          <w:lang w:eastAsia="fr-FR" w:bidi="fr-FR"/>
        </w:rPr>
        <w:t>e</w:t>
      </w:r>
      <w:r>
        <w:rPr>
          <w:color w:val="000000"/>
          <w:lang w:eastAsia="fr-FR" w:bidi="fr-FR"/>
        </w:rPr>
        <w:t xml:space="preserve">veur </w:t>
      </w:r>
      <w:r w:rsidRPr="005262A9">
        <w:rPr>
          <w:color w:val="000000"/>
          <w:lang w:eastAsia="fr-FR" w:bidi="fr-FR"/>
        </w:rPr>
        <w:t>d’Enregistrement s’explique très bien là où il y a de véritables prairies : on peut mettre les bêtes au piquet, elles ont de quoi manger dans un cercle très petit. Mais cela est bien impossible dans un endroit où il n’y a que cette végétation spontanée qui a suivi la jachère. Là, pour se nourrir, les animaux doivent marcher. C’est ce qui explique que la vaine pâture existe dans ces quartiers-là, et que vous ne la tro</w:t>
      </w:r>
      <w:r w:rsidRPr="005262A9">
        <w:rPr>
          <w:color w:val="000000"/>
          <w:lang w:eastAsia="fr-FR" w:bidi="fr-FR"/>
        </w:rPr>
        <w:t>u</w:t>
      </w:r>
      <w:r w:rsidRPr="005262A9">
        <w:rPr>
          <w:color w:val="000000"/>
          <w:lang w:eastAsia="fr-FR" w:bidi="fr-FR"/>
        </w:rPr>
        <w:t>viez pas dans les pays où il y a des prairies plus abondantes.</w:t>
      </w:r>
    </w:p>
    <w:p w14:paraId="33A4CF3E" w14:textId="77777777" w:rsidR="00B9662D" w:rsidRPr="005262A9" w:rsidRDefault="00B9662D" w:rsidP="00B9662D">
      <w:pPr>
        <w:spacing w:before="120" w:after="120"/>
        <w:jc w:val="both"/>
      </w:pPr>
      <w:r w:rsidRPr="005262A9">
        <w:rPr>
          <w:color w:val="000000"/>
          <w:lang w:eastAsia="fr-FR" w:bidi="fr-FR"/>
        </w:rPr>
        <w:t xml:space="preserve">M. M. </w:t>
      </w:r>
      <w:r w:rsidRPr="005262A9">
        <w:rPr>
          <w:rStyle w:val="Corpsdutexte275ptGras"/>
          <w:b w:val="0"/>
          <w:smallCaps/>
          <w:sz w:val="28"/>
        </w:rPr>
        <w:t>Bloch</w:t>
      </w:r>
      <w:r w:rsidRPr="005262A9">
        <w:rPr>
          <w:rStyle w:val="Corpsdutexte275ptGras"/>
          <w:b w:val="0"/>
          <w:sz w:val="28"/>
        </w:rPr>
        <w:t>.</w:t>
      </w:r>
      <w:r w:rsidRPr="005262A9">
        <w:rPr>
          <w:rStyle w:val="Corpsdutexte275ptGras"/>
          <w:sz w:val="28"/>
        </w:rPr>
        <w:t> — </w:t>
      </w:r>
      <w:r w:rsidRPr="005262A9">
        <w:rPr>
          <w:color w:val="000000"/>
          <w:lang w:eastAsia="fr-FR" w:bidi="fr-FR"/>
        </w:rPr>
        <w:t xml:space="preserve">Il </w:t>
      </w:r>
      <w:r w:rsidRPr="005262A9">
        <w:rPr>
          <w:rStyle w:val="Corpsdutexte275ptGras"/>
          <w:sz w:val="28"/>
        </w:rPr>
        <w:t xml:space="preserve">y </w:t>
      </w:r>
      <w:r w:rsidRPr="005262A9">
        <w:rPr>
          <w:color w:val="000000"/>
          <w:lang w:eastAsia="fr-FR" w:bidi="fr-FR"/>
        </w:rPr>
        <w:t>a la vaine pâture sur les prés, dans les r</w:t>
      </w:r>
      <w:r w:rsidRPr="005262A9">
        <w:rPr>
          <w:color w:val="000000"/>
          <w:lang w:eastAsia="fr-FR" w:bidi="fr-FR"/>
        </w:rPr>
        <w:t>é</w:t>
      </w:r>
      <w:r w:rsidRPr="005262A9">
        <w:rPr>
          <w:color w:val="000000"/>
          <w:lang w:eastAsia="fr-FR" w:bidi="fr-FR"/>
        </w:rPr>
        <w:t>gions de champs allongés. Dieu sait que cela a été peut-être la que</w:t>
      </w:r>
      <w:r w:rsidRPr="005262A9">
        <w:rPr>
          <w:color w:val="000000"/>
          <w:lang w:eastAsia="fr-FR" w:bidi="fr-FR"/>
        </w:rPr>
        <w:t>s</w:t>
      </w:r>
      <w:r w:rsidRPr="005262A9">
        <w:rPr>
          <w:color w:val="000000"/>
          <w:lang w:eastAsia="fr-FR" w:bidi="fr-FR"/>
        </w:rPr>
        <w:t>tion qui a le plus soulevé les passions rurales ! La question de la vaine pâture, le XVIII</w:t>
      </w:r>
      <w:r w:rsidRPr="005262A9">
        <w:rPr>
          <w:color w:val="000000"/>
          <w:vertAlign w:val="superscript"/>
          <w:lang w:eastAsia="fr-FR" w:bidi="fr-FR"/>
        </w:rPr>
        <w:t>e</w:t>
      </w:r>
      <w:r w:rsidRPr="005262A9">
        <w:rPr>
          <w:color w:val="000000"/>
          <w:lang w:eastAsia="fr-FR" w:bidi="fr-FR"/>
        </w:rPr>
        <w:t xml:space="preserve"> siècle en a été remué !</w:t>
      </w:r>
    </w:p>
    <w:p w14:paraId="54AF3DE3" w14:textId="77777777" w:rsidR="00B9662D" w:rsidRPr="005262A9"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Augé-Laribé</w:t>
      </w:r>
      <w:r w:rsidRPr="005262A9">
        <w:rPr>
          <w:rStyle w:val="Corpsdutexte275ptGras"/>
          <w:b w:val="0"/>
          <w:sz w:val="28"/>
        </w:rPr>
        <w:t>.</w:t>
      </w:r>
      <w:r w:rsidRPr="005262A9">
        <w:rPr>
          <w:rStyle w:val="Corpsdutexte275ptGras"/>
          <w:sz w:val="28"/>
        </w:rPr>
        <w:t> — </w:t>
      </w:r>
      <w:r w:rsidRPr="005262A9">
        <w:rPr>
          <w:color w:val="000000"/>
          <w:lang w:eastAsia="fr-FR" w:bidi="fr-FR"/>
        </w:rPr>
        <w:t>Ce n’était pas les prés d’aujourd’hui !</w:t>
      </w:r>
    </w:p>
    <w:p w14:paraId="61E6086D" w14:textId="77777777" w:rsidR="00B9662D" w:rsidRPr="005262A9" w:rsidRDefault="00B9662D" w:rsidP="00B9662D">
      <w:pPr>
        <w:spacing w:before="120" w:after="120"/>
        <w:jc w:val="both"/>
      </w:pPr>
      <w:r w:rsidRPr="005262A9">
        <w:rPr>
          <w:color w:val="000000"/>
          <w:lang w:eastAsia="fr-FR" w:bidi="fr-FR"/>
        </w:rPr>
        <w:t>Il y a eu, non pas continuité, mais de nombreuses ruptures, qui ne remettaient peut-être pas tout en question, mais qui ont provoqué de grandes transformations. Elles ont été particulièrement décisives au début du XIX</w:t>
      </w:r>
      <w:r w:rsidRPr="005262A9">
        <w:rPr>
          <w:color w:val="000000"/>
          <w:vertAlign w:val="superscript"/>
          <w:lang w:eastAsia="fr-FR" w:bidi="fr-FR"/>
        </w:rPr>
        <w:t>e</w:t>
      </w:r>
      <w:r w:rsidRPr="005262A9">
        <w:rPr>
          <w:color w:val="000000"/>
          <w:lang w:eastAsia="fr-FR" w:bidi="fr-FR"/>
        </w:rPr>
        <w:t xml:space="preserve"> siècle, chemins de fer permettant la mobilisation des denrées, substitution de produits industriels à des produits agricoles, concurrence du Nouveau Monde, organisation des grands marchés, etc.</w:t>
      </w:r>
    </w:p>
    <w:p w14:paraId="50DE2B11" w14:textId="77777777" w:rsidR="00B9662D" w:rsidRPr="005262A9" w:rsidRDefault="00B9662D" w:rsidP="00B9662D">
      <w:pPr>
        <w:spacing w:before="120" w:after="120"/>
        <w:jc w:val="both"/>
      </w:pPr>
      <w:r w:rsidRPr="005262A9">
        <w:rPr>
          <w:color w:val="000000"/>
          <w:lang w:eastAsia="fr-FR" w:bidi="fr-FR"/>
        </w:rPr>
        <w:lastRenderedPageBreak/>
        <w:t>Je n’ai pas besoin de développer, vous voyez, des quantités de ch</w:t>
      </w:r>
      <w:r w:rsidRPr="005262A9">
        <w:rPr>
          <w:color w:val="000000"/>
          <w:lang w:eastAsia="fr-FR" w:bidi="fr-FR"/>
        </w:rPr>
        <w:t>o</w:t>
      </w:r>
      <w:r w:rsidRPr="005262A9">
        <w:rPr>
          <w:color w:val="000000"/>
          <w:lang w:eastAsia="fr-FR" w:bidi="fr-FR"/>
        </w:rPr>
        <w:t>ses ont produit des cassures véritables dans cette histoire.</w:t>
      </w:r>
    </w:p>
    <w:p w14:paraId="76271379" w14:textId="77777777" w:rsidR="00B9662D" w:rsidRPr="009C29C2" w:rsidRDefault="00B9662D" w:rsidP="00B9662D">
      <w:pPr>
        <w:spacing w:before="120" w:after="120"/>
        <w:jc w:val="both"/>
      </w:pPr>
      <w:r w:rsidRPr="005262A9">
        <w:rPr>
          <w:color w:val="000000"/>
          <w:lang w:eastAsia="fr-FR" w:bidi="fr-FR"/>
        </w:rPr>
        <w:t xml:space="preserve">M. </w:t>
      </w:r>
      <w:r w:rsidRPr="005262A9">
        <w:rPr>
          <w:rStyle w:val="Corpsdutexte275ptGras"/>
          <w:b w:val="0"/>
          <w:smallCaps/>
          <w:sz w:val="28"/>
        </w:rPr>
        <w:t>Lot</w:t>
      </w:r>
      <w:r w:rsidRPr="005262A9">
        <w:rPr>
          <w:rStyle w:val="Corpsdutexte275ptGras"/>
          <w:b w:val="0"/>
          <w:sz w:val="28"/>
        </w:rPr>
        <w:t>.</w:t>
      </w:r>
      <w:r w:rsidRPr="005262A9">
        <w:rPr>
          <w:rStyle w:val="Corpsdutexte275ptGras"/>
          <w:sz w:val="28"/>
        </w:rPr>
        <w:t> — </w:t>
      </w:r>
      <w:r w:rsidRPr="005262A9">
        <w:rPr>
          <w:color w:val="000000"/>
          <w:lang w:eastAsia="fr-FR" w:bidi="fr-FR"/>
        </w:rPr>
        <w:t>C’est un système tellement cimenté qu’il n’y a pas de fi</w:t>
      </w:r>
      <w:r w:rsidRPr="005262A9">
        <w:rPr>
          <w:color w:val="000000"/>
          <w:lang w:eastAsia="fr-FR" w:bidi="fr-FR"/>
        </w:rPr>
        <w:t>s</w:t>
      </w:r>
      <w:r w:rsidRPr="005262A9">
        <w:rPr>
          <w:color w:val="000000"/>
          <w:lang w:eastAsia="fr-FR" w:bidi="fr-FR"/>
        </w:rPr>
        <w:t xml:space="preserve">sures, c’est impossible. Jusqu’aux transformations agricoles qui chez nous ne commencent vraiment que vers le milieu du </w:t>
      </w:r>
      <w:r w:rsidRPr="005262A9">
        <w:rPr>
          <w:caps/>
          <w:color w:val="000000"/>
          <w:lang w:eastAsia="fr-FR" w:bidi="fr-FR"/>
        </w:rPr>
        <w:t>xix</w:t>
      </w:r>
      <w:r w:rsidRPr="005262A9">
        <w:rPr>
          <w:color w:val="000000"/>
          <w:vertAlign w:val="superscript"/>
          <w:lang w:eastAsia="fr-FR" w:bidi="fr-FR"/>
        </w:rPr>
        <w:t>e</w:t>
      </w:r>
      <w:r w:rsidRPr="005262A9">
        <w:rPr>
          <w:color w:val="000000"/>
          <w:lang w:eastAsia="fr-FR" w:bidi="fr-FR"/>
        </w:rPr>
        <w:t xml:space="preserve"> siècle, a</w:t>
      </w:r>
      <w:r w:rsidRPr="005262A9">
        <w:rPr>
          <w:color w:val="000000"/>
          <w:lang w:eastAsia="fr-FR" w:bidi="fr-FR"/>
        </w:rPr>
        <w:t>u</w:t>
      </w:r>
      <w:r w:rsidRPr="005262A9">
        <w:rPr>
          <w:color w:val="000000"/>
          <w:lang w:eastAsia="fr-FR" w:bidi="fr-FR"/>
        </w:rPr>
        <w:t>cun législateur n’a pu changer quoi que ce fût à ces choses. Il y a un pays qui a pu faire cette révolution</w:t>
      </w:r>
      <w:r w:rsidRPr="009C29C2">
        <w:rPr>
          <w:color w:val="000000"/>
          <w:lang w:eastAsia="fr-FR" w:bidi="fr-FR"/>
        </w:rPr>
        <w:t xml:space="preserve">, à la fin du </w:t>
      </w:r>
      <w:r w:rsidRPr="00EA7DF5">
        <w:rPr>
          <w:caps/>
          <w:color w:val="000000"/>
          <w:lang w:eastAsia="fr-FR" w:bidi="fr-FR"/>
        </w:rPr>
        <w:t>xv</w:t>
      </w:r>
      <w:r w:rsidRPr="009C29C2">
        <w:rPr>
          <w:color w:val="000000"/>
          <w:vertAlign w:val="superscript"/>
          <w:lang w:eastAsia="fr-FR" w:bidi="fr-FR"/>
        </w:rPr>
        <w:t>e</w:t>
      </w:r>
      <w:r w:rsidRPr="009C29C2">
        <w:rPr>
          <w:color w:val="000000"/>
          <w:lang w:eastAsia="fr-FR" w:bidi="fr-FR"/>
        </w:rPr>
        <w:t xml:space="preserve"> et au </w:t>
      </w:r>
      <w:r w:rsidRPr="00EA7DF5">
        <w:rPr>
          <w:caps/>
          <w:color w:val="000000"/>
          <w:lang w:eastAsia="fr-FR" w:bidi="fr-FR"/>
        </w:rPr>
        <w:t>xvi</w:t>
      </w:r>
      <w:r w:rsidRPr="009C29C2">
        <w:rPr>
          <w:color w:val="000000"/>
          <w:vertAlign w:val="superscript"/>
          <w:lang w:eastAsia="fr-FR" w:bidi="fr-FR"/>
        </w:rPr>
        <w:t>e</w:t>
      </w:r>
      <w:r w:rsidRPr="009C29C2">
        <w:rPr>
          <w:color w:val="000000"/>
          <w:lang w:eastAsia="fr-FR" w:bidi="fr-FR"/>
        </w:rPr>
        <w:t xml:space="preserve">, c’est l’Angleterre. En Angleterre, nous assistons à un spectacle prodigieux ! Le régime agraire est bousculé ! Il est changé du tout au tout, à ce point que le hasard ayant conservé des champs ouverts dans un vieux domaine, cela a paru au milieu du </w:t>
      </w:r>
      <w:r w:rsidRPr="00EA7DF5">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 comme quelque chose de stupéfiant, comme un bolide tombé de la lune ! En Angleterre, la transformation a été totale. En France, elle a été absolument imposs</w:t>
      </w:r>
      <w:r w:rsidRPr="009C29C2">
        <w:rPr>
          <w:color w:val="000000"/>
          <w:lang w:eastAsia="fr-FR" w:bidi="fr-FR"/>
        </w:rPr>
        <w:t>i</w:t>
      </w:r>
      <w:r w:rsidRPr="009C29C2">
        <w:rPr>
          <w:color w:val="000000"/>
          <w:lang w:eastAsia="fr-FR" w:bidi="fr-FR"/>
        </w:rPr>
        <w:t xml:space="preserve">ble. Seule la science au </w:t>
      </w:r>
      <w:r w:rsidRPr="00EA7DF5">
        <w:rPr>
          <w:caps/>
          <w:color w:val="000000"/>
          <w:lang w:eastAsia="fr-FR" w:bidi="fr-FR"/>
        </w:rPr>
        <w:t>xix</w:t>
      </w:r>
      <w:r w:rsidRPr="009C29C2">
        <w:rPr>
          <w:color w:val="000000"/>
          <w:vertAlign w:val="superscript"/>
          <w:lang w:eastAsia="fr-FR" w:bidi="fr-FR"/>
        </w:rPr>
        <w:t>e</w:t>
      </w:r>
      <w:r w:rsidRPr="009C29C2">
        <w:rPr>
          <w:color w:val="000000"/>
          <w:lang w:eastAsia="fr-FR" w:bidi="fr-FR"/>
        </w:rPr>
        <w:t xml:space="preserve"> siècle a pu entamer le bloc. Jusque-là, il n’y avait rien à faire chez nous : les hommes tiennent à leur système ; ils ont leurs champs longs, ils ne veulent pas changer ; leurs assol</w:t>
      </w:r>
      <w:r w:rsidRPr="009C29C2">
        <w:rPr>
          <w:color w:val="000000"/>
          <w:lang w:eastAsia="fr-FR" w:bidi="fr-FR"/>
        </w:rPr>
        <w:t>e</w:t>
      </w:r>
      <w:r w:rsidRPr="009C29C2">
        <w:rPr>
          <w:color w:val="000000"/>
          <w:lang w:eastAsia="fr-FR" w:bidi="fr-FR"/>
        </w:rPr>
        <w:t>ments, et leurs récoltes, et leur temps de vendanges, et leur temps de moissons, et leur pâture. En Angleterre, la révolution agraire s’est fa</w:t>
      </w:r>
      <w:r w:rsidRPr="009C29C2">
        <w:rPr>
          <w:color w:val="000000"/>
          <w:lang w:eastAsia="fr-FR" w:bidi="fr-FR"/>
        </w:rPr>
        <w:t>i</w:t>
      </w:r>
      <w:r w:rsidRPr="009C29C2">
        <w:rPr>
          <w:color w:val="000000"/>
          <w:lang w:eastAsia="fr-FR" w:bidi="fr-FR"/>
        </w:rPr>
        <w:t>te mais au prix de souffrances épouvantables.</w:t>
      </w:r>
    </w:p>
    <w:p w14:paraId="5423032A" w14:textId="77777777" w:rsidR="00B9662D" w:rsidRPr="009C29C2" w:rsidRDefault="00B9662D" w:rsidP="00B9662D">
      <w:pPr>
        <w:spacing w:before="120" w:after="120"/>
        <w:jc w:val="both"/>
      </w:pPr>
      <w:r w:rsidRPr="009C29C2">
        <w:rPr>
          <w:color w:val="000000"/>
          <w:lang w:eastAsia="fr-FR" w:bidi="fr-FR"/>
        </w:rPr>
        <w:t>Je suis extrêmement troublé par ce fait</w:t>
      </w:r>
      <w:r>
        <w:rPr>
          <w:color w:val="000000"/>
          <w:lang w:eastAsia="fr-FR" w:bidi="fr-FR"/>
        </w:rPr>
        <w:t> — </w:t>
      </w:r>
      <w:r w:rsidRPr="009C29C2">
        <w:rPr>
          <w:color w:val="000000"/>
          <w:lang w:eastAsia="fr-FR" w:bidi="fr-FR"/>
        </w:rPr>
        <w:t>un fait juridique —, que chez nous, sans aucun doute, un paysan, s’il n’est pas propriétaire, au sens plein du mot, a une possession, une possession extrêmement fo</w:t>
      </w:r>
      <w:r w:rsidRPr="009C29C2">
        <w:rPr>
          <w:color w:val="000000"/>
          <w:lang w:eastAsia="fr-FR" w:bidi="fr-FR"/>
        </w:rPr>
        <w:t>r</w:t>
      </w:r>
      <w:r w:rsidRPr="009C29C2">
        <w:rPr>
          <w:color w:val="000000"/>
          <w:lang w:eastAsia="fr-FR" w:bidi="fr-FR"/>
        </w:rPr>
        <w:t xml:space="preserve">te, et cela, comme Olivier-Martin l’a bien montré, dès le </w:t>
      </w:r>
      <w:r w:rsidRPr="00EA7DF5">
        <w:rPr>
          <w:caps/>
          <w:color w:val="000000"/>
          <w:lang w:eastAsia="fr-FR" w:bidi="fr-FR"/>
        </w:rPr>
        <w:t>xiv</w:t>
      </w:r>
      <w:r w:rsidRPr="009C29C2">
        <w:rPr>
          <w:color w:val="000000"/>
          <w:vertAlign w:val="superscript"/>
          <w:lang w:eastAsia="fr-FR" w:bidi="fr-FR"/>
        </w:rPr>
        <w:t>e</w:t>
      </w:r>
      <w:r>
        <w:rPr>
          <w:color w:val="000000"/>
          <w:lang w:eastAsia="fr-FR" w:bidi="fr-FR"/>
        </w:rPr>
        <w:t> </w:t>
      </w:r>
      <w:r w:rsidRPr="009C29C2">
        <w:rPr>
          <w:color w:val="000000"/>
          <w:lang w:eastAsia="fr-FR" w:bidi="fr-FR"/>
        </w:rPr>
        <w:t>siècle</w:t>
      </w:r>
      <w:r>
        <w:rPr>
          <w:color w:val="000000"/>
          <w:lang w:eastAsia="fr-FR" w:bidi="fr-FR"/>
        </w:rPr>
        <w:t> </w:t>
      </w:r>
      <w:r>
        <w:rPr>
          <w:rStyle w:val="Appelnotedebasdep"/>
        </w:rPr>
        <w:footnoteReference w:id="281"/>
      </w:r>
      <w:r w:rsidRPr="009C29C2">
        <w:rPr>
          <w:color w:val="000000"/>
          <w:lang w:eastAsia="fr-FR" w:bidi="fr-FR"/>
        </w:rPr>
        <w:t>.</w:t>
      </w:r>
    </w:p>
    <w:p w14:paraId="5E3D45FC" w14:textId="77777777" w:rsidR="00B9662D" w:rsidRPr="00684072" w:rsidRDefault="00B9662D" w:rsidP="00B9662D">
      <w:pPr>
        <w:spacing w:before="120" w:after="120"/>
        <w:jc w:val="both"/>
      </w:pPr>
      <w:r w:rsidRPr="009C29C2">
        <w:rPr>
          <w:color w:val="000000"/>
          <w:lang w:eastAsia="fr-FR" w:bidi="fr-FR"/>
        </w:rPr>
        <w:t xml:space="preserve">En Angleterre, au contraire, ce paysan, vous pouvez l’évincer. Qu’il crie, qu’il fasse appel au Parlement, on ne s’en soucie </w:t>
      </w:r>
      <w:r>
        <w:rPr>
          <w:color w:val="000000"/>
          <w:lang w:eastAsia="fr-FR" w:bidi="fr-FR"/>
        </w:rPr>
        <w:t>pas. On bous</w:t>
      </w:r>
      <w:r w:rsidRPr="009C29C2">
        <w:rPr>
          <w:color w:val="000000"/>
          <w:lang w:eastAsia="fr-FR" w:bidi="fr-FR"/>
        </w:rPr>
        <w:t>cule</w:t>
      </w:r>
      <w:r>
        <w:rPr>
          <w:color w:val="000000"/>
          <w:lang w:eastAsia="fr-FR" w:bidi="fr-FR"/>
        </w:rPr>
        <w:t xml:space="preserve"> [</w:t>
      </w:r>
      <w:r w:rsidRPr="009C29C2">
        <w:rPr>
          <w:color w:val="000000"/>
          <w:lang w:eastAsia="fr-FR" w:bidi="fr-FR"/>
        </w:rPr>
        <w:t>665</w:t>
      </w:r>
      <w:r>
        <w:rPr>
          <w:color w:val="000000"/>
          <w:lang w:eastAsia="fr-FR" w:bidi="fr-FR"/>
        </w:rPr>
        <w:t>]</w:t>
      </w:r>
      <w:r w:rsidRPr="009C29C2">
        <w:rPr>
          <w:color w:val="000000"/>
          <w:lang w:eastAsia="fr-FR" w:bidi="fr-FR"/>
        </w:rPr>
        <w:t xml:space="preserve"> tout le vieux système de l’assolement biennal et des champs longs, et l’Angleterre inaugure l’agriculture moderne. Elle n’a pu le faire que parce qu’elle a agi un peu comme en Russie, en jetant les paysans dehors. C’est qu’ils ne sont pas propriétaires, ils n’ont même pas la possession et c’est un problème de droit anglais tro</w:t>
      </w:r>
      <w:r w:rsidRPr="009C29C2">
        <w:rPr>
          <w:color w:val="000000"/>
          <w:lang w:eastAsia="fr-FR" w:bidi="fr-FR"/>
        </w:rPr>
        <w:t>u</w:t>
      </w:r>
      <w:r w:rsidRPr="009C29C2">
        <w:rPr>
          <w:color w:val="000000"/>
          <w:lang w:eastAsia="fr-FR" w:bidi="fr-FR"/>
        </w:rPr>
        <w:t xml:space="preserve">blant. Si on se place dans le Moyen </w:t>
      </w:r>
      <w:r>
        <w:rPr>
          <w:color w:val="000000"/>
          <w:lang w:eastAsia="fr-FR" w:bidi="fr-FR"/>
        </w:rPr>
        <w:t>Â</w:t>
      </w:r>
      <w:r w:rsidRPr="009C29C2">
        <w:rPr>
          <w:color w:val="000000"/>
          <w:lang w:eastAsia="fr-FR" w:bidi="fr-FR"/>
        </w:rPr>
        <w:t xml:space="preserve">ge et même vers la fin du Moyen </w:t>
      </w:r>
      <w:r>
        <w:rPr>
          <w:color w:val="000000"/>
          <w:lang w:eastAsia="fr-FR" w:bidi="fr-FR"/>
        </w:rPr>
        <w:t>Â</w:t>
      </w:r>
      <w:r w:rsidRPr="009C29C2">
        <w:rPr>
          <w:color w:val="000000"/>
          <w:lang w:eastAsia="fr-FR" w:bidi="fr-FR"/>
        </w:rPr>
        <w:t xml:space="preserve">ge, on s’imagine que paysans anglais et français ont à peu près la même condition. En fait, les Anglais sont plus malheureux que les nôtres, n’ayant pas de prise solide sur le sol. Pourquoi le paysan </w:t>
      </w:r>
      <w:r w:rsidRPr="009C29C2">
        <w:rPr>
          <w:color w:val="000000"/>
          <w:lang w:eastAsia="fr-FR" w:bidi="fr-FR"/>
        </w:rPr>
        <w:lastRenderedPageBreak/>
        <w:t>anglais n’a-t-il pas pu se cramponner au sol comme le paysan fra</w:t>
      </w:r>
      <w:r w:rsidRPr="009C29C2">
        <w:rPr>
          <w:color w:val="000000"/>
          <w:lang w:eastAsia="fr-FR" w:bidi="fr-FR"/>
        </w:rPr>
        <w:t>n</w:t>
      </w:r>
      <w:r w:rsidRPr="009C29C2">
        <w:rPr>
          <w:color w:val="000000"/>
          <w:lang w:eastAsia="fr-FR" w:bidi="fr-FR"/>
        </w:rPr>
        <w:t xml:space="preserve">çais ? J’avoue que je ne sais pas bien. J’ai étudié la question et je n’ai pas trouvé de solution satisfaisante. Il y a là un problème juridique extrêmement troublant... Si ses paysans avaient eu la même prise sur le sol que chez </w:t>
      </w:r>
      <w:r w:rsidRPr="00684072">
        <w:rPr>
          <w:color w:val="000000"/>
          <w:lang w:eastAsia="fr-FR" w:bidi="fr-FR"/>
        </w:rPr>
        <w:t>nous, l’Angleterre n’aurait pas fait sa révolution agra</w:t>
      </w:r>
      <w:r w:rsidRPr="00684072">
        <w:rPr>
          <w:color w:val="000000"/>
          <w:lang w:eastAsia="fr-FR" w:bidi="fr-FR"/>
        </w:rPr>
        <w:t>i</w:t>
      </w:r>
      <w:r w:rsidRPr="00684072">
        <w:rPr>
          <w:color w:val="000000"/>
          <w:lang w:eastAsia="fr-FR" w:bidi="fr-FR"/>
        </w:rPr>
        <w:t xml:space="preserve">re de la fin du </w:t>
      </w:r>
      <w:r w:rsidRPr="00684072">
        <w:rPr>
          <w:caps/>
          <w:color w:val="000000"/>
          <w:lang w:eastAsia="fr-FR" w:bidi="fr-FR"/>
        </w:rPr>
        <w:t>xv</w:t>
      </w:r>
      <w:r w:rsidRPr="00684072">
        <w:rPr>
          <w:color w:val="000000"/>
          <w:vertAlign w:val="superscript"/>
          <w:lang w:eastAsia="fr-FR" w:bidi="fr-FR"/>
        </w:rPr>
        <w:t>e</w:t>
      </w:r>
      <w:r w:rsidRPr="00684072">
        <w:rPr>
          <w:color w:val="000000"/>
          <w:lang w:eastAsia="fr-FR" w:bidi="fr-FR"/>
        </w:rPr>
        <w:t xml:space="preserve"> et du début du </w:t>
      </w:r>
      <w:r w:rsidRPr="00684072">
        <w:rPr>
          <w:caps/>
          <w:color w:val="000000"/>
          <w:lang w:eastAsia="fr-FR" w:bidi="fr-FR"/>
        </w:rPr>
        <w:t>xvi</w:t>
      </w:r>
      <w:r w:rsidRPr="00684072">
        <w:rPr>
          <w:color w:val="000000"/>
          <w:vertAlign w:val="superscript"/>
          <w:lang w:eastAsia="fr-FR" w:bidi="fr-FR"/>
        </w:rPr>
        <w:t>e</w:t>
      </w:r>
      <w:r w:rsidRPr="00684072">
        <w:rPr>
          <w:color w:val="000000"/>
          <w:lang w:eastAsia="fr-FR" w:bidi="fr-FR"/>
        </w:rPr>
        <w:t xml:space="preserve"> siècle, et son agriculture n’aurait pas été le modèle de l’Europe au XVIII</w:t>
      </w:r>
      <w:r w:rsidRPr="00684072">
        <w:rPr>
          <w:color w:val="000000"/>
          <w:vertAlign w:val="superscript"/>
          <w:lang w:eastAsia="fr-FR" w:bidi="fr-FR"/>
        </w:rPr>
        <w:t>e</w:t>
      </w:r>
      <w:r w:rsidRPr="00684072">
        <w:rPr>
          <w:color w:val="000000"/>
          <w:lang w:eastAsia="fr-FR" w:bidi="fr-FR"/>
        </w:rPr>
        <w:t xml:space="preserve"> siècle. Vous le voyez, on est tout de même ramené aux questions juridiques.</w:t>
      </w:r>
    </w:p>
    <w:p w14:paraId="6FB2CBAE" w14:textId="77777777" w:rsidR="00B9662D" w:rsidRPr="00684072" w:rsidRDefault="00B9662D" w:rsidP="00B9662D">
      <w:pPr>
        <w:spacing w:before="120" w:after="120"/>
        <w:jc w:val="both"/>
      </w:pPr>
      <w:r w:rsidRPr="00684072">
        <w:rPr>
          <w:color w:val="000000"/>
          <w:lang w:eastAsia="fr-FR" w:bidi="fr-FR"/>
        </w:rPr>
        <w:t xml:space="preserve">M. </w:t>
      </w:r>
      <w:r w:rsidRPr="00684072">
        <w:rPr>
          <w:rStyle w:val="Corpsdutexte275ptGras"/>
          <w:b w:val="0"/>
          <w:smallCaps/>
          <w:sz w:val="28"/>
        </w:rPr>
        <w:t>Le Président</w:t>
      </w:r>
      <w:r w:rsidRPr="00684072">
        <w:rPr>
          <w:rStyle w:val="Corpsdutexte275ptGras"/>
          <w:b w:val="0"/>
          <w:sz w:val="28"/>
        </w:rPr>
        <w:t>. — </w:t>
      </w:r>
      <w:r w:rsidRPr="00684072">
        <w:rPr>
          <w:color w:val="000000"/>
          <w:lang w:eastAsia="fr-FR" w:bidi="fr-FR"/>
        </w:rPr>
        <w:t>Nous avons un juriste auquel nous faisons appel.</w:t>
      </w:r>
    </w:p>
    <w:p w14:paraId="393CCB12" w14:textId="77777777" w:rsidR="00B9662D" w:rsidRPr="00684072" w:rsidRDefault="00B9662D" w:rsidP="00B9662D">
      <w:pPr>
        <w:spacing w:before="120" w:after="120"/>
        <w:jc w:val="both"/>
      </w:pPr>
      <w:r w:rsidRPr="00684072">
        <w:rPr>
          <w:color w:val="000000"/>
          <w:lang w:eastAsia="fr-FR" w:bidi="fr-FR"/>
        </w:rPr>
        <w:t xml:space="preserve">M. </w:t>
      </w:r>
      <w:r w:rsidRPr="00684072">
        <w:rPr>
          <w:rStyle w:val="Corpsdutexte275ptGras"/>
          <w:b w:val="0"/>
          <w:smallCaps/>
          <w:sz w:val="28"/>
        </w:rPr>
        <w:t>Le Bras</w:t>
      </w:r>
      <w:r w:rsidRPr="00684072">
        <w:rPr>
          <w:rStyle w:val="Corpsdutexte275ptGras"/>
          <w:b w:val="0"/>
          <w:sz w:val="28"/>
        </w:rPr>
        <w:t>. — </w:t>
      </w:r>
      <w:r w:rsidRPr="00684072">
        <w:rPr>
          <w:color w:val="000000"/>
          <w:lang w:eastAsia="fr-FR" w:bidi="fr-FR"/>
        </w:rPr>
        <w:t xml:space="preserve">Je ne vois pas de solution </w:t>
      </w:r>
      <w:r w:rsidRPr="00684072">
        <w:rPr>
          <w:rStyle w:val="Corpsdutexte275ptGras"/>
          <w:b w:val="0"/>
          <w:sz w:val="28"/>
        </w:rPr>
        <w:t xml:space="preserve">à </w:t>
      </w:r>
      <w:r w:rsidRPr="00684072">
        <w:rPr>
          <w:color w:val="000000"/>
          <w:lang w:eastAsia="fr-FR" w:bidi="fr-FR"/>
        </w:rPr>
        <w:t>la question que pose M. Lot. Il y a réfléchi, j’y réfléchirai aussi.</w:t>
      </w:r>
    </w:p>
    <w:p w14:paraId="6C474AED" w14:textId="77777777" w:rsidR="00B9662D" w:rsidRPr="00684072" w:rsidRDefault="00B9662D" w:rsidP="00B9662D">
      <w:pPr>
        <w:spacing w:before="120" w:after="120"/>
        <w:jc w:val="both"/>
      </w:pPr>
      <w:r w:rsidRPr="00684072">
        <w:rPr>
          <w:color w:val="000000"/>
          <w:lang w:eastAsia="fr-FR" w:bidi="fr-FR"/>
        </w:rPr>
        <w:t xml:space="preserve">M. </w:t>
      </w:r>
      <w:r w:rsidRPr="00684072">
        <w:rPr>
          <w:rStyle w:val="Corpsdutexte275ptGras"/>
          <w:b w:val="0"/>
          <w:smallCaps/>
          <w:sz w:val="28"/>
        </w:rPr>
        <w:t>Le Président</w:t>
      </w:r>
      <w:r w:rsidRPr="00684072">
        <w:rPr>
          <w:rStyle w:val="Corpsdutexte275ptGras"/>
          <w:b w:val="0"/>
          <w:sz w:val="28"/>
        </w:rPr>
        <w:t>. — </w:t>
      </w:r>
      <w:r w:rsidRPr="00684072">
        <w:rPr>
          <w:color w:val="000000"/>
          <w:lang w:eastAsia="fr-FR" w:bidi="fr-FR"/>
        </w:rPr>
        <w:t>Vous avez sans doute d’autres observations à faire ?</w:t>
      </w:r>
    </w:p>
    <w:p w14:paraId="06125AB1" w14:textId="77777777" w:rsidR="00B9662D" w:rsidRPr="005262A9" w:rsidRDefault="00B9662D" w:rsidP="00B9662D">
      <w:pPr>
        <w:spacing w:before="120" w:after="120"/>
        <w:jc w:val="both"/>
      </w:pPr>
      <w:r w:rsidRPr="00684072">
        <w:rPr>
          <w:color w:val="000000"/>
          <w:lang w:eastAsia="fr-FR" w:bidi="fr-FR"/>
        </w:rPr>
        <w:t xml:space="preserve">M. </w:t>
      </w:r>
      <w:r w:rsidRPr="00684072">
        <w:rPr>
          <w:rStyle w:val="Corpsdutexte275ptGras"/>
          <w:b w:val="0"/>
          <w:smallCaps/>
          <w:sz w:val="28"/>
        </w:rPr>
        <w:t>Le Bras</w:t>
      </w:r>
      <w:r w:rsidRPr="00684072">
        <w:rPr>
          <w:rStyle w:val="Corpsdutexte275ptGras"/>
          <w:b w:val="0"/>
          <w:sz w:val="28"/>
        </w:rPr>
        <w:t>. — </w:t>
      </w:r>
      <w:r w:rsidRPr="00684072">
        <w:rPr>
          <w:color w:val="000000"/>
          <w:lang w:eastAsia="fr-FR" w:bidi="fr-FR"/>
        </w:rPr>
        <w:t xml:space="preserve">Ce que vous appelez le régime des enclos, est-ce que c’est un régime absolument uniforme ? J’entends par là : est-ce que le mode </w:t>
      </w:r>
      <w:r w:rsidRPr="005262A9">
        <w:rPr>
          <w:color w:val="000000"/>
          <w:lang w:eastAsia="fr-FR" w:bidi="fr-FR"/>
        </w:rPr>
        <w:t>d’enclos est uniforme, ou est-ce que vous n’avez pas r</w:t>
      </w:r>
      <w:r w:rsidRPr="005262A9">
        <w:rPr>
          <w:color w:val="000000"/>
          <w:lang w:eastAsia="fr-FR" w:bidi="fr-FR"/>
        </w:rPr>
        <w:t>e</w:t>
      </w:r>
      <w:r w:rsidRPr="005262A9">
        <w:rPr>
          <w:color w:val="000000"/>
          <w:lang w:eastAsia="fr-FR" w:bidi="fr-FR"/>
        </w:rPr>
        <w:t>marqué de variétés ?</w:t>
      </w:r>
    </w:p>
    <w:p w14:paraId="092DDDB2" w14:textId="77777777" w:rsidR="00B9662D" w:rsidRPr="009C29C2" w:rsidRDefault="00B9662D" w:rsidP="00B9662D">
      <w:pPr>
        <w:spacing w:before="120" w:after="120"/>
        <w:jc w:val="both"/>
      </w:pPr>
      <w:r w:rsidRPr="005262A9">
        <w:rPr>
          <w:color w:val="000000"/>
          <w:lang w:eastAsia="fr-FR" w:bidi="fr-FR"/>
        </w:rPr>
        <w:t xml:space="preserve">M. M. </w:t>
      </w:r>
      <w:r w:rsidRPr="005262A9">
        <w:rPr>
          <w:rStyle w:val="Corpsdutexte275ptGras"/>
          <w:b w:val="0"/>
          <w:smallCaps/>
          <w:sz w:val="28"/>
        </w:rPr>
        <w:t>Bloch</w:t>
      </w:r>
      <w:r w:rsidRPr="005262A9">
        <w:rPr>
          <w:rStyle w:val="Corpsdutexte275ptGras"/>
          <w:b w:val="0"/>
          <w:sz w:val="28"/>
        </w:rPr>
        <w:t>. — </w:t>
      </w:r>
      <w:r w:rsidRPr="005262A9">
        <w:rPr>
          <w:color w:val="000000"/>
          <w:lang w:eastAsia="fr-FR" w:bidi="fr-FR"/>
        </w:rPr>
        <w:t>Je dois tout de suite indiquer que mon inform</w:t>
      </w:r>
      <w:r w:rsidRPr="005262A9">
        <w:rPr>
          <w:color w:val="000000"/>
          <w:lang w:eastAsia="fr-FR" w:bidi="fr-FR"/>
        </w:rPr>
        <w:t>a</w:t>
      </w:r>
      <w:r w:rsidRPr="005262A9">
        <w:rPr>
          <w:color w:val="000000"/>
          <w:lang w:eastAsia="fr-FR" w:bidi="fr-FR"/>
        </w:rPr>
        <w:t>tion, par la force des choses, n’a pas toujours été suffisamment détai</w:t>
      </w:r>
      <w:r w:rsidRPr="005262A9">
        <w:rPr>
          <w:color w:val="000000"/>
          <w:lang w:eastAsia="fr-FR" w:bidi="fr-FR"/>
        </w:rPr>
        <w:t>l</w:t>
      </w:r>
      <w:r w:rsidRPr="005262A9">
        <w:rPr>
          <w:color w:val="000000"/>
          <w:lang w:eastAsia="fr-FR" w:bidi="fr-FR"/>
        </w:rPr>
        <w:t>lée. Voici cependant ce que</w:t>
      </w:r>
      <w:r w:rsidRPr="009C29C2">
        <w:rPr>
          <w:color w:val="000000"/>
          <w:lang w:eastAsia="fr-FR" w:bidi="fr-FR"/>
        </w:rPr>
        <w:t xml:space="preserve"> j’entrevois. En Bretagne, il est une région qu’on nous donne dès le </w:t>
      </w:r>
      <w:r>
        <w:rPr>
          <w:color w:val="000000"/>
          <w:lang w:eastAsia="fr-FR" w:bidi="fr-FR"/>
        </w:rPr>
        <w:t>XVIII</w:t>
      </w:r>
      <w:r w:rsidRPr="009C29C2">
        <w:rPr>
          <w:color w:val="000000"/>
          <w:vertAlign w:val="superscript"/>
          <w:lang w:eastAsia="fr-FR" w:bidi="fr-FR"/>
        </w:rPr>
        <w:t>e</w:t>
      </w:r>
      <w:r w:rsidRPr="009C29C2">
        <w:rPr>
          <w:color w:val="000000"/>
          <w:lang w:eastAsia="fr-FR" w:bidi="fr-FR"/>
        </w:rPr>
        <w:t xml:space="preserve"> siècle dans une enquête très préc</w:t>
      </w:r>
      <w:r w:rsidRPr="009C29C2">
        <w:rPr>
          <w:color w:val="000000"/>
          <w:lang w:eastAsia="fr-FR" w:bidi="fr-FR"/>
        </w:rPr>
        <w:t>i</w:t>
      </w:r>
      <w:r w:rsidRPr="009C29C2">
        <w:rPr>
          <w:color w:val="000000"/>
          <w:lang w:eastAsia="fr-FR" w:bidi="fr-FR"/>
        </w:rPr>
        <w:t>se</w:t>
      </w:r>
      <w:r>
        <w:rPr>
          <w:color w:val="000000"/>
          <w:lang w:eastAsia="fr-FR" w:bidi="fr-FR"/>
        </w:rPr>
        <w:t> — </w:t>
      </w:r>
      <w:r w:rsidRPr="009C29C2">
        <w:rPr>
          <w:color w:val="000000"/>
          <w:lang w:eastAsia="fr-FR" w:bidi="fr-FR"/>
        </w:rPr>
        <w:t xml:space="preserve">confirmée ensuite par des conquêtes du </w:t>
      </w:r>
      <w:r w:rsidRPr="00EA7DF5">
        <w:rPr>
          <w:caps/>
          <w:color w:val="000000"/>
          <w:lang w:eastAsia="fr-FR" w:bidi="fr-FR"/>
        </w:rPr>
        <w:t>xix</w:t>
      </w:r>
      <w:r w:rsidRPr="009C29C2">
        <w:rPr>
          <w:color w:val="000000"/>
          <w:vertAlign w:val="superscript"/>
          <w:lang w:eastAsia="fr-FR" w:bidi="fr-FR"/>
        </w:rPr>
        <w:t>e</w:t>
      </w:r>
      <w:r>
        <w:rPr>
          <w:color w:val="000000"/>
          <w:lang w:eastAsia="fr-FR" w:bidi="fr-FR"/>
        </w:rPr>
        <w:t> — </w:t>
      </w:r>
      <w:r w:rsidRPr="009C29C2">
        <w:rPr>
          <w:color w:val="000000"/>
          <w:lang w:eastAsia="fr-FR" w:bidi="fr-FR"/>
        </w:rPr>
        <w:t>comme étant toute ouverte ; c’est la région de Pontchâteau. Là, rien que champs sans clôture ; point d’enclos. Dans le reste de la Bretagne, j’ai l’impression qu’on peut observer dans la nature des clôtures des diff</w:t>
      </w:r>
      <w:r w:rsidRPr="009C29C2">
        <w:rPr>
          <w:color w:val="000000"/>
          <w:lang w:eastAsia="fr-FR" w:bidi="fr-FR"/>
        </w:rPr>
        <w:t>é</w:t>
      </w:r>
      <w:r w:rsidRPr="009C29C2">
        <w:rPr>
          <w:color w:val="000000"/>
          <w:lang w:eastAsia="fr-FR" w:bidi="fr-FR"/>
        </w:rPr>
        <w:t>rences locales. Incontestablement, les haies sont, par-dessus tout, fr</w:t>
      </w:r>
      <w:r w:rsidRPr="009C29C2">
        <w:rPr>
          <w:color w:val="000000"/>
          <w:lang w:eastAsia="fr-FR" w:bidi="fr-FR"/>
        </w:rPr>
        <w:t>é</w:t>
      </w:r>
      <w:r w:rsidRPr="009C29C2">
        <w:rPr>
          <w:color w:val="000000"/>
          <w:lang w:eastAsia="fr-FR" w:bidi="fr-FR"/>
        </w:rPr>
        <w:t>quentes. Cependant</w:t>
      </w:r>
      <w:r>
        <w:rPr>
          <w:color w:val="000000"/>
          <w:lang w:eastAsia="fr-FR" w:bidi="fr-FR"/>
        </w:rPr>
        <w:t> — </w:t>
      </w:r>
      <w:r w:rsidRPr="009C29C2">
        <w:rPr>
          <w:color w:val="000000"/>
          <w:lang w:eastAsia="fr-FR" w:bidi="fr-FR"/>
        </w:rPr>
        <w:t>connaissant la Bretagne mieux que moi, vous le savez certainement</w:t>
      </w:r>
      <w:r>
        <w:rPr>
          <w:color w:val="000000"/>
          <w:lang w:eastAsia="fr-FR" w:bidi="fr-FR"/>
        </w:rPr>
        <w:t> — </w:t>
      </w:r>
      <w:r w:rsidRPr="009C29C2">
        <w:rPr>
          <w:color w:val="000000"/>
          <w:lang w:eastAsia="fr-FR" w:bidi="fr-FR"/>
        </w:rPr>
        <w:t>dans certains cantons, on a recours plutôt à des murs de pierres sèches ou de terre. Mais je ne suis pas disposé à attribuer à ce détail technique une importance capitale. Je crois, en effet, que ces différences se rencontrent à peu près partout. Si je prends un pays comme la Creuse que je connais plus particulièrement, j’y trouve surtout des haies ; mais j’ai parcouru tel coin, au Sud de Guéret, où on fait des enclos en pierres sèches. Pourquoi ? Probabl</w:t>
      </w:r>
      <w:r w:rsidRPr="009C29C2">
        <w:rPr>
          <w:color w:val="000000"/>
          <w:lang w:eastAsia="fr-FR" w:bidi="fr-FR"/>
        </w:rPr>
        <w:t>e</w:t>
      </w:r>
      <w:r w:rsidRPr="009C29C2">
        <w:rPr>
          <w:color w:val="000000"/>
          <w:lang w:eastAsia="fr-FR" w:bidi="fr-FR"/>
        </w:rPr>
        <w:t xml:space="preserve">ment les conditions géologiques interviennent ; ou plutôt certaines habitudes, nées du terrain, se sont peu à peu communément imposées </w:t>
      </w:r>
      <w:r w:rsidRPr="009C29C2">
        <w:rPr>
          <w:color w:val="000000"/>
          <w:lang w:eastAsia="fr-FR" w:bidi="fr-FR"/>
        </w:rPr>
        <w:lastRenderedPageBreak/>
        <w:t>là même où elles n’étaient plus nécessaires. Il ne serait pas sans int</w:t>
      </w:r>
      <w:r w:rsidRPr="009C29C2">
        <w:rPr>
          <w:color w:val="000000"/>
          <w:lang w:eastAsia="fr-FR" w:bidi="fr-FR"/>
        </w:rPr>
        <w:t>é</w:t>
      </w:r>
      <w:r w:rsidRPr="009C29C2">
        <w:rPr>
          <w:color w:val="000000"/>
          <w:lang w:eastAsia="fr-FR" w:bidi="fr-FR"/>
        </w:rPr>
        <w:t>rêt, certes, de dresser des cartes de ces divers modes de clôture. Mais je crois que l’essentiel, c’est l’enclos, quel qu’il soit.</w:t>
      </w:r>
    </w:p>
    <w:p w14:paraId="3F9E9B47" w14:textId="77777777" w:rsidR="00B9662D" w:rsidRPr="00684072" w:rsidRDefault="00B9662D" w:rsidP="00B9662D">
      <w:pPr>
        <w:spacing w:before="120" w:after="120"/>
        <w:jc w:val="both"/>
      </w:pPr>
      <w:r w:rsidRPr="00684072">
        <w:rPr>
          <w:color w:val="000000"/>
          <w:lang w:eastAsia="fr-FR" w:bidi="fr-FR"/>
        </w:rPr>
        <w:t xml:space="preserve">M. </w:t>
      </w:r>
      <w:r w:rsidRPr="00684072">
        <w:rPr>
          <w:rStyle w:val="Corpsdutexte275ptGras"/>
          <w:b w:val="0"/>
          <w:smallCaps/>
          <w:sz w:val="28"/>
        </w:rPr>
        <w:t>Le Bras</w:t>
      </w:r>
      <w:r w:rsidRPr="00684072">
        <w:rPr>
          <w:rStyle w:val="Corpsdutexte275ptGras"/>
          <w:b w:val="0"/>
          <w:sz w:val="28"/>
        </w:rPr>
        <w:t>. — </w:t>
      </w:r>
      <w:r w:rsidRPr="00684072">
        <w:rPr>
          <w:color w:val="000000"/>
          <w:lang w:eastAsia="fr-FR" w:bidi="fr-FR"/>
        </w:rPr>
        <w:t>Une seconde question — je m’excuse : quel ra</w:t>
      </w:r>
      <w:r w:rsidRPr="00684072">
        <w:rPr>
          <w:color w:val="000000"/>
          <w:lang w:eastAsia="fr-FR" w:bidi="fr-FR"/>
        </w:rPr>
        <w:t>p</w:t>
      </w:r>
      <w:r w:rsidRPr="00684072">
        <w:rPr>
          <w:color w:val="000000"/>
          <w:lang w:eastAsia="fr-FR" w:bidi="fr-FR"/>
        </w:rPr>
        <w:t>port avez-vous remarqué entre les différents régimes agraires et les rég</w:t>
      </w:r>
      <w:r w:rsidRPr="00684072">
        <w:rPr>
          <w:color w:val="000000"/>
          <w:lang w:eastAsia="fr-FR" w:bidi="fr-FR"/>
        </w:rPr>
        <w:t>i</w:t>
      </w:r>
      <w:r w:rsidRPr="00684072">
        <w:rPr>
          <w:color w:val="000000"/>
          <w:lang w:eastAsia="fr-FR" w:bidi="fr-FR"/>
        </w:rPr>
        <w:t>mes familiaux et successoraux ?</w:t>
      </w:r>
    </w:p>
    <w:p w14:paraId="42B7D3AD" w14:textId="77777777" w:rsidR="00B9662D" w:rsidRPr="00684072" w:rsidRDefault="00B9662D" w:rsidP="00B9662D">
      <w:pPr>
        <w:spacing w:before="120" w:after="120"/>
        <w:jc w:val="both"/>
      </w:pPr>
      <w:r w:rsidRPr="00684072">
        <w:rPr>
          <w:color w:val="000000"/>
          <w:lang w:eastAsia="fr-FR" w:bidi="fr-FR"/>
        </w:rPr>
        <w:t xml:space="preserve">M. M. </w:t>
      </w:r>
      <w:r w:rsidRPr="00684072">
        <w:rPr>
          <w:rStyle w:val="Corpsdutexte275ptGras"/>
          <w:b w:val="0"/>
          <w:smallCaps/>
          <w:sz w:val="28"/>
        </w:rPr>
        <w:t>Bloch</w:t>
      </w:r>
      <w:r w:rsidRPr="00684072">
        <w:rPr>
          <w:rStyle w:val="Corpsdutexte275ptGras"/>
          <w:b w:val="0"/>
          <w:sz w:val="28"/>
        </w:rPr>
        <w:t>.</w:t>
      </w:r>
      <w:r w:rsidRPr="00684072">
        <w:rPr>
          <w:rStyle w:val="Corpsdutexte275ptGras"/>
          <w:sz w:val="28"/>
        </w:rPr>
        <w:t xml:space="preserve"> —</w:t>
      </w:r>
      <w:r w:rsidRPr="00684072">
        <w:rPr>
          <w:color w:val="000000"/>
          <w:lang w:eastAsia="fr-FR" w:bidi="fr-FR"/>
        </w:rPr>
        <w:t>- Mon ami Le Bras me pardonnera de lui répo</w:t>
      </w:r>
      <w:r w:rsidRPr="00684072">
        <w:rPr>
          <w:color w:val="000000"/>
          <w:lang w:eastAsia="fr-FR" w:bidi="fr-FR"/>
        </w:rPr>
        <w:t>n</w:t>
      </w:r>
      <w:r w:rsidRPr="00684072">
        <w:rPr>
          <w:color w:val="000000"/>
          <w:lang w:eastAsia="fr-FR" w:bidi="fr-FR"/>
        </w:rPr>
        <w:t>dre</w:t>
      </w:r>
      <w:r>
        <w:t xml:space="preserve"> </w:t>
      </w:r>
      <w:r>
        <w:rPr>
          <w:color w:val="000000"/>
          <w:lang w:eastAsia="fr-FR" w:bidi="fr-FR"/>
        </w:rPr>
        <w:t xml:space="preserve">[666] </w:t>
      </w:r>
      <w:r w:rsidRPr="009C29C2">
        <w:rPr>
          <w:color w:val="000000"/>
          <w:lang w:eastAsia="fr-FR" w:bidi="fr-FR"/>
        </w:rPr>
        <w:t xml:space="preserve">par un argument </w:t>
      </w:r>
      <w:r w:rsidRPr="008F5C8B">
        <w:rPr>
          <w:i/>
        </w:rPr>
        <w:t>ad hominem</w:t>
      </w:r>
      <w:r w:rsidRPr="009C29C2">
        <w:t>.</w:t>
      </w:r>
      <w:r w:rsidRPr="009C29C2">
        <w:rPr>
          <w:color w:val="000000"/>
          <w:lang w:eastAsia="fr-FR" w:bidi="fr-FR"/>
        </w:rPr>
        <w:t xml:space="preserve"> Il est historien du droit ; il sait mieux que personne que, un peu par la faute des historiens du droit, il n’est guère de sujet que nous connaissions plus mal que l’évolution de la famille française. Il n’en est guère non plus</w:t>
      </w:r>
      <w:r>
        <w:rPr>
          <w:color w:val="000000"/>
          <w:lang w:eastAsia="fr-FR" w:bidi="fr-FR"/>
        </w:rPr>
        <w:t> — </w:t>
      </w:r>
      <w:r w:rsidRPr="009C29C2">
        <w:rPr>
          <w:color w:val="000000"/>
          <w:lang w:eastAsia="fr-FR" w:bidi="fr-FR"/>
        </w:rPr>
        <w:t>je suis bien sûr de ne pas être démenti par lui</w:t>
      </w:r>
      <w:r>
        <w:rPr>
          <w:color w:val="000000"/>
          <w:lang w:eastAsia="fr-FR" w:bidi="fr-FR"/>
        </w:rPr>
        <w:t> — </w:t>
      </w:r>
      <w:r w:rsidRPr="009C29C2">
        <w:rPr>
          <w:color w:val="000000"/>
          <w:lang w:eastAsia="fr-FR" w:bidi="fr-FR"/>
        </w:rPr>
        <w:t xml:space="preserve">qu’il nous importerait davantage de mieux </w:t>
      </w:r>
      <w:r w:rsidRPr="00684072">
        <w:rPr>
          <w:color w:val="000000"/>
          <w:lang w:eastAsia="fr-FR" w:bidi="fr-FR"/>
        </w:rPr>
        <w:t>connaître. Pour l’instant, entre ce grand phénomène ignoré et les ph</w:t>
      </w:r>
      <w:r w:rsidRPr="00684072">
        <w:rPr>
          <w:color w:val="000000"/>
          <w:lang w:eastAsia="fr-FR" w:bidi="fr-FR"/>
        </w:rPr>
        <w:t>é</w:t>
      </w:r>
      <w:r w:rsidRPr="00684072">
        <w:rPr>
          <w:color w:val="000000"/>
          <w:lang w:eastAsia="fr-FR" w:bidi="fr-FR"/>
        </w:rPr>
        <w:t>nomènes agraires, il est bien difficile d’établir une liaison exacte ; on ne peut qu’en pressentir l’importance.</w:t>
      </w:r>
    </w:p>
    <w:p w14:paraId="2140685E" w14:textId="77777777" w:rsidR="00B9662D" w:rsidRPr="00684072" w:rsidRDefault="00B9662D" w:rsidP="00B9662D">
      <w:pPr>
        <w:spacing w:before="120" w:after="120"/>
        <w:jc w:val="both"/>
      </w:pPr>
      <w:r w:rsidRPr="00684072">
        <w:rPr>
          <w:color w:val="000000"/>
          <w:lang w:eastAsia="fr-FR" w:bidi="fr-FR"/>
        </w:rPr>
        <w:t xml:space="preserve">M. Max </w:t>
      </w:r>
      <w:r w:rsidRPr="00684072">
        <w:rPr>
          <w:rStyle w:val="Corpsdutexte275ptGras"/>
          <w:b w:val="0"/>
          <w:smallCaps/>
          <w:sz w:val="28"/>
        </w:rPr>
        <w:t>Lazard</w:t>
      </w:r>
      <w:r w:rsidRPr="00684072">
        <w:rPr>
          <w:rStyle w:val="Corpsdutexte275ptGras"/>
          <w:b w:val="0"/>
          <w:sz w:val="28"/>
        </w:rPr>
        <w:t>. — </w:t>
      </w:r>
      <w:r w:rsidRPr="00684072">
        <w:rPr>
          <w:color w:val="000000"/>
          <w:lang w:eastAsia="fr-FR" w:bidi="fr-FR"/>
        </w:rPr>
        <w:t>Je me demande si M. Bloch pourrait satisfaire ma curiosité personnelle sur le point suivant. Dans la commune de Bret</w:t>
      </w:r>
      <w:r w:rsidRPr="00684072">
        <w:rPr>
          <w:color w:val="000000"/>
          <w:lang w:eastAsia="fr-FR" w:bidi="fr-FR"/>
        </w:rPr>
        <w:t>a</w:t>
      </w:r>
      <w:r w:rsidRPr="00684072">
        <w:rPr>
          <w:color w:val="000000"/>
          <w:lang w:eastAsia="fr-FR" w:bidi="fr-FR"/>
        </w:rPr>
        <w:t>gne où je passe mes vacances chaque été et où je fais de longues promenades à pied, certains coins de pays offrent le spectacle de pet</w:t>
      </w:r>
      <w:r w:rsidRPr="00684072">
        <w:rPr>
          <w:color w:val="000000"/>
          <w:lang w:eastAsia="fr-FR" w:bidi="fr-FR"/>
        </w:rPr>
        <w:t>i</w:t>
      </w:r>
      <w:r w:rsidRPr="00684072">
        <w:rPr>
          <w:color w:val="000000"/>
          <w:lang w:eastAsia="fr-FR" w:bidi="fr-FR"/>
        </w:rPr>
        <w:t>tes parcelles de terre de forme plutôt massive et clôturées de pierre sèche ; d’autres celui de lanières longues et étroites, sans clôture app</w:t>
      </w:r>
      <w:r w:rsidRPr="00684072">
        <w:rPr>
          <w:color w:val="000000"/>
          <w:lang w:eastAsia="fr-FR" w:bidi="fr-FR"/>
        </w:rPr>
        <w:t>a</w:t>
      </w:r>
      <w:r w:rsidRPr="00684072">
        <w:rPr>
          <w:color w:val="000000"/>
          <w:lang w:eastAsia="fr-FR" w:bidi="fr-FR"/>
        </w:rPr>
        <w:t>rente. Une telle différenciation s’explique-t-elle par la nature du te</w:t>
      </w:r>
      <w:r w:rsidRPr="00684072">
        <w:rPr>
          <w:color w:val="000000"/>
          <w:lang w:eastAsia="fr-FR" w:bidi="fr-FR"/>
        </w:rPr>
        <w:t>r</w:t>
      </w:r>
      <w:r w:rsidRPr="00684072">
        <w:rPr>
          <w:color w:val="000000"/>
          <w:lang w:eastAsia="fr-FR" w:bidi="fr-FR"/>
        </w:rPr>
        <w:t>rain, généralement plus aride dans les coins à clôture que dans ceux à lanières ? Est-elle d’origine récente ? A-t-on, au contraire, affaire à une survivance du régime communautaire ? Si oui, pourquoi ici et pas là, alors qu’on se trouve dans le cadre pourtant minuscule d’une seule et même commune ?</w:t>
      </w:r>
    </w:p>
    <w:p w14:paraId="3EF0B3CB" w14:textId="77777777" w:rsidR="00B9662D" w:rsidRPr="00684072" w:rsidRDefault="00B9662D" w:rsidP="00B9662D">
      <w:pPr>
        <w:spacing w:before="120" w:after="120"/>
        <w:jc w:val="both"/>
      </w:pPr>
      <w:r w:rsidRPr="00684072">
        <w:rPr>
          <w:color w:val="000000"/>
          <w:lang w:eastAsia="fr-FR" w:bidi="fr-FR"/>
        </w:rPr>
        <w:t xml:space="preserve">M. M. </w:t>
      </w:r>
      <w:r w:rsidRPr="00684072">
        <w:rPr>
          <w:rStyle w:val="Corpsdutexte275ptGras"/>
          <w:b w:val="0"/>
          <w:smallCaps/>
          <w:sz w:val="28"/>
        </w:rPr>
        <w:t>Bloch</w:t>
      </w:r>
      <w:r w:rsidRPr="00684072">
        <w:rPr>
          <w:rStyle w:val="Corpsdutexte275ptGras"/>
          <w:b w:val="0"/>
          <w:sz w:val="28"/>
        </w:rPr>
        <w:t>. — </w:t>
      </w:r>
      <w:r w:rsidRPr="00684072">
        <w:rPr>
          <w:color w:val="000000"/>
          <w:lang w:eastAsia="fr-FR" w:bidi="fr-FR"/>
        </w:rPr>
        <w:t xml:space="preserve">Je vais me permettre de répondre </w:t>
      </w:r>
      <w:r w:rsidRPr="00684072">
        <w:rPr>
          <w:rStyle w:val="Corpsdutexte275ptGras"/>
          <w:b w:val="0"/>
          <w:sz w:val="28"/>
        </w:rPr>
        <w:t xml:space="preserve">à </w:t>
      </w:r>
      <w:r w:rsidRPr="00684072">
        <w:rPr>
          <w:color w:val="000000"/>
          <w:lang w:eastAsia="fr-FR" w:bidi="fr-FR"/>
        </w:rPr>
        <w:t>la question par une autre question : quelle est la région ?</w:t>
      </w:r>
    </w:p>
    <w:p w14:paraId="332E3DD3" w14:textId="77777777" w:rsidR="00B9662D" w:rsidRPr="00684072" w:rsidRDefault="00B9662D" w:rsidP="00B9662D">
      <w:pPr>
        <w:spacing w:before="120" w:after="120"/>
        <w:jc w:val="both"/>
      </w:pPr>
      <w:r w:rsidRPr="00684072">
        <w:rPr>
          <w:color w:val="000000"/>
          <w:lang w:eastAsia="fr-FR" w:bidi="fr-FR"/>
        </w:rPr>
        <w:t xml:space="preserve">M. Max </w:t>
      </w:r>
      <w:r w:rsidRPr="00684072">
        <w:rPr>
          <w:rStyle w:val="Corpsdutexte275ptGras"/>
          <w:b w:val="0"/>
          <w:smallCaps/>
          <w:sz w:val="28"/>
        </w:rPr>
        <w:t>Lazard</w:t>
      </w:r>
      <w:r w:rsidRPr="00684072">
        <w:rPr>
          <w:rStyle w:val="Corpsdutexte275ptGras"/>
          <w:b w:val="0"/>
          <w:sz w:val="28"/>
        </w:rPr>
        <w:t>. — </w:t>
      </w:r>
      <w:r w:rsidRPr="00684072">
        <w:rPr>
          <w:color w:val="000000"/>
          <w:lang w:eastAsia="fr-FR" w:bidi="fr-FR"/>
        </w:rPr>
        <w:t>Dans la presqu’île de Crozon.</w:t>
      </w:r>
    </w:p>
    <w:p w14:paraId="1006A1A5" w14:textId="77777777" w:rsidR="00B9662D" w:rsidRPr="009C29C2" w:rsidRDefault="00B9662D" w:rsidP="00B9662D">
      <w:pPr>
        <w:spacing w:before="120" w:after="120"/>
        <w:jc w:val="both"/>
      </w:pPr>
      <w:r w:rsidRPr="00684072">
        <w:rPr>
          <w:color w:val="000000"/>
          <w:lang w:eastAsia="fr-FR" w:bidi="fr-FR"/>
        </w:rPr>
        <w:t xml:space="preserve">M. M. </w:t>
      </w:r>
      <w:r w:rsidRPr="00684072">
        <w:rPr>
          <w:rStyle w:val="Corpsdutexte275ptGras"/>
          <w:b w:val="0"/>
          <w:smallCaps/>
          <w:sz w:val="28"/>
        </w:rPr>
        <w:t>Bloch</w:t>
      </w:r>
      <w:r w:rsidRPr="00684072">
        <w:rPr>
          <w:rStyle w:val="Corpsdutexte275ptGras"/>
          <w:b w:val="0"/>
          <w:sz w:val="28"/>
        </w:rPr>
        <w:t>.</w:t>
      </w:r>
      <w:r w:rsidRPr="00684072">
        <w:rPr>
          <w:rStyle w:val="Corpsdutexte275ptGras"/>
          <w:sz w:val="28"/>
        </w:rPr>
        <w:t> — </w:t>
      </w:r>
      <w:r w:rsidRPr="00684072">
        <w:rPr>
          <w:color w:val="000000"/>
          <w:lang w:eastAsia="fr-FR" w:bidi="fr-FR"/>
        </w:rPr>
        <w:t>Je répondrai également par un aveu d’ignorance ! C</w:t>
      </w:r>
      <w:r w:rsidRPr="00684072">
        <w:rPr>
          <w:color w:val="000000"/>
          <w:lang w:eastAsia="fr-FR" w:bidi="fr-FR"/>
        </w:rPr>
        <w:t>e</w:t>
      </w:r>
      <w:r w:rsidRPr="00684072">
        <w:rPr>
          <w:color w:val="000000"/>
          <w:lang w:eastAsia="fr-FR" w:bidi="fr-FR"/>
        </w:rPr>
        <w:t>pendant — ceci ne touche pas votre observation, mais c’est tout de même un point qu’il y a lieu d’indiquer — il faut faire attention quand on lit un plan cadastral breton. Les dangers d’erreur sont là particuli</w:t>
      </w:r>
      <w:r w:rsidRPr="00684072">
        <w:rPr>
          <w:color w:val="000000"/>
          <w:lang w:eastAsia="fr-FR" w:bidi="fr-FR"/>
        </w:rPr>
        <w:t>è</w:t>
      </w:r>
      <w:r w:rsidRPr="00684072">
        <w:rPr>
          <w:color w:val="000000"/>
          <w:lang w:eastAsia="fr-FR" w:bidi="fr-FR"/>
        </w:rPr>
        <w:t>rement grands. De deux choses l’une, ou les clôtures sont indiquées,</w:t>
      </w:r>
      <w:r w:rsidRPr="009C29C2">
        <w:rPr>
          <w:color w:val="000000"/>
          <w:lang w:eastAsia="fr-FR" w:bidi="fr-FR"/>
        </w:rPr>
        <w:t xml:space="preserve"> ou elles ne le sont pas. Certains géomètres, </w:t>
      </w:r>
      <w:r w:rsidRPr="009C29C2">
        <w:rPr>
          <w:color w:val="000000"/>
          <w:lang w:eastAsia="fr-FR" w:bidi="fr-FR"/>
        </w:rPr>
        <w:lastRenderedPageBreak/>
        <w:t>qui méritent toute notre reconnaissance, ont cru bon de les dessiner soigneusement ; d’autres, par contre, ont paru juger ce travail sans i</w:t>
      </w:r>
      <w:r w:rsidRPr="009C29C2">
        <w:rPr>
          <w:color w:val="000000"/>
          <w:lang w:eastAsia="fr-FR" w:bidi="fr-FR"/>
        </w:rPr>
        <w:t>n</w:t>
      </w:r>
      <w:r w:rsidRPr="009C29C2">
        <w:rPr>
          <w:color w:val="000000"/>
          <w:lang w:eastAsia="fr-FR" w:bidi="fr-FR"/>
        </w:rPr>
        <w:t>térêt. Or, les plans sur lesquels les clôtures ne sont pas portées ri</w:t>
      </w:r>
      <w:r w:rsidRPr="009C29C2">
        <w:rPr>
          <w:color w:val="000000"/>
          <w:lang w:eastAsia="fr-FR" w:bidi="fr-FR"/>
        </w:rPr>
        <w:t>s</w:t>
      </w:r>
      <w:r w:rsidRPr="009C29C2">
        <w:rPr>
          <w:color w:val="000000"/>
          <w:lang w:eastAsia="fr-FR" w:bidi="fr-FR"/>
        </w:rPr>
        <w:t>quent fort d’être trompeurs ; ils ont trompé en fait un des grands fo</w:t>
      </w:r>
      <w:r w:rsidRPr="009C29C2">
        <w:rPr>
          <w:color w:val="000000"/>
          <w:lang w:eastAsia="fr-FR" w:bidi="fr-FR"/>
        </w:rPr>
        <w:t>n</w:t>
      </w:r>
      <w:r w:rsidRPr="009C29C2">
        <w:rPr>
          <w:color w:val="000000"/>
          <w:lang w:eastAsia="fr-FR" w:bidi="fr-FR"/>
        </w:rPr>
        <w:t>dateurs des études agraires, l’Anglais Seebohm. Assez souvent, à l’intérieur d’un même enclos, des partages successoraux ou d’autres mutations ont amené la form</w:t>
      </w:r>
      <w:r w:rsidRPr="009C29C2">
        <w:rPr>
          <w:color w:val="000000"/>
          <w:lang w:eastAsia="fr-FR" w:bidi="fr-FR"/>
        </w:rPr>
        <w:t>a</w:t>
      </w:r>
      <w:r w:rsidRPr="009C29C2">
        <w:rPr>
          <w:color w:val="000000"/>
          <w:lang w:eastAsia="fr-FR" w:bidi="fr-FR"/>
        </w:rPr>
        <w:t>tion de parcelles qui, s’inscrivant dans le carré ou quasi-carré primitif, prennent forcément une forme allongée. Parfois les nouveaux possesseurs font de nouvelles haies ; mais il a</w:t>
      </w:r>
      <w:r w:rsidRPr="009C29C2">
        <w:rPr>
          <w:color w:val="000000"/>
          <w:lang w:eastAsia="fr-FR" w:bidi="fr-FR"/>
        </w:rPr>
        <w:t>r</w:t>
      </w:r>
      <w:r w:rsidRPr="009C29C2">
        <w:rPr>
          <w:color w:val="000000"/>
          <w:lang w:eastAsia="fr-FR" w:bidi="fr-FR"/>
        </w:rPr>
        <w:t>rive aussi</w:t>
      </w:r>
      <w:r>
        <w:rPr>
          <w:color w:val="000000"/>
          <w:lang w:eastAsia="fr-FR" w:bidi="fr-FR"/>
        </w:rPr>
        <w:t> — </w:t>
      </w:r>
      <w:r w:rsidRPr="009C29C2">
        <w:rPr>
          <w:color w:val="000000"/>
          <w:lang w:eastAsia="fr-FR" w:bidi="fr-FR"/>
        </w:rPr>
        <w:t>je l’ai déjà noté à propos du Cotentin</w:t>
      </w:r>
      <w:r>
        <w:rPr>
          <w:color w:val="000000"/>
          <w:lang w:eastAsia="fr-FR" w:bidi="fr-FR"/>
        </w:rPr>
        <w:t> — </w:t>
      </w:r>
      <w:r w:rsidRPr="009C29C2">
        <w:rPr>
          <w:color w:val="000000"/>
          <w:lang w:eastAsia="fr-FR" w:bidi="fr-FR"/>
        </w:rPr>
        <w:t>qu’ils s’en ab</w:t>
      </w:r>
      <w:r w:rsidRPr="009C29C2">
        <w:rPr>
          <w:color w:val="000000"/>
          <w:lang w:eastAsia="fr-FR" w:bidi="fr-FR"/>
        </w:rPr>
        <w:t>s</w:t>
      </w:r>
      <w:r w:rsidRPr="009C29C2">
        <w:rPr>
          <w:color w:val="000000"/>
          <w:lang w:eastAsia="fr-FR" w:bidi="fr-FR"/>
        </w:rPr>
        <w:t>tiennent. En Bretagne de langue française, on appelle, du nom très curieux de « champagne », ou « campagne », un enclos ainsi divisé entre différentes personnes, sans haies intermédiaires. Supposons un plan où les clôtures n’ont pas été marquées, où, par ailleurs, plusieurs de ces champagnes existent côte à côte. Nous aurons aisément</w:t>
      </w:r>
      <w:r>
        <w:rPr>
          <w:color w:val="000000"/>
          <w:lang w:eastAsia="fr-FR" w:bidi="fr-FR"/>
        </w:rPr>
        <w:t> — </w:t>
      </w:r>
      <w:r w:rsidRPr="009C29C2">
        <w:rPr>
          <w:color w:val="000000"/>
          <w:lang w:eastAsia="fr-FR" w:bidi="fr-FR"/>
        </w:rPr>
        <w:t>c’est l’erreur où est tombé Se</w:t>
      </w:r>
      <w:r w:rsidRPr="009C29C2">
        <w:rPr>
          <w:color w:val="000000"/>
          <w:lang w:eastAsia="fr-FR" w:bidi="fr-FR"/>
        </w:rPr>
        <w:t>e</w:t>
      </w:r>
      <w:r w:rsidRPr="009C29C2">
        <w:rPr>
          <w:color w:val="000000"/>
          <w:lang w:eastAsia="fr-FR" w:bidi="fr-FR"/>
        </w:rPr>
        <w:t>bohm</w:t>
      </w:r>
      <w:r>
        <w:rPr>
          <w:color w:val="000000"/>
          <w:lang w:eastAsia="fr-FR" w:bidi="fr-FR"/>
        </w:rPr>
        <w:t> — </w:t>
      </w:r>
      <w:r w:rsidRPr="009C29C2">
        <w:rPr>
          <w:color w:val="000000"/>
          <w:lang w:eastAsia="fr-FR" w:bidi="fr-FR"/>
        </w:rPr>
        <w:t>l’illusion d’un terroir de champs ouverts et allongés,</w:t>
      </w:r>
      <w:r>
        <w:rPr>
          <w:color w:val="000000"/>
          <w:lang w:eastAsia="fr-FR" w:bidi="fr-FR"/>
        </w:rPr>
        <w:t> — </w:t>
      </w:r>
      <w:r w:rsidRPr="009C29C2">
        <w:rPr>
          <w:color w:val="000000"/>
          <w:lang w:eastAsia="fr-FR" w:bidi="fr-FR"/>
        </w:rPr>
        <w:t>illusion qui, cela va de soi, se dissipera si nous prenons le soin d’aller sur place. Mais si comme, je pense, dans le cas que vous signalez, il s’agit de surfaces véritablement ouvertes et assez étendues, point d’autre ressource que d’étudier le problème en détail.</w:t>
      </w:r>
    </w:p>
    <w:p w14:paraId="6973F02F" w14:textId="77777777" w:rsidR="00B9662D" w:rsidRPr="00684072" w:rsidRDefault="00B9662D" w:rsidP="00B9662D">
      <w:pPr>
        <w:spacing w:before="120" w:after="120"/>
        <w:jc w:val="both"/>
      </w:pPr>
      <w:r w:rsidRPr="009C29C2">
        <w:rPr>
          <w:color w:val="000000"/>
          <w:lang w:eastAsia="fr-FR" w:bidi="fr-FR"/>
        </w:rPr>
        <w:t>Il faudrait tâcher de refaire l’histoire du peuplement, voir si le terr</w:t>
      </w:r>
      <w:r w:rsidRPr="009C29C2">
        <w:rPr>
          <w:color w:val="000000"/>
          <w:lang w:eastAsia="fr-FR" w:bidi="fr-FR"/>
        </w:rPr>
        <w:t>i</w:t>
      </w:r>
      <w:r w:rsidRPr="009C29C2">
        <w:rPr>
          <w:color w:val="000000"/>
          <w:lang w:eastAsia="fr-FR" w:bidi="fr-FR"/>
        </w:rPr>
        <w:t>toire en question a été peut-être mis en valeur à une époque tardive, se</w:t>
      </w:r>
      <w:r>
        <w:t xml:space="preserve"> [</w:t>
      </w:r>
      <w:r w:rsidRPr="009C29C2">
        <w:rPr>
          <w:color w:val="000000"/>
          <w:lang w:eastAsia="fr-FR" w:bidi="fr-FR"/>
        </w:rPr>
        <w:t>667</w:t>
      </w:r>
      <w:r>
        <w:rPr>
          <w:color w:val="000000"/>
          <w:lang w:eastAsia="fr-FR" w:bidi="fr-FR"/>
        </w:rPr>
        <w:t xml:space="preserve">] </w:t>
      </w:r>
      <w:r w:rsidRPr="009C29C2">
        <w:rPr>
          <w:color w:val="000000"/>
          <w:lang w:eastAsia="fr-FR" w:bidi="fr-FR"/>
        </w:rPr>
        <w:t>demander s’il n’y a pas eu réaction récente contre les clôtures. Nous en connaissons des exemples. N’oublions pas que les haies co</w:t>
      </w:r>
      <w:r w:rsidRPr="009C29C2">
        <w:rPr>
          <w:color w:val="000000"/>
          <w:lang w:eastAsia="fr-FR" w:bidi="fr-FR"/>
        </w:rPr>
        <w:t>û</w:t>
      </w:r>
      <w:r w:rsidRPr="009C29C2">
        <w:rPr>
          <w:color w:val="000000"/>
          <w:lang w:eastAsia="fr-FR" w:bidi="fr-FR"/>
        </w:rPr>
        <w:t xml:space="preserve">teuses à entretenir et qui souvent donnent trop d’ombre, sont devenues </w:t>
      </w:r>
      <w:r w:rsidRPr="00684072">
        <w:rPr>
          <w:color w:val="000000"/>
          <w:lang w:eastAsia="fr-FR" w:bidi="fr-FR"/>
        </w:rPr>
        <w:t>inutiles, en un certain sens, à partir du moment où le Code civil a d</w:t>
      </w:r>
      <w:r w:rsidRPr="00684072">
        <w:rPr>
          <w:color w:val="000000"/>
          <w:lang w:eastAsia="fr-FR" w:bidi="fr-FR"/>
        </w:rPr>
        <w:t>é</w:t>
      </w:r>
      <w:r w:rsidRPr="00684072">
        <w:rPr>
          <w:color w:val="000000"/>
          <w:lang w:eastAsia="fr-FR" w:bidi="fr-FR"/>
        </w:rPr>
        <w:t>crété que, moyennant une modeste barrière, on était chacun chez soi.</w:t>
      </w:r>
    </w:p>
    <w:p w14:paraId="1FD23296" w14:textId="77777777" w:rsidR="00B9662D" w:rsidRPr="00684072" w:rsidRDefault="00B9662D" w:rsidP="00B9662D">
      <w:pPr>
        <w:spacing w:before="120" w:after="120"/>
        <w:jc w:val="both"/>
      </w:pPr>
      <w:r w:rsidRPr="00684072">
        <w:rPr>
          <w:color w:val="000000"/>
          <w:lang w:eastAsia="fr-FR" w:bidi="fr-FR"/>
        </w:rPr>
        <w:t xml:space="preserve">M. </w:t>
      </w:r>
      <w:r w:rsidRPr="00684072">
        <w:rPr>
          <w:rStyle w:val="Corpsdutexte275ptGras"/>
          <w:b w:val="0"/>
          <w:sz w:val="28"/>
        </w:rPr>
        <w:t xml:space="preserve">Le </w:t>
      </w:r>
      <w:r w:rsidRPr="00684072">
        <w:rPr>
          <w:rStyle w:val="Corpsdutexte275ptGras"/>
          <w:b w:val="0"/>
          <w:smallCaps/>
          <w:sz w:val="28"/>
        </w:rPr>
        <w:t>Président</w:t>
      </w:r>
      <w:r w:rsidRPr="00684072">
        <w:rPr>
          <w:rStyle w:val="Corpsdutexte275ptGras"/>
          <w:b w:val="0"/>
          <w:sz w:val="28"/>
        </w:rPr>
        <w:t>. — </w:t>
      </w:r>
      <w:r w:rsidRPr="00684072">
        <w:rPr>
          <w:color w:val="000000"/>
          <w:lang w:eastAsia="fr-FR" w:bidi="fr-FR"/>
        </w:rPr>
        <w:t>Joli devoir de vacances qui nous est donné !</w:t>
      </w:r>
    </w:p>
    <w:p w14:paraId="5DEB7377" w14:textId="77777777" w:rsidR="00B9662D" w:rsidRPr="00684072" w:rsidRDefault="00B9662D" w:rsidP="00B9662D">
      <w:pPr>
        <w:spacing w:before="120" w:after="120"/>
        <w:jc w:val="both"/>
      </w:pPr>
      <w:r w:rsidRPr="00684072">
        <w:rPr>
          <w:color w:val="000000"/>
          <w:lang w:eastAsia="fr-FR" w:bidi="fr-FR"/>
        </w:rPr>
        <w:t xml:space="preserve">M. Marcel </w:t>
      </w:r>
      <w:r w:rsidRPr="00684072">
        <w:rPr>
          <w:rStyle w:val="Corpsdutexte275ptGras"/>
          <w:b w:val="0"/>
          <w:smallCaps/>
          <w:sz w:val="28"/>
        </w:rPr>
        <w:t>Cohen</w:t>
      </w:r>
      <w:r w:rsidRPr="00684072">
        <w:rPr>
          <w:rStyle w:val="Corpsdutexte275ptGras"/>
          <w:b w:val="0"/>
          <w:sz w:val="28"/>
        </w:rPr>
        <w:t>. — </w:t>
      </w:r>
      <w:r w:rsidRPr="00684072">
        <w:rPr>
          <w:color w:val="000000"/>
          <w:lang w:eastAsia="fr-FR" w:bidi="fr-FR"/>
        </w:rPr>
        <w:t>La question technique paraît importante. A-t-on une carte de la répartition, en France en particulier, et dans d’autres pays, de la charrue et de l’araire ? Il semble que — d’après la modeste expérience que j’ai — la carte montrerait un grand enchev</w:t>
      </w:r>
      <w:r w:rsidRPr="00684072">
        <w:rPr>
          <w:color w:val="000000"/>
          <w:lang w:eastAsia="fr-FR" w:bidi="fr-FR"/>
        </w:rPr>
        <w:t>ê</w:t>
      </w:r>
      <w:r w:rsidRPr="00684072">
        <w:rPr>
          <w:color w:val="000000"/>
          <w:lang w:eastAsia="fr-FR" w:bidi="fr-FR"/>
        </w:rPr>
        <w:t>trement ; actuellement, il y a des endroits où l’on se sert à la fois de la charrue la plus perfectionnée et de l’araire pour des usages différents. Alors, peut-être est-il difficile d’adopter une explication par des m</w:t>
      </w:r>
      <w:r w:rsidRPr="00684072">
        <w:rPr>
          <w:color w:val="000000"/>
          <w:lang w:eastAsia="fr-FR" w:bidi="fr-FR"/>
        </w:rPr>
        <w:t>é</w:t>
      </w:r>
      <w:r w:rsidRPr="00684072">
        <w:rPr>
          <w:color w:val="000000"/>
          <w:lang w:eastAsia="fr-FR" w:bidi="fr-FR"/>
        </w:rPr>
        <w:t>langes anciens de population ; l’apport d’un instrument véhiculé par un ce</w:t>
      </w:r>
      <w:r w:rsidRPr="00684072">
        <w:rPr>
          <w:color w:val="000000"/>
          <w:lang w:eastAsia="fr-FR" w:bidi="fr-FR"/>
        </w:rPr>
        <w:t>r</w:t>
      </w:r>
      <w:r w:rsidRPr="00684072">
        <w:rPr>
          <w:color w:val="000000"/>
          <w:lang w:eastAsia="fr-FR" w:bidi="fr-FR"/>
        </w:rPr>
        <w:t>tain peuple est possible, mais il faut nuancer l’observation.</w:t>
      </w:r>
    </w:p>
    <w:p w14:paraId="2CB9874E" w14:textId="77777777" w:rsidR="00B9662D" w:rsidRPr="00684072" w:rsidRDefault="00B9662D" w:rsidP="00B9662D">
      <w:pPr>
        <w:spacing w:before="120" w:after="120"/>
        <w:jc w:val="both"/>
      </w:pPr>
      <w:r w:rsidRPr="00684072">
        <w:rPr>
          <w:color w:val="000000"/>
          <w:lang w:eastAsia="fr-FR" w:bidi="fr-FR"/>
        </w:rPr>
        <w:lastRenderedPageBreak/>
        <w:t>D’autre part, dans la discussion, il est apparu qu’à côté de la tec</w:t>
      </w:r>
      <w:r w:rsidRPr="00684072">
        <w:rPr>
          <w:color w:val="000000"/>
          <w:lang w:eastAsia="fr-FR" w:bidi="fr-FR"/>
        </w:rPr>
        <w:t>h</w:t>
      </w:r>
      <w:r w:rsidRPr="00684072">
        <w:rPr>
          <w:color w:val="000000"/>
          <w:lang w:eastAsia="fr-FR" w:bidi="fr-FR"/>
        </w:rPr>
        <w:t>nique de l’instrument labourant, il faut considérer la technique du côté de la chose labourée, de la terre, qui est au moins aussi importante. À ce propos, n’existe-t-il pas, à côté des labours en sillons tracés par r</w:t>
      </w:r>
      <w:r w:rsidRPr="00684072">
        <w:rPr>
          <w:color w:val="000000"/>
          <w:lang w:eastAsia="fr-FR" w:bidi="fr-FR"/>
        </w:rPr>
        <w:t>e</w:t>
      </w:r>
      <w:r w:rsidRPr="00684072">
        <w:rPr>
          <w:color w:val="000000"/>
          <w:lang w:eastAsia="fr-FR" w:bidi="fr-FR"/>
        </w:rPr>
        <w:t>tournement de la charrue à 180 degrés, des labours faits autrement, en tournant autour du champ. N’y aurait-il pas quelque chose ici aussi à envisager au point de vue des origines ?</w:t>
      </w:r>
    </w:p>
    <w:p w14:paraId="64888477" w14:textId="77777777" w:rsidR="00B9662D" w:rsidRPr="00EA7DF5" w:rsidRDefault="00B9662D" w:rsidP="00B9662D">
      <w:pPr>
        <w:spacing w:before="120" w:after="120"/>
        <w:jc w:val="both"/>
      </w:pPr>
      <w:r w:rsidRPr="00684072">
        <w:rPr>
          <w:color w:val="000000"/>
          <w:lang w:eastAsia="fr-FR" w:bidi="fr-FR"/>
        </w:rPr>
        <w:t xml:space="preserve">M. </w:t>
      </w:r>
      <w:r w:rsidRPr="00684072">
        <w:rPr>
          <w:rStyle w:val="Corpsdutexte275ptGras"/>
          <w:b w:val="0"/>
          <w:sz w:val="28"/>
        </w:rPr>
        <w:t xml:space="preserve">le </w:t>
      </w:r>
      <w:r w:rsidRPr="00684072">
        <w:rPr>
          <w:rStyle w:val="Corpsdutexte275ptGras"/>
          <w:b w:val="0"/>
          <w:smallCaps/>
          <w:sz w:val="28"/>
        </w:rPr>
        <w:t>Président</w:t>
      </w:r>
      <w:r w:rsidRPr="00684072">
        <w:rPr>
          <w:rStyle w:val="Corpsdutexte275ptGras"/>
          <w:b w:val="0"/>
          <w:sz w:val="28"/>
        </w:rPr>
        <w:t>. — </w:t>
      </w:r>
      <w:r w:rsidRPr="00684072">
        <w:rPr>
          <w:color w:val="000000"/>
          <w:lang w:eastAsia="fr-FR" w:bidi="fr-FR"/>
        </w:rPr>
        <w:t>Il n’est sans doute guère possible, dans le peu de temps qui nous reste, et sans doute non plus guère dans le rôle de président, d’intervenir utilement dans ce gros et intéressant débat. Pourtant je désirerais indiquer seulement en quelques mots que de f</w:t>
      </w:r>
      <w:r w:rsidRPr="00684072">
        <w:rPr>
          <w:color w:val="000000"/>
          <w:lang w:eastAsia="fr-FR" w:bidi="fr-FR"/>
        </w:rPr>
        <w:t>a</w:t>
      </w:r>
      <w:r w:rsidRPr="00684072">
        <w:rPr>
          <w:color w:val="000000"/>
          <w:lang w:eastAsia="fr-FR" w:bidi="fr-FR"/>
        </w:rPr>
        <w:t>çon</w:t>
      </w:r>
      <w:r w:rsidRPr="00EA7DF5">
        <w:rPr>
          <w:color w:val="000000"/>
          <w:lang w:eastAsia="fr-FR" w:bidi="fr-FR"/>
        </w:rPr>
        <w:t xml:space="preserve"> générale, ou du moins dans les domaines d’évolution économique qui me sont plus familiers, les facteurs techniques me paraissent avoir été et être encore plutôt conditionnés eux-mêmes que conditionnants. J’aurais donc ici, par analogie, une inclination à me retourner du côté de ces ordres de facteurs sociaux et religieux que vous avez signalés de façon si nouvelle et si suggestive. Nous poserons donc ensemble des points d’interrogation. Mais, en attendant vos recherches futures, dès maintenant, avec tout ce que vous savez, vous pouvez nous écla</w:t>
      </w:r>
      <w:r w:rsidRPr="00EA7DF5">
        <w:rPr>
          <w:color w:val="000000"/>
          <w:lang w:eastAsia="fr-FR" w:bidi="fr-FR"/>
        </w:rPr>
        <w:t>i</w:t>
      </w:r>
      <w:r w:rsidRPr="00EA7DF5">
        <w:rPr>
          <w:color w:val="000000"/>
          <w:lang w:eastAsia="fr-FR" w:bidi="fr-FR"/>
        </w:rPr>
        <w:t>rer déjà dans une réponse générale...</w:t>
      </w:r>
    </w:p>
    <w:p w14:paraId="644EADDB" w14:textId="77777777" w:rsidR="00B9662D" w:rsidRPr="009C29C2" w:rsidRDefault="00B9662D" w:rsidP="00B9662D">
      <w:pPr>
        <w:spacing w:before="120" w:after="120"/>
        <w:jc w:val="both"/>
      </w:pPr>
      <w:r w:rsidRPr="00EA7DF5">
        <w:rPr>
          <w:color w:val="000000"/>
          <w:lang w:eastAsia="fr-FR" w:bidi="fr-FR"/>
        </w:rPr>
        <w:t xml:space="preserve">M. M. </w:t>
      </w:r>
      <w:r w:rsidRPr="008F5C8B">
        <w:rPr>
          <w:rStyle w:val="Corpsdutexte275ptGras"/>
          <w:b w:val="0"/>
          <w:smallCaps/>
        </w:rPr>
        <w:t>Bloch</w:t>
      </w:r>
      <w:r w:rsidRPr="00EA7DF5">
        <w:rPr>
          <w:rStyle w:val="Corpsdutexte275ptGras"/>
          <w:b w:val="0"/>
        </w:rPr>
        <w:t>.</w:t>
      </w:r>
      <w:r>
        <w:rPr>
          <w:rStyle w:val="Corpsdutexte275ptGras"/>
        </w:rPr>
        <w:t> — </w:t>
      </w:r>
      <w:r w:rsidRPr="009C29C2">
        <w:rPr>
          <w:color w:val="000000"/>
          <w:lang w:eastAsia="fr-FR" w:bidi="fr-FR"/>
        </w:rPr>
        <w:t xml:space="preserve">Je répondrai d’abord à la question précise qui m’a été posée au sujet des cartes de charrue et d’araire. Eh bien ! non, nous n’avons pas de bonnes cartes de charrue... Une erreur déplorable rend inutilisable la carte « charrue » de </w:t>
      </w:r>
      <w:r w:rsidRPr="008F5C8B">
        <w:t>l’</w:t>
      </w:r>
      <w:r w:rsidRPr="008F5C8B">
        <w:rPr>
          <w:i/>
        </w:rPr>
        <w:t>Atlas linguistique</w:t>
      </w:r>
      <w:r w:rsidRPr="009C29C2">
        <w:t>.</w:t>
      </w:r>
      <w:r w:rsidRPr="009C29C2">
        <w:rPr>
          <w:color w:val="000000"/>
          <w:lang w:eastAsia="fr-FR" w:bidi="fr-FR"/>
        </w:rPr>
        <w:t xml:space="preserve"> Ses auteurs ne se sont pas rendu compte qu’ils avaient affaire à deux instruments o</w:t>
      </w:r>
      <w:r w:rsidRPr="009C29C2">
        <w:rPr>
          <w:color w:val="000000"/>
          <w:lang w:eastAsia="fr-FR" w:bidi="fr-FR"/>
        </w:rPr>
        <w:t>p</w:t>
      </w:r>
      <w:r w:rsidRPr="009C29C2">
        <w:rPr>
          <w:color w:val="000000"/>
          <w:lang w:eastAsia="fr-FR" w:bidi="fr-FR"/>
        </w:rPr>
        <w:t>posés, charrue proprement dite et araire, de sorte qu’ils traitent con</w:t>
      </w:r>
      <w:r w:rsidRPr="009C29C2">
        <w:rPr>
          <w:color w:val="000000"/>
          <w:lang w:eastAsia="fr-FR" w:bidi="fr-FR"/>
        </w:rPr>
        <w:t>s</w:t>
      </w:r>
      <w:r w:rsidRPr="009C29C2">
        <w:rPr>
          <w:color w:val="000000"/>
          <w:lang w:eastAsia="fr-FR" w:bidi="fr-FR"/>
        </w:rPr>
        <w:t>tamment comme des noms différents d’une même chose des mots qui, par leurs divergences, ne faisaient que traduire le contraste des objets désignés.</w:t>
      </w:r>
    </w:p>
    <w:p w14:paraId="3970A897" w14:textId="77777777" w:rsidR="00B9662D" w:rsidRPr="009C29C2" w:rsidRDefault="00B9662D" w:rsidP="00B9662D">
      <w:pPr>
        <w:spacing w:before="120" w:after="120"/>
        <w:jc w:val="both"/>
      </w:pPr>
      <w:r w:rsidRPr="009C29C2">
        <w:rPr>
          <w:color w:val="000000"/>
          <w:lang w:eastAsia="fr-FR" w:bidi="fr-FR"/>
        </w:rPr>
        <w:t>Mes renseignements, je les tiens pour une bonne part d’une enqu</w:t>
      </w:r>
      <w:r w:rsidRPr="009C29C2">
        <w:rPr>
          <w:color w:val="000000"/>
          <w:lang w:eastAsia="fr-FR" w:bidi="fr-FR"/>
        </w:rPr>
        <w:t>ê</w:t>
      </w:r>
      <w:r w:rsidRPr="009C29C2">
        <w:rPr>
          <w:color w:val="000000"/>
          <w:lang w:eastAsia="fr-FR" w:bidi="fr-FR"/>
        </w:rPr>
        <w:t>te à laquelle j’ai procédé moi-même</w:t>
      </w:r>
      <w:r>
        <w:rPr>
          <w:color w:val="000000"/>
          <w:lang w:eastAsia="fr-FR" w:bidi="fr-FR"/>
        </w:rPr>
        <w:t> — </w:t>
      </w:r>
      <w:r w:rsidRPr="009C29C2">
        <w:rPr>
          <w:color w:val="000000"/>
          <w:lang w:eastAsia="fr-FR" w:bidi="fr-FR"/>
        </w:rPr>
        <w:t>bien entendu elle a porté su</w:t>
      </w:r>
      <w:r w:rsidRPr="009C29C2">
        <w:rPr>
          <w:color w:val="000000"/>
          <w:lang w:eastAsia="fr-FR" w:bidi="fr-FR"/>
        </w:rPr>
        <w:t>r</w:t>
      </w:r>
      <w:r w:rsidRPr="009C29C2">
        <w:rPr>
          <w:color w:val="000000"/>
          <w:lang w:eastAsia="fr-FR" w:bidi="fr-FR"/>
        </w:rPr>
        <w:t>tout sur les faits contemporains</w:t>
      </w:r>
      <w:r>
        <w:rPr>
          <w:color w:val="000000"/>
          <w:lang w:eastAsia="fr-FR" w:bidi="fr-FR"/>
        </w:rPr>
        <w:t> — </w:t>
      </w:r>
      <w:r w:rsidRPr="009C29C2">
        <w:rPr>
          <w:color w:val="000000"/>
          <w:lang w:eastAsia="fr-FR" w:bidi="fr-FR"/>
        </w:rPr>
        <w:t>en interrogeant les Directeurs de l’Agriculture des divers Départements. Presqu</w:t>
      </w:r>
      <w:r>
        <w:rPr>
          <w:color w:val="000000"/>
          <w:lang w:eastAsia="fr-FR" w:bidi="fr-FR"/>
        </w:rPr>
        <w:t>e tous m’ont répondu, quelques-</w:t>
      </w:r>
      <w:r w:rsidRPr="009C29C2">
        <w:rPr>
          <w:color w:val="000000"/>
          <w:lang w:eastAsia="fr-FR" w:bidi="fr-FR"/>
        </w:rPr>
        <w:t>uns avec les plus grands détails et d’une façon intéressante. Un seul s’est trouvé pour me répondre que « le ministre seul avait droit d’ordonner des enquêtes » !</w:t>
      </w:r>
    </w:p>
    <w:p w14:paraId="32007043" w14:textId="77777777" w:rsidR="00B9662D" w:rsidRPr="009C29C2" w:rsidRDefault="00B9662D" w:rsidP="00B9662D">
      <w:pPr>
        <w:spacing w:before="120" w:after="120"/>
        <w:jc w:val="both"/>
      </w:pPr>
      <w:r w:rsidRPr="009C29C2">
        <w:br w:type="page"/>
      </w:r>
      <w:r>
        <w:rPr>
          <w:color w:val="000000"/>
          <w:lang w:eastAsia="fr-FR" w:bidi="fr-FR"/>
        </w:rPr>
        <w:lastRenderedPageBreak/>
        <w:t>[668]</w:t>
      </w:r>
    </w:p>
    <w:p w14:paraId="55DF9826" w14:textId="77777777" w:rsidR="00B9662D" w:rsidRPr="009C29C2" w:rsidRDefault="00B9662D" w:rsidP="00B9662D">
      <w:pPr>
        <w:spacing w:before="120" w:after="120"/>
        <w:jc w:val="both"/>
      </w:pPr>
      <w:r w:rsidRPr="009C29C2">
        <w:rPr>
          <w:color w:val="000000"/>
          <w:lang w:eastAsia="fr-FR" w:bidi="fr-FR"/>
        </w:rPr>
        <w:t xml:space="preserve">Maintenant, je ne suis pas du tout de l’avis de M. M. Cohen en ce qui concerne la répartition de l’araire et de la charrue. La répartition actuelle a été à vrai dire très embrouillée par un homme qui fut, à sa façon, un grand homme : Mathieu de Dombasle qui, au début du </w:t>
      </w:r>
      <w:r w:rsidRPr="00EA7DF5">
        <w:rPr>
          <w:caps/>
          <w:color w:val="000000"/>
          <w:lang w:eastAsia="fr-FR" w:bidi="fr-FR"/>
        </w:rPr>
        <w:t>xix</w:t>
      </w:r>
      <w:r w:rsidRPr="009C29C2">
        <w:rPr>
          <w:color w:val="000000"/>
          <w:vertAlign w:val="superscript"/>
          <w:lang w:eastAsia="fr-FR" w:bidi="fr-FR"/>
        </w:rPr>
        <w:t>e</w:t>
      </w:r>
      <w:r>
        <w:rPr>
          <w:color w:val="000000"/>
          <w:lang w:eastAsia="fr-FR" w:bidi="fr-FR"/>
        </w:rPr>
        <w:t> </w:t>
      </w:r>
      <w:r w:rsidRPr="009C29C2">
        <w:rPr>
          <w:color w:val="000000"/>
          <w:lang w:eastAsia="fr-FR" w:bidi="fr-FR"/>
        </w:rPr>
        <w:t xml:space="preserve">siècle, s’est pris de passion pour l’araire. Il a déclaré, pour des raisons valables ou non, que l’araire était très supérieur à la charrue à roues et a fait une campagne en faveur d’un araire perfectionné. C’est le « Dombasle », devenu le « boumbalo » relevé par les enquêteurs de </w:t>
      </w:r>
      <w:r w:rsidRPr="009C29C2">
        <w:t>Y Atlas linguistique</w:t>
      </w:r>
      <w:r w:rsidRPr="009C29C2">
        <w:rPr>
          <w:color w:val="000000"/>
          <w:lang w:eastAsia="fr-FR" w:bidi="fr-FR"/>
        </w:rPr>
        <w:t>. Malgré tout, les faits fondamentaux se laissent aisément découvrir. La répartition se fait certainement par grandes masses. Mais comme les pays de charrue avaient jadis usé de l’araire, on y a quelquefois conservé ce dernier instrument pour de petits tr</w:t>
      </w:r>
      <w:r w:rsidRPr="009C29C2">
        <w:rPr>
          <w:color w:val="000000"/>
          <w:lang w:eastAsia="fr-FR" w:bidi="fr-FR"/>
        </w:rPr>
        <w:t>a</w:t>
      </w:r>
      <w:r w:rsidRPr="009C29C2">
        <w:rPr>
          <w:color w:val="000000"/>
          <w:lang w:eastAsia="fr-FR" w:bidi="fr-FR"/>
        </w:rPr>
        <w:t>vaux annexes (tel est le cas, par exemple, dans le Pas-de-Calais). Mais ceci ne touche pas au fond de la question.</w:t>
      </w:r>
    </w:p>
    <w:p w14:paraId="7DDCD386" w14:textId="77777777" w:rsidR="00B9662D" w:rsidRPr="009C29C2" w:rsidRDefault="00B9662D" w:rsidP="00B9662D">
      <w:pPr>
        <w:spacing w:before="120" w:after="120"/>
        <w:jc w:val="both"/>
      </w:pPr>
      <w:r w:rsidRPr="009C29C2">
        <w:rPr>
          <w:color w:val="000000"/>
          <w:lang w:eastAsia="fr-FR" w:bidi="fr-FR"/>
        </w:rPr>
        <w:t>Pour le reste, les problèmes que vous m’avez posés, sont des pr</w:t>
      </w:r>
      <w:r w:rsidRPr="009C29C2">
        <w:rPr>
          <w:color w:val="000000"/>
          <w:lang w:eastAsia="fr-FR" w:bidi="fr-FR"/>
        </w:rPr>
        <w:t>o</w:t>
      </w:r>
      <w:r w:rsidRPr="009C29C2">
        <w:rPr>
          <w:color w:val="000000"/>
          <w:lang w:eastAsia="fr-FR" w:bidi="fr-FR"/>
        </w:rPr>
        <w:t>blèmes formidables et il m’est assez difficile d’y répondre dans le d</w:t>
      </w:r>
      <w:r w:rsidRPr="009C29C2">
        <w:rPr>
          <w:color w:val="000000"/>
          <w:lang w:eastAsia="fr-FR" w:bidi="fr-FR"/>
        </w:rPr>
        <w:t>é</w:t>
      </w:r>
      <w:r w:rsidRPr="009C29C2">
        <w:rPr>
          <w:color w:val="000000"/>
          <w:lang w:eastAsia="fr-FR" w:bidi="fr-FR"/>
        </w:rPr>
        <w:t>tail. Je me bornerai à une ou deux observations, évidemment un peu discontinues.</w:t>
      </w:r>
    </w:p>
    <w:p w14:paraId="1BABC733" w14:textId="77777777" w:rsidR="00B9662D" w:rsidRPr="009C29C2" w:rsidRDefault="00B9662D" w:rsidP="00B9662D">
      <w:pPr>
        <w:spacing w:before="120" w:after="120"/>
        <w:jc w:val="both"/>
      </w:pPr>
      <w:r w:rsidRPr="009C29C2">
        <w:rPr>
          <w:color w:val="000000"/>
          <w:lang w:eastAsia="fr-FR" w:bidi="fr-FR"/>
        </w:rPr>
        <w:t>D’abord, je dirai un mot au sujet des partages successoraux. Fa</w:t>
      </w:r>
      <w:r w:rsidRPr="009C29C2">
        <w:rPr>
          <w:color w:val="000000"/>
          <w:lang w:eastAsia="fr-FR" w:bidi="fr-FR"/>
        </w:rPr>
        <w:t>i</w:t>
      </w:r>
      <w:r w:rsidRPr="009C29C2">
        <w:rPr>
          <w:color w:val="000000"/>
          <w:lang w:eastAsia="fr-FR" w:bidi="fr-FR"/>
        </w:rPr>
        <w:t>sons attention que, dans l’ancienne France, il y avait, dans la popul</w:t>
      </w:r>
      <w:r w:rsidRPr="009C29C2">
        <w:rPr>
          <w:color w:val="000000"/>
          <w:lang w:eastAsia="fr-FR" w:bidi="fr-FR"/>
        </w:rPr>
        <w:t>a</w:t>
      </w:r>
      <w:r w:rsidRPr="009C29C2">
        <w:rPr>
          <w:color w:val="000000"/>
          <w:lang w:eastAsia="fr-FR" w:bidi="fr-FR"/>
        </w:rPr>
        <w:t>tion rurale, très peu de partages de cette sorte, parce qu’on vivait d’ordinaire en communautés familiales. Ce qui a amené les progrès du morcellement, ce ne sont pas des changements de législation, car il n’y a jamais eu de changements de législation : le Code civil a pu g</w:t>
      </w:r>
      <w:r w:rsidRPr="009C29C2">
        <w:rPr>
          <w:color w:val="000000"/>
          <w:lang w:eastAsia="fr-FR" w:bidi="fr-FR"/>
        </w:rPr>
        <w:t>é</w:t>
      </w:r>
      <w:r w:rsidRPr="009C29C2">
        <w:rPr>
          <w:color w:val="000000"/>
          <w:lang w:eastAsia="fr-FR" w:bidi="fr-FR"/>
        </w:rPr>
        <w:t>néraliser, il n’a rien inventé en matière de partage. L’innovation a été de nature sociale. On a cessé de vivre en communautés. Nous connaissons le cas de gens qui, habitant naguère tous la même maison, puis ayant rompu la communauté, ont un beau jour élevé des murs médians pour être chacun chez soi. De même qu’ils ont fait des murs dans la vieille maison, ils ont fait des séparations dans les champs.</w:t>
      </w:r>
    </w:p>
    <w:p w14:paraId="2805AB3F" w14:textId="77777777" w:rsidR="00B9662D" w:rsidRPr="009C29C2" w:rsidRDefault="00B9662D" w:rsidP="00B9662D">
      <w:pPr>
        <w:spacing w:before="120" w:after="120"/>
        <w:jc w:val="both"/>
      </w:pPr>
      <w:r w:rsidRPr="009C29C2">
        <w:rPr>
          <w:color w:val="000000"/>
          <w:lang w:eastAsia="fr-FR" w:bidi="fr-FR"/>
        </w:rPr>
        <w:t>Donc le morcellement a progressé à une époque récente. Mais qu’il soit en lui-même un fait très ancien, nous le savons de source sûre. Nous n’avons pas de textes « néolithiques ». Nous en avons, en reva</w:t>
      </w:r>
      <w:r w:rsidRPr="009C29C2">
        <w:rPr>
          <w:color w:val="000000"/>
          <w:lang w:eastAsia="fr-FR" w:bidi="fr-FR"/>
        </w:rPr>
        <w:t>n</w:t>
      </w:r>
      <w:r w:rsidRPr="009C29C2">
        <w:rPr>
          <w:color w:val="000000"/>
          <w:lang w:eastAsia="fr-FR" w:bidi="fr-FR"/>
        </w:rPr>
        <w:t xml:space="preserve">che, des </w:t>
      </w:r>
      <w:r w:rsidRPr="00EA7DF5">
        <w:rPr>
          <w:caps/>
          <w:color w:val="000000"/>
          <w:lang w:eastAsia="fr-FR" w:bidi="fr-FR"/>
        </w:rPr>
        <w:t>xii</w:t>
      </w:r>
      <w:r w:rsidRPr="009C29C2">
        <w:rPr>
          <w:color w:val="000000"/>
          <w:vertAlign w:val="superscript"/>
          <w:lang w:eastAsia="fr-FR" w:bidi="fr-FR"/>
        </w:rPr>
        <w:t>e</w:t>
      </w:r>
      <w:r w:rsidRPr="009C29C2">
        <w:rPr>
          <w:color w:val="000000"/>
          <w:lang w:eastAsia="fr-FR" w:bidi="fr-FR"/>
        </w:rPr>
        <w:t xml:space="preserve"> et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siècles, qui nous donnent des dimensions de champs et des répartitions de propriétés. Nous voyons que pratiqu</w:t>
      </w:r>
      <w:r w:rsidRPr="009C29C2">
        <w:rPr>
          <w:color w:val="000000"/>
          <w:lang w:eastAsia="fr-FR" w:bidi="fr-FR"/>
        </w:rPr>
        <w:t>e</w:t>
      </w:r>
      <w:r w:rsidRPr="009C29C2">
        <w:rPr>
          <w:color w:val="000000"/>
          <w:lang w:eastAsia="fr-FR" w:bidi="fr-FR"/>
        </w:rPr>
        <w:lastRenderedPageBreak/>
        <w:t xml:space="preserve">ment, au </w:t>
      </w:r>
      <w:r>
        <w:rPr>
          <w:color w:val="000000"/>
          <w:lang w:eastAsia="fr-FR" w:bidi="fr-FR"/>
        </w:rPr>
        <w:t>XIII</w:t>
      </w:r>
      <w:r w:rsidRPr="009C29C2">
        <w:rPr>
          <w:color w:val="000000"/>
          <w:vertAlign w:val="superscript"/>
          <w:lang w:eastAsia="fr-FR" w:bidi="fr-FR"/>
        </w:rPr>
        <w:t>e</w:t>
      </w:r>
      <w:r w:rsidRPr="009C29C2">
        <w:rPr>
          <w:color w:val="000000"/>
          <w:lang w:eastAsia="fr-FR" w:bidi="fr-FR"/>
        </w:rPr>
        <w:t xml:space="preserve"> siècle, le morcellement n’est pas très éloigné de ce qu’il est aujourd’hui. C’est un fait incontestable.</w:t>
      </w:r>
    </w:p>
    <w:p w14:paraId="7C8760CE" w14:textId="77777777" w:rsidR="00B9662D" w:rsidRPr="009C29C2" w:rsidRDefault="00B9662D" w:rsidP="00B9662D">
      <w:pPr>
        <w:spacing w:before="120" w:after="120"/>
        <w:jc w:val="both"/>
      </w:pPr>
      <w:r w:rsidRPr="009C29C2">
        <w:rPr>
          <w:color w:val="000000"/>
          <w:lang w:eastAsia="fr-FR" w:bidi="fr-FR"/>
        </w:rPr>
        <w:t>Quant aux champs sur les penchants des collines, l’observation de M. Augé-Laribé m’a prouvé qu’il avait, présents aux yeux, les pays</w:t>
      </w:r>
      <w:r w:rsidRPr="009C29C2">
        <w:rPr>
          <w:color w:val="000000"/>
          <w:lang w:eastAsia="fr-FR" w:bidi="fr-FR"/>
        </w:rPr>
        <w:t>a</w:t>
      </w:r>
      <w:r w:rsidRPr="009C29C2">
        <w:rPr>
          <w:color w:val="000000"/>
          <w:lang w:eastAsia="fr-FR" w:bidi="fr-FR"/>
        </w:rPr>
        <w:t>ges de l’Est. Oui, dans l’Est, les champs suivent en général la ligne de la plus grande pente. Mais en Picardie, au contraire, ils s’allongent toujours perpendiculairement à la plus grande pente et forment des terrasses.</w:t>
      </w:r>
    </w:p>
    <w:p w14:paraId="7099C5A1" w14:textId="77777777" w:rsidR="00B9662D" w:rsidRPr="009C29C2" w:rsidRDefault="00B9662D" w:rsidP="00B9662D">
      <w:pPr>
        <w:spacing w:before="120" w:after="120"/>
        <w:jc w:val="both"/>
      </w:pPr>
      <w:r w:rsidRPr="009C29C2">
        <w:rPr>
          <w:color w:val="000000"/>
          <w:lang w:eastAsia="fr-FR" w:bidi="fr-FR"/>
        </w:rPr>
        <w:t>En ce qui concerne la vaine pâture, je rappelle d’un mot qu’il n’y a pas eu de question plus brûlante que la vaine pâture sur les prés.</w:t>
      </w:r>
    </w:p>
    <w:p w14:paraId="563FA8FF" w14:textId="77777777" w:rsidR="00B9662D" w:rsidRPr="009C29C2" w:rsidRDefault="00B9662D" w:rsidP="00B9662D">
      <w:pPr>
        <w:spacing w:before="120" w:after="120"/>
        <w:jc w:val="both"/>
      </w:pPr>
      <w:r w:rsidRPr="009C29C2">
        <w:rPr>
          <w:color w:val="000000"/>
          <w:lang w:eastAsia="fr-FR" w:bidi="fr-FR"/>
        </w:rPr>
        <w:t>Quant à la question que posait M. Lot, il me trouvera d’autant plus pleinement d’accord avec lui qu’après avoir cherché à donner une e</w:t>
      </w:r>
      <w:r w:rsidRPr="009C29C2">
        <w:rPr>
          <w:color w:val="000000"/>
          <w:lang w:eastAsia="fr-FR" w:bidi="fr-FR"/>
        </w:rPr>
        <w:t>x</w:t>
      </w:r>
      <w:r w:rsidRPr="009C29C2">
        <w:rPr>
          <w:color w:val="000000"/>
          <w:lang w:eastAsia="fr-FR" w:bidi="fr-FR"/>
        </w:rPr>
        <w:t>plication</w:t>
      </w:r>
      <w:r>
        <w:rPr>
          <w:color w:val="000000"/>
          <w:lang w:eastAsia="fr-FR" w:bidi="fr-FR"/>
        </w:rPr>
        <w:t> — </w:t>
      </w:r>
      <w:r w:rsidRPr="009C29C2">
        <w:rPr>
          <w:color w:val="000000"/>
          <w:lang w:eastAsia="fr-FR" w:bidi="fr-FR"/>
        </w:rPr>
        <w:t>je vous en fais l’aveu</w:t>
      </w:r>
      <w:r>
        <w:rPr>
          <w:color w:val="000000"/>
          <w:lang w:eastAsia="fr-FR" w:bidi="fr-FR"/>
        </w:rPr>
        <w:t> — </w:t>
      </w:r>
      <w:r w:rsidRPr="009C29C2">
        <w:rPr>
          <w:color w:val="000000"/>
          <w:lang w:eastAsia="fr-FR" w:bidi="fr-FR"/>
        </w:rPr>
        <w:t>la solution que j’ai proposée ne me satisfait pas absolument.</w:t>
      </w:r>
    </w:p>
    <w:p w14:paraId="6343340C" w14:textId="77777777" w:rsidR="00B9662D" w:rsidRPr="009C29C2" w:rsidRDefault="00B9662D" w:rsidP="00B9662D">
      <w:pPr>
        <w:spacing w:before="120" w:after="120"/>
        <w:jc w:val="both"/>
      </w:pPr>
      <w:r w:rsidRPr="009C29C2">
        <w:rPr>
          <w:color w:val="000000"/>
          <w:lang w:eastAsia="fr-FR" w:bidi="fr-FR"/>
        </w:rPr>
        <w:t>La justice royale anglaise qui a été très précoce a subi la peine de</w:t>
      </w:r>
      <w:r>
        <w:rPr>
          <w:color w:val="000000"/>
          <w:lang w:eastAsia="fr-FR" w:bidi="fr-FR"/>
        </w:rPr>
        <w:t xml:space="preserve"> </w:t>
      </w:r>
      <w:r>
        <w:t xml:space="preserve">[669] </w:t>
      </w:r>
      <w:r w:rsidRPr="009C29C2">
        <w:rPr>
          <w:color w:val="000000"/>
          <w:lang w:eastAsia="fr-FR" w:bidi="fr-FR"/>
        </w:rPr>
        <w:t>sa précocité. Entre le seigneur et ses tenanciers, longtemps il a été de règle que le roi n’intervient pas, ou du moins, s’il sort nature</w:t>
      </w:r>
      <w:r w:rsidRPr="009C29C2">
        <w:rPr>
          <w:color w:val="000000"/>
          <w:lang w:eastAsia="fr-FR" w:bidi="fr-FR"/>
        </w:rPr>
        <w:t>l</w:t>
      </w:r>
      <w:r w:rsidRPr="009C29C2">
        <w:rPr>
          <w:color w:val="000000"/>
          <w:lang w:eastAsia="fr-FR" w:bidi="fr-FR"/>
        </w:rPr>
        <w:t xml:space="preserve">lement de cette réserve, lorsqu’il s’agit d’actes capables de troubler l’ordre public, elle s’impose absolument à lui en cas de procès roulant sur les droits réels ou les redevances seigneuriales. Cela jusqu’au </w:t>
      </w:r>
      <w:r w:rsidRPr="00883DB9">
        <w:rPr>
          <w:caps/>
          <w:color w:val="000000"/>
          <w:lang w:eastAsia="fr-FR" w:bidi="fr-FR"/>
        </w:rPr>
        <w:t>xvi</w:t>
      </w:r>
      <w:r w:rsidRPr="009C29C2">
        <w:rPr>
          <w:color w:val="000000"/>
          <w:vertAlign w:val="superscript"/>
          <w:lang w:eastAsia="fr-FR" w:bidi="fr-FR"/>
        </w:rPr>
        <w:t>e</w:t>
      </w:r>
      <w:r w:rsidRPr="009C29C2">
        <w:rPr>
          <w:color w:val="000000"/>
          <w:lang w:eastAsia="fr-FR" w:bidi="fr-FR"/>
        </w:rPr>
        <w:t xml:space="preserve"> siècle. </w:t>
      </w:r>
      <w:r>
        <w:rPr>
          <w:color w:val="000000"/>
          <w:lang w:eastAsia="fr-FR" w:bidi="fr-FR"/>
        </w:rPr>
        <w:t>À</w:t>
      </w:r>
      <w:r w:rsidRPr="009C29C2">
        <w:rPr>
          <w:color w:val="000000"/>
          <w:lang w:eastAsia="fr-FR" w:bidi="fr-FR"/>
        </w:rPr>
        <w:t xml:space="preserve"> ce moment, les tribunaux royaux ont commencé à se glisser entre le seigneur et ses tenanciers. Mais ils ne pouvaient plus qu’appliquer les règles, fixées par les coutumes des seigneuries ou « manoirs ». Or ces règles étaient devenues défavorables à la posse</w:t>
      </w:r>
      <w:r w:rsidRPr="009C29C2">
        <w:rPr>
          <w:color w:val="000000"/>
          <w:lang w:eastAsia="fr-FR" w:bidi="fr-FR"/>
        </w:rPr>
        <w:t>s</w:t>
      </w:r>
      <w:r w:rsidRPr="009C29C2">
        <w:rPr>
          <w:color w:val="000000"/>
          <w:lang w:eastAsia="fr-FR" w:bidi="fr-FR"/>
        </w:rPr>
        <w:t>sion héréditaire des tenanciers.</w:t>
      </w:r>
    </w:p>
    <w:p w14:paraId="2430A267" w14:textId="77777777" w:rsidR="00B9662D" w:rsidRPr="009C29C2" w:rsidRDefault="00B9662D" w:rsidP="00B9662D">
      <w:pPr>
        <w:spacing w:before="120" w:after="120"/>
        <w:jc w:val="both"/>
      </w:pPr>
      <w:r w:rsidRPr="009C29C2">
        <w:rPr>
          <w:color w:val="000000"/>
          <w:lang w:eastAsia="fr-FR" w:bidi="fr-FR"/>
        </w:rPr>
        <w:t>En France</w:t>
      </w:r>
      <w:r>
        <w:rPr>
          <w:color w:val="000000"/>
          <w:lang w:eastAsia="fr-FR" w:bidi="fr-FR"/>
        </w:rPr>
        <w:t> — </w:t>
      </w:r>
      <w:r w:rsidRPr="009C29C2">
        <w:rPr>
          <w:color w:val="000000"/>
          <w:lang w:eastAsia="fr-FR" w:bidi="fr-FR"/>
        </w:rPr>
        <w:t>M. Lot le sait mieux que moi</w:t>
      </w:r>
      <w:r>
        <w:rPr>
          <w:color w:val="000000"/>
          <w:lang w:eastAsia="fr-FR" w:bidi="fr-FR"/>
        </w:rPr>
        <w:t> — </w:t>
      </w:r>
      <w:r w:rsidRPr="009C29C2">
        <w:rPr>
          <w:color w:val="000000"/>
          <w:lang w:eastAsia="fr-FR" w:bidi="fr-FR"/>
        </w:rPr>
        <w:t>les choses se sont passées tout autrement. La justice royale a fait lentement son petit bonhomme de chemin, sans grandes ordonnances juridictionnelles, sans plan d’ensemble, mais aussi sans connaître de règles impératives limitant sa compétence. Dès Louis</w:t>
      </w:r>
      <w:r>
        <w:rPr>
          <w:color w:val="000000"/>
          <w:lang w:eastAsia="fr-FR" w:bidi="fr-FR"/>
        </w:rPr>
        <w:t> </w:t>
      </w:r>
      <w:r w:rsidRPr="009C29C2">
        <w:rPr>
          <w:color w:val="000000"/>
          <w:lang w:eastAsia="fr-FR" w:bidi="fr-FR"/>
        </w:rPr>
        <w:t>VI, on voit le roi juger un procès de servage entre tenanciers (les paysans de Rosny-sous-Bois</w:t>
      </w:r>
      <w:r>
        <w:rPr>
          <w:color w:val="000000"/>
          <w:lang w:eastAsia="fr-FR" w:bidi="fr-FR"/>
        </w:rPr>
        <w:t>) et se</w:t>
      </w:r>
      <w:r>
        <w:rPr>
          <w:color w:val="000000"/>
          <w:lang w:eastAsia="fr-FR" w:bidi="fr-FR"/>
        </w:rPr>
        <w:t>i</w:t>
      </w:r>
      <w:r>
        <w:rPr>
          <w:color w:val="000000"/>
          <w:lang w:eastAsia="fr-FR" w:bidi="fr-FR"/>
        </w:rPr>
        <w:t>gneur (l’abbaye Sainte-</w:t>
      </w:r>
      <w:r w:rsidRPr="009C29C2">
        <w:rPr>
          <w:color w:val="000000"/>
          <w:lang w:eastAsia="fr-FR" w:bidi="fr-FR"/>
        </w:rPr>
        <w:t>Geneviève),</w:t>
      </w:r>
      <w:r>
        <w:rPr>
          <w:color w:val="000000"/>
          <w:lang w:eastAsia="fr-FR" w:bidi="fr-FR"/>
        </w:rPr>
        <w:t> — </w:t>
      </w:r>
      <w:r w:rsidRPr="009C29C2">
        <w:rPr>
          <w:color w:val="000000"/>
          <w:lang w:eastAsia="fr-FR" w:bidi="fr-FR"/>
        </w:rPr>
        <w:t>il est vrai grâce à une partic</w:t>
      </w:r>
      <w:r w:rsidRPr="009C29C2">
        <w:rPr>
          <w:color w:val="000000"/>
          <w:lang w:eastAsia="fr-FR" w:bidi="fr-FR"/>
        </w:rPr>
        <w:t>u</w:t>
      </w:r>
      <w:r w:rsidRPr="009C29C2">
        <w:rPr>
          <w:color w:val="000000"/>
          <w:lang w:eastAsia="fr-FR" w:bidi="fr-FR"/>
        </w:rPr>
        <w:t>larité de procédure, sur laquelle je ne puis insister ici, et d’ailleurs au profit du seigneur. La cause n’en avait pas moins été portée devant lui. Et les cas de cette espèce iront sans cesse se multipliant. Comme les coutumes seigneuriales, dans la France de ce temps, reconnaissaient la possession héréditaire, les cours royales ont tout naturellement san</w:t>
      </w:r>
      <w:r w:rsidRPr="009C29C2">
        <w:rPr>
          <w:color w:val="000000"/>
          <w:lang w:eastAsia="fr-FR" w:bidi="fr-FR"/>
        </w:rPr>
        <w:t>c</w:t>
      </w:r>
      <w:r w:rsidRPr="009C29C2">
        <w:rPr>
          <w:color w:val="000000"/>
          <w:lang w:eastAsia="fr-FR" w:bidi="fr-FR"/>
        </w:rPr>
        <w:lastRenderedPageBreak/>
        <w:t>tionné celle-ci. Il n’est pas impossible qu’au même temps les cout</w:t>
      </w:r>
      <w:r w:rsidRPr="009C29C2">
        <w:rPr>
          <w:color w:val="000000"/>
          <w:lang w:eastAsia="fr-FR" w:bidi="fr-FR"/>
        </w:rPr>
        <w:t>u</w:t>
      </w:r>
      <w:r w:rsidRPr="009C29C2">
        <w:rPr>
          <w:color w:val="000000"/>
          <w:lang w:eastAsia="fr-FR" w:bidi="fr-FR"/>
        </w:rPr>
        <w:t xml:space="preserve">mes seigneuriales anglaises ne fussent assez analogues. Mais aucun tribunal royal ne se rencontra pour les fixer. Et lorsque vers la fin du Moyen </w:t>
      </w:r>
      <w:r>
        <w:rPr>
          <w:color w:val="000000"/>
          <w:lang w:eastAsia="fr-FR" w:bidi="fr-FR"/>
        </w:rPr>
        <w:t>Â</w:t>
      </w:r>
      <w:r w:rsidRPr="009C29C2">
        <w:rPr>
          <w:color w:val="000000"/>
          <w:lang w:eastAsia="fr-FR" w:bidi="fr-FR"/>
        </w:rPr>
        <w:t>ge les seigneurs, en tout pays, furent devenus, beaucoup plus qu’auparavant, avides de terres, leurs tribunaux, seuls compétents en la matière, plièrent peu à peu le droit en faveur de leurs besoins. La justice publique intervient trop tard pour sauver l’ancien état de ch</w:t>
      </w:r>
      <w:r w:rsidRPr="009C29C2">
        <w:rPr>
          <w:color w:val="000000"/>
          <w:lang w:eastAsia="fr-FR" w:bidi="fr-FR"/>
        </w:rPr>
        <w:t>o</w:t>
      </w:r>
      <w:r w:rsidRPr="009C29C2">
        <w:rPr>
          <w:color w:val="000000"/>
          <w:lang w:eastAsia="fr-FR" w:bidi="fr-FR"/>
        </w:rPr>
        <w:t>ses... Telle est mon hypothèse. Mais elle m’inquiète un peu parce qu’elle est trop simple, et trop attachée peut-être à des faits d’ordre politique. Une recherche plus approfondie s’imposerait.</w:t>
      </w:r>
    </w:p>
    <w:p w14:paraId="78D30E6C" w14:textId="77777777" w:rsidR="00B9662D" w:rsidRPr="009C29C2" w:rsidRDefault="00B9662D" w:rsidP="00B9662D">
      <w:pPr>
        <w:spacing w:before="120" w:after="120"/>
        <w:jc w:val="both"/>
      </w:pPr>
      <w:r w:rsidRPr="009C29C2">
        <w:rPr>
          <w:color w:val="000000"/>
          <w:lang w:eastAsia="fr-FR" w:bidi="fr-FR"/>
        </w:rPr>
        <w:t>Mais la vie de l’homme est limitée... sa science encore davantage !</w:t>
      </w:r>
    </w:p>
    <w:p w14:paraId="53DD509A" w14:textId="77777777" w:rsidR="00B9662D" w:rsidRPr="009C29C2" w:rsidRDefault="00B9662D" w:rsidP="00B9662D">
      <w:pPr>
        <w:spacing w:before="120" w:after="120"/>
        <w:jc w:val="both"/>
      </w:pPr>
      <w:r w:rsidRPr="009C29C2">
        <w:rPr>
          <w:color w:val="000000"/>
          <w:lang w:eastAsia="fr-FR" w:bidi="fr-FR"/>
        </w:rPr>
        <w:t>Je pense comme vous qu’il y a eu dans l’ancienne Europe des ru</w:t>
      </w:r>
      <w:r w:rsidRPr="009C29C2">
        <w:rPr>
          <w:color w:val="000000"/>
          <w:lang w:eastAsia="fr-FR" w:bidi="fr-FR"/>
        </w:rPr>
        <w:t>p</w:t>
      </w:r>
      <w:r w:rsidRPr="009C29C2">
        <w:rPr>
          <w:color w:val="000000"/>
          <w:lang w:eastAsia="fr-FR" w:bidi="fr-FR"/>
        </w:rPr>
        <w:t>tures dans la continuité de la vie rurale</w:t>
      </w:r>
      <w:r>
        <w:rPr>
          <w:color w:val="000000"/>
          <w:lang w:eastAsia="fr-FR" w:bidi="fr-FR"/>
        </w:rPr>
        <w:t> — </w:t>
      </w:r>
      <w:r w:rsidRPr="009C29C2">
        <w:rPr>
          <w:color w:val="000000"/>
          <w:lang w:eastAsia="fr-FR" w:bidi="fr-FR"/>
        </w:rPr>
        <w:t>je crois l’avoir dit</w:t>
      </w:r>
      <w:r>
        <w:rPr>
          <w:color w:val="000000"/>
          <w:lang w:eastAsia="fr-FR" w:bidi="fr-FR"/>
        </w:rPr>
        <w:t> — </w:t>
      </w:r>
      <w:r w:rsidRPr="009C29C2">
        <w:rPr>
          <w:color w:val="000000"/>
          <w:lang w:eastAsia="fr-FR" w:bidi="fr-FR"/>
        </w:rPr>
        <w:t xml:space="preserve">mais malgré tout, la continuité l’emporte. De ces ruptures en France, nous connaissons deux grands exemples : d’abord la guerre de Cent Ans, qui a réduit des terroirs entiers à l’état de broussailles ; les guerres du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où le même phénomène s’est reproduit, dans diverses régions telles que la Lorraine et la Bourgogne. Nous savons que quand les gens sont revenus, ils ont cultivé comme autrefois. En Lorraine, au </w:t>
      </w:r>
      <w:r>
        <w:rPr>
          <w:color w:val="000000"/>
          <w:lang w:eastAsia="fr-FR" w:bidi="fr-FR"/>
        </w:rPr>
        <w:t>XVII</w:t>
      </w:r>
      <w:r w:rsidRPr="009C29C2">
        <w:rPr>
          <w:color w:val="000000"/>
          <w:vertAlign w:val="superscript"/>
          <w:lang w:eastAsia="fr-FR" w:bidi="fr-FR"/>
        </w:rPr>
        <w:t>e</w:t>
      </w:r>
      <w:r w:rsidRPr="009C29C2">
        <w:rPr>
          <w:color w:val="000000"/>
          <w:lang w:eastAsia="fr-FR" w:bidi="fr-FR"/>
        </w:rPr>
        <w:t xml:space="preserve"> siècle, il y en a bien eu qui, arrivant sur des terrains quasiment vierges, ont cherché à faire preuve d’individualisme. Ils se sont mis, nous dit-on, « à labourer de travers », ils ne suivaient plus les « saisons accoutumées »... L’autorité ducale, gardienne de l’ordre p</w:t>
      </w:r>
      <w:r w:rsidRPr="009C29C2">
        <w:rPr>
          <w:color w:val="000000"/>
          <w:lang w:eastAsia="fr-FR" w:bidi="fr-FR"/>
        </w:rPr>
        <w:t>u</w:t>
      </w:r>
      <w:r w:rsidRPr="009C29C2">
        <w:rPr>
          <w:color w:val="000000"/>
          <w:lang w:eastAsia="fr-FR" w:bidi="fr-FR"/>
        </w:rPr>
        <w:t>blic, est alors intervenue. Des ordonnances ont été prises pour leur dire : Ce n’est pas cela ! Il faut recommencer comme avant !</w:t>
      </w:r>
    </w:p>
    <w:p w14:paraId="6C69F816" w14:textId="77777777" w:rsidR="00B9662D" w:rsidRDefault="00B9662D" w:rsidP="00B9662D">
      <w:pPr>
        <w:pStyle w:val="p"/>
      </w:pPr>
      <w:r>
        <w:br w:type="page"/>
      </w:r>
      <w:r>
        <w:lastRenderedPageBreak/>
        <w:t>[670]</w:t>
      </w:r>
    </w:p>
    <w:p w14:paraId="385F6385" w14:textId="77777777" w:rsidR="00B9662D" w:rsidRPr="00E07116" w:rsidRDefault="00B9662D" w:rsidP="00B9662D">
      <w:pPr>
        <w:jc w:val="both"/>
      </w:pPr>
    </w:p>
    <w:p w14:paraId="3E79C500" w14:textId="77777777" w:rsidR="00B9662D" w:rsidRDefault="00B9662D" w:rsidP="00B9662D">
      <w:pPr>
        <w:jc w:val="both"/>
      </w:pPr>
    </w:p>
    <w:p w14:paraId="6087691D" w14:textId="77777777" w:rsidR="00B9662D" w:rsidRPr="00E07116" w:rsidRDefault="00B9662D" w:rsidP="00B9662D">
      <w:pPr>
        <w:jc w:val="both"/>
      </w:pPr>
    </w:p>
    <w:p w14:paraId="45D86EC0" w14:textId="77777777" w:rsidR="00B9662D" w:rsidRPr="00F54CC7" w:rsidRDefault="00B9662D" w:rsidP="00B9662D">
      <w:pPr>
        <w:spacing w:after="120"/>
        <w:ind w:firstLine="0"/>
        <w:jc w:val="center"/>
        <w:rPr>
          <w:sz w:val="24"/>
        </w:rPr>
      </w:pPr>
      <w:bookmarkStart w:id="21" w:name="Melanges_t2_pt_6_chap_V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1B1DA733" w14:textId="77777777" w:rsidR="00B9662D" w:rsidRPr="00303F6A" w:rsidRDefault="00B9662D" w:rsidP="00B9662D">
      <w:pPr>
        <w:ind w:firstLine="0"/>
        <w:jc w:val="center"/>
        <w:rPr>
          <w:b/>
          <w:color w:val="000080"/>
          <w:sz w:val="24"/>
        </w:rPr>
      </w:pPr>
      <w:r>
        <w:rPr>
          <w:b/>
          <w:color w:val="000080"/>
          <w:sz w:val="24"/>
        </w:rPr>
        <w:t>6</w:t>
      </w:r>
      <w:r w:rsidRPr="005C6AC3">
        <w:rPr>
          <w:b/>
          <w:color w:val="000080"/>
          <w:sz w:val="24"/>
          <w:vertAlign w:val="superscript"/>
        </w:rPr>
        <w:t>e</w:t>
      </w:r>
      <w:r>
        <w:rPr>
          <w:b/>
          <w:color w:val="000080"/>
          <w:sz w:val="24"/>
        </w:rPr>
        <w:t xml:space="preserve"> PARTIE : </w:t>
      </w:r>
      <w:r w:rsidRPr="00303F6A">
        <w:rPr>
          <w:b/>
          <w:color w:val="000080"/>
          <w:sz w:val="24"/>
        </w:rPr>
        <w:t>VIE RURALE</w:t>
      </w:r>
    </w:p>
    <w:p w14:paraId="5BA41522" w14:textId="77777777" w:rsidR="00B9662D" w:rsidRPr="00384B20" w:rsidRDefault="00B9662D" w:rsidP="00B9662D">
      <w:pPr>
        <w:pStyle w:val="Titreniveau1"/>
      </w:pPr>
      <w:r>
        <w:t>Chapitre VI</w:t>
      </w:r>
    </w:p>
    <w:p w14:paraId="40CBAFBD" w14:textId="77777777" w:rsidR="00B9662D" w:rsidRPr="00E07116" w:rsidRDefault="00B9662D" w:rsidP="00B9662D">
      <w:pPr>
        <w:jc w:val="both"/>
        <w:rPr>
          <w:szCs w:val="36"/>
        </w:rPr>
      </w:pPr>
    </w:p>
    <w:p w14:paraId="6121BF33" w14:textId="77777777" w:rsidR="00B9662D" w:rsidRDefault="00B9662D" w:rsidP="00B9662D">
      <w:pPr>
        <w:pStyle w:val="Titreniveau2"/>
      </w:pPr>
      <w:r>
        <w:t>de la grande exploitation</w:t>
      </w:r>
      <w:r>
        <w:br/>
        <w:t>domaniale à la rente du sol :</w:t>
      </w:r>
    </w:p>
    <w:p w14:paraId="66B0E3B0" w14:textId="77777777" w:rsidR="00B9662D" w:rsidRPr="00E07116" w:rsidRDefault="00B9662D" w:rsidP="00B9662D">
      <w:pPr>
        <w:pStyle w:val="Titreniveau2st"/>
      </w:pPr>
      <w:r>
        <w:t xml:space="preserve">un problème et projet d’enquête. </w:t>
      </w:r>
      <w:r>
        <w:rPr>
          <w:rStyle w:val="Appelnotedebasdep"/>
        </w:rPr>
        <w:footnoteReference w:id="282"/>
      </w:r>
    </w:p>
    <w:bookmarkEnd w:id="21"/>
    <w:p w14:paraId="2B1BC0D0" w14:textId="77777777" w:rsidR="00B9662D" w:rsidRDefault="00B9662D" w:rsidP="00B9662D">
      <w:pPr>
        <w:jc w:val="both"/>
        <w:rPr>
          <w:szCs w:val="36"/>
        </w:rPr>
      </w:pPr>
    </w:p>
    <w:p w14:paraId="62C0B84A" w14:textId="77777777" w:rsidR="00B9662D" w:rsidRDefault="00B9662D" w:rsidP="00B9662D">
      <w:pPr>
        <w:jc w:val="both"/>
        <w:rPr>
          <w:szCs w:val="36"/>
        </w:rPr>
      </w:pPr>
    </w:p>
    <w:p w14:paraId="166AC8BA" w14:textId="77777777" w:rsidR="00B9662D" w:rsidRDefault="00B9662D" w:rsidP="00B9662D">
      <w:pPr>
        <w:jc w:val="both"/>
        <w:rPr>
          <w:szCs w:val="36"/>
        </w:rPr>
      </w:pPr>
    </w:p>
    <w:p w14:paraId="19A332E2" w14:textId="77777777" w:rsidR="00B9662D" w:rsidRPr="00E07116" w:rsidRDefault="00B9662D" w:rsidP="00B9662D">
      <w:pPr>
        <w:jc w:val="both"/>
        <w:rPr>
          <w:szCs w:val="36"/>
        </w:rPr>
      </w:pPr>
    </w:p>
    <w:p w14:paraId="24E3BB21"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F8EAF36" w14:textId="77777777" w:rsidR="00B9662D" w:rsidRPr="00246AE4" w:rsidRDefault="00B9662D" w:rsidP="00B9662D">
      <w:pPr>
        <w:spacing w:before="120" w:after="120"/>
        <w:jc w:val="both"/>
      </w:pPr>
      <w:r w:rsidRPr="00246AE4">
        <w:rPr>
          <w:color w:val="000000"/>
          <w:lang w:eastAsia="fr-FR" w:bidi="fr-FR"/>
        </w:rPr>
        <w:t>Le problème sur lequel je voudrais attirer l’attention du Congrès relève, à un double titre, de l’histoire comparée des sociétés eur</w:t>
      </w:r>
      <w:r w:rsidRPr="00246AE4">
        <w:rPr>
          <w:color w:val="000000"/>
          <w:lang w:eastAsia="fr-FR" w:bidi="fr-FR"/>
        </w:rPr>
        <w:t>o</w:t>
      </w:r>
      <w:r w:rsidRPr="00246AE4">
        <w:rPr>
          <w:color w:val="000000"/>
          <w:lang w:eastAsia="fr-FR" w:bidi="fr-FR"/>
        </w:rPr>
        <w:t>péennes. Les faits le posent dans toute l’Europe Occidentale et Ce</w:t>
      </w:r>
      <w:r w:rsidRPr="00246AE4">
        <w:rPr>
          <w:color w:val="000000"/>
          <w:lang w:eastAsia="fr-FR" w:bidi="fr-FR"/>
        </w:rPr>
        <w:t>n</w:t>
      </w:r>
      <w:r w:rsidRPr="00246AE4">
        <w:rPr>
          <w:color w:val="000000"/>
          <w:lang w:eastAsia="fr-FR" w:bidi="fr-FR"/>
        </w:rPr>
        <w:t>trale, ou peu s’en faut ; dans quelque cadre géographique qu’on l’envisage, la solution n’en saurait être attendue que d’une compara</w:t>
      </w:r>
      <w:r w:rsidRPr="00246AE4">
        <w:rPr>
          <w:color w:val="000000"/>
          <w:lang w:eastAsia="fr-FR" w:bidi="fr-FR"/>
        </w:rPr>
        <w:t>i</w:t>
      </w:r>
      <w:r w:rsidRPr="00246AE4">
        <w:rPr>
          <w:color w:val="000000"/>
          <w:lang w:eastAsia="fr-FR" w:bidi="fr-FR"/>
        </w:rPr>
        <w:t>son, systématiquement établie, entre les divers développements nati</w:t>
      </w:r>
      <w:r w:rsidRPr="00246AE4">
        <w:rPr>
          <w:color w:val="000000"/>
          <w:lang w:eastAsia="fr-FR" w:bidi="fr-FR"/>
        </w:rPr>
        <w:t>o</w:t>
      </w:r>
      <w:r w:rsidRPr="00246AE4">
        <w:rPr>
          <w:color w:val="000000"/>
          <w:lang w:eastAsia="fr-FR" w:bidi="fr-FR"/>
        </w:rPr>
        <w:t>naux ou régionaux. Mais, pour point de départ de l’énoncé, il sera commode de prendre ici l’évolution française.</w:t>
      </w:r>
    </w:p>
    <w:p w14:paraId="2FE49CBC" w14:textId="77777777" w:rsidR="00B9662D" w:rsidRDefault="00B9662D" w:rsidP="00B9662D">
      <w:pPr>
        <w:pStyle w:val="c"/>
        <w:rPr>
          <w:lang w:eastAsia="fr-FR" w:bidi="fr-FR"/>
        </w:rPr>
      </w:pPr>
      <w:r>
        <w:rPr>
          <w:lang w:eastAsia="fr-FR" w:bidi="fr-FR"/>
        </w:rPr>
        <w:t>*</w:t>
      </w:r>
      <w:r>
        <w:rPr>
          <w:lang w:eastAsia="fr-FR" w:bidi="fr-FR"/>
        </w:rPr>
        <w:br/>
        <w:t>*     *</w:t>
      </w:r>
    </w:p>
    <w:p w14:paraId="705DA446" w14:textId="77777777" w:rsidR="00B9662D" w:rsidRPr="00246AE4" w:rsidRDefault="00B9662D" w:rsidP="00B9662D">
      <w:pPr>
        <w:spacing w:before="120" w:after="120"/>
        <w:jc w:val="both"/>
      </w:pPr>
      <w:r w:rsidRPr="00246AE4">
        <w:rPr>
          <w:color w:val="000000"/>
          <w:lang w:eastAsia="fr-FR" w:bidi="fr-FR"/>
        </w:rPr>
        <w:t>L’organisation des menues seigneuries qui se partageaient sans doute, dans la Gaule franque, d’assez larges espaces, nous demeurera toujours, faute de documents, à peu près inconnue. Des grandes se</w:t>
      </w:r>
      <w:r w:rsidRPr="00246AE4">
        <w:rPr>
          <w:color w:val="000000"/>
          <w:lang w:eastAsia="fr-FR" w:bidi="fr-FR"/>
        </w:rPr>
        <w:t>i</w:t>
      </w:r>
      <w:r w:rsidRPr="00246AE4">
        <w:rPr>
          <w:color w:val="000000"/>
          <w:lang w:eastAsia="fr-FR" w:bidi="fr-FR"/>
        </w:rPr>
        <w:t>gneuries, par contre,</w:t>
      </w:r>
      <w:r>
        <w:rPr>
          <w:color w:val="000000"/>
          <w:lang w:eastAsia="fr-FR" w:bidi="fr-FR"/>
        </w:rPr>
        <w:t> — </w:t>
      </w:r>
      <w:r w:rsidRPr="00246AE4">
        <w:rPr>
          <w:color w:val="000000"/>
          <w:lang w:eastAsia="fr-FR" w:bidi="fr-FR"/>
        </w:rPr>
        <w:t>celles des rois, des principales églises, de la haute noblesse laïque</w:t>
      </w:r>
      <w:r>
        <w:rPr>
          <w:color w:val="000000"/>
          <w:lang w:eastAsia="fr-FR" w:bidi="fr-FR"/>
        </w:rPr>
        <w:t> — </w:t>
      </w:r>
      <w:r w:rsidRPr="00246AE4">
        <w:rPr>
          <w:color w:val="000000"/>
          <w:lang w:eastAsia="fr-FR" w:bidi="fr-FR"/>
        </w:rPr>
        <w:t xml:space="preserve">les textes nous permettent de nous faire une image précise. Il y avait certainement des cas aberrants. Mais le type </w:t>
      </w:r>
      <w:r w:rsidRPr="00246AE4">
        <w:rPr>
          <w:color w:val="000000"/>
          <w:lang w:eastAsia="fr-FR" w:bidi="fr-FR"/>
        </w:rPr>
        <w:lastRenderedPageBreak/>
        <w:t>le plus répandu peut se décrire en termes assez simples. Le territoire sujet au pouvoir seigneurial se divisait en deux sections, bien distin</w:t>
      </w:r>
      <w:r w:rsidRPr="00246AE4">
        <w:rPr>
          <w:color w:val="000000"/>
          <w:lang w:eastAsia="fr-FR" w:bidi="fr-FR"/>
        </w:rPr>
        <w:t>c</w:t>
      </w:r>
      <w:r w:rsidRPr="00246AE4">
        <w:rPr>
          <w:color w:val="000000"/>
          <w:lang w:eastAsia="fr-FR" w:bidi="fr-FR"/>
        </w:rPr>
        <w:t xml:space="preserve">tes et pourtant étroitement liées. D’un côté, une grande exploitation, mise en valeur directement par le maître : c’était le domaine </w:t>
      </w:r>
      <w:r w:rsidRPr="00246AE4">
        <w:t>(</w:t>
      </w:r>
      <w:r w:rsidRPr="00CC43F0">
        <w:rPr>
          <w:i/>
        </w:rPr>
        <w:t>indom</w:t>
      </w:r>
      <w:r w:rsidRPr="00CC43F0">
        <w:rPr>
          <w:i/>
        </w:rPr>
        <w:t>i</w:t>
      </w:r>
      <w:r w:rsidRPr="00CC43F0">
        <w:rPr>
          <w:i/>
        </w:rPr>
        <w:t>nicatum</w:t>
      </w:r>
      <w:r w:rsidRPr="00246AE4">
        <w:rPr>
          <w:color w:val="000000"/>
          <w:lang w:eastAsia="fr-FR" w:bidi="fr-FR"/>
        </w:rPr>
        <w:t>), que nous avons pris l’habitude de désigner aussi par le mot, tout moderne, de réserve. De l’autre, un groupe de petites exploit</w:t>
      </w:r>
      <w:r w:rsidRPr="00246AE4">
        <w:rPr>
          <w:color w:val="000000"/>
          <w:lang w:eastAsia="fr-FR" w:bidi="fr-FR"/>
        </w:rPr>
        <w:t>a</w:t>
      </w:r>
      <w:r w:rsidRPr="00246AE4">
        <w:rPr>
          <w:color w:val="000000"/>
          <w:lang w:eastAsia="fr-FR" w:bidi="fr-FR"/>
        </w:rPr>
        <w:t xml:space="preserve">tions, placées sous la mouvance du possesseur du domaine : manses, </w:t>
      </w:r>
      <w:r w:rsidRPr="00246AE4">
        <w:t>accolae</w:t>
      </w:r>
      <w:r w:rsidRPr="00246AE4">
        <w:rPr>
          <w:color w:val="000000"/>
          <w:lang w:eastAsia="fr-FR" w:bidi="fr-FR"/>
        </w:rPr>
        <w:t>, hôtises, que nous réunissons sous le nom générique de ten</w:t>
      </w:r>
      <w:r w:rsidRPr="00246AE4">
        <w:rPr>
          <w:color w:val="000000"/>
          <w:lang w:eastAsia="fr-FR" w:bidi="fr-FR"/>
        </w:rPr>
        <w:t>u</w:t>
      </w:r>
      <w:r w:rsidRPr="00246AE4">
        <w:rPr>
          <w:color w:val="000000"/>
          <w:lang w:eastAsia="fr-FR" w:bidi="fr-FR"/>
        </w:rPr>
        <w:t>res. Laissons de côté les forêts et les friches, sur lesquelles les tena</w:t>
      </w:r>
      <w:r w:rsidRPr="00246AE4">
        <w:rPr>
          <w:color w:val="000000"/>
          <w:lang w:eastAsia="fr-FR" w:bidi="fr-FR"/>
        </w:rPr>
        <w:t>n</w:t>
      </w:r>
      <w:r w:rsidRPr="00246AE4">
        <w:rPr>
          <w:color w:val="000000"/>
          <w:lang w:eastAsia="fr-FR" w:bidi="fr-FR"/>
        </w:rPr>
        <w:t>ciers exerçaient, à l’ordinaire, des</w:t>
      </w:r>
      <w:r>
        <w:t xml:space="preserve"> [671] </w:t>
      </w:r>
      <w:r w:rsidRPr="00246AE4">
        <w:rPr>
          <w:color w:val="000000"/>
          <w:lang w:eastAsia="fr-FR" w:bidi="fr-FR"/>
        </w:rPr>
        <w:t>droits d’usage, mais dont la plus grande partie, en dépit de ces se</w:t>
      </w:r>
      <w:r w:rsidRPr="00246AE4">
        <w:rPr>
          <w:color w:val="000000"/>
          <w:lang w:eastAsia="fr-FR" w:bidi="fr-FR"/>
        </w:rPr>
        <w:t>r</w:t>
      </w:r>
      <w:r w:rsidRPr="00246AE4">
        <w:rPr>
          <w:color w:val="000000"/>
          <w:lang w:eastAsia="fr-FR" w:bidi="fr-FR"/>
        </w:rPr>
        <w:t>vitudes, était comprise dans le domaine ; et n’envisageons, dans celui-ci, que les labours et les prés. Même ainsi réduite, sa superficie nous apparaît encore comme génér</w:t>
      </w:r>
      <w:r w:rsidRPr="00246AE4">
        <w:rPr>
          <w:color w:val="000000"/>
          <w:lang w:eastAsia="fr-FR" w:bidi="fr-FR"/>
        </w:rPr>
        <w:t>a</w:t>
      </w:r>
      <w:r w:rsidRPr="00246AE4">
        <w:rPr>
          <w:color w:val="000000"/>
          <w:lang w:eastAsia="fr-FR" w:bidi="fr-FR"/>
        </w:rPr>
        <w:t>lement très étendue ; elle égalait parfois celle que couvraient l’ensemble des tenures ; dans les cas les plus défavorables, la propo</w:t>
      </w:r>
      <w:r w:rsidRPr="00246AE4">
        <w:rPr>
          <w:color w:val="000000"/>
          <w:lang w:eastAsia="fr-FR" w:bidi="fr-FR"/>
        </w:rPr>
        <w:t>r</w:t>
      </w:r>
      <w:r w:rsidRPr="00246AE4">
        <w:rPr>
          <w:color w:val="000000"/>
          <w:lang w:eastAsia="fr-FR" w:bidi="fr-FR"/>
        </w:rPr>
        <w:t xml:space="preserve">tion ne descendait guère au-dessous de un contre deux. </w:t>
      </w:r>
      <w:r>
        <w:rPr>
          <w:color w:val="000000"/>
          <w:lang w:eastAsia="fr-FR" w:bidi="fr-FR"/>
        </w:rPr>
        <w:t>À</w:t>
      </w:r>
      <w:r w:rsidRPr="00246AE4">
        <w:rPr>
          <w:color w:val="000000"/>
          <w:lang w:eastAsia="fr-FR" w:bidi="fr-FR"/>
        </w:rPr>
        <w:t xml:space="preserve"> des terres aussi vastes, il fallait beaucoup de bras. Sur la r</w:t>
      </w:r>
      <w:r w:rsidRPr="00246AE4">
        <w:rPr>
          <w:color w:val="000000"/>
          <w:lang w:eastAsia="fr-FR" w:bidi="fr-FR"/>
        </w:rPr>
        <w:t>é</w:t>
      </w:r>
      <w:r w:rsidRPr="00246AE4">
        <w:rPr>
          <w:color w:val="000000"/>
          <w:lang w:eastAsia="fr-FR" w:bidi="fr-FR"/>
        </w:rPr>
        <w:t>serve même vivaient des travailleurs, que le seigneur entretenait à ses frais. Mais</w:t>
      </w:r>
      <w:r>
        <w:rPr>
          <w:color w:val="000000"/>
          <w:lang w:eastAsia="fr-FR" w:bidi="fr-FR"/>
        </w:rPr>
        <w:t> — </w:t>
      </w:r>
      <w:r w:rsidRPr="00246AE4">
        <w:rPr>
          <w:color w:val="000000"/>
          <w:lang w:eastAsia="fr-FR" w:bidi="fr-FR"/>
        </w:rPr>
        <w:t>esclaves ou libres « provendiers »</w:t>
      </w:r>
      <w:r>
        <w:rPr>
          <w:color w:val="000000"/>
          <w:lang w:eastAsia="fr-FR" w:bidi="fr-FR"/>
        </w:rPr>
        <w:t> — </w:t>
      </w:r>
      <w:r w:rsidRPr="00246AE4">
        <w:rPr>
          <w:color w:val="000000"/>
          <w:lang w:eastAsia="fr-FR" w:bidi="fr-FR"/>
        </w:rPr>
        <w:t>leur nombre était faible. C’était aux tenures qu’était demandé le plus clair des forces nécessaires, et cela sous deux formes différentes. Chaque tenancier se voyait attr</w:t>
      </w:r>
      <w:r w:rsidRPr="00246AE4">
        <w:rPr>
          <w:color w:val="000000"/>
          <w:lang w:eastAsia="fr-FR" w:bidi="fr-FR"/>
        </w:rPr>
        <w:t>i</w:t>
      </w:r>
      <w:r w:rsidRPr="00246AE4">
        <w:rPr>
          <w:color w:val="000000"/>
          <w:lang w:eastAsia="fr-FR" w:bidi="fr-FR"/>
        </w:rPr>
        <w:t>buer quelques parcelles du domaine ; il était responsable de leur cult</w:t>
      </w:r>
      <w:r w:rsidRPr="00246AE4">
        <w:rPr>
          <w:color w:val="000000"/>
          <w:lang w:eastAsia="fr-FR" w:bidi="fr-FR"/>
        </w:rPr>
        <w:t>u</w:t>
      </w:r>
      <w:r w:rsidRPr="00246AE4">
        <w:rPr>
          <w:color w:val="000000"/>
          <w:lang w:eastAsia="fr-FR" w:bidi="fr-FR"/>
        </w:rPr>
        <w:t>re et en livrait les fruits au seigneur. Par ailleurs, et surtout, il devait à celui-ci une part de son temps, comme valet de ferme, sur la fraction, beaucoup plus importante, du sol domanial qui était cultivée par équ</w:t>
      </w:r>
      <w:r w:rsidRPr="00246AE4">
        <w:rPr>
          <w:color w:val="000000"/>
          <w:lang w:eastAsia="fr-FR" w:bidi="fr-FR"/>
        </w:rPr>
        <w:t>i</w:t>
      </w:r>
      <w:r w:rsidRPr="00246AE4">
        <w:rPr>
          <w:color w:val="000000"/>
          <w:lang w:eastAsia="fr-FR" w:bidi="fr-FR"/>
        </w:rPr>
        <w:t>pes. Que la durée de ce travail forcé fût ou non fixée par la coutume, elle demeurait, au total, très considérable. Le tenancier, en outre, était astreint à des redevances ; mais celles-ci, dans la balance des charges, pesaient nettement moins lourd que les services. D’autant que les t</w:t>
      </w:r>
      <w:r w:rsidRPr="00246AE4">
        <w:rPr>
          <w:color w:val="000000"/>
          <w:lang w:eastAsia="fr-FR" w:bidi="fr-FR"/>
        </w:rPr>
        <w:t>â</w:t>
      </w:r>
      <w:r w:rsidRPr="00246AE4">
        <w:rPr>
          <w:color w:val="000000"/>
          <w:lang w:eastAsia="fr-FR" w:bidi="fr-FR"/>
        </w:rPr>
        <w:t>ches imposées, si elles étaient principalement de nature agr</w:t>
      </w:r>
      <w:r w:rsidRPr="00246AE4">
        <w:rPr>
          <w:color w:val="000000"/>
          <w:lang w:eastAsia="fr-FR" w:bidi="fr-FR"/>
        </w:rPr>
        <w:t>i</w:t>
      </w:r>
      <w:r w:rsidRPr="00246AE4">
        <w:rPr>
          <w:color w:val="000000"/>
          <w:lang w:eastAsia="fr-FR" w:bidi="fr-FR"/>
        </w:rPr>
        <w:t>cole, s’étendaient néanmoins à des ordres d’activité très divers : tran</w:t>
      </w:r>
      <w:r w:rsidRPr="00246AE4">
        <w:rPr>
          <w:color w:val="000000"/>
          <w:lang w:eastAsia="fr-FR" w:bidi="fr-FR"/>
        </w:rPr>
        <w:t>s</w:t>
      </w:r>
      <w:r w:rsidRPr="00246AE4">
        <w:rPr>
          <w:color w:val="000000"/>
          <w:lang w:eastAsia="fr-FR" w:bidi="fr-FR"/>
        </w:rPr>
        <w:t>ports, occupations industrielles aussi. Souvent le tenancier ou sa fe</w:t>
      </w:r>
      <w:r w:rsidRPr="00246AE4">
        <w:rPr>
          <w:color w:val="000000"/>
          <w:lang w:eastAsia="fr-FR" w:bidi="fr-FR"/>
        </w:rPr>
        <w:t>m</w:t>
      </w:r>
      <w:r w:rsidRPr="00246AE4">
        <w:rPr>
          <w:color w:val="000000"/>
          <w:lang w:eastAsia="fr-FR" w:bidi="fr-FR"/>
        </w:rPr>
        <w:t>me, soit dans l’atelier commun, que l’on appelait encore du vieux nom gréco-romain de gynécée, soit dans leur propre maison, étaient contraints d’employer de longues heures à la fabrication d’étoffes ou d’outils ; la matière première était ordinairement fournie par le se</w:t>
      </w:r>
      <w:r w:rsidRPr="00246AE4">
        <w:rPr>
          <w:color w:val="000000"/>
          <w:lang w:eastAsia="fr-FR" w:bidi="fr-FR"/>
        </w:rPr>
        <w:t>i</w:t>
      </w:r>
      <w:r w:rsidRPr="00246AE4">
        <w:rPr>
          <w:color w:val="000000"/>
          <w:lang w:eastAsia="fr-FR" w:bidi="fr-FR"/>
        </w:rPr>
        <w:t>gneur ; mais le corvéable, une fois de plus, devait sa peine et son hab</w:t>
      </w:r>
      <w:r w:rsidRPr="00246AE4">
        <w:rPr>
          <w:color w:val="000000"/>
          <w:lang w:eastAsia="fr-FR" w:bidi="fr-FR"/>
        </w:rPr>
        <w:t>i</w:t>
      </w:r>
      <w:r w:rsidRPr="00246AE4">
        <w:rPr>
          <w:color w:val="000000"/>
          <w:lang w:eastAsia="fr-FR" w:bidi="fr-FR"/>
        </w:rPr>
        <w:t>leté. Dans l’économie de la seigneurie, les tenures constituaient avant tout un réservoir de main-d’œuvre.</w:t>
      </w:r>
    </w:p>
    <w:p w14:paraId="5373F250" w14:textId="77777777" w:rsidR="00B9662D" w:rsidRPr="00246AE4" w:rsidRDefault="00B9662D" w:rsidP="00B9662D">
      <w:pPr>
        <w:spacing w:before="120" w:after="120"/>
        <w:jc w:val="both"/>
      </w:pPr>
      <w:r w:rsidRPr="00246AE4">
        <w:rPr>
          <w:color w:val="000000"/>
          <w:lang w:eastAsia="fr-FR" w:bidi="fr-FR"/>
        </w:rPr>
        <w:lastRenderedPageBreak/>
        <w:t xml:space="preserve">Au cours des </w:t>
      </w:r>
      <w:r w:rsidRPr="00F14C18">
        <w:rPr>
          <w:caps/>
          <w:color w:val="000000"/>
          <w:lang w:eastAsia="fr-FR" w:bidi="fr-FR"/>
        </w:rPr>
        <w:t>x</w:t>
      </w:r>
      <w:r w:rsidRPr="00246AE4">
        <w:rPr>
          <w:color w:val="000000"/>
          <w:vertAlign w:val="superscript"/>
          <w:lang w:eastAsia="fr-FR" w:bidi="fr-FR"/>
        </w:rPr>
        <w:t>e</w:t>
      </w:r>
      <w:r w:rsidRPr="00246AE4">
        <w:rPr>
          <w:color w:val="000000"/>
          <w:lang w:eastAsia="fr-FR" w:bidi="fr-FR"/>
        </w:rPr>
        <w:t xml:space="preserve">, </w:t>
      </w:r>
      <w:r w:rsidRPr="00F14C18">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et </w:t>
      </w:r>
      <w:r w:rsidRPr="00F14C18">
        <w:rPr>
          <w:caps/>
          <w:color w:val="000000"/>
          <w:lang w:eastAsia="fr-FR" w:bidi="fr-FR"/>
        </w:rPr>
        <w:t>x</w:t>
      </w:r>
      <w:r>
        <w:rPr>
          <w:caps/>
          <w:color w:val="000000"/>
          <w:lang w:eastAsia="fr-FR" w:bidi="fr-FR"/>
        </w:rPr>
        <w:t>II</w:t>
      </w:r>
      <w:r w:rsidRPr="00246AE4">
        <w:rPr>
          <w:color w:val="000000"/>
          <w:vertAlign w:val="superscript"/>
          <w:lang w:eastAsia="fr-FR" w:bidi="fr-FR"/>
        </w:rPr>
        <w:t>e</w:t>
      </w:r>
      <w:r w:rsidRPr="00246AE4">
        <w:rPr>
          <w:color w:val="000000"/>
          <w:lang w:eastAsia="fr-FR" w:bidi="fr-FR"/>
        </w:rPr>
        <w:t xml:space="preserve"> siècles, ce sy</w:t>
      </w:r>
      <w:r>
        <w:rPr>
          <w:color w:val="000000"/>
          <w:lang w:eastAsia="fr-FR" w:bidi="fr-FR"/>
        </w:rPr>
        <w:t>s</w:t>
      </w:r>
      <w:r w:rsidRPr="00246AE4">
        <w:rPr>
          <w:color w:val="000000"/>
          <w:lang w:eastAsia="fr-FR" w:bidi="fr-FR"/>
        </w:rPr>
        <w:t>tème céda peu à peu la place à une organisation toute différente. Le changement apparaît a</w:t>
      </w:r>
      <w:r w:rsidRPr="00246AE4">
        <w:rPr>
          <w:color w:val="000000"/>
          <w:lang w:eastAsia="fr-FR" w:bidi="fr-FR"/>
        </w:rPr>
        <w:t>c</w:t>
      </w:r>
      <w:r w:rsidRPr="00246AE4">
        <w:rPr>
          <w:color w:val="000000"/>
          <w:lang w:eastAsia="fr-FR" w:bidi="fr-FR"/>
        </w:rPr>
        <w:t>compli dans la plus grande partie de la France, vers l’an 1200. Les portions du domaine dont la culture jadis incombait aux tenanciers ont été réunies par ceux-ci à leurs propres tenures ; ce n’est plus que sous la forme détournée de redevances que le seigneur a quelque part à leurs produits. Les services de fabrication ont totalement disparu.</w:t>
      </w:r>
    </w:p>
    <w:p w14:paraId="2223BBA9" w14:textId="77777777" w:rsidR="00B9662D" w:rsidRPr="00246AE4" w:rsidRDefault="00B9662D" w:rsidP="00B9662D">
      <w:pPr>
        <w:spacing w:before="120" w:after="120"/>
        <w:jc w:val="both"/>
      </w:pPr>
      <w:r w:rsidRPr="00246AE4">
        <w:rPr>
          <w:color w:val="000000"/>
          <w:lang w:eastAsia="fr-FR" w:bidi="fr-FR"/>
        </w:rPr>
        <w:t>En certains lieux, les corvées agricoles ont de même cessé d’être exigées. Ailleurs et plus souvent elles subsistent ; mais elles se rédu</w:t>
      </w:r>
      <w:r w:rsidRPr="00246AE4">
        <w:rPr>
          <w:color w:val="000000"/>
          <w:lang w:eastAsia="fr-FR" w:bidi="fr-FR"/>
        </w:rPr>
        <w:t>i</w:t>
      </w:r>
      <w:r w:rsidRPr="00246AE4">
        <w:rPr>
          <w:color w:val="000000"/>
          <w:lang w:eastAsia="fr-FR" w:bidi="fr-FR"/>
        </w:rPr>
        <w:t>sent désormais à un très petit nombre de journées par an. C’est que l’étendue du domaine, là même où il y a encore un domaine, a cons</w:t>
      </w:r>
      <w:r w:rsidRPr="00246AE4">
        <w:rPr>
          <w:color w:val="000000"/>
          <w:lang w:eastAsia="fr-FR" w:bidi="fr-FR"/>
        </w:rPr>
        <w:t>i</w:t>
      </w:r>
      <w:r w:rsidRPr="00246AE4">
        <w:rPr>
          <w:color w:val="000000"/>
          <w:lang w:eastAsia="fr-FR" w:bidi="fr-FR"/>
        </w:rPr>
        <w:t xml:space="preserve">dérablement diminué ; une bonne grosse ferme s’est substituée à un </w:t>
      </w:r>
      <w:r w:rsidRPr="00CC43F0">
        <w:rPr>
          <w:i/>
        </w:rPr>
        <w:t>latifundium</w:t>
      </w:r>
      <w:r w:rsidRPr="00246AE4">
        <w:t xml:space="preserve">. </w:t>
      </w:r>
      <w:r w:rsidRPr="00246AE4">
        <w:rPr>
          <w:color w:val="000000"/>
          <w:lang w:eastAsia="fr-FR" w:bidi="fr-FR"/>
        </w:rPr>
        <w:t xml:space="preserve">Morceau par morceau, l’antique </w:t>
      </w:r>
      <w:r w:rsidRPr="00CC43F0">
        <w:rPr>
          <w:i/>
        </w:rPr>
        <w:t>indominicatum</w:t>
      </w:r>
      <w:r w:rsidRPr="00246AE4">
        <w:rPr>
          <w:color w:val="000000"/>
          <w:lang w:eastAsia="fr-FR" w:bidi="fr-FR"/>
        </w:rPr>
        <w:t xml:space="preserve"> a été di</w:t>
      </w:r>
      <w:r w:rsidRPr="00246AE4">
        <w:rPr>
          <w:color w:val="000000"/>
          <w:lang w:eastAsia="fr-FR" w:bidi="fr-FR"/>
        </w:rPr>
        <w:t>s</w:t>
      </w:r>
      <w:r w:rsidRPr="00246AE4">
        <w:rPr>
          <w:color w:val="000000"/>
          <w:lang w:eastAsia="fr-FR" w:bidi="fr-FR"/>
        </w:rPr>
        <w:t>tribué, moyennant les charges usuelles, soit aux anciens tenanciers, qui ont vu ainsi leurs biens notablement accrus, soit à des tenanciers nouveaux ; et la même méthode de mise en valeur, par allotissements, a été appliquée à la plus grande partie des landes, des steppes et des forêts qui ont été livrées, sur de vastes espaces, au défrichement. Le seigneur, lors même qu’il se réserve encore l’exploitation directe de quelques champs, tire dorénavant ses principaux revenus de la rente du sol.</w:t>
      </w:r>
    </w:p>
    <w:p w14:paraId="4FE2F8A4" w14:textId="77777777" w:rsidR="00B9662D" w:rsidRPr="00246AE4" w:rsidRDefault="00B9662D" w:rsidP="00B9662D">
      <w:pPr>
        <w:spacing w:before="120" w:after="120"/>
        <w:jc w:val="both"/>
      </w:pPr>
      <w:r w:rsidRPr="00246AE4">
        <w:rPr>
          <w:color w:val="000000"/>
          <w:lang w:eastAsia="fr-FR" w:bidi="fr-FR"/>
        </w:rPr>
        <w:t>En France même, il est vraisemblable que l’évolution dont les grandes</w:t>
      </w:r>
      <w:r>
        <w:t xml:space="preserve"> [672] </w:t>
      </w:r>
      <w:r w:rsidRPr="00246AE4">
        <w:rPr>
          <w:color w:val="000000"/>
          <w:lang w:eastAsia="fr-FR" w:bidi="fr-FR"/>
        </w:rPr>
        <w:t>lignes viennent d’être rappelées n’obéit pas à un rythme en tous lieux uniforme ; selon les contrées, elle fut poussée plus ou moins loin ; surtout elle s’opéra à des dates variables. Si de la France nous passons à l’Europe, ces disparités deviennent plus sensibles e</w:t>
      </w:r>
      <w:r w:rsidRPr="00246AE4">
        <w:rPr>
          <w:color w:val="000000"/>
          <w:lang w:eastAsia="fr-FR" w:bidi="fr-FR"/>
        </w:rPr>
        <w:t>n</w:t>
      </w:r>
      <w:r w:rsidRPr="00246AE4">
        <w:rPr>
          <w:color w:val="000000"/>
          <w:lang w:eastAsia="fr-FR" w:bidi="fr-FR"/>
        </w:rPr>
        <w:t>core. Presque partout, semble-t-il, le seigneur, de grand exploitant, se mua en rentier. Mais ce ne fut point partout au même temps. En Italie, la métamorphose paraît s’être achevée aussi tôt qu’en France, sinon plus tôt ; en Allemagne, de façon générale, un peu après ; en Anglete</w:t>
      </w:r>
      <w:r w:rsidRPr="00246AE4">
        <w:rPr>
          <w:color w:val="000000"/>
          <w:lang w:eastAsia="fr-FR" w:bidi="fr-FR"/>
        </w:rPr>
        <w:t>r</w:t>
      </w:r>
      <w:r w:rsidRPr="00246AE4">
        <w:rPr>
          <w:color w:val="000000"/>
          <w:lang w:eastAsia="fr-FR" w:bidi="fr-FR"/>
        </w:rPr>
        <w:t>re, un bon siècle plus tard. Du moins voilà les grossières approxim</w:t>
      </w:r>
      <w:r w:rsidRPr="00246AE4">
        <w:rPr>
          <w:color w:val="000000"/>
          <w:lang w:eastAsia="fr-FR" w:bidi="fr-FR"/>
        </w:rPr>
        <w:t>a</w:t>
      </w:r>
      <w:r w:rsidRPr="00246AE4">
        <w:rPr>
          <w:color w:val="000000"/>
          <w:lang w:eastAsia="fr-FR" w:bidi="fr-FR"/>
        </w:rPr>
        <w:t>tions que suggère l’état actuel des recherches, tel qu’il se reflète dans une litt</w:t>
      </w:r>
      <w:r w:rsidRPr="00246AE4">
        <w:rPr>
          <w:color w:val="000000"/>
          <w:lang w:eastAsia="fr-FR" w:bidi="fr-FR"/>
        </w:rPr>
        <w:t>é</w:t>
      </w:r>
      <w:r w:rsidRPr="00246AE4">
        <w:rPr>
          <w:color w:val="000000"/>
          <w:lang w:eastAsia="fr-FR" w:bidi="fr-FR"/>
        </w:rPr>
        <w:t>rature très dispersée, où souvent le problème manque à être pris corps à corps. Je ne les présente ici qu’à titre de conjectures, v</w:t>
      </w:r>
      <w:r w:rsidRPr="00246AE4">
        <w:rPr>
          <w:color w:val="000000"/>
          <w:lang w:eastAsia="fr-FR" w:bidi="fr-FR"/>
        </w:rPr>
        <w:t>o</w:t>
      </w:r>
      <w:r w:rsidRPr="00246AE4">
        <w:rPr>
          <w:color w:val="000000"/>
          <w:lang w:eastAsia="fr-FR" w:bidi="fr-FR"/>
        </w:rPr>
        <w:t>lontairement dépourvues de toutes nuances ; leur seul intérêt sera de fixer les idées, et, s’il se peut, de provoquer d’immédiates rectific</w:t>
      </w:r>
      <w:r w:rsidRPr="00246AE4">
        <w:rPr>
          <w:color w:val="000000"/>
          <w:lang w:eastAsia="fr-FR" w:bidi="fr-FR"/>
        </w:rPr>
        <w:t>a</w:t>
      </w:r>
      <w:r w:rsidRPr="00246AE4">
        <w:rPr>
          <w:color w:val="000000"/>
          <w:lang w:eastAsia="fr-FR" w:bidi="fr-FR"/>
        </w:rPr>
        <w:t>tions. Leur insuff</w:t>
      </w:r>
      <w:r w:rsidRPr="00246AE4">
        <w:rPr>
          <w:color w:val="000000"/>
          <w:lang w:eastAsia="fr-FR" w:bidi="fr-FR"/>
        </w:rPr>
        <w:t>i</w:t>
      </w:r>
      <w:r w:rsidRPr="00246AE4">
        <w:rPr>
          <w:color w:val="000000"/>
          <w:lang w:eastAsia="fr-FR" w:bidi="fr-FR"/>
        </w:rPr>
        <w:t xml:space="preserve">sance, en effet, saute aux yeux. D’abord parce que ces mots d’Italie, d’Allemagne, d’Angleterre, pas plus que celui de </w:t>
      </w:r>
      <w:r w:rsidRPr="00246AE4">
        <w:rPr>
          <w:color w:val="000000"/>
          <w:lang w:eastAsia="fr-FR" w:bidi="fr-FR"/>
        </w:rPr>
        <w:lastRenderedPageBreak/>
        <w:t>France, ne répo</w:t>
      </w:r>
      <w:r w:rsidRPr="00246AE4">
        <w:rPr>
          <w:color w:val="000000"/>
          <w:lang w:eastAsia="fr-FR" w:bidi="fr-FR"/>
        </w:rPr>
        <w:t>n</w:t>
      </w:r>
      <w:r w:rsidRPr="00246AE4">
        <w:rPr>
          <w:color w:val="000000"/>
          <w:lang w:eastAsia="fr-FR" w:bidi="fr-FR"/>
        </w:rPr>
        <w:t>dent à des réalités sociales véritables. C’est région par région que les faits demanderaient à être décrits : comment confondre dans une m</w:t>
      </w:r>
      <w:r w:rsidRPr="00246AE4">
        <w:rPr>
          <w:color w:val="000000"/>
          <w:lang w:eastAsia="fr-FR" w:bidi="fr-FR"/>
        </w:rPr>
        <w:t>ê</w:t>
      </w:r>
      <w:r w:rsidRPr="00246AE4">
        <w:rPr>
          <w:color w:val="000000"/>
          <w:lang w:eastAsia="fr-FR" w:bidi="fr-FR"/>
        </w:rPr>
        <w:t>me image la vieille Allemagne du Rhin et les jeunes territoires de c</w:t>
      </w:r>
      <w:r w:rsidRPr="00246AE4">
        <w:rPr>
          <w:color w:val="000000"/>
          <w:lang w:eastAsia="fr-FR" w:bidi="fr-FR"/>
        </w:rPr>
        <w:t>o</w:t>
      </w:r>
      <w:r w:rsidRPr="00246AE4">
        <w:rPr>
          <w:color w:val="000000"/>
          <w:lang w:eastAsia="fr-FR" w:bidi="fr-FR"/>
        </w:rPr>
        <w:t>lonisation au</w:t>
      </w:r>
      <w:r>
        <w:rPr>
          <w:color w:val="000000"/>
          <w:lang w:eastAsia="fr-FR" w:bidi="fr-FR"/>
        </w:rPr>
        <w:t>-</w:t>
      </w:r>
      <w:r w:rsidRPr="00246AE4">
        <w:rPr>
          <w:color w:val="000000"/>
          <w:lang w:eastAsia="fr-FR" w:bidi="fr-FR"/>
        </w:rPr>
        <w:t>delà de l’Elbe ? la Toscane et l’Italie du Sud ? la France du Nord et du Centre avec ces provinces méditerranéennes ou pyr</w:t>
      </w:r>
      <w:r w:rsidRPr="00246AE4">
        <w:rPr>
          <w:color w:val="000000"/>
          <w:lang w:eastAsia="fr-FR" w:bidi="fr-FR"/>
        </w:rPr>
        <w:t>é</w:t>
      </w:r>
      <w:r w:rsidRPr="00246AE4">
        <w:rPr>
          <w:color w:val="000000"/>
          <w:lang w:eastAsia="fr-FR" w:bidi="fr-FR"/>
        </w:rPr>
        <w:t>néennes, dont la structure sociale s’opposait à celle des contrées plus septentrionales par des contrastes si vifs ? Puis, dans chacune des aires relativement restreintes dont l’étude d</w:t>
      </w:r>
      <w:r w:rsidRPr="00246AE4">
        <w:rPr>
          <w:color w:val="000000"/>
          <w:lang w:eastAsia="fr-FR" w:bidi="fr-FR"/>
        </w:rPr>
        <w:t>é</w:t>
      </w:r>
      <w:r w:rsidRPr="00246AE4">
        <w:rPr>
          <w:color w:val="000000"/>
          <w:lang w:eastAsia="fr-FR" w:bidi="fr-FR"/>
        </w:rPr>
        <w:t>taillée s’avère indispensable, le phénomène devrait être daté avec a</w:t>
      </w:r>
      <w:r w:rsidRPr="00246AE4">
        <w:rPr>
          <w:color w:val="000000"/>
          <w:lang w:eastAsia="fr-FR" w:bidi="fr-FR"/>
        </w:rPr>
        <w:t>u</w:t>
      </w:r>
      <w:r w:rsidRPr="00246AE4">
        <w:rPr>
          <w:color w:val="000000"/>
          <w:lang w:eastAsia="fr-FR" w:bidi="fr-FR"/>
        </w:rPr>
        <w:t>tant de précision que les textes le permettent, et son ampleur soigne</w:t>
      </w:r>
      <w:r w:rsidRPr="00246AE4">
        <w:rPr>
          <w:color w:val="000000"/>
          <w:lang w:eastAsia="fr-FR" w:bidi="fr-FR"/>
        </w:rPr>
        <w:t>u</w:t>
      </w:r>
      <w:r w:rsidRPr="00246AE4">
        <w:rPr>
          <w:color w:val="000000"/>
          <w:lang w:eastAsia="fr-FR" w:bidi="fr-FR"/>
        </w:rPr>
        <w:t>sement mesurée. Si trop souvent les phases mêmes du développement sont condamnées à rester dans l’ombre, il est en général possible d’établir qu’à partir d’un moment donné la transformation était chose faite. Nous ne connaissons, il est vrai, que rarement, par des états chi</w:t>
      </w:r>
      <w:r w:rsidRPr="00246AE4">
        <w:rPr>
          <w:color w:val="000000"/>
          <w:lang w:eastAsia="fr-FR" w:bidi="fr-FR"/>
        </w:rPr>
        <w:t>f</w:t>
      </w:r>
      <w:r w:rsidRPr="00246AE4">
        <w:rPr>
          <w:color w:val="000000"/>
          <w:lang w:eastAsia="fr-FR" w:bidi="fr-FR"/>
        </w:rPr>
        <w:t>frés, l’étendue respective du domaine et des tenures. Par contre, cha</w:t>
      </w:r>
      <w:r w:rsidRPr="00246AE4">
        <w:rPr>
          <w:color w:val="000000"/>
          <w:lang w:eastAsia="fr-FR" w:bidi="fr-FR"/>
        </w:rPr>
        <w:t>r</w:t>
      </w:r>
      <w:r w:rsidRPr="00246AE4">
        <w:rPr>
          <w:color w:val="000000"/>
          <w:lang w:eastAsia="fr-FR" w:bidi="fr-FR"/>
        </w:rPr>
        <w:t>tes et censiers nous renseignent à l’ordinaire assez exactement sur les corvées. Or le nombre des jou</w:t>
      </w:r>
      <w:r w:rsidRPr="00246AE4">
        <w:rPr>
          <w:color w:val="000000"/>
          <w:lang w:eastAsia="fr-FR" w:bidi="fr-FR"/>
        </w:rPr>
        <w:t>r</w:t>
      </w:r>
      <w:r w:rsidRPr="00246AE4">
        <w:rPr>
          <w:color w:val="000000"/>
          <w:lang w:eastAsia="fr-FR" w:bidi="fr-FR"/>
        </w:rPr>
        <w:t>nées de travail exigées était forcément fonction de la superficie du domaine</w:t>
      </w:r>
      <w:r>
        <w:rPr>
          <w:color w:val="000000"/>
          <w:lang w:eastAsia="fr-FR" w:bidi="fr-FR"/>
        </w:rPr>
        <w:t> — </w:t>
      </w:r>
      <w:r w:rsidRPr="00246AE4">
        <w:rPr>
          <w:color w:val="000000"/>
          <w:lang w:eastAsia="fr-FR" w:bidi="fr-FR"/>
        </w:rPr>
        <w:t>à moins toutefois que le se</w:t>
      </w:r>
      <w:r w:rsidRPr="00246AE4">
        <w:rPr>
          <w:color w:val="000000"/>
          <w:lang w:eastAsia="fr-FR" w:bidi="fr-FR"/>
        </w:rPr>
        <w:t>i</w:t>
      </w:r>
      <w:r w:rsidRPr="00246AE4">
        <w:rPr>
          <w:color w:val="000000"/>
          <w:lang w:eastAsia="fr-FR" w:bidi="fr-FR"/>
        </w:rPr>
        <w:t>gneur ne pût disposer de quelque autre source de main-d’œuvre : e</w:t>
      </w:r>
      <w:r w:rsidRPr="00246AE4">
        <w:rPr>
          <w:color w:val="000000"/>
          <w:lang w:eastAsia="fr-FR" w:bidi="fr-FR"/>
        </w:rPr>
        <w:t>s</w:t>
      </w:r>
      <w:r w:rsidRPr="00246AE4">
        <w:rPr>
          <w:color w:val="000000"/>
          <w:lang w:eastAsia="fr-FR" w:bidi="fr-FR"/>
        </w:rPr>
        <w:t>clavage, prolétariat agricole, services domestiques obligatoires des fils de tenanciers. Mais ces cas étaient assez rares, et, de toute</w:t>
      </w:r>
      <w:r>
        <w:rPr>
          <w:color w:val="000000"/>
          <w:lang w:eastAsia="fr-FR" w:bidi="fr-FR"/>
        </w:rPr>
        <w:t xml:space="preserve"> façon</w:t>
      </w:r>
      <w:r w:rsidRPr="00246AE4">
        <w:rPr>
          <w:color w:val="000000"/>
          <w:lang w:eastAsia="fr-FR" w:bidi="fr-FR"/>
        </w:rPr>
        <w:t>, leur possibilité peut être exam</w:t>
      </w:r>
      <w:r w:rsidRPr="00246AE4">
        <w:rPr>
          <w:color w:val="000000"/>
          <w:lang w:eastAsia="fr-FR" w:bidi="fr-FR"/>
        </w:rPr>
        <w:t>i</w:t>
      </w:r>
      <w:r w:rsidRPr="00246AE4">
        <w:rPr>
          <w:color w:val="000000"/>
          <w:lang w:eastAsia="fr-FR" w:bidi="fr-FR"/>
        </w:rPr>
        <w:t>née. Aussi bien, s’il était loisible d’ores et déjà d’arriver à des concl</w:t>
      </w:r>
      <w:r w:rsidRPr="00246AE4">
        <w:rPr>
          <w:color w:val="000000"/>
          <w:lang w:eastAsia="fr-FR" w:bidi="fr-FR"/>
        </w:rPr>
        <w:t>u</w:t>
      </w:r>
      <w:r w:rsidRPr="00246AE4">
        <w:rPr>
          <w:color w:val="000000"/>
          <w:lang w:eastAsia="fr-FR" w:bidi="fr-FR"/>
        </w:rPr>
        <w:t>sions certaines, la présente communication n’aurait plus d’objet : car son dessein avoué est de provoquer une e</w:t>
      </w:r>
      <w:r w:rsidRPr="00246AE4">
        <w:rPr>
          <w:color w:val="000000"/>
          <w:lang w:eastAsia="fr-FR" w:bidi="fr-FR"/>
        </w:rPr>
        <w:t>n</w:t>
      </w:r>
      <w:r w:rsidRPr="00246AE4">
        <w:rPr>
          <w:color w:val="000000"/>
          <w:lang w:eastAsia="fr-FR" w:bidi="fr-FR"/>
        </w:rPr>
        <w:t>quête.</w:t>
      </w:r>
    </w:p>
    <w:p w14:paraId="516998E6" w14:textId="77777777" w:rsidR="00B9662D" w:rsidRDefault="00B9662D" w:rsidP="00B9662D">
      <w:pPr>
        <w:pStyle w:val="c"/>
        <w:rPr>
          <w:lang w:eastAsia="fr-FR" w:bidi="fr-FR"/>
        </w:rPr>
      </w:pPr>
      <w:r>
        <w:rPr>
          <w:lang w:eastAsia="fr-FR" w:bidi="fr-FR"/>
        </w:rPr>
        <w:t>*</w:t>
      </w:r>
      <w:r>
        <w:rPr>
          <w:lang w:eastAsia="fr-FR" w:bidi="fr-FR"/>
        </w:rPr>
        <w:br/>
        <w:t>*     *</w:t>
      </w:r>
    </w:p>
    <w:p w14:paraId="5B1B89EB" w14:textId="77777777" w:rsidR="00B9662D" w:rsidRPr="00246AE4" w:rsidRDefault="00B9662D" w:rsidP="00B9662D">
      <w:pPr>
        <w:spacing w:before="120" w:after="120"/>
        <w:jc w:val="both"/>
      </w:pPr>
      <w:r w:rsidRPr="00246AE4">
        <w:rPr>
          <w:color w:val="000000"/>
          <w:lang w:eastAsia="fr-FR" w:bidi="fr-FR"/>
        </w:rPr>
        <w:t>De cette enquête, d’autre part, comment nier la nécessité ? En elle-même, une altération aussi profonde de l’organisme seigneurial appe</w:t>
      </w:r>
      <w:r w:rsidRPr="00246AE4">
        <w:rPr>
          <w:color w:val="000000"/>
          <w:lang w:eastAsia="fr-FR" w:bidi="fr-FR"/>
        </w:rPr>
        <w:t>l</w:t>
      </w:r>
      <w:r w:rsidRPr="00246AE4">
        <w:rPr>
          <w:color w:val="000000"/>
          <w:lang w:eastAsia="fr-FR" w:bidi="fr-FR"/>
        </w:rPr>
        <w:t>le, en tous pays, une étude poussée ; l’histoire de la classe nobiliaire aussi bien que celle des classes paysannes y sont étroitement intére</w:t>
      </w:r>
      <w:r w:rsidRPr="00246AE4">
        <w:rPr>
          <w:color w:val="000000"/>
          <w:lang w:eastAsia="fr-FR" w:bidi="fr-FR"/>
        </w:rPr>
        <w:t>s</w:t>
      </w:r>
      <w:r w:rsidRPr="00246AE4">
        <w:rPr>
          <w:color w:val="000000"/>
          <w:lang w:eastAsia="fr-FR" w:bidi="fr-FR"/>
        </w:rPr>
        <w:t>sées. Il y a plus. Seules des recherches étendues à tout l’espace où, tantôt de bonne heure, tantôt plus tard, jusqu’au plein achèvement ou bien arrêté</w:t>
      </w:r>
      <w:r>
        <w:t xml:space="preserve"> [673] </w:t>
      </w:r>
      <w:r w:rsidRPr="00246AE4">
        <w:rPr>
          <w:color w:val="000000"/>
          <w:lang w:eastAsia="fr-FR" w:bidi="fr-FR"/>
        </w:rPr>
        <w:t>à mi-chemin, on vit le phénomène se dérouler, pou</w:t>
      </w:r>
      <w:r w:rsidRPr="00246AE4">
        <w:rPr>
          <w:color w:val="000000"/>
          <w:lang w:eastAsia="fr-FR" w:bidi="fr-FR"/>
        </w:rPr>
        <w:t>r</w:t>
      </w:r>
      <w:r w:rsidRPr="00246AE4">
        <w:rPr>
          <w:color w:val="000000"/>
          <w:lang w:eastAsia="fr-FR" w:bidi="fr-FR"/>
        </w:rPr>
        <w:t>ront nous pe</w:t>
      </w:r>
      <w:r w:rsidRPr="00246AE4">
        <w:rPr>
          <w:color w:val="000000"/>
          <w:lang w:eastAsia="fr-FR" w:bidi="fr-FR"/>
        </w:rPr>
        <w:t>r</w:t>
      </w:r>
      <w:r w:rsidRPr="00246AE4">
        <w:rPr>
          <w:color w:val="000000"/>
          <w:lang w:eastAsia="fr-FR" w:bidi="fr-FR"/>
        </w:rPr>
        <w:t>mettre d’en atteindre les causes. Car les causes possibles sont mult</w:t>
      </w:r>
      <w:r w:rsidRPr="00246AE4">
        <w:rPr>
          <w:color w:val="000000"/>
          <w:lang w:eastAsia="fr-FR" w:bidi="fr-FR"/>
        </w:rPr>
        <w:t>i</w:t>
      </w:r>
      <w:r w:rsidRPr="00246AE4">
        <w:rPr>
          <w:color w:val="000000"/>
          <w:lang w:eastAsia="fr-FR" w:bidi="fr-FR"/>
        </w:rPr>
        <w:t>ples.</w:t>
      </w:r>
    </w:p>
    <w:p w14:paraId="4A86D875" w14:textId="77777777" w:rsidR="00B9662D" w:rsidRPr="00246AE4" w:rsidRDefault="00B9662D" w:rsidP="00B9662D">
      <w:pPr>
        <w:spacing w:before="120" w:after="120"/>
        <w:jc w:val="both"/>
      </w:pPr>
      <w:r>
        <w:rPr>
          <w:color w:val="000000"/>
          <w:lang w:eastAsia="fr-FR" w:bidi="fr-FR"/>
        </w:rPr>
        <w:br w:type="page"/>
      </w:r>
      <w:r w:rsidRPr="00246AE4">
        <w:rPr>
          <w:color w:val="000000"/>
          <w:lang w:eastAsia="fr-FR" w:bidi="fr-FR"/>
        </w:rPr>
        <w:lastRenderedPageBreak/>
        <w:t>Il semble naturel, à première vue, de mettre en rapport l’amenuisement du domaine avec les grandes transformations écon</w:t>
      </w:r>
      <w:r w:rsidRPr="00246AE4">
        <w:rPr>
          <w:color w:val="000000"/>
          <w:lang w:eastAsia="fr-FR" w:bidi="fr-FR"/>
        </w:rPr>
        <w:t>o</w:t>
      </w:r>
      <w:r w:rsidRPr="00246AE4">
        <w:rPr>
          <w:color w:val="000000"/>
          <w:lang w:eastAsia="fr-FR" w:bidi="fr-FR"/>
        </w:rPr>
        <w:t>miques du même temps : « renaissance » du commerce et des métiers, progrès de l’économie argent. Ne savons-nous pas, de source sûre ce</w:t>
      </w:r>
      <w:r w:rsidRPr="00246AE4">
        <w:rPr>
          <w:color w:val="000000"/>
          <w:lang w:eastAsia="fr-FR" w:bidi="fr-FR"/>
        </w:rPr>
        <w:t>t</w:t>
      </w:r>
      <w:r w:rsidRPr="00246AE4">
        <w:rPr>
          <w:color w:val="000000"/>
          <w:lang w:eastAsia="fr-FR" w:bidi="fr-FR"/>
        </w:rPr>
        <w:t>te fois, qu’un fait d’ordre monétaire</w:t>
      </w:r>
      <w:r>
        <w:rPr>
          <w:color w:val="000000"/>
          <w:lang w:eastAsia="fr-FR" w:bidi="fr-FR"/>
        </w:rPr>
        <w:t> — </w:t>
      </w:r>
      <w:r w:rsidRPr="00246AE4">
        <w:rPr>
          <w:color w:val="000000"/>
          <w:lang w:eastAsia="fr-FR" w:bidi="fr-FR"/>
        </w:rPr>
        <w:t>la dévaluation des redeva</w:t>
      </w:r>
      <w:r w:rsidRPr="00246AE4">
        <w:rPr>
          <w:color w:val="000000"/>
          <w:lang w:eastAsia="fr-FR" w:bidi="fr-FR"/>
        </w:rPr>
        <w:t>n</w:t>
      </w:r>
      <w:r w:rsidRPr="00246AE4">
        <w:rPr>
          <w:color w:val="000000"/>
          <w:lang w:eastAsia="fr-FR" w:bidi="fr-FR"/>
        </w:rPr>
        <w:t>ces</w:t>
      </w:r>
      <w:r>
        <w:rPr>
          <w:color w:val="000000"/>
          <w:lang w:eastAsia="fr-FR" w:bidi="fr-FR"/>
        </w:rPr>
        <w:t> — </w:t>
      </w:r>
      <w:r w:rsidRPr="00246AE4">
        <w:rPr>
          <w:color w:val="000000"/>
          <w:lang w:eastAsia="fr-FR" w:bidi="fr-FR"/>
        </w:rPr>
        <w:t xml:space="preserve">provoqua, quelques siècles plus tard, un mouvement en sens inverse de celui qui vient d’être décrit ? Ce fut parce que leurs rentes avaient été réduites à une valeur réelle de plus en plus faible, que les seigneurs, à partir du </w:t>
      </w:r>
      <w:r w:rsidRPr="00EC28CE">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 dans toute l’Europe, tentèrent, avec plus ou moins de succès, de revenir à l’exploitation directe, s’efforçant, selon le langage familier aux historiens allemands, de pa</w:t>
      </w:r>
      <w:r w:rsidRPr="00246AE4">
        <w:rPr>
          <w:color w:val="000000"/>
          <w:lang w:eastAsia="fr-FR" w:bidi="fr-FR"/>
        </w:rPr>
        <w:t>s</w:t>
      </w:r>
      <w:r w:rsidRPr="00246AE4">
        <w:rPr>
          <w:color w:val="000000"/>
          <w:lang w:eastAsia="fr-FR" w:bidi="fr-FR"/>
        </w:rPr>
        <w:t xml:space="preserve">ser de la </w:t>
      </w:r>
      <w:r w:rsidRPr="00CC43F0">
        <w:rPr>
          <w:i/>
        </w:rPr>
        <w:t>Grundherrschaft</w:t>
      </w:r>
      <w:r w:rsidRPr="00246AE4">
        <w:rPr>
          <w:color w:val="000000"/>
          <w:lang w:eastAsia="fr-FR" w:bidi="fr-FR"/>
        </w:rPr>
        <w:t xml:space="preserve"> à la </w:t>
      </w:r>
      <w:r w:rsidRPr="00CC43F0">
        <w:rPr>
          <w:i/>
        </w:rPr>
        <w:t>Gutsherrschaft</w:t>
      </w:r>
      <w:r w:rsidRPr="00246AE4">
        <w:t>.</w:t>
      </w:r>
      <w:r w:rsidRPr="00246AE4">
        <w:rPr>
          <w:color w:val="000000"/>
          <w:lang w:eastAsia="fr-FR" w:bidi="fr-FR"/>
        </w:rPr>
        <w:t xml:space="preserve"> Mais au Moyen </w:t>
      </w:r>
      <w:r>
        <w:rPr>
          <w:color w:val="000000"/>
          <w:lang w:eastAsia="fr-FR" w:bidi="fr-FR"/>
        </w:rPr>
        <w:t>Â</w:t>
      </w:r>
      <w:r w:rsidRPr="00246AE4">
        <w:rPr>
          <w:color w:val="000000"/>
          <w:lang w:eastAsia="fr-FR" w:bidi="fr-FR"/>
        </w:rPr>
        <w:t>ge, la difficulté où nous sommes de fixer les stades d’une évolution qui s’est produite, pour une large part, au cours de la période la plus pauvre en documents écrits, nous empêche de distinguer aisément les effets des causes. Fut-ce parce que le seigneur pouvait désormais se procurer sur les marchés des objets fabriqués qu’il renonça à exiger les corvées de fabrication ? ou au contraire, ne se tourna-t-il vers les marchés que parce que les tenanciers avaient cessé de lui fournir outils et étoffes ? Abandonna-t-il la culture en grand du blé parce que les modifications de l’économie lui faisaient dorénavant considérer comme plus simple et plus lucratif de demander à des redevances l’argent qui lui perme</w:t>
      </w:r>
      <w:r w:rsidRPr="00246AE4">
        <w:rPr>
          <w:color w:val="000000"/>
          <w:lang w:eastAsia="fr-FR" w:bidi="fr-FR"/>
        </w:rPr>
        <w:t>t</w:t>
      </w:r>
      <w:r w:rsidRPr="00246AE4">
        <w:rPr>
          <w:color w:val="000000"/>
          <w:lang w:eastAsia="fr-FR" w:bidi="fr-FR"/>
        </w:rPr>
        <w:t>trait d’acheter le blé ? Peut-être. N’oublions pas cependant que nous ignorons le moment exact où se précipita le morcellement de la rése</w:t>
      </w:r>
      <w:r w:rsidRPr="00246AE4">
        <w:rPr>
          <w:color w:val="000000"/>
          <w:lang w:eastAsia="fr-FR" w:bidi="fr-FR"/>
        </w:rPr>
        <w:t>r</w:t>
      </w:r>
      <w:r w:rsidRPr="00246AE4">
        <w:rPr>
          <w:color w:val="000000"/>
          <w:lang w:eastAsia="fr-FR" w:bidi="fr-FR"/>
        </w:rPr>
        <w:t>ve. Il n’est pas impossible qu’il remontât à l’époque même du rale</w:t>
      </w:r>
      <w:r w:rsidRPr="00246AE4">
        <w:rPr>
          <w:color w:val="000000"/>
          <w:lang w:eastAsia="fr-FR" w:bidi="fr-FR"/>
        </w:rPr>
        <w:t>n</w:t>
      </w:r>
      <w:r w:rsidRPr="00246AE4">
        <w:rPr>
          <w:color w:val="000000"/>
          <w:lang w:eastAsia="fr-FR" w:bidi="fr-FR"/>
        </w:rPr>
        <w:t>tissement commercial le plus accentué, et ait alors trouvé son motif dans l’absence même de tout débouché pour les denrées agricoles ; le grand exploitant récoltait beaucoup plus de denrées qu’il ne pouvait en consommer lui-même ou en faire consommer par sa suite ; il devait être fort empêché de les écouler avec profit. Presque toutes les expl</w:t>
      </w:r>
      <w:r w:rsidRPr="00246AE4">
        <w:rPr>
          <w:color w:val="000000"/>
          <w:lang w:eastAsia="fr-FR" w:bidi="fr-FR"/>
        </w:rPr>
        <w:t>i</w:t>
      </w:r>
      <w:r w:rsidRPr="00246AE4">
        <w:rPr>
          <w:color w:val="000000"/>
          <w:lang w:eastAsia="fr-FR" w:bidi="fr-FR"/>
        </w:rPr>
        <w:t xml:space="preserve">cations d’ordre économique sont ainsi à double tranchant, faute, avant tout, de précisions chronologiques. Et reste encore la possibilité d’autres interprétations. Ne serait-ce pas tout bonnement en raison de difficultés administratives que les seigneurs en vinrent à préférer l’allotissement à l’exploitation directe ? Ils étaient personnellement peu aptes à cette lourde besogne de direction ; force leur était de se fier à des sergents ; et ceux-ci, rémunérés, comme les fonctionnaires royaux, par l’octroi de fiefs, qui bientôt devinrent, au même titre que l’office, héréditaires, étaient, comme les représentants du roi, souvent </w:t>
      </w:r>
      <w:r w:rsidRPr="00246AE4">
        <w:rPr>
          <w:color w:val="000000"/>
          <w:lang w:eastAsia="fr-FR" w:bidi="fr-FR"/>
        </w:rPr>
        <w:lastRenderedPageBreak/>
        <w:t>infidèles ; aux</w:t>
      </w:r>
      <w:r>
        <w:rPr>
          <w:color w:val="000000"/>
          <w:lang w:eastAsia="fr-FR" w:bidi="fr-FR"/>
        </w:rPr>
        <w:t xml:space="preserve"> yeux de l’abbé de Saint-</w:t>
      </w:r>
      <w:r w:rsidRPr="00246AE4">
        <w:rPr>
          <w:color w:val="000000"/>
          <w:lang w:eastAsia="fr-FR" w:bidi="fr-FR"/>
        </w:rPr>
        <w:t xml:space="preserve">Denis Suger, au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un domaine laissé à leur surveillance était visiblement une terre perdue...</w:t>
      </w:r>
    </w:p>
    <w:p w14:paraId="322AE369" w14:textId="77777777" w:rsidR="00B9662D" w:rsidRPr="00246AE4" w:rsidRDefault="00B9662D" w:rsidP="00B9662D">
      <w:pPr>
        <w:spacing w:before="120" w:after="120"/>
        <w:jc w:val="both"/>
      </w:pPr>
      <w:r w:rsidRPr="00246AE4">
        <w:rPr>
          <w:color w:val="000000"/>
          <w:lang w:eastAsia="fr-FR" w:bidi="fr-FR"/>
        </w:rPr>
        <w:t>Dans l’embarras où nous sommes ainsi acculés, il n’est qu’un r</w:t>
      </w:r>
      <w:r w:rsidRPr="00246AE4">
        <w:rPr>
          <w:color w:val="000000"/>
          <w:lang w:eastAsia="fr-FR" w:bidi="fr-FR"/>
        </w:rPr>
        <w:t>e</w:t>
      </w:r>
      <w:r w:rsidRPr="00246AE4">
        <w:rPr>
          <w:color w:val="000000"/>
          <w:lang w:eastAsia="fr-FR" w:bidi="fr-FR"/>
        </w:rPr>
        <w:t>cours : la comparaison. Car, lorsque nous serons parvenus à dater exactement les différentes évolutions régionales et à apprécier leur ampleur, il nous deviendra possible, comme par une expérience nat</w:t>
      </w:r>
      <w:r w:rsidRPr="00246AE4">
        <w:rPr>
          <w:color w:val="000000"/>
          <w:lang w:eastAsia="fr-FR" w:bidi="fr-FR"/>
        </w:rPr>
        <w:t>u</w:t>
      </w:r>
      <w:r w:rsidRPr="00246AE4">
        <w:rPr>
          <w:color w:val="000000"/>
          <w:lang w:eastAsia="fr-FR" w:bidi="fr-FR"/>
        </w:rPr>
        <w:t>relle, d’éliminer certains facteurs et de peser la valeur relative des a</w:t>
      </w:r>
      <w:r w:rsidRPr="00246AE4">
        <w:rPr>
          <w:color w:val="000000"/>
          <w:lang w:eastAsia="fr-FR" w:bidi="fr-FR"/>
        </w:rPr>
        <w:t>u</w:t>
      </w:r>
      <w:r w:rsidRPr="00246AE4">
        <w:rPr>
          <w:color w:val="000000"/>
          <w:lang w:eastAsia="fr-FR" w:bidi="fr-FR"/>
        </w:rPr>
        <w:t>tres. La discrimination des effets et des causes, à laquelle s’opposait, à l’intérieur d’une aire sociale limitée, l’absence de datations exactes, c’est au décalage des</w:t>
      </w:r>
      <w:r>
        <w:t xml:space="preserve"> [674] </w:t>
      </w:r>
      <w:r w:rsidRPr="00246AE4">
        <w:rPr>
          <w:color w:val="000000"/>
          <w:lang w:eastAsia="fr-FR" w:bidi="fr-FR"/>
        </w:rPr>
        <w:t>diverses courbes qu’il faut en demander le secret. Si, par exemple, le développement du commerce est à la base de l’affaiblissement de l’exploitation domaniale, les pays où le d</w:t>
      </w:r>
      <w:r w:rsidRPr="00246AE4">
        <w:rPr>
          <w:color w:val="000000"/>
          <w:lang w:eastAsia="fr-FR" w:bidi="fr-FR"/>
        </w:rPr>
        <w:t>o</w:t>
      </w:r>
      <w:r w:rsidRPr="00246AE4">
        <w:rPr>
          <w:color w:val="000000"/>
          <w:lang w:eastAsia="fr-FR" w:bidi="fr-FR"/>
        </w:rPr>
        <w:t>maine diminua</w:t>
      </w:r>
      <w:r>
        <w:rPr>
          <w:color w:val="000000"/>
          <w:lang w:eastAsia="fr-FR" w:bidi="fr-FR"/>
        </w:rPr>
        <w:t xml:space="preserve"> le plus tôt doivent être ceux </w:t>
      </w:r>
      <w:r w:rsidRPr="00246AE4">
        <w:rPr>
          <w:color w:val="000000"/>
          <w:lang w:eastAsia="fr-FR" w:bidi="fr-FR"/>
        </w:rPr>
        <w:t xml:space="preserve">mêmes qu’on vit tout d’abord renaître aux échanges. Si, dès le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l’infidélité des sergents était pour le seigneur a</w:t>
      </w:r>
      <w:r w:rsidRPr="00246AE4">
        <w:rPr>
          <w:color w:val="000000"/>
          <w:lang w:eastAsia="fr-FR" w:bidi="fr-FR"/>
        </w:rPr>
        <w:t>n</w:t>
      </w:r>
      <w:r w:rsidRPr="00246AE4">
        <w:rPr>
          <w:color w:val="000000"/>
          <w:lang w:eastAsia="fr-FR" w:bidi="fr-FR"/>
        </w:rPr>
        <w:t>glais un danger aussi grave que pour son voisin de France, elle ne saurait être retenue pour la cause déte</w:t>
      </w:r>
      <w:r w:rsidRPr="00246AE4">
        <w:rPr>
          <w:color w:val="000000"/>
          <w:lang w:eastAsia="fr-FR" w:bidi="fr-FR"/>
        </w:rPr>
        <w:t>r</w:t>
      </w:r>
      <w:r w:rsidRPr="00246AE4">
        <w:rPr>
          <w:color w:val="000000"/>
          <w:lang w:eastAsia="fr-FR" w:bidi="fr-FR"/>
        </w:rPr>
        <w:t>minante d’une transformation qui, en Angleterre, se dessinait alors à peine. Simples hypothèses que tout cela, pour l’instant. Elles ne sont présentées ici qu’afin de préciser l’intérêt de la recherche. Celle-ci ne saurait être l’œuvre d’un travai</w:t>
      </w:r>
      <w:r w:rsidRPr="00246AE4">
        <w:rPr>
          <w:color w:val="000000"/>
          <w:lang w:eastAsia="fr-FR" w:bidi="fr-FR"/>
        </w:rPr>
        <w:t>l</w:t>
      </w:r>
      <w:r w:rsidRPr="00246AE4">
        <w:rPr>
          <w:color w:val="000000"/>
          <w:lang w:eastAsia="fr-FR" w:bidi="fr-FR"/>
        </w:rPr>
        <w:t>leur isolé. Il y faut une enquête menée, sous des directives communes, par des savants de tous pays. Une fois de plus, la nécessité s’impose à nous d’unifier nos questionnaires.</w:t>
      </w:r>
    </w:p>
    <w:p w14:paraId="326303FE" w14:textId="77777777" w:rsidR="00B9662D" w:rsidRDefault="00B9662D" w:rsidP="00B9662D">
      <w:pPr>
        <w:spacing w:before="120" w:after="120"/>
        <w:ind w:firstLine="0"/>
        <w:jc w:val="both"/>
      </w:pPr>
      <w:r w:rsidRPr="00246AE4">
        <w:br w:type="page"/>
      </w:r>
      <w:r>
        <w:lastRenderedPageBreak/>
        <w:t>[675]</w:t>
      </w:r>
    </w:p>
    <w:p w14:paraId="1B9D00BE" w14:textId="77777777" w:rsidR="00B9662D" w:rsidRDefault="00B9662D" w:rsidP="00B9662D">
      <w:pPr>
        <w:spacing w:before="120" w:after="120"/>
        <w:ind w:firstLine="0"/>
        <w:jc w:val="both"/>
      </w:pPr>
    </w:p>
    <w:p w14:paraId="713227DA" w14:textId="77777777" w:rsidR="00B9662D" w:rsidRDefault="00B9662D" w:rsidP="00B9662D">
      <w:pPr>
        <w:spacing w:before="120" w:after="120"/>
        <w:ind w:firstLine="0"/>
        <w:jc w:val="both"/>
      </w:pPr>
    </w:p>
    <w:p w14:paraId="2C2FC431" w14:textId="77777777" w:rsidR="00B9662D" w:rsidRDefault="00B9662D" w:rsidP="00B9662D">
      <w:pPr>
        <w:spacing w:before="120" w:after="120"/>
        <w:ind w:firstLine="0"/>
        <w:jc w:val="both"/>
      </w:pPr>
    </w:p>
    <w:p w14:paraId="3F865827" w14:textId="77777777" w:rsidR="00B9662D" w:rsidRDefault="00B9662D" w:rsidP="00B9662D">
      <w:pPr>
        <w:spacing w:before="120" w:after="120"/>
        <w:ind w:firstLine="0"/>
        <w:jc w:val="both"/>
      </w:pPr>
    </w:p>
    <w:p w14:paraId="1FF0AD88" w14:textId="77777777" w:rsidR="00B9662D" w:rsidRPr="004C6B6A" w:rsidRDefault="00B9662D" w:rsidP="00B9662D">
      <w:pPr>
        <w:spacing w:before="120" w:after="120"/>
        <w:ind w:firstLine="0"/>
        <w:jc w:val="center"/>
        <w:rPr>
          <w:color w:val="000000"/>
          <w:sz w:val="40"/>
          <w:lang w:eastAsia="fr-FR" w:bidi="fr-FR"/>
        </w:rPr>
      </w:pPr>
      <w:bookmarkStart w:id="22" w:name="Melanges_t2_pt_7"/>
      <w:r w:rsidRPr="004C6B6A">
        <w:rPr>
          <w:color w:val="000000"/>
          <w:sz w:val="40"/>
          <w:lang w:eastAsia="fr-FR" w:bidi="fr-FR"/>
        </w:rPr>
        <w:t>SEPTIÈME PARTIE</w:t>
      </w:r>
    </w:p>
    <w:p w14:paraId="6F3DFA51" w14:textId="77777777" w:rsidR="00B9662D" w:rsidRPr="00246AE4" w:rsidRDefault="00B9662D" w:rsidP="00B9662D">
      <w:pPr>
        <w:spacing w:before="120" w:after="120"/>
        <w:ind w:firstLine="0"/>
        <w:jc w:val="center"/>
      </w:pPr>
    </w:p>
    <w:p w14:paraId="37B8F34E" w14:textId="77777777" w:rsidR="00B9662D" w:rsidRPr="004C6B6A" w:rsidRDefault="00B9662D" w:rsidP="00B9662D">
      <w:pPr>
        <w:spacing w:before="120" w:after="120"/>
        <w:ind w:firstLine="0"/>
        <w:jc w:val="center"/>
        <w:rPr>
          <w:sz w:val="52"/>
        </w:rPr>
      </w:pPr>
      <w:r w:rsidRPr="004C6B6A">
        <w:rPr>
          <w:color w:val="000000"/>
          <w:sz w:val="52"/>
          <w:lang w:eastAsia="fr-FR" w:bidi="fr-FR"/>
        </w:rPr>
        <w:t>GÉOGRAPHIE HISTORIQUE</w:t>
      </w:r>
      <w:r>
        <w:rPr>
          <w:color w:val="000000"/>
          <w:sz w:val="52"/>
          <w:lang w:eastAsia="fr-FR" w:bidi="fr-FR"/>
        </w:rPr>
        <w:t> :</w:t>
      </w:r>
      <w:r w:rsidRPr="004C6B6A">
        <w:rPr>
          <w:color w:val="000000"/>
          <w:sz w:val="52"/>
          <w:lang w:eastAsia="fr-FR" w:bidi="fr-FR"/>
        </w:rPr>
        <w:br/>
        <w:t>L’ILE-DE-FRANCE</w:t>
      </w:r>
    </w:p>
    <w:bookmarkEnd w:id="22"/>
    <w:p w14:paraId="4D5AD72B" w14:textId="77777777" w:rsidR="00B9662D" w:rsidRDefault="00B9662D" w:rsidP="00B9662D">
      <w:pPr>
        <w:spacing w:before="120" w:after="120"/>
        <w:jc w:val="both"/>
      </w:pPr>
    </w:p>
    <w:p w14:paraId="30FD72AD" w14:textId="77777777" w:rsidR="00B9662D" w:rsidRDefault="00B9662D" w:rsidP="00B9662D">
      <w:pPr>
        <w:spacing w:before="120" w:after="120"/>
        <w:jc w:val="both"/>
      </w:pPr>
    </w:p>
    <w:p w14:paraId="06251976" w14:textId="77777777" w:rsidR="00B9662D" w:rsidRDefault="00B9662D" w:rsidP="00B9662D">
      <w:pPr>
        <w:spacing w:before="120" w:after="120"/>
        <w:jc w:val="both"/>
      </w:pPr>
    </w:p>
    <w:p w14:paraId="584E89B3" w14:textId="77777777" w:rsidR="00B9662D" w:rsidRDefault="00B9662D" w:rsidP="00B9662D">
      <w:pPr>
        <w:spacing w:before="120" w:after="120"/>
        <w:jc w:val="both"/>
      </w:pPr>
    </w:p>
    <w:p w14:paraId="58057CF4" w14:textId="77777777" w:rsidR="00B9662D" w:rsidRDefault="00B9662D" w:rsidP="00B9662D">
      <w:pPr>
        <w:spacing w:before="120" w:after="120"/>
        <w:jc w:val="both"/>
      </w:pPr>
    </w:p>
    <w:p w14:paraId="6597902E"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02831200" w14:textId="77777777" w:rsidR="00B9662D" w:rsidRDefault="00B9662D" w:rsidP="00B9662D">
      <w:pPr>
        <w:spacing w:before="120" w:after="120"/>
        <w:jc w:val="both"/>
      </w:pPr>
    </w:p>
    <w:p w14:paraId="795642F1" w14:textId="77777777" w:rsidR="00B9662D" w:rsidRDefault="00B9662D" w:rsidP="00B9662D">
      <w:pPr>
        <w:spacing w:before="120" w:after="120"/>
        <w:jc w:val="both"/>
      </w:pPr>
    </w:p>
    <w:p w14:paraId="7D53198D" w14:textId="77777777" w:rsidR="00B9662D" w:rsidRDefault="00B9662D" w:rsidP="00B9662D">
      <w:pPr>
        <w:pStyle w:val="p"/>
      </w:pPr>
      <w:r>
        <w:t>[676]</w:t>
      </w:r>
    </w:p>
    <w:p w14:paraId="78082CAE" w14:textId="77777777" w:rsidR="00B9662D" w:rsidRPr="00246AE4" w:rsidRDefault="00B9662D" w:rsidP="00B9662D">
      <w:pPr>
        <w:pStyle w:val="p"/>
      </w:pPr>
      <w:r w:rsidRPr="00246AE4">
        <w:br w:type="page"/>
      </w:r>
      <w:r>
        <w:lastRenderedPageBreak/>
        <w:t>[677]</w:t>
      </w:r>
    </w:p>
    <w:p w14:paraId="6CA71628" w14:textId="77777777" w:rsidR="00B9662D" w:rsidRPr="00E07116" w:rsidRDefault="00B9662D" w:rsidP="00B9662D">
      <w:pPr>
        <w:jc w:val="both"/>
      </w:pPr>
    </w:p>
    <w:p w14:paraId="6109DB9D" w14:textId="77777777" w:rsidR="00B9662D" w:rsidRDefault="00B9662D" w:rsidP="00B9662D">
      <w:pPr>
        <w:jc w:val="both"/>
      </w:pPr>
    </w:p>
    <w:p w14:paraId="523B0334" w14:textId="77777777" w:rsidR="00B9662D" w:rsidRPr="00E07116" w:rsidRDefault="00B9662D" w:rsidP="00B9662D">
      <w:pPr>
        <w:jc w:val="both"/>
      </w:pPr>
    </w:p>
    <w:p w14:paraId="3CF6D4AE" w14:textId="77777777" w:rsidR="00B9662D" w:rsidRPr="00F54CC7" w:rsidRDefault="00B9662D" w:rsidP="00B9662D">
      <w:pPr>
        <w:spacing w:after="120"/>
        <w:ind w:firstLine="0"/>
        <w:jc w:val="center"/>
        <w:rPr>
          <w:sz w:val="24"/>
        </w:rPr>
      </w:pPr>
      <w:bookmarkStart w:id="23" w:name="Melanges_t2_pt_7_chap_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6449FB8A" w14:textId="77777777" w:rsidR="00B9662D" w:rsidRPr="00303F6A" w:rsidRDefault="00B9662D" w:rsidP="00B9662D">
      <w:pPr>
        <w:ind w:firstLine="0"/>
        <w:jc w:val="center"/>
        <w:rPr>
          <w:b/>
          <w:color w:val="000080"/>
          <w:sz w:val="24"/>
        </w:rPr>
      </w:pPr>
      <w:r>
        <w:rPr>
          <w:b/>
          <w:color w:val="000080"/>
          <w:sz w:val="24"/>
        </w:rPr>
        <w:t>7</w:t>
      </w:r>
      <w:r w:rsidRPr="005C6AC3">
        <w:rPr>
          <w:b/>
          <w:color w:val="000080"/>
          <w:sz w:val="24"/>
          <w:vertAlign w:val="superscript"/>
        </w:rPr>
        <w:t>e</w:t>
      </w:r>
      <w:r>
        <w:rPr>
          <w:b/>
          <w:color w:val="000080"/>
          <w:sz w:val="24"/>
        </w:rPr>
        <w:t xml:space="preserve"> PARTIE : GÉOGRAPHIE HISTORIQUE :</w:t>
      </w:r>
      <w:r>
        <w:rPr>
          <w:b/>
          <w:color w:val="000080"/>
          <w:sz w:val="24"/>
        </w:rPr>
        <w:br/>
        <w:t>L’ÎLE DE FRANCE</w:t>
      </w:r>
    </w:p>
    <w:p w14:paraId="0543BF4B" w14:textId="77777777" w:rsidR="00B9662D" w:rsidRPr="00384B20" w:rsidRDefault="00B9662D" w:rsidP="00B9662D">
      <w:pPr>
        <w:pStyle w:val="Titreniveau1"/>
      </w:pPr>
      <w:r w:rsidRPr="00384B20">
        <w:t>Chapitre I</w:t>
      </w:r>
    </w:p>
    <w:p w14:paraId="130E51C7" w14:textId="77777777" w:rsidR="00B9662D" w:rsidRPr="00E07116" w:rsidRDefault="00B9662D" w:rsidP="00B9662D">
      <w:pPr>
        <w:jc w:val="both"/>
        <w:rPr>
          <w:szCs w:val="36"/>
        </w:rPr>
      </w:pPr>
    </w:p>
    <w:p w14:paraId="2763F53E" w14:textId="77777777" w:rsidR="00B9662D" w:rsidRPr="00E07116" w:rsidRDefault="00B9662D" w:rsidP="00B9662D">
      <w:pPr>
        <w:pStyle w:val="Titreniveau2"/>
      </w:pPr>
      <w:r>
        <w:t>NOTES SUR LES SOURCES DE L’HISTOIRE DE L’ÎLE-DE-France</w:t>
      </w:r>
      <w:r>
        <w:br/>
        <w:t>AU MOYEN ÂGE </w:t>
      </w:r>
      <w:r>
        <w:rPr>
          <w:rStyle w:val="Appelnotedebasdep"/>
        </w:rPr>
        <w:footnoteReference w:id="283"/>
      </w:r>
    </w:p>
    <w:bookmarkEnd w:id="23"/>
    <w:p w14:paraId="40C41CF9" w14:textId="77777777" w:rsidR="00B9662D" w:rsidRDefault="00B9662D" w:rsidP="00B9662D">
      <w:pPr>
        <w:jc w:val="both"/>
        <w:rPr>
          <w:szCs w:val="36"/>
        </w:rPr>
      </w:pPr>
    </w:p>
    <w:p w14:paraId="3E9840F1" w14:textId="77777777" w:rsidR="00B9662D" w:rsidRDefault="00B9662D" w:rsidP="00B9662D">
      <w:pPr>
        <w:jc w:val="both"/>
        <w:rPr>
          <w:szCs w:val="36"/>
        </w:rPr>
      </w:pPr>
    </w:p>
    <w:p w14:paraId="72003823" w14:textId="77777777" w:rsidR="00B9662D" w:rsidRPr="00246AE4" w:rsidRDefault="00B9662D" w:rsidP="00B9662D">
      <w:pPr>
        <w:pStyle w:val="planche"/>
      </w:pPr>
      <w:bookmarkStart w:id="24" w:name="Melanges_t2_pt_7_chap_I_I"/>
      <w:r w:rsidRPr="00246AE4">
        <w:t>I</w:t>
      </w:r>
      <w:r>
        <w:t xml:space="preserve">. — </w:t>
      </w:r>
      <w:r w:rsidRPr="00246AE4">
        <w:t>Les archives et les cartulaires</w:t>
      </w:r>
      <w:r>
        <w:br/>
      </w:r>
      <w:r w:rsidRPr="00246AE4">
        <w:t>de l’abbaye de Chelles</w:t>
      </w:r>
    </w:p>
    <w:bookmarkEnd w:id="24"/>
    <w:p w14:paraId="0D7687B6" w14:textId="77777777" w:rsidR="00B9662D" w:rsidRDefault="00B9662D" w:rsidP="00B9662D">
      <w:pPr>
        <w:spacing w:before="120" w:after="120"/>
        <w:jc w:val="both"/>
        <w:rPr>
          <w:color w:val="000000"/>
          <w:lang w:eastAsia="fr-FR" w:bidi="fr-FR"/>
        </w:rPr>
      </w:pPr>
    </w:p>
    <w:p w14:paraId="1741014D" w14:textId="77777777" w:rsidR="00B9662D" w:rsidRDefault="00B9662D" w:rsidP="00B9662D">
      <w:pPr>
        <w:spacing w:before="120" w:after="120"/>
        <w:jc w:val="both"/>
        <w:rPr>
          <w:color w:val="000000"/>
          <w:lang w:eastAsia="fr-FR" w:bidi="fr-FR"/>
        </w:rPr>
      </w:pPr>
    </w:p>
    <w:p w14:paraId="33DB9295" w14:textId="77777777" w:rsidR="00B9662D" w:rsidRDefault="00B9662D" w:rsidP="00B9662D">
      <w:pPr>
        <w:spacing w:before="120" w:after="120"/>
        <w:jc w:val="both"/>
        <w:rPr>
          <w:color w:val="000000"/>
          <w:lang w:eastAsia="fr-FR" w:bidi="fr-FR"/>
        </w:rPr>
      </w:pPr>
    </w:p>
    <w:p w14:paraId="09932D08"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E3349A5" w14:textId="77777777" w:rsidR="00B9662D" w:rsidRPr="00246AE4" w:rsidRDefault="00B9662D" w:rsidP="00B9662D">
      <w:pPr>
        <w:spacing w:before="120" w:after="120"/>
        <w:jc w:val="both"/>
      </w:pPr>
      <w:r w:rsidRPr="00246AE4">
        <w:rPr>
          <w:color w:val="000000"/>
          <w:lang w:eastAsia="fr-FR" w:bidi="fr-FR"/>
        </w:rPr>
        <w:t>L’abbaye de Chelles</w:t>
      </w:r>
      <w:r>
        <w:rPr>
          <w:color w:val="000000"/>
          <w:lang w:eastAsia="fr-FR" w:bidi="fr-FR"/>
        </w:rPr>
        <w:t> </w:t>
      </w:r>
      <w:r>
        <w:rPr>
          <w:rStyle w:val="Appelnotedebasdep"/>
        </w:rPr>
        <w:footnoteReference w:id="284"/>
      </w:r>
      <w:r w:rsidRPr="00246AE4">
        <w:rPr>
          <w:color w:val="000000"/>
          <w:lang w:eastAsia="fr-FR" w:bidi="fr-FR"/>
        </w:rPr>
        <w:t>, au diocèse de Paris, où jusqu’à la Révol</w:t>
      </w:r>
      <w:r w:rsidRPr="00246AE4">
        <w:rPr>
          <w:color w:val="000000"/>
          <w:lang w:eastAsia="fr-FR" w:bidi="fr-FR"/>
        </w:rPr>
        <w:t>u</w:t>
      </w:r>
      <w:r w:rsidRPr="00246AE4">
        <w:rPr>
          <w:color w:val="000000"/>
          <w:lang w:eastAsia="fr-FR" w:bidi="fr-FR"/>
        </w:rPr>
        <w:t>tion des religieuses vécurent sous la règle de saint Benoît, comptait parmi les plus anciennes de la région parisienne. Elle devait son orig</w:t>
      </w:r>
      <w:r w:rsidRPr="00246AE4">
        <w:rPr>
          <w:color w:val="000000"/>
          <w:lang w:eastAsia="fr-FR" w:bidi="fr-FR"/>
        </w:rPr>
        <w:t>i</w:t>
      </w:r>
      <w:r w:rsidRPr="00246AE4">
        <w:rPr>
          <w:color w:val="000000"/>
          <w:lang w:eastAsia="fr-FR" w:bidi="fr-FR"/>
        </w:rPr>
        <w:t xml:space="preserve">ne à la reine Bathilde, cette esclave saxonne dont le roi Clovis II fit sa femme et qui fonda également la maison, plus illustre, de Corbie. S’élevant dans la vallée de la Marne, au pied du plateau de Brie, l’abbaye de Chelles se trouvait toute proche de ces monastères, ses contemporains, ou de quelques années ses aînés, qu’au </w:t>
      </w:r>
      <w:r>
        <w:rPr>
          <w:color w:val="000000"/>
          <w:lang w:eastAsia="fr-FR" w:bidi="fr-FR"/>
        </w:rPr>
        <w:t>VII</w:t>
      </w:r>
      <w:r w:rsidRPr="00246AE4">
        <w:rPr>
          <w:color w:val="000000"/>
          <w:vertAlign w:val="superscript"/>
          <w:lang w:eastAsia="fr-FR" w:bidi="fr-FR"/>
        </w:rPr>
        <w:t>e</w:t>
      </w:r>
      <w:r w:rsidRPr="00246AE4">
        <w:rPr>
          <w:color w:val="000000"/>
          <w:lang w:eastAsia="fr-FR" w:bidi="fr-FR"/>
        </w:rPr>
        <w:t xml:space="preserve"> siècle la piété des disciples de saint Colomban avait de toutes parts fait sortir du sol briard : Faremoutiers, Jouarre, Rebais, et, dans la vallée même </w:t>
      </w:r>
      <w:r w:rsidRPr="00246AE4">
        <w:rPr>
          <w:color w:val="000000"/>
          <w:lang w:eastAsia="fr-FR" w:bidi="fr-FR"/>
        </w:rPr>
        <w:lastRenderedPageBreak/>
        <w:t>de la riviè</w:t>
      </w:r>
      <w:r>
        <w:rPr>
          <w:color w:val="000000"/>
          <w:lang w:eastAsia="fr-FR" w:bidi="fr-FR"/>
        </w:rPr>
        <w:t>re, en amont de Chelles, Saint-</w:t>
      </w:r>
      <w:r w:rsidRPr="00246AE4">
        <w:rPr>
          <w:color w:val="000000"/>
          <w:lang w:eastAsia="fr-FR" w:bidi="fr-FR"/>
        </w:rPr>
        <w:t xml:space="preserve">Faron de Meaux. </w:t>
      </w:r>
      <w:r>
        <w:rPr>
          <w:color w:val="000000"/>
          <w:lang w:eastAsia="fr-FR" w:bidi="fr-FR"/>
        </w:rPr>
        <w:t>À</w:t>
      </w:r>
      <w:r w:rsidRPr="00246AE4">
        <w:rPr>
          <w:color w:val="000000"/>
          <w:lang w:eastAsia="fr-FR" w:bidi="fr-FR"/>
        </w:rPr>
        <w:t xml:space="preserve"> quelle date exactement l’abbaye fut-elle fondée ? Nous l’ignorons. Nous s</w:t>
      </w:r>
      <w:r w:rsidRPr="00246AE4">
        <w:rPr>
          <w:color w:val="000000"/>
          <w:lang w:eastAsia="fr-FR" w:bidi="fr-FR"/>
        </w:rPr>
        <w:t>a</w:t>
      </w:r>
      <w:r w:rsidRPr="00246AE4">
        <w:rPr>
          <w:color w:val="000000"/>
          <w:lang w:eastAsia="fr-FR" w:bidi="fr-FR"/>
        </w:rPr>
        <w:t>vons que la reine Bathilde, disgraciée peut-être par son fils Clota</w:t>
      </w:r>
      <w:r w:rsidRPr="00246AE4">
        <w:rPr>
          <w:color w:val="000000"/>
          <w:lang w:eastAsia="fr-FR" w:bidi="fr-FR"/>
        </w:rPr>
        <w:t>i</w:t>
      </w:r>
      <w:r w:rsidRPr="00246AE4">
        <w:rPr>
          <w:color w:val="000000"/>
          <w:lang w:eastAsia="fr-FR" w:bidi="fr-FR"/>
        </w:rPr>
        <w:t>re</w:t>
      </w:r>
      <w:r>
        <w:rPr>
          <w:color w:val="000000"/>
          <w:lang w:eastAsia="fr-FR" w:bidi="fr-FR"/>
        </w:rPr>
        <w:t> </w:t>
      </w:r>
      <w:r w:rsidRPr="00246AE4">
        <w:rPr>
          <w:color w:val="000000"/>
          <w:lang w:eastAsia="fr-FR" w:bidi="fr-FR"/>
        </w:rPr>
        <w:t>III, se retira à Chelles, sans doute un peu avant l’année 673, et qu’elle y mourut en odeur de sainteté, vers l’année 880. Elle fut can</w:t>
      </w:r>
      <w:r w:rsidRPr="00246AE4">
        <w:rPr>
          <w:color w:val="000000"/>
          <w:lang w:eastAsia="fr-FR" w:bidi="fr-FR"/>
        </w:rPr>
        <w:t>o</w:t>
      </w:r>
      <w:r w:rsidRPr="00246AE4">
        <w:rPr>
          <w:color w:val="000000"/>
          <w:lang w:eastAsia="fr-FR" w:bidi="fr-FR"/>
        </w:rPr>
        <w:t>nisée ; et l’abbaye prit son nom : « Chelles Sainte Bauteur », devaient dire plus tard les documents de langue française</w:t>
      </w:r>
      <w:r>
        <w:rPr>
          <w:color w:val="000000"/>
          <w:lang w:eastAsia="fr-FR" w:bidi="fr-FR"/>
        </w:rPr>
        <w:t> </w:t>
      </w:r>
      <w:r>
        <w:rPr>
          <w:rStyle w:val="Appelnotedebasdep"/>
        </w:rPr>
        <w:footnoteReference w:id="285"/>
      </w:r>
      <w:r w:rsidRPr="00246AE4">
        <w:rPr>
          <w:color w:val="000000"/>
          <w:lang w:eastAsia="fr-FR" w:bidi="fr-FR"/>
        </w:rPr>
        <w:t>.</w:t>
      </w:r>
    </w:p>
    <w:p w14:paraId="409D328E" w14:textId="77777777" w:rsidR="00B9662D" w:rsidRPr="00246AE4" w:rsidRDefault="00B9662D" w:rsidP="00B9662D">
      <w:pPr>
        <w:spacing w:before="120" w:after="120"/>
        <w:jc w:val="both"/>
      </w:pPr>
      <w:r>
        <w:rPr>
          <w:color w:val="000000"/>
          <w:lang w:eastAsia="fr-FR" w:bidi="fr-FR"/>
        </w:rPr>
        <w:t>[678]</w:t>
      </w:r>
    </w:p>
    <w:p w14:paraId="69A955EA" w14:textId="77777777" w:rsidR="00B9662D" w:rsidRPr="00246AE4" w:rsidRDefault="00B9662D" w:rsidP="00B9662D">
      <w:pPr>
        <w:spacing w:before="120" w:after="120"/>
        <w:jc w:val="both"/>
      </w:pPr>
      <w:r w:rsidRPr="00246AE4">
        <w:rPr>
          <w:color w:val="000000"/>
          <w:lang w:eastAsia="fr-FR" w:bidi="fr-FR"/>
        </w:rPr>
        <w:t xml:space="preserve">Malgré cette antique origine, les archives de Chelles sont, et depuis bien longtemps, remarquablement pauvres en documents anciens. Au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lorsque fut compilé le premier en date des cartulaires de l’abbaye, le texte le plus ancien qui put y être recueilli fut un diplôme de Louis</w:t>
      </w:r>
      <w:r>
        <w:rPr>
          <w:color w:val="000000"/>
          <w:lang w:eastAsia="fr-FR" w:bidi="fr-FR"/>
        </w:rPr>
        <w:t> </w:t>
      </w:r>
      <w:r w:rsidRPr="00246AE4">
        <w:rPr>
          <w:color w:val="000000"/>
          <w:lang w:eastAsia="fr-FR" w:bidi="fr-FR"/>
        </w:rPr>
        <w:t>VI, de l’année de l’incarnation 1128, an 20 du règne</w:t>
      </w:r>
      <w:r>
        <w:rPr>
          <w:color w:val="000000"/>
          <w:lang w:eastAsia="fr-FR" w:bidi="fr-FR"/>
        </w:rPr>
        <w:t> </w:t>
      </w:r>
      <w:r>
        <w:rPr>
          <w:rStyle w:val="Appelnotedebasdep"/>
        </w:rPr>
        <w:footnoteReference w:id="286"/>
      </w:r>
      <w:r w:rsidRPr="00246AE4">
        <w:rPr>
          <w:color w:val="000000"/>
          <w:lang w:eastAsia="fr-FR" w:bidi="fr-FR"/>
        </w:rPr>
        <w:t xml:space="preserve">. </w:t>
      </w:r>
      <w:r w:rsidRPr="00246AE4">
        <w:rPr>
          <w:color w:val="000000"/>
          <w:lang w:eastAsia="fr-FR" w:bidi="fr-FR"/>
        </w:rPr>
        <w:lastRenderedPageBreak/>
        <w:t>Pou</w:t>
      </w:r>
      <w:r w:rsidRPr="00246AE4">
        <w:rPr>
          <w:color w:val="000000"/>
          <w:lang w:eastAsia="fr-FR" w:bidi="fr-FR"/>
        </w:rPr>
        <w:t>r</w:t>
      </w:r>
      <w:r w:rsidRPr="00246AE4">
        <w:rPr>
          <w:color w:val="000000"/>
          <w:lang w:eastAsia="fr-FR" w:bidi="fr-FR"/>
        </w:rPr>
        <w:t xml:space="preserve">tant au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les archives de Chelles renfermaient encore des d</w:t>
      </w:r>
      <w:r w:rsidRPr="00246AE4">
        <w:rPr>
          <w:color w:val="000000"/>
          <w:lang w:eastAsia="fr-FR" w:bidi="fr-FR"/>
        </w:rPr>
        <w:t>i</w:t>
      </w:r>
      <w:r w:rsidRPr="00246AE4">
        <w:rPr>
          <w:color w:val="000000"/>
          <w:lang w:eastAsia="fr-FR" w:bidi="fr-FR"/>
        </w:rPr>
        <w:t>plômes émanant de souverains carolingiens. Nous possédons le texte d’un diplôme accordé à la maison de Sainte-Bathilde par un roi Louis,</w:t>
      </w:r>
      <w:r>
        <w:rPr>
          <w:color w:val="000000"/>
          <w:lang w:eastAsia="fr-FR" w:bidi="fr-FR"/>
        </w:rPr>
        <w:t> — </w:t>
      </w:r>
      <w:r w:rsidRPr="00246AE4">
        <w:t>Ludovicns Dei gratia rex Francorum,</w:t>
      </w:r>
      <w:r>
        <w:rPr>
          <w:color w:val="000000"/>
          <w:lang w:eastAsia="fr-FR" w:bidi="fr-FR"/>
        </w:rPr>
        <w:t> — </w:t>
      </w:r>
      <w:r w:rsidRPr="00246AE4">
        <w:rPr>
          <w:color w:val="000000"/>
          <w:lang w:eastAsia="fr-FR" w:bidi="fr-FR"/>
        </w:rPr>
        <w:t>que l’on croirait Louis</w:t>
      </w:r>
      <w:r>
        <w:rPr>
          <w:color w:val="000000"/>
          <w:lang w:eastAsia="fr-FR" w:bidi="fr-FR"/>
        </w:rPr>
        <w:t> </w:t>
      </w:r>
      <w:r w:rsidRPr="00246AE4">
        <w:rPr>
          <w:color w:val="000000"/>
          <w:lang w:eastAsia="fr-FR" w:bidi="fr-FR"/>
        </w:rPr>
        <w:t>VI, au vu de la date, qui est 1127, dix-neuvième année du r</w:t>
      </w:r>
      <w:r w:rsidRPr="00246AE4">
        <w:rPr>
          <w:color w:val="000000"/>
          <w:lang w:eastAsia="fr-FR" w:bidi="fr-FR"/>
        </w:rPr>
        <w:t>è</w:t>
      </w:r>
      <w:r w:rsidRPr="00246AE4">
        <w:rPr>
          <w:color w:val="000000"/>
          <w:lang w:eastAsia="fr-FR" w:bidi="fr-FR"/>
        </w:rPr>
        <w:t xml:space="preserve">gne, et de la liste des grands officiers, si ce souverain énigmatique ne portait, à côté de son titre royal, le titre de </w:t>
      </w:r>
      <w:r w:rsidRPr="00246AE4">
        <w:t>dux Aquitanorum,</w:t>
      </w:r>
      <w:r w:rsidRPr="00246AE4">
        <w:rPr>
          <w:color w:val="000000"/>
          <w:lang w:eastAsia="fr-FR" w:bidi="fr-FR"/>
        </w:rPr>
        <w:t xml:space="preserve"> lequel ne saurait convenir qu’à Louis</w:t>
      </w:r>
      <w:r>
        <w:rPr>
          <w:color w:val="000000"/>
          <w:lang w:eastAsia="fr-FR" w:bidi="fr-FR"/>
        </w:rPr>
        <w:t> </w:t>
      </w:r>
      <w:r w:rsidRPr="00246AE4">
        <w:rPr>
          <w:color w:val="000000"/>
          <w:lang w:eastAsia="fr-FR" w:bidi="fr-FR"/>
        </w:rPr>
        <w:t>VII</w:t>
      </w:r>
      <w:r>
        <w:rPr>
          <w:color w:val="000000"/>
          <w:lang w:eastAsia="fr-FR" w:bidi="fr-FR"/>
        </w:rPr>
        <w:t> </w:t>
      </w:r>
      <w:r>
        <w:rPr>
          <w:rStyle w:val="Appelnotedebasdep"/>
        </w:rPr>
        <w:footnoteReference w:id="287"/>
      </w:r>
      <w:r w:rsidRPr="00246AE4">
        <w:rPr>
          <w:color w:val="000000"/>
          <w:lang w:eastAsia="fr-FR" w:bidi="fr-FR"/>
        </w:rPr>
        <w:t>. Je crois qu’il faut voir dans ce si</w:t>
      </w:r>
      <w:r w:rsidRPr="00246AE4">
        <w:rPr>
          <w:color w:val="000000"/>
          <w:lang w:eastAsia="fr-FR" w:bidi="fr-FR"/>
        </w:rPr>
        <w:t>n</w:t>
      </w:r>
      <w:r w:rsidRPr="00246AE4">
        <w:rPr>
          <w:color w:val="000000"/>
          <w:lang w:eastAsia="fr-FR" w:bidi="fr-FR"/>
        </w:rPr>
        <w:t>gulier document,</w:t>
      </w:r>
      <w:r>
        <w:rPr>
          <w:color w:val="000000"/>
          <w:lang w:eastAsia="fr-FR" w:bidi="fr-FR"/>
        </w:rPr>
        <w:t> — </w:t>
      </w:r>
      <w:r w:rsidRPr="00246AE4">
        <w:rPr>
          <w:color w:val="000000"/>
          <w:lang w:eastAsia="fr-FR" w:bidi="fr-FR"/>
        </w:rPr>
        <w:t>dont le texte par ailleurs présente tous les caract</w:t>
      </w:r>
      <w:r w:rsidRPr="00246AE4">
        <w:rPr>
          <w:color w:val="000000"/>
          <w:lang w:eastAsia="fr-FR" w:bidi="fr-FR"/>
        </w:rPr>
        <w:t>è</w:t>
      </w:r>
      <w:r w:rsidRPr="00246AE4">
        <w:rPr>
          <w:color w:val="000000"/>
          <w:lang w:eastAsia="fr-FR" w:bidi="fr-FR"/>
        </w:rPr>
        <w:t>res de la plus parfaite authenticité,</w:t>
      </w:r>
      <w:r>
        <w:rPr>
          <w:color w:val="000000"/>
          <w:lang w:eastAsia="fr-FR" w:bidi="fr-FR"/>
        </w:rPr>
        <w:t> — </w:t>
      </w:r>
      <w:r w:rsidRPr="00246AE4">
        <w:rPr>
          <w:color w:val="000000"/>
          <w:lang w:eastAsia="fr-FR" w:bidi="fr-FR"/>
        </w:rPr>
        <w:t>un diplôme de Louis</w:t>
      </w:r>
      <w:r>
        <w:rPr>
          <w:color w:val="000000"/>
          <w:lang w:eastAsia="fr-FR" w:bidi="fr-FR"/>
        </w:rPr>
        <w:t> </w:t>
      </w:r>
      <w:r w:rsidRPr="00246AE4">
        <w:rPr>
          <w:color w:val="000000"/>
          <w:lang w:eastAsia="fr-FR" w:bidi="fr-FR"/>
        </w:rPr>
        <w:t>VII qui aura été antidaté par un faussaire maladroit. Lisons-le : nous y trouv</w:t>
      </w:r>
      <w:r w:rsidRPr="00246AE4">
        <w:rPr>
          <w:color w:val="000000"/>
          <w:lang w:eastAsia="fr-FR" w:bidi="fr-FR"/>
        </w:rPr>
        <w:t>e</w:t>
      </w:r>
      <w:r w:rsidRPr="00246AE4">
        <w:rPr>
          <w:color w:val="000000"/>
          <w:lang w:eastAsia="fr-FR" w:bidi="fr-FR"/>
        </w:rPr>
        <w:t>rons mentionnés des diplômes royaux de dates plus —, anciennes par lesquels l’abbaye avait déjà vu confirmer ses privilèges</w:t>
      </w:r>
      <w:r>
        <w:rPr>
          <w:color w:val="000000"/>
          <w:lang w:eastAsia="fr-FR" w:bidi="fr-FR"/>
        </w:rPr>
        <w:t> — </w:t>
      </w:r>
      <w:r w:rsidRPr="00246AE4">
        <w:rPr>
          <w:color w:val="000000"/>
          <w:lang w:eastAsia="fr-FR" w:bidi="fr-FR"/>
        </w:rPr>
        <w:t>en partic</w:t>
      </w:r>
      <w:r w:rsidRPr="00246AE4">
        <w:rPr>
          <w:color w:val="000000"/>
          <w:lang w:eastAsia="fr-FR" w:bidi="fr-FR"/>
        </w:rPr>
        <w:t>u</w:t>
      </w:r>
      <w:r w:rsidRPr="00246AE4">
        <w:rPr>
          <w:color w:val="000000"/>
          <w:lang w:eastAsia="fr-FR" w:bidi="fr-FR"/>
        </w:rPr>
        <w:t>lier le privilège d’immunité —, et ses possessions. « Nous acceptons volontiers », dit Louis, roi de France et duc d’Aquitaine, « l’humble et juste pétition de l’abbesse et de sa congrégation, car, dans les préce</w:t>
      </w:r>
      <w:r w:rsidRPr="00246AE4">
        <w:rPr>
          <w:color w:val="000000"/>
          <w:lang w:eastAsia="fr-FR" w:bidi="fr-FR"/>
        </w:rPr>
        <w:t>p</w:t>
      </w:r>
      <w:r w:rsidRPr="00246AE4">
        <w:rPr>
          <w:color w:val="000000"/>
          <w:lang w:eastAsia="fr-FR" w:bidi="fr-FR"/>
        </w:rPr>
        <w:t xml:space="preserve">tes de nos prédécesseurs Charles, Louis et autres rois, </w:t>
      </w:r>
      <w:r w:rsidRPr="00246AE4">
        <w:rPr>
          <w:color w:val="000000"/>
          <w:lang w:eastAsia="fr-FR" w:bidi="fr-FR"/>
        </w:rPr>
        <w:lastRenderedPageBreak/>
        <w:t>nous avons trouvé confirmés les privilèges que voici »</w:t>
      </w:r>
      <w:r>
        <w:rPr>
          <w:color w:val="000000"/>
          <w:lang w:eastAsia="fr-FR" w:bidi="fr-FR"/>
        </w:rPr>
        <w:t> </w:t>
      </w:r>
      <w:r>
        <w:rPr>
          <w:rStyle w:val="Appelnotedebasdep"/>
        </w:rPr>
        <w:footnoteReference w:id="288"/>
      </w:r>
      <w:r w:rsidRPr="00246AE4">
        <w:rPr>
          <w:color w:val="000000"/>
          <w:lang w:eastAsia="fr-FR" w:bidi="fr-FR"/>
        </w:rPr>
        <w:t>. Ces rois Charles et Louis ne sauraient</w:t>
      </w:r>
      <w:r>
        <w:t xml:space="preserve"> [</w:t>
      </w:r>
      <w:r w:rsidRPr="00246AE4">
        <w:rPr>
          <w:color w:val="000000"/>
          <w:lang w:eastAsia="fr-FR" w:bidi="fr-FR"/>
        </w:rPr>
        <w:t>679</w:t>
      </w:r>
      <w:r>
        <w:rPr>
          <w:color w:val="000000"/>
          <w:lang w:eastAsia="fr-FR" w:bidi="fr-FR"/>
        </w:rPr>
        <w:t xml:space="preserve">] </w:t>
      </w:r>
      <w:r w:rsidRPr="00246AE4">
        <w:rPr>
          <w:color w:val="000000"/>
          <w:lang w:eastAsia="fr-FR" w:bidi="fr-FR"/>
        </w:rPr>
        <w:t>être que des souverains appartenant à la dynastie carolingienne</w:t>
      </w:r>
      <w:r>
        <w:rPr>
          <w:color w:val="000000"/>
          <w:lang w:eastAsia="fr-FR" w:bidi="fr-FR"/>
        </w:rPr>
        <w:t> </w:t>
      </w:r>
      <w:r>
        <w:rPr>
          <w:rStyle w:val="Appelnotedebasdep"/>
        </w:rPr>
        <w:footnoteReference w:id="289"/>
      </w:r>
      <w:r w:rsidRPr="00246AE4">
        <w:rPr>
          <w:color w:val="000000"/>
          <w:lang w:eastAsia="fr-FR" w:bidi="fr-FR"/>
        </w:rPr>
        <w:t>. Au reste, le rédacteur du diplôme que nous attribuons à Louis</w:t>
      </w:r>
      <w:r>
        <w:rPr>
          <w:color w:val="000000"/>
          <w:lang w:eastAsia="fr-FR" w:bidi="fr-FR"/>
        </w:rPr>
        <w:t> </w:t>
      </w:r>
      <w:r w:rsidRPr="00246AE4">
        <w:rPr>
          <w:color w:val="000000"/>
          <w:lang w:eastAsia="fr-FR" w:bidi="fr-FR"/>
        </w:rPr>
        <w:t xml:space="preserve">VII ne se contenta point de mentionner ces documents d’âge carolingien ; il leur emprunta un certain nombre de formules ; et c’est pourquoi un archiviste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dressant l’inventaire des a</w:t>
      </w:r>
      <w:r w:rsidRPr="00246AE4">
        <w:rPr>
          <w:color w:val="000000"/>
          <w:lang w:eastAsia="fr-FR" w:bidi="fr-FR"/>
        </w:rPr>
        <w:t>r</w:t>
      </w:r>
      <w:r w:rsidRPr="00246AE4">
        <w:rPr>
          <w:color w:val="000000"/>
          <w:lang w:eastAsia="fr-FR" w:bidi="fr-FR"/>
        </w:rPr>
        <w:t>chives de Che</w:t>
      </w:r>
      <w:r w:rsidRPr="00246AE4">
        <w:rPr>
          <w:color w:val="000000"/>
          <w:lang w:eastAsia="fr-FR" w:bidi="fr-FR"/>
        </w:rPr>
        <w:t>l</w:t>
      </w:r>
      <w:r w:rsidRPr="00246AE4">
        <w:rPr>
          <w:color w:val="000000"/>
          <w:lang w:eastAsia="fr-FR" w:bidi="fr-FR"/>
        </w:rPr>
        <w:t>les, pouvait dire de ce diplôme qu’il croyait faux, à tort, selon moi : « le stile est du siècle de Charles le Chauve »</w:t>
      </w:r>
      <w:r>
        <w:rPr>
          <w:color w:val="000000"/>
          <w:lang w:eastAsia="fr-FR" w:bidi="fr-FR"/>
        </w:rPr>
        <w:t> </w:t>
      </w:r>
      <w:r>
        <w:rPr>
          <w:rStyle w:val="Appelnotedebasdep"/>
        </w:rPr>
        <w:footnoteReference w:id="290"/>
      </w:r>
      <w:r w:rsidRPr="00246AE4">
        <w:rPr>
          <w:color w:val="000000"/>
          <w:lang w:eastAsia="fr-FR" w:bidi="fr-FR"/>
        </w:rPr>
        <w:t>. On sait que le cas n’est point rare de diplômes des premiers rois capétiens r</w:t>
      </w:r>
      <w:r w:rsidRPr="00246AE4">
        <w:rPr>
          <w:color w:val="000000"/>
          <w:lang w:eastAsia="fr-FR" w:bidi="fr-FR"/>
        </w:rPr>
        <w:t>e</w:t>
      </w:r>
      <w:r w:rsidRPr="00246AE4">
        <w:rPr>
          <w:color w:val="000000"/>
          <w:lang w:eastAsia="fr-FR" w:bidi="fr-FR"/>
        </w:rPr>
        <w:t>produisant les expressions des actes carolingiens dont ils confirmaient les disp</w:t>
      </w:r>
      <w:r w:rsidRPr="00246AE4">
        <w:rPr>
          <w:color w:val="000000"/>
          <w:lang w:eastAsia="fr-FR" w:bidi="fr-FR"/>
        </w:rPr>
        <w:t>o</w:t>
      </w:r>
      <w:r w:rsidRPr="00246AE4">
        <w:rPr>
          <w:color w:val="000000"/>
          <w:lang w:eastAsia="fr-FR" w:bidi="fr-FR"/>
        </w:rPr>
        <w:t>sitions.</w:t>
      </w:r>
    </w:p>
    <w:p w14:paraId="2051D42B" w14:textId="77777777" w:rsidR="00B9662D" w:rsidRPr="00246AE4" w:rsidRDefault="00B9662D" w:rsidP="00B9662D">
      <w:pPr>
        <w:spacing w:before="120" w:after="120"/>
        <w:jc w:val="both"/>
      </w:pPr>
      <w:r w:rsidRPr="00246AE4">
        <w:rPr>
          <w:color w:val="000000"/>
          <w:lang w:eastAsia="fr-FR" w:bidi="fr-FR"/>
        </w:rPr>
        <w:t xml:space="preserve">Les archives de Chelles, malgré l’absence de documents antérieurs au </w:t>
      </w:r>
      <w:r w:rsidRPr="002F06B0">
        <w:rPr>
          <w:caps/>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étaient encore assez riches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Elles étaient classées avec soin ; les pièces étaient réparties en un certain nombre de grandes divisions, de « chapitres » désignés chacun par une lettre de l’alphabet. Chaque chapitre comprenait des layettes numér</w:t>
      </w:r>
      <w:r w:rsidRPr="00246AE4">
        <w:rPr>
          <w:color w:val="000000"/>
          <w:lang w:eastAsia="fr-FR" w:bidi="fr-FR"/>
        </w:rPr>
        <w:t>o</w:t>
      </w:r>
      <w:r w:rsidRPr="00246AE4">
        <w:rPr>
          <w:color w:val="000000"/>
          <w:lang w:eastAsia="fr-FR" w:bidi="fr-FR"/>
        </w:rPr>
        <w:t xml:space="preserve">tées. </w:t>
      </w:r>
      <w:r>
        <w:rPr>
          <w:color w:val="000000"/>
          <w:lang w:eastAsia="fr-FR" w:bidi="fr-FR"/>
        </w:rPr>
        <w:t>À</w:t>
      </w:r>
      <w:r w:rsidRPr="00246AE4">
        <w:rPr>
          <w:color w:val="000000"/>
          <w:lang w:eastAsia="fr-FR" w:bidi="fr-FR"/>
        </w:rPr>
        <w:t xml:space="preserve"> l’intérieur de chaque layette, chaque liasse, à l’intérieur de chaque liasse, chaque pièce avait son numéro d’ordre. Mais ces pr</w:t>
      </w:r>
      <w:r w:rsidRPr="00246AE4">
        <w:rPr>
          <w:color w:val="000000"/>
          <w:lang w:eastAsia="fr-FR" w:bidi="fr-FR"/>
        </w:rPr>
        <w:t>é</w:t>
      </w:r>
      <w:r w:rsidRPr="00246AE4">
        <w:rPr>
          <w:color w:val="000000"/>
          <w:lang w:eastAsia="fr-FR" w:bidi="fr-FR"/>
        </w:rPr>
        <w:t>cieuses archives paraissent avoir beaucoup souffert de la Révolution. Les archives départementales de Seine-et-Oise en ont recueilli les d</w:t>
      </w:r>
      <w:r w:rsidRPr="00246AE4">
        <w:rPr>
          <w:color w:val="000000"/>
          <w:lang w:eastAsia="fr-FR" w:bidi="fr-FR"/>
        </w:rPr>
        <w:t>é</w:t>
      </w:r>
      <w:r w:rsidRPr="00246AE4">
        <w:rPr>
          <w:color w:val="000000"/>
          <w:lang w:eastAsia="fr-FR" w:bidi="fr-FR"/>
        </w:rPr>
        <w:t xml:space="preserve">bris : seize registres et dix-sept cartons ou liasses suffisent à renfermer ce qui nous reste des documents qu’avait gardés l’église de Sainte-Bathilde ; aucune des pièces ainsi conservées n’est antérieure au </w:t>
      </w:r>
      <w:r w:rsidRPr="002F06B0">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w:t>
      </w:r>
      <w:r>
        <w:rPr>
          <w:color w:val="000000"/>
          <w:lang w:eastAsia="fr-FR" w:bidi="fr-FR"/>
        </w:rPr>
        <w:t> </w:t>
      </w:r>
      <w:r>
        <w:rPr>
          <w:rStyle w:val="Appelnotedebasdep"/>
        </w:rPr>
        <w:footnoteReference w:id="291"/>
      </w:r>
      <w:r w:rsidRPr="00246AE4">
        <w:rPr>
          <w:color w:val="000000"/>
          <w:lang w:eastAsia="fr-FR" w:bidi="fr-FR"/>
        </w:rPr>
        <w:t>.</w:t>
      </w:r>
    </w:p>
    <w:p w14:paraId="7E452725" w14:textId="77777777" w:rsidR="00B9662D" w:rsidRPr="00246AE4" w:rsidRDefault="00B9662D" w:rsidP="00B9662D">
      <w:pPr>
        <w:spacing w:before="120" w:after="120"/>
        <w:jc w:val="both"/>
      </w:pPr>
      <w:r w:rsidRPr="00246AE4">
        <w:rPr>
          <w:color w:val="000000"/>
          <w:lang w:eastAsia="fr-FR" w:bidi="fr-FR"/>
        </w:rPr>
        <w:lastRenderedPageBreak/>
        <w:t xml:space="preserve">Heureusement des inventaires anciens permettent de suppléer, dans une certaine mesure, à la perte de tant de documents intéressants. Mais ces inventaires eux-mêmes qu’avaient dressés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de diligents archivistes, nous sommes loin de les posséder aujourd’hui au complet. Il y avait au moins deux séries d’inventaires : de chacune de ces deux séries, nous n’avons plus que des fragments. De la pr</w:t>
      </w:r>
      <w:r w:rsidRPr="00246AE4">
        <w:rPr>
          <w:color w:val="000000"/>
          <w:lang w:eastAsia="fr-FR" w:bidi="fr-FR"/>
        </w:rPr>
        <w:t>e</w:t>
      </w:r>
      <w:r w:rsidRPr="00246AE4">
        <w:rPr>
          <w:color w:val="000000"/>
          <w:lang w:eastAsia="fr-FR" w:bidi="fr-FR"/>
        </w:rPr>
        <w:t>mière, qui se caractérisait par des analyses relativement développées, deux volumes nous restent, conservés aux archives de Seine-et-Marne sous les cotes H 410 et H 411 ; le volume premier va de la première layette du chapitre C à l’unique layette du chapitre H ; le second de la première layette du chapitre I à la première layette du chapitre O. Les inventaires de la deuxième série consacraient aux documents des me</w:t>
      </w:r>
      <w:r w:rsidRPr="00246AE4">
        <w:rPr>
          <w:color w:val="000000"/>
          <w:lang w:eastAsia="fr-FR" w:bidi="fr-FR"/>
        </w:rPr>
        <w:t>n</w:t>
      </w:r>
      <w:r w:rsidRPr="00246AE4">
        <w:rPr>
          <w:color w:val="000000"/>
          <w:lang w:eastAsia="fr-FR" w:bidi="fr-FR"/>
        </w:rPr>
        <w:t>tions assez succinctes ; un seul volume subsiste ; classé aux archives de Seine-et-Marne sous la cote H 409, il comprend les chapitres A à H.</w:t>
      </w:r>
    </w:p>
    <w:p w14:paraId="3DFBB91E" w14:textId="77777777" w:rsidR="00B9662D" w:rsidRPr="00246AE4" w:rsidRDefault="00B9662D" w:rsidP="00B9662D">
      <w:pPr>
        <w:spacing w:before="120" w:after="120"/>
        <w:jc w:val="both"/>
      </w:pPr>
      <w:r w:rsidRPr="00246AE4">
        <w:rPr>
          <w:color w:val="000000"/>
          <w:lang w:eastAsia="fr-FR" w:bidi="fr-FR"/>
        </w:rPr>
        <w:t>Les cartulaires sont la source la plus riche où puise l’historien de Chelles. Voici la liste des cartulaires,</w:t>
      </w:r>
      <w:r>
        <w:rPr>
          <w:color w:val="000000"/>
          <w:lang w:eastAsia="fr-FR" w:bidi="fr-FR"/>
        </w:rPr>
        <w:t> — </w:t>
      </w:r>
      <w:r w:rsidRPr="00246AE4">
        <w:rPr>
          <w:color w:val="000000"/>
          <w:lang w:eastAsia="fr-FR" w:bidi="fr-FR"/>
        </w:rPr>
        <w:t>les uns conservés, les autres perdus,</w:t>
      </w:r>
      <w:r>
        <w:rPr>
          <w:color w:val="000000"/>
          <w:lang w:eastAsia="fr-FR" w:bidi="fr-FR"/>
        </w:rPr>
        <w:t> — </w:t>
      </w:r>
      <w:r w:rsidRPr="00246AE4">
        <w:rPr>
          <w:color w:val="000000"/>
          <w:lang w:eastAsia="fr-FR" w:bidi="fr-FR"/>
        </w:rPr>
        <w:t>qu’à notre connaissance posséda l’abbaye de Chelles.</w:t>
      </w:r>
    </w:p>
    <w:p w14:paraId="7CF98558" w14:textId="77777777" w:rsidR="00B9662D" w:rsidRPr="00246AE4" w:rsidRDefault="00B9662D" w:rsidP="00B9662D">
      <w:pPr>
        <w:spacing w:before="120" w:after="120"/>
        <w:jc w:val="both"/>
      </w:pPr>
      <w:r>
        <w:rPr>
          <w:color w:val="000000"/>
          <w:lang w:eastAsia="fr-FR" w:bidi="fr-FR"/>
        </w:rPr>
        <w:t>[680]</w:t>
      </w:r>
    </w:p>
    <w:p w14:paraId="0B7D6BD2" w14:textId="77777777" w:rsidR="00B9662D" w:rsidRDefault="00B9662D" w:rsidP="00B9662D">
      <w:pPr>
        <w:spacing w:before="120" w:after="120"/>
        <w:jc w:val="both"/>
      </w:pPr>
    </w:p>
    <w:p w14:paraId="659E0B83" w14:textId="77777777" w:rsidR="00B9662D" w:rsidRPr="00246AE4" w:rsidRDefault="00B9662D" w:rsidP="00B9662D">
      <w:pPr>
        <w:spacing w:before="120" w:after="120"/>
        <w:jc w:val="both"/>
      </w:pPr>
      <w:r w:rsidRPr="002F06B0">
        <w:rPr>
          <w:i/>
        </w:rPr>
        <w:t xml:space="preserve">A. Chartularium </w:t>
      </w:r>
      <w:r>
        <w:rPr>
          <w:i/>
        </w:rPr>
        <w:t>Vetus</w:t>
      </w:r>
      <w:r w:rsidRPr="002F06B0">
        <w:rPr>
          <w:i/>
        </w:rPr>
        <w:t xml:space="preserve"> Kalense</w:t>
      </w:r>
      <w:r w:rsidRPr="00246AE4">
        <w:t>.</w:t>
      </w:r>
      <w:r w:rsidRPr="00246AE4">
        <w:rPr>
          <w:color w:val="000000"/>
          <w:lang w:eastAsia="fr-FR" w:bidi="fr-FR"/>
        </w:rPr>
        <w:t xml:space="preserve"> Ce manuscrit, qui avait un peu plus de 242 feuillets, a disparu. Mais nous possédons encore,</w:t>
      </w:r>
      <w:r>
        <w:rPr>
          <w:color w:val="000000"/>
          <w:lang w:eastAsia="fr-FR" w:bidi="fr-FR"/>
        </w:rPr>
        <w:t> — </w:t>
      </w:r>
      <w:r w:rsidRPr="00246AE4">
        <w:rPr>
          <w:color w:val="000000"/>
          <w:lang w:eastAsia="fr-FR" w:bidi="fr-FR"/>
        </w:rPr>
        <w:t>dans le ms. 16188 du fonds français de la Bibliothèque Nationale, fol. 2-74 v°,</w:t>
      </w:r>
      <w:r>
        <w:rPr>
          <w:color w:val="000000"/>
          <w:lang w:eastAsia="fr-FR" w:bidi="fr-FR"/>
        </w:rPr>
        <w:t> — </w:t>
      </w:r>
      <w:r w:rsidRPr="00246AE4">
        <w:rPr>
          <w:color w:val="000000"/>
          <w:lang w:eastAsia="fr-FR" w:bidi="fr-FR"/>
        </w:rPr>
        <w:t xml:space="preserve">l’analyse qu’au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en fit le feudiste Galland</w:t>
      </w:r>
      <w:r>
        <w:rPr>
          <w:color w:val="000000"/>
          <w:lang w:eastAsia="fr-FR" w:bidi="fr-FR"/>
        </w:rPr>
        <w:t> </w:t>
      </w:r>
      <w:r>
        <w:rPr>
          <w:rStyle w:val="Appelnotedebasdep"/>
        </w:rPr>
        <w:footnoteReference w:id="292"/>
      </w:r>
      <w:r w:rsidRPr="00246AE4">
        <w:rPr>
          <w:color w:val="000000"/>
          <w:lang w:eastAsia="fr-FR" w:bidi="fr-FR"/>
        </w:rPr>
        <w:t xml:space="preserve">. L’analyse fut rédigée pièce par pièce, en français. Le document le plus ancien inséré dans le </w:t>
      </w:r>
      <w:r w:rsidRPr="00AC68B2">
        <w:rPr>
          <w:i/>
        </w:rPr>
        <w:t>Chartularium Vetus</w:t>
      </w:r>
      <w:r w:rsidRPr="00246AE4">
        <w:rPr>
          <w:color w:val="000000"/>
          <w:lang w:eastAsia="fr-FR" w:bidi="fr-FR"/>
        </w:rPr>
        <w:t xml:space="preserve"> était, je l’ai indiqué plus haut, un diplôme de Louis</w:t>
      </w:r>
      <w:r>
        <w:rPr>
          <w:color w:val="000000"/>
          <w:lang w:eastAsia="fr-FR" w:bidi="fr-FR"/>
        </w:rPr>
        <w:t> </w:t>
      </w:r>
      <w:r w:rsidRPr="00246AE4">
        <w:rPr>
          <w:color w:val="000000"/>
          <w:lang w:eastAsia="fr-FR" w:bidi="fr-FR"/>
        </w:rPr>
        <w:t>VI, de l’année 1128, 20</w:t>
      </w:r>
      <w:r w:rsidRPr="00246AE4">
        <w:rPr>
          <w:color w:val="000000"/>
          <w:vertAlign w:val="superscript"/>
          <w:lang w:eastAsia="fr-FR" w:bidi="fr-FR"/>
        </w:rPr>
        <w:t>e</w:t>
      </w:r>
      <w:r w:rsidRPr="00246AE4">
        <w:rPr>
          <w:color w:val="000000"/>
          <w:lang w:eastAsia="fr-FR" w:bidi="fr-FR"/>
        </w:rPr>
        <w:t xml:space="preserve"> du règne. Le plus récent était de 1342</w:t>
      </w:r>
      <w:r>
        <w:rPr>
          <w:color w:val="000000"/>
          <w:lang w:eastAsia="fr-FR" w:bidi="fr-FR"/>
        </w:rPr>
        <w:t> </w:t>
      </w:r>
      <w:r>
        <w:rPr>
          <w:rStyle w:val="Appelnotedebasdep"/>
        </w:rPr>
        <w:footnoteReference w:id="293"/>
      </w:r>
      <w:r w:rsidRPr="00246AE4">
        <w:rPr>
          <w:color w:val="000000"/>
          <w:lang w:eastAsia="fr-FR" w:bidi="fr-FR"/>
        </w:rPr>
        <w:t xml:space="preserve">. Mais il faut remarquer que les pièces du </w:t>
      </w:r>
      <w:r w:rsidRPr="002F06B0">
        <w:rPr>
          <w:caps/>
          <w:color w:val="000000"/>
          <w:lang w:eastAsia="fr-FR" w:bidi="fr-FR"/>
        </w:rPr>
        <w:t>x</w:t>
      </w:r>
      <w:r w:rsidRPr="002F06B0">
        <w:rPr>
          <w:caps/>
          <w:color w:val="000000"/>
          <w:lang w:eastAsia="fr-FR" w:bidi="fr-FR"/>
        </w:rPr>
        <w:t>i</w:t>
      </w:r>
      <w:r w:rsidRPr="002F06B0">
        <w:rPr>
          <w:caps/>
          <w:color w:val="000000"/>
          <w:lang w:eastAsia="fr-FR" w:bidi="fr-FR"/>
        </w:rPr>
        <w:t>v</w:t>
      </w:r>
      <w:r w:rsidRPr="00246AE4">
        <w:rPr>
          <w:color w:val="000000"/>
          <w:vertAlign w:val="superscript"/>
          <w:lang w:eastAsia="fr-FR" w:bidi="fr-FR"/>
        </w:rPr>
        <w:t>e</w:t>
      </w:r>
      <w:r>
        <w:rPr>
          <w:color w:val="000000"/>
          <w:lang w:eastAsia="fr-FR" w:bidi="fr-FR"/>
        </w:rPr>
        <w:t> </w:t>
      </w:r>
      <w:r w:rsidRPr="00246AE4">
        <w:rPr>
          <w:color w:val="000000"/>
          <w:lang w:eastAsia="fr-FR" w:bidi="fr-FR"/>
        </w:rPr>
        <w:t xml:space="preserve">siècle se trouvaient groupées à la fin du volume, bien que l’ordre </w:t>
      </w:r>
      <w:r w:rsidRPr="00246AE4">
        <w:rPr>
          <w:color w:val="000000"/>
          <w:lang w:eastAsia="fr-FR" w:bidi="fr-FR"/>
        </w:rPr>
        <w:lastRenderedPageBreak/>
        <w:t>adopté dans le reste du cartulaire ne fût point l’ordre chronologique. Je croirais volontiers que, comme il arrive souvent, ces pièces plus récentes avaient été ajoutées, postérieurement à la confection du cart</w:t>
      </w:r>
      <w:r w:rsidRPr="00246AE4">
        <w:rPr>
          <w:color w:val="000000"/>
          <w:lang w:eastAsia="fr-FR" w:bidi="fr-FR"/>
        </w:rPr>
        <w:t>u</w:t>
      </w:r>
      <w:r w:rsidRPr="00246AE4">
        <w:rPr>
          <w:color w:val="000000"/>
          <w:lang w:eastAsia="fr-FR" w:bidi="fr-FR"/>
        </w:rPr>
        <w:t>laire, sur des feuillets laissés en blanc à la fin du manuscrit. Pour m</w:t>
      </w:r>
      <w:r w:rsidRPr="00246AE4">
        <w:rPr>
          <w:color w:val="000000"/>
          <w:lang w:eastAsia="fr-FR" w:bidi="fr-FR"/>
        </w:rPr>
        <w:t>é</w:t>
      </w:r>
      <w:r w:rsidRPr="00246AE4">
        <w:rPr>
          <w:color w:val="000000"/>
          <w:lang w:eastAsia="fr-FR" w:bidi="fr-FR"/>
        </w:rPr>
        <w:t xml:space="preserve">riter son nom, le </w:t>
      </w:r>
      <w:r w:rsidRPr="00AC68B2">
        <w:rPr>
          <w:i/>
        </w:rPr>
        <w:t>Chartularium Vetus</w:t>
      </w:r>
      <w:r w:rsidRPr="00246AE4">
        <w:rPr>
          <w:color w:val="000000"/>
          <w:lang w:eastAsia="fr-FR" w:bidi="fr-FR"/>
        </w:rPr>
        <w:t xml:space="preserve"> devait être antérieur à l’année 1292, date de la composition du second des cartulaires de Chelles.</w:t>
      </w:r>
    </w:p>
    <w:p w14:paraId="7B2C9194" w14:textId="77777777" w:rsidR="00B9662D" w:rsidRDefault="00B9662D" w:rsidP="00B9662D">
      <w:pPr>
        <w:spacing w:before="120" w:after="120"/>
        <w:jc w:val="both"/>
      </w:pPr>
    </w:p>
    <w:p w14:paraId="77D9D7AB" w14:textId="77777777" w:rsidR="00B9662D" w:rsidRPr="00246AE4" w:rsidRDefault="00B9662D" w:rsidP="00B9662D">
      <w:pPr>
        <w:spacing w:before="120" w:after="120"/>
        <w:jc w:val="both"/>
      </w:pPr>
      <w:r w:rsidRPr="002F06B0">
        <w:rPr>
          <w:i/>
        </w:rPr>
        <w:t>B. Liber privillegiorum seu cartularum ecclesie de Kala</w:t>
      </w:r>
      <w:r w:rsidRPr="00246AE4">
        <w:t>,</w:t>
      </w:r>
      <w:r w:rsidRPr="00246AE4">
        <w:rPr>
          <w:color w:val="000000"/>
          <w:lang w:eastAsia="fr-FR" w:bidi="fr-FR"/>
        </w:rPr>
        <w:t xml:space="preserve"> compilé en 1292 sous la direction de l’abbesse Adeluie de Nanteuil. Comme le précédent, ce manuscrit est perdu, et son existence, je crois, n’a enc</w:t>
      </w:r>
      <w:r w:rsidRPr="00246AE4">
        <w:rPr>
          <w:color w:val="000000"/>
          <w:lang w:eastAsia="fr-FR" w:bidi="fr-FR"/>
        </w:rPr>
        <w:t>o</w:t>
      </w:r>
      <w:r w:rsidRPr="00246AE4">
        <w:rPr>
          <w:color w:val="000000"/>
          <w:lang w:eastAsia="fr-FR" w:bidi="fr-FR"/>
        </w:rPr>
        <w:t>re été signalée nulle part. Nous possédons,</w:t>
      </w:r>
      <w:r>
        <w:rPr>
          <w:color w:val="000000"/>
          <w:lang w:eastAsia="fr-FR" w:bidi="fr-FR"/>
        </w:rPr>
        <w:t> — </w:t>
      </w:r>
      <w:r w:rsidRPr="00246AE4">
        <w:rPr>
          <w:color w:val="000000"/>
          <w:lang w:eastAsia="fr-FR" w:bidi="fr-FR"/>
        </w:rPr>
        <w:t>en copie,</w:t>
      </w:r>
      <w:r>
        <w:rPr>
          <w:color w:val="000000"/>
          <w:lang w:eastAsia="fr-FR" w:bidi="fr-FR"/>
        </w:rPr>
        <w:t> — </w:t>
      </w:r>
      <w:r w:rsidRPr="00246AE4">
        <w:rPr>
          <w:color w:val="000000"/>
          <w:lang w:eastAsia="fr-FR" w:bidi="fr-FR"/>
        </w:rPr>
        <w:t xml:space="preserve">le procès-verbal d’un sergent à cheval du Châtelet, Guillaume du Tartre, qui, le 23 avril 1515, agissant en vertu d’une commission du prévôt de Paris ou de son lieutenant civil, se fit présenter le </w:t>
      </w:r>
      <w:r w:rsidRPr="002F06B0">
        <w:rPr>
          <w:i/>
        </w:rPr>
        <w:t>Liber Privillegiorum</w:t>
      </w:r>
      <w:r w:rsidRPr="00246AE4">
        <w:rPr>
          <w:color w:val="000000"/>
          <w:lang w:eastAsia="fr-FR" w:bidi="fr-FR"/>
        </w:rPr>
        <w:t xml:space="preserve"> à ce moment encore conservé dans l’abbaye, afin d’en extraire dix pièces intéressant un procès que les religieuses soutenaient contre Louis de Graville, amiral de France. Ce procès-verbal nous donne du </w:t>
      </w:r>
      <w:r w:rsidRPr="002F06B0">
        <w:rPr>
          <w:i/>
        </w:rPr>
        <w:t>Liber Pr</w:t>
      </w:r>
      <w:r w:rsidRPr="002F06B0">
        <w:rPr>
          <w:i/>
        </w:rPr>
        <w:t>i</w:t>
      </w:r>
      <w:r w:rsidRPr="002F06B0">
        <w:rPr>
          <w:i/>
        </w:rPr>
        <w:t>villegiorum</w:t>
      </w:r>
      <w:r w:rsidRPr="00246AE4">
        <w:rPr>
          <w:color w:val="000000"/>
          <w:lang w:eastAsia="fr-FR" w:bidi="fr-FR"/>
        </w:rPr>
        <w:t xml:space="preserve"> une description très précise que l’on trouvera en note</w:t>
      </w:r>
      <w:r>
        <w:rPr>
          <w:color w:val="000000"/>
          <w:lang w:eastAsia="fr-FR" w:bidi="fr-FR"/>
        </w:rPr>
        <w:t> </w:t>
      </w:r>
      <w:r>
        <w:rPr>
          <w:rStyle w:val="Appelnotedebasdep"/>
        </w:rPr>
        <w:footnoteReference w:id="294"/>
      </w:r>
      <w:r w:rsidRPr="00246AE4">
        <w:rPr>
          <w:color w:val="000000"/>
          <w:lang w:eastAsia="fr-FR" w:bidi="fr-FR"/>
        </w:rPr>
        <w:t xml:space="preserve">. Guillaume du Tartre releva avec beaucoup d’exactitude les </w:t>
      </w:r>
      <w:r w:rsidRPr="00246AE4">
        <w:rPr>
          <w:color w:val="000000"/>
          <w:lang w:eastAsia="fr-FR" w:bidi="fr-FR"/>
        </w:rPr>
        <w:lastRenderedPageBreak/>
        <w:t xml:space="preserve">feuillets sur lesquels se trouvaient transcrits, dans le manuscrit qu’il avait sous les yeux, les documents qu’il copiait. D’autre part, un siècle plus tard, Galland prit presque toujours le même soin pour les documents du </w:t>
      </w:r>
      <w:r w:rsidRPr="002F06B0">
        <w:rPr>
          <w:i/>
        </w:rPr>
        <w:t>Chartularium Vetus</w:t>
      </w:r>
      <w:r w:rsidRPr="00246AE4">
        <w:rPr>
          <w:color w:val="000000"/>
          <w:lang w:eastAsia="fr-FR" w:bidi="fr-FR"/>
        </w:rPr>
        <w:t xml:space="preserve"> qu’il analysait. En comparant, pour</w:t>
      </w:r>
      <w:r>
        <w:t xml:space="preserve"> [</w:t>
      </w:r>
      <w:r w:rsidRPr="00246AE4">
        <w:rPr>
          <w:color w:val="000000"/>
          <w:lang w:eastAsia="fr-FR" w:bidi="fr-FR"/>
        </w:rPr>
        <w:t>681</w:t>
      </w:r>
      <w:r>
        <w:rPr>
          <w:color w:val="000000"/>
          <w:lang w:eastAsia="fr-FR" w:bidi="fr-FR"/>
        </w:rPr>
        <w:t>] l</w:t>
      </w:r>
      <w:r w:rsidRPr="00246AE4">
        <w:rPr>
          <w:color w:val="000000"/>
          <w:lang w:eastAsia="fr-FR" w:bidi="fr-FR"/>
        </w:rPr>
        <w:t>es d</w:t>
      </w:r>
      <w:r w:rsidRPr="00246AE4">
        <w:rPr>
          <w:color w:val="000000"/>
          <w:lang w:eastAsia="fr-FR" w:bidi="fr-FR"/>
        </w:rPr>
        <w:t>o</w:t>
      </w:r>
      <w:r w:rsidRPr="00246AE4">
        <w:rPr>
          <w:color w:val="000000"/>
          <w:lang w:eastAsia="fr-FR" w:bidi="fr-FR"/>
        </w:rPr>
        <w:t>cuments qui furent à la fois et reproduits par Guillaume du Tartre et analysés dans le manuscrit de Galland, les indications de f</w:t>
      </w:r>
      <w:r w:rsidRPr="00246AE4">
        <w:rPr>
          <w:color w:val="000000"/>
          <w:lang w:eastAsia="fr-FR" w:bidi="fr-FR"/>
        </w:rPr>
        <w:t>o</w:t>
      </w:r>
      <w:r w:rsidRPr="00246AE4">
        <w:rPr>
          <w:color w:val="000000"/>
          <w:lang w:eastAsia="fr-FR" w:bidi="fr-FR"/>
        </w:rPr>
        <w:t xml:space="preserve">liotation fournies par nos deux sources, nous constaterons que le </w:t>
      </w:r>
      <w:r w:rsidRPr="00161E71">
        <w:rPr>
          <w:i/>
        </w:rPr>
        <w:t>Chartularium Vetus</w:t>
      </w:r>
      <w:r w:rsidRPr="00246AE4">
        <w:rPr>
          <w:color w:val="000000"/>
          <w:lang w:eastAsia="fr-FR" w:bidi="fr-FR"/>
        </w:rPr>
        <w:t xml:space="preserve"> et le </w:t>
      </w:r>
      <w:r w:rsidRPr="00161E71">
        <w:rPr>
          <w:i/>
        </w:rPr>
        <w:t>Liber Privillegiorum</w:t>
      </w:r>
      <w:r w:rsidRPr="00246AE4">
        <w:rPr>
          <w:color w:val="000000"/>
          <w:lang w:eastAsia="fr-FR" w:bidi="fr-FR"/>
        </w:rPr>
        <w:t xml:space="preserve"> étaient bien, non, comme on aurait pu le supposer, le même manuscrit sous deux appe</w:t>
      </w:r>
      <w:r w:rsidRPr="00246AE4">
        <w:rPr>
          <w:color w:val="000000"/>
          <w:lang w:eastAsia="fr-FR" w:bidi="fr-FR"/>
        </w:rPr>
        <w:t>l</w:t>
      </w:r>
      <w:r w:rsidRPr="00246AE4">
        <w:rPr>
          <w:color w:val="000000"/>
          <w:lang w:eastAsia="fr-FR" w:bidi="fr-FR"/>
        </w:rPr>
        <w:t>lations différentes, mais deux manuscrits absolument distincts l’un de l’autre</w:t>
      </w:r>
      <w:r>
        <w:rPr>
          <w:color w:val="000000"/>
          <w:lang w:eastAsia="fr-FR" w:bidi="fr-FR"/>
        </w:rPr>
        <w:t> </w:t>
      </w:r>
      <w:r>
        <w:rPr>
          <w:rStyle w:val="Appelnotedebasdep"/>
        </w:rPr>
        <w:footnoteReference w:id="295"/>
      </w:r>
      <w:r w:rsidRPr="00246AE4">
        <w:rPr>
          <w:color w:val="000000"/>
          <w:lang w:eastAsia="fr-FR" w:bidi="fr-FR"/>
        </w:rPr>
        <w:t>.</w:t>
      </w:r>
    </w:p>
    <w:p w14:paraId="7B33B387" w14:textId="77777777" w:rsidR="00B9662D" w:rsidRDefault="00B9662D" w:rsidP="00B9662D">
      <w:pPr>
        <w:spacing w:before="120" w:after="120"/>
        <w:jc w:val="both"/>
        <w:rPr>
          <w:color w:val="000000"/>
          <w:lang w:eastAsia="fr-FR" w:bidi="fr-FR"/>
        </w:rPr>
      </w:pPr>
    </w:p>
    <w:p w14:paraId="097B3E5A" w14:textId="77777777" w:rsidR="00B9662D" w:rsidRPr="00246AE4" w:rsidRDefault="00B9662D" w:rsidP="00B9662D">
      <w:pPr>
        <w:spacing w:before="120" w:after="120"/>
        <w:jc w:val="both"/>
      </w:pPr>
      <w:r w:rsidRPr="00161E71">
        <w:rPr>
          <w:i/>
          <w:color w:val="000000"/>
          <w:lang w:eastAsia="fr-FR" w:bidi="fr-FR"/>
        </w:rPr>
        <w:t>C</w:t>
      </w:r>
      <w:r>
        <w:rPr>
          <w:color w:val="000000"/>
          <w:lang w:eastAsia="fr-FR" w:bidi="fr-FR"/>
        </w:rPr>
        <w:t xml:space="preserve">. </w:t>
      </w:r>
      <w:r w:rsidRPr="00246AE4">
        <w:rPr>
          <w:color w:val="000000"/>
          <w:lang w:eastAsia="fr-FR" w:bidi="fr-FR"/>
        </w:rPr>
        <w:t>Cartulaire en trois volumes compilé en 1530 sur l’ordre de l’abbesse Madeleine de Chelles. Selon l’habitude de l’époque, deux notaires,</w:t>
      </w:r>
      <w:r>
        <w:rPr>
          <w:color w:val="000000"/>
          <w:lang w:eastAsia="fr-FR" w:bidi="fr-FR"/>
        </w:rPr>
        <w:t> — </w:t>
      </w:r>
      <w:r w:rsidRPr="00246AE4">
        <w:rPr>
          <w:color w:val="000000"/>
          <w:lang w:eastAsia="fr-FR" w:bidi="fr-FR"/>
        </w:rPr>
        <w:t>P. Ravel et J. Champin,</w:t>
      </w:r>
      <w:r>
        <w:rPr>
          <w:color w:val="000000"/>
          <w:lang w:eastAsia="fr-FR" w:bidi="fr-FR"/>
        </w:rPr>
        <w:t> — </w:t>
      </w:r>
      <w:r w:rsidRPr="00246AE4">
        <w:rPr>
          <w:color w:val="000000"/>
          <w:lang w:eastAsia="fr-FR" w:bidi="fr-FR"/>
        </w:rPr>
        <w:t>avaient authentiqué de leurs griffes chacune des pièces enregistrées dans le nouveau cartulaire</w:t>
      </w:r>
      <w:r>
        <w:rPr>
          <w:color w:val="000000"/>
          <w:lang w:eastAsia="fr-FR" w:bidi="fr-FR"/>
        </w:rPr>
        <w:t> </w:t>
      </w:r>
      <w:r>
        <w:rPr>
          <w:rStyle w:val="Appelnotedebasdep"/>
        </w:rPr>
        <w:footnoteReference w:id="296"/>
      </w:r>
      <w:r w:rsidRPr="00246AE4">
        <w:rPr>
          <w:color w:val="000000"/>
          <w:lang w:eastAsia="fr-FR" w:bidi="fr-FR"/>
        </w:rPr>
        <w:t>. Madeleine de Chelles avait fait insérer dans son recueil les pièces a</w:t>
      </w:r>
      <w:r w:rsidRPr="00246AE4">
        <w:rPr>
          <w:color w:val="000000"/>
          <w:lang w:eastAsia="fr-FR" w:bidi="fr-FR"/>
        </w:rPr>
        <w:t>n</w:t>
      </w:r>
      <w:r w:rsidRPr="00246AE4">
        <w:rPr>
          <w:color w:val="000000"/>
          <w:lang w:eastAsia="fr-FR" w:bidi="fr-FR"/>
        </w:rPr>
        <w:t>ciennes, même lorsqu’elles avaient déjà trouvé place dans les cartula</w:t>
      </w:r>
      <w:r w:rsidRPr="00246AE4">
        <w:rPr>
          <w:color w:val="000000"/>
          <w:lang w:eastAsia="fr-FR" w:bidi="fr-FR"/>
        </w:rPr>
        <w:t>i</w:t>
      </w:r>
      <w:r w:rsidRPr="00246AE4">
        <w:rPr>
          <w:color w:val="000000"/>
          <w:lang w:eastAsia="fr-FR" w:bidi="fr-FR"/>
        </w:rPr>
        <w:t xml:space="preserve">res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Il n’est pas impossible du reste que ces pièces aient été copiées précisément d’après ces cartulaires ou d’après l’un d’eux, non d’après les originaux</w:t>
      </w:r>
      <w:r>
        <w:rPr>
          <w:color w:val="000000"/>
          <w:lang w:eastAsia="fr-FR" w:bidi="fr-FR"/>
        </w:rPr>
        <w:t> </w:t>
      </w:r>
      <w:r>
        <w:rPr>
          <w:rStyle w:val="Appelnotedebasdep"/>
        </w:rPr>
        <w:footnoteReference w:id="297"/>
      </w:r>
      <w:r w:rsidRPr="00246AE4">
        <w:rPr>
          <w:color w:val="000000"/>
          <w:lang w:eastAsia="fr-FR" w:bidi="fr-FR"/>
        </w:rPr>
        <w:t>. C’étaient</w:t>
      </w:r>
      <w:r>
        <w:rPr>
          <w:color w:val="000000"/>
          <w:lang w:eastAsia="fr-FR" w:bidi="fr-FR"/>
        </w:rPr>
        <w:t xml:space="preserve"> </w:t>
      </w:r>
      <w:r>
        <w:t xml:space="preserve">[682] </w:t>
      </w:r>
      <w:r w:rsidRPr="00246AE4">
        <w:rPr>
          <w:color w:val="000000"/>
          <w:lang w:eastAsia="fr-FR" w:bidi="fr-FR"/>
        </w:rPr>
        <w:t>de beaux vo</w:t>
      </w:r>
      <w:r w:rsidRPr="00246AE4">
        <w:rPr>
          <w:color w:val="000000"/>
          <w:lang w:eastAsia="fr-FR" w:bidi="fr-FR"/>
        </w:rPr>
        <w:lastRenderedPageBreak/>
        <w:t>lumes que ceux qu’avait ainsi fait établir Madeleine de Chelles ; ils avaient coûté à l’abbaye 351 livres et 12 sous tournois</w:t>
      </w:r>
      <w:r>
        <w:rPr>
          <w:color w:val="000000"/>
          <w:lang w:eastAsia="fr-FR" w:bidi="fr-FR"/>
        </w:rPr>
        <w:t> </w:t>
      </w:r>
      <w:r>
        <w:rPr>
          <w:rStyle w:val="Appelnotedebasdep"/>
        </w:rPr>
        <w:footnoteReference w:id="298"/>
      </w:r>
      <w:r w:rsidRPr="00246AE4">
        <w:rPr>
          <w:color w:val="000000"/>
          <w:lang w:eastAsia="fr-FR" w:bidi="fr-FR"/>
        </w:rPr>
        <w:t>. Un seul sur les trois subsi</w:t>
      </w:r>
      <w:r w:rsidRPr="00246AE4">
        <w:rPr>
          <w:color w:val="000000"/>
          <w:lang w:eastAsia="fr-FR" w:bidi="fr-FR"/>
        </w:rPr>
        <w:t>s</w:t>
      </w:r>
      <w:r w:rsidRPr="00246AE4">
        <w:rPr>
          <w:color w:val="000000"/>
          <w:lang w:eastAsia="fr-FR" w:bidi="fr-FR"/>
        </w:rPr>
        <w:t>te : la bibliothèque de la ville de Meaux le possède aujourd’hui ; il y est classé sous la cote 59</w:t>
      </w:r>
      <w:r>
        <w:rPr>
          <w:color w:val="000000"/>
          <w:lang w:eastAsia="fr-FR" w:bidi="fr-FR"/>
        </w:rPr>
        <w:t> </w:t>
      </w:r>
      <w:r>
        <w:rPr>
          <w:rStyle w:val="Appelnotedebasdep"/>
        </w:rPr>
        <w:footnoteReference w:id="299"/>
      </w:r>
      <w:r w:rsidRPr="00246AE4">
        <w:rPr>
          <w:color w:val="000000"/>
          <w:lang w:eastAsia="fr-FR" w:bidi="fr-FR"/>
        </w:rPr>
        <w:t>. Il renferme les titres des seigneuries de Chelles et de Montfermeil</w:t>
      </w:r>
      <w:r>
        <w:rPr>
          <w:color w:val="000000"/>
          <w:lang w:eastAsia="fr-FR" w:bidi="fr-FR"/>
        </w:rPr>
        <w:t> </w:t>
      </w:r>
      <w:r>
        <w:rPr>
          <w:rStyle w:val="Appelnotedebasdep"/>
        </w:rPr>
        <w:footnoteReference w:id="300"/>
      </w:r>
      <w:r w:rsidRPr="00246AE4">
        <w:rPr>
          <w:color w:val="000000"/>
          <w:lang w:eastAsia="fr-FR" w:bidi="fr-FR"/>
        </w:rPr>
        <w:t xml:space="preserve"> (l’ordre adopté pour le classement des documents, en 1530, était l’ordre topograph</w:t>
      </w:r>
      <w:r w:rsidRPr="00246AE4">
        <w:rPr>
          <w:color w:val="000000"/>
          <w:lang w:eastAsia="fr-FR" w:bidi="fr-FR"/>
        </w:rPr>
        <w:t>i</w:t>
      </w:r>
      <w:r w:rsidRPr="00246AE4">
        <w:rPr>
          <w:color w:val="000000"/>
          <w:lang w:eastAsia="fr-FR" w:bidi="fr-FR"/>
        </w:rPr>
        <w:t>que) ; en outre, sur ses derniers feuillets, on lit un très précieux cat</w:t>
      </w:r>
      <w:r w:rsidRPr="00246AE4">
        <w:rPr>
          <w:color w:val="000000"/>
          <w:lang w:eastAsia="fr-FR" w:bidi="fr-FR"/>
        </w:rPr>
        <w:t>a</w:t>
      </w:r>
      <w:r w:rsidRPr="00246AE4">
        <w:rPr>
          <w:color w:val="000000"/>
          <w:lang w:eastAsia="fr-FR" w:bidi="fr-FR"/>
        </w:rPr>
        <w:t>logue des abbesses, tenu à jour jusqu’en 1688 et qui, jusqu’en 1550, est en même temps qu’un catalogue une véritable chronique de l’abbaye</w:t>
      </w:r>
      <w:r>
        <w:rPr>
          <w:color w:val="000000"/>
          <w:lang w:eastAsia="fr-FR" w:bidi="fr-FR"/>
        </w:rPr>
        <w:t> </w:t>
      </w:r>
      <w:r>
        <w:rPr>
          <w:rStyle w:val="Appelnotedebasdep"/>
        </w:rPr>
        <w:footnoteReference w:id="301"/>
      </w:r>
      <w:r w:rsidRPr="00246AE4">
        <w:rPr>
          <w:color w:val="000000"/>
          <w:lang w:eastAsia="fr-FR" w:bidi="fr-FR"/>
        </w:rPr>
        <w:t>.</w:t>
      </w:r>
    </w:p>
    <w:p w14:paraId="5813C35B" w14:textId="77777777" w:rsidR="00B9662D" w:rsidRPr="00246AE4" w:rsidRDefault="00B9662D" w:rsidP="00B9662D">
      <w:pPr>
        <w:spacing w:before="120" w:after="120"/>
        <w:jc w:val="both"/>
      </w:pPr>
      <w:r>
        <w:rPr>
          <w:i/>
          <w:color w:val="000000"/>
          <w:lang w:eastAsia="fr-FR" w:bidi="fr-FR"/>
        </w:rPr>
        <w:t>D. </w:t>
      </w:r>
      <w:r w:rsidRPr="00246AE4">
        <w:rPr>
          <w:color w:val="000000"/>
          <w:lang w:eastAsia="fr-FR" w:bidi="fr-FR"/>
        </w:rPr>
        <w:t>Cartulaire en un volume entrepris en 1547 sur l’ordre de sœur Jacqueline Amignon, mère vicaire générale de l’abbesse Renée de Bourbon</w:t>
      </w:r>
      <w:r>
        <w:rPr>
          <w:color w:val="000000"/>
          <w:lang w:eastAsia="fr-FR" w:bidi="fr-FR"/>
        </w:rPr>
        <w:t> </w:t>
      </w:r>
      <w:r>
        <w:rPr>
          <w:rStyle w:val="Appelnotedebasdep"/>
        </w:rPr>
        <w:footnoteReference w:id="302"/>
      </w:r>
      <w:r w:rsidRPr="00246AE4">
        <w:rPr>
          <w:color w:val="000000"/>
          <w:lang w:eastAsia="fr-FR" w:bidi="fr-FR"/>
        </w:rPr>
        <w:t>. Ce volume devait servir de supplément aux trois vo</w:t>
      </w:r>
      <w:r w:rsidRPr="00246AE4">
        <w:rPr>
          <w:color w:val="000000"/>
          <w:lang w:eastAsia="fr-FR" w:bidi="fr-FR"/>
        </w:rPr>
        <w:lastRenderedPageBreak/>
        <w:t>lumes qu’avait fait composer Madeleine de Chelles. On y recueillit, authe</w:t>
      </w:r>
      <w:r w:rsidRPr="00246AE4">
        <w:rPr>
          <w:color w:val="000000"/>
          <w:lang w:eastAsia="fr-FR" w:bidi="fr-FR"/>
        </w:rPr>
        <w:t>n</w:t>
      </w:r>
      <w:r w:rsidRPr="00246AE4">
        <w:rPr>
          <w:color w:val="000000"/>
          <w:lang w:eastAsia="fr-FR" w:bidi="fr-FR"/>
        </w:rPr>
        <w:t>tiquées par des notaires, d’une part, quelques pièces oubliées en 1530</w:t>
      </w:r>
      <w:r>
        <w:rPr>
          <w:color w:val="000000"/>
          <w:lang w:eastAsia="fr-FR" w:bidi="fr-FR"/>
        </w:rPr>
        <w:t> </w:t>
      </w:r>
      <w:r>
        <w:rPr>
          <w:rStyle w:val="Appelnotedebasdep"/>
        </w:rPr>
        <w:footnoteReference w:id="303"/>
      </w:r>
      <w:r w:rsidRPr="00246AE4">
        <w:rPr>
          <w:color w:val="000000"/>
          <w:lang w:eastAsia="fr-FR" w:bidi="fr-FR"/>
        </w:rPr>
        <w:t>, d’autre part des pièces postérieures à la confection du cartula</w:t>
      </w:r>
      <w:r w:rsidRPr="00246AE4">
        <w:rPr>
          <w:color w:val="000000"/>
          <w:lang w:eastAsia="fr-FR" w:bidi="fr-FR"/>
        </w:rPr>
        <w:t>i</w:t>
      </w:r>
      <w:r w:rsidRPr="00246AE4">
        <w:rPr>
          <w:color w:val="000000"/>
          <w:lang w:eastAsia="fr-FR" w:bidi="fr-FR"/>
        </w:rPr>
        <w:t>re de Madeleine de Chelles, la plus récente étant du 20 juillet 1560</w:t>
      </w:r>
      <w:r>
        <w:rPr>
          <w:color w:val="000000"/>
          <w:lang w:eastAsia="fr-FR" w:bidi="fr-FR"/>
        </w:rPr>
        <w:t> </w:t>
      </w:r>
      <w:r>
        <w:rPr>
          <w:rStyle w:val="Appelnotedebasdep"/>
        </w:rPr>
        <w:footnoteReference w:id="304"/>
      </w:r>
      <w:r w:rsidRPr="00246AE4">
        <w:rPr>
          <w:color w:val="000000"/>
          <w:lang w:eastAsia="fr-FR" w:bidi="fr-FR"/>
        </w:rPr>
        <w:t>. Le cartulaire de Jacqueline Amignon est conservé aujourd’hui à la bibliothèque de Meaux sous la cote 60</w:t>
      </w:r>
      <w:r>
        <w:rPr>
          <w:color w:val="000000"/>
          <w:lang w:eastAsia="fr-FR" w:bidi="fr-FR"/>
        </w:rPr>
        <w:t> </w:t>
      </w:r>
      <w:r>
        <w:rPr>
          <w:rStyle w:val="Appelnotedebasdep"/>
        </w:rPr>
        <w:footnoteReference w:id="305"/>
      </w:r>
      <w:r w:rsidRPr="00246AE4">
        <w:rPr>
          <w:color w:val="000000"/>
          <w:lang w:eastAsia="fr-FR" w:bidi="fr-FR"/>
        </w:rPr>
        <w:t>.</w:t>
      </w:r>
    </w:p>
    <w:p w14:paraId="093A70E6" w14:textId="77777777" w:rsidR="00B9662D" w:rsidRPr="00246AE4" w:rsidRDefault="00B9662D" w:rsidP="00B9662D">
      <w:pPr>
        <w:spacing w:before="120" w:after="120"/>
        <w:jc w:val="both"/>
      </w:pPr>
      <w:r w:rsidRPr="00246AE4">
        <w:br w:type="page"/>
      </w:r>
      <w:r>
        <w:lastRenderedPageBreak/>
        <w:t>[</w:t>
      </w:r>
      <w:r w:rsidRPr="00246AE4">
        <w:rPr>
          <w:color w:val="000000"/>
          <w:lang w:eastAsia="fr-FR" w:bidi="fr-FR"/>
        </w:rPr>
        <w:t>683</w:t>
      </w:r>
      <w:r>
        <w:rPr>
          <w:color w:val="000000"/>
          <w:lang w:eastAsia="fr-FR" w:bidi="fr-FR"/>
        </w:rPr>
        <w:t>]</w:t>
      </w:r>
    </w:p>
    <w:p w14:paraId="2209DE2E" w14:textId="77777777" w:rsidR="00B9662D" w:rsidRPr="00246AE4" w:rsidRDefault="00B9662D" w:rsidP="00B9662D">
      <w:pPr>
        <w:spacing w:before="120" w:after="120"/>
        <w:jc w:val="both"/>
      </w:pPr>
      <w:r w:rsidRPr="00246AE4">
        <w:rPr>
          <w:color w:val="000000"/>
          <w:lang w:eastAsia="fr-FR" w:bidi="fr-FR"/>
        </w:rPr>
        <w:t>On le voit : pièces détachées, inventaires, cartulaires ; de tout ce qui composait les archives de l’église de Chelles, nous n’avons plus que des fragments. Ces fragments peuvent encore être de quelque pr</w:t>
      </w:r>
      <w:r w:rsidRPr="00246AE4">
        <w:rPr>
          <w:color w:val="000000"/>
          <w:lang w:eastAsia="fr-FR" w:bidi="fr-FR"/>
        </w:rPr>
        <w:t>o</w:t>
      </w:r>
      <w:r w:rsidRPr="00246AE4">
        <w:rPr>
          <w:color w:val="000000"/>
          <w:lang w:eastAsia="fr-FR" w:bidi="fr-FR"/>
        </w:rPr>
        <w:t>fit à l’historien de l’</w:t>
      </w:r>
      <w:r>
        <w:rPr>
          <w:color w:val="000000"/>
          <w:lang w:eastAsia="fr-FR" w:bidi="fr-FR"/>
        </w:rPr>
        <w:t>Île-de-France</w:t>
      </w:r>
      <w:r w:rsidRPr="00246AE4">
        <w:rPr>
          <w:color w:val="000000"/>
          <w:lang w:eastAsia="fr-FR" w:bidi="fr-FR"/>
        </w:rPr>
        <w:t>. Au surplus, on peut compléter, à l’aide d’autres sources, les renseignements qu’ils fournissent. Nous allons voir comment les débris d’un cartulaire laïque, celui des sires de Bouville, nous ont conservé un texte important relatif à la comm</w:t>
      </w:r>
      <w:r w:rsidRPr="00246AE4">
        <w:rPr>
          <w:color w:val="000000"/>
          <w:lang w:eastAsia="fr-FR" w:bidi="fr-FR"/>
        </w:rPr>
        <w:t>u</w:t>
      </w:r>
      <w:r w:rsidRPr="00246AE4">
        <w:rPr>
          <w:color w:val="000000"/>
          <w:lang w:eastAsia="fr-FR" w:bidi="fr-FR"/>
        </w:rPr>
        <w:t>ne du Chelles.</w:t>
      </w:r>
    </w:p>
    <w:p w14:paraId="6F9D4E25" w14:textId="77777777" w:rsidR="00B9662D" w:rsidRDefault="00B9662D" w:rsidP="00B9662D">
      <w:pPr>
        <w:spacing w:before="120" w:after="120"/>
        <w:jc w:val="both"/>
        <w:rPr>
          <w:color w:val="000000"/>
          <w:lang w:eastAsia="fr-FR" w:bidi="fr-FR"/>
        </w:rPr>
      </w:pPr>
    </w:p>
    <w:p w14:paraId="00CBCD91" w14:textId="77777777" w:rsidR="00B9662D" w:rsidRPr="00246AE4" w:rsidRDefault="00B9662D" w:rsidP="00B9662D">
      <w:pPr>
        <w:pStyle w:val="planche"/>
      </w:pPr>
      <w:bookmarkStart w:id="25" w:name="Melanges_t2_pt_7_chap_I_II"/>
      <w:r w:rsidRPr="00246AE4">
        <w:t>II</w:t>
      </w:r>
      <w:r>
        <w:t xml:space="preserve">. — </w:t>
      </w:r>
      <w:r w:rsidRPr="00246AE4">
        <w:t>Les cartulaires des sires de Bouville ;</w:t>
      </w:r>
      <w:r>
        <w:br/>
      </w:r>
      <w:r w:rsidRPr="00246AE4">
        <w:t xml:space="preserve">Une </w:t>
      </w:r>
      <w:r>
        <w:t>enquête sur les droits du roi à C</w:t>
      </w:r>
      <w:r w:rsidRPr="00246AE4">
        <w:t>helles,</w:t>
      </w:r>
      <w:r>
        <w:br/>
      </w:r>
      <w:r w:rsidRPr="00246AE4">
        <w:t xml:space="preserve">en </w:t>
      </w:r>
      <w:r w:rsidRPr="007B5AAB">
        <w:t>1303</w:t>
      </w:r>
    </w:p>
    <w:bookmarkEnd w:id="25"/>
    <w:p w14:paraId="2599EB59" w14:textId="77777777" w:rsidR="00B9662D" w:rsidRDefault="00B9662D" w:rsidP="00B9662D">
      <w:pPr>
        <w:spacing w:before="120" w:after="120"/>
        <w:jc w:val="both"/>
        <w:rPr>
          <w:color w:val="000000"/>
          <w:lang w:eastAsia="fr-FR" w:bidi="fr-FR"/>
        </w:rPr>
      </w:pPr>
    </w:p>
    <w:p w14:paraId="1CE68D9A"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3D30ADF" w14:textId="77777777" w:rsidR="00B9662D" w:rsidRPr="00246AE4" w:rsidRDefault="00B9662D" w:rsidP="00B9662D">
      <w:pPr>
        <w:spacing w:before="120" w:after="120"/>
        <w:jc w:val="both"/>
      </w:pPr>
      <w:r w:rsidRPr="00246AE4">
        <w:rPr>
          <w:color w:val="000000"/>
          <w:lang w:eastAsia="fr-FR" w:bidi="fr-FR"/>
        </w:rPr>
        <w:t xml:space="preserve">En 1621, André Duchesne fit paraître son </w:t>
      </w:r>
      <w:r w:rsidRPr="00DE1E75">
        <w:rPr>
          <w:i/>
        </w:rPr>
        <w:t>Histoire de la maison de Chastillon-sur-Marne</w:t>
      </w:r>
      <w:r w:rsidRPr="00DE1E75">
        <w:rPr>
          <w:i/>
          <w:color w:val="000000"/>
          <w:lang w:eastAsia="fr-FR" w:bidi="fr-FR"/>
        </w:rPr>
        <w:t xml:space="preserve">, </w:t>
      </w:r>
      <w:r w:rsidRPr="00DE1E75">
        <w:rPr>
          <w:i/>
        </w:rPr>
        <w:t>avec les généalogies et armes des illustres f</w:t>
      </w:r>
      <w:r w:rsidRPr="00DE1E75">
        <w:rPr>
          <w:i/>
        </w:rPr>
        <w:t>a</w:t>
      </w:r>
      <w:r w:rsidRPr="00DE1E75">
        <w:rPr>
          <w:i/>
        </w:rPr>
        <w:t>milles de France et des Pays-Bas</w:t>
      </w:r>
      <w:r w:rsidRPr="00DE1E75">
        <w:rPr>
          <w:i/>
          <w:color w:val="000000"/>
          <w:lang w:eastAsia="fr-FR" w:bidi="fr-FR"/>
        </w:rPr>
        <w:t xml:space="preserve">, </w:t>
      </w:r>
      <w:r w:rsidRPr="00DE1E75">
        <w:rPr>
          <w:i/>
        </w:rPr>
        <w:t xml:space="preserve">lesquelles y ont été </w:t>
      </w:r>
      <w:r w:rsidRPr="00DE1E75">
        <w:t>alliées</w:t>
      </w:r>
      <w:r>
        <w:t> </w:t>
      </w:r>
      <w:r>
        <w:rPr>
          <w:rStyle w:val="Appelnotedebasdep"/>
        </w:rPr>
        <w:footnoteReference w:id="306"/>
      </w:r>
      <w:r w:rsidRPr="00DE1E75">
        <w:rPr>
          <w:vertAlign w:val="superscript"/>
        </w:rPr>
        <w:t>1</w:t>
      </w:r>
      <w:r w:rsidRPr="00246AE4">
        <w:t>.</w:t>
      </w:r>
      <w:r w:rsidRPr="00246AE4">
        <w:rPr>
          <w:color w:val="000000"/>
          <w:lang w:eastAsia="fr-FR" w:bidi="fr-FR"/>
        </w:rPr>
        <w:t xml:space="preserve"> Parmi les « illustres familles » qui mêl</w:t>
      </w:r>
      <w:r w:rsidRPr="00246AE4">
        <w:rPr>
          <w:color w:val="000000"/>
          <w:lang w:eastAsia="fr-FR" w:bidi="fr-FR"/>
        </w:rPr>
        <w:t>è</w:t>
      </w:r>
      <w:r w:rsidRPr="00246AE4">
        <w:rPr>
          <w:color w:val="000000"/>
          <w:lang w:eastAsia="fr-FR" w:bidi="fr-FR"/>
        </w:rPr>
        <w:t>rent leur sang avec les Châtillon, il signalait la famille de Bouville</w:t>
      </w:r>
      <w:r>
        <w:rPr>
          <w:color w:val="000000"/>
          <w:lang w:eastAsia="fr-FR" w:bidi="fr-FR"/>
        </w:rPr>
        <w:t> </w:t>
      </w:r>
      <w:r>
        <w:rPr>
          <w:rStyle w:val="Appelnotedebasdep"/>
        </w:rPr>
        <w:footnoteReference w:id="307"/>
      </w:r>
      <w:r w:rsidRPr="00246AE4">
        <w:rPr>
          <w:color w:val="000000"/>
          <w:vertAlign w:val="superscript"/>
          <w:lang w:eastAsia="fr-FR" w:bidi="fr-FR"/>
        </w:rPr>
        <w:t>2</w:t>
      </w:r>
      <w:r w:rsidRPr="00246AE4">
        <w:rPr>
          <w:color w:val="000000"/>
          <w:lang w:eastAsia="fr-FR" w:bidi="fr-FR"/>
        </w:rPr>
        <w:t>, qui, originaire de la châtellenie d’Étampes, s’éteignit en 1382 par la mort de Charles de Bouville, gouverneur du Dauphiné. Je ne rapport</w:t>
      </w:r>
      <w:r w:rsidRPr="00246AE4">
        <w:rPr>
          <w:color w:val="000000"/>
          <w:lang w:eastAsia="fr-FR" w:bidi="fr-FR"/>
        </w:rPr>
        <w:t>e</w:t>
      </w:r>
      <w:r w:rsidRPr="00246AE4">
        <w:rPr>
          <w:color w:val="000000"/>
          <w:lang w:eastAsia="fr-FR" w:bidi="fr-FR"/>
        </w:rPr>
        <w:t>rai point la suite de mariages et de morts qui fit des Châtillon les hér</w:t>
      </w:r>
      <w:r w:rsidRPr="00246AE4">
        <w:rPr>
          <w:color w:val="000000"/>
          <w:lang w:eastAsia="fr-FR" w:bidi="fr-FR"/>
        </w:rPr>
        <w:t>i</w:t>
      </w:r>
      <w:r w:rsidRPr="00246AE4">
        <w:rPr>
          <w:color w:val="000000"/>
          <w:lang w:eastAsia="fr-FR" w:bidi="fr-FR"/>
        </w:rPr>
        <w:t>tiers de Charles de Bouville ; je n’ai, sur ce point, qu’à renvoyer à D</w:t>
      </w:r>
      <w:r w:rsidRPr="00246AE4">
        <w:rPr>
          <w:color w:val="000000"/>
          <w:lang w:eastAsia="fr-FR" w:bidi="fr-FR"/>
        </w:rPr>
        <w:t>u</w:t>
      </w:r>
      <w:r w:rsidRPr="00246AE4">
        <w:rPr>
          <w:color w:val="000000"/>
          <w:lang w:eastAsia="fr-FR" w:bidi="fr-FR"/>
        </w:rPr>
        <w:t>chesne. Les pages qu’il a consacrées à la maison de Bouville</w:t>
      </w:r>
      <w:r>
        <w:rPr>
          <w:color w:val="000000"/>
          <w:lang w:eastAsia="fr-FR" w:bidi="fr-FR"/>
        </w:rPr>
        <w:t> </w:t>
      </w:r>
      <w:r>
        <w:rPr>
          <w:rStyle w:val="Appelnotedebasdep"/>
        </w:rPr>
        <w:footnoteReference w:id="308"/>
      </w:r>
      <w:r w:rsidRPr="00246AE4">
        <w:rPr>
          <w:color w:val="000000"/>
          <w:lang w:eastAsia="fr-FR" w:bidi="fr-FR"/>
        </w:rPr>
        <w:t xml:space="preserve"> sont remarquables par l’abondance et la précision des détails. Quelles f</w:t>
      </w:r>
      <w:r w:rsidRPr="00246AE4">
        <w:rPr>
          <w:color w:val="000000"/>
          <w:lang w:eastAsia="fr-FR" w:bidi="fr-FR"/>
        </w:rPr>
        <w:t>u</w:t>
      </w:r>
      <w:r w:rsidRPr="00246AE4">
        <w:rPr>
          <w:color w:val="000000"/>
          <w:lang w:eastAsia="fr-FR" w:bidi="fr-FR"/>
        </w:rPr>
        <w:t xml:space="preserve">rent ses sources ? Il ne les a point citées, et l’on chercherait en vain, aux </w:t>
      </w:r>
      <w:r w:rsidRPr="00DE1E75">
        <w:rPr>
          <w:i/>
        </w:rPr>
        <w:t>preuves</w:t>
      </w:r>
      <w:r w:rsidRPr="00246AE4">
        <w:rPr>
          <w:color w:val="000000"/>
          <w:lang w:eastAsia="fr-FR" w:bidi="fr-FR"/>
        </w:rPr>
        <w:t xml:space="preserve"> du chap</w:t>
      </w:r>
      <w:r w:rsidRPr="00246AE4">
        <w:rPr>
          <w:color w:val="000000"/>
          <w:lang w:eastAsia="fr-FR" w:bidi="fr-FR"/>
        </w:rPr>
        <w:t>i</w:t>
      </w:r>
      <w:r w:rsidRPr="00246AE4">
        <w:rPr>
          <w:color w:val="000000"/>
          <w:lang w:eastAsia="fr-FR" w:bidi="fr-FR"/>
        </w:rPr>
        <w:t>tre de son livre VIII, où cette maison est étudiée, des documents qui la concernent. Mais nous pouvons, aujourd’hui encore, consulter les n</w:t>
      </w:r>
      <w:r w:rsidRPr="00246AE4">
        <w:rPr>
          <w:color w:val="000000"/>
          <w:lang w:eastAsia="fr-FR" w:bidi="fr-FR"/>
        </w:rPr>
        <w:t>o</w:t>
      </w:r>
      <w:r w:rsidRPr="00246AE4">
        <w:rPr>
          <w:color w:val="000000"/>
          <w:lang w:eastAsia="fr-FR" w:bidi="fr-FR"/>
        </w:rPr>
        <w:t>tes mêmes dont il se servit pour rédiger ces quelques pages. Écrites presque toutes de sa main, elles sont conservées au Cabinet des m</w:t>
      </w:r>
      <w:r w:rsidRPr="00246AE4">
        <w:rPr>
          <w:color w:val="000000"/>
          <w:lang w:eastAsia="fr-FR" w:bidi="fr-FR"/>
        </w:rPr>
        <w:t>a</w:t>
      </w:r>
      <w:r w:rsidRPr="00246AE4">
        <w:rPr>
          <w:color w:val="000000"/>
          <w:lang w:eastAsia="fr-FR" w:bidi="fr-FR"/>
        </w:rPr>
        <w:t xml:space="preserve">nuscrits de la Bibliothèque Nationale, dans le fonds Baluze, où elles </w:t>
      </w:r>
      <w:r w:rsidRPr="00246AE4">
        <w:rPr>
          <w:color w:val="000000"/>
          <w:lang w:eastAsia="fr-FR" w:bidi="fr-FR"/>
        </w:rPr>
        <w:lastRenderedPageBreak/>
        <w:t>forment les feuillets 170 à 241</w:t>
      </w:r>
      <w:r>
        <w:rPr>
          <w:color w:val="000000"/>
          <w:lang w:eastAsia="fr-FR" w:bidi="fr-FR"/>
        </w:rPr>
        <w:t> </w:t>
      </w:r>
      <w:r>
        <w:rPr>
          <w:rStyle w:val="Appelnotedebasdep"/>
        </w:rPr>
        <w:footnoteReference w:id="309"/>
      </w:r>
      <w:r w:rsidRPr="00246AE4">
        <w:rPr>
          <w:color w:val="000000"/>
          <w:vertAlign w:val="superscript"/>
          <w:lang w:eastAsia="fr-FR" w:bidi="fr-FR"/>
        </w:rPr>
        <w:t>4</w:t>
      </w:r>
      <w:r w:rsidRPr="00246AE4">
        <w:rPr>
          <w:color w:val="000000"/>
          <w:lang w:eastAsia="fr-FR" w:bidi="fr-FR"/>
        </w:rPr>
        <w:t xml:space="preserve"> du manuscrit classé sous le n°</w:t>
      </w:r>
      <w:r>
        <w:rPr>
          <w:color w:val="000000"/>
          <w:lang w:eastAsia="fr-FR" w:bidi="fr-FR"/>
        </w:rPr>
        <w:t> </w:t>
      </w:r>
      <w:r w:rsidRPr="00246AE4">
        <w:rPr>
          <w:color w:val="000000"/>
          <w:lang w:eastAsia="fr-FR" w:bidi="fr-FR"/>
        </w:rPr>
        <w:t>54. Pour faire sentir leur intérêt, je ne saurais mieux faire que de donner ici une description</w:t>
      </w:r>
      <w:r>
        <w:t xml:space="preserve"> </w:t>
      </w:r>
      <w:r>
        <w:rPr>
          <w:color w:val="000000"/>
          <w:lang w:eastAsia="fr-FR" w:bidi="fr-FR"/>
        </w:rPr>
        <w:t xml:space="preserve">[684] </w:t>
      </w:r>
      <w:r w:rsidRPr="00246AE4">
        <w:rPr>
          <w:color w:val="000000"/>
          <w:lang w:eastAsia="fr-FR" w:bidi="fr-FR"/>
        </w:rPr>
        <w:t>de ces soixante et onze feuillets, plus co</w:t>
      </w:r>
      <w:r w:rsidRPr="00246AE4">
        <w:rPr>
          <w:color w:val="000000"/>
          <w:lang w:eastAsia="fr-FR" w:bidi="fr-FR"/>
        </w:rPr>
        <w:t>m</w:t>
      </w:r>
      <w:r w:rsidRPr="00246AE4">
        <w:rPr>
          <w:color w:val="000000"/>
          <w:lang w:eastAsia="fr-FR" w:bidi="fr-FR"/>
        </w:rPr>
        <w:t>plète que ne peuvent la fournir les catalogues qui embrassent le fonds Baluze tout entier</w:t>
      </w:r>
      <w:r>
        <w:rPr>
          <w:color w:val="000000"/>
          <w:lang w:eastAsia="fr-FR" w:bidi="fr-FR"/>
        </w:rPr>
        <w:t> </w:t>
      </w:r>
      <w:r>
        <w:rPr>
          <w:rStyle w:val="Appelnotedebasdep"/>
        </w:rPr>
        <w:footnoteReference w:id="310"/>
      </w:r>
      <w:r w:rsidRPr="00246AE4">
        <w:rPr>
          <w:color w:val="000000"/>
          <w:lang w:eastAsia="fr-FR" w:bidi="fr-FR"/>
        </w:rPr>
        <w:t>.</w:t>
      </w:r>
    </w:p>
    <w:p w14:paraId="6254FEDD" w14:textId="77777777" w:rsidR="00B9662D" w:rsidRDefault="00B9662D" w:rsidP="00B9662D">
      <w:pPr>
        <w:spacing w:before="120" w:after="120"/>
        <w:jc w:val="both"/>
        <w:rPr>
          <w:color w:val="000000"/>
          <w:lang w:eastAsia="fr-FR" w:bidi="fr-FR"/>
        </w:rPr>
      </w:pPr>
    </w:p>
    <w:p w14:paraId="71C25174" w14:textId="77777777" w:rsidR="00B9662D" w:rsidRPr="00246AE4" w:rsidRDefault="00B9662D" w:rsidP="00B9662D">
      <w:pPr>
        <w:spacing w:before="120" w:after="120"/>
        <w:jc w:val="both"/>
      </w:pPr>
      <w:r>
        <w:rPr>
          <w:color w:val="000000"/>
          <w:lang w:eastAsia="fr-FR" w:bidi="fr-FR"/>
        </w:rPr>
        <w:t xml:space="preserve">1. </w:t>
      </w:r>
      <w:r w:rsidRPr="00246AE4">
        <w:rPr>
          <w:color w:val="000000"/>
          <w:lang w:eastAsia="fr-FR" w:bidi="fr-FR"/>
        </w:rPr>
        <w:t>Fol. 170 à 217 v</w:t>
      </w:r>
      <w:r>
        <w:rPr>
          <w:color w:val="000000"/>
          <w:vertAlign w:val="superscript"/>
          <w:lang w:eastAsia="fr-FR" w:bidi="fr-FR"/>
        </w:rPr>
        <w:t>o</w:t>
      </w:r>
      <w:r>
        <w:rPr>
          <w:color w:val="000000"/>
          <w:lang w:eastAsia="fr-FR" w:bidi="fr-FR"/>
        </w:rPr>
        <w:t> </w:t>
      </w:r>
      <w:r>
        <w:rPr>
          <w:rStyle w:val="Appelnotedebasdep"/>
        </w:rPr>
        <w:footnoteReference w:id="311"/>
      </w:r>
      <w:r w:rsidRPr="00246AE4">
        <w:rPr>
          <w:color w:val="000000"/>
          <w:lang w:eastAsia="fr-FR" w:bidi="fr-FR"/>
        </w:rPr>
        <w:t>. Notes, de la main de Duchesne, sous la r</w:t>
      </w:r>
      <w:r w:rsidRPr="00246AE4">
        <w:rPr>
          <w:color w:val="000000"/>
          <w:lang w:eastAsia="fr-FR" w:bidi="fr-FR"/>
        </w:rPr>
        <w:t>u</w:t>
      </w:r>
      <w:r w:rsidRPr="00246AE4">
        <w:rPr>
          <w:color w:val="000000"/>
          <w:lang w:eastAsia="fr-FR" w:bidi="fr-FR"/>
        </w:rPr>
        <w:t>brique : « Tiltres des maisons de Mirebeau, Mill</w:t>
      </w:r>
      <w:r>
        <w:rPr>
          <w:color w:val="000000"/>
          <w:lang w:eastAsia="fr-FR" w:bidi="fr-FR"/>
        </w:rPr>
        <w:t>y en Gastinois, Bovi</w:t>
      </w:r>
      <w:r>
        <w:rPr>
          <w:color w:val="000000"/>
          <w:lang w:eastAsia="fr-FR" w:bidi="fr-FR"/>
        </w:rPr>
        <w:t>l</w:t>
      </w:r>
      <w:r>
        <w:rPr>
          <w:color w:val="000000"/>
          <w:lang w:eastAsia="fr-FR" w:bidi="fr-FR"/>
        </w:rPr>
        <w:t>le, Roche</w:t>
      </w:r>
      <w:r w:rsidRPr="00246AE4">
        <w:rPr>
          <w:color w:val="000000"/>
          <w:lang w:eastAsia="fr-FR" w:bidi="fr-FR"/>
        </w:rPr>
        <w:t>chouard, Bornez et quelques autres. Extraits d’un vieil regi</w:t>
      </w:r>
      <w:r w:rsidRPr="00246AE4">
        <w:rPr>
          <w:color w:val="000000"/>
          <w:lang w:eastAsia="fr-FR" w:bidi="fr-FR"/>
        </w:rPr>
        <w:t>s</w:t>
      </w:r>
      <w:r w:rsidRPr="00246AE4">
        <w:rPr>
          <w:color w:val="000000"/>
          <w:lang w:eastAsia="fr-FR" w:bidi="fr-FR"/>
        </w:rPr>
        <w:t>tre en parchemin appartenant à M. le baron d’Argenton ». Le baron d’Argenton, ou plus précisément « messire Gilles de Chastillon, ch</w:t>
      </w:r>
      <w:r w:rsidRPr="00246AE4">
        <w:rPr>
          <w:color w:val="000000"/>
          <w:lang w:eastAsia="fr-FR" w:bidi="fr-FR"/>
        </w:rPr>
        <w:t>e</w:t>
      </w:r>
      <w:r w:rsidRPr="00246AE4">
        <w:rPr>
          <w:color w:val="000000"/>
          <w:lang w:eastAsia="fr-FR" w:bidi="fr-FR"/>
        </w:rPr>
        <w:t>valier, conseiller du roy en ses Conseils d’Estat et privé, gentilhomme ordinaire de sa Chambre, baron d’Argenton, Bouville et Farchevi</w:t>
      </w:r>
      <w:r w:rsidRPr="00246AE4">
        <w:rPr>
          <w:color w:val="000000"/>
          <w:lang w:eastAsia="fr-FR" w:bidi="fr-FR"/>
        </w:rPr>
        <w:t>l</w:t>
      </w:r>
      <w:r w:rsidRPr="00246AE4">
        <w:rPr>
          <w:color w:val="000000"/>
          <w:lang w:eastAsia="fr-FR" w:bidi="fr-FR"/>
        </w:rPr>
        <w:t>le »</w:t>
      </w:r>
      <w:r>
        <w:rPr>
          <w:color w:val="000000"/>
          <w:lang w:eastAsia="fr-FR" w:bidi="fr-FR"/>
        </w:rPr>
        <w:t> </w:t>
      </w:r>
      <w:r>
        <w:rPr>
          <w:rStyle w:val="Appelnotedebasdep"/>
        </w:rPr>
        <w:footnoteReference w:id="312"/>
      </w:r>
      <w:r w:rsidRPr="00246AE4">
        <w:rPr>
          <w:color w:val="000000"/>
          <w:lang w:eastAsia="fr-FR" w:bidi="fr-FR"/>
        </w:rPr>
        <w:t>, était, en 1621, le « chef du nom et des armes » de la maison de Châtillon. Duchesne lui dédia le livre, sans doute écrit sur sa dema</w:t>
      </w:r>
      <w:r w:rsidRPr="00246AE4">
        <w:rPr>
          <w:color w:val="000000"/>
          <w:lang w:eastAsia="fr-FR" w:bidi="fr-FR"/>
        </w:rPr>
        <w:t>n</w:t>
      </w:r>
      <w:r w:rsidRPr="00246AE4">
        <w:rPr>
          <w:color w:val="000000"/>
          <w:lang w:eastAsia="fr-FR" w:bidi="fr-FR"/>
        </w:rPr>
        <w:t>de, où il racontait l’histoire de sa race. Les familles de Mirebeau, de Milly, de Rochechouart, de Bornez s’allièrent, dans les dernières a</w:t>
      </w:r>
      <w:r w:rsidRPr="00246AE4">
        <w:rPr>
          <w:color w:val="000000"/>
          <w:lang w:eastAsia="fr-FR" w:bidi="fr-FR"/>
        </w:rPr>
        <w:t>n</w:t>
      </w:r>
      <w:r w:rsidRPr="00246AE4">
        <w:rPr>
          <w:color w:val="000000"/>
          <w:lang w:eastAsia="fr-FR" w:bidi="fr-FR"/>
        </w:rPr>
        <w:t xml:space="preserve">nées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ou dans les premières du </w:t>
      </w:r>
      <w:r w:rsidRPr="00161E71">
        <w:rPr>
          <w:caps/>
          <w:color w:val="000000"/>
          <w:lang w:eastAsia="fr-FR" w:bidi="fr-FR"/>
        </w:rPr>
        <w:t>xiv</w:t>
      </w:r>
      <w:r w:rsidRPr="00246AE4">
        <w:rPr>
          <w:color w:val="000000"/>
          <w:vertAlign w:val="superscript"/>
          <w:lang w:eastAsia="fr-FR" w:bidi="fr-FR"/>
        </w:rPr>
        <w:t>e</w:t>
      </w:r>
      <w:r w:rsidRPr="00246AE4">
        <w:rPr>
          <w:color w:val="000000"/>
          <w:lang w:eastAsia="fr-FR" w:bidi="fr-FR"/>
        </w:rPr>
        <w:t>, à la famille de Bouville, ainsi qu’on le trouvera rapporté tout au long par Duchesne. Le « registre en parchemin » que Gilles d’Argenton communiqua à l’historien de sa maison, et sur lequel furent pris les extraits qui nous occupent en ce moment, était un véritable cartulaire formé par les s</w:t>
      </w:r>
      <w:r w:rsidRPr="00246AE4">
        <w:rPr>
          <w:color w:val="000000"/>
          <w:lang w:eastAsia="fr-FR" w:bidi="fr-FR"/>
        </w:rPr>
        <w:t>i</w:t>
      </w:r>
      <w:r w:rsidRPr="00246AE4">
        <w:rPr>
          <w:color w:val="000000"/>
          <w:lang w:eastAsia="fr-FR" w:bidi="fr-FR"/>
        </w:rPr>
        <w:t>res de Bouville. Pour la commodité du langage, je le désignerai d</w:t>
      </w:r>
      <w:r w:rsidRPr="00246AE4">
        <w:rPr>
          <w:color w:val="000000"/>
          <w:lang w:eastAsia="fr-FR" w:bidi="fr-FR"/>
        </w:rPr>
        <w:t>é</w:t>
      </w:r>
      <w:r w:rsidRPr="00246AE4">
        <w:rPr>
          <w:color w:val="000000"/>
          <w:lang w:eastAsia="fr-FR" w:bidi="fr-FR"/>
        </w:rPr>
        <w:t xml:space="preserve">sormais sous le nom de </w:t>
      </w:r>
      <w:r w:rsidRPr="008367B6">
        <w:rPr>
          <w:i/>
        </w:rPr>
        <w:t>cartulaire A des sires de Bouville</w:t>
      </w:r>
      <w:r w:rsidRPr="00246AE4">
        <w:t>.</w:t>
      </w:r>
      <w:r w:rsidRPr="00246AE4">
        <w:rPr>
          <w:color w:val="000000"/>
          <w:lang w:eastAsia="fr-FR" w:bidi="fr-FR"/>
        </w:rPr>
        <w:t xml:space="preserve"> Duchesne ne le transcrivit point, ni même ne l’analysa tout entier. Il copia à peu près intégralement quelques documents, en résuma d’autres et pour beaucoup n’alla même point jusqu’à l’analyse ; de </w:t>
      </w:r>
      <w:r w:rsidRPr="00246AE4">
        <w:rPr>
          <w:color w:val="000000"/>
          <w:lang w:eastAsia="fr-FR" w:bidi="fr-FR"/>
        </w:rPr>
        <w:lastRenderedPageBreak/>
        <w:t>ceux-là, il se borna à extraire les renseignements, le plus souvent d’ordre généalogique, dont il se trouvait avoir besoin, et ne prit point la peine de noter leur sens général, qui n’intéressait pas ses travaux. Peut-être laissa-t-il complètement de côté un certain nombre de textes, sans leur donner aucune place dans ses extraits ; qu’il ait procédé ainsi pour les cart</w:t>
      </w:r>
      <w:r w:rsidRPr="00246AE4">
        <w:rPr>
          <w:color w:val="000000"/>
          <w:lang w:eastAsia="fr-FR" w:bidi="fr-FR"/>
        </w:rPr>
        <w:t>u</w:t>
      </w:r>
      <w:r w:rsidRPr="00246AE4">
        <w:rPr>
          <w:color w:val="000000"/>
          <w:lang w:eastAsia="fr-FR" w:bidi="fr-FR"/>
        </w:rPr>
        <w:t xml:space="preserve">laires des sires de Bouville autres que le </w:t>
      </w:r>
      <w:r w:rsidRPr="00EE1364">
        <w:rPr>
          <w:i/>
        </w:rPr>
        <w:t>cartulaire A</w:t>
      </w:r>
      <w:r w:rsidRPr="00246AE4">
        <w:t>,</w:t>
      </w:r>
      <w:r w:rsidRPr="00246AE4">
        <w:rPr>
          <w:color w:val="000000"/>
          <w:lang w:eastAsia="fr-FR" w:bidi="fr-FR"/>
        </w:rPr>
        <w:t xml:space="preserve"> cela n’est point douteux, comme nous le verrons. Dans le </w:t>
      </w:r>
      <w:r w:rsidRPr="00EE1364">
        <w:rPr>
          <w:i/>
        </w:rPr>
        <w:t>cartulaire A</w:t>
      </w:r>
      <w:r w:rsidRPr="00246AE4">
        <w:t>,</w:t>
      </w:r>
      <w:r w:rsidRPr="00246AE4">
        <w:rPr>
          <w:color w:val="000000"/>
          <w:lang w:eastAsia="fr-FR" w:bidi="fr-FR"/>
        </w:rPr>
        <w:t xml:space="preserve"> tel qu’il nous le fait connaître, la pièce la plus ancienne est un diplôme de Louis VII, en faveur d’Anseau de Trainel, daté de Fontainebleau, année 1177, et non encore signalé, je crois</w:t>
      </w:r>
      <w:r>
        <w:rPr>
          <w:color w:val="000000"/>
          <w:lang w:eastAsia="fr-FR" w:bidi="fr-FR"/>
        </w:rPr>
        <w:t> </w:t>
      </w:r>
      <w:r>
        <w:rPr>
          <w:rStyle w:val="Appelnotedebasdep"/>
        </w:rPr>
        <w:footnoteReference w:id="313"/>
      </w:r>
      <w:r w:rsidRPr="00246AE4">
        <w:rPr>
          <w:color w:val="000000"/>
          <w:lang w:eastAsia="fr-FR" w:bidi="fr-FR"/>
        </w:rPr>
        <w:t> ; la plus récente est du jour du Saint-Sacrement (7 juin) 1341</w:t>
      </w:r>
      <w:r>
        <w:rPr>
          <w:color w:val="000000"/>
          <w:lang w:eastAsia="fr-FR" w:bidi="fr-FR"/>
        </w:rPr>
        <w:t> </w:t>
      </w:r>
      <w:r>
        <w:rPr>
          <w:rStyle w:val="Appelnotedebasdep"/>
        </w:rPr>
        <w:footnoteReference w:id="314"/>
      </w:r>
      <w:r w:rsidRPr="00246AE4">
        <w:rPr>
          <w:color w:val="000000"/>
          <w:lang w:eastAsia="fr-FR" w:bidi="fr-FR"/>
        </w:rPr>
        <w:t xml:space="preserve">. Le cartulaire contenait surtout des documents des dernières années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ou des premières du </w:t>
      </w:r>
      <w:r w:rsidRPr="008367B6">
        <w:rPr>
          <w:caps/>
          <w:color w:val="000000"/>
          <w:lang w:eastAsia="fr-FR" w:bidi="fr-FR"/>
        </w:rPr>
        <w:t>xiv</w:t>
      </w:r>
      <w:r w:rsidRPr="00246AE4">
        <w:rPr>
          <w:color w:val="000000"/>
          <w:vertAlign w:val="superscript"/>
          <w:lang w:eastAsia="fr-FR" w:bidi="fr-FR"/>
        </w:rPr>
        <w:t>e</w:t>
      </w:r>
      <w:r w:rsidRPr="00246AE4">
        <w:rPr>
          <w:color w:val="000000"/>
          <w:lang w:eastAsia="fr-FR" w:bidi="fr-FR"/>
        </w:rPr>
        <w:t>.</w:t>
      </w:r>
    </w:p>
    <w:p w14:paraId="46BBC1EE" w14:textId="77777777" w:rsidR="00B9662D" w:rsidRDefault="00B9662D" w:rsidP="00B9662D">
      <w:pPr>
        <w:spacing w:before="120" w:after="120"/>
        <w:jc w:val="both"/>
        <w:rPr>
          <w:color w:val="000000"/>
          <w:lang w:eastAsia="fr-FR" w:bidi="fr-FR"/>
        </w:rPr>
      </w:pPr>
    </w:p>
    <w:p w14:paraId="2C0BABCB" w14:textId="77777777" w:rsidR="00B9662D" w:rsidRPr="00246AE4" w:rsidRDefault="00B9662D" w:rsidP="00B9662D">
      <w:pPr>
        <w:spacing w:before="120" w:after="120"/>
        <w:jc w:val="both"/>
      </w:pPr>
      <w:r>
        <w:rPr>
          <w:color w:val="000000"/>
          <w:lang w:eastAsia="fr-FR" w:bidi="fr-FR"/>
        </w:rPr>
        <w:t xml:space="preserve">2. </w:t>
      </w:r>
      <w:r w:rsidRPr="00246AE4">
        <w:rPr>
          <w:color w:val="000000"/>
          <w:lang w:eastAsia="fr-FR" w:bidi="fr-FR"/>
        </w:rPr>
        <w:t>Fol. 218 et v°. Acte, daté du 24 mai 1451, de Pierre, duc de Br</w:t>
      </w:r>
      <w:r w:rsidRPr="00246AE4">
        <w:rPr>
          <w:color w:val="000000"/>
          <w:lang w:eastAsia="fr-FR" w:bidi="fr-FR"/>
        </w:rPr>
        <w:t>e</w:t>
      </w:r>
      <w:r w:rsidRPr="00246AE4">
        <w:rPr>
          <w:color w:val="000000"/>
          <w:lang w:eastAsia="fr-FR" w:bidi="fr-FR"/>
        </w:rPr>
        <w:t>tagne, comte de Montfort et de Richemont, relatif à un procès soutenu par son frère, Guy, comte de Laval et « seigneur présomptif » de la baronnie de Vitré, contre Alain, vicomte de Rohan, baron de Léon. La copie, de la main de Duchesne, porte comme rubrique : « Extrait des registres des maisons de Boville et de Milly », et, en marge, on lit l’indication suivante,</w:t>
      </w:r>
      <w:r>
        <w:t xml:space="preserve"> </w:t>
      </w:r>
      <w:r>
        <w:rPr>
          <w:color w:val="000000"/>
          <w:lang w:eastAsia="fr-FR" w:bidi="fr-FR"/>
        </w:rPr>
        <w:t xml:space="preserve">[685] </w:t>
      </w:r>
      <w:r w:rsidRPr="00246AE4">
        <w:rPr>
          <w:color w:val="000000"/>
          <w:lang w:eastAsia="fr-FR" w:bidi="fr-FR"/>
        </w:rPr>
        <w:t>que l’onglet placé par le relieur a à demi recouverte : « Registre XI, [pièce] CCCCV. »</w:t>
      </w:r>
    </w:p>
    <w:p w14:paraId="56CA468A" w14:textId="77777777" w:rsidR="00B9662D" w:rsidRDefault="00B9662D" w:rsidP="00B9662D">
      <w:pPr>
        <w:spacing w:before="120" w:after="120"/>
        <w:jc w:val="both"/>
        <w:rPr>
          <w:color w:val="000000"/>
          <w:lang w:eastAsia="fr-FR" w:bidi="fr-FR"/>
        </w:rPr>
      </w:pPr>
    </w:p>
    <w:p w14:paraId="2900F407" w14:textId="77777777" w:rsidR="00B9662D" w:rsidRPr="00246AE4" w:rsidRDefault="00B9662D" w:rsidP="00B9662D">
      <w:pPr>
        <w:spacing w:before="120" w:after="120"/>
        <w:jc w:val="both"/>
      </w:pPr>
      <w:r>
        <w:rPr>
          <w:color w:val="000000"/>
          <w:lang w:eastAsia="fr-FR" w:bidi="fr-FR"/>
        </w:rPr>
        <w:t xml:space="preserve">3. </w:t>
      </w:r>
      <w:r w:rsidRPr="00246AE4">
        <w:rPr>
          <w:color w:val="000000"/>
          <w:lang w:eastAsia="fr-FR" w:bidi="fr-FR"/>
        </w:rPr>
        <w:t>Fol. 219-228 v°. Notes, toujours de l’écriture de Duchesne, sous la rubrique : « Extrait des titres d’un registre en parchemin estant en la possession de M</w:t>
      </w:r>
      <w:r w:rsidRPr="00246AE4">
        <w:rPr>
          <w:color w:val="000000"/>
          <w:vertAlign w:val="superscript"/>
          <w:lang w:eastAsia="fr-FR" w:bidi="fr-FR"/>
        </w:rPr>
        <w:t>re</w:t>
      </w:r>
      <w:r w:rsidRPr="00246AE4">
        <w:rPr>
          <w:color w:val="000000"/>
          <w:lang w:eastAsia="fr-FR" w:bidi="fr-FR"/>
        </w:rPr>
        <w:t xml:space="preserve"> Gilles de Chastillon, chevalier, baron d’Argenton, Boville, Farcheville, etc. » Ce sont des notes prises sur un cartulaire des sires de Bouville, distinct du </w:t>
      </w:r>
      <w:r w:rsidRPr="00485486">
        <w:rPr>
          <w:i/>
        </w:rPr>
        <w:t>cartulaire A</w:t>
      </w:r>
      <w:r>
        <w:t> </w:t>
      </w:r>
      <w:r>
        <w:rPr>
          <w:rStyle w:val="Appelnotedebasdep"/>
        </w:rPr>
        <w:footnoteReference w:id="315"/>
      </w:r>
      <w:r w:rsidRPr="00246AE4">
        <w:rPr>
          <w:color w:val="000000"/>
          <w:lang w:eastAsia="fr-FR" w:bidi="fr-FR"/>
        </w:rPr>
        <w:t xml:space="preserve"> ; nous l’appellerons </w:t>
      </w:r>
      <w:r w:rsidRPr="00246AE4">
        <w:rPr>
          <w:color w:val="000000"/>
          <w:lang w:eastAsia="fr-FR" w:bidi="fr-FR"/>
        </w:rPr>
        <w:lastRenderedPageBreak/>
        <w:t xml:space="preserve">le </w:t>
      </w:r>
      <w:r w:rsidRPr="00485486">
        <w:rPr>
          <w:i/>
        </w:rPr>
        <w:t>cartulaire B</w:t>
      </w:r>
      <w:r w:rsidRPr="00246AE4">
        <w:t>.</w:t>
      </w:r>
      <w:r w:rsidRPr="00246AE4">
        <w:rPr>
          <w:color w:val="000000"/>
          <w:lang w:eastAsia="fr-FR" w:bidi="fr-FR"/>
        </w:rPr>
        <w:t xml:space="preserve"> Notes très fragmentaires, comme celles qui touchaient le premier cartulaire. Ici même, nous pouvons plus facilement reconna</w:t>
      </w:r>
      <w:r w:rsidRPr="00246AE4">
        <w:rPr>
          <w:color w:val="000000"/>
          <w:lang w:eastAsia="fr-FR" w:bidi="fr-FR"/>
        </w:rPr>
        <w:t>î</w:t>
      </w:r>
      <w:r w:rsidRPr="00246AE4">
        <w:rPr>
          <w:color w:val="000000"/>
          <w:lang w:eastAsia="fr-FR" w:bidi="fr-FR"/>
        </w:rPr>
        <w:t xml:space="preserve">tre combien Duchesne était loin de s’attacher à donner une analyse complète des registres qu’il avait sous les yeux. Les pièces transcrites dans le </w:t>
      </w:r>
      <w:r w:rsidRPr="00246AE4">
        <w:t>cartulaire B</w:t>
      </w:r>
      <w:r w:rsidRPr="00246AE4">
        <w:rPr>
          <w:color w:val="000000"/>
          <w:lang w:eastAsia="fr-FR" w:bidi="fr-FR"/>
        </w:rPr>
        <w:t xml:space="preserve"> y étaient pourvues de numéros d’ordre, que D</w:t>
      </w:r>
      <w:r w:rsidRPr="00246AE4">
        <w:rPr>
          <w:color w:val="000000"/>
          <w:lang w:eastAsia="fr-FR" w:bidi="fr-FR"/>
        </w:rPr>
        <w:t>u</w:t>
      </w:r>
      <w:r w:rsidRPr="00246AE4">
        <w:rPr>
          <w:color w:val="000000"/>
          <w:lang w:eastAsia="fr-FR" w:bidi="fr-FR"/>
        </w:rPr>
        <w:t>chesne reproduisit. La première pièce que mentionnent ses notes porte le n° 27 ; la dernière le n° 540. Il s’en faut de beaucoup que tous les chiffres intermédiaires soient représentés. La pièce la plus ancienne est ce même diplôme du roi Louis</w:t>
      </w:r>
      <w:r>
        <w:rPr>
          <w:color w:val="000000"/>
          <w:lang w:eastAsia="fr-FR" w:bidi="fr-FR"/>
        </w:rPr>
        <w:t> </w:t>
      </w:r>
      <w:r w:rsidRPr="00246AE4">
        <w:rPr>
          <w:color w:val="000000"/>
          <w:lang w:eastAsia="fr-FR" w:bidi="fr-FR"/>
        </w:rPr>
        <w:t xml:space="preserve">VII qui formait déjà le plus ancien document du </w:t>
      </w:r>
      <w:r w:rsidRPr="00485486">
        <w:rPr>
          <w:i/>
        </w:rPr>
        <w:t>cartulaire A</w:t>
      </w:r>
      <w:r>
        <w:t> </w:t>
      </w:r>
      <w:r>
        <w:rPr>
          <w:rStyle w:val="Appelnotedebasdep"/>
        </w:rPr>
        <w:footnoteReference w:id="316"/>
      </w:r>
      <w:r w:rsidRPr="00246AE4">
        <w:t xml:space="preserve"> ; </w:t>
      </w:r>
      <w:r w:rsidRPr="00246AE4">
        <w:rPr>
          <w:color w:val="000000"/>
          <w:lang w:eastAsia="fr-FR" w:bidi="fr-FR"/>
        </w:rPr>
        <w:t>la plus récente a pour date : 1333</w:t>
      </w:r>
      <w:r>
        <w:rPr>
          <w:color w:val="000000"/>
          <w:lang w:eastAsia="fr-FR" w:bidi="fr-FR"/>
        </w:rPr>
        <w:t> </w:t>
      </w:r>
      <w:r>
        <w:rPr>
          <w:rStyle w:val="Appelnotedebasdep"/>
        </w:rPr>
        <w:footnoteReference w:id="317"/>
      </w:r>
      <w:r w:rsidRPr="00246AE4">
        <w:rPr>
          <w:color w:val="000000"/>
          <w:lang w:eastAsia="fr-FR" w:bidi="fr-FR"/>
        </w:rPr>
        <w:t>.</w:t>
      </w:r>
    </w:p>
    <w:p w14:paraId="249E667E" w14:textId="77777777" w:rsidR="00B9662D" w:rsidRDefault="00B9662D" w:rsidP="00B9662D">
      <w:pPr>
        <w:spacing w:before="120" w:after="120"/>
        <w:jc w:val="both"/>
        <w:rPr>
          <w:color w:val="000000"/>
          <w:lang w:eastAsia="fr-FR" w:bidi="fr-FR"/>
        </w:rPr>
      </w:pPr>
    </w:p>
    <w:p w14:paraId="6BCEC138" w14:textId="77777777" w:rsidR="00B9662D" w:rsidRPr="00246AE4" w:rsidRDefault="00B9662D" w:rsidP="00B9662D">
      <w:pPr>
        <w:spacing w:before="120" w:after="120"/>
        <w:jc w:val="both"/>
      </w:pPr>
      <w:r>
        <w:rPr>
          <w:color w:val="000000"/>
          <w:lang w:eastAsia="fr-FR" w:bidi="fr-FR"/>
        </w:rPr>
        <w:t xml:space="preserve">4. </w:t>
      </w:r>
      <w:r w:rsidRPr="00246AE4">
        <w:rPr>
          <w:color w:val="000000"/>
          <w:lang w:eastAsia="fr-FR" w:bidi="fr-FR"/>
        </w:rPr>
        <w:t xml:space="preserve">Fol. 229 et v°. Notes, de Duchesne, sous la rubrique : « Extrait d’un vieil livre en parchemin estant es mains dudit M. d’Argenton ». Cette fois-ci encore, il s’agit d’un véritable cartulaire des sires de Bouville ; appelons-le le </w:t>
      </w:r>
      <w:r w:rsidRPr="00485486">
        <w:rPr>
          <w:i/>
        </w:rPr>
        <w:t>cartulaire C</w:t>
      </w:r>
      <w:r w:rsidRPr="00246AE4">
        <w:t>.</w:t>
      </w:r>
      <w:r w:rsidRPr="00246AE4">
        <w:rPr>
          <w:color w:val="000000"/>
          <w:lang w:eastAsia="fr-FR" w:bidi="fr-FR"/>
        </w:rPr>
        <w:t xml:space="preserve"> Dates extrêmes : 1287-1384. Les pièces sont numérotées, la première portant le n° 29, la dernière le n° 260. Un grand nombre de pièces ont été omises par Duchesne ; les extraits sont très brefs On notera que les numéros ne concordent pas avec ceux du </w:t>
      </w:r>
      <w:r w:rsidRPr="008367B6">
        <w:rPr>
          <w:i/>
        </w:rPr>
        <w:t>cartulaire B</w:t>
      </w:r>
      <w:r w:rsidRPr="00246AE4">
        <w:rPr>
          <w:color w:val="000000"/>
          <w:lang w:eastAsia="fr-FR" w:bidi="fr-FR"/>
        </w:rPr>
        <w:t>.</w:t>
      </w:r>
    </w:p>
    <w:p w14:paraId="75D76C30" w14:textId="77777777" w:rsidR="00B9662D" w:rsidRDefault="00B9662D" w:rsidP="00B9662D">
      <w:pPr>
        <w:spacing w:before="120" w:after="120"/>
        <w:jc w:val="both"/>
        <w:rPr>
          <w:color w:val="000000"/>
          <w:lang w:eastAsia="fr-FR" w:bidi="fr-FR"/>
        </w:rPr>
      </w:pPr>
    </w:p>
    <w:p w14:paraId="645E6E63" w14:textId="77777777" w:rsidR="00B9662D" w:rsidRPr="00246AE4" w:rsidRDefault="00B9662D" w:rsidP="00B9662D">
      <w:pPr>
        <w:spacing w:before="120" w:after="120"/>
        <w:jc w:val="both"/>
      </w:pPr>
      <w:r>
        <w:rPr>
          <w:color w:val="000000"/>
          <w:lang w:eastAsia="fr-FR" w:bidi="fr-FR"/>
        </w:rPr>
        <w:t xml:space="preserve">5. </w:t>
      </w:r>
      <w:r w:rsidRPr="00246AE4">
        <w:rPr>
          <w:color w:val="000000"/>
          <w:lang w:eastAsia="fr-FR" w:bidi="fr-FR"/>
        </w:rPr>
        <w:t xml:space="preserve">Fol. 230-232 v°. Deux pièces, copiées d’une main qui n’est pas celle de Duchesne, datées du jeudi avant la Saint-Denis (3 octobre) 1331, et du mardi après la fête des saints Jacques et Christophe (27 juillet) 1305. En marge de la première, au fol. 230, on lit : « Tiré du </w:t>
      </w:r>
      <w:r w:rsidRPr="00246AE4">
        <w:rPr>
          <w:color w:val="000000"/>
          <w:lang w:eastAsia="fr-FR" w:bidi="fr-FR"/>
        </w:rPr>
        <w:lastRenderedPageBreak/>
        <w:t>chartulaire ou registre des titres de la baronnie de Bouville en Beau</w:t>
      </w:r>
      <w:r w:rsidRPr="00246AE4">
        <w:rPr>
          <w:color w:val="000000"/>
          <w:lang w:eastAsia="fr-FR" w:bidi="fr-FR"/>
        </w:rPr>
        <w:t>s</w:t>
      </w:r>
      <w:r w:rsidRPr="00246AE4">
        <w:rPr>
          <w:color w:val="000000"/>
          <w:lang w:eastAsia="fr-FR" w:bidi="fr-FR"/>
        </w:rPr>
        <w:t xml:space="preserve">se, estant entre les mains de M. d’Argenton, baron dudit lieu ». S’agit-il d’un des trois cartulaires </w:t>
      </w:r>
      <w:r w:rsidRPr="00485486">
        <w:rPr>
          <w:i/>
          <w:color w:val="000000"/>
          <w:lang w:eastAsia="fr-FR" w:bidi="fr-FR"/>
        </w:rPr>
        <w:t xml:space="preserve">A, </w:t>
      </w:r>
      <w:r w:rsidRPr="00485486">
        <w:rPr>
          <w:i/>
        </w:rPr>
        <w:t>B</w:t>
      </w:r>
      <w:r w:rsidRPr="00246AE4">
        <w:rPr>
          <w:color w:val="000000"/>
          <w:lang w:eastAsia="fr-FR" w:bidi="fr-FR"/>
        </w:rPr>
        <w:t xml:space="preserve"> et </w:t>
      </w:r>
      <w:r w:rsidRPr="00485486">
        <w:rPr>
          <w:i/>
        </w:rPr>
        <w:t>C</w:t>
      </w:r>
      <w:r w:rsidRPr="00246AE4">
        <w:rPr>
          <w:color w:val="000000"/>
          <w:lang w:eastAsia="fr-FR" w:bidi="fr-FR"/>
        </w:rPr>
        <w:t xml:space="preserve"> ou d’un autre registre ? Rien ne nous permet de le déterminer. Nous avons vu plus haut, par une ind</w:t>
      </w:r>
      <w:r w:rsidRPr="00246AE4">
        <w:rPr>
          <w:color w:val="000000"/>
          <w:lang w:eastAsia="fr-FR" w:bidi="fr-FR"/>
        </w:rPr>
        <w:t>i</w:t>
      </w:r>
      <w:r w:rsidRPr="00246AE4">
        <w:rPr>
          <w:color w:val="000000"/>
          <w:lang w:eastAsia="fr-FR" w:bidi="fr-FR"/>
        </w:rPr>
        <w:t>cation relevée en marge du fol. 218, que les archives des Bouville avaient contenu au moins onze registres.</w:t>
      </w:r>
    </w:p>
    <w:p w14:paraId="15BDBD09" w14:textId="77777777" w:rsidR="00B9662D" w:rsidRDefault="00B9662D" w:rsidP="00B9662D">
      <w:pPr>
        <w:spacing w:before="120" w:after="120"/>
        <w:jc w:val="both"/>
        <w:rPr>
          <w:color w:val="000000"/>
          <w:lang w:eastAsia="fr-FR" w:bidi="fr-FR"/>
        </w:rPr>
      </w:pPr>
    </w:p>
    <w:p w14:paraId="2B09B96B" w14:textId="77777777" w:rsidR="00B9662D" w:rsidRPr="00246AE4" w:rsidRDefault="00B9662D" w:rsidP="00B9662D">
      <w:pPr>
        <w:spacing w:before="120" w:after="120"/>
        <w:jc w:val="both"/>
      </w:pPr>
      <w:r>
        <w:rPr>
          <w:color w:val="000000"/>
          <w:lang w:eastAsia="fr-FR" w:bidi="fr-FR"/>
        </w:rPr>
        <w:t xml:space="preserve">6. </w:t>
      </w:r>
      <w:r w:rsidRPr="00246AE4">
        <w:rPr>
          <w:color w:val="000000"/>
          <w:lang w:eastAsia="fr-FR" w:bidi="fr-FR"/>
        </w:rPr>
        <w:t>Fol. 233-235 v°. Trois pièces, toutes trois de l’année 1399 et toutes trois relatives à des donations faites à l’abbaye de Villiers, au diocèse</w:t>
      </w:r>
      <w:r>
        <w:t xml:space="preserve"> [686] </w:t>
      </w:r>
      <w:r w:rsidRPr="00246AE4">
        <w:rPr>
          <w:color w:val="000000"/>
          <w:lang w:eastAsia="fr-FR" w:bidi="fr-FR"/>
        </w:rPr>
        <w:t>de Sens. Elles sont reproduites intégralement d’une écr</w:t>
      </w:r>
      <w:r w:rsidRPr="00246AE4">
        <w:rPr>
          <w:color w:val="000000"/>
          <w:lang w:eastAsia="fr-FR" w:bidi="fr-FR"/>
        </w:rPr>
        <w:t>i</w:t>
      </w:r>
      <w:r w:rsidRPr="00246AE4">
        <w:rPr>
          <w:color w:val="000000"/>
          <w:lang w:eastAsia="fr-FR" w:bidi="fr-FR"/>
        </w:rPr>
        <w:t>ture qui n’est ni celle de Duchesne, ni celle du copiste des fol. 230 à 232 v°.</w:t>
      </w:r>
    </w:p>
    <w:p w14:paraId="2F1B0BB9" w14:textId="77777777" w:rsidR="00B9662D" w:rsidRDefault="00B9662D" w:rsidP="00B9662D">
      <w:pPr>
        <w:spacing w:before="120" w:after="120"/>
        <w:jc w:val="both"/>
        <w:rPr>
          <w:color w:val="000000"/>
          <w:lang w:eastAsia="fr-FR" w:bidi="fr-FR"/>
        </w:rPr>
      </w:pPr>
    </w:p>
    <w:p w14:paraId="3B9D877B" w14:textId="77777777" w:rsidR="00B9662D" w:rsidRPr="00246AE4" w:rsidRDefault="00B9662D" w:rsidP="00B9662D">
      <w:pPr>
        <w:spacing w:before="120" w:after="120"/>
        <w:jc w:val="both"/>
      </w:pPr>
      <w:r>
        <w:rPr>
          <w:color w:val="000000"/>
          <w:lang w:eastAsia="fr-FR" w:bidi="fr-FR"/>
        </w:rPr>
        <w:t xml:space="preserve">7. </w:t>
      </w:r>
      <w:r w:rsidRPr="00246AE4">
        <w:rPr>
          <w:color w:val="000000"/>
          <w:lang w:eastAsia="fr-FR" w:bidi="fr-FR"/>
        </w:rPr>
        <w:t>Fol. 236 et v°. Sous la rubrique : « Tiltres », notes sur diverses pièces, de la main de Duchesne ; la pièce la plus ancienne qui soit d</w:t>
      </w:r>
      <w:r w:rsidRPr="00246AE4">
        <w:rPr>
          <w:color w:val="000000"/>
          <w:lang w:eastAsia="fr-FR" w:bidi="fr-FR"/>
        </w:rPr>
        <w:t>a</w:t>
      </w:r>
      <w:r w:rsidRPr="00246AE4">
        <w:rPr>
          <w:color w:val="000000"/>
          <w:lang w:eastAsia="fr-FR" w:bidi="fr-FR"/>
        </w:rPr>
        <w:t>tée est du mois de juin 1249 ; mais les indications de dates ont été omises plusieurs fois ; les extraits sont très brefs.</w:t>
      </w:r>
    </w:p>
    <w:p w14:paraId="25635A45" w14:textId="77777777" w:rsidR="00B9662D" w:rsidRDefault="00B9662D" w:rsidP="00B9662D">
      <w:pPr>
        <w:spacing w:before="120" w:after="120"/>
        <w:jc w:val="both"/>
        <w:rPr>
          <w:color w:val="000000"/>
          <w:lang w:eastAsia="fr-FR" w:bidi="fr-FR"/>
        </w:rPr>
      </w:pPr>
    </w:p>
    <w:p w14:paraId="6F8AC1B6" w14:textId="77777777" w:rsidR="00B9662D" w:rsidRPr="00246AE4" w:rsidRDefault="00B9662D" w:rsidP="00B9662D">
      <w:pPr>
        <w:spacing w:before="120" w:after="120"/>
        <w:jc w:val="both"/>
      </w:pPr>
      <w:r>
        <w:rPr>
          <w:color w:val="000000"/>
          <w:lang w:eastAsia="fr-FR" w:bidi="fr-FR"/>
        </w:rPr>
        <w:t xml:space="preserve">8. </w:t>
      </w:r>
      <w:r w:rsidRPr="00246AE4">
        <w:rPr>
          <w:color w:val="000000"/>
          <w:lang w:eastAsia="fr-FR" w:bidi="fr-FR"/>
        </w:rPr>
        <w:t>Fol. 237-238 v°. Copie, d’une main qui n’est pas celle de D</w:t>
      </w:r>
      <w:r w:rsidRPr="00246AE4">
        <w:rPr>
          <w:color w:val="000000"/>
          <w:lang w:eastAsia="fr-FR" w:bidi="fr-FR"/>
        </w:rPr>
        <w:t>u</w:t>
      </w:r>
      <w:r w:rsidRPr="00246AE4">
        <w:rPr>
          <w:color w:val="000000"/>
          <w:lang w:eastAsia="fr-FR" w:bidi="fr-FR"/>
        </w:rPr>
        <w:t>chesne, de deux actes de donation concernant l’abbaye de Villiers : samedi après la Nativité de saint Jean-Baptiste (26 juin) 1311 ; 4 mars 1344, n. st.</w:t>
      </w:r>
    </w:p>
    <w:p w14:paraId="3936493F" w14:textId="77777777" w:rsidR="00B9662D" w:rsidRDefault="00B9662D" w:rsidP="00B9662D">
      <w:pPr>
        <w:spacing w:before="120" w:after="120"/>
        <w:jc w:val="both"/>
        <w:rPr>
          <w:color w:val="000000"/>
          <w:lang w:eastAsia="fr-FR" w:bidi="fr-FR"/>
        </w:rPr>
      </w:pPr>
    </w:p>
    <w:p w14:paraId="72A4BF8A" w14:textId="77777777" w:rsidR="00B9662D" w:rsidRPr="00246AE4" w:rsidRDefault="00B9662D" w:rsidP="00B9662D">
      <w:pPr>
        <w:spacing w:before="120" w:after="120"/>
        <w:jc w:val="both"/>
      </w:pPr>
      <w:r>
        <w:rPr>
          <w:color w:val="000000"/>
          <w:lang w:eastAsia="fr-FR" w:bidi="fr-FR"/>
        </w:rPr>
        <w:t xml:space="preserve">9. </w:t>
      </w:r>
      <w:r w:rsidRPr="00246AE4">
        <w:rPr>
          <w:color w:val="000000"/>
          <w:lang w:eastAsia="fr-FR" w:bidi="fr-FR"/>
        </w:rPr>
        <w:t>Fol. 239. Copie de trois actes de Philippe le Bel, datés : le pr</w:t>
      </w:r>
      <w:r w:rsidRPr="00246AE4">
        <w:rPr>
          <w:color w:val="000000"/>
          <w:lang w:eastAsia="fr-FR" w:bidi="fr-FR"/>
        </w:rPr>
        <w:t>e</w:t>
      </w:r>
      <w:r w:rsidRPr="00246AE4">
        <w:rPr>
          <w:color w:val="000000"/>
          <w:lang w:eastAsia="fr-FR" w:bidi="fr-FR"/>
        </w:rPr>
        <w:t xml:space="preserve">mier de Paris, année 1295 ; le second (qui a été transcrit d’après un </w:t>
      </w:r>
      <w:r w:rsidRPr="00246AE4">
        <w:t xml:space="preserve">vidimus </w:t>
      </w:r>
      <w:r w:rsidRPr="00246AE4">
        <w:rPr>
          <w:color w:val="000000"/>
          <w:lang w:eastAsia="fr-FR" w:bidi="fr-FR"/>
        </w:rPr>
        <w:t>de Charles IV, du 10 des ides</w:t>
      </w:r>
      <w:r>
        <w:rPr>
          <w:color w:val="000000"/>
          <w:lang w:eastAsia="fr-FR" w:bidi="fr-FR"/>
        </w:rPr>
        <w:t xml:space="preserve"> de décembre, c’est-à-dire du 4 </w:t>
      </w:r>
      <w:r w:rsidRPr="00246AE4">
        <w:rPr>
          <w:color w:val="000000"/>
          <w:lang w:eastAsia="fr-FR" w:bidi="fr-FR"/>
        </w:rPr>
        <w:t>décembre 1322) de Fontainebleau, jeudi après la Saint-Nicolas d’hiver (12 décembre) 1308 ; le troisi</w:t>
      </w:r>
      <w:r>
        <w:rPr>
          <w:color w:val="000000"/>
          <w:lang w:eastAsia="fr-FR" w:bidi="fr-FR"/>
        </w:rPr>
        <w:t>ème de Lorris, janvier 1295, n. </w:t>
      </w:r>
      <w:r w:rsidRPr="00246AE4">
        <w:rPr>
          <w:color w:val="000000"/>
          <w:lang w:eastAsia="fr-FR" w:bidi="fr-FR"/>
        </w:rPr>
        <w:t>st. La copie du premier est un essai de copie figurée ; les deux a</w:t>
      </w:r>
      <w:r w:rsidRPr="00246AE4">
        <w:rPr>
          <w:color w:val="000000"/>
          <w:lang w:eastAsia="fr-FR" w:bidi="fr-FR"/>
        </w:rPr>
        <w:t>u</w:t>
      </w:r>
      <w:r w:rsidRPr="00246AE4">
        <w:rPr>
          <w:color w:val="000000"/>
          <w:lang w:eastAsia="fr-FR" w:bidi="fr-FR"/>
        </w:rPr>
        <w:t>tres sont de la main de Duchesne.</w:t>
      </w:r>
    </w:p>
    <w:p w14:paraId="3555002D" w14:textId="77777777" w:rsidR="00B9662D" w:rsidRDefault="00B9662D" w:rsidP="00B9662D">
      <w:pPr>
        <w:spacing w:before="120" w:after="120"/>
        <w:jc w:val="both"/>
        <w:rPr>
          <w:color w:val="000000"/>
          <w:lang w:eastAsia="fr-FR" w:bidi="fr-FR"/>
        </w:rPr>
      </w:pPr>
    </w:p>
    <w:p w14:paraId="18F49F88" w14:textId="77777777" w:rsidR="00B9662D" w:rsidRPr="00246AE4" w:rsidRDefault="00B9662D" w:rsidP="00B9662D">
      <w:pPr>
        <w:spacing w:before="120" w:after="120"/>
        <w:jc w:val="both"/>
      </w:pPr>
      <w:r>
        <w:rPr>
          <w:color w:val="000000"/>
          <w:lang w:eastAsia="fr-FR" w:bidi="fr-FR"/>
        </w:rPr>
        <w:lastRenderedPageBreak/>
        <w:t xml:space="preserve">10. </w:t>
      </w:r>
      <w:r w:rsidRPr="00246AE4">
        <w:rPr>
          <w:color w:val="000000"/>
          <w:lang w:eastAsia="fr-FR" w:bidi="fr-FR"/>
        </w:rPr>
        <w:t>Fol. 240-241. Enquête sur les droits du roi à Chelles, du 3 juin 1303, copiée par Duchesne. Je reviendrai tout à l’heure sur ce texte</w:t>
      </w:r>
      <w:r>
        <w:rPr>
          <w:color w:val="000000"/>
          <w:lang w:eastAsia="fr-FR" w:bidi="fr-FR"/>
        </w:rPr>
        <w:t> </w:t>
      </w:r>
      <w:r>
        <w:rPr>
          <w:rStyle w:val="Appelnotedebasdep"/>
        </w:rPr>
        <w:footnoteReference w:id="318"/>
      </w:r>
      <w:r w:rsidRPr="00246AE4">
        <w:rPr>
          <w:color w:val="000000"/>
          <w:lang w:eastAsia="fr-FR" w:bidi="fr-FR"/>
        </w:rPr>
        <w:t>.</w:t>
      </w:r>
    </w:p>
    <w:p w14:paraId="7B98EE6F" w14:textId="77777777" w:rsidR="00B9662D" w:rsidRDefault="00B9662D" w:rsidP="00B9662D">
      <w:pPr>
        <w:spacing w:before="120" w:after="120"/>
        <w:jc w:val="both"/>
        <w:rPr>
          <w:color w:val="000000"/>
          <w:lang w:eastAsia="fr-FR" w:bidi="fr-FR"/>
        </w:rPr>
      </w:pPr>
    </w:p>
    <w:p w14:paraId="350003D9" w14:textId="77777777" w:rsidR="00B9662D" w:rsidRPr="00246AE4" w:rsidRDefault="00B9662D" w:rsidP="00B9662D">
      <w:pPr>
        <w:spacing w:before="120" w:after="120"/>
        <w:jc w:val="both"/>
      </w:pPr>
      <w:r w:rsidRPr="00246AE4">
        <w:rPr>
          <w:color w:val="000000"/>
          <w:lang w:eastAsia="fr-FR" w:bidi="fr-FR"/>
        </w:rPr>
        <w:t xml:space="preserve">Les extraits que Duchesne avait faits des cartulaires </w:t>
      </w:r>
      <w:r w:rsidRPr="00246AE4">
        <w:t>B</w:t>
      </w:r>
      <w:r w:rsidRPr="00246AE4">
        <w:rPr>
          <w:color w:val="000000"/>
          <w:lang w:eastAsia="fr-FR" w:bidi="fr-FR"/>
        </w:rPr>
        <w:t xml:space="preserve"> et C des Bouville furent à leur tour objets de copie. La Bibliothèque Nationale conserve, sous les cotes 24124-24136 </w:t>
      </w:r>
      <w:r w:rsidRPr="00246AE4">
        <w:t>bis</w:t>
      </w:r>
      <w:r w:rsidRPr="00246AE4">
        <w:rPr>
          <w:color w:val="000000"/>
          <w:lang w:eastAsia="fr-FR" w:bidi="fr-FR"/>
        </w:rPr>
        <w:t xml:space="preserve"> du fonds français, treize v</w:t>
      </w:r>
      <w:r w:rsidRPr="00246AE4">
        <w:rPr>
          <w:color w:val="000000"/>
          <w:lang w:eastAsia="fr-FR" w:bidi="fr-FR"/>
        </w:rPr>
        <w:t>o</w:t>
      </w:r>
      <w:r w:rsidRPr="00246AE4">
        <w:rPr>
          <w:color w:val="000000"/>
          <w:lang w:eastAsia="fr-FR" w:bidi="fr-FR"/>
        </w:rPr>
        <w:t>lumes</w:t>
      </w:r>
      <w:r>
        <w:rPr>
          <w:color w:val="000000"/>
          <w:lang w:eastAsia="fr-FR" w:bidi="fr-FR"/>
        </w:rPr>
        <w:t> </w:t>
      </w:r>
      <w:r>
        <w:rPr>
          <w:rStyle w:val="Appelnotedebasdep"/>
        </w:rPr>
        <w:footnoteReference w:id="319"/>
      </w:r>
      <w:r w:rsidRPr="00246AE4">
        <w:rPr>
          <w:color w:val="000000"/>
          <w:lang w:eastAsia="fr-FR" w:bidi="fr-FR"/>
        </w:rPr>
        <w:t xml:space="preserve">, que l’on connaît en général sous le nom de </w:t>
      </w:r>
      <w:r w:rsidRPr="004427E6">
        <w:rPr>
          <w:i/>
        </w:rPr>
        <w:t>Mémoires du prieur de Mondonville</w:t>
      </w:r>
      <w:r w:rsidRPr="00246AE4">
        <w:t>.</w:t>
      </w:r>
      <w:r w:rsidRPr="00246AE4">
        <w:rPr>
          <w:color w:val="000000"/>
          <w:lang w:eastAsia="fr-FR" w:bidi="fr-FR"/>
        </w:rPr>
        <w:t xml:space="preserve"> Sur leurs feuillets, au début du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un moine beauceron, Guillaume Laisné, prieur de Mondonville, tran</w:t>
      </w:r>
      <w:r w:rsidRPr="00246AE4">
        <w:rPr>
          <w:color w:val="000000"/>
          <w:lang w:eastAsia="fr-FR" w:bidi="fr-FR"/>
        </w:rPr>
        <w:t>s</w:t>
      </w:r>
      <w:r w:rsidRPr="00246AE4">
        <w:rPr>
          <w:color w:val="000000"/>
          <w:lang w:eastAsia="fr-FR" w:bidi="fr-FR"/>
        </w:rPr>
        <w:t>crivit ou analysa, dans un dessein que nous ignorons, d’innombrables documents dont la plupart concernent l’histoire généalogique du pays chartrain. Ouvrons le tome</w:t>
      </w:r>
      <w:r>
        <w:rPr>
          <w:color w:val="000000"/>
          <w:lang w:eastAsia="fr-FR" w:bidi="fr-FR"/>
        </w:rPr>
        <w:t> </w:t>
      </w:r>
      <w:r w:rsidRPr="00246AE4">
        <w:rPr>
          <w:color w:val="000000"/>
          <w:lang w:eastAsia="fr-FR" w:bidi="fr-FR"/>
        </w:rPr>
        <w:t xml:space="preserve">IX de ces </w:t>
      </w:r>
      <w:r w:rsidRPr="004427E6">
        <w:rPr>
          <w:i/>
        </w:rPr>
        <w:t>Mémoires </w:t>
      </w:r>
      <w:r>
        <w:rPr>
          <w:rStyle w:val="Appelnotedebasdep"/>
        </w:rPr>
        <w:footnoteReference w:id="320"/>
      </w:r>
      <w:r w:rsidRPr="00246AE4">
        <w:rPr>
          <w:color w:val="000000"/>
          <w:lang w:eastAsia="fr-FR" w:bidi="fr-FR"/>
        </w:rPr>
        <w:t xml:space="preserve">. Nous y trouverons, de la page 486 à la page 497, sous la rubrique : « Extraict des </w:t>
      </w:r>
      <w:r w:rsidRPr="00246AE4">
        <w:rPr>
          <w:color w:val="000000"/>
          <w:lang w:eastAsia="fr-FR" w:bidi="fr-FR"/>
        </w:rPr>
        <w:lastRenderedPageBreak/>
        <w:t>titres d’un registre en parchemin de M</w:t>
      </w:r>
      <w:r w:rsidRPr="00246AE4">
        <w:rPr>
          <w:color w:val="000000"/>
          <w:vertAlign w:val="superscript"/>
          <w:lang w:eastAsia="fr-FR" w:bidi="fr-FR"/>
        </w:rPr>
        <w:t>re</w:t>
      </w:r>
      <w:r>
        <w:rPr>
          <w:color w:val="000000"/>
          <w:lang w:eastAsia="fr-FR" w:bidi="fr-FR"/>
        </w:rPr>
        <w:t> </w:t>
      </w:r>
      <w:r w:rsidRPr="00246AE4">
        <w:rPr>
          <w:color w:val="000000"/>
          <w:lang w:eastAsia="fr-FR" w:bidi="fr-FR"/>
        </w:rPr>
        <w:t>Gilles de Chastillon, chevalier, b</w:t>
      </w:r>
      <w:r w:rsidRPr="00246AE4">
        <w:rPr>
          <w:color w:val="000000"/>
          <w:lang w:eastAsia="fr-FR" w:bidi="fr-FR"/>
        </w:rPr>
        <w:t>a</w:t>
      </w:r>
      <w:r w:rsidRPr="00246AE4">
        <w:rPr>
          <w:color w:val="000000"/>
          <w:lang w:eastAsia="fr-FR" w:bidi="fr-FR"/>
        </w:rPr>
        <w:t xml:space="preserve">ron d’Argenton, Bouville, Farcheville et caetera », des extraits du </w:t>
      </w:r>
      <w:r w:rsidRPr="004427E6">
        <w:rPr>
          <w:i/>
        </w:rPr>
        <w:t>ca</w:t>
      </w:r>
      <w:r w:rsidRPr="004427E6">
        <w:rPr>
          <w:i/>
        </w:rPr>
        <w:t>r</w:t>
      </w:r>
      <w:r w:rsidRPr="004427E6">
        <w:rPr>
          <w:i/>
        </w:rPr>
        <w:t>tulaire B</w:t>
      </w:r>
      <w:r w:rsidRPr="00246AE4">
        <w:rPr>
          <w:color w:val="000000"/>
          <w:lang w:eastAsia="fr-FR" w:bidi="fr-FR"/>
        </w:rPr>
        <w:t xml:space="preserve"> des sires de Bouville ; puis, de la page 497 à la page 499, sous la rubrique : « Extraict d’un autre registre</w:t>
      </w:r>
      <w:r>
        <w:rPr>
          <w:color w:val="000000"/>
          <w:lang w:eastAsia="fr-FR" w:bidi="fr-FR"/>
        </w:rPr>
        <w:t xml:space="preserve"> </w:t>
      </w:r>
      <w:r>
        <w:t>[</w:t>
      </w:r>
      <w:r w:rsidRPr="00246AE4">
        <w:rPr>
          <w:color w:val="000000"/>
          <w:lang w:eastAsia="fr-FR" w:bidi="fr-FR"/>
        </w:rPr>
        <w:t>687</w:t>
      </w:r>
      <w:r>
        <w:rPr>
          <w:color w:val="000000"/>
          <w:lang w:eastAsia="fr-FR" w:bidi="fr-FR"/>
        </w:rPr>
        <w:t xml:space="preserve">] </w:t>
      </w:r>
      <w:r w:rsidRPr="00246AE4">
        <w:rPr>
          <w:color w:val="000000"/>
          <w:lang w:eastAsia="fr-FR" w:bidi="fr-FR"/>
        </w:rPr>
        <w:t xml:space="preserve">en parchemin », des extraits du </w:t>
      </w:r>
      <w:r w:rsidRPr="00C8429A">
        <w:rPr>
          <w:i/>
        </w:rPr>
        <w:t>cartulaire</w:t>
      </w:r>
      <w:r w:rsidRPr="00C8429A">
        <w:rPr>
          <w:i/>
          <w:color w:val="000000"/>
          <w:lang w:eastAsia="fr-FR" w:bidi="fr-FR"/>
        </w:rPr>
        <w:t xml:space="preserve"> C</w:t>
      </w:r>
      <w:r w:rsidRPr="00246AE4">
        <w:rPr>
          <w:color w:val="000000"/>
          <w:lang w:eastAsia="fr-FR" w:bidi="fr-FR"/>
        </w:rPr>
        <w:t>. Il suff</w:t>
      </w:r>
      <w:r>
        <w:rPr>
          <w:color w:val="000000"/>
          <w:lang w:eastAsia="fr-FR" w:bidi="fr-FR"/>
        </w:rPr>
        <w:t>i</w:t>
      </w:r>
      <w:r w:rsidRPr="00246AE4">
        <w:rPr>
          <w:color w:val="000000"/>
          <w:lang w:eastAsia="fr-FR" w:bidi="fr-FR"/>
        </w:rPr>
        <w:t>t de comparer ces notes avec celles de Duchesne, prises sur les mêmes registres, pour reconnaître que Guillaume Laisné,</w:t>
      </w:r>
      <w:r>
        <w:rPr>
          <w:color w:val="000000"/>
          <w:lang w:eastAsia="fr-FR" w:bidi="fr-FR"/>
        </w:rPr>
        <w:t> — </w:t>
      </w:r>
      <w:r w:rsidRPr="00246AE4">
        <w:rPr>
          <w:color w:val="000000"/>
          <w:lang w:eastAsia="fr-FR" w:bidi="fr-FR"/>
        </w:rPr>
        <w:t>qui reproduit souvent les expressions mêmes de Duchesne, qui a omis quelques-unes des pièces résumées par Duche</w:t>
      </w:r>
      <w:r w:rsidRPr="00246AE4">
        <w:rPr>
          <w:color w:val="000000"/>
          <w:lang w:eastAsia="fr-FR" w:bidi="fr-FR"/>
        </w:rPr>
        <w:t>s</w:t>
      </w:r>
      <w:r w:rsidRPr="00246AE4">
        <w:rPr>
          <w:color w:val="000000"/>
          <w:lang w:eastAsia="fr-FR" w:bidi="fr-FR"/>
        </w:rPr>
        <w:t>ne, ou abrégé ses analyses, mais ne donne jamais un acte, ni, dans une analyse, un détail qui ne se trouve également chez Duchesne,</w:t>
      </w:r>
      <w:r>
        <w:rPr>
          <w:color w:val="000000"/>
          <w:lang w:eastAsia="fr-FR" w:bidi="fr-FR"/>
        </w:rPr>
        <w:t> — </w:t>
      </w:r>
      <w:r w:rsidRPr="00246AE4">
        <w:rPr>
          <w:color w:val="000000"/>
          <w:lang w:eastAsia="fr-FR" w:bidi="fr-FR"/>
        </w:rPr>
        <w:t>eut sous les yeux non les cartulaires eux-mêmes, mais les papiers de l’histoire de la maison de Châtihon contenus aujourd’hui dans le v</w:t>
      </w:r>
      <w:r w:rsidRPr="00246AE4">
        <w:rPr>
          <w:color w:val="000000"/>
          <w:lang w:eastAsia="fr-FR" w:bidi="fr-FR"/>
        </w:rPr>
        <w:t>o</w:t>
      </w:r>
      <w:r w:rsidRPr="00246AE4">
        <w:rPr>
          <w:color w:val="000000"/>
          <w:lang w:eastAsia="fr-FR" w:bidi="fr-FR"/>
        </w:rPr>
        <w:t>lume 54 du fonds Baluze. Comment put-il se les procurer ? Nous l’ignorons ; nous ne savons à peu près rien de ce que fut la vie de Guillaume Laisné ; son nom, ses titres ecclésiastiques, la date de sa mort (28 octobre 1635), son infatigable patience de comp</w:t>
      </w:r>
      <w:r w:rsidRPr="00246AE4">
        <w:rPr>
          <w:color w:val="000000"/>
          <w:lang w:eastAsia="fr-FR" w:bidi="fr-FR"/>
        </w:rPr>
        <w:t>i</w:t>
      </w:r>
      <w:r w:rsidRPr="00246AE4">
        <w:rPr>
          <w:color w:val="000000"/>
          <w:lang w:eastAsia="fr-FR" w:bidi="fr-FR"/>
        </w:rPr>
        <w:t>lateur et son atroce écriture, voilà tout ce que nous connaissons de lui</w:t>
      </w:r>
      <w:r>
        <w:rPr>
          <w:color w:val="000000"/>
          <w:lang w:eastAsia="fr-FR" w:bidi="fr-FR"/>
        </w:rPr>
        <w:t> </w:t>
      </w:r>
      <w:r>
        <w:rPr>
          <w:rStyle w:val="Appelnotedebasdep"/>
        </w:rPr>
        <w:footnoteReference w:id="321"/>
      </w:r>
      <w:r w:rsidRPr="00246AE4">
        <w:rPr>
          <w:color w:val="000000"/>
          <w:lang w:eastAsia="fr-FR" w:bidi="fr-FR"/>
        </w:rPr>
        <w:t>.</w:t>
      </w:r>
    </w:p>
    <w:p w14:paraId="5CA0687B" w14:textId="77777777" w:rsidR="00B9662D" w:rsidRPr="00246AE4" w:rsidRDefault="00B9662D" w:rsidP="00B9662D">
      <w:pPr>
        <w:spacing w:before="120" w:after="120"/>
        <w:jc w:val="both"/>
      </w:pPr>
      <w:r w:rsidRPr="00246AE4">
        <w:rPr>
          <w:color w:val="000000"/>
          <w:lang w:eastAsia="fr-FR" w:bidi="fr-FR"/>
        </w:rPr>
        <w:t>Les cartulaires des sires de Bouville doivent sans doute être a</w:t>
      </w:r>
      <w:r w:rsidRPr="00246AE4">
        <w:rPr>
          <w:color w:val="000000"/>
          <w:lang w:eastAsia="fr-FR" w:bidi="fr-FR"/>
        </w:rPr>
        <w:t>u</w:t>
      </w:r>
      <w:r w:rsidRPr="00246AE4">
        <w:rPr>
          <w:color w:val="000000"/>
          <w:lang w:eastAsia="fr-FR" w:bidi="fr-FR"/>
        </w:rPr>
        <w:t xml:space="preserve">jourd’hui tenus pour perdus. Ils n’ont été signalés dans aucun dépôt public. </w:t>
      </w:r>
      <w:r>
        <w:rPr>
          <w:color w:val="000000"/>
          <w:lang w:eastAsia="fr-FR" w:bidi="fr-FR"/>
        </w:rPr>
        <w:t>À</w:t>
      </w:r>
      <w:r w:rsidRPr="00246AE4">
        <w:rPr>
          <w:color w:val="000000"/>
          <w:lang w:eastAsia="fr-FR" w:bidi="fr-FR"/>
        </w:rPr>
        <w:t xml:space="preserve"> moins qu’on ne les retrouve un jour dans quelque chartrier privé, il faudra vraisemblablement que les érudits se résignent déso</w:t>
      </w:r>
      <w:r w:rsidRPr="00246AE4">
        <w:rPr>
          <w:color w:val="000000"/>
          <w:lang w:eastAsia="fr-FR" w:bidi="fr-FR"/>
        </w:rPr>
        <w:t>r</w:t>
      </w:r>
      <w:r w:rsidRPr="00246AE4">
        <w:rPr>
          <w:color w:val="000000"/>
          <w:lang w:eastAsia="fr-FR" w:bidi="fr-FR"/>
        </w:rPr>
        <w:t>mais à ne les connaître que par les notes d’André Duchesne.</w:t>
      </w:r>
    </w:p>
    <w:p w14:paraId="10D52FEC" w14:textId="77777777" w:rsidR="00B9662D" w:rsidRPr="00246AE4" w:rsidRDefault="00B9662D" w:rsidP="00B9662D">
      <w:pPr>
        <w:spacing w:before="120" w:after="120"/>
        <w:jc w:val="both"/>
      </w:pPr>
      <w:r w:rsidRPr="00246AE4">
        <w:rPr>
          <w:color w:val="000000"/>
          <w:lang w:eastAsia="fr-FR" w:bidi="fr-FR"/>
        </w:rPr>
        <w:t>Le personnage sur lequel les cartulaires de Bouville nous fourni</w:t>
      </w:r>
      <w:r w:rsidRPr="00246AE4">
        <w:rPr>
          <w:color w:val="000000"/>
          <w:lang w:eastAsia="fr-FR" w:bidi="fr-FR"/>
        </w:rPr>
        <w:t>s</w:t>
      </w:r>
      <w:r w:rsidRPr="00246AE4">
        <w:rPr>
          <w:color w:val="000000"/>
          <w:lang w:eastAsia="fr-FR" w:bidi="fr-FR"/>
        </w:rPr>
        <w:t>sent les renseignements les plus intéressants est sans conteste le fo</w:t>
      </w:r>
      <w:r w:rsidRPr="00246AE4">
        <w:rPr>
          <w:color w:val="000000"/>
          <w:lang w:eastAsia="fr-FR" w:bidi="fr-FR"/>
        </w:rPr>
        <w:t>n</w:t>
      </w:r>
      <w:r w:rsidRPr="00246AE4">
        <w:rPr>
          <w:color w:val="000000"/>
          <w:lang w:eastAsia="fr-FR" w:bidi="fr-FR"/>
        </w:rPr>
        <w:t>dateur même de la fortune de la maison, Hugues,</w:t>
      </w:r>
      <w:r>
        <w:rPr>
          <w:color w:val="000000"/>
          <w:lang w:eastAsia="fr-FR" w:bidi="fr-FR"/>
        </w:rPr>
        <w:t> — </w:t>
      </w:r>
      <w:r w:rsidRPr="00246AE4">
        <w:rPr>
          <w:color w:val="000000"/>
          <w:lang w:eastAsia="fr-FR" w:bidi="fr-FR"/>
        </w:rPr>
        <w:t>le Hugues II de Duchesne,</w:t>
      </w:r>
      <w:r>
        <w:rPr>
          <w:color w:val="000000"/>
          <w:lang w:eastAsia="fr-FR" w:bidi="fr-FR"/>
        </w:rPr>
        <w:t> — </w:t>
      </w:r>
      <w:r w:rsidRPr="00246AE4">
        <w:rPr>
          <w:color w:val="000000"/>
          <w:lang w:eastAsia="fr-FR" w:bidi="fr-FR"/>
        </w:rPr>
        <w:t>chambellan du roi Philippe le Bel. Attaché en qualité de chambellan à Philippe, alors que ce dernier n’était encore que l’héritier de la couronne</w:t>
      </w:r>
      <w:r>
        <w:rPr>
          <w:color w:val="000000"/>
          <w:lang w:eastAsia="fr-FR" w:bidi="fr-FR"/>
        </w:rPr>
        <w:t> </w:t>
      </w:r>
      <w:r>
        <w:rPr>
          <w:rStyle w:val="Appelnotedebasdep"/>
        </w:rPr>
        <w:footnoteReference w:id="322"/>
      </w:r>
      <w:r w:rsidRPr="00246AE4">
        <w:rPr>
          <w:color w:val="000000"/>
          <w:lang w:eastAsia="fr-FR" w:bidi="fr-FR"/>
        </w:rPr>
        <w:t>, Hugues de Bouville demeura au service de son maître, devenu roi. Avec Pierre de Chambly, qui fut peut-être son parent</w:t>
      </w:r>
      <w:r>
        <w:rPr>
          <w:color w:val="000000"/>
          <w:lang w:eastAsia="fr-FR" w:bidi="fr-FR"/>
        </w:rPr>
        <w:t> </w:t>
      </w:r>
      <w:r>
        <w:rPr>
          <w:rStyle w:val="Appelnotedebasdep"/>
        </w:rPr>
        <w:footnoteReference w:id="323"/>
      </w:r>
      <w:r w:rsidRPr="00246AE4">
        <w:rPr>
          <w:color w:val="000000"/>
          <w:lang w:eastAsia="fr-FR" w:bidi="fr-FR"/>
        </w:rPr>
        <w:t>, Hugues est le seul des conseillers de Philippe le Bel q</w:t>
      </w:r>
      <w:r>
        <w:rPr>
          <w:color w:val="000000"/>
          <w:lang w:eastAsia="fr-FR" w:bidi="fr-FR"/>
        </w:rPr>
        <w:t xml:space="preserve">ui </w:t>
      </w:r>
      <w:r>
        <w:rPr>
          <w:color w:val="000000"/>
          <w:lang w:eastAsia="fr-FR" w:bidi="fr-FR"/>
        </w:rPr>
        <w:lastRenderedPageBreak/>
        <w:t>ait trouvé grâce devant Geoff</w:t>
      </w:r>
      <w:r w:rsidRPr="00246AE4">
        <w:rPr>
          <w:color w:val="000000"/>
          <w:lang w:eastAsia="fr-FR" w:bidi="fr-FR"/>
        </w:rPr>
        <w:t>roi de Paris</w:t>
      </w:r>
      <w:r>
        <w:rPr>
          <w:color w:val="000000"/>
          <w:lang w:eastAsia="fr-FR" w:bidi="fr-FR"/>
        </w:rPr>
        <w:t> </w:t>
      </w:r>
      <w:r>
        <w:rPr>
          <w:rStyle w:val="Appelnotedebasdep"/>
        </w:rPr>
        <w:footnoteReference w:id="324"/>
      </w:r>
      <w:r w:rsidRPr="00246AE4">
        <w:rPr>
          <w:color w:val="000000"/>
          <w:lang w:eastAsia="fr-FR" w:bidi="fr-FR"/>
        </w:rPr>
        <w:t>. Il eut vraisemblablement part aux négociations de l’année 1299 entre le roi de France et Albert d’Autriche. Le 11 décembre 1299, trois jours après l’entrevue des deux souverains à Quatrevaux, Albert élevait Hugues de Bouville, chambellan du roi de France, au rang « de son familier et de son ch</w:t>
      </w:r>
      <w:r w:rsidRPr="00246AE4">
        <w:rPr>
          <w:color w:val="000000"/>
          <w:lang w:eastAsia="fr-FR" w:bidi="fr-FR"/>
        </w:rPr>
        <w:t>e</w:t>
      </w:r>
      <w:r w:rsidRPr="00246AE4">
        <w:rPr>
          <w:color w:val="000000"/>
          <w:lang w:eastAsia="fr-FR" w:bidi="fr-FR"/>
        </w:rPr>
        <w:t>valier »</w:t>
      </w:r>
      <w:r>
        <w:rPr>
          <w:color w:val="000000"/>
          <w:lang w:eastAsia="fr-FR" w:bidi="fr-FR"/>
        </w:rPr>
        <w:t> </w:t>
      </w:r>
      <w:r>
        <w:rPr>
          <w:rStyle w:val="Appelnotedebasdep"/>
        </w:rPr>
        <w:footnoteReference w:id="325"/>
      </w:r>
      <w:r w:rsidRPr="00246AE4">
        <w:rPr>
          <w:color w:val="000000"/>
          <w:lang w:eastAsia="fr-FR" w:bidi="fr-FR"/>
        </w:rPr>
        <w:t>. Si l’on en croit le préambule d’un acte de Philippe le Bel, rendu en sa faveur, Hugues contribua pour beaucoup à l’acquisition du comté de Flandre par le roi, en 1301</w:t>
      </w:r>
      <w:r>
        <w:rPr>
          <w:color w:val="000000"/>
          <w:lang w:eastAsia="fr-FR" w:bidi="fr-FR"/>
        </w:rPr>
        <w:t> </w:t>
      </w:r>
      <w:r>
        <w:rPr>
          <w:rStyle w:val="Appelnotedebasdep"/>
        </w:rPr>
        <w:footnoteReference w:id="326"/>
      </w:r>
      <w:r w:rsidRPr="00246AE4">
        <w:rPr>
          <w:color w:val="000000"/>
          <w:lang w:eastAsia="fr-FR" w:bidi="fr-FR"/>
        </w:rPr>
        <w:t>. Acquisition éphémère, comme</w:t>
      </w:r>
      <w:r>
        <w:t xml:space="preserve"> </w:t>
      </w:r>
      <w:r>
        <w:rPr>
          <w:color w:val="000000"/>
          <w:lang w:eastAsia="fr-FR" w:bidi="fr-FR"/>
        </w:rPr>
        <w:t xml:space="preserve">[688] </w:t>
      </w:r>
      <w:r w:rsidRPr="00246AE4">
        <w:rPr>
          <w:color w:val="000000"/>
          <w:lang w:eastAsia="fr-FR" w:bidi="fr-FR"/>
        </w:rPr>
        <w:t>l’on sait. Le 18 août 1304, à la bataille de Mons-en-Pévèle, Hugues de Bouville se trouvait aux côtés du roi. Il fut pris dans la bagarre où Philippe le Bel faillit périr, et là, comme dit D</w:t>
      </w:r>
      <w:r w:rsidRPr="00246AE4">
        <w:rPr>
          <w:color w:val="000000"/>
          <w:lang w:eastAsia="fr-FR" w:bidi="fr-FR"/>
        </w:rPr>
        <w:t>u</w:t>
      </w:r>
      <w:r w:rsidRPr="00246AE4">
        <w:rPr>
          <w:color w:val="000000"/>
          <w:lang w:eastAsia="fr-FR" w:bidi="fr-FR"/>
        </w:rPr>
        <w:t>chesne, « il s’acquit encore ceste gloire que de mourir aux pieds du roi Philippe son mai</w:t>
      </w:r>
      <w:r w:rsidRPr="00246AE4">
        <w:rPr>
          <w:color w:val="000000"/>
          <w:lang w:eastAsia="fr-FR" w:bidi="fr-FR"/>
        </w:rPr>
        <w:t>s</w:t>
      </w:r>
      <w:r w:rsidRPr="00246AE4">
        <w:rPr>
          <w:color w:val="000000"/>
          <w:lang w:eastAsia="fr-FR" w:bidi="fr-FR"/>
        </w:rPr>
        <w:t>tre en combattant généreuse</w:t>
      </w:r>
      <w:r>
        <w:rPr>
          <w:color w:val="000000"/>
          <w:lang w:eastAsia="fr-FR" w:bidi="fr-FR"/>
        </w:rPr>
        <w:t xml:space="preserve">ment pour la défense de </w:t>
      </w:r>
      <w:r>
        <w:rPr>
          <w:color w:val="000000"/>
          <w:lang w:eastAsia="fr-FR" w:bidi="fr-FR"/>
        </w:rPr>
        <w:lastRenderedPageBreak/>
        <w:t>son Esta</w:t>
      </w:r>
      <w:r w:rsidRPr="00246AE4">
        <w:rPr>
          <w:color w:val="000000"/>
          <w:lang w:eastAsia="fr-FR" w:bidi="fr-FR"/>
        </w:rPr>
        <w:t>t</w:t>
      </w:r>
      <w:r>
        <w:rPr>
          <w:color w:val="000000"/>
          <w:lang w:eastAsia="fr-FR" w:bidi="fr-FR"/>
        </w:rPr>
        <w:t> » </w:t>
      </w:r>
      <w:r>
        <w:rPr>
          <w:rStyle w:val="Appelnotedebasdep"/>
        </w:rPr>
        <w:footnoteReference w:id="327"/>
      </w:r>
      <w:r w:rsidRPr="00246AE4">
        <w:rPr>
          <w:color w:val="000000"/>
          <w:lang w:eastAsia="fr-FR" w:bidi="fr-FR"/>
        </w:rPr>
        <w:t xml:space="preserve">. Les marques de la faveur royale ne lui avaient pas été épargnées. </w:t>
      </w:r>
      <w:r>
        <w:rPr>
          <w:color w:val="000000"/>
          <w:lang w:eastAsia="fr-FR" w:bidi="fr-FR"/>
        </w:rPr>
        <w:t>À</w:t>
      </w:r>
      <w:r w:rsidRPr="00246AE4">
        <w:rPr>
          <w:color w:val="000000"/>
          <w:lang w:eastAsia="fr-FR" w:bidi="fr-FR"/>
        </w:rPr>
        <w:t xml:space="preserve"> qui veut mesurer la générosité de Philippe le Bel ou l’avidité de ses conseillers, il faut recommander la lecture des cartula</w:t>
      </w:r>
      <w:r w:rsidRPr="00246AE4">
        <w:rPr>
          <w:color w:val="000000"/>
          <w:lang w:eastAsia="fr-FR" w:bidi="fr-FR"/>
        </w:rPr>
        <w:t>i</w:t>
      </w:r>
      <w:r w:rsidRPr="00246AE4">
        <w:rPr>
          <w:color w:val="000000"/>
          <w:lang w:eastAsia="fr-FR" w:bidi="fr-FR"/>
        </w:rPr>
        <w:t>res des sires de Bouville en même temps que celle du cartulaire d’Enguerrand de M</w:t>
      </w:r>
      <w:r w:rsidRPr="00246AE4">
        <w:rPr>
          <w:color w:val="000000"/>
          <w:lang w:eastAsia="fr-FR" w:bidi="fr-FR"/>
        </w:rPr>
        <w:t>a</w:t>
      </w:r>
      <w:r w:rsidRPr="00246AE4">
        <w:rPr>
          <w:color w:val="000000"/>
          <w:lang w:eastAsia="fr-FR" w:bidi="fr-FR"/>
        </w:rPr>
        <w:t>rigny.</w:t>
      </w:r>
    </w:p>
    <w:p w14:paraId="5D9C202A" w14:textId="77777777" w:rsidR="00B9662D" w:rsidRPr="00246AE4" w:rsidRDefault="00B9662D" w:rsidP="00B9662D">
      <w:pPr>
        <w:spacing w:before="120" w:after="120"/>
        <w:jc w:val="both"/>
      </w:pPr>
      <w:r w:rsidRPr="00246AE4">
        <w:rPr>
          <w:color w:val="000000"/>
          <w:lang w:eastAsia="fr-FR" w:bidi="fr-FR"/>
        </w:rPr>
        <w:t>Entre autres témoignages de sa libéralité, Philippe le Bel, par un acte daté du mois de janvier 1304 (n. st.), céda à Hugues de Bouville tous ses droits sur la ville de Chelles, « excepté l’ost, la chevauchée et la souveraineté (superioritas)</w:t>
      </w:r>
      <w:r>
        <w:rPr>
          <w:color w:val="000000"/>
          <w:lang w:eastAsia="fr-FR" w:bidi="fr-FR"/>
        </w:rPr>
        <w:t> </w:t>
      </w:r>
      <w:r>
        <w:rPr>
          <w:rStyle w:val="Appelnotedebasdep"/>
        </w:rPr>
        <w:footnoteReference w:id="328"/>
      </w:r>
      <w:r w:rsidRPr="00246AE4">
        <w:rPr>
          <w:color w:val="000000"/>
          <w:lang w:eastAsia="fr-FR" w:bidi="fr-FR"/>
        </w:rPr>
        <w:t> ». Avant d’abandonner ses droits, le roi avait voulu en connaître l’étendue : tel fut l’objet d’une enquête dont le prévôt de Paris, Pierre le Jumeau, se trouva chargé. Il en rendit compte dans un acte daté du 9 juin 1303. L’ost et chevauchée, l’impôt payé en remplacement du service militaire effectif, certains droits de contrôle sur la commune de Chelles et le gîte, voilà tout ce que le roi possédait à Chelles. Dans la donation, comme on l’a vu, il se réserva expressément l’ost et la chevauchée, et bien vraisemblablement ret</w:t>
      </w:r>
      <w:r w:rsidRPr="00246AE4">
        <w:rPr>
          <w:color w:val="000000"/>
          <w:lang w:eastAsia="fr-FR" w:bidi="fr-FR"/>
        </w:rPr>
        <w:t>e</w:t>
      </w:r>
      <w:r w:rsidRPr="00246AE4">
        <w:rPr>
          <w:color w:val="000000"/>
          <w:lang w:eastAsia="fr-FR" w:bidi="fr-FR"/>
        </w:rPr>
        <w:t>nait aussi l’impôt de remplacement, par voie de conséquence, les droits sur la commune, comme rentrant dans la notion de souverain</w:t>
      </w:r>
      <w:r w:rsidRPr="00246AE4">
        <w:rPr>
          <w:color w:val="000000"/>
          <w:lang w:eastAsia="fr-FR" w:bidi="fr-FR"/>
        </w:rPr>
        <w:t>e</w:t>
      </w:r>
      <w:r w:rsidRPr="00246AE4">
        <w:rPr>
          <w:color w:val="000000"/>
          <w:lang w:eastAsia="fr-FR" w:bidi="fr-FR"/>
        </w:rPr>
        <w:t>té. Il ne restait à Hugues de Bouville que le gîte. Une faible partie se</w:t>
      </w:r>
      <w:r w:rsidRPr="00246AE4">
        <w:rPr>
          <w:color w:val="000000"/>
          <w:lang w:eastAsia="fr-FR" w:bidi="fr-FR"/>
        </w:rPr>
        <w:t>u</w:t>
      </w:r>
      <w:r w:rsidRPr="00246AE4">
        <w:rPr>
          <w:color w:val="000000"/>
          <w:lang w:eastAsia="fr-FR" w:bidi="fr-FR"/>
        </w:rPr>
        <w:t>lement de l’enquête de Pierre le Jumeau pouvait l’intéresser, lui et ses héritiers. Néanmoins, les sires de Bouville jugèrent bon d’en conse</w:t>
      </w:r>
      <w:r w:rsidRPr="00246AE4">
        <w:rPr>
          <w:color w:val="000000"/>
          <w:lang w:eastAsia="fr-FR" w:bidi="fr-FR"/>
        </w:rPr>
        <w:t>r</w:t>
      </w:r>
      <w:r w:rsidRPr="00246AE4">
        <w:rPr>
          <w:color w:val="000000"/>
          <w:lang w:eastAsia="fr-FR" w:bidi="fr-FR"/>
        </w:rPr>
        <w:t xml:space="preserve">ver le texte. Quand le </w:t>
      </w:r>
      <w:r w:rsidRPr="008367B6">
        <w:rPr>
          <w:i/>
        </w:rPr>
        <w:t>cartulaire B</w:t>
      </w:r>
      <w:r w:rsidRPr="00246AE4">
        <w:rPr>
          <w:color w:val="000000"/>
          <w:lang w:eastAsia="fr-FR" w:bidi="fr-FR"/>
        </w:rPr>
        <w:t xml:space="preserve"> fut formé, l’acte de Pierre le J</w:t>
      </w:r>
      <w:r w:rsidRPr="00246AE4">
        <w:rPr>
          <w:color w:val="000000"/>
          <w:lang w:eastAsia="fr-FR" w:bidi="fr-FR"/>
        </w:rPr>
        <w:t>u</w:t>
      </w:r>
      <w:r w:rsidRPr="00246AE4">
        <w:rPr>
          <w:color w:val="000000"/>
          <w:lang w:eastAsia="fr-FR" w:bidi="fr-FR"/>
        </w:rPr>
        <w:t>meau y fut transcrit sous le n° 176. Duchesne l’y lut ; il le trouva curieux et voulut en garder copie. Dans les extraits qu’il prit sur le cartulaire, il ne reproduisit ni même n’analysa l’enquête de 1303 ; il se contenta de noter deux renseignements d’ordre biographique qu’il y avait recueillis</w:t>
      </w:r>
      <w:r>
        <w:rPr>
          <w:color w:val="000000"/>
          <w:lang w:eastAsia="fr-FR" w:bidi="fr-FR"/>
        </w:rPr>
        <w:t> </w:t>
      </w:r>
      <w:r>
        <w:rPr>
          <w:rStyle w:val="Appelnotedebasdep"/>
        </w:rPr>
        <w:footnoteReference w:id="329"/>
      </w:r>
      <w:r w:rsidRPr="00246AE4">
        <w:rPr>
          <w:color w:val="000000"/>
          <w:lang w:eastAsia="fr-FR" w:bidi="fr-FR"/>
        </w:rPr>
        <w:t>. Mais il en transcrivit le texte tout entier sur deux feuil</w:t>
      </w:r>
      <w:r w:rsidRPr="00246AE4">
        <w:rPr>
          <w:color w:val="000000"/>
          <w:lang w:eastAsia="fr-FR" w:bidi="fr-FR"/>
        </w:rPr>
        <w:lastRenderedPageBreak/>
        <w:t>lets séparés, qui forment aujourd’hui les feuillets 240 et 241 du ms. 54 de la collection Baluze. On lira ce document ci-dessous. Il peut intéresser l’historien par deux côtés surtout. Il fournit des données très précises : en premier lieu sur la levée de l’ost et la perception de l’impôt ; en second lieu sur le fonctionnement des institutions co</w:t>
      </w:r>
      <w:r w:rsidRPr="00246AE4">
        <w:rPr>
          <w:color w:val="000000"/>
          <w:lang w:eastAsia="fr-FR" w:bidi="fr-FR"/>
        </w:rPr>
        <w:t>m</w:t>
      </w:r>
      <w:r w:rsidRPr="00246AE4">
        <w:rPr>
          <w:color w:val="000000"/>
          <w:lang w:eastAsia="fr-FR" w:bidi="fr-FR"/>
        </w:rPr>
        <w:t>munales du bourg de Chelles. Ce second point demande quelques éclaircissements. Je ne veux point</w:t>
      </w:r>
      <w:r>
        <w:rPr>
          <w:color w:val="000000"/>
          <w:lang w:eastAsia="fr-FR" w:bidi="fr-FR"/>
        </w:rPr>
        <w:t xml:space="preserve"> [689] </w:t>
      </w:r>
      <w:r w:rsidRPr="00246AE4">
        <w:rPr>
          <w:color w:val="000000"/>
          <w:lang w:eastAsia="fr-FR" w:bidi="fr-FR"/>
        </w:rPr>
        <w:t>étudier ici l’histoire, assez mouvementée, de la commune de Chelles. Je compte la raconter ai</w:t>
      </w:r>
      <w:r w:rsidRPr="00246AE4">
        <w:rPr>
          <w:color w:val="000000"/>
          <w:lang w:eastAsia="fr-FR" w:bidi="fr-FR"/>
        </w:rPr>
        <w:t>l</w:t>
      </w:r>
      <w:r w:rsidRPr="00246AE4">
        <w:rPr>
          <w:color w:val="000000"/>
          <w:lang w:eastAsia="fr-FR" w:bidi="fr-FR"/>
        </w:rPr>
        <w:t>leurs. Mais je dois en indiquer dès mai</w:t>
      </w:r>
      <w:r w:rsidRPr="00246AE4">
        <w:rPr>
          <w:color w:val="000000"/>
          <w:lang w:eastAsia="fr-FR" w:bidi="fr-FR"/>
        </w:rPr>
        <w:t>n</w:t>
      </w:r>
      <w:r w:rsidRPr="00246AE4">
        <w:rPr>
          <w:color w:val="000000"/>
          <w:lang w:eastAsia="fr-FR" w:bidi="fr-FR"/>
        </w:rPr>
        <w:t>tenant les lignes essentielles, dont la connaissance est indispensable à l’intelligence du texte que je publie</w:t>
      </w:r>
      <w:r>
        <w:rPr>
          <w:color w:val="000000"/>
          <w:lang w:eastAsia="fr-FR" w:bidi="fr-FR"/>
        </w:rPr>
        <w:t> </w:t>
      </w:r>
      <w:r>
        <w:rPr>
          <w:rStyle w:val="Appelnotedebasdep"/>
        </w:rPr>
        <w:footnoteReference w:id="330"/>
      </w:r>
      <w:r w:rsidRPr="00246AE4">
        <w:rPr>
          <w:color w:val="000000"/>
          <w:lang w:eastAsia="fr-FR" w:bidi="fr-FR"/>
        </w:rPr>
        <w:t>.</w:t>
      </w:r>
    </w:p>
    <w:p w14:paraId="498AC446" w14:textId="77777777" w:rsidR="00B9662D" w:rsidRPr="00246AE4" w:rsidRDefault="00B9662D" w:rsidP="00B9662D">
      <w:pPr>
        <w:spacing w:before="120" w:after="120"/>
        <w:jc w:val="both"/>
      </w:pPr>
      <w:r w:rsidRPr="00246AE4">
        <w:rPr>
          <w:color w:val="000000"/>
          <w:lang w:eastAsia="fr-FR" w:bidi="fr-FR"/>
        </w:rPr>
        <w:t>Si nous en croyons les déclarations que les gens de Chelles firent à Pierre le Jumeau, et qu’il n’y a pas lieu de mettre en doute, la comm</w:t>
      </w:r>
      <w:r w:rsidRPr="00246AE4">
        <w:rPr>
          <w:color w:val="000000"/>
          <w:lang w:eastAsia="fr-FR" w:bidi="fr-FR"/>
        </w:rPr>
        <w:t>u</w:t>
      </w:r>
      <w:r w:rsidRPr="00246AE4">
        <w:rPr>
          <w:color w:val="000000"/>
          <w:lang w:eastAsia="fr-FR" w:bidi="fr-FR"/>
        </w:rPr>
        <w:t>ne aurait été fondée par les habitants vers 1123</w:t>
      </w:r>
      <w:r>
        <w:rPr>
          <w:color w:val="000000"/>
          <w:lang w:eastAsia="fr-FR" w:bidi="fr-FR"/>
        </w:rPr>
        <w:t> </w:t>
      </w:r>
      <w:r>
        <w:rPr>
          <w:rStyle w:val="Appelnotedebasdep"/>
        </w:rPr>
        <w:footnoteReference w:id="331"/>
      </w:r>
      <w:r w:rsidRPr="00246AE4">
        <w:rPr>
          <w:color w:val="000000"/>
          <w:lang w:eastAsia="fr-FR" w:bidi="fr-FR"/>
        </w:rPr>
        <w:t>. Louis le Gros la r</w:t>
      </w:r>
      <w:r w:rsidRPr="00246AE4">
        <w:rPr>
          <w:color w:val="000000"/>
          <w:lang w:eastAsia="fr-FR" w:bidi="fr-FR"/>
        </w:rPr>
        <w:t>e</w:t>
      </w:r>
      <w:r w:rsidRPr="00246AE4">
        <w:rPr>
          <w:color w:val="000000"/>
          <w:lang w:eastAsia="fr-FR" w:bidi="fr-FR"/>
        </w:rPr>
        <w:t>connut, en 1128, par un diplôme qui a été mentionné plus haut</w:t>
      </w:r>
      <w:r>
        <w:rPr>
          <w:color w:val="000000"/>
          <w:lang w:eastAsia="fr-FR" w:bidi="fr-FR"/>
        </w:rPr>
        <w:t> </w:t>
      </w:r>
      <w:r>
        <w:rPr>
          <w:rStyle w:val="Appelnotedebasdep"/>
        </w:rPr>
        <w:footnoteReference w:id="332"/>
      </w:r>
      <w:r>
        <w:rPr>
          <w:color w:val="000000"/>
          <w:lang w:eastAsia="fr-FR" w:bidi="fr-FR"/>
        </w:rPr>
        <w:t>,</w:t>
      </w:r>
      <w:r w:rsidRPr="00246AE4">
        <w:rPr>
          <w:color w:val="000000"/>
          <w:lang w:eastAsia="fr-FR" w:bidi="fr-FR"/>
        </w:rPr>
        <w:t xml:space="preserve"> Ma</w:t>
      </w:r>
      <w:r w:rsidRPr="00246AE4">
        <w:rPr>
          <w:color w:val="000000"/>
          <w:lang w:eastAsia="fr-FR" w:bidi="fr-FR"/>
        </w:rPr>
        <w:t>l</w:t>
      </w:r>
      <w:r w:rsidRPr="00246AE4">
        <w:rPr>
          <w:color w:val="000000"/>
          <w:lang w:eastAsia="fr-FR" w:bidi="fr-FR"/>
        </w:rPr>
        <w:t>heureusement pour ceux à qui il était accordé, ce diplôme était rédigé sans netteté. Le roi y approuvait les serments et alliances par quoi les hommes de Chelles s’étaient liés entre eux. Le mot de commune n’était pas prononcé : omission sans doute involontaire, mais bien dangereuse ; elle devait, un peu plus de deux siècles après, amener la destruction des libertés communales du bourg. Ce fut l’œuvre du Pa</w:t>
      </w:r>
      <w:r w:rsidRPr="00246AE4">
        <w:rPr>
          <w:color w:val="000000"/>
          <w:lang w:eastAsia="fr-FR" w:bidi="fr-FR"/>
        </w:rPr>
        <w:t>r</w:t>
      </w:r>
      <w:r w:rsidRPr="00246AE4">
        <w:rPr>
          <w:color w:val="000000"/>
          <w:lang w:eastAsia="fr-FR" w:bidi="fr-FR"/>
        </w:rPr>
        <w:t>lement. Bien que le sens du diplôme ne fût guère douteux, bien que l’existence de la commune de Chelles eût été à plusieurs reprises r</w:t>
      </w:r>
      <w:r w:rsidRPr="00246AE4">
        <w:rPr>
          <w:color w:val="000000"/>
          <w:lang w:eastAsia="fr-FR" w:bidi="fr-FR"/>
        </w:rPr>
        <w:t>e</w:t>
      </w:r>
      <w:r w:rsidRPr="00246AE4">
        <w:rPr>
          <w:color w:val="000000"/>
          <w:lang w:eastAsia="fr-FR" w:bidi="fr-FR"/>
        </w:rPr>
        <w:t xml:space="preserve">connue par l’abbesse de Sainte-Bauteur et ses religieuses, par l’administration royale et par le Parlement lui-même, un arrêt, rendu le 24 avril 1319, sur la demande de l’abbesse et des sœurs, affirma que « les habitants de Chelles n’avaient pu prouver que les rois de France leur avaient octroyé une commune » ; en conséquence, défense leur était faite « d’user de commune ni des droits appartenants à </w:t>
      </w:r>
      <w:r w:rsidRPr="00246AE4">
        <w:rPr>
          <w:color w:val="000000"/>
          <w:lang w:eastAsia="fr-FR" w:bidi="fr-FR"/>
        </w:rPr>
        <w:lastRenderedPageBreak/>
        <w:t>commune » ; une lourde amende, en outre, les frappait</w:t>
      </w:r>
      <w:r>
        <w:rPr>
          <w:color w:val="000000"/>
          <w:lang w:eastAsia="fr-FR" w:bidi="fr-FR"/>
        </w:rPr>
        <w:t> </w:t>
      </w:r>
      <w:r>
        <w:rPr>
          <w:rStyle w:val="Appelnotedebasdep"/>
        </w:rPr>
        <w:footnoteReference w:id="333"/>
      </w:r>
      <w:r w:rsidRPr="00246AE4">
        <w:rPr>
          <w:color w:val="000000"/>
          <w:lang w:eastAsia="fr-FR" w:bidi="fr-FR"/>
        </w:rPr>
        <w:t>. Un petit mouvement insurrectionnel fut le résultat de cette décision ; il échoua. La commune demeura abolie. Le texte qu’on va lire indique comment ses magistrats étaient élus au temps où l’autorité royale la laissait fonctionner sous son contrôle.</w:t>
      </w:r>
    </w:p>
    <w:p w14:paraId="6B98832D" w14:textId="77777777" w:rsidR="00B9662D" w:rsidRDefault="00B9662D" w:rsidP="00B9662D">
      <w:pPr>
        <w:spacing w:before="120" w:after="120"/>
        <w:jc w:val="both"/>
        <w:rPr>
          <w:color w:val="000000"/>
          <w:lang w:eastAsia="fr-FR" w:bidi="fr-FR"/>
        </w:rPr>
      </w:pPr>
    </w:p>
    <w:p w14:paraId="54ED35B4" w14:textId="77777777" w:rsidR="00B9662D" w:rsidRPr="00246AE4" w:rsidRDefault="00B9662D" w:rsidP="00B9662D">
      <w:pPr>
        <w:spacing w:before="120" w:after="120"/>
        <w:jc w:val="center"/>
      </w:pPr>
      <w:r w:rsidRPr="00F6777E">
        <w:rPr>
          <w:i/>
          <w:color w:val="FF0000"/>
          <w:lang w:eastAsia="fr-FR" w:bidi="fr-FR"/>
        </w:rPr>
        <w:t>Enquête sur les droits du roi à Chelles faite par Pierre le Jumeau</w:t>
      </w:r>
      <w:r w:rsidRPr="00F6777E">
        <w:rPr>
          <w:rStyle w:val="Corpsdutexte785ptNonItaliqueEspacement0pt"/>
          <w:i w:val="0"/>
          <w:iCs w:val="0"/>
          <w:color w:val="FF0000"/>
          <w:sz w:val="28"/>
          <w:lang w:val="fr-CA"/>
        </w:rPr>
        <w:t>,</w:t>
      </w:r>
      <w:r w:rsidRPr="00F6777E">
        <w:rPr>
          <w:rStyle w:val="Corpsdutexte785ptNonItaliqueEspacement0pt"/>
          <w:i w:val="0"/>
          <w:iCs w:val="0"/>
          <w:color w:val="FF0000"/>
          <w:sz w:val="28"/>
          <w:lang w:val="fr-CA"/>
        </w:rPr>
        <w:br/>
      </w:r>
      <w:r w:rsidRPr="00F6777E">
        <w:rPr>
          <w:i/>
          <w:color w:val="FF0000"/>
          <w:lang w:eastAsia="fr-FR" w:bidi="fr-FR"/>
        </w:rPr>
        <w:t>garde de la prévôté de Paris</w:t>
      </w:r>
      <w:r w:rsidRPr="005E39E2">
        <w:rPr>
          <w:i/>
          <w:color w:val="000000"/>
          <w:lang w:eastAsia="fr-FR" w:bidi="fr-FR"/>
        </w:rPr>
        <w:t>.</w:t>
      </w:r>
      <w:r w:rsidRPr="00246AE4">
        <w:rPr>
          <w:color w:val="000000"/>
          <w:lang w:eastAsia="fr-FR" w:bidi="fr-FR"/>
        </w:rPr>
        <w:t xml:space="preserve"> (3 juin 1303.)</w:t>
      </w:r>
    </w:p>
    <w:p w14:paraId="2B322ADC" w14:textId="77777777" w:rsidR="00B9662D" w:rsidRDefault="00B9662D" w:rsidP="00B9662D">
      <w:pPr>
        <w:spacing w:before="120" w:after="120"/>
        <w:jc w:val="both"/>
        <w:rPr>
          <w:color w:val="000000"/>
          <w:lang w:eastAsia="fr-FR" w:bidi="fr-FR"/>
        </w:rPr>
      </w:pPr>
    </w:p>
    <w:p w14:paraId="3EA3060D" w14:textId="77777777" w:rsidR="00B9662D" w:rsidRPr="00F6777E" w:rsidRDefault="00B9662D" w:rsidP="00B9662D">
      <w:pPr>
        <w:spacing w:before="120" w:after="120"/>
        <w:jc w:val="both"/>
        <w:rPr>
          <w:color w:val="0000FF"/>
        </w:rPr>
      </w:pPr>
      <w:r w:rsidRPr="00F6777E">
        <w:rPr>
          <w:color w:val="0000FF"/>
          <w:lang w:eastAsia="fr-FR" w:bidi="fr-FR"/>
        </w:rPr>
        <w:t>A. Original perdu.</w:t>
      </w:r>
    </w:p>
    <w:p w14:paraId="0F2BE92E" w14:textId="77777777" w:rsidR="00B9662D" w:rsidRPr="00F6777E" w:rsidRDefault="00B9662D" w:rsidP="00B9662D">
      <w:pPr>
        <w:spacing w:before="120" w:after="120"/>
        <w:jc w:val="both"/>
        <w:rPr>
          <w:color w:val="0000FF"/>
        </w:rPr>
      </w:pPr>
      <w:r w:rsidRPr="00F6777E">
        <w:rPr>
          <w:color w:val="0000FF"/>
          <w:lang w:eastAsia="fr-FR" w:bidi="fr-FR"/>
        </w:rPr>
        <w:t xml:space="preserve">B. Copie, sans doute du </w:t>
      </w:r>
      <w:r w:rsidRPr="00F6777E">
        <w:rPr>
          <w:caps/>
          <w:color w:val="0000FF"/>
          <w:lang w:eastAsia="fr-FR" w:bidi="fr-FR"/>
        </w:rPr>
        <w:t>xiv</w:t>
      </w:r>
      <w:r w:rsidRPr="00F6777E">
        <w:rPr>
          <w:color w:val="0000FF"/>
          <w:vertAlign w:val="superscript"/>
          <w:lang w:eastAsia="fr-FR" w:bidi="fr-FR"/>
        </w:rPr>
        <w:t>e</w:t>
      </w:r>
      <w:r w:rsidRPr="00F6777E">
        <w:rPr>
          <w:color w:val="0000FF"/>
          <w:lang w:eastAsia="fr-FR" w:bidi="fr-FR"/>
        </w:rPr>
        <w:t xml:space="preserve"> siècle, dans le </w:t>
      </w:r>
      <w:r w:rsidRPr="00F6777E">
        <w:rPr>
          <w:rStyle w:val="Corpsdutexte128ptItaliqueEspacement0pt"/>
          <w:b w:val="0"/>
          <w:color w:val="0000FF"/>
          <w:spacing w:val="0"/>
          <w:sz w:val="28"/>
          <w:lang w:val="fr-CA"/>
        </w:rPr>
        <w:t>cartulaire B</w:t>
      </w:r>
      <w:r w:rsidRPr="00F6777E">
        <w:rPr>
          <w:color w:val="0000FF"/>
          <w:lang w:eastAsia="fr-FR" w:bidi="fr-FR"/>
        </w:rPr>
        <w:t xml:space="preserve"> des sires de Bouville, aujourd’hui perdu : pièce n° 176.</w:t>
      </w:r>
    </w:p>
    <w:p w14:paraId="229D55FD" w14:textId="77777777" w:rsidR="00B9662D" w:rsidRPr="00F6777E" w:rsidRDefault="00B9662D" w:rsidP="00B9662D">
      <w:pPr>
        <w:spacing w:before="120" w:after="120"/>
        <w:jc w:val="both"/>
        <w:rPr>
          <w:color w:val="0000FF"/>
        </w:rPr>
      </w:pPr>
      <w:r w:rsidRPr="00F6777E">
        <w:rPr>
          <w:color w:val="0000FF"/>
          <w:lang w:eastAsia="fr-FR" w:bidi="fr-FR"/>
        </w:rPr>
        <w:t xml:space="preserve">C. Copie, par André Duchesne, d’après </w:t>
      </w:r>
      <w:r w:rsidRPr="00F6777E">
        <w:rPr>
          <w:rStyle w:val="Corpsdutexte128ptItaliqueEspacement0pt"/>
          <w:b w:val="0"/>
          <w:color w:val="0000FF"/>
          <w:spacing w:val="0"/>
          <w:sz w:val="28"/>
          <w:lang w:val="fr-CA"/>
        </w:rPr>
        <w:t>B :</w:t>
      </w:r>
      <w:r w:rsidRPr="00F6777E">
        <w:rPr>
          <w:color w:val="0000FF"/>
          <w:lang w:eastAsia="fr-FR" w:bidi="fr-FR"/>
        </w:rPr>
        <w:t xml:space="preserve"> Bibl. Nat., fonds Bal</w:t>
      </w:r>
      <w:r w:rsidRPr="00F6777E">
        <w:rPr>
          <w:color w:val="0000FF"/>
          <w:lang w:eastAsia="fr-FR" w:bidi="fr-FR"/>
        </w:rPr>
        <w:t>u</w:t>
      </w:r>
      <w:r w:rsidRPr="00F6777E">
        <w:rPr>
          <w:color w:val="0000FF"/>
          <w:lang w:eastAsia="fr-FR" w:bidi="fr-FR"/>
        </w:rPr>
        <w:t>ze, ms. n° 54, fol. 240-241 </w:t>
      </w:r>
      <w:r w:rsidRPr="00F6777E">
        <w:rPr>
          <w:rStyle w:val="Appelnotedebasdep"/>
        </w:rPr>
        <w:footnoteReference w:id="334"/>
      </w:r>
      <w:r w:rsidRPr="00F6777E">
        <w:rPr>
          <w:color w:val="0000FF"/>
          <w:lang w:eastAsia="fr-FR" w:bidi="fr-FR"/>
        </w:rPr>
        <w:t>.</w:t>
      </w:r>
    </w:p>
    <w:p w14:paraId="08F8A14E" w14:textId="77777777" w:rsidR="00B9662D" w:rsidRPr="00F6777E" w:rsidRDefault="00B9662D" w:rsidP="00B9662D">
      <w:pPr>
        <w:spacing w:before="120" w:after="120"/>
        <w:jc w:val="both"/>
        <w:rPr>
          <w:color w:val="0000FF"/>
        </w:rPr>
      </w:pPr>
      <w:r w:rsidRPr="00F6777E">
        <w:rPr>
          <w:rStyle w:val="Corpsdutexte1265ptPetitesmajuscules"/>
          <w:b w:val="0"/>
          <w:color w:val="0000FF"/>
          <w:sz w:val="28"/>
          <w:lang w:val="fr-CA"/>
        </w:rPr>
        <w:t xml:space="preserve">Indiquée </w:t>
      </w:r>
      <w:r w:rsidRPr="00F6777E">
        <w:rPr>
          <w:color w:val="0000FF"/>
          <w:lang w:eastAsia="fr-FR" w:bidi="fr-FR"/>
        </w:rPr>
        <w:t xml:space="preserve">par André Duchesne, d’après </w:t>
      </w:r>
      <w:r w:rsidRPr="00F6777E">
        <w:rPr>
          <w:rStyle w:val="Corpsdutexte128ptItaliqueEspacement0pt"/>
          <w:b w:val="0"/>
          <w:color w:val="0000FF"/>
          <w:spacing w:val="0"/>
          <w:sz w:val="28"/>
          <w:lang w:val="fr-CA"/>
        </w:rPr>
        <w:t>B,</w:t>
      </w:r>
      <w:r w:rsidRPr="00F6777E">
        <w:rPr>
          <w:color w:val="0000FF"/>
          <w:lang w:eastAsia="fr-FR" w:bidi="fr-FR"/>
        </w:rPr>
        <w:t xml:space="preserve"> fonds Baluze, ms. n° 54, fol. 223 r°, et par Guillaume Laisné, d’après cette indication de D</w:t>
      </w:r>
      <w:r w:rsidRPr="00F6777E">
        <w:rPr>
          <w:color w:val="0000FF"/>
          <w:lang w:eastAsia="fr-FR" w:bidi="fr-FR"/>
        </w:rPr>
        <w:t>u</w:t>
      </w:r>
      <w:r w:rsidRPr="00F6777E">
        <w:rPr>
          <w:color w:val="0000FF"/>
          <w:lang w:eastAsia="fr-FR" w:bidi="fr-FR"/>
        </w:rPr>
        <w:t>chesne : Bibl. Nat., fonds français, ms. n° 24132, p. 491.</w:t>
      </w:r>
    </w:p>
    <w:p w14:paraId="4550F15F" w14:textId="77777777" w:rsidR="00B9662D" w:rsidRPr="00F6777E" w:rsidRDefault="00B9662D" w:rsidP="00B9662D">
      <w:pPr>
        <w:spacing w:before="120" w:after="120"/>
        <w:jc w:val="both"/>
        <w:rPr>
          <w:color w:val="0000FF"/>
        </w:rPr>
      </w:pPr>
      <w:r w:rsidRPr="00F6777E">
        <w:rPr>
          <w:color w:val="0000FF"/>
          <w:lang w:eastAsia="fr-FR" w:bidi="fr-FR"/>
        </w:rPr>
        <w:t>À tous ceux qui ces lettres verront, Pierre li Jumiaus, garde de la prevosté de Paris, salut. Sachent tuit que du commandement nostre seigneur le Roy, nous sommes alez</w:t>
      </w:r>
      <w:r>
        <w:rPr>
          <w:color w:val="0000FF"/>
          <w:lang w:eastAsia="fr-FR" w:bidi="fr-FR"/>
        </w:rPr>
        <w:t xml:space="preserve"> </w:t>
      </w:r>
      <w:r w:rsidRPr="00F6777E">
        <w:rPr>
          <w:color w:val="0000FF"/>
          <w:lang w:eastAsia="fr-FR" w:bidi="fr-FR"/>
        </w:rPr>
        <w:t>[690] à Chiele pour nous enformer ou faire aprise quel droit le Roy no</w:t>
      </w:r>
      <w:r w:rsidRPr="00F6777E">
        <w:rPr>
          <w:color w:val="0000FF"/>
          <w:lang w:eastAsia="fr-FR" w:bidi="fr-FR"/>
        </w:rPr>
        <w:t>s</w:t>
      </w:r>
      <w:r w:rsidRPr="00F6777E">
        <w:rPr>
          <w:color w:val="0000FF"/>
          <w:lang w:eastAsia="fr-FR" w:bidi="fr-FR"/>
        </w:rPr>
        <w:t>tre sire a en la ville de Chiele ; et avons trouvé par l’aprise</w:t>
      </w:r>
      <w:r>
        <w:rPr>
          <w:color w:val="000000"/>
          <w:lang w:eastAsia="fr-FR" w:bidi="fr-FR"/>
        </w:rPr>
        <w:t> </w:t>
      </w:r>
      <w:r>
        <w:rPr>
          <w:rStyle w:val="Appelnotedebasdep"/>
        </w:rPr>
        <w:footnoteReference w:id="335"/>
      </w:r>
      <w:r w:rsidRPr="00246AE4">
        <w:rPr>
          <w:color w:val="000000"/>
          <w:lang w:eastAsia="fr-FR" w:bidi="fr-FR"/>
        </w:rPr>
        <w:t xml:space="preserve"> </w:t>
      </w:r>
      <w:r w:rsidRPr="00F6777E">
        <w:rPr>
          <w:color w:val="0000FF"/>
          <w:lang w:eastAsia="fr-FR" w:bidi="fr-FR"/>
        </w:rPr>
        <w:t>que nous avons faire sur ce diligeaument par bones gens dignes de foi sur ce jurez et diligealment requis et examinez que li Rois n'a en la ville de Chiele fors et tant seulement que cy desouz est dit et devisé :</w:t>
      </w:r>
    </w:p>
    <w:p w14:paraId="4D48A0A7" w14:textId="77777777" w:rsidR="00B9662D" w:rsidRPr="00246AE4" w:rsidRDefault="00B9662D" w:rsidP="00B9662D">
      <w:pPr>
        <w:spacing w:before="120" w:after="120"/>
        <w:jc w:val="both"/>
      </w:pPr>
      <w:r w:rsidRPr="00F6777E">
        <w:rPr>
          <w:color w:val="0000FF"/>
          <w:lang w:eastAsia="fr-FR" w:bidi="fr-FR"/>
        </w:rPr>
        <w:lastRenderedPageBreak/>
        <w:t>C'est assavoir que le maire et li jurez de la ville de Chiele doivent au Roy ost et chevauchié toutes foiz qu’il en a besoing ; et se le Roy va en ost ou envoyé par general semonse, il peut faire prendre des genz de ladicte ville tant comme il li plet, et laisser tant comme il li plet por garder la ville ; et s'il les veult déporter d'aler en ost, il peut prandre de eulx cent livres parisis ; et ainsi serait trouvé es registres le Roy si comme ils dient ; sur ce requièrent estre traitiez selonc la t</w:t>
      </w:r>
      <w:r w:rsidRPr="00F6777E">
        <w:rPr>
          <w:color w:val="0000FF"/>
          <w:lang w:eastAsia="fr-FR" w:bidi="fr-FR"/>
        </w:rPr>
        <w:t>e</w:t>
      </w:r>
      <w:r w:rsidRPr="00F6777E">
        <w:rPr>
          <w:color w:val="0000FF"/>
          <w:lang w:eastAsia="fr-FR" w:bidi="fr-FR"/>
        </w:rPr>
        <w:t>neur des diz registres </w:t>
      </w:r>
      <w:r>
        <w:rPr>
          <w:rStyle w:val="Appelnotedebasdep"/>
        </w:rPr>
        <w:footnoteReference w:id="336"/>
      </w:r>
      <w:r w:rsidRPr="00246AE4">
        <w:rPr>
          <w:color w:val="000000"/>
          <w:lang w:eastAsia="fr-FR" w:bidi="fr-FR"/>
        </w:rPr>
        <w:t>.</w:t>
      </w:r>
    </w:p>
    <w:p w14:paraId="76480A05" w14:textId="77777777" w:rsidR="00B9662D" w:rsidRPr="00F6777E" w:rsidRDefault="00B9662D" w:rsidP="00B9662D">
      <w:pPr>
        <w:spacing w:before="120" w:after="120"/>
        <w:jc w:val="both"/>
        <w:rPr>
          <w:color w:val="0000FF"/>
        </w:rPr>
      </w:pPr>
      <w:r w:rsidRPr="00F6777E">
        <w:rPr>
          <w:color w:val="0000FF"/>
          <w:lang w:eastAsia="fr-FR" w:bidi="fr-FR"/>
        </w:rPr>
        <w:t>Item, li Rois une foiz en l'an peut </w:t>
      </w:r>
      <w:r w:rsidRPr="00F6777E">
        <w:rPr>
          <w:rStyle w:val="Appelnotedebasdep"/>
          <w:color w:val="0000FF"/>
        </w:rPr>
        <w:footnoteReference w:id="337"/>
      </w:r>
      <w:r w:rsidRPr="00F6777E">
        <w:rPr>
          <w:color w:val="0000FF"/>
          <w:lang w:eastAsia="fr-FR" w:bidi="fr-FR"/>
        </w:rPr>
        <w:t xml:space="preserve"> prandre un giste en la ville de Chielle, por lequel giste l’abbeesse paie au Roy dis livres, et le maire et la communauté de ladite ville vint livres.</w:t>
      </w:r>
    </w:p>
    <w:p w14:paraId="44B55C79" w14:textId="77777777" w:rsidR="00B9662D" w:rsidRPr="00F6777E" w:rsidRDefault="00B9662D" w:rsidP="00B9662D">
      <w:pPr>
        <w:spacing w:before="120" w:after="120"/>
        <w:jc w:val="both"/>
        <w:rPr>
          <w:color w:val="0000FF"/>
        </w:rPr>
      </w:pPr>
      <w:r w:rsidRPr="00F6777E">
        <w:rPr>
          <w:color w:val="0000FF"/>
          <w:lang w:eastAsia="fr-FR" w:bidi="fr-FR"/>
        </w:rPr>
        <w:t>Item, chascun an à la feste s. Jean Baptiste le maire et li jurez qui ont esté en l’année font assembler le commun de la ville, et requièrent audit commun qu’il élisent un preudome à maire por gouverner et garder l’estat de la ville, et la dreture le Roi et de l’eglise sainte Ba</w:t>
      </w:r>
      <w:r w:rsidRPr="00F6777E">
        <w:rPr>
          <w:color w:val="0000FF"/>
          <w:lang w:eastAsia="fr-FR" w:bidi="fr-FR"/>
        </w:rPr>
        <w:t>u</w:t>
      </w:r>
      <w:r w:rsidRPr="00F6777E">
        <w:rPr>
          <w:color w:val="0000FF"/>
          <w:lang w:eastAsia="fr-FR" w:bidi="fr-FR"/>
        </w:rPr>
        <w:t xml:space="preserve">tour ; et se il sont à acort de elire, celuv qu’il ont eleu demeure maire ; et se il ne veult estre, le prevost de Paris à leur requeste le contraint à ce ; et se il sont en decort de elire, ledit prevost élit un preudome que il establit maire ; et ledit maire nouvellement estably élit un juré, et iceluy juré avec le maire en eslisent un </w:t>
      </w:r>
      <w:r w:rsidRPr="00F6777E">
        <w:rPr>
          <w:rStyle w:val="Corpsdutexte128ptItaliqueEspacement0pt"/>
          <w:b w:val="0"/>
          <w:i w:val="0"/>
          <w:color w:val="0000FF"/>
          <w:spacing w:val="0"/>
          <w:sz w:val="28"/>
          <w:lang w:val="fr-CA"/>
        </w:rPr>
        <w:t>[</w:t>
      </w:r>
      <w:r w:rsidRPr="00F6777E">
        <w:rPr>
          <w:rStyle w:val="Corpsdutexte128ptItaliqueEspacement0pt"/>
          <w:b w:val="0"/>
          <w:color w:val="0000FF"/>
          <w:spacing w:val="0"/>
          <w:sz w:val="28"/>
          <w:lang w:val="fr-CA"/>
        </w:rPr>
        <w:t>verso</w:t>
      </w:r>
      <w:r w:rsidRPr="00F6777E">
        <w:rPr>
          <w:rStyle w:val="Corpsdutexte128ptItaliqueEspacement0pt"/>
          <w:b w:val="0"/>
          <w:i w:val="0"/>
          <w:color w:val="0000FF"/>
          <w:spacing w:val="0"/>
          <w:sz w:val="28"/>
          <w:lang w:val="fr-CA"/>
        </w:rPr>
        <w:t>]</w:t>
      </w:r>
      <w:r w:rsidRPr="00F6777E">
        <w:rPr>
          <w:color w:val="0000FF"/>
          <w:lang w:eastAsia="fr-FR" w:bidi="fr-FR"/>
        </w:rPr>
        <w:t xml:space="preserve"> autre et ainsi jusques à douze jurez, s’il sont à acort ; et s’il ne sont à acort, le prevost les e</w:t>
      </w:r>
      <w:r w:rsidRPr="00F6777E">
        <w:rPr>
          <w:color w:val="0000FF"/>
          <w:lang w:eastAsia="fr-FR" w:bidi="fr-FR"/>
        </w:rPr>
        <w:t>s</w:t>
      </w:r>
      <w:r w:rsidRPr="00F6777E">
        <w:rPr>
          <w:color w:val="0000FF"/>
          <w:lang w:eastAsia="fr-FR" w:bidi="fr-FR"/>
        </w:rPr>
        <w:t>tablit, et contraint ceux qui sont eleuz à jurer, s’il le refusent.</w:t>
      </w:r>
    </w:p>
    <w:p w14:paraId="7CA97521" w14:textId="77777777" w:rsidR="00B9662D" w:rsidRPr="00246AE4" w:rsidRDefault="00B9662D" w:rsidP="00B9662D">
      <w:pPr>
        <w:spacing w:before="120" w:after="120"/>
        <w:jc w:val="both"/>
      </w:pPr>
      <w:r w:rsidRPr="00F6777E">
        <w:rPr>
          <w:color w:val="0000FF"/>
          <w:lang w:eastAsia="fr-FR" w:bidi="fr-FR"/>
        </w:rPr>
        <w:t>Derechef, nous avons trouvé par le tesmoignage du maire et des j</w:t>
      </w:r>
      <w:r w:rsidRPr="00F6777E">
        <w:rPr>
          <w:color w:val="0000FF"/>
          <w:lang w:eastAsia="fr-FR" w:bidi="fr-FR"/>
        </w:rPr>
        <w:t>u</w:t>
      </w:r>
      <w:r w:rsidRPr="00F6777E">
        <w:rPr>
          <w:color w:val="0000FF"/>
          <w:lang w:eastAsia="fr-FR" w:bidi="fr-FR"/>
        </w:rPr>
        <w:t>rez de la ville de Chiele qu’il sont en saisine des choses cy après dev</w:t>
      </w:r>
      <w:r w:rsidRPr="00F6777E">
        <w:rPr>
          <w:color w:val="0000FF"/>
          <w:lang w:eastAsia="fr-FR" w:bidi="fr-FR"/>
        </w:rPr>
        <w:t>i</w:t>
      </w:r>
      <w:r w:rsidRPr="00F6777E">
        <w:rPr>
          <w:color w:val="0000FF"/>
          <w:lang w:eastAsia="fr-FR" w:bidi="fr-FR"/>
        </w:rPr>
        <w:t>sées : c’est assavoir qu’il dient qu’il ont cors et commune, et qu’il sera ainsi trouvé es registres le Roi </w:t>
      </w:r>
      <w:r>
        <w:rPr>
          <w:rStyle w:val="Appelnotedebasdep"/>
        </w:rPr>
        <w:footnoteReference w:id="338"/>
      </w:r>
      <w:r w:rsidRPr="00246AE4">
        <w:rPr>
          <w:color w:val="000000"/>
          <w:lang w:eastAsia="fr-FR" w:bidi="fr-FR"/>
        </w:rPr>
        <w:t> </w:t>
      </w:r>
      <w:r w:rsidRPr="00F6777E">
        <w:rPr>
          <w:color w:val="0000FF"/>
          <w:lang w:eastAsia="fr-FR" w:bidi="fr-FR"/>
        </w:rPr>
        <w:t>; et ont seel propre de commune </w:t>
      </w:r>
      <w:r w:rsidRPr="00F6777E">
        <w:rPr>
          <w:rStyle w:val="Appelnotedebasdep"/>
          <w:color w:val="0000FF"/>
        </w:rPr>
        <w:footnoteReference w:id="339"/>
      </w:r>
      <w:r w:rsidRPr="00F6777E">
        <w:rPr>
          <w:color w:val="0000FF"/>
          <w:lang w:eastAsia="fr-FR" w:bidi="fr-FR"/>
        </w:rPr>
        <w:t xml:space="preserve">, </w:t>
      </w:r>
      <w:r w:rsidRPr="00F6777E">
        <w:rPr>
          <w:color w:val="0000FF"/>
          <w:lang w:eastAsia="fr-FR" w:bidi="fr-FR"/>
        </w:rPr>
        <w:lastRenderedPageBreak/>
        <w:t>dont il et leurs devanciers ont usé passé à neuf vinz anz : dont il ont monstré une lettre d’une abbeesse, qui fu appelée Maheut, qui fu faite en l’an mil deus cenz sexante et onze, seellée du seel à ladite abbeesse et du convent : laquele fait mention d’un acort qui fu fait jadis entre le maire et les jurez, et lesdites religieuses : en laquele lettre lesdites r</w:t>
      </w:r>
      <w:r w:rsidRPr="00F6777E">
        <w:rPr>
          <w:color w:val="0000FF"/>
          <w:lang w:eastAsia="fr-FR" w:bidi="fr-FR"/>
        </w:rPr>
        <w:t>e</w:t>
      </w:r>
      <w:r w:rsidRPr="00F6777E">
        <w:rPr>
          <w:color w:val="0000FF"/>
          <w:lang w:eastAsia="fr-FR" w:bidi="fr-FR"/>
        </w:rPr>
        <w:t>ligieuses les appelent genz de commune ou commune </w:t>
      </w:r>
      <w:r>
        <w:rPr>
          <w:rStyle w:val="Appelnotedebasdep"/>
        </w:rPr>
        <w:footnoteReference w:id="340"/>
      </w:r>
      <w:r w:rsidRPr="00246AE4">
        <w:rPr>
          <w:color w:val="000000"/>
          <w:lang w:eastAsia="fr-FR" w:bidi="fr-FR"/>
        </w:rPr>
        <w:t> :</w:t>
      </w:r>
    </w:p>
    <w:p w14:paraId="0BFF77C4" w14:textId="77777777" w:rsidR="00B9662D" w:rsidRPr="00246AE4" w:rsidRDefault="00B9662D" w:rsidP="00B9662D">
      <w:pPr>
        <w:spacing w:before="120" w:after="120"/>
        <w:jc w:val="both"/>
      </w:pPr>
      <w:r w:rsidRPr="00F6777E">
        <w:rPr>
          <w:color w:val="0000FF"/>
          <w:lang w:eastAsia="fr-FR" w:bidi="fr-FR"/>
        </w:rPr>
        <w:t xml:space="preserve">Item, une autre lettre d’un roy de France qui fu appellé Philippe, qui fu fait en l’an MCLXXXIX, qui fait mention d’un acort, qui fu fait par devant ledit Roy, sur un descort que lesdites religieuses et lesdiz maire et jurez avoient ensamble por </w:t>
      </w:r>
      <w:r w:rsidRPr="00F6777E">
        <w:rPr>
          <w:color w:val="0000FF"/>
        </w:rPr>
        <w:t>[</w:t>
      </w:r>
      <w:r w:rsidRPr="00F6777E">
        <w:rPr>
          <w:color w:val="0000FF"/>
          <w:lang w:eastAsia="fr-FR" w:bidi="fr-FR"/>
        </w:rPr>
        <w:t>691] reson d’un giste que le Roy prenoit et peut prendre chacun an une foiz en la ville de Ghiele : e</w:t>
      </w:r>
      <w:r w:rsidRPr="00F6777E">
        <w:rPr>
          <w:color w:val="0000FF"/>
          <w:lang w:eastAsia="fr-FR" w:bidi="fr-FR"/>
        </w:rPr>
        <w:t>s</w:t>
      </w:r>
      <w:r w:rsidRPr="00F6777E">
        <w:rPr>
          <w:color w:val="0000FF"/>
          <w:lang w:eastAsia="fr-FR" w:bidi="fr-FR"/>
        </w:rPr>
        <w:t>quelles lettres li Roys les appele : « commune » </w:t>
      </w:r>
      <w:r>
        <w:rPr>
          <w:rStyle w:val="Appelnotedebasdep"/>
        </w:rPr>
        <w:footnoteReference w:id="341"/>
      </w:r>
      <w:r w:rsidRPr="00246AE4">
        <w:rPr>
          <w:color w:val="000000"/>
          <w:vertAlign w:val="superscript"/>
          <w:lang w:eastAsia="fr-FR" w:bidi="fr-FR"/>
        </w:rPr>
        <w:t xml:space="preserve"> </w:t>
      </w:r>
      <w:r w:rsidRPr="00246AE4">
        <w:rPr>
          <w:color w:val="000000"/>
          <w:lang w:eastAsia="fr-FR" w:bidi="fr-FR"/>
        </w:rPr>
        <w:t>.</w:t>
      </w:r>
    </w:p>
    <w:p w14:paraId="62A24895" w14:textId="77777777" w:rsidR="00B9662D" w:rsidRPr="00246AE4" w:rsidRDefault="00B9662D" w:rsidP="00B9662D">
      <w:pPr>
        <w:spacing w:before="120" w:after="120"/>
        <w:jc w:val="both"/>
      </w:pPr>
      <w:r w:rsidRPr="00F6777E">
        <w:rPr>
          <w:color w:val="0000FF"/>
          <w:lang w:eastAsia="fr-FR" w:bidi="fr-FR"/>
        </w:rPr>
        <w:t>Item, unes autres lettres faites en l’an mil cent vint et huit, esqueles un Roy, qui fu appelé Loys, confirme à ceux de Chiele, lesquiex il appelé en ses lettres les homes de Chiele, seremenz et alliances que lesdiz hommes avoient faiz ensamble, sauve sa feance, et de sa fame, et de ses enfanz, et les justes costumes de l’eglise de sainte Bautour ; et doivent estre leur costumes approuvées par quatre preudomes a</w:t>
      </w:r>
      <w:r w:rsidRPr="00F6777E">
        <w:rPr>
          <w:color w:val="0000FF"/>
          <w:lang w:eastAsia="fr-FR" w:bidi="fr-FR"/>
        </w:rPr>
        <w:t>n</w:t>
      </w:r>
      <w:r w:rsidRPr="00F6777E">
        <w:rPr>
          <w:color w:val="0000FF"/>
          <w:lang w:eastAsia="fr-FR" w:bidi="fr-FR"/>
        </w:rPr>
        <w:t>ciens de la vile de Chiele, se débat i a</w:t>
      </w:r>
      <w:r>
        <w:rPr>
          <w:color w:val="000000"/>
          <w:lang w:eastAsia="fr-FR" w:bidi="fr-FR"/>
        </w:rPr>
        <w:t> </w:t>
      </w:r>
      <w:r>
        <w:rPr>
          <w:rStyle w:val="Appelnotedebasdep"/>
        </w:rPr>
        <w:footnoteReference w:id="342"/>
      </w:r>
      <w:r w:rsidRPr="00246AE4">
        <w:rPr>
          <w:color w:val="000000"/>
          <w:lang w:eastAsia="fr-FR" w:bidi="fr-FR"/>
        </w:rPr>
        <w:t>.</w:t>
      </w:r>
    </w:p>
    <w:p w14:paraId="06C766AE" w14:textId="77777777" w:rsidR="00B9662D" w:rsidRPr="00F6777E" w:rsidRDefault="00B9662D" w:rsidP="00B9662D">
      <w:pPr>
        <w:spacing w:before="120" w:after="120"/>
        <w:jc w:val="both"/>
        <w:rPr>
          <w:color w:val="0000FF"/>
        </w:rPr>
      </w:pPr>
      <w:r w:rsidRPr="00F6777E">
        <w:rPr>
          <w:color w:val="0000FF"/>
          <w:lang w:eastAsia="fr-FR" w:bidi="fr-FR"/>
        </w:rPr>
        <w:t xml:space="preserve">Item, le maire et les jurez dient que de quatre cas, c’est assavoir de legiere force, de bateure sanz sanc, du sanc et de la leidangieure, </w:t>
      </w:r>
      <w:r w:rsidRPr="00F6777E">
        <w:rPr>
          <w:color w:val="0000FF"/>
          <w:lang w:eastAsia="fr-FR" w:bidi="fr-FR"/>
        </w:rPr>
        <w:lastRenderedPageBreak/>
        <w:t xml:space="preserve">l’amende en est ploié en la main de l’abbeesse, le maire et les jurez, ou l’un de eus presenz et appelez ; et est toute </w:t>
      </w:r>
      <w:r w:rsidRPr="00F6777E">
        <w:rPr>
          <w:rStyle w:val="Corpsdutexte128ptItaliqueEspacement0pt"/>
          <w:b w:val="0"/>
          <w:i w:val="0"/>
          <w:color w:val="0000FF"/>
          <w:spacing w:val="0"/>
          <w:sz w:val="28"/>
          <w:lang w:val="fr-CA"/>
        </w:rPr>
        <w:t>[241]</w:t>
      </w:r>
      <w:r w:rsidRPr="00F6777E">
        <w:rPr>
          <w:rStyle w:val="Corpsdutexte128ptItaliqueEspacement0pt"/>
          <w:color w:val="0000FF"/>
          <w:spacing w:val="0"/>
          <w:sz w:val="28"/>
          <w:lang w:val="fr-CA"/>
        </w:rPr>
        <w:t xml:space="preserve"> </w:t>
      </w:r>
      <w:r w:rsidRPr="00F6777E">
        <w:rPr>
          <w:color w:val="0000FF"/>
          <w:lang w:eastAsia="fr-FR" w:bidi="fr-FR"/>
        </w:rPr>
        <w:t>l’amende levée par la main de l’abbeesse ; et elle en rent la moitié au maire et aus j</w:t>
      </w:r>
      <w:r w:rsidRPr="00F6777E">
        <w:rPr>
          <w:color w:val="0000FF"/>
          <w:lang w:eastAsia="fr-FR" w:bidi="fr-FR"/>
        </w:rPr>
        <w:t>u</w:t>
      </w:r>
      <w:r w:rsidRPr="00F6777E">
        <w:rPr>
          <w:color w:val="0000FF"/>
          <w:lang w:eastAsia="fr-FR" w:bidi="fr-FR"/>
        </w:rPr>
        <w:t>rez ; et es autres cas, le maire et li jurez dient qu’il sont en saisine de jugier sans l’abbesse ; et les forfaitures et les esploiz en sont à l’abbeesse ; et l’abbeesse dit que lui appartient le jugement, pout ce que tous les esploiz en sont siens ; et dient encore lesdiz maire et jurez que l’abbeesse ne peut faire faire enqueste, ne bannir sans euz.</w:t>
      </w:r>
    </w:p>
    <w:p w14:paraId="2ABADFED" w14:textId="77777777" w:rsidR="00B9662D" w:rsidRPr="00F6777E" w:rsidRDefault="00B9662D" w:rsidP="00B9662D">
      <w:pPr>
        <w:spacing w:before="120" w:after="120"/>
        <w:jc w:val="both"/>
        <w:rPr>
          <w:color w:val="0000FF"/>
        </w:rPr>
      </w:pPr>
      <w:r w:rsidRPr="00F6777E">
        <w:rPr>
          <w:color w:val="0000FF"/>
          <w:lang w:eastAsia="fr-FR" w:bidi="fr-FR"/>
        </w:rPr>
        <w:t>En tesmoing de ce, nous avons mis en ces lettres le seel de la pr</w:t>
      </w:r>
      <w:r w:rsidRPr="00F6777E">
        <w:rPr>
          <w:color w:val="0000FF"/>
          <w:lang w:eastAsia="fr-FR" w:bidi="fr-FR"/>
        </w:rPr>
        <w:t>e</w:t>
      </w:r>
      <w:r w:rsidRPr="00F6777E">
        <w:rPr>
          <w:color w:val="0000FF"/>
          <w:lang w:eastAsia="fr-FR" w:bidi="fr-FR"/>
        </w:rPr>
        <w:t>vosté de Paris, l’an de grace M CCC et III, le dimanche devant la Saint Barnabé, apostre.</w:t>
      </w:r>
    </w:p>
    <w:p w14:paraId="5E2D6235" w14:textId="77777777" w:rsidR="00B9662D" w:rsidRDefault="00B9662D" w:rsidP="00B9662D">
      <w:pPr>
        <w:pStyle w:val="p"/>
      </w:pPr>
      <w:r w:rsidRPr="00246AE4">
        <w:br w:type="page"/>
      </w:r>
      <w:r>
        <w:lastRenderedPageBreak/>
        <w:t>[692]</w:t>
      </w:r>
    </w:p>
    <w:p w14:paraId="0E1D86AA" w14:textId="77777777" w:rsidR="00B9662D" w:rsidRPr="00E07116" w:rsidRDefault="00B9662D" w:rsidP="00B9662D">
      <w:pPr>
        <w:jc w:val="both"/>
      </w:pPr>
    </w:p>
    <w:p w14:paraId="1DC3E174" w14:textId="77777777" w:rsidR="00B9662D" w:rsidRDefault="00B9662D" w:rsidP="00B9662D">
      <w:pPr>
        <w:jc w:val="both"/>
      </w:pPr>
    </w:p>
    <w:p w14:paraId="7EACF3BB" w14:textId="77777777" w:rsidR="00B9662D" w:rsidRPr="00E07116" w:rsidRDefault="00B9662D" w:rsidP="00B9662D">
      <w:pPr>
        <w:jc w:val="both"/>
      </w:pPr>
    </w:p>
    <w:p w14:paraId="4C0F4FE8" w14:textId="77777777" w:rsidR="00B9662D" w:rsidRPr="00F54CC7" w:rsidRDefault="00B9662D" w:rsidP="00B9662D">
      <w:pPr>
        <w:spacing w:after="120"/>
        <w:ind w:firstLine="0"/>
        <w:jc w:val="center"/>
        <w:rPr>
          <w:sz w:val="24"/>
        </w:rPr>
      </w:pPr>
      <w:bookmarkStart w:id="26" w:name="Melanges_t2_pt_7_chap_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0279649B" w14:textId="77777777" w:rsidR="00B9662D" w:rsidRPr="00303F6A" w:rsidRDefault="00B9662D" w:rsidP="00B9662D">
      <w:pPr>
        <w:ind w:firstLine="0"/>
        <w:jc w:val="center"/>
        <w:rPr>
          <w:b/>
          <w:color w:val="000080"/>
          <w:sz w:val="24"/>
        </w:rPr>
      </w:pPr>
      <w:r>
        <w:rPr>
          <w:b/>
          <w:color w:val="000080"/>
          <w:sz w:val="24"/>
        </w:rPr>
        <w:t>7</w:t>
      </w:r>
      <w:r w:rsidRPr="00F82135">
        <w:rPr>
          <w:b/>
          <w:color w:val="000080"/>
          <w:sz w:val="24"/>
          <w:vertAlign w:val="superscript"/>
        </w:rPr>
        <w:t>e</w:t>
      </w:r>
      <w:r>
        <w:rPr>
          <w:b/>
          <w:color w:val="000080"/>
          <w:sz w:val="24"/>
        </w:rPr>
        <w:t xml:space="preserve"> PARTIE. GÉOGRAPHIE HISTORIQUE :</w:t>
      </w:r>
      <w:r>
        <w:rPr>
          <w:b/>
          <w:color w:val="000080"/>
          <w:sz w:val="24"/>
        </w:rPr>
        <w:br/>
        <w:t>L’ÎLE DE FRANCE</w:t>
      </w:r>
    </w:p>
    <w:p w14:paraId="06154250" w14:textId="77777777" w:rsidR="00B9662D" w:rsidRPr="00384B20" w:rsidRDefault="00B9662D" w:rsidP="00B9662D">
      <w:pPr>
        <w:pStyle w:val="Titreniveau1"/>
      </w:pPr>
      <w:r w:rsidRPr="00384B20">
        <w:t>Chapitre I</w:t>
      </w:r>
      <w:r>
        <w:t>I</w:t>
      </w:r>
    </w:p>
    <w:p w14:paraId="789DACC9" w14:textId="77777777" w:rsidR="00B9662D" w:rsidRPr="00E07116" w:rsidRDefault="00B9662D" w:rsidP="00B9662D">
      <w:pPr>
        <w:jc w:val="both"/>
        <w:rPr>
          <w:szCs w:val="36"/>
        </w:rPr>
      </w:pPr>
    </w:p>
    <w:p w14:paraId="53FA94EC" w14:textId="77777777" w:rsidR="00B9662D" w:rsidRDefault="00B9662D" w:rsidP="00B9662D">
      <w:pPr>
        <w:pStyle w:val="Titreniveau2"/>
      </w:pPr>
      <w:r>
        <w:t>L’ÎLE-DE-France</w:t>
      </w:r>
    </w:p>
    <w:p w14:paraId="4F300850" w14:textId="77777777" w:rsidR="00B9662D" w:rsidRPr="00E07116" w:rsidRDefault="00B9662D" w:rsidP="00B9662D">
      <w:pPr>
        <w:pStyle w:val="Titreniveau2st"/>
      </w:pPr>
      <w:r>
        <w:t>(les pays autour de paris) </w:t>
      </w:r>
      <w:r>
        <w:rPr>
          <w:rStyle w:val="Appelnotedebasdep"/>
        </w:rPr>
        <w:footnoteReference w:id="343"/>
      </w:r>
    </w:p>
    <w:bookmarkEnd w:id="26"/>
    <w:p w14:paraId="00BBB218" w14:textId="77777777" w:rsidR="00B9662D" w:rsidRDefault="00B9662D" w:rsidP="00B9662D">
      <w:pPr>
        <w:jc w:val="both"/>
        <w:rPr>
          <w:szCs w:val="36"/>
        </w:rPr>
      </w:pPr>
    </w:p>
    <w:p w14:paraId="3BABEBB5" w14:textId="77777777" w:rsidR="00B9662D" w:rsidRDefault="00B9662D" w:rsidP="00B9662D">
      <w:pPr>
        <w:jc w:val="both"/>
        <w:rPr>
          <w:szCs w:val="36"/>
        </w:rPr>
      </w:pPr>
    </w:p>
    <w:p w14:paraId="4D7E3FF1" w14:textId="77777777" w:rsidR="00B9662D" w:rsidRPr="00246AE4" w:rsidRDefault="00B9662D" w:rsidP="00B9662D">
      <w:pPr>
        <w:pStyle w:val="planche"/>
      </w:pPr>
      <w:bookmarkStart w:id="27" w:name="Melanges_t2_pt_7_chap_II_I"/>
      <w:r w:rsidRPr="00246AE4">
        <w:t>I</w:t>
      </w:r>
      <w:r>
        <w:t>. — LA RÉGION</w:t>
      </w:r>
    </w:p>
    <w:bookmarkEnd w:id="27"/>
    <w:p w14:paraId="7F67E6E6" w14:textId="77777777" w:rsidR="00B9662D" w:rsidRDefault="00B9662D" w:rsidP="00B9662D">
      <w:pPr>
        <w:spacing w:before="120" w:after="120"/>
        <w:jc w:val="both"/>
        <w:rPr>
          <w:color w:val="000000"/>
          <w:lang w:eastAsia="fr-FR" w:bidi="fr-FR"/>
        </w:rPr>
      </w:pPr>
    </w:p>
    <w:p w14:paraId="50120A67" w14:textId="77777777" w:rsidR="00B9662D" w:rsidRDefault="00B9662D" w:rsidP="00B9662D">
      <w:pPr>
        <w:spacing w:before="120" w:after="120"/>
        <w:jc w:val="both"/>
        <w:rPr>
          <w:color w:val="000000"/>
          <w:lang w:eastAsia="fr-FR" w:bidi="fr-FR"/>
        </w:rPr>
      </w:pPr>
    </w:p>
    <w:p w14:paraId="5F25ED34" w14:textId="77777777" w:rsidR="00B9662D" w:rsidRPr="00246AE4" w:rsidRDefault="00B9662D" w:rsidP="00B9662D">
      <w:pPr>
        <w:pStyle w:val="a"/>
      </w:pPr>
      <w:bookmarkStart w:id="28" w:name="Melanges_t2_pt_7_chap_II_I_1"/>
      <w:r w:rsidRPr="00246AE4">
        <w:t xml:space="preserve">1. Le nom </w:t>
      </w:r>
      <w:r w:rsidRPr="00A865B8">
        <w:t>d’Île</w:t>
      </w:r>
      <w:r>
        <w:t>-de-France</w:t>
      </w:r>
      <w:r w:rsidRPr="00246AE4">
        <w:t>.</w:t>
      </w:r>
    </w:p>
    <w:bookmarkEnd w:id="28"/>
    <w:p w14:paraId="4D09D149" w14:textId="77777777" w:rsidR="00B9662D" w:rsidRDefault="00B9662D" w:rsidP="00B9662D">
      <w:pPr>
        <w:spacing w:before="120" w:after="120"/>
        <w:jc w:val="both"/>
        <w:rPr>
          <w:color w:val="000000"/>
          <w:lang w:eastAsia="fr-FR" w:bidi="fr-FR"/>
        </w:rPr>
      </w:pPr>
    </w:p>
    <w:p w14:paraId="0CAEBEDB" w14:textId="77777777" w:rsidR="00B9662D" w:rsidRDefault="00B9662D" w:rsidP="00B9662D">
      <w:pPr>
        <w:spacing w:before="120" w:after="120"/>
        <w:jc w:val="both"/>
        <w:rPr>
          <w:color w:val="000000"/>
          <w:lang w:eastAsia="fr-FR" w:bidi="fr-FR"/>
        </w:rPr>
      </w:pPr>
    </w:p>
    <w:p w14:paraId="26DC892A"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7586CD2C" w14:textId="77777777" w:rsidR="00B9662D" w:rsidRPr="00246AE4" w:rsidRDefault="00B9662D" w:rsidP="00B9662D">
      <w:pPr>
        <w:spacing w:before="120" w:after="120"/>
        <w:jc w:val="both"/>
      </w:pPr>
      <w:r w:rsidRPr="00246AE4">
        <w:rPr>
          <w:color w:val="000000"/>
          <w:lang w:eastAsia="fr-FR" w:bidi="fr-FR"/>
        </w:rPr>
        <w:t xml:space="preserve">Le nom de la région qui va faire l’objet de notre étude : </w:t>
      </w:r>
      <w:r>
        <w:t>Île-de-France</w:t>
      </w:r>
      <w:r w:rsidRPr="00246AE4">
        <w:rPr>
          <w:color w:val="000000"/>
          <w:lang w:eastAsia="fr-FR" w:bidi="fr-FR"/>
        </w:rPr>
        <w:t xml:space="preserve">, pour peu qu’on y réfléchisse, surprend et intrigue. Pourquoi une province française porte-t-elle le même nom que le grand pays dont elle ne forme qu’une partie ? </w:t>
      </w:r>
      <w:r>
        <w:rPr>
          <w:color w:val="000000"/>
          <w:lang w:eastAsia="fr-FR" w:bidi="fr-FR"/>
        </w:rPr>
        <w:t>et surtout d’où vient ce mot d’</w:t>
      </w:r>
      <w:r w:rsidRPr="00246AE4">
        <w:rPr>
          <w:color w:val="000000"/>
          <w:lang w:eastAsia="fr-FR" w:bidi="fr-FR"/>
        </w:rPr>
        <w:t>« Ile », qui convient en apparence si mal à une région que n’entourent les flots d’aucune mer ? Les origines et les vicissitudes des noms de France et d’</w:t>
      </w:r>
      <w:r>
        <w:rPr>
          <w:color w:val="000000"/>
          <w:lang w:eastAsia="fr-FR" w:bidi="fr-FR"/>
        </w:rPr>
        <w:t>Île-de-France</w:t>
      </w:r>
      <w:r w:rsidRPr="00246AE4">
        <w:rPr>
          <w:color w:val="000000"/>
          <w:lang w:eastAsia="fr-FR" w:bidi="fr-FR"/>
        </w:rPr>
        <w:t>, malgré de beaux travaux</w:t>
      </w:r>
      <w:r>
        <w:rPr>
          <w:color w:val="000000"/>
          <w:lang w:eastAsia="fr-FR" w:bidi="fr-FR"/>
        </w:rPr>
        <w:t> </w:t>
      </w:r>
      <w:r>
        <w:rPr>
          <w:rStyle w:val="Appelnotedebasdep"/>
        </w:rPr>
        <w:footnoteReference w:id="344"/>
      </w:r>
      <w:r w:rsidRPr="00246AE4">
        <w:rPr>
          <w:color w:val="000000"/>
          <w:lang w:eastAsia="fr-FR" w:bidi="fr-FR"/>
        </w:rPr>
        <w:t xml:space="preserve">, </w:t>
      </w:r>
      <w:r w:rsidRPr="00246AE4">
        <w:rPr>
          <w:color w:val="000000"/>
          <w:lang w:eastAsia="fr-FR" w:bidi="fr-FR"/>
        </w:rPr>
        <w:lastRenderedPageBreak/>
        <w:t>sont encore bien mal connues ; au seuil de cette</w:t>
      </w:r>
      <w:r>
        <w:t xml:space="preserve"> </w:t>
      </w:r>
      <w:r>
        <w:rPr>
          <w:color w:val="000000"/>
          <w:lang w:eastAsia="fr-FR" w:bidi="fr-FR"/>
        </w:rPr>
        <w:t xml:space="preserve">[693] </w:t>
      </w:r>
      <w:r w:rsidRPr="00246AE4">
        <w:rPr>
          <w:color w:val="000000"/>
          <w:lang w:eastAsia="fr-FR" w:bidi="fr-FR"/>
        </w:rPr>
        <w:t>« revue génér</w:t>
      </w:r>
      <w:r w:rsidRPr="00246AE4">
        <w:rPr>
          <w:color w:val="000000"/>
          <w:lang w:eastAsia="fr-FR" w:bidi="fr-FR"/>
        </w:rPr>
        <w:t>a</w:t>
      </w:r>
      <w:r w:rsidRPr="00246AE4">
        <w:rPr>
          <w:color w:val="000000"/>
          <w:lang w:eastAsia="fr-FR" w:bidi="fr-FR"/>
        </w:rPr>
        <w:t>le », c’est un problème imparfaitement résolu qui s’offre à nous, et qu’il faut signaler aux chercheurs. Voici, semble-t-il, ce que l’on peut dire de moins conjectural sur l’histoire compliquée de ces noms illu</w:t>
      </w:r>
      <w:r w:rsidRPr="00246AE4">
        <w:rPr>
          <w:color w:val="000000"/>
          <w:lang w:eastAsia="fr-FR" w:bidi="fr-FR"/>
        </w:rPr>
        <w:t>s</w:t>
      </w:r>
      <w:r w:rsidRPr="00246AE4">
        <w:rPr>
          <w:color w:val="000000"/>
          <w:lang w:eastAsia="fr-FR" w:bidi="fr-FR"/>
        </w:rPr>
        <w:t>tres.</w:t>
      </w:r>
    </w:p>
    <w:p w14:paraId="4F7A04AC" w14:textId="77777777" w:rsidR="00B9662D" w:rsidRPr="00246AE4" w:rsidRDefault="00B9662D" w:rsidP="00B9662D">
      <w:pPr>
        <w:spacing w:before="120" w:after="120"/>
        <w:jc w:val="both"/>
      </w:pPr>
      <w:r w:rsidRPr="00246AE4">
        <w:rPr>
          <w:color w:val="000000"/>
          <w:lang w:eastAsia="fr-FR" w:bidi="fr-FR"/>
        </w:rPr>
        <w:t xml:space="preserve">La France, </w:t>
      </w:r>
      <w:r w:rsidRPr="00246AE4">
        <w:t>Francia,</w:t>
      </w:r>
      <w:r w:rsidRPr="00246AE4">
        <w:rPr>
          <w:color w:val="000000"/>
          <w:lang w:eastAsia="fr-FR" w:bidi="fr-FR"/>
        </w:rPr>
        <w:t xml:space="preserve"> c’est le pays des Francs. Le peuple franc, les dynasties franques ont transporté ce nom avec eux dans leurs migr</w:t>
      </w:r>
      <w:r w:rsidRPr="00246AE4">
        <w:rPr>
          <w:color w:val="000000"/>
          <w:lang w:eastAsia="fr-FR" w:bidi="fr-FR"/>
        </w:rPr>
        <w:t>a</w:t>
      </w:r>
      <w:r w:rsidRPr="00246AE4">
        <w:rPr>
          <w:color w:val="000000"/>
          <w:lang w:eastAsia="fr-FR" w:bidi="fr-FR"/>
        </w:rPr>
        <w:t>tions et leurs conquêtes à travers l’Europe occidentale. Au début du ix</w:t>
      </w:r>
      <w:r w:rsidRPr="00246AE4">
        <w:rPr>
          <w:color w:val="000000"/>
          <w:vertAlign w:val="superscript"/>
          <w:lang w:eastAsia="fr-FR" w:bidi="fr-FR"/>
        </w:rPr>
        <w:t>e</w:t>
      </w:r>
      <w:r w:rsidRPr="00246AE4">
        <w:rPr>
          <w:color w:val="000000"/>
          <w:lang w:eastAsia="fr-FR" w:bidi="fr-FR"/>
        </w:rPr>
        <w:t xml:space="preserve"> siècle, au temps de l’empire carolingien, le domaine du nom de France fut très vaste. Ce mot s’appliqua alors à toute la partie de l’empire qui s’étendait au Nord des Alpes</w:t>
      </w:r>
      <w:r>
        <w:rPr>
          <w:color w:val="000000"/>
          <w:lang w:eastAsia="fr-FR" w:bidi="fr-FR"/>
        </w:rPr>
        <w:t> </w:t>
      </w:r>
      <w:r>
        <w:rPr>
          <w:rStyle w:val="Appelnotedebasdep"/>
        </w:rPr>
        <w:footnoteReference w:id="345"/>
      </w:r>
      <w:r w:rsidRPr="00246AE4">
        <w:rPr>
          <w:color w:val="000000"/>
          <w:lang w:eastAsia="fr-FR" w:bidi="fr-FR"/>
        </w:rPr>
        <w:t xml:space="preserve">. Quand l’empire </w:t>
      </w:r>
      <w:r w:rsidRPr="00246AE4">
        <w:rPr>
          <w:color w:val="000000"/>
          <w:lang w:eastAsia="fr-FR" w:bidi="fr-FR"/>
        </w:rPr>
        <w:lastRenderedPageBreak/>
        <w:t>s’écroula, le nom de France resta d’abord attaché aux deux États les plus importants, et surtout les plus durables, de ceux qui se formèrent de ses débris : le royaume de Charles le Chauve et de ses descendants, et celui dont le premier souverain fut Louis le Germanique. On les distinguait l’un de l’autre par les termes de « France occidentale » et de « France orientale ». Mais la France orientale tomba bientôt sous la domination d’une dynastie nouvelle, qui n’était plus franque, qui était saxonne ; elle perdit peu à peu le nom de France. La France occident</w:t>
      </w:r>
      <w:r w:rsidRPr="00246AE4">
        <w:rPr>
          <w:color w:val="000000"/>
          <w:lang w:eastAsia="fr-FR" w:bidi="fr-FR"/>
        </w:rPr>
        <w:t>a</w:t>
      </w:r>
      <w:r w:rsidRPr="00246AE4">
        <w:rPr>
          <w:color w:val="000000"/>
          <w:lang w:eastAsia="fr-FR" w:bidi="fr-FR"/>
        </w:rPr>
        <w:t>le le garda, l’eut pour elle seule, et devint le royaume de France.</w:t>
      </w:r>
    </w:p>
    <w:p w14:paraId="171225B6" w14:textId="77777777" w:rsidR="00B9662D" w:rsidRPr="00246AE4" w:rsidRDefault="00B9662D" w:rsidP="00B9662D">
      <w:pPr>
        <w:spacing w:before="120" w:after="120"/>
        <w:jc w:val="both"/>
      </w:pPr>
      <w:r w:rsidRPr="00246AE4">
        <w:rPr>
          <w:color w:val="000000"/>
          <w:lang w:eastAsia="fr-FR" w:bidi="fr-FR"/>
        </w:rPr>
        <w:t>Telle est, rapidement résumée, ce que nous appellerons l’histoire du sens large du mot de France. Mais à côté de son sens large, ce mot a toujours eu un sens plus restreint, et, si je puis dire, plus local. Il a toujours désigné, au sein du pays soumis aux rois francs, la région qui paraissait la plus franque. Grégoire de Tours, par exemple, l’applique tantôt à la Gaule du Nord, par opposition à l’Auvergne, récemment conquise et souvent en révolte</w:t>
      </w:r>
      <w:r>
        <w:rPr>
          <w:color w:val="000000"/>
          <w:lang w:eastAsia="fr-FR" w:bidi="fr-FR"/>
        </w:rPr>
        <w:t> </w:t>
      </w:r>
      <w:r>
        <w:rPr>
          <w:rStyle w:val="Appelnotedebasdep"/>
        </w:rPr>
        <w:footnoteReference w:id="346"/>
      </w:r>
      <w:r w:rsidRPr="00246AE4">
        <w:rPr>
          <w:color w:val="000000"/>
          <w:lang w:eastAsia="fr-FR" w:bidi="fr-FR"/>
        </w:rPr>
        <w:t>, tantôt dans l’intérieur même de la Gaule septentrionale, plus particulièrement au royaume de l’Est, celui de Thierri et des ses descendants, le plus germanisé des royaumes que s’étaient partagés les fils de Clovis</w:t>
      </w:r>
      <w:r>
        <w:rPr>
          <w:color w:val="000000"/>
          <w:lang w:eastAsia="fr-FR" w:bidi="fr-FR"/>
        </w:rPr>
        <w:t> </w:t>
      </w:r>
      <w:r>
        <w:rPr>
          <w:rStyle w:val="Appelnotedebasdep"/>
        </w:rPr>
        <w:footnoteReference w:id="347"/>
      </w:r>
      <w:r w:rsidRPr="00246AE4">
        <w:rPr>
          <w:color w:val="000000"/>
          <w:lang w:eastAsia="fr-FR" w:bidi="fr-FR"/>
        </w:rPr>
        <w:t>.</w:t>
      </w:r>
    </w:p>
    <w:p w14:paraId="2E3D67D2" w14:textId="77777777" w:rsidR="00B9662D" w:rsidRPr="00246AE4" w:rsidRDefault="00B9662D" w:rsidP="00B9662D">
      <w:pPr>
        <w:spacing w:before="120" w:after="120"/>
        <w:jc w:val="both"/>
      </w:pPr>
      <w:r w:rsidRPr="00246AE4">
        <w:rPr>
          <w:color w:val="000000"/>
          <w:lang w:eastAsia="fr-FR" w:bidi="fr-FR"/>
        </w:rPr>
        <w:t xml:space="preserve">On sait combien le vocabulaire géographique du Haut Moyen </w:t>
      </w:r>
      <w:r>
        <w:rPr>
          <w:color w:val="000000"/>
          <w:lang w:eastAsia="fr-FR" w:bidi="fr-FR"/>
        </w:rPr>
        <w:t>Â</w:t>
      </w:r>
      <w:r w:rsidRPr="00246AE4">
        <w:rPr>
          <w:color w:val="000000"/>
          <w:lang w:eastAsia="fr-FR" w:bidi="fr-FR"/>
        </w:rPr>
        <w:t>ge, surtout pendant les deux siècles qui suivirent le démembrement de l’empire carolingien, fut imprécis et mal fixé : comment s’en éto</w:t>
      </w:r>
      <w:r w:rsidRPr="00246AE4">
        <w:rPr>
          <w:color w:val="000000"/>
          <w:lang w:eastAsia="fr-FR" w:bidi="fr-FR"/>
        </w:rPr>
        <w:t>n</w:t>
      </w:r>
      <w:r w:rsidRPr="00246AE4">
        <w:rPr>
          <w:color w:val="000000"/>
          <w:lang w:eastAsia="fr-FR" w:bidi="fr-FR"/>
        </w:rPr>
        <w:t>ner ? Il donnait la fidèle image d’une société sans cesse en mouv</w:t>
      </w:r>
      <w:r w:rsidRPr="00246AE4">
        <w:rPr>
          <w:color w:val="000000"/>
          <w:lang w:eastAsia="fr-FR" w:bidi="fr-FR"/>
        </w:rPr>
        <w:t>e</w:t>
      </w:r>
      <w:r w:rsidRPr="00246AE4">
        <w:rPr>
          <w:color w:val="000000"/>
          <w:lang w:eastAsia="fr-FR" w:bidi="fr-FR"/>
        </w:rPr>
        <w:t>ment, qui ne trouva que bien tard des cadres territoriaux durables. Le nom de France, comme ceux, par exemple, de Bourgogne et de Lo</w:t>
      </w:r>
      <w:r w:rsidRPr="00246AE4">
        <w:rPr>
          <w:color w:val="000000"/>
          <w:lang w:eastAsia="fr-FR" w:bidi="fr-FR"/>
        </w:rPr>
        <w:t>r</w:t>
      </w:r>
      <w:r w:rsidRPr="00246AE4">
        <w:rPr>
          <w:color w:val="000000"/>
          <w:lang w:eastAsia="fr-FR" w:bidi="fr-FR"/>
        </w:rPr>
        <w:t>raine, participa de cette incertitude générale de la langue géograph</w:t>
      </w:r>
      <w:r w:rsidRPr="00246AE4">
        <w:rPr>
          <w:color w:val="000000"/>
          <w:lang w:eastAsia="fr-FR" w:bidi="fr-FR"/>
        </w:rPr>
        <w:t>i</w:t>
      </w:r>
      <w:r w:rsidRPr="00246AE4">
        <w:rPr>
          <w:color w:val="000000"/>
          <w:lang w:eastAsia="fr-FR" w:bidi="fr-FR"/>
        </w:rPr>
        <w:t xml:space="preserve">que. Quand les royaumes de France occidentale et de France orientale se furent séparés l’un de l’autre, à l’intérieur de chacun des deux États, on prit l’habitude d’appliquer le nom de France à une région particulière. Dans le royaume oriental, ce fut aux pays du Main, que nous appelons aujourd’hui : Franconie. Dans le royaume occidental, on désigna par le nom de France, comme le faisait déjà Grégoire de Tours, l’ensemble de la Gaule du Nord ; la France s’opposait à la Bourgogne, à l’Aquitaine, au pays des Bretons. Mais à mesure que se </w:t>
      </w:r>
      <w:r w:rsidRPr="00246AE4">
        <w:rPr>
          <w:color w:val="000000"/>
          <w:lang w:eastAsia="fr-FR" w:bidi="fr-FR"/>
        </w:rPr>
        <w:lastRenderedPageBreak/>
        <w:t>développèrent dans cette Gaule du Nord de grands États féodaux, bien individualisés,</w:t>
      </w:r>
      <w:r>
        <w:rPr>
          <w:color w:val="000000"/>
          <w:lang w:eastAsia="fr-FR" w:bidi="fr-FR"/>
        </w:rPr>
        <w:t> — </w:t>
      </w:r>
      <w:r w:rsidRPr="00246AE4">
        <w:rPr>
          <w:color w:val="000000"/>
          <w:lang w:eastAsia="fr-FR" w:bidi="fr-FR"/>
        </w:rPr>
        <w:t>Flandre, Vermandois, Champagne,</w:t>
      </w:r>
      <w:r>
        <w:t xml:space="preserve"> </w:t>
      </w:r>
      <w:r>
        <w:rPr>
          <w:color w:val="000000"/>
          <w:lang w:eastAsia="fr-FR" w:bidi="fr-FR"/>
        </w:rPr>
        <w:t xml:space="preserve">[694] </w:t>
      </w:r>
      <w:r w:rsidRPr="00246AE4">
        <w:rPr>
          <w:color w:val="000000"/>
          <w:lang w:eastAsia="fr-FR" w:bidi="fr-FR"/>
        </w:rPr>
        <w:t>Norma</w:t>
      </w:r>
      <w:r w:rsidRPr="00246AE4">
        <w:rPr>
          <w:color w:val="000000"/>
          <w:lang w:eastAsia="fr-FR" w:bidi="fr-FR"/>
        </w:rPr>
        <w:t>n</w:t>
      </w:r>
      <w:r w:rsidRPr="00246AE4">
        <w:rPr>
          <w:color w:val="000000"/>
          <w:lang w:eastAsia="fr-FR" w:bidi="fr-FR"/>
        </w:rPr>
        <w:t>die,</w:t>
      </w:r>
      <w:r>
        <w:rPr>
          <w:color w:val="000000"/>
          <w:lang w:eastAsia="fr-FR" w:bidi="fr-FR"/>
        </w:rPr>
        <w:t> — </w:t>
      </w:r>
      <w:r w:rsidRPr="00246AE4">
        <w:rPr>
          <w:color w:val="000000"/>
          <w:lang w:eastAsia="fr-FR" w:bidi="fr-FR"/>
        </w:rPr>
        <w:t>le domaine du nom de France se restreignit de plus en plus. Ce nom se trouva, en quelque sorte, repoussé vers la région de la Seine moyenne, où il se fixa. Pourquoi cette région garda-t-elle définitiv</w:t>
      </w:r>
      <w:r w:rsidRPr="00246AE4">
        <w:rPr>
          <w:color w:val="000000"/>
          <w:lang w:eastAsia="fr-FR" w:bidi="fr-FR"/>
        </w:rPr>
        <w:t>e</w:t>
      </w:r>
      <w:r w:rsidRPr="00246AE4">
        <w:rPr>
          <w:color w:val="000000"/>
          <w:lang w:eastAsia="fr-FR" w:bidi="fr-FR"/>
        </w:rPr>
        <w:t xml:space="preserve">ment le nom de France ? Il faut vraisemblablement chercher l’explication de ce fait dans la prodigieuse fortune à laquelle s’éleva, au cours des </w:t>
      </w:r>
      <w:r w:rsidRPr="00886930">
        <w:rPr>
          <w:caps/>
          <w:color w:val="000000"/>
          <w:lang w:eastAsia="fr-FR" w:bidi="fr-FR"/>
        </w:rPr>
        <w:t>ix</w:t>
      </w:r>
      <w:r w:rsidRPr="00246AE4">
        <w:rPr>
          <w:color w:val="000000"/>
          <w:vertAlign w:val="superscript"/>
          <w:lang w:eastAsia="fr-FR" w:bidi="fr-FR"/>
        </w:rPr>
        <w:t>e</w:t>
      </w:r>
      <w:r w:rsidRPr="00246AE4">
        <w:rPr>
          <w:color w:val="000000"/>
          <w:lang w:eastAsia="fr-FR" w:bidi="fr-FR"/>
        </w:rPr>
        <w:t xml:space="preserve"> et </w:t>
      </w:r>
      <w:r w:rsidRPr="00886930">
        <w:rPr>
          <w:caps/>
          <w:color w:val="000000"/>
          <w:lang w:eastAsia="fr-FR" w:bidi="fr-FR"/>
        </w:rPr>
        <w:t>x</w:t>
      </w:r>
      <w:r w:rsidRPr="00246AE4">
        <w:rPr>
          <w:color w:val="000000"/>
          <w:vertAlign w:val="superscript"/>
          <w:lang w:eastAsia="fr-FR" w:bidi="fr-FR"/>
        </w:rPr>
        <w:t>e</w:t>
      </w:r>
      <w:r w:rsidRPr="00246AE4">
        <w:rPr>
          <w:color w:val="000000"/>
          <w:lang w:eastAsia="fr-FR" w:bidi="fr-FR"/>
        </w:rPr>
        <w:t xml:space="preserve"> siècles, une famille issue d’un comte neustrien, Robert le Fort ; les descendants de Robert le Fort, après plus d’un si</w:t>
      </w:r>
      <w:r w:rsidRPr="00246AE4">
        <w:rPr>
          <w:color w:val="000000"/>
          <w:lang w:eastAsia="fr-FR" w:bidi="fr-FR"/>
        </w:rPr>
        <w:t>è</w:t>
      </w:r>
      <w:r w:rsidRPr="00246AE4">
        <w:rPr>
          <w:color w:val="000000"/>
          <w:lang w:eastAsia="fr-FR" w:bidi="fr-FR"/>
        </w:rPr>
        <w:t>cle de lutte, parvinrent à remplacer sur le trône de Charles le Chauve les descendants de Charlemagne. Or, c’est dans ce pays de la Seine moyenne que la famille robertienne, du moins depuis le roi Eudes, avait les plus importants de ses domaines</w:t>
      </w:r>
      <w:r>
        <w:rPr>
          <w:color w:val="000000"/>
          <w:lang w:eastAsia="fr-FR" w:bidi="fr-FR"/>
        </w:rPr>
        <w:t> </w:t>
      </w:r>
      <w:r>
        <w:rPr>
          <w:rStyle w:val="Appelnotedebasdep"/>
        </w:rPr>
        <w:footnoteReference w:id="348"/>
      </w:r>
      <w:r w:rsidRPr="00246AE4">
        <w:rPr>
          <w:color w:val="000000"/>
          <w:lang w:eastAsia="fr-FR" w:bidi="fr-FR"/>
        </w:rPr>
        <w:t> ; on trouva sans doute n</w:t>
      </w:r>
      <w:r w:rsidRPr="00246AE4">
        <w:rPr>
          <w:color w:val="000000"/>
          <w:lang w:eastAsia="fr-FR" w:bidi="fr-FR"/>
        </w:rPr>
        <w:t>a</w:t>
      </w:r>
      <w:r w:rsidRPr="00246AE4">
        <w:rPr>
          <w:color w:val="000000"/>
          <w:lang w:eastAsia="fr-FR" w:bidi="fr-FR"/>
        </w:rPr>
        <w:t>turel de continuer à appeler la contrée d’où les rois de France, de la dynastie nouvelle, tiraient le principal de leur puissance, par le même nom que le royaume tout entier.</w:t>
      </w:r>
    </w:p>
    <w:p w14:paraId="04C4BFAE" w14:textId="77777777" w:rsidR="00B9662D" w:rsidRPr="00246AE4" w:rsidRDefault="00B9662D" w:rsidP="00B9662D">
      <w:pPr>
        <w:spacing w:before="120" w:after="120"/>
        <w:jc w:val="both"/>
      </w:pPr>
      <w:r w:rsidRPr="00246AE4">
        <w:rPr>
          <w:color w:val="000000"/>
          <w:lang w:eastAsia="fr-FR" w:bidi="fr-FR"/>
        </w:rPr>
        <w:t>Voici quelques exemples de cet emploi du mot de France, aux premiers temps de la dynastie capétienne. L’abbaye de Saint-Renoît-de-Fleury s’élevait sur les bords de la Loire, à une trentaine de kil</w:t>
      </w:r>
      <w:r w:rsidRPr="00246AE4">
        <w:rPr>
          <w:color w:val="000000"/>
          <w:lang w:eastAsia="fr-FR" w:bidi="fr-FR"/>
        </w:rPr>
        <w:t>o</w:t>
      </w:r>
      <w:r w:rsidRPr="00246AE4">
        <w:rPr>
          <w:color w:val="000000"/>
          <w:lang w:eastAsia="fr-FR" w:bidi="fr-FR"/>
        </w:rPr>
        <w:t xml:space="preserve">mètres en amont d’Orléans. Dans un petit traité sur les reliques de saint Benoît, qui fut composé entre 1011 et 1019, un moine allemand, </w:t>
      </w:r>
      <w:r w:rsidRPr="00246AE4">
        <w:rPr>
          <w:color w:val="000000"/>
          <w:lang w:eastAsia="fr-FR" w:bidi="fr-FR"/>
        </w:rPr>
        <w:lastRenderedPageBreak/>
        <w:t>Thierri d’Amorbach, décrivait comme il suit la situation de cette a</w:t>
      </w:r>
      <w:r w:rsidRPr="00246AE4">
        <w:rPr>
          <w:color w:val="000000"/>
          <w:lang w:eastAsia="fr-FR" w:bidi="fr-FR"/>
        </w:rPr>
        <w:t>b</w:t>
      </w:r>
      <w:r w:rsidRPr="00246AE4">
        <w:rPr>
          <w:color w:val="000000"/>
          <w:lang w:eastAsia="fr-FR" w:bidi="fr-FR"/>
        </w:rPr>
        <w:t>baye, où il avait séjourné : « elle touche à l’Est à la Bourgogne, au Sud à l’Aquitaine, au Nord à la France »</w:t>
      </w:r>
      <w:r>
        <w:rPr>
          <w:color w:val="000000"/>
          <w:lang w:eastAsia="fr-FR" w:bidi="fr-FR"/>
        </w:rPr>
        <w:t> </w:t>
      </w:r>
      <w:r>
        <w:rPr>
          <w:rStyle w:val="Appelnotedebasdep"/>
        </w:rPr>
        <w:footnoteReference w:id="349"/>
      </w:r>
      <w:r w:rsidRPr="00246AE4">
        <w:rPr>
          <w:color w:val="000000"/>
          <w:lang w:eastAsia="fr-FR" w:bidi="fr-FR"/>
        </w:rPr>
        <w:t xml:space="preserve">. Ouvrons maintenant un autre opuscule pieux, écrit en ce même monastère de Fleury et vers la même époque, le livre troisième des </w:t>
      </w:r>
      <w:r w:rsidRPr="00246AE4">
        <w:t>Miracula Sancti Benedidi</w:t>
      </w:r>
      <w:r>
        <w:t> </w:t>
      </w:r>
      <w:r>
        <w:rPr>
          <w:rStyle w:val="Appelnotedebasdep"/>
        </w:rPr>
        <w:footnoteReference w:id="350"/>
      </w:r>
      <w:r w:rsidRPr="00246AE4">
        <w:rPr>
          <w:color w:val="000000"/>
          <w:lang w:eastAsia="fr-FR" w:bidi="fr-FR"/>
        </w:rPr>
        <w:t> ; l’auteur</w:t>
      </w:r>
      <w:r>
        <w:rPr>
          <w:color w:val="000000"/>
          <w:lang w:eastAsia="fr-FR" w:bidi="fr-FR"/>
        </w:rPr>
        <w:t> — </w:t>
      </w:r>
      <w:r w:rsidRPr="00246AE4">
        <w:rPr>
          <w:color w:val="000000"/>
          <w:lang w:eastAsia="fr-FR" w:bidi="fr-FR"/>
        </w:rPr>
        <w:t>le moine Aimoin</w:t>
      </w:r>
      <w:r>
        <w:rPr>
          <w:color w:val="000000"/>
          <w:lang w:eastAsia="fr-FR" w:bidi="fr-FR"/>
        </w:rPr>
        <w:t> — </w:t>
      </w:r>
      <w:r w:rsidRPr="00246AE4">
        <w:rPr>
          <w:color w:val="000000"/>
          <w:lang w:eastAsia="fr-FR" w:bidi="fr-FR"/>
        </w:rPr>
        <w:t>place en « France » le village d’Abbeville, dont les maisons se groupent encore aujourd’hui au bord d’un petit ravin, sur le plateau beauceron, à quelques kilomètres au sud d’Étampes. Un diplôme du roi Philippe I</w:t>
      </w:r>
      <w:r w:rsidRPr="00246AE4">
        <w:rPr>
          <w:color w:val="000000"/>
          <w:vertAlign w:val="superscript"/>
          <w:lang w:eastAsia="fr-FR" w:bidi="fr-FR"/>
        </w:rPr>
        <w:t>er</w:t>
      </w:r>
      <w:r w:rsidRPr="00246AE4">
        <w:rPr>
          <w:color w:val="000000"/>
          <w:lang w:eastAsia="fr-FR" w:bidi="fr-FR"/>
        </w:rPr>
        <w:t>, qui fut rédigé entre 1099 et 1108, montre que les villes de Mantes et de Poissy, situées toutes deux sur la Seine, en aval de Paris, passaient à cette date pour être en « France »</w:t>
      </w:r>
      <w:r>
        <w:rPr>
          <w:color w:val="000000"/>
          <w:lang w:eastAsia="fr-FR" w:bidi="fr-FR"/>
        </w:rPr>
        <w:t> </w:t>
      </w:r>
      <w:r>
        <w:rPr>
          <w:rStyle w:val="Appelnotedebasdep"/>
        </w:rPr>
        <w:footnoteReference w:id="351"/>
      </w:r>
      <w:r w:rsidRPr="00246AE4">
        <w:rPr>
          <w:color w:val="000000"/>
          <w:lang w:eastAsia="fr-FR" w:bidi="fr-FR"/>
        </w:rPr>
        <w:t>. Une soixantaine d’années plus tard, un poète, nommé Garnier, qui était né à Pont-Sainte-Maxence, sur l’Oise, entre Creil et Compiègne, dira :</w:t>
      </w:r>
    </w:p>
    <w:p w14:paraId="0AFA2844" w14:textId="77777777" w:rsidR="00B9662D" w:rsidRDefault="00B9662D" w:rsidP="00B9662D">
      <w:pPr>
        <w:spacing w:before="120" w:after="120"/>
        <w:jc w:val="both"/>
        <w:rPr>
          <w:color w:val="000000"/>
          <w:lang w:eastAsia="fr-FR" w:bidi="fr-FR"/>
        </w:rPr>
      </w:pPr>
    </w:p>
    <w:p w14:paraId="39E77911" w14:textId="77777777" w:rsidR="00B9662D" w:rsidRPr="00246AE4" w:rsidRDefault="00B9662D" w:rsidP="00B9662D">
      <w:pPr>
        <w:spacing w:before="120" w:after="120"/>
        <w:jc w:val="center"/>
      </w:pPr>
      <w:r w:rsidRPr="00246AE4">
        <w:rPr>
          <w:color w:val="000000"/>
          <w:lang w:eastAsia="fr-FR" w:bidi="fr-FR"/>
        </w:rPr>
        <w:t>Mes languages est buens ; car en France fui nez</w:t>
      </w:r>
      <w:r>
        <w:rPr>
          <w:color w:val="000000"/>
          <w:lang w:eastAsia="fr-FR" w:bidi="fr-FR"/>
        </w:rPr>
        <w:t> </w:t>
      </w:r>
      <w:r>
        <w:rPr>
          <w:rStyle w:val="Appelnotedebasdep"/>
        </w:rPr>
        <w:footnoteReference w:id="352"/>
      </w:r>
      <w:r w:rsidRPr="00246AE4">
        <w:rPr>
          <w:color w:val="000000"/>
          <w:lang w:eastAsia="fr-FR" w:bidi="fr-FR"/>
        </w:rPr>
        <w:t>.</w:t>
      </w:r>
    </w:p>
    <w:p w14:paraId="001C5C25" w14:textId="77777777" w:rsidR="00B9662D" w:rsidRDefault="00B9662D" w:rsidP="00B9662D">
      <w:pPr>
        <w:spacing w:before="120" w:after="120"/>
        <w:jc w:val="both"/>
      </w:pPr>
    </w:p>
    <w:p w14:paraId="5B07982F" w14:textId="77777777" w:rsidR="00B9662D" w:rsidRPr="00246AE4" w:rsidRDefault="00B9662D" w:rsidP="00B9662D">
      <w:pPr>
        <w:spacing w:before="120" w:after="120"/>
        <w:jc w:val="both"/>
      </w:pPr>
      <w:r>
        <w:rPr>
          <w:color w:val="000000"/>
          <w:lang w:eastAsia="fr-FR" w:bidi="fr-FR"/>
        </w:rPr>
        <w:t>[695]</w:t>
      </w:r>
    </w:p>
    <w:p w14:paraId="4D662B60" w14:textId="77777777" w:rsidR="00B9662D" w:rsidRPr="00246AE4" w:rsidRDefault="00B9662D" w:rsidP="00B9662D">
      <w:pPr>
        <w:spacing w:before="120" w:after="120"/>
        <w:jc w:val="both"/>
      </w:pPr>
      <w:r w:rsidRPr="00246AE4">
        <w:rPr>
          <w:color w:val="000000"/>
          <w:lang w:eastAsia="fr-FR" w:bidi="fr-FR"/>
        </w:rPr>
        <w:t>On le voit, la « France » des premiers Capétiens s’étendait tout a</w:t>
      </w:r>
      <w:r w:rsidRPr="00246AE4">
        <w:rPr>
          <w:color w:val="000000"/>
          <w:lang w:eastAsia="fr-FR" w:bidi="fr-FR"/>
        </w:rPr>
        <w:t>u</w:t>
      </w:r>
      <w:r w:rsidRPr="00246AE4">
        <w:rPr>
          <w:color w:val="000000"/>
          <w:lang w:eastAsia="fr-FR" w:bidi="fr-FR"/>
        </w:rPr>
        <w:t>tour de Paris, sur les deux rives de la Seine.</w:t>
      </w:r>
    </w:p>
    <w:p w14:paraId="639AE41B" w14:textId="77777777" w:rsidR="00B9662D" w:rsidRPr="00246AE4" w:rsidRDefault="00B9662D" w:rsidP="00B9662D">
      <w:pPr>
        <w:spacing w:before="120" w:after="120"/>
        <w:jc w:val="both"/>
      </w:pPr>
      <w:r w:rsidRPr="00246AE4">
        <w:rPr>
          <w:color w:val="000000"/>
          <w:lang w:eastAsia="fr-FR" w:bidi="fr-FR"/>
        </w:rPr>
        <w:t>La « France » dont font état les documents administratifs du temps de saint Louis et de Philippe le Bel est plus vaste. C’est que la pui</w:t>
      </w:r>
      <w:r w:rsidRPr="00246AE4">
        <w:rPr>
          <w:color w:val="000000"/>
          <w:lang w:eastAsia="fr-FR" w:bidi="fr-FR"/>
        </w:rPr>
        <w:t>s</w:t>
      </w:r>
      <w:r w:rsidRPr="00246AE4">
        <w:rPr>
          <w:color w:val="000000"/>
          <w:lang w:eastAsia="fr-FR" w:bidi="fr-FR"/>
        </w:rPr>
        <w:t>sance territoriale de la dynastie s’est, dans l’espace d’un siècle, sing</w:t>
      </w:r>
      <w:r w:rsidRPr="00246AE4">
        <w:rPr>
          <w:color w:val="000000"/>
          <w:lang w:eastAsia="fr-FR" w:bidi="fr-FR"/>
        </w:rPr>
        <w:t>u</w:t>
      </w:r>
      <w:r w:rsidRPr="00246AE4">
        <w:rPr>
          <w:color w:val="000000"/>
          <w:lang w:eastAsia="fr-FR" w:bidi="fr-FR"/>
        </w:rPr>
        <w:t>lièrement développée. Par exemple, dans le compte général des bai</w:t>
      </w:r>
      <w:r w:rsidRPr="00246AE4">
        <w:rPr>
          <w:color w:val="000000"/>
          <w:lang w:eastAsia="fr-FR" w:bidi="fr-FR"/>
        </w:rPr>
        <w:t>l</w:t>
      </w:r>
      <w:r w:rsidRPr="00246AE4">
        <w:rPr>
          <w:color w:val="000000"/>
          <w:lang w:eastAsia="fr-FR" w:bidi="fr-FR"/>
        </w:rPr>
        <w:t>liages de France, arrêté à la Toussaint 1285</w:t>
      </w:r>
      <w:r>
        <w:rPr>
          <w:color w:val="000000"/>
          <w:lang w:eastAsia="fr-FR" w:bidi="fr-FR"/>
        </w:rPr>
        <w:t> </w:t>
      </w:r>
      <w:r>
        <w:rPr>
          <w:rStyle w:val="Appelnotedebasdep"/>
        </w:rPr>
        <w:footnoteReference w:id="353"/>
      </w:r>
      <w:r w:rsidRPr="00246AE4">
        <w:rPr>
          <w:color w:val="000000"/>
          <w:lang w:eastAsia="fr-FR" w:bidi="fr-FR"/>
        </w:rPr>
        <w:t>, figurent, outre le com</w:t>
      </w:r>
      <w:r w:rsidRPr="00246AE4">
        <w:rPr>
          <w:color w:val="000000"/>
          <w:lang w:eastAsia="fr-FR" w:bidi="fr-FR"/>
        </w:rPr>
        <w:t>p</w:t>
      </w:r>
      <w:r w:rsidRPr="00246AE4">
        <w:rPr>
          <w:color w:val="000000"/>
          <w:lang w:eastAsia="fr-FR" w:bidi="fr-FR"/>
        </w:rPr>
        <w:t>te de la prévôté-bailliage de Paris, ceux des bailliages de Gisors, Se</w:t>
      </w:r>
      <w:r w:rsidRPr="00246AE4">
        <w:rPr>
          <w:color w:val="000000"/>
          <w:lang w:eastAsia="fr-FR" w:bidi="fr-FR"/>
        </w:rPr>
        <w:t>n</w:t>
      </w:r>
      <w:r w:rsidRPr="00246AE4">
        <w:rPr>
          <w:color w:val="000000"/>
          <w:lang w:eastAsia="fr-FR" w:bidi="fr-FR"/>
        </w:rPr>
        <w:t xml:space="preserve">lis, Vermandois, Amiens, Sens, Orléans, Bourges et Tours. Le mot </w:t>
      </w:r>
      <w:r w:rsidRPr="00246AE4">
        <w:rPr>
          <w:color w:val="000000"/>
          <w:lang w:eastAsia="fr-FR" w:bidi="fr-FR"/>
        </w:rPr>
        <w:lastRenderedPageBreak/>
        <w:t xml:space="preserve">de France s’applique donc à une circonscription qui comprend, à côté de l’ancien domaine, un grand nombre des territoires annexés depuis le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par les rois capétiens. Non pas tous ces territoires, cepe</w:t>
      </w:r>
      <w:r w:rsidRPr="00246AE4">
        <w:rPr>
          <w:color w:val="000000"/>
          <w:lang w:eastAsia="fr-FR" w:bidi="fr-FR"/>
        </w:rPr>
        <w:t>n</w:t>
      </w:r>
      <w:r w:rsidRPr="00246AE4">
        <w:rPr>
          <w:color w:val="000000"/>
          <w:lang w:eastAsia="fr-FR" w:bidi="fr-FR"/>
        </w:rPr>
        <w:t>dant. Les acquisitions les plus importantes de la monarchie</w:t>
      </w:r>
      <w:r>
        <w:rPr>
          <w:color w:val="000000"/>
          <w:lang w:eastAsia="fr-FR" w:bidi="fr-FR"/>
        </w:rPr>
        <w:t> — </w:t>
      </w:r>
      <w:r w:rsidRPr="00246AE4">
        <w:rPr>
          <w:color w:val="000000"/>
          <w:lang w:eastAsia="fr-FR" w:bidi="fr-FR"/>
        </w:rPr>
        <w:t>Normandie, sénéchaussées du Midi, comme plus tard la Champ</w:t>
      </w:r>
      <w:r w:rsidRPr="00246AE4">
        <w:rPr>
          <w:color w:val="000000"/>
          <w:lang w:eastAsia="fr-FR" w:bidi="fr-FR"/>
        </w:rPr>
        <w:t>a</w:t>
      </w:r>
      <w:r w:rsidRPr="00246AE4">
        <w:rPr>
          <w:color w:val="000000"/>
          <w:lang w:eastAsia="fr-FR" w:bidi="fr-FR"/>
        </w:rPr>
        <w:t>gne</w:t>
      </w:r>
      <w:r>
        <w:rPr>
          <w:color w:val="000000"/>
          <w:lang w:eastAsia="fr-FR" w:bidi="fr-FR"/>
        </w:rPr>
        <w:t> — </w:t>
      </w:r>
      <w:r w:rsidRPr="00246AE4">
        <w:rPr>
          <w:color w:val="000000"/>
          <w:lang w:eastAsia="fr-FR" w:bidi="fr-FR"/>
        </w:rPr>
        <w:t>ne font pas partie de cette France. Ces régions, qui furent de grands États féodaux, ont conservé leurs institutions particulières, par où elles se distinguent des pays que la langue administrative groupe sous le nom de France. La France des documents administratifs, c’est l’ancien domaine royal, agrandi.</w:t>
      </w:r>
    </w:p>
    <w:p w14:paraId="482DBEAB" w14:textId="77777777" w:rsidR="00B9662D" w:rsidRPr="00246AE4" w:rsidRDefault="00B9662D" w:rsidP="00B9662D">
      <w:pPr>
        <w:spacing w:before="120" w:after="120"/>
        <w:jc w:val="both"/>
      </w:pPr>
      <w:r>
        <w:rPr>
          <w:color w:val="000000"/>
          <w:lang w:eastAsia="fr-FR" w:bidi="fr-FR"/>
        </w:rPr>
        <w:t>À</w:t>
      </w:r>
      <w:r w:rsidRPr="00246AE4">
        <w:rPr>
          <w:color w:val="000000"/>
          <w:lang w:eastAsia="fr-FR" w:bidi="fr-FR"/>
        </w:rPr>
        <w:t xml:space="preserve"> la même époque, la langue juridique donnait au nom de France un autre sens, plus restreint. « Ad usus et consuetudines Francie », « ausus et coutumes de France », il n’est pas d’expression qui revie</w:t>
      </w:r>
      <w:r w:rsidRPr="00246AE4">
        <w:rPr>
          <w:color w:val="000000"/>
          <w:lang w:eastAsia="fr-FR" w:bidi="fr-FR"/>
        </w:rPr>
        <w:t>n</w:t>
      </w:r>
      <w:r w:rsidRPr="00246AE4">
        <w:rPr>
          <w:color w:val="000000"/>
          <w:lang w:eastAsia="fr-FR" w:bidi="fr-FR"/>
        </w:rPr>
        <w:t xml:space="preserve">ne plus souvent que celles-là dans les actes juridiques rédigés au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ou au </w:t>
      </w:r>
      <w:r w:rsidRPr="00886930">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 dans la région parisienne. La « coutume de Fra</w:t>
      </w:r>
      <w:r w:rsidRPr="00246AE4">
        <w:rPr>
          <w:color w:val="000000"/>
          <w:lang w:eastAsia="fr-FR" w:bidi="fr-FR"/>
        </w:rPr>
        <w:t>n</w:t>
      </w:r>
      <w:r w:rsidRPr="00246AE4">
        <w:rPr>
          <w:color w:val="000000"/>
          <w:lang w:eastAsia="fr-FR" w:bidi="fr-FR"/>
        </w:rPr>
        <w:t>ce »</w:t>
      </w:r>
      <w:r>
        <w:rPr>
          <w:color w:val="000000"/>
          <w:lang w:eastAsia="fr-FR" w:bidi="fr-FR"/>
        </w:rPr>
        <w:t> </w:t>
      </w:r>
      <w:r>
        <w:rPr>
          <w:rStyle w:val="Appelnotedebasdep"/>
        </w:rPr>
        <w:footnoteReference w:id="354"/>
      </w:r>
      <w:r w:rsidRPr="00246AE4">
        <w:rPr>
          <w:color w:val="000000"/>
          <w:lang w:eastAsia="fr-FR" w:bidi="fr-FR"/>
        </w:rPr>
        <w:t xml:space="preserve"> s’opposait aux coutumes des pays voisins, à celle du Vexin, par exemple, ou à celle d’Orléans. On l’observait dans la circonscription judiciaire dont le tribunal du Châtelet de Paris était le centre, dans la prévôté-bailliage de Paris ; plus tard on l’appellera : coutume de P</w:t>
      </w:r>
      <w:r w:rsidRPr="00246AE4">
        <w:rPr>
          <w:color w:val="000000"/>
          <w:lang w:eastAsia="fr-FR" w:bidi="fr-FR"/>
        </w:rPr>
        <w:t>a</w:t>
      </w:r>
      <w:r w:rsidRPr="00246AE4">
        <w:rPr>
          <w:color w:val="000000"/>
          <w:lang w:eastAsia="fr-FR" w:bidi="fr-FR"/>
        </w:rPr>
        <w:t>ris ; « la coustume de France qui queurt à Paris », dit déjà Beaum</w:t>
      </w:r>
      <w:r w:rsidRPr="00246AE4">
        <w:rPr>
          <w:color w:val="000000"/>
          <w:lang w:eastAsia="fr-FR" w:bidi="fr-FR"/>
        </w:rPr>
        <w:t>a</w:t>
      </w:r>
      <w:r w:rsidRPr="00246AE4">
        <w:rPr>
          <w:color w:val="000000"/>
          <w:lang w:eastAsia="fr-FR" w:bidi="fr-FR"/>
        </w:rPr>
        <w:t>noir</w:t>
      </w:r>
      <w:r>
        <w:rPr>
          <w:color w:val="000000"/>
          <w:lang w:eastAsia="fr-FR" w:bidi="fr-FR"/>
        </w:rPr>
        <w:t> </w:t>
      </w:r>
      <w:r>
        <w:rPr>
          <w:rStyle w:val="Appelnotedebasdep"/>
        </w:rPr>
        <w:footnoteReference w:id="355"/>
      </w:r>
      <w:r w:rsidRPr="00246AE4">
        <w:rPr>
          <w:color w:val="000000"/>
          <w:lang w:eastAsia="fr-FR" w:bidi="fr-FR"/>
        </w:rPr>
        <w:t xml:space="preserve">. Quelles étaient les limites de cette France des hommes de loi ? Il serait sans doute possible de le savoir avec quelque précision ; beaucoup d’actes concernant la propriété foncière, passés aux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et </w:t>
      </w:r>
      <w:r w:rsidRPr="00886930">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siècles dans la région parisienne, nous ont été conservés ; si après avoir rassemblé ces textes, on y relevait les mentions qui y sont faites de la coutume de France et des coutumes voisines, on obtie</w:t>
      </w:r>
      <w:r w:rsidRPr="00246AE4">
        <w:rPr>
          <w:color w:val="000000"/>
          <w:lang w:eastAsia="fr-FR" w:bidi="fr-FR"/>
        </w:rPr>
        <w:t>n</w:t>
      </w:r>
      <w:r w:rsidRPr="00246AE4">
        <w:rPr>
          <w:color w:val="000000"/>
          <w:lang w:eastAsia="fr-FR" w:bidi="fr-FR"/>
        </w:rPr>
        <w:t xml:space="preserve">drait les éléments d’une carte juridique de la région parisienne pour la période considérée ; aux données ainsi recueillies pour les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et </w:t>
      </w:r>
      <w:r w:rsidRPr="00886930">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siècles, il serait intéressant de comparer celles que fournissent les listes des lieux régis par la coutume de Paris qui ont été </w:t>
      </w:r>
      <w:r w:rsidRPr="00246AE4">
        <w:rPr>
          <w:color w:val="000000"/>
          <w:lang w:eastAsia="fr-FR" w:bidi="fr-FR"/>
        </w:rPr>
        <w:lastRenderedPageBreak/>
        <w:t>dressées après la rédaction de la coutume</w:t>
      </w:r>
      <w:r>
        <w:rPr>
          <w:color w:val="000000"/>
          <w:lang w:eastAsia="fr-FR" w:bidi="fr-FR"/>
        </w:rPr>
        <w:t> </w:t>
      </w:r>
      <w:r>
        <w:rPr>
          <w:rStyle w:val="Appelnotedebasdep"/>
        </w:rPr>
        <w:footnoteReference w:id="356"/>
      </w:r>
      <w:r w:rsidRPr="00246AE4">
        <w:rPr>
          <w:color w:val="000000"/>
          <w:lang w:eastAsia="fr-FR" w:bidi="fr-FR"/>
        </w:rPr>
        <w:t>. Ce travail n’a jamais été fait ; nous ne connaissons pas dans le détail les limites du territoire où régna la « coutume de France » ; du moins savons-nous en toute certitude qu’il s’étendait sur la rive gauche aussi bien que sur la rive droite de la Se</w:t>
      </w:r>
      <w:r w:rsidRPr="00246AE4">
        <w:rPr>
          <w:color w:val="000000"/>
          <w:lang w:eastAsia="fr-FR" w:bidi="fr-FR"/>
        </w:rPr>
        <w:t>i</w:t>
      </w:r>
      <w:r w:rsidRPr="00246AE4">
        <w:rPr>
          <w:color w:val="000000"/>
          <w:lang w:eastAsia="fr-FR" w:bidi="fr-FR"/>
        </w:rPr>
        <w:t>ne. Pourtant, au</w:t>
      </w:r>
      <w:r>
        <w:t xml:space="preserve"> [696] </w:t>
      </w:r>
      <w:r w:rsidRPr="00246AE4">
        <w:rPr>
          <w:color w:val="000000"/>
          <w:lang w:eastAsia="fr-FR" w:bidi="fr-FR"/>
        </w:rPr>
        <w:t>même moment, l’usage populaire (auquel ce</w:t>
      </w:r>
      <w:r w:rsidRPr="00246AE4">
        <w:rPr>
          <w:color w:val="000000"/>
          <w:lang w:eastAsia="fr-FR" w:bidi="fr-FR"/>
        </w:rPr>
        <w:t>r</w:t>
      </w:r>
      <w:r w:rsidRPr="00246AE4">
        <w:rPr>
          <w:color w:val="000000"/>
          <w:lang w:eastAsia="fr-FR" w:bidi="fr-FR"/>
        </w:rPr>
        <w:t>tains historiens, n</w:t>
      </w:r>
      <w:r w:rsidRPr="00246AE4">
        <w:rPr>
          <w:color w:val="000000"/>
          <w:lang w:eastAsia="fr-FR" w:bidi="fr-FR"/>
        </w:rPr>
        <w:t>é</w:t>
      </w:r>
      <w:r w:rsidRPr="00246AE4">
        <w:rPr>
          <w:color w:val="000000"/>
          <w:lang w:eastAsia="fr-FR" w:bidi="fr-FR"/>
        </w:rPr>
        <w:t>gligeant les faits que je viens d’exposer, se sont peut-être trop exclusivement attachés) tendait à rejeter sur la rive dro</w:t>
      </w:r>
      <w:r w:rsidRPr="00246AE4">
        <w:rPr>
          <w:color w:val="000000"/>
          <w:lang w:eastAsia="fr-FR" w:bidi="fr-FR"/>
        </w:rPr>
        <w:t>i</w:t>
      </w:r>
      <w:r w:rsidRPr="00246AE4">
        <w:rPr>
          <w:color w:val="000000"/>
          <w:lang w:eastAsia="fr-FR" w:bidi="fr-FR"/>
        </w:rPr>
        <w:t>te du fleuve le nom de France.</w:t>
      </w:r>
    </w:p>
    <w:p w14:paraId="1DF87E50" w14:textId="77777777" w:rsidR="00B9662D" w:rsidRPr="00246AE4" w:rsidRDefault="00B9662D" w:rsidP="00B9662D">
      <w:pPr>
        <w:spacing w:before="120" w:after="120"/>
        <w:jc w:val="both"/>
      </w:pPr>
      <w:r w:rsidRPr="00246AE4">
        <w:rPr>
          <w:color w:val="000000"/>
          <w:lang w:eastAsia="fr-FR" w:bidi="fr-FR"/>
        </w:rPr>
        <w:t>Si l’usage populaire était, comme on a quelquefois paru le croire, un géographe infaillible, il n’eût jamais fait de la Seine le principe d’une division géographique. La Seine n’est guère large, elle ne s’égare nulle part dans de vastes marécages ni ne coule dans des go</w:t>
      </w:r>
      <w:r w:rsidRPr="00246AE4">
        <w:rPr>
          <w:color w:val="000000"/>
          <w:lang w:eastAsia="fr-FR" w:bidi="fr-FR"/>
        </w:rPr>
        <w:t>r</w:t>
      </w:r>
      <w:r w:rsidRPr="00246AE4">
        <w:rPr>
          <w:color w:val="000000"/>
          <w:lang w:eastAsia="fr-FR" w:bidi="fr-FR"/>
        </w:rPr>
        <w:t>ges abruptes ; elle n’est à aucun degré une barrière ; d’autre part, au moins dans la région qui nous occupe, quand on passe d’une de ses rives à l’autre, le pays d’ordinaire ne change pas bien sensiblement d’aspect. Certes, lorsqu’il s’agit de trouver les limites d’un territoire de faible étendue que définissent surtout ces caractères agricoles que les paysans connaissent et expriment bien, les enseignements du la</w:t>
      </w:r>
      <w:r w:rsidRPr="00246AE4">
        <w:rPr>
          <w:color w:val="000000"/>
          <w:lang w:eastAsia="fr-FR" w:bidi="fr-FR"/>
        </w:rPr>
        <w:t>n</w:t>
      </w:r>
      <w:r w:rsidRPr="00246AE4">
        <w:rPr>
          <w:color w:val="000000"/>
          <w:lang w:eastAsia="fr-FR" w:bidi="fr-FR"/>
        </w:rPr>
        <w:t>gage populaire doivent être retenus. Mais quand il faut délimiter une vaste région que la pensée d’un seul homme, surtout d’un homme du peuple, a peine à embrasser dans sa totalité et que caractérise un e</w:t>
      </w:r>
      <w:r w:rsidRPr="00246AE4">
        <w:rPr>
          <w:color w:val="000000"/>
          <w:lang w:eastAsia="fr-FR" w:bidi="fr-FR"/>
        </w:rPr>
        <w:t>n</w:t>
      </w:r>
      <w:r w:rsidRPr="00246AE4">
        <w:rPr>
          <w:color w:val="000000"/>
          <w:lang w:eastAsia="fr-FR" w:bidi="fr-FR"/>
        </w:rPr>
        <w:t>semble complexe de conditions géographiques, il convient de se m</w:t>
      </w:r>
      <w:r w:rsidRPr="00246AE4">
        <w:rPr>
          <w:color w:val="000000"/>
          <w:lang w:eastAsia="fr-FR" w:bidi="fr-FR"/>
        </w:rPr>
        <w:t>é</w:t>
      </w:r>
      <w:r w:rsidRPr="00246AE4">
        <w:rPr>
          <w:color w:val="000000"/>
          <w:lang w:eastAsia="fr-FR" w:bidi="fr-FR"/>
        </w:rPr>
        <w:t>fier des données de la géographie populaire ; aux limites qu’elle cho</w:t>
      </w:r>
      <w:r w:rsidRPr="00246AE4">
        <w:rPr>
          <w:color w:val="000000"/>
          <w:lang w:eastAsia="fr-FR" w:bidi="fr-FR"/>
        </w:rPr>
        <w:t>i</w:t>
      </w:r>
      <w:r w:rsidRPr="00246AE4">
        <w:rPr>
          <w:color w:val="000000"/>
          <w:lang w:eastAsia="fr-FR" w:bidi="fr-FR"/>
        </w:rPr>
        <w:t>sit, sans doute pour leur apparente netteté, la science, souvent, ne sa</w:t>
      </w:r>
      <w:r w:rsidRPr="00246AE4">
        <w:rPr>
          <w:color w:val="000000"/>
          <w:lang w:eastAsia="fr-FR" w:bidi="fr-FR"/>
        </w:rPr>
        <w:t>u</w:t>
      </w:r>
      <w:r w:rsidRPr="00246AE4">
        <w:rPr>
          <w:color w:val="000000"/>
          <w:lang w:eastAsia="fr-FR" w:bidi="fr-FR"/>
        </w:rPr>
        <w:t xml:space="preserve">rait reconnaître de valeur proprement géographique. Dès le Haut Moyen </w:t>
      </w:r>
      <w:r>
        <w:rPr>
          <w:color w:val="000000"/>
          <w:lang w:eastAsia="fr-FR" w:bidi="fr-FR"/>
        </w:rPr>
        <w:t>Â</w:t>
      </w:r>
      <w:r w:rsidRPr="00246AE4">
        <w:rPr>
          <w:color w:val="000000"/>
          <w:lang w:eastAsia="fr-FR" w:bidi="fr-FR"/>
        </w:rPr>
        <w:t>ge, on constate, dans l’usage commun, une tendance à attr</w:t>
      </w:r>
      <w:r w:rsidRPr="00246AE4">
        <w:rPr>
          <w:color w:val="000000"/>
          <w:lang w:eastAsia="fr-FR" w:bidi="fr-FR"/>
        </w:rPr>
        <w:t>i</w:t>
      </w:r>
      <w:r w:rsidRPr="00246AE4">
        <w:rPr>
          <w:color w:val="000000"/>
          <w:lang w:eastAsia="fr-FR" w:bidi="fr-FR"/>
        </w:rPr>
        <w:t>buer un nom particulier à la région entre Seine et Loire, « du Mont-Saint-Michel à Château-Landon », qui pourtant, entre toutes, est d</w:t>
      </w:r>
      <w:r w:rsidRPr="00246AE4">
        <w:rPr>
          <w:color w:val="000000"/>
          <w:lang w:eastAsia="fr-FR" w:bidi="fr-FR"/>
        </w:rPr>
        <w:t>é</w:t>
      </w:r>
      <w:r w:rsidRPr="00246AE4">
        <w:rPr>
          <w:color w:val="000000"/>
          <w:lang w:eastAsia="fr-FR" w:bidi="fr-FR"/>
        </w:rPr>
        <w:t xml:space="preserve">pourvue d’unité. Les écrivains, ou les notaires de chancellerie depuis le </w:t>
      </w:r>
      <w:r w:rsidRPr="00083E92">
        <w:rPr>
          <w:smallCaps/>
          <w:color w:val="000000"/>
          <w:lang w:eastAsia="fr-FR" w:bidi="fr-FR"/>
        </w:rPr>
        <w:t>ix</w:t>
      </w:r>
      <w:r w:rsidRPr="00246AE4">
        <w:rPr>
          <w:color w:val="000000"/>
          <w:vertAlign w:val="superscript"/>
          <w:lang w:eastAsia="fr-FR" w:bidi="fr-FR"/>
        </w:rPr>
        <w:t>e</w:t>
      </w:r>
      <w:r w:rsidRPr="00246AE4">
        <w:rPr>
          <w:color w:val="000000"/>
          <w:lang w:eastAsia="fr-FR" w:bidi="fr-FR"/>
        </w:rPr>
        <w:t xml:space="preserve"> siècle, emploient pour désigner cette région soit le vieux mot de Neustrie, détourné de son sens premier qui était plus large</w:t>
      </w:r>
      <w:r>
        <w:rPr>
          <w:color w:val="000000"/>
          <w:lang w:eastAsia="fr-FR" w:bidi="fr-FR"/>
        </w:rPr>
        <w:t> </w:t>
      </w:r>
      <w:r>
        <w:rPr>
          <w:rStyle w:val="Appelnotedebasdep"/>
        </w:rPr>
        <w:footnoteReference w:id="357"/>
      </w:r>
      <w:r w:rsidRPr="00246AE4">
        <w:rPr>
          <w:color w:val="000000"/>
          <w:lang w:eastAsia="fr-FR" w:bidi="fr-FR"/>
        </w:rPr>
        <w:t>, soit le mo</w:t>
      </w:r>
      <w:r>
        <w:rPr>
          <w:color w:val="000000"/>
          <w:lang w:eastAsia="fr-FR" w:bidi="fr-FR"/>
        </w:rPr>
        <w:t>t forgé tout exprès de « Trans</w:t>
      </w:r>
      <w:r w:rsidRPr="00246AE4">
        <w:rPr>
          <w:color w:val="000000"/>
          <w:lang w:eastAsia="fr-FR" w:bidi="fr-FR"/>
        </w:rPr>
        <w:t xml:space="preserve">séquanie » : « Pays d’Outre-Seine ». Le nom populaire fut peut-être dès cette époque celui qui devait se </w:t>
      </w:r>
      <w:r w:rsidRPr="00246AE4">
        <w:rPr>
          <w:color w:val="000000"/>
          <w:lang w:eastAsia="fr-FR" w:bidi="fr-FR"/>
        </w:rPr>
        <w:lastRenderedPageBreak/>
        <w:t>faire jour dans la littérature épique des siècles suivants : ce nom my</w:t>
      </w:r>
      <w:r w:rsidRPr="00246AE4">
        <w:rPr>
          <w:color w:val="000000"/>
          <w:lang w:eastAsia="fr-FR" w:bidi="fr-FR"/>
        </w:rPr>
        <w:t>s</w:t>
      </w:r>
      <w:r w:rsidRPr="00246AE4">
        <w:rPr>
          <w:color w:val="000000"/>
          <w:lang w:eastAsia="fr-FR" w:bidi="fr-FR"/>
        </w:rPr>
        <w:t xml:space="preserve">térieux de Hérupe dont l’étymologie et l’origine nous échappent si complètement. Vers la fin du Moyen </w:t>
      </w:r>
      <w:r>
        <w:rPr>
          <w:color w:val="000000"/>
          <w:lang w:eastAsia="fr-FR" w:bidi="fr-FR"/>
        </w:rPr>
        <w:t>Â</w:t>
      </w:r>
      <w:r w:rsidRPr="00246AE4">
        <w:rPr>
          <w:color w:val="000000"/>
          <w:lang w:eastAsia="fr-FR" w:bidi="fr-FR"/>
        </w:rPr>
        <w:t>ge, le mot de Hérupe disparut, mais il survécut sou</w:t>
      </w:r>
      <w:r>
        <w:rPr>
          <w:color w:val="000000"/>
          <w:lang w:eastAsia="fr-FR" w:bidi="fr-FR"/>
        </w:rPr>
        <w:t>s la forme adjectivale de Héru</w:t>
      </w:r>
      <w:r w:rsidRPr="00246AE4">
        <w:rPr>
          <w:color w:val="000000"/>
          <w:lang w:eastAsia="fr-FR" w:bidi="fr-FR"/>
        </w:rPr>
        <w:t>pois, ou Hurepoix</w:t>
      </w:r>
      <w:r>
        <w:rPr>
          <w:color w:val="000000"/>
          <w:lang w:eastAsia="fr-FR" w:bidi="fr-FR"/>
        </w:rPr>
        <w:t> </w:t>
      </w:r>
      <w:r>
        <w:rPr>
          <w:rStyle w:val="Appelnotedebasdep"/>
        </w:rPr>
        <w:footnoteReference w:id="358"/>
      </w:r>
      <w:r w:rsidRPr="00246AE4">
        <w:rPr>
          <w:color w:val="000000"/>
          <w:lang w:eastAsia="fr-FR" w:bidi="fr-FR"/>
        </w:rPr>
        <w:t>.</w:t>
      </w:r>
    </w:p>
    <w:p w14:paraId="611294E2" w14:textId="77777777" w:rsidR="00B9662D" w:rsidRPr="00246AE4" w:rsidRDefault="00B9662D" w:rsidP="00B9662D">
      <w:pPr>
        <w:spacing w:before="120" w:after="120"/>
        <w:jc w:val="both"/>
      </w:pPr>
      <w:r w:rsidRPr="00246AE4">
        <w:rPr>
          <w:color w:val="000000"/>
          <w:lang w:eastAsia="fr-FR" w:bidi="fr-FR"/>
        </w:rPr>
        <w:t>Le Hurepoix avait pour limite septentrionale la Seine ; il en e</w:t>
      </w:r>
      <w:r w:rsidRPr="00246AE4">
        <w:rPr>
          <w:color w:val="000000"/>
          <w:lang w:eastAsia="fr-FR" w:bidi="fr-FR"/>
        </w:rPr>
        <w:t>m</w:t>
      </w:r>
      <w:r w:rsidRPr="00246AE4">
        <w:rPr>
          <w:color w:val="000000"/>
          <w:lang w:eastAsia="fr-FR" w:bidi="fr-FR"/>
        </w:rPr>
        <w:t>brassait toute la rive gauche. La langue du droit, la langue des doc</w:t>
      </w:r>
      <w:r w:rsidRPr="00246AE4">
        <w:rPr>
          <w:color w:val="000000"/>
          <w:lang w:eastAsia="fr-FR" w:bidi="fr-FR"/>
        </w:rPr>
        <w:t>u</w:t>
      </w:r>
      <w:r w:rsidRPr="00246AE4">
        <w:rPr>
          <w:color w:val="000000"/>
          <w:lang w:eastAsia="fr-FR" w:bidi="fr-FR"/>
        </w:rPr>
        <w:t>ments administratifs ont toujours ignoré le Hurepoix, qui n’a jamais appartenu qu’au lexique de la géographie populaire ; elles continu</w:t>
      </w:r>
      <w:r w:rsidRPr="00246AE4">
        <w:rPr>
          <w:color w:val="000000"/>
          <w:lang w:eastAsia="fr-FR" w:bidi="fr-FR"/>
        </w:rPr>
        <w:t>è</w:t>
      </w:r>
      <w:r w:rsidRPr="00246AE4">
        <w:rPr>
          <w:color w:val="000000"/>
          <w:lang w:eastAsia="fr-FR" w:bidi="fr-FR"/>
        </w:rPr>
        <w:t>rent longtemps, nous l’avons vu, à suivre l’usage ancien qui était d’étendre le nom de France aux deux rives du fleuve. Mais le langage commun cessa assez vite, semble-t-il, d’appliquer ce nom à la rive gauche et le réserva à la rive droite.</w:t>
      </w:r>
    </w:p>
    <w:p w14:paraId="20E6896E" w14:textId="77777777" w:rsidR="00B9662D" w:rsidRPr="00246AE4" w:rsidRDefault="00B9662D" w:rsidP="00B9662D">
      <w:pPr>
        <w:spacing w:before="120" w:after="120"/>
        <w:jc w:val="both"/>
      </w:pPr>
      <w:r w:rsidRPr="00246AE4">
        <w:rPr>
          <w:color w:val="000000"/>
          <w:lang w:eastAsia="fr-FR" w:bidi="fr-FR"/>
        </w:rPr>
        <w:t>Sur cette rive, immédiatement au Nord de Paris, s’élevaient l’abbaye et le bourg abbatial de Saint-Denis. Abbaye et bourg ont été, dès une époque très ancienne, connus sous le nom de Saint-Denis en France, ou Saint-Denis de France. L’expression de Saint-Denis en France, « Sanctus</w:t>
      </w:r>
      <w:r>
        <w:t xml:space="preserve"> [</w:t>
      </w:r>
      <w:r w:rsidRPr="00246AE4">
        <w:rPr>
          <w:color w:val="000000"/>
          <w:lang w:eastAsia="fr-FR" w:bidi="fr-FR"/>
        </w:rPr>
        <w:t>697</w:t>
      </w:r>
      <w:r>
        <w:rPr>
          <w:color w:val="000000"/>
          <w:lang w:eastAsia="fr-FR" w:bidi="fr-FR"/>
        </w:rPr>
        <w:t xml:space="preserve">] </w:t>
      </w:r>
      <w:r w:rsidRPr="00246AE4">
        <w:rPr>
          <w:color w:val="000000"/>
          <w:lang w:eastAsia="fr-FR" w:bidi="fr-FR"/>
        </w:rPr>
        <w:t>Dionysius in Francia », apparaît, il est vrai, relativement tard dans les actes officiels. Le premier texte de cette so</w:t>
      </w:r>
      <w:r w:rsidRPr="00246AE4">
        <w:rPr>
          <w:color w:val="000000"/>
          <w:lang w:eastAsia="fr-FR" w:bidi="fr-FR"/>
        </w:rPr>
        <w:t>r</w:t>
      </w:r>
      <w:r w:rsidRPr="00246AE4">
        <w:rPr>
          <w:color w:val="000000"/>
          <w:lang w:eastAsia="fr-FR" w:bidi="fr-FR"/>
        </w:rPr>
        <w:t>te où je l’aie relevée est en effet un acte de Thibaut</w:t>
      </w:r>
      <w:r>
        <w:rPr>
          <w:color w:val="000000"/>
          <w:lang w:eastAsia="fr-FR" w:bidi="fr-FR"/>
        </w:rPr>
        <w:t> </w:t>
      </w:r>
      <w:r w:rsidRPr="00246AE4">
        <w:rPr>
          <w:color w:val="000000"/>
          <w:lang w:eastAsia="fr-FR" w:bidi="fr-FR"/>
        </w:rPr>
        <w:t>IV, comte de Champagne, daté du mois de mai 1226</w:t>
      </w:r>
      <w:r>
        <w:rPr>
          <w:color w:val="000000"/>
          <w:lang w:eastAsia="fr-FR" w:bidi="fr-FR"/>
        </w:rPr>
        <w:t> </w:t>
      </w:r>
      <w:r>
        <w:rPr>
          <w:rStyle w:val="Appelnotedebasdep"/>
        </w:rPr>
        <w:footnoteReference w:id="359"/>
      </w:r>
      <w:r w:rsidRPr="00246AE4">
        <w:rPr>
          <w:color w:val="000000"/>
          <w:lang w:eastAsia="fr-FR" w:bidi="fr-FR"/>
        </w:rPr>
        <w:t>. Elle ne fut adoptée par la chancellerie pontificale que d</w:t>
      </w:r>
      <w:r w:rsidRPr="00246AE4">
        <w:rPr>
          <w:color w:val="000000"/>
          <w:lang w:eastAsia="fr-FR" w:bidi="fr-FR"/>
        </w:rPr>
        <w:t>e</w:t>
      </w:r>
      <w:r w:rsidRPr="00246AE4">
        <w:rPr>
          <w:color w:val="000000"/>
          <w:lang w:eastAsia="fr-FR" w:bidi="fr-FR"/>
        </w:rPr>
        <w:t>puis Grégoire</w:t>
      </w:r>
      <w:r>
        <w:rPr>
          <w:color w:val="000000"/>
          <w:lang w:eastAsia="fr-FR" w:bidi="fr-FR"/>
        </w:rPr>
        <w:t> </w:t>
      </w:r>
      <w:r w:rsidRPr="00246AE4">
        <w:rPr>
          <w:color w:val="000000"/>
          <w:lang w:eastAsia="fr-FR" w:bidi="fr-FR"/>
        </w:rPr>
        <w:t>IX</w:t>
      </w:r>
      <w:r>
        <w:rPr>
          <w:color w:val="000000"/>
          <w:lang w:eastAsia="fr-FR" w:bidi="fr-FR"/>
        </w:rPr>
        <w:t> — </w:t>
      </w:r>
      <w:r w:rsidRPr="00246AE4">
        <w:rPr>
          <w:color w:val="000000"/>
          <w:lang w:eastAsia="fr-FR" w:bidi="fr-FR"/>
        </w:rPr>
        <w:t>pour la pre</w:t>
      </w:r>
      <w:r>
        <w:rPr>
          <w:color w:val="000000"/>
          <w:lang w:eastAsia="fr-FR" w:bidi="fr-FR"/>
        </w:rPr>
        <w:t>mière fois dans une bulle du 31 </w:t>
      </w:r>
      <w:r w:rsidRPr="00246AE4">
        <w:rPr>
          <w:color w:val="000000"/>
          <w:lang w:eastAsia="fr-FR" w:bidi="fr-FR"/>
        </w:rPr>
        <w:t>décembre 1227</w:t>
      </w:r>
      <w:r>
        <w:rPr>
          <w:color w:val="000000"/>
          <w:lang w:eastAsia="fr-FR" w:bidi="fr-FR"/>
        </w:rPr>
        <w:t> </w:t>
      </w:r>
      <w:r>
        <w:rPr>
          <w:rStyle w:val="Appelnotedebasdep"/>
        </w:rPr>
        <w:footnoteReference w:id="360"/>
      </w:r>
      <w:r>
        <w:rPr>
          <w:color w:val="000000"/>
          <w:lang w:eastAsia="fr-FR" w:bidi="fr-FR"/>
        </w:rPr>
        <w:t> — </w:t>
      </w:r>
      <w:r w:rsidRPr="00246AE4">
        <w:rPr>
          <w:color w:val="000000"/>
          <w:lang w:eastAsia="fr-FR" w:bidi="fr-FR"/>
        </w:rPr>
        <w:t>par la chancellerie des moines eux-mêmes que depuis l’abbatiat de Guillaume de Masso</w:t>
      </w:r>
      <w:r w:rsidRPr="00246AE4">
        <w:rPr>
          <w:color w:val="000000"/>
          <w:lang w:eastAsia="fr-FR" w:bidi="fr-FR"/>
        </w:rPr>
        <w:t>u</w:t>
      </w:r>
      <w:r w:rsidRPr="00246AE4">
        <w:rPr>
          <w:color w:val="000000"/>
          <w:lang w:eastAsia="fr-FR" w:bidi="fr-FR"/>
        </w:rPr>
        <w:t>ris,</w:t>
      </w:r>
      <w:r>
        <w:rPr>
          <w:color w:val="000000"/>
          <w:lang w:eastAsia="fr-FR" w:bidi="fr-FR"/>
        </w:rPr>
        <w:t> — </w:t>
      </w:r>
      <w:r w:rsidRPr="00246AE4">
        <w:rPr>
          <w:color w:val="000000"/>
          <w:lang w:eastAsia="fr-FR" w:bidi="fr-FR"/>
        </w:rPr>
        <w:t>pour la première fois dans un acte de novembre 1248</w:t>
      </w:r>
      <w:r>
        <w:rPr>
          <w:color w:val="000000"/>
          <w:lang w:eastAsia="fr-FR" w:bidi="fr-FR"/>
        </w:rPr>
        <w:t> </w:t>
      </w:r>
      <w:r>
        <w:rPr>
          <w:rStyle w:val="Appelnotedebasdep"/>
        </w:rPr>
        <w:footnoteReference w:id="361"/>
      </w:r>
      <w:r w:rsidRPr="00246AE4">
        <w:rPr>
          <w:color w:val="000000"/>
          <w:lang w:eastAsia="fr-FR" w:bidi="fr-FR"/>
        </w:rPr>
        <w:t xml:space="preserve">. Mais </w:t>
      </w:r>
      <w:r w:rsidRPr="00246AE4">
        <w:rPr>
          <w:color w:val="000000"/>
          <w:lang w:eastAsia="fr-FR" w:bidi="fr-FR"/>
        </w:rPr>
        <w:lastRenderedPageBreak/>
        <w:t>les chancelleries ne consentent en général à s’approprier une expre</w:t>
      </w:r>
      <w:r w:rsidRPr="00246AE4">
        <w:rPr>
          <w:color w:val="000000"/>
          <w:lang w:eastAsia="fr-FR" w:bidi="fr-FR"/>
        </w:rPr>
        <w:t>s</w:t>
      </w:r>
      <w:r w:rsidRPr="00246AE4">
        <w:rPr>
          <w:color w:val="000000"/>
          <w:lang w:eastAsia="fr-FR" w:bidi="fr-FR"/>
        </w:rPr>
        <w:t>sion que longtemps après qu’elle a été créée par l’usage populaire</w:t>
      </w:r>
      <w:r>
        <w:rPr>
          <w:color w:val="000000"/>
          <w:lang w:eastAsia="fr-FR" w:bidi="fr-FR"/>
        </w:rPr>
        <w:t xml:space="preserve">. </w:t>
      </w:r>
      <w:r w:rsidRPr="00246AE4">
        <w:rPr>
          <w:color w:val="000000"/>
          <w:lang w:eastAsia="fr-FR" w:bidi="fr-FR"/>
        </w:rPr>
        <w:t xml:space="preserve">Prenons le poème du </w:t>
      </w:r>
      <w:r w:rsidRPr="006367AF">
        <w:rPr>
          <w:i/>
        </w:rPr>
        <w:t>Voyage de Charlemagne en Orient</w:t>
      </w:r>
      <w:r w:rsidRPr="00246AE4">
        <w:rPr>
          <w:color w:val="000000"/>
          <w:lang w:eastAsia="fr-FR" w:bidi="fr-FR"/>
        </w:rPr>
        <w:t xml:space="preserve">, qui a été composé soit dans la seconde moitié du </w:t>
      </w:r>
      <w:r>
        <w:rPr>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 soit vers le milieu du </w:t>
      </w:r>
      <w:r>
        <w:rPr>
          <w:color w:val="000000"/>
          <w:lang w:eastAsia="fr-FR" w:bidi="fr-FR"/>
        </w:rPr>
        <w:t>XII</w:t>
      </w:r>
      <w:r>
        <w:rPr>
          <w:color w:val="000000"/>
          <w:vertAlign w:val="superscript"/>
          <w:lang w:eastAsia="fr-FR" w:bidi="fr-FR"/>
        </w:rPr>
        <w:t>e</w:t>
      </w:r>
      <w:r>
        <w:rPr>
          <w:color w:val="000000"/>
          <w:lang w:eastAsia="fr-FR" w:bidi="fr-FR"/>
        </w:rPr>
        <w:t> </w:t>
      </w:r>
      <w:r>
        <w:rPr>
          <w:rStyle w:val="Appelnotedebasdep"/>
        </w:rPr>
        <w:footnoteReference w:id="362"/>
      </w:r>
      <w:r w:rsidRPr="00246AE4">
        <w:rPr>
          <w:color w:val="000000"/>
          <w:lang w:eastAsia="fr-FR" w:bidi="fr-FR"/>
        </w:rPr>
        <w:t> ; nous y lisons que l’Empereur, avant de partir pour Jérus</w:t>
      </w:r>
      <w:r w:rsidRPr="00246AE4">
        <w:rPr>
          <w:color w:val="000000"/>
          <w:lang w:eastAsia="fr-FR" w:bidi="fr-FR"/>
        </w:rPr>
        <w:t>a</w:t>
      </w:r>
      <w:r w:rsidRPr="00246AE4">
        <w:rPr>
          <w:color w:val="000000"/>
          <w:lang w:eastAsia="fr-FR" w:bidi="fr-FR"/>
        </w:rPr>
        <w:t>lem, alla prendre la besace du pèlerin à « Saint-Denis-de-France »</w:t>
      </w:r>
      <w:r>
        <w:rPr>
          <w:color w:val="000000"/>
          <w:lang w:eastAsia="fr-FR" w:bidi="fr-FR"/>
        </w:rPr>
        <w:t> </w:t>
      </w:r>
      <w:r>
        <w:rPr>
          <w:rStyle w:val="Appelnotedebasdep"/>
        </w:rPr>
        <w:footnoteReference w:id="363"/>
      </w:r>
      <w:r w:rsidRPr="00246AE4">
        <w:rPr>
          <w:color w:val="000000"/>
          <w:lang w:eastAsia="fr-FR" w:bidi="fr-FR"/>
        </w:rPr>
        <w:t xml:space="preserve"> ; l’auteur du </w:t>
      </w:r>
      <w:r w:rsidRPr="006367AF">
        <w:rPr>
          <w:i/>
        </w:rPr>
        <w:t>Voyage</w:t>
      </w:r>
      <w:r w:rsidRPr="00246AE4">
        <w:t xml:space="preserve"> </w:t>
      </w:r>
      <w:r w:rsidRPr="006367AF">
        <w:rPr>
          <w:i/>
        </w:rPr>
        <w:t>de Charl</w:t>
      </w:r>
      <w:r w:rsidRPr="006367AF">
        <w:rPr>
          <w:i/>
        </w:rPr>
        <w:t>e</w:t>
      </w:r>
      <w:r w:rsidRPr="006367AF">
        <w:rPr>
          <w:i/>
        </w:rPr>
        <w:t>magne</w:t>
      </w:r>
      <w:r w:rsidRPr="00246AE4">
        <w:rPr>
          <w:color w:val="000000"/>
          <w:lang w:eastAsia="fr-FR" w:bidi="fr-FR"/>
        </w:rPr>
        <w:t xml:space="preserve"> vivait dans la région parisienne ; il a peut-être écrit sous l’inspiration même des moines de Saint-Denis ; sans doute est-ce à l’usage local qu’il emprunta l’expression Saint-Denis-de-France. L’adjonction, au nom du saint, du mot de France servait évidemment à distinguer nettement le monastère voisin de Paris des autres églises dédiées, comme lui, à l’évêque-martyr. Mais on ne peut se rendre un compte exact de l’origine de la locution, Saint-Denis-de-France, si l’on n’a présente à l’esprit une particularité, que voici, de la langue des chansons de geste. Saint Denis, on le sait, était le patron de la France, je veux dire cette fois : du royaume de France. Nos vieux po</w:t>
      </w:r>
      <w:r w:rsidRPr="00246AE4">
        <w:rPr>
          <w:color w:val="000000"/>
          <w:lang w:eastAsia="fr-FR" w:bidi="fr-FR"/>
        </w:rPr>
        <w:t>è</w:t>
      </w:r>
      <w:r w:rsidRPr="00246AE4">
        <w:rPr>
          <w:color w:val="000000"/>
          <w:lang w:eastAsia="fr-FR" w:bidi="fr-FR"/>
        </w:rPr>
        <w:t>tes épiques, qui appellent parfois le royaume : « France de Saint-Denis », font invoquer le saint par leurs héros sous le nom de « Saint-Denis-de-France »</w:t>
      </w:r>
      <w:r>
        <w:rPr>
          <w:color w:val="000000"/>
          <w:lang w:eastAsia="fr-FR" w:bidi="fr-FR"/>
        </w:rPr>
        <w:t> </w:t>
      </w:r>
      <w:r>
        <w:rPr>
          <w:rStyle w:val="Appelnotedebasdep"/>
        </w:rPr>
        <w:footnoteReference w:id="364"/>
      </w:r>
      <w:r w:rsidRPr="00246AE4">
        <w:rPr>
          <w:color w:val="000000"/>
          <w:lang w:eastAsia="fr-FR" w:bidi="fr-FR"/>
        </w:rPr>
        <w:t> ; sans doute se conformaient-ils en cela à l’usage commun. Cet usage, vraisemblablement assez répa</w:t>
      </w:r>
      <w:r w:rsidRPr="00246AE4">
        <w:rPr>
          <w:color w:val="000000"/>
          <w:lang w:eastAsia="fr-FR" w:bidi="fr-FR"/>
        </w:rPr>
        <w:t>n</w:t>
      </w:r>
      <w:r w:rsidRPr="00246AE4">
        <w:rPr>
          <w:color w:val="000000"/>
          <w:lang w:eastAsia="fr-FR" w:bidi="fr-FR"/>
        </w:rPr>
        <w:t xml:space="preserve">du, accoutumait les esprits à joindre les deux mots Saint-Denis, et </w:t>
      </w:r>
      <w:r w:rsidRPr="00246AE4">
        <w:rPr>
          <w:color w:val="000000"/>
          <w:lang w:eastAsia="fr-FR" w:bidi="fr-FR"/>
        </w:rPr>
        <w:lastRenderedPageBreak/>
        <w:t>France. L’expression Saint-Denis-de-France s’est appliquée à l’origine au saint lui-même ; le mot de France s’entendait du royaume tout entier. Puis on prit l’habitude de se servir de cette expression</w:t>
      </w:r>
      <w:r>
        <w:rPr>
          <w:color w:val="000000"/>
          <w:lang w:eastAsia="fr-FR" w:bidi="fr-FR"/>
        </w:rPr>
        <w:t> — </w:t>
      </w:r>
      <w:r w:rsidRPr="00246AE4">
        <w:rPr>
          <w:color w:val="000000"/>
          <w:lang w:eastAsia="fr-FR" w:bidi="fr-FR"/>
        </w:rPr>
        <w:t>au début sous</w:t>
      </w:r>
      <w:r>
        <w:t xml:space="preserve"> </w:t>
      </w:r>
      <w:r>
        <w:rPr>
          <w:color w:val="000000"/>
          <w:lang w:eastAsia="fr-FR" w:bidi="fr-FR"/>
        </w:rPr>
        <w:t xml:space="preserve">[698] </w:t>
      </w:r>
      <w:r w:rsidRPr="00246AE4">
        <w:rPr>
          <w:color w:val="000000"/>
          <w:lang w:eastAsia="fr-FR" w:bidi="fr-FR"/>
        </w:rPr>
        <w:t xml:space="preserve">la forme même de Saint-Denis </w:t>
      </w:r>
      <w:r w:rsidRPr="00246AE4">
        <w:t>de</w:t>
      </w:r>
      <w:r w:rsidRPr="00246AE4">
        <w:rPr>
          <w:color w:val="000000"/>
          <w:lang w:eastAsia="fr-FR" w:bidi="fr-FR"/>
        </w:rPr>
        <w:t xml:space="preserve"> France, plus tard sous celle de Saint</w:t>
      </w:r>
      <w:r>
        <w:rPr>
          <w:color w:val="000000"/>
          <w:lang w:eastAsia="fr-FR" w:bidi="fr-FR"/>
        </w:rPr>
        <w:t>-</w:t>
      </w:r>
      <w:r w:rsidRPr="00246AE4">
        <w:rPr>
          <w:color w:val="000000"/>
          <w:lang w:eastAsia="fr-FR" w:bidi="fr-FR"/>
        </w:rPr>
        <w:t xml:space="preserve">Denis </w:t>
      </w:r>
      <w:r w:rsidRPr="006C3FB5">
        <w:rPr>
          <w:i/>
        </w:rPr>
        <w:t>en</w:t>
      </w:r>
      <w:r w:rsidRPr="00246AE4">
        <w:rPr>
          <w:color w:val="000000"/>
          <w:lang w:eastAsia="fr-FR" w:bidi="fr-FR"/>
        </w:rPr>
        <w:t xml:space="preserve"> </w:t>
      </w:r>
      <w:r>
        <w:rPr>
          <w:color w:val="000000"/>
          <w:lang w:eastAsia="fr-FR" w:bidi="fr-FR"/>
        </w:rPr>
        <w:t>France </w:t>
      </w:r>
      <w:r>
        <w:rPr>
          <w:rStyle w:val="Appelnotedebasdep"/>
        </w:rPr>
        <w:footnoteReference w:id="365"/>
      </w:r>
      <w:r>
        <w:rPr>
          <w:color w:val="000000"/>
          <w:lang w:eastAsia="fr-FR" w:bidi="fr-FR"/>
        </w:rPr>
        <w:t> — </w:t>
      </w:r>
      <w:r w:rsidRPr="00246AE4">
        <w:rPr>
          <w:color w:val="000000"/>
          <w:lang w:eastAsia="fr-FR" w:bidi="fr-FR"/>
        </w:rPr>
        <w:t xml:space="preserve">pour désigner la plus </w:t>
      </w:r>
      <w:r w:rsidRPr="00246AE4">
        <w:rPr>
          <w:color w:val="000000"/>
          <w:lang w:eastAsia="fr-FR" w:bidi="fr-FR"/>
        </w:rPr>
        <w:lastRenderedPageBreak/>
        <w:t>illustre des abbayes qui portaient le nom du saint, celle qui marquait le lieu de son tombeau ; on cessa en même temps de comprendre le te</w:t>
      </w:r>
      <w:r w:rsidRPr="00246AE4">
        <w:rPr>
          <w:color w:val="000000"/>
          <w:lang w:eastAsia="fr-FR" w:bidi="fr-FR"/>
        </w:rPr>
        <w:t>r</w:t>
      </w:r>
      <w:r w:rsidRPr="00246AE4">
        <w:rPr>
          <w:color w:val="000000"/>
          <w:lang w:eastAsia="fr-FR" w:bidi="fr-FR"/>
        </w:rPr>
        <w:t xml:space="preserve">me de France dans le même sens qu’autrefois ; la France, dans cette locution, ce fut désormais la France au sens restreint, c’est-à-dire le pays au Nord de la Seine. Le premier emploi de l’expression avait préparé le second. </w:t>
      </w:r>
      <w:r>
        <w:rPr>
          <w:color w:val="000000"/>
          <w:lang w:eastAsia="fr-FR" w:bidi="fr-FR"/>
        </w:rPr>
        <w:t>À</w:t>
      </w:r>
      <w:r w:rsidRPr="00246AE4">
        <w:rPr>
          <w:color w:val="000000"/>
          <w:lang w:eastAsia="fr-FR" w:bidi="fr-FR"/>
        </w:rPr>
        <w:t xml:space="preserve"> son tour le célèbre monastère, connu de tous sous le nom de Saint-Denis en France, contribua à fixer sur la rive droite du fleuve le nom de France.</w:t>
      </w:r>
    </w:p>
    <w:p w14:paraId="473306F2" w14:textId="77777777" w:rsidR="00B9662D" w:rsidRPr="00246AE4" w:rsidRDefault="00B9662D" w:rsidP="00B9662D">
      <w:pPr>
        <w:spacing w:before="120" w:after="120"/>
        <w:jc w:val="both"/>
      </w:pPr>
      <w:r w:rsidRPr="00246AE4">
        <w:rPr>
          <w:color w:val="000000"/>
          <w:lang w:eastAsia="fr-FR" w:bidi="fr-FR"/>
        </w:rPr>
        <w:t xml:space="preserve">Au Nord de Saint-Denis, entre la Marne, la Seine et l’Oise, s’étend un plateau dont le limon qui recouvre son sol a fait une des plus riches terres à blé de la région parisienne. </w:t>
      </w:r>
      <w:r>
        <w:rPr>
          <w:color w:val="000000"/>
          <w:lang w:eastAsia="fr-FR" w:bidi="fr-FR"/>
        </w:rPr>
        <w:t>À</w:t>
      </w:r>
      <w:r w:rsidRPr="00246AE4">
        <w:rPr>
          <w:color w:val="000000"/>
          <w:lang w:eastAsia="fr-FR" w:bidi="fr-FR"/>
        </w:rPr>
        <w:t xml:space="preserve"> l’Est et au Nord une ligne de collines boisées et de forêts, qui va de la Marne à l’Oise, interrompt les grands champs plats où prospèrent les céréales. Circonscrit par des limites très nettes,</w:t>
      </w:r>
      <w:r>
        <w:rPr>
          <w:color w:val="000000"/>
          <w:lang w:eastAsia="fr-FR" w:bidi="fr-FR"/>
        </w:rPr>
        <w:t> — </w:t>
      </w:r>
      <w:r w:rsidRPr="00246AE4">
        <w:rPr>
          <w:color w:val="000000"/>
          <w:lang w:eastAsia="fr-FR" w:bidi="fr-FR"/>
        </w:rPr>
        <w:t>rivières, coteaux, forêts,</w:t>
      </w:r>
      <w:r>
        <w:rPr>
          <w:color w:val="000000"/>
          <w:lang w:eastAsia="fr-FR" w:bidi="fr-FR"/>
        </w:rPr>
        <w:t> — </w:t>
      </w:r>
      <w:r w:rsidRPr="00246AE4">
        <w:rPr>
          <w:color w:val="000000"/>
          <w:lang w:eastAsia="fr-FR" w:bidi="fr-FR"/>
        </w:rPr>
        <w:t>caractérisé par un genre de culture auquel son sol se prête remarquablement bien, ce pl</w:t>
      </w:r>
      <w:r w:rsidRPr="00246AE4">
        <w:rPr>
          <w:color w:val="000000"/>
          <w:lang w:eastAsia="fr-FR" w:bidi="fr-FR"/>
        </w:rPr>
        <w:t>a</w:t>
      </w:r>
      <w:r w:rsidRPr="00246AE4">
        <w:rPr>
          <w:color w:val="000000"/>
          <w:lang w:eastAsia="fr-FR" w:bidi="fr-FR"/>
        </w:rPr>
        <w:t>teau constitue une de ces régions de médiocre étendue dont la con</w:t>
      </w:r>
      <w:r w:rsidRPr="00246AE4">
        <w:rPr>
          <w:color w:val="000000"/>
          <w:lang w:eastAsia="fr-FR" w:bidi="fr-FR"/>
        </w:rPr>
        <w:t>s</w:t>
      </w:r>
      <w:r w:rsidRPr="00246AE4">
        <w:rPr>
          <w:color w:val="000000"/>
          <w:lang w:eastAsia="fr-FR" w:bidi="fr-FR"/>
        </w:rPr>
        <w:t>cience populaire sent fortement l’unité et auxquelles tôt ou tard elle attribue un nom particulier. Ce nom en l’espèce, ce fut celui de Fra</w:t>
      </w:r>
      <w:r w:rsidRPr="00246AE4">
        <w:rPr>
          <w:color w:val="000000"/>
          <w:lang w:eastAsia="fr-FR" w:bidi="fr-FR"/>
        </w:rPr>
        <w:t>n</w:t>
      </w:r>
      <w:r w:rsidRPr="00246AE4">
        <w:rPr>
          <w:color w:val="000000"/>
          <w:lang w:eastAsia="fr-FR" w:bidi="fr-FR"/>
        </w:rPr>
        <w:t xml:space="preserve">ce, dont le domaine finit ainsi par se restreindre à un territoire dont la superficie ne dépasse pas une quarantaine de kilomètres carrés. </w:t>
      </w:r>
      <w:r>
        <w:rPr>
          <w:color w:val="000000"/>
          <w:lang w:eastAsia="fr-FR" w:bidi="fr-FR"/>
        </w:rPr>
        <w:t>À</w:t>
      </w:r>
      <w:r w:rsidRPr="00246AE4">
        <w:rPr>
          <w:color w:val="000000"/>
          <w:lang w:eastAsia="fr-FR" w:bidi="fr-FR"/>
        </w:rPr>
        <w:t xml:space="preserve"> une époque toute voisine de nous, l’usage populaire employait encore le mot de France dans ce sens. Pour ce dernier avatar du nom de France, je n’ai qu’à renvoyer au travail de M. Gallois.</w:t>
      </w:r>
    </w:p>
    <w:p w14:paraId="0B9E3E6B" w14:textId="77777777" w:rsidR="00B9662D" w:rsidRPr="00246AE4" w:rsidRDefault="00B9662D" w:rsidP="00B9662D">
      <w:pPr>
        <w:spacing w:before="120" w:after="120"/>
        <w:jc w:val="both"/>
      </w:pPr>
      <w:r>
        <w:t>[699]</w:t>
      </w:r>
    </w:p>
    <w:p w14:paraId="50CD53CE" w14:textId="77777777" w:rsidR="00B9662D" w:rsidRPr="00246AE4" w:rsidRDefault="00B9662D" w:rsidP="00B9662D">
      <w:pPr>
        <w:spacing w:before="120" w:after="120"/>
        <w:jc w:val="both"/>
      </w:pPr>
      <w:r w:rsidRPr="00246AE4">
        <w:rPr>
          <w:color w:val="000000"/>
          <w:lang w:eastAsia="fr-FR" w:bidi="fr-FR"/>
        </w:rPr>
        <w:t>Limitée sur trois côtés par des cours d’eau</w:t>
      </w:r>
      <w:r>
        <w:rPr>
          <w:color w:val="000000"/>
          <w:lang w:eastAsia="fr-FR" w:bidi="fr-FR"/>
        </w:rPr>
        <w:t> — </w:t>
      </w:r>
      <w:r w:rsidRPr="00246AE4">
        <w:rPr>
          <w:color w:val="000000"/>
          <w:lang w:eastAsia="fr-FR" w:bidi="fr-FR"/>
        </w:rPr>
        <w:t>Seine, Oise et Ma</w:t>
      </w:r>
      <w:r w:rsidRPr="00246AE4">
        <w:rPr>
          <w:color w:val="000000"/>
          <w:lang w:eastAsia="fr-FR" w:bidi="fr-FR"/>
        </w:rPr>
        <w:t>r</w:t>
      </w:r>
      <w:r w:rsidRPr="00246AE4">
        <w:rPr>
          <w:color w:val="000000"/>
          <w:lang w:eastAsia="fr-FR" w:bidi="fr-FR"/>
        </w:rPr>
        <w:t>ne</w:t>
      </w:r>
      <w:r>
        <w:rPr>
          <w:color w:val="000000"/>
          <w:lang w:eastAsia="fr-FR" w:bidi="fr-FR"/>
        </w:rPr>
        <w:t> — </w:t>
      </w:r>
      <w:r w:rsidRPr="00246AE4">
        <w:rPr>
          <w:color w:val="000000"/>
          <w:lang w:eastAsia="fr-FR" w:bidi="fr-FR"/>
        </w:rPr>
        <w:t xml:space="preserve">la « France » faisait figure de presqu’île. Or la langue du Moyen </w:t>
      </w:r>
      <w:r>
        <w:rPr>
          <w:color w:val="000000"/>
          <w:lang w:eastAsia="fr-FR" w:bidi="fr-FR"/>
        </w:rPr>
        <w:t>Â</w:t>
      </w:r>
      <w:r w:rsidRPr="00246AE4">
        <w:rPr>
          <w:color w:val="000000"/>
          <w:lang w:eastAsia="fr-FR" w:bidi="fr-FR"/>
        </w:rPr>
        <w:t>ge distinguait mal les notions d’île et de presqu’île, et là où nous disons : presqu’île, elle disait souvent : île. Le Cotentin, que la mer ne baigne que sur trois côtés, le Comtat Venaissin que limitent à l’Ouest le Rhône, au Sud la Durance, furent par elle traités d’île</w:t>
      </w:r>
      <w:r>
        <w:rPr>
          <w:color w:val="000000"/>
          <w:lang w:eastAsia="fr-FR" w:bidi="fr-FR"/>
        </w:rPr>
        <w:t> </w:t>
      </w:r>
      <w:r>
        <w:rPr>
          <w:rStyle w:val="Appelnotedebasdep"/>
        </w:rPr>
        <w:footnoteReference w:id="366"/>
      </w:r>
      <w:r w:rsidRPr="00246AE4">
        <w:rPr>
          <w:color w:val="000000"/>
          <w:lang w:eastAsia="fr-FR" w:bidi="fr-FR"/>
        </w:rPr>
        <w:t>. Déjà les Gaulois, et les his</w:t>
      </w:r>
      <w:r>
        <w:rPr>
          <w:color w:val="000000"/>
          <w:lang w:eastAsia="fr-FR" w:bidi="fr-FR"/>
        </w:rPr>
        <w:t>toriens grecs ou romains à leur</w:t>
      </w:r>
      <w:r w:rsidRPr="00246AE4">
        <w:rPr>
          <w:color w:val="000000"/>
          <w:lang w:eastAsia="fr-FR" w:bidi="fr-FR"/>
        </w:rPr>
        <w:t xml:space="preserve"> suite, « ap</w:t>
      </w:r>
      <w:r w:rsidRPr="00246AE4">
        <w:rPr>
          <w:color w:val="000000"/>
          <w:lang w:eastAsia="fr-FR" w:bidi="fr-FR"/>
        </w:rPr>
        <w:lastRenderedPageBreak/>
        <w:t>pelaient du nom d’île »</w:t>
      </w:r>
      <w:r>
        <w:rPr>
          <w:color w:val="000000"/>
          <w:lang w:eastAsia="fr-FR" w:bidi="fr-FR"/>
        </w:rPr>
        <w:t> </w:t>
      </w:r>
      <w:r>
        <w:rPr>
          <w:rStyle w:val="Appelnotedebasdep"/>
        </w:rPr>
        <w:footnoteReference w:id="367"/>
      </w:r>
      <w:r w:rsidRPr="00246AE4">
        <w:rPr>
          <w:color w:val="000000"/>
          <w:lang w:eastAsia="fr-FR" w:bidi="fr-FR"/>
        </w:rPr>
        <w:t xml:space="preserve"> la presqu’île que forment à leur confluent le Rhône et l’Isère. Le simple nom de France, je l’ai dit plus haut, n’a jamais cessé d’être en usage dans son acception locale. Mais à côté de lui, on e</w:t>
      </w:r>
      <w:r w:rsidRPr="00246AE4">
        <w:rPr>
          <w:color w:val="000000"/>
          <w:lang w:eastAsia="fr-FR" w:bidi="fr-FR"/>
        </w:rPr>
        <w:t>m</w:t>
      </w:r>
      <w:r w:rsidRPr="00246AE4">
        <w:rPr>
          <w:color w:val="000000"/>
          <w:lang w:eastAsia="fr-FR" w:bidi="fr-FR"/>
        </w:rPr>
        <w:t>ploya bientôt, et plus généralement, celui d’</w:t>
      </w:r>
      <w:r>
        <w:rPr>
          <w:color w:val="000000"/>
          <w:lang w:eastAsia="fr-FR" w:bidi="fr-FR"/>
        </w:rPr>
        <w:t>Île-de-France</w:t>
      </w:r>
      <w:r w:rsidRPr="00246AE4">
        <w:rPr>
          <w:color w:val="000000"/>
          <w:lang w:eastAsia="fr-FR" w:bidi="fr-FR"/>
        </w:rPr>
        <w:t>. Quand est apparu ce mot d’</w:t>
      </w:r>
      <w:r>
        <w:rPr>
          <w:color w:val="000000"/>
          <w:lang w:eastAsia="fr-FR" w:bidi="fr-FR"/>
        </w:rPr>
        <w:t>Île-de-France</w:t>
      </w:r>
      <w:r w:rsidRPr="00246AE4">
        <w:rPr>
          <w:color w:val="000000"/>
          <w:lang w:eastAsia="fr-FR" w:bidi="fr-FR"/>
        </w:rPr>
        <w:t> ? Le premier texte où je l’ai rencontré est un passage du second livre des chroniques de Froissart, écrit en 1387</w:t>
      </w:r>
      <w:r>
        <w:rPr>
          <w:color w:val="000000"/>
          <w:lang w:eastAsia="fr-FR" w:bidi="fr-FR"/>
        </w:rPr>
        <w:t> </w:t>
      </w:r>
      <w:r>
        <w:rPr>
          <w:rStyle w:val="Appelnotedebasdep"/>
        </w:rPr>
        <w:footnoteReference w:id="368"/>
      </w:r>
      <w:r w:rsidRPr="00246AE4">
        <w:rPr>
          <w:color w:val="000000"/>
          <w:lang w:eastAsia="fr-FR" w:bidi="fr-FR"/>
        </w:rPr>
        <w:t>. Très vite il devint d’usage courant ; le prêtre parisien qui réd</w:t>
      </w:r>
      <w:r w:rsidRPr="00246AE4">
        <w:rPr>
          <w:color w:val="000000"/>
          <w:lang w:eastAsia="fr-FR" w:bidi="fr-FR"/>
        </w:rPr>
        <w:t>i</w:t>
      </w:r>
      <w:r w:rsidRPr="00246AE4">
        <w:rPr>
          <w:color w:val="000000"/>
          <w:lang w:eastAsia="fr-FR" w:bidi="fr-FR"/>
        </w:rPr>
        <w:t xml:space="preserve">gea de 1405 à 1449 le curieux journal qui est connu sous le nom de </w:t>
      </w:r>
      <w:r w:rsidRPr="001D1F02">
        <w:rPr>
          <w:i/>
        </w:rPr>
        <w:t>Journal d'un bourgeois de Paris</w:t>
      </w:r>
      <w:r w:rsidRPr="00246AE4">
        <w:rPr>
          <w:color w:val="000000"/>
          <w:lang w:eastAsia="fr-FR" w:bidi="fr-FR"/>
        </w:rPr>
        <w:t>, le chroniqueur belge Enguerrand de Monstrelet, qui écrivait entre 1422 et 1453, l’emploient souvent. Le premier document officiel où on l’ait signalé est une lettre du duc de Bedford, du 7 août 1429</w:t>
      </w:r>
      <w:r>
        <w:rPr>
          <w:color w:val="000000"/>
          <w:lang w:eastAsia="fr-FR" w:bidi="fr-FR"/>
        </w:rPr>
        <w:t> </w:t>
      </w:r>
      <w:r>
        <w:rPr>
          <w:rStyle w:val="Appelnotedebasdep"/>
        </w:rPr>
        <w:footnoteReference w:id="369"/>
      </w:r>
      <w:r w:rsidRPr="00246AE4">
        <w:rPr>
          <w:color w:val="000000"/>
          <w:lang w:eastAsia="fr-FR" w:bidi="fr-FR"/>
        </w:rPr>
        <w:t>.</w:t>
      </w:r>
    </w:p>
    <w:p w14:paraId="7014E3DE" w14:textId="77777777" w:rsidR="00B9662D" w:rsidRPr="00246AE4" w:rsidRDefault="00B9662D" w:rsidP="00B9662D">
      <w:pPr>
        <w:spacing w:before="120" w:after="120"/>
        <w:jc w:val="both"/>
      </w:pPr>
      <w:r w:rsidRPr="00246AE4">
        <w:rPr>
          <w:color w:val="000000"/>
          <w:lang w:eastAsia="fr-FR" w:bidi="fr-FR"/>
        </w:rPr>
        <w:t xml:space="preserve">Dans les derniers siècles du Moyen </w:t>
      </w:r>
      <w:r>
        <w:rPr>
          <w:color w:val="000000"/>
          <w:lang w:eastAsia="fr-FR" w:bidi="fr-FR"/>
        </w:rPr>
        <w:t>Â</w:t>
      </w:r>
      <w:r w:rsidRPr="00246AE4">
        <w:rPr>
          <w:color w:val="000000"/>
          <w:lang w:eastAsia="fr-FR" w:bidi="fr-FR"/>
        </w:rPr>
        <w:t>ge on vit se constituer, au-dessus des anciennes circonscriptions administratives</w:t>
      </w:r>
      <w:r>
        <w:rPr>
          <w:color w:val="000000"/>
          <w:lang w:eastAsia="fr-FR" w:bidi="fr-FR"/>
        </w:rPr>
        <w:t> — </w:t>
      </w:r>
      <w:r w:rsidRPr="00246AE4">
        <w:rPr>
          <w:color w:val="000000"/>
          <w:lang w:eastAsia="fr-FR" w:bidi="fr-FR"/>
        </w:rPr>
        <w:t>bailliages et sénéchaussées</w:t>
      </w:r>
      <w:r>
        <w:rPr>
          <w:color w:val="000000"/>
          <w:lang w:eastAsia="fr-FR" w:bidi="fr-FR"/>
        </w:rPr>
        <w:t> — </w:t>
      </w:r>
      <w:r w:rsidRPr="00246AE4">
        <w:rPr>
          <w:color w:val="000000"/>
          <w:lang w:eastAsia="fr-FR" w:bidi="fr-FR"/>
        </w:rPr>
        <w:t>une circonscription nouvelle, qui devait se maintenir jusqu’à la fin de l’Ancien Régime : le gouvernement. Parmi les pays que groupait sous son autorité le gouverneur auquel était confiée la région parisienne figurait naturellement l’</w:t>
      </w:r>
      <w:r>
        <w:rPr>
          <w:color w:val="000000"/>
          <w:lang w:eastAsia="fr-FR" w:bidi="fr-FR"/>
        </w:rPr>
        <w:t>Île-de-France</w:t>
      </w:r>
      <w:r w:rsidRPr="00246AE4">
        <w:rPr>
          <w:color w:val="000000"/>
          <w:lang w:eastAsia="fr-FR" w:bidi="fr-FR"/>
        </w:rPr>
        <w:t>, c’est-à-dire le petit pays que baignent et que limitent la Marne, la Seine et l’Oise. Les premiers textes concernant ces gouverneurs qui soient venus ju</w:t>
      </w:r>
      <w:r w:rsidRPr="00246AE4">
        <w:rPr>
          <w:color w:val="000000"/>
          <w:lang w:eastAsia="fr-FR" w:bidi="fr-FR"/>
        </w:rPr>
        <w:t>s</w:t>
      </w:r>
      <w:r w:rsidRPr="00246AE4">
        <w:rPr>
          <w:color w:val="000000"/>
          <w:lang w:eastAsia="fr-FR" w:bidi="fr-FR"/>
        </w:rPr>
        <w:t>qu’à nous emploient le mot d’</w:t>
      </w:r>
      <w:r>
        <w:rPr>
          <w:color w:val="000000"/>
          <w:lang w:eastAsia="fr-FR" w:bidi="fr-FR"/>
        </w:rPr>
        <w:t>Île-de-France</w:t>
      </w:r>
      <w:r w:rsidRPr="00246AE4">
        <w:rPr>
          <w:color w:val="000000"/>
          <w:lang w:eastAsia="fr-FR" w:bidi="fr-FR"/>
        </w:rPr>
        <w:t xml:space="preserve"> dans le sens restreint et précis que je viens de dire ; ils citent l’</w:t>
      </w:r>
      <w:r>
        <w:rPr>
          <w:color w:val="000000"/>
          <w:lang w:eastAsia="fr-FR" w:bidi="fr-FR"/>
        </w:rPr>
        <w:t>Île-de-France</w:t>
      </w:r>
      <w:r w:rsidRPr="00246AE4">
        <w:rPr>
          <w:color w:val="000000"/>
          <w:lang w:eastAsia="fr-FR" w:bidi="fr-FR"/>
        </w:rPr>
        <w:t xml:space="preserve"> en énumérant les différentes contrées soumises au gouverneur. Voici par exemple comment, dans un acte du 31 décembre 1433, s’intitulait le célèbre La Hire : « lieutenant pour le roy nostre</w:t>
      </w:r>
      <w:r>
        <w:rPr>
          <w:color w:val="000000"/>
          <w:lang w:eastAsia="fr-FR" w:bidi="fr-FR"/>
        </w:rPr>
        <w:t xml:space="preserve"> sire, et capitaine général deça</w:t>
      </w:r>
      <w:r w:rsidRPr="00246AE4">
        <w:rPr>
          <w:color w:val="000000"/>
          <w:lang w:eastAsia="fr-FR" w:bidi="fr-FR"/>
        </w:rPr>
        <w:t xml:space="preserve"> la rivière de Saine, ès païs de l’Isle-de-France, Picardie, Beauvaisin, Laonnois et Soissonnois »</w:t>
      </w:r>
      <w:r>
        <w:rPr>
          <w:color w:val="000000"/>
          <w:lang w:eastAsia="fr-FR" w:bidi="fr-FR"/>
        </w:rPr>
        <w:t> </w:t>
      </w:r>
      <w:r>
        <w:rPr>
          <w:rStyle w:val="Appelnotedebasdep"/>
        </w:rPr>
        <w:footnoteReference w:id="370"/>
      </w:r>
      <w:r w:rsidRPr="00246AE4">
        <w:rPr>
          <w:color w:val="000000"/>
          <w:lang w:eastAsia="fr-FR" w:bidi="fr-FR"/>
        </w:rPr>
        <w:t xml:space="preserve">. Mais très vite, semble-t-il, on prit </w:t>
      </w:r>
      <w:r w:rsidRPr="00246AE4">
        <w:rPr>
          <w:color w:val="000000"/>
          <w:lang w:eastAsia="fr-FR" w:bidi="fr-FR"/>
        </w:rPr>
        <w:lastRenderedPageBreak/>
        <w:t>l’habitude de désigner l’ensemble du gouvernement par ce nom d’</w:t>
      </w:r>
      <w:r>
        <w:rPr>
          <w:color w:val="000000"/>
          <w:lang w:eastAsia="fr-FR" w:bidi="fr-FR"/>
        </w:rPr>
        <w:t>Île-de-France</w:t>
      </w:r>
      <w:r w:rsidRPr="00246AE4">
        <w:rPr>
          <w:color w:val="000000"/>
          <w:lang w:eastAsia="fr-FR" w:bidi="fr-FR"/>
        </w:rPr>
        <w:t xml:space="preserve"> qui n’appartenait proprement qu’à une partie du territoire soumis aux gouverneurs. Cet empl</w:t>
      </w:r>
      <w:r>
        <w:rPr>
          <w:color w:val="000000"/>
          <w:lang w:eastAsia="fr-FR" w:bidi="fr-FR"/>
        </w:rPr>
        <w:t>oi incorrect du terme d’Île-de-</w:t>
      </w:r>
      <w:r w:rsidRPr="00246AE4">
        <w:rPr>
          <w:color w:val="000000"/>
          <w:lang w:eastAsia="fr-FR" w:bidi="fr-FR"/>
        </w:rPr>
        <w:t>France se remarque d’abord dans des textes sans valeur officielle, puis dans les documents officiels eux-mêmes, et cela dès les dernières a</w:t>
      </w:r>
      <w:r w:rsidRPr="00246AE4">
        <w:rPr>
          <w:color w:val="000000"/>
          <w:lang w:eastAsia="fr-FR" w:bidi="fr-FR"/>
        </w:rPr>
        <w:t>n</w:t>
      </w:r>
      <w:r w:rsidRPr="00246AE4">
        <w:rPr>
          <w:color w:val="000000"/>
          <w:lang w:eastAsia="fr-FR" w:bidi="fr-FR"/>
        </w:rPr>
        <w:t xml:space="preserve">nées du </w:t>
      </w:r>
      <w:r>
        <w:rPr>
          <w:color w:val="000000"/>
          <w:lang w:eastAsia="fr-FR" w:bidi="fr-FR"/>
        </w:rPr>
        <w:t>XV</w:t>
      </w:r>
      <w:r w:rsidRPr="00246AE4">
        <w:rPr>
          <w:color w:val="000000"/>
          <w:vertAlign w:val="superscript"/>
          <w:lang w:eastAsia="fr-FR" w:bidi="fr-FR"/>
        </w:rPr>
        <w:t>e</w:t>
      </w:r>
      <w:r w:rsidRPr="00246AE4">
        <w:rPr>
          <w:color w:val="000000"/>
          <w:lang w:eastAsia="fr-FR" w:bidi="fr-FR"/>
        </w:rPr>
        <w:t xml:space="preserve"> siècle. Depuis 1519, les commissions délivrées aux go</w:t>
      </w:r>
      <w:r w:rsidRPr="00246AE4">
        <w:rPr>
          <w:color w:val="000000"/>
          <w:lang w:eastAsia="fr-FR" w:bidi="fr-FR"/>
        </w:rPr>
        <w:t>u</w:t>
      </w:r>
      <w:r w:rsidRPr="00246AE4">
        <w:rPr>
          <w:color w:val="000000"/>
          <w:lang w:eastAsia="fr-FR" w:bidi="fr-FR"/>
        </w:rPr>
        <w:t>verneurs ne portent plus que ces sim</w:t>
      </w:r>
      <w:r>
        <w:rPr>
          <w:color w:val="000000"/>
          <w:lang w:eastAsia="fr-FR" w:bidi="fr-FR"/>
        </w:rPr>
        <w:t>ples mots : gouverneurs de « l’Î</w:t>
      </w:r>
      <w:r w:rsidRPr="00246AE4">
        <w:rPr>
          <w:color w:val="000000"/>
          <w:lang w:eastAsia="fr-FR" w:bidi="fr-FR"/>
        </w:rPr>
        <w:t>le-de-France ». Ainsi le nom d’</w:t>
      </w:r>
      <w:r>
        <w:rPr>
          <w:color w:val="000000"/>
          <w:lang w:eastAsia="fr-FR" w:bidi="fr-FR"/>
        </w:rPr>
        <w:t>Île-de-France</w:t>
      </w:r>
      <w:r w:rsidRPr="00246AE4">
        <w:rPr>
          <w:color w:val="000000"/>
          <w:lang w:eastAsia="fr-FR" w:bidi="fr-FR"/>
        </w:rPr>
        <w:t xml:space="preserve"> sortit des limites étroites où à l’origine il</w:t>
      </w:r>
      <w:r>
        <w:t xml:space="preserve"> [700] </w:t>
      </w:r>
      <w:r w:rsidRPr="00246AE4">
        <w:rPr>
          <w:color w:val="000000"/>
          <w:lang w:eastAsia="fr-FR" w:bidi="fr-FR"/>
        </w:rPr>
        <w:t xml:space="preserve">avait été enfermé, et s’étendit à une vaste région. </w:t>
      </w:r>
      <w:r>
        <w:rPr>
          <w:color w:val="000000"/>
          <w:lang w:eastAsia="fr-FR" w:bidi="fr-FR"/>
        </w:rPr>
        <w:t>À</w:t>
      </w:r>
      <w:r w:rsidRPr="00246AE4">
        <w:rPr>
          <w:color w:val="000000"/>
          <w:lang w:eastAsia="fr-FR" w:bidi="fr-FR"/>
        </w:rPr>
        <w:t xml:space="preserve"> cette même r</w:t>
      </w:r>
      <w:r w:rsidRPr="00246AE4">
        <w:rPr>
          <w:color w:val="000000"/>
          <w:lang w:eastAsia="fr-FR" w:bidi="fr-FR"/>
        </w:rPr>
        <w:t>é</w:t>
      </w:r>
      <w:r w:rsidRPr="00246AE4">
        <w:rPr>
          <w:color w:val="000000"/>
          <w:lang w:eastAsia="fr-FR" w:bidi="fr-FR"/>
        </w:rPr>
        <w:t>gion, ou à peu près, s’était autrefois appliqué le nom de France. Le souvenir de cet usage ancien survivait-il encore au temps où s’élargit la signification du mot d’</w:t>
      </w:r>
      <w:r>
        <w:rPr>
          <w:color w:val="000000"/>
          <w:lang w:eastAsia="fr-FR" w:bidi="fr-FR"/>
        </w:rPr>
        <w:t>Île-de-France</w:t>
      </w:r>
      <w:r w:rsidRPr="00246AE4">
        <w:rPr>
          <w:color w:val="000000"/>
          <w:lang w:eastAsia="fr-FR" w:bidi="fr-FR"/>
        </w:rPr>
        <w:t> ? fût-il pour que</w:t>
      </w:r>
      <w:r w:rsidRPr="00246AE4">
        <w:rPr>
          <w:color w:val="000000"/>
          <w:lang w:eastAsia="fr-FR" w:bidi="fr-FR"/>
        </w:rPr>
        <w:t>l</w:t>
      </w:r>
      <w:r w:rsidRPr="00246AE4">
        <w:rPr>
          <w:color w:val="000000"/>
          <w:lang w:eastAsia="fr-FR" w:bidi="fr-FR"/>
        </w:rPr>
        <w:t>que chose dans ce changeme</w:t>
      </w:r>
      <w:r>
        <w:rPr>
          <w:color w:val="000000"/>
          <w:lang w:eastAsia="fr-FR" w:bidi="fr-FR"/>
        </w:rPr>
        <w:t>nt de sens ? Nous ne savons. L’Î</w:t>
      </w:r>
      <w:r w:rsidRPr="00246AE4">
        <w:rPr>
          <w:color w:val="000000"/>
          <w:lang w:eastAsia="fr-FR" w:bidi="fr-FR"/>
        </w:rPr>
        <w:t>le-de-France, ainsi agrandie, cessa de mériter le nom d’île, qu’elle conserva pourtant.</w:t>
      </w:r>
    </w:p>
    <w:p w14:paraId="6C76BA46" w14:textId="77777777" w:rsidR="00B9662D" w:rsidRPr="00246AE4" w:rsidRDefault="00B9662D" w:rsidP="00B9662D">
      <w:pPr>
        <w:spacing w:before="120" w:after="120"/>
        <w:jc w:val="both"/>
      </w:pPr>
      <w:r>
        <w:rPr>
          <w:color w:val="000000"/>
          <w:lang w:eastAsia="fr-FR" w:bidi="fr-FR"/>
        </w:rPr>
        <w:t>Les limites du gouvernement d’Î</w:t>
      </w:r>
      <w:r w:rsidRPr="00246AE4">
        <w:rPr>
          <w:color w:val="000000"/>
          <w:lang w:eastAsia="fr-FR" w:bidi="fr-FR"/>
        </w:rPr>
        <w:t>le-de-</w:t>
      </w:r>
      <w:r>
        <w:rPr>
          <w:color w:val="000000"/>
          <w:lang w:eastAsia="fr-FR" w:bidi="fr-FR"/>
        </w:rPr>
        <w:t>France </w:t>
      </w:r>
      <w:r>
        <w:rPr>
          <w:rStyle w:val="Appelnotedebasdep"/>
        </w:rPr>
        <w:footnoteReference w:id="371"/>
      </w:r>
      <w:r w:rsidRPr="00246AE4">
        <w:rPr>
          <w:color w:val="000000"/>
          <w:lang w:eastAsia="fr-FR" w:bidi="fr-FR"/>
        </w:rPr>
        <w:t>, comme celles de tous les gouvernements, ont souvent changé et ont toujours été mal fixées. En 1789, il comprenait treize bailliages principaux : ceux de Chaumont</w:t>
      </w:r>
      <w:r>
        <w:rPr>
          <w:color w:val="000000"/>
          <w:lang w:eastAsia="fr-FR" w:bidi="fr-FR"/>
        </w:rPr>
        <w:t>-</w:t>
      </w:r>
      <w:r w:rsidRPr="00246AE4">
        <w:rPr>
          <w:color w:val="000000"/>
          <w:lang w:eastAsia="fr-FR" w:bidi="fr-FR"/>
        </w:rPr>
        <w:t>en-Vexin, Beauvais, Clermont-en-Beauvaisis, Senlis, Cr</w:t>
      </w:r>
      <w:r w:rsidRPr="00246AE4">
        <w:rPr>
          <w:color w:val="000000"/>
          <w:lang w:eastAsia="fr-FR" w:bidi="fr-FR"/>
        </w:rPr>
        <w:t>é</w:t>
      </w:r>
      <w:r w:rsidRPr="00246AE4">
        <w:rPr>
          <w:color w:val="000000"/>
          <w:lang w:eastAsia="fr-FR" w:bidi="fr-FR"/>
        </w:rPr>
        <w:t xml:space="preserve">py-en-Yalois, Villers-Cotterets, Soissons, Laon, Melun, Nemours, Montfort-l’Amaury, Mantes et Meulan. Au Sud il ne s’étendait que jusqu’à une cinquantaine de kilomètres de Paris. </w:t>
      </w:r>
      <w:r>
        <w:rPr>
          <w:color w:val="000000"/>
          <w:lang w:eastAsia="fr-FR" w:bidi="fr-FR"/>
        </w:rPr>
        <w:t>À</w:t>
      </w:r>
      <w:r w:rsidRPr="00246AE4">
        <w:rPr>
          <w:color w:val="000000"/>
          <w:lang w:eastAsia="fr-FR" w:bidi="fr-FR"/>
        </w:rPr>
        <w:t xml:space="preserve"> l’Est il s’arrêtait à environ trente kilomètres de Paris : Meaux étant du gouvernement de Champagne. Au Nord au contraire, dans les vallées de l’Oise et de l’Aisne, les frontières de l’</w:t>
      </w:r>
      <w:r>
        <w:rPr>
          <w:color w:val="000000"/>
          <w:lang w:eastAsia="fr-FR" w:bidi="fr-FR"/>
        </w:rPr>
        <w:t>Île-de-France</w:t>
      </w:r>
      <w:r w:rsidRPr="00246AE4">
        <w:rPr>
          <w:color w:val="000000"/>
          <w:lang w:eastAsia="fr-FR" w:bidi="fr-FR"/>
        </w:rPr>
        <w:t xml:space="preserve"> se trouvaient éloignées de Paris de plus de cent cinquante kilomètres. Je suis obligé de renvoyer le lecteur à l’excellente carte du gouvernement de l’</w:t>
      </w:r>
      <w:r>
        <w:rPr>
          <w:color w:val="000000"/>
          <w:lang w:eastAsia="fr-FR" w:bidi="fr-FR"/>
        </w:rPr>
        <w:t>Île-de-France</w:t>
      </w:r>
      <w:r w:rsidRPr="00246AE4">
        <w:rPr>
          <w:color w:val="000000"/>
          <w:lang w:eastAsia="fr-FR" w:bidi="fr-FR"/>
        </w:rPr>
        <w:t xml:space="preserve"> en 1789 qu’a dressée M. Longnon</w:t>
      </w:r>
      <w:r>
        <w:rPr>
          <w:color w:val="000000"/>
          <w:lang w:eastAsia="fr-FR" w:bidi="fr-FR"/>
        </w:rPr>
        <w:t> </w:t>
      </w:r>
      <w:r>
        <w:rPr>
          <w:rStyle w:val="Appelnotedebasdep"/>
        </w:rPr>
        <w:footnoteReference w:id="372"/>
      </w:r>
      <w:r w:rsidRPr="00246AE4">
        <w:rPr>
          <w:color w:val="000000"/>
          <w:lang w:eastAsia="fr-FR" w:bidi="fr-FR"/>
        </w:rPr>
        <w:t> ; elle montre clairement que les lim</w:t>
      </w:r>
      <w:r w:rsidRPr="00246AE4">
        <w:rPr>
          <w:color w:val="000000"/>
          <w:lang w:eastAsia="fr-FR" w:bidi="fr-FR"/>
        </w:rPr>
        <w:t>i</w:t>
      </w:r>
      <w:r w:rsidRPr="00246AE4">
        <w:rPr>
          <w:color w:val="000000"/>
          <w:lang w:eastAsia="fr-FR" w:bidi="fr-FR"/>
        </w:rPr>
        <w:t>tes du gouvernement lui avaient été imposées non par des nécessités géographiques, mais par les hasards de l’histoire. Quels furent ces h</w:t>
      </w:r>
      <w:r w:rsidRPr="00246AE4">
        <w:rPr>
          <w:color w:val="000000"/>
          <w:lang w:eastAsia="fr-FR" w:bidi="fr-FR"/>
        </w:rPr>
        <w:t>a</w:t>
      </w:r>
      <w:r w:rsidRPr="00246AE4">
        <w:rPr>
          <w:color w:val="000000"/>
          <w:lang w:eastAsia="fr-FR" w:bidi="fr-FR"/>
        </w:rPr>
        <w:t>sards ? beaucoup d’entre eux nous échappent ; du moins connaissons-nous assez bien l’histoire de la frontière septentrionale de l’</w:t>
      </w:r>
      <w:r>
        <w:rPr>
          <w:color w:val="000000"/>
          <w:lang w:eastAsia="fr-FR" w:bidi="fr-FR"/>
        </w:rPr>
        <w:t>Île-de-France</w:t>
      </w:r>
      <w:r w:rsidRPr="00246AE4">
        <w:rPr>
          <w:color w:val="000000"/>
          <w:lang w:eastAsia="fr-FR" w:bidi="fr-FR"/>
        </w:rPr>
        <w:t>.</w:t>
      </w:r>
    </w:p>
    <w:p w14:paraId="21D50E96" w14:textId="77777777" w:rsidR="00B9662D" w:rsidRPr="00246AE4" w:rsidRDefault="00B9662D" w:rsidP="00B9662D">
      <w:pPr>
        <w:spacing w:before="120" w:after="120"/>
        <w:jc w:val="both"/>
      </w:pPr>
      <w:r w:rsidRPr="00246AE4">
        <w:rPr>
          <w:color w:val="000000"/>
          <w:lang w:eastAsia="fr-FR" w:bidi="fr-FR"/>
        </w:rPr>
        <w:lastRenderedPageBreak/>
        <w:t xml:space="preserve">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nous l’avons vu, Beauvais, Senlis, Laon faisaient partie du gouvernement de l’</w:t>
      </w:r>
      <w:r>
        <w:rPr>
          <w:color w:val="000000"/>
          <w:lang w:eastAsia="fr-FR" w:bidi="fr-FR"/>
        </w:rPr>
        <w:t>Île-de-France</w:t>
      </w:r>
      <w:r w:rsidRPr="00246AE4">
        <w:rPr>
          <w:color w:val="000000"/>
          <w:lang w:eastAsia="fr-FR" w:bidi="fr-FR"/>
        </w:rPr>
        <w:t xml:space="preserve">. Or ces villes, et les pays qui les entourent étaient considérés, au Moyen </w:t>
      </w:r>
      <w:r>
        <w:rPr>
          <w:color w:val="000000"/>
          <w:lang w:eastAsia="fr-FR" w:bidi="fr-FR"/>
        </w:rPr>
        <w:t>Â</w:t>
      </w:r>
      <w:r w:rsidRPr="00246AE4">
        <w:rPr>
          <w:color w:val="000000"/>
          <w:lang w:eastAsia="fr-FR" w:bidi="fr-FR"/>
        </w:rPr>
        <w:t>ge, comme compris dans la Picardie, vaste région dont l’unité, que marquaient les resse</w:t>
      </w:r>
      <w:r w:rsidRPr="00246AE4">
        <w:rPr>
          <w:color w:val="000000"/>
          <w:lang w:eastAsia="fr-FR" w:bidi="fr-FR"/>
        </w:rPr>
        <w:t>m</w:t>
      </w:r>
      <w:r w:rsidRPr="00246AE4">
        <w:rPr>
          <w:color w:val="000000"/>
          <w:lang w:eastAsia="fr-FR" w:bidi="fr-FR"/>
        </w:rPr>
        <w:t>blances entre eux des dialectes parlés dans les divers pays picards, paraît avoir toujours été vivement sentie par ses habitants</w:t>
      </w:r>
      <w:r>
        <w:rPr>
          <w:color w:val="000000"/>
          <w:lang w:eastAsia="fr-FR" w:bidi="fr-FR"/>
        </w:rPr>
        <w:t> </w:t>
      </w:r>
      <w:r>
        <w:rPr>
          <w:rStyle w:val="Appelnotedebasdep"/>
        </w:rPr>
        <w:footnoteReference w:id="373"/>
      </w:r>
      <w:r w:rsidRPr="00246AE4">
        <w:rPr>
          <w:color w:val="000000"/>
          <w:lang w:eastAsia="fr-FR" w:bidi="fr-FR"/>
        </w:rPr>
        <w:t>. Même au temps où le gouvernement de l’</w:t>
      </w:r>
      <w:r>
        <w:rPr>
          <w:color w:val="000000"/>
          <w:lang w:eastAsia="fr-FR" w:bidi="fr-FR"/>
        </w:rPr>
        <w:t>Île-de-France</w:t>
      </w:r>
      <w:r w:rsidRPr="00246AE4">
        <w:rPr>
          <w:color w:val="000000"/>
          <w:lang w:eastAsia="fr-FR" w:bidi="fr-FR"/>
        </w:rPr>
        <w:t xml:space="preserve"> avait déjà à peu près les mêmes frontières qu’en 1789, le souvenir des anciennes limites de la Picardie n’était pas perdu. C’est à sa bonne ville de « Senlis en Pica</w:t>
      </w:r>
      <w:r w:rsidRPr="00246AE4">
        <w:rPr>
          <w:color w:val="000000"/>
          <w:lang w:eastAsia="fr-FR" w:bidi="fr-FR"/>
        </w:rPr>
        <w:t>r</w:t>
      </w:r>
      <w:r w:rsidRPr="00246AE4">
        <w:rPr>
          <w:color w:val="000000"/>
          <w:lang w:eastAsia="fr-FR" w:bidi="fr-FR"/>
        </w:rPr>
        <w:t>die »</w:t>
      </w:r>
      <w:r>
        <w:rPr>
          <w:color w:val="000000"/>
          <w:lang w:eastAsia="fr-FR" w:bidi="fr-FR"/>
        </w:rPr>
        <w:t> </w:t>
      </w:r>
      <w:r>
        <w:rPr>
          <w:rStyle w:val="Appelnotedebasdep"/>
        </w:rPr>
        <w:footnoteReference w:id="374"/>
      </w:r>
      <w:r w:rsidRPr="00246AE4">
        <w:rPr>
          <w:color w:val="000000"/>
          <w:lang w:eastAsia="fr-FR" w:bidi="fr-FR"/>
        </w:rPr>
        <w:t xml:space="preserve"> qu’en 1593 Henri</w:t>
      </w:r>
      <w:r>
        <w:rPr>
          <w:color w:val="000000"/>
          <w:lang w:eastAsia="fr-FR" w:bidi="fr-FR"/>
        </w:rPr>
        <w:t> </w:t>
      </w:r>
      <w:r w:rsidRPr="00246AE4">
        <w:rPr>
          <w:color w:val="000000"/>
          <w:lang w:eastAsia="fr-FR" w:bidi="fr-FR"/>
        </w:rPr>
        <w:t>IV annonçait son abjuration. Adrien de V</w:t>
      </w:r>
      <w:r w:rsidRPr="00246AE4">
        <w:rPr>
          <w:color w:val="000000"/>
          <w:lang w:eastAsia="fr-FR" w:bidi="fr-FR"/>
        </w:rPr>
        <w:t>a</w:t>
      </w:r>
      <w:r w:rsidRPr="00246AE4">
        <w:rPr>
          <w:color w:val="000000"/>
          <w:lang w:eastAsia="fr-FR" w:bidi="fr-FR"/>
        </w:rPr>
        <w:t xml:space="preserve">lois, dans son grand traité de géographie, la </w:t>
      </w:r>
      <w:r w:rsidRPr="00A10A15">
        <w:rPr>
          <w:i/>
        </w:rPr>
        <w:t>Notitia Galliarum </w:t>
      </w:r>
      <w:r>
        <w:rPr>
          <w:rStyle w:val="Appelnotedebasdep"/>
        </w:rPr>
        <w:footnoteReference w:id="375"/>
      </w:r>
      <w:r w:rsidRPr="00246AE4">
        <w:rPr>
          <w:color w:val="000000"/>
          <w:lang w:eastAsia="fr-FR" w:bidi="fr-FR"/>
        </w:rPr>
        <w:t>, qui parut en 1675, range en Picardie, à côté de l’Amiénois, qui était en effet du gouvernement de Picardie</w:t>
      </w:r>
      <w:r>
        <w:rPr>
          <w:color w:val="000000"/>
          <w:lang w:eastAsia="fr-FR" w:bidi="fr-FR"/>
        </w:rPr>
        <w:t> </w:t>
      </w:r>
      <w:r>
        <w:rPr>
          <w:rStyle w:val="Appelnotedebasdep"/>
        </w:rPr>
        <w:footnoteReference w:id="376"/>
      </w:r>
      <w:r w:rsidRPr="00246AE4">
        <w:rPr>
          <w:color w:val="000000"/>
          <w:lang w:eastAsia="fr-FR" w:bidi="fr-FR"/>
        </w:rPr>
        <w:t>, cinq pays : le Noyonnais, le Soissonnais, le Vermandois, le Senlisien, le Beauvaisis, qu’il savait faire partie du gouvernement de</w:t>
      </w:r>
      <w:r>
        <w:t xml:space="preserve"> [701] </w:t>
      </w:r>
      <w:r>
        <w:rPr>
          <w:color w:val="000000"/>
          <w:lang w:eastAsia="fr-FR" w:bidi="fr-FR"/>
        </w:rPr>
        <w:t>l’Î</w:t>
      </w:r>
      <w:r w:rsidRPr="00246AE4">
        <w:rPr>
          <w:color w:val="000000"/>
          <w:lang w:eastAsia="fr-FR" w:bidi="fr-FR"/>
        </w:rPr>
        <w:t>le-de-France. Les pays p</w:t>
      </w:r>
      <w:r w:rsidRPr="00246AE4">
        <w:rPr>
          <w:color w:val="000000"/>
          <w:lang w:eastAsia="fr-FR" w:bidi="fr-FR"/>
        </w:rPr>
        <w:t>i</w:t>
      </w:r>
      <w:r w:rsidRPr="00246AE4">
        <w:rPr>
          <w:color w:val="000000"/>
          <w:lang w:eastAsia="fr-FR" w:bidi="fr-FR"/>
        </w:rPr>
        <w:t>cards étaient donc partagés entre deux gouvernements différents. Pourquoi ? En 1435, par le traité d’Arras, le roi Charles</w:t>
      </w:r>
      <w:r>
        <w:rPr>
          <w:color w:val="000000"/>
          <w:lang w:eastAsia="fr-FR" w:bidi="fr-FR"/>
        </w:rPr>
        <w:t> </w:t>
      </w:r>
      <w:r w:rsidRPr="00246AE4">
        <w:rPr>
          <w:color w:val="000000"/>
          <w:lang w:eastAsia="fr-FR" w:bidi="fr-FR"/>
        </w:rPr>
        <w:t>VII dut céder au duc de Bourgogne toute cette partie de la Picardie qu’arrose la Somme. Ce qui resta de la Picardie aux rois de France, après ce traité, était trop peu considérable pour former un gouvernement séparé, et fut rattaché au gouvernement qui devait, quelques dizaines d’anné</w:t>
      </w:r>
      <w:r>
        <w:rPr>
          <w:color w:val="000000"/>
          <w:lang w:eastAsia="fr-FR" w:bidi="fr-FR"/>
        </w:rPr>
        <w:t>es plus tard, prendre le nom d’Î</w:t>
      </w:r>
      <w:r w:rsidRPr="00246AE4">
        <w:rPr>
          <w:color w:val="000000"/>
          <w:lang w:eastAsia="fr-FR" w:bidi="fr-FR"/>
        </w:rPr>
        <w:t>le-de-France. Après la mort du Téméraire, les « villes de la Somme » firent retour à la couronne ; on constitua avec elles un gouvernement de Picardie ; mais on négligea de rendre à la Picardie les villes et les pays qui avaien</w:t>
      </w:r>
      <w:r>
        <w:rPr>
          <w:color w:val="000000"/>
          <w:lang w:eastAsia="fr-FR" w:bidi="fr-FR"/>
        </w:rPr>
        <w:t>t été, en 1435, incorporés à l’Î</w:t>
      </w:r>
      <w:r w:rsidRPr="00246AE4">
        <w:rPr>
          <w:color w:val="000000"/>
          <w:lang w:eastAsia="fr-FR" w:bidi="fr-FR"/>
        </w:rPr>
        <w:t>le-de-France. Parmi ces villes f</w:t>
      </w:r>
      <w:r w:rsidRPr="00246AE4">
        <w:rPr>
          <w:color w:val="000000"/>
          <w:lang w:eastAsia="fr-FR" w:bidi="fr-FR"/>
        </w:rPr>
        <w:t>i</w:t>
      </w:r>
      <w:r w:rsidRPr="00246AE4">
        <w:rPr>
          <w:color w:val="000000"/>
          <w:lang w:eastAsia="fr-FR" w:bidi="fr-FR"/>
        </w:rPr>
        <w:t xml:space="preserve">guraient, entre autres, Beauvais, </w:t>
      </w:r>
      <w:r w:rsidRPr="00246AE4">
        <w:rPr>
          <w:color w:val="000000"/>
          <w:lang w:eastAsia="fr-FR" w:bidi="fr-FR"/>
        </w:rPr>
        <w:lastRenderedPageBreak/>
        <w:t>Laon, Senlis qui, cités picardes, demeurèrent ainsi, jusqu’à la</w:t>
      </w:r>
      <w:r>
        <w:rPr>
          <w:color w:val="000000"/>
          <w:lang w:eastAsia="fr-FR" w:bidi="fr-FR"/>
        </w:rPr>
        <w:t xml:space="preserve"> Révol</w:t>
      </w:r>
      <w:r>
        <w:rPr>
          <w:color w:val="000000"/>
          <w:lang w:eastAsia="fr-FR" w:bidi="fr-FR"/>
        </w:rPr>
        <w:t>u</w:t>
      </w:r>
      <w:r>
        <w:rPr>
          <w:color w:val="000000"/>
          <w:lang w:eastAsia="fr-FR" w:bidi="fr-FR"/>
        </w:rPr>
        <w:t>tion, du gouvernement d’Î</w:t>
      </w:r>
      <w:r w:rsidRPr="00246AE4">
        <w:rPr>
          <w:color w:val="000000"/>
          <w:lang w:eastAsia="fr-FR" w:bidi="fr-FR"/>
        </w:rPr>
        <w:t>le-de-France.</w:t>
      </w:r>
    </w:p>
    <w:p w14:paraId="059D4D6A" w14:textId="77777777" w:rsidR="00B9662D" w:rsidRPr="00246AE4" w:rsidRDefault="00B9662D" w:rsidP="00B9662D">
      <w:pPr>
        <w:spacing w:before="120" w:after="120"/>
        <w:jc w:val="both"/>
      </w:pPr>
      <w:r w:rsidRPr="00246AE4">
        <w:rPr>
          <w:color w:val="000000"/>
          <w:lang w:eastAsia="fr-FR" w:bidi="fr-FR"/>
        </w:rPr>
        <w:t>Les limites du gouvernement d’</w:t>
      </w:r>
      <w:r>
        <w:rPr>
          <w:color w:val="000000"/>
          <w:lang w:eastAsia="fr-FR" w:bidi="fr-FR"/>
        </w:rPr>
        <w:t>Île-de-France</w:t>
      </w:r>
      <w:r w:rsidRPr="00246AE4">
        <w:rPr>
          <w:color w:val="000000"/>
          <w:lang w:eastAsia="fr-FR" w:bidi="fr-FR"/>
        </w:rPr>
        <w:t xml:space="preserve">, les adopterons-nous pour celles de notre étude ? Nous ne ferions en cela que suivre l’exemple donné par la </w:t>
      </w:r>
      <w:r w:rsidRPr="00EB5090">
        <w:rPr>
          <w:i/>
        </w:rPr>
        <w:t>Société de l’Histoire de Paris et de l’Île-de-France</w:t>
      </w:r>
      <w:r w:rsidRPr="00246AE4">
        <w:t>,</w:t>
      </w:r>
      <w:r w:rsidRPr="00246AE4">
        <w:rPr>
          <w:color w:val="000000"/>
          <w:lang w:eastAsia="fr-FR" w:bidi="fr-FR"/>
        </w:rPr>
        <w:t xml:space="preserve"> dont le Conseil d’Administration, dans sa quatrième séance, le 11 août 1874, décida d’étendre les travaux « à tout l’anci</w:t>
      </w:r>
      <w:r>
        <w:rPr>
          <w:color w:val="000000"/>
          <w:lang w:eastAsia="fr-FR" w:bidi="fr-FR"/>
        </w:rPr>
        <w:t>en gouve</w:t>
      </w:r>
      <w:r>
        <w:rPr>
          <w:color w:val="000000"/>
          <w:lang w:eastAsia="fr-FR" w:bidi="fr-FR"/>
        </w:rPr>
        <w:t>r</w:t>
      </w:r>
      <w:r>
        <w:rPr>
          <w:color w:val="000000"/>
          <w:lang w:eastAsia="fr-FR" w:bidi="fr-FR"/>
        </w:rPr>
        <w:t>nement militaire de l’Î</w:t>
      </w:r>
      <w:r w:rsidRPr="00246AE4">
        <w:rPr>
          <w:color w:val="000000"/>
          <w:lang w:eastAsia="fr-FR" w:bidi="fr-FR"/>
        </w:rPr>
        <w:t>le-de-France, tel qu’il existait au moment de la Révolution »</w:t>
      </w:r>
      <w:r>
        <w:rPr>
          <w:color w:val="000000"/>
          <w:lang w:eastAsia="fr-FR" w:bidi="fr-FR"/>
        </w:rPr>
        <w:t> </w:t>
      </w:r>
      <w:r>
        <w:rPr>
          <w:rStyle w:val="Appelnotedebasdep"/>
        </w:rPr>
        <w:footnoteReference w:id="377"/>
      </w:r>
      <w:r>
        <w:rPr>
          <w:color w:val="000000"/>
          <w:lang w:eastAsia="fr-FR" w:bidi="fr-FR"/>
        </w:rPr>
        <w:t>.</w:t>
      </w:r>
      <w:r w:rsidRPr="00246AE4">
        <w:rPr>
          <w:color w:val="000000"/>
          <w:lang w:eastAsia="fr-FR" w:bidi="fr-FR"/>
        </w:rPr>
        <w:t xml:space="preserve"> Mais faut-il vraiment qu’aujourd’hui l’historien de la vie régionale s’impose à lui-même les limites qu’ont autrefois tracées, à l’administration de l’Ancien Régime, peu soucieuse de considér</w:t>
      </w:r>
      <w:r w:rsidRPr="00246AE4">
        <w:rPr>
          <w:color w:val="000000"/>
          <w:lang w:eastAsia="fr-FR" w:bidi="fr-FR"/>
        </w:rPr>
        <w:t>a</w:t>
      </w:r>
      <w:r w:rsidRPr="00246AE4">
        <w:rPr>
          <w:color w:val="000000"/>
          <w:lang w:eastAsia="fr-FR" w:bidi="fr-FR"/>
        </w:rPr>
        <w:t>tions géographiques, des événements dont quelques-uns comme le traité d’Arras furent, dans le développement de nos destinées nation</w:t>
      </w:r>
      <w:r w:rsidRPr="00246AE4">
        <w:rPr>
          <w:color w:val="000000"/>
          <w:lang w:eastAsia="fr-FR" w:bidi="fr-FR"/>
        </w:rPr>
        <w:t>a</w:t>
      </w:r>
      <w:r w:rsidRPr="00246AE4">
        <w:rPr>
          <w:color w:val="000000"/>
          <w:lang w:eastAsia="fr-FR" w:bidi="fr-FR"/>
        </w:rPr>
        <w:t>les, des incidents sans portée ? Encore si le gouvernement avait été, sous l’Ancien Régime, une circonscription vraiment vivante ! Mais qui ne sait que depuis l’établissement de la monarchie absolue les gouverneurs furent sans pouvoir ? Les manuels et les atlas historiques se plaisaient autrefois à diviser la « France de 1789 » en « provinces », dont chacune correspondait tant bien que mal à un go</w:t>
      </w:r>
      <w:r w:rsidRPr="00246AE4">
        <w:rPr>
          <w:color w:val="000000"/>
          <w:lang w:eastAsia="fr-FR" w:bidi="fr-FR"/>
        </w:rPr>
        <w:t>u</w:t>
      </w:r>
      <w:r w:rsidRPr="00246AE4">
        <w:rPr>
          <w:color w:val="000000"/>
          <w:lang w:eastAsia="fr-FR" w:bidi="fr-FR"/>
        </w:rPr>
        <w:t>vernement. Depuis les beaux travaux de M. Armand Brette, la critique de cette division, toute factice, n’est plus à faire. Le gouvernement sous l’Ancien Régime ne fut que bien rarement le cadre de la vie r</w:t>
      </w:r>
      <w:r w:rsidRPr="00246AE4">
        <w:rPr>
          <w:color w:val="000000"/>
          <w:lang w:eastAsia="fr-FR" w:bidi="fr-FR"/>
        </w:rPr>
        <w:t>é</w:t>
      </w:r>
      <w:r w:rsidRPr="00246AE4">
        <w:rPr>
          <w:color w:val="000000"/>
          <w:lang w:eastAsia="fr-FR" w:bidi="fr-FR"/>
        </w:rPr>
        <w:t>gionale.</w:t>
      </w:r>
    </w:p>
    <w:p w14:paraId="7EAF8278" w14:textId="77777777" w:rsidR="00B9662D" w:rsidRPr="00246AE4" w:rsidRDefault="00B9662D" w:rsidP="00B9662D">
      <w:pPr>
        <w:spacing w:before="120" w:after="120"/>
        <w:jc w:val="both"/>
      </w:pPr>
      <w:r w:rsidRPr="00246AE4">
        <w:rPr>
          <w:color w:val="000000"/>
          <w:lang w:eastAsia="fr-FR" w:bidi="fr-FR"/>
        </w:rPr>
        <w:t xml:space="preserve">Aussi bien serait-ce une erreur de croire qu’au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le mot d’</w:t>
      </w:r>
      <w:r>
        <w:rPr>
          <w:color w:val="000000"/>
          <w:lang w:eastAsia="fr-FR" w:bidi="fr-FR"/>
        </w:rPr>
        <w:t>Île-de-France</w:t>
      </w:r>
      <w:r w:rsidRPr="00246AE4">
        <w:rPr>
          <w:color w:val="000000"/>
          <w:lang w:eastAsia="fr-FR" w:bidi="fr-FR"/>
        </w:rPr>
        <w:t xml:space="preserve"> se soit appliqué exclusivement au gouvernement de ce nom. </w:t>
      </w:r>
      <w:r>
        <w:rPr>
          <w:color w:val="000000"/>
          <w:lang w:eastAsia="fr-FR" w:bidi="fr-FR"/>
        </w:rPr>
        <w:t>À</w:t>
      </w:r>
      <w:r w:rsidRPr="00246AE4">
        <w:rPr>
          <w:color w:val="000000"/>
          <w:lang w:eastAsia="fr-FR" w:bidi="fr-FR"/>
        </w:rPr>
        <w:t xml:space="preserve"> côté du gouvernement, une autre circonscription administrat</w:t>
      </w:r>
      <w:r w:rsidRPr="00246AE4">
        <w:rPr>
          <w:color w:val="000000"/>
          <w:lang w:eastAsia="fr-FR" w:bidi="fr-FR"/>
        </w:rPr>
        <w:t>i</w:t>
      </w:r>
      <w:r w:rsidRPr="00246AE4">
        <w:rPr>
          <w:color w:val="000000"/>
          <w:lang w:eastAsia="fr-FR" w:bidi="fr-FR"/>
        </w:rPr>
        <w:t>ve, bien vivante celle-là, avait comme lui Paris pour centre</w:t>
      </w:r>
      <w:r>
        <w:rPr>
          <w:color w:val="000000"/>
          <w:lang w:eastAsia="fr-FR" w:bidi="fr-FR"/>
        </w:rPr>
        <w:t> </w:t>
      </w:r>
      <w:r>
        <w:rPr>
          <w:rStyle w:val="Appelnotedebasdep"/>
        </w:rPr>
        <w:footnoteReference w:id="378"/>
      </w:r>
      <w:r w:rsidRPr="00246AE4">
        <w:rPr>
          <w:color w:val="000000"/>
          <w:lang w:eastAsia="fr-FR" w:bidi="fr-FR"/>
        </w:rPr>
        <w:t> ; je veux parler de la « généralité de Paris », c’est-à-dire de la circonscription qu’administrait l’intendant de Paris. Or la généralité, elle aussi, était</w:t>
      </w:r>
      <w:r>
        <w:rPr>
          <w:color w:val="000000"/>
          <w:lang w:eastAsia="fr-FR" w:bidi="fr-FR"/>
        </w:rPr>
        <w:t xml:space="preserve"> parfois désignée par le mot d’Î</w:t>
      </w:r>
      <w:r w:rsidRPr="00246AE4">
        <w:rPr>
          <w:color w:val="000000"/>
          <w:lang w:eastAsia="fr-FR" w:bidi="fr-FR"/>
        </w:rPr>
        <w:t>le-de-France, et cela, non seulement dans le langage courant</w:t>
      </w:r>
      <w:r>
        <w:rPr>
          <w:color w:val="000000"/>
          <w:lang w:eastAsia="fr-FR" w:bidi="fr-FR"/>
        </w:rPr>
        <w:t> </w:t>
      </w:r>
      <w:r>
        <w:rPr>
          <w:rStyle w:val="Appelnotedebasdep"/>
        </w:rPr>
        <w:footnoteReference w:id="379"/>
      </w:r>
      <w:r w:rsidRPr="00246AE4">
        <w:rPr>
          <w:color w:val="000000"/>
          <w:lang w:eastAsia="fr-FR" w:bidi="fr-FR"/>
        </w:rPr>
        <w:t>, mais même (on ne paraît pas jusqu’ici y avoir fait attention) dans des documents officiels. Lorsqu’en 1787 f</w:t>
      </w:r>
      <w:r w:rsidRPr="00246AE4">
        <w:rPr>
          <w:color w:val="000000"/>
          <w:lang w:eastAsia="fr-FR" w:bidi="fr-FR"/>
        </w:rPr>
        <w:t>u</w:t>
      </w:r>
      <w:r w:rsidRPr="00246AE4">
        <w:rPr>
          <w:color w:val="000000"/>
          <w:lang w:eastAsia="fr-FR" w:bidi="fr-FR"/>
        </w:rPr>
        <w:t>rent instituées dans le royaume des assemblées provin</w:t>
      </w:r>
      <w:r w:rsidRPr="00246AE4">
        <w:rPr>
          <w:color w:val="000000"/>
          <w:lang w:eastAsia="fr-FR" w:bidi="fr-FR"/>
        </w:rPr>
        <w:lastRenderedPageBreak/>
        <w:t>ciales qui avaient pour cadre chacune une généralité, celle de ces assemblées qui se réunit dans la généralité de</w:t>
      </w:r>
      <w:r>
        <w:t xml:space="preserve"> [702] </w:t>
      </w:r>
      <w:r w:rsidRPr="00246AE4">
        <w:rPr>
          <w:color w:val="000000"/>
          <w:lang w:eastAsia="fr-FR" w:bidi="fr-FR"/>
        </w:rPr>
        <w:t>Paris reçut du « Règlement » royal qui la convoquait le nom, qu’elle garda par la suite,</w:t>
      </w:r>
      <w:r>
        <w:rPr>
          <w:color w:val="000000"/>
          <w:lang w:eastAsia="fr-FR" w:bidi="fr-FR"/>
        </w:rPr>
        <w:t xml:space="preserve"> « d’Assemblée provinciale de l’</w:t>
      </w:r>
      <w:r w:rsidRPr="00246AE4">
        <w:rPr>
          <w:color w:val="000000"/>
          <w:lang w:eastAsia="fr-FR" w:bidi="fr-FR"/>
        </w:rPr>
        <w:t>Isle-de-</w:t>
      </w:r>
      <w:r>
        <w:rPr>
          <w:color w:val="000000"/>
          <w:lang w:eastAsia="fr-FR" w:bidi="fr-FR"/>
        </w:rPr>
        <w:t>France » </w:t>
      </w:r>
      <w:r>
        <w:rPr>
          <w:rStyle w:val="Appelnotedebasdep"/>
        </w:rPr>
        <w:footnoteReference w:id="380"/>
      </w:r>
      <w:r>
        <w:rPr>
          <w:color w:val="000000"/>
          <w:lang w:eastAsia="fr-FR" w:bidi="fr-FR"/>
        </w:rPr>
        <w:t> : ses procès-</w:t>
      </w:r>
      <w:r w:rsidRPr="00246AE4">
        <w:rPr>
          <w:color w:val="000000"/>
          <w:lang w:eastAsia="fr-FR" w:bidi="fr-FR"/>
        </w:rPr>
        <w:t>verbaux donnent à plusieurs reprises à l’Intendant de Paris le titre d’« Intendant et commissaire départi en la province de l’Isle-de-France »</w:t>
      </w:r>
      <w:r>
        <w:rPr>
          <w:color w:val="000000"/>
          <w:lang w:eastAsia="fr-FR" w:bidi="fr-FR"/>
        </w:rPr>
        <w:t> </w:t>
      </w:r>
      <w:r>
        <w:rPr>
          <w:rStyle w:val="Appelnotedebasdep"/>
        </w:rPr>
        <w:footnoteReference w:id="381"/>
      </w:r>
      <w:r w:rsidRPr="00246AE4">
        <w:rPr>
          <w:color w:val="000000"/>
          <w:lang w:eastAsia="fr-FR" w:bidi="fr-FR"/>
        </w:rPr>
        <w:t>. Si nous nous décidions à prendre, pour les limites de notre étude, celles d’une circonscription admini</w:t>
      </w:r>
      <w:r w:rsidRPr="00246AE4">
        <w:rPr>
          <w:color w:val="000000"/>
          <w:lang w:eastAsia="fr-FR" w:bidi="fr-FR"/>
        </w:rPr>
        <w:t>s</w:t>
      </w:r>
      <w:r w:rsidRPr="00246AE4">
        <w:rPr>
          <w:color w:val="000000"/>
          <w:lang w:eastAsia="fr-FR" w:bidi="fr-FR"/>
        </w:rPr>
        <w:t>trative de l’Ancien Régime, pourquoi nous attacher au gouvernement d’</w:t>
      </w:r>
      <w:r>
        <w:rPr>
          <w:color w:val="000000"/>
          <w:lang w:eastAsia="fr-FR" w:bidi="fr-FR"/>
        </w:rPr>
        <w:t>Île-de-France</w:t>
      </w:r>
      <w:r w:rsidRPr="00246AE4">
        <w:rPr>
          <w:color w:val="000000"/>
          <w:lang w:eastAsia="fr-FR" w:bidi="fr-FR"/>
        </w:rPr>
        <w:t>, plutôt qu’à la généralité de Paris, qu’on appelait « Province de l’</w:t>
      </w:r>
      <w:r>
        <w:rPr>
          <w:color w:val="000000"/>
          <w:lang w:eastAsia="fr-FR" w:bidi="fr-FR"/>
        </w:rPr>
        <w:t>Île-de-France</w:t>
      </w:r>
      <w:r w:rsidRPr="00246AE4">
        <w:rPr>
          <w:color w:val="000000"/>
          <w:lang w:eastAsia="fr-FR" w:bidi="fr-FR"/>
        </w:rPr>
        <w:t> » ? Mais les limites de la généralité, pour être très différentes de celles du gouvernement, n’étaient pas plus rationnelles. Qu’on regarde seul</w:t>
      </w:r>
      <w:r w:rsidRPr="00246AE4">
        <w:rPr>
          <w:color w:val="000000"/>
          <w:lang w:eastAsia="fr-FR" w:bidi="fr-FR"/>
        </w:rPr>
        <w:t>e</w:t>
      </w:r>
      <w:r w:rsidRPr="00246AE4">
        <w:rPr>
          <w:color w:val="000000"/>
          <w:lang w:eastAsia="fr-FR" w:bidi="fr-FR"/>
        </w:rPr>
        <w:t>ment, sur les cartes dressées par M. Armand Brette, de quelle singuli</w:t>
      </w:r>
      <w:r w:rsidRPr="00246AE4">
        <w:rPr>
          <w:color w:val="000000"/>
          <w:lang w:eastAsia="fr-FR" w:bidi="fr-FR"/>
        </w:rPr>
        <w:t>è</w:t>
      </w:r>
      <w:r w:rsidRPr="00246AE4">
        <w:rPr>
          <w:color w:val="000000"/>
          <w:lang w:eastAsia="fr-FR" w:bidi="fr-FR"/>
        </w:rPr>
        <w:t>re façon, dans la région d’Auxerre, s’enchevêtrent les frontières des quatre généralités d’Orléans, de Ch</w:t>
      </w:r>
      <w:r w:rsidRPr="00246AE4">
        <w:rPr>
          <w:color w:val="000000"/>
          <w:lang w:eastAsia="fr-FR" w:bidi="fr-FR"/>
        </w:rPr>
        <w:t>â</w:t>
      </w:r>
      <w:r w:rsidRPr="00246AE4">
        <w:rPr>
          <w:color w:val="000000"/>
          <w:lang w:eastAsia="fr-FR" w:bidi="fr-FR"/>
        </w:rPr>
        <w:t>lons, de Dijon et de Paris !</w:t>
      </w:r>
    </w:p>
    <w:p w14:paraId="2E2D20D1" w14:textId="77777777" w:rsidR="00B9662D" w:rsidRPr="00246AE4" w:rsidRDefault="00B9662D" w:rsidP="00B9662D">
      <w:pPr>
        <w:spacing w:before="120" w:after="120"/>
        <w:jc w:val="both"/>
      </w:pPr>
      <w:r w:rsidRPr="00246AE4">
        <w:rPr>
          <w:color w:val="000000"/>
          <w:lang w:eastAsia="fr-FR" w:bidi="fr-FR"/>
        </w:rPr>
        <w:t>De nos jours le mot d’</w:t>
      </w:r>
      <w:r>
        <w:rPr>
          <w:color w:val="000000"/>
          <w:lang w:eastAsia="fr-FR" w:bidi="fr-FR"/>
        </w:rPr>
        <w:t>Île-de-France</w:t>
      </w:r>
      <w:r w:rsidRPr="00246AE4">
        <w:rPr>
          <w:color w:val="000000"/>
          <w:lang w:eastAsia="fr-FR" w:bidi="fr-FR"/>
        </w:rPr>
        <w:t>, que la Révolution a effacé de la carte politique, n’a pas disparu de l’usage commun. Surtout, les s</w:t>
      </w:r>
      <w:r w:rsidRPr="00246AE4">
        <w:rPr>
          <w:color w:val="000000"/>
          <w:lang w:eastAsia="fr-FR" w:bidi="fr-FR"/>
        </w:rPr>
        <w:t>a</w:t>
      </w:r>
      <w:r w:rsidRPr="00246AE4">
        <w:rPr>
          <w:color w:val="000000"/>
          <w:lang w:eastAsia="fr-FR" w:bidi="fr-FR"/>
        </w:rPr>
        <w:t>vants l’emploient souvent. Mais chaque science l’emploie à sa façon et lui donne une extension d</w:t>
      </w:r>
      <w:r>
        <w:rPr>
          <w:color w:val="000000"/>
          <w:lang w:eastAsia="fr-FR" w:bidi="fr-FR"/>
        </w:rPr>
        <w:t>ifférente. Pour le géologue, l’Î</w:t>
      </w:r>
      <w:r w:rsidRPr="00246AE4">
        <w:rPr>
          <w:color w:val="000000"/>
          <w:lang w:eastAsia="fr-FR" w:bidi="fr-FR"/>
        </w:rPr>
        <w:t>le-de-France, c’est le vaste pays qui, placé au centre du bassin de Paris, a son sol formé par des terrains d’âge tertiaire, et s’oppose ainsi aux sols d’âge plus ancien du pourtour du Bassin. L’</w:t>
      </w:r>
      <w:r>
        <w:rPr>
          <w:color w:val="000000"/>
          <w:lang w:eastAsia="fr-FR" w:bidi="fr-FR"/>
        </w:rPr>
        <w:t>Île-de-France</w:t>
      </w:r>
      <w:r w:rsidRPr="00246AE4">
        <w:rPr>
          <w:color w:val="000000"/>
          <w:lang w:eastAsia="fr-FR" w:bidi="fr-FR"/>
        </w:rPr>
        <w:t xml:space="preserve"> du gé</w:t>
      </w:r>
      <w:r w:rsidRPr="00246AE4">
        <w:rPr>
          <w:color w:val="000000"/>
          <w:lang w:eastAsia="fr-FR" w:bidi="fr-FR"/>
        </w:rPr>
        <w:t>o</w:t>
      </w:r>
      <w:r w:rsidRPr="00246AE4">
        <w:rPr>
          <w:color w:val="000000"/>
          <w:lang w:eastAsia="fr-FR" w:bidi="fr-FR"/>
        </w:rPr>
        <w:t>logue commence au Nord vers Coucy : elle ne s’arrête, vers le Sud, qu’au</w:t>
      </w:r>
      <w:r>
        <w:rPr>
          <w:color w:val="000000"/>
          <w:lang w:eastAsia="fr-FR" w:bidi="fr-FR"/>
        </w:rPr>
        <w:t>-</w:t>
      </w:r>
      <w:r w:rsidRPr="00246AE4">
        <w:rPr>
          <w:color w:val="000000"/>
          <w:lang w:eastAsia="fr-FR" w:bidi="fr-FR"/>
        </w:rPr>
        <w:t>delà de la Loire, là où s’arrêtent les tristes plaines de la So</w:t>
      </w:r>
      <w:r w:rsidRPr="00246AE4">
        <w:rPr>
          <w:color w:val="000000"/>
          <w:lang w:eastAsia="fr-FR" w:bidi="fr-FR"/>
        </w:rPr>
        <w:lastRenderedPageBreak/>
        <w:t>l</w:t>
      </w:r>
      <w:r w:rsidRPr="00246AE4">
        <w:rPr>
          <w:color w:val="000000"/>
          <w:lang w:eastAsia="fr-FR" w:bidi="fr-FR"/>
        </w:rPr>
        <w:t>o</w:t>
      </w:r>
      <w:r w:rsidRPr="00246AE4">
        <w:rPr>
          <w:color w:val="000000"/>
          <w:lang w:eastAsia="fr-FR" w:bidi="fr-FR"/>
        </w:rPr>
        <w:t>gne ; la Seine y entre vers Montereau, pour en sortir au</w:t>
      </w:r>
      <w:r>
        <w:rPr>
          <w:color w:val="000000"/>
          <w:lang w:eastAsia="fr-FR" w:bidi="fr-FR"/>
        </w:rPr>
        <w:t>-</w:t>
      </w:r>
      <w:r w:rsidRPr="00246AE4">
        <w:rPr>
          <w:color w:val="000000"/>
          <w:lang w:eastAsia="fr-FR" w:bidi="fr-FR"/>
        </w:rPr>
        <w:t xml:space="preserve">delà de </w:t>
      </w:r>
      <w:r>
        <w:rPr>
          <w:color w:val="000000"/>
          <w:lang w:eastAsia="fr-FR" w:bidi="fr-FR"/>
        </w:rPr>
        <w:t>Ma</w:t>
      </w:r>
      <w:r>
        <w:rPr>
          <w:color w:val="000000"/>
          <w:lang w:eastAsia="fr-FR" w:bidi="fr-FR"/>
        </w:rPr>
        <w:t>n</w:t>
      </w:r>
      <w:r>
        <w:rPr>
          <w:color w:val="000000"/>
          <w:lang w:eastAsia="fr-FR" w:bidi="fr-FR"/>
        </w:rPr>
        <w:t>tes. L’Î</w:t>
      </w:r>
      <w:r w:rsidRPr="00246AE4">
        <w:rPr>
          <w:color w:val="000000"/>
          <w:lang w:eastAsia="fr-FR" w:bidi="fr-FR"/>
        </w:rPr>
        <w:t>le-de-France de l’archéologue, c’est la région où se sont dév</w:t>
      </w:r>
      <w:r w:rsidRPr="00246AE4">
        <w:rPr>
          <w:color w:val="000000"/>
          <w:lang w:eastAsia="fr-FR" w:bidi="fr-FR"/>
        </w:rPr>
        <w:t>e</w:t>
      </w:r>
      <w:r w:rsidRPr="00246AE4">
        <w:rPr>
          <w:color w:val="000000"/>
          <w:lang w:eastAsia="fr-FR" w:bidi="fr-FR"/>
        </w:rPr>
        <w:t xml:space="preserve">loppés au Moyen </w:t>
      </w:r>
      <w:r>
        <w:rPr>
          <w:color w:val="000000"/>
          <w:lang w:eastAsia="fr-FR" w:bidi="fr-FR"/>
        </w:rPr>
        <w:t>Â</w:t>
      </w:r>
      <w:r w:rsidRPr="00246AE4">
        <w:rPr>
          <w:color w:val="000000"/>
          <w:lang w:eastAsia="fr-FR" w:bidi="fr-FR"/>
        </w:rPr>
        <w:t xml:space="preserve">ge certains styles d’architecture religieuse ; et les limites de cette </w:t>
      </w:r>
      <w:r>
        <w:rPr>
          <w:color w:val="000000"/>
          <w:lang w:eastAsia="fr-FR" w:bidi="fr-FR"/>
        </w:rPr>
        <w:t>Île-de-France</w:t>
      </w:r>
      <w:r w:rsidRPr="00246AE4">
        <w:rPr>
          <w:color w:val="000000"/>
          <w:lang w:eastAsia="fr-FR" w:bidi="fr-FR"/>
        </w:rPr>
        <w:t>, qui varient presque avec chaque savant, ne coïncident jamais, est-il besoin de le dire ? avec celles des séd</w:t>
      </w:r>
      <w:r w:rsidRPr="00246AE4">
        <w:rPr>
          <w:color w:val="000000"/>
          <w:lang w:eastAsia="fr-FR" w:bidi="fr-FR"/>
        </w:rPr>
        <w:t>i</w:t>
      </w:r>
      <w:r w:rsidRPr="00246AE4">
        <w:rPr>
          <w:color w:val="000000"/>
          <w:lang w:eastAsia="fr-FR" w:bidi="fr-FR"/>
        </w:rPr>
        <w:t>ments d’âge tertiaire. Les églises romanes ou gothiques du diocèse de Laon présentent pour la plupart les caractères qui, aux yeux des a</w:t>
      </w:r>
      <w:r w:rsidRPr="00246AE4">
        <w:rPr>
          <w:color w:val="000000"/>
          <w:lang w:eastAsia="fr-FR" w:bidi="fr-FR"/>
        </w:rPr>
        <w:t>r</w:t>
      </w:r>
      <w:r w:rsidRPr="00246AE4">
        <w:rPr>
          <w:color w:val="000000"/>
          <w:lang w:eastAsia="fr-FR" w:bidi="fr-FR"/>
        </w:rPr>
        <w:t>chéologues, définissent les écoles, romane ou gothique, de l’</w:t>
      </w:r>
      <w:r>
        <w:rPr>
          <w:color w:val="000000"/>
          <w:lang w:eastAsia="fr-FR" w:bidi="fr-FR"/>
        </w:rPr>
        <w:t>Île-de-France</w:t>
      </w:r>
      <w:r w:rsidRPr="00246AE4">
        <w:rPr>
          <w:color w:val="000000"/>
          <w:lang w:eastAsia="fr-FR" w:bidi="fr-FR"/>
        </w:rPr>
        <w:t>. Mais ce diocèse, pays picard, ne sera pas co</w:t>
      </w:r>
      <w:r>
        <w:rPr>
          <w:color w:val="000000"/>
          <w:lang w:eastAsia="fr-FR" w:bidi="fr-FR"/>
        </w:rPr>
        <w:t>mpris par le phil</w:t>
      </w:r>
      <w:r>
        <w:rPr>
          <w:color w:val="000000"/>
          <w:lang w:eastAsia="fr-FR" w:bidi="fr-FR"/>
        </w:rPr>
        <w:t>o</w:t>
      </w:r>
      <w:r>
        <w:rPr>
          <w:color w:val="000000"/>
          <w:lang w:eastAsia="fr-FR" w:bidi="fr-FR"/>
        </w:rPr>
        <w:t>logue dans l’Î</w:t>
      </w:r>
      <w:r w:rsidRPr="00246AE4">
        <w:rPr>
          <w:color w:val="000000"/>
          <w:lang w:eastAsia="fr-FR" w:bidi="fr-FR"/>
        </w:rPr>
        <w:t>le-de-France, c’est-à-dire dans la région où se parlait au Moyen</w:t>
      </w:r>
      <w:r>
        <w:rPr>
          <w:color w:val="000000"/>
          <w:lang w:eastAsia="fr-FR" w:bidi="fr-FR"/>
        </w:rPr>
        <w:t xml:space="preserve"> Â</w:t>
      </w:r>
      <w:r w:rsidRPr="00246AE4">
        <w:rPr>
          <w:color w:val="000000"/>
          <w:lang w:eastAsia="fr-FR" w:bidi="fr-FR"/>
        </w:rPr>
        <w:t>ge le dialecte qui devint le français</w:t>
      </w:r>
      <w:r>
        <w:rPr>
          <w:color w:val="000000"/>
          <w:lang w:eastAsia="fr-FR" w:bidi="fr-FR"/>
        </w:rPr>
        <w:t> </w:t>
      </w:r>
      <w:r>
        <w:rPr>
          <w:rStyle w:val="Appelnotedebasdep"/>
        </w:rPr>
        <w:footnoteReference w:id="382"/>
      </w:r>
      <w:r w:rsidRPr="00246AE4">
        <w:rPr>
          <w:color w:val="000000"/>
          <w:lang w:eastAsia="fr-FR" w:bidi="fr-FR"/>
        </w:rPr>
        <w:t>.</w:t>
      </w:r>
    </w:p>
    <w:p w14:paraId="1450C912" w14:textId="77777777" w:rsidR="00B9662D" w:rsidRPr="00246AE4" w:rsidRDefault="00B9662D" w:rsidP="00B9662D">
      <w:pPr>
        <w:spacing w:before="120" w:after="120"/>
        <w:jc w:val="both"/>
      </w:pPr>
      <w:r w:rsidRPr="00246AE4">
        <w:rPr>
          <w:color w:val="000000"/>
          <w:lang w:eastAsia="fr-FR" w:bidi="fr-FR"/>
        </w:rPr>
        <w:t>Voilà pour ce seul mot d’</w:t>
      </w:r>
      <w:r>
        <w:rPr>
          <w:color w:val="000000"/>
          <w:lang w:eastAsia="fr-FR" w:bidi="fr-FR"/>
        </w:rPr>
        <w:t>Île-de-France</w:t>
      </w:r>
      <w:r w:rsidRPr="00246AE4">
        <w:rPr>
          <w:color w:val="000000"/>
          <w:lang w:eastAsia="fr-FR" w:bidi="fr-FR"/>
        </w:rPr>
        <w:t>, dans le présent comme dans le passé, bien des sens différents. Faut-il conclure qu’il n’y a j</w:t>
      </w:r>
      <w:r w:rsidRPr="00246AE4">
        <w:rPr>
          <w:color w:val="000000"/>
          <w:lang w:eastAsia="fr-FR" w:bidi="fr-FR"/>
        </w:rPr>
        <w:t>a</w:t>
      </w:r>
      <w:r w:rsidRPr="00246AE4">
        <w:rPr>
          <w:color w:val="000000"/>
          <w:lang w:eastAsia="fr-FR" w:bidi="fr-FR"/>
        </w:rPr>
        <w:t>mais eu, dans l’emploi de ce mot, que confusion et perpétuelle instab</w:t>
      </w:r>
      <w:r w:rsidRPr="00246AE4">
        <w:rPr>
          <w:color w:val="000000"/>
          <w:lang w:eastAsia="fr-FR" w:bidi="fr-FR"/>
        </w:rPr>
        <w:t>i</w:t>
      </w:r>
      <w:r w:rsidRPr="00246AE4">
        <w:rPr>
          <w:color w:val="000000"/>
          <w:lang w:eastAsia="fr-FR" w:bidi="fr-FR"/>
        </w:rPr>
        <w:t xml:space="preserve">lité ? </w:t>
      </w:r>
      <w:r>
        <w:rPr>
          <w:color w:val="000000"/>
          <w:lang w:eastAsia="fr-FR" w:bidi="fr-FR"/>
        </w:rPr>
        <w:t>À</w:t>
      </w:r>
      <w:r w:rsidRPr="00246AE4">
        <w:rPr>
          <w:color w:val="000000"/>
          <w:lang w:eastAsia="fr-FR" w:bidi="fr-FR"/>
        </w:rPr>
        <w:t xml:space="preserve"> y regarder de plus près, nous découvrirons sans peine ce qu’ont eu de commun les diverses significations qu</w:t>
      </w:r>
      <w:r>
        <w:rPr>
          <w:color w:val="000000"/>
          <w:lang w:eastAsia="fr-FR" w:bidi="fr-FR"/>
        </w:rPr>
        <w:t>e le terme d’Î</w:t>
      </w:r>
      <w:r w:rsidRPr="00246AE4">
        <w:rPr>
          <w:color w:val="000000"/>
          <w:lang w:eastAsia="fr-FR" w:bidi="fr-FR"/>
        </w:rPr>
        <w:t>le-de-France a</w:t>
      </w:r>
      <w:r>
        <w:t xml:space="preserve"> [703] </w:t>
      </w:r>
      <w:r w:rsidRPr="00246AE4">
        <w:rPr>
          <w:color w:val="000000"/>
          <w:lang w:eastAsia="fr-FR" w:bidi="fr-FR"/>
        </w:rPr>
        <w:t>reçues depuis qu’il a cessé de s’appliquer uniquement au petit pays entre Ma</w:t>
      </w:r>
      <w:r>
        <w:rPr>
          <w:color w:val="000000"/>
          <w:lang w:eastAsia="fr-FR" w:bidi="fr-FR"/>
        </w:rPr>
        <w:t>rne, Seine et Oise. Toutes ces Î</w:t>
      </w:r>
      <w:r w:rsidRPr="00246AE4">
        <w:rPr>
          <w:color w:val="000000"/>
          <w:lang w:eastAsia="fr-FR" w:bidi="fr-FR"/>
        </w:rPr>
        <w:t>les-de-France que nous avons énumérées et distinguées l’une de l’autre ont pu avoir chacune des limites différentes ; elles avaient le même centre, qui est Paris. On n’a jamais eu l’idée de donner le nom d’</w:t>
      </w:r>
      <w:r>
        <w:rPr>
          <w:color w:val="000000"/>
          <w:lang w:eastAsia="fr-FR" w:bidi="fr-FR"/>
        </w:rPr>
        <w:t>Île-de-France</w:t>
      </w:r>
      <w:r w:rsidRPr="00246AE4">
        <w:rPr>
          <w:color w:val="000000"/>
          <w:lang w:eastAsia="fr-FR" w:bidi="fr-FR"/>
        </w:rPr>
        <w:t xml:space="preserve"> à une région dont Paris fût exclu. Nous suivrons l’usage commun, nous d</w:t>
      </w:r>
      <w:r w:rsidRPr="00246AE4">
        <w:rPr>
          <w:color w:val="000000"/>
          <w:lang w:eastAsia="fr-FR" w:bidi="fr-FR"/>
        </w:rPr>
        <w:t>é</w:t>
      </w:r>
      <w:r w:rsidRPr="00246AE4">
        <w:rPr>
          <w:color w:val="000000"/>
          <w:lang w:eastAsia="fr-FR" w:bidi="fr-FR"/>
        </w:rPr>
        <w:t>finirons l’</w:t>
      </w:r>
      <w:r>
        <w:rPr>
          <w:color w:val="000000"/>
          <w:lang w:eastAsia="fr-FR" w:bidi="fr-FR"/>
        </w:rPr>
        <w:t>Île-de-France</w:t>
      </w:r>
      <w:r w:rsidRPr="00246AE4">
        <w:rPr>
          <w:color w:val="000000"/>
          <w:lang w:eastAsia="fr-FR" w:bidi="fr-FR"/>
        </w:rPr>
        <w:t> : la région parisienne. Ou mieux, pour montrer clairement que la région qui nous occupe ne doit son unité qu’à la grande agglomération humaine qui la domine toute, nous emprunt</w:t>
      </w:r>
      <w:r w:rsidRPr="00246AE4">
        <w:rPr>
          <w:color w:val="000000"/>
          <w:lang w:eastAsia="fr-FR" w:bidi="fr-FR"/>
        </w:rPr>
        <w:t>e</w:t>
      </w:r>
      <w:r w:rsidRPr="00246AE4">
        <w:rPr>
          <w:color w:val="000000"/>
          <w:lang w:eastAsia="fr-FR" w:bidi="fr-FR"/>
        </w:rPr>
        <w:t>rons une e</w:t>
      </w:r>
      <w:r w:rsidRPr="00246AE4">
        <w:rPr>
          <w:color w:val="000000"/>
          <w:lang w:eastAsia="fr-FR" w:bidi="fr-FR"/>
        </w:rPr>
        <w:t>x</w:t>
      </w:r>
      <w:r w:rsidRPr="00246AE4">
        <w:rPr>
          <w:color w:val="000000"/>
          <w:lang w:eastAsia="fr-FR" w:bidi="fr-FR"/>
        </w:rPr>
        <w:t>pression à M. Vidal de la Blache, et nous dirons : « les pays autour de Paris ».</w:t>
      </w:r>
    </w:p>
    <w:p w14:paraId="7A3E7487" w14:textId="77777777" w:rsidR="00B9662D" w:rsidRPr="00246AE4" w:rsidRDefault="00B9662D" w:rsidP="00B9662D">
      <w:pPr>
        <w:spacing w:before="120" w:after="120"/>
        <w:jc w:val="both"/>
      </w:pPr>
      <w:r w:rsidRPr="00246AE4">
        <w:rPr>
          <w:color w:val="000000"/>
          <w:lang w:eastAsia="fr-FR" w:bidi="fr-FR"/>
        </w:rPr>
        <w:t>Les pays autour de Paris feront donc l’objet de notre étude. Mais de la ville même de Paris, il ne sera pas question dans les pages que l’on va lire. Paris mérite et exige une étude spéciale. Qu’on le déplore où qu’on s’en félicite, Paris est à lui seul une « région de la France ». Il va sans dire que des ouvrages assez nombreux concernent à la fois et Paris et la région qui l’entoure ; je n’ai pas hésité à les indiquer ici.</w:t>
      </w:r>
    </w:p>
    <w:p w14:paraId="490959B3" w14:textId="77777777" w:rsidR="00B9662D" w:rsidRDefault="00B9662D" w:rsidP="00B9662D">
      <w:pPr>
        <w:spacing w:before="120" w:after="120"/>
        <w:jc w:val="both"/>
      </w:pPr>
    </w:p>
    <w:p w14:paraId="06C30F35" w14:textId="77777777" w:rsidR="00B9662D" w:rsidRDefault="00B9662D" w:rsidP="00B9662D">
      <w:pPr>
        <w:spacing w:before="120" w:after="120"/>
        <w:jc w:val="both"/>
      </w:pPr>
    </w:p>
    <w:p w14:paraId="042B1C4E" w14:textId="77777777" w:rsidR="00B9662D" w:rsidRPr="00246AE4" w:rsidRDefault="00B9662D" w:rsidP="00B9662D">
      <w:pPr>
        <w:pStyle w:val="a"/>
      </w:pPr>
      <w:bookmarkStart w:id="29" w:name="Melanges_t2_pt_7_chap_II_I_2"/>
      <w:r w:rsidRPr="00246AE4">
        <w:t>2. Le</w:t>
      </w:r>
      <w:r>
        <w:t>s caractères géographiques de l’Î</w:t>
      </w:r>
      <w:r w:rsidRPr="00246AE4">
        <w:t>le-de-France.</w:t>
      </w:r>
    </w:p>
    <w:bookmarkEnd w:id="29"/>
    <w:p w14:paraId="04E98AB8" w14:textId="77777777" w:rsidR="00B9662D" w:rsidRDefault="00B9662D" w:rsidP="00B9662D">
      <w:pPr>
        <w:spacing w:before="120" w:after="120"/>
        <w:jc w:val="both"/>
        <w:rPr>
          <w:color w:val="000000"/>
          <w:lang w:eastAsia="fr-FR" w:bidi="fr-FR"/>
        </w:rPr>
      </w:pPr>
    </w:p>
    <w:p w14:paraId="0E7B7908"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1DEE69F" w14:textId="77777777" w:rsidR="00B9662D" w:rsidRDefault="00B9662D" w:rsidP="00B9662D">
      <w:pPr>
        <w:spacing w:before="120" w:after="120"/>
        <w:jc w:val="both"/>
        <w:rPr>
          <w:color w:val="000000"/>
          <w:lang w:eastAsia="fr-FR" w:bidi="fr-FR"/>
        </w:rPr>
      </w:pPr>
      <w:r w:rsidRPr="00246AE4">
        <w:rPr>
          <w:color w:val="000000"/>
          <w:lang w:eastAsia="fr-FR" w:bidi="fr-FR"/>
        </w:rPr>
        <w:t>Nous avons défini l’</w:t>
      </w:r>
      <w:r>
        <w:rPr>
          <w:color w:val="000000"/>
          <w:lang w:eastAsia="fr-FR" w:bidi="fr-FR"/>
        </w:rPr>
        <w:t>Île-de-France</w:t>
      </w:r>
      <w:r w:rsidRPr="00246AE4">
        <w:rPr>
          <w:color w:val="000000"/>
          <w:lang w:eastAsia="fr-FR" w:bidi="fr-FR"/>
        </w:rPr>
        <w:t> ; nous ne l’avons pas délimitée. Pour fixer les limites qui seront celles de notre étude, en même temps que pour apprendre à connaître la région qui va nous occuper, entr</w:t>
      </w:r>
      <w:r w:rsidRPr="00246AE4">
        <w:rPr>
          <w:color w:val="000000"/>
          <w:lang w:eastAsia="fr-FR" w:bidi="fr-FR"/>
        </w:rPr>
        <w:t>e</w:t>
      </w:r>
      <w:r w:rsidRPr="00246AE4">
        <w:rPr>
          <w:color w:val="000000"/>
          <w:lang w:eastAsia="fr-FR" w:bidi="fr-FR"/>
        </w:rPr>
        <w:t>prenons un voyage d’exploration. Nous rayonnerons tout autour de Paris ; nous nous arrêterons là où un changement profond dans les c</w:t>
      </w:r>
      <w:r w:rsidRPr="00246AE4">
        <w:rPr>
          <w:color w:val="000000"/>
          <w:lang w:eastAsia="fr-FR" w:bidi="fr-FR"/>
        </w:rPr>
        <w:t>a</w:t>
      </w:r>
      <w:r w:rsidRPr="00246AE4">
        <w:rPr>
          <w:color w:val="000000"/>
          <w:lang w:eastAsia="fr-FR" w:bidi="fr-FR"/>
        </w:rPr>
        <w:t>ractères du pays, ou bien une antique frontière régionale, là où la gé</w:t>
      </w:r>
      <w:r w:rsidRPr="00246AE4">
        <w:rPr>
          <w:color w:val="000000"/>
          <w:lang w:eastAsia="fr-FR" w:bidi="fr-FR"/>
        </w:rPr>
        <w:t>o</w:t>
      </w:r>
      <w:r w:rsidRPr="00246AE4">
        <w:rPr>
          <w:color w:val="000000"/>
          <w:lang w:eastAsia="fr-FR" w:bidi="fr-FR"/>
        </w:rPr>
        <w:t>graphie ou bien l’histoire nous commanderont de nous arrêter ; mais nous nous garderons d’oublier que l’</w:t>
      </w:r>
      <w:r>
        <w:rPr>
          <w:color w:val="000000"/>
          <w:lang w:eastAsia="fr-FR" w:bidi="fr-FR"/>
        </w:rPr>
        <w:t>Île-de-France — </w:t>
      </w:r>
      <w:r w:rsidRPr="00246AE4">
        <w:rPr>
          <w:color w:val="000000"/>
          <w:lang w:eastAsia="fr-FR" w:bidi="fr-FR"/>
        </w:rPr>
        <w:t>c’est un de ses caractères essentiels</w:t>
      </w:r>
      <w:r>
        <w:rPr>
          <w:color w:val="000000"/>
          <w:lang w:eastAsia="fr-FR" w:bidi="fr-FR"/>
        </w:rPr>
        <w:t> — </w:t>
      </w:r>
      <w:r w:rsidRPr="00246AE4">
        <w:rPr>
          <w:color w:val="000000"/>
          <w:lang w:eastAsia="fr-FR" w:bidi="fr-FR"/>
        </w:rPr>
        <w:t>ne présente nulle part de limites qui soient des barrières.</w:t>
      </w:r>
      <w:r>
        <w:rPr>
          <w:color w:val="000000"/>
          <w:lang w:eastAsia="fr-FR" w:bidi="fr-FR"/>
        </w:rPr>
        <w:t> </w:t>
      </w:r>
      <w:r>
        <w:rPr>
          <w:rStyle w:val="Appelnotedebasdep"/>
        </w:rPr>
        <w:footnoteReference w:id="383"/>
      </w:r>
    </w:p>
    <w:p w14:paraId="4F423CE0" w14:textId="77777777" w:rsidR="00B9662D" w:rsidRPr="00246AE4" w:rsidRDefault="00B9662D" w:rsidP="00B9662D">
      <w:pPr>
        <w:spacing w:before="120" w:after="120"/>
        <w:jc w:val="both"/>
      </w:pPr>
      <w:r>
        <w:lastRenderedPageBreak/>
        <w:t>[704]</w:t>
      </w:r>
    </w:p>
    <w:p w14:paraId="3B26326B" w14:textId="77777777" w:rsidR="00B9662D" w:rsidRPr="00246AE4" w:rsidRDefault="00B9662D" w:rsidP="00B9662D">
      <w:pPr>
        <w:spacing w:before="120" w:after="120"/>
        <w:jc w:val="both"/>
      </w:pPr>
      <w:r w:rsidRPr="00246AE4">
        <w:rPr>
          <w:color w:val="000000"/>
          <w:lang w:eastAsia="fr-FR" w:bidi="fr-FR"/>
        </w:rPr>
        <w:t>Le voyage dont nous formons le projet ne sera pas un voyage m</w:t>
      </w:r>
      <w:r w:rsidRPr="00246AE4">
        <w:rPr>
          <w:color w:val="000000"/>
          <w:lang w:eastAsia="fr-FR" w:bidi="fr-FR"/>
        </w:rPr>
        <w:t>o</w:t>
      </w:r>
      <w:r w:rsidRPr="00246AE4">
        <w:rPr>
          <w:color w:val="000000"/>
          <w:lang w:eastAsia="fr-FR" w:bidi="fr-FR"/>
        </w:rPr>
        <w:t>notone. En effet, il n’est pas de contrée en France dont le sol soit plus varié que celui de la région que nous parcourrons. Les mers, les lag</w:t>
      </w:r>
      <w:r w:rsidRPr="00246AE4">
        <w:rPr>
          <w:color w:val="000000"/>
          <w:lang w:eastAsia="fr-FR" w:bidi="fr-FR"/>
        </w:rPr>
        <w:t>u</w:t>
      </w:r>
      <w:r w:rsidRPr="00246AE4">
        <w:rPr>
          <w:color w:val="000000"/>
          <w:lang w:eastAsia="fr-FR" w:bidi="fr-FR"/>
        </w:rPr>
        <w:t xml:space="preserve">nes, et les lacs de l’ère tertiaire, les grands fleuves errants de l’ère quaternaire ont déposé sur ce sol de </w:t>
      </w:r>
      <w:r>
        <w:rPr>
          <w:color w:val="000000"/>
          <w:lang w:eastAsia="fr-FR" w:bidi="fr-FR"/>
        </w:rPr>
        <w:t>l’Î</w:t>
      </w:r>
      <w:r w:rsidRPr="00246AE4">
        <w:rPr>
          <w:color w:val="000000"/>
          <w:lang w:eastAsia="fr-FR" w:bidi="fr-FR"/>
        </w:rPr>
        <w:t xml:space="preserve">le-de-France des terrains d’une infinie diversité. L’érosion, s’exerçant par la suite sur ces terrains, a bien pu les entamer, les enlever par places, en modifier la distribution de façon à empêcher que l’on reconnaisse aujourd’hui les contours des anciennes nappes d’eau ; elle n’a eu ni le temps ni la force de les faire disparaître, et de ramener au jour le socle profond ; son travail, ainsi incomplet et comme fragmentaire, n’a fait que mettre en lumière la diversité des terrains. En outre, s’attaquant à des terrains différents qui lui opposaient des résistances différentes, creusant sur certains points plus profondément que sur d’autres, l’érosion a, si je puis dire, modelé </w:t>
      </w:r>
      <w:r>
        <w:rPr>
          <w:color w:val="000000"/>
          <w:lang w:eastAsia="fr-FR" w:bidi="fr-FR"/>
        </w:rPr>
        <w:t>l’Î</w:t>
      </w:r>
      <w:r w:rsidRPr="00246AE4">
        <w:rPr>
          <w:color w:val="000000"/>
          <w:lang w:eastAsia="fr-FR" w:bidi="fr-FR"/>
        </w:rPr>
        <w:t>le-de-France. Dans notre voyage nous n’aurons pas à franchir de montagnes ; nous ne nous élèverons que bien rarement au-dessus de 200 mètres d’altitude ; mais nous monterons et nous descendrons so</w:t>
      </w:r>
      <w:r w:rsidRPr="00246AE4">
        <w:rPr>
          <w:color w:val="000000"/>
          <w:lang w:eastAsia="fr-FR" w:bidi="fr-FR"/>
        </w:rPr>
        <w:t>u</w:t>
      </w:r>
      <w:r w:rsidRPr="00246AE4">
        <w:rPr>
          <w:color w:val="000000"/>
          <w:lang w:eastAsia="fr-FR" w:bidi="fr-FR"/>
        </w:rPr>
        <w:t>vent. C’est un relief accidenté que celui</w:t>
      </w:r>
      <w:r>
        <w:rPr>
          <w:color w:val="000000"/>
          <w:lang w:eastAsia="fr-FR" w:bidi="fr-FR"/>
        </w:rPr>
        <w:t xml:space="preserve"> de l’Î</w:t>
      </w:r>
      <w:r w:rsidRPr="00246AE4">
        <w:rPr>
          <w:color w:val="000000"/>
          <w:lang w:eastAsia="fr-FR" w:bidi="fr-FR"/>
        </w:rPr>
        <w:t xml:space="preserve">le-de-France, et ce relief </w:t>
      </w:r>
      <w:r>
        <w:rPr>
          <w:color w:val="000000"/>
          <w:lang w:eastAsia="fr-FR" w:bidi="fr-FR"/>
        </w:rPr>
        <w:t>l’Î</w:t>
      </w:r>
      <w:r w:rsidRPr="00246AE4">
        <w:rPr>
          <w:color w:val="000000"/>
          <w:lang w:eastAsia="fr-FR" w:bidi="fr-FR"/>
        </w:rPr>
        <w:t>le-de-France le doit surtout à la diversité des terrains qui la comp</w:t>
      </w:r>
      <w:r w:rsidRPr="00246AE4">
        <w:rPr>
          <w:color w:val="000000"/>
          <w:lang w:eastAsia="fr-FR" w:bidi="fr-FR"/>
        </w:rPr>
        <w:t>o</w:t>
      </w:r>
      <w:r w:rsidRPr="00246AE4">
        <w:rPr>
          <w:color w:val="000000"/>
          <w:lang w:eastAsia="fr-FR" w:bidi="fr-FR"/>
        </w:rPr>
        <w:t>sent</w:t>
      </w:r>
      <w:r>
        <w:rPr>
          <w:color w:val="000000"/>
          <w:lang w:eastAsia="fr-FR" w:bidi="fr-FR"/>
        </w:rPr>
        <w:t> </w:t>
      </w:r>
      <w:r>
        <w:rPr>
          <w:rStyle w:val="Appelnotedebasdep"/>
        </w:rPr>
        <w:footnoteReference w:id="384"/>
      </w:r>
      <w:r w:rsidRPr="00246AE4">
        <w:rPr>
          <w:color w:val="000000"/>
          <w:lang w:eastAsia="fr-FR" w:bidi="fr-FR"/>
        </w:rPr>
        <w:t xml:space="preserve">. Calcaires qui forment la base des plateaux, et dont les carrières, où ont puisé les maçons des cathédrales, font des taches </w:t>
      </w:r>
      <w:r w:rsidRPr="00246AE4">
        <w:rPr>
          <w:color w:val="000000"/>
          <w:lang w:eastAsia="fr-FR" w:bidi="fr-FR"/>
        </w:rPr>
        <w:lastRenderedPageBreak/>
        <w:t>blanches aux flancs des vallées ; sables et grès qui portent les forêts sèches de Fo</w:t>
      </w:r>
      <w:r w:rsidRPr="00246AE4">
        <w:rPr>
          <w:color w:val="000000"/>
          <w:lang w:eastAsia="fr-FR" w:bidi="fr-FR"/>
        </w:rPr>
        <w:t>n</w:t>
      </w:r>
      <w:r w:rsidRPr="00246AE4">
        <w:rPr>
          <w:color w:val="000000"/>
          <w:lang w:eastAsia="fr-FR" w:bidi="fr-FR"/>
        </w:rPr>
        <w:t>tainebleau et d’Ermenonville ; argiles des meulières sur lesquelles, autour des mares, ont poussé les bois humides de la Brie ; marnes i</w:t>
      </w:r>
      <w:r w:rsidRPr="00246AE4">
        <w:rPr>
          <w:color w:val="000000"/>
          <w:lang w:eastAsia="fr-FR" w:bidi="fr-FR"/>
        </w:rPr>
        <w:t>m</w:t>
      </w:r>
      <w:r w:rsidRPr="00246AE4">
        <w:rPr>
          <w:color w:val="000000"/>
          <w:lang w:eastAsia="fr-FR" w:bidi="fr-FR"/>
        </w:rPr>
        <w:t xml:space="preserve">perméables qui, arrêtant les eaux au-dessous des masses calcaires, les forcent à sourdre sur les versants, et dont l’apparition à mi-côte est marquée par le long ruban des peupliers ; alluvions sur lesquelles au fond des vallées s’étalent les prairies et les jardins maraîchers ; limons des plateaux, riches en belles moissons : tant de roches et de terres diverses, dans un relief sans uniformité, donnent au visage de </w:t>
      </w:r>
      <w:r>
        <w:rPr>
          <w:color w:val="000000"/>
          <w:lang w:eastAsia="fr-FR" w:bidi="fr-FR"/>
        </w:rPr>
        <w:t>l’Î</w:t>
      </w:r>
      <w:r w:rsidRPr="00246AE4">
        <w:rPr>
          <w:color w:val="000000"/>
          <w:lang w:eastAsia="fr-FR" w:bidi="fr-FR"/>
        </w:rPr>
        <w:t>le-de-France cette variété qui surprend et charme les yeux lorsque venant vers Paris du Nord ou de l’Est, on quitte les plaines monotones des pays de la Somme ou de la Champagne.</w:t>
      </w:r>
    </w:p>
    <w:p w14:paraId="436912EE" w14:textId="77777777" w:rsidR="00B9662D" w:rsidRPr="00246AE4" w:rsidRDefault="00B9662D" w:rsidP="00B9662D">
      <w:pPr>
        <w:spacing w:before="120" w:after="120"/>
        <w:jc w:val="both"/>
      </w:pPr>
      <w:r w:rsidRPr="00246AE4">
        <w:rPr>
          <w:color w:val="000000"/>
          <w:lang w:eastAsia="fr-FR" w:bidi="fr-FR"/>
        </w:rPr>
        <w:t>Cette variété dans le paysage, ce caractère mouvementé du relief sont particulièrement sensibles dans le pays que l’on rencontre imm</w:t>
      </w:r>
      <w:r w:rsidRPr="00246AE4">
        <w:rPr>
          <w:color w:val="000000"/>
          <w:lang w:eastAsia="fr-FR" w:bidi="fr-FR"/>
        </w:rPr>
        <w:t>é</w:t>
      </w:r>
      <w:r w:rsidRPr="00246AE4">
        <w:rPr>
          <w:color w:val="000000"/>
          <w:lang w:eastAsia="fr-FR" w:bidi="fr-FR"/>
        </w:rPr>
        <w:t>diatement au Sud de Paris. La mince table calcaire, qui occupait autr</w:t>
      </w:r>
      <w:r w:rsidRPr="00246AE4">
        <w:rPr>
          <w:color w:val="000000"/>
          <w:lang w:eastAsia="fr-FR" w:bidi="fr-FR"/>
        </w:rPr>
        <w:t>e</w:t>
      </w:r>
      <w:r w:rsidRPr="00246AE4">
        <w:rPr>
          <w:color w:val="000000"/>
          <w:lang w:eastAsia="fr-FR" w:bidi="fr-FR"/>
        </w:rPr>
        <w:t>fois tout ce pays, a été creusée et découpée pa</w:t>
      </w:r>
      <w:r>
        <w:rPr>
          <w:color w:val="000000"/>
          <w:lang w:eastAsia="fr-FR" w:bidi="fr-FR"/>
        </w:rPr>
        <w:t>r les eaux : de sorte qu’aujour</w:t>
      </w:r>
      <w:r w:rsidRPr="00246AE4">
        <w:rPr>
          <w:color w:val="000000"/>
          <w:lang w:eastAsia="fr-FR" w:bidi="fr-FR"/>
        </w:rPr>
        <w:t>d’hui, de toutes parts, des vallons s’enfoncent, au-dessous du calcaire, dans les sables et les grès : vallons boisés, aux flancs e</w:t>
      </w:r>
      <w:r w:rsidRPr="00246AE4">
        <w:rPr>
          <w:color w:val="000000"/>
          <w:lang w:eastAsia="fr-FR" w:bidi="fr-FR"/>
        </w:rPr>
        <w:t>s</w:t>
      </w:r>
      <w:r w:rsidRPr="00246AE4">
        <w:rPr>
          <w:color w:val="000000"/>
          <w:lang w:eastAsia="fr-FR" w:bidi="fr-FR"/>
        </w:rPr>
        <w:t xml:space="preserve">carpés, « déserts » qui ont attiré au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les Cisterciens et plus tard les solitaires du jansénisme. Des plateaux, fragments du vaste pl</w:t>
      </w:r>
      <w:r w:rsidRPr="00246AE4">
        <w:rPr>
          <w:color w:val="000000"/>
          <w:lang w:eastAsia="fr-FR" w:bidi="fr-FR"/>
        </w:rPr>
        <w:t>a</w:t>
      </w:r>
      <w:r w:rsidRPr="00246AE4">
        <w:rPr>
          <w:color w:val="000000"/>
          <w:lang w:eastAsia="fr-FR" w:bidi="fr-FR"/>
        </w:rPr>
        <w:t>teau que fut autrefois le pays entier, s’étendent entre ces vallo</w:t>
      </w:r>
      <w:r>
        <w:rPr>
          <w:color w:val="000000"/>
          <w:lang w:eastAsia="fr-FR" w:bidi="fr-FR"/>
        </w:rPr>
        <w:t>ns et parfois se prolongent au-</w:t>
      </w:r>
      <w:r w:rsidRPr="00246AE4">
        <w:rPr>
          <w:color w:val="000000"/>
          <w:lang w:eastAsia="fr-FR" w:bidi="fr-FR"/>
        </w:rPr>
        <w:t>dessus d’eux par de hardis promontoires dont plus d’un jadis porta son château fort. Le calcaire, qui forme le socle de ces plateaux, se décompose au voisinage du sol, donnant, près de la surface, une roche poreuse,</w:t>
      </w:r>
      <w:r>
        <w:t xml:space="preserve"> [</w:t>
      </w:r>
      <w:r w:rsidRPr="00246AE4">
        <w:rPr>
          <w:color w:val="000000"/>
          <w:lang w:eastAsia="fr-FR" w:bidi="fr-FR"/>
        </w:rPr>
        <w:t>705</w:t>
      </w:r>
      <w:r>
        <w:rPr>
          <w:color w:val="000000"/>
          <w:lang w:eastAsia="fr-FR" w:bidi="fr-FR"/>
        </w:rPr>
        <w:t xml:space="preserve">] </w:t>
      </w:r>
      <w:r w:rsidRPr="00246AE4">
        <w:rPr>
          <w:color w:val="000000"/>
          <w:lang w:eastAsia="fr-FR" w:bidi="fr-FR"/>
        </w:rPr>
        <w:t>empâtée dans l’argile, que l’on d</w:t>
      </w:r>
      <w:r w:rsidRPr="00246AE4">
        <w:rPr>
          <w:color w:val="000000"/>
          <w:lang w:eastAsia="fr-FR" w:bidi="fr-FR"/>
        </w:rPr>
        <w:t>é</w:t>
      </w:r>
      <w:r w:rsidRPr="00246AE4">
        <w:rPr>
          <w:color w:val="000000"/>
          <w:lang w:eastAsia="fr-FR" w:bidi="fr-FR"/>
        </w:rPr>
        <w:t>signe sous le nom de « meulière ». Souvent les meulières sont reco</w:t>
      </w:r>
      <w:r w:rsidRPr="00246AE4">
        <w:rPr>
          <w:color w:val="000000"/>
          <w:lang w:eastAsia="fr-FR" w:bidi="fr-FR"/>
        </w:rPr>
        <w:t>u</w:t>
      </w:r>
      <w:r w:rsidRPr="00246AE4">
        <w:rPr>
          <w:color w:val="000000"/>
          <w:lang w:eastAsia="fr-FR" w:bidi="fr-FR"/>
        </w:rPr>
        <w:t>vertes de « limon », terre pulvérulente et grasse où nul caillou n’arrête la charrue. Pays de grande culture, ces plateaux limoneux offriraient sans doute un aspect quelque peu monotone et triste sans l’humidité que l’argile impe</w:t>
      </w:r>
      <w:r w:rsidRPr="00246AE4">
        <w:rPr>
          <w:color w:val="000000"/>
          <w:lang w:eastAsia="fr-FR" w:bidi="fr-FR"/>
        </w:rPr>
        <w:t>r</w:t>
      </w:r>
      <w:r w:rsidRPr="00246AE4">
        <w:rPr>
          <w:color w:val="000000"/>
          <w:lang w:eastAsia="fr-FR" w:bidi="fr-FR"/>
        </w:rPr>
        <w:t>méable dont s’enveloppent les meulières maintient près du sol ; grâce à elle la verdure ne fait pas défaut, ni les arbres ; parfois, comme en Normandie, des rangées de pommiers accomp</w:t>
      </w:r>
      <w:r w:rsidRPr="00246AE4">
        <w:rPr>
          <w:color w:val="000000"/>
          <w:lang w:eastAsia="fr-FR" w:bidi="fr-FR"/>
        </w:rPr>
        <w:t>a</w:t>
      </w:r>
      <w:r w:rsidRPr="00246AE4">
        <w:rPr>
          <w:color w:val="000000"/>
          <w:lang w:eastAsia="fr-FR" w:bidi="fr-FR"/>
        </w:rPr>
        <w:t>gnent les routes. Ai</w:t>
      </w:r>
      <w:r w:rsidRPr="00246AE4">
        <w:rPr>
          <w:color w:val="000000"/>
          <w:lang w:eastAsia="fr-FR" w:bidi="fr-FR"/>
        </w:rPr>
        <w:t>l</w:t>
      </w:r>
      <w:r w:rsidRPr="00246AE4">
        <w:rPr>
          <w:color w:val="000000"/>
          <w:lang w:eastAsia="fr-FR" w:bidi="fr-FR"/>
        </w:rPr>
        <w:t xml:space="preserve">leurs, lorsque la meulière est à nu, ou bien que la couche de limon est très mince, le plateau lui-même est gagné par la forêt. Vers l’Ouest une des grandes forêts de </w:t>
      </w:r>
      <w:r>
        <w:rPr>
          <w:color w:val="000000"/>
          <w:lang w:eastAsia="fr-FR" w:bidi="fr-FR"/>
        </w:rPr>
        <w:t>l’Î</w:t>
      </w:r>
      <w:r w:rsidRPr="00246AE4">
        <w:rPr>
          <w:color w:val="000000"/>
          <w:lang w:eastAsia="fr-FR" w:bidi="fr-FR"/>
        </w:rPr>
        <w:t>le-de-France, l’Iveline, couvrait autrefois plateaux et vallons ; aujourd’hui l’Iveline a bien reculé devant les a</w:t>
      </w:r>
      <w:r w:rsidRPr="00246AE4">
        <w:rPr>
          <w:color w:val="000000"/>
          <w:lang w:eastAsia="fr-FR" w:bidi="fr-FR"/>
        </w:rPr>
        <w:t>t</w:t>
      </w:r>
      <w:r w:rsidRPr="00246AE4">
        <w:rPr>
          <w:color w:val="000000"/>
          <w:lang w:eastAsia="fr-FR" w:bidi="fr-FR"/>
        </w:rPr>
        <w:t xml:space="preserve">taques des hommes ; pourtant de vastes lambeaux forestiers subsistent encore, et, dans les défrichements eux-mêmes, </w:t>
      </w:r>
      <w:r w:rsidRPr="00246AE4">
        <w:rPr>
          <w:color w:val="000000"/>
          <w:lang w:eastAsia="fr-FR" w:bidi="fr-FR"/>
        </w:rPr>
        <w:lastRenderedPageBreak/>
        <w:t>l’abondance des arbres, au milieu des champs, évoque le souvenir de l’ancienne forêt. Plus loin encore vers l’Ouest, entre Seine et Eure, le même pays accidenté, morcelé, divers, se poursuit ; il domine de quelques dizaines de mètres les plaines plus fertiles et plus monotones qui sur la rive gauche de l’Eure s’ouvrent vers la Normandie, dont e</w:t>
      </w:r>
      <w:r w:rsidRPr="00246AE4">
        <w:rPr>
          <w:color w:val="000000"/>
          <w:lang w:eastAsia="fr-FR" w:bidi="fr-FR"/>
        </w:rPr>
        <w:t>l</w:t>
      </w:r>
      <w:r w:rsidRPr="00246AE4">
        <w:rPr>
          <w:color w:val="000000"/>
          <w:lang w:eastAsia="fr-FR" w:bidi="fr-FR"/>
        </w:rPr>
        <w:t>les dépendent.</w:t>
      </w:r>
    </w:p>
    <w:p w14:paraId="3108090E" w14:textId="77777777" w:rsidR="00B9662D" w:rsidRPr="00246AE4" w:rsidRDefault="00B9662D" w:rsidP="00B9662D">
      <w:pPr>
        <w:spacing w:before="120" w:after="120"/>
        <w:jc w:val="both"/>
      </w:pPr>
      <w:r w:rsidRPr="00246AE4">
        <w:rPr>
          <w:color w:val="000000"/>
          <w:lang w:eastAsia="fr-FR" w:bidi="fr-FR"/>
        </w:rPr>
        <w:t>De toutes les vallées qui au Sud de Paris découpent les plateaux calcaires, aucune n’a plus de charme que l’humide vallée où coule la Juine, mince rivière qui va mêler ses eaux à celles d’un affluent de la Seine, l’Essonne. Sur la rive gauche de la Juine, au milieu des prés, la petite ville d’Étampes élève ses vieux clochers qui, vus de loin, p</w:t>
      </w:r>
      <w:r w:rsidRPr="00246AE4">
        <w:rPr>
          <w:color w:val="000000"/>
          <w:lang w:eastAsia="fr-FR" w:bidi="fr-FR"/>
        </w:rPr>
        <w:t>a</w:t>
      </w:r>
      <w:r w:rsidRPr="00246AE4">
        <w:rPr>
          <w:color w:val="000000"/>
          <w:lang w:eastAsia="fr-FR" w:bidi="fr-FR"/>
        </w:rPr>
        <w:t>raissent comme mêlés aux cimes des arbres. Étampes s’est placée sur la route de Paris à Orléans que gardait autrefois, pour les rois de Fra</w:t>
      </w:r>
      <w:r w:rsidRPr="00246AE4">
        <w:rPr>
          <w:color w:val="000000"/>
          <w:lang w:eastAsia="fr-FR" w:bidi="fr-FR"/>
        </w:rPr>
        <w:t>n</w:t>
      </w:r>
      <w:r w:rsidRPr="00246AE4">
        <w:rPr>
          <w:color w:val="000000"/>
          <w:lang w:eastAsia="fr-FR" w:bidi="fr-FR"/>
        </w:rPr>
        <w:t>ce, juché sur le rebord du plateau, le gros donjon que les Étampois appellent la tour Guinette. Suivons un moment cette route, vers O</w:t>
      </w:r>
      <w:r w:rsidRPr="00246AE4">
        <w:rPr>
          <w:color w:val="000000"/>
          <w:lang w:eastAsia="fr-FR" w:bidi="fr-FR"/>
        </w:rPr>
        <w:t>r</w:t>
      </w:r>
      <w:r w:rsidRPr="00246AE4">
        <w:rPr>
          <w:color w:val="000000"/>
          <w:lang w:eastAsia="fr-FR" w:bidi="fr-FR"/>
        </w:rPr>
        <w:t>léans. Après avoir traversé Étampes, laissant sur la gauche la Juine, dont le cours supérieur s’enfonce vers le Sud, elle franchit la vallée d’un affluent de la Juine, la Chalouette, qui coule de l’Ouest à l’Est ; puis elle monte lentement sur le flanc méridional de cette vallée. Lorsqu’on a dépassé le sommet du versant, un pays nouveau s’offre aux yeux ; à perte de vue des champs de blé et de betteraves s’étalent sur un sol presque plat. C’est la Beauce.</w:t>
      </w:r>
    </w:p>
    <w:p w14:paraId="1C503AB3" w14:textId="77777777" w:rsidR="00B9662D" w:rsidRPr="00246AE4" w:rsidRDefault="00B9662D" w:rsidP="00B9662D">
      <w:pPr>
        <w:spacing w:before="120" w:after="120"/>
        <w:jc w:val="both"/>
      </w:pPr>
      <w:r w:rsidRPr="00246AE4">
        <w:rPr>
          <w:color w:val="000000"/>
          <w:lang w:eastAsia="fr-FR" w:bidi="fr-FR"/>
        </w:rPr>
        <w:t>La Beauce n’est que le prolongement vers le Midi de la table ca</w:t>
      </w:r>
      <w:r w:rsidRPr="00246AE4">
        <w:rPr>
          <w:color w:val="000000"/>
          <w:lang w:eastAsia="fr-FR" w:bidi="fr-FR"/>
        </w:rPr>
        <w:t>l</w:t>
      </w:r>
      <w:r w:rsidRPr="00246AE4">
        <w:rPr>
          <w:color w:val="000000"/>
          <w:lang w:eastAsia="fr-FR" w:bidi="fr-FR"/>
        </w:rPr>
        <w:t>caire qui, nous l’avons vu, déchiquetée par les eaux, a formé les pl</w:t>
      </w:r>
      <w:r w:rsidRPr="00246AE4">
        <w:rPr>
          <w:color w:val="000000"/>
          <w:lang w:eastAsia="fr-FR" w:bidi="fr-FR"/>
        </w:rPr>
        <w:t>a</w:t>
      </w:r>
      <w:r w:rsidRPr="00246AE4">
        <w:rPr>
          <w:color w:val="000000"/>
          <w:lang w:eastAsia="fr-FR" w:bidi="fr-FR"/>
        </w:rPr>
        <w:t>teaux au Sud de Paris. Mais la masse calcaire, en Beauce, est très épaisse ; elle a résisté tout entière à l’érosion ; elle ne se décompose pas, à la surface, en meulières ; très perméable elle ne retient pas, au voisinage du sol, les eaux de pluie qui s’infiltrent à travers la roche jusqu’à de grandes profondeurs</w:t>
      </w:r>
      <w:r>
        <w:rPr>
          <w:color w:val="000000"/>
          <w:lang w:eastAsia="fr-FR" w:bidi="fr-FR"/>
        </w:rPr>
        <w:t> </w:t>
      </w:r>
      <w:r>
        <w:rPr>
          <w:rStyle w:val="Appelnotedebasdep"/>
        </w:rPr>
        <w:footnoteReference w:id="385"/>
      </w:r>
      <w:r w:rsidRPr="00246AE4">
        <w:rPr>
          <w:color w:val="000000"/>
          <w:lang w:eastAsia="fr-FR" w:bidi="fr-FR"/>
        </w:rPr>
        <w:t>. Ce plateau beauceron, sans sources, sans étangs, sans cours d’eau, serait sans doute un désert pierreux, analogue aux Causses du Massif Central français ou au Karst illyrien, si une vaste nappe de limon ne recouvrait le calcaire. Le li</w:t>
      </w:r>
      <w:r w:rsidRPr="00246AE4">
        <w:rPr>
          <w:color w:val="000000"/>
          <w:lang w:eastAsia="fr-FR" w:bidi="fr-FR"/>
        </w:rPr>
        <w:lastRenderedPageBreak/>
        <w:t>mon, ame</w:t>
      </w:r>
      <w:r w:rsidRPr="00246AE4">
        <w:rPr>
          <w:color w:val="000000"/>
          <w:lang w:eastAsia="fr-FR" w:bidi="fr-FR"/>
        </w:rPr>
        <w:t>n</w:t>
      </w:r>
      <w:r w:rsidRPr="00246AE4">
        <w:rPr>
          <w:color w:val="000000"/>
          <w:lang w:eastAsia="fr-FR" w:bidi="fr-FR"/>
        </w:rPr>
        <w:t>dé par la main de l’homme</w:t>
      </w:r>
      <w:r>
        <w:rPr>
          <w:color w:val="000000"/>
          <w:lang w:eastAsia="fr-FR" w:bidi="fr-FR"/>
        </w:rPr>
        <w:t> </w:t>
      </w:r>
      <w:r>
        <w:rPr>
          <w:rStyle w:val="Appelnotedebasdep"/>
        </w:rPr>
        <w:footnoteReference w:id="386"/>
      </w:r>
      <w:r w:rsidRPr="00246AE4">
        <w:rPr>
          <w:color w:val="000000"/>
          <w:lang w:eastAsia="fr-FR" w:bidi="fr-FR"/>
        </w:rPr>
        <w:t>, porte</w:t>
      </w:r>
      <w:r>
        <w:t xml:space="preserve"> [706] </w:t>
      </w:r>
      <w:r w:rsidRPr="00246AE4">
        <w:rPr>
          <w:color w:val="000000"/>
          <w:lang w:eastAsia="fr-FR" w:bidi="fr-FR"/>
        </w:rPr>
        <w:t>les belles moissons de céré</w:t>
      </w:r>
      <w:r w:rsidRPr="00246AE4">
        <w:rPr>
          <w:color w:val="000000"/>
          <w:lang w:eastAsia="fr-FR" w:bidi="fr-FR"/>
        </w:rPr>
        <w:t>a</w:t>
      </w:r>
      <w:r w:rsidRPr="00246AE4">
        <w:rPr>
          <w:color w:val="000000"/>
          <w:lang w:eastAsia="fr-FR" w:bidi="fr-FR"/>
        </w:rPr>
        <w:t>les qui ont donné la fortune et la gloire à la Beauce « mère des grains a</w:t>
      </w:r>
      <w:r>
        <w:rPr>
          <w:color w:val="000000"/>
          <w:lang w:eastAsia="fr-FR" w:bidi="fr-FR"/>
        </w:rPr>
        <w:t> </w:t>
      </w:r>
      <w:r>
        <w:rPr>
          <w:rStyle w:val="Appelnotedebasdep"/>
        </w:rPr>
        <w:footnoteReference w:id="387"/>
      </w:r>
      <w:r w:rsidRPr="00246AE4">
        <w:rPr>
          <w:color w:val="000000"/>
          <w:lang w:eastAsia="fr-FR" w:bidi="fr-FR"/>
        </w:rPr>
        <w:t xml:space="preserve"> et qui, au printemps et en été, au temps des blés verts comme au temps des épis mûrs, font sa monotone beauté : après la récolte, la Beauce ne paraît plus que comme un l</w:t>
      </w:r>
      <w:r w:rsidRPr="00246AE4">
        <w:rPr>
          <w:color w:val="000000"/>
          <w:lang w:eastAsia="fr-FR" w:bidi="fr-FR"/>
        </w:rPr>
        <w:t>a</w:t>
      </w:r>
      <w:r w:rsidRPr="00246AE4">
        <w:rPr>
          <w:color w:val="000000"/>
          <w:lang w:eastAsia="fr-FR" w:bidi="fr-FR"/>
        </w:rPr>
        <w:t>mentable désert. Dépourvue d’eaux de surface, la Beauce est privée de prairies, et presque co</w:t>
      </w:r>
      <w:r>
        <w:rPr>
          <w:color w:val="000000"/>
          <w:lang w:eastAsia="fr-FR" w:bidi="fr-FR"/>
        </w:rPr>
        <w:t>mpl</w:t>
      </w:r>
      <w:r>
        <w:rPr>
          <w:color w:val="000000"/>
          <w:lang w:eastAsia="fr-FR" w:bidi="fr-FR"/>
        </w:rPr>
        <w:t>è</w:t>
      </w:r>
      <w:r>
        <w:rPr>
          <w:color w:val="000000"/>
          <w:lang w:eastAsia="fr-FR" w:bidi="fr-FR"/>
        </w:rPr>
        <w:t>tement privée d’arbres ; l’</w:t>
      </w:r>
      <w:r w:rsidRPr="00246AE4">
        <w:rPr>
          <w:color w:val="000000"/>
          <w:lang w:eastAsia="fr-FR" w:bidi="fr-FR"/>
        </w:rPr>
        <w:t>« ample » forêt de Beauce, qu’abattit Ga</w:t>
      </w:r>
      <w:r w:rsidRPr="00246AE4">
        <w:rPr>
          <w:color w:val="000000"/>
          <w:lang w:eastAsia="fr-FR" w:bidi="fr-FR"/>
        </w:rPr>
        <w:t>r</w:t>
      </w:r>
      <w:r w:rsidRPr="00246AE4">
        <w:rPr>
          <w:color w:val="000000"/>
          <w:lang w:eastAsia="fr-FR" w:bidi="fr-FR"/>
        </w:rPr>
        <w:t>gantua</w:t>
      </w:r>
      <w:r>
        <w:rPr>
          <w:color w:val="000000"/>
          <w:lang w:eastAsia="fr-FR" w:bidi="fr-FR"/>
        </w:rPr>
        <w:t> </w:t>
      </w:r>
      <w:r>
        <w:rPr>
          <w:rStyle w:val="Appelnotedebasdep"/>
        </w:rPr>
        <w:footnoteReference w:id="388"/>
      </w:r>
      <w:r w:rsidRPr="00246AE4">
        <w:rPr>
          <w:color w:val="000000"/>
          <w:lang w:eastAsia="fr-FR" w:bidi="fr-FR"/>
        </w:rPr>
        <w:t>, n’a jamais appartenu qu’au monde mythique des héros de Rabelais ; des tentatives de boisement, entr</w:t>
      </w:r>
      <w:r w:rsidRPr="00246AE4">
        <w:rPr>
          <w:color w:val="000000"/>
          <w:lang w:eastAsia="fr-FR" w:bidi="fr-FR"/>
        </w:rPr>
        <w:t>e</w:t>
      </w:r>
      <w:r w:rsidRPr="00246AE4">
        <w:rPr>
          <w:color w:val="000000"/>
          <w:lang w:eastAsia="fr-FR" w:bidi="fr-FR"/>
        </w:rPr>
        <w:t>prises de nos jours, ont montré, par leur insuccès, combien les arbres viennent mal sur ce sol trop sec. Pour atteindre l’eau, il faut non se</w:t>
      </w:r>
      <w:r w:rsidRPr="00246AE4">
        <w:rPr>
          <w:color w:val="000000"/>
          <w:lang w:eastAsia="fr-FR" w:bidi="fr-FR"/>
        </w:rPr>
        <w:t>u</w:t>
      </w:r>
      <w:r w:rsidRPr="00246AE4">
        <w:rPr>
          <w:color w:val="000000"/>
          <w:lang w:eastAsia="fr-FR" w:bidi="fr-FR"/>
        </w:rPr>
        <w:t>lement forer des puits, il faut encore les forer profonds, c’est-à-dire à grands frais ; aussi sont-ils rares ; autour d’eux les habitations se groupent et forment de gros bourgs. D’autres contrées doivent un peu de leur aspect accueillant aux maisons qui s’y dispersent dans la ca</w:t>
      </w:r>
      <w:r w:rsidRPr="00246AE4">
        <w:rPr>
          <w:color w:val="000000"/>
          <w:lang w:eastAsia="fr-FR" w:bidi="fr-FR"/>
        </w:rPr>
        <w:t>m</w:t>
      </w:r>
      <w:r w:rsidRPr="00246AE4">
        <w:rPr>
          <w:color w:val="000000"/>
          <w:lang w:eastAsia="fr-FR" w:bidi="fr-FR"/>
        </w:rPr>
        <w:t>pagne ; ce charme, comme la parure des arbres, manque au paysage beauceron. Les lignes de ce paysage, par surcroît, sont sans variété ; car le plateau (qui est légèr</w:t>
      </w:r>
      <w:r w:rsidRPr="00246AE4">
        <w:rPr>
          <w:color w:val="000000"/>
          <w:lang w:eastAsia="fr-FR" w:bidi="fr-FR"/>
        </w:rPr>
        <w:t>e</w:t>
      </w:r>
      <w:r w:rsidRPr="00246AE4">
        <w:rPr>
          <w:color w:val="000000"/>
          <w:lang w:eastAsia="fr-FR" w:bidi="fr-FR"/>
        </w:rPr>
        <w:t>ment incliné vers le Sud) n’a guère de r</w:t>
      </w:r>
      <w:r w:rsidRPr="00246AE4">
        <w:rPr>
          <w:color w:val="000000"/>
          <w:lang w:eastAsia="fr-FR" w:bidi="fr-FR"/>
        </w:rPr>
        <w:t>e</w:t>
      </w:r>
      <w:r w:rsidRPr="00246AE4">
        <w:rPr>
          <w:color w:val="000000"/>
          <w:lang w:eastAsia="fr-FR" w:bidi="fr-FR"/>
        </w:rPr>
        <w:t>lief apparent : à peine si de faibles ondulations en parcourent la surf</w:t>
      </w:r>
      <w:r w:rsidRPr="00246AE4">
        <w:rPr>
          <w:color w:val="000000"/>
          <w:lang w:eastAsia="fr-FR" w:bidi="fr-FR"/>
        </w:rPr>
        <w:t>a</w:t>
      </w:r>
      <w:r w:rsidRPr="00246AE4">
        <w:rPr>
          <w:color w:val="000000"/>
          <w:lang w:eastAsia="fr-FR" w:bidi="fr-FR"/>
        </w:rPr>
        <w:t>ce. Ses bords seuls ont été entaillés par les rivières. Celles-ci se sont creusé, aux limites de la Beauce, dans l’épaisseur du calcaire, des vallées profondes, aux ve</w:t>
      </w:r>
      <w:r w:rsidRPr="00246AE4">
        <w:rPr>
          <w:color w:val="000000"/>
          <w:lang w:eastAsia="fr-FR" w:bidi="fr-FR"/>
        </w:rPr>
        <w:t>r</w:t>
      </w:r>
      <w:r w:rsidRPr="00246AE4">
        <w:rPr>
          <w:color w:val="000000"/>
          <w:lang w:eastAsia="fr-FR" w:bidi="fr-FR"/>
        </w:rPr>
        <w:t xml:space="preserve">sants abrupts. Sur les crêtes de ces versants se sont logés châteaux et villes fortes. Pithiviers, où fut bâtie une des premières tours féodales qui, au Moyen </w:t>
      </w:r>
      <w:r>
        <w:rPr>
          <w:color w:val="000000"/>
          <w:lang w:eastAsia="fr-FR" w:bidi="fr-FR"/>
        </w:rPr>
        <w:t>Â</w:t>
      </w:r>
      <w:r w:rsidRPr="00246AE4">
        <w:rPr>
          <w:color w:val="000000"/>
          <w:lang w:eastAsia="fr-FR" w:bidi="fr-FR"/>
        </w:rPr>
        <w:t>ge, se soient élevées dans l’</w:t>
      </w:r>
      <w:r>
        <w:rPr>
          <w:color w:val="000000"/>
          <w:lang w:eastAsia="fr-FR" w:bidi="fr-FR"/>
        </w:rPr>
        <w:t>Île-de-France </w:t>
      </w:r>
      <w:r>
        <w:rPr>
          <w:rStyle w:val="Appelnotedebasdep"/>
        </w:rPr>
        <w:footnoteReference w:id="389"/>
      </w:r>
      <w:r w:rsidRPr="00246AE4">
        <w:rPr>
          <w:color w:val="000000"/>
          <w:lang w:eastAsia="fr-FR" w:bidi="fr-FR"/>
        </w:rPr>
        <w:t>, domine le ravin verdoyant de l’Œuf ; Yèvre, de son château carré que fla</w:t>
      </w:r>
      <w:r w:rsidRPr="00246AE4">
        <w:rPr>
          <w:color w:val="000000"/>
          <w:lang w:eastAsia="fr-FR" w:bidi="fr-FR"/>
        </w:rPr>
        <w:t>n</w:t>
      </w:r>
      <w:r w:rsidRPr="00246AE4">
        <w:rPr>
          <w:color w:val="000000"/>
          <w:lang w:eastAsia="fr-FR" w:bidi="fr-FR"/>
        </w:rPr>
        <w:t xml:space="preserve">quent quatre tours, commande la gorge de la Rimarde ; sur les confins occidentaux de la Beauce, la ville de Chartres, ancien </w:t>
      </w:r>
      <w:r w:rsidRPr="00246AE4">
        <w:t>oppidum</w:t>
      </w:r>
      <w:r w:rsidRPr="00246AE4">
        <w:rPr>
          <w:color w:val="000000"/>
          <w:lang w:eastAsia="fr-FR" w:bidi="fr-FR"/>
        </w:rPr>
        <w:t xml:space="preserve"> ga</w:t>
      </w:r>
      <w:r w:rsidRPr="00246AE4">
        <w:rPr>
          <w:color w:val="000000"/>
          <w:lang w:eastAsia="fr-FR" w:bidi="fr-FR"/>
        </w:rPr>
        <w:t>u</w:t>
      </w:r>
      <w:r w:rsidRPr="00246AE4">
        <w:rPr>
          <w:color w:val="000000"/>
          <w:lang w:eastAsia="fr-FR" w:bidi="fr-FR"/>
        </w:rPr>
        <w:t xml:space="preserve">lois, dresse, au-dessus de la vallée de </w:t>
      </w:r>
      <w:r w:rsidRPr="00246AE4">
        <w:rPr>
          <w:color w:val="000000"/>
          <w:lang w:eastAsia="fr-FR" w:bidi="fr-FR"/>
        </w:rPr>
        <w:lastRenderedPageBreak/>
        <w:t>l’Eure, les deux flèches de sa cathédrale qui, accouplées et dissemblables, pointent à l’horizon des campagnes beauceronnes.</w:t>
      </w:r>
    </w:p>
    <w:p w14:paraId="4CE8ABFC" w14:textId="77777777" w:rsidR="00B9662D" w:rsidRPr="00246AE4" w:rsidRDefault="00B9662D" w:rsidP="00B9662D">
      <w:pPr>
        <w:spacing w:before="120" w:after="120"/>
        <w:jc w:val="both"/>
      </w:pPr>
      <w:r w:rsidRPr="00246AE4">
        <w:rPr>
          <w:color w:val="000000"/>
          <w:lang w:eastAsia="fr-FR" w:bidi="fr-FR"/>
        </w:rPr>
        <w:t>Quelque riche qu’il soit, c’est un triste pays que ce pays sans eaux courantes et sans arbres, que couvre uniformément le jaune manteau des limons. « O Beauce ! » disent deux vers latins, souvent cités, mais dont j’ignore et l’auteur et la date. « O Beauce ! triste sol, six fois d</w:t>
      </w:r>
      <w:r w:rsidRPr="00246AE4">
        <w:rPr>
          <w:color w:val="000000"/>
          <w:lang w:eastAsia="fr-FR" w:bidi="fr-FR"/>
        </w:rPr>
        <w:t>é</w:t>
      </w:r>
      <w:r w:rsidRPr="00246AE4">
        <w:rPr>
          <w:color w:val="000000"/>
          <w:lang w:eastAsia="fr-FR" w:bidi="fr-FR"/>
        </w:rPr>
        <w:t>pourvu ! à qui manquent sources et prés, forêts et rochers, vergers et vignobles »</w:t>
      </w:r>
      <w:r>
        <w:rPr>
          <w:color w:val="000000"/>
          <w:lang w:eastAsia="fr-FR" w:bidi="fr-FR"/>
        </w:rPr>
        <w:t> </w:t>
      </w:r>
      <w:r>
        <w:rPr>
          <w:rStyle w:val="Appelnotedebasdep"/>
        </w:rPr>
        <w:footnoteReference w:id="390"/>
      </w:r>
      <w:r w:rsidRPr="00246AE4">
        <w:rPr>
          <w:color w:val="000000"/>
          <w:lang w:eastAsia="fr-FR" w:bidi="fr-FR"/>
        </w:rPr>
        <w:t>. Aujourd’hui, interrogez sur la Beauce les soldats des garnisons voisines qui, après la moisson, vont faire les manœuvres d’automne sur le plateau dépouillé ; vous verrez en quels termes et de quel ton ils vous parleront de ce pays où « l’on fait payer un verre d’eau ». Mais les traits les moins</w:t>
      </w:r>
      <w:r>
        <w:t xml:space="preserve"> [707] </w:t>
      </w:r>
      <w:r w:rsidRPr="00246AE4">
        <w:rPr>
          <w:color w:val="000000"/>
          <w:lang w:eastAsia="fr-FR" w:bidi="fr-FR"/>
        </w:rPr>
        <w:t>aimables de la nature beauc</w:t>
      </w:r>
      <w:r w:rsidRPr="00246AE4">
        <w:rPr>
          <w:color w:val="000000"/>
          <w:lang w:eastAsia="fr-FR" w:bidi="fr-FR"/>
        </w:rPr>
        <w:t>e</w:t>
      </w:r>
      <w:r w:rsidRPr="00246AE4">
        <w:rPr>
          <w:color w:val="000000"/>
          <w:lang w:eastAsia="fr-FR" w:bidi="fr-FR"/>
        </w:rPr>
        <w:t>ronne concourent avec la fertilité d’un sol merveilleusement propre à la culture des céréales pour donner au pays beauceron une originalité, une individualité que la conscience populaire a toujours senties. La Beauce n’a jamais formé à elle seule une circonscription politique ; aussi haut que nous puissions remonter dans l’histoire, nous la trouv</w:t>
      </w:r>
      <w:r w:rsidRPr="00246AE4">
        <w:rPr>
          <w:color w:val="000000"/>
          <w:lang w:eastAsia="fr-FR" w:bidi="fr-FR"/>
        </w:rPr>
        <w:t>e</w:t>
      </w:r>
      <w:r w:rsidRPr="00246AE4">
        <w:rPr>
          <w:color w:val="000000"/>
          <w:lang w:eastAsia="fr-FR" w:bidi="fr-FR"/>
        </w:rPr>
        <w:t>rons toujours partagée entre des domin</w:t>
      </w:r>
      <w:r w:rsidRPr="00246AE4">
        <w:rPr>
          <w:color w:val="000000"/>
          <w:lang w:eastAsia="fr-FR" w:bidi="fr-FR"/>
        </w:rPr>
        <w:t>a</w:t>
      </w:r>
      <w:r w:rsidRPr="00246AE4">
        <w:rPr>
          <w:color w:val="000000"/>
          <w:lang w:eastAsia="fr-FR" w:bidi="fr-FR"/>
        </w:rPr>
        <w:t>tions différentes. Pourtant ce vieux nom de Beauce, qui apparaît pour la première fois dans la litt</w:t>
      </w:r>
      <w:r w:rsidRPr="00246AE4">
        <w:rPr>
          <w:color w:val="000000"/>
          <w:lang w:eastAsia="fr-FR" w:bidi="fr-FR"/>
        </w:rPr>
        <w:t>é</w:t>
      </w:r>
      <w:r w:rsidRPr="00246AE4">
        <w:rPr>
          <w:color w:val="000000"/>
          <w:lang w:eastAsia="fr-FR" w:bidi="fr-FR"/>
        </w:rPr>
        <w:t xml:space="preserve">rature à la fin du </w:t>
      </w:r>
      <w:r w:rsidRPr="004A075F">
        <w:rPr>
          <w:smallCaps/>
          <w:color w:val="000000"/>
          <w:lang w:eastAsia="fr-FR" w:bidi="fr-FR"/>
        </w:rPr>
        <w:t>vi</w:t>
      </w:r>
      <w:r w:rsidRPr="004A075F">
        <w:rPr>
          <w:smallCaps/>
          <w:color w:val="000000"/>
          <w:vertAlign w:val="superscript"/>
          <w:lang w:eastAsia="fr-FR" w:bidi="fr-FR"/>
        </w:rPr>
        <w:t>e</w:t>
      </w:r>
      <w:r w:rsidRPr="00246AE4">
        <w:rPr>
          <w:color w:val="000000"/>
          <w:lang w:eastAsia="fr-FR" w:bidi="fr-FR"/>
        </w:rPr>
        <w:t xml:space="preserve"> siècle de notre ère, mais dont l’origine paraît bien être gauloise (si elle n’est pas plus lointaine encore</w:t>
      </w:r>
      <w:r>
        <w:rPr>
          <w:color w:val="000000"/>
          <w:lang w:eastAsia="fr-FR" w:bidi="fr-FR"/>
        </w:rPr>
        <w:t> </w:t>
      </w:r>
      <w:r>
        <w:rPr>
          <w:rStyle w:val="Appelnotedebasdep"/>
        </w:rPr>
        <w:footnoteReference w:id="391"/>
      </w:r>
      <w:r w:rsidRPr="00246AE4">
        <w:rPr>
          <w:color w:val="000000"/>
          <w:lang w:eastAsia="fr-FR" w:bidi="fr-FR"/>
        </w:rPr>
        <w:t>), a subsisté à tr</w:t>
      </w:r>
      <w:r w:rsidRPr="00246AE4">
        <w:rPr>
          <w:color w:val="000000"/>
          <w:lang w:eastAsia="fr-FR" w:bidi="fr-FR"/>
        </w:rPr>
        <w:t>a</w:t>
      </w:r>
      <w:r w:rsidRPr="00246AE4">
        <w:rPr>
          <w:color w:val="000000"/>
          <w:lang w:eastAsia="fr-FR" w:bidi="fr-FR"/>
        </w:rPr>
        <w:t xml:space="preserve">vers les siècles. Au Moyen </w:t>
      </w:r>
      <w:r>
        <w:rPr>
          <w:color w:val="000000"/>
          <w:lang w:eastAsia="fr-FR" w:bidi="fr-FR"/>
        </w:rPr>
        <w:t>Â</w:t>
      </w:r>
      <w:r w:rsidRPr="00246AE4">
        <w:rPr>
          <w:color w:val="000000"/>
          <w:lang w:eastAsia="fr-FR" w:bidi="fr-FR"/>
        </w:rPr>
        <w:t>ge il a se</w:t>
      </w:r>
      <w:r w:rsidRPr="00246AE4">
        <w:rPr>
          <w:color w:val="000000"/>
          <w:lang w:eastAsia="fr-FR" w:bidi="fr-FR"/>
        </w:rPr>
        <w:t>r</w:t>
      </w:r>
      <w:r w:rsidRPr="00246AE4">
        <w:rPr>
          <w:color w:val="000000"/>
          <w:lang w:eastAsia="fr-FR" w:bidi="fr-FR"/>
        </w:rPr>
        <w:t xml:space="preserve">vi à former d’innombrables </w:t>
      </w:r>
      <w:r w:rsidRPr="00246AE4">
        <w:rPr>
          <w:color w:val="000000"/>
          <w:lang w:eastAsia="fr-FR" w:bidi="fr-FR"/>
        </w:rPr>
        <w:lastRenderedPageBreak/>
        <w:t>noms de personnes. Aujourd’hui encore le paysan le comprend et l’emploie dans son sens précis. La Beauce est un parfait exemple de « région naturelle ».</w:t>
      </w:r>
    </w:p>
    <w:p w14:paraId="151ABCEA" w14:textId="77777777" w:rsidR="00B9662D" w:rsidRPr="00246AE4" w:rsidRDefault="00B9662D" w:rsidP="00B9662D">
      <w:pPr>
        <w:spacing w:before="120" w:after="120"/>
        <w:jc w:val="both"/>
      </w:pPr>
      <w:r w:rsidRPr="00246AE4">
        <w:rPr>
          <w:color w:val="000000"/>
          <w:lang w:eastAsia="fr-FR" w:bidi="fr-FR"/>
        </w:rPr>
        <w:t xml:space="preserve">Les blés de la Beauce ont de bonne heure alimenté Paris : au Moyen </w:t>
      </w:r>
      <w:r>
        <w:rPr>
          <w:color w:val="000000"/>
          <w:lang w:eastAsia="fr-FR" w:bidi="fr-FR"/>
        </w:rPr>
        <w:t>Â</w:t>
      </w:r>
      <w:r w:rsidRPr="00246AE4">
        <w:rPr>
          <w:color w:val="000000"/>
          <w:lang w:eastAsia="fr-FR" w:bidi="fr-FR"/>
        </w:rPr>
        <w:t>ge un marché au blé, situé dans l’île de la Cité, portait le nom de « marché de Beauce »</w:t>
      </w:r>
      <w:r>
        <w:rPr>
          <w:color w:val="000000"/>
          <w:lang w:eastAsia="fr-FR" w:bidi="fr-FR"/>
        </w:rPr>
        <w:t> </w:t>
      </w:r>
      <w:r>
        <w:rPr>
          <w:rStyle w:val="Appelnotedebasdep"/>
        </w:rPr>
        <w:footnoteReference w:id="392"/>
      </w:r>
      <w:r w:rsidRPr="00246AE4">
        <w:rPr>
          <w:color w:val="000000"/>
          <w:lang w:eastAsia="fr-FR" w:bidi="fr-FR"/>
        </w:rPr>
        <w:t>. L’agglomération parisienne n’eût jamais pu se développer aussi largement qu’elle l’a fait, ni de si bonne heure, sans les belles terres à blé des environs, au premier rang de</w:t>
      </w:r>
      <w:r w:rsidRPr="00246AE4">
        <w:rPr>
          <w:color w:val="000000"/>
          <w:lang w:eastAsia="fr-FR" w:bidi="fr-FR"/>
        </w:rPr>
        <w:t>s</w:t>
      </w:r>
      <w:r w:rsidRPr="00246AE4">
        <w:rPr>
          <w:color w:val="000000"/>
          <w:lang w:eastAsia="fr-FR" w:bidi="fr-FR"/>
        </w:rPr>
        <w:t>quelles figure la Beauce. L’histoire de la Beauce est intimement liée à celle de Paris.</w:t>
      </w:r>
    </w:p>
    <w:p w14:paraId="3DCE12BB" w14:textId="77777777" w:rsidR="00B9662D" w:rsidRPr="00246AE4" w:rsidRDefault="00B9662D" w:rsidP="00B9662D">
      <w:pPr>
        <w:spacing w:before="120" w:after="120"/>
        <w:jc w:val="both"/>
      </w:pPr>
      <w:r w:rsidRPr="00246AE4">
        <w:rPr>
          <w:color w:val="000000"/>
          <w:lang w:eastAsia="fr-FR" w:bidi="fr-FR"/>
        </w:rPr>
        <w:t>Continuons à suivre sur le plateau la route de Paris à Orléans. Lorsqu’on arrive vers Artenay, des arbres se montrent autour des vi</w:t>
      </w:r>
      <w:r w:rsidRPr="00246AE4">
        <w:rPr>
          <w:color w:val="000000"/>
          <w:lang w:eastAsia="fr-FR" w:bidi="fr-FR"/>
        </w:rPr>
        <w:t>l</w:t>
      </w:r>
      <w:r w:rsidRPr="00246AE4">
        <w:rPr>
          <w:color w:val="000000"/>
          <w:lang w:eastAsia="fr-FR" w:bidi="fr-FR"/>
        </w:rPr>
        <w:t>lages ; et à mesure que l’on avance vers le Sud, une ligne bleue, que tout à l’heure on devinait seulement à l’horizon méridional, se marque d’un trait plus net : elle signale l’apparition de la forêt. La forêt d’Orléans, que l’on appelait jadis forêt de Loge et où les rois capétiens aimaient à chasser, s’étend au Sud de la Beauce, sur une nappe de s</w:t>
      </w:r>
      <w:r w:rsidRPr="00246AE4">
        <w:rPr>
          <w:color w:val="000000"/>
          <w:lang w:eastAsia="fr-FR" w:bidi="fr-FR"/>
        </w:rPr>
        <w:t>a</w:t>
      </w:r>
      <w:r w:rsidRPr="00246AE4">
        <w:rPr>
          <w:color w:val="000000"/>
          <w:lang w:eastAsia="fr-FR" w:bidi="fr-FR"/>
        </w:rPr>
        <w:t>bles argileux, analogues à ceux qui, sur la rive gauche de la Loire, forment le pauvre sol de la Sologne. Les cours d’eau de l’ère quate</w:t>
      </w:r>
      <w:r w:rsidRPr="00246AE4">
        <w:rPr>
          <w:color w:val="000000"/>
          <w:lang w:eastAsia="fr-FR" w:bidi="fr-FR"/>
        </w:rPr>
        <w:t>r</w:t>
      </w:r>
      <w:r w:rsidRPr="00246AE4">
        <w:rPr>
          <w:color w:val="000000"/>
          <w:lang w:eastAsia="fr-FR" w:bidi="fr-FR"/>
        </w:rPr>
        <w:t>naire ont jeté ces sables sur le bord du plateau calcaire. La forêt s’allonge de l’Est à l’Ouest en un mince ruban, qu’ont, par endroits, surtout vers l’Ouest, coupé les défrichements. Sa largeur, calculée du Nord au Sud, est faible : une quinzaine de kilomètres à peu près là où elle est la plus considérable, trois ou quatre kilomètres seulement au point où passe la route de Paris à Orléans. Mais de l’extrémité orient</w:t>
      </w:r>
      <w:r w:rsidRPr="00246AE4">
        <w:rPr>
          <w:color w:val="000000"/>
          <w:lang w:eastAsia="fr-FR" w:bidi="fr-FR"/>
        </w:rPr>
        <w:t>a</w:t>
      </w:r>
      <w:r w:rsidRPr="00246AE4">
        <w:rPr>
          <w:color w:val="000000"/>
          <w:lang w:eastAsia="fr-FR" w:bidi="fr-FR"/>
        </w:rPr>
        <w:t>le de la forêt à son extrémité occidentale, des environs de Gien à Coulmiers, on compte plus de soixante-dix kilomètres ; et, plus loin encore, vers le Nord-Ouest, après une vaste éclaircie, la forêt reparaît, sur une nouvelle nappe de sables, avec un autre nom, celui de forêt de Marchenoir. Arrêtons-nous à l’orée des bois : derrière ce long rideau forestier, une région nouvelle, et je dirai presque un monde nouveau commence, avec le Val de Loire.</w:t>
      </w:r>
    </w:p>
    <w:p w14:paraId="25B172D7" w14:textId="77777777" w:rsidR="00B9662D" w:rsidRPr="00246AE4" w:rsidRDefault="00B9662D" w:rsidP="00B9662D">
      <w:pPr>
        <w:spacing w:before="120" w:after="120"/>
        <w:jc w:val="both"/>
      </w:pPr>
      <w:r w:rsidRPr="00246AE4">
        <w:rPr>
          <w:color w:val="000000"/>
          <w:lang w:eastAsia="fr-FR" w:bidi="fr-FR"/>
        </w:rPr>
        <w:t>Du côté de l’Ouest, il serait difficile d’assigner à la Beauce des l</w:t>
      </w:r>
      <w:r w:rsidRPr="00246AE4">
        <w:rPr>
          <w:color w:val="000000"/>
          <w:lang w:eastAsia="fr-FR" w:bidi="fr-FR"/>
        </w:rPr>
        <w:t>i</w:t>
      </w:r>
      <w:r w:rsidRPr="00246AE4">
        <w:rPr>
          <w:color w:val="000000"/>
          <w:lang w:eastAsia="fr-FR" w:bidi="fr-FR"/>
        </w:rPr>
        <w:t xml:space="preserve">mites précises. Aux abords des vallées de l’Eure et du Loir, le pays </w:t>
      </w:r>
      <w:r w:rsidRPr="00246AE4">
        <w:rPr>
          <w:color w:val="000000"/>
          <w:lang w:eastAsia="fr-FR" w:bidi="fr-FR"/>
        </w:rPr>
        <w:lastRenderedPageBreak/>
        <w:t>change</w:t>
      </w:r>
      <w:r>
        <w:rPr>
          <w:color w:val="000000"/>
          <w:lang w:eastAsia="fr-FR" w:bidi="fr-FR"/>
        </w:rPr>
        <w:t xml:space="preserve"> </w:t>
      </w:r>
      <w:r>
        <w:t xml:space="preserve">[708] </w:t>
      </w:r>
      <w:r w:rsidRPr="00246AE4">
        <w:rPr>
          <w:color w:val="000000"/>
          <w:lang w:eastAsia="fr-FR" w:bidi="fr-FR"/>
        </w:rPr>
        <w:t>peu à peu. La nappe limoneuse se continue ; mais elle n’est plus supportée par le calcaire beauceron, si perméable ; elle r</w:t>
      </w:r>
      <w:r w:rsidRPr="00246AE4">
        <w:rPr>
          <w:color w:val="000000"/>
          <w:lang w:eastAsia="fr-FR" w:bidi="fr-FR"/>
        </w:rPr>
        <w:t>e</w:t>
      </w:r>
      <w:r w:rsidRPr="00246AE4">
        <w:rPr>
          <w:color w:val="000000"/>
          <w:lang w:eastAsia="fr-FR" w:bidi="fr-FR"/>
        </w:rPr>
        <w:t>pose sur la craie, et au limon se mêle l’argile à silex, terre impermé</w:t>
      </w:r>
      <w:r w:rsidRPr="00246AE4">
        <w:rPr>
          <w:color w:val="000000"/>
          <w:lang w:eastAsia="fr-FR" w:bidi="fr-FR"/>
        </w:rPr>
        <w:t>a</w:t>
      </w:r>
      <w:r w:rsidRPr="00246AE4">
        <w:rPr>
          <w:color w:val="000000"/>
          <w:lang w:eastAsia="fr-FR" w:bidi="fr-FR"/>
        </w:rPr>
        <w:t>ble qui est un produit de décomposition de la craie. L’eau est plus proche du sol. Arbres et prés apparaissent ; des haies vives séparent les champs. Vers Pontgoin, vers Illiers, vers Brou, la transition est achevée. Là co</w:t>
      </w:r>
      <w:r w:rsidRPr="00246AE4">
        <w:rPr>
          <w:color w:val="000000"/>
          <w:lang w:eastAsia="fr-FR" w:bidi="fr-FR"/>
        </w:rPr>
        <w:t>m</w:t>
      </w:r>
      <w:r w:rsidRPr="00246AE4">
        <w:rPr>
          <w:color w:val="000000"/>
          <w:lang w:eastAsia="fr-FR" w:bidi="fr-FR"/>
        </w:rPr>
        <w:t>mence le Perche</w:t>
      </w:r>
      <w:r>
        <w:rPr>
          <w:color w:val="000000"/>
          <w:lang w:eastAsia="fr-FR" w:bidi="fr-FR"/>
        </w:rPr>
        <w:t> </w:t>
      </w:r>
      <w:r>
        <w:rPr>
          <w:rStyle w:val="Appelnotedebasdep"/>
        </w:rPr>
        <w:footnoteReference w:id="393"/>
      </w:r>
      <w:r w:rsidRPr="00246AE4">
        <w:rPr>
          <w:color w:val="000000"/>
          <w:lang w:eastAsia="fr-FR" w:bidi="fr-FR"/>
        </w:rPr>
        <w:t>, région verdoyante et bocagère, qui fut jadis pre</w:t>
      </w:r>
      <w:r w:rsidRPr="00246AE4">
        <w:rPr>
          <w:color w:val="000000"/>
          <w:lang w:eastAsia="fr-FR" w:bidi="fr-FR"/>
        </w:rPr>
        <w:t>s</w:t>
      </w:r>
      <w:r w:rsidRPr="00246AE4">
        <w:rPr>
          <w:color w:val="000000"/>
          <w:lang w:eastAsia="fr-FR" w:bidi="fr-FR"/>
        </w:rPr>
        <w:t>que une forêt</w:t>
      </w:r>
      <w:r>
        <w:rPr>
          <w:color w:val="000000"/>
          <w:lang w:eastAsia="fr-FR" w:bidi="fr-FR"/>
        </w:rPr>
        <w:t> </w:t>
      </w:r>
      <w:r>
        <w:rPr>
          <w:rStyle w:val="Appelnotedebasdep"/>
        </w:rPr>
        <w:footnoteReference w:id="394"/>
      </w:r>
      <w:r w:rsidRPr="00246AE4">
        <w:rPr>
          <w:color w:val="000000"/>
          <w:lang w:eastAsia="fr-FR" w:bidi="fr-FR"/>
        </w:rPr>
        <w:t>. Les destinées historiques du Perche, comme son aspect même, le rattachent aux pays de l’Oues</w:t>
      </w:r>
      <w:r>
        <w:rPr>
          <w:color w:val="000000"/>
          <w:lang w:eastAsia="fr-FR" w:bidi="fr-FR"/>
        </w:rPr>
        <w:t>t, Norma</w:t>
      </w:r>
      <w:r>
        <w:rPr>
          <w:color w:val="000000"/>
          <w:lang w:eastAsia="fr-FR" w:bidi="fr-FR"/>
        </w:rPr>
        <w:t>n</w:t>
      </w:r>
      <w:r>
        <w:rPr>
          <w:color w:val="000000"/>
          <w:lang w:eastAsia="fr-FR" w:bidi="fr-FR"/>
        </w:rPr>
        <w:t>die ou Maine, non à l’Î</w:t>
      </w:r>
      <w:r w:rsidRPr="00246AE4">
        <w:rPr>
          <w:color w:val="000000"/>
          <w:lang w:eastAsia="fr-FR" w:bidi="fr-FR"/>
        </w:rPr>
        <w:t>le-de-France.</w:t>
      </w:r>
    </w:p>
    <w:p w14:paraId="238F72F5" w14:textId="77777777" w:rsidR="00B9662D" w:rsidRPr="00246AE4" w:rsidRDefault="00B9662D" w:rsidP="00B9662D">
      <w:pPr>
        <w:spacing w:before="120" w:after="120"/>
        <w:jc w:val="both"/>
      </w:pPr>
      <w:r>
        <w:rPr>
          <w:color w:val="000000"/>
          <w:lang w:eastAsia="fr-FR" w:bidi="fr-FR"/>
        </w:rPr>
        <w:t>À</w:t>
      </w:r>
      <w:r w:rsidRPr="00246AE4">
        <w:rPr>
          <w:color w:val="000000"/>
          <w:lang w:eastAsia="fr-FR" w:bidi="fr-FR"/>
        </w:rPr>
        <w:t xml:space="preserve"> l’Est c’est également par une transition lente que succède à la Beauce un pays nouveau, moins uniforme, plus accidenté et moins fertile, le Gâtinais</w:t>
      </w:r>
      <w:r>
        <w:rPr>
          <w:color w:val="000000"/>
          <w:lang w:eastAsia="fr-FR" w:bidi="fr-FR"/>
        </w:rPr>
        <w:t> </w:t>
      </w:r>
      <w:r>
        <w:rPr>
          <w:rStyle w:val="Appelnotedebasdep"/>
        </w:rPr>
        <w:footnoteReference w:id="395"/>
      </w:r>
      <w:r w:rsidRPr="00246AE4">
        <w:rPr>
          <w:color w:val="000000"/>
          <w:lang w:eastAsia="fr-FR" w:bidi="fr-FR"/>
        </w:rPr>
        <w:t>. Si l’on tient, pour plus de clarté, à adopter des limites nettes, mais d’une netteté un peu factice, on pourra faire co</w:t>
      </w:r>
      <w:r w:rsidRPr="00246AE4">
        <w:rPr>
          <w:color w:val="000000"/>
          <w:lang w:eastAsia="fr-FR" w:bidi="fr-FR"/>
        </w:rPr>
        <w:t>m</w:t>
      </w:r>
      <w:r w:rsidRPr="00246AE4">
        <w:rPr>
          <w:color w:val="000000"/>
          <w:lang w:eastAsia="fr-FR" w:bidi="fr-FR"/>
        </w:rPr>
        <w:t>mencer le Gâtinais aux vallées de la Rimarde et de l’Essonne. La m</w:t>
      </w:r>
      <w:r w:rsidRPr="00246AE4">
        <w:rPr>
          <w:color w:val="000000"/>
          <w:lang w:eastAsia="fr-FR" w:bidi="fr-FR"/>
        </w:rPr>
        <w:t>ê</w:t>
      </w:r>
      <w:r w:rsidRPr="00246AE4">
        <w:rPr>
          <w:color w:val="000000"/>
          <w:lang w:eastAsia="fr-FR" w:bidi="fr-FR"/>
        </w:rPr>
        <w:t>me masse calcaire, qui forme le plateau beauceron, se poursuit en G</w:t>
      </w:r>
      <w:r w:rsidRPr="00246AE4">
        <w:rPr>
          <w:color w:val="000000"/>
          <w:lang w:eastAsia="fr-FR" w:bidi="fr-FR"/>
        </w:rPr>
        <w:t>â</w:t>
      </w:r>
      <w:r w:rsidRPr="00246AE4">
        <w:rPr>
          <w:color w:val="000000"/>
          <w:lang w:eastAsia="fr-FR" w:bidi="fr-FR"/>
        </w:rPr>
        <w:t>tinais ; mais un banc argileux, s’insinuant à l’intérieur de cette masse, la divise en deux couches distinctes. Dans tout le Gâtinais occidental, les argiles retiennent les eaux à une distance de la surface plus faible qu’en Beauce. Dans le Gâtinais oriental, la couche inférieure du ca</w:t>
      </w:r>
      <w:r w:rsidRPr="00246AE4">
        <w:rPr>
          <w:color w:val="000000"/>
          <w:lang w:eastAsia="fr-FR" w:bidi="fr-FR"/>
        </w:rPr>
        <w:t>l</w:t>
      </w:r>
      <w:r w:rsidRPr="00246AE4">
        <w:rPr>
          <w:color w:val="000000"/>
          <w:lang w:eastAsia="fr-FR" w:bidi="fr-FR"/>
        </w:rPr>
        <w:t>caire seule constitue le sol ; l’érosion a fait disparaître la couche sup</w:t>
      </w:r>
      <w:r w:rsidRPr="00246AE4">
        <w:rPr>
          <w:color w:val="000000"/>
          <w:lang w:eastAsia="fr-FR" w:bidi="fr-FR"/>
        </w:rPr>
        <w:t>é</w:t>
      </w:r>
      <w:r w:rsidRPr="00246AE4">
        <w:rPr>
          <w:color w:val="000000"/>
          <w:lang w:eastAsia="fr-FR" w:bidi="fr-FR"/>
        </w:rPr>
        <w:t xml:space="preserve">rieure et les argiles intermédiaires : car légèrement relevés vers l’Est, les sédiments, dans le Gâtinais, ont pu être attaqués par les eaux plus profondément qu’en Beauce. De Beaune-la-Rolande </w:t>
      </w:r>
      <w:r w:rsidRPr="00246AE4">
        <w:rPr>
          <w:color w:val="000000"/>
          <w:lang w:eastAsia="fr-FR" w:bidi="fr-FR"/>
        </w:rPr>
        <w:lastRenderedPageBreak/>
        <w:t>jusqu’au</w:t>
      </w:r>
      <w:r>
        <w:rPr>
          <w:color w:val="000000"/>
          <w:lang w:eastAsia="fr-FR" w:bidi="fr-FR"/>
        </w:rPr>
        <w:t>-</w:t>
      </w:r>
      <w:r w:rsidRPr="00246AE4">
        <w:rPr>
          <w:color w:val="000000"/>
          <w:lang w:eastAsia="fr-FR" w:bidi="fr-FR"/>
        </w:rPr>
        <w:t xml:space="preserve">delà de Malesherbes, une longue côte, dont les pentes, tournées vers l’est, sont découpées par des vallons, marque l’extrémité orientale de la couche supérieure du calcaire beauceron. </w:t>
      </w:r>
      <w:r>
        <w:rPr>
          <w:color w:val="000000"/>
          <w:lang w:eastAsia="fr-FR" w:bidi="fr-FR"/>
        </w:rPr>
        <w:t>À</w:t>
      </w:r>
      <w:r w:rsidRPr="00246AE4">
        <w:rPr>
          <w:color w:val="000000"/>
          <w:lang w:eastAsia="fr-FR" w:bidi="fr-FR"/>
        </w:rPr>
        <w:t xml:space="preserve"> ses pieds, les argiles forment une bande étroite de prairies et d’arbres. Puis, si l’on s’avance plus loin vers l’Est, on voit apparaître les sédiments inférieurs du calcaire ; le sol redevient plat et sec. Sur la surface de ce nouveau plateau se dre</w:t>
      </w:r>
      <w:r w:rsidRPr="00246AE4">
        <w:rPr>
          <w:color w:val="000000"/>
          <w:lang w:eastAsia="fr-FR" w:bidi="fr-FR"/>
        </w:rPr>
        <w:t>s</w:t>
      </w:r>
      <w:r w:rsidRPr="00246AE4">
        <w:rPr>
          <w:color w:val="000000"/>
          <w:lang w:eastAsia="fr-FR" w:bidi="fr-FR"/>
        </w:rPr>
        <w:t>sent quelques buttes, fragments des sédiments supérieurs, qu’a, par places, épargnés l’érosion. Le manteau de limon qui couvre la Beauce se prolonge en Gâtinais ; mais l’épaisseur du limon y est plus faible qu’en Beauce ; et même, en quelques endroits, il fait complètement défaut. Autrefois le contraste était très vif entre la Beauce, presque tout entière emblavée, et le Gâtinais, qui, à côté d’étendues stériles, présentait bien des genres de culture ignorés de la Beauce : les pra</w:t>
      </w:r>
      <w:r w:rsidRPr="00246AE4">
        <w:rPr>
          <w:color w:val="000000"/>
          <w:lang w:eastAsia="fr-FR" w:bidi="fr-FR"/>
        </w:rPr>
        <w:t>i</w:t>
      </w:r>
      <w:r w:rsidRPr="00246AE4">
        <w:rPr>
          <w:color w:val="000000"/>
          <w:lang w:eastAsia="fr-FR" w:bidi="fr-FR"/>
        </w:rPr>
        <w:t>ries, le safran</w:t>
      </w:r>
      <w:r>
        <w:rPr>
          <w:color w:val="000000"/>
          <w:lang w:eastAsia="fr-FR" w:bidi="fr-FR"/>
        </w:rPr>
        <w:t> </w:t>
      </w:r>
      <w:r>
        <w:rPr>
          <w:rStyle w:val="Appelnotedebasdep"/>
        </w:rPr>
        <w:footnoteReference w:id="396"/>
      </w:r>
      <w:r w:rsidRPr="00246AE4">
        <w:rPr>
          <w:color w:val="000000"/>
          <w:lang w:eastAsia="fr-FR" w:bidi="fr-FR"/>
        </w:rPr>
        <w:t>, et sur les coteaux calcaires de beaux vignobles</w:t>
      </w:r>
      <w:r>
        <w:rPr>
          <w:color w:val="000000"/>
          <w:lang w:eastAsia="fr-FR" w:bidi="fr-FR"/>
        </w:rPr>
        <w:t> </w:t>
      </w:r>
      <w:r>
        <w:rPr>
          <w:rStyle w:val="Appelnotedebasdep"/>
        </w:rPr>
        <w:footnoteReference w:id="397"/>
      </w:r>
      <w:r w:rsidRPr="00246AE4">
        <w:rPr>
          <w:color w:val="000000"/>
          <w:lang w:eastAsia="fr-FR" w:bidi="fr-FR"/>
        </w:rPr>
        <w:t>. A</w:t>
      </w:r>
      <w:r w:rsidRPr="00246AE4">
        <w:rPr>
          <w:color w:val="000000"/>
          <w:lang w:eastAsia="fr-FR" w:bidi="fr-FR"/>
        </w:rPr>
        <w:t>u</w:t>
      </w:r>
      <w:r w:rsidRPr="00246AE4">
        <w:rPr>
          <w:color w:val="000000"/>
          <w:lang w:eastAsia="fr-FR" w:bidi="fr-FR"/>
        </w:rPr>
        <w:t>jourd’hui les sols même</w:t>
      </w:r>
      <w:r>
        <w:rPr>
          <w:color w:val="000000"/>
          <w:lang w:eastAsia="fr-FR" w:bidi="fr-FR"/>
        </w:rPr>
        <w:t xml:space="preserve"> </w:t>
      </w:r>
      <w:r>
        <w:t xml:space="preserve">[709] </w:t>
      </w:r>
      <w:r w:rsidRPr="00246AE4">
        <w:rPr>
          <w:color w:val="000000"/>
          <w:lang w:eastAsia="fr-FR" w:bidi="fr-FR"/>
        </w:rPr>
        <w:t>les plus pauvres du Gâtinais ont été amendés et portent des moissons ; le safran et la vigne, sans avoir di</w:t>
      </w:r>
      <w:r w:rsidRPr="00246AE4">
        <w:rPr>
          <w:color w:val="000000"/>
          <w:lang w:eastAsia="fr-FR" w:bidi="fr-FR"/>
        </w:rPr>
        <w:t>s</w:t>
      </w:r>
      <w:r w:rsidRPr="00246AE4">
        <w:rPr>
          <w:color w:val="000000"/>
          <w:lang w:eastAsia="fr-FR" w:bidi="fr-FR"/>
        </w:rPr>
        <w:t>paru, sont devenus plus rares.</w:t>
      </w:r>
    </w:p>
    <w:p w14:paraId="5139D41B" w14:textId="77777777" w:rsidR="00B9662D" w:rsidRPr="00246AE4" w:rsidRDefault="00B9662D" w:rsidP="00B9662D">
      <w:pPr>
        <w:spacing w:before="120" w:after="120"/>
        <w:jc w:val="both"/>
      </w:pPr>
      <w:r w:rsidRPr="00246AE4">
        <w:rPr>
          <w:color w:val="000000"/>
          <w:lang w:eastAsia="fr-FR" w:bidi="fr-FR"/>
        </w:rPr>
        <w:t>Le plateau du Gâtinais, à l’Est, est brusquement coupé par la vallée où le Loing coule à travers les prés qu’il inonde à la fin de l’hiver. Nous ne franchirons pas la vallée du Loing ; au delà commence un pays humide, boisé, qui va jusqu’à l’Yonne et qu’il faut étudier avec la région sénonaise. Mais descendons le long de la rivière. Aussitôt qu’on a dépassé la petite ville de Nemours, endormie au bord des eaux, des arbres se montrent, au-dessus de la rive gauche. La forêt de Fontainebleau, la « Bière » des anciens textes, s’étend là sur les sables et les grès que l’érosion a fait apparaître à l’extrémité du plateau ca</w:t>
      </w:r>
      <w:r w:rsidRPr="00246AE4">
        <w:rPr>
          <w:color w:val="000000"/>
          <w:lang w:eastAsia="fr-FR" w:bidi="fr-FR"/>
        </w:rPr>
        <w:t>l</w:t>
      </w:r>
      <w:r w:rsidRPr="00246AE4">
        <w:rPr>
          <w:color w:val="000000"/>
          <w:lang w:eastAsia="fr-FR" w:bidi="fr-FR"/>
        </w:rPr>
        <w:t>caire du Gâtinais, et dont les débris, entraînés par les eaux et le vent, s’étalent sur une vaste surface. Quelques lambeaux de la couverture calcaire, boisés eux aussi, font face, au-dessus des étendues sableuses, aux escarpements romantiques des grès. Au pied des hauteurs qui po</w:t>
      </w:r>
      <w:r w:rsidRPr="00246AE4">
        <w:rPr>
          <w:color w:val="000000"/>
          <w:lang w:eastAsia="fr-FR" w:bidi="fr-FR"/>
        </w:rPr>
        <w:t>r</w:t>
      </w:r>
      <w:r w:rsidRPr="00246AE4">
        <w:rPr>
          <w:color w:val="000000"/>
          <w:lang w:eastAsia="fr-FR" w:bidi="fr-FR"/>
        </w:rPr>
        <w:t>tent l’illustre forêt, le Loing rencontre la Seine.</w:t>
      </w:r>
    </w:p>
    <w:p w14:paraId="328AE501" w14:textId="77777777" w:rsidR="00B9662D" w:rsidRPr="00246AE4" w:rsidRDefault="00B9662D" w:rsidP="00B9662D">
      <w:pPr>
        <w:spacing w:before="120" w:after="120"/>
        <w:jc w:val="both"/>
      </w:pPr>
      <w:r w:rsidRPr="00246AE4">
        <w:rPr>
          <w:color w:val="000000"/>
          <w:lang w:eastAsia="fr-FR" w:bidi="fr-FR"/>
        </w:rPr>
        <w:lastRenderedPageBreak/>
        <w:t>La vallée de la Seine entaille le bord occidental d’un vaste plateau qui, sur la rive droite du fleuve, déroule jusqu’à la Marne ses molles ondulations</w:t>
      </w:r>
      <w:r>
        <w:rPr>
          <w:color w:val="000000"/>
          <w:lang w:eastAsia="fr-FR" w:bidi="fr-FR"/>
        </w:rPr>
        <w:t> </w:t>
      </w:r>
      <w:r>
        <w:rPr>
          <w:rStyle w:val="Appelnotedebasdep"/>
        </w:rPr>
        <w:footnoteReference w:id="398"/>
      </w:r>
      <w:r w:rsidRPr="00246AE4">
        <w:rPr>
          <w:color w:val="000000"/>
          <w:lang w:eastAsia="fr-FR" w:bidi="fr-FR"/>
        </w:rPr>
        <w:t>. La Brie</w:t>
      </w:r>
      <w:r>
        <w:rPr>
          <w:color w:val="000000"/>
          <w:lang w:eastAsia="fr-FR" w:bidi="fr-FR"/>
        </w:rPr>
        <w:t> — </w:t>
      </w:r>
      <w:r w:rsidRPr="00246AE4">
        <w:rPr>
          <w:color w:val="000000"/>
          <w:lang w:eastAsia="fr-FR" w:bidi="fr-FR"/>
        </w:rPr>
        <w:t>tel est le nom du plateau</w:t>
      </w:r>
      <w:r>
        <w:rPr>
          <w:color w:val="000000"/>
          <w:lang w:eastAsia="fr-FR" w:bidi="fr-FR"/>
        </w:rPr>
        <w:t> — </w:t>
      </w:r>
      <w:r w:rsidRPr="00246AE4">
        <w:rPr>
          <w:color w:val="000000"/>
          <w:lang w:eastAsia="fr-FR" w:bidi="fr-FR"/>
        </w:rPr>
        <w:t>a, comme la Beauce, pour soubassement une immense table calcaire sur laquelle, en Brie comme en Beauce, s’étendent des limons. L’aspect des deux pays, pourtant, est bien différent. Très marneux lui-même, c’est-à-dire médiocrement perméable, et reposant sur une couche, impénétrable aux eaux, de « marnes vertes » le calcaire de Brie, par surcroît, se d</w:t>
      </w:r>
      <w:r w:rsidRPr="00246AE4">
        <w:rPr>
          <w:color w:val="000000"/>
          <w:lang w:eastAsia="fr-FR" w:bidi="fr-FR"/>
        </w:rPr>
        <w:t>é</w:t>
      </w:r>
      <w:r w:rsidRPr="00246AE4">
        <w:rPr>
          <w:color w:val="000000"/>
          <w:lang w:eastAsia="fr-FR" w:bidi="fr-FR"/>
        </w:rPr>
        <w:t xml:space="preserve">compose vers la surface et devient meulière. La meulière, spongieuse et mêlée d’argiles, retient les eaux près du sol : de sorte que la Brie est aussi humide que la Beauce est sèche. Le moindre trou, creusé dans la meulière, devient rapidement une mare. Le gras limon qui couvre le plateau briard, pénétré d’humidité, forme un sol propre à la croissance des arbres. Certains textes du Haut Moyen </w:t>
      </w:r>
      <w:r>
        <w:rPr>
          <w:color w:val="000000"/>
          <w:lang w:eastAsia="fr-FR" w:bidi="fr-FR"/>
        </w:rPr>
        <w:t>Â</w:t>
      </w:r>
      <w:r w:rsidRPr="00246AE4">
        <w:rPr>
          <w:color w:val="000000"/>
          <w:lang w:eastAsia="fr-FR" w:bidi="fr-FR"/>
        </w:rPr>
        <w:t>ge traitent la Brie de f</w:t>
      </w:r>
      <w:r w:rsidRPr="00246AE4">
        <w:rPr>
          <w:color w:val="000000"/>
          <w:lang w:eastAsia="fr-FR" w:bidi="fr-FR"/>
        </w:rPr>
        <w:t>o</w:t>
      </w:r>
      <w:r w:rsidRPr="00246AE4">
        <w:rPr>
          <w:color w:val="000000"/>
          <w:lang w:eastAsia="fr-FR" w:bidi="fr-FR"/>
        </w:rPr>
        <w:t>rêt</w:t>
      </w:r>
      <w:r>
        <w:rPr>
          <w:color w:val="000000"/>
          <w:lang w:eastAsia="fr-FR" w:bidi="fr-FR"/>
        </w:rPr>
        <w:t> </w:t>
      </w:r>
      <w:r>
        <w:rPr>
          <w:rStyle w:val="Appelnotedebasdep"/>
        </w:rPr>
        <w:footnoteReference w:id="399"/>
      </w:r>
      <w:r w:rsidRPr="00246AE4">
        <w:rPr>
          <w:color w:val="000000"/>
          <w:lang w:eastAsia="fr-FR" w:bidi="fr-FR"/>
        </w:rPr>
        <w:t xml:space="preserve"> </w:t>
      </w:r>
      <w:r w:rsidRPr="00246AE4">
        <w:t>(</w:t>
      </w:r>
      <w:r w:rsidRPr="00A26A40">
        <w:rPr>
          <w:i/>
        </w:rPr>
        <w:t>saltus, silva</w:t>
      </w:r>
      <w:r w:rsidRPr="00246AE4">
        <w:t>).</w:t>
      </w:r>
      <w:r w:rsidRPr="00246AE4">
        <w:rPr>
          <w:color w:val="000000"/>
          <w:lang w:eastAsia="fr-FR" w:bidi="fr-FR"/>
        </w:rPr>
        <w:t xml:space="preserve"> Peut-être serait-il imprudent de les prendre à la lettre. En un temps où les forêts, mal aménagées, livrées à la dent des bêtes à qui elles servaient de terrain de pâture, étaient médiocrement touffues, le langage commun donnait aisément le nom de forêts à des pays abondants en arbres, qui, aujourd’hui, ne nous paraîtraient plus le mériter, les arbres n’y ayant sans doute jamais formé un couvert continu. Aussi bien, on l’a dit très justement, de nos jours encore, « vue à distance, la Brie paraît entièrement boisée »</w:t>
      </w:r>
      <w:r>
        <w:rPr>
          <w:color w:val="000000"/>
          <w:lang w:eastAsia="fr-FR" w:bidi="fr-FR"/>
        </w:rPr>
        <w:t> </w:t>
      </w:r>
      <w:r>
        <w:rPr>
          <w:rStyle w:val="Appelnotedebasdep"/>
        </w:rPr>
        <w:footnoteReference w:id="400"/>
      </w:r>
      <w:r w:rsidRPr="00246AE4">
        <w:rPr>
          <w:color w:val="000000"/>
          <w:lang w:eastAsia="fr-FR" w:bidi="fr-FR"/>
        </w:rPr>
        <w:t>. C’est que les arbres sont nombreux dans les champs et autour des fermes. Çà et là ils se groupent pour former de petits bois, et même de vraies forêts ;</w:t>
      </w:r>
      <w:r>
        <w:rPr>
          <w:color w:val="000000"/>
          <w:lang w:eastAsia="fr-FR" w:bidi="fr-FR"/>
        </w:rPr>
        <w:t xml:space="preserve"> </w:t>
      </w:r>
      <w:r>
        <w:t xml:space="preserve">[710] </w:t>
      </w:r>
      <w:r w:rsidRPr="00246AE4">
        <w:rPr>
          <w:color w:val="000000"/>
          <w:lang w:eastAsia="fr-FR" w:bidi="fr-FR"/>
        </w:rPr>
        <w:t>malgré les défrichements la forêt n’a pas disparu du plateau briard</w:t>
      </w:r>
      <w:r>
        <w:rPr>
          <w:color w:val="000000"/>
          <w:lang w:eastAsia="fr-FR" w:bidi="fr-FR"/>
        </w:rPr>
        <w:t> </w:t>
      </w:r>
      <w:r>
        <w:rPr>
          <w:rStyle w:val="Appelnotedebasdep"/>
        </w:rPr>
        <w:footnoteReference w:id="401"/>
      </w:r>
      <w:r w:rsidRPr="00246AE4">
        <w:rPr>
          <w:color w:val="000000"/>
          <w:lang w:eastAsia="fr-FR" w:bidi="fr-FR"/>
        </w:rPr>
        <w:t>.</w:t>
      </w:r>
    </w:p>
    <w:p w14:paraId="15801EFF" w14:textId="77777777" w:rsidR="00B9662D" w:rsidRPr="00246AE4" w:rsidRDefault="00B9662D" w:rsidP="00B9662D">
      <w:pPr>
        <w:spacing w:before="120" w:after="120"/>
        <w:jc w:val="both"/>
      </w:pPr>
      <w:r w:rsidRPr="00246AE4">
        <w:rPr>
          <w:color w:val="000000"/>
          <w:lang w:eastAsia="fr-FR" w:bidi="fr-FR"/>
        </w:rPr>
        <w:lastRenderedPageBreak/>
        <w:t>Le travail acharné de l’homme a fait des terres de la Brie, lourdes et humides (il a fallu les drainer pour les mettre en valeur) un sol d’une merveilleuse fécondité. Pays de grande culture comme la Bea</w:t>
      </w:r>
      <w:r w:rsidRPr="00246AE4">
        <w:rPr>
          <w:color w:val="000000"/>
          <w:lang w:eastAsia="fr-FR" w:bidi="fr-FR"/>
        </w:rPr>
        <w:t>u</w:t>
      </w:r>
      <w:r w:rsidRPr="00246AE4">
        <w:rPr>
          <w:color w:val="000000"/>
          <w:lang w:eastAsia="fr-FR" w:bidi="fr-FR"/>
        </w:rPr>
        <w:t>ce, la Brie est plus aimable. De grosses fermes sont disséminées sur le plateau ; à leurs abords, comme aux abords des villages, on voit, à c</w:t>
      </w:r>
      <w:r w:rsidRPr="00246AE4">
        <w:rPr>
          <w:color w:val="000000"/>
          <w:lang w:eastAsia="fr-FR" w:bidi="fr-FR"/>
        </w:rPr>
        <w:t>ô</w:t>
      </w:r>
      <w:r w:rsidRPr="00246AE4">
        <w:rPr>
          <w:color w:val="000000"/>
          <w:lang w:eastAsia="fr-FR" w:bidi="fr-FR"/>
        </w:rPr>
        <w:t>té des meules de paille, de beaux arbres, pareils à ceux qui s’en vont en file le long des routes et à ceux qui, apparaissant en bouquets parmi les cultures, rompent la monotonie des champs ; souvent une forêt s’aperçoit à l’horizon ; et de la terre toujours humide monte une br</w:t>
      </w:r>
      <w:r w:rsidRPr="00246AE4">
        <w:rPr>
          <w:color w:val="000000"/>
          <w:lang w:eastAsia="fr-FR" w:bidi="fr-FR"/>
        </w:rPr>
        <w:t>u</w:t>
      </w:r>
      <w:r w:rsidRPr="00246AE4">
        <w:rPr>
          <w:color w:val="000000"/>
          <w:lang w:eastAsia="fr-FR" w:bidi="fr-FR"/>
        </w:rPr>
        <w:t>me légère qui adoucit la lumière et amollit les contours.</w:t>
      </w:r>
    </w:p>
    <w:p w14:paraId="6F31E8FC" w14:textId="77777777" w:rsidR="00B9662D" w:rsidRPr="00246AE4" w:rsidRDefault="00B9662D" w:rsidP="00B9662D">
      <w:pPr>
        <w:spacing w:before="120" w:after="120"/>
        <w:jc w:val="both"/>
      </w:pPr>
      <w:r w:rsidRPr="00246AE4">
        <w:rPr>
          <w:color w:val="000000"/>
          <w:lang w:eastAsia="fr-FR" w:bidi="fr-FR"/>
        </w:rPr>
        <w:t>Vers l’Est la Brie s’étend jusqu’aux plaines crayeuses de la Cha</w:t>
      </w:r>
      <w:r w:rsidRPr="00246AE4">
        <w:rPr>
          <w:color w:val="000000"/>
          <w:lang w:eastAsia="fr-FR" w:bidi="fr-FR"/>
        </w:rPr>
        <w:t>m</w:t>
      </w:r>
      <w:r w:rsidRPr="00246AE4">
        <w:rPr>
          <w:color w:val="000000"/>
          <w:lang w:eastAsia="fr-FR" w:bidi="fr-FR"/>
        </w:rPr>
        <w:t xml:space="preserve">pagne, qu’elle domine. C’est sur le revers oriental du plateau briard que s’offrent au soleil les crus fameux du vignoble champenois. Toute la partie orientale de la Brie est depuis longtemps unie aux plaines champenoises par la solidarité que créent les échanges économiques ; la Brie de l’Ouest regarde vers Paris, dont ses dernières pentes sont voisines. Mais où trouver la limite ? L’histoire ne nous en présente aucune qui puisse nous satisfaire. Les comtes de Champagne, au Moyen </w:t>
      </w:r>
      <w:r>
        <w:rPr>
          <w:color w:val="000000"/>
          <w:lang w:eastAsia="fr-FR" w:bidi="fr-FR"/>
        </w:rPr>
        <w:t>Â</w:t>
      </w:r>
      <w:r w:rsidRPr="00246AE4">
        <w:rPr>
          <w:color w:val="000000"/>
          <w:lang w:eastAsia="fr-FR" w:bidi="fr-FR"/>
        </w:rPr>
        <w:t xml:space="preserve">ge, possédèrent une grande partie de la Brie : si bien que, au début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à leur titre de comtes de Champagne ils ajout</w:t>
      </w:r>
      <w:r w:rsidRPr="00246AE4">
        <w:rPr>
          <w:color w:val="000000"/>
          <w:lang w:eastAsia="fr-FR" w:bidi="fr-FR"/>
        </w:rPr>
        <w:t>è</w:t>
      </w:r>
      <w:r w:rsidRPr="00246AE4">
        <w:rPr>
          <w:color w:val="000000"/>
          <w:lang w:eastAsia="fr-FR" w:bidi="fr-FR"/>
        </w:rPr>
        <w:t>rent celui de comtes de Brie</w:t>
      </w:r>
      <w:r>
        <w:rPr>
          <w:color w:val="000000"/>
          <w:lang w:eastAsia="fr-FR" w:bidi="fr-FR"/>
        </w:rPr>
        <w:t> </w:t>
      </w:r>
      <w:r>
        <w:rPr>
          <w:rStyle w:val="Appelnotedebasdep"/>
        </w:rPr>
        <w:footnoteReference w:id="402"/>
      </w:r>
      <w:r w:rsidRPr="00246AE4">
        <w:rPr>
          <w:color w:val="000000"/>
          <w:lang w:eastAsia="fr-FR" w:bidi="fr-FR"/>
        </w:rPr>
        <w:t>. Mais seuls les hasards des successions féodales fixèrent les frontières de leurs domaines briards. Tandis que Brie-Comte-Bobert et le pays de Melun leur ont toujours échappé, ils étaient maîtres, au Nord du plateau, du comté de Meaux, tout proche de Paris. Nous comprendron</w:t>
      </w:r>
      <w:r>
        <w:rPr>
          <w:color w:val="000000"/>
          <w:lang w:eastAsia="fr-FR" w:bidi="fr-FR"/>
        </w:rPr>
        <w:t>s dans notre étude Melun, Brie-</w:t>
      </w:r>
      <w:r w:rsidRPr="00246AE4">
        <w:rPr>
          <w:color w:val="000000"/>
          <w:lang w:eastAsia="fr-FR" w:bidi="fr-FR"/>
        </w:rPr>
        <w:t>Comte-Robert, Meaux et toute la partie du plateau briard qui avoisine ces vi</w:t>
      </w:r>
      <w:r w:rsidRPr="00246AE4">
        <w:rPr>
          <w:color w:val="000000"/>
          <w:lang w:eastAsia="fr-FR" w:bidi="fr-FR"/>
        </w:rPr>
        <w:t>l</w:t>
      </w:r>
      <w:r w:rsidRPr="00246AE4">
        <w:rPr>
          <w:color w:val="000000"/>
          <w:lang w:eastAsia="fr-FR" w:bidi="fr-FR"/>
        </w:rPr>
        <w:t>les ; Provins ni Château-Thierry ne peuvent être étudiés avec la région parisienne. Quant à tracer une limite précise, pourquoi s’y acharner, puisque la nature, non plus que l’histoire, n’en fournit point ?</w:t>
      </w:r>
    </w:p>
    <w:p w14:paraId="68C40F45" w14:textId="77777777" w:rsidR="00B9662D" w:rsidRPr="00246AE4" w:rsidRDefault="00B9662D" w:rsidP="00B9662D">
      <w:pPr>
        <w:spacing w:before="120" w:after="120"/>
        <w:jc w:val="both"/>
      </w:pPr>
      <w:r w:rsidRPr="00246AE4">
        <w:rPr>
          <w:color w:val="000000"/>
          <w:lang w:eastAsia="fr-FR" w:bidi="fr-FR"/>
        </w:rPr>
        <w:t>Quittons la Brie, et franchissons, un peu en aval de Meaux, la va</w:t>
      </w:r>
      <w:r w:rsidRPr="00246AE4">
        <w:rPr>
          <w:color w:val="000000"/>
          <w:lang w:eastAsia="fr-FR" w:bidi="fr-FR"/>
        </w:rPr>
        <w:t>l</w:t>
      </w:r>
      <w:r w:rsidRPr="00246AE4">
        <w:rPr>
          <w:color w:val="000000"/>
          <w:lang w:eastAsia="fr-FR" w:bidi="fr-FR"/>
        </w:rPr>
        <w:t>lée où la Marne, encombrée d’îles, et le canal qui l’accompagne m</w:t>
      </w:r>
      <w:r w:rsidRPr="00246AE4">
        <w:rPr>
          <w:color w:val="000000"/>
          <w:lang w:eastAsia="fr-FR" w:bidi="fr-FR"/>
        </w:rPr>
        <w:t>i</w:t>
      </w:r>
      <w:r w:rsidRPr="00246AE4">
        <w:rPr>
          <w:color w:val="000000"/>
          <w:lang w:eastAsia="fr-FR" w:bidi="fr-FR"/>
        </w:rPr>
        <w:t>rent les peupliers de leurs rives dans des eaux qui paraissent immob</w:t>
      </w:r>
      <w:r w:rsidRPr="00246AE4">
        <w:rPr>
          <w:color w:val="000000"/>
          <w:lang w:eastAsia="fr-FR" w:bidi="fr-FR"/>
        </w:rPr>
        <w:t>i</w:t>
      </w:r>
      <w:r w:rsidRPr="00246AE4">
        <w:rPr>
          <w:color w:val="000000"/>
          <w:lang w:eastAsia="fr-FR" w:bidi="fr-FR"/>
        </w:rPr>
        <w:t xml:space="preserve">les. </w:t>
      </w:r>
      <w:r>
        <w:rPr>
          <w:color w:val="000000"/>
          <w:lang w:eastAsia="fr-FR" w:bidi="fr-FR"/>
        </w:rPr>
        <w:t>À</w:t>
      </w:r>
      <w:r w:rsidRPr="00246AE4">
        <w:rPr>
          <w:color w:val="000000"/>
          <w:lang w:eastAsia="fr-FR" w:bidi="fr-FR"/>
        </w:rPr>
        <w:t xml:space="preserve"> la Brie fait face, de l’autre côté de la vallée, un plateau dont le socle calcaire se cache, lui aussi, sous la nappe fertile des limons. Ce </w:t>
      </w:r>
      <w:r w:rsidRPr="00246AE4">
        <w:rPr>
          <w:color w:val="000000"/>
          <w:lang w:eastAsia="fr-FR" w:bidi="fr-FR"/>
        </w:rPr>
        <w:lastRenderedPageBreak/>
        <w:t>plateau, dont les pentes méridionales s’abaissent doucement vers la Plaine-Saint-Denis, en vue de Paris, et qui porte sur son sol limoneux le bon froment dont on faisait jadis le « pain de Gonesse » cher aux Parisiens, nous avons déjà appris le nom qu’il faut lui donner : c’est la « Fran</w:t>
      </w:r>
      <w:r>
        <w:rPr>
          <w:color w:val="000000"/>
          <w:lang w:eastAsia="fr-FR" w:bidi="fr-FR"/>
        </w:rPr>
        <w:t>ce » ou, si l’on veut, c’est l’« Î</w:t>
      </w:r>
      <w:r w:rsidRPr="00246AE4">
        <w:rPr>
          <w:color w:val="000000"/>
          <w:lang w:eastAsia="fr-FR" w:bidi="fr-FR"/>
        </w:rPr>
        <w:t>le-de-France » au sens restreint, au sens vrai de ce mot</w:t>
      </w:r>
      <w:r>
        <w:rPr>
          <w:color w:val="000000"/>
          <w:lang w:eastAsia="fr-FR" w:bidi="fr-FR"/>
        </w:rPr>
        <w:t> </w:t>
      </w:r>
      <w:r>
        <w:rPr>
          <w:rStyle w:val="Appelnotedebasdep"/>
        </w:rPr>
        <w:footnoteReference w:id="403"/>
      </w:r>
      <w:r w:rsidRPr="00246AE4">
        <w:rPr>
          <w:color w:val="000000"/>
          <w:lang w:eastAsia="fr-FR" w:bidi="fr-FR"/>
        </w:rPr>
        <w:t>. Quelques buttes, allongées de l’Est à l’Ouest, dominent les légers vallonnements de cette terre à blés ; formées de terrains plus récents que les calcaires qui constituent le soubassement du plateau, elles sont comme des lambeaux respectés par l’érosion : sur leurs flancs</w:t>
      </w:r>
      <w:r>
        <w:rPr>
          <w:color w:val="000000"/>
          <w:lang w:eastAsia="fr-FR" w:bidi="fr-FR"/>
        </w:rPr>
        <w:t> — </w:t>
      </w:r>
      <w:r w:rsidRPr="00246AE4">
        <w:rPr>
          <w:color w:val="000000"/>
          <w:lang w:eastAsia="fr-FR" w:bidi="fr-FR"/>
        </w:rPr>
        <w:t>où d’imperméables argiles forcent les eaux à app</w:t>
      </w:r>
      <w:r w:rsidRPr="00246AE4">
        <w:rPr>
          <w:color w:val="000000"/>
          <w:lang w:eastAsia="fr-FR" w:bidi="fr-FR"/>
        </w:rPr>
        <w:t>a</w:t>
      </w:r>
      <w:r w:rsidRPr="00246AE4">
        <w:rPr>
          <w:color w:val="000000"/>
          <w:lang w:eastAsia="fr-FR" w:bidi="fr-FR"/>
        </w:rPr>
        <w:t>raître à la lumière</w:t>
      </w:r>
      <w:r>
        <w:rPr>
          <w:color w:val="000000"/>
          <w:lang w:eastAsia="fr-FR" w:bidi="fr-FR"/>
        </w:rPr>
        <w:t> — </w:t>
      </w:r>
      <w:r w:rsidRPr="00246AE4">
        <w:rPr>
          <w:color w:val="000000"/>
          <w:lang w:eastAsia="fr-FR" w:bidi="fr-FR"/>
        </w:rPr>
        <w:t>des villages se sont logés,</w:t>
      </w:r>
      <w:r>
        <w:rPr>
          <w:color w:val="000000"/>
          <w:lang w:eastAsia="fr-FR" w:bidi="fr-FR"/>
        </w:rPr>
        <w:t xml:space="preserve"> </w:t>
      </w:r>
      <w:r>
        <w:t>[</w:t>
      </w:r>
      <w:r w:rsidRPr="00246AE4">
        <w:rPr>
          <w:color w:val="000000"/>
          <w:lang w:eastAsia="fr-FR" w:bidi="fr-FR"/>
        </w:rPr>
        <w:t>711</w:t>
      </w:r>
      <w:r>
        <w:rPr>
          <w:color w:val="000000"/>
          <w:lang w:eastAsia="fr-FR" w:bidi="fr-FR"/>
        </w:rPr>
        <w:t xml:space="preserve">] </w:t>
      </w:r>
      <w:r w:rsidRPr="00246AE4">
        <w:rPr>
          <w:color w:val="000000"/>
          <w:lang w:eastAsia="fr-FR" w:bidi="fr-FR"/>
        </w:rPr>
        <w:t>tandis que leurs sommets, taillés dans les sables ou dans la meuli</w:t>
      </w:r>
      <w:r w:rsidRPr="00246AE4">
        <w:rPr>
          <w:color w:val="000000"/>
          <w:lang w:eastAsia="fr-FR" w:bidi="fr-FR"/>
        </w:rPr>
        <w:t>è</w:t>
      </w:r>
      <w:r w:rsidRPr="00246AE4">
        <w:rPr>
          <w:color w:val="000000"/>
          <w:lang w:eastAsia="fr-FR" w:bidi="fr-FR"/>
        </w:rPr>
        <w:t>re, sont occupés par des forêts</w:t>
      </w:r>
      <w:r>
        <w:rPr>
          <w:color w:val="000000"/>
          <w:lang w:eastAsia="fr-FR" w:bidi="fr-FR"/>
        </w:rPr>
        <w:t> : bois de Cormeilles et de Maff</w:t>
      </w:r>
      <w:r w:rsidRPr="00246AE4">
        <w:rPr>
          <w:color w:val="000000"/>
          <w:lang w:eastAsia="fr-FR" w:bidi="fr-FR"/>
        </w:rPr>
        <w:t>liers, forêts d’Écouen et de Montmorency, dont les masses bleuâtres, app</w:t>
      </w:r>
      <w:r w:rsidRPr="00246AE4">
        <w:rPr>
          <w:color w:val="000000"/>
          <w:lang w:eastAsia="fr-FR" w:bidi="fr-FR"/>
        </w:rPr>
        <w:t>a</w:t>
      </w:r>
      <w:r w:rsidRPr="00246AE4">
        <w:rPr>
          <w:color w:val="000000"/>
          <w:lang w:eastAsia="fr-FR" w:bidi="fr-FR"/>
        </w:rPr>
        <w:t>raissant sur les coteaux, font le charme un peu grave des calmes hor</w:t>
      </w:r>
      <w:r w:rsidRPr="00246AE4">
        <w:rPr>
          <w:color w:val="000000"/>
          <w:lang w:eastAsia="fr-FR" w:bidi="fr-FR"/>
        </w:rPr>
        <w:t>i</w:t>
      </w:r>
      <w:r w:rsidRPr="00246AE4">
        <w:rPr>
          <w:color w:val="000000"/>
          <w:lang w:eastAsia="fr-FR" w:bidi="fr-FR"/>
        </w:rPr>
        <w:t>zons de la « France ». Vers l’Est et le Nord une rangée de buttes an</w:t>
      </w:r>
      <w:r w:rsidRPr="00246AE4">
        <w:rPr>
          <w:color w:val="000000"/>
          <w:lang w:eastAsia="fr-FR" w:bidi="fr-FR"/>
        </w:rPr>
        <w:t>a</w:t>
      </w:r>
      <w:r w:rsidRPr="00246AE4">
        <w:rPr>
          <w:color w:val="000000"/>
          <w:lang w:eastAsia="fr-FR" w:bidi="fr-FR"/>
        </w:rPr>
        <w:t>logues marque le tracé d’un ancien plissement du sol dirigé du Sud-Ouest au Nord-Ouest. Ces buttes, très proches les unes des autres, s’alignent depuis les env</w:t>
      </w:r>
      <w:r w:rsidRPr="00246AE4">
        <w:rPr>
          <w:color w:val="000000"/>
          <w:lang w:eastAsia="fr-FR" w:bidi="fr-FR"/>
        </w:rPr>
        <w:t>i</w:t>
      </w:r>
      <w:r w:rsidRPr="00246AE4">
        <w:rPr>
          <w:color w:val="000000"/>
          <w:lang w:eastAsia="fr-FR" w:bidi="fr-FR"/>
        </w:rPr>
        <w:t>rons de Meaux jusqu’au voisinage des gra</w:t>
      </w:r>
      <w:r w:rsidRPr="00246AE4">
        <w:rPr>
          <w:color w:val="000000"/>
          <w:lang w:eastAsia="fr-FR" w:bidi="fr-FR"/>
        </w:rPr>
        <w:t>n</w:t>
      </w:r>
      <w:r w:rsidRPr="00246AE4">
        <w:rPr>
          <w:color w:val="000000"/>
          <w:lang w:eastAsia="fr-FR" w:bidi="fr-FR"/>
        </w:rPr>
        <w:t>des forêts qui, au-dessus de la vallée de l’Oise, autour de Luzarches, d’Ermenonville, de Cha</w:t>
      </w:r>
      <w:r w:rsidRPr="00246AE4">
        <w:rPr>
          <w:color w:val="000000"/>
          <w:lang w:eastAsia="fr-FR" w:bidi="fr-FR"/>
        </w:rPr>
        <w:t>n</w:t>
      </w:r>
      <w:r w:rsidRPr="00246AE4">
        <w:rPr>
          <w:color w:val="000000"/>
          <w:lang w:eastAsia="fr-FR" w:bidi="fr-FR"/>
        </w:rPr>
        <w:t>tilly, s’étalent sur le plateau lui-même. Il n’est guère douteux que ces hauteurs, dont quelques-unes aujourd’hui sont presque complètement défrichées, ne fussent autrefois toutes co</w:t>
      </w:r>
      <w:r w:rsidRPr="00246AE4">
        <w:rPr>
          <w:color w:val="000000"/>
          <w:lang w:eastAsia="fr-FR" w:bidi="fr-FR"/>
        </w:rPr>
        <w:t>u</w:t>
      </w:r>
      <w:r w:rsidRPr="00246AE4">
        <w:rPr>
          <w:color w:val="000000"/>
          <w:lang w:eastAsia="fr-FR" w:bidi="fr-FR"/>
        </w:rPr>
        <w:t>ronnées de bois. S’unissant aux vastes forêts des bords de l’Oise elles formaient une sorte de « marche » forestière, peu épaisse d’ailleurs et qui peut-être ne fut j</w:t>
      </w:r>
      <w:r w:rsidRPr="00246AE4">
        <w:rPr>
          <w:color w:val="000000"/>
          <w:lang w:eastAsia="fr-FR" w:bidi="fr-FR"/>
        </w:rPr>
        <w:t>a</w:t>
      </w:r>
      <w:r w:rsidRPr="00246AE4">
        <w:rPr>
          <w:color w:val="000000"/>
          <w:lang w:eastAsia="fr-FR" w:bidi="fr-FR"/>
        </w:rPr>
        <w:t>mais continue</w:t>
      </w:r>
      <w:r>
        <w:rPr>
          <w:color w:val="000000"/>
          <w:lang w:eastAsia="fr-FR" w:bidi="fr-FR"/>
        </w:rPr>
        <w:t> </w:t>
      </w:r>
      <w:r>
        <w:rPr>
          <w:rStyle w:val="Appelnotedebasdep"/>
        </w:rPr>
        <w:footnoteReference w:id="404"/>
      </w:r>
      <w:r w:rsidRPr="00246AE4">
        <w:rPr>
          <w:color w:val="000000"/>
          <w:lang w:eastAsia="fr-FR" w:bidi="fr-FR"/>
        </w:rPr>
        <w:t>. Là s’arrêtait la « France ». Nous n’irons pas plus loin.</w:t>
      </w:r>
    </w:p>
    <w:p w14:paraId="448AB058" w14:textId="77777777" w:rsidR="00B9662D" w:rsidRPr="00246AE4" w:rsidRDefault="00B9662D" w:rsidP="00B9662D">
      <w:pPr>
        <w:spacing w:before="120" w:after="120"/>
        <w:jc w:val="both"/>
      </w:pPr>
      <w:r w:rsidRPr="00246AE4">
        <w:rPr>
          <w:color w:val="000000"/>
          <w:lang w:eastAsia="fr-FR" w:bidi="fr-FR"/>
        </w:rPr>
        <w:t>La « France » est bornée à l’Ouest par l’étroite vallée que l’Oise s’est découpée dans les masses calcaires. Aux pentes assez douces par où la « France » s’incline vers la rivière, font face, sur la rive droite, des pentes plus raides qui sont le rebord d’un nouveau plateau, cal</w:t>
      </w:r>
      <w:r w:rsidRPr="00246AE4">
        <w:rPr>
          <w:color w:val="000000"/>
          <w:lang w:eastAsia="fr-FR" w:bidi="fr-FR"/>
        </w:rPr>
        <w:lastRenderedPageBreak/>
        <w:t>ca</w:t>
      </w:r>
      <w:r w:rsidRPr="00246AE4">
        <w:rPr>
          <w:color w:val="000000"/>
          <w:lang w:eastAsia="fr-FR" w:bidi="fr-FR"/>
        </w:rPr>
        <w:t>i</w:t>
      </w:r>
      <w:r w:rsidRPr="00246AE4">
        <w:rPr>
          <w:color w:val="000000"/>
          <w:lang w:eastAsia="fr-FR" w:bidi="fr-FR"/>
        </w:rPr>
        <w:t>re et limoneux, le Vexin français</w:t>
      </w:r>
      <w:r>
        <w:rPr>
          <w:color w:val="000000"/>
          <w:lang w:eastAsia="fr-FR" w:bidi="fr-FR"/>
        </w:rPr>
        <w:t> </w:t>
      </w:r>
      <w:r>
        <w:rPr>
          <w:rStyle w:val="Appelnotedebasdep"/>
        </w:rPr>
        <w:footnoteReference w:id="405"/>
      </w:r>
      <w:r w:rsidRPr="00246AE4">
        <w:rPr>
          <w:color w:val="000000"/>
          <w:lang w:eastAsia="fr-FR" w:bidi="fr-FR"/>
        </w:rPr>
        <w:t>. Quelques buttes boisées, pareilles à celles de Cormeilles ou de Montmorency, surmontent le plateau du Vexin français : hauteurs de Montfermeil, de Marines, de Montj</w:t>
      </w:r>
      <w:r w:rsidRPr="00246AE4">
        <w:rPr>
          <w:color w:val="000000"/>
          <w:lang w:eastAsia="fr-FR" w:bidi="fr-FR"/>
        </w:rPr>
        <w:t>a</w:t>
      </w:r>
      <w:r w:rsidRPr="00246AE4">
        <w:rPr>
          <w:color w:val="000000"/>
          <w:lang w:eastAsia="fr-FR" w:bidi="fr-FR"/>
        </w:rPr>
        <w:t>voult, de Rosne, coteaux qui portent les forêts d’Arthies et de l’Hautie. Quelques vallées l’entaillent, et profondément. Coteaux et vallées interrompent seuls les vastes étendues où les champs succ</w:t>
      </w:r>
      <w:r w:rsidRPr="00246AE4">
        <w:rPr>
          <w:color w:val="000000"/>
          <w:lang w:eastAsia="fr-FR" w:bidi="fr-FR"/>
        </w:rPr>
        <w:t>è</w:t>
      </w:r>
      <w:r w:rsidRPr="00246AE4">
        <w:rPr>
          <w:color w:val="000000"/>
          <w:lang w:eastAsia="fr-FR" w:bidi="fr-FR"/>
        </w:rPr>
        <w:t>dent aux champs. Le Vexin français se termine de tous côtés par des talus assez abrupts. Au Nord un gradin intermédiaire le sépare de la dépression verdoyante, allongée du Sud-Est au Nord-Ouest, que l’on appelle le Pays de Bray. Là, entre le Vexin et le Pays de Bray, dominé par le premier d’une cinquantaine de mètres, et dominant le second de près de cent mètres, un plateau, large au plus d’une douzaine de kil</w:t>
      </w:r>
      <w:r w:rsidRPr="00246AE4">
        <w:rPr>
          <w:color w:val="000000"/>
          <w:lang w:eastAsia="fr-FR" w:bidi="fr-FR"/>
        </w:rPr>
        <w:t>o</w:t>
      </w:r>
      <w:r w:rsidRPr="00246AE4">
        <w:rPr>
          <w:color w:val="000000"/>
          <w:lang w:eastAsia="fr-FR" w:bidi="fr-FR"/>
        </w:rPr>
        <w:t>mètres, fortement relevé vers le Nord, étend ses vallonnements crayeux que couvrent des argiles. Aujourd’hui encore très riche en arbres, ce pays fut jadis occupé par de grandes forêts, dont la forêt de Thelle, à l’Ouest, est un dernier témoin. Il formait comme un premier rideau forestier en avant des étendues boisées du Pays de Bray. Nous ne dépasserons pas ces bois, qui jadis séparèrent les deux peuples ga</w:t>
      </w:r>
      <w:r w:rsidRPr="00246AE4">
        <w:rPr>
          <w:color w:val="000000"/>
          <w:lang w:eastAsia="fr-FR" w:bidi="fr-FR"/>
        </w:rPr>
        <w:t>u</w:t>
      </w:r>
      <w:r w:rsidRPr="00246AE4">
        <w:rPr>
          <w:color w:val="000000"/>
          <w:lang w:eastAsia="fr-FR" w:bidi="fr-FR"/>
        </w:rPr>
        <w:t xml:space="preserve">lois des Veliocasses, à qui le Vexin doit son nom, et des Bellovaques. </w:t>
      </w:r>
      <w:r>
        <w:rPr>
          <w:color w:val="000000"/>
          <w:lang w:eastAsia="fr-FR" w:bidi="fr-FR"/>
        </w:rPr>
        <w:t>À</w:t>
      </w:r>
      <w:r w:rsidRPr="00246AE4">
        <w:rPr>
          <w:color w:val="000000"/>
          <w:lang w:eastAsia="fr-FR" w:bidi="fr-FR"/>
        </w:rPr>
        <w:t xml:space="preserve"> l’Ouest le Vexin français s’arrête brusquement au-dessus d’une va</w:t>
      </w:r>
      <w:r w:rsidRPr="00246AE4">
        <w:rPr>
          <w:color w:val="000000"/>
          <w:lang w:eastAsia="fr-FR" w:bidi="fr-FR"/>
        </w:rPr>
        <w:t>l</w:t>
      </w:r>
      <w:r w:rsidRPr="00246AE4">
        <w:rPr>
          <w:color w:val="000000"/>
          <w:lang w:eastAsia="fr-FR" w:bidi="fr-FR"/>
        </w:rPr>
        <w:t>lée profonde, dont les versants sont déchiquetés par de nombreux va</w:t>
      </w:r>
      <w:r w:rsidRPr="00246AE4">
        <w:rPr>
          <w:color w:val="000000"/>
          <w:lang w:eastAsia="fr-FR" w:bidi="fr-FR"/>
        </w:rPr>
        <w:t>l</w:t>
      </w:r>
      <w:r w:rsidRPr="00246AE4">
        <w:rPr>
          <w:color w:val="000000"/>
          <w:lang w:eastAsia="fr-FR" w:bidi="fr-FR"/>
        </w:rPr>
        <w:t>lons latéraux. De l’autre côté de la vallée, un nouveau plateau, presque semblable au Vexin français, étale ses champs de blé. Pourtant la va</w:t>
      </w:r>
      <w:r w:rsidRPr="00246AE4">
        <w:rPr>
          <w:color w:val="000000"/>
          <w:lang w:eastAsia="fr-FR" w:bidi="fr-FR"/>
        </w:rPr>
        <w:t>l</w:t>
      </w:r>
      <w:r w:rsidRPr="00246AE4">
        <w:rPr>
          <w:color w:val="000000"/>
          <w:lang w:eastAsia="fr-FR" w:bidi="fr-FR"/>
        </w:rPr>
        <w:t>lée de l’Epte</w:t>
      </w:r>
      <w:r>
        <w:rPr>
          <w:color w:val="000000"/>
          <w:lang w:eastAsia="fr-FR" w:bidi="fr-FR"/>
        </w:rPr>
        <w:t> — </w:t>
      </w:r>
      <w:r w:rsidRPr="00246AE4">
        <w:rPr>
          <w:color w:val="000000"/>
          <w:lang w:eastAsia="fr-FR" w:bidi="fr-FR"/>
        </w:rPr>
        <w:t>tel est le nom porté par la rivière qui s’est ainsi frayé entre les plateaux son chemin vers la Seine</w:t>
      </w:r>
      <w:r>
        <w:rPr>
          <w:color w:val="000000"/>
          <w:lang w:eastAsia="fr-FR" w:bidi="fr-FR"/>
        </w:rPr>
        <w:t> — </w:t>
      </w:r>
      <w:r w:rsidRPr="00246AE4">
        <w:rPr>
          <w:color w:val="000000"/>
          <w:lang w:eastAsia="fr-FR" w:bidi="fr-FR"/>
        </w:rPr>
        <w:t>marque une des fronti</w:t>
      </w:r>
      <w:r w:rsidRPr="00246AE4">
        <w:rPr>
          <w:color w:val="000000"/>
          <w:lang w:eastAsia="fr-FR" w:bidi="fr-FR"/>
        </w:rPr>
        <w:t>è</w:t>
      </w:r>
      <w:r w:rsidRPr="00246AE4">
        <w:rPr>
          <w:color w:val="000000"/>
          <w:lang w:eastAsia="fr-FR" w:bidi="fr-FR"/>
        </w:rPr>
        <w:t>res régionales les plus nettes qui soient en France. C’est que le traité, qui, en l’année 911, fut</w:t>
      </w:r>
      <w:r>
        <w:rPr>
          <w:color w:val="000000"/>
          <w:lang w:eastAsia="fr-FR" w:bidi="fr-FR"/>
        </w:rPr>
        <w:t xml:space="preserve"> </w:t>
      </w:r>
      <w:r>
        <w:t xml:space="preserve">[712] </w:t>
      </w:r>
      <w:r w:rsidRPr="00246AE4">
        <w:rPr>
          <w:color w:val="000000"/>
          <w:lang w:eastAsia="fr-FR" w:bidi="fr-FR"/>
        </w:rPr>
        <w:t>conclu à Saint-Clair, sur les bords m</w:t>
      </w:r>
      <w:r w:rsidRPr="00246AE4">
        <w:rPr>
          <w:color w:val="000000"/>
          <w:lang w:eastAsia="fr-FR" w:bidi="fr-FR"/>
        </w:rPr>
        <w:t>ê</w:t>
      </w:r>
      <w:r w:rsidRPr="00246AE4">
        <w:rPr>
          <w:color w:val="000000"/>
          <w:lang w:eastAsia="fr-FR" w:bidi="fr-FR"/>
        </w:rPr>
        <w:t>mes du petit cours d’eau, e</w:t>
      </w:r>
      <w:r w:rsidRPr="00246AE4">
        <w:rPr>
          <w:color w:val="000000"/>
          <w:lang w:eastAsia="fr-FR" w:bidi="fr-FR"/>
        </w:rPr>
        <w:t>n</w:t>
      </w:r>
      <w:r w:rsidRPr="00246AE4">
        <w:rPr>
          <w:color w:val="000000"/>
          <w:lang w:eastAsia="fr-FR" w:bidi="fr-FR"/>
        </w:rPr>
        <w:t>tre le roi des Francs Charles le Simple et le Normand Rollon, faisait de l’Epte la limite de la terre qui était concédée au roi de mer, et qui allait devenir le duché de Normandie. Les rives de l’Epte ont vu jadis des guerres acharnées et sans cesse recommençantes. Même lorsque la Normandie eut été réunie à la France, le souvenir de l’ancienne frontière ne fut point aboli. A</w:t>
      </w:r>
      <w:r w:rsidRPr="00246AE4">
        <w:rPr>
          <w:color w:val="000000"/>
          <w:lang w:eastAsia="fr-FR" w:bidi="fr-FR"/>
        </w:rPr>
        <w:t>u</w:t>
      </w:r>
      <w:r w:rsidRPr="00246AE4">
        <w:rPr>
          <w:color w:val="000000"/>
          <w:lang w:eastAsia="fr-FR" w:bidi="fr-FR"/>
        </w:rPr>
        <w:t>jourd’hui encore il survit dans la géogr</w:t>
      </w:r>
      <w:r w:rsidRPr="00246AE4">
        <w:rPr>
          <w:color w:val="000000"/>
          <w:lang w:eastAsia="fr-FR" w:bidi="fr-FR"/>
        </w:rPr>
        <w:t>a</w:t>
      </w:r>
      <w:r w:rsidRPr="00246AE4">
        <w:rPr>
          <w:color w:val="000000"/>
          <w:lang w:eastAsia="fr-FR" w:bidi="fr-FR"/>
        </w:rPr>
        <w:t xml:space="preserve">phie administrative (l’Epte sépare les deux départements d’Eure et de Seine-et-Oise) comme dans </w:t>
      </w:r>
      <w:r w:rsidRPr="00246AE4">
        <w:rPr>
          <w:color w:val="000000"/>
          <w:lang w:eastAsia="fr-FR" w:bidi="fr-FR"/>
        </w:rPr>
        <w:lastRenderedPageBreak/>
        <w:t>le langage populaire</w:t>
      </w:r>
      <w:r>
        <w:rPr>
          <w:color w:val="000000"/>
          <w:lang w:eastAsia="fr-FR" w:bidi="fr-FR"/>
        </w:rPr>
        <w:t> </w:t>
      </w:r>
      <w:r>
        <w:rPr>
          <w:rStyle w:val="Appelnotedebasdep"/>
        </w:rPr>
        <w:footnoteReference w:id="406"/>
      </w:r>
      <w:r w:rsidRPr="00246AE4">
        <w:rPr>
          <w:color w:val="000000"/>
          <w:lang w:eastAsia="fr-FR" w:bidi="fr-FR"/>
        </w:rPr>
        <w:t>. Au Sud enfin le Vexin français se termine au-dessus de la vallée sinueuse de la Seine par un « long rang de coll</w:t>
      </w:r>
      <w:r w:rsidRPr="00246AE4">
        <w:rPr>
          <w:color w:val="000000"/>
          <w:lang w:eastAsia="fr-FR" w:bidi="fr-FR"/>
        </w:rPr>
        <w:t>i</w:t>
      </w:r>
      <w:r w:rsidRPr="00246AE4">
        <w:rPr>
          <w:color w:val="000000"/>
          <w:lang w:eastAsia="fr-FR" w:bidi="fr-FR"/>
        </w:rPr>
        <w:t>nes »</w:t>
      </w:r>
      <w:r>
        <w:rPr>
          <w:color w:val="000000"/>
          <w:lang w:eastAsia="fr-FR" w:bidi="fr-FR"/>
        </w:rPr>
        <w:t> </w:t>
      </w:r>
      <w:r>
        <w:rPr>
          <w:rStyle w:val="Appelnotedebasdep"/>
        </w:rPr>
        <w:footnoteReference w:id="407"/>
      </w:r>
      <w:r w:rsidRPr="00246AE4">
        <w:rPr>
          <w:color w:val="000000"/>
          <w:lang w:eastAsia="fr-FR" w:bidi="fr-FR"/>
        </w:rPr>
        <w:t xml:space="preserve"> qui portent sur leurs versants des villages bâtis de pierre bla</w:t>
      </w:r>
      <w:r w:rsidRPr="00246AE4">
        <w:rPr>
          <w:color w:val="000000"/>
          <w:lang w:eastAsia="fr-FR" w:bidi="fr-FR"/>
        </w:rPr>
        <w:t>n</w:t>
      </w:r>
      <w:r w:rsidRPr="00246AE4">
        <w:rPr>
          <w:color w:val="000000"/>
          <w:lang w:eastAsia="fr-FR" w:bidi="fr-FR"/>
        </w:rPr>
        <w:t>che. Ces collines, souvent boisées à leurs sommets, font face, au-dessus du fleuve, aux collines et aux bois du pays entre Seine et Eure, qui a été décrit plus haut.</w:t>
      </w:r>
    </w:p>
    <w:p w14:paraId="179BF77D" w14:textId="77777777" w:rsidR="00B9662D" w:rsidRPr="00246AE4" w:rsidRDefault="00B9662D" w:rsidP="00B9662D">
      <w:pPr>
        <w:spacing w:before="120" w:after="120"/>
        <w:jc w:val="both"/>
      </w:pPr>
      <w:r w:rsidRPr="00246AE4">
        <w:rPr>
          <w:color w:val="000000"/>
          <w:lang w:eastAsia="fr-FR" w:bidi="fr-FR"/>
        </w:rPr>
        <w:t>Au milieu de tous ces plateaux, plus ou moins découpés par l’érosion, dont j’ai cherché à retracer les aspects divers, la Seine et la Marne d’abord, la Seine et l’Oise ensuite, confondent leurs eaux. Les deux confluents ne sont guère éloignés l’un de l’autre que d’une tre</w:t>
      </w:r>
      <w:r w:rsidRPr="00246AE4">
        <w:rPr>
          <w:color w:val="000000"/>
          <w:lang w:eastAsia="fr-FR" w:bidi="fr-FR"/>
        </w:rPr>
        <w:t>n</w:t>
      </w:r>
      <w:r w:rsidRPr="00246AE4">
        <w:rPr>
          <w:color w:val="000000"/>
          <w:lang w:eastAsia="fr-FR" w:bidi="fr-FR"/>
        </w:rPr>
        <w:t>taine de kilomètres, à vol d’oiseau ; par voie fluviale les méandres de la Seine doublent à peu près la distance. Le travail des rivières, et su</w:t>
      </w:r>
      <w:r w:rsidRPr="00246AE4">
        <w:rPr>
          <w:color w:val="000000"/>
          <w:lang w:eastAsia="fr-FR" w:bidi="fr-FR"/>
        </w:rPr>
        <w:t>r</w:t>
      </w:r>
      <w:r w:rsidRPr="00246AE4">
        <w:rPr>
          <w:color w:val="000000"/>
          <w:lang w:eastAsia="fr-FR" w:bidi="fr-FR"/>
        </w:rPr>
        <w:t xml:space="preserve">tout les longs tâtonnements de la Marne et de la Seine, dont le confluent a plusieurs fois changé de place, expliquent la topographie de cette </w:t>
      </w:r>
      <w:r>
        <w:rPr>
          <w:color w:val="000000"/>
          <w:lang w:eastAsia="fr-FR" w:bidi="fr-FR"/>
        </w:rPr>
        <w:t>région centrale, cœur de l’Île-</w:t>
      </w:r>
      <w:r w:rsidRPr="00246AE4">
        <w:rPr>
          <w:color w:val="000000"/>
          <w:lang w:eastAsia="fr-FR" w:bidi="fr-FR"/>
        </w:rPr>
        <w:t>de-France. Les alluvions fo</w:t>
      </w:r>
      <w:r w:rsidRPr="00246AE4">
        <w:rPr>
          <w:color w:val="000000"/>
          <w:lang w:eastAsia="fr-FR" w:bidi="fr-FR"/>
        </w:rPr>
        <w:t>r</w:t>
      </w:r>
      <w:r w:rsidRPr="00246AE4">
        <w:rPr>
          <w:color w:val="000000"/>
          <w:lang w:eastAsia="fr-FR" w:bidi="fr-FR"/>
        </w:rPr>
        <w:t>ment des terrasses le long des vallées, ou bien s’étalent en larges na</w:t>
      </w:r>
      <w:r w:rsidRPr="00246AE4">
        <w:rPr>
          <w:color w:val="000000"/>
          <w:lang w:eastAsia="fr-FR" w:bidi="fr-FR"/>
        </w:rPr>
        <w:t>p</w:t>
      </w:r>
      <w:r w:rsidRPr="00246AE4">
        <w:rPr>
          <w:color w:val="000000"/>
          <w:lang w:eastAsia="fr-FR" w:bidi="fr-FR"/>
        </w:rPr>
        <w:t>pes, qui couvrent le</w:t>
      </w:r>
      <w:r>
        <w:rPr>
          <w:color w:val="000000"/>
          <w:lang w:eastAsia="fr-FR" w:bidi="fr-FR"/>
        </w:rPr>
        <w:t xml:space="preserve"> sol des plaines de Villeneuve-</w:t>
      </w:r>
      <w:r w:rsidRPr="00246AE4">
        <w:rPr>
          <w:color w:val="000000"/>
          <w:lang w:eastAsia="fr-FR" w:bidi="fr-FR"/>
        </w:rPr>
        <w:t>Saint-Georges, de Saint-Denis, de Gennevilliers. La Marne et la Seine, en déplaçant leurs cours, ont si bien entaillé les plateaux, qu’elles en ont détaché des fragments entiers. De ces débris de plateaux sont faites des coll</w:t>
      </w:r>
      <w:r w:rsidRPr="00246AE4">
        <w:rPr>
          <w:color w:val="000000"/>
          <w:lang w:eastAsia="fr-FR" w:bidi="fr-FR"/>
        </w:rPr>
        <w:t>i</w:t>
      </w:r>
      <w:r w:rsidRPr="00246AE4">
        <w:rPr>
          <w:color w:val="000000"/>
          <w:lang w:eastAsia="fr-FR" w:bidi="fr-FR"/>
        </w:rPr>
        <w:t>nes isolées au milieu des plaines alluviales : tels les coteaux de Vau jours et de Créteil, tel aussi ce bel amphithéâtre de hauteurs qui de Villemomble à Passy domine la rive droite de la Seine, et sur ses flancs porte plus de la moitié de Paris.</w:t>
      </w:r>
    </w:p>
    <w:p w14:paraId="55722FE1" w14:textId="77777777" w:rsidR="00B9662D" w:rsidRPr="00246AE4" w:rsidRDefault="00B9662D" w:rsidP="00B9662D">
      <w:pPr>
        <w:spacing w:before="120" w:after="120"/>
        <w:jc w:val="both"/>
      </w:pPr>
      <w:r w:rsidRPr="00246AE4">
        <w:rPr>
          <w:color w:val="000000"/>
          <w:lang w:eastAsia="fr-FR" w:bidi="fr-FR"/>
        </w:rPr>
        <w:t>Ces rivières</w:t>
      </w:r>
      <w:r>
        <w:rPr>
          <w:color w:val="000000"/>
          <w:lang w:eastAsia="fr-FR" w:bidi="fr-FR"/>
        </w:rPr>
        <w:t> </w:t>
      </w:r>
      <w:r>
        <w:rPr>
          <w:rStyle w:val="Appelnotedebasdep"/>
        </w:rPr>
        <w:footnoteReference w:id="408"/>
      </w:r>
      <w:r w:rsidRPr="00246AE4">
        <w:rPr>
          <w:color w:val="000000"/>
          <w:lang w:eastAsia="fr-FR" w:bidi="fr-FR"/>
        </w:rPr>
        <w:t xml:space="preserve"> de l’</w:t>
      </w:r>
      <w:r>
        <w:rPr>
          <w:color w:val="000000"/>
          <w:lang w:eastAsia="fr-FR" w:bidi="fr-FR"/>
        </w:rPr>
        <w:t>Île-de-France</w:t>
      </w:r>
      <w:r w:rsidRPr="00246AE4">
        <w:rPr>
          <w:color w:val="000000"/>
          <w:lang w:eastAsia="fr-FR" w:bidi="fr-FR"/>
        </w:rPr>
        <w:t xml:space="preserve">, qui ont ainsi sculpté le pays qu’elles traversent, sont une des richesses de ce pays, comme elles </w:t>
      </w:r>
      <w:r w:rsidRPr="00246AE4">
        <w:rPr>
          <w:color w:val="000000"/>
          <w:lang w:eastAsia="fr-FR" w:bidi="fr-FR"/>
        </w:rPr>
        <w:lastRenderedPageBreak/>
        <w:t>sont un de ses</w:t>
      </w:r>
      <w:r>
        <w:rPr>
          <w:color w:val="000000"/>
          <w:lang w:eastAsia="fr-FR" w:bidi="fr-FR"/>
        </w:rPr>
        <w:t xml:space="preserve"> </w:t>
      </w:r>
      <w:r>
        <w:t xml:space="preserve">[713] </w:t>
      </w:r>
      <w:r w:rsidRPr="00246AE4">
        <w:rPr>
          <w:color w:val="000000"/>
          <w:lang w:eastAsia="fr-FR" w:bidi="fr-FR"/>
        </w:rPr>
        <w:t>charmes. Les vallées qu’elles ont creusées, avec leurs fonds humides qu’occupent prairies et jardins, avec leurs ve</w:t>
      </w:r>
      <w:r w:rsidRPr="00246AE4">
        <w:rPr>
          <w:color w:val="000000"/>
          <w:lang w:eastAsia="fr-FR" w:bidi="fr-FR"/>
        </w:rPr>
        <w:t>r</w:t>
      </w:r>
      <w:r w:rsidRPr="00246AE4">
        <w:rPr>
          <w:color w:val="000000"/>
          <w:lang w:eastAsia="fr-FR" w:bidi="fr-FR"/>
        </w:rPr>
        <w:t>sants où des roches diverses, coupées, pour ainsi dire par leurs tra</w:t>
      </w:r>
      <w:r w:rsidRPr="00246AE4">
        <w:rPr>
          <w:color w:val="000000"/>
          <w:lang w:eastAsia="fr-FR" w:bidi="fr-FR"/>
        </w:rPr>
        <w:t>n</w:t>
      </w:r>
      <w:r w:rsidRPr="00246AE4">
        <w:rPr>
          <w:color w:val="000000"/>
          <w:lang w:eastAsia="fr-FR" w:bidi="fr-FR"/>
        </w:rPr>
        <w:t>ches, affleurent les unes au-dessus des autres, apportant chacune dans le paysage sa co</w:t>
      </w:r>
      <w:r w:rsidRPr="00246AE4">
        <w:rPr>
          <w:color w:val="000000"/>
          <w:lang w:eastAsia="fr-FR" w:bidi="fr-FR"/>
        </w:rPr>
        <w:t>u</w:t>
      </w:r>
      <w:r w:rsidRPr="00246AE4">
        <w:rPr>
          <w:color w:val="000000"/>
          <w:lang w:eastAsia="fr-FR" w:bidi="fr-FR"/>
        </w:rPr>
        <w:t>leur propre et sa végétation particulière, avec leurs sinuosités qui font que sur les pentes les expositions les plus différe</w:t>
      </w:r>
      <w:r w:rsidRPr="00246AE4">
        <w:rPr>
          <w:color w:val="000000"/>
          <w:lang w:eastAsia="fr-FR" w:bidi="fr-FR"/>
        </w:rPr>
        <w:t>n</w:t>
      </w:r>
      <w:r w:rsidRPr="00246AE4">
        <w:rPr>
          <w:color w:val="000000"/>
          <w:lang w:eastAsia="fr-FR" w:bidi="fr-FR"/>
        </w:rPr>
        <w:t>tes se succèdent, sont à travers les plateaux plus uniformes comme d’aimables avenues, aux perspectives habilement variées. Les rivières elles-mêmes ne tarissent jamais, et leurs crues sont rarement dang</w:t>
      </w:r>
      <w:r w:rsidRPr="00246AE4">
        <w:rPr>
          <w:color w:val="000000"/>
          <w:lang w:eastAsia="fr-FR" w:bidi="fr-FR"/>
        </w:rPr>
        <w:t>e</w:t>
      </w:r>
      <w:r w:rsidRPr="00246AE4">
        <w:rPr>
          <w:color w:val="000000"/>
          <w:lang w:eastAsia="fr-FR" w:bidi="fr-FR"/>
        </w:rPr>
        <w:t>reuses. Leurs calmes eaux font d’elles d’incomparables routes fluvi</w:t>
      </w:r>
      <w:r w:rsidRPr="00246AE4">
        <w:rPr>
          <w:color w:val="000000"/>
          <w:lang w:eastAsia="fr-FR" w:bidi="fr-FR"/>
        </w:rPr>
        <w:t>a</w:t>
      </w:r>
      <w:r w:rsidRPr="00246AE4">
        <w:rPr>
          <w:color w:val="000000"/>
          <w:lang w:eastAsia="fr-FR" w:bidi="fr-FR"/>
        </w:rPr>
        <w:t>les. De petits cours d’eau aujourd’hui déchus, Essonne, Juine, Bièvre même, ont jadis porté des barques nombreuses. Surtout les grandes rivières, qui se</w:t>
      </w:r>
      <w:r w:rsidRPr="00246AE4">
        <w:rPr>
          <w:color w:val="000000"/>
          <w:lang w:eastAsia="fr-FR" w:bidi="fr-FR"/>
        </w:rPr>
        <w:t>m</w:t>
      </w:r>
      <w:r w:rsidRPr="00246AE4">
        <w:rPr>
          <w:color w:val="000000"/>
          <w:lang w:eastAsia="fr-FR" w:bidi="fr-FR"/>
        </w:rPr>
        <w:t>blent converger toutes vers Paris</w:t>
      </w:r>
      <w:r>
        <w:rPr>
          <w:color w:val="000000"/>
          <w:lang w:eastAsia="fr-FR" w:bidi="fr-FR"/>
        </w:rPr>
        <w:t> — </w:t>
      </w:r>
      <w:r w:rsidRPr="00246AE4">
        <w:rPr>
          <w:color w:val="000000"/>
          <w:lang w:eastAsia="fr-FR" w:bidi="fr-FR"/>
        </w:rPr>
        <w:t>l’Oise qui vient du Nord, la Ma</w:t>
      </w:r>
      <w:r w:rsidRPr="00246AE4">
        <w:rPr>
          <w:color w:val="000000"/>
          <w:lang w:eastAsia="fr-FR" w:bidi="fr-FR"/>
        </w:rPr>
        <w:t>r</w:t>
      </w:r>
      <w:r w:rsidRPr="00246AE4">
        <w:rPr>
          <w:color w:val="000000"/>
          <w:lang w:eastAsia="fr-FR" w:bidi="fr-FR"/>
        </w:rPr>
        <w:t>ne qui vient de l’Est, la Seine, champenoise en amont et normande en aval, le Loing qui, plus éloigné de Paris et pourtant proche encore, fait un chemin vers la Loir</w:t>
      </w:r>
      <w:r>
        <w:rPr>
          <w:color w:val="000000"/>
          <w:lang w:eastAsia="fr-FR" w:bidi="fr-FR"/>
        </w:rPr>
        <w:t>e — ont servi de liens entre l’Î</w:t>
      </w:r>
      <w:r w:rsidRPr="00246AE4">
        <w:rPr>
          <w:color w:val="000000"/>
          <w:lang w:eastAsia="fr-FR" w:bidi="fr-FR"/>
        </w:rPr>
        <w:t>le</w:t>
      </w:r>
      <w:r>
        <w:rPr>
          <w:color w:val="000000"/>
          <w:lang w:eastAsia="fr-FR" w:bidi="fr-FR"/>
        </w:rPr>
        <w:t>-de-</w:t>
      </w:r>
      <w:r w:rsidRPr="00246AE4">
        <w:rPr>
          <w:color w:val="000000"/>
          <w:lang w:eastAsia="fr-FR" w:bidi="fr-FR"/>
        </w:rPr>
        <w:t>France et les provinces qui l’entourent. Par elles, comme par les vastes étendues découvertes des plateaux sur lesquelles les routes filent droit, et que n’interrompent que d’assez minces barrières fore</w:t>
      </w:r>
      <w:r w:rsidRPr="00246AE4">
        <w:rPr>
          <w:color w:val="000000"/>
          <w:lang w:eastAsia="fr-FR" w:bidi="fr-FR"/>
        </w:rPr>
        <w:t>s</w:t>
      </w:r>
      <w:r w:rsidRPr="00246AE4">
        <w:rPr>
          <w:color w:val="000000"/>
          <w:lang w:eastAsia="fr-FR" w:bidi="fr-FR"/>
        </w:rPr>
        <w:t>tières, un incessant mouvement de va-et-vient s’est fait entre l’</w:t>
      </w:r>
      <w:r>
        <w:rPr>
          <w:color w:val="000000"/>
          <w:lang w:eastAsia="fr-FR" w:bidi="fr-FR"/>
        </w:rPr>
        <w:t>Île-de-France</w:t>
      </w:r>
      <w:r w:rsidRPr="00246AE4">
        <w:rPr>
          <w:color w:val="000000"/>
          <w:lang w:eastAsia="fr-FR" w:bidi="fr-FR"/>
        </w:rPr>
        <w:t xml:space="preserve"> et les contrées voisines.</w:t>
      </w:r>
    </w:p>
    <w:p w14:paraId="18A3B0CB" w14:textId="77777777" w:rsidR="00B9662D" w:rsidRPr="00246AE4" w:rsidRDefault="00B9662D" w:rsidP="00B9662D">
      <w:pPr>
        <w:spacing w:before="120" w:after="120"/>
        <w:jc w:val="both"/>
      </w:pPr>
      <w:r w:rsidRPr="00246AE4">
        <w:rPr>
          <w:color w:val="000000"/>
          <w:lang w:eastAsia="fr-FR" w:bidi="fr-FR"/>
        </w:rPr>
        <w:t>Le climat</w:t>
      </w:r>
      <w:r>
        <w:rPr>
          <w:color w:val="000000"/>
          <w:lang w:eastAsia="fr-FR" w:bidi="fr-FR"/>
        </w:rPr>
        <w:t> </w:t>
      </w:r>
      <w:r>
        <w:rPr>
          <w:rStyle w:val="Appelnotedebasdep"/>
        </w:rPr>
        <w:footnoteReference w:id="409"/>
      </w:r>
      <w:r>
        <w:rPr>
          <w:color w:val="000000"/>
          <w:lang w:eastAsia="fr-FR" w:bidi="fr-FR"/>
        </w:rPr>
        <w:t xml:space="preserve"> de l’Î</w:t>
      </w:r>
      <w:r w:rsidRPr="00246AE4">
        <w:rPr>
          <w:color w:val="000000"/>
          <w:lang w:eastAsia="fr-FR" w:bidi="fr-FR"/>
        </w:rPr>
        <w:t>le-de-France est un climat de transition, interm</w:t>
      </w:r>
      <w:r w:rsidRPr="00246AE4">
        <w:rPr>
          <w:color w:val="000000"/>
          <w:lang w:eastAsia="fr-FR" w:bidi="fr-FR"/>
        </w:rPr>
        <w:t>é</w:t>
      </w:r>
      <w:r w:rsidRPr="00246AE4">
        <w:rPr>
          <w:color w:val="000000"/>
          <w:lang w:eastAsia="fr-FR" w:bidi="fr-FR"/>
        </w:rPr>
        <w:t>diaire entre le climat du littoral, et le climat, déjà presque continen</w:t>
      </w:r>
      <w:r w:rsidRPr="00246AE4">
        <w:rPr>
          <w:color w:val="000000"/>
          <w:lang w:eastAsia="fr-FR" w:bidi="fr-FR"/>
        </w:rPr>
        <w:lastRenderedPageBreak/>
        <w:t xml:space="preserve">tal, des provinces de l’Est. Aux influences marines, </w:t>
      </w:r>
      <w:r>
        <w:rPr>
          <w:color w:val="000000"/>
          <w:lang w:eastAsia="fr-FR" w:bidi="fr-FR"/>
        </w:rPr>
        <w:t>l’Î</w:t>
      </w:r>
      <w:r w:rsidRPr="00246AE4">
        <w:rPr>
          <w:color w:val="000000"/>
          <w:lang w:eastAsia="fr-FR" w:bidi="fr-FR"/>
        </w:rPr>
        <w:t>le-de-France doit la douceur des hivers et les pluies réparties sans grande inégalité sur to</w:t>
      </w:r>
      <w:r w:rsidRPr="00246AE4">
        <w:rPr>
          <w:color w:val="000000"/>
          <w:lang w:eastAsia="fr-FR" w:bidi="fr-FR"/>
        </w:rPr>
        <w:t>u</w:t>
      </w:r>
      <w:r w:rsidRPr="00246AE4">
        <w:rPr>
          <w:color w:val="000000"/>
          <w:lang w:eastAsia="fr-FR" w:bidi="fr-FR"/>
        </w:rPr>
        <w:t xml:space="preserve">te l’année ; mais l’écart déjà considérable entre la température de l’hiver et celle de l’été, et les pluies mêmes moins fréquentes, moins régulières et au total moins abondantes que sur la côte font sentir que l’Océan n’est plus tout proche. Le figuier, qui prospère sur certains points de la côte de la Manche, car il exige surtout des hivers tièdes, se rencontre dans les jardins de </w:t>
      </w:r>
      <w:r>
        <w:rPr>
          <w:color w:val="000000"/>
          <w:lang w:eastAsia="fr-FR" w:bidi="fr-FR"/>
        </w:rPr>
        <w:t>l’Î</w:t>
      </w:r>
      <w:r w:rsidRPr="00246AE4">
        <w:rPr>
          <w:color w:val="000000"/>
          <w:lang w:eastAsia="fr-FR" w:bidi="fr-FR"/>
        </w:rPr>
        <w:t>le-de-France. Il voisine dans l’</w:t>
      </w:r>
      <w:r>
        <w:rPr>
          <w:color w:val="000000"/>
          <w:lang w:eastAsia="fr-FR" w:bidi="fr-FR"/>
        </w:rPr>
        <w:t>Île-de-France</w:t>
      </w:r>
      <w:r w:rsidRPr="00246AE4">
        <w:rPr>
          <w:color w:val="000000"/>
          <w:lang w:eastAsia="fr-FR" w:bidi="fr-FR"/>
        </w:rPr>
        <w:t xml:space="preserve"> avec la vigne qui veut des étés ensoleillés et point trop h</w:t>
      </w:r>
      <w:r w:rsidRPr="00246AE4">
        <w:rPr>
          <w:color w:val="000000"/>
          <w:lang w:eastAsia="fr-FR" w:bidi="fr-FR"/>
        </w:rPr>
        <w:t>u</w:t>
      </w:r>
      <w:r w:rsidRPr="00246AE4">
        <w:rPr>
          <w:color w:val="000000"/>
          <w:lang w:eastAsia="fr-FR" w:bidi="fr-FR"/>
        </w:rPr>
        <w:t>mides, tels que lui en offrent, au Centre du continent, des pays déjà septentrionaux. Les figuiers, il est vrai même « revêtus de paille et de tout ce qui peut les garantir contre les injures de l’air »</w:t>
      </w:r>
      <w:r>
        <w:rPr>
          <w:color w:val="000000"/>
          <w:lang w:eastAsia="fr-FR" w:bidi="fr-FR"/>
        </w:rPr>
        <w:t> </w:t>
      </w:r>
      <w:r>
        <w:rPr>
          <w:rStyle w:val="Appelnotedebasdep"/>
        </w:rPr>
        <w:footnoteReference w:id="410"/>
      </w:r>
      <w:r w:rsidRPr="00246AE4">
        <w:rPr>
          <w:color w:val="000000"/>
          <w:lang w:eastAsia="fr-FR" w:bidi="fr-FR"/>
        </w:rPr>
        <w:t xml:space="preserve"> ne donnent que des fruits bien médiocres, et les vignobles de </w:t>
      </w:r>
      <w:r>
        <w:rPr>
          <w:color w:val="000000"/>
          <w:lang w:eastAsia="fr-FR" w:bidi="fr-FR"/>
        </w:rPr>
        <w:t>l’Î</w:t>
      </w:r>
      <w:r w:rsidRPr="00246AE4">
        <w:rPr>
          <w:color w:val="000000"/>
          <w:lang w:eastAsia="fr-FR" w:bidi="fr-FR"/>
        </w:rPr>
        <w:t xml:space="preserve">le-de-France, jadis florissants, ont peine aujourd’hui à soutenir la concurrence des vignes méditerranéennes. Le climat de </w:t>
      </w:r>
      <w:r>
        <w:rPr>
          <w:color w:val="000000"/>
          <w:lang w:eastAsia="fr-FR" w:bidi="fr-FR"/>
        </w:rPr>
        <w:t>l’Î</w:t>
      </w:r>
      <w:r w:rsidRPr="00246AE4">
        <w:rPr>
          <w:color w:val="000000"/>
          <w:lang w:eastAsia="fr-FR" w:bidi="fr-FR"/>
        </w:rPr>
        <w:t>le-de-France est éminemment fav</w:t>
      </w:r>
      <w:r w:rsidRPr="00246AE4">
        <w:rPr>
          <w:color w:val="000000"/>
          <w:lang w:eastAsia="fr-FR" w:bidi="fr-FR"/>
        </w:rPr>
        <w:t>o</w:t>
      </w:r>
      <w:r w:rsidRPr="00246AE4">
        <w:rPr>
          <w:color w:val="000000"/>
          <w:lang w:eastAsia="fr-FR" w:bidi="fr-FR"/>
        </w:rPr>
        <w:t xml:space="preserve">rable à la culture du blé ; il l’est aussi au développement de la forêt. Les emblavures ont conquis nombre de sols jadis forestiers. Cette lutte du froment contre les arbres est dans l’histoire agricole de </w:t>
      </w:r>
      <w:r>
        <w:rPr>
          <w:color w:val="000000"/>
          <w:lang w:eastAsia="fr-FR" w:bidi="fr-FR"/>
        </w:rPr>
        <w:t>l’Î</w:t>
      </w:r>
      <w:r w:rsidRPr="00246AE4">
        <w:rPr>
          <w:color w:val="000000"/>
          <w:lang w:eastAsia="fr-FR" w:bidi="fr-FR"/>
        </w:rPr>
        <w:t>le-de-France un épisode important,</w:t>
      </w:r>
      <w:r>
        <w:rPr>
          <w:color w:val="000000"/>
          <w:lang w:eastAsia="fr-FR" w:bidi="fr-FR"/>
        </w:rPr>
        <w:t> — </w:t>
      </w:r>
      <w:r w:rsidRPr="00246AE4">
        <w:rPr>
          <w:color w:val="000000"/>
          <w:lang w:eastAsia="fr-FR" w:bidi="fr-FR"/>
        </w:rPr>
        <w:t>moins important pourtant qu’on ne l’a cru parfois, car bien des terres défrichées furent gagnées simpl</w:t>
      </w:r>
      <w:r w:rsidRPr="00246AE4">
        <w:rPr>
          <w:color w:val="000000"/>
          <w:lang w:eastAsia="fr-FR" w:bidi="fr-FR"/>
        </w:rPr>
        <w:t>e</w:t>
      </w:r>
      <w:r w:rsidRPr="00246AE4">
        <w:rPr>
          <w:color w:val="000000"/>
          <w:lang w:eastAsia="fr-FR" w:bidi="fr-FR"/>
        </w:rPr>
        <w:t>ment sur un sol découvert et herbeux. L’association du champ de blé et de la</w:t>
      </w:r>
      <w:r>
        <w:rPr>
          <w:color w:val="000000"/>
          <w:lang w:eastAsia="fr-FR" w:bidi="fr-FR"/>
        </w:rPr>
        <w:t xml:space="preserve"> </w:t>
      </w:r>
      <w:r>
        <w:t xml:space="preserve">[714] </w:t>
      </w:r>
      <w:r w:rsidRPr="00246AE4">
        <w:rPr>
          <w:color w:val="000000"/>
          <w:lang w:eastAsia="fr-FR" w:bidi="fr-FR"/>
        </w:rPr>
        <w:t>forêt, plus encore que leur conflit, fut un des traits de la vie rurale dans l’</w:t>
      </w:r>
      <w:r>
        <w:rPr>
          <w:color w:val="000000"/>
          <w:lang w:eastAsia="fr-FR" w:bidi="fr-FR"/>
        </w:rPr>
        <w:t>Île-de-France</w:t>
      </w:r>
      <w:r w:rsidRPr="00246AE4">
        <w:rPr>
          <w:color w:val="000000"/>
          <w:lang w:eastAsia="fr-FR" w:bidi="fr-FR"/>
        </w:rPr>
        <w:t xml:space="preserve"> d’autrefois, au temps où la forêt était, pour les bestiaux, un terrain de pâture, et où les cultures industrielles ne fa</w:t>
      </w:r>
      <w:r w:rsidRPr="00246AE4">
        <w:rPr>
          <w:color w:val="000000"/>
          <w:lang w:eastAsia="fr-FR" w:bidi="fr-FR"/>
        </w:rPr>
        <w:t>i</w:t>
      </w:r>
      <w:r w:rsidRPr="00246AE4">
        <w:rPr>
          <w:color w:val="000000"/>
          <w:lang w:eastAsia="fr-FR" w:bidi="fr-FR"/>
        </w:rPr>
        <w:t>saient pas, comme maintenant, concurrence aux céréales. Cette ass</w:t>
      </w:r>
      <w:r w:rsidRPr="00246AE4">
        <w:rPr>
          <w:color w:val="000000"/>
          <w:lang w:eastAsia="fr-FR" w:bidi="fr-FR"/>
        </w:rPr>
        <w:t>o</w:t>
      </w:r>
      <w:r w:rsidRPr="00246AE4">
        <w:rPr>
          <w:color w:val="000000"/>
          <w:lang w:eastAsia="fr-FR" w:bidi="fr-FR"/>
        </w:rPr>
        <w:t xml:space="preserve">ciation, aujourd’hui encore, est un des caractères du paysage de </w:t>
      </w:r>
      <w:r>
        <w:rPr>
          <w:color w:val="000000"/>
          <w:lang w:eastAsia="fr-FR" w:bidi="fr-FR"/>
        </w:rPr>
        <w:t>l’Î</w:t>
      </w:r>
      <w:r w:rsidRPr="00246AE4">
        <w:rPr>
          <w:color w:val="000000"/>
          <w:lang w:eastAsia="fr-FR" w:bidi="fr-FR"/>
        </w:rPr>
        <w:t>le-de-France.</w:t>
      </w:r>
    </w:p>
    <w:p w14:paraId="5AC21E5B" w14:textId="77777777" w:rsidR="00B9662D" w:rsidRPr="00246AE4" w:rsidRDefault="00B9662D" w:rsidP="00B9662D">
      <w:pPr>
        <w:spacing w:before="120" w:after="120"/>
        <w:jc w:val="both"/>
      </w:pPr>
      <w:r w:rsidRPr="00246AE4">
        <w:rPr>
          <w:color w:val="000000"/>
          <w:lang w:eastAsia="fr-FR" w:bidi="fr-FR"/>
        </w:rPr>
        <w:t xml:space="preserve">A-t-on le droit de parler du « paysage de </w:t>
      </w:r>
      <w:r>
        <w:rPr>
          <w:color w:val="000000"/>
          <w:lang w:eastAsia="fr-FR" w:bidi="fr-FR"/>
        </w:rPr>
        <w:t>l’Î</w:t>
      </w:r>
      <w:r w:rsidRPr="00246AE4">
        <w:rPr>
          <w:color w:val="000000"/>
          <w:lang w:eastAsia="fr-FR" w:bidi="fr-FR"/>
        </w:rPr>
        <w:t xml:space="preserve">le-de-France » ? J’ai dit plus haut la variété de cette région. Certes il est difficile d’imaginer des aspects plus divers que ceux, par exemple, qu’offrent les plates </w:t>
      </w:r>
      <w:r w:rsidRPr="00246AE4">
        <w:rPr>
          <w:color w:val="000000"/>
          <w:lang w:eastAsia="fr-FR" w:bidi="fr-FR"/>
        </w:rPr>
        <w:lastRenderedPageBreak/>
        <w:t>campagnes de la Beauce et les rochers tourmentés de Fontainebleau. Et pourtant, n’est-il pas permis, négligeant les aspects trop partic</w:t>
      </w:r>
      <w:r w:rsidRPr="00246AE4">
        <w:rPr>
          <w:color w:val="000000"/>
          <w:lang w:eastAsia="fr-FR" w:bidi="fr-FR"/>
        </w:rPr>
        <w:t>u</w:t>
      </w:r>
      <w:r w:rsidRPr="00246AE4">
        <w:rPr>
          <w:color w:val="000000"/>
          <w:lang w:eastAsia="fr-FR" w:bidi="fr-FR"/>
        </w:rPr>
        <w:t xml:space="preserve">liers, de chercher à fixer les traits communs que présentent tant de paysages qui se sont déroulés sous nos yeux ? Les plateaux calcaires de </w:t>
      </w:r>
      <w:r>
        <w:rPr>
          <w:color w:val="000000"/>
          <w:lang w:eastAsia="fr-FR" w:bidi="fr-FR"/>
        </w:rPr>
        <w:t>l’Î</w:t>
      </w:r>
      <w:r w:rsidRPr="00246AE4">
        <w:rPr>
          <w:color w:val="000000"/>
          <w:lang w:eastAsia="fr-FR" w:bidi="fr-FR"/>
        </w:rPr>
        <w:t xml:space="preserve">le-de-France, les coteaux qui les surmontent parfois et ne sont eux-mêmes que les lambeaux d’anciens plateaux, tracent sur le ciel des lignes fermes et droites, presque horizontales, qui donnent aux sites qu’elles encadrent un grand air de noblesse et de simplicité. Dans la fertile </w:t>
      </w:r>
      <w:r>
        <w:rPr>
          <w:color w:val="000000"/>
          <w:lang w:eastAsia="fr-FR" w:bidi="fr-FR"/>
        </w:rPr>
        <w:t>Île-de-France</w:t>
      </w:r>
      <w:r w:rsidRPr="00246AE4">
        <w:rPr>
          <w:color w:val="000000"/>
          <w:lang w:eastAsia="fr-FR" w:bidi="fr-FR"/>
        </w:rPr>
        <w:t>, partout, les champs, les jardins, les maisons, éparses dans la campagne, ou assemblées en gros villages, disent le travail humain. Mais l’homme, qui a fait reculer la forêt, ne l’a pas détruite ; souvent, sauf en Beauce, elle apparaît au sommet d’un c</w:t>
      </w:r>
      <w:r w:rsidRPr="00246AE4">
        <w:rPr>
          <w:color w:val="000000"/>
          <w:lang w:eastAsia="fr-FR" w:bidi="fr-FR"/>
        </w:rPr>
        <w:t>o</w:t>
      </w:r>
      <w:r w:rsidRPr="00246AE4">
        <w:rPr>
          <w:color w:val="000000"/>
          <w:lang w:eastAsia="fr-FR" w:bidi="fr-FR"/>
        </w:rPr>
        <w:t xml:space="preserve">teau ou par delà les longs vallonnements du plateau ; en avant d’elle, des bouquets d’arbres l’annoncent. Les rivières, qui ne sont jamais des torrents, ont des grâces paisibles, ou bien une tranquille majesté. Ces paysages de </w:t>
      </w:r>
      <w:r>
        <w:rPr>
          <w:color w:val="000000"/>
          <w:lang w:eastAsia="fr-FR" w:bidi="fr-FR"/>
        </w:rPr>
        <w:t>l’Î</w:t>
      </w:r>
      <w:r w:rsidRPr="00246AE4">
        <w:rPr>
          <w:color w:val="000000"/>
          <w:lang w:eastAsia="fr-FR" w:bidi="fr-FR"/>
        </w:rPr>
        <w:t xml:space="preserve">le-de-France, harmonieux, aimables, et un peu graves, dont l’homme n’est jamais absent, et qui ont à la fois, comme les parcs du </w:t>
      </w:r>
      <w:r w:rsidRPr="00AB1C4C">
        <w:rPr>
          <w: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des arbres, des eaux et de larges étendues d</w:t>
      </w:r>
      <w:r w:rsidRPr="00246AE4">
        <w:rPr>
          <w:color w:val="000000"/>
          <w:lang w:eastAsia="fr-FR" w:bidi="fr-FR"/>
        </w:rPr>
        <w:t>é</w:t>
      </w:r>
      <w:r w:rsidRPr="00246AE4">
        <w:rPr>
          <w:color w:val="000000"/>
          <w:lang w:eastAsia="fr-FR" w:bidi="fr-FR"/>
        </w:rPr>
        <w:t>couvertes, ne méritent-ils par le nom, qu’on leur donne quelquefois, de paysages classiques ?</w:t>
      </w:r>
    </w:p>
    <w:p w14:paraId="64137541" w14:textId="77777777" w:rsidR="00B9662D" w:rsidRPr="00246AE4" w:rsidRDefault="00B9662D" w:rsidP="00B9662D">
      <w:pPr>
        <w:spacing w:before="120" w:after="120"/>
        <w:jc w:val="both"/>
      </w:pPr>
      <w:r w:rsidRPr="00246AE4">
        <w:rPr>
          <w:color w:val="000000"/>
          <w:lang w:eastAsia="fr-FR" w:bidi="fr-FR"/>
        </w:rPr>
        <w:t>Nous avons jusqu’ici parcouru les « pays autour de Paris » dont l’ensemble compose l’</w:t>
      </w:r>
      <w:r>
        <w:rPr>
          <w:color w:val="000000"/>
          <w:lang w:eastAsia="fr-FR" w:bidi="fr-FR"/>
        </w:rPr>
        <w:t>Île-de-France</w:t>
      </w:r>
      <w:r w:rsidRPr="00246AE4">
        <w:rPr>
          <w:color w:val="000000"/>
          <w:lang w:eastAsia="fr-FR" w:bidi="fr-FR"/>
        </w:rPr>
        <w:t>. Je vais maintenant m’attacher à en faire connaître les historiens. En étudiant ceux qui ont cherché à éclairer le passé de notre région, c’est ce passé lui-même que peu à peu nous découvrirons.</w:t>
      </w:r>
    </w:p>
    <w:p w14:paraId="5986238A" w14:textId="77777777" w:rsidR="00B9662D" w:rsidRDefault="00B9662D" w:rsidP="00B9662D">
      <w:pPr>
        <w:spacing w:before="120" w:after="120"/>
        <w:jc w:val="both"/>
        <w:rPr>
          <w:color w:val="000000"/>
          <w:lang w:eastAsia="fr-FR" w:bidi="fr-FR"/>
        </w:rPr>
      </w:pPr>
      <w:r>
        <w:rPr>
          <w:color w:val="000000"/>
          <w:lang w:eastAsia="fr-FR" w:bidi="fr-FR"/>
        </w:rPr>
        <w:br w:type="page"/>
      </w:r>
    </w:p>
    <w:p w14:paraId="0A0E58AD" w14:textId="77777777" w:rsidR="00B9662D" w:rsidRPr="00A865B8" w:rsidRDefault="00B9662D" w:rsidP="00B9662D">
      <w:pPr>
        <w:pStyle w:val="planche"/>
      </w:pPr>
      <w:bookmarkStart w:id="30" w:name="Melanges_t2_pt_7_chap_II_II"/>
      <w:r w:rsidRPr="00A865B8">
        <w:t>II. — L’HISTOIRE LOCALE,</w:t>
      </w:r>
      <w:r w:rsidRPr="00A865B8">
        <w:br/>
        <w:t>DANS L’ÎLE-DE-FRANCE,</w:t>
      </w:r>
      <w:r w:rsidRPr="00A865B8">
        <w:br/>
        <w:t>AVANT LE XIX</w:t>
      </w:r>
      <w:r w:rsidRPr="00A865B8">
        <w:rPr>
          <w:vertAlign w:val="superscript"/>
        </w:rPr>
        <w:t>e</w:t>
      </w:r>
      <w:r w:rsidRPr="00A865B8">
        <w:t xml:space="preserve"> SIÈCLE</w:t>
      </w:r>
    </w:p>
    <w:bookmarkEnd w:id="30"/>
    <w:p w14:paraId="636C9BC5" w14:textId="77777777" w:rsidR="00B9662D" w:rsidRDefault="00B9662D" w:rsidP="00B9662D">
      <w:pPr>
        <w:spacing w:before="120" w:after="120"/>
        <w:jc w:val="both"/>
        <w:rPr>
          <w:color w:val="000000"/>
          <w:lang w:eastAsia="fr-FR" w:bidi="fr-FR"/>
        </w:rPr>
      </w:pPr>
    </w:p>
    <w:p w14:paraId="58A0B3E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8217404" w14:textId="77777777" w:rsidR="00B9662D" w:rsidRPr="00246AE4" w:rsidRDefault="00B9662D" w:rsidP="00B9662D">
      <w:pPr>
        <w:spacing w:before="120" w:after="120"/>
        <w:jc w:val="both"/>
      </w:pPr>
      <w:r w:rsidRPr="00246AE4">
        <w:rPr>
          <w:color w:val="000000"/>
          <w:lang w:eastAsia="fr-FR" w:bidi="fr-FR"/>
        </w:rPr>
        <w:t xml:space="preserve">Quelques-unes des abbayes de </w:t>
      </w:r>
      <w:r>
        <w:rPr>
          <w:color w:val="000000"/>
          <w:lang w:eastAsia="fr-FR" w:bidi="fr-FR"/>
        </w:rPr>
        <w:t>l’Î</w:t>
      </w:r>
      <w:r w:rsidRPr="00246AE4">
        <w:rPr>
          <w:color w:val="000000"/>
          <w:lang w:eastAsia="fr-FR" w:bidi="fr-FR"/>
        </w:rPr>
        <w:t xml:space="preserve">le-de-France ont, dès le Moyen </w:t>
      </w:r>
      <w:r>
        <w:rPr>
          <w:color w:val="000000"/>
          <w:lang w:eastAsia="fr-FR" w:bidi="fr-FR"/>
        </w:rPr>
        <w:t>Â</w:t>
      </w:r>
      <w:r w:rsidRPr="00246AE4">
        <w:rPr>
          <w:color w:val="000000"/>
          <w:lang w:eastAsia="fr-FR" w:bidi="fr-FR"/>
        </w:rPr>
        <w:t xml:space="preserve">ge, trouvé leurs historiens. </w:t>
      </w:r>
      <w:r>
        <w:rPr>
          <w:color w:val="000000"/>
          <w:lang w:eastAsia="fr-FR" w:bidi="fr-FR"/>
        </w:rPr>
        <w:t>À</w:t>
      </w:r>
      <w:r w:rsidRPr="00246AE4">
        <w:rPr>
          <w:color w:val="000000"/>
          <w:lang w:eastAsia="fr-FR" w:bidi="fr-FR"/>
        </w:rPr>
        <w:t xml:space="preserve"> la fin du </w:t>
      </w:r>
      <w:r w:rsidRPr="00AB1C4C">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w:t>
      </w:r>
      <w:r>
        <w:rPr>
          <w:color w:val="000000"/>
          <w:lang w:eastAsia="fr-FR" w:bidi="fr-FR"/>
        </w:rPr>
        <w:t>e, l’abbaye de Saint-Florentin-</w:t>
      </w:r>
      <w:r w:rsidRPr="00246AE4">
        <w:rPr>
          <w:color w:val="000000"/>
          <w:lang w:eastAsia="fr-FR" w:bidi="fr-FR"/>
        </w:rPr>
        <w:t>de-Bonneval</w:t>
      </w:r>
      <w:r>
        <w:rPr>
          <w:color w:val="000000"/>
          <w:lang w:eastAsia="fr-FR" w:bidi="fr-FR"/>
        </w:rPr>
        <w:t> </w:t>
      </w:r>
      <w:r>
        <w:rPr>
          <w:rStyle w:val="Appelnotedebasdep"/>
        </w:rPr>
        <w:footnoteReference w:id="411"/>
      </w:r>
      <w:r w:rsidRPr="00246AE4">
        <w:rPr>
          <w:color w:val="000000"/>
          <w:lang w:eastAsia="fr-FR" w:bidi="fr-FR"/>
        </w:rPr>
        <w:t>, qui s’élevait sur les bords du Loir, aux confins de la Beauce et du Perche, avait déjà sa chronique</w:t>
      </w:r>
      <w:r>
        <w:rPr>
          <w:color w:val="000000"/>
          <w:lang w:eastAsia="fr-FR" w:bidi="fr-FR"/>
        </w:rPr>
        <w:t> </w:t>
      </w:r>
      <w:r>
        <w:rPr>
          <w:rStyle w:val="Appelnotedebasdep"/>
        </w:rPr>
        <w:footnoteReference w:id="412"/>
      </w:r>
      <w:r w:rsidRPr="00246AE4">
        <w:rPr>
          <w:color w:val="000000"/>
          <w:lang w:eastAsia="fr-FR" w:bidi="fr-FR"/>
        </w:rPr>
        <w:t>. Au cours du siècle suivant, trois</w:t>
      </w:r>
      <w:r>
        <w:rPr>
          <w:color w:val="000000"/>
          <w:lang w:eastAsia="fr-FR" w:bidi="fr-FR"/>
        </w:rPr>
        <w:t xml:space="preserve"> </w:t>
      </w:r>
      <w:r>
        <w:t xml:space="preserve">[715] </w:t>
      </w:r>
      <w:r w:rsidRPr="00246AE4">
        <w:rPr>
          <w:color w:val="000000"/>
          <w:lang w:eastAsia="fr-FR" w:bidi="fr-FR"/>
        </w:rPr>
        <w:t>moines, se relayant l’un l’autre dans une tâche pieuse, écrivirent l’histoire de l’abbaye beauceronne de Mor</w:t>
      </w:r>
      <w:r w:rsidRPr="00246AE4">
        <w:rPr>
          <w:color w:val="000000"/>
          <w:lang w:eastAsia="fr-FR" w:bidi="fr-FR"/>
        </w:rPr>
        <w:t>i</w:t>
      </w:r>
      <w:r w:rsidRPr="00246AE4">
        <w:rPr>
          <w:color w:val="000000"/>
          <w:lang w:eastAsia="fr-FR" w:bidi="fr-FR"/>
        </w:rPr>
        <w:t>gny</w:t>
      </w:r>
      <w:r>
        <w:rPr>
          <w:color w:val="000000"/>
          <w:lang w:eastAsia="fr-FR" w:bidi="fr-FR"/>
        </w:rPr>
        <w:t> </w:t>
      </w:r>
      <w:r>
        <w:rPr>
          <w:rStyle w:val="Appelnotedebasdep"/>
        </w:rPr>
        <w:footnoteReference w:id="413"/>
      </w:r>
      <w:r w:rsidRPr="00246AE4">
        <w:rPr>
          <w:color w:val="000000"/>
          <w:lang w:eastAsia="fr-FR" w:bidi="fr-FR"/>
        </w:rPr>
        <w:t xml:space="preserve">. Mais on ne peut guère donner à la </w:t>
      </w:r>
      <w:r w:rsidRPr="008523A4">
        <w:rPr>
          <w:i/>
        </w:rPr>
        <w:t>Chronique de Bonneval</w:t>
      </w:r>
      <w:r w:rsidRPr="00246AE4">
        <w:rPr>
          <w:color w:val="000000"/>
          <w:lang w:eastAsia="fr-FR" w:bidi="fr-FR"/>
        </w:rPr>
        <w:t xml:space="preserve"> le nom d’œuvre historique, car elle n’est, à vrai dire, qu’un répertoire des donations qui avaient été faites à l’abbaye ; ses rédacteurs n’avaient d’autre dessein que de suppléer au silence des archives m</w:t>
      </w:r>
      <w:r w:rsidRPr="00246AE4">
        <w:rPr>
          <w:color w:val="000000"/>
          <w:lang w:eastAsia="fr-FR" w:bidi="fr-FR"/>
        </w:rPr>
        <w:t>o</w:t>
      </w:r>
      <w:r w:rsidRPr="00246AE4">
        <w:rPr>
          <w:color w:val="000000"/>
          <w:lang w:eastAsia="fr-FR" w:bidi="fr-FR"/>
        </w:rPr>
        <w:t>nastiques ou de parer à leur de</w:t>
      </w:r>
      <w:r w:rsidRPr="00246AE4">
        <w:rPr>
          <w:color w:val="000000"/>
          <w:lang w:eastAsia="fr-FR" w:bidi="fr-FR"/>
        </w:rPr>
        <w:t>s</w:t>
      </w:r>
      <w:r w:rsidRPr="00246AE4">
        <w:rPr>
          <w:color w:val="000000"/>
          <w:lang w:eastAsia="fr-FR" w:bidi="fr-FR"/>
        </w:rPr>
        <w:t xml:space="preserve">truction possible, et d’éviter que les moines, par oubli, ne laissassent usurper leurs droits. Les auteurs de la </w:t>
      </w:r>
      <w:r w:rsidRPr="008523A4">
        <w:rPr>
          <w:i/>
        </w:rPr>
        <w:t>Chronique de Morigny</w:t>
      </w:r>
      <w:r w:rsidRPr="00246AE4">
        <w:rPr>
          <w:color w:val="000000"/>
          <w:lang w:eastAsia="fr-FR" w:bidi="fr-FR"/>
        </w:rPr>
        <w:t xml:space="preserve"> étaient surtout préoccupés d’idées morales et religieuses ; le préchantre Thiou écrivait le premier livre afin que les moines de Morigny, qui plus tard le liraient, n’ignorassent point que les premiers jours de leur abbaye avaient été troublés par la fureur j</w:t>
      </w:r>
      <w:r w:rsidRPr="00246AE4">
        <w:rPr>
          <w:color w:val="000000"/>
          <w:lang w:eastAsia="fr-FR" w:bidi="fr-FR"/>
        </w:rPr>
        <w:t>a</w:t>
      </w:r>
      <w:r w:rsidRPr="00246AE4">
        <w:rPr>
          <w:color w:val="000000"/>
          <w:lang w:eastAsia="fr-FR" w:bidi="fr-FR"/>
        </w:rPr>
        <w:t xml:space="preserve">louse du diable et de ses anges, et apprissent par cet exemple à « se garder de ces monstrueux ennemis qui demeurent quand nous partons, </w:t>
      </w:r>
      <w:r w:rsidRPr="00246AE4">
        <w:rPr>
          <w:color w:val="000000"/>
          <w:lang w:eastAsia="fr-FR" w:bidi="fr-FR"/>
        </w:rPr>
        <w:lastRenderedPageBreak/>
        <w:t>veillent quand nous dormons et ne meurent point comme nous</w:t>
      </w:r>
      <w:r>
        <w:rPr>
          <w:color w:val="000000"/>
          <w:lang w:eastAsia="fr-FR" w:bidi="fr-FR"/>
        </w:rPr>
        <w:t> </w:t>
      </w:r>
      <w:r>
        <w:rPr>
          <w:rStyle w:val="Appelnotedebasdep"/>
        </w:rPr>
        <w:footnoteReference w:id="414"/>
      </w:r>
      <w:r w:rsidRPr="00246AE4">
        <w:rPr>
          <w:color w:val="000000"/>
          <w:lang w:eastAsia="fr-FR" w:bidi="fr-FR"/>
        </w:rPr>
        <w:t> ». Le moine au nom inconnu de nous qui composa le troisième livre n’était qu’un hagiographe ; il proposait en exemple aux fidèles la vie d’un abbé de Morigny, l’abbé Thomas</w:t>
      </w:r>
      <w:r>
        <w:rPr>
          <w:color w:val="000000"/>
          <w:lang w:eastAsia="fr-FR" w:bidi="fr-FR"/>
        </w:rPr>
        <w:t> </w:t>
      </w:r>
      <w:r>
        <w:rPr>
          <w:rStyle w:val="Appelnotedebasdep"/>
        </w:rPr>
        <w:footnoteReference w:id="415"/>
      </w:r>
      <w:r w:rsidRPr="00246AE4">
        <w:rPr>
          <w:color w:val="000000"/>
          <w:lang w:eastAsia="fr-FR" w:bidi="fr-FR"/>
        </w:rPr>
        <w:t>.</w:t>
      </w:r>
    </w:p>
    <w:p w14:paraId="266C768D" w14:textId="77777777" w:rsidR="00B9662D" w:rsidRPr="00246AE4" w:rsidRDefault="00B9662D" w:rsidP="00B9662D">
      <w:pPr>
        <w:spacing w:before="120" w:after="120"/>
        <w:jc w:val="both"/>
      </w:pPr>
      <w:r w:rsidRPr="00246AE4">
        <w:rPr>
          <w:color w:val="000000"/>
          <w:lang w:eastAsia="fr-FR" w:bidi="fr-FR"/>
        </w:rPr>
        <w:t>C’est la Renaissance qui nous a donné les premiers ouvrages d’histoire locale que n’inspirent ni l’intérêt, ni la religion. La curiosité des choses du passé, le patriotisme de clocher et l’idée qu’il est d’un bon citoyen d’écrire en beau langage l’histoire de sa cité, tels sont les sentiments qui guidèrent les écrivains qui, les premiers, retracèrent l’histoire des villes de l’</w:t>
      </w:r>
      <w:r>
        <w:rPr>
          <w:color w:val="000000"/>
          <w:lang w:eastAsia="fr-FR" w:bidi="fr-FR"/>
        </w:rPr>
        <w:t>Île-de-France</w:t>
      </w:r>
      <w:r w:rsidRPr="00246AE4">
        <w:rPr>
          <w:color w:val="000000"/>
          <w:lang w:eastAsia="fr-FR" w:bidi="fr-FR"/>
        </w:rPr>
        <w:t>.</w:t>
      </w:r>
    </w:p>
    <w:p w14:paraId="2A0CC26F" w14:textId="77777777" w:rsidR="00B9662D" w:rsidRPr="00246AE4" w:rsidRDefault="00B9662D" w:rsidP="00B9662D">
      <w:pPr>
        <w:spacing w:before="120" w:after="120"/>
        <w:jc w:val="both"/>
      </w:pPr>
      <w:r w:rsidRPr="00246AE4">
        <w:rPr>
          <w:color w:val="000000"/>
          <w:lang w:eastAsia="fr-FR" w:bidi="fr-FR"/>
        </w:rPr>
        <w:t xml:space="preserve">Un cordelier, nommé Noël Taillepied, fit paraître en 1587 un livre intitulé </w:t>
      </w:r>
      <w:r w:rsidRPr="00AB1C4C">
        <w:rPr>
          <w:i/>
        </w:rPr>
        <w:t>Recueil des antiquitez et singularitez de la ville de Pontoise</w:t>
      </w:r>
      <w:r w:rsidRPr="00AB1C4C">
        <w:rPr>
          <w:i/>
          <w:color w:val="000000"/>
          <w:lang w:eastAsia="fr-FR" w:bidi="fr-FR"/>
        </w:rPr>
        <w:t xml:space="preserve">, </w:t>
      </w:r>
      <w:r w:rsidRPr="00AB1C4C">
        <w:rPr>
          <w:i/>
        </w:rPr>
        <w:t>ville du Vequecin François</w:t>
      </w:r>
      <w:r>
        <w:t> </w:t>
      </w:r>
      <w:r>
        <w:rPr>
          <w:rStyle w:val="Appelnotedebasdep"/>
        </w:rPr>
        <w:footnoteReference w:id="416"/>
      </w:r>
      <w:r w:rsidRPr="00246AE4">
        <w:rPr>
          <w:color w:val="000000"/>
          <w:lang w:eastAsia="fr-FR" w:bidi="fr-FR"/>
        </w:rPr>
        <w:t> ; cet ouvrage témoigne de plus d’imagination que de sens historique ; mais la préface en est curieuse. Taillepied, pour justifier son entreprise, évoque le souvenir et l’exemple non seulement des historiens anciens, mais encore de J</w:t>
      </w:r>
      <w:r w:rsidRPr="00246AE4">
        <w:rPr>
          <w:color w:val="000000"/>
          <w:lang w:eastAsia="fr-FR" w:bidi="fr-FR"/>
        </w:rPr>
        <w:t>u</w:t>
      </w:r>
      <w:r w:rsidRPr="00246AE4">
        <w:rPr>
          <w:color w:val="000000"/>
          <w:lang w:eastAsia="fr-FR" w:bidi="fr-FR"/>
        </w:rPr>
        <w:t xml:space="preserve">nius Brutus, d’Épaminondas, des Macchabées « et autres sans nombre qui n’ont rien omis qui peut servir à l’advancement de leur patrie ». Le même esprit anime </w:t>
      </w:r>
      <w:r w:rsidRPr="008523A4">
        <w:rPr>
          <w:i/>
        </w:rPr>
        <w:t>l’Histoire de Melun</w:t>
      </w:r>
      <w:r w:rsidRPr="00246AE4">
        <w:t xml:space="preserve"> </w:t>
      </w:r>
      <w:r w:rsidRPr="00246AE4">
        <w:rPr>
          <w:color w:val="000000"/>
          <w:lang w:eastAsia="fr-FR" w:bidi="fr-FR"/>
        </w:rPr>
        <w:t>que publia en 1624 un avocat au Parlement de Paris, Sébastien Rouillard</w:t>
      </w:r>
      <w:r>
        <w:rPr>
          <w:color w:val="000000"/>
          <w:lang w:eastAsia="fr-FR" w:bidi="fr-FR"/>
        </w:rPr>
        <w:t> </w:t>
      </w:r>
      <w:r>
        <w:rPr>
          <w:rStyle w:val="Appelnotedebasdep"/>
        </w:rPr>
        <w:footnoteReference w:id="417"/>
      </w:r>
      <w:r w:rsidRPr="00246AE4">
        <w:rPr>
          <w:color w:val="000000"/>
          <w:lang w:eastAsia="fr-FR" w:bidi="fr-FR"/>
        </w:rPr>
        <w:t xml:space="preserve">. Rouillard dédia </w:t>
      </w:r>
      <w:r w:rsidRPr="00246AE4">
        <w:rPr>
          <w:color w:val="000000"/>
          <w:lang w:eastAsia="fr-FR" w:bidi="fr-FR"/>
        </w:rPr>
        <w:lastRenderedPageBreak/>
        <w:t>son livre à la ville même de Melun, dont il était originaire,</w:t>
      </w:r>
      <w:r>
        <w:rPr>
          <w:color w:val="000000"/>
          <w:lang w:eastAsia="fr-FR" w:bidi="fr-FR"/>
        </w:rPr>
        <w:t xml:space="preserve"> </w:t>
      </w:r>
      <w:r>
        <w:t xml:space="preserve">[716] </w:t>
      </w:r>
      <w:r w:rsidRPr="00246AE4">
        <w:rPr>
          <w:color w:val="000000"/>
          <w:lang w:eastAsia="fr-FR" w:bidi="fr-FR"/>
        </w:rPr>
        <w:t>M</w:t>
      </w:r>
      <w:r w:rsidRPr="00246AE4">
        <w:rPr>
          <w:color w:val="000000"/>
          <w:lang w:eastAsia="fr-FR" w:bidi="fr-FR"/>
        </w:rPr>
        <w:t>e</w:t>
      </w:r>
      <w:r w:rsidRPr="00246AE4">
        <w:rPr>
          <w:color w:val="000000"/>
          <w:lang w:eastAsia="fr-FR" w:bidi="fr-FR"/>
        </w:rPr>
        <w:t>lun, sa « chere patrie », sa « mere genes iarche ». « </w:t>
      </w:r>
      <w:r w:rsidRPr="00AB1C4C">
        <w:rPr>
          <w:color w:val="000000"/>
          <w:lang w:eastAsia="fr-FR" w:bidi="fr-FR"/>
        </w:rPr>
        <w:t>O</w:t>
      </w:r>
      <w:r w:rsidRPr="00AB1C4C">
        <w:rPr>
          <w:b/>
          <w:color w:val="000000"/>
          <w:lang w:eastAsia="fr-FR" w:bidi="fr-FR"/>
        </w:rPr>
        <w:t xml:space="preserve"> </w:t>
      </w:r>
      <w:r w:rsidRPr="00AB1C4C">
        <w:rPr>
          <w:rStyle w:val="Corpsdutexte275ptGrasPetitesmajuscules"/>
          <w:b w:val="0"/>
          <w:sz w:val="28"/>
          <w:lang w:val="fr-CA"/>
        </w:rPr>
        <w:t>Ville de Melvn »,</w:t>
      </w:r>
      <w:r w:rsidRPr="00246AE4">
        <w:rPr>
          <w:rStyle w:val="Corpsdutexte275ptGrasPetitesmajuscules"/>
          <w:sz w:val="28"/>
          <w:lang w:val="fr-CA"/>
        </w:rPr>
        <w:t xml:space="preserve"> </w:t>
      </w:r>
      <w:r w:rsidRPr="00246AE4">
        <w:rPr>
          <w:color w:val="000000"/>
          <w:lang w:eastAsia="fr-FR" w:bidi="fr-FR"/>
        </w:rPr>
        <w:t>disait-il dans cette dédicace, « j’ay par quelques années, volontiers employé ma peine et mon estude, à ressusciter vostre orig</w:t>
      </w:r>
      <w:r w:rsidRPr="00246AE4">
        <w:rPr>
          <w:color w:val="000000"/>
          <w:lang w:eastAsia="fr-FR" w:bidi="fr-FR"/>
        </w:rPr>
        <w:t>i</w:t>
      </w:r>
      <w:r w:rsidRPr="00246AE4">
        <w:rPr>
          <w:color w:val="000000"/>
          <w:lang w:eastAsia="fr-FR" w:bidi="fr-FR"/>
        </w:rPr>
        <w:t>ne, presque gisante au sepulchre : r’amener en pleine lumière, le fonds de vos tenebres et vous donner rang honorable, parmy les citez plus insignes de France. Car par quelle autre espèce de mérite ? ou par quel autre éclat et chef-d’œuvre d’esprit ? me pouvois-je tesmoigner pour vray Philopatride ? puis que c’est chose, que pas un des vostres n’ha tenté jusqu’à huy »</w:t>
      </w:r>
      <w:r>
        <w:rPr>
          <w:color w:val="000000"/>
          <w:lang w:eastAsia="fr-FR" w:bidi="fr-FR"/>
        </w:rPr>
        <w:t> </w:t>
      </w:r>
      <w:r>
        <w:rPr>
          <w:rStyle w:val="Appelnotedebasdep"/>
        </w:rPr>
        <w:footnoteReference w:id="418"/>
      </w:r>
      <w:r>
        <w:rPr>
          <w:color w:val="000000"/>
          <w:lang w:eastAsia="fr-FR" w:bidi="fr-FR"/>
        </w:rPr>
        <w:t>,</w:t>
      </w:r>
      <w:r w:rsidRPr="00246AE4">
        <w:rPr>
          <w:color w:val="000000"/>
          <w:lang w:eastAsia="fr-FR" w:bidi="fr-FR"/>
        </w:rPr>
        <w:t xml:space="preserve"> Ce Rouillard qui fut lié avec Juste Lipse</w:t>
      </w:r>
      <w:r>
        <w:rPr>
          <w:color w:val="000000"/>
          <w:lang w:eastAsia="fr-FR" w:bidi="fr-FR"/>
        </w:rPr>
        <w:t> </w:t>
      </w:r>
      <w:r>
        <w:rPr>
          <w:rStyle w:val="Appelnotedebasdep"/>
        </w:rPr>
        <w:footnoteReference w:id="419"/>
      </w:r>
      <w:r w:rsidRPr="00246AE4">
        <w:rPr>
          <w:color w:val="000000"/>
          <w:lang w:eastAsia="fr-FR" w:bidi="fr-FR"/>
        </w:rPr>
        <w:t>, se</w:t>
      </w:r>
      <w:r w:rsidRPr="00246AE4">
        <w:rPr>
          <w:color w:val="000000"/>
          <w:lang w:eastAsia="fr-FR" w:bidi="fr-FR"/>
        </w:rPr>
        <w:t>m</w:t>
      </w:r>
      <w:r w:rsidRPr="00246AE4">
        <w:rPr>
          <w:color w:val="000000"/>
          <w:lang w:eastAsia="fr-FR" w:bidi="fr-FR"/>
        </w:rPr>
        <w:t>ble avoir été un polygraphe fécond</w:t>
      </w:r>
      <w:r>
        <w:rPr>
          <w:color w:val="000000"/>
          <w:lang w:eastAsia="fr-FR" w:bidi="fr-FR"/>
        </w:rPr>
        <w:t> </w:t>
      </w:r>
      <w:r>
        <w:rPr>
          <w:rStyle w:val="Appelnotedebasdep"/>
        </w:rPr>
        <w:footnoteReference w:id="420"/>
      </w:r>
      <w:r w:rsidRPr="00246AE4">
        <w:rPr>
          <w:color w:val="000000"/>
          <w:lang w:eastAsia="fr-FR" w:bidi="fr-FR"/>
        </w:rPr>
        <w:t>, et un esprit fumeux, mais d’intelligence vive et curieuse ; il mériterait une étude ; nous retrouv</w:t>
      </w:r>
      <w:r w:rsidRPr="00246AE4">
        <w:rPr>
          <w:color w:val="000000"/>
          <w:lang w:eastAsia="fr-FR" w:bidi="fr-FR"/>
        </w:rPr>
        <w:t>e</w:t>
      </w:r>
      <w:r w:rsidRPr="00246AE4">
        <w:rPr>
          <w:color w:val="000000"/>
          <w:lang w:eastAsia="fr-FR" w:bidi="fr-FR"/>
        </w:rPr>
        <w:t>rons son nom plus loin.</w:t>
      </w:r>
    </w:p>
    <w:p w14:paraId="468BF38A" w14:textId="77777777" w:rsidR="00B9662D" w:rsidRPr="00246AE4" w:rsidRDefault="00B9662D" w:rsidP="00B9662D">
      <w:pPr>
        <w:spacing w:before="120" w:after="120"/>
        <w:jc w:val="both"/>
      </w:pPr>
      <w:r w:rsidRPr="00246AE4">
        <w:rPr>
          <w:color w:val="000000"/>
          <w:lang w:eastAsia="fr-FR" w:bidi="fr-FR"/>
        </w:rPr>
        <w:t xml:space="preserve">L’année même où paraissait </w:t>
      </w:r>
      <w:r>
        <w:t>l’</w:t>
      </w:r>
      <w:r w:rsidRPr="005657B8">
        <w:rPr>
          <w:i/>
        </w:rPr>
        <w:t>Histoire de Melun</w:t>
      </w:r>
      <w:r w:rsidRPr="00246AE4">
        <w:rPr>
          <w:color w:val="000000"/>
          <w:lang w:eastAsia="fr-FR" w:bidi="fr-FR"/>
        </w:rPr>
        <w:t xml:space="preserve"> mourait un ho</w:t>
      </w:r>
      <w:r w:rsidRPr="00246AE4">
        <w:rPr>
          <w:color w:val="000000"/>
          <w:lang w:eastAsia="fr-FR" w:bidi="fr-FR"/>
        </w:rPr>
        <w:t>m</w:t>
      </w:r>
      <w:r w:rsidRPr="00246AE4">
        <w:rPr>
          <w:color w:val="000000"/>
          <w:lang w:eastAsia="fr-FR" w:bidi="fr-FR"/>
        </w:rPr>
        <w:t>me de loi, nommé Jean de la Barre, que la faveur du ministre Villeroy avait appelé au poste de prévôt de Corbeil. La Barre laissait en m</w:t>
      </w:r>
      <w:r w:rsidRPr="00246AE4">
        <w:rPr>
          <w:color w:val="000000"/>
          <w:lang w:eastAsia="fr-FR" w:bidi="fr-FR"/>
        </w:rPr>
        <w:t>a</w:t>
      </w:r>
      <w:r w:rsidRPr="00246AE4">
        <w:rPr>
          <w:color w:val="000000"/>
          <w:lang w:eastAsia="fr-FR" w:bidi="fr-FR"/>
        </w:rPr>
        <w:t>nuscrit une histoire de la ville qu’il avait administrée ; cet ouvrage ne fut publié que vingt-trois ans plus tard ; les historiens aujourd’hui trouvent encore profit à le consulter</w:t>
      </w:r>
      <w:r>
        <w:rPr>
          <w:color w:val="000000"/>
          <w:lang w:eastAsia="fr-FR" w:bidi="fr-FR"/>
        </w:rPr>
        <w:t> </w:t>
      </w:r>
      <w:r>
        <w:rPr>
          <w:rStyle w:val="Appelnotedebasdep"/>
        </w:rPr>
        <w:footnoteReference w:id="421"/>
      </w:r>
      <w:r w:rsidRPr="00246AE4">
        <w:rPr>
          <w:color w:val="000000"/>
          <w:lang w:eastAsia="fr-FR" w:bidi="fr-FR"/>
        </w:rPr>
        <w:t>. Mais c’est à un religieux barn</w:t>
      </w:r>
      <w:r w:rsidRPr="00246AE4">
        <w:rPr>
          <w:color w:val="000000"/>
          <w:lang w:eastAsia="fr-FR" w:bidi="fr-FR"/>
        </w:rPr>
        <w:t>a</w:t>
      </w:r>
      <w:r w:rsidRPr="00246AE4">
        <w:rPr>
          <w:color w:val="000000"/>
          <w:lang w:eastAsia="fr-FR" w:bidi="fr-FR"/>
        </w:rPr>
        <w:t>bite, dom Basile Fleureau, qui, né à Étampes, fut de 1662 à 1669 s</w:t>
      </w:r>
      <w:r w:rsidRPr="00246AE4">
        <w:rPr>
          <w:color w:val="000000"/>
          <w:lang w:eastAsia="fr-FR" w:bidi="fr-FR"/>
        </w:rPr>
        <w:t>u</w:t>
      </w:r>
      <w:r w:rsidRPr="00246AE4">
        <w:rPr>
          <w:color w:val="000000"/>
          <w:lang w:eastAsia="fr-FR" w:bidi="fr-FR"/>
        </w:rPr>
        <w:t>périeur du collège de cette ville, qu’est dû le meilleur livre d’histoire urbaine qui ait ét</w:t>
      </w:r>
      <w:r>
        <w:rPr>
          <w:color w:val="000000"/>
          <w:lang w:eastAsia="fr-FR" w:bidi="fr-FR"/>
        </w:rPr>
        <w:t>é écrit dans l’Île-</w:t>
      </w:r>
      <w:r w:rsidRPr="00246AE4">
        <w:rPr>
          <w:color w:val="000000"/>
          <w:lang w:eastAsia="fr-FR" w:bidi="fr-FR"/>
        </w:rPr>
        <w:t xml:space="preserve">de-France au </w:t>
      </w:r>
      <w:r w:rsidRPr="00AB1C4C">
        <w:rPr>
          <w: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 </w:t>
      </w:r>
      <w:r w:rsidRPr="005657B8">
        <w:rPr>
          <w:i/>
        </w:rPr>
        <w:t>les Ant</w:t>
      </w:r>
      <w:r w:rsidRPr="005657B8">
        <w:rPr>
          <w:i/>
        </w:rPr>
        <w:t>i</w:t>
      </w:r>
      <w:r w:rsidRPr="005657B8">
        <w:rPr>
          <w:i/>
        </w:rPr>
        <w:t xml:space="preserve">quitez de la ville et du duché d'Estampes avec </w:t>
      </w:r>
      <w:r w:rsidRPr="005657B8">
        <w:rPr>
          <w:i/>
        </w:rPr>
        <w:lastRenderedPageBreak/>
        <w:t>l’histoire de l'abbaye de Morigny </w:t>
      </w:r>
      <w:r>
        <w:rPr>
          <w:rStyle w:val="Appelnotedebasdep"/>
        </w:rPr>
        <w:footnoteReference w:id="422"/>
      </w:r>
      <w:r w:rsidRPr="00246AE4">
        <w:rPr>
          <w:color w:val="000000"/>
          <w:lang w:eastAsia="fr-FR" w:bidi="fr-FR"/>
        </w:rPr>
        <w:t xml:space="preserve">. Comme la Barre, dom Fleureau mourut avant d’avoir pu livrer son ouvrage à l’impression. </w:t>
      </w:r>
      <w:r w:rsidRPr="005657B8">
        <w:rPr>
          <w:i/>
        </w:rPr>
        <w:t>Les Antiquitez de la ville et du d</w:t>
      </w:r>
      <w:r w:rsidRPr="005657B8">
        <w:rPr>
          <w:i/>
        </w:rPr>
        <w:t>u</w:t>
      </w:r>
      <w:r w:rsidRPr="005657B8">
        <w:rPr>
          <w:i/>
        </w:rPr>
        <w:t>ché d'Estampes</w:t>
      </w:r>
      <w:r w:rsidRPr="00246AE4">
        <w:rPr>
          <w:color w:val="000000"/>
          <w:lang w:eastAsia="fr-FR" w:bidi="fr-FR"/>
        </w:rPr>
        <w:t xml:space="preserve"> ne parurent qu’en 1683, par les soins des autorités de la ville, neuf ans après la mort de leur auteur. Dom Fleureau déda</w:t>
      </w:r>
      <w:r w:rsidRPr="00246AE4">
        <w:rPr>
          <w:color w:val="000000"/>
          <w:lang w:eastAsia="fr-FR" w:bidi="fr-FR"/>
        </w:rPr>
        <w:t>i</w:t>
      </w:r>
      <w:r w:rsidRPr="00246AE4">
        <w:rPr>
          <w:color w:val="000000"/>
          <w:lang w:eastAsia="fr-FR" w:bidi="fr-FR"/>
        </w:rPr>
        <w:t>gnait l’archéologie, ou l’ignorait : il ne nous a pas donné sur les m</w:t>
      </w:r>
      <w:r w:rsidRPr="00246AE4">
        <w:rPr>
          <w:color w:val="000000"/>
          <w:lang w:eastAsia="fr-FR" w:bidi="fr-FR"/>
        </w:rPr>
        <w:t>o</w:t>
      </w:r>
      <w:r w:rsidRPr="00246AE4">
        <w:rPr>
          <w:color w:val="000000"/>
          <w:lang w:eastAsia="fr-FR" w:bidi="fr-FR"/>
        </w:rPr>
        <w:t>numents</w:t>
      </w:r>
      <w:r>
        <w:rPr>
          <w:color w:val="000000"/>
          <w:lang w:eastAsia="fr-FR" w:bidi="fr-FR"/>
        </w:rPr>
        <w:t> — </w:t>
      </w:r>
      <w:r w:rsidRPr="00246AE4">
        <w:rPr>
          <w:color w:val="000000"/>
          <w:lang w:eastAsia="fr-FR" w:bidi="fr-FR"/>
        </w:rPr>
        <w:t>pourtant si intéressants</w:t>
      </w:r>
      <w:r>
        <w:rPr>
          <w:color w:val="000000"/>
          <w:lang w:eastAsia="fr-FR" w:bidi="fr-FR"/>
        </w:rPr>
        <w:t> — </w:t>
      </w:r>
      <w:r w:rsidRPr="00246AE4">
        <w:rPr>
          <w:color w:val="000000"/>
          <w:lang w:eastAsia="fr-FR" w:bidi="fr-FR"/>
        </w:rPr>
        <w:t>de la ville dont il écrivait l’histoire les renseignements qu’on eût été en droit d’attendre de lui. Il avait peu d’esprit critique ; mais il était laborieux, probe, exact. L’ouvrage qu’il a laissé n’a pas cessé de rendre aux travailleurs les plus précieux services ; la valeur en est encore rehaussée par de no</w:t>
      </w:r>
      <w:r w:rsidRPr="00246AE4">
        <w:rPr>
          <w:color w:val="000000"/>
          <w:lang w:eastAsia="fr-FR" w:bidi="fr-FR"/>
        </w:rPr>
        <w:t>m</w:t>
      </w:r>
      <w:r w:rsidRPr="00246AE4">
        <w:rPr>
          <w:color w:val="000000"/>
          <w:lang w:eastAsia="fr-FR" w:bidi="fr-FR"/>
        </w:rPr>
        <w:t>breuses pièces justificatives.</w:t>
      </w:r>
    </w:p>
    <w:p w14:paraId="020ADF76" w14:textId="77777777" w:rsidR="00B9662D" w:rsidRPr="00246AE4" w:rsidRDefault="00B9662D" w:rsidP="00B9662D">
      <w:pPr>
        <w:spacing w:before="120" w:after="120"/>
        <w:jc w:val="both"/>
      </w:pPr>
      <w:r w:rsidRPr="00246AE4">
        <w:rPr>
          <w:color w:val="000000"/>
          <w:lang w:eastAsia="fr-FR" w:bidi="fr-FR"/>
        </w:rPr>
        <w:t xml:space="preserve">L’histoire de </w:t>
      </w:r>
      <w:r>
        <w:rPr>
          <w:color w:val="000000"/>
          <w:lang w:eastAsia="fr-FR" w:bidi="fr-FR"/>
        </w:rPr>
        <w:t>l’Î</w:t>
      </w:r>
      <w:r w:rsidRPr="00246AE4">
        <w:rPr>
          <w:color w:val="000000"/>
          <w:lang w:eastAsia="fr-FR" w:bidi="fr-FR"/>
        </w:rPr>
        <w:t>le-de-France, dans son ensemble, n’a jamais été traitée. L’unité de cette région était trop peu marquée, ses limites trop</w:t>
      </w:r>
      <w:r>
        <w:rPr>
          <w:color w:val="000000"/>
          <w:lang w:eastAsia="fr-FR" w:bidi="fr-FR"/>
        </w:rPr>
        <w:t xml:space="preserve"> </w:t>
      </w:r>
      <w:r>
        <w:t xml:space="preserve">[717] </w:t>
      </w:r>
      <w:r w:rsidRPr="00246AE4">
        <w:rPr>
          <w:color w:val="000000"/>
          <w:lang w:eastAsia="fr-FR" w:bidi="fr-FR"/>
        </w:rPr>
        <w:t>imprécises pour qu’une pareille tâche ait jamais tenté personne. Mais quelques-uns des pays qui composent l’</w:t>
      </w:r>
      <w:r>
        <w:rPr>
          <w:color w:val="000000"/>
          <w:lang w:eastAsia="fr-FR" w:bidi="fr-FR"/>
        </w:rPr>
        <w:t>Île-de-France</w:t>
      </w:r>
      <w:r w:rsidRPr="00246AE4">
        <w:rPr>
          <w:color w:val="000000"/>
          <w:lang w:eastAsia="fr-FR" w:bidi="fr-FR"/>
        </w:rPr>
        <w:t xml:space="preserve"> ont trouvé leurs historiens ; dès le début du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le Gâtinais eut le sien : ce fut un grand-prieur de l’abbaye gâtinaise de Ferrières, qui gouverna cette maison de 1610 à 1628, dom Guillaume Morin. </w:t>
      </w:r>
      <w:r>
        <w:rPr>
          <w:color w:val="000000"/>
          <w:lang w:eastAsia="fr-FR" w:bidi="fr-FR"/>
        </w:rPr>
        <w:t>À</w:t>
      </w:r>
      <w:r w:rsidRPr="00246AE4">
        <w:rPr>
          <w:color w:val="000000"/>
          <w:lang w:eastAsia="fr-FR" w:bidi="fr-FR"/>
        </w:rPr>
        <w:t xml:space="preserve"> Ferrières une chapelle marquait le lieu où, par une nuit de Noël, la divine crèche était apparue dans un nimbe de lumière à saint Savinien et ses comp</w:t>
      </w:r>
      <w:r w:rsidRPr="00246AE4">
        <w:rPr>
          <w:color w:val="000000"/>
          <w:lang w:eastAsia="fr-FR" w:bidi="fr-FR"/>
        </w:rPr>
        <w:t>a</w:t>
      </w:r>
      <w:r w:rsidRPr="00246AE4">
        <w:rPr>
          <w:color w:val="000000"/>
          <w:lang w:eastAsia="fr-FR" w:bidi="fr-FR"/>
        </w:rPr>
        <w:t>gnons ; la Vierge que l’on vénérait en ce lieu portait le nom de Notre-Dame-de-Bethléem ; elle faisait des miracles ; dom Morin en écrivit le récit : il ne négligeait rien de ce qui pouvait contribuer à rendre à l’abbaye de Ferrières, qu’avaient éprouvée les guerres de religion, son antique prospérité. Tel fut l’objet des premiers ouvrages de dom M</w:t>
      </w:r>
      <w:r w:rsidRPr="00246AE4">
        <w:rPr>
          <w:color w:val="000000"/>
          <w:lang w:eastAsia="fr-FR" w:bidi="fr-FR"/>
        </w:rPr>
        <w:t>o</w:t>
      </w:r>
      <w:r w:rsidRPr="00246AE4">
        <w:rPr>
          <w:color w:val="000000"/>
          <w:lang w:eastAsia="fr-FR" w:bidi="fr-FR"/>
        </w:rPr>
        <w:t>rin, qui ne sont que de minces plaquettes. Ainsi, sans doute, naquit en lui le goût des recherches historiques ; il résolut de satisfaire ce goût par la composition d’un plus vaste ouvrage, où se trouveraient retr</w:t>
      </w:r>
      <w:r w:rsidRPr="00246AE4">
        <w:rPr>
          <w:color w:val="000000"/>
          <w:lang w:eastAsia="fr-FR" w:bidi="fr-FR"/>
        </w:rPr>
        <w:t>a</w:t>
      </w:r>
      <w:r w:rsidRPr="00246AE4">
        <w:rPr>
          <w:color w:val="000000"/>
          <w:lang w:eastAsia="fr-FR" w:bidi="fr-FR"/>
        </w:rPr>
        <w:lastRenderedPageBreak/>
        <w:t xml:space="preserve">cées les destinées de la région dont Ferrières était le centre religieux. Ce fut </w:t>
      </w:r>
      <w:r w:rsidRPr="00246AE4">
        <w:t>l’</w:t>
      </w:r>
      <w:r w:rsidRPr="00780212">
        <w:rPr>
          <w:i/>
        </w:rPr>
        <w:t>Histoire générale des pays de Gastinois, Senonois et Hur</w:t>
      </w:r>
      <w:r w:rsidRPr="00780212">
        <w:rPr>
          <w:i/>
        </w:rPr>
        <w:t>e</w:t>
      </w:r>
      <w:r w:rsidRPr="00780212">
        <w:rPr>
          <w:i/>
        </w:rPr>
        <w:t>pois</w:t>
      </w:r>
      <w:r w:rsidRPr="00246AE4">
        <w:rPr>
          <w:color w:val="000000"/>
          <w:lang w:eastAsia="fr-FR" w:bidi="fr-FR"/>
        </w:rPr>
        <w:t>.</w:t>
      </w:r>
      <w:r>
        <w:rPr>
          <w:color w:val="000000"/>
          <w:lang w:eastAsia="fr-FR" w:bidi="fr-FR"/>
        </w:rPr>
        <w:t> </w:t>
      </w:r>
      <w:r>
        <w:rPr>
          <w:rStyle w:val="Appelnotedebasdep"/>
        </w:rPr>
        <w:footnoteReference w:id="423"/>
      </w:r>
      <w:r w:rsidRPr="00246AE4">
        <w:rPr>
          <w:color w:val="000000"/>
          <w:lang w:eastAsia="fr-FR" w:bidi="fr-FR"/>
        </w:rPr>
        <w:t xml:space="preserve"> Aussi peu favorisé par le sort que La Barre et que dom Fle</w:t>
      </w:r>
      <w:r w:rsidRPr="00246AE4">
        <w:rPr>
          <w:color w:val="000000"/>
          <w:lang w:eastAsia="fr-FR" w:bidi="fr-FR"/>
        </w:rPr>
        <w:t>u</w:t>
      </w:r>
      <w:r w:rsidRPr="00246AE4">
        <w:rPr>
          <w:color w:val="000000"/>
          <w:lang w:eastAsia="fr-FR" w:bidi="fr-FR"/>
        </w:rPr>
        <w:t xml:space="preserve">reau, dom Morin mourut alors que les premières feuilles de son livre étaient en train de s’imprimer. Les religieux, ses confrères, assurèrent la publication de </w:t>
      </w:r>
      <w:r w:rsidRPr="00246AE4">
        <w:t>l’</w:t>
      </w:r>
      <w:r w:rsidRPr="0085129C">
        <w:rPr>
          <w:i/>
        </w:rPr>
        <w:t>Histoire du Gastinois</w:t>
      </w:r>
      <w:r w:rsidRPr="00246AE4">
        <w:rPr>
          <w:color w:val="000000"/>
          <w:lang w:eastAsia="fr-FR" w:bidi="fr-FR"/>
        </w:rPr>
        <w:t xml:space="preserve"> qui vit le jour en 1630 ; ils confièrent le soin de revoir le manuscrit pour l’impression à un certain Claude Malingre, « historiographe sénonois » qui s’en acquitta assez mal. De nos jours, une nouvelle édition de l’ouvrage de dom Morin a été donnée par un érudit plus attentif que Claude Malingre, M. La</w:t>
      </w:r>
      <w:r w:rsidRPr="00246AE4">
        <w:rPr>
          <w:color w:val="000000"/>
          <w:lang w:eastAsia="fr-FR" w:bidi="fr-FR"/>
        </w:rPr>
        <w:t>u</w:t>
      </w:r>
      <w:r w:rsidRPr="00246AE4">
        <w:rPr>
          <w:color w:val="000000"/>
          <w:lang w:eastAsia="fr-FR" w:bidi="fr-FR"/>
        </w:rPr>
        <w:t>rent</w:t>
      </w:r>
      <w:r>
        <w:rPr>
          <w:color w:val="000000"/>
          <w:lang w:eastAsia="fr-FR" w:bidi="fr-FR"/>
        </w:rPr>
        <w:t> </w:t>
      </w:r>
      <w:r>
        <w:rPr>
          <w:rStyle w:val="Appelnotedebasdep"/>
        </w:rPr>
        <w:footnoteReference w:id="424"/>
      </w:r>
      <w:r w:rsidRPr="00246AE4">
        <w:rPr>
          <w:color w:val="000000"/>
          <w:lang w:eastAsia="fr-FR" w:bidi="fr-FR"/>
        </w:rPr>
        <w:t xml:space="preserve">. </w:t>
      </w:r>
      <w:r w:rsidRPr="00246AE4">
        <w:t>L’</w:t>
      </w:r>
      <w:r w:rsidRPr="0085129C">
        <w:rPr>
          <w:i/>
        </w:rPr>
        <w:t>Histoire du Gastinois</w:t>
      </w:r>
      <w:r w:rsidRPr="00246AE4">
        <w:rPr>
          <w:color w:val="000000"/>
          <w:lang w:eastAsia="fr-FR" w:bidi="fr-FR"/>
        </w:rPr>
        <w:t xml:space="preserve"> méritait-elle l’honneur de la réimpre</w:t>
      </w:r>
      <w:r w:rsidRPr="00246AE4">
        <w:rPr>
          <w:color w:val="000000"/>
          <w:lang w:eastAsia="fr-FR" w:bidi="fr-FR"/>
        </w:rPr>
        <w:t>s</w:t>
      </w:r>
      <w:r w:rsidRPr="00246AE4">
        <w:rPr>
          <w:color w:val="000000"/>
          <w:lang w:eastAsia="fr-FR" w:bidi="fr-FR"/>
        </w:rPr>
        <w:t xml:space="preserve">sion ? on peut en douter. Selon l’expression même de son moderne éditeur elle « fourmille d’erreurs grossières ». Dom Morin était un excellent religieux et un homme actif ; mais il était négligent et naïf ; un érudit sénonais le mystifia un jour bien cruellement ; il le persuada d’insérer dans son ouvrage une référence qu’il lui fournit écrite en abrégé ; dom Morin ne se donna point la peine de la déchiffrer ; elle fut imprimée telle quelle ; les abréviations une fois résolues, </w:t>
      </w:r>
      <w:r w:rsidRPr="00246AE4">
        <w:rPr>
          <w:color w:val="000000"/>
          <w:lang w:eastAsia="fr-FR" w:bidi="fr-FR"/>
        </w:rPr>
        <w:lastRenderedPageBreak/>
        <w:t>elle se lit ainsi : « Charron, de historia universali, in futilibus historiis nullis, pagina nulla, folio fracto »</w:t>
      </w:r>
      <w:r>
        <w:rPr>
          <w:color w:val="000000"/>
          <w:lang w:eastAsia="fr-FR" w:bidi="fr-FR"/>
        </w:rPr>
        <w:t> </w:t>
      </w:r>
      <w:r>
        <w:rPr>
          <w:rStyle w:val="Appelnotedebasdep"/>
        </w:rPr>
        <w:footnoteReference w:id="425"/>
      </w:r>
      <w:r w:rsidRPr="00246AE4">
        <w:rPr>
          <w:color w:val="000000"/>
          <w:lang w:eastAsia="fr-FR" w:bidi="fr-FR"/>
        </w:rPr>
        <w:t>.</w:t>
      </w:r>
    </w:p>
    <w:p w14:paraId="762B5BAD" w14:textId="77777777" w:rsidR="00B9662D" w:rsidRDefault="00B9662D" w:rsidP="00B9662D">
      <w:pPr>
        <w:spacing w:before="120" w:after="120"/>
        <w:jc w:val="both"/>
      </w:pPr>
      <w:r>
        <w:t>[718]</w:t>
      </w:r>
    </w:p>
    <w:p w14:paraId="7868E353" w14:textId="77777777" w:rsidR="00B9662D" w:rsidRPr="00246AE4" w:rsidRDefault="00B9662D" w:rsidP="00B9662D">
      <w:pPr>
        <w:spacing w:before="120" w:after="120"/>
        <w:jc w:val="both"/>
      </w:pPr>
      <w:r w:rsidRPr="00246AE4">
        <w:rPr>
          <w:color w:val="000000"/>
          <w:lang w:eastAsia="fr-FR" w:bidi="fr-FR"/>
        </w:rPr>
        <w:t>L’histoire de quelques-unes des églises de l’</w:t>
      </w:r>
      <w:r>
        <w:rPr>
          <w:color w:val="000000"/>
          <w:lang w:eastAsia="fr-FR" w:bidi="fr-FR"/>
        </w:rPr>
        <w:t>Île-de-France</w:t>
      </w:r>
      <w:r w:rsidRPr="00246AE4">
        <w:rPr>
          <w:color w:val="000000"/>
          <w:lang w:eastAsia="fr-FR" w:bidi="fr-FR"/>
        </w:rPr>
        <w:t xml:space="preserve">, nous l’avons vu, a été écrite dès le Moyen </w:t>
      </w:r>
      <w:r>
        <w:rPr>
          <w:color w:val="000000"/>
          <w:lang w:eastAsia="fr-FR" w:bidi="fr-FR"/>
        </w:rPr>
        <w:t>Â</w:t>
      </w:r>
      <w:r w:rsidRPr="00246AE4">
        <w:rPr>
          <w:color w:val="000000"/>
          <w:lang w:eastAsia="fr-FR" w:bidi="fr-FR"/>
        </w:rPr>
        <w:t xml:space="preserve">ge. Le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eut, lui aussi, ses historiens ecclésiastiques locaux. Sébastien Rouillard, dont le nom nous est déjà connu, fit paraître en 1609 une histoire de l’église cathédrale de Chartres. Une tradition fort ancienne et qui trouve encore aujourd’hui créance chez de bons érudits, veut que l’admirable cathédrale, dont les maçons, les sculpteurs et les verriers d’autrefois ont fait un des plus beaux sanctuaires de la chrétienté, s’élève sur l’emplacement d’un temple païen ; dans ce temple aurait été adorée,</w:t>
      </w:r>
      <w:r>
        <w:rPr>
          <w:color w:val="000000"/>
          <w:lang w:eastAsia="fr-FR" w:bidi="fr-FR"/>
        </w:rPr>
        <w:t> — </w:t>
      </w:r>
      <w:r w:rsidRPr="00246AE4">
        <w:rPr>
          <w:color w:val="000000"/>
          <w:lang w:eastAsia="fr-FR" w:bidi="fr-FR"/>
        </w:rPr>
        <w:t>en même temps qu’un puits sacré qui de nos jours enc</w:t>
      </w:r>
      <w:r w:rsidRPr="00246AE4">
        <w:rPr>
          <w:color w:val="000000"/>
          <w:lang w:eastAsia="fr-FR" w:bidi="fr-FR"/>
        </w:rPr>
        <w:t>o</w:t>
      </w:r>
      <w:r w:rsidRPr="00246AE4">
        <w:rPr>
          <w:color w:val="000000"/>
          <w:lang w:eastAsia="fr-FR" w:bidi="fr-FR"/>
        </w:rPr>
        <w:t>re se voit dans la crypte et sous le nom de Puits des Saints Forts est l’objet de la vénération des fidèles</w:t>
      </w:r>
      <w:r>
        <w:rPr>
          <w:color w:val="000000"/>
          <w:lang w:eastAsia="fr-FR" w:bidi="fr-FR"/>
        </w:rPr>
        <w:t> — </w:t>
      </w:r>
      <w:r w:rsidRPr="00246AE4">
        <w:rPr>
          <w:color w:val="000000"/>
          <w:lang w:eastAsia="fr-FR" w:bidi="fr-FR"/>
        </w:rPr>
        <w:t xml:space="preserve">une Déesse mère, dont le type aurait survécu dans celui de la Vierge assise devant qui, au Moyen </w:t>
      </w:r>
      <w:r>
        <w:rPr>
          <w:color w:val="000000"/>
          <w:lang w:eastAsia="fr-FR" w:bidi="fr-FR"/>
        </w:rPr>
        <w:t>Â</w:t>
      </w:r>
      <w:r w:rsidRPr="00246AE4">
        <w:rPr>
          <w:color w:val="000000"/>
          <w:lang w:eastAsia="fr-FR" w:bidi="fr-FR"/>
        </w:rPr>
        <w:t xml:space="preserve">ge, tant de cierges ont brûlé. La légende racontait que, mus par l’esprit prophétique, les Carnutes avaient adoré la Vierge mère, avant la naissance même du Christ. Ainsi s’explique le titre que Rouillard donna à son livre : </w:t>
      </w:r>
      <w:r w:rsidRPr="00780212">
        <w:rPr>
          <w:i/>
        </w:rPr>
        <w:t>Parthénie ou Histoire de la Très Auguste et Très Dévote Église de Chartres</w:t>
      </w:r>
      <w:r w:rsidRPr="00780212">
        <w:rPr>
          <w:i/>
          <w:color w:val="000000"/>
          <w:lang w:eastAsia="fr-FR" w:bidi="fr-FR"/>
        </w:rPr>
        <w:t xml:space="preserve">, </w:t>
      </w:r>
      <w:r w:rsidRPr="00780212">
        <w:rPr>
          <w:i/>
        </w:rPr>
        <w:t>dédiée par les vieux Druides en l’honneur de la Vierge qui enfanteroit</w:t>
      </w:r>
      <w:r>
        <w:t> </w:t>
      </w:r>
      <w:r>
        <w:rPr>
          <w:rStyle w:val="Appelnotedebasdep"/>
        </w:rPr>
        <w:footnoteReference w:id="426"/>
      </w:r>
      <w:r w:rsidRPr="00246AE4">
        <w:t>.</w:t>
      </w:r>
      <w:r w:rsidRPr="00246AE4">
        <w:rPr>
          <w:color w:val="000000"/>
          <w:lang w:eastAsia="fr-FR" w:bidi="fr-FR"/>
        </w:rPr>
        <w:t xml:space="preserve"> La </w:t>
      </w:r>
      <w:r w:rsidRPr="00A54B39">
        <w:rPr>
          <w:i/>
        </w:rPr>
        <w:t>Parthénie</w:t>
      </w:r>
      <w:r w:rsidRPr="00246AE4">
        <w:rPr>
          <w:color w:val="000000"/>
          <w:lang w:eastAsia="fr-FR" w:bidi="fr-FR"/>
        </w:rPr>
        <w:t xml:space="preserve"> intéresse surtout les his</w:t>
      </w:r>
      <w:r w:rsidRPr="00246AE4">
        <w:rPr>
          <w:color w:val="000000"/>
          <w:lang w:eastAsia="fr-FR" w:bidi="fr-FR"/>
        </w:rPr>
        <w:lastRenderedPageBreak/>
        <w:t>t</w:t>
      </w:r>
      <w:r w:rsidRPr="00246AE4">
        <w:rPr>
          <w:color w:val="000000"/>
          <w:lang w:eastAsia="fr-FR" w:bidi="fr-FR"/>
        </w:rPr>
        <w:t>o</w:t>
      </w:r>
      <w:r w:rsidRPr="00246AE4">
        <w:rPr>
          <w:color w:val="000000"/>
          <w:lang w:eastAsia="fr-FR" w:bidi="fr-FR"/>
        </w:rPr>
        <w:t xml:space="preserve">riens de la celtomanie. L’église de Chartres devait trouver quelques années plus tard un historien plus exact dans un de ses chanoines, Jean-Baptiste Souchet, dont l’ouvrage resté longtemps manuscrit, n’a été publié qu’au </w:t>
      </w:r>
      <w:r w:rsidRPr="00AB1C4C">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par les soins de la Société archéologique d’Eure-et-Loir</w:t>
      </w:r>
      <w:r>
        <w:rPr>
          <w:color w:val="000000"/>
          <w:lang w:eastAsia="fr-FR" w:bidi="fr-FR"/>
        </w:rPr>
        <w:t> </w:t>
      </w:r>
      <w:r>
        <w:rPr>
          <w:rStyle w:val="Appelnotedebasdep"/>
        </w:rPr>
        <w:footnoteReference w:id="427"/>
      </w:r>
      <w:r w:rsidRPr="00246AE4">
        <w:rPr>
          <w:color w:val="000000"/>
          <w:lang w:eastAsia="fr-FR" w:bidi="fr-FR"/>
        </w:rPr>
        <w:t>.</w:t>
      </w:r>
    </w:p>
    <w:p w14:paraId="6AE5D213" w14:textId="77777777" w:rsidR="00B9662D" w:rsidRPr="00246AE4" w:rsidRDefault="00B9662D" w:rsidP="00B9662D">
      <w:pPr>
        <w:spacing w:before="120" w:after="120"/>
        <w:jc w:val="both"/>
      </w:pPr>
      <w:r w:rsidRPr="00246AE4">
        <w:rPr>
          <w:color w:val="000000"/>
          <w:lang w:eastAsia="fr-FR" w:bidi="fr-FR"/>
        </w:rPr>
        <w:t xml:space="preserve">L’abbaye de Saint-Denis en France avait été au Moyen </w:t>
      </w:r>
      <w:r>
        <w:rPr>
          <w:color w:val="000000"/>
          <w:lang w:eastAsia="fr-FR" w:bidi="fr-FR"/>
        </w:rPr>
        <w:t>Â</w:t>
      </w:r>
      <w:r w:rsidRPr="00246AE4">
        <w:rPr>
          <w:color w:val="000000"/>
          <w:lang w:eastAsia="fr-FR" w:bidi="fr-FR"/>
        </w:rPr>
        <w:t xml:space="preserve">ge un centre important d’études historiques ; là s’élabora l’histoire officielle de la dynastie. Mais, jusqu’au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aucun des moines n’entreprit d’écrire l’histoire de l’abbaye elle-même. L’honneur d’avoir le premier assumé cette lourde tâche revient à frère Jacques Doublet qui fit paraître en 1625, chez deux éditeurs à la fois, son </w:t>
      </w:r>
      <w:r w:rsidRPr="005075C1">
        <w:rPr>
          <w:i/>
        </w:rPr>
        <w:t>Hi</w:t>
      </w:r>
      <w:r w:rsidRPr="005075C1">
        <w:rPr>
          <w:i/>
        </w:rPr>
        <w:t>s</w:t>
      </w:r>
      <w:r w:rsidRPr="005075C1">
        <w:rPr>
          <w:i/>
        </w:rPr>
        <w:t xml:space="preserve">toire de l'abbaye de Saint-Denys en </w:t>
      </w:r>
      <w:r>
        <w:rPr>
          <w:i/>
        </w:rPr>
        <w:t>France</w:t>
      </w:r>
      <w:r>
        <w:rPr>
          <w:color w:val="000000"/>
          <w:lang w:eastAsia="fr-FR" w:bidi="fr-FR"/>
        </w:rPr>
        <w:t> </w:t>
      </w:r>
      <w:r>
        <w:rPr>
          <w:rStyle w:val="Appelnotedebasdep"/>
        </w:rPr>
        <w:footnoteReference w:id="428"/>
      </w:r>
      <w:r w:rsidRPr="00246AE4">
        <w:rPr>
          <w:color w:val="000000"/>
          <w:lang w:eastAsia="fr-FR" w:bidi="fr-FR"/>
        </w:rPr>
        <w:t>. Pourvu de très no</w:t>
      </w:r>
      <w:r w:rsidRPr="00246AE4">
        <w:rPr>
          <w:color w:val="000000"/>
          <w:lang w:eastAsia="fr-FR" w:bidi="fr-FR"/>
        </w:rPr>
        <w:t>m</w:t>
      </w:r>
      <w:r w:rsidRPr="00246AE4">
        <w:rPr>
          <w:color w:val="000000"/>
          <w:lang w:eastAsia="fr-FR" w:bidi="fr-FR"/>
        </w:rPr>
        <w:lastRenderedPageBreak/>
        <w:t>breuses pièces justificatives, cet ouvrage</w:t>
      </w:r>
      <w:r>
        <w:rPr>
          <w:color w:val="000000"/>
          <w:lang w:eastAsia="fr-FR" w:bidi="fr-FR"/>
        </w:rPr>
        <w:t xml:space="preserve"> </w:t>
      </w:r>
      <w:r>
        <w:t xml:space="preserve">[719] </w:t>
      </w:r>
      <w:r w:rsidRPr="00246AE4">
        <w:rPr>
          <w:color w:val="000000"/>
          <w:lang w:eastAsia="fr-FR" w:bidi="fr-FR"/>
        </w:rPr>
        <w:t>reste le recueil de d</w:t>
      </w:r>
      <w:r w:rsidRPr="00246AE4">
        <w:rPr>
          <w:color w:val="000000"/>
          <w:lang w:eastAsia="fr-FR" w:bidi="fr-FR"/>
        </w:rPr>
        <w:t>o</w:t>
      </w:r>
      <w:r w:rsidRPr="00246AE4">
        <w:rPr>
          <w:color w:val="000000"/>
          <w:lang w:eastAsia="fr-FR" w:bidi="fr-FR"/>
        </w:rPr>
        <w:t xml:space="preserve">cuments le plus complet que nous possédions sur la plus illustre des abbayes de </w:t>
      </w:r>
      <w:r>
        <w:rPr>
          <w:color w:val="000000"/>
          <w:lang w:eastAsia="fr-FR" w:bidi="fr-FR"/>
        </w:rPr>
        <w:t>l’Î</w:t>
      </w:r>
      <w:r w:rsidRPr="00246AE4">
        <w:rPr>
          <w:color w:val="000000"/>
          <w:lang w:eastAsia="fr-FR" w:bidi="fr-FR"/>
        </w:rPr>
        <w:t>le-de-France. Vers la même ép</w:t>
      </w:r>
      <w:r w:rsidRPr="00246AE4">
        <w:rPr>
          <w:color w:val="000000"/>
          <w:lang w:eastAsia="fr-FR" w:bidi="fr-FR"/>
        </w:rPr>
        <w:t>o</w:t>
      </w:r>
      <w:r w:rsidRPr="00246AE4">
        <w:rPr>
          <w:color w:val="000000"/>
          <w:lang w:eastAsia="fr-FR" w:bidi="fr-FR"/>
        </w:rPr>
        <w:t>que certains des grands établissement</w:t>
      </w:r>
      <w:r>
        <w:rPr>
          <w:color w:val="000000"/>
          <w:lang w:eastAsia="fr-FR" w:bidi="fr-FR"/>
        </w:rPr>
        <w:t xml:space="preserve">s </w:t>
      </w:r>
      <w:r w:rsidRPr="00246AE4">
        <w:rPr>
          <w:color w:val="000000"/>
          <w:lang w:eastAsia="fr-FR" w:bidi="fr-FR"/>
        </w:rPr>
        <w:t>monastiques de Paris et de la banlieue trouvaient leurs historiens : dom Jacques du Breul écriva</w:t>
      </w:r>
      <w:r>
        <w:rPr>
          <w:color w:val="000000"/>
          <w:lang w:eastAsia="fr-FR" w:bidi="fr-FR"/>
        </w:rPr>
        <w:t>it l’histoire de Saint-Germain-</w:t>
      </w:r>
      <w:r w:rsidRPr="00246AE4">
        <w:rPr>
          <w:color w:val="000000"/>
          <w:lang w:eastAsia="fr-FR" w:bidi="fr-FR"/>
        </w:rPr>
        <w:t>des-Prés</w:t>
      </w:r>
      <w:r>
        <w:rPr>
          <w:color w:val="000000"/>
          <w:lang w:eastAsia="fr-FR" w:bidi="fr-FR"/>
        </w:rPr>
        <w:t> </w:t>
      </w:r>
      <w:r>
        <w:rPr>
          <w:rStyle w:val="Appelnotedebasdep"/>
        </w:rPr>
        <w:footnoteReference w:id="429"/>
      </w:r>
      <w:r w:rsidRPr="00246AE4">
        <w:rPr>
          <w:color w:val="000000"/>
          <w:lang w:eastAsia="fr-FR" w:bidi="fr-FR"/>
        </w:rPr>
        <w:t>, dom Martin Marrier écrivait celle de Saint-Martin-des-Champs</w:t>
      </w:r>
      <w:r>
        <w:rPr>
          <w:color w:val="000000"/>
          <w:lang w:eastAsia="fr-FR" w:bidi="fr-FR"/>
        </w:rPr>
        <w:t> </w:t>
      </w:r>
      <w:r>
        <w:rPr>
          <w:rStyle w:val="Appelnotedebasdep"/>
        </w:rPr>
        <w:footnoteReference w:id="430"/>
      </w:r>
      <w:r w:rsidRPr="00246AE4">
        <w:rPr>
          <w:color w:val="000000"/>
          <w:lang w:eastAsia="fr-FR" w:bidi="fr-FR"/>
        </w:rPr>
        <w:t>, Jean de Thoulouze celle de Saint-Victor</w:t>
      </w:r>
      <w:r>
        <w:rPr>
          <w:color w:val="000000"/>
          <w:lang w:eastAsia="fr-FR" w:bidi="fr-FR"/>
        </w:rPr>
        <w:t> </w:t>
      </w:r>
      <w:r>
        <w:rPr>
          <w:rStyle w:val="Appelnotedebasdep"/>
        </w:rPr>
        <w:footnoteReference w:id="431"/>
      </w:r>
      <w:r w:rsidRPr="00246AE4">
        <w:rPr>
          <w:color w:val="000000"/>
          <w:lang w:eastAsia="fr-FR" w:bidi="fr-FR"/>
        </w:rPr>
        <w:t xml:space="preserve">, </w:t>
      </w:r>
      <w:r w:rsidRPr="00246AE4">
        <w:rPr>
          <w:color w:val="000000"/>
          <w:lang w:eastAsia="fr-FR" w:bidi="fr-FR"/>
        </w:rPr>
        <w:lastRenderedPageBreak/>
        <w:t>le P. Ignace de Jésus Maria celle de Saint-Maur-des-Fossés</w:t>
      </w:r>
      <w:r>
        <w:rPr>
          <w:color w:val="000000"/>
          <w:lang w:eastAsia="fr-FR" w:bidi="fr-FR"/>
        </w:rPr>
        <w:t> </w:t>
      </w:r>
      <w:r>
        <w:rPr>
          <w:rStyle w:val="Appelnotedebasdep"/>
        </w:rPr>
        <w:footnoteReference w:id="432"/>
      </w:r>
      <w:r w:rsidRPr="00246AE4">
        <w:rPr>
          <w:color w:val="000000"/>
          <w:lang w:eastAsia="fr-FR" w:bidi="fr-FR"/>
        </w:rPr>
        <w:t>. Même ceux de ces livres qui concernent des monastères proprement parisiens int</w:t>
      </w:r>
      <w:r w:rsidRPr="00246AE4">
        <w:rPr>
          <w:color w:val="000000"/>
          <w:lang w:eastAsia="fr-FR" w:bidi="fr-FR"/>
        </w:rPr>
        <w:t>é</w:t>
      </w:r>
      <w:r w:rsidRPr="00246AE4">
        <w:rPr>
          <w:color w:val="000000"/>
          <w:lang w:eastAsia="fr-FR" w:bidi="fr-FR"/>
        </w:rPr>
        <w:t>ressent l’</w:t>
      </w:r>
      <w:r>
        <w:rPr>
          <w:color w:val="000000"/>
          <w:lang w:eastAsia="fr-FR" w:bidi="fr-FR"/>
        </w:rPr>
        <w:t>Île-de-France</w:t>
      </w:r>
      <w:r w:rsidRPr="00246AE4">
        <w:rPr>
          <w:color w:val="000000"/>
          <w:lang w:eastAsia="fr-FR" w:bidi="fr-FR"/>
        </w:rPr>
        <w:t xml:space="preserve"> presque autant que P</w:t>
      </w:r>
      <w:r w:rsidRPr="00246AE4">
        <w:rPr>
          <w:color w:val="000000"/>
          <w:lang w:eastAsia="fr-FR" w:bidi="fr-FR"/>
        </w:rPr>
        <w:t>a</w:t>
      </w:r>
      <w:r w:rsidRPr="00246AE4">
        <w:rPr>
          <w:color w:val="000000"/>
          <w:lang w:eastAsia="fr-FR" w:bidi="fr-FR"/>
        </w:rPr>
        <w:t>ris : car ces monastères comptaient au nombre des plus gra</w:t>
      </w:r>
      <w:r>
        <w:rPr>
          <w:color w:val="000000"/>
          <w:lang w:eastAsia="fr-FR" w:bidi="fr-FR"/>
        </w:rPr>
        <w:t>nds pr</w:t>
      </w:r>
      <w:r>
        <w:rPr>
          <w:color w:val="000000"/>
          <w:lang w:eastAsia="fr-FR" w:bidi="fr-FR"/>
        </w:rPr>
        <w:t>o</w:t>
      </w:r>
      <w:r>
        <w:rPr>
          <w:color w:val="000000"/>
          <w:lang w:eastAsia="fr-FR" w:bidi="fr-FR"/>
        </w:rPr>
        <w:t>priétaires féodaux de l’Î</w:t>
      </w:r>
      <w:r w:rsidRPr="00246AE4">
        <w:rPr>
          <w:color w:val="000000"/>
          <w:lang w:eastAsia="fr-FR" w:bidi="fr-FR"/>
        </w:rPr>
        <w:t>le-de-France</w:t>
      </w:r>
      <w:r>
        <w:rPr>
          <w:color w:val="000000"/>
          <w:lang w:eastAsia="fr-FR" w:bidi="fr-FR"/>
        </w:rPr>
        <w:t> </w:t>
      </w:r>
      <w:r>
        <w:rPr>
          <w:rStyle w:val="Appelnotedebasdep"/>
        </w:rPr>
        <w:footnoteReference w:id="433"/>
      </w:r>
      <w:r w:rsidRPr="00246AE4">
        <w:rPr>
          <w:color w:val="000000"/>
          <w:lang w:eastAsia="fr-FR" w:bidi="fr-FR"/>
        </w:rPr>
        <w:t>.</w:t>
      </w:r>
    </w:p>
    <w:p w14:paraId="0DB9048A" w14:textId="77777777" w:rsidR="00B9662D" w:rsidRPr="00246AE4" w:rsidRDefault="00B9662D" w:rsidP="00B9662D">
      <w:pPr>
        <w:spacing w:before="120" w:after="120"/>
        <w:jc w:val="both"/>
      </w:pPr>
      <w:r w:rsidRPr="00246AE4">
        <w:rPr>
          <w:color w:val="000000"/>
          <w:lang w:eastAsia="fr-FR" w:bidi="fr-FR"/>
        </w:rPr>
        <w:t>L’histoire de l’église de Paris, de ses évêques et archevêques, de son chapitre et du diocèse tout entier restait à écrire. François de Ha</w:t>
      </w:r>
      <w:r w:rsidRPr="00246AE4">
        <w:rPr>
          <w:color w:val="000000"/>
          <w:lang w:eastAsia="fr-FR" w:bidi="fr-FR"/>
        </w:rPr>
        <w:t>r</w:t>
      </w:r>
      <w:r w:rsidRPr="00246AE4">
        <w:rPr>
          <w:color w:val="000000"/>
          <w:lang w:eastAsia="fr-FR" w:bidi="fr-FR"/>
        </w:rPr>
        <w:t>lay, que Louis XIV fit, en 1671, archevêque de Paris, confia ce travail à un oratorien,</w:t>
      </w:r>
      <w:r>
        <w:t xml:space="preserve"> [720]</w:t>
      </w:r>
      <w:r w:rsidRPr="00246AE4">
        <w:rPr>
          <w:color w:val="000000"/>
          <w:lang w:eastAsia="fr-FR" w:bidi="fr-FR"/>
        </w:rPr>
        <w:t xml:space="preserve"> Gérard Dubois. Dubois écrivit, sous le titre de </w:t>
      </w:r>
      <w:r w:rsidRPr="00B03C6D">
        <w:rPr>
          <w:i/>
        </w:rPr>
        <w:t>Historia Ecclesie Parisiensis</w:t>
      </w:r>
      <w:r w:rsidRPr="00246AE4">
        <w:rPr>
          <w:color w:val="000000"/>
          <w:lang w:eastAsia="fr-FR" w:bidi="fr-FR"/>
        </w:rPr>
        <w:t xml:space="preserve"> un livre touffu, mal ordonné, d’une le</w:t>
      </w:r>
      <w:r w:rsidRPr="00246AE4">
        <w:rPr>
          <w:color w:val="000000"/>
          <w:lang w:eastAsia="fr-FR" w:bidi="fr-FR"/>
        </w:rPr>
        <w:t>c</w:t>
      </w:r>
      <w:r w:rsidRPr="00246AE4">
        <w:rPr>
          <w:color w:val="000000"/>
          <w:lang w:eastAsia="fr-FR" w:bidi="fr-FR"/>
        </w:rPr>
        <w:t>ture diff</w:t>
      </w:r>
      <w:r w:rsidRPr="00246AE4">
        <w:rPr>
          <w:color w:val="000000"/>
          <w:lang w:eastAsia="fr-FR" w:bidi="fr-FR"/>
        </w:rPr>
        <w:t>i</w:t>
      </w:r>
      <w:r w:rsidRPr="00246AE4">
        <w:rPr>
          <w:color w:val="000000"/>
          <w:lang w:eastAsia="fr-FR" w:bidi="fr-FR"/>
        </w:rPr>
        <w:t>cile, mais plein de faits et qui témoigne de travaux d’archives très éte</w:t>
      </w:r>
      <w:r w:rsidRPr="00246AE4">
        <w:rPr>
          <w:color w:val="000000"/>
          <w:lang w:eastAsia="fr-FR" w:bidi="fr-FR"/>
        </w:rPr>
        <w:t>n</w:t>
      </w:r>
      <w:r w:rsidRPr="00246AE4">
        <w:rPr>
          <w:color w:val="000000"/>
          <w:lang w:eastAsia="fr-FR" w:bidi="fr-FR"/>
        </w:rPr>
        <w:t>dus</w:t>
      </w:r>
      <w:r>
        <w:rPr>
          <w:color w:val="000000"/>
          <w:lang w:eastAsia="fr-FR" w:bidi="fr-FR"/>
        </w:rPr>
        <w:t> </w:t>
      </w:r>
      <w:r>
        <w:rPr>
          <w:rStyle w:val="Appelnotedebasdep"/>
        </w:rPr>
        <w:footnoteReference w:id="434"/>
      </w:r>
      <w:r w:rsidRPr="00246AE4">
        <w:rPr>
          <w:color w:val="000000"/>
          <w:lang w:eastAsia="fr-FR" w:bidi="fr-FR"/>
        </w:rPr>
        <w:t>.</w:t>
      </w:r>
    </w:p>
    <w:p w14:paraId="0DEFC953" w14:textId="77777777" w:rsidR="00B9662D" w:rsidRPr="00246AE4" w:rsidRDefault="00B9662D" w:rsidP="00B9662D">
      <w:pPr>
        <w:spacing w:before="120" w:after="120"/>
        <w:jc w:val="both"/>
      </w:pPr>
      <w:r w:rsidRPr="00246AE4">
        <w:rPr>
          <w:color w:val="000000"/>
          <w:lang w:eastAsia="fr-FR" w:bidi="fr-FR"/>
        </w:rPr>
        <w:t xml:space="preserve">Les familles de la haute noblesse, au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voulurent, à l’exemple des rois et des églises, avoir leurs historiographes. Les l</w:t>
      </w:r>
      <w:r w:rsidRPr="00246AE4">
        <w:rPr>
          <w:color w:val="000000"/>
          <w:lang w:eastAsia="fr-FR" w:bidi="fr-FR"/>
        </w:rPr>
        <w:t>i</w:t>
      </w:r>
      <w:r w:rsidRPr="00246AE4">
        <w:rPr>
          <w:color w:val="000000"/>
          <w:lang w:eastAsia="fr-FR" w:bidi="fr-FR"/>
        </w:rPr>
        <w:t>vres qu’elles firent composer par eux sont précieux pour l’histoire l</w:t>
      </w:r>
      <w:r w:rsidRPr="00246AE4">
        <w:rPr>
          <w:color w:val="000000"/>
          <w:lang w:eastAsia="fr-FR" w:bidi="fr-FR"/>
        </w:rPr>
        <w:t>o</w:t>
      </w:r>
      <w:r w:rsidRPr="00246AE4">
        <w:rPr>
          <w:color w:val="000000"/>
          <w:lang w:eastAsia="fr-FR" w:bidi="fr-FR"/>
        </w:rPr>
        <w:t>cale ; mais il est prudent de ne pas accorder une confiance aveugle à ces ouvrages qu’inspira l’orgueil de race. Du moins faut-il se féliciter que plusieurs des grandes familles dont l’histoire était étroitement liée à celle de l’</w:t>
      </w:r>
      <w:r>
        <w:rPr>
          <w:color w:val="000000"/>
          <w:lang w:eastAsia="fr-FR" w:bidi="fr-FR"/>
        </w:rPr>
        <w:t>Île-de-France</w:t>
      </w:r>
      <w:r w:rsidRPr="00246AE4">
        <w:rPr>
          <w:color w:val="000000"/>
          <w:lang w:eastAsia="fr-FR" w:bidi="fr-FR"/>
        </w:rPr>
        <w:t xml:space="preserve"> aient eu l’heureuse idée d’employer à r</w:t>
      </w:r>
      <w:r w:rsidRPr="00246AE4">
        <w:rPr>
          <w:color w:val="000000"/>
          <w:lang w:eastAsia="fr-FR" w:bidi="fr-FR"/>
        </w:rPr>
        <w:t>a</w:t>
      </w:r>
      <w:r w:rsidRPr="00246AE4">
        <w:rPr>
          <w:color w:val="000000"/>
          <w:lang w:eastAsia="fr-FR" w:bidi="fr-FR"/>
        </w:rPr>
        <w:t>conter leur gloire André Duchesne</w:t>
      </w:r>
      <w:r>
        <w:rPr>
          <w:color w:val="000000"/>
          <w:lang w:eastAsia="fr-FR" w:bidi="fr-FR"/>
        </w:rPr>
        <w:t> </w:t>
      </w:r>
      <w:r>
        <w:rPr>
          <w:rStyle w:val="Appelnotedebasdep"/>
        </w:rPr>
        <w:footnoteReference w:id="435"/>
      </w:r>
      <w:r w:rsidRPr="00246AE4">
        <w:rPr>
          <w:color w:val="000000"/>
          <w:lang w:eastAsia="fr-FR" w:bidi="fr-FR"/>
        </w:rPr>
        <w:t xml:space="preserve">, l’un des érudits les plus patients et </w:t>
      </w:r>
      <w:r w:rsidRPr="00246AE4">
        <w:rPr>
          <w:color w:val="000000"/>
          <w:lang w:eastAsia="fr-FR" w:bidi="fr-FR"/>
        </w:rPr>
        <w:lastRenderedPageBreak/>
        <w:t xml:space="preserve">les plus probes du </w:t>
      </w:r>
      <w:r>
        <w:rPr>
          <w:color w:val="000000"/>
          <w:lang w:eastAsia="fr-FR" w:bidi="fr-FR"/>
        </w:rPr>
        <w:t>VII</w:t>
      </w:r>
      <w:r w:rsidRPr="00246AE4">
        <w:rPr>
          <w:color w:val="000000"/>
          <w:vertAlign w:val="superscript"/>
          <w:lang w:eastAsia="fr-FR" w:bidi="fr-FR"/>
        </w:rPr>
        <w:t>e</w:t>
      </w:r>
      <w:r w:rsidRPr="00246AE4">
        <w:rPr>
          <w:color w:val="000000"/>
          <w:lang w:eastAsia="fr-FR" w:bidi="fr-FR"/>
        </w:rPr>
        <w:t xml:space="preserve"> siècle. Les ouvrages qu’il a consacrés aux maisons de Montmorency</w:t>
      </w:r>
      <w:r>
        <w:rPr>
          <w:color w:val="000000"/>
          <w:lang w:eastAsia="fr-FR" w:bidi="fr-FR"/>
        </w:rPr>
        <w:t> </w:t>
      </w:r>
      <w:r>
        <w:rPr>
          <w:rStyle w:val="Appelnotedebasdep"/>
        </w:rPr>
        <w:footnoteReference w:id="436"/>
      </w:r>
      <w:r w:rsidRPr="00246AE4">
        <w:rPr>
          <w:color w:val="000000"/>
          <w:lang w:eastAsia="fr-FR" w:bidi="fr-FR"/>
        </w:rPr>
        <w:t>, de Châtillon</w:t>
      </w:r>
      <w:r>
        <w:rPr>
          <w:color w:val="000000"/>
          <w:lang w:eastAsia="fr-FR" w:bidi="fr-FR"/>
        </w:rPr>
        <w:t> </w:t>
      </w:r>
      <w:r>
        <w:rPr>
          <w:rStyle w:val="Appelnotedebasdep"/>
        </w:rPr>
        <w:footnoteReference w:id="437"/>
      </w:r>
      <w:r w:rsidRPr="00246AE4">
        <w:rPr>
          <w:color w:val="000000"/>
          <w:lang w:eastAsia="fr-FR" w:bidi="fr-FR"/>
        </w:rPr>
        <w:t>, de Dreux</w:t>
      </w:r>
      <w:r>
        <w:rPr>
          <w:color w:val="000000"/>
          <w:lang w:eastAsia="fr-FR" w:bidi="fr-FR"/>
        </w:rPr>
        <w:t> </w:t>
      </w:r>
      <w:r>
        <w:rPr>
          <w:rStyle w:val="Appelnotedebasdep"/>
        </w:rPr>
        <w:footnoteReference w:id="438"/>
      </w:r>
      <w:r w:rsidRPr="00246AE4">
        <w:rPr>
          <w:color w:val="000000"/>
          <w:lang w:eastAsia="fr-FR" w:bidi="fr-FR"/>
        </w:rPr>
        <w:t>, de Broyés</w:t>
      </w:r>
      <w:r>
        <w:rPr>
          <w:color w:val="000000"/>
          <w:lang w:eastAsia="fr-FR" w:bidi="fr-FR"/>
        </w:rPr>
        <w:t> </w:t>
      </w:r>
      <w:r>
        <w:rPr>
          <w:rStyle w:val="Appelnotedebasdep"/>
        </w:rPr>
        <w:footnoteReference w:id="439"/>
      </w:r>
      <w:r w:rsidRPr="00246AE4">
        <w:rPr>
          <w:color w:val="000000"/>
          <w:lang w:eastAsia="fr-FR" w:bidi="fr-FR"/>
        </w:rPr>
        <w:t xml:space="preserve"> comptent parmi les plus utiles où</w:t>
      </w:r>
      <w:r>
        <w:rPr>
          <w:color w:val="000000"/>
          <w:lang w:eastAsia="fr-FR" w:bidi="fr-FR"/>
        </w:rPr>
        <w:t xml:space="preserve"> puise l’historien de l’Île-de-France </w:t>
      </w:r>
      <w:r>
        <w:rPr>
          <w:rStyle w:val="Appelnotedebasdep"/>
        </w:rPr>
        <w:footnoteReference w:id="440"/>
      </w:r>
      <w:r w:rsidRPr="00246AE4">
        <w:rPr>
          <w:color w:val="000000"/>
          <w:lang w:eastAsia="fr-FR" w:bidi="fr-FR"/>
        </w:rPr>
        <w:t>.</w:t>
      </w:r>
    </w:p>
    <w:p w14:paraId="430B288E" w14:textId="77777777" w:rsidR="00B9662D" w:rsidRPr="00246AE4" w:rsidRDefault="00B9662D" w:rsidP="00B9662D">
      <w:pPr>
        <w:spacing w:before="120" w:after="120"/>
        <w:jc w:val="both"/>
      </w:pPr>
      <w:r w:rsidRPr="00246AE4">
        <w:rPr>
          <w:color w:val="000000"/>
          <w:lang w:eastAsia="fr-FR" w:bidi="fr-FR"/>
        </w:rPr>
        <w:t>Le 22 novembre 1630, un religieux languedocien, dom Grégoire Tarisse, devint le supérieur général de la congrégation bénédictine réformée qui portait le nom de congrégation de Saint-Maur. C’est là une des grandes dates de l’histoire de la science française. Au sein de la jeune congrégation, dont il était le vrai fondateur, dom Tarisse f</w:t>
      </w:r>
      <w:r w:rsidRPr="00246AE4">
        <w:rPr>
          <w:color w:val="000000"/>
          <w:lang w:eastAsia="fr-FR" w:bidi="fr-FR"/>
        </w:rPr>
        <w:t>a</w:t>
      </w:r>
      <w:r w:rsidRPr="00246AE4">
        <w:rPr>
          <w:color w:val="000000"/>
          <w:lang w:eastAsia="fr-FR" w:bidi="fr-FR"/>
        </w:rPr>
        <w:t>vorisa de tout son pouvoir le développement des études historiques ; il jugeait sans doute que (comme dit dom Tassin)</w:t>
      </w:r>
      <w:r>
        <w:rPr>
          <w:color w:val="000000"/>
          <w:lang w:eastAsia="fr-FR" w:bidi="fr-FR"/>
        </w:rPr>
        <w:t> </w:t>
      </w:r>
      <w:r>
        <w:rPr>
          <w:rStyle w:val="Appelnotedebasdep"/>
        </w:rPr>
        <w:footnoteReference w:id="441"/>
      </w:r>
      <w:r w:rsidRPr="00246AE4">
        <w:rPr>
          <w:color w:val="000000"/>
          <w:lang w:eastAsia="fr-FR" w:bidi="fr-FR"/>
        </w:rPr>
        <w:t xml:space="preserve"> « un religieux qui néglige l’étude des saintes lettres trouvera la retraite insupportable et se jettera dans le monde ». Les grands monuments qu’a élevés la science bénédictine intéressent l’</w:t>
      </w:r>
      <w:r>
        <w:rPr>
          <w:color w:val="000000"/>
          <w:lang w:eastAsia="fr-FR" w:bidi="fr-FR"/>
        </w:rPr>
        <w:t>Île-de-France</w:t>
      </w:r>
      <w:r w:rsidRPr="00246AE4">
        <w:rPr>
          <w:color w:val="000000"/>
          <w:lang w:eastAsia="fr-FR" w:bidi="fr-FR"/>
        </w:rPr>
        <w:t xml:space="preserve"> au même titre que les autres provinces ; tels les </w:t>
      </w:r>
      <w:r w:rsidRPr="00B03C6D">
        <w:rPr>
          <w:i/>
        </w:rPr>
        <w:t>Annales Ordinis Sancti Benedicti</w:t>
      </w:r>
      <w:r w:rsidRPr="00B03C6D">
        <w:rPr>
          <w:i/>
          <w:color w:val="000000"/>
          <w:lang w:eastAsia="fr-FR" w:bidi="fr-FR"/>
        </w:rPr>
        <w:t xml:space="preserve"> de Mabi</w:t>
      </w:r>
      <w:r w:rsidRPr="00B03C6D">
        <w:rPr>
          <w:i/>
          <w:color w:val="000000"/>
          <w:lang w:eastAsia="fr-FR" w:bidi="fr-FR"/>
        </w:rPr>
        <w:t>l</w:t>
      </w:r>
      <w:r w:rsidRPr="00B03C6D">
        <w:rPr>
          <w:i/>
          <w:color w:val="000000"/>
          <w:lang w:eastAsia="fr-FR" w:bidi="fr-FR"/>
        </w:rPr>
        <w:t>lon</w:t>
      </w:r>
      <w:r>
        <w:rPr>
          <w:color w:val="000000"/>
          <w:lang w:eastAsia="fr-FR" w:bidi="fr-FR"/>
        </w:rPr>
        <w:t> </w:t>
      </w:r>
      <w:r>
        <w:rPr>
          <w:rStyle w:val="Appelnotedebasdep"/>
        </w:rPr>
        <w:footnoteReference w:id="442"/>
      </w:r>
      <w:r w:rsidRPr="00246AE4">
        <w:rPr>
          <w:color w:val="000000"/>
          <w:lang w:eastAsia="fr-FR" w:bidi="fr-FR"/>
        </w:rPr>
        <w:t xml:space="preserve">, la </w:t>
      </w:r>
      <w:r w:rsidRPr="00B03C6D">
        <w:rPr>
          <w:i/>
        </w:rPr>
        <w:t>Gallia Christiana Nova </w:t>
      </w:r>
      <w:r>
        <w:rPr>
          <w:rStyle w:val="Appelnotedebasdep"/>
        </w:rPr>
        <w:footnoteReference w:id="443"/>
      </w:r>
      <w:r w:rsidRPr="00123468">
        <w:t>,</w:t>
      </w:r>
      <w:r>
        <w:t xml:space="preserve"> l’</w:t>
      </w:r>
      <w:r w:rsidRPr="00123468">
        <w:rPr>
          <w:i/>
        </w:rPr>
        <w:t>Art de vérifier les Dates</w:t>
      </w:r>
      <w:r>
        <w:t> </w:t>
      </w:r>
      <w:r>
        <w:rPr>
          <w:rStyle w:val="Appelnotedebasdep"/>
        </w:rPr>
        <w:footnoteReference w:id="444"/>
      </w:r>
      <w:r w:rsidRPr="00246AE4">
        <w:rPr>
          <w:vertAlign w:val="superscript"/>
        </w:rPr>
        <w:t xml:space="preserve"> </w:t>
      </w:r>
      <w:r w:rsidRPr="00246AE4">
        <w:rPr>
          <w:color w:val="000000"/>
          <w:lang w:eastAsia="fr-FR" w:bidi="fr-FR"/>
        </w:rPr>
        <w:t xml:space="preserve">et </w:t>
      </w:r>
      <w:r w:rsidRPr="00246AE4">
        <w:rPr>
          <w:color w:val="000000"/>
          <w:lang w:eastAsia="fr-FR" w:bidi="fr-FR"/>
        </w:rPr>
        <w:lastRenderedPageBreak/>
        <w:t xml:space="preserve">ce </w:t>
      </w:r>
      <w:r w:rsidRPr="00123468">
        <w:rPr>
          <w:i/>
        </w:rPr>
        <w:t>Monasticon Gallicanum</w:t>
      </w:r>
      <w:r>
        <w:t> </w:t>
      </w:r>
      <w:r>
        <w:rPr>
          <w:rStyle w:val="Appelnotedebasdep"/>
        </w:rPr>
        <w:footnoteReference w:id="445"/>
      </w:r>
      <w:r w:rsidRPr="00246AE4">
        <w:rPr>
          <w:color w:val="000000"/>
          <w:lang w:eastAsia="fr-FR" w:bidi="fr-FR"/>
        </w:rPr>
        <w:t xml:space="preserve"> que dom Michel Germain entreprit sans</w:t>
      </w:r>
      <w:r>
        <w:rPr>
          <w:color w:val="000000"/>
          <w:lang w:eastAsia="fr-FR" w:bidi="fr-FR"/>
        </w:rPr>
        <w:t xml:space="preserve"> </w:t>
      </w:r>
      <w:r>
        <w:t xml:space="preserve">[721] </w:t>
      </w:r>
      <w:r w:rsidRPr="00246AE4">
        <w:rPr>
          <w:color w:val="000000"/>
          <w:lang w:eastAsia="fr-FR" w:bidi="fr-FR"/>
        </w:rPr>
        <w:t>pouvoir jamais l’achever et dont il nous reste, outre d’utiles fra</w:t>
      </w:r>
      <w:r w:rsidRPr="00246AE4">
        <w:rPr>
          <w:color w:val="000000"/>
          <w:lang w:eastAsia="fr-FR" w:bidi="fr-FR"/>
        </w:rPr>
        <w:t>g</w:t>
      </w:r>
      <w:r w:rsidRPr="00246AE4">
        <w:rPr>
          <w:color w:val="000000"/>
          <w:lang w:eastAsia="fr-FR" w:bidi="fr-FR"/>
        </w:rPr>
        <w:t>ments historiques, un si précieux recueil de planches. Mais ces vastes travaux ne firent pas négliger aux Bénédictins l’histoire locale, ou, pour parler comme eux, les « histoires particulières ». Ils eussent voulu que chacun des monastères de leur ordre eût son histoire. M</w:t>
      </w:r>
      <w:r w:rsidRPr="00246AE4">
        <w:rPr>
          <w:color w:val="000000"/>
          <w:lang w:eastAsia="fr-FR" w:bidi="fr-FR"/>
        </w:rPr>
        <w:t>a</w:t>
      </w:r>
      <w:r w:rsidRPr="00246AE4">
        <w:rPr>
          <w:color w:val="000000"/>
          <w:lang w:eastAsia="fr-FR" w:bidi="fr-FR"/>
        </w:rPr>
        <w:t>billon rédigea un « </w:t>
      </w:r>
      <w:r w:rsidRPr="00B84AE6">
        <w:rPr>
          <w:i/>
        </w:rPr>
        <w:t>Avis pour ceux qui travaillent aux histoires des monast</w:t>
      </w:r>
      <w:r w:rsidRPr="00B84AE6">
        <w:rPr>
          <w:i/>
        </w:rPr>
        <w:t>è</w:t>
      </w:r>
      <w:r w:rsidRPr="00B84AE6">
        <w:rPr>
          <w:i/>
        </w:rPr>
        <w:t>res</w:t>
      </w:r>
      <w:r w:rsidRPr="00246AE4">
        <w:rPr>
          <w:color w:val="000000"/>
          <w:lang w:eastAsia="fr-FR" w:bidi="fr-FR"/>
        </w:rPr>
        <w:t> »</w:t>
      </w:r>
      <w:r>
        <w:rPr>
          <w:color w:val="000000"/>
          <w:lang w:eastAsia="fr-FR" w:bidi="fr-FR"/>
        </w:rPr>
        <w:t> </w:t>
      </w:r>
      <w:r>
        <w:rPr>
          <w:rStyle w:val="Appelnotedebasdep"/>
        </w:rPr>
        <w:footnoteReference w:id="446"/>
      </w:r>
      <w:r w:rsidRPr="00246AE4">
        <w:rPr>
          <w:color w:val="000000"/>
          <w:lang w:eastAsia="fr-FR" w:bidi="fr-FR"/>
        </w:rPr>
        <w:t>, qui est admirable de sobriété, de netteté et d’intelligence. Quan</w:t>
      </w:r>
      <w:r>
        <w:rPr>
          <w:color w:val="000000"/>
          <w:lang w:eastAsia="fr-FR" w:bidi="fr-FR"/>
        </w:rPr>
        <w:t>t</w:t>
      </w:r>
      <w:r w:rsidRPr="00246AE4">
        <w:rPr>
          <w:color w:val="000000"/>
          <w:lang w:eastAsia="fr-FR" w:bidi="fr-FR"/>
        </w:rPr>
        <w:t xml:space="preserve"> à l’entreprise elle-même, l’historien, a</w:t>
      </w:r>
      <w:r w:rsidRPr="00246AE4">
        <w:rPr>
          <w:color w:val="000000"/>
          <w:lang w:eastAsia="fr-FR" w:bidi="fr-FR"/>
        </w:rPr>
        <w:t>u</w:t>
      </w:r>
      <w:r w:rsidRPr="00246AE4">
        <w:rPr>
          <w:color w:val="000000"/>
          <w:lang w:eastAsia="fr-FR" w:bidi="fr-FR"/>
        </w:rPr>
        <w:t xml:space="preserve">jourd’hui, ne peut que souscrire à ce que disait,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dom Tassin, dans son </w:t>
      </w:r>
      <w:r w:rsidRPr="00B84AE6">
        <w:rPr>
          <w:i/>
        </w:rPr>
        <w:t>Hi</w:t>
      </w:r>
      <w:r w:rsidRPr="00B84AE6">
        <w:rPr>
          <w:i/>
        </w:rPr>
        <w:t>s</w:t>
      </w:r>
      <w:r w:rsidRPr="00B84AE6">
        <w:rPr>
          <w:i/>
        </w:rPr>
        <w:t>toire Littéraire de la Congrégation de Saint-Maur</w:t>
      </w:r>
      <w:r>
        <w:t> </w:t>
      </w:r>
      <w:r>
        <w:rPr>
          <w:rStyle w:val="Appelnotedebasdep"/>
        </w:rPr>
        <w:footnoteReference w:id="447"/>
      </w:r>
      <w:r w:rsidRPr="00246AE4">
        <w:t xml:space="preserve">. </w:t>
      </w:r>
      <w:r w:rsidRPr="00246AE4">
        <w:rPr>
          <w:color w:val="000000"/>
          <w:lang w:eastAsia="fr-FR" w:bidi="fr-FR"/>
        </w:rPr>
        <w:t>« Ces histoires particulières faites sur les originaux... répa</w:t>
      </w:r>
      <w:r w:rsidRPr="00246AE4">
        <w:rPr>
          <w:color w:val="000000"/>
          <w:lang w:eastAsia="fr-FR" w:bidi="fr-FR"/>
        </w:rPr>
        <w:t>n</w:t>
      </w:r>
      <w:r w:rsidRPr="00246AE4">
        <w:rPr>
          <w:color w:val="000000"/>
          <w:lang w:eastAsia="fr-FR" w:bidi="fr-FR"/>
        </w:rPr>
        <w:t>dent la lumière sur le civil et l’ecclésiastique du royaume ; elles enr</w:t>
      </w:r>
      <w:r w:rsidRPr="00246AE4">
        <w:rPr>
          <w:color w:val="000000"/>
          <w:lang w:eastAsia="fr-FR" w:bidi="fr-FR"/>
        </w:rPr>
        <w:t>i</w:t>
      </w:r>
      <w:r w:rsidRPr="00246AE4">
        <w:rPr>
          <w:color w:val="000000"/>
          <w:lang w:eastAsia="fr-FR" w:bidi="fr-FR"/>
        </w:rPr>
        <w:t xml:space="preserve">chissent la Géographie du Moyen </w:t>
      </w:r>
      <w:r>
        <w:rPr>
          <w:color w:val="000000"/>
          <w:lang w:eastAsia="fr-FR" w:bidi="fr-FR"/>
        </w:rPr>
        <w:t>Â</w:t>
      </w:r>
      <w:r w:rsidRPr="00246AE4">
        <w:rPr>
          <w:color w:val="000000"/>
          <w:lang w:eastAsia="fr-FR" w:bidi="fr-FR"/>
        </w:rPr>
        <w:t>ge ; elles font revivre quantité de lieux qu’on ne connaissoit plus ; la plupart des familles distinguées y trouvent de quoi conduire le fil de leurs généalogies » et dom Tassin ajoutait : « enfin elles tirent de l’oubli une multitude de grands ho</w:t>
      </w:r>
      <w:r w:rsidRPr="00246AE4">
        <w:rPr>
          <w:color w:val="000000"/>
          <w:lang w:eastAsia="fr-FR" w:bidi="fr-FR"/>
        </w:rPr>
        <w:t>m</w:t>
      </w:r>
      <w:r w:rsidRPr="00246AE4">
        <w:rPr>
          <w:color w:val="000000"/>
          <w:lang w:eastAsia="fr-FR" w:bidi="fr-FR"/>
        </w:rPr>
        <w:t>mes et de faits édifians ». Des Bénédictins écrivirent alors l’histoire d’un grand nombre parmi les monastères de l’</w:t>
      </w:r>
      <w:r>
        <w:rPr>
          <w:color w:val="000000"/>
          <w:lang w:eastAsia="fr-FR" w:bidi="fr-FR"/>
        </w:rPr>
        <w:t>Î</w:t>
      </w:r>
      <w:r w:rsidRPr="00246AE4">
        <w:rPr>
          <w:color w:val="000000"/>
          <w:lang w:eastAsia="fr-FR" w:bidi="fr-FR"/>
        </w:rPr>
        <w:t>le-de-France : Saint-Germain-des-Prés, Saint-Denis, Chelles</w:t>
      </w:r>
      <w:r>
        <w:rPr>
          <w:color w:val="000000"/>
          <w:lang w:eastAsia="fr-FR" w:bidi="fr-FR"/>
        </w:rPr>
        <w:t> </w:t>
      </w:r>
      <w:r>
        <w:rPr>
          <w:rStyle w:val="Appelnotedebasdep"/>
        </w:rPr>
        <w:footnoteReference w:id="448"/>
      </w:r>
      <w:r>
        <w:rPr>
          <w:color w:val="000000"/>
          <w:lang w:eastAsia="fr-FR" w:bidi="fr-FR"/>
        </w:rPr>
        <w:t>, Mau</w:t>
      </w:r>
      <w:r w:rsidRPr="00246AE4">
        <w:rPr>
          <w:color w:val="000000"/>
          <w:lang w:eastAsia="fr-FR" w:bidi="fr-FR"/>
        </w:rPr>
        <w:t>buisson</w:t>
      </w:r>
      <w:r>
        <w:rPr>
          <w:color w:val="000000"/>
          <w:lang w:eastAsia="fr-FR" w:bidi="fr-FR"/>
        </w:rPr>
        <w:t> </w:t>
      </w:r>
      <w:r>
        <w:rPr>
          <w:rStyle w:val="Appelnotedebasdep"/>
        </w:rPr>
        <w:footnoteReference w:id="449"/>
      </w:r>
      <w:r>
        <w:rPr>
          <w:color w:val="000000"/>
          <w:lang w:eastAsia="fr-FR" w:bidi="fr-FR"/>
        </w:rPr>
        <w:t> </w:t>
      </w:r>
      <w:r w:rsidRPr="00246AE4">
        <w:rPr>
          <w:color w:val="000000"/>
          <w:lang w:eastAsia="fr-FR" w:bidi="fr-FR"/>
        </w:rPr>
        <w:t xml:space="preserve">, </w:t>
      </w:r>
      <w:r w:rsidRPr="00246AE4">
        <w:rPr>
          <w:color w:val="000000"/>
          <w:lang w:eastAsia="fr-FR" w:bidi="fr-FR"/>
        </w:rPr>
        <w:lastRenderedPageBreak/>
        <w:t>Saint-Martin de Pontoise</w:t>
      </w:r>
      <w:r>
        <w:rPr>
          <w:color w:val="000000"/>
          <w:lang w:eastAsia="fr-FR" w:bidi="fr-FR"/>
        </w:rPr>
        <w:t> </w:t>
      </w:r>
      <w:r>
        <w:rPr>
          <w:rStyle w:val="Appelnotedebasdep"/>
        </w:rPr>
        <w:footnoteReference w:id="450"/>
      </w:r>
      <w:r>
        <w:rPr>
          <w:color w:val="000000"/>
          <w:lang w:eastAsia="fr-FR" w:bidi="fr-FR"/>
        </w:rPr>
        <w:t>,</w:t>
      </w:r>
      <w:r w:rsidRPr="00246AE4">
        <w:rPr>
          <w:color w:val="000000"/>
          <w:lang w:eastAsia="fr-FR" w:bidi="fr-FR"/>
        </w:rPr>
        <w:t xml:space="preserve"> Saint-Nicaise de Meulan</w:t>
      </w:r>
      <w:r>
        <w:rPr>
          <w:color w:val="000000"/>
          <w:lang w:eastAsia="fr-FR" w:bidi="fr-FR"/>
        </w:rPr>
        <w:t> </w:t>
      </w:r>
      <w:r>
        <w:rPr>
          <w:rStyle w:val="Appelnotedebasdep"/>
        </w:rPr>
        <w:footnoteReference w:id="451"/>
      </w:r>
      <w:r w:rsidRPr="00246AE4">
        <w:rPr>
          <w:color w:val="000000"/>
          <w:lang w:eastAsia="fr-FR" w:bidi="fr-FR"/>
        </w:rPr>
        <w:t>, Saint-Florentin de Bonneval</w:t>
      </w:r>
      <w:r>
        <w:rPr>
          <w:color w:val="000000"/>
          <w:lang w:eastAsia="fr-FR" w:bidi="fr-FR"/>
        </w:rPr>
        <w:t> </w:t>
      </w:r>
      <w:r>
        <w:rPr>
          <w:rStyle w:val="Appelnotedebasdep"/>
        </w:rPr>
        <w:footnoteReference w:id="452"/>
      </w:r>
      <w:r w:rsidRPr="00246AE4">
        <w:rPr>
          <w:color w:val="000000"/>
          <w:lang w:eastAsia="fr-FR" w:bidi="fr-FR"/>
        </w:rPr>
        <w:t xml:space="preserve"> eurent leurs pieux et érudits chroniqueurs. La plupart de ces travaux n’ont jamais été imprimés ; ils n’étaient pas </w:t>
      </w:r>
      <w:r w:rsidRPr="00246AE4">
        <w:rPr>
          <w:color w:val="000000"/>
          <w:lang w:eastAsia="fr-FR" w:bidi="fr-FR"/>
        </w:rPr>
        <w:lastRenderedPageBreak/>
        <w:t>destinés</w:t>
      </w:r>
      <w:r>
        <w:rPr>
          <w:color w:val="000000"/>
          <w:lang w:eastAsia="fr-FR" w:bidi="fr-FR"/>
        </w:rPr>
        <w:t xml:space="preserve"> </w:t>
      </w:r>
      <w:r>
        <w:t xml:space="preserve">[722] </w:t>
      </w:r>
      <w:r w:rsidRPr="00246AE4">
        <w:rPr>
          <w:color w:val="000000"/>
          <w:lang w:eastAsia="fr-FR" w:bidi="fr-FR"/>
        </w:rPr>
        <w:t>à la publication ; ils devaient servir</w:t>
      </w:r>
      <w:r>
        <w:rPr>
          <w:color w:val="000000"/>
          <w:lang w:eastAsia="fr-FR" w:bidi="fr-FR"/>
        </w:rPr>
        <w:t> — </w:t>
      </w:r>
      <w:r w:rsidRPr="00246AE4">
        <w:rPr>
          <w:color w:val="000000"/>
          <w:lang w:eastAsia="fr-FR" w:bidi="fr-FR"/>
        </w:rPr>
        <w:t>et servirent en effet</w:t>
      </w:r>
      <w:r>
        <w:rPr>
          <w:color w:val="000000"/>
          <w:lang w:eastAsia="fr-FR" w:bidi="fr-FR"/>
        </w:rPr>
        <w:t> — </w:t>
      </w:r>
      <w:r w:rsidRPr="00246AE4">
        <w:rPr>
          <w:color w:val="000000"/>
          <w:lang w:eastAsia="fr-FR" w:bidi="fr-FR"/>
        </w:rPr>
        <w:t>à prép</w:t>
      </w:r>
      <w:r w:rsidRPr="00246AE4">
        <w:rPr>
          <w:color w:val="000000"/>
          <w:lang w:eastAsia="fr-FR" w:bidi="fr-FR"/>
        </w:rPr>
        <w:t>a</w:t>
      </w:r>
      <w:r w:rsidRPr="00246AE4">
        <w:rPr>
          <w:color w:val="000000"/>
          <w:lang w:eastAsia="fr-FR" w:bidi="fr-FR"/>
        </w:rPr>
        <w:t xml:space="preserve">rer les matériaux pour l’élaboration de plus importants ouvrages, tels que la </w:t>
      </w:r>
      <w:r w:rsidRPr="00246AE4">
        <w:t>Gallia ;</w:t>
      </w:r>
      <w:r w:rsidRPr="00246AE4">
        <w:rPr>
          <w:color w:val="000000"/>
          <w:lang w:eastAsia="fr-FR" w:bidi="fr-FR"/>
        </w:rPr>
        <w:t xml:space="preserve"> aujourd’hui, l’historien va les consulter dans les dépôts de manuscrits. Certaines pourtant, parmi les histoires de m</w:t>
      </w:r>
      <w:r w:rsidRPr="00246AE4">
        <w:rPr>
          <w:color w:val="000000"/>
          <w:lang w:eastAsia="fr-FR" w:bidi="fr-FR"/>
        </w:rPr>
        <w:t>o</w:t>
      </w:r>
      <w:r w:rsidRPr="00246AE4">
        <w:rPr>
          <w:color w:val="000000"/>
          <w:lang w:eastAsia="fr-FR" w:bidi="fr-FR"/>
        </w:rPr>
        <w:t xml:space="preserve">nastères composées par les Bénédictins, furent livrées à l’impression ; ce sont celles qui, par la grandeur de leurs objets, intéressaient l’histoire du royaume entier et l’histoire de l’Église. Dom Bouillard fit paraître (en 1724) son </w:t>
      </w:r>
      <w:r w:rsidRPr="0033093E">
        <w:rPr>
          <w:i/>
        </w:rPr>
        <w:t>Histoire de Saint-Germain-des-Prés </w:t>
      </w:r>
      <w:r>
        <w:rPr>
          <w:rStyle w:val="Appelnotedebasdep"/>
        </w:rPr>
        <w:footnoteReference w:id="453"/>
      </w:r>
      <w:r w:rsidRPr="00246AE4">
        <w:rPr>
          <w:color w:val="000000"/>
          <w:lang w:eastAsia="fr-FR" w:bidi="fr-FR"/>
        </w:rPr>
        <w:t xml:space="preserve"> ; dom Félibien (en 1716) son </w:t>
      </w:r>
      <w:r w:rsidRPr="0033093E">
        <w:rPr>
          <w:i/>
        </w:rPr>
        <w:t>Histoire de Saint-Denis </w:t>
      </w:r>
      <w:r>
        <w:rPr>
          <w:rStyle w:val="Appelnotedebasdep"/>
        </w:rPr>
        <w:footnoteReference w:id="454"/>
      </w:r>
      <w:r w:rsidRPr="00246AE4">
        <w:t>.</w:t>
      </w:r>
      <w:r w:rsidRPr="00246AE4">
        <w:rPr>
          <w:color w:val="000000"/>
          <w:lang w:eastAsia="fr-FR" w:bidi="fr-FR"/>
        </w:rPr>
        <w:t xml:space="preserve"> Il est curieux de comparer ce dernier ouvrage avec celui que, près d’un siècle plus tôt, frère Jacques Doublet avait publié, sur le même sujet. </w:t>
      </w:r>
      <w:r>
        <w:rPr>
          <w:color w:val="000000"/>
          <w:lang w:eastAsia="fr-FR" w:bidi="fr-FR"/>
        </w:rPr>
        <w:t>À</w:t>
      </w:r>
      <w:r w:rsidRPr="00246AE4">
        <w:rPr>
          <w:color w:val="000000"/>
          <w:lang w:eastAsia="fr-FR" w:bidi="fr-FR"/>
        </w:rPr>
        <w:t xml:space="preserve"> côté du livre de dom Fél</w:t>
      </w:r>
      <w:r w:rsidRPr="00246AE4">
        <w:rPr>
          <w:color w:val="000000"/>
          <w:lang w:eastAsia="fr-FR" w:bidi="fr-FR"/>
        </w:rPr>
        <w:t>i</w:t>
      </w:r>
      <w:r w:rsidRPr="00246AE4">
        <w:rPr>
          <w:color w:val="000000"/>
          <w:lang w:eastAsia="fr-FR" w:bidi="fr-FR"/>
        </w:rPr>
        <w:t>bien, fruit de recherches méthodiques et sagaces, bien ordonné, cla</w:t>
      </w:r>
      <w:r w:rsidRPr="00246AE4">
        <w:rPr>
          <w:color w:val="000000"/>
          <w:lang w:eastAsia="fr-FR" w:bidi="fr-FR"/>
        </w:rPr>
        <w:t>i</w:t>
      </w:r>
      <w:r w:rsidRPr="00246AE4">
        <w:rPr>
          <w:color w:val="000000"/>
          <w:lang w:eastAsia="fr-FR" w:bidi="fr-FR"/>
        </w:rPr>
        <w:t xml:space="preserve">rement écrit, luxueusement édité (« il satisfait également l’esprit et les yeux », disait l’auteur du compte rendu qui parut dans le </w:t>
      </w:r>
      <w:r w:rsidRPr="0033093E">
        <w:rPr>
          <w:i/>
        </w:rPr>
        <w:t>Journal des Savants</w:t>
      </w:r>
      <w:r w:rsidRPr="00246AE4">
        <w:rPr>
          <w:color w:val="000000"/>
          <w:lang w:eastAsia="fr-FR" w:bidi="fr-FR"/>
        </w:rPr>
        <w:t xml:space="preserve"> du 8 mars 1706), les deux volumes touffus de Jacques Do</w:t>
      </w:r>
      <w:r w:rsidRPr="00246AE4">
        <w:rPr>
          <w:color w:val="000000"/>
          <w:lang w:eastAsia="fr-FR" w:bidi="fr-FR"/>
        </w:rPr>
        <w:t>u</w:t>
      </w:r>
      <w:r w:rsidRPr="00246AE4">
        <w:rPr>
          <w:color w:val="000000"/>
          <w:lang w:eastAsia="fr-FR" w:bidi="fr-FR"/>
        </w:rPr>
        <w:t>blet font assez piètre figure ; aussi bien les méthodes de l’érudition, l’art de la narration historique avaient-ils au cours du si</w:t>
      </w:r>
      <w:r w:rsidRPr="00246AE4">
        <w:rPr>
          <w:color w:val="000000"/>
          <w:lang w:eastAsia="fr-FR" w:bidi="fr-FR"/>
        </w:rPr>
        <w:t>è</w:t>
      </w:r>
      <w:r w:rsidRPr="00246AE4">
        <w:rPr>
          <w:color w:val="000000"/>
          <w:lang w:eastAsia="fr-FR" w:bidi="fr-FR"/>
        </w:rPr>
        <w:t>cle fait d’incontestables progrès. Malheureusement dom Félibien a publié moins de documents que son prédécesseur, et c’est pourquoi il ne l’a point remplacé.</w:t>
      </w:r>
    </w:p>
    <w:p w14:paraId="1E1F9A4B" w14:textId="77777777" w:rsidR="00B9662D" w:rsidRPr="00246AE4" w:rsidRDefault="00B9662D" w:rsidP="00B9662D">
      <w:pPr>
        <w:spacing w:before="120" w:after="120"/>
        <w:jc w:val="both"/>
      </w:pPr>
      <w:r w:rsidRPr="00246AE4">
        <w:rPr>
          <w:color w:val="000000"/>
          <w:lang w:eastAsia="fr-FR" w:bidi="fr-FR"/>
        </w:rPr>
        <w:t>M</w:t>
      </w:r>
      <w:r w:rsidRPr="00246AE4">
        <w:rPr>
          <w:color w:val="000000"/>
          <w:vertAlign w:val="superscript"/>
          <w:lang w:eastAsia="fr-FR" w:bidi="fr-FR"/>
        </w:rPr>
        <w:t>gr</w:t>
      </w:r>
      <w:r w:rsidRPr="00246AE4">
        <w:rPr>
          <w:color w:val="000000"/>
          <w:lang w:eastAsia="fr-FR" w:bidi="fr-FR"/>
        </w:rPr>
        <w:t xml:space="preserve"> de Bissy, qui, en 1704, avait succédé à Bossuet sur le siège de Meaux, résolut de faire écrire l’histoire de l’église dont il était le pa</w:t>
      </w:r>
      <w:r w:rsidRPr="00246AE4">
        <w:rPr>
          <w:color w:val="000000"/>
          <w:lang w:eastAsia="fr-FR" w:bidi="fr-FR"/>
        </w:rPr>
        <w:t>s</w:t>
      </w:r>
      <w:r w:rsidRPr="00246AE4">
        <w:rPr>
          <w:color w:val="000000"/>
          <w:lang w:eastAsia="fr-FR" w:bidi="fr-FR"/>
        </w:rPr>
        <w:t>teur. En même temps qu’évêque de Meaux, il é</w:t>
      </w:r>
      <w:r>
        <w:rPr>
          <w:color w:val="000000"/>
          <w:lang w:eastAsia="fr-FR" w:bidi="fr-FR"/>
        </w:rPr>
        <w:t>tait (depuis 1714) abbé commen</w:t>
      </w:r>
      <w:r w:rsidRPr="00246AE4">
        <w:rPr>
          <w:color w:val="000000"/>
          <w:lang w:eastAsia="fr-FR" w:bidi="fr-FR"/>
        </w:rPr>
        <w:t>dataire de Saint-Germain-des-Prés ; cette abbaye était le ce</w:t>
      </w:r>
      <w:r w:rsidRPr="00246AE4">
        <w:rPr>
          <w:color w:val="000000"/>
          <w:lang w:eastAsia="fr-FR" w:bidi="fr-FR"/>
        </w:rPr>
        <w:t>n</w:t>
      </w:r>
      <w:r w:rsidRPr="00246AE4">
        <w:rPr>
          <w:color w:val="000000"/>
          <w:lang w:eastAsia="fr-FR" w:bidi="fr-FR"/>
        </w:rPr>
        <w:t>tre de la Congrégation de Saint-Maur ; ce fut à un des religieux qui y vivaient que M</w:t>
      </w:r>
      <w:r w:rsidRPr="00246AE4">
        <w:rPr>
          <w:color w:val="000000"/>
          <w:vertAlign w:val="superscript"/>
          <w:lang w:eastAsia="fr-FR" w:bidi="fr-FR"/>
        </w:rPr>
        <w:t>gr</w:t>
      </w:r>
      <w:r w:rsidRPr="00246AE4">
        <w:rPr>
          <w:color w:val="000000"/>
          <w:lang w:eastAsia="fr-FR" w:bidi="fr-FR"/>
        </w:rPr>
        <w:t xml:space="preserve"> de Bissy confia le soin de raconter l’histoire des év</w:t>
      </w:r>
      <w:r w:rsidRPr="00246AE4">
        <w:rPr>
          <w:color w:val="000000"/>
          <w:lang w:eastAsia="fr-FR" w:bidi="fr-FR"/>
        </w:rPr>
        <w:t>ê</w:t>
      </w:r>
      <w:r w:rsidRPr="00246AE4">
        <w:rPr>
          <w:color w:val="000000"/>
          <w:lang w:eastAsia="fr-FR" w:bidi="fr-FR"/>
        </w:rPr>
        <w:t xml:space="preserve">ques, ses prédécesseurs, et de son diocèse. Il choisit dom Charles Toussaint du Plessis. Dom Toussaint du Plessis était un bon érudit ; son </w:t>
      </w:r>
      <w:r w:rsidRPr="0033093E">
        <w:rPr>
          <w:i/>
        </w:rPr>
        <w:t>Histoire de l’Église de Meaux </w:t>
      </w:r>
      <w:r>
        <w:rPr>
          <w:rStyle w:val="Appelnotedebasdep"/>
        </w:rPr>
        <w:footnoteReference w:id="455"/>
      </w:r>
      <w:r w:rsidRPr="00246AE4">
        <w:rPr>
          <w:color w:val="000000"/>
          <w:lang w:eastAsia="fr-FR" w:bidi="fr-FR"/>
        </w:rPr>
        <w:t xml:space="preserve"> est un ouvrage un peu confus, mais très sûr ; le tome second est tout entier occupé par les pièces ju</w:t>
      </w:r>
      <w:r w:rsidRPr="00246AE4">
        <w:rPr>
          <w:color w:val="000000"/>
          <w:lang w:eastAsia="fr-FR" w:bidi="fr-FR"/>
        </w:rPr>
        <w:t>s</w:t>
      </w:r>
      <w:r w:rsidRPr="00246AE4">
        <w:rPr>
          <w:color w:val="000000"/>
          <w:lang w:eastAsia="fr-FR" w:bidi="fr-FR"/>
        </w:rPr>
        <w:lastRenderedPageBreak/>
        <w:t xml:space="preserve">tificatives et constitue un des plus utiles recueils de </w:t>
      </w:r>
      <w:r>
        <w:rPr>
          <w:color w:val="000000"/>
          <w:lang w:eastAsia="fr-FR" w:bidi="fr-FR"/>
        </w:rPr>
        <w:t>documents que nous ayons sur l’Î</w:t>
      </w:r>
      <w:r w:rsidRPr="00246AE4">
        <w:rPr>
          <w:color w:val="000000"/>
          <w:lang w:eastAsia="fr-FR" w:bidi="fr-FR"/>
        </w:rPr>
        <w:t xml:space="preserve">le-de-France, la Champagne et la Brie. Pourtant </w:t>
      </w:r>
      <w:r>
        <w:rPr>
          <w:color w:val="000000"/>
          <w:lang w:eastAsia="fr-FR" w:bidi="fr-FR"/>
        </w:rPr>
        <w:t>l’</w:t>
      </w:r>
      <w:r w:rsidRPr="000909C6">
        <w:rPr>
          <w:i/>
        </w:rPr>
        <w:t xml:space="preserve">Histoire de l’Église de Meaux </w:t>
      </w:r>
      <w:r w:rsidRPr="00246AE4">
        <w:rPr>
          <w:color w:val="000000"/>
          <w:lang w:eastAsia="fr-FR" w:bidi="fr-FR"/>
        </w:rPr>
        <w:t>fut, pour son auteur, la source de cruels ennuis : désireux sans doute de faire sa cour au cardinal de Bi</w:t>
      </w:r>
      <w:r w:rsidRPr="00246AE4">
        <w:rPr>
          <w:color w:val="000000"/>
          <w:lang w:eastAsia="fr-FR" w:bidi="fr-FR"/>
        </w:rPr>
        <w:t>s</w:t>
      </w:r>
      <w:r w:rsidRPr="00246AE4">
        <w:rPr>
          <w:color w:val="000000"/>
          <w:lang w:eastAsia="fr-FR" w:bidi="fr-FR"/>
        </w:rPr>
        <w:t>sy, prélat ultramontain dont Saint-Simon a dit qu’il était « vendu corps et âme aux jésuites »</w:t>
      </w:r>
      <w:r>
        <w:rPr>
          <w:color w:val="000000"/>
          <w:lang w:eastAsia="fr-FR" w:bidi="fr-FR"/>
        </w:rPr>
        <w:t> </w:t>
      </w:r>
      <w:r>
        <w:rPr>
          <w:rStyle w:val="Appelnotedebasdep"/>
        </w:rPr>
        <w:footnoteReference w:id="456"/>
      </w:r>
      <w:r w:rsidRPr="00246AE4">
        <w:rPr>
          <w:color w:val="000000"/>
          <w:lang w:eastAsia="fr-FR" w:bidi="fr-FR"/>
        </w:rPr>
        <w:t>, il parla de Bossuet en des termes qui parurent à beaucoup malséants sous la plume de l’historien officiel des évêques de Meaux. Le chapitre de Meaux prit parti contre lui ; une longue p</w:t>
      </w:r>
      <w:r w:rsidRPr="00246AE4">
        <w:rPr>
          <w:color w:val="000000"/>
          <w:lang w:eastAsia="fr-FR" w:bidi="fr-FR"/>
        </w:rPr>
        <w:t>o</w:t>
      </w:r>
      <w:r w:rsidRPr="00246AE4">
        <w:rPr>
          <w:color w:val="000000"/>
          <w:lang w:eastAsia="fr-FR" w:bidi="fr-FR"/>
        </w:rPr>
        <w:t xml:space="preserve">lémique suivit. Ce curieux épisode des luttes ecclésiastiques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a occupé quelques érudits</w:t>
      </w:r>
      <w:r>
        <w:rPr>
          <w:color w:val="000000"/>
          <w:lang w:eastAsia="fr-FR" w:bidi="fr-FR"/>
        </w:rPr>
        <w:t> </w:t>
      </w:r>
      <w:r>
        <w:rPr>
          <w:rStyle w:val="Appelnotedebasdep"/>
        </w:rPr>
        <w:footnoteReference w:id="457"/>
      </w:r>
      <w:r w:rsidRPr="00246AE4">
        <w:rPr>
          <w:color w:val="000000"/>
          <w:lang w:eastAsia="fr-FR" w:bidi="fr-FR"/>
        </w:rPr>
        <w:t> ; l’histoire complète en reste encore à écrire.</w:t>
      </w:r>
    </w:p>
    <w:p w14:paraId="3D6EE665" w14:textId="77777777" w:rsidR="00B9662D" w:rsidRPr="00246AE4" w:rsidRDefault="00B9662D" w:rsidP="00B9662D">
      <w:pPr>
        <w:spacing w:before="120" w:after="120"/>
        <w:jc w:val="both"/>
      </w:pPr>
      <w:r>
        <w:t>[</w:t>
      </w:r>
      <w:r w:rsidRPr="00246AE4">
        <w:rPr>
          <w:color w:val="000000"/>
          <w:lang w:eastAsia="fr-FR" w:bidi="fr-FR"/>
        </w:rPr>
        <w:t>723</w:t>
      </w:r>
      <w:r>
        <w:rPr>
          <w:color w:val="000000"/>
          <w:lang w:eastAsia="fr-FR" w:bidi="fr-FR"/>
        </w:rPr>
        <w:t>]</w:t>
      </w:r>
    </w:p>
    <w:p w14:paraId="62897E8A" w14:textId="77777777" w:rsidR="00B9662D" w:rsidRDefault="00B9662D" w:rsidP="00B9662D">
      <w:pPr>
        <w:spacing w:before="120" w:after="120"/>
        <w:jc w:val="both"/>
        <w:rPr>
          <w:color w:val="000000"/>
          <w:lang w:eastAsia="fr-FR" w:bidi="fr-FR"/>
        </w:rPr>
      </w:pPr>
      <w:r w:rsidRPr="00246AE4">
        <w:rPr>
          <w:color w:val="000000"/>
          <w:lang w:eastAsia="fr-FR" w:bidi="fr-FR"/>
        </w:rPr>
        <w:t>Dom Toussaint du Plessis ne paraît pas avoir été homme à reculer devant les polémiques. Lorsqu’en 1754 un chanoine d’Auxerre, l’abbé Lebeuf</w:t>
      </w:r>
      <w:r>
        <w:rPr>
          <w:color w:val="000000"/>
          <w:lang w:eastAsia="fr-FR" w:bidi="fr-FR"/>
        </w:rPr>
        <w:t> </w:t>
      </w:r>
      <w:r>
        <w:rPr>
          <w:rStyle w:val="Appelnotedebasdep"/>
        </w:rPr>
        <w:footnoteReference w:id="458"/>
      </w:r>
      <w:r w:rsidRPr="00246AE4">
        <w:rPr>
          <w:color w:val="000000"/>
          <w:lang w:eastAsia="fr-FR" w:bidi="fr-FR"/>
        </w:rPr>
        <w:t xml:space="preserve">, déjà connu par de nombreux travaux d’érudition, eut fait paraître les trois premiers volumes d’une </w:t>
      </w:r>
      <w:r w:rsidRPr="005F6A9E">
        <w:rPr>
          <w:i/>
        </w:rPr>
        <w:t>Histoire de la Ville et de tout le Diocèse de Paris,</w:t>
      </w:r>
      <w:r w:rsidRPr="00246AE4">
        <w:rPr>
          <w:color w:val="000000"/>
          <w:lang w:eastAsia="fr-FR" w:bidi="fr-FR"/>
        </w:rPr>
        <w:t xml:space="preserve"> dom du Plessis publia dans le </w:t>
      </w:r>
      <w:r w:rsidRPr="005F6A9E">
        <w:rPr>
          <w:i/>
        </w:rPr>
        <w:t>Mercure de France</w:t>
      </w:r>
      <w:r w:rsidRPr="00246AE4">
        <w:rPr>
          <w:color w:val="000000"/>
          <w:lang w:eastAsia="fr-FR" w:bidi="fr-FR"/>
        </w:rPr>
        <w:t xml:space="preserve"> une série d’articles, où il attaquait cet ouvrage avec une extrême viv</w:t>
      </w:r>
      <w:r w:rsidRPr="00246AE4">
        <w:rPr>
          <w:color w:val="000000"/>
          <w:lang w:eastAsia="fr-FR" w:bidi="fr-FR"/>
        </w:rPr>
        <w:t>a</w:t>
      </w:r>
      <w:r w:rsidRPr="00246AE4">
        <w:rPr>
          <w:color w:val="000000"/>
          <w:lang w:eastAsia="fr-FR" w:bidi="fr-FR"/>
        </w:rPr>
        <w:t>cité</w:t>
      </w:r>
      <w:r>
        <w:rPr>
          <w:color w:val="000000"/>
          <w:lang w:eastAsia="fr-FR" w:bidi="fr-FR"/>
        </w:rPr>
        <w:t> </w:t>
      </w:r>
      <w:r>
        <w:rPr>
          <w:rStyle w:val="Appelnotedebasdep"/>
        </w:rPr>
        <w:footnoteReference w:id="459"/>
      </w:r>
      <w:r w:rsidRPr="00246AE4">
        <w:rPr>
          <w:color w:val="000000"/>
          <w:lang w:eastAsia="fr-FR" w:bidi="fr-FR"/>
        </w:rPr>
        <w:t xml:space="preserve">. En dépit de ces critiques, auxquelles ne paraissent avoir été </w:t>
      </w:r>
      <w:r w:rsidRPr="00246AE4">
        <w:rPr>
          <w:color w:val="000000"/>
          <w:lang w:eastAsia="fr-FR" w:bidi="fr-FR"/>
        </w:rPr>
        <w:lastRenderedPageBreak/>
        <w:t xml:space="preserve">étrangers ni l’esprit de corps (l’abbé Lebeuf n’appartenait pas à la Congrégation de Saint-Maur) ni la jalousie (dom du Plessis avait lui aussi écrit sur l’histoire de Paris, mais ses </w:t>
      </w:r>
      <w:r w:rsidRPr="005F6A9E">
        <w:rPr>
          <w:i/>
        </w:rPr>
        <w:t>Nouvelles Annales de Paris jusqu'à Hugues Capet</w:t>
      </w:r>
      <w:r>
        <w:t> </w:t>
      </w:r>
      <w:r>
        <w:rPr>
          <w:rStyle w:val="Appelnotedebasdep"/>
        </w:rPr>
        <w:footnoteReference w:id="460"/>
      </w:r>
      <w:r w:rsidRPr="00246AE4">
        <w:rPr>
          <w:color w:val="000000"/>
          <w:lang w:eastAsia="fr-FR" w:bidi="fr-FR"/>
        </w:rPr>
        <w:t>, de valeur médiocre, avaient eu un médiocre succès), en dépit aussi des railleries faciles de quelques beaux esprits, dédaigneux de l’érudition</w:t>
      </w:r>
      <w:r>
        <w:rPr>
          <w:color w:val="000000"/>
          <w:lang w:eastAsia="fr-FR" w:bidi="fr-FR"/>
        </w:rPr>
        <w:t> </w:t>
      </w:r>
      <w:r>
        <w:rPr>
          <w:rStyle w:val="Appelnotedebasdep"/>
        </w:rPr>
        <w:footnoteReference w:id="461"/>
      </w:r>
      <w:r w:rsidRPr="00246AE4">
        <w:rPr>
          <w:color w:val="000000"/>
          <w:lang w:eastAsia="fr-FR" w:bidi="fr-FR"/>
        </w:rPr>
        <w:t xml:space="preserve">, </w:t>
      </w:r>
      <w:r w:rsidRPr="00AA62D4">
        <w:t>l</w:t>
      </w:r>
      <w:r w:rsidRPr="005F6A9E">
        <w:rPr>
          <w:i/>
        </w:rPr>
        <w:t>’Histoire de la Ville et de tout le Diocèse de Paris</w:t>
      </w:r>
      <w:r>
        <w:t> </w:t>
      </w:r>
      <w:r>
        <w:rPr>
          <w:rStyle w:val="Appelnotedebasdep"/>
        </w:rPr>
        <w:footnoteReference w:id="462"/>
      </w:r>
      <w:r w:rsidRPr="00246AE4">
        <w:rPr>
          <w:color w:val="000000"/>
          <w:lang w:eastAsia="fr-FR" w:bidi="fr-FR"/>
        </w:rPr>
        <w:t xml:space="preserve"> reste un des ouvrages les plus achevés qui aient jamais été consacrés à l’histoire de l</w:t>
      </w:r>
      <w:r>
        <w:rPr>
          <w:color w:val="000000"/>
          <w:lang w:eastAsia="fr-FR" w:bidi="fr-FR"/>
        </w:rPr>
        <w:t>’Île-</w:t>
      </w:r>
      <w:r w:rsidRPr="00246AE4">
        <w:rPr>
          <w:color w:val="000000"/>
          <w:lang w:eastAsia="fr-FR" w:bidi="fr-FR"/>
        </w:rPr>
        <w:t>de-France. Je laisse de côté les premiers volumes, qui concernent la ville même de Paris. Le diocèse est étudié paroisse par paroisse ; la description des lieux accompagne leur histo</w:t>
      </w:r>
      <w:r w:rsidRPr="00246AE4">
        <w:rPr>
          <w:color w:val="000000"/>
          <w:lang w:eastAsia="fr-FR" w:bidi="fr-FR"/>
        </w:rPr>
        <w:t>i</w:t>
      </w:r>
      <w:r w:rsidRPr="00246AE4">
        <w:rPr>
          <w:color w:val="000000"/>
          <w:lang w:eastAsia="fr-FR" w:bidi="fr-FR"/>
        </w:rPr>
        <w:t>re ; l’abbé Lebeuf considérait son ouvrage comme une contribution à une grande description du royaume, à la fois géographique et histor</w:t>
      </w:r>
      <w:r w:rsidRPr="00246AE4">
        <w:rPr>
          <w:color w:val="000000"/>
          <w:lang w:eastAsia="fr-FR" w:bidi="fr-FR"/>
        </w:rPr>
        <w:t>i</w:t>
      </w:r>
      <w:r w:rsidRPr="00246AE4">
        <w:rPr>
          <w:color w:val="000000"/>
          <w:lang w:eastAsia="fr-FR" w:bidi="fr-FR"/>
        </w:rPr>
        <w:t>que, qu’il rêvait de voir s’élever ainsi, diocèse par diocèse</w:t>
      </w:r>
      <w:r>
        <w:rPr>
          <w:color w:val="000000"/>
          <w:lang w:eastAsia="fr-FR" w:bidi="fr-FR"/>
        </w:rPr>
        <w:t> </w:t>
      </w:r>
      <w:r>
        <w:rPr>
          <w:rStyle w:val="Appelnotedebasdep"/>
        </w:rPr>
        <w:footnoteReference w:id="463"/>
      </w:r>
      <w:r>
        <w:rPr>
          <w:color w:val="000000"/>
          <w:lang w:eastAsia="fr-FR" w:bidi="fr-FR"/>
        </w:rPr>
        <w:t>.</w:t>
      </w:r>
      <w:r w:rsidRPr="00246AE4">
        <w:rPr>
          <w:color w:val="000000"/>
          <w:lang w:eastAsia="fr-FR" w:bidi="fr-FR"/>
        </w:rPr>
        <w:t xml:space="preserve"> L’abbé Lebeuf connaissait admirablement les archives, ou plutôt les cartula</w:t>
      </w:r>
      <w:r w:rsidRPr="00246AE4">
        <w:rPr>
          <w:color w:val="000000"/>
          <w:lang w:eastAsia="fr-FR" w:bidi="fr-FR"/>
        </w:rPr>
        <w:t>i</w:t>
      </w:r>
      <w:r w:rsidRPr="00246AE4">
        <w:rPr>
          <w:color w:val="000000"/>
          <w:lang w:eastAsia="fr-FR" w:bidi="fr-FR"/>
        </w:rPr>
        <w:t xml:space="preserve">res, des maisons religieuses du diocèse ; et ce sont là </w:t>
      </w:r>
      <w:r w:rsidRPr="00246AE4">
        <w:rPr>
          <w:color w:val="000000"/>
          <w:lang w:eastAsia="fr-FR" w:bidi="fr-FR"/>
        </w:rPr>
        <w:lastRenderedPageBreak/>
        <w:t>en effet, pour la géographie historique, des sources inestimables. Il était laborieux et précis ; il n’était pas dépourvu de sens critique. On a dit beaucoup de mal de son style, dont la gaucherie, à mon sens, n’est pas sans agr</w:t>
      </w:r>
      <w:r w:rsidRPr="00246AE4">
        <w:rPr>
          <w:color w:val="000000"/>
          <w:lang w:eastAsia="fr-FR" w:bidi="fr-FR"/>
        </w:rPr>
        <w:t>é</w:t>
      </w:r>
      <w:r w:rsidRPr="00246AE4">
        <w:rPr>
          <w:color w:val="000000"/>
          <w:lang w:eastAsia="fr-FR" w:bidi="fr-FR"/>
        </w:rPr>
        <w:t>ment</w:t>
      </w:r>
      <w:r>
        <w:rPr>
          <w:color w:val="000000"/>
          <w:lang w:eastAsia="fr-FR" w:bidi="fr-FR"/>
        </w:rPr>
        <w:t>.</w:t>
      </w:r>
    </w:p>
    <w:p w14:paraId="4FC869C5" w14:textId="77777777" w:rsidR="00B9662D" w:rsidRDefault="00B9662D" w:rsidP="00B9662D">
      <w:pPr>
        <w:spacing w:before="120" w:after="120"/>
        <w:jc w:val="both"/>
      </w:pPr>
      <w:r>
        <w:t>[724]</w:t>
      </w:r>
    </w:p>
    <w:p w14:paraId="568E8B26" w14:textId="77777777" w:rsidR="00B9662D" w:rsidRPr="00246AE4" w:rsidRDefault="00B9662D" w:rsidP="00B9662D">
      <w:pPr>
        <w:spacing w:before="120" w:after="120"/>
        <w:jc w:val="both"/>
      </w:pPr>
      <w:r w:rsidRPr="00246AE4">
        <w:rPr>
          <w:color w:val="000000"/>
          <w:lang w:eastAsia="fr-FR" w:bidi="fr-FR"/>
        </w:rPr>
        <w:t>Dans les quelques ouvrages d’histoire locale, peu nombreux et m</w:t>
      </w:r>
      <w:r w:rsidRPr="00246AE4">
        <w:rPr>
          <w:color w:val="000000"/>
          <w:lang w:eastAsia="fr-FR" w:bidi="fr-FR"/>
        </w:rPr>
        <w:t>é</w:t>
      </w:r>
      <w:r w:rsidRPr="00246AE4">
        <w:rPr>
          <w:color w:val="000000"/>
          <w:lang w:eastAsia="fr-FR" w:bidi="fr-FR"/>
        </w:rPr>
        <w:t xml:space="preserve">diocres, que nous a laissés le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finissant, il est curieux de relever les marques de l’esprit du temps. Un curé de campagne bea</w:t>
      </w:r>
      <w:r w:rsidRPr="00246AE4">
        <w:rPr>
          <w:color w:val="000000"/>
          <w:lang w:eastAsia="fr-FR" w:bidi="fr-FR"/>
        </w:rPr>
        <w:t>u</w:t>
      </w:r>
      <w:r w:rsidRPr="00246AE4">
        <w:rPr>
          <w:color w:val="000000"/>
          <w:lang w:eastAsia="fr-FR" w:bidi="fr-FR"/>
        </w:rPr>
        <w:t xml:space="preserve">ceron, l’abbé Bordas (mort en 1772) occupa ses loisirs à composer une </w:t>
      </w:r>
      <w:r w:rsidRPr="00AA62D4">
        <w:rPr>
          <w:i/>
        </w:rPr>
        <w:t>Histoire sommaire du Dunois, de ses comtes et de sa capitale</w:t>
      </w:r>
      <w:r>
        <w:t> </w:t>
      </w:r>
      <w:r>
        <w:rPr>
          <w:rStyle w:val="Appelnotedebasdep"/>
        </w:rPr>
        <w:footnoteReference w:id="464"/>
      </w:r>
      <w:r w:rsidRPr="00246AE4">
        <w:rPr>
          <w:color w:val="000000"/>
          <w:lang w:eastAsia="fr-FR" w:bidi="fr-FR"/>
        </w:rPr>
        <w:t xml:space="preserve"> qui n’a été imprimée qu’au </w:t>
      </w:r>
      <w:r>
        <w:rPr>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par les soins d’une société locale ; l’abbé Bordas est un prêtre rationaliste ; il se refuse express</w:t>
      </w:r>
      <w:r w:rsidRPr="00246AE4">
        <w:rPr>
          <w:color w:val="000000"/>
          <w:lang w:eastAsia="fr-FR" w:bidi="fr-FR"/>
        </w:rPr>
        <w:t>é</w:t>
      </w:r>
      <w:r w:rsidRPr="00246AE4">
        <w:rPr>
          <w:color w:val="000000"/>
          <w:lang w:eastAsia="fr-FR" w:bidi="fr-FR"/>
        </w:rPr>
        <w:t>ment à reconnaître à Jeanne d’Arc, « cette fille soldat », « une mission merveilleuse et surnaturelle »</w:t>
      </w:r>
      <w:r>
        <w:rPr>
          <w:color w:val="000000"/>
          <w:lang w:eastAsia="fr-FR" w:bidi="fr-FR"/>
        </w:rPr>
        <w:t> </w:t>
      </w:r>
      <w:r>
        <w:rPr>
          <w:rStyle w:val="Appelnotedebasdep"/>
        </w:rPr>
        <w:footnoteReference w:id="465"/>
      </w:r>
      <w:r w:rsidRPr="00246AE4">
        <w:rPr>
          <w:color w:val="000000"/>
          <w:lang w:eastAsia="fr-FR" w:bidi="fr-FR"/>
        </w:rPr>
        <w:t>. L</w:t>
      </w:r>
      <w:r w:rsidRPr="00246AE4">
        <w:t>'</w:t>
      </w:r>
      <w:r w:rsidRPr="00AA62D4">
        <w:rPr>
          <w:i/>
        </w:rPr>
        <w:t>Histoire de la ville de Chartres</w:t>
      </w:r>
      <w:r w:rsidRPr="00AA62D4">
        <w:rPr>
          <w:i/>
          <w:color w:val="000000"/>
          <w:lang w:eastAsia="fr-FR" w:bidi="fr-FR"/>
        </w:rPr>
        <w:t xml:space="preserve">, </w:t>
      </w:r>
      <w:r w:rsidRPr="00AA62D4">
        <w:rPr>
          <w:i/>
        </w:rPr>
        <w:t>du pays chartrain et de la Beauc</w:t>
      </w:r>
      <w:r w:rsidRPr="00246AE4">
        <w:t>e</w:t>
      </w:r>
      <w:r>
        <w:t> </w:t>
      </w:r>
      <w:r>
        <w:rPr>
          <w:rStyle w:val="Appelnotedebasdep"/>
        </w:rPr>
        <w:footnoteReference w:id="466"/>
      </w:r>
      <w:r w:rsidRPr="00246AE4">
        <w:rPr>
          <w:color w:val="000000"/>
          <w:lang w:eastAsia="fr-FR" w:bidi="fr-FR"/>
        </w:rPr>
        <w:t>, de Doyen, parut en 1786 ; elle a pour préface une lettre d’un publiciste, né à Chartres : Brissot de Warville, le futur conventionnel. La part qui dans cet ouvrage est faite aux que</w:t>
      </w:r>
      <w:r w:rsidRPr="00246AE4">
        <w:rPr>
          <w:color w:val="000000"/>
          <w:lang w:eastAsia="fr-FR" w:bidi="fr-FR"/>
        </w:rPr>
        <w:t>s</w:t>
      </w:r>
      <w:r w:rsidRPr="00246AE4">
        <w:rPr>
          <w:color w:val="000000"/>
          <w:lang w:eastAsia="fr-FR" w:bidi="fr-FR"/>
        </w:rPr>
        <w:t>tions agricoles eût étonné et choqué les hist</w:t>
      </w:r>
      <w:r w:rsidRPr="00246AE4">
        <w:rPr>
          <w:color w:val="000000"/>
          <w:lang w:eastAsia="fr-FR" w:bidi="fr-FR"/>
        </w:rPr>
        <w:t>o</w:t>
      </w:r>
      <w:r w:rsidRPr="00246AE4">
        <w:rPr>
          <w:color w:val="000000"/>
          <w:lang w:eastAsia="fr-FR" w:bidi="fr-FR"/>
        </w:rPr>
        <w:t xml:space="preserve">riens du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 elle témoigne de l’influence de la pensée ph</w:t>
      </w:r>
      <w:r w:rsidRPr="00246AE4">
        <w:rPr>
          <w:color w:val="000000"/>
          <w:lang w:eastAsia="fr-FR" w:bidi="fr-FR"/>
        </w:rPr>
        <w:t>y</w:t>
      </w:r>
      <w:r w:rsidRPr="00246AE4">
        <w:rPr>
          <w:color w:val="000000"/>
          <w:lang w:eastAsia="fr-FR" w:bidi="fr-FR"/>
        </w:rPr>
        <w:t>siocratique ; Doyen est au reste un adversaire fougueux de l’agriculture scientifique, des « luzernes », des « trèfles » et des po</w:t>
      </w:r>
      <w:r w:rsidRPr="00246AE4">
        <w:rPr>
          <w:color w:val="000000"/>
          <w:lang w:eastAsia="fr-FR" w:bidi="fr-FR"/>
        </w:rPr>
        <w:t>m</w:t>
      </w:r>
      <w:r w:rsidRPr="00246AE4">
        <w:rPr>
          <w:color w:val="000000"/>
          <w:lang w:eastAsia="fr-FR" w:bidi="fr-FR"/>
        </w:rPr>
        <w:t>mes de terre « que la nature n’a dû créer que pour la nourriture des bêtes » et dont on a voulu faire « celle des hommes »</w:t>
      </w:r>
      <w:r>
        <w:rPr>
          <w:color w:val="000000"/>
          <w:lang w:eastAsia="fr-FR" w:bidi="fr-FR"/>
        </w:rPr>
        <w:t> </w:t>
      </w:r>
      <w:r>
        <w:rPr>
          <w:rStyle w:val="Appelnotedebasdep"/>
        </w:rPr>
        <w:footnoteReference w:id="467"/>
      </w:r>
      <w:r w:rsidRPr="00246AE4">
        <w:rPr>
          <w:color w:val="000000"/>
          <w:lang w:eastAsia="fr-FR" w:bidi="fr-FR"/>
        </w:rPr>
        <w:t>.</w:t>
      </w:r>
    </w:p>
    <w:p w14:paraId="357D0FD1" w14:textId="77777777" w:rsidR="00B9662D" w:rsidRPr="00246AE4" w:rsidRDefault="00B9662D" w:rsidP="00B9662D">
      <w:pPr>
        <w:spacing w:before="120" w:after="120"/>
        <w:jc w:val="both"/>
      </w:pPr>
      <w:r w:rsidRPr="00246AE4">
        <w:rPr>
          <w:color w:val="000000"/>
          <w:lang w:eastAsia="fr-FR" w:bidi="fr-FR"/>
        </w:rPr>
        <w:t>Il n’est guère possible de porter un jugement d’ensemble sur le tr</w:t>
      </w:r>
      <w:r w:rsidRPr="00246AE4">
        <w:rPr>
          <w:color w:val="000000"/>
          <w:lang w:eastAsia="fr-FR" w:bidi="fr-FR"/>
        </w:rPr>
        <w:t>a</w:t>
      </w:r>
      <w:r w:rsidRPr="00246AE4">
        <w:rPr>
          <w:color w:val="000000"/>
          <w:lang w:eastAsia="fr-FR" w:bidi="fr-FR"/>
        </w:rPr>
        <w:t>vail d’histoire locale, qui a été accompli dans l’</w:t>
      </w:r>
      <w:r>
        <w:rPr>
          <w:color w:val="000000"/>
          <w:lang w:eastAsia="fr-FR" w:bidi="fr-FR"/>
        </w:rPr>
        <w:t>Île-de-France</w:t>
      </w:r>
      <w:r w:rsidRPr="00246AE4">
        <w:rPr>
          <w:color w:val="000000"/>
          <w:lang w:eastAsia="fr-FR" w:bidi="fr-FR"/>
        </w:rPr>
        <w:t>, sous l’Ancien Régime. Comment confondre dans une même appréciation dom Félibien et Noël Taillepied, dom Guillaume Morin et l’abbé L</w:t>
      </w:r>
      <w:r w:rsidRPr="00246AE4">
        <w:rPr>
          <w:color w:val="000000"/>
          <w:lang w:eastAsia="fr-FR" w:bidi="fr-FR"/>
        </w:rPr>
        <w:t>e</w:t>
      </w:r>
      <w:r w:rsidRPr="00246AE4">
        <w:rPr>
          <w:color w:val="000000"/>
          <w:lang w:eastAsia="fr-FR" w:bidi="fr-FR"/>
        </w:rPr>
        <w:t>beuf ? Toutefois, il n’est pas sans intérêt de chercher à préciser la n</w:t>
      </w:r>
      <w:r w:rsidRPr="00246AE4">
        <w:rPr>
          <w:color w:val="000000"/>
          <w:lang w:eastAsia="fr-FR" w:bidi="fr-FR"/>
        </w:rPr>
        <w:t>a</w:t>
      </w:r>
      <w:r w:rsidRPr="00246AE4">
        <w:rPr>
          <w:color w:val="000000"/>
          <w:lang w:eastAsia="fr-FR" w:bidi="fr-FR"/>
        </w:rPr>
        <w:t>ture des services que sont aujourd’hui aptes à nous rendre les ouvr</w:t>
      </w:r>
      <w:r w:rsidRPr="00246AE4">
        <w:rPr>
          <w:color w:val="000000"/>
          <w:lang w:eastAsia="fr-FR" w:bidi="fr-FR"/>
        </w:rPr>
        <w:t>a</w:t>
      </w:r>
      <w:r w:rsidRPr="00246AE4">
        <w:rPr>
          <w:color w:val="000000"/>
          <w:lang w:eastAsia="fr-FR" w:bidi="fr-FR"/>
        </w:rPr>
        <w:t xml:space="preserve">ges d’histoire locale qui ont été écrits avant le </w:t>
      </w:r>
      <w:r w:rsidRPr="00DA05CC">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Le plus </w:t>
      </w:r>
      <w:r w:rsidRPr="00246AE4">
        <w:rPr>
          <w:color w:val="000000"/>
          <w:lang w:eastAsia="fr-FR" w:bidi="fr-FR"/>
        </w:rPr>
        <w:lastRenderedPageBreak/>
        <w:t>souvent, il faut le dire, ce que nous leur demandons, c’est moins l’histoire elle-même que les matériaux de l’histoire : dissertations ér</w:t>
      </w:r>
      <w:r w:rsidRPr="00246AE4">
        <w:rPr>
          <w:color w:val="000000"/>
          <w:lang w:eastAsia="fr-FR" w:bidi="fr-FR"/>
        </w:rPr>
        <w:t>u</w:t>
      </w:r>
      <w:r w:rsidRPr="00246AE4">
        <w:rPr>
          <w:color w:val="000000"/>
          <w:lang w:eastAsia="fr-FR" w:bidi="fr-FR"/>
        </w:rPr>
        <w:t xml:space="preserve">dites sur des détails d’histoire ou de géographie historique, listes d’évêques ou d’abbés, tableaux généalogiques, pièces justificatives. Il est difficile d’approuver sans réserve les érudits qui, au </w:t>
      </w:r>
      <w:r w:rsidRPr="00DA05CC">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ont réédité les livres d’histoire locale composés aux siècles préc</w:t>
      </w:r>
      <w:r w:rsidRPr="00246AE4">
        <w:rPr>
          <w:color w:val="000000"/>
          <w:lang w:eastAsia="fr-FR" w:bidi="fr-FR"/>
        </w:rPr>
        <w:t>é</w:t>
      </w:r>
      <w:r w:rsidRPr="00246AE4">
        <w:rPr>
          <w:color w:val="000000"/>
          <w:lang w:eastAsia="fr-FR" w:bidi="fr-FR"/>
        </w:rPr>
        <w:t xml:space="preserve">dents, ou ont fait imprimer les ouvrages restés manuscrits. Ici encore, il faut se garder des généralisations trop rapides ; le moderne éditeur de </w:t>
      </w:r>
      <w:r>
        <w:rPr>
          <w:color w:val="000000"/>
          <w:lang w:eastAsia="fr-FR" w:bidi="fr-FR"/>
        </w:rPr>
        <w:t>l’</w:t>
      </w:r>
      <w:r w:rsidRPr="00DA05CC">
        <w:rPr>
          <w:i/>
        </w:rPr>
        <w:t>Histoire du Diocèse</w:t>
      </w:r>
      <w:r w:rsidRPr="00DA05CC">
        <w:rPr>
          <w:i/>
          <w:color w:val="000000"/>
          <w:lang w:eastAsia="fr-FR" w:bidi="fr-FR"/>
        </w:rPr>
        <w:t xml:space="preserve"> de l’abbé Lebeuf</w:t>
      </w:r>
      <w:r w:rsidRPr="00246AE4">
        <w:rPr>
          <w:color w:val="000000"/>
          <w:lang w:eastAsia="fr-FR" w:bidi="fr-FR"/>
        </w:rPr>
        <w:t>, en mettant cette belle œ</w:t>
      </w:r>
      <w:r w:rsidRPr="00246AE4">
        <w:rPr>
          <w:color w:val="000000"/>
          <w:lang w:eastAsia="fr-FR" w:bidi="fr-FR"/>
        </w:rPr>
        <w:t>u</w:t>
      </w:r>
      <w:r w:rsidRPr="00246AE4">
        <w:rPr>
          <w:color w:val="000000"/>
          <w:lang w:eastAsia="fr-FR" w:bidi="fr-FR"/>
        </w:rPr>
        <w:t>vre, devenue rare et coûteuse, à la portée de toutes les bibliothèques, a fait chose utile ; mais comment rendre le même témoignage aux éd</w:t>
      </w:r>
      <w:r w:rsidRPr="00246AE4">
        <w:rPr>
          <w:color w:val="000000"/>
          <w:lang w:eastAsia="fr-FR" w:bidi="fr-FR"/>
        </w:rPr>
        <w:t>i</w:t>
      </w:r>
      <w:r w:rsidRPr="00246AE4">
        <w:rPr>
          <w:color w:val="000000"/>
          <w:lang w:eastAsia="fr-FR" w:bidi="fr-FR"/>
        </w:rPr>
        <w:t>teurs de Noël Taillepied ou de l’abbé Bordas ? La science qui a été dépensée à rectifier, dans des appendices joints à une édition nouvelle, les erreurs innombrables de dom Guillaume Morin eût été mieux e</w:t>
      </w:r>
      <w:r w:rsidRPr="00246AE4">
        <w:rPr>
          <w:color w:val="000000"/>
          <w:lang w:eastAsia="fr-FR" w:bidi="fr-FR"/>
        </w:rPr>
        <w:t>m</w:t>
      </w:r>
      <w:r w:rsidRPr="00246AE4">
        <w:rPr>
          <w:color w:val="000000"/>
          <w:lang w:eastAsia="fr-FR" w:bidi="fr-FR"/>
        </w:rPr>
        <w:t>ployée à écrire un travail original. L’argent qui a été dépensé à ces rééditions ou impressions eût été mieux employé à favoriser la publ</w:t>
      </w:r>
      <w:r w:rsidRPr="00246AE4">
        <w:rPr>
          <w:color w:val="000000"/>
          <w:lang w:eastAsia="fr-FR" w:bidi="fr-FR"/>
        </w:rPr>
        <w:t>i</w:t>
      </w:r>
      <w:r w:rsidRPr="00246AE4">
        <w:rPr>
          <w:color w:val="000000"/>
          <w:lang w:eastAsia="fr-FR" w:bidi="fr-FR"/>
        </w:rPr>
        <w:t>cation d’un de ces recueils de documents dont l’absence est, pour les recherches d’histoire locale, une gêne cruelle et dont l’apparition, à dire vrai, rendrait inutiles tant de livres composés par les érudits d’autrefois.</w:t>
      </w:r>
    </w:p>
    <w:p w14:paraId="19D484B1" w14:textId="77777777" w:rsidR="00B9662D" w:rsidRDefault="00B9662D" w:rsidP="00B9662D">
      <w:pPr>
        <w:spacing w:before="120" w:after="120"/>
        <w:jc w:val="both"/>
        <w:rPr>
          <w:iCs/>
        </w:rPr>
      </w:pPr>
      <w:r w:rsidRPr="00246AE4">
        <w:br w:type="page"/>
      </w:r>
      <w:r w:rsidRPr="009778F9">
        <w:rPr>
          <w:iCs/>
        </w:rPr>
        <w:lastRenderedPageBreak/>
        <w:t>[725]</w:t>
      </w:r>
    </w:p>
    <w:p w14:paraId="08F343E2" w14:textId="77777777" w:rsidR="00B9662D" w:rsidRPr="009778F9" w:rsidRDefault="00B9662D" w:rsidP="00B9662D">
      <w:pPr>
        <w:spacing w:before="120" w:after="120"/>
        <w:jc w:val="both"/>
      </w:pPr>
    </w:p>
    <w:p w14:paraId="777FF6D0" w14:textId="77777777" w:rsidR="00B9662D" w:rsidRPr="00246AE4" w:rsidRDefault="00B9662D" w:rsidP="00B9662D">
      <w:pPr>
        <w:pStyle w:val="planche"/>
      </w:pPr>
      <w:bookmarkStart w:id="31" w:name="Melanges_t2_pt_7_chap_II_III"/>
      <w:r w:rsidRPr="00246AE4">
        <w:t>III</w:t>
      </w:r>
      <w:r>
        <w:t>. — L’HISTOIRE LOCALE,</w:t>
      </w:r>
      <w:r>
        <w:br/>
        <w:t>DANS L’ÎLE-DE-FRANCE,</w:t>
      </w:r>
      <w:r>
        <w:br/>
        <w:t>À</w:t>
      </w:r>
      <w:r w:rsidRPr="00246AE4">
        <w:t xml:space="preserve"> L’ÉPOQUE CONTEMPORAINE</w:t>
      </w:r>
    </w:p>
    <w:bookmarkEnd w:id="31"/>
    <w:p w14:paraId="032C6EDF" w14:textId="77777777" w:rsidR="00B9662D" w:rsidRDefault="00B9662D" w:rsidP="00B9662D">
      <w:pPr>
        <w:spacing w:before="120" w:after="120"/>
        <w:jc w:val="both"/>
      </w:pPr>
    </w:p>
    <w:p w14:paraId="5AA6044D" w14:textId="77777777" w:rsidR="00B9662D" w:rsidRPr="00246AE4" w:rsidRDefault="00B9662D" w:rsidP="00B9662D">
      <w:pPr>
        <w:pStyle w:val="a"/>
      </w:pPr>
      <w:bookmarkStart w:id="32" w:name="Melanges_t2_pt_7_chap_II_III_I"/>
      <w:r>
        <w:t xml:space="preserve">I. </w:t>
      </w:r>
      <w:r w:rsidRPr="00246AE4">
        <w:t>L’organisation du travail</w:t>
      </w:r>
      <w:r w:rsidRPr="003301CB">
        <w:rPr>
          <w:b w:val="0"/>
          <w:i w:val="0"/>
        </w:rPr>
        <w:t> </w:t>
      </w:r>
      <w:r w:rsidRPr="003301CB">
        <w:rPr>
          <w:rStyle w:val="Appelnotedebasdep"/>
          <w:b w:val="0"/>
          <w:i w:val="0"/>
        </w:rPr>
        <w:footnoteReference w:id="468"/>
      </w:r>
    </w:p>
    <w:bookmarkEnd w:id="32"/>
    <w:p w14:paraId="2DFFED05" w14:textId="77777777" w:rsidR="00B9662D" w:rsidRDefault="00B9662D" w:rsidP="00B9662D">
      <w:pPr>
        <w:spacing w:before="120" w:after="120"/>
        <w:jc w:val="both"/>
        <w:rPr>
          <w:color w:val="000000"/>
          <w:lang w:eastAsia="fr-FR" w:bidi="fr-FR"/>
        </w:rPr>
      </w:pPr>
    </w:p>
    <w:p w14:paraId="4E34AAA3"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583168A" w14:textId="77777777" w:rsidR="00B9662D" w:rsidRDefault="00B9662D" w:rsidP="00B9662D">
      <w:pPr>
        <w:spacing w:before="120" w:after="120"/>
        <w:jc w:val="both"/>
        <w:rPr>
          <w:color w:val="000000"/>
          <w:lang w:eastAsia="fr-FR" w:bidi="fr-FR"/>
        </w:rPr>
      </w:pPr>
      <w:r w:rsidRPr="00246AE4">
        <w:rPr>
          <w:color w:val="000000"/>
          <w:lang w:eastAsia="fr-FR" w:bidi="fr-FR"/>
        </w:rPr>
        <w:t>L’œuvre accomplie par les historiens de l’</w:t>
      </w:r>
      <w:r>
        <w:rPr>
          <w:color w:val="000000"/>
          <w:lang w:eastAsia="fr-FR" w:bidi="fr-FR"/>
        </w:rPr>
        <w:t>Île-de-France</w:t>
      </w:r>
      <w:r w:rsidRPr="00246AE4">
        <w:rPr>
          <w:color w:val="000000"/>
          <w:lang w:eastAsia="fr-FR" w:bidi="fr-FR"/>
        </w:rPr>
        <w:t xml:space="preserve"> aux </w:t>
      </w:r>
      <w:r w:rsidRPr="001909CF">
        <w:rPr>
          <w:small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et </w:t>
      </w:r>
      <w:r w:rsidRPr="00E560DE">
        <w:rPr>
          <w:smallCaps/>
          <w:color w:val="000000"/>
          <w:lang w:eastAsia="fr-FR" w:bidi="fr-FR"/>
        </w:rPr>
        <w:t>xx</w:t>
      </w:r>
      <w:r w:rsidRPr="00246AE4">
        <w:rPr>
          <w:color w:val="000000"/>
          <w:vertAlign w:val="superscript"/>
          <w:lang w:eastAsia="fr-FR" w:bidi="fr-FR"/>
        </w:rPr>
        <w:t>e</w:t>
      </w:r>
      <w:r w:rsidRPr="00246AE4">
        <w:rPr>
          <w:color w:val="000000"/>
          <w:lang w:eastAsia="fr-FR" w:bidi="fr-FR"/>
        </w:rPr>
        <w:t xml:space="preserve"> siècles s’offre maintenant à notre étude,</w:t>
      </w:r>
      <w:r>
        <w:rPr>
          <w:color w:val="000000"/>
          <w:lang w:eastAsia="fr-FR" w:bidi="fr-FR"/>
        </w:rPr>
        <w:t> — </w:t>
      </w:r>
      <w:r w:rsidRPr="00246AE4">
        <w:rPr>
          <w:color w:val="000000"/>
          <w:lang w:eastAsia="fr-FR" w:bidi="fr-FR"/>
        </w:rPr>
        <w:t>œuvre incomplète et inachevée dont il conviendra de marquer les lacunes en même temps que les résultats,</w:t>
      </w:r>
      <w:r>
        <w:rPr>
          <w:color w:val="000000"/>
          <w:lang w:eastAsia="fr-FR" w:bidi="fr-FR"/>
        </w:rPr>
        <w:t> — </w:t>
      </w:r>
      <w:r w:rsidRPr="00246AE4">
        <w:rPr>
          <w:color w:val="000000"/>
          <w:lang w:eastAsia="fr-FR" w:bidi="fr-FR"/>
        </w:rPr>
        <w:t>œuvre immense pourtant qu’il ne faut pas songer à inventorier dans le détail. On ne devra chercher dans les pages qui vont suivre ni une bibliographie complète de l’</w:t>
      </w:r>
      <w:r>
        <w:rPr>
          <w:color w:val="000000"/>
          <w:lang w:eastAsia="fr-FR" w:bidi="fr-FR"/>
        </w:rPr>
        <w:t>Île-de-France</w:t>
      </w:r>
      <w:r w:rsidRPr="00246AE4">
        <w:rPr>
          <w:color w:val="000000"/>
          <w:lang w:eastAsia="fr-FR" w:bidi="fr-FR"/>
        </w:rPr>
        <w:t>, ni m</w:t>
      </w:r>
      <w:r w:rsidRPr="00246AE4">
        <w:rPr>
          <w:color w:val="000000"/>
          <w:lang w:eastAsia="fr-FR" w:bidi="fr-FR"/>
        </w:rPr>
        <w:t>ê</w:t>
      </w:r>
      <w:r w:rsidRPr="00246AE4">
        <w:rPr>
          <w:color w:val="000000"/>
          <w:lang w:eastAsia="fr-FR" w:bidi="fr-FR"/>
        </w:rPr>
        <w:t>me, sur aucun des points spéciaux que nous aurons à toucher, de b</w:t>
      </w:r>
      <w:r w:rsidRPr="00246AE4">
        <w:rPr>
          <w:color w:val="000000"/>
          <w:lang w:eastAsia="fr-FR" w:bidi="fr-FR"/>
        </w:rPr>
        <w:t>i</w:t>
      </w:r>
      <w:r w:rsidRPr="00246AE4">
        <w:rPr>
          <w:color w:val="000000"/>
          <w:lang w:eastAsia="fr-FR" w:bidi="fr-FR"/>
        </w:rPr>
        <w:t>bliographie exhaustive. Indiquer, sur les principaux problèmes, les principaux ouvrages, je ne prétends à rien de plus.</w:t>
      </w:r>
    </w:p>
    <w:p w14:paraId="2104987B" w14:textId="77777777" w:rsidR="00B9662D" w:rsidRPr="00246AE4" w:rsidRDefault="00B9662D" w:rsidP="00B9662D">
      <w:pPr>
        <w:spacing w:before="120" w:after="120"/>
        <w:jc w:val="both"/>
      </w:pPr>
      <w:r>
        <w:br w:type="page"/>
      </w:r>
    </w:p>
    <w:p w14:paraId="485A732F" w14:textId="77777777" w:rsidR="00B9662D" w:rsidRPr="00246AE4" w:rsidRDefault="00B9662D" w:rsidP="00B9662D">
      <w:pPr>
        <w:pStyle w:val="b"/>
      </w:pPr>
      <w:r w:rsidRPr="00246AE4">
        <w:t xml:space="preserve">1. </w:t>
      </w:r>
      <w:r w:rsidRPr="00246AE4">
        <w:rPr>
          <w:lang w:eastAsia="fr-FR" w:bidi="fr-FR"/>
        </w:rPr>
        <w:t>Les Sociétés locales</w:t>
      </w:r>
      <w:r>
        <w:rPr>
          <w:lang w:eastAsia="fr-FR" w:bidi="fr-FR"/>
        </w:rPr>
        <w:t> </w:t>
      </w:r>
      <w:r w:rsidRPr="003301CB">
        <w:rPr>
          <w:rStyle w:val="Appelnotedebasdep"/>
          <w:i w:val="0"/>
        </w:rPr>
        <w:footnoteReference w:id="469"/>
      </w:r>
      <w:r w:rsidRPr="003301CB">
        <w:rPr>
          <w:vertAlign w:val="superscript"/>
        </w:rPr>
        <w:t xml:space="preserve"> </w:t>
      </w:r>
    </w:p>
    <w:p w14:paraId="5101BD5F" w14:textId="77777777" w:rsidR="00B9662D" w:rsidRDefault="00B9662D" w:rsidP="00B9662D">
      <w:pPr>
        <w:spacing w:before="120" w:after="120"/>
        <w:jc w:val="both"/>
        <w:rPr>
          <w:color w:val="000000"/>
          <w:lang w:eastAsia="fr-FR" w:bidi="fr-FR"/>
        </w:rPr>
      </w:pPr>
    </w:p>
    <w:p w14:paraId="4ACAC38C" w14:textId="77777777" w:rsidR="00B9662D" w:rsidRPr="00246AE4" w:rsidRDefault="00B9662D" w:rsidP="00B9662D">
      <w:pPr>
        <w:spacing w:before="120" w:after="120"/>
        <w:jc w:val="both"/>
      </w:pPr>
      <w:r w:rsidRPr="00246AE4">
        <w:rPr>
          <w:color w:val="000000"/>
          <w:lang w:eastAsia="fr-FR" w:bidi="fr-FR"/>
        </w:rPr>
        <w:t xml:space="preserve">Aux </w:t>
      </w:r>
      <w:r w:rsidRPr="009778F9">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et </w:t>
      </w:r>
      <w:r w:rsidRPr="009778F9">
        <w:rPr>
          <w:caps/>
          <w:color w:val="000000"/>
          <w:lang w:eastAsia="fr-FR" w:bidi="fr-FR"/>
        </w:rPr>
        <w:t>xx</w:t>
      </w:r>
      <w:r w:rsidRPr="00246AE4">
        <w:rPr>
          <w:color w:val="000000"/>
          <w:vertAlign w:val="superscript"/>
          <w:lang w:eastAsia="fr-FR" w:bidi="fr-FR"/>
        </w:rPr>
        <w:t>e</w:t>
      </w:r>
      <w:r w:rsidRPr="00246AE4">
        <w:rPr>
          <w:color w:val="000000"/>
          <w:lang w:eastAsia="fr-FR" w:bidi="fr-FR"/>
        </w:rPr>
        <w:t xml:space="preserve"> siècles, les hommes qui s’intéressaient au passé de l’</w:t>
      </w:r>
      <w:r>
        <w:rPr>
          <w:color w:val="000000"/>
          <w:lang w:eastAsia="fr-FR" w:bidi="fr-FR"/>
        </w:rPr>
        <w:t>Î</w:t>
      </w:r>
      <w:r w:rsidRPr="00246AE4">
        <w:rPr>
          <w:color w:val="000000"/>
          <w:lang w:eastAsia="fr-FR" w:bidi="fr-FR"/>
        </w:rPr>
        <w:t>le-de-France ou des d</w:t>
      </w:r>
      <w:r>
        <w:rPr>
          <w:color w:val="000000"/>
          <w:lang w:eastAsia="fr-FR" w:bidi="fr-FR"/>
        </w:rPr>
        <w:t>ifférents pays qui composent l’Î</w:t>
      </w:r>
      <w:r w:rsidRPr="00246AE4">
        <w:rPr>
          <w:color w:val="000000"/>
          <w:lang w:eastAsia="fr-FR" w:bidi="fr-FR"/>
        </w:rPr>
        <w:t>le-de-France ont formé des sociétés d’étude. Dans l’histoire de ces sociétés, que je vais esquisser, se reflète, comme dans un miroir étroit mais f</w:t>
      </w:r>
      <w:r w:rsidRPr="00246AE4">
        <w:rPr>
          <w:color w:val="000000"/>
          <w:lang w:eastAsia="fr-FR" w:bidi="fr-FR"/>
        </w:rPr>
        <w:t>i</w:t>
      </w:r>
      <w:r w:rsidRPr="00246AE4">
        <w:rPr>
          <w:color w:val="000000"/>
          <w:lang w:eastAsia="fr-FR" w:bidi="fr-FR"/>
        </w:rPr>
        <w:t>dèle, l’histoire générale des recherches historiques en France.</w:t>
      </w:r>
    </w:p>
    <w:p w14:paraId="5FBCAA20" w14:textId="77777777" w:rsidR="00B9662D" w:rsidRPr="00246AE4" w:rsidRDefault="00B9662D" w:rsidP="00B9662D">
      <w:pPr>
        <w:spacing w:before="120" w:after="120"/>
        <w:jc w:val="both"/>
      </w:pPr>
      <w:r w:rsidRPr="00246AE4">
        <w:rPr>
          <w:color w:val="000000"/>
          <w:lang w:eastAsia="fr-FR" w:bidi="fr-FR"/>
        </w:rPr>
        <w:t>Les sociétés d’agriculture, dont la plupart se rattachent, par une f</w:t>
      </w:r>
      <w:r w:rsidRPr="00246AE4">
        <w:rPr>
          <w:color w:val="000000"/>
          <w:lang w:eastAsia="fr-FR" w:bidi="fr-FR"/>
        </w:rPr>
        <w:t>i</w:t>
      </w:r>
      <w:r w:rsidRPr="00246AE4">
        <w:rPr>
          <w:color w:val="000000"/>
          <w:lang w:eastAsia="fr-FR" w:bidi="fr-FR"/>
        </w:rPr>
        <w:t>liation plus ou moins directe, aux groupements qui naquirent du mo</w:t>
      </w:r>
      <w:r w:rsidRPr="00246AE4">
        <w:rPr>
          <w:color w:val="000000"/>
          <w:lang w:eastAsia="fr-FR" w:bidi="fr-FR"/>
        </w:rPr>
        <w:t>u</w:t>
      </w:r>
      <w:r w:rsidRPr="00246AE4">
        <w:rPr>
          <w:color w:val="000000"/>
          <w:lang w:eastAsia="fr-FR" w:bidi="fr-FR"/>
        </w:rPr>
        <w:t xml:space="preserve">vement physiocratique, furent, au </w:t>
      </w:r>
      <w:r w:rsidRPr="009778F9">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le premier asile des érudits. Elles ont toujours tenu à honneur d’accueillir dans leurs p</w:t>
      </w:r>
      <w:r w:rsidRPr="00246AE4">
        <w:rPr>
          <w:color w:val="000000"/>
          <w:lang w:eastAsia="fr-FR" w:bidi="fr-FR"/>
        </w:rPr>
        <w:t>u</w:t>
      </w:r>
      <w:r w:rsidRPr="00246AE4">
        <w:rPr>
          <w:color w:val="000000"/>
          <w:lang w:eastAsia="fr-FR" w:bidi="fr-FR"/>
        </w:rPr>
        <w:t>blications des essais littéraires, et, accessoirement, des travaux hist</w:t>
      </w:r>
      <w:r w:rsidRPr="00246AE4">
        <w:rPr>
          <w:color w:val="000000"/>
          <w:lang w:eastAsia="fr-FR" w:bidi="fr-FR"/>
        </w:rPr>
        <w:t>o</w:t>
      </w:r>
      <w:r w:rsidRPr="00246AE4">
        <w:rPr>
          <w:color w:val="000000"/>
          <w:lang w:eastAsia="fr-FR" w:bidi="fr-FR"/>
        </w:rPr>
        <w:lastRenderedPageBreak/>
        <w:t>riques. Mais dans le mouvement des études qui nous concernent ici, leur rôle ne fut jamais</w:t>
      </w:r>
      <w:r>
        <w:t xml:space="preserve"> [726] </w:t>
      </w:r>
      <w:r w:rsidRPr="00246AE4">
        <w:rPr>
          <w:color w:val="000000"/>
          <w:lang w:eastAsia="fr-FR" w:bidi="fr-FR"/>
        </w:rPr>
        <w:t>bien important. Les historiens se sont, de bonne heure, assemblés dans des sociétés savantes proprement dites.</w:t>
      </w:r>
    </w:p>
    <w:p w14:paraId="63D7666A" w14:textId="77777777" w:rsidR="00B9662D" w:rsidRPr="00246AE4" w:rsidRDefault="00B9662D" w:rsidP="00B9662D">
      <w:pPr>
        <w:spacing w:before="120" w:after="120"/>
        <w:jc w:val="both"/>
      </w:pPr>
      <w:r w:rsidRPr="00246AE4">
        <w:rPr>
          <w:color w:val="000000"/>
          <w:lang w:eastAsia="fr-FR" w:bidi="fr-FR"/>
        </w:rPr>
        <w:t>Les premières des sociétés ainsi créées ne se proposaient pas pour but unique, ni même pour but essentiel l’étude de l’histoire ou de l’archéologie locale. Elles réunissaient toutes les personnes qui, dans une ville ou une région, s’occupaient de littérature, d’art, de philos</w:t>
      </w:r>
      <w:r w:rsidRPr="00246AE4">
        <w:rPr>
          <w:color w:val="000000"/>
          <w:lang w:eastAsia="fr-FR" w:bidi="fr-FR"/>
        </w:rPr>
        <w:t>o</w:t>
      </w:r>
      <w:r w:rsidRPr="00246AE4">
        <w:rPr>
          <w:color w:val="000000"/>
          <w:lang w:eastAsia="fr-FR" w:bidi="fr-FR"/>
        </w:rPr>
        <w:t xml:space="preserve">phie, aussi bien que d’histoire, elles constituaient au sens exact du mot des « académies » provinciales. Le préambule du règlement que se donna la </w:t>
      </w:r>
      <w:r w:rsidRPr="001909CF">
        <w:rPr>
          <w:i/>
        </w:rPr>
        <w:t>Société des Sciences, des Lettres et des Arts de Seine-et-Oise</w:t>
      </w:r>
      <w:r w:rsidRPr="00246AE4">
        <w:t>,</w:t>
      </w:r>
      <w:r w:rsidRPr="00246AE4">
        <w:rPr>
          <w:color w:val="000000"/>
          <w:lang w:eastAsia="fr-FR" w:bidi="fr-FR"/>
        </w:rPr>
        <w:t xml:space="preserve"> fondée en 1834, est bien caractéristique. « Outre le besoin des connaissances purement scientifiques les esprits éprouvent celui d’une culture morale ; ce besoin doit être satisfait ; la pensée de la Société est là tout entière. Élever l’âme, seconder le jugement, en appliquant à des questions ou à des époques spéciales les principes de la philos</w:t>
      </w:r>
      <w:r w:rsidRPr="00246AE4">
        <w:rPr>
          <w:color w:val="000000"/>
          <w:lang w:eastAsia="fr-FR" w:bidi="fr-FR"/>
        </w:rPr>
        <w:t>o</w:t>
      </w:r>
      <w:r w:rsidRPr="00246AE4">
        <w:rPr>
          <w:color w:val="000000"/>
          <w:lang w:eastAsia="fr-FR" w:bidi="fr-FR"/>
        </w:rPr>
        <w:t xml:space="preserve">phie pure, de la morale, de la législation, de la littérature et des beaux-arts, les enseignements positifs de la statistique, de l’archéologie et de l’histoire : telle est sa loi ». De fait les </w:t>
      </w:r>
      <w:r w:rsidRPr="00B90A21">
        <w:rPr>
          <w:i/>
        </w:rPr>
        <w:t>Archives scientifiques, littéra</w:t>
      </w:r>
      <w:r w:rsidRPr="00B90A21">
        <w:rPr>
          <w:i/>
        </w:rPr>
        <w:t>i</w:t>
      </w:r>
      <w:r w:rsidRPr="00B90A21">
        <w:rPr>
          <w:i/>
        </w:rPr>
        <w:t>res et industrielles</w:t>
      </w:r>
      <w:r w:rsidRPr="00246AE4">
        <w:rPr>
          <w:color w:val="000000"/>
          <w:lang w:eastAsia="fr-FR" w:bidi="fr-FR"/>
        </w:rPr>
        <w:t xml:space="preserve"> que cette société fit paraître de 1834 à 1837 contiennent un </w:t>
      </w:r>
      <w:r w:rsidRPr="00B90A21">
        <w:rPr>
          <w:i/>
        </w:rPr>
        <w:t>Cours Général de Littérature</w:t>
      </w:r>
      <w:r w:rsidRPr="00246AE4">
        <w:t>.</w:t>
      </w:r>
      <w:r w:rsidRPr="00246AE4">
        <w:rPr>
          <w:color w:val="000000"/>
          <w:lang w:eastAsia="fr-FR" w:bidi="fr-FR"/>
        </w:rPr>
        <w:t xml:space="preserve"> Ses </w:t>
      </w:r>
      <w:r w:rsidRPr="00B90A21">
        <w:rPr>
          <w:i/>
        </w:rPr>
        <w:t>Mémoires</w:t>
      </w:r>
      <w:r w:rsidRPr="00246AE4">
        <w:rPr>
          <w:color w:val="000000"/>
          <w:lang w:eastAsia="fr-FR" w:bidi="fr-FR"/>
        </w:rPr>
        <w:t xml:space="preserve"> dont le premier volume porte pour date : 1847, s’ouvrent par une traduction d’Horace, en vers naturellement</w:t>
      </w:r>
      <w:r>
        <w:rPr>
          <w:color w:val="000000"/>
          <w:lang w:eastAsia="fr-FR" w:bidi="fr-FR"/>
        </w:rPr>
        <w:t> </w:t>
      </w:r>
      <w:r>
        <w:rPr>
          <w:rStyle w:val="Appelnotedebasdep"/>
        </w:rPr>
        <w:footnoteReference w:id="470"/>
      </w:r>
      <w:r w:rsidRPr="00246AE4">
        <w:rPr>
          <w:color w:val="000000"/>
          <w:lang w:eastAsia="fr-FR" w:bidi="fr-FR"/>
        </w:rPr>
        <w:t>. Aussi bien, même parmi les soci</w:t>
      </w:r>
      <w:r w:rsidRPr="00246AE4">
        <w:rPr>
          <w:color w:val="000000"/>
          <w:lang w:eastAsia="fr-FR" w:bidi="fr-FR"/>
        </w:rPr>
        <w:t>é</w:t>
      </w:r>
      <w:r w:rsidRPr="00246AE4">
        <w:rPr>
          <w:color w:val="000000"/>
          <w:lang w:eastAsia="fr-FR" w:bidi="fr-FR"/>
        </w:rPr>
        <w:t>tés locales qu’inspira dès l’origine le souci d’aider au progrès des ét</w:t>
      </w:r>
      <w:r w:rsidRPr="00246AE4">
        <w:rPr>
          <w:color w:val="000000"/>
          <w:lang w:eastAsia="fr-FR" w:bidi="fr-FR"/>
        </w:rPr>
        <w:t>u</w:t>
      </w:r>
      <w:r w:rsidRPr="00246AE4">
        <w:rPr>
          <w:color w:val="000000"/>
          <w:lang w:eastAsia="fr-FR" w:bidi="fr-FR"/>
        </w:rPr>
        <w:t>des historiques, il n’en est guère dont les publications se soient rigo</w:t>
      </w:r>
      <w:r w:rsidRPr="00246AE4">
        <w:rPr>
          <w:color w:val="000000"/>
          <w:lang w:eastAsia="fr-FR" w:bidi="fr-FR"/>
        </w:rPr>
        <w:t>u</w:t>
      </w:r>
      <w:r w:rsidRPr="00246AE4">
        <w:rPr>
          <w:color w:val="000000"/>
          <w:lang w:eastAsia="fr-FR" w:bidi="fr-FR"/>
        </w:rPr>
        <w:t xml:space="preserve">reusement fermées à la littérature. Les personnes que leurs recherches ont amenées à dépouiller un grand nombre de publications de cette espèce sont sans doute seules à savoir de quelles séductions la fable, genre littéraire qu’on eût pu croire défunt depuis bien des années, s’est longtemps parée aux yeux des poètes provinciaux. Mais toutes ces sociétés, et, en particulier, la </w:t>
      </w:r>
      <w:r w:rsidRPr="00B90A21">
        <w:rPr>
          <w:i/>
        </w:rPr>
        <w:t>Société des Sciences, des Lettres et des Arts de Seine-et-Oise</w:t>
      </w:r>
      <w:r w:rsidRPr="00246AE4">
        <w:t xml:space="preserve"> </w:t>
      </w:r>
      <w:r w:rsidRPr="00246AE4">
        <w:rPr>
          <w:color w:val="000000"/>
          <w:lang w:eastAsia="fr-FR" w:bidi="fr-FR"/>
        </w:rPr>
        <w:t>ont fait, dans leurs travaux, au passé régional, une part de plus en plus considérable, jusqu’à devenir bien vite pr</w:t>
      </w:r>
      <w:r w:rsidRPr="00246AE4">
        <w:rPr>
          <w:color w:val="000000"/>
          <w:lang w:eastAsia="fr-FR" w:bidi="fr-FR"/>
        </w:rPr>
        <w:t>é</w:t>
      </w:r>
      <w:r w:rsidRPr="00246AE4">
        <w:rPr>
          <w:color w:val="000000"/>
          <w:lang w:eastAsia="fr-FR" w:bidi="fr-FR"/>
        </w:rPr>
        <w:t>pondérante.</w:t>
      </w:r>
    </w:p>
    <w:p w14:paraId="5980D3B6" w14:textId="77777777" w:rsidR="00B9662D" w:rsidRPr="00246AE4" w:rsidRDefault="00B9662D" w:rsidP="00B9662D">
      <w:pPr>
        <w:spacing w:before="120" w:after="120"/>
        <w:jc w:val="both"/>
      </w:pPr>
      <w:r w:rsidRPr="00246AE4">
        <w:rPr>
          <w:color w:val="000000"/>
          <w:lang w:eastAsia="fr-FR" w:bidi="fr-FR"/>
        </w:rPr>
        <w:lastRenderedPageBreak/>
        <w:t xml:space="preserve">En 1836 fut fondée à Rambouillet une société qui prit le nom de </w:t>
      </w:r>
      <w:r w:rsidRPr="00B90A21">
        <w:rPr>
          <w:i/>
        </w:rPr>
        <w:t>Société Archéologique de Rambouillet </w:t>
      </w:r>
      <w:r>
        <w:rPr>
          <w:rStyle w:val="Appelnotedebasdep"/>
        </w:rPr>
        <w:footnoteReference w:id="471"/>
      </w:r>
      <w:r w:rsidRPr="00246AE4">
        <w:t>.</w:t>
      </w:r>
      <w:r w:rsidRPr="00246AE4">
        <w:rPr>
          <w:color w:val="000000"/>
          <w:lang w:eastAsia="fr-FR" w:bidi="fr-FR"/>
        </w:rPr>
        <w:t xml:space="preserve"> </w:t>
      </w:r>
      <w:r>
        <w:rPr>
          <w:color w:val="000000"/>
          <w:lang w:eastAsia="fr-FR" w:bidi="fr-FR"/>
        </w:rPr>
        <w:t>À</w:t>
      </w:r>
      <w:r w:rsidRPr="00246AE4">
        <w:rPr>
          <w:color w:val="000000"/>
          <w:lang w:eastAsia="fr-FR" w:bidi="fr-FR"/>
        </w:rPr>
        <w:t xml:space="preserve"> son origine, elle ne compta que neuf membres. Elle eût sans doute rapidement périclité sans le zèle d’un excellent érudit, M. Moutié, et sans les libéralités dont elle fut à plusieurs reprises l’objet de la part du duc de Luynes. Pendant dix ans, la jeune société dut borner son activité à faire insérer dans les journaux locaux des articles sur les monuments de la région. Le titre même qu’elle s’était donné prouve que l’étude des monuments tenait le premier rang dans les préoccupations de ses fondateurs ; ou plutôt il s’agissait moins encore d’en entreprendre l’étude que d’en assurer la conservation. On sait de quels outrages le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la période révolutionnaire, la Restauration s’étaient rendus coupables envers les souvenirs du Moyen </w:t>
      </w:r>
      <w:r>
        <w:rPr>
          <w:color w:val="000000"/>
          <w:lang w:eastAsia="fr-FR" w:bidi="fr-FR"/>
        </w:rPr>
        <w:t>Â</w:t>
      </w:r>
      <w:r w:rsidRPr="00246AE4">
        <w:rPr>
          <w:color w:val="000000"/>
          <w:lang w:eastAsia="fr-FR" w:bidi="fr-FR"/>
        </w:rPr>
        <w:t>ge. Le souci de prévenir le retour de pareils a</w:t>
      </w:r>
      <w:r w:rsidRPr="00246AE4">
        <w:rPr>
          <w:color w:val="000000"/>
          <w:lang w:eastAsia="fr-FR" w:bidi="fr-FR"/>
        </w:rPr>
        <w:t>c</w:t>
      </w:r>
      <w:r w:rsidRPr="00246AE4">
        <w:rPr>
          <w:color w:val="000000"/>
          <w:lang w:eastAsia="fr-FR" w:bidi="fr-FR"/>
        </w:rPr>
        <w:t>tes de barbarie occupait, à l’époque où</w:t>
      </w:r>
      <w:r>
        <w:t xml:space="preserve"> [727] </w:t>
      </w:r>
      <w:r w:rsidRPr="00246AE4">
        <w:rPr>
          <w:color w:val="000000"/>
          <w:lang w:eastAsia="fr-FR" w:bidi="fr-FR"/>
        </w:rPr>
        <w:t xml:space="preserve">se fonda la société de Rambouillet, tous ceux qu’intéressaient les antiquités nationales. Il se traduit dans les programmes de tous les groupes que nous allons voir se former. En 1846 la </w:t>
      </w:r>
      <w:r w:rsidRPr="00E75783">
        <w:rPr>
          <w:i/>
        </w:rPr>
        <w:t>Société Archéol</w:t>
      </w:r>
      <w:r w:rsidRPr="00E75783">
        <w:rPr>
          <w:i/>
        </w:rPr>
        <w:t>o</w:t>
      </w:r>
      <w:r w:rsidRPr="00E75783">
        <w:rPr>
          <w:i/>
        </w:rPr>
        <w:t>gique de Rambouillet</w:t>
      </w:r>
      <w:r w:rsidRPr="00246AE4">
        <w:rPr>
          <w:color w:val="000000"/>
          <w:lang w:eastAsia="fr-FR" w:bidi="fr-FR"/>
        </w:rPr>
        <w:t xml:space="preserve"> put commencer, par un recueil de textes, la s</w:t>
      </w:r>
      <w:r w:rsidRPr="00246AE4">
        <w:rPr>
          <w:color w:val="000000"/>
          <w:lang w:eastAsia="fr-FR" w:bidi="fr-FR"/>
        </w:rPr>
        <w:t>é</w:t>
      </w:r>
      <w:r w:rsidRPr="00246AE4">
        <w:rPr>
          <w:color w:val="000000"/>
          <w:lang w:eastAsia="fr-FR" w:bidi="fr-FR"/>
        </w:rPr>
        <w:t>rie, la longue série de ses publications, qui ont porté sur l’histoire pr</w:t>
      </w:r>
      <w:r w:rsidRPr="00246AE4">
        <w:rPr>
          <w:color w:val="000000"/>
          <w:lang w:eastAsia="fr-FR" w:bidi="fr-FR"/>
        </w:rPr>
        <w:t>o</w:t>
      </w:r>
      <w:r w:rsidRPr="00246AE4">
        <w:rPr>
          <w:color w:val="000000"/>
          <w:lang w:eastAsia="fr-FR" w:bidi="fr-FR"/>
        </w:rPr>
        <w:t>prement dite autant que sur l’archéo</w:t>
      </w:r>
      <w:r>
        <w:rPr>
          <w:color w:val="000000"/>
          <w:lang w:eastAsia="fr-FR" w:bidi="fr-FR"/>
        </w:rPr>
        <w:t>logie, et que l’historien de l’Î</w:t>
      </w:r>
      <w:r w:rsidRPr="00246AE4">
        <w:rPr>
          <w:color w:val="000000"/>
          <w:lang w:eastAsia="fr-FR" w:bidi="fr-FR"/>
        </w:rPr>
        <w:t>le-de-France a souvent l’occasion de consulter</w:t>
      </w:r>
      <w:r>
        <w:rPr>
          <w:color w:val="000000"/>
          <w:lang w:eastAsia="fr-FR" w:bidi="fr-FR"/>
        </w:rPr>
        <w:t> </w:t>
      </w:r>
      <w:r>
        <w:rPr>
          <w:rStyle w:val="Appelnotedebasdep"/>
        </w:rPr>
        <w:footnoteReference w:id="472"/>
      </w:r>
      <w:r w:rsidRPr="00246AE4">
        <w:rPr>
          <w:color w:val="000000"/>
          <w:lang w:eastAsia="fr-FR" w:bidi="fr-FR"/>
        </w:rPr>
        <w:t>.</w:t>
      </w:r>
    </w:p>
    <w:p w14:paraId="3E46D9D7" w14:textId="77777777" w:rsidR="00B9662D" w:rsidRPr="00246AE4" w:rsidRDefault="00B9662D" w:rsidP="00B9662D">
      <w:pPr>
        <w:spacing w:before="120" w:after="120"/>
        <w:jc w:val="both"/>
      </w:pPr>
      <w:r w:rsidRPr="00246AE4">
        <w:rPr>
          <w:color w:val="000000"/>
          <w:lang w:eastAsia="fr-FR" w:bidi="fr-FR"/>
        </w:rPr>
        <w:t xml:space="preserve">La </w:t>
      </w:r>
      <w:r w:rsidRPr="00E75783">
        <w:rPr>
          <w:i/>
        </w:rPr>
        <w:t>Société Archéologique d'Eure-et-Loir</w:t>
      </w:r>
      <w:r w:rsidRPr="00246AE4">
        <w:rPr>
          <w:color w:val="000000"/>
          <w:lang w:eastAsia="fr-FR" w:bidi="fr-FR"/>
        </w:rPr>
        <w:t xml:space="preserve"> doit son existence au zèle prosélytique d’Arcisse de Caumont, qui fut un des apôtres les plus ardents de l’archéologie nationale et un grand fondateur de sociétés savantes. Le 16 mai 1856 Caumont fit une conférence à l’Hôtel de Ville de Chartres. </w:t>
      </w:r>
      <w:r>
        <w:rPr>
          <w:color w:val="000000"/>
          <w:lang w:eastAsia="fr-FR" w:bidi="fr-FR"/>
        </w:rPr>
        <w:t>À</w:t>
      </w:r>
      <w:r w:rsidRPr="00246AE4">
        <w:rPr>
          <w:color w:val="000000"/>
          <w:lang w:eastAsia="fr-FR" w:bidi="fr-FR"/>
        </w:rPr>
        <w:t xml:space="preserve"> l’issue de cette conférence, quelques Chartrains fondèrent une </w:t>
      </w:r>
      <w:r w:rsidRPr="00E75783">
        <w:rPr>
          <w:i/>
        </w:rPr>
        <w:t>Commission chargée de l'étude et de la conservation des monuments anciens du département</w:t>
      </w:r>
      <w:r w:rsidRPr="00246AE4">
        <w:rPr>
          <w:color w:val="000000"/>
          <w:lang w:eastAsia="fr-FR" w:bidi="fr-FR"/>
        </w:rPr>
        <w:t xml:space="preserve">, qui, quelques jours plus tard, se transformait en </w:t>
      </w:r>
      <w:r w:rsidRPr="00E75783">
        <w:rPr>
          <w:i/>
        </w:rPr>
        <w:t>Société Archéologique</w:t>
      </w:r>
      <w:r w:rsidRPr="00246AE4">
        <w:t>,</w:t>
      </w:r>
      <w:r w:rsidRPr="00246AE4">
        <w:rPr>
          <w:color w:val="000000"/>
          <w:lang w:eastAsia="fr-FR" w:bidi="fr-FR"/>
        </w:rPr>
        <w:t xml:space="preserve"> et, élargissant alors son programme, déclarait vouloir s’occuper « de tout ce qui a existé avant 1789 dans les anciennes provinces qui forment aujourd’hui le dépa</w:t>
      </w:r>
      <w:r w:rsidRPr="00246AE4">
        <w:rPr>
          <w:color w:val="000000"/>
          <w:lang w:eastAsia="fr-FR" w:bidi="fr-FR"/>
        </w:rPr>
        <w:t>r</w:t>
      </w:r>
      <w:r w:rsidRPr="00246AE4">
        <w:rPr>
          <w:color w:val="000000"/>
          <w:lang w:eastAsia="fr-FR" w:bidi="fr-FR"/>
        </w:rPr>
        <w:lastRenderedPageBreak/>
        <w:t>tement d’Eure-et-Loir »</w:t>
      </w:r>
      <w:r>
        <w:rPr>
          <w:color w:val="000000"/>
          <w:lang w:eastAsia="fr-FR" w:bidi="fr-FR"/>
        </w:rPr>
        <w:t> </w:t>
      </w:r>
      <w:r>
        <w:rPr>
          <w:rStyle w:val="Appelnotedebasdep"/>
        </w:rPr>
        <w:footnoteReference w:id="473"/>
      </w:r>
      <w:r w:rsidRPr="00246AE4">
        <w:rPr>
          <w:color w:val="000000"/>
          <w:lang w:eastAsia="fr-FR" w:bidi="fr-FR"/>
        </w:rPr>
        <w:t xml:space="preserve">. La </w:t>
      </w:r>
      <w:r w:rsidRPr="00246AE4">
        <w:t>Société Archéologique d'Eure-et-Loir</w:t>
      </w:r>
      <w:r w:rsidRPr="00246AE4">
        <w:rPr>
          <w:color w:val="000000"/>
          <w:lang w:eastAsia="fr-FR" w:bidi="fr-FR"/>
        </w:rPr>
        <w:t xml:space="preserve"> a poursuivi, depuis ce jour, une carrière paisible et laborieuse</w:t>
      </w:r>
      <w:r>
        <w:rPr>
          <w:color w:val="000000"/>
          <w:lang w:eastAsia="fr-FR" w:bidi="fr-FR"/>
        </w:rPr>
        <w:t> </w:t>
      </w:r>
      <w:r>
        <w:rPr>
          <w:rStyle w:val="Appelnotedebasdep"/>
        </w:rPr>
        <w:footnoteReference w:id="474"/>
      </w:r>
      <w:r w:rsidRPr="00246AE4">
        <w:rPr>
          <w:color w:val="000000"/>
          <w:lang w:eastAsia="fr-FR" w:bidi="fr-FR"/>
        </w:rPr>
        <w:t>.</w:t>
      </w:r>
    </w:p>
    <w:p w14:paraId="3F1FD616" w14:textId="77777777" w:rsidR="00B9662D" w:rsidRPr="00246AE4" w:rsidRDefault="00B9662D" w:rsidP="00B9662D">
      <w:pPr>
        <w:spacing w:before="120" w:after="120"/>
        <w:jc w:val="both"/>
      </w:pPr>
      <w:r w:rsidRPr="00246AE4">
        <w:rPr>
          <w:color w:val="000000"/>
          <w:lang w:eastAsia="fr-FR" w:bidi="fr-FR"/>
        </w:rPr>
        <w:t xml:space="preserve">En 1864 se fonda à Châteaudun la </w:t>
      </w:r>
      <w:r w:rsidRPr="00E75783">
        <w:rPr>
          <w:i/>
        </w:rPr>
        <w:t>Société Dunoise</w:t>
      </w:r>
      <w:r w:rsidRPr="00246AE4">
        <w:rPr>
          <w:color w:val="000000"/>
          <w:lang w:eastAsia="fr-FR" w:bidi="fr-FR"/>
        </w:rPr>
        <w:t xml:space="preserve"> qui, à l’origine, se proposait simplement de constituer un musée archéologique, mais ne tarda guère à étendre son activité à l’étude de l’histoire du Dunois. La même année la </w:t>
      </w:r>
      <w:r w:rsidRPr="00E75783">
        <w:rPr>
          <w:i/>
        </w:rPr>
        <w:t>Société d'Archéologie, Sciences, Lettres et Arts de Seine-et-Marne</w:t>
      </w:r>
      <w:r w:rsidRPr="00246AE4">
        <w:rPr>
          <w:color w:val="000000"/>
          <w:lang w:eastAsia="fr-FR" w:bidi="fr-FR"/>
        </w:rPr>
        <w:t xml:space="preserve"> dont le programme tient à la fois de celui de la </w:t>
      </w:r>
      <w:r w:rsidRPr="00E75783">
        <w:rPr>
          <w:i/>
        </w:rPr>
        <w:t>Société des Sciences, Lettres et Arts de Seine-et-Oise</w:t>
      </w:r>
      <w:r w:rsidRPr="00246AE4">
        <w:rPr>
          <w:color w:val="000000"/>
          <w:lang w:eastAsia="fr-FR" w:bidi="fr-FR"/>
        </w:rPr>
        <w:t xml:space="preserve"> et des programmes des sociétés proprement historiques et archéologiques, commençait une existence que devaient interrompre de longs sommeils.</w:t>
      </w:r>
    </w:p>
    <w:p w14:paraId="4364E0AF" w14:textId="77777777" w:rsidR="00B9662D" w:rsidRPr="00246AE4" w:rsidRDefault="00B9662D" w:rsidP="00B9662D">
      <w:pPr>
        <w:spacing w:before="120" w:after="120"/>
        <w:jc w:val="both"/>
      </w:pPr>
      <w:r w:rsidRPr="00246AE4">
        <w:rPr>
          <w:color w:val="000000"/>
          <w:lang w:eastAsia="fr-FR" w:bidi="fr-FR"/>
        </w:rPr>
        <w:t>Les dernières années du Second Empire et celles qui suivirent la guerre de 1870 ont été marquées, en France, par une vraie renaissance des études historiques. Beaucoup de bons esprits se tournèrent alors vers les recherches d’érudition, considérées désormais comme le fo</w:t>
      </w:r>
      <w:r w:rsidRPr="00246AE4">
        <w:rPr>
          <w:color w:val="000000"/>
          <w:lang w:eastAsia="fr-FR" w:bidi="fr-FR"/>
        </w:rPr>
        <w:t>n</w:t>
      </w:r>
      <w:r w:rsidRPr="00246AE4">
        <w:rPr>
          <w:color w:val="000000"/>
          <w:lang w:eastAsia="fr-FR" w:bidi="fr-FR"/>
        </w:rPr>
        <w:t xml:space="preserve">dement nécessaire de l’histoire. C’est de ce mouvement que naquit la plus considérable des sociétés que nous ayons à signaler, la </w:t>
      </w:r>
      <w:r w:rsidRPr="00E75783">
        <w:rPr>
          <w:i/>
        </w:rPr>
        <w:t>Société de l'Histoire de Paris et de l’Île-de-France</w:t>
      </w:r>
      <w:r w:rsidRPr="00246AE4">
        <w:t>,</w:t>
      </w:r>
      <w:r w:rsidRPr="00246AE4">
        <w:rPr>
          <w:color w:val="000000"/>
          <w:lang w:eastAsia="fr-FR" w:bidi="fr-FR"/>
        </w:rPr>
        <w:t xml:space="preserve"> qui se constitua en 1874. Dans la liste de ses fondateurs, on relève les noms d’hommes qui se trouvaient, ou allaient bientôt se trouver au nombre des plus grands savants de l’époque ; je ne citerai que les disparus : Léopold Delisle, Giry, Longnon, Gabriel Monod. La société s’est occupée avec préd</w:t>
      </w:r>
      <w:r w:rsidRPr="00246AE4">
        <w:rPr>
          <w:color w:val="000000"/>
          <w:lang w:eastAsia="fr-FR" w:bidi="fr-FR"/>
        </w:rPr>
        <w:t>i</w:t>
      </w:r>
      <w:r w:rsidRPr="00246AE4">
        <w:rPr>
          <w:color w:val="000000"/>
          <w:lang w:eastAsia="fr-FR" w:bidi="fr-FR"/>
        </w:rPr>
        <w:t xml:space="preserve">lection de l’histoire de la ville de Paris, mais elle a toujours fait place, dans ses </w:t>
      </w:r>
      <w:r>
        <w:rPr>
          <w:color w:val="000000"/>
          <w:lang w:eastAsia="fr-FR" w:bidi="fr-FR"/>
        </w:rPr>
        <w:t>travaux, à l’histoire de l’Île-</w:t>
      </w:r>
      <w:r w:rsidRPr="00246AE4">
        <w:rPr>
          <w:color w:val="000000"/>
          <w:lang w:eastAsia="fr-FR" w:bidi="fr-FR"/>
        </w:rPr>
        <w:t>de-France ; on a déjà vu qu’elle entend par « </w:t>
      </w:r>
      <w:r>
        <w:rPr>
          <w:color w:val="000000"/>
          <w:lang w:eastAsia="fr-FR" w:bidi="fr-FR"/>
        </w:rPr>
        <w:t>Île-de-France</w:t>
      </w:r>
      <w:r w:rsidRPr="00246AE4">
        <w:rPr>
          <w:color w:val="000000"/>
          <w:lang w:eastAsia="fr-FR" w:bidi="fr-FR"/>
        </w:rPr>
        <w:t> » le territoire de l’ancien gouvernement militaire de ce nom. Relativement riche, car elle recrute ses membres parmi les amateurs des antiquités parisiennes, qui sont nombreux, bien outillée pour le travail scientifique, parce qu’elle</w:t>
      </w:r>
      <w:r>
        <w:rPr>
          <w:color w:val="000000"/>
          <w:lang w:eastAsia="fr-FR" w:bidi="fr-FR"/>
        </w:rPr>
        <w:t xml:space="preserve"> </w:t>
      </w:r>
      <w:r>
        <w:t xml:space="preserve">[728] </w:t>
      </w:r>
      <w:r w:rsidRPr="00246AE4">
        <w:rPr>
          <w:color w:val="000000"/>
          <w:lang w:eastAsia="fr-FR" w:bidi="fr-FR"/>
        </w:rPr>
        <w:t xml:space="preserve">a son siège à Paris, centre d’études incomparable, la Société de l’Histoire de Paris </w:t>
      </w:r>
      <w:r w:rsidRPr="00246AE4">
        <w:rPr>
          <w:color w:val="000000"/>
          <w:lang w:eastAsia="fr-FR" w:bidi="fr-FR"/>
        </w:rPr>
        <w:lastRenderedPageBreak/>
        <w:t>et de l’</w:t>
      </w:r>
      <w:r>
        <w:rPr>
          <w:color w:val="000000"/>
          <w:lang w:eastAsia="fr-FR" w:bidi="fr-FR"/>
        </w:rPr>
        <w:t>Île-de-France</w:t>
      </w:r>
      <w:r w:rsidRPr="00246AE4">
        <w:rPr>
          <w:color w:val="000000"/>
          <w:lang w:eastAsia="fr-FR" w:bidi="fr-FR"/>
        </w:rPr>
        <w:t xml:space="preserve"> a rapidement acquis sur les sociétés historiques voisines une supériorité dont on ne saurait ni do</w:t>
      </w:r>
      <w:r w:rsidRPr="00246AE4">
        <w:rPr>
          <w:color w:val="000000"/>
          <w:lang w:eastAsia="fr-FR" w:bidi="fr-FR"/>
        </w:rPr>
        <w:t>u</w:t>
      </w:r>
      <w:r w:rsidRPr="00246AE4">
        <w:rPr>
          <w:color w:val="000000"/>
          <w:lang w:eastAsia="fr-FR" w:bidi="fr-FR"/>
        </w:rPr>
        <w:t>ter ni s’étonner</w:t>
      </w:r>
      <w:r>
        <w:rPr>
          <w:color w:val="000000"/>
          <w:lang w:eastAsia="fr-FR" w:bidi="fr-FR"/>
        </w:rPr>
        <w:t> </w:t>
      </w:r>
      <w:r>
        <w:rPr>
          <w:rStyle w:val="Appelnotedebasdep"/>
        </w:rPr>
        <w:footnoteReference w:id="475"/>
      </w:r>
      <w:r w:rsidRPr="00246AE4">
        <w:rPr>
          <w:color w:val="000000"/>
          <w:lang w:eastAsia="fr-FR" w:bidi="fr-FR"/>
        </w:rPr>
        <w:t>.</w:t>
      </w:r>
    </w:p>
    <w:p w14:paraId="100C797C" w14:textId="77777777" w:rsidR="00B9662D" w:rsidRPr="00246AE4" w:rsidRDefault="00B9662D" w:rsidP="00B9662D">
      <w:pPr>
        <w:spacing w:before="120" w:after="120"/>
        <w:jc w:val="both"/>
      </w:pPr>
      <w:r w:rsidRPr="00246AE4">
        <w:rPr>
          <w:color w:val="000000"/>
          <w:lang w:eastAsia="fr-FR" w:bidi="fr-FR"/>
        </w:rPr>
        <w:t>Le même renouveau des études historiques dont la fondation de la société parisienne fut un des signes les plus éclat</w:t>
      </w:r>
      <w:r>
        <w:rPr>
          <w:color w:val="000000"/>
          <w:lang w:eastAsia="fr-FR" w:bidi="fr-FR"/>
        </w:rPr>
        <w:t>ants amena la cré</w:t>
      </w:r>
      <w:r>
        <w:rPr>
          <w:color w:val="000000"/>
          <w:lang w:eastAsia="fr-FR" w:bidi="fr-FR"/>
        </w:rPr>
        <w:t>a</w:t>
      </w:r>
      <w:r>
        <w:rPr>
          <w:color w:val="000000"/>
          <w:lang w:eastAsia="fr-FR" w:bidi="fr-FR"/>
        </w:rPr>
        <w:t>tion, dans l’Î</w:t>
      </w:r>
      <w:r w:rsidRPr="00246AE4">
        <w:rPr>
          <w:color w:val="000000"/>
          <w:lang w:eastAsia="fr-FR" w:bidi="fr-FR"/>
        </w:rPr>
        <w:t xml:space="preserve">le-de-France, d’assez nombreuses sociétés savantes. Je ne citerai que les plus importantes : la </w:t>
      </w:r>
      <w:r w:rsidRPr="00E75783">
        <w:rPr>
          <w:i/>
        </w:rPr>
        <w:t>Société Historique et Archéolog</w:t>
      </w:r>
      <w:r w:rsidRPr="00E75783">
        <w:rPr>
          <w:i/>
        </w:rPr>
        <w:t>i</w:t>
      </w:r>
      <w:r w:rsidRPr="00E75783">
        <w:rPr>
          <w:i/>
        </w:rPr>
        <w:t>que de Pontoise et du Vexin</w:t>
      </w:r>
      <w:r w:rsidRPr="00246AE4">
        <w:t>,</w:t>
      </w:r>
      <w:r w:rsidRPr="00246AE4">
        <w:rPr>
          <w:color w:val="000000"/>
          <w:lang w:eastAsia="fr-FR" w:bidi="fr-FR"/>
        </w:rPr>
        <w:t xml:space="preserve"> née en 1877</w:t>
      </w:r>
      <w:r>
        <w:rPr>
          <w:color w:val="000000"/>
          <w:lang w:eastAsia="fr-FR" w:bidi="fr-FR"/>
        </w:rPr>
        <w:t> </w:t>
      </w:r>
      <w:r>
        <w:rPr>
          <w:rStyle w:val="Appelnotedebasdep"/>
        </w:rPr>
        <w:footnoteReference w:id="476"/>
      </w:r>
      <w:r w:rsidRPr="00246AE4">
        <w:rPr>
          <w:color w:val="000000"/>
          <w:lang w:eastAsia="fr-FR" w:bidi="fr-FR"/>
        </w:rPr>
        <w:t xml:space="preserve"> ; la </w:t>
      </w:r>
      <w:r w:rsidRPr="00E75783">
        <w:rPr>
          <w:i/>
        </w:rPr>
        <w:t>Société Historique et Archéologique du Gâtinai</w:t>
      </w:r>
      <w:r w:rsidRPr="00246AE4">
        <w:t>s,</w:t>
      </w:r>
      <w:r w:rsidRPr="00246AE4">
        <w:rPr>
          <w:color w:val="000000"/>
          <w:lang w:eastAsia="fr-FR" w:bidi="fr-FR"/>
        </w:rPr>
        <w:t xml:space="preserve"> née en 1885</w:t>
      </w:r>
      <w:r>
        <w:rPr>
          <w:color w:val="000000"/>
          <w:lang w:eastAsia="fr-FR" w:bidi="fr-FR"/>
        </w:rPr>
        <w:t> </w:t>
      </w:r>
      <w:r>
        <w:rPr>
          <w:rStyle w:val="Appelnotedebasdep"/>
        </w:rPr>
        <w:footnoteReference w:id="477"/>
      </w:r>
      <w:r w:rsidRPr="00246AE4">
        <w:rPr>
          <w:color w:val="000000"/>
          <w:lang w:eastAsia="fr-FR" w:bidi="fr-FR"/>
        </w:rPr>
        <w:t xml:space="preserve"> ; la </w:t>
      </w:r>
      <w:r w:rsidRPr="00E75783">
        <w:rPr>
          <w:i/>
        </w:rPr>
        <w:t>Société Historique et Archéologique de Corbeil, d'Étampes et du Hurepoix</w:t>
      </w:r>
      <w:r w:rsidRPr="00246AE4">
        <w:rPr>
          <w:color w:val="000000"/>
          <w:lang w:eastAsia="fr-FR" w:bidi="fr-FR"/>
        </w:rPr>
        <w:t>, née en 1894</w:t>
      </w:r>
      <w:r>
        <w:rPr>
          <w:color w:val="000000"/>
          <w:lang w:eastAsia="fr-FR" w:bidi="fr-FR"/>
        </w:rPr>
        <w:t> </w:t>
      </w:r>
      <w:r>
        <w:rPr>
          <w:rStyle w:val="Appelnotedebasdep"/>
        </w:rPr>
        <w:footnoteReference w:id="478"/>
      </w:r>
      <w:r w:rsidRPr="00246AE4">
        <w:rPr>
          <w:color w:val="000000"/>
          <w:lang w:eastAsia="fr-FR" w:bidi="fr-FR"/>
        </w:rPr>
        <w:t>. Ces sociétés se distinguent de la plupart de celles qui se sont const</w:t>
      </w:r>
      <w:r w:rsidRPr="00246AE4">
        <w:rPr>
          <w:color w:val="000000"/>
          <w:lang w:eastAsia="fr-FR" w:bidi="fr-FR"/>
        </w:rPr>
        <w:t>i</w:t>
      </w:r>
      <w:r w:rsidRPr="00246AE4">
        <w:rPr>
          <w:color w:val="000000"/>
          <w:lang w:eastAsia="fr-FR" w:bidi="fr-FR"/>
        </w:rPr>
        <w:t>tuées avant 1870 par des programmes plus précis et plus exclusiv</w:t>
      </w:r>
      <w:r w:rsidRPr="00246AE4">
        <w:rPr>
          <w:color w:val="000000"/>
          <w:lang w:eastAsia="fr-FR" w:bidi="fr-FR"/>
        </w:rPr>
        <w:t>e</w:t>
      </w:r>
      <w:r w:rsidRPr="00246AE4">
        <w:rPr>
          <w:color w:val="000000"/>
          <w:lang w:eastAsia="fr-FR" w:bidi="fr-FR"/>
        </w:rPr>
        <w:t>ment scientifiques, et par une meilleure organisation de leurs public</w:t>
      </w:r>
      <w:r w:rsidRPr="00246AE4">
        <w:rPr>
          <w:color w:val="000000"/>
          <w:lang w:eastAsia="fr-FR" w:bidi="fr-FR"/>
        </w:rPr>
        <w:t>a</w:t>
      </w:r>
      <w:r w:rsidRPr="00246AE4">
        <w:rPr>
          <w:color w:val="000000"/>
          <w:lang w:eastAsia="fr-FR" w:bidi="fr-FR"/>
        </w:rPr>
        <w:t>tions.</w:t>
      </w:r>
    </w:p>
    <w:p w14:paraId="499D50B4" w14:textId="77777777" w:rsidR="00B9662D" w:rsidRPr="00246AE4" w:rsidRDefault="00B9662D" w:rsidP="00B9662D">
      <w:pPr>
        <w:spacing w:before="120" w:after="120"/>
        <w:jc w:val="both"/>
      </w:pPr>
      <w:r>
        <w:rPr>
          <w:color w:val="000000"/>
          <w:lang w:eastAsia="fr-FR" w:bidi="fr-FR"/>
        </w:rPr>
        <w:br w:type="page"/>
      </w:r>
      <w:r w:rsidRPr="00246AE4">
        <w:rPr>
          <w:color w:val="000000"/>
          <w:lang w:eastAsia="fr-FR" w:bidi="fr-FR"/>
        </w:rPr>
        <w:lastRenderedPageBreak/>
        <w:t xml:space="preserve">Deux prélats, Mgr Guibert, archevêque de Paris, Mgr de Bray, évêque de Meaux, se préoccupèrent d’assurer à leur clergé une part dans la renaissance de l’histoire locale. Par leurs soins furent fondés en 1882 le </w:t>
      </w:r>
      <w:r w:rsidRPr="00E75783">
        <w:rPr>
          <w:i/>
        </w:rPr>
        <w:t>Comité d'histoire et d'archéologie du diocèse de Paris</w:t>
      </w:r>
      <w:r w:rsidRPr="00246AE4">
        <w:t>,</w:t>
      </w:r>
      <w:r w:rsidRPr="00246AE4">
        <w:rPr>
          <w:color w:val="000000"/>
          <w:lang w:eastAsia="fr-FR" w:bidi="fr-FR"/>
        </w:rPr>
        <w:t xml:space="preserve"> en 1893 la </w:t>
      </w:r>
      <w:r w:rsidRPr="00E75783">
        <w:rPr>
          <w:i/>
        </w:rPr>
        <w:t>Conférence d'histoire et d'archéologie du diocèse de Meaux</w:t>
      </w:r>
      <w:r w:rsidRPr="00246AE4">
        <w:t>.</w:t>
      </w:r>
      <w:r w:rsidRPr="00246AE4">
        <w:rPr>
          <w:color w:val="000000"/>
          <w:lang w:eastAsia="fr-FR" w:bidi="fr-FR"/>
        </w:rPr>
        <w:t xml:space="preserve"> De ces deux groupements, dont les débuts avaient été riches de pr</w:t>
      </w:r>
      <w:r w:rsidRPr="00246AE4">
        <w:rPr>
          <w:color w:val="000000"/>
          <w:lang w:eastAsia="fr-FR" w:bidi="fr-FR"/>
        </w:rPr>
        <w:t>o</w:t>
      </w:r>
      <w:r w:rsidRPr="00246AE4">
        <w:rPr>
          <w:color w:val="000000"/>
          <w:lang w:eastAsia="fr-FR" w:bidi="fr-FR"/>
        </w:rPr>
        <w:t xml:space="preserve">messes, le second seul vécut. Son </w:t>
      </w:r>
      <w:r w:rsidRPr="00E75783">
        <w:rPr>
          <w:i/>
        </w:rPr>
        <w:t>Bulletin</w:t>
      </w:r>
      <w:r w:rsidRPr="00246AE4">
        <w:rPr>
          <w:color w:val="000000"/>
          <w:lang w:eastAsia="fr-FR" w:bidi="fr-FR"/>
        </w:rPr>
        <w:t xml:space="preserve"> </w:t>
      </w:r>
      <w:r>
        <w:rPr>
          <w:color w:val="000000"/>
          <w:lang w:eastAsia="fr-FR" w:bidi="fr-FR"/>
        </w:rPr>
        <w:t>p</w:t>
      </w:r>
      <w:r w:rsidRPr="00246AE4">
        <w:rPr>
          <w:color w:val="000000"/>
          <w:lang w:eastAsia="fr-FR" w:bidi="fr-FR"/>
        </w:rPr>
        <w:t>orte pour épigraphe cette phrase emprunté</w:t>
      </w:r>
      <w:r>
        <w:rPr>
          <w:color w:val="000000"/>
          <w:lang w:eastAsia="fr-FR" w:bidi="fr-FR"/>
        </w:rPr>
        <w:t>e à Mgr Bau</w:t>
      </w:r>
      <w:r w:rsidRPr="00246AE4">
        <w:rPr>
          <w:color w:val="000000"/>
          <w:lang w:eastAsia="fr-FR" w:bidi="fr-FR"/>
        </w:rPr>
        <w:t>drillart : « L’Église catholique n’a besoin que de la vérité et elle est de taille à la supporter tout entière ».</w:t>
      </w:r>
    </w:p>
    <w:p w14:paraId="332DEE3F" w14:textId="77777777" w:rsidR="00B9662D" w:rsidRPr="00246AE4" w:rsidRDefault="00B9662D" w:rsidP="00B9662D">
      <w:pPr>
        <w:spacing w:before="120" w:after="120"/>
        <w:jc w:val="both"/>
      </w:pPr>
      <w:r w:rsidRPr="00246AE4">
        <w:rPr>
          <w:color w:val="000000"/>
          <w:lang w:eastAsia="fr-FR" w:bidi="fr-FR"/>
        </w:rPr>
        <w:t xml:space="preserve">C’est à une circulaire ministérielle que doit son origine la </w:t>
      </w:r>
      <w:r w:rsidRPr="00E75783">
        <w:rPr>
          <w:i/>
        </w:rPr>
        <w:t>Commi</w:t>
      </w:r>
      <w:r w:rsidRPr="00E75783">
        <w:rPr>
          <w:i/>
        </w:rPr>
        <w:t>s</w:t>
      </w:r>
      <w:r w:rsidRPr="00E75783">
        <w:rPr>
          <w:i/>
        </w:rPr>
        <w:t>sion de l'inventaire des richesses d'art de Seine-et-Oise</w:t>
      </w:r>
      <w:r w:rsidRPr="00246AE4">
        <w:t>,</w:t>
      </w:r>
      <w:r w:rsidRPr="00246AE4">
        <w:rPr>
          <w:color w:val="000000"/>
          <w:lang w:eastAsia="fr-FR" w:bidi="fr-FR"/>
        </w:rPr>
        <w:t xml:space="preserve"> fondée en 1878,</w:t>
      </w:r>
      <w:r>
        <w:rPr>
          <w:color w:val="000000"/>
          <w:lang w:eastAsia="fr-FR" w:bidi="fr-FR"/>
        </w:rPr>
        <w:t> — </w:t>
      </w:r>
      <w:r w:rsidRPr="00246AE4">
        <w:rPr>
          <w:color w:val="000000"/>
          <w:lang w:eastAsia="fr-FR" w:bidi="fr-FR"/>
        </w:rPr>
        <w:t>dans son principe commission administrative, dont les me</w:t>
      </w:r>
      <w:r w:rsidRPr="00246AE4">
        <w:rPr>
          <w:color w:val="000000"/>
          <w:lang w:eastAsia="fr-FR" w:bidi="fr-FR"/>
        </w:rPr>
        <w:t>m</w:t>
      </w:r>
      <w:r w:rsidRPr="00246AE4">
        <w:rPr>
          <w:color w:val="000000"/>
          <w:lang w:eastAsia="fr-FR" w:bidi="fr-FR"/>
        </w:rPr>
        <w:t>bres sont désignés par le préfet. Des comités analogues devaient être organisés dans tous les départements français. En fait, ils n’ont fon</w:t>
      </w:r>
      <w:r w:rsidRPr="00246AE4">
        <w:rPr>
          <w:color w:val="000000"/>
          <w:lang w:eastAsia="fr-FR" w:bidi="fr-FR"/>
        </w:rPr>
        <w:t>c</w:t>
      </w:r>
      <w:r w:rsidRPr="00246AE4">
        <w:rPr>
          <w:color w:val="000000"/>
          <w:lang w:eastAsia="fr-FR" w:bidi="fr-FR"/>
        </w:rPr>
        <w:t xml:space="preserve">tionné que dans quelques-uns. </w:t>
      </w:r>
      <w:r w:rsidRPr="00E75783">
        <w:rPr>
          <w:i/>
          <w:color w:val="000000"/>
          <w:lang w:eastAsia="fr-FR" w:bidi="fr-FR"/>
        </w:rPr>
        <w:t xml:space="preserve">La </w:t>
      </w:r>
      <w:r w:rsidRPr="00E75783">
        <w:rPr>
          <w:i/>
        </w:rPr>
        <w:t>Commission de l’Inventaire des R</w:t>
      </w:r>
      <w:r w:rsidRPr="00E75783">
        <w:rPr>
          <w:i/>
        </w:rPr>
        <w:t>i</w:t>
      </w:r>
      <w:r w:rsidRPr="00E75783">
        <w:rPr>
          <w:i/>
        </w:rPr>
        <w:t>chesses d'Art de Seine-et-Oise</w:t>
      </w:r>
      <w:r w:rsidRPr="00246AE4">
        <w:rPr>
          <w:color w:val="000000"/>
          <w:lang w:eastAsia="fr-FR" w:bidi="fr-FR"/>
        </w:rPr>
        <w:t xml:space="preserve"> modifia son titre en 1881 ; elle s’est depuis lors appelée </w:t>
      </w:r>
      <w:r w:rsidRPr="00E75783">
        <w:rPr>
          <w:i/>
        </w:rPr>
        <w:t>Commission départementale des Antiquités et des Arts</w:t>
      </w:r>
      <w:r w:rsidRPr="00246AE4">
        <w:t>.</w:t>
      </w:r>
      <w:r w:rsidRPr="00246AE4">
        <w:rPr>
          <w:color w:val="000000"/>
          <w:lang w:eastAsia="fr-FR" w:bidi="fr-FR"/>
        </w:rPr>
        <w:t xml:space="preserve"> Les volumes de procès-verbaux et de mémoires qu’elle a fait paraître tous les ans depuis 1881 constituent une véritable revue d’archéologie locale</w:t>
      </w:r>
      <w:r>
        <w:rPr>
          <w:color w:val="000000"/>
          <w:lang w:eastAsia="fr-FR" w:bidi="fr-FR"/>
        </w:rPr>
        <w:t> </w:t>
      </w:r>
      <w:r>
        <w:rPr>
          <w:rStyle w:val="Appelnotedebasdep"/>
        </w:rPr>
        <w:footnoteReference w:id="479"/>
      </w:r>
      <w:r w:rsidRPr="00246AE4">
        <w:rPr>
          <w:color w:val="000000"/>
          <w:lang w:eastAsia="fr-FR" w:bidi="fr-FR"/>
        </w:rPr>
        <w:t>.</w:t>
      </w:r>
    </w:p>
    <w:p w14:paraId="0419AD19" w14:textId="77777777" w:rsidR="00B9662D" w:rsidRPr="00246AE4" w:rsidRDefault="00B9662D" w:rsidP="00B9662D">
      <w:pPr>
        <w:spacing w:before="120" w:after="120"/>
        <w:jc w:val="both"/>
      </w:pPr>
      <w:r>
        <w:t>[729]</w:t>
      </w:r>
    </w:p>
    <w:p w14:paraId="68125320" w14:textId="77777777" w:rsidR="00B9662D" w:rsidRPr="00246AE4" w:rsidRDefault="00B9662D" w:rsidP="00B9662D">
      <w:pPr>
        <w:spacing w:before="120" w:after="120"/>
        <w:jc w:val="both"/>
      </w:pPr>
      <w:r w:rsidRPr="00246AE4">
        <w:rPr>
          <w:color w:val="000000"/>
          <w:lang w:eastAsia="fr-FR" w:bidi="fr-FR"/>
        </w:rPr>
        <w:t>Le département de Seine-et-Oise a été pour les sociétés savantes un terrain de prédilection. Parmi les départements dont nous nous o</w:t>
      </w:r>
      <w:r w:rsidRPr="00246AE4">
        <w:rPr>
          <w:color w:val="000000"/>
          <w:lang w:eastAsia="fr-FR" w:bidi="fr-FR"/>
        </w:rPr>
        <w:t>c</w:t>
      </w:r>
      <w:r w:rsidRPr="00246AE4">
        <w:rPr>
          <w:color w:val="000000"/>
          <w:lang w:eastAsia="fr-FR" w:bidi="fr-FR"/>
        </w:rPr>
        <w:t>cupons ici, il possède les sociétés les plus nombreuses, et les plus a</w:t>
      </w:r>
      <w:r w:rsidRPr="00246AE4">
        <w:rPr>
          <w:color w:val="000000"/>
          <w:lang w:eastAsia="fr-FR" w:bidi="fr-FR"/>
        </w:rPr>
        <w:t>c</w:t>
      </w:r>
      <w:r w:rsidRPr="00246AE4">
        <w:rPr>
          <w:color w:val="000000"/>
          <w:lang w:eastAsia="fr-FR" w:bidi="fr-FR"/>
        </w:rPr>
        <w:t>tives. Il est aussi le seul où ces sociétés se soient fédérées. Depuis 1902 les différentes sociétés « savantes, littéraires et artistiques » de Seine-et-Oise nomment un comité permanent de vigilance, qui siège à Versailles ; elles se réunissent de temps à autre en une Conférence, qui se tient tantôt dans l’une, tantôt dans l’autre des villes du départ</w:t>
      </w:r>
      <w:r w:rsidRPr="00246AE4">
        <w:rPr>
          <w:color w:val="000000"/>
          <w:lang w:eastAsia="fr-FR" w:bidi="fr-FR"/>
        </w:rPr>
        <w:t>e</w:t>
      </w:r>
      <w:r w:rsidRPr="00246AE4">
        <w:rPr>
          <w:color w:val="000000"/>
          <w:lang w:eastAsia="fr-FR" w:bidi="fr-FR"/>
        </w:rPr>
        <w:t>ment. Cette savante fédération n’a pas jusqu’ici entrepris les grands travaux collectifs qu’on eût été en droit d’attendre d’elle</w:t>
      </w:r>
      <w:r>
        <w:rPr>
          <w:color w:val="000000"/>
          <w:lang w:eastAsia="fr-FR" w:bidi="fr-FR"/>
        </w:rPr>
        <w:t> </w:t>
      </w:r>
      <w:r>
        <w:rPr>
          <w:rStyle w:val="Appelnotedebasdep"/>
        </w:rPr>
        <w:footnoteReference w:id="480"/>
      </w:r>
      <w:r w:rsidRPr="00246AE4">
        <w:rPr>
          <w:color w:val="000000"/>
          <w:lang w:eastAsia="fr-FR" w:bidi="fr-FR"/>
        </w:rPr>
        <w:t>.</w:t>
      </w:r>
    </w:p>
    <w:p w14:paraId="220BD190" w14:textId="77777777" w:rsidR="00B9662D" w:rsidRDefault="00B9662D" w:rsidP="00B9662D">
      <w:pPr>
        <w:spacing w:before="120" w:after="120"/>
        <w:jc w:val="both"/>
      </w:pPr>
      <w:r>
        <w:rPr>
          <w:color w:val="000000"/>
          <w:lang w:eastAsia="fr-FR" w:bidi="fr-FR"/>
        </w:rPr>
        <w:br w:type="page"/>
      </w:r>
      <w:r w:rsidRPr="00246AE4">
        <w:rPr>
          <w:color w:val="000000"/>
          <w:lang w:eastAsia="fr-FR" w:bidi="fr-FR"/>
        </w:rPr>
        <w:lastRenderedPageBreak/>
        <w:t>Les historiens sont parfois injustes pour les sociétés locales. L’irrégularité, les bizarreries extérieures des publications de ces soci</w:t>
      </w:r>
      <w:r w:rsidRPr="00246AE4">
        <w:rPr>
          <w:color w:val="000000"/>
          <w:lang w:eastAsia="fr-FR" w:bidi="fr-FR"/>
        </w:rPr>
        <w:t>é</w:t>
      </w:r>
      <w:r w:rsidRPr="00246AE4">
        <w:rPr>
          <w:color w:val="000000"/>
          <w:lang w:eastAsia="fr-FR" w:bidi="fr-FR"/>
        </w:rPr>
        <w:t>tés, désespoir des bibliographes, et plus encore l’inégalité des travaux qu’elles accueillent font trop souvent oublier les inestimables services qu’elles ont rendus et rendent encore tous les jours aux études histor</w:t>
      </w:r>
      <w:r w:rsidRPr="00246AE4">
        <w:rPr>
          <w:color w:val="000000"/>
          <w:lang w:eastAsia="fr-FR" w:bidi="fr-FR"/>
        </w:rPr>
        <w:t>i</w:t>
      </w:r>
      <w:r w:rsidRPr="00246AE4">
        <w:rPr>
          <w:color w:val="000000"/>
          <w:lang w:eastAsia="fr-FR" w:bidi="fr-FR"/>
        </w:rPr>
        <w:t>ques. En groupant les travailleurs elles ont sollicité et soutenu leurs efforts. Elles ont fourni à de nombreux érudits les secours matériels, sans lesquels ils n’auraient pu faire imprimer leurs ouvrages. Nous leur devons beaucoup de reconnaissance. Il faut leur souhaiter une longue vie, et puisque c’est là que, presque toutes, le bât les blesse, d’abondantes et régulières cotisations</w:t>
      </w:r>
      <w:r>
        <w:rPr>
          <w:color w:val="000000"/>
          <w:lang w:eastAsia="fr-FR" w:bidi="fr-FR"/>
        </w:rPr>
        <w:t> </w:t>
      </w:r>
      <w:r>
        <w:rPr>
          <w:rStyle w:val="Appelnotedebasdep"/>
        </w:rPr>
        <w:footnoteReference w:id="481"/>
      </w:r>
      <w:r w:rsidRPr="00246AE4">
        <w:t>.</w:t>
      </w:r>
    </w:p>
    <w:p w14:paraId="3A733A1C" w14:textId="77777777" w:rsidR="00B9662D" w:rsidRDefault="00B9662D" w:rsidP="00B9662D">
      <w:pPr>
        <w:spacing w:before="120" w:after="120"/>
        <w:jc w:val="both"/>
      </w:pPr>
    </w:p>
    <w:p w14:paraId="718911DF" w14:textId="77777777" w:rsidR="00B9662D" w:rsidRPr="00246AE4" w:rsidRDefault="00B9662D" w:rsidP="00B9662D">
      <w:pPr>
        <w:pStyle w:val="b"/>
      </w:pPr>
      <w:r>
        <w:t>2.</w:t>
      </w:r>
      <w:r w:rsidRPr="00246AE4">
        <w:t xml:space="preserve"> </w:t>
      </w:r>
      <w:r w:rsidRPr="00246AE4">
        <w:rPr>
          <w:lang w:eastAsia="fr-FR" w:bidi="fr-FR"/>
        </w:rPr>
        <w:t>Les instruments de travail</w:t>
      </w:r>
      <w:r w:rsidRPr="00246AE4">
        <w:t>.</w:t>
      </w:r>
    </w:p>
    <w:p w14:paraId="327F7FB7" w14:textId="77777777" w:rsidR="00B9662D" w:rsidRDefault="00B9662D" w:rsidP="00B9662D">
      <w:pPr>
        <w:spacing w:before="120" w:after="120"/>
        <w:jc w:val="both"/>
        <w:rPr>
          <w:color w:val="000000"/>
          <w:lang w:eastAsia="fr-FR" w:bidi="fr-FR"/>
        </w:rPr>
      </w:pPr>
    </w:p>
    <w:p w14:paraId="605351F1" w14:textId="77777777" w:rsidR="00B9662D" w:rsidRPr="00246AE4" w:rsidRDefault="00B9662D" w:rsidP="00B9662D">
      <w:pPr>
        <w:spacing w:before="120" w:after="120"/>
        <w:jc w:val="both"/>
      </w:pPr>
      <w:r w:rsidRPr="00246AE4">
        <w:rPr>
          <w:color w:val="000000"/>
          <w:lang w:eastAsia="fr-FR" w:bidi="fr-FR"/>
        </w:rPr>
        <w:t>Aucun érudit n’a jamais tenté l’œuvre, à peu près impossible, qui consisterait à inventorier tous les documents manuscrits qui conce</w:t>
      </w:r>
      <w:r w:rsidRPr="00246AE4">
        <w:rPr>
          <w:color w:val="000000"/>
          <w:lang w:eastAsia="fr-FR" w:bidi="fr-FR"/>
        </w:rPr>
        <w:t>r</w:t>
      </w:r>
      <w:r w:rsidRPr="00246AE4">
        <w:rPr>
          <w:color w:val="000000"/>
          <w:lang w:eastAsia="fr-FR" w:bidi="fr-FR"/>
        </w:rPr>
        <w:t>nent l’</w:t>
      </w:r>
      <w:r>
        <w:rPr>
          <w:color w:val="000000"/>
          <w:lang w:eastAsia="fr-FR" w:bidi="fr-FR"/>
        </w:rPr>
        <w:t>Île-de-France</w:t>
      </w:r>
      <w:r w:rsidRPr="00246AE4">
        <w:rPr>
          <w:color w:val="000000"/>
          <w:lang w:eastAsia="fr-FR" w:bidi="fr-FR"/>
        </w:rPr>
        <w:t xml:space="preserve"> ; mais il s’est trouvé quelqu’un pour entreprendre, dans le cadre plus étroit du département, et en se restreignant à l’examen de quelques dépôts de manuscrits, une œuvre analogue. Un archiviste de la Seine-et-Marne, M. Lemaire, fit paraître, en 1883, </w:t>
      </w:r>
      <w:r w:rsidRPr="00246AE4">
        <w:rPr>
          <w:color w:val="000000"/>
          <w:lang w:eastAsia="fr-FR" w:bidi="fr-FR"/>
        </w:rPr>
        <w:lastRenderedPageBreak/>
        <w:t xml:space="preserve">« sous les auspices du Conseil général », un livre intitulé </w:t>
      </w:r>
      <w:r w:rsidRPr="001640FB">
        <w:rPr>
          <w:i/>
        </w:rPr>
        <w:t>Relevé des documents intéressant le département de Seine-et-Marne, conservés dans les bibliothèques communales de Meaux, Melun et Provins, à la Bibliothèque Nationale à Paris et aux archives des ministères des F</w:t>
      </w:r>
      <w:r w:rsidRPr="001640FB">
        <w:rPr>
          <w:i/>
        </w:rPr>
        <w:t>i</w:t>
      </w:r>
      <w:r w:rsidRPr="001640FB">
        <w:rPr>
          <w:i/>
        </w:rPr>
        <w:t>nances et des Travaux Publics</w:t>
      </w:r>
      <w:r>
        <w:t> </w:t>
      </w:r>
      <w:r>
        <w:rPr>
          <w:rStyle w:val="Appelnotedebasdep"/>
        </w:rPr>
        <w:footnoteReference w:id="482"/>
      </w:r>
      <w:r w:rsidRPr="00246AE4">
        <w:rPr>
          <w:color w:val="000000"/>
          <w:lang w:eastAsia="fr-FR" w:bidi="fr-FR"/>
        </w:rPr>
        <w:t>. Ce recueil</w:t>
      </w:r>
      <w:r>
        <w:t xml:space="preserve"> [730] </w:t>
      </w:r>
      <w:r w:rsidRPr="00246AE4">
        <w:rPr>
          <w:color w:val="000000"/>
          <w:lang w:eastAsia="fr-FR" w:bidi="fr-FR"/>
        </w:rPr>
        <w:t>est fort incomplet ; la tâche assumée par M. Lemaire était imme</w:t>
      </w:r>
      <w:r w:rsidRPr="00246AE4">
        <w:rPr>
          <w:color w:val="000000"/>
          <w:lang w:eastAsia="fr-FR" w:bidi="fr-FR"/>
        </w:rPr>
        <w:t>n</w:t>
      </w:r>
      <w:r w:rsidRPr="00246AE4">
        <w:rPr>
          <w:color w:val="000000"/>
          <w:lang w:eastAsia="fr-FR" w:bidi="fr-FR"/>
        </w:rPr>
        <w:t>se, et en l’absence d’inventaires suffisants dans les bibliothèques ou archives sur lesque</w:t>
      </w:r>
      <w:r w:rsidRPr="00246AE4">
        <w:rPr>
          <w:color w:val="000000"/>
          <w:lang w:eastAsia="fr-FR" w:bidi="fr-FR"/>
        </w:rPr>
        <w:t>l</w:t>
      </w:r>
      <w:r w:rsidRPr="00246AE4">
        <w:rPr>
          <w:color w:val="000000"/>
          <w:lang w:eastAsia="fr-FR" w:bidi="fr-FR"/>
        </w:rPr>
        <w:t>les portaient ses dépouillements, impossible à mener à bien. Les ér</w:t>
      </w:r>
      <w:r w:rsidRPr="00246AE4">
        <w:rPr>
          <w:color w:val="000000"/>
          <w:lang w:eastAsia="fr-FR" w:bidi="fr-FR"/>
        </w:rPr>
        <w:t>u</w:t>
      </w:r>
      <w:r w:rsidRPr="00246AE4">
        <w:rPr>
          <w:color w:val="000000"/>
          <w:lang w:eastAsia="fr-FR" w:bidi="fr-FR"/>
        </w:rPr>
        <w:t>dits qui engagent des recherches sur l’histoire de l’</w:t>
      </w:r>
      <w:r>
        <w:rPr>
          <w:color w:val="000000"/>
          <w:lang w:eastAsia="fr-FR" w:bidi="fr-FR"/>
        </w:rPr>
        <w:t>Île-de-France</w:t>
      </w:r>
      <w:r w:rsidRPr="00246AE4">
        <w:rPr>
          <w:color w:val="000000"/>
          <w:lang w:eastAsia="fr-FR" w:bidi="fr-FR"/>
        </w:rPr>
        <w:t xml:space="preserve"> do</w:t>
      </w:r>
      <w:r w:rsidRPr="00246AE4">
        <w:rPr>
          <w:color w:val="000000"/>
          <w:lang w:eastAsia="fr-FR" w:bidi="fr-FR"/>
        </w:rPr>
        <w:t>i</w:t>
      </w:r>
      <w:r w:rsidRPr="00246AE4">
        <w:rPr>
          <w:color w:val="000000"/>
          <w:lang w:eastAsia="fr-FR" w:bidi="fr-FR"/>
        </w:rPr>
        <w:t>vent consulter eux-mêmes les inventaires des diff</w:t>
      </w:r>
      <w:r w:rsidRPr="00246AE4">
        <w:rPr>
          <w:color w:val="000000"/>
          <w:lang w:eastAsia="fr-FR" w:bidi="fr-FR"/>
        </w:rPr>
        <w:t>é</w:t>
      </w:r>
      <w:r w:rsidRPr="00246AE4">
        <w:rPr>
          <w:color w:val="000000"/>
          <w:lang w:eastAsia="fr-FR" w:bidi="fr-FR"/>
        </w:rPr>
        <w:t>rents dépôts où ils ont chance de rencontrer des documents,</w:t>
      </w:r>
      <w:r>
        <w:rPr>
          <w:color w:val="000000"/>
          <w:lang w:eastAsia="fr-FR" w:bidi="fr-FR"/>
        </w:rPr>
        <w:t> — </w:t>
      </w:r>
      <w:r w:rsidRPr="00246AE4">
        <w:rPr>
          <w:color w:val="000000"/>
          <w:lang w:eastAsia="fr-FR" w:bidi="fr-FR"/>
        </w:rPr>
        <w:t>ceux en particulier des archives des départements de Seine-et-Oise, Seine-et-Marne, Loiret et Eure-et-Loir</w:t>
      </w:r>
      <w:r>
        <w:rPr>
          <w:color w:val="000000"/>
          <w:lang w:eastAsia="fr-FR" w:bidi="fr-FR"/>
        </w:rPr>
        <w:t> </w:t>
      </w:r>
      <w:r>
        <w:rPr>
          <w:rStyle w:val="Appelnotedebasdep"/>
        </w:rPr>
        <w:footnoteReference w:id="483"/>
      </w:r>
      <w:r w:rsidRPr="00246AE4">
        <w:rPr>
          <w:color w:val="000000"/>
          <w:lang w:eastAsia="fr-FR" w:bidi="fr-FR"/>
        </w:rPr>
        <w:t>. On trouvera, en appendice au présent chapitre, que</w:t>
      </w:r>
      <w:r w:rsidRPr="00246AE4">
        <w:rPr>
          <w:color w:val="000000"/>
          <w:lang w:eastAsia="fr-FR" w:bidi="fr-FR"/>
        </w:rPr>
        <w:t>l</w:t>
      </w:r>
      <w:r w:rsidRPr="00246AE4">
        <w:rPr>
          <w:color w:val="000000"/>
          <w:lang w:eastAsia="fr-FR" w:bidi="fr-FR"/>
        </w:rPr>
        <w:t>ques indications que l’extrême obligeance de MM. les archivistes d</w:t>
      </w:r>
      <w:r w:rsidRPr="00246AE4">
        <w:rPr>
          <w:color w:val="000000"/>
          <w:lang w:eastAsia="fr-FR" w:bidi="fr-FR"/>
        </w:rPr>
        <w:t>é</w:t>
      </w:r>
      <w:r w:rsidRPr="00246AE4">
        <w:rPr>
          <w:color w:val="000000"/>
          <w:lang w:eastAsia="fr-FR" w:bidi="fr-FR"/>
        </w:rPr>
        <w:t>partementaux m’a permis de réunir sur les répertoires mis à la dispos</w:t>
      </w:r>
      <w:r w:rsidRPr="00246AE4">
        <w:rPr>
          <w:color w:val="000000"/>
          <w:lang w:eastAsia="fr-FR" w:bidi="fr-FR"/>
        </w:rPr>
        <w:t>i</w:t>
      </w:r>
      <w:r w:rsidRPr="00246AE4">
        <w:rPr>
          <w:color w:val="000000"/>
          <w:lang w:eastAsia="fr-FR" w:bidi="fr-FR"/>
        </w:rPr>
        <w:t xml:space="preserve">tion des travailleurs dans les archives que je viens de nommer. Au Cabinet des Manuscrits de la Bibliothèque Nationale, les personnes </w:t>
      </w:r>
      <w:r w:rsidRPr="00246AE4">
        <w:rPr>
          <w:color w:val="000000"/>
          <w:lang w:eastAsia="fr-FR" w:bidi="fr-FR"/>
        </w:rPr>
        <w:lastRenderedPageBreak/>
        <w:t>qui s’intéressent à l’histoire du Vexin peuvent se reporter à une « Collection » spécialement consacrée à cette province. Cette colle</w:t>
      </w:r>
      <w:r w:rsidRPr="00246AE4">
        <w:rPr>
          <w:color w:val="000000"/>
          <w:lang w:eastAsia="fr-FR" w:bidi="fr-FR"/>
        </w:rPr>
        <w:t>c</w:t>
      </w:r>
      <w:r w:rsidRPr="00246AE4">
        <w:rPr>
          <w:color w:val="000000"/>
          <w:lang w:eastAsia="fr-FR" w:bidi="fr-FR"/>
        </w:rPr>
        <w:t>tion, composée de documents originaux (en petit nombre), de c</w:t>
      </w:r>
      <w:r w:rsidRPr="00246AE4">
        <w:rPr>
          <w:color w:val="000000"/>
          <w:lang w:eastAsia="fr-FR" w:bidi="fr-FR"/>
        </w:rPr>
        <w:t>o</w:t>
      </w:r>
      <w:r w:rsidRPr="00246AE4">
        <w:rPr>
          <w:color w:val="000000"/>
          <w:lang w:eastAsia="fr-FR" w:bidi="fr-FR"/>
        </w:rPr>
        <w:t xml:space="preserve">pies de documents et de dissertations manuscrites, a été formée à la fin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et dans les premières années du </w:t>
      </w:r>
      <w:r w:rsidRPr="000642A5">
        <w:rPr>
          <w:caps/>
          <w:color w:val="000000"/>
          <w:lang w:eastAsia="fr-FR" w:bidi="fr-FR"/>
        </w:rPr>
        <w:t>xix</w:t>
      </w:r>
      <w:r w:rsidRPr="00246AE4">
        <w:rPr>
          <w:color w:val="000000"/>
          <w:vertAlign w:val="superscript"/>
          <w:lang w:eastAsia="fr-FR" w:bidi="fr-FR"/>
        </w:rPr>
        <w:t xml:space="preserve">e </w:t>
      </w:r>
      <w:r w:rsidRPr="00246AE4">
        <w:rPr>
          <w:color w:val="000000"/>
          <w:lang w:eastAsia="fr-FR" w:bidi="fr-FR"/>
        </w:rPr>
        <w:t>par un m</w:t>
      </w:r>
      <w:r w:rsidRPr="00246AE4">
        <w:rPr>
          <w:color w:val="000000"/>
          <w:lang w:eastAsia="fr-FR" w:bidi="fr-FR"/>
        </w:rPr>
        <w:t>a</w:t>
      </w:r>
      <w:r w:rsidRPr="00246AE4">
        <w:rPr>
          <w:color w:val="000000"/>
          <w:lang w:eastAsia="fr-FR" w:bidi="fr-FR"/>
        </w:rPr>
        <w:t>gistrat, Antoine-Joseph Lévrier (mort en 1823)</w:t>
      </w:r>
      <w:r>
        <w:rPr>
          <w:color w:val="000000"/>
          <w:lang w:eastAsia="fr-FR" w:bidi="fr-FR"/>
        </w:rPr>
        <w:t> </w:t>
      </w:r>
      <w:r>
        <w:rPr>
          <w:rStyle w:val="Appelnotedebasdep"/>
        </w:rPr>
        <w:footnoteReference w:id="484"/>
      </w:r>
      <w:r w:rsidRPr="00246AE4">
        <w:rPr>
          <w:color w:val="000000"/>
          <w:lang w:eastAsia="fr-FR" w:bidi="fr-FR"/>
        </w:rPr>
        <w:t>.</w:t>
      </w:r>
    </w:p>
    <w:p w14:paraId="777B68CF" w14:textId="77777777" w:rsidR="00B9662D" w:rsidRPr="00246AE4" w:rsidRDefault="00B9662D" w:rsidP="00B9662D">
      <w:pPr>
        <w:spacing w:before="120" w:after="120"/>
        <w:jc w:val="both"/>
      </w:pPr>
      <w:r w:rsidRPr="00246AE4">
        <w:rPr>
          <w:color w:val="000000"/>
          <w:lang w:eastAsia="fr-FR" w:bidi="fr-FR"/>
        </w:rPr>
        <w:t xml:space="preserve">Les inscriptions, infiniment moins nombreuses que les documents manuscrits, peuvent faire l’objet non seulement d’inventaires mais aussi de </w:t>
      </w:r>
      <w:r w:rsidRPr="00246AE4">
        <w:t>corpus</w:t>
      </w:r>
      <w:r w:rsidRPr="00246AE4">
        <w:rPr>
          <w:color w:val="000000"/>
          <w:lang w:eastAsia="fr-FR" w:bidi="fr-FR"/>
        </w:rPr>
        <w:t xml:space="preserve"> où elles sont intégralement reproduites. On trouvera les inscriptions antiques des </w:t>
      </w:r>
      <w:r>
        <w:rPr>
          <w:color w:val="000000"/>
          <w:lang w:eastAsia="fr-FR" w:bidi="fr-FR"/>
        </w:rPr>
        <w:t>pays qui forment aujourd’hui l’Î</w:t>
      </w:r>
      <w:r w:rsidRPr="00246AE4">
        <w:rPr>
          <w:color w:val="000000"/>
          <w:lang w:eastAsia="fr-FR" w:bidi="fr-FR"/>
        </w:rPr>
        <w:t xml:space="preserve">le-de-France dans la première partie, parue en 1899, du tome XIII du grand </w:t>
      </w:r>
      <w:r w:rsidRPr="000642A5">
        <w:rPr>
          <w:i/>
        </w:rPr>
        <w:t>Corpus Inscriptionum Latinarum</w:t>
      </w:r>
      <w:r w:rsidRPr="00246AE4">
        <w:rPr>
          <w:color w:val="000000"/>
          <w:lang w:eastAsia="fr-FR" w:bidi="fr-FR"/>
        </w:rPr>
        <w:t xml:space="preserve"> de l’Académie de Berlin, les inscri</w:t>
      </w:r>
      <w:r w:rsidRPr="00246AE4">
        <w:rPr>
          <w:color w:val="000000"/>
          <w:lang w:eastAsia="fr-FR" w:bidi="fr-FR"/>
        </w:rPr>
        <w:t>p</w:t>
      </w:r>
      <w:r w:rsidRPr="00246AE4">
        <w:rPr>
          <w:color w:val="000000"/>
          <w:lang w:eastAsia="fr-FR" w:bidi="fr-FR"/>
        </w:rPr>
        <w:t xml:space="preserve">tions chrétiennes antérieures au </w:t>
      </w:r>
      <w:r>
        <w:rPr>
          <w:color w:val="000000"/>
          <w:lang w:eastAsia="fr-FR" w:bidi="fr-FR"/>
        </w:rPr>
        <w:t>VIII</w:t>
      </w:r>
      <w:r w:rsidRPr="00246AE4">
        <w:rPr>
          <w:color w:val="000000"/>
          <w:vertAlign w:val="superscript"/>
          <w:lang w:eastAsia="fr-FR" w:bidi="fr-FR"/>
        </w:rPr>
        <w:t>e</w:t>
      </w:r>
      <w:r w:rsidRPr="00246AE4">
        <w:rPr>
          <w:color w:val="000000"/>
          <w:lang w:eastAsia="fr-FR" w:bidi="fr-FR"/>
        </w:rPr>
        <w:t xml:space="preserve"> siècle dans les deux recueils d’Edmond Le Blant</w:t>
      </w:r>
      <w:r>
        <w:rPr>
          <w:color w:val="000000"/>
          <w:lang w:eastAsia="fr-FR" w:bidi="fr-FR"/>
        </w:rPr>
        <w:t> </w:t>
      </w:r>
      <w:r>
        <w:rPr>
          <w:rStyle w:val="Appelnotedebasdep"/>
        </w:rPr>
        <w:footnoteReference w:id="485"/>
      </w:r>
      <w:r w:rsidRPr="00246AE4">
        <w:rPr>
          <w:color w:val="000000"/>
          <w:lang w:eastAsia="fr-FR" w:bidi="fr-FR"/>
        </w:rPr>
        <w:t xml:space="preserve">. M. de Guilhermy avait amorcé dans la </w:t>
      </w:r>
      <w:r w:rsidRPr="00171A30">
        <w:rPr>
          <w:i/>
        </w:rPr>
        <w:t>Colle</w:t>
      </w:r>
      <w:r w:rsidRPr="00171A30">
        <w:rPr>
          <w:i/>
        </w:rPr>
        <w:t>c</w:t>
      </w:r>
      <w:r w:rsidRPr="00171A30">
        <w:rPr>
          <w:i/>
        </w:rPr>
        <w:t>tion des Documents Inédits</w:t>
      </w:r>
      <w:r w:rsidRPr="00246AE4">
        <w:t xml:space="preserve"> </w:t>
      </w:r>
      <w:r w:rsidRPr="00246AE4">
        <w:rPr>
          <w:color w:val="000000"/>
          <w:lang w:eastAsia="fr-FR" w:bidi="fr-FR"/>
        </w:rPr>
        <w:t xml:space="preserve">la publication d’un </w:t>
      </w:r>
      <w:r w:rsidRPr="00171A30">
        <w:rPr>
          <w:i/>
        </w:rPr>
        <w:t>Recueil des Inscri</w:t>
      </w:r>
      <w:r w:rsidRPr="00171A30">
        <w:rPr>
          <w:i/>
        </w:rPr>
        <w:t>p</w:t>
      </w:r>
      <w:r w:rsidRPr="00171A30">
        <w:rPr>
          <w:i/>
        </w:rPr>
        <w:t xml:space="preserve">tions de la France du </w:t>
      </w:r>
      <w:r w:rsidRPr="00171A30">
        <w:rPr>
          <w:i/>
          <w:caps/>
          <w:color w:val="000000"/>
        </w:rPr>
        <w:t>v</w:t>
      </w:r>
      <w:r w:rsidRPr="00171A30">
        <w:rPr>
          <w:i/>
          <w:vertAlign w:val="superscript"/>
        </w:rPr>
        <w:t>e</w:t>
      </w:r>
      <w:r w:rsidRPr="00171A30">
        <w:rPr>
          <w:i/>
        </w:rPr>
        <w:t xml:space="preserve"> siècle au XVIII</w:t>
      </w:r>
      <w:r w:rsidRPr="00171A30">
        <w:rPr>
          <w:i/>
          <w:vertAlign w:val="superscript"/>
        </w:rPr>
        <w:t>e</w:t>
      </w:r>
      <w:r w:rsidRPr="00246AE4">
        <w:t>.</w:t>
      </w:r>
      <w:r w:rsidRPr="00246AE4">
        <w:rPr>
          <w:color w:val="000000"/>
          <w:lang w:eastAsia="fr-FR" w:bidi="fr-FR"/>
        </w:rPr>
        <w:t xml:space="preserve"> La première partie de cet ouvrage, qui seule a vu le jour, intéresse précisément notre région ; elle renferme les inscriptions de l’ancien diocèse</w:t>
      </w:r>
      <w:r>
        <w:rPr>
          <w:color w:val="000000"/>
          <w:lang w:eastAsia="fr-FR" w:bidi="fr-FR"/>
        </w:rPr>
        <w:t xml:space="preserve"> </w:t>
      </w:r>
      <w:r>
        <w:t xml:space="preserve">[731] </w:t>
      </w:r>
      <w:r w:rsidRPr="00246AE4">
        <w:rPr>
          <w:color w:val="000000"/>
          <w:lang w:eastAsia="fr-FR" w:bidi="fr-FR"/>
        </w:rPr>
        <w:t>de Paris</w:t>
      </w:r>
      <w:r>
        <w:rPr>
          <w:color w:val="000000"/>
          <w:lang w:eastAsia="fr-FR" w:bidi="fr-FR"/>
        </w:rPr>
        <w:t> </w:t>
      </w:r>
      <w:r>
        <w:rPr>
          <w:rStyle w:val="Appelnotedebasdep"/>
        </w:rPr>
        <w:footnoteReference w:id="486"/>
      </w:r>
      <w:r w:rsidRPr="00246AE4">
        <w:rPr>
          <w:color w:val="000000"/>
          <w:lang w:eastAsia="fr-FR" w:bidi="fr-FR"/>
        </w:rPr>
        <w:t xml:space="preserve">. On la complétera par quelques travaux dus à l’initiative privée : le tome IV des </w:t>
      </w:r>
      <w:r w:rsidRPr="009805AF">
        <w:rPr>
          <w:i/>
        </w:rPr>
        <w:t>Inscriptions de l’Ancien Diocèse de Sens</w:t>
      </w:r>
      <w:r w:rsidRPr="00246AE4">
        <w:rPr>
          <w:color w:val="000000"/>
          <w:lang w:eastAsia="fr-FR" w:bidi="fr-FR"/>
        </w:rPr>
        <w:t xml:space="preserve"> de MM. Michel, Quesvers et Stein</w:t>
      </w:r>
      <w:r>
        <w:rPr>
          <w:color w:val="000000"/>
          <w:lang w:eastAsia="fr-FR" w:bidi="fr-FR"/>
        </w:rPr>
        <w:t> </w:t>
      </w:r>
      <w:r>
        <w:rPr>
          <w:rStyle w:val="Appelnotedebasdep"/>
        </w:rPr>
        <w:footnoteReference w:id="487"/>
      </w:r>
      <w:r w:rsidRPr="00246AE4">
        <w:rPr>
          <w:color w:val="000000"/>
          <w:lang w:eastAsia="fr-FR" w:bidi="fr-FR"/>
        </w:rPr>
        <w:t xml:space="preserve">, </w:t>
      </w:r>
      <w:r w:rsidRPr="009805AF">
        <w:t>l’</w:t>
      </w:r>
      <w:r w:rsidRPr="009805AF">
        <w:rPr>
          <w:i/>
        </w:rPr>
        <w:t>Épigraphie du canton de Mon</w:t>
      </w:r>
      <w:r w:rsidRPr="009805AF">
        <w:rPr>
          <w:i/>
        </w:rPr>
        <w:t>t</w:t>
      </w:r>
      <w:r w:rsidRPr="009805AF">
        <w:rPr>
          <w:i/>
        </w:rPr>
        <w:t>fort-</w:t>
      </w:r>
      <w:r w:rsidRPr="009805AF">
        <w:rPr>
          <w:i/>
        </w:rPr>
        <w:lastRenderedPageBreak/>
        <w:t>l’Amaury</w:t>
      </w:r>
      <w:r w:rsidRPr="00246AE4">
        <w:rPr>
          <w:color w:val="000000"/>
          <w:lang w:eastAsia="fr-FR" w:bidi="fr-FR"/>
        </w:rPr>
        <w:t xml:space="preserve"> de MM. Loisel et de Dion</w:t>
      </w:r>
      <w:r>
        <w:rPr>
          <w:color w:val="000000"/>
          <w:lang w:eastAsia="fr-FR" w:bidi="fr-FR"/>
        </w:rPr>
        <w:t> </w:t>
      </w:r>
      <w:r>
        <w:rPr>
          <w:rStyle w:val="Appelnotedebasdep"/>
        </w:rPr>
        <w:footnoteReference w:id="488"/>
      </w:r>
      <w:r w:rsidRPr="00246AE4">
        <w:rPr>
          <w:color w:val="000000"/>
          <w:lang w:eastAsia="fr-FR" w:bidi="fr-FR"/>
        </w:rPr>
        <w:t>. Pour une grande partie de l’</w:t>
      </w:r>
      <w:r>
        <w:rPr>
          <w:color w:val="000000"/>
          <w:lang w:eastAsia="fr-FR" w:bidi="fr-FR"/>
        </w:rPr>
        <w:t>Île-de-France</w:t>
      </w:r>
      <w:r w:rsidRPr="00246AE4">
        <w:rPr>
          <w:color w:val="000000"/>
          <w:lang w:eastAsia="fr-FR" w:bidi="fr-FR"/>
        </w:rPr>
        <w:t>, tout recueil des inscriptions médiévales et modernes fait défaut : il y a là une lacune, qu’il importerait de combler.</w:t>
      </w:r>
    </w:p>
    <w:p w14:paraId="5470BA5E" w14:textId="77777777" w:rsidR="00B9662D" w:rsidRPr="00246AE4" w:rsidRDefault="00B9662D" w:rsidP="00B9662D">
      <w:pPr>
        <w:spacing w:before="120" w:after="120"/>
        <w:jc w:val="both"/>
      </w:pPr>
      <w:r w:rsidRPr="00246AE4">
        <w:rPr>
          <w:color w:val="000000"/>
          <w:lang w:eastAsia="fr-FR" w:bidi="fr-FR"/>
        </w:rPr>
        <w:t>Inscriptions et documents d’archives ne sont pas seuls à nous r</w:t>
      </w:r>
      <w:r w:rsidRPr="00246AE4">
        <w:rPr>
          <w:color w:val="000000"/>
          <w:lang w:eastAsia="fr-FR" w:bidi="fr-FR"/>
        </w:rPr>
        <w:t>a</w:t>
      </w:r>
      <w:r w:rsidRPr="00246AE4">
        <w:rPr>
          <w:color w:val="000000"/>
          <w:lang w:eastAsia="fr-FR" w:bidi="fr-FR"/>
        </w:rPr>
        <w:t>conter l’histoire du passé. Les documents archéologiques sont des t</w:t>
      </w:r>
      <w:r w:rsidRPr="00246AE4">
        <w:rPr>
          <w:color w:val="000000"/>
          <w:lang w:eastAsia="fr-FR" w:bidi="fr-FR"/>
        </w:rPr>
        <w:t>é</w:t>
      </w:r>
      <w:r w:rsidRPr="00246AE4">
        <w:rPr>
          <w:color w:val="000000"/>
          <w:lang w:eastAsia="fr-FR" w:bidi="fr-FR"/>
        </w:rPr>
        <w:t>moins précieux, qu’il faut recenser pour pouvoir les interroger avec méthode. Des efforts nombreux, mais trop souvent peu continus et mal coordonnés, ont été faits pour doter l’</w:t>
      </w:r>
      <w:r>
        <w:rPr>
          <w:color w:val="000000"/>
          <w:lang w:eastAsia="fr-FR" w:bidi="fr-FR"/>
        </w:rPr>
        <w:t>Île-de-France</w:t>
      </w:r>
      <w:r w:rsidRPr="00246AE4">
        <w:rPr>
          <w:color w:val="000000"/>
          <w:lang w:eastAsia="fr-FR" w:bidi="fr-FR"/>
        </w:rPr>
        <w:t xml:space="preserve"> de répertoires archéologiques. Ces ouvrages sont de diverses espèces</w:t>
      </w:r>
      <w:r>
        <w:rPr>
          <w:color w:val="000000"/>
          <w:lang w:eastAsia="fr-FR" w:bidi="fr-FR"/>
        </w:rPr>
        <w:t> </w:t>
      </w:r>
      <w:r>
        <w:rPr>
          <w:rStyle w:val="Appelnotedebasdep"/>
        </w:rPr>
        <w:footnoteReference w:id="489"/>
      </w:r>
      <w:r w:rsidRPr="00246AE4">
        <w:rPr>
          <w:color w:val="000000"/>
          <w:lang w:eastAsia="fr-FR" w:bidi="fr-FR"/>
        </w:rPr>
        <w:t xml:space="preserve">. Dans les uns on s’est borné à fournir des renseignements sur les monuments classés par la Commission des Monuments Historiques : telle la très utile </w:t>
      </w:r>
      <w:r w:rsidRPr="009805AF">
        <w:rPr>
          <w:i/>
        </w:rPr>
        <w:t>St</w:t>
      </w:r>
      <w:r w:rsidRPr="009805AF">
        <w:rPr>
          <w:i/>
        </w:rPr>
        <w:t>a</w:t>
      </w:r>
      <w:r w:rsidRPr="009805AF">
        <w:rPr>
          <w:i/>
        </w:rPr>
        <w:t>tistique archéologique d'Eure-et-Loir</w:t>
      </w:r>
      <w:r w:rsidRPr="00246AE4">
        <w:rPr>
          <w:color w:val="000000"/>
          <w:lang w:eastAsia="fr-FR" w:bidi="fr-FR"/>
        </w:rPr>
        <w:t xml:space="preserve"> qu’a dressée M. Jusselin</w:t>
      </w:r>
      <w:r>
        <w:rPr>
          <w:color w:val="000000"/>
          <w:lang w:eastAsia="fr-FR" w:bidi="fr-FR"/>
        </w:rPr>
        <w:t> </w:t>
      </w:r>
      <w:r>
        <w:rPr>
          <w:rStyle w:val="Appelnotedebasdep"/>
        </w:rPr>
        <w:footnoteReference w:id="490"/>
      </w:r>
      <w:r w:rsidRPr="00246AE4">
        <w:rPr>
          <w:color w:val="000000"/>
          <w:lang w:eastAsia="fr-FR" w:bidi="fr-FR"/>
        </w:rPr>
        <w:t>. D’autres auteurs se sont attachés à décrire tous les monuments anciens d’une région,</w:t>
      </w:r>
      <w:r>
        <w:rPr>
          <w:color w:val="000000"/>
          <w:lang w:eastAsia="fr-FR" w:bidi="fr-FR"/>
        </w:rPr>
        <w:t> — </w:t>
      </w:r>
      <w:r w:rsidRPr="00246AE4">
        <w:rPr>
          <w:color w:val="000000"/>
          <w:lang w:eastAsia="fr-FR" w:bidi="fr-FR"/>
        </w:rPr>
        <w:t>comme l’a fait M. Louis Régnier pour le canton de Chaumont-en-Vexin</w:t>
      </w:r>
      <w:r>
        <w:rPr>
          <w:color w:val="000000"/>
          <w:lang w:eastAsia="fr-FR" w:bidi="fr-FR"/>
        </w:rPr>
        <w:t> </w:t>
      </w:r>
      <w:r>
        <w:rPr>
          <w:rStyle w:val="Appelnotedebasdep"/>
        </w:rPr>
        <w:footnoteReference w:id="491"/>
      </w:r>
      <w:r w:rsidRPr="00246AE4">
        <w:rPr>
          <w:color w:val="000000"/>
          <w:lang w:eastAsia="fr-FR" w:bidi="fr-FR"/>
        </w:rPr>
        <w:t xml:space="preserve">, et, pour le canton d’Écouen, l’auteur anonyme du </w:t>
      </w:r>
      <w:r w:rsidRPr="009805AF">
        <w:rPr>
          <w:i/>
        </w:rPr>
        <w:t>Répertoire archéologique</w:t>
      </w:r>
      <w:r w:rsidRPr="00246AE4">
        <w:rPr>
          <w:color w:val="000000"/>
          <w:lang w:eastAsia="fr-FR" w:bidi="fr-FR"/>
        </w:rPr>
        <w:t xml:space="preserve"> paru sous les auspices de la Commission des A</w:t>
      </w:r>
      <w:r>
        <w:rPr>
          <w:color w:val="000000"/>
          <w:lang w:eastAsia="fr-FR" w:bidi="fr-FR"/>
        </w:rPr>
        <w:t>ntiquités et des Arts de Seine-</w:t>
      </w:r>
      <w:r w:rsidRPr="00246AE4">
        <w:rPr>
          <w:color w:val="000000"/>
          <w:lang w:eastAsia="fr-FR" w:bidi="fr-FR"/>
        </w:rPr>
        <w:t>et-Oise</w:t>
      </w:r>
      <w:r>
        <w:rPr>
          <w:color w:val="000000"/>
          <w:lang w:eastAsia="fr-FR" w:bidi="fr-FR"/>
        </w:rPr>
        <w:t> </w:t>
      </w:r>
      <w:r>
        <w:rPr>
          <w:rStyle w:val="Appelnotedebasdep"/>
        </w:rPr>
        <w:footnoteReference w:id="492"/>
      </w:r>
      <w:r w:rsidRPr="00246AE4">
        <w:rPr>
          <w:color w:val="000000"/>
          <w:lang w:eastAsia="fr-FR" w:bidi="fr-FR"/>
        </w:rPr>
        <w:t xml:space="preserve">. D’autres encore, sans se piquer d’être absolument complets, mais aussi sans se fixer pour règle de ne donner place qu’aux monuments classés, ont </w:t>
      </w:r>
      <w:r w:rsidRPr="00246AE4">
        <w:rPr>
          <w:color w:val="000000"/>
          <w:lang w:eastAsia="fr-FR" w:bidi="fr-FR"/>
        </w:rPr>
        <w:lastRenderedPageBreak/>
        <w:t>retenu les mon</w:t>
      </w:r>
      <w:r w:rsidRPr="00246AE4">
        <w:rPr>
          <w:color w:val="000000"/>
          <w:lang w:eastAsia="fr-FR" w:bidi="fr-FR"/>
        </w:rPr>
        <w:t>u</w:t>
      </w:r>
      <w:r w:rsidRPr="00246AE4">
        <w:rPr>
          <w:color w:val="000000"/>
          <w:lang w:eastAsia="fr-FR" w:bidi="fr-FR"/>
        </w:rPr>
        <w:t>ments qui leur paraissaient les plus dignes de remarque. Cette méth</w:t>
      </w:r>
      <w:r w:rsidRPr="00246AE4">
        <w:rPr>
          <w:color w:val="000000"/>
          <w:lang w:eastAsia="fr-FR" w:bidi="fr-FR"/>
        </w:rPr>
        <w:t>o</w:t>
      </w:r>
      <w:r w:rsidRPr="00246AE4">
        <w:rPr>
          <w:color w:val="000000"/>
          <w:lang w:eastAsia="fr-FR" w:bidi="fr-FR"/>
        </w:rPr>
        <w:t xml:space="preserve">de, qui n’est guère une méthode, est celle qu’ont suivie par exemple MM. Amédée Aufauvre et Charles Fichot dans leurs </w:t>
      </w:r>
      <w:r w:rsidRPr="009805AF">
        <w:rPr>
          <w:i/>
        </w:rPr>
        <w:t>Monuments de Seine-et-Marne </w:t>
      </w:r>
      <w:r>
        <w:rPr>
          <w:rStyle w:val="Appelnotedebasdep"/>
        </w:rPr>
        <w:footnoteReference w:id="493"/>
      </w:r>
      <w:r w:rsidRPr="00246AE4">
        <w:t>,</w:t>
      </w:r>
      <w:r w:rsidRPr="00246AE4">
        <w:rPr>
          <w:color w:val="000000"/>
          <w:lang w:eastAsia="fr-FR" w:bidi="fr-FR"/>
        </w:rPr>
        <w:t xml:space="preserve"> M. Edmond Michel dans le livre excellent qu’il a consacré aux </w:t>
      </w:r>
      <w:r w:rsidRPr="009805AF">
        <w:rPr>
          <w:i/>
        </w:rPr>
        <w:t>Monuments religieux, civils et militaires du Gâtinais</w:t>
      </w:r>
      <w:r>
        <w:t> </w:t>
      </w:r>
      <w:r>
        <w:rPr>
          <w:rStyle w:val="Appelnotedebasdep"/>
        </w:rPr>
        <w:footnoteReference w:id="494"/>
      </w:r>
      <w:r w:rsidRPr="00246AE4">
        <w:rPr>
          <w:color w:val="000000"/>
          <w:lang w:eastAsia="fr-FR" w:bidi="fr-FR"/>
        </w:rPr>
        <w:t>.</w:t>
      </w:r>
    </w:p>
    <w:p w14:paraId="03AA9B04" w14:textId="77777777" w:rsidR="00B9662D" w:rsidRPr="00246AE4" w:rsidRDefault="00B9662D" w:rsidP="00B9662D">
      <w:pPr>
        <w:spacing w:before="120" w:after="120"/>
        <w:jc w:val="both"/>
      </w:pPr>
      <w:r>
        <w:t>[732]</w:t>
      </w:r>
    </w:p>
    <w:p w14:paraId="4309AD63" w14:textId="77777777" w:rsidR="00B9662D" w:rsidRPr="00246AE4" w:rsidRDefault="00B9662D" w:rsidP="00B9662D">
      <w:pPr>
        <w:spacing w:before="120" w:after="120"/>
        <w:jc w:val="both"/>
      </w:pPr>
      <w:r w:rsidRPr="00246AE4">
        <w:rPr>
          <w:color w:val="000000"/>
          <w:lang w:eastAsia="fr-FR" w:bidi="fr-FR"/>
        </w:rPr>
        <w:t>Des érudits assez nombreux ont cherché à établir des répertoires bibliog</w:t>
      </w:r>
      <w:r>
        <w:rPr>
          <w:color w:val="000000"/>
          <w:lang w:eastAsia="fr-FR" w:bidi="fr-FR"/>
        </w:rPr>
        <w:t>raphiques s’appliquant non à l’Î</w:t>
      </w:r>
      <w:r w:rsidRPr="00246AE4">
        <w:rPr>
          <w:color w:val="000000"/>
          <w:lang w:eastAsia="fr-FR" w:bidi="fr-FR"/>
        </w:rPr>
        <w:t>le-de-France tout entière (ce cadre, à la fois trop vaste et trop peu précis, n’a jamais été adopté), mais à certains</w:t>
      </w:r>
      <w:r>
        <w:rPr>
          <w:color w:val="000000"/>
          <w:lang w:eastAsia="fr-FR" w:bidi="fr-FR"/>
        </w:rPr>
        <w:t xml:space="preserve"> pays ou certaines villes de l’Î</w:t>
      </w:r>
      <w:r w:rsidRPr="00246AE4">
        <w:rPr>
          <w:color w:val="000000"/>
          <w:lang w:eastAsia="fr-FR" w:bidi="fr-FR"/>
        </w:rPr>
        <w:t>le-de-France. Ces répe</w:t>
      </w:r>
      <w:r w:rsidRPr="00246AE4">
        <w:rPr>
          <w:color w:val="000000"/>
          <w:lang w:eastAsia="fr-FR" w:bidi="fr-FR"/>
        </w:rPr>
        <w:t>r</w:t>
      </w:r>
      <w:r w:rsidRPr="00246AE4">
        <w:rPr>
          <w:color w:val="000000"/>
          <w:lang w:eastAsia="fr-FR" w:bidi="fr-FR"/>
        </w:rPr>
        <w:t xml:space="preserve">toires sont de deux sortes. On a quelquefois rassemblé des notices à la fois biographiques et bibliographiques sur les auteurs qui étaient nés dans telle ou telle région déterminée, ou bien se rattachaient à cette région par des liens plus ou moins bien définis. Des travaux de cette espèce, qui sont proprement des biobibliographies, ont été entrepris dès le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En 1719 dom Jean Liron fit paraître sa </w:t>
      </w:r>
      <w:r w:rsidRPr="00537FF2">
        <w:rPr>
          <w:i/>
        </w:rPr>
        <w:t>Biblioth</w:t>
      </w:r>
      <w:r w:rsidRPr="00537FF2">
        <w:rPr>
          <w:i/>
        </w:rPr>
        <w:t>è</w:t>
      </w:r>
      <w:r w:rsidRPr="00537FF2">
        <w:rPr>
          <w:i/>
        </w:rPr>
        <w:t>que chartraine</w:t>
      </w:r>
      <w:r w:rsidRPr="00246AE4">
        <w:rPr>
          <w:color w:val="000000"/>
          <w:lang w:eastAsia="fr-FR" w:bidi="fr-FR"/>
        </w:rPr>
        <w:t xml:space="preserve"> ou « </w:t>
      </w:r>
      <w:r w:rsidRPr="00537FF2">
        <w:rPr>
          <w:i/>
        </w:rPr>
        <w:t>traité des auteurs et des hommes illustres de l’ancien diocèse de Chartres qui ont laissé quelques monuments à la postérité, ou qui ont excellé dans les beaux-arts</w:t>
      </w:r>
      <w:r w:rsidRPr="00246AE4">
        <w:t> »</w:t>
      </w:r>
      <w:r>
        <w:t> </w:t>
      </w:r>
      <w:r>
        <w:rPr>
          <w:rStyle w:val="Appelnotedebasdep"/>
        </w:rPr>
        <w:footnoteReference w:id="495"/>
      </w:r>
      <w:r w:rsidRPr="00246AE4">
        <w:t>.</w:t>
      </w:r>
      <w:r w:rsidRPr="00246AE4">
        <w:rPr>
          <w:color w:val="000000"/>
          <w:lang w:eastAsia="fr-FR" w:bidi="fr-FR"/>
        </w:rPr>
        <w:t xml:space="preserve"> Cet utile ou</w:t>
      </w:r>
      <w:r w:rsidRPr="00246AE4">
        <w:rPr>
          <w:color w:val="000000"/>
          <w:lang w:eastAsia="fr-FR" w:bidi="fr-FR"/>
        </w:rPr>
        <w:lastRenderedPageBreak/>
        <w:t xml:space="preserve">vrage n’était dans la pensée de son auteur que le livre premier d’une </w:t>
      </w:r>
      <w:r w:rsidRPr="00537FF2">
        <w:rPr>
          <w:i/>
        </w:rPr>
        <w:t>Bibli</w:t>
      </w:r>
      <w:r w:rsidRPr="00537FF2">
        <w:rPr>
          <w:i/>
        </w:rPr>
        <w:t>o</w:t>
      </w:r>
      <w:r w:rsidRPr="00537FF2">
        <w:rPr>
          <w:i/>
        </w:rPr>
        <w:t>thèque générale des auteurs de France</w:t>
      </w:r>
      <w:r w:rsidRPr="00246AE4">
        <w:t xml:space="preserve">, </w:t>
      </w:r>
      <w:r w:rsidRPr="00246AE4">
        <w:rPr>
          <w:color w:val="000000"/>
          <w:lang w:eastAsia="fr-FR" w:bidi="fr-FR"/>
        </w:rPr>
        <w:t>dont le livre second ne vit j</w:t>
      </w:r>
      <w:r w:rsidRPr="00246AE4">
        <w:rPr>
          <w:color w:val="000000"/>
          <w:lang w:eastAsia="fr-FR" w:bidi="fr-FR"/>
        </w:rPr>
        <w:t>a</w:t>
      </w:r>
      <w:r w:rsidRPr="00246AE4">
        <w:rPr>
          <w:color w:val="000000"/>
          <w:lang w:eastAsia="fr-FR" w:bidi="fr-FR"/>
        </w:rPr>
        <w:t xml:space="preserve">mais le jour.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également, dom Guillaume Gérou et plusieurs autres érudits travaillèrent à composer une </w:t>
      </w:r>
      <w:r w:rsidRPr="00537FF2">
        <w:rPr>
          <w:i/>
        </w:rPr>
        <w:t>Bibliothèque des écrivains orléanois</w:t>
      </w:r>
      <w:r w:rsidRPr="00246AE4">
        <w:t>,</w:t>
      </w:r>
      <w:r w:rsidRPr="00246AE4">
        <w:rPr>
          <w:color w:val="000000"/>
          <w:lang w:eastAsia="fr-FR" w:bidi="fr-FR"/>
        </w:rPr>
        <w:t xml:space="preserve"> conçue sur le même modèle</w:t>
      </w:r>
      <w:r>
        <w:rPr>
          <w:color w:val="000000"/>
          <w:lang w:eastAsia="fr-FR" w:bidi="fr-FR"/>
        </w:rPr>
        <w:t> </w:t>
      </w:r>
      <w:r>
        <w:rPr>
          <w:rStyle w:val="Appelnotedebasdep"/>
        </w:rPr>
        <w:footnoteReference w:id="496"/>
      </w:r>
      <w:r w:rsidRPr="00246AE4">
        <w:rPr>
          <w:color w:val="000000"/>
          <w:lang w:eastAsia="fr-FR" w:bidi="fr-FR"/>
        </w:rPr>
        <w:t xml:space="preserve">. Au </w:t>
      </w:r>
      <w:r w:rsidRPr="00F361D0">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M. Lucien Merlet a repris l’œuvre de dom Liron ; sa </w:t>
      </w:r>
      <w:r w:rsidRPr="00537FF2">
        <w:rPr>
          <w:i/>
        </w:rPr>
        <w:t>Bibliothèque Cha</w:t>
      </w:r>
      <w:r w:rsidRPr="00537FF2">
        <w:rPr>
          <w:i/>
        </w:rPr>
        <w:t>r</w:t>
      </w:r>
      <w:r w:rsidRPr="00537FF2">
        <w:rPr>
          <w:i/>
        </w:rPr>
        <w:t>traine</w:t>
      </w:r>
      <w:r w:rsidRPr="00246AE4">
        <w:rPr>
          <w:color w:val="000000"/>
          <w:lang w:eastAsia="fr-FR" w:bidi="fr-FR"/>
        </w:rPr>
        <w:t xml:space="preserve"> a pour cadre le département d’Eure-et-Loir</w:t>
      </w:r>
      <w:r>
        <w:rPr>
          <w:color w:val="000000"/>
          <w:lang w:eastAsia="fr-FR" w:bidi="fr-FR"/>
        </w:rPr>
        <w:t> </w:t>
      </w:r>
      <w:r>
        <w:rPr>
          <w:rStyle w:val="Appelnotedebasdep"/>
        </w:rPr>
        <w:footnoteReference w:id="497"/>
      </w:r>
      <w:r w:rsidRPr="00246AE4">
        <w:rPr>
          <w:color w:val="000000"/>
          <w:lang w:eastAsia="fr-FR" w:bidi="fr-FR"/>
        </w:rPr>
        <w:t>.</w:t>
      </w:r>
    </w:p>
    <w:p w14:paraId="654D8CFF" w14:textId="77777777" w:rsidR="00B9662D" w:rsidRPr="00246AE4" w:rsidRDefault="00B9662D" w:rsidP="00B9662D">
      <w:pPr>
        <w:spacing w:before="120" w:after="120"/>
        <w:jc w:val="both"/>
      </w:pPr>
      <w:r w:rsidRPr="00246AE4">
        <w:rPr>
          <w:color w:val="000000"/>
          <w:lang w:eastAsia="fr-FR" w:bidi="fr-FR"/>
        </w:rPr>
        <w:t>D’autres auteurs se sont attachés à réunir les titres des ouvrages qui touchaient l’histoire d’une région, sans s’inquiéter de la personnalité des écrivains. La Seine-et-Marne</w:t>
      </w:r>
      <w:r>
        <w:rPr>
          <w:color w:val="000000"/>
          <w:lang w:eastAsia="fr-FR" w:bidi="fr-FR"/>
        </w:rPr>
        <w:t> </w:t>
      </w:r>
      <w:r>
        <w:rPr>
          <w:rStyle w:val="Appelnotedebasdep"/>
        </w:rPr>
        <w:footnoteReference w:id="498"/>
      </w:r>
      <w:r w:rsidRPr="00246AE4">
        <w:rPr>
          <w:color w:val="000000"/>
          <w:lang w:eastAsia="fr-FR" w:bidi="fr-FR"/>
        </w:rPr>
        <w:t>, les cantons de Pontoise</w:t>
      </w:r>
      <w:r>
        <w:rPr>
          <w:color w:val="000000"/>
          <w:lang w:eastAsia="fr-FR" w:bidi="fr-FR"/>
        </w:rPr>
        <w:t> </w:t>
      </w:r>
      <w:r>
        <w:rPr>
          <w:rStyle w:val="Appelnotedebasdep"/>
        </w:rPr>
        <w:footnoteReference w:id="499"/>
      </w:r>
      <w:r w:rsidRPr="00246AE4">
        <w:rPr>
          <w:color w:val="000000"/>
          <w:lang w:eastAsia="fr-FR" w:bidi="fr-FR"/>
        </w:rPr>
        <w:t xml:space="preserve"> et de </w:t>
      </w:r>
      <w:r w:rsidRPr="00246AE4">
        <w:rPr>
          <w:color w:val="000000"/>
          <w:lang w:eastAsia="fr-FR" w:bidi="fr-FR"/>
        </w:rPr>
        <w:lastRenderedPageBreak/>
        <w:t>Magny-</w:t>
      </w:r>
      <w:r w:rsidRPr="00A64A73">
        <w:rPr>
          <w:i/>
          <w:color w:val="000000"/>
          <w:lang w:eastAsia="fr-FR" w:bidi="fr-FR"/>
        </w:rPr>
        <w:t>en-Vexin</w:t>
      </w:r>
      <w:r>
        <w:rPr>
          <w:color w:val="000000"/>
          <w:lang w:eastAsia="fr-FR" w:bidi="fr-FR"/>
        </w:rPr>
        <w:t> </w:t>
      </w:r>
      <w:r>
        <w:rPr>
          <w:rStyle w:val="Appelnotedebasdep"/>
        </w:rPr>
        <w:footnoteReference w:id="500"/>
      </w:r>
      <w:r w:rsidRPr="00246AE4">
        <w:rPr>
          <w:color w:val="000000"/>
          <w:lang w:eastAsia="fr-FR" w:bidi="fr-FR"/>
        </w:rPr>
        <w:t>,</w:t>
      </w:r>
      <w:r>
        <w:t xml:space="preserve"> [733]</w:t>
      </w:r>
      <w:r w:rsidRPr="00246AE4">
        <w:rPr>
          <w:color w:val="000000"/>
          <w:lang w:eastAsia="fr-FR" w:bidi="fr-FR"/>
        </w:rPr>
        <w:t xml:space="preserve"> l’arrondissement d’Étampes</w:t>
      </w:r>
      <w:r>
        <w:rPr>
          <w:color w:val="000000"/>
          <w:lang w:eastAsia="fr-FR" w:bidi="fr-FR"/>
        </w:rPr>
        <w:t> </w:t>
      </w:r>
      <w:r>
        <w:rPr>
          <w:rStyle w:val="Appelnotedebasdep"/>
        </w:rPr>
        <w:footnoteReference w:id="501"/>
      </w:r>
      <w:r w:rsidRPr="00246AE4">
        <w:rPr>
          <w:color w:val="000000"/>
          <w:lang w:eastAsia="fr-FR" w:bidi="fr-FR"/>
        </w:rPr>
        <w:t xml:space="preserve"> ont ainsi leurs bibliogr</w:t>
      </w:r>
      <w:r w:rsidRPr="00246AE4">
        <w:rPr>
          <w:color w:val="000000"/>
          <w:lang w:eastAsia="fr-FR" w:bidi="fr-FR"/>
        </w:rPr>
        <w:t>a</w:t>
      </w:r>
      <w:r w:rsidRPr="00246AE4">
        <w:rPr>
          <w:color w:val="000000"/>
          <w:lang w:eastAsia="fr-FR" w:bidi="fr-FR"/>
        </w:rPr>
        <w:t>phies. Ces ouvrages ont coûté beaucoup de travail ; ils sont d’une ut</w:t>
      </w:r>
      <w:r w:rsidRPr="00246AE4">
        <w:rPr>
          <w:color w:val="000000"/>
          <w:lang w:eastAsia="fr-FR" w:bidi="fr-FR"/>
        </w:rPr>
        <w:t>i</w:t>
      </w:r>
      <w:r w:rsidRPr="00246AE4">
        <w:rPr>
          <w:color w:val="000000"/>
          <w:lang w:eastAsia="fr-FR" w:bidi="fr-FR"/>
        </w:rPr>
        <w:t>lité médiocre ; on a trop écrit, et des études de valeur trop inégale, sur l’histoire locale, pour que des bibliographies, autres que des bibli</w:t>
      </w:r>
      <w:r w:rsidRPr="00246AE4">
        <w:rPr>
          <w:color w:val="000000"/>
          <w:lang w:eastAsia="fr-FR" w:bidi="fr-FR"/>
        </w:rPr>
        <w:t>o</w:t>
      </w:r>
      <w:r w:rsidRPr="00246AE4">
        <w:rPr>
          <w:color w:val="000000"/>
          <w:lang w:eastAsia="fr-FR" w:bidi="fr-FR"/>
        </w:rPr>
        <w:t>graphies critiques, puissent rendre de véritables services</w:t>
      </w:r>
      <w:r>
        <w:rPr>
          <w:color w:val="000000"/>
          <w:lang w:eastAsia="fr-FR" w:bidi="fr-FR"/>
        </w:rPr>
        <w:t> </w:t>
      </w:r>
      <w:r>
        <w:rPr>
          <w:rStyle w:val="Appelnotedebasdep"/>
        </w:rPr>
        <w:footnoteReference w:id="502"/>
      </w:r>
      <w:r w:rsidRPr="00246AE4">
        <w:rPr>
          <w:color w:val="000000"/>
          <w:lang w:eastAsia="fr-FR" w:bidi="fr-FR"/>
        </w:rPr>
        <w:t>.</w:t>
      </w:r>
    </w:p>
    <w:p w14:paraId="6B271143" w14:textId="77777777" w:rsidR="00B9662D" w:rsidRPr="00246AE4" w:rsidRDefault="00B9662D" w:rsidP="00B9662D">
      <w:pPr>
        <w:spacing w:before="120" w:after="120"/>
        <w:jc w:val="both"/>
      </w:pPr>
      <w:r w:rsidRPr="00246AE4">
        <w:rPr>
          <w:color w:val="000000"/>
          <w:lang w:eastAsia="fr-FR" w:bidi="fr-FR"/>
        </w:rPr>
        <w:t>La bibliographie courante de l’histoire de l’</w:t>
      </w:r>
      <w:r>
        <w:rPr>
          <w:color w:val="000000"/>
          <w:lang w:eastAsia="fr-FR" w:bidi="fr-FR"/>
        </w:rPr>
        <w:t>Île-de-France</w:t>
      </w:r>
      <w:r w:rsidRPr="00246AE4">
        <w:rPr>
          <w:color w:val="000000"/>
          <w:lang w:eastAsia="fr-FR" w:bidi="fr-FR"/>
        </w:rPr>
        <w:t xml:space="preserve"> est ass</w:t>
      </w:r>
      <w:r w:rsidRPr="00246AE4">
        <w:rPr>
          <w:color w:val="000000"/>
          <w:lang w:eastAsia="fr-FR" w:bidi="fr-FR"/>
        </w:rPr>
        <w:t>u</w:t>
      </w:r>
      <w:r w:rsidRPr="00246AE4">
        <w:rPr>
          <w:color w:val="000000"/>
          <w:lang w:eastAsia="fr-FR" w:bidi="fr-FR"/>
        </w:rPr>
        <w:t>rée par les périodiques que font paraître les sociétés locales de la r</w:t>
      </w:r>
      <w:r w:rsidRPr="00246AE4">
        <w:rPr>
          <w:color w:val="000000"/>
          <w:lang w:eastAsia="fr-FR" w:bidi="fr-FR"/>
        </w:rPr>
        <w:t>é</w:t>
      </w:r>
      <w:r w:rsidRPr="00246AE4">
        <w:rPr>
          <w:color w:val="000000"/>
          <w:lang w:eastAsia="fr-FR" w:bidi="fr-FR"/>
        </w:rPr>
        <w:t xml:space="preserve">gion. Tous, ils renferment des indications bibliographiques. Mais il faut accorder une mention spéciale aux deux excellents répertoires de </w:t>
      </w:r>
      <w:r w:rsidRPr="00246AE4">
        <w:rPr>
          <w:color w:val="000000"/>
          <w:lang w:eastAsia="fr-FR" w:bidi="fr-FR"/>
        </w:rPr>
        <w:lastRenderedPageBreak/>
        <w:t xml:space="preserve">bibliographie courante que voici : la </w:t>
      </w:r>
      <w:r w:rsidRPr="00A64A73">
        <w:rPr>
          <w:i/>
        </w:rPr>
        <w:t>Bibliographie historique du Vexi</w:t>
      </w:r>
      <w:r>
        <w:rPr>
          <w:i/>
        </w:rPr>
        <w:t>n</w:t>
      </w:r>
      <w:r w:rsidRPr="00A64A73">
        <w:rPr>
          <w:i/>
        </w:rPr>
        <w:t xml:space="preserve"> et du département de Seine-et-Oise</w:t>
      </w:r>
      <w:r w:rsidRPr="00246AE4">
        <w:rPr>
          <w:color w:val="000000"/>
          <w:lang w:eastAsia="fr-FR" w:bidi="fr-FR"/>
        </w:rPr>
        <w:t xml:space="preserve"> que M. Louis Régnier a donnée pendant plusieurs années aux </w:t>
      </w:r>
      <w:r w:rsidRPr="00A64A73">
        <w:rPr>
          <w:i/>
        </w:rPr>
        <w:t>Mémoires de la Société Histor</w:t>
      </w:r>
      <w:r w:rsidRPr="00A64A73">
        <w:rPr>
          <w:i/>
        </w:rPr>
        <w:t>i</w:t>
      </w:r>
      <w:r w:rsidRPr="00A64A73">
        <w:rPr>
          <w:i/>
        </w:rPr>
        <w:t>que de Pontoise</w:t>
      </w:r>
      <w:r w:rsidRPr="00246AE4">
        <w:rPr>
          <w:color w:val="000000"/>
          <w:lang w:eastAsia="fr-FR" w:bidi="fr-FR"/>
        </w:rPr>
        <w:t xml:space="preserve"> et dont la publication malheureusement semble arr</w:t>
      </w:r>
      <w:r w:rsidRPr="00246AE4">
        <w:rPr>
          <w:color w:val="000000"/>
          <w:lang w:eastAsia="fr-FR" w:bidi="fr-FR"/>
        </w:rPr>
        <w:t>ê</w:t>
      </w:r>
      <w:r w:rsidRPr="00246AE4">
        <w:rPr>
          <w:color w:val="000000"/>
          <w:lang w:eastAsia="fr-FR" w:bidi="fr-FR"/>
        </w:rPr>
        <w:t>tée</w:t>
      </w:r>
      <w:r>
        <w:rPr>
          <w:color w:val="000000"/>
          <w:lang w:eastAsia="fr-FR" w:bidi="fr-FR"/>
        </w:rPr>
        <w:t> </w:t>
      </w:r>
      <w:r>
        <w:rPr>
          <w:rStyle w:val="Appelnotedebasdep"/>
        </w:rPr>
        <w:footnoteReference w:id="503"/>
      </w:r>
      <w:r w:rsidRPr="00246AE4">
        <w:rPr>
          <w:color w:val="000000"/>
          <w:lang w:eastAsia="fr-FR" w:bidi="fr-FR"/>
        </w:rPr>
        <w:t xml:space="preserve">, et surtout </w:t>
      </w:r>
      <w:r w:rsidRPr="00A64A73">
        <w:rPr>
          <w:i/>
          <w:color w:val="000000"/>
          <w:lang w:eastAsia="fr-FR" w:bidi="fr-FR"/>
        </w:rPr>
        <w:t xml:space="preserve">la </w:t>
      </w:r>
      <w:r w:rsidRPr="00A64A73">
        <w:rPr>
          <w:i/>
        </w:rPr>
        <w:t>Bibliographie de l’Histoire de Paris et</w:t>
      </w:r>
      <w:r>
        <w:t xml:space="preserve"> </w:t>
      </w:r>
      <w:r w:rsidRPr="00A64A73">
        <w:rPr>
          <w:i/>
        </w:rPr>
        <w:t>de l’Île-de-France</w:t>
      </w:r>
      <w:r w:rsidRPr="00246AE4">
        <w:rPr>
          <w:color w:val="000000"/>
          <w:lang w:eastAsia="fr-FR" w:bidi="fr-FR"/>
        </w:rPr>
        <w:t xml:space="preserve"> que, de 1898 à 1907, M. Vidier a fait paraître, d’abord tous les ans, puis tous les deux ans, en appendice au </w:t>
      </w:r>
      <w:r w:rsidRPr="00A64A73">
        <w:rPr>
          <w:i/>
        </w:rPr>
        <w:t>Bulletin de la Société de l’Histoire de Paris</w:t>
      </w:r>
      <w:r>
        <w:t> </w:t>
      </w:r>
      <w:r>
        <w:rPr>
          <w:rStyle w:val="Appelnotedebasdep"/>
        </w:rPr>
        <w:footnoteReference w:id="504"/>
      </w:r>
      <w:r w:rsidRPr="00246AE4">
        <w:rPr>
          <w:color w:val="000000"/>
          <w:lang w:eastAsia="fr-FR" w:bidi="fr-FR"/>
        </w:rPr>
        <w:t> ; dressée avec soin et précision, elle était d’un grand secours aux travailleurs, qui voudraient la voir reprise.</w:t>
      </w:r>
    </w:p>
    <w:p w14:paraId="54CE367E" w14:textId="77777777" w:rsidR="00B9662D" w:rsidRPr="00246AE4" w:rsidRDefault="00B9662D" w:rsidP="00B9662D">
      <w:pPr>
        <w:spacing w:before="120" w:after="120"/>
        <w:jc w:val="both"/>
      </w:pPr>
      <w:r w:rsidRPr="00246AE4">
        <w:rPr>
          <w:color w:val="000000"/>
          <w:lang w:eastAsia="fr-FR" w:bidi="fr-FR"/>
        </w:rPr>
        <w:t xml:space="preserve">Inventaires d’archives, </w:t>
      </w:r>
      <w:r w:rsidRPr="00A64A73">
        <w:rPr>
          <w:i/>
        </w:rPr>
        <w:t>corpus</w:t>
      </w:r>
      <w:r w:rsidRPr="00246AE4">
        <w:rPr>
          <w:color w:val="000000"/>
          <w:lang w:eastAsia="fr-FR" w:bidi="fr-FR"/>
        </w:rPr>
        <w:t xml:space="preserve"> d’inscriptions, répertoires archéol</w:t>
      </w:r>
      <w:r w:rsidRPr="00246AE4">
        <w:rPr>
          <w:color w:val="000000"/>
          <w:lang w:eastAsia="fr-FR" w:bidi="fr-FR"/>
        </w:rPr>
        <w:t>o</w:t>
      </w:r>
      <w:r w:rsidRPr="00246AE4">
        <w:rPr>
          <w:color w:val="000000"/>
          <w:lang w:eastAsia="fr-FR" w:bidi="fr-FR"/>
        </w:rPr>
        <w:t>giques ou bibliographiques, ces instruments de travail qui, malgré quelques lacunes, ne font point trop défaut à nos érudits, ne sont après tout que des outils. Avec ces outils, qu’a-t-on fait, et que peut-on faire encore ? des problèmes que l’</w:t>
      </w:r>
      <w:r>
        <w:rPr>
          <w:color w:val="000000"/>
          <w:lang w:eastAsia="fr-FR" w:bidi="fr-FR"/>
        </w:rPr>
        <w:t>Île-de-France</w:t>
      </w:r>
      <w:r w:rsidRPr="00246AE4">
        <w:rPr>
          <w:color w:val="000000"/>
          <w:lang w:eastAsia="fr-FR" w:bidi="fr-FR"/>
        </w:rPr>
        <w:t xml:space="preserve"> pose à son historien le</w:t>
      </w:r>
      <w:r w:rsidRPr="00246AE4">
        <w:rPr>
          <w:color w:val="000000"/>
          <w:lang w:eastAsia="fr-FR" w:bidi="fr-FR"/>
        </w:rPr>
        <w:t>s</w:t>
      </w:r>
      <w:r w:rsidRPr="00246AE4">
        <w:rPr>
          <w:color w:val="000000"/>
          <w:lang w:eastAsia="fr-FR" w:bidi="fr-FR"/>
        </w:rPr>
        <w:t>quels sont résolus et lesquels à résoudre ? Voilà ce qu’il nous faut maintenant examiner.</w:t>
      </w:r>
    </w:p>
    <w:p w14:paraId="060D630F" w14:textId="77777777" w:rsidR="00B9662D" w:rsidRDefault="00B9662D" w:rsidP="00B9662D">
      <w:pPr>
        <w:spacing w:before="120" w:after="120"/>
        <w:jc w:val="both"/>
      </w:pPr>
      <w:r w:rsidRPr="00246AE4">
        <w:br w:type="page"/>
      </w:r>
      <w:r>
        <w:lastRenderedPageBreak/>
        <w:t>[734]</w:t>
      </w:r>
    </w:p>
    <w:p w14:paraId="4A9DDD69" w14:textId="77777777" w:rsidR="00B9662D" w:rsidRPr="00246AE4" w:rsidRDefault="00B9662D" w:rsidP="00B9662D">
      <w:pPr>
        <w:spacing w:before="120" w:after="120"/>
        <w:jc w:val="both"/>
      </w:pPr>
    </w:p>
    <w:p w14:paraId="2543F05E" w14:textId="77777777" w:rsidR="00B9662D" w:rsidRPr="00246AE4" w:rsidRDefault="00B9662D" w:rsidP="00B9662D">
      <w:pPr>
        <w:pStyle w:val="a"/>
      </w:pPr>
      <w:bookmarkStart w:id="33" w:name="Melanges_t2_pt_7_chap_II_III_appendice"/>
      <w:r w:rsidRPr="00246AE4">
        <w:t>APPENDICE</w:t>
      </w:r>
      <w:r>
        <w:t> </w:t>
      </w:r>
      <w:r w:rsidRPr="003301CB">
        <w:rPr>
          <w:rStyle w:val="Appelnotedebasdep"/>
          <w:b w:val="0"/>
          <w:i w:val="0"/>
        </w:rPr>
        <w:footnoteReference w:id="505"/>
      </w:r>
    </w:p>
    <w:bookmarkEnd w:id="33"/>
    <w:p w14:paraId="3A691D37" w14:textId="77777777" w:rsidR="00B9662D" w:rsidRDefault="00B9662D" w:rsidP="00B9662D">
      <w:pPr>
        <w:spacing w:before="120" w:after="120"/>
        <w:jc w:val="both"/>
      </w:pPr>
    </w:p>
    <w:p w14:paraId="6D92A35D"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D922591" w14:textId="77777777" w:rsidR="00B9662D" w:rsidRDefault="00B9662D" w:rsidP="00B9662D">
      <w:pPr>
        <w:spacing w:before="120" w:after="120"/>
        <w:jc w:val="both"/>
      </w:pPr>
      <w:r w:rsidRPr="00246AE4">
        <w:t>État des Archives des Départements de l’Eure-et-Loir, du Loiret,</w:t>
      </w:r>
      <w:r>
        <w:t xml:space="preserve"> </w:t>
      </w:r>
      <w:r w:rsidRPr="00246AE4">
        <w:rPr>
          <w:color w:val="000000"/>
          <w:lang w:eastAsia="fr-FR" w:bidi="fr-FR"/>
        </w:rPr>
        <w:t xml:space="preserve">de la Seine-et-Marne et de la Seine-et-Oise au </w:t>
      </w:r>
      <w:r w:rsidRPr="00246AE4">
        <w:t>1</w:t>
      </w:r>
      <w:r w:rsidRPr="00246AE4">
        <w:rPr>
          <w:vertAlign w:val="superscript"/>
        </w:rPr>
        <w:t>er</w:t>
      </w:r>
      <w:r w:rsidRPr="00246AE4">
        <w:t xml:space="preserve"> </w:t>
      </w:r>
      <w:r w:rsidRPr="00246AE4">
        <w:rPr>
          <w:color w:val="000000"/>
          <w:lang w:eastAsia="fr-FR" w:bidi="fr-FR"/>
        </w:rPr>
        <w:t xml:space="preserve">juillet </w:t>
      </w:r>
      <w:r w:rsidRPr="00246AE4">
        <w:t>1913</w:t>
      </w:r>
    </w:p>
    <w:p w14:paraId="5AB7EC0A" w14:textId="77777777" w:rsidR="00B9662D" w:rsidRDefault="00B9662D" w:rsidP="00B9662D">
      <w:pPr>
        <w:spacing w:before="120" w:after="120"/>
        <w:jc w:val="both"/>
        <w:rPr>
          <w:color w:val="000000"/>
          <w:lang w:eastAsia="fr-FR" w:bidi="fr-FR"/>
        </w:rPr>
      </w:pPr>
    </w:p>
    <w:p w14:paraId="5CE71698" w14:textId="77777777" w:rsidR="00B9662D" w:rsidRPr="00F361D0" w:rsidRDefault="00B9662D" w:rsidP="00B9662D">
      <w:pPr>
        <w:spacing w:before="120" w:after="120"/>
        <w:jc w:val="both"/>
      </w:pPr>
      <w:r w:rsidRPr="00246AE4">
        <w:rPr>
          <w:color w:val="000000"/>
          <w:lang w:eastAsia="fr-FR" w:bidi="fr-FR"/>
        </w:rPr>
        <w:t xml:space="preserve">On trouvera indiqués ci-dessous : </w:t>
      </w:r>
      <w:r w:rsidRPr="00F361D0">
        <w:rPr>
          <w:rStyle w:val="Corpsdutexte128ptItaliqueEspacement0pt"/>
          <w:b w:val="0"/>
          <w:spacing w:val="0"/>
          <w:sz w:val="28"/>
          <w:lang w:val="fr-CA"/>
        </w:rPr>
        <w:t>A)</w:t>
      </w:r>
      <w:r w:rsidRPr="00F361D0">
        <w:rPr>
          <w:color w:val="000000"/>
          <w:lang w:eastAsia="fr-FR" w:bidi="fr-FR"/>
        </w:rPr>
        <w:t xml:space="preserve"> les inventaires ou répertoires numériques non indiqués dans </w:t>
      </w:r>
      <w:r>
        <w:rPr>
          <w:color w:val="000000"/>
          <w:lang w:eastAsia="fr-FR" w:bidi="fr-FR"/>
        </w:rPr>
        <w:t>l’</w:t>
      </w:r>
      <w:r w:rsidRPr="00F361D0">
        <w:rPr>
          <w:rStyle w:val="Corpsdutexte128ptItaliqueEspacement0pt"/>
          <w:b w:val="0"/>
          <w:spacing w:val="0"/>
          <w:sz w:val="28"/>
          <w:lang w:val="fr-CA"/>
        </w:rPr>
        <w:t>État des inventaires des archives n</w:t>
      </w:r>
      <w:r w:rsidRPr="00F361D0">
        <w:rPr>
          <w:rStyle w:val="Corpsdutexte128ptItaliqueEspacement0pt"/>
          <w:b w:val="0"/>
          <w:spacing w:val="0"/>
          <w:sz w:val="28"/>
          <w:lang w:val="fr-CA"/>
        </w:rPr>
        <w:t>a</w:t>
      </w:r>
      <w:r w:rsidRPr="00F361D0">
        <w:rPr>
          <w:rStyle w:val="Corpsdutexte128ptItaliqueEspacement0pt"/>
          <w:b w:val="0"/>
          <w:spacing w:val="0"/>
          <w:sz w:val="28"/>
          <w:lang w:val="fr-CA"/>
        </w:rPr>
        <w:t>tionales, départementales, communales et hospitalières</w:t>
      </w:r>
      <w:r w:rsidRPr="00F361D0">
        <w:rPr>
          <w:color w:val="000000"/>
          <w:lang w:eastAsia="fr-FR" w:bidi="fr-FR"/>
        </w:rPr>
        <w:t xml:space="preserve"> paru en ja</w:t>
      </w:r>
      <w:r w:rsidRPr="00F361D0">
        <w:rPr>
          <w:color w:val="000000"/>
          <w:lang w:eastAsia="fr-FR" w:bidi="fr-FR"/>
        </w:rPr>
        <w:t>n</w:t>
      </w:r>
      <w:r w:rsidRPr="00F361D0">
        <w:rPr>
          <w:color w:val="000000"/>
          <w:lang w:eastAsia="fr-FR" w:bidi="fr-FR"/>
        </w:rPr>
        <w:t xml:space="preserve">vier 1902 ; </w:t>
      </w:r>
      <w:r w:rsidRPr="00F361D0">
        <w:rPr>
          <w:rStyle w:val="Corpsdutexte128ptItaliqueEspacement0pt"/>
          <w:b w:val="0"/>
          <w:spacing w:val="0"/>
          <w:sz w:val="28"/>
          <w:lang w:val="fr-CA"/>
        </w:rPr>
        <w:t>B)</w:t>
      </w:r>
      <w:r w:rsidRPr="00F361D0">
        <w:rPr>
          <w:color w:val="000000"/>
          <w:lang w:eastAsia="fr-FR" w:bidi="fr-FR"/>
        </w:rPr>
        <w:t xml:space="preserve"> les inventaires ou répertoires manuscrits modernes mis à la disposition des travailleurs.</w:t>
      </w:r>
    </w:p>
    <w:p w14:paraId="285AB2B1" w14:textId="77777777" w:rsidR="00B9662D" w:rsidRDefault="00B9662D" w:rsidP="00B9662D">
      <w:pPr>
        <w:spacing w:before="120" w:after="120"/>
        <w:jc w:val="both"/>
      </w:pPr>
    </w:p>
    <w:p w14:paraId="3A85F23D" w14:textId="77777777" w:rsidR="00B9662D" w:rsidRPr="00521F18" w:rsidRDefault="00B9662D" w:rsidP="00B9662D">
      <w:pPr>
        <w:spacing w:before="120" w:after="120"/>
        <w:jc w:val="center"/>
        <w:rPr>
          <w:b/>
        </w:rPr>
      </w:pPr>
      <w:r w:rsidRPr="00521F18">
        <w:rPr>
          <w:b/>
        </w:rPr>
        <w:t>Eure-et-Loir</w:t>
      </w:r>
    </w:p>
    <w:p w14:paraId="3FAAE201" w14:textId="77777777" w:rsidR="00B9662D" w:rsidRDefault="00B9662D" w:rsidP="00B9662D">
      <w:pPr>
        <w:spacing w:before="120" w:after="120"/>
        <w:jc w:val="both"/>
        <w:rPr>
          <w:rStyle w:val="Corpsdutexte785ptNonItaliqueEspacement0pt"/>
          <w:b w:val="0"/>
          <w:i w:val="0"/>
          <w:iCs w:val="0"/>
          <w:sz w:val="28"/>
          <w:lang w:val="fr-CA"/>
        </w:rPr>
      </w:pPr>
    </w:p>
    <w:p w14:paraId="19AD2405" w14:textId="77777777" w:rsidR="00B9662D" w:rsidRPr="00F361D0" w:rsidRDefault="00B9662D" w:rsidP="00B9662D">
      <w:pPr>
        <w:spacing w:before="120" w:after="120"/>
        <w:jc w:val="both"/>
      </w:pPr>
      <w:r w:rsidRPr="00422F7D">
        <w:rPr>
          <w:rStyle w:val="Corpsdutexte785ptNonItaliqueEspacement0pt"/>
          <w:b w:val="0"/>
          <w:iCs w:val="0"/>
          <w:sz w:val="28"/>
          <w:lang w:val="fr-CA"/>
        </w:rPr>
        <w:t>A</w:t>
      </w:r>
      <w:r>
        <w:rPr>
          <w:rStyle w:val="Corpsdutexte785ptNonItaliqueEspacement0pt"/>
          <w:b w:val="0"/>
          <w:i w:val="0"/>
          <w:iCs w:val="0"/>
          <w:sz w:val="28"/>
          <w:lang w:val="fr-CA"/>
        </w:rPr>
        <w:t xml:space="preserve">. </w:t>
      </w:r>
      <w:r w:rsidRPr="00F361D0">
        <w:rPr>
          <w:rStyle w:val="Corpsdutexte785ptNonItaliqueEspacement0pt"/>
          <w:b w:val="0"/>
          <w:i w:val="0"/>
          <w:iCs w:val="0"/>
          <w:sz w:val="28"/>
          <w:lang w:val="fr-CA"/>
        </w:rPr>
        <w:t xml:space="preserve">série H : </w:t>
      </w:r>
      <w:r w:rsidRPr="00422F7D">
        <w:rPr>
          <w:i/>
          <w:color w:val="000000"/>
          <w:lang w:eastAsia="fr-FR" w:bidi="fr-FR"/>
        </w:rPr>
        <w:t>Inventaire</w:t>
      </w:r>
      <w:r w:rsidRPr="00F361D0">
        <w:rPr>
          <w:color w:val="000000"/>
          <w:lang w:eastAsia="fr-FR" w:bidi="fr-FR"/>
        </w:rPr>
        <w:t>.</w:t>
      </w:r>
    </w:p>
    <w:p w14:paraId="224B9D9F" w14:textId="77777777" w:rsidR="00B9662D" w:rsidRPr="00F361D0" w:rsidRDefault="00B9662D" w:rsidP="00B9662D">
      <w:pPr>
        <w:spacing w:before="120" w:after="120"/>
        <w:jc w:val="both"/>
      </w:pPr>
      <w:r>
        <w:rPr>
          <w:rStyle w:val="Corpsdutexte128ptItaliqueEspacement0pt"/>
          <w:b w:val="0"/>
          <w:i w:val="0"/>
          <w:spacing w:val="0"/>
          <w:sz w:val="28"/>
          <w:lang w:val="fr-CA"/>
        </w:rPr>
        <w:t xml:space="preserve">B. </w:t>
      </w:r>
      <w:r w:rsidRPr="00F361D0">
        <w:rPr>
          <w:rStyle w:val="Corpsdutexte128ptItaliqueEspacement0pt"/>
          <w:b w:val="0"/>
          <w:spacing w:val="0"/>
          <w:sz w:val="28"/>
          <w:lang w:val="fr-CA"/>
        </w:rPr>
        <w:t>Répertoires manuscrits !</w:t>
      </w:r>
      <w:r w:rsidRPr="00F361D0">
        <w:rPr>
          <w:color w:val="000000"/>
          <w:lang w:eastAsia="fr-FR" w:bidi="fr-FR"/>
        </w:rPr>
        <w:t xml:space="preserve"> 1° des accroissements apportés à la s</w:t>
      </w:r>
      <w:r w:rsidRPr="00F361D0">
        <w:rPr>
          <w:color w:val="000000"/>
          <w:lang w:eastAsia="fr-FR" w:bidi="fr-FR"/>
        </w:rPr>
        <w:t>é</w:t>
      </w:r>
      <w:r w:rsidRPr="00F361D0">
        <w:rPr>
          <w:color w:val="000000"/>
          <w:lang w:eastAsia="fr-FR" w:bidi="fr-FR"/>
        </w:rPr>
        <w:t xml:space="preserve">rie E depuis l’apparition de </w:t>
      </w:r>
      <w:r>
        <w:rPr>
          <w:color w:val="000000"/>
          <w:lang w:eastAsia="fr-FR" w:bidi="fr-FR"/>
        </w:rPr>
        <w:t>l’</w:t>
      </w:r>
      <w:r w:rsidRPr="00F361D0">
        <w:rPr>
          <w:rStyle w:val="Corpsdutexte128ptItaliqueEspacement0pt"/>
          <w:b w:val="0"/>
          <w:spacing w:val="0"/>
          <w:sz w:val="28"/>
          <w:lang w:val="fr-CA"/>
        </w:rPr>
        <w:t>Inventaire</w:t>
      </w:r>
      <w:r w:rsidRPr="00F361D0">
        <w:rPr>
          <w:color w:val="000000"/>
          <w:lang w:eastAsia="fr-FR" w:bidi="fr-FR"/>
        </w:rPr>
        <w:t xml:space="preserve"> imprimé ; 2° des séries Q, M, O (jusqu’en 1875) et P.</w:t>
      </w:r>
    </w:p>
    <w:p w14:paraId="49EAB361" w14:textId="77777777" w:rsidR="00B9662D" w:rsidRDefault="00B9662D" w:rsidP="00B9662D">
      <w:pPr>
        <w:spacing w:before="120" w:after="120"/>
        <w:jc w:val="both"/>
      </w:pPr>
    </w:p>
    <w:p w14:paraId="4BF0692E" w14:textId="77777777" w:rsidR="00B9662D" w:rsidRPr="00521F18" w:rsidRDefault="00B9662D" w:rsidP="00B9662D">
      <w:pPr>
        <w:spacing w:before="120" w:after="120"/>
        <w:jc w:val="center"/>
        <w:rPr>
          <w:b/>
        </w:rPr>
      </w:pPr>
      <w:r w:rsidRPr="00521F18">
        <w:rPr>
          <w:b/>
        </w:rPr>
        <w:t>Loiret</w:t>
      </w:r>
    </w:p>
    <w:p w14:paraId="60FFD47D" w14:textId="77777777" w:rsidR="00B9662D" w:rsidRDefault="00B9662D" w:rsidP="00B9662D">
      <w:pPr>
        <w:spacing w:before="120" w:after="120"/>
        <w:jc w:val="both"/>
        <w:rPr>
          <w:color w:val="000000"/>
          <w:lang w:eastAsia="fr-FR" w:bidi="fr-FR"/>
        </w:rPr>
      </w:pPr>
    </w:p>
    <w:p w14:paraId="5187A3E3" w14:textId="77777777" w:rsidR="00B9662D" w:rsidRPr="00F361D0" w:rsidRDefault="00B9662D" w:rsidP="00B9662D">
      <w:pPr>
        <w:spacing w:before="120" w:after="120"/>
        <w:jc w:val="both"/>
      </w:pPr>
      <w:r w:rsidRPr="00F361D0">
        <w:rPr>
          <w:color w:val="000000"/>
          <w:lang w:eastAsia="fr-FR" w:bidi="fr-FR"/>
        </w:rPr>
        <w:t xml:space="preserve"> </w:t>
      </w:r>
      <w:r w:rsidRPr="00422F7D">
        <w:rPr>
          <w:i/>
          <w:color w:val="000000"/>
          <w:lang w:eastAsia="fr-FR" w:bidi="fr-FR"/>
        </w:rPr>
        <w:t>A</w:t>
      </w:r>
      <w:r>
        <w:rPr>
          <w:color w:val="000000"/>
          <w:lang w:eastAsia="fr-FR" w:bidi="fr-FR"/>
        </w:rPr>
        <w:t>. </w:t>
      </w:r>
      <w:r w:rsidRPr="00F361D0">
        <w:rPr>
          <w:color w:val="000000"/>
          <w:lang w:eastAsia="fr-FR" w:bidi="fr-FR"/>
        </w:rPr>
        <w:t xml:space="preserve">1° : série B : t. II de </w:t>
      </w:r>
      <w:r>
        <w:rPr>
          <w:color w:val="000000"/>
          <w:lang w:eastAsia="fr-FR" w:bidi="fr-FR"/>
        </w:rPr>
        <w:t>l’</w:t>
      </w:r>
      <w:r w:rsidRPr="00F361D0">
        <w:rPr>
          <w:rStyle w:val="Corpsdutexte128ptItaliqueEspacement0pt"/>
          <w:b w:val="0"/>
          <w:spacing w:val="0"/>
          <w:sz w:val="28"/>
          <w:lang w:val="fr-CA"/>
        </w:rPr>
        <w:t>Inventaire,</w:t>
      </w:r>
      <w:r w:rsidRPr="00F361D0">
        <w:rPr>
          <w:color w:val="000000"/>
          <w:lang w:eastAsia="fr-FR" w:bidi="fr-FR"/>
        </w:rPr>
        <w:t xml:space="preserve"> paru en 1900 (art. 1536 à 3025) ; n’épuise pas le fonds ; 2° : série D : </w:t>
      </w:r>
      <w:r w:rsidRPr="00F361D0">
        <w:rPr>
          <w:rStyle w:val="Corpsdutexte128ptItaliqueEspacement0pt"/>
          <w:b w:val="0"/>
          <w:spacing w:val="0"/>
          <w:sz w:val="28"/>
          <w:lang w:val="fr-CA"/>
        </w:rPr>
        <w:t>Inventaire</w:t>
      </w:r>
      <w:r w:rsidRPr="00F361D0">
        <w:rPr>
          <w:color w:val="000000"/>
          <w:lang w:eastAsia="fr-FR" w:bidi="fr-FR"/>
        </w:rPr>
        <w:t xml:space="preserve"> ; 3° : série G : </w:t>
      </w:r>
      <w:r w:rsidRPr="00F361D0">
        <w:rPr>
          <w:rStyle w:val="Corpsdutexte128ptItaliqueEspacement0pt"/>
          <w:b w:val="0"/>
          <w:spacing w:val="0"/>
          <w:sz w:val="28"/>
          <w:lang w:val="fr-CA"/>
        </w:rPr>
        <w:t>Répertoire Numérique,</w:t>
      </w:r>
      <w:r w:rsidRPr="00F361D0">
        <w:rPr>
          <w:color w:val="000000"/>
          <w:lang w:eastAsia="fr-FR" w:bidi="fr-FR"/>
        </w:rPr>
        <w:t xml:space="preserve"> art. 1 à 1402 (fonds de l’Évêché, du Chapitre, </w:t>
      </w:r>
      <w:r w:rsidRPr="00F361D0">
        <w:rPr>
          <w:color w:val="000000"/>
          <w:lang w:eastAsia="fr-FR" w:bidi="fr-FR"/>
        </w:rPr>
        <w:lastRenderedPageBreak/>
        <w:t xml:space="preserve">de l’Officialité, de la Chambre Syndicale du Clergé, du Séminaire) : </w:t>
      </w:r>
      <w:r w:rsidRPr="00F361D0">
        <w:rPr>
          <w:rStyle w:val="Corpsdutexte128ptItaliqueEspacement0pt"/>
          <w:b w:val="0"/>
          <w:spacing w:val="0"/>
          <w:sz w:val="28"/>
          <w:lang w:val="fr-CA"/>
        </w:rPr>
        <w:t>Bullet. Soc. archéol. Orléans,</w:t>
      </w:r>
      <w:r w:rsidRPr="00F361D0">
        <w:rPr>
          <w:color w:val="000000"/>
          <w:lang w:eastAsia="fr-FR" w:bidi="fr-FR"/>
        </w:rPr>
        <w:t xml:space="preserve"> t. XI (1895-97), p. 491-504, t. XII (1898-1901) p. 93-122, 315-364 et 583-598 ; 4° : série I : M. l’archiviste Doinel a publié dans son </w:t>
      </w:r>
      <w:r w:rsidRPr="00F361D0">
        <w:rPr>
          <w:rStyle w:val="Corpsdutexte128ptItaliqueEspacement0pt"/>
          <w:b w:val="0"/>
          <w:spacing w:val="0"/>
          <w:sz w:val="28"/>
          <w:lang w:val="fr-CA"/>
        </w:rPr>
        <w:t xml:space="preserve">Rapport sur </w:t>
      </w:r>
      <w:r>
        <w:rPr>
          <w:rStyle w:val="Corpsdutexte128ptItaliqueEspacement0pt"/>
          <w:b w:val="0"/>
          <w:spacing w:val="0"/>
          <w:sz w:val="28"/>
          <w:lang w:val="fr-CA"/>
        </w:rPr>
        <w:t>l’</w:t>
      </w:r>
      <w:r w:rsidRPr="00F361D0">
        <w:rPr>
          <w:rStyle w:val="Corpsdutexte128ptItaliqueEspacement0pt"/>
          <w:b w:val="0"/>
          <w:spacing w:val="0"/>
          <w:sz w:val="28"/>
          <w:lang w:val="fr-CA"/>
        </w:rPr>
        <w:t>exercice 1891-1892,</w:t>
      </w:r>
      <w:r w:rsidRPr="00F361D0">
        <w:rPr>
          <w:color w:val="000000"/>
          <w:lang w:eastAsia="fr-FR" w:bidi="fr-FR"/>
        </w:rPr>
        <w:t xml:space="preserve"> p. 174-177 un </w:t>
      </w:r>
      <w:r w:rsidRPr="00F361D0">
        <w:rPr>
          <w:rStyle w:val="Corpsdutexte128ptItaliqueEspacement0pt"/>
          <w:b w:val="0"/>
          <w:spacing w:val="0"/>
          <w:sz w:val="28"/>
          <w:lang w:val="fr-CA"/>
        </w:rPr>
        <w:t>Classement des documents sur le protestantisme ;</w:t>
      </w:r>
      <w:r w:rsidRPr="00F361D0">
        <w:rPr>
          <w:color w:val="000000"/>
          <w:lang w:eastAsia="fr-FR" w:bidi="fr-FR"/>
        </w:rPr>
        <w:t xml:space="preserve"> 5° : série K : </w:t>
      </w:r>
      <w:r w:rsidRPr="00F361D0">
        <w:rPr>
          <w:rStyle w:val="Corpsdutexte128ptItaliqueEspacement0pt"/>
          <w:b w:val="0"/>
          <w:spacing w:val="0"/>
          <w:sz w:val="28"/>
          <w:lang w:val="fr-CA"/>
        </w:rPr>
        <w:t>Répertoire Numérique</w:t>
      </w:r>
      <w:r w:rsidRPr="00F361D0">
        <w:rPr>
          <w:color w:val="000000"/>
          <w:lang w:eastAsia="fr-FR" w:bidi="fr-FR"/>
        </w:rPr>
        <w:t xml:space="preserve"> paru en 1913 ; 6° documents ve</w:t>
      </w:r>
      <w:r w:rsidRPr="00F361D0">
        <w:rPr>
          <w:color w:val="000000"/>
          <w:lang w:eastAsia="fr-FR" w:bidi="fr-FR"/>
        </w:rPr>
        <w:t>r</w:t>
      </w:r>
      <w:r w:rsidRPr="00F361D0">
        <w:rPr>
          <w:color w:val="000000"/>
          <w:lang w:eastAsia="fr-FR" w:bidi="fr-FR"/>
        </w:rPr>
        <w:t xml:space="preserve">sés en exécution de la loi de séparation : énumérés dans les </w:t>
      </w:r>
      <w:r w:rsidRPr="00F361D0">
        <w:rPr>
          <w:rStyle w:val="Corpsdutexte128ptItaliqueEspacement0pt"/>
          <w:b w:val="0"/>
          <w:spacing w:val="0"/>
          <w:sz w:val="28"/>
          <w:lang w:val="fr-CA"/>
        </w:rPr>
        <w:t>Rapports</w:t>
      </w:r>
      <w:r w:rsidRPr="00F361D0">
        <w:rPr>
          <w:color w:val="000000"/>
          <w:lang w:eastAsia="fr-FR" w:bidi="fr-FR"/>
        </w:rPr>
        <w:t xml:space="preserve"> de l’Archiviste, années 1907, 1908, 1909.</w:t>
      </w:r>
    </w:p>
    <w:p w14:paraId="5BA72B8E" w14:textId="77777777" w:rsidR="00B9662D" w:rsidRPr="00F361D0" w:rsidRDefault="00B9662D" w:rsidP="00B9662D">
      <w:pPr>
        <w:spacing w:before="120" w:after="120"/>
        <w:jc w:val="both"/>
      </w:pPr>
      <w:r>
        <w:rPr>
          <w:rStyle w:val="Corpsdutexte128ptItaliqueEspacement0pt"/>
          <w:b w:val="0"/>
          <w:spacing w:val="0"/>
          <w:sz w:val="28"/>
          <w:lang w:val="fr-CA"/>
        </w:rPr>
        <w:t>B. </w:t>
      </w:r>
      <w:r w:rsidRPr="00F361D0">
        <w:rPr>
          <w:rStyle w:val="Corpsdutexte128ptItaliqueEspacement0pt"/>
          <w:b w:val="0"/>
          <w:spacing w:val="0"/>
          <w:sz w:val="28"/>
          <w:lang w:val="fr-CA"/>
        </w:rPr>
        <w:t>Répertoires manuscrits</w:t>
      </w:r>
      <w:r w:rsidRPr="00F361D0">
        <w:rPr>
          <w:color w:val="000000"/>
          <w:lang w:eastAsia="fr-FR" w:bidi="fr-FR"/>
        </w:rPr>
        <w:t xml:space="preserve"> des séries C (moins les articles versés en 1905 et 1908), G, art. 1403 à 1806 (fonds de Saint-Aignan et de N.-D. de Cléry), H (art. 1 à 308) et L (moins le supplément à la série).</w:t>
      </w:r>
    </w:p>
    <w:p w14:paraId="373EDC99" w14:textId="77777777" w:rsidR="00B9662D" w:rsidRDefault="00B9662D" w:rsidP="00B9662D">
      <w:pPr>
        <w:spacing w:before="120" w:after="120"/>
        <w:jc w:val="both"/>
      </w:pPr>
    </w:p>
    <w:p w14:paraId="01A1B6A6" w14:textId="77777777" w:rsidR="00B9662D" w:rsidRPr="00521F18" w:rsidRDefault="00B9662D" w:rsidP="00B9662D">
      <w:pPr>
        <w:spacing w:before="120" w:after="120"/>
        <w:jc w:val="center"/>
        <w:rPr>
          <w:b/>
        </w:rPr>
      </w:pPr>
      <w:r w:rsidRPr="00521F18">
        <w:rPr>
          <w:b/>
        </w:rPr>
        <w:t>Seine-et-Marne</w:t>
      </w:r>
    </w:p>
    <w:p w14:paraId="33E8A259" w14:textId="77777777" w:rsidR="00B9662D" w:rsidRPr="00F361D0" w:rsidRDefault="00B9662D" w:rsidP="00B9662D">
      <w:pPr>
        <w:spacing w:before="120" w:after="120"/>
        <w:jc w:val="both"/>
      </w:pPr>
    </w:p>
    <w:p w14:paraId="7EA8F1F8" w14:textId="77777777" w:rsidR="00B9662D" w:rsidRPr="00F361D0" w:rsidRDefault="00B9662D" w:rsidP="00B9662D">
      <w:pPr>
        <w:spacing w:before="120" w:after="120"/>
        <w:jc w:val="both"/>
      </w:pPr>
      <w:r>
        <w:rPr>
          <w:rStyle w:val="Corpsdutexte128ptItaliqueEspacement0pt"/>
          <w:b w:val="0"/>
          <w:spacing w:val="0"/>
          <w:sz w:val="28"/>
          <w:lang w:val="fr-CA"/>
        </w:rPr>
        <w:t>À</w:t>
      </w:r>
      <w:r w:rsidRPr="00F361D0">
        <w:rPr>
          <w:color w:val="000000"/>
          <w:lang w:eastAsia="fr-FR" w:bidi="fr-FR"/>
        </w:rPr>
        <w:t xml:space="preserve"> : 1° série L : </w:t>
      </w:r>
      <w:r w:rsidRPr="00F361D0">
        <w:rPr>
          <w:rStyle w:val="Corpsdutexte128ptItaliqueEspacement0pt"/>
          <w:b w:val="0"/>
          <w:spacing w:val="0"/>
          <w:sz w:val="28"/>
          <w:lang w:val="fr-CA"/>
        </w:rPr>
        <w:t>Inventaire,</w:t>
      </w:r>
      <w:r w:rsidRPr="00F361D0">
        <w:rPr>
          <w:color w:val="000000"/>
          <w:lang w:eastAsia="fr-FR" w:bidi="fr-FR"/>
        </w:rPr>
        <w:t xml:space="preserve"> t. I (art. 1 à 161 ; Lois et Décrets, Conseil général, Directoire et Administration du Départe</w:t>
      </w:r>
      <w:r>
        <w:rPr>
          <w:color w:val="000000"/>
          <w:lang w:eastAsia="fr-FR" w:bidi="fr-FR"/>
        </w:rPr>
        <w:t>ment), paru en 1904 ; 2° série V</w:t>
      </w:r>
      <w:r w:rsidRPr="00F361D0">
        <w:rPr>
          <w:color w:val="000000"/>
          <w:lang w:eastAsia="fr-FR" w:bidi="fr-FR"/>
        </w:rPr>
        <w:t xml:space="preserve"> : </w:t>
      </w:r>
      <w:r w:rsidRPr="00F361D0">
        <w:rPr>
          <w:rStyle w:val="Corpsdutexte128ptItaliqueEspacement0pt"/>
          <w:b w:val="0"/>
          <w:spacing w:val="0"/>
          <w:sz w:val="28"/>
          <w:lang w:val="fr-CA"/>
        </w:rPr>
        <w:t>Répertoire Numérique,</w:t>
      </w:r>
      <w:r w:rsidRPr="00F361D0">
        <w:rPr>
          <w:color w:val="000000"/>
          <w:lang w:eastAsia="fr-FR" w:bidi="fr-FR"/>
        </w:rPr>
        <w:t xml:space="preserve"> paru en 1910 ; 3° série H : </w:t>
      </w:r>
      <w:r w:rsidRPr="00F361D0">
        <w:rPr>
          <w:rStyle w:val="Corpsdutexte128ptItaliqueEspacement0pt"/>
          <w:b w:val="0"/>
          <w:spacing w:val="0"/>
          <w:sz w:val="28"/>
          <w:lang w:val="fr-CA"/>
        </w:rPr>
        <w:t xml:space="preserve">Inventaire des Archives de </w:t>
      </w:r>
      <w:r>
        <w:rPr>
          <w:rStyle w:val="Corpsdutexte128ptItaliqueEspacement0pt"/>
          <w:b w:val="0"/>
          <w:spacing w:val="0"/>
          <w:sz w:val="28"/>
          <w:lang w:val="fr-CA"/>
        </w:rPr>
        <w:t>l’</w:t>
      </w:r>
      <w:r w:rsidRPr="00F361D0">
        <w:rPr>
          <w:rStyle w:val="Corpsdutexte128ptItaliqueEspacement0pt"/>
          <w:b w:val="0"/>
          <w:spacing w:val="0"/>
          <w:sz w:val="28"/>
          <w:lang w:val="fr-CA"/>
        </w:rPr>
        <w:t>Hôtel-Dieu de Provins,</w:t>
      </w:r>
      <w:r w:rsidRPr="00F361D0">
        <w:rPr>
          <w:color w:val="000000"/>
          <w:lang w:eastAsia="fr-FR" w:bidi="fr-FR"/>
        </w:rPr>
        <w:t xml:space="preserve"> en cours d’impression.</w:t>
      </w:r>
    </w:p>
    <w:p w14:paraId="3257A0EE" w14:textId="77777777" w:rsidR="00B9662D" w:rsidRPr="00F361D0" w:rsidRDefault="00B9662D" w:rsidP="00B9662D">
      <w:pPr>
        <w:spacing w:before="120" w:after="120"/>
        <w:jc w:val="both"/>
      </w:pPr>
      <w:r w:rsidRPr="00F361D0">
        <w:rPr>
          <w:rStyle w:val="Corpsdutexte128ptItaliqueEspacement0pt"/>
          <w:b w:val="0"/>
          <w:spacing w:val="0"/>
          <w:sz w:val="28"/>
          <w:lang w:val="fr-CA"/>
        </w:rPr>
        <w:t>B : Répertoires manuscrits</w:t>
      </w:r>
      <w:r w:rsidRPr="00F361D0">
        <w:rPr>
          <w:color w:val="000000"/>
          <w:lang w:eastAsia="fr-FR" w:bidi="fr-FR"/>
        </w:rPr>
        <w:t xml:space="preserve"> des séries L et Q et des séries modernes M, N, O, P, R, S, T, U, X, Y.</w:t>
      </w:r>
    </w:p>
    <w:p w14:paraId="66C5A6D8" w14:textId="77777777" w:rsidR="00B9662D" w:rsidRDefault="00B9662D" w:rsidP="00B9662D">
      <w:pPr>
        <w:spacing w:before="120" w:after="120"/>
        <w:jc w:val="both"/>
      </w:pPr>
    </w:p>
    <w:p w14:paraId="479EAB3F" w14:textId="77777777" w:rsidR="00B9662D" w:rsidRPr="00521F18" w:rsidRDefault="00B9662D" w:rsidP="00B9662D">
      <w:pPr>
        <w:spacing w:before="120" w:after="120"/>
        <w:jc w:val="center"/>
        <w:rPr>
          <w:b/>
        </w:rPr>
      </w:pPr>
      <w:r w:rsidRPr="00521F18">
        <w:rPr>
          <w:b/>
        </w:rPr>
        <w:t>Seine-et-Oise</w:t>
      </w:r>
    </w:p>
    <w:p w14:paraId="2D1C769D" w14:textId="77777777" w:rsidR="00B9662D" w:rsidRDefault="00B9662D" w:rsidP="00B9662D">
      <w:pPr>
        <w:spacing w:before="120" w:after="120"/>
        <w:jc w:val="both"/>
        <w:rPr>
          <w:color w:val="000000"/>
          <w:lang w:eastAsia="fr-FR" w:bidi="fr-FR"/>
        </w:rPr>
      </w:pPr>
    </w:p>
    <w:p w14:paraId="37FF4000" w14:textId="77777777" w:rsidR="00B9662D" w:rsidRPr="00744506" w:rsidRDefault="00B9662D" w:rsidP="00B9662D">
      <w:pPr>
        <w:spacing w:before="120" w:after="120"/>
        <w:jc w:val="both"/>
        <w:rPr>
          <w:b/>
        </w:rPr>
      </w:pPr>
      <w:r w:rsidRPr="00422F7D">
        <w:rPr>
          <w:i/>
          <w:color w:val="000000"/>
          <w:lang w:eastAsia="fr-FR" w:bidi="fr-FR"/>
        </w:rPr>
        <w:t>A</w:t>
      </w:r>
      <w:r w:rsidRPr="00F361D0">
        <w:rPr>
          <w:color w:val="000000"/>
          <w:lang w:eastAsia="fr-FR" w:bidi="fr-FR"/>
        </w:rPr>
        <w:t>.</w:t>
      </w:r>
      <w:r w:rsidRPr="00F361D0">
        <w:rPr>
          <w:rStyle w:val="Corpsdutexte785ptNonItaliqueEspacement0pt"/>
          <w:b w:val="0"/>
          <w:i w:val="0"/>
          <w:iCs w:val="0"/>
          <w:sz w:val="28"/>
          <w:lang w:val="fr-CA"/>
        </w:rPr>
        <w:t xml:space="preserve"> 1° : série A : </w:t>
      </w:r>
      <w:r w:rsidRPr="00422F7D">
        <w:rPr>
          <w:i/>
          <w:color w:val="000000"/>
          <w:lang w:eastAsia="fr-FR" w:bidi="fr-FR"/>
        </w:rPr>
        <w:t>Inventaire</w:t>
      </w:r>
      <w:r w:rsidRPr="00F361D0">
        <w:rPr>
          <w:rStyle w:val="Corpsdutexte785ptNonItaliqueEspacement0pt"/>
          <w:b w:val="0"/>
          <w:i w:val="0"/>
          <w:iCs w:val="0"/>
          <w:sz w:val="28"/>
          <w:lang w:val="fr-CA"/>
        </w:rPr>
        <w:t xml:space="preserve"> paru en 1862, mais non distribué, se consulte aux archives ; 2° : série C : </w:t>
      </w:r>
      <w:r w:rsidRPr="00422F7D">
        <w:rPr>
          <w:i/>
          <w:color w:val="000000"/>
          <w:lang w:eastAsia="fr-FR" w:bidi="fr-FR"/>
        </w:rPr>
        <w:t>Répertoire numérique</w:t>
      </w:r>
      <w:r w:rsidRPr="00F361D0">
        <w:rPr>
          <w:color w:val="000000"/>
          <w:lang w:eastAsia="fr-FR" w:bidi="fr-FR"/>
        </w:rPr>
        <w:t>,</w:t>
      </w:r>
      <w:r w:rsidRPr="00F361D0">
        <w:rPr>
          <w:rStyle w:val="Corpsdutexte785ptNonItaliqueEspacement0pt"/>
          <w:b w:val="0"/>
          <w:i w:val="0"/>
          <w:iCs w:val="0"/>
          <w:sz w:val="28"/>
          <w:lang w:val="fr-CA"/>
        </w:rPr>
        <w:t xml:space="preserve"> paru en 1912 ; Cf. E. Coüard :</w:t>
      </w:r>
      <w:r w:rsidRPr="00246AE4">
        <w:rPr>
          <w:rStyle w:val="Corpsdutexte785ptNonItaliqueEspacement0pt"/>
          <w:i w:val="0"/>
          <w:iCs w:val="0"/>
          <w:sz w:val="28"/>
          <w:lang w:val="fr-CA"/>
        </w:rPr>
        <w:t xml:space="preserve"> </w:t>
      </w:r>
      <w:r w:rsidRPr="00422F7D">
        <w:rPr>
          <w:i/>
          <w:color w:val="000000"/>
          <w:lang w:eastAsia="fr-FR" w:bidi="fr-FR"/>
        </w:rPr>
        <w:t>Catalogue spécial des plans, dits plans de l’Intendance, conservés aux Archives Départementales de Seine-</w:t>
      </w:r>
      <w:r w:rsidRPr="00744506">
        <w:rPr>
          <w:rStyle w:val="Corpsdutexte128ptItaliqueEspacement0pt"/>
          <w:b w:val="0"/>
          <w:spacing w:val="0"/>
          <w:sz w:val="28"/>
          <w:lang w:val="fr-CA"/>
        </w:rPr>
        <w:t>et-Oise</w:t>
      </w:r>
      <w:r w:rsidRPr="00744506">
        <w:rPr>
          <w:b/>
          <w:color w:val="000000"/>
          <w:lang w:eastAsia="fr-FR" w:bidi="fr-FR"/>
        </w:rPr>
        <w:t>.</w:t>
      </w:r>
      <w:r>
        <w:t xml:space="preserve"> [735]</w:t>
      </w:r>
      <w:r w:rsidRPr="00744506">
        <w:rPr>
          <w:b/>
          <w:color w:val="000000"/>
          <w:lang w:eastAsia="fr-FR" w:bidi="fr-FR"/>
        </w:rPr>
        <w:t xml:space="preserve"> </w:t>
      </w:r>
      <w:r w:rsidRPr="00744506">
        <w:rPr>
          <w:rStyle w:val="Corpsdutexte128ptItaliqueEspacement0pt"/>
          <w:b w:val="0"/>
          <w:spacing w:val="0"/>
          <w:sz w:val="28"/>
          <w:lang w:val="fr-CA"/>
        </w:rPr>
        <w:t>Annuaire de Seine-et-Oise :</w:t>
      </w:r>
      <w:r w:rsidRPr="00744506">
        <w:rPr>
          <w:color w:val="000000"/>
          <w:lang w:eastAsia="fr-FR" w:bidi="fr-FR"/>
        </w:rPr>
        <w:t xml:space="preserve"> années 1893, 1894, 1895, p. 538-555, 562-579, 564-579 ; 3° : série D : </w:t>
      </w:r>
      <w:r w:rsidRPr="00744506">
        <w:rPr>
          <w:rStyle w:val="Corpsdutexte128ptItaliqueEspacement0pt"/>
          <w:b w:val="0"/>
          <w:spacing w:val="0"/>
          <w:sz w:val="28"/>
          <w:lang w:val="fr-CA"/>
        </w:rPr>
        <w:t>Inventaire</w:t>
      </w:r>
      <w:r w:rsidRPr="00744506">
        <w:rPr>
          <w:color w:val="000000"/>
          <w:lang w:eastAsia="fr-FR" w:bidi="fr-FR"/>
        </w:rPr>
        <w:t xml:space="preserve"> 4° : série L : </w:t>
      </w:r>
      <w:r w:rsidRPr="00744506">
        <w:rPr>
          <w:rStyle w:val="Corpsdutexte128ptItaliqueEspacement0pt"/>
          <w:b w:val="0"/>
          <w:spacing w:val="0"/>
          <w:sz w:val="28"/>
          <w:lang w:val="fr-CA"/>
        </w:rPr>
        <w:t>I</w:t>
      </w:r>
      <w:r w:rsidRPr="00744506">
        <w:rPr>
          <w:rStyle w:val="Corpsdutexte128ptItaliqueEspacement0pt"/>
          <w:b w:val="0"/>
          <w:spacing w:val="0"/>
          <w:sz w:val="28"/>
          <w:lang w:val="fr-CA"/>
        </w:rPr>
        <w:t>n</w:t>
      </w:r>
      <w:r w:rsidRPr="00744506">
        <w:rPr>
          <w:rStyle w:val="Corpsdutexte128ptItaliqueEspacement0pt"/>
          <w:b w:val="0"/>
          <w:spacing w:val="0"/>
          <w:sz w:val="28"/>
          <w:lang w:val="fr-CA"/>
        </w:rPr>
        <w:t>ventaire</w:t>
      </w:r>
      <w:r w:rsidRPr="00744506">
        <w:rPr>
          <w:b/>
          <w:color w:val="000000"/>
          <w:lang w:eastAsia="fr-FR" w:bidi="fr-FR"/>
        </w:rPr>
        <w:t> </w:t>
      </w:r>
      <w:r w:rsidRPr="00744506">
        <w:rPr>
          <w:color w:val="000000"/>
          <w:lang w:eastAsia="fr-FR" w:bidi="fr-FR"/>
        </w:rPr>
        <w:t>: t. I (art. 1-113 : Lois et Décrets ; Délibérations du Conseil général jusqu’au 19 décembre 1793 ; Délibérations du Directoire ju</w:t>
      </w:r>
      <w:r w:rsidRPr="00744506">
        <w:rPr>
          <w:color w:val="000000"/>
          <w:lang w:eastAsia="fr-FR" w:bidi="fr-FR"/>
        </w:rPr>
        <w:t>s</w:t>
      </w:r>
      <w:r w:rsidRPr="00744506">
        <w:rPr>
          <w:color w:val="000000"/>
          <w:lang w:eastAsia="fr-FR" w:bidi="fr-FR"/>
        </w:rPr>
        <w:t xml:space="preserve">qu’à la même date) ; 4° série Q : </w:t>
      </w:r>
      <w:r w:rsidRPr="00744506">
        <w:rPr>
          <w:rStyle w:val="Corpsdutexte128ptItaliqueEspacement0pt"/>
          <w:b w:val="0"/>
          <w:spacing w:val="0"/>
          <w:sz w:val="28"/>
          <w:lang w:val="fr-CA"/>
        </w:rPr>
        <w:t>Répertoire Numérique.</w:t>
      </w:r>
    </w:p>
    <w:p w14:paraId="5647071B" w14:textId="77777777" w:rsidR="00B9662D" w:rsidRPr="00246AE4" w:rsidRDefault="00B9662D" w:rsidP="00B9662D">
      <w:pPr>
        <w:spacing w:before="120" w:after="120"/>
        <w:jc w:val="both"/>
      </w:pPr>
      <w:r w:rsidRPr="00744506">
        <w:rPr>
          <w:rStyle w:val="Corpsdutexte128ptItaliqueEspacement0pt"/>
          <w:b w:val="0"/>
          <w:spacing w:val="0"/>
          <w:sz w:val="28"/>
          <w:lang w:val="fr-CA"/>
        </w:rPr>
        <w:t>B. Inventaires manuscrits</w:t>
      </w:r>
      <w:r w:rsidRPr="00246AE4">
        <w:rPr>
          <w:color w:val="000000"/>
          <w:lang w:eastAsia="fr-FR" w:bidi="fr-FR"/>
        </w:rPr>
        <w:t xml:space="preserve"> des fonds suivants de la série H : a</w:t>
      </w:r>
      <w:r w:rsidRPr="00246AE4">
        <w:rPr>
          <w:color w:val="000000"/>
          <w:lang w:eastAsia="fr-FR" w:bidi="fr-FR"/>
        </w:rPr>
        <w:t>b</w:t>
      </w:r>
      <w:r w:rsidRPr="00246AE4">
        <w:rPr>
          <w:color w:val="000000"/>
          <w:lang w:eastAsia="fr-FR" w:bidi="fr-FR"/>
        </w:rPr>
        <w:t>bayes de Royaumont, du Val, de Grandchamp, de Joyenval, de Clair</w:t>
      </w:r>
      <w:r w:rsidRPr="00246AE4">
        <w:rPr>
          <w:color w:val="000000"/>
          <w:lang w:eastAsia="fr-FR" w:bidi="fr-FR"/>
        </w:rPr>
        <w:t>e</w:t>
      </w:r>
      <w:r w:rsidRPr="00246AE4">
        <w:rPr>
          <w:color w:val="000000"/>
          <w:lang w:eastAsia="fr-FR" w:bidi="fr-FR"/>
        </w:rPr>
        <w:lastRenderedPageBreak/>
        <w:t>fontaine, d’Hérivaux, de Morigny ; bénédictins du Fort de Meulan ; camaldules de Grosbois ; chartreux d’Orléans et de Paris ; mathurins de Montmorency ; minimes de la Bonne-Maison ; pénitents de Luza</w:t>
      </w:r>
      <w:r w:rsidRPr="00246AE4">
        <w:rPr>
          <w:color w:val="000000"/>
          <w:lang w:eastAsia="fr-FR" w:bidi="fr-FR"/>
        </w:rPr>
        <w:t>r</w:t>
      </w:r>
      <w:r w:rsidRPr="00246AE4">
        <w:rPr>
          <w:color w:val="000000"/>
          <w:lang w:eastAsia="fr-FR" w:bidi="fr-FR"/>
        </w:rPr>
        <w:t>ches et Meulan ; Récollets ; abbayes de la Joie-Villiers, de Saint-Cyr, de Saint-Rémy, de l’Ouye, d’Yerres ; prieuré de Villarceaux ; sœurs de l’Instructions Chrétienne de Bourdeau.</w:t>
      </w:r>
    </w:p>
    <w:p w14:paraId="7DE87F1B" w14:textId="77777777" w:rsidR="00B9662D" w:rsidRDefault="00B9662D" w:rsidP="00B9662D">
      <w:pPr>
        <w:spacing w:before="120" w:after="120"/>
        <w:jc w:val="both"/>
        <w:rPr>
          <w:color w:val="000000"/>
          <w:lang w:eastAsia="fr-FR" w:bidi="fr-FR"/>
        </w:rPr>
      </w:pPr>
      <w:r>
        <w:rPr>
          <w:color w:val="000000"/>
          <w:lang w:eastAsia="fr-FR" w:bidi="fr-FR"/>
        </w:rPr>
        <w:br w:type="page"/>
      </w:r>
      <w:r>
        <w:rPr>
          <w:color w:val="000000"/>
          <w:lang w:eastAsia="fr-FR" w:bidi="fr-FR"/>
        </w:rPr>
        <w:lastRenderedPageBreak/>
        <w:t>[735]</w:t>
      </w:r>
    </w:p>
    <w:p w14:paraId="5B612904" w14:textId="77777777" w:rsidR="00B9662D" w:rsidRDefault="00B9662D" w:rsidP="00B9662D">
      <w:pPr>
        <w:spacing w:before="120" w:after="120"/>
        <w:jc w:val="both"/>
        <w:rPr>
          <w:color w:val="000000"/>
          <w:lang w:eastAsia="fr-FR" w:bidi="fr-FR"/>
        </w:rPr>
      </w:pPr>
    </w:p>
    <w:p w14:paraId="396F622F" w14:textId="77777777" w:rsidR="00B9662D" w:rsidRPr="00246AE4" w:rsidRDefault="00B9662D" w:rsidP="00B9662D">
      <w:pPr>
        <w:pStyle w:val="planche"/>
      </w:pPr>
      <w:bookmarkStart w:id="34" w:name="Melanges_t2_pt_7_chap_II_IV"/>
      <w:r w:rsidRPr="00246AE4">
        <w:rPr>
          <w:color w:val="000000"/>
        </w:rPr>
        <w:t>IV</w:t>
      </w:r>
      <w:r>
        <w:rPr>
          <w:color w:val="000000"/>
        </w:rPr>
        <w:t xml:space="preserve">. — </w:t>
      </w:r>
      <w:r w:rsidRPr="00744506">
        <w:rPr>
          <w:caps/>
        </w:rPr>
        <w:t>l’histoire</w:t>
      </w:r>
      <w:r>
        <w:t xml:space="preserve"> LOCALE</w:t>
      </w:r>
      <w:r>
        <w:br/>
        <w:t>DANS L’Î</w:t>
      </w:r>
      <w:r w:rsidRPr="00246AE4">
        <w:t>LE-DE-FRANCE,</w:t>
      </w:r>
      <w:r>
        <w:br/>
        <w:t>À</w:t>
      </w:r>
      <w:r w:rsidRPr="00246AE4">
        <w:t xml:space="preserve"> L’ÉPOQUE CONTEMPORAINE.</w:t>
      </w:r>
    </w:p>
    <w:bookmarkEnd w:id="34"/>
    <w:p w14:paraId="011675DA" w14:textId="77777777" w:rsidR="00B9662D" w:rsidRDefault="00B9662D" w:rsidP="00B9662D">
      <w:pPr>
        <w:spacing w:before="120" w:after="120"/>
        <w:jc w:val="both"/>
      </w:pPr>
    </w:p>
    <w:p w14:paraId="55B3D854" w14:textId="77777777" w:rsidR="00B9662D" w:rsidRPr="003301CB" w:rsidRDefault="00B9662D" w:rsidP="00B9662D">
      <w:pPr>
        <w:pStyle w:val="a"/>
        <w:rPr>
          <w:smallCaps/>
        </w:rPr>
      </w:pPr>
      <w:bookmarkStart w:id="35" w:name="Melanges_t2_pt_7_chap_II_IV_II"/>
      <w:r w:rsidRPr="003301CB">
        <w:t>II.</w:t>
      </w:r>
      <w:r w:rsidRPr="003301CB">
        <w:rPr>
          <w:color w:val="000000"/>
        </w:rPr>
        <w:t xml:space="preserve"> </w:t>
      </w:r>
      <w:r w:rsidRPr="003301CB">
        <w:t>Les problèmes et les résultats</w:t>
      </w:r>
    </w:p>
    <w:bookmarkEnd w:id="35"/>
    <w:p w14:paraId="6F7EE7D4" w14:textId="77777777" w:rsidR="00B9662D" w:rsidRDefault="00B9662D" w:rsidP="00B9662D">
      <w:pPr>
        <w:spacing w:before="120" w:after="120"/>
        <w:jc w:val="both"/>
      </w:pPr>
    </w:p>
    <w:p w14:paraId="7290A919" w14:textId="77777777" w:rsidR="00B9662D" w:rsidRPr="00246AE4" w:rsidRDefault="00B9662D" w:rsidP="00B9662D">
      <w:pPr>
        <w:pStyle w:val="b"/>
      </w:pPr>
      <w:r w:rsidRPr="00246AE4">
        <w:t xml:space="preserve">1. </w:t>
      </w:r>
      <w:r w:rsidRPr="00744506">
        <w:rPr>
          <w:lang w:eastAsia="fr-FR" w:bidi="fr-FR"/>
        </w:rPr>
        <w:t>Les monographies locales : Villes et villages</w:t>
      </w:r>
      <w:r w:rsidRPr="00246AE4">
        <w:t>.</w:t>
      </w:r>
    </w:p>
    <w:p w14:paraId="32B4124D" w14:textId="77777777" w:rsidR="00B9662D" w:rsidRDefault="00B9662D" w:rsidP="00B9662D">
      <w:pPr>
        <w:spacing w:before="120" w:after="120"/>
        <w:jc w:val="both"/>
        <w:rPr>
          <w:color w:val="000000"/>
          <w:lang w:eastAsia="fr-FR" w:bidi="fr-FR"/>
        </w:rPr>
      </w:pPr>
    </w:p>
    <w:p w14:paraId="412EF54E"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185894D" w14:textId="77777777" w:rsidR="00B9662D" w:rsidRPr="00246AE4" w:rsidRDefault="00B9662D" w:rsidP="00B9662D">
      <w:pPr>
        <w:spacing w:before="120" w:after="120"/>
        <w:jc w:val="both"/>
      </w:pPr>
      <w:r w:rsidRPr="00246AE4">
        <w:rPr>
          <w:color w:val="000000"/>
          <w:lang w:eastAsia="fr-FR" w:bidi="fr-FR"/>
        </w:rPr>
        <w:t>Supposons un érudit qui veut travailler à l’histoire d’une région française, l’</w:t>
      </w:r>
      <w:r>
        <w:rPr>
          <w:color w:val="000000"/>
          <w:lang w:eastAsia="fr-FR" w:bidi="fr-FR"/>
        </w:rPr>
        <w:t>Île-de-France</w:t>
      </w:r>
      <w:r w:rsidRPr="00246AE4">
        <w:rPr>
          <w:color w:val="000000"/>
          <w:lang w:eastAsia="fr-FR" w:bidi="fr-FR"/>
        </w:rPr>
        <w:t xml:space="preserve"> par exemple. Souvent ce n’est point telle ou telle question spéciale ou tel ordre de questions qui l’attire : mais si</w:t>
      </w:r>
      <w:r w:rsidRPr="00246AE4">
        <w:rPr>
          <w:color w:val="000000"/>
          <w:lang w:eastAsia="fr-FR" w:bidi="fr-FR"/>
        </w:rPr>
        <w:t>m</w:t>
      </w:r>
      <w:r w:rsidRPr="00246AE4">
        <w:rPr>
          <w:color w:val="000000"/>
          <w:lang w:eastAsia="fr-FR" w:bidi="fr-FR"/>
        </w:rPr>
        <w:t>plement le désir d’aider à débrouiller le passé d’un pays qui est le sien. Un choix s’offre à lui, il lui faut tout d’abord opter : quel cadre donner à ses recherches ? quelle forme à l’exposé de ses résultats ? Bien fréquemment</w:t>
      </w:r>
      <w:r>
        <w:rPr>
          <w:color w:val="000000"/>
          <w:lang w:eastAsia="fr-FR" w:bidi="fr-FR"/>
        </w:rPr>
        <w:t> — </w:t>
      </w:r>
      <w:r w:rsidRPr="00246AE4">
        <w:rPr>
          <w:color w:val="000000"/>
          <w:lang w:eastAsia="fr-FR" w:bidi="fr-FR"/>
        </w:rPr>
        <w:t>et cela est naturel</w:t>
      </w:r>
      <w:r>
        <w:rPr>
          <w:color w:val="000000"/>
          <w:lang w:eastAsia="fr-FR" w:bidi="fr-FR"/>
        </w:rPr>
        <w:t> — </w:t>
      </w:r>
      <w:r w:rsidRPr="00246AE4">
        <w:rPr>
          <w:color w:val="000000"/>
          <w:lang w:eastAsia="fr-FR" w:bidi="fr-FR"/>
        </w:rPr>
        <w:t>c’est, de préférence à tout autre genre d’ouvrage, une monographie locale qu’il composera : j’entends par monographies locales ces livres où l’auteur traite de l’histoire, si je puis dire, intégrale</w:t>
      </w:r>
      <w:r>
        <w:rPr>
          <w:color w:val="000000"/>
          <w:lang w:eastAsia="fr-FR" w:bidi="fr-FR"/>
        </w:rPr>
        <w:t> — </w:t>
      </w:r>
      <w:r w:rsidRPr="00246AE4">
        <w:rPr>
          <w:color w:val="000000"/>
          <w:lang w:eastAsia="fr-FR" w:bidi="fr-FR"/>
        </w:rPr>
        <w:t>politique, religieuse, archéolog</w:t>
      </w:r>
      <w:r w:rsidRPr="00246AE4">
        <w:rPr>
          <w:color w:val="000000"/>
          <w:lang w:eastAsia="fr-FR" w:bidi="fr-FR"/>
        </w:rPr>
        <w:t>i</w:t>
      </w:r>
      <w:r w:rsidRPr="00246AE4">
        <w:rPr>
          <w:color w:val="000000"/>
          <w:lang w:eastAsia="fr-FR" w:bidi="fr-FR"/>
        </w:rPr>
        <w:t>que, économique</w:t>
      </w:r>
      <w:r>
        <w:rPr>
          <w:color w:val="000000"/>
          <w:lang w:eastAsia="fr-FR" w:bidi="fr-FR"/>
        </w:rPr>
        <w:t> — </w:t>
      </w:r>
      <w:r w:rsidRPr="00246AE4">
        <w:rPr>
          <w:color w:val="000000"/>
          <w:lang w:eastAsia="fr-FR" w:bidi="fr-FR"/>
        </w:rPr>
        <w:t>d’une ville ou d’un village</w:t>
      </w:r>
      <w:r>
        <w:rPr>
          <w:color w:val="000000"/>
          <w:lang w:eastAsia="fr-FR" w:bidi="fr-FR"/>
        </w:rPr>
        <w:t> </w:t>
      </w:r>
      <w:r>
        <w:rPr>
          <w:rStyle w:val="Appelnotedebasdep"/>
        </w:rPr>
        <w:footnoteReference w:id="506"/>
      </w:r>
      <w:r w:rsidRPr="00246AE4">
        <w:rPr>
          <w:color w:val="000000"/>
          <w:lang w:eastAsia="fr-FR" w:bidi="fr-FR"/>
        </w:rPr>
        <w:t xml:space="preserve">, soit « depuis les origines jusqu’à nos jours », soit du moins pendant une période très longue. En général c’est de </w:t>
      </w:r>
      <w:r w:rsidRPr="00422F7D">
        <w:rPr>
          <w:i/>
        </w:rPr>
        <w:t>sa</w:t>
      </w:r>
      <w:r w:rsidRPr="00246AE4">
        <w:rPr>
          <w:color w:val="000000"/>
          <w:lang w:eastAsia="fr-FR" w:bidi="fr-FR"/>
        </w:rPr>
        <w:t xml:space="preserve"> ville ou de </w:t>
      </w:r>
      <w:r w:rsidRPr="00246AE4">
        <w:t>son</w:t>
      </w:r>
      <w:r w:rsidRPr="00246AE4">
        <w:rPr>
          <w:color w:val="000000"/>
          <w:lang w:eastAsia="fr-FR" w:bidi="fr-FR"/>
        </w:rPr>
        <w:t xml:space="preserve"> village que s’occupe ainsi l’historien. L’on sent aisément les raisons, infiniment respect</w:t>
      </w:r>
      <w:r w:rsidRPr="00246AE4">
        <w:rPr>
          <w:color w:val="000000"/>
          <w:lang w:eastAsia="fr-FR" w:bidi="fr-FR"/>
        </w:rPr>
        <w:t>a</w:t>
      </w:r>
      <w:r w:rsidRPr="00246AE4">
        <w:rPr>
          <w:color w:val="000000"/>
          <w:lang w:eastAsia="fr-FR" w:bidi="fr-FR"/>
        </w:rPr>
        <w:t>bles, qui font que tant de livres de cett</w:t>
      </w:r>
      <w:r>
        <w:rPr>
          <w:color w:val="000000"/>
          <w:lang w:eastAsia="fr-FR" w:bidi="fr-FR"/>
        </w:rPr>
        <w:t>e sorte ont été écrits, dans l’Î</w:t>
      </w:r>
      <w:r w:rsidRPr="00246AE4">
        <w:rPr>
          <w:color w:val="000000"/>
          <w:lang w:eastAsia="fr-FR" w:bidi="fr-FR"/>
        </w:rPr>
        <w:t xml:space="preserve">le-de-France. Pour porter sur eux un jugement, il sera bon, je crois, d’examiner séparément les monographies urbaines et celles qui ont </w:t>
      </w:r>
      <w:r w:rsidRPr="00246AE4">
        <w:rPr>
          <w:color w:val="000000"/>
          <w:lang w:eastAsia="fr-FR" w:bidi="fr-FR"/>
        </w:rPr>
        <w:lastRenderedPageBreak/>
        <w:t>pour objets de simples villages. Cette distinction, de ville à village, dans certains cas que l’on peut appeler des cas-limites, souffre sans doute quelques difficultés. En gros, elle est claire et répond à des di</w:t>
      </w:r>
      <w:r w:rsidRPr="00246AE4">
        <w:rPr>
          <w:color w:val="000000"/>
          <w:lang w:eastAsia="fr-FR" w:bidi="fr-FR"/>
        </w:rPr>
        <w:t>f</w:t>
      </w:r>
      <w:r w:rsidRPr="00246AE4">
        <w:rPr>
          <w:color w:val="000000"/>
          <w:lang w:eastAsia="fr-FR" w:bidi="fr-FR"/>
        </w:rPr>
        <w:t>férences profondes.</w:t>
      </w:r>
    </w:p>
    <w:p w14:paraId="3AF13241" w14:textId="77777777" w:rsidR="00B9662D" w:rsidRPr="00246AE4" w:rsidRDefault="00B9662D" w:rsidP="00B9662D">
      <w:pPr>
        <w:spacing w:before="120" w:after="120"/>
        <w:jc w:val="both"/>
      </w:pPr>
      <w:r w:rsidRPr="00246AE4">
        <w:rPr>
          <w:color w:val="000000"/>
          <w:lang w:eastAsia="fr-FR" w:bidi="fr-FR"/>
        </w:rPr>
        <w:t>Il est peu d’ouvrages qui soient d’une lecture, et, je pense, d’une composition plus attachante qu’un livre bien fait d’histoire urbaine. Il en est peu qui soient plus difficiles à écrire ; et cette difficulté vient à la</w:t>
      </w:r>
      <w:r>
        <w:t xml:space="preserve"> </w:t>
      </w:r>
      <w:r>
        <w:rPr>
          <w:color w:val="000000"/>
          <w:lang w:eastAsia="fr-FR" w:bidi="fr-FR"/>
        </w:rPr>
        <w:t xml:space="preserve">[736] </w:t>
      </w:r>
      <w:r w:rsidRPr="00246AE4">
        <w:rPr>
          <w:color w:val="000000"/>
          <w:lang w:eastAsia="fr-FR" w:bidi="fr-FR"/>
        </w:rPr>
        <w:t>fois de l’extrême variété de connaissances qu’un tel livre suppose chez son auteur et de l’esprit singulièrement net et fin qui est nécessa</w:t>
      </w:r>
      <w:r w:rsidRPr="00246AE4">
        <w:rPr>
          <w:color w:val="000000"/>
          <w:lang w:eastAsia="fr-FR" w:bidi="fr-FR"/>
        </w:rPr>
        <w:t>i</w:t>
      </w:r>
      <w:r w:rsidRPr="00246AE4">
        <w:rPr>
          <w:color w:val="000000"/>
          <w:lang w:eastAsia="fr-FR" w:bidi="fr-FR"/>
        </w:rPr>
        <w:t>re pour délimiter exactement un pareil sujet. Faut-il que l’historien d’une ville recueille, je ne dis point tous les événements, mais même tous les événements importants dont sa ville fut le thé</w:t>
      </w:r>
      <w:r w:rsidRPr="00246AE4">
        <w:rPr>
          <w:color w:val="000000"/>
          <w:lang w:eastAsia="fr-FR" w:bidi="fr-FR"/>
        </w:rPr>
        <w:t>â</w:t>
      </w:r>
      <w:r w:rsidRPr="00246AE4">
        <w:rPr>
          <w:color w:val="000000"/>
          <w:lang w:eastAsia="fr-FR" w:bidi="fr-FR"/>
        </w:rPr>
        <w:t>tre ? Non ce</w:t>
      </w:r>
      <w:r w:rsidRPr="00246AE4">
        <w:rPr>
          <w:color w:val="000000"/>
          <w:lang w:eastAsia="fr-FR" w:bidi="fr-FR"/>
        </w:rPr>
        <w:t>r</w:t>
      </w:r>
      <w:r w:rsidRPr="00246AE4">
        <w:rPr>
          <w:color w:val="000000"/>
          <w:lang w:eastAsia="fr-FR" w:bidi="fr-FR"/>
        </w:rPr>
        <w:t>tes ; car parmi ces événements, il en est sans doute qui, placés par le hasard seul en ce point de l’espace, demeurèrent sans attache dans le passé comme dans l’avenir avec le dessin général des destinées urba</w:t>
      </w:r>
      <w:r w:rsidRPr="00246AE4">
        <w:rPr>
          <w:color w:val="000000"/>
          <w:lang w:eastAsia="fr-FR" w:bidi="fr-FR"/>
        </w:rPr>
        <w:t>i</w:t>
      </w:r>
      <w:r w:rsidRPr="00246AE4">
        <w:rPr>
          <w:color w:val="000000"/>
          <w:lang w:eastAsia="fr-FR" w:bidi="fr-FR"/>
        </w:rPr>
        <w:t>nes. Écrire l’histoire d’une ville, ce n’est point raconter une suite de faits n’ayant entre eux d’autre lien que le pauvre lien de l’unité de lieu. Que sera-ce donc ?</w:t>
      </w:r>
    </w:p>
    <w:p w14:paraId="5221B4F0" w14:textId="77777777" w:rsidR="00B9662D" w:rsidRPr="00246AE4" w:rsidRDefault="00B9662D" w:rsidP="00B9662D">
      <w:pPr>
        <w:spacing w:before="120" w:after="120"/>
        <w:jc w:val="both"/>
      </w:pPr>
      <w:r w:rsidRPr="00246AE4">
        <w:rPr>
          <w:color w:val="000000"/>
          <w:lang w:eastAsia="fr-FR" w:bidi="fr-FR"/>
        </w:rPr>
        <w:t xml:space="preserve">Ce sera d’abord marquer les causes géographiques et historiques qui déterminèrent l’établissement premier de l’agglomération urbaine, son développement, ses déplacements peut-être : tâche délicate ; il faut se garder de conclure trop vite. </w:t>
      </w:r>
      <w:r>
        <w:rPr>
          <w:color w:val="000000"/>
          <w:lang w:eastAsia="fr-FR" w:bidi="fr-FR"/>
        </w:rPr>
        <w:t>À</w:t>
      </w:r>
      <w:r w:rsidRPr="00246AE4">
        <w:rPr>
          <w:color w:val="000000"/>
          <w:lang w:eastAsia="fr-FR" w:bidi="fr-FR"/>
        </w:rPr>
        <w:t xml:space="preserve"> qui observe le site qu’occupe la ville de Pithiviers,</w:t>
      </w:r>
      <w:r>
        <w:rPr>
          <w:color w:val="000000"/>
          <w:lang w:eastAsia="fr-FR" w:bidi="fr-FR"/>
        </w:rPr>
        <w:t> — </w:t>
      </w:r>
      <w:r w:rsidRPr="00246AE4">
        <w:rPr>
          <w:color w:val="000000"/>
          <w:lang w:eastAsia="fr-FR" w:bidi="fr-FR"/>
        </w:rPr>
        <w:t>site admirablement choisi pour la défense, sur un promontoire qui prolonge au-dessus d’un ravin le plateau beauc</w:t>
      </w:r>
      <w:r w:rsidRPr="00246AE4">
        <w:rPr>
          <w:color w:val="000000"/>
          <w:lang w:eastAsia="fr-FR" w:bidi="fr-FR"/>
        </w:rPr>
        <w:t>e</w:t>
      </w:r>
      <w:r w:rsidRPr="00246AE4">
        <w:rPr>
          <w:color w:val="000000"/>
          <w:lang w:eastAsia="fr-FR" w:bidi="fr-FR"/>
        </w:rPr>
        <w:t>ron —, il semble au premier abord qu’une inéluctable nécessité gé</w:t>
      </w:r>
      <w:r w:rsidRPr="00246AE4">
        <w:rPr>
          <w:color w:val="000000"/>
          <w:lang w:eastAsia="fr-FR" w:bidi="fr-FR"/>
        </w:rPr>
        <w:t>o</w:t>
      </w:r>
      <w:r w:rsidRPr="00246AE4">
        <w:rPr>
          <w:color w:val="000000"/>
          <w:lang w:eastAsia="fr-FR" w:bidi="fr-FR"/>
        </w:rPr>
        <w:t xml:space="preserve">graphique ait fixé là, dès l’origine, la place d’un établissement urbain. Mais remontons le vallon. </w:t>
      </w:r>
      <w:r>
        <w:rPr>
          <w:color w:val="000000"/>
          <w:lang w:eastAsia="fr-FR" w:bidi="fr-FR"/>
        </w:rPr>
        <w:t>À</w:t>
      </w:r>
      <w:r w:rsidRPr="00246AE4">
        <w:rPr>
          <w:color w:val="000000"/>
          <w:lang w:eastAsia="fr-FR" w:bidi="fr-FR"/>
        </w:rPr>
        <w:t xml:space="preserve"> quatre kilomètres en amont, en un lieu d’accès facile, nous rencontrerons les quelques maisons qui forment a</w:t>
      </w:r>
      <w:r>
        <w:rPr>
          <w:color w:val="000000"/>
          <w:lang w:eastAsia="fr-FR" w:bidi="fr-FR"/>
        </w:rPr>
        <w:t>ujourd’hui le village de Pithi</w:t>
      </w:r>
      <w:r w:rsidRPr="00246AE4">
        <w:rPr>
          <w:color w:val="000000"/>
          <w:lang w:eastAsia="fr-FR" w:bidi="fr-FR"/>
        </w:rPr>
        <w:t xml:space="preserve">viers-le-Vieil. Là fut jadis Pithiviers. La ville actuelle, qui s’appela longtemps Pithiviers-le-Châtel, ne date que des temps troublés du Haut Moyen </w:t>
      </w:r>
      <w:r>
        <w:rPr>
          <w:color w:val="000000"/>
          <w:lang w:eastAsia="fr-FR" w:bidi="fr-FR"/>
        </w:rPr>
        <w:t>Â</w:t>
      </w:r>
      <w:r w:rsidRPr="00246AE4">
        <w:rPr>
          <w:color w:val="000000"/>
          <w:lang w:eastAsia="fr-FR" w:bidi="fr-FR"/>
        </w:rPr>
        <w:t>ge. La migration eut probabl</w:t>
      </w:r>
      <w:r w:rsidRPr="00246AE4">
        <w:rPr>
          <w:color w:val="000000"/>
          <w:lang w:eastAsia="fr-FR" w:bidi="fr-FR"/>
        </w:rPr>
        <w:t>e</w:t>
      </w:r>
      <w:r w:rsidRPr="00246AE4">
        <w:rPr>
          <w:color w:val="000000"/>
          <w:lang w:eastAsia="fr-FR" w:bidi="fr-FR"/>
        </w:rPr>
        <w:t xml:space="preserve">ment lieu dans la première moitié du </w:t>
      </w:r>
      <w:r>
        <w:rPr>
          <w:color w:val="000000"/>
          <w:lang w:eastAsia="fr-FR" w:bidi="fr-FR"/>
        </w:rPr>
        <w:t>X</w:t>
      </w:r>
      <w:r w:rsidRPr="00246AE4">
        <w:rPr>
          <w:color w:val="000000"/>
          <w:vertAlign w:val="superscript"/>
          <w:lang w:eastAsia="fr-FR" w:bidi="fr-FR"/>
        </w:rPr>
        <w:t>e</w:t>
      </w:r>
      <w:r w:rsidRPr="00246AE4">
        <w:rPr>
          <w:color w:val="000000"/>
          <w:lang w:eastAsia="fr-FR" w:bidi="fr-FR"/>
        </w:rPr>
        <w:t xml:space="preserve"> siècle. Le premier Pithiviers, qui devint Pithiviers-le-Vieil, ne disparut point et retint son nom. C’est dire que sa population ne se déplaça point tout entière. Mais ce</w:t>
      </w:r>
      <w:r w:rsidRPr="00246AE4">
        <w:rPr>
          <w:color w:val="000000"/>
          <w:lang w:eastAsia="fr-FR" w:bidi="fr-FR"/>
        </w:rPr>
        <w:t>r</w:t>
      </w:r>
      <w:r w:rsidRPr="00246AE4">
        <w:rPr>
          <w:color w:val="000000"/>
          <w:lang w:eastAsia="fr-FR" w:bidi="fr-FR"/>
        </w:rPr>
        <w:t>tains de ses habitants</w:t>
      </w:r>
      <w:r>
        <w:rPr>
          <w:color w:val="000000"/>
          <w:lang w:eastAsia="fr-FR" w:bidi="fr-FR"/>
        </w:rPr>
        <w:t> — </w:t>
      </w:r>
      <w:r w:rsidRPr="00246AE4">
        <w:rPr>
          <w:color w:val="000000"/>
          <w:lang w:eastAsia="fr-FR" w:bidi="fr-FR"/>
        </w:rPr>
        <w:t>le plus grand nombre sans doute</w:t>
      </w:r>
      <w:r>
        <w:rPr>
          <w:color w:val="000000"/>
          <w:lang w:eastAsia="fr-FR" w:bidi="fr-FR"/>
        </w:rPr>
        <w:t> — </w:t>
      </w:r>
      <w:r w:rsidRPr="00246AE4">
        <w:rPr>
          <w:color w:val="000000"/>
          <w:lang w:eastAsia="fr-FR" w:bidi="fr-FR"/>
        </w:rPr>
        <w:t>se tran</w:t>
      </w:r>
      <w:r w:rsidRPr="00246AE4">
        <w:rPr>
          <w:color w:val="000000"/>
          <w:lang w:eastAsia="fr-FR" w:bidi="fr-FR"/>
        </w:rPr>
        <w:t>s</w:t>
      </w:r>
      <w:r w:rsidRPr="00246AE4">
        <w:rPr>
          <w:color w:val="000000"/>
          <w:lang w:eastAsia="fr-FR" w:bidi="fr-FR"/>
        </w:rPr>
        <w:t xml:space="preserve">portèrent ou peut-être furent transportés par leur seigneur dans le bourg nouveau qui s’éleva vers l’aval, à la pointe du plateau, au-dessus des pentes escarpées qui descendent vers la mince rivière que </w:t>
      </w:r>
      <w:r w:rsidRPr="00246AE4">
        <w:rPr>
          <w:color w:val="000000"/>
          <w:lang w:eastAsia="fr-FR" w:bidi="fr-FR"/>
        </w:rPr>
        <w:lastRenderedPageBreak/>
        <w:t>l’on appelait alors l’Essonne</w:t>
      </w:r>
      <w:r>
        <w:rPr>
          <w:color w:val="000000"/>
          <w:lang w:eastAsia="fr-FR" w:bidi="fr-FR"/>
        </w:rPr>
        <w:t> — </w:t>
      </w:r>
      <w:r w:rsidRPr="00246AE4">
        <w:rPr>
          <w:color w:val="000000"/>
          <w:lang w:eastAsia="fr-FR" w:bidi="fr-FR"/>
        </w:rPr>
        <w:t xml:space="preserve">lieu très sûr, muni de murailles ou de palissades derrière lesquelles les reliques d’un roi breton, le saint roi Salomon, fuyant devant les Normands, trouvèrent un abri. </w:t>
      </w:r>
      <w:r>
        <w:rPr>
          <w:color w:val="000000"/>
          <w:lang w:eastAsia="fr-FR" w:bidi="fr-FR"/>
        </w:rPr>
        <w:t>À</w:t>
      </w:r>
      <w:r w:rsidRPr="00246AE4">
        <w:rPr>
          <w:color w:val="000000"/>
          <w:lang w:eastAsia="fr-FR" w:bidi="fr-FR"/>
        </w:rPr>
        <w:t xml:space="preserve"> la même époque, les gens de Corbeil, quittant la rive droite de la Seine, ou pl</w:t>
      </w:r>
      <w:r w:rsidRPr="00246AE4">
        <w:rPr>
          <w:color w:val="000000"/>
          <w:lang w:eastAsia="fr-FR" w:bidi="fr-FR"/>
        </w:rPr>
        <w:t>u</w:t>
      </w:r>
      <w:r w:rsidRPr="00246AE4">
        <w:rPr>
          <w:color w:val="000000"/>
          <w:lang w:eastAsia="fr-FR" w:bidi="fr-FR"/>
        </w:rPr>
        <w:t>tôt n’y laissant que les quelques maisons du « Vieux Corbeil », fo</w:t>
      </w:r>
      <w:r w:rsidRPr="00246AE4">
        <w:rPr>
          <w:color w:val="000000"/>
          <w:lang w:eastAsia="fr-FR" w:bidi="fr-FR"/>
        </w:rPr>
        <w:t>n</w:t>
      </w:r>
      <w:r w:rsidRPr="00246AE4">
        <w:rPr>
          <w:color w:val="000000"/>
          <w:lang w:eastAsia="fr-FR" w:bidi="fr-FR"/>
        </w:rPr>
        <w:t>daient un nouveau Corbeil dans la « péninsule » que forment à leur confluent la Seine et l’Essonne, et là, retranchés entre les deux rivi</w:t>
      </w:r>
      <w:r w:rsidRPr="00246AE4">
        <w:rPr>
          <w:color w:val="000000"/>
          <w:lang w:eastAsia="fr-FR" w:bidi="fr-FR"/>
        </w:rPr>
        <w:t>è</w:t>
      </w:r>
      <w:r w:rsidRPr="00246AE4">
        <w:rPr>
          <w:color w:val="000000"/>
          <w:lang w:eastAsia="fr-FR" w:bidi="fr-FR"/>
        </w:rPr>
        <w:t>res, offraient, eux aussi, un asile, à des « corps saints » que le No</w:t>
      </w:r>
      <w:r w:rsidRPr="00246AE4">
        <w:rPr>
          <w:color w:val="000000"/>
          <w:lang w:eastAsia="fr-FR" w:bidi="fr-FR"/>
        </w:rPr>
        <w:t>r</w:t>
      </w:r>
      <w:r w:rsidRPr="00246AE4">
        <w:rPr>
          <w:color w:val="000000"/>
          <w:lang w:eastAsia="fr-FR" w:bidi="fr-FR"/>
        </w:rPr>
        <w:t>mand avait chassés des lieux de leur repos. Vers le même temps sans doute, Étampes, dont le site premier avait été dans la vallée de la Ch</w:t>
      </w:r>
      <w:r w:rsidRPr="00246AE4">
        <w:rPr>
          <w:color w:val="000000"/>
          <w:lang w:eastAsia="fr-FR" w:bidi="fr-FR"/>
        </w:rPr>
        <w:t>a</w:t>
      </w:r>
      <w:r w:rsidRPr="00246AE4">
        <w:rPr>
          <w:color w:val="000000"/>
          <w:lang w:eastAsia="fr-FR" w:bidi="fr-FR"/>
        </w:rPr>
        <w:t>louette, au lieu dit depuis « les Vieilles Étampes », se retirait entre la Juine et le talus abrupt du plateau. Puis vinrent des temps plus pais</w:t>
      </w:r>
      <w:r w:rsidRPr="00246AE4">
        <w:rPr>
          <w:color w:val="000000"/>
          <w:lang w:eastAsia="fr-FR" w:bidi="fr-FR"/>
        </w:rPr>
        <w:t>i</w:t>
      </w:r>
      <w:r w:rsidRPr="00246AE4">
        <w:rPr>
          <w:color w:val="000000"/>
          <w:lang w:eastAsia="fr-FR" w:bidi="fr-FR"/>
        </w:rPr>
        <w:t>bles : Pithiviers ne se développa guère ; mais Étampes et Corbeil, a</w:t>
      </w:r>
      <w:r w:rsidRPr="00246AE4">
        <w:rPr>
          <w:color w:val="000000"/>
          <w:lang w:eastAsia="fr-FR" w:bidi="fr-FR"/>
        </w:rPr>
        <w:t>p</w:t>
      </w:r>
      <w:r w:rsidRPr="00246AE4">
        <w:rPr>
          <w:color w:val="000000"/>
          <w:lang w:eastAsia="fr-FR" w:bidi="fr-FR"/>
        </w:rPr>
        <w:t>pelées à une prospérité qui, pour la seconde des deux villes, devait se prolonger et s’accroître jusqu’à nos jours, sortirent des limites étroites où les avait renfermées la menace du pillage</w:t>
      </w:r>
      <w:r>
        <w:rPr>
          <w:color w:val="000000"/>
          <w:lang w:eastAsia="fr-FR" w:bidi="fr-FR"/>
        </w:rPr>
        <w:t> </w:t>
      </w:r>
      <w:r>
        <w:rPr>
          <w:rStyle w:val="Appelnotedebasdep"/>
        </w:rPr>
        <w:footnoteReference w:id="507"/>
      </w:r>
      <w:r w:rsidRPr="00246AE4">
        <w:rPr>
          <w:color w:val="000000"/>
          <w:lang w:eastAsia="fr-FR" w:bidi="fr-FR"/>
        </w:rPr>
        <w:t>.</w:t>
      </w:r>
    </w:p>
    <w:p w14:paraId="72274668" w14:textId="77777777" w:rsidR="00B9662D" w:rsidRPr="00246AE4" w:rsidRDefault="00B9662D" w:rsidP="00B9662D">
      <w:pPr>
        <w:spacing w:before="120" w:after="120"/>
        <w:jc w:val="both"/>
      </w:pPr>
      <w:r>
        <w:rPr>
          <w:color w:val="000000"/>
          <w:lang w:eastAsia="fr-FR" w:bidi="fr-FR"/>
        </w:rPr>
        <w:t>[737]</w:t>
      </w:r>
    </w:p>
    <w:p w14:paraId="67C50136" w14:textId="77777777" w:rsidR="00B9662D" w:rsidRPr="00246AE4" w:rsidRDefault="00B9662D" w:rsidP="00B9662D">
      <w:pPr>
        <w:spacing w:before="120" w:after="120"/>
        <w:jc w:val="both"/>
      </w:pPr>
      <w:r w:rsidRPr="00246AE4">
        <w:rPr>
          <w:color w:val="000000"/>
          <w:lang w:eastAsia="fr-FR" w:bidi="fr-FR"/>
        </w:rPr>
        <w:t>Faire l’histoire d’une ville, ce sera également suivre et décrire les transformations de sa physionomie architecturale, décrire aussi d’un même mouvement, les transformations de ses institutions, son dév</w:t>
      </w:r>
      <w:r w:rsidRPr="00246AE4">
        <w:rPr>
          <w:color w:val="000000"/>
          <w:lang w:eastAsia="fr-FR" w:bidi="fr-FR"/>
        </w:rPr>
        <w:t>e</w:t>
      </w:r>
      <w:r w:rsidRPr="00246AE4">
        <w:rPr>
          <w:color w:val="000000"/>
          <w:lang w:eastAsia="fr-FR" w:bidi="fr-FR"/>
        </w:rPr>
        <w:t>loppement économique, l’évolution de ses mœurs et de ses coutumes sociales</w:t>
      </w:r>
      <w:r>
        <w:rPr>
          <w:color w:val="000000"/>
          <w:lang w:eastAsia="fr-FR" w:bidi="fr-FR"/>
        </w:rPr>
        <w:t> — </w:t>
      </w:r>
      <w:r w:rsidRPr="00246AE4">
        <w:rPr>
          <w:color w:val="000000"/>
          <w:lang w:eastAsia="fr-FR" w:bidi="fr-FR"/>
        </w:rPr>
        <w:t>et surtout ce sera montrer les liens si nets à qui sait les voir par où s’unissent les uns aux autres les différents aspects de la vie u</w:t>
      </w:r>
      <w:r w:rsidRPr="00246AE4">
        <w:rPr>
          <w:color w:val="000000"/>
          <w:lang w:eastAsia="fr-FR" w:bidi="fr-FR"/>
        </w:rPr>
        <w:t>r</w:t>
      </w:r>
      <w:r w:rsidRPr="00246AE4">
        <w:rPr>
          <w:color w:val="000000"/>
          <w:lang w:eastAsia="fr-FR" w:bidi="fr-FR"/>
        </w:rPr>
        <w:lastRenderedPageBreak/>
        <w:t>baine et comment, dans les monuments et le plan de la ville, dans son histoire matérielle, se traduit son histoire tout entière. Les murs crén</w:t>
      </w:r>
      <w:r w:rsidRPr="00246AE4">
        <w:rPr>
          <w:color w:val="000000"/>
          <w:lang w:eastAsia="fr-FR" w:bidi="fr-FR"/>
        </w:rPr>
        <w:t>e</w:t>
      </w:r>
      <w:r w:rsidRPr="00246AE4">
        <w:rPr>
          <w:color w:val="000000"/>
          <w:lang w:eastAsia="fr-FR" w:bidi="fr-FR"/>
        </w:rPr>
        <w:t>lés de l’église Notre-Dame d’Étampes disent encore les luttes de la commune et du clergé</w:t>
      </w:r>
      <w:r>
        <w:rPr>
          <w:color w:val="000000"/>
          <w:lang w:eastAsia="fr-FR" w:bidi="fr-FR"/>
        </w:rPr>
        <w:t> </w:t>
      </w:r>
      <w:r>
        <w:rPr>
          <w:rStyle w:val="Appelnotedebasdep"/>
        </w:rPr>
        <w:footnoteReference w:id="508"/>
      </w:r>
      <w:r w:rsidRPr="00246AE4">
        <w:rPr>
          <w:color w:val="000000"/>
          <w:lang w:eastAsia="fr-FR" w:bidi="fr-FR"/>
        </w:rPr>
        <w:t>. Qui pourrait songer à expliquer, sans tenir compte d’un fait d’ordre religieux, du culte des saints, la fortune i</w:t>
      </w:r>
      <w:r w:rsidRPr="00246AE4">
        <w:rPr>
          <w:color w:val="000000"/>
          <w:lang w:eastAsia="fr-FR" w:bidi="fr-FR"/>
        </w:rPr>
        <w:t>n</w:t>
      </w:r>
      <w:r w:rsidRPr="00246AE4">
        <w:rPr>
          <w:color w:val="000000"/>
          <w:lang w:eastAsia="fr-FR" w:bidi="fr-FR"/>
        </w:rPr>
        <w:t xml:space="preserve">dustrielle et commerciale à laquelle s’éleva, au Moyen </w:t>
      </w:r>
      <w:r>
        <w:rPr>
          <w:color w:val="000000"/>
          <w:lang w:eastAsia="fr-FR" w:bidi="fr-FR"/>
        </w:rPr>
        <w:t>Â</w:t>
      </w:r>
      <w:r w:rsidRPr="00246AE4">
        <w:rPr>
          <w:color w:val="000000"/>
          <w:lang w:eastAsia="fr-FR" w:bidi="fr-FR"/>
        </w:rPr>
        <w:t>ge, Chartres, ville de reliques et de pèlerins ? Cette fortune, en revanche, c’est dans la cathédrale qu’aujourd’hui nous en trouvons la claire et magnifique expression, lorsque nous fixons nos regards sur les verrières qui pe</w:t>
      </w:r>
      <w:r w:rsidRPr="00246AE4">
        <w:rPr>
          <w:color w:val="000000"/>
          <w:lang w:eastAsia="fr-FR" w:bidi="fr-FR"/>
        </w:rPr>
        <w:t>r</w:t>
      </w:r>
      <w:r w:rsidRPr="00246AE4">
        <w:rPr>
          <w:color w:val="000000"/>
          <w:lang w:eastAsia="fr-FR" w:bidi="fr-FR"/>
        </w:rPr>
        <w:t>pétuent le souvenir de la richesse et de la piété des corporations cha</w:t>
      </w:r>
      <w:r w:rsidRPr="00246AE4">
        <w:rPr>
          <w:color w:val="000000"/>
          <w:lang w:eastAsia="fr-FR" w:bidi="fr-FR"/>
        </w:rPr>
        <w:t>r</w:t>
      </w:r>
      <w:r w:rsidRPr="00246AE4">
        <w:rPr>
          <w:color w:val="000000"/>
          <w:lang w:eastAsia="fr-FR" w:bidi="fr-FR"/>
        </w:rPr>
        <w:t>traines.</w:t>
      </w:r>
    </w:p>
    <w:p w14:paraId="0BCC5102" w14:textId="77777777" w:rsidR="00B9662D" w:rsidRPr="00246AE4" w:rsidRDefault="00B9662D" w:rsidP="00B9662D">
      <w:pPr>
        <w:spacing w:before="120" w:after="120"/>
        <w:jc w:val="both"/>
      </w:pPr>
      <w:r w:rsidRPr="00246AE4">
        <w:rPr>
          <w:color w:val="000000"/>
          <w:lang w:eastAsia="fr-FR" w:bidi="fr-FR"/>
        </w:rPr>
        <w:t>Nous ne possédo</w:t>
      </w:r>
      <w:r>
        <w:rPr>
          <w:color w:val="000000"/>
          <w:lang w:eastAsia="fr-FR" w:bidi="fr-FR"/>
        </w:rPr>
        <w:t>ns, sur aucune des villes de l’Î</w:t>
      </w:r>
      <w:r w:rsidRPr="00246AE4">
        <w:rPr>
          <w:color w:val="000000"/>
          <w:lang w:eastAsia="fr-FR" w:bidi="fr-FR"/>
        </w:rPr>
        <w:t>le-de-France, de monographie qui doive être proposée comme modèle. Mais il faut c</w:t>
      </w:r>
      <w:r w:rsidRPr="00246AE4">
        <w:rPr>
          <w:color w:val="000000"/>
          <w:lang w:eastAsia="fr-FR" w:bidi="fr-FR"/>
        </w:rPr>
        <w:t>i</w:t>
      </w:r>
      <w:r w:rsidRPr="00246AE4">
        <w:rPr>
          <w:color w:val="000000"/>
          <w:lang w:eastAsia="fr-FR" w:bidi="fr-FR"/>
        </w:rPr>
        <w:t xml:space="preserve">ter quelques ouvrages utiles : </w:t>
      </w:r>
      <w:r>
        <w:t>l’</w:t>
      </w:r>
      <w:r w:rsidRPr="00506A4D">
        <w:rPr>
          <w:i/>
        </w:rPr>
        <w:t>Histoire de Chartres</w:t>
      </w:r>
      <w:r w:rsidRPr="00246AE4">
        <w:rPr>
          <w:color w:val="000000"/>
          <w:lang w:eastAsia="fr-FR" w:bidi="fr-FR"/>
        </w:rPr>
        <w:t xml:space="preserve"> de M. de l’Épinois</w:t>
      </w:r>
      <w:r>
        <w:rPr>
          <w:color w:val="000000"/>
          <w:lang w:eastAsia="fr-FR" w:bidi="fr-FR"/>
        </w:rPr>
        <w:t> </w:t>
      </w:r>
      <w:r>
        <w:rPr>
          <w:rStyle w:val="Appelnotedebasdep"/>
        </w:rPr>
        <w:footnoteReference w:id="509"/>
      </w:r>
      <w:r w:rsidRPr="00246AE4">
        <w:rPr>
          <w:color w:val="000000"/>
          <w:lang w:eastAsia="fr-FR" w:bidi="fr-FR"/>
        </w:rPr>
        <w:t xml:space="preserve">, </w:t>
      </w:r>
      <w:r>
        <w:t>l’</w:t>
      </w:r>
      <w:r w:rsidRPr="00506A4D">
        <w:rPr>
          <w:i/>
        </w:rPr>
        <w:t>Histoire de Meaux</w:t>
      </w:r>
      <w:r w:rsidRPr="00506A4D">
        <w:rPr>
          <w:i/>
          <w:color w:val="000000"/>
          <w:lang w:eastAsia="fr-FR" w:bidi="fr-FR"/>
        </w:rPr>
        <w:t xml:space="preserve"> de M. Carro</w:t>
      </w:r>
      <w:r>
        <w:rPr>
          <w:color w:val="000000"/>
          <w:lang w:eastAsia="fr-FR" w:bidi="fr-FR"/>
        </w:rPr>
        <w:t> </w:t>
      </w:r>
      <w:r>
        <w:rPr>
          <w:rStyle w:val="Appelnotedebasdep"/>
        </w:rPr>
        <w:footnoteReference w:id="510"/>
      </w:r>
      <w:r w:rsidRPr="00246AE4">
        <w:rPr>
          <w:color w:val="000000"/>
          <w:lang w:eastAsia="fr-FR" w:bidi="fr-FR"/>
        </w:rPr>
        <w:t xml:space="preserve">, </w:t>
      </w:r>
      <w:r>
        <w:t>l’</w:t>
      </w:r>
      <w:r w:rsidRPr="00506A4D">
        <w:rPr>
          <w:i/>
        </w:rPr>
        <w:t>Histoire de Melun</w:t>
      </w:r>
      <w:r w:rsidRPr="00246AE4">
        <w:rPr>
          <w:color w:val="000000"/>
          <w:lang w:eastAsia="fr-FR" w:bidi="fr-FR"/>
        </w:rPr>
        <w:t xml:space="preserve"> de M. G. Leroy</w:t>
      </w:r>
      <w:r>
        <w:rPr>
          <w:color w:val="000000"/>
          <w:lang w:eastAsia="fr-FR" w:bidi="fr-FR"/>
        </w:rPr>
        <w:t> </w:t>
      </w:r>
      <w:r>
        <w:rPr>
          <w:rStyle w:val="Appelnotedebasdep"/>
        </w:rPr>
        <w:footnoteReference w:id="511"/>
      </w:r>
      <w:r w:rsidRPr="00246AE4">
        <w:rPr>
          <w:color w:val="000000"/>
          <w:lang w:eastAsia="fr-FR" w:bidi="fr-FR"/>
        </w:rPr>
        <w:t xml:space="preserve">, </w:t>
      </w:r>
      <w:r>
        <w:t>l’</w:t>
      </w:r>
      <w:r w:rsidRPr="00506A4D">
        <w:rPr>
          <w:i/>
        </w:rPr>
        <w:t>Histoire de Corbeil</w:t>
      </w:r>
      <w:r w:rsidRPr="00246AE4">
        <w:rPr>
          <w:color w:val="000000"/>
          <w:lang w:eastAsia="fr-FR" w:bidi="fr-FR"/>
        </w:rPr>
        <w:t xml:space="preserve"> de M. J.-A. Le Paire</w:t>
      </w:r>
      <w:r>
        <w:rPr>
          <w:color w:val="000000"/>
          <w:lang w:eastAsia="fr-FR" w:bidi="fr-FR"/>
        </w:rPr>
        <w:t> </w:t>
      </w:r>
      <w:r>
        <w:rPr>
          <w:rStyle w:val="Appelnotedebasdep"/>
        </w:rPr>
        <w:footnoteReference w:id="512"/>
      </w:r>
      <w:r w:rsidRPr="00246AE4">
        <w:rPr>
          <w:color w:val="000000"/>
          <w:lang w:eastAsia="fr-FR" w:bidi="fr-FR"/>
        </w:rPr>
        <w:t xml:space="preserve">. </w:t>
      </w:r>
      <w:r w:rsidRPr="00246AE4">
        <w:rPr>
          <w:color w:val="000000"/>
          <w:lang w:eastAsia="fr-FR" w:bidi="fr-FR"/>
        </w:rPr>
        <w:lastRenderedPageBreak/>
        <w:t>Nul, d</w:t>
      </w:r>
      <w:r w:rsidRPr="00246AE4">
        <w:rPr>
          <w:color w:val="000000"/>
          <w:lang w:eastAsia="fr-FR" w:bidi="fr-FR"/>
        </w:rPr>
        <w:t>e</w:t>
      </w:r>
      <w:r w:rsidRPr="00246AE4">
        <w:rPr>
          <w:color w:val="000000"/>
          <w:lang w:eastAsia="fr-FR" w:bidi="fr-FR"/>
        </w:rPr>
        <w:t>puis dom Fleureau, n’a raconté d’un trait l’histoire d’Étampes : mais des travaux excellents, dus à des érudits étampois, surtout à MM. Léon Marquis et Louis-Eugène Lefèvre, ont préparé les matériaux à celui qui voudrait reprendre l’œuvre du barnabite</w:t>
      </w:r>
      <w:r>
        <w:rPr>
          <w:color w:val="000000"/>
          <w:lang w:eastAsia="fr-FR" w:bidi="fr-FR"/>
        </w:rPr>
        <w:t> </w:t>
      </w:r>
      <w:r>
        <w:rPr>
          <w:rStyle w:val="Appelnotedebasdep"/>
        </w:rPr>
        <w:footnoteReference w:id="513"/>
      </w:r>
      <w:r w:rsidRPr="00246AE4">
        <w:rPr>
          <w:color w:val="000000"/>
          <w:lang w:eastAsia="fr-FR" w:bidi="fr-FR"/>
        </w:rPr>
        <w:t>.</w:t>
      </w:r>
    </w:p>
    <w:p w14:paraId="384C6BC8" w14:textId="77777777" w:rsidR="00B9662D" w:rsidRPr="00246AE4" w:rsidRDefault="00B9662D" w:rsidP="00B9662D">
      <w:pPr>
        <w:spacing w:before="120" w:after="120"/>
        <w:jc w:val="both"/>
      </w:pPr>
      <w:r>
        <w:rPr>
          <w:color w:val="000000"/>
          <w:lang w:eastAsia="fr-FR" w:bidi="fr-FR"/>
        </w:rPr>
        <w:t>[738]</w:t>
      </w:r>
    </w:p>
    <w:p w14:paraId="66CF9805" w14:textId="77777777" w:rsidR="00B9662D" w:rsidRPr="00246AE4" w:rsidRDefault="00B9662D" w:rsidP="00B9662D">
      <w:pPr>
        <w:spacing w:before="120" w:after="120"/>
        <w:jc w:val="both"/>
      </w:pPr>
      <w:r w:rsidRPr="00246AE4">
        <w:rPr>
          <w:color w:val="000000"/>
          <w:lang w:eastAsia="fr-FR" w:bidi="fr-FR"/>
        </w:rPr>
        <w:t>L’histoire urbaine de Saint-Denis en France n’a pas encore été écr</w:t>
      </w:r>
      <w:r w:rsidRPr="00246AE4">
        <w:rPr>
          <w:color w:val="000000"/>
          <w:lang w:eastAsia="fr-FR" w:bidi="fr-FR"/>
        </w:rPr>
        <w:t>i</w:t>
      </w:r>
      <w:r w:rsidRPr="00246AE4">
        <w:rPr>
          <w:color w:val="000000"/>
          <w:lang w:eastAsia="fr-FR" w:bidi="fr-FR"/>
        </w:rPr>
        <w:t>te</w:t>
      </w:r>
      <w:r>
        <w:rPr>
          <w:color w:val="000000"/>
          <w:lang w:eastAsia="fr-FR" w:bidi="fr-FR"/>
        </w:rPr>
        <w:t> </w:t>
      </w:r>
      <w:r>
        <w:rPr>
          <w:rStyle w:val="Appelnotedebasdep"/>
        </w:rPr>
        <w:footnoteReference w:id="514"/>
      </w:r>
      <w:r w:rsidRPr="00246AE4">
        <w:rPr>
          <w:color w:val="000000"/>
          <w:lang w:eastAsia="fr-FR" w:bidi="fr-FR"/>
        </w:rPr>
        <w:t>. Sans doute, les destinées de la ville de Saint-Denis furent étroitement liées à celles de l’abbaye illustre à qui elle doit, non son origine, mais du moins, avec son nom actuel, qui, aux premiers siècles du Moyen Age, remplaça le nom gallo-romain de Catulliacus, une bonne partie de sa prospérité. Sans doute aussi, le Saint-Denis d’aujourd’hui n’est plus guère qu’un faubourg de Paris, un quartier du « plus grand Paris « .Néanmoins, à côté de l’histoire de l’abbaye, l’histoire du bourg abbatial, à côté de l’histoire de la ville géante, l’histoire de la petite ville, sa voisine, mériterait de tenter quelque s</w:t>
      </w:r>
      <w:r w:rsidRPr="00246AE4">
        <w:rPr>
          <w:color w:val="000000"/>
          <w:lang w:eastAsia="fr-FR" w:bidi="fr-FR"/>
        </w:rPr>
        <w:t>a</w:t>
      </w:r>
      <w:r w:rsidRPr="00246AE4">
        <w:rPr>
          <w:color w:val="000000"/>
          <w:lang w:eastAsia="fr-FR" w:bidi="fr-FR"/>
        </w:rPr>
        <w:t>vant. Avant d’être absorbé par Paris, Saint-Denis dressa quelquefois ses métiers en rivaux des métiers parisiens ; il ne serait point sans i</w:t>
      </w:r>
      <w:r w:rsidRPr="00246AE4">
        <w:rPr>
          <w:color w:val="000000"/>
          <w:lang w:eastAsia="fr-FR" w:bidi="fr-FR"/>
        </w:rPr>
        <w:t>n</w:t>
      </w:r>
      <w:r w:rsidRPr="00246AE4">
        <w:rPr>
          <w:color w:val="000000"/>
          <w:lang w:eastAsia="fr-FR" w:bidi="fr-FR"/>
        </w:rPr>
        <w:t>térêt de retracer ces rivalités et puis cette fusion des deux villes. Et l’histoire des relations d’un monastère avec le bourg qu’il domina s</w:t>
      </w:r>
      <w:r w:rsidRPr="00246AE4">
        <w:rPr>
          <w:color w:val="000000"/>
          <w:lang w:eastAsia="fr-FR" w:bidi="fr-FR"/>
        </w:rPr>
        <w:t>e</w:t>
      </w:r>
      <w:r w:rsidRPr="00246AE4">
        <w:rPr>
          <w:color w:val="000000"/>
          <w:lang w:eastAsia="fr-FR" w:bidi="fr-FR"/>
        </w:rPr>
        <w:t>rait une précieuse contribution à l’histoire urbaine générale.</w:t>
      </w:r>
    </w:p>
    <w:p w14:paraId="4507D2C8" w14:textId="77777777" w:rsidR="00B9662D" w:rsidRPr="00246AE4" w:rsidRDefault="00B9662D" w:rsidP="00B9662D">
      <w:pPr>
        <w:spacing w:before="120" w:after="120"/>
        <w:jc w:val="both"/>
      </w:pPr>
      <w:r w:rsidRPr="00246AE4">
        <w:rPr>
          <w:color w:val="000000"/>
          <w:lang w:eastAsia="fr-FR" w:bidi="fr-FR"/>
        </w:rPr>
        <w:t>On compterait par centaines les villages de l’</w:t>
      </w:r>
      <w:r>
        <w:rPr>
          <w:color w:val="000000"/>
          <w:lang w:eastAsia="fr-FR" w:bidi="fr-FR"/>
        </w:rPr>
        <w:t>Île-de-France</w:t>
      </w:r>
      <w:r w:rsidRPr="00246AE4">
        <w:rPr>
          <w:color w:val="000000"/>
          <w:lang w:eastAsia="fr-FR" w:bidi="fr-FR"/>
        </w:rPr>
        <w:t xml:space="preserve"> qui ont trouvé leurs historiens. Le Conseil général de la Seine a fait paraître entre 1896 et 1903 un </w:t>
      </w:r>
      <w:r w:rsidRPr="00F421E6">
        <w:rPr>
          <w:i/>
        </w:rPr>
        <w:t xml:space="preserve">État des Communes à la fin du </w:t>
      </w:r>
      <w:r w:rsidRPr="00F421E6">
        <w:rPr>
          <w:i/>
          <w:caps/>
        </w:rPr>
        <w:t>xix</w:t>
      </w:r>
      <w:r w:rsidRPr="00F421E6">
        <w:rPr>
          <w:i/>
          <w:vertAlign w:val="superscript"/>
        </w:rPr>
        <w:t>e</w:t>
      </w:r>
      <w:r w:rsidRPr="00F421E6">
        <w:rPr>
          <w:i/>
        </w:rPr>
        <w:t xml:space="preserve"> siècle</w:t>
      </w:r>
      <w:r w:rsidRPr="00246AE4">
        <w:rPr>
          <w:color w:val="000000"/>
          <w:lang w:eastAsia="fr-FR" w:bidi="fr-FR"/>
        </w:rPr>
        <w:t>. Chaque commune a sa brochure qui renferme, à côté de renseign</w:t>
      </w:r>
      <w:r w:rsidRPr="00246AE4">
        <w:rPr>
          <w:color w:val="000000"/>
          <w:lang w:eastAsia="fr-FR" w:bidi="fr-FR"/>
        </w:rPr>
        <w:t>e</w:t>
      </w:r>
      <w:r w:rsidRPr="00246AE4">
        <w:rPr>
          <w:color w:val="000000"/>
          <w:lang w:eastAsia="fr-FR" w:bidi="fr-FR"/>
        </w:rPr>
        <w:lastRenderedPageBreak/>
        <w:t>ments administratifs, une notice historique ; ces notices sont dues à M. Fernand Bournon qui en a emprunté les éléments essentiels au grand ouvrage de l’abbé Lebeuf ; on a eu l’heureuse idée de joindre à ch</w:t>
      </w:r>
      <w:r w:rsidRPr="00246AE4">
        <w:rPr>
          <w:color w:val="000000"/>
          <w:lang w:eastAsia="fr-FR" w:bidi="fr-FR"/>
        </w:rPr>
        <w:t>a</w:t>
      </w:r>
      <w:r w:rsidRPr="00246AE4">
        <w:rPr>
          <w:color w:val="000000"/>
          <w:lang w:eastAsia="fr-FR" w:bidi="fr-FR"/>
        </w:rPr>
        <w:t>cune des brochures, avec une réduction du plan cadastral, une repr</w:t>
      </w:r>
      <w:r w:rsidRPr="00246AE4">
        <w:rPr>
          <w:color w:val="000000"/>
          <w:lang w:eastAsia="fr-FR" w:bidi="fr-FR"/>
        </w:rPr>
        <w:t>o</w:t>
      </w:r>
      <w:r w:rsidRPr="00246AE4">
        <w:rPr>
          <w:color w:val="000000"/>
          <w:lang w:eastAsia="fr-FR" w:bidi="fr-FR"/>
        </w:rPr>
        <w:t>duction de la section correspondante de la Carte des Environs de P</w:t>
      </w:r>
      <w:r w:rsidRPr="00246AE4">
        <w:rPr>
          <w:color w:val="000000"/>
          <w:lang w:eastAsia="fr-FR" w:bidi="fr-FR"/>
        </w:rPr>
        <w:t>a</w:t>
      </w:r>
      <w:r w:rsidRPr="00246AE4">
        <w:rPr>
          <w:color w:val="000000"/>
          <w:lang w:eastAsia="fr-FR" w:bidi="fr-FR"/>
        </w:rPr>
        <w:t xml:space="preserve">ris, dite Carte des Chasses, qui fut dressée entre 1763 et 1774. </w:t>
      </w:r>
      <w:r w:rsidRPr="00F421E6">
        <w:rPr>
          <w:i/>
          <w:color w:val="000000"/>
          <w:lang w:eastAsia="fr-FR" w:bidi="fr-FR"/>
        </w:rPr>
        <w:t>L</w:t>
      </w:r>
      <w:r w:rsidRPr="00F421E6">
        <w:rPr>
          <w:i/>
        </w:rPr>
        <w:t>'A</w:t>
      </w:r>
      <w:r w:rsidRPr="00F421E6">
        <w:rPr>
          <w:i/>
        </w:rPr>
        <w:t>n</w:t>
      </w:r>
      <w:r w:rsidRPr="00F421E6">
        <w:rPr>
          <w:i/>
        </w:rPr>
        <w:t>nuaire d'Eure-et-Loir</w:t>
      </w:r>
      <w:r w:rsidRPr="00246AE4">
        <w:rPr>
          <w:color w:val="000000"/>
          <w:lang w:eastAsia="fr-FR" w:bidi="fr-FR"/>
        </w:rPr>
        <w:t xml:space="preserve"> a publié</w:t>
      </w:r>
      <w:r>
        <w:rPr>
          <w:color w:val="000000"/>
          <w:lang w:eastAsia="fr-FR" w:bidi="fr-FR"/>
        </w:rPr>
        <w:t> </w:t>
      </w:r>
      <w:r>
        <w:rPr>
          <w:rStyle w:val="Appelnotedebasdep"/>
        </w:rPr>
        <w:footnoteReference w:id="515"/>
      </w:r>
      <w:r w:rsidRPr="00246AE4">
        <w:rPr>
          <w:color w:val="000000"/>
          <w:lang w:eastAsia="fr-FR" w:bidi="fr-FR"/>
        </w:rPr>
        <w:t xml:space="preserve">, </w:t>
      </w:r>
      <w:r w:rsidRPr="00246AE4">
        <w:t>l’</w:t>
      </w:r>
      <w:r w:rsidRPr="00F421E6">
        <w:rPr>
          <w:i/>
        </w:rPr>
        <w:t>Annuaire de Seine-et-Marne</w:t>
      </w:r>
      <w:r w:rsidRPr="00246AE4">
        <w:rPr>
          <w:color w:val="000000"/>
          <w:lang w:eastAsia="fr-FR" w:bidi="fr-FR"/>
        </w:rPr>
        <w:t xml:space="preserve"> p</w:t>
      </w:r>
      <w:r w:rsidRPr="00246AE4">
        <w:rPr>
          <w:color w:val="000000"/>
          <w:lang w:eastAsia="fr-FR" w:bidi="fr-FR"/>
        </w:rPr>
        <w:t>u</w:t>
      </w:r>
      <w:r w:rsidRPr="00246AE4">
        <w:rPr>
          <w:color w:val="000000"/>
          <w:lang w:eastAsia="fr-FR" w:bidi="fr-FR"/>
        </w:rPr>
        <w:t>blie</w:t>
      </w:r>
      <w:r>
        <w:rPr>
          <w:color w:val="000000"/>
          <w:lang w:eastAsia="fr-FR" w:bidi="fr-FR"/>
        </w:rPr>
        <w:t> </w:t>
      </w:r>
      <w:r>
        <w:rPr>
          <w:rStyle w:val="Appelnotedebasdep"/>
        </w:rPr>
        <w:footnoteReference w:id="516"/>
      </w:r>
      <w:r w:rsidRPr="00246AE4">
        <w:rPr>
          <w:color w:val="000000"/>
          <w:lang w:eastAsia="fr-FR" w:bidi="fr-FR"/>
        </w:rPr>
        <w:t xml:space="preserve"> des études sur les différentes communes de ces départements. En dehors de ces vastes entreprises, combien d’érudits se sont plu à retracer l’histoire des villages qui sont si nombreux sur le sol fertile de l’</w:t>
      </w:r>
      <w:r>
        <w:rPr>
          <w:color w:val="000000"/>
          <w:lang w:eastAsia="fr-FR" w:bidi="fr-FR"/>
        </w:rPr>
        <w:t>Île-de-France</w:t>
      </w:r>
      <w:r w:rsidRPr="00246AE4">
        <w:rPr>
          <w:color w:val="000000"/>
          <w:lang w:eastAsia="fr-FR" w:bidi="fr-FR"/>
        </w:rPr>
        <w:t> ! Que faut-il penser de ce genre de travaux ? Malgré le zèle déployé par leurs auteurs, ils sont trop souvent inutiles à l’histoire générale, c’est-à-dire, somme toute, à la seule histoire qui importe. De cela, les raisons sont à la fois pratiques et théoriques.</w:t>
      </w:r>
    </w:p>
    <w:p w14:paraId="582E09C3" w14:textId="77777777" w:rsidR="00B9662D" w:rsidRPr="00246AE4" w:rsidRDefault="00B9662D" w:rsidP="00B9662D">
      <w:pPr>
        <w:spacing w:before="120" w:after="120"/>
        <w:jc w:val="both"/>
      </w:pPr>
      <w:r>
        <w:t>[</w:t>
      </w:r>
      <w:r w:rsidRPr="00246AE4">
        <w:rPr>
          <w:color w:val="000000"/>
          <w:lang w:eastAsia="fr-FR" w:bidi="fr-FR"/>
        </w:rPr>
        <w:t>739</w:t>
      </w:r>
      <w:r>
        <w:rPr>
          <w:color w:val="000000"/>
          <w:lang w:eastAsia="fr-FR" w:bidi="fr-FR"/>
        </w:rPr>
        <w:t>]</w:t>
      </w:r>
    </w:p>
    <w:p w14:paraId="79396623" w14:textId="77777777" w:rsidR="00B9662D" w:rsidRPr="00246AE4" w:rsidRDefault="00B9662D" w:rsidP="00B9662D">
      <w:pPr>
        <w:spacing w:before="120" w:after="120"/>
        <w:jc w:val="both"/>
      </w:pPr>
      <w:r w:rsidRPr="00246AE4">
        <w:rPr>
          <w:color w:val="000000"/>
          <w:lang w:eastAsia="fr-FR" w:bidi="fr-FR"/>
        </w:rPr>
        <w:t>Les écrivains qui composent des ouvrages de cette sorte sont que</w:t>
      </w:r>
      <w:r w:rsidRPr="00246AE4">
        <w:rPr>
          <w:color w:val="000000"/>
          <w:lang w:eastAsia="fr-FR" w:bidi="fr-FR"/>
        </w:rPr>
        <w:t>l</w:t>
      </w:r>
      <w:r w:rsidRPr="00246AE4">
        <w:rPr>
          <w:color w:val="000000"/>
          <w:lang w:eastAsia="fr-FR" w:bidi="fr-FR"/>
        </w:rPr>
        <w:t>quefois des historiens novices. Et pourtant, que de connaissances v</w:t>
      </w:r>
      <w:r w:rsidRPr="00246AE4">
        <w:rPr>
          <w:color w:val="000000"/>
          <w:lang w:eastAsia="fr-FR" w:bidi="fr-FR"/>
        </w:rPr>
        <w:t>a</w:t>
      </w:r>
      <w:r w:rsidRPr="00246AE4">
        <w:rPr>
          <w:color w:val="000000"/>
          <w:lang w:eastAsia="fr-FR" w:bidi="fr-FR"/>
        </w:rPr>
        <w:t>riées leur impose</w:t>
      </w:r>
      <w:r>
        <w:rPr>
          <w:color w:val="000000"/>
          <w:lang w:eastAsia="fr-FR" w:bidi="fr-FR"/>
        </w:rPr>
        <w:t xml:space="preserve">nt </w:t>
      </w:r>
      <w:r w:rsidRPr="00246AE4">
        <w:rPr>
          <w:color w:val="000000"/>
          <w:lang w:eastAsia="fr-FR" w:bidi="fr-FR"/>
        </w:rPr>
        <w:t xml:space="preserve">la tâche qu’ils assument ! Il faut être géographe, ou même géologue, car presque toujours le livre s’ouvrira par une description du sol du village. Il faut être un peu paléographe pour lire, </w:t>
      </w:r>
      <w:r w:rsidRPr="00246AE4">
        <w:rPr>
          <w:color w:val="000000"/>
          <w:lang w:eastAsia="fr-FR" w:bidi="fr-FR"/>
        </w:rPr>
        <w:lastRenderedPageBreak/>
        <w:t>sans commettre de fautes, les vieilles chartes qui concernent le village, si, par malheur, elles sont inédites ; versé dans le droit féodal pour les comprendre ; archéologue pour décrire correctement l’église ou m</w:t>
      </w:r>
      <w:r w:rsidRPr="00246AE4">
        <w:rPr>
          <w:color w:val="000000"/>
          <w:lang w:eastAsia="fr-FR" w:bidi="fr-FR"/>
        </w:rPr>
        <w:t>ê</w:t>
      </w:r>
      <w:r w:rsidRPr="00246AE4">
        <w:rPr>
          <w:color w:val="000000"/>
          <w:lang w:eastAsia="fr-FR" w:bidi="fr-FR"/>
        </w:rPr>
        <w:t>me, le cas échéant, pour ne point se tromper sur les débris des âges préhistoriques que renferme, en tant d’endroits, la terre de l’</w:t>
      </w:r>
      <w:r>
        <w:rPr>
          <w:color w:val="000000"/>
          <w:lang w:eastAsia="fr-FR" w:bidi="fr-FR"/>
        </w:rPr>
        <w:t>Île-de-France</w:t>
      </w:r>
      <w:r w:rsidRPr="00246AE4">
        <w:rPr>
          <w:color w:val="000000"/>
          <w:lang w:eastAsia="fr-FR" w:bidi="fr-FR"/>
        </w:rPr>
        <w:t>. Puis ce sont les mécanismes compliqués de la vie administr</w:t>
      </w:r>
      <w:r w:rsidRPr="00246AE4">
        <w:rPr>
          <w:color w:val="000000"/>
          <w:lang w:eastAsia="fr-FR" w:bidi="fr-FR"/>
        </w:rPr>
        <w:t>a</w:t>
      </w:r>
      <w:r w:rsidRPr="00246AE4">
        <w:rPr>
          <w:color w:val="000000"/>
          <w:lang w:eastAsia="fr-FR" w:bidi="fr-FR"/>
        </w:rPr>
        <w:t>tive de l’Ancien Régime, de la vie politique de l’époque révolutio</w:t>
      </w:r>
      <w:r w:rsidRPr="00246AE4">
        <w:rPr>
          <w:color w:val="000000"/>
          <w:lang w:eastAsia="fr-FR" w:bidi="fr-FR"/>
        </w:rPr>
        <w:t>n</w:t>
      </w:r>
      <w:r w:rsidRPr="00246AE4">
        <w:rPr>
          <w:color w:val="000000"/>
          <w:lang w:eastAsia="fr-FR" w:bidi="fr-FR"/>
        </w:rPr>
        <w:t>naire qu’il importera de pénétrer. Et j’en passe. Est-il besoin de le d</w:t>
      </w:r>
      <w:r w:rsidRPr="00246AE4">
        <w:rPr>
          <w:color w:val="000000"/>
          <w:lang w:eastAsia="fr-FR" w:bidi="fr-FR"/>
        </w:rPr>
        <w:t>i</w:t>
      </w:r>
      <w:r w:rsidRPr="00246AE4">
        <w:rPr>
          <w:color w:val="000000"/>
          <w:lang w:eastAsia="fr-FR" w:bidi="fr-FR"/>
        </w:rPr>
        <w:t>re ? il est donné à peu d’hommes de posséder à la fois tant de connai</w:t>
      </w:r>
      <w:r w:rsidRPr="00246AE4">
        <w:rPr>
          <w:color w:val="000000"/>
          <w:lang w:eastAsia="fr-FR" w:bidi="fr-FR"/>
        </w:rPr>
        <w:t>s</w:t>
      </w:r>
      <w:r w:rsidRPr="00246AE4">
        <w:rPr>
          <w:color w:val="000000"/>
          <w:lang w:eastAsia="fr-FR" w:bidi="fr-FR"/>
        </w:rPr>
        <w:t>sances, et de si diverses. Bien rares sont les monographies de villages où l’historien qui les consulte, y cherchant l’éclaircissement de tel ou tel point spécial qui le préoccupe, trouve de quoi se satisfaire.</w:t>
      </w:r>
    </w:p>
    <w:p w14:paraId="2A1046ED" w14:textId="77777777" w:rsidR="00B9662D" w:rsidRPr="00246AE4" w:rsidRDefault="00B9662D" w:rsidP="00B9662D">
      <w:pPr>
        <w:spacing w:before="120" w:after="120"/>
        <w:jc w:val="both"/>
      </w:pPr>
      <w:r w:rsidRPr="00246AE4">
        <w:rPr>
          <w:color w:val="000000"/>
          <w:lang w:eastAsia="fr-FR" w:bidi="fr-FR"/>
        </w:rPr>
        <w:t>Admettons que l’historien du village ait réussi, par un vrai tour de force, à éviter les erreurs matérielles. Son livre, même impeccable, méritera-t-il le beau nom d’œuvre historique ? Le cadre trop étroit, la vie moins animée que celle des villes, les documents plus rares ne permettent guère à celui qui retrace les destinées d’un village, d’écrire une étude de vie collective comparable aux grands ouvrages d’histoire urbaine. L’église ? elle aura été construite par un maître maçon qui n’était point du village, peut-être avec les deniers du seigneur lointain que le hasard d’une succession aura fait maître de la terre ou patron de la paroisse. Les caractères de l’église gothique dont s’enorgueillit le bourg de Larchant, à la lisière occidentale de la forêt de Fontain</w:t>
      </w:r>
      <w:r w:rsidRPr="00246AE4">
        <w:rPr>
          <w:color w:val="000000"/>
          <w:lang w:eastAsia="fr-FR" w:bidi="fr-FR"/>
        </w:rPr>
        <w:t>e</w:t>
      </w:r>
      <w:r w:rsidRPr="00246AE4">
        <w:rPr>
          <w:color w:val="000000"/>
          <w:lang w:eastAsia="fr-FR" w:bidi="fr-FR"/>
        </w:rPr>
        <w:t>bleau, ce n’est pas à Larchant qu’il faut regarder pour les comprendre, mais à Paris, vers la cathédrale Notre-Dame, à qui ressemble l’église plus modeste du village gâtinais, parce que les chanoines de Notre-Dame étaient les seigneurs de Larchant</w:t>
      </w:r>
      <w:r>
        <w:rPr>
          <w:color w:val="000000"/>
          <w:lang w:eastAsia="fr-FR" w:bidi="fr-FR"/>
        </w:rPr>
        <w:t> </w:t>
      </w:r>
      <w:r>
        <w:rPr>
          <w:rStyle w:val="Appelnotedebasdep"/>
        </w:rPr>
        <w:footnoteReference w:id="517"/>
      </w:r>
      <w:r w:rsidRPr="00246AE4">
        <w:rPr>
          <w:color w:val="000000"/>
          <w:lang w:eastAsia="fr-FR" w:bidi="fr-FR"/>
        </w:rPr>
        <w:t xml:space="preserve">. La condition juridique des paysans ? les documents qui nous renseignent sur elle, pour un seul village, sont si peu nombreux, si fragmentaires et souvent si obscurs que nous les interpréterons certainement à faux si nous ne pouvons les confronter avec ceux qui concernent les villages d’alentour. Le cahier dressé en 1789 ? il aura peut-être été apporté de la ville prochaine par quelque bourgeois ; les paysans, il est vrai, auront sans doute introduit dans le modèle qui leur était proposé de graves modifications ; mais ces modifications même, nous ne les saisirons, dans leur sens, et, si je </w:t>
      </w:r>
      <w:r w:rsidRPr="00246AE4">
        <w:rPr>
          <w:color w:val="000000"/>
          <w:lang w:eastAsia="fr-FR" w:bidi="fr-FR"/>
        </w:rPr>
        <w:lastRenderedPageBreak/>
        <w:t>puis dire, dans leur saveur locale que si, en face du cahier de notre village, nous plaçons ceux des paroisses voisines. Toute histoire, dans une certaine mesure, est comparaison ; et vraiment les faits qu’offre le passé d’un seul village sont trop rares et trop pauvres pour qu’on ne doive point, si l’on veut les comprendre, les comparer sans cesse à ceux que fournissent les villages de la même région.</w:t>
      </w:r>
    </w:p>
    <w:p w14:paraId="4D7DAF77" w14:textId="77777777" w:rsidR="00B9662D" w:rsidRPr="00246AE4" w:rsidRDefault="00B9662D" w:rsidP="00B9662D">
      <w:pPr>
        <w:spacing w:before="120" w:after="120"/>
        <w:jc w:val="both"/>
      </w:pPr>
      <w:r w:rsidRPr="00246AE4">
        <w:rPr>
          <w:color w:val="000000"/>
          <w:lang w:eastAsia="fr-FR" w:bidi="fr-FR"/>
        </w:rPr>
        <w:t>Les hommes qui s’intéressent à l’histoire du coin de terre qu’ils habitent seraient mieux inspirés, si, au lieu d’écrire des monographies de villages, étendant leurs recherches dans l’espace, ils les restre</w:t>
      </w:r>
      <w:r w:rsidRPr="00246AE4">
        <w:rPr>
          <w:color w:val="000000"/>
          <w:lang w:eastAsia="fr-FR" w:bidi="fr-FR"/>
        </w:rPr>
        <w:t>i</w:t>
      </w:r>
      <w:r w:rsidRPr="00246AE4">
        <w:rPr>
          <w:color w:val="000000"/>
          <w:lang w:eastAsia="fr-FR" w:bidi="fr-FR"/>
        </w:rPr>
        <w:t>gnaient à</w:t>
      </w:r>
      <w:r>
        <w:t xml:space="preserve"> </w:t>
      </w:r>
      <w:r>
        <w:rPr>
          <w:color w:val="000000"/>
          <w:lang w:eastAsia="fr-FR" w:bidi="fr-FR"/>
        </w:rPr>
        <w:t xml:space="preserve">[740] </w:t>
      </w:r>
      <w:r w:rsidRPr="00246AE4">
        <w:rPr>
          <w:color w:val="000000"/>
          <w:lang w:eastAsia="fr-FR" w:bidi="fr-FR"/>
        </w:rPr>
        <w:t>telle ou telle spécialité, dont, avec un peu d’étude, ils acquerraient bien vite la technique : l’un étudiant, par exemple, les églises de son pays, tel autre, la vie politique du district sous la Rév</w:t>
      </w:r>
      <w:r w:rsidRPr="00246AE4">
        <w:rPr>
          <w:color w:val="000000"/>
          <w:lang w:eastAsia="fr-FR" w:bidi="fr-FR"/>
        </w:rPr>
        <w:t>o</w:t>
      </w:r>
      <w:r w:rsidRPr="00246AE4">
        <w:rPr>
          <w:color w:val="000000"/>
          <w:lang w:eastAsia="fr-FR" w:bidi="fr-FR"/>
        </w:rPr>
        <w:t>lution ; et ce ne sont là, on le sent bien, que des sujets proposés entre beaucoup d’autres. Parmi les hommes qu’attirent les recherches d’histoire locale, il y a beaucoup de propriétaires ruraux, qui connai</w:t>
      </w:r>
      <w:r w:rsidRPr="00246AE4">
        <w:rPr>
          <w:color w:val="000000"/>
          <w:lang w:eastAsia="fr-FR" w:bidi="fr-FR"/>
        </w:rPr>
        <w:t>s</w:t>
      </w:r>
      <w:r w:rsidRPr="00246AE4">
        <w:rPr>
          <w:color w:val="000000"/>
          <w:lang w:eastAsia="fr-FR" w:bidi="fr-FR"/>
        </w:rPr>
        <w:t>sent et qui aiment les choses de la terre. Pourtant, si nous avons bea</w:t>
      </w:r>
      <w:r w:rsidRPr="00246AE4">
        <w:rPr>
          <w:color w:val="000000"/>
          <w:lang w:eastAsia="fr-FR" w:bidi="fr-FR"/>
        </w:rPr>
        <w:t>u</w:t>
      </w:r>
      <w:r w:rsidRPr="00246AE4">
        <w:rPr>
          <w:color w:val="000000"/>
          <w:lang w:eastAsia="fr-FR" w:bidi="fr-FR"/>
        </w:rPr>
        <w:t>coup, si nous avons trop de livres qui embrassent l’histoire tout entière d’un village, nous avons très peu d’études sur l’histoire rurale, même toute contemporaine, de l’</w:t>
      </w:r>
      <w:r>
        <w:rPr>
          <w:color w:val="000000"/>
          <w:lang w:eastAsia="fr-FR" w:bidi="fr-FR"/>
        </w:rPr>
        <w:t>Île-de-France</w:t>
      </w:r>
      <w:r w:rsidRPr="00246AE4">
        <w:rPr>
          <w:color w:val="000000"/>
          <w:lang w:eastAsia="fr-FR" w:bidi="fr-FR"/>
        </w:rPr>
        <w:t>. Le jour où l’on composera moins de monographies de villages, des forces qui, à présent, se ga</w:t>
      </w:r>
      <w:r w:rsidRPr="00246AE4">
        <w:rPr>
          <w:color w:val="000000"/>
          <w:lang w:eastAsia="fr-FR" w:bidi="fr-FR"/>
        </w:rPr>
        <w:t>s</w:t>
      </w:r>
      <w:r w:rsidRPr="00246AE4">
        <w:rPr>
          <w:color w:val="000000"/>
          <w:lang w:eastAsia="fr-FR" w:bidi="fr-FR"/>
        </w:rPr>
        <w:t>pillent, trouveront un meilleur emploi.</w:t>
      </w:r>
    </w:p>
    <w:p w14:paraId="69C13900" w14:textId="77777777" w:rsidR="00B9662D" w:rsidRPr="00246AE4" w:rsidRDefault="00B9662D" w:rsidP="00B9662D">
      <w:pPr>
        <w:spacing w:before="120" w:after="120"/>
        <w:jc w:val="both"/>
      </w:pPr>
      <w:r w:rsidRPr="00246AE4">
        <w:rPr>
          <w:color w:val="000000"/>
          <w:lang w:eastAsia="fr-FR" w:bidi="fr-FR"/>
        </w:rPr>
        <w:t>Faisons maintenant ce que nous voudrions voir faire aux érudits qu’occupe le passé de l’</w:t>
      </w:r>
      <w:r>
        <w:rPr>
          <w:color w:val="000000"/>
          <w:lang w:eastAsia="fr-FR" w:bidi="fr-FR"/>
        </w:rPr>
        <w:t>Île-de-France</w:t>
      </w:r>
      <w:r w:rsidRPr="00246AE4">
        <w:rPr>
          <w:color w:val="000000"/>
          <w:lang w:eastAsia="fr-FR" w:bidi="fr-FR"/>
        </w:rPr>
        <w:t> ; laissant de côté les monogr</w:t>
      </w:r>
      <w:r w:rsidRPr="00246AE4">
        <w:rPr>
          <w:color w:val="000000"/>
          <w:lang w:eastAsia="fr-FR" w:bidi="fr-FR"/>
        </w:rPr>
        <w:t>a</w:t>
      </w:r>
      <w:r w:rsidRPr="00246AE4">
        <w:rPr>
          <w:color w:val="000000"/>
          <w:lang w:eastAsia="fr-FR" w:bidi="fr-FR"/>
        </w:rPr>
        <w:t>phies locales, abordons, tour à tour, les problèmes que pose, aux diff</w:t>
      </w:r>
      <w:r w:rsidRPr="00246AE4">
        <w:rPr>
          <w:color w:val="000000"/>
          <w:lang w:eastAsia="fr-FR" w:bidi="fr-FR"/>
        </w:rPr>
        <w:t>é</w:t>
      </w:r>
      <w:r w:rsidRPr="00246AE4">
        <w:rPr>
          <w:color w:val="000000"/>
          <w:lang w:eastAsia="fr-FR" w:bidi="fr-FR"/>
        </w:rPr>
        <w:t>rentes époques, l’histoire des pays qui se groupent autour de Paris.</w:t>
      </w:r>
    </w:p>
    <w:p w14:paraId="34B4ADDC" w14:textId="77777777" w:rsidR="00B9662D" w:rsidRDefault="00B9662D" w:rsidP="00B9662D">
      <w:pPr>
        <w:spacing w:before="120" w:after="120"/>
        <w:jc w:val="both"/>
      </w:pPr>
    </w:p>
    <w:p w14:paraId="127EAA3D" w14:textId="77777777" w:rsidR="00B9662D" w:rsidRPr="00246AE4" w:rsidRDefault="00B9662D" w:rsidP="00B9662D">
      <w:pPr>
        <w:pStyle w:val="b"/>
      </w:pPr>
      <w:r w:rsidRPr="00246AE4">
        <w:t xml:space="preserve">2. </w:t>
      </w:r>
      <w:r w:rsidRPr="00246AE4">
        <w:rPr>
          <w:lang w:eastAsia="fr-FR" w:bidi="fr-FR"/>
        </w:rPr>
        <w:t>Les origines : préhistoire et antiquité.</w:t>
      </w:r>
    </w:p>
    <w:p w14:paraId="2055AD6B" w14:textId="77777777" w:rsidR="00B9662D" w:rsidRDefault="00B9662D" w:rsidP="00B9662D">
      <w:pPr>
        <w:spacing w:before="120" w:after="120"/>
        <w:jc w:val="both"/>
        <w:rPr>
          <w:color w:val="000000"/>
          <w:lang w:eastAsia="fr-FR" w:bidi="fr-FR"/>
        </w:rPr>
      </w:pPr>
    </w:p>
    <w:p w14:paraId="11EAB1BF" w14:textId="77777777" w:rsidR="00B9662D" w:rsidRPr="00246AE4" w:rsidRDefault="00B9662D" w:rsidP="00B9662D">
      <w:pPr>
        <w:spacing w:before="120" w:after="120"/>
        <w:jc w:val="both"/>
      </w:pPr>
      <w:r w:rsidRPr="00246AE4">
        <w:rPr>
          <w:color w:val="000000"/>
          <w:lang w:eastAsia="fr-FR" w:bidi="fr-FR"/>
        </w:rPr>
        <w:t>L’homme est apparu très tôt sur le</w:t>
      </w:r>
      <w:r>
        <w:rPr>
          <w:color w:val="000000"/>
          <w:lang w:eastAsia="fr-FR" w:bidi="fr-FR"/>
        </w:rPr>
        <w:t>s terres heureuses de l’Île-de-</w:t>
      </w:r>
      <w:r w:rsidRPr="00246AE4">
        <w:rPr>
          <w:color w:val="000000"/>
          <w:lang w:eastAsia="fr-FR" w:bidi="fr-FR"/>
        </w:rPr>
        <w:t xml:space="preserve">France. </w:t>
      </w:r>
      <w:r>
        <w:rPr>
          <w:color w:val="000000"/>
          <w:lang w:eastAsia="fr-FR" w:bidi="fr-FR"/>
        </w:rPr>
        <w:t>À</w:t>
      </w:r>
      <w:r w:rsidRPr="00246AE4">
        <w:rPr>
          <w:color w:val="000000"/>
          <w:lang w:eastAsia="fr-FR" w:bidi="fr-FR"/>
        </w:rPr>
        <w:t xml:space="preserve"> l’aube des temps préhistoriques, nous l’y trouvons déjà tai</w:t>
      </w:r>
      <w:r w:rsidRPr="00246AE4">
        <w:rPr>
          <w:color w:val="000000"/>
          <w:lang w:eastAsia="fr-FR" w:bidi="fr-FR"/>
        </w:rPr>
        <w:t>l</w:t>
      </w:r>
      <w:r w:rsidRPr="00246AE4">
        <w:rPr>
          <w:color w:val="000000"/>
          <w:lang w:eastAsia="fr-FR" w:bidi="fr-FR"/>
        </w:rPr>
        <w:t>lant ses outils de pierre. Les archéologues ont tracé dans l’immensité de ces temps de vastes divisions, qu’ils appellent des ères ; à l’intérieur de chacune de ces ères ils distinguent un certain nombre de périod</w:t>
      </w:r>
      <w:r>
        <w:rPr>
          <w:color w:val="000000"/>
          <w:lang w:eastAsia="fr-FR" w:bidi="fr-FR"/>
        </w:rPr>
        <w:t>es. Or c’est à un village de l’Î</w:t>
      </w:r>
      <w:r w:rsidRPr="00246AE4">
        <w:rPr>
          <w:color w:val="000000"/>
          <w:lang w:eastAsia="fr-FR" w:bidi="fr-FR"/>
        </w:rPr>
        <w:t xml:space="preserve">le-de-France que la plus ancienne des périodes de la plus ancienne des ères a emprunté le terme qui la désigne communément : le nom du bourg de Chelles, situé dans la </w:t>
      </w:r>
      <w:r w:rsidRPr="00246AE4">
        <w:rPr>
          <w:color w:val="000000"/>
          <w:lang w:eastAsia="fr-FR" w:bidi="fr-FR"/>
        </w:rPr>
        <w:lastRenderedPageBreak/>
        <w:t>vallée de la Marne, à égale distance à peu près de la ville de Meaux et du confluent de la Marne avec la Seine, se retrouve dans celui de la période chelléenne, par où s’ouvre l’ère paléolithique, c’est-à-dire par où s’ouvre la préhistoire</w:t>
      </w:r>
      <w:r>
        <w:rPr>
          <w:color w:val="000000"/>
          <w:lang w:eastAsia="fr-FR" w:bidi="fr-FR"/>
        </w:rPr>
        <w:t> </w:t>
      </w:r>
      <w:r>
        <w:rPr>
          <w:rStyle w:val="Appelnotedebasdep"/>
        </w:rPr>
        <w:footnoteReference w:id="518"/>
      </w:r>
      <w:r w:rsidRPr="00246AE4">
        <w:rPr>
          <w:color w:val="000000"/>
          <w:lang w:eastAsia="fr-FR" w:bidi="fr-FR"/>
        </w:rPr>
        <w:t xml:space="preserve">. Les haches « amygdaloïdes » découvertes sur le territoire de la commune de Chelles, dans les graviers roulés par le large fleuve que fut la Marne préhistorique, parmi les ossements de </w:t>
      </w:r>
      <w:r>
        <w:rPr>
          <w:color w:val="000000"/>
          <w:lang w:eastAsia="fr-FR" w:bidi="fr-FR"/>
        </w:rPr>
        <w:t>l’</w:t>
      </w:r>
      <w:r w:rsidRPr="00BB7897">
        <w:rPr>
          <w:i/>
        </w:rPr>
        <w:t>elephas antiquus</w:t>
      </w:r>
      <w:r w:rsidRPr="00246AE4">
        <w:rPr>
          <w:color w:val="000000"/>
          <w:lang w:eastAsia="fr-FR" w:bidi="fr-FR"/>
        </w:rPr>
        <w:t xml:space="preserve"> et de l’ours des cavernes, figurent au nombre des plus antiques témoignages que nous possédions sur l’industrie huma</w:t>
      </w:r>
      <w:r w:rsidRPr="00246AE4">
        <w:rPr>
          <w:color w:val="000000"/>
          <w:lang w:eastAsia="fr-FR" w:bidi="fr-FR"/>
        </w:rPr>
        <w:t>i</w:t>
      </w:r>
      <w:r w:rsidRPr="00246AE4">
        <w:rPr>
          <w:color w:val="000000"/>
          <w:lang w:eastAsia="fr-FR" w:bidi="fr-FR"/>
        </w:rPr>
        <w:t>ne.</w:t>
      </w:r>
    </w:p>
    <w:p w14:paraId="73B1B7FD" w14:textId="77777777" w:rsidR="00B9662D" w:rsidRPr="00246AE4" w:rsidRDefault="00B9662D" w:rsidP="00B9662D">
      <w:pPr>
        <w:spacing w:before="120" w:after="120"/>
        <w:jc w:val="both"/>
      </w:pPr>
      <w:r w:rsidRPr="00246AE4">
        <w:rPr>
          <w:color w:val="000000"/>
          <w:lang w:eastAsia="fr-FR" w:bidi="fr-FR"/>
        </w:rPr>
        <w:t>Les peuplades anonymes des âges préhistoriques,</w:t>
      </w:r>
      <w:r>
        <w:rPr>
          <w:color w:val="000000"/>
          <w:lang w:eastAsia="fr-FR" w:bidi="fr-FR"/>
        </w:rPr>
        <w:t> — </w:t>
      </w:r>
      <w:r w:rsidRPr="00246AE4">
        <w:rPr>
          <w:color w:val="000000"/>
          <w:lang w:eastAsia="fr-FR" w:bidi="fr-FR"/>
        </w:rPr>
        <w:t>celles dont nous ne pouvons même imaginer les noms, et celles, venues plus tard, qui peut-être portèrent le nom de Ligures,</w:t>
      </w:r>
      <w:r>
        <w:rPr>
          <w:color w:val="000000"/>
          <w:lang w:eastAsia="fr-FR" w:bidi="fr-FR"/>
        </w:rPr>
        <w:t> — </w:t>
      </w:r>
      <w:r w:rsidRPr="00246AE4">
        <w:rPr>
          <w:color w:val="000000"/>
          <w:lang w:eastAsia="fr-FR" w:bidi="fr-FR"/>
        </w:rPr>
        <w:t>ont</w:t>
      </w:r>
      <w:r>
        <w:rPr>
          <w:color w:val="000000"/>
          <w:lang w:eastAsia="fr-FR" w:bidi="fr-FR"/>
        </w:rPr>
        <w:t xml:space="preserve"> laissé sur le sol de l’Île-de-</w:t>
      </w:r>
      <w:r w:rsidRPr="00246AE4">
        <w:rPr>
          <w:color w:val="000000"/>
          <w:lang w:eastAsia="fr-FR" w:bidi="fr-FR"/>
        </w:rPr>
        <w:t>France d’abondants vestiges : armes et outils de pierre taillée, de pierre polie, de métal, dolmens et pierres levées, et ces cavités ci</w:t>
      </w:r>
      <w:r w:rsidRPr="00246AE4">
        <w:rPr>
          <w:color w:val="000000"/>
          <w:lang w:eastAsia="fr-FR" w:bidi="fr-FR"/>
        </w:rPr>
        <w:t>r</w:t>
      </w:r>
      <w:r w:rsidRPr="00246AE4">
        <w:rPr>
          <w:color w:val="000000"/>
          <w:lang w:eastAsia="fr-FR" w:bidi="fr-FR"/>
        </w:rPr>
        <w:t>culaires que les hommes des temps néolithiques se creusèrent, pour y établir leurs demeures, dans les calcaires beaucerons</w:t>
      </w:r>
      <w:r>
        <w:rPr>
          <w:color w:val="000000"/>
          <w:lang w:eastAsia="fr-FR" w:bidi="fr-FR"/>
        </w:rPr>
        <w:t> </w:t>
      </w:r>
      <w:r>
        <w:rPr>
          <w:rStyle w:val="Appelnotedebasdep"/>
        </w:rPr>
        <w:footnoteReference w:id="519"/>
      </w:r>
      <w:r w:rsidRPr="00246AE4">
        <w:rPr>
          <w:color w:val="000000"/>
          <w:lang w:eastAsia="fr-FR" w:bidi="fr-FR"/>
        </w:rPr>
        <w:t>. De nombre</w:t>
      </w:r>
      <w:r w:rsidRPr="00246AE4">
        <w:rPr>
          <w:color w:val="000000"/>
          <w:lang w:eastAsia="fr-FR" w:bidi="fr-FR"/>
        </w:rPr>
        <w:t>u</w:t>
      </w:r>
      <w:r w:rsidRPr="00246AE4">
        <w:rPr>
          <w:color w:val="000000"/>
          <w:lang w:eastAsia="fr-FR" w:bidi="fr-FR"/>
        </w:rPr>
        <w:t>ses études de détail, dispersées soit dans les revues spéciales, soit dans les revues locales, nous renseignent sur les découvertes de débris pr</w:t>
      </w:r>
      <w:r w:rsidRPr="00246AE4">
        <w:rPr>
          <w:color w:val="000000"/>
          <w:lang w:eastAsia="fr-FR" w:bidi="fr-FR"/>
        </w:rPr>
        <w:t>é</w:t>
      </w:r>
      <w:r w:rsidRPr="00246AE4">
        <w:rPr>
          <w:color w:val="000000"/>
          <w:lang w:eastAsia="fr-FR" w:bidi="fr-FR"/>
        </w:rPr>
        <w:t>historiques qui furent faites,</w:t>
      </w:r>
      <w:r>
        <w:t xml:space="preserve"> </w:t>
      </w:r>
      <w:r>
        <w:rPr>
          <w:color w:val="000000"/>
          <w:lang w:eastAsia="fr-FR" w:bidi="fr-FR"/>
        </w:rPr>
        <w:t xml:space="preserve">[741] </w:t>
      </w:r>
      <w:r w:rsidRPr="00246AE4">
        <w:rPr>
          <w:color w:val="000000"/>
          <w:lang w:eastAsia="fr-FR" w:bidi="fr-FR"/>
        </w:rPr>
        <w:t xml:space="preserve">depuis le début du </w:t>
      </w:r>
      <w:r w:rsidRPr="00E5213F">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w:t>
      </w:r>
      <w:r>
        <w:rPr>
          <w:color w:val="000000"/>
          <w:lang w:eastAsia="fr-FR" w:bidi="fr-FR"/>
        </w:rPr>
        <w:t>iècle, sur tant de points de l’Î</w:t>
      </w:r>
      <w:r w:rsidRPr="00246AE4">
        <w:rPr>
          <w:color w:val="000000"/>
          <w:lang w:eastAsia="fr-FR" w:bidi="fr-FR"/>
        </w:rPr>
        <w:t>le-de-France. Mais il nous faudrait un ouvrage d’ensemble qui, s’appuyant sur une large enquête critique, étudierait ce que furent les temps pr</w:t>
      </w:r>
      <w:r w:rsidRPr="00246AE4">
        <w:rPr>
          <w:color w:val="000000"/>
          <w:lang w:eastAsia="fr-FR" w:bidi="fr-FR"/>
        </w:rPr>
        <w:t>é</w:t>
      </w:r>
      <w:r w:rsidRPr="00246AE4">
        <w:rPr>
          <w:color w:val="000000"/>
          <w:lang w:eastAsia="fr-FR" w:bidi="fr-FR"/>
        </w:rPr>
        <w:t>hist</w:t>
      </w:r>
      <w:r>
        <w:rPr>
          <w:color w:val="000000"/>
          <w:lang w:eastAsia="fr-FR" w:bidi="fr-FR"/>
        </w:rPr>
        <w:t>oriques ne disons point dans l’Î</w:t>
      </w:r>
      <w:r w:rsidRPr="00246AE4">
        <w:rPr>
          <w:color w:val="000000"/>
          <w:lang w:eastAsia="fr-FR" w:bidi="fr-FR"/>
        </w:rPr>
        <w:t>le-de-France, le cadre serait factice, mais dans ce vaste « Bassin Parisien » dont l’</w:t>
      </w:r>
      <w:r>
        <w:rPr>
          <w:color w:val="000000"/>
          <w:lang w:eastAsia="fr-FR" w:bidi="fr-FR"/>
        </w:rPr>
        <w:t>Île-de-France</w:t>
      </w:r>
      <w:r w:rsidRPr="00246AE4">
        <w:rPr>
          <w:color w:val="000000"/>
          <w:lang w:eastAsia="fr-FR" w:bidi="fr-FR"/>
        </w:rPr>
        <w:t xml:space="preserve"> ne forme qu’une partie. Un tel ouvrage n’existe point. Lorsqu’il sera écrit, pr</w:t>
      </w:r>
      <w:r w:rsidRPr="00246AE4">
        <w:rPr>
          <w:color w:val="000000"/>
          <w:lang w:eastAsia="fr-FR" w:bidi="fr-FR"/>
        </w:rPr>
        <w:t>é</w:t>
      </w:r>
      <w:r w:rsidRPr="00246AE4">
        <w:rPr>
          <w:color w:val="000000"/>
          <w:lang w:eastAsia="fr-FR" w:bidi="fr-FR"/>
        </w:rPr>
        <w:t>cieux sans doute pour la science de la préhistoire en général, il éclair</w:t>
      </w:r>
      <w:r w:rsidRPr="00246AE4">
        <w:rPr>
          <w:color w:val="000000"/>
          <w:lang w:eastAsia="fr-FR" w:bidi="fr-FR"/>
        </w:rPr>
        <w:t>e</w:t>
      </w:r>
      <w:r w:rsidRPr="00246AE4">
        <w:rPr>
          <w:color w:val="000000"/>
          <w:lang w:eastAsia="fr-FR" w:bidi="fr-FR"/>
        </w:rPr>
        <w:t>ra aussi d’une vive lumière ce que l’on pourrait appele</w:t>
      </w:r>
      <w:r>
        <w:rPr>
          <w:color w:val="000000"/>
          <w:lang w:eastAsia="fr-FR" w:bidi="fr-FR"/>
        </w:rPr>
        <w:t>r l’histoire gé</w:t>
      </w:r>
      <w:r>
        <w:rPr>
          <w:color w:val="000000"/>
          <w:lang w:eastAsia="fr-FR" w:bidi="fr-FR"/>
        </w:rPr>
        <w:t>o</w:t>
      </w:r>
      <w:r>
        <w:rPr>
          <w:color w:val="000000"/>
          <w:lang w:eastAsia="fr-FR" w:bidi="fr-FR"/>
        </w:rPr>
        <w:t>graphique de l’Î</w:t>
      </w:r>
      <w:r w:rsidRPr="00246AE4">
        <w:rPr>
          <w:color w:val="000000"/>
          <w:lang w:eastAsia="fr-FR" w:bidi="fr-FR"/>
        </w:rPr>
        <w:t>le-de-</w:t>
      </w:r>
      <w:r>
        <w:rPr>
          <w:color w:val="000000"/>
          <w:lang w:eastAsia="fr-FR" w:bidi="fr-FR"/>
        </w:rPr>
        <w:t>France. Quelles terres, dans l’Î</w:t>
      </w:r>
      <w:r w:rsidRPr="00246AE4">
        <w:rPr>
          <w:color w:val="000000"/>
          <w:lang w:eastAsia="fr-FR" w:bidi="fr-FR"/>
        </w:rPr>
        <w:t>le-de-France, attirèrent les premiers établissements h</w:t>
      </w:r>
      <w:r w:rsidRPr="00246AE4">
        <w:rPr>
          <w:color w:val="000000"/>
          <w:lang w:eastAsia="fr-FR" w:bidi="fr-FR"/>
        </w:rPr>
        <w:t>u</w:t>
      </w:r>
      <w:r w:rsidRPr="00246AE4">
        <w:rPr>
          <w:color w:val="000000"/>
          <w:lang w:eastAsia="fr-FR" w:bidi="fr-FR"/>
        </w:rPr>
        <w:t xml:space="preserve">mains ? vallées ou plateaux ? et parmi ces derniers lesquels davantage, des plateaux secs ou des plateaux humides ? </w:t>
      </w:r>
      <w:r>
        <w:rPr>
          <w:color w:val="000000"/>
          <w:lang w:eastAsia="fr-FR" w:bidi="fr-FR"/>
        </w:rPr>
        <w:t>À</w:t>
      </w:r>
      <w:r w:rsidRPr="00246AE4">
        <w:rPr>
          <w:color w:val="000000"/>
          <w:lang w:eastAsia="fr-FR" w:bidi="fr-FR"/>
        </w:rPr>
        <w:t xml:space="preserve"> ces questions, la pr</w:t>
      </w:r>
      <w:r w:rsidRPr="00246AE4">
        <w:rPr>
          <w:color w:val="000000"/>
          <w:lang w:eastAsia="fr-FR" w:bidi="fr-FR"/>
        </w:rPr>
        <w:t>é</w:t>
      </w:r>
      <w:r w:rsidRPr="00246AE4">
        <w:rPr>
          <w:color w:val="000000"/>
          <w:lang w:eastAsia="fr-FR" w:bidi="fr-FR"/>
        </w:rPr>
        <w:t>histoire devra répondre. Je ne pense point qu’elle l’ait encore fait</w:t>
      </w:r>
      <w:r>
        <w:rPr>
          <w:color w:val="000000"/>
          <w:lang w:eastAsia="fr-FR" w:bidi="fr-FR"/>
        </w:rPr>
        <w:t> </w:t>
      </w:r>
      <w:r>
        <w:rPr>
          <w:rStyle w:val="Appelnotedebasdep"/>
        </w:rPr>
        <w:footnoteReference w:id="520"/>
      </w:r>
      <w:r w:rsidRPr="00246AE4">
        <w:rPr>
          <w:color w:val="000000"/>
          <w:lang w:eastAsia="fr-FR" w:bidi="fr-FR"/>
        </w:rPr>
        <w:t>.</w:t>
      </w:r>
    </w:p>
    <w:p w14:paraId="03EC4951" w14:textId="77777777" w:rsidR="00B9662D" w:rsidRPr="00246AE4" w:rsidRDefault="00B9662D" w:rsidP="00B9662D">
      <w:pPr>
        <w:spacing w:before="120" w:after="120"/>
        <w:jc w:val="both"/>
      </w:pPr>
      <w:r w:rsidRPr="00246AE4">
        <w:rPr>
          <w:color w:val="000000"/>
          <w:lang w:eastAsia="fr-FR" w:bidi="fr-FR"/>
        </w:rPr>
        <w:lastRenderedPageBreak/>
        <w:t>Quand César pénétra en Gaule, des populations de langue celtique occupaient les pa</w:t>
      </w:r>
      <w:r>
        <w:rPr>
          <w:color w:val="000000"/>
          <w:lang w:eastAsia="fr-FR" w:bidi="fr-FR"/>
        </w:rPr>
        <w:t>ys qui composent aujourd’hui l’Î</w:t>
      </w:r>
      <w:r w:rsidRPr="00246AE4">
        <w:rPr>
          <w:color w:val="000000"/>
          <w:lang w:eastAsia="fr-FR" w:bidi="fr-FR"/>
        </w:rPr>
        <w:t>le-de-France. Là prenaient contact les deux grands groupements que les historiens grecs et romains distinguaient dans la masse confuse des nations de nom celtique, et qui, sans doute, représentaient deux bans successifs d’une même invasion : les Belges au Nord, les Celtes proprement dits au Sud. César, dans la description de la Gaule par où s’ouvre le livre qu’il consacra au récit de sa conquête, expose que la Marne, puis la Seine marquaient la limite entre les peuples belges, établis sur la rive droite, et les peuples celtes, établis sur la rive gauche. Cette affirm</w:t>
      </w:r>
      <w:r w:rsidRPr="00246AE4">
        <w:rPr>
          <w:color w:val="000000"/>
          <w:lang w:eastAsia="fr-FR" w:bidi="fr-FR"/>
        </w:rPr>
        <w:t>a</w:t>
      </w:r>
      <w:r w:rsidRPr="00246AE4">
        <w:rPr>
          <w:color w:val="000000"/>
          <w:lang w:eastAsia="fr-FR" w:bidi="fr-FR"/>
        </w:rPr>
        <w:t>tion, on s’en rendra compte, n’était pas rigoureusement exacte ; en fait les deux rives appartenaient le plus souvent toutes deux à un même peuple, celte tantôt et tantôt belge. Ces cours d’eau, de traversée fa</w:t>
      </w:r>
      <w:r w:rsidRPr="00246AE4">
        <w:rPr>
          <w:color w:val="000000"/>
          <w:lang w:eastAsia="fr-FR" w:bidi="fr-FR"/>
        </w:rPr>
        <w:lastRenderedPageBreak/>
        <w:t>c</w:t>
      </w:r>
      <w:r w:rsidRPr="00246AE4">
        <w:rPr>
          <w:color w:val="000000"/>
          <w:lang w:eastAsia="fr-FR" w:bidi="fr-FR"/>
        </w:rPr>
        <w:t>i</w:t>
      </w:r>
      <w:r w:rsidRPr="00246AE4">
        <w:rPr>
          <w:color w:val="000000"/>
          <w:lang w:eastAsia="fr-FR" w:bidi="fr-FR"/>
        </w:rPr>
        <w:t>le, ces vallées accueillantes étaient, quoi qu’en pût penser César ou plutôt le géographe grec dont César sans doute s’inspira, médiocr</w:t>
      </w:r>
      <w:r w:rsidRPr="00246AE4">
        <w:rPr>
          <w:color w:val="000000"/>
          <w:lang w:eastAsia="fr-FR" w:bidi="fr-FR"/>
        </w:rPr>
        <w:t>e</w:t>
      </w:r>
      <w:r w:rsidRPr="00246AE4">
        <w:rPr>
          <w:color w:val="000000"/>
          <w:lang w:eastAsia="fr-FR" w:bidi="fr-FR"/>
        </w:rPr>
        <w:t xml:space="preserve">ment propres à former la frontière entre des groupes ethniques. Nous l’avons déjà constaté, la Seine n’est pas une barrière, et la Marne point davantage. Pourtant César faisait de ces deux rivières la limite du pays celte et la géographie populaire du Moyen </w:t>
      </w:r>
      <w:r>
        <w:rPr>
          <w:color w:val="000000"/>
          <w:lang w:eastAsia="fr-FR" w:bidi="fr-FR"/>
        </w:rPr>
        <w:t>Âge</w:t>
      </w:r>
      <w:r>
        <w:t xml:space="preserve"> [742] </w:t>
      </w:r>
      <w:r w:rsidRPr="00246AE4">
        <w:rPr>
          <w:color w:val="000000"/>
          <w:lang w:eastAsia="fr-FR" w:bidi="fr-FR"/>
        </w:rPr>
        <w:t>de la Seine la limite septentrionale du Hurepoix ; n’est-il pas curieux de voir la m</w:t>
      </w:r>
      <w:r w:rsidRPr="00246AE4">
        <w:rPr>
          <w:color w:val="000000"/>
          <w:lang w:eastAsia="fr-FR" w:bidi="fr-FR"/>
        </w:rPr>
        <w:t>ê</w:t>
      </w:r>
      <w:r w:rsidRPr="00246AE4">
        <w:rPr>
          <w:color w:val="000000"/>
          <w:lang w:eastAsia="fr-FR" w:bidi="fr-FR"/>
        </w:rPr>
        <w:t>me conception, trop simple ou, pour mieux dire, simpliste, touchant la fonction géographique des rivières s’exprimer, ainsi, à des époques si diverses, en des textes si différents ?</w:t>
      </w:r>
    </w:p>
    <w:p w14:paraId="1AC56B31" w14:textId="77777777" w:rsidR="00B9662D" w:rsidRPr="00246AE4" w:rsidRDefault="00B9662D" w:rsidP="00B9662D">
      <w:pPr>
        <w:spacing w:before="120" w:after="120"/>
        <w:jc w:val="both"/>
      </w:pPr>
      <w:r w:rsidRPr="00246AE4">
        <w:rPr>
          <w:color w:val="000000"/>
          <w:lang w:eastAsia="fr-FR" w:bidi="fr-FR"/>
        </w:rPr>
        <w:t>La contrée qui devint plus tard l’</w:t>
      </w:r>
      <w:r>
        <w:rPr>
          <w:color w:val="000000"/>
          <w:lang w:eastAsia="fr-FR" w:bidi="fr-FR"/>
        </w:rPr>
        <w:t>Île-de-France</w:t>
      </w:r>
      <w:r w:rsidRPr="00246AE4">
        <w:rPr>
          <w:color w:val="000000"/>
          <w:lang w:eastAsia="fr-FR" w:bidi="fr-FR"/>
        </w:rPr>
        <w:t xml:space="preserve"> n’était pas, aux temps gaulois, le domaine d’une nation unique. Vers le grand carr</w:t>
      </w:r>
      <w:r w:rsidRPr="00246AE4">
        <w:rPr>
          <w:color w:val="000000"/>
          <w:lang w:eastAsia="fr-FR" w:bidi="fr-FR"/>
        </w:rPr>
        <w:t>e</w:t>
      </w:r>
      <w:r w:rsidRPr="00246AE4">
        <w:rPr>
          <w:color w:val="000000"/>
          <w:lang w:eastAsia="fr-FR" w:bidi="fr-FR"/>
        </w:rPr>
        <w:t>four de voies fluviales qui en marque le centre, on dirait que tous les peuples voisins aient voulu s’avancer. Quelles étaient leurs fronti</w:t>
      </w:r>
      <w:r w:rsidRPr="00246AE4">
        <w:rPr>
          <w:color w:val="000000"/>
          <w:lang w:eastAsia="fr-FR" w:bidi="fr-FR"/>
        </w:rPr>
        <w:t>è</w:t>
      </w:r>
      <w:r w:rsidRPr="00246AE4">
        <w:rPr>
          <w:color w:val="000000"/>
          <w:lang w:eastAsia="fr-FR" w:bidi="fr-FR"/>
        </w:rPr>
        <w:t xml:space="preserve">res ? Aucun texte ancien ne nous fournit de quoi les tracer. Pourtant nous osons parfois les dessiner sur nos cartes. C’est que nous nous croyons en droit de les supposer identiques à celles des diocèses. Les diocèses ont perpétué, dans l’organisation ecclésiastique du Moyen </w:t>
      </w:r>
      <w:r>
        <w:rPr>
          <w:color w:val="000000"/>
          <w:lang w:eastAsia="fr-FR" w:bidi="fr-FR"/>
        </w:rPr>
        <w:t>Â</w:t>
      </w:r>
      <w:r w:rsidRPr="00246AE4">
        <w:rPr>
          <w:color w:val="000000"/>
          <w:lang w:eastAsia="fr-FR" w:bidi="fr-FR"/>
        </w:rPr>
        <w:t>ge, le souvenir des cités gallo-romaines, et, par delà ces cités, le souvenir des peuples gaulois dont elles avaient elles-même</w:t>
      </w:r>
      <w:r>
        <w:rPr>
          <w:color w:val="000000"/>
          <w:lang w:eastAsia="fr-FR" w:bidi="fr-FR"/>
        </w:rPr>
        <w:t>s</w:t>
      </w:r>
      <w:r w:rsidRPr="00246AE4">
        <w:rPr>
          <w:color w:val="000000"/>
          <w:lang w:eastAsia="fr-FR" w:bidi="fr-FR"/>
        </w:rPr>
        <w:t xml:space="preserve"> hérité,</w:t>
      </w:r>
      <w:r>
        <w:rPr>
          <w:color w:val="000000"/>
          <w:lang w:eastAsia="fr-FR" w:bidi="fr-FR"/>
        </w:rPr>
        <w:t> — </w:t>
      </w:r>
      <w:r w:rsidRPr="00246AE4">
        <w:rPr>
          <w:color w:val="000000"/>
          <w:lang w:eastAsia="fr-FR" w:bidi="fr-FR"/>
        </w:rPr>
        <w:t>soit qu’à chaque cité correspondît en effet le territoire d’un seul pe</w:t>
      </w:r>
      <w:r w:rsidRPr="00246AE4">
        <w:rPr>
          <w:color w:val="000000"/>
          <w:lang w:eastAsia="fr-FR" w:bidi="fr-FR"/>
        </w:rPr>
        <w:t>u</w:t>
      </w:r>
      <w:r w:rsidRPr="00246AE4">
        <w:rPr>
          <w:color w:val="000000"/>
          <w:lang w:eastAsia="fr-FR" w:bidi="fr-FR"/>
        </w:rPr>
        <w:t>ple, soit (nous en verrons des exemples) que le territoire d’un peuple eût servi à former deux cités, ou le territoire de deux peuples une cité unique. Une pareille méthode n’est légitime qu’à condition de ne point trop lui demander. Ne l’oublions point : de listes donnant l’énumération complète des paroisses comprises dans un diocèse, nous n’en avons pas qui remontent au</w:t>
      </w:r>
      <w:r>
        <w:rPr>
          <w:color w:val="000000"/>
          <w:lang w:eastAsia="fr-FR" w:bidi="fr-FR"/>
        </w:rPr>
        <w:t>-</w:t>
      </w:r>
      <w:r w:rsidRPr="00246AE4">
        <w:rPr>
          <w:color w:val="000000"/>
          <w:lang w:eastAsia="fr-FR" w:bidi="fr-FR"/>
        </w:rPr>
        <w:t xml:space="preserve">delà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w:t>
      </w:r>
      <w:r>
        <w:rPr>
          <w:color w:val="000000"/>
          <w:lang w:eastAsia="fr-FR" w:bidi="fr-FR"/>
        </w:rPr>
        <w:t> — </w:t>
      </w:r>
      <w:r w:rsidRPr="00246AE4">
        <w:rPr>
          <w:color w:val="000000"/>
          <w:lang w:eastAsia="fr-FR" w:bidi="fr-FR"/>
        </w:rPr>
        <w:t xml:space="preserve">pour certains diocèses, les plus anciennes datent seulement du </w:t>
      </w:r>
      <w:r w:rsidRPr="00E5213F">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w:t>
      </w:r>
      <w:r w:rsidRPr="00246AE4">
        <w:rPr>
          <w:color w:val="000000"/>
          <w:lang w:eastAsia="fr-FR" w:bidi="fr-FR"/>
        </w:rPr>
        <w:t>è</w:t>
      </w:r>
      <w:r w:rsidRPr="00246AE4">
        <w:rPr>
          <w:color w:val="000000"/>
          <w:lang w:eastAsia="fr-FR" w:bidi="fr-FR"/>
        </w:rPr>
        <w:t>cle</w:t>
      </w:r>
      <w:r>
        <w:rPr>
          <w:color w:val="000000"/>
          <w:lang w:eastAsia="fr-FR" w:bidi="fr-FR"/>
        </w:rPr>
        <w:t> </w:t>
      </w:r>
      <w:r>
        <w:rPr>
          <w:rStyle w:val="Appelnotedebasdep"/>
        </w:rPr>
        <w:footnoteReference w:id="521"/>
      </w:r>
      <w:r w:rsidRPr="00246AE4">
        <w:rPr>
          <w:color w:val="000000"/>
          <w:lang w:eastAsia="fr-FR" w:bidi="fr-FR"/>
        </w:rPr>
        <w:t xml:space="preserve">. Du peuple gaulois à la cité romaine, de la cité au diocèse du </w:t>
      </w:r>
      <w:r w:rsidRPr="00246AE4">
        <w:rPr>
          <w:color w:val="000000"/>
          <w:lang w:eastAsia="fr-FR" w:bidi="fr-FR"/>
        </w:rPr>
        <w:lastRenderedPageBreak/>
        <w:t xml:space="preserve">Haut Moyen </w:t>
      </w:r>
      <w:r>
        <w:rPr>
          <w:color w:val="000000"/>
          <w:lang w:eastAsia="fr-FR" w:bidi="fr-FR"/>
        </w:rPr>
        <w:t>Â</w:t>
      </w:r>
      <w:r w:rsidRPr="00246AE4">
        <w:rPr>
          <w:color w:val="000000"/>
          <w:lang w:eastAsia="fr-FR" w:bidi="fr-FR"/>
        </w:rPr>
        <w:t xml:space="preserve">ge, du diocèse du Haut Moyen </w:t>
      </w:r>
      <w:r>
        <w:rPr>
          <w:color w:val="000000"/>
          <w:lang w:eastAsia="fr-FR" w:bidi="fr-FR"/>
        </w:rPr>
        <w:t>Â</w:t>
      </w:r>
      <w:r w:rsidRPr="00246AE4">
        <w:rPr>
          <w:color w:val="000000"/>
          <w:lang w:eastAsia="fr-FR" w:bidi="fr-FR"/>
        </w:rPr>
        <w:t xml:space="preserve">ge à celui de l’époque de Philippe-Auguste, de saint Louis ou de Jean le Bon, qui ne voit combien de modifications de détail a pu subir le tracé des frontières ? Il est certain que les deux paroisses d’Estouy et de Courcelles-le-Roi, entre le </w:t>
      </w:r>
      <w:r w:rsidRPr="00E5213F">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et le </w:t>
      </w:r>
      <w:r w:rsidRPr="00E5213F">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 passèrent du diocèse d’Orléans au dioc</w:t>
      </w:r>
      <w:r w:rsidRPr="00246AE4">
        <w:rPr>
          <w:color w:val="000000"/>
          <w:lang w:eastAsia="fr-FR" w:bidi="fr-FR"/>
        </w:rPr>
        <w:t>è</w:t>
      </w:r>
      <w:r w:rsidRPr="00246AE4">
        <w:rPr>
          <w:color w:val="000000"/>
          <w:lang w:eastAsia="fr-FR" w:bidi="fr-FR"/>
        </w:rPr>
        <w:t>se de Sens</w:t>
      </w:r>
      <w:r>
        <w:rPr>
          <w:color w:val="000000"/>
          <w:lang w:eastAsia="fr-FR" w:bidi="fr-FR"/>
        </w:rPr>
        <w:t> </w:t>
      </w:r>
      <w:r>
        <w:rPr>
          <w:rStyle w:val="Appelnotedebasdep"/>
        </w:rPr>
        <w:footnoteReference w:id="522"/>
      </w:r>
      <w:r w:rsidRPr="00246AE4">
        <w:rPr>
          <w:color w:val="000000"/>
          <w:lang w:eastAsia="fr-FR" w:bidi="fr-FR"/>
        </w:rPr>
        <w:t xml:space="preserve">. Fait isolé, dira-t-on. Qu’en savons-nous ? Un hasard a voulu que le souvenir de ce changement nous fût transmis ; la liste des paroisses du diocèse Orléanais qu’administrait, au </w:t>
      </w:r>
      <w:r w:rsidRPr="00E5213F">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 un ce</w:t>
      </w:r>
      <w:r w:rsidRPr="00246AE4">
        <w:rPr>
          <w:color w:val="000000"/>
          <w:lang w:eastAsia="fr-FR" w:bidi="fr-FR"/>
        </w:rPr>
        <w:t>r</w:t>
      </w:r>
      <w:r w:rsidRPr="00246AE4">
        <w:rPr>
          <w:color w:val="000000"/>
          <w:lang w:eastAsia="fr-FR" w:bidi="fr-FR"/>
        </w:rPr>
        <w:t>tain Arnoul, nous a, par chance, été conservée sur un feuillet d’un m</w:t>
      </w:r>
      <w:r w:rsidRPr="00246AE4">
        <w:rPr>
          <w:color w:val="000000"/>
          <w:lang w:eastAsia="fr-FR" w:bidi="fr-FR"/>
        </w:rPr>
        <w:t>a</w:t>
      </w:r>
      <w:r w:rsidRPr="00246AE4">
        <w:rPr>
          <w:color w:val="000000"/>
          <w:lang w:eastAsia="fr-FR" w:bidi="fr-FR"/>
        </w:rPr>
        <w:t>nuscrit du Vatican. De combien de changements analogues d’autres hasards ont pu nous dérober la mémoire ! Peut-être, en dépouillant les textes diplomatiques, retrouverait-on la trace de quelques cas de cette sorte. Au reste l’étude des circonscriptions administratives de la p</w:t>
      </w:r>
      <w:r w:rsidRPr="00246AE4">
        <w:rPr>
          <w:color w:val="000000"/>
          <w:lang w:eastAsia="fr-FR" w:bidi="fr-FR"/>
        </w:rPr>
        <w:t>é</w:t>
      </w:r>
      <w:r w:rsidRPr="00246AE4">
        <w:rPr>
          <w:color w:val="000000"/>
          <w:lang w:eastAsia="fr-FR" w:bidi="fr-FR"/>
        </w:rPr>
        <w:t xml:space="preserve">riode mérovingienne, de ces </w:t>
      </w:r>
      <w:r w:rsidRPr="00246AE4">
        <w:t>pagi</w:t>
      </w:r>
      <w:r w:rsidRPr="00246AE4">
        <w:rPr>
          <w:color w:val="000000"/>
          <w:lang w:eastAsia="fr-FR" w:bidi="fr-FR"/>
        </w:rPr>
        <w:t xml:space="preserve"> qui furent, comme on le verra, fo</w:t>
      </w:r>
      <w:r w:rsidRPr="00246AE4">
        <w:rPr>
          <w:color w:val="000000"/>
          <w:lang w:eastAsia="fr-FR" w:bidi="fr-FR"/>
        </w:rPr>
        <w:t>r</w:t>
      </w:r>
      <w:r w:rsidRPr="00246AE4">
        <w:rPr>
          <w:color w:val="000000"/>
          <w:lang w:eastAsia="fr-FR" w:bidi="fr-FR"/>
        </w:rPr>
        <w:t>més aux dépens des cités, a déjà amené les érudits à penser que les limites des diocèses de Paris et de Sens, de Chartres et de Paris</w:t>
      </w:r>
      <w:r>
        <w:rPr>
          <w:color w:val="000000"/>
          <w:lang w:eastAsia="fr-FR" w:bidi="fr-FR"/>
        </w:rPr>
        <w:t> </w:t>
      </w:r>
      <w:r>
        <w:rPr>
          <w:rStyle w:val="Appelnotedebasdep"/>
        </w:rPr>
        <w:footnoteReference w:id="523"/>
      </w:r>
      <w:r w:rsidRPr="00246AE4">
        <w:rPr>
          <w:color w:val="000000"/>
          <w:lang w:eastAsia="fr-FR" w:bidi="fr-FR"/>
        </w:rPr>
        <w:t>, de Sens et de Meaux</w:t>
      </w:r>
      <w:r>
        <w:rPr>
          <w:color w:val="000000"/>
          <w:lang w:eastAsia="fr-FR" w:bidi="fr-FR"/>
        </w:rPr>
        <w:t> </w:t>
      </w:r>
      <w:r>
        <w:rPr>
          <w:rStyle w:val="Appelnotedebasdep"/>
        </w:rPr>
        <w:footnoteReference w:id="524"/>
      </w:r>
      <w:r w:rsidRPr="00246AE4">
        <w:rPr>
          <w:color w:val="000000"/>
          <w:lang w:eastAsia="fr-FR" w:bidi="fr-FR"/>
        </w:rPr>
        <w:t xml:space="preserve"> furent remaniées pendant les premiers siècles du Moyen </w:t>
      </w:r>
      <w:r>
        <w:rPr>
          <w:color w:val="000000"/>
          <w:lang w:eastAsia="fr-FR" w:bidi="fr-FR"/>
        </w:rPr>
        <w:t>Â</w:t>
      </w:r>
      <w:r w:rsidRPr="00246AE4">
        <w:rPr>
          <w:color w:val="000000"/>
          <w:lang w:eastAsia="fr-FR" w:bidi="fr-FR"/>
        </w:rPr>
        <w:t xml:space="preserve">ge. L’examen de la géographie ecclésiastique du Moyen </w:t>
      </w:r>
      <w:r>
        <w:rPr>
          <w:color w:val="000000"/>
          <w:lang w:eastAsia="fr-FR" w:bidi="fr-FR"/>
        </w:rPr>
        <w:t>Â</w:t>
      </w:r>
      <w:r w:rsidRPr="00246AE4">
        <w:rPr>
          <w:color w:val="000000"/>
          <w:lang w:eastAsia="fr-FR" w:bidi="fr-FR"/>
        </w:rPr>
        <w:t>ge, complétant celui</w:t>
      </w:r>
      <w:r>
        <w:t xml:space="preserve"> [</w:t>
      </w:r>
      <w:r w:rsidRPr="00246AE4">
        <w:rPr>
          <w:color w:val="000000"/>
          <w:lang w:eastAsia="fr-FR" w:bidi="fr-FR"/>
        </w:rPr>
        <w:t>743</w:t>
      </w:r>
      <w:r>
        <w:rPr>
          <w:color w:val="000000"/>
          <w:lang w:eastAsia="fr-FR" w:bidi="fr-FR"/>
        </w:rPr>
        <w:t xml:space="preserve">] </w:t>
      </w:r>
      <w:r w:rsidRPr="00246AE4">
        <w:rPr>
          <w:color w:val="000000"/>
          <w:lang w:eastAsia="fr-FR" w:bidi="fr-FR"/>
        </w:rPr>
        <w:t>des textes anciens, nous renseigne, en gros, sur les territoires qu’habitaient les peuples gaulois ; elle ne nous permet point de ma</w:t>
      </w:r>
      <w:r w:rsidRPr="00246AE4">
        <w:rPr>
          <w:color w:val="000000"/>
          <w:lang w:eastAsia="fr-FR" w:bidi="fr-FR"/>
        </w:rPr>
        <w:t>r</w:t>
      </w:r>
      <w:r w:rsidRPr="00246AE4">
        <w:rPr>
          <w:color w:val="000000"/>
          <w:lang w:eastAsia="fr-FR" w:bidi="fr-FR"/>
        </w:rPr>
        <w:t>quer leurs frontières d’un trait sûr et précis.</w:t>
      </w:r>
    </w:p>
    <w:p w14:paraId="22ADE436" w14:textId="77777777" w:rsidR="00B9662D" w:rsidRPr="00246AE4" w:rsidRDefault="00B9662D" w:rsidP="00B9662D">
      <w:pPr>
        <w:spacing w:before="120" w:after="120"/>
        <w:jc w:val="both"/>
      </w:pPr>
      <w:r w:rsidRPr="00246AE4">
        <w:rPr>
          <w:color w:val="000000"/>
          <w:lang w:eastAsia="fr-FR" w:bidi="fr-FR"/>
        </w:rPr>
        <w:t>Sur les deux rives de la Seine, entre les deux confluents de la Ma</w:t>
      </w:r>
      <w:r w:rsidRPr="00246AE4">
        <w:rPr>
          <w:color w:val="000000"/>
          <w:lang w:eastAsia="fr-FR" w:bidi="fr-FR"/>
        </w:rPr>
        <w:t>r</w:t>
      </w:r>
      <w:r w:rsidRPr="00246AE4">
        <w:rPr>
          <w:color w:val="000000"/>
          <w:lang w:eastAsia="fr-FR" w:bidi="fr-FR"/>
        </w:rPr>
        <w:t>ne et de l’Oise, dont le premier seul, semble-t-il, lui appartenait tout entier</w:t>
      </w:r>
      <w:r>
        <w:rPr>
          <w:color w:val="000000"/>
          <w:lang w:eastAsia="fr-FR" w:bidi="fr-FR"/>
        </w:rPr>
        <w:t> </w:t>
      </w:r>
      <w:r>
        <w:rPr>
          <w:rStyle w:val="Appelnotedebasdep"/>
        </w:rPr>
        <w:footnoteReference w:id="525"/>
      </w:r>
      <w:r w:rsidRPr="00246AE4">
        <w:rPr>
          <w:color w:val="000000"/>
          <w:lang w:eastAsia="fr-FR" w:bidi="fr-FR"/>
        </w:rPr>
        <w:t xml:space="preserve">, le petit peuple des Parises se groupait autour de la bourgade insulaire de Lutèce ; c’est, sans doute, un de ses </w:t>
      </w:r>
      <w:r w:rsidRPr="007A79BB">
        <w:rPr>
          <w:i/>
        </w:rPr>
        <w:t>oppida</w:t>
      </w:r>
      <w:r w:rsidRPr="00246AE4">
        <w:rPr>
          <w:color w:val="000000"/>
          <w:lang w:eastAsia="fr-FR" w:bidi="fr-FR"/>
        </w:rPr>
        <w:t xml:space="preserve"> qui s’élevait sur la colline de Taverny. Il apparaissait comme étouffé entre les grandes nations ses voisines. </w:t>
      </w:r>
      <w:r>
        <w:rPr>
          <w:color w:val="000000"/>
          <w:lang w:eastAsia="fr-FR" w:bidi="fr-FR"/>
        </w:rPr>
        <w:t>À</w:t>
      </w:r>
      <w:r w:rsidRPr="00246AE4">
        <w:rPr>
          <w:color w:val="000000"/>
          <w:lang w:eastAsia="fr-FR" w:bidi="fr-FR"/>
        </w:rPr>
        <w:t xml:space="preserve"> l’Ouest et au Sud-Ouest les Cranutes tenaient le Perche, la Beauce et les deux rives de la Loire. Au </w:t>
      </w:r>
      <w:r w:rsidRPr="00246AE4">
        <w:rPr>
          <w:color w:val="000000"/>
          <w:lang w:eastAsia="fr-FR" w:bidi="fr-FR"/>
        </w:rPr>
        <w:lastRenderedPageBreak/>
        <w:t>Sud-Est les Sénons, depuis la vallée de l’Yonne, s’avançaient dans la Brie, dans le Gâtinais et jusque sur le plateau beauceron. Ces trois peuples étaient celtes. Voici maintenant les Belges. Au Nord-Est les Suessons, nation puissante entourée de peuples clients, occupaient les deux rives de la Marne ; ils étendaient leur vaste territoire « fines latissimos »</w:t>
      </w:r>
      <w:r>
        <w:rPr>
          <w:color w:val="000000"/>
          <w:lang w:eastAsia="fr-FR" w:bidi="fr-FR"/>
        </w:rPr>
        <w:t> </w:t>
      </w:r>
      <w:r>
        <w:rPr>
          <w:rStyle w:val="Appelnotedebasdep"/>
        </w:rPr>
        <w:footnoteReference w:id="526"/>
      </w:r>
      <w:r w:rsidRPr="00246AE4">
        <w:rPr>
          <w:color w:val="000000"/>
          <w:lang w:eastAsia="fr-FR" w:bidi="fr-FR"/>
        </w:rPr>
        <w:t xml:space="preserve"> sur une partie de la Brie et sans doute sur la partie orientale du plateau qui devait plus tard s’appeler la France. Au Nord-Ouest les Bellov</w:t>
      </w:r>
      <w:r w:rsidRPr="00246AE4">
        <w:rPr>
          <w:color w:val="000000"/>
          <w:lang w:eastAsia="fr-FR" w:bidi="fr-FR"/>
        </w:rPr>
        <w:t>a</w:t>
      </w:r>
      <w:r w:rsidRPr="00246AE4">
        <w:rPr>
          <w:color w:val="000000"/>
          <w:lang w:eastAsia="fr-FR" w:bidi="fr-FR"/>
        </w:rPr>
        <w:t>ques demeuraient en dehors des limites que nous avons fixées à l’</w:t>
      </w:r>
      <w:r>
        <w:rPr>
          <w:color w:val="000000"/>
          <w:lang w:eastAsia="fr-FR" w:bidi="fr-FR"/>
        </w:rPr>
        <w:t>Île-de-France</w:t>
      </w:r>
      <w:r w:rsidRPr="00246AE4">
        <w:rPr>
          <w:color w:val="000000"/>
          <w:lang w:eastAsia="fr-FR" w:bidi="fr-FR"/>
        </w:rPr>
        <w:t>. Mais à l’Ouest, au</w:t>
      </w:r>
      <w:r>
        <w:rPr>
          <w:color w:val="000000"/>
          <w:lang w:eastAsia="fr-FR" w:bidi="fr-FR"/>
        </w:rPr>
        <w:t>-</w:t>
      </w:r>
      <w:r w:rsidRPr="00246AE4">
        <w:rPr>
          <w:color w:val="000000"/>
          <w:lang w:eastAsia="fr-FR" w:bidi="fr-FR"/>
        </w:rPr>
        <w:t>delà de l’Oise, les Véliocasses hab</w:t>
      </w:r>
      <w:r w:rsidRPr="00246AE4">
        <w:rPr>
          <w:color w:val="000000"/>
          <w:lang w:eastAsia="fr-FR" w:bidi="fr-FR"/>
        </w:rPr>
        <w:t>i</w:t>
      </w:r>
      <w:r w:rsidRPr="00246AE4">
        <w:rPr>
          <w:color w:val="000000"/>
          <w:lang w:eastAsia="fr-FR" w:bidi="fr-FR"/>
        </w:rPr>
        <w:t>taient les plateaux auxquels ils ont laissé le nom de Vexin.</w:t>
      </w:r>
    </w:p>
    <w:p w14:paraId="0418A1F2" w14:textId="77777777" w:rsidR="00B9662D" w:rsidRPr="00246AE4" w:rsidRDefault="00B9662D" w:rsidP="00B9662D">
      <w:pPr>
        <w:spacing w:before="120" w:after="120"/>
        <w:jc w:val="both"/>
      </w:pPr>
      <w:r w:rsidRPr="00246AE4">
        <w:rPr>
          <w:color w:val="000000"/>
          <w:lang w:eastAsia="fr-FR" w:bidi="fr-FR"/>
        </w:rPr>
        <w:t>Lorsque la Gaule fut devenue romaine, la plupart des peuples ga</w:t>
      </w:r>
      <w:r w:rsidRPr="00246AE4">
        <w:rPr>
          <w:color w:val="000000"/>
          <w:lang w:eastAsia="fr-FR" w:bidi="fr-FR"/>
        </w:rPr>
        <w:t>u</w:t>
      </w:r>
      <w:r w:rsidRPr="00246AE4">
        <w:rPr>
          <w:color w:val="000000"/>
          <w:lang w:eastAsia="fr-FR" w:bidi="fr-FR"/>
        </w:rPr>
        <w:t>lois, conservant leur autonomie sous la surveillance des conquérants, devinrent des « cités ». Toutefois des remaniements eurent lieu qui, dans la région qui nous occupe, semblent avoir été particulièrement importants. Il est difficile, impossible même, de leur assigner des d</w:t>
      </w:r>
      <w:r w:rsidRPr="00246AE4">
        <w:rPr>
          <w:color w:val="000000"/>
          <w:lang w:eastAsia="fr-FR" w:bidi="fr-FR"/>
        </w:rPr>
        <w:t>a</w:t>
      </w:r>
      <w:r w:rsidRPr="00246AE4">
        <w:rPr>
          <w:color w:val="000000"/>
          <w:lang w:eastAsia="fr-FR" w:bidi="fr-FR"/>
        </w:rPr>
        <w:t>tes certaines. Aux frontières des Parises, les Suessons cessent d’apparaître : deux peuples, jadis vassaux, détachés maintenant de ce</w:t>
      </w:r>
      <w:r w:rsidRPr="00246AE4">
        <w:rPr>
          <w:color w:val="000000"/>
          <w:lang w:eastAsia="fr-FR" w:bidi="fr-FR"/>
        </w:rPr>
        <w:t>t</w:t>
      </w:r>
      <w:r w:rsidRPr="00246AE4">
        <w:rPr>
          <w:color w:val="000000"/>
          <w:lang w:eastAsia="fr-FR" w:bidi="fr-FR"/>
        </w:rPr>
        <w:t>te nation trop grande, les Meldes en Brie et sur le plateau de France, les Silvanectes au</w:t>
      </w:r>
      <w:r>
        <w:rPr>
          <w:color w:val="000000"/>
          <w:lang w:eastAsia="fr-FR" w:bidi="fr-FR"/>
        </w:rPr>
        <w:t>-</w:t>
      </w:r>
      <w:r w:rsidRPr="00246AE4">
        <w:rPr>
          <w:color w:val="000000"/>
          <w:lang w:eastAsia="fr-FR" w:bidi="fr-FR"/>
        </w:rPr>
        <w:t>delà des grandes forêts des bords de l’Oise, ont reçu des Romains leur indépendance. L’immense territoire des Carnutes est divisé entre deux cités. L’une, à l’Ouest, garde le nom carnute ; elle le transmettra à la ville d’Autricum, sa capitale, qui deviendra Chartres. Au Sud-Est, sur une partie du plateau beauceron, comme sur le Val de Loire et sur la Sologne, s’étend la cité nouvelle des Aureliani, const</w:t>
      </w:r>
      <w:r w:rsidRPr="00246AE4">
        <w:rPr>
          <w:color w:val="000000"/>
          <w:lang w:eastAsia="fr-FR" w:bidi="fr-FR"/>
        </w:rPr>
        <w:t>i</w:t>
      </w:r>
      <w:r w:rsidRPr="00246AE4">
        <w:rPr>
          <w:color w:val="000000"/>
          <w:lang w:eastAsia="fr-FR" w:bidi="fr-FR"/>
        </w:rPr>
        <w:t>tuée au dépens du pays carnute, autour de Cenabum, qui sera O</w:t>
      </w:r>
      <w:r w:rsidRPr="00246AE4">
        <w:rPr>
          <w:color w:val="000000"/>
          <w:lang w:eastAsia="fr-FR" w:bidi="fr-FR"/>
        </w:rPr>
        <w:t>r</w:t>
      </w:r>
      <w:r w:rsidRPr="00246AE4">
        <w:rPr>
          <w:color w:val="000000"/>
          <w:lang w:eastAsia="fr-FR" w:bidi="fr-FR"/>
        </w:rPr>
        <w:t>léans</w:t>
      </w:r>
      <w:r>
        <w:rPr>
          <w:color w:val="000000"/>
          <w:lang w:eastAsia="fr-FR" w:bidi="fr-FR"/>
        </w:rPr>
        <w:t> </w:t>
      </w:r>
      <w:r>
        <w:rPr>
          <w:rStyle w:val="Appelnotedebasdep"/>
        </w:rPr>
        <w:footnoteReference w:id="527"/>
      </w:r>
      <w:r w:rsidRPr="00246AE4">
        <w:rPr>
          <w:color w:val="000000"/>
          <w:lang w:eastAsia="fr-FR" w:bidi="fr-FR"/>
        </w:rPr>
        <w:t>. Sur la frontière occidentale des Parises, deux peuples, au contraire, les Véliocasses, dont le domaine pourtant était déjà vaste, et les Calètes qui, plus à l’Ouest, habitaient le pays de Caux, se sont unis pour former une seule cité qui va des bords de l’Oise aux falaises que baigne la Manche. Quelles raisons déterminèrent ce dernier chang</w:t>
      </w:r>
      <w:r w:rsidRPr="00246AE4">
        <w:rPr>
          <w:color w:val="000000"/>
          <w:lang w:eastAsia="fr-FR" w:bidi="fr-FR"/>
        </w:rPr>
        <w:t>e</w:t>
      </w:r>
      <w:r w:rsidRPr="00246AE4">
        <w:rPr>
          <w:color w:val="000000"/>
          <w:lang w:eastAsia="fr-FR" w:bidi="fr-FR"/>
        </w:rPr>
        <w:t>ment ? nous l’ignorons. Le fait, à ma connaissance, n’a jamais été e</w:t>
      </w:r>
      <w:r w:rsidRPr="00246AE4">
        <w:rPr>
          <w:color w:val="000000"/>
          <w:lang w:eastAsia="fr-FR" w:bidi="fr-FR"/>
        </w:rPr>
        <w:t>x</w:t>
      </w:r>
      <w:r w:rsidRPr="00246AE4">
        <w:rPr>
          <w:color w:val="000000"/>
          <w:lang w:eastAsia="fr-FR" w:bidi="fr-FR"/>
        </w:rPr>
        <w:t>pliqué, soit qu’aucun savant ne se soit préoc</w:t>
      </w:r>
      <w:r w:rsidRPr="00246AE4">
        <w:rPr>
          <w:color w:val="000000"/>
          <w:lang w:eastAsia="fr-FR" w:bidi="fr-FR"/>
        </w:rPr>
        <w:lastRenderedPageBreak/>
        <w:t>cupé d’en rechercher les causes, soit plutôt que, les recherchant, personne ne les ait trouvées.</w:t>
      </w:r>
    </w:p>
    <w:p w14:paraId="4009687A" w14:textId="77777777" w:rsidR="00B9662D" w:rsidRPr="00246AE4" w:rsidRDefault="00B9662D" w:rsidP="00B9662D">
      <w:pPr>
        <w:spacing w:before="120" w:after="120"/>
        <w:jc w:val="both"/>
      </w:pPr>
      <w:r w:rsidRPr="00246AE4">
        <w:rPr>
          <w:color w:val="000000"/>
          <w:lang w:eastAsia="fr-FR" w:bidi="fr-FR"/>
        </w:rPr>
        <w:t>Quelles furent, aux temps romains, les destinées des cités qui se groupaient</w:t>
      </w:r>
      <w:r>
        <w:t xml:space="preserve"> </w:t>
      </w:r>
      <w:r>
        <w:rPr>
          <w:color w:val="000000"/>
          <w:lang w:eastAsia="fr-FR" w:bidi="fr-FR"/>
        </w:rPr>
        <w:t>[744]</w:t>
      </w:r>
      <w:r w:rsidRPr="00246AE4">
        <w:rPr>
          <w:color w:val="000000"/>
          <w:lang w:eastAsia="fr-FR" w:bidi="fr-FR"/>
        </w:rPr>
        <w:t xml:space="preserve"> autour du cours moyen de la Seine ? Ces villes, que nous voyons, ou que nous devinons, se développant d’abord paisibl</w:t>
      </w:r>
      <w:r w:rsidRPr="00246AE4">
        <w:rPr>
          <w:color w:val="000000"/>
          <w:lang w:eastAsia="fr-FR" w:bidi="fr-FR"/>
        </w:rPr>
        <w:t>e</w:t>
      </w:r>
      <w:r w:rsidRPr="00246AE4">
        <w:rPr>
          <w:color w:val="000000"/>
          <w:lang w:eastAsia="fr-FR" w:bidi="fr-FR"/>
        </w:rPr>
        <w:t>ment pendant les premiers siècles de l’Empire, autour des sites des bourgades gauloises,</w:t>
      </w:r>
      <w:r>
        <w:rPr>
          <w:color w:val="000000"/>
          <w:lang w:eastAsia="fr-FR" w:bidi="fr-FR"/>
        </w:rPr>
        <w:t> — </w:t>
      </w:r>
      <w:r w:rsidRPr="00246AE4">
        <w:rPr>
          <w:color w:val="000000"/>
          <w:lang w:eastAsia="fr-FR" w:bidi="fr-FR"/>
        </w:rPr>
        <w:t>puis, lorsqu’au m</w:t>
      </w:r>
      <w:r w:rsidRPr="00246AE4">
        <w:rPr>
          <w:color w:val="000000"/>
          <w:vertAlign w:val="superscript"/>
          <w:lang w:eastAsia="fr-FR" w:bidi="fr-FR"/>
        </w:rPr>
        <w:t>e</w:t>
      </w:r>
      <w:r w:rsidRPr="00246AE4">
        <w:rPr>
          <w:color w:val="000000"/>
          <w:lang w:eastAsia="fr-FR" w:bidi="fr-FR"/>
        </w:rPr>
        <w:t xml:space="preserve"> siècle vinrent les inv</w:t>
      </w:r>
      <w:r w:rsidRPr="00246AE4">
        <w:rPr>
          <w:color w:val="000000"/>
          <w:lang w:eastAsia="fr-FR" w:bidi="fr-FR"/>
        </w:rPr>
        <w:t>a</w:t>
      </w:r>
      <w:r w:rsidRPr="00246AE4">
        <w:rPr>
          <w:color w:val="000000"/>
          <w:lang w:eastAsia="fr-FR" w:bidi="fr-FR"/>
        </w:rPr>
        <w:t>sions, se retirant, derrière des remparts élevés à la hâte, en des lieux de défense aisée, Chartres au rebord du plateau, Melun, comme Paris, dans son île</w:t>
      </w:r>
      <w:r>
        <w:rPr>
          <w:color w:val="000000"/>
          <w:lang w:eastAsia="fr-FR" w:bidi="fr-FR"/>
        </w:rPr>
        <w:t> </w:t>
      </w:r>
      <w:r>
        <w:rPr>
          <w:rStyle w:val="Appelnotedebasdep"/>
        </w:rPr>
        <w:footnoteReference w:id="528"/>
      </w:r>
      <w:r w:rsidRPr="00246AE4">
        <w:rPr>
          <w:color w:val="000000"/>
          <w:lang w:eastAsia="fr-FR" w:bidi="fr-FR"/>
        </w:rPr>
        <w:t>, quelle fut leur vie ? quels furent leurs cultes, leurs fêtes, leurs métiers, leurs institutions politiques ? dans les campagnes, que</w:t>
      </w:r>
      <w:r w:rsidRPr="00246AE4">
        <w:rPr>
          <w:color w:val="000000"/>
          <w:lang w:eastAsia="fr-FR" w:bidi="fr-FR"/>
        </w:rPr>
        <w:t>l</w:t>
      </w:r>
      <w:r w:rsidRPr="00246AE4">
        <w:rPr>
          <w:color w:val="000000"/>
          <w:lang w:eastAsia="fr-FR" w:bidi="fr-FR"/>
        </w:rPr>
        <w:t xml:space="preserve">les </w:t>
      </w:r>
      <w:r w:rsidRPr="00A8786C">
        <w:rPr>
          <w:i/>
        </w:rPr>
        <w:t>vi</w:t>
      </w:r>
      <w:r w:rsidRPr="00A8786C">
        <w:rPr>
          <w:i/>
        </w:rPr>
        <w:t>l</w:t>
      </w:r>
      <w:r w:rsidRPr="00A8786C">
        <w:rPr>
          <w:i/>
        </w:rPr>
        <w:t>lae</w:t>
      </w:r>
      <w:r w:rsidRPr="00246AE4">
        <w:rPr>
          <w:color w:val="000000"/>
          <w:lang w:eastAsia="fr-FR" w:bidi="fr-FR"/>
        </w:rPr>
        <w:t xml:space="preserve"> abritèrent quels grands propriétaires ? surtout, quelle fut, dans ces pays, l’histoire de la romanisation dont le secret nous serait peut-être révélé par les noms propres de personnes si l’étude en est possible ? </w:t>
      </w:r>
      <w:r>
        <w:rPr>
          <w:color w:val="000000"/>
          <w:lang w:eastAsia="fr-FR" w:bidi="fr-FR"/>
        </w:rPr>
        <w:t>À</w:t>
      </w:r>
      <w:r w:rsidRPr="00246AE4">
        <w:rPr>
          <w:color w:val="000000"/>
          <w:lang w:eastAsia="fr-FR" w:bidi="fr-FR"/>
        </w:rPr>
        <w:t xml:space="preserve"> toutes ces questions, celui qui ne consulte que les ouvr</w:t>
      </w:r>
      <w:r w:rsidRPr="00246AE4">
        <w:rPr>
          <w:color w:val="000000"/>
          <w:lang w:eastAsia="fr-FR" w:bidi="fr-FR"/>
        </w:rPr>
        <w:t>a</w:t>
      </w:r>
      <w:r w:rsidRPr="00246AE4">
        <w:rPr>
          <w:color w:val="000000"/>
          <w:lang w:eastAsia="fr-FR" w:bidi="fr-FR"/>
        </w:rPr>
        <w:t>ges de seconde main ne saurait donner de réponses. Ils sont rares, les travaux qui, dans l’</w:t>
      </w:r>
      <w:r>
        <w:rPr>
          <w:color w:val="000000"/>
          <w:lang w:eastAsia="fr-FR" w:bidi="fr-FR"/>
        </w:rPr>
        <w:t>Î</w:t>
      </w:r>
      <w:r w:rsidRPr="00246AE4">
        <w:rPr>
          <w:color w:val="000000"/>
          <w:lang w:eastAsia="fr-FR" w:bidi="fr-FR"/>
        </w:rPr>
        <w:t>le-de-France, ont été consacrés à l’époque roma</w:t>
      </w:r>
      <w:r w:rsidRPr="00246AE4">
        <w:rPr>
          <w:color w:val="000000"/>
          <w:lang w:eastAsia="fr-FR" w:bidi="fr-FR"/>
        </w:rPr>
        <w:t>i</w:t>
      </w:r>
      <w:r w:rsidRPr="00246AE4">
        <w:rPr>
          <w:color w:val="000000"/>
          <w:lang w:eastAsia="fr-FR" w:bidi="fr-FR"/>
        </w:rPr>
        <w:t>ne. Les d</w:t>
      </w:r>
      <w:r w:rsidRPr="00246AE4">
        <w:rPr>
          <w:color w:val="000000"/>
          <w:lang w:eastAsia="fr-FR" w:bidi="fr-FR"/>
        </w:rPr>
        <w:t>o</w:t>
      </w:r>
      <w:r w:rsidRPr="00246AE4">
        <w:rPr>
          <w:color w:val="000000"/>
          <w:lang w:eastAsia="fr-FR" w:bidi="fr-FR"/>
        </w:rPr>
        <w:t>cuments, je le sais, sont, eux aussi, bien rares. Il ne peut guère être question que de documents archéologiques et épigraph</w:t>
      </w:r>
      <w:r w:rsidRPr="00246AE4">
        <w:rPr>
          <w:color w:val="000000"/>
          <w:lang w:eastAsia="fr-FR" w:bidi="fr-FR"/>
        </w:rPr>
        <w:t>i</w:t>
      </w:r>
      <w:r w:rsidRPr="00246AE4">
        <w:rPr>
          <w:color w:val="000000"/>
          <w:lang w:eastAsia="fr-FR" w:bidi="fr-FR"/>
        </w:rPr>
        <w:t>ques. Or le sol de l’</w:t>
      </w:r>
      <w:r>
        <w:rPr>
          <w:color w:val="000000"/>
          <w:lang w:eastAsia="fr-FR" w:bidi="fr-FR"/>
        </w:rPr>
        <w:t>Î</w:t>
      </w:r>
      <w:r w:rsidRPr="00246AE4">
        <w:rPr>
          <w:color w:val="000000"/>
          <w:lang w:eastAsia="fr-FR" w:bidi="fr-FR"/>
        </w:rPr>
        <w:t>le-de-France paraît peu fécond en vestiges r</w:t>
      </w:r>
      <w:r w:rsidRPr="00246AE4">
        <w:rPr>
          <w:color w:val="000000"/>
          <w:lang w:eastAsia="fr-FR" w:bidi="fr-FR"/>
        </w:rPr>
        <w:t>o</w:t>
      </w:r>
      <w:r w:rsidRPr="00246AE4">
        <w:rPr>
          <w:color w:val="000000"/>
          <w:lang w:eastAsia="fr-FR" w:bidi="fr-FR"/>
        </w:rPr>
        <w:t>mains, surtout si on le compare à celui d’autres régions gauloises : la Narbonnaise, par exemple, ou les pays rhénans, ou même la Sainto</w:t>
      </w:r>
      <w:r w:rsidRPr="00246AE4">
        <w:rPr>
          <w:color w:val="000000"/>
          <w:lang w:eastAsia="fr-FR" w:bidi="fr-FR"/>
        </w:rPr>
        <w:t>n</w:t>
      </w:r>
      <w:r w:rsidRPr="00246AE4">
        <w:rPr>
          <w:color w:val="000000"/>
          <w:lang w:eastAsia="fr-FR" w:bidi="fr-FR"/>
        </w:rPr>
        <w:t xml:space="preserve">ge. Les cités des Meldes, des Parises et des Carnutes, à elles trois, n’ont fourni au </w:t>
      </w:r>
      <w:r w:rsidRPr="00A8786C">
        <w:rPr>
          <w:i/>
        </w:rPr>
        <w:t>Corpus</w:t>
      </w:r>
      <w:r w:rsidRPr="00246AE4">
        <w:rPr>
          <w:color w:val="000000"/>
          <w:lang w:eastAsia="fr-FR" w:bidi="fr-FR"/>
        </w:rPr>
        <w:t xml:space="preserve"> que cinquante-neuf inscriptions. Du moins s</w:t>
      </w:r>
      <w:r w:rsidRPr="00246AE4">
        <w:rPr>
          <w:color w:val="000000"/>
          <w:lang w:eastAsia="fr-FR" w:bidi="fr-FR"/>
        </w:rPr>
        <w:t>e</w:t>
      </w:r>
      <w:r w:rsidRPr="00246AE4">
        <w:rPr>
          <w:color w:val="000000"/>
          <w:lang w:eastAsia="fr-FR" w:bidi="fr-FR"/>
        </w:rPr>
        <w:t xml:space="preserve">rait-il indispensable de dresser pour toutes les cités et les villes, et pour tous les problèmes, l’inventaire de ce que nous pouvons savoir, et de ce que nous devons nous résigner à ignorer. M. Bonnard vient d’établir le bilan de nos connaissances sur </w:t>
      </w:r>
      <w:r w:rsidRPr="00A8786C">
        <w:rPr>
          <w:i/>
        </w:rPr>
        <w:t>Chartres gallo-romain </w:t>
      </w:r>
      <w:r>
        <w:rPr>
          <w:rStyle w:val="Appelnotedebasdep"/>
        </w:rPr>
        <w:footnoteReference w:id="529"/>
      </w:r>
      <w:r w:rsidRPr="00246AE4">
        <w:rPr>
          <w:color w:val="000000"/>
          <w:lang w:eastAsia="fr-FR" w:bidi="fr-FR"/>
        </w:rPr>
        <w:t xml:space="preserve">. Il faut souhaiter que son exemple soit suivi. Pour le moment, outre son travail, je ne vois guère à citer, comme ouvrages d’une portée un peu générale, que le livre excellent de M. de Pachtère sur </w:t>
      </w:r>
      <w:r w:rsidRPr="00A8786C">
        <w:rPr>
          <w:i/>
        </w:rPr>
        <w:t>Paris gallo-</w:t>
      </w:r>
      <w:r w:rsidRPr="00A8786C">
        <w:rPr>
          <w:i/>
        </w:rPr>
        <w:lastRenderedPageBreak/>
        <w:t>romain</w:t>
      </w:r>
      <w:r w:rsidRPr="00246AE4">
        <w:t>,</w:t>
      </w:r>
      <w:r w:rsidRPr="00246AE4">
        <w:rPr>
          <w:color w:val="000000"/>
          <w:lang w:eastAsia="fr-FR" w:bidi="fr-FR"/>
        </w:rPr>
        <w:t xml:space="preserve"> qui touche de très près à l’</w:t>
      </w:r>
      <w:r>
        <w:rPr>
          <w:color w:val="000000"/>
          <w:lang w:eastAsia="fr-FR" w:bidi="fr-FR"/>
        </w:rPr>
        <w:t>Île-de-France </w:t>
      </w:r>
      <w:r>
        <w:rPr>
          <w:rStyle w:val="Appelnotedebasdep"/>
        </w:rPr>
        <w:footnoteReference w:id="530"/>
      </w:r>
      <w:r w:rsidRPr="00246AE4">
        <w:rPr>
          <w:color w:val="000000"/>
          <w:lang w:eastAsia="fr-FR" w:bidi="fr-FR"/>
        </w:rPr>
        <w:t xml:space="preserve">, et, avec lui, mais non point au même rang, la thèse latine de M. Dubuc, </w:t>
      </w:r>
      <w:r w:rsidRPr="00E5213F">
        <w:rPr>
          <w:i/>
        </w:rPr>
        <w:t>De Suessonum Civitate</w:t>
      </w:r>
      <w:r>
        <w:t> </w:t>
      </w:r>
      <w:r>
        <w:rPr>
          <w:rStyle w:val="Appelnotedebasdep"/>
        </w:rPr>
        <w:footnoteReference w:id="531"/>
      </w:r>
      <w:r w:rsidRPr="00246AE4">
        <w:rPr>
          <w:color w:val="000000"/>
          <w:lang w:eastAsia="fr-FR" w:bidi="fr-FR"/>
        </w:rPr>
        <w:t>.</w:t>
      </w:r>
    </w:p>
    <w:p w14:paraId="43F9E690" w14:textId="77777777" w:rsidR="00B9662D" w:rsidRPr="00246AE4" w:rsidRDefault="00B9662D" w:rsidP="00B9662D">
      <w:pPr>
        <w:spacing w:before="120" w:after="120"/>
        <w:jc w:val="both"/>
      </w:pPr>
      <w:r w:rsidRPr="00246AE4">
        <w:rPr>
          <w:color w:val="000000"/>
          <w:lang w:eastAsia="fr-FR" w:bidi="fr-FR"/>
        </w:rPr>
        <w:t>Si l’</w:t>
      </w:r>
      <w:r>
        <w:rPr>
          <w:color w:val="000000"/>
          <w:lang w:eastAsia="fr-FR" w:bidi="fr-FR"/>
        </w:rPr>
        <w:t>Île-de-France</w:t>
      </w:r>
      <w:r w:rsidRPr="00246AE4">
        <w:rPr>
          <w:color w:val="000000"/>
          <w:lang w:eastAsia="fr-FR" w:bidi="fr-FR"/>
        </w:rPr>
        <w:t>, à l’érudit qui va cherchant les traces des R</w:t>
      </w:r>
      <w:r w:rsidRPr="00246AE4">
        <w:rPr>
          <w:color w:val="000000"/>
          <w:lang w:eastAsia="fr-FR" w:bidi="fr-FR"/>
        </w:rPr>
        <w:t>o</w:t>
      </w:r>
      <w:r w:rsidRPr="00246AE4">
        <w:rPr>
          <w:color w:val="000000"/>
          <w:lang w:eastAsia="fr-FR" w:bidi="fr-FR"/>
        </w:rPr>
        <w:t>mains, offre moins de monuments, de bas-reliefs ou d’inscriptions que bien d’autres provinces françaises, du moins peut-elle montrer, co</w:t>
      </w:r>
      <w:r w:rsidRPr="00246AE4">
        <w:rPr>
          <w:color w:val="000000"/>
          <w:lang w:eastAsia="fr-FR" w:bidi="fr-FR"/>
        </w:rPr>
        <w:t>m</w:t>
      </w:r>
      <w:r w:rsidRPr="00246AE4">
        <w:rPr>
          <w:color w:val="000000"/>
          <w:lang w:eastAsia="fr-FR" w:bidi="fr-FR"/>
        </w:rPr>
        <w:t>me le plus beau présent que lui firent les conquérants, le réseau de ses voies antiques. Mais qu’il est difficile de savoir ce que fut ce réseau ! Il va de soi que les routes qu’indiquent les itinéraires anciens ne sont pas seules à nous intéresser. Bien d’autres chaussées romaines, dont nous ne découvrons l’existence que par l’étude du terrain ou, quelqu</w:t>
      </w:r>
      <w:r w:rsidRPr="00246AE4">
        <w:rPr>
          <w:color w:val="000000"/>
          <w:lang w:eastAsia="fr-FR" w:bidi="fr-FR"/>
        </w:rPr>
        <w:t>e</w:t>
      </w:r>
      <w:r w:rsidRPr="00246AE4">
        <w:rPr>
          <w:color w:val="000000"/>
          <w:lang w:eastAsia="fr-FR" w:bidi="fr-FR"/>
        </w:rPr>
        <w:t>fois, par la lecture des textes médiévaux, méritent aussi d’occuper l’historien de l’</w:t>
      </w:r>
      <w:r>
        <w:rPr>
          <w:color w:val="000000"/>
          <w:lang w:eastAsia="fr-FR" w:bidi="fr-FR"/>
        </w:rPr>
        <w:t>Île-de-France</w:t>
      </w:r>
      <w:r w:rsidRPr="00246AE4">
        <w:rPr>
          <w:color w:val="000000"/>
          <w:lang w:eastAsia="fr-FR" w:bidi="fr-FR"/>
        </w:rPr>
        <w:t>. Sur elles, aucun ouvrage d’ensemble ne nous renseigne. Voulons-nous les connaître ? il faudra compulser les cartes, feuilleter les revues archéologiques,</w:t>
      </w:r>
      <w:r>
        <w:t xml:space="preserve"> [745]</w:t>
      </w:r>
      <w:r w:rsidRPr="00246AE4">
        <w:rPr>
          <w:color w:val="000000"/>
          <w:lang w:eastAsia="fr-FR" w:bidi="fr-FR"/>
        </w:rPr>
        <w:t xml:space="preserve"> les revues d’érudition locale, les annuaires départeme</w:t>
      </w:r>
      <w:r w:rsidRPr="00246AE4">
        <w:rPr>
          <w:color w:val="000000"/>
          <w:lang w:eastAsia="fr-FR" w:bidi="fr-FR"/>
        </w:rPr>
        <w:t>n</w:t>
      </w:r>
      <w:r w:rsidRPr="00246AE4">
        <w:rPr>
          <w:color w:val="000000"/>
          <w:lang w:eastAsia="fr-FR" w:bidi="fr-FR"/>
        </w:rPr>
        <w:t>taux, et ne point négliger d’étendre nos recherches aux ouvrages ant</w:t>
      </w:r>
      <w:r w:rsidRPr="00246AE4">
        <w:rPr>
          <w:color w:val="000000"/>
          <w:lang w:eastAsia="fr-FR" w:bidi="fr-FR"/>
        </w:rPr>
        <w:t>é</w:t>
      </w:r>
      <w:r w:rsidRPr="00246AE4">
        <w:rPr>
          <w:color w:val="000000"/>
          <w:lang w:eastAsia="fr-FR" w:bidi="fr-FR"/>
        </w:rPr>
        <w:t xml:space="preserve">rieurs au </w:t>
      </w:r>
      <w:r w:rsidRPr="00E5213F">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où parfois sont mentionnés des vestiges de ces routes, des millliaires par exemple, qui aujourd’hui ont disparu. On trouvera en note une bibli</w:t>
      </w:r>
      <w:r w:rsidRPr="00246AE4">
        <w:rPr>
          <w:color w:val="000000"/>
          <w:lang w:eastAsia="fr-FR" w:bidi="fr-FR"/>
        </w:rPr>
        <w:t>o</w:t>
      </w:r>
      <w:r w:rsidRPr="00246AE4">
        <w:rPr>
          <w:color w:val="000000"/>
          <w:lang w:eastAsia="fr-FR" w:bidi="fr-FR"/>
        </w:rPr>
        <w:t>graphie des voies de l’</w:t>
      </w:r>
      <w:r>
        <w:rPr>
          <w:color w:val="000000"/>
          <w:lang w:eastAsia="fr-FR" w:bidi="fr-FR"/>
        </w:rPr>
        <w:t>Île-de-France</w:t>
      </w:r>
      <w:r w:rsidRPr="00246AE4">
        <w:rPr>
          <w:color w:val="000000"/>
          <w:lang w:eastAsia="fr-FR" w:bidi="fr-FR"/>
        </w:rPr>
        <w:t>. Je l’ai faite aussi complète que je l’ai pu. Je ne doute point, tant les rense</w:t>
      </w:r>
      <w:r w:rsidRPr="00246AE4">
        <w:rPr>
          <w:color w:val="000000"/>
          <w:lang w:eastAsia="fr-FR" w:bidi="fr-FR"/>
        </w:rPr>
        <w:t>i</w:t>
      </w:r>
      <w:r w:rsidRPr="00246AE4">
        <w:rPr>
          <w:color w:val="000000"/>
          <w:lang w:eastAsia="fr-FR" w:bidi="fr-FR"/>
        </w:rPr>
        <w:t>gnements sont dispersés, qu’on n’y relève bien des lacunes. Telle quelle, je crois qu’elle rendra des services,</w:t>
      </w:r>
      <w:r>
        <w:rPr>
          <w:color w:val="000000"/>
          <w:lang w:eastAsia="fr-FR" w:bidi="fr-FR"/>
        </w:rPr>
        <w:t> — </w:t>
      </w:r>
      <w:r w:rsidRPr="00246AE4">
        <w:rPr>
          <w:color w:val="000000"/>
          <w:lang w:eastAsia="fr-FR" w:bidi="fr-FR"/>
        </w:rPr>
        <w:t>et non pas seulement aux ér</w:t>
      </w:r>
      <w:r w:rsidRPr="00246AE4">
        <w:rPr>
          <w:color w:val="000000"/>
          <w:lang w:eastAsia="fr-FR" w:bidi="fr-FR"/>
        </w:rPr>
        <w:t>u</w:t>
      </w:r>
      <w:r w:rsidRPr="00246AE4">
        <w:rPr>
          <w:color w:val="000000"/>
          <w:lang w:eastAsia="fr-FR" w:bidi="fr-FR"/>
        </w:rPr>
        <w:t>dits qui s’attachent à l’étude de l’antiquité</w:t>
      </w:r>
      <w:r>
        <w:rPr>
          <w:color w:val="000000"/>
          <w:lang w:eastAsia="fr-FR" w:bidi="fr-FR"/>
        </w:rPr>
        <w:t> </w:t>
      </w:r>
      <w:r>
        <w:rPr>
          <w:rStyle w:val="Appelnotedebasdep"/>
        </w:rPr>
        <w:footnoteReference w:id="532"/>
      </w:r>
      <w:r w:rsidRPr="00246AE4">
        <w:rPr>
          <w:color w:val="000000"/>
          <w:lang w:eastAsia="fr-FR" w:bidi="fr-FR"/>
        </w:rPr>
        <w:t xml:space="preserve">. Le rôle des voies romaines a été </w:t>
      </w:r>
      <w:r w:rsidRPr="00246AE4">
        <w:rPr>
          <w:color w:val="000000"/>
          <w:lang w:eastAsia="fr-FR" w:bidi="fr-FR"/>
        </w:rPr>
        <w:lastRenderedPageBreak/>
        <w:t>grand dans l’histoire ; il dépasse de beaucoup les lim</w:t>
      </w:r>
      <w:r w:rsidRPr="00246AE4">
        <w:rPr>
          <w:color w:val="000000"/>
          <w:lang w:eastAsia="fr-FR" w:bidi="fr-FR"/>
        </w:rPr>
        <w:t>i</w:t>
      </w:r>
      <w:r w:rsidRPr="00246AE4">
        <w:rPr>
          <w:color w:val="000000"/>
          <w:lang w:eastAsia="fr-FR" w:bidi="fr-FR"/>
        </w:rPr>
        <w:t>tes de l’époque où Rome domina sur la Gaule.</w:t>
      </w:r>
    </w:p>
    <w:p w14:paraId="650EFEC6" w14:textId="77777777" w:rsidR="00B9662D" w:rsidRPr="00246AE4" w:rsidRDefault="00B9662D" w:rsidP="00B9662D">
      <w:pPr>
        <w:spacing w:before="120" w:after="120"/>
        <w:jc w:val="both"/>
      </w:pPr>
      <w:r w:rsidRPr="00246AE4">
        <w:rPr>
          <w:color w:val="000000"/>
          <w:lang w:eastAsia="fr-FR" w:bidi="fr-FR"/>
        </w:rPr>
        <w:t>Voyez les châteaux qui se bâtirent, si nombreux, dans l’</w:t>
      </w:r>
      <w:r>
        <w:rPr>
          <w:color w:val="000000"/>
          <w:lang w:eastAsia="fr-FR" w:bidi="fr-FR"/>
        </w:rPr>
        <w:t>Î</w:t>
      </w:r>
      <w:r w:rsidRPr="00246AE4">
        <w:rPr>
          <w:color w:val="000000"/>
          <w:lang w:eastAsia="fr-FR" w:bidi="fr-FR"/>
        </w:rPr>
        <w:t xml:space="preserve">le-de-France, aux </w:t>
      </w:r>
      <w:r w:rsidRPr="005045A3">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et </w:t>
      </w:r>
      <w:r w:rsidRPr="005045A3">
        <w:rPr>
          <w:caps/>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siècles. Combien d’entre eux se dressaient le long d’une route construite par les Romains : c’est que ces routes étaient suivies par</w:t>
      </w:r>
      <w:r>
        <w:t xml:space="preserve"> </w:t>
      </w:r>
      <w:r>
        <w:rPr>
          <w:color w:val="000000"/>
          <w:lang w:eastAsia="fr-FR" w:bidi="fr-FR"/>
        </w:rPr>
        <w:t xml:space="preserve">[746] </w:t>
      </w:r>
      <w:r w:rsidRPr="00246AE4">
        <w:rPr>
          <w:color w:val="000000"/>
          <w:lang w:eastAsia="fr-FR" w:bidi="fr-FR"/>
        </w:rPr>
        <w:t>les marchands que tour à tour, ou plutôt en même temps, prot</w:t>
      </w:r>
      <w:r w:rsidRPr="00246AE4">
        <w:rPr>
          <w:color w:val="000000"/>
          <w:lang w:eastAsia="fr-FR" w:bidi="fr-FR"/>
        </w:rPr>
        <w:t>é</w:t>
      </w:r>
      <w:r w:rsidRPr="00246AE4">
        <w:rPr>
          <w:color w:val="000000"/>
          <w:lang w:eastAsia="fr-FR" w:bidi="fr-FR"/>
        </w:rPr>
        <w:t xml:space="preserve">geaient, exploitaient, pillaient les seigneurs des châteaux. Sur les chaussées romaines passèrent au Moyen </w:t>
      </w:r>
      <w:r>
        <w:rPr>
          <w:color w:val="000000"/>
          <w:lang w:eastAsia="fr-FR" w:bidi="fr-FR"/>
        </w:rPr>
        <w:t>Â</w:t>
      </w:r>
      <w:r w:rsidRPr="00246AE4">
        <w:rPr>
          <w:color w:val="000000"/>
          <w:lang w:eastAsia="fr-FR" w:bidi="fr-FR"/>
        </w:rPr>
        <w:t>ge les p</w:t>
      </w:r>
      <w:r w:rsidRPr="00246AE4">
        <w:rPr>
          <w:color w:val="000000"/>
          <w:lang w:eastAsia="fr-FR" w:bidi="fr-FR"/>
        </w:rPr>
        <w:t>è</w:t>
      </w:r>
      <w:r w:rsidRPr="00246AE4">
        <w:rPr>
          <w:color w:val="000000"/>
          <w:lang w:eastAsia="fr-FR" w:bidi="fr-FR"/>
        </w:rPr>
        <w:t>lerins qui allaient vers les grands sanctuaires de la chrétienté ; sur elles passèrent les jongleurs, cousant au fil de leurs chansons de geste les légendes r</w:t>
      </w:r>
      <w:r w:rsidRPr="00246AE4">
        <w:rPr>
          <w:color w:val="000000"/>
          <w:lang w:eastAsia="fr-FR" w:bidi="fr-FR"/>
        </w:rPr>
        <w:t>a</w:t>
      </w:r>
      <w:r w:rsidRPr="00246AE4">
        <w:rPr>
          <w:color w:val="000000"/>
          <w:lang w:eastAsia="fr-FR" w:bidi="fr-FR"/>
        </w:rPr>
        <w:t>massées dans les églises, au cours du voyage, et celles mêmes qu’avaient inspirées à l’imagination populaire les débris des mon</w:t>
      </w:r>
      <w:r w:rsidRPr="00246AE4">
        <w:rPr>
          <w:color w:val="000000"/>
          <w:lang w:eastAsia="fr-FR" w:bidi="fr-FR"/>
        </w:rPr>
        <w:t>u</w:t>
      </w:r>
      <w:r w:rsidRPr="00246AE4">
        <w:rPr>
          <w:color w:val="000000"/>
          <w:lang w:eastAsia="fr-FR" w:bidi="fr-FR"/>
        </w:rPr>
        <w:t>ments antiques. C’était sans doute une tombe romaine, placée, comme les tombeaux plus illustres des Aliscamps et de la Voie A</w:t>
      </w:r>
      <w:r w:rsidRPr="00246AE4">
        <w:rPr>
          <w:color w:val="000000"/>
          <w:lang w:eastAsia="fr-FR" w:bidi="fr-FR"/>
        </w:rPr>
        <w:t>p</w:t>
      </w:r>
      <w:r w:rsidRPr="00246AE4">
        <w:rPr>
          <w:color w:val="000000"/>
          <w:lang w:eastAsia="fr-FR" w:bidi="fr-FR"/>
        </w:rPr>
        <w:t>pienne, au bord d’une route, près des portes d’une ville, cette « Tombe Isoré » que l’on montrait au sortir de Paris, sur le chemin d’Orléans, et dont la tradition épique fit le sépulcre d’un roi de « Conimbre » que tua Gui</w:t>
      </w:r>
      <w:r w:rsidRPr="00246AE4">
        <w:rPr>
          <w:color w:val="000000"/>
          <w:lang w:eastAsia="fr-FR" w:bidi="fr-FR"/>
        </w:rPr>
        <w:t>l</w:t>
      </w:r>
      <w:r w:rsidRPr="00246AE4">
        <w:rPr>
          <w:color w:val="000000"/>
          <w:lang w:eastAsia="fr-FR" w:bidi="fr-FR"/>
        </w:rPr>
        <w:t>laume d’Orange</w:t>
      </w:r>
      <w:r>
        <w:rPr>
          <w:color w:val="000000"/>
          <w:lang w:eastAsia="fr-FR" w:bidi="fr-FR"/>
        </w:rPr>
        <w:t> </w:t>
      </w:r>
      <w:r>
        <w:rPr>
          <w:rStyle w:val="Appelnotedebasdep"/>
        </w:rPr>
        <w:footnoteReference w:id="533"/>
      </w:r>
      <w:r w:rsidRPr="00246AE4">
        <w:rPr>
          <w:color w:val="000000"/>
          <w:lang w:eastAsia="fr-FR" w:bidi="fr-FR"/>
        </w:rPr>
        <w:t>. Non pourtant qu’au Moyen Age marchands et pèl</w:t>
      </w:r>
      <w:r w:rsidRPr="00246AE4">
        <w:rPr>
          <w:color w:val="000000"/>
          <w:lang w:eastAsia="fr-FR" w:bidi="fr-FR"/>
        </w:rPr>
        <w:t>e</w:t>
      </w:r>
      <w:r w:rsidRPr="00246AE4">
        <w:rPr>
          <w:color w:val="000000"/>
          <w:lang w:eastAsia="fr-FR" w:bidi="fr-FR"/>
        </w:rPr>
        <w:t>rins ne se soient quelquefois détournés des routes que Rome leur avait faites. L’histoire post-romaine des voies romaines, lor</w:t>
      </w:r>
      <w:r w:rsidRPr="00246AE4">
        <w:rPr>
          <w:color w:val="000000"/>
          <w:lang w:eastAsia="fr-FR" w:bidi="fr-FR"/>
        </w:rPr>
        <w:t>s</w:t>
      </w:r>
      <w:r w:rsidRPr="00246AE4">
        <w:rPr>
          <w:color w:val="000000"/>
          <w:lang w:eastAsia="fr-FR" w:bidi="fr-FR"/>
        </w:rPr>
        <w:t>qu’elle sera écrite, relatera ces abandons. Nous connaissons avec pr</w:t>
      </w:r>
      <w:r w:rsidRPr="00246AE4">
        <w:rPr>
          <w:color w:val="000000"/>
          <w:lang w:eastAsia="fr-FR" w:bidi="fr-FR"/>
        </w:rPr>
        <w:t>é</w:t>
      </w:r>
      <w:r w:rsidRPr="00246AE4">
        <w:rPr>
          <w:color w:val="000000"/>
          <w:lang w:eastAsia="fr-FR" w:bidi="fr-FR"/>
        </w:rPr>
        <w:t xml:space="preserve">cision le tracé de la voie qui unissait Lutèce, ou Paris, à Cenabum, ou Orléans. Après avoir franchi la vallée de la Chalouette, au lieu où s’élevait alors Étampes. elle filait, sur le plateau, droit vers le Sud, passant là où sont aujourd’hui les villages de Saclas et d’Autruy. Ce </w:t>
      </w:r>
      <w:r w:rsidRPr="00246AE4">
        <w:rPr>
          <w:color w:val="000000"/>
          <w:lang w:eastAsia="fr-FR" w:bidi="fr-FR"/>
        </w:rPr>
        <w:lastRenderedPageBreak/>
        <w:t>tracé, un chemin vicinal l’emprunte toujours. Mais la grande route, maintenant, est plus à l’Ouest ; elle traverse Monerville et Toury. Il y a bien longtemps qu’elle s’est ainsi déplacée. L</w:t>
      </w:r>
      <w:r w:rsidRPr="00246AE4">
        <w:t>'</w:t>
      </w:r>
      <w:r w:rsidRPr="00934C02">
        <w:rPr>
          <w:i/>
        </w:rPr>
        <w:t>Itinéraire brugeois</w:t>
      </w:r>
      <w:r w:rsidRPr="00246AE4">
        <w:t>,</w:t>
      </w:r>
      <w:r w:rsidRPr="00246AE4">
        <w:rPr>
          <w:color w:val="000000"/>
          <w:lang w:eastAsia="fr-FR" w:bidi="fr-FR"/>
        </w:rPr>
        <w:t xml:space="preserve"> rédigé à la fin du </w:t>
      </w:r>
      <w:r w:rsidRPr="005045A3">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 cite déjà Toury comme une des étapes entre Paris et O</w:t>
      </w:r>
      <w:r w:rsidRPr="00246AE4">
        <w:rPr>
          <w:color w:val="000000"/>
          <w:lang w:eastAsia="fr-FR" w:bidi="fr-FR"/>
        </w:rPr>
        <w:t>r</w:t>
      </w:r>
      <w:r w:rsidRPr="00246AE4">
        <w:rPr>
          <w:color w:val="000000"/>
          <w:lang w:eastAsia="fr-FR" w:bidi="fr-FR"/>
        </w:rPr>
        <w:t>léans</w:t>
      </w:r>
      <w:r>
        <w:rPr>
          <w:color w:val="000000"/>
          <w:lang w:eastAsia="fr-FR" w:bidi="fr-FR"/>
        </w:rPr>
        <w:t> </w:t>
      </w:r>
      <w:r>
        <w:rPr>
          <w:rStyle w:val="Appelnotedebasdep"/>
        </w:rPr>
        <w:footnoteReference w:id="534"/>
      </w:r>
      <w:r w:rsidRPr="00246AE4">
        <w:rPr>
          <w:color w:val="000000"/>
          <w:lang w:eastAsia="fr-FR" w:bidi="fr-FR"/>
        </w:rPr>
        <w:t xml:space="preserve">. Remontons vers un passé plus lointain encore. L’abbé de Saint-Denis, Suger, dans le livre, composé entre 1144 et 1149 où il a raconté les hauts faits de son administration abbatiale, décrit en ces termes le bourg de Toury, qu’il connaissait bien, l’ayant gouverné comme prévôt, au temps de sa jeunesse : « aux pèlerins, aux marchands, à tous les voyageurs Toury, </w:t>
      </w:r>
      <w:r w:rsidRPr="00246AE4">
        <w:t xml:space="preserve">à </w:t>
      </w:r>
      <w:r w:rsidRPr="00934C02">
        <w:rPr>
          <w:i/>
        </w:rPr>
        <w:t>mi-chemin</w:t>
      </w:r>
      <w:r w:rsidRPr="00246AE4">
        <w:t>,</w:t>
      </w:r>
      <w:r w:rsidRPr="00246AE4">
        <w:rPr>
          <w:color w:val="000000"/>
          <w:lang w:eastAsia="fr-FR" w:bidi="fr-FR"/>
        </w:rPr>
        <w:t xml:space="preserve"> fournit la nourrit</w:t>
      </w:r>
      <w:r w:rsidRPr="00246AE4">
        <w:rPr>
          <w:color w:val="000000"/>
          <w:lang w:eastAsia="fr-FR" w:bidi="fr-FR"/>
        </w:rPr>
        <w:t>u</w:t>
      </w:r>
      <w:r w:rsidRPr="00246AE4">
        <w:rPr>
          <w:color w:val="000000"/>
          <w:lang w:eastAsia="fr-FR" w:bidi="fr-FR"/>
        </w:rPr>
        <w:t xml:space="preserve">re ; paisible, il offre à ceux qui sont las un paisible repos » ; « peregrinis et mercatoribus, seu quibuscumque viatoribus alimenta cibariorum </w:t>
      </w:r>
      <w:r w:rsidRPr="00246AE4">
        <w:t xml:space="preserve">in </w:t>
      </w:r>
      <w:r w:rsidRPr="005045A3">
        <w:rPr>
          <w:i/>
        </w:rPr>
        <w:t>media strata</w:t>
      </w:r>
      <w:r w:rsidRPr="00246AE4">
        <w:rPr>
          <w:color w:val="000000"/>
          <w:lang w:eastAsia="fr-FR" w:bidi="fr-FR"/>
        </w:rPr>
        <w:t>, lassis etiam quietem quiete ministrans »</w:t>
      </w:r>
      <w:r>
        <w:rPr>
          <w:color w:val="000000"/>
          <w:lang w:eastAsia="fr-FR" w:bidi="fr-FR"/>
        </w:rPr>
        <w:t> </w:t>
      </w:r>
      <w:r>
        <w:rPr>
          <w:rStyle w:val="Appelnotedebasdep"/>
        </w:rPr>
        <w:footnoteReference w:id="535"/>
      </w:r>
      <w:r w:rsidRPr="00246AE4">
        <w:rPr>
          <w:color w:val="000000"/>
          <w:lang w:eastAsia="fr-FR" w:bidi="fr-FR"/>
        </w:rPr>
        <w:t>. Pourquoi la voie romaine, ses larges dalles, son tracé plus court f</w:t>
      </w:r>
      <w:r w:rsidRPr="00246AE4">
        <w:rPr>
          <w:color w:val="000000"/>
          <w:lang w:eastAsia="fr-FR" w:bidi="fr-FR"/>
        </w:rPr>
        <w:t>u</w:t>
      </w:r>
      <w:r w:rsidRPr="00246AE4">
        <w:rPr>
          <w:color w:val="000000"/>
          <w:lang w:eastAsia="fr-FR" w:bidi="fr-FR"/>
        </w:rPr>
        <w:t>rent-ils délaissés ? Aucun des érudits qui ont constaté le fait</w:t>
      </w:r>
      <w:r>
        <w:rPr>
          <w:color w:val="000000"/>
          <w:lang w:eastAsia="fr-FR" w:bidi="fr-FR"/>
        </w:rPr>
        <w:t> </w:t>
      </w:r>
      <w:r>
        <w:rPr>
          <w:rStyle w:val="Appelnotedebasdep"/>
        </w:rPr>
        <w:footnoteReference w:id="536"/>
      </w:r>
      <w:r w:rsidRPr="00246AE4">
        <w:rPr>
          <w:color w:val="000000"/>
          <w:lang w:eastAsia="fr-FR" w:bidi="fr-FR"/>
        </w:rPr>
        <w:t xml:space="preserve"> n’a cherché à l’expliquer. Essayons cependant. </w:t>
      </w:r>
      <w:r>
        <w:rPr>
          <w:color w:val="000000"/>
          <w:lang w:eastAsia="fr-FR" w:bidi="fr-FR"/>
        </w:rPr>
        <w:t>À</w:t>
      </w:r>
      <w:r w:rsidRPr="00246AE4">
        <w:rPr>
          <w:color w:val="000000"/>
          <w:lang w:eastAsia="fr-FR" w:bidi="fr-FR"/>
        </w:rPr>
        <w:t xml:space="preserve"> très peu de distance à l’Ouest de la voie, entre Saclas et Autruy, se trouve le village de M</w:t>
      </w:r>
      <w:r w:rsidRPr="00246AE4">
        <w:rPr>
          <w:color w:val="000000"/>
          <w:lang w:eastAsia="fr-FR" w:bidi="fr-FR"/>
        </w:rPr>
        <w:t>é</w:t>
      </w:r>
      <w:r w:rsidRPr="00246AE4">
        <w:rPr>
          <w:color w:val="000000"/>
          <w:lang w:eastAsia="fr-FR" w:bidi="fr-FR"/>
        </w:rPr>
        <w:t xml:space="preserve">réville. Là, vers la fin du </w:t>
      </w:r>
      <w:r w:rsidRPr="005045A3">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 un château avait été construit, et les seigneurs de Méréville, qui le tenaient, nous apparaissent dans les récits de Suger comme de redoutables bandits. Ces terribles barons avaient établi leur « ferté » près de la chaussée ; c’est que celle-ci, sans doute, au temps où ils bâtissaient, était encore fréquentée par les marchands. Ne fut-ce point pour éviter ce repaire que les marchands, détournant leur route, prirent l’habitude de</w:t>
      </w:r>
      <w:r>
        <w:t xml:space="preserve"> [</w:t>
      </w:r>
      <w:r w:rsidRPr="00246AE4">
        <w:rPr>
          <w:color w:val="000000"/>
          <w:lang w:eastAsia="fr-FR" w:bidi="fr-FR"/>
        </w:rPr>
        <w:t>747</w:t>
      </w:r>
      <w:r>
        <w:rPr>
          <w:color w:val="000000"/>
          <w:lang w:eastAsia="fr-FR" w:bidi="fr-FR"/>
        </w:rPr>
        <w:t xml:space="preserve">] </w:t>
      </w:r>
      <w:r w:rsidRPr="00246AE4">
        <w:rPr>
          <w:color w:val="000000"/>
          <w:lang w:eastAsia="fr-FR" w:bidi="fr-FR"/>
        </w:rPr>
        <w:t xml:space="preserve">passer plus à l’Ouest ? </w:t>
      </w:r>
      <w:r>
        <w:rPr>
          <w:color w:val="000000"/>
          <w:lang w:eastAsia="fr-FR" w:bidi="fr-FR"/>
        </w:rPr>
        <w:t>À</w:t>
      </w:r>
      <w:r w:rsidRPr="00246AE4">
        <w:rPr>
          <w:color w:val="000000"/>
          <w:lang w:eastAsia="fr-FR" w:bidi="fr-FR"/>
        </w:rPr>
        <w:t xml:space="preserve"> Toury, ils trouvaient, il est vrai, un autre château ; mais, possédé par les moines de Saint-Denis, celui-là po</w:t>
      </w:r>
      <w:r w:rsidRPr="00246AE4">
        <w:rPr>
          <w:color w:val="000000"/>
          <w:lang w:eastAsia="fr-FR" w:bidi="fr-FR"/>
        </w:rPr>
        <w:t>u</w:t>
      </w:r>
      <w:r w:rsidRPr="00246AE4">
        <w:rPr>
          <w:color w:val="000000"/>
          <w:lang w:eastAsia="fr-FR" w:bidi="fr-FR"/>
        </w:rPr>
        <w:t>vait leur offrir un refuge. Ainsi, le tracé que suit aujourd’hui la route nationale de Paris à Orléans, et le tracé du chemin de fer qui acco</w:t>
      </w:r>
      <w:r w:rsidRPr="00246AE4">
        <w:rPr>
          <w:color w:val="000000"/>
          <w:lang w:eastAsia="fr-FR" w:bidi="fr-FR"/>
        </w:rPr>
        <w:t>m</w:t>
      </w:r>
      <w:r w:rsidRPr="00246AE4">
        <w:rPr>
          <w:color w:val="000000"/>
          <w:lang w:eastAsia="fr-FR" w:bidi="fr-FR"/>
        </w:rPr>
        <w:t>pagne la route, s’expliquent peut-être par les nécessités qui au temps de la féodalité pillarde s’imposaient aux voyageurs. J’ose proposer cette conjecture ; mais je ne la donne que pour une conjecture.</w:t>
      </w:r>
    </w:p>
    <w:p w14:paraId="0B50D151" w14:textId="77777777" w:rsidR="00B9662D" w:rsidRPr="00246AE4" w:rsidRDefault="00B9662D" w:rsidP="00B9662D">
      <w:pPr>
        <w:spacing w:before="120" w:after="120"/>
        <w:jc w:val="both"/>
      </w:pPr>
      <w:r w:rsidRPr="00246AE4">
        <w:rPr>
          <w:color w:val="000000"/>
          <w:lang w:eastAsia="fr-FR" w:bidi="fr-FR"/>
        </w:rPr>
        <w:lastRenderedPageBreak/>
        <w:t>Les documents archéologiques, armes et outils, ruines de mon</w:t>
      </w:r>
      <w:r w:rsidRPr="00246AE4">
        <w:rPr>
          <w:color w:val="000000"/>
          <w:lang w:eastAsia="fr-FR" w:bidi="fr-FR"/>
        </w:rPr>
        <w:t>u</w:t>
      </w:r>
      <w:r w:rsidRPr="00246AE4">
        <w:rPr>
          <w:color w:val="000000"/>
          <w:lang w:eastAsia="fr-FR" w:bidi="fr-FR"/>
        </w:rPr>
        <w:t>ments, inscriptions et bas-reliefs, dalles et béton des voies romaines, pas plus que les textes littéraires, ne sont seuls à nous renseigner sur les hommes qui, aux époques antiques, occupèrent le sol de notre contrée. Les noms mêmes des lieux, à qui sait les interpréter, livrent bien des secrets. Les deux villages voisins de Lion-en-Beauce (</w:t>
      </w:r>
      <w:r w:rsidRPr="00F21F33">
        <w:rPr>
          <w:i/>
        </w:rPr>
        <w:t>Lod</w:t>
      </w:r>
      <w:r w:rsidRPr="00F21F33">
        <w:rPr>
          <w:i/>
        </w:rPr>
        <w:t>u</w:t>
      </w:r>
      <w:r w:rsidRPr="00F21F33">
        <w:rPr>
          <w:i/>
        </w:rPr>
        <w:t>num</w:t>
      </w:r>
      <w:r w:rsidRPr="00246AE4">
        <w:rPr>
          <w:color w:val="000000"/>
          <w:lang w:eastAsia="fr-FR" w:bidi="fr-FR"/>
        </w:rPr>
        <w:t xml:space="preserve"> dans le latin de la période carolingienne) et de Ruan </w:t>
      </w:r>
      <w:r w:rsidRPr="00246AE4">
        <w:t>(</w:t>
      </w:r>
      <w:r w:rsidRPr="00F21F33">
        <w:rPr>
          <w:i/>
        </w:rPr>
        <w:t>Rotomagus</w:t>
      </w:r>
      <w:r w:rsidRPr="00246AE4">
        <w:t>)</w:t>
      </w:r>
      <w:r w:rsidRPr="00246AE4">
        <w:rPr>
          <w:color w:val="000000"/>
          <w:lang w:eastAsia="fr-FR" w:bidi="fr-FR"/>
        </w:rPr>
        <w:t xml:space="preserve"> datent, pour le moins, des temps gaulois ; nous le savons par leurs noms, qui reproduisent ceux de deux villes gauloises plus fameuses : Lyon sur le Rhône et Rouen en Normandie. Antony </w:t>
      </w:r>
      <w:r w:rsidRPr="00246AE4">
        <w:t>(</w:t>
      </w:r>
      <w:r w:rsidRPr="00F21F33">
        <w:rPr>
          <w:i/>
        </w:rPr>
        <w:t>Antoniacus</w:t>
      </w:r>
      <w:r w:rsidRPr="00246AE4">
        <w:t>)</w:t>
      </w:r>
      <w:r w:rsidRPr="00246AE4">
        <w:rPr>
          <w:color w:val="000000"/>
          <w:lang w:eastAsia="fr-FR" w:bidi="fr-FR"/>
        </w:rPr>
        <w:t xml:space="preserve"> pe</w:t>
      </w:r>
      <w:r w:rsidRPr="00246AE4">
        <w:rPr>
          <w:color w:val="000000"/>
          <w:lang w:eastAsia="fr-FR" w:bidi="fr-FR"/>
        </w:rPr>
        <w:t>r</w:t>
      </w:r>
      <w:r w:rsidRPr="00246AE4">
        <w:rPr>
          <w:color w:val="000000"/>
          <w:lang w:eastAsia="fr-FR" w:bidi="fr-FR"/>
        </w:rPr>
        <w:t xml:space="preserve">pétue la mémoire du Gallo-Romain </w:t>
      </w:r>
      <w:r w:rsidRPr="00246AE4">
        <w:t>Antonins</w:t>
      </w:r>
      <w:r w:rsidRPr="00246AE4">
        <w:rPr>
          <w:color w:val="000000"/>
          <w:lang w:eastAsia="fr-FR" w:bidi="fr-FR"/>
        </w:rPr>
        <w:t xml:space="preserve"> qui sans doute y posséda son domaine. Un village beauceron s’appelle Bouzonville </w:t>
      </w:r>
      <w:r w:rsidRPr="00246AE4">
        <w:t>(</w:t>
      </w:r>
      <w:r w:rsidRPr="00F21F33">
        <w:rPr>
          <w:i/>
        </w:rPr>
        <w:t>Bosonis Villa</w:t>
      </w:r>
      <w:r w:rsidRPr="00246AE4">
        <w:t>).</w:t>
      </w:r>
      <w:r w:rsidRPr="00246AE4">
        <w:rPr>
          <w:color w:val="000000"/>
          <w:lang w:eastAsia="fr-FR" w:bidi="fr-FR"/>
        </w:rPr>
        <w:t xml:space="preserve"> Le nom germain qui forme la première partie du mot, le suffixe même de </w:t>
      </w:r>
      <w:r w:rsidRPr="00246AE4">
        <w:t>villa</w:t>
      </w:r>
      <w:r w:rsidRPr="00246AE4">
        <w:rPr>
          <w:color w:val="000000"/>
          <w:lang w:eastAsia="fr-FR" w:bidi="fr-FR"/>
        </w:rPr>
        <w:t xml:space="preserve"> qui ne fut guère employé avant l’époque des grandes invasions barbares indiquent que Bouzonville ou bien date au plus tôt du </w:t>
      </w:r>
      <w:r>
        <w:rPr>
          <w:color w:val="000000"/>
          <w:lang w:eastAsia="fr-FR" w:bidi="fr-FR"/>
        </w:rPr>
        <w:t>V</w:t>
      </w:r>
      <w:r w:rsidRPr="00246AE4">
        <w:rPr>
          <w:color w:val="000000"/>
          <w:vertAlign w:val="superscript"/>
          <w:lang w:eastAsia="fr-FR" w:bidi="fr-FR"/>
        </w:rPr>
        <w:t>e</w:t>
      </w:r>
      <w:r w:rsidRPr="00246AE4">
        <w:rPr>
          <w:color w:val="000000"/>
          <w:lang w:eastAsia="fr-FR" w:bidi="fr-FR"/>
        </w:rPr>
        <w:t xml:space="preserve"> siècle, ou bien, au </w:t>
      </w:r>
      <w:r>
        <w:rPr>
          <w:color w:val="000000"/>
          <w:lang w:eastAsia="fr-FR" w:bidi="fr-FR"/>
        </w:rPr>
        <w:t>V</w:t>
      </w:r>
      <w:r w:rsidRPr="00246AE4">
        <w:rPr>
          <w:color w:val="000000"/>
          <w:vertAlign w:val="superscript"/>
          <w:lang w:eastAsia="fr-FR" w:bidi="fr-FR"/>
        </w:rPr>
        <w:t>e</w:t>
      </w:r>
      <w:r w:rsidRPr="00246AE4">
        <w:rPr>
          <w:color w:val="000000"/>
          <w:lang w:eastAsia="fr-FR" w:bidi="fr-FR"/>
        </w:rPr>
        <w:t xml:space="preserve"> siècle au plus tôt, prit un nom nouveau. Le bourg de </w:t>
      </w:r>
      <w:r w:rsidRPr="00F21F33">
        <w:rPr>
          <w:i/>
        </w:rPr>
        <w:t>Catullliacus</w:t>
      </w:r>
      <w:r w:rsidRPr="00246AE4">
        <w:rPr>
          <w:color w:val="000000"/>
          <w:lang w:eastAsia="fr-FR" w:bidi="fr-FR"/>
        </w:rPr>
        <w:t xml:space="preserve"> devint Saint-Denis : c’est que le saint fit la glo</w:t>
      </w:r>
      <w:r w:rsidRPr="00246AE4">
        <w:rPr>
          <w:color w:val="000000"/>
          <w:lang w:eastAsia="fr-FR" w:bidi="fr-FR"/>
        </w:rPr>
        <w:t>i</w:t>
      </w:r>
      <w:r w:rsidRPr="00246AE4">
        <w:rPr>
          <w:color w:val="000000"/>
          <w:lang w:eastAsia="fr-FR" w:bidi="fr-FR"/>
        </w:rPr>
        <w:t>re et la fortune du bourg.</w:t>
      </w:r>
    </w:p>
    <w:p w14:paraId="367ACCAB" w14:textId="77777777" w:rsidR="00B9662D" w:rsidRPr="00246AE4" w:rsidRDefault="00B9662D" w:rsidP="00B9662D">
      <w:pPr>
        <w:spacing w:before="120" w:after="120"/>
        <w:jc w:val="both"/>
      </w:pPr>
      <w:r w:rsidRPr="00246AE4">
        <w:rPr>
          <w:color w:val="000000"/>
          <w:lang w:eastAsia="fr-FR" w:bidi="fr-FR"/>
        </w:rPr>
        <w:t>Pour étudier les noms de lieux, il est indispensable de connaître leurs formes anciennes. Les dictionnaires topographiques entrepris sous la direction du Comité des Travaux historiques ont pour but e</w:t>
      </w:r>
      <w:r w:rsidRPr="00246AE4">
        <w:rPr>
          <w:color w:val="000000"/>
          <w:lang w:eastAsia="fr-FR" w:bidi="fr-FR"/>
        </w:rPr>
        <w:t>s</w:t>
      </w:r>
      <w:r w:rsidRPr="00246AE4">
        <w:rPr>
          <w:color w:val="000000"/>
          <w:lang w:eastAsia="fr-FR" w:bidi="fr-FR"/>
        </w:rPr>
        <w:t>sentiel de fournir le relevé de ces formes. Mais</w:t>
      </w:r>
      <w:r>
        <w:rPr>
          <w:color w:val="000000"/>
          <w:lang w:eastAsia="fr-FR" w:bidi="fr-FR"/>
        </w:rPr>
        <w:t>, des départements de l’Île-de-</w:t>
      </w:r>
      <w:r w:rsidRPr="00246AE4">
        <w:rPr>
          <w:color w:val="000000"/>
          <w:lang w:eastAsia="fr-FR" w:bidi="fr-FR"/>
        </w:rPr>
        <w:t xml:space="preserve">France, un seul possède son dictionnaire. Le </w:t>
      </w:r>
      <w:r w:rsidRPr="005F4D75">
        <w:rPr>
          <w:i/>
        </w:rPr>
        <w:t>Dictionnaire t</w:t>
      </w:r>
      <w:r w:rsidRPr="005F4D75">
        <w:rPr>
          <w:i/>
        </w:rPr>
        <w:t>o</w:t>
      </w:r>
      <w:r w:rsidRPr="005F4D75">
        <w:rPr>
          <w:i/>
        </w:rPr>
        <w:t>pographique de l’Eure-et-Loir</w:t>
      </w:r>
      <w:r w:rsidRPr="00246AE4">
        <w:t>,</w:t>
      </w:r>
      <w:r w:rsidRPr="00246AE4">
        <w:rPr>
          <w:color w:val="000000"/>
          <w:lang w:eastAsia="fr-FR" w:bidi="fr-FR"/>
        </w:rPr>
        <w:t xml:space="preserve"> paru en 1861, a été rédigé par M. L</w:t>
      </w:r>
      <w:r w:rsidRPr="00246AE4">
        <w:rPr>
          <w:color w:val="000000"/>
          <w:lang w:eastAsia="fr-FR" w:bidi="fr-FR"/>
        </w:rPr>
        <w:t>u</w:t>
      </w:r>
      <w:r w:rsidRPr="00246AE4">
        <w:rPr>
          <w:color w:val="000000"/>
          <w:lang w:eastAsia="fr-FR" w:bidi="fr-FR"/>
        </w:rPr>
        <w:t>cien Merlet</w:t>
      </w:r>
      <w:r>
        <w:rPr>
          <w:color w:val="000000"/>
          <w:lang w:eastAsia="fr-FR" w:bidi="fr-FR"/>
        </w:rPr>
        <w:t> </w:t>
      </w:r>
      <w:r>
        <w:rPr>
          <w:rStyle w:val="Appelnotedebasdep"/>
        </w:rPr>
        <w:footnoteReference w:id="537"/>
      </w:r>
      <w:r w:rsidRPr="00246AE4">
        <w:rPr>
          <w:color w:val="000000"/>
          <w:lang w:eastAsia="fr-FR" w:bidi="fr-FR"/>
        </w:rPr>
        <w:t>. C’est l’ouvrage d’un érudit consciencieux et exact, f</w:t>
      </w:r>
      <w:r w:rsidRPr="00246AE4">
        <w:rPr>
          <w:color w:val="000000"/>
          <w:lang w:eastAsia="fr-FR" w:bidi="fr-FR"/>
        </w:rPr>
        <w:t>a</w:t>
      </w:r>
      <w:r w:rsidRPr="00246AE4">
        <w:rPr>
          <w:color w:val="000000"/>
          <w:lang w:eastAsia="fr-FR" w:bidi="fr-FR"/>
        </w:rPr>
        <w:t>milier avec les archives locales,</w:t>
      </w:r>
      <w:r>
        <w:rPr>
          <w:color w:val="000000"/>
          <w:lang w:eastAsia="fr-FR" w:bidi="fr-FR"/>
        </w:rPr>
        <w:t> — </w:t>
      </w:r>
      <w:r w:rsidRPr="00246AE4">
        <w:rPr>
          <w:color w:val="000000"/>
          <w:lang w:eastAsia="fr-FR" w:bidi="fr-FR"/>
        </w:rPr>
        <w:t>ouvrage déjà un peu ancien ma</w:t>
      </w:r>
      <w:r w:rsidRPr="00246AE4">
        <w:rPr>
          <w:color w:val="000000"/>
          <w:lang w:eastAsia="fr-FR" w:bidi="fr-FR"/>
        </w:rPr>
        <w:t>l</w:t>
      </w:r>
      <w:r w:rsidRPr="00246AE4">
        <w:rPr>
          <w:color w:val="000000"/>
          <w:lang w:eastAsia="fr-FR" w:bidi="fr-FR"/>
        </w:rPr>
        <w:t>heureusement : établi à une époque où bien des documents, qui a</w:t>
      </w:r>
      <w:r w:rsidRPr="00246AE4">
        <w:rPr>
          <w:color w:val="000000"/>
          <w:lang w:eastAsia="fr-FR" w:bidi="fr-FR"/>
        </w:rPr>
        <w:t>u</w:t>
      </w:r>
      <w:r w:rsidRPr="00246AE4">
        <w:rPr>
          <w:color w:val="000000"/>
          <w:lang w:eastAsia="fr-FR" w:bidi="fr-FR"/>
        </w:rPr>
        <w:t>jourd’hui sont publiés, étaient encore inédits, il présente quelques l</w:t>
      </w:r>
      <w:r w:rsidRPr="00246AE4">
        <w:rPr>
          <w:color w:val="000000"/>
          <w:lang w:eastAsia="fr-FR" w:bidi="fr-FR"/>
        </w:rPr>
        <w:t>a</w:t>
      </w:r>
      <w:r w:rsidRPr="00246AE4">
        <w:rPr>
          <w:color w:val="000000"/>
          <w:lang w:eastAsia="fr-FR" w:bidi="fr-FR"/>
        </w:rPr>
        <w:t>cunes ; surtout il ne fait pas la part assez large aux lieux-dits, et l’on y chercherait en vain une classification philologique des noms. Les di</w:t>
      </w:r>
      <w:r w:rsidRPr="00246AE4">
        <w:rPr>
          <w:color w:val="000000"/>
          <w:lang w:eastAsia="fr-FR" w:bidi="fr-FR"/>
        </w:rPr>
        <w:t>c</w:t>
      </w:r>
      <w:r w:rsidRPr="00246AE4">
        <w:rPr>
          <w:color w:val="000000"/>
          <w:lang w:eastAsia="fr-FR" w:bidi="fr-FR"/>
        </w:rPr>
        <w:t>tionnai</w:t>
      </w:r>
      <w:r>
        <w:rPr>
          <w:color w:val="000000"/>
          <w:lang w:eastAsia="fr-FR" w:bidi="fr-FR"/>
        </w:rPr>
        <w:t>res topographiques de la Seine-</w:t>
      </w:r>
      <w:r w:rsidRPr="00246AE4">
        <w:rPr>
          <w:color w:val="000000"/>
          <w:lang w:eastAsia="fr-FR" w:bidi="fr-FR"/>
        </w:rPr>
        <w:t xml:space="preserve">et-Marne et du Loiret sont, je crois, en préparation : souhaitons qu’ils paraissent bientôt. Le </w:t>
      </w:r>
      <w:r w:rsidRPr="00F21F33">
        <w:rPr>
          <w:i/>
        </w:rPr>
        <w:t>Di</w:t>
      </w:r>
      <w:r w:rsidRPr="00F21F33">
        <w:rPr>
          <w:i/>
        </w:rPr>
        <w:t>c</w:t>
      </w:r>
      <w:r w:rsidRPr="00F21F33">
        <w:rPr>
          <w:i/>
        </w:rPr>
        <w:t>tionnaire des anciens noms des communes du département de Seine-et-Oise</w:t>
      </w:r>
      <w:r w:rsidRPr="00246AE4">
        <w:rPr>
          <w:color w:val="000000"/>
          <w:lang w:eastAsia="fr-FR" w:bidi="fr-FR"/>
        </w:rPr>
        <w:t>, par Hippolyte Cocheris</w:t>
      </w:r>
      <w:r>
        <w:rPr>
          <w:rStyle w:val="Appelnotedebasdep"/>
        </w:rPr>
        <w:footnoteReference w:id="538"/>
      </w:r>
      <w:r w:rsidRPr="00246AE4">
        <w:rPr>
          <w:color w:val="000000"/>
          <w:lang w:eastAsia="fr-FR" w:bidi="fr-FR"/>
        </w:rPr>
        <w:t xml:space="preserve">, le </w:t>
      </w:r>
      <w:r w:rsidRPr="00F21F33">
        <w:rPr>
          <w:i/>
        </w:rPr>
        <w:t xml:space="preserve">Dictionnaire historique des </w:t>
      </w:r>
      <w:r w:rsidRPr="00F21F33">
        <w:rPr>
          <w:i/>
        </w:rPr>
        <w:lastRenderedPageBreak/>
        <w:t>co</w:t>
      </w:r>
      <w:r w:rsidRPr="00F21F33">
        <w:rPr>
          <w:i/>
        </w:rPr>
        <w:t>m</w:t>
      </w:r>
      <w:r w:rsidRPr="00F21F33">
        <w:rPr>
          <w:i/>
        </w:rPr>
        <w:t>munes et des hameaux du département du Loiret</w:t>
      </w:r>
      <w:r w:rsidRPr="00246AE4">
        <w:t>,</w:t>
      </w:r>
      <w:r w:rsidRPr="00246AE4">
        <w:rPr>
          <w:color w:val="000000"/>
          <w:lang w:eastAsia="fr-FR" w:bidi="fr-FR"/>
        </w:rPr>
        <w:t xml:space="preserve"> par Vergnaud-Romagnési</w:t>
      </w:r>
      <w:r>
        <w:rPr>
          <w:color w:val="000000"/>
          <w:lang w:eastAsia="fr-FR" w:bidi="fr-FR"/>
        </w:rPr>
        <w:t> </w:t>
      </w:r>
      <w:r>
        <w:rPr>
          <w:rStyle w:val="Appelnotedebasdep"/>
        </w:rPr>
        <w:footnoteReference w:id="539"/>
      </w:r>
      <w:r w:rsidRPr="00246AE4">
        <w:rPr>
          <w:color w:val="000000"/>
          <w:lang w:eastAsia="fr-FR" w:bidi="fr-FR"/>
        </w:rPr>
        <w:t xml:space="preserve"> sont à peu près inutilisables, parce qu’ils ne citent pas leurs sources. L’historien de l’</w:t>
      </w:r>
      <w:r>
        <w:rPr>
          <w:color w:val="000000"/>
          <w:lang w:eastAsia="fr-FR" w:bidi="fr-FR"/>
        </w:rPr>
        <w:t>Île-de-France</w:t>
      </w:r>
      <w:r w:rsidRPr="00246AE4">
        <w:rPr>
          <w:color w:val="000000"/>
          <w:lang w:eastAsia="fr-FR" w:bidi="fr-FR"/>
        </w:rPr>
        <w:t xml:space="preserve"> qui veut, soit connaître la forme ancienne d’un nom de lieu, soit, rencontrant un nom dans un</w:t>
      </w:r>
      <w:r>
        <w:t xml:space="preserve"> </w:t>
      </w:r>
      <w:r>
        <w:rPr>
          <w:color w:val="000000"/>
          <w:lang w:eastAsia="fr-FR" w:bidi="fr-FR"/>
        </w:rPr>
        <w:t xml:space="preserve">[748] </w:t>
      </w:r>
      <w:r w:rsidRPr="00246AE4">
        <w:rPr>
          <w:color w:val="000000"/>
          <w:lang w:eastAsia="fr-FR" w:bidi="fr-FR"/>
        </w:rPr>
        <w:t xml:space="preserve">texte ancien, l’identifier, se trouve contraint, </w:t>
      </w:r>
      <w:r>
        <w:rPr>
          <w:color w:val="000000"/>
          <w:lang w:eastAsia="fr-FR" w:bidi="fr-FR"/>
        </w:rPr>
        <w:t>si le lieu n’est pas de l’Eure-</w:t>
      </w:r>
      <w:r w:rsidRPr="00246AE4">
        <w:rPr>
          <w:color w:val="000000"/>
          <w:lang w:eastAsia="fr-FR" w:bidi="fr-FR"/>
        </w:rPr>
        <w:t>et-Loir, de dépouiller les tables topographiques que poss</w:t>
      </w:r>
      <w:r w:rsidRPr="00246AE4">
        <w:rPr>
          <w:color w:val="000000"/>
          <w:lang w:eastAsia="fr-FR" w:bidi="fr-FR"/>
        </w:rPr>
        <w:t>è</w:t>
      </w:r>
      <w:r w:rsidRPr="00246AE4">
        <w:rPr>
          <w:color w:val="000000"/>
          <w:lang w:eastAsia="fr-FR" w:bidi="fr-FR"/>
        </w:rPr>
        <w:t xml:space="preserve">dent presque toujours les éditions modernes des textes du Moyen </w:t>
      </w:r>
      <w:r>
        <w:rPr>
          <w:color w:val="000000"/>
          <w:lang w:eastAsia="fr-FR" w:bidi="fr-FR"/>
        </w:rPr>
        <w:t>Â</w:t>
      </w:r>
      <w:r w:rsidRPr="00246AE4">
        <w:rPr>
          <w:color w:val="000000"/>
          <w:lang w:eastAsia="fr-FR" w:bidi="fr-FR"/>
        </w:rPr>
        <w:t>ge, p</w:t>
      </w:r>
      <w:r w:rsidRPr="00246AE4">
        <w:rPr>
          <w:color w:val="000000"/>
          <w:lang w:eastAsia="fr-FR" w:bidi="fr-FR"/>
        </w:rPr>
        <w:t>o</w:t>
      </w:r>
      <w:r w:rsidRPr="00246AE4">
        <w:rPr>
          <w:color w:val="000000"/>
          <w:lang w:eastAsia="fr-FR" w:bidi="fr-FR"/>
        </w:rPr>
        <w:t xml:space="preserve">lyptyques, cartulaires ou recueil de chartes, et surtout ces pouillés et ces obituaires que M. Longnon et ses collaborateurs ont publiés, avec tant de soin, dans la nouvelle série des </w:t>
      </w:r>
      <w:r w:rsidRPr="005F4D75">
        <w:rPr>
          <w:i/>
        </w:rPr>
        <w:t xml:space="preserve">Historiens de </w:t>
      </w:r>
      <w:r>
        <w:rPr>
          <w:i/>
        </w:rPr>
        <w:t>France</w:t>
      </w:r>
      <w:r>
        <w:t> </w:t>
      </w:r>
      <w:r>
        <w:rPr>
          <w:rStyle w:val="Appelnotedebasdep"/>
        </w:rPr>
        <w:footnoteReference w:id="540"/>
      </w:r>
      <w:r w:rsidRPr="00246AE4">
        <w:t>.</w:t>
      </w:r>
      <w:r w:rsidRPr="00246AE4">
        <w:rPr>
          <w:color w:val="000000"/>
          <w:lang w:eastAsia="fr-FR" w:bidi="fr-FR"/>
        </w:rPr>
        <w:t xml:space="preserve"> Quant à l’étude philologique et historique des noms, elle n’a été abordée que par de très rares chercheurs. M. Jacques Soyer nous a donné </w:t>
      </w:r>
      <w:r w:rsidRPr="00246AE4">
        <w:rPr>
          <w:color w:val="000000"/>
          <w:lang w:eastAsia="fr-FR" w:bidi="fr-FR"/>
        </w:rPr>
        <w:lastRenderedPageBreak/>
        <w:t>de pr</w:t>
      </w:r>
      <w:r w:rsidRPr="00246AE4">
        <w:rPr>
          <w:color w:val="000000"/>
          <w:lang w:eastAsia="fr-FR" w:bidi="fr-FR"/>
        </w:rPr>
        <w:t>é</w:t>
      </w:r>
      <w:r w:rsidRPr="00246AE4">
        <w:rPr>
          <w:color w:val="000000"/>
          <w:lang w:eastAsia="fr-FR" w:bidi="fr-FR"/>
        </w:rPr>
        <w:t xml:space="preserve">cieuses </w:t>
      </w:r>
      <w:r w:rsidRPr="00F21F33">
        <w:rPr>
          <w:i/>
        </w:rPr>
        <w:t>Recherches sur les noms propres géographiques d'origine ce</w:t>
      </w:r>
      <w:r w:rsidRPr="00F21F33">
        <w:rPr>
          <w:i/>
        </w:rPr>
        <w:t>l</w:t>
      </w:r>
      <w:r w:rsidRPr="00F21F33">
        <w:rPr>
          <w:i/>
        </w:rPr>
        <w:t>tique de l’Orléanais </w:t>
      </w:r>
      <w:r>
        <w:rPr>
          <w:rStyle w:val="Appelnotedebasdep"/>
        </w:rPr>
        <w:footnoteReference w:id="541"/>
      </w:r>
      <w:r w:rsidRPr="00246AE4">
        <w:t>.</w:t>
      </w:r>
      <w:r w:rsidRPr="00246AE4">
        <w:rPr>
          <w:color w:val="000000"/>
          <w:lang w:eastAsia="fr-FR" w:bidi="fr-FR"/>
        </w:rPr>
        <w:t xml:space="preserve"> Il faut espérer que cet article sera le premier d’une longue série. </w:t>
      </w:r>
      <w:r>
        <w:rPr>
          <w:color w:val="000000"/>
          <w:lang w:eastAsia="fr-FR" w:bidi="fr-FR"/>
        </w:rPr>
        <w:t>À</w:t>
      </w:r>
      <w:r w:rsidRPr="00246AE4">
        <w:rPr>
          <w:color w:val="000000"/>
          <w:lang w:eastAsia="fr-FR" w:bidi="fr-FR"/>
        </w:rPr>
        <w:t xml:space="preserve"> l’heure actuelle, il constitue le seul travail de portée un peu générale et de méthode véritablement scientifique qui, dans l’</w:t>
      </w:r>
      <w:r>
        <w:rPr>
          <w:color w:val="000000"/>
          <w:lang w:eastAsia="fr-FR" w:bidi="fr-FR"/>
        </w:rPr>
        <w:t>Île-de-France</w:t>
      </w:r>
      <w:r w:rsidRPr="00246AE4">
        <w:rPr>
          <w:color w:val="000000"/>
          <w:lang w:eastAsia="fr-FR" w:bidi="fr-FR"/>
        </w:rPr>
        <w:t>, ait été consacré à ce genre de questions.</w:t>
      </w:r>
    </w:p>
    <w:p w14:paraId="200A9776" w14:textId="77777777" w:rsidR="00B9662D" w:rsidRPr="00246AE4" w:rsidRDefault="00B9662D" w:rsidP="00B9662D">
      <w:pPr>
        <w:spacing w:before="120" w:after="120"/>
        <w:jc w:val="both"/>
      </w:pPr>
      <w:r w:rsidRPr="00246AE4">
        <w:rPr>
          <w:color w:val="000000"/>
          <w:lang w:eastAsia="fr-FR" w:bidi="fr-FR"/>
        </w:rPr>
        <w:t>Ce n’est point cepen</w:t>
      </w:r>
      <w:r>
        <w:rPr>
          <w:color w:val="000000"/>
          <w:lang w:eastAsia="fr-FR" w:bidi="fr-FR"/>
        </w:rPr>
        <w:t>dant que la « toponymie » de l’Î</w:t>
      </w:r>
      <w:r w:rsidRPr="00246AE4">
        <w:rPr>
          <w:color w:val="000000"/>
          <w:lang w:eastAsia="fr-FR" w:bidi="fr-FR"/>
        </w:rPr>
        <w:t>le-de-France ne pose d’intéressants problèmes. En voici un que je signale aux curieux. Je l’appellerais volontiers le problème beauceron. Prenons une carte de la Beauce, et recensons les noms des lieux habités. Nous remarquerons bien vite que beaucoup d’entre eux sont composés comme il suit : d’abord un nom d’homme, très souvent d’apparence germanique,</w:t>
      </w:r>
      <w:r>
        <w:rPr>
          <w:color w:val="000000"/>
          <w:lang w:eastAsia="fr-FR" w:bidi="fr-FR"/>
        </w:rPr>
        <w:t> — </w:t>
      </w:r>
      <w:r w:rsidRPr="00246AE4">
        <w:rPr>
          <w:color w:val="000000"/>
          <w:lang w:eastAsia="fr-FR" w:bidi="fr-FR"/>
        </w:rPr>
        <w:t xml:space="preserve">puis un des mots que voici : ville </w:t>
      </w:r>
      <w:r w:rsidRPr="00246AE4">
        <w:t>(</w:t>
      </w:r>
      <w:r w:rsidRPr="00F21F33">
        <w:rPr>
          <w:i/>
        </w:rPr>
        <w:t>villa</w:t>
      </w:r>
      <w:r w:rsidRPr="00246AE4">
        <w:t>),</w:t>
      </w:r>
      <w:r w:rsidRPr="00246AE4">
        <w:rPr>
          <w:color w:val="000000"/>
          <w:lang w:eastAsia="fr-FR" w:bidi="fr-FR"/>
        </w:rPr>
        <w:t xml:space="preserve"> ou, plus r</w:t>
      </w:r>
      <w:r w:rsidRPr="00246AE4">
        <w:rPr>
          <w:color w:val="000000"/>
          <w:lang w:eastAsia="fr-FR" w:bidi="fr-FR"/>
        </w:rPr>
        <w:t>a</w:t>
      </w:r>
      <w:r w:rsidRPr="00246AE4">
        <w:rPr>
          <w:color w:val="000000"/>
          <w:lang w:eastAsia="fr-FR" w:bidi="fr-FR"/>
        </w:rPr>
        <w:t xml:space="preserve">rement, villiers </w:t>
      </w:r>
      <w:r w:rsidRPr="00246AE4">
        <w:t>(</w:t>
      </w:r>
      <w:r w:rsidRPr="00F21F33">
        <w:rPr>
          <w:i/>
        </w:rPr>
        <w:t>villare</w:t>
      </w:r>
      <w:r w:rsidRPr="00246AE4">
        <w:t>),</w:t>
      </w:r>
      <w:r w:rsidRPr="00246AE4">
        <w:rPr>
          <w:color w:val="000000"/>
          <w:lang w:eastAsia="fr-FR" w:bidi="fr-FR"/>
        </w:rPr>
        <w:t xml:space="preserve"> ou bien encore court (</w:t>
      </w:r>
      <w:r w:rsidRPr="00F21F33">
        <w:rPr>
          <w:i/>
        </w:rPr>
        <w:t>curtis</w:t>
      </w:r>
      <w:r w:rsidRPr="00246AE4">
        <w:rPr>
          <w:color w:val="000000"/>
          <w:lang w:eastAsia="fr-FR" w:bidi="fr-FR"/>
        </w:rPr>
        <w:t>). La Beauce n’est certes point</w:t>
      </w:r>
      <w:r>
        <w:rPr>
          <w:color w:val="000000"/>
          <w:lang w:eastAsia="fr-FR" w:bidi="fr-FR"/>
        </w:rPr>
        <w:t xml:space="preserve"> le seul des « pays » de l’Île-</w:t>
      </w:r>
      <w:r w:rsidRPr="00246AE4">
        <w:rPr>
          <w:color w:val="000000"/>
          <w:lang w:eastAsia="fr-FR" w:bidi="fr-FR"/>
        </w:rPr>
        <w:t>de-France où l’on re</w:t>
      </w:r>
      <w:r w:rsidRPr="00246AE4">
        <w:rPr>
          <w:color w:val="000000"/>
          <w:lang w:eastAsia="fr-FR" w:bidi="fr-FR"/>
        </w:rPr>
        <w:t>n</w:t>
      </w:r>
      <w:r w:rsidRPr="00246AE4">
        <w:rPr>
          <w:color w:val="000000"/>
          <w:lang w:eastAsia="fr-FR" w:bidi="fr-FR"/>
        </w:rPr>
        <w:t>contre des noms de lieux ainsi formés : mais la proportion en est dans la Beauce plus forte qu’ailleurs. Dans le canton de Janville, par exe</w:t>
      </w:r>
      <w:r w:rsidRPr="00246AE4">
        <w:rPr>
          <w:color w:val="000000"/>
          <w:lang w:eastAsia="fr-FR" w:bidi="fr-FR"/>
        </w:rPr>
        <w:t>m</w:t>
      </w:r>
      <w:r w:rsidRPr="00246AE4">
        <w:rPr>
          <w:color w:val="000000"/>
          <w:lang w:eastAsia="fr-FR" w:bidi="fr-FR"/>
        </w:rPr>
        <w:t xml:space="preserve">ple, 14 communes sur </w:t>
      </w:r>
      <w:r w:rsidRPr="00246AE4">
        <w:t>22</w:t>
      </w:r>
      <w:r w:rsidRPr="00246AE4">
        <w:rPr>
          <w:rStyle w:val="Corpsdutexte275ptGras"/>
          <w:sz w:val="28"/>
          <w:lang w:val="fr-CA"/>
        </w:rPr>
        <w:t xml:space="preserve">, </w:t>
      </w:r>
      <w:r w:rsidRPr="00246AE4">
        <w:rPr>
          <w:color w:val="000000"/>
          <w:lang w:eastAsia="fr-FR" w:bidi="fr-FR"/>
        </w:rPr>
        <w:t xml:space="preserve">dans le canton d’Auneau 14 sur </w:t>
      </w:r>
      <w:r w:rsidRPr="00246AE4">
        <w:t>28</w:t>
      </w:r>
      <w:r w:rsidRPr="00246AE4">
        <w:rPr>
          <w:rStyle w:val="Corpsdutexte275ptGras"/>
          <w:sz w:val="28"/>
          <w:lang w:val="fr-CA"/>
        </w:rPr>
        <w:t xml:space="preserve">, </w:t>
      </w:r>
      <w:r w:rsidRPr="00246AE4">
        <w:rPr>
          <w:color w:val="000000"/>
          <w:lang w:eastAsia="fr-FR" w:bidi="fr-FR"/>
        </w:rPr>
        <w:t xml:space="preserve">dans le canton de Malesherbes 10 sur </w:t>
      </w:r>
      <w:r w:rsidRPr="00246AE4">
        <w:t>18</w:t>
      </w:r>
      <w:r w:rsidRPr="00246AE4">
        <w:rPr>
          <w:rStyle w:val="Corpsdutexte275ptGras"/>
          <w:sz w:val="28"/>
          <w:lang w:val="fr-CA"/>
        </w:rPr>
        <w:t xml:space="preserve">, </w:t>
      </w:r>
      <w:r w:rsidRPr="00246AE4">
        <w:rPr>
          <w:color w:val="000000"/>
          <w:lang w:eastAsia="fr-FR" w:bidi="fr-FR"/>
        </w:rPr>
        <w:t>dans le canton de Méré</w:t>
      </w:r>
      <w:r>
        <w:rPr>
          <w:color w:val="000000"/>
          <w:lang w:eastAsia="fr-FR" w:bidi="fr-FR"/>
        </w:rPr>
        <w:t>-</w:t>
      </w:r>
      <w:r w:rsidRPr="00246AE4">
        <w:rPr>
          <w:color w:val="000000"/>
          <w:lang w:eastAsia="fr-FR" w:bidi="fr-FR"/>
        </w:rPr>
        <w:t>ville, 8 communes parmi les 17 qui sont situées sur le plateau beauceron</w:t>
      </w:r>
      <w:r>
        <w:rPr>
          <w:color w:val="000000"/>
          <w:lang w:eastAsia="fr-FR" w:bidi="fr-FR"/>
        </w:rPr>
        <w:t xml:space="preserve"> [749] </w:t>
      </w:r>
      <w:r w:rsidRPr="00246AE4">
        <w:rPr>
          <w:color w:val="000000"/>
          <w:lang w:eastAsia="fr-FR" w:bidi="fr-FR"/>
        </w:rPr>
        <w:t>portent des noms de cette sorte. De tels noms ne peuvent être, comme l’on sait, que postérieurs à l’époque romaine ; ils paraissent dater à peu près de la période mérovingienne. Comment expliquer qu’ils soient si nombreux sur le sol beauceron ? la Beauce fu</w:t>
      </w:r>
      <w:r>
        <w:rPr>
          <w:color w:val="000000"/>
          <w:lang w:eastAsia="fr-FR" w:bidi="fr-FR"/>
        </w:rPr>
        <w:t>t</w:t>
      </w:r>
      <w:r w:rsidRPr="00246AE4">
        <w:rPr>
          <w:color w:val="000000"/>
          <w:lang w:eastAsia="fr-FR" w:bidi="fr-FR"/>
        </w:rPr>
        <w:t>-elle peuplée, ou repeuplée au temps des Mérovingiens ? Je ne puis qu’indiquer le problème. Il importerait, d’abord d’en préciser les do</w:t>
      </w:r>
      <w:r w:rsidRPr="00246AE4">
        <w:rPr>
          <w:color w:val="000000"/>
          <w:lang w:eastAsia="fr-FR" w:bidi="fr-FR"/>
        </w:rPr>
        <w:t>n</w:t>
      </w:r>
      <w:r w:rsidRPr="00246AE4">
        <w:rPr>
          <w:color w:val="000000"/>
          <w:lang w:eastAsia="fr-FR" w:bidi="fr-FR"/>
        </w:rPr>
        <w:lastRenderedPageBreak/>
        <w:t>nées, et surtout de le résoudre. Sa singularité même a de quoi piquer les érudits</w:t>
      </w:r>
      <w:r>
        <w:rPr>
          <w:color w:val="000000"/>
          <w:lang w:eastAsia="fr-FR" w:bidi="fr-FR"/>
        </w:rPr>
        <w:t> </w:t>
      </w:r>
      <w:r>
        <w:rPr>
          <w:rStyle w:val="Appelnotedebasdep"/>
        </w:rPr>
        <w:footnoteReference w:id="542"/>
      </w:r>
      <w:r w:rsidRPr="00246AE4">
        <w:rPr>
          <w:color w:val="000000"/>
          <w:lang w:eastAsia="fr-FR" w:bidi="fr-FR"/>
        </w:rPr>
        <w:t>.</w:t>
      </w:r>
    </w:p>
    <w:p w14:paraId="51614D74" w14:textId="77777777" w:rsidR="00B9662D" w:rsidRDefault="00B9662D" w:rsidP="00B9662D">
      <w:pPr>
        <w:spacing w:before="120" w:after="120"/>
        <w:jc w:val="both"/>
      </w:pPr>
    </w:p>
    <w:p w14:paraId="1CE52ED7" w14:textId="77777777" w:rsidR="00B9662D" w:rsidRPr="00246AE4" w:rsidRDefault="00B9662D" w:rsidP="00B9662D">
      <w:pPr>
        <w:pStyle w:val="b"/>
      </w:pPr>
      <w:r w:rsidRPr="00246AE4">
        <w:t xml:space="preserve">3. </w:t>
      </w:r>
      <w:r w:rsidRPr="00246AE4">
        <w:rPr>
          <w:lang w:eastAsia="fr-FR" w:bidi="fr-FR"/>
        </w:rPr>
        <w:t xml:space="preserve">Le Moyen </w:t>
      </w:r>
      <w:r>
        <w:rPr>
          <w:lang w:eastAsia="fr-FR" w:bidi="fr-FR"/>
        </w:rPr>
        <w:t>Â</w:t>
      </w:r>
      <w:r w:rsidRPr="00246AE4">
        <w:rPr>
          <w:lang w:eastAsia="fr-FR" w:bidi="fr-FR"/>
        </w:rPr>
        <w:t>ge.</w:t>
      </w:r>
    </w:p>
    <w:p w14:paraId="1F429D76" w14:textId="77777777" w:rsidR="00B9662D" w:rsidRDefault="00B9662D" w:rsidP="00B9662D">
      <w:pPr>
        <w:spacing w:before="120" w:after="120"/>
        <w:jc w:val="both"/>
        <w:rPr>
          <w:color w:val="000000"/>
          <w:lang w:eastAsia="fr-FR" w:bidi="fr-FR"/>
        </w:rPr>
      </w:pPr>
    </w:p>
    <w:p w14:paraId="599F89EA" w14:textId="77777777" w:rsidR="00B9662D" w:rsidRPr="00246AE4" w:rsidRDefault="00B9662D" w:rsidP="00B9662D">
      <w:pPr>
        <w:spacing w:before="120" w:after="120"/>
        <w:jc w:val="both"/>
      </w:pPr>
      <w:r w:rsidRPr="00246AE4">
        <w:rPr>
          <w:color w:val="000000"/>
          <w:lang w:eastAsia="fr-FR" w:bidi="fr-FR"/>
        </w:rPr>
        <w:t>On aimerait à connaître l’histoire de ceux qui les premiers, ma</w:t>
      </w:r>
      <w:r w:rsidRPr="00246AE4">
        <w:rPr>
          <w:color w:val="000000"/>
          <w:lang w:eastAsia="fr-FR" w:bidi="fr-FR"/>
        </w:rPr>
        <w:t>r</w:t>
      </w:r>
      <w:r w:rsidRPr="00246AE4">
        <w:rPr>
          <w:color w:val="000000"/>
          <w:lang w:eastAsia="fr-FR" w:bidi="fr-FR"/>
        </w:rPr>
        <w:t>chands orientaux ou bien frères instruits dans la foi au sein des gra</w:t>
      </w:r>
      <w:r w:rsidRPr="00246AE4">
        <w:rPr>
          <w:color w:val="000000"/>
          <w:lang w:eastAsia="fr-FR" w:bidi="fr-FR"/>
        </w:rPr>
        <w:t>n</w:t>
      </w:r>
      <w:r w:rsidRPr="00246AE4">
        <w:rPr>
          <w:color w:val="000000"/>
          <w:lang w:eastAsia="fr-FR" w:bidi="fr-FR"/>
        </w:rPr>
        <w:t>des communautés de l’Occident, apprirent aux cités gallo-romaines de la région qui fut plus tard l’</w:t>
      </w:r>
      <w:r>
        <w:rPr>
          <w:color w:val="000000"/>
          <w:lang w:eastAsia="fr-FR" w:bidi="fr-FR"/>
        </w:rPr>
        <w:t>Île-de-France</w:t>
      </w:r>
      <w:r w:rsidRPr="00246AE4">
        <w:rPr>
          <w:color w:val="000000"/>
          <w:lang w:eastAsia="fr-FR" w:bidi="fr-FR"/>
        </w:rPr>
        <w:t xml:space="preserve"> le nom du Christ, son sacr</w:t>
      </w:r>
      <w:r w:rsidRPr="00246AE4">
        <w:rPr>
          <w:color w:val="000000"/>
          <w:lang w:eastAsia="fr-FR" w:bidi="fr-FR"/>
        </w:rPr>
        <w:t>i</w:t>
      </w:r>
      <w:r w:rsidRPr="00246AE4">
        <w:rPr>
          <w:color w:val="000000"/>
          <w:lang w:eastAsia="fr-FR" w:bidi="fr-FR"/>
        </w:rPr>
        <w:t xml:space="preserve">fice et sa résurrection. Les clercs du Moyen </w:t>
      </w:r>
      <w:r>
        <w:rPr>
          <w:color w:val="000000"/>
          <w:lang w:eastAsia="fr-FR" w:bidi="fr-FR"/>
        </w:rPr>
        <w:t>Â</w:t>
      </w:r>
      <w:r w:rsidRPr="00246AE4">
        <w:rPr>
          <w:color w:val="000000"/>
          <w:lang w:eastAsia="fr-FR" w:bidi="fr-FR"/>
        </w:rPr>
        <w:t>ge croyaient la savoir, cette belle histoire. Voici à peu près ce qu’ils racontaient. Venus de Judée, Savinien, Potentien et Altin apportèrent à « l’illustre » cité de Sens la religion nouvelle ; ils en tenaient les enseignements de la bo</w:t>
      </w:r>
      <w:r w:rsidRPr="00246AE4">
        <w:rPr>
          <w:color w:val="000000"/>
          <w:lang w:eastAsia="fr-FR" w:bidi="fr-FR"/>
        </w:rPr>
        <w:t>u</w:t>
      </w:r>
      <w:r w:rsidRPr="00246AE4">
        <w:rPr>
          <w:color w:val="000000"/>
          <w:lang w:eastAsia="fr-FR" w:bidi="fr-FR"/>
        </w:rPr>
        <w:t>che même du Sauveur, ayant tous trois appartenu à la troupe glorieuse des soixante-douze disciples. Puis l’un d’eux, Altin, prenant pour compagnon le Sénonais Édoald, visita Orléans et Chartres ; dans ces deux villes il établit des églises. Paris, d’autre part, reçut d’Athènes son premier pasteur, Denis, un juge de l’Aréopage converti par saint Paul. Denis, avant de mourir, choisit deux de ses disciples qui d</w:t>
      </w:r>
      <w:r w:rsidRPr="00246AE4">
        <w:rPr>
          <w:color w:val="000000"/>
          <w:lang w:eastAsia="fr-FR" w:bidi="fr-FR"/>
        </w:rPr>
        <w:t>e</w:t>
      </w:r>
      <w:r w:rsidRPr="00246AE4">
        <w:rPr>
          <w:color w:val="000000"/>
          <w:lang w:eastAsia="fr-FR" w:bidi="fr-FR"/>
        </w:rPr>
        <w:t>vaient aller annoncer à Rome la nouvelle de son martyre. L’un des messagers, qui s’appelait Sanctin, à son retour, évangélisa la ville de Meaux.</w:t>
      </w:r>
    </w:p>
    <w:p w14:paraId="587AABE0" w14:textId="77777777" w:rsidR="00B9662D" w:rsidRPr="00246AE4" w:rsidRDefault="00B9662D" w:rsidP="00B9662D">
      <w:pPr>
        <w:spacing w:before="120" w:after="120"/>
        <w:jc w:val="both"/>
      </w:pPr>
      <w:r w:rsidRPr="00246AE4">
        <w:rPr>
          <w:color w:val="000000"/>
          <w:lang w:eastAsia="fr-FR" w:bidi="fr-FR"/>
        </w:rPr>
        <w:t>Ces récits n’étaient que des légendes, auxquelles on ne saurait trouver d’autre fondement que le pieux orgueil des églises, désireuses de rattacher leurs origines au plus lointain passé du christianisme. Il est bien vrai que le plus ancien évêque de Paris dont l’histoire fasse mention porta le nom hellénique de Denis ; mais lorsqu’il mourut pour la foi, comme le relate Grégoire de Tours, sous le règne de D</w:t>
      </w:r>
      <w:r w:rsidRPr="00246AE4">
        <w:rPr>
          <w:color w:val="000000"/>
          <w:lang w:eastAsia="fr-FR" w:bidi="fr-FR"/>
        </w:rPr>
        <w:t>é</w:t>
      </w:r>
      <w:r w:rsidRPr="00246AE4">
        <w:rPr>
          <w:color w:val="000000"/>
          <w:lang w:eastAsia="fr-FR" w:bidi="fr-FR"/>
        </w:rPr>
        <w:t>cius, empereur de 249 à 251, il y avait près de deux cents ans que la grande voix de saint Paul s’était tue. On n’aperçoit guère de raisons de douter que Savinien n’ait été le premier évêque de Sens et Potentien le second ; mais c’est de Constantin sans doute, ou tout au plus de Di</w:t>
      </w:r>
      <w:r w:rsidRPr="00246AE4">
        <w:rPr>
          <w:color w:val="000000"/>
          <w:lang w:eastAsia="fr-FR" w:bidi="fr-FR"/>
        </w:rPr>
        <w:t>o</w:t>
      </w:r>
      <w:r w:rsidRPr="00246AE4">
        <w:rPr>
          <w:color w:val="000000"/>
          <w:lang w:eastAsia="fr-FR" w:bidi="fr-FR"/>
        </w:rPr>
        <w:lastRenderedPageBreak/>
        <w:t xml:space="preserve">clétien, que Savinien fut le contemporain. Quelques érudits pensent que Sanctin, évêque de Meaux, a réellement existé ; ils l’identifient avec Sanctin, qui fut évêque de Verdun au </w:t>
      </w:r>
      <w:r w:rsidRPr="005F4D75">
        <w:rPr>
          <w:caps/>
          <w:color w:val="000000"/>
          <w:lang w:eastAsia="fr-FR" w:bidi="fr-FR"/>
        </w:rPr>
        <w:t>iv</w:t>
      </w:r>
      <w:r w:rsidRPr="00246AE4">
        <w:rPr>
          <w:color w:val="000000"/>
          <w:vertAlign w:val="superscript"/>
          <w:lang w:eastAsia="fr-FR" w:bidi="fr-FR"/>
        </w:rPr>
        <w:t>e</w:t>
      </w:r>
      <w:r w:rsidRPr="00246AE4">
        <w:rPr>
          <w:color w:val="000000"/>
          <w:lang w:eastAsia="fr-FR" w:bidi="fr-FR"/>
        </w:rPr>
        <w:t xml:space="preserve"> siècle. Quant à Altin, « saint imitateur » de Savinien et de Potentien</w:t>
      </w:r>
      <w:r>
        <w:rPr>
          <w:color w:val="000000"/>
          <w:lang w:eastAsia="fr-FR" w:bidi="fr-FR"/>
        </w:rPr>
        <w:t> </w:t>
      </w:r>
      <w:r>
        <w:rPr>
          <w:rStyle w:val="Appelnotedebasdep"/>
        </w:rPr>
        <w:footnoteReference w:id="543"/>
      </w:r>
      <w:r w:rsidRPr="00246AE4">
        <w:rPr>
          <w:color w:val="000000"/>
          <w:lang w:eastAsia="fr-FR" w:bidi="fr-FR"/>
        </w:rPr>
        <w:t xml:space="preserve">, et au diacre Édoald dont le nom germanique convient mal à un Gaulois du </w:t>
      </w:r>
      <w:r>
        <w:rPr>
          <w:color w:val="000000"/>
          <w:lang w:eastAsia="fr-FR" w:bidi="fr-FR"/>
        </w:rPr>
        <w:t>1</w:t>
      </w:r>
      <w:r w:rsidRPr="005F4D75">
        <w:rPr>
          <w:rStyle w:val="Corpsdutexte275ptGras"/>
          <w:b w:val="0"/>
          <w:sz w:val="28"/>
          <w:vertAlign w:val="superscript"/>
          <w:lang w:val="fr-CA"/>
        </w:rPr>
        <w:t>er</w:t>
      </w:r>
      <w:r>
        <w:rPr>
          <w:rStyle w:val="Corpsdutexte275ptGras"/>
          <w:b w:val="0"/>
          <w:sz w:val="28"/>
          <w:vertAlign w:val="superscript"/>
          <w:lang w:val="fr-CA"/>
        </w:rPr>
        <w:t>  </w:t>
      </w:r>
      <w:r w:rsidRPr="00246AE4">
        <w:rPr>
          <w:color w:val="000000"/>
          <w:lang w:eastAsia="fr-FR" w:bidi="fr-FR"/>
        </w:rPr>
        <w:t>siècle, quels savants, aujourd’hui, oseraient affirmer qu’ils vécurent jamais</w:t>
      </w:r>
      <w:r>
        <w:rPr>
          <w:color w:val="000000"/>
          <w:lang w:eastAsia="fr-FR" w:bidi="fr-FR"/>
        </w:rPr>
        <w:t> </w:t>
      </w:r>
      <w:r>
        <w:rPr>
          <w:rStyle w:val="Appelnotedebasdep"/>
        </w:rPr>
        <w:footnoteReference w:id="544"/>
      </w:r>
      <w:r w:rsidRPr="00246AE4">
        <w:rPr>
          <w:color w:val="000000"/>
          <w:lang w:eastAsia="fr-FR" w:bidi="fr-FR"/>
        </w:rPr>
        <w:t> ?</w:t>
      </w:r>
    </w:p>
    <w:p w14:paraId="7520905B" w14:textId="77777777" w:rsidR="00B9662D" w:rsidRPr="00246AE4" w:rsidRDefault="00B9662D" w:rsidP="00B9662D">
      <w:pPr>
        <w:spacing w:before="120" w:after="120"/>
        <w:jc w:val="both"/>
      </w:pPr>
      <w:r>
        <w:t>[750]</w:t>
      </w:r>
    </w:p>
    <w:p w14:paraId="7D4EE70B" w14:textId="77777777" w:rsidR="00B9662D" w:rsidRPr="00246AE4" w:rsidRDefault="00B9662D" w:rsidP="00B9662D">
      <w:pPr>
        <w:spacing w:before="120" w:after="120"/>
        <w:jc w:val="both"/>
      </w:pPr>
      <w:r w:rsidRPr="00246AE4">
        <w:rPr>
          <w:color w:val="000000"/>
          <w:lang w:eastAsia="fr-FR" w:bidi="fr-FR"/>
        </w:rPr>
        <w:t>Nous ne croyons plus aux erreurs que répandit la crédulité intére</w:t>
      </w:r>
      <w:r w:rsidRPr="00246AE4">
        <w:rPr>
          <w:color w:val="000000"/>
          <w:lang w:eastAsia="fr-FR" w:bidi="fr-FR"/>
        </w:rPr>
        <w:t>s</w:t>
      </w:r>
      <w:r w:rsidRPr="00246AE4">
        <w:rPr>
          <w:color w:val="000000"/>
          <w:lang w:eastAsia="fr-FR" w:bidi="fr-FR"/>
        </w:rPr>
        <w:t xml:space="preserve">sée des clercs d’autrefois. De renseignements certains sur les </w:t>
      </w:r>
      <w:r>
        <w:rPr>
          <w:color w:val="000000"/>
          <w:lang w:eastAsia="fr-FR" w:bidi="fr-FR"/>
        </w:rPr>
        <w:t>débuts du christianisme dans l’Î</w:t>
      </w:r>
      <w:r w:rsidRPr="00246AE4">
        <w:rPr>
          <w:color w:val="000000"/>
          <w:lang w:eastAsia="fr-FR" w:bidi="fr-FR"/>
        </w:rPr>
        <w:t>le-de-France, nous n’en possédons guère plus qu’ils n’en possédaient. L’œuvre de la science moderne sur ce point a été surtout négative ; et l’état des documents est tel que nous devons sans doute désespérer d’en savoir jamais beaucoup plus long qu’aujourd’hui. L’étude de la légende de saint Sanctin n’a pas encore été faite de façon définitive</w:t>
      </w:r>
      <w:r>
        <w:rPr>
          <w:color w:val="000000"/>
          <w:lang w:eastAsia="fr-FR" w:bidi="fr-FR"/>
        </w:rPr>
        <w:t> </w:t>
      </w:r>
      <w:r>
        <w:rPr>
          <w:rStyle w:val="Appelnotedebasdep"/>
        </w:rPr>
        <w:footnoteReference w:id="545"/>
      </w:r>
      <w:r w:rsidRPr="00246AE4">
        <w:rPr>
          <w:color w:val="000000"/>
          <w:lang w:eastAsia="fr-FR" w:bidi="fr-FR"/>
        </w:rPr>
        <w:t> ; mais qui pourrait espérer lui voir a</w:t>
      </w:r>
      <w:r w:rsidRPr="00246AE4">
        <w:rPr>
          <w:color w:val="000000"/>
          <w:lang w:eastAsia="fr-FR" w:bidi="fr-FR"/>
        </w:rPr>
        <w:t>p</w:t>
      </w:r>
      <w:r w:rsidRPr="00246AE4">
        <w:rPr>
          <w:color w:val="000000"/>
          <w:lang w:eastAsia="fr-FR" w:bidi="fr-FR"/>
        </w:rPr>
        <w:t xml:space="preserve">porter autre chose que des précisions nouvelles sur le zèle des clercs à </w:t>
      </w:r>
      <w:r w:rsidRPr="00246AE4">
        <w:rPr>
          <w:color w:val="000000"/>
          <w:lang w:eastAsia="fr-FR" w:bidi="fr-FR"/>
        </w:rPr>
        <w:lastRenderedPageBreak/>
        <w:t>bâtir de pieux mensonges ? Il est peu probable que le ch</w:t>
      </w:r>
      <w:r>
        <w:rPr>
          <w:color w:val="000000"/>
          <w:lang w:eastAsia="fr-FR" w:bidi="fr-FR"/>
        </w:rPr>
        <w:t>ristianisme ait pénétré dans l’Î</w:t>
      </w:r>
      <w:r w:rsidRPr="00246AE4">
        <w:rPr>
          <w:color w:val="000000"/>
          <w:lang w:eastAsia="fr-FR" w:bidi="fr-FR"/>
        </w:rPr>
        <w:t>le-de-France à une époque bien antérieure à celle où s’organisèrent les églises ; mais les dates mêmes de la fondation des églises, nous avons peine à les établir. L’église de Paris se constitua vraisemblablement aux environs de l’an 250 ; celles de Sens, de Cha</w:t>
      </w:r>
      <w:r w:rsidRPr="00246AE4">
        <w:rPr>
          <w:color w:val="000000"/>
          <w:lang w:eastAsia="fr-FR" w:bidi="fr-FR"/>
        </w:rPr>
        <w:t>r</w:t>
      </w:r>
      <w:r w:rsidRPr="00246AE4">
        <w:rPr>
          <w:color w:val="000000"/>
          <w:lang w:eastAsia="fr-FR" w:bidi="fr-FR"/>
        </w:rPr>
        <w:t xml:space="preserve">tres, d’Orléans vers le </w:t>
      </w:r>
      <w:r w:rsidRPr="005F4D75">
        <w:rPr>
          <w:caps/>
          <w:color w:val="000000"/>
          <w:lang w:eastAsia="fr-FR" w:bidi="fr-FR"/>
        </w:rPr>
        <w:t>iv</w:t>
      </w:r>
      <w:r w:rsidRPr="00246AE4">
        <w:rPr>
          <w:color w:val="000000"/>
          <w:vertAlign w:val="superscript"/>
          <w:lang w:eastAsia="fr-FR" w:bidi="fr-FR"/>
        </w:rPr>
        <w:t>e</w:t>
      </w:r>
      <w:r w:rsidRPr="00246AE4">
        <w:rPr>
          <w:color w:val="000000"/>
          <w:lang w:eastAsia="fr-FR" w:bidi="fr-FR"/>
        </w:rPr>
        <w:t xml:space="preserve"> siècle, peut-être sous les premiers emp</w:t>
      </w:r>
      <w:r w:rsidRPr="00246AE4">
        <w:rPr>
          <w:color w:val="000000"/>
          <w:lang w:eastAsia="fr-FR" w:bidi="fr-FR"/>
        </w:rPr>
        <w:t>e</w:t>
      </w:r>
      <w:r w:rsidRPr="00246AE4">
        <w:rPr>
          <w:color w:val="000000"/>
          <w:lang w:eastAsia="fr-FR" w:bidi="fr-FR"/>
        </w:rPr>
        <w:t>reurs chrétiens. Le plus ancien évêque de Meaux qui nous soit connu par un texte digne de foi fut le sujet des fds de Clovis : c’est Medov</w:t>
      </w:r>
      <w:r w:rsidRPr="00246AE4">
        <w:rPr>
          <w:color w:val="000000"/>
          <w:lang w:eastAsia="fr-FR" w:bidi="fr-FR"/>
        </w:rPr>
        <w:t>e</w:t>
      </w:r>
      <w:r w:rsidRPr="00246AE4">
        <w:rPr>
          <w:color w:val="000000"/>
          <w:lang w:eastAsia="fr-FR" w:bidi="fr-FR"/>
        </w:rPr>
        <w:t>chus, qui, le 28 octobre 549, apposa sa souscription au bas des actes d’un concile tenu à Orléans ; il n’est pas vraisemblable qu’il doive être considéré comme le premier qui ait gouverné le diocèse de Meaux ; pourquoi la cité des Meldes eût-elle si longtemps tardé à po</w:t>
      </w:r>
      <w:r w:rsidRPr="00246AE4">
        <w:rPr>
          <w:color w:val="000000"/>
          <w:lang w:eastAsia="fr-FR" w:bidi="fr-FR"/>
        </w:rPr>
        <w:t>s</w:t>
      </w:r>
      <w:r w:rsidRPr="00246AE4">
        <w:rPr>
          <w:color w:val="000000"/>
          <w:lang w:eastAsia="fr-FR" w:bidi="fr-FR"/>
        </w:rPr>
        <w:t xml:space="preserve">séder un évêque ? Mais sur les prédécesseurs de Medovechus nous ne savons rien qui </w:t>
      </w:r>
      <w:r>
        <w:rPr>
          <w:color w:val="000000"/>
          <w:lang w:eastAsia="fr-FR" w:bidi="fr-FR"/>
        </w:rPr>
        <w:t>ne s</w:t>
      </w:r>
      <w:r w:rsidRPr="00246AE4">
        <w:rPr>
          <w:color w:val="000000"/>
          <w:lang w:eastAsia="fr-FR" w:bidi="fr-FR"/>
        </w:rPr>
        <w:t>oit sûr, ni même probable.</w:t>
      </w:r>
    </w:p>
    <w:p w14:paraId="57029817" w14:textId="77777777" w:rsidR="00B9662D" w:rsidRPr="00246AE4" w:rsidRDefault="00B9662D" w:rsidP="00B9662D">
      <w:pPr>
        <w:spacing w:before="120" w:after="120"/>
        <w:jc w:val="both"/>
      </w:pPr>
      <w:r w:rsidRPr="00246AE4">
        <w:rPr>
          <w:color w:val="000000"/>
          <w:lang w:eastAsia="fr-FR" w:bidi="fr-FR"/>
        </w:rPr>
        <w:t>L’Église chrétienne emprunta son organisation à l’administration civile. Nous l’avons vu, les cités gallo-romaines se sont survécu dans les diocèses. Non sans vicissitudes. Lorsque les victoires de Clovis eurent placé sous la domination des Mérovingiens la contrée qui commençait déjà à s’appeler la France, en attendant de devenir l’</w:t>
      </w:r>
      <w:r>
        <w:rPr>
          <w:color w:val="000000"/>
          <w:lang w:eastAsia="fr-FR" w:bidi="fr-FR"/>
        </w:rPr>
        <w:t>Île-de-France</w:t>
      </w:r>
      <w:r w:rsidRPr="00246AE4">
        <w:rPr>
          <w:color w:val="000000"/>
          <w:lang w:eastAsia="fr-FR" w:bidi="fr-FR"/>
        </w:rPr>
        <w:t>, l’unité des diocèses courut quelques dangers. En 524, le roi Clodomir étant mort, et ses fils assassinés ou jetés au couvent, ses trois frères se partagèrent son royaume. La cité de Sens fut divisée entre Thierri,</w:t>
      </w:r>
      <w:r>
        <w:rPr>
          <w:color w:val="000000"/>
          <w:lang w:eastAsia="fr-FR" w:bidi="fr-FR"/>
        </w:rPr>
        <w:t xml:space="preserve"> roi de Metz, et Childe</w:t>
      </w:r>
      <w:r w:rsidRPr="00246AE4">
        <w:rPr>
          <w:color w:val="000000"/>
          <w:lang w:eastAsia="fr-FR" w:bidi="fr-FR"/>
        </w:rPr>
        <w:t>bert, roi de Paris ; le roi de Metz obtint la ville de Sens, ville épiscopale ; ainsi les sujets de Childebert devaient se trouver soumis à l’autorité pastorale d’un évêque, qui d</w:t>
      </w:r>
      <w:r w:rsidRPr="00246AE4">
        <w:rPr>
          <w:color w:val="000000"/>
          <w:lang w:eastAsia="fr-FR" w:bidi="fr-FR"/>
        </w:rPr>
        <w:t>e</w:t>
      </w:r>
      <w:r w:rsidRPr="00246AE4">
        <w:rPr>
          <w:color w:val="000000"/>
          <w:lang w:eastAsia="fr-FR" w:bidi="fr-FR"/>
        </w:rPr>
        <w:t>meurait dans les États de Thierri ; il semble bien que Childebert ne put supporter cette situation et qu’il fonda un évêché nouveau dans une des villes de la cité sénonaise qui lui avaient été attribuées : à Ch</w:t>
      </w:r>
      <w:r w:rsidRPr="00246AE4">
        <w:rPr>
          <w:color w:val="000000"/>
          <w:lang w:eastAsia="fr-FR" w:bidi="fr-FR"/>
        </w:rPr>
        <w:t>â</w:t>
      </w:r>
      <w:r w:rsidRPr="00246AE4">
        <w:rPr>
          <w:color w:val="000000"/>
          <w:lang w:eastAsia="fr-FR" w:bidi="fr-FR"/>
        </w:rPr>
        <w:t>teaulandon, sans doute, ou peut-être à Melun. De même en 567, quand trois rois disposèrent de l’héritage de Caribert, la cité de</w:t>
      </w:r>
      <w:r>
        <w:rPr>
          <w:color w:val="000000"/>
          <w:lang w:eastAsia="fr-FR" w:bidi="fr-FR"/>
        </w:rPr>
        <w:t xml:space="preserve"> </w:t>
      </w:r>
      <w:r>
        <w:t>[</w:t>
      </w:r>
      <w:r w:rsidRPr="00246AE4">
        <w:rPr>
          <w:color w:val="000000"/>
          <w:lang w:eastAsia="fr-FR" w:bidi="fr-FR"/>
        </w:rPr>
        <w:t>751</w:t>
      </w:r>
      <w:r>
        <w:rPr>
          <w:color w:val="000000"/>
          <w:lang w:eastAsia="fr-FR" w:bidi="fr-FR"/>
        </w:rPr>
        <w:t xml:space="preserve">] </w:t>
      </w:r>
      <w:r w:rsidRPr="00246AE4">
        <w:rPr>
          <w:color w:val="000000"/>
          <w:lang w:eastAsia="fr-FR" w:bidi="fr-FR"/>
        </w:rPr>
        <w:t>Cha</w:t>
      </w:r>
      <w:r w:rsidRPr="00246AE4">
        <w:rPr>
          <w:color w:val="000000"/>
          <w:lang w:eastAsia="fr-FR" w:bidi="fr-FR"/>
        </w:rPr>
        <w:t>r</w:t>
      </w:r>
      <w:r w:rsidRPr="00246AE4">
        <w:rPr>
          <w:color w:val="000000"/>
          <w:lang w:eastAsia="fr-FR" w:bidi="fr-FR"/>
        </w:rPr>
        <w:t>tres fut morcelée ; Gontran en reçut une partie, Sigebert le reste. Cha</w:t>
      </w:r>
      <w:r w:rsidRPr="00246AE4">
        <w:rPr>
          <w:color w:val="000000"/>
          <w:lang w:eastAsia="fr-FR" w:bidi="fr-FR"/>
        </w:rPr>
        <w:t>r</w:t>
      </w:r>
      <w:r w:rsidRPr="00246AE4">
        <w:rPr>
          <w:color w:val="000000"/>
          <w:lang w:eastAsia="fr-FR" w:bidi="fr-FR"/>
        </w:rPr>
        <w:t>tres appartint à Gontran. Sigebert alors établit un évêque à Châtea</w:t>
      </w:r>
      <w:r w:rsidRPr="00246AE4">
        <w:rPr>
          <w:color w:val="000000"/>
          <w:lang w:eastAsia="fr-FR" w:bidi="fr-FR"/>
        </w:rPr>
        <w:t>u</w:t>
      </w:r>
      <w:r w:rsidRPr="00246AE4">
        <w:rPr>
          <w:color w:val="000000"/>
          <w:lang w:eastAsia="fr-FR" w:bidi="fr-FR"/>
        </w:rPr>
        <w:t>dun, ville qui lui était échue en partage. Mais l’Église ne pouvait a</w:t>
      </w:r>
      <w:r w:rsidRPr="00246AE4">
        <w:rPr>
          <w:color w:val="000000"/>
          <w:lang w:eastAsia="fr-FR" w:bidi="fr-FR"/>
        </w:rPr>
        <w:t>d</w:t>
      </w:r>
      <w:r w:rsidRPr="00246AE4">
        <w:rPr>
          <w:color w:val="000000"/>
          <w:lang w:eastAsia="fr-FR" w:bidi="fr-FR"/>
        </w:rPr>
        <w:t>mettre que son organisation dépendît du caprice des souverains la</w:t>
      </w:r>
      <w:r w:rsidRPr="00246AE4">
        <w:rPr>
          <w:color w:val="000000"/>
          <w:lang w:eastAsia="fr-FR" w:bidi="fr-FR"/>
        </w:rPr>
        <w:t>ï</w:t>
      </w:r>
      <w:r w:rsidRPr="00246AE4">
        <w:rPr>
          <w:color w:val="000000"/>
          <w:lang w:eastAsia="fr-FR" w:bidi="fr-FR"/>
        </w:rPr>
        <w:t xml:space="preserve">ques. Les évêchés de Châteaulandon et de Châteaudun furent </w:t>
      </w:r>
      <w:r w:rsidRPr="00246AE4">
        <w:rPr>
          <w:color w:val="000000"/>
          <w:lang w:eastAsia="fr-FR" w:bidi="fr-FR"/>
        </w:rPr>
        <w:lastRenderedPageBreak/>
        <w:t>éphém</w:t>
      </w:r>
      <w:r w:rsidRPr="00246AE4">
        <w:rPr>
          <w:color w:val="000000"/>
          <w:lang w:eastAsia="fr-FR" w:bidi="fr-FR"/>
        </w:rPr>
        <w:t>è</w:t>
      </w:r>
      <w:r w:rsidRPr="00246AE4">
        <w:rPr>
          <w:color w:val="000000"/>
          <w:lang w:eastAsia="fr-FR" w:bidi="fr-FR"/>
        </w:rPr>
        <w:t>res</w:t>
      </w:r>
      <w:r>
        <w:rPr>
          <w:color w:val="000000"/>
          <w:lang w:eastAsia="fr-FR" w:bidi="fr-FR"/>
        </w:rPr>
        <w:t> </w:t>
      </w:r>
      <w:r>
        <w:rPr>
          <w:rStyle w:val="Appelnotedebasdep"/>
        </w:rPr>
        <w:footnoteReference w:id="546"/>
      </w:r>
      <w:r>
        <w:rPr>
          <w:color w:val="000000"/>
          <w:lang w:eastAsia="fr-FR" w:bidi="fr-FR"/>
        </w:rPr>
        <w:t>. Dans l’Î</w:t>
      </w:r>
      <w:r w:rsidRPr="00246AE4">
        <w:rPr>
          <w:color w:val="000000"/>
          <w:lang w:eastAsia="fr-FR" w:bidi="fr-FR"/>
        </w:rPr>
        <w:t>le-de-France, les diocèses de Paris, de Chartres, d’Orléans, de Sens, de Meaux et le vaste diocèse de Rouen qui atte</w:t>
      </w:r>
      <w:r w:rsidRPr="00246AE4">
        <w:rPr>
          <w:color w:val="000000"/>
          <w:lang w:eastAsia="fr-FR" w:bidi="fr-FR"/>
        </w:rPr>
        <w:t>i</w:t>
      </w:r>
      <w:r w:rsidRPr="00246AE4">
        <w:rPr>
          <w:color w:val="000000"/>
          <w:lang w:eastAsia="fr-FR" w:bidi="fr-FR"/>
        </w:rPr>
        <w:t xml:space="preserve">gnait l’Oise ont rappelé jusqu’à la Révolution le souvenir des cités des Parises, des Carnutes, des </w:t>
      </w:r>
      <w:r w:rsidRPr="006F014A">
        <w:rPr>
          <w:i/>
        </w:rPr>
        <w:t>Aureliani</w:t>
      </w:r>
      <w:r w:rsidRPr="00246AE4">
        <w:t>,</w:t>
      </w:r>
      <w:r w:rsidRPr="00246AE4">
        <w:rPr>
          <w:color w:val="000000"/>
          <w:lang w:eastAsia="fr-FR" w:bidi="fr-FR"/>
        </w:rPr>
        <w:t xml:space="preserve"> des Sénons, des Meldes et de la vaste cité née de la fusion du peuple des Véliocasses avec celui des Calètes. Comme Sens était, aux derniers temps de l’Empire, la métr</w:t>
      </w:r>
      <w:r w:rsidRPr="00246AE4">
        <w:rPr>
          <w:color w:val="000000"/>
          <w:lang w:eastAsia="fr-FR" w:bidi="fr-FR"/>
        </w:rPr>
        <w:t>o</w:t>
      </w:r>
      <w:r w:rsidRPr="00246AE4">
        <w:rPr>
          <w:color w:val="000000"/>
          <w:lang w:eastAsia="fr-FR" w:bidi="fr-FR"/>
        </w:rPr>
        <w:t>pole d’une province, la Lyonnaise quatrième, et Rouen celle de la Lyonnaise seconde, Sens et Rouen eurent leurs archevêques. L’évêché de Paris ne fut érigé en archevêché qu’en l’année 1622 ; Chartres, O</w:t>
      </w:r>
      <w:r w:rsidRPr="00246AE4">
        <w:rPr>
          <w:color w:val="000000"/>
          <w:lang w:eastAsia="fr-FR" w:bidi="fr-FR"/>
        </w:rPr>
        <w:t>r</w:t>
      </w:r>
      <w:r w:rsidRPr="00246AE4">
        <w:rPr>
          <w:color w:val="000000"/>
          <w:lang w:eastAsia="fr-FR" w:bidi="fr-FR"/>
        </w:rPr>
        <w:t>léans et Meaux, qui jusque-là, avec Paris, avaient été les suf</w:t>
      </w:r>
      <w:r>
        <w:rPr>
          <w:color w:val="000000"/>
          <w:lang w:eastAsia="fr-FR" w:bidi="fr-FR"/>
        </w:rPr>
        <w:t>f</w:t>
      </w:r>
      <w:r w:rsidRPr="00246AE4">
        <w:rPr>
          <w:color w:val="000000"/>
          <w:lang w:eastAsia="fr-FR" w:bidi="fr-FR"/>
        </w:rPr>
        <w:t>ragants de Sens, composèrent alors la nouvelle province ecclésiastique.</w:t>
      </w:r>
    </w:p>
    <w:p w14:paraId="19919761" w14:textId="77777777" w:rsidR="00B9662D" w:rsidRPr="00246AE4" w:rsidRDefault="00B9662D" w:rsidP="00B9662D">
      <w:pPr>
        <w:spacing w:before="120" w:after="120"/>
        <w:jc w:val="both"/>
      </w:pPr>
      <w:r w:rsidRPr="00246AE4">
        <w:rPr>
          <w:color w:val="000000"/>
          <w:lang w:eastAsia="fr-FR" w:bidi="fr-FR"/>
        </w:rPr>
        <w:t>Il est vraisemblable qu’au début de l’époque mérovingienne, ch</w:t>
      </w:r>
      <w:r w:rsidRPr="00246AE4">
        <w:rPr>
          <w:color w:val="000000"/>
          <w:lang w:eastAsia="fr-FR" w:bidi="fr-FR"/>
        </w:rPr>
        <w:t>a</w:t>
      </w:r>
      <w:r w:rsidRPr="00246AE4">
        <w:rPr>
          <w:color w:val="000000"/>
          <w:lang w:eastAsia="fr-FR" w:bidi="fr-FR"/>
        </w:rPr>
        <w:t>que cité eut son comte, comme elle avait son évêque. Mais ces pr</w:t>
      </w:r>
      <w:r w:rsidRPr="00246AE4">
        <w:rPr>
          <w:color w:val="000000"/>
          <w:lang w:eastAsia="fr-FR" w:bidi="fr-FR"/>
        </w:rPr>
        <w:t>e</w:t>
      </w:r>
      <w:r w:rsidRPr="00246AE4">
        <w:rPr>
          <w:color w:val="000000"/>
          <w:lang w:eastAsia="fr-FR" w:bidi="fr-FR"/>
        </w:rPr>
        <w:t>miers comtés bientôt se fractionnèrent, les uns démembrés par les pa</w:t>
      </w:r>
      <w:r w:rsidRPr="00246AE4">
        <w:rPr>
          <w:color w:val="000000"/>
          <w:lang w:eastAsia="fr-FR" w:bidi="fr-FR"/>
        </w:rPr>
        <w:t>r</w:t>
      </w:r>
      <w:r w:rsidRPr="00246AE4">
        <w:rPr>
          <w:color w:val="000000"/>
          <w:lang w:eastAsia="fr-FR" w:bidi="fr-FR"/>
        </w:rPr>
        <w:t>tages qui sans cesse rompaient l’unité du royaume des Francs, les a</w:t>
      </w:r>
      <w:r w:rsidRPr="00246AE4">
        <w:rPr>
          <w:color w:val="000000"/>
          <w:lang w:eastAsia="fr-FR" w:bidi="fr-FR"/>
        </w:rPr>
        <w:t>u</w:t>
      </w:r>
      <w:r w:rsidRPr="00246AE4">
        <w:rPr>
          <w:color w:val="000000"/>
          <w:lang w:eastAsia="fr-FR" w:bidi="fr-FR"/>
        </w:rPr>
        <w:t xml:space="preserve">tres, que ces partages ne touchèrent point, sans doute jugés trop vastes pour qu’en ces temps troublés l’autorité d’un seul homme pût s’y faire efficacement sentir. Le comté ou </w:t>
      </w:r>
      <w:r w:rsidRPr="00246AE4">
        <w:t>pagus</w:t>
      </w:r>
      <w:r w:rsidRPr="00246AE4">
        <w:rPr>
          <w:color w:val="000000"/>
          <w:lang w:eastAsia="fr-FR" w:bidi="fr-FR"/>
        </w:rPr>
        <w:t>, tel qu’il se constitua sous les descendants de Clovis, était comme le diocèse, l’héritier de la cité, mais, le plus souvent, un héritier appauvri, qui n’avait reçu qu’un morceau du patrimoine. Certains comprenaient des territoires empru</w:t>
      </w:r>
      <w:r w:rsidRPr="00246AE4">
        <w:rPr>
          <w:color w:val="000000"/>
          <w:lang w:eastAsia="fr-FR" w:bidi="fr-FR"/>
        </w:rPr>
        <w:t>n</w:t>
      </w:r>
      <w:r w:rsidRPr="00246AE4">
        <w:rPr>
          <w:color w:val="000000"/>
          <w:lang w:eastAsia="fr-FR" w:bidi="fr-FR"/>
        </w:rPr>
        <w:t xml:space="preserve">tés à deux cités. La géographie des </w:t>
      </w:r>
      <w:r w:rsidRPr="00F22A2D">
        <w:rPr>
          <w:i/>
        </w:rPr>
        <w:t>pagi</w:t>
      </w:r>
      <w:r>
        <w:rPr>
          <w:color w:val="000000"/>
          <w:lang w:eastAsia="fr-FR" w:bidi="fr-FR"/>
        </w:rPr>
        <w:t xml:space="preserve"> de l’Î</w:t>
      </w:r>
      <w:r w:rsidRPr="00246AE4">
        <w:rPr>
          <w:color w:val="000000"/>
          <w:lang w:eastAsia="fr-FR" w:bidi="fr-FR"/>
        </w:rPr>
        <w:t>le-de-France, compl</w:t>
      </w:r>
      <w:r w:rsidRPr="00246AE4">
        <w:rPr>
          <w:color w:val="000000"/>
          <w:lang w:eastAsia="fr-FR" w:bidi="fr-FR"/>
        </w:rPr>
        <w:t>i</w:t>
      </w:r>
      <w:r w:rsidRPr="00246AE4">
        <w:rPr>
          <w:color w:val="000000"/>
          <w:lang w:eastAsia="fr-FR" w:bidi="fr-FR"/>
        </w:rPr>
        <w:t>quée et obscure, n’est encore qu’imparfaitement débrouillée. Voici, semble-t-il, quels ils étaient, aux temps carolingiens</w:t>
      </w:r>
      <w:r>
        <w:rPr>
          <w:color w:val="000000"/>
          <w:lang w:eastAsia="fr-FR" w:bidi="fr-FR"/>
        </w:rPr>
        <w:t> </w:t>
      </w:r>
      <w:r>
        <w:rPr>
          <w:rStyle w:val="Appelnotedebasdep"/>
        </w:rPr>
        <w:footnoteReference w:id="547"/>
      </w:r>
      <w:r w:rsidRPr="00246AE4">
        <w:rPr>
          <w:color w:val="000000"/>
          <w:lang w:eastAsia="fr-FR" w:bidi="fr-FR"/>
        </w:rPr>
        <w:t>. Deux d’entre eux, le comté de Meaux et le comté d’Orléans</w:t>
      </w:r>
      <w:r>
        <w:rPr>
          <w:color w:val="000000"/>
          <w:lang w:eastAsia="fr-FR" w:bidi="fr-FR"/>
        </w:rPr>
        <w:t> </w:t>
      </w:r>
      <w:r>
        <w:rPr>
          <w:rStyle w:val="Appelnotedebasdep"/>
        </w:rPr>
        <w:footnoteReference w:id="548"/>
      </w:r>
      <w:r w:rsidRPr="00246AE4">
        <w:rPr>
          <w:color w:val="000000"/>
          <w:lang w:eastAsia="fr-FR" w:bidi="fr-FR"/>
        </w:rPr>
        <w:t>, avaient conservé i</w:t>
      </w:r>
      <w:r w:rsidRPr="00246AE4">
        <w:rPr>
          <w:color w:val="000000"/>
          <w:lang w:eastAsia="fr-FR" w:bidi="fr-FR"/>
        </w:rPr>
        <w:t>n</w:t>
      </w:r>
      <w:r w:rsidRPr="00246AE4">
        <w:rPr>
          <w:color w:val="000000"/>
          <w:lang w:eastAsia="fr-FR" w:bidi="fr-FR"/>
        </w:rPr>
        <w:t xml:space="preserve">tacts les territoires des cités dont ils étaient issus. En revanche, de la </w:t>
      </w:r>
      <w:r w:rsidRPr="00246AE4">
        <w:rPr>
          <w:color w:val="000000"/>
          <w:lang w:eastAsia="fr-FR" w:bidi="fr-FR"/>
        </w:rPr>
        <w:lastRenderedPageBreak/>
        <w:t>cité carnute, sept comtés tiraient leur origine : c’était, d’une part Dreux, Vendôme et Blois, qui ne nous intéressent pas ici,</w:t>
      </w:r>
      <w:r>
        <w:rPr>
          <w:color w:val="000000"/>
          <w:lang w:eastAsia="fr-FR" w:bidi="fr-FR"/>
        </w:rPr>
        <w:t> — </w:t>
      </w:r>
      <w:r w:rsidRPr="00246AE4">
        <w:rPr>
          <w:color w:val="000000"/>
          <w:lang w:eastAsia="fr-FR" w:bidi="fr-FR"/>
        </w:rPr>
        <w:t>dans l</w:t>
      </w:r>
      <w:r>
        <w:rPr>
          <w:color w:val="000000"/>
          <w:lang w:eastAsia="fr-FR" w:bidi="fr-FR"/>
        </w:rPr>
        <w:t>’Île-</w:t>
      </w:r>
      <w:r w:rsidRPr="00246AE4">
        <w:rPr>
          <w:color w:val="000000"/>
          <w:lang w:eastAsia="fr-FR" w:bidi="fr-FR"/>
        </w:rPr>
        <w:t>de-France d’autre part, le Dunois, le comté de Chartres, le Pins</w:t>
      </w:r>
      <w:r w:rsidRPr="00246AE4">
        <w:rPr>
          <w:color w:val="000000"/>
          <w:lang w:eastAsia="fr-FR" w:bidi="fr-FR"/>
        </w:rPr>
        <w:t>e</w:t>
      </w:r>
      <w:r w:rsidRPr="00246AE4">
        <w:rPr>
          <w:color w:val="000000"/>
          <w:lang w:eastAsia="fr-FR" w:bidi="fr-FR"/>
        </w:rPr>
        <w:t xml:space="preserve">rais, où vraisemblablement se trouvaient englobés quelques villages de la cité des Parises, et cet énigmatique </w:t>
      </w:r>
      <w:r w:rsidRPr="00F22A2D">
        <w:rPr>
          <w:i/>
        </w:rPr>
        <w:t>pagus Madriacensis</w:t>
      </w:r>
      <w:r w:rsidRPr="00246AE4">
        <w:rPr>
          <w:color w:val="000000"/>
          <w:lang w:eastAsia="fr-FR" w:bidi="fr-FR"/>
        </w:rPr>
        <w:t xml:space="preserve"> qui, peut-être formé aux dépens à la fois des Carnutes et des Éburovices, dut peut-être son nom au village de Mérey, sur la rive gauche de l’Eure</w:t>
      </w:r>
      <w:r>
        <w:rPr>
          <w:color w:val="000000"/>
          <w:lang w:eastAsia="fr-FR" w:bidi="fr-FR"/>
        </w:rPr>
        <w:t> </w:t>
      </w:r>
      <w:r>
        <w:rPr>
          <w:rStyle w:val="Appelnotedebasdep"/>
        </w:rPr>
        <w:footnoteReference w:id="549"/>
      </w:r>
      <w:r w:rsidRPr="00246AE4">
        <w:rPr>
          <w:color w:val="000000"/>
          <w:lang w:eastAsia="fr-FR" w:bidi="fr-FR"/>
        </w:rPr>
        <w:t>, à moins que ce ne fût au village de Méré, sur la rive droite</w:t>
      </w:r>
      <w:r>
        <w:rPr>
          <w:color w:val="000000"/>
          <w:lang w:eastAsia="fr-FR" w:bidi="fr-FR"/>
        </w:rPr>
        <w:t> </w:t>
      </w:r>
      <w:r>
        <w:rPr>
          <w:rStyle w:val="Appelnotedebasdep"/>
        </w:rPr>
        <w:footnoteReference w:id="550"/>
      </w:r>
      <w:r w:rsidRPr="00246AE4">
        <w:rPr>
          <w:color w:val="000000"/>
          <w:lang w:eastAsia="fr-FR" w:bidi="fr-FR"/>
        </w:rPr>
        <w:t>. Au Nord de la Seine, le Vexin s’étendait</w:t>
      </w:r>
      <w:r>
        <w:rPr>
          <w:color w:val="000000"/>
          <w:lang w:eastAsia="fr-FR" w:bidi="fr-FR"/>
        </w:rPr>
        <w:t xml:space="preserve"> [752] </w:t>
      </w:r>
      <w:r w:rsidRPr="00246AE4">
        <w:rPr>
          <w:color w:val="000000"/>
          <w:lang w:eastAsia="fr-FR" w:bidi="fr-FR"/>
        </w:rPr>
        <w:t>de l’Oise à l’Andelle ; en ce fragment détaché de la cité de Rouen revivait le nom gaulois des Véliocasses. La cité des Parises avait do</w:t>
      </w:r>
      <w:r w:rsidRPr="00246AE4">
        <w:rPr>
          <w:color w:val="000000"/>
          <w:lang w:eastAsia="fr-FR" w:bidi="fr-FR"/>
        </w:rPr>
        <w:t>n</w:t>
      </w:r>
      <w:r w:rsidRPr="00246AE4">
        <w:rPr>
          <w:color w:val="000000"/>
          <w:lang w:eastAsia="fr-FR" w:bidi="fr-FR"/>
        </w:rPr>
        <w:t xml:space="preserve">né naissance à deux </w:t>
      </w:r>
      <w:r w:rsidRPr="00246AE4">
        <w:t>pagi</w:t>
      </w:r>
      <w:r w:rsidRPr="00246AE4">
        <w:rPr>
          <w:color w:val="000000"/>
          <w:lang w:eastAsia="fr-FR" w:bidi="fr-FR"/>
        </w:rPr>
        <w:t xml:space="preserve"> au Nord le Parisis, au Sud le </w:t>
      </w:r>
      <w:r w:rsidRPr="008E2B4A">
        <w:rPr>
          <w:i/>
        </w:rPr>
        <w:t>pagus Castre</w:t>
      </w:r>
      <w:r w:rsidRPr="008E2B4A">
        <w:rPr>
          <w:i/>
        </w:rPr>
        <w:t>n</w:t>
      </w:r>
      <w:r w:rsidRPr="008E2B4A">
        <w:rPr>
          <w:i/>
        </w:rPr>
        <w:t>sis</w:t>
      </w:r>
      <w:r w:rsidRPr="00246AE4">
        <w:rPr>
          <w:color w:val="000000"/>
          <w:lang w:eastAsia="fr-FR" w:bidi="fr-FR"/>
        </w:rPr>
        <w:t xml:space="preserve">, dont la capitale était le bourg de Châtres, aujourd’hui Arpajon. Enfin vers le Sud-Ouest trois comtés, Gâtinais, Étampois, Melunois, débris de la cité des Sénons, bordaient la région que nous appelons </w:t>
      </w:r>
      <w:r>
        <w:rPr>
          <w:color w:val="000000"/>
          <w:lang w:eastAsia="fr-FR" w:bidi="fr-FR"/>
        </w:rPr>
        <w:t>Île-de-France</w:t>
      </w:r>
      <w:r w:rsidRPr="00246AE4">
        <w:rPr>
          <w:color w:val="000000"/>
          <w:lang w:eastAsia="fr-FR" w:bidi="fr-FR"/>
        </w:rPr>
        <w:t>.</w:t>
      </w:r>
    </w:p>
    <w:p w14:paraId="016922BC" w14:textId="77777777" w:rsidR="00B9662D" w:rsidRPr="00246AE4" w:rsidRDefault="00B9662D" w:rsidP="00B9662D">
      <w:pPr>
        <w:spacing w:before="120" w:after="120"/>
        <w:jc w:val="both"/>
      </w:pPr>
      <w:r w:rsidRPr="00246AE4">
        <w:rPr>
          <w:color w:val="000000"/>
          <w:lang w:eastAsia="fr-FR" w:bidi="fr-FR"/>
        </w:rPr>
        <w:t xml:space="preserve">Lorsque les Normands se furent établis sur la </w:t>
      </w:r>
      <w:r>
        <w:rPr>
          <w:color w:val="000000"/>
          <w:lang w:eastAsia="fr-FR" w:bidi="fr-FR"/>
        </w:rPr>
        <w:t>rive occidentale de l’Epte, le V</w:t>
      </w:r>
      <w:r w:rsidRPr="00246AE4">
        <w:rPr>
          <w:color w:val="000000"/>
          <w:lang w:eastAsia="fr-FR" w:bidi="fr-FR"/>
        </w:rPr>
        <w:t>exin se trouva coupé en deux : Vexin normand sur la rive droite, Vexin français sur la rive gauche. Le Vexin français, dès le r</w:t>
      </w:r>
      <w:r w:rsidRPr="00246AE4">
        <w:rPr>
          <w:color w:val="000000"/>
          <w:lang w:eastAsia="fr-FR" w:bidi="fr-FR"/>
        </w:rPr>
        <w:t>è</w:t>
      </w:r>
      <w:r w:rsidRPr="00246AE4">
        <w:rPr>
          <w:color w:val="000000"/>
          <w:lang w:eastAsia="fr-FR" w:bidi="fr-FR"/>
        </w:rPr>
        <w:t>gne de Philippe I</w:t>
      </w:r>
      <w:r w:rsidRPr="00246AE4">
        <w:rPr>
          <w:color w:val="000000"/>
          <w:vertAlign w:val="superscript"/>
          <w:lang w:eastAsia="fr-FR" w:bidi="fr-FR"/>
        </w:rPr>
        <w:t>er</w:t>
      </w:r>
      <w:r w:rsidRPr="00246AE4">
        <w:rPr>
          <w:color w:val="000000"/>
          <w:lang w:eastAsia="fr-FR" w:bidi="fr-FR"/>
        </w:rPr>
        <w:t xml:space="preserve">, alla se perdre dans le domaine royal. Après 916, on perd la trace du </w:t>
      </w:r>
      <w:r w:rsidRPr="008E2B4A">
        <w:rPr>
          <w:i/>
        </w:rPr>
        <w:t>pagus Madriacensis</w:t>
      </w:r>
      <w:r w:rsidRPr="00246AE4">
        <w:rPr>
          <w:color w:val="000000"/>
          <w:lang w:eastAsia="fr-FR" w:bidi="fr-FR"/>
        </w:rPr>
        <w:t>, peut-être fut-il en partie a</w:t>
      </w:r>
      <w:r w:rsidRPr="00246AE4">
        <w:rPr>
          <w:color w:val="000000"/>
          <w:lang w:eastAsia="fr-FR" w:bidi="fr-FR"/>
        </w:rPr>
        <w:t>b</w:t>
      </w:r>
      <w:r w:rsidRPr="00246AE4">
        <w:rPr>
          <w:color w:val="000000"/>
          <w:lang w:eastAsia="fr-FR" w:bidi="fr-FR"/>
        </w:rPr>
        <w:t xml:space="preserve">sorbé dans l’État normand. Le </w:t>
      </w:r>
      <w:r w:rsidRPr="008E2B4A">
        <w:rPr>
          <w:i/>
        </w:rPr>
        <w:t>pagus Castrensis</w:t>
      </w:r>
      <w:r w:rsidRPr="00246AE4">
        <w:rPr>
          <w:color w:val="000000"/>
          <w:lang w:eastAsia="fr-FR" w:bidi="fr-FR"/>
        </w:rPr>
        <w:t xml:space="preserve"> disparaît lui aussi vers la fin de l’époque carolingienne ; aucun érudit n’a pris la peine de rechercher quand ni pourquoi. Vers le milieu du </w:t>
      </w:r>
      <w:r>
        <w:rPr>
          <w:color w:val="000000"/>
          <w:lang w:eastAsia="fr-FR" w:bidi="fr-FR"/>
        </w:rPr>
        <w:t>X</w:t>
      </w:r>
      <w:r w:rsidRPr="00246AE4">
        <w:rPr>
          <w:color w:val="000000"/>
          <w:vertAlign w:val="superscript"/>
          <w:lang w:eastAsia="fr-FR" w:bidi="fr-FR"/>
        </w:rPr>
        <w:t>e</w:t>
      </w:r>
      <w:r w:rsidRPr="00246AE4">
        <w:rPr>
          <w:color w:val="000000"/>
          <w:lang w:eastAsia="fr-FR" w:bidi="fr-FR"/>
        </w:rPr>
        <w:t xml:space="preserve"> siècle, un nouveau comté se forma, en amont de Paris, autour de Corbeil reconstruite. Le comté de Paris, tombé depuis le roi Eudes sous la domination de la famille robertienne, l’Étampois et le Pinserais, acquis peut-être en même temps que le Parisis, formèrent, avec l’Orléanais que possédait déjà Robert le Fort, le noyau même du domaine des rois de la troisi</w:t>
      </w:r>
      <w:r w:rsidRPr="00246AE4">
        <w:rPr>
          <w:color w:val="000000"/>
          <w:lang w:eastAsia="fr-FR" w:bidi="fr-FR"/>
        </w:rPr>
        <w:t>è</w:t>
      </w:r>
      <w:r w:rsidRPr="00246AE4">
        <w:rPr>
          <w:color w:val="000000"/>
          <w:lang w:eastAsia="fr-FR" w:bidi="fr-FR"/>
        </w:rPr>
        <w:t xml:space="preserve">me race. Hugues Capet, pourtant, dut inféoder le comté de Paris à </w:t>
      </w:r>
      <w:r w:rsidRPr="00246AE4">
        <w:rPr>
          <w:color w:val="000000"/>
          <w:lang w:eastAsia="fr-FR" w:bidi="fr-FR"/>
        </w:rPr>
        <w:lastRenderedPageBreak/>
        <w:t>l’un de ses meilleurs serviteurs, Bouchard le Vénérable, qui, dans l’</w:t>
      </w:r>
      <w:r>
        <w:rPr>
          <w:color w:val="000000"/>
          <w:lang w:eastAsia="fr-FR" w:bidi="fr-FR"/>
        </w:rPr>
        <w:t>Île-de-France</w:t>
      </w:r>
      <w:r w:rsidRPr="00246AE4">
        <w:rPr>
          <w:color w:val="000000"/>
          <w:lang w:eastAsia="fr-FR" w:bidi="fr-FR"/>
        </w:rPr>
        <w:t>, tenait déjà Melun et Corbeil</w:t>
      </w:r>
      <w:r>
        <w:rPr>
          <w:color w:val="000000"/>
          <w:lang w:eastAsia="fr-FR" w:bidi="fr-FR"/>
        </w:rPr>
        <w:t> </w:t>
      </w:r>
      <w:r>
        <w:rPr>
          <w:rStyle w:val="Appelnotedebasdep"/>
        </w:rPr>
        <w:footnoteReference w:id="551"/>
      </w:r>
      <w:r w:rsidRPr="00246AE4">
        <w:rPr>
          <w:color w:val="000000"/>
          <w:lang w:eastAsia="fr-FR" w:bidi="fr-FR"/>
        </w:rPr>
        <w:t> ; mais après la mort de Bo</w:t>
      </w:r>
      <w:r w:rsidRPr="00246AE4">
        <w:rPr>
          <w:color w:val="000000"/>
          <w:lang w:eastAsia="fr-FR" w:bidi="fr-FR"/>
        </w:rPr>
        <w:t>u</w:t>
      </w:r>
      <w:r w:rsidRPr="00246AE4">
        <w:rPr>
          <w:color w:val="000000"/>
          <w:lang w:eastAsia="fr-FR" w:bidi="fr-FR"/>
        </w:rPr>
        <w:t>chard, survenue vers 1007, le Parisis fit retour aux rois ; il ne devait plus sortir de leurs mains. Le Gâtinais fut réuni au domaine par Ph</w:t>
      </w:r>
      <w:r w:rsidRPr="00246AE4">
        <w:rPr>
          <w:color w:val="000000"/>
          <w:lang w:eastAsia="fr-FR" w:bidi="fr-FR"/>
        </w:rPr>
        <w:t>i</w:t>
      </w:r>
      <w:r w:rsidRPr="00246AE4">
        <w:rPr>
          <w:color w:val="000000"/>
          <w:lang w:eastAsia="fr-FR" w:bidi="fr-FR"/>
        </w:rPr>
        <w:t>lippe I</w:t>
      </w:r>
      <w:r w:rsidRPr="00246AE4">
        <w:rPr>
          <w:color w:val="000000"/>
          <w:vertAlign w:val="superscript"/>
          <w:lang w:eastAsia="fr-FR" w:bidi="fr-FR"/>
        </w:rPr>
        <w:t>er</w:t>
      </w:r>
      <w:r w:rsidRPr="00246AE4">
        <w:rPr>
          <w:color w:val="000000"/>
          <w:lang w:eastAsia="fr-FR" w:bidi="fr-FR"/>
        </w:rPr>
        <w:t>. Louis VI se rendit maître de Corbeil. Le comté de Meaux, avec le reste de l’État champenois, dont Meaux depuis longtemps ne faisait qu’une partie, fut apporté en dot par l’héritière de la maison de Blois à Philippe le Bel. Les autres comtés de l’</w:t>
      </w:r>
      <w:r>
        <w:rPr>
          <w:color w:val="000000"/>
          <w:lang w:eastAsia="fr-FR" w:bidi="fr-FR"/>
        </w:rPr>
        <w:t>Île-de-France</w:t>
      </w:r>
      <w:r w:rsidRPr="00246AE4">
        <w:rPr>
          <w:color w:val="000000"/>
          <w:lang w:eastAsia="fr-FR" w:bidi="fr-FR"/>
        </w:rPr>
        <w:t xml:space="preserve"> devaient survivre aux temps féodaux</w:t>
      </w:r>
      <w:r>
        <w:rPr>
          <w:color w:val="000000"/>
          <w:lang w:eastAsia="fr-FR" w:bidi="fr-FR"/>
        </w:rPr>
        <w:t> </w:t>
      </w:r>
      <w:r>
        <w:rPr>
          <w:rStyle w:val="Appelnotedebasdep"/>
        </w:rPr>
        <w:footnoteReference w:id="552"/>
      </w:r>
      <w:r w:rsidRPr="00246AE4">
        <w:rPr>
          <w:color w:val="000000"/>
          <w:lang w:eastAsia="fr-FR" w:bidi="fr-FR"/>
        </w:rPr>
        <w:t>.</w:t>
      </w:r>
    </w:p>
    <w:p w14:paraId="39662624" w14:textId="77777777" w:rsidR="00B9662D" w:rsidRPr="00246AE4" w:rsidRDefault="00B9662D" w:rsidP="00B9662D">
      <w:pPr>
        <w:spacing w:before="120" w:after="120"/>
        <w:jc w:val="both"/>
      </w:pPr>
      <w:r w:rsidRPr="00246AE4">
        <w:rPr>
          <w:color w:val="000000"/>
          <w:lang w:eastAsia="fr-FR" w:bidi="fr-FR"/>
        </w:rPr>
        <w:t>Reconstituer, avec d’inévitables lacunes, les séries des comtes qui gouvernèrent les différents comtés de l’</w:t>
      </w:r>
      <w:r>
        <w:rPr>
          <w:color w:val="000000"/>
          <w:lang w:eastAsia="fr-FR" w:bidi="fr-FR"/>
        </w:rPr>
        <w:t>Île-de-France</w:t>
      </w:r>
      <w:r w:rsidRPr="00246AE4">
        <w:rPr>
          <w:color w:val="000000"/>
          <w:lang w:eastAsia="fr-FR" w:bidi="fr-FR"/>
        </w:rPr>
        <w:t>, dévider l’écheveau embrouillé des dynasties comtales,</w:t>
      </w:r>
      <w:r>
        <w:rPr>
          <w:color w:val="000000"/>
          <w:lang w:eastAsia="fr-FR" w:bidi="fr-FR"/>
        </w:rPr>
        <w:t> — </w:t>
      </w:r>
      <w:r w:rsidRPr="00246AE4">
        <w:rPr>
          <w:color w:val="000000"/>
          <w:lang w:eastAsia="fr-FR" w:bidi="fr-FR"/>
        </w:rPr>
        <w:t>une pareille tâche, que la pauvreté des sources rend difficile, demande bien de la patie</w:t>
      </w:r>
      <w:r w:rsidRPr="00246AE4">
        <w:rPr>
          <w:color w:val="000000"/>
          <w:lang w:eastAsia="fr-FR" w:bidi="fr-FR"/>
        </w:rPr>
        <w:t>n</w:t>
      </w:r>
      <w:r w:rsidRPr="00246AE4">
        <w:rPr>
          <w:color w:val="000000"/>
          <w:lang w:eastAsia="fr-FR" w:bidi="fr-FR"/>
        </w:rPr>
        <w:t>ce, et une faculté de renoncement qui touche à l’ascétisme. Elle pou</w:t>
      </w:r>
      <w:r w:rsidRPr="00246AE4">
        <w:rPr>
          <w:color w:val="000000"/>
          <w:lang w:eastAsia="fr-FR" w:bidi="fr-FR"/>
        </w:rPr>
        <w:t>r</w:t>
      </w:r>
      <w:r w:rsidRPr="00246AE4">
        <w:rPr>
          <w:color w:val="000000"/>
          <w:lang w:eastAsia="fr-FR" w:bidi="fr-FR"/>
        </w:rPr>
        <w:t>rait être belle, pourtant, par ses résultats qui, sans doute, jetteraient une forte lumière sur le problème des origines féodales. Sur les co</w:t>
      </w:r>
      <w:r w:rsidRPr="00246AE4">
        <w:rPr>
          <w:color w:val="000000"/>
          <w:lang w:eastAsia="fr-FR" w:bidi="fr-FR"/>
        </w:rPr>
        <w:t>m</w:t>
      </w:r>
      <w:r w:rsidRPr="00246AE4">
        <w:rPr>
          <w:color w:val="000000"/>
          <w:lang w:eastAsia="fr-FR" w:bidi="fr-FR"/>
        </w:rPr>
        <w:t>tes de Paris, nous sommes relativement bien renseignés : non que le livre que M. Mourin leur a consacré</w:t>
      </w:r>
      <w:r>
        <w:rPr>
          <w:color w:val="000000"/>
          <w:lang w:eastAsia="fr-FR" w:bidi="fr-FR"/>
        </w:rPr>
        <w:t> </w:t>
      </w:r>
      <w:r>
        <w:rPr>
          <w:rStyle w:val="Appelnotedebasdep"/>
        </w:rPr>
        <w:footnoteReference w:id="553"/>
      </w:r>
      <w:r w:rsidRPr="00246AE4">
        <w:rPr>
          <w:color w:val="000000"/>
          <w:vertAlign w:val="superscript"/>
          <w:lang w:eastAsia="fr-FR" w:bidi="fr-FR"/>
        </w:rPr>
        <w:t xml:space="preserve"> </w:t>
      </w:r>
      <w:r w:rsidRPr="00246AE4">
        <w:rPr>
          <w:color w:val="000000"/>
          <w:lang w:eastAsia="fr-FR" w:bidi="fr-FR"/>
        </w:rPr>
        <w:t>ait d’autres titres à la mémoire des savants que d’avoir inspiré, aux temps</w:t>
      </w:r>
      <w:r>
        <w:t xml:space="preserve"> </w:t>
      </w:r>
      <w:r>
        <w:rPr>
          <w:color w:val="000000"/>
          <w:lang w:eastAsia="fr-FR" w:bidi="fr-FR"/>
        </w:rPr>
        <w:t xml:space="preserve">[753] </w:t>
      </w:r>
      <w:r w:rsidRPr="00246AE4">
        <w:rPr>
          <w:color w:val="000000"/>
          <w:lang w:eastAsia="fr-FR" w:bidi="fr-FR"/>
        </w:rPr>
        <w:t xml:space="preserve">héroïques de l’érudition française, un des plus célèbres comptes rendus de la </w:t>
      </w:r>
      <w:r w:rsidRPr="00246AE4">
        <w:t>Revue Critique</w:t>
      </w:r>
      <w:r>
        <w:t> </w:t>
      </w:r>
      <w:r>
        <w:rPr>
          <w:rStyle w:val="Appelnotedebasdep"/>
        </w:rPr>
        <w:footnoteReference w:id="554"/>
      </w:r>
      <w:r w:rsidRPr="00246AE4">
        <w:rPr>
          <w:color w:val="000000"/>
          <w:lang w:eastAsia="fr-FR" w:bidi="fr-FR"/>
        </w:rPr>
        <w:t> ; mais leur histoire touche de trop près à celle de la famille robertienne pour ne point avoir profité du labeur des érudits qui ont cherché à élucider les débuts et les glorieuses destinées de cette il</w:t>
      </w:r>
      <w:r w:rsidRPr="00246AE4">
        <w:rPr>
          <w:color w:val="000000"/>
          <w:lang w:eastAsia="fr-FR" w:bidi="fr-FR"/>
        </w:rPr>
        <w:lastRenderedPageBreak/>
        <w:t>lu</w:t>
      </w:r>
      <w:r w:rsidRPr="00246AE4">
        <w:rPr>
          <w:color w:val="000000"/>
          <w:lang w:eastAsia="fr-FR" w:bidi="fr-FR"/>
        </w:rPr>
        <w:t>s</w:t>
      </w:r>
      <w:r w:rsidRPr="00246AE4">
        <w:rPr>
          <w:color w:val="000000"/>
          <w:lang w:eastAsia="fr-FR" w:bidi="fr-FR"/>
        </w:rPr>
        <w:t>tre famille</w:t>
      </w:r>
      <w:r>
        <w:rPr>
          <w:color w:val="000000"/>
          <w:lang w:eastAsia="fr-FR" w:bidi="fr-FR"/>
        </w:rPr>
        <w:t> </w:t>
      </w:r>
      <w:r>
        <w:rPr>
          <w:rStyle w:val="Appelnotedebasdep"/>
        </w:rPr>
        <w:footnoteReference w:id="555"/>
      </w:r>
      <w:r w:rsidRPr="00246AE4">
        <w:rPr>
          <w:color w:val="000000"/>
          <w:lang w:eastAsia="fr-FR" w:bidi="fr-FR"/>
        </w:rPr>
        <w:t xml:space="preserve">. M. J. Depoin a fait paraître une étude sur les </w:t>
      </w:r>
      <w:r w:rsidRPr="00246AE4">
        <w:t>Comtes de Paris sous la dynastie carolingienne,</w:t>
      </w:r>
      <w:r w:rsidRPr="00246AE4">
        <w:rPr>
          <w:color w:val="000000"/>
          <w:lang w:eastAsia="fr-FR" w:bidi="fr-FR"/>
        </w:rPr>
        <w:t xml:space="preserve"> dont les résu</w:t>
      </w:r>
      <w:r w:rsidRPr="00246AE4">
        <w:rPr>
          <w:color w:val="000000"/>
          <w:lang w:eastAsia="fr-FR" w:bidi="fr-FR"/>
        </w:rPr>
        <w:t>l</w:t>
      </w:r>
      <w:r w:rsidRPr="00246AE4">
        <w:rPr>
          <w:color w:val="000000"/>
          <w:lang w:eastAsia="fr-FR" w:bidi="fr-FR"/>
        </w:rPr>
        <w:t>tats, qui sont fort intéressants, devront être examinés de près avant d’être définitivement acceptés</w:t>
      </w:r>
      <w:r>
        <w:rPr>
          <w:color w:val="000000"/>
          <w:lang w:eastAsia="fr-FR" w:bidi="fr-FR"/>
        </w:rPr>
        <w:t> </w:t>
      </w:r>
      <w:r>
        <w:rPr>
          <w:rStyle w:val="Appelnotedebasdep"/>
        </w:rPr>
        <w:footnoteReference w:id="556"/>
      </w:r>
      <w:r w:rsidRPr="00246AE4">
        <w:rPr>
          <w:color w:val="000000"/>
          <w:lang w:eastAsia="fr-FR" w:bidi="fr-FR"/>
        </w:rPr>
        <w:t>. Les comtes du Gâtinais ont été l’objet de recherches assez nombreuses, et bien dirigées</w:t>
      </w:r>
      <w:r>
        <w:rPr>
          <w:color w:val="000000"/>
          <w:lang w:eastAsia="fr-FR" w:bidi="fr-FR"/>
        </w:rPr>
        <w:t> </w:t>
      </w:r>
      <w:r>
        <w:rPr>
          <w:rStyle w:val="Appelnotedebasdep"/>
        </w:rPr>
        <w:footnoteReference w:id="557"/>
      </w:r>
      <w:r w:rsidRPr="00246AE4">
        <w:rPr>
          <w:color w:val="000000"/>
          <w:lang w:eastAsia="fr-FR" w:bidi="fr-FR"/>
        </w:rPr>
        <w:t>. Les comtes de Chartres</w:t>
      </w:r>
      <w:r>
        <w:rPr>
          <w:color w:val="000000"/>
          <w:lang w:eastAsia="fr-FR" w:bidi="fr-FR"/>
        </w:rPr>
        <w:t> </w:t>
      </w:r>
      <w:r>
        <w:rPr>
          <w:rStyle w:val="Appelnotedebasdep"/>
        </w:rPr>
        <w:footnoteReference w:id="558"/>
      </w:r>
      <w:r w:rsidRPr="00246AE4">
        <w:rPr>
          <w:color w:val="000000"/>
          <w:lang w:eastAsia="fr-FR" w:bidi="fr-FR"/>
        </w:rPr>
        <w:t>, de Corbeil</w:t>
      </w:r>
      <w:r>
        <w:rPr>
          <w:color w:val="000000"/>
          <w:lang w:eastAsia="fr-FR" w:bidi="fr-FR"/>
        </w:rPr>
        <w:t> </w:t>
      </w:r>
      <w:r>
        <w:rPr>
          <w:rStyle w:val="Appelnotedebasdep"/>
        </w:rPr>
        <w:footnoteReference w:id="559"/>
      </w:r>
      <w:r w:rsidRPr="00246AE4">
        <w:rPr>
          <w:color w:val="000000"/>
          <w:lang w:eastAsia="fr-FR" w:bidi="fr-FR"/>
        </w:rPr>
        <w:t>, du Vexin</w:t>
      </w:r>
      <w:r>
        <w:rPr>
          <w:color w:val="000000"/>
          <w:lang w:eastAsia="fr-FR" w:bidi="fr-FR"/>
        </w:rPr>
        <w:t> </w:t>
      </w:r>
      <w:r>
        <w:rPr>
          <w:rStyle w:val="Appelnotedebasdep"/>
        </w:rPr>
        <w:footnoteReference w:id="560"/>
      </w:r>
      <w:r w:rsidRPr="00246AE4">
        <w:rPr>
          <w:color w:val="000000"/>
          <w:vertAlign w:val="superscript"/>
          <w:lang w:eastAsia="fr-FR" w:bidi="fr-FR"/>
        </w:rPr>
        <w:t xml:space="preserve"> </w:t>
      </w:r>
      <w:r w:rsidRPr="00246AE4">
        <w:rPr>
          <w:color w:val="000000"/>
          <w:lang w:eastAsia="fr-FR" w:bidi="fr-FR"/>
        </w:rPr>
        <w:t>ont trouvé leurs historiens. Mais les renseignements que les érudits, même les plus diligents, pe</w:t>
      </w:r>
      <w:r w:rsidRPr="00246AE4">
        <w:rPr>
          <w:color w:val="000000"/>
          <w:lang w:eastAsia="fr-FR" w:bidi="fr-FR"/>
        </w:rPr>
        <w:t>u</w:t>
      </w:r>
      <w:r w:rsidRPr="00246AE4">
        <w:rPr>
          <w:color w:val="000000"/>
          <w:lang w:eastAsia="fr-FR" w:bidi="fr-FR"/>
        </w:rPr>
        <w:t>vent recueillir sur la succession des comtes, dans un comté donné, sont si rares, si incertains et si ob</w:t>
      </w:r>
      <w:r w:rsidRPr="00246AE4">
        <w:rPr>
          <w:color w:val="000000"/>
          <w:lang w:eastAsia="fr-FR" w:bidi="fr-FR"/>
        </w:rPr>
        <w:t>s</w:t>
      </w:r>
      <w:r w:rsidRPr="00246AE4">
        <w:rPr>
          <w:color w:val="000000"/>
          <w:lang w:eastAsia="fr-FR" w:bidi="fr-FR"/>
        </w:rPr>
        <w:t>curs qu’ils ne prendront leur signification véritable pour la connai</w:t>
      </w:r>
      <w:r w:rsidRPr="00246AE4">
        <w:rPr>
          <w:color w:val="000000"/>
          <w:lang w:eastAsia="fr-FR" w:bidi="fr-FR"/>
        </w:rPr>
        <w:t>s</w:t>
      </w:r>
      <w:r w:rsidRPr="00246AE4">
        <w:rPr>
          <w:color w:val="000000"/>
          <w:lang w:eastAsia="fr-FR" w:bidi="fr-FR"/>
        </w:rPr>
        <w:t xml:space="preserve">sance des institutions féodales que lorsqu’ils seront </w:t>
      </w:r>
      <w:r w:rsidRPr="00246AE4">
        <w:rPr>
          <w:color w:val="000000"/>
          <w:lang w:eastAsia="fr-FR" w:bidi="fr-FR"/>
        </w:rPr>
        <w:lastRenderedPageBreak/>
        <w:t>groupés, comparés entre eux, éclairés les uns par les autres dans un travail d’ensemble</w:t>
      </w:r>
      <w:r>
        <w:rPr>
          <w:color w:val="000000"/>
          <w:lang w:eastAsia="fr-FR" w:bidi="fr-FR"/>
        </w:rPr>
        <w:t> </w:t>
      </w:r>
      <w:r>
        <w:rPr>
          <w:rStyle w:val="Appelnotedebasdep"/>
        </w:rPr>
        <w:footnoteReference w:id="561"/>
      </w:r>
      <w:r w:rsidRPr="00246AE4">
        <w:rPr>
          <w:color w:val="000000"/>
          <w:lang w:eastAsia="fr-FR" w:bidi="fr-FR"/>
        </w:rPr>
        <w:t xml:space="preserve">. </w:t>
      </w:r>
      <w:r>
        <w:rPr>
          <w:color w:val="000000"/>
          <w:lang w:eastAsia="fr-FR" w:bidi="fr-FR"/>
        </w:rPr>
        <w:t>À</w:t>
      </w:r>
      <w:r w:rsidRPr="00246AE4">
        <w:rPr>
          <w:color w:val="000000"/>
          <w:lang w:eastAsia="fr-FR" w:bidi="fr-FR"/>
        </w:rPr>
        <w:t xml:space="preserve"> l’étude des comtes, il faudrait joindre celle des vicomtes, qui, co</w:t>
      </w:r>
      <w:r w:rsidRPr="00246AE4">
        <w:rPr>
          <w:color w:val="000000"/>
          <w:lang w:eastAsia="fr-FR" w:bidi="fr-FR"/>
        </w:rPr>
        <w:t>m</w:t>
      </w:r>
      <w:r w:rsidRPr="00246AE4">
        <w:rPr>
          <w:color w:val="000000"/>
          <w:lang w:eastAsia="fr-FR" w:bidi="fr-FR"/>
        </w:rPr>
        <w:t>me les comtes, furent d’abord des fonctionnaires, et devinrent des chefs héréditaires. On serait aidé dans cette entreprise par des travaux de détail, dont les vicomtes de Co</w:t>
      </w:r>
      <w:r w:rsidRPr="00246AE4">
        <w:rPr>
          <w:color w:val="000000"/>
          <w:lang w:eastAsia="fr-FR" w:bidi="fr-FR"/>
        </w:rPr>
        <w:t>r</w:t>
      </w:r>
      <w:r w:rsidRPr="00246AE4">
        <w:rPr>
          <w:color w:val="000000"/>
          <w:lang w:eastAsia="fr-FR" w:bidi="fr-FR"/>
        </w:rPr>
        <w:t>beil</w:t>
      </w:r>
      <w:r>
        <w:rPr>
          <w:color w:val="000000"/>
          <w:lang w:eastAsia="fr-FR" w:bidi="fr-FR"/>
        </w:rPr>
        <w:t> </w:t>
      </w:r>
      <w:r>
        <w:rPr>
          <w:rStyle w:val="Appelnotedebasdep"/>
        </w:rPr>
        <w:footnoteReference w:id="562"/>
      </w:r>
      <w:r w:rsidRPr="00246AE4">
        <w:rPr>
          <w:color w:val="000000"/>
          <w:vertAlign w:val="superscript"/>
          <w:lang w:eastAsia="fr-FR" w:bidi="fr-FR"/>
        </w:rPr>
        <w:t xml:space="preserve"> </w:t>
      </w:r>
      <w:r w:rsidRPr="00246AE4">
        <w:rPr>
          <w:color w:val="000000"/>
          <w:lang w:eastAsia="fr-FR" w:bidi="fr-FR"/>
        </w:rPr>
        <w:t>et d’Étampes</w:t>
      </w:r>
      <w:r>
        <w:rPr>
          <w:color w:val="000000"/>
          <w:lang w:eastAsia="fr-FR" w:bidi="fr-FR"/>
        </w:rPr>
        <w:t> </w:t>
      </w:r>
      <w:r>
        <w:rPr>
          <w:rStyle w:val="Appelnotedebasdep"/>
        </w:rPr>
        <w:footnoteReference w:id="563"/>
      </w:r>
      <w:r w:rsidRPr="00246AE4">
        <w:rPr>
          <w:color w:val="000000"/>
          <w:lang w:eastAsia="fr-FR" w:bidi="fr-FR"/>
        </w:rPr>
        <w:t>, les vicomtes du Gâtinais qui changèrent leur titre en celui de vicomte du Fessard</w:t>
      </w:r>
      <w:r>
        <w:rPr>
          <w:color w:val="000000"/>
          <w:lang w:eastAsia="fr-FR" w:bidi="fr-FR"/>
        </w:rPr>
        <w:t> </w:t>
      </w:r>
      <w:r>
        <w:rPr>
          <w:rStyle w:val="Appelnotedebasdep"/>
        </w:rPr>
        <w:footnoteReference w:id="564"/>
      </w:r>
      <w:r w:rsidRPr="00246AE4">
        <w:rPr>
          <w:color w:val="000000"/>
          <w:lang w:eastAsia="fr-FR" w:bidi="fr-FR"/>
        </w:rPr>
        <w:t>, du nom d’une de leurs terres, les v</w:t>
      </w:r>
      <w:r w:rsidRPr="00246AE4">
        <w:rPr>
          <w:color w:val="000000"/>
          <w:lang w:eastAsia="fr-FR" w:bidi="fr-FR"/>
        </w:rPr>
        <w:t>i</w:t>
      </w:r>
      <w:r w:rsidRPr="00246AE4">
        <w:rPr>
          <w:color w:val="000000"/>
          <w:lang w:eastAsia="fr-FR" w:bidi="fr-FR"/>
        </w:rPr>
        <w:t>comtes du</w:t>
      </w:r>
      <w:r>
        <w:t xml:space="preserve"> </w:t>
      </w:r>
      <w:r>
        <w:rPr>
          <w:color w:val="000000"/>
          <w:lang w:eastAsia="fr-FR" w:bidi="fr-FR"/>
        </w:rPr>
        <w:t xml:space="preserve">[754] </w:t>
      </w:r>
      <w:r w:rsidRPr="00246AE4">
        <w:rPr>
          <w:color w:val="000000"/>
          <w:lang w:eastAsia="fr-FR" w:bidi="fr-FR"/>
        </w:rPr>
        <w:t xml:space="preserve">Vexin, qui, au </w:t>
      </w:r>
      <w:r w:rsidRPr="005C1597">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 se firent comtes de Meulan</w:t>
      </w:r>
      <w:r>
        <w:rPr>
          <w:color w:val="000000"/>
          <w:lang w:eastAsia="fr-FR" w:bidi="fr-FR"/>
        </w:rPr>
        <w:t> </w:t>
      </w:r>
      <w:r>
        <w:rPr>
          <w:rStyle w:val="Appelnotedebasdep"/>
        </w:rPr>
        <w:footnoteReference w:id="565"/>
      </w:r>
      <w:r w:rsidRPr="00246AE4">
        <w:rPr>
          <w:color w:val="000000"/>
          <w:lang w:eastAsia="fr-FR" w:bidi="fr-FR"/>
        </w:rPr>
        <w:t>, ont fourni la matière. L’histoire des comtes et des vicomtes de l’</w:t>
      </w:r>
      <w:r>
        <w:rPr>
          <w:color w:val="000000"/>
          <w:lang w:eastAsia="fr-FR" w:bidi="fr-FR"/>
        </w:rPr>
        <w:t>Île-de-France</w:t>
      </w:r>
      <w:r w:rsidRPr="00246AE4">
        <w:rPr>
          <w:color w:val="000000"/>
          <w:lang w:eastAsia="fr-FR" w:bidi="fr-FR"/>
        </w:rPr>
        <w:t xml:space="preserve"> apporterait sans doute des renseignements nouveaux et précis sur cette transformation des fonctions publiques en seigneuries patrimoniales qui est un des traits les plus communément rappelés, et, dans le détail, les plus mal connus, de l’évolution du régime féodal. Et si, par hasard, elle ne nous les apportait point, du moins serions-nous fixés sur l’étendue nécessa</w:t>
      </w:r>
      <w:r w:rsidRPr="00246AE4">
        <w:rPr>
          <w:color w:val="000000"/>
          <w:lang w:eastAsia="fr-FR" w:bidi="fr-FR"/>
        </w:rPr>
        <w:t>i</w:t>
      </w:r>
      <w:r w:rsidRPr="00246AE4">
        <w:rPr>
          <w:color w:val="000000"/>
          <w:lang w:eastAsia="fr-FR" w:bidi="fr-FR"/>
        </w:rPr>
        <w:t>re de notre ignorance.</w:t>
      </w:r>
    </w:p>
    <w:p w14:paraId="1ED2147D" w14:textId="77777777" w:rsidR="00B9662D" w:rsidRPr="00246AE4" w:rsidRDefault="00B9662D" w:rsidP="00B9662D">
      <w:pPr>
        <w:spacing w:before="120" w:after="120"/>
        <w:jc w:val="both"/>
      </w:pPr>
      <w:r w:rsidRPr="00246AE4">
        <w:rPr>
          <w:color w:val="000000"/>
          <w:lang w:eastAsia="fr-FR" w:bidi="fr-FR"/>
        </w:rPr>
        <w:t>Mais peut-être cette étude ne doit-elle pas être séparée de celle des simples seigneuries ; j’entends par ce mot les seigneuries dont les po</w:t>
      </w:r>
      <w:r w:rsidRPr="00246AE4">
        <w:rPr>
          <w:color w:val="000000"/>
          <w:lang w:eastAsia="fr-FR" w:bidi="fr-FR"/>
        </w:rPr>
        <w:t>s</w:t>
      </w:r>
      <w:r w:rsidRPr="00246AE4">
        <w:rPr>
          <w:color w:val="000000"/>
          <w:lang w:eastAsia="fr-FR" w:bidi="fr-FR"/>
        </w:rPr>
        <w:t>sesseurs ne portèrent point des titres empruntés à la nomenclature des fonctions de l’époque carolingienne</w:t>
      </w:r>
      <w:r>
        <w:rPr>
          <w:color w:val="000000"/>
          <w:lang w:eastAsia="fr-FR" w:bidi="fr-FR"/>
        </w:rPr>
        <w:t> — </w:t>
      </w:r>
      <w:r w:rsidRPr="00246AE4">
        <w:rPr>
          <w:color w:val="000000"/>
          <w:lang w:eastAsia="fr-FR" w:bidi="fr-FR"/>
        </w:rPr>
        <w:t xml:space="preserve">ou, du moins, n’en portèrent que relativement tard et par une sorte d’usurpation. Quand ces mots de comtes et de vicomtes commencèrent-ils à désigner des seigneurs qui n’avaient point hérité des comtes et des vicomtes carolingiens ? </w:t>
      </w:r>
      <w:r w:rsidRPr="00246AE4">
        <w:rPr>
          <w:color w:val="000000"/>
          <w:lang w:eastAsia="fr-FR" w:bidi="fr-FR"/>
        </w:rPr>
        <w:lastRenderedPageBreak/>
        <w:t>Que</w:t>
      </w:r>
      <w:r w:rsidRPr="00246AE4">
        <w:rPr>
          <w:color w:val="000000"/>
          <w:lang w:eastAsia="fr-FR" w:bidi="fr-FR"/>
        </w:rPr>
        <w:t>l</w:t>
      </w:r>
      <w:r w:rsidRPr="00246AE4">
        <w:rPr>
          <w:color w:val="000000"/>
          <w:lang w:eastAsia="fr-FR" w:bidi="fr-FR"/>
        </w:rPr>
        <w:t>les familles, tour à tour, se prirent à se parer de ces titres ? Il ne serait point sans intérêt de le rechercher. Nous savons, par exemple, que le premier des seigneurs de Montfort qui s’intitula comte de Montfort dans des actes officiels fut Amauri</w:t>
      </w:r>
      <w:r>
        <w:rPr>
          <w:color w:val="000000"/>
          <w:lang w:eastAsia="fr-FR" w:bidi="fr-FR"/>
        </w:rPr>
        <w:t> </w:t>
      </w:r>
      <w:r w:rsidRPr="00246AE4">
        <w:rPr>
          <w:color w:val="000000"/>
          <w:lang w:eastAsia="fr-FR" w:bidi="fr-FR"/>
        </w:rPr>
        <w:t>V,</w:t>
      </w:r>
      <w:r>
        <w:rPr>
          <w:color w:val="000000"/>
          <w:lang w:eastAsia="fr-FR" w:bidi="fr-FR"/>
        </w:rPr>
        <w:t> — </w:t>
      </w:r>
      <w:r w:rsidRPr="00246AE4">
        <w:rPr>
          <w:color w:val="000000"/>
          <w:lang w:eastAsia="fr-FR" w:bidi="fr-FR"/>
        </w:rPr>
        <w:t>en 1226 ; mais son père déjà, l’illustre Simon</w:t>
      </w:r>
      <w:r>
        <w:rPr>
          <w:color w:val="000000"/>
          <w:lang w:eastAsia="fr-FR" w:bidi="fr-FR"/>
        </w:rPr>
        <w:t> </w:t>
      </w:r>
      <w:r w:rsidRPr="00246AE4">
        <w:rPr>
          <w:color w:val="000000"/>
          <w:lang w:eastAsia="fr-FR" w:bidi="fr-FR"/>
        </w:rPr>
        <w:t>IV, le vainqueur des Albigeois, était, dans l’usage courant, traité de comte de Montfort par ses contemporains</w:t>
      </w:r>
      <w:r>
        <w:rPr>
          <w:color w:val="000000"/>
          <w:lang w:eastAsia="fr-FR" w:bidi="fr-FR"/>
        </w:rPr>
        <w:t> </w:t>
      </w:r>
      <w:r>
        <w:rPr>
          <w:rStyle w:val="Appelnotedebasdep"/>
        </w:rPr>
        <w:footnoteReference w:id="566"/>
      </w:r>
      <w:r w:rsidRPr="00246AE4">
        <w:rPr>
          <w:color w:val="000000"/>
          <w:lang w:eastAsia="fr-FR" w:bidi="fr-FR"/>
        </w:rPr>
        <w:t> ; c’est sans doute qu’il possédait de vrais comtés, qu’on le savait comte, et qu’on se plaisait à le désigner à la fois par son titre le plus haut et par le nom de sa terre patrimoniale. Amauri, ayant renoncé à ses comtés, ne voulut point perdre le beau titre de comte. Là nous suivons assez bien l’histoire du titre et nous découvrons aisément les raisons de son emploi. Mais les autres cas sont-ils analogues à celui des Montfort ? ou différents ? L’histor</w:t>
      </w:r>
      <w:r>
        <w:rPr>
          <w:color w:val="000000"/>
          <w:lang w:eastAsia="fr-FR" w:bidi="fr-FR"/>
        </w:rPr>
        <w:t>ien de la féodalité dans l’Île-</w:t>
      </w:r>
      <w:r w:rsidRPr="00246AE4">
        <w:rPr>
          <w:color w:val="000000"/>
          <w:lang w:eastAsia="fr-FR" w:bidi="fr-FR"/>
        </w:rPr>
        <w:t>de-France devra nous répondre sur ce point.</w:t>
      </w:r>
    </w:p>
    <w:p w14:paraId="7C68C371" w14:textId="77777777" w:rsidR="00B9662D" w:rsidRPr="00246AE4" w:rsidRDefault="00B9662D" w:rsidP="00B9662D">
      <w:pPr>
        <w:spacing w:before="120" w:after="120"/>
        <w:jc w:val="both"/>
      </w:pPr>
      <w:r w:rsidRPr="00246AE4">
        <w:rPr>
          <w:color w:val="000000"/>
          <w:lang w:eastAsia="fr-FR" w:bidi="fr-FR"/>
        </w:rPr>
        <w:t xml:space="preserve">La principale difficulté qui s’opposera toujours à </w:t>
      </w:r>
      <w:r>
        <w:rPr>
          <w:color w:val="000000"/>
          <w:lang w:eastAsia="fr-FR" w:bidi="fr-FR"/>
        </w:rPr>
        <w:t>ce que l’histoire féodale de l’Î</w:t>
      </w:r>
      <w:r w:rsidRPr="00246AE4">
        <w:rPr>
          <w:color w:val="000000"/>
          <w:lang w:eastAsia="fr-FR" w:bidi="fr-FR"/>
        </w:rPr>
        <w:t>le-de-France nous soit parfaitement connue est la pénurie des documents. Nous n’avons de fonds d’archives laïques, que d’époques très récentes. Nous ne connaissons la vie des grandes se</w:t>
      </w:r>
      <w:r w:rsidRPr="00246AE4">
        <w:rPr>
          <w:color w:val="000000"/>
          <w:lang w:eastAsia="fr-FR" w:bidi="fr-FR"/>
        </w:rPr>
        <w:t>i</w:t>
      </w:r>
      <w:r w:rsidRPr="00246AE4">
        <w:rPr>
          <w:color w:val="000000"/>
          <w:lang w:eastAsia="fr-FR" w:bidi="fr-FR"/>
        </w:rPr>
        <w:t>gneuries laïques que par hasard, par des renseignements échappés çà et là aux chartes conservées dans les archives des chapitres ou des a</w:t>
      </w:r>
      <w:r w:rsidRPr="00246AE4">
        <w:rPr>
          <w:color w:val="000000"/>
          <w:lang w:eastAsia="fr-FR" w:bidi="fr-FR"/>
        </w:rPr>
        <w:t>b</w:t>
      </w:r>
      <w:r w:rsidRPr="00246AE4">
        <w:rPr>
          <w:color w:val="000000"/>
          <w:lang w:eastAsia="fr-FR" w:bidi="fr-FR"/>
        </w:rPr>
        <w:t xml:space="preserve">bayes, aux chroniques, à partir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aux archives royales, elles-mêmes si incomplètes. Aussi ce genre d’étude n’a guère tenté les érudits. Un livre, qu’il ne faut cons</w:t>
      </w:r>
      <w:r>
        <w:rPr>
          <w:color w:val="000000"/>
          <w:lang w:eastAsia="fr-FR" w:bidi="fr-FR"/>
        </w:rPr>
        <w:t>ulter qu’avec précaution, de M. </w:t>
      </w:r>
      <w:r w:rsidRPr="00246AE4">
        <w:rPr>
          <w:color w:val="000000"/>
          <w:lang w:eastAsia="fr-FR" w:bidi="fr-FR"/>
        </w:rPr>
        <w:t>André Rhein sur les seigneurs de Montfort</w:t>
      </w:r>
      <w:r>
        <w:rPr>
          <w:color w:val="000000"/>
          <w:lang w:eastAsia="fr-FR" w:bidi="fr-FR"/>
        </w:rPr>
        <w:t> </w:t>
      </w:r>
      <w:r>
        <w:rPr>
          <w:rStyle w:val="Appelnotedebasdep"/>
        </w:rPr>
        <w:footnoteReference w:id="567"/>
      </w:r>
      <w:r w:rsidRPr="00246AE4">
        <w:rPr>
          <w:color w:val="000000"/>
          <w:lang w:eastAsia="fr-FR" w:bidi="fr-FR"/>
        </w:rPr>
        <w:t>,</w:t>
      </w:r>
      <w:r>
        <w:rPr>
          <w:color w:val="000000"/>
          <w:lang w:eastAsia="fr-FR" w:bidi="fr-FR"/>
        </w:rPr>
        <w:t> — </w:t>
      </w:r>
      <w:r w:rsidRPr="00246AE4">
        <w:rPr>
          <w:color w:val="000000"/>
          <w:lang w:eastAsia="fr-FR" w:bidi="fr-FR"/>
        </w:rPr>
        <w:t>les ouvrages utiles de MM. Richemond</w:t>
      </w:r>
      <w:r>
        <w:rPr>
          <w:color w:val="000000"/>
          <w:lang w:eastAsia="fr-FR" w:bidi="fr-FR"/>
        </w:rPr>
        <w:t> </w:t>
      </w:r>
      <w:r>
        <w:rPr>
          <w:rStyle w:val="Appelnotedebasdep"/>
        </w:rPr>
        <w:footnoteReference w:id="568"/>
      </w:r>
      <w:r>
        <w:rPr>
          <w:color w:val="000000"/>
          <w:lang w:eastAsia="fr-FR" w:bidi="fr-FR"/>
        </w:rPr>
        <w:t xml:space="preserve"> [755] </w:t>
      </w:r>
      <w:r w:rsidRPr="00246AE4">
        <w:rPr>
          <w:color w:val="000000"/>
          <w:lang w:eastAsia="fr-FR" w:bidi="fr-FR"/>
        </w:rPr>
        <w:t>et Estournet</w:t>
      </w:r>
      <w:r>
        <w:rPr>
          <w:color w:val="000000"/>
          <w:lang w:eastAsia="fr-FR" w:bidi="fr-FR"/>
        </w:rPr>
        <w:t> </w:t>
      </w:r>
      <w:r>
        <w:rPr>
          <w:rStyle w:val="Appelnotedebasdep"/>
        </w:rPr>
        <w:footnoteReference w:id="569"/>
      </w:r>
      <w:r w:rsidRPr="00246AE4">
        <w:rPr>
          <w:color w:val="000000"/>
          <w:lang w:eastAsia="fr-FR" w:bidi="fr-FR"/>
        </w:rPr>
        <w:t xml:space="preserve"> sur les seigneurs </w:t>
      </w:r>
      <w:r w:rsidRPr="00246AE4">
        <w:rPr>
          <w:color w:val="000000"/>
          <w:lang w:eastAsia="fr-FR" w:bidi="fr-FR"/>
        </w:rPr>
        <w:lastRenderedPageBreak/>
        <w:t>de N</w:t>
      </w:r>
      <w:r w:rsidRPr="00246AE4">
        <w:rPr>
          <w:color w:val="000000"/>
          <w:lang w:eastAsia="fr-FR" w:bidi="fr-FR"/>
        </w:rPr>
        <w:t>e</w:t>
      </w:r>
      <w:r w:rsidRPr="00246AE4">
        <w:rPr>
          <w:color w:val="000000"/>
          <w:lang w:eastAsia="fr-FR" w:bidi="fr-FR"/>
        </w:rPr>
        <w:t>mours, de M. Devaux sur les seigneurs de Pithiviers</w:t>
      </w:r>
      <w:r>
        <w:rPr>
          <w:color w:val="000000"/>
          <w:lang w:eastAsia="fr-FR" w:bidi="fr-FR"/>
        </w:rPr>
        <w:t> </w:t>
      </w:r>
      <w:r>
        <w:rPr>
          <w:rStyle w:val="Appelnotedebasdep"/>
        </w:rPr>
        <w:footnoteReference w:id="570"/>
      </w:r>
      <w:r w:rsidRPr="00246AE4">
        <w:rPr>
          <w:color w:val="000000"/>
          <w:lang w:eastAsia="fr-FR" w:bidi="fr-FR"/>
        </w:rPr>
        <w:t>, de M. de Dion sur ceux du Puiset</w:t>
      </w:r>
      <w:r>
        <w:rPr>
          <w:color w:val="000000"/>
          <w:lang w:eastAsia="fr-FR" w:bidi="fr-FR"/>
        </w:rPr>
        <w:t> </w:t>
      </w:r>
      <w:r>
        <w:rPr>
          <w:rStyle w:val="Appelnotedebasdep"/>
        </w:rPr>
        <w:footnoteReference w:id="571"/>
      </w:r>
      <w:r w:rsidRPr="00246AE4">
        <w:rPr>
          <w:color w:val="000000"/>
          <w:lang w:eastAsia="fr-FR" w:bidi="fr-FR"/>
        </w:rPr>
        <w:t>, de M. Moutié sur ceux de Chevreuse</w:t>
      </w:r>
      <w:r>
        <w:rPr>
          <w:color w:val="000000"/>
          <w:lang w:eastAsia="fr-FR" w:bidi="fr-FR"/>
        </w:rPr>
        <w:t> </w:t>
      </w:r>
      <w:r>
        <w:rPr>
          <w:rStyle w:val="Appelnotedebasdep"/>
        </w:rPr>
        <w:footnoteReference w:id="572"/>
      </w:r>
      <w:r w:rsidRPr="00246AE4">
        <w:rPr>
          <w:color w:val="000000"/>
          <w:lang w:eastAsia="fr-FR" w:bidi="fr-FR"/>
        </w:rPr>
        <w:t>, les tr</w:t>
      </w:r>
      <w:r w:rsidRPr="00246AE4">
        <w:rPr>
          <w:color w:val="000000"/>
          <w:lang w:eastAsia="fr-FR" w:bidi="fr-FR"/>
        </w:rPr>
        <w:t>a</w:t>
      </w:r>
      <w:r w:rsidRPr="00246AE4">
        <w:rPr>
          <w:color w:val="000000"/>
          <w:lang w:eastAsia="fr-FR" w:bidi="fr-FR"/>
        </w:rPr>
        <w:t xml:space="preserve">vaux où M. Depoin a cherché avec tant de patience et une ingéniosité parfois un peu aventureuse à retracer les généalogies d’un grand </w:t>
      </w:r>
      <w:r>
        <w:rPr>
          <w:color w:val="000000"/>
          <w:lang w:eastAsia="fr-FR" w:bidi="fr-FR"/>
        </w:rPr>
        <w:t>no</w:t>
      </w:r>
      <w:r>
        <w:rPr>
          <w:color w:val="000000"/>
          <w:lang w:eastAsia="fr-FR" w:bidi="fr-FR"/>
        </w:rPr>
        <w:t>m</w:t>
      </w:r>
      <w:r>
        <w:rPr>
          <w:color w:val="000000"/>
          <w:lang w:eastAsia="fr-FR" w:bidi="fr-FR"/>
        </w:rPr>
        <w:t>bre de familles nobles de l’Î</w:t>
      </w:r>
      <w:r w:rsidRPr="00246AE4">
        <w:rPr>
          <w:color w:val="000000"/>
          <w:lang w:eastAsia="fr-FR" w:bidi="fr-FR"/>
        </w:rPr>
        <w:t>le-de-</w:t>
      </w:r>
      <w:r>
        <w:rPr>
          <w:color w:val="000000"/>
          <w:lang w:eastAsia="fr-FR" w:bidi="fr-FR"/>
        </w:rPr>
        <w:t>France </w:t>
      </w:r>
      <w:r>
        <w:rPr>
          <w:rStyle w:val="Appelnotedebasdep"/>
        </w:rPr>
        <w:footnoteReference w:id="573"/>
      </w:r>
      <w:r w:rsidRPr="00246AE4">
        <w:rPr>
          <w:color w:val="000000"/>
          <w:lang w:eastAsia="fr-FR" w:bidi="fr-FR"/>
        </w:rPr>
        <w:t>, voilà à peu près tout ce qu’il est possible de citer</w:t>
      </w:r>
      <w:r>
        <w:rPr>
          <w:color w:val="000000"/>
          <w:lang w:eastAsia="fr-FR" w:bidi="fr-FR"/>
        </w:rPr>
        <w:t> </w:t>
      </w:r>
      <w:r>
        <w:rPr>
          <w:rStyle w:val="Appelnotedebasdep"/>
        </w:rPr>
        <w:footnoteReference w:id="574"/>
      </w:r>
      <w:r w:rsidRPr="00246AE4">
        <w:rPr>
          <w:color w:val="000000"/>
          <w:lang w:eastAsia="fr-FR" w:bidi="fr-FR"/>
        </w:rPr>
        <w:t>. Enc</w:t>
      </w:r>
      <w:r w:rsidRPr="00246AE4">
        <w:rPr>
          <w:color w:val="000000"/>
          <w:lang w:eastAsia="fr-FR" w:bidi="fr-FR"/>
        </w:rPr>
        <w:t>o</w:t>
      </w:r>
      <w:r w:rsidRPr="00246AE4">
        <w:rPr>
          <w:color w:val="000000"/>
          <w:lang w:eastAsia="fr-FR" w:bidi="fr-FR"/>
        </w:rPr>
        <w:t>re ces études si précieuses qu’elles soient, ne touchent-elles qu’indirectement aux grands problèmes. Est-il impossible de tirer des archives et des sources narratives des rense</w:t>
      </w:r>
      <w:r w:rsidRPr="00246AE4">
        <w:rPr>
          <w:color w:val="000000"/>
          <w:lang w:eastAsia="fr-FR" w:bidi="fr-FR"/>
        </w:rPr>
        <w:t>i</w:t>
      </w:r>
      <w:r w:rsidRPr="00246AE4">
        <w:rPr>
          <w:color w:val="000000"/>
          <w:lang w:eastAsia="fr-FR" w:bidi="fr-FR"/>
        </w:rPr>
        <w:t>gnements sur la hiérarchie féodale dans l’</w:t>
      </w:r>
      <w:r>
        <w:rPr>
          <w:color w:val="000000"/>
          <w:lang w:eastAsia="fr-FR" w:bidi="fr-FR"/>
        </w:rPr>
        <w:t>Île-de-France</w:t>
      </w:r>
      <w:r w:rsidRPr="00246AE4">
        <w:rPr>
          <w:color w:val="000000"/>
          <w:lang w:eastAsia="fr-FR" w:bidi="fr-FR"/>
        </w:rPr>
        <w:t>, sur les fiefs et les alleux, sur les relations des vassaux avec leurs seigneurs, sur la constitution des grandes se</w:t>
      </w:r>
      <w:r w:rsidRPr="00246AE4">
        <w:rPr>
          <w:color w:val="000000"/>
          <w:lang w:eastAsia="fr-FR" w:bidi="fr-FR"/>
        </w:rPr>
        <w:t>i</w:t>
      </w:r>
      <w:r w:rsidRPr="00246AE4">
        <w:rPr>
          <w:color w:val="000000"/>
          <w:lang w:eastAsia="fr-FR" w:bidi="fr-FR"/>
        </w:rPr>
        <w:t xml:space="preserve">gneuries, sur les origines de la noblesse et la transmission dans les familles des </w:t>
      </w:r>
      <w:r w:rsidRPr="00246AE4">
        <w:rPr>
          <w:color w:val="000000"/>
          <w:lang w:eastAsia="fr-FR" w:bidi="fr-FR"/>
        </w:rPr>
        <w:lastRenderedPageBreak/>
        <w:t>titres d’écuyers et de chevaliers ? Celui qui, parti à la recherche des données de cette espèce, interrog</w:t>
      </w:r>
      <w:r w:rsidRPr="00246AE4">
        <w:rPr>
          <w:color w:val="000000"/>
          <w:lang w:eastAsia="fr-FR" w:bidi="fr-FR"/>
        </w:rPr>
        <w:t>e</w:t>
      </w:r>
      <w:r w:rsidRPr="00246AE4">
        <w:rPr>
          <w:color w:val="000000"/>
          <w:lang w:eastAsia="fr-FR" w:bidi="fr-FR"/>
        </w:rPr>
        <w:t>rait les textes avec soin, ne les trouverait pas, je crois, absolument s</w:t>
      </w:r>
      <w:r w:rsidRPr="00246AE4">
        <w:rPr>
          <w:color w:val="000000"/>
          <w:lang w:eastAsia="fr-FR" w:bidi="fr-FR"/>
        </w:rPr>
        <w:t>i</w:t>
      </w:r>
      <w:r w:rsidRPr="00246AE4">
        <w:rPr>
          <w:color w:val="000000"/>
          <w:lang w:eastAsia="fr-FR" w:bidi="fr-FR"/>
        </w:rPr>
        <w:t>lencieux.</w:t>
      </w:r>
    </w:p>
    <w:p w14:paraId="5A1EC38E" w14:textId="77777777" w:rsidR="00B9662D" w:rsidRPr="00246AE4" w:rsidRDefault="00B9662D" w:rsidP="00B9662D">
      <w:pPr>
        <w:spacing w:before="120" w:after="120"/>
        <w:jc w:val="both"/>
      </w:pPr>
      <w:r w:rsidRPr="00246AE4">
        <w:rPr>
          <w:color w:val="000000"/>
          <w:lang w:eastAsia="fr-FR" w:bidi="fr-FR"/>
        </w:rPr>
        <w:t>Mais les documents diplomatiques et les récits des chroniques ne sauraient suffire à l’historien de la féodalité. Les monnaies</w:t>
      </w:r>
      <w:r>
        <w:rPr>
          <w:color w:val="000000"/>
          <w:lang w:eastAsia="fr-FR" w:bidi="fr-FR"/>
        </w:rPr>
        <w:t> </w:t>
      </w:r>
      <w:r>
        <w:rPr>
          <w:rStyle w:val="Appelnotedebasdep"/>
        </w:rPr>
        <w:footnoteReference w:id="575"/>
      </w:r>
      <w:r w:rsidRPr="00246AE4">
        <w:rPr>
          <w:color w:val="000000"/>
          <w:lang w:eastAsia="fr-FR" w:bidi="fr-FR"/>
        </w:rPr>
        <w:t xml:space="preserve"> et les sceaux</w:t>
      </w:r>
      <w:r>
        <w:rPr>
          <w:color w:val="000000"/>
          <w:lang w:eastAsia="fr-FR" w:bidi="fr-FR"/>
        </w:rPr>
        <w:t> </w:t>
      </w:r>
      <w:r>
        <w:rPr>
          <w:rStyle w:val="Appelnotedebasdep"/>
        </w:rPr>
        <w:footnoteReference w:id="576"/>
      </w:r>
      <w:r>
        <w:rPr>
          <w:color w:val="000000"/>
          <w:vertAlign w:val="superscript"/>
          <w:lang w:eastAsia="fr-FR" w:bidi="fr-FR"/>
        </w:rPr>
        <w:t> — </w:t>
      </w:r>
      <w:r w:rsidRPr="00246AE4">
        <w:rPr>
          <w:color w:val="000000"/>
          <w:lang w:eastAsia="fr-FR" w:bidi="fr-FR"/>
        </w:rPr>
        <w:t>deux sources jusqu’ici trop peu exploitées dans l’</w:t>
      </w:r>
      <w:r>
        <w:rPr>
          <w:color w:val="000000"/>
          <w:lang w:eastAsia="fr-FR" w:bidi="fr-FR"/>
        </w:rPr>
        <w:t>Île-de-France — </w:t>
      </w:r>
      <w:r w:rsidRPr="00246AE4">
        <w:rPr>
          <w:color w:val="000000"/>
          <w:lang w:eastAsia="fr-FR" w:bidi="fr-FR"/>
        </w:rPr>
        <w:t>l’instruiront sur les noms et les titres de ceux qui les firent frapper ou s’en servirent pour authentiquer leurs actes. L’étude du monnayage le renseignera sur les droits, les usurpations, la politique des hauts barons. Surtout il n’oubliera point que ces barons furent des châtelains, et que l’histoire de la seigneurie ne peut se séparer de celle de la forteresse qui si souvent en fut le centre et en fit la force.</w:t>
      </w:r>
    </w:p>
    <w:p w14:paraId="69410203" w14:textId="77777777" w:rsidR="00B9662D" w:rsidRPr="00246AE4" w:rsidRDefault="00B9662D" w:rsidP="00B9662D">
      <w:pPr>
        <w:spacing w:before="120" w:after="120"/>
        <w:jc w:val="both"/>
      </w:pPr>
      <w:r w:rsidRPr="00246AE4">
        <w:rPr>
          <w:color w:val="000000"/>
          <w:lang w:eastAsia="fr-FR" w:bidi="fr-FR"/>
        </w:rPr>
        <w:t xml:space="preserve">Élevés par les seigneurs ou par les rois, bien des châteaux, au Moyen </w:t>
      </w:r>
      <w:r>
        <w:rPr>
          <w:color w:val="000000"/>
          <w:lang w:eastAsia="fr-FR" w:bidi="fr-FR"/>
        </w:rPr>
        <w:t>Â</w:t>
      </w:r>
      <w:r w:rsidRPr="00246AE4">
        <w:rPr>
          <w:color w:val="000000"/>
          <w:lang w:eastAsia="fr-FR" w:bidi="fr-FR"/>
        </w:rPr>
        <w:t>ge, ont étendu sur l’</w:t>
      </w:r>
      <w:r>
        <w:rPr>
          <w:color w:val="000000"/>
          <w:lang w:eastAsia="fr-FR" w:bidi="fr-FR"/>
        </w:rPr>
        <w:t>Île-de-France</w:t>
      </w:r>
      <w:r w:rsidRPr="00246AE4">
        <w:rPr>
          <w:color w:val="000000"/>
          <w:lang w:eastAsia="fr-FR" w:bidi="fr-FR"/>
        </w:rPr>
        <w:t xml:space="preserve"> leur ombre tour à tour pr</w:t>
      </w:r>
      <w:r w:rsidRPr="00246AE4">
        <w:rPr>
          <w:color w:val="000000"/>
          <w:lang w:eastAsia="fr-FR" w:bidi="fr-FR"/>
        </w:rPr>
        <w:t>o</w:t>
      </w:r>
      <w:r w:rsidRPr="00246AE4">
        <w:rPr>
          <w:color w:val="000000"/>
          <w:lang w:eastAsia="fr-FR" w:bidi="fr-FR"/>
        </w:rPr>
        <w:t>tectrice et redoutable. Beaucoup sont encore debout. Bien qu’ils aient tous, à des</w:t>
      </w:r>
      <w:r>
        <w:t xml:space="preserve"> [756] </w:t>
      </w:r>
      <w:r w:rsidRPr="00246AE4">
        <w:rPr>
          <w:color w:val="000000"/>
          <w:lang w:eastAsia="fr-FR" w:bidi="fr-FR"/>
        </w:rPr>
        <w:t>degrés différents, souffert des injures du temps et des hommes, l’archéologue peut interroger leurs vieilles pierres. D’autres au contraire qui sans doute furent plus nombreux ont disparu sans laisser sur le sol aucun vestige. Seule la lecture des textes (et pour ce</w:t>
      </w:r>
      <w:r w:rsidRPr="00246AE4">
        <w:rPr>
          <w:color w:val="000000"/>
          <w:lang w:eastAsia="fr-FR" w:bidi="fr-FR"/>
        </w:rPr>
        <w:t>r</w:t>
      </w:r>
      <w:r w:rsidRPr="00246AE4">
        <w:rPr>
          <w:color w:val="000000"/>
          <w:lang w:eastAsia="fr-FR" w:bidi="fr-FR"/>
        </w:rPr>
        <w:t>tains l’examen de gravures anciennes) permet d’en retrouver la place et pa</w:t>
      </w:r>
      <w:r w:rsidRPr="00246AE4">
        <w:rPr>
          <w:color w:val="000000"/>
          <w:lang w:eastAsia="fr-FR" w:bidi="fr-FR"/>
        </w:rPr>
        <w:t>r</w:t>
      </w:r>
      <w:r w:rsidRPr="00246AE4">
        <w:rPr>
          <w:color w:val="000000"/>
          <w:lang w:eastAsia="fr-FR" w:bidi="fr-FR"/>
        </w:rPr>
        <w:t>fois d’en deviner l’aspect. Sur quelques châteaux nous avons des m</w:t>
      </w:r>
      <w:r w:rsidRPr="00246AE4">
        <w:rPr>
          <w:color w:val="000000"/>
          <w:lang w:eastAsia="fr-FR" w:bidi="fr-FR"/>
        </w:rPr>
        <w:t>o</w:t>
      </w:r>
      <w:r w:rsidRPr="00246AE4">
        <w:rPr>
          <w:color w:val="000000"/>
          <w:lang w:eastAsia="fr-FR" w:bidi="fr-FR"/>
        </w:rPr>
        <w:t>nographies ; il en est d’excellentes. Mais combien de ruines qui n’ont pas été explorées ! combien de mentions éparses dans les doc</w:t>
      </w:r>
      <w:r w:rsidRPr="00246AE4">
        <w:rPr>
          <w:color w:val="000000"/>
          <w:lang w:eastAsia="fr-FR" w:bidi="fr-FR"/>
        </w:rPr>
        <w:t>u</w:t>
      </w:r>
      <w:r w:rsidRPr="00246AE4">
        <w:rPr>
          <w:color w:val="000000"/>
          <w:lang w:eastAsia="fr-FR" w:bidi="fr-FR"/>
        </w:rPr>
        <w:t>ments qui n’ont été ni réunies ni interprétées ! Les villes et les bou</w:t>
      </w:r>
      <w:r w:rsidRPr="00246AE4">
        <w:rPr>
          <w:color w:val="000000"/>
          <w:lang w:eastAsia="fr-FR" w:bidi="fr-FR"/>
        </w:rPr>
        <w:t>r</w:t>
      </w:r>
      <w:r w:rsidRPr="00246AE4">
        <w:rPr>
          <w:color w:val="000000"/>
          <w:lang w:eastAsia="fr-FR" w:bidi="fr-FR"/>
        </w:rPr>
        <w:t>gades fortifiées, dont l’étude ne peut-être séparée de celle des ch</w:t>
      </w:r>
      <w:r w:rsidRPr="00246AE4">
        <w:rPr>
          <w:color w:val="000000"/>
          <w:lang w:eastAsia="fr-FR" w:bidi="fr-FR"/>
        </w:rPr>
        <w:t>â</w:t>
      </w:r>
      <w:r w:rsidRPr="00246AE4">
        <w:rPr>
          <w:color w:val="000000"/>
          <w:lang w:eastAsia="fr-FR" w:bidi="fr-FR"/>
        </w:rPr>
        <w:t>teaux elles aussi ont été trop négligées par les savants locaux. Veut-on un exe</w:t>
      </w:r>
      <w:r w:rsidRPr="00246AE4">
        <w:rPr>
          <w:color w:val="000000"/>
          <w:lang w:eastAsia="fr-FR" w:bidi="fr-FR"/>
        </w:rPr>
        <w:t>m</w:t>
      </w:r>
      <w:r w:rsidRPr="00246AE4">
        <w:rPr>
          <w:color w:val="000000"/>
          <w:lang w:eastAsia="fr-FR" w:bidi="fr-FR"/>
        </w:rPr>
        <w:t xml:space="preserve">ple ? le village de Boissy-l’Aillerie, au Vexin français, </w:t>
      </w:r>
      <w:r w:rsidRPr="00246AE4">
        <w:rPr>
          <w:color w:val="000000"/>
          <w:lang w:eastAsia="fr-FR" w:bidi="fr-FR"/>
        </w:rPr>
        <w:lastRenderedPageBreak/>
        <w:t>s’entoure d’une enceinte que les ans ont épargnée</w:t>
      </w:r>
      <w:r>
        <w:rPr>
          <w:color w:val="000000"/>
          <w:lang w:eastAsia="fr-FR" w:bidi="fr-FR"/>
        </w:rPr>
        <w:t> </w:t>
      </w:r>
      <w:r>
        <w:rPr>
          <w:rStyle w:val="Appelnotedebasdep"/>
        </w:rPr>
        <w:footnoteReference w:id="577"/>
      </w:r>
      <w:r w:rsidRPr="00246AE4">
        <w:rPr>
          <w:color w:val="000000"/>
          <w:lang w:eastAsia="fr-FR" w:bidi="fr-FR"/>
        </w:rPr>
        <w:t> ; cette enceinte, à ma connaissance, n’a jamais été datée. Au reste le travail monogr</w:t>
      </w:r>
      <w:r w:rsidRPr="00246AE4">
        <w:rPr>
          <w:color w:val="000000"/>
          <w:lang w:eastAsia="fr-FR" w:bidi="fr-FR"/>
        </w:rPr>
        <w:t>a</w:t>
      </w:r>
      <w:r w:rsidRPr="00246AE4">
        <w:rPr>
          <w:color w:val="000000"/>
          <w:lang w:eastAsia="fr-FR" w:bidi="fr-FR"/>
        </w:rPr>
        <w:t>phique, pour indispensable qu’il soit, ne saurait suffire. Il importerait de ra</w:t>
      </w:r>
      <w:r w:rsidRPr="00246AE4">
        <w:rPr>
          <w:color w:val="000000"/>
          <w:lang w:eastAsia="fr-FR" w:bidi="fr-FR"/>
        </w:rPr>
        <w:t>s</w:t>
      </w:r>
      <w:r w:rsidRPr="00246AE4">
        <w:rPr>
          <w:color w:val="000000"/>
          <w:lang w:eastAsia="fr-FR" w:bidi="fr-FR"/>
        </w:rPr>
        <w:t>sembler les renseignements que les monuments et les textes fourni</w:t>
      </w:r>
      <w:r w:rsidRPr="00246AE4">
        <w:rPr>
          <w:color w:val="000000"/>
          <w:lang w:eastAsia="fr-FR" w:bidi="fr-FR"/>
        </w:rPr>
        <w:t>s</w:t>
      </w:r>
      <w:r w:rsidRPr="00246AE4">
        <w:rPr>
          <w:color w:val="000000"/>
          <w:lang w:eastAsia="fr-FR" w:bidi="fr-FR"/>
        </w:rPr>
        <w:t>sent sur les châteaux et les lieux fortifiés de l’</w:t>
      </w:r>
      <w:r>
        <w:rPr>
          <w:color w:val="000000"/>
          <w:lang w:eastAsia="fr-FR" w:bidi="fr-FR"/>
        </w:rPr>
        <w:t>Île-de-France</w:t>
      </w:r>
      <w:r w:rsidRPr="00246AE4">
        <w:rPr>
          <w:color w:val="000000"/>
          <w:lang w:eastAsia="fr-FR" w:bidi="fr-FR"/>
        </w:rPr>
        <w:t>, et de les classer par périodes. Alors l’on parviendrait peut-être à réso</w:t>
      </w:r>
      <w:r w:rsidRPr="00246AE4">
        <w:rPr>
          <w:color w:val="000000"/>
          <w:lang w:eastAsia="fr-FR" w:bidi="fr-FR"/>
        </w:rPr>
        <w:t>u</w:t>
      </w:r>
      <w:r w:rsidRPr="00246AE4">
        <w:rPr>
          <w:color w:val="000000"/>
          <w:lang w:eastAsia="fr-FR" w:bidi="fr-FR"/>
        </w:rPr>
        <w:t>dre les problèmes que l’histoire de l’architecture militaire pose à l’archéologue, et qui sont des problèmes aussi, et de très graves, pour l’érudit que préoccupe l’histoire des institutions aux différentes ép</w:t>
      </w:r>
      <w:r w:rsidRPr="00246AE4">
        <w:rPr>
          <w:color w:val="000000"/>
          <w:lang w:eastAsia="fr-FR" w:bidi="fr-FR"/>
        </w:rPr>
        <w:t>o</w:t>
      </w:r>
      <w:r w:rsidRPr="00246AE4">
        <w:rPr>
          <w:color w:val="000000"/>
          <w:lang w:eastAsia="fr-FR" w:bidi="fr-FR"/>
        </w:rPr>
        <w:t xml:space="preserve">ques du Moyen </w:t>
      </w:r>
      <w:r>
        <w:rPr>
          <w:color w:val="000000"/>
          <w:lang w:eastAsia="fr-FR" w:bidi="fr-FR"/>
        </w:rPr>
        <w:t>Â</w:t>
      </w:r>
      <w:r w:rsidRPr="00246AE4">
        <w:rPr>
          <w:color w:val="000000"/>
          <w:lang w:eastAsia="fr-FR" w:bidi="fr-FR"/>
        </w:rPr>
        <w:t>ge</w:t>
      </w:r>
      <w:r>
        <w:rPr>
          <w:color w:val="000000"/>
          <w:lang w:eastAsia="fr-FR" w:bidi="fr-FR"/>
        </w:rPr>
        <w:t> </w:t>
      </w:r>
      <w:r>
        <w:rPr>
          <w:rStyle w:val="Appelnotedebasdep"/>
        </w:rPr>
        <w:footnoteReference w:id="578"/>
      </w:r>
      <w:r w:rsidRPr="00246AE4">
        <w:rPr>
          <w:color w:val="000000"/>
          <w:lang w:eastAsia="fr-FR" w:bidi="fr-FR"/>
        </w:rPr>
        <w:t>.</w:t>
      </w:r>
    </w:p>
    <w:p w14:paraId="7DF72EB6" w14:textId="77777777" w:rsidR="00B9662D" w:rsidRPr="00246AE4" w:rsidRDefault="00B9662D" w:rsidP="00B9662D">
      <w:pPr>
        <w:spacing w:before="120" w:after="120"/>
        <w:jc w:val="both"/>
      </w:pPr>
      <w:r w:rsidRPr="00246AE4">
        <w:rPr>
          <w:color w:val="000000"/>
          <w:lang w:eastAsia="fr-FR" w:bidi="fr-FR"/>
        </w:rPr>
        <w:t>Au temps des invasions normandes, « </w:t>
      </w:r>
      <w:r w:rsidRPr="003A4BD5">
        <w:rPr>
          <w:i/>
        </w:rPr>
        <w:t>castella</w:t>
      </w:r>
      <w:r w:rsidRPr="003A4BD5">
        <w:rPr>
          <w:i/>
          <w:color w:val="000000"/>
          <w:lang w:eastAsia="fr-FR" w:bidi="fr-FR"/>
        </w:rPr>
        <w:t> </w:t>
      </w:r>
      <w:r w:rsidRPr="00246AE4">
        <w:rPr>
          <w:color w:val="000000"/>
          <w:lang w:eastAsia="fr-FR" w:bidi="fr-FR"/>
        </w:rPr>
        <w:t>» et ponts fortifiés s’élevèrent le long des cours d’eau de l’</w:t>
      </w:r>
      <w:r>
        <w:rPr>
          <w:color w:val="000000"/>
          <w:lang w:eastAsia="fr-FR" w:bidi="fr-FR"/>
        </w:rPr>
        <w:t>Île-de-France</w:t>
      </w:r>
      <w:r w:rsidRPr="00246AE4">
        <w:rPr>
          <w:color w:val="000000"/>
          <w:lang w:eastAsia="fr-FR" w:bidi="fr-FR"/>
        </w:rPr>
        <w:t>, qui, trop faciles aux navires, portèrent à maintes reprises les barques païennes : tels les ponts que Charles le Chauve établit à Auvers sur l’Oise, à Charenton sur la Marne</w:t>
      </w:r>
      <w:r>
        <w:rPr>
          <w:color w:val="000000"/>
          <w:lang w:eastAsia="fr-FR" w:bidi="fr-FR"/>
        </w:rPr>
        <w:t> </w:t>
      </w:r>
      <w:r>
        <w:rPr>
          <w:rStyle w:val="Appelnotedebasdep"/>
        </w:rPr>
        <w:footnoteReference w:id="579"/>
      </w:r>
      <w:r w:rsidRPr="00246AE4">
        <w:rPr>
          <w:color w:val="000000"/>
          <w:lang w:eastAsia="fr-FR" w:bidi="fr-FR"/>
        </w:rPr>
        <w:t>. Que devinrent, par la suite, ces ouvrages de défense ? entre eux et les châteaux des âges postérieurs décèle-t-on quelque lien ? Ce problème n’a jamais été étudié ; il est peut-être insoluble. Les noms des plus anci</w:t>
      </w:r>
      <w:r>
        <w:rPr>
          <w:color w:val="000000"/>
          <w:lang w:eastAsia="fr-FR" w:bidi="fr-FR"/>
        </w:rPr>
        <w:t>ens châteaux seigneuriaux de l’Î</w:t>
      </w:r>
      <w:r w:rsidRPr="00246AE4">
        <w:rPr>
          <w:color w:val="000000"/>
          <w:lang w:eastAsia="fr-FR" w:bidi="fr-FR"/>
        </w:rPr>
        <w:t>le-de-France, Montlhéry, le Puiset, Yèvres, Montfort, Épernon, Gallardon, Illiers</w:t>
      </w:r>
      <w:r>
        <w:rPr>
          <w:color w:val="000000"/>
          <w:lang w:eastAsia="fr-FR" w:bidi="fr-FR"/>
        </w:rPr>
        <w:t> — </w:t>
      </w:r>
      <w:r w:rsidRPr="00246AE4">
        <w:rPr>
          <w:color w:val="000000"/>
          <w:lang w:eastAsia="fr-FR" w:bidi="fr-FR"/>
        </w:rPr>
        <w:t>noms détestés des chroniqueurs ecclésiastiques qui les transcrivent</w:t>
      </w:r>
      <w:r>
        <w:rPr>
          <w:color w:val="000000"/>
          <w:lang w:eastAsia="fr-FR" w:bidi="fr-FR"/>
        </w:rPr>
        <w:t> — </w:t>
      </w:r>
      <w:r w:rsidRPr="00246AE4">
        <w:rPr>
          <w:color w:val="000000"/>
          <w:lang w:eastAsia="fr-FR" w:bidi="fr-FR"/>
        </w:rPr>
        <w:t>apparaissent pour la première fois (semble-t-il) dans les textes narr</w:t>
      </w:r>
      <w:r w:rsidRPr="00246AE4">
        <w:rPr>
          <w:color w:val="000000"/>
          <w:lang w:eastAsia="fr-FR" w:bidi="fr-FR"/>
        </w:rPr>
        <w:t>a</w:t>
      </w:r>
      <w:r w:rsidRPr="00246AE4">
        <w:rPr>
          <w:color w:val="000000"/>
          <w:lang w:eastAsia="fr-FR" w:bidi="fr-FR"/>
        </w:rPr>
        <w:t>tifs à propos d’événements contemporains du règne de Robert le Pieux. Seigneuriaux il convient de se demander s’ils le furent dès l’origine. On pourrait en effet supposer que, construits par des rois, ils n’aient passé que par une sorte d’usurpation entre les mains de dyna</w:t>
      </w:r>
      <w:r w:rsidRPr="00246AE4">
        <w:rPr>
          <w:color w:val="000000"/>
          <w:lang w:eastAsia="fr-FR" w:bidi="fr-FR"/>
        </w:rPr>
        <w:t>s</w:t>
      </w:r>
      <w:r w:rsidRPr="00246AE4">
        <w:rPr>
          <w:color w:val="000000"/>
          <w:lang w:eastAsia="fr-FR" w:bidi="fr-FR"/>
        </w:rPr>
        <w:t xml:space="preserve">ties féodales issues de leurs premiers châtelains. Cette hypothèse a été </w:t>
      </w:r>
      <w:r w:rsidRPr="00246AE4">
        <w:rPr>
          <w:color w:val="000000"/>
          <w:lang w:eastAsia="fr-FR" w:bidi="fr-FR"/>
        </w:rPr>
        <w:lastRenderedPageBreak/>
        <w:t>proposée, pour certaines provinces, par divers savants</w:t>
      </w:r>
      <w:r>
        <w:rPr>
          <w:color w:val="000000"/>
          <w:lang w:eastAsia="fr-FR" w:bidi="fr-FR"/>
        </w:rPr>
        <w:t> </w:t>
      </w:r>
      <w:r>
        <w:rPr>
          <w:rStyle w:val="Appelnotedebasdep"/>
        </w:rPr>
        <w:footnoteReference w:id="580"/>
      </w:r>
      <w:r w:rsidRPr="00246AE4">
        <w:rPr>
          <w:color w:val="000000"/>
          <w:lang w:eastAsia="fr-FR" w:bidi="fr-FR"/>
        </w:rPr>
        <w:t> ; l’historien de la féodalité dans l’</w:t>
      </w:r>
      <w:r>
        <w:rPr>
          <w:color w:val="000000"/>
          <w:lang w:eastAsia="fr-FR" w:bidi="fr-FR"/>
        </w:rPr>
        <w:t>Île-de-France</w:t>
      </w:r>
      <w:r w:rsidRPr="00246AE4">
        <w:rPr>
          <w:color w:val="000000"/>
          <w:lang w:eastAsia="fr-FR" w:bidi="fr-FR"/>
        </w:rPr>
        <w:t xml:space="preserve"> devra l’examiner ; la trouvera-t-il exacte ? je ne le pense poi</w:t>
      </w:r>
      <w:r>
        <w:rPr>
          <w:color w:val="000000"/>
          <w:lang w:eastAsia="fr-FR" w:bidi="fr-FR"/>
        </w:rPr>
        <w:t>nt. Il paraît bien que, dans l’Î</w:t>
      </w:r>
      <w:r w:rsidRPr="00246AE4">
        <w:rPr>
          <w:color w:val="000000"/>
          <w:lang w:eastAsia="fr-FR" w:bidi="fr-FR"/>
        </w:rPr>
        <w:t>le-de-France,</w:t>
      </w:r>
      <w:r>
        <w:t xml:space="preserve"> [757]</w:t>
      </w:r>
      <w:r w:rsidRPr="00246AE4">
        <w:rPr>
          <w:color w:val="000000"/>
          <w:lang w:eastAsia="fr-FR" w:bidi="fr-FR"/>
        </w:rPr>
        <w:t xml:space="preserve"> dès le </w:t>
      </w:r>
      <w:r w:rsidRPr="00760E3D">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 la plupart des châteaux furent éd</w:t>
      </w:r>
      <w:r w:rsidRPr="00246AE4">
        <w:rPr>
          <w:color w:val="000000"/>
          <w:lang w:eastAsia="fr-FR" w:bidi="fr-FR"/>
        </w:rPr>
        <w:t>i</w:t>
      </w:r>
      <w:r w:rsidRPr="00246AE4">
        <w:rPr>
          <w:color w:val="000000"/>
          <w:lang w:eastAsia="fr-FR" w:bidi="fr-FR"/>
        </w:rPr>
        <w:t>fiés par les barons et pour eux. Ce n’est pas d’ailleurs que les rois n’aient, eux aussi, recherché l’abri des forteresses. En particulier les noms de ce</w:t>
      </w:r>
      <w:r w:rsidRPr="00246AE4">
        <w:rPr>
          <w:color w:val="000000"/>
          <w:lang w:eastAsia="fr-FR" w:bidi="fr-FR"/>
        </w:rPr>
        <w:t>l</w:t>
      </w:r>
      <w:r w:rsidRPr="00246AE4">
        <w:rPr>
          <w:color w:val="000000"/>
          <w:lang w:eastAsia="fr-FR" w:bidi="fr-FR"/>
        </w:rPr>
        <w:t>les que, tout le long de la frontière normande, ils dress</w:t>
      </w:r>
      <w:r w:rsidRPr="00246AE4">
        <w:rPr>
          <w:color w:val="000000"/>
          <w:lang w:eastAsia="fr-FR" w:bidi="fr-FR"/>
        </w:rPr>
        <w:t>è</w:t>
      </w:r>
      <w:r w:rsidRPr="00246AE4">
        <w:rPr>
          <w:color w:val="000000"/>
          <w:lang w:eastAsia="fr-FR" w:bidi="fr-FR"/>
        </w:rPr>
        <w:t>rent en face des ouvrages par où les rois anglais protégeaient leur d</w:t>
      </w:r>
      <w:r w:rsidRPr="00246AE4">
        <w:rPr>
          <w:color w:val="000000"/>
          <w:lang w:eastAsia="fr-FR" w:bidi="fr-FR"/>
        </w:rPr>
        <w:t>u</w:t>
      </w:r>
      <w:r w:rsidRPr="00246AE4">
        <w:rPr>
          <w:color w:val="000000"/>
          <w:lang w:eastAsia="fr-FR" w:bidi="fr-FR"/>
        </w:rPr>
        <w:t xml:space="preserve">ché d’outre-mer remplissent les écrivains des </w:t>
      </w:r>
      <w:r w:rsidRPr="00760E3D">
        <w:rPr>
          <w:caps/>
          <w:color w:val="000000"/>
          <w:lang w:eastAsia="fr-FR" w:bidi="fr-FR"/>
        </w:rPr>
        <w:t>xi</w:t>
      </w:r>
      <w:r w:rsidRPr="00246AE4">
        <w:rPr>
          <w:color w:val="000000"/>
          <w:vertAlign w:val="superscript"/>
          <w:lang w:eastAsia="fr-FR" w:bidi="fr-FR"/>
        </w:rPr>
        <w:t>e</w:t>
      </w:r>
      <w:r w:rsidRPr="00246AE4">
        <w:rPr>
          <w:color w:val="000000"/>
          <w:lang w:eastAsia="fr-FR" w:bidi="fr-FR"/>
        </w:rPr>
        <w:t xml:space="preserve"> et </w:t>
      </w:r>
      <w:r w:rsidRPr="00760E3D">
        <w:rPr>
          <w:caps/>
          <w:color w:val="000000"/>
          <w:lang w:eastAsia="fr-FR" w:bidi="fr-FR"/>
        </w:rPr>
        <w:t>x</w:t>
      </w:r>
      <w:r>
        <w:rPr>
          <w:caps/>
          <w:color w:val="000000"/>
          <w:lang w:eastAsia="fr-FR" w:bidi="fr-FR"/>
        </w:rPr>
        <w:t>II</w:t>
      </w:r>
      <w:r w:rsidRPr="00246AE4">
        <w:rPr>
          <w:color w:val="000000"/>
          <w:vertAlign w:val="superscript"/>
          <w:lang w:eastAsia="fr-FR" w:bidi="fr-FR"/>
        </w:rPr>
        <w:t>e</w:t>
      </w:r>
      <w:r w:rsidRPr="00246AE4">
        <w:rPr>
          <w:color w:val="000000"/>
          <w:lang w:eastAsia="fr-FR" w:bidi="fr-FR"/>
        </w:rPr>
        <w:t xml:space="preserve"> siècles</w:t>
      </w:r>
      <w:r>
        <w:rPr>
          <w:color w:val="000000"/>
          <w:lang w:eastAsia="fr-FR" w:bidi="fr-FR"/>
        </w:rPr>
        <w:t> </w:t>
      </w:r>
      <w:r>
        <w:rPr>
          <w:rStyle w:val="Appelnotedebasdep"/>
        </w:rPr>
        <w:footnoteReference w:id="581"/>
      </w:r>
      <w:r w:rsidRPr="00246AE4">
        <w:rPr>
          <w:color w:val="000000"/>
          <w:lang w:eastAsia="fr-FR" w:bidi="fr-FR"/>
        </w:rPr>
        <w:t>. Ces châteaux des premiers temps capétiens ne nous sont connus que par les textes : bâtis presque tout entier en bois, ils n’étaient pas faits pour durer. Une tour de bois, à plusieurs étages, environnée d’enceintes en palissades, voilà ce qu’étaient d’ordinaire ces « fertés » à l’assaut de</w:t>
      </w:r>
      <w:r w:rsidRPr="00246AE4">
        <w:rPr>
          <w:color w:val="000000"/>
          <w:lang w:eastAsia="fr-FR" w:bidi="fr-FR"/>
        </w:rPr>
        <w:t>s</w:t>
      </w:r>
      <w:r w:rsidRPr="00246AE4">
        <w:rPr>
          <w:color w:val="000000"/>
          <w:lang w:eastAsia="fr-FR" w:bidi="fr-FR"/>
        </w:rPr>
        <w:t>quelles les troupes de Philippe</w:t>
      </w:r>
      <w:r>
        <w:rPr>
          <w:color w:val="000000"/>
          <w:lang w:eastAsia="fr-FR" w:bidi="fr-FR"/>
        </w:rPr>
        <w:t> </w:t>
      </w:r>
      <w:r w:rsidRPr="00246AE4">
        <w:rPr>
          <w:color w:val="000000"/>
          <w:lang w:eastAsia="fr-FR" w:bidi="fr-FR"/>
        </w:rPr>
        <w:t>1</w:t>
      </w:r>
      <w:r w:rsidRPr="00246AE4">
        <w:rPr>
          <w:color w:val="000000"/>
          <w:vertAlign w:val="superscript"/>
          <w:lang w:eastAsia="fr-FR" w:bidi="fr-FR"/>
        </w:rPr>
        <w:t>er</w:t>
      </w:r>
      <w:r w:rsidRPr="00246AE4">
        <w:rPr>
          <w:color w:val="000000"/>
          <w:lang w:eastAsia="fr-FR" w:bidi="fr-FR"/>
        </w:rPr>
        <w:t xml:space="preserve"> et de Louis</w:t>
      </w:r>
      <w:r>
        <w:rPr>
          <w:color w:val="000000"/>
          <w:lang w:eastAsia="fr-FR" w:bidi="fr-FR"/>
        </w:rPr>
        <w:t> </w:t>
      </w:r>
      <w:r w:rsidRPr="00246AE4">
        <w:rPr>
          <w:color w:val="000000"/>
          <w:lang w:eastAsia="fr-FR" w:bidi="fr-FR"/>
        </w:rPr>
        <w:t>VI montaient pénibl</w:t>
      </w:r>
      <w:r w:rsidRPr="00246AE4">
        <w:rPr>
          <w:color w:val="000000"/>
          <w:lang w:eastAsia="fr-FR" w:bidi="fr-FR"/>
        </w:rPr>
        <w:t>e</w:t>
      </w:r>
      <w:r w:rsidRPr="00246AE4">
        <w:rPr>
          <w:color w:val="000000"/>
          <w:lang w:eastAsia="fr-FR" w:bidi="fr-FR"/>
        </w:rPr>
        <w:t xml:space="preserve">ment. Il est vraisemblable que l’enceinte englobait souvent une partie du village seigneurial. Aussi bien, le mot de château, dans la langue du Moyen </w:t>
      </w:r>
      <w:r>
        <w:rPr>
          <w:color w:val="000000"/>
          <w:lang w:eastAsia="fr-FR" w:bidi="fr-FR"/>
        </w:rPr>
        <w:t>Â</w:t>
      </w:r>
      <w:r w:rsidRPr="00246AE4">
        <w:rPr>
          <w:color w:val="000000"/>
          <w:lang w:eastAsia="fr-FR" w:bidi="fr-FR"/>
        </w:rPr>
        <w:t>ge, désignait-il indifféremment la maison munie de d</w:t>
      </w:r>
      <w:r w:rsidRPr="00246AE4">
        <w:rPr>
          <w:color w:val="000000"/>
          <w:lang w:eastAsia="fr-FR" w:bidi="fr-FR"/>
        </w:rPr>
        <w:t>é</w:t>
      </w:r>
      <w:r w:rsidRPr="00246AE4">
        <w:rPr>
          <w:color w:val="000000"/>
          <w:lang w:eastAsia="fr-FR" w:bidi="fr-FR"/>
        </w:rPr>
        <w:t>fenses et l’agglomération enclose de murs, la citadelle et la ville forte. Cette incertitude des termes n’est pas la moindre difficulté que re</w:t>
      </w:r>
      <w:r w:rsidRPr="00246AE4">
        <w:rPr>
          <w:color w:val="000000"/>
          <w:lang w:eastAsia="fr-FR" w:bidi="fr-FR"/>
        </w:rPr>
        <w:t>n</w:t>
      </w:r>
      <w:r w:rsidRPr="00246AE4">
        <w:rPr>
          <w:color w:val="000000"/>
          <w:lang w:eastAsia="fr-FR" w:bidi="fr-FR"/>
        </w:rPr>
        <w:t>contre l’érudit, lorsque, dans l’étude de l’architecture militaire médi</w:t>
      </w:r>
      <w:r w:rsidRPr="00246AE4">
        <w:rPr>
          <w:color w:val="000000"/>
          <w:lang w:eastAsia="fr-FR" w:bidi="fr-FR"/>
        </w:rPr>
        <w:t>é</w:t>
      </w:r>
      <w:r w:rsidRPr="00246AE4">
        <w:rPr>
          <w:color w:val="000000"/>
          <w:lang w:eastAsia="fr-FR" w:bidi="fr-FR"/>
        </w:rPr>
        <w:t>vale, il n’a d’autres guides que les documents écrits.</w:t>
      </w:r>
    </w:p>
    <w:p w14:paraId="0EC80577" w14:textId="77777777" w:rsidR="00B9662D" w:rsidRPr="00246AE4" w:rsidRDefault="00B9662D" w:rsidP="00B9662D">
      <w:pPr>
        <w:spacing w:before="120" w:after="120"/>
        <w:jc w:val="both"/>
      </w:pPr>
      <w:r w:rsidRPr="00246AE4">
        <w:rPr>
          <w:color w:val="000000"/>
          <w:lang w:eastAsia="fr-FR" w:bidi="fr-FR"/>
        </w:rPr>
        <w:t>Quand parurent, dans l’</w:t>
      </w:r>
      <w:r>
        <w:rPr>
          <w:color w:val="000000"/>
          <w:lang w:eastAsia="fr-FR" w:bidi="fr-FR"/>
        </w:rPr>
        <w:t>Île-de-France</w:t>
      </w:r>
      <w:r w:rsidRPr="00246AE4">
        <w:rPr>
          <w:color w:val="000000"/>
          <w:lang w:eastAsia="fr-FR" w:bidi="fr-FR"/>
        </w:rPr>
        <w:t>, les premiers châteaux de pierre ? Pour répondre à cette question, il ne suffit pas d’étudier les monuments, qui, sans le secours des textes, sont difficiles à dater. La tour Guinette, qui domine Étampes des quatre lobes de ses murailles éventrées, est sans conteste un des plus vieux donjons de la région parisienne. Mais à quelle époque, exactement, remonte-t-elle ? les a</w:t>
      </w:r>
      <w:r w:rsidRPr="00246AE4">
        <w:rPr>
          <w:color w:val="000000"/>
          <w:lang w:eastAsia="fr-FR" w:bidi="fr-FR"/>
        </w:rPr>
        <w:t>r</w:t>
      </w:r>
      <w:r w:rsidRPr="00246AE4">
        <w:rPr>
          <w:color w:val="000000"/>
          <w:lang w:eastAsia="fr-FR" w:bidi="fr-FR"/>
        </w:rPr>
        <w:t>chéologues en disputent encore</w:t>
      </w:r>
      <w:r>
        <w:rPr>
          <w:color w:val="000000"/>
          <w:lang w:eastAsia="fr-FR" w:bidi="fr-FR"/>
        </w:rPr>
        <w:t> </w:t>
      </w:r>
      <w:r>
        <w:rPr>
          <w:rStyle w:val="Appelnotedebasdep"/>
        </w:rPr>
        <w:footnoteReference w:id="582"/>
      </w:r>
      <w:r w:rsidRPr="00246AE4">
        <w:rPr>
          <w:color w:val="000000"/>
          <w:lang w:eastAsia="fr-FR" w:bidi="fr-FR"/>
        </w:rPr>
        <w:t>. Interrogeons donc les textes. Or</w:t>
      </w:r>
      <w:r w:rsidRPr="00246AE4">
        <w:rPr>
          <w:color w:val="000000"/>
          <w:lang w:eastAsia="fr-FR" w:bidi="fr-FR"/>
        </w:rPr>
        <w:lastRenderedPageBreak/>
        <w:t>d</w:t>
      </w:r>
      <w:r w:rsidRPr="00246AE4">
        <w:rPr>
          <w:color w:val="000000"/>
          <w:lang w:eastAsia="fr-FR" w:bidi="fr-FR"/>
        </w:rPr>
        <w:t>e</w:t>
      </w:r>
      <w:r w:rsidRPr="00246AE4">
        <w:rPr>
          <w:color w:val="000000"/>
          <w:lang w:eastAsia="fr-FR" w:bidi="fr-FR"/>
        </w:rPr>
        <w:t>ric Vital, en son</w:t>
      </w:r>
      <w:r>
        <w:rPr>
          <w:color w:val="000000"/>
          <w:lang w:eastAsia="fr-FR" w:bidi="fr-FR"/>
        </w:rPr>
        <w:t xml:space="preserve"> </w:t>
      </w:r>
      <w:r w:rsidRPr="00247C76">
        <w:rPr>
          <w:i/>
        </w:rPr>
        <w:t>Histoire Ecclésiastique</w:t>
      </w:r>
      <w:r>
        <w:t> </w:t>
      </w:r>
      <w:r>
        <w:rPr>
          <w:rStyle w:val="Appelnotedebasdep"/>
        </w:rPr>
        <w:footnoteReference w:id="583"/>
      </w:r>
      <w:r w:rsidRPr="00246AE4">
        <w:rPr>
          <w:color w:val="000000"/>
          <w:lang w:eastAsia="fr-FR" w:bidi="fr-FR"/>
        </w:rPr>
        <w:t xml:space="preserve"> parle de la forteresse de pierre, « lapidea munitio », qu’éleva à Maule, sur les confins de la Normandie, un seigneur du lieu, Ansoud, deuxième du nom ; Ansoud mourut le 24 décembre 1118. Voilà, je crois, le plus ancien château de pierre de nos pays dont la date nous soit connue avec quelque préc</w:t>
      </w:r>
      <w:r w:rsidRPr="00246AE4">
        <w:rPr>
          <w:color w:val="000000"/>
          <w:lang w:eastAsia="fr-FR" w:bidi="fr-FR"/>
        </w:rPr>
        <w:t>i</w:t>
      </w:r>
      <w:r w:rsidRPr="00246AE4">
        <w:rPr>
          <w:color w:val="000000"/>
          <w:lang w:eastAsia="fr-FR" w:bidi="fr-FR"/>
        </w:rPr>
        <w:t xml:space="preserve">sion. Aux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et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siècles la « robe de pierre » des châteaux, en même temps que des églises, a revêtu l’</w:t>
      </w:r>
      <w:r>
        <w:rPr>
          <w:color w:val="000000"/>
          <w:lang w:eastAsia="fr-FR" w:bidi="fr-FR"/>
        </w:rPr>
        <w:t>Île-de-France</w:t>
      </w:r>
      <w:r w:rsidRPr="00246AE4">
        <w:rPr>
          <w:color w:val="000000"/>
          <w:lang w:eastAsia="fr-FR" w:bidi="fr-FR"/>
        </w:rPr>
        <w:t>. Quelle part, dans leur construction revient aux rois et quelle part aux barons ? il serait intéressant de le rechercher. Philippe-Auguste, qui fut un grand bâtisseur de forteresses, édifia ou réédifia Dourdan</w:t>
      </w:r>
      <w:r>
        <w:rPr>
          <w:color w:val="000000"/>
          <w:lang w:eastAsia="fr-FR" w:bidi="fr-FR"/>
        </w:rPr>
        <w:t> </w:t>
      </w:r>
      <w:r>
        <w:rPr>
          <w:rStyle w:val="Appelnotedebasdep"/>
        </w:rPr>
        <w:footnoteReference w:id="584"/>
      </w:r>
      <w:r w:rsidRPr="00246AE4">
        <w:rPr>
          <w:color w:val="000000"/>
          <w:lang w:eastAsia="fr-FR" w:bidi="fr-FR"/>
        </w:rPr>
        <w:t>, Gisors</w:t>
      </w:r>
      <w:r>
        <w:rPr>
          <w:color w:val="000000"/>
          <w:lang w:eastAsia="fr-FR" w:bidi="fr-FR"/>
        </w:rPr>
        <w:t> </w:t>
      </w:r>
      <w:r>
        <w:rPr>
          <w:rStyle w:val="Appelnotedebasdep"/>
        </w:rPr>
        <w:footnoteReference w:id="585"/>
      </w:r>
      <w:r w:rsidRPr="00246AE4">
        <w:rPr>
          <w:color w:val="000000"/>
          <w:lang w:eastAsia="fr-FR" w:bidi="fr-FR"/>
        </w:rPr>
        <w:t xml:space="preserve"> et les murs de Corbeil et de Melun</w:t>
      </w:r>
      <w:r>
        <w:rPr>
          <w:color w:val="000000"/>
          <w:lang w:eastAsia="fr-FR" w:bidi="fr-FR"/>
        </w:rPr>
        <w:t> </w:t>
      </w:r>
      <w:r>
        <w:rPr>
          <w:rStyle w:val="Appelnotedebasdep"/>
        </w:rPr>
        <w:footnoteReference w:id="586"/>
      </w:r>
      <w:r w:rsidRPr="00246AE4">
        <w:rPr>
          <w:color w:val="000000"/>
          <w:lang w:eastAsia="fr-FR" w:bidi="fr-FR"/>
        </w:rPr>
        <w:t xml:space="preserve">. Il est possible qu’à la fin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w:t>
      </w:r>
      <w:r w:rsidRPr="00246AE4">
        <w:rPr>
          <w:color w:val="000000"/>
          <w:lang w:eastAsia="fr-FR" w:bidi="fr-FR"/>
        </w:rPr>
        <w:t>è</w:t>
      </w:r>
      <w:r w:rsidRPr="00246AE4">
        <w:rPr>
          <w:color w:val="000000"/>
          <w:lang w:eastAsia="fr-FR" w:bidi="fr-FR"/>
        </w:rPr>
        <w:t>cle et au début</w:t>
      </w:r>
      <w:r>
        <w:t xml:space="preserve"> </w:t>
      </w:r>
      <w:r>
        <w:rPr>
          <w:color w:val="000000"/>
          <w:lang w:eastAsia="fr-FR" w:bidi="fr-FR"/>
        </w:rPr>
        <w:t xml:space="preserve">[758] </w:t>
      </w:r>
      <w:r w:rsidRPr="00246AE4">
        <w:rPr>
          <w:color w:val="000000"/>
          <w:lang w:eastAsia="fr-FR" w:bidi="fr-FR"/>
        </w:rPr>
        <w:t xml:space="preserve">du </w:t>
      </w:r>
      <w:r w:rsidRPr="00760E3D">
        <w:rPr>
          <w:caps/>
          <w:color w:val="000000"/>
          <w:lang w:eastAsia="fr-FR" w:bidi="fr-FR"/>
        </w:rPr>
        <w:t>xiv</w:t>
      </w:r>
      <w:r w:rsidRPr="00246AE4">
        <w:rPr>
          <w:color w:val="000000"/>
          <w:vertAlign w:val="superscript"/>
          <w:lang w:eastAsia="fr-FR" w:bidi="fr-FR"/>
        </w:rPr>
        <w:t>e</w:t>
      </w:r>
      <w:r>
        <w:rPr>
          <w:color w:val="000000"/>
          <w:lang w:eastAsia="fr-FR" w:bidi="fr-FR"/>
        </w:rPr>
        <w:t>, alors que l’Î</w:t>
      </w:r>
      <w:r w:rsidRPr="00246AE4">
        <w:rPr>
          <w:color w:val="000000"/>
          <w:lang w:eastAsia="fr-FR" w:bidi="fr-FR"/>
        </w:rPr>
        <w:t>le-de-France était plus pa</w:t>
      </w:r>
      <w:r w:rsidRPr="00246AE4">
        <w:rPr>
          <w:color w:val="000000"/>
          <w:lang w:eastAsia="fr-FR" w:bidi="fr-FR"/>
        </w:rPr>
        <w:t>i</w:t>
      </w:r>
      <w:r w:rsidRPr="00246AE4">
        <w:rPr>
          <w:color w:val="000000"/>
          <w:lang w:eastAsia="fr-FR" w:bidi="fr-FR"/>
        </w:rPr>
        <w:t>sible sous des rois plus puissants, dans ses campagnes moins de ma</w:t>
      </w:r>
      <w:r w:rsidRPr="00246AE4">
        <w:rPr>
          <w:color w:val="000000"/>
          <w:lang w:eastAsia="fr-FR" w:bidi="fr-FR"/>
        </w:rPr>
        <w:t>i</w:t>
      </w:r>
      <w:r w:rsidRPr="00246AE4">
        <w:rPr>
          <w:color w:val="000000"/>
          <w:lang w:eastAsia="fr-FR" w:bidi="fr-FR"/>
        </w:rPr>
        <w:t>sons fortes qu’aux âges précédents se soient élevées. En revanche, pendant la guerre de Cent Ans, bien des châteaux nouveaux ont dû se construire, des ch</w:t>
      </w:r>
      <w:r w:rsidRPr="00246AE4">
        <w:rPr>
          <w:color w:val="000000"/>
          <w:lang w:eastAsia="fr-FR" w:bidi="fr-FR"/>
        </w:rPr>
        <w:t>â</w:t>
      </w:r>
      <w:r w:rsidRPr="00246AE4">
        <w:rPr>
          <w:color w:val="000000"/>
          <w:lang w:eastAsia="fr-FR" w:bidi="fr-FR"/>
        </w:rPr>
        <w:t>teaux anciens se réparer ou s’agrandir, des villes ou des villages, ju</w:t>
      </w:r>
      <w:r w:rsidRPr="00246AE4">
        <w:rPr>
          <w:color w:val="000000"/>
          <w:lang w:eastAsia="fr-FR" w:bidi="fr-FR"/>
        </w:rPr>
        <w:t>s</w:t>
      </w:r>
      <w:r w:rsidRPr="00246AE4">
        <w:rPr>
          <w:color w:val="000000"/>
          <w:lang w:eastAsia="fr-FR" w:bidi="fr-FR"/>
        </w:rPr>
        <w:t>que-là sans défense, s’enclore de murs. Au mois d’août 1415, par exemple</w:t>
      </w:r>
      <w:r>
        <w:rPr>
          <w:color w:val="000000"/>
          <w:lang w:eastAsia="fr-FR" w:bidi="fr-FR"/>
        </w:rPr>
        <w:t> — </w:t>
      </w:r>
      <w:r w:rsidRPr="00246AE4">
        <w:rPr>
          <w:color w:val="000000"/>
          <w:lang w:eastAsia="fr-FR" w:bidi="fr-FR"/>
        </w:rPr>
        <w:t>le mois qui vit Henri</w:t>
      </w:r>
      <w:r>
        <w:rPr>
          <w:color w:val="000000"/>
          <w:lang w:eastAsia="fr-FR" w:bidi="fr-FR"/>
        </w:rPr>
        <w:t> </w:t>
      </w:r>
      <w:r w:rsidRPr="00246AE4">
        <w:rPr>
          <w:color w:val="000000"/>
          <w:lang w:eastAsia="fr-FR" w:bidi="fr-FR"/>
        </w:rPr>
        <w:t>V débarquer sur la côte normande</w:t>
      </w:r>
      <w:r>
        <w:rPr>
          <w:color w:val="000000"/>
          <w:lang w:eastAsia="fr-FR" w:bidi="fr-FR"/>
        </w:rPr>
        <w:t> — </w:t>
      </w:r>
      <w:r w:rsidRPr="00246AE4">
        <w:rPr>
          <w:color w:val="000000"/>
          <w:lang w:eastAsia="fr-FR" w:bidi="fr-FR"/>
        </w:rPr>
        <w:t>les habitants de Rozoy, au pays briard, demandaient au bailli de Meaux l’autorisation de fortifier leur bourg</w:t>
      </w:r>
      <w:r>
        <w:rPr>
          <w:color w:val="000000"/>
          <w:lang w:eastAsia="fr-FR" w:bidi="fr-FR"/>
        </w:rPr>
        <w:t> </w:t>
      </w:r>
      <w:r>
        <w:rPr>
          <w:rStyle w:val="Appelnotedebasdep"/>
        </w:rPr>
        <w:footnoteReference w:id="587"/>
      </w:r>
      <w:r w:rsidRPr="00246AE4">
        <w:rPr>
          <w:color w:val="000000"/>
          <w:lang w:eastAsia="fr-FR" w:bidi="fr-FR"/>
        </w:rPr>
        <w:t>. Cette no</w:t>
      </w:r>
      <w:r w:rsidRPr="00246AE4">
        <w:rPr>
          <w:color w:val="000000"/>
          <w:lang w:eastAsia="fr-FR" w:bidi="fr-FR"/>
        </w:rPr>
        <w:t>u</w:t>
      </w:r>
      <w:r w:rsidRPr="00246AE4">
        <w:rPr>
          <w:color w:val="000000"/>
          <w:lang w:eastAsia="fr-FR" w:bidi="fr-FR"/>
        </w:rPr>
        <w:lastRenderedPageBreak/>
        <w:t>velle période de l’histoire de la fortification a été moins étudiée enc</w:t>
      </w:r>
      <w:r w:rsidRPr="00246AE4">
        <w:rPr>
          <w:color w:val="000000"/>
          <w:lang w:eastAsia="fr-FR" w:bidi="fr-FR"/>
        </w:rPr>
        <w:t>o</w:t>
      </w:r>
      <w:r w:rsidRPr="00246AE4">
        <w:rPr>
          <w:color w:val="000000"/>
          <w:lang w:eastAsia="fr-FR" w:bidi="fr-FR"/>
        </w:rPr>
        <w:t>re que les p</w:t>
      </w:r>
      <w:r w:rsidRPr="00246AE4">
        <w:rPr>
          <w:color w:val="000000"/>
          <w:lang w:eastAsia="fr-FR" w:bidi="fr-FR"/>
        </w:rPr>
        <w:t>é</w:t>
      </w:r>
      <w:r w:rsidRPr="00246AE4">
        <w:rPr>
          <w:color w:val="000000"/>
          <w:lang w:eastAsia="fr-FR" w:bidi="fr-FR"/>
        </w:rPr>
        <w:t>riodes antérieures.</w:t>
      </w:r>
    </w:p>
    <w:p w14:paraId="2A8657C2" w14:textId="77777777" w:rsidR="00B9662D" w:rsidRPr="00246AE4" w:rsidRDefault="00B9662D" w:rsidP="00B9662D">
      <w:pPr>
        <w:spacing w:before="120" w:after="120"/>
        <w:jc w:val="both"/>
      </w:pPr>
      <w:r w:rsidRPr="00246AE4">
        <w:rPr>
          <w:color w:val="000000"/>
          <w:lang w:eastAsia="fr-FR" w:bidi="fr-FR"/>
        </w:rPr>
        <w:t>Comme les ruines antiques, les débris des châteaux médiévaux ont inspiré l’imagination populaire. Celle-ci ne pouvait manquer d’être frappée par les tours, dont les silhouettes inquiét</w:t>
      </w:r>
      <w:r>
        <w:rPr>
          <w:color w:val="000000"/>
          <w:lang w:eastAsia="fr-FR" w:bidi="fr-FR"/>
        </w:rPr>
        <w:t>antes surmontaient, dans l’Île-</w:t>
      </w:r>
      <w:r w:rsidRPr="00246AE4">
        <w:rPr>
          <w:color w:val="000000"/>
          <w:lang w:eastAsia="fr-FR" w:bidi="fr-FR"/>
        </w:rPr>
        <w:t>de-France, tant de coteaux et tant de « mottes ». Le souvenir des seigneurs ou des rois qui les avaient construites s’était évanoui. La légende suppléa à l’histoire. De ces tours que l’on appelait « Tour de Gannes » elle fit les châteaux du traître Ganelon. Cette curieuse trad</w:t>
      </w:r>
      <w:r w:rsidRPr="00246AE4">
        <w:rPr>
          <w:color w:val="000000"/>
          <w:lang w:eastAsia="fr-FR" w:bidi="fr-FR"/>
        </w:rPr>
        <w:t>i</w:t>
      </w:r>
      <w:r w:rsidRPr="00246AE4">
        <w:rPr>
          <w:color w:val="000000"/>
          <w:lang w:eastAsia="fr-FR" w:bidi="fr-FR"/>
        </w:rPr>
        <w:t>tion n’est peut-être qu’une fiction étymologique, car le mot de ganne, qui est assez mystérieux, paraît bien à l’origine n’avoir rien eu de commun avec le nom de Ganelon. Elle fournirait la matière d’une i</w:t>
      </w:r>
      <w:r w:rsidRPr="00246AE4">
        <w:rPr>
          <w:color w:val="000000"/>
          <w:lang w:eastAsia="fr-FR" w:bidi="fr-FR"/>
        </w:rPr>
        <w:t>n</w:t>
      </w:r>
      <w:r w:rsidRPr="00246AE4">
        <w:rPr>
          <w:color w:val="000000"/>
          <w:lang w:eastAsia="fr-FR" w:bidi="fr-FR"/>
        </w:rPr>
        <w:t>téressante étude</w:t>
      </w:r>
      <w:r>
        <w:rPr>
          <w:color w:val="000000"/>
          <w:lang w:eastAsia="fr-FR" w:bidi="fr-FR"/>
        </w:rPr>
        <w:t> </w:t>
      </w:r>
      <w:r>
        <w:rPr>
          <w:rStyle w:val="Appelnotedebasdep"/>
        </w:rPr>
        <w:footnoteReference w:id="588"/>
      </w:r>
      <w:r w:rsidRPr="00246AE4">
        <w:rPr>
          <w:color w:val="000000"/>
          <w:lang w:eastAsia="fr-FR" w:bidi="fr-FR"/>
        </w:rPr>
        <w:t>.</w:t>
      </w:r>
    </w:p>
    <w:p w14:paraId="7EE189C9" w14:textId="77777777" w:rsidR="00B9662D" w:rsidRPr="00246AE4" w:rsidRDefault="00B9662D" w:rsidP="00B9662D">
      <w:pPr>
        <w:spacing w:before="120" w:after="120"/>
        <w:jc w:val="both"/>
      </w:pPr>
      <w:r w:rsidRPr="00246AE4">
        <w:rPr>
          <w:color w:val="000000"/>
          <w:lang w:eastAsia="fr-FR" w:bidi="fr-FR"/>
        </w:rPr>
        <w:t>Les abondantes archives qu’ont laissées les églises de l’</w:t>
      </w:r>
      <w:r>
        <w:rPr>
          <w:color w:val="000000"/>
          <w:lang w:eastAsia="fr-FR" w:bidi="fr-FR"/>
        </w:rPr>
        <w:t>Île-de-France</w:t>
      </w:r>
      <w:r w:rsidRPr="00246AE4">
        <w:rPr>
          <w:color w:val="000000"/>
          <w:lang w:eastAsia="fr-FR" w:bidi="fr-FR"/>
        </w:rPr>
        <w:t xml:space="preserve"> font avec les quelques documents épars qui nous restent des seigneuries laïques un saisissant contraste. Non qu’elles soient sans lacunes. C’est par comparaison qu’elles semblent si riches. Les év</w:t>
      </w:r>
      <w:r w:rsidRPr="00246AE4">
        <w:rPr>
          <w:color w:val="000000"/>
          <w:lang w:eastAsia="fr-FR" w:bidi="fr-FR"/>
        </w:rPr>
        <w:t>ê</w:t>
      </w:r>
      <w:r w:rsidRPr="00246AE4">
        <w:rPr>
          <w:color w:val="000000"/>
          <w:lang w:eastAsia="fr-FR" w:bidi="fr-FR"/>
        </w:rPr>
        <w:t xml:space="preserve">ques, les doyens, les abbés paraissent avoir conservé les pièces qui intéressaient les biens qu’ils possédaient en propre avec moins de soin que les chanoines ou les moines celles qui concernaient les domaines du chapitre ou du couvent. Les églises même les mieux pourvues ne fournissent que peu de textes des </w:t>
      </w:r>
      <w:r>
        <w:rPr>
          <w:color w:val="000000"/>
          <w:lang w:eastAsia="fr-FR" w:bidi="fr-FR"/>
        </w:rPr>
        <w:t>X</w:t>
      </w:r>
      <w:r w:rsidRPr="00246AE4">
        <w:rPr>
          <w:color w:val="000000"/>
          <w:vertAlign w:val="superscript"/>
          <w:lang w:eastAsia="fr-FR" w:bidi="fr-FR"/>
        </w:rPr>
        <w:t>e</w:t>
      </w:r>
      <w:r w:rsidRPr="00246AE4">
        <w:rPr>
          <w:color w:val="000000"/>
          <w:lang w:eastAsia="fr-FR" w:bidi="fr-FR"/>
        </w:rPr>
        <w:t xml:space="preserve"> et </w:t>
      </w:r>
      <w:r>
        <w:rPr>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siècles. M. Poupardin, qui a recueilli avec diligence les « chartes de Saint-Germain-des-Prés », n’a réussi à découvrir, entre 900</w:t>
      </w:r>
      <w:r>
        <w:rPr>
          <w:color w:val="000000"/>
          <w:lang w:eastAsia="fr-FR" w:bidi="fr-FR"/>
        </w:rPr>
        <w:t xml:space="preserve"> et 1100 (deux siècles), que 35 </w:t>
      </w:r>
      <w:r w:rsidRPr="00246AE4">
        <w:rPr>
          <w:color w:val="000000"/>
          <w:lang w:eastAsia="fr-FR" w:bidi="fr-FR"/>
        </w:rPr>
        <w:t>chartes, alors que, entre 1100 et 1200 (un siècle seulement), il en a trouvé 220 et en eût trouvé bien davantage encore pour les siècles su</w:t>
      </w:r>
      <w:r w:rsidRPr="00246AE4">
        <w:rPr>
          <w:color w:val="000000"/>
          <w:lang w:eastAsia="fr-FR" w:bidi="fr-FR"/>
        </w:rPr>
        <w:t>i</w:t>
      </w:r>
      <w:r w:rsidRPr="00246AE4">
        <w:rPr>
          <w:color w:val="000000"/>
          <w:lang w:eastAsia="fr-FR" w:bidi="fr-FR"/>
        </w:rPr>
        <w:t xml:space="preserve">vants. Malgré ces réserves, et d’autres que l’on pourrait faire, c’est </w:t>
      </w:r>
      <w:r w:rsidRPr="00246AE4">
        <w:rPr>
          <w:color w:val="000000"/>
          <w:lang w:eastAsia="fr-FR" w:bidi="fr-FR"/>
        </w:rPr>
        <w:lastRenderedPageBreak/>
        <w:t xml:space="preserve">souvent par milliers que l’on compte les documents du Moyen </w:t>
      </w:r>
      <w:r>
        <w:rPr>
          <w:color w:val="000000"/>
          <w:lang w:eastAsia="fr-FR" w:bidi="fr-FR"/>
        </w:rPr>
        <w:t>Â</w:t>
      </w:r>
      <w:r w:rsidRPr="00246AE4">
        <w:rPr>
          <w:color w:val="000000"/>
          <w:lang w:eastAsia="fr-FR" w:bidi="fr-FR"/>
        </w:rPr>
        <w:t>ge transmis par une seule maison religieuse : originaux, copies sur feui</w:t>
      </w:r>
      <w:r w:rsidRPr="00246AE4">
        <w:rPr>
          <w:color w:val="000000"/>
          <w:lang w:eastAsia="fr-FR" w:bidi="fr-FR"/>
        </w:rPr>
        <w:t>l</w:t>
      </w:r>
      <w:r w:rsidRPr="00246AE4">
        <w:rPr>
          <w:color w:val="000000"/>
          <w:lang w:eastAsia="fr-FR" w:bidi="fr-FR"/>
        </w:rPr>
        <w:t>les volantes ou bien transcrites aux pages des cartulaires, censiers, l</w:t>
      </w:r>
      <w:r w:rsidRPr="00246AE4">
        <w:rPr>
          <w:color w:val="000000"/>
          <w:lang w:eastAsia="fr-FR" w:bidi="fr-FR"/>
        </w:rPr>
        <w:t>i</w:t>
      </w:r>
      <w:r w:rsidRPr="00246AE4">
        <w:rPr>
          <w:color w:val="000000"/>
          <w:lang w:eastAsia="fr-FR" w:bidi="fr-FR"/>
        </w:rPr>
        <w:t>vres de comptes</w:t>
      </w:r>
      <w:r>
        <w:rPr>
          <w:color w:val="000000"/>
          <w:lang w:eastAsia="fr-FR" w:bidi="fr-FR"/>
        </w:rPr>
        <w:t> </w:t>
      </w:r>
      <w:r>
        <w:rPr>
          <w:rStyle w:val="Appelnotedebasdep"/>
        </w:rPr>
        <w:footnoteReference w:id="589"/>
      </w:r>
      <w:r w:rsidRPr="00246AE4">
        <w:rPr>
          <w:color w:val="000000"/>
          <w:lang w:eastAsia="fr-FR" w:bidi="fr-FR"/>
        </w:rPr>
        <w:t>,</w:t>
      </w:r>
      <w:r>
        <w:rPr>
          <w:color w:val="000000"/>
          <w:lang w:eastAsia="fr-FR" w:bidi="fr-FR"/>
        </w:rPr>
        <w:t xml:space="preserve"> [759] </w:t>
      </w:r>
      <w:r w:rsidRPr="00246AE4">
        <w:rPr>
          <w:color w:val="000000"/>
          <w:lang w:eastAsia="fr-FR" w:bidi="fr-FR"/>
        </w:rPr>
        <w:t>délibérations consignées dans les registres capitulaires</w:t>
      </w:r>
      <w:r>
        <w:rPr>
          <w:color w:val="000000"/>
          <w:lang w:eastAsia="fr-FR" w:bidi="fr-FR"/>
        </w:rPr>
        <w:t> </w:t>
      </w:r>
      <w:r>
        <w:rPr>
          <w:rStyle w:val="Appelnotedebasdep"/>
        </w:rPr>
        <w:footnoteReference w:id="590"/>
      </w:r>
      <w:r w:rsidRPr="00246AE4">
        <w:rPr>
          <w:color w:val="000000"/>
          <w:lang w:eastAsia="fr-FR" w:bidi="fr-FR"/>
        </w:rPr>
        <w:t xml:space="preserve">. Comment se reconnaître parmi tant de richesses ? avant de s’y plonger, comment en prendre un aperçu d’ensemble ? Bien des causes, depuis le </w:t>
      </w:r>
      <w:r w:rsidRPr="00760E3D">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 ont amené la dispersion des archives ecclésiastiques. Ces a</w:t>
      </w:r>
      <w:r w:rsidRPr="00246AE4">
        <w:rPr>
          <w:color w:val="000000"/>
          <w:lang w:eastAsia="fr-FR" w:bidi="fr-FR"/>
        </w:rPr>
        <w:t>r</w:t>
      </w:r>
      <w:r w:rsidRPr="00246AE4">
        <w:rPr>
          <w:color w:val="000000"/>
          <w:lang w:eastAsia="fr-FR" w:bidi="fr-FR"/>
        </w:rPr>
        <w:t>chives d’autre part, depuis l’Ancien Régime, ont fait l’objet de publ</w:t>
      </w:r>
      <w:r w:rsidRPr="00246AE4">
        <w:rPr>
          <w:color w:val="000000"/>
          <w:lang w:eastAsia="fr-FR" w:bidi="fr-FR"/>
        </w:rPr>
        <w:t>i</w:t>
      </w:r>
      <w:r w:rsidRPr="00246AE4">
        <w:rPr>
          <w:color w:val="000000"/>
          <w:lang w:eastAsia="fr-FR" w:bidi="fr-FR"/>
        </w:rPr>
        <w:t>cations nombreuses, mais très fragmentaires. Comment retrouver les documents provenant d’une église déterminée dans les différents dépôts de manuscrits à travers lesquels ils sont r</w:t>
      </w:r>
      <w:r w:rsidRPr="00246AE4">
        <w:rPr>
          <w:color w:val="000000"/>
          <w:lang w:eastAsia="fr-FR" w:bidi="fr-FR"/>
        </w:rPr>
        <w:t>é</w:t>
      </w:r>
      <w:r w:rsidRPr="00246AE4">
        <w:rPr>
          <w:color w:val="000000"/>
          <w:lang w:eastAsia="fr-FR" w:bidi="fr-FR"/>
        </w:rPr>
        <w:t>pandus, dans les r</w:t>
      </w:r>
      <w:r w:rsidRPr="00246AE4">
        <w:rPr>
          <w:color w:val="000000"/>
          <w:lang w:eastAsia="fr-FR" w:bidi="fr-FR"/>
        </w:rPr>
        <w:t>e</w:t>
      </w:r>
      <w:r w:rsidRPr="00246AE4">
        <w:rPr>
          <w:color w:val="000000"/>
          <w:lang w:eastAsia="fr-FR" w:bidi="fr-FR"/>
        </w:rPr>
        <w:t xml:space="preserve">cueils où ils sont reproduits ? </w:t>
      </w:r>
      <w:r>
        <w:rPr>
          <w:color w:val="000000"/>
          <w:lang w:eastAsia="fr-FR" w:bidi="fr-FR"/>
        </w:rPr>
        <w:t>À</w:t>
      </w:r>
      <w:r w:rsidRPr="00246AE4">
        <w:rPr>
          <w:color w:val="000000"/>
          <w:lang w:eastAsia="fr-FR" w:bidi="fr-FR"/>
        </w:rPr>
        <w:t xml:space="preserve"> ces questions, d’excellents instr</w:t>
      </w:r>
      <w:r w:rsidRPr="00246AE4">
        <w:rPr>
          <w:color w:val="000000"/>
          <w:lang w:eastAsia="fr-FR" w:bidi="fr-FR"/>
        </w:rPr>
        <w:t>u</w:t>
      </w:r>
      <w:r w:rsidRPr="00246AE4">
        <w:rPr>
          <w:color w:val="000000"/>
          <w:lang w:eastAsia="fr-FR" w:bidi="fr-FR"/>
        </w:rPr>
        <w:t>ments de travail sont venus répondre.</w:t>
      </w:r>
    </w:p>
    <w:p w14:paraId="2D6FDBD5" w14:textId="77777777" w:rsidR="00B9662D" w:rsidRPr="00246AE4" w:rsidRDefault="00B9662D" w:rsidP="00B9662D">
      <w:pPr>
        <w:spacing w:before="120" w:after="120"/>
        <w:jc w:val="both"/>
      </w:pPr>
      <w:r w:rsidRPr="00246AE4">
        <w:rPr>
          <w:color w:val="000000"/>
          <w:lang w:eastAsia="fr-FR" w:bidi="fr-FR"/>
        </w:rPr>
        <w:lastRenderedPageBreak/>
        <w:t>M. Stein a recensé les cartulaires imprimés et manuscrits de l</w:t>
      </w:r>
      <w:r>
        <w:rPr>
          <w:color w:val="000000"/>
          <w:lang w:eastAsia="fr-FR" w:bidi="fr-FR"/>
        </w:rPr>
        <w:t>a</w:t>
      </w:r>
      <w:r w:rsidRPr="00246AE4">
        <w:rPr>
          <w:color w:val="000000"/>
          <w:lang w:eastAsia="fr-FR" w:bidi="fr-FR"/>
        </w:rPr>
        <w:t xml:space="preserve"> France entière avec une exactitude et une précision admirables. Aya</w:t>
      </w:r>
      <w:r>
        <w:rPr>
          <w:color w:val="000000"/>
          <w:lang w:eastAsia="fr-FR" w:bidi="fr-FR"/>
        </w:rPr>
        <w:t>nt moi-même pratiqué ceux de l’Î</w:t>
      </w:r>
      <w:r w:rsidRPr="00246AE4">
        <w:rPr>
          <w:color w:val="000000"/>
          <w:lang w:eastAsia="fr-FR" w:bidi="fr-FR"/>
        </w:rPr>
        <w:t xml:space="preserve">le-de-France, je n’ai relevé chez lui que bien peu d’omissions ou d’erreurs. On lira en note (avec l’indication de quelques recueils imprimés après l’apparition de sa </w:t>
      </w:r>
      <w:r w:rsidRPr="004A552F">
        <w:rPr>
          <w:i/>
        </w:rPr>
        <w:t>Bibliographie</w:t>
      </w:r>
      <w:r w:rsidRPr="00246AE4">
        <w:rPr>
          <w:color w:val="000000"/>
          <w:lang w:eastAsia="fr-FR" w:bidi="fr-FR"/>
        </w:rPr>
        <w:t>) ces rectifications, dont je souhaite qu’elles servent à une seconde éd</w:t>
      </w:r>
      <w:r w:rsidRPr="00246AE4">
        <w:rPr>
          <w:color w:val="000000"/>
          <w:lang w:eastAsia="fr-FR" w:bidi="fr-FR"/>
        </w:rPr>
        <w:t>i</w:t>
      </w:r>
      <w:r w:rsidRPr="00246AE4">
        <w:rPr>
          <w:color w:val="000000"/>
          <w:lang w:eastAsia="fr-FR" w:bidi="fr-FR"/>
        </w:rPr>
        <w:t>tion</w:t>
      </w:r>
      <w:r>
        <w:rPr>
          <w:color w:val="000000"/>
          <w:lang w:eastAsia="fr-FR" w:bidi="fr-FR"/>
        </w:rPr>
        <w:t> </w:t>
      </w:r>
      <w:r>
        <w:rPr>
          <w:rStyle w:val="Appelnotedebasdep"/>
        </w:rPr>
        <w:footnoteReference w:id="591"/>
      </w:r>
      <w:r w:rsidRPr="00246AE4">
        <w:rPr>
          <w:color w:val="000000"/>
          <w:lang w:eastAsia="fr-FR" w:bidi="fr-FR"/>
        </w:rPr>
        <w:t>. Un bénédictin,</w:t>
      </w:r>
      <w:r>
        <w:rPr>
          <w:color w:val="000000"/>
          <w:lang w:eastAsia="fr-FR" w:bidi="fr-FR"/>
        </w:rPr>
        <w:t xml:space="preserve"> [760] </w:t>
      </w:r>
      <w:r w:rsidRPr="00246AE4">
        <w:rPr>
          <w:color w:val="000000"/>
          <w:lang w:eastAsia="fr-FR" w:bidi="fr-FR"/>
        </w:rPr>
        <w:t xml:space="preserve">dom Beau nier, avait publié en 1724 </w:t>
      </w:r>
      <w:r w:rsidRPr="00246AE4">
        <w:rPr>
          <w:color w:val="000000"/>
          <w:lang w:eastAsia="fr-FR" w:bidi="fr-FR"/>
        </w:rPr>
        <w:lastRenderedPageBreak/>
        <w:t xml:space="preserve">sous le titre de </w:t>
      </w:r>
      <w:r w:rsidRPr="00DE3362">
        <w:rPr>
          <w:i/>
        </w:rPr>
        <w:t>Recueil hist</w:t>
      </w:r>
      <w:r w:rsidRPr="00DE3362">
        <w:rPr>
          <w:i/>
        </w:rPr>
        <w:t>o</w:t>
      </w:r>
      <w:r w:rsidRPr="00DE3362">
        <w:rPr>
          <w:i/>
        </w:rPr>
        <w:t>rique des archevêchés</w:t>
      </w:r>
      <w:r w:rsidRPr="00DE3362">
        <w:rPr>
          <w:i/>
          <w:color w:val="000000"/>
          <w:lang w:eastAsia="fr-FR" w:bidi="fr-FR"/>
        </w:rPr>
        <w:t xml:space="preserve">, </w:t>
      </w:r>
      <w:r w:rsidRPr="00DE3362">
        <w:rPr>
          <w:i/>
        </w:rPr>
        <w:t>évêchés</w:t>
      </w:r>
      <w:r w:rsidRPr="00DE3362">
        <w:rPr>
          <w:i/>
          <w:color w:val="000000"/>
          <w:lang w:eastAsia="fr-FR" w:bidi="fr-FR"/>
        </w:rPr>
        <w:t xml:space="preserve">, </w:t>
      </w:r>
      <w:r w:rsidRPr="00DE3362">
        <w:rPr>
          <w:i/>
        </w:rPr>
        <w:t>abbayes et prieurés de France</w:t>
      </w:r>
      <w:r w:rsidRPr="00246AE4">
        <w:rPr>
          <w:color w:val="000000"/>
          <w:lang w:eastAsia="fr-FR" w:bidi="fr-FR"/>
        </w:rPr>
        <w:t xml:space="preserve"> une assez médiocre compilation, formée par une suite de notices sur les différents établissements ecclésiastiques du royaume. De nos jours, les Bénédictins de Ligugé, en qui se perpétue la forte tradition érudi</w:t>
      </w:r>
      <w:r>
        <w:rPr>
          <w:color w:val="000000"/>
          <w:lang w:eastAsia="fr-FR" w:bidi="fr-FR"/>
        </w:rPr>
        <w:t>te de la Congrégation de Saint-</w:t>
      </w:r>
      <w:r w:rsidRPr="00246AE4">
        <w:rPr>
          <w:color w:val="000000"/>
          <w:lang w:eastAsia="fr-FR" w:bidi="fr-FR"/>
        </w:rPr>
        <w:t xml:space="preserve">Maur, ont repris le livre de dom Beaunier. </w:t>
      </w:r>
      <w:r>
        <w:rPr>
          <w:color w:val="000000"/>
          <w:lang w:eastAsia="fr-FR" w:bidi="fr-FR"/>
        </w:rPr>
        <w:t>À</w:t>
      </w:r>
      <w:r w:rsidRPr="00246AE4">
        <w:rPr>
          <w:color w:val="000000"/>
          <w:lang w:eastAsia="fr-FR" w:bidi="fr-FR"/>
        </w:rPr>
        <w:t xml:space="preserve"> dire vrai, sous le nom trop modeste de seconde édition, ils nous donnent une œuvre presque entièrement or</w:t>
      </w:r>
      <w:r w:rsidRPr="00246AE4">
        <w:rPr>
          <w:color w:val="000000"/>
          <w:lang w:eastAsia="fr-FR" w:bidi="fr-FR"/>
        </w:rPr>
        <w:t>i</w:t>
      </w:r>
      <w:r w:rsidRPr="00246AE4">
        <w:rPr>
          <w:color w:val="000000"/>
          <w:lang w:eastAsia="fr-FR" w:bidi="fr-FR"/>
        </w:rPr>
        <w:t>ginale. S’ils gardent les notices de dom Beaunier, c’est en les compl</w:t>
      </w:r>
      <w:r w:rsidRPr="00246AE4">
        <w:rPr>
          <w:color w:val="000000"/>
          <w:lang w:eastAsia="fr-FR" w:bidi="fr-FR"/>
        </w:rPr>
        <w:t>é</w:t>
      </w:r>
      <w:r w:rsidRPr="00246AE4">
        <w:rPr>
          <w:color w:val="000000"/>
          <w:lang w:eastAsia="fr-FR" w:bidi="fr-FR"/>
        </w:rPr>
        <w:t>tant. Surtout, chacune d’elles est désormais suivie d’une abondante et précise bibliographie, qui est toute nouvelle. Lorsque cette belle e</w:t>
      </w:r>
      <w:r w:rsidRPr="00246AE4">
        <w:rPr>
          <w:color w:val="000000"/>
          <w:lang w:eastAsia="fr-FR" w:bidi="fr-FR"/>
        </w:rPr>
        <w:t>n</w:t>
      </w:r>
      <w:r w:rsidRPr="00246AE4">
        <w:rPr>
          <w:color w:val="000000"/>
          <w:lang w:eastAsia="fr-FR" w:bidi="fr-FR"/>
        </w:rPr>
        <w:t>treprise, qui n’est qu’à ses d</w:t>
      </w:r>
      <w:r w:rsidRPr="00246AE4">
        <w:rPr>
          <w:color w:val="000000"/>
          <w:lang w:eastAsia="fr-FR" w:bidi="fr-FR"/>
        </w:rPr>
        <w:t>é</w:t>
      </w:r>
      <w:r w:rsidRPr="00246AE4">
        <w:rPr>
          <w:color w:val="000000"/>
          <w:lang w:eastAsia="fr-FR" w:bidi="fr-FR"/>
        </w:rPr>
        <w:t>buts, sera achevée, nous pourrons du premier coup d’œil, pour chac</w:t>
      </w:r>
      <w:r w:rsidRPr="00246AE4">
        <w:rPr>
          <w:color w:val="000000"/>
          <w:lang w:eastAsia="fr-FR" w:bidi="fr-FR"/>
        </w:rPr>
        <w:t>u</w:t>
      </w:r>
      <w:r w:rsidRPr="00246AE4">
        <w:rPr>
          <w:color w:val="000000"/>
          <w:lang w:eastAsia="fr-FR" w:bidi="fr-FR"/>
        </w:rPr>
        <w:t>ne des maisons religieuses de l’ancienne France, connaître les sources imprimées et manuscrites où son histoire est écrite. Ce grand ouvrage comprendra sans doute de nombreux volumes. Le tome</w:t>
      </w:r>
      <w:r>
        <w:rPr>
          <w:color w:val="000000"/>
          <w:lang w:eastAsia="fr-FR" w:bidi="fr-FR"/>
        </w:rPr>
        <w:t> </w:t>
      </w:r>
      <w:r w:rsidRPr="00246AE4">
        <w:rPr>
          <w:color w:val="000000"/>
          <w:lang w:eastAsia="fr-FR" w:bidi="fr-FR"/>
        </w:rPr>
        <w:t>I</w:t>
      </w:r>
      <w:r w:rsidRPr="00246AE4">
        <w:rPr>
          <w:color w:val="000000"/>
          <w:vertAlign w:val="superscript"/>
          <w:lang w:eastAsia="fr-FR" w:bidi="fr-FR"/>
        </w:rPr>
        <w:t>er</w:t>
      </w:r>
      <w:r>
        <w:rPr>
          <w:color w:val="000000"/>
          <w:lang w:eastAsia="fr-FR" w:bidi="fr-FR"/>
        </w:rPr>
        <w:t xml:space="preserve"> intéresse l’Î</w:t>
      </w:r>
      <w:r w:rsidRPr="00246AE4">
        <w:rPr>
          <w:color w:val="000000"/>
          <w:lang w:eastAsia="fr-FR" w:bidi="fr-FR"/>
        </w:rPr>
        <w:t>le-de-France ; il concerne la Province Ecclésiastique de Paris</w:t>
      </w:r>
      <w:r>
        <w:rPr>
          <w:color w:val="000000"/>
          <w:lang w:eastAsia="fr-FR" w:bidi="fr-FR"/>
        </w:rPr>
        <w:t> </w:t>
      </w:r>
      <w:r>
        <w:rPr>
          <w:rStyle w:val="Appelnotedebasdep"/>
        </w:rPr>
        <w:footnoteReference w:id="592"/>
      </w:r>
      <w:r w:rsidRPr="00246AE4">
        <w:rPr>
          <w:color w:val="000000"/>
          <w:lang w:eastAsia="fr-FR" w:bidi="fr-FR"/>
        </w:rPr>
        <w:t>.</w:t>
      </w:r>
    </w:p>
    <w:p w14:paraId="37513EF0" w14:textId="77777777" w:rsidR="00B9662D" w:rsidRPr="00246AE4" w:rsidRDefault="00B9662D" w:rsidP="00B9662D">
      <w:pPr>
        <w:spacing w:before="120" w:after="120"/>
        <w:jc w:val="both"/>
      </w:pPr>
      <w:r w:rsidRPr="00246AE4">
        <w:rPr>
          <w:color w:val="000000"/>
          <w:lang w:eastAsia="fr-FR" w:bidi="fr-FR"/>
        </w:rPr>
        <w:t xml:space="preserve">La chronologie des dignitaires ecclésiastiques du Moyen </w:t>
      </w:r>
      <w:r>
        <w:rPr>
          <w:color w:val="000000"/>
          <w:lang w:eastAsia="fr-FR" w:bidi="fr-FR"/>
        </w:rPr>
        <w:t>Â</w:t>
      </w:r>
      <w:r w:rsidRPr="00246AE4">
        <w:rPr>
          <w:color w:val="000000"/>
          <w:lang w:eastAsia="fr-FR" w:bidi="fr-FR"/>
        </w:rPr>
        <w:t>ge est difficile à établir. Sa connaissance pourtant est indispensable à qu</w:t>
      </w:r>
      <w:r w:rsidRPr="00246AE4">
        <w:rPr>
          <w:color w:val="000000"/>
          <w:lang w:eastAsia="fr-FR" w:bidi="fr-FR"/>
        </w:rPr>
        <w:t>i</w:t>
      </w:r>
      <w:r w:rsidRPr="00246AE4">
        <w:rPr>
          <w:color w:val="000000"/>
          <w:lang w:eastAsia="fr-FR" w:bidi="fr-FR"/>
        </w:rPr>
        <w:t>conque veut interpréter correctement les sources diplomatiques. Bea</w:t>
      </w:r>
      <w:r w:rsidRPr="00246AE4">
        <w:rPr>
          <w:color w:val="000000"/>
          <w:lang w:eastAsia="fr-FR" w:bidi="fr-FR"/>
        </w:rPr>
        <w:t>u</w:t>
      </w:r>
      <w:r w:rsidRPr="00246AE4">
        <w:rPr>
          <w:color w:val="000000"/>
          <w:lang w:eastAsia="fr-FR" w:bidi="fr-FR"/>
        </w:rPr>
        <w:t xml:space="preserve">coup d’actes en effet, au moins pour le Haut Moyen </w:t>
      </w:r>
      <w:r>
        <w:rPr>
          <w:color w:val="000000"/>
          <w:lang w:eastAsia="fr-FR" w:bidi="fr-FR"/>
        </w:rPr>
        <w:t>Â</w:t>
      </w:r>
      <w:r w:rsidRPr="00246AE4">
        <w:rPr>
          <w:color w:val="000000"/>
          <w:lang w:eastAsia="fr-FR" w:bidi="fr-FR"/>
        </w:rPr>
        <w:t>ge, ne prése</w:t>
      </w:r>
      <w:r w:rsidRPr="00246AE4">
        <w:rPr>
          <w:color w:val="000000"/>
          <w:lang w:eastAsia="fr-FR" w:bidi="fr-FR"/>
        </w:rPr>
        <w:t>n</w:t>
      </w:r>
      <w:r w:rsidRPr="00246AE4">
        <w:rPr>
          <w:color w:val="000000"/>
          <w:lang w:eastAsia="fr-FR" w:bidi="fr-FR"/>
        </w:rPr>
        <w:t>tent d’autres mentions permettant de les dater que les noms des pe</w:t>
      </w:r>
      <w:r w:rsidRPr="00246AE4">
        <w:rPr>
          <w:color w:val="000000"/>
          <w:lang w:eastAsia="fr-FR" w:bidi="fr-FR"/>
        </w:rPr>
        <w:t>r</w:t>
      </w:r>
      <w:r w:rsidRPr="00246AE4">
        <w:rPr>
          <w:color w:val="000000"/>
          <w:lang w:eastAsia="fr-FR" w:bidi="fr-FR"/>
        </w:rPr>
        <w:t>sonnages qui les passèrent ou bien les authentiquèrent de leur sou</w:t>
      </w:r>
      <w:r w:rsidRPr="00246AE4">
        <w:rPr>
          <w:color w:val="000000"/>
          <w:lang w:eastAsia="fr-FR" w:bidi="fr-FR"/>
        </w:rPr>
        <w:t>s</w:t>
      </w:r>
      <w:r w:rsidRPr="00246AE4">
        <w:rPr>
          <w:color w:val="000000"/>
          <w:lang w:eastAsia="fr-FR" w:bidi="fr-FR"/>
        </w:rPr>
        <w:t>cription ou de leur témoignage. MM. Maurice Lecomte et Delaforge se sont attachés à débrouiller le premier la chronologie des évêques de Meaux</w:t>
      </w:r>
      <w:r>
        <w:rPr>
          <w:color w:val="000000"/>
          <w:lang w:eastAsia="fr-FR" w:bidi="fr-FR"/>
        </w:rPr>
        <w:t> </w:t>
      </w:r>
      <w:r>
        <w:rPr>
          <w:rStyle w:val="Appelnotedebasdep"/>
        </w:rPr>
        <w:footnoteReference w:id="593"/>
      </w:r>
      <w:r w:rsidRPr="00246AE4">
        <w:rPr>
          <w:color w:val="000000"/>
          <w:lang w:eastAsia="fr-FR" w:bidi="fr-FR"/>
        </w:rPr>
        <w:t xml:space="preserve">, le second celle des dignitaires des abbayes, chapitres et </w:t>
      </w:r>
      <w:r w:rsidRPr="00246AE4">
        <w:rPr>
          <w:color w:val="000000"/>
          <w:lang w:eastAsia="fr-FR" w:bidi="fr-FR"/>
        </w:rPr>
        <w:lastRenderedPageBreak/>
        <w:t>prieurés du même diocèse</w:t>
      </w:r>
      <w:r>
        <w:rPr>
          <w:color w:val="000000"/>
          <w:lang w:eastAsia="fr-FR" w:bidi="fr-FR"/>
        </w:rPr>
        <w:t> </w:t>
      </w:r>
      <w:r>
        <w:rPr>
          <w:rStyle w:val="Appelnotedebasdep"/>
        </w:rPr>
        <w:footnoteReference w:id="594"/>
      </w:r>
      <w:r>
        <w:rPr>
          <w:color w:val="000000"/>
          <w:lang w:eastAsia="fr-FR" w:bidi="fr-FR"/>
        </w:rPr>
        <w:t>.</w:t>
      </w:r>
      <w:r w:rsidRPr="00246AE4">
        <w:rPr>
          <w:color w:val="000000"/>
          <w:lang w:eastAsia="fr-FR" w:bidi="fr-FR"/>
        </w:rPr>
        <w:t xml:space="preserve"> </w:t>
      </w:r>
      <w:r>
        <w:rPr>
          <w:color w:val="000000"/>
          <w:lang w:eastAsia="fr-FR" w:bidi="fr-FR"/>
        </w:rPr>
        <w:t>À</w:t>
      </w:r>
      <w:r w:rsidRPr="00246AE4">
        <w:rPr>
          <w:color w:val="000000"/>
          <w:lang w:eastAsia="fr-FR" w:bidi="fr-FR"/>
        </w:rPr>
        <w:t xml:space="preserve"> Chartres la succession des plus anciens évêques a été étudiée par M. Lucien Merlet</w:t>
      </w:r>
      <w:r>
        <w:rPr>
          <w:color w:val="000000"/>
          <w:lang w:eastAsia="fr-FR" w:bidi="fr-FR"/>
        </w:rPr>
        <w:t> </w:t>
      </w:r>
      <w:r>
        <w:rPr>
          <w:rStyle w:val="Appelnotedebasdep"/>
        </w:rPr>
        <w:footnoteReference w:id="595"/>
      </w:r>
      <w:r w:rsidRPr="00246AE4">
        <w:rPr>
          <w:color w:val="000000"/>
          <w:lang w:eastAsia="fr-FR" w:bidi="fr-FR"/>
        </w:rPr>
        <w:t>, la succession des dign</w:t>
      </w:r>
      <w:r w:rsidRPr="00246AE4">
        <w:rPr>
          <w:color w:val="000000"/>
          <w:lang w:eastAsia="fr-FR" w:bidi="fr-FR"/>
        </w:rPr>
        <w:t>i</w:t>
      </w:r>
      <w:r w:rsidRPr="00246AE4">
        <w:rPr>
          <w:color w:val="000000"/>
          <w:lang w:eastAsia="fr-FR" w:bidi="fr-FR"/>
        </w:rPr>
        <w:t>taires du chapitre cathédral par MM. Lucien et Bené Merlet</w:t>
      </w:r>
      <w:r>
        <w:rPr>
          <w:color w:val="000000"/>
          <w:lang w:eastAsia="fr-FR" w:bidi="fr-FR"/>
        </w:rPr>
        <w:t> </w:t>
      </w:r>
      <w:r>
        <w:rPr>
          <w:rStyle w:val="Appelnotedebasdep"/>
        </w:rPr>
        <w:footnoteReference w:id="596"/>
      </w:r>
      <w:r w:rsidRPr="00246AE4">
        <w:rPr>
          <w:color w:val="000000"/>
          <w:lang w:eastAsia="fr-FR" w:bidi="fr-FR"/>
        </w:rPr>
        <w:t>.</w:t>
      </w:r>
    </w:p>
    <w:p w14:paraId="42E85EBF" w14:textId="77777777" w:rsidR="00B9662D" w:rsidRPr="00246AE4" w:rsidRDefault="00B9662D" w:rsidP="00B9662D">
      <w:pPr>
        <w:spacing w:before="120" w:after="120"/>
        <w:jc w:val="both"/>
      </w:pPr>
      <w:r w:rsidRPr="00246AE4">
        <w:rPr>
          <w:color w:val="000000"/>
          <w:lang w:eastAsia="fr-FR" w:bidi="fr-FR"/>
        </w:rPr>
        <w:t>Aidé par ces instruments de travail, à quelle sorte d’ouvrage l’historien de l’</w:t>
      </w:r>
      <w:r>
        <w:rPr>
          <w:color w:val="000000"/>
          <w:lang w:eastAsia="fr-FR" w:bidi="fr-FR"/>
        </w:rPr>
        <w:t>Île-de-France</w:t>
      </w:r>
      <w:r w:rsidRPr="00246AE4">
        <w:rPr>
          <w:color w:val="000000"/>
          <w:lang w:eastAsia="fr-FR" w:bidi="fr-FR"/>
        </w:rPr>
        <w:t xml:space="preserve"> emploiera-t-il les documents que lui fournissent si généreusement les archives des églises ? </w:t>
      </w:r>
      <w:r>
        <w:rPr>
          <w:color w:val="000000"/>
          <w:lang w:eastAsia="fr-FR" w:bidi="fr-FR"/>
        </w:rPr>
        <w:t>À</w:t>
      </w:r>
      <w:r w:rsidRPr="00246AE4">
        <w:rPr>
          <w:color w:val="000000"/>
          <w:lang w:eastAsia="fr-FR" w:bidi="fr-FR"/>
        </w:rPr>
        <w:t xml:space="preserve"> la vérité, c’est l’histoire du Moyen </w:t>
      </w:r>
      <w:r>
        <w:rPr>
          <w:color w:val="000000"/>
          <w:lang w:eastAsia="fr-FR" w:bidi="fr-FR"/>
        </w:rPr>
        <w:t>Â</w:t>
      </w:r>
      <w:r w:rsidRPr="00246AE4">
        <w:rPr>
          <w:color w:val="000000"/>
          <w:lang w:eastAsia="fr-FR" w:bidi="fr-FR"/>
        </w:rPr>
        <w:t xml:space="preserve">ge presque tout entière, au moins jusqu’au </w:t>
      </w:r>
      <w:r w:rsidRPr="002C7FA2">
        <w:rPr>
          <w:caps/>
          <w:color w:val="000000"/>
          <w:lang w:eastAsia="fr-FR" w:bidi="fr-FR"/>
        </w:rPr>
        <w:t>xiv</w:t>
      </w:r>
      <w:r w:rsidRPr="00246AE4">
        <w:rPr>
          <w:color w:val="000000"/>
          <w:vertAlign w:val="superscript"/>
          <w:lang w:eastAsia="fr-FR" w:bidi="fr-FR"/>
        </w:rPr>
        <w:t>e</w:t>
      </w:r>
      <w:r w:rsidRPr="00246AE4">
        <w:rPr>
          <w:color w:val="000000"/>
          <w:lang w:eastAsia="fr-FR" w:bidi="fr-FR"/>
        </w:rPr>
        <w:t xml:space="preserve"> siècle, qui s’écrit avec ces documents, que les sources narratives complètent, mais ne sauraient</w:t>
      </w:r>
      <w:r>
        <w:t xml:space="preserve"> [761]</w:t>
      </w:r>
      <w:r w:rsidRPr="00246AE4">
        <w:rPr>
          <w:color w:val="000000"/>
          <w:lang w:eastAsia="fr-FR" w:bidi="fr-FR"/>
        </w:rPr>
        <w:t xml:space="preserve"> remplacer. Que resterait-il de l</w:t>
      </w:r>
      <w:r w:rsidRPr="00246AE4">
        <w:rPr>
          <w:color w:val="000000"/>
          <w:lang w:eastAsia="fr-FR" w:bidi="fr-FR"/>
        </w:rPr>
        <w:t>i</w:t>
      </w:r>
      <w:r w:rsidRPr="00246AE4">
        <w:rPr>
          <w:color w:val="000000"/>
          <w:lang w:eastAsia="fr-FR" w:bidi="fr-FR"/>
        </w:rPr>
        <w:t xml:space="preserve">vres tels que les </w:t>
      </w:r>
      <w:r w:rsidRPr="002C7FA2">
        <w:rPr>
          <w:i/>
        </w:rPr>
        <w:t>Ann</w:t>
      </w:r>
      <w:r w:rsidRPr="002C7FA2">
        <w:rPr>
          <w:i/>
        </w:rPr>
        <w:t>a</w:t>
      </w:r>
      <w:r w:rsidRPr="002C7FA2">
        <w:rPr>
          <w:i/>
        </w:rPr>
        <w:t>les de la vie de Louis VI</w:t>
      </w:r>
      <w:r w:rsidRPr="00246AE4">
        <w:rPr>
          <w:color w:val="000000"/>
          <w:lang w:eastAsia="fr-FR" w:bidi="fr-FR"/>
        </w:rPr>
        <w:t xml:space="preserve"> de M. Luchaire si les églises, et en particulier les églises de l’</w:t>
      </w:r>
      <w:r>
        <w:rPr>
          <w:color w:val="000000"/>
          <w:lang w:eastAsia="fr-FR" w:bidi="fr-FR"/>
        </w:rPr>
        <w:t>Île-de-France</w:t>
      </w:r>
      <w:r w:rsidRPr="00246AE4">
        <w:rPr>
          <w:color w:val="000000"/>
          <w:lang w:eastAsia="fr-FR" w:bidi="fr-FR"/>
        </w:rPr>
        <w:t>, n’avaient eu l’habitude de conserver les pièces qui pouvaient leur être utiles ?</w:t>
      </w:r>
    </w:p>
    <w:p w14:paraId="67878BE4" w14:textId="77777777" w:rsidR="00B9662D" w:rsidRPr="00246AE4" w:rsidRDefault="00B9662D" w:rsidP="00B9662D">
      <w:pPr>
        <w:spacing w:before="120" w:after="120"/>
        <w:jc w:val="both"/>
      </w:pPr>
      <w:r w:rsidRPr="00246AE4">
        <w:rPr>
          <w:color w:val="000000"/>
          <w:lang w:eastAsia="fr-FR" w:bidi="fr-FR"/>
        </w:rPr>
        <w:t>Mais il ne s’agit ici que de l’histoire ecclésiastique proprement d</w:t>
      </w:r>
      <w:r w:rsidRPr="00246AE4">
        <w:rPr>
          <w:color w:val="000000"/>
          <w:lang w:eastAsia="fr-FR" w:bidi="fr-FR"/>
        </w:rPr>
        <w:t>i</w:t>
      </w:r>
      <w:r w:rsidRPr="00246AE4">
        <w:rPr>
          <w:color w:val="000000"/>
          <w:lang w:eastAsia="fr-FR" w:bidi="fr-FR"/>
        </w:rPr>
        <w:t xml:space="preserve">te. Une idée viendra naturellement à l’érudit qui dispose d’un fonds d’archives provenant d’une maison religieuse : ce sera de raconter les destinées de cette maison, soit pendant toute la durée de son existence, soit du moins pendant une période très longue, telle que le Moyen </w:t>
      </w:r>
      <w:r>
        <w:rPr>
          <w:color w:val="000000"/>
          <w:lang w:eastAsia="fr-FR" w:bidi="fr-FR"/>
        </w:rPr>
        <w:t>Â</w:t>
      </w:r>
      <w:r w:rsidRPr="00246AE4">
        <w:rPr>
          <w:color w:val="000000"/>
          <w:lang w:eastAsia="fr-FR" w:bidi="fr-FR"/>
        </w:rPr>
        <w:t>ge. L’entreprise a de quoi séduire. Foyers d’études et de mystici</w:t>
      </w:r>
      <w:r w:rsidRPr="00246AE4">
        <w:rPr>
          <w:color w:val="000000"/>
          <w:lang w:eastAsia="fr-FR" w:bidi="fr-FR"/>
        </w:rPr>
        <w:t>s</w:t>
      </w:r>
      <w:r w:rsidRPr="00246AE4">
        <w:rPr>
          <w:color w:val="000000"/>
          <w:lang w:eastAsia="fr-FR" w:bidi="fr-FR"/>
        </w:rPr>
        <w:t>me</w:t>
      </w:r>
      <w:r>
        <w:rPr>
          <w:color w:val="000000"/>
          <w:lang w:eastAsia="fr-FR" w:bidi="fr-FR"/>
        </w:rPr>
        <w:t> </w:t>
      </w:r>
      <w:r>
        <w:rPr>
          <w:rStyle w:val="Appelnotedebasdep"/>
        </w:rPr>
        <w:footnoteReference w:id="597"/>
      </w:r>
      <w:r w:rsidRPr="00246AE4">
        <w:rPr>
          <w:color w:val="000000"/>
          <w:lang w:eastAsia="fr-FR" w:bidi="fr-FR"/>
        </w:rPr>
        <w:t>, non pas asiles de paix comme nous l’imaginons trop souvent, mais secouées au contraire par les luttes qui agitent les sociétés qui ne sont pas des sociétés mortes, puissantes entreprises agricoles, co</w:t>
      </w:r>
      <w:r w:rsidRPr="00246AE4">
        <w:rPr>
          <w:color w:val="000000"/>
          <w:lang w:eastAsia="fr-FR" w:bidi="fr-FR"/>
        </w:rPr>
        <w:t>m</w:t>
      </w:r>
      <w:r w:rsidRPr="00246AE4">
        <w:rPr>
          <w:color w:val="000000"/>
          <w:lang w:eastAsia="fr-FR" w:bidi="fr-FR"/>
        </w:rPr>
        <w:t xml:space="preserve">merciales et financières, les communautés ecclésiastiques, au </w:t>
      </w:r>
      <w:r w:rsidRPr="00246AE4">
        <w:rPr>
          <w:color w:val="000000"/>
          <w:lang w:eastAsia="fr-FR" w:bidi="fr-FR"/>
        </w:rPr>
        <w:lastRenderedPageBreak/>
        <w:t xml:space="preserve">Moyen </w:t>
      </w:r>
      <w:r>
        <w:rPr>
          <w:color w:val="000000"/>
          <w:lang w:eastAsia="fr-FR" w:bidi="fr-FR"/>
        </w:rPr>
        <w:t>Â</w:t>
      </w:r>
      <w:r w:rsidRPr="00246AE4">
        <w:rPr>
          <w:color w:val="000000"/>
          <w:lang w:eastAsia="fr-FR" w:bidi="fr-FR"/>
        </w:rPr>
        <w:t>ge, connurent une vie active, diverse et large. Leurs chefs furent conduits, par leurs intérêts comme par leurs habitudes de pensée, à porter leur vue au</w:t>
      </w:r>
      <w:r>
        <w:rPr>
          <w:color w:val="000000"/>
          <w:lang w:eastAsia="fr-FR" w:bidi="fr-FR"/>
        </w:rPr>
        <w:t>-</w:t>
      </w:r>
      <w:r w:rsidRPr="00246AE4">
        <w:rPr>
          <w:color w:val="000000"/>
          <w:lang w:eastAsia="fr-FR" w:bidi="fr-FR"/>
        </w:rPr>
        <w:t>delà des limites étroites de leur petite province, vers le Royaume ou vers la Chrétienté. Dans la société féodale, qui se mo</w:t>
      </w:r>
      <w:r w:rsidRPr="00246AE4">
        <w:rPr>
          <w:color w:val="000000"/>
          <w:lang w:eastAsia="fr-FR" w:bidi="fr-FR"/>
        </w:rPr>
        <w:t>r</w:t>
      </w:r>
      <w:r w:rsidRPr="00246AE4">
        <w:rPr>
          <w:color w:val="000000"/>
          <w:lang w:eastAsia="fr-FR" w:bidi="fr-FR"/>
        </w:rPr>
        <w:t>celait et s’émiettait, elles furent des agents d’union. Le spectacle de leur activité multiple s’offre à leur historien. Mais, monastères et ch</w:t>
      </w:r>
      <w:r w:rsidRPr="00246AE4">
        <w:rPr>
          <w:color w:val="000000"/>
          <w:lang w:eastAsia="fr-FR" w:bidi="fr-FR"/>
        </w:rPr>
        <w:t>a</w:t>
      </w:r>
      <w:r w:rsidRPr="00246AE4">
        <w:rPr>
          <w:color w:val="000000"/>
          <w:lang w:eastAsia="fr-FR" w:bidi="fr-FR"/>
        </w:rPr>
        <w:t>pitres furent, avant toutes choses, des fondations religieuses, qui d</w:t>
      </w:r>
      <w:r w:rsidRPr="00246AE4">
        <w:rPr>
          <w:color w:val="000000"/>
          <w:lang w:eastAsia="fr-FR" w:bidi="fr-FR"/>
        </w:rPr>
        <w:t>e</w:t>
      </w:r>
      <w:r w:rsidRPr="00246AE4">
        <w:rPr>
          <w:color w:val="000000"/>
          <w:lang w:eastAsia="fr-FR" w:bidi="fr-FR"/>
        </w:rPr>
        <w:t>vaient, à tous les chrétiens, et particulièrement à ceux qui les avaient enrichies, procurer par des messes et par des prières, le salut des âmes et quelquefois celui des corps. L’historien s’appliquera à reconnaître l’empreinte dont la vocation religieuse des églises marqua tout ce qu’elles firent et jusqu’à leurs opérations financières elles-mêmes ; il trouvera dans cette recherche l’unité profonde de son étude</w:t>
      </w:r>
      <w:r>
        <w:rPr>
          <w:color w:val="000000"/>
          <w:lang w:eastAsia="fr-FR" w:bidi="fr-FR"/>
        </w:rPr>
        <w:t> </w:t>
      </w:r>
      <w:r>
        <w:rPr>
          <w:rStyle w:val="Appelnotedebasdep"/>
        </w:rPr>
        <w:footnoteReference w:id="598"/>
      </w:r>
      <w:r w:rsidRPr="00246AE4">
        <w:rPr>
          <w:color w:val="000000"/>
          <w:lang w:eastAsia="fr-FR" w:bidi="fr-FR"/>
        </w:rPr>
        <w:t>.</w:t>
      </w:r>
    </w:p>
    <w:p w14:paraId="560EA71B" w14:textId="77777777" w:rsidR="00B9662D" w:rsidRPr="00246AE4" w:rsidRDefault="00B9662D" w:rsidP="00B9662D">
      <w:pPr>
        <w:spacing w:before="120" w:after="120"/>
        <w:jc w:val="both"/>
      </w:pPr>
      <w:r w:rsidRPr="00246AE4">
        <w:rPr>
          <w:color w:val="000000"/>
          <w:lang w:eastAsia="fr-FR" w:bidi="fr-FR"/>
        </w:rPr>
        <w:t xml:space="preserve">Le nom de l’abbaye de Saint-Denis-en-France se lit à toutes les pages de l’histoire du Moyen </w:t>
      </w:r>
      <w:r>
        <w:rPr>
          <w:color w:val="000000"/>
          <w:lang w:eastAsia="fr-FR" w:bidi="fr-FR"/>
        </w:rPr>
        <w:t>Â</w:t>
      </w:r>
      <w:r w:rsidRPr="00246AE4">
        <w:rPr>
          <w:color w:val="000000"/>
          <w:lang w:eastAsia="fr-FR" w:bidi="fr-FR"/>
        </w:rPr>
        <w:t>ge</w:t>
      </w:r>
      <w:r>
        <w:rPr>
          <w:color w:val="000000"/>
          <w:lang w:eastAsia="fr-FR" w:bidi="fr-FR"/>
        </w:rPr>
        <w:t> </w:t>
      </w:r>
      <w:r>
        <w:rPr>
          <w:rStyle w:val="Appelnotedebasdep"/>
        </w:rPr>
        <w:footnoteReference w:id="599"/>
      </w:r>
      <w:r w:rsidRPr="00246AE4">
        <w:rPr>
          <w:color w:val="000000"/>
          <w:lang w:eastAsia="fr-FR" w:bidi="fr-FR"/>
        </w:rPr>
        <w:t>. Ses domaines s’étendaient au</w:t>
      </w:r>
      <w:r>
        <w:rPr>
          <w:color w:val="000000"/>
          <w:lang w:eastAsia="fr-FR" w:bidi="fr-FR"/>
        </w:rPr>
        <w:t>-</w:t>
      </w:r>
      <w:r w:rsidRPr="00246AE4">
        <w:rPr>
          <w:color w:val="000000"/>
          <w:lang w:eastAsia="fr-FR" w:bidi="fr-FR"/>
        </w:rPr>
        <w:t>delà des frontières du royaume. Ses reliques et ses foires attiraient de toutes parts pèlerins et marchands. Ses abbés et ses moines conseill</w:t>
      </w:r>
      <w:r w:rsidRPr="00246AE4">
        <w:rPr>
          <w:color w:val="000000"/>
          <w:lang w:eastAsia="fr-FR" w:bidi="fr-FR"/>
        </w:rPr>
        <w:t>è</w:t>
      </w:r>
      <w:r w:rsidRPr="00246AE4">
        <w:rPr>
          <w:color w:val="000000"/>
          <w:lang w:eastAsia="fr-FR" w:bidi="fr-FR"/>
        </w:rPr>
        <w:t>rent carolingiens et capétiens. Sa basilique, où dormaient les rois, fut la première grande église gothique qui ait jamais été construite. Que</w:t>
      </w:r>
      <w:r w:rsidRPr="00246AE4">
        <w:rPr>
          <w:color w:val="000000"/>
          <w:lang w:eastAsia="fr-FR" w:bidi="fr-FR"/>
        </w:rPr>
        <w:t>l</w:t>
      </w:r>
      <w:r w:rsidRPr="00246AE4">
        <w:rPr>
          <w:color w:val="000000"/>
          <w:lang w:eastAsia="fr-FR" w:bidi="fr-FR"/>
        </w:rPr>
        <w:t xml:space="preserve">ques-uns des plus importants ouvrages historiques que le Moyen </w:t>
      </w:r>
      <w:r>
        <w:rPr>
          <w:color w:val="000000"/>
          <w:lang w:eastAsia="fr-FR" w:bidi="fr-FR"/>
        </w:rPr>
        <w:t>Â</w:t>
      </w:r>
      <w:r w:rsidRPr="00246AE4">
        <w:rPr>
          <w:color w:val="000000"/>
          <w:lang w:eastAsia="fr-FR" w:bidi="fr-FR"/>
        </w:rPr>
        <w:t>ge ait produits sont sortis de Saint-Denis. De Saint-Denis aussi prit son vol plus d’une légende épique. M. Luchaire avait jugé l’histoire de cette grande maison digne de former la matière d’un travail collectif qu’il eût voulu voir exécuter par les étudiants qu’il groupait autour de lui. Quelques bonnes monographies d’abbés, celles de M. Dubruel sur Fulrad</w:t>
      </w:r>
      <w:r>
        <w:rPr>
          <w:color w:val="000000"/>
          <w:lang w:eastAsia="fr-FR" w:bidi="fr-FR"/>
        </w:rPr>
        <w:t> </w:t>
      </w:r>
      <w:r>
        <w:rPr>
          <w:rStyle w:val="Appelnotedebasdep"/>
        </w:rPr>
        <w:footnoteReference w:id="600"/>
      </w:r>
      <w:r w:rsidRPr="00246AE4">
        <w:rPr>
          <w:color w:val="000000"/>
          <w:lang w:eastAsia="fr-FR" w:bidi="fr-FR"/>
        </w:rPr>
        <w:t>, de M. Poupardin sur Ebles</w:t>
      </w:r>
      <w:r>
        <w:rPr>
          <w:color w:val="000000"/>
          <w:lang w:eastAsia="fr-FR" w:bidi="fr-FR"/>
        </w:rPr>
        <w:t> </w:t>
      </w:r>
      <w:r>
        <w:rPr>
          <w:rStyle w:val="Appelnotedebasdep"/>
        </w:rPr>
        <w:footnoteReference w:id="601"/>
      </w:r>
      <w:r w:rsidRPr="00246AE4">
        <w:rPr>
          <w:color w:val="000000"/>
          <w:lang w:eastAsia="fr-FR" w:bidi="fr-FR"/>
        </w:rPr>
        <w:t>,</w:t>
      </w:r>
      <w:r>
        <w:rPr>
          <w:color w:val="000000"/>
          <w:lang w:eastAsia="fr-FR" w:bidi="fr-FR"/>
        </w:rPr>
        <w:t xml:space="preserve"> </w:t>
      </w:r>
      <w:r>
        <w:t xml:space="preserve">[762] </w:t>
      </w:r>
      <w:r w:rsidRPr="00246AE4">
        <w:rPr>
          <w:color w:val="000000"/>
          <w:lang w:eastAsia="fr-FR" w:bidi="fr-FR"/>
        </w:rPr>
        <w:t xml:space="preserve">de M. Cordey sur </w:t>
      </w:r>
      <w:r w:rsidRPr="00246AE4">
        <w:rPr>
          <w:color w:val="000000"/>
          <w:lang w:eastAsia="fr-FR" w:bidi="fr-FR"/>
        </w:rPr>
        <w:lastRenderedPageBreak/>
        <w:t>Gui</w:t>
      </w:r>
      <w:r w:rsidRPr="00246AE4">
        <w:rPr>
          <w:color w:val="000000"/>
          <w:lang w:eastAsia="fr-FR" w:bidi="fr-FR"/>
        </w:rPr>
        <w:t>l</w:t>
      </w:r>
      <w:r w:rsidRPr="00246AE4">
        <w:rPr>
          <w:color w:val="000000"/>
          <w:lang w:eastAsia="fr-FR" w:bidi="fr-FR"/>
        </w:rPr>
        <w:t>laume de Massouris</w:t>
      </w:r>
      <w:r>
        <w:rPr>
          <w:color w:val="000000"/>
          <w:lang w:eastAsia="fr-FR" w:bidi="fr-FR"/>
        </w:rPr>
        <w:t> </w:t>
      </w:r>
      <w:r>
        <w:rPr>
          <w:rStyle w:val="Appelnotedebasdep"/>
        </w:rPr>
        <w:footnoteReference w:id="602"/>
      </w:r>
      <w:r w:rsidRPr="00246AE4">
        <w:rPr>
          <w:color w:val="000000"/>
          <w:lang w:eastAsia="fr-FR" w:bidi="fr-FR"/>
        </w:rPr>
        <w:t xml:space="preserve"> sont tout ce qu’a do</w:t>
      </w:r>
      <w:r w:rsidRPr="00246AE4">
        <w:rPr>
          <w:color w:val="000000"/>
          <w:lang w:eastAsia="fr-FR" w:bidi="fr-FR"/>
        </w:rPr>
        <w:t>n</w:t>
      </w:r>
      <w:r w:rsidRPr="00246AE4">
        <w:rPr>
          <w:color w:val="000000"/>
          <w:lang w:eastAsia="fr-FR" w:bidi="fr-FR"/>
        </w:rPr>
        <w:t>né cette entreprise. A côté de ces ouvrages, il faut signaler le livre excellent de M. Otto Cartelli</w:t>
      </w:r>
      <w:r w:rsidRPr="00246AE4">
        <w:rPr>
          <w:color w:val="000000"/>
          <w:lang w:eastAsia="fr-FR" w:bidi="fr-FR"/>
        </w:rPr>
        <w:t>e</w:t>
      </w:r>
      <w:r w:rsidRPr="00246AE4">
        <w:rPr>
          <w:color w:val="000000"/>
          <w:lang w:eastAsia="fr-FR" w:bidi="fr-FR"/>
        </w:rPr>
        <w:t>ri sur l’abbé Suger</w:t>
      </w:r>
      <w:r>
        <w:rPr>
          <w:color w:val="000000"/>
          <w:lang w:eastAsia="fr-FR" w:bidi="fr-FR"/>
        </w:rPr>
        <w:t> </w:t>
      </w:r>
      <w:r>
        <w:rPr>
          <w:rStyle w:val="Appelnotedebasdep"/>
        </w:rPr>
        <w:footnoteReference w:id="603"/>
      </w:r>
      <w:r w:rsidRPr="00246AE4">
        <w:rPr>
          <w:color w:val="000000"/>
          <w:lang w:eastAsia="fr-FR" w:bidi="fr-FR"/>
        </w:rPr>
        <w:t>. Parmi les œuvres de Suger, celles qui offrent le plus d’intérêt pour l’histoire monastique</w:t>
      </w:r>
      <w:r>
        <w:rPr>
          <w:color w:val="000000"/>
          <w:lang w:eastAsia="fr-FR" w:bidi="fr-FR"/>
        </w:rPr>
        <w:t> — </w:t>
      </w:r>
      <w:r w:rsidRPr="00246AE4">
        <w:rPr>
          <w:color w:val="000000"/>
          <w:lang w:eastAsia="fr-FR" w:bidi="fr-FR"/>
        </w:rPr>
        <w:t xml:space="preserve">le </w:t>
      </w:r>
      <w:r w:rsidRPr="00E11462">
        <w:rPr>
          <w:i/>
        </w:rPr>
        <w:t>Traité sur son admini</w:t>
      </w:r>
      <w:r w:rsidRPr="00E11462">
        <w:rPr>
          <w:i/>
        </w:rPr>
        <w:t>s</w:t>
      </w:r>
      <w:r w:rsidRPr="00E11462">
        <w:rPr>
          <w:i/>
        </w:rPr>
        <w:t>tration abbatiale</w:t>
      </w:r>
      <w:r w:rsidRPr="00246AE4">
        <w:rPr>
          <w:color w:val="000000"/>
          <w:lang w:eastAsia="fr-FR" w:bidi="fr-FR"/>
        </w:rPr>
        <w:t xml:space="preserve"> et le </w:t>
      </w:r>
      <w:r w:rsidRPr="00E11462">
        <w:rPr>
          <w:i/>
        </w:rPr>
        <w:t>Petit Traité sur la Consécration de l'Église Saint-Denis</w:t>
      </w:r>
      <w:r w:rsidRPr="00246AE4">
        <w:t>,</w:t>
      </w:r>
      <w:r>
        <w:rPr>
          <w:color w:val="000000"/>
          <w:lang w:eastAsia="fr-FR" w:bidi="fr-FR"/>
        </w:rPr>
        <w:t> — </w:t>
      </w:r>
      <w:r w:rsidRPr="00246AE4">
        <w:rPr>
          <w:color w:val="000000"/>
          <w:lang w:eastAsia="fr-FR" w:bidi="fr-FR"/>
        </w:rPr>
        <w:t>médiocrement publiées par Lecoy de la Marche</w:t>
      </w:r>
      <w:r>
        <w:rPr>
          <w:color w:val="000000"/>
          <w:lang w:eastAsia="fr-FR" w:bidi="fr-FR"/>
        </w:rPr>
        <w:t> </w:t>
      </w:r>
      <w:r>
        <w:rPr>
          <w:rStyle w:val="Appelnotedebasdep"/>
        </w:rPr>
        <w:footnoteReference w:id="604"/>
      </w:r>
      <w:r w:rsidRPr="00246AE4">
        <w:rPr>
          <w:color w:val="000000"/>
          <w:lang w:eastAsia="fr-FR" w:bidi="fr-FR"/>
        </w:rPr>
        <w:t>, a</w:t>
      </w:r>
      <w:r w:rsidRPr="00246AE4">
        <w:rPr>
          <w:color w:val="000000"/>
          <w:lang w:eastAsia="fr-FR" w:bidi="fr-FR"/>
        </w:rPr>
        <w:t>t</w:t>
      </w:r>
      <w:r w:rsidRPr="00246AE4">
        <w:rPr>
          <w:color w:val="000000"/>
          <w:lang w:eastAsia="fr-FR" w:bidi="fr-FR"/>
        </w:rPr>
        <w:t>tendent encore une édition vraiment scientif</w:t>
      </w:r>
      <w:r w:rsidRPr="00246AE4">
        <w:rPr>
          <w:color w:val="000000"/>
          <w:lang w:eastAsia="fr-FR" w:bidi="fr-FR"/>
        </w:rPr>
        <w:t>i</w:t>
      </w:r>
      <w:r w:rsidRPr="00246AE4">
        <w:rPr>
          <w:color w:val="000000"/>
          <w:lang w:eastAsia="fr-FR" w:bidi="fr-FR"/>
        </w:rPr>
        <w:t>que. M. de Béthune avait commencé sur l’historiographie dyonisienne une étude d’ensemble qui malheureusement est restée inachevée</w:t>
      </w:r>
      <w:r>
        <w:rPr>
          <w:color w:val="000000"/>
          <w:lang w:eastAsia="fr-FR" w:bidi="fr-FR"/>
        </w:rPr>
        <w:t> </w:t>
      </w:r>
      <w:r>
        <w:rPr>
          <w:rStyle w:val="Appelnotedebasdep"/>
        </w:rPr>
        <w:footnoteReference w:id="605"/>
      </w:r>
      <w:r w:rsidRPr="00246AE4">
        <w:rPr>
          <w:color w:val="000000"/>
          <w:lang w:eastAsia="fr-FR" w:bidi="fr-FR"/>
        </w:rPr>
        <w:t>. M. Bédier a consacré à « l’abbaye de Saint-Denis et les chansons de ge</w:t>
      </w:r>
      <w:r w:rsidRPr="00246AE4">
        <w:rPr>
          <w:color w:val="000000"/>
          <w:lang w:eastAsia="fr-FR" w:bidi="fr-FR"/>
        </w:rPr>
        <w:t>s</w:t>
      </w:r>
      <w:r w:rsidRPr="00246AE4">
        <w:rPr>
          <w:color w:val="000000"/>
          <w:lang w:eastAsia="fr-FR" w:bidi="fr-FR"/>
        </w:rPr>
        <w:t xml:space="preserve">te », un chapitre du tome quatrième de ses </w:t>
      </w:r>
      <w:r w:rsidRPr="00CE0DCC">
        <w:rPr>
          <w:i/>
        </w:rPr>
        <w:t>Légendes Épiques </w:t>
      </w:r>
      <w:r>
        <w:rPr>
          <w:rStyle w:val="Appelnotedebasdep"/>
        </w:rPr>
        <w:footnoteReference w:id="606"/>
      </w:r>
      <w:r w:rsidRPr="00246AE4">
        <w:rPr>
          <w:color w:val="000000"/>
          <w:lang w:eastAsia="fr-FR" w:bidi="fr-FR"/>
        </w:rPr>
        <w:t>, et nous annonce, sur l’un des poèmes nés auprès du tombeau des ma</w:t>
      </w:r>
      <w:r w:rsidRPr="00246AE4">
        <w:rPr>
          <w:color w:val="000000"/>
          <w:lang w:eastAsia="fr-FR" w:bidi="fr-FR"/>
        </w:rPr>
        <w:t>r</w:t>
      </w:r>
      <w:r w:rsidRPr="00246AE4">
        <w:rPr>
          <w:color w:val="000000"/>
          <w:lang w:eastAsia="fr-FR" w:bidi="fr-FR"/>
        </w:rPr>
        <w:t xml:space="preserve">tyrs, le </w:t>
      </w:r>
      <w:r w:rsidRPr="00CE0DCC">
        <w:rPr>
          <w:i/>
        </w:rPr>
        <w:t>Floovant</w:t>
      </w:r>
      <w:r w:rsidRPr="00246AE4">
        <w:t>,</w:t>
      </w:r>
      <w:r w:rsidRPr="00246AE4">
        <w:rPr>
          <w:color w:val="000000"/>
          <w:lang w:eastAsia="fr-FR" w:bidi="fr-FR"/>
        </w:rPr>
        <w:t xml:space="preserve"> le travail d’un de ses élèves, M. Jean Acher. Les foires de Saint-Denis trouv</w:t>
      </w:r>
      <w:r w:rsidRPr="00246AE4">
        <w:rPr>
          <w:color w:val="000000"/>
          <w:lang w:eastAsia="fr-FR" w:bidi="fr-FR"/>
        </w:rPr>
        <w:t>e</w:t>
      </w:r>
      <w:r w:rsidRPr="00246AE4">
        <w:rPr>
          <w:color w:val="000000"/>
          <w:lang w:eastAsia="fr-FR" w:bidi="fr-FR"/>
        </w:rPr>
        <w:t>ront bientôt leur historien</w:t>
      </w:r>
      <w:r>
        <w:rPr>
          <w:color w:val="000000"/>
          <w:lang w:eastAsia="fr-FR" w:bidi="fr-FR"/>
        </w:rPr>
        <w:t> </w:t>
      </w:r>
      <w:r>
        <w:rPr>
          <w:rStyle w:val="Appelnotedebasdep"/>
        </w:rPr>
        <w:footnoteReference w:id="607"/>
      </w:r>
      <w:r w:rsidRPr="00246AE4">
        <w:rPr>
          <w:color w:val="000000"/>
          <w:lang w:eastAsia="fr-FR" w:bidi="fr-FR"/>
        </w:rPr>
        <w:t>. Quant aux a</w:t>
      </w:r>
      <w:r w:rsidRPr="00246AE4">
        <w:rPr>
          <w:color w:val="000000"/>
          <w:lang w:eastAsia="fr-FR" w:bidi="fr-FR"/>
        </w:rPr>
        <w:t>r</w:t>
      </w:r>
      <w:r w:rsidRPr="00246AE4">
        <w:rPr>
          <w:color w:val="000000"/>
          <w:lang w:eastAsia="fr-FR" w:bidi="fr-FR"/>
        </w:rPr>
        <w:t xml:space="preserve">chives </w:t>
      </w:r>
      <w:r w:rsidRPr="00246AE4">
        <w:rPr>
          <w:color w:val="000000"/>
          <w:lang w:eastAsia="fr-FR" w:bidi="fr-FR"/>
        </w:rPr>
        <w:lastRenderedPageBreak/>
        <w:t>mêmes de l’abbaye, exploitées depuis plusieurs siècles par bien des érudits, elles n’ont j</w:t>
      </w:r>
      <w:r w:rsidRPr="00246AE4">
        <w:rPr>
          <w:color w:val="000000"/>
          <w:lang w:eastAsia="fr-FR" w:bidi="fr-FR"/>
        </w:rPr>
        <w:t>a</w:t>
      </w:r>
      <w:r w:rsidRPr="00246AE4">
        <w:rPr>
          <w:color w:val="000000"/>
          <w:lang w:eastAsia="fr-FR" w:bidi="fr-FR"/>
        </w:rPr>
        <w:t xml:space="preserve">mais fait l’objet d’une publication intégrale. La Société de l’Histoire de Paris ne nous donnera-t-elle point quelque jour le </w:t>
      </w:r>
      <w:r w:rsidRPr="00CE0DCC">
        <w:rPr>
          <w:i/>
        </w:rPr>
        <w:t>Recueil des Chartes de Saint-Denis ?</w:t>
      </w:r>
      <w:r w:rsidRPr="00246AE4">
        <w:rPr>
          <w:color w:val="000000"/>
          <w:lang w:eastAsia="fr-FR" w:bidi="fr-FR"/>
        </w:rPr>
        <w:t xml:space="preserve"> L’érudit qui assumerait la tâche de comp</w:t>
      </w:r>
      <w:r w:rsidRPr="00246AE4">
        <w:rPr>
          <w:color w:val="000000"/>
          <w:lang w:eastAsia="fr-FR" w:bidi="fr-FR"/>
        </w:rPr>
        <w:t>o</w:t>
      </w:r>
      <w:r w:rsidRPr="00246AE4">
        <w:rPr>
          <w:color w:val="000000"/>
          <w:lang w:eastAsia="fr-FR" w:bidi="fr-FR"/>
        </w:rPr>
        <w:t>ser ce recueil, s’il établissait les règles suivies par la chancellerie dy</w:t>
      </w:r>
      <w:r w:rsidRPr="00246AE4">
        <w:rPr>
          <w:color w:val="000000"/>
          <w:lang w:eastAsia="fr-FR" w:bidi="fr-FR"/>
        </w:rPr>
        <w:t>o</w:t>
      </w:r>
      <w:r w:rsidRPr="00246AE4">
        <w:rPr>
          <w:color w:val="000000"/>
          <w:lang w:eastAsia="fr-FR" w:bidi="fr-FR"/>
        </w:rPr>
        <w:t>nisienne, fournirait une précieuse contribution à la diplomatique.</w:t>
      </w:r>
    </w:p>
    <w:p w14:paraId="0B2DABA0" w14:textId="77777777" w:rsidR="00B9662D" w:rsidRPr="00246AE4" w:rsidRDefault="00B9662D" w:rsidP="00B9662D">
      <w:pPr>
        <w:spacing w:before="120" w:after="120"/>
        <w:jc w:val="both"/>
      </w:pPr>
      <w:r w:rsidRPr="00246AE4">
        <w:rPr>
          <w:color w:val="000000"/>
          <w:lang w:eastAsia="fr-FR" w:bidi="fr-FR"/>
        </w:rPr>
        <w:t>Sur plusieurs des établissements ecclésiastiques de l’</w:t>
      </w:r>
      <w:r>
        <w:rPr>
          <w:color w:val="000000"/>
          <w:lang w:eastAsia="fr-FR" w:bidi="fr-FR"/>
        </w:rPr>
        <w:t>Île-de-France</w:t>
      </w:r>
      <w:r w:rsidRPr="00246AE4">
        <w:rPr>
          <w:color w:val="000000"/>
          <w:lang w:eastAsia="fr-FR" w:bidi="fr-FR"/>
        </w:rPr>
        <w:t xml:space="preserve"> des monographies historiques ont été écrites, au </w:t>
      </w:r>
      <w:r w:rsidRPr="00E11462">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et </w:t>
      </w:r>
      <w:r w:rsidRPr="00E11462">
        <w:rPr>
          <w:caps/>
          <w:color w:val="000000"/>
          <w:lang w:eastAsia="fr-FR" w:bidi="fr-FR"/>
        </w:rPr>
        <w:t>xx</w:t>
      </w:r>
      <w:r w:rsidRPr="00246AE4">
        <w:rPr>
          <w:color w:val="000000"/>
          <w:vertAlign w:val="superscript"/>
          <w:lang w:eastAsia="fr-FR" w:bidi="fr-FR"/>
        </w:rPr>
        <w:t>e</w:t>
      </w:r>
      <w:r w:rsidRPr="00246AE4">
        <w:rPr>
          <w:color w:val="000000"/>
          <w:lang w:eastAsia="fr-FR" w:bidi="fr-FR"/>
        </w:rPr>
        <w:t xml:space="preserve"> siècles. M. Fourrier-Bonnard, par exemple, a étudié Saint-Victor de Paris</w:t>
      </w:r>
      <w:r>
        <w:rPr>
          <w:color w:val="000000"/>
          <w:lang w:eastAsia="fr-FR" w:bidi="fr-FR"/>
        </w:rPr>
        <w:t> </w:t>
      </w:r>
      <w:r>
        <w:rPr>
          <w:rStyle w:val="Appelnotedebasdep"/>
        </w:rPr>
        <w:footnoteReference w:id="608"/>
      </w:r>
      <w:r w:rsidRPr="00246AE4">
        <w:rPr>
          <w:color w:val="000000"/>
          <w:lang w:eastAsia="fr-FR" w:bidi="fr-FR"/>
        </w:rPr>
        <w:t xml:space="preserve">, M. Giard, Sainte-Geneviève </w:t>
      </w:r>
      <w:r w:rsidRPr="00CE0DCC">
        <w:rPr>
          <w:i/>
        </w:rPr>
        <w:t>in monte parisiensi </w:t>
      </w:r>
      <w:r>
        <w:rPr>
          <w:rStyle w:val="Appelnotedebasdep"/>
        </w:rPr>
        <w:footnoteReference w:id="609"/>
      </w:r>
      <w:r w:rsidRPr="00246AE4">
        <w:t> ;</w:t>
      </w:r>
      <w:r>
        <w:rPr>
          <w:color w:val="000000"/>
          <w:lang w:eastAsia="fr-FR" w:bidi="fr-FR"/>
        </w:rPr>
        <w:t xml:space="preserve"> M. l’abbé Alliot, Notre-</w:t>
      </w:r>
      <w:r w:rsidRPr="00246AE4">
        <w:rPr>
          <w:color w:val="000000"/>
          <w:lang w:eastAsia="fr-FR" w:bidi="fr-FR"/>
        </w:rPr>
        <w:t>Dame de Gif</w:t>
      </w:r>
      <w:r>
        <w:rPr>
          <w:color w:val="000000"/>
          <w:lang w:eastAsia="fr-FR" w:bidi="fr-FR"/>
        </w:rPr>
        <w:t> </w:t>
      </w:r>
      <w:r>
        <w:rPr>
          <w:rStyle w:val="Appelnotedebasdep"/>
        </w:rPr>
        <w:footnoteReference w:id="610"/>
      </w:r>
      <w:r w:rsidRPr="00246AE4">
        <w:rPr>
          <w:color w:val="000000"/>
          <w:lang w:eastAsia="fr-FR" w:bidi="fr-FR"/>
        </w:rPr>
        <w:t>, et Notre-Dame d’Yerres</w:t>
      </w:r>
      <w:r>
        <w:rPr>
          <w:color w:val="000000"/>
          <w:lang w:eastAsia="fr-FR" w:bidi="fr-FR"/>
        </w:rPr>
        <w:t> </w:t>
      </w:r>
      <w:r>
        <w:rPr>
          <w:rStyle w:val="Appelnotedebasdep"/>
        </w:rPr>
        <w:footnoteReference w:id="611"/>
      </w:r>
      <w:r w:rsidRPr="00246AE4">
        <w:rPr>
          <w:color w:val="000000"/>
          <w:lang w:eastAsia="fr-FR" w:bidi="fr-FR"/>
        </w:rPr>
        <w:t> ; M. Torchet</w:t>
      </w:r>
      <w:r>
        <w:rPr>
          <w:color w:val="000000"/>
          <w:lang w:eastAsia="fr-FR" w:bidi="fr-FR"/>
        </w:rPr>
        <w:t> </w:t>
      </w:r>
      <w:r>
        <w:rPr>
          <w:rStyle w:val="Appelnotedebasdep"/>
        </w:rPr>
        <w:footnoteReference w:id="612"/>
      </w:r>
      <w:r w:rsidRPr="00246AE4">
        <w:rPr>
          <w:color w:val="000000"/>
          <w:lang w:eastAsia="fr-FR" w:bidi="fr-FR"/>
        </w:rPr>
        <w:t xml:space="preserve"> et M. Berthault</w:t>
      </w:r>
      <w:r>
        <w:rPr>
          <w:color w:val="000000"/>
          <w:lang w:eastAsia="fr-FR" w:bidi="fr-FR"/>
        </w:rPr>
        <w:t> </w:t>
      </w:r>
      <w:r>
        <w:rPr>
          <w:rStyle w:val="Appelnotedebasdep"/>
        </w:rPr>
        <w:footnoteReference w:id="613"/>
      </w:r>
      <w:r w:rsidRPr="00246AE4">
        <w:rPr>
          <w:color w:val="000000"/>
          <w:lang w:eastAsia="fr-FR" w:bidi="fr-FR"/>
        </w:rPr>
        <w:t>, l’abbaye de Chelles ; MM. Dutilleux et Depoin, Notre-Dame la Royale</w:t>
      </w:r>
      <w:r>
        <w:t xml:space="preserve"> [763] </w:t>
      </w:r>
      <w:r w:rsidRPr="00246AE4">
        <w:rPr>
          <w:color w:val="000000"/>
          <w:lang w:eastAsia="fr-FR" w:bidi="fr-FR"/>
        </w:rPr>
        <w:t>de Maubuisson</w:t>
      </w:r>
      <w:r>
        <w:rPr>
          <w:color w:val="000000"/>
          <w:lang w:eastAsia="fr-FR" w:bidi="fr-FR"/>
        </w:rPr>
        <w:t> </w:t>
      </w:r>
      <w:r>
        <w:rPr>
          <w:rStyle w:val="Appelnotedebasdep"/>
        </w:rPr>
        <w:footnoteReference w:id="614"/>
      </w:r>
      <w:r w:rsidRPr="00246AE4">
        <w:rPr>
          <w:color w:val="000000"/>
          <w:lang w:eastAsia="fr-FR" w:bidi="fr-FR"/>
        </w:rPr>
        <w:t>. On recueillera dans leurs tr</w:t>
      </w:r>
      <w:r w:rsidRPr="00246AE4">
        <w:rPr>
          <w:color w:val="000000"/>
          <w:lang w:eastAsia="fr-FR" w:bidi="fr-FR"/>
        </w:rPr>
        <w:t>a</w:t>
      </w:r>
      <w:r w:rsidRPr="00246AE4">
        <w:rPr>
          <w:color w:val="000000"/>
          <w:lang w:eastAsia="fr-FR" w:bidi="fr-FR"/>
        </w:rPr>
        <w:t>vaux beaucoup de renseignements utiles, mais peu de vues historiques intéressantes. Aussi bien parmi les abbayes que je viens de nommer, il en est</w:t>
      </w:r>
      <w:r>
        <w:rPr>
          <w:color w:val="000000"/>
          <w:lang w:eastAsia="fr-FR" w:bidi="fr-FR"/>
        </w:rPr>
        <w:t> — </w:t>
      </w:r>
      <w:r w:rsidRPr="00246AE4">
        <w:rPr>
          <w:color w:val="000000"/>
          <w:lang w:eastAsia="fr-FR" w:bidi="fr-FR"/>
        </w:rPr>
        <w:t>Yerres et Gif par exemple</w:t>
      </w:r>
      <w:r>
        <w:rPr>
          <w:color w:val="000000"/>
          <w:lang w:eastAsia="fr-FR" w:bidi="fr-FR"/>
        </w:rPr>
        <w:t> — </w:t>
      </w:r>
      <w:r w:rsidRPr="00246AE4">
        <w:rPr>
          <w:color w:val="000000"/>
          <w:lang w:eastAsia="fr-FR" w:bidi="fr-FR"/>
        </w:rPr>
        <w:t xml:space="preserve">dont les pauvres </w:t>
      </w:r>
      <w:r w:rsidRPr="00246AE4">
        <w:rPr>
          <w:color w:val="000000"/>
          <w:lang w:eastAsia="fr-FR" w:bidi="fr-FR"/>
        </w:rPr>
        <w:lastRenderedPageBreak/>
        <w:t>archives et les destins médiocres ne prêtaient guère à des récits attachants. Les diff</w:t>
      </w:r>
      <w:r w:rsidRPr="00246AE4">
        <w:rPr>
          <w:color w:val="000000"/>
          <w:lang w:eastAsia="fr-FR" w:bidi="fr-FR"/>
        </w:rPr>
        <w:t>i</w:t>
      </w:r>
      <w:r w:rsidRPr="00246AE4">
        <w:rPr>
          <w:color w:val="000000"/>
          <w:lang w:eastAsia="fr-FR" w:bidi="fr-FR"/>
        </w:rPr>
        <w:t>cultés que rencontre l’érudit qui retrace l’histoire d’un grand chapitre ou d’un grand monastère sont d’un ordre différent. Là, c’est l’abondance même des documents et la variété presque infinie des questions au</w:t>
      </w:r>
      <w:r w:rsidRPr="00246AE4">
        <w:rPr>
          <w:color w:val="000000"/>
          <w:lang w:eastAsia="fr-FR" w:bidi="fr-FR"/>
        </w:rPr>
        <w:t>x</w:t>
      </w:r>
      <w:r w:rsidRPr="00246AE4">
        <w:rPr>
          <w:color w:val="000000"/>
          <w:lang w:eastAsia="fr-FR" w:bidi="fr-FR"/>
        </w:rPr>
        <w:t>quelles touche une pareille histoire qui, risquant de contraindre l’écrivain à se disperser, créent le péril. D’autre part, pour nombreux qu’ils soient, les documents qui proviennent d’un seul fonds, sont to</w:t>
      </w:r>
      <w:r w:rsidRPr="00246AE4">
        <w:rPr>
          <w:color w:val="000000"/>
          <w:lang w:eastAsia="fr-FR" w:bidi="fr-FR"/>
        </w:rPr>
        <w:t>u</w:t>
      </w:r>
      <w:r w:rsidRPr="00246AE4">
        <w:rPr>
          <w:color w:val="000000"/>
          <w:lang w:eastAsia="fr-FR" w:bidi="fr-FR"/>
        </w:rPr>
        <w:t>jours incomplets et malaisés à interpréter sans secours étrangers. Quiconque a travaillé sur l’histoire rurale sait qu’il est i</w:t>
      </w:r>
      <w:r w:rsidRPr="00246AE4">
        <w:rPr>
          <w:color w:val="000000"/>
          <w:lang w:eastAsia="fr-FR" w:bidi="fr-FR"/>
        </w:rPr>
        <w:t>m</w:t>
      </w:r>
      <w:r w:rsidRPr="00246AE4">
        <w:rPr>
          <w:color w:val="000000"/>
          <w:lang w:eastAsia="fr-FR" w:bidi="fr-FR"/>
        </w:rPr>
        <w:t>possible de d</w:t>
      </w:r>
      <w:r w:rsidRPr="00246AE4">
        <w:rPr>
          <w:color w:val="000000"/>
          <w:lang w:eastAsia="fr-FR" w:bidi="fr-FR"/>
        </w:rPr>
        <w:t>é</w:t>
      </w:r>
      <w:r w:rsidRPr="00246AE4">
        <w:rPr>
          <w:color w:val="000000"/>
          <w:lang w:eastAsia="fr-FR" w:bidi="fr-FR"/>
        </w:rPr>
        <w:t>crire correctement la condition des paysans, dans une contrée donnée, en empruntant ses textes aux archives d’une abbaye unique. Procéder ainsi, c’est se condamner soi-même à attribuer trop d’importance à des particularités d’administration monastique, et su</w:t>
      </w:r>
      <w:r w:rsidRPr="00246AE4">
        <w:rPr>
          <w:color w:val="000000"/>
          <w:lang w:eastAsia="fr-FR" w:bidi="fr-FR"/>
        </w:rPr>
        <w:t>r</w:t>
      </w:r>
      <w:r w:rsidRPr="00246AE4">
        <w:rPr>
          <w:color w:val="000000"/>
          <w:lang w:eastAsia="fr-FR" w:bidi="fr-FR"/>
        </w:rPr>
        <w:t>tout à négliger des faits essentiels dont la gravité, au premier abord cachée, ne se m</w:t>
      </w:r>
      <w:r w:rsidRPr="00246AE4">
        <w:rPr>
          <w:color w:val="000000"/>
          <w:lang w:eastAsia="fr-FR" w:bidi="fr-FR"/>
        </w:rPr>
        <w:t>a</w:t>
      </w:r>
      <w:r w:rsidRPr="00246AE4">
        <w:rPr>
          <w:color w:val="000000"/>
          <w:lang w:eastAsia="fr-FR" w:bidi="fr-FR"/>
        </w:rPr>
        <w:t>nifeste que lorsqu’on les voit réapparaître en des sources diverses</w:t>
      </w:r>
      <w:r>
        <w:rPr>
          <w:color w:val="000000"/>
          <w:lang w:eastAsia="fr-FR" w:bidi="fr-FR"/>
        </w:rPr>
        <w:t> </w:t>
      </w:r>
      <w:r>
        <w:rPr>
          <w:rStyle w:val="Appelnotedebasdep"/>
        </w:rPr>
        <w:footnoteReference w:id="615"/>
      </w:r>
      <w:r w:rsidRPr="00246AE4">
        <w:rPr>
          <w:color w:val="000000"/>
          <w:lang w:eastAsia="fr-FR" w:bidi="fr-FR"/>
        </w:rPr>
        <w:t>. J’ai dit plus haut pour quelles raisons la compos</w:t>
      </w:r>
      <w:r w:rsidRPr="00246AE4">
        <w:rPr>
          <w:color w:val="000000"/>
          <w:lang w:eastAsia="fr-FR" w:bidi="fr-FR"/>
        </w:rPr>
        <w:t>i</w:t>
      </w:r>
      <w:r w:rsidRPr="00246AE4">
        <w:rPr>
          <w:color w:val="000000"/>
          <w:lang w:eastAsia="fr-FR" w:bidi="fr-FR"/>
        </w:rPr>
        <w:t>tion de monographies historiques sur les grandes maisons religieuses doit séduire les érudits ; je devais indiquer les dangers de pareilles e</w:t>
      </w:r>
      <w:r w:rsidRPr="00246AE4">
        <w:rPr>
          <w:color w:val="000000"/>
          <w:lang w:eastAsia="fr-FR" w:bidi="fr-FR"/>
        </w:rPr>
        <w:t>n</w:t>
      </w:r>
      <w:r w:rsidRPr="00246AE4">
        <w:rPr>
          <w:color w:val="000000"/>
          <w:lang w:eastAsia="fr-FR" w:bidi="fr-FR"/>
        </w:rPr>
        <w:t>treprises. En tout cas, des ouvrages de cette sorte, qui sont légitimes et nécessaires, ne sauraient épuiser la matière de l’histoire ecclésiastique de l’</w:t>
      </w:r>
      <w:r>
        <w:rPr>
          <w:color w:val="000000"/>
          <w:lang w:eastAsia="fr-FR" w:bidi="fr-FR"/>
        </w:rPr>
        <w:t>Île-de-France</w:t>
      </w:r>
      <w:r w:rsidRPr="00246AE4">
        <w:rPr>
          <w:color w:val="000000"/>
          <w:lang w:eastAsia="fr-FR" w:bidi="fr-FR"/>
        </w:rPr>
        <w:t>. Cette histoire pose aux savants des problèmes, qu’il leur faut étudier sans s’enfermer dans le cadre trop étroit des monographies d’abbayes. Je n’en signalerai que deux.</w:t>
      </w:r>
    </w:p>
    <w:p w14:paraId="721DD36B" w14:textId="77777777" w:rsidR="00B9662D" w:rsidRPr="00246AE4" w:rsidRDefault="00B9662D" w:rsidP="00B9662D">
      <w:pPr>
        <w:spacing w:before="120" w:after="120"/>
        <w:jc w:val="both"/>
      </w:pPr>
      <w:r w:rsidRPr="00246AE4">
        <w:rPr>
          <w:color w:val="000000"/>
          <w:lang w:eastAsia="fr-FR" w:bidi="fr-FR"/>
        </w:rPr>
        <w:t>On sait le rôle considérable joué dans le développement monast</w:t>
      </w:r>
      <w:r w:rsidRPr="00246AE4">
        <w:rPr>
          <w:color w:val="000000"/>
          <w:lang w:eastAsia="fr-FR" w:bidi="fr-FR"/>
        </w:rPr>
        <w:t>i</w:t>
      </w:r>
      <w:r w:rsidRPr="00246AE4">
        <w:rPr>
          <w:color w:val="000000"/>
          <w:lang w:eastAsia="fr-FR" w:bidi="fr-FR"/>
        </w:rPr>
        <w:t>que de la Gaule mérovingienne par un missionnaire irlandais, saint Colomban. Colomban paraît bien avoir passé dans l’</w:t>
      </w:r>
      <w:r>
        <w:rPr>
          <w:color w:val="000000"/>
          <w:lang w:eastAsia="fr-FR" w:bidi="fr-FR"/>
        </w:rPr>
        <w:t>Île-de-France</w:t>
      </w:r>
      <w:r w:rsidRPr="00246AE4">
        <w:rPr>
          <w:color w:val="000000"/>
          <w:lang w:eastAsia="fr-FR" w:bidi="fr-FR"/>
        </w:rPr>
        <w:t>. Ses disciples établirent sur le plateau briard ou dans les vallées qui env</w:t>
      </w:r>
      <w:r w:rsidRPr="00246AE4">
        <w:rPr>
          <w:color w:val="000000"/>
          <w:lang w:eastAsia="fr-FR" w:bidi="fr-FR"/>
        </w:rPr>
        <w:t>i</w:t>
      </w:r>
      <w:r w:rsidRPr="00246AE4">
        <w:rPr>
          <w:color w:val="000000"/>
          <w:lang w:eastAsia="fr-FR" w:bidi="fr-FR"/>
        </w:rPr>
        <w:t>ronnent le plateau plusieurs monastères : Faremo</w:t>
      </w:r>
      <w:r>
        <w:rPr>
          <w:color w:val="000000"/>
          <w:lang w:eastAsia="fr-FR" w:bidi="fr-FR"/>
        </w:rPr>
        <w:t>utiers, Jouarre, R</w:t>
      </w:r>
      <w:r>
        <w:rPr>
          <w:color w:val="000000"/>
          <w:lang w:eastAsia="fr-FR" w:bidi="fr-FR"/>
        </w:rPr>
        <w:t>e</w:t>
      </w:r>
      <w:r>
        <w:rPr>
          <w:color w:val="000000"/>
          <w:lang w:eastAsia="fr-FR" w:bidi="fr-FR"/>
        </w:rPr>
        <w:t>bais, Saint-</w:t>
      </w:r>
      <w:r w:rsidRPr="00246AE4">
        <w:rPr>
          <w:color w:val="000000"/>
          <w:lang w:eastAsia="fr-FR" w:bidi="fr-FR"/>
        </w:rPr>
        <w:t xml:space="preserve">Faron de Meaux. L’histoire de la fondation et des débuts de ces maisons est mal connue. Elle est difficile à débrouiller parce que les sources, vies de saints ou textes diplomatiques, sont souvent </w:t>
      </w:r>
      <w:r w:rsidRPr="00246AE4">
        <w:rPr>
          <w:color w:val="000000"/>
          <w:lang w:eastAsia="fr-FR" w:bidi="fr-FR"/>
        </w:rPr>
        <w:lastRenderedPageBreak/>
        <w:t>d’une authenticité ou d’une sincérité douteuses</w:t>
      </w:r>
      <w:r>
        <w:rPr>
          <w:color w:val="000000"/>
          <w:lang w:eastAsia="fr-FR" w:bidi="fr-FR"/>
        </w:rPr>
        <w:t> </w:t>
      </w:r>
      <w:r>
        <w:rPr>
          <w:rStyle w:val="Appelnotedebasdep"/>
        </w:rPr>
        <w:footnoteReference w:id="616"/>
      </w:r>
      <w:r w:rsidRPr="00246AE4">
        <w:rPr>
          <w:color w:val="000000"/>
          <w:lang w:eastAsia="fr-FR" w:bidi="fr-FR"/>
        </w:rPr>
        <w:t>. D’assez nombreux érudits se sont attachés à l’éclairer, leur tâche est loin d’être achevée</w:t>
      </w:r>
      <w:r>
        <w:rPr>
          <w:color w:val="000000"/>
          <w:lang w:eastAsia="fr-FR" w:bidi="fr-FR"/>
        </w:rPr>
        <w:t> </w:t>
      </w:r>
      <w:r>
        <w:rPr>
          <w:rStyle w:val="Appelnotedebasdep"/>
        </w:rPr>
        <w:footnoteReference w:id="617"/>
      </w:r>
      <w:r w:rsidRPr="00246AE4">
        <w:rPr>
          <w:color w:val="000000"/>
          <w:lang w:eastAsia="fr-FR" w:bidi="fr-FR"/>
        </w:rPr>
        <w:t>.</w:t>
      </w:r>
    </w:p>
    <w:p w14:paraId="7D4495D8" w14:textId="77777777" w:rsidR="00B9662D" w:rsidRPr="00246AE4" w:rsidRDefault="00B9662D" w:rsidP="00B9662D">
      <w:pPr>
        <w:spacing w:before="120" w:after="120"/>
        <w:jc w:val="both"/>
      </w:pPr>
      <w:r>
        <w:t>[764]</w:t>
      </w:r>
    </w:p>
    <w:p w14:paraId="4B3587EA" w14:textId="77777777" w:rsidR="00B9662D" w:rsidRPr="00246AE4" w:rsidRDefault="00B9662D" w:rsidP="00B9662D">
      <w:pPr>
        <w:spacing w:before="120" w:after="120"/>
        <w:jc w:val="both"/>
      </w:pPr>
      <w:r w:rsidRPr="00246AE4">
        <w:rPr>
          <w:color w:val="000000"/>
          <w:lang w:eastAsia="fr-FR" w:bidi="fr-FR"/>
        </w:rPr>
        <w:t xml:space="preserve">La réforme ecclésiastique des </w:t>
      </w:r>
      <w:r>
        <w:rPr>
          <w:color w:val="000000"/>
          <w:lang w:eastAsia="fr-FR" w:bidi="fr-FR"/>
        </w:rPr>
        <w:t>X</w:t>
      </w:r>
      <w:r w:rsidRPr="00246AE4">
        <w:rPr>
          <w:color w:val="000000"/>
          <w:vertAlign w:val="superscript"/>
          <w:lang w:eastAsia="fr-FR" w:bidi="fr-FR"/>
        </w:rPr>
        <w:t>e</w:t>
      </w:r>
      <w:r w:rsidRPr="00246AE4">
        <w:rPr>
          <w:color w:val="000000"/>
          <w:lang w:eastAsia="fr-FR" w:bidi="fr-FR"/>
        </w:rPr>
        <w:t xml:space="preserve"> et </w:t>
      </w:r>
      <w:r>
        <w:rPr>
          <w:color w:val="000000"/>
          <w:lang w:eastAsia="fr-FR" w:bidi="fr-FR"/>
        </w:rPr>
        <w:t>XI</w:t>
      </w:r>
      <w:r w:rsidRPr="00246AE4">
        <w:rPr>
          <w:color w:val="000000"/>
          <w:vertAlign w:val="superscript"/>
          <w:lang w:eastAsia="fr-FR" w:bidi="fr-FR"/>
        </w:rPr>
        <w:t>e</w:t>
      </w:r>
      <w:r w:rsidRPr="00246AE4">
        <w:rPr>
          <w:color w:val="000000"/>
          <w:lang w:eastAsia="fr-FR" w:bidi="fr-FR"/>
        </w:rPr>
        <w:t xml:space="preserve"> siècles a été, jusqu’ici, ét</w:t>
      </w:r>
      <w:r w:rsidRPr="00246AE4">
        <w:rPr>
          <w:color w:val="000000"/>
          <w:lang w:eastAsia="fr-FR" w:bidi="fr-FR"/>
        </w:rPr>
        <w:t>u</w:t>
      </w:r>
      <w:r w:rsidRPr="00246AE4">
        <w:rPr>
          <w:color w:val="000000"/>
          <w:lang w:eastAsia="fr-FR" w:bidi="fr-FR"/>
        </w:rPr>
        <w:t>diée beaucoup plus dans ses principes généraux que dans ses applic</w:t>
      </w:r>
      <w:r w:rsidRPr="00246AE4">
        <w:rPr>
          <w:color w:val="000000"/>
          <w:lang w:eastAsia="fr-FR" w:bidi="fr-FR"/>
        </w:rPr>
        <w:t>a</w:t>
      </w:r>
      <w:r w:rsidRPr="00246AE4">
        <w:rPr>
          <w:color w:val="000000"/>
          <w:lang w:eastAsia="fr-FR" w:bidi="fr-FR"/>
        </w:rPr>
        <w:t>tions particulières. Pourtant, seules des recherches locales pourront nous apprendre ce que fut, dans la pratique, ce grand mouvement di</w:t>
      </w:r>
      <w:r w:rsidRPr="00246AE4">
        <w:rPr>
          <w:color w:val="000000"/>
          <w:lang w:eastAsia="fr-FR" w:bidi="fr-FR"/>
        </w:rPr>
        <w:t>s</w:t>
      </w:r>
      <w:r w:rsidRPr="00246AE4">
        <w:rPr>
          <w:color w:val="000000"/>
          <w:lang w:eastAsia="fr-FR" w:bidi="fr-FR"/>
        </w:rPr>
        <w:t>ciplinaire et moral, nous dire les résultats ou les échecs auxquels il aboutit. Quelles églises ou quels</w:t>
      </w:r>
      <w:r>
        <w:rPr>
          <w:color w:val="000000"/>
          <w:lang w:eastAsia="fr-FR" w:bidi="fr-FR"/>
        </w:rPr>
        <w:t xml:space="preserve"> biens ecclésiastiques, dans l’Î</w:t>
      </w:r>
      <w:r w:rsidRPr="00246AE4">
        <w:rPr>
          <w:color w:val="000000"/>
          <w:lang w:eastAsia="fr-FR" w:bidi="fr-FR"/>
        </w:rPr>
        <w:t>le-de-France, furent récupérés sur les laïques par le clergé et de quelle f</w:t>
      </w:r>
      <w:r w:rsidRPr="00246AE4">
        <w:rPr>
          <w:color w:val="000000"/>
          <w:lang w:eastAsia="fr-FR" w:bidi="fr-FR"/>
        </w:rPr>
        <w:t>a</w:t>
      </w:r>
      <w:r w:rsidRPr="00246AE4">
        <w:rPr>
          <w:color w:val="000000"/>
          <w:lang w:eastAsia="fr-FR" w:bidi="fr-FR"/>
        </w:rPr>
        <w:t>çon ? dans le combat pour la dîme qui l’emporta des seigneurs fé</w:t>
      </w:r>
      <w:r w:rsidRPr="00246AE4">
        <w:rPr>
          <w:color w:val="000000"/>
          <w:lang w:eastAsia="fr-FR" w:bidi="fr-FR"/>
        </w:rPr>
        <w:t>o</w:t>
      </w:r>
      <w:r w:rsidRPr="00246AE4">
        <w:rPr>
          <w:color w:val="000000"/>
          <w:lang w:eastAsia="fr-FR" w:bidi="fr-FR"/>
        </w:rPr>
        <w:t>daux, des évêques, des curés ou des religieux ? quelles furent les pér</w:t>
      </w:r>
      <w:r w:rsidRPr="00246AE4">
        <w:rPr>
          <w:color w:val="000000"/>
          <w:lang w:eastAsia="fr-FR" w:bidi="fr-FR"/>
        </w:rPr>
        <w:t>i</w:t>
      </w:r>
      <w:r w:rsidRPr="00246AE4">
        <w:rPr>
          <w:color w:val="000000"/>
          <w:lang w:eastAsia="fr-FR" w:bidi="fr-FR"/>
        </w:rPr>
        <w:t>péties de la lutte des chanoines réguliers avec les moines ? à quelles abbayes les clunisiens portèrent-ils leur règle ? Ces questions et d’autres semblables, mériteraient d’être examinées. Un historien y trouverait aisément la matière d’un livre important, d’autant qu’il di</w:t>
      </w:r>
      <w:r w:rsidRPr="00246AE4">
        <w:rPr>
          <w:color w:val="000000"/>
          <w:lang w:eastAsia="fr-FR" w:bidi="fr-FR"/>
        </w:rPr>
        <w:t>s</w:t>
      </w:r>
      <w:r w:rsidRPr="00246AE4">
        <w:rPr>
          <w:color w:val="000000"/>
          <w:lang w:eastAsia="fr-FR" w:bidi="fr-FR"/>
        </w:rPr>
        <w:t>poserait, pour les traiter, non seulement de documents diplomatiques assez nombreux, mais encore d’une source littéraire d’un grand int</w:t>
      </w:r>
      <w:r w:rsidRPr="00246AE4">
        <w:rPr>
          <w:color w:val="000000"/>
          <w:lang w:eastAsia="fr-FR" w:bidi="fr-FR"/>
        </w:rPr>
        <w:t>é</w:t>
      </w:r>
      <w:r w:rsidRPr="00246AE4">
        <w:rPr>
          <w:color w:val="000000"/>
          <w:lang w:eastAsia="fr-FR" w:bidi="fr-FR"/>
        </w:rPr>
        <w:lastRenderedPageBreak/>
        <w:t>rêt, le recueil des lettres, écrites ou reçues, par cet Ives de Chartres qui fut, dans nos pays, un des meilleurs soldats de la réforme. Avant d’utiliser ces lettres, dont nous ne possédons que de médiocres éd</w:t>
      </w:r>
      <w:r w:rsidRPr="00246AE4">
        <w:rPr>
          <w:color w:val="000000"/>
          <w:lang w:eastAsia="fr-FR" w:bidi="fr-FR"/>
        </w:rPr>
        <w:t>i</w:t>
      </w:r>
      <w:r w:rsidRPr="00246AE4">
        <w:rPr>
          <w:color w:val="000000"/>
          <w:lang w:eastAsia="fr-FR" w:bidi="fr-FR"/>
        </w:rPr>
        <w:t>tions</w:t>
      </w:r>
      <w:r>
        <w:rPr>
          <w:color w:val="000000"/>
          <w:lang w:eastAsia="fr-FR" w:bidi="fr-FR"/>
        </w:rPr>
        <w:t> </w:t>
      </w:r>
      <w:r>
        <w:rPr>
          <w:rStyle w:val="Appelnotedebasdep"/>
        </w:rPr>
        <w:footnoteReference w:id="618"/>
      </w:r>
      <w:r w:rsidRPr="00246AE4">
        <w:rPr>
          <w:color w:val="000000"/>
          <w:lang w:eastAsia="fr-FR" w:bidi="fr-FR"/>
        </w:rPr>
        <w:t>, il devrait sans doute en établir le texte selon des méthodes vraiment scientifiques, et surtout s’efforcer d’en reconnaître la succe</w:t>
      </w:r>
      <w:r w:rsidRPr="00246AE4">
        <w:rPr>
          <w:color w:val="000000"/>
          <w:lang w:eastAsia="fr-FR" w:bidi="fr-FR"/>
        </w:rPr>
        <w:t>s</w:t>
      </w:r>
      <w:r w:rsidRPr="00246AE4">
        <w:rPr>
          <w:color w:val="000000"/>
          <w:lang w:eastAsia="fr-FR" w:bidi="fr-FR"/>
        </w:rPr>
        <w:t>sion chronologique, jusqu’ici mal fixée.</w:t>
      </w:r>
    </w:p>
    <w:p w14:paraId="5FABED01" w14:textId="77777777" w:rsidR="00B9662D" w:rsidRPr="00246AE4" w:rsidRDefault="00B9662D" w:rsidP="00B9662D">
      <w:pPr>
        <w:spacing w:before="120" w:after="120"/>
        <w:jc w:val="both"/>
      </w:pPr>
      <w:r w:rsidRPr="00246AE4">
        <w:rPr>
          <w:color w:val="000000"/>
          <w:lang w:eastAsia="fr-FR" w:bidi="fr-FR"/>
        </w:rPr>
        <w:t>Les érudits locaux, dont les goûts sont volontiers aristocratiques ont un peu négligé les</w:t>
      </w:r>
      <w:r>
        <w:rPr>
          <w:color w:val="000000"/>
          <w:lang w:eastAsia="fr-FR" w:bidi="fr-FR"/>
        </w:rPr>
        <w:t xml:space="preserve"> bourgeois et les paysans de l’Î</w:t>
      </w:r>
      <w:r w:rsidRPr="00246AE4">
        <w:rPr>
          <w:color w:val="000000"/>
          <w:lang w:eastAsia="fr-FR" w:bidi="fr-FR"/>
        </w:rPr>
        <w:t>le-de-France. On m’excusera de ne point m’occuper ici des paysans ; je renvoie à mon travail su</w:t>
      </w:r>
      <w:r>
        <w:rPr>
          <w:color w:val="000000"/>
          <w:lang w:eastAsia="fr-FR" w:bidi="fr-FR"/>
        </w:rPr>
        <w:t>r les populations rurales de l’Î</w:t>
      </w:r>
      <w:r w:rsidRPr="00246AE4">
        <w:rPr>
          <w:color w:val="000000"/>
          <w:lang w:eastAsia="fr-FR" w:bidi="fr-FR"/>
        </w:rPr>
        <w:t>le-de-France à l’époque du servage</w:t>
      </w:r>
      <w:r>
        <w:rPr>
          <w:color w:val="000000"/>
          <w:lang w:eastAsia="fr-FR" w:bidi="fr-FR"/>
        </w:rPr>
        <w:t> </w:t>
      </w:r>
      <w:r>
        <w:rPr>
          <w:rStyle w:val="Appelnotedebasdep"/>
        </w:rPr>
        <w:footnoteReference w:id="619"/>
      </w:r>
      <w:r w:rsidRPr="00246AE4">
        <w:rPr>
          <w:color w:val="000000"/>
          <w:lang w:eastAsia="fr-FR" w:bidi="fr-FR"/>
        </w:rPr>
        <w:t>. Le mouvement communal dont l’action fut si forte aux confins de l’</w:t>
      </w:r>
      <w:r>
        <w:rPr>
          <w:color w:val="000000"/>
          <w:lang w:eastAsia="fr-FR" w:bidi="fr-FR"/>
        </w:rPr>
        <w:t>Île-de-France</w:t>
      </w:r>
      <w:r w:rsidRPr="00246AE4">
        <w:rPr>
          <w:color w:val="000000"/>
          <w:lang w:eastAsia="fr-FR" w:bidi="fr-FR"/>
        </w:rPr>
        <w:t xml:space="preserve"> n’épargna point les villes ni même les vi</w:t>
      </w:r>
      <w:r w:rsidRPr="00246AE4">
        <w:rPr>
          <w:color w:val="000000"/>
          <w:lang w:eastAsia="fr-FR" w:bidi="fr-FR"/>
        </w:rPr>
        <w:t>l</w:t>
      </w:r>
      <w:r w:rsidRPr="00246AE4">
        <w:rPr>
          <w:color w:val="000000"/>
          <w:lang w:eastAsia="fr-FR" w:bidi="fr-FR"/>
        </w:rPr>
        <w:t>lages de notre région. La commune de Meaux, qui ne peut être séparée des autres communes du comté de Champagne et Brie a été étudiée par M. Gassies</w:t>
      </w:r>
      <w:r>
        <w:rPr>
          <w:color w:val="000000"/>
          <w:lang w:eastAsia="fr-FR" w:bidi="fr-FR"/>
        </w:rPr>
        <w:t> </w:t>
      </w:r>
      <w:r>
        <w:rPr>
          <w:rStyle w:val="Appelnotedebasdep"/>
        </w:rPr>
        <w:footnoteReference w:id="620"/>
      </w:r>
      <w:r w:rsidRPr="00246AE4">
        <w:rPr>
          <w:color w:val="000000"/>
          <w:lang w:eastAsia="fr-FR" w:bidi="fr-FR"/>
        </w:rPr>
        <w:t>, par M. René Bourgeois</w:t>
      </w:r>
      <w:r>
        <w:rPr>
          <w:color w:val="000000"/>
          <w:lang w:eastAsia="fr-FR" w:bidi="fr-FR"/>
        </w:rPr>
        <w:t> </w:t>
      </w:r>
      <w:r>
        <w:rPr>
          <w:rStyle w:val="Appelnotedebasdep"/>
        </w:rPr>
        <w:footnoteReference w:id="621"/>
      </w:r>
      <w:r w:rsidRPr="00246AE4">
        <w:rPr>
          <w:color w:val="000000"/>
          <w:vertAlign w:val="superscript"/>
          <w:lang w:eastAsia="fr-FR" w:bidi="fr-FR"/>
        </w:rPr>
        <w:t xml:space="preserve"> </w:t>
      </w:r>
      <w:r w:rsidRPr="00246AE4">
        <w:rPr>
          <w:color w:val="000000"/>
          <w:lang w:eastAsia="fr-FR" w:bidi="fr-FR"/>
        </w:rPr>
        <w:t>et par M.</w:t>
      </w:r>
      <w:r>
        <w:rPr>
          <w:color w:val="000000"/>
          <w:lang w:eastAsia="fr-FR" w:bidi="fr-FR"/>
        </w:rPr>
        <w:t> </w:t>
      </w:r>
      <w:r w:rsidRPr="00246AE4">
        <w:rPr>
          <w:color w:val="000000"/>
          <w:lang w:eastAsia="fr-FR" w:bidi="fr-FR"/>
        </w:rPr>
        <w:t>Georges Bou</w:t>
      </w:r>
      <w:r w:rsidRPr="00246AE4">
        <w:rPr>
          <w:color w:val="000000"/>
          <w:lang w:eastAsia="fr-FR" w:bidi="fr-FR"/>
        </w:rPr>
        <w:t>r</w:t>
      </w:r>
      <w:r w:rsidRPr="00246AE4">
        <w:rPr>
          <w:color w:val="000000"/>
          <w:lang w:eastAsia="fr-FR" w:bidi="fr-FR"/>
        </w:rPr>
        <w:t>gin</w:t>
      </w:r>
      <w:r>
        <w:rPr>
          <w:color w:val="000000"/>
          <w:lang w:eastAsia="fr-FR" w:bidi="fr-FR"/>
        </w:rPr>
        <w:t> </w:t>
      </w:r>
      <w:r>
        <w:rPr>
          <w:rStyle w:val="Appelnotedebasdep"/>
        </w:rPr>
        <w:footnoteReference w:id="622"/>
      </w:r>
      <w:r w:rsidRPr="00246AE4">
        <w:rPr>
          <w:color w:val="000000"/>
          <w:lang w:eastAsia="fr-FR" w:bidi="fr-FR"/>
        </w:rPr>
        <w:t>. Les communes du Vexin et du Pinserais, Pontoise, Poissy, Ma</w:t>
      </w:r>
      <w:r w:rsidRPr="00246AE4">
        <w:rPr>
          <w:color w:val="000000"/>
          <w:lang w:eastAsia="fr-FR" w:bidi="fr-FR"/>
        </w:rPr>
        <w:t>n</w:t>
      </w:r>
      <w:r w:rsidRPr="00246AE4">
        <w:rPr>
          <w:color w:val="000000"/>
          <w:lang w:eastAsia="fr-FR" w:bidi="fr-FR"/>
        </w:rPr>
        <w:t>tes, Meulan, n’ont pas encore rencontré leur historien. Les institutions municipales de Chartres ont fait l’objet d’un livre, qui n’a peut-être pas épuisé sa matière</w:t>
      </w:r>
      <w:r>
        <w:rPr>
          <w:color w:val="000000"/>
          <w:lang w:eastAsia="fr-FR" w:bidi="fr-FR"/>
        </w:rPr>
        <w:t> </w:t>
      </w:r>
      <w:r>
        <w:rPr>
          <w:rStyle w:val="Appelnotedebasdep"/>
        </w:rPr>
        <w:footnoteReference w:id="623"/>
      </w:r>
      <w:r w:rsidRPr="00246AE4">
        <w:rPr>
          <w:color w:val="000000"/>
          <w:lang w:eastAsia="fr-FR" w:bidi="fr-FR"/>
        </w:rPr>
        <w:t>. Nul travailleur n’a jusqu’à présent,</w:t>
      </w:r>
      <w:r>
        <w:t xml:space="preserve"> [765]</w:t>
      </w:r>
      <w:r w:rsidRPr="00246AE4">
        <w:rPr>
          <w:color w:val="000000"/>
          <w:lang w:eastAsia="fr-FR" w:bidi="fr-FR"/>
        </w:rPr>
        <w:t xml:space="preserve"> pris soin de nous dire la vie, la prospérité et la décade</w:t>
      </w:r>
      <w:r w:rsidRPr="00246AE4">
        <w:rPr>
          <w:color w:val="000000"/>
          <w:lang w:eastAsia="fr-FR" w:bidi="fr-FR"/>
        </w:rPr>
        <w:t>n</w:t>
      </w:r>
      <w:r w:rsidRPr="00246AE4">
        <w:rPr>
          <w:color w:val="000000"/>
          <w:lang w:eastAsia="fr-FR" w:bidi="fr-FR"/>
        </w:rPr>
        <w:t>ce, les rivalités des commerçants et des artisans</w:t>
      </w:r>
      <w:r>
        <w:rPr>
          <w:color w:val="000000"/>
          <w:lang w:eastAsia="fr-FR" w:bidi="fr-FR"/>
        </w:rPr>
        <w:t xml:space="preserve"> des villes et des bourgs de l’Î</w:t>
      </w:r>
      <w:r w:rsidRPr="00246AE4">
        <w:rPr>
          <w:color w:val="000000"/>
          <w:lang w:eastAsia="fr-FR" w:bidi="fr-FR"/>
        </w:rPr>
        <w:t>le</w:t>
      </w:r>
      <w:r>
        <w:rPr>
          <w:color w:val="000000"/>
          <w:lang w:eastAsia="fr-FR" w:bidi="fr-FR"/>
        </w:rPr>
        <w:t>-</w:t>
      </w:r>
      <w:r w:rsidRPr="00246AE4">
        <w:rPr>
          <w:color w:val="000000"/>
          <w:lang w:eastAsia="fr-FR" w:bidi="fr-FR"/>
        </w:rPr>
        <w:t>de-France. En plusieurs lieux, les métiers formaient des corpor</w:t>
      </w:r>
      <w:r w:rsidRPr="00246AE4">
        <w:rPr>
          <w:color w:val="000000"/>
          <w:lang w:eastAsia="fr-FR" w:bidi="fr-FR"/>
        </w:rPr>
        <w:t>a</w:t>
      </w:r>
      <w:r w:rsidRPr="00246AE4">
        <w:rPr>
          <w:color w:val="000000"/>
          <w:lang w:eastAsia="fr-FR" w:bidi="fr-FR"/>
        </w:rPr>
        <w:t xml:space="preserve">tions ; je citerai Château-Landon, Étampes, Pontoise, Chartres. Sur les </w:t>
      </w:r>
      <w:r w:rsidRPr="00246AE4">
        <w:rPr>
          <w:color w:val="000000"/>
          <w:lang w:eastAsia="fr-FR" w:bidi="fr-FR"/>
        </w:rPr>
        <w:lastRenderedPageBreak/>
        <w:t>corpor</w:t>
      </w:r>
      <w:r w:rsidRPr="00246AE4">
        <w:rPr>
          <w:color w:val="000000"/>
          <w:lang w:eastAsia="fr-FR" w:bidi="fr-FR"/>
        </w:rPr>
        <w:t>a</w:t>
      </w:r>
      <w:r w:rsidRPr="00246AE4">
        <w:rPr>
          <w:color w:val="000000"/>
          <w:lang w:eastAsia="fr-FR" w:bidi="fr-FR"/>
        </w:rPr>
        <w:t>tions chartraines en particulier, les textes nous fournissent des rense</w:t>
      </w:r>
      <w:r w:rsidRPr="00246AE4">
        <w:rPr>
          <w:color w:val="000000"/>
          <w:lang w:eastAsia="fr-FR" w:bidi="fr-FR"/>
        </w:rPr>
        <w:t>i</w:t>
      </w:r>
      <w:r w:rsidRPr="00246AE4">
        <w:rPr>
          <w:color w:val="000000"/>
          <w:lang w:eastAsia="fr-FR" w:bidi="fr-FR"/>
        </w:rPr>
        <w:t>gnements abondants et curieux, propres à éclairer l’histoire corporat</w:t>
      </w:r>
      <w:r w:rsidRPr="00246AE4">
        <w:rPr>
          <w:color w:val="000000"/>
          <w:lang w:eastAsia="fr-FR" w:bidi="fr-FR"/>
        </w:rPr>
        <w:t>i</w:t>
      </w:r>
      <w:r w:rsidRPr="00246AE4">
        <w:rPr>
          <w:color w:val="000000"/>
          <w:lang w:eastAsia="fr-FR" w:bidi="fr-FR"/>
        </w:rPr>
        <w:t>ve générale</w:t>
      </w:r>
      <w:r>
        <w:rPr>
          <w:color w:val="000000"/>
          <w:lang w:eastAsia="fr-FR" w:bidi="fr-FR"/>
        </w:rPr>
        <w:t> </w:t>
      </w:r>
      <w:r>
        <w:rPr>
          <w:rStyle w:val="Appelnotedebasdep"/>
        </w:rPr>
        <w:footnoteReference w:id="624"/>
      </w:r>
      <w:r w:rsidRPr="00246AE4">
        <w:rPr>
          <w:color w:val="000000"/>
          <w:lang w:eastAsia="fr-FR" w:bidi="fr-FR"/>
        </w:rPr>
        <w:t>. Il faut souhaiter qu’ils soient bientôt mis en œ</w:t>
      </w:r>
      <w:r w:rsidRPr="00246AE4">
        <w:rPr>
          <w:color w:val="000000"/>
          <w:lang w:eastAsia="fr-FR" w:bidi="fr-FR"/>
        </w:rPr>
        <w:t>u</w:t>
      </w:r>
      <w:r w:rsidRPr="00246AE4">
        <w:rPr>
          <w:color w:val="000000"/>
          <w:lang w:eastAsia="fr-FR" w:bidi="fr-FR"/>
        </w:rPr>
        <w:t>vre</w:t>
      </w:r>
      <w:r>
        <w:rPr>
          <w:color w:val="000000"/>
          <w:lang w:eastAsia="fr-FR" w:bidi="fr-FR"/>
        </w:rPr>
        <w:t> </w:t>
      </w:r>
      <w:r>
        <w:rPr>
          <w:rStyle w:val="Appelnotedebasdep"/>
        </w:rPr>
        <w:footnoteReference w:id="625"/>
      </w:r>
      <w:r w:rsidRPr="00246AE4">
        <w:rPr>
          <w:color w:val="000000"/>
          <w:lang w:eastAsia="fr-FR" w:bidi="fr-FR"/>
        </w:rPr>
        <w:t>.</w:t>
      </w:r>
    </w:p>
    <w:p w14:paraId="61B026C3" w14:textId="77777777" w:rsidR="00B9662D" w:rsidRPr="00246AE4" w:rsidRDefault="00B9662D" w:rsidP="00B9662D">
      <w:pPr>
        <w:spacing w:before="120" w:after="120"/>
        <w:jc w:val="both"/>
      </w:pPr>
      <w:r w:rsidRPr="00246AE4">
        <w:rPr>
          <w:color w:val="000000"/>
          <w:lang w:eastAsia="fr-FR" w:bidi="fr-FR"/>
        </w:rPr>
        <w:t xml:space="preserve">Depuis le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siècle, l’</w:t>
      </w:r>
      <w:r>
        <w:rPr>
          <w:color w:val="000000"/>
          <w:lang w:eastAsia="fr-FR" w:bidi="fr-FR"/>
        </w:rPr>
        <w:t>Île-de-France</w:t>
      </w:r>
      <w:r w:rsidRPr="00246AE4">
        <w:rPr>
          <w:color w:val="000000"/>
          <w:lang w:eastAsia="fr-FR" w:bidi="fr-FR"/>
        </w:rPr>
        <w:t xml:space="preserve">, presque tout entière nous l’avons vu, fit partie du domaine royal. Même les grandes seigneuries, comme le comté de Chartres, qui subsistèrent jusqu’à la fin du Moyen </w:t>
      </w:r>
      <w:r>
        <w:rPr>
          <w:color w:val="000000"/>
          <w:lang w:eastAsia="fr-FR" w:bidi="fr-FR"/>
        </w:rPr>
        <w:t>Â</w:t>
      </w:r>
      <w:r w:rsidRPr="00246AE4">
        <w:rPr>
          <w:color w:val="000000"/>
          <w:lang w:eastAsia="fr-FR" w:bidi="fr-FR"/>
        </w:rPr>
        <w:t>ge, et au</w:t>
      </w:r>
      <w:r>
        <w:rPr>
          <w:color w:val="000000"/>
          <w:lang w:eastAsia="fr-FR" w:bidi="fr-FR"/>
        </w:rPr>
        <w:t>-</w:t>
      </w:r>
      <w:r w:rsidRPr="00246AE4">
        <w:rPr>
          <w:color w:val="000000"/>
          <w:lang w:eastAsia="fr-FR" w:bidi="fr-FR"/>
        </w:rPr>
        <w:t>delà, furent soumises de plus en plus étroitement à l’autorité des rois. Ces fonctionnaires royaux, sergents, prévôts, bai</w:t>
      </w:r>
      <w:r w:rsidRPr="00246AE4">
        <w:rPr>
          <w:color w:val="000000"/>
          <w:lang w:eastAsia="fr-FR" w:bidi="fr-FR"/>
        </w:rPr>
        <w:t>l</w:t>
      </w:r>
      <w:r w:rsidRPr="00246AE4">
        <w:rPr>
          <w:color w:val="000000"/>
          <w:lang w:eastAsia="fr-FR" w:bidi="fr-FR"/>
        </w:rPr>
        <w:t xml:space="preserve">lis, commissaires chargés de telle ou telle mission spéciale, qui étaient </w:t>
      </w:r>
      <w:r w:rsidRPr="00246AE4">
        <w:rPr>
          <w:color w:val="000000"/>
          <w:lang w:eastAsia="fr-FR" w:bidi="fr-FR"/>
        </w:rPr>
        <w:lastRenderedPageBreak/>
        <w:t>devenus de si hauts personnages, comment usèrent-ils de leur puissa</w:t>
      </w:r>
      <w:r w:rsidRPr="00246AE4">
        <w:rPr>
          <w:color w:val="000000"/>
          <w:lang w:eastAsia="fr-FR" w:bidi="fr-FR"/>
        </w:rPr>
        <w:t>n</w:t>
      </w:r>
      <w:r w:rsidRPr="00246AE4">
        <w:rPr>
          <w:color w:val="000000"/>
          <w:lang w:eastAsia="fr-FR" w:bidi="fr-FR"/>
        </w:rPr>
        <w:t>ce ? Quels furent leurs rapports avec le clergé, les nobles, les gens des bonnes villes et du plat pays ? Quels impôts levèrent-ils au nom des rois ? Nous ne savons. Et pourtant nous pourrions savoir. Notre ign</w:t>
      </w:r>
      <w:r w:rsidRPr="00246AE4">
        <w:rPr>
          <w:color w:val="000000"/>
          <w:lang w:eastAsia="fr-FR" w:bidi="fr-FR"/>
        </w:rPr>
        <w:t>o</w:t>
      </w:r>
      <w:r w:rsidRPr="00246AE4">
        <w:rPr>
          <w:color w:val="000000"/>
          <w:lang w:eastAsia="fr-FR" w:bidi="fr-FR"/>
        </w:rPr>
        <w:t>rance, sur ce point, vient plutôt de la négligence des érudits que de la pénurie des documents. Registres de la Chancellerie, archives du Pa</w:t>
      </w:r>
      <w:r w:rsidRPr="00246AE4">
        <w:rPr>
          <w:color w:val="000000"/>
          <w:lang w:eastAsia="fr-FR" w:bidi="fr-FR"/>
        </w:rPr>
        <w:t>r</w:t>
      </w:r>
      <w:r w:rsidRPr="00246AE4">
        <w:rPr>
          <w:color w:val="000000"/>
          <w:lang w:eastAsia="fr-FR" w:bidi="fr-FR"/>
        </w:rPr>
        <w:t>lement (celles-ci, il est vrai, rendues difficiles à consulter par le ma</w:t>
      </w:r>
      <w:r w:rsidRPr="00246AE4">
        <w:rPr>
          <w:color w:val="000000"/>
          <w:lang w:eastAsia="fr-FR" w:bidi="fr-FR"/>
        </w:rPr>
        <w:t>n</w:t>
      </w:r>
      <w:r w:rsidRPr="00246AE4">
        <w:rPr>
          <w:color w:val="000000"/>
          <w:lang w:eastAsia="fr-FR" w:bidi="fr-FR"/>
        </w:rPr>
        <w:t>que d’inventaires), débris des archives de la Chambre des Comptes, archives ecclésiastiques aussi livreront les secrets de l’administration royale à celui qui voudra les interroger. Les registres de justice des grands établissements religieux de Paris, étudiés et publiés par M. T</w:t>
      </w:r>
      <w:r w:rsidRPr="00246AE4">
        <w:rPr>
          <w:color w:val="000000"/>
          <w:lang w:eastAsia="fr-FR" w:bidi="fr-FR"/>
        </w:rPr>
        <w:t>a</w:t>
      </w:r>
      <w:r w:rsidRPr="00246AE4">
        <w:rPr>
          <w:color w:val="000000"/>
          <w:lang w:eastAsia="fr-FR" w:bidi="fr-FR"/>
        </w:rPr>
        <w:t>non, donnent sur la lutte entre les cours seigneuriales et les tribunaux royaux les renseignements les plus précis et les plus vivants</w:t>
      </w:r>
      <w:r>
        <w:rPr>
          <w:color w:val="000000"/>
          <w:lang w:eastAsia="fr-FR" w:bidi="fr-FR"/>
        </w:rPr>
        <w:t> </w:t>
      </w:r>
      <w:r>
        <w:rPr>
          <w:rStyle w:val="Appelnotedebasdep"/>
        </w:rPr>
        <w:footnoteReference w:id="626"/>
      </w:r>
      <w:r w:rsidRPr="00246AE4">
        <w:rPr>
          <w:color w:val="000000"/>
          <w:lang w:eastAsia="fr-FR" w:bidi="fr-FR"/>
        </w:rPr>
        <w:t>. L’histoire des progrès de</w:t>
      </w:r>
      <w:r>
        <w:rPr>
          <w:color w:val="000000"/>
          <w:lang w:eastAsia="fr-FR" w:bidi="fr-FR"/>
        </w:rPr>
        <w:t xml:space="preserve"> la</w:t>
      </w:r>
      <w:r w:rsidRPr="00246AE4">
        <w:rPr>
          <w:color w:val="000000"/>
          <w:lang w:eastAsia="fr-FR" w:bidi="fr-FR"/>
        </w:rPr>
        <w:t xml:space="preserve"> souveraineté monarchique, c’est-à-dire</w:t>
      </w:r>
      <w:r>
        <w:rPr>
          <w:color w:val="000000"/>
          <w:lang w:eastAsia="fr-FR" w:bidi="fr-FR"/>
        </w:rPr>
        <w:t xml:space="preserve"> </w:t>
      </w:r>
      <w:r>
        <w:t xml:space="preserve">[766] </w:t>
      </w:r>
      <w:r w:rsidRPr="00246AE4">
        <w:rPr>
          <w:color w:val="000000"/>
          <w:lang w:eastAsia="fr-FR" w:bidi="fr-FR"/>
        </w:rPr>
        <w:t>du lent abaissement des pouvoirs locaux devant le roi et les gens du roi, ne nous sera vraiment connue que lorsque les érudits se seront attachés à l’écrire, dans le détail, province par province.</w:t>
      </w:r>
    </w:p>
    <w:p w14:paraId="3DCBFA28" w14:textId="77777777" w:rsidR="00B9662D" w:rsidRPr="00246AE4" w:rsidRDefault="00B9662D" w:rsidP="00B9662D">
      <w:pPr>
        <w:spacing w:before="120" w:after="120"/>
        <w:jc w:val="both"/>
      </w:pPr>
      <w:r w:rsidRPr="00246AE4">
        <w:rPr>
          <w:color w:val="000000"/>
          <w:lang w:eastAsia="fr-FR" w:bidi="fr-FR"/>
        </w:rPr>
        <w:t>Dans l’histoire de l’architecture r</w:t>
      </w:r>
      <w:r>
        <w:rPr>
          <w:color w:val="000000"/>
          <w:lang w:eastAsia="fr-FR" w:bidi="fr-FR"/>
        </w:rPr>
        <w:t>eligieuse, au Moyen Âge, l’Île-</w:t>
      </w:r>
      <w:r w:rsidRPr="00246AE4">
        <w:rPr>
          <w:color w:val="000000"/>
          <w:lang w:eastAsia="fr-FR" w:bidi="fr-FR"/>
        </w:rPr>
        <w:t xml:space="preserve">de-France eut une part glorieuse. </w:t>
      </w:r>
      <w:r>
        <w:rPr>
          <w:color w:val="000000"/>
          <w:lang w:eastAsia="fr-FR" w:bidi="fr-FR"/>
        </w:rPr>
        <w:t>À</w:t>
      </w:r>
      <w:r w:rsidRPr="00246AE4">
        <w:rPr>
          <w:color w:val="000000"/>
          <w:lang w:eastAsia="fr-FR" w:bidi="fr-FR"/>
        </w:rPr>
        <w:t xml:space="preserve"> dire vrai, pour elle, cette histoire telle que nous pouvons la retracer aujourd’hui, ne commence guère qu’avec l’époque romane. Trois cryptes, celle de Jouarre, qui fut con</w:t>
      </w:r>
      <w:r w:rsidRPr="00246AE4">
        <w:rPr>
          <w:color w:val="000000"/>
          <w:lang w:eastAsia="fr-FR" w:bidi="fr-FR"/>
        </w:rPr>
        <w:t>s</w:t>
      </w:r>
      <w:r w:rsidRPr="00246AE4">
        <w:rPr>
          <w:color w:val="000000"/>
          <w:lang w:eastAsia="fr-FR" w:bidi="fr-FR"/>
        </w:rPr>
        <w:t xml:space="preserve">truite sans doute au </w:t>
      </w:r>
      <w:r>
        <w:rPr>
          <w:color w:val="000000"/>
          <w:lang w:eastAsia="fr-FR" w:bidi="fr-FR"/>
        </w:rPr>
        <w:t>VII</w:t>
      </w:r>
      <w:r w:rsidRPr="00246AE4">
        <w:rPr>
          <w:color w:val="000000"/>
          <w:vertAlign w:val="superscript"/>
          <w:lang w:eastAsia="fr-FR" w:bidi="fr-FR"/>
        </w:rPr>
        <w:t>e</w:t>
      </w:r>
      <w:r w:rsidRPr="00246AE4">
        <w:rPr>
          <w:color w:val="000000"/>
          <w:lang w:eastAsia="fr-FR" w:bidi="fr-FR"/>
        </w:rPr>
        <w:t xml:space="preserve"> siècle</w:t>
      </w:r>
      <w:r>
        <w:rPr>
          <w:color w:val="000000"/>
          <w:lang w:eastAsia="fr-FR" w:bidi="fr-FR"/>
        </w:rPr>
        <w:t> </w:t>
      </w:r>
      <w:r>
        <w:rPr>
          <w:rStyle w:val="Appelnotedebasdep"/>
        </w:rPr>
        <w:footnoteReference w:id="627"/>
      </w:r>
      <w:r w:rsidRPr="00246AE4">
        <w:rPr>
          <w:color w:val="000000"/>
          <w:lang w:eastAsia="fr-FR" w:bidi="fr-FR"/>
        </w:rPr>
        <w:t>, de Notre-Dame de Chartres</w:t>
      </w:r>
      <w:r>
        <w:rPr>
          <w:color w:val="000000"/>
          <w:lang w:eastAsia="fr-FR" w:bidi="fr-FR"/>
        </w:rPr>
        <w:t> </w:t>
      </w:r>
      <w:r>
        <w:rPr>
          <w:rStyle w:val="Appelnotedebasdep"/>
        </w:rPr>
        <w:footnoteReference w:id="628"/>
      </w:r>
      <w:r w:rsidRPr="00246AE4">
        <w:rPr>
          <w:color w:val="000000"/>
          <w:lang w:eastAsia="fr-FR" w:bidi="fr-FR"/>
        </w:rPr>
        <w:t xml:space="preserve"> et à Chartres encore de Saint-Martin au Val</w:t>
      </w:r>
      <w:r>
        <w:rPr>
          <w:color w:val="000000"/>
          <w:lang w:eastAsia="fr-FR" w:bidi="fr-FR"/>
        </w:rPr>
        <w:t> </w:t>
      </w:r>
      <w:r>
        <w:rPr>
          <w:rStyle w:val="Appelnotedebasdep"/>
        </w:rPr>
        <w:footnoteReference w:id="629"/>
      </w:r>
      <w:r w:rsidRPr="00246AE4">
        <w:rPr>
          <w:color w:val="000000"/>
          <w:lang w:eastAsia="fr-FR" w:bidi="fr-FR"/>
        </w:rPr>
        <w:t>, à Saint-Denis quelques pans de mur que les savants ont peine à dater</w:t>
      </w:r>
      <w:r>
        <w:rPr>
          <w:color w:val="000000"/>
          <w:lang w:eastAsia="fr-FR" w:bidi="fr-FR"/>
        </w:rPr>
        <w:t> </w:t>
      </w:r>
      <w:r>
        <w:rPr>
          <w:rStyle w:val="Appelnotedebasdep"/>
        </w:rPr>
        <w:footnoteReference w:id="630"/>
      </w:r>
      <w:r w:rsidRPr="00246AE4">
        <w:rPr>
          <w:color w:val="000000"/>
          <w:lang w:eastAsia="fr-FR" w:bidi="fr-FR"/>
        </w:rPr>
        <w:t xml:space="preserve">, sont à peu près les </w:t>
      </w:r>
      <w:r w:rsidRPr="00246AE4">
        <w:rPr>
          <w:color w:val="000000"/>
          <w:lang w:eastAsia="fr-FR" w:bidi="fr-FR"/>
        </w:rPr>
        <w:lastRenderedPageBreak/>
        <w:t>seuls vestiges, dans notre région, de l’art pré-roman. Les fouilles pourront nous en révéler quelques autres ; il est douteux qu’ils soient jamais bien considérables.</w:t>
      </w:r>
    </w:p>
    <w:p w14:paraId="554898E9" w14:textId="77777777" w:rsidR="00B9662D" w:rsidRPr="00246AE4" w:rsidRDefault="00B9662D" w:rsidP="00B9662D">
      <w:pPr>
        <w:spacing w:before="120" w:after="120"/>
        <w:jc w:val="both"/>
      </w:pPr>
      <w:r w:rsidRPr="00246AE4">
        <w:rPr>
          <w:color w:val="000000"/>
          <w:lang w:eastAsia="fr-FR" w:bidi="fr-FR"/>
        </w:rPr>
        <w:t>L’art roman lui-même a laissé dans l’</w:t>
      </w:r>
      <w:r>
        <w:rPr>
          <w:color w:val="000000"/>
          <w:lang w:eastAsia="fr-FR" w:bidi="fr-FR"/>
        </w:rPr>
        <w:t>Île-de-France</w:t>
      </w:r>
      <w:r w:rsidRPr="00246AE4">
        <w:rPr>
          <w:color w:val="000000"/>
          <w:lang w:eastAsia="fr-FR" w:bidi="fr-FR"/>
        </w:rPr>
        <w:t xml:space="preserve"> des témoign</w:t>
      </w:r>
      <w:r w:rsidRPr="00246AE4">
        <w:rPr>
          <w:color w:val="000000"/>
          <w:lang w:eastAsia="fr-FR" w:bidi="fr-FR"/>
        </w:rPr>
        <w:t>a</w:t>
      </w:r>
      <w:r w:rsidRPr="00246AE4">
        <w:rPr>
          <w:color w:val="000000"/>
          <w:lang w:eastAsia="fr-FR" w:bidi="fr-FR"/>
        </w:rPr>
        <w:t>ges moins nombreux et moins notables que dans bien d’autres contrées. Les grandes églises, cathédrales ou monastiques, y ont pre</w:t>
      </w:r>
      <w:r w:rsidRPr="00246AE4">
        <w:rPr>
          <w:color w:val="000000"/>
          <w:lang w:eastAsia="fr-FR" w:bidi="fr-FR"/>
        </w:rPr>
        <w:t>s</w:t>
      </w:r>
      <w:r w:rsidRPr="00246AE4">
        <w:rPr>
          <w:color w:val="000000"/>
          <w:lang w:eastAsia="fr-FR" w:bidi="fr-FR"/>
        </w:rPr>
        <w:t xml:space="preserve">que toutes été reconstruites à l’époque gothique. Aussi, c’est surtout dans les campagnes que l’archéologue rencontrera des édifices, ou des fragments d’édifices romans. M. Coquelle a exploré à ce point de vue le </w:t>
      </w:r>
      <w:r>
        <w:rPr>
          <w:color w:val="000000"/>
          <w:lang w:eastAsia="fr-FR" w:bidi="fr-FR"/>
        </w:rPr>
        <w:t>V</w:t>
      </w:r>
      <w:r w:rsidRPr="00246AE4">
        <w:rPr>
          <w:color w:val="000000"/>
          <w:lang w:eastAsia="fr-FR" w:bidi="fr-FR"/>
        </w:rPr>
        <w:t>exin et le Pinserais</w:t>
      </w:r>
      <w:r>
        <w:rPr>
          <w:color w:val="000000"/>
          <w:lang w:eastAsia="fr-FR" w:bidi="fr-FR"/>
        </w:rPr>
        <w:t> </w:t>
      </w:r>
      <w:r>
        <w:rPr>
          <w:rStyle w:val="Appelnotedebasdep"/>
        </w:rPr>
        <w:footnoteReference w:id="631"/>
      </w:r>
      <w:r w:rsidRPr="00246AE4">
        <w:rPr>
          <w:color w:val="000000"/>
          <w:lang w:eastAsia="fr-FR" w:bidi="fr-FR"/>
        </w:rPr>
        <w:t>. Son exemple devrait être suivi dans les a</w:t>
      </w:r>
      <w:r w:rsidRPr="00246AE4">
        <w:rPr>
          <w:color w:val="000000"/>
          <w:lang w:eastAsia="fr-FR" w:bidi="fr-FR"/>
        </w:rPr>
        <w:t>u</w:t>
      </w:r>
      <w:r w:rsidRPr="00246AE4">
        <w:rPr>
          <w:color w:val="000000"/>
          <w:lang w:eastAsia="fr-FR" w:bidi="fr-FR"/>
        </w:rPr>
        <w:t>tres pays de l’</w:t>
      </w:r>
      <w:r>
        <w:rPr>
          <w:color w:val="000000"/>
          <w:lang w:eastAsia="fr-FR" w:bidi="fr-FR"/>
        </w:rPr>
        <w:t>Île-de-France</w:t>
      </w:r>
      <w:r w:rsidRPr="00246AE4">
        <w:rPr>
          <w:color w:val="000000"/>
          <w:lang w:eastAsia="fr-FR" w:bidi="fr-FR"/>
        </w:rPr>
        <w:t>.</w:t>
      </w:r>
    </w:p>
    <w:p w14:paraId="5D1F0E51" w14:textId="77777777" w:rsidR="00B9662D" w:rsidRPr="00246AE4" w:rsidRDefault="00B9662D" w:rsidP="00B9662D">
      <w:pPr>
        <w:spacing w:before="120" w:after="120"/>
        <w:jc w:val="both"/>
      </w:pPr>
      <w:r w:rsidRPr="00246AE4">
        <w:rPr>
          <w:color w:val="000000"/>
          <w:lang w:eastAsia="fr-FR" w:bidi="fr-FR"/>
        </w:rPr>
        <w:t>Faut-il croire à l’existence d’une école romane de l’</w:t>
      </w:r>
      <w:r>
        <w:rPr>
          <w:color w:val="000000"/>
          <w:lang w:eastAsia="fr-FR" w:bidi="fr-FR"/>
        </w:rPr>
        <w:t>Île-de-France</w:t>
      </w:r>
      <w:r w:rsidRPr="00246AE4">
        <w:rPr>
          <w:color w:val="000000"/>
          <w:lang w:eastAsia="fr-FR" w:bidi="fr-FR"/>
        </w:rPr>
        <w:t> ? M. Anthyme Saint-Paul</w:t>
      </w:r>
      <w:r>
        <w:rPr>
          <w:color w:val="000000"/>
          <w:lang w:eastAsia="fr-FR" w:bidi="fr-FR"/>
        </w:rPr>
        <w:t> </w:t>
      </w:r>
      <w:r>
        <w:rPr>
          <w:rStyle w:val="Appelnotedebasdep"/>
        </w:rPr>
        <w:footnoteReference w:id="632"/>
      </w:r>
      <w:r w:rsidRPr="00246AE4">
        <w:rPr>
          <w:color w:val="000000"/>
          <w:lang w:eastAsia="fr-FR" w:bidi="fr-FR"/>
        </w:rPr>
        <w:t>, M. Enlart, M. de Lasteyrie l’admettent. M. Lefèvre-Pontalis</w:t>
      </w:r>
      <w:r>
        <w:rPr>
          <w:color w:val="000000"/>
          <w:lang w:eastAsia="fr-FR" w:bidi="fr-FR"/>
        </w:rPr>
        <w:t> </w:t>
      </w:r>
      <w:r>
        <w:rPr>
          <w:rStyle w:val="Appelnotedebasdep"/>
        </w:rPr>
        <w:footnoteReference w:id="633"/>
      </w:r>
      <w:r w:rsidRPr="00246AE4">
        <w:rPr>
          <w:color w:val="000000"/>
          <w:lang w:eastAsia="fr-FR" w:bidi="fr-FR"/>
        </w:rPr>
        <w:t xml:space="preserve"> la nie. N’y aurait-il point sous cette savante quere</w:t>
      </w:r>
      <w:r w:rsidRPr="00246AE4">
        <w:rPr>
          <w:color w:val="000000"/>
          <w:lang w:eastAsia="fr-FR" w:bidi="fr-FR"/>
        </w:rPr>
        <w:t>l</w:t>
      </w:r>
      <w:r w:rsidRPr="00246AE4">
        <w:rPr>
          <w:color w:val="000000"/>
          <w:lang w:eastAsia="fr-FR" w:bidi="fr-FR"/>
        </w:rPr>
        <w:t xml:space="preserve">le, une simple question de mots ? Ceux même parmi les archéologues qui, dans leurs classifications, réservent une place à cette école, </w:t>
      </w:r>
      <w:r w:rsidRPr="00246AE4">
        <w:rPr>
          <w:color w:val="000000"/>
          <w:lang w:eastAsia="fr-FR" w:bidi="fr-FR"/>
        </w:rPr>
        <w:lastRenderedPageBreak/>
        <w:t>dont ils étendent les limites bien au</w:t>
      </w:r>
      <w:r>
        <w:rPr>
          <w:color w:val="000000"/>
          <w:lang w:eastAsia="fr-FR" w:bidi="fr-FR"/>
        </w:rPr>
        <w:t>-</w:t>
      </w:r>
      <w:r w:rsidRPr="00246AE4">
        <w:rPr>
          <w:color w:val="000000"/>
          <w:lang w:eastAsia="fr-FR" w:bidi="fr-FR"/>
        </w:rPr>
        <w:t>delà des frontières que le langage commun assigne à l’</w:t>
      </w:r>
      <w:r>
        <w:rPr>
          <w:color w:val="000000"/>
          <w:lang w:eastAsia="fr-FR" w:bidi="fr-FR"/>
        </w:rPr>
        <w:t>Île-de-France </w:t>
      </w:r>
      <w:r>
        <w:rPr>
          <w:rStyle w:val="Appelnotedebasdep"/>
        </w:rPr>
        <w:footnoteReference w:id="634"/>
      </w:r>
      <w:r w:rsidRPr="00246AE4">
        <w:rPr>
          <w:color w:val="000000"/>
          <w:lang w:eastAsia="fr-FR" w:bidi="fr-FR"/>
        </w:rPr>
        <w:t>, reconnaissent qu’elle ne se di</w:t>
      </w:r>
      <w:r w:rsidRPr="00246AE4">
        <w:rPr>
          <w:color w:val="000000"/>
          <w:lang w:eastAsia="fr-FR" w:bidi="fr-FR"/>
        </w:rPr>
        <w:t>s</w:t>
      </w:r>
      <w:r w:rsidRPr="00246AE4">
        <w:rPr>
          <w:color w:val="000000"/>
          <w:lang w:eastAsia="fr-FR" w:bidi="fr-FR"/>
        </w:rPr>
        <w:t>tingue par aucun trait essentiel. Mais qu’est-ce qu’une école que ne marqua aucun caractère spécifique ? Les écoles normandes, poitev</w:t>
      </w:r>
      <w:r w:rsidRPr="00246AE4">
        <w:rPr>
          <w:color w:val="000000"/>
          <w:lang w:eastAsia="fr-FR" w:bidi="fr-FR"/>
        </w:rPr>
        <w:t>i</w:t>
      </w:r>
      <w:r w:rsidRPr="00246AE4">
        <w:rPr>
          <w:color w:val="000000"/>
          <w:lang w:eastAsia="fr-FR" w:bidi="fr-FR"/>
        </w:rPr>
        <w:t>nes, bourguignonnes, rhénanes</w:t>
      </w:r>
      <w:r>
        <w:rPr>
          <w:color w:val="000000"/>
          <w:lang w:eastAsia="fr-FR" w:bidi="fr-FR"/>
        </w:rPr>
        <w:t xml:space="preserve"> </w:t>
      </w:r>
      <w:r>
        <w:t xml:space="preserve">[767] </w:t>
      </w:r>
      <w:r w:rsidRPr="00246AE4">
        <w:rPr>
          <w:color w:val="000000"/>
          <w:lang w:eastAsia="fr-FR" w:bidi="fr-FR"/>
        </w:rPr>
        <w:t>avaient chacune des habitudes architecturales qui leur étaient pr</w:t>
      </w:r>
      <w:r w:rsidRPr="00246AE4">
        <w:rPr>
          <w:color w:val="000000"/>
          <w:lang w:eastAsia="fr-FR" w:bidi="fr-FR"/>
        </w:rPr>
        <w:t>o</w:t>
      </w:r>
      <w:r w:rsidRPr="00246AE4">
        <w:rPr>
          <w:color w:val="000000"/>
          <w:lang w:eastAsia="fr-FR" w:bidi="fr-FR"/>
        </w:rPr>
        <w:t>pres. Entre les territoires où leur action se faisait sentir, presque sans concurrence, s’étendait à l’époque romane une très vaste région</w:t>
      </w:r>
      <w:r>
        <w:rPr>
          <w:color w:val="000000"/>
          <w:lang w:eastAsia="fr-FR" w:bidi="fr-FR"/>
        </w:rPr>
        <w:t> — </w:t>
      </w:r>
      <w:r w:rsidRPr="00246AE4">
        <w:rPr>
          <w:color w:val="000000"/>
          <w:lang w:eastAsia="fr-FR" w:bidi="fr-FR"/>
        </w:rPr>
        <w:t>la France du Nord tout entière, moins la Normandie</w:t>
      </w:r>
      <w:r>
        <w:rPr>
          <w:color w:val="000000"/>
          <w:lang w:eastAsia="fr-FR" w:bidi="fr-FR"/>
        </w:rPr>
        <w:t> — </w:t>
      </w:r>
      <w:r w:rsidRPr="00246AE4">
        <w:rPr>
          <w:color w:val="000000"/>
          <w:lang w:eastAsia="fr-FR" w:bidi="fr-FR"/>
        </w:rPr>
        <w:t>où l’on construisait sans règles bien fixes en ado</w:t>
      </w:r>
      <w:r w:rsidRPr="00246AE4">
        <w:rPr>
          <w:color w:val="000000"/>
          <w:lang w:eastAsia="fr-FR" w:bidi="fr-FR"/>
        </w:rPr>
        <w:t>p</w:t>
      </w:r>
      <w:r w:rsidRPr="00246AE4">
        <w:rPr>
          <w:color w:val="000000"/>
          <w:lang w:eastAsia="fr-FR" w:bidi="fr-FR"/>
        </w:rPr>
        <w:t>tant les coutumes tantôt de l’une, tantôt de l’autre des contrées vois</w:t>
      </w:r>
      <w:r w:rsidRPr="00246AE4">
        <w:rPr>
          <w:color w:val="000000"/>
          <w:lang w:eastAsia="fr-FR" w:bidi="fr-FR"/>
        </w:rPr>
        <w:t>i</w:t>
      </w:r>
      <w:r w:rsidRPr="00246AE4">
        <w:rPr>
          <w:color w:val="000000"/>
          <w:lang w:eastAsia="fr-FR" w:bidi="fr-FR"/>
        </w:rPr>
        <w:t>nes, le plus souvent celles des maîtres d’œuvre normands</w:t>
      </w:r>
      <w:r>
        <w:rPr>
          <w:color w:val="000000"/>
          <w:lang w:eastAsia="fr-FR" w:bidi="fr-FR"/>
        </w:rPr>
        <w:t> </w:t>
      </w:r>
      <w:r>
        <w:rPr>
          <w:rStyle w:val="Appelnotedebasdep"/>
        </w:rPr>
        <w:footnoteReference w:id="635"/>
      </w:r>
      <w:r w:rsidRPr="00246AE4">
        <w:rPr>
          <w:color w:val="000000"/>
          <w:lang w:eastAsia="fr-FR" w:bidi="fr-FR"/>
        </w:rPr>
        <w:t>. Cette r</w:t>
      </w:r>
      <w:r w:rsidRPr="00246AE4">
        <w:rPr>
          <w:color w:val="000000"/>
          <w:lang w:eastAsia="fr-FR" w:bidi="fr-FR"/>
        </w:rPr>
        <w:t>é</w:t>
      </w:r>
      <w:r w:rsidRPr="00246AE4">
        <w:rPr>
          <w:color w:val="000000"/>
          <w:lang w:eastAsia="fr-FR" w:bidi="fr-FR"/>
        </w:rPr>
        <w:t>gion dont l’</w:t>
      </w:r>
      <w:r>
        <w:rPr>
          <w:color w:val="000000"/>
          <w:lang w:eastAsia="fr-FR" w:bidi="fr-FR"/>
        </w:rPr>
        <w:t>Île-de-France</w:t>
      </w:r>
      <w:r w:rsidRPr="00246AE4">
        <w:rPr>
          <w:color w:val="000000"/>
          <w:lang w:eastAsia="fr-FR" w:bidi="fr-FR"/>
        </w:rPr>
        <w:t xml:space="preserve"> était une partie se caractérisait précisément, à ce moment parce qu’aucune éc</w:t>
      </w:r>
      <w:r w:rsidRPr="00246AE4">
        <w:rPr>
          <w:color w:val="000000"/>
          <w:lang w:eastAsia="fr-FR" w:bidi="fr-FR"/>
        </w:rPr>
        <w:t>o</w:t>
      </w:r>
      <w:r w:rsidRPr="00246AE4">
        <w:rPr>
          <w:color w:val="000000"/>
          <w:lang w:eastAsia="fr-FR" w:bidi="fr-FR"/>
        </w:rPr>
        <w:t>le particulière ne s’y était formée : les écoles des provinces enviro</w:t>
      </w:r>
      <w:r w:rsidRPr="00246AE4">
        <w:rPr>
          <w:color w:val="000000"/>
          <w:lang w:eastAsia="fr-FR" w:bidi="fr-FR"/>
        </w:rPr>
        <w:t>n</w:t>
      </w:r>
      <w:r w:rsidRPr="00246AE4">
        <w:rPr>
          <w:color w:val="000000"/>
          <w:lang w:eastAsia="fr-FR" w:bidi="fr-FR"/>
        </w:rPr>
        <w:t xml:space="preserve">nantes s’y rencontraient, comme dans un terrain sans maître. Au reste, s’il est vrai, selon le mot célèbre de Quicherat, que « l’histoire de l’architecture au Moyen </w:t>
      </w:r>
      <w:r>
        <w:rPr>
          <w:color w:val="000000"/>
          <w:lang w:eastAsia="fr-FR" w:bidi="fr-FR"/>
        </w:rPr>
        <w:t>Â</w:t>
      </w:r>
      <w:r w:rsidRPr="00246AE4">
        <w:rPr>
          <w:color w:val="000000"/>
          <w:lang w:eastAsia="fr-FR" w:bidi="fr-FR"/>
        </w:rPr>
        <w:t>ge n’est que l’histoire de la lutte des arch</w:t>
      </w:r>
      <w:r w:rsidRPr="00246AE4">
        <w:rPr>
          <w:color w:val="000000"/>
          <w:lang w:eastAsia="fr-FR" w:bidi="fr-FR"/>
        </w:rPr>
        <w:t>i</w:t>
      </w:r>
      <w:r w:rsidRPr="00246AE4">
        <w:rPr>
          <w:color w:val="000000"/>
          <w:lang w:eastAsia="fr-FR" w:bidi="fr-FR"/>
        </w:rPr>
        <w:t>tectes contre la poussée des voûtes », il faut avouer que ceux qui, pe</w:t>
      </w:r>
      <w:r w:rsidRPr="00246AE4">
        <w:rPr>
          <w:color w:val="000000"/>
          <w:lang w:eastAsia="fr-FR" w:bidi="fr-FR"/>
        </w:rPr>
        <w:t>n</w:t>
      </w:r>
      <w:r w:rsidRPr="00246AE4">
        <w:rPr>
          <w:color w:val="000000"/>
          <w:lang w:eastAsia="fr-FR" w:bidi="fr-FR"/>
        </w:rPr>
        <w:t>dant la période romane, élevèrent des églises dans l’</w:t>
      </w:r>
      <w:r>
        <w:rPr>
          <w:color w:val="000000"/>
          <w:lang w:eastAsia="fr-FR" w:bidi="fr-FR"/>
        </w:rPr>
        <w:t>Île-de-France</w:t>
      </w:r>
      <w:r w:rsidRPr="00246AE4">
        <w:rPr>
          <w:color w:val="000000"/>
          <w:lang w:eastAsia="fr-FR" w:bidi="fr-FR"/>
        </w:rPr>
        <w:t xml:space="preserve"> ne brillèrent pas dans ce combat : car ils n’osaient pas voûter les nefs, ni même, bien souvent, les bas-côtés. Heureuse maladresse ! nous lui devons sans doute l’ogive et l’art g</w:t>
      </w:r>
      <w:r w:rsidRPr="00246AE4">
        <w:rPr>
          <w:color w:val="000000"/>
          <w:lang w:eastAsia="fr-FR" w:bidi="fr-FR"/>
        </w:rPr>
        <w:t>o</w:t>
      </w:r>
      <w:r w:rsidRPr="00246AE4">
        <w:rPr>
          <w:color w:val="000000"/>
          <w:lang w:eastAsia="fr-FR" w:bidi="fr-FR"/>
        </w:rPr>
        <w:t>thique.</w:t>
      </w:r>
    </w:p>
    <w:p w14:paraId="0B7513F1" w14:textId="77777777" w:rsidR="00B9662D" w:rsidRPr="00246AE4" w:rsidRDefault="00B9662D" w:rsidP="00B9662D">
      <w:pPr>
        <w:spacing w:before="120" w:after="120"/>
        <w:jc w:val="both"/>
      </w:pPr>
      <w:r w:rsidRPr="00246AE4">
        <w:rPr>
          <w:color w:val="000000"/>
          <w:lang w:eastAsia="fr-FR" w:bidi="fr-FR"/>
        </w:rPr>
        <w:t>Les origines de l’architecture gothique s’enveloppent encore de quelque obscurité. Sur ce point, l’accord ne s’est pas fait entre tous les archéologues. Ce n’est pas ici le lieu d’exposer cette controverse qui dépasse les limites de notre étude. Un fait paraît acquis : quel que soit le lieu, où pour la première fois, on vit une croisée d’ogives, robuste et légère, soutenir une voûte, c’est bien vraisemblablement non loin de Paris, et sans doute aux confins de la région parisienne et de la Pica</w:t>
      </w:r>
      <w:r w:rsidRPr="00246AE4">
        <w:rPr>
          <w:color w:val="000000"/>
          <w:lang w:eastAsia="fr-FR" w:bidi="fr-FR"/>
        </w:rPr>
        <w:t>r</w:t>
      </w:r>
      <w:r w:rsidRPr="00246AE4">
        <w:rPr>
          <w:color w:val="000000"/>
          <w:lang w:eastAsia="fr-FR" w:bidi="fr-FR"/>
        </w:rPr>
        <w:t>die, que se créa et se développa le type de l’église gothique</w:t>
      </w:r>
      <w:r>
        <w:rPr>
          <w:color w:val="000000"/>
          <w:lang w:eastAsia="fr-FR" w:bidi="fr-FR"/>
        </w:rPr>
        <w:t> </w:t>
      </w:r>
      <w:r>
        <w:rPr>
          <w:rStyle w:val="Appelnotedebasdep"/>
        </w:rPr>
        <w:footnoteReference w:id="636"/>
      </w:r>
      <w:r w:rsidRPr="00246AE4">
        <w:rPr>
          <w:color w:val="000000"/>
          <w:lang w:eastAsia="fr-FR" w:bidi="fr-FR"/>
        </w:rPr>
        <w:t xml:space="preserve">. Là les </w:t>
      </w:r>
      <w:r w:rsidRPr="00246AE4">
        <w:rPr>
          <w:color w:val="000000"/>
          <w:lang w:eastAsia="fr-FR" w:bidi="fr-FR"/>
        </w:rPr>
        <w:lastRenderedPageBreak/>
        <w:t>maçons, qui sur tout espace un peu large ne se risquaient pas à lancer les simples voûtes romanes, inventèrent peut-être ou du moins e</w:t>
      </w:r>
      <w:r w:rsidRPr="00246AE4">
        <w:rPr>
          <w:color w:val="000000"/>
          <w:lang w:eastAsia="fr-FR" w:bidi="fr-FR"/>
        </w:rPr>
        <w:t>m</w:t>
      </w:r>
      <w:r w:rsidRPr="00246AE4">
        <w:rPr>
          <w:color w:val="000000"/>
          <w:lang w:eastAsia="fr-FR" w:bidi="fr-FR"/>
        </w:rPr>
        <w:t>ployèrent plus méthodiquement que nul ne l’avait fait avant eux un procédé plus savant, la voûte d’ogives, qui, avec deux autres pratiques architecturales venues à sa suite, l’usage de l’arc-boutant et l’usage fréquent de l’arc en tiers-point, caractérise l’architecture nouvelle que nous appelons gothique. Suger, qui de 1125 à 1148 environ, restaura et presque reconstruisit la bas</w:t>
      </w:r>
      <w:r>
        <w:rPr>
          <w:color w:val="000000"/>
          <w:lang w:eastAsia="fr-FR" w:bidi="fr-FR"/>
        </w:rPr>
        <w:t>ilique de Saint-Denis, que l’aff</w:t>
      </w:r>
      <w:r w:rsidRPr="00246AE4">
        <w:rPr>
          <w:color w:val="000000"/>
          <w:lang w:eastAsia="fr-FR" w:bidi="fr-FR"/>
        </w:rPr>
        <w:t>luence des pèlerins avait faite trop petite, couvrit de voûtes d’ogives le na</w:t>
      </w:r>
      <w:r w:rsidRPr="00246AE4">
        <w:rPr>
          <w:color w:val="000000"/>
          <w:lang w:eastAsia="fr-FR" w:bidi="fr-FR"/>
        </w:rPr>
        <w:t>r</w:t>
      </w:r>
      <w:r w:rsidRPr="00246AE4">
        <w:rPr>
          <w:color w:val="000000"/>
          <w:lang w:eastAsia="fr-FR" w:bidi="fr-FR"/>
        </w:rPr>
        <w:t>thex et le chevet que nous voyons encore et peut</w:t>
      </w:r>
      <w:r>
        <w:rPr>
          <w:color w:val="000000"/>
          <w:lang w:eastAsia="fr-FR" w:bidi="fr-FR"/>
        </w:rPr>
        <w:t>-</w:t>
      </w:r>
      <w:r w:rsidRPr="00246AE4">
        <w:rPr>
          <w:color w:val="000000"/>
          <w:lang w:eastAsia="fr-FR" w:bidi="fr-FR"/>
        </w:rPr>
        <w:t>être la nef qui disp</w:t>
      </w:r>
      <w:r w:rsidRPr="00246AE4">
        <w:rPr>
          <w:color w:val="000000"/>
          <w:lang w:eastAsia="fr-FR" w:bidi="fr-FR"/>
        </w:rPr>
        <w:t>a</w:t>
      </w:r>
      <w:r w:rsidRPr="00246AE4">
        <w:rPr>
          <w:color w:val="000000"/>
          <w:lang w:eastAsia="fr-FR" w:bidi="fr-FR"/>
        </w:rPr>
        <w:t>rut au siècle suivant. Le style nouveau se répandit rapidement dans l’</w:t>
      </w:r>
      <w:r>
        <w:rPr>
          <w:color w:val="000000"/>
          <w:lang w:eastAsia="fr-FR" w:bidi="fr-FR"/>
        </w:rPr>
        <w:t>Île-de-France</w:t>
      </w:r>
      <w:r w:rsidRPr="00246AE4">
        <w:rPr>
          <w:color w:val="000000"/>
          <w:lang w:eastAsia="fr-FR" w:bidi="fr-FR"/>
        </w:rPr>
        <w:t xml:space="preserve"> tout entière, dont les solides calcaires, qui au sortir de la carrière se recouvrent d’une croûte résistante, invitaient les maîtres d’œuvre aux belles audaces. Il y déploya toutes ses formes, jusqu’au flamboyant.</w:t>
      </w:r>
    </w:p>
    <w:p w14:paraId="258AC837" w14:textId="77777777" w:rsidR="00B9662D" w:rsidRPr="00246AE4" w:rsidRDefault="00B9662D" w:rsidP="00B9662D">
      <w:pPr>
        <w:spacing w:before="120" w:after="120"/>
        <w:jc w:val="both"/>
      </w:pPr>
      <w:r w:rsidRPr="00246AE4">
        <w:rPr>
          <w:color w:val="000000"/>
          <w:lang w:eastAsia="fr-FR" w:bidi="fr-FR"/>
        </w:rPr>
        <w:t>Environ à la même époque où naissait l’architecture gothique, une grande école de sculpture se faisait jour dans l’</w:t>
      </w:r>
      <w:r>
        <w:rPr>
          <w:color w:val="000000"/>
          <w:lang w:eastAsia="fr-FR" w:bidi="fr-FR"/>
        </w:rPr>
        <w:t>Île-de-France</w:t>
      </w:r>
      <w:r w:rsidRPr="00246AE4">
        <w:rPr>
          <w:color w:val="000000"/>
          <w:lang w:eastAsia="fr-FR" w:bidi="fr-FR"/>
        </w:rPr>
        <w:t>. Des st</w:t>
      </w:r>
      <w:r w:rsidRPr="00246AE4">
        <w:rPr>
          <w:color w:val="000000"/>
          <w:lang w:eastAsia="fr-FR" w:bidi="fr-FR"/>
        </w:rPr>
        <w:t>a</w:t>
      </w:r>
      <w:r w:rsidRPr="00246AE4">
        <w:rPr>
          <w:color w:val="000000"/>
          <w:lang w:eastAsia="fr-FR" w:bidi="fr-FR"/>
        </w:rPr>
        <w:t>tues un peu raides encore, gracieuses pourtant et déjà vivantes, parai</w:t>
      </w:r>
      <w:r w:rsidRPr="00246AE4">
        <w:rPr>
          <w:color w:val="000000"/>
          <w:lang w:eastAsia="fr-FR" w:bidi="fr-FR"/>
        </w:rPr>
        <w:t>s</w:t>
      </w:r>
      <w:r w:rsidRPr="00246AE4">
        <w:rPr>
          <w:color w:val="000000"/>
          <w:lang w:eastAsia="fr-FR" w:bidi="fr-FR"/>
        </w:rPr>
        <w:t>saient</w:t>
      </w:r>
      <w:r>
        <w:rPr>
          <w:color w:val="000000"/>
          <w:lang w:eastAsia="fr-FR" w:bidi="fr-FR"/>
        </w:rPr>
        <w:t xml:space="preserve"> </w:t>
      </w:r>
      <w:r>
        <w:t xml:space="preserve"> [768] </w:t>
      </w:r>
      <w:r w:rsidRPr="00246AE4">
        <w:rPr>
          <w:color w:val="000000"/>
          <w:lang w:eastAsia="fr-FR" w:bidi="fr-FR"/>
        </w:rPr>
        <w:t xml:space="preserve">aux portails de Notre-Dame de Chartres, de Notre-Dame d’Étampes, de Notre-Dame de Corbeil. Si la façade occidentale du Saint-Denis de Suger n’avait été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mutilée par les mo</w:t>
      </w:r>
      <w:r w:rsidRPr="00246AE4">
        <w:rPr>
          <w:color w:val="000000"/>
          <w:lang w:eastAsia="fr-FR" w:bidi="fr-FR"/>
        </w:rPr>
        <w:t>i</w:t>
      </w:r>
      <w:r w:rsidRPr="00246AE4">
        <w:rPr>
          <w:color w:val="000000"/>
          <w:lang w:eastAsia="fr-FR" w:bidi="fr-FR"/>
        </w:rPr>
        <w:t xml:space="preserve">nes, et au début du </w:t>
      </w:r>
      <w:r w:rsidRPr="00CB6AF7">
        <w:rPr>
          <w:caps/>
          <w:color w:val="000000"/>
          <w:lang w:eastAsia="fr-FR" w:bidi="fr-FR"/>
        </w:rPr>
        <w:t>xix</w:t>
      </w:r>
      <w:r w:rsidRPr="00246AE4">
        <w:rPr>
          <w:color w:val="000000"/>
          <w:vertAlign w:val="superscript"/>
          <w:lang w:eastAsia="fr-FR" w:bidi="fr-FR"/>
        </w:rPr>
        <w:t xml:space="preserve">e </w:t>
      </w:r>
      <w:r w:rsidRPr="00246AE4">
        <w:rPr>
          <w:color w:val="000000"/>
          <w:lang w:eastAsia="fr-FR" w:bidi="fr-FR"/>
        </w:rPr>
        <w:t>déshonorée par les « restaurations » de Fra</w:t>
      </w:r>
      <w:r w:rsidRPr="00246AE4">
        <w:rPr>
          <w:color w:val="000000"/>
          <w:lang w:eastAsia="fr-FR" w:bidi="fr-FR"/>
        </w:rPr>
        <w:t>n</w:t>
      </w:r>
      <w:r w:rsidRPr="00246AE4">
        <w:rPr>
          <w:color w:val="000000"/>
          <w:lang w:eastAsia="fr-FR" w:bidi="fr-FR"/>
        </w:rPr>
        <w:t>çois Debret, nous y admirerions encore le peuple de pierres que l’abbé avait groupé autour de son « noble portique » ; les quelques débris qui subsistent en place, mêlés à des œuvres modernes, et les dessins ex</w:t>
      </w:r>
      <w:r w:rsidRPr="00246AE4">
        <w:rPr>
          <w:color w:val="000000"/>
          <w:lang w:eastAsia="fr-FR" w:bidi="fr-FR"/>
        </w:rPr>
        <w:t>é</w:t>
      </w:r>
      <w:r w:rsidRPr="00246AE4">
        <w:rPr>
          <w:color w:val="000000"/>
          <w:lang w:eastAsia="fr-FR" w:bidi="fr-FR"/>
        </w:rPr>
        <w:t xml:space="preserve">cutés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pour Mont-faucon autorisent nos regrets</w:t>
      </w:r>
      <w:r>
        <w:rPr>
          <w:color w:val="000000"/>
          <w:lang w:eastAsia="fr-FR" w:bidi="fr-FR"/>
        </w:rPr>
        <w:t> </w:t>
      </w:r>
      <w:r>
        <w:rPr>
          <w:rStyle w:val="Appelnotedebasdep"/>
        </w:rPr>
        <w:footnoteReference w:id="637"/>
      </w:r>
      <w:r w:rsidRPr="00246AE4">
        <w:rPr>
          <w:color w:val="000000"/>
          <w:lang w:eastAsia="fr-FR" w:bidi="fr-FR"/>
        </w:rPr>
        <w:t xml:space="preserve">. C’est à Saint-Denis, semble-t-il, que se manifesta d’abord </w:t>
      </w:r>
      <w:r w:rsidRPr="00246AE4">
        <w:rPr>
          <w:color w:val="000000"/>
          <w:lang w:eastAsia="fr-FR" w:bidi="fr-FR"/>
        </w:rPr>
        <w:lastRenderedPageBreak/>
        <w:t>l’école nouvelle qui rayonna ensuite sur l’</w:t>
      </w:r>
      <w:r>
        <w:rPr>
          <w:color w:val="000000"/>
          <w:lang w:eastAsia="fr-FR" w:bidi="fr-FR"/>
        </w:rPr>
        <w:t>Île-de-France</w:t>
      </w:r>
      <w:r w:rsidRPr="00246AE4">
        <w:rPr>
          <w:color w:val="000000"/>
          <w:lang w:eastAsia="fr-FR" w:bidi="fr-FR"/>
        </w:rPr>
        <w:t xml:space="preserve"> tout entière. Sa fl</w:t>
      </w:r>
      <w:r w:rsidRPr="00246AE4">
        <w:rPr>
          <w:color w:val="000000"/>
          <w:lang w:eastAsia="fr-FR" w:bidi="fr-FR"/>
        </w:rPr>
        <w:t>o</w:t>
      </w:r>
      <w:r w:rsidRPr="00246AE4">
        <w:rPr>
          <w:color w:val="000000"/>
          <w:lang w:eastAsia="fr-FR" w:bidi="fr-FR"/>
        </w:rPr>
        <w:t xml:space="preserve">raison nous semble très brusque, peut-être parce que nous connaissons mal ses origines. A-t-elle subi l’influence des ateliers bourguignons, provençaux ou aquitains ? Le problème, qui est infiniment délicat, n’est pas résolu. </w:t>
      </w:r>
      <w:r>
        <w:rPr>
          <w:color w:val="000000"/>
          <w:lang w:eastAsia="fr-FR" w:bidi="fr-FR"/>
        </w:rPr>
        <w:t>À</w:t>
      </w:r>
      <w:r w:rsidRPr="00246AE4">
        <w:rPr>
          <w:color w:val="000000"/>
          <w:lang w:eastAsia="fr-FR" w:bidi="fr-FR"/>
        </w:rPr>
        <w:t xml:space="preserve"> le discuter, nous sortirions des cadres de notre ét</w:t>
      </w:r>
      <w:r w:rsidRPr="00246AE4">
        <w:rPr>
          <w:color w:val="000000"/>
          <w:lang w:eastAsia="fr-FR" w:bidi="fr-FR"/>
        </w:rPr>
        <w:t>u</w:t>
      </w:r>
      <w:r w:rsidRPr="00246AE4">
        <w:rPr>
          <w:color w:val="000000"/>
          <w:lang w:eastAsia="fr-FR" w:bidi="fr-FR"/>
        </w:rPr>
        <w:t>de ; car c’est surtout sur la date des œuvres bourguignonnes et mér</w:t>
      </w:r>
      <w:r w:rsidRPr="00246AE4">
        <w:rPr>
          <w:color w:val="000000"/>
          <w:lang w:eastAsia="fr-FR" w:bidi="fr-FR"/>
        </w:rPr>
        <w:t>i</w:t>
      </w:r>
      <w:r w:rsidRPr="00246AE4">
        <w:rPr>
          <w:color w:val="000000"/>
          <w:lang w:eastAsia="fr-FR" w:bidi="fr-FR"/>
        </w:rPr>
        <w:t>dionales que porte le débat. L’histoire de la sculpture médiévale dans l’</w:t>
      </w:r>
      <w:r>
        <w:rPr>
          <w:color w:val="000000"/>
          <w:lang w:eastAsia="fr-FR" w:bidi="fr-FR"/>
        </w:rPr>
        <w:t>Île-de-France</w:t>
      </w:r>
      <w:r w:rsidRPr="00246AE4">
        <w:rPr>
          <w:color w:val="000000"/>
          <w:lang w:eastAsia="fr-FR" w:bidi="fr-FR"/>
        </w:rPr>
        <w:t xml:space="preserve">, après avoir débuté si soudainement au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se déroule harmonieusement aux siècles suivants. </w:t>
      </w:r>
      <w:r>
        <w:rPr>
          <w:color w:val="000000"/>
          <w:lang w:eastAsia="fr-FR" w:bidi="fr-FR"/>
        </w:rPr>
        <w:t>À</w:t>
      </w:r>
      <w:r w:rsidRPr="00246AE4">
        <w:rPr>
          <w:color w:val="000000"/>
          <w:lang w:eastAsia="fr-FR" w:bidi="fr-FR"/>
        </w:rPr>
        <w:t xml:space="preserve"> qui veut comparer les artistes du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siècle à ceux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Chartres offre le contraste de son portail occidental et de ses deux porches latéraux. Et l’on sait le merveilleux musée de sculpture française que constitue, pour toute la période qui va du </w:t>
      </w:r>
      <w:r>
        <w:rPr>
          <w:color w:val="000000"/>
          <w:lang w:eastAsia="fr-FR" w:bidi="fr-FR"/>
        </w:rPr>
        <w:t>XIII</w:t>
      </w:r>
      <w:r w:rsidRPr="00246AE4">
        <w:rPr>
          <w:color w:val="000000"/>
          <w:vertAlign w:val="superscript"/>
          <w:lang w:eastAsia="fr-FR" w:bidi="fr-FR"/>
        </w:rPr>
        <w:t>e</w:t>
      </w:r>
      <w:r w:rsidRPr="00246AE4">
        <w:rPr>
          <w:color w:val="000000"/>
          <w:lang w:eastAsia="fr-FR" w:bidi="fr-FR"/>
        </w:rPr>
        <w:t xml:space="preserve"> au </w:t>
      </w:r>
      <w:r w:rsidRPr="00CB6AF7">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 la basilique de Saint-Denis ; sur ses tombeaux MM. Vitry et Brière nous promettent un ouvrage, qui sera le bienvenu</w:t>
      </w:r>
      <w:r>
        <w:rPr>
          <w:color w:val="000000"/>
          <w:lang w:eastAsia="fr-FR" w:bidi="fr-FR"/>
        </w:rPr>
        <w:t> </w:t>
      </w:r>
      <w:r>
        <w:rPr>
          <w:rStyle w:val="Appelnotedebasdep"/>
        </w:rPr>
        <w:footnoteReference w:id="638"/>
      </w:r>
      <w:r w:rsidRPr="00246AE4">
        <w:rPr>
          <w:color w:val="000000"/>
          <w:lang w:eastAsia="fr-FR" w:bidi="fr-FR"/>
        </w:rPr>
        <w:t>.</w:t>
      </w:r>
    </w:p>
    <w:p w14:paraId="582F9A47" w14:textId="77777777" w:rsidR="00B9662D" w:rsidRPr="00246AE4" w:rsidRDefault="00B9662D" w:rsidP="00B9662D">
      <w:pPr>
        <w:spacing w:before="120" w:after="120"/>
        <w:jc w:val="both"/>
      </w:pPr>
      <w:r w:rsidRPr="00246AE4">
        <w:rPr>
          <w:color w:val="000000"/>
          <w:lang w:eastAsia="fr-FR" w:bidi="fr-FR"/>
        </w:rPr>
        <w:t>Saint-Denis en France et Notre-Dame de Chartres : ces deux noms, par où s’ouvre l’histoire de la sculpture de l’âge gothique, dans notre région, il faut les répéter et dans le même ordre, lorsqu’il s’agit de l’art des vitraux. Les principaux ateliers des verriers ont été là, avant d’être à Paris ; et leurs chefs-d’œuvre resplendissent encore aux fen</w:t>
      </w:r>
      <w:r w:rsidRPr="00246AE4">
        <w:rPr>
          <w:color w:val="000000"/>
          <w:lang w:eastAsia="fr-FR" w:bidi="fr-FR"/>
        </w:rPr>
        <w:t>ê</w:t>
      </w:r>
      <w:r w:rsidRPr="00246AE4">
        <w:rPr>
          <w:color w:val="000000"/>
          <w:lang w:eastAsia="fr-FR" w:bidi="fr-FR"/>
        </w:rPr>
        <w:t xml:space="preserve">tres des deux églises, de Chartres surtout. Les archéologues réclament un </w:t>
      </w:r>
      <w:r w:rsidRPr="00246AE4">
        <w:t xml:space="preserve">corpus </w:t>
      </w:r>
      <w:r w:rsidRPr="00246AE4">
        <w:rPr>
          <w:color w:val="000000"/>
          <w:lang w:eastAsia="fr-FR" w:bidi="fr-FR"/>
        </w:rPr>
        <w:t xml:space="preserve">des vitraux français. Une série de </w:t>
      </w:r>
      <w:r w:rsidRPr="00180A1A">
        <w:rPr>
          <w:i/>
        </w:rPr>
        <w:t>corpus</w:t>
      </w:r>
      <w:r w:rsidRPr="00246AE4">
        <w:rPr>
          <w:color w:val="000000"/>
          <w:lang w:eastAsia="fr-FR" w:bidi="fr-FR"/>
        </w:rPr>
        <w:t xml:space="preserve"> régionaux rendrait les mêmes services. Composer celui des vitraux de l’</w:t>
      </w:r>
      <w:r>
        <w:rPr>
          <w:color w:val="000000"/>
          <w:lang w:eastAsia="fr-FR" w:bidi="fr-FR"/>
        </w:rPr>
        <w:t>Île-de-France</w:t>
      </w:r>
      <w:r w:rsidRPr="00246AE4">
        <w:rPr>
          <w:color w:val="000000"/>
          <w:lang w:eastAsia="fr-FR" w:bidi="fr-FR"/>
        </w:rPr>
        <w:t>, ne se trouvera-t-il pas un érudit pour tenter cette entreprise ?</w:t>
      </w:r>
    </w:p>
    <w:p w14:paraId="353E8DC1" w14:textId="77777777" w:rsidR="00B9662D" w:rsidRPr="00246AE4" w:rsidRDefault="00B9662D" w:rsidP="00B9662D">
      <w:pPr>
        <w:spacing w:before="120" w:after="120"/>
        <w:jc w:val="both"/>
      </w:pPr>
      <w:r w:rsidRPr="00246AE4">
        <w:rPr>
          <w:color w:val="000000"/>
          <w:lang w:eastAsia="fr-FR" w:bidi="fr-FR"/>
        </w:rPr>
        <w:t>Les monographies d’églises sont, en manière d’architecture rel</w:t>
      </w:r>
      <w:r w:rsidRPr="00246AE4">
        <w:rPr>
          <w:color w:val="000000"/>
          <w:lang w:eastAsia="fr-FR" w:bidi="fr-FR"/>
        </w:rPr>
        <w:t>i</w:t>
      </w:r>
      <w:r w:rsidRPr="00246AE4">
        <w:rPr>
          <w:color w:val="000000"/>
          <w:lang w:eastAsia="fr-FR" w:bidi="fr-FR"/>
        </w:rPr>
        <w:t>gieuse, le fondement nécessaire du travail archéologique. Sur Saint-Denis, nous possédons, outre les ouvrages un peu vieillis de M. de Guilhermy, le précieux petit livre de MM. Paul Vitry et Gaston Bri</w:t>
      </w:r>
      <w:r w:rsidRPr="00246AE4">
        <w:rPr>
          <w:color w:val="000000"/>
          <w:lang w:eastAsia="fr-FR" w:bidi="fr-FR"/>
        </w:rPr>
        <w:t>è</w:t>
      </w:r>
      <w:r w:rsidRPr="00246AE4">
        <w:rPr>
          <w:color w:val="000000"/>
          <w:lang w:eastAsia="fr-FR" w:bidi="fr-FR"/>
        </w:rPr>
        <w:t>re</w:t>
      </w:r>
      <w:r>
        <w:rPr>
          <w:color w:val="000000"/>
          <w:lang w:eastAsia="fr-FR" w:bidi="fr-FR"/>
        </w:rPr>
        <w:t> </w:t>
      </w:r>
      <w:r>
        <w:rPr>
          <w:rStyle w:val="Appelnotedebasdep"/>
        </w:rPr>
        <w:footnoteReference w:id="639"/>
      </w:r>
      <w:r w:rsidRPr="00246AE4">
        <w:rPr>
          <w:color w:val="000000"/>
          <w:lang w:eastAsia="fr-FR" w:bidi="fr-FR"/>
        </w:rPr>
        <w:t>, trop bref malheureusement pour avoir pu faire plus qu’effleurer les difficiles problèmes posés par l’histoire pleine de vicissitudes de l’illustre basilique : M. Léon Levillain</w:t>
      </w:r>
      <w:r>
        <w:t xml:space="preserve"> [769] </w:t>
      </w:r>
      <w:r w:rsidRPr="00246AE4">
        <w:rPr>
          <w:color w:val="000000"/>
          <w:lang w:eastAsia="fr-FR" w:bidi="fr-FR"/>
        </w:rPr>
        <w:t xml:space="preserve">a renouvelé </w:t>
      </w:r>
      <w:r w:rsidRPr="00246AE4">
        <w:rPr>
          <w:color w:val="000000"/>
          <w:lang w:eastAsia="fr-FR" w:bidi="fr-FR"/>
        </w:rPr>
        <w:lastRenderedPageBreak/>
        <w:t>les débuts de cette histoire, des origines à la démolition partielle de l’œuvre de S</w:t>
      </w:r>
      <w:r w:rsidRPr="00246AE4">
        <w:rPr>
          <w:color w:val="000000"/>
          <w:lang w:eastAsia="fr-FR" w:bidi="fr-FR"/>
        </w:rPr>
        <w:t>u</w:t>
      </w:r>
      <w:r w:rsidRPr="00246AE4">
        <w:rPr>
          <w:color w:val="000000"/>
          <w:lang w:eastAsia="fr-FR" w:bidi="fr-FR"/>
        </w:rPr>
        <w:t>ger</w:t>
      </w:r>
      <w:r>
        <w:rPr>
          <w:color w:val="000000"/>
          <w:lang w:eastAsia="fr-FR" w:bidi="fr-FR"/>
        </w:rPr>
        <w:t> </w:t>
      </w:r>
      <w:r>
        <w:rPr>
          <w:rStyle w:val="Appelnotedebasdep"/>
        </w:rPr>
        <w:footnoteReference w:id="640"/>
      </w:r>
      <w:r w:rsidRPr="00246AE4">
        <w:rPr>
          <w:color w:val="000000"/>
          <w:lang w:eastAsia="fr-FR" w:bidi="fr-FR"/>
        </w:rPr>
        <w:t>. Notre-Dame de Chartres a fourni la matière de très nombreuses études dont on trouvera l’indication dans les bibliographies jointes aux deux plus utiles monographies qui aient été écrites sur ce mon</w:t>
      </w:r>
      <w:r w:rsidRPr="00246AE4">
        <w:rPr>
          <w:color w:val="000000"/>
          <w:lang w:eastAsia="fr-FR" w:bidi="fr-FR"/>
        </w:rPr>
        <w:t>u</w:t>
      </w:r>
      <w:r w:rsidRPr="00246AE4">
        <w:rPr>
          <w:color w:val="000000"/>
          <w:lang w:eastAsia="fr-FR" w:bidi="fr-FR"/>
        </w:rPr>
        <w:t>ment : le vaste ouvrage de l’abbé Bulteau, r</w:t>
      </w:r>
      <w:r w:rsidRPr="00246AE4">
        <w:rPr>
          <w:color w:val="000000"/>
          <w:lang w:eastAsia="fr-FR" w:bidi="fr-FR"/>
        </w:rPr>
        <w:t>é</w:t>
      </w:r>
      <w:r w:rsidRPr="00246AE4">
        <w:rPr>
          <w:color w:val="000000"/>
          <w:lang w:eastAsia="fr-FR" w:bidi="fr-FR"/>
        </w:rPr>
        <w:t>édité par les soins de la Société Archéologique de l’Eure-et-Loir</w:t>
      </w:r>
      <w:r>
        <w:rPr>
          <w:color w:val="000000"/>
          <w:lang w:eastAsia="fr-FR" w:bidi="fr-FR"/>
        </w:rPr>
        <w:t> </w:t>
      </w:r>
      <w:r>
        <w:rPr>
          <w:rStyle w:val="Appelnotedebasdep"/>
        </w:rPr>
        <w:footnoteReference w:id="641"/>
      </w:r>
      <w:r w:rsidRPr="00246AE4">
        <w:rPr>
          <w:color w:val="000000"/>
          <w:lang w:eastAsia="fr-FR" w:bidi="fr-FR"/>
        </w:rPr>
        <w:t xml:space="preserve"> et le livre sobre et précis de M. René Merlet</w:t>
      </w:r>
      <w:r>
        <w:rPr>
          <w:color w:val="000000"/>
          <w:lang w:eastAsia="fr-FR" w:bidi="fr-FR"/>
        </w:rPr>
        <w:t> </w:t>
      </w:r>
      <w:r>
        <w:rPr>
          <w:rStyle w:val="Appelnotedebasdep"/>
        </w:rPr>
        <w:footnoteReference w:id="642"/>
      </w:r>
      <w:r w:rsidRPr="00246AE4">
        <w:rPr>
          <w:color w:val="000000"/>
          <w:lang w:eastAsia="fr-FR" w:bidi="fr-FR"/>
        </w:rPr>
        <w:t xml:space="preserve">. Sur la cathédrale de Meaux, à laquelle ont collaboré tous les siècles, du </w:t>
      </w:r>
      <w:r>
        <w:rPr>
          <w:color w:val="000000"/>
          <w:lang w:eastAsia="fr-FR" w:bidi="fr-FR"/>
        </w:rPr>
        <w:t>XII</w:t>
      </w:r>
      <w:r w:rsidRPr="00246AE4">
        <w:rPr>
          <w:color w:val="000000"/>
          <w:vertAlign w:val="superscript"/>
          <w:lang w:eastAsia="fr-FR" w:bidi="fr-FR"/>
        </w:rPr>
        <w:t>e</w:t>
      </w:r>
      <w:r w:rsidRPr="00246AE4">
        <w:rPr>
          <w:color w:val="000000"/>
          <w:lang w:eastAsia="fr-FR" w:bidi="fr-FR"/>
        </w:rPr>
        <w:t xml:space="preserve"> au </w:t>
      </w:r>
      <w:r w:rsidRPr="00CB6AF7">
        <w:rPr>
          <w:caps/>
          <w:color w:val="000000"/>
          <w:lang w:eastAsia="fr-FR" w:bidi="fr-FR"/>
        </w:rPr>
        <w:t>xvi</w:t>
      </w:r>
      <w:r w:rsidRPr="00246AE4">
        <w:rPr>
          <w:color w:val="000000"/>
          <w:vertAlign w:val="superscript"/>
          <w:lang w:eastAsia="fr-FR" w:bidi="fr-FR"/>
        </w:rPr>
        <w:t>e</w:t>
      </w:r>
      <w:r w:rsidRPr="00246AE4">
        <w:rPr>
          <w:color w:val="000000"/>
          <w:lang w:eastAsia="fr-FR" w:bidi="fr-FR"/>
        </w:rPr>
        <w:t>, nous n’avons pas de bonne étude d’ensemble. Bien d’autres églises, de moindre importance, ont été d</w:t>
      </w:r>
      <w:r w:rsidRPr="00246AE4">
        <w:rPr>
          <w:color w:val="000000"/>
          <w:lang w:eastAsia="fr-FR" w:bidi="fr-FR"/>
        </w:rPr>
        <w:t>é</w:t>
      </w:r>
      <w:r w:rsidRPr="00246AE4">
        <w:rPr>
          <w:color w:val="000000"/>
          <w:lang w:eastAsia="fr-FR" w:bidi="fr-FR"/>
        </w:rPr>
        <w:t>crites, et leurs destinées étudiées. L’œuvre monographique se poursuit activement</w:t>
      </w:r>
      <w:r>
        <w:rPr>
          <w:color w:val="000000"/>
          <w:lang w:eastAsia="fr-FR" w:bidi="fr-FR"/>
        </w:rPr>
        <w:t> </w:t>
      </w:r>
      <w:r>
        <w:rPr>
          <w:rStyle w:val="Appelnotedebasdep"/>
        </w:rPr>
        <w:footnoteReference w:id="643"/>
      </w:r>
      <w:r w:rsidRPr="00246AE4">
        <w:rPr>
          <w:color w:val="000000"/>
          <w:lang w:eastAsia="fr-FR" w:bidi="fr-FR"/>
        </w:rPr>
        <w:t>. Nul doute cepe</w:t>
      </w:r>
      <w:r w:rsidRPr="00246AE4">
        <w:rPr>
          <w:color w:val="000000"/>
          <w:lang w:eastAsia="fr-FR" w:bidi="fr-FR"/>
        </w:rPr>
        <w:t>n</w:t>
      </w:r>
      <w:r w:rsidRPr="00246AE4">
        <w:rPr>
          <w:color w:val="000000"/>
          <w:lang w:eastAsia="fr-FR" w:bidi="fr-FR"/>
        </w:rPr>
        <w:lastRenderedPageBreak/>
        <w:t>dant qu’à explorer les petites villes et les villages de l’</w:t>
      </w:r>
      <w:r>
        <w:rPr>
          <w:color w:val="000000"/>
          <w:lang w:eastAsia="fr-FR" w:bidi="fr-FR"/>
        </w:rPr>
        <w:t>Île-de-France</w:t>
      </w:r>
      <w:r w:rsidRPr="00246AE4">
        <w:rPr>
          <w:color w:val="000000"/>
          <w:lang w:eastAsia="fr-FR" w:bidi="fr-FR"/>
        </w:rPr>
        <w:t>, l’archéologue ne trouve de nombreux monuments qui soient, si je puis dire, inédits. Il ne faut pas négliger les églises rurales. Outre qu’elles révèlent parfois à qui les regarde de près bien des beautés secrètes, leur examen apportera sans doute de quoi résoudre quelques-uns des grands problèmes que pose le dév</w:t>
      </w:r>
      <w:r w:rsidRPr="00246AE4">
        <w:rPr>
          <w:color w:val="000000"/>
          <w:lang w:eastAsia="fr-FR" w:bidi="fr-FR"/>
        </w:rPr>
        <w:t>e</w:t>
      </w:r>
      <w:r w:rsidRPr="00246AE4">
        <w:rPr>
          <w:color w:val="000000"/>
          <w:lang w:eastAsia="fr-FR" w:bidi="fr-FR"/>
        </w:rPr>
        <w:t>loppement de l’architecture rel</w:t>
      </w:r>
      <w:r w:rsidRPr="00246AE4">
        <w:rPr>
          <w:color w:val="000000"/>
          <w:lang w:eastAsia="fr-FR" w:bidi="fr-FR"/>
        </w:rPr>
        <w:t>i</w:t>
      </w:r>
      <w:r w:rsidRPr="00246AE4">
        <w:rPr>
          <w:color w:val="000000"/>
          <w:lang w:eastAsia="fr-FR" w:bidi="fr-FR"/>
        </w:rPr>
        <w:t>gieuse et que le savant doit sans cesse tenir présents à son esprit, car ils font l’intérêt véritable de son travail et justifient l’aridité des m</w:t>
      </w:r>
      <w:r w:rsidRPr="00246AE4">
        <w:rPr>
          <w:color w:val="000000"/>
          <w:lang w:eastAsia="fr-FR" w:bidi="fr-FR"/>
        </w:rPr>
        <w:t>o</w:t>
      </w:r>
      <w:r w:rsidRPr="00246AE4">
        <w:rPr>
          <w:color w:val="000000"/>
          <w:lang w:eastAsia="fr-FR" w:bidi="fr-FR"/>
        </w:rPr>
        <w:t>nographies : origines et relations entre eux des styles, et en particulier du style ogival et de ses diverses fo</w:t>
      </w:r>
      <w:r w:rsidRPr="00246AE4">
        <w:rPr>
          <w:color w:val="000000"/>
          <w:lang w:eastAsia="fr-FR" w:bidi="fr-FR"/>
        </w:rPr>
        <w:t>r</w:t>
      </w:r>
      <w:r w:rsidRPr="00246AE4">
        <w:rPr>
          <w:color w:val="000000"/>
          <w:lang w:eastAsia="fr-FR" w:bidi="fr-FR"/>
        </w:rPr>
        <w:t>mes,</w:t>
      </w:r>
      <w:r>
        <w:rPr>
          <w:color w:val="000000"/>
          <w:lang w:eastAsia="fr-FR" w:bidi="fr-FR"/>
        </w:rPr>
        <w:t> — </w:t>
      </w:r>
      <w:r w:rsidRPr="00246AE4">
        <w:rPr>
          <w:color w:val="000000"/>
          <w:lang w:eastAsia="fr-FR" w:bidi="fr-FR"/>
        </w:rPr>
        <w:t>filiation des différents types architecturaux, dont l’étude pe</w:t>
      </w:r>
      <w:r w:rsidRPr="00246AE4">
        <w:rPr>
          <w:color w:val="000000"/>
          <w:lang w:eastAsia="fr-FR" w:bidi="fr-FR"/>
        </w:rPr>
        <w:t>r</w:t>
      </w:r>
      <w:r w:rsidRPr="00246AE4">
        <w:rPr>
          <w:color w:val="000000"/>
          <w:lang w:eastAsia="fr-FR" w:bidi="fr-FR"/>
        </w:rPr>
        <w:t>mettra peut-être un jour d’établir des classifications rationnelles, en rapport avec les données de l’histoire générale</w:t>
      </w:r>
      <w:r>
        <w:rPr>
          <w:color w:val="000000"/>
          <w:lang w:eastAsia="fr-FR" w:bidi="fr-FR"/>
        </w:rPr>
        <w:t> </w:t>
      </w:r>
      <w:r>
        <w:rPr>
          <w:rStyle w:val="Appelnotedebasdep"/>
        </w:rPr>
        <w:footnoteReference w:id="644"/>
      </w:r>
      <w:r w:rsidRPr="00246AE4">
        <w:rPr>
          <w:color w:val="000000"/>
          <w:lang w:eastAsia="fr-FR" w:bidi="fr-FR"/>
        </w:rPr>
        <w:t>.</w:t>
      </w:r>
    </w:p>
    <w:p w14:paraId="3BD0F789" w14:textId="77777777" w:rsidR="00B9662D" w:rsidRDefault="00B9662D" w:rsidP="00B9662D">
      <w:pPr>
        <w:spacing w:before="120" w:after="120"/>
        <w:jc w:val="both"/>
      </w:pPr>
      <w:r>
        <w:t>[770]</w:t>
      </w:r>
    </w:p>
    <w:p w14:paraId="5AB5151D" w14:textId="77777777" w:rsidR="00B9662D" w:rsidRPr="00246AE4" w:rsidRDefault="00B9662D" w:rsidP="00B9662D">
      <w:pPr>
        <w:spacing w:before="120" w:after="120"/>
        <w:jc w:val="both"/>
      </w:pPr>
    </w:p>
    <w:p w14:paraId="6FF7EB46" w14:textId="77777777" w:rsidR="00B9662D" w:rsidRPr="00246AE4" w:rsidRDefault="00B9662D" w:rsidP="00B9662D">
      <w:pPr>
        <w:pStyle w:val="b"/>
      </w:pPr>
      <w:r w:rsidRPr="00246AE4">
        <w:t xml:space="preserve">4. </w:t>
      </w:r>
      <w:r w:rsidRPr="00246AE4">
        <w:rPr>
          <w:lang w:eastAsia="fr-FR" w:bidi="fr-FR"/>
        </w:rPr>
        <w:t>Époques moderne et contemporaine.</w:t>
      </w:r>
    </w:p>
    <w:p w14:paraId="1509D24B" w14:textId="77777777" w:rsidR="00B9662D" w:rsidRDefault="00B9662D" w:rsidP="00B9662D">
      <w:pPr>
        <w:spacing w:before="120" w:after="120"/>
        <w:jc w:val="both"/>
        <w:rPr>
          <w:color w:val="000000"/>
          <w:lang w:eastAsia="fr-FR" w:bidi="fr-FR"/>
        </w:rPr>
      </w:pPr>
    </w:p>
    <w:p w14:paraId="34D55672" w14:textId="77777777" w:rsidR="00B9662D" w:rsidRPr="00246AE4" w:rsidRDefault="00B9662D" w:rsidP="00B9662D">
      <w:pPr>
        <w:spacing w:before="120" w:after="120"/>
        <w:jc w:val="both"/>
      </w:pPr>
      <w:r w:rsidRPr="00246AE4">
        <w:rPr>
          <w:color w:val="000000"/>
          <w:lang w:eastAsia="fr-FR" w:bidi="fr-FR"/>
        </w:rPr>
        <w:t>Dom Toussaint-Duplessi</w:t>
      </w:r>
      <w:r>
        <w:rPr>
          <w:color w:val="000000"/>
          <w:lang w:eastAsia="fr-FR" w:bidi="fr-FR"/>
        </w:rPr>
        <w:t>s, à qui nous devons, comme on l’</w:t>
      </w:r>
      <w:r w:rsidRPr="00246AE4">
        <w:rPr>
          <w:color w:val="000000"/>
          <w:lang w:eastAsia="fr-FR" w:bidi="fr-FR"/>
        </w:rPr>
        <w:t xml:space="preserve">a vu, une Histoire de l’Église de Meaux, a dit de cette église qu’elle fut « le berceau de l’hérésie ». Le hasard d’une nomination épiscopale en fit, en effet, l’un des plus anciens foyers de la Réforme française. Elle eut pour évêque, de 1516 à 1534, Guillaume Briçonnet, dont </w:t>
      </w:r>
      <w:r>
        <w:rPr>
          <w:color w:val="000000"/>
          <w:lang w:eastAsia="fr-FR" w:bidi="fr-FR"/>
        </w:rPr>
        <w:t>Lefèvre d’Étaples fut le grand-</w:t>
      </w:r>
      <w:r w:rsidRPr="00246AE4">
        <w:rPr>
          <w:color w:val="000000"/>
          <w:lang w:eastAsia="fr-FR" w:bidi="fr-FR"/>
        </w:rPr>
        <w:t xml:space="preserve">vicaire et l’official. Les </w:t>
      </w:r>
      <w:r w:rsidRPr="00D17706">
        <w:rPr>
          <w:i/>
        </w:rPr>
        <w:t>Commentarii initiatorii in quatuor Evangelia</w:t>
      </w:r>
      <w:r w:rsidRPr="00246AE4">
        <w:rPr>
          <w:color w:val="000000"/>
          <w:lang w:eastAsia="fr-FR" w:bidi="fr-FR"/>
        </w:rPr>
        <w:t xml:space="preserve"> de Lefèvre sont le premier livre qui ait été i</w:t>
      </w:r>
      <w:r w:rsidRPr="00246AE4">
        <w:rPr>
          <w:color w:val="000000"/>
          <w:lang w:eastAsia="fr-FR" w:bidi="fr-FR"/>
        </w:rPr>
        <w:t>m</w:t>
      </w:r>
      <w:r w:rsidRPr="00246AE4">
        <w:rPr>
          <w:color w:val="000000"/>
          <w:lang w:eastAsia="fr-FR" w:bidi="fr-FR"/>
        </w:rPr>
        <w:t xml:space="preserve">primé à Meaux. Briçonnet, Lefèvre d’Étaples, on a reconnu les deux grands noms de la première Réforme. L’histoire de ce petit groupe des « Meldois », comme leurs contemporains les nommaient, l’histoire surtout du mouvement d’idées dont ils se trouvèrent, un moment, les plus illustres représentants et en qui l’esprit de l’humanisme et l’esprit </w:t>
      </w:r>
      <w:r w:rsidRPr="00246AE4">
        <w:rPr>
          <w:color w:val="000000"/>
          <w:lang w:eastAsia="fr-FR" w:bidi="fr-FR"/>
        </w:rPr>
        <w:lastRenderedPageBreak/>
        <w:t>de la Réforme s’unissaient alors, avant de se combattre, ne sauraient être considérées comme définitivement élucidées. Mais les problèmes qu’elles posent dépassent infiniment les bornes d’une étude région</w:t>
      </w:r>
      <w:r w:rsidRPr="00246AE4">
        <w:rPr>
          <w:color w:val="000000"/>
          <w:lang w:eastAsia="fr-FR" w:bidi="fr-FR"/>
        </w:rPr>
        <w:t>a</w:t>
      </w:r>
      <w:r w:rsidRPr="00246AE4">
        <w:rPr>
          <w:color w:val="000000"/>
          <w:lang w:eastAsia="fr-FR" w:bidi="fr-FR"/>
        </w:rPr>
        <w:t>le</w:t>
      </w:r>
      <w:r>
        <w:rPr>
          <w:color w:val="000000"/>
          <w:lang w:eastAsia="fr-FR" w:bidi="fr-FR"/>
        </w:rPr>
        <w:t> </w:t>
      </w:r>
      <w:r>
        <w:rPr>
          <w:rStyle w:val="Appelnotedebasdep"/>
        </w:rPr>
        <w:footnoteReference w:id="645"/>
      </w:r>
      <w:r w:rsidRPr="00246AE4">
        <w:rPr>
          <w:color w:val="000000"/>
          <w:lang w:eastAsia="fr-FR" w:bidi="fr-FR"/>
        </w:rPr>
        <w:t>.</w:t>
      </w:r>
    </w:p>
    <w:p w14:paraId="77622D06" w14:textId="77777777" w:rsidR="00B9662D" w:rsidRPr="00246AE4" w:rsidRDefault="00B9662D" w:rsidP="00B9662D">
      <w:pPr>
        <w:spacing w:before="120" w:after="120"/>
        <w:jc w:val="both"/>
      </w:pPr>
      <w:r w:rsidRPr="00246AE4">
        <w:rPr>
          <w:color w:val="000000"/>
          <w:lang w:eastAsia="fr-FR" w:bidi="fr-FR"/>
        </w:rPr>
        <w:t>Comment le protestantisme s’est-il propagé dans les bourgs et dans les campagnes ? Seules, des enquêtes, poursuivies par les érudits dans chacune des provinces françaises, pourront permettre un jour d’écrire le récit exact de cette conquête spirituelle, dont les détails ne s’éclairent souvent que par la connaissance la plus minutieuse de l’histoire locale. Le village de Claye, dans la vallée de l’Ourcq, avait un ministre protestant dès 1562 ; c’est que ses seigneurs appartenaient à la famille des Anjorrant, l’une des premières familles parlementaires parisiennes que gagna la Réforme</w:t>
      </w:r>
      <w:r>
        <w:rPr>
          <w:color w:val="000000"/>
          <w:lang w:eastAsia="fr-FR" w:bidi="fr-FR"/>
        </w:rPr>
        <w:t> </w:t>
      </w:r>
      <w:r>
        <w:rPr>
          <w:rStyle w:val="Appelnotedebasdep"/>
        </w:rPr>
        <w:footnoteReference w:id="646"/>
      </w:r>
      <w:r w:rsidRPr="00246AE4">
        <w:rPr>
          <w:color w:val="000000"/>
          <w:lang w:eastAsia="fr-FR" w:bidi="fr-FR"/>
        </w:rPr>
        <w:t>. Ailleurs, les habitudes économ</w:t>
      </w:r>
      <w:r w:rsidRPr="00246AE4">
        <w:rPr>
          <w:color w:val="000000"/>
          <w:lang w:eastAsia="fr-FR" w:bidi="fr-FR"/>
        </w:rPr>
        <w:t>i</w:t>
      </w:r>
      <w:r w:rsidRPr="00246AE4">
        <w:rPr>
          <w:color w:val="000000"/>
          <w:lang w:eastAsia="fr-FR" w:bidi="fr-FR"/>
        </w:rPr>
        <w:t xml:space="preserve">ques de la population rurale expliquent son histoire religieuse. Les paysans de la Thiérache, au début du </w:t>
      </w:r>
      <w:r w:rsidRPr="00CB6AF7">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 avaient coutume d’aller se louer pour la moisson « en France », c’est-à-dire, à ce qu’il semble, aux environs de Meaux ; là, dans ce pays meldois où la R</w:t>
      </w:r>
      <w:r w:rsidRPr="00246AE4">
        <w:rPr>
          <w:color w:val="000000"/>
          <w:lang w:eastAsia="fr-FR" w:bidi="fr-FR"/>
        </w:rPr>
        <w:t>é</w:t>
      </w:r>
      <w:r w:rsidRPr="00246AE4">
        <w:rPr>
          <w:color w:val="000000"/>
          <w:lang w:eastAsia="fr-FR" w:bidi="fr-FR"/>
        </w:rPr>
        <w:t>forme pénétra dès la première heure, quelques-uns d’entre eux se convertirent à la doctrine nouvelle ; de retour dans leurs villages, ils s’en firent les apôtres</w:t>
      </w:r>
      <w:r>
        <w:rPr>
          <w:color w:val="000000"/>
          <w:lang w:eastAsia="fr-FR" w:bidi="fr-FR"/>
        </w:rPr>
        <w:t> </w:t>
      </w:r>
      <w:r>
        <w:rPr>
          <w:rStyle w:val="Appelnotedebasdep"/>
        </w:rPr>
        <w:footnoteReference w:id="647"/>
      </w:r>
      <w:r w:rsidRPr="00246AE4">
        <w:rPr>
          <w:color w:val="000000"/>
          <w:lang w:eastAsia="fr-FR" w:bidi="fr-FR"/>
        </w:rPr>
        <w:t xml:space="preserve">. Dans </w:t>
      </w:r>
      <w:r>
        <w:rPr>
          <w:color w:val="000000"/>
          <w:lang w:eastAsia="fr-FR" w:bidi="fr-FR"/>
        </w:rPr>
        <w:t>les groupes huguenots de l’Île-</w:t>
      </w:r>
      <w:r w:rsidRPr="00246AE4">
        <w:rPr>
          <w:color w:val="000000"/>
          <w:lang w:eastAsia="fr-FR" w:bidi="fr-FR"/>
        </w:rPr>
        <w:t>de-France, toutes les catégories sociales paraissent avoir compté des r</w:t>
      </w:r>
      <w:r w:rsidRPr="00246AE4">
        <w:rPr>
          <w:color w:val="000000"/>
          <w:lang w:eastAsia="fr-FR" w:bidi="fr-FR"/>
        </w:rPr>
        <w:t>e</w:t>
      </w:r>
      <w:r w:rsidRPr="00246AE4">
        <w:rPr>
          <w:color w:val="000000"/>
          <w:lang w:eastAsia="fr-FR" w:bidi="fr-FR"/>
        </w:rPr>
        <w:t>présentants : gentilshommes et ecclésiastiques y voisinaient avec les bourgeois des petites villes et les laboureurs. Dans quelle proportion chaque classe y figurait-elle ? Ce problème, qui est extrêmement dél</w:t>
      </w:r>
      <w:r w:rsidRPr="00246AE4">
        <w:rPr>
          <w:color w:val="000000"/>
          <w:lang w:eastAsia="fr-FR" w:bidi="fr-FR"/>
        </w:rPr>
        <w:t>i</w:t>
      </w:r>
      <w:r w:rsidRPr="00246AE4">
        <w:rPr>
          <w:color w:val="000000"/>
          <w:lang w:eastAsia="fr-FR" w:bidi="fr-FR"/>
        </w:rPr>
        <w:t xml:space="preserve">cat, mérite de retenir l’attention des chercheurs ; on ne saurait affirmer que les documents fournissent de quoi le résoudre. Les persécutions, au </w:t>
      </w:r>
      <w:r w:rsidRPr="00CB6AF7">
        <w:rPr>
          <w:caps/>
          <w:color w:val="000000"/>
          <w:lang w:eastAsia="fr-FR" w:bidi="fr-FR"/>
        </w:rPr>
        <w:t>xvi</w:t>
      </w:r>
      <w:r w:rsidRPr="00246AE4">
        <w:rPr>
          <w:color w:val="000000"/>
          <w:vertAlign w:val="superscript"/>
          <w:lang w:eastAsia="fr-FR" w:bidi="fr-FR"/>
        </w:rPr>
        <w:t>e</w:t>
      </w:r>
      <w:r w:rsidRPr="00246AE4">
        <w:rPr>
          <w:color w:val="000000"/>
          <w:lang w:eastAsia="fr-FR" w:bidi="fr-FR"/>
        </w:rPr>
        <w:t xml:space="preserve"> siècle, jetèrent certains des protestants de l’</w:t>
      </w:r>
      <w:r>
        <w:rPr>
          <w:color w:val="000000"/>
          <w:lang w:eastAsia="fr-FR" w:bidi="fr-FR"/>
        </w:rPr>
        <w:t>Île-de-France</w:t>
      </w:r>
      <w:r w:rsidRPr="00246AE4">
        <w:rPr>
          <w:color w:val="000000"/>
          <w:lang w:eastAsia="fr-FR" w:bidi="fr-FR"/>
        </w:rPr>
        <w:t xml:space="preserve"> hors de leur pays natal</w:t>
      </w:r>
      <w:r>
        <w:rPr>
          <w:color w:val="000000"/>
          <w:lang w:eastAsia="fr-FR" w:bidi="fr-FR"/>
        </w:rPr>
        <w:t> </w:t>
      </w:r>
      <w:r>
        <w:rPr>
          <w:rStyle w:val="Appelnotedebasdep"/>
        </w:rPr>
        <w:footnoteReference w:id="648"/>
      </w:r>
      <w:r w:rsidRPr="00246AE4">
        <w:rPr>
          <w:color w:val="000000"/>
          <w:lang w:eastAsia="fr-FR" w:bidi="fr-FR"/>
        </w:rPr>
        <w:t xml:space="preserve"> ; les noms de quelques-uns d’entre eux se lisent </w:t>
      </w:r>
      <w:r w:rsidRPr="00246AE4">
        <w:rPr>
          <w:color w:val="000000"/>
          <w:lang w:eastAsia="fr-FR" w:bidi="fr-FR"/>
        </w:rPr>
        <w:lastRenderedPageBreak/>
        <w:t>sur les</w:t>
      </w:r>
      <w:r>
        <w:t xml:space="preserve"> [</w:t>
      </w:r>
      <w:r w:rsidRPr="00246AE4">
        <w:rPr>
          <w:color w:val="000000"/>
          <w:lang w:eastAsia="fr-FR" w:bidi="fr-FR"/>
        </w:rPr>
        <w:t>771</w:t>
      </w:r>
      <w:r>
        <w:rPr>
          <w:color w:val="000000"/>
          <w:lang w:eastAsia="fr-FR" w:bidi="fr-FR"/>
        </w:rPr>
        <w:t xml:space="preserve">] </w:t>
      </w:r>
      <w:r w:rsidRPr="00246AE4">
        <w:rPr>
          <w:color w:val="000000"/>
          <w:lang w:eastAsia="fr-FR" w:bidi="fr-FR"/>
        </w:rPr>
        <w:t>registres de Genève : tel le nom de ce Didier Rousseau, marchand, originaire de Montlhéry « en France », qui obtint, en 1549, d’être reçu habitant de Genève et fut l’ancêtre de Jean-Jacques</w:t>
      </w:r>
      <w:r>
        <w:rPr>
          <w:color w:val="000000"/>
          <w:lang w:eastAsia="fr-FR" w:bidi="fr-FR"/>
        </w:rPr>
        <w:t> </w:t>
      </w:r>
      <w:r>
        <w:rPr>
          <w:rStyle w:val="Appelnotedebasdep"/>
        </w:rPr>
        <w:footnoteReference w:id="649"/>
      </w:r>
      <w:r w:rsidRPr="00246AE4">
        <w:rPr>
          <w:color w:val="000000"/>
          <w:lang w:eastAsia="fr-FR" w:bidi="fr-FR"/>
        </w:rPr>
        <w:t>. D’autres deme</w:t>
      </w:r>
      <w:r w:rsidRPr="00246AE4">
        <w:rPr>
          <w:color w:val="000000"/>
          <w:lang w:eastAsia="fr-FR" w:bidi="fr-FR"/>
        </w:rPr>
        <w:t>u</w:t>
      </w:r>
      <w:r w:rsidRPr="00246AE4">
        <w:rPr>
          <w:color w:val="000000"/>
          <w:lang w:eastAsia="fr-FR" w:bidi="fr-FR"/>
        </w:rPr>
        <w:t>rèrent, maintenant la tradition protestante, parmi les troubles, jusqu’à l’Édit de Nantes</w:t>
      </w:r>
      <w:r>
        <w:rPr>
          <w:color w:val="000000"/>
          <w:lang w:eastAsia="fr-FR" w:bidi="fr-FR"/>
        </w:rPr>
        <w:t>. La Révocation trouva, dans l’Î</w:t>
      </w:r>
      <w:r w:rsidRPr="00246AE4">
        <w:rPr>
          <w:color w:val="000000"/>
          <w:lang w:eastAsia="fr-FR" w:bidi="fr-FR"/>
        </w:rPr>
        <w:t>le-de-France, d’assez nombreuses communautés réformées et ne parvint pas à les extirper toutes. Les destinées des huguenots de l’</w:t>
      </w:r>
      <w:r>
        <w:rPr>
          <w:color w:val="000000"/>
          <w:lang w:eastAsia="fr-FR" w:bidi="fr-FR"/>
        </w:rPr>
        <w:t>Île-de-France</w:t>
      </w:r>
      <w:r w:rsidRPr="00246AE4">
        <w:rPr>
          <w:color w:val="000000"/>
          <w:lang w:eastAsia="fr-FR" w:bidi="fr-FR"/>
        </w:rPr>
        <w:t xml:space="preserve"> ne pouvaient manquer, d’exciter l’intérêt des bons travailleurs que réunit la Société de l’Histoire du Protestantisme français. M. Ja</w:t>
      </w:r>
      <w:r w:rsidRPr="00246AE4">
        <w:rPr>
          <w:color w:val="000000"/>
          <w:lang w:eastAsia="fr-FR" w:bidi="fr-FR"/>
        </w:rPr>
        <w:t>c</w:t>
      </w:r>
      <w:r w:rsidRPr="00246AE4">
        <w:rPr>
          <w:color w:val="000000"/>
          <w:lang w:eastAsia="fr-FR" w:bidi="fr-FR"/>
        </w:rPr>
        <w:t>ques Pannier a cons</w:t>
      </w:r>
      <w:r w:rsidRPr="00246AE4">
        <w:rPr>
          <w:color w:val="000000"/>
          <w:lang w:eastAsia="fr-FR" w:bidi="fr-FR"/>
        </w:rPr>
        <w:t>a</w:t>
      </w:r>
      <w:r w:rsidRPr="00246AE4">
        <w:rPr>
          <w:color w:val="000000"/>
          <w:lang w:eastAsia="fr-FR" w:bidi="fr-FR"/>
        </w:rPr>
        <w:t>cré une série d’études aux églises réformées de la région qui s’étend au Sud et à l’Est de Paris</w:t>
      </w:r>
      <w:r>
        <w:rPr>
          <w:color w:val="000000"/>
          <w:lang w:eastAsia="fr-FR" w:bidi="fr-FR"/>
        </w:rPr>
        <w:t> </w:t>
      </w:r>
      <w:r>
        <w:rPr>
          <w:rStyle w:val="Appelnotedebasdep"/>
        </w:rPr>
        <w:footnoteReference w:id="650"/>
      </w:r>
      <w:r w:rsidRPr="00246AE4">
        <w:rPr>
          <w:color w:val="000000"/>
          <w:lang w:eastAsia="fr-FR" w:bidi="fr-FR"/>
        </w:rPr>
        <w:t> ; M. Henry Lehr un gros livre aux églises de l’Eure-et-Loir « de 1523 à 1911 »</w:t>
      </w:r>
      <w:r>
        <w:rPr>
          <w:color w:val="000000"/>
          <w:lang w:eastAsia="fr-FR" w:bidi="fr-FR"/>
        </w:rPr>
        <w:t> </w:t>
      </w:r>
      <w:r>
        <w:rPr>
          <w:rStyle w:val="Appelnotedebasdep"/>
        </w:rPr>
        <w:footnoteReference w:id="651"/>
      </w:r>
      <w:r w:rsidRPr="00246AE4">
        <w:rPr>
          <w:color w:val="000000"/>
          <w:lang w:eastAsia="fr-FR" w:bidi="fr-FR"/>
        </w:rPr>
        <w:t> ; on s’étonne d’entendre parler de l’Eure-et-Loir, en 1523.</w:t>
      </w:r>
    </w:p>
    <w:p w14:paraId="0C6648AD" w14:textId="77777777" w:rsidR="00B9662D" w:rsidRPr="00246AE4" w:rsidRDefault="00B9662D" w:rsidP="00B9662D">
      <w:pPr>
        <w:spacing w:before="120" w:after="120"/>
        <w:jc w:val="both"/>
      </w:pPr>
      <w:r w:rsidRPr="00246AE4">
        <w:rPr>
          <w:color w:val="000000"/>
          <w:lang w:eastAsia="fr-FR" w:bidi="fr-FR"/>
        </w:rPr>
        <w:lastRenderedPageBreak/>
        <w:t xml:space="preserve">Les questions que soulève l’histoire de l’Église catholique, aux temps modernes, se laissent quelquefois difficilement enfermer dans un </w:t>
      </w:r>
      <w:r>
        <w:rPr>
          <w:color w:val="000000"/>
          <w:lang w:eastAsia="fr-FR" w:bidi="fr-FR"/>
        </w:rPr>
        <w:t>cadre régional. Un vallon de l’Î</w:t>
      </w:r>
      <w:r w:rsidRPr="00246AE4">
        <w:rPr>
          <w:color w:val="000000"/>
          <w:lang w:eastAsia="fr-FR" w:bidi="fr-FR"/>
        </w:rPr>
        <w:t>le-de-France fut, pendant de lo</w:t>
      </w:r>
      <w:r w:rsidRPr="00246AE4">
        <w:rPr>
          <w:color w:val="000000"/>
          <w:lang w:eastAsia="fr-FR" w:bidi="fr-FR"/>
        </w:rPr>
        <w:t>n</w:t>
      </w:r>
      <w:r w:rsidRPr="00246AE4">
        <w:rPr>
          <w:color w:val="000000"/>
          <w:lang w:eastAsia="fr-FR" w:bidi="fr-FR"/>
        </w:rPr>
        <w:t>gues années, le plus ardent foyer du jansénisme ; mais l’histoire du jansénisme déborde l’</w:t>
      </w:r>
      <w:r>
        <w:rPr>
          <w:color w:val="000000"/>
          <w:lang w:eastAsia="fr-FR" w:bidi="fr-FR"/>
        </w:rPr>
        <w:t>Île-de-France</w:t>
      </w:r>
      <w:r w:rsidRPr="00246AE4">
        <w:rPr>
          <w:color w:val="000000"/>
          <w:lang w:eastAsia="fr-FR" w:bidi="fr-FR"/>
        </w:rPr>
        <w:t>. L’érudit qui s’attache à l’époque moderne se sent moins fortement attiré que le médiéviste vers l’étude des maisons religieuses. La richesse de leurs archives le frappe moins parce qu’elles ne sont pas les seules dont il dispose. La vie moins animée, l’influence plus restreinte de ces communautés, devenues pa</w:t>
      </w:r>
      <w:r w:rsidRPr="00246AE4">
        <w:rPr>
          <w:color w:val="000000"/>
          <w:lang w:eastAsia="fr-FR" w:bidi="fr-FR"/>
        </w:rPr>
        <w:t>r</w:t>
      </w:r>
      <w:r w:rsidRPr="00246AE4">
        <w:rPr>
          <w:color w:val="000000"/>
          <w:lang w:eastAsia="fr-FR" w:bidi="fr-FR"/>
        </w:rPr>
        <w:t>fois somnolentes, font que leur histoire ne présente pas toujours un intérêt très soutenu ni très vif. Quelques-unes des monographies d’abbayes, citées au paragraphe précédent, embrassent la période m</w:t>
      </w:r>
      <w:r w:rsidRPr="00246AE4">
        <w:rPr>
          <w:color w:val="000000"/>
          <w:lang w:eastAsia="fr-FR" w:bidi="fr-FR"/>
        </w:rPr>
        <w:t>o</w:t>
      </w:r>
      <w:r w:rsidRPr="00246AE4">
        <w:rPr>
          <w:color w:val="000000"/>
          <w:lang w:eastAsia="fr-FR" w:bidi="fr-FR"/>
        </w:rPr>
        <w:t xml:space="preserve">derne en même temps que le Moyen </w:t>
      </w:r>
      <w:r>
        <w:rPr>
          <w:color w:val="000000"/>
          <w:lang w:eastAsia="fr-FR" w:bidi="fr-FR"/>
        </w:rPr>
        <w:t>Â</w:t>
      </w:r>
      <w:r w:rsidRPr="00246AE4">
        <w:rPr>
          <w:color w:val="000000"/>
          <w:lang w:eastAsia="fr-FR" w:bidi="fr-FR"/>
        </w:rPr>
        <w:t>ge. M. l’abbé Meuret a recueilli avec soin d’utiles renseignements sur le chapitre cathédral de Paris, sa composition, sa fortune, au moment où la Révolution l’allait faire di</w:t>
      </w:r>
      <w:r w:rsidRPr="00246AE4">
        <w:rPr>
          <w:color w:val="000000"/>
          <w:lang w:eastAsia="fr-FR" w:bidi="fr-FR"/>
        </w:rPr>
        <w:t>s</w:t>
      </w:r>
      <w:r w:rsidRPr="00246AE4">
        <w:rPr>
          <w:color w:val="000000"/>
          <w:lang w:eastAsia="fr-FR" w:bidi="fr-FR"/>
        </w:rPr>
        <w:t>paraître</w:t>
      </w:r>
      <w:r>
        <w:rPr>
          <w:color w:val="000000"/>
          <w:lang w:eastAsia="fr-FR" w:bidi="fr-FR"/>
        </w:rPr>
        <w:t> </w:t>
      </w:r>
      <w:r>
        <w:rPr>
          <w:rStyle w:val="Appelnotedebasdep"/>
        </w:rPr>
        <w:footnoteReference w:id="652"/>
      </w:r>
      <w:r w:rsidRPr="00246AE4">
        <w:rPr>
          <w:color w:val="000000"/>
          <w:lang w:eastAsia="fr-FR" w:bidi="fr-FR"/>
        </w:rPr>
        <w:t>. Nous n’avons pas de bons travaux sur l’administration des évêques, même sur celle des plus illustres, tels que Bossuet</w:t>
      </w:r>
      <w:r>
        <w:rPr>
          <w:color w:val="000000"/>
          <w:lang w:eastAsia="fr-FR" w:bidi="fr-FR"/>
        </w:rPr>
        <w:t> </w:t>
      </w:r>
      <w:r>
        <w:rPr>
          <w:rStyle w:val="Appelnotedebasdep"/>
        </w:rPr>
        <w:footnoteReference w:id="653"/>
      </w:r>
      <w:r w:rsidRPr="00246AE4">
        <w:rPr>
          <w:color w:val="000000"/>
          <w:lang w:eastAsia="fr-FR" w:bidi="fr-FR"/>
        </w:rPr>
        <w:t>. On r</w:t>
      </w:r>
      <w:r w:rsidRPr="00246AE4">
        <w:rPr>
          <w:color w:val="000000"/>
          <w:lang w:eastAsia="fr-FR" w:bidi="fr-FR"/>
        </w:rPr>
        <w:t>e</w:t>
      </w:r>
      <w:r w:rsidRPr="00246AE4">
        <w:rPr>
          <w:color w:val="000000"/>
          <w:lang w:eastAsia="fr-FR" w:bidi="fr-FR"/>
        </w:rPr>
        <w:t>marque avec surprise que, parmi tant d’érudits adonnés aux reche</w:t>
      </w:r>
      <w:r w:rsidRPr="00246AE4">
        <w:rPr>
          <w:color w:val="000000"/>
          <w:lang w:eastAsia="fr-FR" w:bidi="fr-FR"/>
        </w:rPr>
        <w:t>r</w:t>
      </w:r>
      <w:r w:rsidRPr="00246AE4">
        <w:rPr>
          <w:color w:val="000000"/>
          <w:lang w:eastAsia="fr-FR" w:bidi="fr-FR"/>
        </w:rPr>
        <w:t>ches d’histoire locale, personne ne s’est encore rencontré pour étudier le recrutement, l’éducation, la condition matérielle, la vie morale du clergé des</w:t>
      </w:r>
      <w:r>
        <w:t xml:space="preserve"> [772] </w:t>
      </w:r>
      <w:r w:rsidRPr="00246AE4">
        <w:rPr>
          <w:color w:val="000000"/>
          <w:lang w:eastAsia="fr-FR" w:bidi="fr-FR"/>
        </w:rPr>
        <w:t>diocèses de l’</w:t>
      </w:r>
      <w:r>
        <w:rPr>
          <w:color w:val="000000"/>
          <w:lang w:eastAsia="fr-FR" w:bidi="fr-FR"/>
        </w:rPr>
        <w:t>Île-de-France</w:t>
      </w:r>
      <w:r w:rsidRPr="00246AE4">
        <w:rPr>
          <w:color w:val="000000"/>
          <w:lang w:eastAsia="fr-FR" w:bidi="fr-FR"/>
        </w:rPr>
        <w:t>, sous l’Ancien Régime ; pour examiner dans quelle mesure et par quelles voies les grands co</w:t>
      </w:r>
      <w:r w:rsidRPr="00246AE4">
        <w:rPr>
          <w:color w:val="000000"/>
          <w:lang w:eastAsia="fr-FR" w:bidi="fr-FR"/>
        </w:rPr>
        <w:t>u</w:t>
      </w:r>
      <w:r w:rsidRPr="00246AE4">
        <w:rPr>
          <w:color w:val="000000"/>
          <w:lang w:eastAsia="fr-FR" w:bidi="fr-FR"/>
        </w:rPr>
        <w:t>rants d’idées</w:t>
      </w:r>
      <w:r>
        <w:rPr>
          <w:color w:val="000000"/>
          <w:lang w:eastAsia="fr-FR" w:bidi="fr-FR"/>
        </w:rPr>
        <w:t> — </w:t>
      </w:r>
      <w:r w:rsidRPr="00246AE4">
        <w:rPr>
          <w:color w:val="000000"/>
          <w:lang w:eastAsia="fr-FR" w:bidi="fr-FR"/>
        </w:rPr>
        <w:t>jansénisme, pensée philosophique</w:t>
      </w:r>
      <w:r>
        <w:rPr>
          <w:color w:val="000000"/>
          <w:lang w:eastAsia="fr-FR" w:bidi="fr-FR"/>
        </w:rPr>
        <w:t> — </w:t>
      </w:r>
      <w:r w:rsidRPr="00246AE4">
        <w:rPr>
          <w:color w:val="000000"/>
          <w:lang w:eastAsia="fr-FR" w:bidi="fr-FR"/>
        </w:rPr>
        <w:t>pénétrèrent dans les cures, les monastères ou les prieurés. Plusieurs des journaux que tenaient souvent les curés de campagne ont été retrouvés et quelqu</w:t>
      </w:r>
      <w:r w:rsidRPr="00246AE4">
        <w:rPr>
          <w:color w:val="000000"/>
          <w:lang w:eastAsia="fr-FR" w:bidi="fr-FR"/>
        </w:rPr>
        <w:t>e</w:t>
      </w:r>
      <w:r w:rsidRPr="00246AE4">
        <w:rPr>
          <w:color w:val="000000"/>
          <w:lang w:eastAsia="fr-FR" w:bidi="fr-FR"/>
        </w:rPr>
        <w:t xml:space="preserve">fois publiés ; ils fourniraient des renseignements curieux à l’histoire ecclésiastique. Qui ne voit quelle lumière une enquête soigneuse sur le clergé rural, au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jetterait sur la Révolution, dans laquelle ce clergé a joué, à toutes les époques et de toute</w:t>
      </w:r>
      <w:r>
        <w:rPr>
          <w:color w:val="000000"/>
          <w:lang w:eastAsia="fr-FR" w:bidi="fr-FR"/>
        </w:rPr>
        <w:t xml:space="preserve"> façon</w:t>
      </w:r>
      <w:r w:rsidRPr="00246AE4">
        <w:rPr>
          <w:color w:val="000000"/>
          <w:lang w:eastAsia="fr-FR" w:bidi="fr-FR"/>
        </w:rPr>
        <w:t>, un rôle si considérable ? L’histoire économique de l’Église catholique, aux trois derniers siècles de la monarchie, à peine effleurée jusqu’ici</w:t>
      </w:r>
      <w:r>
        <w:rPr>
          <w:color w:val="000000"/>
          <w:lang w:eastAsia="fr-FR" w:bidi="fr-FR"/>
        </w:rPr>
        <w:t> </w:t>
      </w:r>
      <w:r>
        <w:rPr>
          <w:rStyle w:val="Appelnotedebasdep"/>
        </w:rPr>
        <w:footnoteReference w:id="654"/>
      </w:r>
      <w:r w:rsidRPr="00246AE4">
        <w:rPr>
          <w:color w:val="000000"/>
          <w:lang w:eastAsia="fr-FR" w:bidi="fr-FR"/>
        </w:rPr>
        <w:t>, mérit</w:t>
      </w:r>
      <w:r w:rsidRPr="00246AE4">
        <w:rPr>
          <w:color w:val="000000"/>
          <w:lang w:eastAsia="fr-FR" w:bidi="fr-FR"/>
        </w:rPr>
        <w:t>e</w:t>
      </w:r>
      <w:r w:rsidRPr="00246AE4">
        <w:rPr>
          <w:color w:val="000000"/>
          <w:lang w:eastAsia="fr-FR" w:bidi="fr-FR"/>
        </w:rPr>
        <w:t>rait de préo</w:t>
      </w:r>
      <w:r w:rsidRPr="00246AE4">
        <w:rPr>
          <w:color w:val="000000"/>
          <w:lang w:eastAsia="fr-FR" w:bidi="fr-FR"/>
        </w:rPr>
        <w:t>c</w:t>
      </w:r>
      <w:r w:rsidRPr="00246AE4">
        <w:rPr>
          <w:color w:val="000000"/>
          <w:lang w:eastAsia="fr-FR" w:bidi="fr-FR"/>
        </w:rPr>
        <w:t>cuper les travailleurs.</w:t>
      </w:r>
    </w:p>
    <w:p w14:paraId="4AFED450" w14:textId="77777777" w:rsidR="00B9662D" w:rsidRPr="00246AE4" w:rsidRDefault="00B9662D" w:rsidP="00B9662D">
      <w:pPr>
        <w:spacing w:before="120" w:after="120"/>
        <w:jc w:val="both"/>
      </w:pPr>
      <w:r w:rsidRPr="00246AE4">
        <w:rPr>
          <w:color w:val="000000"/>
          <w:lang w:eastAsia="fr-FR" w:bidi="fr-FR"/>
        </w:rPr>
        <w:lastRenderedPageBreak/>
        <w:t>Les érudits qui entreprendront d’étudier avec plus de méthode et de suite qu’on ne l’a fait jusqu’ici les monuments qui furent bâtis, aux temps modernes, sur le sol de la contrée qui forme l’objet de notre travail ne devront pas s’attendre à y découvrir les témoignages d’un art régional. Ouverte à toutes les influences, proche de Paris et de la cour, l’</w:t>
      </w:r>
      <w:r>
        <w:rPr>
          <w:color w:val="000000"/>
          <w:lang w:eastAsia="fr-FR" w:bidi="fr-FR"/>
        </w:rPr>
        <w:t>Î</w:t>
      </w:r>
      <w:r w:rsidRPr="00246AE4">
        <w:rPr>
          <w:color w:val="000000"/>
          <w:lang w:eastAsia="fr-FR" w:bidi="fr-FR"/>
        </w:rPr>
        <w:t xml:space="preserve">le-de-France, non plus qu’aucun des pays qui la composent, n’a pu, depuis le Moyen </w:t>
      </w:r>
      <w:r>
        <w:rPr>
          <w:color w:val="000000"/>
          <w:lang w:eastAsia="fr-FR" w:bidi="fr-FR"/>
        </w:rPr>
        <w:t>Â</w:t>
      </w:r>
      <w:r w:rsidRPr="00246AE4">
        <w:rPr>
          <w:color w:val="000000"/>
          <w:lang w:eastAsia="fr-FR" w:bidi="fr-FR"/>
        </w:rPr>
        <w:t>ge, donner naissance à un style architect</w:t>
      </w:r>
      <w:r w:rsidRPr="00246AE4">
        <w:rPr>
          <w:color w:val="000000"/>
          <w:lang w:eastAsia="fr-FR" w:bidi="fr-FR"/>
        </w:rPr>
        <w:t>u</w:t>
      </w:r>
      <w:r w:rsidRPr="00246AE4">
        <w:rPr>
          <w:color w:val="000000"/>
          <w:lang w:eastAsia="fr-FR" w:bidi="fr-FR"/>
        </w:rPr>
        <w:t>ral qui lui fût propre. Mais il conviendrait de rechercher comment les modifications de la technique et les vicissitudes du goût ont peu à peu fait sentir leur action dans ces pays, dans les villes et jusque dans les villages. M. Louis Régnier a écrit un livre utile sur la Renaissance dans le Vexin et une partie du Parisis</w:t>
      </w:r>
      <w:r>
        <w:rPr>
          <w:color w:val="000000"/>
          <w:lang w:eastAsia="fr-FR" w:bidi="fr-FR"/>
        </w:rPr>
        <w:t> </w:t>
      </w:r>
      <w:r>
        <w:rPr>
          <w:rStyle w:val="Appelnotedebasdep"/>
        </w:rPr>
        <w:footnoteReference w:id="655"/>
      </w:r>
      <w:r w:rsidRPr="00246AE4">
        <w:rPr>
          <w:color w:val="000000"/>
          <w:lang w:eastAsia="fr-FR" w:bidi="fr-FR"/>
        </w:rPr>
        <w:t>. Il est fâcheux qu’il n’ait point rencontré d’imitateurs.</w:t>
      </w:r>
    </w:p>
    <w:p w14:paraId="2D23D522" w14:textId="77777777" w:rsidR="00B9662D" w:rsidRPr="00246AE4" w:rsidRDefault="00B9662D" w:rsidP="00B9662D">
      <w:pPr>
        <w:spacing w:before="120" w:after="120"/>
        <w:jc w:val="both"/>
      </w:pPr>
      <w:r w:rsidRPr="00246AE4">
        <w:rPr>
          <w:color w:val="000000"/>
          <w:lang w:eastAsia="fr-FR" w:bidi="fr-FR"/>
        </w:rPr>
        <w:t>Dans l’</w:t>
      </w:r>
      <w:r>
        <w:rPr>
          <w:color w:val="000000"/>
          <w:lang w:eastAsia="fr-FR" w:bidi="fr-FR"/>
        </w:rPr>
        <w:t>Île-de-France</w:t>
      </w:r>
      <w:r w:rsidRPr="00246AE4">
        <w:rPr>
          <w:color w:val="000000"/>
          <w:lang w:eastAsia="fr-FR" w:bidi="fr-FR"/>
        </w:rPr>
        <w:t xml:space="preserve"> qui, aux portes de Paris, offrait aux chasseurs tant de forêts giboyeuses, aux amateurs de jardins tant de frais vallons et d’eaux courantes et, pour ainsi dire, de jardins naturels, les châteaux de plaisance se sont élevés en foule, depuis la Renaissance jusqu’à la fin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w:t>
      </w:r>
      <w:r>
        <w:rPr>
          <w:color w:val="000000"/>
          <w:lang w:eastAsia="fr-FR" w:bidi="fr-FR"/>
        </w:rPr>
        <w:t> — </w:t>
      </w:r>
      <w:r w:rsidRPr="00246AE4">
        <w:rPr>
          <w:color w:val="000000"/>
          <w:lang w:eastAsia="fr-FR" w:bidi="fr-FR"/>
        </w:rPr>
        <w:t>palais construits pour les rois, tels que Saint-Germain-en-Laye, Montceaux-en-Brie</w:t>
      </w:r>
      <w:r>
        <w:rPr>
          <w:color w:val="000000"/>
          <w:lang w:eastAsia="fr-FR" w:bidi="fr-FR"/>
        </w:rPr>
        <w:t> </w:t>
      </w:r>
      <w:r>
        <w:rPr>
          <w:rStyle w:val="Appelnotedebasdep"/>
        </w:rPr>
        <w:footnoteReference w:id="656"/>
      </w:r>
      <w:r w:rsidRPr="00246AE4">
        <w:rPr>
          <w:color w:val="000000"/>
          <w:lang w:eastAsia="fr-FR" w:bidi="fr-FR"/>
        </w:rPr>
        <w:t>, Fontainebleau, Versailles avec Marly et les deux Trianons,</w:t>
      </w:r>
      <w:r>
        <w:rPr>
          <w:color w:val="000000"/>
          <w:lang w:eastAsia="fr-FR" w:bidi="fr-FR"/>
        </w:rPr>
        <w:t> — </w:t>
      </w:r>
      <w:r w:rsidRPr="00246AE4">
        <w:rPr>
          <w:color w:val="000000"/>
          <w:lang w:eastAsia="fr-FR" w:bidi="fr-FR"/>
        </w:rPr>
        <w:t>ou bien demeures des grands, des magistrats, des financiers ; Écouen</w:t>
      </w:r>
      <w:r>
        <w:rPr>
          <w:color w:val="000000"/>
          <w:lang w:eastAsia="fr-FR" w:bidi="fr-FR"/>
        </w:rPr>
        <w:t> </w:t>
      </w:r>
      <w:r>
        <w:rPr>
          <w:rStyle w:val="Appelnotedebasdep"/>
        </w:rPr>
        <w:footnoteReference w:id="657"/>
      </w:r>
      <w:r w:rsidRPr="00246AE4">
        <w:rPr>
          <w:color w:val="000000"/>
          <w:lang w:eastAsia="fr-FR" w:bidi="fr-FR"/>
        </w:rPr>
        <w:t>, Dampierre</w:t>
      </w:r>
      <w:r>
        <w:rPr>
          <w:color w:val="000000"/>
          <w:lang w:eastAsia="fr-FR" w:bidi="fr-FR"/>
        </w:rPr>
        <w:t> </w:t>
      </w:r>
      <w:r>
        <w:rPr>
          <w:rStyle w:val="Appelnotedebasdep"/>
        </w:rPr>
        <w:footnoteReference w:id="658"/>
      </w:r>
      <w:r w:rsidRPr="00246AE4">
        <w:rPr>
          <w:color w:val="000000"/>
          <w:lang w:eastAsia="fr-FR" w:bidi="fr-FR"/>
        </w:rPr>
        <w:t>, Saint-Maur</w:t>
      </w:r>
      <w:r>
        <w:rPr>
          <w:color w:val="000000"/>
          <w:lang w:eastAsia="fr-FR" w:bidi="fr-FR"/>
        </w:rPr>
        <w:t> </w:t>
      </w:r>
      <w:r>
        <w:rPr>
          <w:rStyle w:val="Appelnotedebasdep"/>
        </w:rPr>
        <w:footnoteReference w:id="659"/>
      </w:r>
      <w:r w:rsidRPr="00246AE4">
        <w:rPr>
          <w:color w:val="000000"/>
          <w:lang w:eastAsia="fr-FR" w:bidi="fr-FR"/>
        </w:rPr>
        <w:t>, Rambouillet</w:t>
      </w:r>
      <w:r>
        <w:rPr>
          <w:color w:val="000000"/>
          <w:lang w:eastAsia="fr-FR" w:bidi="fr-FR"/>
        </w:rPr>
        <w:t> </w:t>
      </w:r>
      <w:r>
        <w:rPr>
          <w:rStyle w:val="Appelnotedebasdep"/>
        </w:rPr>
        <w:footnoteReference w:id="660"/>
      </w:r>
      <w:r w:rsidRPr="00246AE4">
        <w:rPr>
          <w:color w:val="000000"/>
          <w:lang w:eastAsia="fr-FR" w:bidi="fr-FR"/>
        </w:rPr>
        <w:t>, Meudon</w:t>
      </w:r>
      <w:r>
        <w:rPr>
          <w:color w:val="000000"/>
          <w:lang w:eastAsia="fr-FR" w:bidi="fr-FR"/>
        </w:rPr>
        <w:t> </w:t>
      </w:r>
      <w:r>
        <w:rPr>
          <w:rStyle w:val="Appelnotedebasdep"/>
        </w:rPr>
        <w:footnoteReference w:id="661"/>
      </w:r>
      <w:r w:rsidRPr="00246AE4">
        <w:rPr>
          <w:color w:val="000000"/>
          <w:lang w:eastAsia="fr-FR" w:bidi="fr-FR"/>
        </w:rPr>
        <w:t>, Maisons-sur-Seine</w:t>
      </w:r>
      <w:r>
        <w:rPr>
          <w:color w:val="000000"/>
          <w:lang w:eastAsia="fr-FR" w:bidi="fr-FR"/>
        </w:rPr>
        <w:t> </w:t>
      </w:r>
      <w:r>
        <w:rPr>
          <w:rStyle w:val="Appelnotedebasdep"/>
        </w:rPr>
        <w:footnoteReference w:id="662"/>
      </w:r>
      <w:r w:rsidRPr="00246AE4">
        <w:rPr>
          <w:color w:val="000000"/>
          <w:lang w:eastAsia="fr-FR" w:bidi="fr-FR"/>
        </w:rPr>
        <w:t>, Vaux-le-</w:t>
      </w:r>
      <w:r w:rsidRPr="00246AE4">
        <w:rPr>
          <w:color w:val="000000"/>
          <w:lang w:eastAsia="fr-FR" w:bidi="fr-FR"/>
        </w:rPr>
        <w:lastRenderedPageBreak/>
        <w:t>Vicomte</w:t>
      </w:r>
      <w:r>
        <w:rPr>
          <w:color w:val="000000"/>
          <w:lang w:eastAsia="fr-FR" w:bidi="fr-FR"/>
        </w:rPr>
        <w:t> </w:t>
      </w:r>
      <w:r>
        <w:rPr>
          <w:rStyle w:val="Appelnotedebasdep"/>
        </w:rPr>
        <w:footnoteReference w:id="663"/>
      </w:r>
      <w:r w:rsidRPr="00246AE4">
        <w:rPr>
          <w:color w:val="000000"/>
          <w:lang w:eastAsia="fr-FR" w:bidi="fr-FR"/>
        </w:rPr>
        <w:t>, Conflans</w:t>
      </w:r>
      <w:r>
        <w:rPr>
          <w:color w:val="000000"/>
          <w:lang w:eastAsia="fr-FR" w:bidi="fr-FR"/>
        </w:rPr>
        <w:t> </w:t>
      </w:r>
      <w:r>
        <w:rPr>
          <w:rStyle w:val="Appelnotedebasdep"/>
        </w:rPr>
        <w:footnoteReference w:id="664"/>
      </w:r>
      <w:r w:rsidRPr="00246AE4">
        <w:rPr>
          <w:color w:val="000000"/>
          <w:lang w:eastAsia="fr-FR" w:bidi="fr-FR"/>
        </w:rPr>
        <w:t>,</w:t>
      </w:r>
      <w:r>
        <w:t xml:space="preserve"> [</w:t>
      </w:r>
      <w:r w:rsidRPr="00246AE4">
        <w:rPr>
          <w:color w:val="000000"/>
          <w:lang w:eastAsia="fr-FR" w:bidi="fr-FR"/>
        </w:rPr>
        <w:t>773</w:t>
      </w:r>
      <w:r>
        <w:rPr>
          <w:color w:val="000000"/>
          <w:lang w:eastAsia="fr-FR" w:bidi="fr-FR"/>
        </w:rPr>
        <w:t>]</w:t>
      </w:r>
      <w:r w:rsidRPr="00246AE4">
        <w:rPr>
          <w:color w:val="000000"/>
          <w:lang w:eastAsia="fr-FR" w:bidi="fr-FR"/>
        </w:rPr>
        <w:t xml:space="preserve"> Sceaux</w:t>
      </w:r>
      <w:r>
        <w:rPr>
          <w:color w:val="000000"/>
          <w:lang w:eastAsia="fr-FR" w:bidi="fr-FR"/>
        </w:rPr>
        <w:t> </w:t>
      </w:r>
      <w:r>
        <w:rPr>
          <w:rStyle w:val="Appelnotedebasdep"/>
        </w:rPr>
        <w:footnoteReference w:id="665"/>
      </w:r>
      <w:r w:rsidRPr="00246AE4">
        <w:rPr>
          <w:color w:val="000000"/>
          <w:lang w:eastAsia="fr-FR" w:bidi="fr-FR"/>
        </w:rPr>
        <w:t>, Louveciennes, Ermenonville</w:t>
      </w:r>
      <w:r>
        <w:rPr>
          <w:color w:val="000000"/>
          <w:lang w:eastAsia="fr-FR" w:bidi="fr-FR"/>
        </w:rPr>
        <w:t> </w:t>
      </w:r>
      <w:r>
        <w:rPr>
          <w:rStyle w:val="Appelnotedebasdep"/>
        </w:rPr>
        <w:footnoteReference w:id="666"/>
      </w:r>
      <w:r w:rsidRPr="00246AE4">
        <w:rPr>
          <w:color w:val="000000"/>
          <w:lang w:eastAsia="fr-FR" w:bidi="fr-FR"/>
        </w:rPr>
        <w:t>. Les « maisons des champs » furent nombreuses jadis sur cette terre a</w:t>
      </w:r>
      <w:r w:rsidRPr="00246AE4">
        <w:rPr>
          <w:color w:val="000000"/>
          <w:lang w:eastAsia="fr-FR" w:bidi="fr-FR"/>
        </w:rPr>
        <w:t>c</w:t>
      </w:r>
      <w:r w:rsidRPr="00246AE4">
        <w:rPr>
          <w:color w:val="000000"/>
          <w:lang w:eastAsia="fr-FR" w:bidi="fr-FR"/>
        </w:rPr>
        <w:t>cueillante ; de nos jours, malgré les destructions, le voyageur les r</w:t>
      </w:r>
      <w:r w:rsidRPr="00246AE4">
        <w:rPr>
          <w:color w:val="000000"/>
          <w:lang w:eastAsia="fr-FR" w:bidi="fr-FR"/>
        </w:rPr>
        <w:t>e</w:t>
      </w:r>
      <w:r w:rsidRPr="00246AE4">
        <w:rPr>
          <w:color w:val="000000"/>
          <w:lang w:eastAsia="fr-FR" w:bidi="fr-FR"/>
        </w:rPr>
        <w:t>connaît souvent sur son passage, à leurs hauts toits d’ardoise ou à leurs attiques, à leurs tourelles ou à leurs frontons, et quelquefois à leur pigeonnier seigne</w:t>
      </w:r>
      <w:r w:rsidRPr="00246AE4">
        <w:rPr>
          <w:color w:val="000000"/>
          <w:lang w:eastAsia="fr-FR" w:bidi="fr-FR"/>
        </w:rPr>
        <w:t>u</w:t>
      </w:r>
      <w:r w:rsidRPr="00246AE4">
        <w:rPr>
          <w:color w:val="000000"/>
          <w:lang w:eastAsia="fr-FR" w:bidi="fr-FR"/>
        </w:rPr>
        <w:t xml:space="preserve">rial. </w:t>
      </w:r>
      <w:r>
        <w:rPr>
          <w:color w:val="000000"/>
          <w:lang w:eastAsia="fr-FR" w:bidi="fr-FR"/>
        </w:rPr>
        <w:t>À</w:t>
      </w:r>
      <w:r w:rsidRPr="00246AE4">
        <w:rPr>
          <w:color w:val="000000"/>
          <w:lang w:eastAsia="fr-FR" w:bidi="fr-FR"/>
        </w:rPr>
        <w:t xml:space="preserve"> les examiner d’ensemble, on verrait se dérouler devant soi les variations de l’art et de la mode, pendant trois siècles, et surtout l’on saisirait, traduites en quelque sorte dans la pie</w:t>
      </w:r>
      <w:r w:rsidRPr="00246AE4">
        <w:rPr>
          <w:color w:val="000000"/>
          <w:lang w:eastAsia="fr-FR" w:bidi="fr-FR"/>
        </w:rPr>
        <w:t>r</w:t>
      </w:r>
      <w:r w:rsidRPr="00246AE4">
        <w:rPr>
          <w:color w:val="000000"/>
          <w:lang w:eastAsia="fr-FR" w:bidi="fr-FR"/>
        </w:rPr>
        <w:t>re, les transformations que les habitudes de vie des classes riches sub</w:t>
      </w:r>
      <w:r w:rsidRPr="00246AE4">
        <w:rPr>
          <w:color w:val="000000"/>
          <w:lang w:eastAsia="fr-FR" w:bidi="fr-FR"/>
        </w:rPr>
        <w:t>i</w:t>
      </w:r>
      <w:r w:rsidRPr="00246AE4">
        <w:rPr>
          <w:color w:val="000000"/>
          <w:lang w:eastAsia="fr-FR" w:bidi="fr-FR"/>
        </w:rPr>
        <w:t>rent, pendant cette p</w:t>
      </w:r>
      <w:r w:rsidRPr="00246AE4">
        <w:rPr>
          <w:color w:val="000000"/>
          <w:lang w:eastAsia="fr-FR" w:bidi="fr-FR"/>
        </w:rPr>
        <w:t>é</w:t>
      </w:r>
      <w:r w:rsidRPr="00246AE4">
        <w:rPr>
          <w:color w:val="000000"/>
          <w:lang w:eastAsia="fr-FR" w:bidi="fr-FR"/>
        </w:rPr>
        <w:t>riode. Les plus illustres palais n’ont pas été les mieux étudiés. Saint-Germain-en-Laye a trouvé son historien</w:t>
      </w:r>
      <w:r>
        <w:rPr>
          <w:color w:val="000000"/>
          <w:lang w:eastAsia="fr-FR" w:bidi="fr-FR"/>
        </w:rPr>
        <w:t> </w:t>
      </w:r>
      <w:r>
        <w:rPr>
          <w:rStyle w:val="Appelnotedebasdep"/>
        </w:rPr>
        <w:footnoteReference w:id="667"/>
      </w:r>
      <w:r w:rsidRPr="00246AE4">
        <w:rPr>
          <w:color w:val="000000"/>
          <w:lang w:eastAsia="fr-FR" w:bidi="fr-FR"/>
        </w:rPr>
        <w:t> ; Fo</w:t>
      </w:r>
      <w:r w:rsidRPr="00246AE4">
        <w:rPr>
          <w:color w:val="000000"/>
          <w:lang w:eastAsia="fr-FR" w:bidi="fr-FR"/>
        </w:rPr>
        <w:t>n</w:t>
      </w:r>
      <w:r w:rsidRPr="00246AE4">
        <w:rPr>
          <w:color w:val="000000"/>
          <w:lang w:eastAsia="fr-FR" w:bidi="fr-FR"/>
        </w:rPr>
        <w:t>tainebleau attend encore le sien. Non que beaucoup d’articles ou m</w:t>
      </w:r>
      <w:r w:rsidRPr="00246AE4">
        <w:rPr>
          <w:color w:val="000000"/>
          <w:lang w:eastAsia="fr-FR" w:bidi="fr-FR"/>
        </w:rPr>
        <w:t>ê</w:t>
      </w:r>
      <w:r w:rsidRPr="00246AE4">
        <w:rPr>
          <w:color w:val="000000"/>
          <w:lang w:eastAsia="fr-FR" w:bidi="fr-FR"/>
        </w:rPr>
        <w:t>me de livres n’aient déjà pris pour sujet cet édifice immense et co</w:t>
      </w:r>
      <w:r w:rsidRPr="00246AE4">
        <w:rPr>
          <w:color w:val="000000"/>
          <w:lang w:eastAsia="fr-FR" w:bidi="fr-FR"/>
        </w:rPr>
        <w:t>m</w:t>
      </w:r>
      <w:r w:rsidRPr="00246AE4">
        <w:rPr>
          <w:color w:val="000000"/>
          <w:lang w:eastAsia="fr-FR" w:bidi="fr-FR"/>
        </w:rPr>
        <w:t>pliqué, auquel tant de so</w:t>
      </w:r>
      <w:r w:rsidRPr="00246AE4">
        <w:rPr>
          <w:color w:val="000000"/>
          <w:lang w:eastAsia="fr-FR" w:bidi="fr-FR"/>
        </w:rPr>
        <w:t>u</w:t>
      </w:r>
      <w:r w:rsidRPr="00246AE4">
        <w:rPr>
          <w:color w:val="000000"/>
          <w:lang w:eastAsia="fr-FR" w:bidi="fr-FR"/>
        </w:rPr>
        <w:t>verains, tour à tour, ont travaillé et qui, à côté des plus éclatantes beautés, porte la trace de tant de raccords m</w:t>
      </w:r>
      <w:r w:rsidRPr="00246AE4">
        <w:rPr>
          <w:color w:val="000000"/>
          <w:lang w:eastAsia="fr-FR" w:bidi="fr-FR"/>
        </w:rPr>
        <w:t>a</w:t>
      </w:r>
      <w:r w:rsidRPr="00246AE4">
        <w:rPr>
          <w:color w:val="000000"/>
          <w:lang w:eastAsia="fr-FR" w:bidi="fr-FR"/>
        </w:rPr>
        <w:t>ladroits ; mais aucun de ces ouvrages ne paraît définitif. Le meilleur d’entre eux est certain</w:t>
      </w:r>
      <w:r w:rsidRPr="00246AE4">
        <w:rPr>
          <w:color w:val="000000"/>
          <w:lang w:eastAsia="fr-FR" w:bidi="fr-FR"/>
        </w:rPr>
        <w:t>e</w:t>
      </w:r>
      <w:r w:rsidRPr="00246AE4">
        <w:rPr>
          <w:color w:val="000000"/>
          <w:lang w:eastAsia="fr-FR" w:bidi="fr-FR"/>
        </w:rPr>
        <w:t xml:space="preserve">ment le petit volume de la collection des </w:t>
      </w:r>
      <w:r w:rsidRPr="005A294E">
        <w:rPr>
          <w:i/>
        </w:rPr>
        <w:t>Villes d’Art</w:t>
      </w:r>
      <w:r w:rsidRPr="00246AE4">
        <w:rPr>
          <w:color w:val="000000"/>
          <w:lang w:eastAsia="fr-FR" w:bidi="fr-FR"/>
        </w:rPr>
        <w:t xml:space="preserve"> où M. Louis D</w:t>
      </w:r>
      <w:r w:rsidRPr="00246AE4">
        <w:rPr>
          <w:color w:val="000000"/>
          <w:lang w:eastAsia="fr-FR" w:bidi="fr-FR"/>
        </w:rPr>
        <w:t>i</w:t>
      </w:r>
      <w:r w:rsidRPr="00246AE4">
        <w:rPr>
          <w:color w:val="000000"/>
          <w:lang w:eastAsia="fr-FR" w:bidi="fr-FR"/>
        </w:rPr>
        <w:t xml:space="preserve">mier a traité de </w:t>
      </w:r>
      <w:r w:rsidRPr="005A294E">
        <w:rPr>
          <w:i/>
        </w:rPr>
        <w:t>Fontaine</w:t>
      </w:r>
      <w:r w:rsidRPr="005A294E">
        <w:rPr>
          <w:i/>
        </w:rPr>
        <w:lastRenderedPageBreak/>
        <w:t>bleau</w:t>
      </w:r>
      <w:r>
        <w:t> </w:t>
      </w:r>
      <w:r>
        <w:rPr>
          <w:rStyle w:val="Appelnotedebasdep"/>
        </w:rPr>
        <w:footnoteReference w:id="668"/>
      </w:r>
      <w:r w:rsidRPr="005A294E">
        <w:rPr>
          <w:i/>
        </w:rPr>
        <w:t> </w:t>
      </w:r>
      <w:r w:rsidRPr="00246AE4">
        <w:rPr>
          <w:color w:val="000000"/>
          <w:lang w:eastAsia="fr-FR" w:bidi="fr-FR"/>
        </w:rPr>
        <w:t>. L’histoire de Versailles était enco</w:t>
      </w:r>
      <w:r w:rsidRPr="00246AE4">
        <w:rPr>
          <w:color w:val="000000"/>
          <w:lang w:eastAsia="fr-FR" w:bidi="fr-FR"/>
        </w:rPr>
        <w:t>m</w:t>
      </w:r>
      <w:r w:rsidRPr="00246AE4">
        <w:rPr>
          <w:color w:val="000000"/>
          <w:lang w:eastAsia="fr-FR" w:bidi="fr-FR"/>
        </w:rPr>
        <w:t>brée d’erreurs et de légendes ; se résigner à ne la connaître qu’imparfaitement, c’eût été prendre son parti d’ignorer à demi l’histoire de la monarchie française et de l’art français pendant plus d’un siècle ; avec autant de science que de goût, M. de Nolhac s’est appliqué à nous la restituer</w:t>
      </w:r>
      <w:r>
        <w:rPr>
          <w:color w:val="000000"/>
          <w:lang w:eastAsia="fr-FR" w:bidi="fr-FR"/>
        </w:rPr>
        <w:t> </w:t>
      </w:r>
      <w:r>
        <w:rPr>
          <w:rStyle w:val="Appelnotedebasdep"/>
        </w:rPr>
        <w:footnoteReference w:id="669"/>
      </w:r>
      <w:r w:rsidRPr="00246AE4">
        <w:rPr>
          <w:color w:val="000000"/>
          <w:lang w:eastAsia="fr-FR" w:bidi="fr-FR"/>
        </w:rPr>
        <w:t>.</w:t>
      </w:r>
    </w:p>
    <w:p w14:paraId="52B44B8C" w14:textId="77777777" w:rsidR="00B9662D" w:rsidRPr="00246AE4" w:rsidRDefault="00B9662D" w:rsidP="00B9662D">
      <w:pPr>
        <w:spacing w:before="120" w:after="120"/>
        <w:jc w:val="both"/>
      </w:pPr>
      <w:r>
        <w:rPr>
          <w:color w:val="000000"/>
          <w:lang w:eastAsia="fr-FR" w:bidi="fr-FR"/>
        </w:rPr>
        <w:t>À</w:t>
      </w:r>
      <w:r w:rsidRPr="00246AE4">
        <w:rPr>
          <w:color w:val="000000"/>
          <w:lang w:eastAsia="fr-FR" w:bidi="fr-FR"/>
        </w:rPr>
        <w:t xml:space="preserve"> la fin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les pays que nous réunissons ici sou</w:t>
      </w:r>
      <w:r>
        <w:rPr>
          <w:color w:val="000000"/>
          <w:lang w:eastAsia="fr-FR" w:bidi="fr-FR"/>
        </w:rPr>
        <w:t>s le nom d’Î</w:t>
      </w:r>
      <w:r w:rsidRPr="00246AE4">
        <w:rPr>
          <w:color w:val="000000"/>
          <w:lang w:eastAsia="fr-FR" w:bidi="fr-FR"/>
        </w:rPr>
        <w:t>le-de-France se trouvaient répartis entre les trois</w:t>
      </w:r>
      <w:r>
        <w:rPr>
          <w:color w:val="000000"/>
          <w:lang w:eastAsia="fr-FR" w:bidi="fr-FR"/>
        </w:rPr>
        <w:t xml:space="preserve"> gouvern</w:t>
      </w:r>
      <w:r>
        <w:rPr>
          <w:color w:val="000000"/>
          <w:lang w:eastAsia="fr-FR" w:bidi="fr-FR"/>
        </w:rPr>
        <w:t>e</w:t>
      </w:r>
      <w:r>
        <w:rPr>
          <w:color w:val="000000"/>
          <w:lang w:eastAsia="fr-FR" w:bidi="fr-FR"/>
        </w:rPr>
        <w:t>ments militaires de l’Î</w:t>
      </w:r>
      <w:r w:rsidRPr="00246AE4">
        <w:rPr>
          <w:color w:val="000000"/>
          <w:lang w:eastAsia="fr-FR" w:bidi="fr-FR"/>
        </w:rPr>
        <w:t>le-de-France, de la Champagne et de l’Orléanais, entre</w:t>
      </w:r>
      <w:r>
        <w:t xml:space="preserve"> [774] </w:t>
      </w:r>
      <w:r w:rsidRPr="00246AE4">
        <w:rPr>
          <w:color w:val="000000"/>
          <w:lang w:eastAsia="fr-FR" w:bidi="fr-FR"/>
        </w:rPr>
        <w:t>les deux généralités de Paris et d’Orléans</w:t>
      </w:r>
      <w:r>
        <w:rPr>
          <w:color w:val="000000"/>
          <w:lang w:eastAsia="fr-FR" w:bidi="fr-FR"/>
        </w:rPr>
        <w:t> </w:t>
      </w:r>
      <w:r>
        <w:rPr>
          <w:rStyle w:val="Appelnotedebasdep"/>
        </w:rPr>
        <w:footnoteReference w:id="670"/>
      </w:r>
      <w:r w:rsidRPr="00246AE4">
        <w:rPr>
          <w:color w:val="000000"/>
          <w:lang w:eastAsia="fr-FR" w:bidi="fr-FR"/>
        </w:rPr>
        <w:t>. En ce qui concerne les institutions judiciaires, ils se divisaient en de nombreux bailliages, compris, les uns comme les autres, dans le re</w:t>
      </w:r>
      <w:r w:rsidRPr="00246AE4">
        <w:rPr>
          <w:color w:val="000000"/>
          <w:lang w:eastAsia="fr-FR" w:bidi="fr-FR"/>
        </w:rPr>
        <w:t>s</w:t>
      </w:r>
      <w:r w:rsidRPr="00246AE4">
        <w:rPr>
          <w:color w:val="000000"/>
          <w:lang w:eastAsia="fr-FR" w:bidi="fr-FR"/>
        </w:rPr>
        <w:t xml:space="preserve">sort du Parlement de Paris. La contrée qui avoisine Orléans devait à sa </w:t>
      </w:r>
      <w:r w:rsidRPr="00246AE4">
        <w:rPr>
          <w:color w:val="000000"/>
          <w:lang w:eastAsia="fr-FR" w:bidi="fr-FR"/>
        </w:rPr>
        <w:lastRenderedPageBreak/>
        <w:t>qualité d’apanage une situation un peu spéciale. Les érudits qui se sont efforcés de d</w:t>
      </w:r>
      <w:r w:rsidRPr="00246AE4">
        <w:rPr>
          <w:color w:val="000000"/>
          <w:lang w:eastAsia="fr-FR" w:bidi="fr-FR"/>
        </w:rPr>
        <w:t>é</w:t>
      </w:r>
      <w:r w:rsidRPr="00246AE4">
        <w:rPr>
          <w:color w:val="000000"/>
          <w:lang w:eastAsia="fr-FR" w:bidi="fr-FR"/>
        </w:rPr>
        <w:t>brouiller la géographie administrative de l’Ancien Régime se sont presque tous placés pour la décrire en 1789, se prop</w:t>
      </w:r>
      <w:r w:rsidRPr="00246AE4">
        <w:rPr>
          <w:color w:val="000000"/>
          <w:lang w:eastAsia="fr-FR" w:bidi="fr-FR"/>
        </w:rPr>
        <w:t>o</w:t>
      </w:r>
      <w:r w:rsidRPr="00246AE4">
        <w:rPr>
          <w:color w:val="000000"/>
          <w:lang w:eastAsia="fr-FR" w:bidi="fr-FR"/>
        </w:rPr>
        <w:t>sant moins d’expliquer comment les circonscriptions s’étaient peu à peu const</w:t>
      </w:r>
      <w:r w:rsidRPr="00246AE4">
        <w:rPr>
          <w:color w:val="000000"/>
          <w:lang w:eastAsia="fr-FR" w:bidi="fr-FR"/>
        </w:rPr>
        <w:t>i</w:t>
      </w:r>
      <w:r w:rsidRPr="00246AE4">
        <w:rPr>
          <w:color w:val="000000"/>
          <w:lang w:eastAsia="fr-FR" w:bidi="fr-FR"/>
        </w:rPr>
        <w:t>tuées que d’éclairer, dans ses détails, la convocation des États-Généraux. Tel était l’objet essentiel des grands travaux de M. Armand Brette, dont l’histoire régionale a tiré tant de profit</w:t>
      </w:r>
      <w:r>
        <w:rPr>
          <w:color w:val="000000"/>
          <w:lang w:eastAsia="fr-FR" w:bidi="fr-FR"/>
        </w:rPr>
        <w:t> </w:t>
      </w:r>
      <w:r>
        <w:rPr>
          <w:rStyle w:val="Appelnotedebasdep"/>
        </w:rPr>
        <w:footnoteReference w:id="671"/>
      </w:r>
      <w:r w:rsidRPr="00246AE4">
        <w:rPr>
          <w:color w:val="000000"/>
          <w:lang w:eastAsia="fr-FR" w:bidi="fr-FR"/>
        </w:rPr>
        <w:t> ; tel le dessein qu’ont poursuivi, à son exemple, M. Coüard dans ses reche</w:t>
      </w:r>
      <w:r w:rsidRPr="00246AE4">
        <w:rPr>
          <w:color w:val="000000"/>
          <w:lang w:eastAsia="fr-FR" w:bidi="fr-FR"/>
        </w:rPr>
        <w:t>r</w:t>
      </w:r>
      <w:r w:rsidRPr="00246AE4">
        <w:rPr>
          <w:color w:val="000000"/>
          <w:lang w:eastAsia="fr-FR" w:bidi="fr-FR"/>
        </w:rPr>
        <w:t>ches sur les bailliages qui occupaient en 1789 le territoire qui allait devenir celui de la Seine-et-Oise</w:t>
      </w:r>
      <w:r>
        <w:rPr>
          <w:color w:val="000000"/>
          <w:lang w:eastAsia="fr-FR" w:bidi="fr-FR"/>
        </w:rPr>
        <w:t> </w:t>
      </w:r>
      <w:r>
        <w:rPr>
          <w:rStyle w:val="Appelnotedebasdep"/>
        </w:rPr>
        <w:footnoteReference w:id="672"/>
      </w:r>
      <w:r w:rsidRPr="00246AE4">
        <w:rPr>
          <w:color w:val="000000"/>
          <w:lang w:eastAsia="fr-FR" w:bidi="fr-FR"/>
        </w:rPr>
        <w:t xml:space="preserve">, M. Camille Bloch dans sa </w:t>
      </w:r>
      <w:r w:rsidRPr="007145AF">
        <w:rPr>
          <w:i/>
        </w:rPr>
        <w:t>Gé</w:t>
      </w:r>
      <w:r w:rsidRPr="007145AF">
        <w:rPr>
          <w:i/>
        </w:rPr>
        <w:t>o</w:t>
      </w:r>
      <w:r w:rsidRPr="007145AF">
        <w:rPr>
          <w:i/>
        </w:rPr>
        <w:t>graphie jud</w:t>
      </w:r>
      <w:r w:rsidRPr="007145AF">
        <w:rPr>
          <w:i/>
        </w:rPr>
        <w:t>i</w:t>
      </w:r>
      <w:r w:rsidRPr="007145AF">
        <w:rPr>
          <w:i/>
        </w:rPr>
        <w:t>ciaire de l’ancienne circonscription territoriale qui a formé le dépa</w:t>
      </w:r>
      <w:r w:rsidRPr="007145AF">
        <w:rPr>
          <w:i/>
        </w:rPr>
        <w:t>r</w:t>
      </w:r>
      <w:r w:rsidRPr="007145AF">
        <w:rPr>
          <w:i/>
        </w:rPr>
        <w:t>tement du Loiret</w:t>
      </w:r>
      <w:r>
        <w:t> </w:t>
      </w:r>
      <w:r>
        <w:rPr>
          <w:rStyle w:val="Appelnotedebasdep"/>
        </w:rPr>
        <w:footnoteReference w:id="673"/>
      </w:r>
      <w:r w:rsidRPr="00246AE4">
        <w:rPr>
          <w:color w:val="000000"/>
          <w:lang w:eastAsia="fr-FR" w:bidi="fr-FR"/>
        </w:rPr>
        <w:t xml:space="preserve">. M. Longnon, cependant, dans un article qui a été souvent cité dans les premières pages de notre étude, a esquissé l’histoire topographique du gouvernement militaire de </w:t>
      </w:r>
      <w:r>
        <w:t>l’</w:t>
      </w:r>
      <w:r>
        <w:rPr>
          <w:color w:val="000000"/>
          <w:lang w:eastAsia="fr-FR" w:bidi="fr-FR"/>
        </w:rPr>
        <w:t>Î</w:t>
      </w:r>
      <w:r w:rsidRPr="00246AE4">
        <w:rPr>
          <w:color w:val="000000"/>
          <w:lang w:eastAsia="fr-FR" w:bidi="fr-FR"/>
        </w:rPr>
        <w:t>le-de-</w:t>
      </w:r>
      <w:r>
        <w:rPr>
          <w:color w:val="000000"/>
          <w:lang w:eastAsia="fr-FR" w:bidi="fr-FR"/>
        </w:rPr>
        <w:t>France </w:t>
      </w:r>
      <w:r>
        <w:rPr>
          <w:rStyle w:val="Appelnotedebasdep"/>
        </w:rPr>
        <w:footnoteReference w:id="674"/>
      </w:r>
      <w:r w:rsidRPr="00246AE4">
        <w:rPr>
          <w:color w:val="000000"/>
          <w:lang w:eastAsia="fr-FR" w:bidi="fr-FR"/>
        </w:rPr>
        <w:t>. M. de</w:t>
      </w:r>
      <w:r>
        <w:rPr>
          <w:color w:val="000000"/>
          <w:lang w:eastAsia="fr-FR" w:bidi="fr-FR"/>
        </w:rPr>
        <w:t xml:space="preserve"> </w:t>
      </w:r>
      <w:r w:rsidRPr="00246AE4">
        <w:rPr>
          <w:color w:val="000000"/>
          <w:lang w:eastAsia="fr-FR" w:bidi="fr-FR"/>
        </w:rPr>
        <w:t>Boislisle et M. de Beaucorps ont donné quelques ind</w:t>
      </w:r>
      <w:r w:rsidRPr="00246AE4">
        <w:rPr>
          <w:color w:val="000000"/>
          <w:lang w:eastAsia="fr-FR" w:bidi="fr-FR"/>
        </w:rPr>
        <w:t>i</w:t>
      </w:r>
      <w:r w:rsidRPr="00246AE4">
        <w:rPr>
          <w:color w:val="000000"/>
          <w:lang w:eastAsia="fr-FR" w:bidi="fr-FR"/>
        </w:rPr>
        <w:t>cations sur la formation des généralités de Paris</w:t>
      </w:r>
      <w:r>
        <w:rPr>
          <w:color w:val="000000"/>
          <w:lang w:eastAsia="fr-FR" w:bidi="fr-FR"/>
        </w:rPr>
        <w:t> </w:t>
      </w:r>
      <w:r>
        <w:rPr>
          <w:rStyle w:val="Appelnotedebasdep"/>
        </w:rPr>
        <w:footnoteReference w:id="675"/>
      </w:r>
      <w:r w:rsidRPr="00246AE4">
        <w:rPr>
          <w:color w:val="000000"/>
          <w:lang w:eastAsia="fr-FR" w:bidi="fr-FR"/>
        </w:rPr>
        <w:t xml:space="preserve"> et d’Orléans</w:t>
      </w:r>
      <w:r>
        <w:rPr>
          <w:color w:val="000000"/>
          <w:lang w:eastAsia="fr-FR" w:bidi="fr-FR"/>
        </w:rPr>
        <w:t> </w:t>
      </w:r>
      <w:r>
        <w:rPr>
          <w:rStyle w:val="Appelnotedebasdep"/>
        </w:rPr>
        <w:footnoteReference w:id="676"/>
      </w:r>
      <w:r w:rsidRPr="00246AE4">
        <w:rPr>
          <w:color w:val="000000"/>
          <w:lang w:eastAsia="fr-FR" w:bidi="fr-FR"/>
        </w:rPr>
        <w:t>. M. Fougeron s’est occupé de l’apanage Orléanais</w:t>
      </w:r>
      <w:r>
        <w:rPr>
          <w:color w:val="000000"/>
          <w:lang w:eastAsia="fr-FR" w:bidi="fr-FR"/>
        </w:rPr>
        <w:t> </w:t>
      </w:r>
      <w:r>
        <w:rPr>
          <w:rStyle w:val="Appelnotedebasdep"/>
        </w:rPr>
        <w:footnoteReference w:id="677"/>
      </w:r>
      <w:r w:rsidRPr="00246AE4">
        <w:rPr>
          <w:color w:val="000000"/>
          <w:lang w:eastAsia="fr-FR" w:bidi="fr-FR"/>
        </w:rPr>
        <w:t>.</w:t>
      </w:r>
    </w:p>
    <w:p w14:paraId="69C31DA9" w14:textId="77777777" w:rsidR="00B9662D" w:rsidRPr="00246AE4" w:rsidRDefault="00B9662D" w:rsidP="00B9662D">
      <w:pPr>
        <w:spacing w:before="120" w:after="120"/>
        <w:jc w:val="both"/>
      </w:pPr>
      <w:r w:rsidRPr="00246AE4">
        <w:rPr>
          <w:color w:val="000000"/>
          <w:lang w:eastAsia="fr-FR" w:bidi="fr-FR"/>
        </w:rPr>
        <w:t>Si nous marquions sur une carte de l’</w:t>
      </w:r>
      <w:r>
        <w:rPr>
          <w:color w:val="000000"/>
          <w:lang w:eastAsia="fr-FR" w:bidi="fr-FR"/>
        </w:rPr>
        <w:t>Île-de-France</w:t>
      </w:r>
      <w:r w:rsidRPr="00246AE4">
        <w:rPr>
          <w:color w:val="000000"/>
          <w:lang w:eastAsia="fr-FR" w:bidi="fr-FR"/>
        </w:rPr>
        <w:t xml:space="preserve"> les limites des différentes circonscriptions militaires, judiciaires, financières et pr</w:t>
      </w:r>
      <w:r w:rsidRPr="00246AE4">
        <w:rPr>
          <w:color w:val="000000"/>
          <w:lang w:eastAsia="fr-FR" w:bidi="fr-FR"/>
        </w:rPr>
        <w:t>o</w:t>
      </w:r>
      <w:r w:rsidRPr="00246AE4">
        <w:rPr>
          <w:color w:val="000000"/>
          <w:lang w:eastAsia="fr-FR" w:bidi="fr-FR"/>
        </w:rPr>
        <w:lastRenderedPageBreak/>
        <w:t>prement administratives qui s’étendirent sur cette région aux trois derniers siècles de la monarchie, ou plus simplement, à une date d</w:t>
      </w:r>
      <w:r w:rsidRPr="00246AE4">
        <w:rPr>
          <w:color w:val="000000"/>
          <w:lang w:eastAsia="fr-FR" w:bidi="fr-FR"/>
        </w:rPr>
        <w:t>é</w:t>
      </w:r>
      <w:r w:rsidRPr="00246AE4">
        <w:rPr>
          <w:color w:val="000000"/>
          <w:lang w:eastAsia="fr-FR" w:bidi="fr-FR"/>
        </w:rPr>
        <w:t>terminée, en 1789 par exemple, le dessin que nous obtiendrions ainsi ne se déchiffrerait qu’avec peine. L’enchevêtrement des lignes et leurs tracés bizarres traduiraient assez exactement les caractères essentiels de l’administration de l’Ancien Régime, à qui la clarté et la régularité faisaient défaut. Les institutions variaient selon les lieux. Les règl</w:t>
      </w:r>
      <w:r w:rsidRPr="00246AE4">
        <w:rPr>
          <w:color w:val="000000"/>
          <w:lang w:eastAsia="fr-FR" w:bidi="fr-FR"/>
        </w:rPr>
        <w:t>e</w:t>
      </w:r>
      <w:r w:rsidRPr="00246AE4">
        <w:rPr>
          <w:color w:val="000000"/>
          <w:lang w:eastAsia="fr-FR" w:bidi="fr-FR"/>
        </w:rPr>
        <w:t>ments établis par le pouvoir central demeuraient souvent sans applic</w:t>
      </w:r>
      <w:r w:rsidRPr="00246AE4">
        <w:rPr>
          <w:color w:val="000000"/>
          <w:lang w:eastAsia="fr-FR" w:bidi="fr-FR"/>
        </w:rPr>
        <w:t>a</w:t>
      </w:r>
      <w:r w:rsidRPr="00246AE4">
        <w:rPr>
          <w:color w:val="000000"/>
          <w:lang w:eastAsia="fr-FR" w:bidi="fr-FR"/>
        </w:rPr>
        <w:t>tion, dans les provinces, et parfois n’étaient pas destinés à être appl</w:t>
      </w:r>
      <w:r w:rsidRPr="00246AE4">
        <w:rPr>
          <w:color w:val="000000"/>
          <w:lang w:eastAsia="fr-FR" w:bidi="fr-FR"/>
        </w:rPr>
        <w:t>i</w:t>
      </w:r>
      <w:r w:rsidRPr="00246AE4">
        <w:rPr>
          <w:color w:val="000000"/>
          <w:lang w:eastAsia="fr-FR" w:bidi="fr-FR"/>
        </w:rPr>
        <w:t>qués. La pratique était de plus de poids que le droit public théorique : on composerait une étrange histoire de l’impôt à ne l’écrire que d’après les ordonnances royales. Dépeindre en ces termes l’administration de la monarchie absolue, c’est dire qu’une suite d’études régionales nous rendra seule une image fidèle de ce vaste édifice,</w:t>
      </w:r>
      <w:r>
        <w:t xml:space="preserve"> [</w:t>
      </w:r>
      <w:r w:rsidRPr="00246AE4">
        <w:rPr>
          <w:color w:val="000000"/>
          <w:lang w:eastAsia="fr-FR" w:bidi="fr-FR"/>
        </w:rPr>
        <w:t>775</w:t>
      </w:r>
      <w:r>
        <w:rPr>
          <w:color w:val="000000"/>
          <w:lang w:eastAsia="fr-FR" w:bidi="fr-FR"/>
        </w:rPr>
        <w:t xml:space="preserve">] </w:t>
      </w:r>
      <w:r w:rsidRPr="00246AE4">
        <w:rPr>
          <w:color w:val="000000"/>
          <w:lang w:eastAsia="fr-FR" w:bidi="fr-FR"/>
        </w:rPr>
        <w:t>que tant de générations de fonctionnaires élevèrent, sans plan d’ensemble, le faisant trop complexe et trop disparate pour qu’une vue générale le puisse aisément saisir. Sur aucun ordre de questions, les recherches limitées à un cadre territorial restreint ne sont plus néce</w:t>
      </w:r>
      <w:r w:rsidRPr="00246AE4">
        <w:rPr>
          <w:color w:val="000000"/>
          <w:lang w:eastAsia="fr-FR" w:bidi="fr-FR"/>
        </w:rPr>
        <w:t>s</w:t>
      </w:r>
      <w:r w:rsidRPr="00246AE4">
        <w:rPr>
          <w:color w:val="000000"/>
          <w:lang w:eastAsia="fr-FR" w:bidi="fr-FR"/>
        </w:rPr>
        <w:t>saires ni plus légitimes. Sur aucun point la production locale n’est plus pauvre.</w:t>
      </w:r>
    </w:p>
    <w:p w14:paraId="7D55DA7F" w14:textId="77777777" w:rsidR="00B9662D" w:rsidRPr="00246AE4" w:rsidRDefault="00B9662D" w:rsidP="00B9662D">
      <w:pPr>
        <w:spacing w:before="120" w:after="120"/>
        <w:jc w:val="both"/>
      </w:pPr>
      <w:r w:rsidRPr="00246AE4">
        <w:rPr>
          <w:color w:val="000000"/>
          <w:lang w:eastAsia="fr-FR" w:bidi="fr-FR"/>
        </w:rPr>
        <w:t xml:space="preserve">M. de Boislisle avait formé le projet de publier, dans la collection des </w:t>
      </w:r>
      <w:r w:rsidRPr="00246AE4">
        <w:t>Documents inédits,</w:t>
      </w:r>
      <w:r w:rsidRPr="00246AE4">
        <w:rPr>
          <w:color w:val="000000"/>
          <w:lang w:eastAsia="fr-FR" w:bidi="fr-FR"/>
        </w:rPr>
        <w:t xml:space="preserve"> les </w:t>
      </w:r>
      <w:r w:rsidRPr="001E61F4">
        <w:rPr>
          <w:i/>
        </w:rPr>
        <w:t>Mémoires des Intendants sur l’état des g</w:t>
      </w:r>
      <w:r w:rsidRPr="001E61F4">
        <w:rPr>
          <w:i/>
        </w:rPr>
        <w:t>é</w:t>
      </w:r>
      <w:r w:rsidRPr="001E61F4">
        <w:rPr>
          <w:i/>
        </w:rPr>
        <w:t>néralités, dressés pour l’instruction du duc de Bourgogne</w:t>
      </w:r>
      <w:r w:rsidRPr="00246AE4">
        <w:t>.</w:t>
      </w:r>
      <w:r w:rsidRPr="00246AE4">
        <w:rPr>
          <w:color w:val="000000"/>
          <w:lang w:eastAsia="fr-FR" w:bidi="fr-FR"/>
        </w:rPr>
        <w:t xml:space="preserve"> Le </w:t>
      </w:r>
      <w:r w:rsidRPr="001E61F4">
        <w:rPr>
          <w:i/>
        </w:rPr>
        <w:t>Mémo</w:t>
      </w:r>
      <w:r w:rsidRPr="001E61F4">
        <w:rPr>
          <w:i/>
        </w:rPr>
        <w:t>i</w:t>
      </w:r>
      <w:r w:rsidRPr="001E61F4">
        <w:rPr>
          <w:i/>
        </w:rPr>
        <w:t>re delà Généralité de Paris</w:t>
      </w:r>
      <w:r w:rsidRPr="00246AE4">
        <w:rPr>
          <w:color w:val="000000"/>
          <w:lang w:eastAsia="fr-FR" w:bidi="fr-FR"/>
        </w:rPr>
        <w:t xml:space="preserve"> seul a paru</w:t>
      </w:r>
      <w:r>
        <w:rPr>
          <w:color w:val="000000"/>
          <w:lang w:eastAsia="fr-FR" w:bidi="fr-FR"/>
        </w:rPr>
        <w:t> </w:t>
      </w:r>
      <w:r>
        <w:rPr>
          <w:rStyle w:val="Appelnotedebasdep"/>
        </w:rPr>
        <w:footnoteReference w:id="678"/>
      </w:r>
      <w:r w:rsidRPr="00246AE4">
        <w:rPr>
          <w:color w:val="000000"/>
          <w:lang w:eastAsia="fr-FR" w:bidi="fr-FR"/>
        </w:rPr>
        <w:t>. M. de Boislisle en a fait pr</w:t>
      </w:r>
      <w:r w:rsidRPr="00246AE4">
        <w:rPr>
          <w:color w:val="000000"/>
          <w:lang w:eastAsia="fr-FR" w:bidi="fr-FR"/>
        </w:rPr>
        <w:t>é</w:t>
      </w:r>
      <w:r w:rsidRPr="00246AE4">
        <w:rPr>
          <w:color w:val="000000"/>
          <w:lang w:eastAsia="fr-FR" w:bidi="fr-FR"/>
        </w:rPr>
        <w:t>céder le texte d’une utile Introduction ; on y trouvera, à côté de re</w:t>
      </w:r>
      <w:r w:rsidRPr="00246AE4">
        <w:rPr>
          <w:color w:val="000000"/>
          <w:lang w:eastAsia="fr-FR" w:bidi="fr-FR"/>
        </w:rPr>
        <w:t>n</w:t>
      </w:r>
      <w:r w:rsidRPr="00246AE4">
        <w:rPr>
          <w:color w:val="000000"/>
          <w:lang w:eastAsia="fr-FR" w:bidi="fr-FR"/>
        </w:rPr>
        <w:t>seignements sur la géographie de la généralité, une liste des inte</w:t>
      </w:r>
      <w:r w:rsidRPr="00246AE4">
        <w:rPr>
          <w:color w:val="000000"/>
          <w:lang w:eastAsia="fr-FR" w:bidi="fr-FR"/>
        </w:rPr>
        <w:t>n</w:t>
      </w:r>
      <w:r w:rsidRPr="00246AE4">
        <w:rPr>
          <w:color w:val="000000"/>
          <w:lang w:eastAsia="fr-FR" w:bidi="fr-FR"/>
        </w:rPr>
        <w:t>dants</w:t>
      </w:r>
      <w:r>
        <w:rPr>
          <w:color w:val="000000"/>
          <w:lang w:eastAsia="fr-FR" w:bidi="fr-FR"/>
        </w:rPr>
        <w:t> </w:t>
      </w:r>
      <w:r>
        <w:rPr>
          <w:rStyle w:val="Appelnotedebasdep"/>
        </w:rPr>
        <w:footnoteReference w:id="679"/>
      </w:r>
      <w:r w:rsidRPr="00246AE4">
        <w:rPr>
          <w:color w:val="000000"/>
          <w:lang w:eastAsia="fr-FR" w:bidi="fr-FR"/>
        </w:rPr>
        <w:t>. Mais l’œuvre de ces int</w:t>
      </w:r>
      <w:r>
        <w:rPr>
          <w:color w:val="000000"/>
          <w:lang w:eastAsia="fr-FR" w:bidi="fr-FR"/>
        </w:rPr>
        <w:t>endants, nul ne l’a étudiée. M. </w:t>
      </w:r>
      <w:r w:rsidRPr="00246AE4">
        <w:rPr>
          <w:color w:val="000000"/>
          <w:lang w:eastAsia="fr-FR" w:bidi="fr-FR"/>
        </w:rPr>
        <w:t xml:space="preserve">Charles de Beaucorps a écrit, sur l’administration des trois intendants d’Orléans qui se succédèrent de 1686 à 1713, MM. de Creil, Jubert de Bouville et de la Bourdonnaye, un mémoire consciencieux </w:t>
      </w:r>
      <w:r w:rsidRPr="00246AE4">
        <w:rPr>
          <w:color w:val="000000"/>
          <w:lang w:eastAsia="fr-FR" w:bidi="fr-FR"/>
        </w:rPr>
        <w:lastRenderedPageBreak/>
        <w:t>et touffu</w:t>
      </w:r>
      <w:r>
        <w:rPr>
          <w:color w:val="000000"/>
          <w:lang w:eastAsia="fr-FR" w:bidi="fr-FR"/>
        </w:rPr>
        <w:t> </w:t>
      </w:r>
      <w:r>
        <w:rPr>
          <w:rStyle w:val="Appelnotedebasdep"/>
        </w:rPr>
        <w:footnoteReference w:id="680"/>
      </w:r>
      <w:r w:rsidRPr="00246AE4">
        <w:rPr>
          <w:color w:val="000000"/>
          <w:lang w:eastAsia="fr-FR" w:bidi="fr-FR"/>
        </w:rPr>
        <w:t>. Véritables factotums de la monarchie, les intendants se voyaient soll</w:t>
      </w:r>
      <w:r w:rsidRPr="00246AE4">
        <w:rPr>
          <w:color w:val="000000"/>
          <w:lang w:eastAsia="fr-FR" w:bidi="fr-FR"/>
        </w:rPr>
        <w:t>i</w:t>
      </w:r>
      <w:r w:rsidRPr="00246AE4">
        <w:rPr>
          <w:color w:val="000000"/>
          <w:lang w:eastAsia="fr-FR" w:bidi="fr-FR"/>
        </w:rPr>
        <w:t>citer tour à tour par une infinité d’objets divers ; le champ auquel s’étendait leur action était presque illimité ; à les suivre dans toutes leurs démarches, à vouloir décrire par le menu les multiples aspects de leurs fonctions, l’érudit disperse son attention et se perd dans le détail. Mieux vaut s’attacher à l’étude</w:t>
      </w:r>
      <w:r>
        <w:rPr>
          <w:color w:val="000000"/>
          <w:lang w:eastAsia="fr-FR" w:bidi="fr-FR"/>
        </w:rPr>
        <w:t> — </w:t>
      </w:r>
      <w:r w:rsidRPr="00246AE4">
        <w:rPr>
          <w:color w:val="000000"/>
          <w:lang w:eastAsia="fr-FR" w:bidi="fr-FR"/>
        </w:rPr>
        <w:t>régionale</w:t>
      </w:r>
      <w:r>
        <w:rPr>
          <w:color w:val="000000"/>
          <w:lang w:eastAsia="fr-FR" w:bidi="fr-FR"/>
        </w:rPr>
        <w:t> — </w:t>
      </w:r>
      <w:r w:rsidRPr="00246AE4">
        <w:rPr>
          <w:color w:val="000000"/>
          <w:lang w:eastAsia="fr-FR" w:bidi="fr-FR"/>
        </w:rPr>
        <w:t xml:space="preserve">d’une institution qu’à l’histoire d’un administrateur. L’organisation de l’Assistance Publique dans les généralités de Paris et d’Orléans et les généralités voisines a fourni à M. Camille Bloch la matière d’un livre important, qui a jeté un jour nouveau, non seulement sur l’histoire administrative de l’Ancien Régime, mais encore sur celle de la Révolution, montrant une fois de plus que nous ne comprendrons la Révolution que lorsque nous serons parvenus à une connaissance exacte des institutions du </w:t>
      </w:r>
      <w:r>
        <w:rPr>
          <w:color w:val="000000"/>
          <w:lang w:eastAsia="fr-FR" w:bidi="fr-FR"/>
        </w:rPr>
        <w:t>XVIII</w:t>
      </w:r>
      <w:r w:rsidRPr="007D522E">
        <w:rPr>
          <w:color w:val="000000"/>
          <w:vertAlign w:val="superscript"/>
          <w:lang w:eastAsia="fr-FR" w:bidi="fr-FR"/>
        </w:rPr>
        <w:t>e</w:t>
      </w:r>
      <w:r w:rsidRPr="00246AE4">
        <w:rPr>
          <w:rStyle w:val="Corpsdutexte275ptGrasPetitesmajuscules"/>
          <w:sz w:val="28"/>
          <w:lang w:val="fr-CA"/>
        </w:rPr>
        <w:t xml:space="preserve"> </w:t>
      </w:r>
      <w:r w:rsidRPr="00246AE4">
        <w:rPr>
          <w:color w:val="000000"/>
          <w:lang w:eastAsia="fr-FR" w:bidi="fr-FR"/>
        </w:rPr>
        <w:t>siècle</w:t>
      </w:r>
      <w:r>
        <w:rPr>
          <w:color w:val="000000"/>
          <w:lang w:eastAsia="fr-FR" w:bidi="fr-FR"/>
        </w:rPr>
        <w:t> </w:t>
      </w:r>
      <w:r>
        <w:rPr>
          <w:rStyle w:val="Appelnotedebasdep"/>
        </w:rPr>
        <w:footnoteReference w:id="681"/>
      </w:r>
      <w:r w:rsidRPr="00246AE4">
        <w:rPr>
          <w:color w:val="000000"/>
          <w:lang w:eastAsia="fr-FR" w:bidi="fr-FR"/>
        </w:rPr>
        <w:t>. Sur les justices seigneuriales et leur décadence, sur l’organisation et la jurisprudence des tribunaux royaux, aucune r</w:t>
      </w:r>
      <w:r w:rsidRPr="00246AE4">
        <w:rPr>
          <w:color w:val="000000"/>
          <w:lang w:eastAsia="fr-FR" w:bidi="fr-FR"/>
        </w:rPr>
        <w:t>e</w:t>
      </w:r>
      <w:r w:rsidRPr="00246AE4">
        <w:rPr>
          <w:color w:val="000000"/>
          <w:lang w:eastAsia="fr-FR" w:bidi="fr-FR"/>
        </w:rPr>
        <w:t>cherche n’a été entreprise. M. Lucien Merlet, M. Arsène Defresne ont recueilli quelques documents sur les communautés d’habitants, dans les bourgs et les villages du Dunois</w:t>
      </w:r>
      <w:r>
        <w:rPr>
          <w:color w:val="000000"/>
          <w:lang w:eastAsia="fr-FR" w:bidi="fr-FR"/>
        </w:rPr>
        <w:t> </w:t>
      </w:r>
      <w:r>
        <w:rPr>
          <w:rStyle w:val="Appelnotedebasdep"/>
        </w:rPr>
        <w:footnoteReference w:id="682"/>
      </w:r>
      <w:r w:rsidRPr="00246AE4">
        <w:rPr>
          <w:color w:val="000000"/>
          <w:lang w:eastAsia="fr-FR" w:bidi="fr-FR"/>
        </w:rPr>
        <w:t xml:space="preserve"> et du pays de Versailles</w:t>
      </w:r>
      <w:r>
        <w:rPr>
          <w:color w:val="000000"/>
          <w:lang w:eastAsia="fr-FR" w:bidi="fr-FR"/>
        </w:rPr>
        <w:t> </w:t>
      </w:r>
      <w:r>
        <w:rPr>
          <w:rStyle w:val="Appelnotedebasdep"/>
        </w:rPr>
        <w:footnoteReference w:id="683"/>
      </w:r>
      <w:r w:rsidRPr="00246AE4">
        <w:rPr>
          <w:color w:val="000000"/>
          <w:lang w:eastAsia="fr-FR" w:bidi="fr-FR"/>
        </w:rPr>
        <w:t>. Les registres municipaux de Pontoise, de 1608</w:t>
      </w:r>
      <w:r>
        <w:rPr>
          <w:color w:val="000000"/>
          <w:lang w:eastAsia="fr-FR" w:bidi="fr-FR"/>
        </w:rPr>
        <w:t xml:space="preserve"> à 1683, ont été publiés par M. </w:t>
      </w:r>
      <w:r w:rsidRPr="00246AE4">
        <w:rPr>
          <w:color w:val="000000"/>
          <w:lang w:eastAsia="fr-FR" w:bidi="fr-FR"/>
        </w:rPr>
        <w:t>Ernest Mallet</w:t>
      </w:r>
      <w:r>
        <w:rPr>
          <w:color w:val="000000"/>
          <w:lang w:eastAsia="fr-FR" w:bidi="fr-FR"/>
        </w:rPr>
        <w:t> </w:t>
      </w:r>
      <w:r>
        <w:rPr>
          <w:rStyle w:val="Appelnotedebasdep"/>
        </w:rPr>
        <w:footnoteReference w:id="684"/>
      </w:r>
      <w:r w:rsidRPr="00246AE4">
        <w:rPr>
          <w:color w:val="000000"/>
          <w:lang w:eastAsia="fr-FR" w:bidi="fr-FR"/>
        </w:rPr>
        <w:t>. Mais nous n’avons pas de bonne étude sur la vie municipale.</w:t>
      </w:r>
    </w:p>
    <w:p w14:paraId="61AC2EE0" w14:textId="77777777" w:rsidR="00B9662D" w:rsidRPr="00246AE4" w:rsidRDefault="00B9662D" w:rsidP="00B9662D">
      <w:pPr>
        <w:spacing w:before="120" w:after="120"/>
        <w:jc w:val="both"/>
      </w:pPr>
      <w:r w:rsidRPr="00246AE4">
        <w:rPr>
          <w:color w:val="000000"/>
          <w:lang w:eastAsia="fr-FR" w:bidi="fr-FR"/>
        </w:rPr>
        <w:t>Tout cela, on le voit, fait bien peu de chose. Où faut-il chercher les</w:t>
      </w:r>
      <w:r>
        <w:t xml:space="preserve"> [776] </w:t>
      </w:r>
      <w:r w:rsidRPr="00246AE4">
        <w:rPr>
          <w:color w:val="000000"/>
          <w:lang w:eastAsia="fr-FR" w:bidi="fr-FR"/>
        </w:rPr>
        <w:t>causes d’une si déplorable indigence ? Non dans l’état des d</w:t>
      </w:r>
      <w:r w:rsidRPr="00246AE4">
        <w:rPr>
          <w:color w:val="000000"/>
          <w:lang w:eastAsia="fr-FR" w:bidi="fr-FR"/>
        </w:rPr>
        <w:t>o</w:t>
      </w:r>
      <w:r w:rsidRPr="00246AE4">
        <w:rPr>
          <w:color w:val="000000"/>
          <w:lang w:eastAsia="fr-FR" w:bidi="fr-FR"/>
        </w:rPr>
        <w:t xml:space="preserve">cuments, qui s’offrent avec une véritable abondance : peut-être dans la sécheresse apparente de ces travaux d’histoire administrative, dont la haute portée apparaît cependant à quiconque s’efforce de comprendre </w:t>
      </w:r>
      <w:r w:rsidRPr="00246AE4">
        <w:rPr>
          <w:color w:val="000000"/>
          <w:lang w:eastAsia="fr-FR" w:bidi="fr-FR"/>
        </w:rPr>
        <w:lastRenderedPageBreak/>
        <w:t>la formation de l’État français ; surtout dans les difficultés insupport</w:t>
      </w:r>
      <w:r w:rsidRPr="00246AE4">
        <w:rPr>
          <w:color w:val="000000"/>
          <w:lang w:eastAsia="fr-FR" w:bidi="fr-FR"/>
        </w:rPr>
        <w:t>a</w:t>
      </w:r>
      <w:r w:rsidRPr="00246AE4">
        <w:rPr>
          <w:color w:val="000000"/>
          <w:lang w:eastAsia="fr-FR" w:bidi="fr-FR"/>
        </w:rPr>
        <w:t>bles que l’absence de tout ouvrage de référence commode, touchant les institutions de l’Ancien Régime, crée, à chaque instant, aux tr</w:t>
      </w:r>
      <w:r w:rsidRPr="00246AE4">
        <w:rPr>
          <w:color w:val="000000"/>
          <w:lang w:eastAsia="fr-FR" w:bidi="fr-FR"/>
        </w:rPr>
        <w:t>a</w:t>
      </w:r>
      <w:r w:rsidRPr="00246AE4">
        <w:rPr>
          <w:color w:val="000000"/>
          <w:lang w:eastAsia="fr-FR" w:bidi="fr-FR"/>
        </w:rPr>
        <w:t>vailleurs locaux. Aucun savant ne nous a donné jusqu’ici, sur ces in</w:t>
      </w:r>
      <w:r w:rsidRPr="00246AE4">
        <w:rPr>
          <w:color w:val="000000"/>
          <w:lang w:eastAsia="fr-FR" w:bidi="fr-FR"/>
        </w:rPr>
        <w:t>s</w:t>
      </w:r>
      <w:r w:rsidRPr="00246AE4">
        <w:rPr>
          <w:color w:val="000000"/>
          <w:lang w:eastAsia="fr-FR" w:bidi="fr-FR"/>
        </w:rPr>
        <w:t>titutions, de manuel comparable aux innombrables précis qui rega</w:t>
      </w:r>
      <w:r w:rsidRPr="00246AE4">
        <w:rPr>
          <w:color w:val="000000"/>
          <w:lang w:eastAsia="fr-FR" w:bidi="fr-FR"/>
        </w:rPr>
        <w:t>r</w:t>
      </w:r>
      <w:r w:rsidRPr="00246AE4">
        <w:rPr>
          <w:color w:val="000000"/>
          <w:lang w:eastAsia="fr-FR" w:bidi="fr-FR"/>
        </w:rPr>
        <w:t xml:space="preserve">dent l’Antiquité classique, ou au livre de M. Luchaire sur le Moyen </w:t>
      </w:r>
      <w:r>
        <w:rPr>
          <w:color w:val="000000"/>
          <w:lang w:eastAsia="fr-FR" w:bidi="fr-FR"/>
        </w:rPr>
        <w:t>Â</w:t>
      </w:r>
      <w:r w:rsidRPr="00246AE4">
        <w:rPr>
          <w:color w:val="000000"/>
          <w:lang w:eastAsia="fr-FR" w:bidi="fr-FR"/>
        </w:rPr>
        <w:t>ge. Tant que cette lacune, la plus grave sans doute de notre littérat</w:t>
      </w:r>
      <w:r w:rsidRPr="00246AE4">
        <w:rPr>
          <w:color w:val="000000"/>
          <w:lang w:eastAsia="fr-FR" w:bidi="fr-FR"/>
        </w:rPr>
        <w:t>u</w:t>
      </w:r>
      <w:r w:rsidRPr="00246AE4">
        <w:rPr>
          <w:color w:val="000000"/>
          <w:lang w:eastAsia="fr-FR" w:bidi="fr-FR"/>
        </w:rPr>
        <w:t>re historique, ne sera pas comblée, l’étude régionale de l’administration française, aux derniers siècles de la monarchie, d</w:t>
      </w:r>
      <w:r w:rsidRPr="00246AE4">
        <w:rPr>
          <w:color w:val="000000"/>
          <w:lang w:eastAsia="fr-FR" w:bidi="fr-FR"/>
        </w:rPr>
        <w:t>e</w:t>
      </w:r>
      <w:r w:rsidRPr="00246AE4">
        <w:rPr>
          <w:color w:val="000000"/>
          <w:lang w:eastAsia="fr-FR" w:bidi="fr-FR"/>
        </w:rPr>
        <w:t>meurera vraisemblablement un terrain à peu près inexploré. Provisoire par essence, un traité d’ensemble est indispensable aux études de d</w:t>
      </w:r>
      <w:r w:rsidRPr="00246AE4">
        <w:rPr>
          <w:color w:val="000000"/>
          <w:lang w:eastAsia="fr-FR" w:bidi="fr-FR"/>
        </w:rPr>
        <w:t>é</w:t>
      </w:r>
      <w:r w:rsidRPr="00246AE4">
        <w:rPr>
          <w:color w:val="000000"/>
          <w:lang w:eastAsia="fr-FR" w:bidi="fr-FR"/>
        </w:rPr>
        <w:t>tail, qui le rendront caduc.</w:t>
      </w:r>
    </w:p>
    <w:p w14:paraId="258F2111" w14:textId="77777777" w:rsidR="00B9662D" w:rsidRPr="00246AE4" w:rsidRDefault="00B9662D" w:rsidP="00B9662D">
      <w:pPr>
        <w:spacing w:before="120" w:after="120"/>
        <w:jc w:val="both"/>
      </w:pPr>
      <w:r w:rsidRPr="00246AE4">
        <w:rPr>
          <w:color w:val="000000"/>
          <w:lang w:eastAsia="fr-FR" w:bidi="fr-FR"/>
        </w:rPr>
        <w:t>En 1787, le gouvernement royal provoqua une sorte de consult</w:t>
      </w:r>
      <w:r w:rsidRPr="00246AE4">
        <w:rPr>
          <w:color w:val="000000"/>
          <w:lang w:eastAsia="fr-FR" w:bidi="fr-FR"/>
        </w:rPr>
        <w:t>a</w:t>
      </w:r>
      <w:r w:rsidRPr="00246AE4">
        <w:rPr>
          <w:color w:val="000000"/>
          <w:lang w:eastAsia="fr-FR" w:bidi="fr-FR"/>
        </w:rPr>
        <w:t>tion nationale, qui, organisée, sans doute, afin de rendre inutile la convocation des États Généraux, n’en fut, en réalité, que le prélude. Assemblées paroissiales, de districts, provinciales se réunirent dans l’</w:t>
      </w:r>
      <w:r>
        <w:rPr>
          <w:color w:val="000000"/>
          <w:lang w:eastAsia="fr-FR" w:bidi="fr-FR"/>
        </w:rPr>
        <w:t>Île-de-France</w:t>
      </w:r>
      <w:r w:rsidRPr="00246AE4">
        <w:rPr>
          <w:color w:val="000000"/>
          <w:lang w:eastAsia="fr-FR" w:bidi="fr-FR"/>
        </w:rPr>
        <w:t>, comme dans le reste du royaume. Il importe de connaître leur fonctionnement, leur œuvre, leurs efforts. En elles s’annonce la Révolution. Les assemblées paroissiales de la généralité d’Orléans, l’assemblée provinciale de Melun (c’est-à-dire de la gén</w:t>
      </w:r>
      <w:r w:rsidRPr="00246AE4">
        <w:rPr>
          <w:color w:val="000000"/>
          <w:lang w:eastAsia="fr-FR" w:bidi="fr-FR"/>
        </w:rPr>
        <w:t>é</w:t>
      </w:r>
      <w:r w:rsidRPr="00246AE4">
        <w:rPr>
          <w:color w:val="000000"/>
          <w:lang w:eastAsia="fr-FR" w:bidi="fr-FR"/>
        </w:rPr>
        <w:t>ralité de Paris), l’assemblée provinciale d’Orléans ont été étudiées par MM. Camille Bloch</w:t>
      </w:r>
      <w:r>
        <w:rPr>
          <w:color w:val="000000"/>
          <w:lang w:eastAsia="fr-FR" w:bidi="fr-FR"/>
        </w:rPr>
        <w:t> </w:t>
      </w:r>
      <w:r>
        <w:rPr>
          <w:rStyle w:val="Appelnotedebasdep"/>
        </w:rPr>
        <w:footnoteReference w:id="685"/>
      </w:r>
      <w:r w:rsidRPr="00246AE4">
        <w:rPr>
          <w:color w:val="000000"/>
          <w:lang w:eastAsia="fr-FR" w:bidi="fr-FR"/>
        </w:rPr>
        <w:t>, Aubergé</w:t>
      </w:r>
      <w:r>
        <w:rPr>
          <w:color w:val="000000"/>
          <w:lang w:eastAsia="fr-FR" w:bidi="fr-FR"/>
        </w:rPr>
        <w:t> </w:t>
      </w:r>
      <w:r>
        <w:rPr>
          <w:rStyle w:val="Appelnotedebasdep"/>
        </w:rPr>
        <w:footnoteReference w:id="686"/>
      </w:r>
      <w:r w:rsidRPr="00246AE4">
        <w:rPr>
          <w:color w:val="000000"/>
          <w:lang w:eastAsia="fr-FR" w:bidi="fr-FR"/>
        </w:rPr>
        <w:t>, Fernand Bournon</w:t>
      </w:r>
      <w:r>
        <w:rPr>
          <w:color w:val="000000"/>
          <w:lang w:eastAsia="fr-FR" w:bidi="fr-FR"/>
        </w:rPr>
        <w:t> </w:t>
      </w:r>
      <w:r>
        <w:rPr>
          <w:rStyle w:val="Appelnotedebasdep"/>
        </w:rPr>
        <w:footnoteReference w:id="687"/>
      </w:r>
      <w:r w:rsidRPr="00246AE4">
        <w:rPr>
          <w:color w:val="000000"/>
          <w:lang w:eastAsia="fr-FR" w:bidi="fr-FR"/>
        </w:rPr>
        <w:t xml:space="preserve"> et Henry Fr</w:t>
      </w:r>
      <w:r w:rsidRPr="00246AE4">
        <w:rPr>
          <w:color w:val="000000"/>
          <w:lang w:eastAsia="fr-FR" w:bidi="fr-FR"/>
        </w:rPr>
        <w:t>o</w:t>
      </w:r>
      <w:r w:rsidRPr="00246AE4">
        <w:rPr>
          <w:color w:val="000000"/>
          <w:lang w:eastAsia="fr-FR" w:bidi="fr-FR"/>
        </w:rPr>
        <w:t>mont</w:t>
      </w:r>
      <w:r>
        <w:rPr>
          <w:color w:val="000000"/>
          <w:lang w:eastAsia="fr-FR" w:bidi="fr-FR"/>
        </w:rPr>
        <w:t> </w:t>
      </w:r>
      <w:r>
        <w:rPr>
          <w:rStyle w:val="Appelnotedebasdep"/>
        </w:rPr>
        <w:footnoteReference w:id="688"/>
      </w:r>
      <w:r w:rsidRPr="00246AE4">
        <w:rPr>
          <w:color w:val="000000"/>
          <w:lang w:eastAsia="fr-FR" w:bidi="fr-FR"/>
        </w:rPr>
        <w:t>.</w:t>
      </w:r>
    </w:p>
    <w:p w14:paraId="7EF44CE8" w14:textId="77777777" w:rsidR="00B9662D" w:rsidRPr="00246AE4" w:rsidRDefault="00B9662D" w:rsidP="00B9662D">
      <w:pPr>
        <w:spacing w:before="120" w:after="120"/>
        <w:jc w:val="both"/>
      </w:pPr>
      <w:r w:rsidRPr="00246AE4">
        <w:rPr>
          <w:color w:val="000000"/>
          <w:lang w:eastAsia="fr-FR" w:bidi="fr-FR"/>
        </w:rPr>
        <w:lastRenderedPageBreak/>
        <w:t>Puis, ce fut la grande consultation populaire de 1789, dont les c</w:t>
      </w:r>
      <w:r w:rsidRPr="00246AE4">
        <w:rPr>
          <w:color w:val="000000"/>
          <w:lang w:eastAsia="fr-FR" w:bidi="fr-FR"/>
        </w:rPr>
        <w:t>a</w:t>
      </w:r>
      <w:r w:rsidRPr="00246AE4">
        <w:rPr>
          <w:color w:val="000000"/>
          <w:lang w:eastAsia="fr-FR" w:bidi="fr-FR"/>
        </w:rPr>
        <w:t>hiers de doléances forment le procès-verbal</w:t>
      </w:r>
      <w:r>
        <w:rPr>
          <w:color w:val="000000"/>
          <w:lang w:eastAsia="fr-FR" w:bidi="fr-FR"/>
        </w:rPr>
        <w:t> </w:t>
      </w:r>
      <w:r>
        <w:rPr>
          <w:rStyle w:val="Appelnotedebasdep"/>
        </w:rPr>
        <w:footnoteReference w:id="689"/>
      </w:r>
      <w:r w:rsidRPr="00246AE4">
        <w:rPr>
          <w:color w:val="000000"/>
          <w:lang w:eastAsia="fr-FR" w:bidi="fr-FR"/>
        </w:rPr>
        <w:t>. Quelques-uns des c</w:t>
      </w:r>
      <w:r w:rsidRPr="00246AE4">
        <w:rPr>
          <w:color w:val="000000"/>
          <w:lang w:eastAsia="fr-FR" w:bidi="fr-FR"/>
        </w:rPr>
        <w:t>a</w:t>
      </w:r>
      <w:r w:rsidRPr="00246AE4">
        <w:rPr>
          <w:color w:val="000000"/>
          <w:lang w:eastAsia="fr-FR" w:bidi="fr-FR"/>
        </w:rPr>
        <w:t>hiers de l’</w:t>
      </w:r>
      <w:r>
        <w:rPr>
          <w:color w:val="000000"/>
          <w:lang w:eastAsia="fr-FR" w:bidi="fr-FR"/>
        </w:rPr>
        <w:t>Île-de-France</w:t>
      </w:r>
      <w:r w:rsidRPr="00246AE4">
        <w:rPr>
          <w:color w:val="000000"/>
          <w:lang w:eastAsia="fr-FR" w:bidi="fr-FR"/>
        </w:rPr>
        <w:t xml:space="preserve"> se sont perdus ; d’autres, qui subsistent, d</w:t>
      </w:r>
      <w:r w:rsidRPr="00246AE4">
        <w:rPr>
          <w:color w:val="000000"/>
          <w:lang w:eastAsia="fr-FR" w:bidi="fr-FR"/>
        </w:rPr>
        <w:t>e</w:t>
      </w:r>
      <w:r w:rsidRPr="00246AE4">
        <w:rPr>
          <w:color w:val="000000"/>
          <w:lang w:eastAsia="fr-FR" w:bidi="fr-FR"/>
        </w:rPr>
        <w:t>meurent inédits ; d’autres encore, qui ont été imprimés, sont imparfa</w:t>
      </w:r>
      <w:r w:rsidRPr="00246AE4">
        <w:rPr>
          <w:color w:val="000000"/>
          <w:lang w:eastAsia="fr-FR" w:bidi="fr-FR"/>
        </w:rPr>
        <w:t>i</w:t>
      </w:r>
      <w:r w:rsidRPr="00246AE4">
        <w:rPr>
          <w:color w:val="000000"/>
          <w:lang w:eastAsia="fr-FR" w:bidi="fr-FR"/>
        </w:rPr>
        <w:t xml:space="preserve">tement publiés ; tels les cahiers de la prévôté et vicomté de Paris-hors-les-murs, dont la plupart ne peuvent se lire qu’aux tomes IV et V des </w:t>
      </w:r>
      <w:r w:rsidRPr="00246AE4">
        <w:t>Archives Parlementaires,</w:t>
      </w:r>
      <w:r w:rsidRPr="00246AE4">
        <w:rPr>
          <w:color w:val="000000"/>
          <w:lang w:eastAsia="fr-FR" w:bidi="fr-FR"/>
        </w:rPr>
        <w:t xml:space="preserve"> compilation justement décriée</w:t>
      </w:r>
      <w:r>
        <w:rPr>
          <w:color w:val="000000"/>
          <w:lang w:eastAsia="fr-FR" w:bidi="fr-FR"/>
        </w:rPr>
        <w:t> </w:t>
      </w:r>
      <w:r>
        <w:rPr>
          <w:rStyle w:val="Appelnotedebasdep"/>
        </w:rPr>
        <w:footnoteReference w:id="690"/>
      </w:r>
      <w:r w:rsidRPr="00246AE4">
        <w:rPr>
          <w:color w:val="000000"/>
          <w:lang w:eastAsia="fr-FR" w:bidi="fr-FR"/>
        </w:rPr>
        <w:t>. En reva</w:t>
      </w:r>
      <w:r w:rsidRPr="00246AE4">
        <w:rPr>
          <w:color w:val="000000"/>
          <w:lang w:eastAsia="fr-FR" w:bidi="fr-FR"/>
        </w:rPr>
        <w:t>n</w:t>
      </w:r>
      <w:r w:rsidRPr="00246AE4">
        <w:rPr>
          <w:color w:val="000000"/>
          <w:lang w:eastAsia="fr-FR" w:bidi="fr-FR"/>
        </w:rPr>
        <w:t>che, nous</w:t>
      </w:r>
      <w:r>
        <w:t xml:space="preserve"> </w:t>
      </w:r>
      <w:r w:rsidRPr="00246AE4">
        <w:rPr>
          <w:color w:val="000000"/>
          <w:lang w:eastAsia="fr-FR" w:bidi="fr-FR"/>
        </w:rPr>
        <w:t>777</w:t>
      </w:r>
      <w:r>
        <w:rPr>
          <w:color w:val="000000"/>
          <w:lang w:eastAsia="fr-FR" w:bidi="fr-FR"/>
        </w:rPr>
        <w:t xml:space="preserve"> </w:t>
      </w:r>
      <w:r w:rsidRPr="00246AE4">
        <w:rPr>
          <w:color w:val="000000"/>
          <w:lang w:eastAsia="fr-FR" w:bidi="fr-FR"/>
        </w:rPr>
        <w:t>possédons des éditions excellentes des cahiers des bai</w:t>
      </w:r>
      <w:r w:rsidRPr="00246AE4">
        <w:rPr>
          <w:color w:val="000000"/>
          <w:lang w:eastAsia="fr-FR" w:bidi="fr-FR"/>
        </w:rPr>
        <w:t>l</w:t>
      </w:r>
      <w:r w:rsidRPr="00246AE4">
        <w:rPr>
          <w:color w:val="000000"/>
          <w:lang w:eastAsia="fr-FR" w:bidi="fr-FR"/>
        </w:rPr>
        <w:t>liages de Versailles, Meudon</w:t>
      </w:r>
      <w:r>
        <w:rPr>
          <w:color w:val="000000"/>
          <w:lang w:eastAsia="fr-FR" w:bidi="fr-FR"/>
        </w:rPr>
        <w:t> </w:t>
      </w:r>
      <w:r>
        <w:rPr>
          <w:rStyle w:val="Appelnotedebasdep"/>
        </w:rPr>
        <w:footnoteReference w:id="691"/>
      </w:r>
      <w:r w:rsidRPr="00246AE4">
        <w:rPr>
          <w:color w:val="000000"/>
          <w:lang w:eastAsia="fr-FR" w:bidi="fr-FR"/>
        </w:rPr>
        <w:t>, Étampes</w:t>
      </w:r>
      <w:r>
        <w:rPr>
          <w:color w:val="000000"/>
          <w:lang w:eastAsia="fr-FR" w:bidi="fr-FR"/>
        </w:rPr>
        <w:t> </w:t>
      </w:r>
      <w:r>
        <w:rPr>
          <w:rStyle w:val="Appelnotedebasdep"/>
        </w:rPr>
        <w:footnoteReference w:id="692"/>
      </w:r>
      <w:r w:rsidRPr="00246AE4">
        <w:rPr>
          <w:color w:val="000000"/>
          <w:lang w:eastAsia="fr-FR" w:bidi="fr-FR"/>
        </w:rPr>
        <w:t>, Montfort-l’Amaury</w:t>
      </w:r>
      <w:r>
        <w:rPr>
          <w:color w:val="000000"/>
          <w:lang w:eastAsia="fr-FR" w:bidi="fr-FR"/>
        </w:rPr>
        <w:t> </w:t>
      </w:r>
      <w:r>
        <w:rPr>
          <w:rStyle w:val="Appelnotedebasdep"/>
        </w:rPr>
        <w:footnoteReference w:id="693"/>
      </w:r>
      <w:r w:rsidRPr="00246AE4">
        <w:rPr>
          <w:color w:val="000000"/>
          <w:lang w:eastAsia="fr-FR" w:bidi="fr-FR"/>
        </w:rPr>
        <w:t>, O</w:t>
      </w:r>
      <w:r w:rsidRPr="00246AE4">
        <w:rPr>
          <w:color w:val="000000"/>
          <w:lang w:eastAsia="fr-FR" w:bidi="fr-FR"/>
        </w:rPr>
        <w:t>r</w:t>
      </w:r>
      <w:r w:rsidRPr="00246AE4">
        <w:rPr>
          <w:color w:val="000000"/>
          <w:lang w:eastAsia="fr-FR" w:bidi="fr-FR"/>
        </w:rPr>
        <w:t>léans</w:t>
      </w:r>
      <w:r>
        <w:rPr>
          <w:color w:val="000000"/>
          <w:lang w:eastAsia="fr-FR" w:bidi="fr-FR"/>
        </w:rPr>
        <w:t> </w:t>
      </w:r>
      <w:r>
        <w:rPr>
          <w:rStyle w:val="Appelnotedebasdep"/>
        </w:rPr>
        <w:footnoteReference w:id="694"/>
      </w:r>
      <w:r w:rsidRPr="00246AE4">
        <w:rPr>
          <w:color w:val="000000"/>
          <w:lang w:eastAsia="fr-FR" w:bidi="fr-FR"/>
        </w:rPr>
        <w:t xml:space="preserve"> et Pontoise</w:t>
      </w:r>
      <w:r>
        <w:rPr>
          <w:color w:val="000000"/>
          <w:lang w:eastAsia="fr-FR" w:bidi="fr-FR"/>
        </w:rPr>
        <w:t> </w:t>
      </w:r>
      <w:r>
        <w:rPr>
          <w:rStyle w:val="Appelnotedebasdep"/>
        </w:rPr>
        <w:footnoteReference w:id="695"/>
      </w:r>
      <w:r w:rsidRPr="00246AE4">
        <w:rPr>
          <w:color w:val="000000"/>
          <w:lang w:eastAsia="fr-FR" w:bidi="fr-FR"/>
        </w:rPr>
        <w:t xml:space="preserve">. Ce n’est pas tout que </w:t>
      </w:r>
      <w:r w:rsidRPr="00246AE4">
        <w:rPr>
          <w:color w:val="000000"/>
          <w:lang w:eastAsia="fr-FR" w:bidi="fr-FR"/>
        </w:rPr>
        <w:lastRenderedPageBreak/>
        <w:t>d’imprimer les cahiers ; avant de les utiliser, il faut en faire la critique, déterminer les circon</w:t>
      </w:r>
      <w:r w:rsidRPr="00246AE4">
        <w:rPr>
          <w:color w:val="000000"/>
          <w:lang w:eastAsia="fr-FR" w:bidi="fr-FR"/>
        </w:rPr>
        <w:t>s</w:t>
      </w:r>
      <w:r w:rsidRPr="00246AE4">
        <w:rPr>
          <w:color w:val="000000"/>
          <w:lang w:eastAsia="fr-FR" w:bidi="fr-FR"/>
        </w:rPr>
        <w:t>tances de leur rédaction, établir les filiations. M. Adalbert Wahl a examiné, de ce point de vue, les cahiers paroissiaux de Paris-hors-les-murs. Son m</w:t>
      </w:r>
      <w:r w:rsidRPr="00246AE4">
        <w:rPr>
          <w:color w:val="000000"/>
          <w:lang w:eastAsia="fr-FR" w:bidi="fr-FR"/>
        </w:rPr>
        <w:t>é</w:t>
      </w:r>
      <w:r w:rsidRPr="00246AE4">
        <w:rPr>
          <w:color w:val="000000"/>
          <w:lang w:eastAsia="fr-FR" w:bidi="fr-FR"/>
        </w:rPr>
        <w:t>moire, où on relèvera quelques indications utiles, est gâté par la fougueuse passion contre-révolutionnaire dont tous ses o</w:t>
      </w:r>
      <w:r w:rsidRPr="00246AE4">
        <w:rPr>
          <w:color w:val="000000"/>
          <w:lang w:eastAsia="fr-FR" w:bidi="fr-FR"/>
        </w:rPr>
        <w:t>u</w:t>
      </w:r>
      <w:r w:rsidRPr="00246AE4">
        <w:rPr>
          <w:color w:val="000000"/>
          <w:lang w:eastAsia="fr-FR" w:bidi="fr-FR"/>
        </w:rPr>
        <w:t>vrages sont animés</w:t>
      </w:r>
      <w:r>
        <w:rPr>
          <w:color w:val="000000"/>
          <w:lang w:eastAsia="fr-FR" w:bidi="fr-FR"/>
        </w:rPr>
        <w:t> </w:t>
      </w:r>
      <w:r>
        <w:rPr>
          <w:rStyle w:val="Appelnotedebasdep"/>
        </w:rPr>
        <w:footnoteReference w:id="696"/>
      </w:r>
      <w:r w:rsidRPr="00246AE4">
        <w:rPr>
          <w:color w:val="000000"/>
          <w:lang w:eastAsia="fr-FR" w:bidi="fr-FR"/>
        </w:rPr>
        <w:t>. Au contraire, les observations que MM. Legrand et Marquis et M. Camille Bloch ont réunies, dans les introductions à leurs éd</w:t>
      </w:r>
      <w:r w:rsidRPr="00246AE4">
        <w:rPr>
          <w:color w:val="000000"/>
          <w:lang w:eastAsia="fr-FR" w:bidi="fr-FR"/>
        </w:rPr>
        <w:t>i</w:t>
      </w:r>
      <w:r w:rsidRPr="00246AE4">
        <w:rPr>
          <w:color w:val="000000"/>
          <w:lang w:eastAsia="fr-FR" w:bidi="fr-FR"/>
        </w:rPr>
        <w:t>tions des cahiers d’Étampes et d’Orléans, sont extrêmement précie</w:t>
      </w:r>
      <w:r w:rsidRPr="00246AE4">
        <w:rPr>
          <w:color w:val="000000"/>
          <w:lang w:eastAsia="fr-FR" w:bidi="fr-FR"/>
        </w:rPr>
        <w:t>u</w:t>
      </w:r>
      <w:r w:rsidRPr="00246AE4">
        <w:rPr>
          <w:color w:val="000000"/>
          <w:lang w:eastAsia="fr-FR" w:bidi="fr-FR"/>
        </w:rPr>
        <w:t>ses.</w:t>
      </w:r>
    </w:p>
    <w:p w14:paraId="7D376846" w14:textId="77777777" w:rsidR="00B9662D" w:rsidRPr="00246AE4" w:rsidRDefault="00B9662D" w:rsidP="00B9662D">
      <w:pPr>
        <w:spacing w:before="120" w:after="120"/>
        <w:jc w:val="both"/>
      </w:pPr>
      <w:r w:rsidRPr="00246AE4">
        <w:rPr>
          <w:color w:val="000000"/>
          <w:lang w:eastAsia="fr-FR" w:bidi="fr-FR"/>
        </w:rPr>
        <w:t xml:space="preserve">Brisant les cadres administratifs de l’Ancien </w:t>
      </w:r>
      <w:r>
        <w:rPr>
          <w:color w:val="000000"/>
          <w:lang w:eastAsia="fr-FR" w:bidi="fr-FR"/>
        </w:rPr>
        <w:t>R</w:t>
      </w:r>
      <w:r w:rsidRPr="00246AE4">
        <w:rPr>
          <w:color w:val="000000"/>
          <w:lang w:eastAsia="fr-FR" w:bidi="fr-FR"/>
        </w:rPr>
        <w:t>égime, la Const</w:t>
      </w:r>
      <w:r w:rsidRPr="00246AE4">
        <w:rPr>
          <w:color w:val="000000"/>
          <w:lang w:eastAsia="fr-FR" w:bidi="fr-FR"/>
        </w:rPr>
        <w:t>i</w:t>
      </w:r>
      <w:r w:rsidRPr="00246AE4">
        <w:rPr>
          <w:color w:val="000000"/>
          <w:lang w:eastAsia="fr-FR" w:bidi="fr-FR"/>
        </w:rPr>
        <w:t>tuante créa les départements. Comment, selon quels principes, après quels compromis les limites de ces circonscriptions nouvelles furent-elles tracées, leurs chefs-lieux et les chefs-lieux des districts choisis ? Il n’est pas sans intérêt de le rechercher, encore que, dans le détail, l’histoire de la constitution des départements se confonde souvent avec l’histoire, assez insignifiante, d’aigres rivalités locales. M. Fe</w:t>
      </w:r>
      <w:r w:rsidRPr="00246AE4">
        <w:rPr>
          <w:color w:val="000000"/>
          <w:lang w:eastAsia="fr-FR" w:bidi="fr-FR"/>
        </w:rPr>
        <w:t>r</w:t>
      </w:r>
      <w:r w:rsidRPr="00246AE4">
        <w:rPr>
          <w:color w:val="000000"/>
          <w:lang w:eastAsia="fr-FR" w:bidi="fr-FR"/>
        </w:rPr>
        <w:t>nand Bournon a étudié la formation du département de Paris, devenu en 1795 le département de la Seine</w:t>
      </w:r>
      <w:r>
        <w:rPr>
          <w:color w:val="000000"/>
          <w:lang w:eastAsia="fr-FR" w:bidi="fr-FR"/>
        </w:rPr>
        <w:t> </w:t>
      </w:r>
      <w:r>
        <w:rPr>
          <w:rStyle w:val="Appelnotedebasdep"/>
        </w:rPr>
        <w:footnoteReference w:id="697"/>
      </w:r>
      <w:r w:rsidRPr="00246AE4">
        <w:rPr>
          <w:color w:val="000000"/>
          <w:lang w:eastAsia="fr-FR" w:bidi="fr-FR"/>
        </w:rPr>
        <w:t>, M. Lhuillier la formation de la Seine-et-Marne</w:t>
      </w:r>
      <w:r>
        <w:rPr>
          <w:color w:val="000000"/>
          <w:lang w:eastAsia="fr-FR" w:bidi="fr-FR"/>
        </w:rPr>
        <w:t> </w:t>
      </w:r>
      <w:r>
        <w:rPr>
          <w:rStyle w:val="Appelnotedebasdep"/>
        </w:rPr>
        <w:footnoteReference w:id="698"/>
      </w:r>
      <w:r w:rsidRPr="00246AE4">
        <w:rPr>
          <w:color w:val="000000"/>
          <w:lang w:eastAsia="fr-FR" w:bidi="fr-FR"/>
        </w:rPr>
        <w:t>.</w:t>
      </w:r>
    </w:p>
    <w:p w14:paraId="51A83958" w14:textId="77777777" w:rsidR="00B9662D" w:rsidRPr="00246AE4" w:rsidRDefault="00B9662D" w:rsidP="00B9662D">
      <w:pPr>
        <w:spacing w:before="120" w:after="120"/>
        <w:jc w:val="both"/>
      </w:pPr>
      <w:r w:rsidRPr="00246AE4">
        <w:rPr>
          <w:color w:val="000000"/>
          <w:lang w:eastAsia="fr-FR" w:bidi="fr-FR"/>
        </w:rPr>
        <w:t>Les scènes les plus frappantes du drame révolutionnaire eurent P</w:t>
      </w:r>
      <w:r w:rsidRPr="00246AE4">
        <w:rPr>
          <w:color w:val="000000"/>
          <w:lang w:eastAsia="fr-FR" w:bidi="fr-FR"/>
        </w:rPr>
        <w:t>a</w:t>
      </w:r>
      <w:r w:rsidRPr="00246AE4">
        <w:rPr>
          <w:color w:val="000000"/>
          <w:lang w:eastAsia="fr-FR" w:bidi="fr-FR"/>
        </w:rPr>
        <w:t>ris pour théâtre. Mais nous ne comprendrons la Révolution, et sa ma</w:t>
      </w:r>
      <w:r w:rsidRPr="00246AE4">
        <w:rPr>
          <w:color w:val="000000"/>
          <w:lang w:eastAsia="fr-FR" w:bidi="fr-FR"/>
        </w:rPr>
        <w:t>r</w:t>
      </w:r>
      <w:r w:rsidRPr="00246AE4">
        <w:rPr>
          <w:color w:val="000000"/>
          <w:lang w:eastAsia="fr-FR" w:bidi="fr-FR"/>
        </w:rPr>
        <w:t>che, qui parfois semble singulière, que le jour où nous connaîtrons avec une extrême précision les mouvements de l’opinion, dans les d</w:t>
      </w:r>
      <w:r w:rsidRPr="00246AE4">
        <w:rPr>
          <w:color w:val="000000"/>
          <w:lang w:eastAsia="fr-FR" w:bidi="fr-FR"/>
        </w:rPr>
        <w:t>é</w:t>
      </w:r>
      <w:r w:rsidRPr="00246AE4">
        <w:rPr>
          <w:color w:val="000000"/>
          <w:lang w:eastAsia="fr-FR" w:bidi="fr-FR"/>
        </w:rPr>
        <w:t>partements, l’action de Paris sur la province et de la province sur P</w:t>
      </w:r>
      <w:r w:rsidRPr="00246AE4">
        <w:rPr>
          <w:color w:val="000000"/>
          <w:lang w:eastAsia="fr-FR" w:bidi="fr-FR"/>
        </w:rPr>
        <w:t>a</w:t>
      </w:r>
      <w:r w:rsidRPr="00246AE4">
        <w:rPr>
          <w:color w:val="000000"/>
          <w:lang w:eastAsia="fr-FR" w:bidi="fr-FR"/>
        </w:rPr>
        <w:lastRenderedPageBreak/>
        <w:t>ris. Quelques monographies, d’une portée assez restreinte, ont préparé les matériaux à l’historien qui entreprendra de retracer les vicissitudes politiques de</w:t>
      </w:r>
      <w:r>
        <w:rPr>
          <w:color w:val="000000"/>
          <w:lang w:eastAsia="fr-FR" w:bidi="fr-FR"/>
        </w:rPr>
        <w:t xml:space="preserve"> </w:t>
      </w:r>
      <w:r>
        <w:rPr>
          <w:iCs/>
        </w:rPr>
        <w:t xml:space="preserve">[778] </w:t>
      </w:r>
      <w:r w:rsidRPr="00246AE4">
        <w:rPr>
          <w:color w:val="000000"/>
          <w:lang w:eastAsia="fr-FR" w:bidi="fr-FR"/>
        </w:rPr>
        <w:t>l’</w:t>
      </w:r>
      <w:r>
        <w:rPr>
          <w:color w:val="000000"/>
          <w:lang w:eastAsia="fr-FR" w:bidi="fr-FR"/>
        </w:rPr>
        <w:t>Île-de-France</w:t>
      </w:r>
      <w:r w:rsidRPr="00246AE4">
        <w:rPr>
          <w:color w:val="000000"/>
          <w:lang w:eastAsia="fr-FR" w:bidi="fr-FR"/>
        </w:rPr>
        <w:t>, au temps de la Révolution. Ce</w:t>
      </w:r>
      <w:r w:rsidRPr="00246AE4">
        <w:rPr>
          <w:color w:val="000000"/>
          <w:lang w:eastAsia="fr-FR" w:bidi="fr-FR"/>
        </w:rPr>
        <w:t>r</w:t>
      </w:r>
      <w:r w:rsidRPr="00246AE4">
        <w:rPr>
          <w:color w:val="000000"/>
          <w:lang w:eastAsia="fr-FR" w:bidi="fr-FR"/>
        </w:rPr>
        <w:t>tains registres m</w:t>
      </w:r>
      <w:r w:rsidRPr="00246AE4">
        <w:rPr>
          <w:color w:val="000000"/>
          <w:lang w:eastAsia="fr-FR" w:bidi="fr-FR"/>
        </w:rPr>
        <w:t>u</w:t>
      </w:r>
      <w:r w:rsidRPr="00246AE4">
        <w:rPr>
          <w:color w:val="000000"/>
          <w:lang w:eastAsia="fr-FR" w:bidi="fr-FR"/>
        </w:rPr>
        <w:t>nicipaux ont été publiés, ou analysés</w:t>
      </w:r>
      <w:r>
        <w:rPr>
          <w:color w:val="000000"/>
          <w:lang w:eastAsia="fr-FR" w:bidi="fr-FR"/>
        </w:rPr>
        <w:t> </w:t>
      </w:r>
      <w:r>
        <w:rPr>
          <w:rStyle w:val="Appelnotedebasdep"/>
        </w:rPr>
        <w:footnoteReference w:id="699"/>
      </w:r>
      <w:r w:rsidRPr="00246AE4">
        <w:rPr>
          <w:color w:val="000000"/>
          <w:lang w:eastAsia="fr-FR" w:bidi="fr-FR"/>
        </w:rPr>
        <w:t>. Les clubs de Melun</w:t>
      </w:r>
      <w:r>
        <w:rPr>
          <w:color w:val="000000"/>
          <w:lang w:eastAsia="fr-FR" w:bidi="fr-FR"/>
        </w:rPr>
        <w:t> </w:t>
      </w:r>
      <w:r>
        <w:rPr>
          <w:rStyle w:val="Appelnotedebasdep"/>
        </w:rPr>
        <w:footnoteReference w:id="700"/>
      </w:r>
      <w:r w:rsidRPr="00246AE4">
        <w:rPr>
          <w:color w:val="000000"/>
          <w:lang w:eastAsia="fr-FR" w:bidi="fr-FR"/>
        </w:rPr>
        <w:t xml:space="preserve"> et de Fontainebleau</w:t>
      </w:r>
      <w:r>
        <w:rPr>
          <w:color w:val="000000"/>
          <w:lang w:eastAsia="fr-FR" w:bidi="fr-FR"/>
        </w:rPr>
        <w:t> </w:t>
      </w:r>
      <w:r>
        <w:rPr>
          <w:rStyle w:val="Appelnotedebasdep"/>
        </w:rPr>
        <w:footnoteReference w:id="701"/>
      </w:r>
      <w:r w:rsidRPr="00246AE4">
        <w:rPr>
          <w:color w:val="000000"/>
          <w:lang w:eastAsia="fr-FR" w:bidi="fr-FR"/>
        </w:rPr>
        <w:t>, le comité de surveillance de Melun</w:t>
      </w:r>
      <w:r>
        <w:rPr>
          <w:color w:val="000000"/>
          <w:lang w:eastAsia="fr-FR" w:bidi="fr-FR"/>
        </w:rPr>
        <w:t> </w:t>
      </w:r>
      <w:r>
        <w:rPr>
          <w:rStyle w:val="Appelnotedebasdep"/>
        </w:rPr>
        <w:footnoteReference w:id="702"/>
      </w:r>
      <w:r w:rsidRPr="00246AE4">
        <w:rPr>
          <w:color w:val="000000"/>
          <w:lang w:eastAsia="fr-FR" w:bidi="fr-FR"/>
        </w:rPr>
        <w:t xml:space="preserve"> ont fourni le thème de travaux utiles. On a composé des histoires de Versailles</w:t>
      </w:r>
      <w:r>
        <w:rPr>
          <w:color w:val="000000"/>
          <w:lang w:eastAsia="fr-FR" w:bidi="fr-FR"/>
        </w:rPr>
        <w:t> </w:t>
      </w:r>
      <w:r>
        <w:rPr>
          <w:rStyle w:val="Appelnotedebasdep"/>
        </w:rPr>
        <w:footnoteReference w:id="703"/>
      </w:r>
      <w:r w:rsidRPr="00246AE4">
        <w:rPr>
          <w:color w:val="000000"/>
          <w:lang w:eastAsia="fr-FR" w:bidi="fr-FR"/>
        </w:rPr>
        <w:t>, Meulan</w:t>
      </w:r>
      <w:r>
        <w:rPr>
          <w:color w:val="000000"/>
          <w:lang w:eastAsia="fr-FR" w:bidi="fr-FR"/>
        </w:rPr>
        <w:t> </w:t>
      </w:r>
      <w:r>
        <w:rPr>
          <w:rStyle w:val="Appelnotedebasdep"/>
        </w:rPr>
        <w:footnoteReference w:id="704"/>
      </w:r>
      <w:r w:rsidRPr="00246AE4">
        <w:rPr>
          <w:color w:val="000000"/>
          <w:lang w:eastAsia="fr-FR" w:bidi="fr-FR"/>
        </w:rPr>
        <w:t>, Longjumeau</w:t>
      </w:r>
      <w:r>
        <w:rPr>
          <w:color w:val="000000"/>
          <w:lang w:eastAsia="fr-FR" w:bidi="fr-FR"/>
        </w:rPr>
        <w:t> </w:t>
      </w:r>
      <w:r>
        <w:rPr>
          <w:rStyle w:val="Appelnotedebasdep"/>
        </w:rPr>
        <w:footnoteReference w:id="705"/>
      </w:r>
      <w:r w:rsidRPr="002255D9">
        <w:rPr>
          <w:color w:val="000000"/>
          <w:lang w:eastAsia="fr-FR" w:bidi="fr-FR"/>
        </w:rPr>
        <w:t>,</w:t>
      </w:r>
      <w:r>
        <w:rPr>
          <w:color w:val="000000"/>
          <w:lang w:eastAsia="fr-FR" w:bidi="fr-FR"/>
        </w:rPr>
        <w:t xml:space="preserve"> Villiers-</w:t>
      </w:r>
      <w:r w:rsidRPr="00246AE4">
        <w:rPr>
          <w:color w:val="000000"/>
          <w:lang w:eastAsia="fr-FR" w:bidi="fr-FR"/>
        </w:rPr>
        <w:t>le-Bel</w:t>
      </w:r>
      <w:r>
        <w:rPr>
          <w:color w:val="000000"/>
          <w:lang w:eastAsia="fr-FR" w:bidi="fr-FR"/>
        </w:rPr>
        <w:t> </w:t>
      </w:r>
      <w:r>
        <w:rPr>
          <w:rStyle w:val="Appelnotedebasdep"/>
        </w:rPr>
        <w:footnoteReference w:id="706"/>
      </w:r>
      <w:r w:rsidRPr="00246AE4">
        <w:rPr>
          <w:color w:val="000000"/>
          <w:lang w:eastAsia="fr-FR" w:bidi="fr-FR"/>
        </w:rPr>
        <w:t xml:space="preserve"> pendant la p</w:t>
      </w:r>
      <w:r w:rsidRPr="00246AE4">
        <w:rPr>
          <w:color w:val="000000"/>
          <w:lang w:eastAsia="fr-FR" w:bidi="fr-FR"/>
        </w:rPr>
        <w:t>é</w:t>
      </w:r>
      <w:r w:rsidRPr="00246AE4">
        <w:rPr>
          <w:color w:val="000000"/>
          <w:lang w:eastAsia="fr-FR" w:bidi="fr-FR"/>
        </w:rPr>
        <w:t xml:space="preserve">riode révolutionnaire. M. Tambour a étudié </w:t>
      </w:r>
      <w:r w:rsidRPr="00246AE4">
        <w:rPr>
          <w:color w:val="000000"/>
          <w:lang w:eastAsia="fr-FR" w:bidi="fr-FR"/>
        </w:rPr>
        <w:lastRenderedPageBreak/>
        <w:t>l’administration départ</w:t>
      </w:r>
      <w:r w:rsidRPr="00246AE4">
        <w:rPr>
          <w:color w:val="000000"/>
          <w:lang w:eastAsia="fr-FR" w:bidi="fr-FR"/>
        </w:rPr>
        <w:t>e</w:t>
      </w:r>
      <w:r w:rsidRPr="00246AE4">
        <w:rPr>
          <w:color w:val="000000"/>
          <w:lang w:eastAsia="fr-FR" w:bidi="fr-FR"/>
        </w:rPr>
        <w:t>mentale de la Seine-et-Oise</w:t>
      </w:r>
      <w:r>
        <w:rPr>
          <w:color w:val="000000"/>
          <w:lang w:eastAsia="fr-FR" w:bidi="fr-FR"/>
        </w:rPr>
        <w:t> </w:t>
      </w:r>
      <w:r>
        <w:rPr>
          <w:rStyle w:val="Appelnotedebasdep"/>
        </w:rPr>
        <w:footnoteReference w:id="707"/>
      </w:r>
      <w:r>
        <w:rPr>
          <w:color w:val="000000"/>
          <w:lang w:eastAsia="fr-FR" w:bidi="fr-FR"/>
        </w:rPr>
        <w:t>. M </w:t>
      </w:r>
      <w:r w:rsidRPr="00246AE4">
        <w:rPr>
          <w:color w:val="000000"/>
          <w:lang w:eastAsia="fr-FR" w:bidi="fr-FR"/>
        </w:rPr>
        <w:t>Lhuillier (dans un livre médiocre), l’œuvre des conventionnels en</w:t>
      </w:r>
      <w:r>
        <w:rPr>
          <w:color w:val="000000"/>
          <w:lang w:eastAsia="fr-FR" w:bidi="fr-FR"/>
        </w:rPr>
        <w:t>voyés en mission dans la Seine-</w:t>
      </w:r>
      <w:r w:rsidRPr="00246AE4">
        <w:rPr>
          <w:color w:val="000000"/>
          <w:lang w:eastAsia="fr-FR" w:bidi="fr-FR"/>
        </w:rPr>
        <w:t>et-Marne</w:t>
      </w:r>
      <w:r>
        <w:rPr>
          <w:color w:val="000000"/>
          <w:lang w:eastAsia="fr-FR" w:bidi="fr-FR"/>
        </w:rPr>
        <w:t> </w:t>
      </w:r>
      <w:r>
        <w:rPr>
          <w:rStyle w:val="Appelnotedebasdep"/>
        </w:rPr>
        <w:footnoteReference w:id="708"/>
      </w:r>
      <w:r w:rsidRPr="00246AE4">
        <w:rPr>
          <w:color w:val="000000"/>
          <w:lang w:eastAsia="fr-FR" w:bidi="fr-FR"/>
        </w:rPr>
        <w:t>. Les émeutes que provoquèrent soit la question féodale, soit la cherté des vivres, ont donné matière à quelques articles</w:t>
      </w:r>
      <w:r>
        <w:rPr>
          <w:color w:val="000000"/>
          <w:lang w:eastAsia="fr-FR" w:bidi="fr-FR"/>
        </w:rPr>
        <w:t> </w:t>
      </w:r>
      <w:r>
        <w:rPr>
          <w:rStyle w:val="Appelnotedebasdep"/>
        </w:rPr>
        <w:footnoteReference w:id="709"/>
      </w:r>
      <w:r w:rsidRPr="00246AE4">
        <w:rPr>
          <w:color w:val="000000"/>
          <w:lang w:eastAsia="fr-FR" w:bidi="fr-FR"/>
        </w:rPr>
        <w:t>. Sur l’insécurité des campagnes, on pourra consulter, mais avec prudence, le petit livre où M. Coudray-Maunier a conté les épouvantables e</w:t>
      </w:r>
      <w:r w:rsidRPr="00246AE4">
        <w:rPr>
          <w:color w:val="000000"/>
          <w:lang w:eastAsia="fr-FR" w:bidi="fr-FR"/>
        </w:rPr>
        <w:t>x</w:t>
      </w:r>
      <w:r w:rsidRPr="00246AE4">
        <w:rPr>
          <w:color w:val="000000"/>
          <w:lang w:eastAsia="fr-FR" w:bidi="fr-FR"/>
        </w:rPr>
        <w:t>ploits des chau</w:t>
      </w:r>
      <w:r w:rsidRPr="00246AE4">
        <w:rPr>
          <w:color w:val="000000"/>
          <w:lang w:eastAsia="fr-FR" w:bidi="fr-FR"/>
        </w:rPr>
        <w:t>f</w:t>
      </w:r>
      <w:r w:rsidRPr="00246AE4">
        <w:rPr>
          <w:color w:val="000000"/>
          <w:lang w:eastAsia="fr-FR" w:bidi="fr-FR"/>
        </w:rPr>
        <w:t>feurs d’Orgères</w:t>
      </w:r>
      <w:r>
        <w:rPr>
          <w:color w:val="000000"/>
          <w:lang w:eastAsia="fr-FR" w:bidi="fr-FR"/>
        </w:rPr>
        <w:t> </w:t>
      </w:r>
      <w:r>
        <w:rPr>
          <w:rStyle w:val="Appelnotedebasdep"/>
        </w:rPr>
        <w:footnoteReference w:id="710"/>
      </w:r>
      <w:r w:rsidRPr="00246AE4">
        <w:rPr>
          <w:color w:val="000000"/>
          <w:lang w:eastAsia="fr-FR" w:bidi="fr-FR"/>
        </w:rPr>
        <w:t>. Les élections et les plébiscites, non plus que la lutte religieuse, n’ont été l’objet d’aucune recherche a</w:t>
      </w:r>
      <w:r w:rsidRPr="00246AE4">
        <w:rPr>
          <w:color w:val="000000"/>
          <w:lang w:eastAsia="fr-FR" w:bidi="fr-FR"/>
        </w:rPr>
        <w:t>p</w:t>
      </w:r>
      <w:r w:rsidRPr="00246AE4">
        <w:rPr>
          <w:color w:val="000000"/>
          <w:lang w:eastAsia="fr-FR" w:bidi="fr-FR"/>
        </w:rPr>
        <w:t>profondie. En so</w:t>
      </w:r>
      <w:r w:rsidRPr="00246AE4">
        <w:rPr>
          <w:color w:val="000000"/>
          <w:lang w:eastAsia="fr-FR" w:bidi="fr-FR"/>
        </w:rPr>
        <w:t>m</w:t>
      </w:r>
      <w:r w:rsidRPr="00246AE4">
        <w:rPr>
          <w:color w:val="000000"/>
          <w:lang w:eastAsia="fr-FR" w:bidi="fr-FR"/>
        </w:rPr>
        <w:t>me, aucun des grands problèmes que soulève l’histoire de la Révol</w:t>
      </w:r>
      <w:r w:rsidRPr="00246AE4">
        <w:rPr>
          <w:color w:val="000000"/>
          <w:lang w:eastAsia="fr-FR" w:bidi="fr-FR"/>
        </w:rPr>
        <w:t>u</w:t>
      </w:r>
      <w:r w:rsidRPr="00246AE4">
        <w:rPr>
          <w:color w:val="000000"/>
          <w:lang w:eastAsia="fr-FR" w:bidi="fr-FR"/>
        </w:rPr>
        <w:t>tion en province n’a été abordé de front, dans l’</w:t>
      </w:r>
      <w:r>
        <w:rPr>
          <w:color w:val="000000"/>
          <w:lang w:eastAsia="fr-FR" w:bidi="fr-FR"/>
        </w:rPr>
        <w:t>Île-de-France</w:t>
      </w:r>
      <w:r w:rsidRPr="00246AE4">
        <w:rPr>
          <w:color w:val="000000"/>
          <w:lang w:eastAsia="fr-FR" w:bidi="fr-FR"/>
        </w:rPr>
        <w:t>, ni traité avec quelque étendue. Des événements ma</w:t>
      </w:r>
      <w:r w:rsidRPr="00246AE4">
        <w:rPr>
          <w:color w:val="000000"/>
          <w:lang w:eastAsia="fr-FR" w:bidi="fr-FR"/>
        </w:rPr>
        <w:t>r</w:t>
      </w:r>
      <w:r w:rsidRPr="00246AE4">
        <w:rPr>
          <w:color w:val="000000"/>
          <w:lang w:eastAsia="fr-FR" w:bidi="fr-FR"/>
        </w:rPr>
        <w:t>quants de l’époque révol</w:t>
      </w:r>
      <w:r w:rsidRPr="00246AE4">
        <w:rPr>
          <w:color w:val="000000"/>
          <w:lang w:eastAsia="fr-FR" w:bidi="fr-FR"/>
        </w:rPr>
        <w:t>u</w:t>
      </w:r>
      <w:r w:rsidRPr="00246AE4">
        <w:rPr>
          <w:color w:val="000000"/>
          <w:lang w:eastAsia="fr-FR" w:bidi="fr-FR"/>
        </w:rPr>
        <w:t>tionnaire</w:t>
      </w:r>
      <w:r>
        <w:rPr>
          <w:color w:val="000000"/>
          <w:lang w:eastAsia="fr-FR" w:bidi="fr-FR"/>
        </w:rPr>
        <w:t> — </w:t>
      </w:r>
      <w:r w:rsidRPr="00246AE4">
        <w:rPr>
          <w:color w:val="000000"/>
          <w:lang w:eastAsia="fr-FR" w:bidi="fr-FR"/>
        </w:rPr>
        <w:t>prise de la Bastille, fuite du roi, émeute du 10 août, ma</w:t>
      </w:r>
      <w:r w:rsidRPr="00246AE4">
        <w:rPr>
          <w:color w:val="000000"/>
          <w:lang w:eastAsia="fr-FR" w:bidi="fr-FR"/>
        </w:rPr>
        <w:t>s</w:t>
      </w:r>
      <w:r w:rsidRPr="00246AE4">
        <w:rPr>
          <w:color w:val="000000"/>
          <w:lang w:eastAsia="fr-FR" w:bidi="fr-FR"/>
        </w:rPr>
        <w:t>sacres de septembre, procès du roi, tragédies de la période conve</w:t>
      </w:r>
      <w:r w:rsidRPr="00246AE4">
        <w:rPr>
          <w:color w:val="000000"/>
          <w:lang w:eastAsia="fr-FR" w:bidi="fr-FR"/>
        </w:rPr>
        <w:t>n</w:t>
      </w:r>
      <w:r w:rsidRPr="00246AE4">
        <w:rPr>
          <w:color w:val="000000"/>
          <w:lang w:eastAsia="fr-FR" w:bidi="fr-FR"/>
        </w:rPr>
        <w:t>tionnelle, coups d’État de la période directoriale, dix-huit br</w:t>
      </w:r>
      <w:r w:rsidRPr="00246AE4">
        <w:rPr>
          <w:color w:val="000000"/>
          <w:lang w:eastAsia="fr-FR" w:bidi="fr-FR"/>
        </w:rPr>
        <w:t>u</w:t>
      </w:r>
      <w:r w:rsidRPr="00246AE4">
        <w:rPr>
          <w:color w:val="000000"/>
          <w:lang w:eastAsia="fr-FR" w:bidi="fr-FR"/>
        </w:rPr>
        <w:t>maire</w:t>
      </w:r>
      <w:r>
        <w:rPr>
          <w:color w:val="000000"/>
          <w:lang w:eastAsia="fr-FR" w:bidi="fr-FR"/>
        </w:rPr>
        <w:t> — </w:t>
      </w:r>
      <w:r w:rsidRPr="00246AE4">
        <w:rPr>
          <w:color w:val="000000"/>
          <w:lang w:eastAsia="fr-FR" w:bidi="fr-FR"/>
        </w:rPr>
        <w:t>qu’ont su les campagnes et les petites villes ? comment les accueill</w:t>
      </w:r>
      <w:r w:rsidRPr="00246AE4">
        <w:rPr>
          <w:color w:val="000000"/>
          <w:lang w:eastAsia="fr-FR" w:bidi="fr-FR"/>
        </w:rPr>
        <w:t>i</w:t>
      </w:r>
      <w:r>
        <w:rPr>
          <w:color w:val="000000"/>
          <w:lang w:eastAsia="fr-FR" w:bidi="fr-FR"/>
        </w:rPr>
        <w:t>rent-elles ? que furent dans l’Î</w:t>
      </w:r>
      <w:r w:rsidRPr="00246AE4">
        <w:rPr>
          <w:color w:val="000000"/>
          <w:lang w:eastAsia="fr-FR" w:bidi="fr-FR"/>
        </w:rPr>
        <w:t>le-de-France</w:t>
      </w:r>
      <w:r>
        <w:t xml:space="preserve"> [779]</w:t>
      </w:r>
      <w:r w:rsidRPr="00246AE4">
        <w:rPr>
          <w:color w:val="000000"/>
          <w:lang w:eastAsia="fr-FR" w:bidi="fr-FR"/>
        </w:rPr>
        <w:t xml:space="preserve"> la grande peur, la levée en niasse, la déchristianis</w:t>
      </w:r>
      <w:r w:rsidRPr="00246AE4">
        <w:rPr>
          <w:color w:val="000000"/>
          <w:lang w:eastAsia="fr-FR" w:bidi="fr-FR"/>
        </w:rPr>
        <w:t>a</w:t>
      </w:r>
      <w:r w:rsidRPr="00246AE4">
        <w:rPr>
          <w:color w:val="000000"/>
          <w:lang w:eastAsia="fr-FR" w:bidi="fr-FR"/>
        </w:rPr>
        <w:t>tion, la Terreur, la réaction thermidorienne ? Quels nobles émigrèrent et lesquels deme</w:t>
      </w:r>
      <w:r w:rsidRPr="00246AE4">
        <w:rPr>
          <w:color w:val="000000"/>
          <w:lang w:eastAsia="fr-FR" w:bidi="fr-FR"/>
        </w:rPr>
        <w:t>u</w:t>
      </w:r>
      <w:r w:rsidRPr="00246AE4">
        <w:rPr>
          <w:color w:val="000000"/>
          <w:lang w:eastAsia="fr-FR" w:bidi="fr-FR"/>
        </w:rPr>
        <w:t>rèrent ? Quelle part les diverses classes sociales pr</w:t>
      </w:r>
      <w:r w:rsidRPr="00246AE4">
        <w:rPr>
          <w:color w:val="000000"/>
          <w:lang w:eastAsia="fr-FR" w:bidi="fr-FR"/>
        </w:rPr>
        <w:t>i</w:t>
      </w:r>
      <w:r w:rsidRPr="00246AE4">
        <w:rPr>
          <w:color w:val="000000"/>
          <w:lang w:eastAsia="fr-FR" w:bidi="fr-FR"/>
        </w:rPr>
        <w:t xml:space="preserve">rent-elles à l’œuvre révolutionnaire, dans ses différentes phases, ou à la contre-révolution ? Autant de questions auxquelles les érudits que </w:t>
      </w:r>
      <w:r>
        <w:rPr>
          <w:color w:val="000000"/>
          <w:lang w:eastAsia="fr-FR" w:bidi="fr-FR"/>
        </w:rPr>
        <w:t>préocc</w:t>
      </w:r>
      <w:r>
        <w:rPr>
          <w:color w:val="000000"/>
          <w:lang w:eastAsia="fr-FR" w:bidi="fr-FR"/>
        </w:rPr>
        <w:t>u</w:t>
      </w:r>
      <w:r>
        <w:rPr>
          <w:color w:val="000000"/>
          <w:lang w:eastAsia="fr-FR" w:bidi="fr-FR"/>
        </w:rPr>
        <w:t>pent les destinées de l’Î</w:t>
      </w:r>
      <w:r w:rsidRPr="00246AE4">
        <w:rPr>
          <w:color w:val="000000"/>
          <w:lang w:eastAsia="fr-FR" w:bidi="fr-FR"/>
        </w:rPr>
        <w:t>le-de-France sous la Révolution r</w:t>
      </w:r>
      <w:r w:rsidRPr="00246AE4">
        <w:rPr>
          <w:color w:val="000000"/>
          <w:lang w:eastAsia="fr-FR" w:bidi="fr-FR"/>
        </w:rPr>
        <w:t>é</w:t>
      </w:r>
      <w:r w:rsidRPr="00246AE4">
        <w:rPr>
          <w:color w:val="000000"/>
          <w:lang w:eastAsia="fr-FR" w:bidi="fr-FR"/>
        </w:rPr>
        <w:t>pondront, un jour, à condition de ne point se restreindre trop étroit</w:t>
      </w:r>
      <w:r w:rsidRPr="00246AE4">
        <w:rPr>
          <w:color w:val="000000"/>
          <w:lang w:eastAsia="fr-FR" w:bidi="fr-FR"/>
        </w:rPr>
        <w:t>e</w:t>
      </w:r>
      <w:r w:rsidRPr="00246AE4">
        <w:rPr>
          <w:color w:val="000000"/>
          <w:lang w:eastAsia="fr-FR" w:bidi="fr-FR"/>
        </w:rPr>
        <w:t xml:space="preserve">ment à l’étude d’une seule ville ou d’un seul village, de donner de </w:t>
      </w:r>
      <w:r w:rsidRPr="00246AE4">
        <w:rPr>
          <w:color w:val="000000"/>
          <w:lang w:eastAsia="fr-FR" w:bidi="fr-FR"/>
        </w:rPr>
        <w:lastRenderedPageBreak/>
        <w:t>l’ampleur à leurs travaux et de considérer dans les épisodes de l’histoire révolutionnaire moins leur intérêt anecdotique ou propr</w:t>
      </w:r>
      <w:r w:rsidRPr="00246AE4">
        <w:rPr>
          <w:color w:val="000000"/>
          <w:lang w:eastAsia="fr-FR" w:bidi="fr-FR"/>
        </w:rPr>
        <w:t>e</w:t>
      </w:r>
      <w:r w:rsidRPr="00246AE4">
        <w:rPr>
          <w:color w:val="000000"/>
          <w:lang w:eastAsia="fr-FR" w:bidi="fr-FR"/>
        </w:rPr>
        <w:t>ment local que leur portée nationale.</w:t>
      </w:r>
    </w:p>
    <w:p w14:paraId="3DACBECF" w14:textId="77777777" w:rsidR="00B9662D" w:rsidRPr="00246AE4" w:rsidRDefault="00B9662D" w:rsidP="00B9662D">
      <w:pPr>
        <w:spacing w:before="120" w:after="120"/>
        <w:jc w:val="both"/>
      </w:pPr>
      <w:r w:rsidRPr="00246AE4">
        <w:rPr>
          <w:color w:val="000000"/>
          <w:lang w:eastAsia="fr-FR" w:bidi="fr-FR"/>
        </w:rPr>
        <w:t xml:space="preserve">L’histoire politique du </w:t>
      </w:r>
      <w:r w:rsidRPr="002255D9">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a été négligée par les érudits de l’</w:t>
      </w:r>
      <w:r>
        <w:rPr>
          <w:color w:val="000000"/>
          <w:lang w:eastAsia="fr-FR" w:bidi="fr-FR"/>
        </w:rPr>
        <w:t>Île-de-France</w:t>
      </w:r>
      <w:r w:rsidRPr="00246AE4">
        <w:rPr>
          <w:color w:val="000000"/>
          <w:lang w:eastAsia="fr-FR" w:bidi="fr-FR"/>
        </w:rPr>
        <w:t>. Des livres sur l’œuvre administrative des conseils g</w:t>
      </w:r>
      <w:r w:rsidRPr="00246AE4">
        <w:rPr>
          <w:color w:val="000000"/>
          <w:lang w:eastAsia="fr-FR" w:bidi="fr-FR"/>
        </w:rPr>
        <w:t>é</w:t>
      </w:r>
      <w:r w:rsidRPr="00246AE4">
        <w:rPr>
          <w:color w:val="000000"/>
          <w:lang w:eastAsia="fr-FR" w:bidi="fr-FR"/>
        </w:rPr>
        <w:t>néraux de la Seine</w:t>
      </w:r>
      <w:r>
        <w:rPr>
          <w:color w:val="000000"/>
          <w:lang w:eastAsia="fr-FR" w:bidi="fr-FR"/>
        </w:rPr>
        <w:t> </w:t>
      </w:r>
      <w:r>
        <w:rPr>
          <w:rStyle w:val="Appelnotedebasdep"/>
        </w:rPr>
        <w:footnoteReference w:id="711"/>
      </w:r>
      <w:r w:rsidRPr="00246AE4">
        <w:rPr>
          <w:color w:val="000000"/>
          <w:lang w:eastAsia="fr-FR" w:bidi="fr-FR"/>
        </w:rPr>
        <w:t xml:space="preserve"> et de la Seine-et-Marne</w:t>
      </w:r>
      <w:r>
        <w:rPr>
          <w:color w:val="000000"/>
          <w:lang w:eastAsia="fr-FR" w:bidi="fr-FR"/>
        </w:rPr>
        <w:t> </w:t>
      </w:r>
      <w:r>
        <w:rPr>
          <w:rStyle w:val="Appelnotedebasdep"/>
        </w:rPr>
        <w:footnoteReference w:id="712"/>
      </w:r>
      <w:r w:rsidRPr="00246AE4">
        <w:rPr>
          <w:color w:val="000000"/>
          <w:lang w:eastAsia="fr-FR" w:bidi="fr-FR"/>
        </w:rPr>
        <w:t xml:space="preserve">, un article sur </w:t>
      </w:r>
      <w:r w:rsidRPr="00C05BD4">
        <w:rPr>
          <w:i/>
        </w:rPr>
        <w:t>Les éle</w:t>
      </w:r>
      <w:r w:rsidRPr="00C05BD4">
        <w:rPr>
          <w:i/>
        </w:rPr>
        <w:t>c</w:t>
      </w:r>
      <w:r w:rsidRPr="00C05BD4">
        <w:rPr>
          <w:i/>
        </w:rPr>
        <w:t>tions à la Constituante de 1848</w:t>
      </w:r>
      <w:r w:rsidRPr="00246AE4">
        <w:rPr>
          <w:color w:val="000000"/>
          <w:lang w:eastAsia="fr-FR" w:bidi="fr-FR"/>
        </w:rPr>
        <w:t xml:space="preserve">, </w:t>
      </w:r>
      <w:r w:rsidRPr="008A1DE8">
        <w:rPr>
          <w:i/>
        </w:rPr>
        <w:t>dans le Loiret </w:t>
      </w:r>
      <w:r>
        <w:rPr>
          <w:rStyle w:val="Appelnotedebasdep"/>
        </w:rPr>
        <w:footnoteReference w:id="713"/>
      </w:r>
      <w:r w:rsidRPr="00246AE4">
        <w:rPr>
          <w:color w:val="000000"/>
          <w:lang w:eastAsia="fr-FR" w:bidi="fr-FR"/>
        </w:rPr>
        <w:t xml:space="preserve">, voilà, sans doute, tout ce qui vaut la peine d’être cité sur ce point. La presse locale n’a pas été étudiée. Somme toute, nous ne savons rien de ce que furent, dans notre région, les mouvements de l’esprit public depuis le </w:t>
      </w:r>
      <w:r>
        <w:rPr>
          <w:color w:val="000000"/>
          <w:lang w:eastAsia="fr-FR" w:bidi="fr-FR"/>
        </w:rPr>
        <w:t>P</w:t>
      </w:r>
      <w:r w:rsidRPr="00246AE4">
        <w:rPr>
          <w:color w:val="000000"/>
          <w:lang w:eastAsia="fr-FR" w:bidi="fr-FR"/>
        </w:rPr>
        <w:t>remier Empire.</w:t>
      </w:r>
    </w:p>
    <w:p w14:paraId="2720DCDF" w14:textId="77777777" w:rsidR="00B9662D" w:rsidRPr="00246AE4" w:rsidRDefault="00B9662D" w:rsidP="00B9662D">
      <w:pPr>
        <w:spacing w:before="120" w:after="120"/>
        <w:jc w:val="both"/>
      </w:pPr>
      <w:r w:rsidRPr="00246AE4">
        <w:rPr>
          <w:color w:val="000000"/>
          <w:lang w:eastAsia="fr-FR" w:bidi="fr-FR"/>
        </w:rPr>
        <w:t>Nous sommes mal renseignés sur l’histoire intellectuelle de l’</w:t>
      </w:r>
      <w:r>
        <w:rPr>
          <w:color w:val="000000"/>
          <w:lang w:eastAsia="fr-FR" w:bidi="fr-FR"/>
        </w:rPr>
        <w:t>Île-de-</w:t>
      </w:r>
      <w:r w:rsidRPr="00246AE4">
        <w:rPr>
          <w:color w:val="000000"/>
          <w:lang w:eastAsia="fr-FR" w:bidi="fr-FR"/>
        </w:rPr>
        <w:t>France, aux époques moderne et contemporaine. Les imprimeries de Meaux</w:t>
      </w:r>
      <w:r>
        <w:rPr>
          <w:color w:val="000000"/>
          <w:lang w:eastAsia="fr-FR" w:bidi="fr-FR"/>
        </w:rPr>
        <w:t> </w:t>
      </w:r>
      <w:r>
        <w:rPr>
          <w:rStyle w:val="Appelnotedebasdep"/>
        </w:rPr>
        <w:footnoteReference w:id="714"/>
      </w:r>
      <w:r w:rsidRPr="00246AE4">
        <w:rPr>
          <w:color w:val="000000"/>
          <w:lang w:eastAsia="fr-FR" w:bidi="fr-FR"/>
        </w:rPr>
        <w:t>, Melun</w:t>
      </w:r>
      <w:r>
        <w:rPr>
          <w:color w:val="000000"/>
          <w:lang w:eastAsia="fr-FR" w:bidi="fr-FR"/>
        </w:rPr>
        <w:t> </w:t>
      </w:r>
      <w:r>
        <w:rPr>
          <w:rStyle w:val="Appelnotedebasdep"/>
        </w:rPr>
        <w:footnoteReference w:id="715"/>
      </w:r>
      <w:r>
        <w:rPr>
          <w:color w:val="000000"/>
          <w:lang w:eastAsia="fr-FR" w:bidi="fr-FR"/>
        </w:rPr>
        <w:t>,</w:t>
      </w:r>
      <w:r w:rsidRPr="00246AE4">
        <w:rPr>
          <w:color w:val="000000"/>
          <w:lang w:eastAsia="fr-FR" w:bidi="fr-FR"/>
        </w:rPr>
        <w:t xml:space="preserve"> Étampes</w:t>
      </w:r>
      <w:r>
        <w:rPr>
          <w:color w:val="000000"/>
          <w:lang w:eastAsia="fr-FR" w:bidi="fr-FR"/>
        </w:rPr>
        <w:t> </w:t>
      </w:r>
      <w:r>
        <w:rPr>
          <w:rStyle w:val="Appelnotedebasdep"/>
        </w:rPr>
        <w:footnoteReference w:id="716"/>
      </w:r>
      <w:r w:rsidRPr="00246AE4">
        <w:rPr>
          <w:color w:val="000000"/>
          <w:lang w:eastAsia="fr-FR" w:bidi="fr-FR"/>
        </w:rPr>
        <w:t>, Châteaudun</w:t>
      </w:r>
      <w:r>
        <w:rPr>
          <w:color w:val="000000"/>
          <w:lang w:eastAsia="fr-FR" w:bidi="fr-FR"/>
        </w:rPr>
        <w:t> </w:t>
      </w:r>
      <w:r>
        <w:rPr>
          <w:rStyle w:val="Appelnotedebasdep"/>
        </w:rPr>
        <w:footnoteReference w:id="717"/>
      </w:r>
      <w:r w:rsidRPr="00246AE4">
        <w:rPr>
          <w:color w:val="000000"/>
          <w:lang w:eastAsia="fr-FR" w:bidi="fr-FR"/>
        </w:rPr>
        <w:t>, ont occupé quelques chercheurs. Les érudits ne se sont guère intéressés aux sociétés de beaux-esprits qui, sans doute, eurent leurs assises dans nos villes, aux théâtres de ces villes, aux modes littéraires locales. Nous possédons peu d’études notables sur l’enseignement public</w:t>
      </w:r>
      <w:r>
        <w:rPr>
          <w:color w:val="000000"/>
          <w:lang w:eastAsia="fr-FR" w:bidi="fr-FR"/>
        </w:rPr>
        <w:t> </w:t>
      </w:r>
      <w:r>
        <w:rPr>
          <w:rStyle w:val="Appelnotedebasdep"/>
        </w:rPr>
        <w:footnoteReference w:id="718"/>
      </w:r>
      <w:r w:rsidRPr="00246AE4">
        <w:rPr>
          <w:color w:val="000000"/>
          <w:lang w:eastAsia="fr-FR" w:bidi="fr-FR"/>
        </w:rPr>
        <w:t xml:space="preserve">. Sur </w:t>
      </w:r>
      <w:r w:rsidRPr="00246AE4">
        <w:rPr>
          <w:color w:val="000000"/>
          <w:lang w:eastAsia="fr-FR" w:bidi="fr-FR"/>
        </w:rPr>
        <w:lastRenderedPageBreak/>
        <w:t>l’imagerie p</w:t>
      </w:r>
      <w:r w:rsidRPr="00246AE4">
        <w:rPr>
          <w:color w:val="000000"/>
          <w:lang w:eastAsia="fr-FR" w:bidi="fr-FR"/>
        </w:rPr>
        <w:t>o</w:t>
      </w:r>
      <w:r w:rsidRPr="00246AE4">
        <w:rPr>
          <w:color w:val="000000"/>
          <w:lang w:eastAsia="fr-FR" w:bidi="fr-FR"/>
        </w:rPr>
        <w:t>pulaire et les chansons, on peut lire un livre amusant, dû à M. J. M. Garnier</w:t>
      </w:r>
      <w:r>
        <w:rPr>
          <w:color w:val="000000"/>
          <w:lang w:eastAsia="fr-FR" w:bidi="fr-FR"/>
        </w:rPr>
        <w:t> </w:t>
      </w:r>
      <w:r>
        <w:rPr>
          <w:rStyle w:val="Appelnotedebasdep"/>
        </w:rPr>
        <w:footnoteReference w:id="719"/>
      </w:r>
      <w:r w:rsidRPr="00246AE4">
        <w:rPr>
          <w:color w:val="000000"/>
          <w:lang w:eastAsia="fr-FR" w:bidi="fr-FR"/>
        </w:rPr>
        <w:t> ; sur les con</w:t>
      </w:r>
      <w:r>
        <w:rPr>
          <w:color w:val="000000"/>
          <w:lang w:eastAsia="fr-FR" w:bidi="fr-FR"/>
        </w:rPr>
        <w:t>tes rustiques, un ouvrage de M. </w:t>
      </w:r>
      <w:r w:rsidRPr="00246AE4">
        <w:rPr>
          <w:color w:val="000000"/>
          <w:lang w:eastAsia="fr-FR" w:bidi="fr-FR"/>
        </w:rPr>
        <w:t>Chapiseau, consacré au folklore beauceron</w:t>
      </w:r>
      <w:r>
        <w:rPr>
          <w:color w:val="000000"/>
          <w:lang w:eastAsia="fr-FR" w:bidi="fr-FR"/>
        </w:rPr>
        <w:t> </w:t>
      </w:r>
      <w:r>
        <w:rPr>
          <w:rStyle w:val="Appelnotedebasdep"/>
        </w:rPr>
        <w:footnoteReference w:id="720"/>
      </w:r>
      <w:r w:rsidRPr="00246AE4">
        <w:rPr>
          <w:color w:val="000000"/>
          <w:lang w:eastAsia="fr-FR" w:bidi="fr-FR"/>
        </w:rPr>
        <w:t>.</w:t>
      </w:r>
    </w:p>
    <w:p w14:paraId="32C63067" w14:textId="77777777" w:rsidR="00B9662D" w:rsidRPr="00246AE4" w:rsidRDefault="00B9662D" w:rsidP="00B9662D">
      <w:pPr>
        <w:spacing w:before="120" w:after="120"/>
        <w:jc w:val="both"/>
      </w:pPr>
      <w:r>
        <w:t>[780]</w:t>
      </w:r>
    </w:p>
    <w:p w14:paraId="783BADA4" w14:textId="77777777" w:rsidR="00B9662D" w:rsidRPr="00246AE4" w:rsidRDefault="00B9662D" w:rsidP="00B9662D">
      <w:pPr>
        <w:spacing w:before="120" w:after="120"/>
        <w:jc w:val="both"/>
      </w:pPr>
      <w:r w:rsidRPr="00246AE4">
        <w:rPr>
          <w:color w:val="000000"/>
          <w:lang w:eastAsia="fr-FR" w:bidi="fr-FR"/>
        </w:rPr>
        <w:t>Les habitudes économiques des populations agricoles varient selon les lieux. Le sol, le climat, imposent, en des pays divers, des techn</w:t>
      </w:r>
      <w:r w:rsidRPr="00246AE4">
        <w:rPr>
          <w:color w:val="000000"/>
          <w:lang w:eastAsia="fr-FR" w:bidi="fr-FR"/>
        </w:rPr>
        <w:t>i</w:t>
      </w:r>
      <w:r w:rsidRPr="00246AE4">
        <w:rPr>
          <w:color w:val="000000"/>
          <w:lang w:eastAsia="fr-FR" w:bidi="fr-FR"/>
        </w:rPr>
        <w:t>ques diverses, dont les différences se traduisent à leur tour dans la constitution des groupes sociaux. Les paysans, qui n’aiment en gén</w:t>
      </w:r>
      <w:r w:rsidRPr="00246AE4">
        <w:rPr>
          <w:color w:val="000000"/>
          <w:lang w:eastAsia="fr-FR" w:bidi="fr-FR"/>
        </w:rPr>
        <w:t>é</w:t>
      </w:r>
      <w:r w:rsidRPr="00246AE4">
        <w:rPr>
          <w:color w:val="000000"/>
          <w:lang w:eastAsia="fr-FR" w:bidi="fr-FR"/>
        </w:rPr>
        <w:t>ral ni les mœurs nouvelles, ni les mœurs étrangères (et l’on rencontre bien vite la terre « étrangère », en quittant sa paroisse), se règlent en beaucoup de choses et surtout se réglaient d’après des usages trad</w:t>
      </w:r>
      <w:r w:rsidRPr="00246AE4">
        <w:rPr>
          <w:color w:val="000000"/>
          <w:lang w:eastAsia="fr-FR" w:bidi="fr-FR"/>
        </w:rPr>
        <w:t>i</w:t>
      </w:r>
      <w:r w:rsidRPr="00246AE4">
        <w:rPr>
          <w:color w:val="000000"/>
          <w:lang w:eastAsia="fr-FR" w:bidi="fr-FR"/>
        </w:rPr>
        <w:t>tionnels, propres à chaque région ou même à chaque village ; nos vieux textes parlent fréquemment de la « coustume du païs », « consuetudo patrie », comme disent les chartes latines. Le « pays », tel que l’entendent ces textes, c’est souvent le village. L’histoire rur</w:t>
      </w:r>
      <w:r w:rsidRPr="00246AE4">
        <w:rPr>
          <w:color w:val="000000"/>
          <w:lang w:eastAsia="fr-FR" w:bidi="fr-FR"/>
        </w:rPr>
        <w:t>a</w:t>
      </w:r>
      <w:r w:rsidRPr="00246AE4">
        <w:rPr>
          <w:color w:val="000000"/>
          <w:lang w:eastAsia="fr-FR" w:bidi="fr-FR"/>
        </w:rPr>
        <w:t>le, attachée par son objet même au sol changeant de nos contrées et à la société paysanne qui fut morcelée en une foule de petites sociétés très particularistes, tire des études locales plus de profit qu’aucune autre branche de l’histoire, et, à vrai dire, ne progresse guère que par elles.</w:t>
      </w:r>
    </w:p>
    <w:p w14:paraId="24815EB2" w14:textId="77777777" w:rsidR="00B9662D" w:rsidRPr="00246AE4" w:rsidRDefault="00B9662D" w:rsidP="00B9662D">
      <w:pPr>
        <w:spacing w:before="120" w:after="120"/>
        <w:jc w:val="both"/>
      </w:pPr>
      <w:r w:rsidRPr="00246AE4">
        <w:rPr>
          <w:color w:val="000000"/>
          <w:lang w:eastAsia="fr-FR" w:bidi="fr-FR"/>
        </w:rPr>
        <w:t>Lorsque nous cherchons à comparer les conditions économiques de deux groupes agricoles envisagés avant l’époque où le système mé</w:t>
      </w:r>
      <w:r w:rsidRPr="00246AE4">
        <w:rPr>
          <w:color w:val="000000"/>
          <w:lang w:eastAsia="fr-FR" w:bidi="fr-FR"/>
        </w:rPr>
        <w:lastRenderedPageBreak/>
        <w:t>tr</w:t>
      </w:r>
      <w:r w:rsidRPr="00246AE4">
        <w:rPr>
          <w:color w:val="000000"/>
          <w:lang w:eastAsia="fr-FR" w:bidi="fr-FR"/>
        </w:rPr>
        <w:t>i</w:t>
      </w:r>
      <w:r w:rsidRPr="00246AE4">
        <w:rPr>
          <w:color w:val="000000"/>
          <w:lang w:eastAsia="fr-FR" w:bidi="fr-FR"/>
        </w:rPr>
        <w:t>que conquit les campagnes (et l’on sait qu’aujourd’hui même, c’est à peine s’il y règne en maître), nous rencontrons un premier obstacle, parfois insurmontable. Chaque contrée, chaque village souvent avait ses propres mesures agraires, son arpent, son journal, sa sétérée ; et les mesures servant aux produits du sol variaient de même. Ajoutez que les unes comme les autres se modifièrent sans doute au cours des temps, si bien qu’il est extrêmement malaisé de comparer l’état de la propriété, dans un même village, à deux moments différents. Lorsque le système métrique fut établi, on rédigea, dans la plupart des dépa</w:t>
      </w:r>
      <w:r w:rsidRPr="00246AE4">
        <w:rPr>
          <w:color w:val="000000"/>
          <w:lang w:eastAsia="fr-FR" w:bidi="fr-FR"/>
        </w:rPr>
        <w:t>r</w:t>
      </w:r>
      <w:r w:rsidRPr="00246AE4">
        <w:rPr>
          <w:color w:val="000000"/>
          <w:lang w:eastAsia="fr-FR" w:bidi="fr-FR"/>
        </w:rPr>
        <w:t>tements, des tables de concordance entre les anciennes mesures loc</w:t>
      </w:r>
      <w:r w:rsidRPr="00246AE4">
        <w:rPr>
          <w:color w:val="000000"/>
          <w:lang w:eastAsia="fr-FR" w:bidi="fr-FR"/>
        </w:rPr>
        <w:t>a</w:t>
      </w:r>
      <w:r w:rsidRPr="00246AE4">
        <w:rPr>
          <w:color w:val="000000"/>
          <w:lang w:eastAsia="fr-FR" w:bidi="fr-FR"/>
        </w:rPr>
        <w:t>les et les nouvelles mesures nationales</w:t>
      </w:r>
      <w:r>
        <w:rPr>
          <w:color w:val="000000"/>
          <w:lang w:eastAsia="fr-FR" w:bidi="fr-FR"/>
        </w:rPr>
        <w:t> </w:t>
      </w:r>
      <w:r>
        <w:rPr>
          <w:rStyle w:val="Appelnotedebasdep"/>
        </w:rPr>
        <w:footnoteReference w:id="721"/>
      </w:r>
      <w:r w:rsidRPr="00246AE4">
        <w:rPr>
          <w:color w:val="000000"/>
          <w:lang w:eastAsia="fr-FR" w:bidi="fr-FR"/>
        </w:rPr>
        <w:t>. Les historiens les consult</w:t>
      </w:r>
      <w:r w:rsidRPr="00246AE4">
        <w:rPr>
          <w:color w:val="000000"/>
          <w:lang w:eastAsia="fr-FR" w:bidi="fr-FR"/>
        </w:rPr>
        <w:t>e</w:t>
      </w:r>
      <w:r w:rsidRPr="00246AE4">
        <w:rPr>
          <w:color w:val="000000"/>
          <w:lang w:eastAsia="fr-FR" w:bidi="fr-FR"/>
        </w:rPr>
        <w:t xml:space="preserve">ront avec fruit, ainsi que les tableaux analogues que renferment d’ordinaire les recueils d’Usages locaux, compilés au </w:t>
      </w:r>
      <w:r w:rsidRPr="002255D9">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 ils trouveront plus précieuses encore les recherches d’esprit proprement scientifiques, de M. Thoison sur les anciennes mesures du Gâtinais</w:t>
      </w:r>
      <w:r>
        <w:rPr>
          <w:color w:val="000000"/>
          <w:lang w:eastAsia="fr-FR" w:bidi="fr-FR"/>
        </w:rPr>
        <w:t> </w:t>
      </w:r>
      <w:r>
        <w:rPr>
          <w:rStyle w:val="Appelnotedebasdep"/>
        </w:rPr>
        <w:footnoteReference w:id="722"/>
      </w:r>
      <w:r w:rsidRPr="00246AE4">
        <w:rPr>
          <w:color w:val="000000"/>
          <w:lang w:eastAsia="fr-FR" w:bidi="fr-FR"/>
        </w:rPr>
        <w:t>, de M. Leroy sur celles de la Brie</w:t>
      </w:r>
      <w:r>
        <w:rPr>
          <w:color w:val="000000"/>
          <w:lang w:eastAsia="fr-FR" w:bidi="fr-FR"/>
        </w:rPr>
        <w:t> </w:t>
      </w:r>
      <w:r>
        <w:rPr>
          <w:rStyle w:val="Appelnotedebasdep"/>
        </w:rPr>
        <w:footnoteReference w:id="723"/>
      </w:r>
      <w:r w:rsidRPr="00246AE4">
        <w:rPr>
          <w:color w:val="000000"/>
          <w:lang w:eastAsia="fr-FR" w:bidi="fr-FR"/>
        </w:rPr>
        <w:t>. Ces travaux sur les mesures, qu’il faudrait multiplier, sont comme des dictionnaires, indispensables à qui veut déchiffrer la langue de l’h</w:t>
      </w:r>
      <w:r>
        <w:rPr>
          <w:color w:val="000000"/>
          <w:lang w:eastAsia="fr-FR" w:bidi="fr-FR"/>
        </w:rPr>
        <w:t>i</w:t>
      </w:r>
      <w:r w:rsidRPr="00246AE4">
        <w:rPr>
          <w:color w:val="000000"/>
          <w:lang w:eastAsia="fr-FR" w:bidi="fr-FR"/>
        </w:rPr>
        <w:t>stoire rurale ; il faut se résigner, vu l’état des documents, à ce que ces dictionnaires demeurent imparfaits et reconnaître, lorsqu’il s’agit d’un passé un peu ancien, l’inévitable incertitude des statistiques agraires.</w:t>
      </w:r>
    </w:p>
    <w:p w14:paraId="121A9EB8" w14:textId="77777777" w:rsidR="00B9662D" w:rsidRPr="00246AE4" w:rsidRDefault="00B9662D" w:rsidP="00B9662D">
      <w:pPr>
        <w:spacing w:before="120" w:after="120"/>
        <w:jc w:val="both"/>
      </w:pPr>
      <w:r w:rsidRPr="00246AE4">
        <w:rPr>
          <w:color w:val="000000"/>
          <w:lang w:eastAsia="fr-FR" w:bidi="fr-FR"/>
        </w:rPr>
        <w:t>L’importance des forêts dans la géographie rurale de l’</w:t>
      </w:r>
      <w:r>
        <w:rPr>
          <w:color w:val="000000"/>
          <w:lang w:eastAsia="fr-FR" w:bidi="fr-FR"/>
        </w:rPr>
        <w:t>Île-de-France</w:t>
      </w:r>
      <w:r w:rsidRPr="00246AE4">
        <w:rPr>
          <w:color w:val="000000"/>
          <w:lang w:eastAsia="fr-FR" w:bidi="fr-FR"/>
        </w:rPr>
        <w:t>, frappe tous les yeux ; et l’histoire des défrichements et des chasses a</w:t>
      </w:r>
      <w:r>
        <w:t xml:space="preserve"> [781] </w:t>
      </w:r>
      <w:r w:rsidRPr="00246AE4">
        <w:rPr>
          <w:color w:val="000000"/>
          <w:lang w:eastAsia="fr-FR" w:bidi="fr-FR"/>
        </w:rPr>
        <w:t>quelque chose de pittoresque qui semble attirer les chercheurs. Des études ont été consacrées à la plupart de nos fo</w:t>
      </w:r>
      <w:r w:rsidRPr="00246AE4">
        <w:rPr>
          <w:color w:val="000000"/>
          <w:lang w:eastAsia="fr-FR" w:bidi="fr-FR"/>
        </w:rPr>
        <w:lastRenderedPageBreak/>
        <w:t>rêts</w:t>
      </w:r>
      <w:r>
        <w:rPr>
          <w:color w:val="000000"/>
          <w:lang w:eastAsia="fr-FR" w:bidi="fr-FR"/>
        </w:rPr>
        <w:t> </w:t>
      </w:r>
      <w:r>
        <w:rPr>
          <w:rStyle w:val="Appelnotedebasdep"/>
        </w:rPr>
        <w:footnoteReference w:id="724"/>
      </w:r>
      <w:r w:rsidRPr="00246AE4">
        <w:rPr>
          <w:color w:val="000000"/>
          <w:lang w:eastAsia="fr-FR" w:bidi="fr-FR"/>
        </w:rPr>
        <w:t> : à la forêt d’Orléans</w:t>
      </w:r>
      <w:r>
        <w:rPr>
          <w:color w:val="000000"/>
          <w:lang w:eastAsia="fr-FR" w:bidi="fr-FR"/>
        </w:rPr>
        <w:t> </w:t>
      </w:r>
      <w:r>
        <w:rPr>
          <w:rStyle w:val="Appelnotedebasdep"/>
        </w:rPr>
        <w:footnoteReference w:id="725"/>
      </w:r>
      <w:r w:rsidRPr="00246AE4">
        <w:rPr>
          <w:color w:val="000000"/>
          <w:lang w:eastAsia="fr-FR" w:bidi="fr-FR"/>
        </w:rPr>
        <w:t>, à la forêt de Fontainebleau</w:t>
      </w:r>
      <w:r>
        <w:rPr>
          <w:color w:val="000000"/>
          <w:lang w:eastAsia="fr-FR" w:bidi="fr-FR"/>
        </w:rPr>
        <w:t> </w:t>
      </w:r>
      <w:r>
        <w:rPr>
          <w:rStyle w:val="Appelnotedebasdep"/>
        </w:rPr>
        <w:footnoteReference w:id="726"/>
      </w:r>
      <w:r w:rsidRPr="00246AE4">
        <w:rPr>
          <w:color w:val="000000"/>
          <w:lang w:eastAsia="fr-FR" w:bidi="fr-FR"/>
        </w:rPr>
        <w:t>, au bois de Ro</w:t>
      </w:r>
      <w:r w:rsidRPr="00246AE4">
        <w:rPr>
          <w:color w:val="000000"/>
          <w:lang w:eastAsia="fr-FR" w:bidi="fr-FR"/>
        </w:rPr>
        <w:t>u</w:t>
      </w:r>
      <w:r w:rsidRPr="00246AE4">
        <w:rPr>
          <w:color w:val="000000"/>
          <w:lang w:eastAsia="fr-FR" w:bidi="fr-FR"/>
        </w:rPr>
        <w:t>vray, devenu le bois de Boulogne</w:t>
      </w:r>
      <w:r>
        <w:rPr>
          <w:color w:val="000000"/>
          <w:lang w:eastAsia="fr-FR" w:bidi="fr-FR"/>
        </w:rPr>
        <w:t> </w:t>
      </w:r>
      <w:r>
        <w:rPr>
          <w:rStyle w:val="Appelnotedebasdep"/>
        </w:rPr>
        <w:footnoteReference w:id="727"/>
      </w:r>
      <w:r w:rsidRPr="00246AE4">
        <w:rPr>
          <w:color w:val="000000"/>
          <w:lang w:eastAsia="fr-FR" w:bidi="fr-FR"/>
        </w:rPr>
        <w:t>, à la forêt d’Artie en Vexin</w:t>
      </w:r>
      <w:r>
        <w:rPr>
          <w:color w:val="000000"/>
          <w:lang w:eastAsia="fr-FR" w:bidi="fr-FR"/>
        </w:rPr>
        <w:t> </w:t>
      </w:r>
      <w:r>
        <w:rPr>
          <w:rStyle w:val="Appelnotedebasdep"/>
        </w:rPr>
        <w:footnoteReference w:id="728"/>
      </w:r>
      <w:r w:rsidRPr="00246AE4">
        <w:rPr>
          <w:color w:val="000000"/>
          <w:lang w:eastAsia="fr-FR" w:bidi="fr-FR"/>
        </w:rPr>
        <w:t>, aux massifs boisés qui bornent le plateau de France au Nord</w:t>
      </w:r>
      <w:r>
        <w:rPr>
          <w:color w:val="000000"/>
          <w:lang w:eastAsia="fr-FR" w:bidi="fr-FR"/>
        </w:rPr>
        <w:t> </w:t>
      </w:r>
      <w:r>
        <w:rPr>
          <w:rStyle w:val="Appelnotedebasdep"/>
        </w:rPr>
        <w:footnoteReference w:id="729"/>
      </w:r>
      <w:r w:rsidRPr="00246AE4">
        <w:rPr>
          <w:color w:val="000000"/>
          <w:lang w:eastAsia="fr-FR" w:bidi="fr-FR"/>
        </w:rPr>
        <w:t xml:space="preserve"> et à l’Est</w:t>
      </w:r>
      <w:r>
        <w:rPr>
          <w:color w:val="000000"/>
          <w:lang w:eastAsia="fr-FR" w:bidi="fr-FR"/>
        </w:rPr>
        <w:t> </w:t>
      </w:r>
      <w:r>
        <w:rPr>
          <w:rStyle w:val="Appelnotedebasdep"/>
        </w:rPr>
        <w:footnoteReference w:id="730"/>
      </w:r>
      <w:r w:rsidRPr="00246AE4">
        <w:rPr>
          <w:color w:val="000000"/>
          <w:lang w:eastAsia="fr-FR" w:bidi="fr-FR"/>
        </w:rPr>
        <w:t>, et à cette forêt de « Maant » qui étendait jadis ses immenses halliers de la Marne au Grand Morin</w:t>
      </w:r>
      <w:r>
        <w:rPr>
          <w:color w:val="000000"/>
          <w:lang w:eastAsia="fr-FR" w:bidi="fr-FR"/>
        </w:rPr>
        <w:t> </w:t>
      </w:r>
      <w:r>
        <w:rPr>
          <w:rStyle w:val="Appelnotedebasdep"/>
        </w:rPr>
        <w:footnoteReference w:id="731"/>
      </w:r>
      <w:r w:rsidRPr="00246AE4">
        <w:rPr>
          <w:color w:val="000000"/>
          <w:lang w:eastAsia="fr-FR" w:bidi="fr-FR"/>
        </w:rPr>
        <w:t> ; bien diminuée aujourd’hui par les d</w:t>
      </w:r>
      <w:r w:rsidRPr="00246AE4">
        <w:rPr>
          <w:color w:val="000000"/>
          <w:lang w:eastAsia="fr-FR" w:bidi="fr-FR"/>
        </w:rPr>
        <w:t>é</w:t>
      </w:r>
      <w:r w:rsidRPr="00246AE4">
        <w:rPr>
          <w:color w:val="000000"/>
          <w:lang w:eastAsia="fr-FR" w:bidi="fr-FR"/>
        </w:rPr>
        <w:t xml:space="preserve">frichements, elle a perdu jusqu’à son vrai nom, </w:t>
      </w:r>
      <w:r w:rsidRPr="00246AE4">
        <w:rPr>
          <w:color w:val="000000"/>
          <w:lang w:eastAsia="fr-FR" w:bidi="fr-FR"/>
        </w:rPr>
        <w:lastRenderedPageBreak/>
        <w:t>que les trop fantaisi</w:t>
      </w:r>
      <w:r w:rsidRPr="00246AE4">
        <w:rPr>
          <w:color w:val="000000"/>
          <w:lang w:eastAsia="fr-FR" w:bidi="fr-FR"/>
        </w:rPr>
        <w:t>s</w:t>
      </w:r>
      <w:r w:rsidRPr="00246AE4">
        <w:rPr>
          <w:color w:val="000000"/>
          <w:lang w:eastAsia="fr-FR" w:bidi="fr-FR"/>
        </w:rPr>
        <w:t>tes cartographes, qu’emploie le Service géographique de l’Armée, ont changé en celui de « forêt du Mans ». L’Iveline n’a pas d’historien.</w:t>
      </w:r>
    </w:p>
    <w:p w14:paraId="2247BA55" w14:textId="77777777" w:rsidR="00B9662D" w:rsidRPr="00246AE4" w:rsidRDefault="00B9662D" w:rsidP="00B9662D">
      <w:pPr>
        <w:spacing w:before="120" w:after="120"/>
        <w:jc w:val="both"/>
      </w:pPr>
      <w:r w:rsidRPr="00246AE4">
        <w:rPr>
          <w:color w:val="000000"/>
          <w:lang w:eastAsia="fr-FR" w:bidi="fr-FR"/>
        </w:rPr>
        <w:t xml:space="preserve">Des recherches solides sur la technique agricole sont le fondement nécessaire de toute étude d’économie rurale. On trouvera sur ce point quelques indications utiles, touchant les </w:t>
      </w:r>
      <w:r>
        <w:rPr>
          <w:color w:val="000000"/>
          <w:lang w:eastAsia="fr-FR" w:bidi="fr-FR"/>
        </w:rPr>
        <w:t>XVII</w:t>
      </w:r>
      <w:r w:rsidRPr="00246AE4">
        <w:rPr>
          <w:color w:val="000000"/>
          <w:vertAlign w:val="superscript"/>
          <w:lang w:eastAsia="fr-FR" w:bidi="fr-FR"/>
        </w:rPr>
        <w:t>e</w:t>
      </w:r>
      <w:r w:rsidRPr="00246AE4">
        <w:rPr>
          <w:color w:val="000000"/>
          <w:lang w:eastAsia="fr-FR" w:bidi="fr-FR"/>
        </w:rPr>
        <w:t xml:space="preserve"> et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siècles, dans les </w:t>
      </w:r>
      <w:r w:rsidRPr="00A01347">
        <w:rPr>
          <w:i/>
        </w:rPr>
        <w:t>Recherches historiques sur l’agriculture de Seine-et-Marne</w:t>
      </w:r>
      <w:r>
        <w:rPr>
          <w:color w:val="000000"/>
          <w:lang w:eastAsia="fr-FR" w:bidi="fr-FR"/>
        </w:rPr>
        <w:t>, de M. </w:t>
      </w:r>
      <w:r w:rsidRPr="00246AE4">
        <w:rPr>
          <w:color w:val="000000"/>
          <w:lang w:eastAsia="fr-FR" w:bidi="fr-FR"/>
        </w:rPr>
        <w:t>Leroy</w:t>
      </w:r>
      <w:r>
        <w:rPr>
          <w:color w:val="000000"/>
          <w:lang w:eastAsia="fr-FR" w:bidi="fr-FR"/>
        </w:rPr>
        <w:t> </w:t>
      </w:r>
      <w:r>
        <w:rPr>
          <w:rStyle w:val="Appelnotedebasdep"/>
        </w:rPr>
        <w:footnoteReference w:id="732"/>
      </w:r>
      <w:r w:rsidRPr="00246AE4">
        <w:rPr>
          <w:color w:val="000000"/>
          <w:lang w:eastAsia="fr-FR" w:bidi="fr-FR"/>
        </w:rPr>
        <w:t xml:space="preserve">, dans les </w:t>
      </w:r>
      <w:r w:rsidRPr="00A01347">
        <w:rPr>
          <w:i/>
        </w:rPr>
        <w:t>Lectures sur l’histoire de l’agriculture dans le département de Seine-et-Marne</w:t>
      </w:r>
      <w:r w:rsidRPr="00246AE4">
        <w:t>,</w:t>
      </w:r>
      <w:r w:rsidRPr="00246AE4">
        <w:rPr>
          <w:color w:val="000000"/>
          <w:lang w:eastAsia="fr-FR" w:bidi="fr-FR"/>
        </w:rPr>
        <w:t xml:space="preserve"> de l’abbé Denis</w:t>
      </w:r>
      <w:r>
        <w:rPr>
          <w:color w:val="000000"/>
          <w:lang w:eastAsia="fr-FR" w:bidi="fr-FR"/>
        </w:rPr>
        <w:t> </w:t>
      </w:r>
      <w:r>
        <w:rPr>
          <w:rStyle w:val="Appelnotedebasdep"/>
        </w:rPr>
        <w:footnoteReference w:id="733"/>
      </w:r>
      <w:r w:rsidRPr="00246AE4">
        <w:rPr>
          <w:color w:val="000000"/>
          <w:lang w:eastAsia="fr-FR" w:bidi="fr-FR"/>
        </w:rPr>
        <w:t>. Mais la grande r</w:t>
      </w:r>
      <w:r w:rsidRPr="00246AE4">
        <w:rPr>
          <w:color w:val="000000"/>
          <w:lang w:eastAsia="fr-FR" w:bidi="fr-FR"/>
        </w:rPr>
        <w:t>é</w:t>
      </w:r>
      <w:r w:rsidRPr="00246AE4">
        <w:rPr>
          <w:color w:val="000000"/>
          <w:lang w:eastAsia="fr-FR" w:bidi="fr-FR"/>
        </w:rPr>
        <w:t xml:space="preserve">volution qui s’est faite, à partir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dans les procédés de la culture, par l’introduction des plantes industrielles et des fourr</w:t>
      </w:r>
      <w:r w:rsidRPr="00246AE4">
        <w:rPr>
          <w:color w:val="000000"/>
          <w:lang w:eastAsia="fr-FR" w:bidi="fr-FR"/>
        </w:rPr>
        <w:t>a</w:t>
      </w:r>
      <w:r w:rsidRPr="00246AE4">
        <w:rPr>
          <w:color w:val="000000"/>
          <w:lang w:eastAsia="fr-FR" w:bidi="fr-FR"/>
        </w:rPr>
        <w:t>ges, et par la suppression de la jachère morte n’a pas été examinée comme elle mériterait de l’être. Depuis les origines du labour, les hommes n’ont pas connu sans doute de changement plus profond dans la mise en valeur du sol, puisque, par lui, dans les pays qui prat</w:t>
      </w:r>
      <w:r w:rsidRPr="00246AE4">
        <w:rPr>
          <w:color w:val="000000"/>
          <w:lang w:eastAsia="fr-FR" w:bidi="fr-FR"/>
        </w:rPr>
        <w:t>i</w:t>
      </w:r>
      <w:r w:rsidRPr="00246AE4">
        <w:rPr>
          <w:color w:val="000000"/>
          <w:lang w:eastAsia="fr-FR" w:bidi="fr-FR"/>
        </w:rPr>
        <w:t>quaient le plus ordinairement l’assolement triennal (c’était le c</w:t>
      </w:r>
      <w:r>
        <w:rPr>
          <w:color w:val="000000"/>
          <w:lang w:eastAsia="fr-FR" w:bidi="fr-FR"/>
        </w:rPr>
        <w:t>as de l’Î</w:t>
      </w:r>
      <w:r w:rsidRPr="00246AE4">
        <w:rPr>
          <w:color w:val="000000"/>
          <w:lang w:eastAsia="fr-FR" w:bidi="fr-FR"/>
        </w:rPr>
        <w:t>le-de-France), le tiers de la surface cultivable se trouva libéré ch</w:t>
      </w:r>
      <w:r w:rsidRPr="00246AE4">
        <w:rPr>
          <w:color w:val="000000"/>
          <w:lang w:eastAsia="fr-FR" w:bidi="fr-FR"/>
        </w:rPr>
        <w:t>a</w:t>
      </w:r>
      <w:r w:rsidRPr="00246AE4">
        <w:rPr>
          <w:color w:val="000000"/>
          <w:lang w:eastAsia="fr-FR" w:bidi="fr-FR"/>
        </w:rPr>
        <w:t>que année de l’antique contrainte de stérilité. Changement assez lent. Le</w:t>
      </w:r>
      <w:r>
        <w:t xml:space="preserve"> [782] </w:t>
      </w:r>
      <w:r w:rsidRPr="00DA63A2">
        <w:rPr>
          <w:i/>
        </w:rPr>
        <w:t>Tra</w:t>
      </w:r>
      <w:r w:rsidRPr="00DA63A2">
        <w:rPr>
          <w:i/>
        </w:rPr>
        <w:t>i</w:t>
      </w:r>
      <w:r w:rsidRPr="00DA63A2">
        <w:rPr>
          <w:i/>
        </w:rPr>
        <w:t>té des prairies artificielles dans la Généralité de Paris</w:t>
      </w:r>
      <w:r w:rsidRPr="00246AE4">
        <w:t>,</w:t>
      </w:r>
      <w:r w:rsidRPr="00246AE4">
        <w:rPr>
          <w:color w:val="000000"/>
          <w:lang w:eastAsia="fr-FR" w:bidi="fr-FR"/>
        </w:rPr>
        <w:t xml:space="preserve"> de Gilbert, paru en 1789</w:t>
      </w:r>
      <w:r>
        <w:rPr>
          <w:color w:val="000000"/>
          <w:lang w:eastAsia="fr-FR" w:bidi="fr-FR"/>
        </w:rPr>
        <w:t> </w:t>
      </w:r>
      <w:r>
        <w:rPr>
          <w:rStyle w:val="Appelnotedebasdep"/>
        </w:rPr>
        <w:footnoteReference w:id="734"/>
      </w:r>
      <w:r w:rsidRPr="00246AE4">
        <w:rPr>
          <w:color w:val="000000"/>
          <w:lang w:eastAsia="fr-FR" w:bidi="fr-FR"/>
        </w:rPr>
        <w:t>, montre que dans la région parisienne la jach</w:t>
      </w:r>
      <w:r w:rsidRPr="00246AE4">
        <w:rPr>
          <w:color w:val="000000"/>
          <w:lang w:eastAsia="fr-FR" w:bidi="fr-FR"/>
        </w:rPr>
        <w:t>è</w:t>
      </w:r>
      <w:r w:rsidRPr="00246AE4">
        <w:rPr>
          <w:color w:val="000000"/>
          <w:lang w:eastAsia="fr-FR" w:bidi="fr-FR"/>
        </w:rPr>
        <w:t xml:space="preserve">re avait commencé de disparaître à la fin du </w:t>
      </w:r>
      <w:r>
        <w:rPr>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Mais d’autres t</w:t>
      </w:r>
      <w:r w:rsidRPr="00246AE4">
        <w:rPr>
          <w:color w:val="000000"/>
          <w:lang w:eastAsia="fr-FR" w:bidi="fr-FR"/>
        </w:rPr>
        <w:t>é</w:t>
      </w:r>
      <w:r w:rsidRPr="00246AE4">
        <w:rPr>
          <w:color w:val="000000"/>
          <w:lang w:eastAsia="fr-FR" w:bidi="fr-FR"/>
        </w:rPr>
        <w:t xml:space="preserve">moignages, tirés en particulier des plus anciens </w:t>
      </w:r>
      <w:r w:rsidRPr="00DA63A2">
        <w:rPr>
          <w:i/>
        </w:rPr>
        <w:t>Usages locaux</w:t>
      </w:r>
      <w:r w:rsidRPr="00246AE4">
        <w:t>,</w:t>
      </w:r>
      <w:r w:rsidRPr="00246AE4">
        <w:rPr>
          <w:color w:val="000000"/>
          <w:lang w:eastAsia="fr-FR" w:bidi="fr-FR"/>
        </w:rPr>
        <w:t xml:space="preserve"> pro</w:t>
      </w:r>
      <w:r w:rsidRPr="00246AE4">
        <w:rPr>
          <w:color w:val="000000"/>
          <w:lang w:eastAsia="fr-FR" w:bidi="fr-FR"/>
        </w:rPr>
        <w:t>u</w:t>
      </w:r>
      <w:r w:rsidRPr="00246AE4">
        <w:rPr>
          <w:color w:val="000000"/>
          <w:lang w:eastAsia="fr-FR" w:bidi="fr-FR"/>
        </w:rPr>
        <w:t>vent que les vieux procédés se sont maintenus encore lon</w:t>
      </w:r>
      <w:r w:rsidRPr="00246AE4">
        <w:rPr>
          <w:color w:val="000000"/>
          <w:lang w:eastAsia="fr-FR" w:bidi="fr-FR"/>
        </w:rPr>
        <w:t>g</w:t>
      </w:r>
      <w:r w:rsidRPr="00246AE4">
        <w:rPr>
          <w:color w:val="000000"/>
          <w:lang w:eastAsia="fr-FR" w:bidi="fr-FR"/>
        </w:rPr>
        <w:t xml:space="preserve">temps au </w:t>
      </w:r>
      <w:r w:rsidRPr="00FB542B">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w:t>
      </w:r>
      <w:r>
        <w:rPr>
          <w:color w:val="000000"/>
          <w:lang w:eastAsia="fr-FR" w:bidi="fr-FR"/>
        </w:rPr>
        <w:t> </w:t>
      </w:r>
      <w:r>
        <w:rPr>
          <w:rStyle w:val="Appelnotedebasdep"/>
        </w:rPr>
        <w:footnoteReference w:id="735"/>
      </w:r>
      <w:r w:rsidRPr="00246AE4">
        <w:rPr>
          <w:color w:val="000000"/>
          <w:lang w:eastAsia="fr-FR" w:bidi="fr-FR"/>
        </w:rPr>
        <w:t>. Ces Usages locaux, recueils privés à l’origine, a</w:t>
      </w:r>
      <w:r w:rsidRPr="00246AE4">
        <w:rPr>
          <w:color w:val="000000"/>
          <w:lang w:eastAsia="fr-FR" w:bidi="fr-FR"/>
        </w:rPr>
        <w:t>u</w:t>
      </w:r>
      <w:r w:rsidRPr="00246AE4">
        <w:rPr>
          <w:color w:val="000000"/>
          <w:lang w:eastAsia="fr-FR" w:bidi="fr-FR"/>
        </w:rPr>
        <w:t xml:space="preserve">jourd’hui presque tous officiels, constituent pour l’histoire rurale une source de tout premier ordre ; on sait qu’à moins de stipulation contraire ils font loi entre les parties pour l’interprétation des contrats de fermage ; ils renferment en outre des </w:t>
      </w:r>
      <w:r w:rsidRPr="00246AE4">
        <w:rPr>
          <w:color w:val="000000"/>
          <w:lang w:eastAsia="fr-FR" w:bidi="fr-FR"/>
        </w:rPr>
        <w:lastRenderedPageBreak/>
        <w:t>indications sur les règlements agricoles locaux, tels que baux de vendange, prescriptions relatives à la vaine pâture, etc. ; à en dépouiller les différentes éditions, on saisit les transformations de la vie économique des campagnes. Il import</w:t>
      </w:r>
      <w:r w:rsidRPr="00246AE4">
        <w:rPr>
          <w:color w:val="000000"/>
          <w:lang w:eastAsia="fr-FR" w:bidi="fr-FR"/>
        </w:rPr>
        <w:t>e</w:t>
      </w:r>
      <w:r w:rsidRPr="00246AE4">
        <w:rPr>
          <w:color w:val="000000"/>
          <w:lang w:eastAsia="fr-FR" w:bidi="fr-FR"/>
        </w:rPr>
        <w:t>rait d’en dresser la liste ; tâche difficile qui n’a pas été entreprise ju</w:t>
      </w:r>
      <w:r w:rsidRPr="00246AE4">
        <w:rPr>
          <w:color w:val="000000"/>
          <w:lang w:eastAsia="fr-FR" w:bidi="fr-FR"/>
        </w:rPr>
        <w:t>s</w:t>
      </w:r>
      <w:r w:rsidRPr="00246AE4">
        <w:rPr>
          <w:color w:val="000000"/>
          <w:lang w:eastAsia="fr-FR" w:bidi="fr-FR"/>
        </w:rPr>
        <w:t>qu’ici. Le lecteur trouvera en note un essai de biblio</w:t>
      </w:r>
      <w:r>
        <w:rPr>
          <w:color w:val="000000"/>
          <w:lang w:eastAsia="fr-FR" w:bidi="fr-FR"/>
        </w:rPr>
        <w:t>graphie des Us</w:t>
      </w:r>
      <w:r>
        <w:rPr>
          <w:color w:val="000000"/>
          <w:lang w:eastAsia="fr-FR" w:bidi="fr-FR"/>
        </w:rPr>
        <w:t>a</w:t>
      </w:r>
      <w:r>
        <w:rPr>
          <w:color w:val="000000"/>
          <w:lang w:eastAsia="fr-FR" w:bidi="fr-FR"/>
        </w:rPr>
        <w:t>ges locaux de l’Î</w:t>
      </w:r>
      <w:r w:rsidRPr="00246AE4">
        <w:rPr>
          <w:color w:val="000000"/>
          <w:lang w:eastAsia="fr-FR" w:bidi="fr-FR"/>
        </w:rPr>
        <w:t>le-de-France, dont l’imperfection sera excusée, je pense, par quiconque s’est efforcé de réunir des renseignements sur ce genre d’ouvrages</w:t>
      </w:r>
      <w:r>
        <w:rPr>
          <w:color w:val="000000"/>
          <w:lang w:eastAsia="fr-FR" w:bidi="fr-FR"/>
        </w:rPr>
        <w:t> </w:t>
      </w:r>
      <w:r>
        <w:rPr>
          <w:rStyle w:val="Appelnotedebasdep"/>
        </w:rPr>
        <w:footnoteReference w:id="736"/>
      </w:r>
      <w:r w:rsidRPr="00246AE4">
        <w:rPr>
          <w:color w:val="000000"/>
          <w:lang w:eastAsia="fr-FR" w:bidi="fr-FR"/>
        </w:rPr>
        <w:t xml:space="preserve">. L’état de </w:t>
      </w:r>
      <w:r w:rsidRPr="00246AE4">
        <w:rPr>
          <w:color w:val="000000"/>
          <w:lang w:eastAsia="fr-FR" w:bidi="fr-FR"/>
        </w:rPr>
        <w:lastRenderedPageBreak/>
        <w:t xml:space="preserve">l’agriculture dans notre région depuis la seconde moitié du </w:t>
      </w:r>
      <w:r w:rsidRPr="009C7173">
        <w:rPr>
          <w:small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a fait l’objet de quelques mémoires ut</w:t>
      </w:r>
      <w:r w:rsidRPr="00246AE4">
        <w:rPr>
          <w:color w:val="000000"/>
          <w:lang w:eastAsia="fr-FR" w:bidi="fr-FR"/>
        </w:rPr>
        <w:t>i</w:t>
      </w:r>
      <w:r w:rsidRPr="00246AE4">
        <w:rPr>
          <w:color w:val="000000"/>
          <w:lang w:eastAsia="fr-FR" w:bidi="fr-FR"/>
        </w:rPr>
        <w:t xml:space="preserve">les : la </w:t>
      </w:r>
      <w:r w:rsidRPr="00DA63A2">
        <w:rPr>
          <w:i/>
        </w:rPr>
        <w:t>Culture de la Beauce</w:t>
      </w:r>
      <w:r w:rsidRPr="00246AE4">
        <w:rPr>
          <w:color w:val="000000"/>
          <w:lang w:eastAsia="fr-FR" w:bidi="fr-FR"/>
        </w:rPr>
        <w:t xml:space="preserve"> de M. Boutet</w:t>
      </w:r>
      <w:r>
        <w:rPr>
          <w:color w:val="000000"/>
          <w:lang w:eastAsia="fr-FR" w:bidi="fr-FR"/>
        </w:rPr>
        <w:t> </w:t>
      </w:r>
      <w:r>
        <w:rPr>
          <w:rStyle w:val="Appelnotedebasdep"/>
        </w:rPr>
        <w:footnoteReference w:id="737"/>
      </w:r>
      <w:r w:rsidRPr="00246AE4">
        <w:rPr>
          <w:color w:val="000000"/>
          <w:lang w:eastAsia="fr-FR" w:bidi="fr-FR"/>
        </w:rPr>
        <w:t xml:space="preserve">, </w:t>
      </w:r>
      <w:r>
        <w:t>l’</w:t>
      </w:r>
      <w:r>
        <w:rPr>
          <w:i/>
        </w:rPr>
        <w:t>Étude sur l’</w:t>
      </w:r>
      <w:r w:rsidRPr="00DA63A2">
        <w:rPr>
          <w:i/>
        </w:rPr>
        <w:t>écoromie</w:t>
      </w:r>
      <w:r>
        <w:t xml:space="preserve"> [</w:t>
      </w:r>
      <w:r w:rsidRPr="00246AE4">
        <w:rPr>
          <w:color w:val="000000"/>
          <w:lang w:eastAsia="fr-FR" w:bidi="fr-FR"/>
        </w:rPr>
        <w:t>783</w:t>
      </w:r>
      <w:r>
        <w:rPr>
          <w:color w:val="000000"/>
          <w:lang w:eastAsia="fr-FR" w:bidi="fr-FR"/>
        </w:rPr>
        <w:t>]</w:t>
      </w:r>
      <w:r w:rsidRPr="00DA63A2">
        <w:rPr>
          <w:i/>
        </w:rPr>
        <w:t xml:space="preserve"> rurale du département de Seine-et-Marne</w:t>
      </w:r>
      <w:r>
        <w:rPr>
          <w:color w:val="000000"/>
          <w:lang w:eastAsia="fr-FR" w:bidi="fr-FR"/>
        </w:rPr>
        <w:t xml:space="preserve"> de M. </w:t>
      </w:r>
      <w:r w:rsidRPr="00246AE4">
        <w:rPr>
          <w:color w:val="000000"/>
          <w:lang w:eastAsia="fr-FR" w:bidi="fr-FR"/>
        </w:rPr>
        <w:t>Rayer</w:t>
      </w:r>
      <w:r>
        <w:rPr>
          <w:color w:val="000000"/>
          <w:lang w:eastAsia="fr-FR" w:bidi="fr-FR"/>
        </w:rPr>
        <w:t> </w:t>
      </w:r>
      <w:r>
        <w:rPr>
          <w:rStyle w:val="Appelnotedebasdep"/>
        </w:rPr>
        <w:footnoteReference w:id="738"/>
      </w:r>
      <w:r w:rsidRPr="00246AE4">
        <w:rPr>
          <w:color w:val="000000"/>
          <w:lang w:eastAsia="fr-FR" w:bidi="fr-FR"/>
        </w:rPr>
        <w:t xml:space="preserve">, la </w:t>
      </w:r>
      <w:r w:rsidRPr="00DA63A2">
        <w:rPr>
          <w:i/>
        </w:rPr>
        <w:t>M</w:t>
      </w:r>
      <w:r w:rsidRPr="00DA63A2">
        <w:rPr>
          <w:i/>
        </w:rPr>
        <w:t>o</w:t>
      </w:r>
      <w:r w:rsidRPr="00DA63A2">
        <w:rPr>
          <w:i/>
        </w:rPr>
        <w:t>nographie agricole du département d'Eure-et-Loir</w:t>
      </w:r>
      <w:r>
        <w:rPr>
          <w:color w:val="000000"/>
          <w:lang w:eastAsia="fr-FR" w:bidi="fr-FR"/>
        </w:rPr>
        <w:t xml:space="preserve"> de M. </w:t>
      </w:r>
      <w:r w:rsidRPr="00246AE4">
        <w:rPr>
          <w:color w:val="000000"/>
          <w:lang w:eastAsia="fr-FR" w:bidi="fr-FR"/>
        </w:rPr>
        <w:t>Roussille</w:t>
      </w:r>
      <w:r>
        <w:rPr>
          <w:color w:val="000000"/>
          <w:lang w:eastAsia="fr-FR" w:bidi="fr-FR"/>
        </w:rPr>
        <w:t> </w:t>
      </w:r>
      <w:r>
        <w:rPr>
          <w:rStyle w:val="Appelnotedebasdep"/>
        </w:rPr>
        <w:footnoteReference w:id="739"/>
      </w:r>
      <w:r w:rsidRPr="00246AE4">
        <w:rPr>
          <w:color w:val="000000"/>
          <w:lang w:eastAsia="fr-FR" w:bidi="fr-FR"/>
        </w:rPr>
        <w:t xml:space="preserve">. La revue </w:t>
      </w:r>
      <w:r w:rsidRPr="00246AE4">
        <w:t>Pages Libres</w:t>
      </w:r>
      <w:r w:rsidRPr="00246AE4">
        <w:rPr>
          <w:color w:val="000000"/>
          <w:lang w:eastAsia="fr-FR" w:bidi="fr-FR"/>
        </w:rPr>
        <w:t xml:space="preserve"> a consacré un de ses num</w:t>
      </w:r>
      <w:r w:rsidRPr="00246AE4">
        <w:rPr>
          <w:color w:val="000000"/>
          <w:lang w:eastAsia="fr-FR" w:bidi="fr-FR"/>
        </w:rPr>
        <w:t>é</w:t>
      </w:r>
      <w:r w:rsidRPr="00246AE4">
        <w:rPr>
          <w:color w:val="000000"/>
          <w:lang w:eastAsia="fr-FR" w:bidi="fr-FR"/>
        </w:rPr>
        <w:t>ros à la description d’un village briard : Voulangis, dans la vallée du Grand Morin</w:t>
      </w:r>
      <w:r>
        <w:rPr>
          <w:color w:val="000000"/>
          <w:lang w:eastAsia="fr-FR" w:bidi="fr-FR"/>
        </w:rPr>
        <w:t> </w:t>
      </w:r>
      <w:r>
        <w:rPr>
          <w:rStyle w:val="Appelnotedebasdep"/>
        </w:rPr>
        <w:footnoteReference w:id="740"/>
      </w:r>
      <w:r w:rsidRPr="00246AE4">
        <w:rPr>
          <w:color w:val="000000"/>
          <w:lang w:eastAsia="fr-FR" w:bidi="fr-FR"/>
        </w:rPr>
        <w:t xml:space="preserve"> ; on y trouvera des indications très précieuses. Mais tous ces essais, trop brefs, sont loin d’épuiser leur matière. Un des traits curieux de l’agriculture beauceronne à la fin du </w:t>
      </w:r>
      <w:r w:rsidRPr="00FB542B">
        <w:rPr>
          <w:caps/>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fut la survivance de la vaine pâture, abolie alors sur la plus grande partie du territoire fra</w:t>
      </w:r>
      <w:r w:rsidRPr="00246AE4">
        <w:rPr>
          <w:color w:val="000000"/>
          <w:lang w:eastAsia="fr-FR" w:bidi="fr-FR"/>
        </w:rPr>
        <w:t>n</w:t>
      </w:r>
      <w:r w:rsidRPr="00246AE4">
        <w:rPr>
          <w:color w:val="000000"/>
          <w:lang w:eastAsia="fr-FR" w:bidi="fr-FR"/>
        </w:rPr>
        <w:t>çais</w:t>
      </w:r>
      <w:r>
        <w:rPr>
          <w:color w:val="000000"/>
          <w:lang w:eastAsia="fr-FR" w:bidi="fr-FR"/>
        </w:rPr>
        <w:t> </w:t>
      </w:r>
      <w:r>
        <w:rPr>
          <w:rStyle w:val="Appelnotedebasdep"/>
        </w:rPr>
        <w:footnoteReference w:id="741"/>
      </w:r>
      <w:r w:rsidRPr="00246AE4">
        <w:rPr>
          <w:color w:val="000000"/>
          <w:lang w:eastAsia="fr-FR" w:bidi="fr-FR"/>
        </w:rPr>
        <w:t>. La plupart des communes de la Beauce, prof</w:t>
      </w:r>
      <w:r w:rsidRPr="00246AE4">
        <w:rPr>
          <w:color w:val="000000"/>
          <w:lang w:eastAsia="fr-FR" w:bidi="fr-FR"/>
        </w:rPr>
        <w:t>i</w:t>
      </w:r>
      <w:r w:rsidRPr="00246AE4">
        <w:rPr>
          <w:color w:val="000000"/>
          <w:lang w:eastAsia="fr-FR" w:bidi="fr-FR"/>
        </w:rPr>
        <w:t xml:space="preserve">tant de la licence que </w:t>
      </w:r>
      <w:r>
        <w:rPr>
          <w:color w:val="000000"/>
          <w:lang w:eastAsia="fr-FR" w:bidi="fr-FR"/>
        </w:rPr>
        <w:t>leur en donnaient les lois du 9 </w:t>
      </w:r>
      <w:r w:rsidRPr="00246AE4">
        <w:rPr>
          <w:color w:val="000000"/>
          <w:lang w:eastAsia="fr-FR" w:bidi="fr-FR"/>
        </w:rPr>
        <w:t>juillet 1889 et du 22 juin 1890, la maintinrent sur leur sol. Pourquoi agirent-elles ainsi ? ont-elles pers</w:t>
      </w:r>
      <w:r w:rsidRPr="00246AE4">
        <w:rPr>
          <w:color w:val="000000"/>
          <w:lang w:eastAsia="fr-FR" w:bidi="fr-FR"/>
        </w:rPr>
        <w:t>é</w:t>
      </w:r>
      <w:r w:rsidRPr="00246AE4">
        <w:rPr>
          <w:color w:val="000000"/>
          <w:lang w:eastAsia="fr-FR" w:bidi="fr-FR"/>
        </w:rPr>
        <w:t>véré jusqu’à aujourd’hui dans leur décision ? Une bo</w:t>
      </w:r>
      <w:r w:rsidRPr="00246AE4">
        <w:rPr>
          <w:color w:val="000000"/>
          <w:lang w:eastAsia="fr-FR" w:bidi="fr-FR"/>
        </w:rPr>
        <w:t>n</w:t>
      </w:r>
      <w:r w:rsidRPr="00246AE4">
        <w:rPr>
          <w:color w:val="000000"/>
          <w:lang w:eastAsia="fr-FR" w:bidi="fr-FR"/>
        </w:rPr>
        <w:t>ne recherche sur ces points formerait une intéressante contribution à la connaissance de l’économie beauceronne.</w:t>
      </w:r>
    </w:p>
    <w:p w14:paraId="34C41F47" w14:textId="77777777" w:rsidR="00B9662D" w:rsidRPr="00246AE4" w:rsidRDefault="00B9662D" w:rsidP="00B9662D">
      <w:pPr>
        <w:spacing w:before="120" w:after="120"/>
        <w:jc w:val="both"/>
      </w:pPr>
      <w:r>
        <w:rPr>
          <w:color w:val="000000"/>
          <w:lang w:eastAsia="fr-FR" w:bidi="fr-FR"/>
        </w:rPr>
        <w:t>À</w:t>
      </w:r>
      <w:r w:rsidRPr="00246AE4">
        <w:rPr>
          <w:color w:val="000000"/>
          <w:lang w:eastAsia="fr-FR" w:bidi="fr-FR"/>
        </w:rPr>
        <w:t xml:space="preserve"> qui appartint, aux derniers siècles de la monarchie</w:t>
      </w:r>
      <w:r>
        <w:rPr>
          <w:color w:val="000000"/>
          <w:lang w:eastAsia="fr-FR" w:bidi="fr-FR"/>
        </w:rPr>
        <w:t>, le sol de l’Île-</w:t>
      </w:r>
      <w:r w:rsidRPr="00246AE4">
        <w:rPr>
          <w:color w:val="000000"/>
          <w:lang w:eastAsia="fr-FR" w:bidi="fr-FR"/>
        </w:rPr>
        <w:t>de-France ? selon quelle proportion, les différentes classes soci</w:t>
      </w:r>
      <w:r w:rsidRPr="00246AE4">
        <w:rPr>
          <w:color w:val="000000"/>
          <w:lang w:eastAsia="fr-FR" w:bidi="fr-FR"/>
        </w:rPr>
        <w:t>a</w:t>
      </w:r>
      <w:r w:rsidRPr="00246AE4">
        <w:rPr>
          <w:color w:val="000000"/>
          <w:lang w:eastAsia="fr-FR" w:bidi="fr-FR"/>
        </w:rPr>
        <w:t>les se le partageaient-elles ? quelle forme d’exploitation dominait, grande, petite, moyenne ? Ces questions que nul n’a examinées, sont difficiles à résoudre, difficiles même à poser : comment distinguer les diverses classes sociales ? les divers degrés d’étendue des exploit</w:t>
      </w:r>
      <w:r w:rsidRPr="00246AE4">
        <w:rPr>
          <w:color w:val="000000"/>
          <w:lang w:eastAsia="fr-FR" w:bidi="fr-FR"/>
        </w:rPr>
        <w:t>a</w:t>
      </w:r>
      <w:r w:rsidRPr="00246AE4">
        <w:rPr>
          <w:color w:val="000000"/>
          <w:lang w:eastAsia="fr-FR" w:bidi="fr-FR"/>
        </w:rPr>
        <w:lastRenderedPageBreak/>
        <w:t>tions ? et quant au mot de propriété, il prête à bien des confusions, lorsqu’on l’applique à une époque où survivait encore le régime fé</w:t>
      </w:r>
      <w:r w:rsidRPr="00246AE4">
        <w:rPr>
          <w:color w:val="000000"/>
          <w:lang w:eastAsia="fr-FR" w:bidi="fr-FR"/>
        </w:rPr>
        <w:t>o</w:t>
      </w:r>
      <w:r w:rsidRPr="00246AE4">
        <w:rPr>
          <w:color w:val="000000"/>
          <w:lang w:eastAsia="fr-FR" w:bidi="fr-FR"/>
        </w:rPr>
        <w:t>dal. Une méthode exclusivement statistique n’apporterait pas, sur ce point, de clartés suffisantes. Mais, en réunissant aux données fournies par les rôles d’impôt</w:t>
      </w:r>
      <w:r>
        <w:rPr>
          <w:color w:val="000000"/>
          <w:lang w:eastAsia="fr-FR" w:bidi="fr-FR"/>
        </w:rPr>
        <w:t> </w:t>
      </w:r>
      <w:r>
        <w:rPr>
          <w:rStyle w:val="Appelnotedebasdep"/>
        </w:rPr>
        <w:footnoteReference w:id="742"/>
      </w:r>
      <w:r w:rsidRPr="00246AE4">
        <w:rPr>
          <w:color w:val="000000"/>
          <w:lang w:eastAsia="fr-FR" w:bidi="fr-FR"/>
        </w:rPr>
        <w:t>, des renseignements tirés des fonds d’archives, très riches, que nous ont laissés les seigneuries ecclésiastiques ou même laïques, en ne limitant pas les recherches à la période immédi</w:t>
      </w:r>
      <w:r w:rsidRPr="00246AE4">
        <w:rPr>
          <w:color w:val="000000"/>
          <w:lang w:eastAsia="fr-FR" w:bidi="fr-FR"/>
        </w:rPr>
        <w:t>a</w:t>
      </w:r>
      <w:r w:rsidRPr="00246AE4">
        <w:rPr>
          <w:color w:val="000000"/>
          <w:lang w:eastAsia="fr-FR" w:bidi="fr-FR"/>
        </w:rPr>
        <w:t>tement antérieure à 1789, en embrassant au contraire une période a</w:t>
      </w:r>
      <w:r w:rsidRPr="00246AE4">
        <w:rPr>
          <w:color w:val="000000"/>
          <w:lang w:eastAsia="fr-FR" w:bidi="fr-FR"/>
        </w:rPr>
        <w:t>s</w:t>
      </w:r>
      <w:r w:rsidRPr="00246AE4">
        <w:rPr>
          <w:color w:val="000000"/>
          <w:lang w:eastAsia="fr-FR" w:bidi="fr-FR"/>
        </w:rPr>
        <w:t>sez vaste pour permettre de tracer toute la ligne d’une évolution, on pourrait, je crois, composer un livre important, sur l’état de la propri</w:t>
      </w:r>
      <w:r w:rsidRPr="00246AE4">
        <w:rPr>
          <w:color w:val="000000"/>
          <w:lang w:eastAsia="fr-FR" w:bidi="fr-FR"/>
        </w:rPr>
        <w:t>é</w:t>
      </w:r>
      <w:r w:rsidRPr="00246AE4">
        <w:rPr>
          <w:color w:val="000000"/>
          <w:lang w:eastAsia="fr-FR" w:bidi="fr-FR"/>
        </w:rPr>
        <w:t>té rurale, sous l’Ancien Régime, dans les pays qui entourent Paris.</w:t>
      </w:r>
    </w:p>
    <w:p w14:paraId="62F0BCCF" w14:textId="77777777" w:rsidR="00B9662D" w:rsidRPr="00246AE4" w:rsidRDefault="00B9662D" w:rsidP="00B9662D">
      <w:pPr>
        <w:spacing w:before="120" w:after="120"/>
        <w:jc w:val="both"/>
      </w:pPr>
      <w:r w:rsidRPr="00246AE4">
        <w:rPr>
          <w:color w:val="000000"/>
          <w:lang w:eastAsia="fr-FR" w:bidi="fr-FR"/>
        </w:rPr>
        <w:t>Tant que ce livre ne sera pas écrit, nous ne pourrons pas mesurer avec exactitude le bouleversement économique que la Révolution provoqua, dans notre région, par la vente des biens nationaux, et par le partage des communaux. La vente des biens nationaux, dans la Seine-et-Oise, a fait l’objet d’un petit livre de M. Boris Minres</w:t>
      </w:r>
      <w:r>
        <w:rPr>
          <w:color w:val="000000"/>
          <w:lang w:eastAsia="fr-FR" w:bidi="fr-FR"/>
        </w:rPr>
        <w:t> </w:t>
      </w:r>
      <w:r>
        <w:rPr>
          <w:rStyle w:val="Appelnotedebasdep"/>
        </w:rPr>
        <w:footnoteReference w:id="743"/>
      </w:r>
      <w:r w:rsidRPr="00246AE4">
        <w:rPr>
          <w:color w:val="000000"/>
          <w:lang w:eastAsia="fr-FR" w:bidi="fr-FR"/>
        </w:rPr>
        <w:t> ; cet ouvr</w:t>
      </w:r>
      <w:r w:rsidRPr="00246AE4">
        <w:rPr>
          <w:color w:val="000000"/>
          <w:lang w:eastAsia="fr-FR" w:bidi="fr-FR"/>
        </w:rPr>
        <w:t>a</w:t>
      </w:r>
      <w:r w:rsidRPr="00246AE4">
        <w:rPr>
          <w:color w:val="000000"/>
          <w:lang w:eastAsia="fr-FR" w:bidi="fr-FR"/>
        </w:rPr>
        <w:t>ge, consciencieux et utile, est l’un des plus anciens qui aient été consacrés à ce genre de questions ; il demanderait à être repris, et complété pou</w:t>
      </w:r>
      <w:r>
        <w:rPr>
          <w:color w:val="000000"/>
          <w:lang w:eastAsia="fr-FR" w:bidi="fr-FR"/>
        </w:rPr>
        <w:t>r les autres départements de l’Î</w:t>
      </w:r>
      <w:r w:rsidRPr="00246AE4">
        <w:rPr>
          <w:color w:val="000000"/>
          <w:lang w:eastAsia="fr-FR" w:bidi="fr-FR"/>
        </w:rPr>
        <w:t>le-de-France. Le partage des communaux paraît avoir été</w:t>
      </w:r>
      <w:r>
        <w:t xml:space="preserve"> [784] </w:t>
      </w:r>
      <w:r w:rsidRPr="00246AE4">
        <w:rPr>
          <w:color w:val="000000"/>
          <w:lang w:eastAsia="fr-FR" w:bidi="fr-FR"/>
        </w:rPr>
        <w:t>particulièrement radical dans nos départements ; car les comm</w:t>
      </w:r>
      <w:r w:rsidRPr="00246AE4">
        <w:rPr>
          <w:color w:val="000000"/>
          <w:lang w:eastAsia="fr-FR" w:bidi="fr-FR"/>
        </w:rPr>
        <w:t>u</w:t>
      </w:r>
      <w:r w:rsidRPr="00246AE4">
        <w:rPr>
          <w:color w:val="000000"/>
          <w:lang w:eastAsia="fr-FR" w:bidi="fr-FR"/>
        </w:rPr>
        <w:t>naux y ont à peu près disparu</w:t>
      </w:r>
      <w:r>
        <w:rPr>
          <w:color w:val="000000"/>
          <w:lang w:eastAsia="fr-FR" w:bidi="fr-FR"/>
        </w:rPr>
        <w:t> </w:t>
      </w:r>
      <w:r>
        <w:rPr>
          <w:rStyle w:val="Appelnotedebasdep"/>
        </w:rPr>
        <w:footnoteReference w:id="744"/>
      </w:r>
      <w:r w:rsidRPr="00246AE4">
        <w:rPr>
          <w:color w:val="000000"/>
          <w:lang w:eastAsia="fr-FR" w:bidi="fr-FR"/>
        </w:rPr>
        <w:t>. Nous possédons sur ce sujet quelques travaux de détail, mais aucune étude d’ensemble</w:t>
      </w:r>
      <w:r>
        <w:rPr>
          <w:color w:val="000000"/>
          <w:lang w:eastAsia="fr-FR" w:bidi="fr-FR"/>
        </w:rPr>
        <w:t> </w:t>
      </w:r>
      <w:r>
        <w:rPr>
          <w:rStyle w:val="Appelnotedebasdep"/>
        </w:rPr>
        <w:footnoteReference w:id="745"/>
      </w:r>
      <w:r w:rsidRPr="00246AE4">
        <w:rPr>
          <w:color w:val="000000"/>
          <w:lang w:eastAsia="fr-FR" w:bidi="fr-FR"/>
        </w:rPr>
        <w:t xml:space="preserve">. Quant au régime de la propriété rurale, aux </w:t>
      </w:r>
      <w:r w:rsidRPr="00FB542B">
        <w:rPr>
          <w:caps/>
          <w:color w:val="000000"/>
          <w:lang w:eastAsia="fr-FR" w:bidi="fr-FR"/>
        </w:rPr>
        <w:lastRenderedPageBreak/>
        <w:t>xix</w:t>
      </w:r>
      <w:r w:rsidRPr="00246AE4">
        <w:rPr>
          <w:color w:val="000000"/>
          <w:vertAlign w:val="superscript"/>
          <w:lang w:eastAsia="fr-FR" w:bidi="fr-FR"/>
        </w:rPr>
        <w:t>e</w:t>
      </w:r>
      <w:r w:rsidRPr="00246AE4">
        <w:rPr>
          <w:color w:val="000000"/>
          <w:lang w:eastAsia="fr-FR" w:bidi="fr-FR"/>
        </w:rPr>
        <w:t xml:space="preserve"> et </w:t>
      </w:r>
      <w:r w:rsidRPr="00FB542B">
        <w:rPr>
          <w:caps/>
          <w:color w:val="000000"/>
          <w:lang w:eastAsia="fr-FR" w:bidi="fr-FR"/>
        </w:rPr>
        <w:t>xx</w:t>
      </w:r>
      <w:r w:rsidRPr="00246AE4">
        <w:rPr>
          <w:color w:val="000000"/>
          <w:vertAlign w:val="superscript"/>
          <w:lang w:eastAsia="fr-FR" w:bidi="fr-FR"/>
        </w:rPr>
        <w:t>e</w:t>
      </w:r>
      <w:r w:rsidRPr="00246AE4">
        <w:rPr>
          <w:color w:val="000000"/>
          <w:lang w:eastAsia="fr-FR" w:bidi="fr-FR"/>
        </w:rPr>
        <w:t xml:space="preserve"> siècles, à la transformation de la banlieue parisienne par l’extension de la propriété bourgeoise et de la culture maraîchère, à la lente conquête des campagnes par les m</w:t>
      </w:r>
      <w:r w:rsidRPr="00246AE4">
        <w:rPr>
          <w:color w:val="000000"/>
          <w:lang w:eastAsia="fr-FR" w:bidi="fr-FR"/>
        </w:rPr>
        <w:t>é</w:t>
      </w:r>
      <w:r w:rsidRPr="00246AE4">
        <w:rPr>
          <w:color w:val="000000"/>
          <w:lang w:eastAsia="fr-FR" w:bidi="fr-FR"/>
        </w:rPr>
        <w:t>thodes du capitalisme, ces questions n’ont pas attiré les chercheurs.</w:t>
      </w:r>
    </w:p>
    <w:p w14:paraId="48883F1E" w14:textId="77777777" w:rsidR="00B9662D" w:rsidRPr="00246AE4" w:rsidRDefault="00B9662D" w:rsidP="00B9662D">
      <w:pPr>
        <w:spacing w:before="120" w:after="120"/>
        <w:jc w:val="both"/>
      </w:pPr>
      <w:r w:rsidRPr="00246AE4">
        <w:rPr>
          <w:color w:val="000000"/>
          <w:lang w:eastAsia="fr-FR" w:bidi="fr-FR"/>
        </w:rPr>
        <w:t>Comment assurer la subsistance des centaines de milliers, puis des millions d’hommes qui se pressaient entre les murs de Paris et dans ses faubourgs ? ce problème a hanté les esprits des gouvernants sous l’Ancien Régime, sous la Révolution et plus tard enc</w:t>
      </w:r>
      <w:r>
        <w:rPr>
          <w:color w:val="000000"/>
          <w:lang w:eastAsia="fr-FR" w:bidi="fr-FR"/>
        </w:rPr>
        <w:t>ore. Les terres à blé de l’Île-</w:t>
      </w:r>
      <w:r w:rsidRPr="00246AE4">
        <w:rPr>
          <w:color w:val="000000"/>
          <w:lang w:eastAsia="fr-FR" w:bidi="fr-FR"/>
        </w:rPr>
        <w:t>de-France se trouvaient des premières mises à contrib</w:t>
      </w:r>
      <w:r w:rsidRPr="00246AE4">
        <w:rPr>
          <w:color w:val="000000"/>
          <w:lang w:eastAsia="fr-FR" w:bidi="fr-FR"/>
        </w:rPr>
        <w:t>u</w:t>
      </w:r>
      <w:r w:rsidRPr="00246AE4">
        <w:rPr>
          <w:color w:val="000000"/>
          <w:lang w:eastAsia="fr-FR" w:bidi="fr-FR"/>
        </w:rPr>
        <w:t>tion. Aussi, une étude approfondie sur l’alimentation parisienne écla</w:t>
      </w:r>
      <w:r w:rsidRPr="00246AE4">
        <w:rPr>
          <w:color w:val="000000"/>
          <w:lang w:eastAsia="fr-FR" w:bidi="fr-FR"/>
        </w:rPr>
        <w:t>i</w:t>
      </w:r>
      <w:r w:rsidRPr="00246AE4">
        <w:rPr>
          <w:color w:val="000000"/>
          <w:lang w:eastAsia="fr-FR" w:bidi="fr-FR"/>
        </w:rPr>
        <w:t>rerait certainement d’un jour nouve</w:t>
      </w:r>
      <w:r>
        <w:rPr>
          <w:color w:val="000000"/>
          <w:lang w:eastAsia="fr-FR" w:bidi="fr-FR"/>
        </w:rPr>
        <w:t>au, l’histoire économique de l’Î</w:t>
      </w:r>
      <w:r w:rsidRPr="00246AE4">
        <w:rPr>
          <w:color w:val="000000"/>
          <w:lang w:eastAsia="fr-FR" w:bidi="fr-FR"/>
        </w:rPr>
        <w:t>le-de-France. L’érudit qui l’entreprendra trouvera des matériaux réunis dans quelques articles, concernant le commerce des grains et sa lég</w:t>
      </w:r>
      <w:r w:rsidRPr="00246AE4">
        <w:rPr>
          <w:color w:val="000000"/>
          <w:lang w:eastAsia="fr-FR" w:bidi="fr-FR"/>
        </w:rPr>
        <w:t>i</w:t>
      </w:r>
      <w:r w:rsidRPr="00246AE4">
        <w:rPr>
          <w:color w:val="000000"/>
          <w:lang w:eastAsia="fr-FR" w:bidi="fr-FR"/>
        </w:rPr>
        <w:t>slation, dans notre région, sous l’Ancien Régime et pendant la période révolutionnaire</w:t>
      </w:r>
      <w:r>
        <w:rPr>
          <w:color w:val="000000"/>
          <w:lang w:eastAsia="fr-FR" w:bidi="fr-FR"/>
        </w:rPr>
        <w:t> </w:t>
      </w:r>
      <w:r>
        <w:rPr>
          <w:rStyle w:val="Appelnotedebasdep"/>
        </w:rPr>
        <w:footnoteReference w:id="746"/>
      </w:r>
      <w:r w:rsidRPr="00246AE4">
        <w:rPr>
          <w:color w:val="000000"/>
          <w:lang w:eastAsia="fr-FR" w:bidi="fr-FR"/>
        </w:rPr>
        <w:t xml:space="preserve">, et consultera avec profit les trop rares ouvrages dont nous disposons sur les routes terrestres et les voies fluviales : </w:t>
      </w:r>
      <w:r w:rsidRPr="006E027C">
        <w:rPr>
          <w:i/>
        </w:rPr>
        <w:t>Les ro</w:t>
      </w:r>
      <w:r w:rsidRPr="006E027C">
        <w:rPr>
          <w:i/>
        </w:rPr>
        <w:t>u</w:t>
      </w:r>
      <w:r w:rsidRPr="006E027C">
        <w:rPr>
          <w:i/>
        </w:rPr>
        <w:t>tes de Seine-et-Marne avant 1789</w:t>
      </w:r>
      <w:r w:rsidRPr="00246AE4">
        <w:t xml:space="preserve"> </w:t>
      </w:r>
      <w:r>
        <w:rPr>
          <w:color w:val="000000"/>
          <w:lang w:eastAsia="fr-FR" w:bidi="fr-FR"/>
        </w:rPr>
        <w:t>de M. </w:t>
      </w:r>
      <w:r w:rsidRPr="00246AE4">
        <w:rPr>
          <w:color w:val="000000"/>
          <w:lang w:eastAsia="fr-FR" w:bidi="fr-FR"/>
        </w:rPr>
        <w:t>Hugues</w:t>
      </w:r>
      <w:r>
        <w:rPr>
          <w:color w:val="000000"/>
          <w:lang w:eastAsia="fr-FR" w:bidi="fr-FR"/>
        </w:rPr>
        <w:t> </w:t>
      </w:r>
      <w:r>
        <w:rPr>
          <w:rStyle w:val="Appelnotedebasdep"/>
        </w:rPr>
        <w:footnoteReference w:id="747"/>
      </w:r>
      <w:r w:rsidRPr="00246AE4">
        <w:rPr>
          <w:color w:val="000000"/>
          <w:lang w:eastAsia="fr-FR" w:bidi="fr-FR"/>
        </w:rPr>
        <w:t xml:space="preserve">, les </w:t>
      </w:r>
      <w:r w:rsidRPr="006E027C">
        <w:rPr>
          <w:i/>
        </w:rPr>
        <w:t>Recherches</w:t>
      </w:r>
      <w:r w:rsidRPr="00246AE4">
        <w:rPr>
          <w:color w:val="000000"/>
          <w:lang w:eastAsia="fr-FR" w:bidi="fr-FR"/>
        </w:rPr>
        <w:t xml:space="preserve"> de M. Rourgeois </w:t>
      </w:r>
      <w:r w:rsidRPr="006E027C">
        <w:rPr>
          <w:i/>
        </w:rPr>
        <w:t>sur le port d'Étampes</w:t>
      </w:r>
      <w:r>
        <w:t> </w:t>
      </w:r>
      <w:r>
        <w:rPr>
          <w:rStyle w:val="Appelnotedebasdep"/>
        </w:rPr>
        <w:footnoteReference w:id="748"/>
      </w:r>
      <w:r w:rsidRPr="00246AE4">
        <w:rPr>
          <w:color w:val="000000"/>
          <w:lang w:eastAsia="fr-FR" w:bidi="fr-FR"/>
        </w:rPr>
        <w:t xml:space="preserve">, et de M. Paul </w:t>
      </w:r>
      <w:r w:rsidRPr="00246AE4">
        <w:rPr>
          <w:color w:val="000000"/>
          <w:lang w:eastAsia="fr-FR" w:bidi="fr-FR"/>
        </w:rPr>
        <w:lastRenderedPageBreak/>
        <w:t>Pinson sur la n</w:t>
      </w:r>
      <w:r w:rsidRPr="00246AE4">
        <w:rPr>
          <w:color w:val="000000"/>
          <w:lang w:eastAsia="fr-FR" w:bidi="fr-FR"/>
        </w:rPr>
        <w:t>a</w:t>
      </w:r>
      <w:r w:rsidRPr="00246AE4">
        <w:rPr>
          <w:color w:val="000000"/>
          <w:lang w:eastAsia="fr-FR" w:bidi="fr-FR"/>
        </w:rPr>
        <w:t>vigation de la Juine et de l’Essonne</w:t>
      </w:r>
      <w:r>
        <w:rPr>
          <w:color w:val="000000"/>
          <w:lang w:eastAsia="fr-FR" w:bidi="fr-FR"/>
        </w:rPr>
        <w:t> </w:t>
      </w:r>
      <w:r>
        <w:rPr>
          <w:rStyle w:val="Appelnotedebasdep"/>
        </w:rPr>
        <w:footnoteReference w:id="749"/>
      </w:r>
      <w:r w:rsidRPr="00246AE4">
        <w:rPr>
          <w:color w:val="000000"/>
          <w:lang w:eastAsia="fr-FR" w:bidi="fr-FR"/>
        </w:rPr>
        <w:t>, le livre où M. Guilmoto a d</w:t>
      </w:r>
      <w:r w:rsidRPr="00246AE4">
        <w:rPr>
          <w:color w:val="000000"/>
          <w:lang w:eastAsia="fr-FR" w:bidi="fr-FR"/>
        </w:rPr>
        <w:t>é</w:t>
      </w:r>
      <w:r w:rsidRPr="00246AE4">
        <w:rPr>
          <w:color w:val="000000"/>
          <w:lang w:eastAsia="fr-FR" w:bidi="fr-FR"/>
        </w:rPr>
        <w:t>nombré les péages de la Seine en aval de Paris</w:t>
      </w:r>
      <w:r>
        <w:rPr>
          <w:color w:val="000000"/>
          <w:lang w:eastAsia="fr-FR" w:bidi="fr-FR"/>
        </w:rPr>
        <w:t> </w:t>
      </w:r>
      <w:r>
        <w:rPr>
          <w:rStyle w:val="Appelnotedebasdep"/>
        </w:rPr>
        <w:footnoteReference w:id="750"/>
      </w:r>
      <w:r w:rsidRPr="00246AE4">
        <w:rPr>
          <w:color w:val="000000"/>
          <w:lang w:eastAsia="fr-FR" w:bidi="fr-FR"/>
        </w:rPr>
        <w:t>.</w:t>
      </w:r>
    </w:p>
    <w:p w14:paraId="2DEA4DA6" w14:textId="77777777" w:rsidR="00B9662D" w:rsidRPr="00246AE4" w:rsidRDefault="00B9662D" w:rsidP="00B9662D">
      <w:pPr>
        <w:spacing w:before="120" w:after="120"/>
        <w:jc w:val="both"/>
      </w:pPr>
      <w:r w:rsidRPr="00246AE4">
        <w:rPr>
          <w:color w:val="000000"/>
          <w:lang w:eastAsia="fr-FR" w:bidi="fr-FR"/>
        </w:rPr>
        <w:t xml:space="preserve">De l’histoire des industries, dans les pays qui nous occupent, on peut dire qu’elle reste tout entière à écrire. </w:t>
      </w:r>
      <w:r>
        <w:rPr>
          <w:color w:val="000000"/>
          <w:lang w:eastAsia="fr-FR" w:bidi="fr-FR"/>
        </w:rPr>
        <w:t>À</w:t>
      </w:r>
      <w:r w:rsidRPr="00246AE4">
        <w:rPr>
          <w:color w:val="000000"/>
          <w:lang w:eastAsia="fr-FR" w:bidi="fr-FR"/>
        </w:rPr>
        <w:t xml:space="preserve"> l’exception de deux art</w:t>
      </w:r>
      <w:r w:rsidRPr="00246AE4">
        <w:rPr>
          <w:color w:val="000000"/>
          <w:lang w:eastAsia="fr-FR" w:bidi="fr-FR"/>
        </w:rPr>
        <w:t>i</w:t>
      </w:r>
      <w:r w:rsidRPr="00246AE4">
        <w:rPr>
          <w:color w:val="000000"/>
          <w:lang w:eastAsia="fr-FR" w:bidi="fr-FR"/>
        </w:rPr>
        <w:t>cles sur les papeteries d’Essonnes</w:t>
      </w:r>
      <w:r>
        <w:rPr>
          <w:color w:val="000000"/>
          <w:lang w:eastAsia="fr-FR" w:bidi="fr-FR"/>
        </w:rPr>
        <w:t> </w:t>
      </w:r>
      <w:r>
        <w:rPr>
          <w:rStyle w:val="Appelnotedebasdep"/>
        </w:rPr>
        <w:footnoteReference w:id="751"/>
      </w:r>
      <w:r w:rsidRPr="00246AE4">
        <w:rPr>
          <w:color w:val="000000"/>
          <w:lang w:eastAsia="fr-FR" w:bidi="fr-FR"/>
        </w:rPr>
        <w:t xml:space="preserve">, je ne vois rien qui mérite d’être cité touchant la formation, l’organisation, le développement de ces groupes d’usines dont les hautes cheminées, au </w:t>
      </w:r>
      <w:r>
        <w:rPr>
          <w:color w:val="000000"/>
          <w:lang w:eastAsia="fr-FR" w:bidi="fr-FR"/>
        </w:rPr>
        <w:t>XIX</w:t>
      </w:r>
      <w:r w:rsidRPr="00246AE4">
        <w:rPr>
          <w:color w:val="000000"/>
          <w:vertAlign w:val="superscript"/>
          <w:lang w:eastAsia="fr-FR" w:bidi="fr-FR"/>
        </w:rPr>
        <w:t>e</w:t>
      </w:r>
      <w:r w:rsidRPr="00246AE4">
        <w:rPr>
          <w:color w:val="000000"/>
          <w:lang w:eastAsia="fr-FR" w:bidi="fr-FR"/>
        </w:rPr>
        <w:t xml:space="preserve"> siècle, ont so</w:t>
      </w:r>
      <w:r w:rsidRPr="00246AE4">
        <w:rPr>
          <w:color w:val="000000"/>
          <w:lang w:eastAsia="fr-FR" w:bidi="fr-FR"/>
        </w:rPr>
        <w:t>u</w:t>
      </w:r>
      <w:r w:rsidRPr="00246AE4">
        <w:rPr>
          <w:color w:val="000000"/>
          <w:lang w:eastAsia="fr-FR" w:bidi="fr-FR"/>
        </w:rPr>
        <w:t>vent apporté un trait</w:t>
      </w:r>
      <w:r>
        <w:rPr>
          <w:color w:val="000000"/>
          <w:lang w:eastAsia="fr-FR" w:bidi="fr-FR"/>
        </w:rPr>
        <w:t xml:space="preserve"> </w:t>
      </w:r>
      <w:r>
        <w:t xml:space="preserve">[785] </w:t>
      </w:r>
      <w:r w:rsidRPr="00246AE4">
        <w:rPr>
          <w:color w:val="000000"/>
          <w:lang w:eastAsia="fr-FR" w:bidi="fr-FR"/>
        </w:rPr>
        <w:t>nouveau aux paysages de l’</w:t>
      </w:r>
      <w:r>
        <w:rPr>
          <w:color w:val="000000"/>
          <w:lang w:eastAsia="fr-FR" w:bidi="fr-FR"/>
        </w:rPr>
        <w:t>Île-de-France</w:t>
      </w:r>
      <w:r w:rsidRPr="00246AE4">
        <w:rPr>
          <w:color w:val="000000"/>
          <w:lang w:eastAsia="fr-FR" w:bidi="fr-FR"/>
        </w:rPr>
        <w:t>. Le goût des études rel</w:t>
      </w:r>
      <w:r w:rsidRPr="00246AE4">
        <w:rPr>
          <w:color w:val="000000"/>
          <w:lang w:eastAsia="fr-FR" w:bidi="fr-FR"/>
        </w:rPr>
        <w:t>a</w:t>
      </w:r>
      <w:r w:rsidRPr="00246AE4">
        <w:rPr>
          <w:color w:val="000000"/>
          <w:lang w:eastAsia="fr-FR" w:bidi="fr-FR"/>
        </w:rPr>
        <w:t>tives aux faits économiques, devenu si vif chez certains historiens, n’a guère pénétré dans les milieux où se recrutent la plupart des érudits appliqués aux recherches d’histoire locale. Il est curieux de constater que ces études ne tiennent presque aucune place dans les périodiques publiés par les sociétés savantes de nos départ</w:t>
      </w:r>
      <w:r w:rsidRPr="00246AE4">
        <w:rPr>
          <w:color w:val="000000"/>
          <w:lang w:eastAsia="fr-FR" w:bidi="fr-FR"/>
        </w:rPr>
        <w:t>e</w:t>
      </w:r>
      <w:r w:rsidRPr="00246AE4">
        <w:rPr>
          <w:color w:val="000000"/>
          <w:lang w:eastAsia="fr-FR" w:bidi="fr-FR"/>
        </w:rPr>
        <w:t>ments. Négligence d’autant plus fâcheuse que l’histoire économique et, plus particulièrement, l’histoire industrielle fournirait aux travai</w:t>
      </w:r>
      <w:r w:rsidRPr="00246AE4">
        <w:rPr>
          <w:color w:val="000000"/>
          <w:lang w:eastAsia="fr-FR" w:bidi="fr-FR"/>
        </w:rPr>
        <w:t>l</w:t>
      </w:r>
      <w:r w:rsidRPr="00246AE4">
        <w:rPr>
          <w:color w:val="000000"/>
          <w:lang w:eastAsia="fr-FR" w:bidi="fr-FR"/>
        </w:rPr>
        <w:t>leurs locaux un grand nombre de sujets intéressants, pouvant sans dommage être traités dans des limites territoriales restreintes En part</w:t>
      </w:r>
      <w:r w:rsidRPr="00246AE4">
        <w:rPr>
          <w:color w:val="000000"/>
          <w:lang w:eastAsia="fr-FR" w:bidi="fr-FR"/>
        </w:rPr>
        <w:t>i</w:t>
      </w:r>
      <w:r w:rsidRPr="00246AE4">
        <w:rPr>
          <w:color w:val="000000"/>
          <w:lang w:eastAsia="fr-FR" w:bidi="fr-FR"/>
        </w:rPr>
        <w:t>culier, ces travai</w:t>
      </w:r>
      <w:r w:rsidRPr="00246AE4">
        <w:rPr>
          <w:color w:val="000000"/>
          <w:lang w:eastAsia="fr-FR" w:bidi="fr-FR"/>
        </w:rPr>
        <w:t>l</w:t>
      </w:r>
      <w:r w:rsidRPr="00246AE4">
        <w:rPr>
          <w:color w:val="000000"/>
          <w:lang w:eastAsia="fr-FR" w:bidi="fr-FR"/>
        </w:rPr>
        <w:t>leurs obtiendraient peut-être moins difficilement que d’autres, venus du dehors, l’accès des archives privées des entreprises industrielles où dorment tant de trésors. Retracée par un écrivain quelque peu au co</w:t>
      </w:r>
      <w:r w:rsidRPr="00246AE4">
        <w:rPr>
          <w:color w:val="000000"/>
          <w:lang w:eastAsia="fr-FR" w:bidi="fr-FR"/>
        </w:rPr>
        <w:t>u</w:t>
      </w:r>
      <w:r w:rsidRPr="00246AE4">
        <w:rPr>
          <w:color w:val="000000"/>
          <w:lang w:eastAsia="fr-FR" w:bidi="fr-FR"/>
        </w:rPr>
        <w:t>rant des données de la sociologie économique et rompu à ses classifications, l’histoire de quelques grandes usines s</w:t>
      </w:r>
      <w:r w:rsidRPr="00246AE4">
        <w:rPr>
          <w:color w:val="000000"/>
          <w:lang w:eastAsia="fr-FR" w:bidi="fr-FR"/>
        </w:rPr>
        <w:t>e</w:t>
      </w:r>
      <w:r w:rsidRPr="00246AE4">
        <w:rPr>
          <w:color w:val="000000"/>
          <w:lang w:eastAsia="fr-FR" w:bidi="fr-FR"/>
        </w:rPr>
        <w:t>rait une contribution précieuse à la connaissance du capitalisme fra</w:t>
      </w:r>
      <w:r w:rsidRPr="00246AE4">
        <w:rPr>
          <w:color w:val="000000"/>
          <w:lang w:eastAsia="fr-FR" w:bidi="fr-FR"/>
        </w:rPr>
        <w:t>n</w:t>
      </w:r>
      <w:r w:rsidRPr="00246AE4">
        <w:rPr>
          <w:color w:val="000000"/>
          <w:lang w:eastAsia="fr-FR" w:bidi="fr-FR"/>
        </w:rPr>
        <w:t>çais.</w:t>
      </w:r>
    </w:p>
    <w:p w14:paraId="10B1946D" w14:textId="77777777" w:rsidR="00B9662D" w:rsidRDefault="00B9662D" w:rsidP="00B9662D">
      <w:pPr>
        <w:spacing w:before="120" w:after="120"/>
        <w:jc w:val="both"/>
        <w:rPr>
          <w:color w:val="000000"/>
          <w:lang w:eastAsia="fr-FR" w:bidi="fr-FR"/>
        </w:rPr>
      </w:pPr>
      <w:r>
        <w:rPr>
          <w:color w:val="000000"/>
          <w:lang w:eastAsia="fr-FR" w:bidi="fr-FR"/>
        </w:rPr>
        <w:br w:type="page"/>
      </w:r>
      <w:r>
        <w:rPr>
          <w:color w:val="000000"/>
          <w:lang w:eastAsia="fr-FR" w:bidi="fr-FR"/>
        </w:rPr>
        <w:lastRenderedPageBreak/>
        <w:t>[785]</w:t>
      </w:r>
    </w:p>
    <w:p w14:paraId="0797D924" w14:textId="77777777" w:rsidR="00B9662D" w:rsidRDefault="00B9662D" w:rsidP="00B9662D">
      <w:pPr>
        <w:spacing w:before="120" w:after="120"/>
        <w:jc w:val="both"/>
        <w:rPr>
          <w:color w:val="000000"/>
          <w:lang w:eastAsia="fr-FR" w:bidi="fr-FR"/>
        </w:rPr>
      </w:pPr>
    </w:p>
    <w:p w14:paraId="6771EEC0" w14:textId="77777777" w:rsidR="00B9662D" w:rsidRPr="00246AE4" w:rsidRDefault="00B9662D" w:rsidP="00B9662D">
      <w:pPr>
        <w:pStyle w:val="planche"/>
      </w:pPr>
      <w:bookmarkStart w:id="36" w:name="Melanges_t2_pt_7_chap_II_V"/>
      <w:r w:rsidRPr="00246AE4">
        <w:t>V</w:t>
      </w:r>
      <w:r>
        <w:t xml:space="preserve">. — </w:t>
      </w:r>
      <w:r w:rsidRPr="00246AE4">
        <w:t>CONCLUSIONS</w:t>
      </w:r>
    </w:p>
    <w:bookmarkEnd w:id="36"/>
    <w:p w14:paraId="18E13031" w14:textId="77777777" w:rsidR="00B9662D" w:rsidRDefault="00B9662D" w:rsidP="00B9662D">
      <w:pPr>
        <w:spacing w:before="120" w:after="120"/>
        <w:jc w:val="both"/>
        <w:rPr>
          <w:color w:val="000000"/>
          <w:lang w:eastAsia="fr-FR" w:bidi="fr-FR"/>
        </w:rPr>
      </w:pPr>
    </w:p>
    <w:p w14:paraId="1202859F" w14:textId="77777777" w:rsidR="00B9662D" w:rsidRDefault="00B9662D" w:rsidP="00B9662D">
      <w:pPr>
        <w:spacing w:before="120" w:after="120"/>
        <w:jc w:val="both"/>
        <w:rPr>
          <w:color w:val="000000"/>
          <w:lang w:eastAsia="fr-FR" w:bidi="fr-FR"/>
        </w:rPr>
      </w:pPr>
    </w:p>
    <w:p w14:paraId="05CCD29F"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DB8D789" w14:textId="77777777" w:rsidR="00B9662D" w:rsidRPr="00246AE4" w:rsidRDefault="00B9662D" w:rsidP="00B9662D">
      <w:pPr>
        <w:spacing w:before="120" w:after="120"/>
        <w:jc w:val="both"/>
      </w:pPr>
      <w:r w:rsidRPr="00246AE4">
        <w:rPr>
          <w:color w:val="000000"/>
          <w:lang w:eastAsia="fr-FR" w:bidi="fr-FR"/>
        </w:rPr>
        <w:t>Un bénédictin dont j’ai plusieurs fois prononcé le nom, dom Cha</w:t>
      </w:r>
      <w:r w:rsidRPr="00246AE4">
        <w:rPr>
          <w:color w:val="000000"/>
          <w:lang w:eastAsia="fr-FR" w:bidi="fr-FR"/>
        </w:rPr>
        <w:t>r</w:t>
      </w:r>
      <w:r w:rsidRPr="00246AE4">
        <w:rPr>
          <w:color w:val="000000"/>
          <w:lang w:eastAsia="fr-FR" w:bidi="fr-FR"/>
        </w:rPr>
        <w:t xml:space="preserve">les Toussaint-Duplessis, consacrait en 1720 la préface de son </w:t>
      </w:r>
      <w:r w:rsidRPr="008D00DB">
        <w:rPr>
          <w:i/>
        </w:rPr>
        <w:t>Histoire de la Ville et des Seigneurs de Coucy </w:t>
      </w:r>
      <w:r>
        <w:rPr>
          <w:rStyle w:val="Appelnotedebasdep"/>
        </w:rPr>
        <w:footnoteReference w:id="752"/>
      </w:r>
      <w:r w:rsidRPr="00246AE4">
        <w:rPr>
          <w:color w:val="000000"/>
          <w:lang w:eastAsia="fr-FR" w:bidi="fr-FR"/>
        </w:rPr>
        <w:t xml:space="preserve"> à une défense en trois points des « histoires particulières »</w:t>
      </w:r>
      <w:r>
        <w:rPr>
          <w:color w:val="000000"/>
          <w:lang w:eastAsia="fr-FR" w:bidi="fr-FR"/>
        </w:rPr>
        <w:t> </w:t>
      </w:r>
      <w:r>
        <w:rPr>
          <w:rStyle w:val="Appelnotedebasdep"/>
        </w:rPr>
        <w:footnoteReference w:id="753"/>
      </w:r>
      <w:r w:rsidRPr="00246AE4">
        <w:rPr>
          <w:color w:val="000000"/>
          <w:lang w:eastAsia="fr-FR" w:bidi="fr-FR"/>
        </w:rPr>
        <w:t>, c’est-à-dire de l’histoire monograph</w:t>
      </w:r>
      <w:r w:rsidRPr="00246AE4">
        <w:rPr>
          <w:color w:val="000000"/>
          <w:lang w:eastAsia="fr-FR" w:bidi="fr-FR"/>
        </w:rPr>
        <w:t>i</w:t>
      </w:r>
      <w:r w:rsidRPr="00246AE4">
        <w:rPr>
          <w:color w:val="000000"/>
          <w:lang w:eastAsia="fr-FR" w:bidi="fr-FR"/>
        </w:rPr>
        <w:t>que, et plus spécialement de l’histoire locale. Utile sans doute au temps où il fut écrit, ce plaidoyer, aujourd’hui, paraîtrait superflu. Les histoires particulières ont depuis longtemps gagné leur procès. Je ne me ferai pas, à mon tour, leur avocat. Mais du long examen auquel nous avons soumis l’œuvre de l’histoire locale, dans une province française, quelques enseignements semblent se dégager.</w:t>
      </w:r>
    </w:p>
    <w:p w14:paraId="573157F8" w14:textId="77777777" w:rsidR="00B9662D" w:rsidRPr="00246AE4" w:rsidRDefault="00B9662D" w:rsidP="00B9662D">
      <w:pPr>
        <w:spacing w:before="120" w:after="120"/>
        <w:jc w:val="both"/>
      </w:pPr>
      <w:r w:rsidRPr="00246AE4">
        <w:rPr>
          <w:color w:val="000000"/>
          <w:lang w:eastAsia="fr-FR" w:bidi="fr-FR"/>
        </w:rPr>
        <w:t xml:space="preserve">Dom Toussaint-Duplessis écrivait : « Une histoire générale est, à bien la définir, un véritable abrégé de toutes les histoires » ; entendez : de toutes les histoires « particulières ». C’est aller trop loin. Coudre bout à bout des résumés pris sur des monographies spéciales ne sera jamais composer une synthèse. </w:t>
      </w:r>
      <w:r>
        <w:rPr>
          <w:color w:val="000000"/>
          <w:lang w:eastAsia="fr-FR" w:bidi="fr-FR"/>
        </w:rPr>
        <w:t>À</w:t>
      </w:r>
      <w:r w:rsidRPr="00246AE4">
        <w:rPr>
          <w:color w:val="000000"/>
          <w:lang w:eastAsia="fr-FR" w:bidi="fr-FR"/>
        </w:rPr>
        <w:t xml:space="preserve"> examiner un problème dans toute son étendue, on s’en fait une bien autre idée qu’à le morceler en une série de petits problèmes locaux. Le jour où nous posséderons une su</w:t>
      </w:r>
      <w:r w:rsidRPr="00246AE4">
        <w:rPr>
          <w:color w:val="000000"/>
          <w:lang w:eastAsia="fr-FR" w:bidi="fr-FR"/>
        </w:rPr>
        <w:t>i</w:t>
      </w:r>
      <w:r w:rsidRPr="00246AE4">
        <w:rPr>
          <w:color w:val="000000"/>
          <w:lang w:eastAsia="fr-FR" w:bidi="fr-FR"/>
        </w:rPr>
        <w:t>te d’études sur le lien féodal, dans toutes les régions de la France, ou mieux de l’Europe occidentale, nous nous trouverons en mesure de savoir ce que fut la féodalité, mais nous ne le saurons pas encore ; il faudra coordonner et comparer les résultats de ces enquêtes, reconna</w:t>
      </w:r>
      <w:r w:rsidRPr="00246AE4">
        <w:rPr>
          <w:color w:val="000000"/>
          <w:lang w:eastAsia="fr-FR" w:bidi="fr-FR"/>
        </w:rPr>
        <w:t>î</w:t>
      </w:r>
      <w:r w:rsidRPr="00246AE4">
        <w:rPr>
          <w:color w:val="000000"/>
          <w:lang w:eastAsia="fr-FR" w:bidi="fr-FR"/>
        </w:rPr>
        <w:t>tre les similitudes, expliquer et rejeter les anomalies, discerner les faits essentiels parmi l’infinité des particularités</w:t>
      </w:r>
      <w:r>
        <w:t xml:space="preserve"> [786] </w:t>
      </w:r>
      <w:r w:rsidRPr="00246AE4">
        <w:rPr>
          <w:color w:val="000000"/>
          <w:lang w:eastAsia="fr-FR" w:bidi="fr-FR"/>
        </w:rPr>
        <w:t>régionales ; ce sera un grand travail. Les recherches locales ne re</w:t>
      </w:r>
      <w:r w:rsidRPr="00246AE4">
        <w:rPr>
          <w:color w:val="000000"/>
          <w:lang w:eastAsia="fr-FR" w:bidi="fr-FR"/>
        </w:rPr>
        <w:t>n</w:t>
      </w:r>
      <w:r w:rsidRPr="00246AE4">
        <w:rPr>
          <w:color w:val="000000"/>
          <w:lang w:eastAsia="fr-FR" w:bidi="fr-FR"/>
        </w:rPr>
        <w:t>dent pas les études d’une portée plus vaste si aisées qu’elles en deviennent presque inut</w:t>
      </w:r>
      <w:r w:rsidRPr="00246AE4">
        <w:rPr>
          <w:color w:val="000000"/>
          <w:lang w:eastAsia="fr-FR" w:bidi="fr-FR"/>
        </w:rPr>
        <w:t>i</w:t>
      </w:r>
      <w:r w:rsidRPr="00246AE4">
        <w:rPr>
          <w:color w:val="000000"/>
          <w:lang w:eastAsia="fr-FR" w:bidi="fr-FR"/>
        </w:rPr>
        <w:t>les ; elles les rendent possibles, ce qui est déjà beaucoup. Les érudits qui s’y adonnent, préparent des matériaux pour une œuvre qui les d</w:t>
      </w:r>
      <w:r w:rsidRPr="00246AE4">
        <w:rPr>
          <w:color w:val="000000"/>
          <w:lang w:eastAsia="fr-FR" w:bidi="fr-FR"/>
        </w:rPr>
        <w:t>é</w:t>
      </w:r>
      <w:r w:rsidRPr="00246AE4">
        <w:rPr>
          <w:color w:val="000000"/>
          <w:lang w:eastAsia="fr-FR" w:bidi="fr-FR"/>
        </w:rPr>
        <w:lastRenderedPageBreak/>
        <w:t>passe. S’ils veulent que leur effort ne soit point perdu, que les pierres qu’ils apportent puissent trouver place dans l’édifice auquel elles sont destinées, il faut qu’ils songent, par avance, à cet édifice. En choisi</w:t>
      </w:r>
      <w:r w:rsidRPr="00246AE4">
        <w:rPr>
          <w:color w:val="000000"/>
          <w:lang w:eastAsia="fr-FR" w:bidi="fr-FR"/>
        </w:rPr>
        <w:t>s</w:t>
      </w:r>
      <w:r w:rsidRPr="00246AE4">
        <w:rPr>
          <w:color w:val="000000"/>
          <w:lang w:eastAsia="fr-FR" w:bidi="fr-FR"/>
        </w:rPr>
        <w:t>sant leur sujet, en le délimitant, ils feront bien de se demander : co</w:t>
      </w:r>
      <w:r w:rsidRPr="00246AE4">
        <w:rPr>
          <w:color w:val="000000"/>
          <w:lang w:eastAsia="fr-FR" w:bidi="fr-FR"/>
        </w:rPr>
        <w:t>m</w:t>
      </w:r>
      <w:r w:rsidRPr="00246AE4">
        <w:rPr>
          <w:color w:val="000000"/>
          <w:lang w:eastAsia="fr-FR" w:bidi="fr-FR"/>
        </w:rPr>
        <w:t>ment servirai-je le plus efficacement l’histoire générale ? Somme to</w:t>
      </w:r>
      <w:r w:rsidRPr="00246AE4">
        <w:rPr>
          <w:color w:val="000000"/>
          <w:lang w:eastAsia="fr-FR" w:bidi="fr-FR"/>
        </w:rPr>
        <w:t>u</w:t>
      </w:r>
      <w:r w:rsidRPr="00246AE4">
        <w:rPr>
          <w:color w:val="000000"/>
          <w:lang w:eastAsia="fr-FR" w:bidi="fr-FR"/>
        </w:rPr>
        <w:t>te, une bonne étude d’histoire locale pourrait, sans doute, se définir ainsi : une question d’intérêt général posée aux documents que fournit une région particulière</w:t>
      </w:r>
      <w:r>
        <w:rPr>
          <w:color w:val="000000"/>
          <w:lang w:eastAsia="fr-FR" w:bidi="fr-FR"/>
        </w:rPr>
        <w:t> </w:t>
      </w:r>
      <w:r>
        <w:rPr>
          <w:rStyle w:val="Appelnotedebasdep"/>
        </w:rPr>
        <w:footnoteReference w:id="754"/>
      </w:r>
      <w:r w:rsidRPr="00246AE4">
        <w:rPr>
          <w:color w:val="000000"/>
          <w:lang w:eastAsia="fr-FR" w:bidi="fr-FR"/>
        </w:rPr>
        <w:t>. L’énoncé de la que</w:t>
      </w:r>
      <w:r w:rsidRPr="00246AE4">
        <w:rPr>
          <w:color w:val="000000"/>
          <w:lang w:eastAsia="fr-FR" w:bidi="fr-FR"/>
        </w:rPr>
        <w:t>s</w:t>
      </w:r>
      <w:r w:rsidRPr="00246AE4">
        <w:rPr>
          <w:color w:val="000000"/>
          <w:lang w:eastAsia="fr-FR" w:bidi="fr-FR"/>
        </w:rPr>
        <w:t>tion, l’histoire générale le donnera ; ou du moins elle fournira un énoncé provisoire qui ne manquera pas de se modifier au contact des documents. Mais les lim</w:t>
      </w:r>
      <w:r w:rsidRPr="00246AE4">
        <w:rPr>
          <w:color w:val="000000"/>
          <w:lang w:eastAsia="fr-FR" w:bidi="fr-FR"/>
        </w:rPr>
        <w:t>i</w:t>
      </w:r>
      <w:r w:rsidRPr="00246AE4">
        <w:rPr>
          <w:color w:val="000000"/>
          <w:lang w:eastAsia="fr-FR" w:bidi="fr-FR"/>
        </w:rPr>
        <w:t>tes territoriales, comment les déterminer ? Ce travail de bornage est toujours infiniment délicat. En ce qui concerne l’</w:t>
      </w:r>
      <w:r>
        <w:rPr>
          <w:color w:val="000000"/>
          <w:lang w:eastAsia="fr-FR" w:bidi="fr-FR"/>
        </w:rPr>
        <w:t>Île-de-France</w:t>
      </w:r>
      <w:r w:rsidRPr="00246AE4">
        <w:rPr>
          <w:color w:val="000000"/>
          <w:lang w:eastAsia="fr-FR" w:bidi="fr-FR"/>
        </w:rPr>
        <w:t>, il offre des difficultés particulières.</w:t>
      </w:r>
    </w:p>
    <w:p w14:paraId="1B089D96" w14:textId="77777777" w:rsidR="00B9662D" w:rsidRPr="00246AE4" w:rsidRDefault="00B9662D" w:rsidP="00B9662D">
      <w:pPr>
        <w:spacing w:before="120" w:after="120"/>
        <w:jc w:val="both"/>
      </w:pPr>
      <w:r w:rsidRPr="00246AE4">
        <w:rPr>
          <w:color w:val="000000"/>
          <w:lang w:eastAsia="fr-FR" w:bidi="fr-FR"/>
        </w:rPr>
        <w:t>On a publié des études spéciales, politiques, économiques, artist</w:t>
      </w:r>
      <w:r w:rsidRPr="00246AE4">
        <w:rPr>
          <w:color w:val="000000"/>
          <w:lang w:eastAsia="fr-FR" w:bidi="fr-FR"/>
        </w:rPr>
        <w:t>i</w:t>
      </w:r>
      <w:r w:rsidRPr="00246AE4">
        <w:rPr>
          <w:color w:val="000000"/>
          <w:lang w:eastAsia="fr-FR" w:bidi="fr-FR"/>
        </w:rPr>
        <w:t>ques sur le passé de l’</w:t>
      </w:r>
      <w:r>
        <w:rPr>
          <w:color w:val="000000"/>
          <w:lang w:eastAsia="fr-FR" w:bidi="fr-FR"/>
        </w:rPr>
        <w:t>Île-de-France</w:t>
      </w:r>
      <w:r w:rsidRPr="00246AE4">
        <w:rPr>
          <w:color w:val="000000"/>
          <w:lang w:eastAsia="fr-FR" w:bidi="fr-FR"/>
        </w:rPr>
        <w:t>. Il est très significatif qu’on n’ait jamais écrit une histoire de l’</w:t>
      </w:r>
      <w:r>
        <w:rPr>
          <w:color w:val="000000"/>
          <w:lang w:eastAsia="fr-FR" w:bidi="fr-FR"/>
        </w:rPr>
        <w:t>Île-de-France </w:t>
      </w:r>
      <w:r>
        <w:rPr>
          <w:rStyle w:val="Appelnotedebasdep"/>
        </w:rPr>
        <w:footnoteReference w:id="755"/>
      </w:r>
      <w:r w:rsidRPr="00246AE4">
        <w:rPr>
          <w:color w:val="000000"/>
          <w:lang w:eastAsia="fr-FR" w:bidi="fr-FR"/>
        </w:rPr>
        <w:t>. Il convient d’espérer qu’on n’en écrira jamais. Composer une histoire provinciale n’est une entreprise légitime que si la province à laquelle on s’attache a formé, au cours des âges, un groupe social cohérent, distinct et même ennemi des groupes voisins, enfermé dans des frontières à peu près stables et conscient en quelque façon de son unité. Tel est le cas de certaines régions qui constituèrent jadis des États presque indépendants, et, d</w:t>
      </w:r>
      <w:r w:rsidRPr="00246AE4">
        <w:rPr>
          <w:color w:val="000000"/>
          <w:lang w:eastAsia="fr-FR" w:bidi="fr-FR"/>
        </w:rPr>
        <w:t>e</w:t>
      </w:r>
      <w:r w:rsidRPr="00246AE4">
        <w:rPr>
          <w:color w:val="000000"/>
          <w:lang w:eastAsia="fr-FR" w:bidi="fr-FR"/>
        </w:rPr>
        <w:t>venues ensuite françaises, gardèrent longtemps, dans leur organisation politique comme dans leurs mœurs, des traces de l’autonomie passée : Franche-Comté Lorraine, Bretagne, pa</w:t>
      </w:r>
      <w:r>
        <w:rPr>
          <w:color w:val="000000"/>
          <w:lang w:eastAsia="fr-FR" w:bidi="fr-FR"/>
        </w:rPr>
        <w:t>r exemple ou même Norma</w:t>
      </w:r>
      <w:r>
        <w:rPr>
          <w:color w:val="000000"/>
          <w:lang w:eastAsia="fr-FR" w:bidi="fr-FR"/>
        </w:rPr>
        <w:t>n</w:t>
      </w:r>
      <w:r>
        <w:rPr>
          <w:color w:val="000000"/>
          <w:lang w:eastAsia="fr-FR" w:bidi="fr-FR"/>
        </w:rPr>
        <w:t>die. L’Î</w:t>
      </w:r>
      <w:r w:rsidRPr="00246AE4">
        <w:rPr>
          <w:color w:val="000000"/>
          <w:lang w:eastAsia="fr-FR" w:bidi="fr-FR"/>
        </w:rPr>
        <w:t>le-de-France, au contraire, ne sortit du morcellement féodal que pour se fondre dans l’unité française. Les rues de Nancy et de B</w:t>
      </w:r>
      <w:r w:rsidRPr="00246AE4">
        <w:rPr>
          <w:color w:val="000000"/>
          <w:lang w:eastAsia="fr-FR" w:bidi="fr-FR"/>
        </w:rPr>
        <w:t>e</w:t>
      </w:r>
      <w:r w:rsidRPr="00246AE4">
        <w:rPr>
          <w:color w:val="000000"/>
          <w:lang w:eastAsia="fr-FR" w:bidi="fr-FR"/>
        </w:rPr>
        <w:t>sançon ont longtemps retenti des cris « Vive Lorraine ! » ou « Vive Bourgogne ! » ; qui cria jamais « Vive file de France ! » ? Le mot d’</w:t>
      </w:r>
      <w:r>
        <w:rPr>
          <w:color w:val="000000"/>
          <w:lang w:eastAsia="fr-FR" w:bidi="fr-FR"/>
        </w:rPr>
        <w:t>Île-de-France</w:t>
      </w:r>
      <w:r w:rsidRPr="00246AE4">
        <w:rPr>
          <w:color w:val="000000"/>
          <w:lang w:eastAsia="fr-FR" w:bidi="fr-FR"/>
        </w:rPr>
        <w:t xml:space="preserve"> est récent. Né, comme on l’a vu dans le petit pays e</w:t>
      </w:r>
      <w:r w:rsidRPr="00246AE4">
        <w:rPr>
          <w:color w:val="000000"/>
          <w:lang w:eastAsia="fr-FR" w:bidi="fr-FR"/>
        </w:rPr>
        <w:t>n</w:t>
      </w:r>
      <w:r w:rsidRPr="00246AE4">
        <w:rPr>
          <w:color w:val="000000"/>
          <w:lang w:eastAsia="fr-FR" w:bidi="fr-FR"/>
        </w:rPr>
        <w:t xml:space="preserve">tre Seine, Marne et Oise, il ne s’est appliqué à l’ensemble de la région parisienne que par une sorte de contresens administratif. Le vieux nom de France désignait vaguement la contrée au Nord de la Loire ; et son domaine s’est étendu ou restreint selon les hasards de la </w:t>
      </w:r>
      <w:r w:rsidRPr="00246AE4">
        <w:rPr>
          <w:color w:val="000000"/>
          <w:lang w:eastAsia="fr-FR" w:bidi="fr-FR"/>
        </w:rPr>
        <w:lastRenderedPageBreak/>
        <w:t>politique. Il est souvent commode de grouper,</w:t>
      </w:r>
      <w:r>
        <w:rPr>
          <w:color w:val="000000"/>
          <w:lang w:eastAsia="fr-FR" w:bidi="fr-FR"/>
        </w:rPr>
        <w:t> — </w:t>
      </w:r>
      <w:r w:rsidRPr="00246AE4">
        <w:rPr>
          <w:color w:val="000000"/>
          <w:lang w:eastAsia="fr-FR" w:bidi="fr-FR"/>
        </w:rPr>
        <w:t>comme nous l’avons fait ici</w:t>
      </w:r>
      <w:r>
        <w:rPr>
          <w:color w:val="000000"/>
          <w:lang w:eastAsia="fr-FR" w:bidi="fr-FR"/>
        </w:rPr>
        <w:t> — </w:t>
      </w:r>
      <w:r w:rsidRPr="00246AE4">
        <w:rPr>
          <w:color w:val="000000"/>
          <w:lang w:eastAsia="fr-FR" w:bidi="fr-FR"/>
        </w:rPr>
        <w:t>sous le nom de l’</w:t>
      </w:r>
      <w:r>
        <w:rPr>
          <w:color w:val="000000"/>
          <w:lang w:eastAsia="fr-FR" w:bidi="fr-FR"/>
        </w:rPr>
        <w:t>Île-de-France</w:t>
      </w:r>
      <w:r w:rsidRPr="00246AE4">
        <w:rPr>
          <w:color w:val="000000"/>
          <w:lang w:eastAsia="fr-FR" w:bidi="fr-FR"/>
        </w:rPr>
        <w:t>, les pays qui entourent Paris. Mais l’</w:t>
      </w:r>
      <w:r>
        <w:rPr>
          <w:color w:val="000000"/>
          <w:lang w:eastAsia="fr-FR" w:bidi="fr-FR"/>
        </w:rPr>
        <w:t>Île-de-France</w:t>
      </w:r>
      <w:r w:rsidRPr="00246AE4">
        <w:rPr>
          <w:color w:val="000000"/>
          <w:lang w:eastAsia="fr-FR" w:bidi="fr-FR"/>
        </w:rPr>
        <w:t xml:space="preserve"> est dépourvue d’unité régionale ; elle ne présente point de limites précises qui s’imposent à l’historien.</w:t>
      </w:r>
    </w:p>
    <w:p w14:paraId="34924AD3" w14:textId="77777777" w:rsidR="00B9662D" w:rsidRPr="00246AE4" w:rsidRDefault="00B9662D" w:rsidP="00B9662D">
      <w:pPr>
        <w:spacing w:before="120" w:after="120"/>
        <w:jc w:val="both"/>
      </w:pPr>
      <w:r>
        <w:rPr>
          <w:color w:val="000000"/>
          <w:lang w:eastAsia="fr-FR" w:bidi="fr-FR"/>
        </w:rPr>
        <w:t>Plus que l’Î</w:t>
      </w:r>
      <w:r w:rsidRPr="00246AE4">
        <w:rPr>
          <w:color w:val="000000"/>
          <w:lang w:eastAsia="fr-FR" w:bidi="fr-FR"/>
        </w:rPr>
        <w:t>le-de-France, quelques-uns des pays qui la comp</w:t>
      </w:r>
      <w:r w:rsidRPr="00246AE4">
        <w:rPr>
          <w:color w:val="000000"/>
          <w:lang w:eastAsia="fr-FR" w:bidi="fr-FR"/>
        </w:rPr>
        <w:t>o</w:t>
      </w:r>
      <w:r w:rsidRPr="00246AE4">
        <w:rPr>
          <w:color w:val="000000"/>
          <w:lang w:eastAsia="fr-FR" w:bidi="fr-FR"/>
        </w:rPr>
        <w:t>sent</w:t>
      </w:r>
      <w:r>
        <w:rPr>
          <w:color w:val="000000"/>
          <w:lang w:eastAsia="fr-FR" w:bidi="fr-FR"/>
        </w:rPr>
        <w:t> — </w:t>
      </w:r>
      <w:r w:rsidRPr="00246AE4">
        <w:rPr>
          <w:color w:val="000000"/>
          <w:lang w:eastAsia="fr-FR" w:bidi="fr-FR"/>
        </w:rPr>
        <w:t>Beauce ou Brie par exemple</w:t>
      </w:r>
      <w:r>
        <w:rPr>
          <w:color w:val="000000"/>
          <w:lang w:eastAsia="fr-FR" w:bidi="fr-FR"/>
        </w:rPr>
        <w:t> — </w:t>
      </w:r>
      <w:r w:rsidRPr="00246AE4">
        <w:rPr>
          <w:color w:val="000000"/>
          <w:lang w:eastAsia="fr-FR" w:bidi="fr-FR"/>
        </w:rPr>
        <w:t>ont une individualité tranchée. Mais à côté d’eux des territoires assez vastes</w:t>
      </w:r>
      <w:r>
        <w:rPr>
          <w:color w:val="000000"/>
          <w:lang w:eastAsia="fr-FR" w:bidi="fr-FR"/>
        </w:rPr>
        <w:t> — </w:t>
      </w:r>
      <w:r w:rsidRPr="00246AE4">
        <w:rPr>
          <w:color w:val="000000"/>
          <w:lang w:eastAsia="fr-FR" w:bidi="fr-FR"/>
        </w:rPr>
        <w:t>tel celui qui s’étend au Sud de la Seine jusqu’à la Beauce</w:t>
      </w:r>
      <w:r>
        <w:rPr>
          <w:color w:val="000000"/>
          <w:lang w:eastAsia="fr-FR" w:bidi="fr-FR"/>
        </w:rPr>
        <w:t> — </w:t>
      </w:r>
      <w:r w:rsidRPr="00246AE4">
        <w:rPr>
          <w:color w:val="000000"/>
          <w:lang w:eastAsia="fr-FR" w:bidi="fr-FR"/>
        </w:rPr>
        <w:t>manquent de caractères spéc</w:t>
      </w:r>
      <w:r w:rsidRPr="00246AE4">
        <w:rPr>
          <w:color w:val="000000"/>
          <w:lang w:eastAsia="fr-FR" w:bidi="fr-FR"/>
        </w:rPr>
        <w:t>i</w:t>
      </w:r>
      <w:r w:rsidRPr="00246AE4">
        <w:rPr>
          <w:color w:val="000000"/>
          <w:lang w:eastAsia="fr-FR" w:bidi="fr-FR"/>
        </w:rPr>
        <w:t>fiques bien nets ; le langage populaire les ignore ; ils n’ont pas de noms qui les distinguent</w:t>
      </w:r>
      <w:r>
        <w:t xml:space="preserve"> [787]</w:t>
      </w:r>
      <w:r w:rsidRPr="00246AE4">
        <w:rPr>
          <w:color w:val="000000"/>
          <w:lang w:eastAsia="fr-FR" w:bidi="fr-FR"/>
        </w:rPr>
        <w:t xml:space="preserve"> des terres voisines. Puis nos « pays », même les plus particuliers, doivent leur originalité uniquement à leur sol et aux cond</w:t>
      </w:r>
      <w:r w:rsidRPr="00246AE4">
        <w:rPr>
          <w:color w:val="000000"/>
          <w:lang w:eastAsia="fr-FR" w:bidi="fr-FR"/>
        </w:rPr>
        <w:t>i</w:t>
      </w:r>
      <w:r w:rsidRPr="00246AE4">
        <w:rPr>
          <w:color w:val="000000"/>
          <w:lang w:eastAsia="fr-FR" w:bidi="fr-FR"/>
        </w:rPr>
        <w:t>tions que ce sol impose à la vie économique, ou mieux à la vie rurale. On conçoit une histoire de l’agriculture en Beauce ; on n’imagine guère une histoire politique ou religieuse de la Beauce. E</w:t>
      </w:r>
      <w:r w:rsidRPr="00246AE4">
        <w:rPr>
          <w:color w:val="000000"/>
          <w:lang w:eastAsia="fr-FR" w:bidi="fr-FR"/>
        </w:rPr>
        <w:t>n</w:t>
      </w:r>
      <w:r w:rsidRPr="00246AE4">
        <w:rPr>
          <w:color w:val="000000"/>
          <w:lang w:eastAsia="fr-FR" w:bidi="fr-FR"/>
        </w:rPr>
        <w:t>core importe-t-il d’observer que, spécialisée dans un certain mode de culture, qui ne suffît point à l’alimentation de ses habitants, la Beauce, dans sa vie économique même, dépend des territoires qui l’entourent ; il est difficile de l’étudier isolément. En somme, le « pays » offre r</w:t>
      </w:r>
      <w:r w:rsidRPr="00246AE4">
        <w:rPr>
          <w:color w:val="000000"/>
          <w:lang w:eastAsia="fr-FR" w:bidi="fr-FR"/>
        </w:rPr>
        <w:t>a</w:t>
      </w:r>
      <w:r w:rsidRPr="00246AE4">
        <w:rPr>
          <w:color w:val="000000"/>
          <w:lang w:eastAsia="fr-FR" w:bidi="fr-FR"/>
        </w:rPr>
        <w:t>rement aux recherches historiques un cadre commode.</w:t>
      </w:r>
    </w:p>
    <w:p w14:paraId="6B4D577E" w14:textId="77777777" w:rsidR="00B9662D" w:rsidRPr="00246AE4" w:rsidRDefault="00B9662D" w:rsidP="00B9662D">
      <w:pPr>
        <w:spacing w:before="120" w:after="120"/>
        <w:jc w:val="both"/>
      </w:pPr>
      <w:r w:rsidRPr="00246AE4">
        <w:rPr>
          <w:color w:val="000000"/>
          <w:lang w:eastAsia="fr-FR" w:bidi="fr-FR"/>
        </w:rPr>
        <w:t>Les frontières des circonscriptions administratives et religieuses sont d’ordinaire assez nettes. C’est pourquoi sans doute les historiens ont souvent choisi ces frontières pour celles de leurs travaux. On a composé un recueil de documents sur les Templiers dans l’Eure-et-Loir. L’alliance des deux mots fait sourire. Après tout, cette bizarrerie est inoffensive : il ne s’agit que d’une compilation de textes. On a écrit sur l’agriculture en Seine-et-Marne, avant et après 1789. L’erreur, ici, est plus grave, même en ce qui touche la période post</w:t>
      </w:r>
      <w:r w:rsidRPr="00246AE4">
        <w:rPr>
          <w:color w:val="000000"/>
          <w:lang w:eastAsia="fr-FR" w:bidi="fr-FR"/>
        </w:rPr>
        <w:t>é</w:t>
      </w:r>
      <w:r w:rsidRPr="00246AE4">
        <w:rPr>
          <w:color w:val="000000"/>
          <w:lang w:eastAsia="fr-FR" w:bidi="fr-FR"/>
        </w:rPr>
        <w:t xml:space="preserve">rieure à </w:t>
      </w:r>
      <w:r>
        <w:rPr>
          <w:color w:val="000000"/>
          <w:lang w:eastAsia="fr-FR" w:bidi="fr-FR"/>
        </w:rPr>
        <w:t>la Révolution. Car la Seine-et-</w:t>
      </w:r>
      <w:r w:rsidRPr="00246AE4">
        <w:rPr>
          <w:color w:val="000000"/>
          <w:lang w:eastAsia="fr-FR" w:bidi="fr-FR"/>
        </w:rPr>
        <w:t>Marne comprend des régions agricoles très diverses, dont aucune n’est tout entière contenue dans le département. Les généralités, les départements, les diocèses même furent délimités avec trop d’arbitraire, pour que les historiens, en g</w:t>
      </w:r>
      <w:r w:rsidRPr="00246AE4">
        <w:rPr>
          <w:color w:val="000000"/>
          <w:lang w:eastAsia="fr-FR" w:bidi="fr-FR"/>
        </w:rPr>
        <w:t>é</w:t>
      </w:r>
      <w:r w:rsidRPr="00246AE4">
        <w:rPr>
          <w:color w:val="000000"/>
          <w:lang w:eastAsia="fr-FR" w:bidi="fr-FR"/>
        </w:rPr>
        <w:t>néral, trouvent avantage à s’y enfermer.</w:t>
      </w:r>
    </w:p>
    <w:p w14:paraId="11226A9F" w14:textId="77777777" w:rsidR="00B9662D" w:rsidRPr="00246AE4" w:rsidRDefault="00B9662D" w:rsidP="00B9662D">
      <w:pPr>
        <w:spacing w:before="120" w:after="120"/>
        <w:jc w:val="both"/>
      </w:pPr>
      <w:r w:rsidRPr="00246AE4">
        <w:rPr>
          <w:color w:val="000000"/>
          <w:lang w:eastAsia="fr-FR" w:bidi="fr-FR"/>
        </w:rPr>
        <w:t>Nous remarquions, au début de la présente étude, que chaque di</w:t>
      </w:r>
      <w:r w:rsidRPr="00246AE4">
        <w:rPr>
          <w:color w:val="000000"/>
          <w:lang w:eastAsia="fr-FR" w:bidi="fr-FR"/>
        </w:rPr>
        <w:t>s</w:t>
      </w:r>
      <w:r w:rsidRPr="00246AE4">
        <w:rPr>
          <w:color w:val="000000"/>
          <w:lang w:eastAsia="fr-FR" w:bidi="fr-FR"/>
        </w:rPr>
        <w:t>cipline emploie le mot d’</w:t>
      </w:r>
      <w:r>
        <w:rPr>
          <w:color w:val="000000"/>
          <w:lang w:eastAsia="fr-FR" w:bidi="fr-FR"/>
        </w:rPr>
        <w:t>Île-de-France</w:t>
      </w:r>
      <w:r w:rsidRPr="00246AE4">
        <w:rPr>
          <w:color w:val="000000"/>
          <w:lang w:eastAsia="fr-FR" w:bidi="fr-FR"/>
        </w:rPr>
        <w:t xml:space="preserve"> dans un sens différent. L’Ile de France du linguiste ne se confond ni avec l’Ile de France de l’archéologue, ni avec celle que décrivent les traités de géologie. D</w:t>
      </w:r>
      <w:r w:rsidRPr="00246AE4">
        <w:rPr>
          <w:color w:val="000000"/>
          <w:lang w:eastAsia="fr-FR" w:bidi="fr-FR"/>
        </w:rPr>
        <w:t>i</w:t>
      </w:r>
      <w:r w:rsidRPr="00246AE4">
        <w:rPr>
          <w:color w:val="000000"/>
          <w:lang w:eastAsia="fr-FR" w:bidi="fr-FR"/>
        </w:rPr>
        <w:t xml:space="preserve">versité étonnante, au premier abord. Pour peu qu’on y réfléchisse, elle apparaît comme légitime et même comme nécessaire. Les limites du </w:t>
      </w:r>
      <w:r w:rsidRPr="00246AE4">
        <w:rPr>
          <w:color w:val="000000"/>
          <w:lang w:eastAsia="fr-FR" w:bidi="fr-FR"/>
        </w:rPr>
        <w:lastRenderedPageBreak/>
        <w:t>champ d’observation doivent varier avec l’objet que le savant observe. Pourquoi vouloir que le juriste qui s’intéresse à la féodalité, l’économiste que préoccupe l’évolution de la propriété rurale, aux temps modernes, le philologue qui poursuit des travaux sur les parlers populaires, s’arrêtent tous aux mêmes frontières ? Il n’y a point de cadres régionaux tout faits dont l’historien puisse se contenter, quoi qu’il étudie. Selon qu’il s’attache à telle ou telle question, il se fera à lui-même sa région, chaque fois différente.</w:t>
      </w:r>
    </w:p>
    <w:p w14:paraId="7061142D" w14:textId="77777777" w:rsidR="00B9662D" w:rsidRDefault="00B9662D" w:rsidP="00B9662D">
      <w:pPr>
        <w:spacing w:before="120" w:after="120"/>
        <w:jc w:val="both"/>
      </w:pPr>
    </w:p>
    <w:p w14:paraId="574FE7F3" w14:textId="77777777" w:rsidR="00B9662D" w:rsidRDefault="00B9662D" w:rsidP="00B9662D">
      <w:pPr>
        <w:spacing w:before="120" w:after="120"/>
        <w:jc w:val="both"/>
      </w:pPr>
    </w:p>
    <w:p w14:paraId="2F823ACE" w14:textId="77777777" w:rsidR="00B9662D" w:rsidRDefault="00B9662D" w:rsidP="00B9662D">
      <w:pPr>
        <w:pStyle w:val="p"/>
      </w:pPr>
      <w:r>
        <w:t>[788]</w:t>
      </w:r>
    </w:p>
    <w:p w14:paraId="3216CF66" w14:textId="77777777" w:rsidR="00B9662D" w:rsidRDefault="00B9662D" w:rsidP="00B9662D">
      <w:pPr>
        <w:spacing w:before="120" w:after="120"/>
        <w:ind w:firstLine="0"/>
        <w:jc w:val="both"/>
      </w:pPr>
      <w:r w:rsidRPr="00246AE4">
        <w:br w:type="page"/>
      </w:r>
      <w:r>
        <w:lastRenderedPageBreak/>
        <w:t>[789]</w:t>
      </w:r>
    </w:p>
    <w:p w14:paraId="301F3860" w14:textId="77777777" w:rsidR="00B9662D" w:rsidRDefault="00B9662D" w:rsidP="00B9662D">
      <w:pPr>
        <w:spacing w:before="120" w:after="120"/>
        <w:ind w:firstLine="0"/>
        <w:jc w:val="both"/>
      </w:pPr>
    </w:p>
    <w:p w14:paraId="38C276D2" w14:textId="77777777" w:rsidR="00B9662D" w:rsidRDefault="00B9662D" w:rsidP="00B9662D">
      <w:pPr>
        <w:spacing w:before="120" w:after="120"/>
        <w:ind w:firstLine="0"/>
        <w:jc w:val="both"/>
      </w:pPr>
    </w:p>
    <w:p w14:paraId="175515C2" w14:textId="77777777" w:rsidR="00B9662D" w:rsidRPr="00246AE4" w:rsidRDefault="00B9662D" w:rsidP="00B9662D">
      <w:pPr>
        <w:spacing w:before="120" w:after="120"/>
        <w:ind w:firstLine="0"/>
        <w:jc w:val="both"/>
      </w:pPr>
    </w:p>
    <w:p w14:paraId="3630612F" w14:textId="77777777" w:rsidR="00B9662D" w:rsidRPr="00246AE4" w:rsidRDefault="00B9662D" w:rsidP="00B9662D">
      <w:pPr>
        <w:spacing w:before="120" w:after="120"/>
        <w:ind w:firstLine="0"/>
        <w:jc w:val="both"/>
      </w:pPr>
    </w:p>
    <w:p w14:paraId="790D1A44" w14:textId="77777777" w:rsidR="00B9662D" w:rsidRPr="00A348D6" w:rsidRDefault="00B9662D" w:rsidP="00B9662D">
      <w:pPr>
        <w:spacing w:before="120" w:after="120"/>
        <w:ind w:firstLine="0"/>
        <w:jc w:val="center"/>
        <w:rPr>
          <w:color w:val="000000"/>
          <w:sz w:val="40"/>
          <w:lang w:eastAsia="fr-FR" w:bidi="fr-FR"/>
        </w:rPr>
      </w:pPr>
      <w:bookmarkStart w:id="37" w:name="Melanges_t2_pt_8"/>
      <w:r w:rsidRPr="00A348D6">
        <w:rPr>
          <w:color w:val="000000"/>
          <w:sz w:val="40"/>
          <w:lang w:eastAsia="fr-FR" w:bidi="fr-FR"/>
        </w:rPr>
        <w:t>HUITIÈME PARTIE</w:t>
      </w:r>
    </w:p>
    <w:p w14:paraId="06B5ACE0" w14:textId="77777777" w:rsidR="00B9662D" w:rsidRPr="00246AE4" w:rsidRDefault="00B9662D" w:rsidP="00B9662D">
      <w:pPr>
        <w:spacing w:before="120" w:after="120"/>
        <w:ind w:firstLine="0"/>
        <w:jc w:val="both"/>
      </w:pPr>
    </w:p>
    <w:p w14:paraId="02B5BEC2" w14:textId="77777777" w:rsidR="00B9662D" w:rsidRPr="00A348D6" w:rsidRDefault="00B9662D" w:rsidP="00B9662D">
      <w:pPr>
        <w:spacing w:before="120" w:after="120"/>
        <w:ind w:firstLine="0"/>
        <w:jc w:val="center"/>
        <w:rPr>
          <w:sz w:val="48"/>
        </w:rPr>
      </w:pPr>
      <w:r w:rsidRPr="00A348D6">
        <w:rPr>
          <w:color w:val="000000"/>
          <w:sz w:val="48"/>
          <w:lang w:eastAsia="fr-FR" w:bidi="fr-FR"/>
        </w:rPr>
        <w:t>HISTOIRE DE L’ÉCONOMIE</w:t>
      </w:r>
      <w:r w:rsidRPr="00A348D6">
        <w:rPr>
          <w:color w:val="000000"/>
          <w:sz w:val="48"/>
          <w:lang w:eastAsia="fr-FR" w:bidi="fr-FR"/>
        </w:rPr>
        <w:br/>
        <w:t>ET DES TECHNIQUES</w:t>
      </w:r>
    </w:p>
    <w:bookmarkEnd w:id="37"/>
    <w:p w14:paraId="1163C07E" w14:textId="77777777" w:rsidR="00B9662D" w:rsidRDefault="00B9662D" w:rsidP="00B9662D">
      <w:pPr>
        <w:spacing w:before="120" w:after="120"/>
        <w:jc w:val="both"/>
      </w:pPr>
    </w:p>
    <w:p w14:paraId="3ADC551A" w14:textId="77777777" w:rsidR="00B9662D" w:rsidRDefault="00B9662D" w:rsidP="00B9662D">
      <w:pPr>
        <w:spacing w:before="120" w:after="120"/>
        <w:jc w:val="both"/>
      </w:pPr>
    </w:p>
    <w:p w14:paraId="31B9A12F" w14:textId="77777777" w:rsidR="00B9662D" w:rsidRDefault="00B9662D" w:rsidP="00B9662D">
      <w:pPr>
        <w:spacing w:before="120" w:after="120"/>
        <w:jc w:val="both"/>
      </w:pPr>
    </w:p>
    <w:p w14:paraId="396960A4" w14:textId="77777777" w:rsidR="00B9662D" w:rsidRDefault="00B9662D" w:rsidP="00B9662D">
      <w:pPr>
        <w:spacing w:before="120" w:after="120"/>
        <w:jc w:val="both"/>
      </w:pPr>
    </w:p>
    <w:p w14:paraId="1AAD41E1" w14:textId="77777777" w:rsidR="00B9662D" w:rsidRDefault="00B9662D" w:rsidP="00B9662D">
      <w:pPr>
        <w:pStyle w:val="p"/>
      </w:pPr>
      <w:r>
        <w:t>[790]</w:t>
      </w:r>
    </w:p>
    <w:p w14:paraId="03C52777" w14:textId="77777777" w:rsidR="00B9662D" w:rsidRPr="00E07116" w:rsidRDefault="00B9662D" w:rsidP="00B9662D">
      <w:pPr>
        <w:pStyle w:val="p"/>
      </w:pPr>
      <w:r w:rsidRPr="00246AE4">
        <w:br w:type="page"/>
      </w:r>
      <w:r w:rsidR="00287BD5" w:rsidRPr="00246AE4">
        <w:rPr>
          <w:noProof/>
          <w:lang w:bidi="fr-FR"/>
        </w:rPr>
        <w:lastRenderedPageBreak/>
        <mc:AlternateContent>
          <mc:Choice Requires="wps">
            <w:drawing>
              <wp:anchor distT="0" distB="0" distL="63500" distR="63500" simplePos="0" relativeHeight="251657728" behindDoc="0" locked="0" layoutInCell="1" allowOverlap="1" wp14:anchorId="16429B07" wp14:editId="14422700">
                <wp:simplePos x="0" y="0"/>
                <wp:positionH relativeFrom="margin">
                  <wp:posOffset>-106045</wp:posOffset>
                </wp:positionH>
                <wp:positionV relativeFrom="paragraph">
                  <wp:posOffset>0</wp:posOffset>
                </wp:positionV>
                <wp:extent cx="201295" cy="121920"/>
                <wp:effectExtent l="0" t="0" r="0" b="0"/>
                <wp:wrapNone/>
                <wp:docPr id="56118866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295" cy="121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10CD0" w14:textId="77777777" w:rsidR="00B9662D" w:rsidRDefault="00B9662D" w:rsidP="00B9662D"/>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429B07" id="Text Box 7" o:spid="_x0000_s1027" type="#_x0000_t202" style="position:absolute;margin-left:-8.35pt;margin-top:0;width:15.85pt;height:9.6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" filled="f" stroked="f">
                <v:path arrowok="t"/>
                <v:textbox style="layout-flow:vertical;mso-layout-flow-alt:bottom-to-top" inset="0,0,0,0">
                  <w:txbxContent>
                    <w:p w14:paraId="26E10CD0" w14:textId="77777777" w:rsidR="00B9662D" w:rsidRDefault="00B9662D" w:rsidP="00B9662D"/>
                  </w:txbxContent>
                </v:textbox>
                <w10:wrap anchorx="margin"/>
              </v:shape>
            </w:pict>
          </mc:Fallback>
        </mc:AlternateContent>
      </w:r>
      <w:r>
        <w:t>[791]</w:t>
      </w:r>
    </w:p>
    <w:p w14:paraId="3D87A1B9" w14:textId="77777777" w:rsidR="00B9662D" w:rsidRDefault="00B9662D" w:rsidP="00B9662D">
      <w:pPr>
        <w:jc w:val="both"/>
      </w:pPr>
    </w:p>
    <w:p w14:paraId="17541777" w14:textId="77777777" w:rsidR="00B9662D" w:rsidRDefault="00B9662D" w:rsidP="00B9662D">
      <w:pPr>
        <w:jc w:val="both"/>
      </w:pPr>
    </w:p>
    <w:p w14:paraId="1015013B" w14:textId="77777777" w:rsidR="00B9662D" w:rsidRPr="00E07116" w:rsidRDefault="00B9662D" w:rsidP="00B9662D">
      <w:pPr>
        <w:jc w:val="both"/>
      </w:pPr>
    </w:p>
    <w:p w14:paraId="10DCF579" w14:textId="77777777" w:rsidR="00B9662D" w:rsidRPr="00F54CC7" w:rsidRDefault="00B9662D" w:rsidP="00B9662D">
      <w:pPr>
        <w:spacing w:after="120"/>
        <w:ind w:firstLine="0"/>
        <w:jc w:val="center"/>
        <w:rPr>
          <w:sz w:val="24"/>
        </w:rPr>
      </w:pPr>
      <w:bookmarkStart w:id="38" w:name="Melanges_t2_pt_8_chap_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07C1EFEA"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361D8607" w14:textId="77777777" w:rsidR="00B9662D" w:rsidRPr="00384B20" w:rsidRDefault="00B9662D" w:rsidP="00B9662D">
      <w:pPr>
        <w:pStyle w:val="Titreniveau1"/>
      </w:pPr>
      <w:r w:rsidRPr="00384B20">
        <w:t>Chapitre I</w:t>
      </w:r>
    </w:p>
    <w:p w14:paraId="25AB7FDB" w14:textId="77777777" w:rsidR="00B9662D" w:rsidRPr="00E07116" w:rsidRDefault="00B9662D" w:rsidP="00B9662D">
      <w:pPr>
        <w:jc w:val="both"/>
        <w:rPr>
          <w:szCs w:val="36"/>
        </w:rPr>
      </w:pPr>
    </w:p>
    <w:p w14:paraId="3F54A8B6" w14:textId="77777777" w:rsidR="00B9662D" w:rsidRPr="00E07116" w:rsidRDefault="00B9662D" w:rsidP="00B9662D">
      <w:pPr>
        <w:pStyle w:val="Titreniveau2"/>
      </w:pPr>
      <w:r>
        <w:t>LES TRANSFORMATIONS</w:t>
      </w:r>
      <w:r>
        <w:br/>
        <w:t>DES TECHNIQUES COMME</w:t>
      </w:r>
      <w:r>
        <w:br/>
        <w:t>PROBLÈME DE PSYCHOLOGIE</w:t>
      </w:r>
      <w:r>
        <w:br/>
        <w:t>CO</w:t>
      </w:r>
      <w:r>
        <w:t>L</w:t>
      </w:r>
      <w:r>
        <w:t>LECTIVE </w:t>
      </w:r>
      <w:r>
        <w:rPr>
          <w:rStyle w:val="Appelnotedebasdep"/>
        </w:rPr>
        <w:footnoteReference w:id="756"/>
      </w:r>
    </w:p>
    <w:bookmarkEnd w:id="38"/>
    <w:p w14:paraId="2DD911C7" w14:textId="77777777" w:rsidR="00B9662D" w:rsidRDefault="00B9662D" w:rsidP="00B9662D">
      <w:pPr>
        <w:jc w:val="both"/>
        <w:rPr>
          <w:szCs w:val="36"/>
        </w:rPr>
      </w:pPr>
    </w:p>
    <w:p w14:paraId="7B8BD9F4" w14:textId="77777777" w:rsidR="00B9662D" w:rsidRPr="00246AE4" w:rsidRDefault="00B9662D" w:rsidP="00B9662D">
      <w:pPr>
        <w:pStyle w:val="planche"/>
      </w:pPr>
      <w:r w:rsidRPr="00246AE4">
        <w:t>I</w:t>
      </w:r>
    </w:p>
    <w:p w14:paraId="3F355D9A" w14:textId="77777777" w:rsidR="00B9662D" w:rsidRDefault="00B9662D" w:rsidP="00B9662D">
      <w:pPr>
        <w:spacing w:before="120" w:after="120"/>
        <w:jc w:val="both"/>
        <w:rPr>
          <w:color w:val="000000"/>
          <w:lang w:eastAsia="fr-FR" w:bidi="fr-FR"/>
        </w:rPr>
      </w:pPr>
    </w:p>
    <w:p w14:paraId="7D54AF7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4DB5B5E" w14:textId="77777777" w:rsidR="00B9662D" w:rsidRPr="00246AE4" w:rsidRDefault="00B9662D" w:rsidP="00B9662D">
      <w:pPr>
        <w:spacing w:before="120" w:after="120"/>
        <w:jc w:val="both"/>
      </w:pPr>
      <w:r w:rsidRPr="00246AE4">
        <w:rPr>
          <w:color w:val="000000"/>
          <w:lang w:eastAsia="fr-FR" w:bidi="fr-FR"/>
        </w:rPr>
        <w:t>Avant d’aborder ma communication proprement dite, il me sera permis, j’espère, de prononcer quelques mots, très simples, d’amitié intellectuelle, en même temps que de remerciement.</w:t>
      </w:r>
    </w:p>
    <w:p w14:paraId="5E4CEC67" w14:textId="77777777" w:rsidR="00B9662D" w:rsidRPr="00246AE4" w:rsidRDefault="00B9662D" w:rsidP="00B9662D">
      <w:pPr>
        <w:spacing w:before="120" w:after="120"/>
        <w:jc w:val="both"/>
      </w:pPr>
      <w:r w:rsidRPr="00246AE4">
        <w:rPr>
          <w:color w:val="000000"/>
          <w:lang w:eastAsia="fr-FR" w:bidi="fr-FR"/>
        </w:rPr>
        <w:t>C’est un signe excellent, me semble-t-il, que les psychologues de profession, auxquels nous devons cette réunion, aient eu l’idée d’y convier des représentants de directions d’études très diverses ; qu’en particulier, parmi les disciplines ainsi appelées, par leurs soins, à tr</w:t>
      </w:r>
      <w:r w:rsidRPr="00246AE4">
        <w:rPr>
          <w:color w:val="000000"/>
          <w:lang w:eastAsia="fr-FR" w:bidi="fr-FR"/>
        </w:rPr>
        <w:t>a</w:t>
      </w:r>
      <w:r w:rsidRPr="00246AE4">
        <w:rPr>
          <w:color w:val="000000"/>
          <w:lang w:eastAsia="fr-FR" w:bidi="fr-FR"/>
        </w:rPr>
        <w:t>vailler en commun, ils aient fait figurer celle à laquelle je ne vois, pour ma part, aucune raison de retirer le nom vénérable d’histoire (sans que nous soyons, pour autant, obligés de donner à ce terme exa</w:t>
      </w:r>
      <w:r w:rsidRPr="00246AE4">
        <w:rPr>
          <w:color w:val="000000"/>
          <w:lang w:eastAsia="fr-FR" w:bidi="fr-FR"/>
        </w:rPr>
        <w:t>c</w:t>
      </w:r>
      <w:r w:rsidRPr="00246AE4">
        <w:rPr>
          <w:color w:val="000000"/>
          <w:lang w:eastAsia="fr-FR" w:bidi="fr-FR"/>
        </w:rPr>
        <w:t xml:space="preserve">tement le même contenu qu’à l’époque d’Hécatée de Milet). L’histoire n’est peut-être pas, à l’heure actuelle, une science toujours très bien déterminée dans ses contours. Mais c’est une science bien </w:t>
      </w:r>
      <w:r w:rsidRPr="00246AE4">
        <w:rPr>
          <w:color w:val="000000"/>
          <w:lang w:eastAsia="fr-FR" w:bidi="fr-FR"/>
        </w:rPr>
        <w:lastRenderedPageBreak/>
        <w:t>vivante. Or, historiens et psychologues ont, certainement, tout profit à collaborer.</w:t>
      </w:r>
    </w:p>
    <w:p w14:paraId="481621A8" w14:textId="77777777" w:rsidR="00B9662D" w:rsidRPr="00246AE4" w:rsidRDefault="00B9662D" w:rsidP="00B9662D">
      <w:pPr>
        <w:spacing w:before="120" w:after="120"/>
        <w:jc w:val="both"/>
      </w:pPr>
      <w:r w:rsidRPr="00246AE4">
        <w:rPr>
          <w:color w:val="000000"/>
          <w:lang w:eastAsia="fr-FR" w:bidi="fr-FR"/>
        </w:rPr>
        <w:t>Historiens, nous avons grand besoin de vous. Constamment, nous sommes amenés, par nos études, à faire de la psychologie, individue</w:t>
      </w:r>
      <w:r w:rsidRPr="00246AE4">
        <w:rPr>
          <w:color w:val="000000"/>
          <w:lang w:eastAsia="fr-FR" w:bidi="fr-FR"/>
        </w:rPr>
        <w:t>l</w:t>
      </w:r>
      <w:r w:rsidRPr="00246AE4">
        <w:rPr>
          <w:color w:val="000000"/>
          <w:lang w:eastAsia="fr-FR" w:bidi="fr-FR"/>
        </w:rPr>
        <w:t>le ou collective. Trop souvent, nous nous contentons d’appliquer les notions psychologiques du sens commun. Je crains que cette psych</w:t>
      </w:r>
      <w:r w:rsidRPr="00246AE4">
        <w:rPr>
          <w:color w:val="000000"/>
          <w:lang w:eastAsia="fr-FR" w:bidi="fr-FR"/>
        </w:rPr>
        <w:t>o</w:t>
      </w:r>
      <w:r w:rsidRPr="00246AE4">
        <w:rPr>
          <w:color w:val="000000"/>
          <w:lang w:eastAsia="fr-FR" w:bidi="fr-FR"/>
        </w:rPr>
        <w:t>logie-là ne soit pas toujours la plus sûre, ni la plus fine. C’est elle qui, naguère, conduisait Voltaire à nier que les anciens Égyptiens aient pu être assez sots pour rendre un culte à des animaux. C’est elle qui, a</w:t>
      </w:r>
      <w:r w:rsidRPr="00246AE4">
        <w:rPr>
          <w:color w:val="000000"/>
          <w:lang w:eastAsia="fr-FR" w:bidi="fr-FR"/>
        </w:rPr>
        <w:t>u</w:t>
      </w:r>
      <w:r w:rsidRPr="00246AE4">
        <w:rPr>
          <w:color w:val="000000"/>
          <w:lang w:eastAsia="fr-FR" w:bidi="fr-FR"/>
        </w:rPr>
        <w:t>jourd’hui, entraîne certains historiens à manier bien imprudemment un concept aussi délicat que celui de « sincérité » ou à confondre la cause psychologique d’un fait social avec sa motivation consciente.</w:t>
      </w:r>
    </w:p>
    <w:p w14:paraId="1415F5A3" w14:textId="77777777" w:rsidR="00B9662D" w:rsidRPr="00246AE4" w:rsidRDefault="00B9662D" w:rsidP="00B9662D">
      <w:pPr>
        <w:spacing w:before="120" w:after="120"/>
        <w:jc w:val="both"/>
      </w:pPr>
      <w:r w:rsidRPr="00246AE4">
        <w:rPr>
          <w:color w:val="000000"/>
          <w:lang w:eastAsia="fr-FR" w:bidi="fr-FR"/>
        </w:rPr>
        <w:t>Les psychologues, d’autre part, ne sont pas non plus, j’imagine, sans</w:t>
      </w:r>
      <w:r>
        <w:t xml:space="preserve"> [702] </w:t>
      </w:r>
      <w:r w:rsidRPr="00246AE4">
        <w:rPr>
          <w:color w:val="000000"/>
          <w:lang w:eastAsia="fr-FR" w:bidi="fr-FR"/>
        </w:rPr>
        <w:t>avoir besoin des historiens. Car l’expérience dont leurs m</w:t>
      </w:r>
      <w:r w:rsidRPr="00246AE4">
        <w:rPr>
          <w:color w:val="000000"/>
          <w:lang w:eastAsia="fr-FR" w:bidi="fr-FR"/>
        </w:rPr>
        <w:t>é</w:t>
      </w:r>
      <w:r w:rsidRPr="00246AE4">
        <w:rPr>
          <w:color w:val="000000"/>
          <w:lang w:eastAsia="fr-FR" w:bidi="fr-FR"/>
        </w:rPr>
        <w:t>thodes propres leur ouvrent l’accès est forcément limitée au présent ou au proche passé. Elle est donc incomplète. Veulent-ils remonter plus haut dans le temps ? Les problèmes auxquels ils se heurtent alors rel</w:t>
      </w:r>
      <w:r w:rsidRPr="00246AE4">
        <w:rPr>
          <w:color w:val="000000"/>
          <w:lang w:eastAsia="fr-FR" w:bidi="fr-FR"/>
        </w:rPr>
        <w:t>è</w:t>
      </w:r>
      <w:r w:rsidRPr="00246AE4">
        <w:rPr>
          <w:color w:val="000000"/>
          <w:lang w:eastAsia="fr-FR" w:bidi="fr-FR"/>
        </w:rPr>
        <w:t>vent nécessairement de procédés d’investigation différents, auxquels il faut bien donner le nom d’« historiques ». Je parlais, à l’instant, de sincér</w:t>
      </w:r>
      <w:r w:rsidRPr="00246AE4">
        <w:rPr>
          <w:color w:val="000000"/>
          <w:lang w:eastAsia="fr-FR" w:bidi="fr-FR"/>
        </w:rPr>
        <w:t>i</w:t>
      </w:r>
      <w:r w:rsidRPr="00246AE4">
        <w:rPr>
          <w:color w:val="000000"/>
          <w:lang w:eastAsia="fr-FR" w:bidi="fr-FR"/>
        </w:rPr>
        <w:t xml:space="preserve">té. C’était pour indiquer comment, sur ce point, l’historien ne saurait, sans danger, se passer des enseignements du psychologue. Mais la réciproque n’est guère moins vraie. Le Haut Moyen </w:t>
      </w:r>
      <w:r>
        <w:rPr>
          <w:color w:val="000000"/>
          <w:lang w:eastAsia="fr-FR" w:bidi="fr-FR"/>
        </w:rPr>
        <w:t>Â</w:t>
      </w:r>
      <w:r w:rsidRPr="00246AE4">
        <w:rPr>
          <w:color w:val="000000"/>
          <w:lang w:eastAsia="fr-FR" w:bidi="fr-FR"/>
        </w:rPr>
        <w:t>ge, par exemple, avec sa multitude d’actes faux, nous offre un cas de vérit</w:t>
      </w:r>
      <w:r w:rsidRPr="00246AE4">
        <w:rPr>
          <w:color w:val="000000"/>
          <w:lang w:eastAsia="fr-FR" w:bidi="fr-FR"/>
        </w:rPr>
        <w:t>a</w:t>
      </w:r>
      <w:r w:rsidRPr="00246AE4">
        <w:rPr>
          <w:color w:val="000000"/>
          <w:lang w:eastAsia="fr-FR" w:bidi="fr-FR"/>
        </w:rPr>
        <w:t>ble m</w:t>
      </w:r>
      <w:r w:rsidRPr="00246AE4">
        <w:rPr>
          <w:color w:val="000000"/>
          <w:lang w:eastAsia="fr-FR" w:bidi="fr-FR"/>
        </w:rPr>
        <w:t>y</w:t>
      </w:r>
      <w:r w:rsidRPr="00246AE4">
        <w:rPr>
          <w:color w:val="000000"/>
          <w:lang w:eastAsia="fr-FR" w:bidi="fr-FR"/>
        </w:rPr>
        <w:t>thomanie collective, qu’aucun psychologue de la sincérité (ou du mensonge) n’a, je crois, le droit de négliger.</w:t>
      </w:r>
    </w:p>
    <w:p w14:paraId="297D2C42" w14:textId="77777777" w:rsidR="00B9662D" w:rsidRPr="00246AE4" w:rsidRDefault="00B9662D" w:rsidP="00B9662D">
      <w:pPr>
        <w:spacing w:before="120" w:after="120"/>
        <w:jc w:val="both"/>
      </w:pPr>
      <w:r w:rsidRPr="00246AE4">
        <w:rPr>
          <w:color w:val="000000"/>
          <w:lang w:eastAsia="fr-FR" w:bidi="fr-FR"/>
        </w:rPr>
        <w:t>C’est un de ces problèmes d’intérêt commun que je voudrais a</w:t>
      </w:r>
      <w:r w:rsidRPr="00246AE4">
        <w:rPr>
          <w:color w:val="000000"/>
          <w:lang w:eastAsia="fr-FR" w:bidi="fr-FR"/>
        </w:rPr>
        <w:t>u</w:t>
      </w:r>
      <w:r w:rsidRPr="00246AE4">
        <w:rPr>
          <w:color w:val="000000"/>
          <w:lang w:eastAsia="fr-FR" w:bidi="fr-FR"/>
        </w:rPr>
        <w:t>jourd’hui poser devant vous. Disons mieux : un faisceau de problèmes apparentés qui, tous, se placent au centre de nos préoccupations ord</w:t>
      </w:r>
      <w:r w:rsidRPr="00246AE4">
        <w:rPr>
          <w:color w:val="000000"/>
          <w:lang w:eastAsia="fr-FR" w:bidi="fr-FR"/>
        </w:rPr>
        <w:t>i</w:t>
      </w:r>
      <w:r w:rsidRPr="00246AE4">
        <w:rPr>
          <w:color w:val="000000"/>
          <w:lang w:eastAsia="fr-FR" w:bidi="fr-FR"/>
        </w:rPr>
        <w:t>naires, à nous historiens, d’un côté, à vous, psychologues, de l’autre. Je n’ai malheureusement pas pu préparer ma communication d’une façon aussi précise que je l’eusse souhaité. Ma seule ambition sera, donc, de vous soumettre quelques points d’interrogation. Ils prêteront, je l’espère, de votre part, à des suggestions plus fécondes que mon exposé lui-même.</w:t>
      </w:r>
    </w:p>
    <w:p w14:paraId="4217A2BD" w14:textId="77777777" w:rsidR="00B9662D" w:rsidRDefault="00B9662D" w:rsidP="00B9662D">
      <w:pPr>
        <w:spacing w:before="120" w:after="120"/>
        <w:jc w:val="both"/>
        <w:rPr>
          <w:color w:val="000000"/>
          <w:lang w:eastAsia="fr-FR" w:bidi="fr-FR"/>
        </w:rPr>
      </w:pPr>
      <w:r>
        <w:rPr>
          <w:color w:val="000000"/>
          <w:lang w:eastAsia="fr-FR" w:bidi="fr-FR"/>
        </w:rPr>
        <w:br w:type="page"/>
      </w:r>
    </w:p>
    <w:p w14:paraId="1FCB006F" w14:textId="77777777" w:rsidR="00B9662D" w:rsidRPr="00246AE4" w:rsidRDefault="00B9662D" w:rsidP="00B9662D">
      <w:pPr>
        <w:pStyle w:val="planche"/>
      </w:pPr>
      <w:r w:rsidRPr="00246AE4">
        <w:t>II</w:t>
      </w:r>
    </w:p>
    <w:p w14:paraId="49DC58A6" w14:textId="77777777" w:rsidR="00B9662D" w:rsidRDefault="00B9662D" w:rsidP="00B9662D">
      <w:pPr>
        <w:spacing w:before="120" w:after="120"/>
        <w:jc w:val="both"/>
        <w:rPr>
          <w:color w:val="000000"/>
          <w:lang w:eastAsia="fr-FR" w:bidi="fr-FR"/>
        </w:rPr>
      </w:pPr>
    </w:p>
    <w:p w14:paraId="2541A63B" w14:textId="77777777" w:rsidR="00B9662D" w:rsidRPr="00246AE4" w:rsidRDefault="00B9662D" w:rsidP="00B9662D">
      <w:pPr>
        <w:spacing w:before="120" w:after="120"/>
        <w:jc w:val="both"/>
      </w:pPr>
      <w:r w:rsidRPr="00246AE4">
        <w:rPr>
          <w:color w:val="000000"/>
          <w:lang w:eastAsia="fr-FR" w:bidi="fr-FR"/>
        </w:rPr>
        <w:t>Le premier problème est celui dont les éléments sont les plus si</w:t>
      </w:r>
      <w:r w:rsidRPr="00246AE4">
        <w:rPr>
          <w:color w:val="000000"/>
          <w:lang w:eastAsia="fr-FR" w:bidi="fr-FR"/>
        </w:rPr>
        <w:t>m</w:t>
      </w:r>
      <w:r w:rsidRPr="00246AE4">
        <w:rPr>
          <w:color w:val="000000"/>
          <w:lang w:eastAsia="fr-FR" w:bidi="fr-FR"/>
        </w:rPr>
        <w:t>ples. Il peut s’énoncer comme il suit.</w:t>
      </w:r>
    </w:p>
    <w:p w14:paraId="6292FBAD" w14:textId="77777777" w:rsidR="00B9662D" w:rsidRPr="00246AE4" w:rsidRDefault="00B9662D" w:rsidP="00B9662D">
      <w:pPr>
        <w:spacing w:before="120" w:after="120"/>
        <w:jc w:val="both"/>
      </w:pPr>
      <w:r w:rsidRPr="00246AE4">
        <w:rPr>
          <w:color w:val="000000"/>
          <w:lang w:eastAsia="fr-FR" w:bidi="fr-FR"/>
        </w:rPr>
        <w:t>Soit une technique nouvelle, inventée à l’intérieur d’une société donnée ou apportée à celle-ci du dehors. Elle sera, par cette société, tantôt acceptée, tantôt refusée. Si elle est acceptée, elle le sera plus ou moins lentement et sporadiquement. Par quelles causes rendre compte de ces diverses réactions ?</w:t>
      </w:r>
    </w:p>
    <w:p w14:paraId="3BCDF84F" w14:textId="77777777" w:rsidR="00B9662D" w:rsidRPr="00246AE4" w:rsidRDefault="00B9662D" w:rsidP="00B9662D">
      <w:pPr>
        <w:spacing w:before="120" w:after="120"/>
        <w:jc w:val="both"/>
      </w:pPr>
      <w:r w:rsidRPr="00246AE4">
        <w:rPr>
          <w:color w:val="000000"/>
          <w:lang w:eastAsia="fr-FR" w:bidi="fr-FR"/>
        </w:rPr>
        <w:t>Une idée se présente, de prime abord, à l’esprit. L’invention, dit-on, sera acceptée si elle est ou paraît utile ; rejetée, si elle est ou paraît inutile ou dangereuse. D’où, quand la recherche poussait dans cette voie, une série de problèmes, dès longtemps classiques : les uns d’ordre proprement technique ; les autres d’ordre économique (débo</w:t>
      </w:r>
      <w:r w:rsidRPr="00246AE4">
        <w:rPr>
          <w:color w:val="000000"/>
          <w:lang w:eastAsia="fr-FR" w:bidi="fr-FR"/>
        </w:rPr>
        <w:t>u</w:t>
      </w:r>
      <w:r w:rsidRPr="00246AE4">
        <w:rPr>
          <w:color w:val="000000"/>
          <w:lang w:eastAsia="fr-FR" w:bidi="fr-FR"/>
        </w:rPr>
        <w:t>chés, main-d’œuvre, etc.).</w:t>
      </w:r>
    </w:p>
    <w:p w14:paraId="67BBCE15" w14:textId="77777777" w:rsidR="00B9662D" w:rsidRPr="00246AE4" w:rsidRDefault="00B9662D" w:rsidP="00B9662D">
      <w:pPr>
        <w:spacing w:before="120" w:after="120"/>
        <w:jc w:val="both"/>
      </w:pPr>
      <w:r w:rsidRPr="00246AE4">
        <w:rPr>
          <w:color w:val="000000"/>
          <w:lang w:eastAsia="fr-FR" w:bidi="fr-FR"/>
        </w:rPr>
        <w:t>Nul ne niera l’importance de ces facteurs. Bien vite, cependant, nous sentons que les choses ne sont pas aussi simples, ni aussi ratio</w:t>
      </w:r>
      <w:r w:rsidRPr="00246AE4">
        <w:rPr>
          <w:color w:val="000000"/>
          <w:lang w:eastAsia="fr-FR" w:bidi="fr-FR"/>
        </w:rPr>
        <w:t>n</w:t>
      </w:r>
      <w:r w:rsidRPr="00246AE4">
        <w:rPr>
          <w:color w:val="000000"/>
          <w:lang w:eastAsia="fr-FR" w:bidi="fr-FR"/>
        </w:rPr>
        <w:t>nelles. Le langage courant ne nous offre-t-il pas, pour orienter notre questionnaire, un mot lourd de sens psychologique : celui de « routine » ? Nous avons l’impression très nette qu’il y a des sociétés en elles-mêmes plus « routinières » que d’autres, ou plus novatrices ; et nous éprouvons le besoin de chercher les raisons profondes d’attitudes que les considérations d’utilité ne semblent pas suffire à expliquer.</w:t>
      </w:r>
    </w:p>
    <w:p w14:paraId="2ADDDE3C" w14:textId="77777777" w:rsidR="00B9662D" w:rsidRPr="00246AE4" w:rsidRDefault="00B9662D" w:rsidP="00B9662D">
      <w:pPr>
        <w:spacing w:before="120" w:after="120"/>
        <w:jc w:val="both"/>
      </w:pPr>
      <w:r w:rsidRPr="00246AE4">
        <w:rPr>
          <w:color w:val="000000"/>
          <w:lang w:eastAsia="fr-FR" w:bidi="fr-FR"/>
        </w:rPr>
        <w:t>Comme M. Faucher l’a déjà fait, dans la pénétrante communic</w:t>
      </w:r>
      <w:r w:rsidRPr="00246AE4">
        <w:rPr>
          <w:color w:val="000000"/>
          <w:lang w:eastAsia="fr-FR" w:bidi="fr-FR"/>
        </w:rPr>
        <w:t>a</w:t>
      </w:r>
      <w:r w:rsidRPr="00246AE4">
        <w:rPr>
          <w:color w:val="000000"/>
          <w:lang w:eastAsia="fr-FR" w:bidi="fr-FR"/>
        </w:rPr>
        <w:t>tion que vous venez d’entendre, je choisirai, pour illustrer le probl</w:t>
      </w:r>
      <w:r w:rsidRPr="00246AE4">
        <w:rPr>
          <w:color w:val="000000"/>
          <w:lang w:eastAsia="fr-FR" w:bidi="fr-FR"/>
        </w:rPr>
        <w:t>è</w:t>
      </w:r>
      <w:r w:rsidRPr="00246AE4">
        <w:rPr>
          <w:color w:val="000000"/>
          <w:lang w:eastAsia="fr-FR" w:bidi="fr-FR"/>
        </w:rPr>
        <w:t>me, le cas de la « routine » paysanne.</w:t>
      </w:r>
    </w:p>
    <w:p w14:paraId="1CA37F23" w14:textId="77777777" w:rsidR="00B9662D" w:rsidRPr="00246AE4" w:rsidRDefault="00B9662D" w:rsidP="00B9662D">
      <w:pPr>
        <w:spacing w:before="120" w:after="120"/>
        <w:jc w:val="both"/>
      </w:pPr>
      <w:r w:rsidRPr="00246AE4">
        <w:rPr>
          <w:color w:val="000000"/>
          <w:lang w:eastAsia="fr-FR" w:bidi="fr-FR"/>
        </w:rPr>
        <w:t>Qu’il y ait, en fait, une routine paysanne ; en d’autres termes, que, dans une société donnée, le groupe paysan soit généralement plus a</w:t>
      </w:r>
      <w:r w:rsidRPr="00246AE4">
        <w:rPr>
          <w:color w:val="000000"/>
          <w:lang w:eastAsia="fr-FR" w:bidi="fr-FR"/>
        </w:rPr>
        <w:t>t</w:t>
      </w:r>
      <w:r w:rsidRPr="00246AE4">
        <w:rPr>
          <w:color w:val="000000"/>
          <w:lang w:eastAsia="fr-FR" w:bidi="fr-FR"/>
        </w:rPr>
        <w:t>taché à ses traditions que les groupes voisins : c’est ce que personne ne songera</w:t>
      </w:r>
      <w:r>
        <w:t xml:space="preserve"> [793] </w:t>
      </w:r>
      <w:r w:rsidRPr="00246AE4">
        <w:rPr>
          <w:color w:val="000000"/>
          <w:lang w:eastAsia="fr-FR" w:bidi="fr-FR"/>
        </w:rPr>
        <w:t>à contester. Nous voici donc en présence d’un pr</w:t>
      </w:r>
      <w:r w:rsidRPr="00246AE4">
        <w:rPr>
          <w:color w:val="000000"/>
          <w:lang w:eastAsia="fr-FR" w:bidi="fr-FR"/>
        </w:rPr>
        <w:t>e</w:t>
      </w:r>
      <w:r w:rsidRPr="00246AE4">
        <w:rPr>
          <w:color w:val="000000"/>
          <w:lang w:eastAsia="fr-FR" w:bidi="fr-FR"/>
        </w:rPr>
        <w:t>mier « pourquoi » : comment expliquer ce trait particulier de mentalité co</w:t>
      </w:r>
      <w:r w:rsidRPr="00246AE4">
        <w:rPr>
          <w:color w:val="000000"/>
          <w:lang w:eastAsia="fr-FR" w:bidi="fr-FR"/>
        </w:rPr>
        <w:t>l</w:t>
      </w:r>
      <w:r w:rsidRPr="00246AE4">
        <w:rPr>
          <w:color w:val="000000"/>
          <w:lang w:eastAsia="fr-FR" w:bidi="fr-FR"/>
        </w:rPr>
        <w:t>lective ?</w:t>
      </w:r>
    </w:p>
    <w:p w14:paraId="4751254D" w14:textId="77777777" w:rsidR="00B9662D" w:rsidRPr="00246AE4" w:rsidRDefault="00B9662D" w:rsidP="00B9662D">
      <w:pPr>
        <w:spacing w:before="120" w:after="120"/>
        <w:jc w:val="both"/>
      </w:pPr>
      <w:r w:rsidRPr="00246AE4">
        <w:rPr>
          <w:color w:val="000000"/>
          <w:lang w:eastAsia="fr-FR" w:bidi="fr-FR"/>
        </w:rPr>
        <w:t xml:space="preserve">Je n’ai nullement la prétention de répondre, en deux mots, à une si grosse question. Je voudrais simplement attirer l’attention sur un fait </w:t>
      </w:r>
      <w:r w:rsidRPr="00246AE4">
        <w:rPr>
          <w:color w:val="000000"/>
          <w:lang w:eastAsia="fr-FR" w:bidi="fr-FR"/>
        </w:rPr>
        <w:lastRenderedPageBreak/>
        <w:t>de structure sociale dont l’importance me paraît grande. Quiconque connaît nos campagnes a pu l’observer maintes fois : dans la famille paysanne, c’est par ses grands-parents surtout que l’enfant, le plus souvent, est élevé. Retenus par les travaux des champs, de la basse-cour ou de l’étable, ni le père ni la mère n’ont le loisir de beaucoup veiller sur lui. Là réside, je crois, une des causes qui expliquent la pe</w:t>
      </w:r>
      <w:r w:rsidRPr="00246AE4">
        <w:rPr>
          <w:color w:val="000000"/>
          <w:lang w:eastAsia="fr-FR" w:bidi="fr-FR"/>
        </w:rPr>
        <w:t>r</w:t>
      </w:r>
      <w:r w:rsidRPr="00246AE4">
        <w:rPr>
          <w:color w:val="000000"/>
          <w:lang w:eastAsia="fr-FR" w:bidi="fr-FR"/>
        </w:rPr>
        <w:t>sistance, si remarquable, des traditions dans ces milieux. La génér</w:t>
      </w:r>
      <w:r w:rsidRPr="00246AE4">
        <w:rPr>
          <w:color w:val="000000"/>
          <w:lang w:eastAsia="fr-FR" w:bidi="fr-FR"/>
        </w:rPr>
        <w:t>a</w:t>
      </w:r>
      <w:r w:rsidRPr="00246AE4">
        <w:rPr>
          <w:color w:val="000000"/>
          <w:lang w:eastAsia="fr-FR" w:bidi="fr-FR"/>
        </w:rPr>
        <w:t>tion la plus active et, parmi les adultes, la plus jeune, par suite la plus adaptable, la génération qui, peut-être, aura déjà esquissé un début d’adaptation n’est pas celle qui transmet directement, à la génération montante, ses enseignements.</w:t>
      </w:r>
    </w:p>
    <w:p w14:paraId="0F10CEAC" w14:textId="77777777" w:rsidR="00B9662D" w:rsidRPr="00246AE4" w:rsidRDefault="00B9662D" w:rsidP="00B9662D">
      <w:pPr>
        <w:spacing w:before="120" w:after="120"/>
        <w:jc w:val="both"/>
      </w:pPr>
      <w:r w:rsidRPr="00246AE4">
        <w:rPr>
          <w:color w:val="000000"/>
          <w:lang w:eastAsia="fr-FR" w:bidi="fr-FR"/>
        </w:rPr>
        <w:t>Cependant, si la routine paysanne, incontestablement, existe, elle n’a rien d’absolu. Dans un grand nombre de cas, nous voyons que des techniques nouvelles ont été adoptées, assez aisément, par les sociétés paysannes, alors qu’en d’autres circonstances ces mêmes sociétés ont, au contraire, refusé d’autres nouveautés, qui, au premier abord, ne nous sembleraient pas avoir dû être moins capables de les séduire. Je chercherai, dans un instant, à donner des exemples de ce contraste. Je demande, auparavant, la permission de me laisser aller à une digre</w:t>
      </w:r>
      <w:r w:rsidRPr="00246AE4">
        <w:rPr>
          <w:color w:val="000000"/>
          <w:lang w:eastAsia="fr-FR" w:bidi="fr-FR"/>
        </w:rPr>
        <w:t>s</w:t>
      </w:r>
      <w:r w:rsidRPr="00246AE4">
        <w:rPr>
          <w:color w:val="000000"/>
          <w:lang w:eastAsia="fr-FR" w:bidi="fr-FR"/>
        </w:rPr>
        <w:t>sion, que me suggère la communication de M. Faucher</w:t>
      </w:r>
      <w:r>
        <w:rPr>
          <w:color w:val="000000"/>
          <w:lang w:eastAsia="fr-FR" w:bidi="fr-FR"/>
        </w:rPr>
        <w:t> </w:t>
      </w:r>
      <w:r>
        <w:rPr>
          <w:rStyle w:val="Appelnotedebasdep"/>
        </w:rPr>
        <w:footnoteReference w:id="757"/>
      </w:r>
      <w:r w:rsidRPr="00246AE4">
        <w:rPr>
          <w:color w:val="000000"/>
          <w:lang w:eastAsia="fr-FR" w:bidi="fr-FR"/>
        </w:rPr>
        <w:t>.</w:t>
      </w:r>
    </w:p>
    <w:p w14:paraId="12D54BD8" w14:textId="77777777" w:rsidR="00B9662D" w:rsidRPr="00246AE4" w:rsidRDefault="00B9662D" w:rsidP="00B9662D">
      <w:pPr>
        <w:spacing w:before="120" w:after="120"/>
        <w:jc w:val="both"/>
      </w:pPr>
      <w:r w:rsidRPr="00246AE4">
        <w:rPr>
          <w:color w:val="000000"/>
          <w:lang w:eastAsia="fr-FR" w:bidi="fr-FR"/>
        </w:rPr>
        <w:t>M. Faucher nous a mis sous les yeux, de la façon la plus intére</w:t>
      </w:r>
      <w:r w:rsidRPr="00246AE4">
        <w:rPr>
          <w:color w:val="000000"/>
          <w:lang w:eastAsia="fr-FR" w:bidi="fr-FR"/>
        </w:rPr>
        <w:t>s</w:t>
      </w:r>
      <w:r w:rsidRPr="00246AE4">
        <w:rPr>
          <w:color w:val="000000"/>
          <w:lang w:eastAsia="fr-FR" w:bidi="fr-FR"/>
        </w:rPr>
        <w:t>sante, l’histoire des assolements. Il nous a montré, en particulier, comment l’arrivée des Germains, dans le Midi de la Gaule, n’avait en rien modifié l’antique rythme biennal, traditionnellement pratiqué dans ces contrées. Le fait est certain. Je me demande, seulement, s’il y a lieu de s’en étonner.</w:t>
      </w:r>
    </w:p>
    <w:p w14:paraId="1BCB4928" w14:textId="77777777" w:rsidR="00B9662D" w:rsidRPr="00246AE4" w:rsidRDefault="00B9662D" w:rsidP="00B9662D">
      <w:pPr>
        <w:spacing w:before="120" w:after="120"/>
        <w:jc w:val="both"/>
      </w:pPr>
      <w:r w:rsidRPr="00246AE4">
        <w:rPr>
          <w:color w:val="000000"/>
          <w:lang w:eastAsia="fr-FR" w:bidi="fr-FR"/>
        </w:rPr>
        <w:t>Car les envahisseurs dont i</w:t>
      </w:r>
      <w:r>
        <w:rPr>
          <w:color w:val="000000"/>
          <w:lang w:eastAsia="fr-FR" w:bidi="fr-FR"/>
        </w:rPr>
        <w:t>l est ici question étaient des V</w:t>
      </w:r>
      <w:r w:rsidRPr="00246AE4">
        <w:rPr>
          <w:color w:val="000000"/>
          <w:lang w:eastAsia="fr-FR" w:bidi="fr-FR"/>
        </w:rPr>
        <w:t>isigoths. Ils parlaient, indiscutablement, un langage de type germanique. Leur patrie d’origine était, nul n’en doute, la Germanie ou, plus précis</w:t>
      </w:r>
      <w:r w:rsidRPr="00246AE4">
        <w:rPr>
          <w:color w:val="000000"/>
          <w:lang w:eastAsia="fr-FR" w:bidi="fr-FR"/>
        </w:rPr>
        <w:t>é</w:t>
      </w:r>
      <w:r w:rsidRPr="00246AE4">
        <w:rPr>
          <w:color w:val="000000"/>
          <w:lang w:eastAsia="fr-FR" w:bidi="fr-FR"/>
        </w:rPr>
        <w:t xml:space="preserve">ment, la Scandinavie. Mais ils n’en venaient pas directement. Ils n’atteignirent la Gaule que par un long détour, qui les avait conduits, notamment, à s’établir, pendant deux siècles au moins, sur les bords de la mer Noire. Lorsqu’ils avaient quitté la Germanie, l’assolement </w:t>
      </w:r>
      <w:r w:rsidRPr="00246AE4">
        <w:rPr>
          <w:color w:val="000000"/>
          <w:lang w:eastAsia="fr-FR" w:bidi="fr-FR"/>
        </w:rPr>
        <w:lastRenderedPageBreak/>
        <w:t>triennal y était-il déjà connu ? Rien n’est moins sûr. Notre premier témoignage à ce sujet date, en effet, seulement du début de l’ère chr</w:t>
      </w:r>
      <w:r w:rsidRPr="00246AE4">
        <w:rPr>
          <w:color w:val="000000"/>
          <w:lang w:eastAsia="fr-FR" w:bidi="fr-FR"/>
        </w:rPr>
        <w:t>é</w:t>
      </w:r>
      <w:r w:rsidRPr="00246AE4">
        <w:rPr>
          <w:color w:val="000000"/>
          <w:lang w:eastAsia="fr-FR" w:bidi="fr-FR"/>
        </w:rPr>
        <w:t>tienne. En tout cas, c’était sur les rives de la mer Noire que la civilis</w:t>
      </w:r>
      <w:r w:rsidRPr="00246AE4">
        <w:rPr>
          <w:color w:val="000000"/>
          <w:lang w:eastAsia="fr-FR" w:bidi="fr-FR"/>
        </w:rPr>
        <w:t>a</w:t>
      </w:r>
      <w:r w:rsidRPr="00246AE4">
        <w:rPr>
          <w:color w:val="000000"/>
          <w:lang w:eastAsia="fr-FR" w:bidi="fr-FR"/>
        </w:rPr>
        <w:t>tion des Visigoths s’était véritablement constituée. Les habitudes agr</w:t>
      </w:r>
      <w:r w:rsidRPr="00246AE4">
        <w:rPr>
          <w:color w:val="000000"/>
          <w:lang w:eastAsia="fr-FR" w:bidi="fr-FR"/>
        </w:rPr>
        <w:t>i</w:t>
      </w:r>
      <w:r w:rsidRPr="00246AE4">
        <w:rPr>
          <w:color w:val="000000"/>
          <w:lang w:eastAsia="fr-FR" w:bidi="fr-FR"/>
        </w:rPr>
        <w:t>coles qu’ils apportèrent avec eux dans nos régions étaient certain</w:t>
      </w:r>
      <w:r w:rsidRPr="00246AE4">
        <w:rPr>
          <w:color w:val="000000"/>
          <w:lang w:eastAsia="fr-FR" w:bidi="fr-FR"/>
        </w:rPr>
        <w:t>e</w:t>
      </w:r>
      <w:r w:rsidRPr="00246AE4">
        <w:rPr>
          <w:color w:val="000000"/>
          <w:lang w:eastAsia="fr-FR" w:bidi="fr-FR"/>
        </w:rPr>
        <w:t>ment celles des pays méditerranéens, classiquement attachés à l’assolement biennal, beaucoup plus tôt que celles du Nord.</w:t>
      </w:r>
    </w:p>
    <w:p w14:paraId="60C23309" w14:textId="77777777" w:rsidR="00B9662D" w:rsidRPr="00246AE4" w:rsidRDefault="00B9662D" w:rsidP="00B9662D">
      <w:pPr>
        <w:spacing w:before="120" w:after="120"/>
        <w:jc w:val="both"/>
      </w:pPr>
      <w:r w:rsidRPr="00246AE4">
        <w:rPr>
          <w:color w:val="000000"/>
          <w:lang w:eastAsia="fr-FR" w:bidi="fr-FR"/>
        </w:rPr>
        <w:t>Pour le reste, je suis bien d’accord avec M. Faucher. Les exemples qu’il a cités sont extrêmement instructifs. Je vais, de mon côté, vous en proposer deux, dont le contraste me semble propre à mettre en l</w:t>
      </w:r>
      <w:r w:rsidRPr="00246AE4">
        <w:rPr>
          <w:color w:val="000000"/>
          <w:lang w:eastAsia="fr-FR" w:bidi="fr-FR"/>
        </w:rPr>
        <w:t>u</w:t>
      </w:r>
      <w:r w:rsidRPr="00246AE4">
        <w:rPr>
          <w:color w:val="000000"/>
          <w:lang w:eastAsia="fr-FR" w:bidi="fr-FR"/>
        </w:rPr>
        <w:t>mière</w:t>
      </w:r>
      <w:r>
        <w:t xml:space="preserve"> [794] </w:t>
      </w:r>
      <w:r w:rsidRPr="00246AE4">
        <w:rPr>
          <w:color w:val="000000"/>
          <w:lang w:eastAsia="fr-FR" w:bidi="fr-FR"/>
        </w:rPr>
        <w:t>les attitudes variables d’une société rurale vis-à-vis des amélior</w:t>
      </w:r>
      <w:r w:rsidRPr="00246AE4">
        <w:rPr>
          <w:color w:val="000000"/>
          <w:lang w:eastAsia="fr-FR" w:bidi="fr-FR"/>
        </w:rPr>
        <w:t>a</w:t>
      </w:r>
      <w:r w:rsidRPr="00246AE4">
        <w:rPr>
          <w:color w:val="000000"/>
          <w:lang w:eastAsia="fr-FR" w:bidi="fr-FR"/>
        </w:rPr>
        <w:t>tions techniques.</w:t>
      </w:r>
    </w:p>
    <w:p w14:paraId="152CC041" w14:textId="77777777" w:rsidR="00B9662D" w:rsidRPr="00246AE4" w:rsidRDefault="00B9662D" w:rsidP="00B9662D">
      <w:pPr>
        <w:spacing w:before="120" w:after="120"/>
        <w:jc w:val="both"/>
      </w:pPr>
      <w:r w:rsidRPr="00246AE4">
        <w:rPr>
          <w:color w:val="000000"/>
          <w:lang w:eastAsia="fr-FR" w:bidi="fr-FR"/>
        </w:rPr>
        <w:t>Voici d’abord un exemple caractérisé d’attachement au passé.</w:t>
      </w:r>
    </w:p>
    <w:p w14:paraId="70D84B3D" w14:textId="77777777" w:rsidR="00B9662D" w:rsidRPr="00246AE4" w:rsidRDefault="00B9662D" w:rsidP="00B9662D">
      <w:pPr>
        <w:spacing w:before="120" w:after="120"/>
        <w:jc w:val="both"/>
      </w:pPr>
      <w:r w:rsidRPr="00246AE4">
        <w:rPr>
          <w:color w:val="000000"/>
          <w:lang w:eastAsia="fr-FR" w:bidi="fr-FR"/>
        </w:rPr>
        <w:t>C’est celui même auquel on pense presque toujours lorsqu’on pr</w:t>
      </w:r>
      <w:r w:rsidRPr="00246AE4">
        <w:rPr>
          <w:color w:val="000000"/>
          <w:lang w:eastAsia="fr-FR" w:bidi="fr-FR"/>
        </w:rPr>
        <w:t>o</w:t>
      </w:r>
      <w:r w:rsidRPr="00246AE4">
        <w:rPr>
          <w:color w:val="000000"/>
          <w:lang w:eastAsia="fr-FR" w:bidi="fr-FR"/>
        </w:rPr>
        <w:t xml:space="preserve">nonce le mot de « routine paysanne » : la révolution agricole du </w:t>
      </w:r>
      <w:r w:rsidRPr="00C90FC7">
        <w:rPr>
          <w:smallCaps/>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Nul ne saurait le contester : cette grande révolution, qui, pour l’essentiel, se résume dans la suppression de la jachère morte, fut l’œuvre d’éléments étrangers à la société paysanne, au sens étroit et authentique du mot : nobles, bourgeois, maîtres de postes, auxquels s’ajoutèrent parfois quelques immigrants. La masse rurale ne suivit le mouvement que très lentement et de très mauvais gré ; souvent, elle s’y opposa d’abord, délibérément. La trace de cette résistance est d</w:t>
      </w:r>
      <w:r w:rsidRPr="00246AE4">
        <w:rPr>
          <w:color w:val="000000"/>
          <w:lang w:eastAsia="fr-FR" w:bidi="fr-FR"/>
        </w:rPr>
        <w:t>e</w:t>
      </w:r>
      <w:r w:rsidRPr="00246AE4">
        <w:rPr>
          <w:color w:val="000000"/>
          <w:lang w:eastAsia="fr-FR" w:bidi="fr-FR"/>
        </w:rPr>
        <w:t>meurée, jusqu’à nos jours, très profonde dans la littérature agronom</w:t>
      </w:r>
      <w:r w:rsidRPr="00246AE4">
        <w:rPr>
          <w:color w:val="000000"/>
          <w:lang w:eastAsia="fr-FR" w:bidi="fr-FR"/>
        </w:rPr>
        <w:t>i</w:t>
      </w:r>
      <w:r w:rsidRPr="00246AE4">
        <w:rPr>
          <w:color w:val="000000"/>
          <w:lang w:eastAsia="fr-FR" w:bidi="fr-FR"/>
        </w:rPr>
        <w:t>que. L’agronomie garde, en quelque façon, rancune aux paysans de ne pas s’être ralliés à une transformation qui, indéniablement, aboutissait à augmenter, dans des proportions considérables, les capacités produ</w:t>
      </w:r>
      <w:r w:rsidRPr="00246AE4">
        <w:rPr>
          <w:color w:val="000000"/>
          <w:lang w:eastAsia="fr-FR" w:bidi="fr-FR"/>
        </w:rPr>
        <w:t>c</w:t>
      </w:r>
      <w:r w:rsidRPr="00246AE4">
        <w:rPr>
          <w:color w:val="000000"/>
          <w:lang w:eastAsia="fr-FR" w:bidi="fr-FR"/>
        </w:rPr>
        <w:t>tives du pays.</w:t>
      </w:r>
    </w:p>
    <w:p w14:paraId="34CB43E5" w14:textId="77777777" w:rsidR="00B9662D" w:rsidRPr="00246AE4" w:rsidRDefault="00B9662D" w:rsidP="00B9662D">
      <w:pPr>
        <w:spacing w:before="120" w:after="120"/>
        <w:jc w:val="both"/>
      </w:pPr>
      <w:r w:rsidRPr="00246AE4">
        <w:rPr>
          <w:color w:val="000000"/>
          <w:lang w:eastAsia="fr-FR" w:bidi="fr-FR"/>
        </w:rPr>
        <w:t>L’exemple inverse, qui nous met en présence d’un cas d’adaptation, relativement rapide, à une technique nouvelle, c’est</w:t>
      </w:r>
      <w:r>
        <w:rPr>
          <w:color w:val="000000"/>
          <w:lang w:eastAsia="fr-FR" w:bidi="fr-FR"/>
        </w:rPr>
        <w:t> — </w:t>
      </w:r>
      <w:r w:rsidRPr="00246AE4">
        <w:rPr>
          <w:color w:val="000000"/>
          <w:lang w:eastAsia="fr-FR" w:bidi="fr-FR"/>
        </w:rPr>
        <w:t>chose, à première vue, surprenante</w:t>
      </w:r>
      <w:r>
        <w:rPr>
          <w:color w:val="000000"/>
          <w:lang w:eastAsia="fr-FR" w:bidi="fr-FR"/>
        </w:rPr>
        <w:t> — </w:t>
      </w:r>
      <w:r w:rsidRPr="00246AE4">
        <w:rPr>
          <w:color w:val="000000"/>
          <w:lang w:eastAsia="fr-FR" w:bidi="fr-FR"/>
        </w:rPr>
        <w:t>un passé beaucoup plus reculé qui va nous le fournir.</w:t>
      </w:r>
    </w:p>
    <w:p w14:paraId="74F86ED9" w14:textId="77777777" w:rsidR="00B9662D" w:rsidRPr="00246AE4" w:rsidRDefault="00B9662D" w:rsidP="00B9662D">
      <w:pPr>
        <w:spacing w:before="120" w:after="120"/>
        <w:jc w:val="both"/>
      </w:pPr>
      <w:r w:rsidRPr="00246AE4">
        <w:rPr>
          <w:color w:val="000000"/>
          <w:lang w:eastAsia="fr-FR" w:bidi="fr-FR"/>
        </w:rPr>
        <w:t>Une plante, une céréale nous semble aujourd’hui entre toutes c</w:t>
      </w:r>
      <w:r w:rsidRPr="00246AE4">
        <w:rPr>
          <w:color w:val="000000"/>
          <w:lang w:eastAsia="fr-FR" w:bidi="fr-FR"/>
        </w:rPr>
        <w:t>a</w:t>
      </w:r>
      <w:r w:rsidRPr="00246AE4">
        <w:rPr>
          <w:color w:val="000000"/>
          <w:lang w:eastAsia="fr-FR" w:bidi="fr-FR"/>
        </w:rPr>
        <w:t xml:space="preserve">ractéristique de l’ancienne agriculture française. Disons mieux : de l’ancienne agriculture européenne. C’est le seigle. Il a, chacun le sait, disparu, dans la seconde moitié du </w:t>
      </w:r>
      <w:r w:rsidRPr="004E078D">
        <w:rPr>
          <w:smallCaps/>
          <w:color w:val="000000"/>
          <w:lang w:eastAsia="fr-FR" w:bidi="fr-FR"/>
        </w:rPr>
        <w:t>xix</w:t>
      </w:r>
      <w:r w:rsidRPr="004E078D">
        <w:rPr>
          <w:color w:val="000000"/>
          <w:vertAlign w:val="superscript"/>
          <w:lang w:eastAsia="fr-FR" w:bidi="fr-FR"/>
        </w:rPr>
        <w:t>e</w:t>
      </w:r>
      <w:r w:rsidRPr="00246AE4">
        <w:rPr>
          <w:color w:val="000000"/>
          <w:lang w:eastAsia="fr-FR" w:bidi="fr-FR"/>
        </w:rPr>
        <w:t xml:space="preserve"> siècle, de la plus grande partie de nos campagnes. Il y était, chacun le sait aussi, très largement cult</w:t>
      </w:r>
      <w:r w:rsidRPr="00246AE4">
        <w:rPr>
          <w:color w:val="000000"/>
          <w:lang w:eastAsia="fr-FR" w:bidi="fr-FR"/>
        </w:rPr>
        <w:t>i</w:t>
      </w:r>
      <w:r w:rsidRPr="00246AE4">
        <w:rPr>
          <w:color w:val="000000"/>
          <w:lang w:eastAsia="fr-FR" w:bidi="fr-FR"/>
        </w:rPr>
        <w:t xml:space="preserve">vé au Moyen </w:t>
      </w:r>
      <w:r>
        <w:rPr>
          <w:color w:val="000000"/>
          <w:lang w:eastAsia="fr-FR" w:bidi="fr-FR"/>
        </w:rPr>
        <w:t>Â</w:t>
      </w:r>
      <w:r w:rsidRPr="00246AE4">
        <w:rPr>
          <w:color w:val="000000"/>
          <w:lang w:eastAsia="fr-FR" w:bidi="fr-FR"/>
        </w:rPr>
        <w:t xml:space="preserve">ge et jusqu’en plein </w:t>
      </w:r>
      <w:r w:rsidRPr="004E078D">
        <w:rPr>
          <w:smallCaps/>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Dans le Centre, en </w:t>
      </w:r>
      <w:r w:rsidRPr="00246AE4">
        <w:rPr>
          <w:color w:val="000000"/>
          <w:lang w:eastAsia="fr-FR" w:bidi="fr-FR"/>
        </w:rPr>
        <w:lastRenderedPageBreak/>
        <w:t>particulier, il régnait presque exclusivement. Le pain que mangeait alors la majorité de notre peuple n’était pas du pain de froment. C’était du pain de seigle.</w:t>
      </w:r>
    </w:p>
    <w:p w14:paraId="79C15FAF" w14:textId="77777777" w:rsidR="00B9662D" w:rsidRPr="00246AE4" w:rsidRDefault="00B9662D" w:rsidP="00B9662D">
      <w:pPr>
        <w:spacing w:before="120" w:after="120"/>
        <w:jc w:val="both"/>
      </w:pPr>
      <w:r w:rsidRPr="00246AE4">
        <w:rPr>
          <w:color w:val="000000"/>
          <w:lang w:eastAsia="fr-FR" w:bidi="fr-FR"/>
        </w:rPr>
        <w:t>Or ce seigle n’était pas, en vérité, une plante très vieille. Au moins dans le sens où l’historien prend cette épithète, à laquelle il n’accorde peut-être pas exactement la même valeur que le commun des mortels. Nous avons toute raison de croire qu’ignoré de l’agriculture romaine, le seigle ne s’est guère répandu dans l’Europe Occidentale avant l’époque des grandes invasions. Il nous fut alors apporté, probabl</w:t>
      </w:r>
      <w:r w:rsidRPr="00246AE4">
        <w:rPr>
          <w:color w:val="000000"/>
          <w:lang w:eastAsia="fr-FR" w:bidi="fr-FR"/>
        </w:rPr>
        <w:t>e</w:t>
      </w:r>
      <w:r w:rsidRPr="00246AE4">
        <w:rPr>
          <w:color w:val="000000"/>
          <w:lang w:eastAsia="fr-FR" w:bidi="fr-FR"/>
        </w:rPr>
        <w:t>ment, par les civilisations nomades de la steppe, qui, en ce temps, marquèrent si profondément de leur empreinte la vie de l’Occident. Son extension s’accomplit très vite : en quelques siècles, semble-t-il. J’ai déjà dit l’importance de la place qu’il se conquit.</w:t>
      </w:r>
    </w:p>
    <w:p w14:paraId="0A80A926" w14:textId="77777777" w:rsidR="00B9662D" w:rsidRPr="00246AE4" w:rsidRDefault="00B9662D" w:rsidP="00B9662D">
      <w:pPr>
        <w:spacing w:before="120" w:after="120"/>
        <w:jc w:val="both"/>
      </w:pPr>
      <w:r w:rsidRPr="00246AE4">
        <w:rPr>
          <w:color w:val="000000"/>
          <w:lang w:eastAsia="fr-FR" w:bidi="fr-FR"/>
        </w:rPr>
        <w:t>Voilà donc, relativement près de nous, un cas de routine obstinée ; beaucoup plus loin, dans le temps, l’exemple d’une faculté d’adaptation non moins remarquable. Comment résoudre cette app</w:t>
      </w:r>
      <w:r w:rsidRPr="00246AE4">
        <w:rPr>
          <w:color w:val="000000"/>
          <w:lang w:eastAsia="fr-FR" w:bidi="fr-FR"/>
        </w:rPr>
        <w:t>a</w:t>
      </w:r>
      <w:r w:rsidRPr="00246AE4">
        <w:rPr>
          <w:color w:val="000000"/>
          <w:lang w:eastAsia="fr-FR" w:bidi="fr-FR"/>
        </w:rPr>
        <w:t>rente contradiction ?</w:t>
      </w:r>
    </w:p>
    <w:p w14:paraId="04E5D1ED" w14:textId="77777777" w:rsidR="00B9662D" w:rsidRPr="00246AE4" w:rsidRDefault="00B9662D" w:rsidP="00B9662D">
      <w:pPr>
        <w:spacing w:before="120" w:after="120"/>
        <w:jc w:val="both"/>
      </w:pPr>
      <w:r w:rsidRPr="00246AE4">
        <w:rPr>
          <w:color w:val="000000"/>
          <w:lang w:eastAsia="fr-FR" w:bidi="fr-FR"/>
        </w:rPr>
        <w:t>En y regardant de plus près, on aperçoit, entre les deux expérie</w:t>
      </w:r>
      <w:r w:rsidRPr="00246AE4">
        <w:rPr>
          <w:color w:val="000000"/>
          <w:lang w:eastAsia="fr-FR" w:bidi="fr-FR"/>
        </w:rPr>
        <w:t>n</w:t>
      </w:r>
      <w:r w:rsidRPr="00246AE4">
        <w:rPr>
          <w:color w:val="000000"/>
          <w:lang w:eastAsia="fr-FR" w:bidi="fr-FR"/>
        </w:rPr>
        <w:t>ces, une différence considérable.</w:t>
      </w:r>
    </w:p>
    <w:p w14:paraId="7FB330A2" w14:textId="77777777" w:rsidR="00B9662D" w:rsidRPr="00246AE4" w:rsidRDefault="00B9662D" w:rsidP="00B9662D">
      <w:pPr>
        <w:spacing w:before="120" w:after="120"/>
        <w:jc w:val="both"/>
      </w:pPr>
      <w:r w:rsidRPr="00246AE4">
        <w:rPr>
          <w:color w:val="000000"/>
          <w:lang w:eastAsia="fr-FR" w:bidi="fr-FR"/>
        </w:rPr>
        <w:t>Comme M. Faucher l’a justement rappelé, la révolution agricole menaçait de ruiner tout le système social dans lequel s’inscrivait la vie paysanne. Le petit paysan n’était pas sensible à l’idée d’accroître les forces productrices de la nation. Il ne l’était même que médiocrement à la perspective, moins lointaine, d’augmenter sa propre production, ou, du moins, la part de cette production qui était destinée à la vente. Il savait les débouchés</w:t>
      </w:r>
      <w:r>
        <w:t xml:space="preserve"> [795]</w:t>
      </w:r>
      <w:r w:rsidRPr="00246AE4">
        <w:rPr>
          <w:color w:val="000000"/>
          <w:lang w:eastAsia="fr-FR" w:bidi="fr-FR"/>
        </w:rPr>
        <w:t xml:space="preserve"> incertains, les cours variables ; il sentait, dans le ma</w:t>
      </w:r>
      <w:r w:rsidRPr="00246AE4">
        <w:rPr>
          <w:color w:val="000000"/>
          <w:lang w:eastAsia="fr-FR" w:bidi="fr-FR"/>
        </w:rPr>
        <w:t>r</w:t>
      </w:r>
      <w:r w:rsidRPr="00246AE4">
        <w:rPr>
          <w:color w:val="000000"/>
          <w:lang w:eastAsia="fr-FR" w:bidi="fr-FR"/>
        </w:rPr>
        <w:t>ché, quelque chose de mystérieux et d’un peu dangereux. Sa princip</w:t>
      </w:r>
      <w:r w:rsidRPr="00246AE4">
        <w:rPr>
          <w:color w:val="000000"/>
          <w:lang w:eastAsia="fr-FR" w:bidi="fr-FR"/>
        </w:rPr>
        <w:t>a</w:t>
      </w:r>
      <w:r w:rsidRPr="00246AE4">
        <w:rPr>
          <w:color w:val="000000"/>
          <w:lang w:eastAsia="fr-FR" w:bidi="fr-FR"/>
        </w:rPr>
        <w:t>le préoccupation était, beaucoup plutôt, de conserver à peu près intact son niveau de vie traditionnel. Presque partout, il estimait son sort a</w:t>
      </w:r>
      <w:r w:rsidRPr="00246AE4">
        <w:rPr>
          <w:color w:val="000000"/>
          <w:lang w:eastAsia="fr-FR" w:bidi="fr-FR"/>
        </w:rPr>
        <w:t>t</w:t>
      </w:r>
      <w:r w:rsidRPr="00246AE4">
        <w:rPr>
          <w:color w:val="000000"/>
          <w:lang w:eastAsia="fr-FR" w:bidi="fr-FR"/>
        </w:rPr>
        <w:t>taché au maintien des anciennes servitudes collectives, qui pesaient sur les labours. Or ces usages supposaient la jachère. Su</w:t>
      </w:r>
      <w:r w:rsidRPr="00246AE4">
        <w:rPr>
          <w:color w:val="000000"/>
          <w:lang w:eastAsia="fr-FR" w:bidi="fr-FR"/>
        </w:rPr>
        <w:t>p</w:t>
      </w:r>
      <w:r w:rsidRPr="00246AE4">
        <w:rPr>
          <w:color w:val="000000"/>
          <w:lang w:eastAsia="fr-FR" w:bidi="fr-FR"/>
        </w:rPr>
        <w:t>primer celle-ci, c’était, du même coup, atteindre la vaine pâture qui</w:t>
      </w:r>
      <w:r>
        <w:rPr>
          <w:color w:val="000000"/>
          <w:lang w:eastAsia="fr-FR" w:bidi="fr-FR"/>
        </w:rPr>
        <w:t> — </w:t>
      </w:r>
      <w:r w:rsidRPr="00246AE4">
        <w:rPr>
          <w:color w:val="000000"/>
          <w:lang w:eastAsia="fr-FR" w:bidi="fr-FR"/>
        </w:rPr>
        <w:t>si l’on prend pour exemple les pays d’assolement triennal</w:t>
      </w:r>
      <w:r>
        <w:rPr>
          <w:color w:val="000000"/>
          <w:lang w:eastAsia="fr-FR" w:bidi="fr-FR"/>
        </w:rPr>
        <w:t> — </w:t>
      </w:r>
      <w:r w:rsidRPr="00246AE4">
        <w:rPr>
          <w:color w:val="000000"/>
          <w:lang w:eastAsia="fr-FR" w:bidi="fr-FR"/>
        </w:rPr>
        <w:t>ouvrait chaque année le tiers du terroir cultivé aux troupeaux de la comm</w:t>
      </w:r>
      <w:r w:rsidRPr="00246AE4">
        <w:rPr>
          <w:color w:val="000000"/>
          <w:lang w:eastAsia="fr-FR" w:bidi="fr-FR"/>
        </w:rPr>
        <w:t>u</w:t>
      </w:r>
      <w:r w:rsidRPr="00246AE4">
        <w:rPr>
          <w:color w:val="000000"/>
          <w:lang w:eastAsia="fr-FR" w:bidi="fr-FR"/>
        </w:rPr>
        <w:t>nauté e</w:t>
      </w:r>
      <w:r w:rsidRPr="00246AE4">
        <w:rPr>
          <w:color w:val="000000"/>
          <w:lang w:eastAsia="fr-FR" w:bidi="fr-FR"/>
        </w:rPr>
        <w:t>n</w:t>
      </w:r>
      <w:r w:rsidRPr="00246AE4">
        <w:rPr>
          <w:color w:val="000000"/>
          <w:lang w:eastAsia="fr-FR" w:bidi="fr-FR"/>
        </w:rPr>
        <w:t>tière. Privés de cette faculté, beaucoup d’exploitants n’auraient plus su comment nourrir leurs bêtes. La plupart des paysans, en un mot, cra</w:t>
      </w:r>
      <w:r w:rsidRPr="00246AE4">
        <w:rPr>
          <w:color w:val="000000"/>
          <w:lang w:eastAsia="fr-FR" w:bidi="fr-FR"/>
        </w:rPr>
        <w:t>i</w:t>
      </w:r>
      <w:r w:rsidRPr="00246AE4">
        <w:rPr>
          <w:color w:val="000000"/>
          <w:lang w:eastAsia="fr-FR" w:bidi="fr-FR"/>
        </w:rPr>
        <w:t>gnaient le grand bouleversement social qui sem</w:t>
      </w:r>
      <w:r w:rsidRPr="00246AE4">
        <w:rPr>
          <w:color w:val="000000"/>
          <w:lang w:eastAsia="fr-FR" w:bidi="fr-FR"/>
        </w:rPr>
        <w:lastRenderedPageBreak/>
        <w:t>blait la suite inévitable des méthodes nouvelles. Ils n’avaient pas tort de le craindre. S’ils avaient mieux su ce qui se passait, au même temps, sur l’autre rive de la Manche, ils y auraient trouvé la confirm</w:t>
      </w:r>
      <w:r w:rsidRPr="00246AE4">
        <w:rPr>
          <w:color w:val="000000"/>
          <w:lang w:eastAsia="fr-FR" w:bidi="fr-FR"/>
        </w:rPr>
        <w:t>a</w:t>
      </w:r>
      <w:r w:rsidRPr="00246AE4">
        <w:rPr>
          <w:color w:val="000000"/>
          <w:lang w:eastAsia="fr-FR" w:bidi="fr-FR"/>
        </w:rPr>
        <w:t>tion de leurs pires inqui</w:t>
      </w:r>
      <w:r w:rsidRPr="00246AE4">
        <w:rPr>
          <w:color w:val="000000"/>
          <w:lang w:eastAsia="fr-FR" w:bidi="fr-FR"/>
        </w:rPr>
        <w:t>é</w:t>
      </w:r>
      <w:r w:rsidRPr="00246AE4">
        <w:rPr>
          <w:color w:val="000000"/>
          <w:lang w:eastAsia="fr-FR" w:bidi="fr-FR"/>
        </w:rPr>
        <w:t>tudes. La révolution agricole s’est faite, en Angleterre, beaucoup plus rapidement et complètement que chez nous. Elle y a eu pour rançon l’écrasement de toute une fraction de la masse rurale.</w:t>
      </w:r>
    </w:p>
    <w:p w14:paraId="185DB841" w14:textId="77777777" w:rsidR="00B9662D" w:rsidRPr="00246AE4" w:rsidRDefault="00B9662D" w:rsidP="00B9662D">
      <w:pPr>
        <w:spacing w:before="120" w:after="120"/>
        <w:jc w:val="both"/>
      </w:pPr>
      <w:r w:rsidRPr="00246AE4">
        <w:rPr>
          <w:color w:val="000000"/>
          <w:lang w:eastAsia="fr-FR" w:bidi="fr-FR"/>
        </w:rPr>
        <w:t>Imaginons, au contraire, notre paysan de l’époque mérovingienne en présence du seigle. Certes, la culture lui paraît nouvelle. Mais peut-être la plante en elle-même ne lui est-elle pas tout à fait inconnue : car le seigle semble bien avoir fait originellement son entrée comme une des mauvaises herbes du froment. En tout cas, elle est analogue aux autres céréales, familières, depuis longtemps, aux laboureurs de la Gaule. Surtout, substituer le seigle au froment ou à l’orge, ce n’était nullement toucher au système social. C’était simplement améliorer la mise en valeur d’un champ, que les mêmes hommes que par le passé continueraient de cultiver, selon le même rythme.</w:t>
      </w:r>
    </w:p>
    <w:p w14:paraId="5E7263C3" w14:textId="77777777" w:rsidR="00B9662D" w:rsidRPr="00246AE4" w:rsidRDefault="00B9662D" w:rsidP="00B9662D">
      <w:pPr>
        <w:spacing w:before="120" w:after="120"/>
        <w:jc w:val="both"/>
      </w:pPr>
      <w:r w:rsidRPr="00246AE4">
        <w:rPr>
          <w:color w:val="000000"/>
          <w:lang w:eastAsia="fr-FR" w:bidi="fr-FR"/>
        </w:rPr>
        <w:t>Ainsi nous aurions affaire, en vérité, à des phénomènes de portée très différente, et l’antinomie n’aurait plus besoin d’être expliquée, puisque strictement elle n’existerait plus. Je veux bien. Je tiens ces considérations, en elles-mêmes, pour parfaitement justes. Quitte, c</w:t>
      </w:r>
      <w:r w:rsidRPr="00246AE4">
        <w:rPr>
          <w:color w:val="000000"/>
          <w:lang w:eastAsia="fr-FR" w:bidi="fr-FR"/>
        </w:rPr>
        <w:t>e</w:t>
      </w:r>
      <w:r w:rsidRPr="00246AE4">
        <w:rPr>
          <w:color w:val="000000"/>
          <w:lang w:eastAsia="fr-FR" w:bidi="fr-FR"/>
        </w:rPr>
        <w:t>pendant, à m’exposer, sciemment, au reproche de ne vous soumettre qu’une série de possibilités, entre lesquelles il vous appartiendra de choisir, je dois vous l’avouer : je ne suis pas sûr que, par là, la réalité soit épuisée. Il y a peut-être encore autre chose.</w:t>
      </w:r>
    </w:p>
    <w:p w14:paraId="656A1AFC" w14:textId="77777777" w:rsidR="00B9662D" w:rsidRPr="00246AE4" w:rsidRDefault="00B9662D" w:rsidP="00B9662D">
      <w:pPr>
        <w:spacing w:before="120" w:after="120"/>
        <w:jc w:val="both"/>
      </w:pPr>
      <w:r w:rsidRPr="00246AE4">
        <w:rPr>
          <w:color w:val="000000"/>
          <w:lang w:eastAsia="fr-FR" w:bidi="fr-FR"/>
        </w:rPr>
        <w:t xml:space="preserve">La société paysanne qui s’est trouvée confrontée par les problèmes de la révolution agricole du </w:t>
      </w:r>
      <w:r w:rsidRPr="00646631">
        <w:rPr>
          <w:caps/>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 était une société stable et d’organisation assez rigide ; où les familles demeuraient, pendant des générations, à peu près sur place ; où, entre les diverses couches soci</w:t>
      </w:r>
      <w:r w:rsidRPr="00246AE4">
        <w:rPr>
          <w:color w:val="000000"/>
          <w:lang w:eastAsia="fr-FR" w:bidi="fr-FR"/>
        </w:rPr>
        <w:t>a</w:t>
      </w:r>
      <w:r w:rsidRPr="00246AE4">
        <w:rPr>
          <w:color w:val="000000"/>
          <w:lang w:eastAsia="fr-FR" w:bidi="fr-FR"/>
        </w:rPr>
        <w:t>les elles</w:t>
      </w:r>
      <w:r>
        <w:rPr>
          <w:color w:val="000000"/>
          <w:lang w:eastAsia="fr-FR" w:bidi="fr-FR"/>
        </w:rPr>
        <w:t>-</w:t>
      </w:r>
      <w:r w:rsidRPr="00246AE4">
        <w:rPr>
          <w:color w:val="000000"/>
          <w:lang w:eastAsia="fr-FR" w:bidi="fr-FR"/>
        </w:rPr>
        <w:t>mêmes, il ne s’opérait pas de brassages bien intensifs.</w:t>
      </w:r>
    </w:p>
    <w:p w14:paraId="329A2C02" w14:textId="77777777" w:rsidR="00B9662D" w:rsidRPr="00246AE4" w:rsidRDefault="00B9662D" w:rsidP="00B9662D">
      <w:pPr>
        <w:spacing w:before="120" w:after="120"/>
        <w:jc w:val="both"/>
      </w:pPr>
      <w:r w:rsidRPr="00246AE4">
        <w:rPr>
          <w:color w:val="000000"/>
          <w:lang w:eastAsia="fr-FR" w:bidi="fr-FR"/>
        </w:rPr>
        <w:t xml:space="preserve">Prenez au contraire la société paysanne qui a adopté le seigle. C’était celle des grandes invasions. Entendez : une société en plein remuement et dont, par le fait de tant de désastres divers, des razzias, des migrations forcées, les anciens cadres craquèrent de toutes parts. Ne doit-on pas supposer qu’une société ainsi animée d’une sorte de puissant mouvement interne possède, par nature, une faculté d’adaptation plus grande ? Simple hypothèse, assurément. Mais qui </w:t>
      </w:r>
      <w:r w:rsidRPr="00246AE4">
        <w:rPr>
          <w:color w:val="000000"/>
          <w:lang w:eastAsia="fr-FR" w:bidi="fr-FR"/>
        </w:rPr>
        <w:lastRenderedPageBreak/>
        <w:t>trouverait peut-être un commencement de confirmation dans d’autres faits parallèles. Car le seigle n’est pas, à beaucoup près, le seul produit nouveau que la société occidentale ait</w:t>
      </w:r>
      <w:r>
        <w:t xml:space="preserve"> [796] </w:t>
      </w:r>
      <w:r w:rsidRPr="00246AE4">
        <w:rPr>
          <w:color w:val="000000"/>
          <w:lang w:eastAsia="fr-FR" w:bidi="fr-FR"/>
        </w:rPr>
        <w:t>faite sienne au cours de cette période si troublée et, en apparence, si inféconde. Pensez, n</w:t>
      </w:r>
      <w:r w:rsidRPr="00246AE4">
        <w:rPr>
          <w:color w:val="000000"/>
          <w:lang w:eastAsia="fr-FR" w:bidi="fr-FR"/>
        </w:rPr>
        <w:t>o</w:t>
      </w:r>
      <w:r w:rsidRPr="00246AE4">
        <w:rPr>
          <w:color w:val="000000"/>
          <w:lang w:eastAsia="fr-FR" w:bidi="fr-FR"/>
        </w:rPr>
        <w:t>tamment, à l’étrier. On a le sentiment (je n’oserais, pour le moment, en dire plus) que les conditions de la vie sociale, par ailleurs terribl</w:t>
      </w:r>
      <w:r w:rsidRPr="00246AE4">
        <w:rPr>
          <w:color w:val="000000"/>
          <w:lang w:eastAsia="fr-FR" w:bidi="fr-FR"/>
        </w:rPr>
        <w:t>e</w:t>
      </w:r>
      <w:r w:rsidRPr="00246AE4">
        <w:rPr>
          <w:color w:val="000000"/>
          <w:lang w:eastAsia="fr-FR" w:bidi="fr-FR"/>
        </w:rPr>
        <w:t>ment tragiques, étaient alors favorables aux innovations.</w:t>
      </w:r>
    </w:p>
    <w:p w14:paraId="5F97293C" w14:textId="77777777" w:rsidR="00B9662D" w:rsidRDefault="00B9662D" w:rsidP="00B9662D">
      <w:pPr>
        <w:spacing w:before="120" w:after="120"/>
        <w:jc w:val="both"/>
        <w:rPr>
          <w:color w:val="000000"/>
          <w:lang w:eastAsia="fr-FR" w:bidi="fr-FR"/>
        </w:rPr>
      </w:pPr>
    </w:p>
    <w:p w14:paraId="4515BAD6" w14:textId="77777777" w:rsidR="00B9662D" w:rsidRPr="00246AE4" w:rsidRDefault="00B9662D" w:rsidP="00B9662D">
      <w:pPr>
        <w:pStyle w:val="planche"/>
      </w:pPr>
      <w:r w:rsidRPr="00246AE4">
        <w:t>III</w:t>
      </w:r>
    </w:p>
    <w:p w14:paraId="6DAD8DFD" w14:textId="77777777" w:rsidR="00B9662D" w:rsidRDefault="00B9662D" w:rsidP="00B9662D">
      <w:pPr>
        <w:spacing w:before="120" w:after="120"/>
        <w:jc w:val="both"/>
        <w:rPr>
          <w:color w:val="000000"/>
          <w:lang w:eastAsia="fr-FR" w:bidi="fr-FR"/>
        </w:rPr>
      </w:pPr>
    </w:p>
    <w:p w14:paraId="362D127B" w14:textId="77777777" w:rsidR="00B9662D" w:rsidRPr="00246AE4" w:rsidRDefault="00B9662D" w:rsidP="00B9662D">
      <w:pPr>
        <w:spacing w:before="120" w:after="120"/>
        <w:jc w:val="both"/>
      </w:pPr>
      <w:r w:rsidRPr="00246AE4">
        <w:rPr>
          <w:color w:val="000000"/>
          <w:lang w:eastAsia="fr-FR" w:bidi="fr-FR"/>
        </w:rPr>
        <w:t>Le second problème dont je voudrais vous entretenir est plus co</w:t>
      </w:r>
      <w:r w:rsidRPr="00246AE4">
        <w:rPr>
          <w:color w:val="000000"/>
          <w:lang w:eastAsia="fr-FR" w:bidi="fr-FR"/>
        </w:rPr>
        <w:t>m</w:t>
      </w:r>
      <w:r w:rsidRPr="00246AE4">
        <w:rPr>
          <w:color w:val="000000"/>
          <w:lang w:eastAsia="fr-FR" w:bidi="fr-FR"/>
        </w:rPr>
        <w:t>plexe. Car il met en jeu, cette fois, avec la psychologie collective, la psychologie individuelle différentielle. C’est le problème de l’invention. Je ne l’envisagerai ici que sous son aspect collectif.</w:t>
      </w:r>
    </w:p>
    <w:p w14:paraId="7A2ABDFD" w14:textId="77777777" w:rsidR="00B9662D" w:rsidRPr="00246AE4" w:rsidRDefault="00B9662D" w:rsidP="00B9662D">
      <w:pPr>
        <w:spacing w:before="120" w:after="120"/>
        <w:jc w:val="both"/>
      </w:pPr>
      <w:r w:rsidRPr="00246AE4">
        <w:rPr>
          <w:color w:val="000000"/>
          <w:lang w:eastAsia="fr-FR" w:bidi="fr-FR"/>
        </w:rPr>
        <w:t>L’histoire montre, d’une façon évidente, l’existence de sociétés ou de phases sociales particulièrement inventives. Laissons de côté</w:t>
      </w:r>
      <w:r>
        <w:rPr>
          <w:color w:val="000000"/>
          <w:lang w:eastAsia="fr-FR" w:bidi="fr-FR"/>
        </w:rPr>
        <w:t> — </w:t>
      </w:r>
      <w:r w:rsidRPr="00246AE4">
        <w:rPr>
          <w:color w:val="000000"/>
          <w:lang w:eastAsia="fr-FR" w:bidi="fr-FR"/>
        </w:rPr>
        <w:t>comme je viens de m’engager à le faire</w:t>
      </w:r>
      <w:r>
        <w:rPr>
          <w:color w:val="000000"/>
          <w:lang w:eastAsia="fr-FR" w:bidi="fr-FR"/>
        </w:rPr>
        <w:t> — </w:t>
      </w:r>
      <w:r w:rsidRPr="00246AE4">
        <w:rPr>
          <w:color w:val="000000"/>
          <w:lang w:eastAsia="fr-FR" w:bidi="fr-FR"/>
        </w:rPr>
        <w:t>la question de savoir pourquoi tel ou tel individu invente, plutôt que tel autre. L’observation subsiste que, dans l’évolution des sociétés, il y a des moments où tout le monde invente ; d’autres, où presque personne n’invente.</w:t>
      </w:r>
    </w:p>
    <w:p w14:paraId="54C793C9" w14:textId="77777777" w:rsidR="00B9662D" w:rsidRPr="00246AE4" w:rsidRDefault="00B9662D" w:rsidP="00B9662D">
      <w:pPr>
        <w:spacing w:before="120" w:after="120"/>
        <w:jc w:val="both"/>
      </w:pPr>
      <w:r w:rsidRPr="00246AE4">
        <w:rPr>
          <w:color w:val="000000"/>
          <w:lang w:eastAsia="fr-FR" w:bidi="fr-FR"/>
        </w:rPr>
        <w:t xml:space="preserve">Par exemple, l’Antiquité classique a certainement été une période pauvre en inventions. La seconde partie du </w:t>
      </w:r>
      <w:r w:rsidRPr="00AD0586">
        <w:rPr>
          <w:small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français nous met, elle, en présence, d’un cas plus curieux encore : celui d’une s</w:t>
      </w:r>
      <w:r w:rsidRPr="00246AE4">
        <w:rPr>
          <w:color w:val="000000"/>
          <w:lang w:eastAsia="fr-FR" w:bidi="fr-FR"/>
        </w:rPr>
        <w:t>o</w:t>
      </w:r>
      <w:r w:rsidRPr="00246AE4">
        <w:rPr>
          <w:color w:val="000000"/>
          <w:lang w:eastAsia="fr-FR" w:bidi="fr-FR"/>
        </w:rPr>
        <w:t>ciété qui a envie d’inventer et n’y réussit point. (J’entends, naturell</w:t>
      </w:r>
      <w:r w:rsidRPr="00246AE4">
        <w:rPr>
          <w:color w:val="000000"/>
          <w:lang w:eastAsia="fr-FR" w:bidi="fr-FR"/>
        </w:rPr>
        <w:t>e</w:t>
      </w:r>
      <w:r w:rsidRPr="00246AE4">
        <w:rPr>
          <w:color w:val="000000"/>
          <w:lang w:eastAsia="fr-FR" w:bidi="fr-FR"/>
        </w:rPr>
        <w:t>ment, dans le domaine technique.)</w:t>
      </w:r>
    </w:p>
    <w:p w14:paraId="077D700C" w14:textId="77777777" w:rsidR="00B9662D" w:rsidRPr="00246AE4" w:rsidRDefault="00B9662D" w:rsidP="00B9662D">
      <w:pPr>
        <w:spacing w:before="120" w:after="120"/>
        <w:jc w:val="both"/>
      </w:pPr>
      <w:r w:rsidRPr="00246AE4">
        <w:rPr>
          <w:color w:val="000000"/>
          <w:lang w:eastAsia="fr-FR" w:bidi="fr-FR"/>
        </w:rPr>
        <w:t xml:space="preserve">Ouvrons, en effet, un recueil d’usage aussi courant que le tome I de la </w:t>
      </w:r>
      <w:r w:rsidRPr="00AD0586">
        <w:rPr>
          <w:i/>
        </w:rPr>
        <w:t>Correspondance des contrôleurs généraux avec les intendants</w:t>
      </w:r>
      <w:r w:rsidRPr="00246AE4">
        <w:rPr>
          <w:color w:val="000000"/>
          <w:lang w:eastAsia="fr-FR" w:bidi="fr-FR"/>
        </w:rPr>
        <w:t>, p</w:t>
      </w:r>
      <w:r w:rsidRPr="00246AE4">
        <w:rPr>
          <w:color w:val="000000"/>
          <w:lang w:eastAsia="fr-FR" w:bidi="fr-FR"/>
        </w:rPr>
        <w:t>u</w:t>
      </w:r>
      <w:r w:rsidRPr="00246AE4">
        <w:rPr>
          <w:color w:val="000000"/>
          <w:lang w:eastAsia="fr-FR" w:bidi="fr-FR"/>
        </w:rPr>
        <w:t>bliée par Boislisle. Feuilletons l’Introduction. Nous nous apercevrons que sous le règne de Louis</w:t>
      </w:r>
      <w:r>
        <w:rPr>
          <w:color w:val="000000"/>
          <w:lang w:eastAsia="fr-FR" w:bidi="fr-FR"/>
        </w:rPr>
        <w:t> </w:t>
      </w:r>
      <w:r w:rsidRPr="00246AE4">
        <w:rPr>
          <w:color w:val="000000"/>
          <w:lang w:eastAsia="fr-FR" w:bidi="fr-FR"/>
        </w:rPr>
        <w:t>XIV ont été obtenus un nombre considér</w:t>
      </w:r>
      <w:r w:rsidRPr="00246AE4">
        <w:rPr>
          <w:color w:val="000000"/>
          <w:lang w:eastAsia="fr-FR" w:bidi="fr-FR"/>
        </w:rPr>
        <w:t>a</w:t>
      </w:r>
      <w:r w:rsidRPr="00246AE4">
        <w:rPr>
          <w:color w:val="000000"/>
          <w:lang w:eastAsia="fr-FR" w:bidi="fr-FR"/>
        </w:rPr>
        <w:t>ble de brevets d’invention ou, plus exactement, de privilèges perme</w:t>
      </w:r>
      <w:r w:rsidRPr="00246AE4">
        <w:rPr>
          <w:color w:val="000000"/>
          <w:lang w:eastAsia="fr-FR" w:bidi="fr-FR"/>
        </w:rPr>
        <w:t>t</w:t>
      </w:r>
      <w:r w:rsidRPr="00246AE4">
        <w:rPr>
          <w:color w:val="000000"/>
          <w:lang w:eastAsia="fr-FR" w:bidi="fr-FR"/>
        </w:rPr>
        <w:t>tant d’exploiter, en monopole, une invention. Ces concessions to</w:t>
      </w:r>
      <w:r w:rsidRPr="00246AE4">
        <w:rPr>
          <w:color w:val="000000"/>
          <w:lang w:eastAsia="fr-FR" w:bidi="fr-FR"/>
        </w:rPr>
        <w:t>u</w:t>
      </w:r>
      <w:r w:rsidRPr="00246AE4">
        <w:rPr>
          <w:color w:val="000000"/>
          <w:lang w:eastAsia="fr-FR" w:bidi="fr-FR"/>
        </w:rPr>
        <w:t>chent les techniques les plus diverses. Tel, par exemple, le procédé de chauffage économique, dans lequel M</w:t>
      </w:r>
      <w:r w:rsidRPr="00246AE4">
        <w:rPr>
          <w:color w:val="000000"/>
          <w:vertAlign w:val="superscript"/>
          <w:lang w:eastAsia="fr-FR" w:bidi="fr-FR"/>
        </w:rPr>
        <w:t>me</w:t>
      </w:r>
      <w:r w:rsidRPr="00246AE4">
        <w:rPr>
          <w:color w:val="000000"/>
          <w:lang w:eastAsia="fr-FR" w:bidi="fr-FR"/>
        </w:rPr>
        <w:t xml:space="preserve"> de Maintenon plaça quelques capitaux ; ou, parmi les recettes nouvelles de valeur un peu seconda</w:t>
      </w:r>
      <w:r w:rsidRPr="00246AE4">
        <w:rPr>
          <w:color w:val="000000"/>
          <w:lang w:eastAsia="fr-FR" w:bidi="fr-FR"/>
        </w:rPr>
        <w:t>i</w:t>
      </w:r>
      <w:r w:rsidRPr="00246AE4">
        <w:rPr>
          <w:color w:val="000000"/>
          <w:lang w:eastAsia="fr-FR" w:bidi="fr-FR"/>
        </w:rPr>
        <w:t xml:space="preserve">re, celle de voitures incahotables et inversables. Mais il y a des cas qui appellent davantage la réflexion : on parle de nouveaux </w:t>
      </w:r>
      <w:r w:rsidRPr="00246AE4">
        <w:rPr>
          <w:color w:val="000000"/>
          <w:lang w:eastAsia="fr-FR" w:bidi="fr-FR"/>
        </w:rPr>
        <w:lastRenderedPageBreak/>
        <w:t>moyens de mouvoir les machines, ce qui semble faire allusion à l’appel à des fo</w:t>
      </w:r>
      <w:r w:rsidRPr="00246AE4">
        <w:rPr>
          <w:color w:val="000000"/>
          <w:lang w:eastAsia="fr-FR" w:bidi="fr-FR"/>
        </w:rPr>
        <w:t>r</w:t>
      </w:r>
      <w:r w:rsidRPr="00246AE4">
        <w:rPr>
          <w:color w:val="000000"/>
          <w:lang w:eastAsia="fr-FR" w:bidi="fr-FR"/>
        </w:rPr>
        <w:t>ces motrices jusque-là inutilisées.</w:t>
      </w:r>
    </w:p>
    <w:p w14:paraId="724030A8" w14:textId="77777777" w:rsidR="00B9662D" w:rsidRPr="00246AE4" w:rsidRDefault="00B9662D" w:rsidP="00B9662D">
      <w:pPr>
        <w:spacing w:before="120" w:after="120"/>
        <w:jc w:val="both"/>
      </w:pPr>
      <w:r w:rsidRPr="00246AE4">
        <w:rPr>
          <w:color w:val="000000"/>
          <w:lang w:eastAsia="fr-FR" w:bidi="fr-FR"/>
        </w:rPr>
        <w:t>Or, une chose est certaine : de tout cela, rien d’important, prat</w:t>
      </w:r>
      <w:r w:rsidRPr="00246AE4">
        <w:rPr>
          <w:color w:val="000000"/>
          <w:lang w:eastAsia="fr-FR" w:bidi="fr-FR"/>
        </w:rPr>
        <w:t>i</w:t>
      </w:r>
      <w:r w:rsidRPr="00246AE4">
        <w:rPr>
          <w:color w:val="000000"/>
          <w:lang w:eastAsia="fr-FR" w:bidi="fr-FR"/>
        </w:rPr>
        <w:t>quement, n’est sorti. Les voitures, je crois bien, ont continué à cah</w:t>
      </w:r>
      <w:r w:rsidRPr="00246AE4">
        <w:rPr>
          <w:color w:val="000000"/>
          <w:lang w:eastAsia="fr-FR" w:bidi="fr-FR"/>
        </w:rPr>
        <w:t>o</w:t>
      </w:r>
      <w:r w:rsidRPr="00246AE4">
        <w:rPr>
          <w:color w:val="000000"/>
          <w:lang w:eastAsia="fr-FR" w:bidi="fr-FR"/>
        </w:rPr>
        <w:t xml:space="preserve">ter. Le chauffage ne paraît pas être devenu plus économique. Surtout, aucune force motrice nouvelle n’a assurément été utilisée, d’une façon sérieuse, avant la fin du </w:t>
      </w:r>
      <w:r w:rsidRPr="00AD0586">
        <w:rPr>
          <w:smallCaps/>
          <w:color w:val="000000"/>
          <w:lang w:eastAsia="fr-FR" w:bidi="fr-FR"/>
        </w:rPr>
        <w:t>xviii</w:t>
      </w:r>
      <w:r w:rsidRPr="00246AE4">
        <w:rPr>
          <w:color w:val="000000"/>
          <w:vertAlign w:val="superscript"/>
          <w:lang w:eastAsia="fr-FR" w:bidi="fr-FR"/>
        </w:rPr>
        <w:t>e</w:t>
      </w:r>
      <w:r w:rsidRPr="00246AE4">
        <w:rPr>
          <w:color w:val="000000"/>
          <w:lang w:eastAsia="fr-FR" w:bidi="fr-FR"/>
        </w:rPr>
        <w:t xml:space="preserve"> siècle.</w:t>
      </w:r>
    </w:p>
    <w:p w14:paraId="239794FE" w14:textId="77777777" w:rsidR="00B9662D" w:rsidRPr="00246AE4" w:rsidRDefault="00B9662D" w:rsidP="00B9662D">
      <w:pPr>
        <w:spacing w:before="120" w:after="120"/>
        <w:jc w:val="both"/>
      </w:pPr>
      <w:r w:rsidRPr="00246AE4">
        <w:rPr>
          <w:color w:val="000000"/>
          <w:lang w:eastAsia="fr-FR" w:bidi="fr-FR"/>
        </w:rPr>
        <w:t>D’où un gros problème : ces gens qui avaient le désir d’inventer et qui, visiblement, y étaient poussés par l’ambition de gagner de l’argent avec leurs inventions, pourquoi ne sont-ils pas parvenus à leurs fins ?</w:t>
      </w:r>
    </w:p>
    <w:p w14:paraId="093BA6C6" w14:textId="77777777" w:rsidR="00B9662D" w:rsidRPr="00246AE4" w:rsidRDefault="00B9662D" w:rsidP="00B9662D">
      <w:pPr>
        <w:spacing w:before="120" w:after="120"/>
        <w:jc w:val="both"/>
      </w:pPr>
      <w:r w:rsidRPr="00246AE4">
        <w:rPr>
          <w:color w:val="000000"/>
          <w:lang w:eastAsia="fr-FR" w:bidi="fr-FR"/>
        </w:rPr>
        <w:t>Ici, nous rencontrons de nouveau l’explication par le besoin éc</w:t>
      </w:r>
      <w:r w:rsidRPr="00246AE4">
        <w:rPr>
          <w:color w:val="000000"/>
          <w:lang w:eastAsia="fr-FR" w:bidi="fr-FR"/>
        </w:rPr>
        <w:t>o</w:t>
      </w:r>
      <w:r w:rsidRPr="00246AE4">
        <w:rPr>
          <w:color w:val="000000"/>
          <w:lang w:eastAsia="fr-FR" w:bidi="fr-FR"/>
        </w:rPr>
        <w:t xml:space="preserve">nomique. Elle a été présentée de bonne heure. On lit, dans </w:t>
      </w:r>
      <w:r>
        <w:t>l’</w:t>
      </w:r>
      <w:r w:rsidRPr="00AD0586">
        <w:rPr>
          <w:i/>
        </w:rPr>
        <w:t>Encyclopédie</w:t>
      </w:r>
      <w:r w:rsidRPr="00246AE4">
        <w:t xml:space="preserve">, </w:t>
      </w:r>
      <w:r w:rsidRPr="00246AE4">
        <w:rPr>
          <w:color w:val="000000"/>
          <w:lang w:eastAsia="fr-FR" w:bidi="fr-FR"/>
        </w:rPr>
        <w:t xml:space="preserve">à l’article </w:t>
      </w:r>
      <w:r w:rsidRPr="00AD0586">
        <w:rPr>
          <w:i/>
        </w:rPr>
        <w:t>Cordages</w:t>
      </w:r>
      <w:r w:rsidRPr="00246AE4">
        <w:t>,</w:t>
      </w:r>
      <w:r w:rsidRPr="00246AE4">
        <w:rPr>
          <w:color w:val="000000"/>
          <w:lang w:eastAsia="fr-FR" w:bidi="fr-FR"/>
        </w:rPr>
        <w:t xml:space="preserve"> ce qui suit :</w:t>
      </w:r>
    </w:p>
    <w:p w14:paraId="5079ACE1" w14:textId="77777777" w:rsidR="00B9662D" w:rsidRPr="00246AE4" w:rsidRDefault="00B9662D" w:rsidP="00B9662D">
      <w:pPr>
        <w:spacing w:before="120" w:after="120"/>
        <w:jc w:val="both"/>
      </w:pPr>
      <w:r w:rsidRPr="00246AE4">
        <w:rPr>
          <w:color w:val="000000"/>
          <w:lang w:eastAsia="fr-FR" w:bidi="fr-FR"/>
        </w:rPr>
        <w:t>« Partout où la main-d’œuvre est chère, il faut suppléer par des machines ; il n’est que ce moyen de se mettre à niveau de ceux chez qui</w:t>
      </w:r>
      <w:r>
        <w:t xml:space="preserve"> [797] </w:t>
      </w:r>
      <w:r w:rsidRPr="00246AE4">
        <w:rPr>
          <w:color w:val="000000"/>
          <w:lang w:eastAsia="fr-FR" w:bidi="fr-FR"/>
        </w:rPr>
        <w:t>elle est à plus</w:t>
      </w:r>
      <w:r>
        <w:rPr>
          <w:color w:val="000000"/>
          <w:lang w:eastAsia="fr-FR" w:bidi="fr-FR"/>
        </w:rPr>
        <w:t xml:space="preserve"> </w:t>
      </w:r>
      <w:r w:rsidRPr="00246AE4">
        <w:rPr>
          <w:color w:val="000000"/>
          <w:lang w:eastAsia="fr-FR" w:bidi="fr-FR"/>
        </w:rPr>
        <w:t>bas prix. Depuis longtemps, les Anglais l’apprennent à l’Europe ».</w:t>
      </w:r>
    </w:p>
    <w:p w14:paraId="66EA215B" w14:textId="77777777" w:rsidR="00B9662D" w:rsidRPr="00246AE4" w:rsidRDefault="00B9662D" w:rsidP="00B9662D">
      <w:pPr>
        <w:spacing w:before="120" w:after="120"/>
        <w:jc w:val="both"/>
      </w:pPr>
      <w:r w:rsidRPr="00246AE4">
        <w:rPr>
          <w:color w:val="000000"/>
          <w:lang w:eastAsia="fr-FR" w:bidi="fr-FR"/>
        </w:rPr>
        <w:t>En d’autres termes, toute crise de main-d’œuvre doit aboutir à un perfectionnement du machinisme.</w:t>
      </w:r>
    </w:p>
    <w:p w14:paraId="3F0E964C" w14:textId="77777777" w:rsidR="00B9662D" w:rsidRPr="00246AE4" w:rsidRDefault="00B9662D" w:rsidP="00B9662D">
      <w:pPr>
        <w:spacing w:before="120" w:after="120"/>
        <w:jc w:val="both"/>
      </w:pPr>
      <w:r w:rsidRPr="00246AE4">
        <w:rPr>
          <w:color w:val="000000"/>
          <w:lang w:eastAsia="fr-FR" w:bidi="fr-FR"/>
        </w:rPr>
        <w:t>Puis Simiand a repris cette idée, en la reliant à sa puissante théorie de l’alternance entre les périodes de hauts et de bas prix. Les phases de bas prix</w:t>
      </w:r>
      <w:r>
        <w:rPr>
          <w:color w:val="000000"/>
          <w:lang w:eastAsia="fr-FR" w:bidi="fr-FR"/>
        </w:rPr>
        <w:t> — </w:t>
      </w:r>
      <w:r w:rsidRPr="00246AE4">
        <w:rPr>
          <w:color w:val="000000"/>
          <w:lang w:eastAsia="fr-FR" w:bidi="fr-FR"/>
        </w:rPr>
        <w:t>phases B</w:t>
      </w:r>
      <w:r>
        <w:rPr>
          <w:color w:val="000000"/>
          <w:lang w:eastAsia="fr-FR" w:bidi="fr-FR"/>
        </w:rPr>
        <w:t> — </w:t>
      </w:r>
      <w:r w:rsidRPr="00246AE4">
        <w:rPr>
          <w:color w:val="000000"/>
          <w:lang w:eastAsia="fr-FR" w:bidi="fr-FR"/>
        </w:rPr>
        <w:t xml:space="preserve">se caractériseraient généralement par un progrès des inventions. Malheureusement la thèse s’applique mal au </w:t>
      </w:r>
      <w:r w:rsidRPr="00C90FC7">
        <w:rPr>
          <w:small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Celui-ci, au moins dans sa seconde partie, semble bien avoir coïncidé avec une phase B ; et il n’a rien inventé.</w:t>
      </w:r>
    </w:p>
    <w:p w14:paraId="2DA8AD37" w14:textId="77777777" w:rsidR="00B9662D" w:rsidRPr="00246AE4" w:rsidRDefault="00B9662D" w:rsidP="00B9662D">
      <w:pPr>
        <w:spacing w:before="120" w:after="120"/>
        <w:jc w:val="both"/>
      </w:pPr>
      <w:r w:rsidRPr="00246AE4">
        <w:rPr>
          <w:color w:val="000000"/>
          <w:lang w:eastAsia="fr-FR" w:bidi="fr-FR"/>
        </w:rPr>
        <w:t xml:space="preserve">D’un autre côté, on peut être tenté de chercher l’explication dans l’histoire des sciences. Au </w:t>
      </w:r>
      <w:r w:rsidRPr="00AD0586">
        <w:rPr>
          <w:small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dira-t-on, il manquait aux i</w:t>
      </w:r>
      <w:r w:rsidRPr="00246AE4">
        <w:rPr>
          <w:color w:val="000000"/>
          <w:lang w:eastAsia="fr-FR" w:bidi="fr-FR"/>
        </w:rPr>
        <w:t>n</w:t>
      </w:r>
      <w:r w:rsidRPr="00246AE4">
        <w:rPr>
          <w:color w:val="000000"/>
          <w:lang w:eastAsia="fr-FR" w:bidi="fr-FR"/>
        </w:rPr>
        <w:t>venteurs en virtualité la base scientifique qui seule aurait pu leur pe</w:t>
      </w:r>
      <w:r w:rsidRPr="00246AE4">
        <w:rPr>
          <w:color w:val="000000"/>
          <w:lang w:eastAsia="fr-FR" w:bidi="fr-FR"/>
        </w:rPr>
        <w:t>r</w:t>
      </w:r>
      <w:r w:rsidRPr="00246AE4">
        <w:rPr>
          <w:color w:val="000000"/>
          <w:lang w:eastAsia="fr-FR" w:bidi="fr-FR"/>
        </w:rPr>
        <w:t>mettre de réaliser leurs désirs ou leurs instincts.</w:t>
      </w:r>
    </w:p>
    <w:p w14:paraId="3B09D506" w14:textId="77777777" w:rsidR="00B9662D" w:rsidRPr="00246AE4" w:rsidRDefault="00B9662D" w:rsidP="00B9662D">
      <w:pPr>
        <w:spacing w:before="120" w:after="120"/>
        <w:jc w:val="both"/>
      </w:pPr>
      <w:r w:rsidRPr="00246AE4">
        <w:rPr>
          <w:color w:val="000000"/>
          <w:lang w:eastAsia="fr-FR" w:bidi="fr-FR"/>
        </w:rPr>
        <w:t>Or, il y a, dans tout cela, beaucoup de vrai, sans doute. Mais je me demande, une fois de plus, si ces interprétations ne sont pas trop si</w:t>
      </w:r>
      <w:r w:rsidRPr="00246AE4">
        <w:rPr>
          <w:color w:val="000000"/>
          <w:lang w:eastAsia="fr-FR" w:bidi="fr-FR"/>
        </w:rPr>
        <w:t>m</w:t>
      </w:r>
      <w:r w:rsidRPr="00246AE4">
        <w:rPr>
          <w:color w:val="000000"/>
          <w:lang w:eastAsia="fr-FR" w:bidi="fr-FR"/>
        </w:rPr>
        <w:t xml:space="preserve">ples ; s’il n’existe pas aussi d’autres raisons, tirées, celles-ci, de la considération du milieu social lui-même, qui expliqueraient tantôt le développement de l’esprit d’invention, tantôt son ralentissement. Comme tout à l’heure, il conviendrait, je crois, de regarder vers la </w:t>
      </w:r>
      <w:r w:rsidRPr="00246AE4">
        <w:rPr>
          <w:color w:val="000000"/>
          <w:lang w:eastAsia="fr-FR" w:bidi="fr-FR"/>
        </w:rPr>
        <w:lastRenderedPageBreak/>
        <w:t>structure interne de la société et vers l’action, les uns sur les autres, des divers groupes qui la composent.</w:t>
      </w:r>
    </w:p>
    <w:p w14:paraId="033E09F2" w14:textId="77777777" w:rsidR="00B9662D" w:rsidRPr="00246AE4" w:rsidRDefault="00B9662D" w:rsidP="00B9662D">
      <w:pPr>
        <w:spacing w:before="120" w:after="120"/>
        <w:jc w:val="both"/>
      </w:pPr>
      <w:r w:rsidRPr="00246AE4">
        <w:rPr>
          <w:color w:val="000000"/>
          <w:lang w:eastAsia="fr-FR" w:bidi="fr-FR"/>
        </w:rPr>
        <w:t xml:space="preserve">La première question à résoudre serait, sans doute, celle que voici : dans une société donnée, quels sont les groupes porteurs de l’invention ? Nous aboutirons, je pense, à constater que ces groupes ont varié, selon les époques. Certaines sociétés ont connu, avant tout, les inventions d’artisans. Voyez le Moyen </w:t>
      </w:r>
      <w:r>
        <w:rPr>
          <w:color w:val="000000"/>
          <w:lang w:eastAsia="fr-FR" w:bidi="fr-FR"/>
        </w:rPr>
        <w:t>Â</w:t>
      </w:r>
      <w:r w:rsidRPr="00246AE4">
        <w:rPr>
          <w:color w:val="000000"/>
          <w:lang w:eastAsia="fr-FR" w:bidi="fr-FR"/>
        </w:rPr>
        <w:t>ge occidental. Il a moins inventé qu’on ne l’a dit parfois ; il a peut-être surtout emprunté. Mais on peut néanmoins, selon toute apparence, porter à son actif quelques découvertes techniques. En particulier, le rouet, qui fut, en vérité, une des premières machines et une des plus belles que l’homme se soit données. Or le rouet fut certainement imaginé par des artisans, dont le nom restera toujours aussi ignoré que ceux des découvreurs primitifs du feu. D’autres phases sociales, au contraire, ont vu prospérer, pre</w:t>
      </w:r>
      <w:r w:rsidRPr="00246AE4">
        <w:rPr>
          <w:color w:val="000000"/>
          <w:lang w:eastAsia="fr-FR" w:bidi="fr-FR"/>
        </w:rPr>
        <w:t>s</w:t>
      </w:r>
      <w:r w:rsidRPr="00246AE4">
        <w:rPr>
          <w:color w:val="000000"/>
          <w:lang w:eastAsia="fr-FR" w:bidi="fr-FR"/>
        </w:rPr>
        <w:t>que exclusivement, des inventions de savants ou, du moins, d’ingénieurs.</w:t>
      </w:r>
    </w:p>
    <w:p w14:paraId="7E103651" w14:textId="77777777" w:rsidR="00B9662D" w:rsidRPr="00246AE4" w:rsidRDefault="00B9662D" w:rsidP="00B9662D">
      <w:pPr>
        <w:spacing w:before="120" w:after="120"/>
        <w:jc w:val="both"/>
      </w:pPr>
      <w:r w:rsidRPr="00246AE4">
        <w:rPr>
          <w:color w:val="000000"/>
          <w:lang w:eastAsia="fr-FR" w:bidi="fr-FR"/>
        </w:rPr>
        <w:t xml:space="preserve">Devenons maintenant à la seconde partie du </w:t>
      </w:r>
      <w:r w:rsidRPr="00AD0586">
        <w:rPr>
          <w:smallCaps/>
          <w:color w:val="000000"/>
          <w:lang w:eastAsia="fr-FR" w:bidi="fr-FR"/>
        </w:rPr>
        <w:t>xvii</w:t>
      </w:r>
      <w:r w:rsidRPr="00246AE4">
        <w:rPr>
          <w:color w:val="000000"/>
          <w:vertAlign w:val="superscript"/>
          <w:lang w:eastAsia="fr-FR" w:bidi="fr-FR"/>
        </w:rPr>
        <w:t>e</w:t>
      </w:r>
      <w:r w:rsidRPr="00246AE4">
        <w:rPr>
          <w:color w:val="000000"/>
          <w:lang w:eastAsia="fr-FR" w:bidi="fr-FR"/>
        </w:rPr>
        <w:t xml:space="preserve"> siècle. Nous pourrons désormais poser le problème sous une forme plus précise. Nous nous demanderons pourquoi les artisans n’inventent plus et pourquoi les savants n’inventent pas encore. Tout aussitôt, une série de possibilités se présentent à l’esprit. Existait-il alors des raisons d’ordre économique ou social qui empêchaient l’artisan de songer à l’invention ? Avait-il trop de peine à vivre pour cela ? Était-il jugulé par le traditionalisme obstiné des corporations ? Réciproquement, la science du savant était-elle insuffisamment dirigée vers les applic</w:t>
      </w:r>
      <w:r w:rsidRPr="00246AE4">
        <w:rPr>
          <w:color w:val="000000"/>
          <w:lang w:eastAsia="fr-FR" w:bidi="fr-FR"/>
        </w:rPr>
        <w:t>a</w:t>
      </w:r>
      <w:r w:rsidRPr="00246AE4">
        <w:rPr>
          <w:color w:val="000000"/>
          <w:lang w:eastAsia="fr-FR" w:bidi="fr-FR"/>
        </w:rPr>
        <w:t>tions pratiques ? Était-il lui-même victime de préjugés qui le détou</w:t>
      </w:r>
      <w:r w:rsidRPr="00246AE4">
        <w:rPr>
          <w:color w:val="000000"/>
          <w:lang w:eastAsia="fr-FR" w:bidi="fr-FR"/>
        </w:rPr>
        <w:t>r</w:t>
      </w:r>
      <w:r w:rsidRPr="00246AE4">
        <w:rPr>
          <w:color w:val="000000"/>
          <w:lang w:eastAsia="fr-FR" w:bidi="fr-FR"/>
        </w:rPr>
        <w:t>naient de ces applications, jugées de nature trop basse ? Entre les d</w:t>
      </w:r>
      <w:r w:rsidRPr="00246AE4">
        <w:rPr>
          <w:color w:val="000000"/>
          <w:lang w:eastAsia="fr-FR" w:bidi="fr-FR"/>
        </w:rPr>
        <w:t>i</w:t>
      </w:r>
      <w:r w:rsidRPr="00246AE4">
        <w:rPr>
          <w:color w:val="000000"/>
          <w:lang w:eastAsia="fr-FR" w:bidi="fr-FR"/>
        </w:rPr>
        <w:t>vers groupes, enfin, le contact faisait-il défaut, qui eût pu aider les uns à concevoir les besoins des autres ? Entre tous ces points d’interrogation, je ne me propose pas ici de choisir. Mon seul objet a été d’indiquer qu’entreprise sous cet angle, une analyse sociale</w:t>
      </w:r>
      <w:r>
        <w:t xml:space="preserve"> [798] </w:t>
      </w:r>
      <w:r w:rsidRPr="00246AE4">
        <w:rPr>
          <w:color w:val="000000"/>
          <w:lang w:eastAsia="fr-FR" w:bidi="fr-FR"/>
        </w:rPr>
        <w:t>un peu poussée nous permettrait sans doute de comprendre, mieux que nous ne le faisons aujourd’hui, pourquoi l’histoire nous offre, à côté de sociétés de routines, des sociétés d’invention.</w:t>
      </w:r>
    </w:p>
    <w:p w14:paraId="4F00C47A" w14:textId="77777777" w:rsidR="00B9662D" w:rsidRDefault="00B9662D" w:rsidP="00B9662D">
      <w:pPr>
        <w:spacing w:before="120" w:after="120"/>
        <w:jc w:val="both"/>
        <w:rPr>
          <w:color w:val="000000"/>
          <w:lang w:eastAsia="fr-FR" w:bidi="fr-FR"/>
        </w:rPr>
      </w:pPr>
      <w:r>
        <w:rPr>
          <w:color w:val="000000"/>
          <w:lang w:eastAsia="fr-FR" w:bidi="fr-FR"/>
        </w:rPr>
        <w:br w:type="page"/>
      </w:r>
    </w:p>
    <w:p w14:paraId="6B7E613F" w14:textId="77777777" w:rsidR="00B9662D" w:rsidRPr="00246AE4" w:rsidRDefault="00B9662D" w:rsidP="00B9662D">
      <w:pPr>
        <w:pStyle w:val="planche"/>
      </w:pPr>
      <w:r w:rsidRPr="00246AE4">
        <w:t>IV</w:t>
      </w:r>
    </w:p>
    <w:p w14:paraId="6A65A16D" w14:textId="77777777" w:rsidR="00B9662D" w:rsidRDefault="00B9662D" w:rsidP="00B9662D">
      <w:pPr>
        <w:spacing w:before="120" w:after="120"/>
        <w:jc w:val="both"/>
        <w:rPr>
          <w:color w:val="000000"/>
          <w:lang w:eastAsia="fr-FR" w:bidi="fr-FR"/>
        </w:rPr>
      </w:pPr>
    </w:p>
    <w:p w14:paraId="57EEAFE2" w14:textId="77777777" w:rsidR="00B9662D" w:rsidRPr="00246AE4" w:rsidRDefault="00B9662D" w:rsidP="00B9662D">
      <w:pPr>
        <w:spacing w:before="120" w:after="120"/>
        <w:jc w:val="both"/>
      </w:pPr>
      <w:r w:rsidRPr="00246AE4">
        <w:rPr>
          <w:color w:val="000000"/>
          <w:lang w:eastAsia="fr-FR" w:bidi="fr-FR"/>
        </w:rPr>
        <w:t>Le dernier problème que je soulèverai devant vous peut s’intituler :</w:t>
      </w:r>
    </w:p>
    <w:p w14:paraId="7ADE5068" w14:textId="77777777" w:rsidR="00B9662D" w:rsidRPr="00246AE4" w:rsidRDefault="00B9662D" w:rsidP="00B9662D">
      <w:pPr>
        <w:spacing w:before="120" w:after="120"/>
        <w:jc w:val="both"/>
      </w:pPr>
      <w:r w:rsidRPr="00246AE4">
        <w:rPr>
          <w:color w:val="000000"/>
          <w:lang w:eastAsia="fr-FR" w:bidi="fr-FR"/>
        </w:rPr>
        <w:t>« De la prise de conscience de l’importance des faits techniques ». La formule vous paraîtra peut-être, au premier abord, un peu sibylline. Une citation aidera à l’éclairer.</w:t>
      </w:r>
    </w:p>
    <w:p w14:paraId="3DBFA7C8" w14:textId="77777777" w:rsidR="00B9662D" w:rsidRPr="00246AE4" w:rsidRDefault="00B9662D" w:rsidP="00B9662D">
      <w:pPr>
        <w:spacing w:before="120" w:after="120"/>
        <w:jc w:val="both"/>
      </w:pPr>
      <w:r w:rsidRPr="00246AE4">
        <w:rPr>
          <w:color w:val="000000"/>
          <w:lang w:eastAsia="fr-FR" w:bidi="fr-FR"/>
        </w:rPr>
        <w:t>Nous sommes à la Chambre des Députés, le 26 juillet 1838. Le gouvernement a proposé l’octroi d’une concession de chemins de fer, dans le Sud-Ouest. La commission demande que le projet soit rejeté. Un rapport, rédigé en ce sens, est donc présenté, en son nom. Entre autres arguments, on y lit ce qui suit :</w:t>
      </w:r>
    </w:p>
    <w:p w14:paraId="7C948330" w14:textId="77777777" w:rsidR="00B9662D" w:rsidRPr="00246AE4" w:rsidRDefault="00B9662D" w:rsidP="00B9662D">
      <w:pPr>
        <w:spacing w:before="120" w:after="120"/>
        <w:jc w:val="both"/>
      </w:pPr>
      <w:r w:rsidRPr="00246AE4">
        <w:rPr>
          <w:color w:val="000000"/>
          <w:lang w:eastAsia="fr-FR" w:bidi="fr-FR"/>
        </w:rPr>
        <w:t>« Ne pas admettre avec l’exposé des motifs que deux tringles de fer parallèles donneront une force nouvelle aux landes de Gascogne : tels étaient nos devoirs. »</w:t>
      </w:r>
    </w:p>
    <w:p w14:paraId="6879B8FA" w14:textId="77777777" w:rsidR="00B9662D" w:rsidRPr="00246AE4" w:rsidRDefault="00B9662D" w:rsidP="00B9662D">
      <w:pPr>
        <w:spacing w:before="120" w:after="120"/>
        <w:jc w:val="both"/>
      </w:pPr>
      <w:r>
        <w:rPr>
          <w:color w:val="000000"/>
          <w:lang w:eastAsia="fr-FR" w:bidi="fr-FR"/>
        </w:rPr>
        <w:t>À</w:t>
      </w:r>
      <w:r w:rsidRPr="00246AE4">
        <w:rPr>
          <w:color w:val="000000"/>
          <w:lang w:eastAsia="fr-FR" w:bidi="fr-FR"/>
        </w:rPr>
        <w:t xml:space="preserve"> l’auteur de ce rapport, il paraissait donc suprêmement saugrenu que l’on pût croire « deux tringles de fer parallèles » capables de m</w:t>
      </w:r>
      <w:r w:rsidRPr="00246AE4">
        <w:rPr>
          <w:color w:val="000000"/>
          <w:lang w:eastAsia="fr-FR" w:bidi="fr-FR"/>
        </w:rPr>
        <w:t>o</w:t>
      </w:r>
      <w:r w:rsidRPr="00246AE4">
        <w:rPr>
          <w:color w:val="000000"/>
          <w:lang w:eastAsia="fr-FR" w:bidi="fr-FR"/>
        </w:rPr>
        <w:t>difier l’aspect d’une région. Or le rapport était signé « Arago » ; et Arago, je ne me sens pas en mesure de décider si c’était vraiment un très grand savant ; mais certainement</w:t>
      </w:r>
      <w:r>
        <w:rPr>
          <w:color w:val="000000"/>
          <w:lang w:eastAsia="fr-FR" w:bidi="fr-FR"/>
        </w:rPr>
        <w:t> — </w:t>
      </w:r>
      <w:r w:rsidRPr="00246AE4">
        <w:rPr>
          <w:color w:val="000000"/>
          <w:lang w:eastAsia="fr-FR" w:bidi="fr-FR"/>
        </w:rPr>
        <w:t>pardonnez-moi une expre</w:t>
      </w:r>
      <w:r w:rsidRPr="00246AE4">
        <w:rPr>
          <w:color w:val="000000"/>
          <w:lang w:eastAsia="fr-FR" w:bidi="fr-FR"/>
        </w:rPr>
        <w:t>s</w:t>
      </w:r>
      <w:r w:rsidRPr="00246AE4">
        <w:rPr>
          <w:color w:val="000000"/>
          <w:lang w:eastAsia="fr-FR" w:bidi="fr-FR"/>
        </w:rPr>
        <w:t>sion déplorablement vulgaire</w:t>
      </w:r>
      <w:r>
        <w:rPr>
          <w:color w:val="000000"/>
          <w:lang w:eastAsia="fr-FR" w:bidi="fr-FR"/>
        </w:rPr>
        <w:t> — </w:t>
      </w:r>
      <w:r w:rsidRPr="00246AE4">
        <w:rPr>
          <w:color w:val="000000"/>
          <w:lang w:eastAsia="fr-FR" w:bidi="fr-FR"/>
        </w:rPr>
        <w:t>ce n’était pas un imbécile. Il a pou</w:t>
      </w:r>
      <w:r w:rsidRPr="00246AE4">
        <w:rPr>
          <w:color w:val="000000"/>
          <w:lang w:eastAsia="fr-FR" w:bidi="fr-FR"/>
        </w:rPr>
        <w:t>r</w:t>
      </w:r>
      <w:r w:rsidRPr="00246AE4">
        <w:rPr>
          <w:color w:val="000000"/>
          <w:lang w:eastAsia="fr-FR" w:bidi="fr-FR"/>
        </w:rPr>
        <w:t>tant dit ce que vous venez d’entendre. Il a pu le dire sans se couvrir de ridicule. Un pareil propos, apparemment, semblait en 1838 tout nat</w:t>
      </w:r>
      <w:r w:rsidRPr="00246AE4">
        <w:rPr>
          <w:color w:val="000000"/>
          <w:lang w:eastAsia="fr-FR" w:bidi="fr-FR"/>
        </w:rPr>
        <w:t>u</w:t>
      </w:r>
      <w:r w:rsidRPr="00246AE4">
        <w:rPr>
          <w:color w:val="000000"/>
          <w:lang w:eastAsia="fr-FR" w:bidi="fr-FR"/>
        </w:rPr>
        <w:t>rel. Alors qu’aujourd’hui, ce que nous ne parvenons pas, au contraire, à comprendre, c’est qu’on puisse ne pas saisir comment, sur une terre neuve</w:t>
      </w:r>
      <w:r>
        <w:rPr>
          <w:color w:val="000000"/>
          <w:lang w:eastAsia="fr-FR" w:bidi="fr-FR"/>
        </w:rPr>
        <w:t> — </w:t>
      </w:r>
      <w:r w:rsidRPr="00246AE4">
        <w:rPr>
          <w:color w:val="000000"/>
          <w:lang w:eastAsia="fr-FR" w:bidi="fr-FR"/>
        </w:rPr>
        <w:t>le Maroc par exemple —, deux rails tendus à travers les campagnes ont eux toute la force nécessaire pour transformer de fond en comble et l’économie du pays et sa structure sociale elle-même.</w:t>
      </w:r>
    </w:p>
    <w:p w14:paraId="20BA4848" w14:textId="77777777" w:rsidR="00B9662D" w:rsidRPr="00246AE4" w:rsidRDefault="00B9662D" w:rsidP="00B9662D">
      <w:pPr>
        <w:spacing w:before="120" w:after="120"/>
        <w:jc w:val="both"/>
      </w:pPr>
      <w:r w:rsidRPr="00246AE4">
        <w:rPr>
          <w:color w:val="000000"/>
          <w:lang w:eastAsia="fr-FR" w:bidi="fr-FR"/>
        </w:rPr>
        <w:t>Le cas n’est pas isolé. On trouverait sans peine, dans les textes de l’époque, plus d’une déclaration analogue. Les omissions, d’ailleurs, ne sont pas moins significatives. Voyez la correspondance de Thiers. Dans ce qui en a été publié, je défie qu’on découvre la moindre all</w:t>
      </w:r>
      <w:r w:rsidRPr="00246AE4">
        <w:rPr>
          <w:color w:val="000000"/>
          <w:lang w:eastAsia="fr-FR" w:bidi="fr-FR"/>
        </w:rPr>
        <w:t>u</w:t>
      </w:r>
      <w:r w:rsidRPr="00246AE4">
        <w:rPr>
          <w:color w:val="000000"/>
          <w:lang w:eastAsia="fr-FR" w:bidi="fr-FR"/>
        </w:rPr>
        <w:t>sion à la prodigieuse transformation industrielle dont Thiers pourtant a été le témoin ; bien plus, dont il a, dans sa fortune personnelle, larg</w:t>
      </w:r>
      <w:r w:rsidRPr="00246AE4">
        <w:rPr>
          <w:color w:val="000000"/>
          <w:lang w:eastAsia="fr-FR" w:bidi="fr-FR"/>
        </w:rPr>
        <w:t>e</w:t>
      </w:r>
      <w:r w:rsidRPr="00246AE4">
        <w:rPr>
          <w:color w:val="000000"/>
          <w:lang w:eastAsia="fr-FR" w:bidi="fr-FR"/>
        </w:rPr>
        <w:t>ment profité.</w:t>
      </w:r>
    </w:p>
    <w:p w14:paraId="2573B67E" w14:textId="77777777" w:rsidR="00B9662D" w:rsidRPr="00246AE4" w:rsidRDefault="00B9662D" w:rsidP="00B9662D">
      <w:pPr>
        <w:spacing w:before="120" w:after="120"/>
        <w:jc w:val="both"/>
      </w:pPr>
      <w:r w:rsidRPr="00246AE4">
        <w:rPr>
          <w:color w:val="000000"/>
          <w:lang w:eastAsia="fr-FR" w:bidi="fr-FR"/>
        </w:rPr>
        <w:lastRenderedPageBreak/>
        <w:t>Or telle n’a pas été l’attitude uniforme de toutes les sociétés. La nôtre, nous le savons, est aujourd’hui véritablement hantée par la technique. Mais l’importance de celle-ci a été aussi comprise ou dev</w:t>
      </w:r>
      <w:r w:rsidRPr="00246AE4">
        <w:rPr>
          <w:color w:val="000000"/>
          <w:lang w:eastAsia="fr-FR" w:bidi="fr-FR"/>
        </w:rPr>
        <w:t>i</w:t>
      </w:r>
      <w:r w:rsidRPr="00246AE4">
        <w:rPr>
          <w:color w:val="000000"/>
          <w:lang w:eastAsia="fr-FR" w:bidi="fr-FR"/>
        </w:rPr>
        <w:t>née à des époques beaucoup plus anciennes et dans de tout autres m</w:t>
      </w:r>
      <w:r w:rsidRPr="00246AE4">
        <w:rPr>
          <w:color w:val="000000"/>
          <w:lang w:eastAsia="fr-FR" w:bidi="fr-FR"/>
        </w:rPr>
        <w:t>i</w:t>
      </w:r>
      <w:r w:rsidRPr="00246AE4">
        <w:rPr>
          <w:color w:val="000000"/>
          <w:lang w:eastAsia="fr-FR" w:bidi="fr-FR"/>
        </w:rPr>
        <w:t xml:space="preserve">lieux. Dans </w:t>
      </w:r>
      <w:r>
        <w:t>l’</w:t>
      </w:r>
      <w:r w:rsidRPr="00246AE4">
        <w:t xml:space="preserve">Anthologie </w:t>
      </w:r>
      <w:r w:rsidRPr="00246AE4">
        <w:rPr>
          <w:color w:val="000000"/>
          <w:lang w:eastAsia="fr-FR" w:bidi="fr-FR"/>
        </w:rPr>
        <w:t>grecque, vous trouverez une épigramme, des environs de l’ère chrétienne, qui, sous une forme mythologique, e</w:t>
      </w:r>
      <w:r w:rsidRPr="00246AE4">
        <w:rPr>
          <w:color w:val="000000"/>
          <w:lang w:eastAsia="fr-FR" w:bidi="fr-FR"/>
        </w:rPr>
        <w:t>x</w:t>
      </w:r>
      <w:r w:rsidRPr="00246AE4">
        <w:rPr>
          <w:color w:val="000000"/>
          <w:lang w:eastAsia="fr-FR" w:bidi="fr-FR"/>
        </w:rPr>
        <w:t>plique, de la façon la plus pertinente, comment l’invention du moulin à eau, en supprimant la meule à bras, déchargera les esclaves d’une des plus dures parmi leurs anciennes besognes.</w:t>
      </w:r>
    </w:p>
    <w:p w14:paraId="632CCC6C" w14:textId="77777777" w:rsidR="00B9662D" w:rsidRPr="00246AE4" w:rsidRDefault="00B9662D" w:rsidP="00B9662D">
      <w:pPr>
        <w:spacing w:before="120" w:after="120"/>
        <w:jc w:val="both"/>
      </w:pPr>
      <w:r w:rsidRPr="00246AE4">
        <w:rPr>
          <w:color w:val="000000"/>
          <w:lang w:eastAsia="fr-FR" w:bidi="fr-FR"/>
        </w:rPr>
        <w:t>Voici donc un nouveau « pourquoi ». Pourquoi y a-t-il des périodes où cette prise de conscience se marque nettement ? et d’autres, pou</w:t>
      </w:r>
      <w:r w:rsidRPr="00246AE4">
        <w:rPr>
          <w:color w:val="000000"/>
          <w:lang w:eastAsia="fr-FR" w:bidi="fr-FR"/>
        </w:rPr>
        <w:t>r</w:t>
      </w:r>
      <w:r w:rsidRPr="00246AE4">
        <w:rPr>
          <w:color w:val="000000"/>
          <w:lang w:eastAsia="fr-FR" w:bidi="fr-FR"/>
        </w:rPr>
        <w:t>tant</w:t>
      </w:r>
      <w:r>
        <w:t xml:space="preserve"> [799] </w:t>
      </w:r>
      <w:r w:rsidRPr="00246AE4">
        <w:rPr>
          <w:color w:val="000000"/>
          <w:lang w:eastAsia="fr-FR" w:bidi="fr-FR"/>
        </w:rPr>
        <w:t>très proches de nous, dont elle semble radicalement abse</w:t>
      </w:r>
      <w:r w:rsidRPr="00246AE4">
        <w:rPr>
          <w:color w:val="000000"/>
          <w:lang w:eastAsia="fr-FR" w:bidi="fr-FR"/>
        </w:rPr>
        <w:t>n</w:t>
      </w:r>
      <w:r w:rsidRPr="00246AE4">
        <w:rPr>
          <w:color w:val="000000"/>
          <w:lang w:eastAsia="fr-FR" w:bidi="fr-FR"/>
        </w:rPr>
        <w:t>te ? Où chercher l’explication ? dans certaines habitudes mentales, certaines formes d’éducation, qui parfois orienteraient l’esprit des hommes cultivés exclusivement vers la science désintéressée ou la littérature ? ou, au moins autant, dans ces faits de structure sociale que nous avons si souvent rencontrés sur notre route ? Quand les classes se ferment les unes aux autres, quand les classes les plus riches et les plus puissantes cessent de communiquer avec celles qui, dans la hi</w:t>
      </w:r>
      <w:r w:rsidRPr="00246AE4">
        <w:rPr>
          <w:color w:val="000000"/>
          <w:lang w:eastAsia="fr-FR" w:bidi="fr-FR"/>
        </w:rPr>
        <w:t>é</w:t>
      </w:r>
      <w:r w:rsidRPr="00246AE4">
        <w:rPr>
          <w:color w:val="000000"/>
          <w:lang w:eastAsia="fr-FR" w:bidi="fr-FR"/>
        </w:rPr>
        <w:t>rarchie des fortunes, sont placées au-dessous d’elles, il arrive sans doute que les éléments dirigeants soient par là conduits à considérer comme indigne de leur attention tout ce qui concerne la matérialité du travail. Pas plus que tout à l’heure, je n’ai la prétention de rien déc</w:t>
      </w:r>
      <w:r w:rsidRPr="00246AE4">
        <w:rPr>
          <w:color w:val="000000"/>
          <w:lang w:eastAsia="fr-FR" w:bidi="fr-FR"/>
        </w:rPr>
        <w:t>i</w:t>
      </w:r>
      <w:r w:rsidRPr="00246AE4">
        <w:rPr>
          <w:color w:val="000000"/>
          <w:lang w:eastAsia="fr-FR" w:bidi="fr-FR"/>
        </w:rPr>
        <w:t>der. Vous renonna</w:t>
      </w:r>
      <w:r w:rsidRPr="00246AE4">
        <w:rPr>
          <w:color w:val="000000"/>
          <w:lang w:eastAsia="fr-FR" w:bidi="fr-FR"/>
        </w:rPr>
        <w:t>î</w:t>
      </w:r>
      <w:r w:rsidRPr="00246AE4">
        <w:rPr>
          <w:color w:val="000000"/>
          <w:lang w:eastAsia="fr-FR" w:bidi="fr-FR"/>
        </w:rPr>
        <w:t>trez que le problème est d’un intérêt très grand : en lui-même, car une société réagit différemment aux phénomènes qui la commandent, s</w:t>
      </w:r>
      <w:r w:rsidRPr="00246AE4">
        <w:rPr>
          <w:color w:val="000000"/>
          <w:lang w:eastAsia="fr-FR" w:bidi="fr-FR"/>
        </w:rPr>
        <w:t>e</w:t>
      </w:r>
      <w:r w:rsidRPr="00246AE4">
        <w:rPr>
          <w:color w:val="000000"/>
          <w:lang w:eastAsia="fr-FR" w:bidi="fr-FR"/>
        </w:rPr>
        <w:t>lon qu’elle en perçoit ou non l’importance ; et aussi du point de vue de la recherche psychologique, en général.</w:t>
      </w:r>
    </w:p>
    <w:p w14:paraId="48AB4478" w14:textId="77777777" w:rsidR="00B9662D" w:rsidRDefault="00B9662D" w:rsidP="00B9662D">
      <w:pPr>
        <w:spacing w:before="120" w:after="120"/>
        <w:jc w:val="both"/>
        <w:rPr>
          <w:color w:val="000000"/>
          <w:lang w:eastAsia="fr-FR" w:bidi="fr-FR"/>
        </w:rPr>
      </w:pPr>
      <w:r w:rsidRPr="00246AE4">
        <w:rPr>
          <w:color w:val="000000"/>
          <w:lang w:eastAsia="fr-FR" w:bidi="fr-FR"/>
        </w:rPr>
        <w:t>Vous le voyez, Je n’ai guère fait qu’énoncer diverses questions ; et encore, bien superficiellement. Ce n’est pas, je le crains, un bien bon exemple de ce que les historiens peuvent apporter à la psychologie. C’est, du moins, un exemple de leurs curiosités.</w:t>
      </w:r>
    </w:p>
    <w:p w14:paraId="6D6E8562" w14:textId="77777777" w:rsidR="00B9662D" w:rsidRDefault="00B9662D" w:rsidP="00B9662D">
      <w:pPr>
        <w:pStyle w:val="p"/>
        <w:rPr>
          <w:lang w:eastAsia="fr-FR" w:bidi="fr-FR"/>
        </w:rPr>
      </w:pPr>
      <w:r>
        <w:br w:type="page"/>
      </w:r>
      <w:r>
        <w:rPr>
          <w:lang w:eastAsia="fr-FR" w:bidi="fr-FR"/>
        </w:rPr>
        <w:lastRenderedPageBreak/>
        <w:t>[800]</w:t>
      </w:r>
    </w:p>
    <w:p w14:paraId="43FFFFFB" w14:textId="77777777" w:rsidR="00B9662D" w:rsidRDefault="00B9662D" w:rsidP="00B9662D">
      <w:pPr>
        <w:jc w:val="both"/>
      </w:pPr>
    </w:p>
    <w:p w14:paraId="4F0C11EE" w14:textId="77777777" w:rsidR="00B9662D" w:rsidRDefault="00B9662D" w:rsidP="00B9662D">
      <w:pPr>
        <w:jc w:val="both"/>
      </w:pPr>
    </w:p>
    <w:p w14:paraId="1D18B7D2" w14:textId="77777777" w:rsidR="00B9662D" w:rsidRPr="00E07116" w:rsidRDefault="00B9662D" w:rsidP="00B9662D">
      <w:pPr>
        <w:jc w:val="both"/>
      </w:pPr>
    </w:p>
    <w:p w14:paraId="5850BD64" w14:textId="77777777" w:rsidR="00B9662D" w:rsidRPr="00F54CC7" w:rsidRDefault="00B9662D" w:rsidP="00B9662D">
      <w:pPr>
        <w:spacing w:after="120"/>
        <w:ind w:firstLine="0"/>
        <w:jc w:val="center"/>
        <w:rPr>
          <w:sz w:val="24"/>
        </w:rPr>
      </w:pPr>
      <w:bookmarkStart w:id="39" w:name="Melanges_t2_pt_8_chap_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2C7E97D2"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0F931BBF" w14:textId="77777777" w:rsidR="00B9662D" w:rsidRPr="00384B20" w:rsidRDefault="00B9662D" w:rsidP="00B9662D">
      <w:pPr>
        <w:pStyle w:val="Titreniveau1"/>
      </w:pPr>
      <w:r w:rsidRPr="00384B20">
        <w:t>Chapitre I</w:t>
      </w:r>
      <w:r>
        <w:t>I</w:t>
      </w:r>
    </w:p>
    <w:p w14:paraId="199C3AAB" w14:textId="77777777" w:rsidR="00B9662D" w:rsidRPr="00E07116" w:rsidRDefault="00B9662D" w:rsidP="00B9662D">
      <w:pPr>
        <w:jc w:val="both"/>
        <w:rPr>
          <w:szCs w:val="36"/>
        </w:rPr>
      </w:pPr>
    </w:p>
    <w:p w14:paraId="19836227" w14:textId="77777777" w:rsidR="00B9662D" w:rsidRPr="00E07116" w:rsidRDefault="00B9662D" w:rsidP="00B9662D">
      <w:pPr>
        <w:pStyle w:val="Titreniveau2"/>
      </w:pPr>
      <w:r>
        <w:t>avènement et conquête</w:t>
      </w:r>
      <w:r>
        <w:br/>
        <w:t>du moulin à eau </w:t>
      </w:r>
      <w:r>
        <w:rPr>
          <w:rStyle w:val="Appelnotedebasdep"/>
        </w:rPr>
        <w:footnoteReference w:id="758"/>
      </w:r>
    </w:p>
    <w:bookmarkEnd w:id="39"/>
    <w:p w14:paraId="60593634" w14:textId="77777777" w:rsidR="00B9662D" w:rsidRDefault="00B9662D" w:rsidP="00B9662D">
      <w:pPr>
        <w:jc w:val="both"/>
        <w:rPr>
          <w:szCs w:val="36"/>
        </w:rPr>
      </w:pPr>
    </w:p>
    <w:p w14:paraId="59814008" w14:textId="77777777" w:rsidR="00B9662D" w:rsidRPr="00246AE4" w:rsidRDefault="00B9662D" w:rsidP="00B9662D">
      <w:pPr>
        <w:pStyle w:val="planche"/>
      </w:pPr>
      <w:r w:rsidRPr="00246AE4">
        <w:t>I</w:t>
      </w:r>
    </w:p>
    <w:p w14:paraId="4E825643" w14:textId="77777777" w:rsidR="00B9662D" w:rsidRDefault="00B9662D" w:rsidP="00B9662D">
      <w:pPr>
        <w:spacing w:before="120" w:after="120"/>
        <w:jc w:val="both"/>
        <w:rPr>
          <w:color w:val="000000"/>
          <w:lang w:eastAsia="fr-FR" w:bidi="fr-FR"/>
        </w:rPr>
      </w:pPr>
    </w:p>
    <w:p w14:paraId="79341CA2" w14:textId="77777777" w:rsidR="00B9662D" w:rsidRDefault="00B9662D" w:rsidP="00B9662D">
      <w:pPr>
        <w:spacing w:before="120" w:after="120"/>
        <w:jc w:val="both"/>
        <w:rPr>
          <w:color w:val="000000"/>
          <w:lang w:eastAsia="fr-FR" w:bidi="fr-FR"/>
        </w:rPr>
      </w:pPr>
    </w:p>
    <w:p w14:paraId="5F3B59F4"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02F6BD16" w14:textId="77777777" w:rsidR="00B9662D" w:rsidRPr="000F765B" w:rsidRDefault="00B9662D" w:rsidP="00B9662D">
      <w:pPr>
        <w:spacing w:before="120" w:after="120"/>
        <w:jc w:val="both"/>
      </w:pPr>
      <w:r w:rsidRPr="000F765B">
        <w:rPr>
          <w:lang w:eastAsia="fr-FR" w:bidi="fr-FR"/>
        </w:rPr>
        <w:t>Au moment où les premières roues de moulin commencèrent à ba</w:t>
      </w:r>
      <w:r w:rsidRPr="000F765B">
        <w:rPr>
          <w:lang w:eastAsia="fr-FR" w:bidi="fr-FR"/>
        </w:rPr>
        <w:t>t</w:t>
      </w:r>
      <w:r w:rsidRPr="000F765B">
        <w:rPr>
          <w:lang w:eastAsia="fr-FR" w:bidi="fr-FR"/>
        </w:rPr>
        <w:t xml:space="preserve">tre </w:t>
      </w:r>
      <w:r>
        <w:rPr>
          <w:lang w:eastAsia="fr-FR" w:bidi="fr-FR"/>
        </w:rPr>
        <w:t>l’eau</w:t>
      </w:r>
      <w:r w:rsidRPr="000F765B">
        <w:rPr>
          <w:lang w:eastAsia="fr-FR" w:bidi="fr-FR"/>
        </w:rPr>
        <w:t xml:space="preserve"> des rivières, l’art de moudre les céréales avait déjà, en Eur</w:t>
      </w:r>
      <w:r w:rsidRPr="000F765B">
        <w:rPr>
          <w:lang w:eastAsia="fr-FR" w:bidi="fr-FR"/>
        </w:rPr>
        <w:t>o</w:t>
      </w:r>
      <w:r w:rsidRPr="000F765B">
        <w:rPr>
          <w:lang w:eastAsia="fr-FR" w:bidi="fr-FR"/>
        </w:rPr>
        <w:t xml:space="preserve">pe et dans les civilisations méditerranéennes, un passé beaucoup plus que millénaire. </w:t>
      </w:r>
      <w:r>
        <w:rPr>
          <w:lang w:eastAsia="fr-FR" w:bidi="fr-FR"/>
        </w:rPr>
        <w:t>À</w:t>
      </w:r>
      <w:r w:rsidRPr="000F765B">
        <w:rPr>
          <w:lang w:eastAsia="fr-FR" w:bidi="fr-FR"/>
        </w:rPr>
        <w:t xml:space="preserve"> l’origine, il faut imaginer le plus rudimentaire des procédés : les grains concassés à coups de pierres brutes. Mais dès la préhistoire, à des dates et en des lieux qu’il ne nous appartient pas ici de rechercher, un pas décisif avait été franchi par l’invention de vér</w:t>
      </w:r>
      <w:r w:rsidRPr="000F765B">
        <w:rPr>
          <w:lang w:eastAsia="fr-FR" w:bidi="fr-FR"/>
        </w:rPr>
        <w:t>i</w:t>
      </w:r>
      <w:r w:rsidRPr="000F765B">
        <w:rPr>
          <w:lang w:eastAsia="fr-FR" w:bidi="fr-FR"/>
        </w:rPr>
        <w:t xml:space="preserve">tables outils. C’étaient, tantôt le mortier avec son pilon, tantôt, allant et venant sur un support allongé, le rouleau de pierre que les statuettes égyptiennes mettent aux mains de femmes, généralement </w:t>
      </w:r>
      <w:r w:rsidRPr="000F765B">
        <w:rPr>
          <w:lang w:eastAsia="fr-FR" w:bidi="fr-FR"/>
        </w:rPr>
        <w:lastRenderedPageBreak/>
        <w:t>agenoui</w:t>
      </w:r>
      <w:r w:rsidRPr="000F765B">
        <w:rPr>
          <w:lang w:eastAsia="fr-FR" w:bidi="fr-FR"/>
        </w:rPr>
        <w:t>l</w:t>
      </w:r>
      <w:r w:rsidRPr="000F765B">
        <w:rPr>
          <w:lang w:eastAsia="fr-FR" w:bidi="fr-FR"/>
        </w:rPr>
        <w:t>lées. Puis apparut la meule tournante. Imaginée dans le bassin de la Méditerranée et peut-être en Italie, au cours des deux ou trois siècles qui précédèrent l’ère chrétienne, elle avait pénétré en Gaule peu avant la Conquête</w:t>
      </w:r>
      <w:r>
        <w:rPr>
          <w:lang w:eastAsia="fr-FR" w:bidi="fr-FR"/>
        </w:rPr>
        <w:t> </w:t>
      </w:r>
      <w:r>
        <w:rPr>
          <w:rStyle w:val="Appelnotedebasdep"/>
        </w:rPr>
        <w:footnoteReference w:id="759"/>
      </w:r>
      <w:r w:rsidRPr="000F765B">
        <w:rPr>
          <w:lang w:eastAsia="fr-FR" w:bidi="fr-FR"/>
        </w:rPr>
        <w:t>. Elle pouvait être mue, elle aussi, par l’homme et le fut, en effet, souvent. Si Samson, que la Bible nous représente broyant le grain des Philistins, ses maîtres, ne tourna assurément jamais la me</w:t>
      </w:r>
      <w:r w:rsidRPr="000F765B">
        <w:rPr>
          <w:lang w:eastAsia="fr-FR" w:bidi="fr-FR"/>
        </w:rPr>
        <w:t>u</w:t>
      </w:r>
      <w:r w:rsidRPr="000F765B">
        <w:rPr>
          <w:lang w:eastAsia="fr-FR" w:bidi="fr-FR"/>
        </w:rPr>
        <w:t>le, encore ignorée de la Palestine au temps où l’histoire du bon géant fut écrite, d’innombrables esclaves, par contre, et même quelques hommes libres</w:t>
      </w:r>
      <w:r>
        <w:rPr>
          <w:lang w:eastAsia="fr-FR" w:bidi="fr-FR"/>
        </w:rPr>
        <w:t> — </w:t>
      </w:r>
      <w:r w:rsidRPr="000F765B">
        <w:rPr>
          <w:lang w:eastAsia="fr-FR" w:bidi="fr-FR"/>
        </w:rPr>
        <w:t>tel Plaute, en son indigente jeunesse</w:t>
      </w:r>
      <w:r>
        <w:rPr>
          <w:lang w:eastAsia="fr-FR" w:bidi="fr-FR"/>
        </w:rPr>
        <w:t> — </w:t>
      </w:r>
      <w:r w:rsidRPr="000F765B">
        <w:rPr>
          <w:lang w:eastAsia="fr-FR" w:bidi="fr-FR"/>
        </w:rPr>
        <w:t>ont plus tard, dans le monde romain, roidi leurs bras à ce monotone effort. L’instrument nouveau, cependant, permettait, pour la première fois, de substituer, dans la mouture, au travail humain celui des animaux, ch</w:t>
      </w:r>
      <w:r w:rsidRPr="000F765B">
        <w:rPr>
          <w:lang w:eastAsia="fr-FR" w:bidi="fr-FR"/>
        </w:rPr>
        <w:t>e</w:t>
      </w:r>
      <w:r w:rsidRPr="000F765B">
        <w:rPr>
          <w:lang w:eastAsia="fr-FR" w:bidi="fr-FR"/>
        </w:rPr>
        <w:t>val ou âne à l’ordinaire. Lorsque Caligula, un jour, eut réquisitionné tous les chevaux de Rome, le pain, dit-on, vint à manquer, faute de pouvoir transformer le blé en farine</w:t>
      </w:r>
      <w:r>
        <w:rPr>
          <w:lang w:eastAsia="fr-FR" w:bidi="fr-FR"/>
        </w:rPr>
        <w:t> </w:t>
      </w:r>
      <w:r>
        <w:rPr>
          <w:rStyle w:val="Appelnotedebasdep"/>
        </w:rPr>
        <w:footnoteReference w:id="760"/>
      </w:r>
      <w:r w:rsidRPr="000F765B">
        <w:rPr>
          <w:lang w:eastAsia="fr-FR" w:bidi="fr-FR"/>
        </w:rPr>
        <w:t>. Mais un autre progrès, bien plus considérable, se trouvait, du même coup, rendu possible. La simplicité et la régularité</w:t>
      </w:r>
      <w:r>
        <w:t xml:space="preserve"> [801] </w:t>
      </w:r>
      <w:r w:rsidRPr="000F765B">
        <w:rPr>
          <w:lang w:eastAsia="fr-FR" w:bidi="fr-FR"/>
        </w:rPr>
        <w:t>du mouvement de rotation, comparé aux gestes compliqués qu’exigeaient les procédés anciens, prêtaient à l’emploi d’une force qui, plus aveugle encore que la traction animale, est, en outre, par n</w:t>
      </w:r>
      <w:r w:rsidRPr="000F765B">
        <w:rPr>
          <w:lang w:eastAsia="fr-FR" w:bidi="fr-FR"/>
        </w:rPr>
        <w:t>a</w:t>
      </w:r>
      <w:r w:rsidRPr="000F765B">
        <w:rPr>
          <w:lang w:eastAsia="fr-FR" w:bidi="fr-FR"/>
        </w:rPr>
        <w:t xml:space="preserve">ture, orientée dans un sens toujours uniforme ; la poussée des eaux courantes. Sans la </w:t>
      </w:r>
      <w:r w:rsidRPr="00CA0822">
        <w:rPr>
          <w:i/>
        </w:rPr>
        <w:t>mola versatilis</w:t>
      </w:r>
      <w:r w:rsidRPr="000F765B">
        <w:rPr>
          <w:lang w:eastAsia="fr-FR" w:bidi="fr-FR"/>
        </w:rPr>
        <w:t>, il n’y aurait jamais eu de moulin à eau.</w:t>
      </w:r>
    </w:p>
    <w:p w14:paraId="4EC0A77E" w14:textId="77777777" w:rsidR="00B9662D" w:rsidRPr="000F765B" w:rsidRDefault="00B9662D" w:rsidP="00B9662D">
      <w:pPr>
        <w:spacing w:before="120" w:after="120"/>
        <w:jc w:val="both"/>
      </w:pPr>
      <w:r w:rsidRPr="000F765B">
        <w:rPr>
          <w:lang w:eastAsia="fr-FR" w:bidi="fr-FR"/>
        </w:rPr>
        <w:t>Les deux étapes, en fait, se suivirent d’assez près. Un moulin à eau figurait vers l’an 18 avant Jésus-Christ, à Cabire, dans le Pont, parmi les dépendances du palais naguère élevé par Mithridate. Sans doute était-il contemporain de l’ensemble des constructions. Ce serait, en ce cas, le plus ancien exemple exactement daté : de 120 à 63 avant la naissance du Christ. Une épigramme grecque, que l’on s’accorde à attribuer à l’époque d’Auguste, met en scène les nymphes broyeuses de grains : les expressions dont elle use supposent visiblement que les divinités des ondes subissaient cet esclavage depuis peu. Parmi les Latins, Vitruve, vers le même temps, décrit en détail l’appareil ; Pline, un peu plus tard, signale des roues de moulin sur les rivières de l’</w:t>
      </w:r>
      <w:r>
        <w:rPr>
          <w:lang w:eastAsia="fr-FR" w:bidi="fr-FR"/>
        </w:rPr>
        <w:t>Italie </w:t>
      </w:r>
      <w:r>
        <w:rPr>
          <w:rStyle w:val="Appelnotedebasdep"/>
        </w:rPr>
        <w:footnoteReference w:id="761"/>
      </w:r>
      <w:r w:rsidRPr="000F765B">
        <w:rPr>
          <w:lang w:eastAsia="fr-FR" w:bidi="fr-FR"/>
        </w:rPr>
        <w:t xml:space="preserve">. Dans quelque obscurité que ces témoignages, comme à </w:t>
      </w:r>
      <w:r w:rsidRPr="000F765B">
        <w:rPr>
          <w:lang w:eastAsia="fr-FR" w:bidi="fr-FR"/>
        </w:rPr>
        <w:lastRenderedPageBreak/>
        <w:t xml:space="preserve">l’ordinaire, laissent l’acte de naissance de l’invention, du moins la densité de leur groupement chronologique ne saurait-elle être l’effet du hasard. Tout nous ramène à une période étroitement limitée, le dernier siècle avant l’ère chrétienne, et, comme berceau, selon toute apparence, à l’Orient méditerranéen. Il est significatif que Vitruve ne connaisse encore la nouvelle machine que sous son nom grec : </w:t>
      </w:r>
      <w:r w:rsidRPr="00A32002">
        <w:rPr>
          <w:i/>
        </w:rPr>
        <w:t>hydr</w:t>
      </w:r>
      <w:r w:rsidRPr="00A32002">
        <w:rPr>
          <w:i/>
        </w:rPr>
        <w:t>a</w:t>
      </w:r>
      <w:r w:rsidRPr="00A32002">
        <w:rPr>
          <w:i/>
        </w:rPr>
        <w:t>letes</w:t>
      </w:r>
      <w:r w:rsidRPr="000F765B">
        <w:t xml:space="preserve">. </w:t>
      </w:r>
      <w:r w:rsidRPr="000F765B">
        <w:rPr>
          <w:lang w:eastAsia="fr-FR" w:bidi="fr-FR"/>
        </w:rPr>
        <w:t>De là, elle aura rapidement gagné l’Italie.</w:t>
      </w:r>
    </w:p>
    <w:p w14:paraId="4FE676F3" w14:textId="77777777" w:rsidR="00B9662D" w:rsidRPr="000F765B" w:rsidRDefault="00B9662D" w:rsidP="00B9662D">
      <w:pPr>
        <w:spacing w:before="120" w:after="120"/>
        <w:jc w:val="both"/>
      </w:pPr>
      <w:r w:rsidRPr="000F765B">
        <w:rPr>
          <w:lang w:eastAsia="fr-FR" w:bidi="fr-FR"/>
        </w:rPr>
        <w:t>Ce que nous savons de son histoire, dans le reste de l’Europe, a</w:t>
      </w:r>
      <w:r w:rsidRPr="000F765B">
        <w:rPr>
          <w:lang w:eastAsia="fr-FR" w:bidi="fr-FR"/>
        </w:rPr>
        <w:t>p</w:t>
      </w:r>
      <w:r w:rsidRPr="000F765B">
        <w:rPr>
          <w:lang w:eastAsia="fr-FR" w:bidi="fr-FR"/>
        </w:rPr>
        <w:t>puie ces conclusions. Sur les rivières de la Gaule, les premiers mo</w:t>
      </w:r>
      <w:r w:rsidRPr="000F765B">
        <w:rPr>
          <w:lang w:eastAsia="fr-FR" w:bidi="fr-FR"/>
        </w:rPr>
        <w:t>u</w:t>
      </w:r>
      <w:r w:rsidRPr="000F765B">
        <w:rPr>
          <w:lang w:eastAsia="fr-FR" w:bidi="fr-FR"/>
        </w:rPr>
        <w:t xml:space="preserve">lins dont nos documents daignent souffler mot sont ceux qu’au </w:t>
      </w:r>
      <w:r>
        <w:rPr>
          <w:lang w:eastAsia="fr-FR" w:bidi="fr-FR"/>
        </w:rPr>
        <w:t>III</w:t>
      </w:r>
      <w:r w:rsidRPr="000F765B">
        <w:rPr>
          <w:vertAlign w:val="superscript"/>
          <w:lang w:eastAsia="fr-FR" w:bidi="fr-FR"/>
        </w:rPr>
        <w:t>e</w:t>
      </w:r>
      <w:r w:rsidRPr="000F765B">
        <w:rPr>
          <w:lang w:eastAsia="fr-FR" w:bidi="fr-FR"/>
        </w:rPr>
        <w:t xml:space="preserve"> siècle faisait tourner un petit affluent de la Moselle</w:t>
      </w:r>
      <w:r>
        <w:rPr>
          <w:lang w:eastAsia="fr-FR" w:bidi="fr-FR"/>
        </w:rPr>
        <w:t> </w:t>
      </w:r>
      <w:r>
        <w:rPr>
          <w:rStyle w:val="Appelnotedebasdep"/>
        </w:rPr>
        <w:footnoteReference w:id="762"/>
      </w:r>
      <w:r w:rsidRPr="000F765B">
        <w:rPr>
          <w:lang w:eastAsia="fr-FR" w:bidi="fr-FR"/>
        </w:rPr>
        <w:t>. Dans la Germ</w:t>
      </w:r>
      <w:r w:rsidRPr="000F765B">
        <w:rPr>
          <w:lang w:eastAsia="fr-FR" w:bidi="fr-FR"/>
        </w:rPr>
        <w:t>a</w:t>
      </w:r>
      <w:r w:rsidRPr="000F765B">
        <w:rPr>
          <w:lang w:eastAsia="fr-FR" w:bidi="fr-FR"/>
        </w:rPr>
        <w:t>nie méridionale, l’usage de ces appareils se répandit, après les inv</w:t>
      </w:r>
      <w:r w:rsidRPr="000F765B">
        <w:rPr>
          <w:lang w:eastAsia="fr-FR" w:bidi="fr-FR"/>
        </w:rPr>
        <w:t>a</w:t>
      </w:r>
      <w:r w:rsidRPr="000F765B">
        <w:rPr>
          <w:lang w:eastAsia="fr-FR" w:bidi="fr-FR"/>
        </w:rPr>
        <w:t xml:space="preserve">sions, assez vite et assez largement pour avoir, dès la première moitié du </w:t>
      </w:r>
      <w:r>
        <w:rPr>
          <w:lang w:eastAsia="fr-FR" w:bidi="fr-FR"/>
        </w:rPr>
        <w:t>VIII</w:t>
      </w:r>
      <w:r w:rsidRPr="000F765B">
        <w:rPr>
          <w:vertAlign w:val="superscript"/>
          <w:lang w:eastAsia="fr-FR" w:bidi="fr-FR"/>
        </w:rPr>
        <w:t>e</w:t>
      </w:r>
      <w:r w:rsidRPr="000F765B">
        <w:rPr>
          <w:lang w:eastAsia="fr-FR" w:bidi="fr-FR"/>
        </w:rPr>
        <w:t xml:space="preserve"> siècle, sollicité l’attention des lois alamane et bavaroise. Au Nord, dans des contrées longtemps moins ouvertes aux influences des Gaules et de Rome, la propagation fut plus lente ; les documents en indiquent clairement les lignes directrices. Esclaves, pareils à ce B</w:t>
      </w:r>
      <w:r w:rsidRPr="000F765B">
        <w:rPr>
          <w:lang w:eastAsia="fr-FR" w:bidi="fr-FR"/>
        </w:rPr>
        <w:t>a</w:t>
      </w:r>
      <w:r w:rsidRPr="000F765B">
        <w:rPr>
          <w:lang w:eastAsia="fr-FR" w:bidi="fr-FR"/>
        </w:rPr>
        <w:t>varois qui, vers 770, captif chez les Thuringiens, y bâtit pour son ma</w:t>
      </w:r>
      <w:r w:rsidRPr="000F765B">
        <w:rPr>
          <w:lang w:eastAsia="fr-FR" w:bidi="fr-FR"/>
        </w:rPr>
        <w:t>î</w:t>
      </w:r>
      <w:r w:rsidRPr="000F765B">
        <w:rPr>
          <w:lang w:eastAsia="fr-FR" w:bidi="fr-FR"/>
        </w:rPr>
        <w:t>tre, un moulin ; colons, tels que ces guerriers francs dont le village, fondé avant 775 sur l’Unstrut, reçut le nom évocateur de Mühlha</w:t>
      </w:r>
      <w:r w:rsidRPr="000F765B">
        <w:rPr>
          <w:lang w:eastAsia="fr-FR" w:bidi="fr-FR"/>
        </w:rPr>
        <w:t>u</w:t>
      </w:r>
      <w:r w:rsidRPr="000F765B">
        <w:rPr>
          <w:lang w:eastAsia="fr-FR" w:bidi="fr-FR"/>
        </w:rPr>
        <w:t>sen ; religieux ou religi</w:t>
      </w:r>
      <w:r>
        <w:rPr>
          <w:lang w:eastAsia="fr-FR" w:bidi="fr-FR"/>
        </w:rPr>
        <w:t>eu</w:t>
      </w:r>
      <w:r w:rsidRPr="000F765B">
        <w:rPr>
          <w:lang w:eastAsia="fr-FR" w:bidi="fr-FR"/>
        </w:rPr>
        <w:t>ses, comme les moniales de Tauberbischof</w:t>
      </w:r>
      <w:r w:rsidRPr="000F765B">
        <w:rPr>
          <w:lang w:eastAsia="fr-FR" w:bidi="fr-FR"/>
        </w:rPr>
        <w:t>s</w:t>
      </w:r>
      <w:r w:rsidRPr="000F765B">
        <w:rPr>
          <w:lang w:eastAsia="fr-FR" w:bidi="fr-FR"/>
        </w:rPr>
        <w:t>heim, établies, vers 732, dans les grands bois de l’Odenwald : autant de constructeurs de roues meunières ; autant d’immigrants, porteurs des techniques de leurs patries</w:t>
      </w:r>
      <w:r>
        <w:rPr>
          <w:lang w:eastAsia="fr-FR" w:bidi="fr-FR"/>
        </w:rPr>
        <w:t> </w:t>
      </w:r>
      <w:r>
        <w:rPr>
          <w:rStyle w:val="Appelnotedebasdep"/>
        </w:rPr>
        <w:footnoteReference w:id="763"/>
      </w:r>
      <w:r w:rsidRPr="000F765B">
        <w:rPr>
          <w:lang w:eastAsia="fr-FR" w:bidi="fr-FR"/>
        </w:rPr>
        <w:t>. En Grande-Bretagne, point</w:t>
      </w:r>
      <w:r>
        <w:rPr>
          <w:lang w:eastAsia="fr-FR" w:bidi="fr-FR"/>
        </w:rPr>
        <w:t xml:space="preserve"> </w:t>
      </w:r>
      <w:r>
        <w:t xml:space="preserve">[802] </w:t>
      </w:r>
      <w:r w:rsidRPr="000F765B">
        <w:rPr>
          <w:lang w:eastAsia="fr-FR" w:bidi="fr-FR"/>
        </w:rPr>
        <w:t xml:space="preserve">d’exemple connu avant 838. Dans l’Irlande, le recueil juridique du Senchus Mor mentionne, au </w:t>
      </w:r>
      <w:r>
        <w:rPr>
          <w:lang w:eastAsia="fr-FR" w:bidi="fr-FR"/>
        </w:rPr>
        <w:t>IX</w:t>
      </w:r>
      <w:r w:rsidRPr="000F765B">
        <w:rPr>
          <w:vertAlign w:val="superscript"/>
          <w:lang w:eastAsia="fr-FR" w:bidi="fr-FR"/>
        </w:rPr>
        <w:t>e</w:t>
      </w:r>
      <w:r w:rsidRPr="000F765B">
        <w:rPr>
          <w:lang w:eastAsia="fr-FR" w:bidi="fr-FR"/>
        </w:rPr>
        <w:t xml:space="preserve"> ou </w:t>
      </w:r>
      <w:r>
        <w:rPr>
          <w:lang w:eastAsia="fr-FR" w:bidi="fr-FR"/>
        </w:rPr>
        <w:t>X</w:t>
      </w:r>
      <w:r w:rsidRPr="000F765B">
        <w:rPr>
          <w:vertAlign w:val="superscript"/>
          <w:lang w:eastAsia="fr-FR" w:bidi="fr-FR"/>
        </w:rPr>
        <w:t>e</w:t>
      </w:r>
      <w:r w:rsidRPr="000F765B">
        <w:rPr>
          <w:lang w:eastAsia="fr-FR" w:bidi="fr-FR"/>
        </w:rPr>
        <w:t xml:space="preserve"> siècle, les moulins à eau ; à en croire une légende qui, sans doute, ne s’écartait </w:t>
      </w:r>
      <w:r w:rsidRPr="000F765B">
        <w:rPr>
          <w:lang w:eastAsia="fr-FR" w:bidi="fr-FR"/>
        </w:rPr>
        <w:lastRenderedPageBreak/>
        <w:t>guère de la vérité, le plus ancien eût été l’ouvrage d’un étranger, appelé tout exprès « d’au</w:t>
      </w:r>
      <w:r>
        <w:rPr>
          <w:lang w:eastAsia="fr-FR" w:bidi="fr-FR"/>
        </w:rPr>
        <w:t>-</w:t>
      </w:r>
      <w:r w:rsidRPr="000F765B">
        <w:rPr>
          <w:lang w:eastAsia="fr-FR" w:bidi="fr-FR"/>
        </w:rPr>
        <w:t>delà des mers</w:t>
      </w:r>
      <w:r>
        <w:rPr>
          <w:lang w:eastAsia="fr-FR" w:bidi="fr-FR"/>
        </w:rPr>
        <w:t> » </w:t>
      </w:r>
      <w:r>
        <w:rPr>
          <w:rStyle w:val="Appelnotedebasdep"/>
        </w:rPr>
        <w:footnoteReference w:id="764"/>
      </w:r>
      <w:r w:rsidRPr="000F765B">
        <w:rPr>
          <w:lang w:eastAsia="fr-FR" w:bidi="fr-FR"/>
        </w:rPr>
        <w:t>. Chez les Slaves de la Bohême, comme des bords de la Baltique, l’invention, depuis plus de mille ans familière aux ing</w:t>
      </w:r>
      <w:r w:rsidRPr="000F765B">
        <w:rPr>
          <w:lang w:eastAsia="fr-FR" w:bidi="fr-FR"/>
        </w:rPr>
        <w:t>é</w:t>
      </w:r>
      <w:r w:rsidRPr="000F765B">
        <w:rPr>
          <w:lang w:eastAsia="fr-FR" w:bidi="fr-FR"/>
        </w:rPr>
        <w:t xml:space="preserve">nieux riverains de la Méditerranée, ne semble pas avoir pénétré avant le </w:t>
      </w:r>
      <w:r>
        <w:rPr>
          <w:lang w:eastAsia="fr-FR" w:bidi="fr-FR"/>
        </w:rPr>
        <w:t>XII</w:t>
      </w:r>
      <w:r w:rsidRPr="000F765B">
        <w:rPr>
          <w:vertAlign w:val="superscript"/>
          <w:lang w:eastAsia="fr-FR" w:bidi="fr-FR"/>
        </w:rPr>
        <w:t>e</w:t>
      </w:r>
      <w:r w:rsidRPr="000F765B">
        <w:rPr>
          <w:lang w:eastAsia="fr-FR" w:bidi="fr-FR"/>
        </w:rPr>
        <w:t xml:space="preserve"> siècle. Là encore elle avait cheminé, d’Ouest en Est, sur les routes de l’immigration. Témoin, notamment, ce trait que rapporte la chronique d’un prêtre du Holstein. Des paysans saxons s’étaient, au </w:t>
      </w:r>
      <w:r>
        <w:rPr>
          <w:lang w:eastAsia="fr-FR" w:bidi="fr-FR"/>
        </w:rPr>
        <w:t>X</w:t>
      </w:r>
      <w:r w:rsidRPr="000F765B">
        <w:rPr>
          <w:vertAlign w:val="superscript"/>
          <w:lang w:eastAsia="fr-FR" w:bidi="fr-FR"/>
        </w:rPr>
        <w:t>e</w:t>
      </w:r>
      <w:r w:rsidRPr="000F765B">
        <w:rPr>
          <w:lang w:eastAsia="fr-FR" w:bidi="fr-FR"/>
        </w:rPr>
        <w:t xml:space="preserve"> siècle, fixés dans le Schleswig et la Wagrie. Puis une offensive sl</w:t>
      </w:r>
      <w:r w:rsidRPr="000F765B">
        <w:rPr>
          <w:lang w:eastAsia="fr-FR" w:bidi="fr-FR"/>
        </w:rPr>
        <w:t>a</w:t>
      </w:r>
      <w:r w:rsidRPr="000F765B">
        <w:rPr>
          <w:lang w:eastAsia="fr-FR" w:bidi="fr-FR"/>
        </w:rPr>
        <w:t>ve détruisit leurs établissements. Lorsque, près de deux cents ans plus tard, d’autres Allemands, en masse, s’installèrent dans le pays, ils y trouvèrent les vestiges de l’occupation précédente : entre autres, les levées qui avaient servi à former les étangs destinés aux moulins. Ai</w:t>
      </w:r>
      <w:r w:rsidRPr="000F765B">
        <w:rPr>
          <w:lang w:eastAsia="fr-FR" w:bidi="fr-FR"/>
        </w:rPr>
        <w:t>n</w:t>
      </w:r>
      <w:r w:rsidRPr="000F765B">
        <w:rPr>
          <w:lang w:eastAsia="fr-FR" w:bidi="fr-FR"/>
        </w:rPr>
        <w:t>si ceux-ci figuraient désormais, en terre de colonisation, parmi les empreintes matérielles les plus caractéristiques de la civilisation occ</w:t>
      </w:r>
      <w:r w:rsidRPr="000F765B">
        <w:rPr>
          <w:lang w:eastAsia="fr-FR" w:bidi="fr-FR"/>
        </w:rPr>
        <w:t>i</w:t>
      </w:r>
      <w:r w:rsidRPr="000F765B">
        <w:rPr>
          <w:lang w:eastAsia="fr-FR" w:bidi="fr-FR"/>
        </w:rPr>
        <w:t>dentale</w:t>
      </w:r>
      <w:r>
        <w:rPr>
          <w:lang w:eastAsia="fr-FR" w:bidi="fr-FR"/>
        </w:rPr>
        <w:t> </w:t>
      </w:r>
      <w:r>
        <w:rPr>
          <w:rStyle w:val="Appelnotedebasdep"/>
        </w:rPr>
        <w:footnoteReference w:id="765"/>
      </w:r>
      <w:r w:rsidRPr="000F765B">
        <w:rPr>
          <w:lang w:eastAsia="fr-FR" w:bidi="fr-FR"/>
        </w:rPr>
        <w:t>. Chez les Scandinaves, enfin, ils s’introduisirent, au Dan</w:t>
      </w:r>
      <w:r w:rsidRPr="000F765B">
        <w:rPr>
          <w:lang w:eastAsia="fr-FR" w:bidi="fr-FR"/>
        </w:rPr>
        <w:t>e</w:t>
      </w:r>
      <w:r w:rsidRPr="000F765B">
        <w:rPr>
          <w:lang w:eastAsia="fr-FR" w:bidi="fr-FR"/>
        </w:rPr>
        <w:t xml:space="preserve">mark dans la seconde moitié du </w:t>
      </w:r>
      <w:r>
        <w:rPr>
          <w:lang w:eastAsia="fr-FR" w:bidi="fr-FR"/>
        </w:rPr>
        <w:t>XII</w:t>
      </w:r>
      <w:r w:rsidRPr="000F765B">
        <w:rPr>
          <w:vertAlign w:val="superscript"/>
          <w:lang w:eastAsia="fr-FR" w:bidi="fr-FR"/>
        </w:rPr>
        <w:t>e</w:t>
      </w:r>
      <w:r w:rsidRPr="000F765B">
        <w:rPr>
          <w:lang w:eastAsia="fr-FR" w:bidi="fr-FR"/>
        </w:rPr>
        <w:t xml:space="preserve"> siècle, en Islande aux alentours de 1200 ; mais leur généralisation, dans les sociétés nordiques, ne date guère que du </w:t>
      </w:r>
      <w:r w:rsidRPr="00CA0822">
        <w:rPr>
          <w:caps/>
          <w:lang w:eastAsia="fr-FR" w:bidi="fr-FR"/>
        </w:rPr>
        <w:t>xiv</w:t>
      </w:r>
      <w:r w:rsidRPr="000F765B">
        <w:rPr>
          <w:vertAlign w:val="superscript"/>
          <w:lang w:eastAsia="fr-FR" w:bidi="fr-FR"/>
        </w:rPr>
        <w:t>e</w:t>
      </w:r>
      <w:r w:rsidRPr="000F765B">
        <w:rPr>
          <w:lang w:eastAsia="fr-FR" w:bidi="fr-FR"/>
        </w:rPr>
        <w:t xml:space="preserve"> siècle</w:t>
      </w:r>
      <w:r>
        <w:rPr>
          <w:lang w:eastAsia="fr-FR" w:bidi="fr-FR"/>
        </w:rPr>
        <w:t> </w:t>
      </w:r>
      <w:r>
        <w:rPr>
          <w:rStyle w:val="Appelnotedebasdep"/>
        </w:rPr>
        <w:footnoteReference w:id="766"/>
      </w:r>
      <w:r w:rsidRPr="000F765B">
        <w:rPr>
          <w:lang w:eastAsia="fr-FR" w:bidi="fr-FR"/>
        </w:rPr>
        <w:t>. Il subsiste, cela va de soi, dans ces rense</w:t>
      </w:r>
      <w:r w:rsidRPr="000F765B">
        <w:rPr>
          <w:lang w:eastAsia="fr-FR" w:bidi="fr-FR"/>
        </w:rPr>
        <w:t>i</w:t>
      </w:r>
      <w:r w:rsidRPr="000F765B">
        <w:rPr>
          <w:lang w:eastAsia="fr-FR" w:bidi="fr-FR"/>
        </w:rPr>
        <w:t>gnements, une grande part d’incertitude. Comment jamais oser ass</w:t>
      </w:r>
      <w:r w:rsidRPr="000F765B">
        <w:rPr>
          <w:lang w:eastAsia="fr-FR" w:bidi="fr-FR"/>
        </w:rPr>
        <w:t>u</w:t>
      </w:r>
      <w:r w:rsidRPr="000F765B">
        <w:rPr>
          <w:lang w:eastAsia="fr-FR" w:bidi="fr-FR"/>
        </w:rPr>
        <w:t>rer : ici, en telle année, l’eau, pour la première fois, chez ce peuple, ébranla la meule ? Les quelques jalons auxquels force est de se rés</w:t>
      </w:r>
      <w:r w:rsidRPr="000F765B">
        <w:rPr>
          <w:lang w:eastAsia="fr-FR" w:bidi="fr-FR"/>
        </w:rPr>
        <w:t>i</w:t>
      </w:r>
      <w:r w:rsidRPr="000F765B">
        <w:rPr>
          <w:lang w:eastAsia="fr-FR" w:bidi="fr-FR"/>
        </w:rPr>
        <w:t>gner dessinent cependant une image suffisamment parlante : celle d’une série, presque régulière, d’isochrones, dont le centre de rayo</w:t>
      </w:r>
      <w:r w:rsidRPr="000F765B">
        <w:rPr>
          <w:lang w:eastAsia="fr-FR" w:bidi="fr-FR"/>
        </w:rPr>
        <w:t>n</w:t>
      </w:r>
      <w:r w:rsidRPr="000F765B">
        <w:rPr>
          <w:lang w:eastAsia="fr-FR" w:bidi="fr-FR"/>
        </w:rPr>
        <w:t>nement se place, sans conteste, dans le monde méditerranéen</w:t>
      </w:r>
      <w:r>
        <w:rPr>
          <w:lang w:eastAsia="fr-FR" w:bidi="fr-FR"/>
        </w:rPr>
        <w:t> </w:t>
      </w:r>
      <w:r>
        <w:rPr>
          <w:rStyle w:val="Appelnotedebasdep"/>
        </w:rPr>
        <w:footnoteReference w:id="767"/>
      </w:r>
      <w:r w:rsidRPr="000F765B">
        <w:rPr>
          <w:lang w:eastAsia="fr-FR" w:bidi="fr-FR"/>
        </w:rPr>
        <w:t xml:space="preserve">. Aussi bien la linguistique </w:t>
      </w:r>
      <w:r w:rsidRPr="000F765B">
        <w:rPr>
          <w:lang w:eastAsia="fr-FR" w:bidi="fr-FR"/>
        </w:rPr>
        <w:lastRenderedPageBreak/>
        <w:t>vient-elle ici au secours de l’histoire. Dans les langues germaniques et celtiques, voire dans certaines langues slaves, le nom du moulin à eau a été, directement ou par intermédiaire, e</w:t>
      </w:r>
      <w:r w:rsidRPr="000F765B">
        <w:rPr>
          <w:lang w:eastAsia="fr-FR" w:bidi="fr-FR"/>
        </w:rPr>
        <w:t>m</w:t>
      </w:r>
      <w:r w:rsidRPr="000F765B">
        <w:rPr>
          <w:lang w:eastAsia="fr-FR" w:bidi="fr-FR"/>
        </w:rPr>
        <w:t>prunté au latin.</w:t>
      </w:r>
    </w:p>
    <w:p w14:paraId="576E2184" w14:textId="77777777" w:rsidR="00B9662D" w:rsidRPr="000F765B" w:rsidRDefault="00B9662D" w:rsidP="00B9662D">
      <w:pPr>
        <w:spacing w:before="120" w:after="120"/>
        <w:jc w:val="both"/>
      </w:pPr>
      <w:r w:rsidRPr="000F765B">
        <w:rPr>
          <w:lang w:eastAsia="fr-FR" w:bidi="fr-FR"/>
        </w:rPr>
        <w:t>L’origine méditerranéenne, qu’il faut donc bien reconnaître à ce grand perfectionnement technique, ne laissera sans doute pas, au pr</w:t>
      </w:r>
      <w:r w:rsidRPr="000F765B">
        <w:rPr>
          <w:lang w:eastAsia="fr-FR" w:bidi="fr-FR"/>
        </w:rPr>
        <w:t>e</w:t>
      </w:r>
      <w:r w:rsidRPr="000F765B">
        <w:rPr>
          <w:lang w:eastAsia="fr-FR" w:bidi="fr-FR"/>
        </w:rPr>
        <w:t xml:space="preserve">mier abord, d’étonner. Car les irrégularités de débit habituelles aux rivières de ces climats ne semblaient pas les prédestiner au rôle de force motrice. </w:t>
      </w:r>
      <w:r>
        <w:rPr>
          <w:lang w:eastAsia="fr-FR" w:bidi="fr-FR"/>
        </w:rPr>
        <w:t>À</w:t>
      </w:r>
      <w:r w:rsidRPr="000F765B">
        <w:rPr>
          <w:lang w:eastAsia="fr-FR" w:bidi="fr-FR"/>
        </w:rPr>
        <w:t xml:space="preserve"> vrai dire, elles échappent en revanche aux gelées et aux charriages de glaçons qui, sous des cieux plus septentrionaux, lorsque l’usage du moulin à eau y fut devenu presque général, d</w:t>
      </w:r>
      <w:r w:rsidRPr="000F765B">
        <w:rPr>
          <w:lang w:eastAsia="fr-FR" w:bidi="fr-FR"/>
        </w:rPr>
        <w:t>e</w:t>
      </w:r>
      <w:r w:rsidRPr="000F765B">
        <w:rPr>
          <w:lang w:eastAsia="fr-FR" w:bidi="fr-FR"/>
        </w:rPr>
        <w:t>vaie</w:t>
      </w:r>
      <w:r>
        <w:rPr>
          <w:lang w:eastAsia="fr-FR" w:bidi="fr-FR"/>
        </w:rPr>
        <w:t>nt si souvent gêner les approvi</w:t>
      </w:r>
      <w:r w:rsidRPr="000F765B">
        <w:rPr>
          <w:lang w:eastAsia="fr-FR" w:bidi="fr-FR"/>
        </w:rPr>
        <w:t>sionnements</w:t>
      </w:r>
      <w:r>
        <w:t xml:space="preserve"> [</w:t>
      </w:r>
      <w:r w:rsidRPr="000F765B">
        <w:rPr>
          <w:lang w:eastAsia="fr-FR" w:bidi="fr-FR"/>
        </w:rPr>
        <w:t>803</w:t>
      </w:r>
      <w:r>
        <w:rPr>
          <w:lang w:eastAsia="fr-FR" w:bidi="fr-FR"/>
        </w:rPr>
        <w:t>]</w:t>
      </w:r>
      <w:r w:rsidRPr="000F765B">
        <w:rPr>
          <w:lang w:eastAsia="fr-FR" w:bidi="fr-FR"/>
        </w:rPr>
        <w:t xml:space="preserve"> en farines. L’anomalie subsiste cependant, en app</w:t>
      </w:r>
      <w:r w:rsidRPr="000F765B">
        <w:rPr>
          <w:lang w:eastAsia="fr-FR" w:bidi="fr-FR"/>
        </w:rPr>
        <w:t>a</w:t>
      </w:r>
      <w:r w:rsidRPr="000F765B">
        <w:rPr>
          <w:lang w:eastAsia="fr-FR" w:bidi="fr-FR"/>
        </w:rPr>
        <w:t>rence. Mais peut-être n’est-il pas impossible de la résoudre. Que la meule tournante soit une cré</w:t>
      </w:r>
      <w:r w:rsidRPr="000F765B">
        <w:rPr>
          <w:lang w:eastAsia="fr-FR" w:bidi="fr-FR"/>
        </w:rPr>
        <w:t>a</w:t>
      </w:r>
      <w:r w:rsidRPr="000F765B">
        <w:rPr>
          <w:lang w:eastAsia="fr-FR" w:bidi="fr-FR"/>
        </w:rPr>
        <w:t>tion des civilisations de la Méditerr</w:t>
      </w:r>
      <w:r w:rsidRPr="000F765B">
        <w:rPr>
          <w:lang w:eastAsia="fr-FR" w:bidi="fr-FR"/>
        </w:rPr>
        <w:t>a</w:t>
      </w:r>
      <w:r w:rsidRPr="000F765B">
        <w:rPr>
          <w:lang w:eastAsia="fr-FR" w:bidi="fr-FR"/>
        </w:rPr>
        <w:t>née, rien de plus certain. Or cette première invention</w:t>
      </w:r>
      <w:r>
        <w:rPr>
          <w:lang w:eastAsia="fr-FR" w:bidi="fr-FR"/>
        </w:rPr>
        <w:t> — </w:t>
      </w:r>
      <w:r w:rsidRPr="000F765B">
        <w:rPr>
          <w:lang w:eastAsia="fr-FR" w:bidi="fr-FR"/>
        </w:rPr>
        <w:t>dont nul ass</w:t>
      </w:r>
      <w:r w:rsidRPr="000F765B">
        <w:rPr>
          <w:lang w:eastAsia="fr-FR" w:bidi="fr-FR"/>
        </w:rPr>
        <w:t>u</w:t>
      </w:r>
      <w:r w:rsidRPr="000F765B">
        <w:rPr>
          <w:lang w:eastAsia="fr-FR" w:bidi="fr-FR"/>
        </w:rPr>
        <w:t>rément ne sera tenté de demander l’explication au déterminisme gé</w:t>
      </w:r>
      <w:r w:rsidRPr="000F765B">
        <w:rPr>
          <w:lang w:eastAsia="fr-FR" w:bidi="fr-FR"/>
        </w:rPr>
        <w:t>o</w:t>
      </w:r>
      <w:r w:rsidRPr="000F765B">
        <w:rPr>
          <w:lang w:eastAsia="fr-FR" w:bidi="fr-FR"/>
        </w:rPr>
        <w:t>graphique</w:t>
      </w:r>
      <w:r>
        <w:rPr>
          <w:lang w:eastAsia="fr-FR" w:bidi="fr-FR"/>
        </w:rPr>
        <w:t> — </w:t>
      </w:r>
      <w:r w:rsidRPr="000F765B">
        <w:rPr>
          <w:lang w:eastAsia="fr-FR" w:bidi="fr-FR"/>
        </w:rPr>
        <w:t>conditionnait, on l’a vu, la seconde. Il y a plus. Une roue mue par un courant se prête à bien d’autres fins qu’à tourner la meule. Notamment, munie de godets disposés sur la jante, elle peut s’emparer de l’eau elle-même, pour la rejeter ensuite dans quelque bassin ou c</w:t>
      </w:r>
      <w:r w:rsidRPr="000F765B">
        <w:rPr>
          <w:lang w:eastAsia="fr-FR" w:bidi="fr-FR"/>
        </w:rPr>
        <w:t>a</w:t>
      </w:r>
      <w:r w:rsidRPr="000F765B">
        <w:rPr>
          <w:lang w:eastAsia="fr-FR" w:bidi="fr-FR"/>
        </w:rPr>
        <w:t>nal d’irrigation. Ainsi font encore aujourd’hui, en plus d’un lieu, et faisaient déjà, au début de notre ère, les peuples de la Méditerranée. Non, à la vérité, depuis une antiquité bien reculée. Strabon, à qui nous devons le souvenir du plus ancien moulin à eau connu, celui de Cabire, est aussi le premier écr</w:t>
      </w:r>
      <w:r w:rsidRPr="000F765B">
        <w:rPr>
          <w:lang w:eastAsia="fr-FR" w:bidi="fr-FR"/>
        </w:rPr>
        <w:t>i</w:t>
      </w:r>
      <w:r w:rsidRPr="000F765B">
        <w:rPr>
          <w:lang w:eastAsia="fr-FR" w:bidi="fr-FR"/>
        </w:rPr>
        <w:t>vain qui ait mentionné clairement ces roues élévatrices ; il les vit en Égypte où, ignorées du temps des Pharaons, elles paraissent, en effet, s’être beaucoup propagées sous la domin</w:t>
      </w:r>
      <w:r w:rsidRPr="000F765B">
        <w:rPr>
          <w:lang w:eastAsia="fr-FR" w:bidi="fr-FR"/>
        </w:rPr>
        <w:t>a</w:t>
      </w:r>
      <w:r w:rsidRPr="000F765B">
        <w:rPr>
          <w:lang w:eastAsia="fr-FR" w:bidi="fr-FR"/>
        </w:rPr>
        <w:t>tion romaine. Un peu plus tôt cependant, dans un passage malheure</w:t>
      </w:r>
      <w:r w:rsidRPr="000F765B">
        <w:rPr>
          <w:lang w:eastAsia="fr-FR" w:bidi="fr-FR"/>
        </w:rPr>
        <w:t>u</w:t>
      </w:r>
      <w:r w:rsidRPr="000F765B">
        <w:rPr>
          <w:lang w:eastAsia="fr-FR" w:bidi="fr-FR"/>
        </w:rPr>
        <w:t>sement obscur, Lucrèce semble bien y faire allusion</w:t>
      </w:r>
      <w:r>
        <w:rPr>
          <w:lang w:eastAsia="fr-FR" w:bidi="fr-FR"/>
        </w:rPr>
        <w:t> </w:t>
      </w:r>
      <w:r>
        <w:rPr>
          <w:rStyle w:val="Appelnotedebasdep"/>
        </w:rPr>
        <w:footnoteReference w:id="768"/>
      </w:r>
      <w:r>
        <w:rPr>
          <w:lang w:eastAsia="fr-FR" w:bidi="fr-FR"/>
        </w:rPr>
        <w:t>. Relisons, d’autre part, V</w:t>
      </w:r>
      <w:r w:rsidRPr="000F765B">
        <w:rPr>
          <w:lang w:eastAsia="fr-FR" w:bidi="fr-FR"/>
        </w:rPr>
        <w:t xml:space="preserve">itruve. Il </w:t>
      </w:r>
      <w:r w:rsidRPr="000F765B">
        <w:rPr>
          <w:lang w:eastAsia="fr-FR" w:bidi="fr-FR"/>
        </w:rPr>
        <w:lastRenderedPageBreak/>
        <w:t>traite du moulin parmi les machines à puiser l’eau : plan singulier, dont il est tentant de demander l’explication à une réminiscence historique. Plus précisément, la description suit la marche que voici : roue à g</w:t>
      </w:r>
      <w:r w:rsidRPr="000F765B">
        <w:rPr>
          <w:lang w:eastAsia="fr-FR" w:bidi="fr-FR"/>
        </w:rPr>
        <w:t>o</w:t>
      </w:r>
      <w:r w:rsidRPr="000F765B">
        <w:rPr>
          <w:lang w:eastAsia="fr-FR" w:bidi="fr-FR"/>
        </w:rPr>
        <w:t>dets, actionnée simplement à pied d’homme ; roue à godets encore, mais qui, cette fois pourvue d’aubes, emprunte son mouvement à la rivière ; roue de moulin enfin. Cet o</w:t>
      </w:r>
      <w:r w:rsidRPr="000F765B">
        <w:rPr>
          <w:lang w:eastAsia="fr-FR" w:bidi="fr-FR"/>
        </w:rPr>
        <w:t>r</w:t>
      </w:r>
      <w:r w:rsidRPr="000F765B">
        <w:rPr>
          <w:lang w:eastAsia="fr-FR" w:bidi="fr-FR"/>
        </w:rPr>
        <w:t>dre pourrait bien reproduire la filiation des trois appareils. Dans le moulin à eau, en d’autres termes, il convient peut-être de voir le dév</w:t>
      </w:r>
      <w:r w:rsidRPr="000F765B">
        <w:rPr>
          <w:lang w:eastAsia="fr-FR" w:bidi="fr-FR"/>
        </w:rPr>
        <w:t>e</w:t>
      </w:r>
      <w:r w:rsidRPr="000F765B">
        <w:rPr>
          <w:lang w:eastAsia="fr-FR" w:bidi="fr-FR"/>
        </w:rPr>
        <w:t>loppement, à bref intervalle, d’une invention qui, s’étant primitiv</w:t>
      </w:r>
      <w:r w:rsidRPr="000F765B">
        <w:rPr>
          <w:lang w:eastAsia="fr-FR" w:bidi="fr-FR"/>
        </w:rPr>
        <w:t>e</w:t>
      </w:r>
      <w:r w:rsidRPr="000F765B">
        <w:rPr>
          <w:lang w:eastAsia="fr-FR" w:bidi="fr-FR"/>
        </w:rPr>
        <w:t>ment proposé pour objet de faciliter l’arrosage, eut sa place naturelle là où l’agriculture fut toujours un long effort contre les sécheresses de l’été : hypothèse, on l’avouera sans ambages, des plus conjecturales, propre, cependant, à donner s</w:t>
      </w:r>
      <w:r w:rsidRPr="000F765B">
        <w:rPr>
          <w:lang w:eastAsia="fr-FR" w:bidi="fr-FR"/>
        </w:rPr>
        <w:t>a</w:t>
      </w:r>
      <w:r w:rsidRPr="000F765B">
        <w:rPr>
          <w:lang w:eastAsia="fr-FR" w:bidi="fr-FR"/>
        </w:rPr>
        <w:t>tisfaction, au moins provisoirement, à un de ces « pourquoi » qui sont à la fois la plaie et le charme du m</w:t>
      </w:r>
      <w:r w:rsidRPr="000F765B">
        <w:rPr>
          <w:lang w:eastAsia="fr-FR" w:bidi="fr-FR"/>
        </w:rPr>
        <w:t>é</w:t>
      </w:r>
      <w:r w:rsidRPr="000F765B">
        <w:rPr>
          <w:lang w:eastAsia="fr-FR" w:bidi="fr-FR"/>
        </w:rPr>
        <w:t>tier d’historien.</w:t>
      </w:r>
    </w:p>
    <w:p w14:paraId="3708AB9B" w14:textId="77777777" w:rsidR="00B9662D" w:rsidRPr="000F765B" w:rsidRDefault="00B9662D" w:rsidP="00B9662D">
      <w:pPr>
        <w:spacing w:before="120" w:after="120"/>
        <w:jc w:val="both"/>
      </w:pPr>
      <w:r w:rsidRPr="000F765B">
        <w:rPr>
          <w:lang w:eastAsia="fr-FR" w:bidi="fr-FR"/>
        </w:rPr>
        <w:t>Dans l’ordre social, le premier et le plus apparent effet de ce pr</w:t>
      </w:r>
      <w:r w:rsidRPr="000F765B">
        <w:rPr>
          <w:lang w:eastAsia="fr-FR" w:bidi="fr-FR"/>
        </w:rPr>
        <w:t>o</w:t>
      </w:r>
      <w:r w:rsidRPr="000F765B">
        <w:rPr>
          <w:lang w:eastAsia="fr-FR" w:bidi="fr-FR"/>
        </w:rPr>
        <w:t>grès technique fut une nouvelle étape dans la spécialisation artisane. L’outil créa le métier. Au temps où un poète grec dépeignait les vill</w:t>
      </w:r>
      <w:r w:rsidRPr="000F765B">
        <w:rPr>
          <w:lang w:eastAsia="fr-FR" w:bidi="fr-FR"/>
        </w:rPr>
        <w:t>a</w:t>
      </w:r>
      <w:r w:rsidRPr="000F765B">
        <w:rPr>
          <w:lang w:eastAsia="fr-FR" w:bidi="fr-FR"/>
        </w:rPr>
        <w:t xml:space="preserve">ges s’éveillant, dès l’aube, au bruit des pilons à grains et, plus tard encore, lorsque se fut introduite la meule tournante, la préparation de la farine avait été, dans les campagnes, l’œuvre domestique de l’esclave ou de la ménagère ; dans les grandes villes, une des tâches de la boulangerie. </w:t>
      </w:r>
      <w:r w:rsidRPr="006A719D">
        <w:rPr>
          <w:i/>
        </w:rPr>
        <w:t>Pistor</w:t>
      </w:r>
      <w:r w:rsidRPr="006A719D">
        <w:rPr>
          <w:i/>
          <w:lang w:eastAsia="fr-FR" w:bidi="fr-FR"/>
        </w:rPr>
        <w:t> </w:t>
      </w:r>
      <w:r w:rsidRPr="000F765B">
        <w:rPr>
          <w:lang w:eastAsia="fr-FR" w:bidi="fr-FR"/>
        </w:rPr>
        <w:t>: « le broyeur » : tel demeura jusqu’au bout le nom du boulanger romain. La meule, à bras ou à chevaux, figurait, sur les monuments, parmi ses attributs familiers ; dans sa boutique, au même titre que le four, parmi ses instruments de travail</w:t>
      </w:r>
      <w:r>
        <w:rPr>
          <w:lang w:eastAsia="fr-FR" w:bidi="fr-FR"/>
        </w:rPr>
        <w:t> </w:t>
      </w:r>
      <w:r>
        <w:rPr>
          <w:rStyle w:val="Appelnotedebasdep"/>
        </w:rPr>
        <w:footnoteReference w:id="769"/>
      </w:r>
      <w:r w:rsidRPr="000F765B">
        <w:rPr>
          <w:lang w:eastAsia="fr-FR" w:bidi="fr-FR"/>
        </w:rPr>
        <w:t>. Aux mo</w:t>
      </w:r>
      <w:r w:rsidRPr="000F765B">
        <w:rPr>
          <w:lang w:eastAsia="fr-FR" w:bidi="fr-FR"/>
        </w:rPr>
        <w:t>u</w:t>
      </w:r>
      <w:r w:rsidRPr="000F765B">
        <w:rPr>
          <w:lang w:eastAsia="fr-FR" w:bidi="fr-FR"/>
        </w:rPr>
        <w:t>lins à eau, par contre, il fallut des meuniers. Leur corporation, nett</w:t>
      </w:r>
      <w:r w:rsidRPr="000F765B">
        <w:rPr>
          <w:lang w:eastAsia="fr-FR" w:bidi="fr-FR"/>
        </w:rPr>
        <w:t>e</w:t>
      </w:r>
      <w:r w:rsidRPr="000F765B">
        <w:rPr>
          <w:lang w:eastAsia="fr-FR" w:bidi="fr-FR"/>
        </w:rPr>
        <w:t>ment différenciée, apparaît, pour la première fois à Rome, dans une inscription de 448</w:t>
      </w:r>
      <w:r>
        <w:rPr>
          <w:lang w:eastAsia="fr-FR" w:bidi="fr-FR"/>
        </w:rPr>
        <w:t> </w:t>
      </w:r>
      <w:r>
        <w:rPr>
          <w:rStyle w:val="Appelnotedebasdep"/>
        </w:rPr>
        <w:footnoteReference w:id="770"/>
      </w:r>
      <w:r w:rsidRPr="000F765B">
        <w:rPr>
          <w:lang w:eastAsia="fr-FR" w:bidi="fr-FR"/>
        </w:rPr>
        <w:t>. Il n’entre pas ici dans notre dessein</w:t>
      </w:r>
      <w:r>
        <w:t xml:space="preserve"> </w:t>
      </w:r>
      <w:r>
        <w:rPr>
          <w:lang w:eastAsia="fr-FR" w:bidi="fr-FR"/>
        </w:rPr>
        <w:t xml:space="preserve">[804] </w:t>
      </w:r>
      <w:r w:rsidRPr="000F765B">
        <w:rPr>
          <w:lang w:eastAsia="fr-FR" w:bidi="fr-FR"/>
        </w:rPr>
        <w:t>de r</w:t>
      </w:r>
      <w:r w:rsidRPr="000F765B">
        <w:rPr>
          <w:lang w:eastAsia="fr-FR" w:bidi="fr-FR"/>
        </w:rPr>
        <w:t>e</w:t>
      </w:r>
      <w:r w:rsidRPr="000F765B">
        <w:rPr>
          <w:lang w:eastAsia="fr-FR" w:bidi="fr-FR"/>
        </w:rPr>
        <w:t xml:space="preserve">tracer l’histoire de cette profession, dont la nature, d’ailleurs, selon les temps et les lieux, varia grandement. Membre, comme à Rome, d’un collège public ; puis, généralement, sergent ou fermier seigneurial ; patron autonome, enfin, le meunier a connu, dans l’ancienne Europe, bien des statuts divers. Soulevé bien des haines aussi, nées, surtout, au temps des banalités. « Art ou science, la meunerie est-elle </w:t>
      </w:r>
      <w:r w:rsidRPr="000F765B">
        <w:rPr>
          <w:lang w:eastAsia="fr-FR" w:bidi="fr-FR"/>
        </w:rPr>
        <w:lastRenderedPageBreak/>
        <w:t>chose hon</w:t>
      </w:r>
      <w:r w:rsidRPr="000F765B">
        <w:rPr>
          <w:lang w:eastAsia="fr-FR" w:bidi="fr-FR"/>
        </w:rPr>
        <w:t>o</w:t>
      </w:r>
      <w:r w:rsidRPr="000F765B">
        <w:rPr>
          <w:lang w:eastAsia="fr-FR" w:bidi="fr-FR"/>
        </w:rPr>
        <w:t xml:space="preserve">rable ? » ainsi s’interrogeait, en 1663, dès les premières pages de son </w:t>
      </w:r>
      <w:r w:rsidRPr="008005FF">
        <w:rPr>
          <w:i/>
        </w:rPr>
        <w:t>Traité singulier des moulins</w:t>
      </w:r>
      <w:r w:rsidRPr="000F765B">
        <w:rPr>
          <w:lang w:eastAsia="fr-FR" w:bidi="fr-FR"/>
        </w:rPr>
        <w:t>, Hans Hering, « philosophe oldenbou</w:t>
      </w:r>
      <w:r w:rsidRPr="000F765B">
        <w:rPr>
          <w:lang w:eastAsia="fr-FR" w:bidi="fr-FR"/>
        </w:rPr>
        <w:t>r</w:t>
      </w:r>
      <w:r w:rsidRPr="000F765B">
        <w:rPr>
          <w:lang w:eastAsia="fr-FR" w:bidi="fr-FR"/>
        </w:rPr>
        <w:t>geois ». Le proverbe allemand, pas plus que Chaucer, n’hésitait : « Po</w:t>
      </w:r>
      <w:r>
        <w:rPr>
          <w:lang w:eastAsia="fr-FR" w:bidi="fr-FR"/>
        </w:rPr>
        <w:t>urquoi les cigognes ne nichent-</w:t>
      </w:r>
      <w:r w:rsidRPr="000F765B">
        <w:rPr>
          <w:lang w:eastAsia="fr-FR" w:bidi="fr-FR"/>
        </w:rPr>
        <w:t>elles jamais sur le moulin ? C’est qu’elles ont peur que le meunier ne leur vole leurs œufs »</w:t>
      </w:r>
      <w:r>
        <w:rPr>
          <w:lang w:eastAsia="fr-FR" w:bidi="fr-FR"/>
        </w:rPr>
        <w:t> </w:t>
      </w:r>
      <w:r>
        <w:rPr>
          <w:rStyle w:val="Appelnotedebasdep"/>
        </w:rPr>
        <w:footnoteReference w:id="771"/>
      </w:r>
      <w:r>
        <w:rPr>
          <w:lang w:eastAsia="fr-FR" w:bidi="fr-FR"/>
        </w:rPr>
        <w:t> .</w:t>
      </w:r>
      <w:r w:rsidRPr="000F765B">
        <w:rPr>
          <w:lang w:eastAsia="fr-FR" w:bidi="fr-FR"/>
        </w:rPr>
        <w:t xml:space="preserve"> Laissons cependant, si instructifs soient-ils, dans leur intransigeance, ces vieux échos de rancunes villageoises, dont retent</w:t>
      </w:r>
      <w:r w:rsidRPr="000F765B">
        <w:rPr>
          <w:lang w:eastAsia="fr-FR" w:bidi="fr-FR"/>
        </w:rPr>
        <w:t>i</w:t>
      </w:r>
      <w:r w:rsidRPr="000F765B">
        <w:rPr>
          <w:lang w:eastAsia="fr-FR" w:bidi="fr-FR"/>
        </w:rPr>
        <w:t>rent encore, chez nous, les Cahiers de 89. Dans toute analyse de nos vieilles sociétés rurales, comme de nos bourgeoisies, issues si souvent de la paysannerie des petits métiers, le meunier, à côté de l’aubergiste ou du marchand de bétail, a sa place marquée. Grâce à l’ingénieux esprit qui, jadis, le premier, avait confié la meule aux « nymphes » des eaux.</w:t>
      </w:r>
    </w:p>
    <w:p w14:paraId="62AC2D4D" w14:textId="77777777" w:rsidR="00B9662D" w:rsidRPr="000F765B" w:rsidRDefault="00B9662D" w:rsidP="00B9662D">
      <w:pPr>
        <w:spacing w:before="120" w:after="120"/>
        <w:jc w:val="both"/>
      </w:pPr>
      <w:r w:rsidRPr="000F765B">
        <w:rPr>
          <w:lang w:eastAsia="fr-FR" w:bidi="fr-FR"/>
        </w:rPr>
        <w:t>Mais c’est surtout dans l’histoire de l’outillage humain que l’initiative de cet anonyme s’inscrit comme une grande date.</w:t>
      </w:r>
    </w:p>
    <w:p w14:paraId="0252D491" w14:textId="77777777" w:rsidR="00B9662D" w:rsidRPr="000F765B" w:rsidRDefault="00B9662D" w:rsidP="00B9662D">
      <w:pPr>
        <w:spacing w:before="120" w:after="120"/>
        <w:jc w:val="both"/>
      </w:pPr>
      <w:r w:rsidRPr="000F765B">
        <w:rPr>
          <w:lang w:eastAsia="fr-FR" w:bidi="fr-FR"/>
        </w:rPr>
        <w:t>Les générations qui nous ont immédiatement précédés et la nôtre même ont assisté, dans les transports, à ce prodigieux boulevers</w:t>
      </w:r>
      <w:r w:rsidRPr="000F765B">
        <w:rPr>
          <w:lang w:eastAsia="fr-FR" w:bidi="fr-FR"/>
        </w:rPr>
        <w:t>e</w:t>
      </w:r>
      <w:r w:rsidRPr="000F765B">
        <w:rPr>
          <w:lang w:eastAsia="fr-FR" w:bidi="fr-FR"/>
        </w:rPr>
        <w:t>ment : la traction animale cédant la place à des formes d’énergie p</w:t>
      </w:r>
      <w:r w:rsidRPr="000F765B">
        <w:rPr>
          <w:lang w:eastAsia="fr-FR" w:bidi="fr-FR"/>
        </w:rPr>
        <w:t>u</w:t>
      </w:r>
      <w:r w:rsidRPr="000F765B">
        <w:rPr>
          <w:lang w:eastAsia="fr-FR" w:bidi="fr-FR"/>
        </w:rPr>
        <w:t>rement inorga</w:t>
      </w:r>
      <w:r>
        <w:rPr>
          <w:lang w:eastAsia="fr-FR" w:bidi="fr-FR"/>
        </w:rPr>
        <w:t>niques. Telle, à peu près, fut la</w:t>
      </w:r>
      <w:r w:rsidRPr="000F765B">
        <w:rPr>
          <w:lang w:eastAsia="fr-FR" w:bidi="fr-FR"/>
        </w:rPr>
        <w:t xml:space="preserve"> révolution que produisit, dans un autre ordre d’activité, l’avènement du moulin à eau. Mais dans cette progressive relève du monde animé, dont le déroulement résume peut-être l’essentiel de l’évolution technique</w:t>
      </w:r>
      <w:r>
        <w:rPr>
          <w:lang w:eastAsia="fr-FR" w:bidi="fr-FR"/>
        </w:rPr>
        <w:t> — </w:t>
      </w:r>
      <w:r w:rsidRPr="000F765B">
        <w:rPr>
          <w:lang w:eastAsia="fr-FR" w:bidi="fr-FR"/>
        </w:rPr>
        <w:t>voyez encore le fer substitué au bois, la houille au charbon de bois, les colorants chimiques à la cochenille ou à l’indigo,</w:t>
      </w:r>
      <w:r>
        <w:rPr>
          <w:lang w:eastAsia="fr-FR" w:bidi="fr-FR"/>
        </w:rPr>
        <w:t> — </w:t>
      </w:r>
      <w:r w:rsidRPr="000F765B">
        <w:rPr>
          <w:lang w:eastAsia="fr-FR" w:bidi="fr-FR"/>
        </w:rPr>
        <w:t>dans cette prise de plus en plus directe que, sans passer par l’intermédiaire du transformateur animal, l’homme exerce sur les forces naturelles profondes, l’étape franchie peu avant la naissance du Christ fut, en un sens, la plus déc</w:t>
      </w:r>
      <w:r w:rsidRPr="000F765B">
        <w:rPr>
          <w:lang w:eastAsia="fr-FR" w:bidi="fr-FR"/>
        </w:rPr>
        <w:t>i</w:t>
      </w:r>
      <w:r w:rsidRPr="000F765B">
        <w:rPr>
          <w:lang w:eastAsia="fr-FR" w:bidi="fr-FR"/>
        </w:rPr>
        <w:t xml:space="preserve">sive de toutes. Parce que la force alors asservie comptait parmi les plus familières et les plus aisées à utiliser comme les plus puissantes : celle même qu’aujourd’hui s’attachent à capter nos turbines. Parce que l’être organisé dont la peine se trouvait ainsi épargnée était l’homme autant que la bête. Enfin parce que c’était la première fois. Aussi bien devait-on en rester là, en somme, jusqu’à la chaudière à vapeur. Car la roue à palettes pouvait, sans modifications sérieuses, </w:t>
      </w:r>
      <w:r w:rsidRPr="000F765B">
        <w:rPr>
          <w:lang w:eastAsia="fr-FR" w:bidi="fr-FR"/>
        </w:rPr>
        <w:lastRenderedPageBreak/>
        <w:t>transmettre son mouvement à bien d’autres appareils que les meules à grains. Pressoirs à olives, moulins à tan n’étaient, à la vérité, que de simples applications des pierres broyantes. Mais, de bonne heure, on étendit beaucoup plus loin le rayonnement de l’invention. La scie h</w:t>
      </w:r>
      <w:r w:rsidRPr="000F765B">
        <w:rPr>
          <w:lang w:eastAsia="fr-FR" w:bidi="fr-FR"/>
        </w:rPr>
        <w:t>y</w:t>
      </w:r>
      <w:r w:rsidRPr="000F765B">
        <w:rPr>
          <w:lang w:eastAsia="fr-FR" w:bidi="fr-FR"/>
        </w:rPr>
        <w:t xml:space="preserve">draulique est du </w:t>
      </w:r>
      <w:r w:rsidRPr="008005FF">
        <w:rPr>
          <w:smallCaps/>
          <w:lang w:eastAsia="fr-FR" w:bidi="fr-FR"/>
        </w:rPr>
        <w:t>iii</w:t>
      </w:r>
      <w:r w:rsidRPr="000F765B">
        <w:rPr>
          <w:vertAlign w:val="superscript"/>
          <w:lang w:eastAsia="fr-FR" w:bidi="fr-FR"/>
        </w:rPr>
        <w:t>e</w:t>
      </w:r>
      <w:r w:rsidRPr="000F765B">
        <w:rPr>
          <w:lang w:eastAsia="fr-FR" w:bidi="fr-FR"/>
        </w:rPr>
        <w:t xml:space="preserve"> siècle, pour le moins. Les premiers moulins à fo</w:t>
      </w:r>
      <w:r w:rsidRPr="000F765B">
        <w:rPr>
          <w:lang w:eastAsia="fr-FR" w:bidi="fr-FR"/>
        </w:rPr>
        <w:t>u</w:t>
      </w:r>
      <w:r w:rsidRPr="000F765B">
        <w:rPr>
          <w:lang w:eastAsia="fr-FR" w:bidi="fr-FR"/>
        </w:rPr>
        <w:t xml:space="preserve">lon dont les textes aient conservé la mémoire faisaient retentir, au </w:t>
      </w:r>
      <w:r>
        <w:rPr>
          <w:lang w:eastAsia="fr-FR" w:bidi="fr-FR"/>
        </w:rPr>
        <w:t>XI</w:t>
      </w:r>
      <w:r w:rsidRPr="000F765B">
        <w:rPr>
          <w:vertAlign w:val="superscript"/>
          <w:lang w:eastAsia="fr-FR" w:bidi="fr-FR"/>
        </w:rPr>
        <w:t>e</w:t>
      </w:r>
      <w:r w:rsidRPr="000F765B">
        <w:rPr>
          <w:lang w:eastAsia="fr-FR" w:bidi="fr-FR"/>
        </w:rPr>
        <w:t xml:space="preserve"> siècle, de leur bruit de pas pesants et pressés quelques-unes de ces va</w:t>
      </w:r>
      <w:r w:rsidRPr="000F765B">
        <w:rPr>
          <w:lang w:eastAsia="fr-FR" w:bidi="fr-FR"/>
        </w:rPr>
        <w:t>l</w:t>
      </w:r>
      <w:r w:rsidRPr="000F765B">
        <w:rPr>
          <w:lang w:eastAsia="fr-FR" w:bidi="fr-FR"/>
        </w:rPr>
        <w:t xml:space="preserve">lées alpestres qui devaient voir, au </w:t>
      </w:r>
      <w:r>
        <w:rPr>
          <w:lang w:eastAsia="fr-FR" w:bidi="fr-FR"/>
        </w:rPr>
        <w:t>XX</w:t>
      </w:r>
      <w:r w:rsidRPr="000F765B">
        <w:rPr>
          <w:vertAlign w:val="superscript"/>
          <w:lang w:eastAsia="fr-FR" w:bidi="fr-FR"/>
        </w:rPr>
        <w:t>e</w:t>
      </w:r>
      <w:r w:rsidRPr="000F765B">
        <w:rPr>
          <w:lang w:eastAsia="fr-FR" w:bidi="fr-FR"/>
        </w:rPr>
        <w:t>, les derniers survivants de la race</w:t>
      </w:r>
      <w:r>
        <w:rPr>
          <w:lang w:eastAsia="fr-FR" w:bidi="fr-FR"/>
        </w:rPr>
        <w:t> </w:t>
      </w:r>
      <w:r>
        <w:rPr>
          <w:rStyle w:val="Appelnotedebasdep"/>
        </w:rPr>
        <w:footnoteReference w:id="772"/>
      </w:r>
      <w:r w:rsidRPr="000F765B">
        <w:rPr>
          <w:lang w:eastAsia="fr-FR" w:bidi="fr-FR"/>
        </w:rPr>
        <w:t>. Le soufflet</w:t>
      </w:r>
      <w:r>
        <w:t xml:space="preserve"> </w:t>
      </w:r>
      <w:r>
        <w:rPr>
          <w:lang w:eastAsia="fr-FR" w:bidi="fr-FR"/>
        </w:rPr>
        <w:t xml:space="preserve">[805] </w:t>
      </w:r>
      <w:r w:rsidRPr="000F765B">
        <w:rPr>
          <w:lang w:eastAsia="fr-FR" w:bidi="fr-FR"/>
        </w:rPr>
        <w:t>de forge et le martinet ne semblent pas être apparus, sur les rivières, sensiblement plus tard. Puis ce furent, mult</w:t>
      </w:r>
      <w:r w:rsidRPr="000F765B">
        <w:rPr>
          <w:lang w:eastAsia="fr-FR" w:bidi="fr-FR"/>
        </w:rPr>
        <w:t>i</w:t>
      </w:r>
      <w:r w:rsidRPr="000F765B">
        <w:rPr>
          <w:lang w:eastAsia="fr-FR" w:bidi="fr-FR"/>
        </w:rPr>
        <w:t xml:space="preserve">pliés presque à l’infini, d’autres emplois, toujours nouveaux : si bien que, parmi les premières manufactures, aux </w:t>
      </w:r>
      <w:r w:rsidRPr="00DF6F4C">
        <w:rPr>
          <w:caps/>
          <w:lang w:eastAsia="fr-FR" w:bidi="fr-FR"/>
        </w:rPr>
        <w:t>xvii</w:t>
      </w:r>
      <w:r w:rsidRPr="000F765B">
        <w:rPr>
          <w:vertAlign w:val="superscript"/>
          <w:lang w:eastAsia="fr-FR" w:bidi="fr-FR"/>
        </w:rPr>
        <w:t>e</w:t>
      </w:r>
      <w:r w:rsidRPr="000F765B">
        <w:rPr>
          <w:lang w:eastAsia="fr-FR" w:bidi="fr-FR"/>
        </w:rPr>
        <w:t xml:space="preserve"> et </w:t>
      </w:r>
      <w:r w:rsidRPr="00DF6F4C">
        <w:rPr>
          <w:caps/>
          <w:lang w:eastAsia="fr-FR" w:bidi="fr-FR"/>
        </w:rPr>
        <w:t>xv</w:t>
      </w:r>
      <w:r>
        <w:rPr>
          <w:caps/>
          <w:lang w:eastAsia="fr-FR" w:bidi="fr-FR"/>
        </w:rPr>
        <w:t>III</w:t>
      </w:r>
      <w:r w:rsidRPr="000F765B">
        <w:rPr>
          <w:vertAlign w:val="superscript"/>
          <w:lang w:eastAsia="fr-FR" w:bidi="fr-FR"/>
        </w:rPr>
        <w:t>e</w:t>
      </w:r>
      <w:r w:rsidRPr="000F765B">
        <w:rPr>
          <w:lang w:eastAsia="fr-FR" w:bidi="fr-FR"/>
        </w:rPr>
        <w:t xml:space="preserve"> siècles, beaucoup, dont les machines, par l’entremise de roues pareilles en gros à celles que décrit Vitruve, obéissaient à l’impulsion des eaux, n’étaient en vérité que des avatars de l’antique moulin : en Angleterre, elles en portèrent longtemps le nom.</w:t>
      </w:r>
    </w:p>
    <w:p w14:paraId="3EB1803D" w14:textId="77777777" w:rsidR="00B9662D" w:rsidRPr="000F765B" w:rsidRDefault="00B9662D" w:rsidP="00B9662D">
      <w:pPr>
        <w:spacing w:before="120" w:after="120"/>
        <w:jc w:val="both"/>
      </w:pPr>
      <w:r w:rsidRPr="000F765B">
        <w:rPr>
          <w:lang w:eastAsia="fr-FR" w:bidi="fr-FR"/>
        </w:rPr>
        <w:t>Ce n’est pas tout. Par leur mécanisme interne également, les mo</w:t>
      </w:r>
      <w:r w:rsidRPr="000F765B">
        <w:rPr>
          <w:lang w:eastAsia="fr-FR" w:bidi="fr-FR"/>
        </w:rPr>
        <w:t>u</w:t>
      </w:r>
      <w:r w:rsidRPr="000F765B">
        <w:rPr>
          <w:lang w:eastAsia="fr-FR" w:bidi="fr-FR"/>
        </w:rPr>
        <w:t>lins à eau marquaient, dans l’équipement de l’humanité, un progrès dont la portée dépasse de beaucoup l’histoire, en somme modeste, de la meunerie. Non pas tous, cependant. Jusqu’à une époque proche de nous, on a pu voir en service, dans diverses régions où l’outillage a</w:t>
      </w:r>
      <w:r w:rsidRPr="000F765B">
        <w:rPr>
          <w:lang w:eastAsia="fr-FR" w:bidi="fr-FR"/>
        </w:rPr>
        <w:t>f</w:t>
      </w:r>
      <w:r w:rsidRPr="000F765B">
        <w:rPr>
          <w:lang w:eastAsia="fr-FR" w:bidi="fr-FR"/>
        </w:rPr>
        <w:t>fectait, d’une façon générale, un caractère assez primitif, des moulins à roue horizontale ; celle-ci, posée au fil de l’eau, actionnait, par l’intermédiaire d’une simple poutre rigide, la meule mobile placée immédiatement au-dessus d’elle. L’existence de ce type, singulièr</w:t>
      </w:r>
      <w:r w:rsidRPr="000F765B">
        <w:rPr>
          <w:lang w:eastAsia="fr-FR" w:bidi="fr-FR"/>
        </w:rPr>
        <w:t>e</w:t>
      </w:r>
      <w:r w:rsidRPr="000F765B">
        <w:rPr>
          <w:lang w:eastAsia="fr-FR" w:bidi="fr-FR"/>
        </w:rPr>
        <w:t>ment rudimentaire, n’est pas sans poser de troublants problèmes. Di</w:t>
      </w:r>
      <w:r w:rsidRPr="000F765B">
        <w:rPr>
          <w:lang w:eastAsia="fr-FR" w:bidi="fr-FR"/>
        </w:rPr>
        <w:t>s</w:t>
      </w:r>
      <w:r w:rsidRPr="000F765B">
        <w:rPr>
          <w:lang w:eastAsia="fr-FR" w:bidi="fr-FR"/>
        </w:rPr>
        <w:t xml:space="preserve">séminé, semble-t-il, d’un bout à l’autre de notre monde, en des contrées aussi éloignées les unes des autres que la Syrie, la Roumanie, la </w:t>
      </w:r>
      <w:r w:rsidRPr="000F765B">
        <w:rPr>
          <w:lang w:eastAsia="fr-FR" w:bidi="fr-FR"/>
        </w:rPr>
        <w:lastRenderedPageBreak/>
        <w:t>Norvège et les Shetland on ne saurait guère en attribuer l’invention à une civilisation bien déterminée</w:t>
      </w:r>
      <w:r>
        <w:rPr>
          <w:lang w:eastAsia="fr-FR" w:bidi="fr-FR"/>
        </w:rPr>
        <w:t> </w:t>
      </w:r>
      <w:r>
        <w:rPr>
          <w:rStyle w:val="Appelnotedebasdep"/>
        </w:rPr>
        <w:footnoteReference w:id="773"/>
      </w:r>
      <w:r w:rsidRPr="000F765B">
        <w:rPr>
          <w:lang w:eastAsia="fr-FR" w:bidi="fr-FR"/>
        </w:rPr>
        <w:t>. Il diffère par ailleurs, du tout au tout, de l’appareil que font connaître les textes antiques les plus clairs, comme Vitruve. En sorte qu’on est amené à se demander s’il ne nous offre pas, tout bonnement, l’exemple d’une régression technique, telle qu’il a pu s’en manifester parmi des populations habituées à une vie matérielle fort grossière ; imiter l’emploi d’une force connue de tous, comme celle de l’eau, devait paraître plus aisé que de reproduire des agencements déjà complexes. Quoi qu’il en soit de cette hypothèse</w:t>
      </w:r>
      <w:r>
        <w:rPr>
          <w:lang w:eastAsia="fr-FR" w:bidi="fr-FR"/>
        </w:rPr>
        <w:t> — </w:t>
      </w:r>
      <w:r w:rsidRPr="000F765B">
        <w:rPr>
          <w:lang w:eastAsia="fr-FR" w:bidi="fr-FR"/>
        </w:rPr>
        <w:t>la question, en vérité, reste ouverte et mériterait d’être reprise,</w:t>
      </w:r>
      <w:r>
        <w:rPr>
          <w:lang w:eastAsia="fr-FR" w:bidi="fr-FR"/>
        </w:rPr>
        <w:t> — </w:t>
      </w:r>
      <w:r w:rsidRPr="000F765B">
        <w:rPr>
          <w:lang w:eastAsia="fr-FR" w:bidi="fr-FR"/>
        </w:rPr>
        <w:t>il est sûr que le moulin gréco-romain comportait une roue verticale. Elle semble avoir été, à l’origine, assez souvent mue d’en dessous, « par la rivière, au gré de son chemin », comme dit Pline. Telle Vitruve la d</w:t>
      </w:r>
      <w:r w:rsidRPr="000F765B">
        <w:rPr>
          <w:lang w:eastAsia="fr-FR" w:bidi="fr-FR"/>
        </w:rPr>
        <w:t>é</w:t>
      </w:r>
      <w:r w:rsidRPr="000F765B">
        <w:rPr>
          <w:lang w:eastAsia="fr-FR" w:bidi="fr-FR"/>
        </w:rPr>
        <w:t>crit. Mais de très bonne heure</w:t>
      </w:r>
      <w:r>
        <w:rPr>
          <w:lang w:eastAsia="fr-FR" w:bidi="fr-FR"/>
        </w:rPr>
        <w:t> — </w:t>
      </w:r>
      <w:r w:rsidRPr="000F765B">
        <w:rPr>
          <w:lang w:eastAsia="fr-FR" w:bidi="fr-FR"/>
        </w:rPr>
        <w:t xml:space="preserve">puisque ce tableau est déjà celui que nous présente l’épigramme de </w:t>
      </w:r>
      <w:r>
        <w:rPr>
          <w:lang w:eastAsia="fr-FR" w:bidi="fr-FR"/>
        </w:rPr>
        <w:t>l’</w:t>
      </w:r>
      <w:r w:rsidRPr="001458E2">
        <w:rPr>
          <w:i/>
        </w:rPr>
        <w:t>Anthologie</w:t>
      </w:r>
      <w:r>
        <w:rPr>
          <w:lang w:eastAsia="fr-FR" w:bidi="fr-FR"/>
        </w:rPr>
        <w:t> — </w:t>
      </w:r>
      <w:r w:rsidRPr="000F765B">
        <w:rPr>
          <w:lang w:eastAsia="fr-FR" w:bidi="fr-FR"/>
        </w:rPr>
        <w:t>un système de canalis</w:t>
      </w:r>
      <w:r w:rsidRPr="000F765B">
        <w:rPr>
          <w:lang w:eastAsia="fr-FR" w:bidi="fr-FR"/>
        </w:rPr>
        <w:t>a</w:t>
      </w:r>
      <w:r w:rsidRPr="000F765B">
        <w:rPr>
          <w:lang w:eastAsia="fr-FR" w:bidi="fr-FR"/>
        </w:rPr>
        <w:t>tion aisé à combiner permit, lorsqu’on le jugeait bon, de faire reto</w:t>
      </w:r>
      <w:r w:rsidRPr="000F765B">
        <w:rPr>
          <w:lang w:eastAsia="fr-FR" w:bidi="fr-FR"/>
        </w:rPr>
        <w:t>m</w:t>
      </w:r>
      <w:r w:rsidRPr="000F765B">
        <w:rPr>
          <w:lang w:eastAsia="fr-FR" w:bidi="fr-FR"/>
        </w:rPr>
        <w:t>ber l’eau sur les palettes, « vers le sommet ». Or, d’une façon ou de l’autre, cette disposition comportait pour les constructeurs une diff</w:t>
      </w:r>
      <w:r w:rsidRPr="000F765B">
        <w:rPr>
          <w:lang w:eastAsia="fr-FR" w:bidi="fr-FR"/>
        </w:rPr>
        <w:t>i</w:t>
      </w:r>
      <w:r w:rsidRPr="000F765B">
        <w:rPr>
          <w:lang w:eastAsia="fr-FR" w:bidi="fr-FR"/>
        </w:rPr>
        <w:t>culté mécanique, dont la gravité originelle risque de nous être a</w:t>
      </w:r>
      <w:r w:rsidRPr="000F765B">
        <w:rPr>
          <w:lang w:eastAsia="fr-FR" w:bidi="fr-FR"/>
        </w:rPr>
        <w:t>u</w:t>
      </w:r>
      <w:r w:rsidRPr="000F765B">
        <w:rPr>
          <w:lang w:eastAsia="fr-FR" w:bidi="fr-FR"/>
        </w:rPr>
        <w:t>jourd’hui dissimulée par le spectacle quotidien d’un monde trop s</w:t>
      </w:r>
      <w:r w:rsidRPr="000F765B">
        <w:rPr>
          <w:lang w:eastAsia="fr-FR" w:bidi="fr-FR"/>
        </w:rPr>
        <w:t>a</w:t>
      </w:r>
      <w:r w:rsidRPr="000F765B">
        <w:rPr>
          <w:lang w:eastAsia="fr-FR" w:bidi="fr-FR"/>
        </w:rPr>
        <w:t>vamment machiné : depuis la roue verticale jusqu’à la meule forc</w:t>
      </w:r>
      <w:r w:rsidRPr="000F765B">
        <w:rPr>
          <w:lang w:eastAsia="fr-FR" w:bidi="fr-FR"/>
        </w:rPr>
        <w:t>é</w:t>
      </w:r>
      <w:r w:rsidRPr="000F765B">
        <w:rPr>
          <w:lang w:eastAsia="fr-FR" w:bidi="fr-FR"/>
        </w:rPr>
        <w:t>ment horizontale, le mouvement,</w:t>
      </w:r>
      <w:r>
        <w:rPr>
          <w:lang w:eastAsia="fr-FR" w:bidi="fr-FR"/>
        </w:rPr>
        <w:t xml:space="preserve"> [806] </w:t>
      </w:r>
      <w:r w:rsidRPr="000F765B">
        <w:rPr>
          <w:lang w:eastAsia="fr-FR" w:bidi="fr-FR"/>
        </w:rPr>
        <w:t>en se transmettant de l’une à l’autre, devait changer de plan. Un jeu d’engrenages en donna le moyen : principe voué à un immense avenir et dont le moulin fournit ainsi un des tout premiers modèles.</w:t>
      </w:r>
    </w:p>
    <w:p w14:paraId="3A917B88" w14:textId="77777777" w:rsidR="00B9662D" w:rsidRPr="000F765B" w:rsidRDefault="00B9662D" w:rsidP="00B9662D">
      <w:pPr>
        <w:spacing w:before="120" w:after="120"/>
        <w:jc w:val="both"/>
      </w:pPr>
      <w:r w:rsidRPr="000F765B">
        <w:rPr>
          <w:lang w:eastAsia="fr-FR" w:bidi="fr-FR"/>
        </w:rPr>
        <w:t>Vers le début de l’ère chrétienne, les civilisations gréco-romaines, grandes mangeuses de farine, disposaient donc, pour produire cet al</w:t>
      </w:r>
      <w:r w:rsidRPr="000F765B">
        <w:rPr>
          <w:lang w:eastAsia="fr-FR" w:bidi="fr-FR"/>
        </w:rPr>
        <w:t>i</w:t>
      </w:r>
      <w:r w:rsidRPr="000F765B">
        <w:rPr>
          <w:lang w:eastAsia="fr-FR" w:bidi="fr-FR"/>
        </w:rPr>
        <w:t>ment fondamental, d’un instrument déjà remarquablement perfectio</w:t>
      </w:r>
      <w:r w:rsidRPr="000F765B">
        <w:rPr>
          <w:lang w:eastAsia="fr-FR" w:bidi="fr-FR"/>
        </w:rPr>
        <w:t>n</w:t>
      </w:r>
      <w:r w:rsidRPr="000F765B">
        <w:rPr>
          <w:lang w:eastAsia="fr-FR" w:bidi="fr-FR"/>
        </w:rPr>
        <w:t>né : la première machine, en somme, dont l’utilisation semblât capable de rendre plus aisée la vie d’innombrables foules humaines. L’étonnant, c’est que, l’ayant en main, elles aient tant tardé à en gén</w:t>
      </w:r>
      <w:r w:rsidRPr="000F765B">
        <w:rPr>
          <w:lang w:eastAsia="fr-FR" w:bidi="fr-FR"/>
        </w:rPr>
        <w:t>é</w:t>
      </w:r>
      <w:r w:rsidRPr="000F765B">
        <w:rPr>
          <w:lang w:eastAsia="fr-FR" w:bidi="fr-FR"/>
        </w:rPr>
        <w:t>raliser l’emploi.</w:t>
      </w:r>
    </w:p>
    <w:p w14:paraId="7A3CD2F0" w14:textId="77777777" w:rsidR="00B9662D" w:rsidRDefault="00B9662D" w:rsidP="00B9662D">
      <w:pPr>
        <w:spacing w:before="120" w:after="120"/>
        <w:jc w:val="both"/>
        <w:rPr>
          <w:lang w:eastAsia="fr-FR" w:bidi="fr-FR"/>
        </w:rPr>
      </w:pPr>
      <w:r>
        <w:rPr>
          <w:lang w:eastAsia="fr-FR" w:bidi="fr-FR"/>
        </w:rPr>
        <w:br w:type="page"/>
      </w:r>
    </w:p>
    <w:p w14:paraId="0A754CC8" w14:textId="77777777" w:rsidR="00B9662D" w:rsidRPr="000F765B" w:rsidRDefault="00B9662D" w:rsidP="00B9662D">
      <w:pPr>
        <w:pStyle w:val="planche"/>
      </w:pPr>
      <w:r w:rsidRPr="000F765B">
        <w:t>II</w:t>
      </w:r>
    </w:p>
    <w:p w14:paraId="510F576B" w14:textId="77777777" w:rsidR="00B9662D" w:rsidRDefault="00B9662D" w:rsidP="00B9662D">
      <w:pPr>
        <w:spacing w:before="120" w:after="120"/>
        <w:jc w:val="both"/>
        <w:rPr>
          <w:lang w:eastAsia="fr-FR" w:bidi="fr-FR"/>
        </w:rPr>
      </w:pPr>
    </w:p>
    <w:p w14:paraId="549977A4" w14:textId="77777777" w:rsidR="00B9662D" w:rsidRPr="000F765B" w:rsidRDefault="00B9662D" w:rsidP="00B9662D">
      <w:pPr>
        <w:spacing w:before="120" w:after="120"/>
        <w:jc w:val="both"/>
      </w:pPr>
      <w:r w:rsidRPr="000F765B">
        <w:rPr>
          <w:lang w:eastAsia="fr-FR" w:bidi="fr-FR"/>
        </w:rPr>
        <w:t>Car il ne faut point s’y tromper : invention antique, le moulin à eau est médiéval par l’époque de sa véritable expansion. Déjà les témo</w:t>
      </w:r>
      <w:r w:rsidRPr="000F765B">
        <w:rPr>
          <w:lang w:eastAsia="fr-FR" w:bidi="fr-FR"/>
        </w:rPr>
        <w:t>i</w:t>
      </w:r>
      <w:r w:rsidRPr="000F765B">
        <w:rPr>
          <w:lang w:eastAsia="fr-FR" w:bidi="fr-FR"/>
        </w:rPr>
        <w:t xml:space="preserve">gnages qu’il est possible de réunir sur le Gaule sont </w:t>
      </w:r>
      <w:r>
        <w:rPr>
          <w:lang w:eastAsia="fr-FR" w:bidi="fr-FR"/>
        </w:rPr>
        <w:t>significatifs : une mention au III</w:t>
      </w:r>
      <w:r w:rsidRPr="000F765B">
        <w:rPr>
          <w:vertAlign w:val="superscript"/>
          <w:lang w:eastAsia="fr-FR" w:bidi="fr-FR"/>
        </w:rPr>
        <w:t>e</w:t>
      </w:r>
      <w:r w:rsidRPr="000F765B">
        <w:rPr>
          <w:lang w:eastAsia="fr-FR" w:bidi="fr-FR"/>
        </w:rPr>
        <w:t xml:space="preserve"> siècle, une autre aux environs de l’an 500</w:t>
      </w:r>
      <w:r>
        <w:rPr>
          <w:lang w:eastAsia="fr-FR" w:bidi="fr-FR"/>
        </w:rPr>
        <w:t> — </w:t>
      </w:r>
      <w:r w:rsidRPr="000F765B">
        <w:rPr>
          <w:lang w:eastAsia="fr-FR" w:bidi="fr-FR"/>
        </w:rPr>
        <w:t>et qui présente la machine comme encore exceptionnelle,</w:t>
      </w:r>
      <w:r>
        <w:rPr>
          <w:lang w:eastAsia="fr-FR" w:bidi="fr-FR"/>
        </w:rPr>
        <w:t> — </w:t>
      </w:r>
      <w:r w:rsidRPr="000F765B">
        <w:rPr>
          <w:lang w:eastAsia="fr-FR" w:bidi="fr-FR"/>
        </w:rPr>
        <w:t xml:space="preserve">cinq, à ma connaissance, au </w:t>
      </w:r>
      <w:r>
        <w:rPr>
          <w:lang w:eastAsia="fr-FR" w:bidi="fr-FR"/>
        </w:rPr>
        <w:t>VI</w:t>
      </w:r>
      <w:r w:rsidRPr="000F765B">
        <w:rPr>
          <w:vertAlign w:val="superscript"/>
          <w:lang w:eastAsia="fr-FR" w:bidi="fr-FR"/>
        </w:rPr>
        <w:t xml:space="preserve">e </w:t>
      </w:r>
      <w:r w:rsidRPr="000F765B">
        <w:rPr>
          <w:lang w:eastAsia="fr-FR" w:bidi="fr-FR"/>
        </w:rPr>
        <w:t>(dont la Loi Salique qui s’applique à une mult</w:t>
      </w:r>
      <w:r w:rsidRPr="000F765B">
        <w:rPr>
          <w:lang w:eastAsia="fr-FR" w:bidi="fr-FR"/>
        </w:rPr>
        <w:t>i</w:t>
      </w:r>
      <w:r w:rsidRPr="000F765B">
        <w:rPr>
          <w:lang w:eastAsia="fr-FR" w:bidi="fr-FR"/>
        </w:rPr>
        <w:t>plicité)</w:t>
      </w:r>
      <w:r>
        <w:rPr>
          <w:lang w:eastAsia="fr-FR" w:bidi="fr-FR"/>
        </w:rPr>
        <w:t> </w:t>
      </w:r>
      <w:r>
        <w:rPr>
          <w:rStyle w:val="Appelnotedebasdep"/>
        </w:rPr>
        <w:footnoteReference w:id="774"/>
      </w:r>
      <w:r w:rsidRPr="000F765B">
        <w:rPr>
          <w:lang w:eastAsia="fr-FR" w:bidi="fr-FR"/>
        </w:rPr>
        <w:t> ; beaucoup, enfin, durant la suite de l’époque franque. La disproportion du matériel documentaire</w:t>
      </w:r>
      <w:r>
        <w:rPr>
          <w:lang w:eastAsia="fr-FR" w:bidi="fr-FR"/>
        </w:rPr>
        <w:t> — </w:t>
      </w:r>
      <w:r w:rsidRPr="000F765B">
        <w:rPr>
          <w:lang w:eastAsia="fr-FR" w:bidi="fr-FR"/>
        </w:rPr>
        <w:t>épigraphie comprise</w:t>
      </w:r>
      <w:r>
        <w:rPr>
          <w:lang w:eastAsia="fr-FR" w:bidi="fr-FR"/>
        </w:rPr>
        <w:t> — </w:t>
      </w:r>
      <w:r w:rsidRPr="000F765B">
        <w:rPr>
          <w:lang w:eastAsia="fr-FR" w:bidi="fr-FR"/>
        </w:rPr>
        <w:t>entre la période romaine et les temps mérovingiens n’est pas telle que cette progression puisse passer pour fortuite. Mais l’exemple le plus probant est fourni par Rome même. Sous Caligula, on l’a vu, les me</w:t>
      </w:r>
      <w:r w:rsidRPr="000F765B">
        <w:rPr>
          <w:lang w:eastAsia="fr-FR" w:bidi="fr-FR"/>
        </w:rPr>
        <w:t>u</w:t>
      </w:r>
      <w:r w:rsidRPr="000F765B">
        <w:rPr>
          <w:lang w:eastAsia="fr-FR" w:bidi="fr-FR"/>
        </w:rPr>
        <w:t xml:space="preserve">les à chevaux commandaient, dans la Ville, l’approvisionnement en farine. Pour y trouver cités des moulins à eau, il faut, malgré l’abondance relative des textes, descendre jusqu’au milieu du </w:t>
      </w:r>
      <w:r>
        <w:rPr>
          <w:lang w:eastAsia="fr-FR" w:bidi="fr-FR"/>
        </w:rPr>
        <w:t>IV</w:t>
      </w:r>
      <w:r w:rsidRPr="000F765B">
        <w:rPr>
          <w:vertAlign w:val="superscript"/>
          <w:lang w:eastAsia="fr-FR" w:bidi="fr-FR"/>
        </w:rPr>
        <w:t>e</w:t>
      </w:r>
      <w:r w:rsidRPr="000F765B">
        <w:rPr>
          <w:lang w:eastAsia="fr-FR" w:bidi="fr-FR"/>
        </w:rPr>
        <w:t xml:space="preserve"> si</w:t>
      </w:r>
      <w:r w:rsidRPr="000F765B">
        <w:rPr>
          <w:lang w:eastAsia="fr-FR" w:bidi="fr-FR"/>
        </w:rPr>
        <w:t>è</w:t>
      </w:r>
      <w:r w:rsidRPr="000F765B">
        <w:rPr>
          <w:lang w:eastAsia="fr-FR" w:bidi="fr-FR"/>
        </w:rPr>
        <w:t>cle. Alors apparaissent ceux du Janicule qui, alimentés par une dériv</w:t>
      </w:r>
      <w:r w:rsidRPr="000F765B">
        <w:rPr>
          <w:lang w:eastAsia="fr-FR" w:bidi="fr-FR"/>
        </w:rPr>
        <w:t>a</w:t>
      </w:r>
      <w:r w:rsidRPr="000F765B">
        <w:rPr>
          <w:lang w:eastAsia="fr-FR" w:bidi="fr-FR"/>
        </w:rPr>
        <w:t xml:space="preserve">tion de l’aqueduc de Trajan, ne cesseront plus jusqu’au </w:t>
      </w:r>
      <w:r>
        <w:rPr>
          <w:lang w:eastAsia="fr-FR" w:bidi="fr-FR"/>
        </w:rPr>
        <w:t>VII</w:t>
      </w:r>
      <w:r w:rsidRPr="000F765B">
        <w:rPr>
          <w:vertAlign w:val="superscript"/>
          <w:lang w:eastAsia="fr-FR" w:bidi="fr-FR"/>
        </w:rPr>
        <w:t>e</w:t>
      </w:r>
      <w:r w:rsidRPr="000F765B">
        <w:rPr>
          <w:lang w:eastAsia="fr-FR" w:bidi="fr-FR"/>
        </w:rPr>
        <w:t xml:space="preserve"> siècle de figurer dans de nombreux documents de tout ordre. Ce sont eux d</w:t>
      </w:r>
      <w:r w:rsidRPr="000F765B">
        <w:rPr>
          <w:lang w:eastAsia="fr-FR" w:bidi="fr-FR"/>
        </w:rPr>
        <w:t>é</w:t>
      </w:r>
      <w:r w:rsidRPr="000F765B">
        <w:rPr>
          <w:lang w:eastAsia="fr-FR" w:bidi="fr-FR"/>
        </w:rPr>
        <w:t>sormais que l’on tient pour indispensables à la vie de la population : témoin le soin qu’empereurs et rois goths prennent à l’envi d’empêcher qu’on ne dérive, vers d’autres fins, l’eau des biefs ; t</w:t>
      </w:r>
      <w:r w:rsidRPr="000F765B">
        <w:rPr>
          <w:lang w:eastAsia="fr-FR" w:bidi="fr-FR"/>
        </w:rPr>
        <w:t>é</w:t>
      </w:r>
      <w:r w:rsidRPr="000F765B">
        <w:rPr>
          <w:lang w:eastAsia="fr-FR" w:bidi="fr-FR"/>
        </w:rPr>
        <w:t xml:space="preserve">moin, surtout, l’embarras où, durant le siège de Rome par Totila, la destruction des conduites d’arrivée jeta Bélisaire. La seule ressource fut alors </w:t>
      </w:r>
      <w:r w:rsidRPr="000F765B">
        <w:rPr>
          <w:lang w:eastAsia="fr-FR" w:bidi="fr-FR"/>
        </w:rPr>
        <w:lastRenderedPageBreak/>
        <w:t>d’installer, sur le Tibre même, dans des barques, d’autres roues de moulin</w:t>
      </w:r>
      <w:r>
        <w:rPr>
          <w:lang w:eastAsia="fr-FR" w:bidi="fr-FR"/>
        </w:rPr>
        <w:t> </w:t>
      </w:r>
      <w:r>
        <w:rPr>
          <w:rStyle w:val="Appelnotedebasdep"/>
        </w:rPr>
        <w:footnoteReference w:id="775"/>
      </w:r>
      <w:r w:rsidRPr="000F765B">
        <w:rPr>
          <w:lang w:eastAsia="fr-FR" w:bidi="fr-FR"/>
        </w:rPr>
        <w:t>.</w:t>
      </w:r>
    </w:p>
    <w:p w14:paraId="1E8FAB44" w14:textId="77777777" w:rsidR="00B9662D" w:rsidRPr="000F765B" w:rsidRDefault="00B9662D" w:rsidP="00B9662D">
      <w:pPr>
        <w:spacing w:before="120" w:after="120"/>
        <w:jc w:val="both"/>
      </w:pPr>
      <w:r w:rsidRPr="000F765B">
        <w:rPr>
          <w:lang w:eastAsia="fr-FR" w:bidi="fr-FR"/>
        </w:rPr>
        <w:t>Or cette négligence à conduire à leur épanouissement des possibil</w:t>
      </w:r>
      <w:r w:rsidRPr="000F765B">
        <w:rPr>
          <w:lang w:eastAsia="fr-FR" w:bidi="fr-FR"/>
        </w:rPr>
        <w:t>i</w:t>
      </w:r>
      <w:r w:rsidRPr="000F765B">
        <w:rPr>
          <w:lang w:eastAsia="fr-FR" w:bidi="fr-FR"/>
        </w:rPr>
        <w:t>tés techniques toutes prêtes n’est pas, dans le monde antique, un fait isolé. « Rome », écrit M. Gautier, « n’avait pas sur les forces de la n</w:t>
      </w:r>
      <w:r w:rsidRPr="000F765B">
        <w:rPr>
          <w:lang w:eastAsia="fr-FR" w:bidi="fr-FR"/>
        </w:rPr>
        <w:t>a</w:t>
      </w:r>
      <w:r w:rsidRPr="000F765B">
        <w:rPr>
          <w:lang w:eastAsia="fr-FR" w:bidi="fr-FR"/>
        </w:rPr>
        <w:t>ture une</w:t>
      </w:r>
      <w:r>
        <w:rPr>
          <w:lang w:eastAsia="fr-FR" w:bidi="fr-FR"/>
        </w:rPr>
        <w:t xml:space="preserve"> </w:t>
      </w:r>
      <w:r>
        <w:t>[</w:t>
      </w:r>
      <w:r w:rsidRPr="000F765B">
        <w:rPr>
          <w:lang w:eastAsia="fr-FR" w:bidi="fr-FR"/>
        </w:rPr>
        <w:t>807</w:t>
      </w:r>
      <w:r>
        <w:rPr>
          <w:lang w:eastAsia="fr-FR" w:bidi="fr-FR"/>
        </w:rPr>
        <w:t xml:space="preserve">] </w:t>
      </w:r>
      <w:r w:rsidRPr="000F765B">
        <w:rPr>
          <w:lang w:eastAsia="fr-FR" w:bidi="fr-FR"/>
        </w:rPr>
        <w:t>domination qui correspondît au développement de son organisation politique »</w:t>
      </w:r>
      <w:r>
        <w:rPr>
          <w:lang w:eastAsia="fr-FR" w:bidi="fr-FR"/>
        </w:rPr>
        <w:t> </w:t>
      </w:r>
      <w:r>
        <w:rPr>
          <w:rStyle w:val="Appelnotedebasdep"/>
        </w:rPr>
        <w:footnoteReference w:id="776"/>
      </w:r>
      <w:r w:rsidRPr="000F765B">
        <w:t>.</w:t>
      </w:r>
      <w:r w:rsidRPr="000F765B">
        <w:rPr>
          <w:lang w:eastAsia="fr-FR" w:bidi="fr-FR"/>
        </w:rPr>
        <w:t xml:space="preserve"> D’accord. Mais il est permis de se dema</w:t>
      </w:r>
      <w:r w:rsidRPr="000F765B">
        <w:rPr>
          <w:lang w:eastAsia="fr-FR" w:bidi="fr-FR"/>
        </w:rPr>
        <w:t>n</w:t>
      </w:r>
      <w:r w:rsidRPr="000F765B">
        <w:rPr>
          <w:lang w:eastAsia="fr-FR" w:bidi="fr-FR"/>
        </w:rPr>
        <w:t>der si cette domination, Rome l’a vraiment souhaitée. Et, au cas où l’on reconnaîtrait qu’en vérité elle ne l’a pas recherchée avec bea</w:t>
      </w:r>
      <w:r w:rsidRPr="000F765B">
        <w:rPr>
          <w:lang w:eastAsia="fr-FR" w:bidi="fr-FR"/>
        </w:rPr>
        <w:t>u</w:t>
      </w:r>
      <w:r w:rsidRPr="000F765B">
        <w:rPr>
          <w:lang w:eastAsia="fr-FR" w:bidi="fr-FR"/>
        </w:rPr>
        <w:t>coup d’ardeur, il ne serait peut-être pas impossible de comprendre pourquoi.</w:t>
      </w:r>
    </w:p>
    <w:p w14:paraId="08AA1DA2" w14:textId="77777777" w:rsidR="00B9662D" w:rsidRPr="000F765B" w:rsidRDefault="00B9662D" w:rsidP="00B9662D">
      <w:pPr>
        <w:spacing w:before="120" w:after="120"/>
        <w:jc w:val="both"/>
      </w:pPr>
      <w:r>
        <w:rPr>
          <w:lang w:eastAsia="fr-FR" w:bidi="fr-FR"/>
        </w:rPr>
        <w:t>Comme V</w:t>
      </w:r>
      <w:r w:rsidRPr="000F765B">
        <w:rPr>
          <w:lang w:eastAsia="fr-FR" w:bidi="fr-FR"/>
        </w:rPr>
        <w:t>espasien, raconte Suétone, faisait reconstruire le Capit</w:t>
      </w:r>
      <w:r w:rsidRPr="000F765B">
        <w:rPr>
          <w:lang w:eastAsia="fr-FR" w:bidi="fr-FR"/>
        </w:rPr>
        <w:t>o</w:t>
      </w:r>
      <w:r w:rsidRPr="000F765B">
        <w:rPr>
          <w:lang w:eastAsia="fr-FR" w:bidi="fr-FR"/>
        </w:rPr>
        <w:t>le incendié durant les dernières guerres civiles, un artisan lui proposa une machine qui eût permis de transporter, à peu de frais, les colonnes au haut de la pente. Le Prince récompensa l’inventeur et refusa l’invention : « Qu’on me permette », dit-il, « de donner à manger au petit peuple »</w:t>
      </w:r>
      <w:r>
        <w:rPr>
          <w:lang w:eastAsia="fr-FR" w:bidi="fr-FR"/>
        </w:rPr>
        <w:t> </w:t>
      </w:r>
      <w:r>
        <w:rPr>
          <w:rStyle w:val="Appelnotedebasdep"/>
        </w:rPr>
        <w:footnoteReference w:id="777"/>
      </w:r>
      <w:r w:rsidRPr="000F765B">
        <w:rPr>
          <w:lang w:eastAsia="fr-FR" w:bidi="fr-FR"/>
        </w:rPr>
        <w:t xml:space="preserve">. L’anecdote est instructive, à plus d’un </w:t>
      </w:r>
      <w:r>
        <w:rPr>
          <w:lang w:eastAsia="fr-FR" w:bidi="fr-FR"/>
        </w:rPr>
        <w:t>titre. Les civ</w:t>
      </w:r>
      <w:r>
        <w:rPr>
          <w:lang w:eastAsia="fr-FR" w:bidi="fr-FR"/>
        </w:rPr>
        <w:t>i</w:t>
      </w:r>
      <w:r>
        <w:rPr>
          <w:lang w:eastAsia="fr-FR" w:bidi="fr-FR"/>
        </w:rPr>
        <w:t>lisations gréco-</w:t>
      </w:r>
      <w:r w:rsidRPr="000F765B">
        <w:rPr>
          <w:lang w:eastAsia="fr-FR" w:bidi="fr-FR"/>
        </w:rPr>
        <w:t>romaines comptaient trop d’yeux prompts et d’esprit vifs pour que leur ait été déniée la grâce de l’imagination technique : voyez, au surplus, l’ingéniosité déployée, par exemple, dans les m</w:t>
      </w:r>
      <w:r w:rsidRPr="000F765B">
        <w:rPr>
          <w:lang w:eastAsia="fr-FR" w:bidi="fr-FR"/>
        </w:rPr>
        <w:t>a</w:t>
      </w:r>
      <w:r w:rsidRPr="000F765B">
        <w:rPr>
          <w:lang w:eastAsia="fr-FR" w:bidi="fr-FR"/>
        </w:rPr>
        <w:t xml:space="preserve">chines de siège ou le chauffage des habitations. Que, d’ailleurs, tout progrès de l’outillage dût avoir pour effet de ménager l’effort des bras, les générations contemporaines des premières roues de moulin n’étaient naturellement point assez sottes pour manquer à s’en aviser. « Retenez vos mains, longtemps familières avec la meule, ô filles qui naguère broyiez le grain. </w:t>
      </w:r>
      <w:r>
        <w:rPr>
          <w:lang w:eastAsia="fr-FR" w:bidi="fr-FR"/>
        </w:rPr>
        <w:t>À</w:t>
      </w:r>
      <w:r w:rsidRPr="000F765B">
        <w:rPr>
          <w:lang w:eastAsia="fr-FR" w:bidi="fr-FR"/>
        </w:rPr>
        <w:t xml:space="preserve"> vous, désormais, les longs sommeils, d</w:t>
      </w:r>
      <w:r w:rsidRPr="000F765B">
        <w:rPr>
          <w:lang w:eastAsia="fr-FR" w:bidi="fr-FR"/>
        </w:rPr>
        <w:t>é</w:t>
      </w:r>
      <w:r w:rsidRPr="000F765B">
        <w:rPr>
          <w:lang w:eastAsia="fr-FR" w:bidi="fr-FR"/>
        </w:rPr>
        <w:t>daigneux des chants dont les coqs saluent le point du jour. Car ce qui fut votre tâche, Demèter l’a commandée aux Nymphes ». Cette ép</w:t>
      </w:r>
      <w:r w:rsidRPr="000F765B">
        <w:rPr>
          <w:lang w:eastAsia="fr-FR" w:bidi="fr-FR"/>
        </w:rPr>
        <w:t>i</w:t>
      </w:r>
      <w:r w:rsidRPr="000F765B">
        <w:rPr>
          <w:lang w:eastAsia="fr-FR" w:bidi="fr-FR"/>
        </w:rPr>
        <w:lastRenderedPageBreak/>
        <w:t xml:space="preserve">gramme de </w:t>
      </w:r>
      <w:r>
        <w:rPr>
          <w:lang w:eastAsia="fr-FR" w:bidi="fr-FR"/>
        </w:rPr>
        <w:t>l’</w:t>
      </w:r>
      <w:r w:rsidRPr="00942E8D">
        <w:rPr>
          <w:i/>
        </w:rPr>
        <w:t>Anthologie</w:t>
      </w:r>
      <w:r w:rsidRPr="000F765B">
        <w:t>,</w:t>
      </w:r>
      <w:r w:rsidRPr="000F765B">
        <w:rPr>
          <w:lang w:eastAsia="fr-FR" w:bidi="fr-FR"/>
        </w:rPr>
        <w:t xml:space="preserve"> dont on a déjà invoqué le témoignage, ne mériterait-elle point d’être choisie comme devise par une société qui du machinisme saurait enfin faire, pour les pauvres hommes, une source de joie et de dignité ? Même son de cloche, poésie en moins, chez un agronome comme Palladius</w:t>
      </w:r>
      <w:r>
        <w:rPr>
          <w:lang w:eastAsia="fr-FR" w:bidi="fr-FR"/>
        </w:rPr>
        <w:t> </w:t>
      </w:r>
      <w:r>
        <w:rPr>
          <w:rStyle w:val="Appelnotedebasdep"/>
        </w:rPr>
        <w:footnoteReference w:id="778"/>
      </w:r>
      <w:r w:rsidRPr="000F765B">
        <w:rPr>
          <w:lang w:eastAsia="fr-FR" w:bidi="fr-FR"/>
        </w:rPr>
        <w:t xml:space="preserve">. Bien plus tard et sous de tout autres </w:t>
      </w:r>
      <w:r>
        <w:rPr>
          <w:lang w:eastAsia="fr-FR" w:bidi="fr-FR"/>
        </w:rPr>
        <w:t>cie</w:t>
      </w:r>
      <w:r w:rsidRPr="000F765B">
        <w:rPr>
          <w:lang w:eastAsia="fr-FR" w:bidi="fr-FR"/>
        </w:rPr>
        <w:t>ux, la légende irlandaise placera à l’origine du premier mo</w:t>
      </w:r>
      <w:r w:rsidRPr="000F765B">
        <w:rPr>
          <w:lang w:eastAsia="fr-FR" w:bidi="fr-FR"/>
        </w:rPr>
        <w:t>u</w:t>
      </w:r>
      <w:r w:rsidRPr="000F765B">
        <w:rPr>
          <w:lang w:eastAsia="fr-FR" w:bidi="fr-FR"/>
        </w:rPr>
        <w:t>lin à eau l’amour d’un roi pour une belle captive ; à sa maîtresse e</w:t>
      </w:r>
      <w:r w:rsidRPr="000F765B">
        <w:rPr>
          <w:lang w:eastAsia="fr-FR" w:bidi="fr-FR"/>
        </w:rPr>
        <w:t>n</w:t>
      </w:r>
      <w:r w:rsidRPr="000F765B">
        <w:rPr>
          <w:lang w:eastAsia="fr-FR" w:bidi="fr-FR"/>
        </w:rPr>
        <w:t>ceinte, il voulut, dit-on, épargner la fatigue de la meule</w:t>
      </w:r>
      <w:r>
        <w:rPr>
          <w:lang w:eastAsia="fr-FR" w:bidi="fr-FR"/>
        </w:rPr>
        <w:t> </w:t>
      </w:r>
      <w:r>
        <w:rPr>
          <w:rStyle w:val="Appelnotedebasdep"/>
        </w:rPr>
        <w:footnoteReference w:id="779"/>
      </w:r>
      <w:r w:rsidRPr="000F765B">
        <w:rPr>
          <w:lang w:eastAsia="fr-FR" w:bidi="fr-FR"/>
        </w:rPr>
        <w:t>. Mais cette économie de force humaine était précisément ce dont le monde ant</w:t>
      </w:r>
      <w:r w:rsidRPr="000F765B">
        <w:rPr>
          <w:lang w:eastAsia="fr-FR" w:bidi="fr-FR"/>
        </w:rPr>
        <w:t>i</w:t>
      </w:r>
      <w:r w:rsidRPr="000F765B">
        <w:rPr>
          <w:lang w:eastAsia="fr-FR" w:bidi="fr-FR"/>
        </w:rPr>
        <w:t>que n’éprouvait guère le besoin. Parce que, vers le début de l’ère chr</w:t>
      </w:r>
      <w:r w:rsidRPr="000F765B">
        <w:rPr>
          <w:lang w:eastAsia="fr-FR" w:bidi="fr-FR"/>
        </w:rPr>
        <w:t>é</w:t>
      </w:r>
      <w:r w:rsidRPr="000F765B">
        <w:rPr>
          <w:lang w:eastAsia="fr-FR" w:bidi="fr-FR"/>
        </w:rPr>
        <w:t>tienne, il était, relativement aux possibilités de son agriculture, abo</w:t>
      </w:r>
      <w:r w:rsidRPr="000F765B">
        <w:rPr>
          <w:lang w:eastAsia="fr-FR" w:bidi="fr-FR"/>
        </w:rPr>
        <w:t>n</w:t>
      </w:r>
      <w:r w:rsidRPr="000F765B">
        <w:rPr>
          <w:lang w:eastAsia="fr-FR" w:bidi="fr-FR"/>
        </w:rPr>
        <w:t>damment peuplé. Parce que, surtout, ces tâches grossières dont l’accomplissement eût paru, en lui-même, susceptible d’être remis aux forces inconscientes de la nature, l’habitude était alors de les dema</w:t>
      </w:r>
      <w:r w:rsidRPr="000F765B">
        <w:rPr>
          <w:lang w:eastAsia="fr-FR" w:bidi="fr-FR"/>
        </w:rPr>
        <w:t>n</w:t>
      </w:r>
      <w:r w:rsidRPr="000F765B">
        <w:rPr>
          <w:lang w:eastAsia="fr-FR" w:bidi="fr-FR"/>
        </w:rPr>
        <w:t>der à une main-d’œuvre qui se rangeait parmi les denrées les moins rares comme les moins chères de l’époque. Car, bien entendu, le cas des travaux du Capitole était exceptionnel. Hypertrophiée par rapport à sa fonction économique, Rome voyait s’agiter dans ses rues un pr</w:t>
      </w:r>
      <w:r w:rsidRPr="000F765B">
        <w:rPr>
          <w:lang w:eastAsia="fr-FR" w:bidi="fr-FR"/>
        </w:rPr>
        <w:t>o</w:t>
      </w:r>
      <w:r w:rsidRPr="000F765B">
        <w:rPr>
          <w:lang w:eastAsia="fr-FR" w:bidi="fr-FR"/>
        </w:rPr>
        <w:t>létariat famélique que les gouvernants étaient trop heureux d’aider à vivre en l’employant dans leurs chantiers. Ces gens-là n’eussent point accepté de pousser la meule ; et c’est pourquoi, sans doute, la plupart des moulins de la Ville étaient actionnés par des chevaux. Ailleurs, sur les grands domaines, notamment, qui couvraient l’Italie et bea</w:t>
      </w:r>
      <w:r w:rsidRPr="000F765B">
        <w:rPr>
          <w:lang w:eastAsia="fr-FR" w:bidi="fr-FR"/>
        </w:rPr>
        <w:t>u</w:t>
      </w:r>
      <w:r w:rsidRPr="000F765B">
        <w:rPr>
          <w:lang w:eastAsia="fr-FR" w:bidi="fr-FR"/>
        </w:rPr>
        <w:t>coup de provinces, ce n’étaient ni des salariés ni même ordinairement des chevaux ou des ânes qui tournaient les meules ou bien</w:t>
      </w:r>
      <w:r>
        <w:rPr>
          <w:lang w:eastAsia="fr-FR" w:bidi="fr-FR"/>
        </w:rPr>
        <w:t> — </w:t>
      </w:r>
      <w:r w:rsidRPr="000F765B">
        <w:rPr>
          <w:lang w:eastAsia="fr-FR" w:bidi="fr-FR"/>
        </w:rPr>
        <w:t>comme l’atteste Pline,</w:t>
      </w:r>
      <w:r>
        <w:rPr>
          <w:lang w:eastAsia="fr-FR" w:bidi="fr-FR"/>
        </w:rPr>
        <w:t xml:space="preserve"> </w:t>
      </w:r>
      <w:r>
        <w:t xml:space="preserve">[808] </w:t>
      </w:r>
      <w:r w:rsidRPr="000F765B">
        <w:rPr>
          <w:lang w:eastAsia="fr-FR" w:bidi="fr-FR"/>
        </w:rPr>
        <w:t>en un geste plus primitif encore,</w:t>
      </w:r>
      <w:r>
        <w:rPr>
          <w:lang w:eastAsia="fr-FR" w:bidi="fr-FR"/>
        </w:rPr>
        <w:t> — </w:t>
      </w:r>
      <w:r w:rsidRPr="000F765B">
        <w:rPr>
          <w:lang w:eastAsia="fr-FR" w:bidi="fr-FR"/>
        </w:rPr>
        <w:t>pilaient les grains dans le vieux mortier</w:t>
      </w:r>
      <w:r>
        <w:rPr>
          <w:lang w:eastAsia="fr-FR" w:bidi="fr-FR"/>
        </w:rPr>
        <w:t> </w:t>
      </w:r>
      <w:r>
        <w:rPr>
          <w:rStyle w:val="Appelnotedebasdep"/>
        </w:rPr>
        <w:footnoteReference w:id="780"/>
      </w:r>
      <w:r w:rsidRPr="000F765B">
        <w:rPr>
          <w:lang w:eastAsia="fr-FR" w:bidi="fr-FR"/>
        </w:rPr>
        <w:t xml:space="preserve">. Ce dur labeur était chose d’esclaves : d’hommes parfois, de femmes plus souvent, sœurs de ces servantes auxquelles le poète de </w:t>
      </w:r>
      <w:r>
        <w:rPr>
          <w:lang w:eastAsia="fr-FR" w:bidi="fr-FR"/>
        </w:rPr>
        <w:t>l’</w:t>
      </w:r>
      <w:r w:rsidRPr="00DF6F4C">
        <w:rPr>
          <w:i/>
        </w:rPr>
        <w:t>Anthologi</w:t>
      </w:r>
      <w:r w:rsidRPr="000F765B">
        <w:t xml:space="preserve">e </w:t>
      </w:r>
      <w:r w:rsidRPr="000F765B">
        <w:rPr>
          <w:lang w:eastAsia="fr-FR" w:bidi="fr-FR"/>
        </w:rPr>
        <w:t>miséricordieusement promettait le sommeil. Moins te</w:t>
      </w:r>
      <w:r w:rsidRPr="000F765B">
        <w:rPr>
          <w:lang w:eastAsia="fr-FR" w:bidi="fr-FR"/>
        </w:rPr>
        <w:t>n</w:t>
      </w:r>
      <w:r w:rsidRPr="000F765B">
        <w:rPr>
          <w:lang w:eastAsia="fr-FR" w:bidi="fr-FR"/>
        </w:rPr>
        <w:t xml:space="preserve">dres aux peines des humbles, les seigneurs des </w:t>
      </w:r>
      <w:r w:rsidRPr="00B1510E">
        <w:rPr>
          <w:i/>
        </w:rPr>
        <w:t>latifundia</w:t>
      </w:r>
      <w:r w:rsidRPr="000F765B">
        <w:rPr>
          <w:lang w:eastAsia="fr-FR" w:bidi="fr-FR"/>
        </w:rPr>
        <w:t xml:space="preserve"> n’avaient aucune raison d’établir des machines coûteuses, alors que les marchés et leurs maisons mêmes regorgeaient de bétail humain. Quant aux plus modestes ménages et aux boulangers, qui eussent été, en tout état de cause, incapables d’engager d’aussi lourdes dépenses, beaucoup c</w:t>
      </w:r>
      <w:r w:rsidRPr="000F765B">
        <w:rPr>
          <w:lang w:eastAsia="fr-FR" w:bidi="fr-FR"/>
        </w:rPr>
        <w:t>e</w:t>
      </w:r>
      <w:r w:rsidRPr="000F765B">
        <w:rPr>
          <w:lang w:eastAsia="fr-FR" w:bidi="fr-FR"/>
        </w:rPr>
        <w:t xml:space="preserve">pendant n’étaient pas si dépourvus qu’ils </w:t>
      </w:r>
      <w:r w:rsidRPr="000F765B">
        <w:rPr>
          <w:lang w:eastAsia="fr-FR" w:bidi="fr-FR"/>
        </w:rPr>
        <w:lastRenderedPageBreak/>
        <w:t>n’eussent aussi leurs escl</w:t>
      </w:r>
      <w:r w:rsidRPr="000F765B">
        <w:rPr>
          <w:lang w:eastAsia="fr-FR" w:bidi="fr-FR"/>
        </w:rPr>
        <w:t>a</w:t>
      </w:r>
      <w:r w:rsidRPr="000F765B">
        <w:rPr>
          <w:lang w:eastAsia="fr-FR" w:bidi="fr-FR"/>
        </w:rPr>
        <w:t>ves domest</w:t>
      </w:r>
      <w:r>
        <w:rPr>
          <w:lang w:eastAsia="fr-FR" w:bidi="fr-FR"/>
        </w:rPr>
        <w:t>iques ; ou bien on était à soi-</w:t>
      </w:r>
      <w:r w:rsidRPr="000F765B">
        <w:rPr>
          <w:lang w:eastAsia="fr-FR" w:bidi="fr-FR"/>
        </w:rPr>
        <w:t>même son propre ouvrier. Sans doute, dans les grandes villes, comme Rome, les moulins à eau eussent rendu bien des services. Mais on le sait, de reste, une invention ne se répand guère que si la nécessité s</w:t>
      </w:r>
      <w:r w:rsidRPr="000F765B">
        <w:rPr>
          <w:lang w:eastAsia="fr-FR" w:bidi="fr-FR"/>
        </w:rPr>
        <w:t>o</w:t>
      </w:r>
      <w:r w:rsidRPr="000F765B">
        <w:rPr>
          <w:lang w:eastAsia="fr-FR" w:bidi="fr-FR"/>
        </w:rPr>
        <w:t>ciale en est largement ressentie : ne serait-ce que parce qu’alors se</w:t>
      </w:r>
      <w:r w:rsidRPr="000F765B">
        <w:rPr>
          <w:lang w:eastAsia="fr-FR" w:bidi="fr-FR"/>
        </w:rPr>
        <w:t>u</w:t>
      </w:r>
      <w:r w:rsidRPr="000F765B">
        <w:rPr>
          <w:lang w:eastAsia="fr-FR" w:bidi="fr-FR"/>
        </w:rPr>
        <w:t>lement la construction devient affaire de routine.</w:t>
      </w:r>
    </w:p>
    <w:p w14:paraId="013F7FBC" w14:textId="77777777" w:rsidR="00B9662D" w:rsidRPr="000F765B" w:rsidRDefault="00B9662D" w:rsidP="00B9662D">
      <w:pPr>
        <w:spacing w:before="120" w:after="120"/>
        <w:jc w:val="both"/>
      </w:pPr>
      <w:r w:rsidRPr="000F765B">
        <w:rPr>
          <w:lang w:eastAsia="fr-FR" w:bidi="fr-FR"/>
        </w:rPr>
        <w:t>Or cette nécessité justement se fit jour vers la fin de l’Empire. Fl</w:t>
      </w:r>
      <w:r w:rsidRPr="000F765B">
        <w:rPr>
          <w:lang w:eastAsia="fr-FR" w:bidi="fr-FR"/>
        </w:rPr>
        <w:t>é</w:t>
      </w:r>
      <w:r w:rsidRPr="000F765B">
        <w:rPr>
          <w:lang w:eastAsia="fr-FR" w:bidi="fr-FR"/>
        </w:rPr>
        <w:t>chissement général de la population ; restrictions, en particulier, dans l’approvisionnement en main-d’œuvre servile ; tendance enfin, ayant dissous les grandes équipes d’esclaves naguère nourries directement par le maître, à en disperser les membres sur des tenures détachées du domaine : ce n’est pas ici le lieu de scruter les causes de ces phén</w:t>
      </w:r>
      <w:r w:rsidRPr="000F765B">
        <w:rPr>
          <w:lang w:eastAsia="fr-FR" w:bidi="fr-FR"/>
        </w:rPr>
        <w:t>o</w:t>
      </w:r>
      <w:r w:rsidRPr="000F765B">
        <w:rPr>
          <w:lang w:eastAsia="fr-FR" w:bidi="fr-FR"/>
        </w:rPr>
        <w:t>mènes. Il nous suffit de les prendre pour ce qu’ils sont, incontestabl</w:t>
      </w:r>
      <w:r w:rsidRPr="000F765B">
        <w:rPr>
          <w:lang w:eastAsia="fr-FR" w:bidi="fr-FR"/>
        </w:rPr>
        <w:t>e</w:t>
      </w:r>
      <w:r w:rsidRPr="000F765B">
        <w:rPr>
          <w:lang w:eastAsia="fr-FR" w:bidi="fr-FR"/>
        </w:rPr>
        <w:t>ment : des faits, parmi les plus considérables qui, en ces temps inte</w:t>
      </w:r>
      <w:r w:rsidRPr="000F765B">
        <w:rPr>
          <w:lang w:eastAsia="fr-FR" w:bidi="fr-FR"/>
        </w:rPr>
        <w:t>r</w:t>
      </w:r>
      <w:r w:rsidRPr="000F765B">
        <w:rPr>
          <w:lang w:eastAsia="fr-FR" w:bidi="fr-FR"/>
        </w:rPr>
        <w:t xml:space="preserve">médiaires entre l’Antiquité et le Moyen </w:t>
      </w:r>
      <w:r>
        <w:rPr>
          <w:lang w:eastAsia="fr-FR" w:bidi="fr-FR"/>
        </w:rPr>
        <w:t>Â</w:t>
      </w:r>
      <w:r w:rsidRPr="000F765B">
        <w:rPr>
          <w:lang w:eastAsia="fr-FR" w:bidi="fr-FR"/>
        </w:rPr>
        <w:t>ge, aient dominé l’évolution des sociétés européennes. Que les hommes aient alors commencé à manquer aux meules, la preuve en est qu’on s’avisa d’abord de su</w:t>
      </w:r>
      <w:r w:rsidRPr="000F765B">
        <w:rPr>
          <w:lang w:eastAsia="fr-FR" w:bidi="fr-FR"/>
        </w:rPr>
        <w:t>p</w:t>
      </w:r>
      <w:r w:rsidRPr="000F765B">
        <w:rPr>
          <w:lang w:eastAsia="fr-FR" w:bidi="fr-FR"/>
        </w:rPr>
        <w:t>pléer aux esclaves par les condamnés. Ceux-ci ne servaient guère ju</w:t>
      </w:r>
      <w:r w:rsidRPr="000F765B">
        <w:rPr>
          <w:lang w:eastAsia="fr-FR" w:bidi="fr-FR"/>
        </w:rPr>
        <w:t>s</w:t>
      </w:r>
      <w:r w:rsidRPr="000F765B">
        <w:rPr>
          <w:lang w:eastAsia="fr-FR" w:bidi="fr-FR"/>
        </w:rPr>
        <w:t>que-là que dans les mines. Pour la première fois, Constantin à cette vieille peine ajouta celle des travaux forcés dans les moulins p</w:t>
      </w:r>
      <w:r w:rsidRPr="000F765B">
        <w:rPr>
          <w:lang w:eastAsia="fr-FR" w:bidi="fr-FR"/>
        </w:rPr>
        <w:t>u</w:t>
      </w:r>
      <w:r w:rsidRPr="000F765B">
        <w:rPr>
          <w:lang w:eastAsia="fr-FR" w:bidi="fr-FR"/>
        </w:rPr>
        <w:t>blics</w:t>
      </w:r>
      <w:r>
        <w:rPr>
          <w:lang w:eastAsia="fr-FR" w:bidi="fr-FR"/>
        </w:rPr>
        <w:t> </w:t>
      </w:r>
      <w:r>
        <w:rPr>
          <w:rStyle w:val="Appelnotedebasdep"/>
        </w:rPr>
        <w:footnoteReference w:id="781"/>
      </w:r>
      <w:r w:rsidRPr="000F765B">
        <w:rPr>
          <w:lang w:eastAsia="fr-FR" w:bidi="fr-FR"/>
        </w:rPr>
        <w:t> : palliatif d’application évidemment restreinte et, dans ce champ même, insuffisant. Mieux valait se tourner vers la machine, depuis longtemps imaginée, mais demeurée d’exploitation très inco</w:t>
      </w:r>
      <w:r w:rsidRPr="000F765B">
        <w:rPr>
          <w:lang w:eastAsia="fr-FR" w:bidi="fr-FR"/>
        </w:rPr>
        <w:t>m</w:t>
      </w:r>
      <w:r w:rsidRPr="000F765B">
        <w:rPr>
          <w:lang w:eastAsia="fr-FR" w:bidi="fr-FR"/>
        </w:rPr>
        <w:t>plète. Ce qu’on fit, en effet, nous le savons. L’invention était née peut-être d’un éclair de génie individuel. Le progrès effectif, qui fut d’utiliser l’idée, ne s’opéra que sous la pression des forces sociales. C’est parce que ces deux étapes y apparaissent si nettement tranchées que l’histoire du moulin à eau prend, au regard de l’évolution générale des techniques, toute la valeur d’une expérience spontanée ; elle gro</w:t>
      </w:r>
      <w:r w:rsidRPr="000F765B">
        <w:rPr>
          <w:lang w:eastAsia="fr-FR" w:bidi="fr-FR"/>
        </w:rPr>
        <w:t>s</w:t>
      </w:r>
      <w:r w:rsidRPr="000F765B">
        <w:rPr>
          <w:lang w:eastAsia="fr-FR" w:bidi="fr-FR"/>
        </w:rPr>
        <w:t>sit des traits presque universels.</w:t>
      </w:r>
    </w:p>
    <w:p w14:paraId="7C140564" w14:textId="77777777" w:rsidR="00B9662D" w:rsidRDefault="00B9662D" w:rsidP="00B9662D">
      <w:pPr>
        <w:spacing w:before="120" w:after="120"/>
        <w:jc w:val="both"/>
        <w:rPr>
          <w:lang w:eastAsia="fr-FR" w:bidi="fr-FR"/>
        </w:rPr>
      </w:pPr>
      <w:r>
        <w:rPr>
          <w:lang w:eastAsia="fr-FR" w:bidi="fr-FR"/>
        </w:rPr>
        <w:br w:type="page"/>
      </w:r>
    </w:p>
    <w:p w14:paraId="271FD314" w14:textId="77777777" w:rsidR="00B9662D" w:rsidRPr="000F765B" w:rsidRDefault="00B9662D" w:rsidP="00B9662D">
      <w:pPr>
        <w:pStyle w:val="planche"/>
      </w:pPr>
      <w:r w:rsidRPr="000F765B">
        <w:t>III</w:t>
      </w:r>
    </w:p>
    <w:p w14:paraId="0AF16DFA" w14:textId="77777777" w:rsidR="00B9662D" w:rsidRDefault="00B9662D" w:rsidP="00B9662D">
      <w:pPr>
        <w:spacing w:before="120" w:after="120"/>
        <w:jc w:val="both"/>
        <w:rPr>
          <w:lang w:eastAsia="fr-FR" w:bidi="fr-FR"/>
        </w:rPr>
      </w:pPr>
    </w:p>
    <w:p w14:paraId="6B14BCC6" w14:textId="77777777" w:rsidR="00B9662D" w:rsidRPr="000F765B" w:rsidRDefault="00B9662D" w:rsidP="00B9662D">
      <w:pPr>
        <w:spacing w:before="120" w:after="120"/>
        <w:jc w:val="both"/>
      </w:pPr>
      <w:r w:rsidRPr="000F765B">
        <w:rPr>
          <w:lang w:eastAsia="fr-FR" w:bidi="fr-FR"/>
        </w:rPr>
        <w:t>Gardons-nous, cependant, d’imaginer une conquête d’un coup a</w:t>
      </w:r>
      <w:r w:rsidRPr="000F765B">
        <w:rPr>
          <w:lang w:eastAsia="fr-FR" w:bidi="fr-FR"/>
        </w:rPr>
        <w:t>c</w:t>
      </w:r>
      <w:r w:rsidRPr="000F765B">
        <w:rPr>
          <w:lang w:eastAsia="fr-FR" w:bidi="fr-FR"/>
        </w:rPr>
        <w:t>complie. Avant de battre définitivement en retraite devant le moulin hydraulique ou, plus tard, le moulin à vent, voire</w:t>
      </w:r>
      <w:r>
        <w:rPr>
          <w:lang w:eastAsia="fr-FR" w:bidi="fr-FR"/>
        </w:rPr>
        <w:t> — </w:t>
      </w:r>
      <w:r w:rsidRPr="000F765B">
        <w:rPr>
          <w:lang w:eastAsia="fr-FR" w:bidi="fr-FR"/>
        </w:rPr>
        <w:t>car par endroits la lutte se poursuivit jusque-là</w:t>
      </w:r>
      <w:r>
        <w:rPr>
          <w:lang w:eastAsia="fr-FR" w:bidi="fr-FR"/>
        </w:rPr>
        <w:t> — </w:t>
      </w:r>
      <w:r w:rsidRPr="000F765B">
        <w:rPr>
          <w:lang w:eastAsia="fr-FR" w:bidi="fr-FR"/>
        </w:rPr>
        <w:t>devant la minoterie à la vapeur, les antiques procédés de mouture par la force animale ou humaine d</w:t>
      </w:r>
      <w:r w:rsidRPr="000F765B">
        <w:rPr>
          <w:lang w:eastAsia="fr-FR" w:bidi="fr-FR"/>
        </w:rPr>
        <w:t>e</w:t>
      </w:r>
      <w:r w:rsidRPr="000F765B">
        <w:rPr>
          <w:lang w:eastAsia="fr-FR" w:bidi="fr-FR"/>
        </w:rPr>
        <w:t>vaient fournir</w:t>
      </w:r>
      <w:r>
        <w:t xml:space="preserve"> [</w:t>
      </w:r>
      <w:r w:rsidRPr="000F765B">
        <w:rPr>
          <w:lang w:eastAsia="fr-FR" w:bidi="fr-FR"/>
        </w:rPr>
        <w:t>809</w:t>
      </w:r>
      <w:r>
        <w:rPr>
          <w:lang w:eastAsia="fr-FR" w:bidi="fr-FR"/>
        </w:rPr>
        <w:t xml:space="preserve">] </w:t>
      </w:r>
      <w:r w:rsidRPr="000F765B">
        <w:rPr>
          <w:lang w:eastAsia="fr-FR" w:bidi="fr-FR"/>
        </w:rPr>
        <w:t>encore une longue carrière, traversée d’âpres conflits sociaux. Sur cette histoire, dont l’esquisse va être tentée, pèse malheureusement une grave obscurité.</w:t>
      </w:r>
    </w:p>
    <w:p w14:paraId="159AF789" w14:textId="77777777" w:rsidR="00B9662D" w:rsidRPr="000F765B" w:rsidRDefault="00B9662D" w:rsidP="00B9662D">
      <w:pPr>
        <w:spacing w:before="120" w:after="120"/>
        <w:jc w:val="both"/>
      </w:pPr>
      <w:r w:rsidRPr="000F765B">
        <w:rPr>
          <w:lang w:eastAsia="fr-FR" w:bidi="fr-FR"/>
        </w:rPr>
        <w:t>Moulins à main, grains broyés à bras d’homme : ces expressions, dont les textes se servent couramment, sont ambiguës. Laissons le rouleau de pierre qui ne paraît pas avoir été longtemps employé dans l’Occident. Restent le mortier et la meule tournante. De ces deux in</w:t>
      </w:r>
      <w:r w:rsidRPr="000F765B">
        <w:rPr>
          <w:lang w:eastAsia="fr-FR" w:bidi="fr-FR"/>
        </w:rPr>
        <w:t>s</w:t>
      </w:r>
      <w:r w:rsidRPr="000F765B">
        <w:rPr>
          <w:lang w:eastAsia="fr-FR" w:bidi="fr-FR"/>
        </w:rPr>
        <w:t>truments, l’un encore très rudimentaire, l’autre déjà beaucoup plus évolué, comment déterminer chaque fois celui auquel se réfère le te</w:t>
      </w:r>
      <w:r w:rsidRPr="000F765B">
        <w:rPr>
          <w:lang w:eastAsia="fr-FR" w:bidi="fr-FR"/>
        </w:rPr>
        <w:t>x</w:t>
      </w:r>
      <w:r w:rsidRPr="000F765B">
        <w:rPr>
          <w:lang w:eastAsia="fr-FR" w:bidi="fr-FR"/>
        </w:rPr>
        <w:t>te ? Mettre et maintenir en mouvement une pierre épaisse est un tr</w:t>
      </w:r>
      <w:r w:rsidRPr="000F765B">
        <w:rPr>
          <w:lang w:eastAsia="fr-FR" w:bidi="fr-FR"/>
        </w:rPr>
        <w:t>a</w:t>
      </w:r>
      <w:r w:rsidRPr="000F765B">
        <w:rPr>
          <w:lang w:eastAsia="fr-FR" w:bidi="fr-FR"/>
        </w:rPr>
        <w:t>vail si dur que là où on nous montre une femme occupée à moudre, on pourrait être tenté de le croire hors de question. Il n’en est rien cepe</w:t>
      </w:r>
      <w:r w:rsidRPr="000F765B">
        <w:rPr>
          <w:lang w:eastAsia="fr-FR" w:bidi="fr-FR"/>
        </w:rPr>
        <w:t>n</w:t>
      </w:r>
      <w:r w:rsidRPr="000F765B">
        <w:rPr>
          <w:lang w:eastAsia="fr-FR" w:bidi="fr-FR"/>
        </w:rPr>
        <w:t>dant : car divers récits, exceptionnellement sans équivoque, dépe</w:t>
      </w:r>
      <w:r w:rsidRPr="000F765B">
        <w:rPr>
          <w:lang w:eastAsia="fr-FR" w:bidi="fr-FR"/>
        </w:rPr>
        <w:t>i</w:t>
      </w:r>
      <w:r w:rsidRPr="000F765B">
        <w:rPr>
          <w:lang w:eastAsia="fr-FR" w:bidi="fr-FR"/>
        </w:rPr>
        <w:t>gnent des esclaves ou des ménagères qui « poussent » ou « font tou</w:t>
      </w:r>
      <w:r w:rsidRPr="000F765B">
        <w:rPr>
          <w:lang w:eastAsia="fr-FR" w:bidi="fr-FR"/>
        </w:rPr>
        <w:t>r</w:t>
      </w:r>
      <w:r w:rsidRPr="000F765B">
        <w:rPr>
          <w:lang w:eastAsia="fr-FR" w:bidi="fr-FR"/>
        </w:rPr>
        <w:t>ner » la meule</w:t>
      </w:r>
      <w:r>
        <w:rPr>
          <w:lang w:eastAsia="fr-FR" w:bidi="fr-FR"/>
        </w:rPr>
        <w:t> </w:t>
      </w:r>
      <w:r>
        <w:rPr>
          <w:rStyle w:val="Appelnotedebasdep"/>
        </w:rPr>
        <w:footnoteReference w:id="782"/>
      </w:r>
      <w:r w:rsidRPr="000F765B">
        <w:rPr>
          <w:lang w:eastAsia="fr-FR" w:bidi="fr-FR"/>
        </w:rPr>
        <w:t xml:space="preserve">. Aussi bien, aux lourdes </w:t>
      </w:r>
      <w:r w:rsidRPr="00DF6F4C">
        <w:rPr>
          <w:i/>
        </w:rPr>
        <w:t>molae trusatiles</w:t>
      </w:r>
      <w:r w:rsidRPr="000F765B">
        <w:rPr>
          <w:lang w:eastAsia="fr-FR" w:bidi="fr-FR"/>
        </w:rPr>
        <w:t xml:space="preserve"> des premiers temps romains, qu’on n’acceptait si pesantes que parce que, réservées d’abord aux maisons des riches, elles y étaient mues par des esclaves ou des chevaux, on avait bientôt, dès l’Antiquité même, à mesure que la meule rotative pénétrait les plus humbles demeures, substitué, dans l’usage domestique, des modèles plus petits, plus faibles et plus l</w:t>
      </w:r>
      <w:r w:rsidRPr="000F765B">
        <w:rPr>
          <w:lang w:eastAsia="fr-FR" w:bidi="fr-FR"/>
        </w:rPr>
        <w:t>é</w:t>
      </w:r>
      <w:r w:rsidRPr="000F765B">
        <w:rPr>
          <w:lang w:eastAsia="fr-FR" w:bidi="fr-FR"/>
        </w:rPr>
        <w:t>gers</w:t>
      </w:r>
      <w:r>
        <w:rPr>
          <w:lang w:eastAsia="fr-FR" w:bidi="fr-FR"/>
        </w:rPr>
        <w:t> </w:t>
      </w:r>
      <w:r>
        <w:rPr>
          <w:rStyle w:val="Appelnotedebasdep"/>
        </w:rPr>
        <w:footnoteReference w:id="783"/>
      </w:r>
      <w:r w:rsidRPr="000F765B">
        <w:rPr>
          <w:lang w:eastAsia="fr-FR" w:bidi="fr-FR"/>
        </w:rPr>
        <w:t xml:space="preserve">. Pris à la rigueur, des mots tels que </w:t>
      </w:r>
      <w:r w:rsidRPr="00DF6F4C">
        <w:rPr>
          <w:i/>
        </w:rPr>
        <w:t>manumolae</w:t>
      </w:r>
      <w:r w:rsidRPr="000F765B">
        <w:rPr>
          <w:lang w:eastAsia="fr-FR" w:bidi="fr-FR"/>
        </w:rPr>
        <w:t xml:space="preserve"> évoquent l’idée d’une meule plutôt que d’un mortier. Mais comment accorder bea</w:t>
      </w:r>
      <w:r w:rsidRPr="000F765B">
        <w:rPr>
          <w:lang w:eastAsia="fr-FR" w:bidi="fr-FR"/>
        </w:rPr>
        <w:t>u</w:t>
      </w:r>
      <w:r w:rsidRPr="000F765B">
        <w:rPr>
          <w:lang w:eastAsia="fr-FR" w:bidi="fr-FR"/>
        </w:rPr>
        <w:t xml:space="preserve">coup de confiance à l’exactitude d’un vocabulaire </w:t>
      </w:r>
      <w:r w:rsidRPr="000F765B">
        <w:rPr>
          <w:lang w:eastAsia="fr-FR" w:bidi="fr-FR"/>
        </w:rPr>
        <w:lastRenderedPageBreak/>
        <w:t>que nous savons, par ailleurs, si flou ? Tout au plus le langage des textes, les rapports de certains voyageurs, en des périodes proches de nous, les témoignages de quelques rares objets, qui n’ont malheureusement jamais été inve</w:t>
      </w:r>
      <w:r w:rsidRPr="000F765B">
        <w:rPr>
          <w:lang w:eastAsia="fr-FR" w:bidi="fr-FR"/>
        </w:rPr>
        <w:t>n</w:t>
      </w:r>
      <w:r w:rsidRPr="000F765B">
        <w:rPr>
          <w:lang w:eastAsia="fr-FR" w:bidi="fr-FR"/>
        </w:rPr>
        <w:t>toriés, donnent-ils l’impression que la meule peu à peu élimina le vieil outil préhistorique qui l’avait de si loin précédée. Pour les époques anciennes, mieux vaut avouer résolument notre ignorance : bel exe</w:t>
      </w:r>
      <w:r w:rsidRPr="000F765B">
        <w:rPr>
          <w:lang w:eastAsia="fr-FR" w:bidi="fr-FR"/>
        </w:rPr>
        <w:t>m</w:t>
      </w:r>
      <w:r w:rsidRPr="000F765B">
        <w:rPr>
          <w:lang w:eastAsia="fr-FR" w:bidi="fr-FR"/>
        </w:rPr>
        <w:t>ple, en vérité, des difficultés qui, dès qu’il s’efforce de serrer de près les faits, guettent l’historien des techniques. Par ailleurs, les vieux t</w:t>
      </w:r>
      <w:r w:rsidRPr="000F765B">
        <w:rPr>
          <w:lang w:eastAsia="fr-FR" w:bidi="fr-FR"/>
        </w:rPr>
        <w:t>y</w:t>
      </w:r>
      <w:r w:rsidRPr="000F765B">
        <w:rPr>
          <w:lang w:eastAsia="fr-FR" w:bidi="fr-FR"/>
        </w:rPr>
        <w:t xml:space="preserve">pes de moulins, transmis par l’Antiquité au Moyen </w:t>
      </w:r>
      <w:r>
        <w:rPr>
          <w:lang w:eastAsia="fr-FR" w:bidi="fr-FR"/>
        </w:rPr>
        <w:t>Â</w:t>
      </w:r>
      <w:r w:rsidRPr="000F765B">
        <w:rPr>
          <w:lang w:eastAsia="fr-FR" w:bidi="fr-FR"/>
        </w:rPr>
        <w:t>ge, ne demeur</w:t>
      </w:r>
      <w:r w:rsidRPr="000F765B">
        <w:rPr>
          <w:lang w:eastAsia="fr-FR" w:bidi="fr-FR"/>
        </w:rPr>
        <w:t>è</w:t>
      </w:r>
      <w:r w:rsidRPr="000F765B">
        <w:rPr>
          <w:lang w:eastAsia="fr-FR" w:bidi="fr-FR"/>
        </w:rPr>
        <w:t>rent point assurément, durant tant de siècles écoulés, sans perfectio</w:t>
      </w:r>
      <w:r w:rsidRPr="000F765B">
        <w:rPr>
          <w:lang w:eastAsia="fr-FR" w:bidi="fr-FR"/>
        </w:rPr>
        <w:t>n</w:t>
      </w:r>
      <w:r w:rsidRPr="000F765B">
        <w:rPr>
          <w:lang w:eastAsia="fr-FR" w:bidi="fr-FR"/>
        </w:rPr>
        <w:t>nements. Cela, quel qu’en fût le moteur. Par un curieux emprunt de l’appareil le plus ancien au plus jeune, les meules à bras ou à chevaux semblent avoir été quelquefois munies d’un système d’engrenages</w:t>
      </w:r>
      <w:r>
        <w:rPr>
          <w:lang w:eastAsia="fr-FR" w:bidi="fr-FR"/>
        </w:rPr>
        <w:t> </w:t>
      </w:r>
      <w:r>
        <w:rPr>
          <w:rStyle w:val="Appelnotedebasdep"/>
        </w:rPr>
        <w:footnoteReference w:id="784"/>
      </w:r>
      <w:r w:rsidRPr="000F765B">
        <w:rPr>
          <w:lang w:eastAsia="fr-FR" w:bidi="fr-FR"/>
        </w:rPr>
        <w:t>. Mais ici encore nos sources nous laissent presque toujours dans l’embarras. Force sera donc, dans ce qui va suivre, par un schémati</w:t>
      </w:r>
      <w:r w:rsidRPr="000F765B">
        <w:rPr>
          <w:lang w:eastAsia="fr-FR" w:bidi="fr-FR"/>
        </w:rPr>
        <w:t>s</w:t>
      </w:r>
      <w:r w:rsidRPr="000F765B">
        <w:rPr>
          <w:lang w:eastAsia="fr-FR" w:bidi="fr-FR"/>
        </w:rPr>
        <w:t>me fâcheux autant que nécessaire, d’opposer simplement les divers types d’instruments selon la nature de leur énergie motrice</w:t>
      </w:r>
      <w:r>
        <w:rPr>
          <w:lang w:eastAsia="fr-FR" w:bidi="fr-FR"/>
        </w:rPr>
        <w:t> </w:t>
      </w:r>
      <w:r>
        <w:rPr>
          <w:rStyle w:val="Appelnotedebasdep"/>
        </w:rPr>
        <w:footnoteReference w:id="785"/>
      </w:r>
      <w:r w:rsidRPr="000F765B">
        <w:rPr>
          <w:lang w:eastAsia="fr-FR" w:bidi="fr-FR"/>
        </w:rPr>
        <w:t>.</w:t>
      </w:r>
    </w:p>
    <w:p w14:paraId="75170321" w14:textId="77777777" w:rsidR="00B9662D" w:rsidRPr="000F765B" w:rsidRDefault="00B9662D" w:rsidP="00B9662D">
      <w:pPr>
        <w:spacing w:before="120" w:after="120"/>
        <w:jc w:val="both"/>
      </w:pPr>
      <w:r>
        <w:rPr>
          <w:lang w:eastAsia="fr-FR" w:bidi="fr-FR"/>
        </w:rPr>
        <w:t>[810]</w:t>
      </w:r>
    </w:p>
    <w:p w14:paraId="0EE00A51" w14:textId="77777777" w:rsidR="00B9662D" w:rsidRPr="000F765B" w:rsidRDefault="00B9662D" w:rsidP="00B9662D">
      <w:pPr>
        <w:spacing w:before="120" w:after="120"/>
        <w:jc w:val="both"/>
      </w:pPr>
      <w:r w:rsidRPr="000F765B">
        <w:rPr>
          <w:lang w:eastAsia="fr-FR" w:bidi="fr-FR"/>
        </w:rPr>
        <w:t>Une première raison, des plus élémentaires, retarda pendant lon</w:t>
      </w:r>
      <w:r w:rsidRPr="000F765B">
        <w:rPr>
          <w:lang w:eastAsia="fr-FR" w:bidi="fr-FR"/>
        </w:rPr>
        <w:t>g</w:t>
      </w:r>
      <w:r w:rsidRPr="000F765B">
        <w:rPr>
          <w:lang w:eastAsia="fr-FR" w:bidi="fr-FR"/>
        </w:rPr>
        <w:t>temps la victoire du moulin à eau. Il est, de par le monde, des terroirs sans rivières ni ruisseaux. Comme les difficultés des communications interdisaient de se reposer du soin de l’approvisionnement sur des moulins tant soit peu éloignés, les populations ainsi déshéritées n’avaient d’autres ressources que de s’en tenir aux anciennes mé</w:t>
      </w:r>
      <w:r w:rsidRPr="000F765B">
        <w:rPr>
          <w:lang w:eastAsia="fr-FR" w:bidi="fr-FR"/>
        </w:rPr>
        <w:lastRenderedPageBreak/>
        <w:t>th</w:t>
      </w:r>
      <w:r w:rsidRPr="000F765B">
        <w:rPr>
          <w:lang w:eastAsia="fr-FR" w:bidi="fr-FR"/>
        </w:rPr>
        <w:t>o</w:t>
      </w:r>
      <w:r w:rsidRPr="000F765B">
        <w:rPr>
          <w:lang w:eastAsia="fr-FR" w:bidi="fr-FR"/>
        </w:rPr>
        <w:t xml:space="preserve">des. Du moins jusqu’au jour où la solution vint à être donnée par un procédé plus nouveau encore : le moulin à vent qui, probablement emprunté au monde arabe, apparut dans l’Occident vers la fin du </w:t>
      </w:r>
      <w:r>
        <w:rPr>
          <w:lang w:eastAsia="fr-FR" w:bidi="fr-FR"/>
        </w:rPr>
        <w:t>XII</w:t>
      </w:r>
      <w:r w:rsidRPr="000F765B">
        <w:rPr>
          <w:vertAlign w:val="superscript"/>
          <w:lang w:eastAsia="fr-FR" w:bidi="fr-FR"/>
        </w:rPr>
        <w:t>e</w:t>
      </w:r>
      <w:r w:rsidRPr="000F765B">
        <w:rPr>
          <w:lang w:eastAsia="fr-FR" w:bidi="fr-FR"/>
        </w:rPr>
        <w:t xml:space="preserve"> siècle, pour y accomplir, au moins dans la France du Nord, durant les dix ou douze décennies suivantes, de rapides progrès</w:t>
      </w:r>
      <w:r>
        <w:rPr>
          <w:lang w:eastAsia="fr-FR" w:bidi="fr-FR"/>
        </w:rPr>
        <w:t> </w:t>
      </w:r>
      <w:r>
        <w:rPr>
          <w:rStyle w:val="Appelnotedebasdep"/>
        </w:rPr>
        <w:footnoteReference w:id="786"/>
      </w:r>
      <w:r w:rsidRPr="000F765B">
        <w:rPr>
          <w:lang w:eastAsia="fr-FR" w:bidi="fr-FR"/>
        </w:rPr>
        <w:t>. Lorsqu’à O</w:t>
      </w:r>
      <w:r w:rsidRPr="000F765B">
        <w:rPr>
          <w:lang w:eastAsia="fr-FR" w:bidi="fr-FR"/>
        </w:rPr>
        <w:t>r</w:t>
      </w:r>
      <w:r w:rsidRPr="000F765B">
        <w:rPr>
          <w:lang w:eastAsia="fr-FR" w:bidi="fr-FR"/>
        </w:rPr>
        <w:t>sonville, dans les sèches étendues de la Beauce, un terrier de 1360 s</w:t>
      </w:r>
      <w:r w:rsidRPr="000F765B">
        <w:rPr>
          <w:lang w:eastAsia="fr-FR" w:bidi="fr-FR"/>
        </w:rPr>
        <w:t>i</w:t>
      </w:r>
      <w:r w:rsidRPr="000F765B">
        <w:rPr>
          <w:lang w:eastAsia="fr-FR" w:bidi="fr-FR"/>
        </w:rPr>
        <w:t>gnale côte à côte moulin à vent et moulin à chevaux, il ne faut pas beaucoup de témérité pour imaginer que le second avait précédé le premier. Ajoutez que tous les cours d’eau n’étaient point également aptes à faire tourner les roues et qu’au surplus les meilleurs d’entre eux n’échappaient ni aux gelées, ni aux crues, ni même aux séchere</w:t>
      </w:r>
      <w:r w:rsidRPr="000F765B">
        <w:rPr>
          <w:lang w:eastAsia="fr-FR" w:bidi="fr-FR"/>
        </w:rPr>
        <w:t>s</w:t>
      </w:r>
      <w:r w:rsidRPr="000F765B">
        <w:rPr>
          <w:lang w:eastAsia="fr-FR" w:bidi="fr-FR"/>
        </w:rPr>
        <w:t xml:space="preserve">ses. Sage était cet abbé de Saint-Alban qui, au </w:t>
      </w:r>
      <w:r>
        <w:rPr>
          <w:lang w:eastAsia="fr-FR" w:bidi="fr-FR"/>
        </w:rPr>
        <w:t>XIII</w:t>
      </w:r>
      <w:r w:rsidRPr="000F765B">
        <w:rPr>
          <w:vertAlign w:val="superscript"/>
          <w:lang w:eastAsia="fr-FR" w:bidi="fr-FR"/>
        </w:rPr>
        <w:t>e</w:t>
      </w:r>
      <w:r w:rsidRPr="000F765B">
        <w:rPr>
          <w:lang w:eastAsia="fr-FR" w:bidi="fr-FR"/>
        </w:rPr>
        <w:t xml:space="preserve"> siècle, tout en fa</w:t>
      </w:r>
      <w:r w:rsidRPr="000F765B">
        <w:rPr>
          <w:lang w:eastAsia="fr-FR" w:bidi="fr-FR"/>
        </w:rPr>
        <w:t>i</w:t>
      </w:r>
      <w:r w:rsidRPr="000F765B">
        <w:rPr>
          <w:lang w:eastAsia="fr-FR" w:bidi="fr-FR"/>
        </w:rPr>
        <w:t>sant réparer les moulins à eau du monastère, remplaça l’un d’eux, dont le ruisseau d’alimentation avait tari, par « un très beau moulin à chevaux ». En 1741 encore, bien que la banlieue parisienne eût en abondance des moulins à eau sur ses rivières, comme des moulins à vent sur ses collines, le Contrôleur Général, se remémorant à la fois la grande gelée de l’hiver qui venait de s’écouler et l’inondation de l’année précédente, invita la ville à se munir de meules à bras</w:t>
      </w:r>
      <w:r>
        <w:rPr>
          <w:lang w:eastAsia="fr-FR" w:bidi="fr-FR"/>
        </w:rPr>
        <w:t> </w:t>
      </w:r>
      <w:r>
        <w:rPr>
          <w:rStyle w:val="Appelnotedebasdep"/>
        </w:rPr>
        <w:footnoteReference w:id="787"/>
      </w:r>
      <w:r w:rsidRPr="000F765B">
        <w:rPr>
          <w:lang w:eastAsia="fr-FR" w:bidi="fr-FR"/>
        </w:rPr>
        <w:t>.</w:t>
      </w:r>
    </w:p>
    <w:p w14:paraId="43F88C88" w14:textId="77777777" w:rsidR="00B9662D" w:rsidRPr="000F765B" w:rsidRDefault="00B9662D" w:rsidP="00B9662D">
      <w:pPr>
        <w:spacing w:before="120" w:after="120"/>
        <w:jc w:val="both"/>
      </w:pPr>
      <w:r w:rsidRPr="000F765B">
        <w:rPr>
          <w:lang w:eastAsia="fr-FR" w:bidi="fr-FR"/>
        </w:rPr>
        <w:lastRenderedPageBreak/>
        <w:t>Mais sans doute la peur des caprices de la nature n’était-elle pas seule à inspirer les recommandations ministérielles. Traditionnell</w:t>
      </w:r>
      <w:r w:rsidRPr="000F765B">
        <w:rPr>
          <w:lang w:eastAsia="fr-FR" w:bidi="fr-FR"/>
        </w:rPr>
        <w:t>e</w:t>
      </w:r>
      <w:r w:rsidRPr="000F765B">
        <w:rPr>
          <w:lang w:eastAsia="fr-FR" w:bidi="fr-FR"/>
        </w:rPr>
        <w:t xml:space="preserve">ment, la prudence conseillait de prévoir aussi la menace d’un siège. Au Moyen </w:t>
      </w:r>
      <w:r>
        <w:rPr>
          <w:lang w:eastAsia="fr-FR" w:bidi="fr-FR"/>
        </w:rPr>
        <w:t>Â</w:t>
      </w:r>
      <w:r w:rsidRPr="000F765B">
        <w:rPr>
          <w:lang w:eastAsia="fr-FR" w:bidi="fr-FR"/>
        </w:rPr>
        <w:t>ge, point de forteresse sous les armes qui n’eût ses me</w:t>
      </w:r>
      <w:r w:rsidRPr="000F765B">
        <w:rPr>
          <w:lang w:eastAsia="fr-FR" w:bidi="fr-FR"/>
        </w:rPr>
        <w:t>u</w:t>
      </w:r>
      <w:r w:rsidRPr="000F765B">
        <w:rPr>
          <w:lang w:eastAsia="fr-FR" w:bidi="fr-FR"/>
        </w:rPr>
        <w:t>les à main. Philippe Auguste veillait à en pourvoir les châteaux au</w:t>
      </w:r>
      <w:r w:rsidRPr="000F765B">
        <w:rPr>
          <w:lang w:eastAsia="fr-FR" w:bidi="fr-FR"/>
        </w:rPr>
        <w:t>x</w:t>
      </w:r>
      <w:r w:rsidRPr="000F765B">
        <w:rPr>
          <w:lang w:eastAsia="fr-FR" w:bidi="fr-FR"/>
        </w:rPr>
        <w:t>quels il accordait tant de soins. Les gens de Nîmes, mettant en état, l’année de Poitiers, les défenses de leur ville, faisaient placer « dix ou douze » de ces appareils</w:t>
      </w:r>
      <w:r>
        <w:t xml:space="preserve"> [</w:t>
      </w:r>
      <w:r w:rsidRPr="000F765B">
        <w:rPr>
          <w:lang w:eastAsia="fr-FR" w:bidi="fr-FR"/>
        </w:rPr>
        <w:t>811</w:t>
      </w:r>
      <w:r>
        <w:rPr>
          <w:lang w:eastAsia="fr-FR" w:bidi="fr-FR"/>
        </w:rPr>
        <w:t xml:space="preserve">] </w:t>
      </w:r>
      <w:r w:rsidRPr="000F765B">
        <w:rPr>
          <w:lang w:eastAsia="fr-FR" w:bidi="fr-FR"/>
        </w:rPr>
        <w:t>à l’intérieur de l’enceinte. Ce n’était point s’inquiéter d’un danger imaginaire. Assiégés, des mois durant, par l’empereur Frédéric</w:t>
      </w:r>
      <w:r>
        <w:rPr>
          <w:lang w:eastAsia="fr-FR" w:bidi="fr-FR"/>
        </w:rPr>
        <w:t> </w:t>
      </w:r>
      <w:r w:rsidRPr="000F765B">
        <w:rPr>
          <w:lang w:eastAsia="fr-FR" w:bidi="fr-FR"/>
        </w:rPr>
        <w:t>II, les Parmesans, cours d’eau et canaux une fois coupés, auraient succombé à la famine, s’ils n’avaient disposé de moulins à chevaux et à bras. Ainsi la guerre, selon son usage, boul</w:t>
      </w:r>
      <w:r w:rsidRPr="000F765B">
        <w:rPr>
          <w:lang w:eastAsia="fr-FR" w:bidi="fr-FR"/>
        </w:rPr>
        <w:t>e</w:t>
      </w:r>
      <w:r w:rsidRPr="000F765B">
        <w:rPr>
          <w:lang w:eastAsia="fr-FR" w:bidi="fr-FR"/>
        </w:rPr>
        <w:t>versant les conditions économiques normales, contraignait à des r</w:t>
      </w:r>
      <w:r w:rsidRPr="000F765B">
        <w:rPr>
          <w:lang w:eastAsia="fr-FR" w:bidi="fr-FR"/>
        </w:rPr>
        <w:t>e</w:t>
      </w:r>
      <w:r w:rsidRPr="000F765B">
        <w:rPr>
          <w:lang w:eastAsia="fr-FR" w:bidi="fr-FR"/>
        </w:rPr>
        <w:t>tours perpétuels vers de vieilles et rudimentaires techniques</w:t>
      </w:r>
      <w:r>
        <w:rPr>
          <w:lang w:eastAsia="fr-FR" w:bidi="fr-FR"/>
        </w:rPr>
        <w:t> </w:t>
      </w:r>
      <w:r>
        <w:rPr>
          <w:rStyle w:val="Appelnotedebasdep"/>
        </w:rPr>
        <w:footnoteReference w:id="788"/>
      </w:r>
      <w:r w:rsidRPr="000F765B">
        <w:rPr>
          <w:lang w:eastAsia="fr-FR" w:bidi="fr-FR"/>
        </w:rPr>
        <w:t>.</w:t>
      </w:r>
    </w:p>
    <w:p w14:paraId="313425B5" w14:textId="77777777" w:rsidR="00B9662D" w:rsidRPr="000F765B" w:rsidRDefault="00B9662D" w:rsidP="00B9662D">
      <w:pPr>
        <w:spacing w:before="120" w:after="120"/>
        <w:jc w:val="both"/>
      </w:pPr>
      <w:r w:rsidRPr="000F765B">
        <w:rPr>
          <w:lang w:eastAsia="fr-FR" w:bidi="fr-FR"/>
        </w:rPr>
        <w:t>Les déplacements enfin semblèrent longtemps engager à l’emploi de machines portatives. Que des meules, évidemment à bras, fussent chargées sur les chariots des armées carolingiennes, cette précaution allait de soi en un temps où de vastes régions, dans la Germanie n</w:t>
      </w:r>
      <w:r w:rsidRPr="000F765B">
        <w:rPr>
          <w:lang w:eastAsia="fr-FR" w:bidi="fr-FR"/>
        </w:rPr>
        <w:t>o</w:t>
      </w:r>
      <w:r w:rsidRPr="000F765B">
        <w:rPr>
          <w:lang w:eastAsia="fr-FR" w:bidi="fr-FR"/>
        </w:rPr>
        <w:t xml:space="preserve">tamment, continuaient à ignorer le moulin à eau. Il est plus curieux de voir, au </w:t>
      </w:r>
      <w:r>
        <w:rPr>
          <w:lang w:eastAsia="fr-FR" w:bidi="fr-FR"/>
        </w:rPr>
        <w:t>XIII</w:t>
      </w:r>
      <w:r w:rsidRPr="000F765B">
        <w:rPr>
          <w:vertAlign w:val="superscript"/>
          <w:lang w:eastAsia="fr-FR" w:bidi="fr-FR"/>
        </w:rPr>
        <w:t>e</w:t>
      </w:r>
      <w:r w:rsidRPr="000F765B">
        <w:rPr>
          <w:lang w:eastAsia="fr-FR" w:bidi="fr-FR"/>
        </w:rPr>
        <w:t xml:space="preserve"> siècle encore, des marchands de la Normandie se munir, dans leurs pérégrinations, d’instruments de cette sorte. Sans doute des raisons étrangères à la technique proprement dite intervenaient-elles </w:t>
      </w:r>
      <w:r w:rsidRPr="000F765B">
        <w:rPr>
          <w:lang w:eastAsia="fr-FR" w:bidi="fr-FR"/>
        </w:rPr>
        <w:lastRenderedPageBreak/>
        <w:t>ici. L’une était d’ordre économique : bien des lieux ne s’approvisionnent de pain et de farine qu’au jour le jour, le voyageur n’avait souvent d’autre ressource que d’acheter, voire d’emporter le blé en grains. L’autre touche à un trait de structure sociale dont nous verrons plus loin l’importance : la meule personnelle donnait le moyen d’échapper, en cours de route, aux droits de mouture que les banalités seigneuriales rendaient très onéreux</w:t>
      </w:r>
      <w:r>
        <w:rPr>
          <w:lang w:eastAsia="fr-FR" w:bidi="fr-FR"/>
        </w:rPr>
        <w:t> </w:t>
      </w:r>
      <w:r>
        <w:rPr>
          <w:rStyle w:val="Appelnotedebasdep"/>
        </w:rPr>
        <w:footnoteReference w:id="789"/>
      </w:r>
      <w:r w:rsidRPr="000F765B">
        <w:rPr>
          <w:lang w:eastAsia="fr-FR" w:bidi="fr-FR"/>
        </w:rPr>
        <w:t>.</w:t>
      </w:r>
    </w:p>
    <w:p w14:paraId="38976499" w14:textId="77777777" w:rsidR="00B9662D" w:rsidRPr="000F765B" w:rsidRDefault="00B9662D" w:rsidP="00B9662D">
      <w:pPr>
        <w:spacing w:before="120" w:after="120"/>
        <w:jc w:val="both"/>
      </w:pPr>
      <w:r w:rsidRPr="000F765B">
        <w:rPr>
          <w:lang w:eastAsia="fr-FR" w:bidi="fr-FR"/>
        </w:rPr>
        <w:t xml:space="preserve">Mais ces cas, en somme exceptionnels, une fois mis à part, le fait subsiste que, là même où l’eau abondait et en dehors de tout danger de guerre, les vieux instruments continuèrent longtemps leurs services. Sans doute faut-il, dans les premiers siècles du Haut Moyen </w:t>
      </w:r>
      <w:r>
        <w:rPr>
          <w:lang w:eastAsia="fr-FR" w:bidi="fr-FR"/>
        </w:rPr>
        <w:t>Â</w:t>
      </w:r>
      <w:r w:rsidRPr="000F765B">
        <w:rPr>
          <w:lang w:eastAsia="fr-FR" w:bidi="fr-FR"/>
        </w:rPr>
        <w:t>ge, tenir compte de la lenteur propre à l’expansion de toute nouveauté, du maintien, autour des grands, d’équipes serviles encore considérables, des habitudes enfin que les conquérants barbares appor</w:t>
      </w:r>
      <w:r>
        <w:rPr>
          <w:lang w:eastAsia="fr-FR" w:bidi="fr-FR"/>
        </w:rPr>
        <w:t>taient de leur pays d’origine, f</w:t>
      </w:r>
      <w:r w:rsidRPr="000F765B">
        <w:rPr>
          <w:lang w:eastAsia="fr-FR" w:bidi="fr-FR"/>
        </w:rPr>
        <w:t>rappée d’un mépris particulier, toujours moins effic</w:t>
      </w:r>
      <w:r w:rsidRPr="000F765B">
        <w:rPr>
          <w:lang w:eastAsia="fr-FR" w:bidi="fr-FR"/>
        </w:rPr>
        <w:t>a</w:t>
      </w:r>
      <w:r>
        <w:rPr>
          <w:lang w:eastAsia="fr-FR" w:bidi="fr-FR"/>
        </w:rPr>
        <w:t xml:space="preserve">cement protégée, [812] </w:t>
      </w:r>
      <w:r w:rsidRPr="000F765B">
        <w:rPr>
          <w:lang w:eastAsia="fr-FR" w:bidi="fr-FR"/>
        </w:rPr>
        <w:t>dans sa vie ou dans son honneur, que ses sœurs employées aux o</w:t>
      </w:r>
      <w:r w:rsidRPr="000F765B">
        <w:rPr>
          <w:lang w:eastAsia="fr-FR" w:bidi="fr-FR"/>
        </w:rPr>
        <w:t>f</w:t>
      </w:r>
      <w:r w:rsidRPr="000F765B">
        <w:rPr>
          <w:lang w:eastAsia="fr-FR" w:bidi="fr-FR"/>
        </w:rPr>
        <w:t>fices de la maison, l’esclave broyeuse de grains demeura longtemps, au foyer du chef germain, une figure fam</w:t>
      </w:r>
      <w:r w:rsidRPr="000F765B">
        <w:rPr>
          <w:lang w:eastAsia="fr-FR" w:bidi="fr-FR"/>
        </w:rPr>
        <w:t>i</w:t>
      </w:r>
      <w:r w:rsidRPr="000F765B">
        <w:rPr>
          <w:lang w:eastAsia="fr-FR" w:bidi="fr-FR"/>
        </w:rPr>
        <w:t>lière : témoins, avec les s</w:t>
      </w:r>
      <w:r w:rsidRPr="000F765B">
        <w:rPr>
          <w:lang w:eastAsia="fr-FR" w:bidi="fr-FR"/>
        </w:rPr>
        <w:t>a</w:t>
      </w:r>
      <w:r w:rsidRPr="000F765B">
        <w:rPr>
          <w:lang w:eastAsia="fr-FR" w:bidi="fr-FR"/>
        </w:rPr>
        <w:t>gas du Nord, les vieilles lois de la Frise et du Kent</w:t>
      </w:r>
      <w:r>
        <w:rPr>
          <w:lang w:eastAsia="fr-FR" w:bidi="fr-FR"/>
        </w:rPr>
        <w:t> </w:t>
      </w:r>
      <w:r>
        <w:rPr>
          <w:rStyle w:val="Appelnotedebasdep"/>
        </w:rPr>
        <w:footnoteReference w:id="790"/>
      </w:r>
      <w:r w:rsidRPr="000F765B">
        <w:rPr>
          <w:lang w:eastAsia="fr-FR" w:bidi="fr-FR"/>
        </w:rPr>
        <w:t xml:space="preserve">. Dans la </w:t>
      </w:r>
      <w:r w:rsidRPr="009103B5">
        <w:rPr>
          <w:i/>
        </w:rPr>
        <w:t>villa</w:t>
      </w:r>
      <w:r w:rsidRPr="000F765B">
        <w:rPr>
          <w:lang w:eastAsia="fr-FR" w:bidi="fr-FR"/>
        </w:rPr>
        <w:t xml:space="preserve"> royale de Marlenheim, en Alsace, tout près </w:t>
      </w:r>
      <w:r w:rsidRPr="000F765B">
        <w:rPr>
          <w:lang w:eastAsia="fr-FR" w:bidi="fr-FR"/>
        </w:rPr>
        <w:lastRenderedPageBreak/>
        <w:t>des flots clairs de la Mo</w:t>
      </w:r>
      <w:r w:rsidRPr="000F765B">
        <w:rPr>
          <w:lang w:eastAsia="fr-FR" w:bidi="fr-FR"/>
        </w:rPr>
        <w:t>s</w:t>
      </w:r>
      <w:r w:rsidRPr="000F765B">
        <w:rPr>
          <w:lang w:eastAsia="fr-FR" w:bidi="fr-FR"/>
        </w:rPr>
        <w:t xml:space="preserve">sig, des meules à main tournaient encore, à la fin du </w:t>
      </w:r>
      <w:r w:rsidRPr="009103B5">
        <w:rPr>
          <w:i/>
          <w:lang w:eastAsia="fr-FR" w:bidi="fr-FR"/>
        </w:rPr>
        <w:t>vi</w:t>
      </w:r>
      <w:r w:rsidRPr="000F765B">
        <w:rPr>
          <w:vertAlign w:val="superscript"/>
          <w:lang w:eastAsia="fr-FR" w:bidi="fr-FR"/>
        </w:rPr>
        <w:t>e</w:t>
      </w:r>
      <w:r w:rsidRPr="000F765B">
        <w:rPr>
          <w:lang w:eastAsia="fr-FR" w:bidi="fr-FR"/>
        </w:rPr>
        <w:t xml:space="preserve"> siècle, sous l’effort des servantes</w:t>
      </w:r>
      <w:r>
        <w:rPr>
          <w:lang w:eastAsia="fr-FR" w:bidi="fr-FR"/>
        </w:rPr>
        <w:t> </w:t>
      </w:r>
      <w:r>
        <w:rPr>
          <w:rStyle w:val="Appelnotedebasdep"/>
        </w:rPr>
        <w:footnoteReference w:id="791"/>
      </w:r>
      <w:r w:rsidRPr="000F765B">
        <w:rPr>
          <w:lang w:eastAsia="fr-FR" w:bidi="fr-FR"/>
        </w:rPr>
        <w:t>. Assez rapidement c</w:t>
      </w:r>
      <w:r w:rsidRPr="000F765B">
        <w:rPr>
          <w:lang w:eastAsia="fr-FR" w:bidi="fr-FR"/>
        </w:rPr>
        <w:t>e</w:t>
      </w:r>
      <w:r w:rsidRPr="000F765B">
        <w:rPr>
          <w:lang w:eastAsia="fr-FR" w:bidi="fr-FR"/>
        </w:rPr>
        <w:t xml:space="preserve">pendant, du moins dans l’ancienne </w:t>
      </w:r>
      <w:r w:rsidRPr="009103B5">
        <w:rPr>
          <w:i/>
        </w:rPr>
        <w:t>Romania</w:t>
      </w:r>
      <w:r w:rsidRPr="000F765B">
        <w:rPr>
          <w:lang w:eastAsia="fr-FR" w:bidi="fr-FR"/>
        </w:rPr>
        <w:t xml:space="preserve"> et les contrées german</w:t>
      </w:r>
      <w:r w:rsidRPr="000F765B">
        <w:rPr>
          <w:lang w:eastAsia="fr-FR" w:bidi="fr-FR"/>
        </w:rPr>
        <w:t>i</w:t>
      </w:r>
      <w:r w:rsidRPr="000F765B">
        <w:rPr>
          <w:lang w:eastAsia="fr-FR" w:bidi="fr-FR"/>
        </w:rPr>
        <w:t>ques limitrophes, partout où les conditions naturelles ne s’opposaient point à cette métamorph</w:t>
      </w:r>
      <w:r w:rsidRPr="000F765B">
        <w:rPr>
          <w:lang w:eastAsia="fr-FR" w:bidi="fr-FR"/>
        </w:rPr>
        <w:t>o</w:t>
      </w:r>
      <w:r w:rsidRPr="000F765B">
        <w:rPr>
          <w:lang w:eastAsia="fr-FR" w:bidi="fr-FR"/>
        </w:rPr>
        <w:t>se, meules à bras et à chevaux disparurent des grands domaines. C’était chose faite en Gaule au temps des poly</w:t>
      </w:r>
      <w:r w:rsidRPr="000F765B">
        <w:rPr>
          <w:lang w:eastAsia="fr-FR" w:bidi="fr-FR"/>
        </w:rPr>
        <w:t>p</w:t>
      </w:r>
      <w:r w:rsidRPr="000F765B">
        <w:rPr>
          <w:lang w:eastAsia="fr-FR" w:bidi="fr-FR"/>
        </w:rPr>
        <w:t xml:space="preserve">tyques carolingiens et du </w:t>
      </w:r>
      <w:r w:rsidRPr="00443C46">
        <w:rPr>
          <w:i/>
        </w:rPr>
        <w:t>Capitulare devillis </w:t>
      </w:r>
      <w:r w:rsidRPr="000F765B">
        <w:t>;</w:t>
      </w:r>
      <w:r w:rsidRPr="000F765B">
        <w:rPr>
          <w:lang w:eastAsia="fr-FR" w:bidi="fr-FR"/>
        </w:rPr>
        <w:t xml:space="preserve"> en Angleterre, au temps du </w:t>
      </w:r>
      <w:r w:rsidRPr="00443C46">
        <w:rPr>
          <w:i/>
        </w:rPr>
        <w:t>Domesday Book</w:t>
      </w:r>
      <w:r w:rsidRPr="00443C46">
        <w:rPr>
          <w:i/>
          <w:lang w:eastAsia="fr-FR" w:bidi="fr-FR"/>
        </w:rPr>
        <w:t> </w:t>
      </w:r>
      <w:r w:rsidRPr="000F765B">
        <w:rPr>
          <w:lang w:eastAsia="fr-FR" w:bidi="fr-FR"/>
        </w:rPr>
        <w:t>: textes, à qui sait écouter, tout bruissants de la chanson des roues de moulin. Un refuge restait pourtant aux antiques procédés : les maisons paysannes.</w:t>
      </w:r>
    </w:p>
    <w:p w14:paraId="22FB253D" w14:textId="77777777" w:rsidR="00B9662D" w:rsidRPr="000F765B" w:rsidRDefault="00B9662D" w:rsidP="00B9662D">
      <w:pPr>
        <w:spacing w:before="120" w:after="120"/>
        <w:jc w:val="both"/>
      </w:pPr>
      <w:r w:rsidRPr="000F765B">
        <w:rPr>
          <w:lang w:eastAsia="fr-FR" w:bidi="fr-FR"/>
        </w:rPr>
        <w:t>Représentons-nous, en effet, les conditions, de toute espèce, que supposait l’établissement d’un moulin hydraulique. Non seulement il y fallait, juridiquement, le droit de disposer du cours d’eau. Mais les frais qu’entraînaient la construction, puis les réparations, empêchaient que l’exploitation ne fût profitable si elle ne devait servir à la mouture d’une assez grande quantité de grains. Il est frappant que, parmi les premiers moulins mentionnés par les textes, beaucoup</w:t>
      </w:r>
      <w:r>
        <w:rPr>
          <w:lang w:eastAsia="fr-FR" w:bidi="fr-FR"/>
        </w:rPr>
        <w:t> — </w:t>
      </w:r>
      <w:r w:rsidRPr="000F765B">
        <w:rPr>
          <w:lang w:eastAsia="fr-FR" w:bidi="fr-FR"/>
        </w:rPr>
        <w:t xml:space="preserve">à Rome dès le milieu du </w:t>
      </w:r>
      <w:r w:rsidRPr="00DE63E7">
        <w:rPr>
          <w:smallCaps/>
          <w:lang w:eastAsia="fr-FR" w:bidi="fr-FR"/>
        </w:rPr>
        <w:t>iv</w:t>
      </w:r>
      <w:r w:rsidRPr="00DE63E7">
        <w:rPr>
          <w:smallCaps/>
          <w:vertAlign w:val="superscript"/>
          <w:lang w:eastAsia="fr-FR" w:bidi="fr-FR"/>
        </w:rPr>
        <w:t>e</w:t>
      </w:r>
      <w:r w:rsidRPr="000F765B">
        <w:rPr>
          <w:lang w:eastAsia="fr-FR" w:bidi="fr-FR"/>
        </w:rPr>
        <w:t xml:space="preserve"> siècle, à Dijon et Genève au </w:t>
      </w:r>
      <w:r>
        <w:rPr>
          <w:lang w:eastAsia="fr-FR" w:bidi="fr-FR"/>
        </w:rPr>
        <w:t>VI</w:t>
      </w:r>
      <w:r w:rsidRPr="000F765B">
        <w:rPr>
          <w:vertAlign w:val="superscript"/>
          <w:lang w:eastAsia="fr-FR" w:bidi="fr-FR"/>
        </w:rPr>
        <w:t>e</w:t>
      </w:r>
      <w:r>
        <w:rPr>
          <w:lang w:eastAsia="fr-FR" w:bidi="fr-FR"/>
        </w:rPr>
        <w:t> — </w:t>
      </w:r>
      <w:r w:rsidRPr="000F765B">
        <w:rPr>
          <w:lang w:eastAsia="fr-FR" w:bidi="fr-FR"/>
        </w:rPr>
        <w:t>aient été destinés à l’approvisionnement de populations urbaines</w:t>
      </w:r>
      <w:r>
        <w:rPr>
          <w:lang w:eastAsia="fr-FR" w:bidi="fr-FR"/>
        </w:rPr>
        <w:t> </w:t>
      </w:r>
      <w:r>
        <w:rPr>
          <w:rStyle w:val="Appelnotedebasdep"/>
        </w:rPr>
        <w:footnoteReference w:id="792"/>
      </w:r>
      <w:r w:rsidRPr="000F765B">
        <w:rPr>
          <w:lang w:eastAsia="fr-FR" w:bidi="fr-FR"/>
        </w:rPr>
        <w:t xml:space="preserve">. Ceux de Rome étaient aux mains d’une corporation, placée d’ailleurs sous le contrôle </w:t>
      </w:r>
      <w:r>
        <w:rPr>
          <w:lang w:eastAsia="fr-FR" w:bidi="fr-FR"/>
        </w:rPr>
        <w:t>très strict de l’État : le Bas-</w:t>
      </w:r>
      <w:r w:rsidRPr="000F765B">
        <w:rPr>
          <w:lang w:eastAsia="fr-FR" w:bidi="fr-FR"/>
        </w:rPr>
        <w:t>Empire n’entendait pas laisser à l’initiative privée le soin d’assurer la subsistance de la capitale. Nous ignorons le statut de ceux de Dijon et de Genève. Mais leur rendement économ</w:t>
      </w:r>
      <w:r w:rsidRPr="000F765B">
        <w:rPr>
          <w:lang w:eastAsia="fr-FR" w:bidi="fr-FR"/>
        </w:rPr>
        <w:t>i</w:t>
      </w:r>
      <w:r w:rsidRPr="000F765B">
        <w:rPr>
          <w:lang w:eastAsia="fr-FR" w:bidi="fr-FR"/>
        </w:rPr>
        <w:t>que ne souffrait, de toute évidence, aucune difficulté. Dans les ca</w:t>
      </w:r>
      <w:r w:rsidRPr="000F765B">
        <w:rPr>
          <w:lang w:eastAsia="fr-FR" w:bidi="fr-FR"/>
        </w:rPr>
        <w:t>m</w:t>
      </w:r>
      <w:r w:rsidRPr="000F765B">
        <w:rPr>
          <w:lang w:eastAsia="fr-FR" w:bidi="fr-FR"/>
        </w:rPr>
        <w:t>pagnes, on eût pu imaginer des organismes collectifs, administrés par des communautés villageoises. L’Irlande, où la vieille structure tribale de la société favorisait l’instinct de groupe, a peut-être connu ce sy</w:t>
      </w:r>
      <w:r w:rsidRPr="000F765B">
        <w:rPr>
          <w:lang w:eastAsia="fr-FR" w:bidi="fr-FR"/>
        </w:rPr>
        <w:t>s</w:t>
      </w:r>
      <w:r w:rsidRPr="000F765B">
        <w:rPr>
          <w:lang w:eastAsia="fr-FR" w:bidi="fr-FR"/>
        </w:rPr>
        <w:t>tème. Dans les royaumes barbares, par contre, aucun document n’apporte la preuve de son existence. Si la loi bavaroise tient les mo</w:t>
      </w:r>
      <w:r w:rsidRPr="000F765B">
        <w:rPr>
          <w:lang w:eastAsia="fr-FR" w:bidi="fr-FR"/>
        </w:rPr>
        <w:t>u</w:t>
      </w:r>
      <w:r w:rsidRPr="000F765B">
        <w:rPr>
          <w:lang w:eastAsia="fr-FR" w:bidi="fr-FR"/>
        </w:rPr>
        <w:t xml:space="preserve">lins pour des lieux publics, ce n’est pas à titre de biens communs. </w:t>
      </w:r>
      <w:r>
        <w:rPr>
          <w:lang w:eastAsia="fr-FR" w:bidi="fr-FR"/>
        </w:rPr>
        <w:t>À</w:t>
      </w:r>
      <w:r w:rsidRPr="000F765B">
        <w:rPr>
          <w:lang w:eastAsia="fr-FR" w:bidi="fr-FR"/>
        </w:rPr>
        <w:t xml:space="preserve"> supposer, en effet, que cette dernière définition pût convenir à certains d’entre eux, il s’en trouvait d’autres, assurément, auxquels elle était inapplicable : ne fût-ce que les constructions élevées par les monast</w:t>
      </w:r>
      <w:r w:rsidRPr="000F765B">
        <w:rPr>
          <w:lang w:eastAsia="fr-FR" w:bidi="fr-FR"/>
        </w:rPr>
        <w:t>è</w:t>
      </w:r>
      <w:r w:rsidRPr="000F765B">
        <w:rPr>
          <w:lang w:eastAsia="fr-FR" w:bidi="fr-FR"/>
        </w:rPr>
        <w:t>res. Or la loi les réunit tous, indistinctement, sous le même qualific</w:t>
      </w:r>
      <w:r w:rsidRPr="000F765B">
        <w:rPr>
          <w:lang w:eastAsia="fr-FR" w:bidi="fr-FR"/>
        </w:rPr>
        <w:t>a</w:t>
      </w:r>
      <w:r w:rsidRPr="000F765B">
        <w:rPr>
          <w:lang w:eastAsia="fr-FR" w:bidi="fr-FR"/>
        </w:rPr>
        <w:lastRenderedPageBreak/>
        <w:t>tif. « Public » et, par suite, doté d’une « paix » spéciale, le moulin l’était tout simplement, de quelque maître qu’il dépendît, parce que beaucoup d’hommes s’y réunissaient pour des fins dignes d’être pr</w:t>
      </w:r>
      <w:r w:rsidRPr="000F765B">
        <w:rPr>
          <w:lang w:eastAsia="fr-FR" w:bidi="fr-FR"/>
        </w:rPr>
        <w:t>o</w:t>
      </w:r>
      <w:r w:rsidRPr="000F765B">
        <w:rPr>
          <w:lang w:eastAsia="fr-FR" w:bidi="fr-FR"/>
        </w:rPr>
        <w:t>tégées : tel, le marché par exemple</w:t>
      </w:r>
      <w:r>
        <w:rPr>
          <w:lang w:eastAsia="fr-FR" w:bidi="fr-FR"/>
        </w:rPr>
        <w:t> </w:t>
      </w:r>
      <w:r>
        <w:rPr>
          <w:rStyle w:val="Appelnotedebasdep"/>
        </w:rPr>
        <w:footnoteReference w:id="793"/>
      </w:r>
      <w:r w:rsidRPr="000F765B">
        <w:rPr>
          <w:lang w:eastAsia="fr-FR" w:bidi="fr-FR"/>
        </w:rPr>
        <w:t>. Là même où, comme en Frise, la communauté</w:t>
      </w:r>
      <w:r>
        <w:rPr>
          <w:lang w:eastAsia="fr-FR" w:bidi="fr-FR"/>
        </w:rPr>
        <w:t xml:space="preserve"> [813] </w:t>
      </w:r>
      <w:r w:rsidRPr="000F765B">
        <w:rPr>
          <w:lang w:eastAsia="fr-FR" w:bidi="fr-FR"/>
        </w:rPr>
        <w:t>échappa, exceptionnellement, à l’étouffement par l’autorité se</w:t>
      </w:r>
      <w:r w:rsidRPr="000F765B">
        <w:rPr>
          <w:lang w:eastAsia="fr-FR" w:bidi="fr-FR"/>
        </w:rPr>
        <w:t>i</w:t>
      </w:r>
      <w:r w:rsidRPr="000F765B">
        <w:rPr>
          <w:lang w:eastAsia="fr-FR" w:bidi="fr-FR"/>
        </w:rPr>
        <w:t>gneuriale, les paysans ne profitèrent de leur liberté que pour garder aux vieilles meules individuelles une fidélité obstinée</w:t>
      </w:r>
      <w:r>
        <w:rPr>
          <w:lang w:eastAsia="fr-FR" w:bidi="fr-FR"/>
        </w:rPr>
        <w:t> </w:t>
      </w:r>
      <w:r>
        <w:rPr>
          <w:rStyle w:val="Appelnotedebasdep"/>
        </w:rPr>
        <w:footnoteReference w:id="794"/>
      </w:r>
      <w:r w:rsidRPr="000F765B">
        <w:rPr>
          <w:lang w:eastAsia="fr-FR" w:bidi="fr-FR"/>
        </w:rPr>
        <w:t>. Non pour adapter à leurs besoins, par un accord amiable, le progrès technique.</w:t>
      </w:r>
    </w:p>
    <w:p w14:paraId="17D05EF8" w14:textId="77777777" w:rsidR="00B9662D" w:rsidRPr="000F765B" w:rsidRDefault="00B9662D" w:rsidP="00B9662D">
      <w:pPr>
        <w:spacing w:before="120" w:after="120"/>
        <w:jc w:val="both"/>
      </w:pPr>
      <w:r w:rsidRPr="000F765B">
        <w:rPr>
          <w:lang w:eastAsia="fr-FR" w:bidi="fr-FR"/>
        </w:rPr>
        <w:t>En fait, tous ceux des moulins à eau dont nous suivons, tant bien que mal, l’histoire, s’avèrent d’origine seigneuriale. Beaucoup dépe</w:t>
      </w:r>
      <w:r w:rsidRPr="000F765B">
        <w:rPr>
          <w:lang w:eastAsia="fr-FR" w:bidi="fr-FR"/>
        </w:rPr>
        <w:t>n</w:t>
      </w:r>
      <w:r w:rsidRPr="000F765B">
        <w:rPr>
          <w:lang w:eastAsia="fr-FR" w:bidi="fr-FR"/>
        </w:rPr>
        <w:t>daient de monastères. Déjà nombreuses par elles-mêmes, astreintes, en outre, à nourrir un chiffre au moins égal et souvent supérieur de serviteurs, de vassaux domestiques et de passants, les communautés religieuses consommaient des quantités de farine considérables : env</w:t>
      </w:r>
      <w:r w:rsidRPr="000F765B">
        <w:rPr>
          <w:lang w:eastAsia="fr-FR" w:bidi="fr-FR"/>
        </w:rPr>
        <w:t>i</w:t>
      </w:r>
      <w:r w:rsidRPr="000F765B">
        <w:rPr>
          <w:lang w:eastAsia="fr-FR" w:bidi="fr-FR"/>
        </w:rPr>
        <w:t>ron 2</w:t>
      </w:r>
      <w:r>
        <w:rPr>
          <w:lang w:eastAsia="fr-FR" w:bidi="fr-FR"/>
        </w:rPr>
        <w:t> </w:t>
      </w:r>
      <w:r w:rsidRPr="000F765B">
        <w:rPr>
          <w:lang w:eastAsia="fr-FR" w:bidi="fr-FR"/>
        </w:rPr>
        <w:t>000 muids par an</w:t>
      </w:r>
      <w:r>
        <w:rPr>
          <w:lang w:eastAsia="fr-FR" w:bidi="fr-FR"/>
        </w:rPr>
        <w:t> — </w:t>
      </w:r>
      <w:r w:rsidRPr="000F765B">
        <w:rPr>
          <w:lang w:eastAsia="fr-FR" w:bidi="fr-FR"/>
        </w:rPr>
        <w:t>c’est-à-dire plus de 420 hl</w:t>
      </w:r>
      <w:r>
        <w:rPr>
          <w:lang w:eastAsia="fr-FR" w:bidi="fr-FR"/>
        </w:rPr>
        <w:t> — </w:t>
      </w:r>
      <w:r w:rsidRPr="000F765B">
        <w:rPr>
          <w:lang w:eastAsia="fr-FR" w:bidi="fr-FR"/>
        </w:rPr>
        <w:t xml:space="preserve">à Corbie, au </w:t>
      </w:r>
      <w:r>
        <w:rPr>
          <w:lang w:eastAsia="fr-FR" w:bidi="fr-FR"/>
        </w:rPr>
        <w:t>IX</w:t>
      </w:r>
      <w:r w:rsidRPr="000F765B">
        <w:rPr>
          <w:vertAlign w:val="superscript"/>
          <w:lang w:eastAsia="fr-FR" w:bidi="fr-FR"/>
        </w:rPr>
        <w:t>e</w:t>
      </w:r>
      <w:r w:rsidRPr="000F765B">
        <w:rPr>
          <w:lang w:eastAsia="fr-FR" w:bidi="fr-FR"/>
        </w:rPr>
        <w:t xml:space="preserve"> siècle, d’après l’estimation de l’abbé Alard qui encore laissait de côté, dans ce calcul, le service chargé de l’alimentation des hôtes</w:t>
      </w:r>
      <w:r>
        <w:rPr>
          <w:lang w:eastAsia="fr-FR" w:bidi="fr-FR"/>
        </w:rPr>
        <w:t> </w:t>
      </w:r>
      <w:r>
        <w:rPr>
          <w:rStyle w:val="Appelnotedebasdep"/>
        </w:rPr>
        <w:footnoteReference w:id="795"/>
      </w:r>
      <w:r w:rsidRPr="000F765B">
        <w:rPr>
          <w:lang w:eastAsia="fr-FR" w:bidi="fr-FR"/>
        </w:rPr>
        <w:t>. Ajoutez que l’économie de main-d’œuvre ne les laissait point insens</w:t>
      </w:r>
      <w:r w:rsidRPr="000F765B">
        <w:rPr>
          <w:lang w:eastAsia="fr-FR" w:bidi="fr-FR"/>
        </w:rPr>
        <w:t>i</w:t>
      </w:r>
      <w:r w:rsidRPr="000F765B">
        <w:rPr>
          <w:lang w:eastAsia="fr-FR" w:bidi="fr-FR"/>
        </w:rPr>
        <w:t>bles. Cela même lorsque, fidèles à la stricte observance, les moines acceptaient de s’acquitter en personne des plus rudes travaux. Des a</w:t>
      </w:r>
      <w:r w:rsidRPr="000F765B">
        <w:rPr>
          <w:lang w:eastAsia="fr-FR" w:bidi="fr-FR"/>
        </w:rPr>
        <w:t>s</w:t>
      </w:r>
      <w:r w:rsidRPr="000F765B">
        <w:rPr>
          <w:lang w:eastAsia="fr-FR" w:bidi="fr-FR"/>
        </w:rPr>
        <w:t>cètes, c</w:t>
      </w:r>
      <w:r>
        <w:rPr>
          <w:lang w:eastAsia="fr-FR" w:bidi="fr-FR"/>
        </w:rPr>
        <w:t>omme Germain d’Auxerre et Rade</w:t>
      </w:r>
      <w:r w:rsidRPr="000F765B">
        <w:rPr>
          <w:lang w:eastAsia="fr-FR" w:bidi="fr-FR"/>
        </w:rPr>
        <w:t xml:space="preserve">gonde, pouvaient bien, par mortification, s’imposer les serviles fatigues du broyage ; le sage abbé de Loches préférait qu’un moulin à eau, permettant « à un seul frère d’accomplir la tâche de plusieurs », libérât toute une pieuse cohorte, vraisemblablement pour la prière. Vers le même temps, parmi les avantages du site qu’il avait choisi pour sa fondation modèle de </w:t>
      </w:r>
      <w:r w:rsidRPr="000F765B">
        <w:t>Viv</w:t>
      </w:r>
      <w:r w:rsidRPr="000F765B">
        <w:t>a</w:t>
      </w:r>
      <w:r w:rsidRPr="000F765B">
        <w:lastRenderedPageBreak/>
        <w:t>rium,</w:t>
      </w:r>
      <w:r w:rsidRPr="000F765B">
        <w:rPr>
          <w:lang w:eastAsia="fr-FR" w:bidi="fr-FR"/>
        </w:rPr>
        <w:t xml:space="preserve"> Cassiodore vantait la rivière, apte aux moulins</w:t>
      </w:r>
      <w:r>
        <w:rPr>
          <w:lang w:eastAsia="fr-FR" w:bidi="fr-FR"/>
        </w:rPr>
        <w:t> </w:t>
      </w:r>
      <w:r>
        <w:rPr>
          <w:rStyle w:val="Appelnotedebasdep"/>
        </w:rPr>
        <w:footnoteReference w:id="796"/>
      </w:r>
      <w:r w:rsidRPr="000F765B">
        <w:rPr>
          <w:lang w:eastAsia="fr-FR" w:bidi="fr-FR"/>
        </w:rPr>
        <w:t>. Nul doute que ces constructions monacales</w:t>
      </w:r>
      <w:r>
        <w:rPr>
          <w:lang w:eastAsia="fr-FR" w:bidi="fr-FR"/>
        </w:rPr>
        <w:t> — </w:t>
      </w:r>
      <w:r w:rsidRPr="000F765B">
        <w:rPr>
          <w:lang w:eastAsia="fr-FR" w:bidi="fr-FR"/>
        </w:rPr>
        <w:t>comme l’atteste d’ailleurs l’histoire du saint de Loches</w:t>
      </w:r>
      <w:r>
        <w:rPr>
          <w:lang w:eastAsia="fr-FR" w:bidi="fr-FR"/>
        </w:rPr>
        <w:t> — </w:t>
      </w:r>
      <w:r w:rsidRPr="000F765B">
        <w:rPr>
          <w:lang w:eastAsia="fr-FR" w:bidi="fr-FR"/>
        </w:rPr>
        <w:t>n’aient fréquemment servi d’exemples aux se</w:t>
      </w:r>
      <w:r w:rsidRPr="000F765B">
        <w:rPr>
          <w:lang w:eastAsia="fr-FR" w:bidi="fr-FR"/>
        </w:rPr>
        <w:t>i</w:t>
      </w:r>
      <w:r w:rsidRPr="000F765B">
        <w:rPr>
          <w:lang w:eastAsia="fr-FR" w:bidi="fr-FR"/>
        </w:rPr>
        <w:t>gneurs laïques. Ceux-ci, de leur côté, entretenaient sur leurs terres des troupes imposantes de suivants d’armes et de valets de culture. Pour nourrir tant d’hommes, les seigneuries, qu’elles fussent ou non d’églises, avaient les champs de la réserve, exploités directement par le maître, et les redevances que versaient les tenanciers, dans une la</w:t>
      </w:r>
      <w:r w:rsidRPr="000F765B">
        <w:rPr>
          <w:lang w:eastAsia="fr-FR" w:bidi="fr-FR"/>
        </w:rPr>
        <w:t>r</w:t>
      </w:r>
      <w:r w:rsidRPr="000F765B">
        <w:rPr>
          <w:lang w:eastAsia="fr-FR" w:bidi="fr-FR"/>
        </w:rPr>
        <w:t>ge mesure sous forme de denrées agricoles. Une fois la moisson v</w:t>
      </w:r>
      <w:r w:rsidRPr="000F765B">
        <w:rPr>
          <w:lang w:eastAsia="fr-FR" w:bidi="fr-FR"/>
        </w:rPr>
        <w:t>e</w:t>
      </w:r>
      <w:r w:rsidRPr="000F765B">
        <w:rPr>
          <w:lang w:eastAsia="fr-FR" w:bidi="fr-FR"/>
        </w:rPr>
        <w:t>nue, les grains s’entassaient, tout prêts à passer sous la meule. Il est probable, au surplus, que, dès ce moment, parmi les revenus du mo</w:t>
      </w:r>
      <w:r w:rsidRPr="000F765B">
        <w:rPr>
          <w:lang w:eastAsia="fr-FR" w:bidi="fr-FR"/>
        </w:rPr>
        <w:t>u</w:t>
      </w:r>
      <w:r w:rsidRPr="000F765B">
        <w:rPr>
          <w:lang w:eastAsia="fr-FR" w:bidi="fr-FR"/>
        </w:rPr>
        <w:t>lin seigneurial, figuraient, pour une fraction appréciable, les droits prélevés sur les paysans des alentours, tenanciers ou non, qui tro</w:t>
      </w:r>
      <w:r w:rsidRPr="000F765B">
        <w:rPr>
          <w:lang w:eastAsia="fr-FR" w:bidi="fr-FR"/>
        </w:rPr>
        <w:t>u</w:t>
      </w:r>
      <w:r w:rsidRPr="000F765B">
        <w:rPr>
          <w:lang w:eastAsia="fr-FR" w:bidi="fr-FR"/>
        </w:rPr>
        <w:t>vaient commode d’y faire moudre leur propre blé</w:t>
      </w:r>
      <w:r>
        <w:rPr>
          <w:lang w:eastAsia="fr-FR" w:bidi="fr-FR"/>
        </w:rPr>
        <w:t> </w:t>
      </w:r>
      <w:r>
        <w:rPr>
          <w:rStyle w:val="Appelnotedebasdep"/>
        </w:rPr>
        <w:footnoteReference w:id="797"/>
      </w:r>
      <w:r w:rsidRPr="000F765B">
        <w:rPr>
          <w:lang w:eastAsia="fr-FR" w:bidi="fr-FR"/>
        </w:rPr>
        <w:t>. Peut-être même les tyranneaux locaux cherchaient-ils déjà à transformer cette faculté en contrainte. Mais la coutume manquait encore à sanctionner ces e</w:t>
      </w:r>
      <w:r w:rsidRPr="000F765B">
        <w:rPr>
          <w:lang w:eastAsia="fr-FR" w:bidi="fr-FR"/>
        </w:rPr>
        <w:t>f</w:t>
      </w:r>
      <w:r w:rsidRPr="000F765B">
        <w:rPr>
          <w:lang w:eastAsia="fr-FR" w:bidi="fr-FR"/>
        </w:rPr>
        <w:t xml:space="preserve">forts. Ainsi s’explique que, par exemple, les masoyers des moines de Saint-Bertin, au </w:t>
      </w:r>
      <w:r w:rsidRPr="00B11B39">
        <w:rPr>
          <w:smallCaps/>
          <w:lang w:eastAsia="fr-FR" w:bidi="fr-FR"/>
        </w:rPr>
        <w:t>ix</w:t>
      </w:r>
      <w:r w:rsidRPr="000F765B">
        <w:rPr>
          <w:vertAlign w:val="superscript"/>
          <w:lang w:eastAsia="fr-FR" w:bidi="fr-FR"/>
        </w:rPr>
        <w:t>e</w:t>
      </w:r>
      <w:r w:rsidRPr="000F765B">
        <w:rPr>
          <w:lang w:eastAsia="fr-FR" w:bidi="fr-FR"/>
        </w:rPr>
        <w:t xml:space="preserve"> siècle, les serfs de Saint-Denis à Concevreux, au </w:t>
      </w:r>
      <w:r>
        <w:rPr>
          <w:lang w:eastAsia="fr-FR" w:bidi="fr-FR"/>
        </w:rPr>
        <w:t>X</w:t>
      </w:r>
      <w:r w:rsidRPr="000F765B">
        <w:rPr>
          <w:vertAlign w:val="superscript"/>
          <w:lang w:eastAsia="fr-FR" w:bidi="fr-FR"/>
        </w:rPr>
        <w:t>e</w:t>
      </w:r>
      <w:r w:rsidRPr="000F765B">
        <w:rPr>
          <w:lang w:eastAsia="fr-FR" w:bidi="fr-FR"/>
        </w:rPr>
        <w:t xml:space="preserve"> siècle</w:t>
      </w:r>
      <w:r>
        <w:rPr>
          <w:lang w:eastAsia="fr-FR" w:bidi="fr-FR"/>
        </w:rPr>
        <w:t> — </w:t>
      </w:r>
      <w:r w:rsidRPr="000F765B">
        <w:rPr>
          <w:lang w:eastAsia="fr-FR" w:bidi="fr-FR"/>
        </w:rPr>
        <w:t>comme beaucoup d’autres assurément de leurs pairs, dont</w:t>
      </w:r>
      <w:r>
        <w:rPr>
          <w:lang w:eastAsia="fr-FR" w:bidi="fr-FR"/>
        </w:rPr>
        <w:t xml:space="preserve"> [814] </w:t>
      </w:r>
      <w:r w:rsidRPr="000F765B">
        <w:rPr>
          <w:lang w:eastAsia="fr-FR" w:bidi="fr-FR"/>
        </w:rPr>
        <w:t>aucun texte n’est venu éclairer l’humble histoire</w:t>
      </w:r>
      <w:r>
        <w:rPr>
          <w:lang w:eastAsia="fr-FR" w:bidi="fr-FR"/>
        </w:rPr>
        <w:t> — </w:t>
      </w:r>
      <w:r w:rsidRPr="000F765B">
        <w:rPr>
          <w:lang w:eastAsia="fr-FR" w:bidi="fr-FR"/>
        </w:rPr>
        <w:t>aient pais</w:t>
      </w:r>
      <w:r w:rsidRPr="000F765B">
        <w:rPr>
          <w:lang w:eastAsia="fr-FR" w:bidi="fr-FR"/>
        </w:rPr>
        <w:t>i</w:t>
      </w:r>
      <w:r w:rsidRPr="000F765B">
        <w:rPr>
          <w:lang w:eastAsia="fr-FR" w:bidi="fr-FR"/>
        </w:rPr>
        <w:t>bl</w:t>
      </w:r>
      <w:r w:rsidRPr="000F765B">
        <w:rPr>
          <w:lang w:eastAsia="fr-FR" w:bidi="fr-FR"/>
        </w:rPr>
        <w:t>e</w:t>
      </w:r>
      <w:r w:rsidRPr="000F765B">
        <w:rPr>
          <w:lang w:eastAsia="fr-FR" w:bidi="fr-FR"/>
        </w:rPr>
        <w:t>ment continué à moudre leur blé chez eux et, le plus souvent, de leurs propres mains</w:t>
      </w:r>
      <w:r>
        <w:rPr>
          <w:lang w:eastAsia="fr-FR" w:bidi="fr-FR"/>
        </w:rPr>
        <w:t> </w:t>
      </w:r>
      <w:r>
        <w:rPr>
          <w:rStyle w:val="Appelnotedebasdep"/>
        </w:rPr>
        <w:footnoteReference w:id="798"/>
      </w:r>
      <w:r w:rsidRPr="000F765B">
        <w:rPr>
          <w:lang w:eastAsia="fr-FR" w:bidi="fr-FR"/>
        </w:rPr>
        <w:t>.</w:t>
      </w:r>
    </w:p>
    <w:p w14:paraId="2FD80059" w14:textId="77777777" w:rsidR="00B9662D" w:rsidRPr="000F765B" w:rsidRDefault="00B9662D" w:rsidP="00B9662D">
      <w:pPr>
        <w:spacing w:before="120" w:after="120"/>
        <w:jc w:val="both"/>
      </w:pPr>
      <w:r w:rsidRPr="000F765B">
        <w:rPr>
          <w:lang w:eastAsia="fr-FR" w:bidi="fr-FR"/>
        </w:rPr>
        <w:lastRenderedPageBreak/>
        <w:t xml:space="preserve">Cependant, à partir du </w:t>
      </w:r>
      <w:r>
        <w:rPr>
          <w:lang w:eastAsia="fr-FR" w:bidi="fr-FR"/>
        </w:rPr>
        <w:t>X</w:t>
      </w:r>
      <w:r w:rsidRPr="000F765B">
        <w:rPr>
          <w:vertAlign w:val="superscript"/>
          <w:lang w:eastAsia="fr-FR" w:bidi="fr-FR"/>
        </w:rPr>
        <w:t>e</w:t>
      </w:r>
      <w:r w:rsidRPr="000F765B">
        <w:rPr>
          <w:lang w:eastAsia="fr-FR" w:bidi="fr-FR"/>
        </w:rPr>
        <w:t xml:space="preserve"> siècle, une profonde transformation se fit dans la structure économique et juridique du monde rural. Usant de leurs pouvoirs de commandement</w:t>
      </w:r>
      <w:r>
        <w:rPr>
          <w:lang w:eastAsia="fr-FR" w:bidi="fr-FR"/>
        </w:rPr>
        <w:t> — </w:t>
      </w:r>
      <w:r w:rsidRPr="000F765B">
        <w:rPr>
          <w:lang w:eastAsia="fr-FR" w:bidi="fr-FR"/>
        </w:rPr>
        <w:t>qu’on appelait le « ban »,</w:t>
      </w:r>
      <w:r>
        <w:rPr>
          <w:lang w:eastAsia="fr-FR" w:bidi="fr-FR"/>
        </w:rPr>
        <w:t> — </w:t>
      </w:r>
      <w:r w:rsidRPr="000F765B">
        <w:rPr>
          <w:lang w:eastAsia="fr-FR" w:bidi="fr-FR"/>
        </w:rPr>
        <w:t>les appuyant sur ces pouvoirs de justice dont la carence des États favor</w:t>
      </w:r>
      <w:r w:rsidRPr="000F765B">
        <w:rPr>
          <w:lang w:eastAsia="fr-FR" w:bidi="fr-FR"/>
        </w:rPr>
        <w:t>i</w:t>
      </w:r>
      <w:r w:rsidRPr="000F765B">
        <w:rPr>
          <w:lang w:eastAsia="fr-FR" w:bidi="fr-FR"/>
        </w:rPr>
        <w:t>sait alors le développement, les seigneurs, ou du moins un grand nombre d’entre eux, parvinrent à instituer à leur profit certains mon</w:t>
      </w:r>
      <w:r w:rsidRPr="000F765B">
        <w:rPr>
          <w:lang w:eastAsia="fr-FR" w:bidi="fr-FR"/>
        </w:rPr>
        <w:t>o</w:t>
      </w:r>
      <w:r w:rsidRPr="000F765B">
        <w:rPr>
          <w:lang w:eastAsia="fr-FR" w:bidi="fr-FR"/>
        </w:rPr>
        <w:t>poles : du four, du pressoir ; du verrat ou du taureau ; de la vente du vin ou de la bière, au moins durant certains mois ; de la fourniture des chevaux pour le dépiquage des grains, là où cette pratique était en usage ; enfin</w:t>
      </w:r>
      <w:r>
        <w:rPr>
          <w:lang w:eastAsia="fr-FR" w:bidi="fr-FR"/>
        </w:rPr>
        <w:t> — </w:t>
      </w:r>
      <w:r w:rsidRPr="000F765B">
        <w:rPr>
          <w:lang w:eastAsia="fr-FR" w:bidi="fr-FR"/>
        </w:rPr>
        <w:t>le plus ancien de tous probablement et, sans conteste, le plus répandu</w:t>
      </w:r>
      <w:r>
        <w:rPr>
          <w:lang w:eastAsia="fr-FR" w:bidi="fr-FR"/>
        </w:rPr>
        <w:t> — </w:t>
      </w:r>
      <w:r w:rsidRPr="000F765B">
        <w:rPr>
          <w:lang w:eastAsia="fr-FR" w:bidi="fr-FR"/>
        </w:rPr>
        <w:t>celui du moulin. Or la société, en ce temps, confondait, par principe, le juste avec le déjà vu. L’usurpation, donc, se muant en coutume, les banalités devinrent bientôt partie intégrante de droit seigneurial, pour le rester tant qu’il y eut une seigneurie : au Canada, où avait été importé, sous les Bourbons, le système social français, jusqu’en 1854</w:t>
      </w:r>
      <w:r>
        <w:rPr>
          <w:lang w:eastAsia="fr-FR" w:bidi="fr-FR"/>
        </w:rPr>
        <w:t> </w:t>
      </w:r>
      <w:r>
        <w:rPr>
          <w:rStyle w:val="Appelnotedebasdep"/>
        </w:rPr>
        <w:footnoteReference w:id="799"/>
      </w:r>
      <w:r w:rsidRPr="000F765B">
        <w:rPr>
          <w:lang w:eastAsia="fr-FR" w:bidi="fr-FR"/>
        </w:rPr>
        <w:t>. Désormais le moulin banal fut le seul où les tenanciers de la terre sur laquelle il s’élevait eurent la permission de faire moudre leur grain, moyennant, bien entendu, une honnête rém</w:t>
      </w:r>
      <w:r w:rsidRPr="000F765B">
        <w:rPr>
          <w:lang w:eastAsia="fr-FR" w:bidi="fr-FR"/>
        </w:rPr>
        <w:t>u</w:t>
      </w:r>
      <w:r w:rsidRPr="000F765B">
        <w:rPr>
          <w:lang w:eastAsia="fr-FR" w:bidi="fr-FR"/>
        </w:rPr>
        <w:t>nération au maître des meules et de l’eau. Parfois même</w:t>
      </w:r>
      <w:r>
        <w:rPr>
          <w:lang w:eastAsia="fr-FR" w:bidi="fr-FR"/>
        </w:rPr>
        <w:t> — </w:t>
      </w:r>
      <w:r w:rsidRPr="000F765B">
        <w:rPr>
          <w:lang w:eastAsia="fr-FR" w:bidi="fr-FR"/>
        </w:rPr>
        <w:t>car le ch</w:t>
      </w:r>
      <w:r w:rsidRPr="000F765B">
        <w:rPr>
          <w:lang w:eastAsia="fr-FR" w:bidi="fr-FR"/>
        </w:rPr>
        <w:t>e</w:t>
      </w:r>
      <w:r w:rsidRPr="000F765B">
        <w:rPr>
          <w:lang w:eastAsia="fr-FR" w:bidi="fr-FR"/>
        </w:rPr>
        <w:t>vauchement des droits était de règle</w:t>
      </w:r>
      <w:r>
        <w:rPr>
          <w:lang w:eastAsia="fr-FR" w:bidi="fr-FR"/>
        </w:rPr>
        <w:t> — </w:t>
      </w:r>
      <w:r w:rsidRPr="000F765B">
        <w:rPr>
          <w:lang w:eastAsia="fr-FR" w:bidi="fr-FR"/>
        </w:rPr>
        <w:t xml:space="preserve">l’obligation s’étendait aux manants de seigneuries voisines dont les détenteurs, trop peu puissants ou trop maladroits, n’avaient pas réussi à conquérir pour leur propre compte ce privilège. La théorie juridique française, au </w:t>
      </w:r>
      <w:r>
        <w:rPr>
          <w:lang w:eastAsia="fr-FR" w:bidi="fr-FR"/>
        </w:rPr>
        <w:t>XIII</w:t>
      </w:r>
      <w:r w:rsidRPr="000F765B">
        <w:rPr>
          <w:vertAlign w:val="superscript"/>
          <w:lang w:eastAsia="fr-FR" w:bidi="fr-FR"/>
        </w:rPr>
        <w:t>e</w:t>
      </w:r>
      <w:r w:rsidRPr="000F765B">
        <w:rPr>
          <w:lang w:eastAsia="fr-FR" w:bidi="fr-FR"/>
        </w:rPr>
        <w:t xml:space="preserve"> siècle, n’inclinait-elle pas, non sans quelque schématisme, à le considérer comme inhérent aux pouvoirs judiciaires les plus élevés</w:t>
      </w:r>
      <w:r>
        <w:rPr>
          <w:lang w:eastAsia="fr-FR" w:bidi="fr-FR"/>
        </w:rPr>
        <w:t> — </w:t>
      </w:r>
      <w:r w:rsidRPr="000F765B">
        <w:rPr>
          <w:lang w:eastAsia="fr-FR" w:bidi="fr-FR"/>
        </w:rPr>
        <w:t>la haute justice,</w:t>
      </w:r>
      <w:r>
        <w:rPr>
          <w:lang w:eastAsia="fr-FR" w:bidi="fr-FR"/>
        </w:rPr>
        <w:t> — </w:t>
      </w:r>
      <w:r w:rsidRPr="000F765B">
        <w:rPr>
          <w:lang w:eastAsia="fr-FR" w:bidi="fr-FR"/>
        </w:rPr>
        <w:t xml:space="preserve">et à ceux-là seulement ? Ainsi, lorsqu’à partir du </w:t>
      </w:r>
      <w:r>
        <w:rPr>
          <w:lang w:eastAsia="fr-FR" w:bidi="fr-FR"/>
        </w:rPr>
        <w:t>XI</w:t>
      </w:r>
      <w:r w:rsidRPr="000F765B">
        <w:rPr>
          <w:vertAlign w:val="superscript"/>
          <w:lang w:eastAsia="fr-FR" w:bidi="fr-FR"/>
        </w:rPr>
        <w:t>e</w:t>
      </w:r>
      <w:r w:rsidRPr="000F765B">
        <w:rPr>
          <w:lang w:eastAsia="fr-FR" w:bidi="fr-FR"/>
        </w:rPr>
        <w:t xml:space="preserve"> et du </w:t>
      </w:r>
      <w:r w:rsidRPr="00D4545E">
        <w:rPr>
          <w:smallCaps/>
          <w:lang w:eastAsia="fr-FR" w:bidi="fr-FR"/>
        </w:rPr>
        <w:t>xii</w:t>
      </w:r>
      <w:r w:rsidRPr="000F765B">
        <w:rPr>
          <w:vertAlign w:val="superscript"/>
          <w:lang w:eastAsia="fr-FR" w:bidi="fr-FR"/>
        </w:rPr>
        <w:t>e</w:t>
      </w:r>
      <w:r w:rsidRPr="000F765B">
        <w:rPr>
          <w:lang w:eastAsia="fr-FR" w:bidi="fr-FR"/>
        </w:rPr>
        <w:t xml:space="preserve"> siècle les grandes réserves domaniales d’autrefois eurent presque partout commencé à s’effriter et qu’un peu plus tard, dans les red</w:t>
      </w:r>
      <w:r w:rsidRPr="000F765B">
        <w:rPr>
          <w:lang w:eastAsia="fr-FR" w:bidi="fr-FR"/>
        </w:rPr>
        <w:t>e</w:t>
      </w:r>
      <w:r w:rsidRPr="000F765B">
        <w:rPr>
          <w:lang w:eastAsia="fr-FR" w:bidi="fr-FR"/>
        </w:rPr>
        <w:t>vances, l’argent prit progressivement la place des paiements en nature, les moulins seigneuriaux qui, sous l’ancien régime de liberté, eussent été par là menacés de chômage, durent à la clientèle que leur assurait la rigueur des coutumes les avantages d’une longue et fructueuse ca</w:t>
      </w:r>
      <w:r w:rsidRPr="000F765B">
        <w:rPr>
          <w:lang w:eastAsia="fr-FR" w:bidi="fr-FR"/>
        </w:rPr>
        <w:t>r</w:t>
      </w:r>
      <w:r w:rsidRPr="000F765B">
        <w:rPr>
          <w:lang w:eastAsia="fr-FR" w:bidi="fr-FR"/>
        </w:rPr>
        <w:t>rière.</w:t>
      </w:r>
    </w:p>
    <w:p w14:paraId="0C922F46" w14:textId="77777777" w:rsidR="00B9662D" w:rsidRPr="000F765B" w:rsidRDefault="00B9662D" w:rsidP="00B9662D">
      <w:pPr>
        <w:spacing w:before="120" w:after="120"/>
        <w:jc w:val="both"/>
      </w:pPr>
      <w:r>
        <w:rPr>
          <w:lang w:eastAsia="fr-FR" w:bidi="fr-FR"/>
        </w:rPr>
        <w:br w:type="page"/>
      </w:r>
      <w:r w:rsidRPr="000F765B">
        <w:rPr>
          <w:lang w:eastAsia="fr-FR" w:bidi="fr-FR"/>
        </w:rPr>
        <w:lastRenderedPageBreak/>
        <w:t>On s’en doute bien, l’exercice d’une pareille servitude n’alla point sans luttes. S’opposer, sur le territoire banal, à la construction d’autres moulins à eau, à vent, voire à chevaux, n’était pas le plus difficile. Une bonne police, des accords opportunément conclus pouvaient su</w:t>
      </w:r>
      <w:r w:rsidRPr="000F765B">
        <w:rPr>
          <w:lang w:eastAsia="fr-FR" w:bidi="fr-FR"/>
        </w:rPr>
        <w:t>f</w:t>
      </w:r>
      <w:r w:rsidRPr="000F765B">
        <w:rPr>
          <w:lang w:eastAsia="fr-FR" w:bidi="fr-FR"/>
        </w:rPr>
        <w:t>fire à empêcher les paysans de porter leur blé aux concurrents d’alentour. Mais un obstacle autrement grave naissait de la multiplic</w:t>
      </w:r>
      <w:r w:rsidRPr="000F765B">
        <w:rPr>
          <w:lang w:eastAsia="fr-FR" w:bidi="fr-FR"/>
        </w:rPr>
        <w:t>i</w:t>
      </w:r>
      <w:r w:rsidRPr="000F765B">
        <w:rPr>
          <w:lang w:eastAsia="fr-FR" w:bidi="fr-FR"/>
        </w:rPr>
        <w:t>té des meules domestiques, obstinées au travail, depuis des siècles, presque dans chaque chaumière. Les seigneurs leur déclarèrent la guerre.</w:t>
      </w:r>
    </w:p>
    <w:p w14:paraId="5F2C5B35" w14:textId="77777777" w:rsidR="00B9662D" w:rsidRPr="000F765B" w:rsidRDefault="00B9662D" w:rsidP="00B9662D">
      <w:pPr>
        <w:spacing w:before="120" w:after="120"/>
        <w:jc w:val="both"/>
      </w:pPr>
      <w:r>
        <w:t>[</w:t>
      </w:r>
      <w:r w:rsidRPr="000F765B">
        <w:rPr>
          <w:lang w:eastAsia="fr-FR" w:bidi="fr-FR"/>
        </w:rPr>
        <w:t>815</w:t>
      </w:r>
      <w:r>
        <w:rPr>
          <w:lang w:eastAsia="fr-FR" w:bidi="fr-FR"/>
        </w:rPr>
        <w:t>]</w:t>
      </w:r>
    </w:p>
    <w:p w14:paraId="43B3E4BC" w14:textId="77777777" w:rsidR="00B9662D" w:rsidRPr="000F765B" w:rsidRDefault="00B9662D" w:rsidP="00B9662D">
      <w:pPr>
        <w:spacing w:before="120" w:after="120"/>
        <w:jc w:val="both"/>
      </w:pPr>
      <w:r w:rsidRPr="000F765B">
        <w:rPr>
          <w:lang w:eastAsia="fr-FR" w:bidi="fr-FR"/>
        </w:rPr>
        <w:t>De cette longue querelle, malheureusement, en ce qui concerne la plus grande partie de la France, et peut-être aussi de l’Allemagne, le récit sera toujours impossible à écrire par le menu. Du moins autant que m’a permis de m’en assurer une enquête par définition fort i</w:t>
      </w:r>
      <w:r w:rsidRPr="000F765B">
        <w:rPr>
          <w:lang w:eastAsia="fr-FR" w:bidi="fr-FR"/>
        </w:rPr>
        <w:t>n</w:t>
      </w:r>
      <w:r w:rsidRPr="000F765B">
        <w:rPr>
          <w:lang w:eastAsia="fr-FR" w:bidi="fr-FR"/>
        </w:rPr>
        <w:t>complète et dont le rendement a été, en outre, beaucoup réduit par les effets d’une des plus fâcheuses lacunes de notre technique, à nous. Je veux parler de la regrettable</w:t>
      </w:r>
      <w:r>
        <w:rPr>
          <w:lang w:eastAsia="fr-FR" w:bidi="fr-FR"/>
        </w:rPr>
        <w:t> — </w:t>
      </w:r>
      <w:r w:rsidRPr="000F765B">
        <w:rPr>
          <w:lang w:eastAsia="fr-FR" w:bidi="fr-FR"/>
        </w:rPr>
        <w:t>tranchons le mot</w:t>
      </w:r>
      <w:r>
        <w:rPr>
          <w:lang w:eastAsia="fr-FR" w:bidi="fr-FR"/>
        </w:rPr>
        <w:t> — </w:t>
      </w:r>
      <w:r w:rsidRPr="000F765B">
        <w:rPr>
          <w:lang w:eastAsia="fr-FR" w:bidi="fr-FR"/>
        </w:rPr>
        <w:t>de la sotte habit</w:t>
      </w:r>
      <w:r w:rsidRPr="000F765B">
        <w:rPr>
          <w:lang w:eastAsia="fr-FR" w:bidi="fr-FR"/>
        </w:rPr>
        <w:t>u</w:t>
      </w:r>
      <w:r w:rsidRPr="000F765B">
        <w:rPr>
          <w:lang w:eastAsia="fr-FR" w:bidi="fr-FR"/>
        </w:rPr>
        <w:t>de qui autorise les éditeurs de chartes à priver leurs lecteurs de tout index par matières : comme si ces recueils n’étaient au monde que pour favoriser, grâce aux tables de noms propres, les jeux des géné</w:t>
      </w:r>
      <w:r w:rsidRPr="000F765B">
        <w:rPr>
          <w:lang w:eastAsia="fr-FR" w:bidi="fr-FR"/>
        </w:rPr>
        <w:t>a</w:t>
      </w:r>
      <w:r w:rsidRPr="000F765B">
        <w:rPr>
          <w:lang w:eastAsia="fr-FR" w:bidi="fr-FR"/>
        </w:rPr>
        <w:t>logistes ! L’absence de témoignages de masse paraît néanmoins ce</w:t>
      </w:r>
      <w:r w:rsidRPr="000F765B">
        <w:rPr>
          <w:lang w:eastAsia="fr-FR" w:bidi="fr-FR"/>
        </w:rPr>
        <w:t>r</w:t>
      </w:r>
      <w:r w:rsidRPr="000F765B">
        <w:rPr>
          <w:lang w:eastAsia="fr-FR" w:bidi="fr-FR"/>
        </w:rPr>
        <w:t>taine. Aussi bien, pour la France en particulier, le silence des doc</w:t>
      </w:r>
      <w:r w:rsidRPr="000F765B">
        <w:rPr>
          <w:lang w:eastAsia="fr-FR" w:bidi="fr-FR"/>
        </w:rPr>
        <w:t>u</w:t>
      </w:r>
      <w:r w:rsidRPr="000F765B">
        <w:rPr>
          <w:lang w:eastAsia="fr-FR" w:bidi="fr-FR"/>
        </w:rPr>
        <w:t>ments est-il aisément explicable. Notre pays fut la terre d’élection des banalités. Elles ne s’y étendirent pas seulement à un nombre d’activités plus qu’ailleurs élevé ; elles y triomphèrent aussi, dans to</w:t>
      </w:r>
      <w:r w:rsidRPr="000F765B">
        <w:rPr>
          <w:lang w:eastAsia="fr-FR" w:bidi="fr-FR"/>
        </w:rPr>
        <w:t>u</w:t>
      </w:r>
      <w:r w:rsidRPr="000F765B">
        <w:rPr>
          <w:lang w:eastAsia="fr-FR" w:bidi="fr-FR"/>
        </w:rPr>
        <w:t xml:space="preserve">te leur rigueur, remarquablement tôt. Or, en raison de cette précocité même, la période de leur établissement qui couvrit, en gros, les </w:t>
      </w:r>
      <w:r w:rsidRPr="0074297F">
        <w:rPr>
          <w:caps/>
          <w:lang w:eastAsia="fr-FR" w:bidi="fr-FR"/>
        </w:rPr>
        <w:t>x</w:t>
      </w:r>
      <w:r w:rsidRPr="000F765B">
        <w:rPr>
          <w:vertAlign w:val="superscript"/>
          <w:lang w:eastAsia="fr-FR" w:bidi="fr-FR"/>
        </w:rPr>
        <w:t>e</w:t>
      </w:r>
      <w:r w:rsidRPr="000F765B">
        <w:rPr>
          <w:lang w:eastAsia="fr-FR" w:bidi="fr-FR"/>
        </w:rPr>
        <w:t xml:space="preserve"> et </w:t>
      </w:r>
      <w:r w:rsidRPr="0074297F">
        <w:rPr>
          <w:caps/>
          <w:lang w:eastAsia="fr-FR" w:bidi="fr-FR"/>
        </w:rPr>
        <w:t>xi</w:t>
      </w:r>
      <w:r w:rsidRPr="000F765B">
        <w:rPr>
          <w:vertAlign w:val="superscript"/>
          <w:lang w:eastAsia="fr-FR" w:bidi="fr-FR"/>
        </w:rPr>
        <w:t>e</w:t>
      </w:r>
      <w:r w:rsidRPr="000F765B">
        <w:rPr>
          <w:lang w:eastAsia="fr-FR" w:bidi="fr-FR"/>
        </w:rPr>
        <w:t xml:space="preserve"> siècles, se trouve coïncider avec la plus grande pauvreté d’écrits qu’ait connue le Moyen </w:t>
      </w:r>
      <w:r>
        <w:rPr>
          <w:lang w:eastAsia="fr-FR" w:bidi="fr-FR"/>
        </w:rPr>
        <w:t>Â</w:t>
      </w:r>
      <w:r w:rsidRPr="000F765B">
        <w:rPr>
          <w:lang w:eastAsia="fr-FR" w:bidi="fr-FR"/>
        </w:rPr>
        <w:t>ge. Lorsque les sources redevinrent abo</w:t>
      </w:r>
      <w:r w:rsidRPr="000F765B">
        <w:rPr>
          <w:lang w:eastAsia="fr-FR" w:bidi="fr-FR"/>
        </w:rPr>
        <w:t>n</w:t>
      </w:r>
      <w:r w:rsidRPr="000F765B">
        <w:rPr>
          <w:lang w:eastAsia="fr-FR" w:bidi="fr-FR"/>
        </w:rPr>
        <w:t>dantes, la phase décisive de la lutte était déjà passée. Voit-on, par grand hasard, dans un accord de 1207, les moines de Jumièges faire briser ce qui pouvait subsister de meules à mains sur la terre de Vivi</w:t>
      </w:r>
      <w:r w:rsidRPr="000F765B">
        <w:rPr>
          <w:lang w:eastAsia="fr-FR" w:bidi="fr-FR"/>
        </w:rPr>
        <w:t>l</w:t>
      </w:r>
      <w:r w:rsidRPr="000F765B">
        <w:rPr>
          <w:lang w:eastAsia="fr-FR" w:bidi="fr-FR"/>
        </w:rPr>
        <w:t>le ? C’est, sans doute, que ce petit fief, découpé dans les possessions du monastère au profit d’un haut sergent de l’abbé, avait échappé, en pratique, pendant longtemps, au réseau des droits banaux</w:t>
      </w:r>
      <w:r>
        <w:rPr>
          <w:lang w:eastAsia="fr-FR" w:bidi="fr-FR"/>
        </w:rPr>
        <w:t> </w:t>
      </w:r>
      <w:r>
        <w:rPr>
          <w:rStyle w:val="Appelnotedebasdep"/>
        </w:rPr>
        <w:footnoteReference w:id="800"/>
      </w:r>
      <w:r w:rsidRPr="000F765B">
        <w:rPr>
          <w:lang w:eastAsia="fr-FR" w:bidi="fr-FR"/>
        </w:rPr>
        <w:t xml:space="preserve">. </w:t>
      </w:r>
      <w:r w:rsidRPr="000F765B">
        <w:rPr>
          <w:lang w:eastAsia="fr-FR" w:bidi="fr-FR"/>
        </w:rPr>
        <w:lastRenderedPageBreak/>
        <w:t>Les sc</w:t>
      </w:r>
      <w:r w:rsidRPr="000F765B">
        <w:rPr>
          <w:lang w:eastAsia="fr-FR" w:bidi="fr-FR"/>
        </w:rPr>
        <w:t>è</w:t>
      </w:r>
      <w:r w:rsidRPr="000F765B">
        <w:rPr>
          <w:lang w:eastAsia="fr-FR" w:bidi="fr-FR"/>
        </w:rPr>
        <w:t>nes qui</w:t>
      </w:r>
      <w:r>
        <w:rPr>
          <w:lang w:eastAsia="fr-FR" w:bidi="fr-FR"/>
        </w:rPr>
        <w:t xml:space="preserve"> se déroulèrent, sous Philippe-</w:t>
      </w:r>
      <w:r w:rsidRPr="000F765B">
        <w:rPr>
          <w:lang w:eastAsia="fr-FR" w:bidi="fr-FR"/>
        </w:rPr>
        <w:t>Auguste, dans ce coin de la camp</w:t>
      </w:r>
      <w:r w:rsidRPr="000F765B">
        <w:rPr>
          <w:lang w:eastAsia="fr-FR" w:bidi="fr-FR"/>
        </w:rPr>
        <w:t>a</w:t>
      </w:r>
      <w:r w:rsidRPr="000F765B">
        <w:rPr>
          <w:lang w:eastAsia="fr-FR" w:bidi="fr-FR"/>
        </w:rPr>
        <w:t>gne normande, avaient dû avoir bien des précédents au temps des de</w:t>
      </w:r>
      <w:r w:rsidRPr="000F765B">
        <w:rPr>
          <w:lang w:eastAsia="fr-FR" w:bidi="fr-FR"/>
        </w:rPr>
        <w:t>r</w:t>
      </w:r>
      <w:r w:rsidRPr="000F765B">
        <w:rPr>
          <w:lang w:eastAsia="fr-FR" w:bidi="fr-FR"/>
        </w:rPr>
        <w:t>niers Carolingiens ou des premiers Capétiens. Mais en dehors des pr</w:t>
      </w:r>
      <w:r w:rsidRPr="000F765B">
        <w:rPr>
          <w:lang w:eastAsia="fr-FR" w:bidi="fr-FR"/>
        </w:rPr>
        <w:t>i</w:t>
      </w:r>
      <w:r w:rsidRPr="000F765B">
        <w:rPr>
          <w:lang w:eastAsia="fr-FR" w:bidi="fr-FR"/>
        </w:rPr>
        <w:t>ses de l’histoire.</w:t>
      </w:r>
    </w:p>
    <w:p w14:paraId="675ACA06" w14:textId="77777777" w:rsidR="00B9662D" w:rsidRPr="000F765B" w:rsidRDefault="00B9662D" w:rsidP="00B9662D">
      <w:pPr>
        <w:spacing w:before="120" w:after="120"/>
        <w:jc w:val="both"/>
      </w:pPr>
      <w:r w:rsidRPr="000F765B">
        <w:rPr>
          <w:lang w:eastAsia="fr-FR" w:bidi="fr-FR"/>
        </w:rPr>
        <w:t xml:space="preserve">La victoire, cependant, n’était pas si complète, à la fin du Moyen </w:t>
      </w:r>
      <w:r>
        <w:rPr>
          <w:lang w:eastAsia="fr-FR" w:bidi="fr-FR"/>
        </w:rPr>
        <w:t>Â</w:t>
      </w:r>
      <w:r w:rsidRPr="000F765B">
        <w:rPr>
          <w:lang w:eastAsia="fr-FR" w:bidi="fr-FR"/>
        </w:rPr>
        <w:t>ge, qu’il ne subsistât çà et là, employés de façon plus ou moins i</w:t>
      </w:r>
      <w:r w:rsidRPr="000F765B">
        <w:rPr>
          <w:lang w:eastAsia="fr-FR" w:bidi="fr-FR"/>
        </w:rPr>
        <w:t>n</w:t>
      </w:r>
      <w:r w:rsidRPr="000F765B">
        <w:rPr>
          <w:lang w:eastAsia="fr-FR" w:bidi="fr-FR"/>
        </w:rPr>
        <w:t xml:space="preserve">termittente, beaucoup des vieux instruments manuels. Si l’usage, au </w:t>
      </w:r>
      <w:r w:rsidRPr="00327B8F">
        <w:rPr>
          <w:caps/>
          <w:lang w:eastAsia="fr-FR" w:bidi="fr-FR"/>
        </w:rPr>
        <w:t>xiv</w:t>
      </w:r>
      <w:r w:rsidRPr="000F765B">
        <w:rPr>
          <w:vertAlign w:val="superscript"/>
          <w:lang w:eastAsia="fr-FR" w:bidi="fr-FR"/>
        </w:rPr>
        <w:t>e</w:t>
      </w:r>
      <w:r w:rsidRPr="000F765B">
        <w:rPr>
          <w:lang w:eastAsia="fr-FR" w:bidi="fr-FR"/>
        </w:rPr>
        <w:t xml:space="preserve"> siècle, n’en avait été encore familier, eût-on vu, durant l’hiver de 1445, les Écorcheurs, que le Dauphin de France avait cantonnés en Alsace, forcer leurs prisonniers, comme jadis le maître antique ses esclaves, à tourner la meule</w:t>
      </w:r>
      <w:r>
        <w:rPr>
          <w:lang w:eastAsia="fr-FR" w:bidi="fr-FR"/>
        </w:rPr>
        <w:t> </w:t>
      </w:r>
      <w:r>
        <w:rPr>
          <w:rStyle w:val="Appelnotedebasdep"/>
        </w:rPr>
        <w:footnoteReference w:id="801"/>
      </w:r>
      <w:r w:rsidRPr="000F765B">
        <w:rPr>
          <w:lang w:eastAsia="fr-FR" w:bidi="fr-FR"/>
        </w:rPr>
        <w:t> ? Dans les villes, les personnages que leur rang mettait à l’abri des contraintes banales ne dédaignaient point de pratiquer à l’occasion la mouture domestique à bras : tel, dans les années qui précédèrent 1380, un chanoine de Montpezat en Quercy</w:t>
      </w:r>
      <w:r>
        <w:rPr>
          <w:lang w:eastAsia="fr-FR" w:bidi="fr-FR"/>
        </w:rPr>
        <w:t> </w:t>
      </w:r>
      <w:r>
        <w:rPr>
          <w:rStyle w:val="Appelnotedebasdep"/>
        </w:rPr>
        <w:footnoteReference w:id="802"/>
      </w:r>
      <w:r w:rsidRPr="000F765B">
        <w:rPr>
          <w:lang w:eastAsia="fr-FR" w:bidi="fr-FR"/>
        </w:rPr>
        <w:t>. Surtout, dans les campagnes, l’autorité seigneuriale, volontiers traca</w:t>
      </w:r>
      <w:r w:rsidRPr="000F765B">
        <w:rPr>
          <w:lang w:eastAsia="fr-FR" w:bidi="fr-FR"/>
        </w:rPr>
        <w:t>s</w:t>
      </w:r>
      <w:r w:rsidRPr="000F765B">
        <w:rPr>
          <w:lang w:eastAsia="fr-FR" w:bidi="fr-FR"/>
        </w:rPr>
        <w:t>sière, mais assez mal servie, était le plus souvent incapable de la continuité d’action qui, seule, eût permis de réduire les paysans « à la nuque dure », réfugiés dans leur merveilleuse</w:t>
      </w:r>
      <w:r>
        <w:rPr>
          <w:lang w:eastAsia="fr-FR" w:bidi="fr-FR"/>
        </w:rPr>
        <w:t xml:space="preserve"> [816] </w:t>
      </w:r>
      <w:r w:rsidRPr="000F765B">
        <w:rPr>
          <w:lang w:eastAsia="fr-FR" w:bidi="fr-FR"/>
        </w:rPr>
        <w:t>inertie. Au moins dans certaines régions, il lui restait beaucoup à faire lorsque</w:t>
      </w:r>
      <w:r>
        <w:rPr>
          <w:lang w:eastAsia="fr-FR" w:bidi="fr-FR"/>
        </w:rPr>
        <w:t>, dans les derniers siècles de l’</w:t>
      </w:r>
      <w:r w:rsidRPr="000F765B">
        <w:rPr>
          <w:lang w:eastAsia="fr-FR" w:bidi="fr-FR"/>
        </w:rPr>
        <w:t>ère moderne, des forces nouvelles entrèrent en jeu, au grand dam des routines rurales.</w:t>
      </w:r>
    </w:p>
    <w:p w14:paraId="21053E32" w14:textId="77777777" w:rsidR="00B9662D" w:rsidRPr="000F765B" w:rsidRDefault="00B9662D" w:rsidP="00B9662D">
      <w:pPr>
        <w:spacing w:before="120" w:after="120"/>
        <w:jc w:val="both"/>
      </w:pPr>
      <w:r w:rsidRPr="000F765B">
        <w:rPr>
          <w:lang w:eastAsia="fr-FR" w:bidi="fr-FR"/>
        </w:rPr>
        <w:t xml:space="preserve">En Allemagne, les souverains des « territoires » avaient accaparé une partie considérable des droits de banalité qui, de tout temps moins morcelés là-bas que chez nous, y avaient été, peut-être dès l’origine, affectés d’un caractère régalien. Ils jetèrent dans la balance toute leur vigueur policière : ainsi l’État prussien, au </w:t>
      </w:r>
      <w:r>
        <w:rPr>
          <w:lang w:eastAsia="fr-FR" w:bidi="fr-FR"/>
        </w:rPr>
        <w:t>XVIII</w:t>
      </w:r>
      <w:r w:rsidRPr="000F765B">
        <w:rPr>
          <w:vertAlign w:val="superscript"/>
          <w:lang w:eastAsia="fr-FR" w:bidi="fr-FR"/>
        </w:rPr>
        <w:t>e</w:t>
      </w:r>
      <w:r w:rsidRPr="000F765B">
        <w:rPr>
          <w:lang w:eastAsia="fr-FR" w:bidi="fr-FR"/>
        </w:rPr>
        <w:t xml:space="preserve"> siècle et au début du </w:t>
      </w:r>
      <w:r>
        <w:rPr>
          <w:lang w:eastAsia="fr-FR" w:bidi="fr-FR"/>
        </w:rPr>
        <w:t>XIX</w:t>
      </w:r>
      <w:r w:rsidRPr="000F765B">
        <w:rPr>
          <w:vertAlign w:val="superscript"/>
          <w:lang w:eastAsia="fr-FR" w:bidi="fr-FR"/>
        </w:rPr>
        <w:t>e</w:t>
      </w:r>
      <w:r w:rsidRPr="000F765B">
        <w:rPr>
          <w:lang w:eastAsia="fr-FR" w:bidi="fr-FR"/>
        </w:rPr>
        <w:t>, dans la Westphalie, la Poméranie, la Prusse Orientale, Mais, dans cette dernière province, les meules à mains étaient si insépa</w:t>
      </w:r>
      <w:r w:rsidRPr="000F765B">
        <w:rPr>
          <w:lang w:eastAsia="fr-FR" w:bidi="fr-FR"/>
        </w:rPr>
        <w:lastRenderedPageBreak/>
        <w:t>r</w:t>
      </w:r>
      <w:r w:rsidRPr="000F765B">
        <w:rPr>
          <w:lang w:eastAsia="fr-FR" w:bidi="fr-FR"/>
        </w:rPr>
        <w:t>a</w:t>
      </w:r>
      <w:r w:rsidRPr="000F765B">
        <w:rPr>
          <w:lang w:eastAsia="fr-FR" w:bidi="fr-FR"/>
        </w:rPr>
        <w:t>bles de l’équipement traditionnel cher aux populations slaves qu’il fallut parfois se contenter de les interdire aux colons allemands et, pour les autres habitants, d’en limiter le nombre</w:t>
      </w:r>
      <w:r>
        <w:rPr>
          <w:lang w:eastAsia="fr-FR" w:bidi="fr-FR"/>
        </w:rPr>
        <w:t> </w:t>
      </w:r>
      <w:r>
        <w:rPr>
          <w:rStyle w:val="Appelnotedebasdep"/>
        </w:rPr>
        <w:footnoteReference w:id="803"/>
      </w:r>
      <w:r w:rsidRPr="000F765B">
        <w:rPr>
          <w:lang w:eastAsia="fr-FR" w:bidi="fr-FR"/>
        </w:rPr>
        <w:t>. En France, la repr</w:t>
      </w:r>
      <w:r w:rsidRPr="000F765B">
        <w:rPr>
          <w:lang w:eastAsia="fr-FR" w:bidi="fr-FR"/>
        </w:rPr>
        <w:t>i</w:t>
      </w:r>
      <w:r w:rsidRPr="000F765B">
        <w:rPr>
          <w:lang w:eastAsia="fr-FR" w:bidi="fr-FR"/>
        </w:rPr>
        <w:t xml:space="preserve">se de la lutte, avec des moyens accrus, fut un des aspects de cette « réaction seigneuriale » des </w:t>
      </w:r>
      <w:r>
        <w:rPr>
          <w:lang w:eastAsia="fr-FR" w:bidi="fr-FR"/>
        </w:rPr>
        <w:t>XVII</w:t>
      </w:r>
      <w:r w:rsidRPr="000F765B">
        <w:rPr>
          <w:vertAlign w:val="superscript"/>
          <w:lang w:eastAsia="fr-FR" w:bidi="fr-FR"/>
        </w:rPr>
        <w:t>e</w:t>
      </w:r>
      <w:r w:rsidRPr="000F765B">
        <w:rPr>
          <w:lang w:eastAsia="fr-FR" w:bidi="fr-FR"/>
        </w:rPr>
        <w:t xml:space="preserve"> et </w:t>
      </w:r>
      <w:r>
        <w:rPr>
          <w:lang w:eastAsia="fr-FR" w:bidi="fr-FR"/>
        </w:rPr>
        <w:t>XVIII</w:t>
      </w:r>
      <w:r w:rsidRPr="000F765B">
        <w:rPr>
          <w:vertAlign w:val="superscript"/>
          <w:lang w:eastAsia="fr-FR" w:bidi="fr-FR"/>
        </w:rPr>
        <w:t>e</w:t>
      </w:r>
      <w:r w:rsidRPr="000F765B">
        <w:rPr>
          <w:lang w:eastAsia="fr-FR" w:bidi="fr-FR"/>
        </w:rPr>
        <w:t xml:space="preserve"> siècles qui, dans les grands corps de justice, citadelles des privilégiés, trouva une aide si efficace. Tour à tour, les Parlements de Dijon et de Rouen pourchass</w:t>
      </w:r>
      <w:r w:rsidRPr="000F765B">
        <w:rPr>
          <w:lang w:eastAsia="fr-FR" w:bidi="fr-FR"/>
        </w:rPr>
        <w:t>è</w:t>
      </w:r>
      <w:r w:rsidRPr="000F765B">
        <w:rPr>
          <w:lang w:eastAsia="fr-FR" w:bidi="fr-FR"/>
        </w:rPr>
        <w:t>rent les meules à bras. Entre tous, le combat fut âpre en Bretagne, où l’outillage de la vie rustique en général demeura longtemps et jusqu’à nos jours singulièrement primitif. La fidélité aux anciens procédés de broyage semble, d’ailleurs, avoir été répandue beaucoup moins dans la Bretagne occidentale, tout entière de langue celte, que dans les ca</w:t>
      </w:r>
      <w:r w:rsidRPr="000F765B">
        <w:rPr>
          <w:lang w:eastAsia="fr-FR" w:bidi="fr-FR"/>
        </w:rPr>
        <w:t>n</w:t>
      </w:r>
      <w:r w:rsidRPr="000F765B">
        <w:rPr>
          <w:lang w:eastAsia="fr-FR" w:bidi="fr-FR"/>
        </w:rPr>
        <w:t>tons de l’Est, en grande partie « gallos », mais qui, alors, étaient peut-être les plus pauvres. Les manants, à les en croire, auraient eu recours à ces pratiques seulement en cas de sécheresse ou de mauvais fon</w:t>
      </w:r>
      <w:r w:rsidRPr="000F765B">
        <w:rPr>
          <w:lang w:eastAsia="fr-FR" w:bidi="fr-FR"/>
        </w:rPr>
        <w:t>c</w:t>
      </w:r>
      <w:r w:rsidRPr="000F765B">
        <w:rPr>
          <w:lang w:eastAsia="fr-FR" w:bidi="fr-FR"/>
        </w:rPr>
        <w:t>tionnement du moulin banal, ou encore pour le blé noir que, paraît-il, les meuniers fréquemment refusaient. On ne saurait cependant douter qu’en réalité la concurrence de tant de « moulinets », dissimulés dans les chaumines, ne portât de rudes atteintes aux profits du monopole légal. Aussi bien, les seigneurs prétendaient-ils moins les supprimer qu’en subordonner l’emploi au paiement d’une redevance. La mult</w:t>
      </w:r>
      <w:r w:rsidRPr="000F765B">
        <w:rPr>
          <w:lang w:eastAsia="fr-FR" w:bidi="fr-FR"/>
        </w:rPr>
        <w:t>i</w:t>
      </w:r>
      <w:r w:rsidRPr="000F765B">
        <w:rPr>
          <w:lang w:eastAsia="fr-FR" w:bidi="fr-FR"/>
        </w:rPr>
        <w:t xml:space="preserve">plicité même des arrêts successivement rendus par le Parlement de Rennes atteste l’acharnement de la résistance. Parmi toutes les formes de la « tyrannie féodale », celle-là provoqua encore, en 1789, </w:t>
      </w:r>
      <w:r w:rsidRPr="000F765B">
        <w:rPr>
          <w:lang w:eastAsia="fr-FR" w:bidi="fr-FR"/>
        </w:rPr>
        <w:lastRenderedPageBreak/>
        <w:t>que</w:t>
      </w:r>
      <w:r w:rsidRPr="000F765B">
        <w:rPr>
          <w:lang w:eastAsia="fr-FR" w:bidi="fr-FR"/>
        </w:rPr>
        <w:t>l</w:t>
      </w:r>
      <w:r w:rsidRPr="000F765B">
        <w:rPr>
          <w:lang w:eastAsia="fr-FR" w:bidi="fr-FR"/>
        </w:rPr>
        <w:t>ques-unes des protestations les plus vives qu’aient enregistrées les cahiers bretons</w:t>
      </w:r>
      <w:r>
        <w:rPr>
          <w:lang w:eastAsia="fr-FR" w:bidi="fr-FR"/>
        </w:rPr>
        <w:t> </w:t>
      </w:r>
      <w:r>
        <w:rPr>
          <w:rStyle w:val="Appelnotedebasdep"/>
        </w:rPr>
        <w:footnoteReference w:id="804"/>
      </w:r>
      <w:r w:rsidRPr="000F765B">
        <w:rPr>
          <w:lang w:eastAsia="fr-FR" w:bidi="fr-FR"/>
        </w:rPr>
        <w:t>.</w:t>
      </w:r>
    </w:p>
    <w:p w14:paraId="612FBADC" w14:textId="77777777" w:rsidR="00B9662D" w:rsidRPr="000F765B" w:rsidRDefault="00B9662D" w:rsidP="00B9662D">
      <w:pPr>
        <w:spacing w:before="120" w:after="120"/>
        <w:jc w:val="both"/>
      </w:pPr>
      <w:r>
        <w:rPr>
          <w:lang w:eastAsia="fr-FR" w:bidi="fr-FR"/>
        </w:rPr>
        <w:t>[817]</w:t>
      </w:r>
    </w:p>
    <w:p w14:paraId="7F207AAF" w14:textId="77777777" w:rsidR="00B9662D" w:rsidRPr="000F765B" w:rsidRDefault="00B9662D" w:rsidP="00B9662D">
      <w:pPr>
        <w:spacing w:before="120" w:after="120"/>
        <w:jc w:val="both"/>
      </w:pPr>
      <w:r w:rsidRPr="000F765B">
        <w:rPr>
          <w:lang w:eastAsia="fr-FR" w:bidi="fr-FR"/>
        </w:rPr>
        <w:t>Mais c’est en Angleterre surtout que la guerre de l’eau et du vent contre la force des bras apparaît en pleine lumière.</w:t>
      </w:r>
    </w:p>
    <w:p w14:paraId="1C0F99F1" w14:textId="77777777" w:rsidR="00B9662D" w:rsidRPr="000F765B" w:rsidRDefault="00B9662D" w:rsidP="00B9662D">
      <w:pPr>
        <w:spacing w:before="120" w:after="120"/>
        <w:jc w:val="both"/>
      </w:pPr>
      <w:r w:rsidRPr="000F765B">
        <w:rPr>
          <w:lang w:eastAsia="fr-FR" w:bidi="fr-FR"/>
        </w:rPr>
        <w:t>Les droits banaux n’étaient pas, en Angleterre, une institution ind</w:t>
      </w:r>
      <w:r w:rsidRPr="000F765B">
        <w:rPr>
          <w:lang w:eastAsia="fr-FR" w:bidi="fr-FR"/>
        </w:rPr>
        <w:t>i</w:t>
      </w:r>
      <w:r w:rsidRPr="000F765B">
        <w:rPr>
          <w:lang w:eastAsia="fr-FR" w:bidi="fr-FR"/>
        </w:rPr>
        <w:t>gène. Les conquérants normands les avaient importés du continent comme une des pièces maîtresses de ce mécanisme « manorial » qu’après la dépossession presque totale de l’aristocratie saxonne et sur les débris d’un régime de dépendances beaucoup plus lâche ils const</w:t>
      </w:r>
      <w:r w:rsidRPr="000F765B">
        <w:rPr>
          <w:lang w:eastAsia="fr-FR" w:bidi="fr-FR"/>
        </w:rPr>
        <w:t>i</w:t>
      </w:r>
      <w:r w:rsidRPr="000F765B">
        <w:rPr>
          <w:lang w:eastAsia="fr-FR" w:bidi="fr-FR"/>
        </w:rPr>
        <w:t xml:space="preserve">tuèrent avec tant de méthode. </w:t>
      </w:r>
      <w:r>
        <w:rPr>
          <w:lang w:eastAsia="fr-FR" w:bidi="fr-FR"/>
        </w:rPr>
        <w:t>À</w:t>
      </w:r>
      <w:r w:rsidRPr="000F765B">
        <w:rPr>
          <w:lang w:eastAsia="fr-FR" w:bidi="fr-FR"/>
        </w:rPr>
        <w:t xml:space="preserve"> dire vrai, dans l’île, le système des monopoles seigneuriaux demeura toujours beaucoup moins complet que sur l’autre rive de la Manche. La banalité du moulin, du moins, fut généralement introduite. Non sans résistances. Elles furent d’autant plus ardentes que dans ce pays, fort à l’écart des influences méditerranéennes, profondément marqué, en outre, par l’empreinte des civilisations germaine et Scandinave, le moulin à eau, familier, dès la fin du </w:t>
      </w:r>
      <w:r>
        <w:rPr>
          <w:lang w:eastAsia="fr-FR" w:bidi="fr-FR"/>
        </w:rPr>
        <w:t>XI</w:t>
      </w:r>
      <w:r w:rsidRPr="000F765B">
        <w:rPr>
          <w:vertAlign w:val="superscript"/>
          <w:lang w:eastAsia="fr-FR" w:bidi="fr-FR"/>
        </w:rPr>
        <w:t>e</w:t>
      </w:r>
      <w:r w:rsidRPr="000F765B">
        <w:rPr>
          <w:lang w:eastAsia="fr-FR" w:bidi="fr-FR"/>
        </w:rPr>
        <w:t xml:space="preserve"> siècle, aux grands domaines, ne pénétra par contre que lentement dans la pratique des classes même moyennes. Il est c</w:t>
      </w:r>
      <w:r w:rsidRPr="000F765B">
        <w:rPr>
          <w:lang w:eastAsia="fr-FR" w:bidi="fr-FR"/>
        </w:rPr>
        <w:t>a</w:t>
      </w:r>
      <w:r w:rsidRPr="000F765B">
        <w:rPr>
          <w:lang w:eastAsia="fr-FR" w:bidi="fr-FR"/>
        </w:rPr>
        <w:t>ractéristique que, parmi les privilèges octroyés aux bourgeoisies a</w:t>
      </w:r>
      <w:r w:rsidRPr="000F765B">
        <w:rPr>
          <w:lang w:eastAsia="fr-FR" w:bidi="fr-FR"/>
        </w:rPr>
        <w:t>n</w:t>
      </w:r>
      <w:r w:rsidRPr="000F765B">
        <w:rPr>
          <w:lang w:eastAsia="fr-FR" w:bidi="fr-FR"/>
        </w:rPr>
        <w:t xml:space="preserve">glaises figure fréquemment cette clause tout à fait ignorée des chartes urbaines de la France ou de l’Allemagne : la faculté d’user à domicile de moulins à bras ou, moins souvent, à chevaux. Ainsi à Newcastle à Cardiff, à Tewkesbury durant le </w:t>
      </w:r>
      <w:r>
        <w:rPr>
          <w:lang w:eastAsia="fr-FR" w:bidi="fr-FR"/>
        </w:rPr>
        <w:t>XII</w:t>
      </w:r>
      <w:r w:rsidRPr="000F765B">
        <w:rPr>
          <w:vertAlign w:val="superscript"/>
          <w:lang w:eastAsia="fr-FR" w:bidi="fr-FR"/>
        </w:rPr>
        <w:t>e</w:t>
      </w:r>
      <w:r w:rsidRPr="000F765B">
        <w:rPr>
          <w:lang w:eastAsia="fr-FR" w:bidi="fr-FR"/>
        </w:rPr>
        <w:t xml:space="preserve"> siècle, à Londres même en plein </w:t>
      </w:r>
      <w:r>
        <w:rPr>
          <w:lang w:eastAsia="fr-FR" w:bidi="fr-FR"/>
        </w:rPr>
        <w:lastRenderedPageBreak/>
        <w:t>XIV</w:t>
      </w:r>
      <w:r w:rsidRPr="000F765B">
        <w:rPr>
          <w:vertAlign w:val="superscript"/>
          <w:lang w:eastAsia="fr-FR" w:bidi="fr-FR"/>
        </w:rPr>
        <w:t>e</w:t>
      </w:r>
      <w:r w:rsidRPr="000F765B">
        <w:rPr>
          <w:lang w:eastAsia="fr-FR" w:bidi="fr-FR"/>
        </w:rPr>
        <w:t>.</w:t>
      </w:r>
      <w:r>
        <w:rPr>
          <w:lang w:eastAsia="fr-FR" w:bidi="fr-FR"/>
        </w:rPr>
        <w:t> </w:t>
      </w:r>
      <w:r>
        <w:rPr>
          <w:rStyle w:val="Appelnotedebasdep"/>
        </w:rPr>
        <w:footnoteReference w:id="805"/>
      </w:r>
      <w:r w:rsidRPr="000F765B">
        <w:rPr>
          <w:lang w:eastAsia="fr-FR" w:bidi="fr-FR"/>
        </w:rPr>
        <w:t xml:space="preserve"> Mais il fallait, pour conquérir ces tolérances, la pression de communautés riches et puissantes. « Que les hommes (du village) n’aient pas de meules à mains » : dans cette disposition qu’entre 1120 et 1151 les chanoines augustins d’Embsay, au comté d’York, faisaient insérer dans la charte par où une noble dame leur cédait un moulin à eau s’exprime l’effort de tous les lords des rivières et des manoirs</w:t>
      </w:r>
      <w:r>
        <w:rPr>
          <w:lang w:eastAsia="fr-FR" w:bidi="fr-FR"/>
        </w:rPr>
        <w:t> </w:t>
      </w:r>
      <w:r>
        <w:rPr>
          <w:rStyle w:val="Appelnotedebasdep"/>
        </w:rPr>
        <w:footnoteReference w:id="806"/>
      </w:r>
      <w:r w:rsidRPr="000F765B">
        <w:rPr>
          <w:lang w:eastAsia="fr-FR" w:bidi="fr-FR"/>
        </w:rPr>
        <w:t>. Pierres broyeuses saisies jusque dans les maisons par les sergents du seigneur et à l’ordinaire brisées par eux ; émeutes de ménagères ; pr</w:t>
      </w:r>
      <w:r w:rsidRPr="000F765B">
        <w:rPr>
          <w:lang w:eastAsia="fr-FR" w:bidi="fr-FR"/>
        </w:rPr>
        <w:t>o</w:t>
      </w:r>
      <w:r w:rsidRPr="000F765B">
        <w:rPr>
          <w:lang w:eastAsia="fr-FR" w:bidi="fr-FR"/>
        </w:rPr>
        <w:t>cès où, obstinés à reprendre éternellement une lutte sans issue, les t</w:t>
      </w:r>
      <w:r w:rsidRPr="000F765B">
        <w:rPr>
          <w:lang w:eastAsia="fr-FR" w:bidi="fr-FR"/>
        </w:rPr>
        <w:t>e</w:t>
      </w:r>
      <w:r w:rsidRPr="000F765B">
        <w:rPr>
          <w:lang w:eastAsia="fr-FR" w:bidi="fr-FR"/>
        </w:rPr>
        <w:t xml:space="preserve">nanciers régulièrement succombent : le bruit de ces querelles remplit, aux </w:t>
      </w:r>
      <w:r>
        <w:rPr>
          <w:lang w:eastAsia="fr-FR" w:bidi="fr-FR"/>
        </w:rPr>
        <w:t>XIII</w:t>
      </w:r>
      <w:r w:rsidRPr="000F765B">
        <w:rPr>
          <w:vertAlign w:val="superscript"/>
          <w:lang w:eastAsia="fr-FR" w:bidi="fr-FR"/>
        </w:rPr>
        <w:t>e</w:t>
      </w:r>
      <w:r w:rsidRPr="000F765B">
        <w:rPr>
          <w:lang w:eastAsia="fr-FR" w:bidi="fr-FR"/>
        </w:rPr>
        <w:t xml:space="preserve"> et </w:t>
      </w:r>
      <w:r w:rsidRPr="00EE6F79">
        <w:rPr>
          <w:caps/>
          <w:lang w:eastAsia="fr-FR" w:bidi="fr-FR"/>
        </w:rPr>
        <w:t>xiv</w:t>
      </w:r>
      <w:r w:rsidRPr="000F765B">
        <w:rPr>
          <w:vertAlign w:val="superscript"/>
          <w:lang w:eastAsia="fr-FR" w:bidi="fr-FR"/>
        </w:rPr>
        <w:t>e</w:t>
      </w:r>
      <w:r w:rsidRPr="000F765B">
        <w:rPr>
          <w:lang w:eastAsia="fr-FR" w:bidi="fr-FR"/>
        </w:rPr>
        <w:t xml:space="preserve"> siècles, chroniques et cartulaires monastiques</w:t>
      </w:r>
      <w:r>
        <w:rPr>
          <w:lang w:eastAsia="fr-FR" w:bidi="fr-FR"/>
        </w:rPr>
        <w:t> </w:t>
      </w:r>
      <w:r>
        <w:rPr>
          <w:rStyle w:val="Appelnotedebasdep"/>
        </w:rPr>
        <w:footnoteReference w:id="807"/>
      </w:r>
      <w:r w:rsidRPr="000F765B">
        <w:rPr>
          <w:lang w:eastAsia="fr-FR" w:bidi="fr-FR"/>
        </w:rPr>
        <w:t xml:space="preserve">. </w:t>
      </w:r>
      <w:r>
        <w:rPr>
          <w:lang w:eastAsia="fr-FR" w:bidi="fr-FR"/>
        </w:rPr>
        <w:t>À</w:t>
      </w:r>
      <w:r w:rsidRPr="000F765B">
        <w:rPr>
          <w:lang w:eastAsia="fr-FR" w:bidi="fr-FR"/>
        </w:rPr>
        <w:t xml:space="preserve"> Saint-Alban, elles se haussèrent jusqu’à la grandeur d’une véritable épopée meunière.</w:t>
      </w:r>
    </w:p>
    <w:p w14:paraId="1D916A86" w14:textId="77777777" w:rsidR="00B9662D" w:rsidRPr="000F765B" w:rsidRDefault="00B9662D" w:rsidP="00B9662D">
      <w:pPr>
        <w:spacing w:before="120" w:after="120"/>
        <w:jc w:val="both"/>
      </w:pPr>
      <w:r w:rsidRPr="000F765B">
        <w:rPr>
          <w:lang w:eastAsia="fr-FR" w:bidi="fr-FR"/>
        </w:rPr>
        <w:t>Dans cette petite ville du Hertfordshire, à laquelle les moines, ses maîtres, refusaient obstinément toutes</w:t>
      </w:r>
      <w:r>
        <w:rPr>
          <w:lang w:eastAsia="fr-FR" w:bidi="fr-FR"/>
        </w:rPr>
        <w:t xml:space="preserve"> franchises, l’exemple des bou</w:t>
      </w:r>
      <w:r>
        <w:rPr>
          <w:lang w:eastAsia="fr-FR" w:bidi="fr-FR"/>
        </w:rPr>
        <w:t>r</w:t>
      </w:r>
      <w:r w:rsidRPr="000F765B">
        <w:rPr>
          <w:lang w:eastAsia="fr-FR" w:bidi="fr-FR"/>
        </w:rPr>
        <w:t>geoisies</w:t>
      </w:r>
      <w:r>
        <w:t xml:space="preserve"> </w:t>
      </w:r>
      <w:r>
        <w:rPr>
          <w:lang w:eastAsia="fr-FR" w:bidi="fr-FR"/>
        </w:rPr>
        <w:t>[818]</w:t>
      </w:r>
      <w:r w:rsidRPr="000F765B">
        <w:rPr>
          <w:lang w:eastAsia="fr-FR" w:bidi="fr-FR"/>
        </w:rPr>
        <w:t xml:space="preserve"> voisines animait une « plèbe »</w:t>
      </w:r>
      <w:r>
        <w:rPr>
          <w:lang w:eastAsia="fr-FR" w:bidi="fr-FR"/>
        </w:rPr>
        <w:t> — </w:t>
      </w:r>
      <w:r w:rsidRPr="000F765B">
        <w:rPr>
          <w:lang w:eastAsia="fr-FR" w:bidi="fr-FR"/>
        </w:rPr>
        <w:t>pour parler co</w:t>
      </w:r>
      <w:r w:rsidRPr="000F765B">
        <w:rPr>
          <w:lang w:eastAsia="fr-FR" w:bidi="fr-FR"/>
        </w:rPr>
        <w:t>m</w:t>
      </w:r>
      <w:r w:rsidRPr="000F765B">
        <w:rPr>
          <w:lang w:eastAsia="fr-FR" w:bidi="fr-FR"/>
        </w:rPr>
        <w:t>me le chroniqueur du monastère</w:t>
      </w:r>
      <w:r>
        <w:rPr>
          <w:lang w:eastAsia="fr-FR" w:bidi="fr-FR"/>
        </w:rPr>
        <w:t> — </w:t>
      </w:r>
      <w:r w:rsidRPr="000F765B">
        <w:rPr>
          <w:lang w:eastAsia="fr-FR" w:bidi="fr-FR"/>
        </w:rPr>
        <w:t>particulièrement « indomptable ». Art</w:t>
      </w:r>
      <w:r w:rsidRPr="000F765B">
        <w:rPr>
          <w:lang w:eastAsia="fr-FR" w:bidi="fr-FR"/>
        </w:rPr>
        <w:t>i</w:t>
      </w:r>
      <w:r w:rsidRPr="000F765B">
        <w:rPr>
          <w:lang w:eastAsia="fr-FR" w:bidi="fr-FR"/>
        </w:rPr>
        <w:t>sane plutôt que rurale, ce n’était pas seulement à la banalité des mo</w:t>
      </w:r>
      <w:r w:rsidRPr="000F765B">
        <w:rPr>
          <w:lang w:eastAsia="fr-FR" w:bidi="fr-FR"/>
        </w:rPr>
        <w:t>u</w:t>
      </w:r>
      <w:r w:rsidRPr="000F765B">
        <w:rPr>
          <w:lang w:eastAsia="fr-FR" w:bidi="fr-FR"/>
        </w:rPr>
        <w:t>lins à grains ou à malt et aux exactions de leurs meuniers qu’elle che</w:t>
      </w:r>
      <w:r w:rsidRPr="000F765B">
        <w:rPr>
          <w:lang w:eastAsia="fr-FR" w:bidi="fr-FR"/>
        </w:rPr>
        <w:t>r</w:t>
      </w:r>
      <w:r w:rsidRPr="000F765B">
        <w:rPr>
          <w:lang w:eastAsia="fr-FR" w:bidi="fr-FR"/>
        </w:rPr>
        <w:t>chait à se soustraire, par le broyage à domicile. Les drapiers préte</w:t>
      </w:r>
      <w:r w:rsidRPr="000F765B">
        <w:rPr>
          <w:lang w:eastAsia="fr-FR" w:bidi="fr-FR"/>
        </w:rPr>
        <w:t>n</w:t>
      </w:r>
      <w:r w:rsidRPr="000F765B">
        <w:rPr>
          <w:lang w:eastAsia="fr-FR" w:bidi="fr-FR"/>
        </w:rPr>
        <w:t xml:space="preserve">daient aussi, au mépris du moulin à foulon seigneurial, établir chez </w:t>
      </w:r>
      <w:r w:rsidRPr="000F765B">
        <w:rPr>
          <w:lang w:eastAsia="fr-FR" w:bidi="fr-FR"/>
        </w:rPr>
        <w:lastRenderedPageBreak/>
        <w:t>eux des « troncs » destinés au pressage des étoffes. Du moins, pour les plus grossières ; car on estimait généralement, en ce temps, que les draps fins devaient être foulés aux pieds. Une première querelle éclata en 1274, illustrée par les épisodes habituels : confiscation de meules et de pièce de draps ; violences tour à tour des sergents et des tena</w:t>
      </w:r>
      <w:r w:rsidRPr="000F765B">
        <w:rPr>
          <w:lang w:eastAsia="fr-FR" w:bidi="fr-FR"/>
        </w:rPr>
        <w:t>n</w:t>
      </w:r>
      <w:r w:rsidRPr="000F765B">
        <w:rPr>
          <w:lang w:eastAsia="fr-FR" w:bidi="fr-FR"/>
        </w:rPr>
        <w:t>ciers ; ligue des habitants qui, pour plaider, constituent une caisse commune, cependant que, nu-pieds devant le grand autel, les religieux chantent les Psaumes de la Pénitence ; tentative des femmes pour g</w:t>
      </w:r>
      <w:r w:rsidRPr="000F765B">
        <w:rPr>
          <w:lang w:eastAsia="fr-FR" w:bidi="fr-FR"/>
        </w:rPr>
        <w:t>a</w:t>
      </w:r>
      <w:r w:rsidRPr="000F765B">
        <w:rPr>
          <w:lang w:eastAsia="fr-FR" w:bidi="fr-FR"/>
        </w:rPr>
        <w:t>gner à leur cause la reine, que l’abbé, cependant, avait pris la préca</w:t>
      </w:r>
      <w:r w:rsidRPr="000F765B">
        <w:rPr>
          <w:lang w:eastAsia="fr-FR" w:bidi="fr-FR"/>
        </w:rPr>
        <w:t>u</w:t>
      </w:r>
      <w:r w:rsidRPr="000F765B">
        <w:rPr>
          <w:lang w:eastAsia="fr-FR" w:bidi="fr-FR"/>
        </w:rPr>
        <w:t>tion d’introduire au monastère par une porte dérobée ; longue proc</w:t>
      </w:r>
      <w:r w:rsidRPr="000F765B">
        <w:rPr>
          <w:lang w:eastAsia="fr-FR" w:bidi="fr-FR"/>
        </w:rPr>
        <w:t>é</w:t>
      </w:r>
      <w:r w:rsidRPr="000F765B">
        <w:rPr>
          <w:lang w:eastAsia="fr-FR" w:bidi="fr-FR"/>
        </w:rPr>
        <w:t>dure enfin devant la cour royale, avec, pour aboutissement inévitable, la défaite des récalcitrants qui, par le don de cinq beaux tonneaux de vin, s’efforcent d’apaiser leur seigneur offensé. En 1314, nouvel inc</w:t>
      </w:r>
      <w:r w:rsidRPr="000F765B">
        <w:rPr>
          <w:lang w:eastAsia="fr-FR" w:bidi="fr-FR"/>
        </w:rPr>
        <w:t>i</w:t>
      </w:r>
      <w:r w:rsidRPr="000F765B">
        <w:rPr>
          <w:lang w:eastAsia="fr-FR" w:bidi="fr-FR"/>
        </w:rPr>
        <w:t>dent. Puis, en 1326, les bourgeois réclamant une charte où serait in</w:t>
      </w:r>
      <w:r w:rsidRPr="000F765B">
        <w:rPr>
          <w:lang w:eastAsia="fr-FR" w:bidi="fr-FR"/>
        </w:rPr>
        <w:t>s</w:t>
      </w:r>
      <w:r w:rsidRPr="000F765B">
        <w:rPr>
          <w:lang w:eastAsia="fr-FR" w:bidi="fr-FR"/>
        </w:rPr>
        <w:t>crit, entre autres, le droit à la mouture domestique, c’est l’émeute o</w:t>
      </w:r>
      <w:r w:rsidRPr="000F765B">
        <w:rPr>
          <w:lang w:eastAsia="fr-FR" w:bidi="fr-FR"/>
        </w:rPr>
        <w:t>u</w:t>
      </w:r>
      <w:r w:rsidRPr="000F765B">
        <w:rPr>
          <w:lang w:eastAsia="fr-FR" w:bidi="fr-FR"/>
        </w:rPr>
        <w:t xml:space="preserve">verte et, par deux fois, le siège du monastère. L’accord, finalement intervenu sous la pression du roi, laissait sans solution le problème de la banalité. </w:t>
      </w:r>
      <w:r>
        <w:rPr>
          <w:lang w:eastAsia="fr-FR" w:bidi="fr-FR"/>
        </w:rPr>
        <w:t>À</w:t>
      </w:r>
      <w:r w:rsidRPr="000F765B">
        <w:rPr>
          <w:lang w:eastAsia="fr-FR" w:bidi="fr-FR"/>
        </w:rPr>
        <w:t xml:space="preserve"> la faveur de cette incertitude, bientôt jusqu’à quatre-vingts meules à bras tournent dans les maisons. Mais en 1331, un nouvel abbé</w:t>
      </w:r>
      <w:r>
        <w:rPr>
          <w:lang w:eastAsia="fr-FR" w:bidi="fr-FR"/>
        </w:rPr>
        <w:t> — </w:t>
      </w:r>
      <w:r w:rsidRPr="000F765B">
        <w:rPr>
          <w:lang w:eastAsia="fr-FR" w:bidi="fr-FR"/>
        </w:rPr>
        <w:t>Richard II, le terrible abbé lépreux</w:t>
      </w:r>
      <w:r>
        <w:rPr>
          <w:lang w:eastAsia="fr-FR" w:bidi="fr-FR"/>
        </w:rPr>
        <w:t> — </w:t>
      </w:r>
      <w:r w:rsidRPr="000F765B">
        <w:rPr>
          <w:lang w:eastAsia="fr-FR" w:bidi="fr-FR"/>
        </w:rPr>
        <w:t>entre en lice. Il triomphe à coup de procès. De toute la ville, on apporte au monastère les meules dont, comme d’autant de trophées, les religieux pavent leur parloir. Vient cependant, en 1381, la grande insurrection des comm</w:t>
      </w:r>
      <w:r w:rsidRPr="000F765B">
        <w:rPr>
          <w:lang w:eastAsia="fr-FR" w:bidi="fr-FR"/>
        </w:rPr>
        <w:t>u</w:t>
      </w:r>
      <w:r w:rsidRPr="000F765B">
        <w:rPr>
          <w:lang w:eastAsia="fr-FR" w:bidi="fr-FR"/>
        </w:rPr>
        <w:t>nautés anglaises, le temps de Wat Tyler et de John Bail. Saisis à leur tour par cette fièvre, les gens de Saint-Alban donnent l’assaut à l’abbaye. Ils détruisent le fameux carrelage, monument de leur honte ancienne, et, comme sans doute les pierres n’étaient plus en état de moudre, ils les brisent, puis, en signe de victoire et de solidarité, s’en partagent les morceaux, « ainsi qu’on fait, le dimanche, pour le pain bénit ». L’acte de libertés qu’ils arrachent aux moines reconnaît la f</w:t>
      </w:r>
      <w:r w:rsidRPr="000F765B">
        <w:rPr>
          <w:lang w:eastAsia="fr-FR" w:bidi="fr-FR"/>
        </w:rPr>
        <w:t>a</w:t>
      </w:r>
      <w:r w:rsidRPr="000F765B">
        <w:rPr>
          <w:lang w:eastAsia="fr-FR" w:bidi="fr-FR"/>
        </w:rPr>
        <w:t>culté de maintenir, dans chaque demeure, les « meules manuelles ». Simple feu de paille. Après que la révolte, dans toute l’Angleterre, a succombé, la charte de Saint-Alban, comme tous les privilèges ainsi extorqués, sera annulée par statut royal. En est-ce fait pourtant d’un acharnement plus que séculaire ? Non pas. Le chroniqueur, au terme de son récit, doit confesser qu’au moins pour le malt, les odieux in</w:t>
      </w:r>
      <w:r w:rsidRPr="000F765B">
        <w:rPr>
          <w:lang w:eastAsia="fr-FR" w:bidi="fr-FR"/>
        </w:rPr>
        <w:t>s</w:t>
      </w:r>
      <w:r w:rsidRPr="000F765B">
        <w:rPr>
          <w:lang w:eastAsia="fr-FR" w:bidi="fr-FR"/>
        </w:rPr>
        <w:t>truments ont recommencé de fonctionner et d’être proscrits</w:t>
      </w:r>
      <w:r>
        <w:rPr>
          <w:lang w:eastAsia="fr-FR" w:bidi="fr-FR"/>
        </w:rPr>
        <w:t> </w:t>
      </w:r>
      <w:r>
        <w:rPr>
          <w:rStyle w:val="Appelnotedebasdep"/>
        </w:rPr>
        <w:footnoteReference w:id="808"/>
      </w:r>
      <w:r w:rsidRPr="000F765B">
        <w:rPr>
          <w:lang w:eastAsia="fr-FR" w:bidi="fr-FR"/>
        </w:rPr>
        <w:t>.</w:t>
      </w:r>
    </w:p>
    <w:p w14:paraId="6EB06474" w14:textId="77777777" w:rsidR="00B9662D" w:rsidRPr="000F765B" w:rsidRDefault="00B9662D" w:rsidP="00B9662D">
      <w:pPr>
        <w:spacing w:before="120" w:after="120"/>
        <w:jc w:val="both"/>
      </w:pPr>
      <w:r w:rsidRPr="000F765B">
        <w:rPr>
          <w:lang w:eastAsia="fr-FR" w:bidi="fr-FR"/>
        </w:rPr>
        <w:lastRenderedPageBreak/>
        <w:t>Ils devaient continuer longtemps encore, par toute l’Angleterre, leurs humbles offices. Les textes narratifs, à dire vrai, ne les mentio</w:t>
      </w:r>
      <w:r w:rsidRPr="000F765B">
        <w:rPr>
          <w:lang w:eastAsia="fr-FR" w:bidi="fr-FR"/>
        </w:rPr>
        <w:t>n</w:t>
      </w:r>
      <w:r w:rsidRPr="000F765B">
        <w:rPr>
          <w:lang w:eastAsia="fr-FR" w:bidi="fr-FR"/>
        </w:rPr>
        <w:t>nent plus guère. Mais, çà et là, un « record » manorial lève un coin du voile. Les</w:t>
      </w:r>
      <w:r>
        <w:t xml:space="preserve"> [</w:t>
      </w:r>
      <w:r w:rsidRPr="000F765B">
        <w:rPr>
          <w:lang w:eastAsia="fr-FR" w:bidi="fr-FR"/>
        </w:rPr>
        <w:t>819</w:t>
      </w:r>
      <w:r>
        <w:rPr>
          <w:lang w:eastAsia="fr-FR" w:bidi="fr-FR"/>
        </w:rPr>
        <w:t xml:space="preserve">] </w:t>
      </w:r>
      <w:r w:rsidRPr="000F765B">
        <w:rPr>
          <w:lang w:eastAsia="fr-FR" w:bidi="fr-FR"/>
        </w:rPr>
        <w:t>Tudors avaient depuis longtemps succédé aux Plant</w:t>
      </w:r>
      <w:r w:rsidRPr="000F765B">
        <w:rPr>
          <w:lang w:eastAsia="fr-FR" w:bidi="fr-FR"/>
        </w:rPr>
        <w:t>a</w:t>
      </w:r>
      <w:r w:rsidRPr="000F765B">
        <w:rPr>
          <w:lang w:eastAsia="fr-FR" w:bidi="fr-FR"/>
        </w:rPr>
        <w:t>genets lorsqu’en 1547 les gens du manoir royal de Kingsthorpe se fa</w:t>
      </w:r>
      <w:r w:rsidRPr="000F765B">
        <w:rPr>
          <w:lang w:eastAsia="fr-FR" w:bidi="fr-FR"/>
        </w:rPr>
        <w:t>i</w:t>
      </w:r>
      <w:r w:rsidRPr="000F765B">
        <w:rPr>
          <w:lang w:eastAsia="fr-FR" w:bidi="fr-FR"/>
        </w:rPr>
        <w:t>saient r</w:t>
      </w:r>
      <w:r w:rsidRPr="000F765B">
        <w:rPr>
          <w:lang w:eastAsia="fr-FR" w:bidi="fr-FR"/>
        </w:rPr>
        <w:t>e</w:t>
      </w:r>
      <w:r w:rsidRPr="000F765B">
        <w:rPr>
          <w:lang w:eastAsia="fr-FR" w:bidi="fr-FR"/>
        </w:rPr>
        <w:t xml:space="preserve">connaître le droit de moudre à bras chez eux une certaine quantité au moins de leurs grains. </w:t>
      </w:r>
      <w:r>
        <w:rPr>
          <w:lang w:eastAsia="fr-FR" w:bidi="fr-FR"/>
        </w:rPr>
        <w:t>À</w:t>
      </w:r>
      <w:r w:rsidRPr="000F765B">
        <w:rPr>
          <w:lang w:eastAsia="fr-FR" w:bidi="fr-FR"/>
        </w:rPr>
        <w:t xml:space="preserve"> Bury en Lancashire, il fallut a</w:t>
      </w:r>
      <w:r w:rsidRPr="000F765B">
        <w:rPr>
          <w:lang w:eastAsia="fr-FR" w:bidi="fr-FR"/>
        </w:rPr>
        <w:t>t</w:t>
      </w:r>
      <w:r w:rsidRPr="000F765B">
        <w:rPr>
          <w:lang w:eastAsia="fr-FR" w:bidi="fr-FR"/>
        </w:rPr>
        <w:t>tendre la Restauration des Stuarts pour que le seigneur réussît à su</w:t>
      </w:r>
      <w:r w:rsidRPr="000F765B">
        <w:rPr>
          <w:lang w:eastAsia="fr-FR" w:bidi="fr-FR"/>
        </w:rPr>
        <w:t>p</w:t>
      </w:r>
      <w:r w:rsidRPr="000F765B">
        <w:rPr>
          <w:lang w:eastAsia="fr-FR" w:bidi="fr-FR"/>
        </w:rPr>
        <w:t>primer ces concurrences au moulin seigneurial ; encore l’entêtement du desse</w:t>
      </w:r>
      <w:r w:rsidRPr="000F765B">
        <w:rPr>
          <w:lang w:eastAsia="fr-FR" w:bidi="fr-FR"/>
        </w:rPr>
        <w:t>r</w:t>
      </w:r>
      <w:r w:rsidRPr="000F765B">
        <w:rPr>
          <w:lang w:eastAsia="fr-FR" w:bidi="fr-FR"/>
        </w:rPr>
        <w:t>vant de la paroisse traîna-t-il le procès jusqu’en 1713. C’était soixa</w:t>
      </w:r>
      <w:r w:rsidRPr="000F765B">
        <w:rPr>
          <w:lang w:eastAsia="fr-FR" w:bidi="fr-FR"/>
        </w:rPr>
        <w:t>n</w:t>
      </w:r>
      <w:r w:rsidRPr="000F765B">
        <w:rPr>
          <w:lang w:eastAsia="fr-FR" w:bidi="fr-FR"/>
        </w:rPr>
        <w:t>te-treize ans seulement avant l’inauguration, à Londres, de la première grande minoterie à vapeur</w:t>
      </w:r>
      <w:r>
        <w:rPr>
          <w:lang w:eastAsia="fr-FR" w:bidi="fr-FR"/>
        </w:rPr>
        <w:t> </w:t>
      </w:r>
      <w:r>
        <w:rPr>
          <w:rStyle w:val="Appelnotedebasdep"/>
        </w:rPr>
        <w:footnoteReference w:id="809"/>
      </w:r>
      <w:r w:rsidRPr="000F765B">
        <w:rPr>
          <w:lang w:eastAsia="fr-FR" w:bidi="fr-FR"/>
        </w:rPr>
        <w:t>.</w:t>
      </w:r>
    </w:p>
    <w:p w14:paraId="000AA4D0" w14:textId="77777777" w:rsidR="00B9662D" w:rsidRPr="000F765B" w:rsidRDefault="00B9662D" w:rsidP="00B9662D">
      <w:pPr>
        <w:spacing w:before="120" w:after="120"/>
        <w:jc w:val="both"/>
      </w:pPr>
      <w:r w:rsidRPr="000F765B">
        <w:rPr>
          <w:lang w:eastAsia="fr-FR" w:bidi="fr-FR"/>
        </w:rPr>
        <w:t>Nulle part, en somme, lorsque s’ouvrit l’âge du fer et de la houille, les vieux outils préhistoriques n’avaient complètement cédé la place aux « engins » qui, eux aussi cependant depuis bien des siècles, d</w:t>
      </w:r>
      <w:r w:rsidRPr="000F765B">
        <w:rPr>
          <w:lang w:eastAsia="fr-FR" w:bidi="fr-FR"/>
        </w:rPr>
        <w:t>e</w:t>
      </w:r>
      <w:r w:rsidRPr="000F765B">
        <w:rPr>
          <w:lang w:eastAsia="fr-FR" w:bidi="fr-FR"/>
        </w:rPr>
        <w:t xml:space="preserve">mandaient leur mouvement aux puissances inanimées de l’eau ou du vent. </w:t>
      </w:r>
      <w:r>
        <w:rPr>
          <w:lang w:eastAsia="fr-FR" w:bidi="fr-FR"/>
        </w:rPr>
        <w:t>À</w:t>
      </w:r>
      <w:r w:rsidRPr="000F765B">
        <w:rPr>
          <w:lang w:eastAsia="fr-FR" w:bidi="fr-FR"/>
        </w:rPr>
        <w:t xml:space="preserve"> vrai dire, que, dans l’Irlande, l’Écosse, les Shetlands, la No</w:t>
      </w:r>
      <w:r w:rsidRPr="000F765B">
        <w:rPr>
          <w:lang w:eastAsia="fr-FR" w:bidi="fr-FR"/>
        </w:rPr>
        <w:t>r</w:t>
      </w:r>
      <w:r w:rsidRPr="000F765B">
        <w:rPr>
          <w:lang w:eastAsia="fr-FR" w:bidi="fr-FR"/>
        </w:rPr>
        <w:t>vège, la Prusse Orientale</w:t>
      </w:r>
      <w:r>
        <w:rPr>
          <w:lang w:eastAsia="fr-FR" w:bidi="fr-FR"/>
        </w:rPr>
        <w:t> — </w:t>
      </w:r>
      <w:r w:rsidRPr="000F765B">
        <w:rPr>
          <w:lang w:eastAsia="fr-FR" w:bidi="fr-FR"/>
        </w:rPr>
        <w:t>comme sans doute un peu partout sur les terres slaves</w:t>
      </w:r>
      <w:r>
        <w:rPr>
          <w:lang w:eastAsia="fr-FR" w:bidi="fr-FR"/>
        </w:rPr>
        <w:t> — </w:t>
      </w:r>
      <w:r w:rsidRPr="000F765B">
        <w:rPr>
          <w:lang w:eastAsia="fr-FR" w:bidi="fr-FR"/>
        </w:rPr>
        <w:t xml:space="preserve">les meules à mains fonctionnassent encore à la fin du </w:t>
      </w:r>
      <w:r>
        <w:rPr>
          <w:lang w:eastAsia="fr-FR" w:bidi="fr-FR"/>
        </w:rPr>
        <w:t>XIX</w:t>
      </w:r>
      <w:r w:rsidRPr="000F765B">
        <w:rPr>
          <w:vertAlign w:val="superscript"/>
          <w:lang w:eastAsia="fr-FR" w:bidi="fr-FR"/>
        </w:rPr>
        <w:t>e</w:t>
      </w:r>
      <w:r w:rsidRPr="000F765B">
        <w:rPr>
          <w:lang w:eastAsia="fr-FR" w:bidi="fr-FR"/>
        </w:rPr>
        <w:t xml:space="preserve"> siècle et de nos jours peut-être n’aient pas tout à fait cessé leurs services, il n’y a rien là de bien étonnant. Situées sur la zone margin</w:t>
      </w:r>
      <w:r w:rsidRPr="000F765B">
        <w:rPr>
          <w:lang w:eastAsia="fr-FR" w:bidi="fr-FR"/>
        </w:rPr>
        <w:t>a</w:t>
      </w:r>
      <w:r w:rsidRPr="000F765B">
        <w:rPr>
          <w:lang w:eastAsia="fr-FR" w:bidi="fr-FR"/>
        </w:rPr>
        <w:t>le de l’Occident, ces contrées, de toute façon, vouèrent une longue fidélité à un outillage passablement rudimentaire. Dans les gestes de ces villageois prussiens qui, en 1896, broyaient le grain selon les si</w:t>
      </w:r>
      <w:r w:rsidRPr="000F765B">
        <w:rPr>
          <w:lang w:eastAsia="fr-FR" w:bidi="fr-FR"/>
        </w:rPr>
        <w:t>m</w:t>
      </w:r>
      <w:r w:rsidRPr="000F765B">
        <w:rPr>
          <w:lang w:eastAsia="fr-FR" w:bidi="fr-FR"/>
        </w:rPr>
        <w:t>ples méthodes de leurs ancêtres et, à leur exemple aussi</w:t>
      </w:r>
      <w:r>
        <w:rPr>
          <w:lang w:eastAsia="fr-FR" w:bidi="fr-FR"/>
        </w:rPr>
        <w:t> — </w:t>
      </w:r>
      <w:r w:rsidRPr="000F765B">
        <w:rPr>
          <w:lang w:eastAsia="fr-FR" w:bidi="fr-FR"/>
        </w:rPr>
        <w:t>comme s’il y avait encore eu des banalités !</w:t>
      </w:r>
      <w:r>
        <w:rPr>
          <w:lang w:eastAsia="fr-FR" w:bidi="fr-FR"/>
        </w:rPr>
        <w:t> — </w:t>
      </w:r>
      <w:r w:rsidRPr="000F765B">
        <w:rPr>
          <w:lang w:eastAsia="fr-FR" w:bidi="fr-FR"/>
        </w:rPr>
        <w:t>se croyaient obligés de se cacher pour cela des étrangers, reconnaissons, à une marque doublement t</w:t>
      </w:r>
      <w:r w:rsidRPr="000F765B">
        <w:rPr>
          <w:lang w:eastAsia="fr-FR" w:bidi="fr-FR"/>
        </w:rPr>
        <w:t>y</w:t>
      </w:r>
      <w:r w:rsidRPr="000F765B">
        <w:rPr>
          <w:lang w:eastAsia="fr-FR" w:bidi="fr-FR"/>
        </w:rPr>
        <w:t>pique, les obscurs prestiges de la tradition. Ajoutez, dans le Nord, les gels de l’hiver, médiocrement favorables à l’utilisation des eaux co</w:t>
      </w:r>
      <w:r w:rsidRPr="000F765B">
        <w:rPr>
          <w:lang w:eastAsia="fr-FR" w:bidi="fr-FR"/>
        </w:rPr>
        <w:t>u</w:t>
      </w:r>
      <w:r w:rsidRPr="000F765B">
        <w:rPr>
          <w:lang w:eastAsia="fr-FR" w:bidi="fr-FR"/>
        </w:rPr>
        <w:t xml:space="preserve">rantes ; dans les Shetlands, la Norvège, l’Écosse, l’Irlande même, l’absence d’une autorité seigneuriale comparable à celle de nos pays. </w:t>
      </w:r>
      <w:r w:rsidRPr="000F765B">
        <w:rPr>
          <w:lang w:eastAsia="fr-FR" w:bidi="fr-FR"/>
        </w:rPr>
        <w:lastRenderedPageBreak/>
        <w:t>Mais certainement au cœur même de notre civilisation, des enquêtes plus poussées révéleraient, à l’état disséminé, plus d’une pareille su</w:t>
      </w:r>
      <w:r w:rsidRPr="000F765B">
        <w:rPr>
          <w:lang w:eastAsia="fr-FR" w:bidi="fr-FR"/>
        </w:rPr>
        <w:t>r</w:t>
      </w:r>
      <w:r w:rsidRPr="000F765B">
        <w:rPr>
          <w:lang w:eastAsia="fr-FR" w:bidi="fr-FR"/>
        </w:rPr>
        <w:t xml:space="preserve">vivance. Les « moulinets » bretons, dont l’histoire mériterait de tenter un érudit plus familier que moi avec leur province, comment douter que la suppression du régime seigneurial ne leur ait valu un regain d’activité ? Près de ces rivières mosellanes dont les flots avaient mis en marche quelques-unes des premières roues meunières de la Gaule, Lamprecht put voir, dans la seconde moitié du </w:t>
      </w:r>
      <w:r w:rsidRPr="008E3687">
        <w:rPr>
          <w:caps/>
          <w:lang w:eastAsia="fr-FR" w:bidi="fr-FR"/>
        </w:rPr>
        <w:t>xix</w:t>
      </w:r>
      <w:r w:rsidRPr="000F765B">
        <w:rPr>
          <w:vertAlign w:val="superscript"/>
          <w:lang w:eastAsia="fr-FR" w:bidi="fr-FR"/>
        </w:rPr>
        <w:t>e</w:t>
      </w:r>
      <w:r w:rsidRPr="000F765B">
        <w:rPr>
          <w:lang w:eastAsia="fr-FR" w:bidi="fr-FR"/>
        </w:rPr>
        <w:t xml:space="preserve"> siècle, les vest</w:t>
      </w:r>
      <w:r w:rsidRPr="000F765B">
        <w:rPr>
          <w:lang w:eastAsia="fr-FR" w:bidi="fr-FR"/>
        </w:rPr>
        <w:t>i</w:t>
      </w:r>
      <w:r w:rsidRPr="000F765B">
        <w:rPr>
          <w:lang w:eastAsia="fr-FR" w:bidi="fr-FR"/>
        </w:rPr>
        <w:t>ges matériels du temps, alors très proche, où le blé était écrasé, à bras, entre des pierres tournantes</w:t>
      </w:r>
      <w:r>
        <w:rPr>
          <w:lang w:eastAsia="fr-FR" w:bidi="fr-FR"/>
        </w:rPr>
        <w:t> </w:t>
      </w:r>
      <w:r>
        <w:rPr>
          <w:rStyle w:val="Appelnotedebasdep"/>
        </w:rPr>
        <w:footnoteReference w:id="810"/>
      </w:r>
      <w:r w:rsidRPr="000F765B">
        <w:rPr>
          <w:lang w:eastAsia="fr-FR" w:bidi="fr-FR"/>
        </w:rPr>
        <w:t>.</w:t>
      </w:r>
    </w:p>
    <w:p w14:paraId="33617DFB" w14:textId="77777777" w:rsidR="00B9662D" w:rsidRPr="000F765B" w:rsidRDefault="00B9662D" w:rsidP="00B9662D">
      <w:pPr>
        <w:spacing w:before="120" w:after="120"/>
        <w:jc w:val="both"/>
      </w:pPr>
      <w:r w:rsidRPr="000F765B">
        <w:rPr>
          <w:lang w:eastAsia="fr-FR" w:bidi="fr-FR"/>
        </w:rPr>
        <w:t>Ne nous laissons point cependant tromper par ces anomalies. Lor</w:t>
      </w:r>
      <w:r w:rsidRPr="000F765B">
        <w:rPr>
          <w:lang w:eastAsia="fr-FR" w:bidi="fr-FR"/>
        </w:rPr>
        <w:t>s</w:t>
      </w:r>
      <w:r w:rsidRPr="000F765B">
        <w:rPr>
          <w:lang w:eastAsia="fr-FR" w:bidi="fr-FR"/>
        </w:rPr>
        <w:t>que la machine à vapeur vint consommer la défaite de la meule à main et du mortier, il y avait des siècles que des moulins à eau ou à vent sortait la plus grande partie, de beaucoup, de la farine consommée dans les campagnes de l’Occident comme dans ses villes. Assurément, livrés à eux-mêmes,</w:t>
      </w:r>
      <w:r>
        <w:t xml:space="preserve"> [820]</w:t>
      </w:r>
      <w:r w:rsidRPr="000F765B">
        <w:rPr>
          <w:lang w:eastAsia="fr-FR" w:bidi="fr-FR"/>
        </w:rPr>
        <w:t xml:space="preserve"> les paysans seraient restés bien plus lon</w:t>
      </w:r>
      <w:r w:rsidRPr="000F765B">
        <w:rPr>
          <w:lang w:eastAsia="fr-FR" w:bidi="fr-FR"/>
        </w:rPr>
        <w:t>g</w:t>
      </w:r>
      <w:r w:rsidRPr="000F765B">
        <w:rPr>
          <w:lang w:eastAsia="fr-FR" w:bidi="fr-FR"/>
        </w:rPr>
        <w:t>temps att</w:t>
      </w:r>
      <w:r w:rsidRPr="000F765B">
        <w:rPr>
          <w:lang w:eastAsia="fr-FR" w:bidi="fr-FR"/>
        </w:rPr>
        <w:t>a</w:t>
      </w:r>
      <w:r w:rsidRPr="000F765B">
        <w:rPr>
          <w:lang w:eastAsia="fr-FR" w:bidi="fr-FR"/>
        </w:rPr>
        <w:t>chés aux routines ancestrales. Maîtres des moulins banaux, les seigneurs eurent beau, quelquefois, par les lourds droits de mout</w:t>
      </w:r>
      <w:r w:rsidRPr="000F765B">
        <w:rPr>
          <w:lang w:eastAsia="fr-FR" w:bidi="fr-FR"/>
        </w:rPr>
        <w:t>u</w:t>
      </w:r>
      <w:r w:rsidRPr="000F765B">
        <w:rPr>
          <w:lang w:eastAsia="fr-FR" w:bidi="fr-FR"/>
        </w:rPr>
        <w:t>re qu’ils exigeaient, encourager involontairement cette fidélité au pa</w:t>
      </w:r>
      <w:r w:rsidRPr="000F765B">
        <w:rPr>
          <w:lang w:eastAsia="fr-FR" w:bidi="fr-FR"/>
        </w:rPr>
        <w:t>s</w:t>
      </w:r>
      <w:r w:rsidRPr="000F765B">
        <w:rPr>
          <w:lang w:eastAsia="fr-FR" w:bidi="fr-FR"/>
        </w:rPr>
        <w:t>sé ; ils la ruinèrent, en fin de compte, par la force. Comparables en so</w:t>
      </w:r>
      <w:r w:rsidRPr="000F765B">
        <w:rPr>
          <w:lang w:eastAsia="fr-FR" w:bidi="fr-FR"/>
        </w:rPr>
        <w:t>m</w:t>
      </w:r>
      <w:r w:rsidRPr="000F765B">
        <w:rPr>
          <w:lang w:eastAsia="fr-FR" w:bidi="fr-FR"/>
        </w:rPr>
        <w:t>me, par plus d’un trait, à nos grandes entreprises, les exploitations seigneuri</w:t>
      </w:r>
      <w:r w:rsidRPr="000F765B">
        <w:rPr>
          <w:lang w:eastAsia="fr-FR" w:bidi="fr-FR"/>
        </w:rPr>
        <w:t>a</w:t>
      </w:r>
      <w:r w:rsidRPr="000F765B">
        <w:rPr>
          <w:lang w:eastAsia="fr-FR" w:bidi="fr-FR"/>
        </w:rPr>
        <w:t>les s’étaient vu d’abord imposer, par la pénurie de main-d’œuvre, ce grand perfectionnement de l’outillage humain ; elles l’imposèrent ensuite, durement, autour d’elles. Ainsi le progrès tec</w:t>
      </w:r>
      <w:r w:rsidRPr="000F765B">
        <w:rPr>
          <w:lang w:eastAsia="fr-FR" w:bidi="fr-FR"/>
        </w:rPr>
        <w:t>h</w:t>
      </w:r>
      <w:r w:rsidRPr="000F765B">
        <w:rPr>
          <w:lang w:eastAsia="fr-FR" w:bidi="fr-FR"/>
        </w:rPr>
        <w:t>nique fut ici le fils d’une double contrainte. Non pas, sans doute, ici seulement.</w:t>
      </w:r>
    </w:p>
    <w:p w14:paraId="3E2AC56D" w14:textId="77777777" w:rsidR="00B9662D" w:rsidRDefault="00B9662D" w:rsidP="00B9662D">
      <w:pPr>
        <w:spacing w:before="120" w:after="120"/>
        <w:jc w:val="both"/>
        <w:rPr>
          <w:lang w:eastAsia="fr-FR" w:bidi="fr-FR"/>
        </w:rPr>
      </w:pPr>
    </w:p>
    <w:p w14:paraId="09E4B367" w14:textId="77777777" w:rsidR="00B9662D" w:rsidRDefault="00B9662D" w:rsidP="00B9662D">
      <w:pPr>
        <w:spacing w:before="120" w:after="120"/>
        <w:jc w:val="both"/>
        <w:rPr>
          <w:lang w:eastAsia="fr-FR" w:bidi="fr-FR"/>
        </w:rPr>
      </w:pPr>
    </w:p>
    <w:p w14:paraId="25C330DD" w14:textId="77777777" w:rsidR="00B9662D" w:rsidRPr="000F765B" w:rsidRDefault="00B9662D" w:rsidP="00B9662D">
      <w:pPr>
        <w:pStyle w:val="planche"/>
      </w:pPr>
      <w:r w:rsidRPr="000F765B">
        <w:t>ORIENTATION BIBLIOGRAPHIQUE</w:t>
      </w:r>
    </w:p>
    <w:p w14:paraId="4C365BD6" w14:textId="77777777" w:rsidR="00B9662D" w:rsidRDefault="00B9662D" w:rsidP="00B9662D">
      <w:pPr>
        <w:spacing w:before="120" w:after="120"/>
        <w:jc w:val="both"/>
        <w:rPr>
          <w:lang w:eastAsia="fr-FR" w:bidi="fr-FR"/>
        </w:rPr>
      </w:pPr>
    </w:p>
    <w:p w14:paraId="5C6DFA81" w14:textId="77777777" w:rsidR="00B9662D" w:rsidRPr="000F765B" w:rsidRDefault="00B9662D" w:rsidP="00B9662D">
      <w:pPr>
        <w:spacing w:before="120" w:after="120"/>
        <w:jc w:val="both"/>
      </w:pPr>
      <w:r w:rsidRPr="000F765B">
        <w:rPr>
          <w:lang w:eastAsia="fr-FR" w:bidi="fr-FR"/>
        </w:rPr>
        <w:t>Sur l’histoire des techniques, en général, on s’orientera, de préf</w:t>
      </w:r>
      <w:r w:rsidRPr="000F765B">
        <w:rPr>
          <w:lang w:eastAsia="fr-FR" w:bidi="fr-FR"/>
        </w:rPr>
        <w:t>é</w:t>
      </w:r>
      <w:r w:rsidRPr="000F765B">
        <w:rPr>
          <w:lang w:eastAsia="fr-FR" w:bidi="fr-FR"/>
        </w:rPr>
        <w:t xml:space="preserve">rence, à l’aide d’Abbott </w:t>
      </w:r>
      <w:r w:rsidRPr="008E3687">
        <w:rPr>
          <w:lang w:eastAsia="fr-FR" w:bidi="fr-FR"/>
        </w:rPr>
        <w:t>P</w:t>
      </w:r>
      <w:r>
        <w:rPr>
          <w:lang w:eastAsia="fr-FR" w:bidi="fr-FR"/>
        </w:rPr>
        <w:t>a</w:t>
      </w:r>
      <w:r w:rsidRPr="008E3687">
        <w:rPr>
          <w:lang w:eastAsia="fr-FR" w:bidi="fr-FR"/>
        </w:rPr>
        <w:t>yso</w:t>
      </w:r>
      <w:r>
        <w:rPr>
          <w:lang w:eastAsia="fr-FR" w:bidi="fr-FR"/>
        </w:rPr>
        <w:t xml:space="preserve">n Usher, </w:t>
      </w:r>
      <w:r w:rsidRPr="00F6504D">
        <w:rPr>
          <w:bCs/>
          <w:i/>
          <w:iCs/>
        </w:rPr>
        <w:t>A history of mechanical inve</w:t>
      </w:r>
      <w:r w:rsidRPr="00F6504D">
        <w:rPr>
          <w:bCs/>
          <w:i/>
          <w:iCs/>
        </w:rPr>
        <w:t>n</w:t>
      </w:r>
      <w:r w:rsidRPr="00F6504D">
        <w:rPr>
          <w:bCs/>
          <w:i/>
          <w:iCs/>
        </w:rPr>
        <w:t>tions</w:t>
      </w:r>
      <w:r w:rsidRPr="00F6504D">
        <w:rPr>
          <w:lang w:eastAsia="fr-FR" w:bidi="fr-FR"/>
        </w:rPr>
        <w:t>,</w:t>
      </w:r>
      <w:r w:rsidRPr="000F765B">
        <w:rPr>
          <w:lang w:eastAsia="fr-FR" w:bidi="fr-FR"/>
        </w:rPr>
        <w:t xml:space="preserve"> New York, 1929 (avec bibliographie) ; </w:t>
      </w:r>
      <w:r w:rsidRPr="00F6504D">
        <w:rPr>
          <w:bCs/>
          <w:i/>
          <w:iCs/>
        </w:rPr>
        <w:t>cf. Annales</w:t>
      </w:r>
      <w:r w:rsidRPr="00F6504D">
        <w:rPr>
          <w:lang w:eastAsia="fr-FR" w:bidi="fr-FR"/>
        </w:rPr>
        <w:t>,</w:t>
      </w:r>
      <w:r w:rsidRPr="000F765B">
        <w:rPr>
          <w:lang w:eastAsia="fr-FR" w:bidi="fr-FR"/>
        </w:rPr>
        <w:t xml:space="preserve"> t. II, 1931, p. 278. L’ouvrage de Franz M. </w:t>
      </w:r>
      <w:r w:rsidRPr="00F6504D">
        <w:rPr>
          <w:bCs/>
          <w:smallCaps/>
        </w:rPr>
        <w:t xml:space="preserve">Feldhaus, </w:t>
      </w:r>
      <w:r w:rsidRPr="00F6504D">
        <w:rPr>
          <w:bCs/>
          <w:i/>
          <w:iCs/>
        </w:rPr>
        <w:t>Die Technik der Antike und des Mittelalters</w:t>
      </w:r>
      <w:r w:rsidRPr="00F6504D">
        <w:rPr>
          <w:lang w:eastAsia="fr-FR" w:bidi="fr-FR"/>
        </w:rPr>
        <w:t>,</w:t>
      </w:r>
      <w:r w:rsidRPr="000F765B">
        <w:rPr>
          <w:lang w:eastAsia="fr-FR" w:bidi="fr-FR"/>
        </w:rPr>
        <w:t xml:space="preserve"> Potsdam [1931] (</w:t>
      </w:r>
      <w:r w:rsidRPr="00F6504D">
        <w:rPr>
          <w:bCs/>
          <w:i/>
          <w:iCs/>
        </w:rPr>
        <w:t>Museum der Weltgeschichte</w:t>
      </w:r>
      <w:r w:rsidRPr="000F765B">
        <w:rPr>
          <w:lang w:eastAsia="fr-FR" w:bidi="fr-FR"/>
        </w:rPr>
        <w:t>), re</w:t>
      </w:r>
      <w:r w:rsidRPr="000F765B">
        <w:rPr>
          <w:lang w:eastAsia="fr-FR" w:bidi="fr-FR"/>
        </w:rPr>
        <w:t>n</w:t>
      </w:r>
      <w:r w:rsidRPr="000F765B">
        <w:rPr>
          <w:lang w:eastAsia="fr-FR" w:bidi="fr-FR"/>
        </w:rPr>
        <w:t xml:space="preserve">dra moins de services, si ce n’est par ses excellentes illustrations </w:t>
      </w:r>
      <w:r w:rsidRPr="00F6504D">
        <w:rPr>
          <w:bCs/>
          <w:i/>
          <w:iCs/>
        </w:rPr>
        <w:t>(cf. Annales</w:t>
      </w:r>
      <w:r w:rsidRPr="000F765B">
        <w:rPr>
          <w:lang w:eastAsia="fr-FR" w:bidi="fr-FR"/>
        </w:rPr>
        <w:t>, t</w:t>
      </w:r>
      <w:r>
        <w:rPr>
          <w:lang w:eastAsia="fr-FR" w:bidi="fr-FR"/>
        </w:rPr>
        <w:t xml:space="preserve">. IV, 1932, p. 482). Celui d’A. </w:t>
      </w:r>
      <w:r w:rsidRPr="00F6504D">
        <w:rPr>
          <w:bCs/>
          <w:smallCaps/>
        </w:rPr>
        <w:t xml:space="preserve">Vierendeel, </w:t>
      </w:r>
      <w:r w:rsidRPr="00F6504D">
        <w:rPr>
          <w:bCs/>
          <w:i/>
          <w:iCs/>
        </w:rPr>
        <w:t>Esquisse d’une histoire de la technique</w:t>
      </w:r>
      <w:r w:rsidRPr="000F765B">
        <w:rPr>
          <w:lang w:eastAsia="fr-FR" w:bidi="fr-FR"/>
        </w:rPr>
        <w:t xml:space="preserve">, 2 vol., Louvain, 1921, ne donne sur l’antiquité et le Moyen </w:t>
      </w:r>
      <w:r>
        <w:rPr>
          <w:lang w:eastAsia="fr-FR" w:bidi="fr-FR"/>
        </w:rPr>
        <w:t>Â</w:t>
      </w:r>
      <w:r w:rsidRPr="000F765B">
        <w:rPr>
          <w:lang w:eastAsia="fr-FR" w:bidi="fr-FR"/>
        </w:rPr>
        <w:t>ge que de très brèves indications qui ne sont pas toujours très sûres.</w:t>
      </w:r>
    </w:p>
    <w:p w14:paraId="023017EF" w14:textId="77777777" w:rsidR="00B9662D" w:rsidRPr="000F765B" w:rsidRDefault="00B9662D" w:rsidP="00B9662D">
      <w:pPr>
        <w:spacing w:before="120" w:after="120"/>
        <w:jc w:val="both"/>
      </w:pPr>
      <w:r w:rsidRPr="000F765B">
        <w:rPr>
          <w:lang w:eastAsia="fr-FR" w:bidi="fr-FR"/>
        </w:rPr>
        <w:t xml:space="preserve">Sur le moulin, l’ouvrage fondamental demeure R. </w:t>
      </w:r>
      <w:r w:rsidRPr="00F6504D">
        <w:rPr>
          <w:rStyle w:val="Corpsdutexte87ptPetitesmajuscules"/>
          <w:b w:val="0"/>
        </w:rPr>
        <w:t>Bennet</w:t>
      </w:r>
      <w:r w:rsidRPr="000F765B">
        <w:rPr>
          <w:rStyle w:val="Corpsdutexte87ptPetitesmajuscules"/>
        </w:rPr>
        <w:t xml:space="preserve"> </w:t>
      </w:r>
      <w:r w:rsidRPr="000F765B">
        <w:rPr>
          <w:lang w:eastAsia="fr-FR" w:bidi="fr-FR"/>
        </w:rPr>
        <w:t>et J.</w:t>
      </w:r>
      <w:r>
        <w:rPr>
          <w:lang w:eastAsia="fr-FR" w:bidi="fr-FR"/>
        </w:rPr>
        <w:t> </w:t>
      </w:r>
      <w:r w:rsidRPr="00F6504D">
        <w:rPr>
          <w:rStyle w:val="Corpsdutexte87ptPetitesmajuscules"/>
          <w:b w:val="0"/>
        </w:rPr>
        <w:t xml:space="preserve">Elton, </w:t>
      </w:r>
      <w:r w:rsidRPr="00F6504D">
        <w:rPr>
          <w:rStyle w:val="Corpsdutexte8ItaliqueEspacement0pt"/>
          <w:b w:val="0"/>
          <w:sz w:val="28"/>
        </w:rPr>
        <w:t>History of Corn Milling,</w:t>
      </w:r>
      <w:r w:rsidRPr="000F765B">
        <w:rPr>
          <w:lang w:eastAsia="fr-FR" w:bidi="fr-FR"/>
        </w:rPr>
        <w:t xml:space="preserve"> 4 vol., Londres, 1898-1904. Il est malhe</w:t>
      </w:r>
      <w:r w:rsidRPr="000F765B">
        <w:rPr>
          <w:lang w:eastAsia="fr-FR" w:bidi="fr-FR"/>
        </w:rPr>
        <w:t>u</w:t>
      </w:r>
      <w:r w:rsidRPr="000F765B">
        <w:rPr>
          <w:lang w:eastAsia="fr-FR" w:bidi="fr-FR"/>
        </w:rPr>
        <w:t>reusement à peu près introuvable dans les bibliothèques françaises.</w:t>
      </w:r>
    </w:p>
    <w:p w14:paraId="0A12E2FA" w14:textId="77777777" w:rsidR="00B9662D" w:rsidRPr="000F765B" w:rsidRDefault="00B9662D" w:rsidP="00B9662D">
      <w:pPr>
        <w:spacing w:before="120" w:after="120"/>
        <w:jc w:val="both"/>
      </w:pPr>
      <w:r w:rsidRPr="000F765B">
        <w:rPr>
          <w:lang w:eastAsia="fr-FR" w:bidi="fr-FR"/>
        </w:rPr>
        <w:t>Plus récemment, une util</w:t>
      </w:r>
      <w:r>
        <w:rPr>
          <w:lang w:eastAsia="fr-FR" w:bidi="fr-FR"/>
        </w:rPr>
        <w:t>e synthèse a été donnée par Carl</w:t>
      </w:r>
      <w:r w:rsidRPr="000F765B">
        <w:rPr>
          <w:lang w:eastAsia="fr-FR" w:bidi="fr-FR"/>
        </w:rPr>
        <w:t xml:space="preserve"> </w:t>
      </w:r>
      <w:r w:rsidRPr="00F6504D">
        <w:rPr>
          <w:rStyle w:val="Corpsdutexte87ptPetitesmajuscules"/>
          <w:b w:val="0"/>
        </w:rPr>
        <w:t xml:space="preserve">Koehne, </w:t>
      </w:r>
      <w:r>
        <w:rPr>
          <w:rStyle w:val="Corpsdutexte8ItaliqueEspacement0pt"/>
          <w:b w:val="0"/>
          <w:sz w:val="28"/>
        </w:rPr>
        <w:t>Die Mühle im Rechte der Vö</w:t>
      </w:r>
      <w:r w:rsidRPr="00F6504D">
        <w:rPr>
          <w:rStyle w:val="Corpsdutexte8ItaliqueEspacement0pt"/>
          <w:b w:val="0"/>
          <w:sz w:val="28"/>
        </w:rPr>
        <w:t>lker,</w:t>
      </w:r>
      <w:r w:rsidRPr="000F765B">
        <w:rPr>
          <w:lang w:eastAsia="fr-FR" w:bidi="fr-FR"/>
        </w:rPr>
        <w:t xml:space="preserve"> dans </w:t>
      </w:r>
      <w:r w:rsidRPr="00F6504D">
        <w:rPr>
          <w:rStyle w:val="Corpsdutexte8ItaliqueEspacement0pt"/>
          <w:b w:val="0"/>
          <w:sz w:val="28"/>
        </w:rPr>
        <w:t>Beitr</w:t>
      </w:r>
      <w:r>
        <w:rPr>
          <w:rStyle w:val="Corpsdutexte8ItaliqueEspacement0pt"/>
          <w:b w:val="0"/>
          <w:sz w:val="28"/>
        </w:rPr>
        <w:t>ä</w:t>
      </w:r>
      <w:r w:rsidRPr="00F6504D">
        <w:rPr>
          <w:rStyle w:val="Corpsdutexte8ItaliqueEspacement0pt"/>
          <w:b w:val="0"/>
          <w:sz w:val="28"/>
        </w:rPr>
        <w:t>ge zur Geschichte der Technik</w:t>
      </w:r>
      <w:r w:rsidRPr="000F765B">
        <w:rPr>
          <w:lang w:eastAsia="fr-FR" w:bidi="fr-FR"/>
        </w:rPr>
        <w:t>, 1913 (en dépit de son titre, ce mémoire traite de l’histoire de la technique autant que de celle du droit). Le même auteur avait pr</w:t>
      </w:r>
      <w:r w:rsidRPr="000F765B">
        <w:rPr>
          <w:lang w:eastAsia="fr-FR" w:bidi="fr-FR"/>
        </w:rPr>
        <w:t>é</w:t>
      </w:r>
      <w:r w:rsidRPr="000F765B">
        <w:rPr>
          <w:lang w:eastAsia="fr-FR" w:bidi="fr-FR"/>
        </w:rPr>
        <w:t>cédemment étudié les problèmes proprement juridiques dans une suite de travaux, dont certaines thèses (sur l’origine des banalités, nota</w:t>
      </w:r>
      <w:r w:rsidRPr="000F765B">
        <w:rPr>
          <w:lang w:eastAsia="fr-FR" w:bidi="fr-FR"/>
        </w:rPr>
        <w:t>m</w:t>
      </w:r>
      <w:r w:rsidRPr="000F765B">
        <w:rPr>
          <w:lang w:eastAsia="fr-FR" w:bidi="fr-FR"/>
        </w:rPr>
        <w:t xml:space="preserve">ment) sont discutables, mais la valeur documentaire fort grande : </w:t>
      </w:r>
      <w:r>
        <w:rPr>
          <w:rStyle w:val="Corpsdutexte8ItaliqueEspacement0pt"/>
          <w:b w:val="0"/>
          <w:sz w:val="28"/>
        </w:rPr>
        <w:t>Das Recht der Mü</w:t>
      </w:r>
      <w:r w:rsidRPr="00F6504D">
        <w:rPr>
          <w:rStyle w:val="Corpsdutexte8ItaliqueEspacement0pt"/>
          <w:b w:val="0"/>
          <w:sz w:val="28"/>
        </w:rPr>
        <w:t>hlen bis zum Ende der Karolingerzeit,</w:t>
      </w:r>
      <w:r w:rsidRPr="000F765B">
        <w:rPr>
          <w:lang w:eastAsia="fr-FR" w:bidi="fr-FR"/>
        </w:rPr>
        <w:t xml:space="preserve"> Breslau, 1904 (</w:t>
      </w:r>
      <w:r w:rsidRPr="00F6504D">
        <w:rPr>
          <w:rStyle w:val="Corpsdutexte8ItaliqueEspacement0pt"/>
          <w:b w:val="0"/>
          <w:sz w:val="28"/>
        </w:rPr>
        <w:t>Untersuchungen zur deutschen Staats</w:t>
      </w:r>
      <w:r>
        <w:rPr>
          <w:rStyle w:val="Corpsdutexte8ItaliqueEspacement0pt"/>
          <w:b w:val="0"/>
          <w:sz w:val="28"/>
        </w:rPr>
        <w:t>- </w:t>
      </w:r>
      <w:r w:rsidRPr="00F6504D">
        <w:rPr>
          <w:rStyle w:val="Corpsdutexte8ItaliqueEspacement0pt"/>
          <w:b w:val="0"/>
          <w:sz w:val="28"/>
        </w:rPr>
        <w:t>und Rechtsgeschichte,</w:t>
      </w:r>
      <w:r w:rsidRPr="000F765B">
        <w:rPr>
          <w:rStyle w:val="Corpsdutexte8ItaliqueEspacement0pt"/>
          <w:sz w:val="28"/>
        </w:rPr>
        <w:t xml:space="preserve"> </w:t>
      </w:r>
      <w:r w:rsidRPr="000F765B">
        <w:rPr>
          <w:lang w:eastAsia="fr-FR" w:bidi="fr-FR"/>
        </w:rPr>
        <w:t xml:space="preserve">H. 71) ; </w:t>
      </w:r>
      <w:r w:rsidRPr="00F6504D">
        <w:rPr>
          <w:rStyle w:val="Corpsdutexte8ItaliqueEspacement0pt"/>
          <w:b w:val="0"/>
          <w:sz w:val="28"/>
        </w:rPr>
        <w:t>Studien über die Entstehung der Zwangs</w:t>
      </w:r>
      <w:r>
        <w:rPr>
          <w:rStyle w:val="Corpsdutexte8ItaliqueEspacement0pt"/>
          <w:b w:val="0"/>
          <w:sz w:val="28"/>
        </w:rPr>
        <w:t>-</w:t>
      </w:r>
      <w:r w:rsidRPr="00F6504D">
        <w:rPr>
          <w:rStyle w:val="Corpsdutexte8ItaliqueEspacement0pt"/>
          <w:b w:val="0"/>
          <w:sz w:val="28"/>
        </w:rPr>
        <w:t>und Bannrechte,</w:t>
      </w:r>
      <w:r w:rsidRPr="000F765B">
        <w:rPr>
          <w:lang w:eastAsia="fr-FR" w:bidi="fr-FR"/>
        </w:rPr>
        <w:t xml:space="preserve"> dans </w:t>
      </w:r>
      <w:r w:rsidRPr="00F6504D">
        <w:rPr>
          <w:rStyle w:val="Corpsdutexte8ItaliqueEspacement0pt"/>
          <w:b w:val="0"/>
          <w:sz w:val="28"/>
        </w:rPr>
        <w:t>Zeitschrift der Savigny Stiftung, G.A.</w:t>
      </w:r>
      <w:r w:rsidRPr="000F765B">
        <w:rPr>
          <w:lang w:eastAsia="fr-FR" w:bidi="fr-FR"/>
        </w:rPr>
        <w:t xml:space="preserve"> 1904 ; </w:t>
      </w:r>
      <w:r w:rsidRPr="00F6504D">
        <w:rPr>
          <w:rStyle w:val="Corpsdutexte8ItaliqueEspacement0pt"/>
          <w:b w:val="0"/>
          <w:sz w:val="28"/>
        </w:rPr>
        <w:t>Mühlenbann und Burgbau, ibid.,</w:t>
      </w:r>
      <w:r w:rsidRPr="000F765B">
        <w:rPr>
          <w:lang w:eastAsia="fr-FR" w:bidi="fr-FR"/>
        </w:rPr>
        <w:t xml:space="preserve"> 1907</w:t>
      </w:r>
      <w:r>
        <w:rPr>
          <w:lang w:eastAsia="fr-FR" w:bidi="fr-FR"/>
        </w:rPr>
        <w:t> </w:t>
      </w:r>
      <w:r>
        <w:rPr>
          <w:rStyle w:val="Appelnotedebasdep"/>
        </w:rPr>
        <w:footnoteReference w:id="811"/>
      </w:r>
      <w:r w:rsidRPr="000F765B">
        <w:rPr>
          <w:lang w:eastAsia="fr-FR" w:bidi="fr-FR"/>
        </w:rPr>
        <w:t>.</w:t>
      </w:r>
    </w:p>
    <w:p w14:paraId="119A3850" w14:textId="77777777" w:rsidR="00B9662D" w:rsidRPr="00F6504D" w:rsidRDefault="00B9662D" w:rsidP="00B9662D">
      <w:pPr>
        <w:spacing w:before="120" w:after="120"/>
        <w:jc w:val="both"/>
        <w:rPr>
          <w:b/>
        </w:rPr>
      </w:pPr>
      <w:r w:rsidRPr="00B82124">
        <w:rPr>
          <w:rStyle w:val="Corpsdutexte3NonItaliqueEspacement0pt"/>
          <w:b w:val="0"/>
          <w:i w:val="0"/>
          <w:iCs w:val="0"/>
          <w:sz w:val="28"/>
        </w:rPr>
        <w:t>Les articles</w:t>
      </w:r>
      <w:r w:rsidRPr="00B82124">
        <w:rPr>
          <w:rStyle w:val="Corpsdutexte3NonItaliqueEspacement0pt"/>
          <w:i w:val="0"/>
          <w:iCs w:val="0"/>
          <w:sz w:val="28"/>
        </w:rPr>
        <w:t xml:space="preserve"> </w:t>
      </w:r>
      <w:r w:rsidRPr="00B82124">
        <w:rPr>
          <w:lang w:eastAsia="fr-FR" w:bidi="fr-FR"/>
        </w:rPr>
        <w:t>Mola</w:t>
      </w:r>
      <w:r w:rsidRPr="00B82124">
        <w:rPr>
          <w:rStyle w:val="Corpsdutexte3NonItaliqueEspacement0pt"/>
          <w:i w:val="0"/>
          <w:iCs w:val="0"/>
          <w:sz w:val="28"/>
        </w:rPr>
        <w:t xml:space="preserve"> </w:t>
      </w:r>
      <w:r w:rsidRPr="00B82124">
        <w:rPr>
          <w:rStyle w:val="Corpsdutexte3NonItaliqueEspacement0pt"/>
          <w:b w:val="0"/>
          <w:i w:val="0"/>
          <w:iCs w:val="0"/>
          <w:sz w:val="28"/>
        </w:rPr>
        <w:t>du</w:t>
      </w:r>
      <w:r w:rsidRPr="00B82124">
        <w:rPr>
          <w:rStyle w:val="Corpsdutexte3NonItaliqueEspacement0pt"/>
          <w:i w:val="0"/>
          <w:iCs w:val="0"/>
          <w:sz w:val="28"/>
        </w:rPr>
        <w:t xml:space="preserve"> </w:t>
      </w:r>
      <w:r w:rsidRPr="00B82124">
        <w:rPr>
          <w:i/>
          <w:lang w:eastAsia="fr-FR" w:bidi="fr-FR"/>
        </w:rPr>
        <w:t>Dictionnaire des Antiquités grecques et r</w:t>
      </w:r>
      <w:r w:rsidRPr="00B82124">
        <w:rPr>
          <w:i/>
          <w:lang w:eastAsia="fr-FR" w:bidi="fr-FR"/>
        </w:rPr>
        <w:t>o</w:t>
      </w:r>
      <w:r w:rsidRPr="00B82124">
        <w:rPr>
          <w:i/>
          <w:lang w:eastAsia="fr-FR" w:bidi="fr-FR"/>
        </w:rPr>
        <w:t>maines</w:t>
      </w:r>
      <w:r w:rsidRPr="00B82124">
        <w:rPr>
          <w:rStyle w:val="Corpsdutexte3NonItaliqueEspacement0pt"/>
          <w:i w:val="0"/>
          <w:iCs w:val="0"/>
          <w:sz w:val="28"/>
        </w:rPr>
        <w:t xml:space="preserve"> </w:t>
      </w:r>
      <w:r w:rsidRPr="00B82124">
        <w:rPr>
          <w:rStyle w:val="Corpsdutexte3NonItaliqueEspacement0pt"/>
          <w:b w:val="0"/>
          <w:i w:val="0"/>
          <w:iCs w:val="0"/>
          <w:sz w:val="28"/>
        </w:rPr>
        <w:t xml:space="preserve">de </w:t>
      </w:r>
      <w:r w:rsidRPr="00B82124">
        <w:rPr>
          <w:rStyle w:val="Corpsdutexte37ptNonItaliquePetitesmajusculesEspacement0pt"/>
          <w:b w:val="0"/>
          <w:i w:val="0"/>
          <w:iCs w:val="0"/>
          <w:sz w:val="28"/>
        </w:rPr>
        <w:t xml:space="preserve">Daremberg </w:t>
      </w:r>
      <w:r w:rsidRPr="00B82124">
        <w:rPr>
          <w:rStyle w:val="Corpsdutexte3NonItaliqueEspacement0pt"/>
          <w:b w:val="0"/>
          <w:i w:val="0"/>
          <w:iCs w:val="0"/>
          <w:sz w:val="28"/>
        </w:rPr>
        <w:t xml:space="preserve">et </w:t>
      </w:r>
      <w:r w:rsidRPr="00B82124">
        <w:rPr>
          <w:rStyle w:val="Corpsdutexte37ptNonItaliquePetitesmajusculesEspacement0pt"/>
          <w:b w:val="0"/>
          <w:i w:val="0"/>
          <w:iCs w:val="0"/>
          <w:sz w:val="28"/>
        </w:rPr>
        <w:t xml:space="preserve">Saglio </w:t>
      </w:r>
      <w:r w:rsidRPr="00B82124">
        <w:rPr>
          <w:rStyle w:val="Corpsdutexte3NonItaliqueEspacement0pt"/>
          <w:b w:val="0"/>
          <w:i w:val="0"/>
          <w:iCs w:val="0"/>
          <w:sz w:val="28"/>
        </w:rPr>
        <w:t xml:space="preserve">(par A. </w:t>
      </w:r>
      <w:r w:rsidRPr="00B82124">
        <w:rPr>
          <w:rStyle w:val="Corpsdutexte37ptNonItaliquePetitesmajusculesEspacement0pt"/>
          <w:b w:val="0"/>
          <w:i w:val="0"/>
          <w:iCs w:val="0"/>
          <w:sz w:val="28"/>
        </w:rPr>
        <w:t xml:space="preserve">Baudrillart), </w:t>
      </w:r>
      <w:r w:rsidRPr="00B82124">
        <w:rPr>
          <w:rStyle w:val="Corpsdutexte3NonItaliqueEspacement0pt"/>
          <w:b w:val="0"/>
          <w:i w:val="0"/>
          <w:iCs w:val="0"/>
          <w:sz w:val="28"/>
        </w:rPr>
        <w:t>Mύλη] de la</w:t>
      </w:r>
      <w:r w:rsidRPr="00B82124">
        <w:rPr>
          <w:rStyle w:val="Corpsdutexte3NonItaliqueEspacement0pt"/>
          <w:i w:val="0"/>
          <w:iCs w:val="0"/>
          <w:sz w:val="28"/>
        </w:rPr>
        <w:t xml:space="preserve"> </w:t>
      </w:r>
      <w:r w:rsidRPr="00B82124">
        <w:rPr>
          <w:i/>
          <w:lang w:eastAsia="fr-FR" w:bidi="fr-FR"/>
        </w:rPr>
        <w:t>Realencyclopadie der classischen Altertumswissenschaft</w:t>
      </w:r>
      <w:r w:rsidRPr="00B82124">
        <w:rPr>
          <w:rStyle w:val="Corpsdutexte3NonItaliqueEspacement0pt"/>
          <w:i w:val="0"/>
          <w:iCs w:val="0"/>
          <w:sz w:val="28"/>
        </w:rPr>
        <w:t xml:space="preserve"> </w:t>
      </w:r>
      <w:r w:rsidRPr="00B82124">
        <w:rPr>
          <w:rStyle w:val="Corpsdutexte3NonItaliqueEspacement0pt"/>
          <w:b w:val="0"/>
          <w:i w:val="0"/>
          <w:iCs w:val="0"/>
          <w:sz w:val="28"/>
        </w:rPr>
        <w:t xml:space="preserve">de </w:t>
      </w:r>
      <w:r w:rsidRPr="00B82124">
        <w:rPr>
          <w:rStyle w:val="Corpsdutexte37ptNonItaliquePetitesmajusculesEspacement0pt"/>
          <w:b w:val="0"/>
          <w:i w:val="0"/>
          <w:iCs w:val="0"/>
          <w:sz w:val="28"/>
        </w:rPr>
        <w:t>Pauly-</w:t>
      </w:r>
      <w:r w:rsidRPr="00B82124">
        <w:rPr>
          <w:rStyle w:val="Corpsdutexte37ptNonItaliquePetitesmajusculesEspacement0pt"/>
          <w:b w:val="0"/>
          <w:i w:val="0"/>
          <w:iCs w:val="0"/>
          <w:sz w:val="28"/>
        </w:rPr>
        <w:lastRenderedPageBreak/>
        <w:t xml:space="preserve">Wissowa </w:t>
      </w:r>
      <w:r w:rsidRPr="00B82124">
        <w:rPr>
          <w:rStyle w:val="Corpsdutexte3NonItaliqueEspacement0pt"/>
          <w:b w:val="0"/>
          <w:i w:val="0"/>
          <w:iCs w:val="0"/>
          <w:sz w:val="28"/>
        </w:rPr>
        <w:t xml:space="preserve">(par W. </w:t>
      </w:r>
      <w:r w:rsidRPr="00B82124">
        <w:rPr>
          <w:rStyle w:val="Corpsdutexte37ptNonItaliquePetitesmajusculesEspacement0pt"/>
          <w:b w:val="0"/>
          <w:i w:val="0"/>
          <w:iCs w:val="0"/>
          <w:sz w:val="28"/>
        </w:rPr>
        <w:t>Ruge),</w:t>
      </w:r>
      <w:r w:rsidRPr="00B82124">
        <w:rPr>
          <w:rStyle w:val="Corpsdutexte37ptNonItaliquePetitesmajusculesEspacement0pt"/>
          <w:i w:val="0"/>
          <w:iCs w:val="0"/>
          <w:sz w:val="28"/>
        </w:rPr>
        <w:t xml:space="preserve"> </w:t>
      </w:r>
      <w:r w:rsidRPr="00B82124">
        <w:rPr>
          <w:i/>
          <w:lang w:eastAsia="fr-FR" w:bidi="fr-FR"/>
        </w:rPr>
        <w:t>Moulin</w:t>
      </w:r>
      <w:r w:rsidRPr="00B82124">
        <w:rPr>
          <w:rStyle w:val="Corpsdutexte3NonItaliqueEspacement0pt"/>
          <w:i w:val="0"/>
          <w:iCs w:val="0"/>
          <w:sz w:val="28"/>
        </w:rPr>
        <w:t xml:space="preserve"> </w:t>
      </w:r>
      <w:r w:rsidRPr="00B82124">
        <w:rPr>
          <w:rStyle w:val="Corpsdutexte3NonItaliqueEspacement0pt"/>
          <w:b w:val="0"/>
          <w:i w:val="0"/>
          <w:iCs w:val="0"/>
          <w:sz w:val="28"/>
        </w:rPr>
        <w:t>du</w:t>
      </w:r>
      <w:r w:rsidRPr="00B82124">
        <w:rPr>
          <w:rStyle w:val="Corpsdutexte3NonItaliqueEspacement0pt"/>
          <w:i w:val="0"/>
          <w:iCs w:val="0"/>
          <w:sz w:val="28"/>
        </w:rPr>
        <w:t xml:space="preserve"> </w:t>
      </w:r>
      <w:r w:rsidRPr="00B82124">
        <w:rPr>
          <w:i/>
          <w:lang w:eastAsia="fr-FR" w:bidi="fr-FR"/>
        </w:rPr>
        <w:t>Dictionnaire d’archéologie chr</w:t>
      </w:r>
      <w:r w:rsidRPr="00B82124">
        <w:rPr>
          <w:i/>
          <w:lang w:eastAsia="fr-FR" w:bidi="fr-FR"/>
        </w:rPr>
        <w:t>é</w:t>
      </w:r>
      <w:r w:rsidRPr="00B82124">
        <w:rPr>
          <w:i/>
          <w:lang w:eastAsia="fr-FR" w:bidi="fr-FR"/>
        </w:rPr>
        <w:t>tienne</w:t>
      </w:r>
      <w:r w:rsidRPr="00B82124">
        <w:rPr>
          <w:rStyle w:val="Corpsdutexte3NonItaliqueEspacement0pt"/>
          <w:i w:val="0"/>
          <w:iCs w:val="0"/>
          <w:sz w:val="28"/>
        </w:rPr>
        <w:t xml:space="preserve"> </w:t>
      </w:r>
      <w:r w:rsidRPr="00B82124">
        <w:rPr>
          <w:rStyle w:val="Corpsdutexte3NonItaliqueEspacement0pt"/>
          <w:b w:val="0"/>
          <w:i w:val="0"/>
          <w:iCs w:val="0"/>
          <w:sz w:val="28"/>
        </w:rPr>
        <w:t xml:space="preserve">de </w:t>
      </w:r>
      <w:r w:rsidRPr="00B82124">
        <w:rPr>
          <w:rStyle w:val="Corpsdutexte37ptNonItaliquePetitesmajusculesEspacement0pt"/>
          <w:b w:val="0"/>
          <w:i w:val="0"/>
          <w:iCs w:val="0"/>
          <w:sz w:val="28"/>
        </w:rPr>
        <w:t xml:space="preserve">Cabrol </w:t>
      </w:r>
      <w:r w:rsidRPr="00B82124">
        <w:rPr>
          <w:rStyle w:val="Corpsdutexte3NonItaliqueEspacement0pt"/>
          <w:b w:val="0"/>
          <w:i w:val="0"/>
          <w:iCs w:val="0"/>
          <w:sz w:val="28"/>
        </w:rPr>
        <w:t xml:space="preserve">et </w:t>
      </w:r>
      <w:r w:rsidRPr="00B82124">
        <w:rPr>
          <w:rStyle w:val="Corpsdutexte37ptNonItaliquePetitesmajusculesEspacement0pt"/>
          <w:b w:val="0"/>
          <w:i w:val="0"/>
          <w:iCs w:val="0"/>
          <w:sz w:val="28"/>
        </w:rPr>
        <w:t xml:space="preserve">Leclercq </w:t>
      </w:r>
      <w:r w:rsidRPr="00B82124">
        <w:rPr>
          <w:rStyle w:val="Corpsdutexte3NonItaliqueEspacement0pt"/>
          <w:b w:val="0"/>
          <w:i w:val="0"/>
          <w:iCs w:val="0"/>
          <w:sz w:val="28"/>
        </w:rPr>
        <w:t xml:space="preserve">(par dom </w:t>
      </w:r>
      <w:r w:rsidRPr="00B82124">
        <w:rPr>
          <w:rStyle w:val="Corpsdutexte37ptNonItaliquePetitesmajusculesEspacement0pt"/>
          <w:b w:val="0"/>
          <w:i w:val="0"/>
          <w:iCs w:val="0"/>
          <w:sz w:val="28"/>
        </w:rPr>
        <w:t xml:space="preserve">Leclercq) </w:t>
      </w:r>
      <w:r w:rsidRPr="00B82124">
        <w:rPr>
          <w:rStyle w:val="Corpsdutexte3NonItaliqueEspacement0pt"/>
          <w:b w:val="0"/>
          <w:i w:val="0"/>
          <w:iCs w:val="0"/>
          <w:sz w:val="28"/>
        </w:rPr>
        <w:t>fournissent beaucoup de rense</w:t>
      </w:r>
      <w:r w:rsidRPr="00B82124">
        <w:rPr>
          <w:rStyle w:val="Corpsdutexte3NonItaliqueEspacement0pt"/>
          <w:b w:val="0"/>
          <w:i w:val="0"/>
          <w:iCs w:val="0"/>
          <w:sz w:val="28"/>
        </w:rPr>
        <w:t>i</w:t>
      </w:r>
      <w:r w:rsidRPr="00B82124">
        <w:rPr>
          <w:rStyle w:val="Corpsdutexte3NonItaliqueEspacement0pt"/>
          <w:b w:val="0"/>
          <w:i w:val="0"/>
          <w:iCs w:val="0"/>
          <w:sz w:val="28"/>
        </w:rPr>
        <w:t>gnements utiles. Les articles</w:t>
      </w:r>
      <w:r w:rsidRPr="00B82124">
        <w:rPr>
          <w:rStyle w:val="Corpsdutexte3NonItaliqueEspacement0pt"/>
          <w:i w:val="0"/>
          <w:iCs w:val="0"/>
          <w:sz w:val="28"/>
        </w:rPr>
        <w:t xml:space="preserve"> </w:t>
      </w:r>
      <w:r w:rsidRPr="00B82124">
        <w:rPr>
          <w:i/>
          <w:lang w:eastAsia="fr-FR" w:bidi="fr-FR"/>
        </w:rPr>
        <w:t>Mühle</w:t>
      </w:r>
      <w:r w:rsidRPr="00B82124">
        <w:rPr>
          <w:rStyle w:val="Corpsdutexte3NonItaliqueEspacement0pt"/>
          <w:i w:val="0"/>
          <w:iCs w:val="0"/>
          <w:sz w:val="28"/>
        </w:rPr>
        <w:t xml:space="preserve"> </w:t>
      </w:r>
      <w:r w:rsidRPr="00B82124">
        <w:rPr>
          <w:rStyle w:val="Corpsdutexte3NonItaliqueEspacement0pt"/>
          <w:b w:val="0"/>
          <w:i w:val="0"/>
          <w:iCs w:val="0"/>
          <w:sz w:val="28"/>
        </w:rPr>
        <w:t>du</w:t>
      </w:r>
      <w:r w:rsidRPr="00B82124">
        <w:rPr>
          <w:rStyle w:val="Corpsdutexte3NonItaliqueEspacement0pt"/>
          <w:i w:val="0"/>
          <w:iCs w:val="0"/>
          <w:sz w:val="28"/>
        </w:rPr>
        <w:t xml:space="preserve"> </w:t>
      </w:r>
      <w:r w:rsidRPr="00B82124">
        <w:rPr>
          <w:i/>
          <w:lang w:eastAsia="fr-FR" w:bidi="fr-FR"/>
        </w:rPr>
        <w:t>Reallexikon der</w:t>
      </w:r>
      <w:r w:rsidRPr="00B82124">
        <w:rPr>
          <w:rStyle w:val="Corpsdutexte3NonItaliqueEspacement0pt"/>
          <w:i w:val="0"/>
          <w:iCs w:val="0"/>
          <w:sz w:val="28"/>
        </w:rPr>
        <w:t xml:space="preserve"> </w:t>
      </w:r>
      <w:r w:rsidRPr="00B82124">
        <w:rPr>
          <w:rStyle w:val="Corpsdutexte37ptNonItaliqueEspacement0pt"/>
          <w:b w:val="0"/>
          <w:i w:val="0"/>
          <w:iCs w:val="0"/>
          <w:sz w:val="28"/>
        </w:rPr>
        <w:t>V</w:t>
      </w:r>
      <w:r w:rsidRPr="00B82124">
        <w:rPr>
          <w:i/>
          <w:lang w:eastAsia="fr-FR" w:bidi="fr-FR"/>
        </w:rPr>
        <w:t>or geschichte</w:t>
      </w:r>
      <w:r w:rsidRPr="00B82124">
        <w:rPr>
          <w:rStyle w:val="Corpsdutexte3NonItaliqueEspacement0pt"/>
          <w:i w:val="0"/>
          <w:iCs w:val="0"/>
          <w:sz w:val="28"/>
        </w:rPr>
        <w:t xml:space="preserve"> </w:t>
      </w:r>
      <w:r w:rsidRPr="00B82124">
        <w:rPr>
          <w:rStyle w:val="Corpsdutexte3NonItaliqueEspacement0pt"/>
          <w:b w:val="0"/>
          <w:i w:val="0"/>
          <w:iCs w:val="0"/>
          <w:sz w:val="28"/>
        </w:rPr>
        <w:t xml:space="preserve">de Max </w:t>
      </w:r>
      <w:r w:rsidRPr="00B82124">
        <w:rPr>
          <w:rStyle w:val="Corpsdutexte37ptNonItaliquePetitesmajusculesEspacement0pt"/>
          <w:b w:val="0"/>
          <w:i w:val="0"/>
          <w:iCs w:val="0"/>
          <w:sz w:val="28"/>
        </w:rPr>
        <w:t xml:space="preserve">Ebert </w:t>
      </w:r>
      <w:r w:rsidRPr="00B82124">
        <w:rPr>
          <w:rStyle w:val="Corpsdutexte3NonItaliqueEspacement0pt"/>
          <w:b w:val="0"/>
          <w:i w:val="0"/>
          <w:iCs w:val="0"/>
          <w:sz w:val="28"/>
        </w:rPr>
        <w:t>et du</w:t>
      </w:r>
      <w:r w:rsidRPr="00B82124">
        <w:rPr>
          <w:rStyle w:val="Corpsdutexte3NonItaliqueEspacement0pt"/>
          <w:i w:val="0"/>
          <w:iCs w:val="0"/>
          <w:sz w:val="28"/>
        </w:rPr>
        <w:t xml:space="preserve"> </w:t>
      </w:r>
      <w:r w:rsidRPr="00B82124">
        <w:rPr>
          <w:i/>
          <w:lang w:eastAsia="fr-FR" w:bidi="fr-FR"/>
        </w:rPr>
        <w:t>Reallexikon der germani</w:t>
      </w:r>
      <w:r w:rsidRPr="00B82124">
        <w:rPr>
          <w:i/>
          <w:lang w:eastAsia="fr-FR" w:bidi="fr-FR"/>
        </w:rPr>
        <w:t>s</w:t>
      </w:r>
      <w:r w:rsidRPr="00B82124">
        <w:rPr>
          <w:i/>
          <w:lang w:eastAsia="fr-FR" w:bidi="fr-FR"/>
        </w:rPr>
        <w:t>chen Altertumskunde</w:t>
      </w:r>
      <w:r w:rsidRPr="00B82124">
        <w:rPr>
          <w:rStyle w:val="Corpsdutexte3NonItaliqueEspacement0pt"/>
          <w:i w:val="0"/>
          <w:iCs w:val="0"/>
          <w:sz w:val="28"/>
        </w:rPr>
        <w:t xml:space="preserve"> </w:t>
      </w:r>
      <w:r w:rsidRPr="00B82124">
        <w:rPr>
          <w:rStyle w:val="Corpsdutexte3NonItaliqueEspacement0pt"/>
          <w:b w:val="0"/>
          <w:i w:val="0"/>
          <w:iCs w:val="0"/>
          <w:sz w:val="28"/>
        </w:rPr>
        <w:t>de</w:t>
      </w:r>
      <w:r w:rsidRPr="00B82124">
        <w:rPr>
          <w:rStyle w:val="Corpsdutexte3NonItaliqueEspacement0pt"/>
          <w:i w:val="0"/>
          <w:iCs w:val="0"/>
          <w:sz w:val="28"/>
        </w:rPr>
        <w:t xml:space="preserve"> </w:t>
      </w:r>
      <w:r w:rsidRPr="00B82124">
        <w:rPr>
          <w:rStyle w:val="Corpsdutexte3NonItaliqueEspacement0pt"/>
          <w:b w:val="0"/>
          <w:i w:val="0"/>
          <w:iCs w:val="0"/>
          <w:sz w:val="28"/>
        </w:rPr>
        <w:t xml:space="preserve">J. </w:t>
      </w:r>
      <w:r w:rsidRPr="00B82124">
        <w:rPr>
          <w:rStyle w:val="Corpsdutexte37ptNonItaliquePetitesmajusculesEspacement0pt"/>
          <w:b w:val="0"/>
          <w:i w:val="0"/>
          <w:iCs w:val="0"/>
          <w:sz w:val="28"/>
        </w:rPr>
        <w:t xml:space="preserve">Hoops, </w:t>
      </w:r>
      <w:r w:rsidRPr="00B82124">
        <w:rPr>
          <w:rStyle w:val="Corpsdutexte3NonItaliqueEspacement0pt"/>
          <w:b w:val="0"/>
          <w:i w:val="0"/>
          <w:iCs w:val="0"/>
          <w:sz w:val="28"/>
        </w:rPr>
        <w:t>l’article</w:t>
      </w:r>
      <w:r w:rsidRPr="00B82124">
        <w:rPr>
          <w:rStyle w:val="Corpsdutexte3NonItaliqueEspacement0pt"/>
          <w:i w:val="0"/>
          <w:iCs w:val="0"/>
          <w:sz w:val="28"/>
        </w:rPr>
        <w:t xml:space="preserve"> </w:t>
      </w:r>
      <w:r w:rsidRPr="00B82124">
        <w:rPr>
          <w:i/>
          <w:lang w:eastAsia="fr-FR" w:bidi="fr-FR"/>
        </w:rPr>
        <w:t>Mahlen, Mühle</w:t>
      </w:r>
      <w:r w:rsidRPr="00B82124">
        <w:rPr>
          <w:rStyle w:val="Corpsdutexte3NonItaliqueEspacement0pt"/>
          <w:i w:val="0"/>
          <w:iCs w:val="0"/>
          <w:sz w:val="28"/>
        </w:rPr>
        <w:t xml:space="preserve"> </w:t>
      </w:r>
      <w:r w:rsidRPr="00B82124">
        <w:rPr>
          <w:rStyle w:val="Corpsdutexte3NonItaliqueEspacement0pt"/>
          <w:b w:val="0"/>
          <w:i w:val="0"/>
          <w:iCs w:val="0"/>
          <w:sz w:val="28"/>
        </w:rPr>
        <w:t>du</w:t>
      </w:r>
      <w:r w:rsidRPr="00B82124">
        <w:rPr>
          <w:rStyle w:val="Corpsdutexte3NonItaliqueEspacement0pt"/>
          <w:i w:val="0"/>
          <w:iCs w:val="0"/>
          <w:sz w:val="28"/>
        </w:rPr>
        <w:t xml:space="preserve"> </w:t>
      </w:r>
      <w:r w:rsidRPr="00B82124">
        <w:rPr>
          <w:i/>
          <w:lang w:eastAsia="fr-FR" w:bidi="fr-FR"/>
        </w:rPr>
        <w:t>Rea</w:t>
      </w:r>
      <w:r w:rsidRPr="00B82124">
        <w:rPr>
          <w:i/>
          <w:lang w:eastAsia="fr-FR" w:bidi="fr-FR"/>
        </w:rPr>
        <w:t>l</w:t>
      </w:r>
      <w:r w:rsidRPr="00B82124">
        <w:rPr>
          <w:i/>
          <w:lang w:eastAsia="fr-FR" w:bidi="fr-FR"/>
        </w:rPr>
        <w:t>lexikon der indogermanischen Altertumskunde</w:t>
      </w:r>
      <w:r w:rsidRPr="00B82124">
        <w:rPr>
          <w:rStyle w:val="Corpsdutexte3NonItaliqueEspacement0pt"/>
          <w:i w:val="0"/>
          <w:iCs w:val="0"/>
          <w:sz w:val="28"/>
        </w:rPr>
        <w:t xml:space="preserve"> </w:t>
      </w:r>
      <w:r w:rsidRPr="00B82124">
        <w:rPr>
          <w:rStyle w:val="Corpsdutexte3NonItaliqueEspacement0pt"/>
          <w:b w:val="0"/>
          <w:i w:val="0"/>
          <w:iCs w:val="0"/>
          <w:sz w:val="28"/>
        </w:rPr>
        <w:t>de O. </w:t>
      </w:r>
      <w:r w:rsidRPr="00B82124">
        <w:rPr>
          <w:rStyle w:val="Corpsdutexte37ptNonItaliquePetitesmajusculesEspacement0pt"/>
          <w:b w:val="0"/>
          <w:i w:val="0"/>
          <w:iCs w:val="0"/>
          <w:sz w:val="28"/>
        </w:rPr>
        <w:t xml:space="preserve">Schrader </w:t>
      </w:r>
      <w:r w:rsidRPr="00B82124">
        <w:rPr>
          <w:rStyle w:val="Corpsdutexte3NonItaliqueEspacement0pt"/>
          <w:b w:val="0"/>
          <w:i w:val="0"/>
          <w:iCs w:val="0"/>
          <w:sz w:val="28"/>
        </w:rPr>
        <w:t>(2</w:t>
      </w:r>
      <w:r w:rsidRPr="00B82124">
        <w:rPr>
          <w:rStyle w:val="Corpsdutexte3NonItaliqueEspacement0pt"/>
          <w:b w:val="0"/>
          <w:i w:val="0"/>
          <w:iCs w:val="0"/>
          <w:sz w:val="28"/>
          <w:vertAlign w:val="superscript"/>
        </w:rPr>
        <w:t>e</w:t>
      </w:r>
      <w:r w:rsidRPr="00B82124">
        <w:rPr>
          <w:rStyle w:val="Corpsdutexte3NonItaliqueEspacement0pt"/>
          <w:b w:val="0"/>
          <w:i w:val="0"/>
          <w:iCs w:val="0"/>
          <w:sz w:val="28"/>
        </w:rPr>
        <w:t xml:space="preserve"> éd., 1923) sont de simples mises au point </w:t>
      </w:r>
      <w:r>
        <w:rPr>
          <w:rStyle w:val="Appelnotedebasdep"/>
          <w:bCs/>
          <w:szCs w:val="17"/>
        </w:rPr>
        <w:footnoteReference w:id="812"/>
      </w:r>
      <w:r w:rsidRPr="00F6504D">
        <w:rPr>
          <w:rStyle w:val="Corpsdutexte3NonItaliqueEspacement0pt"/>
          <w:b w:val="0"/>
          <w:i w:val="0"/>
          <w:iCs w:val="0"/>
        </w:rPr>
        <w:t>.</w:t>
      </w:r>
    </w:p>
    <w:p w14:paraId="646F14F7" w14:textId="77777777" w:rsidR="00B9662D" w:rsidRPr="00B82124" w:rsidRDefault="00B9662D" w:rsidP="00B9662D">
      <w:pPr>
        <w:spacing w:before="120" w:after="120"/>
        <w:jc w:val="both"/>
      </w:pPr>
      <w:r w:rsidRPr="00B82124">
        <w:rPr>
          <w:lang w:eastAsia="fr-FR" w:bidi="fr-FR"/>
        </w:rPr>
        <w:t xml:space="preserve">Sur les origines et les divers types techniques, indications dans L. </w:t>
      </w:r>
      <w:r w:rsidRPr="00B82124">
        <w:rPr>
          <w:rStyle w:val="Corpsdutexte87ptPetitesmajuscules"/>
          <w:b w:val="0"/>
          <w:sz w:val="28"/>
        </w:rPr>
        <w:t xml:space="preserve">Lindet, </w:t>
      </w:r>
      <w:r w:rsidRPr="00B82124">
        <w:rPr>
          <w:rStyle w:val="Corpsdutexte8ItaliqueEspacement0pt"/>
          <w:b w:val="0"/>
          <w:sz w:val="28"/>
        </w:rPr>
        <w:t>Les origines du moulin à grains,</w:t>
      </w:r>
      <w:r w:rsidRPr="00B82124">
        <w:rPr>
          <w:lang w:eastAsia="fr-FR" w:bidi="fr-FR"/>
        </w:rPr>
        <w:t xml:space="preserve"> dans </w:t>
      </w:r>
      <w:r w:rsidRPr="00B82124">
        <w:rPr>
          <w:rStyle w:val="Corpsdutexte8ItaliqueEspacement0pt"/>
          <w:b w:val="0"/>
          <w:sz w:val="28"/>
        </w:rPr>
        <w:t>Revue archéolog</w:t>
      </w:r>
      <w:r w:rsidRPr="00B82124">
        <w:rPr>
          <w:rStyle w:val="Corpsdutexte8ItaliqueEspacement0pt"/>
          <w:b w:val="0"/>
          <w:sz w:val="28"/>
        </w:rPr>
        <w:t>i</w:t>
      </w:r>
      <w:r w:rsidRPr="00B82124">
        <w:rPr>
          <w:rStyle w:val="Corpsdutexte8ItaliqueEspacement0pt"/>
          <w:b w:val="0"/>
          <w:sz w:val="28"/>
        </w:rPr>
        <w:t>que,</w:t>
      </w:r>
      <w:r w:rsidRPr="00B82124">
        <w:rPr>
          <w:lang w:eastAsia="fr-FR" w:bidi="fr-FR"/>
        </w:rPr>
        <w:t xml:space="preserve"> 1899, t. II, et 1900, t. I.</w:t>
      </w:r>
    </w:p>
    <w:p w14:paraId="1484365D" w14:textId="77777777" w:rsidR="00B9662D" w:rsidRPr="000F765B" w:rsidRDefault="00B9662D" w:rsidP="00B9662D">
      <w:pPr>
        <w:spacing w:before="120" w:after="120"/>
        <w:jc w:val="both"/>
      </w:pPr>
      <w:r>
        <w:t>[</w:t>
      </w:r>
      <w:r w:rsidRPr="000F765B">
        <w:rPr>
          <w:lang w:eastAsia="fr-FR" w:bidi="fr-FR"/>
        </w:rPr>
        <w:t>821</w:t>
      </w:r>
      <w:r>
        <w:rPr>
          <w:lang w:eastAsia="fr-FR" w:bidi="fr-FR"/>
        </w:rPr>
        <w:t>]</w:t>
      </w:r>
    </w:p>
    <w:p w14:paraId="2F265BDD" w14:textId="77777777" w:rsidR="00B9662D" w:rsidRPr="000F765B" w:rsidRDefault="00B9662D" w:rsidP="00B9662D">
      <w:pPr>
        <w:spacing w:before="120" w:after="120"/>
        <w:jc w:val="both"/>
      </w:pPr>
      <w:r w:rsidRPr="00694859">
        <w:rPr>
          <w:lang w:eastAsia="fr-FR" w:bidi="fr-FR"/>
        </w:rPr>
        <w:t xml:space="preserve">Principaux travaux de linguistes : R. </w:t>
      </w:r>
      <w:r w:rsidRPr="00694859">
        <w:rPr>
          <w:rStyle w:val="Corpsdutexte87ptPetitesmajuscules"/>
          <w:b w:val="0"/>
          <w:sz w:val="28"/>
        </w:rPr>
        <w:t xml:space="preserve">Meringer, </w:t>
      </w:r>
      <w:r w:rsidRPr="00694859">
        <w:rPr>
          <w:rStyle w:val="Corpsdutexte8ItaliqueEspacement0pt"/>
          <w:b w:val="0"/>
          <w:sz w:val="28"/>
        </w:rPr>
        <w:t xml:space="preserve">Die Werkzeuge der </w:t>
      </w:r>
      <w:r w:rsidRPr="00694859">
        <w:rPr>
          <w:rStyle w:val="Corpsdutexte8ItaliqueEspacement0pt"/>
          <w:b w:val="0"/>
          <w:i w:val="0"/>
          <w:sz w:val="28"/>
        </w:rPr>
        <w:t>pinsere</w:t>
      </w:r>
      <w:r w:rsidRPr="00694859">
        <w:rPr>
          <w:rStyle w:val="Corpsdutexte8ItaliqueEspacement0pt"/>
          <w:b w:val="0"/>
          <w:sz w:val="28"/>
        </w:rPr>
        <w:t>-Reihe und ihre Namen</w:t>
      </w:r>
      <w:r w:rsidRPr="00694859">
        <w:rPr>
          <w:b/>
          <w:lang w:eastAsia="fr-FR" w:bidi="fr-FR"/>
        </w:rPr>
        <w:t xml:space="preserve"> ; </w:t>
      </w:r>
      <w:r w:rsidRPr="00694859">
        <w:rPr>
          <w:rStyle w:val="Corpsdutexte8ItaliqueEspacement0pt"/>
          <w:b w:val="0"/>
          <w:sz w:val="28"/>
        </w:rPr>
        <w:t>Zu den Werkzeugen der pi</w:t>
      </w:r>
      <w:r w:rsidRPr="00694859">
        <w:rPr>
          <w:rStyle w:val="Corpsdutexte8ItaliqueEspacement0pt"/>
          <w:b w:val="0"/>
          <w:sz w:val="28"/>
        </w:rPr>
        <w:t>n</w:t>
      </w:r>
      <w:r w:rsidRPr="00694859">
        <w:rPr>
          <w:rStyle w:val="Corpsdutexte8ItaliqueEspacement0pt"/>
          <w:b w:val="0"/>
          <w:sz w:val="28"/>
        </w:rPr>
        <w:t>seve-Reihe ; Zu den Werzkeugen</w:t>
      </w:r>
      <w:r w:rsidRPr="00694859">
        <w:rPr>
          <w:b/>
          <w:lang w:eastAsia="fr-FR" w:bidi="fr-FR"/>
        </w:rPr>
        <w:t xml:space="preserve"> </w:t>
      </w:r>
      <w:r w:rsidRPr="00694859">
        <w:rPr>
          <w:lang w:eastAsia="fr-FR" w:bidi="fr-FR"/>
        </w:rPr>
        <w:t>der molere</w:t>
      </w:r>
      <w:r w:rsidRPr="00694859">
        <w:rPr>
          <w:b/>
          <w:lang w:eastAsia="fr-FR" w:bidi="fr-FR"/>
        </w:rPr>
        <w:t>-</w:t>
      </w:r>
      <w:r w:rsidRPr="00694859">
        <w:rPr>
          <w:rStyle w:val="Corpsdutexte8ItaliqueEspacement0pt"/>
          <w:b w:val="0"/>
          <w:sz w:val="28"/>
        </w:rPr>
        <w:t>Reihe,</w:t>
      </w:r>
      <w:r w:rsidRPr="00694859">
        <w:rPr>
          <w:b/>
          <w:lang w:eastAsia="fr-FR" w:bidi="fr-FR"/>
        </w:rPr>
        <w:t xml:space="preserve"> </w:t>
      </w:r>
      <w:r w:rsidRPr="00694859">
        <w:rPr>
          <w:lang w:eastAsia="fr-FR" w:bidi="fr-FR"/>
        </w:rPr>
        <w:t>dans</w:t>
      </w:r>
      <w:r w:rsidRPr="00694859">
        <w:rPr>
          <w:b/>
          <w:lang w:eastAsia="fr-FR" w:bidi="fr-FR"/>
        </w:rPr>
        <w:t xml:space="preserve"> </w:t>
      </w:r>
      <w:r w:rsidRPr="00694859">
        <w:rPr>
          <w:rStyle w:val="Corpsdutexte8ItaliqueEspacement0pt"/>
          <w:b w:val="0"/>
          <w:sz w:val="28"/>
        </w:rPr>
        <w:t>Wörter une Sachen,</w:t>
      </w:r>
      <w:r w:rsidRPr="00694859">
        <w:rPr>
          <w:lang w:eastAsia="fr-FR" w:bidi="fr-FR"/>
        </w:rPr>
        <w:t xml:space="preserve"> t. I, 1909, p. 1, 164-165 ; A. </w:t>
      </w:r>
      <w:r w:rsidRPr="00694859">
        <w:rPr>
          <w:rStyle w:val="Corpsdutexte87ptPetitesmajuscules"/>
          <w:b w:val="0"/>
          <w:sz w:val="28"/>
        </w:rPr>
        <w:t>Meillet,</w:t>
      </w:r>
      <w:r w:rsidRPr="00694859">
        <w:rPr>
          <w:rStyle w:val="Corpsdutexte87ptPetitesmajuscules"/>
          <w:sz w:val="28"/>
        </w:rPr>
        <w:t xml:space="preserve"> </w:t>
      </w:r>
      <w:r w:rsidRPr="00694859">
        <w:rPr>
          <w:rStyle w:val="Corpsdutexte8ItaliqueEspacement0pt"/>
          <w:b w:val="0"/>
          <w:sz w:val="28"/>
        </w:rPr>
        <w:t>Le nom indo e</w:t>
      </w:r>
      <w:r w:rsidRPr="00694859">
        <w:rPr>
          <w:rStyle w:val="Corpsdutexte8ItaliqueEspacement0pt"/>
          <w:b w:val="0"/>
          <w:sz w:val="28"/>
        </w:rPr>
        <w:t>u</w:t>
      </w:r>
      <w:r w:rsidRPr="00694859">
        <w:rPr>
          <w:rStyle w:val="Corpsdutexte8ItaliqueEspacement0pt"/>
          <w:b w:val="0"/>
          <w:sz w:val="28"/>
        </w:rPr>
        <w:t>ropéen de la meule</w:t>
      </w:r>
      <w:r w:rsidRPr="00694859">
        <w:rPr>
          <w:b/>
          <w:lang w:eastAsia="fr-FR" w:bidi="fr-FR"/>
        </w:rPr>
        <w:t xml:space="preserve"> </w:t>
      </w:r>
      <w:r w:rsidRPr="00694859">
        <w:rPr>
          <w:lang w:eastAsia="fr-FR" w:bidi="fr-FR"/>
        </w:rPr>
        <w:t>dans</w:t>
      </w:r>
      <w:r w:rsidRPr="00694859">
        <w:rPr>
          <w:b/>
          <w:lang w:eastAsia="fr-FR" w:bidi="fr-FR"/>
        </w:rPr>
        <w:t xml:space="preserve"> </w:t>
      </w:r>
      <w:r w:rsidRPr="00694859">
        <w:rPr>
          <w:rStyle w:val="Corpsdutexte8ItaliqueEspacement0pt"/>
          <w:b w:val="0"/>
          <w:sz w:val="28"/>
        </w:rPr>
        <w:t>Mélanges publiés en l’honneur de M. Paul Boyer</w:t>
      </w:r>
      <w:r w:rsidRPr="00694859">
        <w:rPr>
          <w:lang w:eastAsia="fr-FR" w:bidi="fr-FR"/>
        </w:rPr>
        <w:t>, Paris, 1925 (Travaux publiés par T Institut d’Études sl</w:t>
      </w:r>
      <w:r w:rsidRPr="00694859">
        <w:rPr>
          <w:lang w:eastAsia="fr-FR" w:bidi="fr-FR"/>
        </w:rPr>
        <w:t>a</w:t>
      </w:r>
      <w:r w:rsidRPr="00694859">
        <w:rPr>
          <w:lang w:eastAsia="fr-FR" w:bidi="fr-FR"/>
        </w:rPr>
        <w:t xml:space="preserve">ves, t. II). </w:t>
      </w:r>
      <w:r w:rsidRPr="00694859">
        <w:rPr>
          <w:rStyle w:val="Corpsdutexte8ItaliqueEspacement0pt"/>
          <w:b w:val="0"/>
          <w:sz w:val="28"/>
        </w:rPr>
        <w:t>Cf.</w:t>
      </w:r>
      <w:r w:rsidRPr="00694859">
        <w:rPr>
          <w:lang w:eastAsia="fr-FR" w:bidi="fr-FR"/>
        </w:rPr>
        <w:t xml:space="preserve"> aussi l’article de J. </w:t>
      </w:r>
      <w:r w:rsidRPr="00694859">
        <w:rPr>
          <w:rStyle w:val="Corpsdutexte87ptPetitesmajuscules"/>
          <w:b w:val="0"/>
          <w:sz w:val="28"/>
        </w:rPr>
        <w:t>Vendryes,</w:t>
      </w:r>
      <w:r w:rsidRPr="00694859">
        <w:rPr>
          <w:rStyle w:val="Corpsdutexte87ptPetitesmajuscules"/>
          <w:sz w:val="28"/>
        </w:rPr>
        <w:t xml:space="preserve"> </w:t>
      </w:r>
      <w:r w:rsidRPr="00694859">
        <w:rPr>
          <w:lang w:eastAsia="fr-FR" w:bidi="fr-FR"/>
        </w:rPr>
        <w:t>cité ci-dessous, à propos des civilisations celtiques </w:t>
      </w:r>
      <w:r>
        <w:rPr>
          <w:rStyle w:val="Appelnotedebasdep"/>
        </w:rPr>
        <w:footnoteReference w:id="813"/>
      </w:r>
      <w:r w:rsidRPr="000F765B">
        <w:rPr>
          <w:lang w:eastAsia="fr-FR" w:bidi="fr-FR"/>
        </w:rPr>
        <w:t>.</w:t>
      </w:r>
    </w:p>
    <w:p w14:paraId="6D9EEB19" w14:textId="77777777" w:rsidR="00B9662D" w:rsidRPr="00694859" w:rsidRDefault="00B9662D" w:rsidP="00B9662D">
      <w:pPr>
        <w:spacing w:before="120" w:after="120"/>
        <w:jc w:val="both"/>
      </w:pPr>
      <w:r w:rsidRPr="00694859">
        <w:rPr>
          <w:lang w:eastAsia="fr-FR" w:bidi="fr-FR"/>
        </w:rPr>
        <w:t xml:space="preserve">Civilisations de l’Asie occidentale : B. </w:t>
      </w:r>
      <w:r w:rsidRPr="00694859">
        <w:rPr>
          <w:rStyle w:val="Corpsdutexte87ptPetitesmajuscules"/>
          <w:b w:val="0"/>
          <w:sz w:val="28"/>
        </w:rPr>
        <w:t xml:space="preserve">Landsberger, </w:t>
      </w:r>
      <w:r w:rsidRPr="00694859">
        <w:rPr>
          <w:rStyle w:val="Corpsdutexte8ItaliqueEspacement0pt"/>
          <w:b w:val="0"/>
          <w:sz w:val="28"/>
        </w:rPr>
        <w:t>Zur Meh</w:t>
      </w:r>
      <w:r w:rsidRPr="00694859">
        <w:rPr>
          <w:rStyle w:val="Corpsdutexte8ItaliqueEspacement0pt"/>
          <w:b w:val="0"/>
          <w:sz w:val="28"/>
        </w:rPr>
        <w:t>l</w:t>
      </w:r>
      <w:r w:rsidRPr="00694859">
        <w:rPr>
          <w:rStyle w:val="Corpsdutexte8ItaliqueEspacement0pt"/>
          <w:b w:val="0"/>
          <w:sz w:val="28"/>
        </w:rPr>
        <w:t>bere</w:t>
      </w:r>
      <w:r w:rsidRPr="00694859">
        <w:rPr>
          <w:rStyle w:val="Corpsdutexte8ItaliqueEspacement0pt"/>
          <w:b w:val="0"/>
          <w:sz w:val="28"/>
        </w:rPr>
        <w:t>i</w:t>
      </w:r>
      <w:r w:rsidRPr="00694859">
        <w:rPr>
          <w:rStyle w:val="Corpsdutexte8ItaliqueEspacement0pt"/>
          <w:b w:val="0"/>
          <w:sz w:val="28"/>
        </w:rPr>
        <w:t>tung im Altertum,</w:t>
      </w:r>
      <w:r w:rsidRPr="00694859">
        <w:rPr>
          <w:b/>
          <w:lang w:eastAsia="fr-FR" w:bidi="fr-FR"/>
        </w:rPr>
        <w:t xml:space="preserve"> </w:t>
      </w:r>
      <w:r w:rsidRPr="00694859">
        <w:rPr>
          <w:lang w:eastAsia="fr-FR" w:bidi="fr-FR"/>
        </w:rPr>
        <w:t>dans</w:t>
      </w:r>
      <w:r w:rsidRPr="00694859">
        <w:rPr>
          <w:b/>
          <w:lang w:eastAsia="fr-FR" w:bidi="fr-FR"/>
        </w:rPr>
        <w:t xml:space="preserve"> </w:t>
      </w:r>
      <w:r w:rsidRPr="00694859">
        <w:rPr>
          <w:rStyle w:val="Corpsdutexte8ItaliqueEspacement0pt"/>
          <w:b w:val="0"/>
          <w:sz w:val="28"/>
        </w:rPr>
        <w:t>Orientalistische Literaturzeitung</w:t>
      </w:r>
      <w:r w:rsidRPr="00694859">
        <w:rPr>
          <w:b/>
          <w:lang w:eastAsia="fr-FR" w:bidi="fr-FR"/>
        </w:rPr>
        <w:t>,</w:t>
      </w:r>
      <w:r w:rsidRPr="00694859">
        <w:rPr>
          <w:lang w:eastAsia="fr-FR" w:bidi="fr-FR"/>
        </w:rPr>
        <w:t xml:space="preserve"> t. XXV, 1922 (presque exclusivement linguistique).</w:t>
      </w:r>
    </w:p>
    <w:p w14:paraId="04AE18AB" w14:textId="77777777" w:rsidR="00B9662D" w:rsidRPr="00694859" w:rsidRDefault="00B9662D" w:rsidP="00B9662D">
      <w:pPr>
        <w:spacing w:before="120" w:after="120"/>
        <w:jc w:val="both"/>
      </w:pPr>
      <w:r w:rsidRPr="00694859">
        <w:rPr>
          <w:rStyle w:val="Corpsdutexte3NonItaliqueEspacement0pt"/>
          <w:b w:val="0"/>
          <w:i w:val="0"/>
          <w:iCs w:val="0"/>
          <w:sz w:val="28"/>
        </w:rPr>
        <w:t xml:space="preserve">Antiquité classique : H. </w:t>
      </w:r>
      <w:r w:rsidRPr="00694859">
        <w:rPr>
          <w:rStyle w:val="Corpsdutexte37ptNonItaliquePetitesmajusculesEspacement0pt"/>
          <w:b w:val="0"/>
          <w:i w:val="0"/>
          <w:iCs w:val="0"/>
          <w:sz w:val="28"/>
        </w:rPr>
        <w:t>Blümner,</w:t>
      </w:r>
      <w:r w:rsidRPr="00694859">
        <w:rPr>
          <w:rStyle w:val="Corpsdutexte37ptNonItaliquePetitesmajusculesEspacement0pt"/>
          <w:i w:val="0"/>
          <w:iCs w:val="0"/>
          <w:sz w:val="28"/>
        </w:rPr>
        <w:t xml:space="preserve"> </w:t>
      </w:r>
      <w:r w:rsidRPr="00694859">
        <w:rPr>
          <w:i/>
          <w:lang w:eastAsia="fr-FR" w:bidi="fr-FR"/>
        </w:rPr>
        <w:t>Technologie und Terminologie der Gewerbe und Künste der Griechen und Römer</w:t>
      </w:r>
      <w:r w:rsidRPr="00694859">
        <w:rPr>
          <w:lang w:eastAsia="fr-FR" w:bidi="fr-FR"/>
        </w:rPr>
        <w:t>,</w:t>
      </w:r>
      <w:r w:rsidRPr="00694859">
        <w:rPr>
          <w:rStyle w:val="Corpsdutexte3NonItaliqueEspacement0pt"/>
          <w:i w:val="0"/>
          <w:iCs w:val="0"/>
          <w:sz w:val="28"/>
        </w:rPr>
        <w:t xml:space="preserve"> </w:t>
      </w:r>
      <w:r w:rsidRPr="00694859">
        <w:rPr>
          <w:rStyle w:val="Corpsdutexte3NonItaliqueEspacement0pt"/>
          <w:b w:val="0"/>
          <w:i w:val="0"/>
          <w:iCs w:val="0"/>
          <w:sz w:val="28"/>
        </w:rPr>
        <w:t xml:space="preserve">t. II, Berlin, 1879, p. 83 ; Th. </w:t>
      </w:r>
      <w:r w:rsidRPr="00694859">
        <w:rPr>
          <w:rStyle w:val="Corpsdutexte37ptNonItaliquePetitesmajusculesEspacement0pt"/>
          <w:b w:val="0"/>
          <w:i w:val="0"/>
          <w:iCs w:val="0"/>
          <w:sz w:val="28"/>
        </w:rPr>
        <w:t xml:space="preserve">Mommsen </w:t>
      </w:r>
      <w:r w:rsidRPr="00694859">
        <w:rPr>
          <w:rStyle w:val="Corpsdutexte3NonItaliqueEspacement0pt"/>
          <w:b w:val="0"/>
          <w:i w:val="0"/>
          <w:iCs w:val="0"/>
          <w:sz w:val="28"/>
        </w:rPr>
        <w:t xml:space="preserve">et J. </w:t>
      </w:r>
      <w:r w:rsidRPr="00694859">
        <w:rPr>
          <w:rStyle w:val="Corpsdutexte37ptNonItaliquePetitesmajusculesEspacement0pt"/>
          <w:b w:val="0"/>
          <w:i w:val="0"/>
          <w:iCs w:val="0"/>
          <w:sz w:val="28"/>
        </w:rPr>
        <w:t>Marquardt,</w:t>
      </w:r>
      <w:r w:rsidRPr="00694859">
        <w:rPr>
          <w:rStyle w:val="Corpsdutexte37ptNonItaliquePetitesmajusculesEspacement0pt"/>
          <w:i w:val="0"/>
          <w:iCs w:val="0"/>
          <w:sz w:val="28"/>
        </w:rPr>
        <w:t xml:space="preserve"> </w:t>
      </w:r>
      <w:r w:rsidRPr="00694859">
        <w:rPr>
          <w:i/>
          <w:lang w:eastAsia="fr-FR" w:bidi="fr-FR"/>
        </w:rPr>
        <w:t>Manuel des antiquités r</w:t>
      </w:r>
      <w:r w:rsidRPr="00694859">
        <w:rPr>
          <w:i/>
          <w:lang w:eastAsia="fr-FR" w:bidi="fr-FR"/>
        </w:rPr>
        <w:t>o</w:t>
      </w:r>
      <w:r w:rsidRPr="00694859">
        <w:rPr>
          <w:i/>
          <w:lang w:eastAsia="fr-FR" w:bidi="fr-FR"/>
        </w:rPr>
        <w:t>maines</w:t>
      </w:r>
      <w:r w:rsidRPr="00694859">
        <w:rPr>
          <w:rStyle w:val="Corpsdutexte3NonItaliqueEspacement0pt"/>
          <w:b w:val="0"/>
          <w:i w:val="0"/>
          <w:iCs w:val="0"/>
          <w:sz w:val="28"/>
        </w:rPr>
        <w:t xml:space="preserve">, t. XV (J. </w:t>
      </w:r>
      <w:r w:rsidRPr="00694859">
        <w:rPr>
          <w:rStyle w:val="Corpsdutexte37ptNonItaliquePetitesmajusculesEspacement0pt"/>
          <w:b w:val="0"/>
          <w:i w:val="0"/>
          <w:iCs w:val="0"/>
          <w:sz w:val="28"/>
        </w:rPr>
        <w:t>Marquardt,</w:t>
      </w:r>
      <w:r w:rsidRPr="00694859">
        <w:rPr>
          <w:rStyle w:val="Corpsdutexte37ptNonItaliquePetitesmajusculesEspacement0pt"/>
          <w:i w:val="0"/>
          <w:iCs w:val="0"/>
          <w:sz w:val="28"/>
        </w:rPr>
        <w:t xml:space="preserve"> </w:t>
      </w:r>
      <w:r w:rsidRPr="00694859">
        <w:rPr>
          <w:i/>
          <w:lang w:eastAsia="fr-FR" w:bidi="fr-FR"/>
        </w:rPr>
        <w:t>La vie privée</w:t>
      </w:r>
      <w:r w:rsidRPr="00694859">
        <w:rPr>
          <w:rStyle w:val="Corpsdutexte3NonItaliqueEspacement0pt"/>
          <w:i w:val="0"/>
          <w:iCs w:val="0"/>
          <w:sz w:val="28"/>
        </w:rPr>
        <w:t xml:space="preserve">, </w:t>
      </w:r>
      <w:r w:rsidRPr="00694859">
        <w:rPr>
          <w:rStyle w:val="Corpsdutexte3NonItaliqueEspacement0pt"/>
          <w:b w:val="0"/>
          <w:i w:val="0"/>
          <w:iCs w:val="0"/>
          <w:sz w:val="28"/>
        </w:rPr>
        <w:t>t. II), p. 45.</w:t>
      </w:r>
    </w:p>
    <w:p w14:paraId="25F511E5" w14:textId="77777777" w:rsidR="00B9662D" w:rsidRPr="00694859" w:rsidRDefault="00B9662D" w:rsidP="00B9662D">
      <w:pPr>
        <w:spacing w:before="120" w:after="120"/>
        <w:jc w:val="both"/>
      </w:pPr>
      <w:r w:rsidRPr="00694859">
        <w:rPr>
          <w:rStyle w:val="Corpsdutexte3NonItaliqueEspacement0pt"/>
          <w:b w:val="0"/>
          <w:i w:val="0"/>
          <w:iCs w:val="0"/>
          <w:sz w:val="28"/>
        </w:rPr>
        <w:t xml:space="preserve">Civilisations celtiques : J. </w:t>
      </w:r>
      <w:r w:rsidRPr="00694859">
        <w:rPr>
          <w:rStyle w:val="Corpsdutexte37ptNonItaliquePetitesmajusculesEspacement0pt"/>
          <w:b w:val="0"/>
          <w:i w:val="0"/>
          <w:iCs w:val="0"/>
          <w:sz w:val="28"/>
        </w:rPr>
        <w:t>Vendryes,</w:t>
      </w:r>
      <w:r w:rsidRPr="00694859">
        <w:rPr>
          <w:rStyle w:val="Corpsdutexte37ptNonItaliquePetitesmajusculesEspacement0pt"/>
          <w:i w:val="0"/>
          <w:iCs w:val="0"/>
          <w:sz w:val="28"/>
        </w:rPr>
        <w:t xml:space="preserve"> </w:t>
      </w:r>
      <w:r w:rsidRPr="00694859">
        <w:rPr>
          <w:i/>
          <w:lang w:eastAsia="fr-FR" w:bidi="fr-FR"/>
        </w:rPr>
        <w:t>Les moulins en Irlande et l’aventure de Ciarna</w:t>
      </w:r>
      <w:r w:rsidRPr="00694859">
        <w:rPr>
          <w:lang w:eastAsia="fr-FR" w:bidi="fr-FR"/>
        </w:rPr>
        <w:t>t</w:t>
      </w:r>
      <w:r w:rsidRPr="00694859">
        <w:rPr>
          <w:rStyle w:val="Corpsdutexte3NonItaliqueEspacement0pt"/>
          <w:i w:val="0"/>
          <w:iCs w:val="0"/>
          <w:sz w:val="28"/>
        </w:rPr>
        <w:t xml:space="preserve">, </w:t>
      </w:r>
      <w:r w:rsidRPr="00694859">
        <w:rPr>
          <w:rStyle w:val="Corpsdutexte3NonItaliqueEspacement0pt"/>
          <w:b w:val="0"/>
          <w:i w:val="0"/>
          <w:iCs w:val="0"/>
          <w:sz w:val="28"/>
        </w:rPr>
        <w:t>dans</w:t>
      </w:r>
      <w:r w:rsidRPr="00694859">
        <w:rPr>
          <w:rStyle w:val="Corpsdutexte3NonItaliqueEspacement0pt"/>
          <w:i w:val="0"/>
          <w:iCs w:val="0"/>
          <w:sz w:val="28"/>
        </w:rPr>
        <w:t xml:space="preserve"> </w:t>
      </w:r>
      <w:r w:rsidRPr="00694859">
        <w:rPr>
          <w:i/>
          <w:lang w:eastAsia="fr-FR" w:bidi="fr-FR"/>
        </w:rPr>
        <w:t>Revue archéologique</w:t>
      </w:r>
      <w:r w:rsidRPr="00694859">
        <w:rPr>
          <w:rStyle w:val="Corpsdutexte3NonItaliqueEspacement0pt"/>
          <w:i w:val="0"/>
          <w:iCs w:val="0"/>
          <w:sz w:val="28"/>
        </w:rPr>
        <w:t xml:space="preserve">, </w:t>
      </w:r>
      <w:r w:rsidRPr="00694859">
        <w:rPr>
          <w:rStyle w:val="Corpsdutexte3NonItaliqueEspacement0pt"/>
          <w:b w:val="0"/>
          <w:i w:val="0"/>
          <w:iCs w:val="0"/>
          <w:sz w:val="28"/>
        </w:rPr>
        <w:t>1921, II.</w:t>
      </w:r>
    </w:p>
    <w:p w14:paraId="45BC3364" w14:textId="77777777" w:rsidR="00B9662D" w:rsidRPr="00694859" w:rsidRDefault="00B9662D" w:rsidP="00B9662D">
      <w:pPr>
        <w:spacing w:before="120" w:after="120"/>
        <w:jc w:val="both"/>
      </w:pPr>
      <w:r w:rsidRPr="00694859">
        <w:rPr>
          <w:lang w:eastAsia="fr-FR" w:bidi="fr-FR"/>
        </w:rPr>
        <w:lastRenderedPageBreak/>
        <w:t xml:space="preserve">Sur la technique du moulin, avant la machine </w:t>
      </w:r>
      <w:r w:rsidRPr="00694859">
        <w:rPr>
          <w:bCs/>
        </w:rPr>
        <w:t>à</w:t>
      </w:r>
      <w:r w:rsidRPr="00694859">
        <w:rPr>
          <w:b/>
          <w:bCs/>
        </w:rPr>
        <w:t xml:space="preserve"> </w:t>
      </w:r>
      <w:r w:rsidRPr="00694859">
        <w:rPr>
          <w:lang w:eastAsia="fr-FR" w:bidi="fr-FR"/>
        </w:rPr>
        <w:t xml:space="preserve">vapeur : </w:t>
      </w:r>
      <w:r w:rsidRPr="00694859">
        <w:rPr>
          <w:rStyle w:val="Corpsdutexte87ptPetitesmajuscules"/>
          <w:b w:val="0"/>
          <w:sz w:val="28"/>
        </w:rPr>
        <w:t xml:space="preserve">M. Maloin, </w:t>
      </w:r>
      <w:r w:rsidRPr="00694859">
        <w:rPr>
          <w:rStyle w:val="Corpsdutexte8ItaliqueEspacement0pt"/>
          <w:b w:val="0"/>
          <w:sz w:val="28"/>
        </w:rPr>
        <w:t>Description des arts du meunier</w:t>
      </w:r>
      <w:r w:rsidRPr="00694859">
        <w:rPr>
          <w:b/>
          <w:lang w:eastAsia="fr-FR" w:bidi="fr-FR"/>
        </w:rPr>
        <w:t xml:space="preserve">, </w:t>
      </w:r>
      <w:r w:rsidRPr="00694859">
        <w:rPr>
          <w:rStyle w:val="Corpsdutexte8ItaliqueEspacement0pt"/>
          <w:b w:val="0"/>
          <w:sz w:val="28"/>
        </w:rPr>
        <w:t>du vermicellier et du boula</w:t>
      </w:r>
      <w:r w:rsidRPr="00694859">
        <w:rPr>
          <w:rStyle w:val="Corpsdutexte8ItaliqueEspacement0pt"/>
          <w:b w:val="0"/>
          <w:sz w:val="28"/>
        </w:rPr>
        <w:t>n</w:t>
      </w:r>
      <w:r w:rsidRPr="00694859">
        <w:rPr>
          <w:rStyle w:val="Corpsdutexte8ItaliqueEspacement0pt"/>
          <w:b w:val="0"/>
          <w:sz w:val="28"/>
        </w:rPr>
        <w:t>ger,</w:t>
      </w:r>
      <w:r w:rsidRPr="00694859">
        <w:rPr>
          <w:lang w:eastAsia="fr-FR" w:bidi="fr-FR"/>
        </w:rPr>
        <w:t xml:space="preserve"> Paris, 1767.</w:t>
      </w:r>
    </w:p>
    <w:p w14:paraId="600C5BD1" w14:textId="77777777" w:rsidR="00B9662D" w:rsidRPr="00694859" w:rsidRDefault="00B9662D" w:rsidP="00B9662D">
      <w:pPr>
        <w:spacing w:before="120" w:after="120"/>
        <w:jc w:val="both"/>
      </w:pPr>
      <w:r w:rsidRPr="00694859">
        <w:rPr>
          <w:lang w:eastAsia="fr-FR" w:bidi="fr-FR"/>
        </w:rPr>
        <w:t>Un recensement des sources relatives à l’histoire du moulin est, c</w:t>
      </w:r>
      <w:r w:rsidRPr="00694859">
        <w:rPr>
          <w:lang w:eastAsia="fr-FR" w:bidi="fr-FR"/>
        </w:rPr>
        <w:t>e</w:t>
      </w:r>
      <w:r w:rsidRPr="00694859">
        <w:rPr>
          <w:lang w:eastAsia="fr-FR" w:bidi="fr-FR"/>
        </w:rPr>
        <w:t>la va de soi, hors de question. Car elles sont dispersées à l’extrême. Une enquête assez longue m’a permis d’apporter quelques témoign</w:t>
      </w:r>
      <w:r w:rsidRPr="00694859">
        <w:rPr>
          <w:lang w:eastAsia="fr-FR" w:bidi="fr-FR"/>
        </w:rPr>
        <w:t>a</w:t>
      </w:r>
      <w:r w:rsidRPr="00694859">
        <w:rPr>
          <w:lang w:eastAsia="fr-FR" w:bidi="fr-FR"/>
        </w:rPr>
        <w:t>ges nouveaux. Nul doute que beaucoup d’autres n’attendent le che</w:t>
      </w:r>
      <w:r w:rsidRPr="00694859">
        <w:rPr>
          <w:lang w:eastAsia="fr-FR" w:bidi="fr-FR"/>
        </w:rPr>
        <w:t>r</w:t>
      </w:r>
      <w:r w:rsidRPr="00694859">
        <w:rPr>
          <w:lang w:eastAsia="fr-FR" w:bidi="fr-FR"/>
        </w:rPr>
        <w:t>cheur, assez patient ou assez adroit pour trouver son chemin à travers des éditions où, si souvent, le manque d’index condamne à une ma</w:t>
      </w:r>
      <w:r w:rsidRPr="00694859">
        <w:rPr>
          <w:lang w:eastAsia="fr-FR" w:bidi="fr-FR"/>
        </w:rPr>
        <w:t>r</w:t>
      </w:r>
      <w:r w:rsidRPr="00694859">
        <w:rPr>
          <w:lang w:eastAsia="fr-FR" w:bidi="fr-FR"/>
        </w:rPr>
        <w:t>che tâtonnante. Je me bornerai ici à souligner l’intérêt, singulièrement vif, d’une catégorie particulière de documents,</w:t>
      </w:r>
    </w:p>
    <w:p w14:paraId="552B4E9F" w14:textId="77777777" w:rsidR="00B9662D" w:rsidRPr="000F765B" w:rsidRDefault="00B9662D" w:rsidP="00B9662D">
      <w:pPr>
        <w:spacing w:before="120" w:after="120"/>
        <w:jc w:val="both"/>
      </w:pPr>
      <w:r w:rsidRPr="00694859">
        <w:rPr>
          <w:lang w:eastAsia="fr-FR" w:bidi="fr-FR"/>
        </w:rPr>
        <w:t>Quelques renseignements ont été, ci-dessus, empruntés à la littér</w:t>
      </w:r>
      <w:r w:rsidRPr="00694859">
        <w:rPr>
          <w:lang w:eastAsia="fr-FR" w:bidi="fr-FR"/>
        </w:rPr>
        <w:t>a</w:t>
      </w:r>
      <w:r w:rsidRPr="000F765B">
        <w:rPr>
          <w:lang w:eastAsia="fr-FR" w:bidi="fr-FR"/>
        </w:rPr>
        <w:t>ture juridique de l’Ancien Régime. Commentaires des coutumes, r</w:t>
      </w:r>
      <w:r w:rsidRPr="000F765B">
        <w:rPr>
          <w:lang w:eastAsia="fr-FR" w:bidi="fr-FR"/>
        </w:rPr>
        <w:t>e</w:t>
      </w:r>
      <w:r w:rsidRPr="000F765B">
        <w:rPr>
          <w:lang w:eastAsia="fr-FR" w:bidi="fr-FR"/>
        </w:rPr>
        <w:t xml:space="preserve">cueils de jurisprudence, traités systématiques du droit seigneurial ou féodal, tous ces in-folio ou in-quarto poudreux sont une mine d’une étonnante richesse. Malheureusement, le dépouillement en est, dans l’état présent de notre équipement scientifique, hérissé d’obstacles. D’abord parce qu’il n’en existe aucun inventaire satisfaisant ; celui qui a été tenté jadis au tome II de la </w:t>
      </w:r>
      <w:r w:rsidRPr="00F6504D">
        <w:rPr>
          <w:rStyle w:val="Corpsdutexte8ItaliqueEspacement0pt"/>
          <w:b w:val="0"/>
          <w:sz w:val="28"/>
        </w:rPr>
        <w:t>Profession d’Avocat</w:t>
      </w:r>
      <w:r w:rsidRPr="000F765B">
        <w:rPr>
          <w:lang w:eastAsia="fr-FR" w:bidi="fr-FR"/>
        </w:rPr>
        <w:t xml:space="preserve"> de </w:t>
      </w:r>
      <w:r w:rsidRPr="00F6504D">
        <w:rPr>
          <w:rStyle w:val="Corpsdutexte87ptPetitesmajuscules"/>
          <w:b w:val="0"/>
        </w:rPr>
        <w:t>Camus</w:t>
      </w:r>
      <w:r w:rsidRPr="000F765B">
        <w:rPr>
          <w:rStyle w:val="Corpsdutexte87ptPetitesmajuscules"/>
        </w:rPr>
        <w:t xml:space="preserve"> </w:t>
      </w:r>
      <w:r w:rsidRPr="000F765B">
        <w:rPr>
          <w:lang w:eastAsia="fr-FR" w:bidi="fr-FR"/>
        </w:rPr>
        <w:t xml:space="preserve">et </w:t>
      </w:r>
      <w:r w:rsidRPr="00F6504D">
        <w:rPr>
          <w:rStyle w:val="Corpsdutexte87ptPetitesmajuscules"/>
          <w:b w:val="0"/>
        </w:rPr>
        <w:t>Dupin</w:t>
      </w:r>
      <w:r w:rsidRPr="000F765B">
        <w:rPr>
          <w:rStyle w:val="Corpsdutexte87ptPetitesmajuscules"/>
        </w:rPr>
        <w:t xml:space="preserve"> </w:t>
      </w:r>
      <w:r w:rsidRPr="000F765B">
        <w:rPr>
          <w:lang w:eastAsia="fr-FR" w:bidi="fr-FR"/>
        </w:rPr>
        <w:t>(5</w:t>
      </w:r>
      <w:r w:rsidRPr="000F765B">
        <w:rPr>
          <w:vertAlign w:val="superscript"/>
          <w:lang w:eastAsia="fr-FR" w:bidi="fr-FR"/>
        </w:rPr>
        <w:t>e</w:t>
      </w:r>
      <w:r w:rsidRPr="000F765B">
        <w:rPr>
          <w:lang w:eastAsia="fr-FR" w:bidi="fr-FR"/>
        </w:rPr>
        <w:t xml:space="preserve"> éd., 1832), si utile qu’il soit aujourd’hui encore, ne saurait su</w:t>
      </w:r>
      <w:r w:rsidRPr="000F765B">
        <w:rPr>
          <w:lang w:eastAsia="fr-FR" w:bidi="fr-FR"/>
        </w:rPr>
        <w:t>f</w:t>
      </w:r>
      <w:r w:rsidRPr="000F765B">
        <w:rPr>
          <w:lang w:eastAsia="fr-FR" w:bidi="fr-FR"/>
        </w:rPr>
        <w:t>fire. Surtout, dans la seule bibliothèque qui possède un assortiment étendu de ce genre d’ouvrages</w:t>
      </w:r>
      <w:r>
        <w:rPr>
          <w:lang w:eastAsia="fr-FR" w:bidi="fr-FR"/>
        </w:rPr>
        <w:t> — </w:t>
      </w:r>
      <w:r w:rsidRPr="000F765B">
        <w:rPr>
          <w:lang w:eastAsia="fr-FR" w:bidi="fr-FR"/>
        </w:rPr>
        <w:t>je veux dire, la Bibliothèque Nati</w:t>
      </w:r>
      <w:r w:rsidRPr="000F765B">
        <w:rPr>
          <w:lang w:eastAsia="fr-FR" w:bidi="fr-FR"/>
        </w:rPr>
        <w:t>o</w:t>
      </w:r>
      <w:r w:rsidRPr="000F765B">
        <w:rPr>
          <w:lang w:eastAsia="fr-FR" w:bidi="fr-FR"/>
        </w:rPr>
        <w:t>nale,</w:t>
      </w:r>
      <w:r>
        <w:rPr>
          <w:lang w:eastAsia="fr-FR" w:bidi="fr-FR"/>
        </w:rPr>
        <w:t> — </w:t>
      </w:r>
      <w:r w:rsidRPr="000F765B">
        <w:rPr>
          <w:lang w:eastAsia="fr-FR" w:bidi="fr-FR"/>
        </w:rPr>
        <w:t>les règles de travail sont aussi peu favorables que possible à des recherches dont le caractère même suppose le maniement, en un temps très court, de très nombreux volumes. Le jour où les historiens de l’ancienne France trouveront réunie dans une salle, à portée de leur main, la collection de ces vieux livres de droit, il deviendra aisé de répandre la lumière sur bien des coins cachés de notre passé. Nos co</w:t>
      </w:r>
      <w:r w:rsidRPr="000F765B">
        <w:rPr>
          <w:lang w:eastAsia="fr-FR" w:bidi="fr-FR"/>
        </w:rPr>
        <w:t>l</w:t>
      </w:r>
      <w:r w:rsidRPr="000F765B">
        <w:rPr>
          <w:lang w:eastAsia="fr-FR" w:bidi="fr-FR"/>
        </w:rPr>
        <w:t>lègues des sciences de la nature se plaignent, à juste titre, de l’état de leurs laboratoires ; que penseraient-ils des conditions matérielles qui sont couramment faites à nos enquêtes ?</w:t>
      </w:r>
    </w:p>
    <w:p w14:paraId="7974009A" w14:textId="77777777" w:rsidR="00B9662D" w:rsidRDefault="00B9662D" w:rsidP="00B9662D">
      <w:pPr>
        <w:pStyle w:val="p"/>
      </w:pPr>
      <w:r w:rsidRPr="000F765B">
        <w:br w:type="page"/>
      </w:r>
      <w:r>
        <w:lastRenderedPageBreak/>
        <w:t>[822]</w:t>
      </w:r>
    </w:p>
    <w:p w14:paraId="724801CA" w14:textId="77777777" w:rsidR="00B9662D" w:rsidRDefault="00B9662D" w:rsidP="00B9662D">
      <w:pPr>
        <w:jc w:val="both"/>
      </w:pPr>
    </w:p>
    <w:p w14:paraId="4F798729" w14:textId="77777777" w:rsidR="00B9662D" w:rsidRDefault="00B9662D" w:rsidP="00B9662D">
      <w:pPr>
        <w:jc w:val="both"/>
      </w:pPr>
    </w:p>
    <w:p w14:paraId="04431594" w14:textId="77777777" w:rsidR="00B9662D" w:rsidRPr="00E07116" w:rsidRDefault="00B9662D" w:rsidP="00B9662D">
      <w:pPr>
        <w:jc w:val="both"/>
      </w:pPr>
    </w:p>
    <w:p w14:paraId="1C9F6E8A" w14:textId="77777777" w:rsidR="00B9662D" w:rsidRPr="00F54CC7" w:rsidRDefault="00B9662D" w:rsidP="00B9662D">
      <w:pPr>
        <w:spacing w:after="120"/>
        <w:ind w:firstLine="0"/>
        <w:jc w:val="center"/>
        <w:rPr>
          <w:sz w:val="24"/>
        </w:rPr>
      </w:pPr>
      <w:bookmarkStart w:id="40" w:name="Melanges_t2_pt_8_chap_I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2B605836"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2A24CC50" w14:textId="77777777" w:rsidR="00B9662D" w:rsidRPr="00384B20" w:rsidRDefault="00B9662D" w:rsidP="00B9662D">
      <w:pPr>
        <w:pStyle w:val="Titreniveau1"/>
      </w:pPr>
      <w:r w:rsidRPr="00384B20">
        <w:t>Chapitre I</w:t>
      </w:r>
      <w:r>
        <w:t>II</w:t>
      </w:r>
    </w:p>
    <w:p w14:paraId="60BED17B" w14:textId="77777777" w:rsidR="00B9662D" w:rsidRPr="00E07116" w:rsidRDefault="00B9662D" w:rsidP="00B9662D">
      <w:pPr>
        <w:jc w:val="both"/>
        <w:rPr>
          <w:szCs w:val="36"/>
        </w:rPr>
      </w:pPr>
    </w:p>
    <w:p w14:paraId="13775346" w14:textId="77777777" w:rsidR="00B9662D" w:rsidRPr="00E07116" w:rsidRDefault="00B9662D" w:rsidP="00B9662D">
      <w:pPr>
        <w:pStyle w:val="Titreniveau2"/>
      </w:pPr>
      <w:r>
        <w:t>LES « inventions »</w:t>
      </w:r>
      <w:r>
        <w:br/>
        <w:t>médiévales </w:t>
      </w:r>
      <w:r>
        <w:rPr>
          <w:rStyle w:val="Appelnotedebasdep"/>
        </w:rPr>
        <w:footnoteReference w:id="814"/>
      </w:r>
    </w:p>
    <w:bookmarkEnd w:id="40"/>
    <w:p w14:paraId="63C25402" w14:textId="77777777" w:rsidR="00B9662D" w:rsidRDefault="00B9662D" w:rsidP="00B9662D">
      <w:pPr>
        <w:jc w:val="both"/>
        <w:rPr>
          <w:szCs w:val="36"/>
        </w:rPr>
      </w:pPr>
    </w:p>
    <w:p w14:paraId="311DB7AE" w14:textId="77777777" w:rsidR="00B9662D" w:rsidRPr="00246AE4" w:rsidRDefault="00B9662D" w:rsidP="00B9662D">
      <w:pPr>
        <w:pStyle w:val="planche"/>
      </w:pPr>
      <w:r w:rsidRPr="00246AE4">
        <w:t>I</w:t>
      </w:r>
    </w:p>
    <w:p w14:paraId="5C1C57B7" w14:textId="77777777" w:rsidR="00B9662D" w:rsidRDefault="00B9662D" w:rsidP="00B9662D">
      <w:pPr>
        <w:spacing w:before="120" w:after="120"/>
        <w:jc w:val="both"/>
        <w:rPr>
          <w:color w:val="000000"/>
          <w:lang w:eastAsia="fr-FR" w:bidi="fr-FR"/>
        </w:rPr>
      </w:pPr>
    </w:p>
    <w:p w14:paraId="465DE896" w14:textId="77777777" w:rsidR="00B9662D" w:rsidRDefault="00B9662D" w:rsidP="00B9662D">
      <w:pPr>
        <w:spacing w:before="120" w:after="120"/>
        <w:jc w:val="both"/>
        <w:rPr>
          <w:color w:val="000000"/>
          <w:lang w:eastAsia="fr-FR" w:bidi="fr-FR"/>
        </w:rPr>
      </w:pPr>
    </w:p>
    <w:p w14:paraId="1BB0ABEB"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3C01FA6" w14:textId="77777777" w:rsidR="00B9662D" w:rsidRPr="000F765B" w:rsidRDefault="00B9662D" w:rsidP="00B9662D">
      <w:pPr>
        <w:spacing w:before="120" w:after="120"/>
        <w:jc w:val="both"/>
      </w:pPr>
      <w:r w:rsidRPr="000F765B">
        <w:rPr>
          <w:lang w:eastAsia="fr-FR" w:bidi="fr-FR"/>
        </w:rPr>
        <w:t xml:space="preserve">Pendant le Moyen </w:t>
      </w:r>
      <w:r>
        <w:rPr>
          <w:lang w:eastAsia="fr-FR" w:bidi="fr-FR"/>
        </w:rPr>
        <w:t>Â</w:t>
      </w:r>
      <w:r w:rsidRPr="000F765B">
        <w:rPr>
          <w:lang w:eastAsia="fr-FR" w:bidi="fr-FR"/>
        </w:rPr>
        <w:t>ge, « sauf l’invention de la poudre, la techn</w:t>
      </w:r>
      <w:r w:rsidRPr="000F765B">
        <w:rPr>
          <w:lang w:eastAsia="fr-FR" w:bidi="fr-FR"/>
        </w:rPr>
        <w:t>i</w:t>
      </w:r>
      <w:r w:rsidRPr="000F765B">
        <w:rPr>
          <w:lang w:eastAsia="fr-FR" w:bidi="fr-FR"/>
        </w:rPr>
        <w:t>que... resta en grande partie stationnaire »</w:t>
      </w:r>
      <w:r>
        <w:rPr>
          <w:lang w:eastAsia="fr-FR" w:bidi="fr-FR"/>
        </w:rPr>
        <w:t> </w:t>
      </w:r>
      <w:r>
        <w:rPr>
          <w:rStyle w:val="Appelnotedebasdep"/>
        </w:rPr>
        <w:footnoteReference w:id="815"/>
      </w:r>
      <w:r w:rsidRPr="000F765B">
        <w:rPr>
          <w:lang w:eastAsia="fr-FR" w:bidi="fr-FR"/>
        </w:rPr>
        <w:t>. Voici moins de quinze ans que cette phrase a été écrite. Elle était dès lors scandaleuse au r</w:t>
      </w:r>
      <w:r w:rsidRPr="000F765B">
        <w:rPr>
          <w:lang w:eastAsia="fr-FR" w:bidi="fr-FR"/>
        </w:rPr>
        <w:t>e</w:t>
      </w:r>
      <w:r w:rsidRPr="000F765B">
        <w:rPr>
          <w:lang w:eastAsia="fr-FR" w:bidi="fr-FR"/>
        </w:rPr>
        <w:t>gard de quelques rares spécialistes. Que tous les historiens, je le veux croire, et, sans conteste, beaucoup de personnes simplement cultivées s’accordent aujourd’hui à la juger telle, l’honneur en revient, avant tout, aux découvertes comme aux vigoureuses campagnes du co</w:t>
      </w:r>
      <w:r w:rsidRPr="000F765B">
        <w:rPr>
          <w:lang w:eastAsia="fr-FR" w:bidi="fr-FR"/>
        </w:rPr>
        <w:t>m</w:t>
      </w:r>
      <w:r w:rsidRPr="000F765B">
        <w:rPr>
          <w:lang w:eastAsia="fr-FR" w:bidi="fr-FR"/>
        </w:rPr>
        <w:t>mandant Lefebvre des Noëttes</w:t>
      </w:r>
      <w:r>
        <w:rPr>
          <w:lang w:eastAsia="fr-FR" w:bidi="fr-FR"/>
        </w:rPr>
        <w:t> </w:t>
      </w:r>
      <w:r>
        <w:rPr>
          <w:rStyle w:val="Appelnotedebasdep"/>
        </w:rPr>
        <w:footnoteReference w:id="816"/>
      </w:r>
      <w:r w:rsidRPr="000F765B">
        <w:rPr>
          <w:lang w:eastAsia="fr-FR" w:bidi="fr-FR"/>
        </w:rPr>
        <w:t xml:space="preserve">. Nous savons maintenant, à </w:t>
      </w:r>
      <w:r w:rsidRPr="000F765B">
        <w:rPr>
          <w:lang w:eastAsia="fr-FR" w:bidi="fr-FR"/>
        </w:rPr>
        <w:lastRenderedPageBreak/>
        <w:t>n’en pas douter, qu’au moment où elles partirent à la conquête des grandes ro</w:t>
      </w:r>
      <w:r w:rsidRPr="000F765B">
        <w:rPr>
          <w:lang w:eastAsia="fr-FR" w:bidi="fr-FR"/>
        </w:rPr>
        <w:t>u</w:t>
      </w:r>
      <w:r w:rsidRPr="000F765B">
        <w:rPr>
          <w:lang w:eastAsia="fr-FR" w:bidi="fr-FR"/>
        </w:rPr>
        <w:t>tes océanes, les sociétés européennes di</w:t>
      </w:r>
      <w:r>
        <w:rPr>
          <w:lang w:eastAsia="fr-FR" w:bidi="fr-FR"/>
        </w:rPr>
        <w:t>s</w:t>
      </w:r>
      <w:r w:rsidRPr="000F765B">
        <w:rPr>
          <w:lang w:eastAsia="fr-FR" w:bidi="fr-FR"/>
        </w:rPr>
        <w:t>posaient d’un outillage inf</w:t>
      </w:r>
      <w:r w:rsidRPr="000F765B">
        <w:rPr>
          <w:lang w:eastAsia="fr-FR" w:bidi="fr-FR"/>
        </w:rPr>
        <w:t>i</w:t>
      </w:r>
      <w:r w:rsidRPr="000F765B">
        <w:rPr>
          <w:lang w:eastAsia="fr-FR" w:bidi="fr-FR"/>
        </w:rPr>
        <w:t>niment supérieur à celui de l’Empire romain</w:t>
      </w:r>
      <w:r>
        <w:rPr>
          <w:lang w:eastAsia="fr-FR" w:bidi="fr-FR"/>
        </w:rPr>
        <w:t xml:space="preserve"> [823] </w:t>
      </w:r>
      <w:r w:rsidRPr="000F765B">
        <w:rPr>
          <w:lang w:eastAsia="fr-FR" w:bidi="fr-FR"/>
        </w:rPr>
        <w:t>à son déclin. Mais nous savons encore très mal comment, à quelles dates au juste et sous l’action de quelles causes ces divers progrès avaient été réalisés. Sur l’histoire de l’un d’eux j’ai présenté plus haut quelques faits et que</w:t>
      </w:r>
      <w:r w:rsidRPr="000F765B">
        <w:rPr>
          <w:lang w:eastAsia="fr-FR" w:bidi="fr-FR"/>
        </w:rPr>
        <w:t>l</w:t>
      </w:r>
      <w:r w:rsidRPr="000F765B">
        <w:rPr>
          <w:lang w:eastAsia="fr-FR" w:bidi="fr-FR"/>
        </w:rPr>
        <w:t>ques conjectures. Pour reprendre un à un tous les postes du bilan, il faudra des équipes de chercheurs. C’est dans l’espoir d’aider peut-être à leur effort que je voudrais grouper ici d</w:t>
      </w:r>
      <w:r w:rsidRPr="000F765B">
        <w:rPr>
          <w:lang w:eastAsia="fr-FR" w:bidi="fr-FR"/>
        </w:rPr>
        <w:t>i</w:t>
      </w:r>
      <w:r w:rsidRPr="000F765B">
        <w:rPr>
          <w:lang w:eastAsia="fr-FR" w:bidi="fr-FR"/>
        </w:rPr>
        <w:t>verses remarques, dont beaucoup ne seront guère plus que des que</w:t>
      </w:r>
      <w:r w:rsidRPr="000F765B">
        <w:rPr>
          <w:lang w:eastAsia="fr-FR" w:bidi="fr-FR"/>
        </w:rPr>
        <w:t>s</w:t>
      </w:r>
      <w:r w:rsidRPr="000F765B">
        <w:rPr>
          <w:lang w:eastAsia="fr-FR" w:bidi="fr-FR"/>
        </w:rPr>
        <w:t>tions.</w:t>
      </w:r>
    </w:p>
    <w:p w14:paraId="5C8B15DE" w14:textId="77777777" w:rsidR="00B9662D" w:rsidRDefault="00B9662D" w:rsidP="00B9662D">
      <w:pPr>
        <w:spacing w:before="120" w:after="120"/>
        <w:jc w:val="both"/>
        <w:rPr>
          <w:lang w:eastAsia="fr-FR" w:bidi="fr-FR"/>
        </w:rPr>
      </w:pPr>
      <w:r>
        <w:rPr>
          <w:lang w:eastAsia="fr-FR" w:bidi="fr-FR"/>
        </w:rPr>
        <w:br w:type="page"/>
      </w:r>
    </w:p>
    <w:p w14:paraId="5ED2DB6F" w14:textId="77777777" w:rsidR="00B9662D" w:rsidRPr="000F765B" w:rsidRDefault="00B9662D" w:rsidP="00B9662D">
      <w:pPr>
        <w:pStyle w:val="planche"/>
      </w:pPr>
      <w:r w:rsidRPr="000F765B">
        <w:t>II</w:t>
      </w:r>
    </w:p>
    <w:p w14:paraId="5A391FD8" w14:textId="77777777" w:rsidR="00B9662D" w:rsidRDefault="00B9662D" w:rsidP="00B9662D">
      <w:pPr>
        <w:spacing w:before="120" w:after="120"/>
        <w:jc w:val="both"/>
        <w:rPr>
          <w:lang w:eastAsia="fr-FR" w:bidi="fr-FR"/>
        </w:rPr>
      </w:pPr>
    </w:p>
    <w:p w14:paraId="5C87783C" w14:textId="77777777" w:rsidR="00B9662D" w:rsidRPr="000F765B" w:rsidRDefault="00B9662D" w:rsidP="00B9662D">
      <w:pPr>
        <w:spacing w:before="120" w:after="120"/>
        <w:jc w:val="both"/>
      </w:pPr>
      <w:r w:rsidRPr="000F765B">
        <w:rPr>
          <w:lang w:eastAsia="fr-FR" w:bidi="fr-FR"/>
        </w:rPr>
        <w:t xml:space="preserve">Rien de plus déconcertant, à première vue, dans les ouvrages d’histoire communément offerts au public, que le silence dont on y voit presque universellement frappées, depuis les derniers tumulus de la préhistoire jusqu’au </w:t>
      </w:r>
      <w:r>
        <w:rPr>
          <w:lang w:eastAsia="fr-FR" w:bidi="fr-FR"/>
        </w:rPr>
        <w:t>XVIII</w:t>
      </w:r>
      <w:r w:rsidRPr="000F765B">
        <w:rPr>
          <w:vertAlign w:val="superscript"/>
          <w:lang w:eastAsia="fr-FR" w:bidi="fr-FR"/>
        </w:rPr>
        <w:t>e</w:t>
      </w:r>
      <w:r w:rsidRPr="000F765B">
        <w:rPr>
          <w:lang w:eastAsia="fr-FR" w:bidi="fr-FR"/>
        </w:rPr>
        <w:t xml:space="preserve"> siècle, les vicissitudes de l’équipement technique. Cet étonnement s’est, depuis quelques années, assez so</w:t>
      </w:r>
      <w:r w:rsidRPr="000F765B">
        <w:rPr>
          <w:lang w:eastAsia="fr-FR" w:bidi="fr-FR"/>
        </w:rPr>
        <w:t>u</w:t>
      </w:r>
      <w:r w:rsidRPr="000F765B">
        <w:rPr>
          <w:lang w:eastAsia="fr-FR" w:bidi="fr-FR"/>
        </w:rPr>
        <w:t>vent exprimé. Non sans vivacité. Ni sans de bonnes raisons. Histoires rurales, dont les héros, selon le mot de Lucien Febvre, semblent l</w:t>
      </w:r>
      <w:r w:rsidRPr="000F765B">
        <w:rPr>
          <w:lang w:eastAsia="fr-FR" w:bidi="fr-FR"/>
        </w:rPr>
        <w:t>a</w:t>
      </w:r>
      <w:r w:rsidRPr="000F765B">
        <w:rPr>
          <w:lang w:eastAsia="fr-FR" w:bidi="fr-FR"/>
        </w:rPr>
        <w:t>bourer avec des chartes ; histoires administratives toutes remplies par les grandes actions d’un « pouvoir central » qui, régissant les provi</w:t>
      </w:r>
      <w:r w:rsidRPr="000F765B">
        <w:rPr>
          <w:lang w:eastAsia="fr-FR" w:bidi="fr-FR"/>
        </w:rPr>
        <w:t>n</w:t>
      </w:r>
      <w:r w:rsidRPr="000F765B">
        <w:rPr>
          <w:lang w:eastAsia="fr-FR" w:bidi="fr-FR"/>
        </w:rPr>
        <w:t>ces, plane apparemment au-dessus de ces humbles réalités nommées routes, attelage, pâture des chevaux, distances horaires : autant de l</w:t>
      </w:r>
      <w:r w:rsidRPr="000F765B">
        <w:rPr>
          <w:lang w:eastAsia="fr-FR" w:bidi="fr-FR"/>
        </w:rPr>
        <w:t>i</w:t>
      </w:r>
      <w:r w:rsidRPr="000F765B">
        <w:rPr>
          <w:lang w:eastAsia="fr-FR" w:bidi="fr-FR"/>
        </w:rPr>
        <w:t>vres</w:t>
      </w:r>
      <w:r>
        <w:rPr>
          <w:lang w:eastAsia="fr-FR" w:bidi="fr-FR"/>
        </w:rPr>
        <w:t> — </w:t>
      </w:r>
      <w:r w:rsidRPr="000F765B">
        <w:rPr>
          <w:lang w:eastAsia="fr-FR" w:bidi="fr-FR"/>
        </w:rPr>
        <w:t>pour ne citer que deux exemples entre mille</w:t>
      </w:r>
      <w:r>
        <w:rPr>
          <w:lang w:eastAsia="fr-FR" w:bidi="fr-FR"/>
        </w:rPr>
        <w:t> — </w:t>
      </w:r>
      <w:r w:rsidRPr="000F765B">
        <w:rPr>
          <w:lang w:eastAsia="fr-FR" w:bidi="fr-FR"/>
        </w:rPr>
        <w:t xml:space="preserve">paradoxalement dégagés de la matière. L’erreur est lourde, sans nul doute. Depuis que les </w:t>
      </w:r>
      <w:r w:rsidRPr="00944C6A">
        <w:rPr>
          <w:i/>
        </w:rPr>
        <w:t>Annales</w:t>
      </w:r>
      <w:r w:rsidRPr="000F765B">
        <w:rPr>
          <w:lang w:eastAsia="fr-FR" w:bidi="fr-FR"/>
        </w:rPr>
        <w:t xml:space="preserve"> existent, elles n’ont cessé de réclamer une science mieux agrippée au réel. M’autorisant du souvenir même de ce bon combat, oserai-je cependant, pour une fois, plaider, en f</w:t>
      </w:r>
      <w:r w:rsidRPr="000F765B">
        <w:rPr>
          <w:lang w:eastAsia="fr-FR" w:bidi="fr-FR"/>
        </w:rPr>
        <w:t>a</w:t>
      </w:r>
      <w:r w:rsidRPr="000F765B">
        <w:rPr>
          <w:lang w:eastAsia="fr-FR" w:bidi="fr-FR"/>
        </w:rPr>
        <w:t>veur des pauvres chercheurs tâtonnants que nous sommes, les circon</w:t>
      </w:r>
      <w:r w:rsidRPr="000F765B">
        <w:rPr>
          <w:lang w:eastAsia="fr-FR" w:bidi="fr-FR"/>
        </w:rPr>
        <w:t>s</w:t>
      </w:r>
      <w:r w:rsidRPr="000F765B">
        <w:rPr>
          <w:lang w:eastAsia="fr-FR" w:bidi="fr-FR"/>
        </w:rPr>
        <w:t>tances atténuantes ?</w:t>
      </w:r>
    </w:p>
    <w:p w14:paraId="541C7CAC" w14:textId="77777777" w:rsidR="00B9662D" w:rsidRPr="000F765B" w:rsidRDefault="00B9662D" w:rsidP="00B9662D">
      <w:pPr>
        <w:spacing w:before="120" w:after="120"/>
        <w:jc w:val="both"/>
      </w:pPr>
      <w:r w:rsidRPr="000F765B">
        <w:rPr>
          <w:lang w:eastAsia="fr-FR" w:bidi="fr-FR"/>
        </w:rPr>
        <w:t>Il convient tout d’abord de rappeler que nous ne sommes pas ma</w:t>
      </w:r>
      <w:r w:rsidRPr="000F765B">
        <w:rPr>
          <w:lang w:eastAsia="fr-FR" w:bidi="fr-FR"/>
        </w:rPr>
        <w:t>l</w:t>
      </w:r>
      <w:r w:rsidRPr="000F765B">
        <w:rPr>
          <w:lang w:eastAsia="fr-FR" w:bidi="fr-FR"/>
        </w:rPr>
        <w:t>gré tout sans posséder, sur l’équipement technique des sociétés pa</w:t>
      </w:r>
      <w:r w:rsidRPr="000F765B">
        <w:rPr>
          <w:lang w:eastAsia="fr-FR" w:bidi="fr-FR"/>
        </w:rPr>
        <w:t>s</w:t>
      </w:r>
      <w:r w:rsidRPr="000F765B">
        <w:rPr>
          <w:lang w:eastAsia="fr-FR" w:bidi="fr-FR"/>
        </w:rPr>
        <w:t>sées, quelques utiles travaux</w:t>
      </w:r>
      <w:r>
        <w:rPr>
          <w:lang w:eastAsia="fr-FR" w:bidi="fr-FR"/>
        </w:rPr>
        <w:t> </w:t>
      </w:r>
      <w:r>
        <w:rPr>
          <w:rStyle w:val="Appelnotedebasdep"/>
        </w:rPr>
        <w:footnoteReference w:id="817"/>
      </w:r>
      <w:r w:rsidRPr="000F765B">
        <w:rPr>
          <w:lang w:eastAsia="fr-FR" w:bidi="fr-FR"/>
        </w:rPr>
        <w:t>. Trop rares, certes. Trop dispersés au</w:t>
      </w:r>
      <w:r w:rsidRPr="000F765B">
        <w:rPr>
          <w:lang w:eastAsia="fr-FR" w:bidi="fr-FR"/>
        </w:rPr>
        <w:t>s</w:t>
      </w:r>
      <w:r w:rsidRPr="000F765B">
        <w:rPr>
          <w:lang w:eastAsia="fr-FR" w:bidi="fr-FR"/>
        </w:rPr>
        <w:t>si. Œuvre tour à tour de plusieurs groupes d’enquêteurs qui fréque</w:t>
      </w:r>
      <w:r w:rsidRPr="000F765B">
        <w:rPr>
          <w:lang w:eastAsia="fr-FR" w:bidi="fr-FR"/>
        </w:rPr>
        <w:t>m</w:t>
      </w:r>
      <w:r w:rsidRPr="000F765B">
        <w:rPr>
          <w:lang w:eastAsia="fr-FR" w:bidi="fr-FR"/>
        </w:rPr>
        <w:t>ment s’ignorent</w:t>
      </w:r>
      <w:r>
        <w:rPr>
          <w:lang w:eastAsia="fr-FR" w:bidi="fr-FR"/>
        </w:rPr>
        <w:t> — </w:t>
      </w:r>
      <w:r w:rsidRPr="000F765B">
        <w:rPr>
          <w:lang w:eastAsia="fr-FR" w:bidi="fr-FR"/>
        </w:rPr>
        <w:t>archéologues, ethnographes, linguistes, historiens habitués à manier presque exclusivement les textes,</w:t>
      </w:r>
      <w:r>
        <w:rPr>
          <w:lang w:eastAsia="fr-FR" w:bidi="fr-FR"/>
        </w:rPr>
        <w:t> — </w:t>
      </w:r>
      <w:r w:rsidRPr="000F765B">
        <w:rPr>
          <w:lang w:eastAsia="fr-FR" w:bidi="fr-FR"/>
        </w:rPr>
        <w:t>ils n’ont, pour comble de malheur, jamais fait l’objet d’aucun recensement systém</w:t>
      </w:r>
      <w:r w:rsidRPr="000F765B">
        <w:rPr>
          <w:lang w:eastAsia="fr-FR" w:bidi="fr-FR"/>
        </w:rPr>
        <w:t>a</w:t>
      </w:r>
      <w:r w:rsidRPr="000F765B">
        <w:rPr>
          <w:lang w:eastAsia="fr-FR" w:bidi="fr-FR"/>
        </w:rPr>
        <w:t>tique : si bien qu’il n’est si adroit fouilleur de bibliothèque qui ne ri</w:t>
      </w:r>
      <w:r w:rsidRPr="000F765B">
        <w:rPr>
          <w:lang w:eastAsia="fr-FR" w:bidi="fr-FR"/>
        </w:rPr>
        <w:t>s</w:t>
      </w:r>
      <w:r w:rsidRPr="000F765B">
        <w:rPr>
          <w:lang w:eastAsia="fr-FR" w:bidi="fr-FR"/>
        </w:rPr>
        <w:t>que de passer à côté des meilleurs d’entre eux. Surtout, ces recherches demeurent beaucoup trop en marge du courant traditionnel de nos ét</w:t>
      </w:r>
      <w:r w:rsidRPr="000F765B">
        <w:rPr>
          <w:lang w:eastAsia="fr-FR" w:bidi="fr-FR"/>
        </w:rPr>
        <w:t>u</w:t>
      </w:r>
      <w:r w:rsidRPr="000F765B">
        <w:rPr>
          <w:lang w:eastAsia="fr-FR" w:bidi="fr-FR"/>
        </w:rPr>
        <w:t>des et comme à la traîne de la « grande histoire ». Les résultats, c</w:t>
      </w:r>
      <w:r w:rsidRPr="000F765B">
        <w:rPr>
          <w:lang w:eastAsia="fr-FR" w:bidi="fr-FR"/>
        </w:rPr>
        <w:t>e</w:t>
      </w:r>
      <w:r w:rsidRPr="000F765B">
        <w:rPr>
          <w:lang w:eastAsia="fr-FR" w:bidi="fr-FR"/>
        </w:rPr>
        <w:t xml:space="preserve">pendant, qu’au prix de bien des peines elles ont commencé </w:t>
      </w:r>
      <w:r w:rsidRPr="000F765B">
        <w:rPr>
          <w:lang w:eastAsia="fr-FR" w:bidi="fr-FR"/>
        </w:rPr>
        <w:lastRenderedPageBreak/>
        <w:t>d’élaborer mériteraient de ne pas être laissés dans l’ombre par des explorateurs trop enclins parfois à l’enivrement de la découverte.</w:t>
      </w:r>
    </w:p>
    <w:p w14:paraId="63E7BB62" w14:textId="77777777" w:rsidR="00B9662D" w:rsidRPr="000F765B" w:rsidRDefault="00B9662D" w:rsidP="00B9662D">
      <w:pPr>
        <w:spacing w:before="120" w:after="120"/>
        <w:jc w:val="both"/>
      </w:pPr>
      <w:r w:rsidRPr="000F765B">
        <w:rPr>
          <w:lang w:eastAsia="fr-FR" w:bidi="fr-FR"/>
        </w:rPr>
        <w:t>Il y a plus et plus grave. Si attentivement que l’historien doive se pencher sur les réalités de la vie, on le verra toujours l’esclave d’autres réalités qui, pour rester trop souvent, par sa faute d’ailleurs, méconnues de ses lecteurs, n’en sont pas moins également concrètes et également</w:t>
      </w:r>
      <w:r>
        <w:rPr>
          <w:lang w:eastAsia="fr-FR" w:bidi="fr-FR"/>
        </w:rPr>
        <w:t xml:space="preserve"> [824] </w:t>
      </w:r>
      <w:r w:rsidRPr="000F765B">
        <w:rPr>
          <w:lang w:eastAsia="fr-FR" w:bidi="fr-FR"/>
        </w:rPr>
        <w:t>astreignantes : celles de la documentation. Que l’histoire des tec</w:t>
      </w:r>
      <w:r w:rsidRPr="000F765B">
        <w:rPr>
          <w:lang w:eastAsia="fr-FR" w:bidi="fr-FR"/>
        </w:rPr>
        <w:t>h</w:t>
      </w:r>
      <w:r w:rsidRPr="000F765B">
        <w:rPr>
          <w:lang w:eastAsia="fr-FR" w:bidi="fr-FR"/>
        </w:rPr>
        <w:t>niques soit beaucoup trop peu avancée, d’accord. Mais ne serait-il pas équitable de se demander si le retard dont elle souffre ne tient point, en partie du moins, à l’extrême difficulté qu’il y a à l’écrire ? Les ob</w:t>
      </w:r>
      <w:r w:rsidRPr="000F765B">
        <w:rPr>
          <w:lang w:eastAsia="fr-FR" w:bidi="fr-FR"/>
        </w:rPr>
        <w:t>s</w:t>
      </w:r>
      <w:r w:rsidRPr="000F765B">
        <w:rPr>
          <w:lang w:eastAsia="fr-FR" w:bidi="fr-FR"/>
        </w:rPr>
        <w:t xml:space="preserve">tacles, je crois, ne sont pas insurmontables. </w:t>
      </w:r>
      <w:r>
        <w:rPr>
          <w:lang w:eastAsia="fr-FR" w:bidi="fr-FR"/>
        </w:rPr>
        <w:t>À</w:t>
      </w:r>
      <w:r w:rsidRPr="000F765B">
        <w:rPr>
          <w:lang w:eastAsia="fr-FR" w:bidi="fr-FR"/>
        </w:rPr>
        <w:t xml:space="preserve"> une condition toutefois : en prendre une claire conscience.</w:t>
      </w:r>
    </w:p>
    <w:p w14:paraId="4C0C83D4" w14:textId="77777777" w:rsidR="00B9662D" w:rsidRPr="000F765B" w:rsidRDefault="00B9662D" w:rsidP="00B9662D">
      <w:pPr>
        <w:spacing w:before="120" w:after="120"/>
        <w:jc w:val="both"/>
      </w:pPr>
      <w:r w:rsidRPr="000F765B">
        <w:rPr>
          <w:lang w:eastAsia="fr-FR" w:bidi="fr-FR"/>
        </w:rPr>
        <w:t>Trois grands groupes de documents semblent, en eux-mêmes, c</w:t>
      </w:r>
      <w:r w:rsidRPr="000F765B">
        <w:rPr>
          <w:lang w:eastAsia="fr-FR" w:bidi="fr-FR"/>
        </w:rPr>
        <w:t>a</w:t>
      </w:r>
      <w:r w:rsidRPr="000F765B">
        <w:rPr>
          <w:lang w:eastAsia="fr-FR" w:bidi="fr-FR"/>
        </w:rPr>
        <w:t>pables d’apporter quelques lumières sur l’outillage médiéval : les te</w:t>
      </w:r>
      <w:r w:rsidRPr="000F765B">
        <w:rPr>
          <w:lang w:eastAsia="fr-FR" w:bidi="fr-FR"/>
        </w:rPr>
        <w:t>x</w:t>
      </w:r>
      <w:r w:rsidRPr="000F765B">
        <w:rPr>
          <w:lang w:eastAsia="fr-FR" w:bidi="fr-FR"/>
        </w:rPr>
        <w:t>tes, l’iconographie, les objets. Tous trois, malheureusement, ne nous livrent que des renseignements trop souvent fragmentaires et ince</w:t>
      </w:r>
      <w:r w:rsidRPr="000F765B">
        <w:rPr>
          <w:lang w:eastAsia="fr-FR" w:bidi="fr-FR"/>
        </w:rPr>
        <w:t>r</w:t>
      </w:r>
      <w:r w:rsidRPr="000F765B">
        <w:rPr>
          <w:lang w:eastAsia="fr-FR" w:bidi="fr-FR"/>
        </w:rPr>
        <w:t>tains.</w:t>
      </w:r>
    </w:p>
    <w:p w14:paraId="172A4511" w14:textId="77777777" w:rsidR="00B9662D" w:rsidRPr="000F765B" w:rsidRDefault="00B9662D" w:rsidP="00B9662D">
      <w:pPr>
        <w:spacing w:before="120" w:after="120"/>
        <w:jc w:val="both"/>
      </w:pPr>
      <w:r w:rsidRPr="000F765B">
        <w:rPr>
          <w:lang w:eastAsia="fr-FR" w:bidi="fr-FR"/>
        </w:rPr>
        <w:t>Travaux sans gloire, les efforts des artisans n’ont que bien rar</w:t>
      </w:r>
      <w:r w:rsidRPr="000F765B">
        <w:rPr>
          <w:lang w:eastAsia="fr-FR" w:bidi="fr-FR"/>
        </w:rPr>
        <w:t>e</w:t>
      </w:r>
      <w:r w:rsidRPr="000F765B">
        <w:rPr>
          <w:lang w:eastAsia="fr-FR" w:bidi="fr-FR"/>
        </w:rPr>
        <w:t>ment fixé l’attention des chroniques. De ce qu’on peut espérer a</w:t>
      </w:r>
      <w:r w:rsidRPr="000F765B">
        <w:rPr>
          <w:lang w:eastAsia="fr-FR" w:bidi="fr-FR"/>
        </w:rPr>
        <w:t>p</w:t>
      </w:r>
      <w:r w:rsidRPr="000F765B">
        <w:rPr>
          <w:lang w:eastAsia="fr-FR" w:bidi="fr-FR"/>
        </w:rPr>
        <w:t>prendre d’elles, de l’immensité de nos ignorances surtout, un épisode recueilli par chance dans des annales monastiques anglaises donnera une juste idée. En 1295, raconte l’annaliste de Dunstable, Frère Jean le Charpentier fit construire un moulin à chevaux d’une nouvelle structure : un seul cheval assurait-il, le pourrait tourner. Mais lorsque la machine fut achevée, on s’aperçut que c’était à peine si quatre v</w:t>
      </w:r>
      <w:r w:rsidRPr="000F765B">
        <w:rPr>
          <w:lang w:eastAsia="fr-FR" w:bidi="fr-FR"/>
        </w:rPr>
        <w:t>i</w:t>
      </w:r>
      <w:r w:rsidRPr="000F765B">
        <w:rPr>
          <w:lang w:eastAsia="fr-FR" w:bidi="fr-FR"/>
        </w:rPr>
        <w:t>goureuses bêtes parvenaient à la mettre en branle. Force fut donc de l’abandonner</w:t>
      </w:r>
      <w:r>
        <w:rPr>
          <w:lang w:eastAsia="fr-FR" w:bidi="fr-FR"/>
        </w:rPr>
        <w:t> </w:t>
      </w:r>
      <w:r>
        <w:rPr>
          <w:rStyle w:val="Appelnotedebasdep"/>
        </w:rPr>
        <w:footnoteReference w:id="818"/>
      </w:r>
      <w:r w:rsidRPr="000F765B">
        <w:rPr>
          <w:lang w:eastAsia="fr-FR" w:bidi="fr-FR"/>
        </w:rPr>
        <w:t>. L’aventure ici a été retenue parce qu’elle avait pour héros un moine, peut-être aussi parce qu’elle prêtait à rire aux dépens d’un camarade. Aujourd’hui, ce qui intéresse en elle, c’est le goût d’expérimentation qui s’y montre à nu. De combien de tâtonnements semblables, tantôt voués de même à l’échec, tantôt couronnés de plus de succès, le progrès technique n’a-t-il pas été fait ! Mais seul ou presque, Frère Jean a trouvé son historien. Çà et là, sans doute, un r</w:t>
      </w:r>
      <w:r w:rsidRPr="000F765B">
        <w:rPr>
          <w:lang w:eastAsia="fr-FR" w:bidi="fr-FR"/>
        </w:rPr>
        <w:t>é</w:t>
      </w:r>
      <w:r w:rsidRPr="000F765B">
        <w:rPr>
          <w:lang w:eastAsia="fr-FR" w:bidi="fr-FR"/>
        </w:rPr>
        <w:t xml:space="preserve">cit ou une charte signalent plus ou moins obscurément un instrument ou un procédé nouveaux ; mais où est la preuve que ce soit à la date de l’invention ou de l’emprunt ? Les mots mêmes instruisent mal ; le </w:t>
      </w:r>
      <w:r w:rsidRPr="000F765B">
        <w:rPr>
          <w:lang w:eastAsia="fr-FR" w:bidi="fr-FR"/>
        </w:rPr>
        <w:lastRenderedPageBreak/>
        <w:t>vocabulaire technique a toujours eu un tour volontiers conservateur et l’automobiliste qui aujourd’hui parle de sa « voiture » n’est pas le premier homme qui sur du tout neuf colle un vieux nom.</w:t>
      </w:r>
    </w:p>
    <w:p w14:paraId="4BA869FA" w14:textId="77777777" w:rsidR="00B9662D" w:rsidRPr="000F765B" w:rsidRDefault="00B9662D" w:rsidP="00B9662D">
      <w:pPr>
        <w:spacing w:before="120" w:after="120"/>
        <w:jc w:val="both"/>
      </w:pPr>
      <w:r w:rsidRPr="000F765B">
        <w:rPr>
          <w:lang w:eastAsia="fr-FR" w:bidi="fr-FR"/>
        </w:rPr>
        <w:t>Parce que leur nature même les ramenait vers la chose vue, les miniatures, les bas-reliefs, les sceaux pourraient paraître, à première vue, des garants plus sûrs. Mais le dessin en est souvent bien gauche. Mais trop longtemps la fidélité du trait compta parmi les moindres soucis de leurs exécutants : ce n’est pas seulement dans le portrait humain que le réalisme fut, pour l’art médiéval, une acquisition tard</w:t>
      </w:r>
      <w:r w:rsidRPr="000F765B">
        <w:rPr>
          <w:lang w:eastAsia="fr-FR" w:bidi="fr-FR"/>
        </w:rPr>
        <w:t>i</w:t>
      </w:r>
      <w:r w:rsidRPr="000F765B">
        <w:rPr>
          <w:lang w:eastAsia="fr-FR" w:bidi="fr-FR"/>
        </w:rPr>
        <w:t>ve. Mais, surtout, les artistes ou manœuvres d’art se bornaient trop volontiers à reproduire les poncifs traditionnels : de même qu’utilisant une gemme antique les clercs chargés de sceller les actes du roi d’Allemagne Louis l’Enfant n’ont pas craint d’attribuer à ce prince, mort à dix-neuf ans, l’opulente barbe de l’empereur Hadrien</w:t>
      </w:r>
      <w:r>
        <w:rPr>
          <w:lang w:eastAsia="fr-FR" w:bidi="fr-FR"/>
        </w:rPr>
        <w:t> </w:t>
      </w:r>
      <w:r>
        <w:rPr>
          <w:rStyle w:val="Appelnotedebasdep"/>
        </w:rPr>
        <w:footnoteReference w:id="819"/>
      </w:r>
      <w:r w:rsidRPr="000F765B">
        <w:rPr>
          <w:lang w:eastAsia="fr-FR" w:bidi="fr-FR"/>
        </w:rPr>
        <w:t>, de même, au témoignage de M. Lefebvre des Noëttes, beaucoup de d</w:t>
      </w:r>
      <w:r w:rsidRPr="000F765B">
        <w:rPr>
          <w:lang w:eastAsia="fr-FR" w:bidi="fr-FR"/>
        </w:rPr>
        <w:t>o</w:t>
      </w:r>
      <w:r w:rsidRPr="000F765B">
        <w:rPr>
          <w:lang w:eastAsia="fr-FR" w:bidi="fr-FR"/>
        </w:rPr>
        <w:t>cuments figurés demeur</w:t>
      </w:r>
      <w:r>
        <w:rPr>
          <w:lang w:eastAsia="fr-FR" w:bidi="fr-FR"/>
        </w:rPr>
        <w:t>e</w:t>
      </w:r>
      <w:r w:rsidRPr="000F765B">
        <w:rPr>
          <w:lang w:eastAsia="fr-FR" w:bidi="fr-FR"/>
        </w:rPr>
        <w:t>nt obstinément attachés à l’image d’un ha</w:t>
      </w:r>
      <w:r w:rsidRPr="000F765B">
        <w:rPr>
          <w:lang w:eastAsia="fr-FR" w:bidi="fr-FR"/>
        </w:rPr>
        <w:t>r</w:t>
      </w:r>
      <w:r w:rsidRPr="000F765B">
        <w:rPr>
          <w:lang w:eastAsia="fr-FR" w:bidi="fr-FR"/>
        </w:rPr>
        <w:t>nachement désuet, alors que, depuis des générations, nul n’attelait plus ainsi bœufs ni chevaux.</w:t>
      </w:r>
    </w:p>
    <w:p w14:paraId="16F67CA1" w14:textId="77777777" w:rsidR="00B9662D" w:rsidRPr="000F765B" w:rsidRDefault="00B9662D" w:rsidP="00B9662D">
      <w:pPr>
        <w:spacing w:before="120" w:after="120"/>
        <w:jc w:val="both"/>
      </w:pPr>
      <w:r w:rsidRPr="000F765B">
        <w:rPr>
          <w:lang w:eastAsia="fr-FR" w:bidi="fr-FR"/>
        </w:rPr>
        <w:t>Quant aux objets, la plupart ont péri. En subsiste-t-il, par hasard,</w:t>
      </w:r>
      <w:r>
        <w:rPr>
          <w:lang w:eastAsia="fr-FR" w:bidi="fr-FR"/>
        </w:rPr>
        <w:t xml:space="preserve"> [825] </w:t>
      </w:r>
      <w:r w:rsidRPr="000F765B">
        <w:rPr>
          <w:lang w:eastAsia="fr-FR" w:bidi="fr-FR"/>
        </w:rPr>
        <w:t>quelques-uns ? aucune inscription, aucun point de repère ne nous permet, à l’ordinaire, de déterminer, même de loin, le moment de la fabrication. Voyez, par contraste, un cas exceptionnellement fav</w:t>
      </w:r>
      <w:r w:rsidRPr="000F765B">
        <w:rPr>
          <w:lang w:eastAsia="fr-FR" w:bidi="fr-FR"/>
        </w:rPr>
        <w:t>o</w:t>
      </w:r>
      <w:r w:rsidRPr="000F765B">
        <w:rPr>
          <w:lang w:eastAsia="fr-FR" w:bidi="fr-FR"/>
        </w:rPr>
        <w:t>rable : celui de la voûte d’ogive. Bien que les origines de cette adm</w:t>
      </w:r>
      <w:r w:rsidRPr="000F765B">
        <w:rPr>
          <w:lang w:eastAsia="fr-FR" w:bidi="fr-FR"/>
        </w:rPr>
        <w:t>i</w:t>
      </w:r>
      <w:r w:rsidRPr="000F765B">
        <w:rPr>
          <w:lang w:eastAsia="fr-FR" w:bidi="fr-FR"/>
        </w:rPr>
        <w:t>rable création restent fort obscures, que sa signification même, prat</w:t>
      </w:r>
      <w:r w:rsidRPr="000F765B">
        <w:rPr>
          <w:lang w:eastAsia="fr-FR" w:bidi="fr-FR"/>
        </w:rPr>
        <w:t>i</w:t>
      </w:r>
      <w:r w:rsidRPr="000F765B">
        <w:rPr>
          <w:lang w:eastAsia="fr-FR" w:bidi="fr-FR"/>
        </w:rPr>
        <w:t>que ou purement ornementale, soit aujourd’hui vivement contestée</w:t>
      </w:r>
      <w:r>
        <w:rPr>
          <w:lang w:eastAsia="fr-FR" w:bidi="fr-FR"/>
        </w:rPr>
        <w:t> </w:t>
      </w:r>
      <w:r>
        <w:rPr>
          <w:rStyle w:val="Appelnotedebasdep"/>
        </w:rPr>
        <w:footnoteReference w:id="820"/>
      </w:r>
      <w:r w:rsidRPr="000F765B">
        <w:rPr>
          <w:lang w:eastAsia="fr-FR" w:bidi="fr-FR"/>
        </w:rPr>
        <w:t>, nous pouvons du moins en suivre à peu près l’expansion. C’est que les constructions d’églises semblaient aux écrivains des événements assez considérables pour qu’ils aient pris souvent la peine de les noter. C’est surtout qu’un grand nombre d’églises anciennes sont encore debout et qu’à l’érudit préoccupé de dresser leur état civil, les particularités de l’appareil comme de la décoration fournissent des recoupements pr</w:t>
      </w:r>
      <w:r w:rsidRPr="000F765B">
        <w:rPr>
          <w:lang w:eastAsia="fr-FR" w:bidi="fr-FR"/>
        </w:rPr>
        <w:t>é</w:t>
      </w:r>
      <w:r w:rsidRPr="000F765B">
        <w:rPr>
          <w:lang w:eastAsia="fr-FR" w:bidi="fr-FR"/>
        </w:rPr>
        <w:t xml:space="preserve">cieux. Une roue de moulin, par contre, une charrue, un fer à cheval, un rustique rouet n’ont pas de style. Ajoutez que le </w:t>
      </w:r>
      <w:r w:rsidRPr="000F765B">
        <w:rPr>
          <w:lang w:eastAsia="fr-FR" w:bidi="fr-FR"/>
        </w:rPr>
        <w:lastRenderedPageBreak/>
        <w:t>long et paisible usage qui a généralement été fait de ces instruments est un obstacle de plus à fixer, avec précision, leur date de naissance. Notre civilisation est mortelle ; mais elle n’est pas encore morte ; l’archéologue a le droit d’estimer qu’elle manque de ruines. Sans doute, que, sous les regards d’un chercheur avisé, l’examen d’un outillage ou de ses restes suffise à reconstituer des séries chronologiques fort utilisables, la préhistoire l’atteste avec éclat. Mais ici les limites mêmes de ses connaissances font au travailleur la partie belle. Du moment qu’il réussit à établir l’ordre selon lequel se sont succédé les diverses techniques, il peut, sans trop de dommage, se résigner à n’apprécier qu’avec une très la</w:t>
      </w:r>
      <w:r w:rsidRPr="000F765B">
        <w:rPr>
          <w:lang w:eastAsia="fr-FR" w:bidi="fr-FR"/>
        </w:rPr>
        <w:t>r</w:t>
      </w:r>
      <w:r w:rsidRPr="000F765B">
        <w:rPr>
          <w:lang w:eastAsia="fr-FR" w:bidi="fr-FR"/>
        </w:rPr>
        <w:t>ge approximation la durée du mouvement et de ses intervalles. Car, ne disposant, par définition, que d’un seul type de documents, il n’a pas à se soucier des synchronismes avec d’autres chaînes de témoignages. Du préhistorien, en somme, il est loisible de dire, avec une pointe d’exagération, que, pour lui, une civilisation n’est, bon gré mal gré, qu’un atelier. Au regard de l’historien proprement dit, elle est un at</w:t>
      </w:r>
      <w:r w:rsidRPr="000F765B">
        <w:rPr>
          <w:lang w:eastAsia="fr-FR" w:bidi="fr-FR"/>
        </w:rPr>
        <w:t>e</w:t>
      </w:r>
      <w:r w:rsidRPr="000F765B">
        <w:rPr>
          <w:lang w:eastAsia="fr-FR" w:bidi="fr-FR"/>
        </w:rPr>
        <w:t>lier aussi (ce qu’il est arrivé à certains d’oublier), mais, en même temps, beaucoup d’autres choses encore. De là vient que, bien plus que nos confrères, nous sommes astreints à dater, comme on disait autrefois, « finement » ; sinon, plus de rapprochements possibles entre les diverses files d’événements, ni, partant, de recherche des causes.</w:t>
      </w:r>
    </w:p>
    <w:p w14:paraId="0917FA0B" w14:textId="77777777" w:rsidR="00B9662D" w:rsidRPr="000F765B" w:rsidRDefault="00B9662D" w:rsidP="00B9662D">
      <w:pPr>
        <w:spacing w:before="120" w:after="120"/>
        <w:jc w:val="both"/>
      </w:pPr>
      <w:r w:rsidRPr="000F765B">
        <w:rPr>
          <w:lang w:eastAsia="fr-FR" w:bidi="fr-FR"/>
        </w:rPr>
        <w:t>De ce sincère tableau, les historiens des techniques médiévales t</w:t>
      </w:r>
      <w:r w:rsidRPr="000F765B">
        <w:rPr>
          <w:lang w:eastAsia="fr-FR" w:bidi="fr-FR"/>
        </w:rPr>
        <w:t>i</w:t>
      </w:r>
      <w:r w:rsidRPr="000F765B">
        <w:rPr>
          <w:lang w:eastAsia="fr-FR" w:bidi="fr-FR"/>
        </w:rPr>
        <w:t>reront peut-être l’espoir d’un peu d’indulgence. Je serais désolé qu’aucun chercheur crût y lire des conseils de renoncement. Si dure que soit toujours la tâche, tous les champs de fouille ne sont pas ég</w:t>
      </w:r>
      <w:r w:rsidRPr="000F765B">
        <w:rPr>
          <w:lang w:eastAsia="fr-FR" w:bidi="fr-FR"/>
        </w:rPr>
        <w:t>a</w:t>
      </w:r>
      <w:r w:rsidRPr="000F765B">
        <w:rPr>
          <w:lang w:eastAsia="fr-FR" w:bidi="fr-FR"/>
        </w:rPr>
        <w:t xml:space="preserve">lement défavorisés. Parfois la chance veut que l’invention ait soulevé des contestations juridiques : tel le moulin à eau, à la différence, par exemple, du harnachement. Or, qui dit procès ou simplement querelle, dit paperasserie, donc document : si les hommes du Moyen </w:t>
      </w:r>
      <w:r>
        <w:rPr>
          <w:lang w:eastAsia="fr-FR" w:bidi="fr-FR"/>
        </w:rPr>
        <w:t>Â</w:t>
      </w:r>
      <w:r w:rsidRPr="000F765B">
        <w:rPr>
          <w:lang w:eastAsia="fr-FR" w:bidi="fr-FR"/>
        </w:rPr>
        <w:t>ge n’avaient tant aimé plaider, où en seraient les médiévistes ? Surtout, lors même qu’une catégorie de témoignages, prise isolément, demeure impuissante à nous renseigner, il est bien rare que la confrontation de plusieurs séries parallèles ne se révèle pas, en quelque mesure, f</w:t>
      </w:r>
      <w:r w:rsidRPr="000F765B">
        <w:rPr>
          <w:lang w:eastAsia="fr-FR" w:bidi="fr-FR"/>
        </w:rPr>
        <w:t>é</w:t>
      </w:r>
      <w:r w:rsidRPr="000F765B">
        <w:rPr>
          <w:lang w:eastAsia="fr-FR" w:bidi="fr-FR"/>
        </w:rPr>
        <w:t xml:space="preserve">conde. Une fois de plus, c’est de l’alliance des disciplines qu’on doit ici attendre un peu de jour sur le </w:t>
      </w:r>
      <w:r>
        <w:rPr>
          <w:lang w:eastAsia="fr-FR" w:bidi="fr-FR"/>
        </w:rPr>
        <w:t>passé : d’une alliance, ne crai</w:t>
      </w:r>
      <w:r w:rsidRPr="000F765B">
        <w:rPr>
          <w:lang w:eastAsia="fr-FR" w:bidi="fr-FR"/>
        </w:rPr>
        <w:t>gnons</w:t>
      </w:r>
      <w:r>
        <w:t xml:space="preserve"> [826]</w:t>
      </w:r>
      <w:r w:rsidRPr="000F765B">
        <w:rPr>
          <w:lang w:eastAsia="fr-FR" w:bidi="fr-FR"/>
        </w:rPr>
        <w:t xml:space="preserve"> pas de le redire, délibérément concertée, matérialisée, en o</w:t>
      </w:r>
      <w:r w:rsidRPr="000F765B">
        <w:rPr>
          <w:lang w:eastAsia="fr-FR" w:bidi="fr-FR"/>
        </w:rPr>
        <w:t>u</w:t>
      </w:r>
      <w:r w:rsidRPr="000F765B">
        <w:rPr>
          <w:lang w:eastAsia="fr-FR" w:bidi="fr-FR"/>
        </w:rPr>
        <w:t>tre, par un bon équipement de répertoires et d’index. Nous ne saurons j</w:t>
      </w:r>
      <w:r w:rsidRPr="000F765B">
        <w:rPr>
          <w:lang w:eastAsia="fr-FR" w:bidi="fr-FR"/>
        </w:rPr>
        <w:t>a</w:t>
      </w:r>
      <w:r w:rsidRPr="000F765B">
        <w:rPr>
          <w:lang w:eastAsia="fr-FR" w:bidi="fr-FR"/>
        </w:rPr>
        <w:lastRenderedPageBreak/>
        <w:t>mais tout ce que nous voudrions savoir. Mais nous pourrions conna</w:t>
      </w:r>
      <w:r w:rsidRPr="000F765B">
        <w:rPr>
          <w:lang w:eastAsia="fr-FR" w:bidi="fr-FR"/>
        </w:rPr>
        <w:t>î</w:t>
      </w:r>
      <w:r w:rsidRPr="000F765B">
        <w:rPr>
          <w:lang w:eastAsia="fr-FR" w:bidi="fr-FR"/>
        </w:rPr>
        <w:t>tre bien plus que pour l’instant nous n’entrevoyons. Et ce qu’il s’agit d’apprendre touche au plus profond de la vie sociale, au plus déterm</w:t>
      </w:r>
      <w:r w:rsidRPr="000F765B">
        <w:rPr>
          <w:lang w:eastAsia="fr-FR" w:bidi="fr-FR"/>
        </w:rPr>
        <w:t>i</w:t>
      </w:r>
      <w:r w:rsidRPr="000F765B">
        <w:rPr>
          <w:lang w:eastAsia="fr-FR" w:bidi="fr-FR"/>
        </w:rPr>
        <w:t>nant comme au plus symptomatique. La raison n’est-elle pas suffisa</w:t>
      </w:r>
      <w:r w:rsidRPr="000F765B">
        <w:rPr>
          <w:lang w:eastAsia="fr-FR" w:bidi="fr-FR"/>
        </w:rPr>
        <w:t>n</w:t>
      </w:r>
      <w:r w:rsidRPr="000F765B">
        <w:rPr>
          <w:lang w:eastAsia="fr-FR" w:bidi="fr-FR"/>
        </w:rPr>
        <w:t>te pour faire l’offrande à l’histoire des techniques d’un peu de cette patience et de cette ingéniosité que les grands érudits d’autrefois ont apportées à débrouiller, pour nous, les généalogies des princes ?</w:t>
      </w:r>
    </w:p>
    <w:p w14:paraId="77E02B65" w14:textId="77777777" w:rsidR="00B9662D" w:rsidRDefault="00B9662D" w:rsidP="00B9662D">
      <w:pPr>
        <w:spacing w:before="120" w:after="120"/>
        <w:jc w:val="both"/>
        <w:rPr>
          <w:lang w:eastAsia="fr-FR" w:bidi="fr-FR"/>
        </w:rPr>
      </w:pPr>
    </w:p>
    <w:p w14:paraId="6DEDB2C1" w14:textId="77777777" w:rsidR="00B9662D" w:rsidRPr="000F765B" w:rsidRDefault="00B9662D" w:rsidP="00B9662D">
      <w:pPr>
        <w:pStyle w:val="planche"/>
      </w:pPr>
      <w:r w:rsidRPr="000F765B">
        <w:t>III</w:t>
      </w:r>
    </w:p>
    <w:p w14:paraId="52EF9A10" w14:textId="77777777" w:rsidR="00B9662D" w:rsidRDefault="00B9662D" w:rsidP="00B9662D">
      <w:pPr>
        <w:spacing w:before="120" w:after="120"/>
        <w:jc w:val="both"/>
        <w:rPr>
          <w:lang w:eastAsia="fr-FR" w:bidi="fr-FR"/>
        </w:rPr>
      </w:pPr>
    </w:p>
    <w:p w14:paraId="4CF62CB5" w14:textId="77777777" w:rsidR="00B9662D" w:rsidRPr="000F765B" w:rsidRDefault="00B9662D" w:rsidP="00B9662D">
      <w:pPr>
        <w:spacing w:before="120" w:after="120"/>
        <w:jc w:val="both"/>
      </w:pPr>
      <w:r w:rsidRPr="000F765B">
        <w:rPr>
          <w:lang w:eastAsia="fr-FR" w:bidi="fr-FR"/>
        </w:rPr>
        <w:t>« Inventions » médiévales, dit-on souvent. Il est, d’ores et déjà, certain que ce mot trop simple recouvre, en réalité, des phénomènes singulièrement disparates. Sans prétendre le moins du monde épuiser une liste très longue et semée de graves incertitudes, quelques exe</w:t>
      </w:r>
      <w:r w:rsidRPr="000F765B">
        <w:rPr>
          <w:lang w:eastAsia="fr-FR" w:bidi="fr-FR"/>
        </w:rPr>
        <w:t>m</w:t>
      </w:r>
      <w:r w:rsidRPr="000F765B">
        <w:rPr>
          <w:lang w:eastAsia="fr-FR" w:bidi="fr-FR"/>
        </w:rPr>
        <w:t>ples suffiront à souligner la nécessité d’un classement.</w:t>
      </w:r>
    </w:p>
    <w:p w14:paraId="1B1DEDE1" w14:textId="77777777" w:rsidR="00B9662D" w:rsidRPr="000F765B" w:rsidRDefault="00B9662D" w:rsidP="00B9662D">
      <w:pPr>
        <w:spacing w:before="120" w:after="120"/>
        <w:jc w:val="both"/>
      </w:pPr>
      <w:r w:rsidRPr="000F765B">
        <w:rPr>
          <w:lang w:eastAsia="fr-FR" w:bidi="fr-FR"/>
        </w:rPr>
        <w:t xml:space="preserve">Parfois le Moyen </w:t>
      </w:r>
      <w:r>
        <w:rPr>
          <w:lang w:eastAsia="fr-FR" w:bidi="fr-FR"/>
        </w:rPr>
        <w:t>Â</w:t>
      </w:r>
      <w:r w:rsidRPr="000F765B">
        <w:rPr>
          <w:lang w:eastAsia="fr-FR" w:bidi="fr-FR"/>
        </w:rPr>
        <w:t>ge s’est borné à répandre, sous l’action de conditions sociales nouvelles, un appareil ou un procédé que l’Europe connaissait depuis longtemps. Tel le moulin à eau. Tel aussi l’assolement triennal, attesté pour la première fois, au début de notre ère, chez les Trévires, comme expédient alors purement temporaire</w:t>
      </w:r>
      <w:r>
        <w:rPr>
          <w:lang w:eastAsia="fr-FR" w:bidi="fr-FR"/>
        </w:rPr>
        <w:t> </w:t>
      </w:r>
      <w:r>
        <w:rPr>
          <w:rStyle w:val="Appelnotedebasdep"/>
        </w:rPr>
        <w:footnoteReference w:id="821"/>
      </w:r>
      <w:r w:rsidRPr="000F765B">
        <w:rPr>
          <w:lang w:eastAsia="fr-FR" w:bidi="fr-FR"/>
        </w:rPr>
        <w:t> ; on sait, d’ailleurs, que toute une partie du domaine européen lui d</w:t>
      </w:r>
      <w:r w:rsidRPr="000F765B">
        <w:rPr>
          <w:lang w:eastAsia="fr-FR" w:bidi="fr-FR"/>
        </w:rPr>
        <w:t>e</w:t>
      </w:r>
      <w:r w:rsidRPr="000F765B">
        <w:rPr>
          <w:lang w:eastAsia="fr-FR" w:bidi="fr-FR"/>
        </w:rPr>
        <w:t>meura toujours rebelle. Ces deux exemples ont ceci de significatif que chacun d’eux représente le legs d’une civilisation différente, parmi ce</w:t>
      </w:r>
      <w:r>
        <w:rPr>
          <w:lang w:eastAsia="fr-FR" w:bidi="fr-FR"/>
        </w:rPr>
        <w:t>lles dont le Moyen Âge et nous-</w:t>
      </w:r>
      <w:r w:rsidRPr="000F765B">
        <w:rPr>
          <w:lang w:eastAsia="fr-FR" w:bidi="fr-FR"/>
        </w:rPr>
        <w:t>mêmes avons reçu l’héritage. Le moulin à eau était venu de la Méditerranée ; l’assolement triennal, des sociétés agraires du Nord. Ce n’est pas sur le terrain intellectuel se</w:t>
      </w:r>
      <w:r w:rsidRPr="000F765B">
        <w:rPr>
          <w:lang w:eastAsia="fr-FR" w:bidi="fr-FR"/>
        </w:rPr>
        <w:t>u</w:t>
      </w:r>
      <w:r w:rsidRPr="000F765B">
        <w:rPr>
          <w:lang w:eastAsia="fr-FR" w:bidi="fr-FR"/>
        </w:rPr>
        <w:t>lement que le mélange des traditions peut être une source de fécond</w:t>
      </w:r>
      <w:r w:rsidRPr="000F765B">
        <w:rPr>
          <w:lang w:eastAsia="fr-FR" w:bidi="fr-FR"/>
        </w:rPr>
        <w:t>i</w:t>
      </w:r>
      <w:r w:rsidRPr="000F765B">
        <w:rPr>
          <w:lang w:eastAsia="fr-FR" w:bidi="fr-FR"/>
        </w:rPr>
        <w:t>té.</w:t>
      </w:r>
    </w:p>
    <w:p w14:paraId="663B8736" w14:textId="77777777" w:rsidR="00B9662D" w:rsidRPr="000F765B" w:rsidRDefault="00B9662D" w:rsidP="00B9662D">
      <w:pPr>
        <w:spacing w:before="120" w:after="120"/>
        <w:jc w:val="both"/>
      </w:pPr>
      <w:r w:rsidRPr="000F765B">
        <w:rPr>
          <w:lang w:eastAsia="fr-FR" w:bidi="fr-FR"/>
        </w:rPr>
        <w:t>Ailleurs, il y eut emprunt encore, mais, cette fois, à des civilis</w:t>
      </w:r>
      <w:r w:rsidRPr="000F765B">
        <w:rPr>
          <w:lang w:eastAsia="fr-FR" w:bidi="fr-FR"/>
        </w:rPr>
        <w:t>a</w:t>
      </w:r>
      <w:r w:rsidRPr="000F765B">
        <w:rPr>
          <w:lang w:eastAsia="fr-FR" w:bidi="fr-FR"/>
        </w:rPr>
        <w:t>tions étrangères. L’étrier, selon toute apparence, fut un cadeau de ces cavaliers des steppes eurasiennes, Alains et Sarmates, que l’établissement de plusieurs fractions de leurs peuples, comme col</w:t>
      </w:r>
      <w:r w:rsidRPr="000F765B">
        <w:rPr>
          <w:lang w:eastAsia="fr-FR" w:bidi="fr-FR"/>
        </w:rPr>
        <w:t>o</w:t>
      </w:r>
      <w:r w:rsidRPr="000F765B">
        <w:rPr>
          <w:lang w:eastAsia="fr-FR" w:bidi="fr-FR"/>
        </w:rPr>
        <w:t>nies militaires, dans l’Empire romain, le long séjour des Goths à côté d’eux, sur la mer Noire, enfin la fuite commune devant les Huns m</w:t>
      </w:r>
      <w:r w:rsidRPr="000F765B">
        <w:rPr>
          <w:lang w:eastAsia="fr-FR" w:bidi="fr-FR"/>
        </w:rPr>
        <w:t>i</w:t>
      </w:r>
      <w:r w:rsidRPr="000F765B">
        <w:rPr>
          <w:lang w:eastAsia="fr-FR" w:bidi="fr-FR"/>
        </w:rPr>
        <w:lastRenderedPageBreak/>
        <w:t xml:space="preserve">rent, vers le début du Moyen </w:t>
      </w:r>
      <w:r>
        <w:rPr>
          <w:lang w:eastAsia="fr-FR" w:bidi="fr-FR"/>
        </w:rPr>
        <w:t>Â</w:t>
      </w:r>
      <w:r w:rsidRPr="000F765B">
        <w:rPr>
          <w:lang w:eastAsia="fr-FR" w:bidi="fr-FR"/>
        </w:rPr>
        <w:t>ge, en contact si étroit avec le monde occidental. Presque simultanément la Chine, et à travers elle, le Japon semblent avoir reçu d’eux le même présent. Ainsi les batteurs d’estrade qui, tour à tour, menaçaient les sédentaires de l’Est comme de l’Ouest établissaient entre ces sociétés lointaines une sorte de lia</w:t>
      </w:r>
      <w:r w:rsidRPr="000F765B">
        <w:rPr>
          <w:lang w:eastAsia="fr-FR" w:bidi="fr-FR"/>
        </w:rPr>
        <w:t>i</w:t>
      </w:r>
      <w:r w:rsidRPr="000F765B">
        <w:rPr>
          <w:lang w:eastAsia="fr-FR" w:bidi="fr-FR"/>
        </w:rPr>
        <w:t>son</w:t>
      </w:r>
      <w:r>
        <w:rPr>
          <w:lang w:eastAsia="fr-FR" w:bidi="fr-FR"/>
        </w:rPr>
        <w:t> </w:t>
      </w:r>
      <w:r>
        <w:rPr>
          <w:rStyle w:val="Appelnotedebasdep"/>
        </w:rPr>
        <w:footnoteReference w:id="822"/>
      </w:r>
      <w:r w:rsidRPr="000F765B">
        <w:rPr>
          <w:lang w:eastAsia="fr-FR" w:bidi="fr-FR"/>
        </w:rPr>
        <w:t>. Bien plus tard, le moulin à vent devait nous venir de l’Orient islamique. Ces actions et réactions ouvrent à la pensée un vaste champ et mériteraient de l’ouvrir à l’étude. Il est de mode aujourd’hui,</w:t>
      </w:r>
      <w:r>
        <w:rPr>
          <w:lang w:eastAsia="fr-FR" w:bidi="fr-FR"/>
        </w:rPr>
        <w:t xml:space="preserve"> </w:t>
      </w:r>
      <w:r>
        <w:t xml:space="preserve">[827] </w:t>
      </w:r>
      <w:r w:rsidRPr="000F765B">
        <w:rPr>
          <w:lang w:eastAsia="fr-FR" w:bidi="fr-FR"/>
        </w:rPr>
        <w:t>jusque dans les manuels, de faire défiler, en colonnes soigneus</w:t>
      </w:r>
      <w:r w:rsidRPr="000F765B">
        <w:rPr>
          <w:lang w:eastAsia="fr-FR" w:bidi="fr-FR"/>
        </w:rPr>
        <w:t>e</w:t>
      </w:r>
      <w:r w:rsidRPr="000F765B">
        <w:rPr>
          <w:lang w:eastAsia="fr-FR" w:bidi="fr-FR"/>
        </w:rPr>
        <w:t xml:space="preserve">ment parallèles, l’histoire de l’Asie en regard de celle de l’Europe. Mais les problèmes d’influence, qui surtout importent, ne paraissent point par là beaucoup avancés. On doit croire qu’ils réservent encore bien des surprises. Dans le hennin qui aux dames chrétiennes du </w:t>
      </w:r>
      <w:r>
        <w:rPr>
          <w:lang w:eastAsia="fr-FR" w:bidi="fr-FR"/>
        </w:rPr>
        <w:t>XV</w:t>
      </w:r>
      <w:r w:rsidRPr="000F765B">
        <w:rPr>
          <w:vertAlign w:val="superscript"/>
          <w:lang w:eastAsia="fr-FR" w:bidi="fr-FR"/>
        </w:rPr>
        <w:t>e</w:t>
      </w:r>
      <w:r w:rsidRPr="000F765B">
        <w:rPr>
          <w:lang w:eastAsia="fr-FR" w:bidi="fr-FR"/>
        </w:rPr>
        <w:t xml:space="preserve"> siècle faisait une silhouette toute « cornue et branchue », M. Georges Br</w:t>
      </w:r>
      <w:r w:rsidRPr="000F765B">
        <w:rPr>
          <w:lang w:eastAsia="fr-FR" w:bidi="fr-FR"/>
        </w:rPr>
        <w:t>a</w:t>
      </w:r>
      <w:r w:rsidRPr="000F765B">
        <w:rPr>
          <w:lang w:eastAsia="fr-FR" w:bidi="fr-FR"/>
        </w:rPr>
        <w:t>tianu ne nous montrait-il pas récemment, transmise par les cours l</w:t>
      </w:r>
      <w:r w:rsidRPr="000F765B">
        <w:rPr>
          <w:lang w:eastAsia="fr-FR" w:bidi="fr-FR"/>
        </w:rPr>
        <w:t>e</w:t>
      </w:r>
      <w:r w:rsidRPr="000F765B">
        <w:rPr>
          <w:lang w:eastAsia="fr-FR" w:bidi="fr-FR"/>
        </w:rPr>
        <w:t>vantines, l’imitation et presque la copie d’une coiffure chère aux él</w:t>
      </w:r>
      <w:r w:rsidRPr="000F765B">
        <w:rPr>
          <w:lang w:eastAsia="fr-FR" w:bidi="fr-FR"/>
        </w:rPr>
        <w:t>é</w:t>
      </w:r>
      <w:r w:rsidRPr="000F765B">
        <w:rPr>
          <w:lang w:eastAsia="fr-FR" w:bidi="fr-FR"/>
        </w:rPr>
        <w:t>gantes chinoises, sous le règne des Hang</w:t>
      </w:r>
      <w:r>
        <w:rPr>
          <w:lang w:eastAsia="fr-FR" w:bidi="fr-FR"/>
        </w:rPr>
        <w:t> </w:t>
      </w:r>
      <w:r>
        <w:rPr>
          <w:rStyle w:val="Appelnotedebasdep"/>
        </w:rPr>
        <w:footnoteReference w:id="823"/>
      </w:r>
      <w:r w:rsidRPr="000F765B">
        <w:rPr>
          <w:lang w:eastAsia="fr-FR" w:bidi="fr-FR"/>
        </w:rPr>
        <w:t> ?</w:t>
      </w:r>
    </w:p>
    <w:p w14:paraId="14BEFE7B" w14:textId="77777777" w:rsidR="00B9662D" w:rsidRPr="000F765B" w:rsidRDefault="00B9662D" w:rsidP="00B9662D">
      <w:pPr>
        <w:spacing w:before="120" w:after="120"/>
        <w:jc w:val="both"/>
      </w:pPr>
      <w:r w:rsidRPr="000F765B">
        <w:rPr>
          <w:lang w:eastAsia="fr-FR" w:bidi="fr-FR"/>
        </w:rPr>
        <w:t>D’autres perfectionnements, enfin, l’invention, au sens plein du mot, semble bien avoir eu lieu durant le Moyen Age même et sur n</w:t>
      </w:r>
      <w:r w:rsidRPr="000F765B">
        <w:rPr>
          <w:lang w:eastAsia="fr-FR" w:bidi="fr-FR"/>
        </w:rPr>
        <w:t>o</w:t>
      </w:r>
      <w:r w:rsidRPr="000F765B">
        <w:rPr>
          <w:lang w:eastAsia="fr-FR" w:bidi="fr-FR"/>
        </w:rPr>
        <w:t>tre sol. Ainsi pour l’attelage « moderne » dont M. Lefebvre des Noë</w:t>
      </w:r>
      <w:r w:rsidRPr="000F765B">
        <w:rPr>
          <w:lang w:eastAsia="fr-FR" w:bidi="fr-FR"/>
        </w:rPr>
        <w:t>t</w:t>
      </w:r>
      <w:r w:rsidRPr="000F765B">
        <w:rPr>
          <w:lang w:eastAsia="fr-FR" w:bidi="fr-FR"/>
        </w:rPr>
        <w:t xml:space="preserve">tes a décrit l’apparition dans les documents figurés, peu après l’an 900 ; probablement pour le très mystérieux rouet dont les premières mentions connues appartiennent à la fin du </w:t>
      </w:r>
      <w:r>
        <w:rPr>
          <w:lang w:eastAsia="fr-FR" w:bidi="fr-FR"/>
        </w:rPr>
        <w:t>XIII</w:t>
      </w:r>
      <w:r w:rsidRPr="000F765B">
        <w:rPr>
          <w:vertAlign w:val="superscript"/>
          <w:lang w:eastAsia="fr-FR" w:bidi="fr-FR"/>
        </w:rPr>
        <w:t>e</w:t>
      </w:r>
      <w:r w:rsidRPr="000F765B">
        <w:rPr>
          <w:lang w:eastAsia="fr-FR" w:bidi="fr-FR"/>
        </w:rPr>
        <w:t xml:space="preserve"> siècle</w:t>
      </w:r>
      <w:r>
        <w:rPr>
          <w:lang w:eastAsia="fr-FR" w:bidi="fr-FR"/>
        </w:rPr>
        <w:t> </w:t>
      </w:r>
      <w:r>
        <w:rPr>
          <w:rStyle w:val="Appelnotedebasdep"/>
        </w:rPr>
        <w:footnoteReference w:id="824"/>
      </w:r>
      <w:r w:rsidRPr="000F765B">
        <w:rPr>
          <w:lang w:eastAsia="fr-FR" w:bidi="fr-FR"/>
        </w:rPr>
        <w:t> ; peut-être pour la boussole si, comme paraît l’avoir prouvé son plus récent hist</w:t>
      </w:r>
      <w:r w:rsidRPr="000F765B">
        <w:rPr>
          <w:lang w:eastAsia="fr-FR" w:bidi="fr-FR"/>
        </w:rPr>
        <w:t>o</w:t>
      </w:r>
      <w:r w:rsidRPr="000F765B">
        <w:rPr>
          <w:lang w:eastAsia="fr-FR" w:bidi="fr-FR"/>
        </w:rPr>
        <w:t>rien, l’origine chinoise ou arabe de ce merveilleux instru</w:t>
      </w:r>
      <w:r w:rsidRPr="000F765B">
        <w:rPr>
          <w:lang w:eastAsia="fr-FR" w:bidi="fr-FR"/>
        </w:rPr>
        <w:lastRenderedPageBreak/>
        <w:t>ment doit être définitivement reléguée au royaume des fables</w:t>
      </w:r>
      <w:r>
        <w:rPr>
          <w:lang w:eastAsia="fr-FR" w:bidi="fr-FR"/>
        </w:rPr>
        <w:t> </w:t>
      </w:r>
      <w:r>
        <w:rPr>
          <w:rStyle w:val="Appelnotedebasdep"/>
        </w:rPr>
        <w:footnoteReference w:id="825"/>
      </w:r>
      <w:r w:rsidRPr="000F765B">
        <w:rPr>
          <w:lang w:eastAsia="fr-FR" w:bidi="fr-FR"/>
        </w:rPr>
        <w:t>. Ici le problème n’est plus, pour nous, de retracer sur la carte des routes d’influences. Il se présente avant tout comme une recherche de causes, dont nous dirons un mot tout à l’heure.</w:t>
      </w:r>
    </w:p>
    <w:p w14:paraId="7E3582AE" w14:textId="77777777" w:rsidR="00B9662D" w:rsidRPr="000F765B" w:rsidRDefault="00B9662D" w:rsidP="00B9662D">
      <w:pPr>
        <w:spacing w:before="120" w:after="120"/>
        <w:jc w:val="both"/>
      </w:pPr>
      <w:r w:rsidRPr="000F765B">
        <w:rPr>
          <w:lang w:eastAsia="fr-FR" w:bidi="fr-FR"/>
        </w:rPr>
        <w:t>Qu’on ne s’y trompe point cependant. Emprunts et inventions po</w:t>
      </w:r>
      <w:r w:rsidRPr="000F765B">
        <w:rPr>
          <w:lang w:eastAsia="fr-FR" w:bidi="fr-FR"/>
        </w:rPr>
        <w:t>r</w:t>
      </w:r>
      <w:r w:rsidRPr="000F765B">
        <w:rPr>
          <w:lang w:eastAsia="fr-FR" w:bidi="fr-FR"/>
        </w:rPr>
        <w:t>tent, à bien y regarder, le même témoignage : celui d’une remarquable souplesse de la main, du regard et de l’esprit. Dans une telle faculté de renouvellement, répandue jusque chez les masses artisanes, comment ne pas reconnaître une des sources de cette grandeur européenne qu’on voit surgir, en un si étonnant élan, du sein des pires troubles ? L</w:t>
      </w:r>
      <w:r w:rsidRPr="000F765B">
        <w:t>’</w:t>
      </w:r>
      <w:r w:rsidRPr="00DF33ED">
        <w:rPr>
          <w:i/>
        </w:rPr>
        <w:t>homo europaeus</w:t>
      </w:r>
      <w:r w:rsidRPr="000F765B">
        <w:rPr>
          <w:lang w:eastAsia="fr-FR" w:bidi="fr-FR"/>
        </w:rPr>
        <w:t xml:space="preserve">, en d’autres termes, fut par excellence un </w:t>
      </w:r>
      <w:r w:rsidRPr="00DF33ED">
        <w:rPr>
          <w:i/>
        </w:rPr>
        <w:t>homo faber</w:t>
      </w:r>
      <w:r w:rsidRPr="000F765B">
        <w:rPr>
          <w:lang w:eastAsia="fr-FR" w:bidi="fr-FR"/>
        </w:rPr>
        <w:t>, non seulement parce qu’il sut créer, mais aussi, du moins ju</w:t>
      </w:r>
      <w:r w:rsidRPr="000F765B">
        <w:rPr>
          <w:lang w:eastAsia="fr-FR" w:bidi="fr-FR"/>
        </w:rPr>
        <w:t>s</w:t>
      </w:r>
      <w:r w:rsidRPr="000F765B">
        <w:rPr>
          <w:lang w:eastAsia="fr-FR" w:bidi="fr-FR"/>
        </w:rPr>
        <w:t xml:space="preserve">qu’au </w:t>
      </w:r>
      <w:r w:rsidRPr="00DF33ED">
        <w:rPr>
          <w:caps/>
          <w:lang w:eastAsia="fr-FR" w:bidi="fr-FR"/>
        </w:rPr>
        <w:t>xix</w:t>
      </w:r>
      <w:r w:rsidRPr="000F765B">
        <w:rPr>
          <w:vertAlign w:val="superscript"/>
          <w:lang w:eastAsia="fr-FR" w:bidi="fr-FR"/>
        </w:rPr>
        <w:t>e</w:t>
      </w:r>
      <w:r w:rsidRPr="000F765B">
        <w:rPr>
          <w:lang w:eastAsia="fr-FR" w:bidi="fr-FR"/>
        </w:rPr>
        <w:t xml:space="preserve"> siècle, parce qu’il sut imiter ou adapter et de ces apports mêlés réussit à faire une civilisation technique.</w:t>
      </w:r>
    </w:p>
    <w:p w14:paraId="65E350C8" w14:textId="77777777" w:rsidR="00B9662D" w:rsidRDefault="00B9662D" w:rsidP="00B9662D">
      <w:pPr>
        <w:spacing w:before="120" w:after="120"/>
        <w:jc w:val="both"/>
        <w:rPr>
          <w:lang w:eastAsia="fr-FR" w:bidi="fr-FR"/>
        </w:rPr>
      </w:pPr>
    </w:p>
    <w:p w14:paraId="5C9F075C" w14:textId="77777777" w:rsidR="00B9662D" w:rsidRPr="000F765B" w:rsidRDefault="00B9662D" w:rsidP="00B9662D">
      <w:pPr>
        <w:pStyle w:val="planche"/>
      </w:pPr>
      <w:r w:rsidRPr="000F765B">
        <w:t>IV</w:t>
      </w:r>
    </w:p>
    <w:p w14:paraId="5BEA342E" w14:textId="77777777" w:rsidR="00B9662D" w:rsidRDefault="00B9662D" w:rsidP="00B9662D">
      <w:pPr>
        <w:spacing w:before="120" w:after="120"/>
        <w:jc w:val="both"/>
        <w:rPr>
          <w:lang w:eastAsia="fr-FR" w:bidi="fr-FR"/>
        </w:rPr>
      </w:pPr>
    </w:p>
    <w:p w14:paraId="42E0A7CC" w14:textId="77777777" w:rsidR="00B9662D" w:rsidRPr="000F765B" w:rsidRDefault="00B9662D" w:rsidP="00B9662D">
      <w:pPr>
        <w:spacing w:before="120" w:after="120"/>
        <w:jc w:val="both"/>
      </w:pPr>
      <w:r w:rsidRPr="000F765B">
        <w:rPr>
          <w:lang w:eastAsia="fr-FR" w:bidi="fr-FR"/>
        </w:rPr>
        <w:t xml:space="preserve">Dans sa deuxième édition, qui a été considérablement modifiée, le livre, désormais célèbre, de M. Lefebvre des Noëttes porte pour titre : </w:t>
      </w:r>
      <w:r w:rsidRPr="00180B01">
        <w:rPr>
          <w:i/>
        </w:rPr>
        <w:t>L'attelage et le cheval de selle à travers les âges.</w:t>
      </w:r>
      <w:r w:rsidRPr="000F765B">
        <w:rPr>
          <w:lang w:eastAsia="fr-FR" w:bidi="fr-FR"/>
        </w:rPr>
        <w:t xml:space="preserve"> Et comme sous-titre : </w:t>
      </w:r>
      <w:r w:rsidRPr="00180B01">
        <w:rPr>
          <w:i/>
        </w:rPr>
        <w:t>Contribution à l’histoire de l’esclavage</w:t>
      </w:r>
      <w:r w:rsidRPr="000F765B">
        <w:t>.</w:t>
      </w:r>
      <w:r w:rsidRPr="000F765B">
        <w:rPr>
          <w:lang w:eastAsia="fr-FR" w:bidi="fr-FR"/>
        </w:rPr>
        <w:t xml:space="preserve"> C’est dire qu’il intére</w:t>
      </w:r>
      <w:r w:rsidRPr="000F765B">
        <w:rPr>
          <w:lang w:eastAsia="fr-FR" w:bidi="fr-FR"/>
        </w:rPr>
        <w:t>s</w:t>
      </w:r>
      <w:r w:rsidRPr="000F765B">
        <w:rPr>
          <w:lang w:eastAsia="fr-FR" w:bidi="fr-FR"/>
        </w:rPr>
        <w:t>se tout à la fois la technique pure et les rapports de la technique avec la structure sociale.</w:t>
      </w:r>
    </w:p>
    <w:p w14:paraId="3F9203D8" w14:textId="77777777" w:rsidR="00B9662D" w:rsidRPr="000F765B" w:rsidRDefault="00B9662D" w:rsidP="00B9662D">
      <w:pPr>
        <w:spacing w:before="120" w:after="120"/>
        <w:jc w:val="both"/>
      </w:pPr>
      <w:r w:rsidRPr="000F765B">
        <w:br w:type="page"/>
      </w:r>
      <w:r>
        <w:rPr>
          <w:lang w:eastAsia="fr-FR" w:bidi="fr-FR"/>
        </w:rPr>
        <w:lastRenderedPageBreak/>
        <w:t>[828]</w:t>
      </w:r>
    </w:p>
    <w:p w14:paraId="5FAA3AED" w14:textId="77777777" w:rsidR="00B9662D" w:rsidRPr="000F765B" w:rsidRDefault="00B9662D" w:rsidP="00B9662D">
      <w:pPr>
        <w:spacing w:before="120" w:after="120"/>
        <w:jc w:val="both"/>
      </w:pPr>
      <w:r w:rsidRPr="000F765B">
        <w:rPr>
          <w:lang w:eastAsia="fr-FR" w:bidi="fr-FR"/>
        </w:rPr>
        <w:t>Je ne reviendrai pas ici, en détail, sur le premier groupe de probl</w:t>
      </w:r>
      <w:r w:rsidRPr="000F765B">
        <w:rPr>
          <w:lang w:eastAsia="fr-FR" w:bidi="fr-FR"/>
        </w:rPr>
        <w:t>è</w:t>
      </w:r>
      <w:r w:rsidRPr="000F765B">
        <w:rPr>
          <w:lang w:eastAsia="fr-FR" w:bidi="fr-FR"/>
        </w:rPr>
        <w:t>mes. Non que, de ce côté-là, de vastes perspectives ne s’ouvrent enc</w:t>
      </w:r>
      <w:r w:rsidRPr="000F765B">
        <w:rPr>
          <w:lang w:eastAsia="fr-FR" w:bidi="fr-FR"/>
        </w:rPr>
        <w:t>o</w:t>
      </w:r>
      <w:r w:rsidRPr="000F765B">
        <w:rPr>
          <w:lang w:eastAsia="fr-FR" w:bidi="fr-FR"/>
        </w:rPr>
        <w:t>re à la réflexion et à la recherche : témoin l’article de M. Jules Sion consacré à cet ouvrage</w:t>
      </w:r>
      <w:r>
        <w:rPr>
          <w:lang w:eastAsia="fr-FR" w:bidi="fr-FR"/>
        </w:rPr>
        <w:t> </w:t>
      </w:r>
      <w:r>
        <w:rPr>
          <w:rStyle w:val="Appelnotedebasdep"/>
        </w:rPr>
        <w:footnoteReference w:id="826"/>
      </w:r>
      <w:r w:rsidRPr="000F765B">
        <w:rPr>
          <w:lang w:eastAsia="fr-FR" w:bidi="fr-FR"/>
        </w:rPr>
        <w:t>. S’est-on, par exemple, suffisamment rendu compte qu’à vouloir comparer les capacités motrices des bêtes de somme, hier et aujourd’hui, on s’expose à un véritable paralogisme ? Car le moteur même a changé. Grâce au patient travail de sélection opéré par les éleveurs. Grâce surtout à la révolution agricole et, n</w:t>
      </w:r>
      <w:r w:rsidRPr="000F765B">
        <w:rPr>
          <w:lang w:eastAsia="fr-FR" w:bidi="fr-FR"/>
        </w:rPr>
        <w:t>o</w:t>
      </w:r>
      <w:r w:rsidRPr="000F765B">
        <w:rPr>
          <w:lang w:eastAsia="fr-FR" w:bidi="fr-FR"/>
        </w:rPr>
        <w:t>tamment, à l’avènement des fourrages artificiels. Ces bœufs ou ces vaches dont, curieusement unanime de la Norvège au Maine, le fo</w:t>
      </w:r>
      <w:r w:rsidRPr="000F765B">
        <w:rPr>
          <w:lang w:eastAsia="fr-FR" w:bidi="fr-FR"/>
        </w:rPr>
        <w:t>l</w:t>
      </w:r>
      <w:r w:rsidRPr="000F765B">
        <w:rPr>
          <w:lang w:eastAsia="fr-FR" w:bidi="fr-FR"/>
        </w:rPr>
        <w:t>klore paysan contait qu’après la longue famine de l’hiver il fallait, queue en main, les aider à se tenir debout</w:t>
      </w:r>
      <w:r>
        <w:rPr>
          <w:lang w:eastAsia="fr-FR" w:bidi="fr-FR"/>
        </w:rPr>
        <w:t> </w:t>
      </w:r>
      <w:r>
        <w:rPr>
          <w:rStyle w:val="Appelnotedebasdep"/>
        </w:rPr>
        <w:footnoteReference w:id="827"/>
      </w:r>
      <w:r w:rsidRPr="000F765B">
        <w:rPr>
          <w:lang w:eastAsia="fr-FR" w:bidi="fr-FR"/>
        </w:rPr>
        <w:t xml:space="preserve">, quel secours en pouvaient attendre les charrois ruraux ? Pas plus que le muscle humain, moins que lui peut-être, le muscle animal n’est forcément dans l’histoire une quantité stable. Par ailleurs, de tout ce que nous a révélé la science à la fois hippique et archéologique de M. Lefebvre des Noëttes, le plus important, cela va de soi, concerne l’attelage ; dans les destinées de l’humanité le cheval de selle n’a pas joué, à beaucoup près, un rôle aussi considérable que le charriot ou la charrue. Mais </w:t>
      </w:r>
      <w:r>
        <w:rPr>
          <w:lang w:eastAsia="fr-FR" w:bidi="fr-FR"/>
        </w:rPr>
        <w:t>ce progrès fo</w:t>
      </w:r>
      <w:r>
        <w:rPr>
          <w:lang w:eastAsia="fr-FR" w:bidi="fr-FR"/>
        </w:rPr>
        <w:t>n</w:t>
      </w:r>
      <w:r>
        <w:rPr>
          <w:lang w:eastAsia="fr-FR" w:bidi="fr-FR"/>
        </w:rPr>
        <w:t>damental fut lui-</w:t>
      </w:r>
      <w:r w:rsidRPr="000F765B">
        <w:rPr>
          <w:lang w:eastAsia="fr-FR" w:bidi="fr-FR"/>
        </w:rPr>
        <w:t>même la résultante de plusieurs perfectionnements parallèlement accomplis : remplacement du collier de gorge qui, au moindre effort, menaçait d’étrangler le cheval, par le collier d’épaules dont l’invention lui permit, au contraire, de déployer toute sa force ; ferrure des bœufs et des chevaux ; attelage en file. L’histoire du di</w:t>
      </w:r>
      <w:r w:rsidRPr="000F765B">
        <w:rPr>
          <w:lang w:eastAsia="fr-FR" w:bidi="fr-FR"/>
        </w:rPr>
        <w:t>s</w:t>
      </w:r>
      <w:r w:rsidRPr="000F765B">
        <w:rPr>
          <w:lang w:eastAsia="fr-FR" w:bidi="fr-FR"/>
        </w:rPr>
        <w:t>positif en file, celle même du fer</w:t>
      </w:r>
      <w:r>
        <w:rPr>
          <w:lang w:eastAsia="fr-FR" w:bidi="fr-FR"/>
        </w:rPr>
        <w:t> — </w:t>
      </w:r>
      <w:r w:rsidRPr="000F765B">
        <w:rPr>
          <w:lang w:eastAsia="fr-FR" w:bidi="fr-FR"/>
        </w:rPr>
        <w:t>qui, dans l’Occident ne fut peut-être pas indigène,</w:t>
      </w:r>
      <w:r>
        <w:rPr>
          <w:lang w:eastAsia="fr-FR" w:bidi="fr-FR"/>
        </w:rPr>
        <w:t> — </w:t>
      </w:r>
      <w:r w:rsidRPr="000F765B">
        <w:rPr>
          <w:lang w:eastAsia="fr-FR" w:bidi="fr-FR"/>
        </w:rPr>
        <w:t>recèlent encore plus d’une obscurité</w:t>
      </w:r>
      <w:r>
        <w:rPr>
          <w:lang w:eastAsia="fr-FR" w:bidi="fr-FR"/>
        </w:rPr>
        <w:t> </w:t>
      </w:r>
      <w:r>
        <w:rPr>
          <w:rStyle w:val="Appelnotedebasdep"/>
        </w:rPr>
        <w:footnoteReference w:id="828"/>
      </w:r>
      <w:r w:rsidRPr="000F765B">
        <w:rPr>
          <w:lang w:eastAsia="fr-FR" w:bidi="fr-FR"/>
        </w:rPr>
        <w:t xml:space="preserve">. Sur le harnachement, je ne vois pas que les conclusions </w:t>
      </w:r>
      <w:r w:rsidRPr="000F765B">
        <w:rPr>
          <w:lang w:eastAsia="fr-FR" w:bidi="fr-FR"/>
        </w:rPr>
        <w:lastRenderedPageBreak/>
        <w:t>de l’auteur aient j</w:t>
      </w:r>
      <w:r w:rsidRPr="000F765B">
        <w:rPr>
          <w:lang w:eastAsia="fr-FR" w:bidi="fr-FR"/>
        </w:rPr>
        <w:t>a</w:t>
      </w:r>
      <w:r w:rsidRPr="000F765B">
        <w:rPr>
          <w:lang w:eastAsia="fr-FR" w:bidi="fr-FR"/>
        </w:rPr>
        <w:t>mais été sérieusement contestées. Tout au plus pourrait-on espérer, d’une nouvelle enquête à travers les documents figurés, quelques pr</w:t>
      </w:r>
      <w:r w:rsidRPr="000F765B">
        <w:rPr>
          <w:lang w:eastAsia="fr-FR" w:bidi="fr-FR"/>
        </w:rPr>
        <w:t>é</w:t>
      </w:r>
      <w:r w:rsidRPr="000F765B">
        <w:rPr>
          <w:lang w:eastAsia="fr-FR" w:bidi="fr-FR"/>
        </w:rPr>
        <w:t>cisions chronologiques de plus</w:t>
      </w:r>
      <w:r>
        <w:rPr>
          <w:lang w:eastAsia="fr-FR" w:bidi="fr-FR"/>
        </w:rPr>
        <w:t> </w:t>
      </w:r>
      <w:r>
        <w:rPr>
          <w:rStyle w:val="Appelnotedebasdep"/>
        </w:rPr>
        <w:footnoteReference w:id="829"/>
      </w:r>
      <w:r w:rsidRPr="000F765B">
        <w:rPr>
          <w:lang w:eastAsia="fr-FR" w:bidi="fr-FR"/>
        </w:rPr>
        <w:t>. Là est, en d’autres termes, la grande découverte. Je crois avoi</w:t>
      </w:r>
      <w:r>
        <w:rPr>
          <w:lang w:eastAsia="fr-FR" w:bidi="fr-FR"/>
        </w:rPr>
        <w:t>r</w:t>
      </w:r>
      <w:r w:rsidRPr="000F765B">
        <w:rPr>
          <w:lang w:eastAsia="fr-FR" w:bidi="fr-FR"/>
        </w:rPr>
        <w:t xml:space="preserve"> été un des premiers, parmi les historiens, à prononcer ce mot. Je ne m’en dédis point. Une fois de plus, reconnai</w:t>
      </w:r>
      <w:r w:rsidRPr="000F765B">
        <w:rPr>
          <w:lang w:eastAsia="fr-FR" w:bidi="fr-FR"/>
        </w:rPr>
        <w:t>s</w:t>
      </w:r>
      <w:r w:rsidRPr="000F765B">
        <w:rPr>
          <w:lang w:eastAsia="fr-FR" w:bidi="fr-FR"/>
        </w:rPr>
        <w:t>sons : à qui veut écrire l’histoire il faut avant tout des yeux, et non point seulement pour les user sur les chartes.</w:t>
      </w:r>
    </w:p>
    <w:p w14:paraId="20A37E8D" w14:textId="77777777" w:rsidR="00B9662D" w:rsidRPr="000F765B" w:rsidRDefault="00B9662D" w:rsidP="00B9662D">
      <w:pPr>
        <w:spacing w:before="120" w:after="120"/>
        <w:jc w:val="both"/>
      </w:pPr>
      <w:r w:rsidRPr="000F765B">
        <w:rPr>
          <w:lang w:eastAsia="fr-FR" w:bidi="fr-FR"/>
        </w:rPr>
        <w:t>Cependant, à cette révolution technique qu’il a si bien mise en l</w:t>
      </w:r>
      <w:r w:rsidRPr="000F765B">
        <w:rPr>
          <w:lang w:eastAsia="fr-FR" w:bidi="fr-FR"/>
        </w:rPr>
        <w:t>u</w:t>
      </w:r>
      <w:r w:rsidRPr="000F765B">
        <w:rPr>
          <w:lang w:eastAsia="fr-FR" w:bidi="fr-FR"/>
        </w:rPr>
        <w:t>mière, M. Lefebvre des Noëttes attribue un effet d’une immense po</w:t>
      </w:r>
      <w:r w:rsidRPr="000F765B">
        <w:rPr>
          <w:lang w:eastAsia="fr-FR" w:bidi="fr-FR"/>
        </w:rPr>
        <w:t>r</w:t>
      </w:r>
      <w:r w:rsidRPr="000F765B">
        <w:rPr>
          <w:lang w:eastAsia="fr-FR" w:bidi="fr-FR"/>
        </w:rPr>
        <w:t>tée ; avoir tué l’esclavage, en le rendant inutile. Devenue capable d’efforts décuplés, la</w:t>
      </w:r>
      <w:r>
        <w:t xml:space="preserve"> </w:t>
      </w:r>
      <w:r>
        <w:rPr>
          <w:lang w:eastAsia="fr-FR" w:bidi="fr-FR"/>
        </w:rPr>
        <w:t xml:space="preserve">[829] </w:t>
      </w:r>
      <w:r w:rsidRPr="000F765B">
        <w:rPr>
          <w:lang w:eastAsia="fr-FR" w:bidi="fr-FR"/>
        </w:rPr>
        <w:t>bête aurait libéré l’homme. Mais ceci a</w:t>
      </w:r>
      <w:r w:rsidRPr="000F765B">
        <w:rPr>
          <w:lang w:eastAsia="fr-FR" w:bidi="fr-FR"/>
        </w:rPr>
        <w:t>s</w:t>
      </w:r>
      <w:r w:rsidRPr="000F765B">
        <w:rPr>
          <w:lang w:eastAsia="fr-FR" w:bidi="fr-FR"/>
        </w:rPr>
        <w:t>surément n’est point vrai. Qui dit cause dit antécédence. Or le déclin de l’esclavage n’a pas suivi les transformations de l’attelage. Il les a précédées</w:t>
      </w:r>
      <w:r>
        <w:rPr>
          <w:lang w:eastAsia="fr-FR" w:bidi="fr-FR"/>
        </w:rPr>
        <w:t> </w:t>
      </w:r>
      <w:r>
        <w:rPr>
          <w:rStyle w:val="Appelnotedebasdep"/>
        </w:rPr>
        <w:footnoteReference w:id="830"/>
      </w:r>
      <w:r w:rsidRPr="000F765B">
        <w:rPr>
          <w:lang w:eastAsia="fr-FR" w:bidi="fr-FR"/>
        </w:rPr>
        <w:t>.</w:t>
      </w:r>
    </w:p>
    <w:p w14:paraId="3B3AA2A4" w14:textId="77777777" w:rsidR="00B9662D" w:rsidRPr="000F765B" w:rsidRDefault="00B9662D" w:rsidP="00B9662D">
      <w:pPr>
        <w:spacing w:before="120" w:after="120"/>
        <w:jc w:val="both"/>
      </w:pPr>
      <w:r w:rsidRPr="000F765B">
        <w:rPr>
          <w:lang w:eastAsia="fr-FR" w:bidi="fr-FR"/>
        </w:rPr>
        <w:lastRenderedPageBreak/>
        <w:t>L’esclave de l’antiquité, dans son type le plus pur, avait été un v</w:t>
      </w:r>
      <w:r w:rsidRPr="000F765B">
        <w:rPr>
          <w:lang w:eastAsia="fr-FR" w:bidi="fr-FR"/>
        </w:rPr>
        <w:t>é</w:t>
      </w:r>
      <w:r w:rsidRPr="000F765B">
        <w:rPr>
          <w:lang w:eastAsia="fr-FR" w:bidi="fr-FR"/>
        </w:rPr>
        <w:t>ritable animal domestique ; les textes eux-mêmes font le rapproch</w:t>
      </w:r>
      <w:r w:rsidRPr="000F765B">
        <w:rPr>
          <w:lang w:eastAsia="fr-FR" w:bidi="fr-FR"/>
        </w:rPr>
        <w:t>e</w:t>
      </w:r>
      <w:r w:rsidRPr="000F765B">
        <w:rPr>
          <w:lang w:eastAsia="fr-FR" w:bidi="fr-FR"/>
        </w:rPr>
        <w:t>ment. Entendez que, sans limites de durée ou de nature de labeur, sa force de travail était à la disposition du maître ; par suite, c’était de celui-ci qu’incapable de rien récolter ni gagner par soi-même il rec</w:t>
      </w:r>
      <w:r w:rsidRPr="000F765B">
        <w:rPr>
          <w:lang w:eastAsia="fr-FR" w:bidi="fr-FR"/>
        </w:rPr>
        <w:t>e</w:t>
      </w:r>
      <w:r w:rsidRPr="000F765B">
        <w:rPr>
          <w:lang w:eastAsia="fr-FR" w:bidi="fr-FR"/>
        </w:rPr>
        <w:t>vait le gîte et la pâture. Dès la fin de l’Empire romain, cependant, ce système, dont l’économie, durant les siècles précédents, avait fait un large emploi, donnait des signes de décadence. Il est possible qu’en jetant sur le marché un grand nombre de prisonniers de guerre, les i</w:t>
      </w:r>
      <w:r w:rsidRPr="000F765B">
        <w:rPr>
          <w:lang w:eastAsia="fr-FR" w:bidi="fr-FR"/>
        </w:rPr>
        <w:t>n</w:t>
      </w:r>
      <w:r w:rsidRPr="000F765B">
        <w:rPr>
          <w:lang w:eastAsia="fr-FR" w:bidi="fr-FR"/>
        </w:rPr>
        <w:t>vasions l’aient, pour un temps, ravivé. Sous les premiers Carolingiens, sa ruine était d’ores et déjà certaine. Sans doute, il existait encore des esclaves, au sens juridique du mot. Mais ils étaient relativement rares. Surtout, bien que certains d’entre eux, attachés aux maisons ou explo</w:t>
      </w:r>
      <w:r w:rsidRPr="000F765B">
        <w:rPr>
          <w:lang w:eastAsia="fr-FR" w:bidi="fr-FR"/>
        </w:rPr>
        <w:t>i</w:t>
      </w:r>
      <w:r w:rsidRPr="000F765B">
        <w:rPr>
          <w:lang w:eastAsia="fr-FR" w:bidi="fr-FR"/>
        </w:rPr>
        <w:t>tations seigneuriales, continuassent exactement les traditions de la main-d’œuvre servile d’autrefois, la plupart, établis sur des terres qu’ils faisaient valoir eux-mêmes à charge de redevances, avaient, au contraire, cessé de vivre aux dépens du maître comme de travailler constamment pour lui. Assurément, ces esclaves « chasés » deme</w:t>
      </w:r>
      <w:r w:rsidRPr="000F765B">
        <w:rPr>
          <w:lang w:eastAsia="fr-FR" w:bidi="fr-FR"/>
        </w:rPr>
        <w:t>u</w:t>
      </w:r>
      <w:r w:rsidRPr="000F765B">
        <w:rPr>
          <w:lang w:eastAsia="fr-FR" w:bidi="fr-FR"/>
        </w:rPr>
        <w:t>raient astreints, à côté de taxes diverses, à des services très lourds ; voire, assez souvent, à des services théoriquement illimités. En prat</w:t>
      </w:r>
      <w:r w:rsidRPr="000F765B">
        <w:rPr>
          <w:lang w:eastAsia="fr-FR" w:bidi="fr-FR"/>
        </w:rPr>
        <w:t>i</w:t>
      </w:r>
      <w:r w:rsidRPr="000F765B">
        <w:rPr>
          <w:lang w:eastAsia="fr-FR" w:bidi="fr-FR"/>
        </w:rPr>
        <w:t>que, néanmoins, force était de n’exiger d’eux, jamais, qu’une part de leur temps. Ne fallait-il pas leur laisser le loisir de cultiver leurs pr</w:t>
      </w:r>
      <w:r w:rsidRPr="000F765B">
        <w:rPr>
          <w:lang w:eastAsia="fr-FR" w:bidi="fr-FR"/>
        </w:rPr>
        <w:t>o</w:t>
      </w:r>
      <w:r w:rsidRPr="000F765B">
        <w:rPr>
          <w:lang w:eastAsia="fr-FR" w:bidi="fr-FR"/>
        </w:rPr>
        <w:t>pres champs, d’où ils tiraient à la fois la subsistance que l’on avait renoncé à leur fournir directement et les revenus nécessaires au pai</w:t>
      </w:r>
      <w:r w:rsidRPr="000F765B">
        <w:rPr>
          <w:lang w:eastAsia="fr-FR" w:bidi="fr-FR"/>
        </w:rPr>
        <w:t>e</w:t>
      </w:r>
      <w:r w:rsidRPr="000F765B">
        <w:rPr>
          <w:lang w:eastAsia="fr-FR" w:bidi="fr-FR"/>
        </w:rPr>
        <w:t>ment de ces rentes, en argent ou en nature, dont l’espoir avait seul ju</w:t>
      </w:r>
      <w:r w:rsidRPr="000F765B">
        <w:rPr>
          <w:lang w:eastAsia="fr-FR" w:bidi="fr-FR"/>
        </w:rPr>
        <w:t>s</w:t>
      </w:r>
      <w:r w:rsidRPr="000F765B">
        <w:rPr>
          <w:lang w:eastAsia="fr-FR" w:bidi="fr-FR"/>
        </w:rPr>
        <w:t>tifié l’abandon par le grand propriétaire, de tant de fractions de son domaine ? Or un esclave qui assure lui-même son entretien, qui paye loyer et dispose à son gré de beaucoup de ses heures : par son genre de vie, par son rôle comme producteur, est-ce encore un esclave ? Aussi bien le relâchement de la sujétion économique entraîna-t-il r</w:t>
      </w:r>
      <w:r w:rsidRPr="000F765B">
        <w:rPr>
          <w:lang w:eastAsia="fr-FR" w:bidi="fr-FR"/>
        </w:rPr>
        <w:t>a</w:t>
      </w:r>
      <w:r w:rsidRPr="000F765B">
        <w:rPr>
          <w:lang w:eastAsia="fr-FR" w:bidi="fr-FR"/>
        </w:rPr>
        <w:t xml:space="preserve">pidement l’affaiblissement du lien, en général. Dès le </w:t>
      </w:r>
      <w:r w:rsidRPr="008D7803">
        <w:rPr>
          <w:smallCaps/>
          <w:lang w:eastAsia="fr-FR" w:bidi="fr-FR"/>
        </w:rPr>
        <w:t>ix</w:t>
      </w:r>
      <w:r w:rsidRPr="00E46E89">
        <w:rPr>
          <w:vertAlign w:val="superscript"/>
          <w:lang w:eastAsia="fr-FR" w:bidi="fr-FR"/>
        </w:rPr>
        <w:t>e</w:t>
      </w:r>
      <w:r w:rsidRPr="000F765B">
        <w:rPr>
          <w:lang w:eastAsia="fr-FR" w:bidi="fr-FR"/>
        </w:rPr>
        <w:t xml:space="preserve"> siècle, on admettait volontiers que, jadis sans autre loi que l’arbitraire du maître, les obligations du tenancier de naissance servile étaient dorénavant, comme pour les « libres » dépendants, réglées par la coutume du groupe.</w:t>
      </w:r>
    </w:p>
    <w:p w14:paraId="537E48FD" w14:textId="77777777" w:rsidR="00B9662D" w:rsidRPr="000F765B" w:rsidRDefault="00B9662D" w:rsidP="00B9662D">
      <w:pPr>
        <w:spacing w:before="120" w:after="120"/>
        <w:jc w:val="both"/>
      </w:pPr>
      <w:r w:rsidRPr="000F765B">
        <w:rPr>
          <w:lang w:eastAsia="fr-FR" w:bidi="fr-FR"/>
        </w:rPr>
        <w:lastRenderedPageBreak/>
        <w:t xml:space="preserve">Au moment où, vers le </w:t>
      </w:r>
      <w:r>
        <w:rPr>
          <w:lang w:eastAsia="fr-FR" w:bidi="fr-FR"/>
        </w:rPr>
        <w:t>X</w:t>
      </w:r>
      <w:r w:rsidRPr="000F765B">
        <w:rPr>
          <w:vertAlign w:val="superscript"/>
          <w:lang w:eastAsia="fr-FR" w:bidi="fr-FR"/>
        </w:rPr>
        <w:t>e</w:t>
      </w:r>
      <w:r w:rsidRPr="000F765B">
        <w:rPr>
          <w:lang w:eastAsia="fr-FR" w:bidi="fr-FR"/>
        </w:rPr>
        <w:t xml:space="preserve"> siècle</w:t>
      </w:r>
      <w:r>
        <w:rPr>
          <w:lang w:eastAsia="fr-FR" w:bidi="fr-FR"/>
        </w:rPr>
        <w:t> — </w:t>
      </w:r>
      <w:r w:rsidRPr="000F765B">
        <w:rPr>
          <w:lang w:eastAsia="fr-FR" w:bidi="fr-FR"/>
        </w:rPr>
        <w:t>au témoignage de M. Lefebvre des Noëttes</w:t>
      </w:r>
      <w:r>
        <w:rPr>
          <w:lang w:eastAsia="fr-FR" w:bidi="fr-FR"/>
        </w:rPr>
        <w:t> — </w:t>
      </w:r>
      <w:r w:rsidRPr="000F765B">
        <w:rPr>
          <w:lang w:eastAsia="fr-FR" w:bidi="fr-FR"/>
        </w:rPr>
        <w:t>le harnachement moderne fit son entrée dans l’histoire, la</w:t>
      </w:r>
      <w:r>
        <w:t xml:space="preserve"> [830] </w:t>
      </w:r>
      <w:r w:rsidRPr="000F765B">
        <w:rPr>
          <w:lang w:eastAsia="fr-FR" w:bidi="fr-FR"/>
        </w:rPr>
        <w:t>grande révolution sociale dont nous venons de voir les prém</w:t>
      </w:r>
      <w:r w:rsidRPr="000F765B">
        <w:rPr>
          <w:lang w:eastAsia="fr-FR" w:bidi="fr-FR"/>
        </w:rPr>
        <w:t>i</w:t>
      </w:r>
      <w:r w:rsidRPr="000F765B">
        <w:rPr>
          <w:lang w:eastAsia="fr-FR" w:bidi="fr-FR"/>
        </w:rPr>
        <w:t>ces était accomplie. Non pas, cependant, tout à fait selon les lignes qui avaient semblé s’esquisser quand s’effondrait le monde antique. Car, depuis les invasions, des conditions nouvelles étaient apparues qui, du haut en bas de la société, avaient multiplié les relations de dépendance personnelle. Parmi les contemporains des premiers Capétiens, les pe</w:t>
      </w:r>
      <w:r w:rsidRPr="000F765B">
        <w:rPr>
          <w:lang w:eastAsia="fr-FR" w:bidi="fr-FR"/>
        </w:rPr>
        <w:t>r</w:t>
      </w:r>
      <w:r w:rsidRPr="000F765B">
        <w:rPr>
          <w:lang w:eastAsia="fr-FR" w:bidi="fr-FR"/>
        </w:rPr>
        <w:t xml:space="preserve">sonnes dont le statut se trouvait qualifié de servile étaient infiniment plus nombreuses qu’au temps de Charlemagne. Mais ces « serfs », s’ils ont hérité le nom des esclaves de jadis </w:t>
      </w:r>
      <w:r w:rsidRPr="000F765B">
        <w:t>(</w:t>
      </w:r>
      <w:r w:rsidRPr="00E46E89">
        <w:rPr>
          <w:i/>
        </w:rPr>
        <w:t>servi</w:t>
      </w:r>
      <w:r w:rsidRPr="000F765B">
        <w:t>),</w:t>
      </w:r>
      <w:r w:rsidRPr="000F765B">
        <w:rPr>
          <w:lang w:eastAsia="fr-FR" w:bidi="fr-FR"/>
        </w:rPr>
        <w:t xml:space="preserve"> ni, pour la plupart, ne descendent d’eux, ni, moins encore, ne vivent dans une soumission à beaucoup près pareille. C’est la notion même de la liberté et de son absence qui a changé. Passe pour libre, désormais, quiconque échappe à toute sujétion héréditaire ; pour non libres, au contraire, de plus en plus généralement, les hommes qui, liés à un seigneur dès la naissa</w:t>
      </w:r>
      <w:r w:rsidRPr="000F765B">
        <w:rPr>
          <w:lang w:eastAsia="fr-FR" w:bidi="fr-FR"/>
        </w:rPr>
        <w:t>n</w:t>
      </w:r>
      <w:r w:rsidRPr="000F765B">
        <w:rPr>
          <w:lang w:eastAsia="fr-FR" w:bidi="fr-FR"/>
        </w:rPr>
        <w:t>ce, ne peuvent se détacher de lui, leur vie durant, que si, d’aventure, il consent lui-même à rompre ce nœud. Ni leur corps, ni leur travail ne lui appartiennent, pour cela, sans limites. Fixé sur une terre dont, r</w:t>
      </w:r>
      <w:r w:rsidRPr="000F765B">
        <w:rPr>
          <w:lang w:eastAsia="fr-FR" w:bidi="fr-FR"/>
        </w:rPr>
        <w:t>e</w:t>
      </w:r>
      <w:r w:rsidRPr="000F765B">
        <w:rPr>
          <w:lang w:eastAsia="fr-FR" w:bidi="fr-FR"/>
        </w:rPr>
        <w:t>devance à part, il recueille intégralement les produits, astreint seul</w:t>
      </w:r>
      <w:r w:rsidRPr="000F765B">
        <w:rPr>
          <w:lang w:eastAsia="fr-FR" w:bidi="fr-FR"/>
        </w:rPr>
        <w:t>e</w:t>
      </w:r>
      <w:r w:rsidRPr="000F765B">
        <w:rPr>
          <w:lang w:eastAsia="fr-FR" w:bidi="fr-FR"/>
        </w:rPr>
        <w:t>ment à des charges que définit la coutume et, notamment, à des serv</w:t>
      </w:r>
      <w:r w:rsidRPr="000F765B">
        <w:rPr>
          <w:lang w:eastAsia="fr-FR" w:bidi="fr-FR"/>
        </w:rPr>
        <w:t>i</w:t>
      </w:r>
      <w:r w:rsidRPr="000F765B">
        <w:rPr>
          <w:lang w:eastAsia="fr-FR" w:bidi="fr-FR"/>
        </w:rPr>
        <w:t>ces de plus en plus réduits, le serf n’a rien d’une « force motrice » à la disposition d’un maître.</w:t>
      </w:r>
    </w:p>
    <w:p w14:paraId="2EC302D4" w14:textId="77777777" w:rsidR="00B9662D" w:rsidRPr="000F765B" w:rsidRDefault="00B9662D" w:rsidP="00B9662D">
      <w:pPr>
        <w:spacing w:before="120" w:after="120"/>
        <w:jc w:val="both"/>
      </w:pPr>
      <w:r w:rsidRPr="000F765B">
        <w:rPr>
          <w:lang w:eastAsia="fr-FR" w:bidi="fr-FR"/>
        </w:rPr>
        <w:t>Ce n’est point, d’ailleurs, que de la surface de l’Europe l’esclavage proprement dit eût complètement disparu. Dans les seigneuries all</w:t>
      </w:r>
      <w:r w:rsidRPr="000F765B">
        <w:rPr>
          <w:lang w:eastAsia="fr-FR" w:bidi="fr-FR"/>
        </w:rPr>
        <w:t>e</w:t>
      </w:r>
      <w:r w:rsidRPr="000F765B">
        <w:rPr>
          <w:lang w:eastAsia="fr-FR" w:bidi="fr-FR"/>
        </w:rPr>
        <w:t>mandes, les conditions de vie faites à certains dépendants qui à leur maître devaient des services presque quotidiens n’étaient pas sans rappeler de fort près la servitude antique. Surtout, en diverses contrées situées sur les confins de la catholicité ou que le commerce mettait en rapports étroits avec des civilisations exotiques</w:t>
      </w:r>
      <w:r>
        <w:rPr>
          <w:lang w:eastAsia="fr-FR" w:bidi="fr-FR"/>
        </w:rPr>
        <w:t> — </w:t>
      </w:r>
      <w:r w:rsidRPr="000F765B">
        <w:rPr>
          <w:lang w:eastAsia="fr-FR" w:bidi="fr-FR"/>
        </w:rPr>
        <w:t>Allemagne de l’Est et du Sud-Est, Espagne, Provence, Italie,</w:t>
      </w:r>
      <w:r>
        <w:rPr>
          <w:lang w:eastAsia="fr-FR" w:bidi="fr-FR"/>
        </w:rPr>
        <w:t> — </w:t>
      </w:r>
      <w:r w:rsidRPr="000F765B">
        <w:rPr>
          <w:lang w:eastAsia="fr-FR" w:bidi="fr-FR"/>
        </w:rPr>
        <w:t>la traite ou la guerre avaient continué de placer à la portée des possédants un véritable b</w:t>
      </w:r>
      <w:r w:rsidRPr="000F765B">
        <w:rPr>
          <w:lang w:eastAsia="fr-FR" w:bidi="fr-FR"/>
        </w:rPr>
        <w:t>é</w:t>
      </w:r>
      <w:r w:rsidRPr="000F765B">
        <w:rPr>
          <w:lang w:eastAsia="fr-FR" w:bidi="fr-FR"/>
        </w:rPr>
        <w:t>tail humain. Comme beaucoup de ces pauvres gens venaient des pays slaves, on s’accoutuma à faire de leur étiquette ethnique la plus répa</w:t>
      </w:r>
      <w:r w:rsidRPr="000F765B">
        <w:rPr>
          <w:lang w:eastAsia="fr-FR" w:bidi="fr-FR"/>
        </w:rPr>
        <w:t>n</w:t>
      </w:r>
      <w:r w:rsidRPr="000F765B">
        <w:rPr>
          <w:lang w:eastAsia="fr-FR" w:bidi="fr-FR"/>
        </w:rPr>
        <w:t xml:space="preserve">due le nom de leur statut : d’où notre mot d’esclave. L’apparition même, encore mal datée, de ce terme suffit à attester combien le vieux vocable de </w:t>
      </w:r>
      <w:r w:rsidRPr="00D86209">
        <w:rPr>
          <w:i/>
        </w:rPr>
        <w:t>servus</w:t>
      </w:r>
      <w:r w:rsidRPr="000F765B">
        <w:rPr>
          <w:lang w:eastAsia="fr-FR" w:bidi="fr-FR"/>
        </w:rPr>
        <w:t xml:space="preserve"> s’était, dans la conscience commune, écarté de son contenu primitif : à un vin très ancien il fallait une outre neuve. Les </w:t>
      </w:r>
      <w:r w:rsidRPr="000F765B">
        <w:rPr>
          <w:lang w:eastAsia="fr-FR" w:bidi="fr-FR"/>
        </w:rPr>
        <w:lastRenderedPageBreak/>
        <w:t xml:space="preserve">progrès du trafic, à partir du </w:t>
      </w:r>
      <w:r>
        <w:rPr>
          <w:lang w:eastAsia="fr-FR" w:bidi="fr-FR"/>
        </w:rPr>
        <w:t>XII</w:t>
      </w:r>
      <w:r w:rsidRPr="000F765B">
        <w:rPr>
          <w:vertAlign w:val="superscript"/>
          <w:lang w:eastAsia="fr-FR" w:bidi="fr-FR"/>
        </w:rPr>
        <w:t>e</w:t>
      </w:r>
      <w:r w:rsidRPr="000F765B">
        <w:rPr>
          <w:lang w:eastAsia="fr-FR" w:bidi="fr-FR"/>
        </w:rPr>
        <w:t xml:space="preserve"> siècle, eurent pour effet de rendre, dans tout le bassin de la Méditerranée, la marchandise humaine bea</w:t>
      </w:r>
      <w:r w:rsidRPr="000F765B">
        <w:rPr>
          <w:lang w:eastAsia="fr-FR" w:bidi="fr-FR"/>
        </w:rPr>
        <w:t>u</w:t>
      </w:r>
      <w:r w:rsidRPr="000F765B">
        <w:rPr>
          <w:lang w:eastAsia="fr-FR" w:bidi="fr-FR"/>
        </w:rPr>
        <w:t>coup plus abondante qu’aux siècles précédents. Cependant, sauf sur certains points de l’Espagne, ces esclaves grecs, slavons, nègres ou maures n’étaient guère employés qu’à des besognes domestiques ou artisanes. Leur rôle économique demeurait donc fort au-dessous de ce qu’avait été celui de leurs pareils, dans le monde romain. Il n’était point, pour autant, négligeable. En sorte que l’attelage moderne qui, à son avènement, avait trouvé l’esclavage moribond, ne s’avéra même pas capable d’en achever la ruine.</w:t>
      </w:r>
    </w:p>
    <w:p w14:paraId="0A504E98" w14:textId="77777777" w:rsidR="00B9662D" w:rsidRPr="000F765B" w:rsidRDefault="00B9662D" w:rsidP="00B9662D">
      <w:pPr>
        <w:spacing w:before="120" w:after="120"/>
        <w:jc w:val="both"/>
      </w:pPr>
      <w:r w:rsidRPr="000F765B">
        <w:rPr>
          <w:lang w:eastAsia="fr-FR" w:bidi="fr-FR"/>
        </w:rPr>
        <w:t>Il y aurait beaucoup de témérité à prétendre analyser ici, en peu de mots, les causes qui ont déterminé le tracé d’une courbe de déclin fort longue et passablement sinueuse. Quelques observations très simples permettront du moins d’indiquer un des chemins où la recherche se</w:t>
      </w:r>
      <w:r w:rsidRPr="000F765B">
        <w:rPr>
          <w:lang w:eastAsia="fr-FR" w:bidi="fr-FR"/>
        </w:rPr>
        <w:t>m</w:t>
      </w:r>
      <w:r w:rsidRPr="000F765B">
        <w:rPr>
          <w:lang w:eastAsia="fr-FR" w:bidi="fr-FR"/>
        </w:rPr>
        <w:t>ble devoir s’engager. La main-d’œuvre servile</w:t>
      </w:r>
      <w:r>
        <w:rPr>
          <w:lang w:eastAsia="fr-FR" w:bidi="fr-FR"/>
        </w:rPr>
        <w:t> — </w:t>
      </w:r>
      <w:r w:rsidRPr="000F765B">
        <w:rPr>
          <w:lang w:eastAsia="fr-FR" w:bidi="fr-FR"/>
        </w:rPr>
        <w:t>les Anciens l’avaient parfaitement noté</w:t>
      </w:r>
      <w:r>
        <w:rPr>
          <w:lang w:eastAsia="fr-FR" w:bidi="fr-FR"/>
        </w:rPr>
        <w:t> — </w:t>
      </w:r>
      <w:r w:rsidRPr="000F765B">
        <w:rPr>
          <w:lang w:eastAsia="fr-FR" w:bidi="fr-FR"/>
        </w:rPr>
        <w:t>n’a qu’un rendement presque toujours des plus faibles ;</w:t>
      </w:r>
      <w:r>
        <w:t xml:space="preserve"> [831] </w:t>
      </w:r>
      <w:r w:rsidRPr="000F765B">
        <w:rPr>
          <w:lang w:eastAsia="fr-FR" w:bidi="fr-FR"/>
        </w:rPr>
        <w:t>il lui faut beaucoup de bras pour abattre relat</w:t>
      </w:r>
      <w:r w:rsidRPr="000F765B">
        <w:rPr>
          <w:lang w:eastAsia="fr-FR" w:bidi="fr-FR"/>
        </w:rPr>
        <w:t>i</w:t>
      </w:r>
      <w:r w:rsidRPr="000F765B">
        <w:rPr>
          <w:lang w:eastAsia="fr-FR" w:bidi="fr-FR"/>
        </w:rPr>
        <w:t>vement peu de bes</w:t>
      </w:r>
      <w:r w:rsidRPr="000F765B">
        <w:rPr>
          <w:lang w:eastAsia="fr-FR" w:bidi="fr-FR"/>
        </w:rPr>
        <w:t>o</w:t>
      </w:r>
      <w:r w:rsidRPr="000F765B">
        <w:rPr>
          <w:lang w:eastAsia="fr-FR" w:bidi="fr-FR"/>
        </w:rPr>
        <w:t>gne. Capital, par suite, d’un rapport médiocre</w:t>
      </w:r>
      <w:r>
        <w:rPr>
          <w:lang w:eastAsia="fr-FR" w:bidi="fr-FR"/>
        </w:rPr>
        <w:t> — </w:t>
      </w:r>
      <w:r w:rsidRPr="000F765B">
        <w:rPr>
          <w:lang w:eastAsia="fr-FR" w:bidi="fr-FR"/>
        </w:rPr>
        <w:t>d’autant que du pr</w:t>
      </w:r>
      <w:r w:rsidRPr="000F765B">
        <w:rPr>
          <w:lang w:eastAsia="fr-FR" w:bidi="fr-FR"/>
        </w:rPr>
        <w:t>o</w:t>
      </w:r>
      <w:r w:rsidRPr="000F765B">
        <w:rPr>
          <w:lang w:eastAsia="fr-FR" w:bidi="fr-FR"/>
        </w:rPr>
        <w:t>duit de son travail les frais d’entretien doivent être déduits —, l’esclave, en outre, est un capital fragile dont le renouve</w:t>
      </w:r>
      <w:r w:rsidRPr="000F765B">
        <w:rPr>
          <w:lang w:eastAsia="fr-FR" w:bidi="fr-FR"/>
        </w:rPr>
        <w:t>l</w:t>
      </w:r>
      <w:r w:rsidRPr="000F765B">
        <w:rPr>
          <w:lang w:eastAsia="fr-FR" w:bidi="fr-FR"/>
        </w:rPr>
        <w:t>lement s’impose fréquemment. Or, à assurer cette relève, les naissa</w:t>
      </w:r>
      <w:r w:rsidRPr="000F765B">
        <w:rPr>
          <w:lang w:eastAsia="fr-FR" w:bidi="fr-FR"/>
        </w:rPr>
        <w:t>n</w:t>
      </w:r>
      <w:r w:rsidRPr="000F765B">
        <w:rPr>
          <w:lang w:eastAsia="fr-FR" w:bidi="fr-FR"/>
        </w:rPr>
        <w:t>ces dans le personnel même du domaine presque jamais ne suffisent. L’expérience le prouve : de tous les élevages celui du cheptel humain est un des plus difficiles. Pour être rentable, l’esclavage, pratiqué s</w:t>
      </w:r>
      <w:r w:rsidRPr="000F765B">
        <w:rPr>
          <w:lang w:eastAsia="fr-FR" w:bidi="fr-FR"/>
        </w:rPr>
        <w:t>e</w:t>
      </w:r>
      <w:r w:rsidRPr="000F765B">
        <w:rPr>
          <w:lang w:eastAsia="fr-FR" w:bidi="fr-FR"/>
        </w:rPr>
        <w:t xml:space="preserve">lon les méthodes de la grande entreprise, suppose donc la présence, sur les marchés, d’une chair fraîche abondante et à bas prix. Comment se la procurer, sinon par la guerre ou la razzia ? L’esclave n’a-t-il pas toujours été, avant tout, un captif ? Une société, en d’autres termes, ne saurait guère fonder largement son économie sur la domestication de l’homme que si elle trouve à sa portée des sociétés plus débiles, qu’elle combat ou qu’elle pille. Ainsi, du </w:t>
      </w:r>
      <w:r w:rsidRPr="00D86209">
        <w:rPr>
          <w:caps/>
          <w:lang w:eastAsia="fr-FR" w:bidi="fr-FR"/>
        </w:rPr>
        <w:t>xvi</w:t>
      </w:r>
      <w:r w:rsidRPr="000F765B">
        <w:rPr>
          <w:vertAlign w:val="superscript"/>
          <w:lang w:eastAsia="fr-FR" w:bidi="fr-FR"/>
        </w:rPr>
        <w:t>e</w:t>
      </w:r>
      <w:r w:rsidRPr="000F765B">
        <w:rPr>
          <w:lang w:eastAsia="fr-FR" w:bidi="fr-FR"/>
        </w:rPr>
        <w:t xml:space="preserve"> au </w:t>
      </w:r>
      <w:r w:rsidRPr="00D86209">
        <w:rPr>
          <w:caps/>
          <w:lang w:eastAsia="fr-FR" w:bidi="fr-FR"/>
        </w:rPr>
        <w:t>xix</w:t>
      </w:r>
      <w:r w:rsidRPr="000F765B">
        <w:rPr>
          <w:vertAlign w:val="superscript"/>
          <w:lang w:eastAsia="fr-FR" w:bidi="fr-FR"/>
        </w:rPr>
        <w:t>e</w:t>
      </w:r>
      <w:r w:rsidRPr="000F765B">
        <w:rPr>
          <w:lang w:eastAsia="fr-FR" w:bidi="fr-FR"/>
        </w:rPr>
        <w:t xml:space="preserve"> siècle, l’Europe coloniale en face de l’Afrique noire ; aujourd’hui ou hier, l’Abyssinie entourée de tribus primitives et mal armées ; jadis, l’Empire romain. La décadence militaire de Rome, sous les coups r</w:t>
      </w:r>
      <w:r w:rsidRPr="000F765B">
        <w:rPr>
          <w:lang w:eastAsia="fr-FR" w:bidi="fr-FR"/>
        </w:rPr>
        <w:t>é</w:t>
      </w:r>
      <w:r w:rsidRPr="000F765B">
        <w:rPr>
          <w:lang w:eastAsia="fr-FR" w:bidi="fr-FR"/>
        </w:rPr>
        <w:t xml:space="preserve">pétés des Perses et des Barbares, fut une des causes les plus agissantes de la décadence du système servile, au crépuscule des civilisations classiques. Quant au Moyen </w:t>
      </w:r>
      <w:r>
        <w:rPr>
          <w:lang w:eastAsia="fr-FR" w:bidi="fr-FR"/>
        </w:rPr>
        <w:t>Â</w:t>
      </w:r>
      <w:r w:rsidRPr="000F765B">
        <w:rPr>
          <w:lang w:eastAsia="fr-FR" w:bidi="fr-FR"/>
        </w:rPr>
        <w:t xml:space="preserve">ge occidental, il a assurément beaucoup guerroyé. Mais c’étaient, surtout, des luttes intérieures. Or, ici, une </w:t>
      </w:r>
      <w:r w:rsidRPr="000F765B">
        <w:rPr>
          <w:lang w:eastAsia="fr-FR" w:bidi="fr-FR"/>
        </w:rPr>
        <w:lastRenderedPageBreak/>
        <w:t xml:space="preserve">idée religieuse intervenait. L’Église ne condamnait pas l’esclavage, en lui-même. Seulement, ayant calqué sur la vieille notion de la cité l’idée de </w:t>
      </w:r>
      <w:r w:rsidRPr="00D86209">
        <w:rPr>
          <w:i/>
        </w:rPr>
        <w:t>societas christiana</w:t>
      </w:r>
      <w:r w:rsidRPr="000F765B">
        <w:rPr>
          <w:lang w:eastAsia="fr-FR" w:bidi="fr-FR"/>
        </w:rPr>
        <w:t>, elle tenait tous les chrétiens</w:t>
      </w:r>
      <w:r>
        <w:rPr>
          <w:lang w:eastAsia="fr-FR" w:bidi="fr-FR"/>
        </w:rPr>
        <w:t> — </w:t>
      </w:r>
      <w:r w:rsidRPr="000F765B">
        <w:rPr>
          <w:lang w:eastAsia="fr-FR" w:bidi="fr-FR"/>
        </w:rPr>
        <w:t>ou, plus exactement, tous les catholiques</w:t>
      </w:r>
      <w:r>
        <w:rPr>
          <w:lang w:eastAsia="fr-FR" w:bidi="fr-FR"/>
        </w:rPr>
        <w:t> — </w:t>
      </w:r>
      <w:r w:rsidRPr="000F765B">
        <w:rPr>
          <w:lang w:eastAsia="fr-FR" w:bidi="fr-FR"/>
        </w:rPr>
        <w:t>pour compatriotes. Elle n’admettait donc point que, parmi eux, la guerre fît des esclaves. Ainsi s’explique, pour l’essentiel, que, les masses serviles d’autrefois s’étant progressivement éteintes par la transformation des esclaves en tena</w:t>
      </w:r>
      <w:r w:rsidRPr="000F765B">
        <w:rPr>
          <w:lang w:eastAsia="fr-FR" w:bidi="fr-FR"/>
        </w:rPr>
        <w:t>n</w:t>
      </w:r>
      <w:r w:rsidRPr="000F765B">
        <w:rPr>
          <w:lang w:eastAsia="fr-FR" w:bidi="fr-FR"/>
        </w:rPr>
        <w:t>ciers et aucun afflux nouveau n’étant venu compenser cette hémorr</w:t>
      </w:r>
      <w:r w:rsidRPr="000F765B">
        <w:rPr>
          <w:lang w:eastAsia="fr-FR" w:bidi="fr-FR"/>
        </w:rPr>
        <w:t>a</w:t>
      </w:r>
      <w:r w:rsidRPr="000F765B">
        <w:rPr>
          <w:lang w:eastAsia="fr-FR" w:bidi="fr-FR"/>
        </w:rPr>
        <w:t xml:space="preserve">gie, le vieux mot de </w:t>
      </w:r>
      <w:r w:rsidRPr="00D86209">
        <w:rPr>
          <w:i/>
        </w:rPr>
        <w:t>servus</w:t>
      </w:r>
      <w:r w:rsidRPr="000F765B">
        <w:rPr>
          <w:lang w:eastAsia="fr-FR" w:bidi="fr-FR"/>
        </w:rPr>
        <w:t xml:space="preserve"> ait pu être utilisé pour désigner des rel</w:t>
      </w:r>
      <w:r w:rsidRPr="000F765B">
        <w:rPr>
          <w:lang w:eastAsia="fr-FR" w:bidi="fr-FR"/>
        </w:rPr>
        <w:t>a</w:t>
      </w:r>
      <w:r w:rsidRPr="000F765B">
        <w:rPr>
          <w:lang w:eastAsia="fr-FR" w:bidi="fr-FR"/>
        </w:rPr>
        <w:t>tions de dépendance bien différentes ; que, par ailleurs, la servitude selon le modèle antique n’ait survécu ou réapparu, sous un nom tout neuf, que là où les terres infidèles étaient, soit toutes proches, soit, par le commerce, d’accès aisé.</w:t>
      </w:r>
    </w:p>
    <w:p w14:paraId="45E3CCF3" w14:textId="77777777" w:rsidR="00B9662D" w:rsidRPr="000F765B" w:rsidRDefault="00B9662D" w:rsidP="00B9662D">
      <w:pPr>
        <w:spacing w:before="120" w:after="120"/>
        <w:jc w:val="both"/>
      </w:pPr>
      <w:r w:rsidRPr="000F765B">
        <w:rPr>
          <w:lang w:eastAsia="fr-FR" w:bidi="fr-FR"/>
        </w:rPr>
        <w:t xml:space="preserve">N’eussent-elles servi qu’à rappeler ainsi notre attention sur ce grand contraste des civilisations pourvues ou dépourvues d’esclaves, les conjectures de M. Lefebvre des Noëttes conserveraient leur prix. Car le problème est de ceux que l’histoire du Moyen </w:t>
      </w:r>
      <w:r>
        <w:rPr>
          <w:lang w:eastAsia="fr-FR" w:bidi="fr-FR"/>
        </w:rPr>
        <w:t>Â</w:t>
      </w:r>
      <w:r w:rsidRPr="000F765B">
        <w:rPr>
          <w:lang w:eastAsia="fr-FR" w:bidi="fr-FR"/>
        </w:rPr>
        <w:t>ge, en partic</w:t>
      </w:r>
      <w:r w:rsidRPr="000F765B">
        <w:rPr>
          <w:lang w:eastAsia="fr-FR" w:bidi="fr-FR"/>
        </w:rPr>
        <w:t>u</w:t>
      </w:r>
      <w:r w:rsidRPr="000F765B">
        <w:rPr>
          <w:lang w:eastAsia="fr-FR" w:bidi="fr-FR"/>
        </w:rPr>
        <w:t>lier, a trop longtemps passés sous silence. Mais il y a plus. Dans le rapport causal que cette thèse hardie nous proposait d’établir entre des phénomènes en apparence très éloignés</w:t>
      </w:r>
      <w:r>
        <w:rPr>
          <w:lang w:eastAsia="fr-FR" w:bidi="fr-FR"/>
        </w:rPr>
        <w:t> — </w:t>
      </w:r>
      <w:r w:rsidRPr="000F765B">
        <w:rPr>
          <w:lang w:eastAsia="fr-FR" w:bidi="fr-FR"/>
        </w:rPr>
        <w:t>l’invention d’un collier d’attelage, la disparition de la plus cruelle dépendance humaine,</w:t>
      </w:r>
      <w:r>
        <w:rPr>
          <w:lang w:eastAsia="fr-FR" w:bidi="fr-FR"/>
        </w:rPr>
        <w:t> — </w:t>
      </w:r>
      <w:r w:rsidRPr="000F765B">
        <w:rPr>
          <w:lang w:eastAsia="fr-FR" w:bidi="fr-FR"/>
        </w:rPr>
        <w:t>il semble bien que le principe même de la liaison doive être retenu. D</w:t>
      </w:r>
      <w:r w:rsidRPr="000F765B">
        <w:rPr>
          <w:lang w:eastAsia="fr-FR" w:bidi="fr-FR"/>
        </w:rPr>
        <w:t>i</w:t>
      </w:r>
      <w:r w:rsidRPr="000F765B">
        <w:rPr>
          <w:lang w:eastAsia="fr-FR" w:bidi="fr-FR"/>
        </w:rPr>
        <w:t>sons mieux : élargi. Seulement, c’est en renversant l’ordre de ses te</w:t>
      </w:r>
      <w:r w:rsidRPr="000F765B">
        <w:rPr>
          <w:lang w:eastAsia="fr-FR" w:bidi="fr-FR"/>
        </w:rPr>
        <w:t>r</w:t>
      </w:r>
      <w:r w:rsidRPr="000F765B">
        <w:rPr>
          <w:lang w:eastAsia="fr-FR" w:bidi="fr-FR"/>
        </w:rPr>
        <w:t>mes.</w:t>
      </w:r>
    </w:p>
    <w:p w14:paraId="4F3A54CD" w14:textId="77777777" w:rsidR="00B9662D" w:rsidRDefault="00B9662D" w:rsidP="00B9662D">
      <w:pPr>
        <w:spacing w:before="120" w:after="120"/>
        <w:jc w:val="both"/>
        <w:rPr>
          <w:lang w:eastAsia="fr-FR" w:bidi="fr-FR"/>
        </w:rPr>
      </w:pPr>
      <w:r w:rsidRPr="000F765B">
        <w:rPr>
          <w:lang w:eastAsia="fr-FR" w:bidi="fr-FR"/>
        </w:rPr>
        <w:t>Prétendre ramener à une idée directrice unique toutes les acquis</w:t>
      </w:r>
      <w:r w:rsidRPr="000F765B">
        <w:rPr>
          <w:lang w:eastAsia="fr-FR" w:bidi="fr-FR"/>
        </w:rPr>
        <w:t>i</w:t>
      </w:r>
      <w:r w:rsidRPr="000F765B">
        <w:rPr>
          <w:lang w:eastAsia="fr-FR" w:bidi="fr-FR"/>
        </w:rPr>
        <w:t>tions de l’outillage médiéval serait assurément puéril. Comment ne pas voir, cependant, qu’un trait commun rapproche plusieurs au moins d’entre elles et non des moins importantes ? Moulins mus par l’eau ou le vent, moulins à grains, à tan, à foulons, scieries hydrauliques, ma</w:t>
      </w:r>
      <w:r w:rsidRPr="000F765B">
        <w:rPr>
          <w:lang w:eastAsia="fr-FR" w:bidi="fr-FR"/>
        </w:rPr>
        <w:t>r</w:t>
      </w:r>
      <w:r w:rsidRPr="000F765B">
        <w:rPr>
          <w:lang w:eastAsia="fr-FR" w:bidi="fr-FR"/>
        </w:rPr>
        <w:t>tinets de forges, collier d’épaules, ferrures des bêtes de somme, attel</w:t>
      </w:r>
      <w:r w:rsidRPr="000F765B">
        <w:rPr>
          <w:lang w:eastAsia="fr-FR" w:bidi="fr-FR"/>
        </w:rPr>
        <w:t>a</w:t>
      </w:r>
      <w:r>
        <w:rPr>
          <w:lang w:eastAsia="fr-FR" w:bidi="fr-FR"/>
        </w:rPr>
        <w:t xml:space="preserve">ge en file, </w:t>
      </w:r>
      <w:r>
        <w:t xml:space="preserve">[832] </w:t>
      </w:r>
      <w:r w:rsidRPr="000F765B">
        <w:rPr>
          <w:lang w:eastAsia="fr-FR" w:bidi="fr-FR"/>
        </w:rPr>
        <w:t>rouet même : autant de progrès qui, uniformément, aboutissaient à une utilisation plus efficace des forces naturelles, in</w:t>
      </w:r>
      <w:r w:rsidRPr="000F765B">
        <w:rPr>
          <w:lang w:eastAsia="fr-FR" w:bidi="fr-FR"/>
        </w:rPr>
        <w:t>a</w:t>
      </w:r>
      <w:r w:rsidRPr="000F765B">
        <w:rPr>
          <w:lang w:eastAsia="fr-FR" w:bidi="fr-FR"/>
        </w:rPr>
        <w:t>nimées ou non ; par suite à épargner le travail humain ou, ce qui r</w:t>
      </w:r>
      <w:r w:rsidRPr="000F765B">
        <w:rPr>
          <w:lang w:eastAsia="fr-FR" w:bidi="fr-FR"/>
        </w:rPr>
        <w:t>e</w:t>
      </w:r>
      <w:r w:rsidRPr="000F765B">
        <w:rPr>
          <w:lang w:eastAsia="fr-FR" w:bidi="fr-FR"/>
        </w:rPr>
        <w:t>vient à peu près au même, à lui assurer un meilleur rendement. Pou</w:t>
      </w:r>
      <w:r w:rsidRPr="000F765B">
        <w:rPr>
          <w:lang w:eastAsia="fr-FR" w:bidi="fr-FR"/>
        </w:rPr>
        <w:t>r</w:t>
      </w:r>
      <w:r w:rsidRPr="000F765B">
        <w:rPr>
          <w:lang w:eastAsia="fr-FR" w:bidi="fr-FR"/>
        </w:rPr>
        <w:t>quoi ? Parce qu’il y avait moins d’hommes peut-être. Mais surtout parce que le maître avait moins d’esclaves. Voyez l’histoire du mo</w:t>
      </w:r>
      <w:r w:rsidRPr="000F765B">
        <w:rPr>
          <w:lang w:eastAsia="fr-FR" w:bidi="fr-FR"/>
        </w:rPr>
        <w:t>u</w:t>
      </w:r>
      <w:r w:rsidRPr="000F765B">
        <w:rPr>
          <w:lang w:eastAsia="fr-FR" w:bidi="fr-FR"/>
        </w:rPr>
        <w:t>lin, si parfaitement probante. La propagation de cette admirable m</w:t>
      </w:r>
      <w:r w:rsidRPr="000F765B">
        <w:rPr>
          <w:lang w:eastAsia="fr-FR" w:bidi="fr-FR"/>
        </w:rPr>
        <w:t>a</w:t>
      </w:r>
      <w:r w:rsidRPr="000F765B">
        <w:rPr>
          <w:lang w:eastAsia="fr-FR" w:bidi="fr-FR"/>
        </w:rPr>
        <w:t>chine ne fut certain</w:t>
      </w:r>
      <w:r w:rsidRPr="000F765B">
        <w:rPr>
          <w:lang w:eastAsia="fr-FR" w:bidi="fr-FR"/>
        </w:rPr>
        <w:t>e</w:t>
      </w:r>
      <w:r w:rsidRPr="000F765B">
        <w:rPr>
          <w:lang w:eastAsia="fr-FR" w:bidi="fr-FR"/>
        </w:rPr>
        <w:t xml:space="preserve">ment pas, comme a semblé le croire M. Lefebvre </w:t>
      </w:r>
      <w:r w:rsidRPr="000F765B">
        <w:rPr>
          <w:lang w:eastAsia="fr-FR" w:bidi="fr-FR"/>
        </w:rPr>
        <w:lastRenderedPageBreak/>
        <w:t>des Noëttes, un effet du perfectionnement de l’attelage ; les dates s’y opposent, de la façon la plus formelle. Meilleur emploi du moteur animal, appel aux servi</w:t>
      </w:r>
      <w:r w:rsidRPr="000F765B">
        <w:rPr>
          <w:lang w:eastAsia="fr-FR" w:bidi="fr-FR"/>
        </w:rPr>
        <w:t>a</w:t>
      </w:r>
      <w:r w:rsidRPr="000F765B">
        <w:rPr>
          <w:lang w:eastAsia="fr-FR" w:bidi="fr-FR"/>
        </w:rPr>
        <w:t>bles énergies de l’eau : ces deux épisodes se sont, au contraire, déro</w:t>
      </w:r>
      <w:r w:rsidRPr="000F765B">
        <w:rPr>
          <w:lang w:eastAsia="fr-FR" w:bidi="fr-FR"/>
        </w:rPr>
        <w:t>u</w:t>
      </w:r>
      <w:r w:rsidRPr="000F765B">
        <w:rPr>
          <w:lang w:eastAsia="fr-FR" w:bidi="fr-FR"/>
        </w:rPr>
        <w:t>lés parallèlement. C’est qu’ils prenaient leur origine dans le même besoin. Un résultat, en d’autres termes, le déclin de l’esclavage ? Non pas. Une cause, beaucoup plutôt, dont la révol</w:t>
      </w:r>
      <w:r w:rsidRPr="000F765B">
        <w:rPr>
          <w:lang w:eastAsia="fr-FR" w:bidi="fr-FR"/>
        </w:rPr>
        <w:t>u</w:t>
      </w:r>
      <w:r w:rsidRPr="000F765B">
        <w:rPr>
          <w:lang w:eastAsia="fr-FR" w:bidi="fr-FR"/>
        </w:rPr>
        <w:t>tion technique fut l’effet, voué à son tour</w:t>
      </w:r>
      <w:r>
        <w:rPr>
          <w:lang w:eastAsia="fr-FR" w:bidi="fr-FR"/>
        </w:rPr>
        <w:t> — </w:t>
      </w:r>
      <w:r w:rsidRPr="000F765B">
        <w:rPr>
          <w:lang w:eastAsia="fr-FR" w:bidi="fr-FR"/>
        </w:rPr>
        <w:t>il est presque superflu de le dire</w:t>
      </w:r>
      <w:r>
        <w:rPr>
          <w:lang w:eastAsia="fr-FR" w:bidi="fr-FR"/>
        </w:rPr>
        <w:t> — </w:t>
      </w:r>
      <w:r w:rsidRPr="000F765B">
        <w:rPr>
          <w:lang w:eastAsia="fr-FR" w:bidi="fr-FR"/>
        </w:rPr>
        <w:t>à réagir puissamment sur la structure sociale. Du moins est-ce là une hypoth</w:t>
      </w:r>
      <w:r w:rsidRPr="000F765B">
        <w:rPr>
          <w:lang w:eastAsia="fr-FR" w:bidi="fr-FR"/>
        </w:rPr>
        <w:t>è</w:t>
      </w:r>
      <w:r w:rsidRPr="000F765B">
        <w:rPr>
          <w:lang w:eastAsia="fr-FR" w:bidi="fr-FR"/>
        </w:rPr>
        <w:t>se de travail. Rien de plus, sans doute, pour l’instant, Dut-elle, en cours de route, perdre beaucoup de sa simplicité premi</w:t>
      </w:r>
      <w:r w:rsidRPr="000F765B">
        <w:rPr>
          <w:lang w:eastAsia="fr-FR" w:bidi="fr-FR"/>
        </w:rPr>
        <w:t>è</w:t>
      </w:r>
      <w:r w:rsidRPr="000F765B">
        <w:rPr>
          <w:lang w:eastAsia="fr-FR" w:bidi="fr-FR"/>
        </w:rPr>
        <w:t>re, il suffit, pour qu’on ose la proposer, de pouvoir l’espérer féconde</w:t>
      </w:r>
      <w:r>
        <w:rPr>
          <w:lang w:eastAsia="fr-FR" w:bidi="fr-FR"/>
        </w:rPr>
        <w:t> </w:t>
      </w:r>
      <w:r>
        <w:rPr>
          <w:rStyle w:val="Appelnotedebasdep"/>
        </w:rPr>
        <w:footnoteReference w:id="831"/>
      </w:r>
      <w:r w:rsidRPr="000F765B">
        <w:rPr>
          <w:lang w:eastAsia="fr-FR" w:bidi="fr-FR"/>
        </w:rPr>
        <w:t>.</w:t>
      </w:r>
    </w:p>
    <w:p w14:paraId="0BD4241A" w14:textId="77777777" w:rsidR="00B9662D" w:rsidRDefault="00B9662D" w:rsidP="00B9662D">
      <w:pPr>
        <w:pStyle w:val="p"/>
      </w:pPr>
      <w:r w:rsidRPr="000F765B">
        <w:br w:type="page"/>
      </w:r>
      <w:r>
        <w:lastRenderedPageBreak/>
        <w:t>[833]</w:t>
      </w:r>
    </w:p>
    <w:p w14:paraId="6479B4F0" w14:textId="77777777" w:rsidR="00B9662D" w:rsidRDefault="00B9662D" w:rsidP="00B9662D">
      <w:pPr>
        <w:jc w:val="both"/>
      </w:pPr>
    </w:p>
    <w:p w14:paraId="2C1F3D92" w14:textId="77777777" w:rsidR="00B9662D" w:rsidRDefault="00B9662D" w:rsidP="00B9662D">
      <w:pPr>
        <w:jc w:val="both"/>
      </w:pPr>
    </w:p>
    <w:p w14:paraId="4589D079" w14:textId="77777777" w:rsidR="00B9662D" w:rsidRPr="00E07116" w:rsidRDefault="00B9662D" w:rsidP="00B9662D">
      <w:pPr>
        <w:jc w:val="both"/>
      </w:pPr>
    </w:p>
    <w:p w14:paraId="530F81E8" w14:textId="77777777" w:rsidR="00B9662D" w:rsidRPr="00F54CC7" w:rsidRDefault="00B9662D" w:rsidP="00B9662D">
      <w:pPr>
        <w:spacing w:after="120"/>
        <w:ind w:firstLine="0"/>
        <w:jc w:val="center"/>
        <w:rPr>
          <w:sz w:val="24"/>
        </w:rPr>
      </w:pPr>
      <w:bookmarkStart w:id="41" w:name="Melanges_t2_pt_8_chap_IV"/>
      <w:r>
        <w:rPr>
          <w:b/>
          <w:sz w:val="24"/>
        </w:rPr>
        <w:t>Mélanges historiques.</w:t>
      </w:r>
      <w:r>
        <w:rPr>
          <w:b/>
          <w:sz w:val="24"/>
        </w:rPr>
        <w:br/>
      </w:r>
      <w:r w:rsidRPr="000D320C">
        <w:rPr>
          <w:color w:val="FF0000"/>
          <w:sz w:val="24"/>
        </w:rPr>
        <w:t>Tome I</w:t>
      </w:r>
      <w:r>
        <w:rPr>
          <w:color w:val="FF0000"/>
          <w:sz w:val="24"/>
        </w:rPr>
        <w:t>I</w:t>
      </w:r>
      <w:r w:rsidRPr="000D320C">
        <w:rPr>
          <w:sz w:val="24"/>
        </w:rPr>
        <w:t>.</w:t>
      </w:r>
    </w:p>
    <w:p w14:paraId="14F773DB"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7424527A" w14:textId="77777777" w:rsidR="00B9662D" w:rsidRPr="00384B20" w:rsidRDefault="00B9662D" w:rsidP="00B9662D">
      <w:pPr>
        <w:pStyle w:val="Titreniveau1"/>
      </w:pPr>
      <w:r w:rsidRPr="00384B20">
        <w:t>Chapitre I</w:t>
      </w:r>
      <w:r>
        <w:t>V</w:t>
      </w:r>
    </w:p>
    <w:p w14:paraId="307CFBD2" w14:textId="77777777" w:rsidR="00B9662D" w:rsidRPr="00E07116" w:rsidRDefault="00B9662D" w:rsidP="00B9662D">
      <w:pPr>
        <w:jc w:val="both"/>
        <w:rPr>
          <w:szCs w:val="36"/>
        </w:rPr>
      </w:pPr>
    </w:p>
    <w:p w14:paraId="45D5778A" w14:textId="77777777" w:rsidR="00B9662D" w:rsidRPr="00E07116" w:rsidRDefault="00B9662D" w:rsidP="00B9662D">
      <w:pPr>
        <w:pStyle w:val="Titreniveau2"/>
      </w:pPr>
      <w:r>
        <w:t>technique</w:t>
      </w:r>
      <w:r>
        <w:br/>
        <w:t>et évolution s</w:t>
      </w:r>
      <w:r>
        <w:t>o</w:t>
      </w:r>
      <w:r>
        <w:t>ciale :</w:t>
      </w:r>
      <w:r>
        <w:br/>
        <w:t>réflexions d’un historien </w:t>
      </w:r>
      <w:r>
        <w:rPr>
          <w:rStyle w:val="Appelnotedebasdep"/>
        </w:rPr>
        <w:footnoteReference w:id="832"/>
      </w:r>
    </w:p>
    <w:bookmarkEnd w:id="41"/>
    <w:p w14:paraId="2957B137" w14:textId="77777777" w:rsidR="00B9662D" w:rsidRDefault="00B9662D" w:rsidP="00B9662D">
      <w:pPr>
        <w:jc w:val="both"/>
        <w:rPr>
          <w:szCs w:val="36"/>
        </w:rPr>
      </w:pPr>
    </w:p>
    <w:p w14:paraId="24365AC8" w14:textId="77777777" w:rsidR="00B9662D" w:rsidRPr="00246AE4" w:rsidRDefault="00B9662D" w:rsidP="00B9662D">
      <w:pPr>
        <w:pStyle w:val="planche"/>
      </w:pPr>
      <w:r w:rsidRPr="00246AE4">
        <w:t>I</w:t>
      </w:r>
    </w:p>
    <w:p w14:paraId="54456F4A" w14:textId="77777777" w:rsidR="00B9662D" w:rsidRDefault="00B9662D" w:rsidP="00B9662D">
      <w:pPr>
        <w:spacing w:before="120" w:after="120"/>
        <w:jc w:val="both"/>
        <w:rPr>
          <w:color w:val="000000"/>
          <w:lang w:eastAsia="fr-FR" w:bidi="fr-FR"/>
        </w:rPr>
      </w:pPr>
    </w:p>
    <w:p w14:paraId="06CB5269" w14:textId="77777777" w:rsidR="00B9662D" w:rsidRDefault="00B9662D" w:rsidP="00B9662D">
      <w:pPr>
        <w:spacing w:before="120" w:after="120"/>
        <w:jc w:val="both"/>
        <w:rPr>
          <w:color w:val="000000"/>
          <w:lang w:eastAsia="fr-FR" w:bidi="fr-FR"/>
        </w:rPr>
      </w:pPr>
    </w:p>
    <w:p w14:paraId="41254888"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E5C60B2" w14:textId="77777777" w:rsidR="00B9662D" w:rsidRPr="000F765B" w:rsidRDefault="00B9662D" w:rsidP="00B9662D">
      <w:pPr>
        <w:spacing w:before="120" w:after="120"/>
        <w:jc w:val="both"/>
      </w:pPr>
      <w:r w:rsidRPr="000F765B">
        <w:rPr>
          <w:lang w:eastAsia="fr-FR" w:bidi="fr-FR"/>
        </w:rPr>
        <w:t xml:space="preserve">La machine reine ; le machinisme tyran : à entendre ce </w:t>
      </w:r>
      <w:r w:rsidRPr="00E46E89">
        <w:rPr>
          <w:i/>
        </w:rPr>
        <w:t>lamento</w:t>
      </w:r>
      <w:r w:rsidRPr="000F765B">
        <w:t xml:space="preserve">, </w:t>
      </w:r>
      <w:r w:rsidRPr="000F765B">
        <w:rPr>
          <w:lang w:eastAsia="fr-FR" w:bidi="fr-FR"/>
        </w:rPr>
        <w:t>modulé aujourd’hui par tant de voix dont beaucoup ne nous avaient pas habitués à un si candide idéalisme, il semblerait que l’empire de la technique sur les destinées humaines ait attendu, pour se manifester, la chaudière à vapeur ou la dynamo. L’illusion pourtant serait lourde d’imaginer en l’outil, naguère, un maître moins impérieux. L’esclave qui broyait le grain ou tournait la meule, croira-t-on sa vie moins étroitement rythmée et commandée par ses misérables instruments que, dans nos usines, par la chaîn</w:t>
      </w:r>
      <w:r>
        <w:rPr>
          <w:lang w:eastAsia="fr-FR" w:bidi="fr-FR"/>
        </w:rPr>
        <w:t>e, celle du salarié ? Que la T.S.</w:t>
      </w:r>
      <w:r w:rsidRPr="000F765B">
        <w:rPr>
          <w:lang w:eastAsia="fr-FR" w:bidi="fr-FR"/>
        </w:rPr>
        <w:t>F., autour de nous, travaille à remodeler puissamment les conditions de la mentalité commune, voire de la vie publique, d’accord. En fut-il a</w:t>
      </w:r>
      <w:r w:rsidRPr="000F765B">
        <w:rPr>
          <w:lang w:eastAsia="fr-FR" w:bidi="fr-FR"/>
        </w:rPr>
        <w:t>u</w:t>
      </w:r>
      <w:r w:rsidRPr="000F765B">
        <w:rPr>
          <w:lang w:eastAsia="fr-FR" w:bidi="fr-FR"/>
        </w:rPr>
        <w:t>trement, voici quelques siècles, de l’usage du papier, sans lequel n’eussent été possibles ni le livre, ni la plaquette du pamphlétaire, ni, plus tard, la gazette ?</w:t>
      </w:r>
    </w:p>
    <w:p w14:paraId="48F67DF5" w14:textId="77777777" w:rsidR="00B9662D" w:rsidRPr="000F765B" w:rsidRDefault="00B9662D" w:rsidP="00B9662D">
      <w:pPr>
        <w:spacing w:before="120" w:after="120"/>
        <w:jc w:val="both"/>
      </w:pPr>
      <w:r w:rsidRPr="000F765B">
        <w:rPr>
          <w:lang w:eastAsia="fr-FR" w:bidi="fr-FR"/>
        </w:rPr>
        <w:lastRenderedPageBreak/>
        <w:t>On n’en saurait douter, néanmoins : l’histoire, telle qu’elle s’écrit et s’enseigne couramment, ne nous a pas accoutumés à accorder à ces faits d’outillage, dans le passé, la place que la plus superficielle o</w:t>
      </w:r>
      <w:r w:rsidRPr="000F765B">
        <w:rPr>
          <w:lang w:eastAsia="fr-FR" w:bidi="fr-FR"/>
        </w:rPr>
        <w:t>b</w:t>
      </w:r>
      <w:r w:rsidRPr="000F765B">
        <w:rPr>
          <w:lang w:eastAsia="fr-FR" w:bidi="fr-FR"/>
        </w:rPr>
        <w:t>servation du présent conduit à leur reconnaître. Par la faute des hist</w:t>
      </w:r>
      <w:r w:rsidRPr="000F765B">
        <w:rPr>
          <w:lang w:eastAsia="fr-FR" w:bidi="fr-FR"/>
        </w:rPr>
        <w:t>o</w:t>
      </w:r>
      <w:r w:rsidRPr="000F765B">
        <w:rPr>
          <w:lang w:eastAsia="fr-FR" w:bidi="fr-FR"/>
        </w:rPr>
        <w:t>riens ? Peut-être, du moins en partie. Tout métier a ses déformations professionnelles : je ne pense pas attenter à l’honneur d’une corpor</w:t>
      </w:r>
      <w:r w:rsidRPr="000F765B">
        <w:rPr>
          <w:lang w:eastAsia="fr-FR" w:bidi="fr-FR"/>
        </w:rPr>
        <w:t>a</w:t>
      </w:r>
      <w:r w:rsidRPr="000F765B">
        <w:rPr>
          <w:lang w:eastAsia="fr-FR" w:bidi="fr-FR"/>
        </w:rPr>
        <w:t>tion à laquelle je suis fier d’appartenir en confessant que nos yeux, exercés à lire, sont généralement moins bien entraînés à regarder et qu’adroites à tourner les feuillets des manuscrits, nos mains poss</w:t>
      </w:r>
      <w:r w:rsidRPr="000F765B">
        <w:rPr>
          <w:lang w:eastAsia="fr-FR" w:bidi="fr-FR"/>
        </w:rPr>
        <w:t>è</w:t>
      </w:r>
      <w:r w:rsidRPr="000F765B">
        <w:rPr>
          <w:lang w:eastAsia="fr-FR" w:bidi="fr-FR"/>
        </w:rPr>
        <w:t>dent, en revanche, assez rarement la divination tactile du bon mécan</w:t>
      </w:r>
      <w:r w:rsidRPr="000F765B">
        <w:rPr>
          <w:lang w:eastAsia="fr-FR" w:bidi="fr-FR"/>
        </w:rPr>
        <w:t>i</w:t>
      </w:r>
      <w:r w:rsidRPr="000F765B">
        <w:rPr>
          <w:lang w:eastAsia="fr-FR" w:bidi="fr-FR"/>
        </w:rPr>
        <w:t>cien. D’autres raisons cependant, qui sont plus respectables, tiennent à l’état des témoignages. Sur les humbles réalités de l’atelier ou du champ, les textes</w:t>
      </w:r>
      <w:r>
        <w:rPr>
          <w:lang w:eastAsia="fr-FR" w:bidi="fr-FR"/>
        </w:rPr>
        <w:t> — </w:t>
      </w:r>
      <w:r w:rsidRPr="000F765B">
        <w:rPr>
          <w:lang w:eastAsia="fr-FR" w:bidi="fr-FR"/>
        </w:rPr>
        <w:t>lors même qu’ils ne s’en désintéressent pas tout à fait</w:t>
      </w:r>
      <w:r>
        <w:rPr>
          <w:lang w:eastAsia="fr-FR" w:bidi="fr-FR"/>
        </w:rPr>
        <w:t> — </w:t>
      </w:r>
      <w:r w:rsidRPr="000F765B">
        <w:rPr>
          <w:lang w:eastAsia="fr-FR" w:bidi="fr-FR"/>
        </w:rPr>
        <w:t>renseignent mal et leur vocabulaire, souvent plus lent à changer que ne le sont les choses, accumule sous les</w:t>
      </w:r>
      <w:r>
        <w:t xml:space="preserve"> [834] </w:t>
      </w:r>
      <w:r w:rsidRPr="000F765B">
        <w:rPr>
          <w:lang w:eastAsia="fr-FR" w:bidi="fr-FR"/>
        </w:rPr>
        <w:t>pas du chercheur les chausse-trappes. Le cas n’est pas exceptionnel de notre brouette qui, caractérisée aujourd’hui par sa roue unique, continue de porter un nom dont le sens premier, parfaitement visible dans l’étymologie, était : véhicule à deux roues. Encombrée de po</w:t>
      </w:r>
      <w:r w:rsidRPr="000F765B">
        <w:rPr>
          <w:lang w:eastAsia="fr-FR" w:bidi="fr-FR"/>
        </w:rPr>
        <w:t>n</w:t>
      </w:r>
      <w:r w:rsidRPr="000F765B">
        <w:rPr>
          <w:lang w:eastAsia="fr-FR" w:bidi="fr-FR"/>
        </w:rPr>
        <w:t>cifs et de gaucheries, l’iconographie n’offre, trop fréquemment, que d’incertaines leçons. Les objets enfin, lorsque par chance ils ont été conservés, présentent des difficultés de datation parfois insurmont</w:t>
      </w:r>
      <w:r w:rsidRPr="000F765B">
        <w:rPr>
          <w:lang w:eastAsia="fr-FR" w:bidi="fr-FR"/>
        </w:rPr>
        <w:t>a</w:t>
      </w:r>
      <w:r w:rsidRPr="000F765B">
        <w:rPr>
          <w:lang w:eastAsia="fr-FR" w:bidi="fr-FR"/>
        </w:rPr>
        <w:t>bles. Là-dessus, comme sur tant d’autres points, les spécialistes rencontreraient une plus équ</w:t>
      </w:r>
      <w:r w:rsidRPr="000F765B">
        <w:rPr>
          <w:lang w:eastAsia="fr-FR" w:bidi="fr-FR"/>
        </w:rPr>
        <w:t>i</w:t>
      </w:r>
      <w:r w:rsidRPr="000F765B">
        <w:rPr>
          <w:lang w:eastAsia="fr-FR" w:bidi="fr-FR"/>
        </w:rPr>
        <w:t>table indulgence s’ils consentaient moins chichement à ouvrir au p</w:t>
      </w:r>
      <w:r w:rsidRPr="000F765B">
        <w:rPr>
          <w:lang w:eastAsia="fr-FR" w:bidi="fr-FR"/>
        </w:rPr>
        <w:t>u</w:t>
      </w:r>
      <w:r w:rsidRPr="000F765B">
        <w:rPr>
          <w:lang w:eastAsia="fr-FR" w:bidi="fr-FR"/>
        </w:rPr>
        <w:t>blic les secrets du laboratoire. Il est bon qu’on le sache : l’historien n’est pas un homme libre. Si pour despotes d’autres ont la machine et d’autres encore le microscope, qui borne implacablement la vision du biologiste, nous vivons, nous, sous le dur esclavage du document.</w:t>
      </w:r>
    </w:p>
    <w:p w14:paraId="334AEC0F" w14:textId="77777777" w:rsidR="00B9662D" w:rsidRPr="000F765B" w:rsidRDefault="00B9662D" w:rsidP="00B9662D">
      <w:pPr>
        <w:spacing w:before="120" w:after="120"/>
        <w:jc w:val="both"/>
      </w:pPr>
      <w:r w:rsidRPr="000F765B">
        <w:rPr>
          <w:lang w:eastAsia="fr-FR" w:bidi="fr-FR"/>
        </w:rPr>
        <w:t>Une historiographie pourtant qui, dans ces obstacles, puiserait, au lieu d’une incitation à l’effort, un conseil de mollesse, qui, par avance découragée, renoncerait à se pencher sur l’équipement matériel des sociétés passées, à quoi se réduirait-elle, au bout du compte ? Pas même à l’étude de purs esprits. Car l’esprit sans corps a nom fantôme. Insister sur le rôle de la technique dans l’évolution humaine revient simplement à rappeler que l’homme vit plongé dans la nature et existe seulement dans la mesure où il sait agir sur celle-ci ; qu’aussi et su</w:t>
      </w:r>
      <w:r w:rsidRPr="000F765B">
        <w:rPr>
          <w:lang w:eastAsia="fr-FR" w:bidi="fr-FR"/>
        </w:rPr>
        <w:t>r</w:t>
      </w:r>
      <w:r w:rsidRPr="000F765B">
        <w:rPr>
          <w:lang w:eastAsia="fr-FR" w:bidi="fr-FR"/>
        </w:rPr>
        <w:t xml:space="preserve">tout, il est essentiellement un et qu’en chacun de nous </w:t>
      </w:r>
      <w:r>
        <w:rPr>
          <w:lang w:eastAsia="fr-FR" w:bidi="fr-FR"/>
        </w:rPr>
        <w:t>l’</w:t>
      </w:r>
      <w:r w:rsidRPr="00D86209">
        <w:rPr>
          <w:i/>
        </w:rPr>
        <w:t>homo faber</w:t>
      </w:r>
      <w:r w:rsidRPr="000F765B">
        <w:rPr>
          <w:lang w:eastAsia="fr-FR" w:bidi="fr-FR"/>
        </w:rPr>
        <w:t xml:space="preserve"> et </w:t>
      </w:r>
      <w:r>
        <w:rPr>
          <w:lang w:eastAsia="fr-FR" w:bidi="fr-FR"/>
        </w:rPr>
        <w:t>l’</w:t>
      </w:r>
      <w:r w:rsidRPr="00D86209">
        <w:rPr>
          <w:i/>
        </w:rPr>
        <w:t>homo sapiens</w:t>
      </w:r>
      <w:r w:rsidRPr="000F765B">
        <w:rPr>
          <w:lang w:eastAsia="fr-FR" w:bidi="fr-FR"/>
        </w:rPr>
        <w:t xml:space="preserve"> se compénètrent incessamment. Fait pour la main, </w:t>
      </w:r>
      <w:r w:rsidRPr="000F765B">
        <w:rPr>
          <w:lang w:eastAsia="fr-FR" w:bidi="fr-FR"/>
        </w:rPr>
        <w:lastRenderedPageBreak/>
        <w:t>conçu par le cerveau, l’outil à son tour façonne la main qui le brandit et le cerveau même qui en règle les mouvements. Sur le plan social, même jeu d’actions et de réactions, même force créatrice de la chose créée. C’est la locomotive qui a donné naissance au couple désormais classique du mécanicien et du chauffeur. C’est la machine qui, se substituant aux fléaux jadis maniés dans l’ombre individuelle des granges, a fait surgir autour de la chanson de son moteur les réjoui</w:t>
      </w:r>
      <w:r w:rsidRPr="000F765B">
        <w:rPr>
          <w:lang w:eastAsia="fr-FR" w:bidi="fr-FR"/>
        </w:rPr>
        <w:t>s</w:t>
      </w:r>
      <w:r w:rsidRPr="000F765B">
        <w:rPr>
          <w:lang w:eastAsia="fr-FR" w:bidi="fr-FR"/>
        </w:rPr>
        <w:t>sances collectives des jours de battage.</w:t>
      </w:r>
    </w:p>
    <w:p w14:paraId="5C4EBCEF" w14:textId="77777777" w:rsidR="00B9662D" w:rsidRPr="000F765B" w:rsidRDefault="00B9662D" w:rsidP="00B9662D">
      <w:pPr>
        <w:spacing w:before="120" w:after="120"/>
        <w:jc w:val="both"/>
      </w:pPr>
      <w:r w:rsidRPr="000F765B">
        <w:rPr>
          <w:lang w:eastAsia="fr-FR" w:bidi="fr-FR"/>
        </w:rPr>
        <w:t xml:space="preserve">Veut-on d’autres exemples, empruntés à des temps plus lointains ? Mille souvenirs se pressent à l’esprit de quiconque a réfléchi sur le passé. Voici l’étrier, cadeau offert à nos civilisations, vers l’aube du Moyen </w:t>
      </w:r>
      <w:r>
        <w:rPr>
          <w:lang w:eastAsia="fr-FR" w:bidi="fr-FR"/>
        </w:rPr>
        <w:t>Â</w:t>
      </w:r>
      <w:r w:rsidRPr="000F765B">
        <w:rPr>
          <w:lang w:eastAsia="fr-FR" w:bidi="fr-FR"/>
        </w:rPr>
        <w:t>ge, par les sociétés nomades de la steppe eurasiatique. Sans la forte assiette qu’il donna au combattant monté, eût-on vu le cavalier lourdement armé devenir le roi des batailles ? et, par suite, s’établir la suprématie sociale de ce « chevalier » pour lequel, ainsi que pour l’entretien de sa monture, il était, au sentiment du bienheureux Ra</w:t>
      </w:r>
      <w:r w:rsidRPr="000F765B">
        <w:rPr>
          <w:lang w:eastAsia="fr-FR" w:bidi="fr-FR"/>
        </w:rPr>
        <w:t>i</w:t>
      </w:r>
      <w:r w:rsidRPr="000F765B">
        <w:rPr>
          <w:lang w:eastAsia="fr-FR" w:bidi="fr-FR"/>
        </w:rPr>
        <w:t xml:space="preserve">mon Lull, juste et bon que se dépensât la peine des autres hommes ? Voici encore, trop longtemps confinée, bien à tort, parmi les curiosités anecdotiques, l’histoire des pratiques alimentaires, au vrai, élément capital de l’évolution des types humains. Car, s’il est certain que deux animaux de même race, nourris différemment, cessent d’être tout </w:t>
      </w:r>
      <w:r>
        <w:rPr>
          <w:lang w:eastAsia="fr-FR" w:bidi="fr-FR"/>
        </w:rPr>
        <w:t>à fait le même animal, oserons-</w:t>
      </w:r>
      <w:r w:rsidRPr="000F765B">
        <w:rPr>
          <w:lang w:eastAsia="fr-FR" w:bidi="fr-FR"/>
        </w:rPr>
        <w:t>nous dire que nos ancêtres, dont la chair était formée d’aliments presque sans similitude avec les nôtres, aient eu exactement nos réactions ? Puisque cependant force est de choisir, mieux vaudra mettre l’accent ici sur deux aspects seulement, parmi les plus souvent laissés dans l’ombre, de cette collaboration de l’outil au destin social.</w:t>
      </w:r>
    </w:p>
    <w:p w14:paraId="53B31396" w14:textId="77777777" w:rsidR="00B9662D" w:rsidRPr="000F765B" w:rsidRDefault="00B9662D" w:rsidP="00B9662D">
      <w:pPr>
        <w:spacing w:before="120" w:after="120"/>
        <w:jc w:val="both"/>
      </w:pPr>
      <w:r w:rsidRPr="000F765B">
        <w:rPr>
          <w:lang w:eastAsia="fr-FR" w:bidi="fr-FR"/>
        </w:rPr>
        <w:t>Les récits du passé sont pleins des victoires des nomades sur l</w:t>
      </w:r>
      <w:r>
        <w:rPr>
          <w:lang w:eastAsia="fr-FR" w:bidi="fr-FR"/>
        </w:rPr>
        <w:t>es séden</w:t>
      </w:r>
      <w:r w:rsidRPr="000F765B">
        <w:rPr>
          <w:lang w:eastAsia="fr-FR" w:bidi="fr-FR"/>
        </w:rPr>
        <w:t>taires :</w:t>
      </w:r>
      <w:r>
        <w:t xml:space="preserve"> [835]</w:t>
      </w:r>
      <w:r w:rsidRPr="000F765B">
        <w:rPr>
          <w:lang w:eastAsia="fr-FR" w:bidi="fr-FR"/>
        </w:rPr>
        <w:t xml:space="preserve"> triomphes presque toujours éphémères, sans doute, et que suivait généralement l’absorption des vainqueurs par la civilis</w:t>
      </w:r>
      <w:r w:rsidRPr="000F765B">
        <w:rPr>
          <w:lang w:eastAsia="fr-FR" w:bidi="fr-FR"/>
        </w:rPr>
        <w:t>a</w:t>
      </w:r>
      <w:r w:rsidRPr="000F765B">
        <w:rPr>
          <w:lang w:eastAsia="fr-FR" w:bidi="fr-FR"/>
        </w:rPr>
        <w:t xml:space="preserve">tion vaincue ; mais triomphes sans cesse renaissants, comme sous l’effet d’une inéluctable fatalité. Combien de fois les jardiniers des oasis, les laboureurs des plus grasses terres à blé n’éprouvèrent-ils pas la vérité de cet aphorisme que l’écrivain arabe Ibn-Khaldoun érigeait en loi de l’histoire : « pour peu que les deux partis soient égaux en nombre... c’est le plus habitué à la vie nomade qui l’emporte » ! La Chine ne résista pas mieux aux Huns que les Goths ou que Rome, ne se défendit pas plus efficacement contre les Mongols que les princes </w:t>
      </w:r>
      <w:r w:rsidRPr="000F765B">
        <w:rPr>
          <w:lang w:eastAsia="fr-FR" w:bidi="fr-FR"/>
        </w:rPr>
        <w:lastRenderedPageBreak/>
        <w:t xml:space="preserve">chrétiens, sauvés seulement par la fatigue des envahisseurs ou de leurs chevaux. Or, visiblement, Ibn-Khaldoun, de nos jours, a cessé d’avoir raison. Les Mongols sont toujours là et toujours nomades. Ce ne sont plus eux qui se jettent sur la Chine. </w:t>
      </w:r>
      <w:r>
        <w:rPr>
          <w:lang w:eastAsia="fr-FR" w:bidi="fr-FR"/>
        </w:rPr>
        <w:t>À</w:t>
      </w:r>
      <w:r w:rsidRPr="000F765B">
        <w:rPr>
          <w:lang w:eastAsia="fr-FR" w:bidi="fr-FR"/>
        </w:rPr>
        <w:t xml:space="preserve"> peu près insoumis, les Maures continuent d’errer sur les confins des champs ou des vergers du Ma</w:t>
      </w:r>
      <w:r w:rsidRPr="000F765B">
        <w:rPr>
          <w:lang w:eastAsia="fr-FR" w:bidi="fr-FR"/>
        </w:rPr>
        <w:t>g</w:t>
      </w:r>
      <w:r w:rsidRPr="000F765B">
        <w:rPr>
          <w:lang w:eastAsia="fr-FR" w:bidi="fr-FR"/>
        </w:rPr>
        <w:t>hreb. On redoute leurs brigandages. Qui, sans ridicule, craindrait leurs conquêtes ? C’est que jadis, l’outillage étant des deux parts approx</w:t>
      </w:r>
      <w:r w:rsidRPr="000F765B">
        <w:rPr>
          <w:lang w:eastAsia="fr-FR" w:bidi="fr-FR"/>
        </w:rPr>
        <w:t>i</w:t>
      </w:r>
      <w:r w:rsidRPr="000F765B">
        <w:rPr>
          <w:lang w:eastAsia="fr-FR" w:bidi="fr-FR"/>
        </w:rPr>
        <w:t>mativement égal, seules comptaient les valeurs humaines, insépar</w:t>
      </w:r>
      <w:r w:rsidRPr="000F765B">
        <w:rPr>
          <w:lang w:eastAsia="fr-FR" w:bidi="fr-FR"/>
        </w:rPr>
        <w:t>a</w:t>
      </w:r>
      <w:r w:rsidRPr="000F765B">
        <w:rPr>
          <w:lang w:eastAsia="fr-FR" w:bidi="fr-FR"/>
        </w:rPr>
        <w:t>bles du genre de vie. Le nomade, pour qui la guerre n’était que le pr</w:t>
      </w:r>
      <w:r w:rsidRPr="000F765B">
        <w:rPr>
          <w:lang w:eastAsia="fr-FR" w:bidi="fr-FR"/>
        </w:rPr>
        <w:t>o</w:t>
      </w:r>
      <w:r w:rsidRPr="000F765B">
        <w:rPr>
          <w:lang w:eastAsia="fr-FR" w:bidi="fr-FR"/>
        </w:rPr>
        <w:t>longement de ses grandes randonnées du désert ou de la steppe, jetait dans la balance, avec son merveilleux instinct de l’espace, ses aptit</w:t>
      </w:r>
      <w:r w:rsidRPr="000F765B">
        <w:rPr>
          <w:lang w:eastAsia="fr-FR" w:bidi="fr-FR"/>
        </w:rPr>
        <w:t>u</w:t>
      </w:r>
      <w:r w:rsidRPr="000F765B">
        <w:rPr>
          <w:lang w:eastAsia="fr-FR" w:bidi="fr-FR"/>
        </w:rPr>
        <w:t>des de voyageur toujours prêt ; encadré dans les groupes familiers, il partait pour l’aventure avec son équipement de tous les jours, sa mo</w:t>
      </w:r>
      <w:r w:rsidRPr="000F765B">
        <w:rPr>
          <w:lang w:eastAsia="fr-FR" w:bidi="fr-FR"/>
        </w:rPr>
        <w:t>n</w:t>
      </w:r>
      <w:r w:rsidRPr="000F765B">
        <w:rPr>
          <w:lang w:eastAsia="fr-FR" w:bidi="fr-FR"/>
        </w:rPr>
        <w:t>ture amie, ses troupeaux habitués aux longues errances ou ses prov</w:t>
      </w:r>
      <w:r w:rsidRPr="000F765B">
        <w:rPr>
          <w:lang w:eastAsia="fr-FR" w:bidi="fr-FR"/>
        </w:rPr>
        <w:t>i</w:t>
      </w:r>
      <w:r w:rsidRPr="000F765B">
        <w:rPr>
          <w:lang w:eastAsia="fr-FR" w:bidi="fr-FR"/>
        </w:rPr>
        <w:t>sions ordinaires de chasseur et de pâtre. En face de ce batteur d’estrade, le sédentaire, dont l’horizon se bornait à sa glèbe, dont l’existence s’enfermait dans des institutions peu faites pour les longs combats, qui, surtout, risquait de mourir de faim s’il n’avait plus le loisir de cultiver ou faire cultiver ses labours, n’était, à tout prendre, qu’un mol adversaire. Aujourd’hui, par contre, qui dit société ferm</w:t>
      </w:r>
      <w:r w:rsidRPr="000F765B">
        <w:rPr>
          <w:lang w:eastAsia="fr-FR" w:bidi="fr-FR"/>
        </w:rPr>
        <w:t>e</w:t>
      </w:r>
      <w:r w:rsidRPr="000F765B">
        <w:rPr>
          <w:lang w:eastAsia="fr-FR" w:bidi="fr-FR"/>
        </w:rPr>
        <w:t>ment établie sur le sol dit, du même coup, exploitation régulière et intensive des ressources naturelles, hauts fourneaux, centrales électr</w:t>
      </w:r>
      <w:r w:rsidRPr="000F765B">
        <w:rPr>
          <w:lang w:eastAsia="fr-FR" w:bidi="fr-FR"/>
        </w:rPr>
        <w:t>i</w:t>
      </w:r>
      <w:r w:rsidRPr="000F765B">
        <w:rPr>
          <w:lang w:eastAsia="fr-FR" w:bidi="fr-FR"/>
        </w:rPr>
        <w:t>ques, fabriques de fusils et de canons ; habitudes mentales de préc</w:t>
      </w:r>
      <w:r w:rsidRPr="000F765B">
        <w:rPr>
          <w:lang w:eastAsia="fr-FR" w:bidi="fr-FR"/>
        </w:rPr>
        <w:t>i</w:t>
      </w:r>
      <w:r w:rsidRPr="000F765B">
        <w:rPr>
          <w:lang w:eastAsia="fr-FR" w:bidi="fr-FR"/>
        </w:rPr>
        <w:t>sion aussi, liées à ces pratiques techniques et, en partie, nées d’elles. Toutes choses qui sont, par définition, complètement étrangères à l’instabilité du nomade. Ce n’est pas celui-ci qui a changé ; il n’a rien perdu de ses qualités de naguère. Mais son vieil ennemi le dépasse, parce que ce paysan s’est rendu le maître de l’usine. Et sans doute l’histoire de l’humanité n’offre-t-elle pas beaucoup de révolutions plus frappantes que ce renversement des forces entre types d’existence opposés.</w:t>
      </w:r>
    </w:p>
    <w:p w14:paraId="18033783" w14:textId="77777777" w:rsidR="00B9662D" w:rsidRPr="000F765B" w:rsidRDefault="00B9662D" w:rsidP="00B9662D">
      <w:pPr>
        <w:spacing w:before="120" w:after="120"/>
        <w:jc w:val="both"/>
      </w:pPr>
      <w:r w:rsidRPr="000F765B">
        <w:rPr>
          <w:lang w:eastAsia="fr-FR" w:bidi="fr-FR"/>
        </w:rPr>
        <w:t>De nos civilisations occidentales, il n’est pas exagéré de dire qu’elles vivent les yeux constamment fixés sur la montre. L’heure H, hantise toujours présente à notre esprit, régulatrice de notre travail et de nos plaisirs, comme, hélas, de nos combats ! Ils ne sont pas si loin de nous, pourtant, ces siècles</w:t>
      </w:r>
      <w:r>
        <w:rPr>
          <w:lang w:eastAsia="fr-FR" w:bidi="fr-FR"/>
        </w:rPr>
        <w:t> — </w:t>
      </w:r>
      <w:r w:rsidRPr="000F765B">
        <w:rPr>
          <w:lang w:eastAsia="fr-FR" w:bidi="fr-FR"/>
        </w:rPr>
        <w:t xml:space="preserve">l’antiquité, le Moyen </w:t>
      </w:r>
      <w:r>
        <w:rPr>
          <w:lang w:eastAsia="fr-FR" w:bidi="fr-FR"/>
        </w:rPr>
        <w:t>Â</w:t>
      </w:r>
      <w:r w:rsidRPr="000F765B">
        <w:rPr>
          <w:lang w:eastAsia="fr-FR" w:bidi="fr-FR"/>
        </w:rPr>
        <w:t>ge presque tout entier</w:t>
      </w:r>
      <w:r>
        <w:rPr>
          <w:lang w:eastAsia="fr-FR" w:bidi="fr-FR"/>
        </w:rPr>
        <w:t> — </w:t>
      </w:r>
      <w:r w:rsidRPr="000F765B">
        <w:rPr>
          <w:lang w:eastAsia="fr-FR" w:bidi="fr-FR"/>
        </w:rPr>
        <w:t>qui, comptant régulièrement douze heures de lumière et douze de nuit, quelle que fût la saison, s’accommoda</w:t>
      </w:r>
      <w:r>
        <w:rPr>
          <w:lang w:eastAsia="fr-FR" w:bidi="fr-FR"/>
        </w:rPr>
        <w:t>ient de voir ch</w:t>
      </w:r>
      <w:r>
        <w:rPr>
          <w:lang w:eastAsia="fr-FR" w:bidi="fr-FR"/>
        </w:rPr>
        <w:t>a</w:t>
      </w:r>
      <w:r>
        <w:rPr>
          <w:lang w:eastAsia="fr-FR" w:bidi="fr-FR"/>
        </w:rPr>
        <w:lastRenderedPageBreak/>
        <w:t>cune des vingt-</w:t>
      </w:r>
      <w:r w:rsidRPr="000F765B">
        <w:rPr>
          <w:lang w:eastAsia="fr-FR" w:bidi="fr-FR"/>
        </w:rPr>
        <w:t>quatre fractions de la journée, prises une à une, croître ou décroître sans trêve, selon la révolution annuelle du soleil. Comme, par surcroît, les bons instruments de mesure étaient rares, la perce</w:t>
      </w:r>
      <w:r w:rsidRPr="000F765B">
        <w:rPr>
          <w:lang w:eastAsia="fr-FR" w:bidi="fr-FR"/>
        </w:rPr>
        <w:t>p</w:t>
      </w:r>
      <w:r w:rsidRPr="000F765B">
        <w:rPr>
          <w:lang w:eastAsia="fr-FR" w:bidi="fr-FR"/>
        </w:rPr>
        <w:t>tion du temps avait quelque chose de perpétuellement flottant. Un chroniqueur ne rapporte-t-il pas</w:t>
      </w:r>
      <w:r>
        <w:t xml:space="preserve"> [836] </w:t>
      </w:r>
      <w:r w:rsidRPr="000F765B">
        <w:rPr>
          <w:lang w:eastAsia="fr-FR" w:bidi="fr-FR"/>
        </w:rPr>
        <w:t>comment un tribunal, requis de rendre un jugement par défaut, dut délibérer longuement, avec l’aide de clercs experts, avant d’oser pr</w:t>
      </w:r>
      <w:r w:rsidRPr="000F765B">
        <w:rPr>
          <w:lang w:eastAsia="fr-FR" w:bidi="fr-FR"/>
        </w:rPr>
        <w:t>o</w:t>
      </w:r>
      <w:r w:rsidRPr="000F765B">
        <w:rPr>
          <w:lang w:eastAsia="fr-FR" w:bidi="fr-FR"/>
        </w:rPr>
        <w:t>noncer si vraiment l’heure de none était passée ? Or le découpage des jours en ces tranches égales dont l’exacte prévision nous semble aujourd’hui si nécessaire à toute act</w:t>
      </w:r>
      <w:r w:rsidRPr="000F765B">
        <w:rPr>
          <w:lang w:eastAsia="fr-FR" w:bidi="fr-FR"/>
        </w:rPr>
        <w:t>i</w:t>
      </w:r>
      <w:r w:rsidRPr="000F765B">
        <w:rPr>
          <w:lang w:eastAsia="fr-FR" w:bidi="fr-FR"/>
        </w:rPr>
        <w:t>vité bien réglée, l’indépendance ai</w:t>
      </w:r>
      <w:r w:rsidRPr="000F765B">
        <w:rPr>
          <w:lang w:eastAsia="fr-FR" w:bidi="fr-FR"/>
        </w:rPr>
        <w:t>n</w:t>
      </w:r>
      <w:r w:rsidRPr="000F765B">
        <w:rPr>
          <w:lang w:eastAsia="fr-FR" w:bidi="fr-FR"/>
        </w:rPr>
        <w:t>si conquise par le temps pur vis-à-vis des contingences saisonnières comme envers les fantaisies du désir ou de l’ennui humain, l’abstraite et féconde précision mathématique dont cet inlassable tic-tac a imposé la loi à nos attitudes mentales : autant de traits qui, inséparables de nos moindres façons de penser ou de faire, leur ont été un don du perfe</w:t>
      </w:r>
      <w:r w:rsidRPr="000F765B">
        <w:rPr>
          <w:lang w:eastAsia="fr-FR" w:bidi="fr-FR"/>
        </w:rPr>
        <w:t>c</w:t>
      </w:r>
      <w:r w:rsidRPr="000F765B">
        <w:rPr>
          <w:lang w:eastAsia="fr-FR" w:bidi="fr-FR"/>
        </w:rPr>
        <w:t xml:space="preserve">tionnement technique. Ce fut l’horloge à contrepoids, qui, peu à peu généralisée à partir du </w:t>
      </w:r>
      <w:r w:rsidRPr="00D86209">
        <w:rPr>
          <w:caps/>
          <w:lang w:eastAsia="fr-FR" w:bidi="fr-FR"/>
        </w:rPr>
        <w:t>xiv</w:t>
      </w:r>
      <w:r w:rsidRPr="000F765B">
        <w:rPr>
          <w:vertAlign w:val="superscript"/>
          <w:lang w:eastAsia="fr-FR" w:bidi="fr-FR"/>
        </w:rPr>
        <w:t>e</w:t>
      </w:r>
      <w:r w:rsidRPr="000F765B">
        <w:rPr>
          <w:lang w:eastAsia="fr-FR" w:bidi="fr-FR"/>
        </w:rPr>
        <w:t xml:space="preserve"> siècle, habitua nos ancêtres à ordonner leur existence d’après les ba</w:t>
      </w:r>
      <w:r w:rsidRPr="000F765B">
        <w:rPr>
          <w:lang w:eastAsia="fr-FR" w:bidi="fr-FR"/>
        </w:rPr>
        <w:t>t</w:t>
      </w:r>
      <w:r w:rsidRPr="000F765B">
        <w:rPr>
          <w:lang w:eastAsia="fr-FR" w:bidi="fr-FR"/>
        </w:rPr>
        <w:t>tements sans caprice d’un implacable mouvement matériel. La méc</w:t>
      </w:r>
      <w:r w:rsidRPr="000F765B">
        <w:rPr>
          <w:lang w:eastAsia="fr-FR" w:bidi="fr-FR"/>
        </w:rPr>
        <w:t>a</w:t>
      </w:r>
      <w:r w:rsidRPr="000F765B">
        <w:rPr>
          <w:lang w:eastAsia="fr-FR" w:bidi="fr-FR"/>
        </w:rPr>
        <w:t>nisation de la durée naquit de la méc</w:t>
      </w:r>
      <w:r w:rsidRPr="000F765B">
        <w:rPr>
          <w:lang w:eastAsia="fr-FR" w:bidi="fr-FR"/>
        </w:rPr>
        <w:t>a</w:t>
      </w:r>
      <w:r w:rsidRPr="000F765B">
        <w:rPr>
          <w:lang w:eastAsia="fr-FR" w:bidi="fr-FR"/>
        </w:rPr>
        <w:t>nisation de son compteur.</w:t>
      </w:r>
    </w:p>
    <w:p w14:paraId="4E756425" w14:textId="77777777" w:rsidR="00B9662D" w:rsidRDefault="00B9662D" w:rsidP="00B9662D">
      <w:pPr>
        <w:spacing w:before="120" w:after="120"/>
        <w:jc w:val="both"/>
        <w:rPr>
          <w:lang w:eastAsia="fr-FR" w:bidi="fr-FR"/>
        </w:rPr>
      </w:pPr>
    </w:p>
    <w:p w14:paraId="088FCB31" w14:textId="77777777" w:rsidR="00B9662D" w:rsidRPr="000F765B" w:rsidRDefault="00B9662D" w:rsidP="00B9662D">
      <w:pPr>
        <w:pStyle w:val="planche"/>
      </w:pPr>
      <w:r w:rsidRPr="000F765B">
        <w:t>II</w:t>
      </w:r>
    </w:p>
    <w:p w14:paraId="0F72D1EC" w14:textId="77777777" w:rsidR="00B9662D" w:rsidRDefault="00B9662D" w:rsidP="00B9662D">
      <w:pPr>
        <w:spacing w:before="120" w:after="120"/>
        <w:jc w:val="both"/>
        <w:rPr>
          <w:lang w:eastAsia="fr-FR" w:bidi="fr-FR"/>
        </w:rPr>
      </w:pPr>
    </w:p>
    <w:p w14:paraId="42EC0A46" w14:textId="77777777" w:rsidR="00B9662D" w:rsidRPr="000F765B" w:rsidRDefault="00B9662D" w:rsidP="00B9662D">
      <w:pPr>
        <w:spacing w:before="120" w:after="120"/>
        <w:jc w:val="both"/>
      </w:pPr>
      <w:r w:rsidRPr="000F765B">
        <w:rPr>
          <w:lang w:eastAsia="fr-FR" w:bidi="fr-FR"/>
        </w:rPr>
        <w:t>Craignons cependant les poisons des formules trop simples. Con</w:t>
      </w:r>
      <w:r w:rsidRPr="000F765B">
        <w:rPr>
          <w:lang w:eastAsia="fr-FR" w:bidi="fr-FR"/>
        </w:rPr>
        <w:t>s</w:t>
      </w:r>
      <w:r w:rsidRPr="000F765B">
        <w:rPr>
          <w:lang w:eastAsia="fr-FR" w:bidi="fr-FR"/>
        </w:rPr>
        <w:t>tater que la connaissance de l’outillage technique dont une société dispose est indispensable à l’intelligence de sa structure la plus intime, ce n’est pas inscrire au bas d’un théorème le triomphant C.Q.F.D., après lequel il n’y a plus qu’à tirer la ligne. C’est, au contraire, faire se dresser tout un cortège de problèmes nouveaux, parmi les plus pa</w:t>
      </w:r>
      <w:r w:rsidRPr="000F765B">
        <w:rPr>
          <w:lang w:eastAsia="fr-FR" w:bidi="fr-FR"/>
        </w:rPr>
        <w:t>s</w:t>
      </w:r>
      <w:r w:rsidRPr="000F765B">
        <w:rPr>
          <w:lang w:eastAsia="fr-FR" w:bidi="fr-FR"/>
        </w:rPr>
        <w:t>sionnants et les plus ardus que l’histoire puisse se poser.</w:t>
      </w:r>
    </w:p>
    <w:p w14:paraId="7452FA77" w14:textId="77777777" w:rsidR="00B9662D" w:rsidRPr="000F765B" w:rsidRDefault="00B9662D" w:rsidP="00B9662D">
      <w:pPr>
        <w:spacing w:before="120" w:after="120"/>
        <w:jc w:val="both"/>
      </w:pPr>
      <w:r w:rsidRPr="000F765B">
        <w:rPr>
          <w:lang w:eastAsia="fr-FR" w:bidi="fr-FR"/>
        </w:rPr>
        <w:t>Des sociétés entières ont vécu longuement sans toucher, ou peu s’en fallait, à l’équipement hérité des ancêtres. Ailleurs ou à d’autres moments, les innovations ont foisonné. Pourquoi ? N’invoquons point ici les seules vicissitudes de l’énergie intellectuelle. Certes nos techn</w:t>
      </w:r>
      <w:r w:rsidRPr="000F765B">
        <w:rPr>
          <w:lang w:eastAsia="fr-FR" w:bidi="fr-FR"/>
        </w:rPr>
        <w:t>i</w:t>
      </w:r>
      <w:r w:rsidRPr="000F765B">
        <w:rPr>
          <w:lang w:eastAsia="fr-FR" w:bidi="fr-FR"/>
        </w:rPr>
        <w:t xml:space="preserve">ques modernes ont presque toutes surgi sous le signe de la science. Mais cela même était une nouveauté. Longtemps le génie de la main fut beaucoup plus indépendant de la pure connaissance. Le Haut </w:t>
      </w:r>
      <w:r w:rsidRPr="000F765B">
        <w:rPr>
          <w:lang w:eastAsia="fr-FR" w:bidi="fr-FR"/>
        </w:rPr>
        <w:lastRenderedPageBreak/>
        <w:t xml:space="preserve">Moyen </w:t>
      </w:r>
      <w:r>
        <w:rPr>
          <w:lang w:eastAsia="fr-FR" w:bidi="fr-FR"/>
        </w:rPr>
        <w:t>Â</w:t>
      </w:r>
      <w:r w:rsidRPr="000F765B">
        <w:rPr>
          <w:lang w:eastAsia="fr-FR" w:bidi="fr-FR"/>
        </w:rPr>
        <w:t>ge occidental, s’il a moins inventé qu’on ne l’a cru pa</w:t>
      </w:r>
      <w:r w:rsidRPr="000F765B">
        <w:rPr>
          <w:lang w:eastAsia="fr-FR" w:bidi="fr-FR"/>
        </w:rPr>
        <w:t>r</w:t>
      </w:r>
      <w:r w:rsidRPr="000F765B">
        <w:rPr>
          <w:lang w:eastAsia="fr-FR" w:bidi="fr-FR"/>
        </w:rPr>
        <w:t>fois</w:t>
      </w:r>
      <w:r>
        <w:rPr>
          <w:lang w:eastAsia="fr-FR" w:bidi="fr-FR"/>
        </w:rPr>
        <w:t> — </w:t>
      </w:r>
      <w:r w:rsidRPr="000F765B">
        <w:rPr>
          <w:lang w:eastAsia="fr-FR" w:bidi="fr-FR"/>
        </w:rPr>
        <w:t>la plupart de ses prétendues découvertes n’étant, à y bien r</w:t>
      </w:r>
      <w:r w:rsidRPr="000F765B">
        <w:rPr>
          <w:lang w:eastAsia="fr-FR" w:bidi="fr-FR"/>
        </w:rPr>
        <w:t>e</w:t>
      </w:r>
      <w:r w:rsidRPr="000F765B">
        <w:rPr>
          <w:lang w:eastAsia="fr-FR" w:bidi="fr-FR"/>
        </w:rPr>
        <w:t>garder, que des emprunts</w:t>
      </w:r>
      <w:r>
        <w:rPr>
          <w:lang w:eastAsia="fr-FR" w:bidi="fr-FR"/>
        </w:rPr>
        <w:t> — </w:t>
      </w:r>
      <w:r w:rsidRPr="000F765B">
        <w:rPr>
          <w:lang w:eastAsia="fr-FR" w:bidi="fr-FR"/>
        </w:rPr>
        <w:t>ne fut pourtant pas dans ce domaine sans fertilité. Or c’était l’artisan qui trouvait alors, non l’homme de pensée. Aussi bien celui-ci portait-il, ordinairement, un médiocre intérêt à une nature essentiellement transitoire et qui, au mieux, n’avait que la v</w:t>
      </w:r>
      <w:r w:rsidRPr="000F765B">
        <w:rPr>
          <w:lang w:eastAsia="fr-FR" w:bidi="fr-FR"/>
        </w:rPr>
        <w:t>a</w:t>
      </w:r>
      <w:r w:rsidRPr="000F765B">
        <w:rPr>
          <w:lang w:eastAsia="fr-FR" w:bidi="fr-FR"/>
        </w:rPr>
        <w:t>leur d’un symbole, voile tendu devant des réalités plus profondes. Le rouet, qui fut sans doute la plus étonnante création de ces temps, n</w:t>
      </w:r>
      <w:r w:rsidRPr="000F765B">
        <w:rPr>
          <w:lang w:eastAsia="fr-FR" w:bidi="fr-FR"/>
        </w:rPr>
        <w:t>a</w:t>
      </w:r>
      <w:r w:rsidRPr="000F765B">
        <w:rPr>
          <w:lang w:eastAsia="fr-FR" w:bidi="fr-FR"/>
        </w:rPr>
        <w:t>quit dans la pénombre d’humbles et anonymes ateliers. Parlera-t-on de besoins collectifs ? Nous verrons tout à l’heure leur force. Eux-mêmes néanmoins n’expliquent pas tout. D’innombrables privilèges ont été sollicités, sous Louis</w:t>
      </w:r>
      <w:r>
        <w:rPr>
          <w:lang w:eastAsia="fr-FR" w:bidi="fr-FR"/>
        </w:rPr>
        <w:t> </w:t>
      </w:r>
      <w:r w:rsidRPr="000F765B">
        <w:rPr>
          <w:lang w:eastAsia="fr-FR" w:bidi="fr-FR"/>
        </w:rPr>
        <w:t>XIV, pour l’exploitation de procédés techniques nouveaux : depuis le système de chauffage économique auquel s’intéressa M</w:t>
      </w:r>
      <w:r w:rsidRPr="000F765B">
        <w:rPr>
          <w:vertAlign w:val="superscript"/>
          <w:lang w:eastAsia="fr-FR" w:bidi="fr-FR"/>
        </w:rPr>
        <w:t>me</w:t>
      </w:r>
      <w:r w:rsidRPr="000F765B">
        <w:rPr>
          <w:lang w:eastAsia="fr-FR" w:bidi="fr-FR"/>
        </w:rPr>
        <w:t xml:space="preserve"> de Maintenon jusqu’à ces voit</w:t>
      </w:r>
      <w:r>
        <w:rPr>
          <w:lang w:eastAsia="fr-FR" w:bidi="fr-FR"/>
        </w:rPr>
        <w:t>ures « inversables et incahota</w:t>
      </w:r>
      <w:r w:rsidRPr="000F765B">
        <w:rPr>
          <w:lang w:eastAsia="fr-FR" w:bidi="fr-FR"/>
        </w:rPr>
        <w:t>bles » dont un maréchal de France se fit octroyer le monop</w:t>
      </w:r>
      <w:r w:rsidRPr="000F765B">
        <w:rPr>
          <w:lang w:eastAsia="fr-FR" w:bidi="fr-FR"/>
        </w:rPr>
        <w:t>o</w:t>
      </w:r>
      <w:r w:rsidRPr="000F765B">
        <w:rPr>
          <w:lang w:eastAsia="fr-FR" w:bidi="fr-FR"/>
        </w:rPr>
        <w:t>le. « Besoins » puissants, s’il en fut, de capitalistes en mal de plac</w:t>
      </w:r>
      <w:r w:rsidRPr="000F765B">
        <w:rPr>
          <w:lang w:eastAsia="fr-FR" w:bidi="fr-FR"/>
        </w:rPr>
        <w:t>e</w:t>
      </w:r>
      <w:r w:rsidRPr="000F765B">
        <w:rPr>
          <w:lang w:eastAsia="fr-FR" w:bidi="fr-FR"/>
        </w:rPr>
        <w:t>ment. De ces tentatives, cependant, il semble bien qu’aucune modif</w:t>
      </w:r>
      <w:r w:rsidRPr="000F765B">
        <w:rPr>
          <w:lang w:eastAsia="fr-FR" w:bidi="fr-FR"/>
        </w:rPr>
        <w:t>i</w:t>
      </w:r>
      <w:r w:rsidRPr="000F765B">
        <w:rPr>
          <w:lang w:eastAsia="fr-FR" w:bidi="fr-FR"/>
        </w:rPr>
        <w:t>cation sensible de l’outillage ne soit, au bout du compte, sortie, app</w:t>
      </w:r>
      <w:r w:rsidRPr="000F765B">
        <w:rPr>
          <w:lang w:eastAsia="fr-FR" w:bidi="fr-FR"/>
        </w:rPr>
        <w:t>a</w:t>
      </w:r>
      <w:r w:rsidRPr="000F765B">
        <w:rPr>
          <w:lang w:eastAsia="fr-FR" w:bidi="fr-FR"/>
        </w:rPr>
        <w:t>remment parce qu’elles</w:t>
      </w:r>
      <w:r>
        <w:rPr>
          <w:lang w:eastAsia="fr-FR" w:bidi="fr-FR"/>
        </w:rPr>
        <w:t xml:space="preserve"> </w:t>
      </w:r>
      <w:r>
        <w:t xml:space="preserve">[837] </w:t>
      </w:r>
      <w:r w:rsidRPr="000F765B">
        <w:rPr>
          <w:lang w:eastAsia="fr-FR" w:bidi="fr-FR"/>
        </w:rPr>
        <w:t>ne se montrèrent pas, en elles-mêmes, capables de résister à l’épreuve de la pratique. La vérité, modestement avouée, est que nous ne sommes pas encore assez avancés dans l’analyse de l’évolution mentale pour pouvoir proposer à ce problème de la fécondité ou de la stérilité inventives une solution même prob</w:t>
      </w:r>
      <w:r w:rsidRPr="000F765B">
        <w:rPr>
          <w:lang w:eastAsia="fr-FR" w:bidi="fr-FR"/>
        </w:rPr>
        <w:t>a</w:t>
      </w:r>
      <w:r w:rsidRPr="000F765B">
        <w:rPr>
          <w:lang w:eastAsia="fr-FR" w:bidi="fr-FR"/>
        </w:rPr>
        <w:t>ble. Peut-être se ramène-t-il, en quelque mesure, à l’appréciation et à l’interprétation du degré de traditionalisme propre aux diverses civil</w:t>
      </w:r>
      <w:r w:rsidRPr="000F765B">
        <w:rPr>
          <w:lang w:eastAsia="fr-FR" w:bidi="fr-FR"/>
        </w:rPr>
        <w:t>i</w:t>
      </w:r>
      <w:r w:rsidRPr="000F765B">
        <w:rPr>
          <w:lang w:eastAsia="fr-FR" w:bidi="fr-FR"/>
        </w:rPr>
        <w:t>sations. Beaucoup a dû dépendre, à cet égard, du mode de transmi</w:t>
      </w:r>
      <w:r w:rsidRPr="000F765B">
        <w:rPr>
          <w:lang w:eastAsia="fr-FR" w:bidi="fr-FR"/>
        </w:rPr>
        <w:t>s</w:t>
      </w:r>
      <w:r w:rsidRPr="000F765B">
        <w:rPr>
          <w:lang w:eastAsia="fr-FR" w:bidi="fr-FR"/>
        </w:rPr>
        <w:t>sion des souvenirs et des recettes. Le conservatisme, au moins relatif, d’un grand nombre de sociétés rurales ne tient-il pas, pour une large part, au fait que, l’homme et la femme d’âge mûr étant accaparés constamment par de multiples travaux, l’enfant y est avant tout élevé par les vieillards ?</w:t>
      </w:r>
    </w:p>
    <w:p w14:paraId="2E5F9BAC" w14:textId="77777777" w:rsidR="00B9662D" w:rsidRPr="000F765B" w:rsidRDefault="00B9662D" w:rsidP="00B9662D">
      <w:pPr>
        <w:spacing w:before="120" w:after="120"/>
        <w:jc w:val="both"/>
      </w:pPr>
      <w:r w:rsidRPr="000F765B">
        <w:rPr>
          <w:lang w:eastAsia="fr-FR" w:bidi="fr-FR"/>
        </w:rPr>
        <w:t>L’invention, cependant, n’est pas tout. Encore faut-il que la colle</w:t>
      </w:r>
      <w:r w:rsidRPr="000F765B">
        <w:rPr>
          <w:lang w:eastAsia="fr-FR" w:bidi="fr-FR"/>
        </w:rPr>
        <w:t>c</w:t>
      </w:r>
      <w:r w:rsidRPr="000F765B">
        <w:rPr>
          <w:lang w:eastAsia="fr-FR" w:bidi="fr-FR"/>
        </w:rPr>
        <w:t>tivité l’accepte et la propage. Ici, plus que jamais, la technique cesse d’être la seule maîtresse de son propre destin. Si, dans les emblavures du Nord de la France, la faucille, comme instrument de moisson, a longtemps écarté la faux, ce n’était pas que cette dernière fût ignorée ; l’emploi en était d’ores et déjà traditionnel, sur les prés. Mais la fa</w:t>
      </w:r>
      <w:r w:rsidRPr="000F765B">
        <w:rPr>
          <w:lang w:eastAsia="fr-FR" w:bidi="fr-FR"/>
        </w:rPr>
        <w:t>u</w:t>
      </w:r>
      <w:r w:rsidRPr="000F765B">
        <w:rPr>
          <w:lang w:eastAsia="fr-FR" w:bidi="fr-FR"/>
        </w:rPr>
        <w:t xml:space="preserve">cille, qui coupe haut, laissait implantées dans le sol d’assez longues </w:t>
      </w:r>
      <w:r w:rsidRPr="000F765B">
        <w:rPr>
          <w:lang w:eastAsia="fr-FR" w:bidi="fr-FR"/>
        </w:rPr>
        <w:lastRenderedPageBreak/>
        <w:t>tiges. Or, en vertu d’une coutume très antique, la cueillette de ces chaumes, sur les guérets dépouillés d’épis, appartenait au groupe vi</w:t>
      </w:r>
      <w:r w:rsidRPr="000F765B">
        <w:rPr>
          <w:lang w:eastAsia="fr-FR" w:bidi="fr-FR"/>
        </w:rPr>
        <w:t>l</w:t>
      </w:r>
      <w:r w:rsidRPr="000F765B">
        <w:rPr>
          <w:lang w:eastAsia="fr-FR" w:bidi="fr-FR"/>
        </w:rPr>
        <w:t>lageois tout entier, sans distinction de limites entre les propriétés. I</w:t>
      </w:r>
      <w:r w:rsidRPr="000F765B">
        <w:rPr>
          <w:lang w:eastAsia="fr-FR" w:bidi="fr-FR"/>
        </w:rPr>
        <w:t>m</w:t>
      </w:r>
      <w:r w:rsidRPr="000F765B">
        <w:rPr>
          <w:lang w:eastAsia="fr-FR" w:bidi="fr-FR"/>
        </w:rPr>
        <w:t>posée, tant que le vieil ordre social eut l’appui des tribunaux, par d</w:t>
      </w:r>
      <w:r w:rsidRPr="000F765B">
        <w:rPr>
          <w:lang w:eastAsia="fr-FR" w:bidi="fr-FR"/>
        </w:rPr>
        <w:t>i</w:t>
      </w:r>
      <w:r w:rsidRPr="000F765B">
        <w:rPr>
          <w:lang w:eastAsia="fr-FR" w:bidi="fr-FR"/>
        </w:rPr>
        <w:t>verses décisions de justice, la faucille était donc l’instrument obligé d’une économie encore pénétrée d’esprit communautaire ; la faux, l’outil à la fois et comme le symbole d’une agriculture individualisée, dont elle partagea finalement le triomphe.</w:t>
      </w:r>
    </w:p>
    <w:p w14:paraId="24E3D34D" w14:textId="77777777" w:rsidR="00B9662D" w:rsidRPr="000F765B" w:rsidRDefault="00B9662D" w:rsidP="00B9662D">
      <w:pPr>
        <w:spacing w:before="120" w:after="120"/>
        <w:jc w:val="both"/>
      </w:pPr>
      <w:r w:rsidRPr="000F765B">
        <w:rPr>
          <w:lang w:eastAsia="fr-FR" w:bidi="fr-FR"/>
        </w:rPr>
        <w:t>Mais de ce jeu complexe d’influences entrecroisées, il n’existe sans doute pas de témoignage plus révélateur que l’histoire du moulin à eau. Née vraisemblablement, peu avant l’ère chrétienne, de la roue à palettes que les jardiniers de l’Orient méditerranéen avaient d’abord employée à élever vers leurs vergers l’eau nourricière, cette mervei</w:t>
      </w:r>
      <w:r w:rsidRPr="000F765B">
        <w:rPr>
          <w:lang w:eastAsia="fr-FR" w:bidi="fr-FR"/>
        </w:rPr>
        <w:t>l</w:t>
      </w:r>
      <w:r w:rsidRPr="000F765B">
        <w:rPr>
          <w:lang w:eastAsia="fr-FR" w:bidi="fr-FR"/>
        </w:rPr>
        <w:t xml:space="preserve">leuse machine, la première qui, pour épargner la peine des hommes, ait fait appel aux énergies de la nature inanimée, demeura cependant, jusqu’aux derniers siècles de l’antiquité, à peu près dépourvue d’application pratique. C’était, en vérité, que l’économie du travail humain ne paraissait, en ce temps, nullement nécessaire. Dans un monde où la main-d’œuvre servile était abondante et de faible prix, n’y avait-il pas assez d’esclaves pour mouvoir le mortier ou tourner la meule ? Vint pourtant un moment où ce triste bétail d’abord se fit plus rare, puis disparut presque totalement. Pour des raisons, qui, au début, tenaient avant tout à la balance des forces entre sociétés ennemies, les guerres de Rome avaient cessé d’être d’heureuses razzias. Plus tard, pour des raisons religieuses : l’Église, qui ne répugnait pas à l’esclavage, en soi, interdisait, par contre, qu’on réduisît en captivité des chrétiens, au moins de foi censée orthodoxe : car l’esclave avait toujours été pris en dehors de la cité et désormais, au sein de la </w:t>
      </w:r>
      <w:r w:rsidRPr="00D86209">
        <w:rPr>
          <w:i/>
        </w:rPr>
        <w:t>soci</w:t>
      </w:r>
      <w:r w:rsidRPr="00D86209">
        <w:rPr>
          <w:i/>
        </w:rPr>
        <w:t>e</w:t>
      </w:r>
      <w:r w:rsidRPr="00D86209">
        <w:rPr>
          <w:i/>
        </w:rPr>
        <w:t>tas christiana</w:t>
      </w:r>
      <w:r w:rsidRPr="000F765B">
        <w:rPr>
          <w:lang w:eastAsia="fr-FR" w:bidi="fr-FR"/>
        </w:rPr>
        <w:t>, tous les fidèles passaient pour appartenir à la même nation. La conversion des barbares avait donc presque complètement tari les terrains de chasse. On vit alors les roues de moulin se mult</w:t>
      </w:r>
      <w:r w:rsidRPr="000F765B">
        <w:rPr>
          <w:lang w:eastAsia="fr-FR" w:bidi="fr-FR"/>
        </w:rPr>
        <w:t>i</w:t>
      </w:r>
      <w:r w:rsidRPr="000F765B">
        <w:rPr>
          <w:lang w:eastAsia="fr-FR" w:bidi="fr-FR"/>
        </w:rPr>
        <w:t>plier rapidement, au fil des rivières : non, comme l’avait naguère m</w:t>
      </w:r>
      <w:r w:rsidRPr="000F765B">
        <w:rPr>
          <w:lang w:eastAsia="fr-FR" w:bidi="fr-FR"/>
        </w:rPr>
        <w:t>i</w:t>
      </w:r>
      <w:r w:rsidRPr="000F765B">
        <w:rPr>
          <w:lang w:eastAsia="fr-FR" w:bidi="fr-FR"/>
        </w:rPr>
        <w:t>séricordieusement souhaité un poète</w:t>
      </w:r>
      <w:r>
        <w:rPr>
          <w:lang w:eastAsia="fr-FR" w:bidi="fr-FR"/>
        </w:rPr>
        <w:t xml:space="preserve"> </w:t>
      </w:r>
      <w:r>
        <w:t xml:space="preserve">[838] </w:t>
      </w:r>
      <w:r w:rsidRPr="000F765B">
        <w:rPr>
          <w:lang w:eastAsia="fr-FR" w:bidi="fr-FR"/>
        </w:rPr>
        <w:t>de l’Anthologie, afin que, relayées par les Nymphes, les servantes dorénavant pussent jouir de longs sommeils ; mais parce que, bea</w:t>
      </w:r>
      <w:r w:rsidRPr="000F765B">
        <w:rPr>
          <w:lang w:eastAsia="fr-FR" w:bidi="fr-FR"/>
        </w:rPr>
        <w:t>u</w:t>
      </w:r>
      <w:r w:rsidRPr="000F765B">
        <w:rPr>
          <w:lang w:eastAsia="fr-FR" w:bidi="fr-FR"/>
        </w:rPr>
        <w:t>coup moins nombreux qu’autrefois, les serviteurs ou servantes co</w:t>
      </w:r>
      <w:r w:rsidRPr="000F765B">
        <w:rPr>
          <w:lang w:eastAsia="fr-FR" w:bidi="fr-FR"/>
        </w:rPr>
        <w:t>û</w:t>
      </w:r>
      <w:r w:rsidRPr="000F765B">
        <w:rPr>
          <w:lang w:eastAsia="fr-FR" w:bidi="fr-FR"/>
        </w:rPr>
        <w:t xml:space="preserve">taient plus cher ou bien, ayant cessé d’être soumis à la rude loi de l’esclavage, n’obéissaient plus aussi aveuglément. Comme ouvrières, même compte tenu des </w:t>
      </w:r>
      <w:r w:rsidRPr="000F765B">
        <w:rPr>
          <w:lang w:eastAsia="fr-FR" w:bidi="fr-FR"/>
        </w:rPr>
        <w:lastRenderedPageBreak/>
        <w:t>frais de la machinerie, les déités de l’eau, à tout prendre, valaient mieux.</w:t>
      </w:r>
    </w:p>
    <w:p w14:paraId="532E0531" w14:textId="77777777" w:rsidR="00B9662D" w:rsidRPr="000F765B" w:rsidRDefault="00B9662D" w:rsidP="00B9662D">
      <w:pPr>
        <w:spacing w:before="120" w:after="120"/>
        <w:jc w:val="both"/>
      </w:pPr>
      <w:r w:rsidRPr="000F765B">
        <w:rPr>
          <w:lang w:eastAsia="fr-FR" w:bidi="fr-FR"/>
        </w:rPr>
        <w:t>Restaient néanmoins, dans les chaumières paysannes, d’innombrables instruments de broyage, modestement mis en branle par la main des ménagères. Ces rudimentaires outils domestiques a</w:t>
      </w:r>
      <w:r w:rsidRPr="000F765B">
        <w:rPr>
          <w:lang w:eastAsia="fr-FR" w:bidi="fr-FR"/>
        </w:rPr>
        <w:t>u</w:t>
      </w:r>
      <w:r w:rsidRPr="000F765B">
        <w:rPr>
          <w:lang w:eastAsia="fr-FR" w:bidi="fr-FR"/>
        </w:rPr>
        <w:t>raient probablement duré jusqu’à nos jours</w:t>
      </w:r>
      <w:r>
        <w:rPr>
          <w:lang w:eastAsia="fr-FR" w:bidi="fr-FR"/>
        </w:rPr>
        <w:t> — </w:t>
      </w:r>
      <w:r w:rsidRPr="000F765B">
        <w:rPr>
          <w:lang w:eastAsia="fr-FR" w:bidi="fr-FR"/>
        </w:rPr>
        <w:t>aussi bien quelques-uns d’entre eux, çà et là, n’ont-ils guère eu une longévité moindre</w:t>
      </w:r>
      <w:r>
        <w:rPr>
          <w:lang w:eastAsia="fr-FR" w:bidi="fr-FR"/>
        </w:rPr>
        <w:t> — </w:t>
      </w:r>
      <w:r w:rsidRPr="000F765B">
        <w:rPr>
          <w:lang w:eastAsia="fr-FR" w:bidi="fr-FR"/>
        </w:rPr>
        <w:t>si, maîtres des moulins banaux dont ils tiraient de beaux profits, les se</w:t>
      </w:r>
      <w:r w:rsidRPr="000F765B">
        <w:rPr>
          <w:lang w:eastAsia="fr-FR" w:bidi="fr-FR"/>
        </w:rPr>
        <w:t>i</w:t>
      </w:r>
      <w:r w:rsidRPr="000F765B">
        <w:rPr>
          <w:lang w:eastAsia="fr-FR" w:bidi="fr-FR"/>
        </w:rPr>
        <w:t>gneurs de villages n’avaient vigoureusement usé de leurs droits de contrainte pour proscrire une si dangereuse concurrence à leur mon</w:t>
      </w:r>
      <w:r w:rsidRPr="000F765B">
        <w:rPr>
          <w:lang w:eastAsia="fr-FR" w:bidi="fr-FR"/>
        </w:rPr>
        <w:t>o</w:t>
      </w:r>
      <w:r w:rsidRPr="000F765B">
        <w:rPr>
          <w:lang w:eastAsia="fr-FR" w:bidi="fr-FR"/>
        </w:rPr>
        <w:t>pole. Fait des débris de meules à bras, ainsi saisies dans les maisons des manants, le carr</w:t>
      </w:r>
      <w:r>
        <w:rPr>
          <w:lang w:eastAsia="fr-FR" w:bidi="fr-FR"/>
        </w:rPr>
        <w:t>elage dont les moines de Saint-</w:t>
      </w:r>
      <w:r w:rsidRPr="000F765B">
        <w:rPr>
          <w:lang w:eastAsia="fr-FR" w:bidi="fr-FR"/>
        </w:rPr>
        <w:t>Alban avaient pavé leur parloir racontait à sa façon la victoire de la machine sur l’homme. Trophée du progrès technique ? Oui, sans doute, à voir les choses de haut et de loin. Mais, dans la pensée des vainqueurs comme des vai</w:t>
      </w:r>
      <w:r w:rsidRPr="000F765B">
        <w:rPr>
          <w:lang w:eastAsia="fr-FR" w:bidi="fr-FR"/>
        </w:rPr>
        <w:t>n</w:t>
      </w:r>
      <w:r w:rsidRPr="000F765B">
        <w:rPr>
          <w:lang w:eastAsia="fr-FR" w:bidi="fr-FR"/>
        </w:rPr>
        <w:t>cus, symbole, avant tout, du triomphe de l’autorité. En un mot, une invention très ancienne et qui, dès l’origine, avait presque atteint son plus haut point de perfectionnement, n’assura en fin de compte ses conquêtes que par l’action successive de facteurs fort étrangers à ses vertus intrinsèques : la défaite d’un Empire ; une croyance ; une stru</w:t>
      </w:r>
      <w:r w:rsidRPr="000F765B">
        <w:rPr>
          <w:lang w:eastAsia="fr-FR" w:bidi="fr-FR"/>
        </w:rPr>
        <w:t>c</w:t>
      </w:r>
      <w:r w:rsidRPr="000F765B">
        <w:rPr>
          <w:lang w:eastAsia="fr-FR" w:bidi="fr-FR"/>
        </w:rPr>
        <w:t>ture nouvelle des pouvoirs de commandement.</w:t>
      </w:r>
    </w:p>
    <w:p w14:paraId="278A08F0" w14:textId="77777777" w:rsidR="00B9662D" w:rsidRPr="000F765B" w:rsidRDefault="00B9662D" w:rsidP="00B9662D">
      <w:pPr>
        <w:spacing w:before="120" w:after="120"/>
        <w:jc w:val="both"/>
      </w:pPr>
      <w:r w:rsidRPr="000F765B">
        <w:rPr>
          <w:lang w:eastAsia="fr-FR" w:bidi="fr-FR"/>
        </w:rPr>
        <w:t>Ainsi, la leçon de l’évolution des techniques est double. Elle ense</w:t>
      </w:r>
      <w:r w:rsidRPr="000F765B">
        <w:rPr>
          <w:lang w:eastAsia="fr-FR" w:bidi="fr-FR"/>
        </w:rPr>
        <w:t>i</w:t>
      </w:r>
      <w:r w:rsidRPr="000F765B">
        <w:rPr>
          <w:lang w:eastAsia="fr-FR" w:bidi="fr-FR"/>
        </w:rPr>
        <w:t>gne que l’historiographie, si elle veut vraiment comprendre l’homme, doit se faire comme lui artisane ; qu’autant ou davantage que bien des objets plus familiers à une tradition à la fois oratoire et faussement aristocratique, l’instrument le plus humble, l’esprit inventif du plus discret compagnon méritent d’arrêter nos regards ; que raconter le combat sans les armes, le paysan sans la charrue, la société entière sans l’outil, c’est assembler de vaines nuées. Mais elle révèle aussi qu’il n’existe point de train d’ondes causales privilégié ; point d’ordre de faits toujours et partout déterminants, opposés à de perpétuels ép</w:t>
      </w:r>
      <w:r w:rsidRPr="000F765B">
        <w:rPr>
          <w:lang w:eastAsia="fr-FR" w:bidi="fr-FR"/>
        </w:rPr>
        <w:t>i</w:t>
      </w:r>
      <w:r w:rsidRPr="000F765B">
        <w:rPr>
          <w:lang w:eastAsia="fr-FR" w:bidi="fr-FR"/>
        </w:rPr>
        <w:t>phénomènes ; qu’au contraire toute société, comme tout esprit, est i</w:t>
      </w:r>
      <w:r w:rsidRPr="000F765B">
        <w:rPr>
          <w:lang w:eastAsia="fr-FR" w:bidi="fr-FR"/>
        </w:rPr>
        <w:t>s</w:t>
      </w:r>
      <w:r w:rsidRPr="000F765B">
        <w:rPr>
          <w:lang w:eastAsia="fr-FR" w:bidi="fr-FR"/>
        </w:rPr>
        <w:t>sue de constantes interactions. Le vrai réalisme en histoire, c’est de savoir que la réalité humaine est multiple.</w:t>
      </w:r>
    </w:p>
    <w:p w14:paraId="75859462" w14:textId="77777777" w:rsidR="00B9662D" w:rsidRDefault="00B9662D" w:rsidP="00B9662D">
      <w:pPr>
        <w:pStyle w:val="p"/>
      </w:pPr>
      <w:r w:rsidRPr="000F765B">
        <w:br w:type="page"/>
      </w:r>
      <w:r>
        <w:lastRenderedPageBreak/>
        <w:t>[839]</w:t>
      </w:r>
    </w:p>
    <w:p w14:paraId="209A7275" w14:textId="77777777" w:rsidR="00B9662D" w:rsidRDefault="00B9662D" w:rsidP="00B9662D">
      <w:pPr>
        <w:jc w:val="both"/>
      </w:pPr>
    </w:p>
    <w:p w14:paraId="6025B9E9" w14:textId="77777777" w:rsidR="00B9662D" w:rsidRDefault="00B9662D" w:rsidP="00B9662D">
      <w:pPr>
        <w:jc w:val="both"/>
      </w:pPr>
    </w:p>
    <w:p w14:paraId="2259FD75" w14:textId="77777777" w:rsidR="00B9662D" w:rsidRPr="00E07116" w:rsidRDefault="00B9662D" w:rsidP="00B9662D">
      <w:pPr>
        <w:jc w:val="both"/>
      </w:pPr>
    </w:p>
    <w:p w14:paraId="715D34DD" w14:textId="77777777" w:rsidR="00B9662D" w:rsidRPr="00F54CC7" w:rsidRDefault="00B9662D" w:rsidP="00B9662D">
      <w:pPr>
        <w:spacing w:after="120"/>
        <w:ind w:firstLine="0"/>
        <w:jc w:val="center"/>
        <w:rPr>
          <w:sz w:val="24"/>
        </w:rPr>
      </w:pPr>
      <w:bookmarkStart w:id="42" w:name="Melanges_t2_pt_8_chap_V"/>
      <w:r>
        <w:rPr>
          <w:b/>
          <w:sz w:val="24"/>
        </w:rPr>
        <w:t>Mélanges historiques.</w:t>
      </w:r>
      <w:r>
        <w:rPr>
          <w:b/>
          <w:sz w:val="24"/>
        </w:rPr>
        <w:br/>
      </w:r>
      <w:r w:rsidRPr="000D320C">
        <w:rPr>
          <w:color w:val="FF0000"/>
          <w:sz w:val="24"/>
        </w:rPr>
        <w:t>Tome I</w:t>
      </w:r>
      <w:r>
        <w:rPr>
          <w:color w:val="FF0000"/>
          <w:sz w:val="24"/>
        </w:rPr>
        <w:t>I</w:t>
      </w:r>
      <w:r w:rsidRPr="000D320C">
        <w:rPr>
          <w:sz w:val="24"/>
        </w:rPr>
        <w:t>.</w:t>
      </w:r>
    </w:p>
    <w:p w14:paraId="1FC1E771"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6CD895C4" w14:textId="77777777" w:rsidR="00B9662D" w:rsidRPr="00384B20" w:rsidRDefault="00B9662D" w:rsidP="00B9662D">
      <w:pPr>
        <w:pStyle w:val="Titreniveau1"/>
      </w:pPr>
      <w:r>
        <w:t>Chapitre V</w:t>
      </w:r>
    </w:p>
    <w:p w14:paraId="4BF6777D" w14:textId="77777777" w:rsidR="00B9662D" w:rsidRPr="00E07116" w:rsidRDefault="00B9662D" w:rsidP="00B9662D">
      <w:pPr>
        <w:jc w:val="both"/>
        <w:rPr>
          <w:szCs w:val="36"/>
        </w:rPr>
      </w:pPr>
    </w:p>
    <w:p w14:paraId="4952D6D8" w14:textId="77777777" w:rsidR="00B9662D" w:rsidRPr="00E07116" w:rsidRDefault="00B9662D" w:rsidP="00B9662D">
      <w:pPr>
        <w:pStyle w:val="Titreniveau2"/>
      </w:pPr>
      <w:r>
        <w:t>LE PROBLÈME DE L’OR</w:t>
      </w:r>
      <w:r>
        <w:br/>
        <w:t>AU MOYEN ÂGE </w:t>
      </w:r>
      <w:r>
        <w:rPr>
          <w:rStyle w:val="Appelnotedebasdep"/>
        </w:rPr>
        <w:footnoteReference w:id="833"/>
      </w:r>
    </w:p>
    <w:bookmarkEnd w:id="42"/>
    <w:p w14:paraId="0A08ED8B" w14:textId="77777777" w:rsidR="00B9662D" w:rsidRDefault="00B9662D" w:rsidP="00B9662D">
      <w:pPr>
        <w:jc w:val="both"/>
        <w:rPr>
          <w:szCs w:val="36"/>
        </w:rPr>
      </w:pPr>
    </w:p>
    <w:p w14:paraId="138DB581" w14:textId="77777777" w:rsidR="00B9662D" w:rsidRDefault="00B9662D" w:rsidP="00B9662D">
      <w:pPr>
        <w:spacing w:before="120" w:after="120"/>
        <w:jc w:val="both"/>
        <w:rPr>
          <w:color w:val="000000"/>
          <w:lang w:eastAsia="fr-FR" w:bidi="fr-FR"/>
        </w:rPr>
      </w:pPr>
    </w:p>
    <w:p w14:paraId="3E78DEB2" w14:textId="77777777" w:rsidR="00B9662D" w:rsidRDefault="00B9662D" w:rsidP="00B9662D">
      <w:pPr>
        <w:spacing w:before="120" w:after="120"/>
        <w:jc w:val="both"/>
      </w:pPr>
    </w:p>
    <w:p w14:paraId="3E041B6B" w14:textId="77777777" w:rsidR="00B9662D" w:rsidRDefault="00B9662D" w:rsidP="00B9662D">
      <w:pPr>
        <w:spacing w:before="120" w:after="120"/>
        <w:jc w:val="both"/>
        <w:rPr>
          <w:lang w:eastAsia="fr-FR" w:bidi="fr-FR"/>
        </w:rPr>
      </w:pPr>
    </w:p>
    <w:p w14:paraId="3E9CC006"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E7F6C17" w14:textId="77777777" w:rsidR="00B9662D" w:rsidRPr="000F765B" w:rsidRDefault="00B9662D" w:rsidP="00B9662D">
      <w:pPr>
        <w:spacing w:before="120" w:after="120"/>
        <w:jc w:val="both"/>
      </w:pPr>
      <w:r w:rsidRPr="000F765B">
        <w:rPr>
          <w:lang w:eastAsia="fr-FR" w:bidi="fr-FR"/>
        </w:rPr>
        <w:t>De tous les appareils enregistreurs, capables de révéler à l’historien les mouvements profonds de l’économie, les phénomènes monétaires sont sans doute le plus sensible. Mais ne leur reconnaître que cette valeur de symptôme serait manquer à leur rendre pleine justice ; ils ont été et sont, à leur tour, des causes ; quelque chose comme un si</w:t>
      </w:r>
      <w:r w:rsidRPr="000F765B">
        <w:rPr>
          <w:lang w:eastAsia="fr-FR" w:bidi="fr-FR"/>
        </w:rPr>
        <w:t>s</w:t>
      </w:r>
      <w:r w:rsidRPr="000F765B">
        <w:rPr>
          <w:lang w:eastAsia="fr-FR" w:bidi="fr-FR"/>
        </w:rPr>
        <w:t>mographe qui, non content de signaler les tremblements de terre, pa</w:t>
      </w:r>
      <w:r w:rsidRPr="000F765B">
        <w:rPr>
          <w:lang w:eastAsia="fr-FR" w:bidi="fr-FR"/>
        </w:rPr>
        <w:t>r</w:t>
      </w:r>
      <w:r w:rsidRPr="000F765B">
        <w:rPr>
          <w:lang w:eastAsia="fr-FR" w:bidi="fr-FR"/>
        </w:rPr>
        <w:t>fois les provoquerait. C’est dire que le jour où nous connaîtrons vér</w:t>
      </w:r>
      <w:r w:rsidRPr="000F765B">
        <w:rPr>
          <w:lang w:eastAsia="fr-FR" w:bidi="fr-FR"/>
        </w:rPr>
        <w:t>i</w:t>
      </w:r>
      <w:r w:rsidRPr="000F765B">
        <w:rPr>
          <w:lang w:eastAsia="fr-FR" w:bidi="fr-FR"/>
        </w:rPr>
        <w:t>tablement l’histoire de l’or</w:t>
      </w:r>
      <w:r>
        <w:rPr>
          <w:lang w:eastAsia="fr-FR" w:bidi="fr-FR"/>
        </w:rPr>
        <w:t> — </w:t>
      </w:r>
      <w:r w:rsidRPr="000F765B">
        <w:rPr>
          <w:lang w:eastAsia="fr-FR" w:bidi="fr-FR"/>
        </w:rPr>
        <w:t>ou, plus exactement, de l’or comme in</w:t>
      </w:r>
      <w:r w:rsidRPr="000F765B">
        <w:rPr>
          <w:lang w:eastAsia="fr-FR" w:bidi="fr-FR"/>
        </w:rPr>
        <w:t>s</w:t>
      </w:r>
      <w:r w:rsidRPr="000F765B">
        <w:rPr>
          <w:lang w:eastAsia="fr-FR" w:bidi="fr-FR"/>
        </w:rPr>
        <w:t>trument d’échanges</w:t>
      </w:r>
      <w:r>
        <w:rPr>
          <w:lang w:eastAsia="fr-FR" w:bidi="fr-FR"/>
        </w:rPr>
        <w:t> — </w:t>
      </w:r>
      <w:r w:rsidRPr="000F765B">
        <w:rPr>
          <w:lang w:eastAsia="fr-FR" w:bidi="fr-FR"/>
        </w:rPr>
        <w:t xml:space="preserve">durant le Moyen </w:t>
      </w:r>
      <w:r>
        <w:rPr>
          <w:lang w:eastAsia="fr-FR" w:bidi="fr-FR"/>
        </w:rPr>
        <w:t>Â</w:t>
      </w:r>
      <w:r w:rsidRPr="000F765B">
        <w:rPr>
          <w:lang w:eastAsia="fr-FR" w:bidi="fr-FR"/>
        </w:rPr>
        <w:t>ge, bien des courants c</w:t>
      </w:r>
      <w:r w:rsidRPr="000F765B">
        <w:rPr>
          <w:lang w:eastAsia="fr-FR" w:bidi="fr-FR"/>
        </w:rPr>
        <w:t>a</w:t>
      </w:r>
      <w:r w:rsidRPr="000F765B">
        <w:rPr>
          <w:lang w:eastAsia="fr-FR" w:bidi="fr-FR"/>
        </w:rPr>
        <w:t xml:space="preserve">chés, bien des liaisons, qui aujourd’hui nous échappent, apparaîtront en pleine lumière. Malheureusement, les faits sont obscurs ; ils ont été, par surcroît, insuffisamment étudiés et, souvent, d’un point de vue qui n’est pas ici le nôtre : la numismatique a peine à sortir des cabinets de curiosités. Je n’ai, pour l’instant, d’autre dessein que de poser les </w:t>
      </w:r>
      <w:r w:rsidRPr="000F765B">
        <w:rPr>
          <w:lang w:eastAsia="fr-FR" w:bidi="fr-FR"/>
        </w:rPr>
        <w:lastRenderedPageBreak/>
        <w:t>grands problèmes et de suggérer quelques solutions, toutes provisoires et conjecturales certes, susceptibles cependant, je l’espère, de servir d’hypothèses de travail</w:t>
      </w:r>
      <w:r>
        <w:rPr>
          <w:lang w:eastAsia="fr-FR" w:bidi="fr-FR"/>
        </w:rPr>
        <w:t> </w:t>
      </w:r>
      <w:r>
        <w:rPr>
          <w:rStyle w:val="Appelnotedebasdep"/>
        </w:rPr>
        <w:footnoteReference w:id="834"/>
      </w:r>
      <w:r w:rsidRPr="000F765B">
        <w:rPr>
          <w:lang w:eastAsia="fr-FR" w:bidi="fr-FR"/>
        </w:rPr>
        <w:t>.</w:t>
      </w:r>
    </w:p>
    <w:p w14:paraId="196273E4" w14:textId="77777777" w:rsidR="00B9662D" w:rsidRDefault="00B9662D" w:rsidP="00B9662D">
      <w:pPr>
        <w:pStyle w:val="c"/>
        <w:rPr>
          <w:lang w:eastAsia="fr-FR" w:bidi="fr-FR"/>
        </w:rPr>
      </w:pPr>
      <w:r>
        <w:rPr>
          <w:lang w:eastAsia="fr-FR" w:bidi="fr-FR"/>
        </w:rPr>
        <w:t>*</w:t>
      </w:r>
      <w:r>
        <w:rPr>
          <w:lang w:eastAsia="fr-FR" w:bidi="fr-FR"/>
        </w:rPr>
        <w:br/>
        <w:t>*     *</w:t>
      </w:r>
    </w:p>
    <w:p w14:paraId="7104BAE1" w14:textId="77777777" w:rsidR="00B9662D" w:rsidRPr="000F765B" w:rsidRDefault="00B9662D" w:rsidP="00B9662D">
      <w:pPr>
        <w:spacing w:before="120" w:after="120"/>
        <w:jc w:val="both"/>
      </w:pPr>
      <w:r w:rsidRPr="000F765B">
        <w:rPr>
          <w:lang w:eastAsia="fr-FR" w:bidi="fr-FR"/>
        </w:rPr>
        <w:t>L’Europe médiévale hérita le système monétaire de l’Empire r</w:t>
      </w:r>
      <w:r w:rsidRPr="000F765B">
        <w:rPr>
          <w:lang w:eastAsia="fr-FR" w:bidi="fr-FR"/>
        </w:rPr>
        <w:t>o</w:t>
      </w:r>
      <w:r w:rsidRPr="000F765B">
        <w:rPr>
          <w:lang w:eastAsia="fr-FR" w:bidi="fr-FR"/>
        </w:rPr>
        <w:t>main. Comment en eût-il été autrement, puisque</w:t>
      </w:r>
      <w:r>
        <w:rPr>
          <w:lang w:eastAsia="fr-FR" w:bidi="fr-FR"/>
        </w:rPr>
        <w:t> — </w:t>
      </w:r>
      <w:r w:rsidRPr="000F765B">
        <w:rPr>
          <w:lang w:eastAsia="fr-FR" w:bidi="fr-FR"/>
        </w:rPr>
        <w:t>plus arriérés en cela que les Gaulois, avant la Conquête</w:t>
      </w:r>
      <w:r>
        <w:rPr>
          <w:lang w:eastAsia="fr-FR" w:bidi="fr-FR"/>
        </w:rPr>
        <w:t> — </w:t>
      </w:r>
      <w:r w:rsidRPr="000F765B">
        <w:rPr>
          <w:lang w:eastAsia="fr-FR" w:bidi="fr-FR"/>
        </w:rPr>
        <w:t xml:space="preserve">les Germains, à bien peu d’exceptions près, ne possédaient point de monnaies qui leur fussent propres. Plus précisément, elle hérita le système réorganisé, après les troubles du </w:t>
      </w:r>
      <w:r>
        <w:rPr>
          <w:lang w:eastAsia="fr-FR" w:bidi="fr-FR"/>
        </w:rPr>
        <w:t>III</w:t>
      </w:r>
      <w:r w:rsidRPr="000F765B">
        <w:rPr>
          <w:vertAlign w:val="superscript"/>
          <w:lang w:eastAsia="fr-FR" w:bidi="fr-FR"/>
        </w:rPr>
        <w:t>e</w:t>
      </w:r>
      <w:r w:rsidRPr="000F765B">
        <w:rPr>
          <w:lang w:eastAsia="fr-FR" w:bidi="fr-FR"/>
        </w:rPr>
        <w:t xml:space="preserve"> siècle, par la monarchie constantinienne. L’unité fo</w:t>
      </w:r>
      <w:r w:rsidRPr="000F765B">
        <w:rPr>
          <w:lang w:eastAsia="fr-FR" w:bidi="fr-FR"/>
        </w:rPr>
        <w:t>n</w:t>
      </w:r>
      <w:r>
        <w:rPr>
          <w:lang w:eastAsia="fr-FR" w:bidi="fr-FR"/>
        </w:rPr>
        <w:t>damentale en était une pièce d’</w:t>
      </w:r>
      <w:r w:rsidRPr="000F765B">
        <w:rPr>
          <w:lang w:eastAsia="fr-FR" w:bidi="fr-FR"/>
        </w:rPr>
        <w:t xml:space="preserve">« or massif », </w:t>
      </w:r>
      <w:r>
        <w:rPr>
          <w:lang w:eastAsia="fr-FR" w:bidi="fr-FR"/>
        </w:rPr>
        <w:t>l’</w:t>
      </w:r>
      <w:r w:rsidRPr="001152EC">
        <w:rPr>
          <w:i/>
        </w:rPr>
        <w:t>aureus solidus</w:t>
      </w:r>
      <w:r w:rsidRPr="000F765B">
        <w:t>,</w:t>
      </w:r>
      <w:r w:rsidRPr="000F765B">
        <w:rPr>
          <w:lang w:eastAsia="fr-FR" w:bidi="fr-FR"/>
        </w:rPr>
        <w:t xml:space="preserve"> le « sou », qui renfermait, en principe, 4 gr. 48 de métal fin, soit, par la teneur, l’équivalent d’un peu moins</w:t>
      </w:r>
      <w:r>
        <w:t xml:space="preserve"> [840] </w:t>
      </w:r>
      <w:r w:rsidRPr="000F765B">
        <w:rPr>
          <w:lang w:eastAsia="fr-FR" w:bidi="fr-FR"/>
        </w:rPr>
        <w:t>de 76 francs français d’aujourd’hui. Des piè</w:t>
      </w:r>
      <w:r>
        <w:rPr>
          <w:lang w:eastAsia="fr-FR" w:bidi="fr-FR"/>
        </w:rPr>
        <w:t>ces d’or divisionna</w:t>
      </w:r>
      <w:r>
        <w:rPr>
          <w:lang w:eastAsia="fr-FR" w:bidi="fr-FR"/>
        </w:rPr>
        <w:t>i</w:t>
      </w:r>
      <w:r>
        <w:rPr>
          <w:lang w:eastAsia="fr-FR" w:bidi="fr-FR"/>
        </w:rPr>
        <w:t>res — demi-</w:t>
      </w:r>
      <w:r w:rsidRPr="000F765B">
        <w:rPr>
          <w:lang w:eastAsia="fr-FR" w:bidi="fr-FR"/>
        </w:rPr>
        <w:t>sous, tiers de sou</w:t>
      </w:r>
      <w:r>
        <w:rPr>
          <w:lang w:eastAsia="fr-FR" w:bidi="fr-FR"/>
        </w:rPr>
        <w:t> — </w:t>
      </w:r>
      <w:r w:rsidRPr="000F765B">
        <w:rPr>
          <w:lang w:eastAsia="fr-FR" w:bidi="fr-FR"/>
        </w:rPr>
        <w:t xml:space="preserve">circulaient aussi. </w:t>
      </w:r>
      <w:r>
        <w:rPr>
          <w:lang w:eastAsia="fr-FR" w:bidi="fr-FR"/>
        </w:rPr>
        <w:t>À</w:t>
      </w:r>
      <w:r w:rsidRPr="000F765B">
        <w:rPr>
          <w:lang w:eastAsia="fr-FR" w:bidi="fr-FR"/>
        </w:rPr>
        <w:t xml:space="preserve"> côté de l’or, l’argent, le cuivre même étaient frappés. Un rapport fixé par l’État unissait entre elles les v</w:t>
      </w:r>
      <w:r w:rsidRPr="000F765B">
        <w:rPr>
          <w:lang w:eastAsia="fr-FR" w:bidi="fr-FR"/>
        </w:rPr>
        <w:t>a</w:t>
      </w:r>
      <w:r w:rsidRPr="000F765B">
        <w:rPr>
          <w:lang w:eastAsia="fr-FR" w:bidi="fr-FR"/>
        </w:rPr>
        <w:t>leurs d’échanges de ces diverses espèces. Les monarchies barbares prirent d’abord la suite de ce régime, aussi exactement qu’elles le p</w:t>
      </w:r>
      <w:r w:rsidRPr="000F765B">
        <w:rPr>
          <w:lang w:eastAsia="fr-FR" w:bidi="fr-FR"/>
        </w:rPr>
        <w:t>u</w:t>
      </w:r>
      <w:r w:rsidRPr="000F765B">
        <w:rPr>
          <w:lang w:eastAsia="fr-FR" w:bidi="fr-FR"/>
        </w:rPr>
        <w:t xml:space="preserve">rent. </w:t>
      </w:r>
      <w:r>
        <w:rPr>
          <w:lang w:eastAsia="fr-FR" w:bidi="fr-FR"/>
        </w:rPr>
        <w:t>À</w:t>
      </w:r>
      <w:r w:rsidRPr="000F765B">
        <w:rPr>
          <w:lang w:eastAsia="fr-FR" w:bidi="fr-FR"/>
        </w:rPr>
        <w:t xml:space="preserve"> dire vrai, sauf dans le Nord de l’Angleterre, où les métaux pr</w:t>
      </w:r>
      <w:r w:rsidRPr="000F765B">
        <w:rPr>
          <w:lang w:eastAsia="fr-FR" w:bidi="fr-FR"/>
        </w:rPr>
        <w:t>é</w:t>
      </w:r>
      <w:r w:rsidRPr="000F765B">
        <w:rPr>
          <w:lang w:eastAsia="fr-FR" w:bidi="fr-FR"/>
        </w:rPr>
        <w:t>cieux étaient sans doute assez rares, il fallut bientôt renoncer à la monnaie de cuivre ; véritable monnaie d’appoint, sa valeur était sans rapport avec celle de la matière ; ni les États, devenus trop faibles, ni les monnayeurs privés, qui s’étaient multipliés surtout dans la Gaule franque, n’avaient l’autorité nécessa</w:t>
      </w:r>
      <w:r w:rsidRPr="000F765B">
        <w:rPr>
          <w:lang w:eastAsia="fr-FR" w:bidi="fr-FR"/>
        </w:rPr>
        <w:t>i</w:t>
      </w:r>
      <w:r w:rsidRPr="000F765B">
        <w:rPr>
          <w:lang w:eastAsia="fr-FR" w:bidi="fr-FR"/>
        </w:rPr>
        <w:t>re pour imposer à la circulation un simple signe. L’or, par contre, avec l’argent, continua d’être tr</w:t>
      </w:r>
      <w:r w:rsidRPr="000F765B">
        <w:rPr>
          <w:lang w:eastAsia="fr-FR" w:bidi="fr-FR"/>
        </w:rPr>
        <w:t>a</w:t>
      </w:r>
      <w:r w:rsidRPr="000F765B">
        <w:rPr>
          <w:lang w:eastAsia="fr-FR" w:bidi="fr-FR"/>
        </w:rPr>
        <w:t>vaillé dans les ateliers ; on frappa des sous et surtout des tiers de sous chez les Visigoths, les Lombards, les Francs, les Anglo-Saxons. Mais ce ne fut pas pour longtemps.</w:t>
      </w:r>
    </w:p>
    <w:p w14:paraId="5D824DC3" w14:textId="77777777" w:rsidR="00B9662D" w:rsidRPr="000F765B" w:rsidRDefault="00B9662D" w:rsidP="00B9662D">
      <w:pPr>
        <w:spacing w:before="120" w:after="120"/>
        <w:jc w:val="both"/>
      </w:pPr>
      <w:r w:rsidRPr="000F765B">
        <w:rPr>
          <w:lang w:eastAsia="fr-FR" w:bidi="fr-FR"/>
        </w:rPr>
        <w:t>Dès l’époque carolingienne, en effet, un schisme monétaire, sym</w:t>
      </w:r>
      <w:r w:rsidRPr="000F765B">
        <w:rPr>
          <w:lang w:eastAsia="fr-FR" w:bidi="fr-FR"/>
        </w:rPr>
        <w:t>p</w:t>
      </w:r>
      <w:r w:rsidRPr="000F765B">
        <w:rPr>
          <w:lang w:eastAsia="fr-FR" w:bidi="fr-FR"/>
        </w:rPr>
        <w:t>tôme, dans l’ordre économique, de plus profonds contrastes, vint div</w:t>
      </w:r>
      <w:r w:rsidRPr="000F765B">
        <w:rPr>
          <w:lang w:eastAsia="fr-FR" w:bidi="fr-FR"/>
        </w:rPr>
        <w:t>i</w:t>
      </w:r>
      <w:r w:rsidRPr="000F765B">
        <w:rPr>
          <w:lang w:eastAsia="fr-FR" w:bidi="fr-FR"/>
        </w:rPr>
        <w:lastRenderedPageBreak/>
        <w:t xml:space="preserve">ser l’Europe. Le monde byzantin demeura fidèle à l’or. Sous les noms nouveaux de </w:t>
      </w:r>
      <w:r>
        <w:rPr>
          <w:lang w:eastAsia="fr-FR" w:bidi="fr-FR"/>
        </w:rPr>
        <w:t>νόμισμα</w:t>
      </w:r>
      <w:r w:rsidRPr="000F765B">
        <w:rPr>
          <w:lang w:eastAsia="fr-FR" w:bidi="fr-FR"/>
        </w:rPr>
        <w:t>, puis d’</w:t>
      </w:r>
      <w:r>
        <w:rPr>
          <w:lang w:eastAsia="fr-FR" w:bidi="fr-FR"/>
        </w:rPr>
        <w:t>ϋπέpπυpoν</w:t>
      </w:r>
      <w:r w:rsidRPr="000F765B">
        <w:rPr>
          <w:lang w:eastAsia="fr-FR" w:bidi="fr-FR"/>
        </w:rPr>
        <w:t>, le sou constantinien ne ce</w:t>
      </w:r>
      <w:r w:rsidRPr="000F765B">
        <w:rPr>
          <w:lang w:eastAsia="fr-FR" w:bidi="fr-FR"/>
        </w:rPr>
        <w:t>s</w:t>
      </w:r>
      <w:r w:rsidRPr="000F765B">
        <w:rPr>
          <w:lang w:eastAsia="fr-FR" w:bidi="fr-FR"/>
        </w:rPr>
        <w:t>sa d’y être frappé. Sans doute, sa teneur fut loin d’être immuable. Elle subit diverses oscillations, en baisse et en hausse. Surtout, un lent mouvement d’ensemble l’entraîna vers cet amenuisement qui, pour des raisons diverses</w:t>
      </w:r>
      <w:r>
        <w:rPr>
          <w:lang w:eastAsia="fr-FR" w:bidi="fr-FR"/>
        </w:rPr>
        <w:t> — </w:t>
      </w:r>
      <w:r w:rsidRPr="000F765B">
        <w:rPr>
          <w:lang w:eastAsia="fr-FR" w:bidi="fr-FR"/>
        </w:rPr>
        <w:t>ne fût-ce que la nécessité de mettre les nouve</w:t>
      </w:r>
      <w:r w:rsidRPr="000F765B">
        <w:rPr>
          <w:lang w:eastAsia="fr-FR" w:bidi="fr-FR"/>
        </w:rPr>
        <w:t>l</w:t>
      </w:r>
      <w:r w:rsidRPr="000F765B">
        <w:rPr>
          <w:lang w:eastAsia="fr-FR" w:bidi="fr-FR"/>
        </w:rPr>
        <w:t>les pièces au niveau des anciennes, perpétuellement rognées,</w:t>
      </w:r>
      <w:r>
        <w:rPr>
          <w:lang w:eastAsia="fr-FR" w:bidi="fr-FR"/>
        </w:rPr>
        <w:t> — </w:t>
      </w:r>
      <w:r w:rsidRPr="000F765B">
        <w:rPr>
          <w:lang w:eastAsia="fr-FR" w:bidi="fr-FR"/>
        </w:rPr>
        <w:t>semble avoir été l’inéluctable destin des monnaies médiévales. Ma</w:t>
      </w:r>
      <w:r w:rsidRPr="000F765B">
        <w:rPr>
          <w:lang w:eastAsia="fr-FR" w:bidi="fr-FR"/>
        </w:rPr>
        <w:t>l</w:t>
      </w:r>
      <w:r w:rsidRPr="000F765B">
        <w:rPr>
          <w:lang w:eastAsia="fr-FR" w:bidi="fr-FR"/>
        </w:rPr>
        <w:t xml:space="preserve">gré tout, l’antique </w:t>
      </w:r>
      <w:r w:rsidRPr="000F765B">
        <w:t>aureus</w:t>
      </w:r>
      <w:r w:rsidRPr="000F765B">
        <w:rPr>
          <w:lang w:eastAsia="fr-FR" w:bidi="fr-FR"/>
        </w:rPr>
        <w:t xml:space="preserve"> traversa victori</w:t>
      </w:r>
      <w:r>
        <w:rPr>
          <w:lang w:eastAsia="fr-FR" w:bidi="fr-FR"/>
        </w:rPr>
        <w:t>eusement les âges. Vers 1200, l’</w:t>
      </w:r>
      <w:r w:rsidRPr="000F765B">
        <w:rPr>
          <w:lang w:eastAsia="fr-FR" w:bidi="fr-FR"/>
        </w:rPr>
        <w:t>« hyperpère » égalait encore, en poids de métal fin, les trois quarts, ou environ, de son ancêtre romain. De leur côté, les mona</w:t>
      </w:r>
      <w:r w:rsidRPr="000F765B">
        <w:rPr>
          <w:lang w:eastAsia="fr-FR" w:bidi="fr-FR"/>
        </w:rPr>
        <w:t>r</w:t>
      </w:r>
      <w:r w:rsidRPr="000F765B">
        <w:rPr>
          <w:lang w:eastAsia="fr-FR" w:bidi="fr-FR"/>
        </w:rPr>
        <w:t>chies arabes trouvaient dans le double héritage administratif dont elles vivaient</w:t>
      </w:r>
      <w:r>
        <w:rPr>
          <w:lang w:eastAsia="fr-FR" w:bidi="fr-FR"/>
        </w:rPr>
        <w:t> — </w:t>
      </w:r>
      <w:r w:rsidRPr="000F765B">
        <w:rPr>
          <w:lang w:eastAsia="fr-FR" w:bidi="fr-FR"/>
        </w:rPr>
        <w:t>celui des Sassanides de Perse comme celui des Basileis de la nouvelle Rome</w:t>
      </w:r>
      <w:r>
        <w:rPr>
          <w:lang w:eastAsia="fr-FR" w:bidi="fr-FR"/>
        </w:rPr>
        <w:t> — </w:t>
      </w:r>
      <w:r w:rsidRPr="000F765B">
        <w:rPr>
          <w:lang w:eastAsia="fr-FR" w:bidi="fr-FR"/>
        </w:rPr>
        <w:t xml:space="preserve">la tradition d’un régime monétaire fondé sur l’or ; elles lui restèrent attachées. Gardons-nous d’ailleurs de l’oublier : ni Byzance ni Islam ne sont, au Moyen </w:t>
      </w:r>
      <w:r>
        <w:rPr>
          <w:lang w:eastAsia="fr-FR" w:bidi="fr-FR"/>
        </w:rPr>
        <w:t>Â</w:t>
      </w:r>
      <w:r w:rsidRPr="000F765B">
        <w:rPr>
          <w:lang w:eastAsia="fr-FR" w:bidi="fr-FR"/>
        </w:rPr>
        <w:t>ge, synonymes d’Orient. Des pièces d’or, au nom des maîtres du pays, continuèrent à former la base de la circulation, non seulement dans les Balkans, le Levant ou le Maghreb, mais encore dans l’Italie du Sud, byzantine, puis partiellement arabe, dans la Sicile, d’abord byzantine, arabe e</w:t>
      </w:r>
      <w:r w:rsidRPr="000F765B">
        <w:rPr>
          <w:lang w:eastAsia="fr-FR" w:bidi="fr-FR"/>
        </w:rPr>
        <w:t>n</w:t>
      </w:r>
      <w:r w:rsidRPr="000F765B">
        <w:rPr>
          <w:lang w:eastAsia="fr-FR" w:bidi="fr-FR"/>
        </w:rPr>
        <w:t xml:space="preserve">suite, dans la plus grande partie de l’Espagne enfin. Ajoutons, loin dans l’Est et pour un court moment, vers la fin du </w:t>
      </w:r>
      <w:r>
        <w:rPr>
          <w:lang w:eastAsia="fr-FR" w:bidi="fr-FR"/>
        </w:rPr>
        <w:t>X</w:t>
      </w:r>
      <w:r w:rsidRPr="000F765B">
        <w:rPr>
          <w:vertAlign w:val="superscript"/>
          <w:lang w:eastAsia="fr-FR" w:bidi="fr-FR"/>
        </w:rPr>
        <w:t>e</w:t>
      </w:r>
      <w:r w:rsidRPr="000F765B">
        <w:rPr>
          <w:lang w:eastAsia="fr-FR" w:bidi="fr-FR"/>
        </w:rPr>
        <w:t xml:space="preserve"> siècle, la Russie des Varègues</w:t>
      </w:r>
      <w:r>
        <w:rPr>
          <w:lang w:eastAsia="fr-FR" w:bidi="fr-FR"/>
        </w:rPr>
        <w:t> </w:t>
      </w:r>
      <w:r>
        <w:rPr>
          <w:rStyle w:val="Appelnotedebasdep"/>
        </w:rPr>
        <w:footnoteReference w:id="835"/>
      </w:r>
      <w:r w:rsidRPr="000F765B">
        <w:rPr>
          <w:lang w:eastAsia="fr-FR" w:bidi="fr-FR"/>
        </w:rPr>
        <w:t xml:space="preserve">. Et nous aurons sous les yeux la carte du monnayage officiel de l’or, depuis le milieu du </w:t>
      </w:r>
      <w:r w:rsidRPr="000F467F">
        <w:rPr>
          <w:smallCaps/>
          <w:lang w:eastAsia="fr-FR" w:bidi="fr-FR"/>
        </w:rPr>
        <w:t>ix</w:t>
      </w:r>
      <w:r w:rsidRPr="000F765B">
        <w:rPr>
          <w:vertAlign w:val="superscript"/>
          <w:lang w:eastAsia="fr-FR" w:bidi="fr-FR"/>
        </w:rPr>
        <w:t>e</w:t>
      </w:r>
      <w:r>
        <w:rPr>
          <w:lang w:eastAsia="fr-FR" w:bidi="fr-FR"/>
        </w:rPr>
        <w:t xml:space="preserve"> siècle jusqu’au milieu du XIII</w:t>
      </w:r>
      <w:r w:rsidRPr="000F765B">
        <w:rPr>
          <w:vertAlign w:val="superscript"/>
          <w:lang w:eastAsia="fr-FR" w:bidi="fr-FR"/>
        </w:rPr>
        <w:t>e</w:t>
      </w:r>
      <w:r w:rsidRPr="000F765B">
        <w:rPr>
          <w:lang w:eastAsia="fr-FR" w:bidi="fr-FR"/>
        </w:rPr>
        <w:t>.</w:t>
      </w:r>
    </w:p>
    <w:p w14:paraId="6AEE0DA0" w14:textId="77777777" w:rsidR="00B9662D" w:rsidRPr="000F765B" w:rsidRDefault="00B9662D" w:rsidP="00B9662D">
      <w:pPr>
        <w:spacing w:before="120" w:after="120"/>
        <w:jc w:val="both"/>
      </w:pPr>
      <w:r w:rsidRPr="000F765B">
        <w:rPr>
          <w:lang w:eastAsia="fr-FR" w:bidi="fr-FR"/>
        </w:rPr>
        <w:t>Car l’Occident, latin ou germanique, avait suivi un tout autre ch</w:t>
      </w:r>
      <w:r w:rsidRPr="000F765B">
        <w:rPr>
          <w:lang w:eastAsia="fr-FR" w:bidi="fr-FR"/>
        </w:rPr>
        <w:t>e</w:t>
      </w:r>
      <w:r w:rsidRPr="000F765B">
        <w:rPr>
          <w:lang w:eastAsia="fr-FR" w:bidi="fr-FR"/>
        </w:rPr>
        <w:t>min. Dans l’État franc</w:t>
      </w:r>
      <w:r>
        <w:rPr>
          <w:lang w:eastAsia="fr-FR" w:bidi="fr-FR"/>
        </w:rPr>
        <w:t> — </w:t>
      </w:r>
      <w:r w:rsidRPr="000F765B">
        <w:rPr>
          <w:lang w:eastAsia="fr-FR" w:bidi="fr-FR"/>
        </w:rPr>
        <w:t xml:space="preserve">qui, à la fin du </w:t>
      </w:r>
      <w:r w:rsidRPr="000F467F">
        <w:rPr>
          <w:smallCaps/>
          <w:lang w:eastAsia="fr-FR" w:bidi="fr-FR"/>
        </w:rPr>
        <w:t>viii</w:t>
      </w:r>
      <w:r w:rsidRPr="000F765B">
        <w:rPr>
          <w:vertAlign w:val="superscript"/>
          <w:lang w:eastAsia="fr-FR" w:bidi="fr-FR"/>
        </w:rPr>
        <w:t>e</w:t>
      </w:r>
      <w:r w:rsidRPr="000F765B">
        <w:rPr>
          <w:lang w:eastAsia="fr-FR" w:bidi="fr-FR"/>
        </w:rPr>
        <w:t xml:space="preserve"> siècle, avait absorbé l’Italie du Nord et du Centre</w:t>
      </w:r>
      <w:r>
        <w:rPr>
          <w:lang w:eastAsia="fr-FR" w:bidi="fr-FR"/>
        </w:rPr>
        <w:t> — </w:t>
      </w:r>
      <w:r w:rsidRPr="000F765B">
        <w:rPr>
          <w:lang w:eastAsia="fr-FR" w:bidi="fr-FR"/>
        </w:rPr>
        <w:t>Charlemagne et Louis le Pieux ont encore émis quelques pièces d’or ; mais ce dernier du moins, dans de très rares ateliers et pour des besoins tout exceptionnels. Aucun de leurs successeurs ne renouvellera l’expérience. Chez les Anglo-Saxons, la frappe de l’or</w:t>
      </w:r>
      <w:r>
        <w:rPr>
          <w:lang w:eastAsia="fr-FR" w:bidi="fr-FR"/>
        </w:rPr>
        <w:t> — </w:t>
      </w:r>
      <w:r w:rsidRPr="000F765B">
        <w:rPr>
          <w:lang w:eastAsia="fr-FR" w:bidi="fr-FR"/>
        </w:rPr>
        <w:t>imitations à part, sur lesquelles nous r</w:t>
      </w:r>
      <w:r w:rsidRPr="000F765B">
        <w:rPr>
          <w:lang w:eastAsia="fr-FR" w:bidi="fr-FR"/>
        </w:rPr>
        <w:t>e</w:t>
      </w:r>
      <w:r w:rsidRPr="000F765B">
        <w:rPr>
          <w:lang w:eastAsia="fr-FR" w:bidi="fr-FR"/>
        </w:rPr>
        <w:t>viendrons</w:t>
      </w:r>
      <w:r>
        <w:rPr>
          <w:lang w:eastAsia="fr-FR" w:bidi="fr-FR"/>
        </w:rPr>
        <w:t> — </w:t>
      </w:r>
      <w:r w:rsidRPr="000F765B">
        <w:rPr>
          <w:lang w:eastAsia="fr-FR" w:bidi="fr-FR"/>
        </w:rPr>
        <w:t>avait dès ce moment perdu depuis longtemps toute i</w:t>
      </w:r>
      <w:r w:rsidRPr="000F765B">
        <w:rPr>
          <w:lang w:eastAsia="fr-FR" w:bidi="fr-FR"/>
        </w:rPr>
        <w:t>m</w:t>
      </w:r>
      <w:r w:rsidRPr="000F765B">
        <w:rPr>
          <w:lang w:eastAsia="fr-FR" w:bidi="fr-FR"/>
        </w:rPr>
        <w:t>portance ; on en suit cependant quelques</w:t>
      </w:r>
      <w:r>
        <w:rPr>
          <w:lang w:eastAsia="fr-FR" w:bidi="fr-FR"/>
        </w:rPr>
        <w:t xml:space="preserve"> </w:t>
      </w:r>
      <w:r>
        <w:t>[</w:t>
      </w:r>
      <w:r w:rsidRPr="000F765B">
        <w:rPr>
          <w:lang w:eastAsia="fr-FR" w:bidi="fr-FR"/>
        </w:rPr>
        <w:t>841</w:t>
      </w:r>
      <w:r>
        <w:rPr>
          <w:lang w:eastAsia="fr-FR" w:bidi="fr-FR"/>
        </w:rPr>
        <w:t xml:space="preserve">] </w:t>
      </w:r>
      <w:r w:rsidRPr="000F765B">
        <w:rPr>
          <w:lang w:eastAsia="fr-FR" w:bidi="fr-FR"/>
        </w:rPr>
        <w:t>manifestations spor</w:t>
      </w:r>
      <w:r w:rsidRPr="000F765B">
        <w:rPr>
          <w:lang w:eastAsia="fr-FR" w:bidi="fr-FR"/>
        </w:rPr>
        <w:t>a</w:t>
      </w:r>
      <w:r w:rsidRPr="000F765B">
        <w:rPr>
          <w:lang w:eastAsia="fr-FR" w:bidi="fr-FR"/>
        </w:rPr>
        <w:t>diques jusqu’à Ethelred</w:t>
      </w:r>
      <w:r>
        <w:rPr>
          <w:lang w:eastAsia="fr-FR" w:bidi="fr-FR"/>
        </w:rPr>
        <w:t> </w:t>
      </w:r>
      <w:r w:rsidRPr="000F765B">
        <w:rPr>
          <w:lang w:eastAsia="fr-FR" w:bidi="fr-FR"/>
        </w:rPr>
        <w:t>II (998-1016). D</w:t>
      </w:r>
      <w:r w:rsidRPr="000F765B">
        <w:rPr>
          <w:lang w:eastAsia="fr-FR" w:bidi="fr-FR"/>
        </w:rPr>
        <w:t>é</w:t>
      </w:r>
      <w:r w:rsidRPr="000F765B">
        <w:rPr>
          <w:lang w:eastAsia="fr-FR" w:bidi="fr-FR"/>
        </w:rPr>
        <w:t xml:space="preserve">sormais, des ateliers, bientôt innombrables, qui travaillent dans l’ancienne </w:t>
      </w:r>
      <w:r w:rsidRPr="000F765B">
        <w:t xml:space="preserve">Romania </w:t>
      </w:r>
      <w:r w:rsidRPr="000F765B">
        <w:rPr>
          <w:lang w:eastAsia="fr-FR" w:bidi="fr-FR"/>
        </w:rPr>
        <w:t>comme des ateliers nouveaux qui, peu à peu, voient le jour dans les pays jadis d</w:t>
      </w:r>
      <w:r w:rsidRPr="000F765B">
        <w:rPr>
          <w:lang w:eastAsia="fr-FR" w:bidi="fr-FR"/>
        </w:rPr>
        <w:t>é</w:t>
      </w:r>
      <w:r w:rsidRPr="000F765B">
        <w:rPr>
          <w:lang w:eastAsia="fr-FR" w:bidi="fr-FR"/>
        </w:rPr>
        <w:lastRenderedPageBreak/>
        <w:t>pourvus de monnaies nationales</w:t>
      </w:r>
      <w:r>
        <w:rPr>
          <w:lang w:eastAsia="fr-FR" w:bidi="fr-FR"/>
        </w:rPr>
        <w:t> — </w:t>
      </w:r>
      <w:r w:rsidRPr="000F765B">
        <w:rPr>
          <w:lang w:eastAsia="fr-FR" w:bidi="fr-FR"/>
        </w:rPr>
        <w:t>l’Allemagne à l’Est du Rhin, la Bohême, la Pologne, les États Sca</w:t>
      </w:r>
      <w:r w:rsidRPr="000F765B">
        <w:rPr>
          <w:lang w:eastAsia="fr-FR" w:bidi="fr-FR"/>
        </w:rPr>
        <w:t>n</w:t>
      </w:r>
      <w:r w:rsidRPr="000F765B">
        <w:rPr>
          <w:lang w:eastAsia="fr-FR" w:bidi="fr-FR"/>
        </w:rPr>
        <w:t>dinaves,</w:t>
      </w:r>
      <w:r>
        <w:rPr>
          <w:lang w:eastAsia="fr-FR" w:bidi="fr-FR"/>
        </w:rPr>
        <w:t> — </w:t>
      </w:r>
      <w:r w:rsidRPr="000F765B">
        <w:rPr>
          <w:lang w:eastAsia="fr-FR" w:bidi="fr-FR"/>
        </w:rPr>
        <w:t>il ne semble plus sortir que des pièces d’argent, et presque uniquement une seule catégorie de pièces</w:t>
      </w:r>
      <w:r>
        <w:rPr>
          <w:lang w:eastAsia="fr-FR" w:bidi="fr-FR"/>
        </w:rPr>
        <w:t> </w:t>
      </w:r>
      <w:r>
        <w:rPr>
          <w:rStyle w:val="Appelnotedebasdep"/>
        </w:rPr>
        <w:footnoteReference w:id="836"/>
      </w:r>
      <w:r w:rsidRPr="000F765B">
        <w:rPr>
          <w:lang w:eastAsia="fr-FR" w:bidi="fr-FR"/>
        </w:rPr>
        <w:t>. C’est le denier. Il était né dans la Gaule franque</w:t>
      </w:r>
      <w:r>
        <w:rPr>
          <w:lang w:eastAsia="fr-FR" w:bidi="fr-FR"/>
        </w:rPr>
        <w:t> — </w:t>
      </w:r>
      <w:r w:rsidRPr="000F765B">
        <w:rPr>
          <w:lang w:eastAsia="fr-FR" w:bidi="fr-FR"/>
        </w:rPr>
        <w:t>plus exa</w:t>
      </w:r>
      <w:r w:rsidRPr="000F765B">
        <w:rPr>
          <w:lang w:eastAsia="fr-FR" w:bidi="fr-FR"/>
        </w:rPr>
        <w:t>c</w:t>
      </w:r>
      <w:r w:rsidRPr="000F765B">
        <w:rPr>
          <w:lang w:eastAsia="fr-FR" w:bidi="fr-FR"/>
        </w:rPr>
        <w:t>tement, sous la forme du moins qui fut celle de son rayonnement à travers l’Europe, dans la Gaule car</w:t>
      </w:r>
      <w:r w:rsidRPr="000F765B">
        <w:rPr>
          <w:lang w:eastAsia="fr-FR" w:bidi="fr-FR"/>
        </w:rPr>
        <w:t>o</w:t>
      </w:r>
      <w:r w:rsidRPr="000F765B">
        <w:rPr>
          <w:lang w:eastAsia="fr-FR" w:bidi="fr-FR"/>
        </w:rPr>
        <w:t xml:space="preserve">lingienne. Peu à peu tout l’Occident l’adopta ; l’Angleterre, pour lui, renonça à ses </w:t>
      </w:r>
      <w:r w:rsidRPr="001152EC">
        <w:rPr>
          <w:i/>
        </w:rPr>
        <w:t>sceatta</w:t>
      </w:r>
      <w:r w:rsidRPr="000F765B">
        <w:rPr>
          <w:lang w:eastAsia="fr-FR" w:bidi="fr-FR"/>
        </w:rPr>
        <w:t>, par trop légers. Lui-même pourtant était encore de bien faible poids ; sous Charlemagne, il eût valu, en francs d’avant-guerre, à peu près 0 fr. 30 ; dans la France de Philippe Auguste, si l’on prend pour élément de comparaison le denier « tournois », environ 0 fr. 08. Le sou ne subsi</w:t>
      </w:r>
      <w:r w:rsidRPr="000F765B">
        <w:rPr>
          <w:lang w:eastAsia="fr-FR" w:bidi="fr-FR"/>
        </w:rPr>
        <w:t>s</w:t>
      </w:r>
      <w:r w:rsidRPr="000F765B">
        <w:rPr>
          <w:lang w:eastAsia="fr-FR" w:bidi="fr-FR"/>
        </w:rPr>
        <w:t>ta plus que comme unité de compte ; on stip</w:t>
      </w:r>
      <w:r w:rsidRPr="000F765B">
        <w:rPr>
          <w:lang w:eastAsia="fr-FR" w:bidi="fr-FR"/>
        </w:rPr>
        <w:t>u</w:t>
      </w:r>
      <w:r w:rsidRPr="000F765B">
        <w:rPr>
          <w:lang w:eastAsia="fr-FR" w:bidi="fr-FR"/>
        </w:rPr>
        <w:t>lait encore en sous, mais, toutes les fois du moins que le paiement avait lieu en monnaies et en monnaies indigènes, on versait des d</w:t>
      </w:r>
      <w:r w:rsidRPr="000F765B">
        <w:rPr>
          <w:lang w:eastAsia="fr-FR" w:bidi="fr-FR"/>
        </w:rPr>
        <w:t>e</w:t>
      </w:r>
      <w:r w:rsidRPr="000F765B">
        <w:rPr>
          <w:lang w:eastAsia="fr-FR" w:bidi="fr-FR"/>
        </w:rPr>
        <w:t>niers, l’équivalence étant fixée, généralement</w:t>
      </w:r>
      <w:r>
        <w:rPr>
          <w:lang w:eastAsia="fr-FR" w:bidi="fr-FR"/>
        </w:rPr>
        <w:t> — </w:t>
      </w:r>
      <w:r w:rsidRPr="000F765B">
        <w:rPr>
          <w:lang w:eastAsia="fr-FR" w:bidi="fr-FR"/>
        </w:rPr>
        <w:t>non en tous pays c</w:t>
      </w:r>
      <w:r w:rsidRPr="000F765B">
        <w:rPr>
          <w:lang w:eastAsia="fr-FR" w:bidi="fr-FR"/>
        </w:rPr>
        <w:t>e</w:t>
      </w:r>
      <w:r w:rsidRPr="000F765B">
        <w:rPr>
          <w:lang w:eastAsia="fr-FR" w:bidi="fr-FR"/>
        </w:rPr>
        <w:t>pendant</w:t>
      </w:r>
      <w:r>
        <w:rPr>
          <w:lang w:eastAsia="fr-FR" w:bidi="fr-FR"/>
        </w:rPr>
        <w:t> — </w:t>
      </w:r>
      <w:r w:rsidRPr="000F765B">
        <w:rPr>
          <w:lang w:eastAsia="fr-FR" w:bidi="fr-FR"/>
        </w:rPr>
        <w:t>à douze deniers le sou. En ce sens, on parlait de sous d’argent : entendez, représentés par un versement en pièces d’argent ; tout comme, lorsqu’on prévoyait un règlement en nature, on parlait de sous « de grains »</w:t>
      </w:r>
      <w:r>
        <w:rPr>
          <w:lang w:eastAsia="fr-FR" w:bidi="fr-FR"/>
        </w:rPr>
        <w:t> </w:t>
      </w:r>
      <w:r>
        <w:rPr>
          <w:rStyle w:val="Appelnotedebasdep"/>
        </w:rPr>
        <w:footnoteReference w:id="837"/>
      </w:r>
      <w:r w:rsidRPr="000F765B">
        <w:rPr>
          <w:lang w:eastAsia="fr-FR" w:bidi="fr-FR"/>
        </w:rPr>
        <w:t>. Pour de longs siècles, qui dit monnaie, en Occident, dit presque exclusivement a</w:t>
      </w:r>
      <w:r w:rsidRPr="000F765B">
        <w:rPr>
          <w:lang w:eastAsia="fr-FR" w:bidi="fr-FR"/>
        </w:rPr>
        <w:t>r</w:t>
      </w:r>
      <w:r w:rsidRPr="000F765B">
        <w:rPr>
          <w:lang w:eastAsia="fr-FR" w:bidi="fr-FR"/>
        </w:rPr>
        <w:t>gent ; on sait, de reste, les traces que cette synonymie a laissées dans notre langue.</w:t>
      </w:r>
    </w:p>
    <w:p w14:paraId="498DA085" w14:textId="77777777" w:rsidR="00B9662D" w:rsidRPr="000F765B" w:rsidRDefault="00B9662D" w:rsidP="00B9662D">
      <w:pPr>
        <w:spacing w:before="120" w:after="120"/>
        <w:jc w:val="both"/>
      </w:pPr>
      <w:r w:rsidRPr="000F765B">
        <w:rPr>
          <w:lang w:eastAsia="fr-FR" w:bidi="fr-FR"/>
        </w:rPr>
        <w:t>Un moment vint pourtant où elle cessa d’être fondée. C’est à tort, il est vrai, qu’on a parfois invoqué à ce propos des événements propres aux pays arrachés par des princes catholiques à l’Islam ou à Byzance. Lorsqu’à Tolède, dès 1175, Alphonse VIII frappa les premières pièces d’or castillanes, il ne fit que se conformer à l’exemple des khalifes ou des émirs, ses prédécesseurs, dont, d’ailleurs, il imita les types ; et s’il s’y décida, à cette date, la raison en fut sans doute que l’atelier m</w:t>
      </w:r>
      <w:r w:rsidRPr="000F765B">
        <w:rPr>
          <w:lang w:eastAsia="fr-FR" w:bidi="fr-FR"/>
        </w:rPr>
        <w:t>u</w:t>
      </w:r>
      <w:r w:rsidRPr="000F765B">
        <w:rPr>
          <w:lang w:eastAsia="fr-FR" w:bidi="fr-FR"/>
        </w:rPr>
        <w:t xml:space="preserve">sulman de Murcie, qui alimentait pour une large part la circulation du </w:t>
      </w:r>
      <w:r w:rsidRPr="000F765B">
        <w:rPr>
          <w:lang w:eastAsia="fr-FR" w:bidi="fr-FR"/>
        </w:rPr>
        <w:lastRenderedPageBreak/>
        <w:t>Léon et de la Castille, venait de cesser sa fabrication</w:t>
      </w:r>
      <w:r>
        <w:rPr>
          <w:lang w:eastAsia="fr-FR" w:bidi="fr-FR"/>
        </w:rPr>
        <w:t> </w:t>
      </w:r>
      <w:r>
        <w:rPr>
          <w:rStyle w:val="Appelnotedebasdep"/>
        </w:rPr>
        <w:footnoteReference w:id="838"/>
      </w:r>
      <w:r w:rsidRPr="000F765B">
        <w:rPr>
          <w:lang w:eastAsia="fr-FR" w:bidi="fr-FR"/>
        </w:rPr>
        <w:t xml:space="preserve">. Aussi bien, cette continuité était si sensible qu’en France, au </w:t>
      </w:r>
      <w:r>
        <w:rPr>
          <w:lang w:eastAsia="fr-FR" w:bidi="fr-FR"/>
        </w:rPr>
        <w:t>XIII</w:t>
      </w:r>
      <w:r w:rsidRPr="000F765B">
        <w:rPr>
          <w:vertAlign w:val="superscript"/>
          <w:lang w:eastAsia="fr-FR" w:bidi="fr-FR"/>
        </w:rPr>
        <w:t>e</w:t>
      </w:r>
      <w:r w:rsidRPr="000F765B">
        <w:rPr>
          <w:lang w:eastAsia="fr-FR" w:bidi="fr-FR"/>
        </w:rPr>
        <w:t xml:space="preserve"> siècle, on dés</w:t>
      </w:r>
      <w:r w:rsidRPr="000F765B">
        <w:rPr>
          <w:lang w:eastAsia="fr-FR" w:bidi="fr-FR"/>
        </w:rPr>
        <w:t>i</w:t>
      </w:r>
      <w:r w:rsidRPr="000F765B">
        <w:rPr>
          <w:lang w:eastAsia="fr-FR" w:bidi="fr-FR"/>
        </w:rPr>
        <w:t>gnait couramment les « anfous » chrétiens du nom même qu’on était ha</w:t>
      </w:r>
      <w:r>
        <w:rPr>
          <w:lang w:eastAsia="fr-FR" w:bidi="fr-FR"/>
        </w:rPr>
        <w:t>bitué à donner aux dinars almo</w:t>
      </w:r>
      <w:r w:rsidRPr="000F765B">
        <w:rPr>
          <w:lang w:eastAsia="fr-FR" w:bidi="fr-FR"/>
        </w:rPr>
        <w:t>ravides : marabotins</w:t>
      </w:r>
      <w:r>
        <w:rPr>
          <w:lang w:eastAsia="fr-FR" w:bidi="fr-FR"/>
        </w:rPr>
        <w:t> </w:t>
      </w:r>
      <w:r>
        <w:rPr>
          <w:rStyle w:val="Appelnotedebasdep"/>
        </w:rPr>
        <w:footnoteReference w:id="839"/>
      </w:r>
      <w:r w:rsidRPr="000F765B">
        <w:rPr>
          <w:lang w:eastAsia="fr-FR" w:bidi="fr-FR"/>
        </w:rPr>
        <w:t>. De même, les conquérants normands de l’Italie du Sud et de la Sicile, avec leurs c</w:t>
      </w:r>
      <w:r w:rsidRPr="000F765B">
        <w:rPr>
          <w:lang w:eastAsia="fr-FR" w:bidi="fr-FR"/>
        </w:rPr>
        <w:t>é</w:t>
      </w:r>
      <w:r w:rsidRPr="000F765B">
        <w:rPr>
          <w:lang w:eastAsia="fr-FR" w:bidi="fr-FR"/>
        </w:rPr>
        <w:t>lèbres tarins, prirent, sans plus, la suite</w:t>
      </w:r>
      <w:r>
        <w:rPr>
          <w:lang w:eastAsia="fr-FR" w:bidi="fr-FR"/>
        </w:rPr>
        <w:t xml:space="preserve"> </w:t>
      </w:r>
      <w:r>
        <w:t xml:space="preserve">[842] </w:t>
      </w:r>
      <w:r w:rsidRPr="000F765B">
        <w:rPr>
          <w:lang w:eastAsia="fr-FR" w:bidi="fr-FR"/>
        </w:rPr>
        <w:t xml:space="preserve">des anciens maîtres du sol. </w:t>
      </w:r>
      <w:r>
        <w:rPr>
          <w:lang w:eastAsia="fr-FR" w:bidi="fr-FR"/>
        </w:rPr>
        <w:t>À</w:t>
      </w:r>
      <w:r w:rsidRPr="000F765B">
        <w:rPr>
          <w:lang w:eastAsia="fr-FR" w:bidi="fr-FR"/>
        </w:rPr>
        <w:t xml:space="preserve"> la carte monétaire de l’Europe rien n’était changé. Rien non plus, lorsque l’empereur Frédéric</w:t>
      </w:r>
      <w:r>
        <w:rPr>
          <w:lang w:eastAsia="fr-FR" w:bidi="fr-FR"/>
        </w:rPr>
        <w:t> </w:t>
      </w:r>
      <w:r w:rsidRPr="000F765B">
        <w:rPr>
          <w:lang w:eastAsia="fr-FR" w:bidi="fr-FR"/>
        </w:rPr>
        <w:t>II créa les augustales, émis à Mess</w:t>
      </w:r>
      <w:r w:rsidRPr="000F765B">
        <w:rPr>
          <w:lang w:eastAsia="fr-FR" w:bidi="fr-FR"/>
        </w:rPr>
        <w:t>i</w:t>
      </w:r>
      <w:r w:rsidRPr="000F765B">
        <w:rPr>
          <w:lang w:eastAsia="fr-FR" w:bidi="fr-FR"/>
        </w:rPr>
        <w:t xml:space="preserve">ne et à Brindes. La véritable révolution vint du retour à l’or des contrées où jusque-là, depuis le Haut Moyen </w:t>
      </w:r>
      <w:r>
        <w:rPr>
          <w:lang w:eastAsia="fr-FR" w:bidi="fr-FR"/>
        </w:rPr>
        <w:t>Â</w:t>
      </w:r>
      <w:r w:rsidRPr="000F765B">
        <w:rPr>
          <w:lang w:eastAsia="fr-FR" w:bidi="fr-FR"/>
        </w:rPr>
        <w:t>ge, l’argent seul avait officiellement été monnayé.</w:t>
      </w:r>
    </w:p>
    <w:p w14:paraId="5953EFA6" w14:textId="77777777" w:rsidR="00B9662D" w:rsidRPr="000F765B" w:rsidRDefault="00B9662D" w:rsidP="00B9662D">
      <w:pPr>
        <w:spacing w:before="120" w:after="120"/>
        <w:jc w:val="both"/>
      </w:pPr>
      <w:r w:rsidRPr="000F765B">
        <w:rPr>
          <w:lang w:eastAsia="fr-FR" w:bidi="fr-FR"/>
        </w:rPr>
        <w:t>L’initiative partit des cités marchandes de la Méditerranée. En 1227, Marseille, provisoirement constituée en commune autonome, se fit octroyer par le vicaire impérial le droit de frapper l’or, mais, certa</w:t>
      </w:r>
      <w:r w:rsidRPr="000F765B">
        <w:rPr>
          <w:lang w:eastAsia="fr-FR" w:bidi="fr-FR"/>
        </w:rPr>
        <w:t>i</w:t>
      </w:r>
      <w:r w:rsidRPr="000F765B">
        <w:rPr>
          <w:lang w:eastAsia="fr-FR" w:bidi="fr-FR"/>
        </w:rPr>
        <w:t>nement, sans pouvoir en tirer parti</w:t>
      </w:r>
      <w:r>
        <w:rPr>
          <w:lang w:eastAsia="fr-FR" w:bidi="fr-FR"/>
        </w:rPr>
        <w:t> </w:t>
      </w:r>
      <w:r>
        <w:rPr>
          <w:rStyle w:val="Appelnotedebasdep"/>
        </w:rPr>
        <w:footnoteReference w:id="840"/>
      </w:r>
      <w:r w:rsidRPr="000F765B">
        <w:rPr>
          <w:lang w:eastAsia="fr-FR" w:bidi="fr-FR"/>
        </w:rPr>
        <w:t>. Le pas ne fut franchi qu’en 1252, simultanément à Gênes et à Florence. Puis l’élan gagna Pérouse (1259), Lucques (peu avant 1273), Milan vers la fin du siècle, à une date incertaine, Venise enfin, qui inaugura, en 1284, ses fameux d</w:t>
      </w:r>
      <w:r w:rsidRPr="000F765B">
        <w:rPr>
          <w:lang w:eastAsia="fr-FR" w:bidi="fr-FR"/>
        </w:rPr>
        <w:t>u</w:t>
      </w:r>
      <w:r w:rsidRPr="000F765B">
        <w:rPr>
          <w:lang w:eastAsia="fr-FR" w:bidi="fr-FR"/>
        </w:rPr>
        <w:t xml:space="preserve">cats. Le monnayage de Florence surtout avait de bonne heure connu un grand rayonnement ; dès 1265 au plus tard, les florins, marqués du lys emblématique, se négociaient aux foires de Champagne, où les achats qu’en fit faire Charles d’Anjou, en vue de son expédition de Sicile, amenèrent cette année-là, à la foire Saint-Ayoul de Provins, </w:t>
      </w:r>
      <w:r w:rsidRPr="000F765B">
        <w:rPr>
          <w:lang w:eastAsia="fr-FR" w:bidi="fr-FR"/>
        </w:rPr>
        <w:lastRenderedPageBreak/>
        <w:t>une hausse du cours</w:t>
      </w:r>
      <w:r>
        <w:rPr>
          <w:lang w:eastAsia="fr-FR" w:bidi="fr-FR"/>
        </w:rPr>
        <w:t> </w:t>
      </w:r>
      <w:r>
        <w:rPr>
          <w:rStyle w:val="Appelnotedebasdep"/>
        </w:rPr>
        <w:footnoteReference w:id="841"/>
      </w:r>
      <w:r w:rsidRPr="000F765B">
        <w:rPr>
          <w:lang w:eastAsia="fr-FR" w:bidi="fr-FR"/>
        </w:rPr>
        <w:t>. Ils devaient servir de modèle à la plupart des ateliers transalpins. Car l’exemple de l’Italie ne tarda guère à être im</w:t>
      </w:r>
      <w:r w:rsidRPr="000F765B">
        <w:rPr>
          <w:lang w:eastAsia="fr-FR" w:bidi="fr-FR"/>
        </w:rPr>
        <w:t>i</w:t>
      </w:r>
      <w:r w:rsidRPr="000F765B">
        <w:rPr>
          <w:lang w:eastAsia="fr-FR" w:bidi="fr-FR"/>
        </w:rPr>
        <w:t>té au</w:t>
      </w:r>
      <w:r>
        <w:rPr>
          <w:lang w:eastAsia="fr-FR" w:bidi="fr-FR"/>
        </w:rPr>
        <w:t>-</w:t>
      </w:r>
      <w:r w:rsidRPr="000F765B">
        <w:rPr>
          <w:lang w:eastAsia="fr-FR" w:bidi="fr-FR"/>
        </w:rPr>
        <w:t>delà des monts. Le premier effort en ce sens vint, comme il était naturel, des deux principales monarchies de l’Occident : en Angleterre dès 1257, en France vers le même temps, sous saint Louis. Il n’eut, de part et d’autre, qu’un médiocre succès. Ce fut seulement sous le règne de Philippe le Bel que les émissions françaises prirent une réelle i</w:t>
      </w:r>
      <w:r w:rsidRPr="000F765B">
        <w:rPr>
          <w:lang w:eastAsia="fr-FR" w:bidi="fr-FR"/>
        </w:rPr>
        <w:t>m</w:t>
      </w:r>
      <w:r w:rsidRPr="000F765B">
        <w:rPr>
          <w:lang w:eastAsia="fr-FR" w:bidi="fr-FR"/>
        </w:rPr>
        <w:t>portance. Quant à l’Angleterre, où, vers 1340, le Florentin Pegolotti notait l’absence, sur la place de Londres, de toute monnaie d’or</w:t>
      </w:r>
      <w:r>
        <w:rPr>
          <w:lang w:eastAsia="fr-FR" w:bidi="fr-FR"/>
        </w:rPr>
        <w:t> </w:t>
      </w:r>
      <w:r>
        <w:rPr>
          <w:rStyle w:val="Appelnotedebasdep"/>
        </w:rPr>
        <w:footnoteReference w:id="842"/>
      </w:r>
      <w:r w:rsidRPr="000F765B">
        <w:rPr>
          <w:lang w:eastAsia="fr-FR" w:bidi="fr-FR"/>
        </w:rPr>
        <w:t>, la tentative n’y fut reprise qu’au bout de près d’un siècle, en 1344. C</w:t>
      </w:r>
      <w:r w:rsidRPr="000F765B">
        <w:rPr>
          <w:lang w:eastAsia="fr-FR" w:bidi="fr-FR"/>
        </w:rPr>
        <w:t>e</w:t>
      </w:r>
      <w:r w:rsidRPr="000F765B">
        <w:rPr>
          <w:lang w:eastAsia="fr-FR" w:bidi="fr-FR"/>
        </w:rPr>
        <w:t>pendant les riches principautés des Pays-Bas</w:t>
      </w:r>
      <w:r>
        <w:rPr>
          <w:lang w:eastAsia="fr-FR" w:bidi="fr-FR"/>
        </w:rPr>
        <w:t> — </w:t>
      </w:r>
      <w:r w:rsidRPr="000F765B">
        <w:rPr>
          <w:lang w:eastAsia="fr-FR" w:bidi="fr-FR"/>
        </w:rPr>
        <w:t>la Flandre, entre 1300 et 1312, le Brabant entre 1300 et 1315, le Hainaut, le Luxembourg, l’évêché de Liège dans la première moitié du siècle</w:t>
      </w:r>
      <w:r>
        <w:rPr>
          <w:lang w:eastAsia="fr-FR" w:bidi="fr-FR"/>
        </w:rPr>
        <w:t> — </w:t>
      </w:r>
      <w:r w:rsidRPr="000F765B">
        <w:rPr>
          <w:lang w:eastAsia="fr-FR" w:bidi="fr-FR"/>
        </w:rPr>
        <w:t>avaient entr</w:t>
      </w:r>
      <w:r w:rsidRPr="000F765B">
        <w:rPr>
          <w:lang w:eastAsia="fr-FR" w:bidi="fr-FR"/>
        </w:rPr>
        <w:t>e</w:t>
      </w:r>
      <w:r w:rsidRPr="000F765B">
        <w:rPr>
          <w:lang w:eastAsia="fr-FR" w:bidi="fr-FR"/>
        </w:rPr>
        <w:t>pris la frappe de leurs « florins »</w:t>
      </w:r>
      <w:r>
        <w:rPr>
          <w:lang w:eastAsia="fr-FR" w:bidi="fr-FR"/>
        </w:rPr>
        <w:t> </w:t>
      </w:r>
      <w:r>
        <w:rPr>
          <w:rStyle w:val="Appelnotedebasdep"/>
        </w:rPr>
        <w:footnoteReference w:id="843"/>
      </w:r>
      <w:r w:rsidRPr="000F765B">
        <w:rPr>
          <w:lang w:eastAsia="fr-FR" w:bidi="fr-FR"/>
        </w:rPr>
        <w:t>. De même, entre 1308 et 1342, la Hongrie, qui avait l’avantage de pouvoir puiser dans ses propres g</w:t>
      </w:r>
      <w:r w:rsidRPr="000F765B">
        <w:rPr>
          <w:lang w:eastAsia="fr-FR" w:bidi="fr-FR"/>
        </w:rPr>
        <w:t>i</w:t>
      </w:r>
      <w:r w:rsidRPr="000F765B">
        <w:rPr>
          <w:lang w:eastAsia="fr-FR" w:bidi="fr-FR"/>
        </w:rPr>
        <w:t xml:space="preserve">sements. Puis ce fut, en 1325, le tour du roi de Bohême, bientôt suivi par divers princes allemands, tels que l’archevêque de Cologne, l’empereur </w:t>
      </w:r>
      <w:r>
        <w:rPr>
          <w:lang w:eastAsia="fr-FR" w:bidi="fr-FR"/>
        </w:rPr>
        <w:t>Louis de Bavière, le comte de Gö</w:t>
      </w:r>
      <w:r w:rsidRPr="000F765B">
        <w:rPr>
          <w:lang w:eastAsia="fr-FR" w:bidi="fr-FR"/>
        </w:rPr>
        <w:t>rz, le duc d’Autriche et, en 1340, par le plus grand comptoir du Nord, Lübeck</w:t>
      </w:r>
      <w:r>
        <w:rPr>
          <w:lang w:eastAsia="fr-FR" w:bidi="fr-FR"/>
        </w:rPr>
        <w:t> </w:t>
      </w:r>
      <w:r>
        <w:rPr>
          <w:rStyle w:val="Appelnotedebasdep"/>
        </w:rPr>
        <w:footnoteReference w:id="844"/>
      </w:r>
      <w:r w:rsidRPr="000F765B">
        <w:rPr>
          <w:lang w:eastAsia="fr-FR" w:bidi="fr-FR"/>
        </w:rPr>
        <w:t>.</w:t>
      </w:r>
    </w:p>
    <w:p w14:paraId="041D8B46" w14:textId="77777777" w:rsidR="00B9662D" w:rsidRPr="000F765B" w:rsidRDefault="00B9662D" w:rsidP="00B9662D">
      <w:pPr>
        <w:spacing w:before="120" w:after="120"/>
        <w:jc w:val="both"/>
      </w:pPr>
      <w:r w:rsidRPr="000F765B">
        <w:br w:type="page"/>
      </w:r>
      <w:r>
        <w:lastRenderedPageBreak/>
        <w:t>[</w:t>
      </w:r>
      <w:r w:rsidRPr="000F765B">
        <w:rPr>
          <w:lang w:eastAsia="fr-FR" w:bidi="fr-FR"/>
        </w:rPr>
        <w:t>843</w:t>
      </w:r>
      <w:r>
        <w:rPr>
          <w:lang w:eastAsia="fr-FR" w:bidi="fr-FR"/>
        </w:rPr>
        <w:t>]</w:t>
      </w:r>
    </w:p>
    <w:p w14:paraId="7C74B958" w14:textId="77777777" w:rsidR="00B9662D" w:rsidRPr="000F765B" w:rsidRDefault="00B9662D" w:rsidP="00B9662D">
      <w:pPr>
        <w:spacing w:before="120" w:after="120"/>
        <w:jc w:val="both"/>
      </w:pPr>
      <w:r w:rsidRPr="000F765B">
        <w:rPr>
          <w:lang w:eastAsia="fr-FR" w:bidi="fr-FR"/>
        </w:rPr>
        <w:t>La curie romaine, alors en Avignon, s’était, dès 1322, jointe au mouvement. Il faut arrêter ici le récit de cette conquête. Aussi bien l’état des recherches et des instruments de travail le condamnerait de toute façon à rester incomplet. Plus détaillé, il mettrait en relief bien des retours en arrière</w:t>
      </w:r>
      <w:r>
        <w:rPr>
          <w:lang w:eastAsia="fr-FR" w:bidi="fr-FR"/>
        </w:rPr>
        <w:t> — </w:t>
      </w:r>
      <w:r w:rsidRPr="000F765B">
        <w:rPr>
          <w:lang w:eastAsia="fr-FR" w:bidi="fr-FR"/>
        </w:rPr>
        <w:t>nous aurons à y revenir,</w:t>
      </w:r>
      <w:r>
        <w:rPr>
          <w:lang w:eastAsia="fr-FR" w:bidi="fr-FR"/>
        </w:rPr>
        <w:t> — </w:t>
      </w:r>
      <w:r w:rsidRPr="000F765B">
        <w:rPr>
          <w:lang w:eastAsia="fr-FR" w:bidi="fr-FR"/>
        </w:rPr>
        <w:t xml:space="preserve">bien des lenteurs aussi. </w:t>
      </w:r>
      <w:r>
        <w:rPr>
          <w:lang w:eastAsia="fr-FR" w:bidi="fr-FR"/>
        </w:rPr>
        <w:t>À</w:t>
      </w:r>
      <w:r w:rsidRPr="000F765B">
        <w:rPr>
          <w:lang w:eastAsia="fr-FR" w:bidi="fr-FR"/>
        </w:rPr>
        <w:t xml:space="preserve"> l’extrême frontière du monde catholique, la Pologne ne se décida à risquer l’expérience qu’en 1528.</w:t>
      </w:r>
      <w:r>
        <w:rPr>
          <w:lang w:eastAsia="fr-FR" w:bidi="fr-FR"/>
        </w:rPr>
        <w:t xml:space="preserve"> </w:t>
      </w:r>
    </w:p>
    <w:p w14:paraId="24F758A9" w14:textId="77777777" w:rsidR="00B9662D" w:rsidRPr="000F765B" w:rsidRDefault="00B9662D" w:rsidP="00B9662D">
      <w:pPr>
        <w:spacing w:before="120" w:after="120"/>
        <w:jc w:val="both"/>
      </w:pPr>
      <w:r w:rsidRPr="000F765B">
        <w:rPr>
          <w:lang w:eastAsia="fr-FR" w:bidi="fr-FR"/>
        </w:rPr>
        <w:t>Bien entendu, la frappe de l’argent n’avait pas cessé. De sorte que le régime monétaire nouveau peut être commodément qualifié de b</w:t>
      </w:r>
      <w:r w:rsidRPr="000F765B">
        <w:rPr>
          <w:lang w:eastAsia="fr-FR" w:bidi="fr-FR"/>
        </w:rPr>
        <w:t>i</w:t>
      </w:r>
      <w:r w:rsidRPr="000F765B">
        <w:rPr>
          <w:lang w:eastAsia="fr-FR" w:bidi="fr-FR"/>
        </w:rPr>
        <w:t xml:space="preserve">métalliste. </w:t>
      </w:r>
      <w:r>
        <w:rPr>
          <w:lang w:eastAsia="fr-FR" w:bidi="fr-FR"/>
        </w:rPr>
        <w:t>À</w:t>
      </w:r>
      <w:r w:rsidRPr="000F765B">
        <w:rPr>
          <w:lang w:eastAsia="fr-FR" w:bidi="fr-FR"/>
        </w:rPr>
        <w:t xml:space="preserve"> condition toutefois de ne pas trop presser l’analogie avec le bimétallisme classique, tel qu’il devait être défini au </w:t>
      </w:r>
      <w:r w:rsidRPr="009D2CDC">
        <w:rPr>
          <w:caps/>
          <w:lang w:eastAsia="fr-FR" w:bidi="fr-FR"/>
        </w:rPr>
        <w:t>xix</w:t>
      </w:r>
      <w:r w:rsidRPr="000F765B">
        <w:rPr>
          <w:vertAlign w:val="superscript"/>
          <w:lang w:eastAsia="fr-FR" w:bidi="fr-FR"/>
        </w:rPr>
        <w:t>e</w:t>
      </w:r>
      <w:r>
        <w:rPr>
          <w:lang w:eastAsia="fr-FR" w:bidi="fr-FR"/>
        </w:rPr>
        <w:t> </w:t>
      </w:r>
      <w:r w:rsidRPr="000F765B">
        <w:rPr>
          <w:lang w:eastAsia="fr-FR" w:bidi="fr-FR"/>
        </w:rPr>
        <w:t>siècle. Non seulement la frappe libre n’existait pas, pas plus que sous l’Empire romain, mais, ainsi qu’on s’en rendra compte plus loin, les rôles des deux métaux monnayés dans l’économie étaient trop diff</w:t>
      </w:r>
      <w:r w:rsidRPr="000F765B">
        <w:rPr>
          <w:lang w:eastAsia="fr-FR" w:bidi="fr-FR"/>
        </w:rPr>
        <w:t>é</w:t>
      </w:r>
      <w:r w:rsidRPr="000F765B">
        <w:rPr>
          <w:lang w:eastAsia="fr-FR" w:bidi="fr-FR"/>
        </w:rPr>
        <w:t>rents pour qu’il soit permis de les dire véritablement interchangeables.</w:t>
      </w:r>
    </w:p>
    <w:p w14:paraId="40111041" w14:textId="77777777" w:rsidR="00B9662D" w:rsidRPr="000F765B" w:rsidRDefault="00B9662D" w:rsidP="00B9662D">
      <w:pPr>
        <w:spacing w:before="120" w:after="120"/>
        <w:jc w:val="both"/>
      </w:pPr>
      <w:r w:rsidRPr="000F765B">
        <w:rPr>
          <w:lang w:eastAsia="fr-FR" w:bidi="fr-FR"/>
        </w:rPr>
        <w:t xml:space="preserve">Le double problème que posent ces événements semble pouvoir être énoncé en termes assez simples : pourquoi la plus grande partie de l’Europe a-t-elle, au </w:t>
      </w:r>
      <w:r>
        <w:rPr>
          <w:lang w:eastAsia="fr-FR" w:bidi="fr-FR"/>
        </w:rPr>
        <w:t>IX</w:t>
      </w:r>
      <w:r w:rsidRPr="000F765B">
        <w:rPr>
          <w:vertAlign w:val="superscript"/>
          <w:lang w:eastAsia="fr-FR" w:bidi="fr-FR"/>
        </w:rPr>
        <w:t>e</w:t>
      </w:r>
      <w:r w:rsidRPr="000F765B">
        <w:rPr>
          <w:lang w:eastAsia="fr-FR" w:bidi="fr-FR"/>
        </w:rPr>
        <w:t xml:space="preserve"> siècle ou environ, renoncé au monnayage officiel de l’or ? pourquoi l’a-t</w:t>
      </w:r>
      <w:r>
        <w:rPr>
          <w:lang w:eastAsia="fr-FR" w:bidi="fr-FR"/>
        </w:rPr>
        <w:t>-</w:t>
      </w:r>
      <w:r w:rsidRPr="000F765B">
        <w:rPr>
          <w:lang w:eastAsia="fr-FR" w:bidi="fr-FR"/>
        </w:rPr>
        <w:t xml:space="preserve">elle repris au </w:t>
      </w:r>
      <w:r>
        <w:rPr>
          <w:lang w:eastAsia="fr-FR" w:bidi="fr-FR"/>
        </w:rPr>
        <w:t>XIII</w:t>
      </w:r>
      <w:r w:rsidRPr="000F765B">
        <w:rPr>
          <w:vertAlign w:val="superscript"/>
          <w:lang w:eastAsia="fr-FR" w:bidi="fr-FR"/>
        </w:rPr>
        <w:t>e</w:t>
      </w:r>
      <w:r w:rsidRPr="000F765B">
        <w:rPr>
          <w:lang w:eastAsia="fr-FR" w:bidi="fr-FR"/>
        </w:rPr>
        <w:t> ? Voyons s’il est possible de trouver une solution qui satisfasse aux données relatives à la frappe, qui viennent d’être exposées. Nous la confronterons ensuite avec des phénomènes beaucoup plus complexes, qui ont dû jusqu’ici être laissés de côté : état de la circulation, monnayage de contrefaçon.</w:t>
      </w:r>
    </w:p>
    <w:p w14:paraId="69A964AE" w14:textId="77777777" w:rsidR="00B9662D" w:rsidRPr="000F765B" w:rsidRDefault="00B9662D" w:rsidP="00B9662D">
      <w:pPr>
        <w:pStyle w:val="c"/>
      </w:pPr>
      <w:r w:rsidRPr="009D2CDC">
        <w:rPr>
          <w:rFonts w:cs="Menlo Regular"/>
          <w:lang w:eastAsia="fr-FR" w:bidi="fr-FR"/>
        </w:rPr>
        <w:t>*</w:t>
      </w:r>
      <w:r w:rsidRPr="009D2CDC">
        <w:rPr>
          <w:rFonts w:cs="Menlo Regular"/>
          <w:lang w:eastAsia="fr-FR" w:bidi="fr-FR"/>
        </w:rPr>
        <w:br/>
      </w:r>
      <w:r w:rsidRPr="000F765B">
        <w:rPr>
          <w:rFonts w:eastAsia="Courier New"/>
          <w:lang w:eastAsia="fr-FR" w:bidi="fr-FR"/>
        </w:rPr>
        <w:t>*</w:t>
      </w:r>
      <w:r>
        <w:rPr>
          <w:rFonts w:eastAsia="Courier New"/>
          <w:lang w:eastAsia="fr-FR" w:bidi="fr-FR"/>
        </w:rPr>
        <w:t xml:space="preserve">     </w:t>
      </w:r>
      <w:r w:rsidRPr="000F765B">
        <w:rPr>
          <w:rFonts w:eastAsia="Courier New"/>
          <w:lang w:eastAsia="fr-FR" w:bidi="fr-FR"/>
        </w:rPr>
        <w:t xml:space="preserve"> *</w:t>
      </w:r>
    </w:p>
    <w:p w14:paraId="2288439A" w14:textId="77777777" w:rsidR="00B9662D" w:rsidRPr="000F765B" w:rsidRDefault="00B9662D" w:rsidP="00B9662D">
      <w:pPr>
        <w:spacing w:before="120" w:after="120"/>
        <w:jc w:val="both"/>
      </w:pPr>
      <w:r w:rsidRPr="000F765B">
        <w:rPr>
          <w:lang w:eastAsia="fr-FR" w:bidi="fr-FR"/>
        </w:rPr>
        <w:t>Un grand fait doit dominer toutes les tentatives d’explication. L’Europe occidentale et centrale ne produisait et ne pouvait produire que très peu d’or.</w:t>
      </w:r>
    </w:p>
    <w:p w14:paraId="60961CFF" w14:textId="77777777" w:rsidR="00B9662D" w:rsidRPr="000F765B" w:rsidRDefault="00B9662D" w:rsidP="00B9662D">
      <w:pPr>
        <w:spacing w:before="120" w:after="120"/>
        <w:jc w:val="both"/>
      </w:pPr>
      <w:r w:rsidRPr="000F765B">
        <w:rPr>
          <w:lang w:eastAsia="fr-FR" w:bidi="fr-FR"/>
        </w:rPr>
        <w:t>Il n’en était pas de même de l’argent. Les mines de Melle, en Po</w:t>
      </w:r>
      <w:r w:rsidRPr="000F765B">
        <w:rPr>
          <w:lang w:eastAsia="fr-FR" w:bidi="fr-FR"/>
        </w:rPr>
        <w:t>i</w:t>
      </w:r>
      <w:r w:rsidRPr="000F765B">
        <w:rPr>
          <w:lang w:eastAsia="fr-FR" w:bidi="fr-FR"/>
        </w:rPr>
        <w:t xml:space="preserve">tou, ont aidé à alimenter les frappes mérovingiennes. Celles du Massif Central n’ont pas seulement contribué à fournir les ateliers français pendant tout le cours du Moyen </w:t>
      </w:r>
      <w:r>
        <w:rPr>
          <w:lang w:eastAsia="fr-FR" w:bidi="fr-FR"/>
        </w:rPr>
        <w:t>Â</w:t>
      </w:r>
      <w:r w:rsidRPr="000F765B">
        <w:rPr>
          <w:lang w:eastAsia="fr-FR" w:bidi="fr-FR"/>
        </w:rPr>
        <w:t>ge ; leurs produits s’expo</w:t>
      </w:r>
      <w:r>
        <w:rPr>
          <w:lang w:eastAsia="fr-FR" w:bidi="fr-FR"/>
        </w:rPr>
        <w:t xml:space="preserve">rtaient en </w:t>
      </w:r>
      <w:r>
        <w:rPr>
          <w:lang w:eastAsia="fr-FR" w:bidi="fr-FR"/>
        </w:rPr>
        <w:lastRenderedPageBreak/>
        <w:t>Angleterre et jusqu’</w:t>
      </w:r>
      <w:r w:rsidRPr="000F765B">
        <w:rPr>
          <w:lang w:eastAsia="fr-FR" w:bidi="fr-FR"/>
        </w:rPr>
        <w:t>« en terre de Sarrazins »</w:t>
      </w:r>
      <w:r>
        <w:rPr>
          <w:lang w:eastAsia="fr-FR" w:bidi="fr-FR"/>
        </w:rPr>
        <w:t> </w:t>
      </w:r>
      <w:r>
        <w:rPr>
          <w:rStyle w:val="Appelnotedebasdep"/>
        </w:rPr>
        <w:footnoteReference w:id="845"/>
      </w:r>
      <w:r>
        <w:rPr>
          <w:lang w:eastAsia="fr-FR" w:bidi="fr-FR"/>
        </w:rPr>
        <w:t>.</w:t>
      </w:r>
      <w:r w:rsidRPr="000F765B">
        <w:rPr>
          <w:lang w:eastAsia="fr-FR" w:bidi="fr-FR"/>
        </w:rPr>
        <w:t xml:space="preserve"> Celles de la Sardaigne expliquent pour une bonne part l’attrait que l’île exerça sur les gra</w:t>
      </w:r>
      <w:r w:rsidRPr="000F765B">
        <w:rPr>
          <w:lang w:eastAsia="fr-FR" w:bidi="fr-FR"/>
        </w:rPr>
        <w:t>n</w:t>
      </w:r>
      <w:r w:rsidRPr="000F765B">
        <w:rPr>
          <w:lang w:eastAsia="fr-FR" w:bidi="fr-FR"/>
        </w:rPr>
        <w:t>des républiques conquérantes de l’Italie : Gênes et Pise. L’ouverture des gisements du Harz, aux beaux temps de la dynastie saxonne, do</w:t>
      </w:r>
      <w:r w:rsidRPr="000F765B">
        <w:rPr>
          <w:lang w:eastAsia="fr-FR" w:bidi="fr-FR"/>
        </w:rPr>
        <w:t>n</w:t>
      </w:r>
      <w:r w:rsidRPr="000F765B">
        <w:rPr>
          <w:lang w:eastAsia="fr-FR" w:bidi="fr-FR"/>
        </w:rPr>
        <w:t>na à la puissance des souverains de cette race une solide assiette f</w:t>
      </w:r>
      <w:r w:rsidRPr="000F765B">
        <w:rPr>
          <w:lang w:eastAsia="fr-FR" w:bidi="fr-FR"/>
        </w:rPr>
        <w:t>i</w:t>
      </w:r>
      <w:r w:rsidRPr="000F765B">
        <w:rPr>
          <w:lang w:eastAsia="fr-FR" w:bidi="fr-FR"/>
        </w:rPr>
        <w:t>nancière ; leur métal, lui aussi, se vendait sur le marché anglais</w:t>
      </w:r>
      <w:r>
        <w:rPr>
          <w:lang w:eastAsia="fr-FR" w:bidi="fr-FR"/>
        </w:rPr>
        <w:t> </w:t>
      </w:r>
      <w:r>
        <w:rPr>
          <w:rStyle w:val="Appelnotedebasdep"/>
        </w:rPr>
        <w:footnoteReference w:id="846"/>
      </w:r>
      <w:r w:rsidRPr="000F765B">
        <w:rPr>
          <w:lang w:eastAsia="fr-FR" w:bidi="fr-FR"/>
        </w:rPr>
        <w:t>. Et ce ne sont là que quelques exemples, entre beaucoup d’autres. Certes, la pénurie d’argent gênait souvent le monnayage : d’autant que l’extrême fractionnement du droit de frappe mettait beaucoup d’ateliers entre les mains de princes qui manquaient à posséder des mines. En 1455 encore, le duc de Bavière s’excusait de sa</w:t>
      </w:r>
      <w:r>
        <w:rPr>
          <w:lang w:eastAsia="fr-FR" w:bidi="fr-FR"/>
        </w:rPr>
        <w:t xml:space="preserve"> </w:t>
      </w:r>
      <w:r>
        <w:t xml:space="preserve">[844] </w:t>
      </w:r>
      <w:r w:rsidRPr="000F765B">
        <w:rPr>
          <w:lang w:eastAsia="fr-FR" w:bidi="fr-FR"/>
        </w:rPr>
        <w:t>ma</w:t>
      </w:r>
      <w:r w:rsidRPr="000F765B">
        <w:rPr>
          <w:lang w:eastAsia="fr-FR" w:bidi="fr-FR"/>
        </w:rPr>
        <w:t>u</w:t>
      </w:r>
      <w:r w:rsidRPr="000F765B">
        <w:rPr>
          <w:lang w:eastAsia="fr-FR" w:bidi="fr-FR"/>
        </w:rPr>
        <w:t>vaise monnaie sur l’obligation où il était d’acheter au</w:t>
      </w:r>
      <w:r>
        <w:rPr>
          <w:lang w:eastAsia="fr-FR" w:bidi="fr-FR"/>
        </w:rPr>
        <w:t>-</w:t>
      </w:r>
      <w:r w:rsidRPr="000F765B">
        <w:rPr>
          <w:lang w:eastAsia="fr-FR" w:bidi="fr-FR"/>
        </w:rPr>
        <w:t>dehors la mati</w:t>
      </w:r>
      <w:r w:rsidRPr="000F765B">
        <w:rPr>
          <w:lang w:eastAsia="fr-FR" w:bidi="fr-FR"/>
        </w:rPr>
        <w:t>è</w:t>
      </w:r>
      <w:r w:rsidRPr="000F765B">
        <w:rPr>
          <w:lang w:eastAsia="fr-FR" w:bidi="fr-FR"/>
        </w:rPr>
        <w:t>re première</w:t>
      </w:r>
      <w:r>
        <w:rPr>
          <w:lang w:eastAsia="fr-FR" w:bidi="fr-FR"/>
        </w:rPr>
        <w:t> </w:t>
      </w:r>
      <w:r>
        <w:rPr>
          <w:rStyle w:val="Appelnotedebasdep"/>
        </w:rPr>
        <w:footnoteReference w:id="847"/>
      </w:r>
      <w:r w:rsidRPr="000F765B">
        <w:rPr>
          <w:lang w:eastAsia="fr-FR" w:bidi="fr-FR"/>
        </w:rPr>
        <w:t>. Il n’en est pas moins vrai que l’Europe de l’Occident et du Centre, prise dans son ensemble, pouvait suffire à sa propre consommation d’argent.</w:t>
      </w:r>
    </w:p>
    <w:p w14:paraId="79E3495C" w14:textId="77777777" w:rsidR="00B9662D" w:rsidRPr="000F765B" w:rsidRDefault="00B9662D" w:rsidP="00B9662D">
      <w:pPr>
        <w:spacing w:before="120" w:after="120"/>
        <w:jc w:val="both"/>
      </w:pPr>
      <w:r w:rsidRPr="000F765B">
        <w:rPr>
          <w:lang w:eastAsia="fr-FR" w:bidi="fr-FR"/>
        </w:rPr>
        <w:t>Pour l’or, au contraire, c’était la plus fâcheuse pauvreté : plus gr</w:t>
      </w:r>
      <w:r w:rsidRPr="000F765B">
        <w:rPr>
          <w:lang w:eastAsia="fr-FR" w:bidi="fr-FR"/>
        </w:rPr>
        <w:t>a</w:t>
      </w:r>
      <w:r w:rsidRPr="000F765B">
        <w:rPr>
          <w:lang w:eastAsia="fr-FR" w:bidi="fr-FR"/>
        </w:rPr>
        <w:t xml:space="preserve">ve certainement pendant le Haut Moyen </w:t>
      </w:r>
      <w:r>
        <w:rPr>
          <w:lang w:eastAsia="fr-FR" w:bidi="fr-FR"/>
        </w:rPr>
        <w:t>Â</w:t>
      </w:r>
      <w:r w:rsidRPr="000F765B">
        <w:rPr>
          <w:lang w:eastAsia="fr-FR" w:bidi="fr-FR"/>
        </w:rPr>
        <w:t>ge qu’auparavant ou que plus tard. Depuis la préhistoire, depuis l’époque romaine, bien des gisements s’étaient taris, ou du moins ne donnaient plus que des qua</w:t>
      </w:r>
      <w:r w:rsidRPr="000F765B">
        <w:rPr>
          <w:lang w:eastAsia="fr-FR" w:bidi="fr-FR"/>
        </w:rPr>
        <w:t>n</w:t>
      </w:r>
      <w:r w:rsidRPr="000F765B">
        <w:rPr>
          <w:lang w:eastAsia="fr-FR" w:bidi="fr-FR"/>
        </w:rPr>
        <w:t>tités extrêmement faibles : tels ceux de l’Irlande, si abondants à l’âge du bronze, ceux des Pyrénées occidentales, utilisés aux premiers temps de l’Empire. Le fait n’a rien que de normal : « un filon d’or ou, à plus forte raison, une alluvion », écrit M. de Launay, « n’est pas comme un champ, qui peut chaque année produire une nouvelle réco</w:t>
      </w:r>
      <w:r w:rsidRPr="000F765B">
        <w:rPr>
          <w:lang w:eastAsia="fr-FR" w:bidi="fr-FR"/>
        </w:rPr>
        <w:t>l</w:t>
      </w:r>
      <w:r w:rsidRPr="000F765B">
        <w:rPr>
          <w:lang w:eastAsia="fr-FR" w:bidi="fr-FR"/>
        </w:rPr>
        <w:t>te ; c’est un sac dans lequel on puise et que l’on vide rapide</w:t>
      </w:r>
      <w:r w:rsidRPr="000F765B">
        <w:rPr>
          <w:lang w:eastAsia="fr-FR" w:bidi="fr-FR"/>
        </w:rPr>
        <w:lastRenderedPageBreak/>
        <w:t>ment »</w:t>
      </w:r>
      <w:r>
        <w:rPr>
          <w:lang w:eastAsia="fr-FR" w:bidi="fr-FR"/>
        </w:rPr>
        <w:t> </w:t>
      </w:r>
      <w:r>
        <w:rPr>
          <w:rStyle w:val="Appelnotedebasdep"/>
        </w:rPr>
        <w:footnoteReference w:id="848"/>
      </w:r>
      <w:r w:rsidRPr="000F765B">
        <w:rPr>
          <w:lang w:eastAsia="fr-FR" w:bidi="fr-FR"/>
        </w:rPr>
        <w:t>. Les procédés d’exploitation, très rudimentaires, accéléraient l’épuisement. Par ailleurs, les mines encore vierges des Alpes Orient</w:t>
      </w:r>
      <w:r w:rsidRPr="000F765B">
        <w:rPr>
          <w:lang w:eastAsia="fr-FR" w:bidi="fr-FR"/>
        </w:rPr>
        <w:t>a</w:t>
      </w:r>
      <w:r w:rsidRPr="000F765B">
        <w:rPr>
          <w:lang w:eastAsia="fr-FR" w:bidi="fr-FR"/>
        </w:rPr>
        <w:t>les et de la Silésie étaient ignorées ; elles ne paraissent pas avoir été mises en exploitation avant les environs de l’an 1200</w:t>
      </w:r>
      <w:r>
        <w:rPr>
          <w:lang w:eastAsia="fr-FR" w:bidi="fr-FR"/>
        </w:rPr>
        <w:t> </w:t>
      </w:r>
      <w:r>
        <w:rPr>
          <w:rStyle w:val="Appelnotedebasdep"/>
        </w:rPr>
        <w:footnoteReference w:id="849"/>
      </w:r>
      <w:r w:rsidRPr="000F765B">
        <w:rPr>
          <w:lang w:eastAsia="fr-FR" w:bidi="fr-FR"/>
        </w:rPr>
        <w:t>. Restait, il est vrai, l’or natif patiemment recueilli dans les eaux courantes : torrents cévenols et pyrénéens (les placers de l’Ariège ont contribué à alime</w:t>
      </w:r>
      <w:r w:rsidRPr="000F765B">
        <w:rPr>
          <w:lang w:eastAsia="fr-FR" w:bidi="fr-FR"/>
        </w:rPr>
        <w:t>n</w:t>
      </w:r>
      <w:r w:rsidRPr="000F765B">
        <w:rPr>
          <w:lang w:eastAsia="fr-FR" w:bidi="fr-FR"/>
        </w:rPr>
        <w:t xml:space="preserve">ter la monnaie de Toulouse jusqu’au début du </w:t>
      </w:r>
      <w:r w:rsidRPr="009D2CDC">
        <w:rPr>
          <w:caps/>
          <w:lang w:eastAsia="fr-FR" w:bidi="fr-FR"/>
        </w:rPr>
        <w:t>xix</w:t>
      </w:r>
      <w:r w:rsidRPr="000F765B">
        <w:rPr>
          <w:vertAlign w:val="superscript"/>
          <w:lang w:eastAsia="fr-FR" w:bidi="fr-FR"/>
        </w:rPr>
        <w:t>e</w:t>
      </w:r>
      <w:r w:rsidRPr="000F765B">
        <w:rPr>
          <w:lang w:eastAsia="fr-FR" w:bidi="fr-FR"/>
        </w:rPr>
        <w:t xml:space="preserve"> siècle), et ceux qui des Alpes descendent vers la plaine du Pô ou vers les terrasses bavaroises</w:t>
      </w:r>
      <w:r>
        <w:rPr>
          <w:lang w:eastAsia="fr-FR" w:bidi="fr-FR"/>
        </w:rPr>
        <w:t> </w:t>
      </w:r>
      <w:r>
        <w:rPr>
          <w:rStyle w:val="Appelnotedebasdep"/>
        </w:rPr>
        <w:footnoteReference w:id="850"/>
      </w:r>
      <w:r w:rsidRPr="000F765B">
        <w:rPr>
          <w:lang w:eastAsia="fr-FR" w:bidi="fr-FR"/>
        </w:rPr>
        <w:t xml:space="preserve">. Le « Rheingold » n’était pas un mythe ; on le recueillait dans ces « sables d’or » que, sous Louis le Pieux, les poètes, tant en latin qu’en francique, vantaient à l’envi comme un des plus beaux dons du fleuve ; trois siècles plus tard, le moine Théophile décrivait encore les travaux des chercheurs de paillettes, sur les grèves, et les monastères alsaciens mettaient à si haut prix la possession des laveries que, pour se l’assurer, ils ne craignaient pas d’user de </w:t>
      </w:r>
      <w:r w:rsidRPr="000F765B">
        <w:rPr>
          <w:lang w:eastAsia="fr-FR" w:bidi="fr-FR"/>
        </w:rPr>
        <w:lastRenderedPageBreak/>
        <w:t>faux</w:t>
      </w:r>
      <w:r>
        <w:rPr>
          <w:lang w:eastAsia="fr-FR" w:bidi="fr-FR"/>
        </w:rPr>
        <w:t> </w:t>
      </w:r>
      <w:r>
        <w:rPr>
          <w:rStyle w:val="Appelnotedebasdep"/>
        </w:rPr>
        <w:footnoteReference w:id="851"/>
      </w:r>
      <w:r w:rsidRPr="000F765B">
        <w:rPr>
          <w:lang w:eastAsia="fr-FR" w:bidi="fr-FR"/>
        </w:rPr>
        <w:t>. Mais tous ces grains</w:t>
      </w:r>
      <w:r>
        <w:rPr>
          <w:lang w:eastAsia="fr-FR" w:bidi="fr-FR"/>
        </w:rPr>
        <w:t xml:space="preserve"> </w:t>
      </w:r>
      <w:r>
        <w:t xml:space="preserve">[845] </w:t>
      </w:r>
      <w:r w:rsidRPr="000F765B">
        <w:rPr>
          <w:lang w:eastAsia="fr-FR" w:bidi="fr-FR"/>
        </w:rPr>
        <w:t>brillants, une fois rassemblés, n’auraient certa</w:t>
      </w:r>
      <w:r w:rsidRPr="000F765B">
        <w:rPr>
          <w:lang w:eastAsia="fr-FR" w:bidi="fr-FR"/>
        </w:rPr>
        <w:t>i</w:t>
      </w:r>
      <w:r w:rsidRPr="000F765B">
        <w:rPr>
          <w:lang w:eastAsia="fr-FR" w:bidi="fr-FR"/>
        </w:rPr>
        <w:t>nement pas pesé très lourd : bien peu de chose, en tout cas, à côté de ce que livraient l’Oural, le Caucase, l’Altaï, l’Hindoustan ou les rivi</w:t>
      </w:r>
      <w:r w:rsidRPr="000F765B">
        <w:rPr>
          <w:lang w:eastAsia="fr-FR" w:bidi="fr-FR"/>
        </w:rPr>
        <w:t>è</w:t>
      </w:r>
      <w:r w:rsidRPr="000F765B">
        <w:rPr>
          <w:lang w:eastAsia="fr-FR" w:bidi="fr-FR"/>
        </w:rPr>
        <w:t xml:space="preserve">res de l’Afrique tropicale. Il y a quelque chose d’étrange à voir les pays qui, de la fin du Moyen </w:t>
      </w:r>
      <w:r>
        <w:rPr>
          <w:lang w:eastAsia="fr-FR" w:bidi="fr-FR"/>
        </w:rPr>
        <w:t>Â</w:t>
      </w:r>
      <w:r w:rsidRPr="000F765B">
        <w:rPr>
          <w:lang w:eastAsia="fr-FR" w:bidi="fr-FR"/>
        </w:rPr>
        <w:t>ge jusqu’à nos jours, devaient être les plus vivants foyers de l’économie mondiale, à peu près privés par la nature de la matière qu’une vieille tradition, aujourd’hui plus que j</w:t>
      </w:r>
      <w:r w:rsidRPr="000F765B">
        <w:rPr>
          <w:lang w:eastAsia="fr-FR" w:bidi="fr-FR"/>
        </w:rPr>
        <w:t>a</w:t>
      </w:r>
      <w:r w:rsidRPr="000F765B">
        <w:rPr>
          <w:lang w:eastAsia="fr-FR" w:bidi="fr-FR"/>
        </w:rPr>
        <w:t>mais impérieuse, nous oblige à tenir pour le signe et le réceptacle de toute richesse. Peut-être le paradoxe n’est-il qu’apparent. Ce « fabuleux » métal, les Européens ont été condamnés à se le procurer soit par échange, soit par conquête et leur misère originelle a sans doute été une des raisons qui leur ont fait soumettre ou exploiter le monde.</w:t>
      </w:r>
    </w:p>
    <w:p w14:paraId="1F824FC0" w14:textId="77777777" w:rsidR="00B9662D" w:rsidRPr="000F765B" w:rsidRDefault="00B9662D" w:rsidP="00B9662D">
      <w:pPr>
        <w:spacing w:before="120" w:after="120"/>
        <w:jc w:val="both"/>
      </w:pPr>
      <w:r w:rsidRPr="000F765B">
        <w:rPr>
          <w:lang w:eastAsia="fr-FR" w:bidi="fr-FR"/>
        </w:rPr>
        <w:t xml:space="preserve">Le haut Moyen </w:t>
      </w:r>
      <w:r>
        <w:rPr>
          <w:lang w:eastAsia="fr-FR" w:bidi="fr-FR"/>
        </w:rPr>
        <w:t>Â</w:t>
      </w:r>
      <w:r w:rsidRPr="000F765B">
        <w:rPr>
          <w:lang w:eastAsia="fr-FR" w:bidi="fr-FR"/>
        </w:rPr>
        <w:t>ge n’en était pas là. De toute évidence, la frappe de l’or n’y eût été possible que moyennant l’une ou l’autre des deux conditions que voici : maintien d’un stock préexistant, suffisamment considérable ; courants d’échange capables de drainer vers l’Occident l’or des pays producteurs ou de ceux qui se trouvaient eux-mêmes possesseurs d’un stock abondant. Écoutons là-dessus le témoignage des faits.</w:t>
      </w:r>
    </w:p>
    <w:p w14:paraId="653A3FDB" w14:textId="77777777" w:rsidR="00B9662D" w:rsidRPr="000F765B" w:rsidRDefault="00B9662D" w:rsidP="00B9662D">
      <w:pPr>
        <w:pStyle w:val="c"/>
      </w:pPr>
      <w:r w:rsidRPr="000F765B">
        <w:rPr>
          <w:lang w:eastAsia="fr-FR" w:bidi="fr-FR"/>
        </w:rPr>
        <w:t>*</w:t>
      </w:r>
      <w:r>
        <w:rPr>
          <w:lang w:eastAsia="fr-FR" w:bidi="fr-FR"/>
        </w:rPr>
        <w:br/>
      </w:r>
      <w:r w:rsidRPr="000F765B">
        <w:rPr>
          <w:rFonts w:eastAsia="Courier New"/>
          <w:lang w:eastAsia="fr-FR" w:bidi="fr-FR"/>
        </w:rPr>
        <w:t>*</w:t>
      </w:r>
      <w:r>
        <w:rPr>
          <w:rFonts w:eastAsia="Courier New"/>
          <w:lang w:eastAsia="fr-FR" w:bidi="fr-FR"/>
        </w:rPr>
        <w:t xml:space="preserve">     </w:t>
      </w:r>
      <w:r w:rsidRPr="000F765B">
        <w:rPr>
          <w:rFonts w:eastAsia="Courier New"/>
          <w:lang w:eastAsia="fr-FR" w:bidi="fr-FR"/>
        </w:rPr>
        <w:t xml:space="preserve"> *</w:t>
      </w:r>
    </w:p>
    <w:p w14:paraId="06B09CDD" w14:textId="77777777" w:rsidR="00B9662D" w:rsidRPr="000F765B" w:rsidRDefault="00B9662D" w:rsidP="00B9662D">
      <w:pPr>
        <w:spacing w:before="120" w:after="120"/>
        <w:jc w:val="both"/>
      </w:pPr>
      <w:r w:rsidRPr="000F765B">
        <w:rPr>
          <w:lang w:eastAsia="fr-FR" w:bidi="fr-FR"/>
        </w:rPr>
        <w:t xml:space="preserve">Il n’est pas douteux que, dans la partie occidentale de l’ancienne </w:t>
      </w:r>
      <w:r w:rsidRPr="00776EE9">
        <w:rPr>
          <w:i/>
        </w:rPr>
        <w:t>Romania</w:t>
      </w:r>
      <w:r w:rsidRPr="000F765B">
        <w:rPr>
          <w:lang w:eastAsia="fr-FR" w:bidi="fr-FR"/>
        </w:rPr>
        <w:t xml:space="preserve">, l’or ne soit allé se raréfiant, </w:t>
      </w:r>
      <w:r>
        <w:rPr>
          <w:lang w:eastAsia="fr-FR" w:bidi="fr-FR"/>
        </w:rPr>
        <w:t>depuis la fin de l’Empire. Sym</w:t>
      </w:r>
      <w:r w:rsidRPr="000F765B">
        <w:rPr>
          <w:lang w:eastAsia="fr-FR" w:bidi="fr-FR"/>
        </w:rPr>
        <w:t>maque, dès 384 ou 385, signale le phénomène</w:t>
      </w:r>
      <w:r>
        <w:rPr>
          <w:lang w:eastAsia="fr-FR" w:bidi="fr-FR"/>
        </w:rPr>
        <w:t> </w:t>
      </w:r>
      <w:r>
        <w:rPr>
          <w:rStyle w:val="Appelnotedebasdep"/>
        </w:rPr>
        <w:footnoteReference w:id="852"/>
      </w:r>
      <w:r w:rsidRPr="000F765B">
        <w:rPr>
          <w:lang w:eastAsia="fr-FR" w:bidi="fr-FR"/>
        </w:rPr>
        <w:t>. La conséquence naturelle était une hausse de la monnaie d’or, par rapport au métal-argent. Alors qu’il fallait cinq sous, en 397, pour représenter la valeur d’une livre d’argent, quatre y suffisaient en 422</w:t>
      </w:r>
      <w:r>
        <w:rPr>
          <w:lang w:eastAsia="fr-FR" w:bidi="fr-FR"/>
        </w:rPr>
        <w:t> </w:t>
      </w:r>
      <w:r>
        <w:rPr>
          <w:rStyle w:val="Appelnotedebasdep"/>
        </w:rPr>
        <w:footnoteReference w:id="853"/>
      </w:r>
      <w:r w:rsidRPr="000F765B">
        <w:rPr>
          <w:lang w:eastAsia="fr-FR" w:bidi="fr-FR"/>
        </w:rPr>
        <w:t>. Il était inévitable que la monnaie elle-même fût atteinte. Tel fut le cas tout d’abord au</w:t>
      </w:r>
      <w:r>
        <w:rPr>
          <w:lang w:eastAsia="fr-FR" w:bidi="fr-FR"/>
        </w:rPr>
        <w:t>-</w:t>
      </w:r>
      <w:r w:rsidRPr="000F765B">
        <w:rPr>
          <w:lang w:eastAsia="fr-FR" w:bidi="fr-FR"/>
        </w:rPr>
        <w:t xml:space="preserve">delà des Alpes. L’empereur Majorien, en 458, notait la </w:t>
      </w:r>
      <w:r w:rsidRPr="000F765B">
        <w:rPr>
          <w:lang w:eastAsia="fr-FR" w:bidi="fr-FR"/>
        </w:rPr>
        <w:lastRenderedPageBreak/>
        <w:t>mauvaise qu</w:t>
      </w:r>
      <w:r w:rsidRPr="000F765B">
        <w:rPr>
          <w:lang w:eastAsia="fr-FR" w:bidi="fr-FR"/>
        </w:rPr>
        <w:t>a</w:t>
      </w:r>
      <w:r w:rsidRPr="000F765B">
        <w:rPr>
          <w:lang w:eastAsia="fr-FR" w:bidi="fr-FR"/>
        </w:rPr>
        <w:t>lité des sous gaulois. Plus d’un siècle plus tard, le pape Grégoire le Grand, à son tour, remarque qu’ils n’ont point cours en Italie. Cette fois, l’observation s’appliquait, au moins pour partie, aux frappes des rois barbares, établis en Gaule. Les sous burgondes de Genève et de Valence, ceux du roi visigoth Alaric</w:t>
      </w:r>
      <w:r>
        <w:rPr>
          <w:lang w:eastAsia="fr-FR" w:bidi="fr-FR"/>
        </w:rPr>
        <w:t> </w:t>
      </w:r>
      <w:r w:rsidRPr="000F765B">
        <w:rPr>
          <w:lang w:eastAsia="fr-FR" w:bidi="fr-FR"/>
        </w:rPr>
        <w:t>I</w:t>
      </w:r>
      <w:r w:rsidRPr="000F765B">
        <w:rPr>
          <w:vertAlign w:val="superscript"/>
          <w:lang w:eastAsia="fr-FR" w:bidi="fr-FR"/>
        </w:rPr>
        <w:t xml:space="preserve">er </w:t>
      </w:r>
      <w:r w:rsidRPr="000F765B">
        <w:rPr>
          <w:lang w:eastAsia="fr-FR" w:bidi="fr-FR"/>
        </w:rPr>
        <w:t>avaient une réputation partic</w:t>
      </w:r>
      <w:r w:rsidRPr="000F765B">
        <w:rPr>
          <w:lang w:eastAsia="fr-FR" w:bidi="fr-FR"/>
        </w:rPr>
        <w:t>u</w:t>
      </w:r>
      <w:r w:rsidRPr="000F765B">
        <w:rPr>
          <w:lang w:eastAsia="fr-FR" w:bidi="fr-FR"/>
        </w:rPr>
        <w:t>lièrement fâcheuse</w:t>
      </w:r>
      <w:r>
        <w:rPr>
          <w:lang w:eastAsia="fr-FR" w:bidi="fr-FR"/>
        </w:rPr>
        <w:t> </w:t>
      </w:r>
      <w:r>
        <w:rPr>
          <w:rStyle w:val="Appelnotedebasdep"/>
        </w:rPr>
        <w:footnoteReference w:id="854"/>
      </w:r>
      <w:r w:rsidRPr="000F765B">
        <w:rPr>
          <w:lang w:eastAsia="fr-FR" w:bidi="fr-FR"/>
        </w:rPr>
        <w:t>. Mais, d’une façon générale, dans toutes les monnaies barbares, la décadence est frappante. Le sou, trop lourd, cesse presque complètement d’être frappé. Quant au tiers de sou, rien de plus significatif que d’en comparer les teneurs, aux deux bouts de la chaîne. Sous Constantin, 1 gr. 51 d’or fin ; sous Charlemagne, comme poids total, 0 gr. 972 seulement, et en or</w:t>
      </w:r>
      <w:r>
        <w:rPr>
          <w:lang w:eastAsia="fr-FR" w:bidi="fr-FR"/>
        </w:rPr>
        <w:t> — </w:t>
      </w:r>
      <w:r w:rsidRPr="000F765B">
        <w:rPr>
          <w:lang w:eastAsia="fr-FR" w:bidi="fr-FR"/>
        </w:rPr>
        <w:t>une grande partie de la pièce étant en réalité faite d’argent</w:t>
      </w:r>
      <w:r>
        <w:rPr>
          <w:lang w:eastAsia="fr-FR" w:bidi="fr-FR"/>
        </w:rPr>
        <w:t> — </w:t>
      </w:r>
      <w:r w:rsidRPr="000F765B">
        <w:rPr>
          <w:lang w:eastAsia="fr-FR" w:bidi="fr-FR"/>
        </w:rPr>
        <w:t>un peu moins de 0 gr. 39</w:t>
      </w:r>
      <w:r>
        <w:rPr>
          <w:lang w:eastAsia="fr-FR" w:bidi="fr-FR"/>
        </w:rPr>
        <w:t> </w:t>
      </w:r>
      <w:r>
        <w:rPr>
          <w:rStyle w:val="Appelnotedebasdep"/>
        </w:rPr>
        <w:footnoteReference w:id="855"/>
      </w:r>
      <w:r w:rsidRPr="000F765B">
        <w:rPr>
          <w:lang w:eastAsia="fr-FR" w:bidi="fr-FR"/>
        </w:rPr>
        <w:t>. Qu’il s’agît bien d’une véritable pénurie de matière première et non pas seulement, comme on pourrait être tenté de le croire, d’un affaiblissement limité à l’ordre monétaire, l’orfèvrerie nous en est un sûr témoin. Certes, on portait des bijoux d’or, mais où le métal, au dire des spécialistes, était</w:t>
      </w:r>
      <w:r>
        <w:rPr>
          <w:lang w:eastAsia="fr-FR" w:bidi="fr-FR"/>
        </w:rPr>
        <w:t xml:space="preserve"> </w:t>
      </w:r>
      <w:r>
        <w:t xml:space="preserve">[846] </w:t>
      </w:r>
      <w:r w:rsidRPr="000F765B">
        <w:rPr>
          <w:lang w:eastAsia="fr-FR" w:bidi="fr-FR"/>
        </w:rPr>
        <w:t>traité dans un souci de « stricte éc</w:t>
      </w:r>
      <w:r w:rsidRPr="000F765B">
        <w:rPr>
          <w:lang w:eastAsia="fr-FR" w:bidi="fr-FR"/>
        </w:rPr>
        <w:t>o</w:t>
      </w:r>
      <w:r w:rsidRPr="000F765B">
        <w:rPr>
          <w:lang w:eastAsia="fr-FR" w:bidi="fr-FR"/>
        </w:rPr>
        <w:t>nomie »</w:t>
      </w:r>
      <w:r>
        <w:rPr>
          <w:lang w:eastAsia="fr-FR" w:bidi="fr-FR"/>
        </w:rPr>
        <w:t>.</w:t>
      </w:r>
      <w:r>
        <w:rPr>
          <w:rStyle w:val="Appelnotedebasdep"/>
        </w:rPr>
        <w:footnoteReference w:id="856"/>
      </w:r>
      <w:r w:rsidRPr="000F765B">
        <w:rPr>
          <w:lang w:eastAsia="fr-FR" w:bidi="fr-FR"/>
        </w:rPr>
        <w:t xml:space="preserve"> Visiblement, l’abandon de la frappe de l’or, par les Caroli</w:t>
      </w:r>
      <w:r w:rsidRPr="000F765B">
        <w:rPr>
          <w:lang w:eastAsia="fr-FR" w:bidi="fr-FR"/>
        </w:rPr>
        <w:t>n</w:t>
      </w:r>
      <w:r w:rsidRPr="000F765B">
        <w:rPr>
          <w:lang w:eastAsia="fr-FR" w:bidi="fr-FR"/>
        </w:rPr>
        <w:t>giens, se place au terme d’une longue saignée.</w:t>
      </w:r>
    </w:p>
    <w:p w14:paraId="407E77C4" w14:textId="77777777" w:rsidR="00B9662D" w:rsidRPr="000F765B" w:rsidRDefault="00B9662D" w:rsidP="00B9662D">
      <w:pPr>
        <w:spacing w:before="120" w:after="120"/>
        <w:jc w:val="both"/>
      </w:pPr>
      <w:r>
        <w:rPr>
          <w:lang w:eastAsia="fr-FR" w:bidi="fr-FR"/>
        </w:rPr>
        <w:t>À</w:t>
      </w:r>
      <w:r w:rsidRPr="000F765B">
        <w:rPr>
          <w:lang w:eastAsia="fr-FR" w:bidi="fr-FR"/>
        </w:rPr>
        <w:t xml:space="preserve"> provoquer celle-ci, les faits spécifiquement économiques n’avaient pas seuls contribué. La religion y eut sa part ; l’usage païen, qui subsista souvent après la conversion, voulait que le chef germain fût enterré avec ses parures ; combien de beaux bijoux les tombes n’ont-elles pas dérobés aux vivants ! Les événements politiques am</w:t>
      </w:r>
      <w:r w:rsidRPr="000F765B">
        <w:rPr>
          <w:lang w:eastAsia="fr-FR" w:bidi="fr-FR"/>
        </w:rPr>
        <w:t>e</w:t>
      </w:r>
      <w:r w:rsidRPr="000F765B">
        <w:rPr>
          <w:lang w:eastAsia="fr-FR" w:bidi="fr-FR"/>
        </w:rPr>
        <w:t>nèrent l’enfouissement de nombreux trésors, qui ne furent pas toujours récupérés ; on évalue à plus de trois mille les pièces d’or fournies, par la trouvaille de La Beaugisière, en Vendée</w:t>
      </w:r>
      <w:r>
        <w:rPr>
          <w:lang w:eastAsia="fr-FR" w:bidi="fr-FR"/>
        </w:rPr>
        <w:t> </w:t>
      </w:r>
      <w:r>
        <w:rPr>
          <w:rStyle w:val="Appelnotedebasdep"/>
        </w:rPr>
        <w:footnoteReference w:id="857"/>
      </w:r>
      <w:r w:rsidRPr="000F765B">
        <w:rPr>
          <w:lang w:eastAsia="fr-FR" w:bidi="fr-FR"/>
        </w:rPr>
        <w:t xml:space="preserve">. Surtout, les tributs payés aux envahisseurs avaient cruellement appauvri le stock d’or de </w:t>
      </w:r>
      <w:r w:rsidRPr="000F765B">
        <w:rPr>
          <w:lang w:eastAsia="fr-FR" w:bidi="fr-FR"/>
        </w:rPr>
        <w:lastRenderedPageBreak/>
        <w:t>l’Empire. Les gouvernants s’en étaient émus, sans pouvoir porter r</w:t>
      </w:r>
      <w:r w:rsidRPr="000F765B">
        <w:rPr>
          <w:lang w:eastAsia="fr-FR" w:bidi="fr-FR"/>
        </w:rPr>
        <w:t>e</w:t>
      </w:r>
      <w:r w:rsidRPr="000F765B">
        <w:rPr>
          <w:lang w:eastAsia="fr-FR" w:bidi="fr-FR"/>
        </w:rPr>
        <w:t>mède au mal : « Il n’est pas seulement interdit de fournir de l’or aux barbares », édicte, en 374 ou environ, une loi de Valentinien, Valens et Gratien ; « on doit s’efforcer, par adresse, de leur retirer celui qu’ils possèdent déjà »</w:t>
      </w:r>
      <w:r>
        <w:rPr>
          <w:lang w:eastAsia="fr-FR" w:bidi="fr-FR"/>
        </w:rPr>
        <w:t> </w:t>
      </w:r>
      <w:r>
        <w:rPr>
          <w:rStyle w:val="Appelnotedebasdep"/>
        </w:rPr>
        <w:footnoteReference w:id="858"/>
      </w:r>
      <w:r w:rsidRPr="000F765B">
        <w:rPr>
          <w:lang w:eastAsia="fr-FR" w:bidi="fr-FR"/>
        </w:rPr>
        <w:t>.</w:t>
      </w:r>
    </w:p>
    <w:p w14:paraId="4EC57DDB" w14:textId="77777777" w:rsidR="00B9662D" w:rsidRPr="000F765B" w:rsidRDefault="00B9662D" w:rsidP="00B9662D">
      <w:pPr>
        <w:spacing w:before="120" w:after="120"/>
        <w:jc w:val="both"/>
      </w:pPr>
      <w:r w:rsidRPr="000F765B">
        <w:rPr>
          <w:lang w:eastAsia="fr-FR" w:bidi="fr-FR"/>
        </w:rPr>
        <w:t xml:space="preserve">Sans doute, une partie de la richesse ainsi drainée fit retour, par la suite, à la </w:t>
      </w:r>
      <w:r w:rsidRPr="00776EE9">
        <w:rPr>
          <w:i/>
        </w:rPr>
        <w:t>Romania</w:t>
      </w:r>
      <w:r w:rsidRPr="000F765B">
        <w:rPr>
          <w:lang w:eastAsia="fr-FR" w:bidi="fr-FR"/>
        </w:rPr>
        <w:t xml:space="preserve"> conquise. De grandes quantités cependant</w:t>
      </w:r>
      <w:r>
        <w:rPr>
          <w:lang w:eastAsia="fr-FR" w:bidi="fr-FR"/>
        </w:rPr>
        <w:t> — </w:t>
      </w:r>
      <w:r w:rsidRPr="000F765B">
        <w:rPr>
          <w:lang w:eastAsia="fr-FR" w:bidi="fr-FR"/>
        </w:rPr>
        <w:t>indépendamment des causes de pertes qui ont déjà été signalées</w:t>
      </w:r>
      <w:r>
        <w:rPr>
          <w:lang w:eastAsia="fr-FR" w:bidi="fr-FR"/>
        </w:rPr>
        <w:t> — </w:t>
      </w:r>
      <w:r w:rsidRPr="000F765B">
        <w:rPr>
          <w:lang w:eastAsia="fr-FR" w:bidi="fr-FR"/>
        </w:rPr>
        <w:t xml:space="preserve">lui échappèrent, définitivement, au profit du monde Scandinave, entre celui-ci et l’Empire, soumis ou pillé, les va-et-vient n’étaient point rares. </w:t>
      </w:r>
      <w:r>
        <w:rPr>
          <w:lang w:eastAsia="fr-FR" w:bidi="fr-FR"/>
        </w:rPr>
        <w:t>À</w:t>
      </w:r>
      <w:r w:rsidRPr="000F765B">
        <w:rPr>
          <w:lang w:eastAsia="fr-FR" w:bidi="fr-FR"/>
        </w:rPr>
        <w:t xml:space="preserve"> ce premier afflux, le Nord ajouta, un peu plus tard, au temps des rois de mer, les produits des razzias, ceux des rançons versées par les souverains francs ou anglo-saxons, d’autres monnaies ou barres de métal encore, plus honnêtement gagnées : solde des mercenaires e</w:t>
      </w:r>
      <w:r w:rsidRPr="000F765B">
        <w:rPr>
          <w:lang w:eastAsia="fr-FR" w:bidi="fr-FR"/>
        </w:rPr>
        <w:t>m</w:t>
      </w:r>
      <w:r w:rsidRPr="000F765B">
        <w:rPr>
          <w:lang w:eastAsia="fr-FR" w:bidi="fr-FR"/>
        </w:rPr>
        <w:t xml:space="preserve">ployés par les empereurs grecs, prix des marchandises qui, le long des fleuves russes, descendaient de la Baltique vers les marchés de l’Orient. Voulait-on voir, aux </w:t>
      </w:r>
      <w:r>
        <w:rPr>
          <w:lang w:eastAsia="fr-FR" w:bidi="fr-FR"/>
        </w:rPr>
        <w:t>IX</w:t>
      </w:r>
      <w:r w:rsidRPr="000F765B">
        <w:rPr>
          <w:vertAlign w:val="superscript"/>
          <w:lang w:eastAsia="fr-FR" w:bidi="fr-FR"/>
        </w:rPr>
        <w:t>e</w:t>
      </w:r>
      <w:r w:rsidRPr="000F765B">
        <w:rPr>
          <w:lang w:eastAsia="fr-FR" w:bidi="fr-FR"/>
        </w:rPr>
        <w:t xml:space="preserve"> et </w:t>
      </w:r>
      <w:r>
        <w:rPr>
          <w:lang w:eastAsia="fr-FR" w:bidi="fr-FR"/>
        </w:rPr>
        <w:t>X</w:t>
      </w:r>
      <w:r w:rsidRPr="000F765B">
        <w:rPr>
          <w:vertAlign w:val="superscript"/>
          <w:lang w:eastAsia="fr-FR" w:bidi="fr-FR"/>
        </w:rPr>
        <w:t>e</w:t>
      </w:r>
      <w:r w:rsidRPr="000F765B">
        <w:rPr>
          <w:lang w:eastAsia="fr-FR" w:bidi="fr-FR"/>
        </w:rPr>
        <w:t xml:space="preserve"> siècles, de l’or en grandes masses ? Dans toute l’Europe, Byzance exceptée, la Scandinavie était probablement seule à pouvoir offrir ce spectacle. La « piraterie », au dire d’Adam de Brême, avait accumulé dans l’île de Seeland le pr</w:t>
      </w:r>
      <w:r w:rsidRPr="000F765B">
        <w:rPr>
          <w:lang w:eastAsia="fr-FR" w:bidi="fr-FR"/>
        </w:rPr>
        <w:t>é</w:t>
      </w:r>
      <w:r w:rsidRPr="000F765B">
        <w:rPr>
          <w:lang w:eastAsia="fr-FR" w:bidi="fr-FR"/>
        </w:rPr>
        <w:t>cieux métal ; il brillait à la proue des vaisseaux de Cnut le Grand, comme de nos jours, encore, il emplit de son éclat les vitrines où les musées de Stockholm et de Copenhague conservent les souvenirs de l’âge héroïque</w:t>
      </w:r>
      <w:r>
        <w:rPr>
          <w:lang w:eastAsia="fr-FR" w:bidi="fr-FR"/>
        </w:rPr>
        <w:t> </w:t>
      </w:r>
      <w:r>
        <w:rPr>
          <w:rStyle w:val="Appelnotedebasdep"/>
        </w:rPr>
        <w:footnoteReference w:id="859"/>
      </w:r>
      <w:r w:rsidRPr="000F765B">
        <w:rPr>
          <w:lang w:eastAsia="fr-FR" w:bidi="fr-FR"/>
        </w:rPr>
        <w:t xml:space="preserve">. Mais précisément ces pays ignoraient alors la frappe. L’or y servait à la parure ; et si on l’utilisait parfois aux échanges, ou aux salaires, c’était seulement sous la forme de ces bracelets d’or que les chefs, les « brisant », distribuaient libéralement à leurs fidèles. Lorsque les rois, vers la fin du </w:t>
      </w:r>
      <w:r>
        <w:rPr>
          <w:lang w:eastAsia="fr-FR" w:bidi="fr-FR"/>
        </w:rPr>
        <w:t>X</w:t>
      </w:r>
      <w:r w:rsidRPr="000F765B">
        <w:rPr>
          <w:vertAlign w:val="superscript"/>
          <w:lang w:eastAsia="fr-FR" w:bidi="fr-FR"/>
        </w:rPr>
        <w:t>e</w:t>
      </w:r>
      <w:r w:rsidRPr="000F765B">
        <w:rPr>
          <w:lang w:eastAsia="fr-FR" w:bidi="fr-FR"/>
        </w:rPr>
        <w:t xml:space="preserve"> siècle, commencèrent à battre mo</w:t>
      </w:r>
      <w:r w:rsidRPr="000F765B">
        <w:rPr>
          <w:lang w:eastAsia="fr-FR" w:bidi="fr-FR"/>
        </w:rPr>
        <w:t>n</w:t>
      </w:r>
      <w:r w:rsidRPr="000F765B">
        <w:rPr>
          <w:lang w:eastAsia="fr-FR" w:bidi="fr-FR"/>
        </w:rPr>
        <w:t>naie, ils imitèrent naturellement le monnayage des États voisins, qui était d’argent. Bientôt, du reste, de profonds changements dans les conditions de vie</w:t>
      </w:r>
      <w:r>
        <w:rPr>
          <w:lang w:eastAsia="fr-FR" w:bidi="fr-FR"/>
        </w:rPr>
        <w:t> — </w:t>
      </w:r>
      <w:r w:rsidRPr="000F765B">
        <w:rPr>
          <w:lang w:eastAsia="fr-FR" w:bidi="fr-FR"/>
        </w:rPr>
        <w:t xml:space="preserve">fin des raids maritimes, décadence du </w:t>
      </w:r>
      <w:r w:rsidRPr="000F765B">
        <w:rPr>
          <w:lang w:eastAsia="fr-FR" w:bidi="fr-FR"/>
        </w:rPr>
        <w:lastRenderedPageBreak/>
        <w:t>négoce avec l’Orient et du commerce</w:t>
      </w:r>
      <w:r>
        <w:rPr>
          <w:lang w:eastAsia="fr-FR" w:bidi="fr-FR"/>
        </w:rPr>
        <w:t xml:space="preserve"> </w:t>
      </w:r>
      <w:r>
        <w:t xml:space="preserve">[847] </w:t>
      </w:r>
      <w:r w:rsidRPr="000F765B">
        <w:rPr>
          <w:lang w:eastAsia="fr-FR" w:bidi="fr-FR"/>
        </w:rPr>
        <w:t>Scandinave en général</w:t>
      </w:r>
      <w:r>
        <w:rPr>
          <w:lang w:eastAsia="fr-FR" w:bidi="fr-FR"/>
        </w:rPr>
        <w:t> — </w:t>
      </w:r>
      <w:r w:rsidRPr="000F765B">
        <w:rPr>
          <w:lang w:eastAsia="fr-FR" w:bidi="fr-FR"/>
        </w:rPr>
        <w:t xml:space="preserve">vinrent mettre </w:t>
      </w:r>
      <w:r w:rsidRPr="000F765B">
        <w:rPr>
          <w:rStyle w:val="Corpsdutexte16105ptNonGras"/>
          <w:b w:val="0"/>
          <w:bCs w:val="0"/>
        </w:rPr>
        <w:t xml:space="preserve">un </w:t>
      </w:r>
      <w:r w:rsidRPr="000F765B">
        <w:rPr>
          <w:lang w:eastAsia="fr-FR" w:bidi="fr-FR"/>
        </w:rPr>
        <w:t xml:space="preserve">terme </w:t>
      </w:r>
      <w:r w:rsidRPr="000F765B">
        <w:rPr>
          <w:rStyle w:val="Corpsdutexte16105ptNonGras"/>
          <w:b w:val="0"/>
          <w:bCs w:val="0"/>
        </w:rPr>
        <w:t xml:space="preserve">à </w:t>
      </w:r>
      <w:r w:rsidRPr="000F765B">
        <w:rPr>
          <w:lang w:eastAsia="fr-FR" w:bidi="fr-FR"/>
        </w:rPr>
        <w:t>l’ancienne abondance.</w:t>
      </w:r>
    </w:p>
    <w:p w14:paraId="097A2ABB" w14:textId="77777777" w:rsidR="00B9662D" w:rsidRPr="000F765B" w:rsidRDefault="00B9662D" w:rsidP="00B9662D">
      <w:pPr>
        <w:spacing w:before="120" w:after="120"/>
        <w:jc w:val="both"/>
      </w:pPr>
      <w:r>
        <w:rPr>
          <w:lang w:eastAsia="fr-FR" w:bidi="fr-FR"/>
        </w:rPr>
        <w:br w:type="page"/>
      </w:r>
      <w:r w:rsidRPr="000F765B">
        <w:rPr>
          <w:lang w:eastAsia="fr-FR" w:bidi="fr-FR"/>
        </w:rPr>
        <w:lastRenderedPageBreak/>
        <w:t xml:space="preserve">Ces différentes considérations, cependant, ne suffisent pas à rendre compte de la pénurie d’or, en Occident. L’Orient byzantin avait été également affecté par la plupart des phénomènes qui viennent d’être évoqués. En proie aux invasions, tout comme la </w:t>
      </w:r>
      <w:r w:rsidRPr="000578D8">
        <w:rPr>
          <w:i/>
        </w:rPr>
        <w:t>Romania</w:t>
      </w:r>
      <w:r w:rsidRPr="000F765B">
        <w:rPr>
          <w:lang w:eastAsia="fr-FR" w:bidi="fr-FR"/>
        </w:rPr>
        <w:t xml:space="preserve"> de l’Ouest, il avait été, plus qu’elle peut-être, épuisé par les tributs ; de lui vie</w:t>
      </w:r>
      <w:r w:rsidRPr="000F765B">
        <w:rPr>
          <w:lang w:eastAsia="fr-FR" w:bidi="fr-FR"/>
        </w:rPr>
        <w:t>n</w:t>
      </w:r>
      <w:r w:rsidRPr="000F765B">
        <w:rPr>
          <w:lang w:eastAsia="fr-FR" w:bidi="fr-FR"/>
        </w:rPr>
        <w:t>nent la plus grande partie des sous d’or</w:t>
      </w:r>
      <w:r>
        <w:rPr>
          <w:lang w:eastAsia="fr-FR" w:bidi="fr-FR"/>
        </w:rPr>
        <w:t> — </w:t>
      </w:r>
      <w:r w:rsidRPr="000F765B">
        <w:rPr>
          <w:lang w:eastAsia="fr-FR" w:bidi="fr-FR"/>
        </w:rPr>
        <w:t>datés d’entre 395 et 565</w:t>
      </w:r>
      <w:r>
        <w:rPr>
          <w:lang w:eastAsia="fr-FR" w:bidi="fr-FR"/>
        </w:rPr>
        <w:t> — </w:t>
      </w:r>
      <w:r w:rsidRPr="000F765B">
        <w:rPr>
          <w:lang w:eastAsia="fr-FR" w:bidi="fr-FR"/>
        </w:rPr>
        <w:t xml:space="preserve">qu’ont fournis les trouvailles en pays Scandinaves. Au </w:t>
      </w:r>
      <w:r w:rsidRPr="000578D8">
        <w:rPr>
          <w:smallCaps/>
          <w:lang w:eastAsia="fr-FR" w:bidi="fr-FR"/>
        </w:rPr>
        <w:t>vi</w:t>
      </w:r>
      <w:r w:rsidRPr="000F765B">
        <w:rPr>
          <w:vertAlign w:val="superscript"/>
          <w:lang w:eastAsia="fr-FR" w:bidi="fr-FR"/>
        </w:rPr>
        <w:t>e</w:t>
      </w:r>
      <w:r w:rsidRPr="000F765B">
        <w:rPr>
          <w:lang w:eastAsia="fr-FR" w:bidi="fr-FR"/>
        </w:rPr>
        <w:t xml:space="preserve"> siècle, il avait, lui aussi, connu une très grave crise monétaire, une crise de l’or notamment</w:t>
      </w:r>
      <w:r>
        <w:rPr>
          <w:lang w:eastAsia="fr-FR" w:bidi="fr-FR"/>
        </w:rPr>
        <w:t> </w:t>
      </w:r>
      <w:r>
        <w:rPr>
          <w:rStyle w:val="Appelnotedebasdep"/>
        </w:rPr>
        <w:footnoteReference w:id="860"/>
      </w:r>
      <w:r w:rsidRPr="000F765B">
        <w:rPr>
          <w:lang w:eastAsia="fr-FR" w:bidi="fr-FR"/>
        </w:rPr>
        <w:t>. Mais il en sortit, par un remarquable redressement. L’Occident y resta enlisé. Pourquoi ce contraste ? On l’explique, à l’ordinaire, par l’état de la balance commerciale</w:t>
      </w:r>
      <w:r>
        <w:rPr>
          <w:lang w:eastAsia="fr-FR" w:bidi="fr-FR"/>
        </w:rPr>
        <w:t> — </w:t>
      </w:r>
      <w:r w:rsidRPr="000F765B">
        <w:rPr>
          <w:lang w:eastAsia="fr-FR" w:bidi="fr-FR"/>
        </w:rPr>
        <w:t>autant qu’en l’absence de toute précision statistique il est permis d’employer de pareils termes. Pour pouvoir discuter cette hypothèse, il convient, tout d’abord, de la formuler de notre mieux. Mais je dois avertir tout de suite qu’elle ne me semble pas pouvoir être acceptée sans beaucoup de retouches, dont la nécessité apparaîtra plus loin. Aucun des faits qu’elle invoque n’est faux ; mais le tableau n’est pas tout à fait co</w:t>
      </w:r>
      <w:r w:rsidRPr="000F765B">
        <w:rPr>
          <w:lang w:eastAsia="fr-FR" w:bidi="fr-FR"/>
        </w:rPr>
        <w:t>m</w:t>
      </w:r>
      <w:r w:rsidRPr="000F765B">
        <w:rPr>
          <w:lang w:eastAsia="fr-FR" w:bidi="fr-FR"/>
        </w:rPr>
        <w:t>plet.</w:t>
      </w:r>
    </w:p>
    <w:p w14:paraId="2EC5F830" w14:textId="77777777" w:rsidR="00B9662D" w:rsidRPr="000F765B" w:rsidRDefault="00B9662D" w:rsidP="00B9662D">
      <w:pPr>
        <w:spacing w:before="120" w:after="120"/>
        <w:jc w:val="both"/>
      </w:pPr>
      <w:r w:rsidRPr="000F765B">
        <w:rPr>
          <w:lang w:eastAsia="fr-FR" w:bidi="fr-FR"/>
        </w:rPr>
        <w:t xml:space="preserve">Il est probable que, dès la fin de l’Empire, l’Occident recevait de l’Orient plus qu’il ne lui envoyait. </w:t>
      </w:r>
      <w:r>
        <w:rPr>
          <w:lang w:eastAsia="fr-FR" w:bidi="fr-FR"/>
        </w:rPr>
        <w:t>À</w:t>
      </w:r>
      <w:r w:rsidRPr="000F765B">
        <w:rPr>
          <w:lang w:eastAsia="fr-FR" w:bidi="fr-FR"/>
        </w:rPr>
        <w:t xml:space="preserve"> l’époque franque et par la suite, le fait n’est pas douteux. Le commerce, dans les deux sens, se trouva considérablement ralenti. Il l’était dès avant les invasions arabes ; mais celles-ci, sur lesquelles M. Pirenne a si justement mis l’accent, précipitèrent l’évolution. Désormais il ne passa plus guère que des objets qui, sous un faible volume, étaient susceptibles de prix très él</w:t>
      </w:r>
      <w:r w:rsidRPr="000F765B">
        <w:rPr>
          <w:lang w:eastAsia="fr-FR" w:bidi="fr-FR"/>
        </w:rPr>
        <w:t>e</w:t>
      </w:r>
      <w:r w:rsidRPr="000F765B">
        <w:rPr>
          <w:lang w:eastAsia="fr-FR" w:bidi="fr-FR"/>
        </w:rPr>
        <w:t>vés : étoffes précieuses, ivoires, armes de luxe, épices surtout. Tout cela venait d’Orient et l’Occident, en échange, ne fournissait rien de tel. Il devait donc payer ses importations en numéraires ou en lingots. Et ce métal, monnayé ou non, qui ainsi était peu à peu retiré de la ci</w:t>
      </w:r>
      <w:r w:rsidRPr="000F765B">
        <w:rPr>
          <w:lang w:eastAsia="fr-FR" w:bidi="fr-FR"/>
        </w:rPr>
        <w:t>r</w:t>
      </w:r>
      <w:r w:rsidRPr="000F765B">
        <w:rPr>
          <w:lang w:eastAsia="fr-FR" w:bidi="fr-FR"/>
        </w:rPr>
        <w:t>culation indigène, c’était, avant tout, l’or, seul instrument d’échanges pourvu d’une valeur véritablement internationale. Lorsque, par exe</w:t>
      </w:r>
      <w:r w:rsidRPr="000F765B">
        <w:rPr>
          <w:lang w:eastAsia="fr-FR" w:bidi="fr-FR"/>
        </w:rPr>
        <w:t>m</w:t>
      </w:r>
      <w:r w:rsidRPr="000F765B">
        <w:rPr>
          <w:lang w:eastAsia="fr-FR" w:bidi="fr-FR"/>
        </w:rPr>
        <w:t>ple, dans un testament de grand seigneur, en 876, nous voyons paraître une « épée de l’Inde » et des « tablettes sarrasines »</w:t>
      </w:r>
      <w:r>
        <w:rPr>
          <w:lang w:eastAsia="fr-FR" w:bidi="fr-FR"/>
        </w:rPr>
        <w:t> — </w:t>
      </w:r>
      <w:r w:rsidRPr="000F765B">
        <w:rPr>
          <w:lang w:eastAsia="fr-FR" w:bidi="fr-FR"/>
        </w:rPr>
        <w:t>quelles que soient d’ailleurs ces dernières,</w:t>
      </w:r>
      <w:r>
        <w:rPr>
          <w:lang w:eastAsia="fr-FR" w:bidi="fr-FR"/>
        </w:rPr>
        <w:t> — </w:t>
      </w:r>
      <w:r w:rsidRPr="000F765B">
        <w:rPr>
          <w:lang w:eastAsia="fr-FR" w:bidi="fr-FR"/>
        </w:rPr>
        <w:t xml:space="preserve">soyons sûrs que ces </w:t>
      </w:r>
      <w:r w:rsidRPr="000F765B">
        <w:rPr>
          <w:lang w:eastAsia="fr-FR" w:bidi="fr-FR"/>
        </w:rPr>
        <w:lastRenderedPageBreak/>
        <w:t>objets sont re</w:t>
      </w:r>
      <w:r w:rsidRPr="000F765B">
        <w:rPr>
          <w:lang w:eastAsia="fr-FR" w:bidi="fr-FR"/>
        </w:rPr>
        <w:t>s</w:t>
      </w:r>
      <w:r w:rsidRPr="000F765B">
        <w:rPr>
          <w:lang w:eastAsia="fr-FR" w:bidi="fr-FR"/>
        </w:rPr>
        <w:t>ponsables de la perte d’un peu d’or</w:t>
      </w:r>
      <w:r>
        <w:rPr>
          <w:lang w:eastAsia="fr-FR" w:bidi="fr-FR"/>
        </w:rPr>
        <w:t> </w:t>
      </w:r>
      <w:r>
        <w:rPr>
          <w:rStyle w:val="Appelnotedebasdep"/>
        </w:rPr>
        <w:footnoteReference w:id="861"/>
      </w:r>
      <w:r w:rsidRPr="000F765B">
        <w:rPr>
          <w:lang w:eastAsia="fr-FR" w:bidi="fr-FR"/>
        </w:rPr>
        <w:t xml:space="preserve">. Bien des analogies historiques viennent d’ailleurs à l’appui de cette explication. Si, à la fin du </w:t>
      </w:r>
      <w:r>
        <w:rPr>
          <w:lang w:eastAsia="fr-FR" w:bidi="fr-FR"/>
        </w:rPr>
        <w:t>X</w:t>
      </w:r>
      <w:r w:rsidRPr="000F765B">
        <w:rPr>
          <w:vertAlign w:val="superscript"/>
          <w:lang w:eastAsia="fr-FR" w:bidi="fr-FR"/>
        </w:rPr>
        <w:t>e</w:t>
      </w:r>
      <w:r w:rsidRPr="000F765B">
        <w:rPr>
          <w:lang w:eastAsia="fr-FR" w:bidi="fr-FR"/>
        </w:rPr>
        <w:t xml:space="preserve"> si</w:t>
      </w:r>
      <w:r w:rsidRPr="000F765B">
        <w:rPr>
          <w:lang w:eastAsia="fr-FR" w:bidi="fr-FR"/>
        </w:rPr>
        <w:t>è</w:t>
      </w:r>
      <w:r w:rsidRPr="000F765B">
        <w:rPr>
          <w:lang w:eastAsia="fr-FR" w:bidi="fr-FR"/>
        </w:rPr>
        <w:t>cle, Vladimir de Kiev frappe l’or, c’est que la Russie des grands fle</w:t>
      </w:r>
      <w:r w:rsidRPr="000F765B">
        <w:rPr>
          <w:lang w:eastAsia="fr-FR" w:bidi="fr-FR"/>
        </w:rPr>
        <w:t>u</w:t>
      </w:r>
      <w:r w:rsidRPr="000F765B">
        <w:rPr>
          <w:lang w:eastAsia="fr-FR" w:bidi="fr-FR"/>
        </w:rPr>
        <w:t xml:space="preserve">ves entretient alors avec Byzance et l’Asie un commerce actif, dont la balance est loin de lui être défavorable ; n’a-t-elle pas à vendre ses esclaves, ses fourrures, le miel et la cire des essaims de la forêt ou de la steppe ? Dès le </w:t>
      </w:r>
      <w:r>
        <w:rPr>
          <w:lang w:eastAsia="fr-FR" w:bidi="fr-FR"/>
        </w:rPr>
        <w:t>1</w:t>
      </w:r>
      <w:r w:rsidRPr="000F765B">
        <w:rPr>
          <w:vertAlign w:val="superscript"/>
          <w:lang w:eastAsia="fr-FR" w:bidi="fr-FR"/>
        </w:rPr>
        <w:t>er</w:t>
      </w:r>
      <w:r>
        <w:rPr>
          <w:lang w:eastAsia="fr-FR" w:bidi="fr-FR"/>
        </w:rPr>
        <w:t> </w:t>
      </w:r>
      <w:r w:rsidRPr="000F765B">
        <w:rPr>
          <w:lang w:eastAsia="fr-FR" w:bidi="fr-FR"/>
        </w:rPr>
        <w:t>siècle, par ailleurs, les écrivains anciens sign</w:t>
      </w:r>
      <w:r w:rsidRPr="000F765B">
        <w:rPr>
          <w:lang w:eastAsia="fr-FR" w:bidi="fr-FR"/>
        </w:rPr>
        <w:t>a</w:t>
      </w:r>
      <w:r w:rsidRPr="000F765B">
        <w:rPr>
          <w:lang w:eastAsia="fr-FR" w:bidi="fr-FR"/>
        </w:rPr>
        <w:t>laient la menace que le négoce avec l’Extrême-Orient, avec l’Inde su</w:t>
      </w:r>
      <w:r w:rsidRPr="000F765B">
        <w:rPr>
          <w:lang w:eastAsia="fr-FR" w:bidi="fr-FR"/>
        </w:rPr>
        <w:t>r</w:t>
      </w:r>
      <w:r w:rsidRPr="000F765B">
        <w:rPr>
          <w:lang w:eastAsia="fr-FR" w:bidi="fr-FR"/>
        </w:rPr>
        <w:t>tout, faisait peser sur le stock monétaire de l’Empire, sur son stock d’or en particulier ; si Byzance put échapper, par la suite, à cet épu</w:t>
      </w:r>
      <w:r w:rsidRPr="000F765B">
        <w:rPr>
          <w:lang w:eastAsia="fr-FR" w:bidi="fr-FR"/>
        </w:rPr>
        <w:t>i</w:t>
      </w:r>
      <w:r w:rsidRPr="000F765B">
        <w:rPr>
          <w:lang w:eastAsia="fr-FR" w:bidi="fr-FR"/>
        </w:rPr>
        <w:t xml:space="preserve">sement, l’introduction dans le Levant méditerranéen, à partir du </w:t>
      </w:r>
      <w:r>
        <w:rPr>
          <w:lang w:eastAsia="fr-FR" w:bidi="fr-FR"/>
        </w:rPr>
        <w:t>VI</w:t>
      </w:r>
      <w:r w:rsidRPr="000F765B">
        <w:rPr>
          <w:vertAlign w:val="superscript"/>
          <w:lang w:eastAsia="fr-FR" w:bidi="fr-FR"/>
        </w:rPr>
        <w:t>e</w:t>
      </w:r>
      <w:r w:rsidRPr="000F765B">
        <w:rPr>
          <w:lang w:eastAsia="fr-FR" w:bidi="fr-FR"/>
        </w:rPr>
        <w:t xml:space="preserve"> siècle, de diverses industries de luxe, celle de la soie notamment, y fut sans doute</w:t>
      </w:r>
      <w:r>
        <w:t xml:space="preserve"> [848] </w:t>
      </w:r>
      <w:r w:rsidRPr="000F765B">
        <w:rPr>
          <w:lang w:eastAsia="fr-FR" w:bidi="fr-FR"/>
        </w:rPr>
        <w:t>pour beaucoup. La même fuite du métal monnayé que dénonçaient Pline et Dion Chrysostome, née de causes toutes semblables, devait inquiéter l’Angleterre moderne, avant l’exportation des cotonnades</w:t>
      </w:r>
      <w:r>
        <w:rPr>
          <w:lang w:eastAsia="fr-FR" w:bidi="fr-FR"/>
        </w:rPr>
        <w:t> </w:t>
      </w:r>
      <w:r>
        <w:rPr>
          <w:rStyle w:val="Appelnotedebasdep"/>
        </w:rPr>
        <w:footnoteReference w:id="862"/>
      </w:r>
      <w:r w:rsidRPr="000F765B">
        <w:rPr>
          <w:lang w:eastAsia="fr-FR" w:bidi="fr-FR"/>
        </w:rPr>
        <w:t>.</w:t>
      </w:r>
    </w:p>
    <w:p w14:paraId="7BCF2260" w14:textId="77777777" w:rsidR="00B9662D" w:rsidRPr="000F765B" w:rsidRDefault="00B9662D" w:rsidP="00B9662D">
      <w:pPr>
        <w:spacing w:before="120" w:after="120"/>
        <w:jc w:val="both"/>
      </w:pPr>
      <w:r>
        <w:rPr>
          <w:lang w:eastAsia="fr-FR" w:bidi="fr-FR"/>
        </w:rPr>
        <w:t>À</w:t>
      </w:r>
      <w:r w:rsidRPr="000F765B">
        <w:rPr>
          <w:lang w:eastAsia="fr-FR" w:bidi="fr-FR"/>
        </w:rPr>
        <w:t xml:space="preserve"> partir du </w:t>
      </w:r>
      <w:r>
        <w:rPr>
          <w:lang w:eastAsia="fr-FR" w:bidi="fr-FR"/>
        </w:rPr>
        <w:t>XII</w:t>
      </w:r>
      <w:r w:rsidRPr="000F765B">
        <w:rPr>
          <w:vertAlign w:val="superscript"/>
          <w:lang w:eastAsia="fr-FR" w:bidi="fr-FR"/>
        </w:rPr>
        <w:t>e</w:t>
      </w:r>
      <w:r w:rsidRPr="000F765B">
        <w:rPr>
          <w:lang w:eastAsia="fr-FR" w:bidi="fr-FR"/>
        </w:rPr>
        <w:t xml:space="preserve"> siècle, par contre, la balance commerciale de l’Occident européen va se redressant. Il exporte désormais de toutes parts vers l’Est de la Méditerranée, vers le Sud aussi, des armes, du bois, du blé, des toiles, surtout ces précieux draps, pour la plupart v</w:t>
      </w:r>
      <w:r w:rsidRPr="000F765B">
        <w:rPr>
          <w:lang w:eastAsia="fr-FR" w:bidi="fr-FR"/>
        </w:rPr>
        <w:t>e</w:t>
      </w:r>
      <w:r w:rsidRPr="000F765B">
        <w:rPr>
          <w:lang w:eastAsia="fr-FR" w:bidi="fr-FR"/>
        </w:rPr>
        <w:t>nus de Flandre ou de Brabant, qui, dès le début du siècle, s’entassent par ballots sur les quais de Gênes,</w:t>
      </w:r>
      <w:r>
        <w:rPr>
          <w:lang w:eastAsia="fr-FR" w:bidi="fr-FR"/>
        </w:rPr>
        <w:t> — </w:t>
      </w:r>
      <w:r w:rsidRPr="000F765B">
        <w:rPr>
          <w:lang w:eastAsia="fr-FR" w:bidi="fr-FR"/>
        </w:rPr>
        <w:t xml:space="preserve">draps italiens aussi, un peu plus tard, qu’au </w:t>
      </w:r>
      <w:r>
        <w:rPr>
          <w:lang w:eastAsia="fr-FR" w:bidi="fr-FR"/>
        </w:rPr>
        <w:t>XV</w:t>
      </w:r>
      <w:r w:rsidRPr="000F765B">
        <w:rPr>
          <w:vertAlign w:val="superscript"/>
          <w:lang w:eastAsia="fr-FR" w:bidi="fr-FR"/>
        </w:rPr>
        <w:t>e</w:t>
      </w:r>
      <w:r w:rsidRPr="000F765B">
        <w:rPr>
          <w:lang w:eastAsia="fr-FR" w:bidi="fr-FR"/>
        </w:rPr>
        <w:t xml:space="preserve"> siècle un voyageur florentin trouvera sur le marché de Tombouctou</w:t>
      </w:r>
      <w:r>
        <w:rPr>
          <w:lang w:eastAsia="fr-FR" w:bidi="fr-FR"/>
        </w:rPr>
        <w:t> </w:t>
      </w:r>
      <w:r>
        <w:rPr>
          <w:rStyle w:val="Appelnotedebasdep"/>
        </w:rPr>
        <w:footnoteReference w:id="863"/>
      </w:r>
      <w:r w:rsidRPr="000F765B">
        <w:rPr>
          <w:lang w:eastAsia="fr-FR" w:bidi="fr-FR"/>
        </w:rPr>
        <w:t>. Simultanément, l’or commence à affluer dans les ports et de là se répand dans le reste du pays. Et bientôt on passe à la frappe.</w:t>
      </w:r>
    </w:p>
    <w:p w14:paraId="5466AE04" w14:textId="77777777" w:rsidR="00B9662D" w:rsidRDefault="00B9662D" w:rsidP="00B9662D">
      <w:pPr>
        <w:pStyle w:val="c"/>
        <w:rPr>
          <w:lang w:eastAsia="fr-FR" w:bidi="fr-FR"/>
        </w:rPr>
      </w:pPr>
      <w:r>
        <w:rPr>
          <w:lang w:eastAsia="fr-FR" w:bidi="fr-FR"/>
        </w:rPr>
        <w:lastRenderedPageBreak/>
        <w:t>*</w:t>
      </w:r>
      <w:r>
        <w:rPr>
          <w:lang w:eastAsia="fr-FR" w:bidi="fr-FR"/>
        </w:rPr>
        <w:br/>
        <w:t>*     *</w:t>
      </w:r>
    </w:p>
    <w:p w14:paraId="022EB3F0" w14:textId="77777777" w:rsidR="00B9662D" w:rsidRDefault="00B9662D" w:rsidP="00B9662D">
      <w:pPr>
        <w:spacing w:before="120" w:after="120"/>
        <w:jc w:val="both"/>
        <w:rPr>
          <w:lang w:eastAsia="fr-FR" w:bidi="fr-FR"/>
        </w:rPr>
      </w:pPr>
    </w:p>
    <w:p w14:paraId="54B9A18D" w14:textId="77777777" w:rsidR="00B9662D" w:rsidRPr="000F765B" w:rsidRDefault="00B9662D" w:rsidP="00B9662D">
      <w:pPr>
        <w:spacing w:before="120" w:after="120"/>
        <w:jc w:val="both"/>
      </w:pPr>
      <w:r w:rsidRPr="000F765B">
        <w:rPr>
          <w:lang w:eastAsia="fr-FR" w:bidi="fr-FR"/>
        </w:rPr>
        <w:t xml:space="preserve">Cette construction paraît, au premier abord, solidement étayée. Mais elle souffre d’une grave difficulté : elle ne tient pas compte d’un fait capital, que jusqu’ici j’ai laissé dans l’ombre, comme il l’a été, trop souvent, par les historiens. Du </w:t>
      </w:r>
      <w:r>
        <w:rPr>
          <w:lang w:eastAsia="fr-FR" w:bidi="fr-FR"/>
        </w:rPr>
        <w:t>IX</w:t>
      </w:r>
      <w:r w:rsidRPr="000F765B">
        <w:rPr>
          <w:vertAlign w:val="superscript"/>
          <w:lang w:eastAsia="fr-FR" w:bidi="fr-FR"/>
        </w:rPr>
        <w:t>e</w:t>
      </w:r>
      <w:r w:rsidRPr="000F765B">
        <w:rPr>
          <w:lang w:eastAsia="fr-FR" w:bidi="fr-FR"/>
        </w:rPr>
        <w:t xml:space="preserve"> au </w:t>
      </w:r>
      <w:r>
        <w:rPr>
          <w:lang w:eastAsia="fr-FR" w:bidi="fr-FR"/>
        </w:rPr>
        <w:t>XIII</w:t>
      </w:r>
      <w:r w:rsidRPr="000F765B">
        <w:rPr>
          <w:vertAlign w:val="superscript"/>
          <w:lang w:eastAsia="fr-FR" w:bidi="fr-FR"/>
        </w:rPr>
        <w:t>e</w:t>
      </w:r>
      <w:r w:rsidRPr="000F765B">
        <w:rPr>
          <w:lang w:eastAsia="fr-FR" w:bidi="fr-FR"/>
        </w:rPr>
        <w:t xml:space="preserve"> siècle, nul n’en saurait douter, on a cessé de frapper l’or, au moins sur type indigène, dans l’Europe de l’Occident et du Centre ; mais ni l’or en général, ni même la monnaie d’or, en quantités relativement faibles sans doute, encore notables cependant, n’ont jamais cessé d’y circuler.</w:t>
      </w:r>
    </w:p>
    <w:p w14:paraId="7077943C" w14:textId="77777777" w:rsidR="00B9662D" w:rsidRPr="000F765B" w:rsidRDefault="00B9662D" w:rsidP="00B9662D">
      <w:pPr>
        <w:spacing w:before="120" w:after="120"/>
        <w:jc w:val="both"/>
      </w:pPr>
      <w:r w:rsidRPr="000F765B">
        <w:rPr>
          <w:lang w:eastAsia="fr-FR" w:bidi="fr-FR"/>
        </w:rPr>
        <w:t>La présence d’objets d’or dans les trésors ecclésiastiques ou se</w:t>
      </w:r>
      <w:r w:rsidRPr="000F765B">
        <w:rPr>
          <w:lang w:eastAsia="fr-FR" w:bidi="fr-FR"/>
        </w:rPr>
        <w:t>i</w:t>
      </w:r>
      <w:r w:rsidRPr="000F765B">
        <w:rPr>
          <w:lang w:eastAsia="fr-FR" w:bidi="fr-FR"/>
        </w:rPr>
        <w:t xml:space="preserve">gneuriaux n’a guère besoin d’être rappelée. </w:t>
      </w:r>
      <w:r>
        <w:rPr>
          <w:lang w:eastAsia="fr-FR" w:bidi="fr-FR"/>
        </w:rPr>
        <w:t>À</w:t>
      </w:r>
      <w:r w:rsidRPr="000F765B">
        <w:rPr>
          <w:lang w:eastAsia="fr-FR" w:bidi="fr-FR"/>
        </w:rPr>
        <w:t xml:space="preserve"> vrai dire</w:t>
      </w:r>
      <w:r>
        <w:rPr>
          <w:lang w:eastAsia="fr-FR" w:bidi="fr-FR"/>
        </w:rPr>
        <w:t> — </w:t>
      </w:r>
      <w:r w:rsidRPr="000F765B">
        <w:rPr>
          <w:lang w:eastAsia="fr-FR" w:bidi="fr-FR"/>
        </w:rPr>
        <w:t xml:space="preserve">autant du moins qu’en l’absence de tout </w:t>
      </w:r>
      <w:r w:rsidRPr="000578D8">
        <w:rPr>
          <w:i/>
        </w:rPr>
        <w:t>corpus</w:t>
      </w:r>
      <w:r w:rsidRPr="000F765B">
        <w:rPr>
          <w:lang w:eastAsia="fr-FR" w:bidi="fr-FR"/>
        </w:rPr>
        <w:t xml:space="preserve"> des inventaires subsistant il est possible de s’en assurer</w:t>
      </w:r>
      <w:r>
        <w:rPr>
          <w:lang w:eastAsia="fr-FR" w:bidi="fr-FR"/>
        </w:rPr>
        <w:t> — </w:t>
      </w:r>
      <w:r w:rsidRPr="000F765B">
        <w:rPr>
          <w:lang w:eastAsia="fr-FR" w:bidi="fr-FR"/>
        </w:rPr>
        <w:t>ils paraissent y avoir été sensiblement moins nombreux que les objets d’argent. Ils ne faisaient pas défaut, cependant. Le métal ainsi thésaurisé n’était pas, pour cela, soustrait à la circulation. Le croire serait méconnaître le rôle économique de l’orfèvrerie, véritable bas de laine des barons médiévaux. Bijoux et ornements d’église étaient la grande ressource des jours de besoin, qui revenaient souvent ; ils s’en allaient alors comme gages, parfois sans espoir de rachat, aux mains des prêteurs</w:t>
      </w:r>
      <w:r>
        <w:rPr>
          <w:lang w:eastAsia="fr-FR" w:bidi="fr-FR"/>
        </w:rPr>
        <w:t> — </w:t>
      </w:r>
      <w:r w:rsidRPr="000F765B">
        <w:rPr>
          <w:lang w:eastAsia="fr-FR" w:bidi="fr-FR"/>
        </w:rPr>
        <w:t>quelle dynastie n’a pl</w:t>
      </w:r>
      <w:r w:rsidRPr="000F765B">
        <w:rPr>
          <w:lang w:eastAsia="fr-FR" w:bidi="fr-FR"/>
        </w:rPr>
        <w:t>u</w:t>
      </w:r>
      <w:r w:rsidRPr="000F765B">
        <w:rPr>
          <w:lang w:eastAsia="fr-FR" w:bidi="fr-FR"/>
        </w:rPr>
        <w:t>sieurs fois engagé sa couronne ?</w:t>
      </w:r>
      <w:r>
        <w:rPr>
          <w:lang w:eastAsia="fr-FR" w:bidi="fr-FR"/>
        </w:rPr>
        <w:t> — </w:t>
      </w:r>
      <w:r w:rsidRPr="000F765B">
        <w:rPr>
          <w:lang w:eastAsia="fr-FR" w:bidi="fr-FR"/>
        </w:rPr>
        <w:t>ou bien, victimes d’un plus f</w:t>
      </w:r>
      <w:r w:rsidRPr="000F765B">
        <w:rPr>
          <w:lang w:eastAsia="fr-FR" w:bidi="fr-FR"/>
        </w:rPr>
        <w:t>â</w:t>
      </w:r>
      <w:r w:rsidRPr="000F765B">
        <w:rPr>
          <w:lang w:eastAsia="fr-FR" w:bidi="fr-FR"/>
        </w:rPr>
        <w:t>cheux destin, ils passaient à la fonderie : tel ce crucifix d’or, offert par l’archevêque Willigis à la cathédrale de Mayence, auquel un succe</w:t>
      </w:r>
      <w:r w:rsidRPr="000F765B">
        <w:rPr>
          <w:lang w:eastAsia="fr-FR" w:bidi="fr-FR"/>
        </w:rPr>
        <w:t>s</w:t>
      </w:r>
      <w:r w:rsidRPr="000F765B">
        <w:rPr>
          <w:lang w:eastAsia="fr-FR" w:bidi="fr-FR"/>
        </w:rPr>
        <w:t xml:space="preserve">seur du donateur fit enlever un pied, pour payer au pape son </w:t>
      </w:r>
      <w:r w:rsidRPr="000F765B">
        <w:t>pallium</w:t>
      </w:r>
      <w:r w:rsidRPr="000F765B">
        <w:rPr>
          <w:lang w:eastAsia="fr-FR" w:bidi="fr-FR"/>
        </w:rPr>
        <w:t>, puis un autre, la seconde jambe, afin de soutenir une guerre contre un baron voisin</w:t>
      </w:r>
      <w:r>
        <w:rPr>
          <w:lang w:eastAsia="fr-FR" w:bidi="fr-FR"/>
        </w:rPr>
        <w:t> </w:t>
      </w:r>
      <w:r>
        <w:rPr>
          <w:rStyle w:val="Appelnotedebasdep"/>
        </w:rPr>
        <w:footnoteReference w:id="864"/>
      </w:r>
      <w:r w:rsidRPr="000F765B">
        <w:rPr>
          <w:lang w:eastAsia="fr-FR" w:bidi="fr-FR"/>
        </w:rPr>
        <w:t>.</w:t>
      </w:r>
    </w:p>
    <w:p w14:paraId="367EB5DD" w14:textId="77777777" w:rsidR="00B9662D" w:rsidRPr="000F765B" w:rsidRDefault="00B9662D" w:rsidP="00B9662D">
      <w:pPr>
        <w:spacing w:before="120" w:after="120"/>
        <w:jc w:val="both"/>
      </w:pPr>
      <w:r w:rsidRPr="000F765B">
        <w:rPr>
          <w:lang w:eastAsia="fr-FR" w:bidi="fr-FR"/>
        </w:rPr>
        <w:t>L’or circulait aussi, constamment, sous forme de lingots, de po</w:t>
      </w:r>
      <w:r w:rsidRPr="000F765B">
        <w:rPr>
          <w:lang w:eastAsia="fr-FR" w:bidi="fr-FR"/>
        </w:rPr>
        <w:t>u</w:t>
      </w:r>
      <w:r w:rsidRPr="000F765B">
        <w:rPr>
          <w:lang w:eastAsia="fr-FR" w:bidi="fr-FR"/>
        </w:rPr>
        <w:t xml:space="preserve">dre, ou encore d’anneaux. En Angleterre, où il semble, aux </w:t>
      </w:r>
      <w:r>
        <w:rPr>
          <w:lang w:eastAsia="fr-FR" w:bidi="fr-FR"/>
        </w:rPr>
        <w:t>X</w:t>
      </w:r>
      <w:r w:rsidRPr="000F765B">
        <w:rPr>
          <w:vertAlign w:val="superscript"/>
          <w:lang w:eastAsia="fr-FR" w:bidi="fr-FR"/>
        </w:rPr>
        <w:t>e</w:t>
      </w:r>
      <w:r w:rsidRPr="000F765B">
        <w:rPr>
          <w:lang w:eastAsia="fr-FR" w:bidi="fr-FR"/>
        </w:rPr>
        <w:t xml:space="preserve"> et </w:t>
      </w:r>
      <w:r>
        <w:rPr>
          <w:lang w:eastAsia="fr-FR" w:bidi="fr-FR"/>
        </w:rPr>
        <w:t>XI</w:t>
      </w:r>
      <w:r w:rsidRPr="000F765B">
        <w:rPr>
          <w:vertAlign w:val="superscript"/>
          <w:lang w:eastAsia="fr-FR" w:bidi="fr-FR"/>
        </w:rPr>
        <w:t>e</w:t>
      </w:r>
      <w:r w:rsidRPr="000F765B">
        <w:rPr>
          <w:lang w:eastAsia="fr-FR" w:bidi="fr-FR"/>
        </w:rPr>
        <w:t xml:space="preserve"> siècles, avoir été particulièrement répandu, des rentes stipulées en poids d’or</w:t>
      </w:r>
      <w:r>
        <w:rPr>
          <w:lang w:eastAsia="fr-FR" w:bidi="fr-FR"/>
        </w:rPr>
        <w:t xml:space="preserve"> </w:t>
      </w:r>
      <w:r>
        <w:t>[</w:t>
      </w:r>
      <w:r w:rsidRPr="000F765B">
        <w:rPr>
          <w:lang w:eastAsia="fr-FR" w:bidi="fr-FR"/>
        </w:rPr>
        <w:t>849</w:t>
      </w:r>
      <w:r>
        <w:rPr>
          <w:lang w:eastAsia="fr-FR" w:bidi="fr-FR"/>
        </w:rPr>
        <w:t xml:space="preserve">] </w:t>
      </w:r>
      <w:r w:rsidRPr="000F765B">
        <w:rPr>
          <w:lang w:eastAsia="fr-FR" w:bidi="fr-FR"/>
        </w:rPr>
        <w:t xml:space="preserve">figurent, à plusieurs reprises, dans le </w:t>
      </w:r>
      <w:r w:rsidRPr="000578D8">
        <w:rPr>
          <w:i/>
        </w:rPr>
        <w:t xml:space="preserve">Domesday </w:t>
      </w:r>
      <w:r w:rsidRPr="000578D8">
        <w:rPr>
          <w:i/>
        </w:rPr>
        <w:lastRenderedPageBreak/>
        <w:t>Book </w:t>
      </w:r>
      <w:r>
        <w:rPr>
          <w:rStyle w:val="Appelnotedebasdep"/>
        </w:rPr>
        <w:footnoteReference w:id="865"/>
      </w:r>
      <w:r w:rsidRPr="000F765B">
        <w:t>.</w:t>
      </w:r>
      <w:r w:rsidRPr="000F765B">
        <w:rPr>
          <w:lang w:eastAsia="fr-FR" w:bidi="fr-FR"/>
        </w:rPr>
        <w:t xml:space="preserve"> Par toute l’Europe, des versements de cette nature sont me</w:t>
      </w:r>
      <w:r w:rsidRPr="000F765B">
        <w:rPr>
          <w:lang w:eastAsia="fr-FR" w:bidi="fr-FR"/>
        </w:rPr>
        <w:t>n</w:t>
      </w:r>
      <w:r w:rsidRPr="000F765B">
        <w:rPr>
          <w:lang w:eastAsia="fr-FR" w:bidi="fr-FR"/>
        </w:rPr>
        <w:t>tionnés, çà et là, dans les chartes. Avec quelle fréquence ? les grands recueils de doc</w:t>
      </w:r>
      <w:r w:rsidRPr="000F765B">
        <w:rPr>
          <w:lang w:eastAsia="fr-FR" w:bidi="fr-FR"/>
        </w:rPr>
        <w:t>u</w:t>
      </w:r>
      <w:r w:rsidRPr="000F765B">
        <w:rPr>
          <w:lang w:eastAsia="fr-FR" w:bidi="fr-FR"/>
        </w:rPr>
        <w:t>ments en mains, des statistiques</w:t>
      </w:r>
      <w:r>
        <w:rPr>
          <w:lang w:eastAsia="fr-FR" w:bidi="fr-FR"/>
        </w:rPr>
        <w:t> — </w:t>
      </w:r>
      <w:r w:rsidRPr="000F765B">
        <w:rPr>
          <w:lang w:eastAsia="fr-FR" w:bidi="fr-FR"/>
        </w:rPr>
        <w:t>qui, bien entendu, devraient tenir compte des diverses sortes de règlements et des dive</w:t>
      </w:r>
      <w:r w:rsidRPr="000F765B">
        <w:rPr>
          <w:lang w:eastAsia="fr-FR" w:bidi="fr-FR"/>
        </w:rPr>
        <w:t>r</w:t>
      </w:r>
      <w:r w:rsidRPr="000F765B">
        <w:rPr>
          <w:lang w:eastAsia="fr-FR" w:bidi="fr-FR"/>
        </w:rPr>
        <w:t>ses classes de débiteurs</w:t>
      </w:r>
      <w:r>
        <w:rPr>
          <w:lang w:eastAsia="fr-FR" w:bidi="fr-FR"/>
        </w:rPr>
        <w:t> — </w:t>
      </w:r>
      <w:r w:rsidRPr="000F765B">
        <w:rPr>
          <w:lang w:eastAsia="fr-FR" w:bidi="fr-FR"/>
        </w:rPr>
        <w:t>ne seraient sans doute pas impossibles ; mais, en France, du moins, l’étude des paiements, clef de l’histoire des échanges, n’a jusqu’ici même pas été abordée</w:t>
      </w:r>
      <w:r>
        <w:rPr>
          <w:lang w:eastAsia="fr-FR" w:bidi="fr-FR"/>
        </w:rPr>
        <w:t> </w:t>
      </w:r>
      <w:r>
        <w:rPr>
          <w:rStyle w:val="Appelnotedebasdep"/>
        </w:rPr>
        <w:footnoteReference w:id="866"/>
      </w:r>
      <w:r w:rsidRPr="000F765B">
        <w:rPr>
          <w:lang w:eastAsia="fr-FR" w:bidi="fr-FR"/>
        </w:rPr>
        <w:t>. Aligner des exemples, pris de droite et de gauche, n’apprendrait rien. Je me contenterai d’en citer deux qui, outre leur valeur typique, ont chacun leur intérêt propre. En 1060, l’abbé de Saint-Laurent, au diocèse de Narbonne, inféode un domaine moy</w:t>
      </w:r>
      <w:r>
        <w:rPr>
          <w:lang w:eastAsia="fr-FR" w:bidi="fr-FR"/>
        </w:rPr>
        <w:t>ennant une rente annuelle de 33 </w:t>
      </w:r>
      <w:r w:rsidRPr="000F765B">
        <w:rPr>
          <w:lang w:eastAsia="fr-FR" w:bidi="fr-FR"/>
        </w:rPr>
        <w:t>deniers et la remise, une fois fa</w:t>
      </w:r>
      <w:r w:rsidRPr="000F765B">
        <w:rPr>
          <w:lang w:eastAsia="fr-FR" w:bidi="fr-FR"/>
        </w:rPr>
        <w:t>i</w:t>
      </w:r>
      <w:r w:rsidRPr="000F765B">
        <w:rPr>
          <w:lang w:eastAsia="fr-FR" w:bidi="fr-FR"/>
        </w:rPr>
        <w:t>te, d’une once d’or : visiblement, l’or, par sa rareté relative, se prêtait mieux à un versement exceptio</w:t>
      </w:r>
      <w:r w:rsidRPr="000F765B">
        <w:rPr>
          <w:lang w:eastAsia="fr-FR" w:bidi="fr-FR"/>
        </w:rPr>
        <w:t>n</w:t>
      </w:r>
      <w:r w:rsidRPr="000F765B">
        <w:rPr>
          <w:lang w:eastAsia="fr-FR" w:bidi="fr-FR"/>
        </w:rPr>
        <w:t>nel qu’à une somme périodiquement due. Entre 1009 et 1012, deux dames, en reconnaissance de leur consentement à une dona</w:t>
      </w:r>
      <w:r>
        <w:rPr>
          <w:lang w:eastAsia="fr-FR" w:bidi="fr-FR"/>
        </w:rPr>
        <w:t>tion faite à Saint-Pierre-</w:t>
      </w:r>
      <w:r w:rsidRPr="000F765B">
        <w:rPr>
          <w:lang w:eastAsia="fr-FR" w:bidi="fr-FR"/>
        </w:rPr>
        <w:t>de-Bourgueil, reço</w:t>
      </w:r>
      <w:r w:rsidRPr="000F765B">
        <w:rPr>
          <w:lang w:eastAsia="fr-FR" w:bidi="fr-FR"/>
        </w:rPr>
        <w:t>i</w:t>
      </w:r>
      <w:r w:rsidRPr="000F765B">
        <w:rPr>
          <w:lang w:eastAsia="fr-FR" w:bidi="fr-FR"/>
        </w:rPr>
        <w:t>vent chacune une once d’or ; l’une d’elles, en plus, obtient mille poi</w:t>
      </w:r>
      <w:r w:rsidRPr="000F765B">
        <w:rPr>
          <w:lang w:eastAsia="fr-FR" w:bidi="fr-FR"/>
        </w:rPr>
        <w:t>s</w:t>
      </w:r>
      <w:r w:rsidRPr="000F765B">
        <w:rPr>
          <w:lang w:eastAsia="fr-FR" w:bidi="fr-FR"/>
        </w:rPr>
        <w:t>sons séchés : preuve que l’emploi des denrées naturelles, dans les prix, pouvait fort bien s’associer à c</w:t>
      </w:r>
      <w:r w:rsidRPr="000F765B">
        <w:rPr>
          <w:lang w:eastAsia="fr-FR" w:bidi="fr-FR"/>
        </w:rPr>
        <w:t>e</w:t>
      </w:r>
      <w:r w:rsidRPr="000F765B">
        <w:rPr>
          <w:lang w:eastAsia="fr-FR" w:bidi="fr-FR"/>
        </w:rPr>
        <w:t>lui d’instruments d’échanges de caractère moins strictement mén</w:t>
      </w:r>
      <w:r w:rsidRPr="000F765B">
        <w:rPr>
          <w:lang w:eastAsia="fr-FR" w:bidi="fr-FR"/>
        </w:rPr>
        <w:t>a</w:t>
      </w:r>
      <w:r w:rsidRPr="000F765B">
        <w:rPr>
          <w:lang w:eastAsia="fr-FR" w:bidi="fr-FR"/>
        </w:rPr>
        <w:t>ger</w:t>
      </w:r>
      <w:r>
        <w:rPr>
          <w:lang w:eastAsia="fr-FR" w:bidi="fr-FR"/>
        </w:rPr>
        <w:t> </w:t>
      </w:r>
      <w:r>
        <w:rPr>
          <w:rStyle w:val="Appelnotedebasdep"/>
        </w:rPr>
        <w:footnoteReference w:id="867"/>
      </w:r>
      <w:r w:rsidRPr="000F765B">
        <w:rPr>
          <w:lang w:eastAsia="fr-FR" w:bidi="fr-FR"/>
        </w:rPr>
        <w:t>.</w:t>
      </w:r>
    </w:p>
    <w:p w14:paraId="3613A0B3" w14:textId="77777777" w:rsidR="00B9662D" w:rsidRPr="000F765B" w:rsidRDefault="00B9662D" w:rsidP="00B9662D">
      <w:pPr>
        <w:spacing w:before="120" w:after="120"/>
        <w:jc w:val="both"/>
      </w:pPr>
      <w:r w:rsidRPr="000F765B">
        <w:rPr>
          <w:lang w:eastAsia="fr-FR" w:bidi="fr-FR"/>
        </w:rPr>
        <w:t xml:space="preserve">L’or, enfin et peut-être surtout, circulait sous l’aspect de monnaies étrangères. Le poète de la </w:t>
      </w:r>
      <w:r w:rsidRPr="000578D8">
        <w:rPr>
          <w:i/>
        </w:rPr>
        <w:t>Chanson de Roland</w:t>
      </w:r>
      <w:r w:rsidRPr="000F765B">
        <w:rPr>
          <w:lang w:eastAsia="fr-FR" w:bidi="fr-FR"/>
        </w:rPr>
        <w:t xml:space="preserve"> le savait bien, qui pa</w:t>
      </w:r>
      <w:r w:rsidRPr="000F765B">
        <w:rPr>
          <w:lang w:eastAsia="fr-FR" w:bidi="fr-FR"/>
        </w:rPr>
        <w:t>r</w:t>
      </w:r>
      <w:r w:rsidRPr="000F765B">
        <w:rPr>
          <w:lang w:eastAsia="fr-FR" w:bidi="fr-FR"/>
        </w:rPr>
        <w:t>lait à ses auditeurs de « besanz »</w:t>
      </w:r>
      <w:r>
        <w:rPr>
          <w:lang w:eastAsia="fr-FR" w:bidi="fr-FR"/>
        </w:rPr>
        <w:t> — </w:t>
      </w:r>
      <w:r w:rsidRPr="000F765B">
        <w:rPr>
          <w:lang w:eastAsia="fr-FR" w:bidi="fr-FR"/>
        </w:rPr>
        <w:t>les besants « esmerez », c’est-à-dire brillants</w:t>
      </w:r>
      <w:r>
        <w:rPr>
          <w:lang w:eastAsia="fr-FR" w:bidi="fr-FR"/>
        </w:rPr>
        <w:t> — </w:t>
      </w:r>
      <w:r w:rsidRPr="000F765B">
        <w:rPr>
          <w:lang w:eastAsia="fr-FR" w:bidi="fr-FR"/>
        </w:rPr>
        <w:t>et de « mangons ». Tout le monde comprenait ces mots, familiers aux chartes comme à l’épopée. Le besant, c’était, d</w:t>
      </w:r>
      <w:r w:rsidRPr="000F765B">
        <w:rPr>
          <w:lang w:eastAsia="fr-FR" w:bidi="fr-FR"/>
        </w:rPr>
        <w:t>é</w:t>
      </w:r>
      <w:r w:rsidRPr="000F765B">
        <w:rPr>
          <w:lang w:eastAsia="fr-FR" w:bidi="fr-FR"/>
        </w:rPr>
        <w:t xml:space="preserve">signé par son lieu d’origine, l’hyperpère byzantin. Quant au mangon, </w:t>
      </w:r>
      <w:r w:rsidRPr="000F765B">
        <w:rPr>
          <w:lang w:eastAsia="fr-FR" w:bidi="fr-FR"/>
        </w:rPr>
        <w:lastRenderedPageBreak/>
        <w:t xml:space="preserve">le </w:t>
      </w:r>
      <w:r w:rsidRPr="000F765B">
        <w:t>mancusus</w:t>
      </w:r>
      <w:r w:rsidRPr="000F765B">
        <w:rPr>
          <w:lang w:eastAsia="fr-FR" w:bidi="fr-FR"/>
        </w:rPr>
        <w:t xml:space="preserve"> des textes latins, les chrétiens appelaient de ce nom, d’étymologie discutée, les « dinars » d’or frappés par les khalifes ar</w:t>
      </w:r>
      <w:r w:rsidRPr="000F765B">
        <w:rPr>
          <w:lang w:eastAsia="fr-FR" w:bidi="fr-FR"/>
        </w:rPr>
        <w:t>a</w:t>
      </w:r>
      <w:r w:rsidRPr="000F765B">
        <w:rPr>
          <w:lang w:eastAsia="fr-FR" w:bidi="fr-FR"/>
        </w:rPr>
        <w:t xml:space="preserve">bes, puis par les émirs, en Syrie, dans le Maghreb ou en Espagne. Vers la fin du </w:t>
      </w:r>
      <w:r>
        <w:rPr>
          <w:lang w:eastAsia="fr-FR" w:bidi="fr-FR"/>
        </w:rPr>
        <w:t>XI</w:t>
      </w:r>
      <w:r w:rsidRPr="000F765B">
        <w:rPr>
          <w:vertAlign w:val="superscript"/>
          <w:lang w:eastAsia="fr-FR" w:bidi="fr-FR"/>
        </w:rPr>
        <w:t>e</w:t>
      </w:r>
      <w:r w:rsidRPr="000F765B">
        <w:rPr>
          <w:lang w:eastAsia="fr-FR" w:bidi="fr-FR"/>
        </w:rPr>
        <w:t xml:space="preserve"> siècle, il disparut des textes pour être remplacé par le terme de marabotins, qui s’appliquait spécialement aux pièces a</w:t>
      </w:r>
      <w:r w:rsidRPr="000F765B">
        <w:rPr>
          <w:lang w:eastAsia="fr-FR" w:bidi="fr-FR"/>
        </w:rPr>
        <w:t>l</w:t>
      </w:r>
      <w:r w:rsidRPr="000F765B">
        <w:rPr>
          <w:lang w:eastAsia="fr-FR" w:bidi="fr-FR"/>
        </w:rPr>
        <w:t>moravides. Dans les documents relatifs aux Juifs catalans, qu’ont p</w:t>
      </w:r>
      <w:r w:rsidRPr="000F765B">
        <w:rPr>
          <w:lang w:eastAsia="fr-FR" w:bidi="fr-FR"/>
        </w:rPr>
        <w:t>u</w:t>
      </w:r>
      <w:r w:rsidRPr="000F765B">
        <w:rPr>
          <w:lang w:eastAsia="fr-FR" w:bidi="fr-FR"/>
        </w:rPr>
        <w:t>bliés Miret y Sans et Schwab, le mancus est cité pour la dernière fois en 1070, le marabotin fait son apparition en 1120</w:t>
      </w:r>
      <w:r>
        <w:rPr>
          <w:lang w:eastAsia="fr-FR" w:bidi="fr-FR"/>
        </w:rPr>
        <w:t> </w:t>
      </w:r>
      <w:r>
        <w:rPr>
          <w:rStyle w:val="Appelnotedebasdep"/>
        </w:rPr>
        <w:footnoteReference w:id="868"/>
      </w:r>
      <w:r w:rsidRPr="000F765B">
        <w:rPr>
          <w:lang w:eastAsia="fr-FR" w:bidi="fr-FR"/>
        </w:rPr>
        <w:t>. Parfois, quelque confusion se glissait dans le vocabulaire ; on parlait, par exemple, de « besants sarrasinois »</w:t>
      </w:r>
      <w:r>
        <w:rPr>
          <w:lang w:eastAsia="fr-FR" w:bidi="fr-FR"/>
        </w:rPr>
        <w:t> </w:t>
      </w:r>
      <w:r>
        <w:rPr>
          <w:rStyle w:val="Appelnotedebasdep"/>
        </w:rPr>
        <w:footnoteReference w:id="869"/>
      </w:r>
      <w:r w:rsidRPr="000F765B">
        <w:rPr>
          <w:lang w:eastAsia="fr-FR" w:bidi="fr-FR"/>
        </w:rPr>
        <w:t>. Mais les changeurs, assurément, ne s’y trompaient pas</w:t>
      </w:r>
      <w:r>
        <w:rPr>
          <w:lang w:eastAsia="fr-FR" w:bidi="fr-FR"/>
        </w:rPr>
        <w:t> </w:t>
      </w:r>
      <w:r>
        <w:rPr>
          <w:rStyle w:val="Appelnotedebasdep"/>
        </w:rPr>
        <w:footnoteReference w:id="870"/>
      </w:r>
      <w:r w:rsidRPr="000F765B">
        <w:rPr>
          <w:lang w:eastAsia="fr-FR" w:bidi="fr-FR"/>
        </w:rPr>
        <w:t>.</w:t>
      </w:r>
    </w:p>
    <w:p w14:paraId="2A08BC75" w14:textId="77777777" w:rsidR="00B9662D" w:rsidRPr="000F765B" w:rsidRDefault="00B9662D" w:rsidP="00B9662D">
      <w:pPr>
        <w:spacing w:before="120" w:after="120"/>
        <w:jc w:val="both"/>
      </w:pPr>
      <w:r>
        <w:t>[850]</w:t>
      </w:r>
    </w:p>
    <w:p w14:paraId="2C32AEA5" w14:textId="77777777" w:rsidR="00B9662D" w:rsidRPr="000F765B" w:rsidRDefault="00B9662D" w:rsidP="00B9662D">
      <w:pPr>
        <w:spacing w:before="120" w:after="120"/>
        <w:jc w:val="both"/>
      </w:pPr>
      <w:r w:rsidRPr="000F765B">
        <w:rPr>
          <w:lang w:eastAsia="fr-FR" w:bidi="fr-FR"/>
        </w:rPr>
        <w:t>De ces diverses monnaies, le mancus paraît avoir été la plus fr</w:t>
      </w:r>
      <w:r w:rsidRPr="000F765B">
        <w:rPr>
          <w:lang w:eastAsia="fr-FR" w:bidi="fr-FR"/>
        </w:rPr>
        <w:t>é</w:t>
      </w:r>
      <w:r w:rsidRPr="000F765B">
        <w:rPr>
          <w:lang w:eastAsia="fr-FR" w:bidi="fr-FR"/>
        </w:rPr>
        <w:t>quente. Les sous d’or n’avaient pas encore tout à fait cessé d’être frappés que déjà le dinar arabe se répandait sur l’Occident. On le re</w:t>
      </w:r>
      <w:r w:rsidRPr="000F765B">
        <w:rPr>
          <w:lang w:eastAsia="fr-FR" w:bidi="fr-FR"/>
        </w:rPr>
        <w:t>n</w:t>
      </w:r>
      <w:r w:rsidRPr="000F765B">
        <w:rPr>
          <w:lang w:eastAsia="fr-FR" w:bidi="fr-FR"/>
        </w:rPr>
        <w:t>contre dès 778 en Italie. Vers l’an 800, c’est en mancus que l’Istrie verse ses impôts au fisc carolingien ; en mancus aussi qu’en 786 le roi de la loi</w:t>
      </w:r>
      <w:r>
        <w:rPr>
          <w:lang w:eastAsia="fr-FR" w:bidi="fr-FR"/>
        </w:rPr>
        <w:t>ntaine Mercie, l’anglo-saxon Off</w:t>
      </w:r>
      <w:r w:rsidRPr="000F765B">
        <w:rPr>
          <w:lang w:eastAsia="fr-FR" w:bidi="fr-FR"/>
        </w:rPr>
        <w:t>a, promet de payer tou</w:t>
      </w:r>
      <w:r>
        <w:rPr>
          <w:lang w:eastAsia="fr-FR" w:bidi="fr-FR"/>
        </w:rPr>
        <w:t>s les ans le tribut dû à Saint-</w:t>
      </w:r>
      <w:r w:rsidRPr="000F765B">
        <w:rPr>
          <w:lang w:eastAsia="fr-FR" w:bidi="fr-FR"/>
        </w:rPr>
        <w:t>Pierre. Un dinar a été retrouvé à Maysan, en Brabant, mêlé à des deniers ou demi-deniers carolingiens, tous ant</w:t>
      </w:r>
      <w:r w:rsidRPr="000F765B">
        <w:rPr>
          <w:lang w:eastAsia="fr-FR" w:bidi="fr-FR"/>
        </w:rPr>
        <w:t>é</w:t>
      </w:r>
      <w:r w:rsidRPr="000F765B">
        <w:rPr>
          <w:lang w:eastAsia="fr-FR" w:bidi="fr-FR"/>
        </w:rPr>
        <w:t>rieurs à 877 ; un autre, de 724-743, à Eastbourne, sur la côte méridi</w:t>
      </w:r>
      <w:r w:rsidRPr="000F765B">
        <w:rPr>
          <w:lang w:eastAsia="fr-FR" w:bidi="fr-FR"/>
        </w:rPr>
        <w:t>o</w:t>
      </w:r>
      <w:r w:rsidRPr="000F765B">
        <w:rPr>
          <w:lang w:eastAsia="fr-FR" w:bidi="fr-FR"/>
        </w:rPr>
        <w:t>nale de l’Angleterre. D’autres encore formaient, avec des pièces d’or byzantines et bénéventaises, le trésor d’un malheureux voyageur</w:t>
      </w:r>
      <w:r>
        <w:rPr>
          <w:lang w:eastAsia="fr-FR" w:bidi="fr-FR"/>
        </w:rPr>
        <w:t> — </w:t>
      </w:r>
      <w:r w:rsidRPr="000F765B">
        <w:rPr>
          <w:lang w:eastAsia="fr-FR" w:bidi="fr-FR"/>
        </w:rPr>
        <w:t>un marchand sans doute</w:t>
      </w:r>
      <w:r>
        <w:rPr>
          <w:lang w:eastAsia="fr-FR" w:bidi="fr-FR"/>
        </w:rPr>
        <w:t> — </w:t>
      </w:r>
      <w:r w:rsidRPr="000F765B">
        <w:rPr>
          <w:lang w:eastAsia="fr-FR" w:bidi="fr-FR"/>
        </w:rPr>
        <w:t>qui, peu après 820, se noya dans le Reno, près de Bologne</w:t>
      </w:r>
      <w:r>
        <w:rPr>
          <w:lang w:eastAsia="fr-FR" w:bidi="fr-FR"/>
        </w:rPr>
        <w:t> </w:t>
      </w:r>
      <w:r>
        <w:rPr>
          <w:rStyle w:val="Appelnotedebasdep"/>
        </w:rPr>
        <w:footnoteReference w:id="871"/>
      </w:r>
      <w:r w:rsidRPr="000F765B">
        <w:rPr>
          <w:lang w:eastAsia="fr-FR" w:bidi="fr-FR"/>
        </w:rPr>
        <w:t xml:space="preserve">. L’Italie, la Catalogne et, chose, au premier abord </w:t>
      </w:r>
      <w:r w:rsidRPr="000F765B">
        <w:rPr>
          <w:lang w:eastAsia="fr-FR" w:bidi="fr-FR"/>
        </w:rPr>
        <w:lastRenderedPageBreak/>
        <w:t>plus étrange l’Angleterre seront pendant des siècles les patries d’élection de cette monnaie exotique. Les testaments anglo-saxons la mentionnent presque à chaque page ; elle était si familière aux A</w:t>
      </w:r>
      <w:r w:rsidRPr="000F765B">
        <w:rPr>
          <w:lang w:eastAsia="fr-FR" w:bidi="fr-FR"/>
        </w:rPr>
        <w:t>n</w:t>
      </w:r>
      <w:r w:rsidRPr="000F765B">
        <w:rPr>
          <w:lang w:eastAsia="fr-FR" w:bidi="fr-FR"/>
        </w:rPr>
        <w:t xml:space="preserve">glais qu’ils en firent l’unité de poids habituelle du métal-or. Mais ni la Gaule, ni la Lotharingie, ni l’Allemagne ne l’ont ignorée. Ce fut par le don d’une pièce d’or, « qui portait gravés des mots et des caractères arabes », qu’en 798 un plaideur tenta de corrompre le </w:t>
      </w:r>
      <w:r w:rsidRPr="00FA776B">
        <w:rPr>
          <w:i/>
        </w:rPr>
        <w:t>missus</w:t>
      </w:r>
      <w:r w:rsidRPr="000F765B">
        <w:rPr>
          <w:lang w:eastAsia="fr-FR" w:bidi="fr-FR"/>
        </w:rPr>
        <w:t xml:space="preserve"> Théodu</w:t>
      </w:r>
      <w:r w:rsidRPr="000F765B">
        <w:rPr>
          <w:lang w:eastAsia="fr-FR" w:bidi="fr-FR"/>
        </w:rPr>
        <w:t>l</w:t>
      </w:r>
      <w:r w:rsidRPr="000F765B">
        <w:rPr>
          <w:lang w:eastAsia="fr-FR" w:bidi="fr-FR"/>
        </w:rPr>
        <w:t>fe</w:t>
      </w:r>
      <w:r>
        <w:rPr>
          <w:lang w:eastAsia="fr-FR" w:bidi="fr-FR"/>
        </w:rPr>
        <w:t> — </w:t>
      </w:r>
      <w:r w:rsidRPr="000F765B">
        <w:rPr>
          <w:lang w:eastAsia="fr-FR" w:bidi="fr-FR"/>
        </w:rPr>
        <w:t>il est visible par le contexte que pour Théodulfe, qui nous a lui-même rapporté cet épisode, toute pièce d’or évoque l’idée de lettres arabes, les pièces d’argent celle de lettres latines ;</w:t>
      </w:r>
      <w:r>
        <w:rPr>
          <w:lang w:eastAsia="fr-FR" w:bidi="fr-FR"/>
        </w:rPr>
        <w:t> — </w:t>
      </w:r>
      <w:r w:rsidRPr="000F765B">
        <w:rPr>
          <w:lang w:eastAsia="fr-FR" w:bidi="fr-FR"/>
        </w:rPr>
        <w:t>et lorsqu’en 870 l’évêque de Metz fit inventorier le trésor de Saint-Trond, les seules monnaies qui s’y trouvèrent furent 5 mancus</w:t>
      </w:r>
      <w:r>
        <w:rPr>
          <w:lang w:eastAsia="fr-FR" w:bidi="fr-FR"/>
        </w:rPr>
        <w:t> </w:t>
      </w:r>
      <w:r>
        <w:rPr>
          <w:rStyle w:val="Appelnotedebasdep"/>
        </w:rPr>
        <w:footnoteReference w:id="872"/>
      </w:r>
      <w:r w:rsidRPr="000F765B">
        <w:rPr>
          <w:lang w:eastAsia="fr-FR" w:bidi="fr-FR"/>
        </w:rPr>
        <w:t>. Il était, ce mancus des Infidèles, si largement connu dans la chrétienté latine qu’une équiv</w:t>
      </w:r>
      <w:r w:rsidRPr="000F765B">
        <w:rPr>
          <w:lang w:eastAsia="fr-FR" w:bidi="fr-FR"/>
        </w:rPr>
        <w:t>a</w:t>
      </w:r>
      <w:r w:rsidRPr="000F765B">
        <w:rPr>
          <w:lang w:eastAsia="fr-FR" w:bidi="fr-FR"/>
        </w:rPr>
        <w:t xml:space="preserve">lence presque constante s’était établie avec les monnaies nationales ; on l’estimait couramment à 30 deniers, comme il avait longtemps été d’usage, en divers pays (la Bavière notamment), pour les </w:t>
      </w:r>
      <w:r w:rsidRPr="008C3A47">
        <w:rPr>
          <w:i/>
        </w:rPr>
        <w:t>aurei</w:t>
      </w:r>
      <w:r w:rsidRPr="000F765B">
        <w:rPr>
          <w:lang w:eastAsia="fr-FR" w:bidi="fr-FR"/>
        </w:rPr>
        <w:t xml:space="preserve"> orie</w:t>
      </w:r>
      <w:r w:rsidRPr="000F765B">
        <w:rPr>
          <w:lang w:eastAsia="fr-FR" w:bidi="fr-FR"/>
        </w:rPr>
        <w:t>n</w:t>
      </w:r>
      <w:r w:rsidRPr="000F765B">
        <w:rPr>
          <w:lang w:eastAsia="fr-FR" w:bidi="fr-FR"/>
        </w:rPr>
        <w:t>taux et les plus anciens, partant les plus lourds, des sous francs.</w:t>
      </w:r>
    </w:p>
    <w:p w14:paraId="2F62B720" w14:textId="77777777" w:rsidR="00B9662D" w:rsidRPr="000F765B" w:rsidRDefault="00B9662D" w:rsidP="00B9662D">
      <w:pPr>
        <w:spacing w:before="120" w:after="120"/>
        <w:jc w:val="both"/>
      </w:pPr>
      <w:r w:rsidRPr="000F765B">
        <w:rPr>
          <w:lang w:eastAsia="fr-FR" w:bidi="fr-FR"/>
        </w:rPr>
        <w:t>Les pièces d’or byzantines furent longtemps plus rares. Dès 1024</w:t>
      </w:r>
      <w:r>
        <w:rPr>
          <w:lang w:eastAsia="fr-FR" w:bidi="fr-FR"/>
        </w:rPr>
        <w:t>-</w:t>
      </w:r>
      <w:r w:rsidRPr="000F765B">
        <w:rPr>
          <w:lang w:eastAsia="fr-FR" w:bidi="fr-FR"/>
        </w:rPr>
        <w:t>1031, cependant, on les voit paraître en Bavière ; sans doute y avaient</w:t>
      </w:r>
      <w:r>
        <w:rPr>
          <w:lang w:eastAsia="fr-FR" w:bidi="fr-FR"/>
        </w:rPr>
        <w:t>-</w:t>
      </w:r>
      <w:r w:rsidRPr="000F765B">
        <w:rPr>
          <w:lang w:eastAsia="fr-FR" w:bidi="fr-FR"/>
        </w:rPr>
        <w:t>elles pénétré à la faveur des relations commerciales fort intenses que ce pays entretenait alors avec l’Est européen, moins par la voie du Danube que le long des routes de caravane dont le terme était dans les marchés de la Russie kiévienne</w:t>
      </w:r>
      <w:r>
        <w:rPr>
          <w:lang w:eastAsia="fr-FR" w:bidi="fr-FR"/>
        </w:rPr>
        <w:t> </w:t>
      </w:r>
      <w:r>
        <w:rPr>
          <w:rStyle w:val="Appelnotedebasdep"/>
        </w:rPr>
        <w:footnoteReference w:id="873"/>
      </w:r>
      <w:r w:rsidRPr="000F765B">
        <w:rPr>
          <w:lang w:eastAsia="fr-FR" w:bidi="fr-FR"/>
        </w:rPr>
        <w:t xml:space="preserve">. C’étaient des monnaies de cette </w:t>
      </w:r>
      <w:r w:rsidRPr="000F765B">
        <w:rPr>
          <w:lang w:eastAsia="fr-FR" w:bidi="fr-FR"/>
        </w:rPr>
        <w:lastRenderedPageBreak/>
        <w:t>or</w:t>
      </w:r>
      <w:r w:rsidRPr="000F765B">
        <w:rPr>
          <w:lang w:eastAsia="fr-FR" w:bidi="fr-FR"/>
        </w:rPr>
        <w:t>i</w:t>
      </w:r>
      <w:r w:rsidRPr="000F765B">
        <w:rPr>
          <w:lang w:eastAsia="fr-FR" w:bidi="fr-FR"/>
        </w:rPr>
        <w:t>gine que, vers</w:t>
      </w:r>
      <w:r>
        <w:rPr>
          <w:lang w:eastAsia="fr-FR" w:bidi="fr-FR"/>
        </w:rPr>
        <w:t xml:space="preserve"> </w:t>
      </w:r>
      <w:r>
        <w:t xml:space="preserve">[851] </w:t>
      </w:r>
      <w:r w:rsidRPr="000F765B">
        <w:rPr>
          <w:lang w:eastAsia="fr-FR" w:bidi="fr-FR"/>
        </w:rPr>
        <w:t>1065, de grandes dames italiennes déposaient sur l’autel où Pierre Damien célébrait la messe</w:t>
      </w:r>
      <w:r>
        <w:rPr>
          <w:lang w:eastAsia="fr-FR" w:bidi="fr-FR"/>
        </w:rPr>
        <w:t> </w:t>
      </w:r>
      <w:r>
        <w:rPr>
          <w:rStyle w:val="Appelnotedebasdep"/>
        </w:rPr>
        <w:footnoteReference w:id="874"/>
      </w:r>
      <w:r w:rsidRPr="000F765B">
        <w:rPr>
          <w:lang w:eastAsia="fr-FR" w:bidi="fr-FR"/>
        </w:rPr>
        <w:t>. En 1071, l’abbé du m</w:t>
      </w:r>
      <w:r>
        <w:rPr>
          <w:lang w:eastAsia="fr-FR" w:bidi="fr-FR"/>
        </w:rPr>
        <w:t>o</w:t>
      </w:r>
      <w:r>
        <w:rPr>
          <w:lang w:eastAsia="fr-FR" w:bidi="fr-FR"/>
        </w:rPr>
        <w:t>nastère lothari</w:t>
      </w:r>
      <w:r>
        <w:rPr>
          <w:lang w:eastAsia="fr-FR" w:bidi="fr-FR"/>
        </w:rPr>
        <w:t>n</w:t>
      </w:r>
      <w:r>
        <w:rPr>
          <w:lang w:eastAsia="fr-FR" w:bidi="fr-FR"/>
        </w:rPr>
        <w:t>gien de Saint-</w:t>
      </w:r>
      <w:r w:rsidRPr="000F765B">
        <w:rPr>
          <w:lang w:eastAsia="fr-FR" w:bidi="fr-FR"/>
        </w:rPr>
        <w:t>Hubert peut, contre engagement d’un alleu, en prêter 500 à la comtesse de Hainaut</w:t>
      </w:r>
      <w:r>
        <w:rPr>
          <w:lang w:eastAsia="fr-FR" w:bidi="fr-FR"/>
        </w:rPr>
        <w:t> </w:t>
      </w:r>
      <w:r>
        <w:rPr>
          <w:rStyle w:val="Appelnotedebasdep"/>
        </w:rPr>
        <w:footnoteReference w:id="875"/>
      </w:r>
      <w:r w:rsidRPr="000F765B">
        <w:rPr>
          <w:lang w:eastAsia="fr-FR" w:bidi="fr-FR"/>
        </w:rPr>
        <w:t>. Aux abords de l’an 1100, elles sont signalées en Normandie</w:t>
      </w:r>
      <w:r>
        <w:rPr>
          <w:lang w:eastAsia="fr-FR" w:bidi="fr-FR"/>
        </w:rPr>
        <w:t> </w:t>
      </w:r>
      <w:r>
        <w:rPr>
          <w:rStyle w:val="Appelnotedebasdep"/>
        </w:rPr>
        <w:footnoteReference w:id="876"/>
      </w:r>
      <w:r w:rsidRPr="000F765B">
        <w:rPr>
          <w:lang w:eastAsia="fr-FR" w:bidi="fr-FR"/>
        </w:rPr>
        <w:t xml:space="preserve">. Puis, au </w:t>
      </w:r>
      <w:r w:rsidRPr="008C3A47">
        <w:rPr>
          <w:caps/>
          <w:lang w:eastAsia="fr-FR" w:bidi="fr-FR"/>
        </w:rPr>
        <w:t>xii</w:t>
      </w:r>
      <w:r w:rsidRPr="000F765B">
        <w:rPr>
          <w:vertAlign w:val="superscript"/>
          <w:lang w:eastAsia="fr-FR" w:bidi="fr-FR"/>
        </w:rPr>
        <w:t>e</w:t>
      </w:r>
      <w:r w:rsidRPr="000F765B">
        <w:rPr>
          <w:lang w:eastAsia="fr-FR" w:bidi="fr-FR"/>
        </w:rPr>
        <w:t xml:space="preserve"> siècle, les t</w:t>
      </w:r>
      <w:r w:rsidRPr="000F765B">
        <w:rPr>
          <w:lang w:eastAsia="fr-FR" w:bidi="fr-FR"/>
        </w:rPr>
        <w:t>é</w:t>
      </w:r>
      <w:r w:rsidRPr="000F765B">
        <w:rPr>
          <w:lang w:eastAsia="fr-FR" w:bidi="fr-FR"/>
        </w:rPr>
        <w:t>moignages d</w:t>
      </w:r>
      <w:r w:rsidRPr="000F765B">
        <w:rPr>
          <w:lang w:eastAsia="fr-FR" w:bidi="fr-FR"/>
        </w:rPr>
        <w:t>e</w:t>
      </w:r>
      <w:r w:rsidRPr="000F765B">
        <w:rPr>
          <w:lang w:eastAsia="fr-FR" w:bidi="fr-FR"/>
        </w:rPr>
        <w:t>viennent de plus en plus fréquents. En Angleterre, elles figurent d</w:t>
      </w:r>
      <w:r w:rsidRPr="000F765B">
        <w:rPr>
          <w:lang w:eastAsia="fr-FR" w:bidi="fr-FR"/>
        </w:rPr>
        <w:t>e</w:t>
      </w:r>
      <w:r w:rsidRPr="000F765B">
        <w:rPr>
          <w:lang w:eastAsia="fr-FR" w:bidi="fr-FR"/>
        </w:rPr>
        <w:t>puis Henri</w:t>
      </w:r>
      <w:r>
        <w:rPr>
          <w:lang w:eastAsia="fr-FR" w:bidi="fr-FR"/>
        </w:rPr>
        <w:t> </w:t>
      </w:r>
      <w:r w:rsidRPr="000F765B">
        <w:rPr>
          <w:lang w:eastAsia="fr-FR" w:bidi="fr-FR"/>
        </w:rPr>
        <w:t>II dans les recettes du budg</w:t>
      </w:r>
      <w:r>
        <w:rPr>
          <w:lang w:eastAsia="fr-FR" w:bidi="fr-FR"/>
        </w:rPr>
        <w:t>et royal. Lorsqu’en 1146 Louis V</w:t>
      </w:r>
      <w:r w:rsidRPr="000F765B">
        <w:rPr>
          <w:lang w:eastAsia="fr-FR" w:bidi="fr-FR"/>
        </w:rPr>
        <w:t>II de France s’apprête à partir pour la Terre Sainte, il invite l’abbé de Saint-Benoît-sur-Loire à lui verser 500 besants. L’abbé gémit ; l’étonnant est qu’il peut s’exécuter. Vers 1178, 80 b</w:t>
      </w:r>
      <w:r w:rsidRPr="000F765B">
        <w:rPr>
          <w:lang w:eastAsia="fr-FR" w:bidi="fr-FR"/>
        </w:rPr>
        <w:t>e</w:t>
      </w:r>
      <w:r w:rsidRPr="000F765B">
        <w:rPr>
          <w:lang w:eastAsia="fr-FR" w:bidi="fr-FR"/>
        </w:rPr>
        <w:t xml:space="preserve">sants sont légués à un monastère du diocèse </w:t>
      </w:r>
      <w:r>
        <w:rPr>
          <w:lang w:eastAsia="fr-FR" w:bidi="fr-FR"/>
        </w:rPr>
        <w:t>d’Auxerre, en même temps que 18 </w:t>
      </w:r>
      <w:r w:rsidRPr="000F765B">
        <w:rPr>
          <w:lang w:eastAsia="fr-FR" w:bidi="fr-FR"/>
        </w:rPr>
        <w:t>marcs d’argent, par une noble dame des environs</w:t>
      </w:r>
      <w:r>
        <w:rPr>
          <w:lang w:eastAsia="fr-FR" w:bidi="fr-FR"/>
        </w:rPr>
        <w:t> </w:t>
      </w:r>
      <w:r>
        <w:rPr>
          <w:rStyle w:val="Appelnotedebasdep"/>
        </w:rPr>
        <w:footnoteReference w:id="877"/>
      </w:r>
      <w:r w:rsidRPr="000F765B">
        <w:rPr>
          <w:lang w:eastAsia="fr-FR" w:bidi="fr-FR"/>
        </w:rPr>
        <w:t xml:space="preserve">. </w:t>
      </w:r>
      <w:r>
        <w:rPr>
          <w:lang w:eastAsia="fr-FR" w:bidi="fr-FR"/>
        </w:rPr>
        <w:t>À</w:t>
      </w:r>
      <w:r w:rsidRPr="000F765B">
        <w:rPr>
          <w:lang w:eastAsia="fr-FR" w:bidi="fr-FR"/>
        </w:rPr>
        <w:t xml:space="preserve"> partir de Louis VI au plus tard, quatre sont portés chaque année, par les soins du roi de France, à Saint-Denis, en signe de pieuse servit</w:t>
      </w:r>
      <w:r w:rsidRPr="000F765B">
        <w:rPr>
          <w:lang w:eastAsia="fr-FR" w:bidi="fr-FR"/>
        </w:rPr>
        <w:t>u</w:t>
      </w:r>
      <w:r w:rsidRPr="000F765B">
        <w:rPr>
          <w:lang w:eastAsia="fr-FR" w:bidi="fr-FR"/>
        </w:rPr>
        <w:t>de</w:t>
      </w:r>
      <w:r>
        <w:rPr>
          <w:lang w:eastAsia="fr-FR" w:bidi="fr-FR"/>
        </w:rPr>
        <w:t> </w:t>
      </w:r>
      <w:r>
        <w:rPr>
          <w:rStyle w:val="Appelnotedebasdep"/>
        </w:rPr>
        <w:footnoteReference w:id="878"/>
      </w:r>
      <w:r w:rsidRPr="000F765B">
        <w:rPr>
          <w:lang w:eastAsia="fr-FR" w:bidi="fr-FR"/>
        </w:rPr>
        <w:t xml:space="preserve">. Autour de Philippe Auguste, ces monnaies helléniques sont </w:t>
      </w:r>
      <w:r w:rsidRPr="000F765B">
        <w:rPr>
          <w:lang w:eastAsia="fr-FR" w:bidi="fr-FR"/>
        </w:rPr>
        <w:lastRenderedPageBreak/>
        <w:t>d</w:t>
      </w:r>
      <w:r w:rsidRPr="000F765B">
        <w:rPr>
          <w:lang w:eastAsia="fr-FR" w:bidi="fr-FR"/>
        </w:rPr>
        <w:t>e</w:t>
      </w:r>
      <w:r w:rsidRPr="000F765B">
        <w:rPr>
          <w:lang w:eastAsia="fr-FR" w:bidi="fr-FR"/>
        </w:rPr>
        <w:t>venues si abo</w:t>
      </w:r>
      <w:r w:rsidRPr="000F765B">
        <w:rPr>
          <w:lang w:eastAsia="fr-FR" w:bidi="fr-FR"/>
        </w:rPr>
        <w:t>n</w:t>
      </w:r>
      <w:r w:rsidRPr="000F765B">
        <w:rPr>
          <w:lang w:eastAsia="fr-FR" w:bidi="fr-FR"/>
        </w:rPr>
        <w:t>dantes qu’il en emploie le métal à se faire ciseler des anneaux. Bie</w:t>
      </w:r>
      <w:r w:rsidRPr="000F765B">
        <w:rPr>
          <w:lang w:eastAsia="fr-FR" w:bidi="fr-FR"/>
        </w:rPr>
        <w:t>n</w:t>
      </w:r>
      <w:r w:rsidRPr="000F765B">
        <w:rPr>
          <w:lang w:eastAsia="fr-FR" w:bidi="fr-FR"/>
        </w:rPr>
        <w:t xml:space="preserve">tôt, ainsi qu’il est advenu, au Moyen </w:t>
      </w:r>
      <w:r>
        <w:rPr>
          <w:lang w:eastAsia="fr-FR" w:bidi="fr-FR"/>
        </w:rPr>
        <w:t>Â</w:t>
      </w:r>
      <w:r w:rsidRPr="000F765B">
        <w:rPr>
          <w:lang w:eastAsia="fr-FR" w:bidi="fr-FR"/>
        </w:rPr>
        <w:t>ge, de toutes les espèces mon</w:t>
      </w:r>
      <w:r w:rsidRPr="000F765B">
        <w:rPr>
          <w:lang w:eastAsia="fr-FR" w:bidi="fr-FR"/>
        </w:rPr>
        <w:t>é</w:t>
      </w:r>
      <w:r w:rsidRPr="000F765B">
        <w:rPr>
          <w:lang w:eastAsia="fr-FR" w:bidi="fr-FR"/>
        </w:rPr>
        <w:t>taires un peu répandues, elles passeront, à Paris, dans certains groupes d’artisans, au rôle d’unité de poids. En 1254 encore, elles forment, avec les augustales, la plus grande partie, de beaucoup, de l’or mo</w:t>
      </w:r>
      <w:r w:rsidRPr="000F765B">
        <w:rPr>
          <w:lang w:eastAsia="fr-FR" w:bidi="fr-FR"/>
        </w:rPr>
        <w:t>n</w:t>
      </w:r>
      <w:r w:rsidRPr="000F765B">
        <w:rPr>
          <w:lang w:eastAsia="fr-FR" w:bidi="fr-FR"/>
        </w:rPr>
        <w:t>nayé que renferme le trésor du roi anglais</w:t>
      </w:r>
      <w:r>
        <w:rPr>
          <w:lang w:eastAsia="fr-FR" w:bidi="fr-FR"/>
        </w:rPr>
        <w:t> </w:t>
      </w:r>
      <w:r>
        <w:rPr>
          <w:rStyle w:val="Appelnotedebasdep"/>
        </w:rPr>
        <w:footnoteReference w:id="879"/>
      </w:r>
      <w:r w:rsidRPr="000F765B">
        <w:rPr>
          <w:lang w:eastAsia="fr-FR" w:bidi="fr-FR"/>
        </w:rPr>
        <w:t>.</w:t>
      </w:r>
    </w:p>
    <w:p w14:paraId="79180F87" w14:textId="77777777" w:rsidR="00B9662D" w:rsidRPr="000F765B" w:rsidRDefault="00B9662D" w:rsidP="00B9662D">
      <w:pPr>
        <w:spacing w:before="120" w:after="120"/>
        <w:jc w:val="both"/>
      </w:pPr>
      <w:r>
        <w:rPr>
          <w:lang w:eastAsia="fr-FR" w:bidi="fr-FR"/>
        </w:rPr>
        <w:t>À</w:t>
      </w:r>
      <w:r w:rsidRPr="000F765B">
        <w:rPr>
          <w:lang w:eastAsia="fr-FR" w:bidi="fr-FR"/>
        </w:rPr>
        <w:t xml:space="preserve"> dire vrai, l’interprétation de ces témoignages exige certaines précautions. Il arrivait fréquemment, au Moyen </w:t>
      </w:r>
      <w:r>
        <w:rPr>
          <w:lang w:eastAsia="fr-FR" w:bidi="fr-FR"/>
        </w:rPr>
        <w:t>Â</w:t>
      </w:r>
      <w:r w:rsidRPr="000F765B">
        <w:rPr>
          <w:lang w:eastAsia="fr-FR" w:bidi="fr-FR"/>
        </w:rPr>
        <w:t>ge, que l’étalon des valeurs, mentionné dans un prix, fût distinct du moyen de paiement. On stipulait en deniers d’argent, alors qu’on payait en marchandises dûment « appréciées ». Pareillement, lorsqu’on stipulait en or, il arr</w:t>
      </w:r>
      <w:r w:rsidRPr="000F765B">
        <w:rPr>
          <w:lang w:eastAsia="fr-FR" w:bidi="fr-FR"/>
        </w:rPr>
        <w:t>i</w:t>
      </w:r>
      <w:r w:rsidRPr="000F765B">
        <w:rPr>
          <w:lang w:eastAsia="fr-FR" w:bidi="fr-FR"/>
        </w:rPr>
        <w:t>vait qu’on payât en argent. Rien de plus caractéristique que les cens imposés par la papauté aux monastères qui lui étaient directement soumis. Rome, qui préférait recevoir de l’or, fixait à l’ordinaire la so</w:t>
      </w:r>
      <w:r>
        <w:rPr>
          <w:lang w:eastAsia="fr-FR" w:bidi="fr-FR"/>
        </w:rPr>
        <w:t xml:space="preserve">mme en besants, </w:t>
      </w:r>
      <w:r w:rsidRPr="003A0686">
        <w:rPr>
          <w:i/>
          <w:lang w:eastAsia="fr-FR" w:bidi="fr-FR"/>
        </w:rPr>
        <w:t>mancus</w:t>
      </w:r>
      <w:r>
        <w:rPr>
          <w:lang w:eastAsia="fr-FR" w:bidi="fr-FR"/>
        </w:rPr>
        <w:t xml:space="preserve"> ou </w:t>
      </w:r>
      <w:r w:rsidRPr="003A0686">
        <w:rPr>
          <w:i/>
          <w:lang w:eastAsia="fr-FR" w:bidi="fr-FR"/>
        </w:rPr>
        <w:t>marabotins </w:t>
      </w:r>
      <w:r w:rsidRPr="000F765B">
        <w:rPr>
          <w:lang w:eastAsia="fr-FR" w:bidi="fr-FR"/>
        </w:rPr>
        <w:t>; mais, en pratique, elle d</w:t>
      </w:r>
      <w:r w:rsidRPr="000F765B">
        <w:rPr>
          <w:lang w:eastAsia="fr-FR" w:bidi="fr-FR"/>
        </w:rPr>
        <w:t>e</w:t>
      </w:r>
      <w:r w:rsidRPr="000F765B">
        <w:rPr>
          <w:lang w:eastAsia="fr-FR" w:bidi="fr-FR"/>
        </w:rPr>
        <w:t>vait souvent se contenter de recevoir</w:t>
      </w:r>
      <w:r>
        <w:rPr>
          <w:lang w:eastAsia="fr-FR" w:bidi="fr-FR"/>
        </w:rPr>
        <w:t xml:space="preserve"> </w:t>
      </w:r>
      <w:r>
        <w:t xml:space="preserve">[852] </w:t>
      </w:r>
      <w:r w:rsidRPr="000F765B">
        <w:rPr>
          <w:lang w:eastAsia="fr-FR" w:bidi="fr-FR"/>
        </w:rPr>
        <w:t>de l’argent en monnaies ou en lingots, selon une équivalence qui, en chaque cas, tendait à devenir traditionnelle</w:t>
      </w:r>
      <w:r>
        <w:rPr>
          <w:lang w:eastAsia="fr-FR" w:bidi="fr-FR"/>
        </w:rPr>
        <w:t> </w:t>
      </w:r>
      <w:r>
        <w:rPr>
          <w:rStyle w:val="Appelnotedebasdep"/>
        </w:rPr>
        <w:footnoteReference w:id="880"/>
      </w:r>
      <w:r w:rsidRPr="000F765B">
        <w:rPr>
          <w:lang w:eastAsia="fr-FR" w:bidi="fr-FR"/>
        </w:rPr>
        <w:t xml:space="preserve">. Dans l’Italie du </w:t>
      </w:r>
      <w:r>
        <w:rPr>
          <w:lang w:eastAsia="fr-FR" w:bidi="fr-FR"/>
        </w:rPr>
        <w:t>X</w:t>
      </w:r>
      <w:r w:rsidRPr="000F765B">
        <w:rPr>
          <w:vertAlign w:val="superscript"/>
          <w:lang w:eastAsia="fr-FR" w:bidi="fr-FR"/>
        </w:rPr>
        <w:t>e</w:t>
      </w:r>
      <w:r>
        <w:rPr>
          <w:lang w:eastAsia="fr-FR" w:bidi="fr-FR"/>
        </w:rPr>
        <w:t> </w:t>
      </w:r>
      <w:r w:rsidRPr="000F765B">
        <w:rPr>
          <w:lang w:eastAsia="fr-FR" w:bidi="fr-FR"/>
        </w:rPr>
        <w:t>siècle, on parlait couramment de mancus « d’argent », exactement dans le même sens où l’on disait sou d’argent ; le mancus ou le sou servaient d’unité de compte, le règl</w:t>
      </w:r>
      <w:r w:rsidRPr="000F765B">
        <w:rPr>
          <w:lang w:eastAsia="fr-FR" w:bidi="fr-FR"/>
        </w:rPr>
        <w:t>e</w:t>
      </w:r>
      <w:r w:rsidRPr="000F765B">
        <w:rPr>
          <w:lang w:eastAsia="fr-FR" w:bidi="fr-FR"/>
        </w:rPr>
        <w:t>ment s’effectuait en pièces d’autre métal. De même, lorsqu’à Gênes ou à Marseille, deux ou trois siècles plus tard, on usait de l’expression : besants de millares,</w:t>
      </w:r>
      <w:r>
        <w:rPr>
          <w:lang w:eastAsia="fr-FR" w:bidi="fr-FR"/>
        </w:rPr>
        <w:t> — </w:t>
      </w:r>
      <w:r w:rsidRPr="000F765B">
        <w:rPr>
          <w:lang w:eastAsia="fr-FR" w:bidi="fr-FR"/>
        </w:rPr>
        <w:t>le millares étant une petite mo</w:t>
      </w:r>
      <w:r w:rsidRPr="000F765B">
        <w:rPr>
          <w:lang w:eastAsia="fr-FR" w:bidi="fr-FR"/>
        </w:rPr>
        <w:t>n</w:t>
      </w:r>
      <w:r w:rsidRPr="000F765B">
        <w:rPr>
          <w:lang w:eastAsia="fr-FR" w:bidi="fr-FR"/>
        </w:rPr>
        <w:t xml:space="preserve">naie d’argent. Une observation analogue s’applique aux mentions d’or non monnayé : lui non plus n’était pas toujours réellement versé. Vers </w:t>
      </w:r>
      <w:r w:rsidRPr="000F765B">
        <w:rPr>
          <w:lang w:eastAsia="fr-FR" w:bidi="fr-FR"/>
        </w:rPr>
        <w:lastRenderedPageBreak/>
        <w:t xml:space="preserve">la fin du </w:t>
      </w:r>
      <w:r>
        <w:rPr>
          <w:lang w:eastAsia="fr-FR" w:bidi="fr-FR"/>
        </w:rPr>
        <w:t>XI</w:t>
      </w:r>
      <w:r w:rsidRPr="000F765B">
        <w:rPr>
          <w:vertAlign w:val="superscript"/>
          <w:lang w:eastAsia="fr-FR" w:bidi="fr-FR"/>
        </w:rPr>
        <w:t>e</w:t>
      </w:r>
      <w:r w:rsidRPr="000F765B">
        <w:rPr>
          <w:lang w:eastAsia="fr-FR" w:bidi="fr-FR"/>
        </w:rPr>
        <w:t xml:space="preserve"> siècle, une dame, ayant renoncé, en fav</w:t>
      </w:r>
      <w:r>
        <w:rPr>
          <w:lang w:eastAsia="fr-FR" w:bidi="fr-FR"/>
        </w:rPr>
        <w:t>eur du prieuré de Saint-Martin-</w:t>
      </w:r>
      <w:r w:rsidRPr="000F765B">
        <w:rPr>
          <w:lang w:eastAsia="fr-FR" w:bidi="fr-FR"/>
        </w:rPr>
        <w:t>des-Champs, à toute prétention sur une église rurale, avait fixé le prix de son obligeance à 2 onces d’or ; les moines lui f</w:t>
      </w:r>
      <w:r w:rsidRPr="000F765B">
        <w:rPr>
          <w:lang w:eastAsia="fr-FR" w:bidi="fr-FR"/>
        </w:rPr>
        <w:t>i</w:t>
      </w:r>
      <w:r w:rsidRPr="000F765B">
        <w:rPr>
          <w:lang w:eastAsia="fr-FR" w:bidi="fr-FR"/>
        </w:rPr>
        <w:t>rent accepter, à la place, 60 deniers provinois</w:t>
      </w:r>
      <w:r>
        <w:rPr>
          <w:lang w:eastAsia="fr-FR" w:bidi="fr-FR"/>
        </w:rPr>
        <w:t> </w:t>
      </w:r>
      <w:r>
        <w:rPr>
          <w:rStyle w:val="Appelnotedebasdep"/>
        </w:rPr>
        <w:footnoteReference w:id="881"/>
      </w:r>
      <w:r w:rsidRPr="000F765B">
        <w:rPr>
          <w:lang w:eastAsia="fr-FR" w:bidi="fr-FR"/>
        </w:rPr>
        <w:t>. Par malheur, bea</w:t>
      </w:r>
      <w:r w:rsidRPr="000F765B">
        <w:rPr>
          <w:lang w:eastAsia="fr-FR" w:bidi="fr-FR"/>
        </w:rPr>
        <w:t>u</w:t>
      </w:r>
      <w:r w:rsidRPr="000F765B">
        <w:rPr>
          <w:lang w:eastAsia="fr-FR" w:bidi="fr-FR"/>
        </w:rPr>
        <w:t>coup de contrats se bornaient à spécifier l’étalon choisi, sans s’occuper de la matière même du transfert final. De sorte que lor</w:t>
      </w:r>
      <w:r w:rsidRPr="000F765B">
        <w:rPr>
          <w:lang w:eastAsia="fr-FR" w:bidi="fr-FR"/>
        </w:rPr>
        <w:t>s</w:t>
      </w:r>
      <w:r w:rsidRPr="000F765B">
        <w:rPr>
          <w:lang w:eastAsia="fr-FR" w:bidi="fr-FR"/>
        </w:rPr>
        <w:t>qu’un texte énonce les mots de besants, mancus ou marabotins, il s</w:t>
      </w:r>
      <w:r w:rsidRPr="000F765B">
        <w:rPr>
          <w:lang w:eastAsia="fr-FR" w:bidi="fr-FR"/>
        </w:rPr>
        <w:t>e</w:t>
      </w:r>
      <w:r w:rsidRPr="000F765B">
        <w:rPr>
          <w:lang w:eastAsia="fr-FR" w:bidi="fr-FR"/>
        </w:rPr>
        <w:t>rait imprudent d’en conclure, sans autre recoupement, que tel fut bien, en fait, l’instrument d’échanges. Mais</w:t>
      </w:r>
      <w:r>
        <w:rPr>
          <w:lang w:eastAsia="fr-FR" w:bidi="fr-FR"/>
        </w:rPr>
        <w:t> — </w:t>
      </w:r>
      <w:r w:rsidRPr="000F765B">
        <w:rPr>
          <w:lang w:eastAsia="fr-FR" w:bidi="fr-FR"/>
        </w:rPr>
        <w:t>outre que certains doc</w:t>
      </w:r>
      <w:r w:rsidRPr="000F765B">
        <w:rPr>
          <w:lang w:eastAsia="fr-FR" w:bidi="fr-FR"/>
        </w:rPr>
        <w:t>u</w:t>
      </w:r>
      <w:r w:rsidRPr="000F765B">
        <w:rPr>
          <w:lang w:eastAsia="fr-FR" w:bidi="fr-FR"/>
        </w:rPr>
        <w:t>ments plus précis nous permettent d’atteindre des opérations vérit</w:t>
      </w:r>
      <w:r w:rsidRPr="000F765B">
        <w:rPr>
          <w:lang w:eastAsia="fr-FR" w:bidi="fr-FR"/>
        </w:rPr>
        <w:t>a</w:t>
      </w:r>
      <w:r w:rsidRPr="000F765B">
        <w:rPr>
          <w:lang w:eastAsia="fr-FR" w:bidi="fr-FR"/>
        </w:rPr>
        <w:t>blement dénouées par une remise d’or</w:t>
      </w:r>
      <w:r>
        <w:rPr>
          <w:lang w:eastAsia="fr-FR" w:bidi="fr-FR"/>
        </w:rPr>
        <w:t> — </w:t>
      </w:r>
      <w:r w:rsidRPr="000F765B">
        <w:rPr>
          <w:lang w:eastAsia="fr-FR" w:bidi="fr-FR"/>
        </w:rPr>
        <w:t>l’usage même de valeurs de compte empruntées aux dinars arabes ou aux hyperpères de Byzance nous assure que ces monnaies étaient universellement connues.</w:t>
      </w:r>
    </w:p>
    <w:p w14:paraId="2B18A422" w14:textId="77777777" w:rsidR="00B9662D" w:rsidRPr="000F765B" w:rsidRDefault="00B9662D" w:rsidP="00B9662D">
      <w:pPr>
        <w:spacing w:before="120" w:after="120"/>
        <w:jc w:val="both"/>
      </w:pPr>
      <w:r w:rsidRPr="000F765B">
        <w:rPr>
          <w:lang w:eastAsia="fr-FR" w:bidi="fr-FR"/>
        </w:rPr>
        <w:t xml:space="preserve">Il convient, par ailleurs, de mettre à part les faits relatifs au </w:t>
      </w:r>
      <w:r w:rsidRPr="00F743D1">
        <w:rPr>
          <w:smallCaps/>
          <w:lang w:eastAsia="fr-FR" w:bidi="fr-FR"/>
        </w:rPr>
        <w:t>xii</w:t>
      </w:r>
      <w:r w:rsidRPr="000F765B">
        <w:rPr>
          <w:vertAlign w:val="superscript"/>
          <w:lang w:eastAsia="fr-FR" w:bidi="fr-FR"/>
        </w:rPr>
        <w:t>e</w:t>
      </w:r>
      <w:r>
        <w:rPr>
          <w:lang w:eastAsia="fr-FR" w:bidi="fr-FR"/>
        </w:rPr>
        <w:t> </w:t>
      </w:r>
      <w:r w:rsidRPr="000F765B">
        <w:rPr>
          <w:lang w:eastAsia="fr-FR" w:bidi="fr-FR"/>
        </w:rPr>
        <w:t>siècle. Au moment où, incontestablement, l’Occident voyait sa balance commerciale se redresser, un afflux d’or étranger était chose toute naturelle. Qu’à Gênes, pendant tout le cours du siècle, un grand nombre de contrats commerciaux stipulent des règlements en or, monnayé ou non, que la commune de Gênes elle-même, en 1160, paie aux Placentins 2.815 livres de besants (ici comptés au poids), qu’en 1162 le comte de Provence v</w:t>
      </w:r>
      <w:r>
        <w:rPr>
          <w:lang w:eastAsia="fr-FR" w:bidi="fr-FR"/>
        </w:rPr>
        <w:t>erse à la cour impériale 15.000 </w:t>
      </w:r>
      <w:r w:rsidRPr="000F765B">
        <w:rPr>
          <w:lang w:eastAsia="fr-FR" w:bidi="fr-FR"/>
        </w:rPr>
        <w:t>marabotins</w:t>
      </w:r>
      <w:r>
        <w:rPr>
          <w:lang w:eastAsia="fr-FR" w:bidi="fr-FR"/>
        </w:rPr>
        <w:t> </w:t>
      </w:r>
      <w:r>
        <w:rPr>
          <w:rStyle w:val="Appelnotedebasdep"/>
        </w:rPr>
        <w:footnoteReference w:id="882"/>
      </w:r>
      <w:r w:rsidRPr="000F765B">
        <w:rPr>
          <w:lang w:eastAsia="fr-FR" w:bidi="fr-FR"/>
        </w:rPr>
        <w:t>, voire même que, loin de la Méditerranée, un a</w:t>
      </w:r>
      <w:r w:rsidRPr="000F765B">
        <w:rPr>
          <w:lang w:eastAsia="fr-FR" w:bidi="fr-FR"/>
        </w:rPr>
        <w:t>b</w:t>
      </w:r>
      <w:r w:rsidRPr="000F765B">
        <w:rPr>
          <w:lang w:eastAsia="fr-FR" w:bidi="fr-FR"/>
        </w:rPr>
        <w:t>bé français, en 1146, puisse réunir 500 besants et des chanoines all</w:t>
      </w:r>
      <w:r w:rsidRPr="000F765B">
        <w:rPr>
          <w:lang w:eastAsia="fr-FR" w:bidi="fr-FR"/>
        </w:rPr>
        <w:t>e</w:t>
      </w:r>
      <w:r w:rsidRPr="000F765B">
        <w:rPr>
          <w:lang w:eastAsia="fr-FR" w:bidi="fr-FR"/>
        </w:rPr>
        <w:t>mands, trente ans plus tard, imposer à ceux de leurs confrères qui aliéneraient indûment les biens de</w:t>
      </w:r>
      <w:r>
        <w:rPr>
          <w:lang w:eastAsia="fr-FR" w:bidi="fr-FR"/>
        </w:rPr>
        <w:t xml:space="preserve"> la communauté une amende de 20 </w:t>
      </w:r>
      <w:r w:rsidRPr="000F765B">
        <w:rPr>
          <w:lang w:eastAsia="fr-FR" w:bidi="fr-FR"/>
        </w:rPr>
        <w:t>marabotins</w:t>
      </w:r>
      <w:r>
        <w:rPr>
          <w:lang w:eastAsia="fr-FR" w:bidi="fr-FR"/>
        </w:rPr>
        <w:t> </w:t>
      </w:r>
      <w:r>
        <w:rPr>
          <w:rStyle w:val="Appelnotedebasdep"/>
        </w:rPr>
        <w:footnoteReference w:id="883"/>
      </w:r>
      <w:r w:rsidRPr="000F765B">
        <w:rPr>
          <w:lang w:eastAsia="fr-FR" w:bidi="fr-FR"/>
        </w:rPr>
        <w:t>,</w:t>
      </w:r>
      <w:r>
        <w:rPr>
          <w:lang w:eastAsia="fr-FR" w:bidi="fr-FR"/>
        </w:rPr>
        <w:t> — </w:t>
      </w:r>
      <w:r w:rsidRPr="000F765B">
        <w:rPr>
          <w:lang w:eastAsia="fr-FR" w:bidi="fr-FR"/>
        </w:rPr>
        <w:t>simples prodromes, après tout, de la reprise de la frappe. Ajoutez, pour les hautes classes, les profits des conquêtes dans l’Orient latin, ou l’effet des liens sociaux noués à la faveur des crois</w:t>
      </w:r>
      <w:r w:rsidRPr="000F765B">
        <w:rPr>
          <w:lang w:eastAsia="fr-FR" w:bidi="fr-FR"/>
        </w:rPr>
        <w:t>a</w:t>
      </w:r>
      <w:r w:rsidRPr="000F765B">
        <w:rPr>
          <w:lang w:eastAsia="fr-FR" w:bidi="fr-FR"/>
        </w:rPr>
        <w:t xml:space="preserve">des : peu avant 1167, un seigneur d’Avallon avait épousé une </w:t>
      </w:r>
      <w:r w:rsidRPr="000F765B">
        <w:rPr>
          <w:lang w:eastAsia="fr-FR" w:bidi="fr-FR"/>
        </w:rPr>
        <w:lastRenderedPageBreak/>
        <w:t>fille de Beyrouth ; le couple vendit aux Hospitaliers ses terres des environs d’Acre et vécut en Bourgogne, lesté de 200 marabotins</w:t>
      </w:r>
      <w:r>
        <w:rPr>
          <w:lang w:eastAsia="fr-FR" w:bidi="fr-FR"/>
        </w:rPr>
        <w:t> </w:t>
      </w:r>
      <w:r>
        <w:rPr>
          <w:rStyle w:val="Appelnotedebasdep"/>
        </w:rPr>
        <w:footnoteReference w:id="884"/>
      </w:r>
      <w:r w:rsidRPr="000F765B">
        <w:rPr>
          <w:lang w:eastAsia="fr-FR" w:bidi="fr-FR"/>
        </w:rPr>
        <w:t>.</w:t>
      </w:r>
    </w:p>
    <w:p w14:paraId="6B5D6A04" w14:textId="77777777" w:rsidR="00B9662D" w:rsidRPr="000F765B" w:rsidRDefault="00B9662D" w:rsidP="00B9662D">
      <w:pPr>
        <w:spacing w:before="120" w:after="120"/>
        <w:jc w:val="both"/>
      </w:pPr>
      <w:r>
        <w:t>[853]</w:t>
      </w:r>
    </w:p>
    <w:p w14:paraId="79B90819" w14:textId="77777777" w:rsidR="00B9662D" w:rsidRPr="000F765B" w:rsidRDefault="00B9662D" w:rsidP="00B9662D">
      <w:pPr>
        <w:spacing w:before="120" w:after="120"/>
        <w:jc w:val="both"/>
      </w:pPr>
      <w:r w:rsidRPr="000F765B">
        <w:rPr>
          <w:lang w:eastAsia="fr-FR" w:bidi="fr-FR"/>
        </w:rPr>
        <w:t xml:space="preserve">Mais l’observation ne vaut que pour une période très courte. Ce fut, en fait, pendant tout le temps où semblait officiellement régner le monométallisme argent que dinars, hyperpères et onces d’or servirent couramment aux paiements. Un petit épisode d’histoire monastique permettra de prendre une idée précise de ce qu’était alors le régime des deux métaux précieux. Tout à fait au début du </w:t>
      </w:r>
      <w:r>
        <w:rPr>
          <w:lang w:eastAsia="fr-FR" w:bidi="fr-FR"/>
        </w:rPr>
        <w:t>XII</w:t>
      </w:r>
      <w:r w:rsidRPr="000F765B">
        <w:rPr>
          <w:vertAlign w:val="superscript"/>
          <w:lang w:eastAsia="fr-FR" w:bidi="fr-FR"/>
        </w:rPr>
        <w:t>e</w:t>
      </w:r>
      <w:r w:rsidRPr="000F765B">
        <w:rPr>
          <w:lang w:eastAsia="fr-FR" w:bidi="fr-FR"/>
        </w:rPr>
        <w:t xml:space="preserve"> siècle</w:t>
      </w:r>
      <w:r>
        <w:rPr>
          <w:lang w:eastAsia="fr-FR" w:bidi="fr-FR"/>
        </w:rPr>
        <w:t> — </w:t>
      </w:r>
      <w:r w:rsidRPr="000F765B">
        <w:rPr>
          <w:lang w:eastAsia="fr-FR" w:bidi="fr-FR"/>
        </w:rPr>
        <w:t>à un moment, par conséquent, où l’Allemagne du Sud n’avait pas encore été touchée par les nouveaux courants monétaires, venus de la Méd</w:t>
      </w:r>
      <w:r w:rsidRPr="000F765B">
        <w:rPr>
          <w:lang w:eastAsia="fr-FR" w:bidi="fr-FR"/>
        </w:rPr>
        <w:t>i</w:t>
      </w:r>
      <w:r w:rsidRPr="000F765B">
        <w:rPr>
          <w:lang w:eastAsia="fr-FR" w:bidi="fr-FR"/>
        </w:rPr>
        <w:t>terranée</w:t>
      </w:r>
      <w:r>
        <w:rPr>
          <w:lang w:eastAsia="fr-FR" w:bidi="fr-FR"/>
        </w:rPr>
        <w:t> — </w:t>
      </w:r>
      <w:r w:rsidRPr="000F765B">
        <w:rPr>
          <w:lang w:eastAsia="fr-FR" w:bidi="fr-FR"/>
        </w:rPr>
        <w:t>les moines d’Hirsau, en Souabe, furent condamnés par le roi à une amende de 5 marcs et demi d’or. Incapables de la payer, ils eurent recours à l’obligeance d’un seigneur ami. Mais celui-ci était lui-même dépourvu du métal exigé ; il dut acheter la quantité néce</w:t>
      </w:r>
      <w:r w:rsidRPr="000F765B">
        <w:rPr>
          <w:lang w:eastAsia="fr-FR" w:bidi="fr-FR"/>
        </w:rPr>
        <w:t>s</w:t>
      </w:r>
      <w:r w:rsidRPr="000F765B">
        <w:rPr>
          <w:lang w:eastAsia="fr-FR" w:bidi="fr-FR"/>
        </w:rPr>
        <w:t>saire, au prix de 44 marcs d’argent. Ainsi l’or pouvait manquer jusque dans les coffres des riches ; mais il n’était pas malaisé de s’en proc</w:t>
      </w:r>
      <w:r w:rsidRPr="000F765B">
        <w:rPr>
          <w:lang w:eastAsia="fr-FR" w:bidi="fr-FR"/>
        </w:rPr>
        <w:t>u</w:t>
      </w:r>
      <w:r w:rsidRPr="000F765B">
        <w:rPr>
          <w:lang w:eastAsia="fr-FR" w:bidi="fr-FR"/>
        </w:rPr>
        <w:t>rer sur le marché, et cela à un cours des plus modérés : le rapport des deux métaux, qu’implique ce texte</w:t>
      </w:r>
      <w:r>
        <w:rPr>
          <w:lang w:eastAsia="fr-FR" w:bidi="fr-FR"/>
        </w:rPr>
        <w:t> — </w:t>
      </w:r>
      <w:r w:rsidRPr="000F765B">
        <w:rPr>
          <w:lang w:eastAsia="fr-FR" w:bidi="fr-FR"/>
        </w:rPr>
        <w:t>1 sur 8 —, atteste une appréci</w:t>
      </w:r>
      <w:r w:rsidRPr="000F765B">
        <w:rPr>
          <w:lang w:eastAsia="fr-FR" w:bidi="fr-FR"/>
        </w:rPr>
        <w:t>a</w:t>
      </w:r>
      <w:r w:rsidRPr="000F765B">
        <w:rPr>
          <w:lang w:eastAsia="fr-FR" w:bidi="fr-FR"/>
        </w:rPr>
        <w:t>tion de l’or beaucoup moins marquée que celle dont la loi de l’an</w:t>
      </w:r>
      <w:r>
        <w:rPr>
          <w:lang w:eastAsia="fr-FR" w:bidi="fr-FR"/>
        </w:rPr>
        <w:t> </w:t>
      </w:r>
      <w:r w:rsidRPr="000F765B">
        <w:rPr>
          <w:lang w:eastAsia="fr-FR" w:bidi="fr-FR"/>
        </w:rPr>
        <w:t>XI, établissant la proportion à 1 contre 15,5, portait naguère la trace</w:t>
      </w:r>
      <w:r>
        <w:rPr>
          <w:lang w:eastAsia="fr-FR" w:bidi="fr-FR"/>
        </w:rPr>
        <w:t> </w:t>
      </w:r>
      <w:r>
        <w:rPr>
          <w:rStyle w:val="Appelnotedebasdep"/>
        </w:rPr>
        <w:footnoteReference w:id="885"/>
      </w:r>
      <w:r w:rsidRPr="000F765B">
        <w:rPr>
          <w:lang w:eastAsia="fr-FR" w:bidi="fr-FR"/>
        </w:rPr>
        <w:t xml:space="preserve">. </w:t>
      </w:r>
      <w:r w:rsidRPr="000F765B">
        <w:rPr>
          <w:lang w:eastAsia="fr-FR" w:bidi="fr-FR"/>
        </w:rPr>
        <w:lastRenderedPageBreak/>
        <w:t>Tout nous ramène à la même conclusion : l’or, on n’en saurait douter, était relativement rare ; il n’était cependant ni absent ni économiqu</w:t>
      </w:r>
      <w:r w:rsidRPr="000F765B">
        <w:rPr>
          <w:lang w:eastAsia="fr-FR" w:bidi="fr-FR"/>
        </w:rPr>
        <w:t>e</w:t>
      </w:r>
      <w:r w:rsidRPr="000F765B">
        <w:rPr>
          <w:lang w:eastAsia="fr-FR" w:bidi="fr-FR"/>
        </w:rPr>
        <w:t>ment inutile.</w:t>
      </w:r>
    </w:p>
    <w:p w14:paraId="4A788F75" w14:textId="77777777" w:rsidR="00B9662D" w:rsidRDefault="00B9662D" w:rsidP="00B9662D">
      <w:pPr>
        <w:pStyle w:val="c"/>
        <w:rPr>
          <w:lang w:eastAsia="fr-FR" w:bidi="fr-FR"/>
        </w:rPr>
      </w:pPr>
      <w:r>
        <w:rPr>
          <w:lang w:eastAsia="fr-FR" w:bidi="fr-FR"/>
        </w:rPr>
        <w:t>*</w:t>
      </w:r>
      <w:r>
        <w:rPr>
          <w:lang w:eastAsia="fr-FR" w:bidi="fr-FR"/>
        </w:rPr>
        <w:br/>
        <w:t>*     *</w:t>
      </w:r>
    </w:p>
    <w:p w14:paraId="0E245665" w14:textId="77777777" w:rsidR="00B9662D" w:rsidRPr="000F765B" w:rsidRDefault="00B9662D" w:rsidP="00B9662D">
      <w:pPr>
        <w:spacing w:before="120" w:after="120"/>
        <w:jc w:val="both"/>
      </w:pPr>
      <w:r w:rsidRPr="000F765B">
        <w:rPr>
          <w:lang w:eastAsia="fr-FR" w:bidi="fr-FR"/>
        </w:rPr>
        <w:t xml:space="preserve">La première des images que ces observations nous contraignent de réviser est celle même du commerce européen. Il demeure infiniment probable que l’Occident importait, en valeur, plus qu’il n’exportait. Mais la balance, au total, n’était certainement pas aussi déficitaire qu’on l’a parfois supposé. Avec Byzance, à vrai dire, elle paraît avoir été constamment défavorable, jusqu’à la fin du </w:t>
      </w:r>
      <w:r w:rsidRPr="003A0686">
        <w:rPr>
          <w:caps/>
          <w:lang w:eastAsia="fr-FR" w:bidi="fr-FR"/>
        </w:rPr>
        <w:t>xi</w:t>
      </w:r>
      <w:r w:rsidRPr="000F765B">
        <w:rPr>
          <w:vertAlign w:val="superscript"/>
          <w:lang w:eastAsia="fr-FR" w:bidi="fr-FR"/>
        </w:rPr>
        <w:t>e</w:t>
      </w:r>
      <w:r w:rsidRPr="000F765B">
        <w:rPr>
          <w:lang w:eastAsia="fr-FR" w:bidi="fr-FR"/>
        </w:rPr>
        <w:t xml:space="preserve"> siècle : comment interpréter autrement la rareté des besants ? Visiblement, les export</w:t>
      </w:r>
      <w:r w:rsidRPr="000F765B">
        <w:rPr>
          <w:lang w:eastAsia="fr-FR" w:bidi="fr-FR"/>
        </w:rPr>
        <w:t>a</w:t>
      </w:r>
      <w:r w:rsidRPr="000F765B">
        <w:rPr>
          <w:lang w:eastAsia="fr-FR" w:bidi="fr-FR"/>
        </w:rPr>
        <w:t>tions les plus fructueuses se sont faites longtemps vers les pays isl</w:t>
      </w:r>
      <w:r w:rsidRPr="000F765B">
        <w:rPr>
          <w:lang w:eastAsia="fr-FR" w:bidi="fr-FR"/>
        </w:rPr>
        <w:t>a</w:t>
      </w:r>
      <w:r w:rsidRPr="000F765B">
        <w:rPr>
          <w:lang w:eastAsia="fr-FR" w:bidi="fr-FR"/>
        </w:rPr>
        <w:t>miques, d’où vinrent tant de mancus,</w:t>
      </w:r>
      <w:r>
        <w:rPr>
          <w:lang w:eastAsia="fr-FR" w:bidi="fr-FR"/>
        </w:rPr>
        <w:t> — </w:t>
      </w:r>
      <w:r w:rsidRPr="000F765B">
        <w:rPr>
          <w:lang w:eastAsia="fr-FR" w:bidi="fr-FR"/>
        </w:rPr>
        <w:t>avant tout, assurément, vers l’Espagne ; la « rupture » provoquée par les invasions musulmanes n’avait pas été absolue. Quelles marchandises la chrétienté latine avait-elle à offrir à ces Sarrasins ? Pour le déterminer avec exactitude, il faudrait dépouiller les documents arabes, s’ils sont moins désesp</w:t>
      </w:r>
      <w:r w:rsidRPr="000F765B">
        <w:rPr>
          <w:lang w:eastAsia="fr-FR" w:bidi="fr-FR"/>
        </w:rPr>
        <w:t>é</w:t>
      </w:r>
      <w:r w:rsidRPr="000F765B">
        <w:rPr>
          <w:lang w:eastAsia="fr-FR" w:bidi="fr-FR"/>
        </w:rPr>
        <w:t>rément muets que les nôtres</w:t>
      </w:r>
      <w:r>
        <w:rPr>
          <w:lang w:eastAsia="fr-FR" w:bidi="fr-FR"/>
        </w:rPr>
        <w:t> </w:t>
      </w:r>
      <w:r>
        <w:rPr>
          <w:rStyle w:val="Appelnotedebasdep"/>
        </w:rPr>
        <w:footnoteReference w:id="886"/>
      </w:r>
      <w:r w:rsidRPr="000F765B">
        <w:rPr>
          <w:lang w:eastAsia="fr-FR" w:bidi="fr-FR"/>
        </w:rPr>
        <w:t>. Sans nul doute, on</w:t>
      </w:r>
      <w:r>
        <w:rPr>
          <w:lang w:eastAsia="fr-FR" w:bidi="fr-FR"/>
        </w:rPr>
        <w:t xml:space="preserve"> </w:t>
      </w:r>
      <w:r>
        <w:t xml:space="preserve">[854] </w:t>
      </w:r>
      <w:r w:rsidRPr="000F765B">
        <w:rPr>
          <w:lang w:eastAsia="fr-FR" w:bidi="fr-FR"/>
        </w:rPr>
        <w:t>expédiait là-bas beaucoup d’esclaves ; lors même que l’esclavage indigène eut à peu près disparu de la Gaule, de l’Allemagne et de l’Italie, les razzias en pays slave continuèrent à alimenter la traite ; les caravanes convoyaient ces captifs jusqu’au</w:t>
      </w:r>
      <w:r>
        <w:rPr>
          <w:lang w:eastAsia="fr-FR" w:bidi="fr-FR"/>
        </w:rPr>
        <w:t>-</w:t>
      </w:r>
      <w:r w:rsidRPr="000F765B">
        <w:rPr>
          <w:lang w:eastAsia="fr-FR" w:bidi="fr-FR"/>
        </w:rPr>
        <w:t>delà des Pyrénées. Quant à l’Angleterre, le trafic des esclaves</w:t>
      </w:r>
      <w:r>
        <w:rPr>
          <w:lang w:eastAsia="fr-FR" w:bidi="fr-FR"/>
        </w:rPr>
        <w:t> — </w:t>
      </w:r>
      <w:r w:rsidRPr="000F765B">
        <w:rPr>
          <w:lang w:eastAsia="fr-FR" w:bidi="fr-FR"/>
        </w:rPr>
        <w:t>Celtes, pour la plupart, mais aussi prisonniers faits au cours des guerres intestines, voire enfants vendus par leurs parents</w:t>
      </w:r>
      <w:r>
        <w:rPr>
          <w:lang w:eastAsia="fr-FR" w:bidi="fr-FR"/>
        </w:rPr>
        <w:t> — </w:t>
      </w:r>
      <w:r w:rsidRPr="000F765B">
        <w:rPr>
          <w:lang w:eastAsia="fr-FR" w:bidi="fr-FR"/>
        </w:rPr>
        <w:t>semble y avoir été longtemps fort actif. Ainsi s’explique apparemment la remarquable abondance des pièces arabes, dans la circulation intérieure de l’île. Peut-être aussi</w:t>
      </w:r>
      <w:r>
        <w:rPr>
          <w:lang w:eastAsia="fr-FR" w:bidi="fr-FR"/>
        </w:rPr>
        <w:t> — </w:t>
      </w:r>
      <w:r w:rsidRPr="000F765B">
        <w:rPr>
          <w:lang w:eastAsia="fr-FR" w:bidi="fr-FR"/>
        </w:rPr>
        <w:t xml:space="preserve">mais ceci n’est plus </w:t>
      </w:r>
      <w:r>
        <w:rPr>
          <w:lang w:eastAsia="fr-FR" w:bidi="fr-FR"/>
        </w:rPr>
        <w:t>que pure hypothèse — la Grande-</w:t>
      </w:r>
      <w:r w:rsidRPr="000F765B">
        <w:rPr>
          <w:lang w:eastAsia="fr-FR" w:bidi="fr-FR"/>
        </w:rPr>
        <w:t xml:space="preserve">Bretagne livrait-elle aux marchés ibériques son étain. Pour l’Italie, au moins dans l’Est, on peut conjecturer qu’un bon nombre des mancus y étaient d’origine syrienne ; </w:t>
      </w:r>
      <w:r w:rsidRPr="000F765B">
        <w:rPr>
          <w:lang w:eastAsia="fr-FR" w:bidi="fr-FR"/>
        </w:rPr>
        <w:lastRenderedPageBreak/>
        <w:t>l’Adriatique ne fut jamais fermée et Venise ne dédaignait pas le commerce du bétail humain.</w:t>
      </w:r>
    </w:p>
    <w:p w14:paraId="231320D5" w14:textId="77777777" w:rsidR="00B9662D" w:rsidRPr="000F765B" w:rsidRDefault="00B9662D" w:rsidP="00B9662D">
      <w:pPr>
        <w:spacing w:before="120" w:after="120"/>
        <w:jc w:val="both"/>
      </w:pPr>
      <w:r w:rsidRPr="000F765B">
        <w:rPr>
          <w:lang w:eastAsia="fr-FR" w:bidi="fr-FR"/>
        </w:rPr>
        <w:t>Mais l’énigme la plus troublante touche l’histoire monétaire. De toute évidence, à la lumière de ces faits nouveaux, l’état du commerce s’avère impuissant à expliquer, à lui seul, l’arrêt de la frappe de l’or. Si raréfié que fût le métal, la pénurie n’en était pas telle que le mo</w:t>
      </w:r>
      <w:r w:rsidRPr="000F765B">
        <w:rPr>
          <w:lang w:eastAsia="fr-FR" w:bidi="fr-FR"/>
        </w:rPr>
        <w:t>n</w:t>
      </w:r>
      <w:r w:rsidRPr="000F765B">
        <w:rPr>
          <w:lang w:eastAsia="fr-FR" w:bidi="fr-FR"/>
        </w:rPr>
        <w:t>nayage dût paraître impossible : il était aisé de refondre les pièces étrangères, et, vu les bénéfices prélevés par les ateliers, l’opération, semble-t-il, n’eût pas été sans avantages. Entre 1076 et 1080, Adéla</w:t>
      </w:r>
      <w:r w:rsidRPr="000F765B">
        <w:rPr>
          <w:lang w:eastAsia="fr-FR" w:bidi="fr-FR"/>
        </w:rPr>
        <w:t>ï</w:t>
      </w:r>
      <w:r w:rsidRPr="000F765B">
        <w:rPr>
          <w:lang w:eastAsia="fr-FR" w:bidi="fr-FR"/>
        </w:rPr>
        <w:t>de de Forcalquier apporta en dot au comte d’Urg</w:t>
      </w:r>
      <w:r>
        <w:rPr>
          <w:lang w:eastAsia="fr-FR" w:bidi="fr-FR"/>
        </w:rPr>
        <w:t>el 5.000 </w:t>
      </w:r>
      <w:r w:rsidRPr="000F765B">
        <w:rPr>
          <w:lang w:eastAsia="fr-FR" w:bidi="fr-FR"/>
        </w:rPr>
        <w:t>mancus de Valence</w:t>
      </w:r>
      <w:r>
        <w:rPr>
          <w:lang w:eastAsia="fr-FR" w:bidi="fr-FR"/>
        </w:rPr>
        <w:t> </w:t>
      </w:r>
      <w:r>
        <w:rPr>
          <w:rStyle w:val="Appelnotedebasdep"/>
        </w:rPr>
        <w:footnoteReference w:id="887"/>
      </w:r>
      <w:r w:rsidRPr="000F765B">
        <w:rPr>
          <w:lang w:eastAsia="fr-FR" w:bidi="fr-FR"/>
        </w:rPr>
        <w:t xml:space="preserve">. Pourquoi le marquis de Provence, son père, n’avait-il pas songé à battre monnaie avec tout cet or ? Disons plus ; au </w:t>
      </w:r>
      <w:r>
        <w:rPr>
          <w:lang w:eastAsia="fr-FR" w:bidi="fr-FR"/>
        </w:rPr>
        <w:t>XI</w:t>
      </w:r>
      <w:r w:rsidRPr="000F765B">
        <w:rPr>
          <w:vertAlign w:val="superscript"/>
          <w:lang w:eastAsia="fr-FR" w:bidi="fr-FR"/>
        </w:rPr>
        <w:t>e</w:t>
      </w:r>
      <w:r w:rsidRPr="000F765B">
        <w:rPr>
          <w:lang w:eastAsia="fr-FR" w:bidi="fr-FR"/>
        </w:rPr>
        <w:t xml:space="preserve"> siècle, les laveurs d’or de la plupart des rivières lombardes étaient contraints de porter à la « chambre » royale de Pavie toutes les paillettes qu’ils recueillaient</w:t>
      </w:r>
      <w:r>
        <w:rPr>
          <w:lang w:eastAsia="fr-FR" w:bidi="fr-FR"/>
        </w:rPr>
        <w:t> </w:t>
      </w:r>
      <w:r>
        <w:rPr>
          <w:rStyle w:val="Appelnotedebasdep"/>
        </w:rPr>
        <w:footnoteReference w:id="888"/>
      </w:r>
      <w:r w:rsidRPr="000F765B">
        <w:rPr>
          <w:lang w:eastAsia="fr-FR" w:bidi="fr-FR"/>
        </w:rPr>
        <w:t> ; si médiocre que fût la moisson, elle eût sans doute permis de frapper quelques pièces ; pourquoi de l’atelier de Pavie, placé au cœur d’un pays où la monnaie d’or exotique circulait abo</w:t>
      </w:r>
      <w:r w:rsidRPr="000F765B">
        <w:rPr>
          <w:lang w:eastAsia="fr-FR" w:bidi="fr-FR"/>
        </w:rPr>
        <w:t>n</w:t>
      </w:r>
      <w:r w:rsidRPr="000F765B">
        <w:rPr>
          <w:lang w:eastAsia="fr-FR" w:bidi="fr-FR"/>
        </w:rPr>
        <w:t>damment, n’est-il jamais sorti, au nom du roi, que des deniers d’argent ?</w:t>
      </w:r>
    </w:p>
    <w:p w14:paraId="2FDF5170" w14:textId="77777777" w:rsidR="00B9662D" w:rsidRPr="000F765B" w:rsidRDefault="00B9662D" w:rsidP="00B9662D">
      <w:pPr>
        <w:spacing w:before="120" w:after="120"/>
        <w:jc w:val="both"/>
      </w:pPr>
      <w:r w:rsidRPr="000F765B">
        <w:rPr>
          <w:lang w:eastAsia="fr-FR" w:bidi="fr-FR"/>
        </w:rPr>
        <w:t>Un fait, provisoirement passé sous silence, va nous mettre sur la voie de la solution. Toutes les pièces de type étranger n’étaient pas importées ; un certain nombre avaient été frappées en pays catholique, sur des modèles venus d’ailleurs. En d’autres termes, si, pendant plus de trois siècles, il n’y eut pas de monnayage de l’or sur type indigène, il exista un monnayage de contrefaçon, œuvre souvent, non d’humbles faussaires, mais des princes eux-mêmes.</w:t>
      </w:r>
    </w:p>
    <w:p w14:paraId="25440929" w14:textId="77777777" w:rsidR="00B9662D" w:rsidRPr="000F765B" w:rsidRDefault="00B9662D" w:rsidP="00B9662D">
      <w:pPr>
        <w:spacing w:before="120" w:after="120"/>
        <w:jc w:val="both"/>
      </w:pPr>
      <w:r w:rsidRPr="000F765B">
        <w:rPr>
          <w:lang w:eastAsia="fr-FR" w:bidi="fr-FR"/>
        </w:rPr>
        <w:t>Pour l’Angleterre, sources écrites et trouvailles sont pareillement éloquentes. Par son testament, le roi Eadred, en 955, prescrivit la frappe de 2.000 mancus</w:t>
      </w:r>
      <w:r>
        <w:rPr>
          <w:lang w:eastAsia="fr-FR" w:bidi="fr-FR"/>
        </w:rPr>
        <w:t> </w:t>
      </w:r>
      <w:r>
        <w:rPr>
          <w:rStyle w:val="Appelnotedebasdep"/>
        </w:rPr>
        <w:footnoteReference w:id="889"/>
      </w:r>
      <w:r w:rsidRPr="000F765B">
        <w:rPr>
          <w:lang w:eastAsia="fr-FR" w:bidi="fr-FR"/>
        </w:rPr>
        <w:t>. D’autre part, on possède une pièce d’or qui reproduit exactement les traits d’un dinar abasside</w:t>
      </w:r>
      <w:r>
        <w:rPr>
          <w:lang w:eastAsia="fr-FR" w:bidi="fr-FR"/>
        </w:rPr>
        <w:t> — </w:t>
      </w:r>
      <w:r w:rsidRPr="000F765B">
        <w:rPr>
          <w:lang w:eastAsia="fr-FR" w:bidi="fr-FR"/>
        </w:rPr>
        <w:t>légende de la</w:t>
      </w:r>
      <w:r w:rsidRPr="000F765B">
        <w:rPr>
          <w:lang w:eastAsia="fr-FR" w:bidi="fr-FR"/>
        </w:rPr>
        <w:t>n</w:t>
      </w:r>
      <w:r w:rsidRPr="000F765B">
        <w:rPr>
          <w:lang w:eastAsia="fr-FR" w:bidi="fr-FR"/>
        </w:rPr>
        <w:t>gue et de caractères arabes, et la date même de l’hégire : 157 (774 de notre ère) —</w:t>
      </w:r>
      <w:r>
        <w:rPr>
          <w:lang w:eastAsia="fr-FR" w:bidi="fr-FR"/>
        </w:rPr>
        <w:t xml:space="preserve"> </w:t>
      </w:r>
      <w:r>
        <w:t xml:space="preserve">[855] </w:t>
      </w:r>
      <w:r w:rsidRPr="000F765B">
        <w:rPr>
          <w:lang w:eastAsia="fr-FR" w:bidi="fr-FR"/>
        </w:rPr>
        <w:t xml:space="preserve">mais porte de plus, en lettres latines, les mots </w:t>
      </w:r>
      <w:r w:rsidRPr="003C6338">
        <w:rPr>
          <w:i/>
          <w:iCs/>
        </w:rPr>
        <w:lastRenderedPageBreak/>
        <w:t>Offa</w:t>
      </w:r>
      <w:r w:rsidRPr="000F765B">
        <w:t xml:space="preserve"> Rex ;</w:t>
      </w:r>
      <w:r w:rsidRPr="000F765B">
        <w:rPr>
          <w:lang w:eastAsia="fr-FR" w:bidi="fr-FR"/>
        </w:rPr>
        <w:t xml:space="preserve"> trouvée à Rome ou aux environs, c’est vraisemblablement un survivant du tribut payé à Saint-Pierre</w:t>
      </w:r>
      <w:r>
        <w:rPr>
          <w:lang w:eastAsia="fr-FR" w:bidi="fr-FR"/>
        </w:rPr>
        <w:t> </w:t>
      </w:r>
      <w:r>
        <w:rPr>
          <w:rStyle w:val="Appelnotedebasdep"/>
        </w:rPr>
        <w:footnoteReference w:id="890"/>
      </w:r>
      <w:r w:rsidRPr="000F765B">
        <w:rPr>
          <w:lang w:eastAsia="fr-FR" w:bidi="fr-FR"/>
        </w:rPr>
        <w:t>. En Catalogne, de même, des documents assez nombreux mentionnent des mancus fabriqués par ordre du comte ; sur certaines de ces pièces, qui nous ont été conse</w:t>
      </w:r>
      <w:r w:rsidRPr="000F765B">
        <w:rPr>
          <w:lang w:eastAsia="fr-FR" w:bidi="fr-FR"/>
        </w:rPr>
        <w:t>r</w:t>
      </w:r>
      <w:r w:rsidRPr="000F765B">
        <w:rPr>
          <w:lang w:eastAsia="fr-FR" w:bidi="fr-FR"/>
        </w:rPr>
        <w:t>vées, on voit, à côté des inscriptions arabes de rigueur, figurer, en c</w:t>
      </w:r>
      <w:r w:rsidRPr="000F765B">
        <w:rPr>
          <w:lang w:eastAsia="fr-FR" w:bidi="fr-FR"/>
        </w:rPr>
        <w:t>a</w:t>
      </w:r>
      <w:r w:rsidRPr="000F765B">
        <w:rPr>
          <w:lang w:eastAsia="fr-FR" w:bidi="fr-FR"/>
        </w:rPr>
        <w:t>ractères latins, le nom du prince</w:t>
      </w:r>
      <w:r>
        <w:rPr>
          <w:lang w:eastAsia="fr-FR" w:bidi="fr-FR"/>
        </w:rPr>
        <w:t> </w:t>
      </w:r>
      <w:r>
        <w:rPr>
          <w:rStyle w:val="Appelnotedebasdep"/>
        </w:rPr>
        <w:footnoteReference w:id="891"/>
      </w:r>
      <w:r w:rsidRPr="000F765B">
        <w:rPr>
          <w:lang w:eastAsia="fr-FR" w:bidi="fr-FR"/>
        </w:rPr>
        <w:t xml:space="preserve">. Ailleurs, force est de se contenter de simples indices. Un des principaux ateliers méditerranéens, durant le Haut Moyen </w:t>
      </w:r>
      <w:r>
        <w:rPr>
          <w:lang w:eastAsia="fr-FR" w:bidi="fr-FR"/>
        </w:rPr>
        <w:t>Â</w:t>
      </w:r>
      <w:r w:rsidRPr="000F765B">
        <w:rPr>
          <w:lang w:eastAsia="fr-FR" w:bidi="fr-FR"/>
        </w:rPr>
        <w:t>ge, fut celui de Mauguio, en Languedoc. Nous n’en connaissons que des deniers, en grand nombre. Nous savons cepe</w:t>
      </w:r>
      <w:r w:rsidRPr="000F765B">
        <w:rPr>
          <w:lang w:eastAsia="fr-FR" w:bidi="fr-FR"/>
        </w:rPr>
        <w:t>n</w:t>
      </w:r>
      <w:r w:rsidRPr="000F765B">
        <w:rPr>
          <w:lang w:eastAsia="fr-FR" w:bidi="fr-FR"/>
        </w:rPr>
        <w:t>dant que, vers 1080, on y frappait l’or</w:t>
      </w:r>
      <w:r>
        <w:rPr>
          <w:lang w:eastAsia="fr-FR" w:bidi="fr-FR"/>
        </w:rPr>
        <w:t> </w:t>
      </w:r>
      <w:r>
        <w:rPr>
          <w:rStyle w:val="Appelnotedebasdep"/>
        </w:rPr>
        <w:footnoteReference w:id="892"/>
      </w:r>
      <w:r w:rsidRPr="000F765B">
        <w:rPr>
          <w:lang w:eastAsia="fr-FR" w:bidi="fr-FR"/>
        </w:rPr>
        <w:t>. Comment douter qu’il ne s’agît d’imitations ? Telle est aussi, semble-t-il, l’explication la plus raisonnable d’un texte qui a donné beaucoup de tablature aux hist</w:t>
      </w:r>
      <w:r w:rsidRPr="000F765B">
        <w:rPr>
          <w:lang w:eastAsia="fr-FR" w:bidi="fr-FR"/>
        </w:rPr>
        <w:t>o</w:t>
      </w:r>
      <w:r w:rsidRPr="000F765B">
        <w:rPr>
          <w:lang w:eastAsia="fr-FR" w:bidi="fr-FR"/>
        </w:rPr>
        <w:t>riens ; ce bail de l’atelier de Gênes, en 1149, qui afferme, avec le monnayage de l’argent, celui de l’or, bien que textes et monnaies soient d’accord pour placer plus de cent ans plus tard</w:t>
      </w:r>
      <w:r>
        <w:rPr>
          <w:lang w:eastAsia="fr-FR" w:bidi="fr-FR"/>
        </w:rPr>
        <w:t> — </w:t>
      </w:r>
      <w:r w:rsidRPr="000F765B">
        <w:rPr>
          <w:lang w:eastAsia="fr-FR" w:bidi="fr-FR"/>
        </w:rPr>
        <w:t>en 1252</w:t>
      </w:r>
      <w:r>
        <w:rPr>
          <w:lang w:eastAsia="fr-FR" w:bidi="fr-FR"/>
        </w:rPr>
        <w:t> — </w:t>
      </w:r>
      <w:r w:rsidRPr="000F765B">
        <w:rPr>
          <w:lang w:eastAsia="fr-FR" w:bidi="fr-FR"/>
        </w:rPr>
        <w:t>l’apparition des premières pièces d’or officiellement émises par le grand port ligurien</w:t>
      </w:r>
      <w:r>
        <w:rPr>
          <w:lang w:eastAsia="fr-FR" w:bidi="fr-FR"/>
        </w:rPr>
        <w:t> </w:t>
      </w:r>
      <w:r>
        <w:rPr>
          <w:rStyle w:val="Appelnotedebasdep"/>
        </w:rPr>
        <w:footnoteReference w:id="893"/>
      </w:r>
      <w:r w:rsidRPr="000F765B">
        <w:rPr>
          <w:lang w:eastAsia="fr-FR" w:bidi="fr-FR"/>
        </w:rPr>
        <w:t>. Aussi bien, les mancus qui consentaient à no</w:t>
      </w:r>
      <w:r w:rsidRPr="000F765B">
        <w:rPr>
          <w:lang w:eastAsia="fr-FR" w:bidi="fr-FR"/>
        </w:rPr>
        <w:t>m</w:t>
      </w:r>
      <w:r w:rsidRPr="000F765B">
        <w:rPr>
          <w:lang w:eastAsia="fr-FR" w:bidi="fr-FR"/>
        </w:rPr>
        <w:t>mer le souverain chrétien, auteur respons</w:t>
      </w:r>
      <w:r w:rsidRPr="000F765B">
        <w:rPr>
          <w:lang w:eastAsia="fr-FR" w:bidi="fr-FR"/>
        </w:rPr>
        <w:t>a</w:t>
      </w:r>
      <w:r w:rsidRPr="000F765B">
        <w:rPr>
          <w:lang w:eastAsia="fr-FR" w:bidi="fr-FR"/>
        </w:rPr>
        <w:t xml:space="preserve">ble de la frappe, n’étaient après tout que des demi-contrefaçons. Les plagiats absolus risquent toujours de se confondre, à nos yeux, avec les originaux. </w:t>
      </w:r>
      <w:r>
        <w:rPr>
          <w:lang w:eastAsia="fr-FR" w:bidi="fr-FR"/>
        </w:rPr>
        <w:t>À</w:t>
      </w:r>
      <w:r w:rsidRPr="000F765B">
        <w:rPr>
          <w:lang w:eastAsia="fr-FR" w:bidi="fr-FR"/>
        </w:rPr>
        <w:t xml:space="preserve"> moins que, parfois, leur gaucherie ne les dénonce. Il est ainsi, dans nos colle</w:t>
      </w:r>
      <w:r w:rsidRPr="000F765B">
        <w:rPr>
          <w:lang w:eastAsia="fr-FR" w:bidi="fr-FR"/>
        </w:rPr>
        <w:t>c</w:t>
      </w:r>
      <w:r w:rsidRPr="000F765B">
        <w:rPr>
          <w:lang w:eastAsia="fr-FR" w:bidi="fr-FR"/>
        </w:rPr>
        <w:t>tions, plus d’un dinar suspect. Et sans doute, lorsque les besants à leur tour se répandirent en Europe, se préoccupa-t-on aussi de les copier, mais sans jamais, semble-t-il, avoir l’honnêteté de les distinguer, fût-ce par une discrète mention de pr</w:t>
      </w:r>
      <w:r w:rsidRPr="000F765B">
        <w:rPr>
          <w:lang w:eastAsia="fr-FR" w:bidi="fr-FR"/>
        </w:rPr>
        <w:t>o</w:t>
      </w:r>
      <w:r w:rsidRPr="000F765B">
        <w:rPr>
          <w:lang w:eastAsia="fr-FR" w:bidi="fr-FR"/>
        </w:rPr>
        <w:t>venance, des hyper</w:t>
      </w:r>
      <w:r w:rsidRPr="000F765B">
        <w:rPr>
          <w:lang w:eastAsia="fr-FR" w:bidi="fr-FR"/>
        </w:rPr>
        <w:lastRenderedPageBreak/>
        <w:t xml:space="preserve">pères véritables. Comment savoir où les faussaires génois, au </w:t>
      </w:r>
      <w:r w:rsidRPr="00DA05EA">
        <w:rPr>
          <w:caps/>
          <w:lang w:eastAsia="fr-FR" w:bidi="fr-FR"/>
        </w:rPr>
        <w:t>xii</w:t>
      </w:r>
      <w:r w:rsidRPr="000F765B">
        <w:rPr>
          <w:vertAlign w:val="superscript"/>
          <w:lang w:eastAsia="fr-FR" w:bidi="fr-FR"/>
        </w:rPr>
        <w:t>e</w:t>
      </w:r>
      <w:r w:rsidRPr="000F765B">
        <w:rPr>
          <w:lang w:eastAsia="fr-FR" w:bidi="fr-FR"/>
        </w:rPr>
        <w:t xml:space="preserve"> siècle, cherchaient leurs modèles : à Byzance, dans les pays de l’Islam, ou des deux côtés tour à tour ?</w:t>
      </w:r>
    </w:p>
    <w:p w14:paraId="3E202AB5" w14:textId="77777777" w:rsidR="00B9662D" w:rsidRPr="000F765B" w:rsidRDefault="00B9662D" w:rsidP="00B9662D">
      <w:pPr>
        <w:spacing w:before="120" w:after="120"/>
        <w:jc w:val="both"/>
      </w:pPr>
      <w:r w:rsidRPr="000F765B">
        <w:rPr>
          <w:lang w:eastAsia="fr-FR" w:bidi="fr-FR"/>
        </w:rPr>
        <w:t>Dans le monnayage arabe, l’or ne fut d’ailleurs pas seul à séduire les plagiaires. Des « dirhems » d’argent circulaient, à côté des dinars, dans tout l’Occident. Ils furent, eux aussi, copiés en grand nombre : sur les bords de la Méditerranée (où le dirhem était généralement connu sous le nom de millares), en Allemagne</w:t>
      </w:r>
      <w:r>
        <w:rPr>
          <w:lang w:eastAsia="fr-FR" w:bidi="fr-FR"/>
        </w:rPr>
        <w:t> — </w:t>
      </w:r>
      <w:r w:rsidRPr="000F765B">
        <w:rPr>
          <w:lang w:eastAsia="fr-FR" w:bidi="fr-FR"/>
        </w:rPr>
        <w:t>pour les besoins du commerce avec l’Orient slave</w:t>
      </w:r>
      <w:r>
        <w:rPr>
          <w:lang w:eastAsia="fr-FR" w:bidi="fr-FR"/>
        </w:rPr>
        <w:t> — </w:t>
      </w:r>
      <w:r w:rsidRPr="000F765B">
        <w:rPr>
          <w:lang w:eastAsia="fr-FR" w:bidi="fr-FR"/>
        </w:rPr>
        <w:t>et jusque dans les ports de l’Atlantique. En 1268, un atelier de « fausses monnaies sarrasines » fonctionnait encore dans l’île d’Oléron ; comme il utilisait, pour sa fabrication, du « billon » recueilli à La Rochelle, on doit croire qu’il se consacrait surtout aux pièces d’argent, sans préjudice, peut-être, de quelques pièces d’or. Mais, plus tardives, semble-t-il, que les imit</w:t>
      </w:r>
      <w:r w:rsidRPr="000F765B">
        <w:rPr>
          <w:lang w:eastAsia="fr-FR" w:bidi="fr-FR"/>
        </w:rPr>
        <w:t>a</w:t>
      </w:r>
      <w:r w:rsidRPr="000F765B">
        <w:rPr>
          <w:lang w:eastAsia="fr-FR" w:bidi="fr-FR"/>
        </w:rPr>
        <w:t>tions du dinar, ces émissions de prétendus dirhems ne fournissaient en tout cas à la circulation qu’un appoint,</w:t>
      </w:r>
      <w:r>
        <w:rPr>
          <w:lang w:eastAsia="fr-FR" w:bidi="fr-FR"/>
        </w:rPr>
        <w:t xml:space="preserve"> </w:t>
      </w:r>
      <w:r>
        <w:t xml:space="preserve">[856] </w:t>
      </w:r>
      <w:r w:rsidRPr="000F765B">
        <w:rPr>
          <w:lang w:eastAsia="fr-FR" w:bidi="fr-FR"/>
        </w:rPr>
        <w:t>destiné surtout à l’étranger, Espagne et Maghreb notamment ; les négociants en empo</w:t>
      </w:r>
      <w:r w:rsidRPr="000F765B">
        <w:rPr>
          <w:lang w:eastAsia="fr-FR" w:bidi="fr-FR"/>
        </w:rPr>
        <w:t>r</w:t>
      </w:r>
      <w:r w:rsidRPr="000F765B">
        <w:rPr>
          <w:lang w:eastAsia="fr-FR" w:bidi="fr-FR"/>
        </w:rPr>
        <w:t>taient les produits, s’épargnant ainsi pour leurs paiements les risques du change. Il est bien significatif que Jayme</w:t>
      </w:r>
      <w:r>
        <w:rPr>
          <w:lang w:eastAsia="fr-FR" w:bidi="fr-FR"/>
        </w:rPr>
        <w:t> </w:t>
      </w:r>
      <w:r w:rsidRPr="000F765B">
        <w:rPr>
          <w:lang w:eastAsia="fr-FR" w:bidi="fr-FR"/>
        </w:rPr>
        <w:t>I</w:t>
      </w:r>
      <w:r w:rsidRPr="000F765B">
        <w:rPr>
          <w:vertAlign w:val="superscript"/>
          <w:lang w:eastAsia="fr-FR" w:bidi="fr-FR"/>
        </w:rPr>
        <w:t>er</w:t>
      </w:r>
      <w:r w:rsidRPr="000F765B">
        <w:rPr>
          <w:lang w:eastAsia="fr-FR" w:bidi="fr-FR"/>
        </w:rPr>
        <w:t xml:space="preserve"> de Majorque, affe</w:t>
      </w:r>
      <w:r w:rsidRPr="000F765B">
        <w:rPr>
          <w:lang w:eastAsia="fr-FR" w:bidi="fr-FR"/>
        </w:rPr>
        <w:t>r</w:t>
      </w:r>
      <w:r w:rsidRPr="000F765B">
        <w:rPr>
          <w:lang w:eastAsia="fr-FR" w:bidi="fr-FR"/>
        </w:rPr>
        <w:t>mant, en 1268, le monnayage des millares, ait cru devoir ordonner de les établir « à la loi fixée par les marchands qui les voudront acheter ». Les deniers indigènes continuaient à alimenter, pour la plus large part, la consommation intérieure : situation bien di</w:t>
      </w:r>
      <w:r w:rsidRPr="000F765B">
        <w:rPr>
          <w:lang w:eastAsia="fr-FR" w:bidi="fr-FR"/>
        </w:rPr>
        <w:t>f</w:t>
      </w:r>
      <w:r w:rsidRPr="000F765B">
        <w:rPr>
          <w:lang w:eastAsia="fr-FR" w:bidi="fr-FR"/>
        </w:rPr>
        <w:t>férente de celle de l’or, dont toute la frappe était de reflet</w:t>
      </w:r>
      <w:r>
        <w:rPr>
          <w:lang w:eastAsia="fr-FR" w:bidi="fr-FR"/>
        </w:rPr>
        <w:t> </w:t>
      </w:r>
      <w:r>
        <w:rPr>
          <w:rStyle w:val="Appelnotedebasdep"/>
        </w:rPr>
        <w:footnoteReference w:id="894"/>
      </w:r>
      <w:r w:rsidRPr="000F765B">
        <w:rPr>
          <w:lang w:eastAsia="fr-FR" w:bidi="fr-FR"/>
        </w:rPr>
        <w:t>.</w:t>
      </w:r>
    </w:p>
    <w:p w14:paraId="73134029" w14:textId="77777777" w:rsidR="00B9662D" w:rsidRPr="000F765B" w:rsidRDefault="00B9662D" w:rsidP="00B9662D">
      <w:pPr>
        <w:spacing w:before="120" w:after="120"/>
        <w:jc w:val="both"/>
      </w:pPr>
      <w:r w:rsidRPr="000F765B">
        <w:rPr>
          <w:lang w:eastAsia="fr-FR" w:bidi="fr-FR"/>
        </w:rPr>
        <w:lastRenderedPageBreak/>
        <w:t>Qu’elles fussent d’or ou d’argent, les monnaies arabes, ainsi repr</w:t>
      </w:r>
      <w:r w:rsidRPr="000F765B">
        <w:rPr>
          <w:lang w:eastAsia="fr-FR" w:bidi="fr-FR"/>
        </w:rPr>
        <w:t>o</w:t>
      </w:r>
      <w:r w:rsidRPr="000F765B">
        <w:rPr>
          <w:lang w:eastAsia="fr-FR" w:bidi="fr-FR"/>
        </w:rPr>
        <w:t>duites, portaient uniformément des citations du Coran ou des devises qui proclamaient la foi de l’Islam. Quel scandale de voir des princes chrétiens</w:t>
      </w:r>
      <w:r>
        <w:rPr>
          <w:lang w:eastAsia="fr-FR" w:bidi="fr-FR"/>
        </w:rPr>
        <w:t> — </w:t>
      </w:r>
      <w:r w:rsidRPr="000F765B">
        <w:rPr>
          <w:lang w:eastAsia="fr-FR" w:bidi="fr-FR"/>
        </w:rPr>
        <w:t>des évêques, parfois</w:t>
      </w:r>
      <w:r>
        <w:rPr>
          <w:lang w:eastAsia="fr-FR" w:bidi="fr-FR"/>
        </w:rPr>
        <w:t> — </w:t>
      </w:r>
      <w:r w:rsidRPr="000F765B">
        <w:rPr>
          <w:lang w:eastAsia="fr-FR" w:bidi="fr-FR"/>
        </w:rPr>
        <w:t xml:space="preserve">prendre la responsabilité de ces blasphèmes ! De fait, des protestations s’élevèrent, au moins au </w:t>
      </w:r>
      <w:r>
        <w:rPr>
          <w:lang w:eastAsia="fr-FR" w:bidi="fr-FR"/>
        </w:rPr>
        <w:t>XIII</w:t>
      </w:r>
      <w:r w:rsidRPr="000F765B">
        <w:rPr>
          <w:vertAlign w:val="superscript"/>
          <w:lang w:eastAsia="fr-FR" w:bidi="fr-FR"/>
        </w:rPr>
        <w:t>e</w:t>
      </w:r>
      <w:r w:rsidRPr="000F765B">
        <w:rPr>
          <w:lang w:eastAsia="fr-FR" w:bidi="fr-FR"/>
        </w:rPr>
        <w:t xml:space="preserve"> siècle</w:t>
      </w:r>
      <w:r>
        <w:rPr>
          <w:lang w:eastAsia="fr-FR" w:bidi="fr-FR"/>
        </w:rPr>
        <w:t> </w:t>
      </w:r>
      <w:r>
        <w:rPr>
          <w:rStyle w:val="Appelnotedebasdep"/>
        </w:rPr>
        <w:footnoteReference w:id="895"/>
      </w:r>
      <w:r w:rsidRPr="000F765B">
        <w:rPr>
          <w:lang w:eastAsia="fr-FR" w:bidi="fr-FR"/>
        </w:rPr>
        <w:t>. Alphonse</w:t>
      </w:r>
      <w:r>
        <w:rPr>
          <w:lang w:eastAsia="fr-FR" w:bidi="fr-FR"/>
        </w:rPr>
        <w:t> </w:t>
      </w:r>
      <w:r w:rsidRPr="000F765B">
        <w:rPr>
          <w:lang w:eastAsia="fr-FR" w:bidi="fr-FR"/>
        </w:rPr>
        <w:t>VIII, à Tolède, son petit-fils saint Louis, battant monnaie, durant la croisade, à Acre, se tirèrent d’embarras en subst</w:t>
      </w:r>
      <w:r w:rsidRPr="000F765B">
        <w:rPr>
          <w:lang w:eastAsia="fr-FR" w:bidi="fr-FR"/>
        </w:rPr>
        <w:t>i</w:t>
      </w:r>
      <w:r w:rsidRPr="000F765B">
        <w:rPr>
          <w:lang w:eastAsia="fr-FR" w:bidi="fr-FR"/>
        </w:rPr>
        <w:t>tuant</w:t>
      </w:r>
      <w:r>
        <w:rPr>
          <w:lang w:eastAsia="fr-FR" w:bidi="fr-FR"/>
        </w:rPr>
        <w:t> — </w:t>
      </w:r>
      <w:r w:rsidRPr="000F765B">
        <w:rPr>
          <w:lang w:eastAsia="fr-FR" w:bidi="fr-FR"/>
        </w:rPr>
        <w:t>mais toujours en caractères et en langue arabes</w:t>
      </w:r>
      <w:r>
        <w:rPr>
          <w:lang w:eastAsia="fr-FR" w:bidi="fr-FR"/>
        </w:rPr>
        <w:t> — </w:t>
      </w:r>
      <w:r w:rsidRPr="000F765B">
        <w:rPr>
          <w:lang w:eastAsia="fr-FR" w:bidi="fr-FR"/>
        </w:rPr>
        <w:t>aux lége</w:t>
      </w:r>
      <w:r w:rsidRPr="000F765B">
        <w:rPr>
          <w:lang w:eastAsia="fr-FR" w:bidi="fr-FR"/>
        </w:rPr>
        <w:t>n</w:t>
      </w:r>
      <w:r w:rsidRPr="000F765B">
        <w:rPr>
          <w:lang w:eastAsia="fr-FR" w:bidi="fr-FR"/>
        </w:rPr>
        <w:t>des religieuses mahométanes des maximes chrétiennes</w:t>
      </w:r>
      <w:r>
        <w:rPr>
          <w:lang w:eastAsia="fr-FR" w:bidi="fr-FR"/>
        </w:rPr>
        <w:t> </w:t>
      </w:r>
      <w:r>
        <w:rPr>
          <w:rStyle w:val="Appelnotedebasdep"/>
        </w:rPr>
        <w:footnoteReference w:id="896"/>
      </w:r>
      <w:r w:rsidRPr="000F765B">
        <w:rPr>
          <w:lang w:eastAsia="fr-FR" w:bidi="fr-FR"/>
        </w:rPr>
        <w:t>. Pendant longtemps, on avait copié, purement et simplement. Ce que de parei</w:t>
      </w:r>
      <w:r w:rsidRPr="000F765B">
        <w:rPr>
          <w:lang w:eastAsia="fr-FR" w:bidi="fr-FR"/>
        </w:rPr>
        <w:t>l</w:t>
      </w:r>
      <w:r w:rsidRPr="000F765B">
        <w:rPr>
          <w:lang w:eastAsia="fr-FR" w:bidi="fr-FR"/>
        </w:rPr>
        <w:t>les imitations avaient de choquant prouve combien elles paraissaient nécessaires. Pourquoi y tenait-on à ce point ?</w:t>
      </w:r>
    </w:p>
    <w:p w14:paraId="44916000" w14:textId="77777777" w:rsidR="00B9662D" w:rsidRPr="000F765B" w:rsidRDefault="00B9662D" w:rsidP="00B9662D">
      <w:pPr>
        <w:spacing w:before="120" w:after="120"/>
        <w:jc w:val="both"/>
      </w:pPr>
      <w:r w:rsidRPr="000F765B">
        <w:rPr>
          <w:lang w:eastAsia="fr-FR" w:bidi="fr-FR"/>
        </w:rPr>
        <w:t>Il faut, pour le comprendre, se représenter exactement le rôle des deux métaux précieux dans la circulation. Les petits et moyens pai</w:t>
      </w:r>
      <w:r w:rsidRPr="000F765B">
        <w:rPr>
          <w:lang w:eastAsia="fr-FR" w:bidi="fr-FR"/>
        </w:rPr>
        <w:t>e</w:t>
      </w:r>
      <w:r w:rsidRPr="000F765B">
        <w:rPr>
          <w:lang w:eastAsia="fr-FR" w:bidi="fr-FR"/>
        </w:rPr>
        <w:t>ments</w:t>
      </w:r>
      <w:r>
        <w:rPr>
          <w:lang w:eastAsia="fr-FR" w:bidi="fr-FR"/>
        </w:rPr>
        <w:t> — </w:t>
      </w:r>
      <w:r w:rsidRPr="000F765B">
        <w:rPr>
          <w:lang w:eastAsia="fr-FR" w:bidi="fr-FR"/>
        </w:rPr>
        <w:t>redevances, salaires, achats courants</w:t>
      </w:r>
      <w:r>
        <w:rPr>
          <w:lang w:eastAsia="fr-FR" w:bidi="fr-FR"/>
        </w:rPr>
        <w:t> — </w:t>
      </w:r>
      <w:r w:rsidRPr="000F765B">
        <w:rPr>
          <w:lang w:eastAsia="fr-FR" w:bidi="fr-FR"/>
        </w:rPr>
        <w:t>étaient de beaucoup les plus fréquents. Ceux d’entre eux qui ne se limitaient pas à la ce</w:t>
      </w:r>
      <w:r w:rsidRPr="000F765B">
        <w:rPr>
          <w:lang w:eastAsia="fr-FR" w:bidi="fr-FR"/>
        </w:rPr>
        <w:t>s</w:t>
      </w:r>
      <w:r w:rsidRPr="000F765B">
        <w:rPr>
          <w:lang w:eastAsia="fr-FR" w:bidi="fr-FR"/>
        </w:rPr>
        <w:t>sion de marchandises, se faisaient, exclusivement, en argent. La v</w:t>
      </w:r>
      <w:r w:rsidRPr="000F765B">
        <w:rPr>
          <w:lang w:eastAsia="fr-FR" w:bidi="fr-FR"/>
        </w:rPr>
        <w:t>a</w:t>
      </w:r>
      <w:r w:rsidRPr="000F765B">
        <w:rPr>
          <w:lang w:eastAsia="fr-FR" w:bidi="fr-FR"/>
        </w:rPr>
        <w:t>leur élevée de l’or le rendait impropre à ces menues transactions : à ce point qu’en 1215 on put voir Jean sans Terre, qui possédait de l’or, contraint de l’engager contre un prêt en deniers, dont il avait besoin pour satisfaire ses soudoyers</w:t>
      </w:r>
      <w:r>
        <w:rPr>
          <w:lang w:eastAsia="fr-FR" w:bidi="fr-FR"/>
        </w:rPr>
        <w:t> </w:t>
      </w:r>
      <w:r>
        <w:rPr>
          <w:rStyle w:val="Appelnotedebasdep"/>
        </w:rPr>
        <w:footnoteReference w:id="897"/>
      </w:r>
      <w:r w:rsidRPr="000F765B">
        <w:rPr>
          <w:lang w:eastAsia="fr-FR" w:bidi="fr-FR"/>
        </w:rPr>
        <w:t>. Il existait cependant des r</w:t>
      </w:r>
      <w:r>
        <w:rPr>
          <w:lang w:eastAsia="fr-FR" w:bidi="fr-FR"/>
        </w:rPr>
        <w:t xml:space="preserve">èglements </w:t>
      </w:r>
      <w:r>
        <w:rPr>
          <w:lang w:eastAsia="fr-FR" w:bidi="fr-FR"/>
        </w:rPr>
        <w:lastRenderedPageBreak/>
        <w:t>qui, portant à l’ordi</w:t>
      </w:r>
      <w:r w:rsidRPr="000F765B">
        <w:rPr>
          <w:lang w:eastAsia="fr-FR" w:bidi="fr-FR"/>
        </w:rPr>
        <w:t>naire</w:t>
      </w:r>
      <w:r>
        <w:t xml:space="preserve"> [857]</w:t>
      </w:r>
      <w:r w:rsidRPr="000F765B">
        <w:rPr>
          <w:lang w:eastAsia="fr-FR" w:bidi="fr-FR"/>
        </w:rPr>
        <w:t xml:space="preserve"> sur des sommes plus fortes, avaient en même temps pour trait propre de mettre en contact des marchés relat</w:t>
      </w:r>
      <w:r w:rsidRPr="000F765B">
        <w:rPr>
          <w:lang w:eastAsia="fr-FR" w:bidi="fr-FR"/>
        </w:rPr>
        <w:t>i</w:t>
      </w:r>
      <w:r w:rsidRPr="000F765B">
        <w:rPr>
          <w:lang w:eastAsia="fr-FR" w:bidi="fr-FR"/>
        </w:rPr>
        <w:t>vement éloignés : soit que des personnes étrangères à la chrétienté l</w:t>
      </w:r>
      <w:r w:rsidRPr="000F765B">
        <w:rPr>
          <w:lang w:eastAsia="fr-FR" w:bidi="fr-FR"/>
        </w:rPr>
        <w:t>a</w:t>
      </w:r>
      <w:r w:rsidRPr="000F765B">
        <w:rPr>
          <w:lang w:eastAsia="fr-FR" w:bidi="fr-FR"/>
        </w:rPr>
        <w:t>tine y fussent intére</w:t>
      </w:r>
      <w:r w:rsidRPr="000F765B">
        <w:rPr>
          <w:lang w:eastAsia="fr-FR" w:bidi="fr-FR"/>
        </w:rPr>
        <w:t>s</w:t>
      </w:r>
      <w:r w:rsidRPr="000F765B">
        <w:rPr>
          <w:lang w:eastAsia="fr-FR" w:bidi="fr-FR"/>
        </w:rPr>
        <w:t>sées ; soit qu’ils eussent leur origine, à l’intérieur même du monde occidental, dans les relations qui se nouaient entre les différe</w:t>
      </w:r>
      <w:r w:rsidRPr="000F765B">
        <w:rPr>
          <w:lang w:eastAsia="fr-FR" w:bidi="fr-FR"/>
        </w:rPr>
        <w:t>n</w:t>
      </w:r>
      <w:r w:rsidRPr="000F765B">
        <w:rPr>
          <w:lang w:eastAsia="fr-FR" w:bidi="fr-FR"/>
        </w:rPr>
        <w:t>tes aires, politiques ou économiques, dont le morcellement social, c</w:t>
      </w:r>
      <w:r w:rsidRPr="000F765B">
        <w:rPr>
          <w:lang w:eastAsia="fr-FR" w:bidi="fr-FR"/>
        </w:rPr>
        <w:t>a</w:t>
      </w:r>
      <w:r w:rsidRPr="000F765B">
        <w:rPr>
          <w:lang w:eastAsia="fr-FR" w:bidi="fr-FR"/>
        </w:rPr>
        <w:t>ractéristique de l’époque, multipliait à l’infini les diversités. Là enc</w:t>
      </w:r>
      <w:r w:rsidRPr="000F765B">
        <w:rPr>
          <w:lang w:eastAsia="fr-FR" w:bidi="fr-FR"/>
        </w:rPr>
        <w:t>o</w:t>
      </w:r>
      <w:r w:rsidRPr="000F765B">
        <w:rPr>
          <w:lang w:eastAsia="fr-FR" w:bidi="fr-FR"/>
        </w:rPr>
        <w:t>re, on se trouvait parfois amené, vu la pénurie d’or, à user d’argent ; mais ce n’était guère que faute de mieux. L’instrument de prédile</w:t>
      </w:r>
      <w:r w:rsidRPr="000F765B">
        <w:rPr>
          <w:lang w:eastAsia="fr-FR" w:bidi="fr-FR"/>
        </w:rPr>
        <w:t>c</w:t>
      </w:r>
      <w:r w:rsidRPr="000F765B">
        <w:rPr>
          <w:lang w:eastAsia="fr-FR" w:bidi="fr-FR"/>
        </w:rPr>
        <w:t>tion, cette fois, était l’or.</w:t>
      </w:r>
    </w:p>
    <w:p w14:paraId="181CCAA0" w14:textId="77777777" w:rsidR="00B9662D" w:rsidRPr="000F765B" w:rsidRDefault="00B9662D" w:rsidP="00B9662D">
      <w:pPr>
        <w:spacing w:before="120" w:after="120"/>
        <w:jc w:val="both"/>
      </w:pPr>
      <w:r w:rsidRPr="000F765B">
        <w:rPr>
          <w:lang w:eastAsia="fr-FR" w:bidi="fr-FR"/>
        </w:rPr>
        <w:t xml:space="preserve">Nous ignorons malheureusement à peu près tout, jusqu’au </w:t>
      </w:r>
      <w:r>
        <w:rPr>
          <w:lang w:eastAsia="fr-FR" w:bidi="fr-FR"/>
        </w:rPr>
        <w:t>XIII</w:t>
      </w:r>
      <w:r w:rsidRPr="000F765B">
        <w:rPr>
          <w:vertAlign w:val="superscript"/>
          <w:lang w:eastAsia="fr-FR" w:bidi="fr-FR"/>
        </w:rPr>
        <w:t>e</w:t>
      </w:r>
      <w:r>
        <w:rPr>
          <w:lang w:eastAsia="fr-FR" w:bidi="fr-FR"/>
        </w:rPr>
        <w:t> </w:t>
      </w:r>
      <w:r w:rsidRPr="000F765B">
        <w:rPr>
          <w:lang w:eastAsia="fr-FR" w:bidi="fr-FR"/>
        </w:rPr>
        <w:t>siècle, de la comptabilité des marchands. Quelques faits cepe</w:t>
      </w:r>
      <w:r w:rsidRPr="000F765B">
        <w:rPr>
          <w:lang w:eastAsia="fr-FR" w:bidi="fr-FR"/>
        </w:rPr>
        <w:t>n</w:t>
      </w:r>
      <w:r w:rsidRPr="000F765B">
        <w:rPr>
          <w:lang w:eastAsia="fr-FR" w:bidi="fr-FR"/>
        </w:rPr>
        <w:t>dant ont la valeur de symptômes. Déjà, les dernières frappes d’or, dans la Gaule carolingienne, avaient eu, semble-t-il, pour unique objet les échanges avec l’étranger. Témoin, l’emplacement des ateliers : Uzès pour les pays arabes ; Dorstadt</w:t>
      </w:r>
      <w:r>
        <w:rPr>
          <w:lang w:eastAsia="fr-FR" w:bidi="fr-FR"/>
        </w:rPr>
        <w:t> — </w:t>
      </w:r>
      <w:r w:rsidRPr="000F765B">
        <w:rPr>
          <w:lang w:eastAsia="fr-FR" w:bidi="fr-FR"/>
        </w:rPr>
        <w:t>en ce temps le grand port du delta rhénan</w:t>
      </w:r>
      <w:r>
        <w:rPr>
          <w:lang w:eastAsia="fr-FR" w:bidi="fr-FR"/>
        </w:rPr>
        <w:t> — </w:t>
      </w:r>
      <w:r w:rsidRPr="000F765B">
        <w:rPr>
          <w:lang w:eastAsia="fr-FR" w:bidi="fr-FR"/>
        </w:rPr>
        <w:t>pour le trafic septentrional. Des quantités notables d’or, soit monnayé dans ce dernier centre, soit sous d’autres formes, furent longtemps détenues par les Frisons, alors les grands rouliers des mers et des fleuves du Nord</w:t>
      </w:r>
      <w:r>
        <w:rPr>
          <w:lang w:eastAsia="fr-FR" w:bidi="fr-FR"/>
        </w:rPr>
        <w:t> </w:t>
      </w:r>
      <w:r>
        <w:rPr>
          <w:rStyle w:val="Appelnotedebasdep"/>
        </w:rPr>
        <w:footnoteReference w:id="898"/>
      </w:r>
      <w:r w:rsidRPr="000F765B">
        <w:rPr>
          <w:lang w:eastAsia="fr-FR" w:bidi="fr-FR"/>
        </w:rPr>
        <w:t xml:space="preserve">. </w:t>
      </w:r>
      <w:r>
        <w:rPr>
          <w:lang w:eastAsia="fr-FR" w:bidi="fr-FR"/>
        </w:rPr>
        <w:t>À</w:t>
      </w:r>
      <w:r w:rsidRPr="000F765B">
        <w:rPr>
          <w:lang w:eastAsia="fr-FR" w:bidi="fr-FR"/>
        </w:rPr>
        <w:t xml:space="preserve"> Cologne, au </w:t>
      </w:r>
      <w:r>
        <w:rPr>
          <w:lang w:eastAsia="fr-FR" w:bidi="fr-FR"/>
        </w:rPr>
        <w:t>XII</w:t>
      </w:r>
      <w:r w:rsidRPr="000F765B">
        <w:rPr>
          <w:vertAlign w:val="superscript"/>
          <w:lang w:eastAsia="fr-FR" w:bidi="fr-FR"/>
        </w:rPr>
        <w:t>e</w:t>
      </w:r>
      <w:r w:rsidRPr="000F765B">
        <w:rPr>
          <w:lang w:eastAsia="fr-FR" w:bidi="fr-FR"/>
        </w:rPr>
        <w:t xml:space="preserve"> siècle, certains i</w:t>
      </w:r>
      <w:r w:rsidRPr="000F765B">
        <w:rPr>
          <w:lang w:eastAsia="fr-FR" w:bidi="fr-FR"/>
        </w:rPr>
        <w:t>m</w:t>
      </w:r>
      <w:r w:rsidRPr="000F765B">
        <w:rPr>
          <w:lang w:eastAsia="fr-FR" w:bidi="fr-FR"/>
        </w:rPr>
        <w:t>meubles, soumis, selon la coutume générale, à un droit d’investiture, le payaient, par exception, en or ; le versement se faisait au poids, mais la désignation même de l’unité de poids choisie</w:t>
      </w:r>
      <w:r>
        <w:rPr>
          <w:lang w:eastAsia="fr-FR" w:bidi="fr-FR"/>
        </w:rPr>
        <w:t> — </w:t>
      </w:r>
      <w:r w:rsidRPr="000F765B">
        <w:rPr>
          <w:lang w:eastAsia="fr-FR" w:bidi="fr-FR"/>
        </w:rPr>
        <w:t>un mancus</w:t>
      </w:r>
      <w:r>
        <w:rPr>
          <w:lang w:eastAsia="fr-FR" w:bidi="fr-FR"/>
        </w:rPr>
        <w:t> — </w:t>
      </w:r>
      <w:r w:rsidRPr="000F765B">
        <w:rPr>
          <w:lang w:eastAsia="fr-FR" w:bidi="fr-FR"/>
        </w:rPr>
        <w:t>nous reporte évidemment au temps, à ce moment déjà lointain, où cette pièce de monnaie circulait couramment en Europe : situés au bord du Rhin, en plein quartier du négoce, comprenant, à côté de ma</w:t>
      </w:r>
      <w:r w:rsidRPr="000F765B">
        <w:rPr>
          <w:lang w:eastAsia="fr-FR" w:bidi="fr-FR"/>
        </w:rPr>
        <w:t>i</w:t>
      </w:r>
      <w:r w:rsidRPr="000F765B">
        <w:rPr>
          <w:lang w:eastAsia="fr-FR" w:bidi="fr-FR"/>
        </w:rPr>
        <w:t>sons, des magasins et appontements, les biens ainsi chargés étaient certainement tous aux mains du patriciat marchand</w:t>
      </w:r>
      <w:r>
        <w:rPr>
          <w:lang w:eastAsia="fr-FR" w:bidi="fr-FR"/>
        </w:rPr>
        <w:t> </w:t>
      </w:r>
      <w:r>
        <w:rPr>
          <w:rStyle w:val="Appelnotedebasdep"/>
        </w:rPr>
        <w:footnoteReference w:id="899"/>
      </w:r>
      <w:r w:rsidRPr="000F765B">
        <w:rPr>
          <w:lang w:eastAsia="fr-FR" w:bidi="fr-FR"/>
        </w:rPr>
        <w:t xml:space="preserve">. Il ne </w:t>
      </w:r>
      <w:r w:rsidRPr="000F765B">
        <w:rPr>
          <w:lang w:eastAsia="fr-FR" w:bidi="fr-FR"/>
        </w:rPr>
        <w:lastRenderedPageBreak/>
        <w:t>paraissait naturel de réclamer aux gens de cette classe de l’or, à titre de redeva</w:t>
      </w:r>
      <w:r w:rsidRPr="000F765B">
        <w:rPr>
          <w:lang w:eastAsia="fr-FR" w:bidi="fr-FR"/>
        </w:rPr>
        <w:t>n</w:t>
      </w:r>
      <w:r w:rsidRPr="000F765B">
        <w:rPr>
          <w:lang w:eastAsia="fr-FR" w:bidi="fr-FR"/>
        </w:rPr>
        <w:t>ce foncière, que parce qu’ils en usaient, couramment, dans leurs tra</w:t>
      </w:r>
      <w:r w:rsidRPr="000F765B">
        <w:rPr>
          <w:lang w:eastAsia="fr-FR" w:bidi="fr-FR"/>
        </w:rPr>
        <w:t>n</w:t>
      </w:r>
      <w:r w:rsidRPr="000F765B">
        <w:rPr>
          <w:lang w:eastAsia="fr-FR" w:bidi="fr-FR"/>
        </w:rPr>
        <w:t>sactions. Mal renseignés sur les paiements du commerce, nous le sommes beaucoup mieux sur ceux</w:t>
      </w:r>
      <w:r>
        <w:rPr>
          <w:lang w:eastAsia="fr-FR" w:bidi="fr-FR"/>
        </w:rPr>
        <w:t> — </w:t>
      </w:r>
      <w:r w:rsidRPr="000F765B">
        <w:rPr>
          <w:lang w:eastAsia="fr-FR" w:bidi="fr-FR"/>
        </w:rPr>
        <w:t>emprunts, prix de vente, rentes diverses</w:t>
      </w:r>
      <w:r>
        <w:rPr>
          <w:lang w:eastAsia="fr-FR" w:bidi="fr-FR"/>
        </w:rPr>
        <w:t> — </w:t>
      </w:r>
      <w:r w:rsidRPr="000F765B">
        <w:rPr>
          <w:lang w:eastAsia="fr-FR" w:bidi="fr-FR"/>
        </w:rPr>
        <w:t>dont les membres des milieux seigneuriaux étaient les b</w:t>
      </w:r>
      <w:r w:rsidRPr="000F765B">
        <w:rPr>
          <w:lang w:eastAsia="fr-FR" w:bidi="fr-FR"/>
        </w:rPr>
        <w:t>é</w:t>
      </w:r>
      <w:r w:rsidRPr="000F765B">
        <w:rPr>
          <w:lang w:eastAsia="fr-FR" w:bidi="fr-FR"/>
        </w:rPr>
        <w:t>néficiaires. Visiblement, ces grands personnages recherchaient l’or. C’est que leurs intérêts dépassaient l’horizon étroitement local. De même, institution véritablement européenne, la papauté s’efforça to</w:t>
      </w:r>
      <w:r w:rsidRPr="000F765B">
        <w:rPr>
          <w:lang w:eastAsia="fr-FR" w:bidi="fr-FR"/>
        </w:rPr>
        <w:t>u</w:t>
      </w:r>
      <w:r w:rsidRPr="000F765B">
        <w:rPr>
          <w:lang w:eastAsia="fr-FR" w:bidi="fr-FR"/>
        </w:rPr>
        <w:t>jours de recueillir en or les cens qui lui étaient dus.</w:t>
      </w:r>
    </w:p>
    <w:p w14:paraId="239621CF" w14:textId="77777777" w:rsidR="00B9662D" w:rsidRPr="000F765B" w:rsidRDefault="00B9662D" w:rsidP="00B9662D">
      <w:pPr>
        <w:spacing w:before="120" w:after="120"/>
        <w:jc w:val="both"/>
      </w:pPr>
      <w:r w:rsidRPr="000F765B">
        <w:rPr>
          <w:lang w:eastAsia="fr-FR" w:bidi="fr-FR"/>
        </w:rPr>
        <w:t>Aussi bien, des raisons diverses, mais toutes également impérie</w:t>
      </w:r>
      <w:r w:rsidRPr="000F765B">
        <w:rPr>
          <w:lang w:eastAsia="fr-FR" w:bidi="fr-FR"/>
        </w:rPr>
        <w:t>u</w:t>
      </w:r>
      <w:r w:rsidRPr="000F765B">
        <w:rPr>
          <w:lang w:eastAsia="fr-FR" w:bidi="fr-FR"/>
        </w:rPr>
        <w:t>ses, assuraient au plus précieux des deux métaux cette fonction d’instrument supra-régional,</w:t>
      </w:r>
      <w:r>
        <w:rPr>
          <w:lang w:eastAsia="fr-FR" w:bidi="fr-FR"/>
        </w:rPr>
        <w:t> — </w:t>
      </w:r>
      <w:r w:rsidRPr="000F765B">
        <w:rPr>
          <w:lang w:eastAsia="fr-FR" w:bidi="fr-FR"/>
        </w:rPr>
        <w:t>disons, si l’on veut, mais sans attr</w:t>
      </w:r>
      <w:r w:rsidRPr="000F765B">
        <w:rPr>
          <w:lang w:eastAsia="fr-FR" w:bidi="fr-FR"/>
        </w:rPr>
        <w:t>i</w:t>
      </w:r>
      <w:r w:rsidRPr="000F765B">
        <w:rPr>
          <w:lang w:eastAsia="fr-FR" w:bidi="fr-FR"/>
        </w:rPr>
        <w:t>buer au mot de nation un sens trop précis, international. Non seul</w:t>
      </w:r>
      <w:r w:rsidRPr="000F765B">
        <w:rPr>
          <w:lang w:eastAsia="fr-FR" w:bidi="fr-FR"/>
        </w:rPr>
        <w:t>e</w:t>
      </w:r>
      <w:r w:rsidRPr="000F765B">
        <w:rPr>
          <w:lang w:eastAsia="fr-FR" w:bidi="fr-FR"/>
        </w:rPr>
        <w:t>ment une vieille tradition, dont les origines plongeaient dans ces temps obscurs où la monnaie</w:t>
      </w:r>
      <w:r>
        <w:rPr>
          <w:lang w:eastAsia="fr-FR" w:bidi="fr-FR"/>
        </w:rPr>
        <w:t xml:space="preserve"> </w:t>
      </w:r>
      <w:r>
        <w:t xml:space="preserve">[858] </w:t>
      </w:r>
      <w:r w:rsidRPr="000F765B">
        <w:rPr>
          <w:lang w:eastAsia="fr-FR" w:bidi="fr-FR"/>
        </w:rPr>
        <w:t>avait été affectée d’une puissance quasi religieuse, conférait à l’or une sorte de suprématie ; non seul</w:t>
      </w:r>
      <w:r w:rsidRPr="000F765B">
        <w:rPr>
          <w:lang w:eastAsia="fr-FR" w:bidi="fr-FR"/>
        </w:rPr>
        <w:t>e</w:t>
      </w:r>
      <w:r w:rsidRPr="000F765B">
        <w:rPr>
          <w:lang w:eastAsia="fr-FR" w:bidi="fr-FR"/>
        </w:rPr>
        <w:t>ment les deniers, de trop faible poids, et l’argent, en lui-même de v</w:t>
      </w:r>
      <w:r w:rsidRPr="000F765B">
        <w:rPr>
          <w:lang w:eastAsia="fr-FR" w:bidi="fr-FR"/>
        </w:rPr>
        <w:t>a</w:t>
      </w:r>
      <w:r w:rsidRPr="000F765B">
        <w:rPr>
          <w:lang w:eastAsia="fr-FR" w:bidi="fr-FR"/>
        </w:rPr>
        <w:t>leur relativement médiocre, eu</w:t>
      </w:r>
      <w:r w:rsidRPr="000F765B">
        <w:rPr>
          <w:lang w:eastAsia="fr-FR" w:bidi="fr-FR"/>
        </w:rPr>
        <w:t>s</w:t>
      </w:r>
      <w:r w:rsidRPr="000F765B">
        <w:rPr>
          <w:lang w:eastAsia="fr-FR" w:bidi="fr-FR"/>
        </w:rPr>
        <w:t>sent été, pour les gros paiements et les transports à longue distance, une matière de maniement bien inco</w:t>
      </w:r>
      <w:r w:rsidRPr="000F765B">
        <w:rPr>
          <w:lang w:eastAsia="fr-FR" w:bidi="fr-FR"/>
        </w:rPr>
        <w:t>m</w:t>
      </w:r>
      <w:r w:rsidRPr="000F765B">
        <w:rPr>
          <w:lang w:eastAsia="fr-FR" w:bidi="fr-FR"/>
        </w:rPr>
        <w:t>mode. Mais des causes d’ordre économique, nées du milieu même, interdisaient encore à l’argent tout rôle trop étendu. La grande quant</w:t>
      </w:r>
      <w:r w:rsidRPr="000F765B">
        <w:rPr>
          <w:lang w:eastAsia="fr-FR" w:bidi="fr-FR"/>
        </w:rPr>
        <w:t>i</w:t>
      </w:r>
      <w:r w:rsidRPr="000F765B">
        <w:rPr>
          <w:lang w:eastAsia="fr-FR" w:bidi="fr-FR"/>
        </w:rPr>
        <w:t>té des centres de production et leur dispersion, jointes aux conditions générales de la société, émine</w:t>
      </w:r>
      <w:r w:rsidRPr="000F765B">
        <w:rPr>
          <w:lang w:eastAsia="fr-FR" w:bidi="fr-FR"/>
        </w:rPr>
        <w:t>m</w:t>
      </w:r>
      <w:r w:rsidRPr="000F765B">
        <w:rPr>
          <w:lang w:eastAsia="fr-FR" w:bidi="fr-FR"/>
        </w:rPr>
        <w:t>ment défavorables à l’établissement d’un marché unique, le condamnaient, en effet, à de perpétuelles v</w:t>
      </w:r>
      <w:r w:rsidRPr="000F765B">
        <w:rPr>
          <w:lang w:eastAsia="fr-FR" w:bidi="fr-FR"/>
        </w:rPr>
        <w:t>a</w:t>
      </w:r>
      <w:r w:rsidRPr="000F765B">
        <w:rPr>
          <w:lang w:eastAsia="fr-FR" w:bidi="fr-FR"/>
        </w:rPr>
        <w:t xml:space="preserve">riations de valeur. Les instruments d’échange chers au grand trafic ont toujours été au Moyen </w:t>
      </w:r>
      <w:r>
        <w:rPr>
          <w:lang w:eastAsia="fr-FR" w:bidi="fr-FR"/>
        </w:rPr>
        <w:t>Âg</w:t>
      </w:r>
      <w:r w:rsidRPr="000F765B">
        <w:rPr>
          <w:lang w:eastAsia="fr-FR" w:bidi="fr-FR"/>
        </w:rPr>
        <w:t>e des marchandises à la fois rares, de prov</w:t>
      </w:r>
      <w:r w:rsidRPr="000F765B">
        <w:rPr>
          <w:lang w:eastAsia="fr-FR" w:bidi="fr-FR"/>
        </w:rPr>
        <w:t>e</w:t>
      </w:r>
      <w:r w:rsidRPr="000F765B">
        <w:rPr>
          <w:lang w:eastAsia="fr-FR" w:bidi="fr-FR"/>
        </w:rPr>
        <w:t>nance limitée et de débit unive</w:t>
      </w:r>
      <w:r w:rsidRPr="000F765B">
        <w:rPr>
          <w:lang w:eastAsia="fr-FR" w:bidi="fr-FR"/>
        </w:rPr>
        <w:t>r</w:t>
      </w:r>
      <w:r w:rsidRPr="000F765B">
        <w:rPr>
          <w:lang w:eastAsia="fr-FR" w:bidi="fr-FR"/>
        </w:rPr>
        <w:t>sel : le poivre, qui longtemps tint la place d’une véritable monnaie, servant aux prix et aux emprunts ; l’or surtout.</w:t>
      </w:r>
    </w:p>
    <w:p w14:paraId="519BD931" w14:textId="77777777" w:rsidR="00B9662D" w:rsidRPr="000F765B" w:rsidRDefault="00B9662D" w:rsidP="00B9662D">
      <w:pPr>
        <w:spacing w:before="120" w:after="120"/>
        <w:jc w:val="both"/>
      </w:pPr>
      <w:r w:rsidRPr="000F765B">
        <w:rPr>
          <w:lang w:eastAsia="fr-FR" w:bidi="fr-FR"/>
        </w:rPr>
        <w:t>Il pouvait, cet or recherché, circuler sous forme soit de barres ou de poudre, soit de monnaies. Dans ce dernier cas, il lui fallait une e</w:t>
      </w:r>
      <w:r w:rsidRPr="000F765B">
        <w:rPr>
          <w:lang w:eastAsia="fr-FR" w:bidi="fr-FR"/>
        </w:rPr>
        <w:t>m</w:t>
      </w:r>
      <w:r w:rsidRPr="000F765B">
        <w:rPr>
          <w:lang w:eastAsia="fr-FR" w:bidi="fr-FR"/>
        </w:rPr>
        <w:t>preinte qui fût capable de rassurer, par monts et par vaux, les ma</w:t>
      </w:r>
      <w:r w:rsidRPr="000F765B">
        <w:rPr>
          <w:lang w:eastAsia="fr-FR" w:bidi="fr-FR"/>
        </w:rPr>
        <w:t>r</w:t>
      </w:r>
      <w:r w:rsidRPr="000F765B">
        <w:rPr>
          <w:lang w:eastAsia="fr-FR" w:bidi="fr-FR"/>
        </w:rPr>
        <w:t>chands de races diverses. La foule des principicules qui, en Occident, exerçaient le droit de frappe, les rois eux-mêmes, souvent si faibles et toujours si pauvres, étaient impuissants à la donner. On ne se fiait qu’aux hyperpères impériaux, admirablement stables</w:t>
      </w:r>
      <w:r>
        <w:rPr>
          <w:lang w:eastAsia="fr-FR" w:bidi="fr-FR"/>
        </w:rPr>
        <w:t> — </w:t>
      </w:r>
      <w:r w:rsidRPr="000F765B">
        <w:rPr>
          <w:lang w:eastAsia="fr-FR" w:bidi="fr-FR"/>
        </w:rPr>
        <w:t>« le comme</w:t>
      </w:r>
      <w:r w:rsidRPr="000F765B">
        <w:rPr>
          <w:lang w:eastAsia="fr-FR" w:bidi="fr-FR"/>
        </w:rPr>
        <w:t>r</w:t>
      </w:r>
      <w:r w:rsidRPr="000F765B">
        <w:rPr>
          <w:lang w:eastAsia="fr-FR" w:bidi="fr-FR"/>
        </w:rPr>
        <w:t xml:space="preserve">ce », écrivait au </w:t>
      </w:r>
      <w:r w:rsidRPr="00DA05EA">
        <w:rPr>
          <w:caps/>
          <w:lang w:eastAsia="fr-FR" w:bidi="fr-FR"/>
        </w:rPr>
        <w:t>vi</w:t>
      </w:r>
      <w:r w:rsidRPr="000F765B">
        <w:rPr>
          <w:vertAlign w:val="superscript"/>
          <w:lang w:eastAsia="fr-FR" w:bidi="fr-FR"/>
        </w:rPr>
        <w:t>e</w:t>
      </w:r>
      <w:r w:rsidRPr="000F765B">
        <w:rPr>
          <w:lang w:eastAsia="fr-FR" w:bidi="fr-FR"/>
        </w:rPr>
        <w:t xml:space="preserve"> siècle Cosmas Indicopleustès, « chez tous les peuples s’effectue par le moyen du </w:t>
      </w:r>
      <w:r>
        <w:rPr>
          <w:lang w:eastAsia="fr-FR" w:bidi="fr-FR"/>
        </w:rPr>
        <w:t>νόμισμα</w:t>
      </w:r>
      <w:r w:rsidRPr="000F765B">
        <w:rPr>
          <w:lang w:eastAsia="fr-FR" w:bidi="fr-FR"/>
        </w:rPr>
        <w:t xml:space="preserve"> et c’est d’un bout à </w:t>
      </w:r>
      <w:r w:rsidRPr="000F765B">
        <w:rPr>
          <w:lang w:eastAsia="fr-FR" w:bidi="fr-FR"/>
        </w:rPr>
        <w:lastRenderedPageBreak/>
        <w:t>l’autre de la terre qu’on le voit en usage</w:t>
      </w:r>
      <w:r>
        <w:rPr>
          <w:lang w:eastAsia="fr-FR" w:bidi="fr-FR"/>
        </w:rPr>
        <w:t> </w:t>
      </w:r>
      <w:r>
        <w:rPr>
          <w:rStyle w:val="Appelnotedebasdep"/>
        </w:rPr>
        <w:footnoteReference w:id="900"/>
      </w:r>
      <w:r w:rsidRPr="000F765B">
        <w:rPr>
          <w:lang w:eastAsia="fr-FR" w:bidi="fr-FR"/>
        </w:rPr>
        <w:t> » ;</w:t>
      </w:r>
      <w:r>
        <w:rPr>
          <w:lang w:eastAsia="fr-FR" w:bidi="fr-FR"/>
        </w:rPr>
        <w:t> — </w:t>
      </w:r>
      <w:r w:rsidRPr="000F765B">
        <w:rPr>
          <w:lang w:eastAsia="fr-FR" w:bidi="fr-FR"/>
        </w:rPr>
        <w:t>ou bien on s’en r</w:t>
      </w:r>
      <w:r w:rsidRPr="000F765B">
        <w:rPr>
          <w:lang w:eastAsia="fr-FR" w:bidi="fr-FR"/>
        </w:rPr>
        <w:t>e</w:t>
      </w:r>
      <w:r w:rsidRPr="000F765B">
        <w:rPr>
          <w:lang w:eastAsia="fr-FR" w:bidi="fr-FR"/>
        </w:rPr>
        <w:t>mettait aux dinars des opulentes monarchies arabes. Les princes c</w:t>
      </w:r>
      <w:r w:rsidRPr="000F765B">
        <w:rPr>
          <w:lang w:eastAsia="fr-FR" w:bidi="fr-FR"/>
        </w:rPr>
        <w:t>a</w:t>
      </w:r>
      <w:r w:rsidRPr="000F765B">
        <w:rPr>
          <w:lang w:eastAsia="fr-FR" w:bidi="fr-FR"/>
        </w:rPr>
        <w:t>tholiques voulaient-ils participer aux bénéfices de ce monnayage ? le plagiat était leur seule ressource. Sans doute, les copies ne trompaient pas toujours ; parfois même, elles n’étaient pas faites pour tromper ; mais elles prenaient place dans la série monétaire à laquelle le négoce était accoutumé. Toute monnaie est fondée sur la confiance : partant, dans une large mesure, sur l’habitude. Aussi bien, l’histoire du denier d’argent lui-même, puis du gros, suffirait à révéler la nécessité, co</w:t>
      </w:r>
      <w:r w:rsidRPr="000F765B">
        <w:rPr>
          <w:lang w:eastAsia="fr-FR" w:bidi="fr-FR"/>
        </w:rPr>
        <w:t>m</w:t>
      </w:r>
      <w:r w:rsidRPr="000F765B">
        <w:rPr>
          <w:lang w:eastAsia="fr-FR" w:bidi="fr-FR"/>
        </w:rPr>
        <w:t>me le motif, de ces imitations ; lorsqu’un atelier médiéval tenait à donner à ses émissions un large cours, l’usage constant était de pre</w:t>
      </w:r>
      <w:r w:rsidRPr="000F765B">
        <w:rPr>
          <w:lang w:eastAsia="fr-FR" w:bidi="fr-FR"/>
        </w:rPr>
        <w:t>n</w:t>
      </w:r>
      <w:r w:rsidRPr="000F765B">
        <w:rPr>
          <w:lang w:eastAsia="fr-FR" w:bidi="fr-FR"/>
        </w:rPr>
        <w:t>dre modèle sur une pièce déjà répandue, ou du moins familière à la région avec laquelle on voulait trafiquer. La cessation, en Occident, de la frappe de l’or, sur type national, ne fut pas, à proprement parler, l’effet d’une balance commerciale défavorable : si sensible que fût sans doute le déficit, il n’avait jamais été tel qu’il aboutît à une fuite, sans rémission, du métal. Elle s’explique par un ensemble complexe de causes, d’ordre à la fois économique et, plus particulièrement, s</w:t>
      </w:r>
      <w:r w:rsidRPr="000F765B">
        <w:rPr>
          <w:lang w:eastAsia="fr-FR" w:bidi="fr-FR"/>
        </w:rPr>
        <w:t>o</w:t>
      </w:r>
      <w:r w:rsidRPr="000F765B">
        <w:rPr>
          <w:lang w:eastAsia="fr-FR" w:bidi="fr-FR"/>
        </w:rPr>
        <w:t>cial : le ralentissement des échanges intérieurs, qui confinait l’or, de valeur trop considérable pour les paiements courants, dans le rôle d’in</w:t>
      </w:r>
      <w:r>
        <w:rPr>
          <w:lang w:eastAsia="fr-FR" w:bidi="fr-FR"/>
        </w:rPr>
        <w:t>strument exceptionnel et supra-</w:t>
      </w:r>
      <w:r w:rsidRPr="000F765B">
        <w:rPr>
          <w:lang w:eastAsia="fr-FR" w:bidi="fr-FR"/>
        </w:rPr>
        <w:t>régional ; la pauvreté, le morce</w:t>
      </w:r>
      <w:r w:rsidRPr="000F765B">
        <w:rPr>
          <w:lang w:eastAsia="fr-FR" w:bidi="fr-FR"/>
        </w:rPr>
        <w:t>l</w:t>
      </w:r>
      <w:r w:rsidRPr="000F765B">
        <w:rPr>
          <w:lang w:eastAsia="fr-FR" w:bidi="fr-FR"/>
        </w:rPr>
        <w:t>lement et la mauvaise administration des États émetteurs, dont les frappes manquaient à inspirer la sécurité universelle, indispensable à une monnaie d’aussi ample rayonnement. Elle traduisait un état de l’économie mondiale qu’aujourd’hui, après tant de siècles où l’équilibre des plateaux s’est renversé, nous avons peine à nous</w:t>
      </w:r>
      <w:r>
        <w:rPr>
          <w:lang w:eastAsia="fr-FR" w:bidi="fr-FR"/>
        </w:rPr>
        <w:t xml:space="preserve"> </w:t>
      </w:r>
      <w:r>
        <w:t>[</w:t>
      </w:r>
      <w:r w:rsidRPr="000F765B">
        <w:rPr>
          <w:lang w:eastAsia="fr-FR" w:bidi="fr-FR"/>
        </w:rPr>
        <w:t>859</w:t>
      </w:r>
      <w:r>
        <w:rPr>
          <w:lang w:eastAsia="fr-FR" w:bidi="fr-FR"/>
        </w:rPr>
        <w:t xml:space="preserve">] </w:t>
      </w:r>
      <w:r w:rsidRPr="000F765B">
        <w:rPr>
          <w:lang w:eastAsia="fr-FR" w:bidi="fr-FR"/>
        </w:rPr>
        <w:t>représenter : la domination économique exercée sur les sociétés lat</w:t>
      </w:r>
      <w:r w:rsidRPr="000F765B">
        <w:rPr>
          <w:lang w:eastAsia="fr-FR" w:bidi="fr-FR"/>
        </w:rPr>
        <w:t>i</w:t>
      </w:r>
      <w:r w:rsidRPr="000F765B">
        <w:rPr>
          <w:lang w:eastAsia="fr-FR" w:bidi="fr-FR"/>
        </w:rPr>
        <w:t>nes ou germaniques par leurs voisines plus riches de Byzance ou de l’Islam méditerranéen,</w:t>
      </w:r>
      <w:r>
        <w:rPr>
          <w:lang w:eastAsia="fr-FR" w:bidi="fr-FR"/>
        </w:rPr>
        <w:t> — </w:t>
      </w:r>
      <w:r w:rsidRPr="000F765B">
        <w:rPr>
          <w:lang w:eastAsia="fr-FR" w:bidi="fr-FR"/>
        </w:rPr>
        <w:t>comme si, de nos jours, la crise monétaire de l’Europe ayant été poussée à l’extrême, et les règlements par traites étant supposés disparus, on n’y avait plus, de place à place, payé qu’à coup de dollars, authentiques ou contrefaits.</w:t>
      </w:r>
    </w:p>
    <w:p w14:paraId="62E80238" w14:textId="77777777" w:rsidR="00B9662D" w:rsidRPr="000F765B" w:rsidRDefault="00B9662D" w:rsidP="00B9662D">
      <w:pPr>
        <w:spacing w:before="120" w:after="120"/>
        <w:jc w:val="both"/>
      </w:pPr>
      <w:r w:rsidRPr="000F765B">
        <w:rPr>
          <w:lang w:eastAsia="fr-FR" w:bidi="fr-FR"/>
        </w:rPr>
        <w:t xml:space="preserve">Quelques mots sur les causes de la reprise, au </w:t>
      </w:r>
      <w:r>
        <w:rPr>
          <w:lang w:eastAsia="fr-FR" w:bidi="fr-FR"/>
        </w:rPr>
        <w:t>XIII</w:t>
      </w:r>
      <w:r w:rsidRPr="000F765B">
        <w:rPr>
          <w:vertAlign w:val="superscript"/>
          <w:lang w:eastAsia="fr-FR" w:bidi="fr-FR"/>
        </w:rPr>
        <w:t>e</w:t>
      </w:r>
      <w:r w:rsidRPr="000F765B">
        <w:rPr>
          <w:lang w:eastAsia="fr-FR" w:bidi="fr-FR"/>
        </w:rPr>
        <w:t xml:space="preserve"> siècle, puis sur ses suites, achèveront de mettre en lumière la fonction de l’or dans la circulation médiévale. Mais sur le dernier point, tout au moins, il fa</w:t>
      </w:r>
      <w:r w:rsidRPr="000F765B">
        <w:rPr>
          <w:lang w:eastAsia="fr-FR" w:bidi="fr-FR"/>
        </w:rPr>
        <w:t>u</w:t>
      </w:r>
      <w:r w:rsidRPr="000F765B">
        <w:rPr>
          <w:lang w:eastAsia="fr-FR" w:bidi="fr-FR"/>
        </w:rPr>
        <w:t>dra nous borner à une très rapide esquisse. Une étude approfondie d</w:t>
      </w:r>
      <w:r w:rsidRPr="000F765B">
        <w:rPr>
          <w:lang w:eastAsia="fr-FR" w:bidi="fr-FR"/>
        </w:rPr>
        <w:t>e</w:t>
      </w:r>
      <w:r w:rsidRPr="000F765B">
        <w:rPr>
          <w:lang w:eastAsia="fr-FR" w:bidi="fr-FR"/>
        </w:rPr>
        <w:lastRenderedPageBreak/>
        <w:t>vrait tenir compte des nouveaux procédés de comptabilité et de règl</w:t>
      </w:r>
      <w:r w:rsidRPr="000F765B">
        <w:rPr>
          <w:lang w:eastAsia="fr-FR" w:bidi="fr-FR"/>
        </w:rPr>
        <w:t>e</w:t>
      </w:r>
      <w:r w:rsidRPr="000F765B">
        <w:rPr>
          <w:lang w:eastAsia="fr-FR" w:bidi="fr-FR"/>
        </w:rPr>
        <w:t>ment inventés par une technique commerciale plus perfectionnée : monnaie « banco », lettres de change. Elle exigerait de longs dévelo</w:t>
      </w:r>
      <w:r w:rsidRPr="000F765B">
        <w:rPr>
          <w:lang w:eastAsia="fr-FR" w:bidi="fr-FR"/>
        </w:rPr>
        <w:t>p</w:t>
      </w:r>
      <w:r w:rsidRPr="000F765B">
        <w:rPr>
          <w:lang w:eastAsia="fr-FR" w:bidi="fr-FR"/>
        </w:rPr>
        <w:t>pements.</w:t>
      </w:r>
    </w:p>
    <w:p w14:paraId="79A9FAE1" w14:textId="77777777" w:rsidR="00B9662D" w:rsidRDefault="00B9662D" w:rsidP="00B9662D">
      <w:pPr>
        <w:pStyle w:val="c"/>
        <w:rPr>
          <w:lang w:eastAsia="fr-FR" w:bidi="fr-FR"/>
        </w:rPr>
      </w:pPr>
      <w:r>
        <w:rPr>
          <w:lang w:eastAsia="fr-FR" w:bidi="fr-FR"/>
        </w:rPr>
        <w:t>*</w:t>
      </w:r>
      <w:r>
        <w:rPr>
          <w:lang w:eastAsia="fr-FR" w:bidi="fr-FR"/>
        </w:rPr>
        <w:br/>
        <w:t>*     *</w:t>
      </w:r>
    </w:p>
    <w:p w14:paraId="090A7018" w14:textId="77777777" w:rsidR="00B9662D" w:rsidRDefault="00B9662D" w:rsidP="00B9662D">
      <w:pPr>
        <w:spacing w:before="120" w:after="120"/>
        <w:jc w:val="both"/>
        <w:rPr>
          <w:lang w:eastAsia="fr-FR" w:bidi="fr-FR"/>
        </w:rPr>
      </w:pPr>
    </w:p>
    <w:p w14:paraId="707B00D6" w14:textId="77777777" w:rsidR="00B9662D" w:rsidRPr="000F765B" w:rsidRDefault="00B9662D" w:rsidP="00B9662D">
      <w:pPr>
        <w:spacing w:before="120" w:after="120"/>
        <w:jc w:val="both"/>
      </w:pPr>
      <w:r w:rsidRPr="000F765B">
        <w:rPr>
          <w:lang w:eastAsia="fr-FR" w:bidi="fr-FR"/>
        </w:rPr>
        <w:t>On ne saurait douter que les conditions commerciales nouvelles, devenues nettement favorables à l’Occident, n’aient seules permis le retour à la frappe, précédé, on l’a vu, par d’importants arrivages d’or étranger.</w:t>
      </w:r>
    </w:p>
    <w:p w14:paraId="39DC13D2" w14:textId="77777777" w:rsidR="00B9662D" w:rsidRPr="000F765B" w:rsidRDefault="00B9662D" w:rsidP="00B9662D">
      <w:pPr>
        <w:spacing w:before="120" w:after="120"/>
        <w:jc w:val="both"/>
      </w:pPr>
      <w:r>
        <w:rPr>
          <w:lang w:eastAsia="fr-FR" w:bidi="fr-FR"/>
        </w:rPr>
        <w:t>À</w:t>
      </w:r>
      <w:r w:rsidRPr="000F765B">
        <w:rPr>
          <w:lang w:eastAsia="fr-FR" w:bidi="fr-FR"/>
        </w:rPr>
        <w:t xml:space="preserve"> Gênes, la politique fiscale s’était sciemment appliquée à drainer cet afflux : rédigé en 1142, le tarif des droits de port, qui, en règle g</w:t>
      </w:r>
      <w:r w:rsidRPr="000F765B">
        <w:rPr>
          <w:lang w:eastAsia="fr-FR" w:bidi="fr-FR"/>
        </w:rPr>
        <w:t>é</w:t>
      </w:r>
      <w:r w:rsidRPr="000F765B">
        <w:rPr>
          <w:lang w:eastAsia="fr-FR" w:bidi="fr-FR"/>
        </w:rPr>
        <w:t>nérale, prévoyait des versements en marchandises, astreignait, par e</w:t>
      </w:r>
      <w:r w:rsidRPr="000F765B">
        <w:rPr>
          <w:lang w:eastAsia="fr-FR" w:bidi="fr-FR"/>
        </w:rPr>
        <w:t>x</w:t>
      </w:r>
      <w:r w:rsidRPr="000F765B">
        <w:rPr>
          <w:lang w:eastAsia="fr-FR" w:bidi="fr-FR"/>
        </w:rPr>
        <w:t>ception, au paiement d’un marabotin les navi</w:t>
      </w:r>
      <w:r>
        <w:rPr>
          <w:lang w:eastAsia="fr-FR" w:bidi="fr-FR"/>
        </w:rPr>
        <w:t>res venus d’Espagne ou d’outre-</w:t>
      </w:r>
      <w:r w:rsidRPr="000F765B">
        <w:rPr>
          <w:lang w:eastAsia="fr-FR" w:bidi="fr-FR"/>
        </w:rPr>
        <w:t>Sardaigne ; les fermages imposés aux amodiateurs des col</w:t>
      </w:r>
      <w:r w:rsidRPr="000F765B">
        <w:rPr>
          <w:lang w:eastAsia="fr-FR" w:bidi="fr-FR"/>
        </w:rPr>
        <w:t>o</w:t>
      </w:r>
      <w:r w:rsidRPr="000F765B">
        <w:rPr>
          <w:lang w:eastAsia="fr-FR" w:bidi="fr-FR"/>
        </w:rPr>
        <w:t>nies orientales étaient régulièrement stipulés en besants</w:t>
      </w:r>
      <w:r>
        <w:rPr>
          <w:lang w:eastAsia="fr-FR" w:bidi="fr-FR"/>
        </w:rPr>
        <w:t> </w:t>
      </w:r>
      <w:r>
        <w:rPr>
          <w:rStyle w:val="Appelnotedebasdep"/>
        </w:rPr>
        <w:footnoteReference w:id="901"/>
      </w:r>
      <w:r w:rsidRPr="000F765B">
        <w:rPr>
          <w:lang w:eastAsia="fr-FR" w:bidi="fr-FR"/>
        </w:rPr>
        <w:t>. Il est sign</w:t>
      </w:r>
      <w:r w:rsidRPr="000F765B">
        <w:rPr>
          <w:lang w:eastAsia="fr-FR" w:bidi="fr-FR"/>
        </w:rPr>
        <w:t>i</w:t>
      </w:r>
      <w:r w:rsidRPr="000F765B">
        <w:rPr>
          <w:lang w:eastAsia="fr-FR" w:bidi="fr-FR"/>
        </w:rPr>
        <w:t>ficatif que Gênes et Florence, grandes exportatrices, soient revenues au monnayage de l’or bien avant Venise ; non que celle-ci fût moins riche, mais elle achetait à l’Orient plus qu’elle ne lui vendait et c’est en or qu’elle lui payait le plus souvent les produits dont, à l’ordinaire, elle ne récupérait le prix, sur les places de l’intérieur, qu’en argent. Lorsqu’elle se fut résolue à suivre l’exemple de ses concurrentes, ses ateliers durent se fournir, pour une bonne part, dans l’Allemagne du Sud, alors un des grands marchés de l’or</w:t>
      </w:r>
      <w:r>
        <w:rPr>
          <w:lang w:eastAsia="fr-FR" w:bidi="fr-FR"/>
        </w:rPr>
        <w:t> </w:t>
      </w:r>
      <w:r>
        <w:rPr>
          <w:rStyle w:val="Appelnotedebasdep"/>
        </w:rPr>
        <w:footnoteReference w:id="902"/>
      </w:r>
      <w:r w:rsidRPr="000F765B">
        <w:rPr>
          <w:lang w:eastAsia="fr-FR" w:bidi="fr-FR"/>
        </w:rPr>
        <w:t>.</w:t>
      </w:r>
    </w:p>
    <w:p w14:paraId="4AF11F5A" w14:textId="77777777" w:rsidR="00B9662D" w:rsidRPr="000F765B" w:rsidRDefault="00B9662D" w:rsidP="00B9662D">
      <w:pPr>
        <w:spacing w:before="120" w:after="120"/>
        <w:jc w:val="both"/>
      </w:pPr>
      <w:r w:rsidRPr="000F765B">
        <w:rPr>
          <w:lang w:eastAsia="fr-FR" w:bidi="fr-FR"/>
        </w:rPr>
        <w:lastRenderedPageBreak/>
        <w:t>Mais la révolution ainsi rendue possible ne fut rendue nécessaire que par des circonstances d’une autre nature. Les échanges intérieurs revêtaient une ampleur sans cesse croissante. Ils ne trouvaient dans le denier, dès l’origine de teneur médiocre et de plus en plus déprécié, qu’un outil décidément trop imparfait. Le remède fut d’abord dema</w:t>
      </w:r>
      <w:r w:rsidRPr="000F765B">
        <w:rPr>
          <w:lang w:eastAsia="fr-FR" w:bidi="fr-FR"/>
        </w:rPr>
        <w:t>n</w:t>
      </w:r>
      <w:r w:rsidRPr="000F765B">
        <w:rPr>
          <w:lang w:eastAsia="fr-FR" w:bidi="fr-FR"/>
        </w:rPr>
        <w:t>dé à l’argent</w:t>
      </w:r>
      <w:r>
        <w:rPr>
          <w:lang w:eastAsia="fr-FR" w:bidi="fr-FR"/>
        </w:rPr>
        <w:t xml:space="preserve"> </w:t>
      </w:r>
      <w:r>
        <w:t xml:space="preserve">[860] </w:t>
      </w:r>
      <w:r w:rsidRPr="000F765B">
        <w:rPr>
          <w:lang w:eastAsia="fr-FR" w:bidi="fr-FR"/>
        </w:rPr>
        <w:t>lui-même. On l’employa désormais à frapper, outre les deniers traditionnels, des pièces plus lourdes dont le cours fut g</w:t>
      </w:r>
      <w:r w:rsidRPr="000F765B">
        <w:rPr>
          <w:lang w:eastAsia="fr-FR" w:bidi="fr-FR"/>
        </w:rPr>
        <w:t>é</w:t>
      </w:r>
      <w:r w:rsidRPr="000F765B">
        <w:rPr>
          <w:lang w:eastAsia="fr-FR" w:bidi="fr-FR"/>
        </w:rPr>
        <w:t xml:space="preserve">néralement fixé à 12 deniers autrement dit un sou : matapans vénitiens en 1203, sous véronais vers le même temps, sous florentins peu avant 1237, gros tournois de saint Louis en 1266, sous milanais et </w:t>
      </w:r>
      <w:r w:rsidRPr="007669EB">
        <w:rPr>
          <w:i/>
        </w:rPr>
        <w:t>Aquilini grossi</w:t>
      </w:r>
      <w:r w:rsidRPr="000F765B">
        <w:rPr>
          <w:lang w:eastAsia="fr-FR" w:bidi="fr-FR"/>
        </w:rPr>
        <w:t xml:space="preserve"> du Tyrol vers le milieu du siècle, sous de Montpellier en 1273, « groschen » de Prague en 1296,</w:t>
      </w:r>
      <w:r>
        <w:rPr>
          <w:lang w:eastAsia="fr-FR" w:bidi="fr-FR"/>
        </w:rPr>
        <w:t> — </w:t>
      </w:r>
      <w:r w:rsidRPr="000F765B">
        <w:rPr>
          <w:lang w:eastAsia="fr-FR" w:bidi="fr-FR"/>
        </w:rPr>
        <w:t>pour nous borner aux exemples les plus caractéristiques et les plus anciens. Cette modification capit</w:t>
      </w:r>
      <w:r w:rsidRPr="000F765B">
        <w:rPr>
          <w:lang w:eastAsia="fr-FR" w:bidi="fr-FR"/>
        </w:rPr>
        <w:t>a</w:t>
      </w:r>
      <w:r w:rsidRPr="000F765B">
        <w:rPr>
          <w:lang w:eastAsia="fr-FR" w:bidi="fr-FR"/>
        </w:rPr>
        <w:t>le dans le régime monétaire de l’argent précéda donc la reprise du monnayage de l’or, qui ne saurait en être séparée ; car le même besoin de moyens adaptés aux forts paiements, qui avait ainsi reçu une pr</w:t>
      </w:r>
      <w:r w:rsidRPr="000F765B">
        <w:rPr>
          <w:lang w:eastAsia="fr-FR" w:bidi="fr-FR"/>
        </w:rPr>
        <w:t>e</w:t>
      </w:r>
      <w:r w:rsidRPr="000F765B">
        <w:rPr>
          <w:lang w:eastAsia="fr-FR" w:bidi="fr-FR"/>
        </w:rPr>
        <w:t>mière satisfaction, sans doute jugée incomplète, devait naturellement suggérer l’idée de multiplier les pièces auxquelles un métal plus pr</w:t>
      </w:r>
      <w:r w:rsidRPr="000F765B">
        <w:rPr>
          <w:lang w:eastAsia="fr-FR" w:bidi="fr-FR"/>
        </w:rPr>
        <w:t>é</w:t>
      </w:r>
      <w:r w:rsidRPr="000F765B">
        <w:rPr>
          <w:lang w:eastAsia="fr-FR" w:bidi="fr-FR"/>
        </w:rPr>
        <w:t>cieux conférait, à poids égal, une valeur plus élevée.</w:t>
      </w:r>
    </w:p>
    <w:p w14:paraId="1F4CA527" w14:textId="77777777" w:rsidR="00B9662D" w:rsidRPr="000F765B" w:rsidRDefault="00B9662D" w:rsidP="00B9662D">
      <w:pPr>
        <w:spacing w:before="120" w:after="120"/>
        <w:jc w:val="both"/>
      </w:pPr>
      <w:r w:rsidRPr="000F765B">
        <w:rPr>
          <w:lang w:eastAsia="fr-FR" w:bidi="fr-FR"/>
        </w:rPr>
        <w:t>Pendant quelque temps, les monnaies d’importation, de plus en plus nombreuses, purent sembler suffire à la tâche. L’événement déc</w:t>
      </w:r>
      <w:r w:rsidRPr="000F765B">
        <w:rPr>
          <w:lang w:eastAsia="fr-FR" w:bidi="fr-FR"/>
        </w:rPr>
        <w:t>i</w:t>
      </w:r>
      <w:r w:rsidRPr="000F765B">
        <w:rPr>
          <w:lang w:eastAsia="fr-FR" w:bidi="fr-FR"/>
        </w:rPr>
        <w:t>sif fut qu’elles s’en avérèrent bientôt incapables. La carte politique de la Méditerranée, comme sa carte commerciale, subissait alors de pr</w:t>
      </w:r>
      <w:r w:rsidRPr="000F765B">
        <w:rPr>
          <w:lang w:eastAsia="fr-FR" w:bidi="fr-FR"/>
        </w:rPr>
        <w:t>o</w:t>
      </w:r>
      <w:r w:rsidRPr="000F765B">
        <w:rPr>
          <w:lang w:eastAsia="fr-FR" w:bidi="fr-FR"/>
        </w:rPr>
        <w:t xml:space="preserve">fonds changements. La plus grande partie de l’Espagne avait échappé aux Maures. Les États musulmans qui y subsistaient étaient sans grandeur économique ; on a vu comment, dès le </w:t>
      </w:r>
      <w:r>
        <w:rPr>
          <w:lang w:eastAsia="fr-FR" w:bidi="fr-FR"/>
        </w:rPr>
        <w:t>XII</w:t>
      </w:r>
      <w:r w:rsidRPr="000F765B">
        <w:rPr>
          <w:vertAlign w:val="superscript"/>
          <w:lang w:eastAsia="fr-FR" w:bidi="fr-FR"/>
        </w:rPr>
        <w:t>e</w:t>
      </w:r>
      <w:r w:rsidRPr="000F765B">
        <w:rPr>
          <w:lang w:eastAsia="fr-FR" w:bidi="fr-FR"/>
        </w:rPr>
        <w:t xml:space="preserve"> siècle, l’arrêt de la frappe de l’or, à Murcie, avait amené la Castille à en prendre la su</w:t>
      </w:r>
      <w:r w:rsidRPr="000F765B">
        <w:rPr>
          <w:lang w:eastAsia="fr-FR" w:bidi="fr-FR"/>
        </w:rPr>
        <w:t>i</w:t>
      </w:r>
      <w:r w:rsidRPr="000F765B">
        <w:rPr>
          <w:lang w:eastAsia="fr-FR" w:bidi="fr-FR"/>
        </w:rPr>
        <w:t>te. Quant à l’Empire byzantin, sa prépondérance dans le trafic avait bien pâli dès le temps des grands Comnène ; les troubles intérieurs, puis la croisade de 1204 le blessèrent à mort. La décadence de l’État, l’appauvrissement général y entraînèrent les abus monétaires hab</w:t>
      </w:r>
      <w:r w:rsidRPr="000F765B">
        <w:rPr>
          <w:lang w:eastAsia="fr-FR" w:bidi="fr-FR"/>
        </w:rPr>
        <w:t>i</w:t>
      </w:r>
      <w:r w:rsidRPr="000F765B">
        <w:rPr>
          <w:lang w:eastAsia="fr-FR" w:bidi="fr-FR"/>
        </w:rPr>
        <w:t>tuels. La teneur métallique de l’hyperpère perdit toute stabilité et, dans l’ensemble, s’affaiblit rapidement. L’histoire de cette déchéance a été trop souvent et trop bien contée pour qu’il soit utile d’y revenir. Je me contenterai d’un seul témoignage qui, très caractéristique, n’a cepe</w:t>
      </w:r>
      <w:r w:rsidRPr="000F765B">
        <w:rPr>
          <w:lang w:eastAsia="fr-FR" w:bidi="fr-FR"/>
        </w:rPr>
        <w:t>n</w:t>
      </w:r>
      <w:r w:rsidRPr="000F765B">
        <w:rPr>
          <w:lang w:eastAsia="fr-FR" w:bidi="fr-FR"/>
        </w:rPr>
        <w:t xml:space="preserve">dant été que rarement relevé. En 1250, Alphonse de Poitiers, alors en </w:t>
      </w:r>
      <w:r w:rsidRPr="000F765B">
        <w:rPr>
          <w:lang w:eastAsia="fr-FR" w:bidi="fr-FR"/>
        </w:rPr>
        <w:lastRenderedPageBreak/>
        <w:t>Terre Sainte, se fit expédier de France des monnaies d’or ; son repr</w:t>
      </w:r>
      <w:r w:rsidRPr="000F765B">
        <w:rPr>
          <w:lang w:eastAsia="fr-FR" w:bidi="fr-FR"/>
        </w:rPr>
        <w:t>é</w:t>
      </w:r>
      <w:r w:rsidRPr="000F765B">
        <w:rPr>
          <w:lang w:eastAsia="fr-FR" w:bidi="fr-FR"/>
        </w:rPr>
        <w:t>sentant les achetait au poids, le prix, en monnaies d’argent, variant, pour chaque espèce acquise, certainement selon la teneur en métal fin ; les plus chères étaient les « anfous » castillans, héritiers, sur le même sol, des marabotins ; puis venaient les augustales ; au bas de l’échelle enfin, les besants</w:t>
      </w:r>
      <w:r>
        <w:rPr>
          <w:lang w:eastAsia="fr-FR" w:bidi="fr-FR"/>
        </w:rPr>
        <w:t> </w:t>
      </w:r>
      <w:r>
        <w:rPr>
          <w:rStyle w:val="Appelnotedebasdep"/>
        </w:rPr>
        <w:footnoteReference w:id="903"/>
      </w:r>
      <w:r w:rsidRPr="000F765B">
        <w:rPr>
          <w:lang w:eastAsia="fr-FR" w:bidi="fr-FR"/>
        </w:rPr>
        <w:t xml:space="preserve">. Cette carence de l’intermédiaire habituel des échanges était pour le commerce du Levant une gêne cruelle ; les grandes places italiennes y parèrent en se forgeant elles-mêmes l’instrument nécessaire. Bien entendu, sous leur propre marque : pourquoi eût-on pris la peine de contrefaire des monnaies dorénavant dépourvues de tout prestige ? Le jour vint, au </w:t>
      </w:r>
      <w:r w:rsidRPr="00CF6EE7">
        <w:rPr>
          <w:caps/>
          <w:lang w:eastAsia="fr-FR" w:bidi="fr-FR"/>
        </w:rPr>
        <w:t>xiv</w:t>
      </w:r>
      <w:r w:rsidRPr="000F765B">
        <w:rPr>
          <w:vertAlign w:val="superscript"/>
          <w:lang w:eastAsia="fr-FR" w:bidi="fr-FR"/>
        </w:rPr>
        <w:t>e</w:t>
      </w:r>
      <w:r w:rsidRPr="000F765B">
        <w:rPr>
          <w:lang w:eastAsia="fr-FR" w:bidi="fr-FR"/>
        </w:rPr>
        <w:t xml:space="preserve"> siècle, où l’on put voir des hyperpères acceptés seulement pour leur valeur en ducats : menu détail de comptabilité marchande en apparence, en réalité sym</w:t>
      </w:r>
      <w:r w:rsidRPr="000F765B">
        <w:rPr>
          <w:lang w:eastAsia="fr-FR" w:bidi="fr-FR"/>
        </w:rPr>
        <w:t>p</w:t>
      </w:r>
      <w:r w:rsidRPr="000F765B">
        <w:rPr>
          <w:lang w:eastAsia="fr-FR" w:bidi="fr-FR"/>
        </w:rPr>
        <w:t>tôme éloquent du bouleversement de l’équilibre économique mondial.</w:t>
      </w:r>
    </w:p>
    <w:p w14:paraId="5A687A65" w14:textId="77777777" w:rsidR="00B9662D" w:rsidRPr="000F765B" w:rsidRDefault="00B9662D" w:rsidP="00B9662D">
      <w:pPr>
        <w:spacing w:before="120" w:after="120"/>
        <w:jc w:val="both"/>
      </w:pPr>
      <w:r w:rsidRPr="000F765B">
        <w:rPr>
          <w:lang w:eastAsia="fr-FR" w:bidi="fr-FR"/>
        </w:rPr>
        <w:t>Que, par ailleurs, les États ou principautés d’au</w:t>
      </w:r>
      <w:r>
        <w:rPr>
          <w:lang w:eastAsia="fr-FR" w:bidi="fr-FR"/>
        </w:rPr>
        <w:t>-</w:t>
      </w:r>
      <w:r w:rsidRPr="000F765B">
        <w:rPr>
          <w:lang w:eastAsia="fr-FR" w:bidi="fr-FR"/>
        </w:rPr>
        <w:t>delà des monts aient promptement imité l’exemple de l’Italie, ou, du moins, s’y soient efforcés,</w:t>
      </w:r>
      <w:r>
        <w:rPr>
          <w:lang w:eastAsia="fr-FR" w:bidi="fr-FR"/>
        </w:rPr>
        <w:t xml:space="preserve"> </w:t>
      </w:r>
      <w:r>
        <w:t xml:space="preserve">[861] </w:t>
      </w:r>
      <w:r w:rsidRPr="000F765B">
        <w:rPr>
          <w:lang w:eastAsia="fr-FR" w:bidi="fr-FR"/>
        </w:rPr>
        <w:t>comment s’en étonner ? Il était dans la nature d’une pareille réforme de faire tache d’huile : parce que la frappe de l’or p</w:t>
      </w:r>
      <w:r w:rsidRPr="000F765B">
        <w:rPr>
          <w:lang w:eastAsia="fr-FR" w:bidi="fr-FR"/>
        </w:rPr>
        <w:t>a</w:t>
      </w:r>
      <w:r w:rsidRPr="000F765B">
        <w:rPr>
          <w:lang w:eastAsia="fr-FR" w:bidi="fr-FR"/>
        </w:rPr>
        <w:t>raissait servir les intérêts et le prestige des pouvoirs monnayeurs ; en vertu aussi de besoins commerciaux qui inspirèrent, notamment, pour une large part, les décisions anglaises de 1343</w:t>
      </w:r>
      <w:r>
        <w:rPr>
          <w:lang w:eastAsia="fr-FR" w:bidi="fr-FR"/>
        </w:rPr>
        <w:t> </w:t>
      </w:r>
      <w:r>
        <w:rPr>
          <w:rStyle w:val="Appelnotedebasdep"/>
        </w:rPr>
        <w:footnoteReference w:id="904"/>
      </w:r>
      <w:r w:rsidRPr="000F765B">
        <w:rPr>
          <w:lang w:eastAsia="fr-FR" w:bidi="fr-FR"/>
        </w:rPr>
        <w:t> : contraints de régler en or les opér</w:t>
      </w:r>
      <w:r w:rsidRPr="000F765B">
        <w:rPr>
          <w:lang w:eastAsia="fr-FR" w:bidi="fr-FR"/>
        </w:rPr>
        <w:t>a</w:t>
      </w:r>
      <w:r w:rsidRPr="000F765B">
        <w:rPr>
          <w:lang w:eastAsia="fr-FR" w:bidi="fr-FR"/>
        </w:rPr>
        <w:t>tions qu’ils nouaient à l’étranger, les marchands, s’ils ne disposaient dans leur propre pays que de monnaies d’argent, subi</w:t>
      </w:r>
      <w:r w:rsidRPr="000F765B">
        <w:rPr>
          <w:lang w:eastAsia="fr-FR" w:bidi="fr-FR"/>
        </w:rPr>
        <w:t>s</w:t>
      </w:r>
      <w:r w:rsidRPr="000F765B">
        <w:rPr>
          <w:lang w:eastAsia="fr-FR" w:bidi="fr-FR"/>
        </w:rPr>
        <w:t xml:space="preserve">saient de fortes pertes au change, qui grevaient à leur tour les consommateurs. </w:t>
      </w:r>
      <w:r>
        <w:rPr>
          <w:lang w:eastAsia="fr-FR" w:bidi="fr-FR"/>
        </w:rPr>
        <w:t>À</w:t>
      </w:r>
      <w:r w:rsidRPr="000F765B">
        <w:rPr>
          <w:lang w:eastAsia="fr-FR" w:bidi="fr-FR"/>
        </w:rPr>
        <w:t xml:space="preserve"> dire vrai, cette dernière considération ne s’explique que parce qu’à la différence de l’argent les pièces d’or, de toute orig</w:t>
      </w:r>
      <w:r w:rsidRPr="000F765B">
        <w:rPr>
          <w:lang w:eastAsia="fr-FR" w:bidi="fr-FR"/>
        </w:rPr>
        <w:t>i</w:t>
      </w:r>
      <w:r w:rsidRPr="000F765B">
        <w:rPr>
          <w:lang w:eastAsia="fr-FR" w:bidi="fr-FR"/>
        </w:rPr>
        <w:t>ne ou peu s’en faut, jouissaient presque toujours d’un cours quasi un</w:t>
      </w:r>
      <w:r w:rsidRPr="000F765B">
        <w:rPr>
          <w:lang w:eastAsia="fr-FR" w:bidi="fr-FR"/>
        </w:rPr>
        <w:t>i</w:t>
      </w:r>
      <w:r w:rsidRPr="000F765B">
        <w:rPr>
          <w:lang w:eastAsia="fr-FR" w:bidi="fr-FR"/>
        </w:rPr>
        <w:t>versel. L’or, en d’autres termes, conservait son rôle d’instrument d’échanges international : c’est ce que nous verrons, avec plus de ne</w:t>
      </w:r>
      <w:r w:rsidRPr="000F765B">
        <w:rPr>
          <w:lang w:eastAsia="fr-FR" w:bidi="fr-FR"/>
        </w:rPr>
        <w:t>t</w:t>
      </w:r>
      <w:r w:rsidRPr="000F765B">
        <w:rPr>
          <w:lang w:eastAsia="fr-FR" w:bidi="fr-FR"/>
        </w:rPr>
        <w:t>teté, dans un instant.</w:t>
      </w:r>
    </w:p>
    <w:p w14:paraId="752C5B7D" w14:textId="77777777" w:rsidR="00B9662D" w:rsidRPr="000F765B" w:rsidRDefault="00B9662D" w:rsidP="00B9662D">
      <w:pPr>
        <w:pStyle w:val="c"/>
      </w:pPr>
      <w:r w:rsidRPr="000F765B">
        <w:rPr>
          <w:lang w:eastAsia="fr-FR" w:bidi="fr-FR"/>
        </w:rPr>
        <w:lastRenderedPageBreak/>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41BED2B4" w14:textId="77777777" w:rsidR="00B9662D" w:rsidRPr="000F765B" w:rsidRDefault="00B9662D" w:rsidP="00B9662D">
      <w:pPr>
        <w:spacing w:before="120" w:after="120"/>
        <w:jc w:val="both"/>
      </w:pPr>
      <w:r w:rsidRPr="000F765B">
        <w:rPr>
          <w:lang w:eastAsia="fr-FR" w:bidi="fr-FR"/>
        </w:rPr>
        <w:t>Mais le retour au monnayage de l’or se heurta à bien des obstacles, qui n’avaient pas tous été prévus. Témoin l’échec des premières exp</w:t>
      </w:r>
      <w:r w:rsidRPr="000F765B">
        <w:rPr>
          <w:lang w:eastAsia="fr-FR" w:bidi="fr-FR"/>
        </w:rPr>
        <w:t>é</w:t>
      </w:r>
      <w:r w:rsidRPr="000F765B">
        <w:rPr>
          <w:lang w:eastAsia="fr-FR" w:bidi="fr-FR"/>
        </w:rPr>
        <w:t xml:space="preserve">riences, en France et surtout en Angleterre ; témoin aussi la réaction qui se marqua, en Allemagne du moins, dès le </w:t>
      </w:r>
      <w:r w:rsidRPr="00CF6EE7">
        <w:rPr>
          <w:caps/>
          <w:lang w:eastAsia="fr-FR" w:bidi="fr-FR"/>
        </w:rPr>
        <w:t>xiv</w:t>
      </w:r>
      <w:r w:rsidRPr="000F765B">
        <w:rPr>
          <w:vertAlign w:val="superscript"/>
          <w:lang w:eastAsia="fr-FR" w:bidi="fr-FR"/>
        </w:rPr>
        <w:t>e</w:t>
      </w:r>
      <w:r w:rsidRPr="000F765B">
        <w:rPr>
          <w:lang w:eastAsia="fr-FR" w:bidi="fr-FR"/>
        </w:rPr>
        <w:t xml:space="preserve"> siècle, contre le nouveau régime : plusieurs villes ou principautés s’accordèrent à ce moment pour retirer à l’or toute valeur libératoire</w:t>
      </w:r>
      <w:r>
        <w:rPr>
          <w:lang w:eastAsia="fr-FR" w:bidi="fr-FR"/>
        </w:rPr>
        <w:t> </w:t>
      </w:r>
      <w:r>
        <w:rPr>
          <w:rStyle w:val="Appelnotedebasdep"/>
        </w:rPr>
        <w:footnoteReference w:id="905"/>
      </w:r>
      <w:r w:rsidRPr="000F765B">
        <w:rPr>
          <w:lang w:eastAsia="fr-FR" w:bidi="fr-FR"/>
        </w:rPr>
        <w:t>. D’où venaient ces difficultés</w:t>
      </w:r>
      <w:r>
        <w:rPr>
          <w:lang w:eastAsia="fr-FR" w:bidi="fr-FR"/>
        </w:rPr>
        <w:t> </w:t>
      </w:r>
      <w:r>
        <w:rPr>
          <w:rStyle w:val="Appelnotedebasdep"/>
        </w:rPr>
        <w:footnoteReference w:id="906"/>
      </w:r>
      <w:r w:rsidRPr="000F765B">
        <w:rPr>
          <w:lang w:eastAsia="fr-FR" w:bidi="fr-FR"/>
        </w:rPr>
        <w:t> ?</w:t>
      </w:r>
    </w:p>
    <w:p w14:paraId="50A62CD0" w14:textId="77777777" w:rsidR="00B9662D" w:rsidRPr="000F765B" w:rsidRDefault="00B9662D" w:rsidP="00B9662D">
      <w:pPr>
        <w:spacing w:before="120" w:after="120"/>
        <w:jc w:val="both"/>
      </w:pPr>
      <w:r w:rsidRPr="000F765B">
        <w:rPr>
          <w:lang w:eastAsia="fr-FR" w:bidi="fr-FR"/>
        </w:rPr>
        <w:t>Il va de soi que le succès, en chaque cas, dépendait avant tout de circonstances d’ordre économique. La balance commerciale était-elle mal équilibrée ? l’or s’enfuyait du pays. On a peine à croire que l’Angleterre, grande exportatrice de laines, ait dû, pour un pareil m</w:t>
      </w:r>
      <w:r w:rsidRPr="000F765B">
        <w:rPr>
          <w:lang w:eastAsia="fr-FR" w:bidi="fr-FR"/>
        </w:rPr>
        <w:t>o</w:t>
      </w:r>
      <w:r w:rsidRPr="000F765B">
        <w:rPr>
          <w:lang w:eastAsia="fr-FR" w:bidi="fr-FR"/>
        </w:rPr>
        <w:t>tif, renoncer à sa première tentative. Mais, lors même que les écha</w:t>
      </w:r>
      <w:r w:rsidRPr="000F765B">
        <w:rPr>
          <w:lang w:eastAsia="fr-FR" w:bidi="fr-FR"/>
        </w:rPr>
        <w:t>n</w:t>
      </w:r>
      <w:r w:rsidRPr="000F765B">
        <w:rPr>
          <w:lang w:eastAsia="fr-FR" w:bidi="fr-FR"/>
        </w:rPr>
        <w:t>ges extérieurs étaient à peu près favorables, advenait-il que les écha</w:t>
      </w:r>
      <w:r w:rsidRPr="000F765B">
        <w:rPr>
          <w:lang w:eastAsia="fr-FR" w:bidi="fr-FR"/>
        </w:rPr>
        <w:t>n</w:t>
      </w:r>
      <w:r w:rsidRPr="000F765B">
        <w:rPr>
          <w:lang w:eastAsia="fr-FR" w:bidi="fr-FR"/>
        </w:rPr>
        <w:t xml:space="preserve">ges intérieurs fussent trop rares et chacun de valeur trop menue ? les nouvelles pièces, faites pour de gros paiements, manquaient à rendre tous les services qu’on en pouvait attendre et risquaient de ne </w:t>
      </w:r>
      <w:r w:rsidRPr="000F765B">
        <w:rPr>
          <w:lang w:eastAsia="fr-FR" w:bidi="fr-FR"/>
        </w:rPr>
        <w:lastRenderedPageBreak/>
        <w:t>pas s’écouler. Telle fut sans doute la principale raison de la mésaventure anglaise. Car, par un parallélisme bien significatif, un sort semblable atteignit, dans ce pays, les fortes</w:t>
      </w:r>
      <w:r>
        <w:rPr>
          <w:lang w:eastAsia="fr-FR" w:bidi="fr-FR"/>
        </w:rPr>
        <w:t xml:space="preserve"> </w:t>
      </w:r>
      <w:r>
        <w:t xml:space="preserve">[862] </w:t>
      </w:r>
      <w:r w:rsidRPr="000F765B">
        <w:rPr>
          <w:lang w:eastAsia="fr-FR" w:bidi="fr-FR"/>
        </w:rPr>
        <w:t>monnaies d’argent, à leurs d</w:t>
      </w:r>
      <w:r w:rsidRPr="000F765B">
        <w:rPr>
          <w:lang w:eastAsia="fr-FR" w:bidi="fr-FR"/>
        </w:rPr>
        <w:t>é</w:t>
      </w:r>
      <w:r w:rsidRPr="000F765B">
        <w:rPr>
          <w:lang w:eastAsia="fr-FR" w:bidi="fr-FR"/>
        </w:rPr>
        <w:t>buts : frappés peu après les florins de Henri III, sous le règne d’Édouard</w:t>
      </w:r>
      <w:r>
        <w:rPr>
          <w:lang w:eastAsia="fr-FR" w:bidi="fr-FR"/>
        </w:rPr>
        <w:t> </w:t>
      </w:r>
      <w:r w:rsidRPr="000F765B">
        <w:rPr>
          <w:lang w:eastAsia="fr-FR" w:bidi="fr-FR"/>
        </w:rPr>
        <w:t>I</w:t>
      </w:r>
      <w:r w:rsidRPr="000F765B">
        <w:rPr>
          <w:vertAlign w:val="superscript"/>
          <w:lang w:eastAsia="fr-FR" w:bidi="fr-FR"/>
        </w:rPr>
        <w:t>er</w:t>
      </w:r>
      <w:r w:rsidRPr="000F765B">
        <w:rPr>
          <w:lang w:eastAsia="fr-FR" w:bidi="fr-FR"/>
        </w:rPr>
        <w:t>, son successeur, les premiers « groats » ne purent se maintenir et l’essai ne fut repris, avec plus de bonheur, qu’en 1351, sept ans après l’avènement, cette fois définitif, de l’or.</w:t>
      </w:r>
    </w:p>
    <w:p w14:paraId="12121735" w14:textId="77777777" w:rsidR="00B9662D" w:rsidRPr="000F765B" w:rsidRDefault="00B9662D" w:rsidP="00B9662D">
      <w:pPr>
        <w:spacing w:before="120" w:after="120"/>
        <w:jc w:val="both"/>
      </w:pPr>
      <w:r w:rsidRPr="000F765B">
        <w:rPr>
          <w:lang w:eastAsia="fr-FR" w:bidi="fr-FR"/>
        </w:rPr>
        <w:t>Quel que fût, d’ailleurs, l’état des économies régionales, les stocks métalliques, par toute l’Europe, se révélèrent insuffisants à une d</w:t>
      </w:r>
      <w:r w:rsidRPr="000F765B">
        <w:rPr>
          <w:lang w:eastAsia="fr-FR" w:bidi="fr-FR"/>
        </w:rPr>
        <w:t>e</w:t>
      </w:r>
      <w:r w:rsidRPr="000F765B">
        <w:rPr>
          <w:lang w:eastAsia="fr-FR" w:bidi="fr-FR"/>
        </w:rPr>
        <w:t>mande accrue. D’où une hausse marquée des cours de la matière</w:t>
      </w:r>
      <w:r>
        <w:rPr>
          <w:lang w:eastAsia="fr-FR" w:bidi="fr-FR"/>
        </w:rPr>
        <w:t> </w:t>
      </w:r>
      <w:r>
        <w:rPr>
          <w:rStyle w:val="Appelnotedebasdep"/>
        </w:rPr>
        <w:footnoteReference w:id="907"/>
      </w:r>
      <w:r w:rsidRPr="000F765B">
        <w:rPr>
          <w:lang w:eastAsia="fr-FR" w:bidi="fr-FR"/>
        </w:rPr>
        <w:t>. Le mouvement, à dire vrai, s’arrêta à partir de 1342 ou environ ; pour des raisons qui nous demeurent mystérieuses, l’argent fut alors l’objet, sur les marchés orientaux, d’une sensible appréciation qui permit aux gens d’Occident d’y acheter l’or à beaucoup meilleur compte que pr</w:t>
      </w:r>
      <w:r w:rsidRPr="000F765B">
        <w:rPr>
          <w:lang w:eastAsia="fr-FR" w:bidi="fr-FR"/>
        </w:rPr>
        <w:t>é</w:t>
      </w:r>
      <w:r w:rsidRPr="000F765B">
        <w:rPr>
          <w:lang w:eastAsia="fr-FR" w:bidi="fr-FR"/>
        </w:rPr>
        <w:t>cédemment</w:t>
      </w:r>
      <w:r>
        <w:rPr>
          <w:lang w:eastAsia="fr-FR" w:bidi="fr-FR"/>
        </w:rPr>
        <w:t> </w:t>
      </w:r>
      <w:r>
        <w:rPr>
          <w:rStyle w:val="Appelnotedebasdep"/>
        </w:rPr>
        <w:footnoteReference w:id="908"/>
      </w:r>
      <w:r w:rsidRPr="000F765B">
        <w:rPr>
          <w:lang w:eastAsia="fr-FR" w:bidi="fr-FR"/>
        </w:rPr>
        <w:t>. Il n’en reste pas moins que le rapport des deux métaux demeura beaucoup plus favorable à l’or qu’avant la reprise de la fra</w:t>
      </w:r>
      <w:r w:rsidRPr="000F765B">
        <w:rPr>
          <w:lang w:eastAsia="fr-FR" w:bidi="fr-FR"/>
        </w:rPr>
        <w:t>p</w:t>
      </w:r>
      <w:r w:rsidRPr="000F765B">
        <w:rPr>
          <w:lang w:eastAsia="fr-FR" w:bidi="fr-FR"/>
        </w:rPr>
        <w:t>pe. L’approvisionnement des ateliers ne cessa, pendant les deux de</w:t>
      </w:r>
      <w:r w:rsidRPr="000F765B">
        <w:rPr>
          <w:lang w:eastAsia="fr-FR" w:bidi="fr-FR"/>
        </w:rPr>
        <w:t>r</w:t>
      </w:r>
      <w:r w:rsidRPr="000F765B">
        <w:rPr>
          <w:lang w:eastAsia="fr-FR" w:bidi="fr-FR"/>
        </w:rPr>
        <w:t xml:space="preserve">niers siècles du Moyen </w:t>
      </w:r>
      <w:r>
        <w:rPr>
          <w:lang w:eastAsia="fr-FR" w:bidi="fr-FR"/>
        </w:rPr>
        <w:t>Â</w:t>
      </w:r>
      <w:r w:rsidRPr="000F765B">
        <w:rPr>
          <w:lang w:eastAsia="fr-FR" w:bidi="fr-FR"/>
        </w:rPr>
        <w:t>ge, de poser un angoissant problème. L’histoire du commerce des métaux précieux, comme tant d’autres chapitres de l’histoire monétaire, est malheureusement, pour l’instant, une page blanche : faute de travailleurs méthodiquement dirigés, pl</w:t>
      </w:r>
      <w:r w:rsidRPr="000F765B">
        <w:rPr>
          <w:lang w:eastAsia="fr-FR" w:bidi="fr-FR"/>
        </w:rPr>
        <w:t>u</w:t>
      </w:r>
      <w:r w:rsidRPr="000F765B">
        <w:rPr>
          <w:lang w:eastAsia="fr-FR" w:bidi="fr-FR"/>
        </w:rPr>
        <w:t xml:space="preserve">tôt que de documents. Au </w:t>
      </w:r>
      <w:r w:rsidRPr="00CF6EE7">
        <w:rPr>
          <w:caps/>
          <w:lang w:eastAsia="fr-FR" w:bidi="fr-FR"/>
        </w:rPr>
        <w:t>xiv</w:t>
      </w:r>
      <w:r w:rsidRPr="000F765B">
        <w:rPr>
          <w:vertAlign w:val="superscript"/>
          <w:lang w:eastAsia="fr-FR" w:bidi="fr-FR"/>
        </w:rPr>
        <w:t>e</w:t>
      </w:r>
      <w:r w:rsidRPr="000F765B">
        <w:rPr>
          <w:lang w:eastAsia="fr-FR" w:bidi="fr-FR"/>
        </w:rPr>
        <w:t xml:space="preserve"> siècle, un marché important se tenait à Bruges, où affluaient par mer tant de denrées exotiques : Lübeck, en </w:t>
      </w:r>
      <w:r w:rsidRPr="000F765B">
        <w:rPr>
          <w:lang w:eastAsia="fr-FR" w:bidi="fr-FR"/>
        </w:rPr>
        <w:lastRenderedPageBreak/>
        <w:t>1341, y acquit de quoi alimenter sa nouvelle frappe</w:t>
      </w:r>
      <w:r>
        <w:rPr>
          <w:lang w:eastAsia="fr-FR" w:bidi="fr-FR"/>
        </w:rPr>
        <w:t> </w:t>
      </w:r>
      <w:r>
        <w:rPr>
          <w:rStyle w:val="Appelnotedebasdep"/>
        </w:rPr>
        <w:footnoteReference w:id="909"/>
      </w:r>
      <w:r w:rsidRPr="000F765B">
        <w:rPr>
          <w:lang w:eastAsia="fr-FR" w:bidi="fr-FR"/>
        </w:rPr>
        <w:t>. D’autre part, de notables quantités d’or, venues de Hongrie et sans doute aussi d’Asie, entraient par l’Allemagne du Sud, par Ratisbonne notamment, qui fournissait non seulement Venise, mais encore, à l’occasion</w:t>
      </w:r>
      <w:r>
        <w:rPr>
          <w:lang w:eastAsia="fr-FR" w:bidi="fr-FR"/>
        </w:rPr>
        <w:t> — </w:t>
      </w:r>
      <w:r w:rsidRPr="000F765B">
        <w:rPr>
          <w:lang w:eastAsia="fr-FR" w:bidi="fr-FR"/>
        </w:rPr>
        <w:t>avec Augsbourg et Nuremberg</w:t>
      </w:r>
      <w:r>
        <w:rPr>
          <w:lang w:eastAsia="fr-FR" w:bidi="fr-FR"/>
        </w:rPr>
        <w:t> — </w:t>
      </w:r>
      <w:r w:rsidRPr="000F765B">
        <w:rPr>
          <w:lang w:eastAsia="fr-FR" w:bidi="fr-FR"/>
        </w:rPr>
        <w:t>l’actif atelier de Tournai</w:t>
      </w:r>
      <w:r>
        <w:rPr>
          <w:lang w:eastAsia="fr-FR" w:bidi="fr-FR"/>
        </w:rPr>
        <w:t> </w:t>
      </w:r>
      <w:r>
        <w:rPr>
          <w:rStyle w:val="Appelnotedebasdep"/>
        </w:rPr>
        <w:footnoteReference w:id="910"/>
      </w:r>
      <w:r w:rsidRPr="000F765B">
        <w:rPr>
          <w:lang w:eastAsia="fr-FR" w:bidi="fr-FR"/>
        </w:rPr>
        <w:t>. Les ressou</w:t>
      </w:r>
      <w:r w:rsidRPr="000F765B">
        <w:rPr>
          <w:lang w:eastAsia="fr-FR" w:bidi="fr-FR"/>
        </w:rPr>
        <w:t>r</w:t>
      </w:r>
      <w:r w:rsidRPr="000F765B">
        <w:rPr>
          <w:lang w:eastAsia="fr-FR" w:bidi="fr-FR"/>
        </w:rPr>
        <w:t xml:space="preserve">ces de l’Orient n’étaient pas les seules qu’on s’efforçât de capter. Le Soudan et la Guinée, bien avant l’Amérique, furent l’Eldorado des aventuriers du négoce. Dès le début du </w:t>
      </w:r>
      <w:r w:rsidRPr="00CF6EE7">
        <w:rPr>
          <w:caps/>
          <w:lang w:eastAsia="fr-FR" w:bidi="fr-FR"/>
        </w:rPr>
        <w:t>xiv</w:t>
      </w:r>
      <w:r w:rsidRPr="000F765B">
        <w:rPr>
          <w:vertAlign w:val="superscript"/>
          <w:lang w:eastAsia="fr-FR" w:bidi="fr-FR"/>
        </w:rPr>
        <w:t>e</w:t>
      </w:r>
      <w:r w:rsidRPr="000F765B">
        <w:rPr>
          <w:lang w:eastAsia="fr-FR" w:bidi="fr-FR"/>
        </w:rPr>
        <w:t xml:space="preserve"> siècle, les Génois, faisant société avec des caravaniers touareg « à la bouche voilée », hantaient les oasis sahariennes et y achetaient les précieuses paillettes, venues du Sud. On les vit d’abord au Tafilelt, dont le principal ksour, Sidji</w:t>
      </w:r>
      <w:r w:rsidRPr="000F765B">
        <w:rPr>
          <w:lang w:eastAsia="fr-FR" w:bidi="fr-FR"/>
        </w:rPr>
        <w:t>l</w:t>
      </w:r>
      <w:r w:rsidRPr="000F765B">
        <w:rPr>
          <w:lang w:eastAsia="fr-FR" w:bidi="fr-FR"/>
        </w:rPr>
        <w:t>massa, « battait monnaie avec l’or le plus pur qui fût au monde », puis, en 1447, au Touat, où ils se rencontraient avec les marchands abyssins. Un peu plus tard, les Portugais atteignirent, par mer, les march</w:t>
      </w:r>
      <w:r>
        <w:rPr>
          <w:lang w:eastAsia="fr-FR" w:bidi="fr-FR"/>
        </w:rPr>
        <w:t>és de la côte. En 1479, un Tour</w:t>
      </w:r>
      <w:r w:rsidRPr="000F765B">
        <w:rPr>
          <w:lang w:eastAsia="fr-FR" w:bidi="fr-FR"/>
        </w:rPr>
        <w:t>naisien</w:t>
      </w:r>
      <w:r>
        <w:t xml:space="preserve"> [</w:t>
      </w:r>
      <w:r w:rsidRPr="000F765B">
        <w:rPr>
          <w:lang w:eastAsia="fr-FR" w:bidi="fr-FR"/>
        </w:rPr>
        <w:t>863</w:t>
      </w:r>
      <w:r>
        <w:rPr>
          <w:lang w:eastAsia="fr-FR" w:bidi="fr-FR"/>
        </w:rPr>
        <w:t>]</w:t>
      </w:r>
      <w:r w:rsidRPr="000F765B">
        <w:rPr>
          <w:lang w:eastAsia="fr-FR" w:bidi="fr-FR"/>
        </w:rPr>
        <w:t xml:space="preserve"> les y suivit, écha</w:t>
      </w:r>
      <w:r w:rsidRPr="000F765B">
        <w:rPr>
          <w:lang w:eastAsia="fr-FR" w:bidi="fr-FR"/>
        </w:rPr>
        <w:t>n</w:t>
      </w:r>
      <w:r w:rsidRPr="000F765B">
        <w:rPr>
          <w:lang w:eastAsia="fr-FR" w:bidi="fr-FR"/>
        </w:rPr>
        <w:t>geant à Sierra Leone sa pacotille contre des esclaves, qu’il eût, à leur tour, troqués à Elmina contre de l’or, si les Portugais, jaloux de leur monopole, ne s’étaient, à son grand dam, emparés de sa personne et de ses biens. Un commerce si hasardeux favorisait la spéculation : ce ne fut point hasard si les Ce</w:t>
      </w:r>
      <w:r w:rsidRPr="000F765B">
        <w:rPr>
          <w:lang w:eastAsia="fr-FR" w:bidi="fr-FR"/>
        </w:rPr>
        <w:t>n</w:t>
      </w:r>
      <w:r w:rsidRPr="000F765B">
        <w:rPr>
          <w:lang w:eastAsia="fr-FR" w:bidi="fr-FR"/>
        </w:rPr>
        <w:t>turioni, de Gênes, qui s’en étaient fait une spécialité, s’efforcèrent, en 1445, d’établir, dans leur ville natale, un véritable monométallisme or</w:t>
      </w:r>
      <w:r>
        <w:rPr>
          <w:lang w:eastAsia="fr-FR" w:bidi="fr-FR"/>
        </w:rPr>
        <w:t> </w:t>
      </w:r>
      <w:r>
        <w:rPr>
          <w:rStyle w:val="Appelnotedebasdep"/>
        </w:rPr>
        <w:footnoteReference w:id="911"/>
      </w:r>
      <w:r>
        <w:rPr>
          <w:lang w:eastAsia="fr-FR" w:bidi="fr-FR"/>
        </w:rPr>
        <w:t> </w:t>
      </w:r>
      <w:r w:rsidRPr="000F765B">
        <w:rPr>
          <w:lang w:eastAsia="fr-FR" w:bidi="fr-FR"/>
        </w:rPr>
        <w:t>.</w:t>
      </w:r>
    </w:p>
    <w:p w14:paraId="5B111874" w14:textId="77777777" w:rsidR="00B9662D" w:rsidRPr="000F765B" w:rsidRDefault="00B9662D" w:rsidP="00B9662D">
      <w:pPr>
        <w:spacing w:before="120" w:after="120"/>
        <w:jc w:val="both"/>
      </w:pPr>
      <w:r w:rsidRPr="000F765B">
        <w:rPr>
          <w:lang w:eastAsia="fr-FR" w:bidi="fr-FR"/>
        </w:rPr>
        <w:t xml:space="preserve">Ces irrégularités dans les arrivages ne faisaient que rendre plus sensible un défaut inhérent au système lui-même. « Pour ce que l’or n’estoit pas adjusté a l’argent a esté le reaume de France robé par les </w:t>
      </w:r>
      <w:r w:rsidRPr="000F765B">
        <w:rPr>
          <w:lang w:eastAsia="fr-FR" w:bidi="fr-FR"/>
        </w:rPr>
        <w:lastRenderedPageBreak/>
        <w:t>sutiz et malicieus », dit un mémoire du temps de Philippe le Bel</w:t>
      </w:r>
      <w:r>
        <w:rPr>
          <w:lang w:eastAsia="fr-FR" w:bidi="fr-FR"/>
        </w:rPr>
        <w:t> </w:t>
      </w:r>
      <w:r>
        <w:rPr>
          <w:rStyle w:val="Appelnotedebasdep"/>
        </w:rPr>
        <w:footnoteReference w:id="912"/>
      </w:r>
      <w:r w:rsidRPr="000F765B">
        <w:rPr>
          <w:lang w:eastAsia="fr-FR" w:bidi="fr-FR"/>
        </w:rPr>
        <w:t>. On a reconnu la contradiction interne dont ont souffert tous les régimes bimétallistes, condamnés à imposer, au moins durant des périodes a</w:t>
      </w:r>
      <w:r w:rsidRPr="000F765B">
        <w:rPr>
          <w:lang w:eastAsia="fr-FR" w:bidi="fr-FR"/>
        </w:rPr>
        <w:t>s</w:t>
      </w:r>
      <w:r w:rsidRPr="000F765B">
        <w:rPr>
          <w:lang w:eastAsia="fr-FR" w:bidi="fr-FR"/>
        </w:rPr>
        <w:t>sez étendues, un rapport fixe aux valeurs monétaires de deux métaux, dont les cours commerciaux ne varient forcément ni dans le même sens ni, lors même que la direction du mouvement est pareille, selon un rythme uniforme. Les difficultés de cet « ajustement » se firent sentir dès le principe : témoin, par exemple, les tâtonnements du go</w:t>
      </w:r>
      <w:r w:rsidRPr="000F765B">
        <w:rPr>
          <w:lang w:eastAsia="fr-FR" w:bidi="fr-FR"/>
        </w:rPr>
        <w:t>u</w:t>
      </w:r>
      <w:r w:rsidRPr="000F765B">
        <w:rPr>
          <w:lang w:eastAsia="fr-FR" w:bidi="fr-FR"/>
        </w:rPr>
        <w:t xml:space="preserve">vernement anglais, lors de la reprise de la frappe, en 1344. Elles étaient, au Moyen </w:t>
      </w:r>
      <w:r>
        <w:rPr>
          <w:lang w:eastAsia="fr-FR" w:bidi="fr-FR"/>
        </w:rPr>
        <w:t>Â</w:t>
      </w:r>
      <w:r w:rsidRPr="000F765B">
        <w:rPr>
          <w:lang w:eastAsia="fr-FR" w:bidi="fr-FR"/>
        </w:rPr>
        <w:t>ge, particulièrement graves : les conditions éc</w:t>
      </w:r>
      <w:r w:rsidRPr="000F765B">
        <w:rPr>
          <w:lang w:eastAsia="fr-FR" w:bidi="fr-FR"/>
        </w:rPr>
        <w:t>o</w:t>
      </w:r>
      <w:r w:rsidRPr="000F765B">
        <w:rPr>
          <w:lang w:eastAsia="fr-FR" w:bidi="fr-FR"/>
        </w:rPr>
        <w:t>nomiques s’opposaient à l’établissement de cours stables, sur des marchés suffisamment étendus ; les intérêts des souverains, qui payaient en argent la plupart de leurs fonctionnaires et, surtout, leurs troupes, les poussaient à l’évaluer trop haut, par rapport à l’or, ainsi que l’avouait candidement, en 1301, le roi de Sicile</w:t>
      </w:r>
      <w:r>
        <w:rPr>
          <w:lang w:eastAsia="fr-FR" w:bidi="fr-FR"/>
        </w:rPr>
        <w:t> </w:t>
      </w:r>
      <w:r>
        <w:rPr>
          <w:rStyle w:val="Appelnotedebasdep"/>
        </w:rPr>
        <w:footnoteReference w:id="913"/>
      </w:r>
      <w:r w:rsidRPr="000F765B">
        <w:rPr>
          <w:lang w:eastAsia="fr-FR" w:bidi="fr-FR"/>
        </w:rPr>
        <w:t> ; enfin les deux moyens de paiement, qu’il s’agissait d’harmoniser, appartenaient vér</w:t>
      </w:r>
      <w:r w:rsidRPr="000F765B">
        <w:rPr>
          <w:lang w:eastAsia="fr-FR" w:bidi="fr-FR"/>
        </w:rPr>
        <w:t>i</w:t>
      </w:r>
      <w:r w:rsidRPr="000F765B">
        <w:rPr>
          <w:lang w:eastAsia="fr-FR" w:bidi="fr-FR"/>
        </w:rPr>
        <w:t>tablement à deux étages différents de l’économie.</w:t>
      </w:r>
    </w:p>
    <w:p w14:paraId="39E40FEE" w14:textId="77777777" w:rsidR="00B9662D" w:rsidRPr="000F765B" w:rsidRDefault="00B9662D" w:rsidP="00B9662D">
      <w:pPr>
        <w:spacing w:before="120" w:after="120"/>
        <w:jc w:val="both"/>
      </w:pPr>
      <w:r w:rsidRPr="000F765B">
        <w:rPr>
          <w:lang w:eastAsia="fr-FR" w:bidi="fr-FR"/>
        </w:rPr>
        <w:t xml:space="preserve">L’or, en monnaie comme en lingots, restait, en effet, ce qu’il avait toujours été, depuis le début du Moyen </w:t>
      </w:r>
      <w:r>
        <w:rPr>
          <w:lang w:eastAsia="fr-FR" w:bidi="fr-FR"/>
        </w:rPr>
        <w:t>Â</w:t>
      </w:r>
      <w:r w:rsidRPr="000F765B">
        <w:rPr>
          <w:lang w:eastAsia="fr-FR" w:bidi="fr-FR"/>
        </w:rPr>
        <w:t>ge : un instrument familier surtout au grand commerce et appelé à circuler de marché à marché. Ne nous laissons pas entraîner à dire : tout comme aujourd’hui. Un abîme trop profond sépare l’économie de ce temps et la nôtre, la n</w:t>
      </w:r>
      <w:r w:rsidRPr="000F765B">
        <w:rPr>
          <w:lang w:eastAsia="fr-FR" w:bidi="fr-FR"/>
        </w:rPr>
        <w:t>o</w:t>
      </w:r>
      <w:r w:rsidRPr="000F765B">
        <w:rPr>
          <w:lang w:eastAsia="fr-FR" w:bidi="fr-FR"/>
        </w:rPr>
        <w:t>tion même de marché s’applique, de part et d’autre, à des réalités sp</w:t>
      </w:r>
      <w:r w:rsidRPr="000F765B">
        <w:rPr>
          <w:lang w:eastAsia="fr-FR" w:bidi="fr-FR"/>
        </w:rPr>
        <w:t>a</w:t>
      </w:r>
      <w:r w:rsidRPr="000F765B">
        <w:rPr>
          <w:lang w:eastAsia="fr-FR" w:bidi="fr-FR"/>
        </w:rPr>
        <w:t>tiales et humaines trop dissemblables, la technique des échanges offre trop de différences, pour que de pareils rapprochements, présentés sans les correctifs nécessaires, ne choquent pas l’esprit historique. D</w:t>
      </w:r>
      <w:r w:rsidRPr="000F765B">
        <w:rPr>
          <w:lang w:eastAsia="fr-FR" w:bidi="fr-FR"/>
        </w:rPr>
        <w:t>i</w:t>
      </w:r>
      <w:r w:rsidRPr="000F765B">
        <w:rPr>
          <w:lang w:eastAsia="fr-FR" w:bidi="fr-FR"/>
        </w:rPr>
        <w:t xml:space="preserve">sons plutôt qu’en dépit de ces contrastes, et malgré l’interposition de périodes où l’or servit largement à la circulation intérieure, la tradition de cet emploi du métal, monnayé ou non, s’est poursuivie jusqu’à nos jours. Lorsque, au Moyen </w:t>
      </w:r>
      <w:r>
        <w:rPr>
          <w:lang w:eastAsia="fr-FR" w:bidi="fr-FR"/>
        </w:rPr>
        <w:t>Â</w:t>
      </w:r>
      <w:r w:rsidRPr="000F765B">
        <w:rPr>
          <w:lang w:eastAsia="fr-FR" w:bidi="fr-FR"/>
        </w:rPr>
        <w:t>ge, la frappe d’or fut reprise, la question se posa de savoir si les nouvelles monnaies auraient même force lib</w:t>
      </w:r>
      <w:r w:rsidRPr="000F765B">
        <w:rPr>
          <w:lang w:eastAsia="fr-FR" w:bidi="fr-FR"/>
        </w:rPr>
        <w:t>é</w:t>
      </w:r>
      <w:r w:rsidRPr="000F765B">
        <w:rPr>
          <w:lang w:eastAsia="fr-FR" w:bidi="fr-FR"/>
        </w:rPr>
        <w:t>ratoire que l’argent. Le problème, à vrai dire, fut assez souvent passé sous silence ; mais, quand on se décida à lui donner une solution e</w:t>
      </w:r>
      <w:r w:rsidRPr="000F765B">
        <w:rPr>
          <w:lang w:eastAsia="fr-FR" w:bidi="fr-FR"/>
        </w:rPr>
        <w:t>x</w:t>
      </w:r>
      <w:r w:rsidRPr="000F765B">
        <w:rPr>
          <w:lang w:eastAsia="fr-FR" w:bidi="fr-FR"/>
        </w:rPr>
        <w:t>presse, celle-ci fut généralement plutôt défavorable</w:t>
      </w:r>
      <w:r>
        <w:rPr>
          <w:lang w:eastAsia="fr-FR" w:bidi="fr-FR"/>
        </w:rPr>
        <w:t xml:space="preserve"> </w:t>
      </w:r>
      <w:r>
        <w:t xml:space="preserve">[864] </w:t>
      </w:r>
      <w:r w:rsidRPr="000F765B">
        <w:rPr>
          <w:lang w:eastAsia="fr-FR" w:bidi="fr-FR"/>
        </w:rPr>
        <w:t xml:space="preserve">à l’or ; on </w:t>
      </w:r>
      <w:r w:rsidRPr="000F765B">
        <w:rPr>
          <w:lang w:eastAsia="fr-FR" w:bidi="fr-FR"/>
        </w:rPr>
        <w:lastRenderedPageBreak/>
        <w:t>décidait qu’il ne devait être accepté que de gré à gré, ou sur stipul</w:t>
      </w:r>
      <w:r w:rsidRPr="000F765B">
        <w:rPr>
          <w:lang w:eastAsia="fr-FR" w:bidi="fr-FR"/>
        </w:rPr>
        <w:t>a</w:t>
      </w:r>
      <w:r w:rsidRPr="000F765B">
        <w:rPr>
          <w:lang w:eastAsia="fr-FR" w:bidi="fr-FR"/>
        </w:rPr>
        <w:t>tions expresses des contrats ; le bimétallisme, pour employer une im</w:t>
      </w:r>
      <w:r w:rsidRPr="000F765B">
        <w:rPr>
          <w:lang w:eastAsia="fr-FR" w:bidi="fr-FR"/>
        </w:rPr>
        <w:t>a</w:t>
      </w:r>
      <w:r w:rsidRPr="000F765B">
        <w:rPr>
          <w:lang w:eastAsia="fr-FR" w:bidi="fr-FR"/>
        </w:rPr>
        <w:t>ge chère aux économistes du temps présent, « boitait »</w:t>
      </w:r>
      <w:r>
        <w:rPr>
          <w:lang w:eastAsia="fr-FR" w:bidi="fr-FR"/>
        </w:rPr>
        <w:t> — </w:t>
      </w:r>
      <w:r w:rsidRPr="000F765B">
        <w:rPr>
          <w:lang w:eastAsia="fr-FR" w:bidi="fr-FR"/>
        </w:rPr>
        <w:t xml:space="preserve">mais avec l’argent, et non, comme au </w:t>
      </w:r>
      <w:r w:rsidRPr="00CF6EE7">
        <w:rPr>
          <w:caps/>
          <w:lang w:eastAsia="fr-FR" w:bidi="fr-FR"/>
        </w:rPr>
        <w:t>xix</w:t>
      </w:r>
      <w:r w:rsidRPr="000F765B">
        <w:rPr>
          <w:vertAlign w:val="superscript"/>
          <w:lang w:eastAsia="fr-FR" w:bidi="fr-FR"/>
        </w:rPr>
        <w:t>e</w:t>
      </w:r>
      <w:r w:rsidRPr="000F765B">
        <w:rPr>
          <w:lang w:eastAsia="fr-FR" w:bidi="fr-FR"/>
        </w:rPr>
        <w:t xml:space="preserve"> siècle, l’or, pour principal étai</w:t>
      </w:r>
      <w:r>
        <w:rPr>
          <w:lang w:eastAsia="fr-FR" w:bidi="fr-FR"/>
        </w:rPr>
        <w:t> </w:t>
      </w:r>
      <w:r>
        <w:rPr>
          <w:rStyle w:val="Appelnotedebasdep"/>
        </w:rPr>
        <w:footnoteReference w:id="914"/>
      </w:r>
      <w:r w:rsidRPr="000F765B">
        <w:rPr>
          <w:lang w:eastAsia="fr-FR" w:bidi="fr-FR"/>
        </w:rPr>
        <w:t>. L’ordonnance anglaise de 1344 précisa davant</w:t>
      </w:r>
      <w:r w:rsidRPr="000F765B">
        <w:rPr>
          <w:lang w:eastAsia="fr-FR" w:bidi="fr-FR"/>
        </w:rPr>
        <w:t>a</w:t>
      </w:r>
      <w:r w:rsidRPr="000F765B">
        <w:rPr>
          <w:lang w:eastAsia="fr-FR" w:bidi="fr-FR"/>
        </w:rPr>
        <w:t xml:space="preserve">ge. Elle établissait en principe que la monnaie d’or ne pouvait être imposée. </w:t>
      </w:r>
      <w:r>
        <w:rPr>
          <w:lang w:eastAsia="fr-FR" w:bidi="fr-FR"/>
        </w:rPr>
        <w:t>À</w:t>
      </w:r>
      <w:r w:rsidRPr="000F765B">
        <w:rPr>
          <w:lang w:eastAsia="fr-FR" w:bidi="fr-FR"/>
        </w:rPr>
        <w:t xml:space="preserve"> une exce</w:t>
      </w:r>
      <w:r w:rsidRPr="000F765B">
        <w:rPr>
          <w:lang w:eastAsia="fr-FR" w:bidi="fr-FR"/>
        </w:rPr>
        <w:t>p</w:t>
      </w:r>
      <w:r w:rsidRPr="000F765B">
        <w:rPr>
          <w:lang w:eastAsia="fr-FR" w:bidi="fr-FR"/>
        </w:rPr>
        <w:t>tion près, cependant : de marchand à marchand, sa puissance libérato</w:t>
      </w:r>
      <w:r w:rsidRPr="000F765B">
        <w:rPr>
          <w:lang w:eastAsia="fr-FR" w:bidi="fr-FR"/>
        </w:rPr>
        <w:t>i</w:t>
      </w:r>
      <w:r w:rsidRPr="000F765B">
        <w:rPr>
          <w:lang w:eastAsia="fr-FR" w:bidi="fr-FR"/>
        </w:rPr>
        <w:t>re était absolue et ne souffrait aucun refus</w:t>
      </w:r>
      <w:r>
        <w:rPr>
          <w:lang w:eastAsia="fr-FR" w:bidi="fr-FR"/>
        </w:rPr>
        <w:t> </w:t>
      </w:r>
      <w:r>
        <w:rPr>
          <w:rStyle w:val="Appelnotedebasdep"/>
        </w:rPr>
        <w:footnoteReference w:id="915"/>
      </w:r>
      <w:r w:rsidRPr="000F765B">
        <w:rPr>
          <w:lang w:eastAsia="fr-FR" w:bidi="fr-FR"/>
        </w:rPr>
        <w:t>. Pouvait-on mieux reco</w:t>
      </w:r>
      <w:r w:rsidRPr="000F765B">
        <w:rPr>
          <w:lang w:eastAsia="fr-FR" w:bidi="fr-FR"/>
        </w:rPr>
        <w:t>n</w:t>
      </w:r>
      <w:r w:rsidRPr="000F765B">
        <w:rPr>
          <w:lang w:eastAsia="fr-FR" w:bidi="fr-FR"/>
        </w:rPr>
        <w:t>naître son caractère de monnaie de classe ?</w:t>
      </w:r>
    </w:p>
    <w:p w14:paraId="7D43E59D" w14:textId="77777777" w:rsidR="00B9662D" w:rsidRPr="000F765B" w:rsidRDefault="00B9662D" w:rsidP="00B9662D">
      <w:pPr>
        <w:spacing w:before="120" w:after="120"/>
        <w:jc w:val="both"/>
      </w:pPr>
      <w:r w:rsidRPr="000F765B">
        <w:rPr>
          <w:lang w:eastAsia="fr-FR" w:bidi="fr-FR"/>
        </w:rPr>
        <w:t>Quant à son rôle international, bien des faits significatifs, entre le</w:t>
      </w:r>
      <w:r>
        <w:rPr>
          <w:lang w:eastAsia="fr-FR" w:bidi="fr-FR"/>
        </w:rPr>
        <w:t>s</w:t>
      </w:r>
      <w:r w:rsidRPr="000F765B">
        <w:rPr>
          <w:lang w:eastAsia="fr-FR" w:bidi="fr-FR"/>
        </w:rPr>
        <w:t>quels il n’y a qu’à choisir, le mettent en lumière. Villani a décrit, pour les années 1336 à 1338, le budget des dépenses, à Florence. Tous les traitements et salaires publics, jusqu’à ceux même du podestat et du capitaine du peuple, étaient payés en argent ; seuls échappaient à cette règle les honoraires des gardiens des châteaux</w:t>
      </w:r>
      <w:r>
        <w:rPr>
          <w:lang w:eastAsia="fr-FR" w:bidi="fr-FR"/>
        </w:rPr>
        <w:t> — </w:t>
      </w:r>
      <w:r w:rsidRPr="000F765B">
        <w:rPr>
          <w:lang w:eastAsia="fr-FR" w:bidi="fr-FR"/>
        </w:rPr>
        <w:t xml:space="preserve">c’étaient des </w:t>
      </w:r>
      <w:r w:rsidRPr="000F765B">
        <w:t>condo</w:t>
      </w:r>
      <w:r w:rsidRPr="000F765B">
        <w:t>t</w:t>
      </w:r>
      <w:r w:rsidRPr="000F765B">
        <w:t>tieri</w:t>
      </w:r>
      <w:r w:rsidRPr="000F765B">
        <w:rPr>
          <w:lang w:eastAsia="fr-FR" w:bidi="fr-FR"/>
        </w:rPr>
        <w:t xml:space="preserve"> sans doute, partant des étrangers,</w:t>
      </w:r>
      <w:r>
        <w:rPr>
          <w:lang w:eastAsia="fr-FR" w:bidi="fr-FR"/>
        </w:rPr>
        <w:t> — </w:t>
      </w:r>
      <w:r w:rsidRPr="000F765B">
        <w:rPr>
          <w:lang w:eastAsia="fr-FR" w:bidi="fr-FR"/>
        </w:rPr>
        <w:t>et ceux des ambassadeurs. Les religieux d’un monastère bavarois</w:t>
      </w:r>
      <w:r>
        <w:rPr>
          <w:lang w:eastAsia="fr-FR" w:bidi="fr-FR"/>
        </w:rPr>
        <w:t> — </w:t>
      </w:r>
      <w:r w:rsidRPr="000F765B">
        <w:rPr>
          <w:lang w:eastAsia="fr-FR" w:bidi="fr-FR"/>
        </w:rPr>
        <w:t>celui d’Aldersbach</w:t>
      </w:r>
      <w:r>
        <w:rPr>
          <w:lang w:eastAsia="fr-FR" w:bidi="fr-FR"/>
        </w:rPr>
        <w:t> — </w:t>
      </w:r>
      <w:r w:rsidRPr="000F765B">
        <w:rPr>
          <w:lang w:eastAsia="fr-FR" w:bidi="fr-FR"/>
        </w:rPr>
        <w:t>veulent-ils, en 1294, subvenir à l’entretien de leur abbé, en séjour à Paris ? Ils achètent à prix d’argent des lingots d’or, qu’ils lui e</w:t>
      </w:r>
      <w:r w:rsidRPr="000F765B">
        <w:rPr>
          <w:lang w:eastAsia="fr-FR" w:bidi="fr-FR"/>
        </w:rPr>
        <w:t>n</w:t>
      </w:r>
      <w:r w:rsidRPr="000F765B">
        <w:rPr>
          <w:lang w:eastAsia="fr-FR" w:bidi="fr-FR"/>
        </w:rPr>
        <w:t>voient</w:t>
      </w:r>
      <w:r>
        <w:rPr>
          <w:lang w:eastAsia="fr-FR" w:bidi="fr-FR"/>
        </w:rPr>
        <w:t> </w:t>
      </w:r>
      <w:r>
        <w:rPr>
          <w:rStyle w:val="Appelnotedebasdep"/>
        </w:rPr>
        <w:footnoteReference w:id="916"/>
      </w:r>
      <w:r w:rsidRPr="000F765B">
        <w:rPr>
          <w:lang w:eastAsia="fr-FR" w:bidi="fr-FR"/>
        </w:rPr>
        <w:t>. Aussi bien, les monnaies d’or échappaient à ce point aux e</w:t>
      </w:r>
      <w:r w:rsidRPr="000F765B">
        <w:rPr>
          <w:lang w:eastAsia="fr-FR" w:bidi="fr-FR"/>
        </w:rPr>
        <w:t>n</w:t>
      </w:r>
      <w:r w:rsidRPr="000F765B">
        <w:rPr>
          <w:lang w:eastAsia="fr-FR" w:bidi="fr-FR"/>
        </w:rPr>
        <w:t>traves nationales qu’elles avaient, en pratique, un cours à elles, que fixaient les conditions générales de l’économie européenne : ce cours commercial ou « volontaire », qui, distinct du cours légal et</w:t>
      </w:r>
      <w:r>
        <w:rPr>
          <w:lang w:eastAsia="fr-FR" w:bidi="fr-FR"/>
        </w:rPr>
        <w:t> — </w:t>
      </w:r>
      <w:r w:rsidRPr="000F765B">
        <w:rPr>
          <w:lang w:eastAsia="fr-FR" w:bidi="fr-FR"/>
        </w:rPr>
        <w:t>en ra</w:t>
      </w:r>
      <w:r w:rsidRPr="000F765B">
        <w:rPr>
          <w:lang w:eastAsia="fr-FR" w:bidi="fr-FR"/>
        </w:rPr>
        <w:t>i</w:t>
      </w:r>
      <w:r w:rsidRPr="000F765B">
        <w:rPr>
          <w:lang w:eastAsia="fr-FR" w:bidi="fr-FR"/>
        </w:rPr>
        <w:t>son de la surévaluation officielle des monnaies d’argent</w:t>
      </w:r>
      <w:r>
        <w:rPr>
          <w:lang w:eastAsia="fr-FR" w:bidi="fr-FR"/>
        </w:rPr>
        <w:t> — </w:t>
      </w:r>
      <w:r w:rsidRPr="000F765B">
        <w:rPr>
          <w:lang w:eastAsia="fr-FR" w:bidi="fr-FR"/>
        </w:rPr>
        <w:t>généralement supérieur à lui, souleva les vaines protestations de tant d’édits princiers. Elles servaient d’étalon aux paiements des ma</w:t>
      </w:r>
      <w:r w:rsidRPr="000F765B">
        <w:rPr>
          <w:lang w:eastAsia="fr-FR" w:bidi="fr-FR"/>
        </w:rPr>
        <w:t>r</w:t>
      </w:r>
      <w:r w:rsidRPr="000F765B">
        <w:rPr>
          <w:lang w:eastAsia="fr-FR" w:bidi="fr-FR"/>
        </w:rPr>
        <w:t xml:space="preserve">chands, notamment aux paiements à terme, même quand le règlement devait, par la force des choses, s’effectuer en argent : témoin, entre autres, au </w:t>
      </w:r>
      <w:r w:rsidRPr="00CF6EE7">
        <w:rPr>
          <w:caps/>
          <w:lang w:eastAsia="fr-FR" w:bidi="fr-FR"/>
        </w:rPr>
        <w:t>xiv</w:t>
      </w:r>
      <w:r w:rsidRPr="000F765B">
        <w:rPr>
          <w:vertAlign w:val="superscript"/>
          <w:lang w:eastAsia="fr-FR" w:bidi="fr-FR"/>
        </w:rPr>
        <w:t>e</w:t>
      </w:r>
      <w:r w:rsidRPr="000F765B">
        <w:rPr>
          <w:lang w:eastAsia="fr-FR" w:bidi="fr-FR"/>
        </w:rPr>
        <w:t xml:space="preserve"> siècle, les registres des frères Bonis, de Montauban. Naturellement, c’étaient surtout les plus solides d’entre elles, comme </w:t>
      </w:r>
      <w:r w:rsidRPr="000F765B">
        <w:rPr>
          <w:lang w:eastAsia="fr-FR" w:bidi="fr-FR"/>
        </w:rPr>
        <w:lastRenderedPageBreak/>
        <w:t xml:space="preserve">le florin, ou, en Allemagne, les </w:t>
      </w:r>
      <w:r w:rsidRPr="00464424">
        <w:rPr>
          <w:i/>
        </w:rPr>
        <w:t>gulden</w:t>
      </w:r>
      <w:r w:rsidRPr="000F765B">
        <w:rPr>
          <w:lang w:eastAsia="fr-FR" w:bidi="fr-FR"/>
        </w:rPr>
        <w:t xml:space="preserve"> rhénans, qui remplissaient, à travers pays, ce rôle de régulateur des valeurs d’échange</w:t>
      </w:r>
      <w:r>
        <w:rPr>
          <w:lang w:eastAsia="fr-FR" w:bidi="fr-FR"/>
        </w:rPr>
        <w:t> </w:t>
      </w:r>
      <w:r>
        <w:rPr>
          <w:rStyle w:val="Appelnotedebasdep"/>
        </w:rPr>
        <w:footnoteReference w:id="917"/>
      </w:r>
      <w:r w:rsidRPr="000F765B">
        <w:rPr>
          <w:lang w:eastAsia="fr-FR" w:bidi="fr-FR"/>
        </w:rPr>
        <w:t>.</w:t>
      </w:r>
    </w:p>
    <w:p w14:paraId="30CCB52B" w14:textId="77777777" w:rsidR="00B9662D" w:rsidRPr="000F765B" w:rsidRDefault="00B9662D" w:rsidP="00B9662D">
      <w:pPr>
        <w:spacing w:before="120" w:after="120"/>
        <w:jc w:val="both"/>
      </w:pPr>
      <w:r w:rsidRPr="000F765B">
        <w:rPr>
          <w:lang w:eastAsia="fr-FR" w:bidi="fr-FR"/>
        </w:rPr>
        <w:t>Mais</w:t>
      </w:r>
      <w:r>
        <w:rPr>
          <w:lang w:eastAsia="fr-FR" w:bidi="fr-FR"/>
        </w:rPr>
        <w:t> — </w:t>
      </w:r>
      <w:r w:rsidRPr="000F765B">
        <w:rPr>
          <w:lang w:eastAsia="fr-FR" w:bidi="fr-FR"/>
        </w:rPr>
        <w:t>et c’était là une difficulté de plus</w:t>
      </w:r>
      <w:r>
        <w:rPr>
          <w:lang w:eastAsia="fr-FR" w:bidi="fr-FR"/>
        </w:rPr>
        <w:t> — </w:t>
      </w:r>
      <w:r w:rsidRPr="000F765B">
        <w:rPr>
          <w:lang w:eastAsia="fr-FR" w:bidi="fr-FR"/>
        </w:rPr>
        <w:t>entre les divers plans économiques, il n’est pas de cloison étanche. Les monnaies d’or n’échappaient pas, tant s’en faut, aux mutations, plaie du système m</w:t>
      </w:r>
      <w:r w:rsidRPr="000F765B">
        <w:rPr>
          <w:lang w:eastAsia="fr-FR" w:bidi="fr-FR"/>
        </w:rPr>
        <w:t>o</w:t>
      </w:r>
      <w:r w:rsidRPr="000F765B">
        <w:rPr>
          <w:lang w:eastAsia="fr-FR" w:bidi="fr-FR"/>
        </w:rPr>
        <w:t>nétaire médiéval ; cependant, préservées par leur caractère internati</w:t>
      </w:r>
      <w:r w:rsidRPr="000F765B">
        <w:rPr>
          <w:lang w:eastAsia="fr-FR" w:bidi="fr-FR"/>
        </w:rPr>
        <w:t>o</w:t>
      </w:r>
      <w:r w:rsidRPr="000F765B">
        <w:rPr>
          <w:lang w:eastAsia="fr-FR" w:bidi="fr-FR"/>
        </w:rPr>
        <w:t>nal même, elles n'en subissaient pas l’atteinte à l’ordinaire aussi fo</w:t>
      </w:r>
      <w:r w:rsidRPr="000F765B">
        <w:rPr>
          <w:lang w:eastAsia="fr-FR" w:bidi="fr-FR"/>
        </w:rPr>
        <w:t>r</w:t>
      </w:r>
      <w:r w:rsidRPr="000F765B">
        <w:rPr>
          <w:lang w:eastAsia="fr-FR" w:bidi="fr-FR"/>
        </w:rPr>
        <w:t>tement que les monnaies d’argent ; aussi bien, là où le cours légal d</w:t>
      </w:r>
      <w:r w:rsidRPr="000F765B">
        <w:rPr>
          <w:lang w:eastAsia="fr-FR" w:bidi="fr-FR"/>
        </w:rPr>
        <w:t>e</w:t>
      </w:r>
      <w:r w:rsidRPr="000F765B">
        <w:rPr>
          <w:lang w:eastAsia="fr-FR" w:bidi="fr-FR"/>
        </w:rPr>
        <w:t>venait trop artificiel, le cours commercial faisait frein. Il en résultait qu’en période de crise l’habitude de stipuler les paiements en or ou, du moins, de les soumettre, quelle que fût la nature du versement, à l’étalon-or passait des milieux marchands à l’ensemble des classes possédantes : exactement, comme on l’a pu voir, de nos jours, au temps de l’inflation,</w:t>
      </w:r>
      <w:r>
        <w:rPr>
          <w:lang w:eastAsia="fr-FR" w:bidi="fr-FR"/>
        </w:rPr>
        <w:t> — </w:t>
      </w:r>
      <w:r w:rsidRPr="000F765B">
        <w:rPr>
          <w:lang w:eastAsia="fr-FR" w:bidi="fr-FR"/>
        </w:rPr>
        <w:t>avec cette différence, toutefois, que la mo</w:t>
      </w:r>
      <w:r w:rsidRPr="000F765B">
        <w:rPr>
          <w:lang w:eastAsia="fr-FR" w:bidi="fr-FR"/>
        </w:rPr>
        <w:t>n</w:t>
      </w:r>
      <w:r w:rsidRPr="000F765B">
        <w:rPr>
          <w:lang w:eastAsia="fr-FR" w:bidi="fr-FR"/>
        </w:rPr>
        <w:t>naie devant laquelle on fuyait était, non de</w:t>
      </w:r>
      <w:r>
        <w:rPr>
          <w:lang w:eastAsia="fr-FR" w:bidi="fr-FR"/>
        </w:rPr>
        <w:t xml:space="preserve"> </w:t>
      </w:r>
      <w:r>
        <w:t xml:space="preserve">[865] </w:t>
      </w:r>
      <w:r w:rsidRPr="000F765B">
        <w:rPr>
          <w:lang w:eastAsia="fr-FR" w:bidi="fr-FR"/>
        </w:rPr>
        <w:t>papier, mais, elle aussi, de métal (l’argent), à dire vrai souvent altéré et, avant tout, s</w:t>
      </w:r>
      <w:r w:rsidRPr="000F765B">
        <w:rPr>
          <w:lang w:eastAsia="fr-FR" w:bidi="fr-FR"/>
        </w:rPr>
        <w:t>u</w:t>
      </w:r>
      <w:r w:rsidRPr="000F765B">
        <w:rPr>
          <w:lang w:eastAsia="fr-FR" w:bidi="fr-FR"/>
        </w:rPr>
        <w:t>restimé. Les États, préoccupés de protéger l’instrument des échanges intérieurs, prétendaient interdire ces prat</w:t>
      </w:r>
      <w:r w:rsidRPr="000F765B">
        <w:rPr>
          <w:lang w:eastAsia="fr-FR" w:bidi="fr-FR"/>
        </w:rPr>
        <w:t>i</w:t>
      </w:r>
      <w:r w:rsidRPr="000F765B">
        <w:rPr>
          <w:lang w:eastAsia="fr-FR" w:bidi="fr-FR"/>
        </w:rPr>
        <w:t>ques</w:t>
      </w:r>
      <w:r>
        <w:rPr>
          <w:lang w:eastAsia="fr-FR" w:bidi="fr-FR"/>
        </w:rPr>
        <w:t> </w:t>
      </w:r>
      <w:r>
        <w:rPr>
          <w:rStyle w:val="Appelnotedebasdep"/>
        </w:rPr>
        <w:footnoteReference w:id="918"/>
      </w:r>
      <w:r w:rsidRPr="000F765B">
        <w:rPr>
          <w:lang w:eastAsia="fr-FR" w:bidi="fr-FR"/>
        </w:rPr>
        <w:t> ; ils n’y réussissaient guère. Ici encore, le jeu de scène est d</w:t>
      </w:r>
      <w:r w:rsidRPr="000F765B">
        <w:rPr>
          <w:lang w:eastAsia="fr-FR" w:bidi="fr-FR"/>
        </w:rPr>
        <w:t>e</w:t>
      </w:r>
      <w:r w:rsidRPr="000F765B">
        <w:rPr>
          <w:lang w:eastAsia="fr-FR" w:bidi="fr-FR"/>
        </w:rPr>
        <w:t>meuré classique.</w:t>
      </w:r>
    </w:p>
    <w:p w14:paraId="384EF323"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47D24840" w14:textId="77777777" w:rsidR="00B9662D" w:rsidRDefault="00B9662D" w:rsidP="00B9662D">
      <w:pPr>
        <w:spacing w:before="120" w:after="120"/>
        <w:jc w:val="both"/>
        <w:rPr>
          <w:lang w:eastAsia="fr-FR" w:bidi="fr-FR"/>
        </w:rPr>
      </w:pPr>
      <w:r w:rsidRPr="000F765B">
        <w:rPr>
          <w:lang w:eastAsia="fr-FR" w:bidi="fr-FR"/>
        </w:rPr>
        <w:t>Telles paraissent avoir été, dans leurs grandes lignes, les vicissit</w:t>
      </w:r>
      <w:r w:rsidRPr="000F765B">
        <w:rPr>
          <w:lang w:eastAsia="fr-FR" w:bidi="fr-FR"/>
        </w:rPr>
        <w:t>u</w:t>
      </w:r>
      <w:r w:rsidRPr="000F765B">
        <w:rPr>
          <w:lang w:eastAsia="fr-FR" w:bidi="fr-FR"/>
        </w:rPr>
        <w:t xml:space="preserve">des de l’emploi de l’or, dans les échanges, au Moyen </w:t>
      </w:r>
      <w:r>
        <w:rPr>
          <w:lang w:eastAsia="fr-FR" w:bidi="fr-FR"/>
        </w:rPr>
        <w:t>Â</w:t>
      </w:r>
      <w:r w:rsidRPr="000F765B">
        <w:rPr>
          <w:lang w:eastAsia="fr-FR" w:bidi="fr-FR"/>
        </w:rPr>
        <w:t>ge. Du moins autant qu’il est possible, pour l’instant, de les retracer. Je souhaite que les incertitudes de cette esquisse, les erreurs même dont elle n’est vraisemblablement pas exempte aident à attirer l’attention sur les l</w:t>
      </w:r>
      <w:r w:rsidRPr="000F765B">
        <w:rPr>
          <w:lang w:eastAsia="fr-FR" w:bidi="fr-FR"/>
        </w:rPr>
        <w:t>a</w:t>
      </w:r>
      <w:r w:rsidRPr="000F765B">
        <w:rPr>
          <w:lang w:eastAsia="fr-FR" w:bidi="fr-FR"/>
        </w:rPr>
        <w:t>cunes de nos directives de recherches. L’histoire économique de la monnaie médiévale</w:t>
      </w:r>
      <w:r>
        <w:rPr>
          <w:lang w:eastAsia="fr-FR" w:bidi="fr-FR"/>
        </w:rPr>
        <w:t> — </w:t>
      </w:r>
      <w:r w:rsidRPr="000F765B">
        <w:rPr>
          <w:lang w:eastAsia="fr-FR" w:bidi="fr-FR"/>
        </w:rPr>
        <w:t>disons mieux, son histoire humaine</w:t>
      </w:r>
      <w:r>
        <w:rPr>
          <w:lang w:eastAsia="fr-FR" w:bidi="fr-FR"/>
        </w:rPr>
        <w:t> — </w:t>
      </w:r>
      <w:r w:rsidRPr="000F765B">
        <w:rPr>
          <w:lang w:eastAsia="fr-FR" w:bidi="fr-FR"/>
        </w:rPr>
        <w:t xml:space="preserve">reste encore à écrire. Probablement était-il nécessaire qu’elle fût précédée par des études d’archéologie numismatique ; nul doute qu’elle ne </w:t>
      </w:r>
      <w:r w:rsidRPr="000F765B">
        <w:rPr>
          <w:lang w:eastAsia="fr-FR" w:bidi="fr-FR"/>
        </w:rPr>
        <w:lastRenderedPageBreak/>
        <w:t>do</w:t>
      </w:r>
      <w:r w:rsidRPr="000F765B">
        <w:rPr>
          <w:lang w:eastAsia="fr-FR" w:bidi="fr-FR"/>
        </w:rPr>
        <w:t>i</w:t>
      </w:r>
      <w:r w:rsidRPr="000F765B">
        <w:rPr>
          <w:lang w:eastAsia="fr-FR" w:bidi="fr-FR"/>
        </w:rPr>
        <w:t xml:space="preserve">ve s’élaborer d’accord avec des travaux de cette nature, patiemment poursuivis. Mais il est grand temps de l’aborder de front. </w:t>
      </w:r>
      <w:r>
        <w:rPr>
          <w:lang w:eastAsia="fr-FR" w:bidi="fr-FR"/>
        </w:rPr>
        <w:t>À</w:t>
      </w:r>
      <w:r w:rsidRPr="000F765B">
        <w:rPr>
          <w:lang w:eastAsia="fr-FR" w:bidi="fr-FR"/>
        </w:rPr>
        <w:t xml:space="preserve"> qui s’efforce aujourd’hui d’en crayonner quelques aspects, force est de procéder par exemple</w:t>
      </w:r>
      <w:r>
        <w:rPr>
          <w:lang w:eastAsia="fr-FR" w:bidi="fr-FR"/>
        </w:rPr>
        <w:t>s </w:t>
      </w:r>
      <w:r w:rsidRPr="000F765B">
        <w:rPr>
          <w:lang w:eastAsia="fr-FR" w:bidi="fr-FR"/>
        </w:rPr>
        <w:t>; il importerait de substituer à cet échantillo</w:t>
      </w:r>
      <w:r w:rsidRPr="000F765B">
        <w:rPr>
          <w:lang w:eastAsia="fr-FR" w:bidi="fr-FR"/>
        </w:rPr>
        <w:t>n</w:t>
      </w:r>
      <w:r w:rsidRPr="000F765B">
        <w:rPr>
          <w:lang w:eastAsia="fr-FR" w:bidi="fr-FR"/>
        </w:rPr>
        <w:t>nage des relevés méthodiques et chiffrés : avant tout, des relevés de paiements. Et cette histoire économique ne saurait atteindre son objet que si elle se décide en même temps à être une histoire sociale : je veux dire si elle consent à se souvenir qu’un milieu humain se comp</w:t>
      </w:r>
      <w:r w:rsidRPr="000F765B">
        <w:rPr>
          <w:lang w:eastAsia="fr-FR" w:bidi="fr-FR"/>
        </w:rPr>
        <w:t>o</w:t>
      </w:r>
      <w:r w:rsidRPr="000F765B">
        <w:rPr>
          <w:lang w:eastAsia="fr-FR" w:bidi="fr-FR"/>
        </w:rPr>
        <w:t xml:space="preserve">se de groupes divers, dont les genres de vie opposés s’expriment dans le contraste de leurs habitudes monétaires. Que vaudrait aujourd’hui une statistique des chèques, qui négligerait de préciser à la fois quelles opérations ce procédé de règlement sert à dénouer et quelles classes en font usage ? De même, au Moyen </w:t>
      </w:r>
      <w:r>
        <w:rPr>
          <w:lang w:eastAsia="fr-FR" w:bidi="fr-FR"/>
        </w:rPr>
        <w:t>Â</w:t>
      </w:r>
      <w:r w:rsidRPr="000F765B">
        <w:rPr>
          <w:lang w:eastAsia="fr-FR" w:bidi="fr-FR"/>
        </w:rPr>
        <w:t>ge, pour l’or, l’argent, les monnaies, les lingots ou les paiements en nature.</w:t>
      </w:r>
    </w:p>
    <w:p w14:paraId="692AA47A" w14:textId="77777777" w:rsidR="00B9662D" w:rsidRPr="000F765B" w:rsidRDefault="00B9662D" w:rsidP="00B9662D">
      <w:pPr>
        <w:spacing w:before="120" w:after="120"/>
        <w:jc w:val="both"/>
      </w:pPr>
    </w:p>
    <w:p w14:paraId="23F4C55F" w14:textId="77777777" w:rsidR="00B9662D" w:rsidRPr="000F765B" w:rsidRDefault="00B9662D" w:rsidP="00B9662D">
      <w:pPr>
        <w:pStyle w:val="planche"/>
      </w:pPr>
      <w:r w:rsidRPr="000F765B">
        <w:t>ORIENTATION BIBLIOGRAPHIQUE</w:t>
      </w:r>
    </w:p>
    <w:p w14:paraId="00449A51" w14:textId="77777777" w:rsidR="00B9662D" w:rsidRDefault="00B9662D" w:rsidP="00B9662D">
      <w:pPr>
        <w:spacing w:before="120" w:after="120"/>
        <w:jc w:val="both"/>
        <w:rPr>
          <w:lang w:eastAsia="fr-FR" w:bidi="fr-FR"/>
        </w:rPr>
      </w:pPr>
    </w:p>
    <w:p w14:paraId="62E0CFDE" w14:textId="77777777" w:rsidR="00B9662D" w:rsidRPr="000F765B" w:rsidRDefault="00B9662D" w:rsidP="00B9662D">
      <w:pPr>
        <w:spacing w:before="120" w:after="120"/>
        <w:jc w:val="both"/>
      </w:pPr>
      <w:r w:rsidRPr="000F765B">
        <w:rPr>
          <w:lang w:eastAsia="fr-FR" w:bidi="fr-FR"/>
        </w:rPr>
        <w:t xml:space="preserve">Donner une liste de références, approximativement complète, sur l’histoire monétaire de l’or, au Moyen </w:t>
      </w:r>
      <w:r>
        <w:rPr>
          <w:lang w:eastAsia="fr-FR" w:bidi="fr-FR"/>
        </w:rPr>
        <w:t>Â</w:t>
      </w:r>
      <w:r w:rsidRPr="000F765B">
        <w:rPr>
          <w:lang w:eastAsia="fr-FR" w:bidi="fr-FR"/>
        </w:rPr>
        <w:t xml:space="preserve">ge, équivaudrait, ou peu s’en faut, </w:t>
      </w:r>
      <w:r w:rsidRPr="000F765B">
        <w:rPr>
          <w:b/>
          <w:bCs/>
        </w:rPr>
        <w:t xml:space="preserve">à </w:t>
      </w:r>
      <w:r w:rsidRPr="000F765B">
        <w:rPr>
          <w:lang w:eastAsia="fr-FR" w:bidi="fr-FR"/>
        </w:rPr>
        <w:t>établir la bibliographie de la monnaie médiévale. La tâche ne serait certes pas inutile</w:t>
      </w:r>
      <w:r>
        <w:rPr>
          <w:lang w:eastAsia="fr-FR" w:bidi="fr-FR"/>
        </w:rPr>
        <w:t> — </w:t>
      </w:r>
      <w:r w:rsidRPr="000F765B">
        <w:rPr>
          <w:lang w:eastAsia="fr-FR" w:bidi="fr-FR"/>
        </w:rPr>
        <w:t>surtout s’il devait s’agir d’une bibliographie critique</w:t>
      </w:r>
      <w:r>
        <w:rPr>
          <w:lang w:eastAsia="fr-FR" w:bidi="fr-FR"/>
        </w:rPr>
        <w:t> — </w:t>
      </w:r>
      <w:r w:rsidRPr="000F765B">
        <w:rPr>
          <w:lang w:eastAsia="fr-FR" w:bidi="fr-FR"/>
        </w:rPr>
        <w:t xml:space="preserve">et il n’y a pas de raisons de la croire impossible. Mais je n’ai guère besoin de m’excuser de ne pas l’avoir entreprise ici. On aura trouvé, plus haut, dans les notes, l’indication de quelques travaux de détail. Je me bornerai </w:t>
      </w:r>
      <w:r w:rsidRPr="00464424">
        <w:rPr>
          <w:bCs/>
        </w:rPr>
        <w:t>à</w:t>
      </w:r>
      <w:r w:rsidRPr="000F765B">
        <w:rPr>
          <w:b/>
          <w:bCs/>
        </w:rPr>
        <w:t xml:space="preserve"> </w:t>
      </w:r>
      <w:r w:rsidRPr="000F765B">
        <w:rPr>
          <w:lang w:eastAsia="fr-FR" w:bidi="fr-FR"/>
        </w:rPr>
        <w:t>rappeler ici les principaux ouvrages gén</w:t>
      </w:r>
      <w:r w:rsidRPr="000F765B">
        <w:rPr>
          <w:lang w:eastAsia="fr-FR" w:bidi="fr-FR"/>
        </w:rPr>
        <w:t>é</w:t>
      </w:r>
      <w:r w:rsidRPr="000F765B">
        <w:rPr>
          <w:lang w:eastAsia="fr-FR" w:bidi="fr-FR"/>
        </w:rPr>
        <w:t xml:space="preserve">raux, qui, pourvus de listes bibliographiques, suffiront </w:t>
      </w:r>
      <w:r w:rsidRPr="00464424">
        <w:rPr>
          <w:bCs/>
        </w:rPr>
        <w:t>à</w:t>
      </w:r>
      <w:r w:rsidRPr="000F765B">
        <w:rPr>
          <w:b/>
          <w:bCs/>
        </w:rPr>
        <w:t xml:space="preserve"> </w:t>
      </w:r>
      <w:r w:rsidRPr="000F765B">
        <w:rPr>
          <w:lang w:eastAsia="fr-FR" w:bidi="fr-FR"/>
        </w:rPr>
        <w:t>orienter les débutants ; j’y ajouterai la mention de quelques études particulières au problème de l’or.</w:t>
      </w:r>
    </w:p>
    <w:p w14:paraId="65936B90" w14:textId="77777777" w:rsidR="00B9662D" w:rsidRPr="000F765B" w:rsidRDefault="00B9662D" w:rsidP="00B9662D">
      <w:pPr>
        <w:pStyle w:val="c"/>
        <w:rPr>
          <w:lang w:eastAsia="fr-FR" w:bidi="fr-FR"/>
        </w:rPr>
      </w:pPr>
      <w:r w:rsidRPr="000F765B">
        <w:rPr>
          <w:lang w:eastAsia="fr-FR" w:bidi="fr-FR"/>
        </w:rPr>
        <w:t>*</w:t>
      </w:r>
      <w:r>
        <w:rPr>
          <w:lang w:eastAsia="fr-FR" w:bidi="fr-FR"/>
        </w:rPr>
        <w:br/>
      </w:r>
      <w:r w:rsidRPr="00C91CB2">
        <w:t xml:space="preserve">*    </w:t>
      </w:r>
      <w:r w:rsidRPr="00C91CB2">
        <w:rPr>
          <w:lang w:eastAsia="fr-FR" w:bidi="fr-FR"/>
        </w:rPr>
        <w:t xml:space="preserve"> </w:t>
      </w:r>
      <w:r w:rsidRPr="000F765B">
        <w:rPr>
          <w:lang w:eastAsia="fr-FR" w:bidi="fr-FR"/>
        </w:rPr>
        <w:t>*</w:t>
      </w:r>
    </w:p>
    <w:p w14:paraId="63925B76" w14:textId="77777777" w:rsidR="00B9662D" w:rsidRPr="000F765B" w:rsidRDefault="00B9662D" w:rsidP="00B9662D">
      <w:pPr>
        <w:spacing w:before="120" w:after="120"/>
        <w:jc w:val="both"/>
        <w:rPr>
          <w:lang w:eastAsia="fr-FR" w:bidi="fr-FR"/>
        </w:rPr>
      </w:pPr>
      <w:r w:rsidRPr="000F765B">
        <w:rPr>
          <w:lang w:eastAsia="fr-FR" w:bidi="fr-FR"/>
        </w:rPr>
        <w:t>Le manuel le plus utile et le plus sûr</w:t>
      </w:r>
      <w:r>
        <w:rPr>
          <w:lang w:eastAsia="fr-FR" w:bidi="fr-FR"/>
        </w:rPr>
        <w:t> — </w:t>
      </w:r>
      <w:r w:rsidRPr="000F765B">
        <w:rPr>
          <w:lang w:eastAsia="fr-FR" w:bidi="fr-FR"/>
        </w:rPr>
        <w:t>encore que les préoccup</w:t>
      </w:r>
      <w:r w:rsidRPr="000F765B">
        <w:rPr>
          <w:lang w:eastAsia="fr-FR" w:bidi="fr-FR"/>
        </w:rPr>
        <w:t>a</w:t>
      </w:r>
      <w:r w:rsidRPr="000F765B">
        <w:rPr>
          <w:lang w:eastAsia="fr-FR" w:bidi="fr-FR"/>
        </w:rPr>
        <w:t>tions du collectionneur y tiennent une place que l’historien jugera v</w:t>
      </w:r>
      <w:r w:rsidRPr="000F765B">
        <w:rPr>
          <w:lang w:eastAsia="fr-FR" w:bidi="fr-FR"/>
        </w:rPr>
        <w:t>o</w:t>
      </w:r>
      <w:r w:rsidRPr="000F765B">
        <w:rPr>
          <w:lang w:eastAsia="fr-FR" w:bidi="fr-FR"/>
        </w:rPr>
        <w:t>lontiers excessive</w:t>
      </w:r>
      <w:r>
        <w:rPr>
          <w:lang w:eastAsia="fr-FR" w:bidi="fr-FR"/>
        </w:rPr>
        <w:t> — </w:t>
      </w:r>
      <w:r w:rsidRPr="000F765B">
        <w:rPr>
          <w:lang w:eastAsia="fr-FR" w:bidi="fr-FR"/>
        </w:rPr>
        <w:t xml:space="preserve">est, sans conteste, celui de </w:t>
      </w:r>
      <w:r w:rsidRPr="00464424">
        <w:rPr>
          <w:smallCaps/>
          <w:lang w:eastAsia="fr-FR" w:bidi="fr-FR"/>
        </w:rPr>
        <w:t xml:space="preserve">A. </w:t>
      </w:r>
      <w:r w:rsidRPr="00464424">
        <w:rPr>
          <w:bCs/>
          <w:smallCaps/>
        </w:rPr>
        <w:t>Luschin von</w:t>
      </w:r>
      <w:r w:rsidRPr="00464424">
        <w:rPr>
          <w:rStyle w:val="Corpsdutexte865ptPetitesmajuscules"/>
          <w:smallCaps w:val="0"/>
        </w:rPr>
        <w:t xml:space="preserve"> </w:t>
      </w:r>
      <w:r w:rsidRPr="00464424">
        <w:rPr>
          <w:bCs/>
          <w:smallCaps/>
        </w:rPr>
        <w:t>Ebengreuth</w:t>
      </w:r>
      <w:r w:rsidRPr="00C91CB2">
        <w:rPr>
          <w:bCs/>
        </w:rPr>
        <w:t xml:space="preserve">, </w:t>
      </w:r>
      <w:r w:rsidRPr="00C91CB2">
        <w:rPr>
          <w:bCs/>
          <w:i/>
        </w:rPr>
        <w:t>Allgemeine Münzkunde und Geldge</w:t>
      </w:r>
      <w:r w:rsidRPr="00C91CB2">
        <w:rPr>
          <w:i/>
          <w:lang w:eastAsia="fr-FR" w:bidi="fr-FR"/>
        </w:rPr>
        <w:t>schichte</w:t>
      </w:r>
      <w:r>
        <w:t xml:space="preserve"> [866]</w:t>
      </w:r>
      <w:r w:rsidRPr="00C91CB2">
        <w:rPr>
          <w:i/>
          <w:lang w:eastAsia="fr-FR" w:bidi="fr-FR"/>
        </w:rPr>
        <w:t xml:space="preserve"> des Mittelalters und der Neueren Zeit</w:t>
      </w:r>
      <w:r w:rsidRPr="000F765B">
        <w:rPr>
          <w:lang w:eastAsia="fr-FR" w:bidi="fr-FR"/>
        </w:rPr>
        <w:t>, 2</w:t>
      </w:r>
      <w:r w:rsidRPr="00C91CB2">
        <w:rPr>
          <w:vertAlign w:val="superscript"/>
          <w:lang w:eastAsia="fr-FR" w:bidi="fr-FR"/>
        </w:rPr>
        <w:t>e</w:t>
      </w:r>
      <w:r>
        <w:rPr>
          <w:lang w:eastAsia="fr-FR" w:bidi="fr-FR"/>
        </w:rPr>
        <w:t xml:space="preserve"> </w:t>
      </w:r>
      <w:r w:rsidRPr="000F765B">
        <w:rPr>
          <w:lang w:eastAsia="fr-FR" w:bidi="fr-FR"/>
        </w:rPr>
        <w:t>éd., 1926 (</w:t>
      </w:r>
      <w:r w:rsidRPr="00C91CB2">
        <w:rPr>
          <w:i/>
          <w:lang w:eastAsia="fr-FR" w:bidi="fr-FR"/>
        </w:rPr>
        <w:t>Handbuch der mitt</w:t>
      </w:r>
      <w:r w:rsidRPr="00C91CB2">
        <w:rPr>
          <w:i/>
          <w:lang w:eastAsia="fr-FR" w:bidi="fr-FR"/>
        </w:rPr>
        <w:t>e</w:t>
      </w:r>
      <w:r w:rsidRPr="00C91CB2">
        <w:rPr>
          <w:i/>
          <w:lang w:eastAsia="fr-FR" w:bidi="fr-FR"/>
        </w:rPr>
        <w:t>lalterlichen und neueren Geschichte</w:t>
      </w:r>
      <w:r w:rsidRPr="000F765B">
        <w:rPr>
          <w:lang w:eastAsia="fr-FR" w:bidi="fr-FR"/>
        </w:rPr>
        <w:t xml:space="preserve">, hgg. von G. v. </w:t>
      </w:r>
      <w:r w:rsidRPr="00C91CB2">
        <w:rPr>
          <w:bCs/>
          <w:smallCaps/>
        </w:rPr>
        <w:t>Below</w:t>
      </w:r>
      <w:r w:rsidRPr="00C91CB2">
        <w:rPr>
          <w:b/>
          <w:bCs/>
          <w:smallCaps/>
        </w:rPr>
        <w:t xml:space="preserve"> </w:t>
      </w:r>
      <w:r w:rsidRPr="000F765B">
        <w:rPr>
          <w:lang w:eastAsia="fr-FR" w:bidi="fr-FR"/>
        </w:rPr>
        <w:t xml:space="preserve">und F. </w:t>
      </w:r>
      <w:r w:rsidRPr="00C91CB2">
        <w:rPr>
          <w:bCs/>
          <w:smallCaps/>
        </w:rPr>
        <w:lastRenderedPageBreak/>
        <w:t>Meinecke).</w:t>
      </w:r>
      <w:r w:rsidRPr="00C91CB2">
        <w:rPr>
          <w:b/>
          <w:bCs/>
          <w:smallCaps/>
        </w:rPr>
        <w:t xml:space="preserve"> </w:t>
      </w:r>
      <w:r w:rsidRPr="000F765B">
        <w:rPr>
          <w:lang w:eastAsia="fr-FR" w:bidi="fr-FR"/>
        </w:rPr>
        <w:t xml:space="preserve">Malheureusement, l’ouvrage parallèle de F. </w:t>
      </w:r>
      <w:r w:rsidRPr="00C91CB2">
        <w:rPr>
          <w:bCs/>
          <w:smallCaps/>
        </w:rPr>
        <w:t>Frieden</w:t>
      </w:r>
      <w:r w:rsidRPr="00C91CB2">
        <w:rPr>
          <w:bCs/>
          <w:smallCaps/>
        </w:rPr>
        <w:t>s</w:t>
      </w:r>
      <w:r w:rsidRPr="00C91CB2">
        <w:rPr>
          <w:bCs/>
          <w:smallCaps/>
        </w:rPr>
        <w:t>burg,</w:t>
      </w:r>
      <w:r w:rsidRPr="00C91CB2">
        <w:rPr>
          <w:b/>
          <w:bCs/>
          <w:smallCaps/>
        </w:rPr>
        <w:t xml:space="preserve"> </w:t>
      </w:r>
      <w:r w:rsidRPr="00C91CB2">
        <w:rPr>
          <w:i/>
          <w:lang w:eastAsia="fr-FR" w:bidi="fr-FR"/>
        </w:rPr>
        <w:t>Münzkunde und Geldgeschichte der Einzel</w:t>
      </w:r>
      <w:r>
        <w:rPr>
          <w:i/>
          <w:lang w:eastAsia="fr-FR" w:bidi="fr-FR"/>
        </w:rPr>
        <w:t>-</w:t>
      </w:r>
      <w:r w:rsidRPr="00C91CB2">
        <w:rPr>
          <w:i/>
          <w:lang w:eastAsia="fr-FR" w:bidi="fr-FR"/>
        </w:rPr>
        <w:t>staaten</w:t>
      </w:r>
      <w:r w:rsidRPr="000F765B">
        <w:rPr>
          <w:lang w:eastAsia="fr-FR" w:bidi="fr-FR"/>
        </w:rPr>
        <w:t>, paru en 1926 également, dans la même collection, est beaucoup moins sati</w:t>
      </w:r>
      <w:r w:rsidRPr="000F765B">
        <w:rPr>
          <w:lang w:eastAsia="fr-FR" w:bidi="fr-FR"/>
        </w:rPr>
        <w:t>s</w:t>
      </w:r>
      <w:r w:rsidRPr="000F765B">
        <w:rPr>
          <w:lang w:eastAsia="fr-FR" w:bidi="fr-FR"/>
        </w:rPr>
        <w:t xml:space="preserve">faisant. Les recherches de A. </w:t>
      </w:r>
      <w:r w:rsidRPr="00C91CB2">
        <w:rPr>
          <w:bCs/>
          <w:smallCaps/>
        </w:rPr>
        <w:t>Soetbeer,</w:t>
      </w:r>
      <w:r w:rsidRPr="00C91CB2">
        <w:rPr>
          <w:b/>
          <w:bCs/>
          <w:smallCaps/>
        </w:rPr>
        <w:t xml:space="preserve"> </w:t>
      </w:r>
      <w:r w:rsidRPr="00C91CB2">
        <w:rPr>
          <w:i/>
          <w:lang w:eastAsia="fr-FR" w:bidi="fr-FR"/>
        </w:rPr>
        <w:t>Beiträge zur Geschichte des Geld</w:t>
      </w:r>
      <w:r>
        <w:rPr>
          <w:i/>
          <w:lang w:eastAsia="fr-FR" w:bidi="fr-FR"/>
        </w:rPr>
        <w:t>-</w:t>
      </w:r>
      <w:r w:rsidRPr="00C91CB2">
        <w:rPr>
          <w:i/>
          <w:lang w:eastAsia="fr-FR" w:bidi="fr-FR"/>
        </w:rPr>
        <w:t>und Münzwesens, dans Forschungen zur deut</w:t>
      </w:r>
      <w:r w:rsidRPr="00C91CB2">
        <w:rPr>
          <w:i/>
          <w:lang w:eastAsia="fr-FR" w:bidi="fr-FR"/>
        </w:rPr>
        <w:t>s</w:t>
      </w:r>
      <w:r w:rsidRPr="00C91CB2">
        <w:rPr>
          <w:i/>
          <w:lang w:eastAsia="fr-FR" w:bidi="fr-FR"/>
        </w:rPr>
        <w:t>chen Geschichte</w:t>
      </w:r>
      <w:r w:rsidRPr="00C91CB2">
        <w:rPr>
          <w:lang w:eastAsia="fr-FR" w:bidi="fr-FR"/>
        </w:rPr>
        <w:t>,</w:t>
      </w:r>
      <w:r w:rsidRPr="000F765B">
        <w:rPr>
          <w:lang w:eastAsia="fr-FR" w:bidi="fr-FR"/>
        </w:rPr>
        <w:t xml:space="preserve"> t. I, II, IV et VI, 1860, 1861, 1864, 1866, demeurent fondamentales.</w:t>
      </w:r>
    </w:p>
    <w:p w14:paraId="00CBAA25" w14:textId="77777777" w:rsidR="00B9662D" w:rsidRPr="000F765B" w:rsidRDefault="00B9662D" w:rsidP="00B9662D">
      <w:pPr>
        <w:spacing w:before="120" w:after="120"/>
        <w:jc w:val="both"/>
        <w:rPr>
          <w:lang w:eastAsia="fr-FR" w:bidi="fr-FR"/>
        </w:rPr>
      </w:pPr>
      <w:r w:rsidRPr="000F765B">
        <w:rPr>
          <w:lang w:eastAsia="fr-FR" w:bidi="fr-FR"/>
        </w:rPr>
        <w:t xml:space="preserve">Aux travailleurs déjà familiers avec l’interprétation des textes, le recueil de documents, adroitement choisis, que M. W. </w:t>
      </w:r>
      <w:r w:rsidRPr="00464424">
        <w:rPr>
          <w:bCs/>
          <w:smallCaps/>
        </w:rPr>
        <w:t>Jesse</w:t>
      </w:r>
      <w:r w:rsidRPr="00C91CB2">
        <w:rPr>
          <w:b/>
          <w:bCs/>
          <w:smallCaps/>
        </w:rPr>
        <w:t xml:space="preserve"> </w:t>
      </w:r>
      <w:r w:rsidRPr="000F765B">
        <w:rPr>
          <w:lang w:eastAsia="fr-FR" w:bidi="fr-FR"/>
        </w:rPr>
        <w:t xml:space="preserve">a fait paraître, en 1924, sous le titre de </w:t>
      </w:r>
      <w:r w:rsidRPr="00C91CB2">
        <w:rPr>
          <w:i/>
          <w:lang w:eastAsia="fr-FR" w:bidi="fr-FR"/>
        </w:rPr>
        <w:t>Quellenbuch zur Geld</w:t>
      </w:r>
      <w:r>
        <w:rPr>
          <w:i/>
          <w:lang w:eastAsia="fr-FR" w:bidi="fr-FR"/>
        </w:rPr>
        <w:t>-</w:t>
      </w:r>
      <w:r w:rsidRPr="00C91CB2">
        <w:rPr>
          <w:i/>
          <w:lang w:eastAsia="fr-FR" w:bidi="fr-FR"/>
        </w:rPr>
        <w:t>und Münzge</w:t>
      </w:r>
      <w:r w:rsidRPr="00C91CB2">
        <w:rPr>
          <w:i/>
          <w:lang w:eastAsia="fr-FR" w:bidi="fr-FR"/>
        </w:rPr>
        <w:t>s</w:t>
      </w:r>
      <w:r w:rsidRPr="00C91CB2">
        <w:rPr>
          <w:i/>
          <w:lang w:eastAsia="fr-FR" w:bidi="fr-FR"/>
        </w:rPr>
        <w:t>chichte des Mittelalters</w:t>
      </w:r>
      <w:r w:rsidRPr="000F765B">
        <w:rPr>
          <w:lang w:eastAsia="fr-FR" w:bidi="fr-FR"/>
        </w:rPr>
        <w:t xml:space="preserve"> permettra de pénétrer, d’emblée, au cœur des grands problèmes.</w:t>
      </w:r>
    </w:p>
    <w:p w14:paraId="204AEC9D" w14:textId="77777777" w:rsidR="00B9662D" w:rsidRPr="000F765B" w:rsidRDefault="00B9662D" w:rsidP="00B9662D">
      <w:pPr>
        <w:spacing w:before="120" w:after="120"/>
        <w:jc w:val="both"/>
        <w:rPr>
          <w:lang w:eastAsia="fr-FR" w:bidi="fr-FR"/>
        </w:rPr>
      </w:pPr>
      <w:r w:rsidRPr="000F765B">
        <w:rPr>
          <w:lang w:eastAsia="fr-FR" w:bidi="fr-FR"/>
        </w:rPr>
        <w:t xml:space="preserve">Sur la France, on consultera A. </w:t>
      </w:r>
      <w:r w:rsidRPr="00C91CB2">
        <w:rPr>
          <w:bCs/>
          <w:smallCaps/>
        </w:rPr>
        <w:t>Blanchet</w:t>
      </w:r>
      <w:r w:rsidRPr="00C91CB2">
        <w:rPr>
          <w:b/>
          <w:bCs/>
          <w:smallCaps/>
        </w:rPr>
        <w:t xml:space="preserve"> </w:t>
      </w:r>
      <w:r w:rsidRPr="000F765B">
        <w:rPr>
          <w:lang w:eastAsia="fr-FR" w:bidi="fr-FR"/>
        </w:rPr>
        <w:t xml:space="preserve">et A. </w:t>
      </w:r>
      <w:r w:rsidRPr="00C91CB2">
        <w:rPr>
          <w:bCs/>
          <w:smallCaps/>
        </w:rPr>
        <w:t>Dieudonné,</w:t>
      </w:r>
      <w:r w:rsidRPr="00C91CB2">
        <w:rPr>
          <w:b/>
          <w:bCs/>
          <w:smallCaps/>
        </w:rPr>
        <w:t xml:space="preserve"> </w:t>
      </w:r>
      <w:r w:rsidRPr="00C91CB2">
        <w:rPr>
          <w:i/>
          <w:lang w:eastAsia="fr-FR" w:bidi="fr-FR"/>
        </w:rPr>
        <w:t>M</w:t>
      </w:r>
      <w:r w:rsidRPr="00C91CB2">
        <w:rPr>
          <w:i/>
          <w:lang w:eastAsia="fr-FR" w:bidi="fr-FR"/>
        </w:rPr>
        <w:t>a</w:t>
      </w:r>
      <w:r w:rsidRPr="00C91CB2">
        <w:rPr>
          <w:i/>
          <w:lang w:eastAsia="fr-FR" w:bidi="fr-FR"/>
        </w:rPr>
        <w:t>nuel de numismatique française</w:t>
      </w:r>
      <w:r w:rsidRPr="000F765B">
        <w:rPr>
          <w:lang w:eastAsia="fr-FR" w:bidi="fr-FR"/>
        </w:rPr>
        <w:t xml:space="preserve">, t. I et II, 1912-1916 (ne traite encore, pour la période capétienne, que des monnaies royales). Sur l’Angleterre, voir le répertoire, parfois un peu rapide, de Ch. </w:t>
      </w:r>
      <w:r w:rsidRPr="00C91CB2">
        <w:rPr>
          <w:bCs/>
          <w:smallCaps/>
        </w:rPr>
        <w:t>Oman,</w:t>
      </w:r>
      <w:r w:rsidRPr="00C91CB2">
        <w:rPr>
          <w:b/>
          <w:bCs/>
          <w:smallCaps/>
        </w:rPr>
        <w:t xml:space="preserve"> </w:t>
      </w:r>
      <w:r w:rsidRPr="00C91CB2">
        <w:rPr>
          <w:i/>
          <w:lang w:eastAsia="fr-FR" w:bidi="fr-FR"/>
        </w:rPr>
        <w:t>The coinage of England</w:t>
      </w:r>
      <w:r w:rsidRPr="000F765B">
        <w:rPr>
          <w:lang w:eastAsia="fr-FR" w:bidi="fr-FR"/>
        </w:rPr>
        <w:t xml:space="preserve">, 1931 ; </w:t>
      </w:r>
      <w:r w:rsidRPr="00464424">
        <w:rPr>
          <w:i/>
          <w:lang w:eastAsia="fr-FR" w:bidi="fr-FR"/>
        </w:rPr>
        <w:t>cf</w:t>
      </w:r>
      <w:r w:rsidRPr="000F765B">
        <w:rPr>
          <w:lang w:eastAsia="fr-FR" w:bidi="fr-FR"/>
        </w:rPr>
        <w:t>.,</w:t>
      </w:r>
      <w:r>
        <w:rPr>
          <w:lang w:eastAsia="fr-FR" w:bidi="fr-FR"/>
        </w:rPr>
        <w:t xml:space="preserve"> sur l’époque anglo-saxonne, H. </w:t>
      </w:r>
      <w:r>
        <w:rPr>
          <w:bCs/>
          <w:smallCaps/>
        </w:rPr>
        <w:t>Munro-</w:t>
      </w:r>
      <w:r w:rsidRPr="00C91CB2">
        <w:rPr>
          <w:bCs/>
          <w:smallCaps/>
        </w:rPr>
        <w:t>Chadwick,</w:t>
      </w:r>
      <w:r w:rsidRPr="00C91CB2">
        <w:rPr>
          <w:b/>
          <w:bCs/>
          <w:smallCaps/>
        </w:rPr>
        <w:t xml:space="preserve"> </w:t>
      </w:r>
      <w:r w:rsidRPr="00C91CB2">
        <w:rPr>
          <w:i/>
          <w:lang w:eastAsia="fr-FR" w:bidi="fr-FR"/>
        </w:rPr>
        <w:t>The monetary system</w:t>
      </w:r>
      <w:r w:rsidRPr="00C91CB2">
        <w:rPr>
          <w:lang w:eastAsia="fr-FR" w:bidi="fr-FR"/>
        </w:rPr>
        <w:t>,</w:t>
      </w:r>
      <w:r w:rsidRPr="000F765B">
        <w:rPr>
          <w:lang w:eastAsia="fr-FR" w:bidi="fr-FR"/>
        </w:rPr>
        <w:t xml:space="preserve"> dans ses </w:t>
      </w:r>
      <w:r w:rsidRPr="00C91CB2">
        <w:rPr>
          <w:i/>
          <w:lang w:eastAsia="fr-FR" w:bidi="fr-FR"/>
        </w:rPr>
        <w:t>Studies on a</w:t>
      </w:r>
      <w:r w:rsidRPr="00C91CB2">
        <w:rPr>
          <w:i/>
          <w:lang w:eastAsia="fr-FR" w:bidi="fr-FR"/>
        </w:rPr>
        <w:t>n</w:t>
      </w:r>
      <w:r w:rsidRPr="00C91CB2">
        <w:rPr>
          <w:i/>
          <w:lang w:eastAsia="fr-FR" w:bidi="fr-FR"/>
        </w:rPr>
        <w:t>glo-saxon institutions</w:t>
      </w:r>
      <w:r w:rsidRPr="000F765B">
        <w:rPr>
          <w:lang w:eastAsia="fr-FR" w:bidi="fr-FR"/>
        </w:rPr>
        <w:t xml:space="preserve">, 1905 (pour les monnaies d’or, en particulier, voir p. 5). Sur l’Allemagne, le livre d’Erich </w:t>
      </w:r>
      <w:r w:rsidRPr="00C91CB2">
        <w:rPr>
          <w:bCs/>
          <w:smallCaps/>
        </w:rPr>
        <w:t>Born,</w:t>
      </w:r>
      <w:r w:rsidRPr="00C91CB2">
        <w:rPr>
          <w:b/>
          <w:bCs/>
          <w:smallCaps/>
        </w:rPr>
        <w:t xml:space="preserve"> </w:t>
      </w:r>
      <w:r w:rsidRPr="00C91CB2">
        <w:rPr>
          <w:i/>
          <w:lang w:eastAsia="fr-FR" w:bidi="fr-FR"/>
        </w:rPr>
        <w:t>Das Zeitalter des Denars</w:t>
      </w:r>
      <w:r w:rsidRPr="00C91CB2">
        <w:rPr>
          <w:lang w:eastAsia="fr-FR" w:bidi="fr-FR"/>
        </w:rPr>
        <w:t>,</w:t>
      </w:r>
      <w:r w:rsidRPr="000F765B">
        <w:rPr>
          <w:lang w:eastAsia="fr-FR" w:bidi="fr-FR"/>
        </w:rPr>
        <w:t xml:space="preserve"> 1924 </w:t>
      </w:r>
      <w:r w:rsidRPr="00C91CB2">
        <w:rPr>
          <w:lang w:eastAsia="fr-FR" w:bidi="fr-FR"/>
        </w:rPr>
        <w:t>(Wirtschafts</w:t>
      </w:r>
      <w:r>
        <w:rPr>
          <w:lang w:eastAsia="fr-FR" w:bidi="fr-FR"/>
        </w:rPr>
        <w:t>-</w:t>
      </w:r>
      <w:r w:rsidRPr="00C91CB2">
        <w:rPr>
          <w:lang w:eastAsia="fr-FR" w:bidi="fr-FR"/>
        </w:rPr>
        <w:t>und Verwaltungsstudien...,</w:t>
      </w:r>
      <w:r w:rsidRPr="000F765B">
        <w:rPr>
          <w:lang w:eastAsia="fr-FR" w:bidi="fr-FR"/>
        </w:rPr>
        <w:t xml:space="preserve"> hgg. von </w:t>
      </w:r>
      <w:r w:rsidRPr="00C91CB2">
        <w:rPr>
          <w:lang w:eastAsia="fr-FR" w:bidi="fr-FR"/>
        </w:rPr>
        <w:t xml:space="preserve">G. </w:t>
      </w:r>
      <w:r w:rsidRPr="000F765B">
        <w:rPr>
          <w:lang w:eastAsia="fr-FR" w:bidi="fr-FR"/>
        </w:rPr>
        <w:t xml:space="preserve">von </w:t>
      </w:r>
      <w:r w:rsidRPr="00C91CB2">
        <w:rPr>
          <w:bCs/>
          <w:smallCaps/>
        </w:rPr>
        <w:t>Schanz,</w:t>
      </w:r>
      <w:r w:rsidRPr="00C91CB2">
        <w:rPr>
          <w:b/>
          <w:bCs/>
          <w:smallCaps/>
        </w:rPr>
        <w:t xml:space="preserve"> </w:t>
      </w:r>
      <w:r w:rsidRPr="000F765B">
        <w:rPr>
          <w:lang w:eastAsia="fr-FR" w:bidi="fr-FR"/>
        </w:rPr>
        <w:t xml:space="preserve">t. LXIII) apporte un essai de synthèse, souvent bien contestable, mais qu’on aurait tort de négliger. Il ne saurait dispenser de se référer </w:t>
      </w:r>
      <w:r w:rsidRPr="00C91CB2">
        <w:rPr>
          <w:lang w:eastAsia="fr-FR" w:bidi="fr-FR"/>
        </w:rPr>
        <w:t xml:space="preserve">à </w:t>
      </w:r>
      <w:r w:rsidRPr="000F765B">
        <w:rPr>
          <w:lang w:eastAsia="fr-FR" w:bidi="fr-FR"/>
        </w:rPr>
        <w:t xml:space="preserve">l’ouvrage, plus ancien, de Th. </w:t>
      </w:r>
      <w:r w:rsidRPr="00C91CB2">
        <w:rPr>
          <w:bCs/>
          <w:smallCaps/>
        </w:rPr>
        <w:t>Eheberg,</w:t>
      </w:r>
      <w:r w:rsidRPr="00C91CB2">
        <w:rPr>
          <w:b/>
          <w:bCs/>
          <w:smallCaps/>
        </w:rPr>
        <w:t xml:space="preserve"> </w:t>
      </w:r>
      <w:r w:rsidRPr="00C91CB2">
        <w:rPr>
          <w:i/>
          <w:lang w:eastAsia="fr-FR" w:bidi="fr-FR"/>
        </w:rPr>
        <w:t>Über das alt</w:t>
      </w:r>
      <w:r w:rsidRPr="00C91CB2">
        <w:rPr>
          <w:i/>
          <w:lang w:eastAsia="fr-FR" w:bidi="fr-FR"/>
        </w:rPr>
        <w:t>é</w:t>
      </w:r>
      <w:r w:rsidRPr="00C91CB2">
        <w:rPr>
          <w:i/>
          <w:lang w:eastAsia="fr-FR" w:bidi="fr-FR"/>
        </w:rPr>
        <w:t>ré deutsche Münzwesen</w:t>
      </w:r>
      <w:r w:rsidRPr="000F765B">
        <w:rPr>
          <w:lang w:eastAsia="fr-FR" w:bidi="fr-FR"/>
        </w:rPr>
        <w:t>, 1879 (</w:t>
      </w:r>
      <w:r w:rsidRPr="00C91CB2">
        <w:rPr>
          <w:lang w:eastAsia="fr-FR" w:bidi="fr-FR"/>
        </w:rPr>
        <w:t>Staats</w:t>
      </w:r>
      <w:r>
        <w:rPr>
          <w:lang w:eastAsia="fr-FR" w:bidi="fr-FR"/>
        </w:rPr>
        <w:t>-</w:t>
      </w:r>
      <w:r w:rsidRPr="00C91CB2">
        <w:rPr>
          <w:lang w:eastAsia="fr-FR" w:bidi="fr-FR"/>
        </w:rPr>
        <w:t>und socialwissenschaftliche Forschungen</w:t>
      </w:r>
      <w:r w:rsidRPr="000F765B">
        <w:rPr>
          <w:lang w:eastAsia="fr-FR" w:bidi="fr-FR"/>
        </w:rPr>
        <w:t xml:space="preserve">, hgg. von </w:t>
      </w:r>
      <w:r w:rsidRPr="00C91CB2">
        <w:rPr>
          <w:bCs/>
          <w:smallCaps/>
        </w:rPr>
        <w:t>G. Schmoller,</w:t>
      </w:r>
      <w:r w:rsidRPr="00C91CB2">
        <w:rPr>
          <w:b/>
          <w:bCs/>
          <w:smallCaps/>
        </w:rPr>
        <w:t xml:space="preserve"> </w:t>
      </w:r>
      <w:r w:rsidRPr="000F765B">
        <w:rPr>
          <w:lang w:eastAsia="fr-FR" w:bidi="fr-FR"/>
        </w:rPr>
        <w:t xml:space="preserve">II, 5). Sur l’Italie, </w:t>
      </w:r>
      <w:r w:rsidRPr="00C91CB2">
        <w:rPr>
          <w:lang w:eastAsia="fr-FR" w:bidi="fr-FR"/>
        </w:rPr>
        <w:t xml:space="preserve">à </w:t>
      </w:r>
      <w:r w:rsidRPr="000F765B">
        <w:rPr>
          <w:lang w:eastAsia="fr-FR" w:bidi="fr-FR"/>
        </w:rPr>
        <w:t xml:space="preserve">l’époque ancienne, on trouvera un grand nombre de renseignements importants rassemblés par Ugo </w:t>
      </w:r>
      <w:r w:rsidRPr="00C91CB2">
        <w:rPr>
          <w:bCs/>
          <w:smallCaps/>
        </w:rPr>
        <w:t>Monneret de Villars,</w:t>
      </w:r>
      <w:r w:rsidRPr="00C91CB2">
        <w:rPr>
          <w:b/>
          <w:bCs/>
          <w:smallCaps/>
        </w:rPr>
        <w:t xml:space="preserve"> </w:t>
      </w:r>
      <w:r w:rsidRPr="00C91CB2">
        <w:rPr>
          <w:i/>
          <w:lang w:eastAsia="fr-FR" w:bidi="fr-FR"/>
        </w:rPr>
        <w:t>La moneta in Italia d</w:t>
      </w:r>
      <w:r w:rsidRPr="00C91CB2">
        <w:rPr>
          <w:i/>
          <w:lang w:eastAsia="fr-FR" w:bidi="fr-FR"/>
        </w:rPr>
        <w:t>u</w:t>
      </w:r>
      <w:r w:rsidRPr="00C91CB2">
        <w:rPr>
          <w:i/>
          <w:lang w:eastAsia="fr-FR" w:bidi="fr-FR"/>
        </w:rPr>
        <w:t>rante Valto medio evo, dans Rivista italiana di numismatica</w:t>
      </w:r>
      <w:r>
        <w:rPr>
          <w:lang w:eastAsia="fr-FR" w:bidi="fr-FR"/>
        </w:rPr>
        <w:t>, t. </w:t>
      </w:r>
      <w:r w:rsidRPr="000F765B">
        <w:rPr>
          <w:lang w:eastAsia="fr-FR" w:bidi="fr-FR"/>
        </w:rPr>
        <w:t>XXXII et XXXIII, 1919-1920 ; cet excellent mémoire déborde d’ailleurs a</w:t>
      </w:r>
      <w:r w:rsidRPr="000F765B">
        <w:rPr>
          <w:lang w:eastAsia="fr-FR" w:bidi="fr-FR"/>
        </w:rPr>
        <w:t>m</w:t>
      </w:r>
      <w:r w:rsidRPr="000F765B">
        <w:rPr>
          <w:lang w:eastAsia="fr-FR" w:bidi="fr-FR"/>
        </w:rPr>
        <w:t xml:space="preserve">plement le cadre italien, </w:t>
      </w:r>
      <w:r>
        <w:rPr>
          <w:lang w:eastAsia="fr-FR" w:bidi="fr-FR"/>
        </w:rPr>
        <w:t>et on y relèvera, notamment (t. </w:t>
      </w:r>
      <w:r w:rsidRPr="000F765B">
        <w:rPr>
          <w:lang w:eastAsia="fr-FR" w:bidi="fr-FR"/>
        </w:rPr>
        <w:t xml:space="preserve">XXXII, p. 78 et suiv.), une étude sur le mancus, </w:t>
      </w:r>
      <w:r w:rsidRPr="00C91CB2">
        <w:rPr>
          <w:lang w:eastAsia="fr-FR" w:bidi="fr-FR"/>
        </w:rPr>
        <w:t xml:space="preserve">à </w:t>
      </w:r>
      <w:r w:rsidRPr="000F765B">
        <w:rPr>
          <w:lang w:eastAsia="fr-FR" w:bidi="fr-FR"/>
        </w:rPr>
        <w:t xml:space="preserve">laquelle je dois beaucoup ; les faits relatifs </w:t>
      </w:r>
      <w:r w:rsidRPr="00C91CB2">
        <w:rPr>
          <w:lang w:eastAsia="fr-FR" w:bidi="fr-FR"/>
        </w:rPr>
        <w:t xml:space="preserve">à </w:t>
      </w:r>
      <w:r w:rsidRPr="000F765B">
        <w:rPr>
          <w:lang w:eastAsia="fr-FR" w:bidi="fr-FR"/>
        </w:rPr>
        <w:t>cette monnaie que j’ai cités sans référence lui sont e</w:t>
      </w:r>
      <w:r w:rsidRPr="000F765B">
        <w:rPr>
          <w:lang w:eastAsia="fr-FR" w:bidi="fr-FR"/>
        </w:rPr>
        <w:t>m</w:t>
      </w:r>
      <w:r w:rsidRPr="000F765B">
        <w:rPr>
          <w:lang w:eastAsia="fr-FR" w:bidi="fr-FR"/>
        </w:rPr>
        <w:t xml:space="preserve">pruntés. J’ai également fait un large emploi, pour une période plus récente, de l’ouvrage, malheureusement inachevé, de P. F. </w:t>
      </w:r>
      <w:r w:rsidRPr="00250A49">
        <w:rPr>
          <w:bCs/>
          <w:i/>
          <w:smallCaps/>
        </w:rPr>
        <w:t>Casaretto,</w:t>
      </w:r>
      <w:r w:rsidRPr="00250A49">
        <w:rPr>
          <w:b/>
          <w:bCs/>
          <w:i/>
          <w:smallCaps/>
        </w:rPr>
        <w:t xml:space="preserve"> </w:t>
      </w:r>
      <w:r w:rsidRPr="00250A49">
        <w:rPr>
          <w:i/>
          <w:lang w:eastAsia="fr-FR" w:bidi="fr-FR"/>
        </w:rPr>
        <w:t>La moneta genovese (</w:t>
      </w:r>
      <w:r>
        <w:rPr>
          <w:lang w:eastAsia="fr-FR" w:bidi="fr-FR"/>
        </w:rPr>
        <w:t>Atti dell</w:t>
      </w:r>
      <w:r w:rsidRPr="00C91CB2">
        <w:rPr>
          <w:lang w:eastAsia="fr-FR" w:bidi="fr-FR"/>
        </w:rPr>
        <w:t>a Soc. Ligure di Storia Patria,</w:t>
      </w:r>
      <w:r w:rsidRPr="000F765B">
        <w:rPr>
          <w:lang w:eastAsia="fr-FR" w:bidi="fr-FR"/>
        </w:rPr>
        <w:t xml:space="preserve"> t. LV, 1928) ; </w:t>
      </w:r>
      <w:r w:rsidRPr="00C91CB2">
        <w:rPr>
          <w:lang w:eastAsia="fr-FR" w:bidi="fr-FR"/>
        </w:rPr>
        <w:t>cf.</w:t>
      </w:r>
      <w:r w:rsidRPr="000F765B">
        <w:rPr>
          <w:lang w:eastAsia="fr-FR" w:bidi="fr-FR"/>
        </w:rPr>
        <w:t xml:space="preserve"> le compte rendu de notre collaborateur A.-É. </w:t>
      </w:r>
      <w:r w:rsidRPr="00C91CB2">
        <w:rPr>
          <w:bCs/>
          <w:smallCaps/>
        </w:rPr>
        <w:t>Sayous,</w:t>
      </w:r>
      <w:r w:rsidRPr="00C91CB2">
        <w:rPr>
          <w:b/>
          <w:bCs/>
          <w:smallCaps/>
        </w:rPr>
        <w:t xml:space="preserve"> </w:t>
      </w:r>
      <w:r w:rsidRPr="000F765B">
        <w:rPr>
          <w:lang w:eastAsia="fr-FR" w:bidi="fr-FR"/>
        </w:rPr>
        <w:t xml:space="preserve">dans </w:t>
      </w:r>
      <w:r w:rsidRPr="00C91CB2">
        <w:rPr>
          <w:i/>
          <w:lang w:eastAsia="fr-FR" w:bidi="fr-FR"/>
        </w:rPr>
        <w:t>Annales</w:t>
      </w:r>
      <w:r w:rsidRPr="000F765B">
        <w:rPr>
          <w:lang w:eastAsia="fr-FR" w:bidi="fr-FR"/>
        </w:rPr>
        <w:t>, t. II, 1930, p. 266 ; les indications qui, sur Gênes, sont do</w:t>
      </w:r>
      <w:r w:rsidRPr="000F765B">
        <w:rPr>
          <w:lang w:eastAsia="fr-FR" w:bidi="fr-FR"/>
        </w:rPr>
        <w:t>n</w:t>
      </w:r>
      <w:r w:rsidRPr="000F765B">
        <w:rPr>
          <w:lang w:eastAsia="fr-FR" w:bidi="fr-FR"/>
        </w:rPr>
        <w:t xml:space="preserve">nées sans renvoi particulier ont été puisées </w:t>
      </w:r>
      <w:r w:rsidRPr="00C91CB2">
        <w:rPr>
          <w:lang w:eastAsia="fr-FR" w:bidi="fr-FR"/>
        </w:rPr>
        <w:t xml:space="preserve">à </w:t>
      </w:r>
      <w:r w:rsidRPr="000F765B">
        <w:rPr>
          <w:lang w:eastAsia="fr-FR" w:bidi="fr-FR"/>
        </w:rPr>
        <w:t>cette source. Pour Fl</w:t>
      </w:r>
      <w:r w:rsidRPr="000F765B">
        <w:rPr>
          <w:lang w:eastAsia="fr-FR" w:bidi="fr-FR"/>
        </w:rPr>
        <w:t>o</w:t>
      </w:r>
      <w:r w:rsidRPr="000F765B">
        <w:rPr>
          <w:lang w:eastAsia="fr-FR" w:bidi="fr-FR"/>
        </w:rPr>
        <w:lastRenderedPageBreak/>
        <w:t>rence et, incidemment, le monnayage italien en général, on se report</w:t>
      </w:r>
      <w:r w:rsidRPr="000F765B">
        <w:rPr>
          <w:lang w:eastAsia="fr-FR" w:bidi="fr-FR"/>
        </w:rPr>
        <w:t>e</w:t>
      </w:r>
      <w:r w:rsidRPr="000F765B">
        <w:rPr>
          <w:lang w:eastAsia="fr-FR" w:bidi="fr-FR"/>
        </w:rPr>
        <w:t xml:space="preserve">ra à R. </w:t>
      </w:r>
      <w:r w:rsidRPr="00C91CB2">
        <w:rPr>
          <w:bCs/>
          <w:smallCaps/>
        </w:rPr>
        <w:t>Davidsohn,</w:t>
      </w:r>
      <w:r w:rsidRPr="00C91CB2">
        <w:rPr>
          <w:b/>
          <w:bCs/>
          <w:smallCaps/>
        </w:rPr>
        <w:t xml:space="preserve"> </w:t>
      </w:r>
      <w:r w:rsidRPr="00C91CB2">
        <w:rPr>
          <w:i/>
          <w:lang w:eastAsia="fr-FR" w:bidi="fr-FR"/>
        </w:rPr>
        <w:t>Geschichte von Florenz</w:t>
      </w:r>
      <w:r w:rsidRPr="000F765B">
        <w:rPr>
          <w:lang w:eastAsia="fr-FR" w:bidi="fr-FR"/>
        </w:rPr>
        <w:t xml:space="preserve"> (voir, notamment, sur la reprise de la frappe de l’or, t. II, p. 441 ; sur le sou d’argent, t. II, p. 213, avec les </w:t>
      </w:r>
      <w:r w:rsidRPr="00C91CB2">
        <w:rPr>
          <w:lang w:eastAsia="fr-FR" w:bidi="fr-FR"/>
        </w:rPr>
        <w:t>Forschungen</w:t>
      </w:r>
      <w:r>
        <w:rPr>
          <w:lang w:eastAsia="fr-FR" w:bidi="fr-FR"/>
        </w:rPr>
        <w:t xml:space="preserve"> du même auteur, t. </w:t>
      </w:r>
      <w:r w:rsidRPr="000F765B">
        <w:rPr>
          <w:lang w:eastAsia="fr-FR" w:bidi="fr-FR"/>
        </w:rPr>
        <w:t>IV, p. 318 ; sur la pr</w:t>
      </w:r>
      <w:r w:rsidRPr="000F765B">
        <w:rPr>
          <w:lang w:eastAsia="fr-FR" w:bidi="fr-FR"/>
        </w:rPr>
        <w:t>e</w:t>
      </w:r>
      <w:r w:rsidRPr="000F765B">
        <w:rPr>
          <w:lang w:eastAsia="fr-FR" w:bidi="fr-FR"/>
        </w:rPr>
        <w:t>mière monnaie d’or papale, t. IV, 2, p. 290).</w:t>
      </w:r>
    </w:p>
    <w:p w14:paraId="75640C17" w14:textId="77777777" w:rsidR="00B9662D" w:rsidRPr="000F765B" w:rsidRDefault="00B9662D" w:rsidP="00B9662D">
      <w:pPr>
        <w:spacing w:before="120" w:after="120"/>
        <w:jc w:val="both"/>
        <w:rPr>
          <w:lang w:eastAsia="fr-FR" w:bidi="fr-FR"/>
        </w:rPr>
      </w:pPr>
      <w:r w:rsidRPr="000F765B">
        <w:rPr>
          <w:lang w:eastAsia="fr-FR" w:bidi="fr-FR"/>
        </w:rPr>
        <w:t>Les catalogues des grandes collections, précédés souvent d’utiles introductions, sont indispensables. Plusieurs d’entre eux ont été me</w:t>
      </w:r>
      <w:r w:rsidRPr="000F765B">
        <w:rPr>
          <w:lang w:eastAsia="fr-FR" w:bidi="fr-FR"/>
        </w:rPr>
        <w:t>n</w:t>
      </w:r>
      <w:r w:rsidRPr="000F765B">
        <w:rPr>
          <w:lang w:eastAsia="fr-FR" w:bidi="fr-FR"/>
        </w:rPr>
        <w:t xml:space="preserve">tionnés ci-dessus dans les notes. Le petit volume que </w:t>
      </w:r>
      <w:r w:rsidRPr="00C91CB2">
        <w:rPr>
          <w:bCs/>
          <w:smallCaps/>
        </w:rPr>
        <w:t xml:space="preserve">M. Menadier </w:t>
      </w:r>
      <w:r w:rsidRPr="000F765B">
        <w:rPr>
          <w:lang w:eastAsia="fr-FR" w:bidi="fr-FR"/>
        </w:rPr>
        <w:t xml:space="preserve">a intitulé </w:t>
      </w:r>
      <w:r w:rsidRPr="00C91CB2">
        <w:rPr>
          <w:i/>
          <w:lang w:eastAsia="fr-FR" w:bidi="fr-FR"/>
        </w:rPr>
        <w:t>Die Schausammlung des Münzkabinetts im Kaiser-Friedrich Museum</w:t>
      </w:r>
      <w:r w:rsidRPr="000F765B">
        <w:rPr>
          <w:lang w:eastAsia="fr-FR" w:bidi="fr-FR"/>
        </w:rPr>
        <w:t xml:space="preserve">, 1919, porte comme sous-titre : </w:t>
      </w:r>
      <w:r w:rsidRPr="00C91CB2">
        <w:rPr>
          <w:i/>
          <w:lang w:eastAsia="fr-FR" w:bidi="fr-FR"/>
        </w:rPr>
        <w:t>Eine Münz geschichte eur</w:t>
      </w:r>
      <w:r w:rsidRPr="00C91CB2">
        <w:rPr>
          <w:i/>
          <w:lang w:eastAsia="fr-FR" w:bidi="fr-FR"/>
        </w:rPr>
        <w:t>o</w:t>
      </w:r>
      <w:r w:rsidRPr="00C91CB2">
        <w:rPr>
          <w:i/>
          <w:lang w:eastAsia="fr-FR" w:bidi="fr-FR"/>
        </w:rPr>
        <w:t>päischen Staaten</w:t>
      </w:r>
      <w:r w:rsidRPr="000F765B">
        <w:rPr>
          <w:lang w:eastAsia="fr-FR" w:bidi="fr-FR"/>
        </w:rPr>
        <w:t>, et en tient les promesses (voir, en particulier, sur la reprise de la frappe de l’or, dans l’Empire, p. 215). Impossible de pa</w:t>
      </w:r>
      <w:r w:rsidRPr="000F765B">
        <w:rPr>
          <w:lang w:eastAsia="fr-FR" w:bidi="fr-FR"/>
        </w:rPr>
        <w:t>s</w:t>
      </w:r>
      <w:r w:rsidRPr="000F765B">
        <w:rPr>
          <w:lang w:eastAsia="fr-FR" w:bidi="fr-FR"/>
        </w:rPr>
        <w:t xml:space="preserve">ser sous silence les précieuses introductions mises par Maurice </w:t>
      </w:r>
      <w:r w:rsidRPr="00C91CB2">
        <w:rPr>
          <w:bCs/>
          <w:smallCaps/>
        </w:rPr>
        <w:t>Prou</w:t>
      </w:r>
      <w:r w:rsidRPr="00C91CB2">
        <w:rPr>
          <w:b/>
          <w:bCs/>
          <w:smallCaps/>
        </w:rPr>
        <w:t xml:space="preserve"> </w:t>
      </w:r>
      <w:r w:rsidRPr="000F765B">
        <w:rPr>
          <w:lang w:eastAsia="fr-FR" w:bidi="fr-FR"/>
        </w:rPr>
        <w:t xml:space="preserve">en tête de ses </w:t>
      </w:r>
      <w:r w:rsidRPr="00250A49">
        <w:rPr>
          <w:i/>
          <w:lang w:eastAsia="fr-FR" w:bidi="fr-FR"/>
        </w:rPr>
        <w:t>Catalogues des monnaies mérovingiennes et caroli</w:t>
      </w:r>
      <w:r w:rsidRPr="00250A49">
        <w:rPr>
          <w:i/>
          <w:lang w:eastAsia="fr-FR" w:bidi="fr-FR"/>
        </w:rPr>
        <w:t>n</w:t>
      </w:r>
      <w:r w:rsidRPr="00250A49">
        <w:rPr>
          <w:i/>
          <w:lang w:eastAsia="fr-FR" w:bidi="fr-FR"/>
        </w:rPr>
        <w:t>giennes de la Bibliothèque Nationale</w:t>
      </w:r>
      <w:r w:rsidRPr="000F765B">
        <w:rPr>
          <w:lang w:eastAsia="fr-FR" w:bidi="fr-FR"/>
        </w:rPr>
        <w:t xml:space="preserve"> (1892-1896) ; sur le monnayage franc, sujet épineux entre tous, mais qui ne nous intéresse ici qu’assez indirectement, ces deux travaux et les ouvrages généraux parus par la suite fournissent toutes les indications bibliographiques nécessaires ; on y ajoutera le mémoire de A. </w:t>
      </w:r>
      <w:r w:rsidRPr="00C91CB2">
        <w:rPr>
          <w:bCs/>
          <w:smallCaps/>
        </w:rPr>
        <w:t>Segre,</w:t>
      </w:r>
      <w:r w:rsidRPr="00C91CB2">
        <w:rPr>
          <w:b/>
          <w:bCs/>
          <w:smallCaps/>
        </w:rPr>
        <w:t xml:space="preserve"> </w:t>
      </w:r>
      <w:r w:rsidRPr="00C91CB2">
        <w:rPr>
          <w:i/>
          <w:lang w:eastAsia="fr-FR" w:bidi="fr-FR"/>
        </w:rPr>
        <w:t>La circolazione monetaria del regno dei Franchi</w:t>
      </w:r>
      <w:r w:rsidRPr="00C91CB2">
        <w:rPr>
          <w:lang w:eastAsia="fr-FR" w:bidi="fr-FR"/>
        </w:rPr>
        <w:t>,</w:t>
      </w:r>
      <w:r w:rsidRPr="000F765B">
        <w:rPr>
          <w:lang w:eastAsia="fr-FR" w:bidi="fr-FR"/>
        </w:rPr>
        <w:t xml:space="preserve"> dans </w:t>
      </w:r>
      <w:r w:rsidRPr="00C91CB2">
        <w:rPr>
          <w:i/>
          <w:lang w:eastAsia="fr-FR" w:bidi="fr-FR"/>
        </w:rPr>
        <w:t>Rivista storica italiana</w:t>
      </w:r>
      <w:r w:rsidRPr="000F765B">
        <w:rPr>
          <w:lang w:eastAsia="fr-FR" w:bidi="fr-FR"/>
        </w:rPr>
        <w:t>, 1931.</w:t>
      </w:r>
    </w:p>
    <w:p w14:paraId="1A30B785" w14:textId="77777777" w:rsidR="00B9662D" w:rsidRDefault="00B9662D" w:rsidP="00B9662D">
      <w:pPr>
        <w:pStyle w:val="c"/>
        <w:rPr>
          <w:lang w:eastAsia="fr-FR" w:bidi="fr-FR"/>
        </w:rPr>
      </w:pPr>
      <w:r>
        <w:rPr>
          <w:lang w:eastAsia="fr-FR" w:bidi="fr-FR"/>
        </w:rPr>
        <w:t>*</w:t>
      </w:r>
      <w:r>
        <w:rPr>
          <w:lang w:eastAsia="fr-FR" w:bidi="fr-FR"/>
        </w:rPr>
        <w:br/>
        <w:t>*     *</w:t>
      </w:r>
    </w:p>
    <w:p w14:paraId="59FD2D6D" w14:textId="77777777" w:rsidR="00B9662D" w:rsidRPr="000F765B" w:rsidRDefault="00B9662D" w:rsidP="00B9662D">
      <w:pPr>
        <w:spacing w:before="120" w:after="120"/>
        <w:jc w:val="both"/>
        <w:rPr>
          <w:lang w:eastAsia="fr-FR" w:bidi="fr-FR"/>
        </w:rPr>
      </w:pPr>
      <w:r w:rsidRPr="000F765B">
        <w:rPr>
          <w:lang w:eastAsia="fr-FR" w:bidi="fr-FR"/>
        </w:rPr>
        <w:t xml:space="preserve">Les travaux </w:t>
      </w:r>
      <w:r w:rsidRPr="00C91CB2">
        <w:rPr>
          <w:lang w:eastAsia="fr-FR" w:bidi="fr-FR"/>
        </w:rPr>
        <w:t>d’</w:t>
      </w:r>
      <w:r w:rsidRPr="00C91CB2">
        <w:rPr>
          <w:bCs/>
          <w:smallCaps/>
        </w:rPr>
        <w:t>Inama-Sternegg, Luschin von Ebengreuth</w:t>
      </w:r>
      <w:r w:rsidRPr="00C91CB2">
        <w:rPr>
          <w:b/>
          <w:bCs/>
          <w:smallCaps/>
        </w:rPr>
        <w:t xml:space="preserve"> </w:t>
      </w:r>
      <w:r w:rsidRPr="000F765B">
        <w:rPr>
          <w:lang w:eastAsia="fr-FR" w:bidi="fr-FR"/>
        </w:rPr>
        <w:t xml:space="preserve">et </w:t>
      </w:r>
      <w:r w:rsidRPr="00C91CB2">
        <w:rPr>
          <w:bCs/>
          <w:smallCaps/>
        </w:rPr>
        <w:t>Nagl</w:t>
      </w:r>
      <w:r w:rsidRPr="00C91CB2">
        <w:rPr>
          <w:b/>
          <w:bCs/>
          <w:smallCaps/>
        </w:rPr>
        <w:t xml:space="preserve"> </w:t>
      </w:r>
      <w:r w:rsidRPr="000F765B">
        <w:rPr>
          <w:lang w:eastAsia="fr-FR" w:bidi="fr-FR"/>
        </w:rPr>
        <w:t xml:space="preserve">sur le problème de l’or au Moyen </w:t>
      </w:r>
      <w:r>
        <w:rPr>
          <w:lang w:eastAsia="fr-FR" w:bidi="fr-FR"/>
        </w:rPr>
        <w:t>Â</w:t>
      </w:r>
      <w:r w:rsidRPr="000F765B">
        <w:rPr>
          <w:lang w:eastAsia="fr-FR" w:bidi="fr-FR"/>
        </w:rPr>
        <w:t>ge ont été cités plus haut (p. 861, n. 2 et p. 862, n. 1, à propos</w:t>
      </w:r>
      <w:r>
        <w:rPr>
          <w:lang w:eastAsia="fr-FR" w:bidi="fr-FR"/>
        </w:rPr>
        <w:t xml:space="preserve"> [867] </w:t>
      </w:r>
      <w:r w:rsidRPr="000F765B">
        <w:rPr>
          <w:lang w:eastAsia="fr-FR" w:bidi="fr-FR"/>
        </w:rPr>
        <w:t>du régime monétaire des temps qui ont suivi la reprise de la frappe ; ils portent, en effet, en m</w:t>
      </w:r>
      <w:r w:rsidRPr="000F765B">
        <w:rPr>
          <w:lang w:eastAsia="fr-FR" w:bidi="fr-FR"/>
        </w:rPr>
        <w:t>a</w:t>
      </w:r>
      <w:r w:rsidRPr="000F765B">
        <w:rPr>
          <w:lang w:eastAsia="fr-FR" w:bidi="fr-FR"/>
        </w:rPr>
        <w:t>jeure partie, sur cette période.</w:t>
      </w:r>
    </w:p>
    <w:p w14:paraId="60C48CB5" w14:textId="77777777" w:rsidR="00B9662D" w:rsidRPr="000F765B" w:rsidRDefault="00B9662D" w:rsidP="00B9662D">
      <w:pPr>
        <w:spacing w:before="120" w:after="120"/>
        <w:jc w:val="both"/>
        <w:rPr>
          <w:lang w:eastAsia="fr-FR" w:bidi="fr-FR"/>
        </w:rPr>
      </w:pPr>
      <w:r w:rsidRPr="000F765B">
        <w:rPr>
          <w:lang w:eastAsia="fr-FR" w:bidi="fr-FR"/>
        </w:rPr>
        <w:t>Le retour au monnayage de l’or, dans ses rapports avec la décade</w:t>
      </w:r>
      <w:r w:rsidRPr="000F765B">
        <w:rPr>
          <w:lang w:eastAsia="fr-FR" w:bidi="fr-FR"/>
        </w:rPr>
        <w:t>n</w:t>
      </w:r>
      <w:r w:rsidRPr="000F765B">
        <w:rPr>
          <w:lang w:eastAsia="fr-FR" w:bidi="fr-FR"/>
        </w:rPr>
        <w:t xml:space="preserve">ce de la monnaie byzantine, a fait l’objet d’une suggestive étude de G. I. </w:t>
      </w:r>
      <w:r w:rsidRPr="00C91CB2">
        <w:rPr>
          <w:bCs/>
          <w:smallCaps/>
        </w:rPr>
        <w:t>Bratianu</w:t>
      </w:r>
      <w:r w:rsidRPr="00250A49">
        <w:rPr>
          <w:bCs/>
          <w:i/>
          <w:smallCaps/>
        </w:rPr>
        <w:t>,</w:t>
      </w:r>
      <w:r w:rsidRPr="00250A49">
        <w:rPr>
          <w:b/>
          <w:bCs/>
          <w:i/>
          <w:smallCaps/>
        </w:rPr>
        <w:t xml:space="preserve"> </w:t>
      </w:r>
      <w:r w:rsidRPr="00250A49">
        <w:rPr>
          <w:i/>
          <w:lang w:eastAsia="fr-FR" w:bidi="fr-FR"/>
        </w:rPr>
        <w:t>L’hyperpère byzantin et la monnaie d’or des républiques italiennes</w:t>
      </w:r>
      <w:r w:rsidRPr="000F765B">
        <w:rPr>
          <w:lang w:eastAsia="fr-FR" w:bidi="fr-FR"/>
        </w:rPr>
        <w:t xml:space="preserve">, dans </w:t>
      </w:r>
      <w:r w:rsidRPr="00250A49">
        <w:rPr>
          <w:i/>
          <w:lang w:eastAsia="fr-FR" w:bidi="fr-FR"/>
        </w:rPr>
        <w:t>Mélanges Diehl</w:t>
      </w:r>
      <w:r w:rsidRPr="000F765B">
        <w:rPr>
          <w:lang w:eastAsia="fr-FR" w:bidi="fr-FR"/>
        </w:rPr>
        <w:t xml:space="preserve">, t. I, 1930. On trouvera, en outre, dans ce mémoire, un très utile exposé des destinées de l’hyperpère, en elles-mêmes, avec indications bibliographiques ; </w:t>
      </w:r>
      <w:r w:rsidRPr="00250A49">
        <w:rPr>
          <w:i/>
          <w:lang w:eastAsia="fr-FR" w:bidi="fr-FR"/>
        </w:rPr>
        <w:t>cf</w:t>
      </w:r>
      <w:r w:rsidRPr="00C91CB2">
        <w:rPr>
          <w:lang w:eastAsia="fr-FR" w:bidi="fr-FR"/>
        </w:rPr>
        <w:t>.</w:t>
      </w:r>
      <w:r w:rsidRPr="000F765B">
        <w:rPr>
          <w:lang w:eastAsia="fr-FR" w:bidi="fr-FR"/>
        </w:rPr>
        <w:t xml:space="preserve"> </w:t>
      </w:r>
      <w:r w:rsidRPr="00C91CB2">
        <w:rPr>
          <w:bCs/>
          <w:smallCaps/>
        </w:rPr>
        <w:t>A. Andréadès,</w:t>
      </w:r>
      <w:r w:rsidRPr="00C91CB2">
        <w:rPr>
          <w:b/>
          <w:bCs/>
          <w:smallCaps/>
        </w:rPr>
        <w:t xml:space="preserve"> </w:t>
      </w:r>
      <w:r w:rsidRPr="00250A49">
        <w:rPr>
          <w:i/>
          <w:lang w:eastAsia="fr-FR" w:bidi="fr-FR"/>
        </w:rPr>
        <w:t>De la monnaie et de la puissance d’achat des métaux précieux dans l’Empire byzantin</w:t>
      </w:r>
      <w:r w:rsidRPr="000F765B">
        <w:rPr>
          <w:lang w:eastAsia="fr-FR" w:bidi="fr-FR"/>
        </w:rPr>
        <w:t xml:space="preserve">, dans </w:t>
      </w:r>
      <w:r w:rsidRPr="00250A49">
        <w:rPr>
          <w:i/>
          <w:lang w:eastAsia="fr-FR" w:bidi="fr-FR"/>
        </w:rPr>
        <w:t>Byzantion</w:t>
      </w:r>
      <w:r w:rsidRPr="000F765B">
        <w:rPr>
          <w:lang w:eastAsia="fr-FR" w:bidi="fr-FR"/>
        </w:rPr>
        <w:t>, t. I, 1924.</w:t>
      </w:r>
    </w:p>
    <w:p w14:paraId="6F56DAFC" w14:textId="77777777" w:rsidR="00B9662D" w:rsidRPr="000F765B" w:rsidRDefault="00B9662D" w:rsidP="00B9662D">
      <w:pPr>
        <w:spacing w:before="120" w:after="120"/>
        <w:jc w:val="both"/>
        <w:rPr>
          <w:lang w:eastAsia="fr-FR" w:bidi="fr-FR"/>
        </w:rPr>
      </w:pPr>
      <w:r w:rsidRPr="00C91CB2">
        <w:rPr>
          <w:bCs/>
        </w:rPr>
        <w:t>Sur le monnayage de l’or en Angleterre, on consultera les deux a</w:t>
      </w:r>
      <w:r w:rsidRPr="00C91CB2">
        <w:rPr>
          <w:bCs/>
        </w:rPr>
        <w:t>r</w:t>
      </w:r>
      <w:r w:rsidRPr="00C91CB2">
        <w:rPr>
          <w:bCs/>
        </w:rPr>
        <w:t xml:space="preserve">ticles de J. </w:t>
      </w:r>
      <w:r w:rsidRPr="00C91CB2">
        <w:rPr>
          <w:bCs/>
          <w:smallCaps/>
        </w:rPr>
        <w:t>Evans,</w:t>
      </w:r>
      <w:r w:rsidRPr="00C91CB2">
        <w:rPr>
          <w:b/>
          <w:bCs/>
          <w:smallCaps/>
        </w:rPr>
        <w:t xml:space="preserve"> </w:t>
      </w:r>
      <w:r w:rsidRPr="00C91CB2">
        <w:rPr>
          <w:i/>
          <w:lang w:eastAsia="fr-FR" w:bidi="fr-FR"/>
        </w:rPr>
        <w:t>On gold coins struck in late Saxon times</w:t>
      </w:r>
      <w:r w:rsidRPr="00C91CB2">
        <w:rPr>
          <w:b/>
          <w:bCs/>
        </w:rPr>
        <w:t xml:space="preserve"> </w:t>
      </w:r>
      <w:r w:rsidRPr="00C91CB2">
        <w:rPr>
          <w:bCs/>
        </w:rPr>
        <w:t>et</w:t>
      </w:r>
      <w:r w:rsidRPr="00C91CB2">
        <w:rPr>
          <w:b/>
          <w:bCs/>
        </w:rPr>
        <w:t xml:space="preserve"> </w:t>
      </w:r>
      <w:r w:rsidRPr="00C91CB2">
        <w:rPr>
          <w:i/>
          <w:lang w:eastAsia="fr-FR" w:bidi="fr-FR"/>
        </w:rPr>
        <w:t xml:space="preserve">The </w:t>
      </w:r>
      <w:r w:rsidRPr="00C91CB2">
        <w:rPr>
          <w:i/>
          <w:lang w:eastAsia="fr-FR" w:bidi="fr-FR"/>
        </w:rPr>
        <w:lastRenderedPageBreak/>
        <w:t>first gold coins of England</w:t>
      </w:r>
      <w:r w:rsidRPr="00C91CB2">
        <w:rPr>
          <w:b/>
          <w:bCs/>
          <w:i/>
        </w:rPr>
        <w:t xml:space="preserve">, </w:t>
      </w:r>
      <w:r w:rsidRPr="00250A49">
        <w:rPr>
          <w:bCs/>
        </w:rPr>
        <w:t>dans</w:t>
      </w:r>
      <w:r w:rsidRPr="00C91CB2">
        <w:rPr>
          <w:b/>
          <w:bCs/>
          <w:i/>
        </w:rPr>
        <w:t xml:space="preserve"> </w:t>
      </w:r>
      <w:r>
        <w:rPr>
          <w:i/>
          <w:lang w:eastAsia="fr-FR" w:bidi="fr-FR"/>
        </w:rPr>
        <w:t>Numis</w:t>
      </w:r>
      <w:r w:rsidRPr="00C91CB2">
        <w:rPr>
          <w:i/>
          <w:lang w:eastAsia="fr-FR" w:bidi="fr-FR"/>
        </w:rPr>
        <w:t>matic chronicle</w:t>
      </w:r>
      <w:r w:rsidRPr="00C91CB2">
        <w:rPr>
          <w:lang w:eastAsia="fr-FR" w:bidi="fr-FR"/>
        </w:rPr>
        <w:t>,</w:t>
      </w:r>
      <w:r w:rsidRPr="00C91CB2">
        <w:rPr>
          <w:b/>
          <w:bCs/>
        </w:rPr>
        <w:t xml:space="preserve"> </w:t>
      </w:r>
      <w:r w:rsidRPr="00C91CB2">
        <w:rPr>
          <w:bCs/>
        </w:rPr>
        <w:t xml:space="preserve">1879 et 1900 ; sur les premières frappes dans les Pays-Bas, V. </w:t>
      </w:r>
      <w:r w:rsidRPr="00C91CB2">
        <w:rPr>
          <w:bCs/>
          <w:smallCaps/>
        </w:rPr>
        <w:t>Tourneur,</w:t>
      </w:r>
      <w:r w:rsidRPr="00C91CB2">
        <w:rPr>
          <w:b/>
          <w:bCs/>
          <w:smallCaps/>
        </w:rPr>
        <w:t xml:space="preserve"> </w:t>
      </w:r>
      <w:r w:rsidRPr="00250A49">
        <w:rPr>
          <w:i/>
          <w:lang w:eastAsia="fr-FR" w:bidi="fr-FR"/>
        </w:rPr>
        <w:t>Le florin du type florentin dans les principautés belges</w:t>
      </w:r>
      <w:r w:rsidRPr="00C91CB2">
        <w:rPr>
          <w:b/>
          <w:bCs/>
        </w:rPr>
        <w:t xml:space="preserve">, </w:t>
      </w:r>
      <w:r w:rsidRPr="00C91CB2">
        <w:rPr>
          <w:bCs/>
        </w:rPr>
        <w:t>dans</w:t>
      </w:r>
      <w:r w:rsidRPr="00C91CB2">
        <w:rPr>
          <w:b/>
          <w:bCs/>
        </w:rPr>
        <w:t xml:space="preserve"> </w:t>
      </w:r>
      <w:r w:rsidRPr="00C91CB2">
        <w:rPr>
          <w:i/>
          <w:lang w:eastAsia="fr-FR" w:bidi="fr-FR"/>
        </w:rPr>
        <w:t>Revue belge de numismatique</w:t>
      </w:r>
      <w:r w:rsidRPr="00C91CB2">
        <w:rPr>
          <w:bCs/>
        </w:rPr>
        <w:t>,</w:t>
      </w:r>
      <w:r w:rsidRPr="00C91CB2">
        <w:rPr>
          <w:b/>
          <w:bCs/>
        </w:rPr>
        <w:t xml:space="preserve"> </w:t>
      </w:r>
      <w:r w:rsidRPr="00C91CB2">
        <w:rPr>
          <w:bCs/>
        </w:rPr>
        <w:t>1926.</w:t>
      </w:r>
    </w:p>
    <w:p w14:paraId="721BF094" w14:textId="77777777" w:rsidR="00B9662D" w:rsidRDefault="00B9662D" w:rsidP="00B9662D">
      <w:pPr>
        <w:pStyle w:val="p"/>
      </w:pPr>
      <w:r w:rsidRPr="000F765B">
        <w:br w:type="page"/>
      </w:r>
      <w:r>
        <w:lastRenderedPageBreak/>
        <w:t>[868]</w:t>
      </w:r>
    </w:p>
    <w:p w14:paraId="34E94159" w14:textId="77777777" w:rsidR="00B9662D" w:rsidRDefault="00B9662D" w:rsidP="00B9662D">
      <w:pPr>
        <w:jc w:val="both"/>
      </w:pPr>
    </w:p>
    <w:p w14:paraId="737CB63D" w14:textId="77777777" w:rsidR="00B9662D" w:rsidRDefault="00B9662D" w:rsidP="00B9662D">
      <w:pPr>
        <w:jc w:val="both"/>
      </w:pPr>
    </w:p>
    <w:p w14:paraId="12684A3C" w14:textId="77777777" w:rsidR="00B9662D" w:rsidRPr="00E07116" w:rsidRDefault="00B9662D" w:rsidP="00B9662D">
      <w:pPr>
        <w:jc w:val="both"/>
      </w:pPr>
    </w:p>
    <w:p w14:paraId="45F48DE1" w14:textId="77777777" w:rsidR="00B9662D" w:rsidRPr="00F54CC7" w:rsidRDefault="00B9662D" w:rsidP="00B9662D">
      <w:pPr>
        <w:spacing w:after="120"/>
        <w:ind w:firstLine="0"/>
        <w:jc w:val="center"/>
        <w:rPr>
          <w:sz w:val="24"/>
        </w:rPr>
      </w:pPr>
      <w:bookmarkStart w:id="43" w:name="Melanges_t2_pt_8_chap_V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51F3BF6A"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0F0314B6" w14:textId="77777777" w:rsidR="00B9662D" w:rsidRPr="00384B20" w:rsidRDefault="00B9662D" w:rsidP="00B9662D">
      <w:pPr>
        <w:pStyle w:val="Titreniveau1"/>
      </w:pPr>
      <w:r w:rsidRPr="00384B20">
        <w:t xml:space="preserve">Chapitre </w:t>
      </w:r>
      <w:r>
        <w:t>V</w:t>
      </w:r>
      <w:r w:rsidRPr="00384B20">
        <w:t>I</w:t>
      </w:r>
    </w:p>
    <w:p w14:paraId="043E3D5F" w14:textId="77777777" w:rsidR="00B9662D" w:rsidRPr="00E07116" w:rsidRDefault="00B9662D" w:rsidP="00B9662D">
      <w:pPr>
        <w:jc w:val="both"/>
        <w:rPr>
          <w:szCs w:val="36"/>
        </w:rPr>
      </w:pPr>
    </w:p>
    <w:p w14:paraId="62C52247" w14:textId="77777777" w:rsidR="00B9662D" w:rsidRDefault="00B9662D" w:rsidP="00B9662D">
      <w:pPr>
        <w:pStyle w:val="Titreniveau2"/>
      </w:pPr>
      <w:r>
        <w:t>économie-nature</w:t>
      </w:r>
      <w:r>
        <w:br/>
        <w:t>ou économie-argent :</w:t>
      </w:r>
    </w:p>
    <w:p w14:paraId="3FC0E38C" w14:textId="77777777" w:rsidR="00B9662D" w:rsidRPr="00E07116" w:rsidRDefault="00B9662D" w:rsidP="00B9662D">
      <w:pPr>
        <w:pStyle w:val="Titreniveau2st"/>
      </w:pPr>
      <w:r>
        <w:t>un pseudo-dilemme </w:t>
      </w:r>
      <w:r>
        <w:rPr>
          <w:rStyle w:val="Appelnotedebasdep"/>
        </w:rPr>
        <w:footnoteReference w:id="919"/>
      </w:r>
    </w:p>
    <w:bookmarkEnd w:id="43"/>
    <w:p w14:paraId="65E63EF5" w14:textId="77777777" w:rsidR="00B9662D" w:rsidRDefault="00B9662D" w:rsidP="00B9662D">
      <w:pPr>
        <w:jc w:val="both"/>
        <w:rPr>
          <w:szCs w:val="36"/>
        </w:rPr>
      </w:pPr>
    </w:p>
    <w:p w14:paraId="4D0A39AF" w14:textId="77777777" w:rsidR="00B9662D" w:rsidRDefault="00B9662D" w:rsidP="00B9662D">
      <w:pPr>
        <w:spacing w:before="120" w:after="120"/>
        <w:jc w:val="both"/>
        <w:rPr>
          <w:color w:val="000000"/>
          <w:lang w:eastAsia="fr-FR" w:bidi="fr-FR"/>
        </w:rPr>
      </w:pPr>
    </w:p>
    <w:p w14:paraId="1C53D202" w14:textId="77777777" w:rsidR="00B9662D" w:rsidRDefault="00B9662D" w:rsidP="00B9662D">
      <w:pPr>
        <w:spacing w:before="120" w:after="120"/>
        <w:jc w:val="both"/>
        <w:rPr>
          <w:color w:val="000000"/>
          <w:lang w:eastAsia="fr-FR" w:bidi="fr-FR"/>
        </w:rPr>
      </w:pPr>
    </w:p>
    <w:p w14:paraId="56AC4BA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ADE1C1B" w14:textId="77777777" w:rsidR="00B9662D" w:rsidRPr="000F765B" w:rsidRDefault="00B9662D" w:rsidP="00B9662D">
      <w:pPr>
        <w:spacing w:before="120" w:after="120"/>
        <w:jc w:val="both"/>
      </w:pPr>
      <w:r w:rsidRPr="000F765B">
        <w:rPr>
          <w:lang w:eastAsia="fr-FR" w:bidi="fr-FR"/>
        </w:rPr>
        <w:t>Maladie bien connue des sciences du monde physique, la sclérose de la nomenclature n’est pas moins dangereuse pour celles de l’homme. Nous aussi, nous avons besoin de classifications ; nous au</w:t>
      </w:r>
      <w:r w:rsidRPr="000F765B">
        <w:rPr>
          <w:lang w:eastAsia="fr-FR" w:bidi="fr-FR"/>
        </w:rPr>
        <w:t>s</w:t>
      </w:r>
      <w:r w:rsidRPr="000F765B">
        <w:rPr>
          <w:lang w:eastAsia="fr-FR" w:bidi="fr-FR"/>
        </w:rPr>
        <w:t>si, nous sommes perpétuellement obligés de nous défendre contre la rigidité des schémas que nous nous étions d’abord donnés. Les r</w:t>
      </w:r>
      <w:r w:rsidRPr="000F765B">
        <w:rPr>
          <w:lang w:eastAsia="fr-FR" w:bidi="fr-FR"/>
        </w:rPr>
        <w:t>é</w:t>
      </w:r>
      <w:r w:rsidRPr="000F765B">
        <w:rPr>
          <w:lang w:eastAsia="fr-FR" w:bidi="fr-FR"/>
        </w:rPr>
        <w:t>flexions qui vont suivre n’ont d’autre objet que de mettre en lumière, par un exemple précis, la nécessité de cette refonte périodique des c</w:t>
      </w:r>
      <w:r w:rsidRPr="000F765B">
        <w:rPr>
          <w:lang w:eastAsia="fr-FR" w:bidi="fr-FR"/>
        </w:rPr>
        <w:t>a</w:t>
      </w:r>
      <w:r w:rsidRPr="000F765B">
        <w:rPr>
          <w:lang w:eastAsia="fr-FR" w:bidi="fr-FR"/>
        </w:rPr>
        <w:t>dres. Si, de parti pris, elles se borneront à un champ historique relat</w:t>
      </w:r>
      <w:r w:rsidRPr="000F765B">
        <w:rPr>
          <w:lang w:eastAsia="fr-FR" w:bidi="fr-FR"/>
        </w:rPr>
        <w:t>i</w:t>
      </w:r>
      <w:r w:rsidRPr="000F765B">
        <w:rPr>
          <w:lang w:eastAsia="fr-FR" w:bidi="fr-FR"/>
        </w:rPr>
        <w:t>vement limité, ce n’est pas que l’on ignore la possibilité de les éte</w:t>
      </w:r>
      <w:r w:rsidRPr="000F765B">
        <w:rPr>
          <w:lang w:eastAsia="fr-FR" w:bidi="fr-FR"/>
        </w:rPr>
        <w:t>n</w:t>
      </w:r>
      <w:r w:rsidRPr="000F765B">
        <w:rPr>
          <w:lang w:eastAsia="fr-FR" w:bidi="fr-FR"/>
        </w:rPr>
        <w:t>dre, avec des nuances diverses, à bien d’autres phases de l’évolution économique. Que de riches expériences, en particulier, l’histoire des économies colo</w:t>
      </w:r>
      <w:r>
        <w:rPr>
          <w:lang w:eastAsia="fr-FR" w:bidi="fr-FR"/>
        </w:rPr>
        <w:t>niales et celle même des États-</w:t>
      </w:r>
      <w:r w:rsidRPr="000F765B">
        <w:rPr>
          <w:lang w:eastAsia="fr-FR" w:bidi="fr-FR"/>
        </w:rPr>
        <w:t xml:space="preserve">Unis, jusque fort avant dans le </w:t>
      </w:r>
      <w:r w:rsidRPr="00C91CB2">
        <w:rPr>
          <w:caps/>
          <w:lang w:eastAsia="fr-FR" w:bidi="fr-FR"/>
        </w:rPr>
        <w:t>xix</w:t>
      </w:r>
      <w:r w:rsidRPr="000F765B">
        <w:rPr>
          <w:vertAlign w:val="superscript"/>
          <w:lang w:eastAsia="fr-FR" w:bidi="fr-FR"/>
        </w:rPr>
        <w:t>e</w:t>
      </w:r>
      <w:r w:rsidRPr="000F765B">
        <w:rPr>
          <w:lang w:eastAsia="fr-FR" w:bidi="fr-FR"/>
        </w:rPr>
        <w:t xml:space="preserve"> siècle, n’offriraient-elles pas à des recherches inspirées d’un esprit analogue ! Mais il a semblé qu’ainsi centrée, l’analyse a</w:t>
      </w:r>
      <w:r w:rsidRPr="000F765B">
        <w:rPr>
          <w:lang w:eastAsia="fr-FR" w:bidi="fr-FR"/>
        </w:rPr>
        <w:t>u</w:t>
      </w:r>
      <w:r w:rsidRPr="000F765B">
        <w:rPr>
          <w:lang w:eastAsia="fr-FR" w:bidi="fr-FR"/>
        </w:rPr>
        <w:t>rait plus de netteté et de force probante.</w:t>
      </w:r>
    </w:p>
    <w:p w14:paraId="25E90FA0" w14:textId="77777777" w:rsidR="00B9662D" w:rsidRPr="000F765B" w:rsidRDefault="00B9662D" w:rsidP="00B9662D">
      <w:pPr>
        <w:spacing w:before="120" w:after="120"/>
        <w:jc w:val="both"/>
      </w:pPr>
      <w:r w:rsidRPr="000F765B">
        <w:rPr>
          <w:lang w:eastAsia="fr-FR" w:bidi="fr-FR"/>
        </w:rPr>
        <w:lastRenderedPageBreak/>
        <w:t>Formulée, pour la première fois, en 1864, par Bruno Hildebrand</w:t>
      </w:r>
      <w:r>
        <w:rPr>
          <w:lang w:eastAsia="fr-FR" w:bidi="fr-FR"/>
        </w:rPr>
        <w:t> </w:t>
      </w:r>
      <w:r>
        <w:rPr>
          <w:rStyle w:val="Appelnotedebasdep"/>
        </w:rPr>
        <w:footnoteReference w:id="920"/>
      </w:r>
      <w:r w:rsidRPr="000F765B">
        <w:rPr>
          <w:lang w:eastAsia="fr-FR" w:bidi="fr-FR"/>
        </w:rPr>
        <w:t>, la notion d’économie-nature a fait une belle fortune. On a cru, n</w:t>
      </w:r>
      <w:r w:rsidRPr="000F765B">
        <w:rPr>
          <w:lang w:eastAsia="fr-FR" w:bidi="fr-FR"/>
        </w:rPr>
        <w:t>o</w:t>
      </w:r>
      <w:r w:rsidRPr="000F765B">
        <w:rPr>
          <w:lang w:eastAsia="fr-FR" w:bidi="fr-FR"/>
        </w:rPr>
        <w:t xml:space="preserve">tamment, à maintes reprises, trouver en elle la caractéristique même de la civilisation économique du Haut Moyen </w:t>
      </w:r>
      <w:r>
        <w:rPr>
          <w:lang w:eastAsia="fr-FR" w:bidi="fr-FR"/>
        </w:rPr>
        <w:t>Â</w:t>
      </w:r>
      <w:r w:rsidRPr="000F765B">
        <w:rPr>
          <w:lang w:eastAsia="fr-FR" w:bidi="fr-FR"/>
        </w:rPr>
        <w:t xml:space="preserve">ge, jusqu’au grand renouveau des </w:t>
      </w:r>
      <w:r w:rsidRPr="00C91CB2">
        <w:rPr>
          <w:caps/>
          <w:lang w:eastAsia="fr-FR" w:bidi="fr-FR"/>
        </w:rPr>
        <w:t>xii</w:t>
      </w:r>
      <w:r w:rsidRPr="000F765B">
        <w:rPr>
          <w:vertAlign w:val="superscript"/>
          <w:lang w:eastAsia="fr-FR" w:bidi="fr-FR"/>
        </w:rPr>
        <w:t>e</w:t>
      </w:r>
      <w:r w:rsidRPr="000F765B">
        <w:rPr>
          <w:lang w:eastAsia="fr-FR" w:bidi="fr-FR"/>
        </w:rPr>
        <w:t xml:space="preserve"> et </w:t>
      </w:r>
      <w:r>
        <w:rPr>
          <w:lang w:eastAsia="fr-FR" w:bidi="fr-FR"/>
        </w:rPr>
        <w:t>XIII</w:t>
      </w:r>
      <w:r w:rsidRPr="000F765B">
        <w:rPr>
          <w:vertAlign w:val="superscript"/>
          <w:lang w:eastAsia="fr-FR" w:bidi="fr-FR"/>
        </w:rPr>
        <w:t>e</w:t>
      </w:r>
      <w:r w:rsidRPr="000F765B">
        <w:rPr>
          <w:lang w:eastAsia="fr-FR" w:bidi="fr-FR"/>
        </w:rPr>
        <w:t xml:space="preserve"> siècles. </w:t>
      </w:r>
      <w:r>
        <w:rPr>
          <w:lang w:eastAsia="fr-FR" w:bidi="fr-FR"/>
        </w:rPr>
        <w:t>À</w:t>
      </w:r>
      <w:r w:rsidRPr="000F765B">
        <w:rPr>
          <w:lang w:eastAsia="fr-FR" w:bidi="fr-FR"/>
        </w:rPr>
        <w:t xml:space="preserve"> y regarder de près, cependant, cette étiquette trop simple aboutit, en l’espèce, à esquiver un problème fondamental. En effet, ramenant arbitrairement un système de pai</w:t>
      </w:r>
      <w:r w:rsidRPr="000F765B">
        <w:rPr>
          <w:lang w:eastAsia="fr-FR" w:bidi="fr-FR"/>
        </w:rPr>
        <w:t>e</w:t>
      </w:r>
      <w:r w:rsidRPr="000F765B">
        <w:rPr>
          <w:lang w:eastAsia="fr-FR" w:bidi="fr-FR"/>
        </w:rPr>
        <w:t>ments très complexe à un simple troc entre producteurs ou aux prest</w:t>
      </w:r>
      <w:r w:rsidRPr="000F765B">
        <w:rPr>
          <w:lang w:eastAsia="fr-FR" w:bidi="fr-FR"/>
        </w:rPr>
        <w:t>a</w:t>
      </w:r>
      <w:r w:rsidRPr="000F765B">
        <w:rPr>
          <w:lang w:eastAsia="fr-FR" w:bidi="fr-FR"/>
        </w:rPr>
        <w:t>tions unilatérales de paysans contraints de prélever en faveur d’un maître une part de leurs</w:t>
      </w:r>
      <w:r>
        <w:t xml:space="preserve"> [869] </w:t>
      </w:r>
      <w:r w:rsidRPr="000F765B">
        <w:rPr>
          <w:lang w:eastAsia="fr-FR" w:bidi="fr-FR"/>
        </w:rPr>
        <w:t>récoltes, elle dispense l’historien de se demander si, dans ce type de structure sociale à tous égards très élo</w:t>
      </w:r>
      <w:r w:rsidRPr="000F765B">
        <w:rPr>
          <w:lang w:eastAsia="fr-FR" w:bidi="fr-FR"/>
        </w:rPr>
        <w:t>i</w:t>
      </w:r>
      <w:r w:rsidRPr="000F765B">
        <w:rPr>
          <w:lang w:eastAsia="fr-FR" w:bidi="fr-FR"/>
        </w:rPr>
        <w:t>gné du nôtre, les instruments d’échanges ne remplissaient pas, eux aussi, des fonctions différentes de celles que nous leur voyons a</w:t>
      </w:r>
      <w:r w:rsidRPr="000F765B">
        <w:rPr>
          <w:lang w:eastAsia="fr-FR" w:bidi="fr-FR"/>
        </w:rPr>
        <w:t>u</w:t>
      </w:r>
      <w:r w:rsidRPr="000F765B">
        <w:rPr>
          <w:lang w:eastAsia="fr-FR" w:bidi="fr-FR"/>
        </w:rPr>
        <w:t>jourd’hui ou leur voyions hier. Elle invite, en un mot, à nier plutôt que d’analyser : solution de paresse dont l’apparente facilité ne saurait r</w:t>
      </w:r>
      <w:r w:rsidRPr="000F765B">
        <w:rPr>
          <w:lang w:eastAsia="fr-FR" w:bidi="fr-FR"/>
        </w:rPr>
        <w:t>é</w:t>
      </w:r>
      <w:r w:rsidRPr="000F765B">
        <w:rPr>
          <w:lang w:eastAsia="fr-FR" w:bidi="fr-FR"/>
        </w:rPr>
        <w:t>sister à une enquête plus poussée.</w:t>
      </w:r>
    </w:p>
    <w:p w14:paraId="79094277"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7347CB29" w14:textId="77777777" w:rsidR="00B9662D" w:rsidRPr="000F765B" w:rsidRDefault="00B9662D" w:rsidP="00B9662D">
      <w:pPr>
        <w:spacing w:before="120" w:after="120"/>
        <w:jc w:val="both"/>
      </w:pPr>
      <w:r w:rsidRPr="000F765B">
        <w:rPr>
          <w:lang w:eastAsia="fr-FR" w:bidi="fr-FR"/>
        </w:rPr>
        <w:t>Sur le plan des définitions, d’abord, une précision semble nécessa</w:t>
      </w:r>
      <w:r w:rsidRPr="000F765B">
        <w:rPr>
          <w:lang w:eastAsia="fr-FR" w:bidi="fr-FR"/>
        </w:rPr>
        <w:t>i</w:t>
      </w:r>
      <w:r w:rsidRPr="000F765B">
        <w:rPr>
          <w:lang w:eastAsia="fr-FR" w:bidi="fr-FR"/>
        </w:rPr>
        <w:t>re. Tout échange d’une marchandise contre une autre marchandise, qui ne soit ni de l’or ni de l’argent, n’échappe point, par cela seul, à la rubrique d’économie monétaire. En d’autres termes, il n’est pas de monnaie que métallique. Sous sa forme générale, la vérité est banale, assurément, et il suffira de renvoyer là-dessus au premier venu des manuels. L’important, une fois passé aux faits, est de correctement pénétrer les causes qui, aux diverses sociétés du Haut Moyen Age, imposèrent des pratiques de cette sorte. Une explication uniforme r</w:t>
      </w:r>
      <w:r w:rsidRPr="000F765B">
        <w:rPr>
          <w:lang w:eastAsia="fr-FR" w:bidi="fr-FR"/>
        </w:rPr>
        <w:t>é</w:t>
      </w:r>
      <w:r w:rsidRPr="000F765B">
        <w:rPr>
          <w:lang w:eastAsia="fr-FR" w:bidi="fr-FR"/>
        </w:rPr>
        <w:t xml:space="preserve">pondrait mal à la réalité. Parfois nous avons affaire, visiblement, à la simple survivance de types d’économie encore très primitifs : ainsi en </w:t>
      </w:r>
      <w:r w:rsidRPr="000F765B">
        <w:rPr>
          <w:lang w:eastAsia="fr-FR" w:bidi="fr-FR"/>
        </w:rPr>
        <w:lastRenderedPageBreak/>
        <w:t>Frise, où longtemps on employa, comme mesure et moyen des écha</w:t>
      </w:r>
      <w:r w:rsidRPr="000F765B">
        <w:rPr>
          <w:lang w:eastAsia="fr-FR" w:bidi="fr-FR"/>
        </w:rPr>
        <w:t>n</w:t>
      </w:r>
      <w:r w:rsidRPr="000F765B">
        <w:rPr>
          <w:lang w:eastAsia="fr-FR" w:bidi="fr-FR"/>
        </w:rPr>
        <w:t>ges, certaines pièces d’étoffe d’une longueur et sans doute aussi d’une contexture déterminées</w:t>
      </w:r>
      <w:r>
        <w:rPr>
          <w:lang w:eastAsia="fr-FR" w:bidi="fr-FR"/>
        </w:rPr>
        <w:t> </w:t>
      </w:r>
      <w:r>
        <w:rPr>
          <w:rStyle w:val="Appelnotedebasdep"/>
        </w:rPr>
        <w:footnoteReference w:id="921"/>
      </w:r>
      <w:r w:rsidRPr="000F765B">
        <w:rPr>
          <w:lang w:eastAsia="fr-FR" w:bidi="fr-FR"/>
        </w:rPr>
        <w:t>. L’usage se maintint bien après que se fut répandue, dans les groupes auxquels il était familier, la connaissance du monnayage des métaux ; en lui-même il était probablement ant</w:t>
      </w:r>
      <w:r w:rsidRPr="000F765B">
        <w:rPr>
          <w:lang w:eastAsia="fr-FR" w:bidi="fr-FR"/>
        </w:rPr>
        <w:t>é</w:t>
      </w:r>
      <w:r w:rsidRPr="000F765B">
        <w:rPr>
          <w:lang w:eastAsia="fr-FR" w:bidi="fr-FR"/>
        </w:rPr>
        <w:t>rieur à la monnaie métallique et il demeurait justifié par la rareté des frappes. Mais les paiements en poivre posent de tout autres problèmes.</w:t>
      </w:r>
    </w:p>
    <w:p w14:paraId="2449CE5F" w14:textId="77777777" w:rsidR="00B9662D" w:rsidRPr="000F765B" w:rsidRDefault="00B9662D" w:rsidP="00B9662D">
      <w:pPr>
        <w:spacing w:before="120" w:after="120"/>
        <w:jc w:val="both"/>
      </w:pPr>
      <w:r w:rsidRPr="000F765B">
        <w:rPr>
          <w:lang w:eastAsia="fr-FR" w:bidi="fr-FR"/>
        </w:rPr>
        <w:t xml:space="preserve">Que ce condiment ait joué véritablement, du </w:t>
      </w:r>
      <w:r>
        <w:rPr>
          <w:lang w:eastAsia="fr-FR" w:bidi="fr-FR"/>
        </w:rPr>
        <w:t>X</w:t>
      </w:r>
      <w:r w:rsidRPr="000F765B">
        <w:rPr>
          <w:vertAlign w:val="superscript"/>
          <w:lang w:eastAsia="fr-FR" w:bidi="fr-FR"/>
        </w:rPr>
        <w:t>e</w:t>
      </w:r>
      <w:r w:rsidRPr="000F765B">
        <w:rPr>
          <w:lang w:eastAsia="fr-FR" w:bidi="fr-FR"/>
        </w:rPr>
        <w:t xml:space="preserve"> au </w:t>
      </w:r>
      <w:r w:rsidRPr="00A30D53">
        <w:rPr>
          <w:caps/>
          <w:lang w:eastAsia="fr-FR" w:bidi="fr-FR"/>
        </w:rPr>
        <w:t>xiv</w:t>
      </w:r>
      <w:r w:rsidRPr="000F765B">
        <w:rPr>
          <w:vertAlign w:val="superscript"/>
          <w:lang w:eastAsia="fr-FR" w:bidi="fr-FR"/>
        </w:rPr>
        <w:t>e</w:t>
      </w:r>
      <w:r w:rsidRPr="000F765B">
        <w:rPr>
          <w:lang w:eastAsia="fr-FR" w:bidi="fr-FR"/>
        </w:rPr>
        <w:t xml:space="preserve"> siècle pour le moins, le rôle d’une monnaie, on n’en saurait douter</w:t>
      </w:r>
      <w:r>
        <w:rPr>
          <w:lang w:eastAsia="fr-FR" w:bidi="fr-FR"/>
        </w:rPr>
        <w:t> </w:t>
      </w:r>
      <w:r>
        <w:rPr>
          <w:rStyle w:val="Appelnotedebasdep"/>
        </w:rPr>
        <w:footnoteReference w:id="922"/>
      </w:r>
      <w:r w:rsidRPr="000F765B">
        <w:rPr>
          <w:lang w:eastAsia="fr-FR" w:bidi="fr-FR"/>
        </w:rPr>
        <w:t>. Ga</w:t>
      </w:r>
      <w:r w:rsidRPr="000F765B">
        <w:rPr>
          <w:lang w:eastAsia="fr-FR" w:bidi="fr-FR"/>
        </w:rPr>
        <w:t>r</w:t>
      </w:r>
      <w:r w:rsidRPr="000F765B">
        <w:rPr>
          <w:lang w:eastAsia="fr-FR" w:bidi="fr-FR"/>
        </w:rPr>
        <w:t>dons-nous d’imaginer la trop simple robinsonnade de l’épicier qui, pour s’acheter des chaussures, prélevait, au profit du cordonnier, son voisin, quelques pincées du contenu de ses pots. Pour ne citer qu’un exemple entre cent, ce sergent normand qui, vers 1180, ayant reçu de son maître l’octroi d’une pièce de terre, dans un défrichement, s’engageait à payer chaque année, comme cens, une livre de poivre</w:t>
      </w:r>
      <w:r>
        <w:rPr>
          <w:lang w:eastAsia="fr-FR" w:bidi="fr-FR"/>
        </w:rPr>
        <w:t> </w:t>
      </w:r>
      <w:r>
        <w:rPr>
          <w:rStyle w:val="Appelnotedebasdep"/>
        </w:rPr>
        <w:footnoteReference w:id="923"/>
      </w:r>
      <w:r w:rsidRPr="000F765B">
        <w:rPr>
          <w:lang w:eastAsia="fr-FR" w:bidi="fr-FR"/>
        </w:rPr>
        <w:t>, l’impo</w:t>
      </w:r>
      <w:r>
        <w:rPr>
          <w:lang w:eastAsia="fr-FR" w:bidi="fr-FR"/>
        </w:rPr>
        <w:t>rtation ou la vente des marchan</w:t>
      </w:r>
      <w:r w:rsidRPr="000F765B">
        <w:rPr>
          <w:lang w:eastAsia="fr-FR" w:bidi="fr-FR"/>
        </w:rPr>
        <w:t>dises</w:t>
      </w:r>
      <w:r>
        <w:t xml:space="preserve"> [870]</w:t>
      </w:r>
      <w:r w:rsidRPr="000F765B">
        <w:rPr>
          <w:lang w:eastAsia="fr-FR" w:bidi="fr-FR"/>
        </w:rPr>
        <w:t xml:space="preserve"> orientales ne fig</w:t>
      </w:r>
      <w:r w:rsidRPr="000F765B">
        <w:rPr>
          <w:lang w:eastAsia="fr-FR" w:bidi="fr-FR"/>
        </w:rPr>
        <w:t>u</w:t>
      </w:r>
      <w:r w:rsidRPr="000F765B">
        <w:rPr>
          <w:lang w:eastAsia="fr-FR" w:bidi="fr-FR"/>
        </w:rPr>
        <w:t>raient assurément point parmi ses o</w:t>
      </w:r>
      <w:r w:rsidRPr="000F765B">
        <w:rPr>
          <w:lang w:eastAsia="fr-FR" w:bidi="fr-FR"/>
        </w:rPr>
        <w:t>c</w:t>
      </w:r>
      <w:r w:rsidRPr="000F765B">
        <w:rPr>
          <w:lang w:eastAsia="fr-FR" w:bidi="fr-FR"/>
        </w:rPr>
        <w:t xml:space="preserve">cupations ordinaires. Encore moins croira-t-on qu’il eût planté des poivriers dans son verger. Il </w:t>
      </w:r>
      <w:r w:rsidRPr="000F765B">
        <w:rPr>
          <w:lang w:eastAsia="fr-FR" w:bidi="fr-FR"/>
        </w:rPr>
        <w:lastRenderedPageBreak/>
        <w:t>n’est pas impossible, par contre, que le pr</w:t>
      </w:r>
      <w:r w:rsidRPr="000F765B">
        <w:rPr>
          <w:lang w:eastAsia="fr-FR" w:bidi="fr-FR"/>
        </w:rPr>
        <w:t>o</w:t>
      </w:r>
      <w:r w:rsidRPr="000F765B">
        <w:rPr>
          <w:lang w:eastAsia="fr-FR" w:bidi="fr-FR"/>
        </w:rPr>
        <w:t>duit de la redevance n’ait été volontiers employé à assaisonner sauces et rôts, sur la table se</w:t>
      </w:r>
      <w:r w:rsidRPr="000F765B">
        <w:rPr>
          <w:lang w:eastAsia="fr-FR" w:bidi="fr-FR"/>
        </w:rPr>
        <w:t>i</w:t>
      </w:r>
      <w:r w:rsidRPr="000F765B">
        <w:rPr>
          <w:lang w:eastAsia="fr-FR" w:bidi="fr-FR"/>
        </w:rPr>
        <w:t>gneuriale. Cela même, pourtant, n’est point ce</w:t>
      </w:r>
      <w:r w:rsidRPr="000F765B">
        <w:rPr>
          <w:lang w:eastAsia="fr-FR" w:bidi="fr-FR"/>
        </w:rPr>
        <w:t>r</w:t>
      </w:r>
      <w:r w:rsidRPr="000F765B">
        <w:rPr>
          <w:lang w:eastAsia="fr-FR" w:bidi="fr-FR"/>
        </w:rPr>
        <w:t>tain. Rien n’empêche de l’imaginer réservé, à son tour, pour d’autres paiements. Ne voit-on pas, à Gênes en particulier, le poivre coura</w:t>
      </w:r>
      <w:r w:rsidRPr="000F765B">
        <w:rPr>
          <w:lang w:eastAsia="fr-FR" w:bidi="fr-FR"/>
        </w:rPr>
        <w:t>m</w:t>
      </w:r>
      <w:r w:rsidRPr="000F765B">
        <w:rPr>
          <w:lang w:eastAsia="fr-FR" w:bidi="fr-FR"/>
        </w:rPr>
        <w:t>ment utilisé dans les prêts, par les personnes privées et la commune même ?</w:t>
      </w:r>
    </w:p>
    <w:p w14:paraId="3E7ECA55" w14:textId="77777777" w:rsidR="00B9662D" w:rsidRPr="000F765B" w:rsidRDefault="00B9662D" w:rsidP="00B9662D">
      <w:pPr>
        <w:spacing w:before="120" w:after="120"/>
        <w:jc w:val="both"/>
      </w:pPr>
      <w:r w:rsidRPr="000F765B">
        <w:rPr>
          <w:lang w:eastAsia="fr-FR" w:bidi="fr-FR"/>
        </w:rPr>
        <w:t>Les raisons qui, parmi tous les succédanés possibles des métaux précieux, avaient amené à choisir précisément celui-là sont assez cla</w:t>
      </w:r>
      <w:r w:rsidRPr="000F765B">
        <w:rPr>
          <w:lang w:eastAsia="fr-FR" w:bidi="fr-FR"/>
        </w:rPr>
        <w:t>i</w:t>
      </w:r>
      <w:r w:rsidRPr="000F765B">
        <w:rPr>
          <w:lang w:eastAsia="fr-FR" w:bidi="fr-FR"/>
        </w:rPr>
        <w:t>res. En vérité, le poivre répondait à presque toutes les conditions que la théorie classique exige de la matière d’une monnaie. Il était suff</w:t>
      </w:r>
      <w:r w:rsidRPr="000F765B">
        <w:rPr>
          <w:lang w:eastAsia="fr-FR" w:bidi="fr-FR"/>
        </w:rPr>
        <w:t>i</w:t>
      </w:r>
      <w:r w:rsidRPr="000F765B">
        <w:rPr>
          <w:lang w:eastAsia="fr-FR" w:bidi="fr-FR"/>
        </w:rPr>
        <w:t>samment rare et représentait, par suite, une valeur relativement élevée sous un volume et un poids relativement faibles. Il se conservait fac</w:t>
      </w:r>
      <w:r w:rsidRPr="000F765B">
        <w:rPr>
          <w:lang w:eastAsia="fr-FR" w:bidi="fr-FR"/>
        </w:rPr>
        <w:t>i</w:t>
      </w:r>
      <w:r w:rsidRPr="000F765B">
        <w:rPr>
          <w:lang w:eastAsia="fr-FR" w:bidi="fr-FR"/>
        </w:rPr>
        <w:t>lement. Il rentrait, à peu près, dans la catégorie des choses « fongibles », les différences de qualité entre les diverses variétés étant probablement peu marquées. Enfin, tout en servant d’instrument, en quelque sorte abstrait, des échanges, il constituait une marchandise proprement dite, pourvue d’une valeur d’utilisation indépendante de sa fonction monétaire. On était pratiquement toujours sûr, au besoin, de trouver preneur pour les stocks accumulés : davantage peut-être que s’il s’était agi d’or ou d’argent. Nos ancêtres, on le sait, aimaient une cuisine haute en saveur. Dans cette prédilection de leurs palais</w:t>
      </w:r>
      <w:r>
        <w:rPr>
          <w:lang w:eastAsia="fr-FR" w:bidi="fr-FR"/>
        </w:rPr>
        <w:t> — </w:t>
      </w:r>
      <w:r w:rsidRPr="000F765B">
        <w:rPr>
          <w:lang w:eastAsia="fr-FR" w:bidi="fr-FR"/>
        </w:rPr>
        <w:t>elle-même la conséquence, avant tout, de procédés d’élevage rud</w:t>
      </w:r>
      <w:r w:rsidRPr="000F765B">
        <w:rPr>
          <w:lang w:eastAsia="fr-FR" w:bidi="fr-FR"/>
        </w:rPr>
        <w:t>i</w:t>
      </w:r>
      <w:r w:rsidRPr="000F765B">
        <w:rPr>
          <w:lang w:eastAsia="fr-FR" w:bidi="fr-FR"/>
        </w:rPr>
        <w:t>mentaires, qui faisaient de la venaison la seule viande à peu près ma</w:t>
      </w:r>
      <w:r w:rsidRPr="000F765B">
        <w:rPr>
          <w:lang w:eastAsia="fr-FR" w:bidi="fr-FR"/>
        </w:rPr>
        <w:t>n</w:t>
      </w:r>
      <w:r w:rsidRPr="000F765B">
        <w:rPr>
          <w:lang w:eastAsia="fr-FR" w:bidi="fr-FR"/>
        </w:rPr>
        <w:t>geable —, reconnaissons une des raisons d’être de leurs habitudes monétaires.</w:t>
      </w:r>
    </w:p>
    <w:p w14:paraId="21250515" w14:textId="77777777" w:rsidR="00B9662D" w:rsidRPr="000F765B" w:rsidRDefault="00B9662D" w:rsidP="00B9662D">
      <w:pPr>
        <w:spacing w:before="120" w:after="120"/>
        <w:jc w:val="both"/>
      </w:pPr>
      <w:r w:rsidRPr="000F765B">
        <w:rPr>
          <w:lang w:eastAsia="fr-FR" w:bidi="fr-FR"/>
        </w:rPr>
        <w:t>Cependant, faisons-y bien attention, le cas des sociétés qui e</w:t>
      </w:r>
      <w:r w:rsidRPr="000F765B">
        <w:rPr>
          <w:lang w:eastAsia="fr-FR" w:bidi="fr-FR"/>
        </w:rPr>
        <w:t>m</w:t>
      </w:r>
      <w:r w:rsidRPr="000F765B">
        <w:rPr>
          <w:lang w:eastAsia="fr-FR" w:bidi="fr-FR"/>
        </w:rPr>
        <w:t>ployaient cette curieuse monnaie était fort différent de celui de la Fr</w:t>
      </w:r>
      <w:r w:rsidRPr="000F765B">
        <w:rPr>
          <w:lang w:eastAsia="fr-FR" w:bidi="fr-FR"/>
        </w:rPr>
        <w:t>i</w:t>
      </w:r>
      <w:r w:rsidRPr="000F765B">
        <w:rPr>
          <w:lang w:eastAsia="fr-FR" w:bidi="fr-FR"/>
        </w:rPr>
        <w:t>se, avec ses bandes de drap. Elles n’avaient rien d’économiquement arriéré : le nom de Gênes, à lui seul, évoque un des plus vivants foyers du négoce médiéval ; celui de la Normandie, l’image de campagnes alors entre toutes florissantes et évoluées. Aussi bien l’utilisation m</w:t>
      </w:r>
      <w:r w:rsidRPr="000F765B">
        <w:rPr>
          <w:lang w:eastAsia="fr-FR" w:bidi="fr-FR"/>
        </w:rPr>
        <w:t>ê</w:t>
      </w:r>
      <w:r w:rsidRPr="000F765B">
        <w:rPr>
          <w:lang w:eastAsia="fr-FR" w:bidi="fr-FR"/>
        </w:rPr>
        <w:t>me, comme instrument monétaire, d’une denrée exotique atteste co</w:t>
      </w:r>
      <w:r w:rsidRPr="000F765B">
        <w:rPr>
          <w:lang w:eastAsia="fr-FR" w:bidi="fr-FR"/>
        </w:rPr>
        <w:t>m</w:t>
      </w:r>
      <w:r w:rsidRPr="000F765B">
        <w:rPr>
          <w:lang w:eastAsia="fr-FR" w:bidi="fr-FR"/>
        </w:rPr>
        <w:t>bien ces groupes étaient loin de pratiquer ou de rechercher une éc</w:t>
      </w:r>
      <w:r w:rsidRPr="000F765B">
        <w:rPr>
          <w:lang w:eastAsia="fr-FR" w:bidi="fr-FR"/>
        </w:rPr>
        <w:t>o</w:t>
      </w:r>
      <w:r w:rsidRPr="000F765B">
        <w:rPr>
          <w:lang w:eastAsia="fr-FR" w:bidi="fr-FR"/>
        </w:rPr>
        <w:t>nomie fermée. D’autre part, une longue tradition les avait familiarisés avec la notion et l’emploi de la monnaie métallique ; ils ne cessèrent, d’ailleurs, jamais d’user de celle-ci, concurremment avec les pai</w:t>
      </w:r>
      <w:r w:rsidRPr="000F765B">
        <w:rPr>
          <w:lang w:eastAsia="fr-FR" w:bidi="fr-FR"/>
        </w:rPr>
        <w:t>e</w:t>
      </w:r>
      <w:r w:rsidRPr="000F765B">
        <w:rPr>
          <w:lang w:eastAsia="fr-FR" w:bidi="fr-FR"/>
        </w:rPr>
        <w:t xml:space="preserve">ments ou crédits en poivre. Pourquoi donc ne </w:t>
      </w:r>
      <w:r w:rsidRPr="000F765B">
        <w:rPr>
          <w:lang w:eastAsia="fr-FR" w:bidi="fr-FR"/>
        </w:rPr>
        <w:lastRenderedPageBreak/>
        <w:t>pas s’être contentés d’établir leurs comptes en livres, sous ou deniers et d’opérer leurs r</w:t>
      </w:r>
      <w:r w:rsidRPr="000F765B">
        <w:rPr>
          <w:lang w:eastAsia="fr-FR" w:bidi="fr-FR"/>
        </w:rPr>
        <w:t>è</w:t>
      </w:r>
      <w:r w:rsidRPr="000F765B">
        <w:rPr>
          <w:lang w:eastAsia="fr-FR" w:bidi="fr-FR"/>
        </w:rPr>
        <w:t>glements en espèces sonnantes ?</w:t>
      </w:r>
    </w:p>
    <w:p w14:paraId="2440C72E" w14:textId="77777777" w:rsidR="00B9662D" w:rsidRPr="000F765B" w:rsidRDefault="00B9662D" w:rsidP="00B9662D">
      <w:pPr>
        <w:spacing w:before="120" w:after="120"/>
        <w:jc w:val="both"/>
      </w:pPr>
      <w:r w:rsidRPr="000F765B">
        <w:rPr>
          <w:lang w:eastAsia="fr-FR" w:bidi="fr-FR"/>
        </w:rPr>
        <w:t>On est, au premier abord, tenté d’en accuser la rareté des métaux précieux. De fait, l’explication mérite d’être retenue, au moins pour partie. Mais à condition d’en peser exactement la portée, variable s</w:t>
      </w:r>
      <w:r w:rsidRPr="000F765B">
        <w:rPr>
          <w:lang w:eastAsia="fr-FR" w:bidi="fr-FR"/>
        </w:rPr>
        <w:t>e</w:t>
      </w:r>
      <w:r w:rsidRPr="000F765B">
        <w:rPr>
          <w:lang w:eastAsia="fr-FR" w:bidi="fr-FR"/>
        </w:rPr>
        <w:t xml:space="preserve">lon les époques. Pour la période antérieure au grand tournant que marque, approximativement, la fin du </w:t>
      </w:r>
      <w:r w:rsidRPr="00A30D53">
        <w:rPr>
          <w:caps/>
          <w:lang w:eastAsia="fr-FR" w:bidi="fr-FR"/>
        </w:rPr>
        <w:t>xi</w:t>
      </w:r>
      <w:r w:rsidRPr="000F765B">
        <w:rPr>
          <w:vertAlign w:val="superscript"/>
          <w:lang w:eastAsia="fr-FR" w:bidi="fr-FR"/>
        </w:rPr>
        <w:t>e</w:t>
      </w:r>
      <w:r w:rsidRPr="000F765B">
        <w:rPr>
          <w:lang w:eastAsia="fr-FR" w:bidi="fr-FR"/>
        </w:rPr>
        <w:t xml:space="preserve"> siècle, point de doute. Non seulement la production indigène était insignifiante pour l’or, médi</w:t>
      </w:r>
      <w:r w:rsidRPr="000F765B">
        <w:rPr>
          <w:lang w:eastAsia="fr-FR" w:bidi="fr-FR"/>
        </w:rPr>
        <w:t>o</w:t>
      </w:r>
      <w:r w:rsidRPr="000F765B">
        <w:rPr>
          <w:lang w:eastAsia="fr-FR" w:bidi="fr-FR"/>
        </w:rPr>
        <w:t>cre pour l’argent. La balance commerciale, en outre, alors nettement déficitaire, drainait vers l’Orient beaucoup de pièces ou de lingots : et l’atonie des échanges, en ralentissant la circulation, renforçait les e</w:t>
      </w:r>
      <w:r w:rsidRPr="000F765B">
        <w:rPr>
          <w:lang w:eastAsia="fr-FR" w:bidi="fr-FR"/>
        </w:rPr>
        <w:t>f</w:t>
      </w:r>
      <w:r w:rsidRPr="000F765B">
        <w:rPr>
          <w:lang w:eastAsia="fr-FR" w:bidi="fr-FR"/>
        </w:rPr>
        <w:t>fets de l’insuffisance quantitative. Ces dernières considérations, par contre, ne sauraient, de toute</w:t>
      </w:r>
      <w:r>
        <w:t xml:space="preserve"> [</w:t>
      </w:r>
      <w:r w:rsidRPr="000F765B">
        <w:rPr>
          <w:lang w:eastAsia="fr-FR" w:bidi="fr-FR"/>
        </w:rPr>
        <w:t>871</w:t>
      </w:r>
      <w:r>
        <w:rPr>
          <w:lang w:eastAsia="fr-FR" w:bidi="fr-FR"/>
        </w:rPr>
        <w:t xml:space="preserve">] </w:t>
      </w:r>
      <w:r w:rsidRPr="000F765B">
        <w:rPr>
          <w:lang w:eastAsia="fr-FR" w:bidi="fr-FR"/>
        </w:rPr>
        <w:t xml:space="preserve">évidence, s’appliquer à l’économie génoise, voire normande des </w:t>
      </w:r>
      <w:r>
        <w:rPr>
          <w:lang w:eastAsia="fr-FR" w:bidi="fr-FR"/>
        </w:rPr>
        <w:t>XII</w:t>
      </w:r>
      <w:r w:rsidRPr="000F765B">
        <w:rPr>
          <w:vertAlign w:val="superscript"/>
          <w:lang w:eastAsia="fr-FR" w:bidi="fr-FR"/>
        </w:rPr>
        <w:t>e</w:t>
      </w:r>
      <w:r w:rsidRPr="000F765B">
        <w:rPr>
          <w:lang w:eastAsia="fr-FR" w:bidi="fr-FR"/>
        </w:rPr>
        <w:t xml:space="preserve"> ou </w:t>
      </w:r>
      <w:r>
        <w:rPr>
          <w:lang w:eastAsia="fr-FR" w:bidi="fr-FR"/>
        </w:rPr>
        <w:t>XIII</w:t>
      </w:r>
      <w:r w:rsidRPr="000F765B">
        <w:rPr>
          <w:vertAlign w:val="superscript"/>
          <w:lang w:eastAsia="fr-FR" w:bidi="fr-FR"/>
        </w:rPr>
        <w:t>e</w:t>
      </w:r>
      <w:r w:rsidRPr="000F765B">
        <w:rPr>
          <w:lang w:eastAsia="fr-FR" w:bidi="fr-FR"/>
        </w:rPr>
        <w:t xml:space="preserve"> siècles</w:t>
      </w:r>
      <w:r>
        <w:rPr>
          <w:lang w:eastAsia="fr-FR" w:bidi="fr-FR"/>
        </w:rPr>
        <w:t> </w:t>
      </w:r>
      <w:r>
        <w:rPr>
          <w:rStyle w:val="Appelnotedebasdep"/>
        </w:rPr>
        <w:footnoteReference w:id="924"/>
      </w:r>
      <w:r w:rsidRPr="000F765B">
        <w:rPr>
          <w:lang w:eastAsia="fr-FR" w:bidi="fr-FR"/>
        </w:rPr>
        <w:t>. Là aussi cepe</w:t>
      </w:r>
      <w:r w:rsidRPr="000F765B">
        <w:rPr>
          <w:lang w:eastAsia="fr-FR" w:bidi="fr-FR"/>
        </w:rPr>
        <w:t>n</w:t>
      </w:r>
      <w:r w:rsidRPr="000F765B">
        <w:rPr>
          <w:lang w:eastAsia="fr-FR" w:bidi="fr-FR"/>
        </w:rPr>
        <w:t>dant il semble bien qu’une certaine famine monétaire se soit fr</w:t>
      </w:r>
      <w:r w:rsidRPr="000F765B">
        <w:rPr>
          <w:lang w:eastAsia="fr-FR" w:bidi="fr-FR"/>
        </w:rPr>
        <w:t>é</w:t>
      </w:r>
      <w:r w:rsidRPr="000F765B">
        <w:rPr>
          <w:lang w:eastAsia="fr-FR" w:bidi="fr-FR"/>
        </w:rPr>
        <w:t>quemment fait sentir. Car l’accroissement du stock métallique, si n</w:t>
      </w:r>
      <w:r w:rsidRPr="000F765B">
        <w:rPr>
          <w:lang w:eastAsia="fr-FR" w:bidi="fr-FR"/>
        </w:rPr>
        <w:t>o</w:t>
      </w:r>
      <w:r w:rsidRPr="000F765B">
        <w:rPr>
          <w:lang w:eastAsia="fr-FR" w:bidi="fr-FR"/>
        </w:rPr>
        <w:t>table qu’il pût être, n’avait pas marché de pair avec les besoins, dém</w:t>
      </w:r>
      <w:r w:rsidRPr="000F765B">
        <w:rPr>
          <w:lang w:eastAsia="fr-FR" w:bidi="fr-FR"/>
        </w:rPr>
        <w:t>e</w:t>
      </w:r>
      <w:r w:rsidRPr="000F765B">
        <w:rPr>
          <w:lang w:eastAsia="fr-FR" w:bidi="fr-FR"/>
        </w:rPr>
        <w:t>surément grandis, du co</w:t>
      </w:r>
      <w:r w:rsidRPr="000F765B">
        <w:rPr>
          <w:lang w:eastAsia="fr-FR" w:bidi="fr-FR"/>
        </w:rPr>
        <w:t>m</w:t>
      </w:r>
      <w:r w:rsidRPr="000F765B">
        <w:rPr>
          <w:lang w:eastAsia="fr-FR" w:bidi="fr-FR"/>
        </w:rPr>
        <w:t>merce ou du crédit. Pour n’avoir pas su ou pu inventer le billet de banque, le capitalisme médiéval a été con</w:t>
      </w:r>
      <w:r w:rsidRPr="000F765B">
        <w:rPr>
          <w:lang w:eastAsia="fr-FR" w:bidi="fr-FR"/>
        </w:rPr>
        <w:t>s</w:t>
      </w:r>
      <w:r w:rsidRPr="000F765B">
        <w:rPr>
          <w:lang w:eastAsia="fr-FR" w:bidi="fr-FR"/>
        </w:rPr>
        <w:t>tamment handicapé. En un sens, l’emploi du poivre comme monnaie fut un des résultats de cette carence : une forme, si l’on veut, de n</w:t>
      </w:r>
      <w:r w:rsidRPr="000F765B">
        <w:rPr>
          <w:lang w:eastAsia="fr-FR" w:bidi="fr-FR"/>
        </w:rPr>
        <w:t>é</w:t>
      </w:r>
      <w:r w:rsidRPr="000F765B">
        <w:rPr>
          <w:lang w:eastAsia="fr-FR" w:bidi="fr-FR"/>
        </w:rPr>
        <w:t>cessaire inflation.</w:t>
      </w:r>
    </w:p>
    <w:p w14:paraId="6425ED4D" w14:textId="77777777" w:rsidR="00B9662D" w:rsidRPr="000F765B" w:rsidRDefault="00B9662D" w:rsidP="00B9662D">
      <w:pPr>
        <w:spacing w:before="120" w:after="120"/>
        <w:jc w:val="both"/>
      </w:pPr>
      <w:r w:rsidRPr="000F765B">
        <w:rPr>
          <w:lang w:eastAsia="fr-FR" w:bidi="fr-FR"/>
        </w:rPr>
        <w:t>Une autre raison, pourtant, dont l’importance ne saurait être négl</w:t>
      </w:r>
      <w:r w:rsidRPr="000F765B">
        <w:rPr>
          <w:lang w:eastAsia="fr-FR" w:bidi="fr-FR"/>
        </w:rPr>
        <w:t>i</w:t>
      </w:r>
      <w:r w:rsidRPr="000F765B">
        <w:rPr>
          <w:lang w:eastAsia="fr-FR" w:bidi="fr-FR"/>
        </w:rPr>
        <w:t>gée, contribuait en même temps à conseiller cette pratique. C’était l’imperfection des frappes. La responsabilité, ici, incombait au mo</w:t>
      </w:r>
      <w:r w:rsidRPr="000F765B">
        <w:rPr>
          <w:lang w:eastAsia="fr-FR" w:bidi="fr-FR"/>
        </w:rPr>
        <w:t>r</w:t>
      </w:r>
      <w:r w:rsidRPr="000F765B">
        <w:rPr>
          <w:lang w:eastAsia="fr-FR" w:bidi="fr-FR"/>
        </w:rPr>
        <w:t>cellement politique, dont les origines débordent notre sujet. Les at</w:t>
      </w:r>
      <w:r w:rsidRPr="000F765B">
        <w:rPr>
          <w:lang w:eastAsia="fr-FR" w:bidi="fr-FR"/>
        </w:rPr>
        <w:t>e</w:t>
      </w:r>
      <w:r w:rsidRPr="000F765B">
        <w:rPr>
          <w:lang w:eastAsia="fr-FR" w:bidi="fr-FR"/>
        </w:rPr>
        <w:t>liers n’étaient pas seulement très nombreux et les pièces en circulation extrêmement variables selon leurs provenances. Les émissions même de chaque atelier, pris à part, présentaient des sautes presque consta</w:t>
      </w:r>
      <w:r w:rsidRPr="000F765B">
        <w:rPr>
          <w:lang w:eastAsia="fr-FR" w:bidi="fr-FR"/>
        </w:rPr>
        <w:t>n</w:t>
      </w:r>
      <w:r w:rsidRPr="000F765B">
        <w:rPr>
          <w:lang w:eastAsia="fr-FR" w:bidi="fr-FR"/>
        </w:rPr>
        <w:t>tes. D’où le recours à une denrée de valeur à peu près stable. Cette fuite devant la monnaie métallique n’a jamais été totale ; mais, spor</w:t>
      </w:r>
      <w:r w:rsidRPr="000F765B">
        <w:rPr>
          <w:lang w:eastAsia="fr-FR" w:bidi="fr-FR"/>
        </w:rPr>
        <w:t>a</w:t>
      </w:r>
      <w:r w:rsidRPr="000F765B">
        <w:rPr>
          <w:lang w:eastAsia="fr-FR" w:bidi="fr-FR"/>
        </w:rPr>
        <w:t>diquement répétée, elle constitue un phénomène hautement caractéri</w:t>
      </w:r>
      <w:r w:rsidRPr="000F765B">
        <w:rPr>
          <w:lang w:eastAsia="fr-FR" w:bidi="fr-FR"/>
        </w:rPr>
        <w:t>s</w:t>
      </w:r>
      <w:r w:rsidRPr="000F765B">
        <w:rPr>
          <w:lang w:eastAsia="fr-FR" w:bidi="fr-FR"/>
        </w:rPr>
        <w:t>tique de l’économie médiévale, sous ses formes parfois les plus év</w:t>
      </w:r>
      <w:r w:rsidRPr="000F765B">
        <w:rPr>
          <w:lang w:eastAsia="fr-FR" w:bidi="fr-FR"/>
        </w:rPr>
        <w:t>o</w:t>
      </w:r>
      <w:r w:rsidRPr="000F765B">
        <w:rPr>
          <w:lang w:eastAsia="fr-FR" w:bidi="fr-FR"/>
        </w:rPr>
        <w:lastRenderedPageBreak/>
        <w:t>luées. Elle se ramenait, en somme, à une fuite devant l’État. Car si, à bien des égards, les paiements en poivre offrent l’aspect de paiements monétaires du type le plus classique, un trait néanmoins manque pour que la coïncidence soit complète. Précieuse, durable, fongible, la ma</w:t>
      </w:r>
      <w:r w:rsidRPr="000F765B">
        <w:rPr>
          <w:lang w:eastAsia="fr-FR" w:bidi="fr-FR"/>
        </w:rPr>
        <w:t>r</w:t>
      </w:r>
      <w:r w:rsidRPr="000F765B">
        <w:rPr>
          <w:lang w:eastAsia="fr-FR" w:bidi="fr-FR"/>
        </w:rPr>
        <w:t>chandise-monnaie ne portait pas l’estampille des pouvoirs publics. On peut donc, si l’on veut, douter que de pareils usages répondissent ple</w:t>
      </w:r>
      <w:r w:rsidRPr="000F765B">
        <w:rPr>
          <w:lang w:eastAsia="fr-FR" w:bidi="fr-FR"/>
        </w:rPr>
        <w:t>i</w:t>
      </w:r>
      <w:r w:rsidRPr="000F765B">
        <w:rPr>
          <w:lang w:eastAsia="fr-FR" w:bidi="fr-FR"/>
        </w:rPr>
        <w:t>nement à la notion d’économie-argent. On hésitera encore plus, se</w:t>
      </w:r>
      <w:r w:rsidRPr="000F765B">
        <w:rPr>
          <w:lang w:eastAsia="fr-FR" w:bidi="fr-FR"/>
        </w:rPr>
        <w:t>m</w:t>
      </w:r>
      <w:r w:rsidRPr="000F765B">
        <w:rPr>
          <w:lang w:eastAsia="fr-FR" w:bidi="fr-FR"/>
        </w:rPr>
        <w:t>ble-t-il, à les ranger sous la rubrique d’économie</w:t>
      </w:r>
      <w:r>
        <w:rPr>
          <w:lang w:eastAsia="fr-FR" w:bidi="fr-FR"/>
        </w:rPr>
        <w:t>-</w:t>
      </w:r>
      <w:r w:rsidRPr="000F765B">
        <w:rPr>
          <w:lang w:eastAsia="fr-FR" w:bidi="fr-FR"/>
        </w:rPr>
        <w:t>nature.</w:t>
      </w:r>
    </w:p>
    <w:p w14:paraId="1E0D88A7"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084034CE" w14:textId="77777777" w:rsidR="00B9662D" w:rsidRPr="000F765B" w:rsidRDefault="00B9662D" w:rsidP="00B9662D">
      <w:pPr>
        <w:spacing w:before="120" w:after="120"/>
        <w:jc w:val="both"/>
      </w:pPr>
      <w:r w:rsidRPr="000F765B">
        <w:rPr>
          <w:lang w:eastAsia="fr-FR" w:bidi="fr-FR"/>
        </w:rPr>
        <w:t xml:space="preserve">Cependant, léguée au Moyen </w:t>
      </w:r>
      <w:r>
        <w:rPr>
          <w:lang w:eastAsia="fr-FR" w:bidi="fr-FR"/>
        </w:rPr>
        <w:t>Â</w:t>
      </w:r>
      <w:r w:rsidRPr="000F765B">
        <w:rPr>
          <w:lang w:eastAsia="fr-FR" w:bidi="fr-FR"/>
        </w:rPr>
        <w:t>ge par les civilisations méditerr</w:t>
      </w:r>
      <w:r w:rsidRPr="000F765B">
        <w:rPr>
          <w:lang w:eastAsia="fr-FR" w:bidi="fr-FR"/>
        </w:rPr>
        <w:t>a</w:t>
      </w:r>
      <w:r w:rsidRPr="000F765B">
        <w:rPr>
          <w:lang w:eastAsia="fr-FR" w:bidi="fr-FR"/>
        </w:rPr>
        <w:t>néennes, la monnaie métallique ne cessa jamais de lui être familière. Mais avec des modalités d’emploi qui méritent d’être précisées. Il sera commode de nous aider, à cette fin, des définitions que, s’inspirant de l’expérience du premier âge capitaliste, la doctrine courante donne du rôle de la monnaie. Elle lui reconnaît, on le sait, trois fonctions di</w:t>
      </w:r>
      <w:r w:rsidRPr="000F765B">
        <w:rPr>
          <w:lang w:eastAsia="fr-FR" w:bidi="fr-FR"/>
        </w:rPr>
        <w:t>s</w:t>
      </w:r>
      <w:r w:rsidRPr="000F765B">
        <w:rPr>
          <w:lang w:eastAsia="fr-FR" w:bidi="fr-FR"/>
        </w:rPr>
        <w:t>tinctes : conservation de la valeur</w:t>
      </w:r>
      <w:r>
        <w:rPr>
          <w:lang w:eastAsia="fr-FR" w:bidi="fr-FR"/>
        </w:rPr>
        <w:t> — </w:t>
      </w:r>
      <w:r w:rsidRPr="000F765B">
        <w:rPr>
          <w:lang w:eastAsia="fr-FR" w:bidi="fr-FR"/>
        </w:rPr>
        <w:t>ce qui fait d’elle, selon le mot de Simiand, un merveilleux instrument « d’anticipation » économique</w:t>
      </w:r>
      <w:r>
        <w:rPr>
          <w:lang w:eastAsia="fr-FR" w:bidi="fr-FR"/>
        </w:rPr>
        <w:t> — </w:t>
      </w:r>
      <w:r w:rsidRPr="000F765B">
        <w:rPr>
          <w:lang w:eastAsia="fr-FR" w:bidi="fr-FR"/>
        </w:rPr>
        <w:t xml:space="preserve">; instrument des paiements ; mesure de la valeur. </w:t>
      </w:r>
      <w:r>
        <w:rPr>
          <w:lang w:eastAsia="fr-FR" w:bidi="fr-FR"/>
        </w:rPr>
        <w:t>À</w:t>
      </w:r>
      <w:r w:rsidRPr="000F765B">
        <w:rPr>
          <w:lang w:eastAsia="fr-FR" w:bidi="fr-FR"/>
        </w:rPr>
        <w:t xml:space="preserve"> la lumière de ces trois notions, tour à tour, examinons ce que les documents nous rév</w:t>
      </w:r>
      <w:r w:rsidRPr="000F765B">
        <w:rPr>
          <w:lang w:eastAsia="fr-FR" w:bidi="fr-FR"/>
        </w:rPr>
        <w:t>è</w:t>
      </w:r>
      <w:r w:rsidRPr="000F765B">
        <w:rPr>
          <w:lang w:eastAsia="fr-FR" w:bidi="fr-FR"/>
        </w:rPr>
        <w:t>lent des pratiques suivies dans l’Europe Occidentale et Centrale, d</w:t>
      </w:r>
      <w:r w:rsidRPr="000F765B">
        <w:rPr>
          <w:lang w:eastAsia="fr-FR" w:bidi="fr-FR"/>
        </w:rPr>
        <w:t>e</w:t>
      </w:r>
      <w:r w:rsidRPr="000F765B">
        <w:rPr>
          <w:lang w:eastAsia="fr-FR" w:bidi="fr-FR"/>
        </w:rPr>
        <w:t>puis l’époque carolingienne jusqu’aux environs de l’an 1200.</w:t>
      </w:r>
    </w:p>
    <w:p w14:paraId="223676EA" w14:textId="77777777" w:rsidR="00B9662D" w:rsidRPr="000F765B" w:rsidRDefault="00B9662D" w:rsidP="00B9662D">
      <w:pPr>
        <w:spacing w:before="120" w:after="120"/>
        <w:jc w:val="both"/>
      </w:pPr>
      <w:r>
        <w:t>[872]</w:t>
      </w:r>
    </w:p>
    <w:p w14:paraId="1E7CABB4" w14:textId="77777777" w:rsidR="00B9662D" w:rsidRPr="000F765B" w:rsidRDefault="00B9662D" w:rsidP="00B9662D">
      <w:pPr>
        <w:spacing w:before="120" w:after="120"/>
        <w:jc w:val="both"/>
      </w:pPr>
      <w:r w:rsidRPr="000F765B">
        <w:rPr>
          <w:lang w:eastAsia="fr-FR" w:bidi="fr-FR"/>
        </w:rPr>
        <w:t>Visiblement, l’instrument préféré de la conservation de la valeur ne cessa jamais, durant cette période, d’être constitué par les métaux pr</w:t>
      </w:r>
      <w:r w:rsidRPr="000F765B">
        <w:rPr>
          <w:lang w:eastAsia="fr-FR" w:bidi="fr-FR"/>
        </w:rPr>
        <w:t>é</w:t>
      </w:r>
      <w:r w:rsidRPr="000F765B">
        <w:rPr>
          <w:lang w:eastAsia="fr-FR" w:bidi="fr-FR"/>
        </w:rPr>
        <w:t>cieux. Mais non pas, le plus souvent, sous la forme d’espèces mo</w:t>
      </w:r>
      <w:r w:rsidRPr="000F765B">
        <w:rPr>
          <w:lang w:eastAsia="fr-FR" w:bidi="fr-FR"/>
        </w:rPr>
        <w:t>n</w:t>
      </w:r>
      <w:r w:rsidRPr="000F765B">
        <w:rPr>
          <w:lang w:eastAsia="fr-FR" w:bidi="fr-FR"/>
        </w:rPr>
        <w:t>nayées, ni même, semble-t-il, de lingots. Dans les trésors des églises, certainement, et probablement aussi dans ceux des grands et des rois, la part la plus considérable des réserves métalliques était alors formée par des pièces d’orfèvrerie : vases ou ornements liturgiques, vaisselle, joyaux de toute sorte. Se trouvait-on contraint à un paiement qui d</w:t>
      </w:r>
      <w:r w:rsidRPr="000F765B">
        <w:rPr>
          <w:lang w:eastAsia="fr-FR" w:bidi="fr-FR"/>
        </w:rPr>
        <w:t>é</w:t>
      </w:r>
      <w:r w:rsidRPr="000F765B">
        <w:rPr>
          <w:lang w:eastAsia="fr-FR" w:bidi="fr-FR"/>
        </w:rPr>
        <w:t>passait les revenus réguliers ? On engageait ces objets à un prêteur, dans l’espoir, fréquemment trompé, de les racheter par la suite. Ou bien on les portait à la fonderie. L’opération n’avait pas le caractère exceptionnel qu’elle devait prendre plus tard, dans la France de Louis</w:t>
      </w:r>
      <w:r>
        <w:rPr>
          <w:lang w:eastAsia="fr-FR" w:bidi="fr-FR"/>
        </w:rPr>
        <w:t> </w:t>
      </w:r>
      <w:r w:rsidRPr="000F765B">
        <w:rPr>
          <w:lang w:eastAsia="fr-FR" w:bidi="fr-FR"/>
        </w:rPr>
        <w:t xml:space="preserve">XIV, par exemple, ou sous la Révolution. Elle passait pour pleinement normale. Là encore, l’instabilité de la monnaie exerçait </w:t>
      </w:r>
      <w:r w:rsidRPr="000F765B">
        <w:rPr>
          <w:lang w:eastAsia="fr-FR" w:bidi="fr-FR"/>
        </w:rPr>
        <w:lastRenderedPageBreak/>
        <w:t xml:space="preserve">son action. </w:t>
      </w:r>
      <w:r>
        <w:rPr>
          <w:lang w:eastAsia="fr-FR" w:bidi="fr-FR"/>
        </w:rPr>
        <w:t>À</w:t>
      </w:r>
      <w:r w:rsidRPr="000F765B">
        <w:rPr>
          <w:lang w:eastAsia="fr-FR" w:bidi="fr-FR"/>
        </w:rPr>
        <w:t xml:space="preserve"> quoi bon garder dans ses coffres un moyen d’échange de valeur variable et facilement démodé ? Mais une pareille coutume a</w:t>
      </w:r>
      <w:r w:rsidRPr="000F765B">
        <w:rPr>
          <w:lang w:eastAsia="fr-FR" w:bidi="fr-FR"/>
        </w:rPr>
        <w:t>t</w:t>
      </w:r>
      <w:r w:rsidRPr="000F765B">
        <w:rPr>
          <w:lang w:eastAsia="fr-FR" w:bidi="fr-FR"/>
        </w:rPr>
        <w:t>teste aussi le faible prix qui, dans l’économie, était en ce temps reco</w:t>
      </w:r>
      <w:r w:rsidRPr="000F765B">
        <w:rPr>
          <w:lang w:eastAsia="fr-FR" w:bidi="fr-FR"/>
        </w:rPr>
        <w:t>n</w:t>
      </w:r>
      <w:r w:rsidRPr="000F765B">
        <w:rPr>
          <w:lang w:eastAsia="fr-FR" w:bidi="fr-FR"/>
        </w:rPr>
        <w:t>nu à la main-d’œuvre humaine : si l’on se résignait si aisément à voir se perdre la valeur de la force de travail incorporée à la matière, c’était apparemment que la perte ne montait pas très haut. Enfin, on n’en sa</w:t>
      </w:r>
      <w:r w:rsidRPr="000F765B">
        <w:rPr>
          <w:lang w:eastAsia="fr-FR" w:bidi="fr-FR"/>
        </w:rPr>
        <w:t>u</w:t>
      </w:r>
      <w:r w:rsidRPr="000F765B">
        <w:rPr>
          <w:lang w:eastAsia="fr-FR" w:bidi="fr-FR"/>
        </w:rPr>
        <w:t>rait guère douter, les thésauriseurs obéissaient aussi et peut-être avant tout au désir de tirer de leur fortune, dès le moment présent, une joui</w:t>
      </w:r>
      <w:r w:rsidRPr="000F765B">
        <w:rPr>
          <w:lang w:eastAsia="fr-FR" w:bidi="fr-FR"/>
        </w:rPr>
        <w:t>s</w:t>
      </w:r>
      <w:r w:rsidRPr="000F765B">
        <w:rPr>
          <w:lang w:eastAsia="fr-FR" w:bidi="fr-FR"/>
        </w:rPr>
        <w:t>sance plus directe que « l’anticipation » pure et simple de l’avenir. L’abstraite volupté d’un Harpagon ou d’un Père Goriot, contemplant leurs écus, n’eût vraisemblablement pas été un sentiment très access</w:t>
      </w:r>
      <w:r w:rsidRPr="000F765B">
        <w:rPr>
          <w:lang w:eastAsia="fr-FR" w:bidi="fr-FR"/>
        </w:rPr>
        <w:t>i</w:t>
      </w:r>
      <w:r w:rsidRPr="000F765B">
        <w:rPr>
          <w:lang w:eastAsia="fr-FR" w:bidi="fr-FR"/>
        </w:rPr>
        <w:t>ble à des hommes qu’émouvaient surtout le matériel et l’immédiat.</w:t>
      </w:r>
    </w:p>
    <w:p w14:paraId="2FD3D0D0" w14:textId="77777777" w:rsidR="00B9662D" w:rsidRPr="000F765B" w:rsidRDefault="00B9662D" w:rsidP="00B9662D">
      <w:pPr>
        <w:spacing w:before="120" w:after="120"/>
        <w:jc w:val="both"/>
      </w:pPr>
      <w:r w:rsidRPr="000F765B">
        <w:rPr>
          <w:lang w:eastAsia="fr-FR" w:bidi="fr-FR"/>
        </w:rPr>
        <w:t>Que, d’autre part, beaucoup de paiements et de toute sorte aient été alors opérés en espèces monnayées, il n’est plus aujourd’hui nécessa</w:t>
      </w:r>
      <w:r w:rsidRPr="000F765B">
        <w:rPr>
          <w:lang w:eastAsia="fr-FR" w:bidi="fr-FR"/>
        </w:rPr>
        <w:t>i</w:t>
      </w:r>
      <w:r w:rsidRPr="000F765B">
        <w:rPr>
          <w:lang w:eastAsia="fr-FR" w:bidi="fr-FR"/>
        </w:rPr>
        <w:t xml:space="preserve">re de le démontrer. </w:t>
      </w:r>
      <w:r>
        <w:rPr>
          <w:lang w:eastAsia="fr-FR" w:bidi="fr-FR"/>
        </w:rPr>
        <w:t>À</w:t>
      </w:r>
      <w:r w:rsidRPr="000F765B">
        <w:rPr>
          <w:lang w:eastAsia="fr-FR" w:bidi="fr-FR"/>
        </w:rPr>
        <w:t xml:space="preserve"> tant d’exemples rassemblés dans des travaux récents, je me bornerai à ajouter le petit fait que voici. Dans la premi</w:t>
      </w:r>
      <w:r w:rsidRPr="000F765B">
        <w:rPr>
          <w:lang w:eastAsia="fr-FR" w:bidi="fr-FR"/>
        </w:rPr>
        <w:t>è</w:t>
      </w:r>
      <w:r w:rsidRPr="000F765B">
        <w:rPr>
          <w:lang w:eastAsia="fr-FR" w:bidi="fr-FR"/>
        </w:rPr>
        <w:t xml:space="preserve">re moitié du </w:t>
      </w:r>
      <w:r w:rsidRPr="007A1946">
        <w:rPr>
          <w:smallCaps/>
          <w:lang w:eastAsia="fr-FR" w:bidi="fr-FR"/>
        </w:rPr>
        <w:t>ix</w:t>
      </w:r>
      <w:r w:rsidRPr="000F765B">
        <w:rPr>
          <w:vertAlign w:val="superscript"/>
          <w:lang w:eastAsia="fr-FR" w:bidi="fr-FR"/>
        </w:rPr>
        <w:t>e</w:t>
      </w:r>
      <w:r w:rsidRPr="000F765B">
        <w:rPr>
          <w:lang w:eastAsia="fr-FR" w:bidi="fr-FR"/>
        </w:rPr>
        <w:t xml:space="preserve"> siècle, à côté de larges dons de nourriture, l’abbaye de Corbie distribuait aussi, aux pauvres errants qui venaient frapper à sa porte, quelques aumônes en deniers</w:t>
      </w:r>
      <w:r>
        <w:rPr>
          <w:lang w:eastAsia="fr-FR" w:bidi="fr-FR"/>
        </w:rPr>
        <w:t> </w:t>
      </w:r>
      <w:r>
        <w:rPr>
          <w:rStyle w:val="Appelnotedebasdep"/>
        </w:rPr>
        <w:footnoteReference w:id="925"/>
      </w:r>
      <w:r w:rsidRPr="000F765B">
        <w:rPr>
          <w:lang w:eastAsia="fr-FR" w:bidi="fr-FR"/>
        </w:rPr>
        <w:t> : preuve certaine que, de not</w:t>
      </w:r>
      <w:r w:rsidRPr="000F765B">
        <w:rPr>
          <w:lang w:eastAsia="fr-FR" w:bidi="fr-FR"/>
        </w:rPr>
        <w:t>o</w:t>
      </w:r>
      <w:r w:rsidRPr="000F765B">
        <w:rPr>
          <w:lang w:eastAsia="fr-FR" w:bidi="fr-FR"/>
        </w:rPr>
        <w:t>riété publique, une piécette d’argent pouvait, à cette date, permettre à un vagabond de se procurer, sur les routes de la Gaule, un peu des modestes denrées nécessaires à sa faim.</w:t>
      </w:r>
    </w:p>
    <w:p w14:paraId="6BFE8CC8" w14:textId="77777777" w:rsidR="00B9662D" w:rsidRPr="000F765B" w:rsidRDefault="00B9662D" w:rsidP="00B9662D">
      <w:pPr>
        <w:spacing w:before="120" w:after="120"/>
        <w:jc w:val="both"/>
      </w:pPr>
      <w:r>
        <w:rPr>
          <w:lang w:eastAsia="fr-FR" w:bidi="fr-FR"/>
        </w:rPr>
        <w:t>À</w:t>
      </w:r>
      <w:r w:rsidRPr="000F765B">
        <w:rPr>
          <w:lang w:eastAsia="fr-FR" w:bidi="fr-FR"/>
        </w:rPr>
        <w:t xml:space="preserve"> vrai dire, il est permis de se demander si, parmi les mieux atte</w:t>
      </w:r>
      <w:r w:rsidRPr="000F765B">
        <w:rPr>
          <w:lang w:eastAsia="fr-FR" w:bidi="fr-FR"/>
        </w:rPr>
        <w:t>s</w:t>
      </w:r>
      <w:r w:rsidRPr="000F765B">
        <w:rPr>
          <w:lang w:eastAsia="fr-FR" w:bidi="fr-FR"/>
        </w:rPr>
        <w:t>tés même de ces versements en métal monnayé, tous méritent d’être classés sous la rubrique d’économie monétaire, au sens le plus strict du mot. Nous constatons, en effet, que très fréquemment les espèces, avant d’être acceptées, étaient soumises à une pesée ou à d’autres épreuves, destinées à vérifier leur teneur en métal précieux. La raison de ces pratiques est évidente. On n’avait que trop de motifs de suspe</w:t>
      </w:r>
      <w:r w:rsidRPr="000F765B">
        <w:rPr>
          <w:lang w:eastAsia="fr-FR" w:bidi="fr-FR"/>
        </w:rPr>
        <w:t>c</w:t>
      </w:r>
      <w:r w:rsidRPr="000F765B">
        <w:rPr>
          <w:lang w:eastAsia="fr-FR" w:bidi="fr-FR"/>
        </w:rPr>
        <w:t>ter la qualité des frappes ou de craindre l’astuce des manieurs de c</w:t>
      </w:r>
      <w:r w:rsidRPr="000F765B">
        <w:rPr>
          <w:lang w:eastAsia="fr-FR" w:bidi="fr-FR"/>
        </w:rPr>
        <w:t>i</w:t>
      </w:r>
      <w:r w:rsidRPr="000F765B">
        <w:rPr>
          <w:lang w:eastAsia="fr-FR" w:bidi="fr-FR"/>
        </w:rPr>
        <w:t>seaux, adroits à rogner, à petits coups, le bord des deniers, des ma</w:t>
      </w:r>
      <w:r w:rsidRPr="000F765B">
        <w:rPr>
          <w:lang w:eastAsia="fr-FR" w:bidi="fr-FR"/>
        </w:rPr>
        <w:t>n</w:t>
      </w:r>
      <w:r w:rsidRPr="000F765B">
        <w:rPr>
          <w:lang w:eastAsia="fr-FR" w:bidi="fr-FR"/>
        </w:rPr>
        <w:t>gons ou des besants qui passaient par leurs mains. Les administrations les p</w:t>
      </w:r>
      <w:r>
        <w:rPr>
          <w:lang w:eastAsia="fr-FR" w:bidi="fr-FR"/>
        </w:rPr>
        <w:t>lus soigneuses, comme, en Angle</w:t>
      </w:r>
      <w:r w:rsidRPr="000F765B">
        <w:rPr>
          <w:lang w:eastAsia="fr-FR" w:bidi="fr-FR"/>
        </w:rPr>
        <w:t>terre,</w:t>
      </w:r>
      <w:r>
        <w:rPr>
          <w:lang w:eastAsia="fr-FR" w:bidi="fr-FR"/>
        </w:rPr>
        <w:t xml:space="preserve"> [</w:t>
      </w:r>
      <w:r w:rsidRPr="000F765B">
        <w:rPr>
          <w:lang w:eastAsia="fr-FR" w:bidi="fr-FR"/>
        </w:rPr>
        <w:t>873</w:t>
      </w:r>
      <w:r>
        <w:rPr>
          <w:lang w:eastAsia="fr-FR" w:bidi="fr-FR"/>
        </w:rPr>
        <w:t>]</w:t>
      </w:r>
      <w:r w:rsidRPr="000F765B">
        <w:rPr>
          <w:lang w:eastAsia="fr-FR" w:bidi="fr-FR"/>
        </w:rPr>
        <w:t xml:space="preserve"> l’Échiquier des rois normands ou angevins, lors même qu’elles consentaient à dénombrer simplement les pièces, déduisaient de leur valeur nominale un certain </w:t>
      </w:r>
      <w:r w:rsidRPr="000F765B">
        <w:rPr>
          <w:lang w:eastAsia="fr-FR" w:bidi="fr-FR"/>
        </w:rPr>
        <w:lastRenderedPageBreak/>
        <w:t>pourcentage, à titre de forfait pour les pertes quasi inévitables</w:t>
      </w:r>
      <w:r>
        <w:rPr>
          <w:lang w:eastAsia="fr-FR" w:bidi="fr-FR"/>
        </w:rPr>
        <w:t> </w:t>
      </w:r>
      <w:r>
        <w:rPr>
          <w:rStyle w:val="Appelnotedebasdep"/>
        </w:rPr>
        <w:footnoteReference w:id="926"/>
      </w:r>
      <w:r w:rsidRPr="000F765B">
        <w:rPr>
          <w:lang w:eastAsia="fr-FR" w:bidi="fr-FR"/>
        </w:rPr>
        <w:t xml:space="preserve">. Or, la caractéristique même d’une « vraie » monnaie, comme l’entendaient les économistes du </w:t>
      </w:r>
      <w:r w:rsidRPr="00A30D53">
        <w:rPr>
          <w:caps/>
          <w:lang w:eastAsia="fr-FR" w:bidi="fr-FR"/>
        </w:rPr>
        <w:t>xix</w:t>
      </w:r>
      <w:r w:rsidRPr="000F765B">
        <w:rPr>
          <w:vertAlign w:val="superscript"/>
          <w:lang w:eastAsia="fr-FR" w:bidi="fr-FR"/>
        </w:rPr>
        <w:t>e</w:t>
      </w:r>
      <w:r>
        <w:rPr>
          <w:lang w:eastAsia="fr-FR" w:bidi="fr-FR"/>
        </w:rPr>
        <w:t> </w:t>
      </w:r>
      <w:r w:rsidRPr="000F765B">
        <w:rPr>
          <w:lang w:eastAsia="fr-FR" w:bidi="fr-FR"/>
        </w:rPr>
        <w:t>siècle, est de porter sa valeur en elle-même ; et une pièce qu’il faut mettre à la balance ressemble de bien près à un lingot.</w:t>
      </w:r>
    </w:p>
    <w:p w14:paraId="1F6BD0F7" w14:textId="77777777" w:rsidR="00B9662D" w:rsidRPr="000F765B" w:rsidRDefault="00B9662D" w:rsidP="00B9662D">
      <w:pPr>
        <w:spacing w:before="120" w:after="120"/>
        <w:jc w:val="both"/>
      </w:pPr>
      <w:r w:rsidRPr="000F765B">
        <w:rPr>
          <w:lang w:eastAsia="fr-FR" w:bidi="fr-FR"/>
        </w:rPr>
        <w:t>Mais voici une autre réserve qui, sans doute, paraîtra plus grave : beaucoup moins de paiements, en réalité, ne revêtaient la forme de prestations d’espèces, pesées ou non, que, lus sans précautions, les documents ne risqueraient de le suggérer. Un exemple particulièr</w:t>
      </w:r>
      <w:r w:rsidRPr="000F765B">
        <w:rPr>
          <w:lang w:eastAsia="fr-FR" w:bidi="fr-FR"/>
        </w:rPr>
        <w:t>e</w:t>
      </w:r>
      <w:r w:rsidRPr="000F765B">
        <w:rPr>
          <w:lang w:eastAsia="fr-FR" w:bidi="fr-FR"/>
        </w:rPr>
        <w:t xml:space="preserve">ment instructif est fourni par la redevance de caractère personnel qu’en France on appelait ordinairement « chevage ». </w:t>
      </w:r>
      <w:r>
        <w:rPr>
          <w:lang w:eastAsia="fr-FR" w:bidi="fr-FR"/>
        </w:rPr>
        <w:t>À</w:t>
      </w:r>
      <w:r w:rsidRPr="000F765B">
        <w:rPr>
          <w:lang w:eastAsia="fr-FR" w:bidi="fr-FR"/>
        </w:rPr>
        <w:t xml:space="preserve"> l’origine signe d’un rapport de protection, puis, en France du moins, devenue un des symptômes de la servitude, au sens nouveau de ce mot, elle constitua certainement, sous des noms divers un des types de charges seigne</w:t>
      </w:r>
      <w:r w:rsidRPr="000F765B">
        <w:rPr>
          <w:lang w:eastAsia="fr-FR" w:bidi="fr-FR"/>
        </w:rPr>
        <w:t>u</w:t>
      </w:r>
      <w:r w:rsidRPr="000F765B">
        <w:rPr>
          <w:lang w:eastAsia="fr-FR" w:bidi="fr-FR"/>
        </w:rPr>
        <w:t xml:space="preserve">riales les plus répandus dans l’Europe du premier âge féodal. On la trouve communément fixée à une rente annuelle de quelques deniers par tête. </w:t>
      </w:r>
      <w:r>
        <w:rPr>
          <w:lang w:eastAsia="fr-FR" w:bidi="fr-FR"/>
        </w:rPr>
        <w:t>À</w:t>
      </w:r>
      <w:r w:rsidRPr="000F765B">
        <w:rPr>
          <w:lang w:eastAsia="fr-FR" w:bidi="fr-FR"/>
        </w:rPr>
        <w:t xml:space="preserve"> prendre ces stipulations à la lettre, il semblerait donc que d’innombrables individus des deux sexes, appartenant généralement aux classes les plus humbles, eussent été en mesure d’effectuer, ch</w:t>
      </w:r>
      <w:r w:rsidRPr="000F765B">
        <w:rPr>
          <w:lang w:eastAsia="fr-FR" w:bidi="fr-FR"/>
        </w:rPr>
        <w:t>a</w:t>
      </w:r>
      <w:r w:rsidRPr="000F765B">
        <w:rPr>
          <w:lang w:eastAsia="fr-FR" w:bidi="fr-FR"/>
        </w:rPr>
        <w:t>que année, le versement de plusieurs petites pièces d‘argent. La vérité est tout autre. Quelques chartes, ou notices par aventure moins rét</w:t>
      </w:r>
      <w:r w:rsidRPr="000F765B">
        <w:rPr>
          <w:lang w:eastAsia="fr-FR" w:bidi="fr-FR"/>
        </w:rPr>
        <w:t>i</w:t>
      </w:r>
      <w:r w:rsidRPr="000F765B">
        <w:rPr>
          <w:lang w:eastAsia="fr-FR" w:bidi="fr-FR"/>
        </w:rPr>
        <w:t>centes, expliquent clairement comment les deniers du chevage pou</w:t>
      </w:r>
      <w:r w:rsidRPr="000F765B">
        <w:rPr>
          <w:lang w:eastAsia="fr-FR" w:bidi="fr-FR"/>
        </w:rPr>
        <w:t>r</w:t>
      </w:r>
      <w:r w:rsidRPr="000F765B">
        <w:rPr>
          <w:lang w:eastAsia="fr-FR" w:bidi="fr-FR"/>
        </w:rPr>
        <w:t>ront être remplacés par des denrées</w:t>
      </w:r>
      <w:r>
        <w:rPr>
          <w:lang w:eastAsia="fr-FR" w:bidi="fr-FR"/>
        </w:rPr>
        <w:t> — </w:t>
      </w:r>
      <w:r w:rsidRPr="000F765B">
        <w:rPr>
          <w:lang w:eastAsia="fr-FR" w:bidi="fr-FR"/>
        </w:rPr>
        <w:t>dont la nature et la quantité sont tantôt spécifiées, tantôt passées sous silence,</w:t>
      </w:r>
      <w:r>
        <w:rPr>
          <w:lang w:eastAsia="fr-FR" w:bidi="fr-FR"/>
        </w:rPr>
        <w:t> — </w:t>
      </w:r>
      <w:r w:rsidRPr="000F765B">
        <w:rPr>
          <w:lang w:eastAsia="fr-FR" w:bidi="fr-FR"/>
        </w:rPr>
        <w:t>voire même par l’exécution de quelques journées de travail. Parmi les textes, plus nombreux, qui n’indiquent pas la possibilité de cette substitution, la plupart, selon toute apparence, ne prétendaient nullement, par là, l’interdire ; ils estimaient simplement superflue toute allusion à un usage universellement connu et d’ailleurs imposé par d’inéluctables nécessités économiques. Chacun savait que payer en deniers, cela voulait dire : en deniers ou leur équivalent</w:t>
      </w:r>
      <w:r>
        <w:rPr>
          <w:lang w:eastAsia="fr-FR" w:bidi="fr-FR"/>
        </w:rPr>
        <w:t> — </w:t>
      </w:r>
      <w:r w:rsidRPr="000F765B">
        <w:rPr>
          <w:lang w:eastAsia="fr-FR" w:bidi="fr-FR"/>
        </w:rPr>
        <w:t>leur « prix », dit un acte de Passau</w:t>
      </w:r>
      <w:r>
        <w:rPr>
          <w:lang w:eastAsia="fr-FR" w:bidi="fr-FR"/>
        </w:rPr>
        <w:t> </w:t>
      </w:r>
      <w:r>
        <w:rPr>
          <w:rStyle w:val="Appelnotedebasdep"/>
        </w:rPr>
        <w:footnoteReference w:id="927"/>
      </w:r>
      <w:r>
        <w:rPr>
          <w:lang w:eastAsia="fr-FR" w:bidi="fr-FR"/>
        </w:rPr>
        <w:t> — </w:t>
      </w:r>
      <w:r w:rsidRPr="000F765B">
        <w:rPr>
          <w:lang w:eastAsia="fr-FR" w:bidi="fr-FR"/>
        </w:rPr>
        <w:t>; et il était, d’autre part, évident qu’à exiger toujours ce que le paysan ne pouvait pas toujours donner, le seigneur se fût exp</w:t>
      </w:r>
      <w:r w:rsidRPr="000F765B">
        <w:rPr>
          <w:lang w:eastAsia="fr-FR" w:bidi="fr-FR"/>
        </w:rPr>
        <w:t>o</w:t>
      </w:r>
      <w:r w:rsidRPr="000F765B">
        <w:rPr>
          <w:lang w:eastAsia="fr-FR" w:bidi="fr-FR"/>
        </w:rPr>
        <w:t xml:space="preserve">sé, finalement, à ne rien recevoir. </w:t>
      </w:r>
      <w:r>
        <w:rPr>
          <w:lang w:eastAsia="fr-FR" w:bidi="fr-FR"/>
        </w:rPr>
        <w:t>À</w:t>
      </w:r>
      <w:r w:rsidRPr="000F765B">
        <w:rPr>
          <w:lang w:eastAsia="fr-FR" w:bidi="fr-FR"/>
        </w:rPr>
        <w:t xml:space="preserve"> quoi répondait donc, en pareil cas, la mention de la monnaie ? Celle-ci remplissait la troisième des </w:t>
      </w:r>
      <w:r w:rsidRPr="000F765B">
        <w:rPr>
          <w:lang w:eastAsia="fr-FR" w:bidi="fr-FR"/>
        </w:rPr>
        <w:lastRenderedPageBreak/>
        <w:t>fonctions qui ont été énumérées tout à l’heure : elle servait de mesure à la valeur.</w:t>
      </w:r>
    </w:p>
    <w:p w14:paraId="063C5466" w14:textId="77777777" w:rsidR="00B9662D" w:rsidRPr="000F765B" w:rsidRDefault="00B9662D" w:rsidP="00B9662D">
      <w:pPr>
        <w:spacing w:before="120" w:after="120"/>
        <w:jc w:val="both"/>
      </w:pPr>
      <w:r w:rsidRPr="000F765B">
        <w:rPr>
          <w:lang w:eastAsia="fr-FR" w:bidi="fr-FR"/>
        </w:rPr>
        <w:t>Or, cette façon de procéder, tous les lecteurs de cartulaires le s</w:t>
      </w:r>
      <w:r w:rsidRPr="000F765B">
        <w:rPr>
          <w:lang w:eastAsia="fr-FR" w:bidi="fr-FR"/>
        </w:rPr>
        <w:t>a</w:t>
      </w:r>
      <w:r w:rsidRPr="000F765B">
        <w:rPr>
          <w:lang w:eastAsia="fr-FR" w:bidi="fr-FR"/>
        </w:rPr>
        <w:t>vent, n’avait alors rien d’exceptionnel. Elle est attestée, à propos de transactions de diverses natures, par d’innombrables textes de la m</w:t>
      </w:r>
      <w:r w:rsidRPr="000F765B">
        <w:rPr>
          <w:lang w:eastAsia="fr-FR" w:bidi="fr-FR"/>
        </w:rPr>
        <w:t>ê</w:t>
      </w:r>
      <w:r w:rsidRPr="000F765B">
        <w:rPr>
          <w:lang w:eastAsia="fr-FR" w:bidi="fr-FR"/>
        </w:rPr>
        <w:t>me période, voire dès l’époque mérovingienne</w:t>
      </w:r>
      <w:r>
        <w:rPr>
          <w:lang w:eastAsia="fr-FR" w:bidi="fr-FR"/>
        </w:rPr>
        <w:t> </w:t>
      </w:r>
      <w:r>
        <w:rPr>
          <w:rStyle w:val="Appelnotedebasdep"/>
        </w:rPr>
        <w:footnoteReference w:id="928"/>
      </w:r>
      <w:r w:rsidRPr="000F765B">
        <w:rPr>
          <w:lang w:eastAsia="fr-FR" w:bidi="fr-FR"/>
        </w:rPr>
        <w:t>. La valeur à fournir est fixée en sous et deniers, plus tard aussi en livres. Le règlement est prévu ou autorisé en marchandises, dont certains documents spécifient qu’elles seront dûment « appréciées »</w:t>
      </w:r>
      <w:r>
        <w:rPr>
          <w:lang w:eastAsia="fr-FR" w:bidi="fr-FR"/>
        </w:rPr>
        <w:t> — </w:t>
      </w:r>
      <w:r w:rsidRPr="000F765B">
        <w:rPr>
          <w:lang w:eastAsia="fr-FR" w:bidi="fr-FR"/>
        </w:rPr>
        <w:t xml:space="preserve">en </w:t>
      </w:r>
      <w:r w:rsidRPr="00A30D53">
        <w:rPr>
          <w:i/>
        </w:rPr>
        <w:t>apreçiadura</w:t>
      </w:r>
      <w:r w:rsidRPr="000F765B">
        <w:t>,</w:t>
      </w:r>
      <w:r w:rsidRPr="000F765B">
        <w:rPr>
          <w:lang w:eastAsia="fr-FR" w:bidi="fr-FR"/>
        </w:rPr>
        <w:t xml:space="preserve"> dit, plus brièvement, le </w:t>
      </w:r>
      <w:r w:rsidRPr="00A30D53">
        <w:rPr>
          <w:i/>
        </w:rPr>
        <w:t>Cantar del mio</w:t>
      </w:r>
      <w:r>
        <w:t xml:space="preserve"> </w:t>
      </w:r>
      <w:r w:rsidRPr="00A30D53">
        <w:rPr>
          <w:i/>
        </w:rPr>
        <w:t>Cid</w:t>
      </w:r>
      <w:r>
        <w:t> </w:t>
      </w:r>
      <w:r>
        <w:rPr>
          <w:rStyle w:val="Appelnotedebasdep"/>
        </w:rPr>
        <w:footnoteReference w:id="929"/>
      </w:r>
      <w:r w:rsidRPr="000F765B">
        <w:t>.</w:t>
      </w:r>
      <w:r>
        <w:t xml:space="preserve"> [874] </w:t>
      </w:r>
      <w:r w:rsidRPr="000F765B">
        <w:rPr>
          <w:lang w:eastAsia="fr-FR" w:bidi="fr-FR"/>
        </w:rPr>
        <w:t xml:space="preserve"> Ce recours à un étalon, di</w:t>
      </w:r>
      <w:r w:rsidRPr="000F765B">
        <w:rPr>
          <w:lang w:eastAsia="fr-FR" w:bidi="fr-FR"/>
        </w:rPr>
        <w:t>s</w:t>
      </w:r>
      <w:r w:rsidRPr="000F765B">
        <w:rPr>
          <w:lang w:eastAsia="fr-FR" w:bidi="fr-FR"/>
        </w:rPr>
        <w:t>tinct de la matière du versement, marque précisément la différence, entre une pareille pratique et l’usage plus haut signalé, des monnaies non métalliques. Les bandes d’étoffe frisonnes étaient à la fois mesure et moyen du paiement. Le cas du poivre représente, à certains égards, un système de transition. Car l’épice était parfois, elle aussi, « appréciée » en termes monéta</w:t>
      </w:r>
      <w:r w:rsidRPr="000F765B">
        <w:rPr>
          <w:lang w:eastAsia="fr-FR" w:bidi="fr-FR"/>
        </w:rPr>
        <w:t>i</w:t>
      </w:r>
      <w:r w:rsidRPr="000F765B">
        <w:rPr>
          <w:lang w:eastAsia="fr-FR" w:bidi="fr-FR"/>
        </w:rPr>
        <w:t>res. Non pas toujours, cependant</w:t>
      </w:r>
      <w:r>
        <w:rPr>
          <w:lang w:eastAsia="fr-FR" w:bidi="fr-FR"/>
        </w:rPr>
        <w:t> — </w:t>
      </w:r>
      <w:r w:rsidRPr="000F765B">
        <w:rPr>
          <w:lang w:eastAsia="fr-FR" w:bidi="fr-FR"/>
        </w:rPr>
        <w:t>témoin, notre contrat normand</w:t>
      </w:r>
      <w:r>
        <w:rPr>
          <w:lang w:eastAsia="fr-FR" w:bidi="fr-FR"/>
        </w:rPr>
        <w:t> — </w:t>
      </w:r>
      <w:r w:rsidRPr="000F765B">
        <w:rPr>
          <w:lang w:eastAsia="fr-FR" w:bidi="fr-FR"/>
        </w:rPr>
        <w:t>ni même, semble-t-il ordinair</w:t>
      </w:r>
      <w:r w:rsidRPr="000F765B">
        <w:rPr>
          <w:lang w:eastAsia="fr-FR" w:bidi="fr-FR"/>
        </w:rPr>
        <w:t>e</w:t>
      </w:r>
      <w:r w:rsidRPr="000F765B">
        <w:rPr>
          <w:lang w:eastAsia="fr-FR" w:bidi="fr-FR"/>
        </w:rPr>
        <w:t>ment, du moins dans les exemples les plus anciens.</w:t>
      </w:r>
    </w:p>
    <w:p w14:paraId="537E772A" w14:textId="77777777" w:rsidR="00B9662D" w:rsidRPr="000F765B" w:rsidRDefault="00B9662D" w:rsidP="00B9662D">
      <w:pPr>
        <w:spacing w:before="120" w:after="120"/>
        <w:jc w:val="both"/>
      </w:pPr>
      <w:r w:rsidRPr="000F765B">
        <w:rPr>
          <w:lang w:eastAsia="fr-FR" w:bidi="fr-FR"/>
        </w:rPr>
        <w:t>Les faits qui viennent d’être rappelés sont bien connus ; et c’est pourquoi il a paru superflu d’ouvrir, tout grand, un dossier bourré de faciles exemples. Par contre, les conclusions qu’ils imposent vaudront sans doute la peine d’être formulées clairement.</w:t>
      </w:r>
    </w:p>
    <w:p w14:paraId="35AE633F" w14:textId="77777777" w:rsidR="00B9662D" w:rsidRPr="000F765B" w:rsidRDefault="00B9662D" w:rsidP="00B9662D">
      <w:pPr>
        <w:spacing w:before="120" w:after="120"/>
        <w:jc w:val="both"/>
      </w:pPr>
      <w:r w:rsidRPr="000F765B">
        <w:rPr>
          <w:lang w:eastAsia="fr-FR" w:bidi="fr-FR"/>
        </w:rPr>
        <w:t>L’une touche l’interprétation même des textes. Visiblement, de ce qu’un acte stipule en monnaies un prix ou une redevance, on ne sa</w:t>
      </w:r>
      <w:r w:rsidRPr="000F765B">
        <w:rPr>
          <w:lang w:eastAsia="fr-FR" w:bidi="fr-FR"/>
        </w:rPr>
        <w:t>u</w:t>
      </w:r>
      <w:r w:rsidRPr="000F765B">
        <w:rPr>
          <w:lang w:eastAsia="fr-FR" w:bidi="fr-FR"/>
        </w:rPr>
        <w:t xml:space="preserve">rait légitimement déduire, à défaut d’indications plus précises, que le règlement ait réellement eu lieu sous forme d’espèces monnayées. Nous possédons deux notices successives concernant le don d’un serf fait aux moines de Saint-Père de Chartres, le 2 novembre 1107, par un certain Josselin de Lèves. La première relate que, pour prix de son consentement, le frère du donateur reçut vingt sous ; la seconde qu’au lieu de cette somme, en argent, on lui avait promis un palefroi, de </w:t>
      </w:r>
      <w:r w:rsidRPr="000F765B">
        <w:rPr>
          <w:lang w:eastAsia="fr-FR" w:bidi="fr-FR"/>
        </w:rPr>
        <w:lastRenderedPageBreak/>
        <w:t>même valeur</w:t>
      </w:r>
      <w:r>
        <w:rPr>
          <w:lang w:eastAsia="fr-FR" w:bidi="fr-FR"/>
        </w:rPr>
        <w:t> </w:t>
      </w:r>
      <w:r>
        <w:rPr>
          <w:rStyle w:val="Appelnotedebasdep"/>
        </w:rPr>
        <w:footnoteReference w:id="930"/>
      </w:r>
      <w:r w:rsidRPr="000F765B">
        <w:rPr>
          <w:lang w:eastAsia="fr-FR" w:bidi="fr-FR"/>
        </w:rPr>
        <w:t>. Si nous n’avions conservé que le premier acte, ne s</w:t>
      </w:r>
      <w:r w:rsidRPr="000F765B">
        <w:rPr>
          <w:lang w:eastAsia="fr-FR" w:bidi="fr-FR"/>
        </w:rPr>
        <w:t>e</w:t>
      </w:r>
      <w:r w:rsidRPr="000F765B">
        <w:rPr>
          <w:lang w:eastAsia="fr-FR" w:bidi="fr-FR"/>
        </w:rPr>
        <w:t>rions-nous pas portés à inscrire l’opération au crédit de l’économie monétaire ? En d’autres termes, dans toute statistique des moyens de paiement médiévaux</w:t>
      </w:r>
      <w:r>
        <w:rPr>
          <w:lang w:eastAsia="fr-FR" w:bidi="fr-FR"/>
        </w:rPr>
        <w:t> — </w:t>
      </w:r>
      <w:r w:rsidRPr="000F765B">
        <w:rPr>
          <w:lang w:eastAsia="fr-FR" w:bidi="fr-FR"/>
        </w:rPr>
        <w:t>comme il serait si désirable d’en voir établir, de plus en plus nombreuses et serrées,</w:t>
      </w:r>
      <w:r>
        <w:rPr>
          <w:lang w:eastAsia="fr-FR" w:bidi="fr-FR"/>
        </w:rPr>
        <w:t> — </w:t>
      </w:r>
      <w:r w:rsidRPr="000F765B">
        <w:rPr>
          <w:lang w:eastAsia="fr-FR" w:bidi="fr-FR"/>
        </w:rPr>
        <w:t>après qu’auront été soigne</w:t>
      </w:r>
      <w:r w:rsidRPr="000F765B">
        <w:rPr>
          <w:lang w:eastAsia="fr-FR" w:bidi="fr-FR"/>
        </w:rPr>
        <w:t>u</w:t>
      </w:r>
      <w:r w:rsidRPr="000F765B">
        <w:rPr>
          <w:lang w:eastAsia="fr-FR" w:bidi="fr-FR"/>
        </w:rPr>
        <w:t>sement recensés, d’une part les versements à la fois mesurés et effe</w:t>
      </w:r>
      <w:r w:rsidRPr="000F765B">
        <w:rPr>
          <w:lang w:eastAsia="fr-FR" w:bidi="fr-FR"/>
        </w:rPr>
        <w:t>c</w:t>
      </w:r>
      <w:r w:rsidRPr="000F765B">
        <w:rPr>
          <w:lang w:eastAsia="fr-FR" w:bidi="fr-FR"/>
        </w:rPr>
        <w:t>tués en monnaie métallique, de l’autre les versements mesurés en monnaie, mais effectués en marchandises, une colonne supplémenta</w:t>
      </w:r>
      <w:r w:rsidRPr="000F765B">
        <w:rPr>
          <w:lang w:eastAsia="fr-FR" w:bidi="fr-FR"/>
        </w:rPr>
        <w:t>i</w:t>
      </w:r>
      <w:r w:rsidRPr="000F765B">
        <w:rPr>
          <w:lang w:eastAsia="fr-FR" w:bidi="fr-FR"/>
        </w:rPr>
        <w:t>re devra être réservée : celle du doute.</w:t>
      </w:r>
    </w:p>
    <w:p w14:paraId="7E222B52" w14:textId="77777777" w:rsidR="00B9662D" w:rsidRPr="000F765B" w:rsidRDefault="00B9662D" w:rsidP="00B9662D">
      <w:pPr>
        <w:spacing w:before="120" w:after="120"/>
        <w:jc w:val="both"/>
      </w:pPr>
      <w:r w:rsidRPr="000F765B">
        <w:rPr>
          <w:lang w:eastAsia="fr-FR" w:bidi="fr-FR"/>
        </w:rPr>
        <w:t>Dans ces pratiques monétaires, comment ne pas reconnaître, par ailleurs, l’expression d’un des traits peut-être les plus significatifs des sociétés dites « féodales », sous presque tous leurs aspects : j’entends la fidélité à une tradition civilisatrice, souvent bien obscurcie assur</w:t>
      </w:r>
      <w:r w:rsidRPr="000F765B">
        <w:rPr>
          <w:lang w:eastAsia="fr-FR" w:bidi="fr-FR"/>
        </w:rPr>
        <w:t>é</w:t>
      </w:r>
      <w:r w:rsidRPr="000F765B">
        <w:rPr>
          <w:lang w:eastAsia="fr-FR" w:bidi="fr-FR"/>
        </w:rPr>
        <w:t>ment, demeurée pourtant toujours assez proche des consciences pour se trouver prête à revivre, dès que l’atmosphère fut devenue plus fav</w:t>
      </w:r>
      <w:r w:rsidRPr="000F765B">
        <w:rPr>
          <w:lang w:eastAsia="fr-FR" w:bidi="fr-FR"/>
        </w:rPr>
        <w:t>o</w:t>
      </w:r>
      <w:r w:rsidRPr="000F765B">
        <w:rPr>
          <w:lang w:eastAsia="fr-FR" w:bidi="fr-FR"/>
        </w:rPr>
        <w:t>rable. De même que, caractérisées par un profond affaiblissement de l’État, les institutions politiques de la féodalité supposaient néanmoins le souvenir et portaient la trace d’un passé où l’État avait été fort, de même l’économie, aux jours d’échanges les plus ralentis, ne cessa j</w:t>
      </w:r>
      <w:r w:rsidRPr="000F765B">
        <w:rPr>
          <w:lang w:eastAsia="fr-FR" w:bidi="fr-FR"/>
        </w:rPr>
        <w:t>a</w:t>
      </w:r>
      <w:r w:rsidRPr="000F765B">
        <w:rPr>
          <w:lang w:eastAsia="fr-FR" w:bidi="fr-FR"/>
        </w:rPr>
        <w:t>mais de se raccrocher à un schéma monétaire hérité, dans ses princ</w:t>
      </w:r>
      <w:r w:rsidRPr="000F765B">
        <w:rPr>
          <w:lang w:eastAsia="fr-FR" w:bidi="fr-FR"/>
        </w:rPr>
        <w:t>i</w:t>
      </w:r>
      <w:r w:rsidRPr="000F765B">
        <w:rPr>
          <w:lang w:eastAsia="fr-FR" w:bidi="fr-FR"/>
        </w:rPr>
        <w:t>pes, des civilisations précédentes. Ainsi restait-il possible, du moins, de ramener la variabilité des paiements à un système général de réf</w:t>
      </w:r>
      <w:r w:rsidRPr="000F765B">
        <w:rPr>
          <w:lang w:eastAsia="fr-FR" w:bidi="fr-FR"/>
        </w:rPr>
        <w:t>é</w:t>
      </w:r>
      <w:r w:rsidRPr="000F765B">
        <w:rPr>
          <w:lang w:eastAsia="fr-FR" w:bidi="fr-FR"/>
        </w:rPr>
        <w:t>rences.</w:t>
      </w:r>
    </w:p>
    <w:p w14:paraId="7FE4D4E8" w14:textId="77777777" w:rsidR="00B9662D" w:rsidRPr="000F765B" w:rsidRDefault="00B9662D" w:rsidP="00B9662D">
      <w:pPr>
        <w:spacing w:before="120" w:after="120"/>
        <w:jc w:val="both"/>
      </w:pPr>
      <w:r w:rsidRPr="000F765B">
        <w:rPr>
          <w:lang w:eastAsia="fr-FR" w:bidi="fr-FR"/>
        </w:rPr>
        <w:t>Il semble bien, d’ailleurs, qu’à son tour cette dissociation fréquente</w:t>
      </w:r>
      <w:r>
        <w:t xml:space="preserve"> [</w:t>
      </w:r>
      <w:r w:rsidRPr="000F765B">
        <w:rPr>
          <w:lang w:eastAsia="fr-FR" w:bidi="fr-FR"/>
        </w:rPr>
        <w:t>875</w:t>
      </w:r>
      <w:r>
        <w:rPr>
          <w:lang w:eastAsia="fr-FR" w:bidi="fr-FR"/>
        </w:rPr>
        <w:t xml:space="preserve">] </w:t>
      </w:r>
      <w:r w:rsidRPr="000F765B">
        <w:rPr>
          <w:lang w:eastAsia="fr-FR" w:bidi="fr-FR"/>
        </w:rPr>
        <w:t xml:space="preserve">de l’étalon et de l’instrument des paiements fût vouée à marquer la mentalité économique d’une longue et profonde empreinte. Certes, le régime de la monnaie de compte, sous lequel l’Europe devait vivre durant plusieurs siècles, à une époque d’économie déjà très évoluée, ne revêtit sa forme authentique qu’à partir de la grande révolution monétaire du </w:t>
      </w:r>
      <w:r>
        <w:rPr>
          <w:lang w:eastAsia="fr-FR" w:bidi="fr-FR"/>
        </w:rPr>
        <w:t>XIII</w:t>
      </w:r>
      <w:r w:rsidRPr="000F765B">
        <w:rPr>
          <w:vertAlign w:val="superscript"/>
          <w:lang w:eastAsia="fr-FR" w:bidi="fr-FR"/>
        </w:rPr>
        <w:t>e</w:t>
      </w:r>
      <w:r w:rsidRPr="000F765B">
        <w:rPr>
          <w:lang w:eastAsia="fr-FR" w:bidi="fr-FR"/>
        </w:rPr>
        <w:t xml:space="preserve"> siècle : alors seulement la reprise de la frappe de l’or, l’apparition des grosses pièces d’argent, l’amenuisement du d</w:t>
      </w:r>
      <w:r w:rsidRPr="000F765B">
        <w:rPr>
          <w:lang w:eastAsia="fr-FR" w:bidi="fr-FR"/>
        </w:rPr>
        <w:t>e</w:t>
      </w:r>
      <w:r w:rsidRPr="000F765B">
        <w:rPr>
          <w:lang w:eastAsia="fr-FR" w:bidi="fr-FR"/>
        </w:rPr>
        <w:t xml:space="preserve">nier, définitivement réduit au rôle d’appoint, aboutirent à détacher vraiment la monnaie réelle de son expression comptable. Certes, aussi, </w:t>
      </w:r>
      <w:r w:rsidRPr="000F765B">
        <w:rPr>
          <w:lang w:eastAsia="fr-FR" w:bidi="fr-FR"/>
        </w:rPr>
        <w:lastRenderedPageBreak/>
        <w:t>les causes qui provoquèrent et maintinrent ce dualisme furent des plus complexes. On renoncera cependant difficilement à croire qu’il n’ait pas été au moins préparé par les habitudes d’un temps plus reculé, où la monnaie servait autant à « compter » qu’à payer.</w:t>
      </w:r>
    </w:p>
    <w:p w14:paraId="08C8CCAF" w14:textId="77777777" w:rsidR="00B9662D" w:rsidRPr="000F765B" w:rsidRDefault="00B9662D" w:rsidP="00B9662D">
      <w:pPr>
        <w:spacing w:before="120" w:after="120"/>
        <w:jc w:val="both"/>
      </w:pPr>
      <w:r w:rsidRPr="000F765B">
        <w:rPr>
          <w:lang w:eastAsia="fr-FR" w:bidi="fr-FR"/>
        </w:rPr>
        <w:t>Vient enfin, une fois de plus, le problème de classification : un sy</w:t>
      </w:r>
      <w:r w:rsidRPr="000F765B">
        <w:rPr>
          <w:lang w:eastAsia="fr-FR" w:bidi="fr-FR"/>
        </w:rPr>
        <w:t>s</w:t>
      </w:r>
      <w:r w:rsidRPr="000F765B">
        <w:rPr>
          <w:lang w:eastAsia="fr-FR" w:bidi="fr-FR"/>
        </w:rPr>
        <w:t>tème économique où la monnaie n’a en fait jamais cessé de tenir le rôle d’étalon des valeurs, mais ne remplissait que très imparfaitement celui de moyen des paiements, le qualifierons-nous d’économie-nature ou d’économie-argent ? Ou plutôt son existence même ne suffit-elle pas à déceler tout ce qu’un pareil dilemme a d’artificiel et, partant, de dangereux ?</w:t>
      </w:r>
    </w:p>
    <w:p w14:paraId="1A61078E" w14:textId="77777777" w:rsidR="00B9662D" w:rsidRDefault="00B9662D" w:rsidP="00B9662D">
      <w:pPr>
        <w:pStyle w:val="c"/>
        <w:rPr>
          <w:lang w:eastAsia="fr-FR" w:bidi="fr-FR"/>
        </w:rPr>
      </w:pPr>
      <w:r>
        <w:rPr>
          <w:lang w:eastAsia="fr-FR" w:bidi="fr-FR"/>
        </w:rPr>
        <w:t>*</w:t>
      </w:r>
      <w:r>
        <w:rPr>
          <w:lang w:eastAsia="fr-FR" w:bidi="fr-FR"/>
        </w:rPr>
        <w:br/>
        <w:t>*     *</w:t>
      </w:r>
    </w:p>
    <w:p w14:paraId="176B8BFC" w14:textId="77777777" w:rsidR="00B9662D" w:rsidRPr="000F765B" w:rsidRDefault="00B9662D" w:rsidP="00B9662D">
      <w:pPr>
        <w:spacing w:before="120" w:after="120"/>
        <w:jc w:val="both"/>
      </w:pPr>
      <w:r w:rsidRPr="000F765B">
        <w:rPr>
          <w:lang w:eastAsia="fr-FR" w:bidi="fr-FR"/>
        </w:rPr>
        <w:t>Une dernière question se pose : ces objets, matière des paiements, étaient-ils directement produits par le redevable lui-même ou par ses dépendants ? Autrement dit, la présence d’un pareil mode de règl</w:t>
      </w:r>
      <w:r w:rsidRPr="000F765B">
        <w:rPr>
          <w:lang w:eastAsia="fr-FR" w:bidi="fr-FR"/>
        </w:rPr>
        <w:t>e</w:t>
      </w:r>
      <w:r w:rsidRPr="000F765B">
        <w:rPr>
          <w:lang w:eastAsia="fr-FR" w:bidi="fr-FR"/>
        </w:rPr>
        <w:t xml:space="preserve">ment doit-elle être rangée, sinon au nombre </w:t>
      </w:r>
      <w:r>
        <w:rPr>
          <w:lang w:eastAsia="fr-FR" w:bidi="fr-FR"/>
        </w:rPr>
        <w:t>des symptômes d’une « économie-</w:t>
      </w:r>
      <w:r w:rsidRPr="000F765B">
        <w:rPr>
          <w:lang w:eastAsia="fr-FR" w:bidi="fr-FR"/>
        </w:rPr>
        <w:t>nature », du moins parmi ceux d’une « économie fe</w:t>
      </w:r>
      <w:r w:rsidRPr="000F765B">
        <w:rPr>
          <w:lang w:eastAsia="fr-FR" w:bidi="fr-FR"/>
        </w:rPr>
        <w:t>r</w:t>
      </w:r>
      <w:r w:rsidRPr="000F765B">
        <w:rPr>
          <w:lang w:eastAsia="fr-FR" w:bidi="fr-FR"/>
        </w:rPr>
        <w:t>mée » ? Tel était bien, on n’en saurait douter, le cas le plus fréquent quand le payeur appartenait aux classes humbles. Encore semble-t-il que, çà et là, des paysans aient dû des redevances en vin, qui ne po</w:t>
      </w:r>
      <w:r w:rsidRPr="000F765B">
        <w:rPr>
          <w:lang w:eastAsia="fr-FR" w:bidi="fr-FR"/>
        </w:rPr>
        <w:t>s</w:t>
      </w:r>
      <w:r w:rsidRPr="000F765B">
        <w:rPr>
          <w:lang w:eastAsia="fr-FR" w:bidi="fr-FR"/>
        </w:rPr>
        <w:t>sédaient point de vignes</w:t>
      </w:r>
      <w:r>
        <w:rPr>
          <w:lang w:eastAsia="fr-FR" w:bidi="fr-FR"/>
        </w:rPr>
        <w:t> </w:t>
      </w:r>
      <w:r>
        <w:rPr>
          <w:rStyle w:val="Appelnotedebasdep"/>
        </w:rPr>
        <w:footnoteReference w:id="931"/>
      </w:r>
      <w:r w:rsidRPr="000F765B">
        <w:rPr>
          <w:lang w:eastAsia="fr-FR" w:bidi="fr-FR"/>
        </w:rPr>
        <w:t>. Parmi les transactions entre des personn</w:t>
      </w:r>
      <w:r w:rsidRPr="000F765B">
        <w:rPr>
          <w:lang w:eastAsia="fr-FR" w:bidi="fr-FR"/>
        </w:rPr>
        <w:t>a</w:t>
      </w:r>
      <w:r w:rsidRPr="000F765B">
        <w:rPr>
          <w:lang w:eastAsia="fr-FR" w:bidi="fr-FR"/>
        </w:rPr>
        <w:t>ges d’un rang plus élevé, les mieux connues mettent face à face une église, qui verse un prix, et un membre de la classe chevaleresque, qui le reçoit. Or, la plupart d’entre elles paraissent bien échapper au cadre étroit d’une production exclusivement domestique. Nous le devinons pour beaucoup : dans l’hypothèse contraire, que de chevaux de guerre il faudrait supposer dans les écuries monastiques, que de vêtements très laïques, voire féminins, dans des vestiaires voués à la bure ! Pa</w:t>
      </w:r>
      <w:r w:rsidRPr="000F765B">
        <w:rPr>
          <w:lang w:eastAsia="fr-FR" w:bidi="fr-FR"/>
        </w:rPr>
        <w:t>r</w:t>
      </w:r>
      <w:r w:rsidRPr="000F765B">
        <w:rPr>
          <w:lang w:eastAsia="fr-FR" w:bidi="fr-FR"/>
        </w:rPr>
        <w:t>fois le texte a pris lui-même soin de prévenir toute équivoque. Lor</w:t>
      </w:r>
      <w:r w:rsidRPr="000F765B">
        <w:rPr>
          <w:lang w:eastAsia="fr-FR" w:bidi="fr-FR"/>
        </w:rPr>
        <w:t>s</w:t>
      </w:r>
      <w:r w:rsidRPr="000F765B">
        <w:rPr>
          <w:lang w:eastAsia="fr-FR" w:bidi="fr-FR"/>
        </w:rPr>
        <w:t>que, entre 1090 et 1102, les moines de Saint-Vincent du Mans eurent recueilli l’assentiment de Hamelin le Forestier au don qu’un de ses oncles par alliance leur avait fait de la terre de Ferrières, force leur fut de désintéresser aussi sa femme, qui était la nièce directe du donateur. On s’accorda sur un cadeau de « fourrures variées ». Mais les rel</w:t>
      </w:r>
      <w:r w:rsidRPr="000F765B">
        <w:rPr>
          <w:lang w:eastAsia="fr-FR" w:bidi="fr-FR"/>
        </w:rPr>
        <w:t>i</w:t>
      </w:r>
      <w:r w:rsidRPr="000F765B">
        <w:rPr>
          <w:lang w:eastAsia="fr-FR" w:bidi="fr-FR"/>
        </w:rPr>
        <w:lastRenderedPageBreak/>
        <w:t>gieux, visiblement, ne possédaient rien de tel. Ils envoyèrent l’un d’eux acquérir pour six livres rouennaises, sur le marché de Falaise, les belles choses souhaitées et, comme la dame sans doute n’avait qu’une médiocre confiance dans le goût de ce</w:t>
      </w:r>
      <w:r>
        <w:rPr>
          <w:lang w:eastAsia="fr-FR" w:bidi="fr-FR"/>
        </w:rPr>
        <w:t xml:space="preserve"> </w:t>
      </w:r>
      <w:r>
        <w:t xml:space="preserve">[876] </w:t>
      </w:r>
      <w:r w:rsidRPr="000F765B">
        <w:rPr>
          <w:lang w:eastAsia="fr-FR" w:bidi="fr-FR"/>
        </w:rPr>
        <w:t>saint homme, Hamelin le fit accompagner par un de ses propres serviteurs, chargé spécialement « de choisir les fourrures »</w:t>
      </w:r>
      <w:r>
        <w:rPr>
          <w:lang w:eastAsia="fr-FR" w:bidi="fr-FR"/>
        </w:rPr>
        <w:t> </w:t>
      </w:r>
      <w:r>
        <w:rPr>
          <w:rStyle w:val="Appelnotedebasdep"/>
        </w:rPr>
        <w:footnoteReference w:id="932"/>
      </w:r>
      <w:r>
        <w:rPr>
          <w:lang w:eastAsia="fr-FR" w:bidi="fr-FR"/>
        </w:rPr>
        <w:t>.</w:t>
      </w:r>
      <w:r w:rsidRPr="000F765B">
        <w:rPr>
          <w:lang w:eastAsia="fr-FR" w:bidi="fr-FR"/>
        </w:rPr>
        <w:t xml:space="preserve"> Ainsi un paiement en nat</w:t>
      </w:r>
      <w:r w:rsidRPr="000F765B">
        <w:rPr>
          <w:lang w:eastAsia="fr-FR" w:bidi="fr-FR"/>
        </w:rPr>
        <w:t>u</w:t>
      </w:r>
      <w:r w:rsidRPr="000F765B">
        <w:rPr>
          <w:lang w:eastAsia="fr-FR" w:bidi="fr-FR"/>
        </w:rPr>
        <w:t>re avait été immédiatement précédé et conditionné par un achat, en monnaie, sur un lieu réservé aux échanges.</w:t>
      </w:r>
    </w:p>
    <w:p w14:paraId="13E5FB45" w14:textId="77777777" w:rsidR="00B9662D" w:rsidRPr="000F765B" w:rsidRDefault="00B9662D" w:rsidP="00B9662D">
      <w:pPr>
        <w:spacing w:before="120" w:after="120"/>
        <w:jc w:val="both"/>
      </w:pPr>
      <w:r w:rsidRPr="000F765B">
        <w:rPr>
          <w:lang w:eastAsia="fr-FR" w:bidi="fr-FR"/>
        </w:rPr>
        <w:t>Pourquoi donc, en pareil cas, l’église ne déboursait-elle pas dire</w:t>
      </w:r>
      <w:r w:rsidRPr="000F765B">
        <w:rPr>
          <w:lang w:eastAsia="fr-FR" w:bidi="fr-FR"/>
        </w:rPr>
        <w:t>c</w:t>
      </w:r>
      <w:r w:rsidRPr="000F765B">
        <w:rPr>
          <w:lang w:eastAsia="fr-FR" w:bidi="fr-FR"/>
        </w:rPr>
        <w:t>tement de beaux deniers sonnants ? Probablement, pour expliquer ce singulier circuit, convient-il de faire entrer en ligne de compte les pr</w:t>
      </w:r>
      <w:r w:rsidRPr="000F765B">
        <w:rPr>
          <w:lang w:eastAsia="fr-FR" w:bidi="fr-FR"/>
        </w:rPr>
        <w:t>é</w:t>
      </w:r>
      <w:r w:rsidRPr="000F765B">
        <w:rPr>
          <w:lang w:eastAsia="fr-FR" w:bidi="fr-FR"/>
        </w:rPr>
        <w:t>férences de la partie prenante. M. Dopsch a montré naguère comment le règlement d’une redevance en numéraire n’était parfois qu’un pis-aller. Le seigneur se résignait à l’accepter, par exemple, en cas de mauvaise récolte. Dans les circonstances normales, il jugeait plus e</w:t>
      </w:r>
      <w:r w:rsidRPr="000F765B">
        <w:rPr>
          <w:lang w:eastAsia="fr-FR" w:bidi="fr-FR"/>
        </w:rPr>
        <w:t>x</w:t>
      </w:r>
      <w:r w:rsidRPr="000F765B">
        <w:rPr>
          <w:lang w:eastAsia="fr-FR" w:bidi="fr-FR"/>
        </w:rPr>
        <w:t>pédient de se faire payer en denrées : ce qui d’ailleurs, joint à d’autres témoignages, tendrait à prouver que, dans les milieux aristocratiques, « l’économie fermée » était, sinon toujours une réalité, du moins un idéal</w:t>
      </w:r>
      <w:r>
        <w:rPr>
          <w:lang w:eastAsia="fr-FR" w:bidi="fr-FR"/>
        </w:rPr>
        <w:t> </w:t>
      </w:r>
      <w:r>
        <w:rPr>
          <w:rStyle w:val="Appelnotedebasdep"/>
        </w:rPr>
        <w:footnoteReference w:id="933"/>
      </w:r>
      <w:r w:rsidRPr="000F765B">
        <w:rPr>
          <w:lang w:eastAsia="fr-FR" w:bidi="fr-FR"/>
        </w:rPr>
        <w:t>. Plus impérieusement encore, dans certaines situations nett</w:t>
      </w:r>
      <w:r w:rsidRPr="000F765B">
        <w:rPr>
          <w:lang w:eastAsia="fr-FR" w:bidi="fr-FR"/>
        </w:rPr>
        <w:t>e</w:t>
      </w:r>
      <w:r w:rsidRPr="000F765B">
        <w:rPr>
          <w:lang w:eastAsia="fr-FR" w:bidi="fr-FR"/>
        </w:rPr>
        <w:t>ment définies par l’usage, les convenances imposaient leurs lois. Rien de plus frappant, à cet égard, que la leçon des actes de vente ou de d</w:t>
      </w:r>
      <w:r w:rsidRPr="000F765B">
        <w:rPr>
          <w:lang w:eastAsia="fr-FR" w:bidi="fr-FR"/>
        </w:rPr>
        <w:t>o</w:t>
      </w:r>
      <w:r w:rsidRPr="000F765B">
        <w:rPr>
          <w:lang w:eastAsia="fr-FR" w:bidi="fr-FR"/>
        </w:rPr>
        <w:t>nation consenties aux églises. De bonne heure, on voit, dans le pr</w:t>
      </w:r>
      <w:r w:rsidRPr="000F765B">
        <w:rPr>
          <w:lang w:eastAsia="fr-FR" w:bidi="fr-FR"/>
        </w:rPr>
        <w:t>e</w:t>
      </w:r>
      <w:r w:rsidRPr="000F765B">
        <w:rPr>
          <w:lang w:eastAsia="fr-FR" w:bidi="fr-FR"/>
        </w:rPr>
        <w:t>mier type de transaction, le vendeur recevoir, fréquemment, le prix en monnaie : du moins à en croire la lettre des textes. Presque régulièr</w:t>
      </w:r>
      <w:r w:rsidRPr="000F765B">
        <w:rPr>
          <w:lang w:eastAsia="fr-FR" w:bidi="fr-FR"/>
        </w:rPr>
        <w:t>e</w:t>
      </w:r>
      <w:r w:rsidRPr="000F765B">
        <w:rPr>
          <w:lang w:eastAsia="fr-FR" w:bidi="fr-FR"/>
        </w:rPr>
        <w:t xml:space="preserve">ment, en revanche, qu’il s’agisse d’un don, réel ou prétendu, ou bien d’une vente avouée, l’agrément des proches est obtenu au moyen de </w:t>
      </w:r>
      <w:r w:rsidRPr="000F765B">
        <w:rPr>
          <w:lang w:eastAsia="fr-FR" w:bidi="fr-FR"/>
        </w:rPr>
        <w:lastRenderedPageBreak/>
        <w:t>versements en nature, le plus souvent, d’ailleurs, évalués en monnaie. A la limite, nous trouvons des stipulations comme celle d’une notice de Saint-Martin-des-Champs, vers 1100 : un échangiste ayant to</w:t>
      </w:r>
      <w:r>
        <w:rPr>
          <w:lang w:eastAsia="fr-FR" w:bidi="fr-FR"/>
        </w:rPr>
        <w:t>uché une soulte en argent, sa fil</w:t>
      </w:r>
      <w:r w:rsidRPr="000F765B">
        <w:rPr>
          <w:lang w:eastAsia="fr-FR" w:bidi="fr-FR"/>
        </w:rPr>
        <w:t>le se voit attribuer six deniers, il est vrai, mais expressément « afin de s’acheter des souliers »</w:t>
      </w:r>
      <w:r>
        <w:rPr>
          <w:lang w:eastAsia="fr-FR" w:bidi="fr-FR"/>
        </w:rPr>
        <w:t> </w:t>
      </w:r>
      <w:r>
        <w:rPr>
          <w:rStyle w:val="Appelnotedebasdep"/>
        </w:rPr>
        <w:footnoteReference w:id="934"/>
      </w:r>
      <w:r w:rsidRPr="000F765B">
        <w:rPr>
          <w:lang w:eastAsia="fr-FR" w:bidi="fr-FR"/>
        </w:rPr>
        <w:t>. La somme ve</w:t>
      </w:r>
      <w:r w:rsidRPr="000F765B">
        <w:rPr>
          <w:lang w:eastAsia="fr-FR" w:bidi="fr-FR"/>
        </w:rPr>
        <w:t>r</w:t>
      </w:r>
      <w:r w:rsidRPr="000F765B">
        <w:rPr>
          <w:lang w:eastAsia="fr-FR" w:bidi="fr-FR"/>
        </w:rPr>
        <w:t>sée pour ces « </w:t>
      </w:r>
      <w:r w:rsidRPr="005270CC">
        <w:rPr>
          <w:i/>
        </w:rPr>
        <w:t>laudationes</w:t>
      </w:r>
      <w:r w:rsidRPr="005270CC">
        <w:rPr>
          <w:i/>
          <w:lang w:eastAsia="fr-FR" w:bidi="fr-FR"/>
        </w:rPr>
        <w:t> </w:t>
      </w:r>
      <w:r w:rsidRPr="000F765B">
        <w:rPr>
          <w:lang w:eastAsia="fr-FR" w:bidi="fr-FR"/>
        </w:rPr>
        <w:t>» familiales était toujours relativement fa</w:t>
      </w:r>
      <w:r w:rsidRPr="000F765B">
        <w:rPr>
          <w:lang w:eastAsia="fr-FR" w:bidi="fr-FR"/>
        </w:rPr>
        <w:t>i</w:t>
      </w:r>
      <w:r w:rsidRPr="000F765B">
        <w:rPr>
          <w:lang w:eastAsia="fr-FR" w:bidi="fr-FR"/>
        </w:rPr>
        <w:t>ble. Sans doute eût-il paru messéant d’offrir à un personnage de rang distingué quelques méchantes piécettes. Un objet, même modeste, se pouvait plus aisément donner et accepter. Ainsi, de nos jours, qui r</w:t>
      </w:r>
      <w:r w:rsidRPr="000F765B">
        <w:rPr>
          <w:lang w:eastAsia="fr-FR" w:bidi="fr-FR"/>
        </w:rPr>
        <w:t>e</w:t>
      </w:r>
      <w:r w:rsidRPr="000F765B">
        <w:rPr>
          <w:lang w:eastAsia="fr-FR" w:bidi="fr-FR"/>
        </w:rPr>
        <w:t>pousserait un pourboire ne refuse pas un petit cadeau.</w:t>
      </w:r>
    </w:p>
    <w:p w14:paraId="78E54CCC" w14:textId="77777777" w:rsidR="00B9662D" w:rsidRPr="000F765B" w:rsidRDefault="00B9662D" w:rsidP="00B9662D">
      <w:pPr>
        <w:spacing w:before="120" w:after="120"/>
        <w:jc w:val="both"/>
      </w:pPr>
      <w:r w:rsidRPr="000F765B">
        <w:rPr>
          <w:lang w:eastAsia="fr-FR" w:bidi="fr-FR"/>
        </w:rPr>
        <w:t>L’enseignement de ces derniers exemples est clair : ils rappellent à leur façon cette grande vérité que, non contente de distinguer, comme il va de soi, les lieux et les temps, une étude des paiements doit s’attacher, avec un soin au moins égal, à établir à la fois entre les d</w:t>
      </w:r>
      <w:r w:rsidRPr="000F765B">
        <w:rPr>
          <w:lang w:eastAsia="fr-FR" w:bidi="fr-FR"/>
        </w:rPr>
        <w:t>i</w:t>
      </w:r>
      <w:r w:rsidRPr="000F765B">
        <w:rPr>
          <w:lang w:eastAsia="fr-FR" w:bidi="fr-FR"/>
        </w:rPr>
        <w:t>verses raisons de payer et les diverses classes de payeurs ou de rec</w:t>
      </w:r>
      <w:r w:rsidRPr="000F765B">
        <w:rPr>
          <w:lang w:eastAsia="fr-FR" w:bidi="fr-FR"/>
        </w:rPr>
        <w:t>e</w:t>
      </w:r>
      <w:r w:rsidRPr="000F765B">
        <w:rPr>
          <w:lang w:eastAsia="fr-FR" w:bidi="fr-FR"/>
        </w:rPr>
        <w:t>veurs les discriminations imposées par la réalité. Non seulement parce qu’avec les milieux les possibilités diffèrent</w:t>
      </w:r>
      <w:r>
        <w:rPr>
          <w:lang w:eastAsia="fr-FR" w:bidi="fr-FR"/>
        </w:rPr>
        <w:t> — </w:t>
      </w:r>
      <w:r w:rsidRPr="000F765B">
        <w:rPr>
          <w:lang w:eastAsia="fr-FR" w:bidi="fr-FR"/>
        </w:rPr>
        <w:t>chacun le sait, la pr</w:t>
      </w:r>
      <w:r w:rsidRPr="000F765B">
        <w:rPr>
          <w:lang w:eastAsia="fr-FR" w:bidi="fr-FR"/>
        </w:rPr>
        <w:t>a</w:t>
      </w:r>
      <w:r w:rsidRPr="000F765B">
        <w:rPr>
          <w:lang w:eastAsia="fr-FR" w:bidi="fr-FR"/>
        </w:rPr>
        <w:t>tique des échanges monétaires</w:t>
      </w:r>
      <w:r>
        <w:rPr>
          <w:lang w:eastAsia="fr-FR" w:bidi="fr-FR"/>
        </w:rPr>
        <w:t xml:space="preserve"> </w:t>
      </w:r>
      <w:r>
        <w:t>[</w:t>
      </w:r>
      <w:r w:rsidRPr="000F765B">
        <w:rPr>
          <w:lang w:eastAsia="fr-FR" w:bidi="fr-FR"/>
        </w:rPr>
        <w:t>877</w:t>
      </w:r>
      <w:r>
        <w:rPr>
          <w:lang w:eastAsia="fr-FR" w:bidi="fr-FR"/>
        </w:rPr>
        <w:t xml:space="preserve">] </w:t>
      </w:r>
      <w:r w:rsidRPr="000F765B">
        <w:rPr>
          <w:lang w:eastAsia="fr-FR" w:bidi="fr-FR"/>
        </w:rPr>
        <w:t>s’est répandue beaucoup plus vite et plus complètement chez les riches et dans les villes —, mais encore en raison de tout un système, éminemment variable, de trad</w:t>
      </w:r>
      <w:r w:rsidRPr="000F765B">
        <w:rPr>
          <w:lang w:eastAsia="fr-FR" w:bidi="fr-FR"/>
        </w:rPr>
        <w:t>i</w:t>
      </w:r>
      <w:r w:rsidRPr="000F765B">
        <w:rPr>
          <w:lang w:eastAsia="fr-FR" w:bidi="fr-FR"/>
        </w:rPr>
        <w:t>tions et de bienséances. Aussi bien, pour rappeler l’historien au re</w:t>
      </w:r>
      <w:r w:rsidRPr="000F765B">
        <w:rPr>
          <w:lang w:eastAsia="fr-FR" w:bidi="fr-FR"/>
        </w:rPr>
        <w:t>s</w:t>
      </w:r>
      <w:r w:rsidRPr="000F765B">
        <w:rPr>
          <w:lang w:eastAsia="fr-FR" w:bidi="fr-FR"/>
        </w:rPr>
        <w:t>pect de ce précepte, lui suffirait-il sans doute de regarder autour de soi. Ne voit-on pas couramment dans nos campagnes un modeste pr</w:t>
      </w:r>
      <w:r w:rsidRPr="000F765B">
        <w:rPr>
          <w:lang w:eastAsia="fr-FR" w:bidi="fr-FR"/>
        </w:rPr>
        <w:t>o</w:t>
      </w:r>
      <w:r w:rsidRPr="000F765B">
        <w:rPr>
          <w:lang w:eastAsia="fr-FR" w:bidi="fr-FR"/>
        </w:rPr>
        <w:t>priétaire rural payer tour à tour son architecte par un chèque de ba</w:t>
      </w:r>
      <w:r w:rsidRPr="000F765B">
        <w:rPr>
          <w:lang w:eastAsia="fr-FR" w:bidi="fr-FR"/>
        </w:rPr>
        <w:t>n</w:t>
      </w:r>
      <w:r w:rsidRPr="000F765B">
        <w:rPr>
          <w:lang w:eastAsia="fr-FR" w:bidi="fr-FR"/>
        </w:rPr>
        <w:t>que, son boucher par un chèque postal, son épicier en monnaie ? Et, si d’aventure un de ses voisins tient à le r</w:t>
      </w:r>
      <w:r w:rsidRPr="000F765B">
        <w:rPr>
          <w:lang w:eastAsia="fr-FR" w:bidi="fr-FR"/>
        </w:rPr>
        <w:t>é</w:t>
      </w:r>
      <w:r w:rsidRPr="000F765B">
        <w:rPr>
          <w:lang w:eastAsia="fr-FR" w:bidi="fr-FR"/>
        </w:rPr>
        <w:t>munérer d’un service rendu, le plus impérieux des codes de politesse exige que ce règlement-là pre</w:t>
      </w:r>
      <w:r w:rsidRPr="000F765B">
        <w:rPr>
          <w:lang w:eastAsia="fr-FR" w:bidi="fr-FR"/>
        </w:rPr>
        <w:t>n</w:t>
      </w:r>
      <w:r w:rsidRPr="000F765B">
        <w:rPr>
          <w:lang w:eastAsia="fr-FR" w:bidi="fr-FR"/>
        </w:rPr>
        <w:t xml:space="preserve">ne la forme d’un poulet ou d’une motte de beurre. Ce qui est vrai du présent l’a été aussi, </w:t>
      </w:r>
      <w:r w:rsidRPr="00C22093">
        <w:rPr>
          <w:i/>
        </w:rPr>
        <w:t>mutatis mutandis</w:t>
      </w:r>
      <w:r w:rsidRPr="000F765B">
        <w:t>,</w:t>
      </w:r>
      <w:r w:rsidRPr="000F765B">
        <w:rPr>
          <w:lang w:eastAsia="fr-FR" w:bidi="fr-FR"/>
        </w:rPr>
        <w:t xml:space="preserve"> du passé. En d’autres termes, toute recherche sur les paiements, si elle veut atteindre son objet, doit se faire « sociale ». Comme toute reche</w:t>
      </w:r>
      <w:r w:rsidRPr="000F765B">
        <w:rPr>
          <w:lang w:eastAsia="fr-FR" w:bidi="fr-FR"/>
        </w:rPr>
        <w:t>r</w:t>
      </w:r>
      <w:r w:rsidRPr="000F765B">
        <w:rPr>
          <w:lang w:eastAsia="fr-FR" w:bidi="fr-FR"/>
        </w:rPr>
        <w:t>che d’histoire économique.</w:t>
      </w:r>
    </w:p>
    <w:p w14:paraId="0FC019EF" w14:textId="77777777" w:rsidR="00B9662D" w:rsidRDefault="00B9662D" w:rsidP="00B9662D">
      <w:pPr>
        <w:pStyle w:val="p"/>
      </w:pPr>
      <w:r w:rsidRPr="000F765B">
        <w:br w:type="page"/>
      </w:r>
      <w:r>
        <w:lastRenderedPageBreak/>
        <w:t>[878]</w:t>
      </w:r>
    </w:p>
    <w:p w14:paraId="57AFA7FC" w14:textId="77777777" w:rsidR="00B9662D" w:rsidRDefault="00B9662D" w:rsidP="00B9662D">
      <w:pPr>
        <w:jc w:val="both"/>
      </w:pPr>
    </w:p>
    <w:p w14:paraId="08CC574D" w14:textId="77777777" w:rsidR="00B9662D" w:rsidRDefault="00B9662D" w:rsidP="00B9662D">
      <w:pPr>
        <w:jc w:val="both"/>
      </w:pPr>
    </w:p>
    <w:p w14:paraId="223DD5E7" w14:textId="77777777" w:rsidR="00B9662D" w:rsidRPr="00E07116" w:rsidRDefault="00B9662D" w:rsidP="00B9662D">
      <w:pPr>
        <w:jc w:val="both"/>
      </w:pPr>
    </w:p>
    <w:p w14:paraId="3943C9D9" w14:textId="77777777" w:rsidR="00B9662D" w:rsidRPr="00F54CC7" w:rsidRDefault="00B9662D" w:rsidP="00B9662D">
      <w:pPr>
        <w:spacing w:after="120"/>
        <w:ind w:firstLine="0"/>
        <w:jc w:val="center"/>
        <w:rPr>
          <w:sz w:val="24"/>
        </w:rPr>
      </w:pPr>
      <w:bookmarkStart w:id="44" w:name="Melanges_t2_pt_8_chap_V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78A355E2"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2D22A6F4" w14:textId="77777777" w:rsidR="00B9662D" w:rsidRPr="00384B20" w:rsidRDefault="00B9662D" w:rsidP="00B9662D">
      <w:pPr>
        <w:pStyle w:val="Titreniveau1"/>
      </w:pPr>
      <w:r w:rsidRPr="00384B20">
        <w:t xml:space="preserve">Chapitre </w:t>
      </w:r>
      <w:r>
        <w:t>VI</w:t>
      </w:r>
      <w:r w:rsidRPr="00384B20">
        <w:t>I</w:t>
      </w:r>
    </w:p>
    <w:p w14:paraId="256BAF0A" w14:textId="77777777" w:rsidR="00B9662D" w:rsidRPr="00E07116" w:rsidRDefault="00B9662D" w:rsidP="00B9662D">
      <w:pPr>
        <w:jc w:val="both"/>
        <w:rPr>
          <w:szCs w:val="36"/>
        </w:rPr>
      </w:pPr>
    </w:p>
    <w:p w14:paraId="2F26E8A7" w14:textId="77777777" w:rsidR="00B9662D" w:rsidRDefault="00B9662D" w:rsidP="00B9662D">
      <w:pPr>
        <w:pStyle w:val="Titreniveau2"/>
      </w:pPr>
      <w:r>
        <w:t>l’histoire des Prix :</w:t>
      </w:r>
    </w:p>
    <w:p w14:paraId="02B8163B" w14:textId="77777777" w:rsidR="00B9662D" w:rsidRPr="00E07116" w:rsidRDefault="00B9662D" w:rsidP="00B9662D">
      <w:pPr>
        <w:pStyle w:val="Titreniveau2st"/>
      </w:pPr>
      <w:r>
        <w:t>quelques remarques crit</w:t>
      </w:r>
      <w:r>
        <w:t>i</w:t>
      </w:r>
      <w:r>
        <w:t>ques </w:t>
      </w:r>
      <w:r>
        <w:rPr>
          <w:rStyle w:val="Appelnotedebasdep"/>
        </w:rPr>
        <w:footnoteReference w:id="935"/>
      </w:r>
    </w:p>
    <w:bookmarkEnd w:id="44"/>
    <w:p w14:paraId="6B397474" w14:textId="77777777" w:rsidR="00B9662D" w:rsidRDefault="00B9662D" w:rsidP="00B9662D">
      <w:pPr>
        <w:jc w:val="both"/>
        <w:rPr>
          <w:szCs w:val="36"/>
        </w:rPr>
      </w:pPr>
    </w:p>
    <w:p w14:paraId="163567A1" w14:textId="77777777" w:rsidR="00B9662D" w:rsidRDefault="00B9662D" w:rsidP="00B9662D">
      <w:pPr>
        <w:jc w:val="both"/>
        <w:rPr>
          <w:szCs w:val="36"/>
        </w:rPr>
      </w:pPr>
    </w:p>
    <w:p w14:paraId="19D53BAB" w14:textId="77777777" w:rsidR="00B9662D" w:rsidRPr="00246AE4" w:rsidRDefault="00B9662D" w:rsidP="00B9662D">
      <w:pPr>
        <w:pStyle w:val="planche"/>
      </w:pPr>
      <w:r w:rsidRPr="00246AE4">
        <w:t>I</w:t>
      </w:r>
    </w:p>
    <w:p w14:paraId="245EE118" w14:textId="77777777" w:rsidR="00B9662D" w:rsidRDefault="00B9662D" w:rsidP="00B9662D">
      <w:pPr>
        <w:spacing w:before="120" w:after="120"/>
        <w:jc w:val="both"/>
        <w:rPr>
          <w:color w:val="000000"/>
          <w:lang w:eastAsia="fr-FR" w:bidi="fr-FR"/>
        </w:rPr>
      </w:pPr>
    </w:p>
    <w:p w14:paraId="66EE249E" w14:textId="77777777" w:rsidR="00B9662D" w:rsidRDefault="00B9662D" w:rsidP="00B9662D">
      <w:pPr>
        <w:spacing w:before="120" w:after="120"/>
        <w:jc w:val="both"/>
        <w:rPr>
          <w:color w:val="000000"/>
          <w:lang w:eastAsia="fr-FR" w:bidi="fr-FR"/>
        </w:rPr>
      </w:pPr>
    </w:p>
    <w:p w14:paraId="58FFA58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27D131D" w14:textId="77777777" w:rsidR="00B9662D" w:rsidRPr="000F765B" w:rsidRDefault="00B9662D" w:rsidP="00B9662D">
      <w:pPr>
        <w:spacing w:before="120" w:after="120"/>
        <w:jc w:val="both"/>
      </w:pPr>
      <w:r w:rsidRPr="000F765B">
        <w:rPr>
          <w:lang w:eastAsia="fr-FR" w:bidi="fr-FR"/>
        </w:rPr>
        <w:t xml:space="preserve">Discréditée par la hâte excessive de certaines synthèses, victime aussi de positions de problèmes trop simplistes, </w:t>
      </w:r>
      <w:r>
        <w:rPr>
          <w:lang w:eastAsia="fr-FR" w:bidi="fr-FR"/>
        </w:rPr>
        <w:t>l’étude des prix a</w:t>
      </w:r>
      <w:r>
        <w:rPr>
          <w:lang w:eastAsia="fr-FR" w:bidi="fr-FR"/>
        </w:rPr>
        <w:t>n</w:t>
      </w:r>
      <w:r>
        <w:rPr>
          <w:lang w:eastAsia="fr-FR" w:bidi="fr-FR"/>
        </w:rPr>
        <w:t>ciens a long</w:t>
      </w:r>
      <w:r w:rsidRPr="000F765B">
        <w:rPr>
          <w:lang w:eastAsia="fr-FR" w:bidi="fr-FR"/>
        </w:rPr>
        <w:t>temps paru une sorte de royaume de l’aventure, interdit aux prudents ou aux scrupuleux. Allant tout d’un trait au plus subjectif et au plus momentané, on aurait bien voulu savoir « à combien de francs de 1900 correspondaient, en pouvoir d’achat, 1.000 livres du temps de Racine ». On se résignait sans trop de peine à ne le savoir jamais. Certes, les pionniers n’avaient pas manqué : consciencieux érudits « locaux », comme, en Alsace, l’abbé Hanauer ; historiens trop curieux de toutes les réalités de la vie sociale pour laisser échapper une des plus symptomatiques d’entre elles</w:t>
      </w:r>
      <w:r>
        <w:rPr>
          <w:lang w:eastAsia="fr-FR" w:bidi="fr-FR"/>
        </w:rPr>
        <w:t> — </w:t>
      </w:r>
      <w:r w:rsidRPr="000F765B">
        <w:rPr>
          <w:lang w:eastAsia="fr-FR" w:bidi="fr-FR"/>
        </w:rPr>
        <w:t>il y aurait une fausse pudeur assez ridicule à ne pas rappeler ici quelques pages décisives de Lucien Febvre</w:t>
      </w:r>
      <w:r>
        <w:rPr>
          <w:lang w:eastAsia="fr-FR" w:bidi="fr-FR"/>
        </w:rPr>
        <w:t>, dans sa thèse sur la Franche-</w:t>
      </w:r>
      <w:r w:rsidRPr="000F765B">
        <w:rPr>
          <w:lang w:eastAsia="fr-FR" w:bidi="fr-FR"/>
        </w:rPr>
        <w:t>Comté</w:t>
      </w:r>
      <w:r>
        <w:rPr>
          <w:lang w:eastAsia="fr-FR" w:bidi="fr-FR"/>
        </w:rPr>
        <w:t> — </w:t>
      </w:r>
      <w:r w:rsidRPr="000F765B">
        <w:rPr>
          <w:lang w:eastAsia="fr-FR" w:bidi="fr-FR"/>
        </w:rPr>
        <w:t>; hommes de pratique qui, tardivement venus à l’analyse du passé, y portaient, comme le regretté Paul Raveau, une précieuse hantise du concret. Mais les relevés d’ensemble manquaient et, plus encore, une sûre m</w:t>
      </w:r>
      <w:r w:rsidRPr="000F765B">
        <w:rPr>
          <w:lang w:eastAsia="fr-FR" w:bidi="fr-FR"/>
        </w:rPr>
        <w:t>é</w:t>
      </w:r>
      <w:r w:rsidRPr="000F765B">
        <w:rPr>
          <w:lang w:eastAsia="fr-FR" w:bidi="fr-FR"/>
        </w:rPr>
        <w:lastRenderedPageBreak/>
        <w:t>thode de recherches. Si les statisticiens, depuis des générations, tr</w:t>
      </w:r>
      <w:r w:rsidRPr="000F765B">
        <w:rPr>
          <w:lang w:eastAsia="fr-FR" w:bidi="fr-FR"/>
        </w:rPr>
        <w:t>a</w:t>
      </w:r>
      <w:r w:rsidRPr="000F765B">
        <w:rPr>
          <w:lang w:eastAsia="fr-FR" w:bidi="fr-FR"/>
        </w:rPr>
        <w:t>vaillaient et travaillaient bien, leur voie traversait rarement les ch</w:t>
      </w:r>
      <w:r w:rsidRPr="000F765B">
        <w:rPr>
          <w:lang w:eastAsia="fr-FR" w:bidi="fr-FR"/>
        </w:rPr>
        <w:t>e</w:t>
      </w:r>
      <w:r w:rsidRPr="000F765B">
        <w:rPr>
          <w:lang w:eastAsia="fr-FR" w:bidi="fr-FR"/>
        </w:rPr>
        <w:t>mins battus par la tribu historienne. N’avait-on pas vu Raveau, dans son ermitage de province, redécouvrir tout seul, au prix de quels t</w:t>
      </w:r>
      <w:r w:rsidRPr="000F765B">
        <w:rPr>
          <w:lang w:eastAsia="fr-FR" w:bidi="fr-FR"/>
        </w:rPr>
        <w:t>â</w:t>
      </w:r>
      <w:r w:rsidRPr="000F765B">
        <w:rPr>
          <w:lang w:eastAsia="fr-FR" w:bidi="fr-FR"/>
        </w:rPr>
        <w:t>tonnements, le procédé des nombres-indices ?</w:t>
      </w:r>
    </w:p>
    <w:p w14:paraId="735323C9" w14:textId="77777777" w:rsidR="00B9662D" w:rsidRPr="000F765B" w:rsidRDefault="00B9662D" w:rsidP="00B9662D">
      <w:pPr>
        <w:spacing w:before="120" w:after="120"/>
        <w:jc w:val="both"/>
      </w:pPr>
      <w:r w:rsidRPr="000F765B">
        <w:rPr>
          <w:lang w:eastAsia="fr-FR" w:bidi="fr-FR"/>
        </w:rPr>
        <w:t xml:space="preserve">Or, ces temps, heureusement, ne sont plus. Après les beaux travaux méthodologiques de François Simiand, après le livre révélateur de M. Labrousse sur le </w:t>
      </w:r>
      <w:r>
        <w:rPr>
          <w:lang w:eastAsia="fr-FR" w:bidi="fr-FR"/>
        </w:rPr>
        <w:t>XVIII</w:t>
      </w:r>
      <w:r w:rsidRPr="000F765B">
        <w:rPr>
          <w:vertAlign w:val="superscript"/>
          <w:lang w:eastAsia="fr-FR" w:bidi="fr-FR"/>
        </w:rPr>
        <w:t>e</w:t>
      </w:r>
      <w:r w:rsidRPr="000F765B">
        <w:rPr>
          <w:lang w:eastAsia="fr-FR" w:bidi="fr-FR"/>
        </w:rPr>
        <w:t xml:space="preserve"> siècle</w:t>
      </w:r>
      <w:r>
        <w:rPr>
          <w:lang w:eastAsia="fr-FR" w:bidi="fr-FR"/>
        </w:rPr>
        <w:t> </w:t>
      </w:r>
      <w:r>
        <w:rPr>
          <w:rStyle w:val="Appelnotedebasdep"/>
        </w:rPr>
        <w:footnoteReference w:id="936"/>
      </w:r>
      <w:r w:rsidRPr="000F765B">
        <w:rPr>
          <w:lang w:eastAsia="fr-FR" w:bidi="fr-FR"/>
        </w:rPr>
        <w:t>, trois volumes, qui portent tous trois</w:t>
      </w:r>
      <w:r>
        <w:rPr>
          <w:lang w:eastAsia="fr-FR" w:bidi="fr-FR"/>
        </w:rPr>
        <w:t xml:space="preserve"> </w:t>
      </w:r>
      <w:r>
        <w:t xml:space="preserve">[879] </w:t>
      </w:r>
      <w:r w:rsidRPr="000F765B">
        <w:rPr>
          <w:lang w:eastAsia="fr-FR" w:bidi="fr-FR"/>
        </w:rPr>
        <w:t>le millésime de 1936, attestent l’entrée définitive de ces préo</w:t>
      </w:r>
      <w:r w:rsidRPr="000F765B">
        <w:rPr>
          <w:lang w:eastAsia="fr-FR" w:bidi="fr-FR"/>
        </w:rPr>
        <w:t>c</w:t>
      </w:r>
      <w:r w:rsidRPr="000F765B">
        <w:rPr>
          <w:lang w:eastAsia="fr-FR" w:bidi="fr-FR"/>
        </w:rPr>
        <w:t>cup</w:t>
      </w:r>
      <w:r w:rsidRPr="000F765B">
        <w:rPr>
          <w:lang w:eastAsia="fr-FR" w:bidi="fr-FR"/>
        </w:rPr>
        <w:t>a</w:t>
      </w:r>
      <w:r w:rsidRPr="000F765B">
        <w:rPr>
          <w:lang w:eastAsia="fr-FR" w:bidi="fr-FR"/>
        </w:rPr>
        <w:t>tions, jadis quasi hermétiques, dans les grands courants de notre science. Entrepris sous le patronage du « Comité scientifique intern</w:t>
      </w:r>
      <w:r w:rsidRPr="000F765B">
        <w:rPr>
          <w:lang w:eastAsia="fr-FR" w:bidi="fr-FR"/>
        </w:rPr>
        <w:t>a</w:t>
      </w:r>
      <w:r w:rsidRPr="000F765B">
        <w:rPr>
          <w:lang w:eastAsia="fr-FR" w:bidi="fr-FR"/>
        </w:rPr>
        <w:t>tional pour l’histoire des prix » ou en étroite liaison avec cette instit</w:t>
      </w:r>
      <w:r w:rsidRPr="000F765B">
        <w:rPr>
          <w:lang w:eastAsia="fr-FR" w:bidi="fr-FR"/>
        </w:rPr>
        <w:t>u</w:t>
      </w:r>
      <w:r w:rsidRPr="000F765B">
        <w:rPr>
          <w:lang w:eastAsia="fr-FR" w:bidi="fr-FR"/>
        </w:rPr>
        <w:t>tion, ils concernent, l’un la France, un autre l’Allemagne, un troisième l’Aragon, avec Valence et la Navarre. Un volume anglais aura sans doute vu le jour au moment où paraîtront ces lignes. Pour la France, la recherche et l’élaboration des données ont été dirigées par M. Henri Hauser, qui, on le sait, représente notre pays au Comité internati</w:t>
      </w:r>
      <w:r w:rsidRPr="000F765B">
        <w:rPr>
          <w:lang w:eastAsia="fr-FR" w:bidi="fr-FR"/>
        </w:rPr>
        <w:t>o</w:t>
      </w:r>
      <w:r w:rsidRPr="000F765B">
        <w:rPr>
          <w:lang w:eastAsia="fr-FR" w:bidi="fr-FR"/>
        </w:rPr>
        <w:t>nal</w:t>
      </w:r>
      <w:r>
        <w:rPr>
          <w:lang w:eastAsia="fr-FR" w:bidi="fr-FR"/>
        </w:rPr>
        <w:t> </w:t>
      </w:r>
      <w:r>
        <w:rPr>
          <w:rStyle w:val="Appelnotedebasdep"/>
        </w:rPr>
        <w:footnoteReference w:id="937"/>
      </w:r>
      <w:r w:rsidRPr="000F765B">
        <w:rPr>
          <w:lang w:eastAsia="fr-FR" w:bidi="fr-FR"/>
        </w:rPr>
        <w:t> ; pour l’Allemagne, par le docteur M.-J. Elsas</w:t>
      </w:r>
      <w:r>
        <w:rPr>
          <w:lang w:eastAsia="fr-FR" w:bidi="fr-FR"/>
        </w:rPr>
        <w:t> </w:t>
      </w:r>
      <w:r>
        <w:rPr>
          <w:rStyle w:val="Appelnotedebasdep"/>
        </w:rPr>
        <w:footnoteReference w:id="938"/>
      </w:r>
      <w:r w:rsidRPr="000F765B">
        <w:rPr>
          <w:lang w:eastAsia="fr-FR" w:bidi="fr-FR"/>
        </w:rPr>
        <w:t>. Le recueil relatif à l’Espagne est tout entier l’œuvre de M. Earl-J. Hamilton, que son livre sur le « Trésor Américain » avait déjà fait connaître comme un des meilleurs spécialistes de ce genre d’études</w:t>
      </w:r>
      <w:r>
        <w:rPr>
          <w:lang w:eastAsia="fr-FR" w:bidi="fr-FR"/>
        </w:rPr>
        <w:t> </w:t>
      </w:r>
      <w:r>
        <w:rPr>
          <w:rStyle w:val="Appelnotedebasdep"/>
        </w:rPr>
        <w:footnoteReference w:id="939"/>
      </w:r>
      <w:r w:rsidRPr="000F765B">
        <w:rPr>
          <w:lang w:eastAsia="fr-FR" w:bidi="fr-FR"/>
        </w:rPr>
        <w:t>. Bien des années, a</w:t>
      </w:r>
      <w:r w:rsidRPr="000F765B">
        <w:rPr>
          <w:lang w:eastAsia="fr-FR" w:bidi="fr-FR"/>
        </w:rPr>
        <w:t>s</w:t>
      </w:r>
      <w:r w:rsidRPr="000F765B">
        <w:rPr>
          <w:lang w:eastAsia="fr-FR" w:bidi="fr-FR"/>
        </w:rPr>
        <w:t xml:space="preserve">surément, seront nécessaires pour tirer des renseignements si </w:t>
      </w:r>
      <w:r w:rsidRPr="000F765B">
        <w:rPr>
          <w:lang w:eastAsia="fr-FR" w:bidi="fr-FR"/>
        </w:rPr>
        <w:lastRenderedPageBreak/>
        <w:t>génére</w:t>
      </w:r>
      <w:r w:rsidRPr="000F765B">
        <w:rPr>
          <w:lang w:eastAsia="fr-FR" w:bidi="fr-FR"/>
        </w:rPr>
        <w:t>u</w:t>
      </w:r>
      <w:r w:rsidRPr="000F765B">
        <w:rPr>
          <w:lang w:eastAsia="fr-FR" w:bidi="fr-FR"/>
        </w:rPr>
        <w:t>sement mis à notre disposition leur pleine substance historique. Notre dessein, pour l’instant, doit demeurer plus modeste : indiquer brièv</w:t>
      </w:r>
      <w:r w:rsidRPr="000F765B">
        <w:rPr>
          <w:lang w:eastAsia="fr-FR" w:bidi="fr-FR"/>
        </w:rPr>
        <w:t>e</w:t>
      </w:r>
      <w:r w:rsidRPr="000F765B">
        <w:rPr>
          <w:lang w:eastAsia="fr-FR" w:bidi="fr-FR"/>
        </w:rPr>
        <w:t>ment le contenu des trois ouvrages ; cerner, surtout, d’un trait aussi net que possible, les graves problèmes de méthode que pose l’enquête par là brillamment amorcée.</w:t>
      </w:r>
    </w:p>
    <w:p w14:paraId="5790D792" w14:textId="77777777" w:rsidR="00B9662D" w:rsidRDefault="00B9662D" w:rsidP="00B9662D">
      <w:pPr>
        <w:spacing w:before="120" w:after="120"/>
        <w:jc w:val="both"/>
        <w:rPr>
          <w:lang w:eastAsia="fr-FR" w:bidi="fr-FR"/>
        </w:rPr>
      </w:pPr>
    </w:p>
    <w:p w14:paraId="6AAAD820" w14:textId="77777777" w:rsidR="00B9662D" w:rsidRPr="000F765B" w:rsidRDefault="00B9662D" w:rsidP="00B9662D">
      <w:pPr>
        <w:pStyle w:val="planche"/>
      </w:pPr>
      <w:r w:rsidRPr="000F765B">
        <w:t>II</w:t>
      </w:r>
    </w:p>
    <w:p w14:paraId="37322688" w14:textId="77777777" w:rsidR="00B9662D" w:rsidRDefault="00B9662D" w:rsidP="00B9662D">
      <w:pPr>
        <w:spacing w:before="120" w:after="120"/>
        <w:jc w:val="both"/>
        <w:rPr>
          <w:lang w:eastAsia="fr-FR" w:bidi="fr-FR"/>
        </w:rPr>
      </w:pPr>
    </w:p>
    <w:p w14:paraId="19FD0042" w14:textId="77777777" w:rsidR="00B9662D" w:rsidRPr="000F765B" w:rsidRDefault="00B9662D" w:rsidP="00B9662D">
      <w:pPr>
        <w:spacing w:before="120" w:after="120"/>
        <w:jc w:val="both"/>
      </w:pPr>
      <w:r w:rsidRPr="000F765B">
        <w:rPr>
          <w:lang w:eastAsia="fr-FR" w:bidi="fr-FR"/>
        </w:rPr>
        <w:t xml:space="preserve">M. Hamilton s’est cantonné dans la fin du Moyen </w:t>
      </w:r>
      <w:r>
        <w:rPr>
          <w:lang w:eastAsia="fr-FR" w:bidi="fr-FR"/>
        </w:rPr>
        <w:t>Â</w:t>
      </w:r>
      <w:r w:rsidRPr="000F765B">
        <w:rPr>
          <w:lang w:eastAsia="fr-FR" w:bidi="fr-FR"/>
        </w:rPr>
        <w:t xml:space="preserve">ge : 1351-1500. C’est que son présent livre a pour suite naturelle celui qu’il avait, un peu plus tôt, comme je viens de le rappeler, consacré à l’injection monétaire du </w:t>
      </w:r>
      <w:r w:rsidRPr="009B7D3F">
        <w:rPr>
          <w:caps/>
          <w:lang w:eastAsia="fr-FR" w:bidi="fr-FR"/>
        </w:rPr>
        <w:t>xvi</w:t>
      </w:r>
      <w:r w:rsidRPr="000F765B">
        <w:rPr>
          <w:vertAlign w:val="superscript"/>
          <w:lang w:eastAsia="fr-FR" w:bidi="fr-FR"/>
        </w:rPr>
        <w:t>e</w:t>
      </w:r>
      <w:r w:rsidRPr="000F765B">
        <w:rPr>
          <w:lang w:eastAsia="fr-FR" w:bidi="fr-FR"/>
        </w:rPr>
        <w:t xml:space="preserve"> siècle. Pour point de départ, M. Elsas a pris « la date des premières données qui se présentent avec quelque régularité » : en pratique, le début du </w:t>
      </w:r>
      <w:r w:rsidRPr="009B7D3F">
        <w:rPr>
          <w:caps/>
          <w:lang w:eastAsia="fr-FR" w:bidi="fr-FR"/>
        </w:rPr>
        <w:t>xv</w:t>
      </w:r>
      <w:r w:rsidRPr="000F765B">
        <w:rPr>
          <w:vertAlign w:val="superscript"/>
          <w:lang w:eastAsia="fr-FR" w:bidi="fr-FR"/>
        </w:rPr>
        <w:t>e</w:t>
      </w:r>
      <w:r w:rsidRPr="000F765B">
        <w:rPr>
          <w:lang w:eastAsia="fr-FR" w:bidi="fr-FR"/>
        </w:rPr>
        <w:t xml:space="preserve"> siècle. Le </w:t>
      </w:r>
      <w:r w:rsidRPr="00C22093">
        <w:rPr>
          <w:i/>
        </w:rPr>
        <w:t>terminus ad quem</w:t>
      </w:r>
      <w:r w:rsidRPr="000F765B">
        <w:rPr>
          <w:lang w:eastAsia="fr-FR" w:bidi="fr-FR"/>
        </w:rPr>
        <w:t xml:space="preserve"> a été fixé à 1820 : fin de l’ère révolutionnaire et napoléonienne ; début aussi</w:t>
      </w:r>
      <w:r>
        <w:rPr>
          <w:lang w:eastAsia="fr-FR" w:bidi="fr-FR"/>
        </w:rPr>
        <w:t> — </w:t>
      </w:r>
      <w:r w:rsidRPr="000F765B">
        <w:rPr>
          <w:lang w:eastAsia="fr-FR" w:bidi="fr-FR"/>
        </w:rPr>
        <w:t>bien que l’auteur ne l’indique pas</w:t>
      </w:r>
      <w:r>
        <w:rPr>
          <w:lang w:eastAsia="fr-FR" w:bidi="fr-FR"/>
        </w:rPr>
        <w:t> — </w:t>
      </w:r>
      <w:r w:rsidRPr="000F765B">
        <w:rPr>
          <w:lang w:eastAsia="fr-FR" w:bidi="fr-FR"/>
        </w:rPr>
        <w:t>ou du moins début a</w:t>
      </w:r>
      <w:r w:rsidRPr="000F765B">
        <w:rPr>
          <w:lang w:eastAsia="fr-FR" w:bidi="fr-FR"/>
        </w:rPr>
        <w:t>p</w:t>
      </w:r>
      <w:r w:rsidRPr="000F765B">
        <w:rPr>
          <w:lang w:eastAsia="fr-FR" w:bidi="fr-FR"/>
        </w:rPr>
        <w:t>proximatif d’une des phases classiques de baisse ou de stagnation pr</w:t>
      </w:r>
      <w:r w:rsidRPr="000F765B">
        <w:rPr>
          <w:lang w:eastAsia="fr-FR" w:bidi="fr-FR"/>
        </w:rPr>
        <w:t>o</w:t>
      </w:r>
      <w:r w:rsidRPr="000F765B">
        <w:rPr>
          <w:lang w:eastAsia="fr-FR" w:bidi="fr-FR"/>
        </w:rPr>
        <w:t>longée des prix. Renonçant provisoirement à utiliser les documents plus anciens, dont il s’est contenté de signaler, dans son Introduction, quelques types, M. Hauser a inscrit, sur la couverture de son volume : 1500-1800. En fait, la plupart des relevés s’arrêtent aux premières a</w:t>
      </w:r>
      <w:r w:rsidRPr="000F765B">
        <w:rPr>
          <w:lang w:eastAsia="fr-FR" w:bidi="fr-FR"/>
        </w:rPr>
        <w:t>n</w:t>
      </w:r>
      <w:r w:rsidRPr="000F765B">
        <w:rPr>
          <w:lang w:eastAsia="fr-FR" w:bidi="fr-FR"/>
        </w:rPr>
        <w:t xml:space="preserve">nées de la Révolution. </w:t>
      </w:r>
      <w:r>
        <w:rPr>
          <w:lang w:eastAsia="fr-FR" w:bidi="fr-FR"/>
        </w:rPr>
        <w:t>À</w:t>
      </w:r>
      <w:r w:rsidRPr="000F765B">
        <w:rPr>
          <w:lang w:eastAsia="fr-FR" w:bidi="fr-FR"/>
        </w:rPr>
        <w:t xml:space="preserve"> juste titre. Car, de toute évidence, l’inflation des assignats et le maximum posent des problèmes trop particuliers pour ne pas devoir être étudiés indépendamment.</w:t>
      </w:r>
    </w:p>
    <w:p w14:paraId="19FF9715" w14:textId="77777777" w:rsidR="00B9662D" w:rsidRPr="000F765B" w:rsidRDefault="00B9662D" w:rsidP="00B9662D">
      <w:pPr>
        <w:spacing w:before="120" w:after="120"/>
        <w:jc w:val="both"/>
      </w:pPr>
      <w:r w:rsidRPr="000F765B">
        <w:rPr>
          <w:lang w:eastAsia="fr-FR" w:bidi="fr-FR"/>
        </w:rPr>
        <w:t>Mêmes divergences dans la structure interne des ouvrages. Celui de M. Hamilton se présente sous la forme d’une histoire suivie à la fois de</w:t>
      </w:r>
      <w:r>
        <w:t xml:space="preserve"> [880] </w:t>
      </w:r>
      <w:r w:rsidRPr="000F765B">
        <w:rPr>
          <w:lang w:eastAsia="fr-FR" w:bidi="fr-FR"/>
        </w:rPr>
        <w:t>la monnaie et des prix. Les relevés statistiques figurent en appe</w:t>
      </w:r>
      <w:r w:rsidRPr="000F765B">
        <w:rPr>
          <w:lang w:eastAsia="fr-FR" w:bidi="fr-FR"/>
        </w:rPr>
        <w:t>n</w:t>
      </w:r>
      <w:r w:rsidRPr="000F765B">
        <w:rPr>
          <w:lang w:eastAsia="fr-FR" w:bidi="fr-FR"/>
        </w:rPr>
        <w:t>dice. Les recueils allemands et français se divisent, l’un comme l’autre, en deux sections inégales. D’abord une Introduction. M. Elsas l’a consacrée avant tout à la critique documentaire. Très r</w:t>
      </w:r>
      <w:r w:rsidRPr="000F765B">
        <w:rPr>
          <w:lang w:eastAsia="fr-FR" w:bidi="fr-FR"/>
        </w:rPr>
        <w:t>i</w:t>
      </w:r>
      <w:r w:rsidRPr="000F765B">
        <w:rPr>
          <w:lang w:eastAsia="fr-FR" w:bidi="fr-FR"/>
        </w:rPr>
        <w:t>che, elle est assez lourdement construite, malheureusement, et trop dense pour qu’en l’absence d’index, la recherche y paraisse toujours bien aisée. On ne s’étonnera pas de retrouver, au contraire, dans l’exposé de M. Hauser, l’alerte lucidité que tant d’autres travaux ont rendue familière à nos lecteurs. Les problèmes y sont pris de bea</w:t>
      </w:r>
      <w:r w:rsidRPr="000F765B">
        <w:rPr>
          <w:lang w:eastAsia="fr-FR" w:bidi="fr-FR"/>
        </w:rPr>
        <w:t>u</w:t>
      </w:r>
      <w:r w:rsidRPr="000F765B">
        <w:rPr>
          <w:lang w:eastAsia="fr-FR" w:bidi="fr-FR"/>
        </w:rPr>
        <w:t xml:space="preserve">coup plus haut. L’étude des témoignages et de leur mise en œuvre est, </w:t>
      </w:r>
      <w:r w:rsidRPr="000F765B">
        <w:rPr>
          <w:lang w:eastAsia="fr-FR" w:bidi="fr-FR"/>
        </w:rPr>
        <w:lastRenderedPageBreak/>
        <w:t>en revanche, plus sommairement traitée. Suivent, des deux parts, les tableaux et diagrammes, avec leurs commentaires qui, ici encore, sont, dans le volume allemand, sensiblement plus détaillés. Aussi bien, les champs d’observations ont-ils été délimités selon des principes, à leur tour, fort différents. M. Elsas, dans ce premier tome, que plusieurs autres doivent suivre, s’est borné à exploiter à fond les renseign</w:t>
      </w:r>
      <w:r w:rsidRPr="000F765B">
        <w:rPr>
          <w:lang w:eastAsia="fr-FR" w:bidi="fr-FR"/>
        </w:rPr>
        <w:t>e</w:t>
      </w:r>
      <w:r w:rsidRPr="000F765B">
        <w:rPr>
          <w:lang w:eastAsia="fr-FR" w:bidi="fr-FR"/>
        </w:rPr>
        <w:t>ments fournis par trois villes de l’Allemagne du Sud : Munich, Aug</w:t>
      </w:r>
      <w:r w:rsidRPr="000F765B">
        <w:rPr>
          <w:lang w:eastAsia="fr-FR" w:bidi="fr-FR"/>
        </w:rPr>
        <w:t>s</w:t>
      </w:r>
      <w:r w:rsidRPr="000F765B">
        <w:rPr>
          <w:lang w:eastAsia="fr-FR" w:bidi="fr-FR"/>
        </w:rPr>
        <w:t>bourg et Wurtzbourg. Soit dessein prémédité, soit nécessités imposées par le recrutement des collaborateurs, M. Hauser, sans abandonner, lui non plus, l’espoir de poursuivre plus tard l’enquête, a préféré mettre sous nos yeux, dès maintenant, les résultats de sondages opérés sur des points dispersés à travers presque tout le territoire. Il est d’ailleurs impossible, en soupesant les deux livres, de ne pas être frappé par la relative maigreur de celui qui nous intéresse le plus directement. Co</w:t>
      </w:r>
      <w:r w:rsidRPr="000F765B">
        <w:rPr>
          <w:lang w:eastAsia="fr-FR" w:bidi="fr-FR"/>
        </w:rPr>
        <w:t>m</w:t>
      </w:r>
      <w:r w:rsidRPr="000F765B">
        <w:rPr>
          <w:lang w:eastAsia="fr-FR" w:bidi="fr-FR"/>
        </w:rPr>
        <w:t>parez, par exemple, de part et d’autre, le nombre des graphiques. On a d’autant moins de scrupule à avouer cette impression que l’éminent directeur de la publication ne saurait certainement être tenu pour re</w:t>
      </w:r>
      <w:r w:rsidRPr="000F765B">
        <w:rPr>
          <w:lang w:eastAsia="fr-FR" w:bidi="fr-FR"/>
        </w:rPr>
        <w:t>s</w:t>
      </w:r>
      <w:r w:rsidRPr="000F765B">
        <w:rPr>
          <w:lang w:eastAsia="fr-FR" w:bidi="fr-FR"/>
        </w:rPr>
        <w:t>ponsable d’un état de fait dont il a lui-même, discrètement, indiqué les causes.</w:t>
      </w:r>
    </w:p>
    <w:p w14:paraId="7D53AF75" w14:textId="77777777" w:rsidR="00B9662D" w:rsidRDefault="00B9662D" w:rsidP="00B9662D">
      <w:pPr>
        <w:spacing w:before="120" w:after="120"/>
        <w:jc w:val="both"/>
        <w:rPr>
          <w:lang w:eastAsia="fr-FR" w:bidi="fr-FR"/>
        </w:rPr>
      </w:pPr>
    </w:p>
    <w:p w14:paraId="0E7F0981" w14:textId="77777777" w:rsidR="00B9662D" w:rsidRPr="000F765B" w:rsidRDefault="00B9662D" w:rsidP="00B9662D">
      <w:pPr>
        <w:pStyle w:val="planche"/>
      </w:pPr>
      <w:r w:rsidRPr="000F765B">
        <w:t>III</w:t>
      </w:r>
    </w:p>
    <w:p w14:paraId="3A9C3FDA" w14:textId="77777777" w:rsidR="00B9662D" w:rsidRDefault="00B9662D" w:rsidP="00B9662D">
      <w:pPr>
        <w:spacing w:before="120" w:after="120"/>
        <w:jc w:val="both"/>
        <w:rPr>
          <w:lang w:eastAsia="fr-FR" w:bidi="fr-FR"/>
        </w:rPr>
      </w:pPr>
    </w:p>
    <w:p w14:paraId="174A6B8F" w14:textId="77777777" w:rsidR="00B9662D" w:rsidRPr="000F765B" w:rsidRDefault="00B9662D" w:rsidP="00B9662D">
      <w:pPr>
        <w:spacing w:before="120" w:after="120"/>
        <w:jc w:val="both"/>
      </w:pPr>
      <w:r w:rsidRPr="000F765B">
        <w:rPr>
          <w:lang w:eastAsia="fr-FR" w:bidi="fr-FR"/>
        </w:rPr>
        <w:t>Parmi les problèmes que les divers enquêteurs avaient à résoudre, le premier, suivant l’ordre d’urgence, était posé par la recherche m</w:t>
      </w:r>
      <w:r w:rsidRPr="000F765B">
        <w:rPr>
          <w:lang w:eastAsia="fr-FR" w:bidi="fr-FR"/>
        </w:rPr>
        <w:t>ê</w:t>
      </w:r>
      <w:r w:rsidRPr="000F765B">
        <w:rPr>
          <w:lang w:eastAsia="fr-FR" w:bidi="fr-FR"/>
        </w:rPr>
        <w:t>me des données. Comment atteindre les actes de paiements dans le</w:t>
      </w:r>
      <w:r w:rsidRPr="000F765B">
        <w:rPr>
          <w:lang w:eastAsia="fr-FR" w:bidi="fr-FR"/>
        </w:rPr>
        <w:t>s</w:t>
      </w:r>
      <w:r w:rsidRPr="000F765B">
        <w:rPr>
          <w:lang w:eastAsia="fr-FR" w:bidi="fr-FR"/>
        </w:rPr>
        <w:t>quels s’exprimèrent les valeurs d’échange des marchandises ? Co</w:t>
      </w:r>
      <w:r w:rsidRPr="000F765B">
        <w:rPr>
          <w:lang w:eastAsia="fr-FR" w:bidi="fr-FR"/>
        </w:rPr>
        <w:t>m</w:t>
      </w:r>
      <w:r w:rsidRPr="000F765B">
        <w:rPr>
          <w:lang w:eastAsia="fr-FR" w:bidi="fr-FR"/>
        </w:rPr>
        <w:t>ment surtout les atteindre en quantité suffisante et sous forme de s</w:t>
      </w:r>
      <w:r w:rsidRPr="000F765B">
        <w:rPr>
          <w:lang w:eastAsia="fr-FR" w:bidi="fr-FR"/>
        </w:rPr>
        <w:t>é</w:t>
      </w:r>
      <w:r w:rsidRPr="000F765B">
        <w:rPr>
          <w:lang w:eastAsia="fr-FR" w:bidi="fr-FR"/>
        </w:rPr>
        <w:t>ries suffisamment continues et homogènes pour qu’éliminant les h</w:t>
      </w:r>
      <w:r w:rsidRPr="000F765B">
        <w:rPr>
          <w:lang w:eastAsia="fr-FR" w:bidi="fr-FR"/>
        </w:rPr>
        <w:t>a</w:t>
      </w:r>
      <w:r w:rsidRPr="000F765B">
        <w:rPr>
          <w:lang w:eastAsia="fr-FR" w:bidi="fr-FR"/>
        </w:rPr>
        <w:t>sards individuels, l’étude puisse dégager les phénomènes de masse, à la fois témoins et causes des grandes oscillations de la structure soci</w:t>
      </w:r>
      <w:r w:rsidRPr="000F765B">
        <w:rPr>
          <w:lang w:eastAsia="fr-FR" w:bidi="fr-FR"/>
        </w:rPr>
        <w:t>a</w:t>
      </w:r>
      <w:r w:rsidRPr="000F765B">
        <w:rPr>
          <w:lang w:eastAsia="fr-FR" w:bidi="fr-FR"/>
        </w:rPr>
        <w:t>le.</w:t>
      </w:r>
    </w:p>
    <w:p w14:paraId="1D0D0CDE" w14:textId="77777777" w:rsidR="00B9662D" w:rsidRPr="000F765B" w:rsidRDefault="00B9662D" w:rsidP="00B9662D">
      <w:pPr>
        <w:spacing w:before="120" w:after="120"/>
        <w:jc w:val="both"/>
      </w:pPr>
      <w:r w:rsidRPr="000F765B">
        <w:rPr>
          <w:lang w:eastAsia="fr-FR" w:bidi="fr-FR"/>
        </w:rPr>
        <w:t>Les comptes ménagers, tenus par des particuliers, ont dû être pa</w:t>
      </w:r>
      <w:r w:rsidRPr="000F765B">
        <w:rPr>
          <w:lang w:eastAsia="fr-FR" w:bidi="fr-FR"/>
        </w:rPr>
        <w:t>r</w:t>
      </w:r>
      <w:r w:rsidRPr="000F765B">
        <w:rPr>
          <w:lang w:eastAsia="fr-FR" w:bidi="fr-FR"/>
        </w:rPr>
        <w:t xml:space="preserve">tout laissés de côté, en raison, précisément, de leur incapacité à fournir des suites assez stables. De même, en règle générale, les comptes commerciaux, d’ailleurs si rares dans nos archives. Toutefois, ceux de la Compagnie des Indes, à Nantes, ont livré à un des collaborateurs de </w:t>
      </w:r>
      <w:r w:rsidRPr="000F765B">
        <w:rPr>
          <w:lang w:eastAsia="fr-FR" w:bidi="fr-FR"/>
        </w:rPr>
        <w:lastRenderedPageBreak/>
        <w:t>M. Hauser, M. Gaston Martin, de très utiles renseignements. Sous ce</w:t>
      </w:r>
      <w:r w:rsidRPr="000F765B">
        <w:rPr>
          <w:lang w:eastAsia="fr-FR" w:bidi="fr-FR"/>
        </w:rPr>
        <w:t>t</w:t>
      </w:r>
      <w:r w:rsidRPr="000F765B">
        <w:rPr>
          <w:lang w:eastAsia="fr-FR" w:bidi="fr-FR"/>
        </w:rPr>
        <w:t>te réserve, il a été fait appel, à peu près exclusivement, à deux types de témoignages. D’une part, les comptes d’institutions : hôtels royaux, en Navarre par exemple ; municipalités ; hôpitaux surtout ; parfois communautés religieuses. Ce</w:t>
      </w:r>
      <w:r>
        <w:t xml:space="preserve"> [881] </w:t>
      </w:r>
      <w:r w:rsidRPr="000F765B">
        <w:rPr>
          <w:lang w:eastAsia="fr-FR" w:bidi="fr-FR"/>
        </w:rPr>
        <w:t>sont là, aujourd’hui encore, pour les mêmes motifs de continuité, les sources de prédilection des obse</w:t>
      </w:r>
      <w:r w:rsidRPr="000F765B">
        <w:rPr>
          <w:lang w:eastAsia="fr-FR" w:bidi="fr-FR"/>
        </w:rPr>
        <w:t>r</w:t>
      </w:r>
      <w:r w:rsidRPr="000F765B">
        <w:rPr>
          <w:lang w:eastAsia="fr-FR" w:bidi="fr-FR"/>
        </w:rPr>
        <w:t>vateurs occupés à rechercher, dans le présent, les variations des prix réellement payés par la consommation : en prenant, pour base de son enquête de 1911 sur le coût de la vie, les livres de l’Assistance Publ</w:t>
      </w:r>
      <w:r w:rsidRPr="000F765B">
        <w:rPr>
          <w:lang w:eastAsia="fr-FR" w:bidi="fr-FR"/>
        </w:rPr>
        <w:t>i</w:t>
      </w:r>
      <w:r w:rsidRPr="000F765B">
        <w:rPr>
          <w:lang w:eastAsia="fr-FR" w:bidi="fr-FR"/>
        </w:rPr>
        <w:t xml:space="preserve">que et de l’économat du Lycée Louis-le-Grand, la Statistique générale de la France n’a pas procédé autrement, en vérité, </w:t>
      </w:r>
      <w:r>
        <w:rPr>
          <w:lang w:eastAsia="fr-FR" w:bidi="fr-FR"/>
        </w:rPr>
        <w:t>que M. Hamilton, M. Elsas ou M. </w:t>
      </w:r>
      <w:r w:rsidRPr="000F765B">
        <w:rPr>
          <w:lang w:eastAsia="fr-FR" w:bidi="fr-FR"/>
        </w:rPr>
        <w:t>Hauser. On s’est, en second lieu, adressé aussi, très largement, aux évaluations officielles dont les prix pratiqués sur les marchés étaient fréquemment l’objet, au moment même ou peu après, par les soins des autorités administratives du lieu. Cependant, cette catégorie de doc</w:t>
      </w:r>
      <w:r w:rsidRPr="000F765B">
        <w:rPr>
          <w:lang w:eastAsia="fr-FR" w:bidi="fr-FR"/>
        </w:rPr>
        <w:t>u</w:t>
      </w:r>
      <w:r w:rsidRPr="000F765B">
        <w:rPr>
          <w:lang w:eastAsia="fr-FR" w:bidi="fr-FR"/>
        </w:rPr>
        <w:t>ments, qui suppose des techniques de gouvernement déjà assez raff</w:t>
      </w:r>
      <w:r w:rsidRPr="000F765B">
        <w:rPr>
          <w:lang w:eastAsia="fr-FR" w:bidi="fr-FR"/>
        </w:rPr>
        <w:t>i</w:t>
      </w:r>
      <w:r w:rsidRPr="000F765B">
        <w:rPr>
          <w:lang w:eastAsia="fr-FR" w:bidi="fr-FR"/>
        </w:rPr>
        <w:t>nées, semble avoir totalement manqué dans l’Espagne médiévale.</w:t>
      </w:r>
    </w:p>
    <w:p w14:paraId="18B351CE" w14:textId="77777777" w:rsidR="00B9662D" w:rsidRPr="000F765B" w:rsidRDefault="00B9662D" w:rsidP="00B9662D">
      <w:pPr>
        <w:spacing w:before="120" w:after="120"/>
        <w:jc w:val="both"/>
      </w:pPr>
      <w:r w:rsidRPr="000F765B">
        <w:rPr>
          <w:lang w:eastAsia="fr-FR" w:bidi="fr-FR"/>
        </w:rPr>
        <w:t>Des choix ainsi imposés par la nécessité, une curieuse conséquence découle : alors qu’aujourd’hui les prix de gros sont ceux sur lesquels les statistiques courantes renseignent, sans nul doute, le moins impa</w:t>
      </w:r>
      <w:r w:rsidRPr="000F765B">
        <w:rPr>
          <w:lang w:eastAsia="fr-FR" w:bidi="fr-FR"/>
        </w:rPr>
        <w:t>r</w:t>
      </w:r>
      <w:r w:rsidRPr="000F765B">
        <w:rPr>
          <w:lang w:eastAsia="fr-FR" w:bidi="fr-FR"/>
        </w:rPr>
        <w:t>faitement, c’est, au contraire, vers les prix du détail</w:t>
      </w:r>
      <w:r>
        <w:rPr>
          <w:lang w:eastAsia="fr-FR" w:bidi="fr-FR"/>
        </w:rPr>
        <w:t> — </w:t>
      </w:r>
      <w:r w:rsidRPr="000F765B">
        <w:rPr>
          <w:lang w:eastAsia="fr-FR" w:bidi="fr-FR"/>
        </w:rPr>
        <w:t>achats par des collectivités, en vue d’une utilisation immédiate, ou menues transa</w:t>
      </w:r>
      <w:r w:rsidRPr="000F765B">
        <w:rPr>
          <w:lang w:eastAsia="fr-FR" w:bidi="fr-FR"/>
        </w:rPr>
        <w:t>c</w:t>
      </w:r>
      <w:r w:rsidRPr="000F765B">
        <w:rPr>
          <w:lang w:eastAsia="fr-FR" w:bidi="fr-FR"/>
        </w:rPr>
        <w:t>tions des places publiques</w:t>
      </w:r>
      <w:r>
        <w:rPr>
          <w:lang w:eastAsia="fr-FR" w:bidi="fr-FR"/>
        </w:rPr>
        <w:t> — </w:t>
      </w:r>
      <w:r w:rsidRPr="000F765B">
        <w:rPr>
          <w:lang w:eastAsia="fr-FR" w:bidi="fr-FR"/>
        </w:rPr>
        <w:t>que toute enquête sur la « conjoncture » ancienne oriente fatalement le chercheur. Il convient d’ailleurs d’ajouter, selon la juste observation de M. Elsas, que la divergence entre les deux classes de prix demeura longtemps assez faible, pour s’accentuer seulement au fur et à mesure de l’évolution de la civilis</w:t>
      </w:r>
      <w:r w:rsidRPr="000F765B">
        <w:rPr>
          <w:lang w:eastAsia="fr-FR" w:bidi="fr-FR"/>
        </w:rPr>
        <w:t>a</w:t>
      </w:r>
      <w:r w:rsidRPr="000F765B">
        <w:rPr>
          <w:lang w:eastAsia="fr-FR" w:bidi="fr-FR"/>
        </w:rPr>
        <w:t>tion économique vers une structure de mieux en mieux différenciée : quand</w:t>
      </w:r>
      <w:r>
        <w:rPr>
          <w:lang w:eastAsia="fr-FR" w:bidi="fr-FR"/>
        </w:rPr>
        <w:t> — </w:t>
      </w:r>
      <w:r w:rsidRPr="000F765B">
        <w:rPr>
          <w:lang w:eastAsia="fr-FR" w:bidi="fr-FR"/>
        </w:rPr>
        <w:t xml:space="preserve">comme c’était le cas général au Moyen </w:t>
      </w:r>
      <w:r>
        <w:rPr>
          <w:lang w:eastAsia="fr-FR" w:bidi="fr-FR"/>
        </w:rPr>
        <w:t>Â</w:t>
      </w:r>
      <w:r w:rsidRPr="000F765B">
        <w:rPr>
          <w:lang w:eastAsia="fr-FR" w:bidi="fr-FR"/>
        </w:rPr>
        <w:t>ge —le grand ma</w:t>
      </w:r>
      <w:r w:rsidRPr="000F765B">
        <w:rPr>
          <w:lang w:eastAsia="fr-FR" w:bidi="fr-FR"/>
        </w:rPr>
        <w:t>r</w:t>
      </w:r>
      <w:r w:rsidRPr="000F765B">
        <w:rPr>
          <w:lang w:eastAsia="fr-FR" w:bidi="fr-FR"/>
        </w:rPr>
        <w:t xml:space="preserve">chand faisait tour à tour fonction de grossiste, pour l’exportation, et de détaillant, sur le marché de sa ville, il ne tendait pas à varier beaucoup ses prix, selon la quantité vendue. L’écart semble cependant s'être marqué plus tôt pour certaines marchandises que pour d’autres : si bien que l’étude de ses progrès, par nature de commerce, apporterait </w:t>
      </w:r>
      <w:r w:rsidRPr="000F765B">
        <w:rPr>
          <w:lang w:eastAsia="fr-FR" w:bidi="fr-FR"/>
        </w:rPr>
        <w:lastRenderedPageBreak/>
        <w:t>une contribution des plus instructives à l’intelligence des développ</w:t>
      </w:r>
      <w:r w:rsidRPr="000F765B">
        <w:rPr>
          <w:lang w:eastAsia="fr-FR" w:bidi="fr-FR"/>
        </w:rPr>
        <w:t>e</w:t>
      </w:r>
      <w:r w:rsidRPr="000F765B">
        <w:rPr>
          <w:lang w:eastAsia="fr-FR" w:bidi="fr-FR"/>
        </w:rPr>
        <w:t>ments particuliers aux divers types d’entreprise</w:t>
      </w:r>
      <w:r>
        <w:rPr>
          <w:lang w:eastAsia="fr-FR" w:bidi="fr-FR"/>
        </w:rPr>
        <w:t> </w:t>
      </w:r>
      <w:r>
        <w:rPr>
          <w:rStyle w:val="Appelnotedebasdep"/>
        </w:rPr>
        <w:footnoteReference w:id="940"/>
      </w:r>
      <w:r w:rsidRPr="000F765B">
        <w:rPr>
          <w:lang w:eastAsia="fr-FR" w:bidi="fr-FR"/>
        </w:rPr>
        <w:t>.</w:t>
      </w:r>
    </w:p>
    <w:p w14:paraId="3256054F" w14:textId="77777777" w:rsidR="00B9662D" w:rsidRPr="000F765B" w:rsidRDefault="00B9662D" w:rsidP="00B9662D">
      <w:pPr>
        <w:spacing w:before="120" w:after="120"/>
        <w:jc w:val="both"/>
      </w:pPr>
      <w:r w:rsidRPr="000F765B">
        <w:rPr>
          <w:lang w:eastAsia="fr-FR" w:bidi="fr-FR"/>
        </w:rPr>
        <w:t>De quelque côté que les données nous viennent, il va de soi qu’elles ne sauraient être acceptées sans examen critique préalable. M. Elsas semble avoir été, parmi nos auteurs, le seul à se demander</w:t>
      </w:r>
      <w:r>
        <w:rPr>
          <w:lang w:eastAsia="fr-FR" w:bidi="fr-FR"/>
        </w:rPr>
        <w:t> — </w:t>
      </w:r>
      <w:r w:rsidRPr="000F765B">
        <w:rPr>
          <w:lang w:eastAsia="fr-FR" w:bidi="fr-FR"/>
        </w:rPr>
        <w:t>ce qui, en effet, n’était pas superflu</w:t>
      </w:r>
      <w:r>
        <w:rPr>
          <w:lang w:eastAsia="fr-FR" w:bidi="fr-FR"/>
        </w:rPr>
        <w:t> — </w:t>
      </w:r>
      <w:r w:rsidRPr="000F765B">
        <w:rPr>
          <w:lang w:eastAsia="fr-FR" w:bidi="fr-FR"/>
        </w:rPr>
        <w:t>si les prix payés par les instit</w:t>
      </w:r>
      <w:r w:rsidRPr="000F765B">
        <w:rPr>
          <w:lang w:eastAsia="fr-FR" w:bidi="fr-FR"/>
        </w:rPr>
        <w:t>u</w:t>
      </w:r>
      <w:r w:rsidRPr="000F765B">
        <w:rPr>
          <w:lang w:eastAsia="fr-FR" w:bidi="fr-FR"/>
        </w:rPr>
        <w:t>tions coïncidaient vraiment avec ceux du marché. Il conclut, vérific</w:t>
      </w:r>
      <w:r w:rsidRPr="000F765B">
        <w:rPr>
          <w:lang w:eastAsia="fr-FR" w:bidi="fr-FR"/>
        </w:rPr>
        <w:t>a</w:t>
      </w:r>
      <w:r w:rsidRPr="000F765B">
        <w:rPr>
          <w:lang w:eastAsia="fr-FR" w:bidi="fr-FR"/>
        </w:rPr>
        <w:t>tion faite, par l’affirmative. Cela sous réserve, néanmoins, de quelques prix de complaisance en faveur des fondations religieuses ou charit</w:t>
      </w:r>
      <w:r w:rsidRPr="000F765B">
        <w:rPr>
          <w:lang w:eastAsia="fr-FR" w:bidi="fr-FR"/>
        </w:rPr>
        <w:t>a</w:t>
      </w:r>
      <w:r w:rsidRPr="000F765B">
        <w:rPr>
          <w:lang w:eastAsia="fr-FR" w:bidi="fr-FR"/>
        </w:rPr>
        <w:t xml:space="preserve">bles. Mais en petit nombre et généralement faciles à déceler. S’il s’agissait du Moyen </w:t>
      </w:r>
      <w:r>
        <w:rPr>
          <w:lang w:eastAsia="fr-FR" w:bidi="fr-FR"/>
        </w:rPr>
        <w:t>Â</w:t>
      </w:r>
      <w:r w:rsidRPr="000F765B">
        <w:rPr>
          <w:lang w:eastAsia="fr-FR" w:bidi="fr-FR"/>
        </w:rPr>
        <w:t>ge et des ventes de terres ou droits seigne</w:t>
      </w:r>
      <w:r w:rsidRPr="000F765B">
        <w:rPr>
          <w:lang w:eastAsia="fr-FR" w:bidi="fr-FR"/>
        </w:rPr>
        <w:t>u</w:t>
      </w:r>
      <w:r w:rsidRPr="000F765B">
        <w:rPr>
          <w:lang w:eastAsia="fr-FR" w:bidi="fr-FR"/>
        </w:rPr>
        <w:t>riaux, j’inclinerais, pour ma part, à plus de prudence. Le prix véritable se composait ordinairement, en ce cas, de deux éléments joints : la somme d’argent et le bénéfice spirituel. Le second, peut-on croire, ne manquait pas d’amener assez souvent une réduction du premier.</w:t>
      </w:r>
    </w:p>
    <w:p w14:paraId="29166764" w14:textId="77777777" w:rsidR="00B9662D" w:rsidRDefault="00B9662D" w:rsidP="00B9662D">
      <w:pPr>
        <w:spacing w:before="120" w:after="120"/>
        <w:jc w:val="both"/>
      </w:pPr>
      <w:r>
        <w:t>[882]</w:t>
      </w:r>
    </w:p>
    <w:p w14:paraId="5B8929F0" w14:textId="77777777" w:rsidR="00B9662D" w:rsidRPr="000F765B" w:rsidRDefault="00B9662D" w:rsidP="00B9662D">
      <w:pPr>
        <w:spacing w:before="120" w:after="120"/>
        <w:jc w:val="both"/>
      </w:pPr>
    </w:p>
    <w:p w14:paraId="381AC862" w14:textId="77777777" w:rsidR="00B9662D" w:rsidRPr="000F765B" w:rsidRDefault="00B9662D" w:rsidP="00B9662D">
      <w:pPr>
        <w:pStyle w:val="planche"/>
      </w:pPr>
      <w:r w:rsidRPr="000F765B">
        <w:t>IV</w:t>
      </w:r>
    </w:p>
    <w:p w14:paraId="76863C87" w14:textId="77777777" w:rsidR="00B9662D" w:rsidRDefault="00B9662D" w:rsidP="00B9662D">
      <w:pPr>
        <w:spacing w:before="120" w:after="120"/>
        <w:jc w:val="both"/>
        <w:rPr>
          <w:lang w:eastAsia="fr-FR" w:bidi="fr-FR"/>
        </w:rPr>
      </w:pPr>
    </w:p>
    <w:p w14:paraId="16CCFA96" w14:textId="77777777" w:rsidR="00B9662D" w:rsidRPr="000F765B" w:rsidRDefault="00B9662D" w:rsidP="00B9662D">
      <w:pPr>
        <w:spacing w:before="120" w:after="120"/>
        <w:jc w:val="both"/>
      </w:pPr>
      <w:r w:rsidRPr="000F765B">
        <w:rPr>
          <w:lang w:eastAsia="fr-FR" w:bidi="fr-FR"/>
        </w:rPr>
        <w:t>Beaucoup plus délicats sont les problèmes que soulèvent les év</w:t>
      </w:r>
      <w:r w:rsidRPr="000F765B">
        <w:rPr>
          <w:lang w:eastAsia="fr-FR" w:bidi="fr-FR"/>
        </w:rPr>
        <w:t>a</w:t>
      </w:r>
      <w:r w:rsidRPr="000F765B">
        <w:rPr>
          <w:lang w:eastAsia="fr-FR" w:bidi="fr-FR"/>
        </w:rPr>
        <w:t>luations officielles. Ici une nouvelle distinction s’impose, qui ne se</w:t>
      </w:r>
      <w:r w:rsidRPr="000F765B">
        <w:rPr>
          <w:lang w:eastAsia="fr-FR" w:bidi="fr-FR"/>
        </w:rPr>
        <w:t>m</w:t>
      </w:r>
      <w:r w:rsidRPr="000F765B">
        <w:rPr>
          <w:lang w:eastAsia="fr-FR" w:bidi="fr-FR"/>
        </w:rPr>
        <w:t>ble pas avoir été toujours bien clairement perçue. Il convient, en effet, de mettre résolument à part un genre de documents auquel les collab</w:t>
      </w:r>
      <w:r w:rsidRPr="000F765B">
        <w:rPr>
          <w:lang w:eastAsia="fr-FR" w:bidi="fr-FR"/>
        </w:rPr>
        <w:t>o</w:t>
      </w:r>
      <w:r w:rsidRPr="000F765B">
        <w:rPr>
          <w:lang w:eastAsia="fr-FR" w:bidi="fr-FR"/>
        </w:rPr>
        <w:t>rateurs de M. Hauser n’ont pas craint d’avoir eu, plusieurs fois, r</w:t>
      </w:r>
      <w:r w:rsidRPr="000F765B">
        <w:rPr>
          <w:lang w:eastAsia="fr-FR" w:bidi="fr-FR"/>
        </w:rPr>
        <w:t>e</w:t>
      </w:r>
      <w:r w:rsidRPr="000F765B">
        <w:rPr>
          <w:lang w:eastAsia="fr-FR" w:bidi="fr-FR"/>
        </w:rPr>
        <w:t>cours et qu’il sera commode de désigner, d’ensemble, par le nom, plus spécia</w:t>
      </w:r>
      <w:r>
        <w:rPr>
          <w:lang w:eastAsia="fr-FR" w:bidi="fr-FR"/>
        </w:rPr>
        <w:t>lement normand, semble-t-il, d’</w:t>
      </w:r>
      <w:r w:rsidRPr="000F765B">
        <w:rPr>
          <w:lang w:eastAsia="fr-FR" w:bidi="fr-FR"/>
        </w:rPr>
        <w:t>« apprécies ». C’étaient des b</w:t>
      </w:r>
      <w:r w:rsidRPr="000F765B">
        <w:rPr>
          <w:lang w:eastAsia="fr-FR" w:bidi="fr-FR"/>
        </w:rPr>
        <w:t>a</w:t>
      </w:r>
      <w:r w:rsidRPr="000F765B">
        <w:rPr>
          <w:lang w:eastAsia="fr-FR" w:bidi="fr-FR"/>
        </w:rPr>
        <w:t>rèmes qui, établis, ordinairement, d’année en année, par diverses aut</w:t>
      </w:r>
      <w:r w:rsidRPr="000F765B">
        <w:rPr>
          <w:lang w:eastAsia="fr-FR" w:bidi="fr-FR"/>
        </w:rPr>
        <w:t>o</w:t>
      </w:r>
      <w:r w:rsidRPr="000F765B">
        <w:rPr>
          <w:lang w:eastAsia="fr-FR" w:bidi="fr-FR"/>
        </w:rPr>
        <w:t>rités, servaient à fixer le taux de conversion des rentes en nature, lor</w:t>
      </w:r>
      <w:r w:rsidRPr="000F765B">
        <w:rPr>
          <w:lang w:eastAsia="fr-FR" w:bidi="fr-FR"/>
        </w:rPr>
        <w:t>s</w:t>
      </w:r>
      <w:r w:rsidRPr="000F765B">
        <w:rPr>
          <w:lang w:eastAsia="fr-FR" w:bidi="fr-FR"/>
        </w:rPr>
        <w:t>que le règlement, pour des raisons dont le détail n’importe pas ici, d</w:t>
      </w:r>
      <w:r w:rsidRPr="000F765B">
        <w:rPr>
          <w:lang w:eastAsia="fr-FR" w:bidi="fr-FR"/>
        </w:rPr>
        <w:t>e</w:t>
      </w:r>
      <w:r w:rsidRPr="000F765B">
        <w:rPr>
          <w:lang w:eastAsia="fr-FR" w:bidi="fr-FR"/>
        </w:rPr>
        <w:t>vait ou pouvait s’opérer moyennant le versement d’une somme en numéraire, d’une valeur théoriquement égale à celle des denrées pr</w:t>
      </w:r>
      <w:r w:rsidRPr="000F765B">
        <w:rPr>
          <w:lang w:eastAsia="fr-FR" w:bidi="fr-FR"/>
        </w:rPr>
        <w:t>é</w:t>
      </w:r>
      <w:r w:rsidRPr="000F765B">
        <w:rPr>
          <w:lang w:eastAsia="fr-FR" w:bidi="fr-FR"/>
        </w:rPr>
        <w:t xml:space="preserve">vues dans l’acte constitutif. On se guidait, en principe, sur les cours du </w:t>
      </w:r>
      <w:r w:rsidRPr="000F765B">
        <w:rPr>
          <w:lang w:eastAsia="fr-FR" w:bidi="fr-FR"/>
        </w:rPr>
        <w:lastRenderedPageBreak/>
        <w:t>commerce. Toute la question est de savoir dans quelle mesure les i</w:t>
      </w:r>
      <w:r w:rsidRPr="000F765B">
        <w:rPr>
          <w:lang w:eastAsia="fr-FR" w:bidi="fr-FR"/>
        </w:rPr>
        <w:t>n</w:t>
      </w:r>
      <w:r w:rsidRPr="000F765B">
        <w:rPr>
          <w:lang w:eastAsia="fr-FR" w:bidi="fr-FR"/>
        </w:rPr>
        <w:t>dications en étaient exactement suivies. Il est bien regrettable que, r</w:t>
      </w:r>
      <w:r w:rsidRPr="000F765B">
        <w:rPr>
          <w:lang w:eastAsia="fr-FR" w:bidi="fr-FR"/>
        </w:rPr>
        <w:t>é</w:t>
      </w:r>
      <w:r w:rsidRPr="000F765B">
        <w:rPr>
          <w:lang w:eastAsia="fr-FR" w:bidi="fr-FR"/>
        </w:rPr>
        <w:t>serve faite de quelques notations trop rares et trop courtes, aucune comparaison systématique n’ait été tentée dans le volume, là où la chose était possible, entre la courbe des prix obtenus à l’aide des « apprécies » et celle que les autres témoignages permettent de con</w:t>
      </w:r>
      <w:r w:rsidRPr="000F765B">
        <w:rPr>
          <w:lang w:eastAsia="fr-FR" w:bidi="fr-FR"/>
        </w:rPr>
        <w:t>s</w:t>
      </w:r>
      <w:r w:rsidRPr="000F765B">
        <w:rPr>
          <w:lang w:eastAsia="fr-FR" w:bidi="fr-FR"/>
        </w:rPr>
        <w:t>truire. Car rien n’eût importé davantage que de déterminer, non se</w:t>
      </w:r>
      <w:r w:rsidRPr="000F765B">
        <w:rPr>
          <w:lang w:eastAsia="fr-FR" w:bidi="fr-FR"/>
        </w:rPr>
        <w:t>u</w:t>
      </w:r>
      <w:r w:rsidRPr="000F765B">
        <w:rPr>
          <w:lang w:eastAsia="fr-FR" w:bidi="fr-FR"/>
        </w:rPr>
        <w:t>lement s’il y a coïncidence, mais même, au cas où celle-ci manquerait à se manifester, quelle est l’allure de la divergence. Par rapport aux autres tracés, celui des « apprécies » apparaît-il simplement comme décalé ? Il fournira, du moins, une image correcte du mouvement en lui-même. Les coupe-t-il, au contraire, et recoupe-t-il à plusieurs r</w:t>
      </w:r>
      <w:r w:rsidRPr="000F765B">
        <w:rPr>
          <w:lang w:eastAsia="fr-FR" w:bidi="fr-FR"/>
        </w:rPr>
        <w:t>e</w:t>
      </w:r>
      <w:r w:rsidRPr="000F765B">
        <w:rPr>
          <w:lang w:eastAsia="fr-FR" w:bidi="fr-FR"/>
        </w:rPr>
        <w:t>prises ? C’est</w:t>
      </w:r>
      <w:r>
        <w:rPr>
          <w:lang w:eastAsia="fr-FR" w:bidi="fr-FR"/>
        </w:rPr>
        <w:t> — </w:t>
      </w:r>
      <w:r w:rsidRPr="000F765B">
        <w:rPr>
          <w:lang w:eastAsia="fr-FR" w:bidi="fr-FR"/>
        </w:rPr>
        <w:t>vice beaucoup plus grave</w:t>
      </w:r>
      <w:r>
        <w:rPr>
          <w:lang w:eastAsia="fr-FR" w:bidi="fr-FR"/>
        </w:rPr>
        <w:t> — </w:t>
      </w:r>
      <w:r w:rsidRPr="000F765B">
        <w:rPr>
          <w:lang w:eastAsia="fr-FR" w:bidi="fr-FR"/>
        </w:rPr>
        <w:t>sur l’orientation génér</w:t>
      </w:r>
      <w:r w:rsidRPr="000F765B">
        <w:rPr>
          <w:lang w:eastAsia="fr-FR" w:bidi="fr-FR"/>
        </w:rPr>
        <w:t>a</w:t>
      </w:r>
      <w:r w:rsidRPr="000F765B">
        <w:rPr>
          <w:lang w:eastAsia="fr-FR" w:bidi="fr-FR"/>
        </w:rPr>
        <w:t>le du mouvement qu’il risque de tromper. Or, l’exemple d’Angers, seule ville sur laquelle nous ayons quelques lueurs, semble bien incl</w:t>
      </w:r>
      <w:r w:rsidRPr="000F765B">
        <w:rPr>
          <w:lang w:eastAsia="fr-FR" w:bidi="fr-FR"/>
        </w:rPr>
        <w:t>i</w:t>
      </w:r>
      <w:r w:rsidRPr="000F765B">
        <w:rPr>
          <w:lang w:eastAsia="fr-FR" w:bidi="fr-FR"/>
        </w:rPr>
        <w:t>ner vers cette dernière conclusion. Comment s’en étonner ? La défo</w:t>
      </w:r>
      <w:r w:rsidRPr="000F765B">
        <w:rPr>
          <w:lang w:eastAsia="fr-FR" w:bidi="fr-FR"/>
        </w:rPr>
        <w:t>r</w:t>
      </w:r>
      <w:r w:rsidRPr="000F765B">
        <w:rPr>
          <w:lang w:eastAsia="fr-FR" w:bidi="fr-FR"/>
        </w:rPr>
        <w:t>mation n’était pas seulement, le plus souvent, volontaire ; elle obéi</w:t>
      </w:r>
      <w:r w:rsidRPr="000F765B">
        <w:rPr>
          <w:lang w:eastAsia="fr-FR" w:bidi="fr-FR"/>
        </w:rPr>
        <w:t>s</w:t>
      </w:r>
      <w:r w:rsidRPr="000F765B">
        <w:rPr>
          <w:lang w:eastAsia="fr-FR" w:bidi="fr-FR"/>
        </w:rPr>
        <w:t>sait à des partis pris variables selon les hommes ou les pressions qu’ils subissaient. Le chiffre était calculé trop haut lorsque le magistrat j</w:t>
      </w:r>
      <w:r w:rsidRPr="000F765B">
        <w:rPr>
          <w:lang w:eastAsia="fr-FR" w:bidi="fr-FR"/>
        </w:rPr>
        <w:t>u</w:t>
      </w:r>
      <w:r w:rsidRPr="000F765B">
        <w:rPr>
          <w:lang w:eastAsia="fr-FR" w:bidi="fr-FR"/>
        </w:rPr>
        <w:t>geait bon de favoriser les redevables ; trop bas s’il embrassait, au contraire, les intérêts des rentiers, qui se confondaient, pour la plupart, avec les détenteurs de droits seigneuriaux : conflit de forces sociales sur lequel M. Jouanne, à propos de la Normandie, apporte d’utiles précisions. Eût-il été sage de s’interdire absolument l’appel à des chi</w:t>
      </w:r>
      <w:r w:rsidRPr="000F765B">
        <w:rPr>
          <w:lang w:eastAsia="fr-FR" w:bidi="fr-FR"/>
        </w:rPr>
        <w:t>f</w:t>
      </w:r>
      <w:r w:rsidRPr="000F765B">
        <w:rPr>
          <w:lang w:eastAsia="fr-FR" w:bidi="fr-FR"/>
        </w:rPr>
        <w:t>fres puisés à une source aussi suspecte ? Il aurait, en tout cas, mieux valu éviter tantôt de les combiner, dans certains tableaux, avec des données d’origines plus sûres, tantôt de les y employer, à tour de rôle, avec elles, en une même suite chronologique, sans que rien n’avertisse le lecteur soit des conditions du dosage, soit du moment où a eu lieu le passage d’un groupe de renseignements à l’autre.</w:t>
      </w:r>
    </w:p>
    <w:p w14:paraId="50B6036A" w14:textId="77777777" w:rsidR="00B9662D" w:rsidRPr="000F765B" w:rsidRDefault="00B9662D" w:rsidP="00B9662D">
      <w:pPr>
        <w:spacing w:before="120" w:after="120"/>
        <w:jc w:val="both"/>
      </w:pPr>
      <w:r w:rsidRPr="000F765B">
        <w:rPr>
          <w:lang w:eastAsia="fr-FR" w:bidi="fr-FR"/>
        </w:rPr>
        <w:t>Il y aurait, par contre, beaucoup d’injustice à confondre, comme on paraît l’avoir fait quelquefois, dans la même condamnation, les év</w:t>
      </w:r>
      <w:r w:rsidRPr="000F765B">
        <w:rPr>
          <w:lang w:eastAsia="fr-FR" w:bidi="fr-FR"/>
        </w:rPr>
        <w:t>a</w:t>
      </w:r>
      <w:r w:rsidRPr="000F765B">
        <w:rPr>
          <w:lang w:eastAsia="fr-FR" w:bidi="fr-FR"/>
        </w:rPr>
        <w:t>luations, certainement beaucoup moins partiales, qui étaient destinées simplement à renseigner les gouvernants sur l’état des marchés. Ici</w:t>
      </w:r>
      <w:r>
        <w:t xml:space="preserve"> [883] </w:t>
      </w:r>
      <w:r w:rsidRPr="000F765B">
        <w:rPr>
          <w:lang w:eastAsia="fr-FR" w:bidi="fr-FR"/>
        </w:rPr>
        <w:t xml:space="preserve">encore, cependant, quelques épreuves critiques n’auraient pas été inutiles. Comment M. Elsas, qui utilise les mercuriales de Munich, n’a-t-il pas songé, lui ordinairement si prodigue de graphiques, à confronter leur courbe avec celle des comptes d’institutions ? Pour le </w:t>
      </w:r>
      <w:r w:rsidRPr="000F765B">
        <w:rPr>
          <w:lang w:eastAsia="fr-FR" w:bidi="fr-FR"/>
        </w:rPr>
        <w:lastRenderedPageBreak/>
        <w:t>Dauphiné, M. Latouche, dans deux mémoires que M. Hauser n’a pas manqué de citer, a procédé à certains rapprochements</w:t>
      </w:r>
      <w:r>
        <w:rPr>
          <w:lang w:eastAsia="fr-FR" w:bidi="fr-FR"/>
        </w:rPr>
        <w:t> </w:t>
      </w:r>
      <w:r>
        <w:rPr>
          <w:rStyle w:val="Appelnotedebasdep"/>
        </w:rPr>
        <w:footnoteReference w:id="941"/>
      </w:r>
      <w:r>
        <w:rPr>
          <w:lang w:eastAsia="fr-FR" w:bidi="fr-FR"/>
        </w:rPr>
        <w:t> — </w:t>
      </w:r>
      <w:r w:rsidRPr="000F765B">
        <w:rPr>
          <w:lang w:eastAsia="fr-FR" w:bidi="fr-FR"/>
        </w:rPr>
        <w:t>mais entre les relevés émanés de diverses autorités publiques, non entre ces t</w:t>
      </w:r>
      <w:r w:rsidRPr="000F765B">
        <w:rPr>
          <w:lang w:eastAsia="fr-FR" w:bidi="fr-FR"/>
        </w:rPr>
        <w:t>a</w:t>
      </w:r>
      <w:r w:rsidRPr="000F765B">
        <w:rPr>
          <w:lang w:eastAsia="fr-FR" w:bidi="fr-FR"/>
        </w:rPr>
        <w:t>bleaux officiels et les autres sources non officielles.</w:t>
      </w:r>
    </w:p>
    <w:p w14:paraId="71ADD8D0" w14:textId="77777777" w:rsidR="00B9662D" w:rsidRPr="000F765B" w:rsidRDefault="00B9662D" w:rsidP="00B9662D">
      <w:pPr>
        <w:spacing w:before="120" w:after="120"/>
        <w:jc w:val="both"/>
      </w:pPr>
      <w:r w:rsidRPr="000F765B">
        <w:rPr>
          <w:lang w:eastAsia="fr-FR" w:bidi="fr-FR"/>
        </w:rPr>
        <w:t>Parmi les documents qu’il a soumis à cette expérience, les séries auxquelles elle s’est montrée la moins favorable appartiennent, en r</w:t>
      </w:r>
      <w:r w:rsidRPr="000F765B">
        <w:rPr>
          <w:lang w:eastAsia="fr-FR" w:bidi="fr-FR"/>
        </w:rPr>
        <w:t>é</w:t>
      </w:r>
      <w:r w:rsidRPr="000F765B">
        <w:rPr>
          <w:lang w:eastAsia="fr-FR" w:bidi="fr-FR"/>
        </w:rPr>
        <w:t>alité, à une catégorie très voisine des « apprécies ». Je veux parler des taux d’équivalence établis, périodiquement, par la Chambre des Comptes de Grenoble pour le règlement des produits domaniaux que les châtelains et « mistraux », après les avoir perçus en nature, ve</w:t>
      </w:r>
      <w:r w:rsidRPr="000F765B">
        <w:rPr>
          <w:lang w:eastAsia="fr-FR" w:bidi="fr-FR"/>
        </w:rPr>
        <w:t>r</w:t>
      </w:r>
      <w:r w:rsidRPr="000F765B">
        <w:rPr>
          <w:lang w:eastAsia="fr-FR" w:bidi="fr-FR"/>
        </w:rPr>
        <w:t>saient au Trésor en argent. Visiblement, en s’attachant à atténuer les oscillations des cours commerciaux et, en particulier, les pointes de hausse, les gens des Comptes se proposaient d’épargner à ces officiers de trop lourdes pertes. Les autres tracés sont très correctement comp</w:t>
      </w:r>
      <w:r w:rsidRPr="000F765B">
        <w:rPr>
          <w:lang w:eastAsia="fr-FR" w:bidi="fr-FR"/>
        </w:rPr>
        <w:t>a</w:t>
      </w:r>
      <w:r w:rsidRPr="000F765B">
        <w:rPr>
          <w:lang w:eastAsia="fr-FR" w:bidi="fr-FR"/>
        </w:rPr>
        <w:t>rables et leurs écarts, lorsqu’ils en présentent, semblent de sens à peu près constant. Certes, pas plus que les statistiques actuelles et moins encore qu’elles, les statistiques anciennes ne sauraient prétendre à ce</w:t>
      </w:r>
      <w:r w:rsidRPr="000F765B">
        <w:rPr>
          <w:lang w:eastAsia="fr-FR" w:bidi="fr-FR"/>
        </w:rPr>
        <w:t>t</w:t>
      </w:r>
      <w:r w:rsidRPr="000F765B">
        <w:rPr>
          <w:lang w:eastAsia="fr-FR" w:bidi="fr-FR"/>
        </w:rPr>
        <w:t>te parfaite exactitude à laquelle les historiens, enclins envers le no</w:t>
      </w:r>
      <w:r w:rsidRPr="000F765B">
        <w:rPr>
          <w:lang w:eastAsia="fr-FR" w:bidi="fr-FR"/>
        </w:rPr>
        <w:t>m</w:t>
      </w:r>
      <w:r w:rsidRPr="000F765B">
        <w:rPr>
          <w:lang w:eastAsia="fr-FR" w:bidi="fr-FR"/>
        </w:rPr>
        <w:t>bre à un respect d’autant plus vif qu’ils en ont moins la familiarité, renoncent peut-être plus malaisément que leurs confrères du laborato</w:t>
      </w:r>
      <w:r w:rsidRPr="000F765B">
        <w:rPr>
          <w:lang w:eastAsia="fr-FR" w:bidi="fr-FR"/>
        </w:rPr>
        <w:t>i</w:t>
      </w:r>
      <w:r w:rsidRPr="000F765B">
        <w:rPr>
          <w:lang w:eastAsia="fr-FR" w:bidi="fr-FR"/>
        </w:rPr>
        <w:t>re. L’essentiel est que, pour la plupart et sous réserve, chaque fois, d’une expérimentation particulière, elles paraissent bien nous perme</w:t>
      </w:r>
      <w:r w:rsidRPr="000F765B">
        <w:rPr>
          <w:lang w:eastAsia="fr-FR" w:bidi="fr-FR"/>
        </w:rPr>
        <w:t>t</w:t>
      </w:r>
      <w:r w:rsidRPr="000F765B">
        <w:rPr>
          <w:lang w:eastAsia="fr-FR" w:bidi="fr-FR"/>
        </w:rPr>
        <w:t>tre d’atteindre les seules réalités qui vraiment importent : ordres de grandeur et direction des mouvements.</w:t>
      </w:r>
    </w:p>
    <w:p w14:paraId="3563A590" w14:textId="77777777" w:rsidR="00B9662D" w:rsidRDefault="00B9662D" w:rsidP="00B9662D">
      <w:pPr>
        <w:spacing w:before="120" w:after="120"/>
        <w:jc w:val="both"/>
        <w:rPr>
          <w:lang w:eastAsia="fr-FR" w:bidi="fr-FR"/>
        </w:rPr>
      </w:pPr>
    </w:p>
    <w:p w14:paraId="4AD364D9" w14:textId="77777777" w:rsidR="00B9662D" w:rsidRPr="000F765B" w:rsidRDefault="00B9662D" w:rsidP="00B9662D">
      <w:pPr>
        <w:pStyle w:val="planche"/>
      </w:pPr>
      <w:r w:rsidRPr="000F765B">
        <w:t>V</w:t>
      </w:r>
    </w:p>
    <w:p w14:paraId="2AD0A303" w14:textId="77777777" w:rsidR="00B9662D" w:rsidRDefault="00B9662D" w:rsidP="00B9662D">
      <w:pPr>
        <w:spacing w:before="120" w:after="120"/>
        <w:jc w:val="both"/>
        <w:rPr>
          <w:lang w:eastAsia="fr-FR" w:bidi="fr-FR"/>
        </w:rPr>
      </w:pPr>
    </w:p>
    <w:p w14:paraId="210A7D30" w14:textId="77777777" w:rsidR="00B9662D" w:rsidRPr="000F765B" w:rsidRDefault="00B9662D" w:rsidP="00B9662D">
      <w:pPr>
        <w:spacing w:before="120" w:after="120"/>
        <w:jc w:val="both"/>
      </w:pPr>
      <w:r w:rsidRPr="000F765B">
        <w:rPr>
          <w:lang w:eastAsia="fr-FR" w:bidi="fr-FR"/>
        </w:rPr>
        <w:t>Je passe sur beaucoup de difficultés annexes. En particulier sur la grave question des mesures, que M. Hauser a exposée avec une adm</w:t>
      </w:r>
      <w:r w:rsidRPr="000F765B">
        <w:rPr>
          <w:lang w:eastAsia="fr-FR" w:bidi="fr-FR"/>
        </w:rPr>
        <w:t>i</w:t>
      </w:r>
      <w:r w:rsidRPr="000F765B">
        <w:rPr>
          <w:lang w:eastAsia="fr-FR" w:bidi="fr-FR"/>
        </w:rPr>
        <w:t>rable clarté. Il est temps d’en arriver aux problèmes de l’élaboration.</w:t>
      </w:r>
    </w:p>
    <w:p w14:paraId="2A715EC6" w14:textId="77777777" w:rsidR="00B9662D" w:rsidRPr="000F765B" w:rsidRDefault="00B9662D" w:rsidP="00B9662D">
      <w:pPr>
        <w:spacing w:before="120" w:after="120"/>
        <w:jc w:val="both"/>
      </w:pPr>
      <w:r w:rsidRPr="000F765B">
        <w:rPr>
          <w:lang w:eastAsia="fr-FR" w:bidi="fr-FR"/>
        </w:rPr>
        <w:t xml:space="preserve">Les prix ne sont évidemment utilisables qu’à l’état de moyennes. Du moins réserve faite de l’étude des écarts, sur laquelle nous aurons </w:t>
      </w:r>
      <w:r w:rsidRPr="000F765B">
        <w:rPr>
          <w:lang w:eastAsia="fr-FR" w:bidi="fr-FR"/>
        </w:rPr>
        <w:lastRenderedPageBreak/>
        <w:t>à revenir. Or, une moyenne n’a de sens que si elle se fonde sur une quantité suffisante de données particulières. D’où la règle, infiniment sage, que se sont fixée tous les enquêteurs : indiquer chaque fois, comme une sorte de coefficient de confiance, le nombre des mentions qui ont servi de base au calcul. Mais il y a mention et mention et dans le volume français, qui ne sépare pas, comme le fait M. Elsas, les mercuriales des autres sources, je demande s’il était bien légitime de compter indifféremment pour une unité chaque renseignement, qu’il soit pris à un paiement isolé ou à une</w:t>
      </w:r>
      <w:r>
        <w:t xml:space="preserve"> [884] </w:t>
      </w:r>
      <w:r w:rsidRPr="000F765B">
        <w:rPr>
          <w:lang w:eastAsia="fr-FR" w:bidi="fr-FR"/>
        </w:rPr>
        <w:t>évaluation officielle, fruit elle-même d’un travail d’élaboration d</w:t>
      </w:r>
      <w:r w:rsidRPr="000F765B">
        <w:rPr>
          <w:lang w:eastAsia="fr-FR" w:bidi="fr-FR"/>
        </w:rPr>
        <w:t>é</w:t>
      </w:r>
      <w:r w:rsidRPr="000F765B">
        <w:rPr>
          <w:lang w:eastAsia="fr-FR" w:bidi="fr-FR"/>
        </w:rPr>
        <w:t>jà assez poussé. Car les deux cas ne sont nullement comparables. Une moyenne établie, par exe</w:t>
      </w:r>
      <w:r w:rsidRPr="000F765B">
        <w:rPr>
          <w:lang w:eastAsia="fr-FR" w:bidi="fr-FR"/>
        </w:rPr>
        <w:t>m</w:t>
      </w:r>
      <w:r w:rsidRPr="000F765B">
        <w:rPr>
          <w:lang w:eastAsia="fr-FR" w:bidi="fr-FR"/>
        </w:rPr>
        <w:t>ple, à l’aide de deux achats risquera to</w:t>
      </w:r>
      <w:r w:rsidRPr="000F765B">
        <w:rPr>
          <w:lang w:eastAsia="fr-FR" w:bidi="fr-FR"/>
        </w:rPr>
        <w:t>u</w:t>
      </w:r>
      <w:r w:rsidRPr="000F765B">
        <w:rPr>
          <w:lang w:eastAsia="fr-FR" w:bidi="fr-FR"/>
        </w:rPr>
        <w:t>jours de n’atteindre que des exceptions. Combien, par contre, ne sera-t-elle pas plus rassurante si elle résulte de la confrontation de deux cours de marché dont chacun s’appuyait sur l’observation de multiples transactions ?</w:t>
      </w:r>
    </w:p>
    <w:p w14:paraId="5A4D9E94" w14:textId="77777777" w:rsidR="00B9662D" w:rsidRPr="000F765B" w:rsidRDefault="00B9662D" w:rsidP="00B9662D">
      <w:pPr>
        <w:spacing w:before="120" w:after="120"/>
        <w:jc w:val="both"/>
      </w:pPr>
      <w:r w:rsidRPr="000F765B">
        <w:rPr>
          <w:lang w:eastAsia="fr-FR" w:bidi="fr-FR"/>
        </w:rPr>
        <w:t>La plupart des moyennes ont été établies année par année. Mais la délimitation de la période ainsi qualifiée a soulevé des difficultés, au premier abord inattendues. Alors que M. Hauser, avec M. Hamilton, s’en tient à l’année civile ordinaire, M. Elsas, considérant la moisson comme l’événement déterminant du cycle économique, a adopté « l’année de récolte » : du 1</w:t>
      </w:r>
      <w:r w:rsidRPr="000F765B">
        <w:rPr>
          <w:vertAlign w:val="superscript"/>
          <w:lang w:eastAsia="fr-FR" w:bidi="fr-FR"/>
        </w:rPr>
        <w:t>er</w:t>
      </w:r>
      <w:r w:rsidRPr="000F765B">
        <w:rPr>
          <w:lang w:eastAsia="fr-FR" w:bidi="fr-FR"/>
        </w:rPr>
        <w:t xml:space="preserve"> août au 31 juillet. Théoriquement, le problème est sujet à controverse. Pratiquement, on déplorera que l’unanimité n’ait pu se faire, là-dessus, au sein du Comité internati</w:t>
      </w:r>
      <w:r w:rsidRPr="000F765B">
        <w:rPr>
          <w:lang w:eastAsia="fr-FR" w:bidi="fr-FR"/>
        </w:rPr>
        <w:t>o</w:t>
      </w:r>
      <w:r w:rsidRPr="000F765B">
        <w:rPr>
          <w:lang w:eastAsia="fr-FR" w:bidi="fr-FR"/>
        </w:rPr>
        <w:t>nal. Ces divergences rendront difficiles les comparaisons de pays à pays et, comme l’année des statistiques contemporaines est général</w:t>
      </w:r>
      <w:r w:rsidRPr="000F765B">
        <w:rPr>
          <w:lang w:eastAsia="fr-FR" w:bidi="fr-FR"/>
        </w:rPr>
        <w:t>e</w:t>
      </w:r>
      <w:r w:rsidRPr="000F765B">
        <w:rPr>
          <w:lang w:eastAsia="fr-FR" w:bidi="fr-FR"/>
        </w:rPr>
        <w:t>ment celle du calendrier, la jonction avec le présent ou le proche pa</w:t>
      </w:r>
      <w:r w:rsidRPr="000F765B">
        <w:rPr>
          <w:lang w:eastAsia="fr-FR" w:bidi="fr-FR"/>
        </w:rPr>
        <w:t>s</w:t>
      </w:r>
      <w:r w:rsidRPr="000F765B">
        <w:rPr>
          <w:lang w:eastAsia="fr-FR" w:bidi="fr-FR"/>
        </w:rPr>
        <w:t>se, aisée pour le recueil français, s’opérera pour le volume allemand et ceux qui suivront son exemple, seulement au prix d’un assez gênant décalage : argument de plus à ajouter à ceux qu’en faveur de sa fidél</w:t>
      </w:r>
      <w:r w:rsidRPr="000F765B">
        <w:rPr>
          <w:lang w:eastAsia="fr-FR" w:bidi="fr-FR"/>
        </w:rPr>
        <w:t>i</w:t>
      </w:r>
      <w:r w:rsidRPr="000F765B">
        <w:rPr>
          <w:lang w:eastAsia="fr-FR" w:bidi="fr-FR"/>
        </w:rPr>
        <w:t>té au découpage traditionnel M. Hauser a développés déjà avec bea</w:t>
      </w:r>
      <w:r w:rsidRPr="000F765B">
        <w:rPr>
          <w:lang w:eastAsia="fr-FR" w:bidi="fr-FR"/>
        </w:rPr>
        <w:t>u</w:t>
      </w:r>
      <w:r w:rsidRPr="000F765B">
        <w:rPr>
          <w:lang w:eastAsia="fr-FR" w:bidi="fr-FR"/>
        </w:rPr>
        <w:t>coup de netteté et de force.</w:t>
      </w:r>
    </w:p>
    <w:p w14:paraId="6EC98CFF" w14:textId="77777777" w:rsidR="00B9662D" w:rsidRPr="000F765B" w:rsidRDefault="00B9662D" w:rsidP="00B9662D">
      <w:pPr>
        <w:spacing w:before="120" w:after="120"/>
        <w:jc w:val="both"/>
      </w:pPr>
      <w:r w:rsidRPr="000F765B">
        <w:rPr>
          <w:lang w:eastAsia="fr-FR" w:bidi="fr-FR"/>
        </w:rPr>
        <w:t>Les prix anciens étaient, on le sait, généralement stipulés en livres, sous et deniers ; payés, d’autre part, en pièces métalliques dont chac</w:t>
      </w:r>
      <w:r w:rsidRPr="000F765B">
        <w:rPr>
          <w:lang w:eastAsia="fr-FR" w:bidi="fr-FR"/>
        </w:rPr>
        <w:t>u</w:t>
      </w:r>
      <w:r w:rsidRPr="000F765B">
        <w:rPr>
          <w:lang w:eastAsia="fr-FR" w:bidi="fr-FR"/>
        </w:rPr>
        <w:t>ne était affectée d’une valeur d’échanges propre, calculée par référe</w:t>
      </w:r>
      <w:r w:rsidRPr="000F765B">
        <w:rPr>
          <w:lang w:eastAsia="fr-FR" w:bidi="fr-FR"/>
        </w:rPr>
        <w:t>n</w:t>
      </w:r>
      <w:r w:rsidRPr="000F765B">
        <w:rPr>
          <w:lang w:eastAsia="fr-FR" w:bidi="fr-FR"/>
        </w:rPr>
        <w:t>ce à cette échelle monétaire traditionnelle. Fixé, en principe, par l’autorité publique, modifié parfois assez sensiblement par la pratique du commerce, le rapport entre le poids du métal contenu dans les d</w:t>
      </w:r>
      <w:r w:rsidRPr="000F765B">
        <w:rPr>
          <w:lang w:eastAsia="fr-FR" w:bidi="fr-FR"/>
        </w:rPr>
        <w:t>i</w:t>
      </w:r>
      <w:r w:rsidRPr="000F765B">
        <w:rPr>
          <w:lang w:eastAsia="fr-FR" w:bidi="fr-FR"/>
        </w:rPr>
        <w:t xml:space="preserve">verses espèces et leur cours en unités de compte, autrement dit en </w:t>
      </w:r>
      <w:r w:rsidRPr="000F765B">
        <w:rPr>
          <w:lang w:eastAsia="fr-FR" w:bidi="fr-FR"/>
        </w:rPr>
        <w:lastRenderedPageBreak/>
        <w:t>l</w:t>
      </w:r>
      <w:r w:rsidRPr="000F765B">
        <w:rPr>
          <w:lang w:eastAsia="fr-FR" w:bidi="fr-FR"/>
        </w:rPr>
        <w:t>i</w:t>
      </w:r>
      <w:r w:rsidRPr="000F765B">
        <w:rPr>
          <w:lang w:eastAsia="fr-FR" w:bidi="fr-FR"/>
        </w:rPr>
        <w:t xml:space="preserve">vres, sous et deniers, fut, jusqu’aux stabilisations française et anglaise du début du </w:t>
      </w:r>
      <w:r>
        <w:rPr>
          <w:lang w:eastAsia="fr-FR" w:bidi="fr-FR"/>
        </w:rPr>
        <w:t>XVIII</w:t>
      </w:r>
      <w:r w:rsidRPr="000F765B">
        <w:rPr>
          <w:vertAlign w:val="superscript"/>
          <w:lang w:eastAsia="fr-FR" w:bidi="fr-FR"/>
        </w:rPr>
        <w:t>e</w:t>
      </w:r>
      <w:r w:rsidRPr="000F765B">
        <w:rPr>
          <w:lang w:eastAsia="fr-FR" w:bidi="fr-FR"/>
        </w:rPr>
        <w:t xml:space="preserve"> siècle, perpétuellement changeant</w:t>
      </w:r>
      <w:r>
        <w:rPr>
          <w:lang w:eastAsia="fr-FR" w:bidi="fr-FR"/>
        </w:rPr>
        <w:t> </w:t>
      </w:r>
      <w:r>
        <w:rPr>
          <w:rStyle w:val="Appelnotedebasdep"/>
        </w:rPr>
        <w:footnoteReference w:id="942"/>
      </w:r>
      <w:r w:rsidRPr="000F765B">
        <w:rPr>
          <w:lang w:eastAsia="fr-FR" w:bidi="fr-FR"/>
        </w:rPr>
        <w:t>. En sorte que, pour la période antérieure à ces stabilisations, le mouvement des prix, tel que nos sources l’enregistrent, ne nous permet point d’atteindre directement les variations de l’équation d’échange entre les marcha</w:t>
      </w:r>
      <w:r w:rsidRPr="000F765B">
        <w:rPr>
          <w:lang w:eastAsia="fr-FR" w:bidi="fr-FR"/>
        </w:rPr>
        <w:t>n</w:t>
      </w:r>
      <w:r w:rsidRPr="000F765B">
        <w:rPr>
          <w:lang w:eastAsia="fr-FR" w:bidi="fr-FR"/>
        </w:rPr>
        <w:t>dises d’un côté, les métaux monnayés de l’autre. Nos prises immédi</w:t>
      </w:r>
      <w:r w:rsidRPr="000F765B">
        <w:rPr>
          <w:lang w:eastAsia="fr-FR" w:bidi="fr-FR"/>
        </w:rPr>
        <w:t>a</w:t>
      </w:r>
      <w:r w:rsidRPr="000F765B">
        <w:rPr>
          <w:lang w:eastAsia="fr-FR" w:bidi="fr-FR"/>
        </w:rPr>
        <w:t>tes se bornent aux vicissitudes d’une expression conventionnelle, liée aux matérialités du paiement par une deuxième équivalence, elle-même variable et dont les oscillations doivent être reconstituées à l’aide d’autres sources. Une mercuriale nous apprend-elle que le setier de froment s’est vendu, telle année, 1 livre et</w:t>
      </w:r>
      <w:r>
        <w:t xml:space="preserve"> [885] </w:t>
      </w:r>
      <w:r w:rsidRPr="000F765B">
        <w:rPr>
          <w:lang w:eastAsia="fr-FR" w:bidi="fr-FR"/>
        </w:rPr>
        <w:t xml:space="preserve">l’année suivante 2 ? Il n’est nullement certain, </w:t>
      </w:r>
      <w:r w:rsidRPr="00844EB0">
        <w:rPr>
          <w:i/>
        </w:rPr>
        <w:t>a priori</w:t>
      </w:r>
      <w:r w:rsidRPr="000F765B">
        <w:t>,</w:t>
      </w:r>
      <w:r w:rsidRPr="000F765B">
        <w:rPr>
          <w:lang w:eastAsia="fr-FR" w:bidi="fr-FR"/>
        </w:rPr>
        <w:t xml:space="preserve"> que, traduit ensuite en or ou argent, le second prix doive demeurer double du pr</w:t>
      </w:r>
      <w:r w:rsidRPr="000F765B">
        <w:rPr>
          <w:lang w:eastAsia="fr-FR" w:bidi="fr-FR"/>
        </w:rPr>
        <w:t>e</w:t>
      </w:r>
      <w:r w:rsidRPr="000F765B">
        <w:rPr>
          <w:lang w:eastAsia="fr-FR" w:bidi="fr-FR"/>
        </w:rPr>
        <w:t>mier.</w:t>
      </w:r>
    </w:p>
    <w:p w14:paraId="45330ECB" w14:textId="77777777" w:rsidR="00B9662D" w:rsidRPr="000F765B" w:rsidRDefault="00B9662D" w:rsidP="00B9662D">
      <w:pPr>
        <w:spacing w:before="120" w:after="120"/>
        <w:jc w:val="both"/>
      </w:pPr>
      <w:r w:rsidRPr="000F765B">
        <w:rPr>
          <w:lang w:eastAsia="fr-FR" w:bidi="fr-FR"/>
        </w:rPr>
        <w:t>Cela étant, l’erreur de beaucoup d’historiens fut longtemps d’aller tout droit à la transposition en métal précieux. Considérant la monnaie de compte comme un simple écran, derrière lequel se dissimulait la réalité économique véritable, à savoir le poids d’or ou d’argent, ils ne voulaient voir dans l’expression en livres, sous ou deniers qu’une so</w:t>
      </w:r>
      <w:r w:rsidRPr="000F765B">
        <w:rPr>
          <w:lang w:eastAsia="fr-FR" w:bidi="fr-FR"/>
        </w:rPr>
        <w:t>r</w:t>
      </w:r>
      <w:r w:rsidRPr="000F765B">
        <w:rPr>
          <w:lang w:eastAsia="fr-FR" w:bidi="fr-FR"/>
        </w:rPr>
        <w:t xml:space="preserve">te de sigle, que leur devoir était de traduire, sur-le-champ, </w:t>
      </w:r>
      <w:r>
        <w:rPr>
          <w:lang w:eastAsia="fr-FR" w:bidi="fr-FR"/>
        </w:rPr>
        <w:t>au</w:t>
      </w:r>
      <w:r w:rsidRPr="000F765B">
        <w:rPr>
          <w:lang w:eastAsia="fr-FR" w:bidi="fr-FR"/>
        </w:rPr>
        <w:t xml:space="preserve"> bénéfice du lecteur. C’était postuler que la seule valeur à laquelle les conte</w:t>
      </w:r>
      <w:r w:rsidRPr="000F765B">
        <w:rPr>
          <w:lang w:eastAsia="fr-FR" w:bidi="fr-FR"/>
        </w:rPr>
        <w:t>m</w:t>
      </w:r>
      <w:r w:rsidRPr="000F765B">
        <w:rPr>
          <w:lang w:eastAsia="fr-FR" w:bidi="fr-FR"/>
        </w:rPr>
        <w:t>porains fissent attention était la teneur métallique ; que l’opinion pe</w:t>
      </w:r>
      <w:r w:rsidRPr="000F765B">
        <w:rPr>
          <w:lang w:eastAsia="fr-FR" w:bidi="fr-FR"/>
        </w:rPr>
        <w:t>r</w:t>
      </w:r>
      <w:r w:rsidRPr="000F765B">
        <w:rPr>
          <w:lang w:eastAsia="fr-FR" w:bidi="fr-FR"/>
        </w:rPr>
        <w:t xml:space="preserve">cevait immédiatement les variations du rapport entre cette valeur et l’unité de compte et, sans le moindre retard, agissait en conséquence ; </w:t>
      </w:r>
      <w:r w:rsidRPr="000F765B">
        <w:rPr>
          <w:lang w:eastAsia="fr-FR" w:bidi="fr-FR"/>
        </w:rPr>
        <w:lastRenderedPageBreak/>
        <w:t>qu’en d’autres termes, chaque modification dans la représentation m</w:t>
      </w:r>
      <w:r w:rsidRPr="000F765B">
        <w:rPr>
          <w:lang w:eastAsia="fr-FR" w:bidi="fr-FR"/>
        </w:rPr>
        <w:t>a</w:t>
      </w:r>
      <w:r w:rsidRPr="000F765B">
        <w:rPr>
          <w:lang w:eastAsia="fr-FR" w:bidi="fr-FR"/>
        </w:rPr>
        <w:t>térielle de la livre et de ses sous-multiples ne manquait pas de se m</w:t>
      </w:r>
      <w:r w:rsidRPr="000F765B">
        <w:rPr>
          <w:lang w:eastAsia="fr-FR" w:bidi="fr-FR"/>
        </w:rPr>
        <w:t>a</w:t>
      </w:r>
      <w:r w:rsidRPr="000F765B">
        <w:rPr>
          <w:lang w:eastAsia="fr-FR" w:bidi="fr-FR"/>
        </w:rPr>
        <w:t>nifester aussitôt par une oscillation de même sens et d’amplitude pr</w:t>
      </w:r>
      <w:r w:rsidRPr="000F765B">
        <w:rPr>
          <w:lang w:eastAsia="fr-FR" w:bidi="fr-FR"/>
        </w:rPr>
        <w:t>o</w:t>
      </w:r>
      <w:r w:rsidRPr="000F765B">
        <w:rPr>
          <w:lang w:eastAsia="fr-FR" w:bidi="fr-FR"/>
        </w:rPr>
        <w:t>portionnelle dans le mouvement des prix, stipulés dans le langage h</w:t>
      </w:r>
      <w:r w:rsidRPr="000F765B">
        <w:rPr>
          <w:lang w:eastAsia="fr-FR" w:bidi="fr-FR"/>
        </w:rPr>
        <w:t>a</w:t>
      </w:r>
      <w:r w:rsidRPr="000F765B">
        <w:rPr>
          <w:lang w:eastAsia="fr-FR" w:bidi="fr-FR"/>
        </w:rPr>
        <w:t>bituel. Un problème, dont les dévaluation</w:t>
      </w:r>
      <w:r>
        <w:rPr>
          <w:lang w:eastAsia="fr-FR" w:bidi="fr-FR"/>
        </w:rPr>
        <w:t>s</w:t>
      </w:r>
      <w:r w:rsidRPr="000F765B">
        <w:rPr>
          <w:lang w:eastAsia="fr-FR" w:bidi="fr-FR"/>
        </w:rPr>
        <w:t xml:space="preserve"> récentes nous ont appris combien il est délicat, se trouvait ainsi résolu avant d’être posé. Il est presque superflu de dire qu’aucun des enquêteurs qui ont travaillé en liaison avec le Comité international n’est tombé dans cette faute. Sans préjudice de diverses indications complémentaires, ce qu’ils mettent sous nos yeux est fondamentalement la courbe des prix, tels qu’ils étaient exprimés au moment même : soit en unités de compte.</w:t>
      </w:r>
    </w:p>
    <w:p w14:paraId="52CB5AD6" w14:textId="77777777" w:rsidR="00B9662D" w:rsidRPr="000F765B" w:rsidRDefault="00B9662D" w:rsidP="00B9662D">
      <w:pPr>
        <w:spacing w:before="120" w:after="120"/>
        <w:jc w:val="both"/>
      </w:pPr>
      <w:r w:rsidRPr="000F765B">
        <w:rPr>
          <w:lang w:eastAsia="fr-FR" w:bidi="fr-FR"/>
        </w:rPr>
        <w:t>Ou, du moins, tels qu’ils étaient exprimés le plus souvent. Car les habitudes de l’ancienne économie n’avaient rien d’uniforme et</w:t>
      </w:r>
      <w:r>
        <w:rPr>
          <w:lang w:eastAsia="fr-FR" w:bidi="fr-FR"/>
        </w:rPr>
        <w:t> — </w:t>
      </w:r>
      <w:r w:rsidRPr="000F765B">
        <w:rPr>
          <w:lang w:eastAsia="fr-FR" w:bidi="fr-FR"/>
        </w:rPr>
        <w:t>même abstraction faite, pour la France, de la période qui, de 1577 à 1602, fut marquée par l’introduction, tentée, sinon réalisée, du compte en écus</w:t>
      </w:r>
      <w:r>
        <w:rPr>
          <w:lang w:eastAsia="fr-FR" w:bidi="fr-FR"/>
        </w:rPr>
        <w:t> — </w:t>
      </w:r>
      <w:r w:rsidRPr="000F765B">
        <w:rPr>
          <w:lang w:eastAsia="fr-FR" w:bidi="fr-FR"/>
        </w:rPr>
        <w:t>on ne saurait douter qu’en pratique une partie des prix r</w:t>
      </w:r>
      <w:r w:rsidRPr="000F765B">
        <w:rPr>
          <w:lang w:eastAsia="fr-FR" w:bidi="fr-FR"/>
        </w:rPr>
        <w:t>e</w:t>
      </w:r>
      <w:r w:rsidRPr="000F765B">
        <w:rPr>
          <w:lang w:eastAsia="fr-FR" w:bidi="fr-FR"/>
        </w:rPr>
        <w:t>cueillis ne se soient présentés dans les documents sous la forme d’un certain chiffre de pièces de monnaies : « gulden », « thalers », louis, écus d’or ou d’argent. Afin de permettre les comparaisons, la rédu</w:t>
      </w:r>
      <w:r w:rsidRPr="000F765B">
        <w:rPr>
          <w:lang w:eastAsia="fr-FR" w:bidi="fr-FR"/>
        </w:rPr>
        <w:t>c</w:t>
      </w:r>
      <w:r w:rsidRPr="000F765B">
        <w:rPr>
          <w:lang w:eastAsia="fr-FR" w:bidi="fr-FR"/>
        </w:rPr>
        <w:t>tion générale en livres, sous et deniers s’imposait évidemment. Mais, comme elle ne va pas toujours sans difficultés et que, de toute façon, il peut être important de distinguer ces cas des stipulations en monnaie de compte, on regrettera un peu que le recueil français, en particulier, avec son ordinaire parti pris de brièveté, ait cru devoir garder là-dessus le silence</w:t>
      </w:r>
      <w:r>
        <w:rPr>
          <w:lang w:eastAsia="fr-FR" w:bidi="fr-FR"/>
        </w:rPr>
        <w:t> </w:t>
      </w:r>
      <w:r>
        <w:rPr>
          <w:rStyle w:val="Appelnotedebasdep"/>
        </w:rPr>
        <w:footnoteReference w:id="943"/>
      </w:r>
      <w:r w:rsidRPr="000F765B">
        <w:rPr>
          <w:lang w:eastAsia="fr-FR" w:bidi="fr-FR"/>
        </w:rPr>
        <w:t>.</w:t>
      </w:r>
    </w:p>
    <w:p w14:paraId="5E689C75" w14:textId="77777777" w:rsidR="00B9662D" w:rsidRDefault="00B9662D" w:rsidP="00B9662D">
      <w:pPr>
        <w:spacing w:before="120" w:after="120"/>
        <w:jc w:val="both"/>
        <w:rPr>
          <w:lang w:eastAsia="fr-FR" w:bidi="fr-FR"/>
        </w:rPr>
      </w:pPr>
      <w:r w:rsidRPr="000F765B">
        <w:br w:type="page"/>
      </w:r>
      <w:r>
        <w:rPr>
          <w:lang w:eastAsia="fr-FR" w:bidi="fr-FR"/>
        </w:rPr>
        <w:lastRenderedPageBreak/>
        <w:t>[886]</w:t>
      </w:r>
    </w:p>
    <w:p w14:paraId="6E4710BD" w14:textId="77777777" w:rsidR="00B9662D" w:rsidRPr="000F765B" w:rsidRDefault="00B9662D" w:rsidP="00B9662D">
      <w:pPr>
        <w:spacing w:before="120" w:after="120"/>
        <w:jc w:val="both"/>
      </w:pPr>
    </w:p>
    <w:p w14:paraId="375A1381" w14:textId="77777777" w:rsidR="00B9662D" w:rsidRPr="000F765B" w:rsidRDefault="00B9662D" w:rsidP="00B9662D">
      <w:pPr>
        <w:pStyle w:val="planche"/>
      </w:pPr>
      <w:r w:rsidRPr="000F765B">
        <w:t>VI</w:t>
      </w:r>
    </w:p>
    <w:p w14:paraId="15AB0479" w14:textId="77777777" w:rsidR="00B9662D" w:rsidRDefault="00B9662D" w:rsidP="00B9662D">
      <w:pPr>
        <w:spacing w:before="120" w:after="120"/>
        <w:jc w:val="both"/>
        <w:rPr>
          <w:lang w:eastAsia="fr-FR" w:bidi="fr-FR"/>
        </w:rPr>
      </w:pPr>
    </w:p>
    <w:p w14:paraId="5CD749CE" w14:textId="77777777" w:rsidR="00B9662D" w:rsidRPr="000F765B" w:rsidRDefault="00B9662D" w:rsidP="00B9662D">
      <w:pPr>
        <w:spacing w:before="120" w:after="120"/>
        <w:jc w:val="both"/>
      </w:pPr>
      <w:r w:rsidRPr="000F765B">
        <w:rPr>
          <w:lang w:eastAsia="fr-FR" w:bidi="fr-FR"/>
        </w:rPr>
        <w:t>Fixer à l’enquête, pour premier objet, le recensement des prix en monnaie de compte n’obligeait nullement, cela va de soi, à s’abstenir de passer ensuite à leur transcription en valeur métallique. La comp</w:t>
      </w:r>
      <w:r w:rsidRPr="000F765B">
        <w:rPr>
          <w:lang w:eastAsia="fr-FR" w:bidi="fr-FR"/>
        </w:rPr>
        <w:t>a</w:t>
      </w:r>
      <w:r w:rsidRPr="000F765B">
        <w:rPr>
          <w:lang w:eastAsia="fr-FR" w:bidi="fr-FR"/>
        </w:rPr>
        <w:t>raison des deux courbes ne nous offre-t-elle pas le principal moyen d’investigation dont on puisse espérer enfin quelque clarté sur les e</w:t>
      </w:r>
      <w:r w:rsidRPr="000F765B">
        <w:rPr>
          <w:lang w:eastAsia="fr-FR" w:bidi="fr-FR"/>
        </w:rPr>
        <w:t>f</w:t>
      </w:r>
      <w:r w:rsidRPr="000F765B">
        <w:rPr>
          <w:lang w:eastAsia="fr-FR" w:bidi="fr-FR"/>
        </w:rPr>
        <w:t>fets et, par suite, les motifs des fameuses « mutations » monétaires ? M. Elsas s’est contenté de fournir au lecteur, d’ailleurs avec une gra</w:t>
      </w:r>
      <w:r w:rsidRPr="000F765B">
        <w:rPr>
          <w:lang w:eastAsia="fr-FR" w:bidi="fr-FR"/>
        </w:rPr>
        <w:t>n</w:t>
      </w:r>
      <w:r w:rsidRPr="000F765B">
        <w:rPr>
          <w:lang w:eastAsia="fr-FR" w:bidi="fr-FR"/>
        </w:rPr>
        <w:t>de précision, les éléments nécessaires à ce calcul ; on jugera peut-être que c’est lui laisser beaucoup à faire. M. Hamilton a procédé lui-même au travail. Mais sous forme de tableaux particuliers, insérés dans l’exposé qui constitue la p</w:t>
      </w:r>
      <w:r>
        <w:rPr>
          <w:lang w:eastAsia="fr-FR" w:bidi="fr-FR"/>
        </w:rPr>
        <w:t>remière partie de l’ouvrage. M. </w:t>
      </w:r>
      <w:r w:rsidRPr="000F765B">
        <w:rPr>
          <w:lang w:eastAsia="fr-FR" w:bidi="fr-FR"/>
        </w:rPr>
        <w:t>Hauser, au contraire, a affecté à cette catégorie de chiffres une c</w:t>
      </w:r>
      <w:r w:rsidRPr="000F765B">
        <w:rPr>
          <w:lang w:eastAsia="fr-FR" w:bidi="fr-FR"/>
        </w:rPr>
        <w:t>o</w:t>
      </w:r>
      <w:r w:rsidRPr="000F765B">
        <w:rPr>
          <w:lang w:eastAsia="fr-FR" w:bidi="fr-FR"/>
        </w:rPr>
        <w:t>lonne spéciale, dans chacun de ses relevés de prix. L’équivalence y est donnée en poids d’argent, qui était le moyen de paiement ordinaire des transactions du détail.</w:t>
      </w:r>
    </w:p>
    <w:p w14:paraId="4A375859" w14:textId="77777777" w:rsidR="00B9662D" w:rsidRPr="000F765B" w:rsidRDefault="00B9662D" w:rsidP="00B9662D">
      <w:pPr>
        <w:spacing w:before="120" w:after="120"/>
        <w:jc w:val="both"/>
      </w:pPr>
      <w:r w:rsidRPr="000F765B">
        <w:rPr>
          <w:lang w:eastAsia="fr-FR" w:bidi="fr-FR"/>
        </w:rPr>
        <w:t>Or, gardons-nous d’imaginer une élémentaire besogne de calcul</w:t>
      </w:r>
      <w:r w:rsidRPr="000F765B">
        <w:rPr>
          <w:lang w:eastAsia="fr-FR" w:bidi="fr-FR"/>
        </w:rPr>
        <w:t>a</w:t>
      </w:r>
      <w:r w:rsidRPr="000F765B">
        <w:rPr>
          <w:lang w:eastAsia="fr-FR" w:bidi="fr-FR"/>
        </w:rPr>
        <w:t>teur. L’extraordinaire fréquence des mutations à certaines périodes, comme la seconde moitié du règne de Louis</w:t>
      </w:r>
      <w:r>
        <w:rPr>
          <w:lang w:eastAsia="fr-FR" w:bidi="fr-FR"/>
        </w:rPr>
        <w:t> </w:t>
      </w:r>
      <w:r w:rsidRPr="000F765B">
        <w:rPr>
          <w:lang w:eastAsia="fr-FR" w:bidi="fr-FR"/>
        </w:rPr>
        <w:t>XIV ; la difficulté que l’historien éprouve trop souvent à distinguer entre les mesures réell</w:t>
      </w:r>
      <w:r w:rsidRPr="000F765B">
        <w:rPr>
          <w:lang w:eastAsia="fr-FR" w:bidi="fr-FR"/>
        </w:rPr>
        <w:t>e</w:t>
      </w:r>
      <w:r w:rsidRPr="000F765B">
        <w:rPr>
          <w:lang w:eastAsia="fr-FR" w:bidi="fr-FR"/>
        </w:rPr>
        <w:t>ment suivies d’effet et celles qui demeurèrent lettre morte ; le secret parfois volontairement gardé sur certaines altérations du titre : autant de pièges tendus sur la route. Supposons même une mutation bien clairement attestée et qui, durant l’année en cours, n’a été suivie d’aucune autre : force sera de traduire la valeur métallique sous forme d’une moyenne annuelle, qui puisse permettre la comparaison avec celle des prix stipulés en monnaie de compte. Selon quelle méthode ? Si la livre, par exemple, a passé le 1</w:t>
      </w:r>
      <w:r w:rsidRPr="000F765B">
        <w:rPr>
          <w:vertAlign w:val="superscript"/>
          <w:lang w:eastAsia="fr-FR" w:bidi="fr-FR"/>
        </w:rPr>
        <w:t>er</w:t>
      </w:r>
      <w:r w:rsidRPr="000F765B">
        <w:rPr>
          <w:lang w:eastAsia="fr-FR" w:bidi="fr-FR"/>
        </w:rPr>
        <w:t xml:space="preserve"> novembre de 10 à 12 gr. d’argent, évaluera-t-on, pour plus de simplicité, la teneur moyenne à 10 + 12 : 2 = 11 ? Ou bien, faisant entrer en jeu l’inégalité des phases, prendra-t-on (10 </w:t>
      </w:r>
      <w:r w:rsidRPr="000F765B">
        <w:t xml:space="preserve">x </w:t>
      </w:r>
      <w:r w:rsidRPr="000F765B">
        <w:rPr>
          <w:lang w:eastAsia="fr-FR" w:bidi="fr-FR"/>
        </w:rPr>
        <w:t xml:space="preserve">10) + (2 </w:t>
      </w:r>
      <w:r w:rsidRPr="000F765B">
        <w:t xml:space="preserve">x </w:t>
      </w:r>
      <w:r w:rsidRPr="000F765B">
        <w:rPr>
          <w:lang w:eastAsia="fr-FR" w:bidi="fr-FR"/>
        </w:rPr>
        <w:t>12) divisé par 12 = 10 gr. 33 ? Le pr</w:t>
      </w:r>
      <w:r w:rsidRPr="000F765B">
        <w:rPr>
          <w:lang w:eastAsia="fr-FR" w:bidi="fr-FR"/>
        </w:rPr>
        <w:t>o</w:t>
      </w:r>
      <w:r w:rsidRPr="000F765B">
        <w:rPr>
          <w:lang w:eastAsia="fr-FR" w:bidi="fr-FR"/>
        </w:rPr>
        <w:t>blème, j’imagine, n’a pu manquer de se poser lorsqu’ont été dressés les tableaux du volume français. Je ne sais comment il a été résolu.</w:t>
      </w:r>
    </w:p>
    <w:p w14:paraId="4845397B" w14:textId="77777777" w:rsidR="00B9662D" w:rsidRPr="000F765B" w:rsidRDefault="00B9662D" w:rsidP="00B9662D">
      <w:pPr>
        <w:spacing w:before="120" w:after="120"/>
        <w:jc w:val="both"/>
      </w:pPr>
      <w:r w:rsidRPr="000F765B">
        <w:rPr>
          <w:lang w:eastAsia="fr-FR" w:bidi="fr-FR"/>
        </w:rPr>
        <w:lastRenderedPageBreak/>
        <w:t>Mais d’autres difficultés encore ont surgi, qui touchaient l’établissement même des faits. N’étant pas d’accord, sur tous les points, avec les interprétations adoptées par M. Hauser ou ses collab</w:t>
      </w:r>
      <w:r w:rsidRPr="000F765B">
        <w:rPr>
          <w:lang w:eastAsia="fr-FR" w:bidi="fr-FR"/>
        </w:rPr>
        <w:t>o</w:t>
      </w:r>
      <w:r w:rsidRPr="000F765B">
        <w:rPr>
          <w:lang w:eastAsia="fr-FR" w:bidi="fr-FR"/>
        </w:rPr>
        <w:t>rateurs, je ne crois pouvoir mieux manifester mon respect envers une œuvre si utile et si courageusement poursuivie, mieux marquer aussi notre désir unanime de la voir se continuer qu’en plaçant honnêt</w:t>
      </w:r>
      <w:r w:rsidRPr="000F765B">
        <w:rPr>
          <w:lang w:eastAsia="fr-FR" w:bidi="fr-FR"/>
        </w:rPr>
        <w:t>e</w:t>
      </w:r>
      <w:r w:rsidRPr="000F765B">
        <w:rPr>
          <w:lang w:eastAsia="fr-FR" w:bidi="fr-FR"/>
        </w:rPr>
        <w:t>ment, sous les yeux du lecteur, ces quelques doutes.</w:t>
      </w:r>
    </w:p>
    <w:p w14:paraId="22BAF3C9" w14:textId="77777777" w:rsidR="00B9662D" w:rsidRPr="000F765B" w:rsidRDefault="00B9662D" w:rsidP="00B9662D">
      <w:pPr>
        <w:spacing w:before="120" w:after="120"/>
        <w:jc w:val="both"/>
      </w:pPr>
      <w:r w:rsidRPr="000F765B">
        <w:rPr>
          <w:lang w:eastAsia="fr-FR" w:bidi="fr-FR"/>
        </w:rPr>
        <w:t>Le malentendu semble remonter aux tables qui, pour faciliter le travail des enquêteurs, avaient été établies par le très regretté Henri Sée. Comme j’ai déjà eu l’occasion de l’observer ailleurs</w:t>
      </w:r>
      <w:r>
        <w:rPr>
          <w:lang w:eastAsia="fr-FR" w:bidi="fr-FR"/>
        </w:rPr>
        <w:t> </w:t>
      </w:r>
      <w:r>
        <w:rPr>
          <w:rStyle w:val="Appelnotedebasdep"/>
        </w:rPr>
        <w:footnoteReference w:id="944"/>
      </w:r>
      <w:r w:rsidRPr="000F765B">
        <w:rPr>
          <w:lang w:eastAsia="fr-FR" w:bidi="fr-FR"/>
        </w:rPr>
        <w:t>, Henri Sée avait cru pouvoir combiner des renseignements empruntés d’une part au mémoire bien connu de Natalis de Wailly sur les variations de la livre tournois, de</w:t>
      </w:r>
      <w:r>
        <w:t xml:space="preserve"> [</w:t>
      </w:r>
      <w:r w:rsidRPr="000F765B">
        <w:rPr>
          <w:lang w:eastAsia="fr-FR" w:bidi="fr-FR"/>
        </w:rPr>
        <w:t>887</w:t>
      </w:r>
      <w:r>
        <w:rPr>
          <w:lang w:eastAsia="fr-FR" w:bidi="fr-FR"/>
        </w:rPr>
        <w:t xml:space="preserve">] </w:t>
      </w:r>
      <w:r w:rsidRPr="000F765B">
        <w:rPr>
          <w:lang w:eastAsia="fr-FR" w:bidi="fr-FR"/>
        </w:rPr>
        <w:t xml:space="preserve">l’autre au </w:t>
      </w:r>
      <w:r w:rsidRPr="00F8337B">
        <w:rPr>
          <w:i/>
        </w:rPr>
        <w:t>Manuel de Numismatique française</w:t>
      </w:r>
      <w:r w:rsidRPr="000F765B">
        <w:rPr>
          <w:lang w:eastAsia="fr-FR" w:bidi="fr-FR"/>
        </w:rPr>
        <w:t xml:space="preserve"> de M. Dieudonné. Ce faisant, il paraît avoir manqué à s’apercevoir que M. Dieudonné ne s’est nullement proposé de dresser une liste complète des mutations. Numismate avant tout, il n’a retenu que ce</w:t>
      </w:r>
      <w:r w:rsidRPr="000F765B">
        <w:rPr>
          <w:lang w:eastAsia="fr-FR" w:bidi="fr-FR"/>
        </w:rPr>
        <w:t>l</w:t>
      </w:r>
      <w:r w:rsidRPr="000F765B">
        <w:rPr>
          <w:lang w:eastAsia="fr-FR" w:bidi="fr-FR"/>
        </w:rPr>
        <w:t>les qui coïncidèrent avec des frappes nouvelles. Le résultat a été que, dans les données fournies par Sée aux collaborateurs du recueil et, par suite, dans les tableaux bâtis à l’aide de ces données, plusieurs « affaiblissements » ou renforcements, qui s’exprimèrent par un si</w:t>
      </w:r>
      <w:r w:rsidRPr="000F765B">
        <w:rPr>
          <w:lang w:eastAsia="fr-FR" w:bidi="fr-FR"/>
        </w:rPr>
        <w:t>m</w:t>
      </w:r>
      <w:r w:rsidRPr="000F765B">
        <w:rPr>
          <w:lang w:eastAsia="fr-FR" w:bidi="fr-FR"/>
        </w:rPr>
        <w:t>ple changement du cours affecté à des pièces déjà existantes, ont été omis. Je vois, par exemple, qu’en 1532 et en 1534, la livre est évaluée, des deux parts, à une quantité de métal égale. Impossibilité manifeste, puisqu’en 1533, sans modific</w:t>
      </w:r>
      <w:r w:rsidRPr="000F765B">
        <w:rPr>
          <w:lang w:eastAsia="fr-FR" w:bidi="fr-FR"/>
        </w:rPr>
        <w:t>a</w:t>
      </w:r>
      <w:r w:rsidRPr="000F765B">
        <w:rPr>
          <w:lang w:eastAsia="fr-FR" w:bidi="fr-FR"/>
        </w:rPr>
        <w:t>tion matérielle, la valeur de compte du « teston » fu</w:t>
      </w:r>
      <w:r>
        <w:rPr>
          <w:lang w:eastAsia="fr-FR" w:bidi="fr-FR"/>
        </w:rPr>
        <w:t>t portée de 10 sous à 10 sous 1</w:t>
      </w:r>
      <w:r w:rsidRPr="000F765B">
        <w:rPr>
          <w:lang w:eastAsia="fr-FR" w:bidi="fr-FR"/>
        </w:rPr>
        <w:t>/2.</w:t>
      </w:r>
    </w:p>
    <w:p w14:paraId="79272029" w14:textId="77777777" w:rsidR="00B9662D" w:rsidRPr="000F765B" w:rsidRDefault="00B9662D" w:rsidP="00B9662D">
      <w:pPr>
        <w:spacing w:before="120" w:after="120"/>
        <w:jc w:val="both"/>
      </w:pPr>
      <w:r w:rsidRPr="000F765B">
        <w:rPr>
          <w:lang w:eastAsia="fr-FR" w:bidi="fr-FR"/>
        </w:rPr>
        <w:t>Mais l’inexactitude la plus sérieuse qu’ait entraînée ce lapsus concerne la dernière partie de notre histoire monétaire. Si je compte bien</w:t>
      </w:r>
      <w:r>
        <w:rPr>
          <w:lang w:eastAsia="fr-FR" w:bidi="fr-FR"/>
        </w:rPr>
        <w:t> — </w:t>
      </w:r>
      <w:r w:rsidRPr="000F765B">
        <w:rPr>
          <w:lang w:eastAsia="fr-FR" w:bidi="fr-FR"/>
        </w:rPr>
        <w:t>car, en l’absence de toute indication fournie par l’Introduction, force est de refaire chaque fois les calculs —, la livre est présentée, de 1721 à 1740, co</w:t>
      </w:r>
      <w:r>
        <w:rPr>
          <w:lang w:eastAsia="fr-FR" w:bidi="fr-FR"/>
        </w:rPr>
        <w:t>mme constamment équivalente à 5 </w:t>
      </w:r>
      <w:r w:rsidRPr="000F765B">
        <w:rPr>
          <w:lang w:eastAsia="fr-FR" w:bidi="fr-FR"/>
        </w:rPr>
        <w:t>gr. 40 d’argent, pour se réduire, à partir de 1741, à 4 gr. 50. Or, comme l’avait déjà signalé M. Labrousse</w:t>
      </w:r>
      <w:r>
        <w:rPr>
          <w:lang w:eastAsia="fr-FR" w:bidi="fr-FR"/>
        </w:rPr>
        <w:t> </w:t>
      </w:r>
      <w:r>
        <w:rPr>
          <w:rStyle w:val="Appelnotedebasdep"/>
        </w:rPr>
        <w:footnoteReference w:id="945"/>
      </w:r>
      <w:r w:rsidRPr="000F765B">
        <w:rPr>
          <w:lang w:eastAsia="fr-FR" w:bidi="fr-FR"/>
        </w:rPr>
        <w:t>, la stabilisation fut, en r</w:t>
      </w:r>
      <w:r w:rsidRPr="000F765B">
        <w:rPr>
          <w:lang w:eastAsia="fr-FR" w:bidi="fr-FR"/>
        </w:rPr>
        <w:t>é</w:t>
      </w:r>
      <w:r w:rsidRPr="000F765B">
        <w:rPr>
          <w:lang w:eastAsia="fr-FR" w:bidi="fr-FR"/>
        </w:rPr>
        <w:t>alité, opérée par l’Arrêt du Conseil du 26 mai 1726. Depuis ce m</w:t>
      </w:r>
      <w:r w:rsidRPr="000F765B">
        <w:rPr>
          <w:lang w:eastAsia="fr-FR" w:bidi="fr-FR"/>
        </w:rPr>
        <w:t>o</w:t>
      </w:r>
      <w:r w:rsidRPr="000F765B">
        <w:rPr>
          <w:lang w:eastAsia="fr-FR" w:bidi="fr-FR"/>
        </w:rPr>
        <w:lastRenderedPageBreak/>
        <w:t>ment jusqu’à la fin de l’Ancien Régime, le cours, désormais invari</w:t>
      </w:r>
      <w:r w:rsidRPr="000F765B">
        <w:rPr>
          <w:lang w:eastAsia="fr-FR" w:bidi="fr-FR"/>
        </w:rPr>
        <w:t>a</w:t>
      </w:r>
      <w:r w:rsidRPr="000F765B">
        <w:rPr>
          <w:lang w:eastAsia="fr-FR" w:bidi="fr-FR"/>
        </w:rPr>
        <w:t>ble, de la monnaie d’argent demeura fixé par l’équation </w:t>
      </w:r>
      <w:r>
        <w:rPr>
          <w:lang w:eastAsia="fr-FR" w:bidi="fr-FR"/>
        </w:rPr>
        <w:t>: 1 </w:t>
      </w:r>
      <w:r w:rsidRPr="000F765B">
        <w:rPr>
          <w:lang w:eastAsia="fr-FR" w:bidi="fr-FR"/>
        </w:rPr>
        <w:t>livre</w:t>
      </w:r>
      <w:r>
        <w:rPr>
          <w:lang w:eastAsia="fr-FR" w:bidi="fr-FR"/>
        </w:rPr>
        <w:t> — </w:t>
      </w:r>
      <w:r w:rsidRPr="000F765B">
        <w:rPr>
          <w:lang w:eastAsia="fr-FR" w:bidi="fr-FR"/>
        </w:rPr>
        <w:t>4 gr. 49. La date, en vérité, est capitale, davantage sans doute que bea</w:t>
      </w:r>
      <w:r w:rsidRPr="000F765B">
        <w:rPr>
          <w:lang w:eastAsia="fr-FR" w:bidi="fr-FR"/>
        </w:rPr>
        <w:t>u</w:t>
      </w:r>
      <w:r w:rsidRPr="000F765B">
        <w:rPr>
          <w:lang w:eastAsia="fr-FR" w:bidi="fr-FR"/>
        </w:rPr>
        <w:t>coup d’autres, plus familières à nos manuels. Il convient de la rétablir.</w:t>
      </w:r>
    </w:p>
    <w:p w14:paraId="6D09C34C" w14:textId="77777777" w:rsidR="00B9662D" w:rsidRPr="000F765B" w:rsidRDefault="00B9662D" w:rsidP="00B9662D">
      <w:pPr>
        <w:spacing w:before="120" w:after="120"/>
        <w:jc w:val="both"/>
      </w:pPr>
      <w:r w:rsidRPr="000F765B">
        <w:rPr>
          <w:lang w:eastAsia="fr-FR" w:bidi="fr-FR"/>
        </w:rPr>
        <w:t>Aussi bien, le trouble ainsi créé s’est-il propagé dans une autre pa</w:t>
      </w:r>
      <w:r w:rsidRPr="000F765B">
        <w:rPr>
          <w:lang w:eastAsia="fr-FR" w:bidi="fr-FR"/>
        </w:rPr>
        <w:t>r</w:t>
      </w:r>
      <w:r w:rsidRPr="000F765B">
        <w:rPr>
          <w:lang w:eastAsia="fr-FR" w:bidi="fr-FR"/>
        </w:rPr>
        <w:t>tie encore des tableaux. Beaucoup plus clairement que de simples moyennes, le procédé, aujourd’hui classique, des nombres-indices permet de représenter le sens et l’ampleur des mouvements de prix. M. Èlsas, cependant, n’y a eu recours, du moins pour l’instant, que par exceptions et dans son Introduction seulement. M. Hamilton, au contraire, en a fait dans son exposé un large usage, avec, pour base, la période 1421-1430. Quant à M. Hauser et ses collaborateurs, ils ont pris la peine d’établir, très régulièrement, deux séries d’indices qui toutes deux, conformément aux instructions du Comité international, se réfèrent, comme base, aux années 1721-1745. L’une a trait aux prix évalués en monnaie de compte ; elle rendra d’éminents services. La seconde, malheureusement, qui porte sur les équivalences métalliques, sera presque inutilisable. Car, on vient de le voir, elle repose sur un calcul inexact de l</w:t>
      </w:r>
      <w:r>
        <w:rPr>
          <w:lang w:eastAsia="fr-FR" w:bidi="fr-FR"/>
        </w:rPr>
        <w:t>a</w:t>
      </w:r>
      <w:r w:rsidRPr="000F765B">
        <w:rPr>
          <w:lang w:eastAsia="fr-FR" w:bidi="fr-FR"/>
        </w:rPr>
        <w:t xml:space="preserve"> teneur, en argent, de la livre. Telle est la difficulté de ce genre de recherches que la moindre paille dans les fondations risque toujours de compromettre la solidité de quelques pans de murs. Raison de plus de ne pas marchander notre reconnaissance aux travai</w:t>
      </w:r>
      <w:r w:rsidRPr="000F765B">
        <w:rPr>
          <w:lang w:eastAsia="fr-FR" w:bidi="fr-FR"/>
        </w:rPr>
        <w:t>l</w:t>
      </w:r>
      <w:r w:rsidRPr="000F765B">
        <w:rPr>
          <w:lang w:eastAsia="fr-FR" w:bidi="fr-FR"/>
        </w:rPr>
        <w:t>leurs qui, pour ces tâches qu’ils savent périlleuses, acceptent de sacr</w:t>
      </w:r>
      <w:r w:rsidRPr="000F765B">
        <w:rPr>
          <w:lang w:eastAsia="fr-FR" w:bidi="fr-FR"/>
        </w:rPr>
        <w:t>i</w:t>
      </w:r>
      <w:r w:rsidRPr="000F765B">
        <w:rPr>
          <w:lang w:eastAsia="fr-FR" w:bidi="fr-FR"/>
        </w:rPr>
        <w:t>fier des études souvent plus sûres et, en apparence, plus brillantes, s</w:t>
      </w:r>
      <w:r w:rsidRPr="000F765B">
        <w:rPr>
          <w:lang w:eastAsia="fr-FR" w:bidi="fr-FR"/>
        </w:rPr>
        <w:t>i</w:t>
      </w:r>
      <w:r w:rsidRPr="000F765B">
        <w:rPr>
          <w:lang w:eastAsia="fr-FR" w:bidi="fr-FR"/>
        </w:rPr>
        <w:t>non plus fécondes.</w:t>
      </w:r>
    </w:p>
    <w:p w14:paraId="2A9624EF" w14:textId="77777777" w:rsidR="00B9662D" w:rsidRDefault="00B9662D" w:rsidP="00B9662D">
      <w:pPr>
        <w:spacing w:before="120" w:after="120"/>
        <w:jc w:val="both"/>
      </w:pPr>
      <w:r>
        <w:t>[888]</w:t>
      </w:r>
    </w:p>
    <w:p w14:paraId="5D13B512" w14:textId="77777777" w:rsidR="00B9662D" w:rsidRPr="000F765B" w:rsidRDefault="00B9662D" w:rsidP="00B9662D">
      <w:pPr>
        <w:spacing w:before="120" w:after="120"/>
        <w:jc w:val="both"/>
      </w:pPr>
    </w:p>
    <w:p w14:paraId="581661FB" w14:textId="77777777" w:rsidR="00B9662D" w:rsidRPr="000F765B" w:rsidRDefault="00B9662D" w:rsidP="00B9662D">
      <w:pPr>
        <w:pStyle w:val="planche"/>
      </w:pPr>
      <w:r w:rsidRPr="000F765B">
        <w:t>VII</w:t>
      </w:r>
    </w:p>
    <w:p w14:paraId="6DB9D058" w14:textId="77777777" w:rsidR="00B9662D" w:rsidRDefault="00B9662D" w:rsidP="00B9662D">
      <w:pPr>
        <w:spacing w:before="120" w:after="120"/>
        <w:jc w:val="both"/>
        <w:rPr>
          <w:lang w:eastAsia="fr-FR" w:bidi="fr-FR"/>
        </w:rPr>
      </w:pPr>
    </w:p>
    <w:p w14:paraId="0C7AAAF8" w14:textId="77777777" w:rsidR="00B9662D" w:rsidRPr="000F765B" w:rsidRDefault="00B9662D" w:rsidP="00B9662D">
      <w:pPr>
        <w:spacing w:before="120" w:after="120"/>
        <w:jc w:val="both"/>
      </w:pPr>
      <w:r w:rsidRPr="000F765B">
        <w:rPr>
          <w:lang w:eastAsia="fr-FR" w:bidi="fr-FR"/>
        </w:rPr>
        <w:t>Dans son Introduction, M. Hauser agite de graves problèmes m</w:t>
      </w:r>
      <w:r w:rsidRPr="000F765B">
        <w:rPr>
          <w:lang w:eastAsia="fr-FR" w:bidi="fr-FR"/>
        </w:rPr>
        <w:t>é</w:t>
      </w:r>
      <w:r w:rsidRPr="000F765B">
        <w:rPr>
          <w:lang w:eastAsia="fr-FR" w:bidi="fr-FR"/>
        </w:rPr>
        <w:t xml:space="preserve">thodologiques. Il le fait avec une vigueur et une lumineuse franchise qui ont déjà trouvé leur récompense dans les discussions, souvent fort </w:t>
      </w:r>
      <w:r w:rsidRPr="000F765B">
        <w:rPr>
          <w:lang w:eastAsia="fr-FR" w:bidi="fr-FR"/>
        </w:rPr>
        <w:lastRenderedPageBreak/>
        <w:t>intéressantes, auxquelles ses thèses n’ont pas tardé à donner lieu</w:t>
      </w:r>
      <w:r>
        <w:rPr>
          <w:lang w:eastAsia="fr-FR" w:bidi="fr-FR"/>
        </w:rPr>
        <w:t> </w:t>
      </w:r>
      <w:r>
        <w:rPr>
          <w:rStyle w:val="Appelnotedebasdep"/>
        </w:rPr>
        <w:footnoteReference w:id="946"/>
      </w:r>
      <w:r w:rsidRPr="000F765B">
        <w:rPr>
          <w:lang w:eastAsia="fr-FR" w:bidi="fr-FR"/>
        </w:rPr>
        <w:t>. Je me limiterai ici à une seule observation qui me semble, à vrai dire, se placer au cœur même du débat.</w:t>
      </w:r>
    </w:p>
    <w:p w14:paraId="58FDAE41" w14:textId="77777777" w:rsidR="00B9662D" w:rsidRPr="000F765B" w:rsidRDefault="00B9662D" w:rsidP="00B9662D">
      <w:pPr>
        <w:spacing w:before="120" w:after="120"/>
        <w:jc w:val="both"/>
      </w:pPr>
      <w:r w:rsidRPr="000F765B">
        <w:rPr>
          <w:lang w:eastAsia="fr-FR" w:bidi="fr-FR"/>
        </w:rPr>
        <w:t>Dans le mouvement des prix, aux époques anciennes, nous dit, en substance, M. Hauser, nul trait ne fut de plus grande portée que l’amplitude et la brusquerie des écarts : écarts de lieu à lieu</w:t>
      </w:r>
      <w:r>
        <w:rPr>
          <w:lang w:eastAsia="fr-FR" w:bidi="fr-FR"/>
        </w:rPr>
        <w:t> — M. </w:t>
      </w:r>
      <w:r w:rsidRPr="000F765B">
        <w:rPr>
          <w:lang w:eastAsia="fr-FR" w:bidi="fr-FR"/>
        </w:rPr>
        <w:t>Elsas ne note-t-il pas, de son côté, qu’en 1793 encore le prix du blé à Munich était des deux tiers plus élevé que fort près de là, à Augsbourg ? écarts dans le temps, à brefs intervalles. Or ces formid</w:t>
      </w:r>
      <w:r w:rsidRPr="000F765B">
        <w:rPr>
          <w:lang w:eastAsia="fr-FR" w:bidi="fr-FR"/>
        </w:rPr>
        <w:t>a</w:t>
      </w:r>
      <w:r w:rsidRPr="000F765B">
        <w:rPr>
          <w:lang w:eastAsia="fr-FR" w:bidi="fr-FR"/>
        </w:rPr>
        <w:t>bles à-coups, les moyennes régionales et les moyennes périodiques</w:t>
      </w:r>
      <w:r>
        <w:rPr>
          <w:lang w:eastAsia="fr-FR" w:bidi="fr-FR"/>
        </w:rPr>
        <w:t> — </w:t>
      </w:r>
      <w:r w:rsidRPr="000F765B">
        <w:rPr>
          <w:lang w:eastAsia="fr-FR" w:bidi="fr-FR"/>
        </w:rPr>
        <w:t>ces dernières fussent-elles seulement annuelles</w:t>
      </w:r>
      <w:r>
        <w:rPr>
          <w:lang w:eastAsia="fr-FR" w:bidi="fr-FR"/>
        </w:rPr>
        <w:t> — </w:t>
      </w:r>
      <w:r w:rsidRPr="000F765B">
        <w:rPr>
          <w:lang w:eastAsia="fr-FR" w:bidi="fr-FR"/>
        </w:rPr>
        <w:t>aboutissent fatal</w:t>
      </w:r>
      <w:r w:rsidRPr="000F765B">
        <w:rPr>
          <w:lang w:eastAsia="fr-FR" w:bidi="fr-FR"/>
        </w:rPr>
        <w:t>e</w:t>
      </w:r>
      <w:r w:rsidRPr="000F765B">
        <w:rPr>
          <w:lang w:eastAsia="fr-FR" w:bidi="fr-FR"/>
        </w:rPr>
        <w:t>ment à les masquer. Donc les moyennes sont dangereuses, pui</w:t>
      </w:r>
      <w:r w:rsidRPr="000F765B">
        <w:rPr>
          <w:lang w:eastAsia="fr-FR" w:bidi="fr-FR"/>
        </w:rPr>
        <w:t>s</w:t>
      </w:r>
      <w:r w:rsidRPr="000F765B">
        <w:rPr>
          <w:lang w:eastAsia="fr-FR" w:bidi="fr-FR"/>
        </w:rPr>
        <w:t>qu’elles dissimulent le phénomène qui retentissait le plus profond</w:t>
      </w:r>
      <w:r w:rsidRPr="000F765B">
        <w:rPr>
          <w:lang w:eastAsia="fr-FR" w:bidi="fr-FR"/>
        </w:rPr>
        <w:t>é</w:t>
      </w:r>
      <w:r w:rsidRPr="000F765B">
        <w:rPr>
          <w:lang w:eastAsia="fr-FR" w:bidi="fr-FR"/>
        </w:rPr>
        <w:t>ment sur les vies humaines ; qui, menaçant sans cesse de ruine le petit paysan endetté, gênant le commerçant et le consommateur, favorisant le spéculateur, imprimait à la structure économique tout entière un rythme perpétuellement haletant. « Dans les temps antérieurs à la g</w:t>
      </w:r>
      <w:r w:rsidRPr="000F765B">
        <w:rPr>
          <w:lang w:eastAsia="fr-FR" w:bidi="fr-FR"/>
        </w:rPr>
        <w:t>é</w:t>
      </w:r>
      <w:r w:rsidRPr="000F765B">
        <w:rPr>
          <w:lang w:eastAsia="fr-FR" w:bidi="fr-FR"/>
        </w:rPr>
        <w:t>néralisation de la civilisation industrielle, c’est l’accidentel, de lieu ou de temps, qui domine la réalité de la vie économique. L’homme ne vit pas de moyennes, ni de variations à longue durée ; il vit de vrai pain, vendu à tel prix pour tel poids, en tel moment. » Aux courbes, jeu du statisticien, à ces courbes aux lignes trop belles, faites pour « noyer » les détails, l’historien</w:t>
      </w:r>
      <w:r>
        <w:rPr>
          <w:lang w:eastAsia="fr-FR" w:bidi="fr-FR"/>
        </w:rPr>
        <w:t> — </w:t>
      </w:r>
      <w:r w:rsidRPr="000F765B">
        <w:rPr>
          <w:lang w:eastAsia="fr-FR" w:bidi="fr-FR"/>
        </w:rPr>
        <w:t>je paraphrase toujours M. Hauser</w:t>
      </w:r>
      <w:r>
        <w:rPr>
          <w:lang w:eastAsia="fr-FR" w:bidi="fr-FR"/>
        </w:rPr>
        <w:t> — </w:t>
      </w:r>
      <w:r w:rsidRPr="000F765B">
        <w:rPr>
          <w:lang w:eastAsia="fr-FR" w:bidi="fr-FR"/>
        </w:rPr>
        <w:t>préférera invinciblement l’humble réalité concrète qui s’inscrit, au jour le jour, d’une plume souvent rageuse, sur le carnet de la ménag</w:t>
      </w:r>
      <w:r w:rsidRPr="000F765B">
        <w:rPr>
          <w:lang w:eastAsia="fr-FR" w:bidi="fr-FR"/>
        </w:rPr>
        <w:t>è</w:t>
      </w:r>
      <w:r w:rsidRPr="000F765B">
        <w:rPr>
          <w:lang w:eastAsia="fr-FR" w:bidi="fr-FR"/>
        </w:rPr>
        <w:t>re.</w:t>
      </w:r>
    </w:p>
    <w:p w14:paraId="1712DC5E" w14:textId="77777777" w:rsidR="00B9662D" w:rsidRPr="000F765B" w:rsidRDefault="00B9662D" w:rsidP="00B9662D">
      <w:pPr>
        <w:spacing w:before="120" w:after="120"/>
        <w:jc w:val="both"/>
      </w:pPr>
      <w:r w:rsidRPr="000F765B">
        <w:rPr>
          <w:lang w:eastAsia="fr-FR" w:bidi="fr-FR"/>
        </w:rPr>
        <w:t>Sans partager l’indifférence de M. Hauser envers les variations à longue amplitude</w:t>
      </w:r>
      <w:r>
        <w:rPr>
          <w:lang w:eastAsia="fr-FR" w:bidi="fr-FR"/>
        </w:rPr>
        <w:t> — </w:t>
      </w:r>
      <w:r w:rsidRPr="000F765B">
        <w:rPr>
          <w:lang w:eastAsia="fr-FR" w:bidi="fr-FR"/>
        </w:rPr>
        <w:t>pour demeurer inaperçu des foules, un phénom</w:t>
      </w:r>
      <w:r w:rsidRPr="000F765B">
        <w:rPr>
          <w:lang w:eastAsia="fr-FR" w:bidi="fr-FR"/>
        </w:rPr>
        <w:t>è</w:t>
      </w:r>
      <w:r w:rsidRPr="000F765B">
        <w:rPr>
          <w:lang w:eastAsia="fr-FR" w:bidi="fr-FR"/>
        </w:rPr>
        <w:t>ne manque-t-il nécessairement à agir sur leur destin ? —, je lui donn</w:t>
      </w:r>
      <w:r w:rsidRPr="000F765B">
        <w:rPr>
          <w:lang w:eastAsia="fr-FR" w:bidi="fr-FR"/>
        </w:rPr>
        <w:t>e</w:t>
      </w:r>
      <w:r w:rsidRPr="000F765B">
        <w:rPr>
          <w:lang w:eastAsia="fr-FR" w:bidi="fr-FR"/>
        </w:rPr>
        <w:t xml:space="preserve">rai, pour ma part, comme le feront, je pense, tous les travailleurs tant soit peu familiers avec l’ancienne Europe, largement raison en ce qui regarde l’importance humaine des écarts. Les moyennes ne sont certes pas inutiles ; M. Hauser lui-même ne le soutient d’ailleurs </w:t>
      </w:r>
      <w:r w:rsidRPr="000F765B">
        <w:rPr>
          <w:lang w:eastAsia="fr-FR" w:bidi="fr-FR"/>
        </w:rPr>
        <w:lastRenderedPageBreak/>
        <w:t>point. Elles laissent incontestablement échapper beaucoup de la réalité direct</w:t>
      </w:r>
      <w:r w:rsidRPr="000F765B">
        <w:rPr>
          <w:lang w:eastAsia="fr-FR" w:bidi="fr-FR"/>
        </w:rPr>
        <w:t>e</w:t>
      </w:r>
      <w:r w:rsidRPr="000F765B">
        <w:rPr>
          <w:lang w:eastAsia="fr-FR" w:bidi="fr-FR"/>
        </w:rPr>
        <w:t>ment vivante. Cependant, condamner les moyennes ou, du moins, ne pas les tenir pour suffisantes, est-ce par là même arguer d’insuffisance les méthodes statistiques ?</w:t>
      </w:r>
    </w:p>
    <w:p w14:paraId="499CB314" w14:textId="77777777" w:rsidR="00B9662D" w:rsidRPr="000F765B" w:rsidRDefault="00B9662D" w:rsidP="00B9662D">
      <w:pPr>
        <w:spacing w:before="120" w:after="120"/>
        <w:jc w:val="both"/>
      </w:pPr>
      <w:r w:rsidRPr="000F765B">
        <w:rPr>
          <w:lang w:eastAsia="fr-FR" w:bidi="fr-FR"/>
        </w:rPr>
        <w:t>Je ne prétends nullement au beau nom de statisticien ; mon éduc</w:t>
      </w:r>
      <w:r w:rsidRPr="000F765B">
        <w:rPr>
          <w:lang w:eastAsia="fr-FR" w:bidi="fr-FR"/>
        </w:rPr>
        <w:t>a</w:t>
      </w:r>
      <w:r w:rsidRPr="000F765B">
        <w:rPr>
          <w:lang w:eastAsia="fr-FR" w:bidi="fr-FR"/>
        </w:rPr>
        <w:t>tion, là-dessus, comme celle de presque tous les historiens de ma g</w:t>
      </w:r>
      <w:r w:rsidRPr="000F765B">
        <w:rPr>
          <w:lang w:eastAsia="fr-FR" w:bidi="fr-FR"/>
        </w:rPr>
        <w:t>é</w:t>
      </w:r>
      <w:r w:rsidRPr="000F765B">
        <w:rPr>
          <w:lang w:eastAsia="fr-FR" w:bidi="fr-FR"/>
        </w:rPr>
        <w:t>nération, a été beaucoup trop rudimentaire et je porterai toujours, je le crains, les marques de ce défaut premier de formation, dont ce n’est pas ici le lieu</w:t>
      </w:r>
      <w:r>
        <w:t xml:space="preserve"> [889] </w:t>
      </w:r>
      <w:r w:rsidRPr="000F765B">
        <w:rPr>
          <w:lang w:eastAsia="fr-FR" w:bidi="fr-FR"/>
        </w:rPr>
        <w:t>de rechercher les responsabilités. Mais</w:t>
      </w:r>
      <w:r>
        <w:rPr>
          <w:lang w:eastAsia="fr-FR" w:bidi="fr-FR"/>
        </w:rPr>
        <w:t> — </w:t>
      </w:r>
      <w:r w:rsidRPr="000F765B">
        <w:rPr>
          <w:lang w:eastAsia="fr-FR" w:bidi="fr-FR"/>
        </w:rPr>
        <w:t>comme M. Hauser</w:t>
      </w:r>
      <w:r>
        <w:rPr>
          <w:lang w:eastAsia="fr-FR" w:bidi="fr-FR"/>
        </w:rPr>
        <w:t> — </w:t>
      </w:r>
      <w:r w:rsidRPr="000F765B">
        <w:rPr>
          <w:lang w:eastAsia="fr-FR" w:bidi="fr-FR"/>
        </w:rPr>
        <w:t>j’ai lu des statisticiens ; j’ai lu Simiand ; j’ai lu Hal</w:t>
      </w:r>
      <w:r w:rsidRPr="000F765B">
        <w:rPr>
          <w:lang w:eastAsia="fr-FR" w:bidi="fr-FR"/>
        </w:rPr>
        <w:t>b</w:t>
      </w:r>
      <w:r w:rsidRPr="000F765B">
        <w:rPr>
          <w:lang w:eastAsia="fr-FR" w:bidi="fr-FR"/>
        </w:rPr>
        <w:t>wachs et d’autres. J’ai appris d’eux que la statistique s’est, depuis longtemps, préoccupée des écarts ; qu’elle a, pour les apprécier, i</w:t>
      </w:r>
      <w:r w:rsidRPr="000F765B">
        <w:rPr>
          <w:lang w:eastAsia="fr-FR" w:bidi="fr-FR"/>
        </w:rPr>
        <w:t>n</w:t>
      </w:r>
      <w:r w:rsidRPr="000F765B">
        <w:rPr>
          <w:lang w:eastAsia="fr-FR" w:bidi="fr-FR"/>
        </w:rPr>
        <w:t>venté des pr</w:t>
      </w:r>
      <w:r w:rsidRPr="000F765B">
        <w:rPr>
          <w:lang w:eastAsia="fr-FR" w:bidi="fr-FR"/>
        </w:rPr>
        <w:t>o</w:t>
      </w:r>
      <w:r w:rsidRPr="000F765B">
        <w:rPr>
          <w:lang w:eastAsia="fr-FR" w:bidi="fr-FR"/>
        </w:rPr>
        <w:t>cédés efficaces, dont les uns pourront peut-être paraître un peu complexes aux personnes médiocrement rompues au mani</w:t>
      </w:r>
      <w:r w:rsidRPr="000F765B">
        <w:rPr>
          <w:lang w:eastAsia="fr-FR" w:bidi="fr-FR"/>
        </w:rPr>
        <w:t>e</w:t>
      </w:r>
      <w:r w:rsidRPr="000F765B">
        <w:rPr>
          <w:lang w:eastAsia="fr-FR" w:bidi="fr-FR"/>
        </w:rPr>
        <w:t>ment des ab</w:t>
      </w:r>
      <w:r w:rsidRPr="000F765B">
        <w:rPr>
          <w:lang w:eastAsia="fr-FR" w:bidi="fr-FR"/>
        </w:rPr>
        <w:t>s</w:t>
      </w:r>
      <w:r w:rsidRPr="000F765B">
        <w:rPr>
          <w:lang w:eastAsia="fr-FR" w:bidi="fr-FR"/>
        </w:rPr>
        <w:t>tractions mathématiques, dont d’autres, en revanche, comme les « médianes » et « quartiles » sont, à tout prendre, d’une évangélique simplicité. Les historiens des prix se sont jusqu’ici so</w:t>
      </w:r>
      <w:r w:rsidRPr="000F765B">
        <w:rPr>
          <w:lang w:eastAsia="fr-FR" w:bidi="fr-FR"/>
        </w:rPr>
        <w:t>u</w:t>
      </w:r>
      <w:r w:rsidRPr="000F765B">
        <w:rPr>
          <w:lang w:eastAsia="fr-FR" w:bidi="fr-FR"/>
        </w:rPr>
        <w:t xml:space="preserve">ciés à peu près uniquement de moyennes. Ils ont eu tort. M. Hauser les rappelle à l’ordre. C’est leur rendre un grand service. </w:t>
      </w:r>
      <w:r>
        <w:rPr>
          <w:lang w:eastAsia="fr-FR" w:bidi="fr-FR"/>
        </w:rPr>
        <w:t>À</w:t>
      </w:r>
      <w:r w:rsidRPr="000F765B">
        <w:rPr>
          <w:lang w:eastAsia="fr-FR" w:bidi="fr-FR"/>
        </w:rPr>
        <w:t xml:space="preserve"> une condition toutefois : que le conseil soit, non d’abandonner les chemins de la st</w:t>
      </w:r>
      <w:r w:rsidRPr="000F765B">
        <w:rPr>
          <w:lang w:eastAsia="fr-FR" w:bidi="fr-FR"/>
        </w:rPr>
        <w:t>a</w:t>
      </w:r>
      <w:r w:rsidRPr="000F765B">
        <w:rPr>
          <w:lang w:eastAsia="fr-FR" w:bidi="fr-FR"/>
        </w:rPr>
        <w:t>tistique, mais d’en appeler d’une statistique trop élémentaire à une statistique mieux comprise. Aussi bien « statisticiens et historiens d</w:t>
      </w:r>
      <w:r w:rsidRPr="000F765B">
        <w:rPr>
          <w:lang w:eastAsia="fr-FR" w:bidi="fr-FR"/>
        </w:rPr>
        <w:t>e</w:t>
      </w:r>
      <w:r w:rsidRPr="000F765B">
        <w:rPr>
          <w:lang w:eastAsia="fr-FR" w:bidi="fr-FR"/>
        </w:rPr>
        <w:t>vant l’histoire des prix » : ce titre de chapitre est amusant ; il met à nu des oppositions certaines d’éducation et de direction de pensée. Je vo</w:t>
      </w:r>
      <w:r w:rsidRPr="000F765B">
        <w:rPr>
          <w:lang w:eastAsia="fr-FR" w:bidi="fr-FR"/>
        </w:rPr>
        <w:t>u</w:t>
      </w:r>
      <w:r w:rsidRPr="000F765B">
        <w:rPr>
          <w:lang w:eastAsia="fr-FR" w:bidi="fr-FR"/>
        </w:rPr>
        <w:t>drais, seulement, que ce fût pour de ces antagonismes premiers faire surgir une collaboration.</w:t>
      </w:r>
    </w:p>
    <w:p w14:paraId="1B8ED132" w14:textId="77777777" w:rsidR="00B9662D" w:rsidRPr="000F765B" w:rsidRDefault="00B9662D" w:rsidP="00B9662D">
      <w:pPr>
        <w:spacing w:before="120" w:after="120"/>
        <w:jc w:val="both"/>
      </w:pPr>
      <w:r w:rsidRPr="000F765B">
        <w:rPr>
          <w:lang w:eastAsia="fr-FR" w:bidi="fr-FR"/>
        </w:rPr>
        <w:t xml:space="preserve">Il nous arrive quelquefois ici, à l’un ou à l’autre, de parler de « l’esprit des </w:t>
      </w:r>
      <w:r w:rsidRPr="00F8337B">
        <w:rPr>
          <w:i/>
        </w:rPr>
        <w:t>Annales</w:t>
      </w:r>
      <w:r w:rsidRPr="00F8337B">
        <w:rPr>
          <w:i/>
          <w:lang w:eastAsia="fr-FR" w:bidi="fr-FR"/>
        </w:rPr>
        <w:t> </w:t>
      </w:r>
      <w:r w:rsidRPr="000F765B">
        <w:rPr>
          <w:lang w:eastAsia="fr-FR" w:bidi="fr-FR"/>
        </w:rPr>
        <w:t>». M. Hauser le sait bien : notre mot d’ordre est alliance.</w:t>
      </w:r>
    </w:p>
    <w:p w14:paraId="50FC3737" w14:textId="77777777" w:rsidR="00B9662D" w:rsidRDefault="00B9662D" w:rsidP="00B9662D">
      <w:pPr>
        <w:pStyle w:val="p"/>
      </w:pPr>
      <w:r w:rsidRPr="000F765B">
        <w:br w:type="page"/>
      </w:r>
      <w:r>
        <w:lastRenderedPageBreak/>
        <w:t>[890]</w:t>
      </w:r>
    </w:p>
    <w:p w14:paraId="76DF20D4" w14:textId="77777777" w:rsidR="00B9662D" w:rsidRDefault="00B9662D" w:rsidP="00B9662D">
      <w:pPr>
        <w:jc w:val="both"/>
      </w:pPr>
    </w:p>
    <w:p w14:paraId="68FB5BC6" w14:textId="77777777" w:rsidR="00B9662D" w:rsidRDefault="00B9662D" w:rsidP="00B9662D">
      <w:pPr>
        <w:jc w:val="both"/>
      </w:pPr>
    </w:p>
    <w:p w14:paraId="0DFCB764" w14:textId="77777777" w:rsidR="00B9662D" w:rsidRPr="00E07116" w:rsidRDefault="00B9662D" w:rsidP="00B9662D">
      <w:pPr>
        <w:jc w:val="both"/>
      </w:pPr>
    </w:p>
    <w:p w14:paraId="33141F7E" w14:textId="77777777" w:rsidR="00B9662D" w:rsidRPr="00F54CC7" w:rsidRDefault="00B9662D" w:rsidP="00B9662D">
      <w:pPr>
        <w:spacing w:after="120"/>
        <w:ind w:firstLine="0"/>
        <w:jc w:val="center"/>
        <w:rPr>
          <w:sz w:val="24"/>
        </w:rPr>
      </w:pPr>
      <w:bookmarkStart w:id="45" w:name="Melanges_t2_pt_8_chap_VI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2608E60A" w14:textId="77777777" w:rsidR="00B9662D" w:rsidRPr="00303F6A" w:rsidRDefault="00B9662D" w:rsidP="00B9662D">
      <w:pPr>
        <w:ind w:firstLine="0"/>
        <w:jc w:val="center"/>
        <w:rPr>
          <w:b/>
          <w:color w:val="000080"/>
          <w:sz w:val="24"/>
        </w:rPr>
      </w:pPr>
      <w:r>
        <w:rPr>
          <w:b/>
          <w:color w:val="000080"/>
          <w:sz w:val="24"/>
        </w:rPr>
        <w:t>8</w:t>
      </w:r>
      <w:r w:rsidRPr="00F82135">
        <w:rPr>
          <w:b/>
          <w:color w:val="000080"/>
          <w:sz w:val="24"/>
          <w:vertAlign w:val="superscript"/>
        </w:rPr>
        <w:t>e</w:t>
      </w:r>
      <w:r>
        <w:rPr>
          <w:b/>
          <w:color w:val="000080"/>
          <w:sz w:val="24"/>
        </w:rPr>
        <w:t xml:space="preserve"> PARTIE. HISTOIRE DE L’ÉCONOMIE</w:t>
      </w:r>
      <w:r>
        <w:rPr>
          <w:b/>
          <w:color w:val="000080"/>
          <w:sz w:val="24"/>
        </w:rPr>
        <w:br/>
        <w:t>ET DES TECHNIQUES</w:t>
      </w:r>
    </w:p>
    <w:p w14:paraId="3E6DC920" w14:textId="77777777" w:rsidR="00B9662D" w:rsidRPr="00384B20" w:rsidRDefault="00B9662D" w:rsidP="00B9662D">
      <w:pPr>
        <w:pStyle w:val="Titreniveau1"/>
      </w:pPr>
      <w:r w:rsidRPr="00384B20">
        <w:t xml:space="preserve">Chapitre </w:t>
      </w:r>
      <w:r>
        <w:t>VII</w:t>
      </w:r>
      <w:r w:rsidRPr="00384B20">
        <w:t>I</w:t>
      </w:r>
    </w:p>
    <w:p w14:paraId="14C9B302" w14:textId="77777777" w:rsidR="00B9662D" w:rsidRPr="00E07116" w:rsidRDefault="00B9662D" w:rsidP="00B9662D">
      <w:pPr>
        <w:jc w:val="both"/>
        <w:rPr>
          <w:szCs w:val="36"/>
        </w:rPr>
      </w:pPr>
    </w:p>
    <w:p w14:paraId="18E51A29" w14:textId="77777777" w:rsidR="00B9662D" w:rsidRPr="00E07116" w:rsidRDefault="00B9662D" w:rsidP="00B9662D">
      <w:pPr>
        <w:pStyle w:val="Titreniveau2"/>
      </w:pPr>
      <w:r>
        <w:t>le salaire</w:t>
      </w:r>
      <w:r>
        <w:br/>
        <w:t>et les fluctuations</w:t>
      </w:r>
      <w:r>
        <w:br/>
        <w:t>économiques</w:t>
      </w:r>
      <w:r>
        <w:br/>
        <w:t>à longue péri</w:t>
      </w:r>
      <w:r>
        <w:t>o</w:t>
      </w:r>
      <w:r>
        <w:t>de </w:t>
      </w:r>
      <w:r>
        <w:rPr>
          <w:rStyle w:val="Appelnotedebasdep"/>
        </w:rPr>
        <w:footnoteReference w:id="947"/>
      </w:r>
    </w:p>
    <w:bookmarkEnd w:id="45"/>
    <w:p w14:paraId="282966D8" w14:textId="77777777" w:rsidR="00B9662D" w:rsidRDefault="00B9662D" w:rsidP="00B9662D">
      <w:pPr>
        <w:jc w:val="both"/>
        <w:rPr>
          <w:szCs w:val="36"/>
        </w:rPr>
      </w:pPr>
    </w:p>
    <w:p w14:paraId="575B3F0A" w14:textId="77777777" w:rsidR="00B9662D" w:rsidRDefault="00B9662D" w:rsidP="00B9662D">
      <w:pPr>
        <w:spacing w:before="120" w:after="120"/>
        <w:jc w:val="both"/>
        <w:rPr>
          <w:color w:val="000000"/>
          <w:lang w:eastAsia="fr-FR" w:bidi="fr-FR"/>
        </w:rPr>
      </w:pPr>
    </w:p>
    <w:p w14:paraId="628E42EA" w14:textId="77777777" w:rsidR="00B9662D" w:rsidRDefault="00B9662D" w:rsidP="00B9662D">
      <w:pPr>
        <w:spacing w:before="120" w:after="120"/>
        <w:jc w:val="both"/>
        <w:rPr>
          <w:color w:val="000000"/>
          <w:lang w:eastAsia="fr-FR" w:bidi="fr-FR"/>
        </w:rPr>
      </w:pPr>
    </w:p>
    <w:p w14:paraId="06A9F483"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115EF7A" w14:textId="77777777" w:rsidR="00B9662D" w:rsidRPr="000F765B" w:rsidRDefault="00B9662D" w:rsidP="00B9662D">
      <w:pPr>
        <w:spacing w:before="120" w:after="120"/>
        <w:jc w:val="both"/>
      </w:pPr>
      <w:r w:rsidRPr="000F765B">
        <w:rPr>
          <w:lang w:eastAsia="fr-FR" w:bidi="fr-FR"/>
        </w:rPr>
        <w:t xml:space="preserve">En plusieurs ouvrages, presque coup sur coup, M. Simiand vient de nous donner le fruit de longues années de travail et de méditations. Autour d’une étude, qui fait centre, sur le </w:t>
      </w:r>
      <w:r w:rsidRPr="00F8337B">
        <w:rPr>
          <w:i/>
        </w:rPr>
        <w:t>Salaire</w:t>
      </w:r>
      <w:r w:rsidRPr="00F8337B">
        <w:rPr>
          <w:i/>
          <w:lang w:eastAsia="fr-FR" w:bidi="fr-FR"/>
        </w:rPr>
        <w:t xml:space="preserve">, </w:t>
      </w:r>
      <w:r w:rsidRPr="00F8337B">
        <w:rPr>
          <w:i/>
        </w:rPr>
        <w:t>révolution sociale et la monnaie</w:t>
      </w:r>
      <w:r>
        <w:t> </w:t>
      </w:r>
      <w:r>
        <w:rPr>
          <w:rStyle w:val="Appelnotedebasdep"/>
        </w:rPr>
        <w:footnoteReference w:id="948"/>
      </w:r>
      <w:r w:rsidRPr="000F765B">
        <w:rPr>
          <w:lang w:eastAsia="fr-FR" w:bidi="fr-FR"/>
        </w:rPr>
        <w:t xml:space="preserve">, se groupent un </w:t>
      </w:r>
      <w:r w:rsidRPr="00F8337B">
        <w:rPr>
          <w:i/>
        </w:rPr>
        <w:t>Cours d'économie politique </w:t>
      </w:r>
      <w:r>
        <w:rPr>
          <w:rStyle w:val="Appelnotedebasdep"/>
        </w:rPr>
        <w:footnoteReference w:id="949"/>
      </w:r>
      <w:r w:rsidRPr="000F765B">
        <w:rPr>
          <w:lang w:eastAsia="fr-FR" w:bidi="fr-FR"/>
        </w:rPr>
        <w:t xml:space="preserve">, un </w:t>
      </w:r>
      <w:r w:rsidRPr="000F765B">
        <w:rPr>
          <w:lang w:eastAsia="fr-FR" w:bidi="fr-FR"/>
        </w:rPr>
        <w:lastRenderedPageBreak/>
        <w:t xml:space="preserve">essai, d’esprit plus pragmatique, sur les </w:t>
      </w:r>
      <w:r w:rsidRPr="00F8337B">
        <w:rPr>
          <w:i/>
        </w:rPr>
        <w:t>Fluctuations économiques à longue période et la crise mondiale </w:t>
      </w:r>
      <w:r>
        <w:rPr>
          <w:rStyle w:val="Appelnotedebasdep"/>
        </w:rPr>
        <w:footnoteReference w:id="950"/>
      </w:r>
      <w:r w:rsidRPr="000F765B">
        <w:rPr>
          <w:lang w:eastAsia="fr-FR" w:bidi="fr-FR"/>
        </w:rPr>
        <w:t>, enfin, sur les travaux relatifs à l’histoire des prix, un examen critique, mêlé de vues très personne</w:t>
      </w:r>
      <w:r w:rsidRPr="000F765B">
        <w:rPr>
          <w:lang w:eastAsia="fr-FR" w:bidi="fr-FR"/>
        </w:rPr>
        <w:t>l</w:t>
      </w:r>
      <w:r w:rsidRPr="000F765B">
        <w:rPr>
          <w:lang w:eastAsia="fr-FR" w:bidi="fr-FR"/>
        </w:rPr>
        <w:t>les</w:t>
      </w:r>
      <w:r>
        <w:rPr>
          <w:lang w:eastAsia="fr-FR" w:bidi="fr-FR"/>
        </w:rPr>
        <w:t> </w:t>
      </w:r>
      <w:r>
        <w:rPr>
          <w:rStyle w:val="Appelnotedebasdep"/>
        </w:rPr>
        <w:footnoteReference w:id="951"/>
      </w:r>
      <w:r w:rsidRPr="000F765B">
        <w:rPr>
          <w:lang w:eastAsia="fr-FR" w:bidi="fr-FR"/>
        </w:rPr>
        <w:t>. Patiemment mûrie, soutenue dans son élaboration par un ense</w:t>
      </w:r>
      <w:r w:rsidRPr="000F765B">
        <w:rPr>
          <w:lang w:eastAsia="fr-FR" w:bidi="fr-FR"/>
        </w:rPr>
        <w:t>i</w:t>
      </w:r>
      <w:r w:rsidRPr="000F765B">
        <w:rPr>
          <w:lang w:eastAsia="fr-FR" w:bidi="fr-FR"/>
        </w:rPr>
        <w:t>gnement qu’un bonheur assez rare a permis d’accorder à la recherche, nourrie des expériences mêmes de l’action, l’œuvre n’est point ach</w:t>
      </w:r>
      <w:r w:rsidRPr="000F765B">
        <w:rPr>
          <w:lang w:eastAsia="fr-FR" w:bidi="fr-FR"/>
        </w:rPr>
        <w:t>e</w:t>
      </w:r>
      <w:r w:rsidRPr="000F765B">
        <w:rPr>
          <w:lang w:eastAsia="fr-FR" w:bidi="fr-FR"/>
        </w:rPr>
        <w:t>vée ; diverses perspectives, ouvertes çà et là, laissent entrevoir ses d</w:t>
      </w:r>
      <w:r w:rsidRPr="000F765B">
        <w:rPr>
          <w:lang w:eastAsia="fr-FR" w:bidi="fr-FR"/>
        </w:rPr>
        <w:t>i</w:t>
      </w:r>
      <w:r w:rsidRPr="000F765B">
        <w:rPr>
          <w:lang w:eastAsia="fr-FR" w:bidi="fr-FR"/>
        </w:rPr>
        <w:t>rections futures. Mais elle se présente dès maintenant avec des lignes assez nettes pour qu’il soit possible d’en mesurer l’ampleur et l’originalité. Je m’attacherai ici, spécialement, à l’enquête sur le sala</w:t>
      </w:r>
      <w:r w:rsidRPr="000F765B">
        <w:rPr>
          <w:lang w:eastAsia="fr-FR" w:bidi="fr-FR"/>
        </w:rPr>
        <w:t>i</w:t>
      </w:r>
      <w:r w:rsidRPr="000F765B">
        <w:rPr>
          <w:lang w:eastAsia="fr-FR" w:bidi="fr-FR"/>
        </w:rPr>
        <w:t>re. Les pièces de l’édifice sont unies, cependant, par des liens trop étroits pour qu’aucune d’elles puisse, sans arbitraire, être complèt</w:t>
      </w:r>
      <w:r w:rsidRPr="000F765B">
        <w:rPr>
          <w:lang w:eastAsia="fr-FR" w:bidi="fr-FR"/>
        </w:rPr>
        <w:t>e</w:t>
      </w:r>
      <w:r w:rsidRPr="000F765B">
        <w:rPr>
          <w:lang w:eastAsia="fr-FR" w:bidi="fr-FR"/>
        </w:rPr>
        <w:t>ment isolée de ses voisines. Aussi bien</w:t>
      </w:r>
      <w:r>
        <w:rPr>
          <w:lang w:eastAsia="fr-FR" w:bidi="fr-FR"/>
        </w:rPr>
        <w:t> — </w:t>
      </w:r>
      <w:r w:rsidRPr="000F765B">
        <w:rPr>
          <w:lang w:eastAsia="fr-FR" w:bidi="fr-FR"/>
        </w:rPr>
        <w:t>quitte à ce qu’il y soit rev</w:t>
      </w:r>
      <w:r w:rsidRPr="000F765B">
        <w:rPr>
          <w:lang w:eastAsia="fr-FR" w:bidi="fr-FR"/>
        </w:rPr>
        <w:t>e</w:t>
      </w:r>
      <w:r w:rsidRPr="000F765B">
        <w:rPr>
          <w:lang w:eastAsia="fr-FR" w:bidi="fr-FR"/>
        </w:rPr>
        <w:t xml:space="preserve">nu, sous d’autres formes, dans cette </w:t>
      </w:r>
      <w:r w:rsidRPr="00F8337B">
        <w:rPr>
          <w:i/>
        </w:rPr>
        <w:t>Revue</w:t>
      </w:r>
      <w:r w:rsidRPr="00F8337B">
        <w:rPr>
          <w:i/>
          <w:lang w:eastAsia="fr-FR" w:bidi="fr-FR"/>
        </w:rPr>
        <w:t> </w:t>
      </w:r>
      <w:r>
        <w:rPr>
          <w:lang w:eastAsia="fr-FR" w:bidi="fr-FR"/>
        </w:rPr>
        <w:t>— </w:t>
      </w:r>
      <w:r w:rsidRPr="000F765B">
        <w:rPr>
          <w:lang w:eastAsia="fr-FR" w:bidi="fr-FR"/>
        </w:rPr>
        <w:t>semble-t-il nécessaire,</w:t>
      </w:r>
      <w:r>
        <w:rPr>
          <w:lang w:eastAsia="fr-FR" w:bidi="fr-FR"/>
        </w:rPr>
        <w:t xml:space="preserve"> </w:t>
      </w:r>
      <w:r>
        <w:t>[</w:t>
      </w:r>
      <w:r w:rsidRPr="000F765B">
        <w:rPr>
          <w:lang w:eastAsia="fr-FR" w:bidi="fr-FR"/>
        </w:rPr>
        <w:t>891</w:t>
      </w:r>
      <w:r>
        <w:rPr>
          <w:lang w:eastAsia="fr-FR" w:bidi="fr-FR"/>
        </w:rPr>
        <w:t xml:space="preserve">] </w:t>
      </w:r>
      <w:r w:rsidRPr="000F765B">
        <w:rPr>
          <w:lang w:eastAsia="fr-FR" w:bidi="fr-FR"/>
        </w:rPr>
        <w:t>sans plus tarder, de signaler aux historiens, comme des parts dor</w:t>
      </w:r>
      <w:r w:rsidRPr="000F765B">
        <w:rPr>
          <w:lang w:eastAsia="fr-FR" w:bidi="fr-FR"/>
        </w:rPr>
        <w:t>é</w:t>
      </w:r>
      <w:r w:rsidRPr="000F765B">
        <w:rPr>
          <w:lang w:eastAsia="fr-FR" w:bidi="fr-FR"/>
        </w:rPr>
        <w:t xml:space="preserve">navant fondamentales de leur patrimoine, le </w:t>
      </w:r>
      <w:r w:rsidRPr="008C2237">
        <w:rPr>
          <w:i/>
        </w:rPr>
        <w:t>Cours d’économie polit</w:t>
      </w:r>
      <w:r w:rsidRPr="008C2237">
        <w:rPr>
          <w:i/>
        </w:rPr>
        <w:t>i</w:t>
      </w:r>
      <w:r w:rsidRPr="008C2237">
        <w:rPr>
          <w:i/>
        </w:rPr>
        <w:t>que</w:t>
      </w:r>
      <w:r w:rsidRPr="000F765B">
        <w:rPr>
          <w:lang w:eastAsia="fr-FR" w:bidi="fr-FR"/>
        </w:rPr>
        <w:t xml:space="preserve">, entre tous les précis de même ordre le mieux adapté à leurs besoins, parce qu’il est le plus proche des réalités humaines, et ces </w:t>
      </w:r>
      <w:r w:rsidRPr="008C2237">
        <w:rPr>
          <w:i/>
        </w:rPr>
        <w:t>R</w:t>
      </w:r>
      <w:r w:rsidRPr="008C2237">
        <w:rPr>
          <w:i/>
        </w:rPr>
        <w:t>e</w:t>
      </w:r>
      <w:r w:rsidRPr="008C2237">
        <w:rPr>
          <w:i/>
        </w:rPr>
        <w:t>cherches anciennes et nouvelles sur le mouvement général des prix</w:t>
      </w:r>
      <w:r w:rsidRPr="000F765B">
        <w:t>,</w:t>
      </w:r>
      <w:r w:rsidRPr="000F765B">
        <w:rPr>
          <w:lang w:eastAsia="fr-FR" w:bidi="fr-FR"/>
        </w:rPr>
        <w:t xml:space="preserve"> que la valeur à la fois de leur exposé de faits et de leurs considérations de méthode appelle à prendre rang parmi nos outils familiers.</w:t>
      </w:r>
    </w:p>
    <w:p w14:paraId="0190E368" w14:textId="77777777" w:rsidR="00B9662D" w:rsidRPr="000F765B" w:rsidRDefault="00B9662D" w:rsidP="00B9662D">
      <w:pPr>
        <w:spacing w:before="120" w:after="120"/>
        <w:jc w:val="both"/>
      </w:pPr>
      <w:r w:rsidRPr="000F765B">
        <w:rPr>
          <w:lang w:eastAsia="fr-FR" w:bidi="fr-FR"/>
        </w:rPr>
        <w:t>Il serait vain, par ailleurs, de le dissimuler : dans ses trois volumes sur le salaire</w:t>
      </w:r>
      <w:r>
        <w:rPr>
          <w:lang w:eastAsia="fr-FR" w:bidi="fr-FR"/>
        </w:rPr>
        <w:t> — </w:t>
      </w:r>
      <w:r w:rsidRPr="000F765B">
        <w:rPr>
          <w:lang w:eastAsia="fr-FR" w:bidi="fr-FR"/>
        </w:rPr>
        <w:t>beaucoup plus, à vrai dire, que dans les ouvrages p</w:t>
      </w:r>
      <w:r w:rsidRPr="000F765B">
        <w:rPr>
          <w:lang w:eastAsia="fr-FR" w:bidi="fr-FR"/>
        </w:rPr>
        <w:t>a</w:t>
      </w:r>
      <w:r w:rsidRPr="000F765B">
        <w:rPr>
          <w:lang w:eastAsia="fr-FR" w:bidi="fr-FR"/>
        </w:rPr>
        <w:t>rallèles</w:t>
      </w:r>
    </w:p>
    <w:p w14:paraId="2E70B638" w14:textId="77777777" w:rsidR="00B9662D" w:rsidRPr="000F765B" w:rsidRDefault="00B9662D" w:rsidP="00B9662D">
      <w:pPr>
        <w:spacing w:before="120" w:after="120"/>
        <w:jc w:val="both"/>
      </w:pPr>
      <w:r w:rsidRPr="000F765B">
        <w:rPr>
          <w:lang w:eastAsia="fr-FR" w:bidi="fr-FR"/>
        </w:rPr>
        <w:t xml:space="preserve">M. Simiand demande à ses lecteurs un travail assez rude. </w:t>
      </w:r>
      <w:r>
        <w:rPr>
          <w:lang w:eastAsia="fr-FR" w:bidi="fr-FR"/>
        </w:rPr>
        <w:t>À</w:t>
      </w:r>
      <w:r w:rsidRPr="000F765B">
        <w:rPr>
          <w:lang w:eastAsia="fr-FR" w:bidi="fr-FR"/>
        </w:rPr>
        <w:t xml:space="preserve"> tous, j’imagine. Mais, plus spécialement, aux historiens. Car la loi de nos recherches étant de chercher à découvrir, derrière la pâle expression des textes, la chair même de la vie, ce perpétuel effort vers le concret et le particulier tend à atrophier chez nous la faculté d’abstraction. Statisticien et, par suite, rompu aux habitudes du langage mathéma</w:t>
      </w:r>
      <w:r w:rsidRPr="000F765B">
        <w:rPr>
          <w:lang w:eastAsia="fr-FR" w:bidi="fr-FR"/>
        </w:rPr>
        <w:lastRenderedPageBreak/>
        <w:t>t</w:t>
      </w:r>
      <w:r w:rsidRPr="000F765B">
        <w:rPr>
          <w:lang w:eastAsia="fr-FR" w:bidi="fr-FR"/>
        </w:rPr>
        <w:t>i</w:t>
      </w:r>
      <w:r w:rsidRPr="000F765B">
        <w:rPr>
          <w:lang w:eastAsia="fr-FR" w:bidi="fr-FR"/>
        </w:rPr>
        <w:t>que, M. Simiand se plaît à user de simples lettres ou de chiffres, pou</w:t>
      </w:r>
      <w:r w:rsidRPr="000F765B">
        <w:rPr>
          <w:lang w:eastAsia="fr-FR" w:bidi="fr-FR"/>
        </w:rPr>
        <w:t>r</w:t>
      </w:r>
      <w:r w:rsidRPr="000F765B">
        <w:rPr>
          <w:lang w:eastAsia="fr-FR" w:bidi="fr-FR"/>
        </w:rPr>
        <w:t>vus ou non d’indices, pour noter et rappeler soit les divers ensembles, chronologiques ou statiques, qu’il distingue au sein de la complexe réalité, soit les principes de méthode qu’il s’applique à dégager. Avouons-le sans fausse honte : parmi ces préceptes J 1 ou H, ces d</w:t>
      </w:r>
      <w:r w:rsidRPr="000F765B">
        <w:rPr>
          <w:lang w:eastAsia="fr-FR" w:bidi="fr-FR"/>
        </w:rPr>
        <w:t>o</w:t>
      </w:r>
      <w:r w:rsidRPr="000F765B">
        <w:rPr>
          <w:lang w:eastAsia="fr-FR" w:bidi="fr-FR"/>
        </w:rPr>
        <w:t>cuments de la catégorie 2 1, ces phases A 1 ou A", nous avons que</w:t>
      </w:r>
      <w:r w:rsidRPr="000F765B">
        <w:rPr>
          <w:lang w:eastAsia="fr-FR" w:bidi="fr-FR"/>
        </w:rPr>
        <w:t>l</w:t>
      </w:r>
      <w:r w:rsidRPr="000F765B">
        <w:rPr>
          <w:lang w:eastAsia="fr-FR" w:bidi="fr-FR"/>
        </w:rPr>
        <w:t>que peine à frayer notre chemin. Par notre faute, sans nul doute ; mais la charité, en même temps que le souci d’assurer à l’œuvre tout son rayonnement, ne conseillait-elle pas de prendre davantage notre fa</w:t>
      </w:r>
      <w:r w:rsidRPr="000F765B">
        <w:rPr>
          <w:lang w:eastAsia="fr-FR" w:bidi="fr-FR"/>
        </w:rPr>
        <w:t>i</w:t>
      </w:r>
      <w:r w:rsidRPr="000F765B">
        <w:rPr>
          <w:lang w:eastAsia="fr-FR" w:bidi="fr-FR"/>
        </w:rPr>
        <w:t>blesse en pitié ?</w:t>
      </w:r>
    </w:p>
    <w:p w14:paraId="350B46FB" w14:textId="77777777" w:rsidR="00B9662D" w:rsidRPr="000F765B" w:rsidRDefault="00B9662D" w:rsidP="00B9662D">
      <w:pPr>
        <w:spacing w:before="120" w:after="120"/>
        <w:jc w:val="both"/>
      </w:pPr>
      <w:r w:rsidRPr="000F765B">
        <w:rPr>
          <w:lang w:eastAsia="fr-FR" w:bidi="fr-FR"/>
        </w:rPr>
        <w:t>Il y a plus. S’il est une erreur qu’au cours de sa carrière de théor</w:t>
      </w:r>
      <w:r w:rsidRPr="000F765B">
        <w:rPr>
          <w:lang w:eastAsia="fr-FR" w:bidi="fr-FR"/>
        </w:rPr>
        <w:t>i</w:t>
      </w:r>
      <w:r w:rsidRPr="000F765B">
        <w:rPr>
          <w:lang w:eastAsia="fr-FR" w:bidi="fr-FR"/>
        </w:rPr>
        <w:t>cien et de critique M. Simiand n’a cesse de dénoncer</w:t>
      </w:r>
      <w:r>
        <w:rPr>
          <w:lang w:eastAsia="fr-FR" w:bidi="fr-FR"/>
        </w:rPr>
        <w:t> — </w:t>
      </w:r>
      <w:r w:rsidRPr="000F765B">
        <w:rPr>
          <w:lang w:eastAsia="fr-FR" w:bidi="fr-FR"/>
        </w:rPr>
        <w:t>j’en appelle au so</w:t>
      </w:r>
      <w:r>
        <w:rPr>
          <w:lang w:eastAsia="fr-FR" w:bidi="fr-FR"/>
        </w:rPr>
        <w:t>uvenir de tous ceux qui, dans l’</w:t>
      </w:r>
      <w:r w:rsidRPr="008C2237">
        <w:rPr>
          <w:i/>
        </w:rPr>
        <w:t>Année sociologique</w:t>
      </w:r>
      <w:r w:rsidRPr="000F765B">
        <w:rPr>
          <w:lang w:eastAsia="fr-FR" w:bidi="fr-FR"/>
        </w:rPr>
        <w:t xml:space="preserve"> d’antan, ont trouvé un des meilleurs éléments intellectuels de leurs années d’apprentissage,</w:t>
      </w:r>
      <w:r>
        <w:rPr>
          <w:lang w:eastAsia="fr-FR" w:bidi="fr-FR"/>
        </w:rPr>
        <w:t> — </w:t>
      </w:r>
      <w:r w:rsidRPr="000F765B">
        <w:rPr>
          <w:lang w:eastAsia="fr-FR" w:bidi="fr-FR"/>
        </w:rPr>
        <w:t>c’est l’abus qui est fait couramment, dans les sciences humaines, des raisonnements de simple bon sens. Rien de mieux justifié, en soi, rien de plus sain, que cette vigoureuse camp</w:t>
      </w:r>
      <w:r w:rsidRPr="000F765B">
        <w:rPr>
          <w:lang w:eastAsia="fr-FR" w:bidi="fr-FR"/>
        </w:rPr>
        <w:t>a</w:t>
      </w:r>
      <w:r w:rsidRPr="000F765B">
        <w:rPr>
          <w:lang w:eastAsia="fr-FR" w:bidi="fr-FR"/>
        </w:rPr>
        <w:t>gne. Les prétendues vérités d’évidence</w:t>
      </w:r>
      <w:r>
        <w:rPr>
          <w:lang w:eastAsia="fr-FR" w:bidi="fr-FR"/>
        </w:rPr>
        <w:t> — </w:t>
      </w:r>
      <w:r w:rsidRPr="000F765B">
        <w:rPr>
          <w:lang w:eastAsia="fr-FR" w:bidi="fr-FR"/>
        </w:rPr>
        <w:t>d’évidence psychologique, notamment</w:t>
      </w:r>
      <w:r>
        <w:rPr>
          <w:lang w:eastAsia="fr-FR" w:bidi="fr-FR"/>
        </w:rPr>
        <w:t> — </w:t>
      </w:r>
      <w:r w:rsidRPr="000F765B">
        <w:rPr>
          <w:lang w:eastAsia="fr-FR" w:bidi="fr-FR"/>
        </w:rPr>
        <w:t>sur lesquelles prennent appui, dans tant d’ouvrages hi</w:t>
      </w:r>
      <w:r w:rsidRPr="000F765B">
        <w:rPr>
          <w:lang w:eastAsia="fr-FR" w:bidi="fr-FR"/>
        </w:rPr>
        <w:t>s</w:t>
      </w:r>
      <w:r w:rsidRPr="000F765B">
        <w:rPr>
          <w:lang w:eastAsia="fr-FR" w:bidi="fr-FR"/>
        </w:rPr>
        <w:t>toriques, les tentatives d’explication causale, ne sont, trop souvent, que de pures illusions, ou, au mieux, de grossières approximations, nécessaires peut-être à l’empirisme hâtif de la pratique, mais dont a</w:t>
      </w:r>
      <w:r w:rsidRPr="000F765B">
        <w:rPr>
          <w:lang w:eastAsia="fr-FR" w:bidi="fr-FR"/>
        </w:rPr>
        <w:t>u</w:t>
      </w:r>
      <w:r w:rsidRPr="000F765B">
        <w:rPr>
          <w:lang w:eastAsia="fr-FR" w:bidi="fr-FR"/>
        </w:rPr>
        <w:t xml:space="preserve">cune science, digne de ce nom, ne saurait se contenter : aussi bien, le propre de toute recherche scientifique n’est-il pas de substituer la connaissance à la devinette ? </w:t>
      </w:r>
      <w:r>
        <w:rPr>
          <w:lang w:eastAsia="fr-FR" w:bidi="fr-FR"/>
        </w:rPr>
        <w:t>À</w:t>
      </w:r>
      <w:r w:rsidRPr="000F765B">
        <w:rPr>
          <w:lang w:eastAsia="fr-FR" w:bidi="fr-FR"/>
        </w:rPr>
        <w:t xml:space="preserve"> refuser d’accepter, pour l’inflexible déroulement de son enquête, tout point de départ dont la légitimité n’aurait pas été, au préalable, soigneusement démontrée, à ne rejeter aucune explication possible, même la moins vraisemblable, sans en avoir établi, en forme, l’inanité, à ne jamais risquer, si je puis dire, un pas en avant sans que la solidité du sol n’ait été consciencieusement éprouvée, M. Simiand nous donne, certes, un admirable exemple de méthode. Il n’est pas, en particulier, de leçon capable d’inspirer de plus salutaires réflexions aux historiens, que la nature même de leur tâche expose sans cesse à la tentation de reporter, dans un passé dont tant d’éléments nous échappent, des vues a prioriques pillées dans d’imparfaites descriptions du présent. Et si, de ce soin même, il résu</w:t>
      </w:r>
      <w:r w:rsidRPr="000F765B">
        <w:rPr>
          <w:lang w:eastAsia="fr-FR" w:bidi="fr-FR"/>
        </w:rPr>
        <w:t>l</w:t>
      </w:r>
      <w:r w:rsidRPr="000F765B">
        <w:rPr>
          <w:lang w:eastAsia="fr-FR" w:bidi="fr-FR"/>
        </w:rPr>
        <w:t>te, par</w:t>
      </w:r>
      <w:r>
        <w:rPr>
          <w:lang w:eastAsia="fr-FR" w:bidi="fr-FR"/>
        </w:rPr>
        <w:t xml:space="preserve"> </w:t>
      </w:r>
      <w:r>
        <w:t xml:space="preserve">[892] </w:t>
      </w:r>
      <w:r w:rsidRPr="000F765B">
        <w:rPr>
          <w:lang w:eastAsia="fr-FR" w:bidi="fr-FR"/>
        </w:rPr>
        <w:t xml:space="preserve">moments, quelque fatigue pour le lecteur, nous dirons volontiers, d’accord, je suppose, avec M. Simiand : tant </w:t>
      </w:r>
      <w:r w:rsidRPr="000F765B">
        <w:rPr>
          <w:lang w:eastAsia="fr-FR" w:bidi="fr-FR"/>
        </w:rPr>
        <w:lastRenderedPageBreak/>
        <w:t>pis ! La science n’est pas faite pour ceux qui répugnent à l’acheter de leurs veilles. Il est permis cependant de se demander s’il n’y aurait pas eu moyen de nous épa</w:t>
      </w:r>
      <w:r w:rsidRPr="000F765B">
        <w:rPr>
          <w:lang w:eastAsia="fr-FR" w:bidi="fr-FR"/>
        </w:rPr>
        <w:t>r</w:t>
      </w:r>
      <w:r w:rsidRPr="000F765B">
        <w:rPr>
          <w:lang w:eastAsia="fr-FR" w:bidi="fr-FR"/>
        </w:rPr>
        <w:t>gner, au moins dans l’expression, certains détours et retours. La g</w:t>
      </w:r>
      <w:r w:rsidRPr="000F765B">
        <w:rPr>
          <w:lang w:eastAsia="fr-FR" w:bidi="fr-FR"/>
        </w:rPr>
        <w:t>a</w:t>
      </w:r>
      <w:r w:rsidRPr="000F765B">
        <w:rPr>
          <w:lang w:eastAsia="fr-FR" w:bidi="fr-FR"/>
        </w:rPr>
        <w:t>geure est belle, mais peut-être irréalisable, de vouloir éliminer du la</w:t>
      </w:r>
      <w:r w:rsidRPr="000F765B">
        <w:rPr>
          <w:lang w:eastAsia="fr-FR" w:bidi="fr-FR"/>
        </w:rPr>
        <w:t>n</w:t>
      </w:r>
      <w:r w:rsidRPr="000F765B">
        <w:rPr>
          <w:lang w:eastAsia="fr-FR" w:bidi="fr-FR"/>
        </w:rPr>
        <w:t>gage, voire du raisonnement, le moindre sous-entendu, et l’infirmité de notre œil fait qu’un mouvement trop décomposé cesse d’être ais</w:t>
      </w:r>
      <w:r w:rsidRPr="000F765B">
        <w:rPr>
          <w:lang w:eastAsia="fr-FR" w:bidi="fr-FR"/>
        </w:rPr>
        <w:t>é</w:t>
      </w:r>
      <w:r w:rsidRPr="000F765B">
        <w:rPr>
          <w:lang w:eastAsia="fr-FR" w:bidi="fr-FR"/>
        </w:rPr>
        <w:t>ment perçu. Ajoutez qu’une règle de méthode, sur laquelle nous reviendrons, ayant exclu toute utilisation de documents de cara</w:t>
      </w:r>
      <w:r w:rsidRPr="000F765B">
        <w:rPr>
          <w:lang w:eastAsia="fr-FR" w:bidi="fr-FR"/>
        </w:rPr>
        <w:t>c</w:t>
      </w:r>
      <w:r w:rsidRPr="000F765B">
        <w:rPr>
          <w:lang w:eastAsia="fr-FR" w:bidi="fr-FR"/>
        </w:rPr>
        <w:t>tère psychologique, l’homme qui, à y regarder de près, est partout pr</w:t>
      </w:r>
      <w:r w:rsidRPr="000F765B">
        <w:rPr>
          <w:lang w:eastAsia="fr-FR" w:bidi="fr-FR"/>
        </w:rPr>
        <w:t>é</w:t>
      </w:r>
      <w:r w:rsidRPr="000F765B">
        <w:rPr>
          <w:lang w:eastAsia="fr-FR" w:bidi="fr-FR"/>
        </w:rPr>
        <w:t>sent dans l’ouvrage, n’y paraît pourtant jamais au grand jour. C’en est a</w:t>
      </w:r>
      <w:r w:rsidRPr="000F765B">
        <w:rPr>
          <w:lang w:eastAsia="fr-FR" w:bidi="fr-FR"/>
        </w:rPr>
        <w:t>s</w:t>
      </w:r>
      <w:r w:rsidRPr="000F765B">
        <w:rPr>
          <w:lang w:eastAsia="fr-FR" w:bidi="fr-FR"/>
        </w:rPr>
        <w:t>sez pour donner à comprendre que la coque est dure. Mais, comme j’espère le montrer, quiconque prendra la peine de la rompre sera la</w:t>
      </w:r>
      <w:r w:rsidRPr="000F765B">
        <w:rPr>
          <w:lang w:eastAsia="fr-FR" w:bidi="fr-FR"/>
        </w:rPr>
        <w:t>r</w:t>
      </w:r>
      <w:r w:rsidRPr="000F765B">
        <w:rPr>
          <w:lang w:eastAsia="fr-FR" w:bidi="fr-FR"/>
        </w:rPr>
        <w:t>gement récompensé de son effort</w:t>
      </w:r>
      <w:r>
        <w:rPr>
          <w:lang w:eastAsia="fr-FR" w:bidi="fr-FR"/>
        </w:rPr>
        <w:t> </w:t>
      </w:r>
      <w:r>
        <w:rPr>
          <w:rStyle w:val="Appelnotedebasdep"/>
        </w:rPr>
        <w:footnoteReference w:id="952"/>
      </w:r>
      <w:r w:rsidRPr="000F765B">
        <w:rPr>
          <w:lang w:eastAsia="fr-FR" w:bidi="fr-FR"/>
        </w:rPr>
        <w:t>.</w:t>
      </w:r>
    </w:p>
    <w:p w14:paraId="0CAED8DA"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2AC1CDDE" w14:textId="77777777" w:rsidR="00B9662D" w:rsidRPr="000F765B" w:rsidRDefault="00B9662D" w:rsidP="00B9662D">
      <w:pPr>
        <w:spacing w:before="120" w:after="120"/>
        <w:jc w:val="both"/>
      </w:pPr>
      <w:r>
        <w:rPr>
          <w:lang w:eastAsia="fr-FR" w:bidi="fr-FR"/>
        </w:rPr>
        <w:t>À</w:t>
      </w:r>
      <w:r w:rsidRPr="000F765B">
        <w:rPr>
          <w:lang w:eastAsia="fr-FR" w:bidi="fr-FR"/>
        </w:rPr>
        <w:t xml:space="preserve"> la base même de la méthode de M. Simiand se place la notion d’expérience, empruntée aux sciences de la nature, mais pliée aux conditions propres des sciences de l’homme. Entre les deux ordres de connaissance, ce qui attire d’abord les yeux, c’est leur contraste, fra</w:t>
      </w:r>
      <w:r w:rsidRPr="000F765B">
        <w:rPr>
          <w:lang w:eastAsia="fr-FR" w:bidi="fr-FR"/>
        </w:rPr>
        <w:t>p</w:t>
      </w:r>
      <w:r w:rsidRPr="000F765B">
        <w:rPr>
          <w:lang w:eastAsia="fr-FR" w:bidi="fr-FR"/>
        </w:rPr>
        <w:t xml:space="preserve">pant à souhait. Le physicien, le biologiste même, dans leur laboratoire, </w:t>
      </w:r>
      <w:r w:rsidRPr="000F765B">
        <w:rPr>
          <w:lang w:eastAsia="fr-FR" w:bidi="fr-FR"/>
        </w:rPr>
        <w:lastRenderedPageBreak/>
        <w:t>reproduisent, à leur gré, les phénomènes et en font jouer les facteurs. Le sociologue, l’historien</w:t>
      </w:r>
      <w:r>
        <w:rPr>
          <w:lang w:eastAsia="fr-FR" w:bidi="fr-FR"/>
        </w:rPr>
        <w:t> — </w:t>
      </w:r>
      <w:r w:rsidRPr="000F765B">
        <w:rPr>
          <w:lang w:eastAsia="fr-FR" w:bidi="fr-FR"/>
        </w:rPr>
        <w:t>je suis de ceux qui, entre ces deux noms, ne voient nul abîme</w:t>
      </w:r>
      <w:r>
        <w:rPr>
          <w:lang w:eastAsia="fr-FR" w:bidi="fr-FR"/>
        </w:rPr>
        <w:t> — </w:t>
      </w:r>
      <w:r w:rsidRPr="000F765B">
        <w:rPr>
          <w:lang w:eastAsia="fr-FR" w:bidi="fr-FR"/>
        </w:rPr>
        <w:t>sont, par contre, presque toujours sans action sur l’objet de leur étude. Reçoivent-ils cependant, d’aventure, le po</w:t>
      </w:r>
      <w:r w:rsidRPr="000F765B">
        <w:rPr>
          <w:lang w:eastAsia="fr-FR" w:bidi="fr-FR"/>
        </w:rPr>
        <w:t>u</w:t>
      </w:r>
      <w:r w:rsidRPr="000F765B">
        <w:rPr>
          <w:lang w:eastAsia="fr-FR" w:bidi="fr-FR"/>
        </w:rPr>
        <w:t>voir de modeler un peu de matière humaine : tel M. Simiand lui-même qui, naguère, à l’Armement, fut appelé à exercer une part d’influence sur une de ces grandes fluctuations de salaires, dont il s’apprêtait déjà à écrire l’histoire ? Mille raisons n’en continuent pas moins de leur interdire la liberté de mouvement du chimiste, en face du chlore, ou du physiologiste, qui inocule des cobayes. En un mot, l’expérimentation leur est fermée. Non, au sens exact du mot, l’expérience</w:t>
      </w:r>
      <w:r>
        <w:rPr>
          <w:lang w:eastAsia="fr-FR" w:bidi="fr-FR"/>
        </w:rPr>
        <w:t> </w:t>
      </w:r>
      <w:r>
        <w:rPr>
          <w:rStyle w:val="Appelnotedebasdep"/>
        </w:rPr>
        <w:footnoteReference w:id="953"/>
      </w:r>
      <w:r w:rsidRPr="000F765B">
        <w:rPr>
          <w:lang w:eastAsia="fr-FR" w:bidi="fr-FR"/>
        </w:rPr>
        <w:t>. Cette « opération sur les faits, d’où l’esprit de l’opérateur tire une relation entre ces faits ou certains d’entre</w:t>
      </w:r>
      <w:r>
        <w:rPr>
          <w:lang w:eastAsia="fr-FR" w:bidi="fr-FR"/>
        </w:rPr>
        <w:t xml:space="preserve"> </w:t>
      </w:r>
      <w:r>
        <w:t xml:space="preserve">[893] </w:t>
      </w:r>
      <w:r w:rsidRPr="000F765B">
        <w:rPr>
          <w:lang w:eastAsia="fr-FR" w:bidi="fr-FR"/>
        </w:rPr>
        <w:t>eux », naît ici de la réalité elle-même et de ses variations, conven</w:t>
      </w:r>
      <w:r w:rsidRPr="000F765B">
        <w:rPr>
          <w:lang w:eastAsia="fr-FR" w:bidi="fr-FR"/>
        </w:rPr>
        <w:t>a</w:t>
      </w:r>
      <w:r w:rsidRPr="000F765B">
        <w:rPr>
          <w:lang w:eastAsia="fr-FR" w:bidi="fr-FR"/>
        </w:rPr>
        <w:t>blement observées et interprétées : pareillement, le médecin considère volontiers la maladie, qu’il n’a point provoquée, comme une exp</w:t>
      </w:r>
      <w:r w:rsidRPr="000F765B">
        <w:rPr>
          <w:lang w:eastAsia="fr-FR" w:bidi="fr-FR"/>
        </w:rPr>
        <w:t>é</w:t>
      </w:r>
      <w:r w:rsidRPr="000F765B">
        <w:rPr>
          <w:lang w:eastAsia="fr-FR" w:bidi="fr-FR"/>
        </w:rPr>
        <w:t>rience « naturelle ». Seulement, l’impossibilité où est le sociologue de disjoindre matériellement et de déclencher à part les divers facteurs qui semblent capables de conditionner le phénomène central l’oblige, beaucoup plus que le savant de laboratoire, à un emploi extrêmement poussé de la discussion analytique : ce qu’il ne peut isoler par le geste, il faut bien qu’il l’isole par l’esprit. D’où ces listes complètes des « circonstances de l’observation », ces « revues systématiques de tous les éléments », auxquelles les caractères spécifiques de sa science lui font un devoir de s’astreindre, avant d’accepter, fût-elle de « sens commun », aucune liaison causale. Pour l’ensemble des règles que M. Simiand, avec une rare fermeté de pensée, a fixées à sa recherche, il faut renvoyer le lecteur à l’introduction de l’ouvrage, véritable di</w:t>
      </w:r>
      <w:r w:rsidRPr="000F765B">
        <w:rPr>
          <w:lang w:eastAsia="fr-FR" w:bidi="fr-FR"/>
        </w:rPr>
        <w:t>s</w:t>
      </w:r>
      <w:r w:rsidRPr="000F765B">
        <w:rPr>
          <w:lang w:eastAsia="fr-FR" w:bidi="fr-FR"/>
        </w:rPr>
        <w:t>cours de la méthode « positive ». Je devrai me borner à retenir que</w:t>
      </w:r>
      <w:r w:rsidRPr="000F765B">
        <w:rPr>
          <w:lang w:eastAsia="fr-FR" w:bidi="fr-FR"/>
        </w:rPr>
        <w:t>l</w:t>
      </w:r>
      <w:r w:rsidRPr="000F765B">
        <w:rPr>
          <w:lang w:eastAsia="fr-FR" w:bidi="fr-FR"/>
        </w:rPr>
        <w:t>ques traits fondamentaux.</w:t>
      </w:r>
    </w:p>
    <w:p w14:paraId="6803955A" w14:textId="77777777" w:rsidR="00B9662D" w:rsidRPr="000F765B" w:rsidRDefault="00B9662D" w:rsidP="00B9662D">
      <w:pPr>
        <w:spacing w:before="120" w:after="120"/>
        <w:jc w:val="both"/>
      </w:pPr>
      <w:r w:rsidRPr="000F765B">
        <w:rPr>
          <w:lang w:eastAsia="fr-FR" w:bidi="fr-FR"/>
        </w:rPr>
        <w:t>De tous les préceptes ainsi formulés, il en est un, avant tout, où les travailleurs habitués à réfléchir sur le passé reconnaîtront une dire</w:t>
      </w:r>
      <w:r w:rsidRPr="000F765B">
        <w:rPr>
          <w:lang w:eastAsia="fr-FR" w:bidi="fr-FR"/>
        </w:rPr>
        <w:t>c</w:t>
      </w:r>
      <w:r w:rsidRPr="000F765B">
        <w:rPr>
          <w:lang w:eastAsia="fr-FR" w:bidi="fr-FR"/>
        </w:rPr>
        <w:t xml:space="preserve">tion d’esprit qui, plus ou moins consciente, leur est familière : celui qui reçoit le nom de précepte du « phénomène se produisant ». Un </w:t>
      </w:r>
      <w:r w:rsidRPr="000F765B">
        <w:rPr>
          <w:lang w:eastAsia="fr-FR" w:bidi="fr-FR"/>
        </w:rPr>
        <w:lastRenderedPageBreak/>
        <w:t>exemple, que j’emprunte à M. Simiand, en fera aisément saisir la s</w:t>
      </w:r>
      <w:r w:rsidRPr="000F765B">
        <w:rPr>
          <w:lang w:eastAsia="fr-FR" w:bidi="fr-FR"/>
        </w:rPr>
        <w:t>i</w:t>
      </w:r>
      <w:r w:rsidRPr="000F765B">
        <w:rPr>
          <w:lang w:eastAsia="fr-FR" w:bidi="fr-FR"/>
        </w:rPr>
        <w:t>gnification. Supposons qu’en une année donnée le salaire soit plus élevé en Angleterre qu’en France, et plus élevée aussi, là-bas qu’ici, la richesse globale de la nation. Serons-nous en droit, par cela seul, de formuler, entre les deux faits, une liaison causale, de dire, j’imagine : le salaire dépend de la richesse ? Non, certes. Afin de simplifier les termes du problème, tenons, si l’on veut, pour éliminées d’avance pl</w:t>
      </w:r>
      <w:r w:rsidRPr="000F765B">
        <w:rPr>
          <w:lang w:eastAsia="fr-FR" w:bidi="fr-FR"/>
        </w:rPr>
        <w:t>u</w:t>
      </w:r>
      <w:r w:rsidRPr="000F765B">
        <w:rPr>
          <w:lang w:eastAsia="fr-FR" w:bidi="fr-FR"/>
        </w:rPr>
        <w:t>sieurs possibilités qui, en bonne méthode, ne pourraient l’être qu’après un sérieux examen : existence d’autres relations de même sens, entre le salaire et divers ordres de phénomènes étrangers au co</w:t>
      </w:r>
      <w:r w:rsidRPr="000F765B">
        <w:rPr>
          <w:lang w:eastAsia="fr-FR" w:bidi="fr-FR"/>
        </w:rPr>
        <w:t>u</w:t>
      </w:r>
      <w:r w:rsidRPr="000F765B">
        <w:rPr>
          <w:lang w:eastAsia="fr-FR" w:bidi="fr-FR"/>
        </w:rPr>
        <w:t>ple d’abord envisagé ; action d’un troisième facteur, qui déterminerait à la fois richesse et salaire. Reste l’hypothèse que, de pays à pays, la divergence entre les salaires soit ou beaucoup plus ancienne que celle des richesses, ou beaucoup plus récente ; ou encore que, la double inégalité remontant à un passé lointain, on ait vu néanmoins, pendant la période antérieure, des deux côtés, la richesse constamment dim</w:t>
      </w:r>
      <w:r w:rsidRPr="000F765B">
        <w:rPr>
          <w:lang w:eastAsia="fr-FR" w:bidi="fr-FR"/>
        </w:rPr>
        <w:t>i</w:t>
      </w:r>
      <w:r w:rsidRPr="000F765B">
        <w:rPr>
          <w:lang w:eastAsia="fr-FR" w:bidi="fr-FR"/>
        </w:rPr>
        <w:t>nuer et le salaire constamment hausser. N’importe laquelle de ces éventualités suffirait à ruiner notre première conclusion ; comment les écarter, toutefois, sinon en étendant l’observation à toute une tranche du temps ? En science sociale, les seules expériences valables sont donc celles qui, prenant pour objet des variations dans leur succession chronologique, maintiennent au phénomène sa qualité de devenir. Ces variations, en outre, il est indispensable de les observer d’une façon à peu près continue, ou du moins à intervalles suffisamment rapprochés et surtout qu’on évitera de disposer arbitrairement. Précédemment d</w:t>
      </w:r>
      <w:r w:rsidRPr="000F765B">
        <w:rPr>
          <w:lang w:eastAsia="fr-FR" w:bidi="fr-FR"/>
        </w:rPr>
        <w:t>é</w:t>
      </w:r>
      <w:r w:rsidRPr="000F765B">
        <w:rPr>
          <w:lang w:eastAsia="fr-FR" w:bidi="fr-FR"/>
        </w:rPr>
        <w:t xml:space="preserve">jà, dans un petit livre plein de suc, qui s’intitule </w:t>
      </w:r>
      <w:r w:rsidRPr="000F765B">
        <w:t>Statistique et exp</w:t>
      </w:r>
      <w:r w:rsidRPr="000F765B">
        <w:t>é</w:t>
      </w:r>
      <w:r w:rsidRPr="000F765B">
        <w:t>rience</w:t>
      </w:r>
      <w:r>
        <w:t> </w:t>
      </w:r>
      <w:r>
        <w:rPr>
          <w:rStyle w:val="Appelnotedebasdep"/>
        </w:rPr>
        <w:footnoteReference w:id="954"/>
      </w:r>
      <w:r w:rsidRPr="000F765B">
        <w:t>,</w:t>
      </w:r>
      <w:r w:rsidRPr="000F765B">
        <w:rPr>
          <w:lang w:eastAsia="fr-FR" w:bidi="fr-FR"/>
        </w:rPr>
        <w:t xml:space="preserve"> M. Simiand, insistant sur ce principe de « phénoménoscopie suivie », en avait exprimé la nécessité à l’aide d’une ingénieuse par</w:t>
      </w:r>
      <w:r w:rsidRPr="000F765B">
        <w:rPr>
          <w:lang w:eastAsia="fr-FR" w:bidi="fr-FR"/>
        </w:rPr>
        <w:t>a</w:t>
      </w:r>
      <w:r w:rsidRPr="000F765B">
        <w:rPr>
          <w:lang w:eastAsia="fr-FR" w:bidi="fr-FR"/>
        </w:rPr>
        <w:t>bole : « un observateur... qui, ne sachant rien par</w:t>
      </w:r>
      <w:r>
        <w:t xml:space="preserve"> [894] </w:t>
      </w:r>
      <w:r w:rsidRPr="000F765B">
        <w:rPr>
          <w:lang w:eastAsia="fr-FR" w:bidi="fr-FR"/>
        </w:rPr>
        <w:t>ailleurs de la végétation, aurait seulement des constatations conjointes sur la ha</w:t>
      </w:r>
      <w:r w:rsidRPr="000F765B">
        <w:rPr>
          <w:lang w:eastAsia="fr-FR" w:bidi="fr-FR"/>
        </w:rPr>
        <w:t>u</w:t>
      </w:r>
      <w:r w:rsidRPr="000F765B">
        <w:rPr>
          <w:lang w:eastAsia="fr-FR" w:bidi="fr-FR"/>
        </w:rPr>
        <w:t>teur des arbres et sur la température, d’une part en avril, d’autre part en décembre, pourrait... en tirer que la croissance des arbres est liée à la diminution de la température ». De même, l’économiste qui, sur ses graphiques piquant des statistiques des sala</w:t>
      </w:r>
      <w:r w:rsidRPr="000F765B">
        <w:rPr>
          <w:lang w:eastAsia="fr-FR" w:bidi="fr-FR"/>
        </w:rPr>
        <w:t>i</w:t>
      </w:r>
      <w:r w:rsidRPr="000F765B">
        <w:rPr>
          <w:lang w:eastAsia="fr-FR" w:bidi="fr-FR"/>
        </w:rPr>
        <w:t>res établies de vingt en vingt ans, noterait qu’en 1920 ils étaient bea</w:t>
      </w:r>
      <w:r w:rsidRPr="000F765B">
        <w:rPr>
          <w:lang w:eastAsia="fr-FR" w:bidi="fr-FR"/>
        </w:rPr>
        <w:t>u</w:t>
      </w:r>
      <w:r w:rsidRPr="000F765B">
        <w:rPr>
          <w:lang w:eastAsia="fr-FR" w:bidi="fr-FR"/>
        </w:rPr>
        <w:t>coup plus élevés qu’en 1900, serait aisément conduit à attribuer cette montée tout entière aux événements les plus frappants de la période</w:t>
      </w:r>
      <w:r>
        <w:rPr>
          <w:lang w:eastAsia="fr-FR" w:bidi="fr-FR"/>
        </w:rPr>
        <w:t> — </w:t>
      </w:r>
      <w:r w:rsidRPr="000F765B">
        <w:rPr>
          <w:lang w:eastAsia="fr-FR" w:bidi="fr-FR"/>
        </w:rPr>
        <w:t xml:space="preserve">la guerre et ses </w:t>
      </w:r>
      <w:r w:rsidRPr="000F765B">
        <w:rPr>
          <w:lang w:eastAsia="fr-FR" w:bidi="fr-FR"/>
        </w:rPr>
        <w:lastRenderedPageBreak/>
        <w:t>su</w:t>
      </w:r>
      <w:r w:rsidRPr="000F765B">
        <w:rPr>
          <w:lang w:eastAsia="fr-FR" w:bidi="fr-FR"/>
        </w:rPr>
        <w:t>i</w:t>
      </w:r>
      <w:r w:rsidRPr="000F765B">
        <w:rPr>
          <w:lang w:eastAsia="fr-FR" w:bidi="fr-FR"/>
        </w:rPr>
        <w:t>tes,</w:t>
      </w:r>
      <w:r>
        <w:rPr>
          <w:lang w:eastAsia="fr-FR" w:bidi="fr-FR"/>
        </w:rPr>
        <w:t> — </w:t>
      </w:r>
      <w:r w:rsidRPr="000F765B">
        <w:rPr>
          <w:lang w:eastAsia="fr-FR" w:bidi="fr-FR"/>
        </w:rPr>
        <w:t>alors qu’un examen plus serré de la courbe prouve que le mo</w:t>
      </w:r>
      <w:r w:rsidRPr="000F765B">
        <w:rPr>
          <w:lang w:eastAsia="fr-FR" w:bidi="fr-FR"/>
        </w:rPr>
        <w:t>u</w:t>
      </w:r>
      <w:r w:rsidRPr="000F765B">
        <w:rPr>
          <w:lang w:eastAsia="fr-FR" w:bidi="fr-FR"/>
        </w:rPr>
        <w:t>vement avait commencé, dès les premières années du siècle, dans une France en paix, où l’étalon d’or n’avait e</w:t>
      </w:r>
      <w:r w:rsidRPr="000F765B">
        <w:rPr>
          <w:lang w:eastAsia="fr-FR" w:bidi="fr-FR"/>
        </w:rPr>
        <w:t>n</w:t>
      </w:r>
      <w:r w:rsidRPr="000F765B">
        <w:rPr>
          <w:lang w:eastAsia="fr-FR" w:bidi="fr-FR"/>
        </w:rPr>
        <w:t>core subi aucune atteinte. Il m’est arrivé naguère de définir l’histoire : « la science d’un chang</w:t>
      </w:r>
      <w:r w:rsidRPr="000F765B">
        <w:rPr>
          <w:lang w:eastAsia="fr-FR" w:bidi="fr-FR"/>
        </w:rPr>
        <w:t>e</w:t>
      </w:r>
      <w:r w:rsidRPr="000F765B">
        <w:rPr>
          <w:lang w:eastAsia="fr-FR" w:bidi="fr-FR"/>
        </w:rPr>
        <w:t>ment ». Je pensais alors, surtout, à l’utilisation trop souvent erronée que, oubliant l’écoulement du fleuve, font du passé diverses pratiques, d’ordre militaire ou politique. Mais la formule serait sans doute su</w:t>
      </w:r>
      <w:r w:rsidRPr="000F765B">
        <w:rPr>
          <w:lang w:eastAsia="fr-FR" w:bidi="fr-FR"/>
        </w:rPr>
        <w:t>s</w:t>
      </w:r>
      <w:r w:rsidRPr="000F765B">
        <w:rPr>
          <w:lang w:eastAsia="fr-FR" w:bidi="fr-FR"/>
        </w:rPr>
        <w:t>ceptible d’une application plus générale. M. Simiand, avec une r</w:t>
      </w:r>
      <w:r w:rsidRPr="000F765B">
        <w:rPr>
          <w:lang w:eastAsia="fr-FR" w:bidi="fr-FR"/>
        </w:rPr>
        <w:t>i</w:t>
      </w:r>
      <w:r w:rsidRPr="000F765B">
        <w:rPr>
          <w:lang w:eastAsia="fr-FR" w:bidi="fr-FR"/>
        </w:rPr>
        <w:t>gueur et une lucidité admirables, fonde en logique dans la sociologie, qui l’avait parfois quelque peu négligée, l’importance prépondérante du temps.</w:t>
      </w:r>
    </w:p>
    <w:p w14:paraId="6C857BC4" w14:textId="77777777" w:rsidR="00B9662D" w:rsidRPr="000F765B" w:rsidRDefault="00B9662D" w:rsidP="00B9662D">
      <w:pPr>
        <w:spacing w:before="120" w:after="120"/>
        <w:jc w:val="both"/>
      </w:pPr>
      <w:r w:rsidRPr="000F765B">
        <w:rPr>
          <w:lang w:eastAsia="fr-FR" w:bidi="fr-FR"/>
        </w:rPr>
        <w:t>On n’aura vraisemblablement pas manqué de le remarquer : l’exemple que je citais plus haut suggère déjà que M. Simiand ne met qu’une confiance assez faible dans un outil dont la sociologie a fait jusqu’ici grand état : la méthode comparative. Dans le cas choisi, à la vérité, il se trouvait n’envisager qu’une comparaison purement stat</w:t>
      </w:r>
      <w:r w:rsidRPr="000F765B">
        <w:rPr>
          <w:lang w:eastAsia="fr-FR" w:bidi="fr-FR"/>
        </w:rPr>
        <w:t>i</w:t>
      </w:r>
      <w:r w:rsidRPr="000F765B">
        <w:rPr>
          <w:lang w:eastAsia="fr-FR" w:bidi="fr-FR"/>
        </w:rPr>
        <w:t>que, entre deux sociétés saisies arbitrairement à un moment que</w:t>
      </w:r>
      <w:r w:rsidRPr="000F765B">
        <w:rPr>
          <w:lang w:eastAsia="fr-FR" w:bidi="fr-FR"/>
        </w:rPr>
        <w:t>l</w:t>
      </w:r>
      <w:r w:rsidRPr="000F765B">
        <w:rPr>
          <w:lang w:eastAsia="fr-FR" w:bidi="fr-FR"/>
        </w:rPr>
        <w:t>conque du temps ; c’était s’attaquer à une assez méchante application du procédé. Mais plus loin, à l’occasion de la règle qu’il a baptisée « précepte de l’identité de base », il revient sur sa critique, en lui do</w:t>
      </w:r>
      <w:r w:rsidRPr="000F765B">
        <w:rPr>
          <w:lang w:eastAsia="fr-FR" w:bidi="fr-FR"/>
        </w:rPr>
        <w:t>n</w:t>
      </w:r>
      <w:r w:rsidRPr="000F765B">
        <w:rPr>
          <w:lang w:eastAsia="fr-FR" w:bidi="fr-FR"/>
        </w:rPr>
        <w:t>nant une portée plus large. Dans les sciences humaines, nous dit-il, les expériences que l’observation des faits, dans leur déroulement spont</w:t>
      </w:r>
      <w:r w:rsidRPr="000F765B">
        <w:rPr>
          <w:lang w:eastAsia="fr-FR" w:bidi="fr-FR"/>
        </w:rPr>
        <w:t>a</w:t>
      </w:r>
      <w:r w:rsidRPr="000F765B">
        <w:rPr>
          <w:lang w:eastAsia="fr-FR" w:bidi="fr-FR"/>
        </w:rPr>
        <w:t>né, est seule à fournir, sont en nombre très limité. De cette poignée de cas, fortement individualisés, comment dégager des liaisons de valeur générale ? Surtout, alors que chacun d’eux nous apparaît enveloppé de tout un groupe de conditions qui lui sont particulières, comment, dans cette suite de réseaux singulièrement intriqués, discerner les circon</w:t>
      </w:r>
      <w:r w:rsidRPr="000F765B">
        <w:rPr>
          <w:lang w:eastAsia="fr-FR" w:bidi="fr-FR"/>
        </w:rPr>
        <w:t>s</w:t>
      </w:r>
      <w:r w:rsidRPr="000F765B">
        <w:rPr>
          <w:lang w:eastAsia="fr-FR" w:bidi="fr-FR"/>
        </w:rPr>
        <w:t>tances adventices, puis les causes ? On a souvent recommandé de confronter des sociétés différentes. C’est que, précisément, on les suppose diverses en tout, à l’exception de quelques éléments seul</w:t>
      </w:r>
      <w:r w:rsidRPr="000F765B">
        <w:rPr>
          <w:lang w:eastAsia="fr-FR" w:bidi="fr-FR"/>
        </w:rPr>
        <w:t>e</w:t>
      </w:r>
      <w:r w:rsidRPr="000F765B">
        <w:rPr>
          <w:lang w:eastAsia="fr-FR" w:bidi="fr-FR"/>
        </w:rPr>
        <w:t>ment, semblables de part et d’autre ou, du moins, semblablement liés et, par là, comme naturellement isolés de la masse. En France, j’imagine, et en Angleterre, l’évolution du salaire soutiendrait avec celle des moyens monétaires une relation dont le sens serait, des deux côtés, pareil ; au contraire la structure sociale, l’atmosphère religieuse ou intellectuelle présenteraient, de nation à nation, des contrastes trop vifs pour pouvoir être considérées comme causes d’une variation en son princi</w:t>
      </w:r>
      <w:r>
        <w:rPr>
          <w:lang w:eastAsia="fr-FR" w:bidi="fr-FR"/>
        </w:rPr>
        <w:t>pe homologue. Mais, rétorque M. </w:t>
      </w:r>
      <w:r w:rsidRPr="000F765B">
        <w:rPr>
          <w:lang w:eastAsia="fr-FR" w:bidi="fr-FR"/>
        </w:rPr>
        <w:t xml:space="preserve">Simiand, comment être assuré que ces </w:t>
      </w:r>
      <w:r w:rsidRPr="000F765B">
        <w:rPr>
          <w:lang w:eastAsia="fr-FR" w:bidi="fr-FR"/>
        </w:rPr>
        <w:lastRenderedPageBreak/>
        <w:t>contrastes même n’exercent pas une action sur les d</w:t>
      </w:r>
      <w:r w:rsidRPr="000F765B">
        <w:rPr>
          <w:lang w:eastAsia="fr-FR" w:bidi="fr-FR"/>
        </w:rPr>
        <w:t>i</w:t>
      </w:r>
      <w:r w:rsidRPr="000F765B">
        <w:rPr>
          <w:lang w:eastAsia="fr-FR" w:bidi="fr-FR"/>
        </w:rPr>
        <w:t>vergences des salaires ? A-t-on le droit, après tout</w:t>
      </w:r>
      <w:r>
        <w:rPr>
          <w:lang w:eastAsia="fr-FR" w:bidi="fr-FR"/>
        </w:rPr>
        <w:t> — </w:t>
      </w:r>
      <w:r w:rsidRPr="000F765B">
        <w:rPr>
          <w:lang w:eastAsia="fr-FR" w:bidi="fr-FR"/>
        </w:rPr>
        <w:t>ajoute-t-il pla</w:t>
      </w:r>
      <w:r w:rsidRPr="000F765B">
        <w:rPr>
          <w:lang w:eastAsia="fr-FR" w:bidi="fr-FR"/>
        </w:rPr>
        <w:t>i</w:t>
      </w:r>
      <w:r w:rsidRPr="000F765B">
        <w:rPr>
          <w:lang w:eastAsia="fr-FR" w:bidi="fr-FR"/>
        </w:rPr>
        <w:t>samment</w:t>
      </w:r>
      <w:r>
        <w:rPr>
          <w:lang w:eastAsia="fr-FR" w:bidi="fr-FR"/>
        </w:rPr>
        <w:t> — </w:t>
      </w:r>
      <w:r w:rsidRPr="000F765B">
        <w:rPr>
          <w:lang w:eastAsia="fr-FR" w:bidi="fr-FR"/>
        </w:rPr>
        <w:t xml:space="preserve">d’écarter, </w:t>
      </w:r>
      <w:r w:rsidRPr="008C2237">
        <w:rPr>
          <w:i/>
        </w:rPr>
        <w:t>a priori</w:t>
      </w:r>
      <w:r w:rsidRPr="000F765B">
        <w:rPr>
          <w:lang w:eastAsia="fr-FR" w:bidi="fr-FR"/>
        </w:rPr>
        <w:t>, l’hypothèse qui, dans la consomm</w:t>
      </w:r>
      <w:r w:rsidRPr="000F765B">
        <w:rPr>
          <w:lang w:eastAsia="fr-FR" w:bidi="fr-FR"/>
        </w:rPr>
        <w:t>a</w:t>
      </w:r>
      <w:r w:rsidRPr="000F765B">
        <w:rPr>
          <w:lang w:eastAsia="fr-FR" w:bidi="fr-FR"/>
        </w:rPr>
        <w:t>tion du thé, plus forte en Angleterre, dans celle du vin, plus forte en France, verrait l’origine de cette inégalité entre les rémunérations o</w:t>
      </w:r>
      <w:r w:rsidRPr="000F765B">
        <w:rPr>
          <w:lang w:eastAsia="fr-FR" w:bidi="fr-FR"/>
        </w:rPr>
        <w:t>u</w:t>
      </w:r>
      <w:r w:rsidRPr="000F765B">
        <w:rPr>
          <w:lang w:eastAsia="fr-FR" w:bidi="fr-FR"/>
        </w:rPr>
        <w:t>vrières ? Mieux vaut se borner à une société unique</w:t>
      </w:r>
      <w:r>
        <w:t xml:space="preserve"> [895] </w:t>
      </w:r>
      <w:r w:rsidRPr="000F765B">
        <w:rPr>
          <w:lang w:eastAsia="fr-FR" w:bidi="fr-FR"/>
        </w:rPr>
        <w:t xml:space="preserve">étudiée, bien entendu, en succession chronologique. </w:t>
      </w:r>
      <w:r>
        <w:rPr>
          <w:lang w:eastAsia="fr-FR" w:bidi="fr-FR"/>
        </w:rPr>
        <w:t>Il</w:t>
      </w:r>
      <w:r w:rsidRPr="000F765B">
        <w:rPr>
          <w:lang w:eastAsia="fr-FR" w:bidi="fr-FR"/>
        </w:rPr>
        <w:t xml:space="preserve"> y a chance alors que, parmi les facteurs les plus difficiles à atteindre, un grand nombre d</w:t>
      </w:r>
      <w:r w:rsidRPr="000F765B">
        <w:rPr>
          <w:lang w:eastAsia="fr-FR" w:bidi="fr-FR"/>
        </w:rPr>
        <w:t>e</w:t>
      </w:r>
      <w:r w:rsidRPr="000F765B">
        <w:rPr>
          <w:lang w:eastAsia="fr-FR" w:bidi="fr-FR"/>
        </w:rPr>
        <w:t>meurent constants, durant toute la période envisagée, et, par suite, ne puissent être soupçonnés d’aucune influence sur la variation fond</w:t>
      </w:r>
      <w:r w:rsidRPr="000F765B">
        <w:rPr>
          <w:lang w:eastAsia="fr-FR" w:bidi="fr-FR"/>
        </w:rPr>
        <w:t>a</w:t>
      </w:r>
      <w:r w:rsidRPr="000F765B">
        <w:rPr>
          <w:lang w:eastAsia="fr-FR" w:bidi="fr-FR"/>
        </w:rPr>
        <w:t>mentale. D’autres, au contraire, paraîtront subir eux-mêmes quelques transformations ; nous en serons quittes pour examiner ce</w:t>
      </w:r>
      <w:r w:rsidRPr="000F765B">
        <w:rPr>
          <w:lang w:eastAsia="fr-FR" w:bidi="fr-FR"/>
        </w:rPr>
        <w:t>l</w:t>
      </w:r>
      <w:r w:rsidRPr="000F765B">
        <w:rPr>
          <w:lang w:eastAsia="fr-FR" w:bidi="fr-FR"/>
        </w:rPr>
        <w:t>les-ci. C’est pourquoi les salaires français, et eux seuls, ont formé la matière de l’enquête.</w:t>
      </w:r>
    </w:p>
    <w:p w14:paraId="57E9FD2C" w14:textId="77777777" w:rsidR="00B9662D" w:rsidRPr="000F765B" w:rsidRDefault="00B9662D" w:rsidP="00B9662D">
      <w:pPr>
        <w:spacing w:before="120" w:after="120"/>
        <w:jc w:val="both"/>
      </w:pPr>
      <w:r w:rsidRPr="000F765B">
        <w:rPr>
          <w:lang w:eastAsia="fr-FR" w:bidi="fr-FR"/>
        </w:rPr>
        <w:t xml:space="preserve">Nul ne sera tenté de méconnaître la force de cette critique : elle porte, et de façon décisive, contre beaucoup d’utilisations abusives, ou légères, de la méthode comparative. Contre cette méthode en elle-même, partout et toujours ? M. Simiand serait sans doute le dernier à le soutenir : n’a-t-il pas lui-même, dans ses </w:t>
      </w:r>
      <w:r w:rsidRPr="008C2237">
        <w:rPr>
          <w:i/>
        </w:rPr>
        <w:t>Recherches sur les prix</w:t>
      </w:r>
      <w:r w:rsidRPr="000F765B">
        <w:t>,</w:t>
      </w:r>
      <w:r w:rsidRPr="000F765B">
        <w:rPr>
          <w:lang w:eastAsia="fr-FR" w:bidi="fr-FR"/>
        </w:rPr>
        <w:t xml:space="preserve"> accordé à la comparaison, de pays à pays, une grande place ? Sans prétendre entamer ici un plaidoyer selon toute apparence bien inutile et qui, d’ailleurs, exigerait un développement longuement nuancé, je me bornerai à deux observations.</w:t>
      </w:r>
    </w:p>
    <w:p w14:paraId="46A25B46" w14:textId="77777777" w:rsidR="00B9662D" w:rsidRPr="000F765B" w:rsidRDefault="00B9662D" w:rsidP="00B9662D">
      <w:pPr>
        <w:spacing w:before="120" w:after="120"/>
        <w:jc w:val="both"/>
      </w:pPr>
      <w:r w:rsidRPr="000F765B">
        <w:rPr>
          <w:lang w:eastAsia="fr-FR" w:bidi="fr-FR"/>
        </w:rPr>
        <w:t xml:space="preserve">« Identité de base ? » en d’autres termes nécessité de prendre pour matière de l’étude un ensemble humain véritablement un et durable, une chose de vie, non un mot ? Règle d’or assurément, entre toutes sacrée. C’est, au fond, le précepte même que, naguère, dans </w:t>
      </w:r>
      <w:r w:rsidRPr="008C2237">
        <w:rPr>
          <w:i/>
        </w:rPr>
        <w:t>Statist</w:t>
      </w:r>
      <w:r w:rsidRPr="008C2237">
        <w:rPr>
          <w:i/>
        </w:rPr>
        <w:t>i</w:t>
      </w:r>
      <w:r w:rsidRPr="008C2237">
        <w:rPr>
          <w:i/>
        </w:rPr>
        <w:t>que et expérience</w:t>
      </w:r>
      <w:r w:rsidRPr="000F765B">
        <w:t>,</w:t>
      </w:r>
      <w:r w:rsidRPr="000F765B">
        <w:rPr>
          <w:lang w:eastAsia="fr-FR" w:bidi="fr-FR"/>
        </w:rPr>
        <w:t xml:space="preserve"> à pr</w:t>
      </w:r>
      <w:r>
        <w:rPr>
          <w:lang w:eastAsia="fr-FR" w:bidi="fr-FR"/>
        </w:rPr>
        <w:t>opos du calcul des moyennes, M. </w:t>
      </w:r>
      <w:r w:rsidRPr="000F765B">
        <w:rPr>
          <w:lang w:eastAsia="fr-FR" w:bidi="fr-FR"/>
        </w:rPr>
        <w:t>Simiand e</w:t>
      </w:r>
      <w:r w:rsidRPr="000F765B">
        <w:rPr>
          <w:lang w:eastAsia="fr-FR" w:bidi="fr-FR"/>
        </w:rPr>
        <w:t>x</w:t>
      </w:r>
      <w:r w:rsidRPr="000F765B">
        <w:rPr>
          <w:lang w:eastAsia="fr-FR" w:bidi="fr-FR"/>
        </w:rPr>
        <w:t>posait avec tant de fermeté : la moyenne des tailles des adultes, dans une espèce animale, dans une nation, dans une classe, exprime une réalité ; celle des tailles des divers animaux, réunis, par hasard, dans une ménagerie, n’est qu’un chiffre vain. Mais, précisément, surtout lorsqu’on remonte un peu haut dans le passé, un premier travail de comparaison est indispensable à la reconnaissance de pareils ense</w:t>
      </w:r>
      <w:r w:rsidRPr="000F765B">
        <w:rPr>
          <w:lang w:eastAsia="fr-FR" w:bidi="fr-FR"/>
        </w:rPr>
        <w:t>m</w:t>
      </w:r>
      <w:r w:rsidRPr="000F765B">
        <w:rPr>
          <w:lang w:eastAsia="fr-FR" w:bidi="fr-FR"/>
        </w:rPr>
        <w:t>bles : bornage délicat, dont la nécessité échappe encore, trop souvent, aux sciences historiques. On admettra volontiers que, pour une étude des salaires, à l’époque contemporaine, un cadre national très simple n’offrait guère que des avantages. Supposons, un instant</w:t>
      </w:r>
      <w:r>
        <w:rPr>
          <w:lang w:eastAsia="fr-FR" w:bidi="fr-FR"/>
        </w:rPr>
        <w:t> —</w:t>
      </w:r>
      <w:r>
        <w:rPr>
          <w:lang w:eastAsia="fr-FR" w:bidi="fr-FR"/>
        </w:rPr>
        <w:lastRenderedPageBreak/>
        <w:t> </w:t>
      </w:r>
      <w:r w:rsidRPr="000F765B">
        <w:rPr>
          <w:lang w:eastAsia="fr-FR" w:bidi="fr-FR"/>
        </w:rPr>
        <w:t>contrairement hélas ! à la vérité</w:t>
      </w:r>
      <w:r>
        <w:rPr>
          <w:lang w:eastAsia="fr-FR" w:bidi="fr-FR"/>
        </w:rPr>
        <w:t> — </w:t>
      </w:r>
      <w:r w:rsidRPr="000F765B">
        <w:rPr>
          <w:lang w:eastAsia="fr-FR" w:bidi="fr-FR"/>
        </w:rPr>
        <w:t xml:space="preserve">que l’état de la documentation permette d’entreprendre, sur le </w:t>
      </w:r>
      <w:r w:rsidRPr="009F54E5">
        <w:rPr>
          <w:smallCaps/>
          <w:lang w:eastAsia="fr-FR" w:bidi="fr-FR"/>
        </w:rPr>
        <w:t>xiii</w:t>
      </w:r>
      <w:r w:rsidRPr="000F765B">
        <w:rPr>
          <w:vertAlign w:val="superscript"/>
          <w:lang w:eastAsia="fr-FR" w:bidi="fr-FR"/>
        </w:rPr>
        <w:t>e</w:t>
      </w:r>
      <w:r w:rsidRPr="000F765B">
        <w:rPr>
          <w:lang w:eastAsia="fr-FR" w:bidi="fr-FR"/>
        </w:rPr>
        <w:t xml:space="preserve"> siècle, une enquête de même o</w:t>
      </w:r>
      <w:r w:rsidRPr="000F765B">
        <w:rPr>
          <w:lang w:eastAsia="fr-FR" w:bidi="fr-FR"/>
        </w:rPr>
        <w:t>r</w:t>
      </w:r>
      <w:r w:rsidRPr="000F765B">
        <w:rPr>
          <w:lang w:eastAsia="fr-FR" w:bidi="fr-FR"/>
        </w:rPr>
        <w:t>dre : je doute fort qu’elle pût utilement choisir pour limites les fronti</w:t>
      </w:r>
      <w:r w:rsidRPr="000F765B">
        <w:rPr>
          <w:lang w:eastAsia="fr-FR" w:bidi="fr-FR"/>
        </w:rPr>
        <w:t>è</w:t>
      </w:r>
      <w:r w:rsidRPr="000F765B">
        <w:rPr>
          <w:lang w:eastAsia="fr-FR" w:bidi="fr-FR"/>
        </w:rPr>
        <w:t>res du royaume de France d’alors, ou de la France actuelle. Et je suis bien sûr qu’en ce qui touche le développement urbain médiéval ou l’évolution des institutions vassaliques, la Picardie française forme avec le Hainaut impérial et peut-être même avec la Rhénanie, un groupe beaucoup plus homogène que, par exemple, avec la Narbo</w:t>
      </w:r>
      <w:r w:rsidRPr="000F765B">
        <w:rPr>
          <w:lang w:eastAsia="fr-FR" w:bidi="fr-FR"/>
        </w:rPr>
        <w:t>n</w:t>
      </w:r>
      <w:r w:rsidRPr="000F765B">
        <w:rPr>
          <w:lang w:eastAsia="fr-FR" w:bidi="fr-FR"/>
        </w:rPr>
        <w:t>naise. Or, cela, comment le saurai-je, sinon après avoir procédé à quelques rapprochements ?</w:t>
      </w:r>
    </w:p>
    <w:p w14:paraId="5D94618C" w14:textId="77777777" w:rsidR="00B9662D" w:rsidRPr="000F765B" w:rsidRDefault="00B9662D" w:rsidP="00B9662D">
      <w:pPr>
        <w:spacing w:before="120" w:after="120"/>
        <w:jc w:val="both"/>
      </w:pPr>
      <w:r w:rsidRPr="000F765B">
        <w:rPr>
          <w:lang w:eastAsia="fr-FR" w:bidi="fr-FR"/>
        </w:rPr>
        <w:t>Mais il y a plus. M. Simiand me paraît rabaisser un peu trop la v</w:t>
      </w:r>
      <w:r w:rsidRPr="000F765B">
        <w:rPr>
          <w:lang w:eastAsia="fr-FR" w:bidi="fr-FR"/>
        </w:rPr>
        <w:t>a</w:t>
      </w:r>
      <w:r w:rsidRPr="000F765B">
        <w:rPr>
          <w:lang w:eastAsia="fr-FR" w:bidi="fr-FR"/>
        </w:rPr>
        <w:t>leur de la comparaison, comme réactif capable d’écarter les conditions accessoires. On voudra bien me permettre, pour plus de brièveté, de choisir un exemple que j’ai déjà développé ailleurs. Soit un régime agraire, celui des champs ouverts et allongés. Si je ne l’étudie qu’en Allemagne</w:t>
      </w:r>
      <w:r>
        <w:rPr>
          <w:lang w:eastAsia="fr-FR" w:bidi="fr-FR"/>
        </w:rPr>
        <w:t> — </w:t>
      </w:r>
      <w:r w:rsidRPr="000F765B">
        <w:rPr>
          <w:lang w:eastAsia="fr-FR" w:bidi="fr-FR"/>
        </w:rPr>
        <w:t>le cas s’est présenté</w:t>
      </w:r>
      <w:r>
        <w:rPr>
          <w:lang w:eastAsia="fr-FR" w:bidi="fr-FR"/>
        </w:rPr>
        <w:t> — </w:t>
      </w:r>
      <w:r w:rsidRPr="000F765B">
        <w:rPr>
          <w:lang w:eastAsia="fr-FR" w:bidi="fr-FR"/>
        </w:rPr>
        <w:t>je serai aisément tenté d’en voir la cause dans des particularités propres aux sociétés germaniques. Or, ici, pour éprouver mon hypothèse, les variations dans le temps ne me prêteront évidemment aucun secours. Suis-je, au contraire, amené à constater qu’il est ou a été</w:t>
      </w:r>
      <w:r>
        <w:t xml:space="preserve"> [896] </w:t>
      </w:r>
      <w:r w:rsidRPr="000F765B">
        <w:rPr>
          <w:lang w:eastAsia="fr-FR" w:bidi="fr-FR"/>
        </w:rPr>
        <w:t>largement répandu, hors d’Allemagne, dans des pays dont la pop</w:t>
      </w:r>
      <w:r w:rsidRPr="000F765B">
        <w:rPr>
          <w:lang w:eastAsia="fr-FR" w:bidi="fr-FR"/>
        </w:rPr>
        <w:t>u</w:t>
      </w:r>
      <w:r w:rsidRPr="000F765B">
        <w:rPr>
          <w:lang w:eastAsia="fr-FR" w:bidi="fr-FR"/>
        </w:rPr>
        <w:t>lation, étrangère au groupe germanique, s’avère, par ailleurs, comme n’ayant jamais subi bien profondément, dans ses coutumes agraires, l’influence de ce groupe ? Ma première construction, visiblement, s’écroule. Mais qu’ai-je fait, en termes d’expériences, sinon éliminer un facteur, en l’espèce le fa</w:t>
      </w:r>
      <w:r w:rsidRPr="000F765B">
        <w:rPr>
          <w:lang w:eastAsia="fr-FR" w:bidi="fr-FR"/>
        </w:rPr>
        <w:t>c</w:t>
      </w:r>
      <w:r w:rsidRPr="000F765B">
        <w:rPr>
          <w:lang w:eastAsia="fr-FR" w:bidi="fr-FR"/>
        </w:rPr>
        <w:t>teur ethnique, ou une de ses formes ?</w:t>
      </w:r>
    </w:p>
    <w:p w14:paraId="206F1EE3" w14:textId="77777777" w:rsidR="00B9662D" w:rsidRDefault="00B9662D" w:rsidP="00B9662D">
      <w:pPr>
        <w:pStyle w:val="c"/>
        <w:rPr>
          <w:lang w:eastAsia="fr-FR" w:bidi="fr-FR"/>
        </w:rPr>
      </w:pPr>
      <w:r>
        <w:rPr>
          <w:lang w:eastAsia="fr-FR" w:bidi="fr-FR"/>
        </w:rPr>
        <w:t>*</w:t>
      </w:r>
      <w:r>
        <w:rPr>
          <w:lang w:eastAsia="fr-FR" w:bidi="fr-FR"/>
        </w:rPr>
        <w:br/>
        <w:t>*     *</w:t>
      </w:r>
    </w:p>
    <w:p w14:paraId="6200BAF0" w14:textId="77777777" w:rsidR="00B9662D" w:rsidRPr="000F765B" w:rsidRDefault="00B9662D" w:rsidP="00B9662D">
      <w:pPr>
        <w:spacing w:before="120" w:after="120"/>
        <w:jc w:val="both"/>
      </w:pPr>
      <w:r w:rsidRPr="000F765B">
        <w:rPr>
          <w:lang w:eastAsia="fr-FR" w:bidi="fr-FR"/>
        </w:rPr>
        <w:t>Le salaire, tel que M. Simiand s’est proposé de l’étudier, est, au propre, le salaire ouvrier, c’est-à-dire la somme de monnaie en écha</w:t>
      </w:r>
      <w:r w:rsidRPr="000F765B">
        <w:rPr>
          <w:lang w:eastAsia="fr-FR" w:bidi="fr-FR"/>
        </w:rPr>
        <w:t>n</w:t>
      </w:r>
      <w:r w:rsidRPr="000F765B">
        <w:rPr>
          <w:lang w:eastAsia="fr-FR" w:bidi="fr-FR"/>
        </w:rPr>
        <w:t>ge de laquelle est loué « un travail essentiellement manuel », ou e</w:t>
      </w:r>
      <w:r w:rsidRPr="000F765B">
        <w:rPr>
          <w:lang w:eastAsia="fr-FR" w:bidi="fr-FR"/>
        </w:rPr>
        <w:t>s</w:t>
      </w:r>
      <w:r w:rsidRPr="000F765B">
        <w:rPr>
          <w:lang w:eastAsia="fr-FR" w:bidi="fr-FR"/>
        </w:rPr>
        <w:t>sentiellement lié « à un effet matériel ». Seront donc exclues les r</w:t>
      </w:r>
      <w:r w:rsidRPr="000F765B">
        <w:rPr>
          <w:lang w:eastAsia="fr-FR" w:bidi="fr-FR"/>
        </w:rPr>
        <w:t>é</w:t>
      </w:r>
      <w:r w:rsidRPr="000F765B">
        <w:rPr>
          <w:lang w:eastAsia="fr-FR" w:bidi="fr-FR"/>
        </w:rPr>
        <w:t>munérations accordées, dans l’entreprise, au personnel directeur ; de même, celles des employés, voués à une activité tantôt d’ordre inte</w:t>
      </w:r>
      <w:r w:rsidRPr="000F765B">
        <w:rPr>
          <w:lang w:eastAsia="fr-FR" w:bidi="fr-FR"/>
        </w:rPr>
        <w:t>l</w:t>
      </w:r>
      <w:r w:rsidRPr="000F765B">
        <w:rPr>
          <w:lang w:eastAsia="fr-FR" w:bidi="fr-FR"/>
        </w:rPr>
        <w:t>lectuel, tantôt, lorsqu’il s’agit de vente, « surtout psychologique » ; retenus par contre, quoique forcément considérés à part, les salaires agricoles et, du moins à titre de contre-épreuve, ceux des « domestiques à la personne ». Ainsi circonscrit, l’objet de la reche</w:t>
      </w:r>
      <w:r w:rsidRPr="000F765B">
        <w:rPr>
          <w:lang w:eastAsia="fr-FR" w:bidi="fr-FR"/>
        </w:rPr>
        <w:t>r</w:t>
      </w:r>
      <w:r w:rsidRPr="000F765B">
        <w:rPr>
          <w:lang w:eastAsia="fr-FR" w:bidi="fr-FR"/>
        </w:rPr>
        <w:t>che cor</w:t>
      </w:r>
      <w:r w:rsidRPr="000F765B">
        <w:rPr>
          <w:lang w:eastAsia="fr-FR" w:bidi="fr-FR"/>
        </w:rPr>
        <w:lastRenderedPageBreak/>
        <w:t>respond bien à une réalité objective et toute concrète : dans la pratique des affaires, élément considérable des calculs de coût de r</w:t>
      </w:r>
      <w:r w:rsidRPr="000F765B">
        <w:rPr>
          <w:lang w:eastAsia="fr-FR" w:bidi="fr-FR"/>
        </w:rPr>
        <w:t>e</w:t>
      </w:r>
      <w:r w:rsidRPr="000F765B">
        <w:rPr>
          <w:lang w:eastAsia="fr-FR" w:bidi="fr-FR"/>
        </w:rPr>
        <w:t>vient ; du point de vue de la répartition et, ajouterons-nous, de la structure sociale, revenu type de tout un groupe d’hommes, on oserait presque dire d’une classe.</w:t>
      </w:r>
    </w:p>
    <w:p w14:paraId="5110662C" w14:textId="77777777" w:rsidR="00B9662D" w:rsidRPr="000F765B" w:rsidRDefault="00B9662D" w:rsidP="00B9662D">
      <w:pPr>
        <w:spacing w:before="120" w:after="120"/>
        <w:jc w:val="both"/>
      </w:pPr>
      <w:r w:rsidRPr="000F765B">
        <w:rPr>
          <w:lang w:eastAsia="fr-FR" w:bidi="fr-FR"/>
        </w:rPr>
        <w:t>Sur beaucoup d’autres réalités sociales, le salaire a, par ailleurs, l’avantage d’être une donnée numérique, susceptible d’être comptée et qui, en fait, l’a souvent été. C’est en statisticien que M. Simiand en aborde l’étude. Disons mieux : en maître de la critique statistique. Toute une partie du premier volume est consacrée à l’inventaire et à l’appréciation des témoignages ; il n’est pas, dans le livre entier, de leçon de méthode plus digne d’être suivie de près par les lecteurs dont la curiosité sait aller, autant qu’à la science toute faite, à la science qui se fait. Le problème, en son essence, ne diffère pas de celui avec l</w:t>
      </w:r>
      <w:r w:rsidRPr="000F765B">
        <w:rPr>
          <w:lang w:eastAsia="fr-FR" w:bidi="fr-FR"/>
        </w:rPr>
        <w:t>e</w:t>
      </w:r>
      <w:r w:rsidRPr="000F765B">
        <w:rPr>
          <w:lang w:eastAsia="fr-FR" w:bidi="fr-FR"/>
        </w:rPr>
        <w:t>quel tous les historiens, sans exception, sont habitués à lutter, lors même qu’ils doivent renoncer à disposer de sources chiffrées. Les questions étant dictées, en dehors de toute contingence, par le désir de savoir et de comprendre, comment arracher une réponse à des doc</w:t>
      </w:r>
      <w:r w:rsidRPr="000F765B">
        <w:rPr>
          <w:lang w:eastAsia="fr-FR" w:bidi="fr-FR"/>
        </w:rPr>
        <w:t>u</w:t>
      </w:r>
      <w:r w:rsidRPr="000F765B">
        <w:rPr>
          <w:lang w:eastAsia="fr-FR" w:bidi="fr-FR"/>
        </w:rPr>
        <w:t>ments presque invariablement imprécis, lacunaires ou suspects, et dont les meilleurs souffriront toujours de ne pas avoir été faits pour les besoins de la pure connaissance ? Pour y réussir, point d’autre voie que de dresser d’abord un questionnaire, quitte, bien entendu, à le pe</w:t>
      </w:r>
      <w:r w:rsidRPr="000F765B">
        <w:rPr>
          <w:lang w:eastAsia="fr-FR" w:bidi="fr-FR"/>
        </w:rPr>
        <w:t>r</w:t>
      </w:r>
      <w:r w:rsidRPr="000F765B">
        <w:rPr>
          <w:lang w:eastAsia="fr-FR" w:bidi="fr-FR"/>
        </w:rPr>
        <w:t>fectionner incessamment au cours de la recherche : à qui ne sait ce qu’il veut demander, les témoins ne di</w:t>
      </w:r>
      <w:r>
        <w:rPr>
          <w:lang w:eastAsia="fr-FR" w:bidi="fr-FR"/>
        </w:rPr>
        <w:t>ront jamais rien qui vaille. M. </w:t>
      </w:r>
      <w:r w:rsidRPr="000F765B">
        <w:rPr>
          <w:lang w:eastAsia="fr-FR" w:bidi="fr-FR"/>
        </w:rPr>
        <w:t>Simiand a donc commencé par déterminer ce que seraient, to</w:t>
      </w:r>
      <w:r w:rsidRPr="000F765B">
        <w:rPr>
          <w:lang w:eastAsia="fr-FR" w:bidi="fr-FR"/>
        </w:rPr>
        <w:t>u</w:t>
      </w:r>
      <w:r w:rsidRPr="000F765B">
        <w:rPr>
          <w:lang w:eastAsia="fr-FR" w:bidi="fr-FR"/>
        </w:rPr>
        <w:t>chant le salaire et ses « circonstances », en premier lieu les notions idéalement « désirables », puis celles qu’après une rapide reconnai</w:t>
      </w:r>
      <w:r w:rsidRPr="000F765B">
        <w:rPr>
          <w:lang w:eastAsia="fr-FR" w:bidi="fr-FR"/>
        </w:rPr>
        <w:t>s</w:t>
      </w:r>
      <w:r w:rsidRPr="000F765B">
        <w:rPr>
          <w:lang w:eastAsia="fr-FR" w:bidi="fr-FR"/>
        </w:rPr>
        <w:t>sance il faut bien se résigner à tenir, d’avance, pour seules pratiqu</w:t>
      </w:r>
      <w:r w:rsidRPr="000F765B">
        <w:rPr>
          <w:lang w:eastAsia="fr-FR" w:bidi="fr-FR"/>
        </w:rPr>
        <w:t>e</w:t>
      </w:r>
      <w:r w:rsidRPr="000F765B">
        <w:rPr>
          <w:lang w:eastAsia="fr-FR" w:bidi="fr-FR"/>
        </w:rPr>
        <w:t>ment accessibles. Après quoi, il a passé, pour les salaires</w:t>
      </w:r>
      <w:r>
        <w:rPr>
          <w:lang w:eastAsia="fr-FR" w:bidi="fr-FR"/>
        </w:rPr>
        <w:t> — </w:t>
      </w:r>
      <w:r w:rsidRPr="000F765B">
        <w:rPr>
          <w:lang w:eastAsia="fr-FR" w:bidi="fr-FR"/>
        </w:rPr>
        <w:t>les « circonstances » étant provisoirement laissées de côté</w:t>
      </w:r>
      <w:r>
        <w:rPr>
          <w:lang w:eastAsia="fr-FR" w:bidi="fr-FR"/>
        </w:rPr>
        <w:t> — </w:t>
      </w:r>
      <w:r w:rsidRPr="000F765B">
        <w:rPr>
          <w:lang w:eastAsia="fr-FR" w:bidi="fr-FR"/>
        </w:rPr>
        <w:t>au recens</w:t>
      </w:r>
      <w:r w:rsidRPr="000F765B">
        <w:rPr>
          <w:lang w:eastAsia="fr-FR" w:bidi="fr-FR"/>
        </w:rPr>
        <w:t>e</w:t>
      </w:r>
      <w:r w:rsidRPr="000F765B">
        <w:rPr>
          <w:lang w:eastAsia="fr-FR" w:bidi="fr-FR"/>
        </w:rPr>
        <w:t>ment critique des sources. Vient enfin l’élaboration proprement dite. Au terme de ce long effort, d’une remarquable rigueur intellectuelle, se placent deux graphiques, à la fois point</w:t>
      </w:r>
      <w:r>
        <w:t xml:space="preserve"> [897] </w:t>
      </w:r>
      <w:r w:rsidRPr="000F765B">
        <w:rPr>
          <w:lang w:eastAsia="fr-FR" w:bidi="fr-FR"/>
        </w:rPr>
        <w:t>culminant de la pr</w:t>
      </w:r>
      <w:r w:rsidRPr="000F765B">
        <w:rPr>
          <w:lang w:eastAsia="fr-FR" w:bidi="fr-FR"/>
        </w:rPr>
        <w:t>e</w:t>
      </w:r>
      <w:r w:rsidRPr="000F765B">
        <w:rPr>
          <w:lang w:eastAsia="fr-FR" w:bidi="fr-FR"/>
        </w:rPr>
        <w:t>mière partie de l’étude et point de départ des e</w:t>
      </w:r>
      <w:r w:rsidRPr="000F765B">
        <w:rPr>
          <w:lang w:eastAsia="fr-FR" w:bidi="fr-FR"/>
        </w:rPr>
        <w:t>s</w:t>
      </w:r>
      <w:r w:rsidRPr="000F765B">
        <w:rPr>
          <w:lang w:eastAsia="fr-FR" w:bidi="fr-FR"/>
        </w:rPr>
        <w:t>sais d’interprétation qui devront suivre. Ce sont, de 1790, ou peu avant, à 1930, les di</w:t>
      </w:r>
      <w:r w:rsidRPr="000F765B">
        <w:rPr>
          <w:lang w:eastAsia="fr-FR" w:bidi="fr-FR"/>
        </w:rPr>
        <w:t>a</w:t>
      </w:r>
      <w:r w:rsidRPr="000F765B">
        <w:rPr>
          <w:lang w:eastAsia="fr-FR" w:bidi="fr-FR"/>
        </w:rPr>
        <w:t>grammes, à ordonnées logarithmiques, des sala</w:t>
      </w:r>
      <w:r w:rsidRPr="000F765B">
        <w:rPr>
          <w:lang w:eastAsia="fr-FR" w:bidi="fr-FR"/>
        </w:rPr>
        <w:t>i</w:t>
      </w:r>
      <w:r w:rsidRPr="000F765B">
        <w:rPr>
          <w:lang w:eastAsia="fr-FR" w:bidi="fr-FR"/>
        </w:rPr>
        <w:t>res dans la France, moins Paris, d’une part, Paris (ou, en quelques cas, dans le départ</w:t>
      </w:r>
      <w:r w:rsidRPr="000F765B">
        <w:rPr>
          <w:lang w:eastAsia="fr-FR" w:bidi="fr-FR"/>
        </w:rPr>
        <w:t>e</w:t>
      </w:r>
      <w:r w:rsidRPr="000F765B">
        <w:rPr>
          <w:lang w:eastAsia="fr-FR" w:bidi="fr-FR"/>
        </w:rPr>
        <w:t>ment de la Seine), de l’autre.</w:t>
      </w:r>
    </w:p>
    <w:p w14:paraId="7D2C8FC8" w14:textId="77777777" w:rsidR="00B9662D" w:rsidRPr="000F765B" w:rsidRDefault="00B9662D" w:rsidP="00B9662D">
      <w:pPr>
        <w:spacing w:before="120" w:after="120"/>
        <w:jc w:val="both"/>
      </w:pPr>
      <w:r w:rsidRPr="000F765B">
        <w:rPr>
          <w:lang w:eastAsia="fr-FR" w:bidi="fr-FR"/>
        </w:rPr>
        <w:lastRenderedPageBreak/>
        <w:t>Le jour où fonctionneront, dans nos Universités, à l’usage des a</w:t>
      </w:r>
      <w:r w:rsidRPr="000F765B">
        <w:rPr>
          <w:lang w:eastAsia="fr-FR" w:bidi="fr-FR"/>
        </w:rPr>
        <w:t>p</w:t>
      </w:r>
      <w:r w:rsidRPr="000F765B">
        <w:rPr>
          <w:lang w:eastAsia="fr-FR" w:bidi="fr-FR"/>
        </w:rPr>
        <w:t>prentis historiens, ces exercices pratiques de statistique que nul plus que nous n’appelle de ses vœux, on imagine fort bien les deux di</w:t>
      </w:r>
      <w:r w:rsidRPr="000F765B">
        <w:rPr>
          <w:lang w:eastAsia="fr-FR" w:bidi="fr-FR"/>
        </w:rPr>
        <w:t>a</w:t>
      </w:r>
      <w:r w:rsidRPr="000F765B">
        <w:rPr>
          <w:lang w:eastAsia="fr-FR" w:bidi="fr-FR"/>
        </w:rPr>
        <w:t>grammes fondamentaux de M. Simiand proposés comme textes d’explication : textes difficiles parfois, pour des yeux encore ine</w:t>
      </w:r>
      <w:r w:rsidRPr="000F765B">
        <w:rPr>
          <w:lang w:eastAsia="fr-FR" w:bidi="fr-FR"/>
        </w:rPr>
        <w:t>x</w:t>
      </w:r>
      <w:r w:rsidRPr="000F765B">
        <w:rPr>
          <w:lang w:eastAsia="fr-FR" w:bidi="fr-FR"/>
        </w:rPr>
        <w:t>perts, mais profondément instructifs. Pour l’instant, force m’est de laisser à de mieux armés que moi le soin d’en présenter, avec tout le détail qu’il mérite, le commentaire technique. Quelques remarques, très élémentaires, devront suffire à faire saisir l’esprit de la méthode.</w:t>
      </w:r>
    </w:p>
    <w:p w14:paraId="3194D7C7" w14:textId="77777777" w:rsidR="00B9662D" w:rsidRPr="000F765B" w:rsidRDefault="00B9662D" w:rsidP="00B9662D">
      <w:pPr>
        <w:spacing w:before="120" w:after="120"/>
        <w:jc w:val="both"/>
      </w:pPr>
      <w:r w:rsidRPr="000F765B">
        <w:rPr>
          <w:lang w:eastAsia="fr-FR" w:bidi="fr-FR"/>
        </w:rPr>
        <w:t>M. Simiand n’a point cherché à dresser une courbe unique pour toute la France, ni même, dans aucun des deux graphiques, pour les salaires des hommes ou des femmes, envisagés ensemble ou sépar</w:t>
      </w:r>
      <w:r w:rsidRPr="000F765B">
        <w:rPr>
          <w:lang w:eastAsia="fr-FR" w:bidi="fr-FR"/>
        </w:rPr>
        <w:t>é</w:t>
      </w:r>
      <w:r w:rsidRPr="000F765B">
        <w:rPr>
          <w:lang w:eastAsia="fr-FR" w:bidi="fr-FR"/>
        </w:rPr>
        <w:t>ment. Chaque groupe de données, distinct par ses conditions d’établissement, en même temps, le plus souvent, que par les catég</w:t>
      </w:r>
      <w:r w:rsidRPr="000F765B">
        <w:rPr>
          <w:lang w:eastAsia="fr-FR" w:bidi="fr-FR"/>
        </w:rPr>
        <w:t>o</w:t>
      </w:r>
      <w:r w:rsidRPr="000F765B">
        <w:rPr>
          <w:lang w:eastAsia="fr-FR" w:bidi="fr-FR"/>
        </w:rPr>
        <w:t>ries professionnelles auxquelles il s’applique, a donné lieu à un tracé particulier. Prenons, par exemple, dans le premier diagramme</w:t>
      </w:r>
      <w:r>
        <w:rPr>
          <w:lang w:eastAsia="fr-FR" w:bidi="fr-FR"/>
        </w:rPr>
        <w:t> — </w:t>
      </w:r>
      <w:r w:rsidRPr="000F765B">
        <w:rPr>
          <w:lang w:eastAsia="fr-FR" w:bidi="fr-FR"/>
        </w:rPr>
        <w:t>France, moins Paris</w:t>
      </w:r>
      <w:r>
        <w:rPr>
          <w:lang w:eastAsia="fr-FR" w:bidi="fr-FR"/>
        </w:rPr>
        <w:t> — </w:t>
      </w:r>
      <w:r w:rsidRPr="000F765B">
        <w:rPr>
          <w:lang w:eastAsia="fr-FR" w:bidi="fr-FR"/>
        </w:rPr>
        <w:t>la partie réservée aux salaires masculins. Nous y verrons, entre autres, figurés côte à côte, d’une part, les re</w:t>
      </w:r>
      <w:r w:rsidRPr="000F765B">
        <w:rPr>
          <w:lang w:eastAsia="fr-FR" w:bidi="fr-FR"/>
        </w:rPr>
        <w:t>n</w:t>
      </w:r>
      <w:r w:rsidRPr="000F765B">
        <w:rPr>
          <w:lang w:eastAsia="fr-FR" w:bidi="fr-FR"/>
        </w:rPr>
        <w:t>seignements empruntés aux enquêtes sur l’industrie qui se sont succ</w:t>
      </w:r>
      <w:r w:rsidRPr="000F765B">
        <w:rPr>
          <w:lang w:eastAsia="fr-FR" w:bidi="fr-FR"/>
        </w:rPr>
        <w:t>é</w:t>
      </w:r>
      <w:r w:rsidRPr="000F765B">
        <w:rPr>
          <w:lang w:eastAsia="fr-FR" w:bidi="fr-FR"/>
        </w:rPr>
        <w:t>dé de 1840 à 1845, de 1861 à 1865, de 1891 à 1895, de l’autre ceux qui, en 1853, en 1857, puis de 1871 à 1887 et, enfin, en 1892, furent recueillis auprès des maires des chefs-lieux de départements. Encore faut-il ajouter qu’af</w:t>
      </w:r>
      <w:r>
        <w:rPr>
          <w:lang w:eastAsia="fr-FR" w:bidi="fr-FR"/>
        </w:rPr>
        <w:t>in</w:t>
      </w:r>
      <w:r w:rsidRPr="000F765B">
        <w:rPr>
          <w:lang w:eastAsia="fr-FR" w:bidi="fr-FR"/>
        </w:rPr>
        <w:t xml:space="preserve"> de permettre une confrontation plus serrée, ont été calculées et représentées à part, dans la première catégorie, la moyenne générale, la moyenne arithmétique simple des moyennes par département, la moyenne arithmétique simple des moyennes par groupes d’industries ; dans la seconde, avec la moyenne des nombre</w:t>
      </w:r>
      <w:r w:rsidRPr="000F765B">
        <w:rPr>
          <w:lang w:eastAsia="fr-FR" w:bidi="fr-FR"/>
        </w:rPr>
        <w:t>u</w:t>
      </w:r>
      <w:r w:rsidRPr="000F765B">
        <w:rPr>
          <w:lang w:eastAsia="fr-FR" w:bidi="fr-FR"/>
        </w:rPr>
        <w:t>ses professions qui, sauf en 1892, avaient été, en principe, recensées, celle des neuf professions</w:t>
      </w:r>
      <w:r>
        <w:rPr>
          <w:lang w:eastAsia="fr-FR" w:bidi="fr-FR"/>
        </w:rPr>
        <w:t> — </w:t>
      </w:r>
      <w:r w:rsidRPr="000F765B">
        <w:rPr>
          <w:lang w:eastAsia="fr-FR" w:bidi="fr-FR"/>
        </w:rPr>
        <w:t>toutes de petit métier</w:t>
      </w:r>
      <w:r>
        <w:rPr>
          <w:lang w:eastAsia="fr-FR" w:bidi="fr-FR"/>
        </w:rPr>
        <w:t> — </w:t>
      </w:r>
      <w:r w:rsidRPr="000F765B">
        <w:rPr>
          <w:lang w:eastAsia="fr-FR" w:bidi="fr-FR"/>
        </w:rPr>
        <w:t>sur lesquelles l’Office du travail estima, en 1892, les maires plus spécialement cap</w:t>
      </w:r>
      <w:r w:rsidRPr="000F765B">
        <w:rPr>
          <w:lang w:eastAsia="fr-FR" w:bidi="fr-FR"/>
        </w:rPr>
        <w:t>a</w:t>
      </w:r>
      <w:r w:rsidRPr="000F765B">
        <w:rPr>
          <w:lang w:eastAsia="fr-FR" w:bidi="fr-FR"/>
        </w:rPr>
        <w:t>bles d’informations exactes. De multiples courbes, qu’il serait bea</w:t>
      </w:r>
      <w:r w:rsidRPr="000F765B">
        <w:rPr>
          <w:lang w:eastAsia="fr-FR" w:bidi="fr-FR"/>
        </w:rPr>
        <w:t>u</w:t>
      </w:r>
      <w:r w:rsidRPr="000F765B">
        <w:rPr>
          <w:lang w:eastAsia="fr-FR" w:bidi="fr-FR"/>
        </w:rPr>
        <w:t>coup trop long d’énumérer ici, se développent ainsi tout le long du tableau. Or, de l’une à l’autre</w:t>
      </w:r>
      <w:r>
        <w:rPr>
          <w:lang w:eastAsia="fr-FR" w:bidi="fr-FR"/>
        </w:rPr>
        <w:t> — </w:t>
      </w:r>
      <w:r w:rsidRPr="000F765B">
        <w:rPr>
          <w:lang w:eastAsia="fr-FR" w:bidi="fr-FR"/>
        </w:rPr>
        <w:t>compte tenu, bien entendu, d’inévitables divergences de détail, dont l’interprétation relève d’un autre stade de la recherche</w:t>
      </w:r>
      <w:r>
        <w:rPr>
          <w:lang w:eastAsia="fr-FR" w:bidi="fr-FR"/>
        </w:rPr>
        <w:t> — </w:t>
      </w:r>
      <w:r w:rsidRPr="000F765B">
        <w:rPr>
          <w:lang w:eastAsia="fr-FR" w:bidi="fr-FR"/>
        </w:rPr>
        <w:t>l’identité d’allure est frappante. Bea</w:t>
      </w:r>
      <w:r w:rsidRPr="000F765B">
        <w:rPr>
          <w:lang w:eastAsia="fr-FR" w:bidi="fr-FR"/>
        </w:rPr>
        <w:t>u</w:t>
      </w:r>
      <w:r w:rsidRPr="000F765B">
        <w:rPr>
          <w:lang w:eastAsia="fr-FR" w:bidi="fr-FR"/>
        </w:rPr>
        <w:t>coup mieux que n’eût pu le faire une ligne unique, dont la trompeuse simplicité eût exigé la superposition arbitraire de données très diff</w:t>
      </w:r>
      <w:r w:rsidRPr="000F765B">
        <w:rPr>
          <w:lang w:eastAsia="fr-FR" w:bidi="fr-FR"/>
        </w:rPr>
        <w:t>é</w:t>
      </w:r>
      <w:r w:rsidRPr="000F765B">
        <w:rPr>
          <w:lang w:eastAsia="fr-FR" w:bidi="fr-FR"/>
        </w:rPr>
        <w:t>rentes par leur valeur et leur portée, ce lacis de lignes approximativ</w:t>
      </w:r>
      <w:r w:rsidRPr="000F765B">
        <w:rPr>
          <w:lang w:eastAsia="fr-FR" w:bidi="fr-FR"/>
        </w:rPr>
        <w:t>e</w:t>
      </w:r>
      <w:r w:rsidRPr="000F765B">
        <w:rPr>
          <w:lang w:eastAsia="fr-FR" w:bidi="fr-FR"/>
        </w:rPr>
        <w:lastRenderedPageBreak/>
        <w:t xml:space="preserve">ment parallèles fournit, du mouvement global des salaires, une image véritablement expressive. Rassurante, aussi. Car, conformément à un principe que les </w:t>
      </w:r>
      <w:r w:rsidRPr="008C2237">
        <w:rPr>
          <w:i/>
        </w:rPr>
        <w:t>Recherches sur les prix</w:t>
      </w:r>
      <w:r w:rsidRPr="000F765B">
        <w:rPr>
          <w:lang w:eastAsia="fr-FR" w:bidi="fr-FR"/>
        </w:rPr>
        <w:t xml:space="preserve"> ont mis en pleine lumière, la comparaison qui s’établit ainsi, par l’intermédiaire de leurs représe</w:t>
      </w:r>
      <w:r w:rsidRPr="000F765B">
        <w:rPr>
          <w:lang w:eastAsia="fr-FR" w:bidi="fr-FR"/>
        </w:rPr>
        <w:t>n</w:t>
      </w:r>
      <w:r w:rsidRPr="000F765B">
        <w:rPr>
          <w:lang w:eastAsia="fr-FR" w:bidi="fr-FR"/>
        </w:rPr>
        <w:t>tations graphiques, entre les diverses classes de témoignages, leur constitue la plus sûre épreuve de véracité : l’hypothèse d’une série d’erreurs, uniformément dirigées dans le même sens, répugnant aux lois de la probabilité</w:t>
      </w:r>
      <w:r>
        <w:rPr>
          <w:lang w:eastAsia="fr-FR" w:bidi="fr-FR"/>
        </w:rPr>
        <w:t> — </w:t>
      </w:r>
      <w:r w:rsidRPr="000F765B">
        <w:rPr>
          <w:lang w:eastAsia="fr-FR" w:bidi="fr-FR"/>
        </w:rPr>
        <w:t>fondement, à y bien regarder, de toute critique historique</w:t>
      </w:r>
      <w:r>
        <w:rPr>
          <w:lang w:eastAsia="fr-FR" w:bidi="fr-FR"/>
        </w:rPr>
        <w:t> — </w:t>
      </w:r>
      <w:r w:rsidRPr="000F765B">
        <w:rPr>
          <w:lang w:eastAsia="fr-FR" w:bidi="fr-FR"/>
        </w:rPr>
        <w:t>comment,</w:t>
      </w:r>
      <w:r>
        <w:t xml:space="preserve"> [898] </w:t>
      </w:r>
      <w:r w:rsidRPr="000F765B">
        <w:rPr>
          <w:lang w:eastAsia="fr-FR" w:bidi="fr-FR"/>
        </w:rPr>
        <w:t>dans ce parallélisme si net, se refuser à reconnaître une exacte tr</w:t>
      </w:r>
      <w:r w:rsidRPr="000F765B">
        <w:rPr>
          <w:lang w:eastAsia="fr-FR" w:bidi="fr-FR"/>
        </w:rPr>
        <w:t>a</w:t>
      </w:r>
      <w:r w:rsidRPr="000F765B">
        <w:rPr>
          <w:lang w:eastAsia="fr-FR" w:bidi="fr-FR"/>
        </w:rPr>
        <w:t>duction de la réalité ?</w:t>
      </w:r>
    </w:p>
    <w:p w14:paraId="3626CB54" w14:textId="77777777" w:rsidR="00B9662D" w:rsidRPr="000F765B" w:rsidRDefault="00B9662D" w:rsidP="00B9662D">
      <w:pPr>
        <w:spacing w:before="120" w:after="120"/>
        <w:jc w:val="both"/>
      </w:pPr>
      <w:r w:rsidRPr="000F765B">
        <w:rPr>
          <w:lang w:eastAsia="fr-FR" w:bidi="fr-FR"/>
        </w:rPr>
        <w:t>D’une réalité, entendons-nous bien, qui est essentiellement un mouvement, et un mouvement relatif. Exprimés en francs et en cent</w:t>
      </w:r>
      <w:r w:rsidRPr="000F765B">
        <w:rPr>
          <w:lang w:eastAsia="fr-FR" w:bidi="fr-FR"/>
        </w:rPr>
        <w:t>i</w:t>
      </w:r>
      <w:r w:rsidRPr="000F765B">
        <w:rPr>
          <w:lang w:eastAsia="fr-FR" w:bidi="fr-FR"/>
        </w:rPr>
        <w:t xml:space="preserve">mes, c’est-à-dire tels que les fournissent les sources, les salaires moyens ne sont que la matière brute de la recherche, puisque tout le dessein de celle-ci est de saisir une variation. </w:t>
      </w:r>
      <w:r>
        <w:rPr>
          <w:lang w:eastAsia="fr-FR" w:bidi="fr-FR"/>
        </w:rPr>
        <w:t>À</w:t>
      </w:r>
      <w:r w:rsidRPr="000F765B">
        <w:rPr>
          <w:lang w:eastAsia="fr-FR" w:bidi="fr-FR"/>
        </w:rPr>
        <w:t xml:space="preserve"> l’aide de ces données premières, déterminer, pour chaque série homogène, les valeurs rel</w:t>
      </w:r>
      <w:r w:rsidRPr="000F765B">
        <w:rPr>
          <w:lang w:eastAsia="fr-FR" w:bidi="fr-FR"/>
        </w:rPr>
        <w:t>a</w:t>
      </w:r>
      <w:r w:rsidRPr="000F765B">
        <w:rPr>
          <w:lang w:eastAsia="fr-FR" w:bidi="fr-FR"/>
        </w:rPr>
        <w:t>tives des salaires aux diverses dates ; puis, grâce au système de repr</w:t>
      </w:r>
      <w:r w:rsidRPr="000F765B">
        <w:rPr>
          <w:lang w:eastAsia="fr-FR" w:bidi="fr-FR"/>
        </w:rPr>
        <w:t>é</w:t>
      </w:r>
      <w:r w:rsidRPr="000F765B">
        <w:rPr>
          <w:lang w:eastAsia="fr-FR" w:bidi="fr-FR"/>
        </w:rPr>
        <w:t>sentation logarithmique, en figurer les taux d’accroissement ; enfin, confronter entre eux les tracés dynamiques ainsi obtenus : tel devait être l’objet de l’effort d’élaboration. Afin de disposer de relations qui, de série à série, fussent comparables entre elles, il a naturellement été nécessaire, selon un procédé dès longtemps classique, de les ramener toutes à une année de base commune, uniformément affectée, dans le calcul des nombres indices, du chiffre 100 : en l’espèce, pour des ra</w:t>
      </w:r>
      <w:r w:rsidRPr="000F765B">
        <w:rPr>
          <w:lang w:eastAsia="fr-FR" w:bidi="fr-FR"/>
        </w:rPr>
        <w:t>i</w:t>
      </w:r>
      <w:r w:rsidRPr="000F765B">
        <w:rPr>
          <w:lang w:eastAsia="fr-FR" w:bidi="fr-FR"/>
        </w:rPr>
        <w:t>sons sur lesquelles il suffira de renvoyer à l’ouvrage, l’année 1892. Ce travail une fois fait, les valeurs absolues, qui n’ont plus rien à nous dire, sont délibérément jetées par-dessus bord ; elles n’apparaissent jamais dans les tableaux ou diagrammes. Peu nous chaut, en d’autres termes, le nombre moyen de pièces de monnaie effectivement touché, pour chaque journée de travail, en 1853, je suppose, par l’ouvrier du textile ou le mineur ; l’utile est de savoir et de représenter qu’entre les sommes reçues des deux côtés, en 1858, d’une part, durant l’année repère, de l’autre, les rapports s’établissent comme de 59 ou 60 à 100</w:t>
      </w:r>
      <w:r>
        <w:rPr>
          <w:lang w:eastAsia="fr-FR" w:bidi="fr-FR"/>
        </w:rPr>
        <w:t> </w:t>
      </w:r>
      <w:r>
        <w:rPr>
          <w:rStyle w:val="Appelnotedebasdep"/>
        </w:rPr>
        <w:footnoteReference w:id="955"/>
      </w:r>
      <w:r w:rsidRPr="000F765B">
        <w:rPr>
          <w:lang w:eastAsia="fr-FR" w:bidi="fr-FR"/>
        </w:rPr>
        <w:t>.</w:t>
      </w:r>
    </w:p>
    <w:p w14:paraId="09532DC9" w14:textId="77777777" w:rsidR="00B9662D" w:rsidRPr="000F765B" w:rsidRDefault="00B9662D" w:rsidP="00B9662D">
      <w:pPr>
        <w:spacing w:before="120" w:after="120"/>
        <w:jc w:val="both"/>
      </w:pPr>
      <w:r w:rsidRPr="000F765B">
        <w:rPr>
          <w:lang w:eastAsia="fr-FR" w:bidi="fr-FR"/>
        </w:rPr>
        <w:lastRenderedPageBreak/>
        <w:t>Toujours délicat, ce calcul des valeurs relatives a provoqué, de la part des statisticiens, l’invention de procédés diversement ingénieux et efficaces dont on trouvera l’exposé c</w:t>
      </w:r>
      <w:r>
        <w:rPr>
          <w:lang w:eastAsia="fr-FR" w:bidi="fr-FR"/>
        </w:rPr>
        <w:t>ritique dans les ouvrages de M. </w:t>
      </w:r>
      <w:r w:rsidRPr="000F765B">
        <w:rPr>
          <w:lang w:eastAsia="fr-FR" w:bidi="fr-FR"/>
        </w:rPr>
        <w:t>Simiand, notamment, sous une forme accessible aux moins m</w:t>
      </w:r>
      <w:r w:rsidRPr="000F765B">
        <w:rPr>
          <w:lang w:eastAsia="fr-FR" w:bidi="fr-FR"/>
        </w:rPr>
        <w:t>a</w:t>
      </w:r>
      <w:r w:rsidRPr="000F765B">
        <w:rPr>
          <w:lang w:eastAsia="fr-FR" w:bidi="fr-FR"/>
        </w:rPr>
        <w:t xml:space="preserve">thématiciens des lecteurs, dans ses </w:t>
      </w:r>
      <w:r w:rsidRPr="008C2237">
        <w:rPr>
          <w:i/>
        </w:rPr>
        <w:t>Recherches sur les prix</w:t>
      </w:r>
      <w:r w:rsidRPr="000F765B">
        <w:rPr>
          <w:lang w:eastAsia="fr-FR" w:bidi="fr-FR"/>
        </w:rPr>
        <w:t xml:space="preserve"> et au tome II de son </w:t>
      </w:r>
      <w:r w:rsidRPr="000F765B">
        <w:t xml:space="preserve">Cours. </w:t>
      </w:r>
      <w:r w:rsidRPr="000F765B">
        <w:rPr>
          <w:lang w:eastAsia="fr-FR" w:bidi="fr-FR"/>
        </w:rPr>
        <w:t>L’étude des salaires présentait une difficulté partic</w:t>
      </w:r>
      <w:r w:rsidRPr="000F765B">
        <w:rPr>
          <w:lang w:eastAsia="fr-FR" w:bidi="fr-FR"/>
        </w:rPr>
        <w:t>u</w:t>
      </w:r>
      <w:r w:rsidRPr="000F765B">
        <w:rPr>
          <w:lang w:eastAsia="fr-FR" w:bidi="fr-FR"/>
        </w:rPr>
        <w:t>lièrement grave. La documentation n’y est, en effet, que médiocr</w:t>
      </w:r>
      <w:r w:rsidRPr="000F765B">
        <w:rPr>
          <w:lang w:eastAsia="fr-FR" w:bidi="fr-FR"/>
        </w:rPr>
        <w:t>e</w:t>
      </w:r>
      <w:r w:rsidRPr="000F765B">
        <w:rPr>
          <w:lang w:eastAsia="fr-FR" w:bidi="fr-FR"/>
        </w:rPr>
        <w:t>ment propre à satisfaire le précepte de « phénoménoscopie suivie ». On ne voit guère de suite qui n’offre, dans la succession, de sérieuses lacunes. Celles-ci, par malencontre, atteignent-elles l’année de base ? Un ajustement s’impose, dont le principe est d’ailleurs très clair. Soit, côte à côte, deux séries ; la première englobe l’année fatidique, qui manque dans la seconde. Supposons qu’elles aient en commun une ou plusieurs autres années. Empruntant à la chaîne la mieux pourvue l’indice dont un de ces points de coïncidence y a été affecté, en fon</w:t>
      </w:r>
      <w:r w:rsidRPr="000F765B">
        <w:rPr>
          <w:lang w:eastAsia="fr-FR" w:bidi="fr-FR"/>
        </w:rPr>
        <w:t>c</w:t>
      </w:r>
      <w:r w:rsidRPr="000F765B">
        <w:rPr>
          <w:lang w:eastAsia="fr-FR" w:bidi="fr-FR"/>
        </w:rPr>
        <w:t xml:space="preserve">tion, bien entendu, du repère normal, nous le transporterons, date pour date, sur la chaîne au maillon perdu, où il jouera le rôle de base. </w:t>
      </w:r>
      <w:r>
        <w:rPr>
          <w:lang w:eastAsia="fr-FR" w:bidi="fr-FR"/>
        </w:rPr>
        <w:t>À</w:t>
      </w:r>
      <w:r w:rsidRPr="000F765B">
        <w:rPr>
          <w:lang w:eastAsia="fr-FR" w:bidi="fr-FR"/>
        </w:rPr>
        <w:t xml:space="preserve"> son tour, d’ailleurs, cette nouvelle échelle pourra être utilisée pour proc</w:t>
      </w:r>
      <w:r w:rsidRPr="000F765B">
        <w:rPr>
          <w:lang w:eastAsia="fr-FR" w:bidi="fr-FR"/>
        </w:rPr>
        <w:t>u</w:t>
      </w:r>
      <w:r w:rsidRPr="000F765B">
        <w:rPr>
          <w:lang w:eastAsia="fr-FR" w:bidi="fr-FR"/>
        </w:rPr>
        <w:t>rer à une autre classe de témoignages, plus déficiente encore, l’origine de sa graduation. Ainsi, de proche en proche, les divers groupes</w:t>
      </w:r>
      <w:r>
        <w:t xml:space="preserve"> [</w:t>
      </w:r>
      <w:r w:rsidRPr="000F765B">
        <w:rPr>
          <w:lang w:eastAsia="fr-FR" w:bidi="fr-FR"/>
        </w:rPr>
        <w:t>899</w:t>
      </w:r>
      <w:r>
        <w:rPr>
          <w:lang w:eastAsia="fr-FR" w:bidi="fr-FR"/>
        </w:rPr>
        <w:t xml:space="preserve">] </w:t>
      </w:r>
      <w:r w:rsidRPr="000F765B">
        <w:rPr>
          <w:lang w:eastAsia="fr-FR" w:bidi="fr-FR"/>
        </w:rPr>
        <w:t>prennent appui l’un sur l’autre. Les informations en provenance des conseils des prud’hommes, par exemple, ne commencent pas avant 1896. Faisant choix, précisément, de cette année-là comme « base s</w:t>
      </w:r>
      <w:r w:rsidRPr="000F765B">
        <w:rPr>
          <w:lang w:eastAsia="fr-FR" w:bidi="fr-FR"/>
        </w:rPr>
        <w:t>e</w:t>
      </w:r>
      <w:r w:rsidRPr="000F765B">
        <w:rPr>
          <w:lang w:eastAsia="fr-FR" w:bidi="fr-FR"/>
        </w:rPr>
        <w:t>condaire », nous lui attribuerons dans la série « prud’hommes » l’indice 102, qu’elle porte déjà dans une catégorie de données à la fois plus complète et de caractère sensiblement anal</w:t>
      </w:r>
      <w:r w:rsidRPr="000F765B">
        <w:rPr>
          <w:lang w:eastAsia="fr-FR" w:bidi="fr-FR"/>
        </w:rPr>
        <w:t>o</w:t>
      </w:r>
      <w:r w:rsidRPr="000F765B">
        <w:rPr>
          <w:lang w:eastAsia="fr-FR" w:bidi="fr-FR"/>
        </w:rPr>
        <w:t xml:space="preserve">gue : celles qu’ont recueillies de 1890 à 1903 les enquêteurs du </w:t>
      </w:r>
      <w:r w:rsidRPr="008C2237">
        <w:rPr>
          <w:i/>
        </w:rPr>
        <w:t>Bureau of Labor</w:t>
      </w:r>
      <w:r w:rsidRPr="000F765B">
        <w:rPr>
          <w:lang w:eastAsia="fr-FR" w:bidi="fr-FR"/>
        </w:rPr>
        <w:t xml:space="preserve"> amér</w:t>
      </w:r>
      <w:r w:rsidRPr="000F765B">
        <w:rPr>
          <w:lang w:eastAsia="fr-FR" w:bidi="fr-FR"/>
        </w:rPr>
        <w:t>i</w:t>
      </w:r>
      <w:r w:rsidRPr="000F765B">
        <w:rPr>
          <w:lang w:eastAsia="fr-FR" w:bidi="fr-FR"/>
        </w:rPr>
        <w:t xml:space="preserve">cain. Rien ne sera plus simple, ensuite, que de calculer, par rapport à ce chiffre, l’ensemble des valeurs relatives. Plus tard, nous tournant vers les </w:t>
      </w:r>
      <w:r w:rsidRPr="008C2237">
        <w:rPr>
          <w:i/>
        </w:rPr>
        <w:t>Statistiques des préfets</w:t>
      </w:r>
      <w:r w:rsidRPr="000F765B">
        <w:rPr>
          <w:lang w:eastAsia="fr-FR" w:bidi="fr-FR"/>
        </w:rPr>
        <w:t>, nous y n</w:t>
      </w:r>
      <w:r w:rsidRPr="000F765B">
        <w:rPr>
          <w:lang w:eastAsia="fr-FR" w:bidi="fr-FR"/>
        </w:rPr>
        <w:t>o</w:t>
      </w:r>
      <w:r w:rsidRPr="000F765B">
        <w:rPr>
          <w:lang w:eastAsia="fr-FR" w:bidi="fr-FR"/>
        </w:rPr>
        <w:t>tons, aux dates de 1789 et de l’an</w:t>
      </w:r>
      <w:r>
        <w:rPr>
          <w:lang w:eastAsia="fr-FR" w:bidi="fr-FR"/>
        </w:rPr>
        <w:t> </w:t>
      </w:r>
      <w:r w:rsidRPr="000F765B">
        <w:rPr>
          <w:lang w:eastAsia="fr-FR" w:bidi="fr-FR"/>
        </w:rPr>
        <w:t xml:space="preserve">IX, les salaires des journaliers d’industrie ; à la recherche d’une autre série qui fournisse le même ordre de renseignements, nous </w:t>
      </w:r>
      <w:r w:rsidRPr="000F765B">
        <w:rPr>
          <w:lang w:eastAsia="fr-FR" w:bidi="fr-FR"/>
        </w:rPr>
        <w:lastRenderedPageBreak/>
        <w:t>ne rencontrons que les conseils des prud’hommes. Ceux-ci, à dire vrai, embrassent un bien plus grand nombre de départements, et le journalier y figure à côté de beaucoup d’autres professions. Mais les indications sont assez précises pour nous permettre d’en extraire, à l’année 1896, le salaire moyen du journalier dans les départements qui seuls ont été décrits par les préfets du Consulat. La valeur absolue ai</w:t>
      </w:r>
      <w:r w:rsidRPr="000F765B">
        <w:rPr>
          <w:lang w:eastAsia="fr-FR" w:bidi="fr-FR"/>
        </w:rPr>
        <w:t>n</w:t>
      </w:r>
      <w:r w:rsidRPr="000F765B">
        <w:rPr>
          <w:lang w:eastAsia="fr-FR" w:bidi="fr-FR"/>
        </w:rPr>
        <w:t>si dégagée pourra donc légit</w:t>
      </w:r>
      <w:r w:rsidRPr="000F765B">
        <w:rPr>
          <w:lang w:eastAsia="fr-FR" w:bidi="fr-FR"/>
        </w:rPr>
        <w:t>i</w:t>
      </w:r>
      <w:r w:rsidRPr="000F765B">
        <w:rPr>
          <w:lang w:eastAsia="fr-FR" w:bidi="fr-FR"/>
        </w:rPr>
        <w:t>mement prendre place, dans une même succession, avec les chiffres de 1789 et de l’an</w:t>
      </w:r>
      <w:r>
        <w:rPr>
          <w:lang w:eastAsia="fr-FR" w:bidi="fr-FR"/>
        </w:rPr>
        <w:t> </w:t>
      </w:r>
      <w:r w:rsidRPr="000F765B">
        <w:rPr>
          <w:lang w:eastAsia="fr-FR" w:bidi="fr-FR"/>
        </w:rPr>
        <w:t>IX. Comme indice r</w:t>
      </w:r>
      <w:r w:rsidRPr="000F765B">
        <w:rPr>
          <w:lang w:eastAsia="fr-FR" w:bidi="fr-FR"/>
        </w:rPr>
        <w:t>e</w:t>
      </w:r>
      <w:r w:rsidRPr="000F765B">
        <w:rPr>
          <w:lang w:eastAsia="fr-FR" w:bidi="fr-FR"/>
        </w:rPr>
        <w:t>latif, nous lui fixerons, tout naturellement, 102, qui est, nous le s</w:t>
      </w:r>
      <w:r w:rsidRPr="000F765B">
        <w:rPr>
          <w:lang w:eastAsia="fr-FR" w:bidi="fr-FR"/>
        </w:rPr>
        <w:t>a</w:t>
      </w:r>
      <w:r w:rsidRPr="000F765B">
        <w:rPr>
          <w:lang w:eastAsia="fr-FR" w:bidi="fr-FR"/>
        </w:rPr>
        <w:t>vons, pour l’année en cause, c</w:t>
      </w:r>
      <w:r w:rsidRPr="000F765B">
        <w:rPr>
          <w:lang w:eastAsia="fr-FR" w:bidi="fr-FR"/>
        </w:rPr>
        <w:t>e</w:t>
      </w:r>
      <w:r w:rsidRPr="000F765B">
        <w:rPr>
          <w:lang w:eastAsia="fr-FR" w:bidi="fr-FR"/>
        </w:rPr>
        <w:t>lui de la totalité des salaires recensés par les prud’hommes ; après quoi, les opérations sur 1789 et l’an</w:t>
      </w:r>
      <w:r>
        <w:rPr>
          <w:lang w:eastAsia="fr-FR" w:bidi="fr-FR"/>
        </w:rPr>
        <w:t> </w:t>
      </w:r>
      <w:r w:rsidRPr="000F765B">
        <w:rPr>
          <w:lang w:eastAsia="fr-FR" w:bidi="fr-FR"/>
        </w:rPr>
        <w:t>IX ne seront qu’un jeu.</w:t>
      </w:r>
    </w:p>
    <w:p w14:paraId="57102A72" w14:textId="77777777" w:rsidR="00B9662D" w:rsidRPr="000F765B" w:rsidRDefault="00B9662D" w:rsidP="00B9662D">
      <w:pPr>
        <w:spacing w:before="120" w:after="120"/>
        <w:jc w:val="both"/>
      </w:pPr>
      <w:r w:rsidRPr="000F765B">
        <w:rPr>
          <w:lang w:eastAsia="fr-FR" w:bidi="fr-FR"/>
        </w:rPr>
        <w:t>L’esquisse qu’on vient de lire ne donne, cela va de soi, qu’une grossière image de la méthode. Je n’ai pas seulement pris des exe</w:t>
      </w:r>
      <w:r w:rsidRPr="000F765B">
        <w:rPr>
          <w:lang w:eastAsia="fr-FR" w:bidi="fr-FR"/>
        </w:rPr>
        <w:t>m</w:t>
      </w:r>
      <w:r w:rsidRPr="000F765B">
        <w:rPr>
          <w:lang w:eastAsia="fr-FR" w:bidi="fr-FR"/>
        </w:rPr>
        <w:t>ples particulièrement simples ; j’ai dû, par surcroît, les simplifier. Laissons même de côté toutes les difficultés de détail qui peuvent su</w:t>
      </w:r>
      <w:r w:rsidRPr="000F765B">
        <w:rPr>
          <w:lang w:eastAsia="fr-FR" w:bidi="fr-FR"/>
        </w:rPr>
        <w:t>r</w:t>
      </w:r>
      <w:r w:rsidRPr="000F765B">
        <w:rPr>
          <w:lang w:eastAsia="fr-FR" w:bidi="fr-FR"/>
        </w:rPr>
        <w:t>gir : notamment lorsque la coïncidence des séries demeure tout a</w:t>
      </w:r>
      <w:r w:rsidRPr="000F765B">
        <w:rPr>
          <w:lang w:eastAsia="fr-FR" w:bidi="fr-FR"/>
        </w:rPr>
        <w:t>p</w:t>
      </w:r>
      <w:r w:rsidRPr="000F765B">
        <w:rPr>
          <w:lang w:eastAsia="fr-FR" w:bidi="fr-FR"/>
        </w:rPr>
        <w:t>proximative et qu’il faut bien se résoudre, faute de mieux, à affecter à l’année 1854 de la série Fm 7 l’indice, pour 1853, de la série Fm 6 a. Mettons les choses au mieux. Il restera toujours que le procédé supp</w:t>
      </w:r>
      <w:r w:rsidRPr="000F765B">
        <w:rPr>
          <w:lang w:eastAsia="fr-FR" w:bidi="fr-FR"/>
        </w:rPr>
        <w:t>o</w:t>
      </w:r>
      <w:r w:rsidRPr="000F765B">
        <w:rPr>
          <w:lang w:eastAsia="fr-FR" w:bidi="fr-FR"/>
        </w:rPr>
        <w:t>se, à son origine, des déterminations fort délicates : choix de la classe de témoignages qui, à sa voisine, moins favorisée, fournira l’indispensable base auxiliaire ; parfois, en outre, lorsque les re</w:t>
      </w:r>
      <w:r w:rsidRPr="000F765B">
        <w:rPr>
          <w:lang w:eastAsia="fr-FR" w:bidi="fr-FR"/>
        </w:rPr>
        <w:t>n</w:t>
      </w:r>
      <w:r w:rsidRPr="000F765B">
        <w:rPr>
          <w:lang w:eastAsia="fr-FR" w:bidi="fr-FR"/>
        </w:rPr>
        <w:t>contres sont multiples, choix, parmi les années communes aux deux séries, du point de départ retenu. Décisions grosses de conséquences, en vérité : car, faisons-y bien attention, fixer ainsi aux deux chaînes un maillon de liaison, c’est les traiter, délibérément, comme deux gra</w:t>
      </w:r>
      <w:r w:rsidRPr="000F765B">
        <w:rPr>
          <w:lang w:eastAsia="fr-FR" w:bidi="fr-FR"/>
        </w:rPr>
        <w:t>n</w:t>
      </w:r>
      <w:r w:rsidRPr="000F765B">
        <w:rPr>
          <w:lang w:eastAsia="fr-FR" w:bidi="fr-FR"/>
        </w:rPr>
        <w:t>deurs comparables. Une discussion soigneuse, l’appel à diverses contre-épreuves s’imposent chaque fois. On le voit : bien qu’il s’agisse de chiffres et de décomptes, l’opération n’a rien de mécan</w:t>
      </w:r>
      <w:r w:rsidRPr="000F765B">
        <w:rPr>
          <w:lang w:eastAsia="fr-FR" w:bidi="fr-FR"/>
        </w:rPr>
        <w:t>i</w:t>
      </w:r>
      <w:r w:rsidRPr="000F765B">
        <w:rPr>
          <w:lang w:eastAsia="fr-FR" w:bidi="fr-FR"/>
        </w:rPr>
        <w:t>que ; elle fait appel constamment à la réflexion, disons plus, à l’imagination scientifique</w:t>
      </w:r>
      <w:r>
        <w:rPr>
          <w:lang w:eastAsia="fr-FR" w:bidi="fr-FR"/>
        </w:rPr>
        <w:t> — </w:t>
      </w:r>
      <w:r w:rsidRPr="000F765B">
        <w:rPr>
          <w:lang w:eastAsia="fr-FR" w:bidi="fr-FR"/>
        </w:rPr>
        <w:t>à cet esprit de résolution, aussi, à cette acceptation raisonnée des risques qui sont, au savant, aussi nécessaires qu’à l’homme de pratique. Si rigoureuse, en d’autres termes, que soit la méthode statistique, telle que l’applique M. Simiand, elle se prése</w:t>
      </w:r>
      <w:r w:rsidRPr="000F765B">
        <w:rPr>
          <w:lang w:eastAsia="fr-FR" w:bidi="fr-FR"/>
        </w:rPr>
        <w:t>n</w:t>
      </w:r>
      <w:r w:rsidRPr="000F765B">
        <w:rPr>
          <w:lang w:eastAsia="fr-FR" w:bidi="fr-FR"/>
        </w:rPr>
        <w:t>te</w:t>
      </w:r>
      <w:r>
        <w:rPr>
          <w:lang w:eastAsia="fr-FR" w:bidi="fr-FR"/>
        </w:rPr>
        <w:t> — </w:t>
      </w:r>
      <w:r w:rsidRPr="000F765B">
        <w:rPr>
          <w:lang w:eastAsia="fr-FR" w:bidi="fr-FR"/>
        </w:rPr>
        <w:t>nous aurons à y revenir</w:t>
      </w:r>
      <w:r>
        <w:rPr>
          <w:lang w:eastAsia="fr-FR" w:bidi="fr-FR"/>
        </w:rPr>
        <w:t> — </w:t>
      </w:r>
      <w:r w:rsidRPr="000F765B">
        <w:rPr>
          <w:lang w:eastAsia="fr-FR" w:bidi="fr-FR"/>
        </w:rPr>
        <w:t>moins comme une photographie que déjà, pour une part du moins, comme une interprétation du réel.</w:t>
      </w:r>
    </w:p>
    <w:p w14:paraId="22393A9F" w14:textId="77777777" w:rsidR="00B9662D" w:rsidRPr="000F765B" w:rsidRDefault="00B9662D" w:rsidP="00B9662D">
      <w:pPr>
        <w:spacing w:before="120" w:after="120"/>
        <w:jc w:val="both"/>
      </w:pPr>
      <w:r w:rsidRPr="000F765B">
        <w:rPr>
          <w:lang w:eastAsia="fr-FR" w:bidi="fr-FR"/>
        </w:rPr>
        <w:lastRenderedPageBreak/>
        <w:t>Les lacunes dont sont entachées tant de séries documentaires ont naturellement d’autres inconvénients encore que de gêner le calcul. J’ai parlé plus haut du parallélisme des courbes. Il faut bien compre</w:t>
      </w:r>
      <w:r w:rsidRPr="000F765B">
        <w:rPr>
          <w:lang w:eastAsia="fr-FR" w:bidi="fr-FR"/>
        </w:rPr>
        <w:t>n</w:t>
      </w:r>
      <w:r w:rsidRPr="000F765B">
        <w:rPr>
          <w:lang w:eastAsia="fr-FR" w:bidi="fr-FR"/>
        </w:rPr>
        <w:t>dre</w:t>
      </w:r>
      <w:r>
        <w:t xml:space="preserve"> </w:t>
      </w:r>
      <w:r>
        <w:rPr>
          <w:lang w:eastAsia="fr-FR" w:bidi="fr-FR"/>
        </w:rPr>
        <w:t xml:space="preserve">[900] </w:t>
      </w:r>
      <w:r w:rsidRPr="000F765B">
        <w:rPr>
          <w:lang w:eastAsia="fr-FR" w:bidi="fr-FR"/>
        </w:rPr>
        <w:t>qu’il est fort loin de se manifester de bout en bout : souvent les tracés se relayent, plutôt qu’ils ne courent côte à côte. Afin de p</w:t>
      </w:r>
      <w:r w:rsidRPr="000F765B">
        <w:rPr>
          <w:lang w:eastAsia="fr-FR" w:bidi="fr-FR"/>
        </w:rPr>
        <w:t>a</w:t>
      </w:r>
      <w:r w:rsidRPr="000F765B">
        <w:rPr>
          <w:lang w:eastAsia="fr-FR" w:bidi="fr-FR"/>
        </w:rPr>
        <w:t>rer aux doutes qu’eût pu soulever la présence de ces brisures, M. S</w:t>
      </w:r>
      <w:r w:rsidRPr="000F765B">
        <w:rPr>
          <w:lang w:eastAsia="fr-FR" w:bidi="fr-FR"/>
        </w:rPr>
        <w:t>i</w:t>
      </w:r>
      <w:r w:rsidRPr="000F765B">
        <w:rPr>
          <w:lang w:eastAsia="fr-FR" w:bidi="fr-FR"/>
        </w:rPr>
        <w:t>miand a eu recours à un artifice de présentation extrêmement ing</w:t>
      </w:r>
      <w:r w:rsidRPr="000F765B">
        <w:rPr>
          <w:lang w:eastAsia="fr-FR" w:bidi="fr-FR"/>
        </w:rPr>
        <w:t>é</w:t>
      </w:r>
      <w:r w:rsidRPr="000F765B">
        <w:rPr>
          <w:lang w:eastAsia="fr-FR" w:bidi="fr-FR"/>
        </w:rPr>
        <w:t>nieux. Quatre séries, relatives à quatre grandes industries</w:t>
      </w:r>
      <w:r>
        <w:rPr>
          <w:lang w:eastAsia="fr-FR" w:bidi="fr-FR"/>
        </w:rPr>
        <w:t> — </w:t>
      </w:r>
      <w:r w:rsidRPr="000F765B">
        <w:rPr>
          <w:lang w:eastAsia="fr-FR" w:bidi="fr-FR"/>
        </w:rPr>
        <w:t>mines, sucre, textiles et métaux</w:t>
      </w:r>
      <w:r>
        <w:rPr>
          <w:lang w:eastAsia="fr-FR" w:bidi="fr-FR"/>
        </w:rPr>
        <w:t> — </w:t>
      </w:r>
      <w:r w:rsidRPr="000F765B">
        <w:rPr>
          <w:lang w:eastAsia="fr-FR" w:bidi="fr-FR"/>
        </w:rPr>
        <w:t>offrent, par exception, une continuité r</w:t>
      </w:r>
      <w:r w:rsidRPr="000F765B">
        <w:rPr>
          <w:lang w:eastAsia="fr-FR" w:bidi="fr-FR"/>
        </w:rPr>
        <w:t>e</w:t>
      </w:r>
      <w:r w:rsidRPr="000F765B">
        <w:rPr>
          <w:lang w:eastAsia="fr-FR" w:bidi="fr-FR"/>
        </w:rPr>
        <w:t>marquable : au point de fournir pendant de longues périodes</w:t>
      </w:r>
      <w:r>
        <w:rPr>
          <w:lang w:eastAsia="fr-FR" w:bidi="fr-FR"/>
        </w:rPr>
        <w:t> — </w:t>
      </w:r>
      <w:r w:rsidRPr="000F765B">
        <w:rPr>
          <w:lang w:eastAsia="fr-FR" w:bidi="fr-FR"/>
        </w:rPr>
        <w:t>pour les mines, d</w:t>
      </w:r>
      <w:r w:rsidRPr="000F765B">
        <w:rPr>
          <w:lang w:eastAsia="fr-FR" w:bidi="fr-FR"/>
        </w:rPr>
        <w:t>e</w:t>
      </w:r>
      <w:r w:rsidRPr="000F765B">
        <w:rPr>
          <w:lang w:eastAsia="fr-FR" w:bidi="fr-FR"/>
        </w:rPr>
        <w:t>puis 1847</w:t>
      </w:r>
      <w:r>
        <w:rPr>
          <w:lang w:eastAsia="fr-FR" w:bidi="fr-FR"/>
        </w:rPr>
        <w:t> — </w:t>
      </w:r>
      <w:r w:rsidRPr="000F765B">
        <w:rPr>
          <w:lang w:eastAsia="fr-FR" w:bidi="fr-FR"/>
        </w:rPr>
        <w:t>des données annuelles. Au lieu de porter leurs courbes sur le diagramme général (France, moins Paris), il les a réunies, à part, en un transparent, dont l’application, sur le graphique réservé aux a</w:t>
      </w:r>
      <w:r w:rsidRPr="000F765B">
        <w:rPr>
          <w:lang w:eastAsia="fr-FR" w:bidi="fr-FR"/>
        </w:rPr>
        <w:t>u</w:t>
      </w:r>
      <w:r w:rsidRPr="000F765B">
        <w:rPr>
          <w:lang w:eastAsia="fr-FR" w:bidi="fr-FR"/>
        </w:rPr>
        <w:t>tres séries, à la fois restitue le tableau d’ensemble et permet, des témoignages les meilleurs aux témoignages plus impa</w:t>
      </w:r>
      <w:r w:rsidRPr="000F765B">
        <w:rPr>
          <w:lang w:eastAsia="fr-FR" w:bidi="fr-FR"/>
        </w:rPr>
        <w:t>r</w:t>
      </w:r>
      <w:r w:rsidRPr="000F765B">
        <w:rPr>
          <w:lang w:eastAsia="fr-FR" w:bidi="fr-FR"/>
        </w:rPr>
        <w:t>faits, une comparaison aisée. L’identité foncière des divers mouv</w:t>
      </w:r>
      <w:r w:rsidRPr="000F765B">
        <w:rPr>
          <w:lang w:eastAsia="fr-FR" w:bidi="fr-FR"/>
        </w:rPr>
        <w:t>e</w:t>
      </w:r>
      <w:r w:rsidRPr="000F765B">
        <w:rPr>
          <w:lang w:eastAsia="fr-FR" w:bidi="fr-FR"/>
        </w:rPr>
        <w:t>ments particuliers, « quant au sens, à la grandeur, aux tournants et aux dates », est par là rendue sensible, et c’est en toute tranquillité d’âme que nous pourrons désormais chercher à dégager de leur examen, conformément à l’objet propre de l’étude, le mouvement global des salaires français.</w:t>
      </w:r>
    </w:p>
    <w:p w14:paraId="088AAC20"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4AF9EA3E" w14:textId="77777777" w:rsidR="00B9662D" w:rsidRPr="000F765B" w:rsidRDefault="00B9662D" w:rsidP="00B9662D">
      <w:pPr>
        <w:spacing w:before="120" w:after="120"/>
        <w:jc w:val="both"/>
      </w:pPr>
      <w:r w:rsidRPr="000F765B">
        <w:rPr>
          <w:lang w:eastAsia="fr-FR" w:bidi="fr-FR"/>
        </w:rPr>
        <w:t>Ce mouvement, dont l’observation a coûté tant d’heureux efforts, s’offre à nous, en fin de compte, sous l’aspect d’un grand rythme a</w:t>
      </w:r>
      <w:r w:rsidRPr="000F765B">
        <w:rPr>
          <w:lang w:eastAsia="fr-FR" w:bidi="fr-FR"/>
        </w:rPr>
        <w:t>l</w:t>
      </w:r>
      <w:r w:rsidRPr="000F765B">
        <w:rPr>
          <w:lang w:eastAsia="fr-FR" w:bidi="fr-FR"/>
        </w:rPr>
        <w:t>terné. Tout le long de la courb</w:t>
      </w:r>
      <w:r>
        <w:rPr>
          <w:lang w:eastAsia="fr-FR" w:bidi="fr-FR"/>
        </w:rPr>
        <w:t>e, deux types de phases, que M. </w:t>
      </w:r>
      <w:r w:rsidRPr="000F765B">
        <w:rPr>
          <w:lang w:eastAsia="fr-FR" w:bidi="fr-FR"/>
        </w:rPr>
        <w:t>Simiand désigne par les lettres A et B, vont se succédant. Les ph</w:t>
      </w:r>
      <w:r w:rsidRPr="000F765B">
        <w:rPr>
          <w:lang w:eastAsia="fr-FR" w:bidi="fr-FR"/>
        </w:rPr>
        <w:t>a</w:t>
      </w:r>
      <w:r w:rsidRPr="000F765B">
        <w:rPr>
          <w:lang w:eastAsia="fr-FR" w:bidi="fr-FR"/>
        </w:rPr>
        <w:t>ses A sont les plus aisées à définir : elles se caractérisent par une hausse accentuée. Rien, par contre, ne serait plus inexact que de qual</w:t>
      </w:r>
      <w:r w:rsidRPr="000F765B">
        <w:rPr>
          <w:lang w:eastAsia="fr-FR" w:bidi="fr-FR"/>
        </w:rPr>
        <w:t>i</w:t>
      </w:r>
      <w:r w:rsidRPr="000F765B">
        <w:rPr>
          <w:lang w:eastAsia="fr-FR" w:bidi="fr-FR"/>
        </w:rPr>
        <w:t>fier, brutalement, les phases B de phases de baisse. Sans doute on y voit, fréquemment, les salaires décroître, sans d’ailleurs que cet affa</w:t>
      </w:r>
      <w:r w:rsidRPr="000F765B">
        <w:rPr>
          <w:lang w:eastAsia="fr-FR" w:bidi="fr-FR"/>
        </w:rPr>
        <w:t>i</w:t>
      </w:r>
      <w:r w:rsidRPr="000F765B">
        <w:rPr>
          <w:lang w:eastAsia="fr-FR" w:bidi="fr-FR"/>
        </w:rPr>
        <w:t>blissement atteigne jamais, en amplitude, la montée de la phase préc</w:t>
      </w:r>
      <w:r w:rsidRPr="000F765B">
        <w:rPr>
          <w:lang w:eastAsia="fr-FR" w:bidi="fr-FR"/>
        </w:rPr>
        <w:t>é</w:t>
      </w:r>
      <w:r w:rsidRPr="000F765B">
        <w:rPr>
          <w:lang w:eastAsia="fr-FR" w:bidi="fr-FR"/>
        </w:rPr>
        <w:t>dente. Mais il arrive aussi qu’ils soient simplement stationnaires, voire même qu’à certains moments ou dans certaines industries ils marquent une hausse légère. Un palier, en somme, autant et plus qu’une chute. C’en est assez, cependant, pour que, par leur orientation caractérist</w:t>
      </w:r>
      <w:r w:rsidRPr="000F765B">
        <w:rPr>
          <w:lang w:eastAsia="fr-FR" w:bidi="fr-FR"/>
        </w:rPr>
        <w:t>i</w:t>
      </w:r>
      <w:r w:rsidRPr="000F765B">
        <w:rPr>
          <w:lang w:eastAsia="fr-FR" w:bidi="fr-FR"/>
        </w:rPr>
        <w:t>que, les deux temps de l’évolution présentent un très vif contraste, qui suggère des liaisons causales différentes.</w:t>
      </w:r>
    </w:p>
    <w:p w14:paraId="709C2336" w14:textId="77777777" w:rsidR="00B9662D" w:rsidRPr="000F765B" w:rsidRDefault="00B9662D" w:rsidP="00B9662D">
      <w:pPr>
        <w:spacing w:before="120" w:after="120"/>
        <w:jc w:val="both"/>
      </w:pPr>
      <w:r w:rsidRPr="000F765B">
        <w:rPr>
          <w:lang w:eastAsia="fr-FR" w:bidi="fr-FR"/>
        </w:rPr>
        <w:lastRenderedPageBreak/>
        <w:t xml:space="preserve">C’est par une hausse que s’ouvre le </w:t>
      </w:r>
      <w:r w:rsidRPr="0004384E">
        <w:rPr>
          <w:caps/>
          <w:lang w:eastAsia="fr-FR" w:bidi="fr-FR"/>
        </w:rPr>
        <w:t>xix</w:t>
      </w:r>
      <w:r w:rsidRPr="000F765B">
        <w:rPr>
          <w:vertAlign w:val="superscript"/>
          <w:lang w:eastAsia="fr-FR" w:bidi="fr-FR"/>
        </w:rPr>
        <w:t>e</w:t>
      </w:r>
      <w:r w:rsidRPr="000F765B">
        <w:rPr>
          <w:lang w:eastAsia="fr-FR" w:bidi="fr-FR"/>
        </w:rPr>
        <w:t xml:space="preserve"> siècle ; le point de départ doit en être cherché dans le siècle antérieur et, probablement, dès avant 1789. Suit un tournant dont, en raison de l’insuffisance des sources, la date ne saurait être précisée avec beaucoup d’exactitude ; il doit, en gros, se placer entre 1819 et 1820. Une période de type B commence alors : stabilité, ou hausse atténuée dans la petite produ</w:t>
      </w:r>
      <w:r w:rsidRPr="000F765B">
        <w:rPr>
          <w:lang w:eastAsia="fr-FR" w:bidi="fr-FR"/>
        </w:rPr>
        <w:t>c</w:t>
      </w:r>
      <w:r w:rsidRPr="000F765B">
        <w:rPr>
          <w:lang w:eastAsia="fr-FR" w:bidi="fr-FR"/>
        </w:rPr>
        <w:t>tion ; stabilité, ou baisse des salaires agricoles ; baisse notable dans les industries les plus importantes ou les plus évoluées. Puis, à partir de 1851 ou environ</w:t>
      </w:r>
      <w:r>
        <w:rPr>
          <w:lang w:eastAsia="fr-FR" w:bidi="fr-FR"/>
        </w:rPr>
        <w:t> — </w:t>
      </w:r>
      <w:r w:rsidRPr="000F765B">
        <w:rPr>
          <w:lang w:eastAsia="fr-FR" w:bidi="fr-FR"/>
        </w:rPr>
        <w:t>avec çà et là quelques avances ou retardements</w:t>
      </w:r>
      <w:r>
        <w:rPr>
          <w:lang w:eastAsia="fr-FR" w:bidi="fr-FR"/>
        </w:rPr>
        <w:t> — </w:t>
      </w:r>
      <w:r w:rsidRPr="000F765B">
        <w:rPr>
          <w:lang w:eastAsia="fr-FR" w:bidi="fr-FR"/>
        </w:rPr>
        <w:t>nous assistons à une hausse très forte et très générale, qui se poursuit jusqu’aux alentours de 1880. Ici, nouveau changement de sens. Il a parfois passé inaperçu parce qu’il se traduit moins par une baisse franche que par un état stationnaire, avec diverses oscillations et de faibles hausses de détail ; à y regarder de près, cependant, c’est bien, en contraste marqué avec la phase A précédente, une phase B qui d</w:t>
      </w:r>
      <w:r w:rsidRPr="000F765B">
        <w:rPr>
          <w:lang w:eastAsia="fr-FR" w:bidi="fr-FR"/>
        </w:rPr>
        <w:t>é</w:t>
      </w:r>
      <w:r w:rsidRPr="000F765B">
        <w:rPr>
          <w:lang w:eastAsia="fr-FR" w:bidi="fr-FR"/>
        </w:rPr>
        <w:t>bute ainsi. Elle va durer jusqu’aux toutes dernières années du siècle. Vers 1900, une nouvelle hausse se dessine, en traits</w:t>
      </w:r>
      <w:r>
        <w:t xml:space="preserve"> [</w:t>
      </w:r>
      <w:r w:rsidRPr="000F765B">
        <w:rPr>
          <w:lang w:eastAsia="fr-FR" w:bidi="fr-FR"/>
        </w:rPr>
        <w:t>901</w:t>
      </w:r>
      <w:r>
        <w:rPr>
          <w:lang w:eastAsia="fr-FR" w:bidi="fr-FR"/>
        </w:rPr>
        <w:t xml:space="preserve">] </w:t>
      </w:r>
      <w:r w:rsidRPr="000F765B">
        <w:rPr>
          <w:lang w:eastAsia="fr-FR" w:bidi="fr-FR"/>
        </w:rPr>
        <w:t>vigoureux ; elle traverse les années de guerre pour aboutir, semble-t-il, en 1926 ou peu après, à un nouveau retournement. Le recul, sans doute, est encore trop insuffisant pour nous permettre une conclusion scientifique fe</w:t>
      </w:r>
      <w:r w:rsidRPr="000F765B">
        <w:rPr>
          <w:lang w:eastAsia="fr-FR" w:bidi="fr-FR"/>
        </w:rPr>
        <w:t>r</w:t>
      </w:r>
      <w:r w:rsidRPr="000F765B">
        <w:rPr>
          <w:lang w:eastAsia="fr-FR" w:bidi="fr-FR"/>
        </w:rPr>
        <w:t>mement fondée ; tout indique, néanmoins, que nous vivons actuell</w:t>
      </w:r>
      <w:r w:rsidRPr="000F765B">
        <w:rPr>
          <w:lang w:eastAsia="fr-FR" w:bidi="fr-FR"/>
        </w:rPr>
        <w:t>e</w:t>
      </w:r>
      <w:r w:rsidRPr="000F765B">
        <w:rPr>
          <w:lang w:eastAsia="fr-FR" w:bidi="fr-FR"/>
        </w:rPr>
        <w:t xml:space="preserve">ment sous le signe B, et c’est bien ainsi qu’en fait, dans ses </w:t>
      </w:r>
      <w:r w:rsidRPr="00143818">
        <w:rPr>
          <w:i/>
        </w:rPr>
        <w:t>Fluctu</w:t>
      </w:r>
      <w:r w:rsidRPr="00143818">
        <w:rPr>
          <w:i/>
        </w:rPr>
        <w:t>a</w:t>
      </w:r>
      <w:r w:rsidRPr="00143818">
        <w:rPr>
          <w:i/>
        </w:rPr>
        <w:t>tions à longue période</w:t>
      </w:r>
      <w:r w:rsidRPr="000F765B">
        <w:rPr>
          <w:lang w:eastAsia="fr-FR" w:bidi="fr-FR"/>
        </w:rPr>
        <w:t>, M. Simiand interprète la crise pr</w:t>
      </w:r>
      <w:r w:rsidRPr="000F765B">
        <w:rPr>
          <w:lang w:eastAsia="fr-FR" w:bidi="fr-FR"/>
        </w:rPr>
        <w:t>é</w:t>
      </w:r>
      <w:r w:rsidRPr="000F765B">
        <w:rPr>
          <w:lang w:eastAsia="fr-FR" w:bidi="fr-FR"/>
        </w:rPr>
        <w:t>sente, pour en exorciser les fantômes.</w:t>
      </w:r>
    </w:p>
    <w:p w14:paraId="30FFD4E4" w14:textId="77777777" w:rsidR="00B9662D" w:rsidRPr="000F765B" w:rsidRDefault="00B9662D" w:rsidP="00B9662D">
      <w:pPr>
        <w:spacing w:before="120" w:after="120"/>
        <w:jc w:val="both"/>
      </w:pPr>
      <w:r w:rsidRPr="000F765B">
        <w:rPr>
          <w:lang w:eastAsia="fr-FR" w:bidi="fr-FR"/>
        </w:rPr>
        <w:t>Ce retour cyclique avait été entrevu par quelques économistes ; pour les prix, à vrai dire, beaucoup plutôt que pour les salaires. Aucun n’en avait jamais défini ni prouvé l’alternance. Qu’à elle seule la d</w:t>
      </w:r>
      <w:r w:rsidRPr="000F765B">
        <w:rPr>
          <w:lang w:eastAsia="fr-FR" w:bidi="fr-FR"/>
        </w:rPr>
        <w:t>é</w:t>
      </w:r>
      <w:r w:rsidRPr="000F765B">
        <w:rPr>
          <w:lang w:eastAsia="fr-FR" w:bidi="fr-FR"/>
        </w:rPr>
        <w:t>couverte du mouvement soit grosse de vues nouvelles sur les courants profonds de notre histoire, le rôle joué, dans la structure de nos civil</w:t>
      </w:r>
      <w:r w:rsidRPr="000F765B">
        <w:rPr>
          <w:lang w:eastAsia="fr-FR" w:bidi="fr-FR"/>
        </w:rPr>
        <w:t>i</w:t>
      </w:r>
      <w:r w:rsidRPr="000F765B">
        <w:rPr>
          <w:lang w:eastAsia="fr-FR" w:bidi="fr-FR"/>
        </w:rPr>
        <w:t>sations, par le groupe de revenus dénommé salaires, est trop éclatant pour qu’il soit besoin d’y i</w:t>
      </w:r>
      <w:r>
        <w:rPr>
          <w:lang w:eastAsia="fr-FR" w:bidi="fr-FR"/>
        </w:rPr>
        <w:t>nsister. En elle, cependant, M. </w:t>
      </w:r>
      <w:r w:rsidRPr="000F765B">
        <w:rPr>
          <w:lang w:eastAsia="fr-FR" w:bidi="fr-FR"/>
        </w:rPr>
        <w:t>Simiand a vu moins un résultat qu’une base de recherches. Les variations du ph</w:t>
      </w:r>
      <w:r w:rsidRPr="000F765B">
        <w:rPr>
          <w:lang w:eastAsia="fr-FR" w:bidi="fr-FR"/>
        </w:rPr>
        <w:t>é</w:t>
      </w:r>
      <w:r w:rsidRPr="000F765B">
        <w:rPr>
          <w:lang w:eastAsia="fr-FR" w:bidi="fr-FR"/>
        </w:rPr>
        <w:t xml:space="preserve">nomène central une fois décrites, reste à en établir les liaisons avec les phénomènes connexes. </w:t>
      </w:r>
      <w:r>
        <w:rPr>
          <w:lang w:eastAsia="fr-FR" w:bidi="fr-FR"/>
        </w:rPr>
        <w:t>À cette grande tâche, M. </w:t>
      </w:r>
      <w:r w:rsidRPr="000F765B">
        <w:rPr>
          <w:lang w:eastAsia="fr-FR" w:bidi="fr-FR"/>
        </w:rPr>
        <w:t>Simiand a consacré son deuxième volume presque tout entier.</w:t>
      </w:r>
    </w:p>
    <w:p w14:paraId="6196F57C" w14:textId="77777777" w:rsidR="00B9662D" w:rsidRDefault="00B9662D" w:rsidP="00B9662D">
      <w:pPr>
        <w:pStyle w:val="c"/>
        <w:rPr>
          <w:lang w:eastAsia="fr-FR" w:bidi="fr-FR"/>
        </w:rPr>
      </w:pPr>
      <w:r>
        <w:rPr>
          <w:lang w:eastAsia="fr-FR" w:bidi="fr-FR"/>
        </w:rPr>
        <w:t>*</w:t>
      </w:r>
      <w:r>
        <w:rPr>
          <w:lang w:eastAsia="fr-FR" w:bidi="fr-FR"/>
        </w:rPr>
        <w:br/>
        <w:t>*     *</w:t>
      </w:r>
    </w:p>
    <w:p w14:paraId="77547AE6" w14:textId="77777777" w:rsidR="00B9662D" w:rsidRDefault="00B9662D" w:rsidP="00B9662D">
      <w:pPr>
        <w:spacing w:before="120" w:after="120"/>
        <w:jc w:val="both"/>
        <w:rPr>
          <w:lang w:eastAsia="fr-FR" w:bidi="fr-FR"/>
        </w:rPr>
      </w:pPr>
    </w:p>
    <w:p w14:paraId="7EFBB61F" w14:textId="77777777" w:rsidR="00B9662D" w:rsidRPr="000F765B" w:rsidRDefault="00B9662D" w:rsidP="00B9662D">
      <w:pPr>
        <w:spacing w:before="120" w:after="120"/>
        <w:jc w:val="both"/>
      </w:pPr>
      <w:r w:rsidRPr="000F765B">
        <w:rPr>
          <w:lang w:eastAsia="fr-FR" w:bidi="fr-FR"/>
        </w:rPr>
        <w:lastRenderedPageBreak/>
        <w:t>Les règles mêmes que M. Simiand s’était fixées lui faisaient, on le sait, une obligation de ne rejeter, de parti pris, aucune liaison conc</w:t>
      </w:r>
      <w:r w:rsidRPr="000F765B">
        <w:rPr>
          <w:lang w:eastAsia="fr-FR" w:bidi="fr-FR"/>
        </w:rPr>
        <w:t>e</w:t>
      </w:r>
      <w:r w:rsidRPr="000F765B">
        <w:rPr>
          <w:lang w:eastAsia="fr-FR" w:bidi="fr-FR"/>
        </w:rPr>
        <w:t>vable. C’est donc à une revue complète de toutes les catégories de phénomènes sociaux et, plus particulièrement, des phénomènes éc</w:t>
      </w:r>
      <w:r w:rsidRPr="000F765B">
        <w:rPr>
          <w:lang w:eastAsia="fr-FR" w:bidi="fr-FR"/>
        </w:rPr>
        <w:t>o</w:t>
      </w:r>
      <w:r w:rsidRPr="000F765B">
        <w:rPr>
          <w:lang w:eastAsia="fr-FR" w:bidi="fr-FR"/>
        </w:rPr>
        <w:t xml:space="preserve">nomiques, durant l’ère envisagée, qu’il se trouve nous convier. Dans cette histoire économique du </w:t>
      </w:r>
      <w:r w:rsidRPr="0004384E">
        <w:rPr>
          <w:caps/>
          <w:lang w:eastAsia="fr-FR" w:bidi="fr-FR"/>
        </w:rPr>
        <w:t>xix</w:t>
      </w:r>
      <w:r w:rsidRPr="000F765B">
        <w:rPr>
          <w:vertAlign w:val="superscript"/>
          <w:lang w:eastAsia="fr-FR" w:bidi="fr-FR"/>
        </w:rPr>
        <w:t>e</w:t>
      </w:r>
      <w:r w:rsidRPr="000F765B">
        <w:rPr>
          <w:lang w:eastAsia="fr-FR" w:bidi="fr-FR"/>
        </w:rPr>
        <w:t xml:space="preserve"> siècle, qui, à tant d’égards, deme</w:t>
      </w:r>
      <w:r w:rsidRPr="000F765B">
        <w:rPr>
          <w:lang w:eastAsia="fr-FR" w:bidi="fr-FR"/>
        </w:rPr>
        <w:t>u</w:t>
      </w:r>
      <w:r w:rsidRPr="000F765B">
        <w:rPr>
          <w:lang w:eastAsia="fr-FR" w:bidi="fr-FR"/>
        </w:rPr>
        <w:t>re plus devinée, ou imaginée, que connue, il n’est guère de problème important sur lequel il n’ait été, par là, amené à apporter des lumières nouvelles : en sorte que la richesse de l’ouvrage et ses possibilités d’utilisation, par les historiens, dépassent de beaucoup ce qu’à pr</w:t>
      </w:r>
      <w:r w:rsidRPr="000F765B">
        <w:rPr>
          <w:lang w:eastAsia="fr-FR" w:bidi="fr-FR"/>
        </w:rPr>
        <w:t>e</w:t>
      </w:r>
      <w:r w:rsidRPr="000F765B">
        <w:rPr>
          <w:lang w:eastAsia="fr-FR" w:bidi="fr-FR"/>
        </w:rPr>
        <w:t>mière vue, suggèrerait son titre. Elles dépassent également, de très loin, les bornes d’un compte rendu, même développé. Du moins, lai</w:t>
      </w:r>
      <w:r w:rsidRPr="000F765B">
        <w:rPr>
          <w:lang w:eastAsia="fr-FR" w:bidi="fr-FR"/>
        </w:rPr>
        <w:t>s</w:t>
      </w:r>
      <w:r w:rsidRPr="000F765B">
        <w:rPr>
          <w:lang w:eastAsia="fr-FR" w:bidi="fr-FR"/>
        </w:rPr>
        <w:t xml:space="preserve">sant de côté le classement même des faits, bien digne pourtant d’être médité, mais que </w:t>
      </w:r>
      <w:r>
        <w:t>l’</w:t>
      </w:r>
      <w:r w:rsidRPr="0004384E">
        <w:rPr>
          <w:i/>
        </w:rPr>
        <w:t>Année sociologique</w:t>
      </w:r>
      <w:r w:rsidRPr="000F765B">
        <w:rPr>
          <w:lang w:eastAsia="fr-FR" w:bidi="fr-FR"/>
        </w:rPr>
        <w:t xml:space="preserve"> nous a déjà rendu familier</w:t>
      </w:r>
      <w:r>
        <w:rPr>
          <w:lang w:eastAsia="fr-FR" w:bidi="fr-FR"/>
        </w:rPr>
        <w:t> </w:t>
      </w:r>
      <w:r>
        <w:rPr>
          <w:rStyle w:val="Appelnotedebasdep"/>
        </w:rPr>
        <w:footnoteReference w:id="956"/>
      </w:r>
      <w:r w:rsidRPr="000F765B">
        <w:rPr>
          <w:lang w:eastAsia="fr-FR" w:bidi="fr-FR"/>
        </w:rPr>
        <w:t>, convient-il d’indiquer brièvement la méthode qui a présidé à leur examen.</w:t>
      </w:r>
    </w:p>
    <w:p w14:paraId="1986CB1C" w14:textId="77777777" w:rsidR="00B9662D" w:rsidRPr="000F765B" w:rsidRDefault="00B9662D" w:rsidP="00B9662D">
      <w:pPr>
        <w:spacing w:before="120" w:after="120"/>
        <w:jc w:val="both"/>
      </w:pPr>
      <w:r w:rsidRPr="000F765B">
        <w:rPr>
          <w:lang w:eastAsia="fr-FR" w:bidi="fr-FR"/>
        </w:rPr>
        <w:t>C’est une variation numérique qu’avait atteinte l’étude sur le sala</w:t>
      </w:r>
      <w:r w:rsidRPr="000F765B">
        <w:rPr>
          <w:lang w:eastAsia="fr-FR" w:bidi="fr-FR"/>
        </w:rPr>
        <w:t>i</w:t>
      </w:r>
      <w:r w:rsidRPr="000F765B">
        <w:rPr>
          <w:lang w:eastAsia="fr-FR" w:bidi="fr-FR"/>
        </w:rPr>
        <w:t xml:space="preserve">re. </w:t>
      </w:r>
      <w:r>
        <w:rPr>
          <w:lang w:eastAsia="fr-FR" w:bidi="fr-FR"/>
        </w:rPr>
        <w:t>À</w:t>
      </w:r>
      <w:r w:rsidRPr="000F765B">
        <w:rPr>
          <w:lang w:eastAsia="fr-FR" w:bidi="fr-FR"/>
        </w:rPr>
        <w:t xml:space="preserve"> une courbe chiffrée, que comparer, sinon d’autres courbes ? Vis-à-vis de ce qu’on a coutume d’appeler les grandes transformations économiques des </w:t>
      </w:r>
      <w:r w:rsidRPr="0004384E">
        <w:rPr>
          <w:caps/>
          <w:lang w:eastAsia="fr-FR" w:bidi="fr-FR"/>
        </w:rPr>
        <w:t>xix</w:t>
      </w:r>
      <w:r w:rsidRPr="000F765B">
        <w:rPr>
          <w:vertAlign w:val="superscript"/>
          <w:lang w:eastAsia="fr-FR" w:bidi="fr-FR"/>
        </w:rPr>
        <w:t>e</w:t>
      </w:r>
      <w:r w:rsidRPr="000F765B">
        <w:rPr>
          <w:lang w:eastAsia="fr-FR" w:bidi="fr-FR"/>
        </w:rPr>
        <w:t xml:space="preserve"> et </w:t>
      </w:r>
      <w:r w:rsidRPr="0004384E">
        <w:rPr>
          <w:caps/>
          <w:lang w:eastAsia="fr-FR" w:bidi="fr-FR"/>
        </w:rPr>
        <w:t>xx</w:t>
      </w:r>
      <w:r w:rsidRPr="000F765B">
        <w:rPr>
          <w:vertAlign w:val="superscript"/>
          <w:lang w:eastAsia="fr-FR" w:bidi="fr-FR"/>
        </w:rPr>
        <w:t>e</w:t>
      </w:r>
      <w:r w:rsidRPr="000F765B">
        <w:rPr>
          <w:lang w:eastAsia="fr-FR" w:bidi="fr-FR"/>
        </w:rPr>
        <w:t xml:space="preserve"> siècles, la préoccupation fondamentale de M. Simiand a été de substituer à une suite d’impressions la rigo</w:t>
      </w:r>
      <w:r w:rsidRPr="000F765B">
        <w:rPr>
          <w:lang w:eastAsia="fr-FR" w:bidi="fr-FR"/>
        </w:rPr>
        <w:t>u</w:t>
      </w:r>
      <w:r w:rsidRPr="000F765B">
        <w:rPr>
          <w:lang w:eastAsia="fr-FR" w:bidi="fr-FR"/>
        </w:rPr>
        <w:t>reuse précision d’un système d’appareils enregistreurs. La tâche ex</w:t>
      </w:r>
      <w:r w:rsidRPr="000F765B">
        <w:rPr>
          <w:lang w:eastAsia="fr-FR" w:bidi="fr-FR"/>
        </w:rPr>
        <w:t>i</w:t>
      </w:r>
      <w:r w:rsidRPr="000F765B">
        <w:rPr>
          <w:lang w:eastAsia="fr-FR" w:bidi="fr-FR"/>
        </w:rPr>
        <w:t>geait, non seulement une parfaite maîtrise du langage statistique -— j’ai déjà donné une idée de cette technique et ne veux pas y revenir —, mais encore une grande ingéniosité. Prenons quelques exemples. « Progrès de l’économie d’échanges » : la formule est courante. Elle est vague aussi ; au mieux, elle constate le phénomène accompli, sans mesurer, dans sa marche et, s’il y a lieu, ses oscillations, le phénom</w:t>
      </w:r>
      <w:r w:rsidRPr="000F765B">
        <w:rPr>
          <w:lang w:eastAsia="fr-FR" w:bidi="fr-FR"/>
        </w:rPr>
        <w:t>è</w:t>
      </w:r>
      <w:r w:rsidRPr="000F765B">
        <w:rPr>
          <w:lang w:eastAsia="fr-FR" w:bidi="fr-FR"/>
        </w:rPr>
        <w:t>ne « se produisant ». Choisissant un certain nombre</w:t>
      </w:r>
      <w:r>
        <w:t xml:space="preserve"> [902] </w:t>
      </w:r>
      <w:r w:rsidRPr="000F765B">
        <w:rPr>
          <w:lang w:eastAsia="fr-FR" w:bidi="fr-FR"/>
        </w:rPr>
        <w:t>de matières, de large emploi, M. Simiand a établi, d’année en a</w:t>
      </w:r>
      <w:r w:rsidRPr="000F765B">
        <w:rPr>
          <w:lang w:eastAsia="fr-FR" w:bidi="fr-FR"/>
        </w:rPr>
        <w:t>n</w:t>
      </w:r>
      <w:r w:rsidRPr="000F765B">
        <w:rPr>
          <w:lang w:eastAsia="fr-FR" w:bidi="fr-FR"/>
        </w:rPr>
        <w:t>née, le rapport des quantités consommées aux quantités transportées par chemin de fer ou par voies navigables. Comme on ne saurait do</w:t>
      </w:r>
      <w:r w:rsidRPr="000F765B">
        <w:rPr>
          <w:lang w:eastAsia="fr-FR" w:bidi="fr-FR"/>
        </w:rPr>
        <w:t>u</w:t>
      </w:r>
      <w:r w:rsidRPr="000F765B">
        <w:rPr>
          <w:lang w:eastAsia="fr-FR" w:bidi="fr-FR"/>
        </w:rPr>
        <w:t>ter que la plus grande partie, de beaucoup, des marchandises ainsi v</w:t>
      </w:r>
      <w:r w:rsidRPr="000F765B">
        <w:rPr>
          <w:lang w:eastAsia="fr-FR" w:bidi="fr-FR"/>
        </w:rPr>
        <w:t>é</w:t>
      </w:r>
      <w:r w:rsidRPr="000F765B">
        <w:rPr>
          <w:lang w:eastAsia="fr-FR" w:bidi="fr-FR"/>
        </w:rPr>
        <w:t>hiculées n’aient été l’objet d’échanges et, le plus souvent, d’échanges indirects, la repr</w:t>
      </w:r>
      <w:r w:rsidRPr="000F765B">
        <w:rPr>
          <w:lang w:eastAsia="fr-FR" w:bidi="fr-FR"/>
        </w:rPr>
        <w:t>é</w:t>
      </w:r>
      <w:r w:rsidRPr="000F765B">
        <w:rPr>
          <w:lang w:eastAsia="fr-FR" w:bidi="fr-FR"/>
        </w:rPr>
        <w:t>sentation qui se dégage de ce calcul offre une image, impar</w:t>
      </w:r>
      <w:r w:rsidRPr="000F765B">
        <w:rPr>
          <w:lang w:eastAsia="fr-FR" w:bidi="fr-FR"/>
        </w:rPr>
        <w:lastRenderedPageBreak/>
        <w:t>faite ass</w:t>
      </w:r>
      <w:r w:rsidRPr="000F765B">
        <w:rPr>
          <w:lang w:eastAsia="fr-FR" w:bidi="fr-FR"/>
        </w:rPr>
        <w:t>u</w:t>
      </w:r>
      <w:r w:rsidRPr="000F765B">
        <w:rPr>
          <w:lang w:eastAsia="fr-FR" w:bidi="fr-FR"/>
        </w:rPr>
        <w:t>rément, mais du moins, dans ses variations, toujours comparable à elle-même</w:t>
      </w:r>
      <w:r>
        <w:rPr>
          <w:lang w:eastAsia="fr-FR" w:bidi="fr-FR"/>
        </w:rPr>
        <w:t> </w:t>
      </w:r>
      <w:r>
        <w:rPr>
          <w:rStyle w:val="Appelnotedebasdep"/>
        </w:rPr>
        <w:footnoteReference w:id="957"/>
      </w:r>
      <w:r w:rsidRPr="000F765B">
        <w:rPr>
          <w:lang w:eastAsia="fr-FR" w:bidi="fr-FR"/>
        </w:rPr>
        <w:t>, de la proportion entre les biens échangés et les biens consommés : par suite, du mouvement des échanges. Voyez encore la méthode, d’une remarquable adresse, qui a été appliquée au calcul des revenus « mixtes »</w:t>
      </w:r>
      <w:r>
        <w:rPr>
          <w:lang w:eastAsia="fr-FR" w:bidi="fr-FR"/>
        </w:rPr>
        <w:t> — </w:t>
      </w:r>
      <w:r w:rsidRPr="000F765B">
        <w:rPr>
          <w:lang w:eastAsia="fr-FR" w:bidi="fr-FR"/>
        </w:rPr>
        <w:t>travail et propriété réunis —, autr</w:t>
      </w:r>
      <w:r w:rsidRPr="000F765B">
        <w:rPr>
          <w:lang w:eastAsia="fr-FR" w:bidi="fr-FR"/>
        </w:rPr>
        <w:t>e</w:t>
      </w:r>
      <w:r w:rsidRPr="000F765B">
        <w:rPr>
          <w:lang w:eastAsia="fr-FR" w:bidi="fr-FR"/>
        </w:rPr>
        <w:t>ment dit, pour l’essentiel, du profit patronal. Ici déjà, par l’étude d’une catég</w:t>
      </w:r>
      <w:r w:rsidRPr="000F765B">
        <w:rPr>
          <w:lang w:eastAsia="fr-FR" w:bidi="fr-FR"/>
        </w:rPr>
        <w:t>o</w:t>
      </w:r>
      <w:r w:rsidRPr="000F765B">
        <w:rPr>
          <w:lang w:eastAsia="fr-FR" w:bidi="fr-FR"/>
        </w:rPr>
        <w:t>rie de ressources qui correspond visiblement à une ligne de cl</w:t>
      </w:r>
      <w:r w:rsidRPr="000F765B">
        <w:rPr>
          <w:lang w:eastAsia="fr-FR" w:bidi="fr-FR"/>
        </w:rPr>
        <w:t>i</w:t>
      </w:r>
      <w:r w:rsidRPr="000F765B">
        <w:rPr>
          <w:lang w:eastAsia="fr-FR" w:bidi="fr-FR"/>
        </w:rPr>
        <w:t>vage social, nous touchons, pour en préciser les contours, à une notion de classe : concept constamment manié par les historiens</w:t>
      </w:r>
      <w:r>
        <w:rPr>
          <w:lang w:eastAsia="fr-FR" w:bidi="fr-FR"/>
        </w:rPr>
        <w:t> — </w:t>
      </w:r>
      <w:r w:rsidRPr="000F765B">
        <w:rPr>
          <w:lang w:eastAsia="fr-FR" w:bidi="fr-FR"/>
        </w:rPr>
        <w:t>et par d’autres —, singulièrement malaisé pourtant à enserrer dans une déf</w:t>
      </w:r>
      <w:r w:rsidRPr="000F765B">
        <w:rPr>
          <w:lang w:eastAsia="fr-FR" w:bidi="fr-FR"/>
        </w:rPr>
        <w:t>i</w:t>
      </w:r>
      <w:r w:rsidRPr="000F765B">
        <w:rPr>
          <w:lang w:eastAsia="fr-FR" w:bidi="fr-FR"/>
        </w:rPr>
        <w:t>nition exacte, de tout notre vocabulaire historique à la fois le plus i</w:t>
      </w:r>
      <w:r w:rsidRPr="000F765B">
        <w:rPr>
          <w:lang w:eastAsia="fr-FR" w:bidi="fr-FR"/>
        </w:rPr>
        <w:t>n</w:t>
      </w:r>
      <w:r w:rsidRPr="000F765B">
        <w:rPr>
          <w:lang w:eastAsia="fr-FR" w:bidi="fr-FR"/>
        </w:rPr>
        <w:t xml:space="preserve">dispensable et le plus irritant des termes. </w:t>
      </w:r>
      <w:r>
        <w:rPr>
          <w:lang w:eastAsia="fr-FR" w:bidi="fr-FR"/>
        </w:rPr>
        <w:t>À</w:t>
      </w:r>
      <w:r w:rsidRPr="000F765B">
        <w:rPr>
          <w:lang w:eastAsia="fr-FR" w:bidi="fr-FR"/>
        </w:rPr>
        <w:t xml:space="preserve"> plusieurs reprises, M. S</w:t>
      </w:r>
      <w:r w:rsidRPr="000F765B">
        <w:rPr>
          <w:lang w:eastAsia="fr-FR" w:bidi="fr-FR"/>
        </w:rPr>
        <w:t>i</w:t>
      </w:r>
      <w:r w:rsidRPr="000F765B">
        <w:rPr>
          <w:lang w:eastAsia="fr-FR" w:bidi="fr-FR"/>
        </w:rPr>
        <w:t>miand nous offre les moyens de le hausser à une valeur concrète. Dans son exposé, appuyé de diagrammes, sur « l’extension » de la classe ouvrière. Puis, sous une forme plus originale encore, dans le paragraphe consacré à la « durabilité » de la condition ouvrière. Car une classe ne se définit pas seulement par une tonalité de vie, un rev</w:t>
      </w:r>
      <w:r w:rsidRPr="000F765B">
        <w:rPr>
          <w:lang w:eastAsia="fr-FR" w:bidi="fr-FR"/>
        </w:rPr>
        <w:t>e</w:t>
      </w:r>
      <w:r w:rsidRPr="000F765B">
        <w:rPr>
          <w:lang w:eastAsia="fr-FR" w:bidi="fr-FR"/>
        </w:rPr>
        <w:t>nu, un certain degré de prestige social ; elle se caractérise également par les possibilités qu’elle offre, ou n’offre point, de sortir du groupe. Vue nouvelle, et qui va loin.</w:t>
      </w:r>
    </w:p>
    <w:p w14:paraId="632AB0C9" w14:textId="77777777" w:rsidR="00B9662D" w:rsidRPr="000F765B" w:rsidRDefault="00B9662D" w:rsidP="00B9662D">
      <w:pPr>
        <w:spacing w:before="120" w:after="120"/>
        <w:jc w:val="both"/>
      </w:pPr>
      <w:r w:rsidRPr="000F765B">
        <w:rPr>
          <w:lang w:eastAsia="fr-FR" w:bidi="fr-FR"/>
        </w:rPr>
        <w:t>Parmi les ordres de phénomènes ainsi mis en regard des fluctu</w:t>
      </w:r>
      <w:r w:rsidRPr="000F765B">
        <w:rPr>
          <w:lang w:eastAsia="fr-FR" w:bidi="fr-FR"/>
        </w:rPr>
        <w:t>a</w:t>
      </w:r>
      <w:r w:rsidRPr="000F765B">
        <w:rPr>
          <w:lang w:eastAsia="fr-FR" w:bidi="fr-FR"/>
        </w:rPr>
        <w:t>tions du salaire, il en est que cette comparaison révèle comme dépou</w:t>
      </w:r>
      <w:r w:rsidRPr="000F765B">
        <w:rPr>
          <w:lang w:eastAsia="fr-FR" w:bidi="fr-FR"/>
        </w:rPr>
        <w:t>r</w:t>
      </w:r>
      <w:r w:rsidRPr="000F765B">
        <w:rPr>
          <w:lang w:eastAsia="fr-FR" w:bidi="fr-FR"/>
        </w:rPr>
        <w:t>vus, avec elles, de tout lien. Nous les passerons sous silence. D’autres constatations sont moins décevantes. Des correspondances s’avèrent, très nettes. Mais l’examen des courbes, qui attestent un retard sur le mouvement propre des salaires, s’unit à la discussion analytique pour interdire d’attribuer à ces liaisons la valeur d’une cause. Tantôt</w:t>
      </w:r>
      <w:r>
        <w:rPr>
          <w:lang w:eastAsia="fr-FR" w:bidi="fr-FR"/>
        </w:rPr>
        <w:t> — </w:t>
      </w:r>
      <w:r w:rsidRPr="000F765B">
        <w:rPr>
          <w:lang w:eastAsia="fr-FR" w:bidi="fr-FR"/>
        </w:rPr>
        <w:t>et sans qu’il soit possible, dans tous les cas, de choisir sûrement entre les deux hypothèses</w:t>
      </w:r>
      <w:r>
        <w:rPr>
          <w:lang w:eastAsia="fr-FR" w:bidi="fr-FR"/>
        </w:rPr>
        <w:t> — </w:t>
      </w:r>
      <w:r w:rsidRPr="000F765B">
        <w:rPr>
          <w:lang w:eastAsia="fr-FR" w:bidi="fr-FR"/>
        </w:rPr>
        <w:t>c’est la variation étudiée qui apparaît commandée par celle du salaire, tantôt on doit supposer une dépendance commune vis-à-vis d’un troisième facteur. Cette partie de l’enquête ne nous o</w:t>
      </w:r>
      <w:r w:rsidRPr="000F765B">
        <w:rPr>
          <w:lang w:eastAsia="fr-FR" w:bidi="fr-FR"/>
        </w:rPr>
        <w:t>u</w:t>
      </w:r>
      <w:r w:rsidRPr="000F765B">
        <w:rPr>
          <w:lang w:eastAsia="fr-FR" w:bidi="fr-FR"/>
        </w:rPr>
        <w:t>vre donc pas un jour direct sur la genèse des vicissitudes éprouvées par les rémunérations ouvrières. Elle n’a pas été inutile cependant, bien loin de là. Car elle nous permet d’élargir l’image que nous avions été conduits à nous former des phases A et B.</w:t>
      </w:r>
    </w:p>
    <w:p w14:paraId="77CCF106" w14:textId="77777777" w:rsidR="00B9662D" w:rsidRPr="000F765B" w:rsidRDefault="00B9662D" w:rsidP="00B9662D">
      <w:pPr>
        <w:spacing w:before="120" w:after="120"/>
        <w:jc w:val="both"/>
      </w:pPr>
      <w:r w:rsidRPr="000F765B">
        <w:rPr>
          <w:lang w:eastAsia="fr-FR" w:bidi="fr-FR"/>
        </w:rPr>
        <w:lastRenderedPageBreak/>
        <w:t xml:space="preserve">Celles-ci cessent désormais de nous paraître bornées aux revenus du travail « pur ». Elles s’élèvent à la dignité de périodes de la vie économique, dans sa totalité. </w:t>
      </w:r>
      <w:r>
        <w:rPr>
          <w:lang w:eastAsia="fr-FR" w:bidi="fr-FR"/>
        </w:rPr>
        <w:t>À</w:t>
      </w:r>
      <w:r w:rsidRPr="000F765B">
        <w:rPr>
          <w:lang w:eastAsia="fr-FR" w:bidi="fr-FR"/>
        </w:rPr>
        <w:t xml:space="preserve"> dire, vrai l’observation ne vaut ici que pour un fragment relativement court, encore que singulièrement i</w:t>
      </w:r>
      <w:r w:rsidRPr="000F765B">
        <w:rPr>
          <w:lang w:eastAsia="fr-FR" w:bidi="fr-FR"/>
        </w:rPr>
        <w:t>m</w:t>
      </w:r>
      <w:r w:rsidRPr="000F765B">
        <w:rPr>
          <w:lang w:eastAsia="fr-FR" w:bidi="fr-FR"/>
        </w:rPr>
        <w:t xml:space="preserve">portant, de l’évolution française. Mais, ainsi que M. Simiand lui-même l’a montré dans ses </w:t>
      </w:r>
      <w:r w:rsidRPr="000F765B">
        <w:t>Recherches sur les prix</w:t>
      </w:r>
      <w:r w:rsidRPr="000F765B">
        <w:rPr>
          <w:lang w:eastAsia="fr-FR" w:bidi="fr-FR"/>
        </w:rPr>
        <w:t>, elle est susceptible de prolongements vers un passé plus reculé, qui sera envisagé cette fois dans l’e</w:t>
      </w:r>
      <w:r>
        <w:rPr>
          <w:lang w:eastAsia="fr-FR" w:bidi="fr-FR"/>
        </w:rPr>
        <w:t>nsemble du milieu dit « occiden</w:t>
      </w:r>
      <w:r w:rsidRPr="000F765B">
        <w:rPr>
          <w:lang w:eastAsia="fr-FR" w:bidi="fr-FR"/>
        </w:rPr>
        <w:t>tal ».</w:t>
      </w:r>
      <w:r>
        <w:t xml:space="preserve"> [</w:t>
      </w:r>
      <w:r w:rsidRPr="000F765B">
        <w:rPr>
          <w:lang w:eastAsia="fr-FR" w:bidi="fr-FR"/>
        </w:rPr>
        <w:t>903</w:t>
      </w:r>
      <w:r>
        <w:rPr>
          <w:lang w:eastAsia="fr-FR" w:bidi="fr-FR"/>
        </w:rPr>
        <w:t>]</w:t>
      </w:r>
      <w:r w:rsidRPr="000F765B">
        <w:rPr>
          <w:lang w:eastAsia="fr-FR" w:bidi="fr-FR"/>
        </w:rPr>
        <w:t xml:space="preserve"> </w:t>
      </w:r>
      <w:r>
        <w:rPr>
          <w:lang w:eastAsia="fr-FR" w:bidi="fr-FR"/>
        </w:rPr>
        <w:t>À</w:t>
      </w:r>
      <w:r w:rsidRPr="000F765B">
        <w:rPr>
          <w:lang w:eastAsia="fr-FR" w:bidi="fr-FR"/>
        </w:rPr>
        <w:t xml:space="preserve"> une phase B, de début encore indéterminé, succède, dans les premières années du </w:t>
      </w:r>
      <w:r w:rsidRPr="0052459F">
        <w:rPr>
          <w:caps/>
          <w:lang w:eastAsia="fr-FR" w:bidi="fr-FR"/>
        </w:rPr>
        <w:t>xvi</w:t>
      </w:r>
      <w:r w:rsidRPr="000F765B">
        <w:rPr>
          <w:vertAlign w:val="superscript"/>
          <w:lang w:eastAsia="fr-FR" w:bidi="fr-FR"/>
        </w:rPr>
        <w:t>e</w:t>
      </w:r>
      <w:r w:rsidRPr="000F765B">
        <w:rPr>
          <w:lang w:eastAsia="fr-FR" w:bidi="fr-FR"/>
        </w:rPr>
        <w:t xml:space="preserve"> siècle, une phase A. Celle-ci, aux env</w:t>
      </w:r>
      <w:r w:rsidRPr="000F765B">
        <w:rPr>
          <w:lang w:eastAsia="fr-FR" w:bidi="fr-FR"/>
        </w:rPr>
        <w:t>i</w:t>
      </w:r>
      <w:r w:rsidRPr="000F765B">
        <w:rPr>
          <w:lang w:eastAsia="fr-FR" w:bidi="fr-FR"/>
        </w:rPr>
        <w:t>rons de 1650, cède la place à une nouvelle phase B, laquelle, pr</w:t>
      </w:r>
      <w:r w:rsidRPr="000F765B">
        <w:rPr>
          <w:lang w:eastAsia="fr-FR" w:bidi="fr-FR"/>
        </w:rPr>
        <w:t>e</w:t>
      </w:r>
      <w:r w:rsidRPr="000F765B">
        <w:rPr>
          <w:lang w:eastAsia="fr-FR" w:bidi="fr-FR"/>
        </w:rPr>
        <w:t xml:space="preserve">nant fin à son tour à peu près au moment où commence le dernier quart du </w:t>
      </w:r>
      <w:r>
        <w:rPr>
          <w:lang w:eastAsia="fr-FR" w:bidi="fr-FR"/>
        </w:rPr>
        <w:t>XVIII</w:t>
      </w:r>
      <w:r w:rsidRPr="000F765B">
        <w:rPr>
          <w:vertAlign w:val="superscript"/>
          <w:lang w:eastAsia="fr-FR" w:bidi="fr-FR"/>
        </w:rPr>
        <w:t>e</w:t>
      </w:r>
      <w:r w:rsidRPr="000F765B">
        <w:rPr>
          <w:lang w:eastAsia="fr-FR" w:bidi="fr-FR"/>
        </w:rPr>
        <w:t xml:space="preserve"> siècle, se trouve ainsi immédiatement antérieure à la première des phases A qu’avait dégagées l’étude sur les salaires. Laissons to</w:t>
      </w:r>
      <w:r w:rsidRPr="000F765B">
        <w:rPr>
          <w:lang w:eastAsia="fr-FR" w:bidi="fr-FR"/>
        </w:rPr>
        <w:t>u</w:t>
      </w:r>
      <w:r w:rsidRPr="000F765B">
        <w:rPr>
          <w:lang w:eastAsia="fr-FR" w:bidi="fr-FR"/>
        </w:rPr>
        <w:t>tefois, pour l’instant, ces époques relativement lointaines et, nous limitant au c</w:t>
      </w:r>
      <w:r w:rsidRPr="000F765B">
        <w:rPr>
          <w:lang w:eastAsia="fr-FR" w:bidi="fr-FR"/>
        </w:rPr>
        <w:t>a</w:t>
      </w:r>
      <w:r w:rsidRPr="000F765B">
        <w:rPr>
          <w:lang w:eastAsia="fr-FR" w:bidi="fr-FR"/>
        </w:rPr>
        <w:t>dre adopté par l’auteur dans son principal ouvrage, cherchons à cara</w:t>
      </w:r>
      <w:r w:rsidRPr="000F765B">
        <w:rPr>
          <w:lang w:eastAsia="fr-FR" w:bidi="fr-FR"/>
        </w:rPr>
        <w:t>c</w:t>
      </w:r>
      <w:r w:rsidRPr="000F765B">
        <w:rPr>
          <w:lang w:eastAsia="fr-FR" w:bidi="fr-FR"/>
        </w:rPr>
        <w:t>tériser la nature de la fluctuation, conçue dorénavant sous son aspect le plus général.</w:t>
      </w:r>
    </w:p>
    <w:p w14:paraId="0C476380" w14:textId="77777777" w:rsidR="00B9662D" w:rsidRPr="000F765B" w:rsidRDefault="00B9662D" w:rsidP="00B9662D">
      <w:pPr>
        <w:spacing w:before="120" w:after="120"/>
        <w:jc w:val="both"/>
      </w:pPr>
      <w:r w:rsidRPr="000F765B">
        <w:rPr>
          <w:lang w:eastAsia="fr-FR" w:bidi="fr-FR"/>
        </w:rPr>
        <w:t>Un ample mouvement à deux temps, comme une houle, scande tout le cours de la vie économique. Gardons-nous d’en confondre les ondes vigoureuses avec les rides, plus légères, de la « conjoncture ». Que le rythme de la production soit fait d’une succession, presque r</w:t>
      </w:r>
      <w:r w:rsidRPr="000F765B">
        <w:rPr>
          <w:lang w:eastAsia="fr-FR" w:bidi="fr-FR"/>
        </w:rPr>
        <w:t>é</w:t>
      </w:r>
      <w:r w:rsidRPr="000F765B">
        <w:rPr>
          <w:lang w:eastAsia="fr-FR" w:bidi="fr-FR"/>
        </w:rPr>
        <w:t>gulière, d’expansions et de resserrements, que ces à-coups, à leur tour, retentissent sur les revenus et, notamment, sur les salaires, les reche</w:t>
      </w:r>
      <w:r w:rsidRPr="000F765B">
        <w:rPr>
          <w:lang w:eastAsia="fr-FR" w:bidi="fr-FR"/>
        </w:rPr>
        <w:t>r</w:t>
      </w:r>
      <w:r w:rsidRPr="000F765B">
        <w:rPr>
          <w:lang w:eastAsia="fr-FR" w:bidi="fr-FR"/>
        </w:rPr>
        <w:t>ches sur les crises ont aujourd’hui rendu familière à tous les esprits la notion de ce va-et-vient. Mais il est à brefs retours ; la double oscill</w:t>
      </w:r>
      <w:r w:rsidRPr="000F765B">
        <w:rPr>
          <w:lang w:eastAsia="fr-FR" w:bidi="fr-FR"/>
        </w:rPr>
        <w:t>a</w:t>
      </w:r>
      <w:r w:rsidRPr="000F765B">
        <w:rPr>
          <w:lang w:eastAsia="fr-FR" w:bidi="fr-FR"/>
        </w:rPr>
        <w:t>tion s’y inscrit dans une durée qui ne dépasse guère la dizaine d’années. Le cycle que M. Simiand a mis au jour est d’une tout autre amplitude, puisque les plus courtes phases, on l’a vu, couvrent, à elles seules, plus d’un quart de siècle et que les plus étendues vont au</w:t>
      </w:r>
      <w:r>
        <w:rPr>
          <w:lang w:eastAsia="fr-FR" w:bidi="fr-FR"/>
        </w:rPr>
        <w:t>-</w:t>
      </w:r>
      <w:r w:rsidRPr="000F765B">
        <w:rPr>
          <w:lang w:eastAsia="fr-FR" w:bidi="fr-FR"/>
        </w:rPr>
        <w:t>delà de cent ans. Beaucoup plus prolongées, ses répercussions, par suite, commandent, beaucoup plus profondément, la vie sociale tout entière. Chaque fois, durant l’une des deux périodes</w:t>
      </w:r>
      <w:r>
        <w:rPr>
          <w:lang w:eastAsia="fr-FR" w:bidi="fr-FR"/>
        </w:rPr>
        <w:t> — </w:t>
      </w:r>
      <w:r w:rsidRPr="000F765B">
        <w:rPr>
          <w:lang w:eastAsia="fr-FR" w:bidi="fr-FR"/>
        </w:rPr>
        <w:t>dont nous tairons, pour l’instant, l’étiquette</w:t>
      </w:r>
      <w:r>
        <w:rPr>
          <w:lang w:eastAsia="fr-FR" w:bidi="fr-FR"/>
        </w:rPr>
        <w:t> — </w:t>
      </w:r>
      <w:r w:rsidRPr="000F765B">
        <w:rPr>
          <w:lang w:eastAsia="fr-FR" w:bidi="fr-FR"/>
        </w:rPr>
        <w:t>on voit se précipiter les transformations qui conduisent à ce qu’on est convenu d’appeler une économie plus évoluée. Le rapport des marchandises échangées aux marchandises consommées va s’élevant. De même, la proportion des travailleurs d’industrie à ceux de l’agriculture. Les régimes de production « à p</w:t>
      </w:r>
      <w:r w:rsidRPr="000F765B">
        <w:rPr>
          <w:lang w:eastAsia="fr-FR" w:bidi="fr-FR"/>
        </w:rPr>
        <w:t>a</w:t>
      </w:r>
      <w:r w:rsidRPr="000F765B">
        <w:rPr>
          <w:lang w:eastAsia="fr-FR" w:bidi="fr-FR"/>
        </w:rPr>
        <w:lastRenderedPageBreak/>
        <w:t>tronat non différencié du travail d’exécution » (artisanat, petit co</w:t>
      </w:r>
      <w:r w:rsidRPr="000F765B">
        <w:rPr>
          <w:lang w:eastAsia="fr-FR" w:bidi="fr-FR"/>
        </w:rPr>
        <w:t>m</w:t>
      </w:r>
      <w:r w:rsidRPr="000F765B">
        <w:rPr>
          <w:lang w:eastAsia="fr-FR" w:bidi="fr-FR"/>
        </w:rPr>
        <w:t>merce, petite exploitation paysanne) perdent du terrain devant des t</w:t>
      </w:r>
      <w:r w:rsidRPr="000F765B">
        <w:rPr>
          <w:lang w:eastAsia="fr-FR" w:bidi="fr-FR"/>
        </w:rPr>
        <w:t>y</w:t>
      </w:r>
      <w:r w:rsidRPr="000F765B">
        <w:rPr>
          <w:lang w:eastAsia="fr-FR" w:bidi="fr-FR"/>
        </w:rPr>
        <w:t>pes d’entreprise où s’affirme une division de plus en plus poussée e</w:t>
      </w:r>
      <w:r w:rsidRPr="000F765B">
        <w:rPr>
          <w:lang w:eastAsia="fr-FR" w:bidi="fr-FR"/>
        </w:rPr>
        <w:t>n</w:t>
      </w:r>
      <w:r w:rsidRPr="000F765B">
        <w:rPr>
          <w:lang w:eastAsia="fr-FR" w:bidi="fr-FR"/>
        </w:rPr>
        <w:t>tre l’œuvre des mains, la fonction directrice, la prestation des cap</w:t>
      </w:r>
      <w:r w:rsidRPr="000F765B">
        <w:rPr>
          <w:lang w:eastAsia="fr-FR" w:bidi="fr-FR"/>
        </w:rPr>
        <w:t>i</w:t>
      </w:r>
      <w:r w:rsidRPr="000F765B">
        <w:rPr>
          <w:lang w:eastAsia="fr-FR" w:bidi="fr-FR"/>
        </w:rPr>
        <w:t>taux. Le volume moyen des entreprises augmente. Le machinisme marque de notables progrès. La classe ouvrière s’élargit et, tendant de plus en plus à retenir les hommes tout le long de leur vie, durcit ses contours. Puis vient le creux de la vague. Non que, pendant ce second temps, on assiste à un recul, ni même à un arrêt brutal de l’évolution. La marche se ralentit seulement, mais au point que l’allure du mo</w:t>
      </w:r>
      <w:r w:rsidRPr="000F765B">
        <w:rPr>
          <w:lang w:eastAsia="fr-FR" w:bidi="fr-FR"/>
        </w:rPr>
        <w:t>u</w:t>
      </w:r>
      <w:r w:rsidRPr="000F765B">
        <w:rPr>
          <w:lang w:eastAsia="fr-FR" w:bidi="fr-FR"/>
        </w:rPr>
        <w:t>vement en est profondément altérée. Ou bien, s’il est encore des mod</w:t>
      </w:r>
      <w:r w:rsidRPr="000F765B">
        <w:rPr>
          <w:lang w:eastAsia="fr-FR" w:bidi="fr-FR"/>
        </w:rPr>
        <w:t>i</w:t>
      </w:r>
      <w:r w:rsidRPr="000F765B">
        <w:rPr>
          <w:lang w:eastAsia="fr-FR" w:bidi="fr-FR"/>
        </w:rPr>
        <w:t>fications rapides, leur nature change du tout au tout : par exemple, le nombre total des entreprises continue bien à croître ; mais l’accroissement porte désormais, indifféremment, sur tous les types, les moins avancés comme les autres. Alternance naturelle d’accélérations et de demi-repos, sera-t-on peut-être tenté de dire, rythme syncopé qui, loi de presque toute progression, ne pouvait gu</w:t>
      </w:r>
      <w:r w:rsidRPr="000F765B">
        <w:rPr>
          <w:lang w:eastAsia="fr-FR" w:bidi="fr-FR"/>
        </w:rPr>
        <w:t>è</w:t>
      </w:r>
      <w:r w:rsidRPr="000F765B">
        <w:rPr>
          <w:lang w:eastAsia="fr-FR" w:bidi="fr-FR"/>
        </w:rPr>
        <w:t xml:space="preserve">re manquer de régir, entre autres, le développement économique. Mais, outre que rien ne permettait d’assurer, </w:t>
      </w:r>
      <w:r w:rsidRPr="00143818">
        <w:rPr>
          <w:i/>
        </w:rPr>
        <w:t>a priori</w:t>
      </w:r>
      <w:r w:rsidRPr="000F765B">
        <w:t>,</w:t>
      </w:r>
      <w:r w:rsidRPr="000F765B">
        <w:rPr>
          <w:lang w:eastAsia="fr-FR" w:bidi="fr-FR"/>
        </w:rPr>
        <w:t xml:space="preserve"> qu’il existât, entre les divers aspects du flux comme du reflux, une si exacte concordance, rien non plus que la respiration de l’économie fût à lo</w:t>
      </w:r>
      <w:r w:rsidRPr="000F765B">
        <w:rPr>
          <w:lang w:eastAsia="fr-FR" w:bidi="fr-FR"/>
        </w:rPr>
        <w:t>n</w:t>
      </w:r>
      <w:r w:rsidRPr="000F765B">
        <w:rPr>
          <w:lang w:eastAsia="fr-FR" w:bidi="fr-FR"/>
        </w:rPr>
        <w:t>gues périodes, plutôt que de se borner au simple halètement de la conjoncture, l’étonnant et l’important sont les</w:t>
      </w:r>
      <w:r>
        <w:t xml:space="preserve"> [904] </w:t>
      </w:r>
      <w:r w:rsidRPr="000F765B">
        <w:rPr>
          <w:lang w:eastAsia="fr-FR" w:bidi="fr-FR"/>
        </w:rPr>
        <w:t>rapports que so</w:t>
      </w:r>
      <w:r w:rsidRPr="000F765B">
        <w:rPr>
          <w:lang w:eastAsia="fr-FR" w:bidi="fr-FR"/>
        </w:rPr>
        <w:t>u</w:t>
      </w:r>
      <w:r w:rsidRPr="000F765B">
        <w:rPr>
          <w:lang w:eastAsia="fr-FR" w:bidi="fr-FR"/>
        </w:rPr>
        <w:t>tiennent, avec l’ensemble du phénomène, les flu</w:t>
      </w:r>
      <w:r w:rsidRPr="000F765B">
        <w:rPr>
          <w:lang w:eastAsia="fr-FR" w:bidi="fr-FR"/>
        </w:rPr>
        <w:t>c</w:t>
      </w:r>
      <w:r w:rsidRPr="000F765B">
        <w:rPr>
          <w:lang w:eastAsia="fr-FR" w:bidi="fr-FR"/>
        </w:rPr>
        <w:t>tuations propres du salaire. Car les phases A, au cours desquelles les salaires marquent une hausse accentuée, sont celles qui se caractérisent par des tran</w:t>
      </w:r>
      <w:r w:rsidRPr="000F765B">
        <w:rPr>
          <w:lang w:eastAsia="fr-FR" w:bidi="fr-FR"/>
        </w:rPr>
        <w:t>s</w:t>
      </w:r>
      <w:r w:rsidRPr="000F765B">
        <w:rPr>
          <w:lang w:eastAsia="fr-FR" w:bidi="fr-FR"/>
        </w:rPr>
        <w:t>formations économiques relativement lentes et mal différenciées ; les phases B, de salaires approximativement étales ou en baisse, corre</w:t>
      </w:r>
      <w:r w:rsidRPr="000F765B">
        <w:rPr>
          <w:lang w:eastAsia="fr-FR" w:bidi="fr-FR"/>
        </w:rPr>
        <w:t>s</w:t>
      </w:r>
      <w:r w:rsidRPr="000F765B">
        <w:rPr>
          <w:lang w:eastAsia="fr-FR" w:bidi="fr-FR"/>
        </w:rPr>
        <w:t>pondent, par contre, aux périodes de vigoureuse mutation. Certain</w:t>
      </w:r>
      <w:r w:rsidRPr="000F765B">
        <w:rPr>
          <w:lang w:eastAsia="fr-FR" w:bidi="fr-FR"/>
        </w:rPr>
        <w:t>e</w:t>
      </w:r>
      <w:r w:rsidRPr="000F765B">
        <w:rPr>
          <w:lang w:eastAsia="fr-FR" w:bidi="fr-FR"/>
        </w:rPr>
        <w:t>ment, aucune réflexion n’eût permis de prévoir le sens de ces conc</w:t>
      </w:r>
      <w:r w:rsidRPr="000F765B">
        <w:rPr>
          <w:lang w:eastAsia="fr-FR" w:bidi="fr-FR"/>
        </w:rPr>
        <w:t>o</w:t>
      </w:r>
      <w:r w:rsidRPr="000F765B">
        <w:rPr>
          <w:lang w:eastAsia="fr-FR" w:bidi="fr-FR"/>
        </w:rPr>
        <w:t>mitances. Une fois de plus, il se vérifie que l’expérience la plus convaincante est celle dont les résultats surprennent davantage.</w:t>
      </w:r>
    </w:p>
    <w:p w14:paraId="29C0E3C4"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67EEADDE" w14:textId="77777777" w:rsidR="00B9662D" w:rsidRPr="000F765B" w:rsidRDefault="00B9662D" w:rsidP="00B9662D">
      <w:pPr>
        <w:spacing w:before="120" w:after="120"/>
        <w:jc w:val="both"/>
      </w:pPr>
      <w:r w:rsidRPr="000F765B">
        <w:rPr>
          <w:lang w:eastAsia="fr-FR" w:bidi="fr-FR"/>
        </w:rPr>
        <w:t>Nous avons, jusqu’ici, provisoirement laissé dans l’ombre une v</w:t>
      </w:r>
      <w:r w:rsidRPr="000F765B">
        <w:rPr>
          <w:lang w:eastAsia="fr-FR" w:bidi="fr-FR"/>
        </w:rPr>
        <w:t>a</w:t>
      </w:r>
      <w:r w:rsidRPr="000F765B">
        <w:rPr>
          <w:lang w:eastAsia="fr-FR" w:bidi="fr-FR"/>
        </w:rPr>
        <w:t xml:space="preserve">riation : celle des prix. Son examen aboutit à une constatation d’une valeur capitale. En gros, on peut dire que, lorsque les prix haussent, et un peu après, les salaires augmentent ; que lorsque les prix baissent, et </w:t>
      </w:r>
      <w:r w:rsidRPr="000F765B">
        <w:rPr>
          <w:lang w:eastAsia="fr-FR" w:bidi="fr-FR"/>
        </w:rPr>
        <w:lastRenderedPageBreak/>
        <w:t>un peu après, les salaires décroissent. Par là, nous n’ajoutons pas se</w:t>
      </w:r>
      <w:r w:rsidRPr="000F765B">
        <w:rPr>
          <w:lang w:eastAsia="fr-FR" w:bidi="fr-FR"/>
        </w:rPr>
        <w:t>u</w:t>
      </w:r>
      <w:r w:rsidRPr="000F765B">
        <w:rPr>
          <w:lang w:eastAsia="fr-FR" w:bidi="fr-FR"/>
        </w:rPr>
        <w:t>lement un trait nouveau, et fondamental, à la définition des phases A et B, qui nous apparaissent désormais marquées, respectivement, par une crue et une décrue des prix aussi bien que des rémunérations o</w:t>
      </w:r>
      <w:r w:rsidRPr="000F765B">
        <w:rPr>
          <w:lang w:eastAsia="fr-FR" w:bidi="fr-FR"/>
        </w:rPr>
        <w:t>u</w:t>
      </w:r>
      <w:r w:rsidRPr="000F765B">
        <w:rPr>
          <w:lang w:eastAsia="fr-FR" w:bidi="fr-FR"/>
        </w:rPr>
        <w:t>vrières. Visiblement, nous atteignons, en ce qui regarde ces dernières, le facteur déterminant qui nous avait longtemps échappé. Il est déjà de la plus haute importance d’avoir ainsi déterminé, par la considération de l’antécédence notamment, que la liaison causale joue bien dans le sens indiqué. D’autant que l’opinion commune s’y est parfois tro</w:t>
      </w:r>
      <w:r w:rsidRPr="000F765B">
        <w:rPr>
          <w:lang w:eastAsia="fr-FR" w:bidi="fr-FR"/>
        </w:rPr>
        <w:t>m</w:t>
      </w:r>
      <w:r w:rsidRPr="000F765B">
        <w:rPr>
          <w:lang w:eastAsia="fr-FR" w:bidi="fr-FR"/>
        </w:rPr>
        <w:t>pée. Quoi qu’on en ait dit</w:t>
      </w:r>
      <w:r>
        <w:rPr>
          <w:lang w:eastAsia="fr-FR" w:bidi="fr-FR"/>
        </w:rPr>
        <w:t> — </w:t>
      </w:r>
      <w:r w:rsidRPr="000F765B">
        <w:rPr>
          <w:lang w:eastAsia="fr-FR" w:bidi="fr-FR"/>
        </w:rPr>
        <w:t>et, bien entendu, toutes réserves faites des menues oscillations ; il ne s’agit ici que des lames de fond</w:t>
      </w:r>
      <w:r>
        <w:rPr>
          <w:lang w:eastAsia="fr-FR" w:bidi="fr-FR"/>
        </w:rPr>
        <w:t> — </w:t>
      </w:r>
      <w:r w:rsidRPr="000F765B">
        <w:rPr>
          <w:lang w:eastAsia="fr-FR" w:bidi="fr-FR"/>
        </w:rPr>
        <w:t>les formidables montées de prix dont l’histoire contemporaine garde le souvenir tout frais, bien loin d’avoir leur origine dans le mouvement des salaires, ont entraîné, et non sans retard, ceux-ci à leur suite. Mais peut-être un intérêt plus vif encore s’attache-t-il à l’analyse du proce</w:t>
      </w:r>
      <w:r w:rsidRPr="000F765B">
        <w:rPr>
          <w:lang w:eastAsia="fr-FR" w:bidi="fr-FR"/>
        </w:rPr>
        <w:t>s</w:t>
      </w:r>
      <w:r w:rsidRPr="000F765B">
        <w:rPr>
          <w:lang w:eastAsia="fr-FR" w:bidi="fr-FR"/>
        </w:rPr>
        <w:t>sus par lequel les prix agissent sur les salaires et, avec eux, sur toutes les formes de revenus.</w:t>
      </w:r>
    </w:p>
    <w:p w14:paraId="4A910B6B" w14:textId="77777777" w:rsidR="00B9662D" w:rsidRPr="000F765B" w:rsidRDefault="00B9662D" w:rsidP="00B9662D">
      <w:pPr>
        <w:spacing w:before="120" w:after="120"/>
        <w:jc w:val="both"/>
      </w:pPr>
      <w:r w:rsidRPr="000F765B">
        <w:rPr>
          <w:lang w:eastAsia="fr-FR" w:bidi="fr-FR"/>
        </w:rPr>
        <w:t>La correspondance n’a rien d’instantané</w:t>
      </w:r>
      <w:r>
        <w:rPr>
          <w:lang w:eastAsia="fr-FR" w:bidi="fr-FR"/>
        </w:rPr>
        <w:t> — </w:t>
      </w:r>
      <w:r w:rsidRPr="000F765B">
        <w:rPr>
          <w:lang w:eastAsia="fr-FR" w:bidi="fr-FR"/>
        </w:rPr>
        <w:t>on l’a vu</w:t>
      </w:r>
      <w:r>
        <w:rPr>
          <w:lang w:eastAsia="fr-FR" w:bidi="fr-FR"/>
        </w:rPr>
        <w:t> — </w:t>
      </w:r>
      <w:r w:rsidRPr="000F765B">
        <w:rPr>
          <w:lang w:eastAsia="fr-FR" w:bidi="fr-FR"/>
        </w:rPr>
        <w:t>ni d’automatique. Derrière les chiffres, il convient de déceler les ho</w:t>
      </w:r>
      <w:r w:rsidRPr="000F765B">
        <w:rPr>
          <w:lang w:eastAsia="fr-FR" w:bidi="fr-FR"/>
        </w:rPr>
        <w:t>m</w:t>
      </w:r>
      <w:r w:rsidRPr="000F765B">
        <w:rPr>
          <w:lang w:eastAsia="fr-FR" w:bidi="fr-FR"/>
        </w:rPr>
        <w:t>mes. Au début de toute hausse des salaires et alors que, depuis que</w:t>
      </w:r>
      <w:r w:rsidRPr="000F765B">
        <w:rPr>
          <w:lang w:eastAsia="fr-FR" w:bidi="fr-FR"/>
        </w:rPr>
        <w:t>l</w:t>
      </w:r>
      <w:r w:rsidRPr="000F765B">
        <w:rPr>
          <w:lang w:eastAsia="fr-FR" w:bidi="fr-FR"/>
        </w:rPr>
        <w:t>que temps déjà, le mouvement ascendant des prix s’était fait nett</w:t>
      </w:r>
      <w:r w:rsidRPr="000F765B">
        <w:rPr>
          <w:lang w:eastAsia="fr-FR" w:bidi="fr-FR"/>
        </w:rPr>
        <w:t>e</w:t>
      </w:r>
      <w:r w:rsidRPr="000F765B">
        <w:rPr>
          <w:lang w:eastAsia="fr-FR" w:bidi="fr-FR"/>
        </w:rPr>
        <w:t>ment sentir, une poussée ouvrière s’observe régulièrement, assez forte pour avoir pu, après 1850, ne pas céder devant de redoutables obst</w:t>
      </w:r>
      <w:r w:rsidRPr="000F765B">
        <w:rPr>
          <w:lang w:eastAsia="fr-FR" w:bidi="fr-FR"/>
        </w:rPr>
        <w:t>a</w:t>
      </w:r>
      <w:r w:rsidRPr="000F765B">
        <w:rPr>
          <w:lang w:eastAsia="fr-FR" w:bidi="fr-FR"/>
        </w:rPr>
        <w:t>cles politiques. Effort couronné de succès, en somme, puisque to</w:t>
      </w:r>
      <w:r w:rsidRPr="000F765B">
        <w:rPr>
          <w:lang w:eastAsia="fr-FR" w:bidi="fr-FR"/>
        </w:rPr>
        <w:t>u</w:t>
      </w:r>
      <w:r w:rsidRPr="000F765B">
        <w:rPr>
          <w:lang w:eastAsia="fr-FR" w:bidi="fr-FR"/>
        </w:rPr>
        <w:t>jours il est suivi d’une élévation du gain, mais d’un succès seulement partiel : car l’augmentation obtenue n’est jamais proportionnelle à la variation qui l’a déclenchée. D’où une marge, que viennent remplir les revenus des capitaux et surtout les profits qui, dans l’entreprise, r</w:t>
      </w:r>
      <w:r w:rsidRPr="000F765B">
        <w:rPr>
          <w:lang w:eastAsia="fr-FR" w:bidi="fr-FR"/>
        </w:rPr>
        <w:t>é</w:t>
      </w:r>
      <w:r w:rsidRPr="000F765B">
        <w:rPr>
          <w:lang w:eastAsia="fr-FR" w:bidi="fr-FR"/>
        </w:rPr>
        <w:t>pondent à la fonction de mise en œuvre : à la différence des salaires, ces deux sources de richesse et, plus spécialement, la seconde, par leur hausse relative, ne manquent pas de dépasser celle des prix. Passons aux phases B. Leur cours est tout entier dominé par la vigoureuse r</w:t>
      </w:r>
      <w:r w:rsidRPr="000F765B">
        <w:rPr>
          <w:lang w:eastAsia="fr-FR" w:bidi="fr-FR"/>
        </w:rPr>
        <w:t>é</w:t>
      </w:r>
      <w:r w:rsidRPr="000F765B">
        <w:rPr>
          <w:lang w:eastAsia="fr-FR" w:bidi="fr-FR"/>
        </w:rPr>
        <w:t>sistance qu’opposent, à la baisse, les deux grands revenus issus de la production. Sans doute, pendant que les prix déclinent ou</w:t>
      </w:r>
      <w:r>
        <w:t xml:space="preserve"> [</w:t>
      </w:r>
      <w:r w:rsidRPr="000F765B">
        <w:rPr>
          <w:lang w:eastAsia="fr-FR" w:bidi="fr-FR"/>
        </w:rPr>
        <w:t>905</w:t>
      </w:r>
      <w:r>
        <w:rPr>
          <w:lang w:eastAsia="fr-FR" w:bidi="fr-FR"/>
        </w:rPr>
        <w:t xml:space="preserve">] </w:t>
      </w:r>
      <w:r w:rsidRPr="000F765B">
        <w:rPr>
          <w:lang w:eastAsia="fr-FR" w:bidi="fr-FR"/>
        </w:rPr>
        <w:t>d</w:t>
      </w:r>
      <w:r w:rsidRPr="000F765B">
        <w:rPr>
          <w:lang w:eastAsia="fr-FR" w:bidi="fr-FR"/>
        </w:rPr>
        <w:t>é</w:t>
      </w:r>
      <w:r w:rsidRPr="000F765B">
        <w:rPr>
          <w:lang w:eastAsia="fr-FR" w:bidi="fr-FR"/>
        </w:rPr>
        <w:t>gringolent, voit-on salaires et profits arrêter leur hausse ; mais c’est, à l’ordinaire, des deux parts, pour demeurer pratiquement st</w:t>
      </w:r>
      <w:r w:rsidRPr="000F765B">
        <w:rPr>
          <w:lang w:eastAsia="fr-FR" w:bidi="fr-FR"/>
        </w:rPr>
        <w:t>a</w:t>
      </w:r>
      <w:r w:rsidRPr="000F765B">
        <w:rPr>
          <w:lang w:eastAsia="fr-FR" w:bidi="fr-FR"/>
        </w:rPr>
        <w:t>tionnaires, ou, au pis, ne baisser que modérément, dans une proportion notabl</w:t>
      </w:r>
      <w:r w:rsidRPr="000F765B">
        <w:rPr>
          <w:lang w:eastAsia="fr-FR" w:bidi="fr-FR"/>
        </w:rPr>
        <w:t>e</w:t>
      </w:r>
      <w:r w:rsidRPr="000F765B">
        <w:rPr>
          <w:lang w:eastAsia="fr-FR" w:bidi="fr-FR"/>
        </w:rPr>
        <w:t>ment inférieure à la chute des prix</w:t>
      </w:r>
      <w:r>
        <w:rPr>
          <w:lang w:eastAsia="fr-FR" w:bidi="fr-FR"/>
        </w:rPr>
        <w:t> — </w:t>
      </w:r>
      <w:r w:rsidRPr="000F765B">
        <w:rPr>
          <w:lang w:eastAsia="fr-FR" w:bidi="fr-FR"/>
        </w:rPr>
        <w:t xml:space="preserve">inférieure aussi, si je </w:t>
      </w:r>
      <w:r w:rsidRPr="000F765B">
        <w:rPr>
          <w:lang w:eastAsia="fr-FR" w:bidi="fr-FR"/>
        </w:rPr>
        <w:lastRenderedPageBreak/>
        <w:t xml:space="preserve">comprends bien, à la chute des revenus du capital investi, en dehors de toute fourniture de travail. Ici encore, cela va de soi, le phénomène </w:t>
      </w:r>
      <w:r>
        <w:rPr>
          <w:lang w:eastAsia="fr-FR" w:bidi="fr-FR"/>
        </w:rPr>
        <w:t>n’a rien de mécanique. C’est l’</w:t>
      </w:r>
      <w:r w:rsidRPr="000F765B">
        <w:rPr>
          <w:lang w:eastAsia="fr-FR" w:bidi="fr-FR"/>
        </w:rPr>
        <w:t>« agent humain » qui se défend : les o</w:t>
      </w:r>
      <w:r w:rsidRPr="000F765B">
        <w:rPr>
          <w:lang w:eastAsia="fr-FR" w:bidi="fr-FR"/>
        </w:rPr>
        <w:t>u</w:t>
      </w:r>
      <w:r w:rsidRPr="000F765B">
        <w:rPr>
          <w:lang w:eastAsia="fr-FR" w:bidi="fr-FR"/>
        </w:rPr>
        <w:t>vriers notamment, dont, au début des phases B, comme naguère des phases A, on constate invariablement, plus ou moins brutales, les interve</w:t>
      </w:r>
      <w:r w:rsidRPr="000F765B">
        <w:rPr>
          <w:lang w:eastAsia="fr-FR" w:bidi="fr-FR"/>
        </w:rPr>
        <w:t>n</w:t>
      </w:r>
      <w:r w:rsidRPr="000F765B">
        <w:rPr>
          <w:lang w:eastAsia="fr-FR" w:bidi="fr-FR"/>
        </w:rPr>
        <w:t>tions collectives. Le curieux est qu’il puisse se défendre. Une observ</w:t>
      </w:r>
      <w:r w:rsidRPr="000F765B">
        <w:rPr>
          <w:lang w:eastAsia="fr-FR" w:bidi="fr-FR"/>
        </w:rPr>
        <w:t>a</w:t>
      </w:r>
      <w:r w:rsidRPr="000F765B">
        <w:rPr>
          <w:lang w:eastAsia="fr-FR" w:bidi="fr-FR"/>
        </w:rPr>
        <w:t>tion significative nous met sur la voie de l’explication. Il est d’expérience que, durant les phases B, la quantité produite par unité de travail marque un accroissement, sensible déjà dans l’agriculture et, dans l’industrie, considérable. En d’autres termes, le rendement augmente : dans une certaine mesure, parce que l’homme travaille mieux ; dans une mesure certainement beaucoup plus forte, par suite de progrès techniques. Ce que confirme, on le sait, l’étude directe du machinisme.</w:t>
      </w:r>
    </w:p>
    <w:p w14:paraId="396FE5AF" w14:textId="77777777" w:rsidR="00B9662D" w:rsidRPr="000F765B" w:rsidRDefault="00B9662D" w:rsidP="00B9662D">
      <w:pPr>
        <w:spacing w:before="120" w:after="120"/>
        <w:jc w:val="both"/>
      </w:pPr>
      <w:r w:rsidRPr="000F765B">
        <w:rPr>
          <w:lang w:eastAsia="fr-FR" w:bidi="fr-FR"/>
        </w:rPr>
        <w:t>Nous saisissons maintenant les raisons profondes du contraste qui oppose les deux phases. Ères de facilité, les phases A le sont aussi d’innovations plus lentes et plus rares. Des phases B, la dureté des temps, la sélection qui s’opère entre les entreprises, la volonté de l’homme surtout font des périodes de transformations accélérées. Dans l’un et l’autre cas, tout se ramène à « un jeu de tendances », e</w:t>
      </w:r>
      <w:r w:rsidRPr="000F765B">
        <w:rPr>
          <w:lang w:eastAsia="fr-FR" w:bidi="fr-FR"/>
        </w:rPr>
        <w:t>n</w:t>
      </w:r>
      <w:r w:rsidRPr="000F765B">
        <w:rPr>
          <w:lang w:eastAsia="fr-FR" w:bidi="fr-FR"/>
        </w:rPr>
        <w:t>tre groupes à la fois liés et antagonistes ; la composante détermine la direction du mouvement. D’abord</w:t>
      </w:r>
      <w:r>
        <w:rPr>
          <w:lang w:eastAsia="fr-FR" w:bidi="fr-FR"/>
        </w:rPr>
        <w:t> — </w:t>
      </w:r>
      <w:r w:rsidRPr="000F765B">
        <w:rPr>
          <w:lang w:eastAsia="fr-FR" w:bidi="fr-FR"/>
        </w:rPr>
        <w:t>et c’est le premier temps de l’alternance</w:t>
      </w:r>
      <w:r>
        <w:rPr>
          <w:lang w:eastAsia="fr-FR" w:bidi="fr-FR"/>
        </w:rPr>
        <w:t> — </w:t>
      </w:r>
      <w:r w:rsidRPr="000F765B">
        <w:rPr>
          <w:lang w:eastAsia="fr-FR" w:bidi="fr-FR"/>
        </w:rPr>
        <w:t>tendance à la fois du groupe ouvrier et du groupe p</w:t>
      </w:r>
      <w:r w:rsidRPr="000F765B">
        <w:rPr>
          <w:lang w:eastAsia="fr-FR" w:bidi="fr-FR"/>
        </w:rPr>
        <w:t>a</w:t>
      </w:r>
      <w:r w:rsidRPr="000F765B">
        <w:rPr>
          <w:lang w:eastAsia="fr-FR" w:bidi="fr-FR"/>
        </w:rPr>
        <w:t>tronal à accroître leur revenu monétaire respectif, sans augmenter l’effort, voire en l’atténuant. Puis, après le retournement des prix, te</w:t>
      </w:r>
      <w:r w:rsidRPr="000F765B">
        <w:rPr>
          <w:lang w:eastAsia="fr-FR" w:bidi="fr-FR"/>
        </w:rPr>
        <w:t>n</w:t>
      </w:r>
      <w:r w:rsidRPr="000F765B">
        <w:rPr>
          <w:lang w:eastAsia="fr-FR" w:bidi="fr-FR"/>
        </w:rPr>
        <w:t>dance, des deux côtés, à maintenir le niveau monétaire atteint. Mais, cette fois, le désir se fait si impérieux que, tout en amenant naturell</w:t>
      </w:r>
      <w:r w:rsidRPr="000F765B">
        <w:rPr>
          <w:lang w:eastAsia="fr-FR" w:bidi="fr-FR"/>
        </w:rPr>
        <w:t>e</w:t>
      </w:r>
      <w:r w:rsidRPr="000F765B">
        <w:rPr>
          <w:lang w:eastAsia="fr-FR" w:bidi="fr-FR"/>
        </w:rPr>
        <w:t>ment chacune des deux classes à solliciter de sa rivale un surcroît d’effort, il la décide elle-même à accepter, pour son propre compte, une part au moins de ce nouveau fardeau. Dirons-nous, par ailleurs, que la phase B</w:t>
      </w:r>
      <w:r>
        <w:rPr>
          <w:lang w:eastAsia="fr-FR" w:bidi="fr-FR"/>
        </w:rPr>
        <w:t> — </w:t>
      </w:r>
      <w:r w:rsidRPr="000F765B">
        <w:rPr>
          <w:lang w:eastAsia="fr-FR" w:bidi="fr-FR"/>
        </w:rPr>
        <w:t>de perfectionnements techniques et de bas prix, mais aussi de salaires et profits inhibés</w:t>
      </w:r>
      <w:r>
        <w:rPr>
          <w:lang w:eastAsia="fr-FR" w:bidi="fr-FR"/>
        </w:rPr>
        <w:t> — </w:t>
      </w:r>
      <w:r w:rsidRPr="000F765B">
        <w:rPr>
          <w:lang w:eastAsia="fr-FR" w:bidi="fr-FR"/>
        </w:rPr>
        <w:t>engendre, à elle seule, le progrès ? Cette antithèse de l’ombre et de la lumière ne donnerait de la réalité qu’une expression déformée. Certes, c’est bien au terme de cette phase que le progrès économique apparaît comme accompli ; mais, si on lui conserve sa formule classique, « plus de biens produits, des prix généralement moindres, et un ensemble de revenus plus él</w:t>
      </w:r>
      <w:r w:rsidRPr="000F765B">
        <w:rPr>
          <w:lang w:eastAsia="fr-FR" w:bidi="fr-FR"/>
        </w:rPr>
        <w:t>e</w:t>
      </w:r>
      <w:r w:rsidRPr="000F765B">
        <w:rPr>
          <w:lang w:eastAsia="fr-FR" w:bidi="fr-FR"/>
        </w:rPr>
        <w:t xml:space="preserve">vé », nul doute qu’il ne résulte, au total, du rythme couplé : A + B. </w:t>
      </w:r>
      <w:r w:rsidRPr="000F765B">
        <w:rPr>
          <w:lang w:eastAsia="fr-FR" w:bidi="fr-FR"/>
        </w:rPr>
        <w:lastRenderedPageBreak/>
        <w:t>Aussi bien, laissons ces jugements de valeur. En science pure, la conclusion de notre recherche sera que la vie économique se résume en une « succession de déséquilibres ». Comme toute vie peut-être...</w:t>
      </w:r>
    </w:p>
    <w:p w14:paraId="14CB2DF0"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51AE0EFA" w14:textId="77777777" w:rsidR="00B9662D" w:rsidRPr="000F765B" w:rsidRDefault="00B9662D" w:rsidP="00B9662D">
      <w:pPr>
        <w:spacing w:before="120" w:after="120"/>
        <w:jc w:val="both"/>
      </w:pPr>
      <w:r w:rsidRPr="000F765B">
        <w:rPr>
          <w:lang w:eastAsia="fr-FR" w:bidi="fr-FR"/>
        </w:rPr>
        <w:t>Arrêterons-nous là l’enquête ? Mais qui ne voit que ce serait s’arrêter en route. Car il faut bien expliquer, à leur tour, les variations de prix. Derrière leur courbe se dissimule le « premier moteur » du salaire, en même</w:t>
      </w:r>
      <w:r>
        <w:t xml:space="preserve"> [906] </w:t>
      </w:r>
      <w:r w:rsidRPr="000F765B">
        <w:rPr>
          <w:lang w:eastAsia="fr-FR" w:bidi="fr-FR"/>
        </w:rPr>
        <w:t>temps que de toutes les grandes ondes, à lo</w:t>
      </w:r>
      <w:r w:rsidRPr="000F765B">
        <w:rPr>
          <w:lang w:eastAsia="fr-FR" w:bidi="fr-FR"/>
        </w:rPr>
        <w:t>n</w:t>
      </w:r>
      <w:r w:rsidRPr="000F765B">
        <w:rPr>
          <w:lang w:eastAsia="fr-FR" w:bidi="fr-FR"/>
        </w:rPr>
        <w:t>gue période, de l’évolution économique. Ce démiurge, c’est la mo</w:t>
      </w:r>
      <w:r w:rsidRPr="000F765B">
        <w:rPr>
          <w:lang w:eastAsia="fr-FR" w:bidi="fr-FR"/>
        </w:rPr>
        <w:t>n</w:t>
      </w:r>
      <w:r w:rsidRPr="000F765B">
        <w:rPr>
          <w:lang w:eastAsia="fr-FR" w:bidi="fr-FR"/>
        </w:rPr>
        <w:t>naie.</w:t>
      </w:r>
    </w:p>
    <w:p w14:paraId="1D816EE7" w14:textId="77777777" w:rsidR="00B9662D" w:rsidRPr="000F765B" w:rsidRDefault="00B9662D" w:rsidP="00B9662D">
      <w:pPr>
        <w:spacing w:before="120" w:after="120"/>
        <w:jc w:val="both"/>
      </w:pPr>
      <w:r w:rsidRPr="000F765B">
        <w:rPr>
          <w:lang w:eastAsia="fr-FR" w:bidi="fr-FR"/>
        </w:rPr>
        <w:t>Faut-il donc comprendre que M. Simiand se rallie, purement et simplement, à un dogme célèbre, dit, classiquement, théorie quantit</w:t>
      </w:r>
      <w:r w:rsidRPr="000F765B">
        <w:rPr>
          <w:lang w:eastAsia="fr-FR" w:bidi="fr-FR"/>
        </w:rPr>
        <w:t>a</w:t>
      </w:r>
      <w:r w:rsidRPr="000F765B">
        <w:rPr>
          <w:lang w:eastAsia="fr-FR" w:bidi="fr-FR"/>
        </w:rPr>
        <w:t>tive ? Le croire serait déformer singulièrement sa pensée. De deux choses l’une, en effet. Ou bien par cette thèse</w:t>
      </w:r>
      <w:r>
        <w:rPr>
          <w:lang w:eastAsia="fr-FR" w:bidi="fr-FR"/>
        </w:rPr>
        <w:t> — </w:t>
      </w:r>
      <w:r w:rsidRPr="000F765B">
        <w:rPr>
          <w:lang w:eastAsia="fr-FR" w:bidi="fr-FR"/>
        </w:rPr>
        <w:t>selon l’emploi qu’en fait, couramment, l’opinion commune et telle que s’y réfèrent, pour l’appliquer au passé, bien des explications historiques un peu somma</w:t>
      </w:r>
      <w:r w:rsidRPr="000F765B">
        <w:rPr>
          <w:lang w:eastAsia="fr-FR" w:bidi="fr-FR"/>
        </w:rPr>
        <w:t>i</w:t>
      </w:r>
      <w:r w:rsidRPr="000F765B">
        <w:rPr>
          <w:lang w:eastAsia="fr-FR" w:bidi="fr-FR"/>
        </w:rPr>
        <w:t>res</w:t>
      </w:r>
      <w:r>
        <w:rPr>
          <w:lang w:eastAsia="fr-FR" w:bidi="fr-FR"/>
        </w:rPr>
        <w:t> — </w:t>
      </w:r>
      <w:r w:rsidRPr="000F765B">
        <w:rPr>
          <w:lang w:eastAsia="fr-FR" w:bidi="fr-FR"/>
        </w:rPr>
        <w:t>on se contente d’exprimer, entre la monnaie et les prix, une liaison aussi vaguement conçue qu’aisée à pressentir ; sous cet aspect elle a pu fournir à M. Simiand, tout au plus, un de ces points de d</w:t>
      </w:r>
      <w:r w:rsidRPr="000F765B">
        <w:rPr>
          <w:lang w:eastAsia="fr-FR" w:bidi="fr-FR"/>
        </w:rPr>
        <w:t>é</w:t>
      </w:r>
      <w:r w:rsidRPr="000F765B">
        <w:rPr>
          <w:lang w:eastAsia="fr-FR" w:bidi="fr-FR"/>
        </w:rPr>
        <w:t>part, pris à l’empirisme ambiant, dont la science ne fait état que pour leur substituer les résultats précis et gradués d’expériences logiqu</w:t>
      </w:r>
      <w:r w:rsidRPr="000F765B">
        <w:rPr>
          <w:lang w:eastAsia="fr-FR" w:bidi="fr-FR"/>
        </w:rPr>
        <w:t>e</w:t>
      </w:r>
      <w:r w:rsidRPr="000F765B">
        <w:rPr>
          <w:lang w:eastAsia="fr-FR" w:bidi="fr-FR"/>
        </w:rPr>
        <w:t>ment conduites. Ou bien nous lui donnerons la formule rigoureuse dont divers économistes, Irving Fisher notamment, se sont constitués les champions. Ainsi comprise, elle affirme, de la quantité de monnaie et de la vitesse de sa circulation au mouvement des prix</w:t>
      </w:r>
      <w:r>
        <w:rPr>
          <w:lang w:eastAsia="fr-FR" w:bidi="fr-FR"/>
        </w:rPr>
        <w:t> — </w:t>
      </w:r>
      <w:r w:rsidRPr="000F765B">
        <w:rPr>
          <w:lang w:eastAsia="fr-FR" w:bidi="fr-FR"/>
        </w:rPr>
        <w:t>le salaire n’étant qu’un prix, entre autres : celui de la marchandise travail</w:t>
      </w:r>
      <w:r>
        <w:rPr>
          <w:lang w:eastAsia="fr-FR" w:bidi="fr-FR"/>
        </w:rPr>
        <w:t> — </w:t>
      </w:r>
      <w:r w:rsidRPr="000F765B">
        <w:rPr>
          <w:lang w:eastAsia="fr-FR" w:bidi="fr-FR"/>
        </w:rPr>
        <w:t>une liaison en quelque sorte mécanique et surtout strictement propo</w:t>
      </w:r>
      <w:r w:rsidRPr="000F765B">
        <w:rPr>
          <w:lang w:eastAsia="fr-FR" w:bidi="fr-FR"/>
        </w:rPr>
        <w:t>r</w:t>
      </w:r>
      <w:r w:rsidRPr="000F765B">
        <w:rPr>
          <w:lang w:eastAsia="fr-FR" w:bidi="fr-FR"/>
        </w:rPr>
        <w:t>tionnelle. Or, c’est ce que dément l’observation.</w:t>
      </w:r>
    </w:p>
    <w:p w14:paraId="098864D8" w14:textId="77777777" w:rsidR="00B9662D" w:rsidRPr="000F765B" w:rsidRDefault="00B9662D" w:rsidP="00B9662D">
      <w:pPr>
        <w:spacing w:before="120" w:after="120"/>
        <w:jc w:val="both"/>
      </w:pPr>
      <w:r w:rsidRPr="000F765B">
        <w:rPr>
          <w:lang w:eastAsia="fr-FR" w:bidi="fr-FR"/>
        </w:rPr>
        <w:t>Nous n’avons, par malheur, aucun moyen de saisir, directement, les variations du total des moyens monétaires mis, durant l’époque étudiée, à la disposition des Français. De ce mouvement global, c</w:t>
      </w:r>
      <w:r w:rsidRPr="000F765B">
        <w:rPr>
          <w:lang w:eastAsia="fr-FR" w:bidi="fr-FR"/>
        </w:rPr>
        <w:t>e</w:t>
      </w:r>
      <w:r w:rsidRPr="000F765B">
        <w:rPr>
          <w:lang w:eastAsia="fr-FR" w:bidi="fr-FR"/>
        </w:rPr>
        <w:t>pendant, diverses courbes de détail, comparées entre elles, nous pe</w:t>
      </w:r>
      <w:r w:rsidRPr="000F765B">
        <w:rPr>
          <w:lang w:eastAsia="fr-FR" w:bidi="fr-FR"/>
        </w:rPr>
        <w:t>r</w:t>
      </w:r>
      <w:r w:rsidRPr="000F765B">
        <w:rPr>
          <w:lang w:eastAsia="fr-FR" w:bidi="fr-FR"/>
        </w:rPr>
        <w:t xml:space="preserve">mettent de nous faire une image suffisamment expressive : montant cumulé des frappes d’or et d’argent (les pertes du stock peuvent être provisoirement laissées de côté, soit comme constantes, soit comme repérables par d’autres analyses) ; excédent cumulé des importations </w:t>
      </w:r>
      <w:r w:rsidRPr="000F765B">
        <w:rPr>
          <w:lang w:eastAsia="fr-FR" w:bidi="fr-FR"/>
        </w:rPr>
        <w:lastRenderedPageBreak/>
        <w:t>sur les exportations de numéraire, d’une part, de métal non monnayé, de l’autre ; rapport des billets en circulation à l’encaisse de la Ba</w:t>
      </w:r>
      <w:r w:rsidRPr="000F765B">
        <w:rPr>
          <w:lang w:eastAsia="fr-FR" w:bidi="fr-FR"/>
        </w:rPr>
        <w:t>n</w:t>
      </w:r>
      <w:r w:rsidRPr="000F765B">
        <w:rPr>
          <w:lang w:eastAsia="fr-FR" w:bidi="fr-FR"/>
        </w:rPr>
        <w:t>que ; virements sur la Banque de France et compensations à la Cha</w:t>
      </w:r>
      <w:r w:rsidRPr="000F765B">
        <w:rPr>
          <w:lang w:eastAsia="fr-FR" w:bidi="fr-FR"/>
        </w:rPr>
        <w:t>m</w:t>
      </w:r>
      <w:r w:rsidRPr="000F765B">
        <w:rPr>
          <w:lang w:eastAsia="fr-FR" w:bidi="fr-FR"/>
        </w:rPr>
        <w:t>bre des compensations de Paris ; solde créditeur moyen des comptes courants à la Banque de France. Confrontons ces tracés avec la courbe des prix, ramenée à la même échelle. Quatre constatations apparai</w:t>
      </w:r>
      <w:r w:rsidRPr="000F765B">
        <w:rPr>
          <w:lang w:eastAsia="fr-FR" w:bidi="fr-FR"/>
        </w:rPr>
        <w:t>s</w:t>
      </w:r>
      <w:r w:rsidRPr="000F765B">
        <w:rPr>
          <w:lang w:eastAsia="fr-FR" w:bidi="fr-FR"/>
        </w:rPr>
        <w:t>sent : 1° les mouvements correspondent, en gros, période par période ; 2° les fluctuations des moyens monétaires partent, chaque fois, avant celles des prix : d’où l’on doit conclure qu’elles les commandent ; 3° mais, en période B, alors que les prix baissent fortement, les moyens monétaires, s’ils accusent une hausse beaucoup plus atténuée qu’auparavant, n’en continuent pas moins à hausser ; 4°</w:t>
      </w:r>
      <w:r>
        <w:rPr>
          <w:lang w:eastAsia="fr-FR" w:bidi="fr-FR"/>
        </w:rPr>
        <w:t> </w:t>
      </w:r>
      <w:r w:rsidRPr="000F765B">
        <w:rPr>
          <w:lang w:eastAsia="fr-FR" w:bidi="fr-FR"/>
        </w:rPr>
        <w:t>l’amplitude des vagues monétaires étant incomparablement plus grande que celle des variations connexes des prix, lorsqu’il y a hausse commune, celle-ci est bien loin d’être proportionnelle.</w:t>
      </w:r>
    </w:p>
    <w:p w14:paraId="50916C8A" w14:textId="77777777" w:rsidR="00B9662D" w:rsidRPr="000F765B" w:rsidRDefault="00B9662D" w:rsidP="00B9662D">
      <w:pPr>
        <w:spacing w:before="120" w:after="120"/>
        <w:jc w:val="both"/>
      </w:pPr>
      <w:r w:rsidRPr="000F765B">
        <w:rPr>
          <w:lang w:eastAsia="fr-FR" w:bidi="fr-FR"/>
        </w:rPr>
        <w:t>On le voit : sur ce dernier point notamment, entre la thèse quantit</w:t>
      </w:r>
      <w:r w:rsidRPr="000F765B">
        <w:rPr>
          <w:lang w:eastAsia="fr-FR" w:bidi="fr-FR"/>
        </w:rPr>
        <w:t>a</w:t>
      </w:r>
      <w:r w:rsidRPr="000F765B">
        <w:rPr>
          <w:lang w:eastAsia="fr-FR" w:bidi="fr-FR"/>
        </w:rPr>
        <w:t>tive et l’expérience, la contradiction est flagrante. La raison principale de l’erreur commise par les théoriciens ressort très clairement des st</w:t>
      </w:r>
      <w:r w:rsidRPr="000F765B">
        <w:rPr>
          <w:lang w:eastAsia="fr-FR" w:bidi="fr-FR"/>
        </w:rPr>
        <w:t>a</w:t>
      </w:r>
      <w:r w:rsidRPr="000F765B">
        <w:rPr>
          <w:lang w:eastAsia="fr-FR" w:bidi="fr-FR"/>
        </w:rPr>
        <w:t>tistiques elles-mêmes. En phase A, lorsque haussent les moyens m</w:t>
      </w:r>
      <w:r w:rsidRPr="000F765B">
        <w:rPr>
          <w:lang w:eastAsia="fr-FR" w:bidi="fr-FR"/>
        </w:rPr>
        <w:t>o</w:t>
      </w:r>
      <w:r w:rsidRPr="000F765B">
        <w:rPr>
          <w:lang w:eastAsia="fr-FR" w:bidi="fr-FR"/>
        </w:rPr>
        <w:t>nétaires, les prix ne sont pas seuls à suivre le mouvement ; la quantité des marchandises produites augmente aussi. Elle s’accroît d’ailleurs encore en phase B, après un premier temps de contraction et, cette fois, sur un rythme accéléré. Autrement dit, si nous reprenons les qu</w:t>
      </w:r>
      <w:r w:rsidRPr="000F765B">
        <w:rPr>
          <w:lang w:eastAsia="fr-FR" w:bidi="fr-FR"/>
        </w:rPr>
        <w:t>a</w:t>
      </w:r>
      <w:r w:rsidRPr="000F765B">
        <w:rPr>
          <w:lang w:eastAsia="fr-FR" w:bidi="fr-FR"/>
        </w:rPr>
        <w:t>tre termes de</w:t>
      </w:r>
      <w:r>
        <w:t xml:space="preserve"> [</w:t>
      </w:r>
      <w:r w:rsidRPr="000F765B">
        <w:rPr>
          <w:lang w:eastAsia="fr-FR" w:bidi="fr-FR"/>
        </w:rPr>
        <w:t>907</w:t>
      </w:r>
      <w:r>
        <w:rPr>
          <w:lang w:eastAsia="fr-FR" w:bidi="fr-FR"/>
        </w:rPr>
        <w:t xml:space="preserve">] </w:t>
      </w:r>
      <w:r w:rsidRPr="000F765B">
        <w:rPr>
          <w:lang w:eastAsia="fr-FR" w:bidi="fr-FR"/>
        </w:rPr>
        <w:t>« l’équation » d’Irving Fisher</w:t>
      </w:r>
      <w:r>
        <w:rPr>
          <w:lang w:eastAsia="fr-FR" w:bidi="fr-FR"/>
        </w:rPr>
        <w:t> — </w:t>
      </w:r>
      <w:r w:rsidRPr="000F765B">
        <w:rPr>
          <w:lang w:eastAsia="fr-FR" w:bidi="fr-FR"/>
        </w:rPr>
        <w:t>quantité et vite</w:t>
      </w:r>
      <w:r w:rsidRPr="000F765B">
        <w:rPr>
          <w:lang w:eastAsia="fr-FR" w:bidi="fr-FR"/>
        </w:rPr>
        <w:t>s</w:t>
      </w:r>
      <w:r w:rsidRPr="000F765B">
        <w:rPr>
          <w:lang w:eastAsia="fr-FR" w:bidi="fr-FR"/>
        </w:rPr>
        <w:t>se de circulation de la monnaie, prix et quantité des marchandises échangées</w:t>
      </w:r>
      <w:r>
        <w:rPr>
          <w:lang w:eastAsia="fr-FR" w:bidi="fr-FR"/>
        </w:rPr>
        <w:t> — </w:t>
      </w:r>
      <w:r w:rsidRPr="000F765B">
        <w:rPr>
          <w:lang w:eastAsia="fr-FR" w:bidi="fr-FR"/>
        </w:rPr>
        <w:t>si, en outre, comme Fisher lui-même, nous éliminons pratiquement la vite</w:t>
      </w:r>
      <w:r w:rsidRPr="000F765B">
        <w:rPr>
          <w:lang w:eastAsia="fr-FR" w:bidi="fr-FR"/>
        </w:rPr>
        <w:t>s</w:t>
      </w:r>
      <w:r w:rsidRPr="000F765B">
        <w:rPr>
          <w:lang w:eastAsia="fr-FR" w:bidi="fr-FR"/>
        </w:rPr>
        <w:t>se, supposée constante, nous devrons constater que les trois termes restants sont tous trois des variables ; pis encore, que le troisième (quantité de marchandises) varie tantôt dans le même sens que le pr</w:t>
      </w:r>
      <w:r w:rsidRPr="000F765B">
        <w:rPr>
          <w:lang w:eastAsia="fr-FR" w:bidi="fr-FR"/>
        </w:rPr>
        <w:t>e</w:t>
      </w:r>
      <w:r w:rsidRPr="000F765B">
        <w:rPr>
          <w:lang w:eastAsia="fr-FR" w:bidi="fr-FR"/>
        </w:rPr>
        <w:t>mier (les prix) et tantôt dans un sens opposé. Par où la formule est évidemment rendue inopérante. Mais laissons ces vaines expressions mathématiques. Renonçons même à noter, si ce n’est très brièvement, que, par une nouvelle différence avec la théorie citée, les graphiques de M. Simiand aboutissent à mettre en rapport non des quantités abs</w:t>
      </w:r>
      <w:r w:rsidRPr="000F765B">
        <w:rPr>
          <w:lang w:eastAsia="fr-FR" w:bidi="fr-FR"/>
        </w:rPr>
        <w:t>o</w:t>
      </w:r>
      <w:r w:rsidRPr="000F765B">
        <w:rPr>
          <w:lang w:eastAsia="fr-FR" w:bidi="fr-FR"/>
        </w:rPr>
        <w:t xml:space="preserve">lues, mais des taux d’accroissement : en un mot, selon l’esprit même de cette sociologie tout entière fondée sur le temps, un mouvement avec un mouvement. L’intérêt de l’historien, attentif à la vie, s’attachera, avant tout, à l’analyse des procédés par lesquels les </w:t>
      </w:r>
      <w:r w:rsidRPr="000F765B">
        <w:rPr>
          <w:lang w:eastAsia="fr-FR" w:bidi="fr-FR"/>
        </w:rPr>
        <w:lastRenderedPageBreak/>
        <w:t>flu</w:t>
      </w:r>
      <w:r w:rsidRPr="000F765B">
        <w:rPr>
          <w:lang w:eastAsia="fr-FR" w:bidi="fr-FR"/>
        </w:rPr>
        <w:t>c</w:t>
      </w:r>
      <w:r w:rsidRPr="000F765B">
        <w:rPr>
          <w:lang w:eastAsia="fr-FR" w:bidi="fr-FR"/>
        </w:rPr>
        <w:t>tuations des moyens monétaires agissent sur celles des prix. C’est là, dans la pensée de M. Simiand, un thème véritablement central. Il y est revenu, à plusieurs reprises, dans ses divers ouvrages, faisant a</w:t>
      </w:r>
      <w:r w:rsidRPr="000F765B">
        <w:rPr>
          <w:lang w:eastAsia="fr-FR" w:bidi="fr-FR"/>
        </w:rPr>
        <w:t>p</w:t>
      </w:r>
      <w:r w:rsidRPr="000F765B">
        <w:rPr>
          <w:lang w:eastAsia="fr-FR" w:bidi="fr-FR"/>
        </w:rPr>
        <w:t>pel, tour à tour, à de multiples expériences historiques ; il y reviendra sans doute encore. Une fois de plus, je dois m’excuser, auprès de lui co</w:t>
      </w:r>
      <w:r w:rsidRPr="000F765B">
        <w:rPr>
          <w:lang w:eastAsia="fr-FR" w:bidi="fr-FR"/>
        </w:rPr>
        <w:t>m</w:t>
      </w:r>
      <w:r w:rsidRPr="000F765B">
        <w:rPr>
          <w:lang w:eastAsia="fr-FR" w:bidi="fr-FR"/>
        </w:rPr>
        <w:t>me auprès du lecteur, de ne présenter ici qu’un schéma très sec, où ne pourra être retenue aucune des nuances que, dans le temps ou selon les différentes catégories économiques, ses études ont très fin</w:t>
      </w:r>
      <w:r w:rsidRPr="000F765B">
        <w:rPr>
          <w:lang w:eastAsia="fr-FR" w:bidi="fr-FR"/>
        </w:rPr>
        <w:t>e</w:t>
      </w:r>
      <w:r w:rsidRPr="000F765B">
        <w:rPr>
          <w:lang w:eastAsia="fr-FR" w:bidi="fr-FR"/>
        </w:rPr>
        <w:t>ment mises en lumière.</w:t>
      </w:r>
    </w:p>
    <w:p w14:paraId="75FDBB34" w14:textId="77777777" w:rsidR="00B9662D" w:rsidRPr="000F765B" w:rsidRDefault="00B9662D" w:rsidP="00B9662D">
      <w:pPr>
        <w:spacing w:before="120" w:after="120"/>
        <w:jc w:val="both"/>
      </w:pPr>
      <w:r w:rsidRPr="000F765B">
        <w:rPr>
          <w:lang w:eastAsia="fr-FR" w:bidi="fr-FR"/>
        </w:rPr>
        <w:t>Examinant, dans la pratique, le rôle de la monnaie, M. Simiand a été amené à reconnaître que les définitions qu’en offrent, sous des formes légèrement divergentes, les doctrines classiques s’avèrent i</w:t>
      </w:r>
      <w:r w:rsidRPr="000F765B">
        <w:rPr>
          <w:lang w:eastAsia="fr-FR" w:bidi="fr-FR"/>
        </w:rPr>
        <w:t>n</w:t>
      </w:r>
      <w:r w:rsidRPr="000F765B">
        <w:rPr>
          <w:lang w:eastAsia="fr-FR" w:bidi="fr-FR"/>
        </w:rPr>
        <w:t>complètes. Mesure, représentation, conservation des valeurs ? Sans doute. Mais aussi « anticipation » et même « réalisation partielle » des valeurs futures. Supposons, à un moment donné et dans un pays do</w:t>
      </w:r>
      <w:r w:rsidRPr="000F765B">
        <w:rPr>
          <w:lang w:eastAsia="fr-FR" w:bidi="fr-FR"/>
        </w:rPr>
        <w:t>n</w:t>
      </w:r>
      <w:r w:rsidRPr="000F765B">
        <w:rPr>
          <w:lang w:eastAsia="fr-FR" w:bidi="fr-FR"/>
        </w:rPr>
        <w:t>né, un notable accroissement des instruments monétaires. L’expérience prouve que ces moyens nouveaux iront, dès le principe, pour leur plus grande part, aux mains des groupes directeurs de l’économie, qui les utiliseront, principalement, sous forme d’avances à la production : avances du chef d’entreprise lui-même ou de ses bai</w:t>
      </w:r>
      <w:r w:rsidRPr="000F765B">
        <w:rPr>
          <w:lang w:eastAsia="fr-FR" w:bidi="fr-FR"/>
        </w:rPr>
        <w:t>l</w:t>
      </w:r>
      <w:r w:rsidRPr="000F765B">
        <w:rPr>
          <w:lang w:eastAsia="fr-FR" w:bidi="fr-FR"/>
        </w:rPr>
        <w:t>leurs de fonds. D’où, pour la production elle-même, un prodigieux coup de fouet. Le phénomène, comme il est naturel, s’observera, d’abord et surtout, dans les branches « à processus le plus long », qui par suite, engageant perpétuellement un avenir relativement lointain, vivent davantage « en porte à faux ». De fait, nous voyons que le do</w:t>
      </w:r>
      <w:r w:rsidRPr="000F765B">
        <w:rPr>
          <w:lang w:eastAsia="fr-FR" w:bidi="fr-FR"/>
        </w:rPr>
        <w:t>u</w:t>
      </w:r>
      <w:r w:rsidRPr="000F765B">
        <w:rPr>
          <w:lang w:eastAsia="fr-FR" w:bidi="fr-FR"/>
        </w:rPr>
        <w:t>ble mouvement de crue sur la quantité des marchandises et leurs prix ne manque jamais d’atteindre, avant tout autre ordre de biens, ceux qui sont à la fois « de grand marché et de grande production », « les matières premières et demi-produits ». Puis, de proche en proche, l’élan se répercute. Les commandes se précipitent, favorisées bea</w:t>
      </w:r>
      <w:r w:rsidRPr="000F765B">
        <w:rPr>
          <w:lang w:eastAsia="fr-FR" w:bidi="fr-FR"/>
        </w:rPr>
        <w:t>u</w:t>
      </w:r>
      <w:r w:rsidRPr="000F765B">
        <w:rPr>
          <w:lang w:eastAsia="fr-FR" w:bidi="fr-FR"/>
        </w:rPr>
        <w:t>coup plus que contrariées par la montée des prix ; car la crainte, s’il attend, de payer plus cher encore, incline l’acheteur à se hâter, surtout lorsqu’il a lui-même la perspective « de récupérations égales ou sup</w:t>
      </w:r>
      <w:r w:rsidRPr="000F765B">
        <w:rPr>
          <w:lang w:eastAsia="fr-FR" w:bidi="fr-FR"/>
        </w:rPr>
        <w:t>é</w:t>
      </w:r>
      <w:r w:rsidRPr="000F765B">
        <w:rPr>
          <w:lang w:eastAsia="fr-FR" w:bidi="fr-FR"/>
        </w:rPr>
        <w:t>rieures ». « La hausse entraîne la hausse. » Mais, parallèlement, les capitaux prêtés et la main-d’œuvre exigent leur part de la manne. Le coût de revient grandit à son tour, sans toutefois empêcher que la marge des profits ne demeure plus considérable qu’au début de la phase.</w:t>
      </w:r>
    </w:p>
    <w:p w14:paraId="2203A843" w14:textId="77777777" w:rsidR="00B9662D" w:rsidRPr="000F765B" w:rsidRDefault="00B9662D" w:rsidP="00B9662D">
      <w:pPr>
        <w:spacing w:before="120" w:after="120"/>
        <w:jc w:val="both"/>
      </w:pPr>
      <w:r>
        <w:lastRenderedPageBreak/>
        <w:t>[908]</w:t>
      </w:r>
    </w:p>
    <w:p w14:paraId="015ADB40" w14:textId="77777777" w:rsidR="00B9662D" w:rsidRPr="000F765B" w:rsidRDefault="00B9662D" w:rsidP="00B9662D">
      <w:pPr>
        <w:spacing w:before="120" w:after="120"/>
        <w:jc w:val="both"/>
      </w:pPr>
      <w:r w:rsidRPr="000F765B">
        <w:rPr>
          <w:lang w:eastAsia="fr-FR" w:bidi="fr-FR"/>
        </w:rPr>
        <w:t>Vient ensuite, non, en règle générale, une diminution absolue des moyens monétaires (cette régression ne s’observe qu’au cas où des émissions démesurées d’instruments non convertibles auraient abouti à retirer à ceux-ci leur valeur d’échange), du moins une atténuation marquée de leur accroissement. Privés d’avances, les producteurs sont contraints à des réalisations hâtives. La concurrence, qui ne tarde pas à s’établir entre ces vendeurs trop pressés, aboutit à une baisse des prix, qu’accentue encore la réserve des acheteurs, figés dans l’attente d’une descente plus forte ou prompts à redouter de ne pouvoir couvrir des achats faits trop haut. « La baisse entraîne la baisse. » Les produ</w:t>
      </w:r>
      <w:r w:rsidRPr="000F765B">
        <w:rPr>
          <w:lang w:eastAsia="fr-FR" w:bidi="fr-FR"/>
        </w:rPr>
        <w:t>c</w:t>
      </w:r>
      <w:r w:rsidRPr="000F765B">
        <w:rPr>
          <w:lang w:eastAsia="fr-FR" w:bidi="fr-FR"/>
        </w:rPr>
        <w:t>teurs s’efforcent alors à une diminution des prix de revient. La rési</w:t>
      </w:r>
      <w:r w:rsidRPr="000F765B">
        <w:rPr>
          <w:lang w:eastAsia="fr-FR" w:bidi="fr-FR"/>
        </w:rPr>
        <w:t>s</w:t>
      </w:r>
      <w:r w:rsidRPr="000F765B">
        <w:rPr>
          <w:lang w:eastAsia="fr-FR" w:bidi="fr-FR"/>
        </w:rPr>
        <w:t>tance de la main-d’œuvre, ainsi que leur propre répugnance à conse</w:t>
      </w:r>
      <w:r w:rsidRPr="000F765B">
        <w:rPr>
          <w:lang w:eastAsia="fr-FR" w:bidi="fr-FR"/>
        </w:rPr>
        <w:t>n</w:t>
      </w:r>
      <w:r w:rsidRPr="000F765B">
        <w:rPr>
          <w:lang w:eastAsia="fr-FR" w:bidi="fr-FR"/>
        </w:rPr>
        <w:t>tir à une diminution de leurs gains, les obligent à chercher cette co</w:t>
      </w:r>
      <w:r w:rsidRPr="000F765B">
        <w:rPr>
          <w:lang w:eastAsia="fr-FR" w:bidi="fr-FR"/>
        </w:rPr>
        <w:t>m</w:t>
      </w:r>
      <w:r w:rsidRPr="000F765B">
        <w:rPr>
          <w:lang w:eastAsia="fr-FR" w:bidi="fr-FR"/>
        </w:rPr>
        <w:t>pression, avant tout, dans une meilleure organisation technique. Ils s’appliquent, en outre, à compenser la médiocrité des prix par des ventes plus actives, vers de nouveaux débouchés notamment : ce qui explique que finalement, après un accès de faiblesse, les quantités produites reprennent leur hausse.</w:t>
      </w:r>
    </w:p>
    <w:p w14:paraId="1599CF9D" w14:textId="77777777" w:rsidR="00B9662D" w:rsidRPr="000F765B" w:rsidRDefault="00B9662D" w:rsidP="00B9662D">
      <w:pPr>
        <w:spacing w:before="120" w:after="120"/>
        <w:jc w:val="both"/>
      </w:pPr>
      <w:r w:rsidRPr="000F765B">
        <w:rPr>
          <w:lang w:eastAsia="fr-FR" w:bidi="fr-FR"/>
        </w:rPr>
        <w:t>On aura sans doute été frappé de voir que, dans l’analyse qui pr</w:t>
      </w:r>
      <w:r w:rsidRPr="000F765B">
        <w:rPr>
          <w:lang w:eastAsia="fr-FR" w:bidi="fr-FR"/>
        </w:rPr>
        <w:t>é</w:t>
      </w:r>
      <w:r w:rsidRPr="000F765B">
        <w:rPr>
          <w:lang w:eastAsia="fr-FR" w:bidi="fr-FR"/>
        </w:rPr>
        <w:t>cède, à peu près toute allusion a été évitée à un contraste que la thé</w:t>
      </w:r>
      <w:r w:rsidRPr="000F765B">
        <w:rPr>
          <w:lang w:eastAsia="fr-FR" w:bidi="fr-FR"/>
        </w:rPr>
        <w:t>o</w:t>
      </w:r>
      <w:r w:rsidRPr="000F765B">
        <w:rPr>
          <w:lang w:eastAsia="fr-FR" w:bidi="fr-FR"/>
        </w:rPr>
        <w:t>rie classique et avec elle, aujourd’hui, l’opinion commune, nourrie, à vrai dire, de bribes de doctrine, s’attachent à marquer d’un trait vigo</w:t>
      </w:r>
      <w:r w:rsidRPr="000F765B">
        <w:rPr>
          <w:lang w:eastAsia="fr-FR" w:bidi="fr-FR"/>
        </w:rPr>
        <w:t>u</w:t>
      </w:r>
      <w:r w:rsidRPr="000F765B">
        <w:rPr>
          <w:lang w:eastAsia="fr-FR" w:bidi="fr-FR"/>
        </w:rPr>
        <w:t>reux : l’antithèse qui paraît opposer, sans confusion possible, les mo</w:t>
      </w:r>
      <w:r w:rsidRPr="000F765B">
        <w:rPr>
          <w:lang w:eastAsia="fr-FR" w:bidi="fr-FR"/>
        </w:rPr>
        <w:t>n</w:t>
      </w:r>
      <w:r w:rsidRPr="000F765B">
        <w:rPr>
          <w:lang w:eastAsia="fr-FR" w:bidi="fr-FR"/>
        </w:rPr>
        <w:t>naies métalliques et instruments convertibles, d’une part, les moyens inconvertibles, de l’autre</w:t>
      </w:r>
      <w:r>
        <w:rPr>
          <w:lang w:eastAsia="fr-FR" w:bidi="fr-FR"/>
        </w:rPr>
        <w:t> — </w:t>
      </w:r>
      <w:r w:rsidRPr="000F765B">
        <w:rPr>
          <w:lang w:eastAsia="fr-FR" w:bidi="fr-FR"/>
        </w:rPr>
        <w:t>ou, pour user d’un langage trop familier aux hommes de ce temps, l’inflation-or et l’inflation gagée face à l’inflation-papier. En procédant ainsi, je n’ai certainement pas rendu tout à fait justice à l’exposé de M. Simiand : affecter, dans l’histoire de l’économie, l’or du Transvaal exactement du même signe que l’émission des assignats ou, de nos jours, le fonctionnement de la planche à billets, l’erreur serait en vérité trop grossière ; il y aurait quelque ridicule à se défendre de l’avoir commise. Mais je ne crois pas avoir été trop infidèle au fond de sa pensée : car celle-ci tend, sciemment, à minimiser l’antinomie traditionnelle.</w:t>
      </w:r>
    </w:p>
    <w:p w14:paraId="48BE77B4" w14:textId="77777777" w:rsidR="00B9662D" w:rsidRPr="000F765B" w:rsidRDefault="00B9662D" w:rsidP="00B9662D">
      <w:pPr>
        <w:spacing w:before="120" w:after="120"/>
        <w:jc w:val="both"/>
      </w:pPr>
      <w:r w:rsidRPr="000F765B">
        <w:rPr>
          <w:lang w:eastAsia="fr-FR" w:bidi="fr-FR"/>
        </w:rPr>
        <w:t xml:space="preserve">Qu’on veuille bien conserver en mémoire la définition qu’il nous avait proposée du salaire : « une somme de monnaie ». Délibérément, à l’expression monétaire de la rémunération du travail, il s’est refusé à </w:t>
      </w:r>
      <w:r w:rsidRPr="000F765B">
        <w:rPr>
          <w:lang w:eastAsia="fr-FR" w:bidi="fr-FR"/>
        </w:rPr>
        <w:lastRenderedPageBreak/>
        <w:t xml:space="preserve">substituer jamais la considération d’un salaire dit « réel », apprécié en or ou en pouvoir d’achat. De même, pour les prix. C’est qu’il estime, après expérience, qu’au regard de l’ouvrier, ou de </w:t>
      </w:r>
      <w:r>
        <w:rPr>
          <w:lang w:eastAsia="fr-FR" w:bidi="fr-FR"/>
        </w:rPr>
        <w:t>l’</w:t>
      </w:r>
      <w:r w:rsidRPr="0052459F">
        <w:rPr>
          <w:i/>
        </w:rPr>
        <w:t>homo œconomicus</w:t>
      </w:r>
      <w:r w:rsidRPr="000F765B">
        <w:rPr>
          <w:lang w:eastAsia="fr-FR" w:bidi="fr-FR"/>
        </w:rPr>
        <w:t xml:space="preserve"> en général, cette expression, à l’exclusion de toute autre image, est l’objet auquel le groupe s’attache, pour en défendre l’intégrité ou en rechercher l’accroissement. La sociologie ou l’histoire étant des sciences d’observation, il ne saurait y avoir, à leurs yeux non plus, d’autre réalité que celle-là, seule génératrice des actions humaines. Évitons d’ailleurs de croire que l’ouvrier</w:t>
      </w:r>
      <w:r>
        <w:rPr>
          <w:lang w:eastAsia="fr-FR" w:bidi="fr-FR"/>
        </w:rPr>
        <w:t> — </w:t>
      </w:r>
      <w:r w:rsidRPr="000F765B">
        <w:rPr>
          <w:lang w:eastAsia="fr-FR" w:bidi="fr-FR"/>
        </w:rPr>
        <w:t>pour nous en tenir à lui</w:t>
      </w:r>
      <w:r>
        <w:rPr>
          <w:lang w:eastAsia="fr-FR" w:bidi="fr-FR"/>
        </w:rPr>
        <w:t> — </w:t>
      </w:r>
      <w:r w:rsidRPr="000F765B">
        <w:rPr>
          <w:lang w:eastAsia="fr-FR" w:bidi="fr-FR"/>
        </w:rPr>
        <w:t xml:space="preserve">se repaisse d’un vain mot. </w:t>
      </w:r>
      <w:r>
        <w:rPr>
          <w:lang w:eastAsia="fr-FR" w:bidi="fr-FR"/>
        </w:rPr>
        <w:t>À</w:t>
      </w:r>
      <w:r w:rsidRPr="000F765B">
        <w:rPr>
          <w:lang w:eastAsia="fr-FR" w:bidi="fr-FR"/>
        </w:rPr>
        <w:t xml:space="preserve"> fixer ainsi son attention et ses d</w:t>
      </w:r>
      <w:r w:rsidRPr="000F765B">
        <w:rPr>
          <w:lang w:eastAsia="fr-FR" w:bidi="fr-FR"/>
        </w:rPr>
        <w:t>é</w:t>
      </w:r>
      <w:r w:rsidRPr="000F765B">
        <w:rPr>
          <w:lang w:eastAsia="fr-FR" w:bidi="fr-FR"/>
        </w:rPr>
        <w:t>sirs sur un nombre de monnaies, il y trouve d’abord l’attrait d’un « standing » chiffré, qui précise son rang social et, si possible, le hau</w:t>
      </w:r>
      <w:r w:rsidRPr="000F765B">
        <w:rPr>
          <w:lang w:eastAsia="fr-FR" w:bidi="fr-FR"/>
        </w:rPr>
        <w:t>s</w:t>
      </w:r>
      <w:r w:rsidRPr="000F765B">
        <w:rPr>
          <w:lang w:eastAsia="fr-FR" w:bidi="fr-FR"/>
        </w:rPr>
        <w:t xml:space="preserve">se : les hommes se classent d’après ce qu’ils gagnent et que la société ne peut guère mesurer, sinon en usant de ce langage monétaire qui est comme la </w:t>
      </w:r>
      <w:r>
        <w:rPr>
          <w:lang w:eastAsia="fr-FR" w:bidi="fr-FR"/>
        </w:rPr>
        <w:t>κοινή</w:t>
      </w:r>
      <w:r w:rsidRPr="000F765B">
        <w:rPr>
          <w:lang w:eastAsia="fr-FR" w:bidi="fr-FR"/>
        </w:rPr>
        <w:t>) de l’économie. En outre et surtout, s’il ne traduit</w:t>
      </w:r>
      <w:r>
        <w:t xml:space="preserve"> [</w:t>
      </w:r>
      <w:r w:rsidRPr="000F765B">
        <w:rPr>
          <w:lang w:eastAsia="fr-FR" w:bidi="fr-FR"/>
        </w:rPr>
        <w:t>909</w:t>
      </w:r>
      <w:r>
        <w:rPr>
          <w:lang w:eastAsia="fr-FR" w:bidi="fr-FR"/>
        </w:rPr>
        <w:t xml:space="preserve">] </w:t>
      </w:r>
      <w:r w:rsidRPr="000F765B">
        <w:rPr>
          <w:lang w:eastAsia="fr-FR" w:bidi="fr-FR"/>
        </w:rPr>
        <w:t>pas</w:t>
      </w:r>
      <w:r>
        <w:rPr>
          <w:lang w:eastAsia="fr-FR" w:bidi="fr-FR"/>
        </w:rPr>
        <w:t xml:space="preserve"> </w:t>
      </w:r>
      <w:r w:rsidRPr="000F765B">
        <w:rPr>
          <w:lang w:eastAsia="fr-FR" w:bidi="fr-FR"/>
        </w:rPr>
        <w:t>d’emblée en marchandises la somme qui périodiquement est mise à sa disposition, c’est qu’il voit en elle moins une quantité de biens immédiatement acquis que les possibilités d’avenir, encore ind</w:t>
      </w:r>
      <w:r w:rsidRPr="000F765B">
        <w:rPr>
          <w:lang w:eastAsia="fr-FR" w:bidi="fr-FR"/>
        </w:rPr>
        <w:t>é</w:t>
      </w:r>
      <w:r w:rsidRPr="000F765B">
        <w:rPr>
          <w:lang w:eastAsia="fr-FR" w:bidi="fr-FR"/>
        </w:rPr>
        <w:t>terminées, qu’elle recèle : sa valeur d’anticipation, en un mot.</w:t>
      </w:r>
    </w:p>
    <w:p w14:paraId="4E03062D" w14:textId="77777777" w:rsidR="00B9662D" w:rsidRPr="000F765B" w:rsidRDefault="00B9662D" w:rsidP="00B9662D">
      <w:pPr>
        <w:spacing w:before="120" w:after="120"/>
        <w:jc w:val="both"/>
      </w:pPr>
      <w:r w:rsidRPr="000F765B">
        <w:rPr>
          <w:lang w:eastAsia="fr-FR" w:bidi="fr-FR"/>
        </w:rPr>
        <w:t>Sans doute M. Simiand se garde-t-il bien de traiter comme équiv</w:t>
      </w:r>
      <w:r w:rsidRPr="000F765B">
        <w:rPr>
          <w:lang w:eastAsia="fr-FR" w:bidi="fr-FR"/>
        </w:rPr>
        <w:t>a</w:t>
      </w:r>
      <w:r w:rsidRPr="000F765B">
        <w:rPr>
          <w:lang w:eastAsia="fr-FR" w:bidi="fr-FR"/>
        </w:rPr>
        <w:t>lentes toutes les augmentations de moyens monétaires. Mais la di</w:t>
      </w:r>
      <w:r w:rsidRPr="000F765B">
        <w:rPr>
          <w:lang w:eastAsia="fr-FR" w:bidi="fr-FR"/>
        </w:rPr>
        <w:t>s</w:t>
      </w:r>
      <w:r w:rsidRPr="000F765B">
        <w:rPr>
          <w:lang w:eastAsia="fr-FR" w:bidi="fr-FR"/>
        </w:rPr>
        <w:t>tinction fondamentale qu’il établit entre leurs divers types ne porte pas sur la convertibilité en soi. Aussi bien, oserai-je ajouter, jusque dans les mieux assis parmi les régimes à circulation non métallique, cette fameuse convertibilité est-elle jamais autre chose que toute relative et sans cesse exposée à se détruire elle-même, puisqu’une demande de conversion massive ne pourrait manquer d’entraîner, automatiqu</w:t>
      </w:r>
      <w:r w:rsidRPr="000F765B">
        <w:rPr>
          <w:lang w:eastAsia="fr-FR" w:bidi="fr-FR"/>
        </w:rPr>
        <w:t>e</w:t>
      </w:r>
      <w:r w:rsidRPr="000F765B">
        <w:rPr>
          <w:lang w:eastAsia="fr-FR" w:bidi="fr-FR"/>
        </w:rPr>
        <w:t>ment, l’établissement du cours forcé ? La véritable ligne de démarc</w:t>
      </w:r>
      <w:r w:rsidRPr="000F765B">
        <w:rPr>
          <w:lang w:eastAsia="fr-FR" w:bidi="fr-FR"/>
        </w:rPr>
        <w:t>a</w:t>
      </w:r>
      <w:r w:rsidRPr="000F765B">
        <w:rPr>
          <w:lang w:eastAsia="fr-FR" w:bidi="fr-FR"/>
        </w:rPr>
        <w:t>tion, c’est entre l’accroissement raisonnable des instruments monéta</w:t>
      </w:r>
      <w:r w:rsidRPr="000F765B">
        <w:rPr>
          <w:lang w:eastAsia="fr-FR" w:bidi="fr-FR"/>
        </w:rPr>
        <w:t>i</w:t>
      </w:r>
      <w:r w:rsidRPr="000F765B">
        <w:rPr>
          <w:lang w:eastAsia="fr-FR" w:bidi="fr-FR"/>
        </w:rPr>
        <w:t>res inconvertibles et leur accroissement « démesuré » qu’il nous invite à la tirer. Le premier produit exactement les mêmes effets qu’une hausse du stock métallique. Effets « factices », dit-on souvent. Quels sens, cependant, donner à cette épithète, si les résultats existent rée</w:t>
      </w:r>
      <w:r w:rsidRPr="000F765B">
        <w:rPr>
          <w:lang w:eastAsia="fr-FR" w:bidi="fr-FR"/>
        </w:rPr>
        <w:t>l</w:t>
      </w:r>
      <w:r w:rsidRPr="000F765B">
        <w:rPr>
          <w:lang w:eastAsia="fr-FR" w:bidi="fr-FR"/>
        </w:rPr>
        <w:t>lement ? L’accélération « démesurée », au contraire, peut bien, à la vérité, entraîner encore, surtout au début, quelques conséquences an</w:t>
      </w:r>
      <w:r w:rsidRPr="000F765B">
        <w:rPr>
          <w:lang w:eastAsia="fr-FR" w:bidi="fr-FR"/>
        </w:rPr>
        <w:t>a</w:t>
      </w:r>
      <w:r w:rsidRPr="000F765B">
        <w:rPr>
          <w:lang w:eastAsia="fr-FR" w:bidi="fr-FR"/>
        </w:rPr>
        <w:t>logues, notamment quant au mouvement de la production. Elle ne ta</w:t>
      </w:r>
      <w:r w:rsidRPr="000F765B">
        <w:rPr>
          <w:lang w:eastAsia="fr-FR" w:bidi="fr-FR"/>
        </w:rPr>
        <w:t>r</w:t>
      </w:r>
      <w:r w:rsidRPr="000F765B">
        <w:rPr>
          <w:lang w:eastAsia="fr-FR" w:bidi="fr-FR"/>
        </w:rPr>
        <w:t>de guère, en fin de compte, à provoquer une « cons</w:t>
      </w:r>
      <w:r>
        <w:rPr>
          <w:lang w:eastAsia="fr-FR" w:bidi="fr-FR"/>
        </w:rPr>
        <w:t>t</w:t>
      </w:r>
      <w:r w:rsidRPr="000F765B">
        <w:rPr>
          <w:lang w:eastAsia="fr-FR" w:bidi="fr-FR"/>
        </w:rPr>
        <w:t>riction écono</w:t>
      </w:r>
      <w:r w:rsidRPr="000F765B">
        <w:rPr>
          <w:lang w:eastAsia="fr-FR" w:bidi="fr-FR"/>
        </w:rPr>
        <w:lastRenderedPageBreak/>
        <w:t>m</w:t>
      </w:r>
      <w:r w:rsidRPr="000F765B">
        <w:rPr>
          <w:lang w:eastAsia="fr-FR" w:bidi="fr-FR"/>
        </w:rPr>
        <w:t>i</w:t>
      </w:r>
      <w:r w:rsidRPr="000F765B">
        <w:rPr>
          <w:lang w:eastAsia="fr-FR" w:bidi="fr-FR"/>
        </w:rPr>
        <w:t>que » de plus en plus marquée. Sa tare la plus grave est d’être de rythme « imprévisible ». Par là, tout emploi ou remploi sont rendus aléatoires et le système, en lui-même fécond, du « porte-à-faux » se trouve radicalement vicié.</w:t>
      </w:r>
    </w:p>
    <w:p w14:paraId="6510BD0B" w14:textId="77777777" w:rsidR="00B9662D" w:rsidRPr="000F765B" w:rsidRDefault="00B9662D" w:rsidP="00B9662D">
      <w:pPr>
        <w:pStyle w:val="c"/>
      </w:pPr>
      <w:r w:rsidRPr="000F765B">
        <w:rPr>
          <w:lang w:eastAsia="fr-FR" w:bidi="fr-FR"/>
        </w:rPr>
        <w:t>*</w:t>
      </w:r>
      <w:r>
        <w:rPr>
          <w:lang w:eastAsia="fr-FR" w:bidi="fr-FR"/>
        </w:rPr>
        <w:br/>
      </w:r>
      <w:r w:rsidRPr="000F765B">
        <w:rPr>
          <w:lang w:eastAsia="fr-FR" w:bidi="fr-FR"/>
        </w:rPr>
        <w:t>*</w:t>
      </w:r>
      <w:r>
        <w:rPr>
          <w:lang w:eastAsia="fr-FR" w:bidi="fr-FR"/>
        </w:rPr>
        <w:t xml:space="preserve">    </w:t>
      </w:r>
      <w:r w:rsidRPr="000F765B">
        <w:rPr>
          <w:lang w:eastAsia="fr-FR" w:bidi="fr-FR"/>
        </w:rPr>
        <w:t xml:space="preserve"> *</w:t>
      </w:r>
    </w:p>
    <w:p w14:paraId="4E3140E3" w14:textId="77777777" w:rsidR="00B9662D" w:rsidRPr="000F765B" w:rsidRDefault="00B9662D" w:rsidP="00B9662D">
      <w:pPr>
        <w:spacing w:before="120" w:after="120"/>
        <w:jc w:val="both"/>
      </w:pPr>
      <w:r w:rsidRPr="000F765B">
        <w:rPr>
          <w:lang w:eastAsia="fr-FR" w:bidi="fr-FR"/>
        </w:rPr>
        <w:t>Je me suis attaché avant tout, dans ce qui précède, à analyser, de mon mieux, la méthode de M. Simiand et sa pensée. Devant une œ</w:t>
      </w:r>
      <w:r w:rsidRPr="000F765B">
        <w:rPr>
          <w:lang w:eastAsia="fr-FR" w:bidi="fr-FR"/>
        </w:rPr>
        <w:t>u</w:t>
      </w:r>
      <w:r w:rsidRPr="000F765B">
        <w:rPr>
          <w:lang w:eastAsia="fr-FR" w:bidi="fr-FR"/>
        </w:rPr>
        <w:t>vre aussi puissante et que beaucoup d’historiens, toutefois, n’auront pas le loisir de scruter comme elle le mérite, il m’a paru que le service qu’on attendait de moi était de donner la parole à l’auteur du livre pl</w:t>
      </w:r>
      <w:r w:rsidRPr="000F765B">
        <w:rPr>
          <w:lang w:eastAsia="fr-FR" w:bidi="fr-FR"/>
        </w:rPr>
        <w:t>u</w:t>
      </w:r>
      <w:r w:rsidRPr="000F765B">
        <w:rPr>
          <w:lang w:eastAsia="fr-FR" w:bidi="fr-FR"/>
        </w:rPr>
        <w:t>tôt qu’à celui du compte rendu. Au reste, des critiques, de fond ou de détail, eussent exigé la reprise, jusque dans ses soubassements, d’un travail entre tous délicat et longuement médité. Pour bien des raisons, c’est une tâche qui, ici, ne pouvait être envisagée. L’esprit, cependant, aiguillonné par cette lecture, comment s’interdire toute question ?</w:t>
      </w:r>
    </w:p>
    <w:p w14:paraId="529321E6" w14:textId="77777777" w:rsidR="00B9662D" w:rsidRPr="000F765B" w:rsidRDefault="00B9662D" w:rsidP="00B9662D">
      <w:pPr>
        <w:spacing w:before="120" w:after="120"/>
        <w:jc w:val="both"/>
      </w:pPr>
      <w:r w:rsidRPr="000F765B">
        <w:rPr>
          <w:lang w:eastAsia="fr-FR" w:bidi="fr-FR"/>
        </w:rPr>
        <w:t xml:space="preserve">Qu’un rythme d’alternance, à longues ondes, ait dominé l’évolution économique française, voire européenne, depuis la fin du </w:t>
      </w:r>
      <w:r>
        <w:rPr>
          <w:lang w:eastAsia="fr-FR" w:bidi="fr-FR"/>
        </w:rPr>
        <w:t>XV</w:t>
      </w:r>
      <w:r w:rsidRPr="000F765B">
        <w:rPr>
          <w:vertAlign w:val="superscript"/>
          <w:lang w:eastAsia="fr-FR" w:bidi="fr-FR"/>
        </w:rPr>
        <w:t>e</w:t>
      </w:r>
      <w:r w:rsidRPr="000F765B">
        <w:rPr>
          <w:lang w:eastAsia="fr-FR" w:bidi="fr-FR"/>
        </w:rPr>
        <w:t xml:space="preserve"> siècle, on ne sera, je crois, plus guère tenté de le mettre en doute. Ainsi présentée, la découverte est déjà assez belle et quiconque, d</w:t>
      </w:r>
      <w:r w:rsidRPr="000F765B">
        <w:rPr>
          <w:lang w:eastAsia="fr-FR" w:bidi="fr-FR"/>
        </w:rPr>
        <w:t>é</w:t>
      </w:r>
      <w:r w:rsidRPr="000F765B">
        <w:rPr>
          <w:lang w:eastAsia="fr-FR" w:bidi="fr-FR"/>
        </w:rPr>
        <w:t>sormais, portera son attention sur un fragment, quel qu’il soit, de cette histoire</w:t>
      </w:r>
      <w:r>
        <w:rPr>
          <w:lang w:eastAsia="fr-FR" w:bidi="fr-FR"/>
        </w:rPr>
        <w:t> — </w:t>
      </w:r>
      <w:r w:rsidRPr="000F765B">
        <w:rPr>
          <w:lang w:eastAsia="fr-FR" w:bidi="fr-FR"/>
        </w:rPr>
        <w:t>on me permettra de songer, en particulier, aux vicissitudes de la société rurale</w:t>
      </w:r>
      <w:r>
        <w:rPr>
          <w:lang w:eastAsia="fr-FR" w:bidi="fr-FR"/>
        </w:rPr>
        <w:t> </w:t>
      </w:r>
      <w:r>
        <w:rPr>
          <w:rStyle w:val="Appelnotedebasdep"/>
        </w:rPr>
        <w:footnoteReference w:id="958"/>
      </w:r>
      <w:r>
        <w:rPr>
          <w:lang w:eastAsia="fr-FR" w:bidi="fr-FR"/>
        </w:rPr>
        <w:t xml:space="preserve"> [910] </w:t>
      </w:r>
      <w:r w:rsidRPr="000F765B">
        <w:rPr>
          <w:lang w:eastAsia="fr-FR" w:bidi="fr-FR"/>
        </w:rPr>
        <w:t xml:space="preserve">— devra tenir fortement en main le fil </w:t>
      </w:r>
      <w:r w:rsidRPr="000F765B">
        <w:rPr>
          <w:lang w:eastAsia="fr-FR" w:bidi="fr-FR"/>
        </w:rPr>
        <w:lastRenderedPageBreak/>
        <w:t>conducteur que M. Simiand nous a remis. Prononcerons-nous, cepe</w:t>
      </w:r>
      <w:r w:rsidRPr="000F765B">
        <w:rPr>
          <w:lang w:eastAsia="fr-FR" w:bidi="fr-FR"/>
        </w:rPr>
        <w:t>n</w:t>
      </w:r>
      <w:r w:rsidRPr="000F765B">
        <w:rPr>
          <w:lang w:eastAsia="fr-FR" w:bidi="fr-FR"/>
        </w:rPr>
        <w:t>dant, le grand mot de loi ? M. Simiand, si je ne me trompe, l’a so</w:t>
      </w:r>
      <w:r w:rsidRPr="000F765B">
        <w:rPr>
          <w:lang w:eastAsia="fr-FR" w:bidi="fr-FR"/>
        </w:rPr>
        <w:t>i</w:t>
      </w:r>
      <w:r w:rsidRPr="000F765B">
        <w:rPr>
          <w:lang w:eastAsia="fr-FR" w:bidi="fr-FR"/>
        </w:rPr>
        <w:t>gneusement évité. Non sans raison. Si le retour des phases a les app</w:t>
      </w:r>
      <w:r w:rsidRPr="000F765B">
        <w:rPr>
          <w:lang w:eastAsia="fr-FR" w:bidi="fr-FR"/>
        </w:rPr>
        <w:t>a</w:t>
      </w:r>
      <w:r w:rsidRPr="000F765B">
        <w:rPr>
          <w:lang w:eastAsia="fr-FR" w:bidi="fr-FR"/>
        </w:rPr>
        <w:t>rences de la fatalité, leur périodicité, en revanche, semble à temps e</w:t>
      </w:r>
      <w:r w:rsidRPr="000F765B">
        <w:rPr>
          <w:lang w:eastAsia="fr-FR" w:bidi="fr-FR"/>
        </w:rPr>
        <w:t>x</w:t>
      </w:r>
      <w:r w:rsidRPr="000F765B">
        <w:rPr>
          <w:lang w:eastAsia="fr-FR" w:bidi="fr-FR"/>
        </w:rPr>
        <w:t>trêmement variable ; avant d’aller plus loin, il conviendrait d’en e</w:t>
      </w:r>
      <w:r w:rsidRPr="000F765B">
        <w:rPr>
          <w:lang w:eastAsia="fr-FR" w:bidi="fr-FR"/>
        </w:rPr>
        <w:t>x</w:t>
      </w:r>
      <w:r w:rsidRPr="000F765B">
        <w:rPr>
          <w:lang w:eastAsia="fr-FR" w:bidi="fr-FR"/>
        </w:rPr>
        <w:t xml:space="preserve">pliquer l’allure cahotante. </w:t>
      </w:r>
      <w:r>
        <w:rPr>
          <w:lang w:eastAsia="fr-FR" w:bidi="fr-FR"/>
        </w:rPr>
        <w:t>À</w:t>
      </w:r>
      <w:r w:rsidRPr="000F765B">
        <w:rPr>
          <w:lang w:eastAsia="fr-FR" w:bidi="fr-FR"/>
        </w:rPr>
        <w:t xml:space="preserve"> moins qu’elle ne trouve son explication, toute naturelle, dans l’absence de causalité régulière. Au point de d</w:t>
      </w:r>
      <w:r w:rsidRPr="000F765B">
        <w:rPr>
          <w:lang w:eastAsia="fr-FR" w:bidi="fr-FR"/>
        </w:rPr>
        <w:t>é</w:t>
      </w:r>
      <w:r w:rsidRPr="000F765B">
        <w:rPr>
          <w:lang w:eastAsia="fr-FR" w:bidi="fr-FR"/>
        </w:rPr>
        <w:t>part de toute phase A se place, en effet, comme l’on sait, une augme</w:t>
      </w:r>
      <w:r w:rsidRPr="000F765B">
        <w:rPr>
          <w:lang w:eastAsia="fr-FR" w:bidi="fr-FR"/>
        </w:rPr>
        <w:t>n</w:t>
      </w:r>
      <w:r w:rsidRPr="000F765B">
        <w:rPr>
          <w:lang w:eastAsia="fr-FR" w:bidi="fr-FR"/>
        </w:rPr>
        <w:t>tation des moyens m</w:t>
      </w:r>
      <w:r w:rsidRPr="000F765B">
        <w:rPr>
          <w:lang w:eastAsia="fr-FR" w:bidi="fr-FR"/>
        </w:rPr>
        <w:t>o</w:t>
      </w:r>
      <w:r w:rsidRPr="000F765B">
        <w:rPr>
          <w:lang w:eastAsia="fr-FR" w:bidi="fr-FR"/>
        </w:rPr>
        <w:t>nétaires, qui déclenche tout le mouvement. Or, ce ressort moteur même, que trouvons-nous à son origine ? Récapit</w:t>
      </w:r>
      <w:r w:rsidRPr="000F765B">
        <w:rPr>
          <w:lang w:eastAsia="fr-FR" w:bidi="fr-FR"/>
        </w:rPr>
        <w:t>u</w:t>
      </w:r>
      <w:r w:rsidRPr="000F765B">
        <w:rPr>
          <w:lang w:eastAsia="fr-FR" w:bidi="fr-FR"/>
        </w:rPr>
        <w:t xml:space="preserve">lons quelques données universellement connues : au </w:t>
      </w:r>
      <w:r w:rsidRPr="00143818">
        <w:rPr>
          <w:smallCaps/>
          <w:lang w:eastAsia="fr-FR" w:bidi="fr-FR"/>
        </w:rPr>
        <w:t>xvi</w:t>
      </w:r>
      <w:r w:rsidRPr="000F765B">
        <w:rPr>
          <w:vertAlign w:val="superscript"/>
          <w:lang w:eastAsia="fr-FR" w:bidi="fr-FR"/>
        </w:rPr>
        <w:t>e</w:t>
      </w:r>
      <w:r w:rsidRPr="000F765B">
        <w:rPr>
          <w:lang w:eastAsia="fr-FR" w:bidi="fr-FR"/>
        </w:rPr>
        <w:t xml:space="preserve"> siècle, afflux de l’or et de l’argent américains ; en 1849, découverte des gisements de la Californie, su</w:t>
      </w:r>
      <w:r w:rsidRPr="000F765B">
        <w:rPr>
          <w:lang w:eastAsia="fr-FR" w:bidi="fr-FR"/>
        </w:rPr>
        <w:t>i</w:t>
      </w:r>
      <w:r w:rsidRPr="000F765B">
        <w:rPr>
          <w:lang w:eastAsia="fr-FR" w:bidi="fr-FR"/>
        </w:rPr>
        <w:t>vie, en 1851, de celle de l’or australien ; en 1886, le Transvaal ; en 1897, le Yukon et, peu après, le Klondike. Chaque fois, en somme, ou peu s’en faut, un fait « événementiel », pour parler comme M. S</w:t>
      </w:r>
      <w:r w:rsidRPr="000F765B">
        <w:rPr>
          <w:lang w:eastAsia="fr-FR" w:bidi="fr-FR"/>
        </w:rPr>
        <w:t>i</w:t>
      </w:r>
      <w:r w:rsidRPr="000F765B">
        <w:rPr>
          <w:lang w:eastAsia="fr-FR" w:bidi="fr-FR"/>
        </w:rPr>
        <w:t>miand</w:t>
      </w:r>
      <w:r>
        <w:rPr>
          <w:lang w:eastAsia="fr-FR" w:bidi="fr-FR"/>
        </w:rPr>
        <w:t> — </w:t>
      </w:r>
      <w:r w:rsidRPr="000F765B">
        <w:rPr>
          <w:lang w:eastAsia="fr-FR" w:bidi="fr-FR"/>
        </w:rPr>
        <w:t>disons tout net : un fait fortuit, en ce sens qu’il paraît sans liens avec l’évolution interne de l’économie. Scruter, en soci</w:t>
      </w:r>
      <w:r>
        <w:rPr>
          <w:lang w:eastAsia="fr-FR" w:bidi="fr-FR"/>
        </w:rPr>
        <w:t>ologue, les causes de quelques-</w:t>
      </w:r>
      <w:r w:rsidRPr="000F765B">
        <w:rPr>
          <w:lang w:eastAsia="fr-FR" w:bidi="fr-FR"/>
        </w:rPr>
        <w:t>unes des plus vastes transform</w:t>
      </w:r>
      <w:r w:rsidRPr="000F765B">
        <w:rPr>
          <w:lang w:eastAsia="fr-FR" w:bidi="fr-FR"/>
        </w:rPr>
        <w:t>a</w:t>
      </w:r>
      <w:r w:rsidRPr="000F765B">
        <w:rPr>
          <w:lang w:eastAsia="fr-FR" w:bidi="fr-FR"/>
        </w:rPr>
        <w:t>tions sociales qui se puissent imaginer, et, de couche en couche, abo</w:t>
      </w:r>
      <w:r w:rsidRPr="000F765B">
        <w:rPr>
          <w:lang w:eastAsia="fr-FR" w:bidi="fr-FR"/>
        </w:rPr>
        <w:t>u</w:t>
      </w:r>
      <w:r w:rsidRPr="000F765B">
        <w:rPr>
          <w:lang w:eastAsia="fr-FR" w:bidi="fr-FR"/>
        </w:rPr>
        <w:t>tir à découvrir, au plus profond de la fouille, un accident aussi conti</w:t>
      </w:r>
      <w:r w:rsidRPr="000F765B">
        <w:rPr>
          <w:lang w:eastAsia="fr-FR" w:bidi="fr-FR"/>
        </w:rPr>
        <w:t>n</w:t>
      </w:r>
      <w:r w:rsidRPr="000F765B">
        <w:rPr>
          <w:lang w:eastAsia="fr-FR" w:bidi="fr-FR"/>
        </w:rPr>
        <w:t>gent, à première vue, que la naissance de Napoléon ou le « grain de sable » de Cro</w:t>
      </w:r>
      <w:r w:rsidRPr="000F765B">
        <w:rPr>
          <w:lang w:eastAsia="fr-FR" w:bidi="fr-FR"/>
        </w:rPr>
        <w:t>m</w:t>
      </w:r>
      <w:r w:rsidRPr="000F765B">
        <w:rPr>
          <w:lang w:eastAsia="fr-FR" w:bidi="fr-FR"/>
        </w:rPr>
        <w:t>well, l’aventure, avouons-le, a de quoi faire rêver. L’imprévu du résu</w:t>
      </w:r>
      <w:r w:rsidRPr="000F765B">
        <w:rPr>
          <w:lang w:eastAsia="fr-FR" w:bidi="fr-FR"/>
        </w:rPr>
        <w:t>l</w:t>
      </w:r>
      <w:r w:rsidRPr="000F765B">
        <w:rPr>
          <w:lang w:eastAsia="fr-FR" w:bidi="fr-FR"/>
        </w:rPr>
        <w:t>tat n’a naturellement pas échappé à M. Simiand, qui semble à la fois en avoir souri et s’en être inquiété. On n’en adm</w:t>
      </w:r>
      <w:r w:rsidRPr="000F765B">
        <w:rPr>
          <w:lang w:eastAsia="fr-FR" w:bidi="fr-FR"/>
        </w:rPr>
        <w:t>i</w:t>
      </w:r>
      <w:r w:rsidRPr="000F765B">
        <w:rPr>
          <w:lang w:eastAsia="fr-FR" w:bidi="fr-FR"/>
        </w:rPr>
        <w:t>rera que davantage la probité du savant, qui, conduit par ses expérie</w:t>
      </w:r>
      <w:r w:rsidRPr="000F765B">
        <w:rPr>
          <w:lang w:eastAsia="fr-FR" w:bidi="fr-FR"/>
        </w:rPr>
        <w:t>n</w:t>
      </w:r>
      <w:r w:rsidRPr="000F765B">
        <w:rPr>
          <w:lang w:eastAsia="fr-FR" w:bidi="fr-FR"/>
        </w:rPr>
        <w:t>ces à une conclusion visiblement menaçante pour quelques points e</w:t>
      </w:r>
      <w:r w:rsidRPr="000F765B">
        <w:rPr>
          <w:lang w:eastAsia="fr-FR" w:bidi="fr-FR"/>
        </w:rPr>
        <w:t>s</w:t>
      </w:r>
      <w:r w:rsidRPr="000F765B">
        <w:rPr>
          <w:lang w:eastAsia="fr-FR" w:bidi="fr-FR"/>
        </w:rPr>
        <w:t>sentiels de sa doctrine, n’a pas hésité à la mettre en pleine lumière. Peut-être, néanmoins, s</w:t>
      </w:r>
      <w:r w:rsidRPr="000F765B">
        <w:rPr>
          <w:lang w:eastAsia="fr-FR" w:bidi="fr-FR"/>
        </w:rPr>
        <w:t>e</w:t>
      </w:r>
      <w:r w:rsidRPr="000F765B">
        <w:rPr>
          <w:lang w:eastAsia="fr-FR" w:bidi="fr-FR"/>
        </w:rPr>
        <w:t xml:space="preserve">ra-t-on tenté de répliquer que la contingence </w:t>
      </w:r>
      <w:r w:rsidRPr="000F765B">
        <w:rPr>
          <w:lang w:eastAsia="fr-FR" w:bidi="fr-FR"/>
        </w:rPr>
        <w:lastRenderedPageBreak/>
        <w:t>n’est, en l’espèce, qu’apparente. De même que les découvertes techn</w:t>
      </w:r>
      <w:r w:rsidRPr="000F765B">
        <w:rPr>
          <w:lang w:eastAsia="fr-FR" w:bidi="fr-FR"/>
        </w:rPr>
        <w:t>i</w:t>
      </w:r>
      <w:r w:rsidRPr="000F765B">
        <w:rPr>
          <w:lang w:eastAsia="fr-FR" w:bidi="fr-FR"/>
        </w:rPr>
        <w:t>ques sont souvent nées de nécessités économiques, ne se peut-il que les recherches de gisements nouveaux aient été provoquées par les besoins profonds d’une société qui souffrait périodiquement de faim monétaire ? En fait</w:t>
      </w:r>
      <w:r>
        <w:rPr>
          <w:lang w:eastAsia="fr-FR" w:bidi="fr-FR"/>
        </w:rPr>
        <w:t> — </w:t>
      </w:r>
      <w:r w:rsidRPr="000F765B">
        <w:rPr>
          <w:lang w:eastAsia="fr-FR" w:bidi="fr-FR"/>
        </w:rPr>
        <w:t>M. Simiand, sauf erreur, a négligé cet arg</w:t>
      </w:r>
      <w:r w:rsidRPr="000F765B">
        <w:rPr>
          <w:lang w:eastAsia="fr-FR" w:bidi="fr-FR"/>
        </w:rPr>
        <w:t>u</w:t>
      </w:r>
      <w:r w:rsidRPr="000F765B">
        <w:rPr>
          <w:lang w:eastAsia="fr-FR" w:bidi="fr-FR"/>
        </w:rPr>
        <w:t>ment</w:t>
      </w:r>
      <w:r>
        <w:rPr>
          <w:lang w:eastAsia="fr-FR" w:bidi="fr-FR"/>
        </w:rPr>
        <w:t> — </w:t>
      </w:r>
      <w:r w:rsidRPr="000F765B">
        <w:rPr>
          <w:lang w:eastAsia="fr-FR" w:bidi="fr-FR"/>
        </w:rPr>
        <w:t xml:space="preserve">l’ouverture des mines de l’Europe centrale, qui furent, au </w:t>
      </w:r>
      <w:r w:rsidRPr="007B0E19">
        <w:rPr>
          <w:caps/>
          <w:lang w:eastAsia="fr-FR" w:bidi="fr-FR"/>
        </w:rPr>
        <w:t>xvi</w:t>
      </w:r>
      <w:r w:rsidRPr="000F765B">
        <w:rPr>
          <w:vertAlign w:val="superscript"/>
          <w:lang w:eastAsia="fr-FR" w:bidi="fr-FR"/>
        </w:rPr>
        <w:t>e</w:t>
      </w:r>
      <w:r w:rsidRPr="000F765B">
        <w:rPr>
          <w:lang w:eastAsia="fr-FR" w:bidi="fr-FR"/>
        </w:rPr>
        <w:t xml:space="preserve"> siècle, la première source où s’alimenta l’accroissement du n</w:t>
      </w:r>
      <w:r w:rsidRPr="000F765B">
        <w:rPr>
          <w:lang w:eastAsia="fr-FR" w:bidi="fr-FR"/>
        </w:rPr>
        <w:t>u</w:t>
      </w:r>
      <w:r w:rsidRPr="000F765B">
        <w:rPr>
          <w:lang w:eastAsia="fr-FR" w:bidi="fr-FR"/>
        </w:rPr>
        <w:t xml:space="preserve">méraire, n’eut pas d’autre cause : la pénurie des moyens de paiement avait été, pour les deux derniers siècles du Moyen </w:t>
      </w:r>
      <w:r>
        <w:rPr>
          <w:lang w:eastAsia="fr-FR" w:bidi="fr-FR"/>
        </w:rPr>
        <w:t>Â</w:t>
      </w:r>
      <w:r w:rsidRPr="000F765B">
        <w:rPr>
          <w:lang w:eastAsia="fr-FR" w:bidi="fr-FR"/>
        </w:rPr>
        <w:t>ge, une gêne sans cesse croissante ; le désir d’y remédier était</w:t>
      </w:r>
      <w:r>
        <w:t xml:space="preserve"> [</w:t>
      </w:r>
      <w:r w:rsidRPr="000F765B">
        <w:rPr>
          <w:lang w:eastAsia="fr-FR" w:bidi="fr-FR"/>
        </w:rPr>
        <w:t>911</w:t>
      </w:r>
      <w:r>
        <w:rPr>
          <w:lang w:eastAsia="fr-FR" w:bidi="fr-FR"/>
        </w:rPr>
        <w:t xml:space="preserve">] </w:t>
      </w:r>
      <w:r w:rsidRPr="000F765B">
        <w:rPr>
          <w:lang w:eastAsia="fr-FR" w:bidi="fr-FR"/>
        </w:rPr>
        <w:t>général, d’autant que les médecins étaient assurés de tirer grand profit du remède. Avec ce même souci, les expéditions vers l’Amérique, à leur tour, n’ont pas été sans quelques liens. On oserait donc presque dire qu’ici ce fut bien la phase B qui, arrivée à son point extrême, engendra, spontanément, la phase A. Encore faudrait-il observer que la rencontre d’un prospe</w:t>
      </w:r>
      <w:r w:rsidRPr="000F765B">
        <w:rPr>
          <w:lang w:eastAsia="fr-FR" w:bidi="fr-FR"/>
        </w:rPr>
        <w:t>c</w:t>
      </w:r>
      <w:r w:rsidRPr="000F765B">
        <w:rPr>
          <w:lang w:eastAsia="fr-FR" w:bidi="fr-FR"/>
        </w:rPr>
        <w:t>teur avec un filon ou un placer n’est pas en soi une chose nécessaire ; il aurait fort bien pu, si la gé</w:t>
      </w:r>
      <w:r w:rsidRPr="000F765B">
        <w:rPr>
          <w:lang w:eastAsia="fr-FR" w:bidi="fr-FR"/>
        </w:rPr>
        <w:t>o</w:t>
      </w:r>
      <w:r w:rsidRPr="000F765B">
        <w:rPr>
          <w:lang w:eastAsia="fr-FR" w:bidi="fr-FR"/>
        </w:rPr>
        <w:t>logie en avait ainsi décidé, ne pas exister d’or en Amérique. La collision de deux chaînes de phénomènes, ch</w:t>
      </w:r>
      <w:r w:rsidRPr="000F765B">
        <w:rPr>
          <w:lang w:eastAsia="fr-FR" w:bidi="fr-FR"/>
        </w:rPr>
        <w:t>a</w:t>
      </w:r>
      <w:r w:rsidRPr="000F765B">
        <w:rPr>
          <w:lang w:eastAsia="fr-FR" w:bidi="fr-FR"/>
        </w:rPr>
        <w:t>cune régie par son déterm</w:t>
      </w:r>
      <w:r w:rsidRPr="000F765B">
        <w:rPr>
          <w:lang w:eastAsia="fr-FR" w:bidi="fr-FR"/>
        </w:rPr>
        <w:t>i</w:t>
      </w:r>
      <w:r w:rsidRPr="000F765B">
        <w:rPr>
          <w:lang w:eastAsia="fr-FR" w:bidi="fr-FR"/>
        </w:rPr>
        <w:t xml:space="preserve">nisme propre, n’est-ce pas, à tout prendre, ce que nous appelons « hasard » ? Quant aux trouvailles qui jalonnent l’histoire des métaux précieux au </w:t>
      </w:r>
      <w:r w:rsidRPr="007B0E19">
        <w:rPr>
          <w:caps/>
          <w:lang w:eastAsia="fr-FR" w:bidi="fr-FR"/>
        </w:rPr>
        <w:t>xix</w:t>
      </w:r>
      <w:r w:rsidRPr="000F765B">
        <w:rPr>
          <w:vertAlign w:val="superscript"/>
          <w:lang w:eastAsia="fr-FR" w:bidi="fr-FR"/>
        </w:rPr>
        <w:t>e</w:t>
      </w:r>
      <w:r w:rsidRPr="000F765B">
        <w:rPr>
          <w:lang w:eastAsia="fr-FR" w:bidi="fr-FR"/>
        </w:rPr>
        <w:t xml:space="preserve"> siècle, je ne sais si elles ont été, en quelque mesure, l’effet d’une pression économique. Au pr</w:t>
      </w:r>
      <w:r w:rsidRPr="000F765B">
        <w:rPr>
          <w:lang w:eastAsia="fr-FR" w:bidi="fr-FR"/>
        </w:rPr>
        <w:t>e</w:t>
      </w:r>
      <w:r w:rsidRPr="000F765B">
        <w:rPr>
          <w:lang w:eastAsia="fr-FR" w:bidi="fr-FR"/>
        </w:rPr>
        <w:t>mier coup d’œil, on ne le voit pas clairement. L’enquête, pourtant, ne serait sans doute pas in</w:t>
      </w:r>
      <w:r w:rsidRPr="000F765B">
        <w:rPr>
          <w:lang w:eastAsia="fr-FR" w:bidi="fr-FR"/>
        </w:rPr>
        <w:t>u</w:t>
      </w:r>
      <w:r w:rsidRPr="000F765B">
        <w:rPr>
          <w:lang w:eastAsia="fr-FR" w:bidi="fr-FR"/>
        </w:rPr>
        <w:t>tile. Seulement, il y faudrait le maniement de documents capables de nous renseign</w:t>
      </w:r>
      <w:r>
        <w:rPr>
          <w:lang w:eastAsia="fr-FR" w:bidi="fr-FR"/>
        </w:rPr>
        <w:t>er sur les préoccupations de 1’</w:t>
      </w:r>
      <w:r w:rsidRPr="000F765B">
        <w:rPr>
          <w:lang w:eastAsia="fr-FR" w:bidi="fr-FR"/>
        </w:rPr>
        <w:t>« agent humain ». Or, de ces documents, M. Simiand</w:t>
      </w:r>
      <w:r>
        <w:rPr>
          <w:lang w:eastAsia="fr-FR" w:bidi="fr-FR"/>
        </w:rPr>
        <w:t> — </w:t>
      </w:r>
      <w:r w:rsidRPr="000F765B">
        <w:rPr>
          <w:lang w:eastAsia="fr-FR" w:bidi="fr-FR"/>
        </w:rPr>
        <w:t>nous a</w:t>
      </w:r>
      <w:r w:rsidRPr="000F765B">
        <w:rPr>
          <w:lang w:eastAsia="fr-FR" w:bidi="fr-FR"/>
        </w:rPr>
        <w:t>u</w:t>
      </w:r>
      <w:r w:rsidRPr="000F765B">
        <w:rPr>
          <w:lang w:eastAsia="fr-FR" w:bidi="fr-FR"/>
        </w:rPr>
        <w:t>rons à y revenir</w:t>
      </w:r>
      <w:r>
        <w:rPr>
          <w:lang w:eastAsia="fr-FR" w:bidi="fr-FR"/>
        </w:rPr>
        <w:t> — </w:t>
      </w:r>
      <w:r w:rsidRPr="000F765B">
        <w:rPr>
          <w:lang w:eastAsia="fr-FR" w:bidi="fr-FR"/>
        </w:rPr>
        <w:t>s’est délib</w:t>
      </w:r>
      <w:r w:rsidRPr="000F765B">
        <w:rPr>
          <w:lang w:eastAsia="fr-FR" w:bidi="fr-FR"/>
        </w:rPr>
        <w:t>é</w:t>
      </w:r>
      <w:r w:rsidRPr="000F765B">
        <w:rPr>
          <w:lang w:eastAsia="fr-FR" w:bidi="fr-FR"/>
        </w:rPr>
        <w:t>rément privé.</w:t>
      </w:r>
    </w:p>
    <w:p w14:paraId="718861CC" w14:textId="77777777" w:rsidR="00B9662D" w:rsidRPr="000F765B" w:rsidRDefault="00B9662D" w:rsidP="00B9662D">
      <w:pPr>
        <w:spacing w:before="120" w:after="120"/>
        <w:jc w:val="both"/>
      </w:pPr>
      <w:r w:rsidRPr="000F765B">
        <w:rPr>
          <w:lang w:eastAsia="fr-FR" w:bidi="fr-FR"/>
        </w:rPr>
        <w:t>Aussi bien le raisonnement auquel il fait appel pour écarter, en une certaine mesure, le soupçon de ce « conditionnement des phases » par un « hasard physique », est d’une nature sensiblement différente. Si je comprends bien</w:t>
      </w:r>
      <w:r>
        <w:rPr>
          <w:lang w:eastAsia="fr-FR" w:bidi="fr-FR"/>
        </w:rPr>
        <w:t> — </w:t>
      </w:r>
      <w:r w:rsidRPr="000F765B">
        <w:rPr>
          <w:lang w:eastAsia="fr-FR" w:bidi="fr-FR"/>
        </w:rPr>
        <w:t>car, arrivée à ce point, l’étude tourne un peu court, sans doute parce qu’elle attend encore ses prolongements</w:t>
      </w:r>
      <w:r>
        <w:rPr>
          <w:lang w:eastAsia="fr-FR" w:bidi="fr-FR"/>
        </w:rPr>
        <w:t> — </w:t>
      </w:r>
      <w:r w:rsidRPr="000F765B">
        <w:rPr>
          <w:lang w:eastAsia="fr-FR" w:bidi="fr-FR"/>
        </w:rPr>
        <w:t>l’argumentation peut se formuler à peu près ainsi. L’expérience pro</w:t>
      </w:r>
      <w:r w:rsidRPr="000F765B">
        <w:rPr>
          <w:lang w:eastAsia="fr-FR" w:bidi="fr-FR"/>
        </w:rPr>
        <w:t>u</w:t>
      </w:r>
      <w:r w:rsidRPr="000F765B">
        <w:rPr>
          <w:lang w:eastAsia="fr-FR" w:bidi="fr-FR"/>
        </w:rPr>
        <w:t>ve que l’augmentation des moyens non convertibles a pratiquement les mêmes effets qu’un afflux de métal. Du moins, l’augmentation « modérée ». Et ici, comment ne pas se demander, en passant, s’il n’eût pas été souhaitable de chercher à définir, avec plus de précision, entre cette juste « modération » et l’excès, la ligne fron</w:t>
      </w:r>
      <w:r w:rsidRPr="000F765B">
        <w:rPr>
          <w:lang w:eastAsia="fr-FR" w:bidi="fr-FR"/>
        </w:rPr>
        <w:lastRenderedPageBreak/>
        <w:t>tière de la vertu économique ? Selon la méthode dont le livre nous donne de si beaux exemples, n’eût-il pas fallu, une fois de plus, à une impression s’efforcer de substituer une mesure ? Le problème ne concerne pas seulement la pratique et l’avenir ; l’interprétation même de l’évolution historique y est intéressée. Mais laissons cette question délicate et, acceptant la proposition, sous sa formule un peu vague, comme r</w:t>
      </w:r>
      <w:r w:rsidRPr="000F765B">
        <w:rPr>
          <w:lang w:eastAsia="fr-FR" w:bidi="fr-FR"/>
        </w:rPr>
        <w:t>é</w:t>
      </w:r>
      <w:r w:rsidRPr="000F765B">
        <w:rPr>
          <w:lang w:eastAsia="fr-FR" w:bidi="fr-FR"/>
        </w:rPr>
        <w:t>pondant à la réalité des faits</w:t>
      </w:r>
      <w:r>
        <w:rPr>
          <w:lang w:eastAsia="fr-FR" w:bidi="fr-FR"/>
        </w:rPr>
        <w:t> — </w:t>
      </w:r>
      <w:r w:rsidRPr="000F765B">
        <w:rPr>
          <w:lang w:eastAsia="fr-FR" w:bidi="fr-FR"/>
        </w:rPr>
        <w:t>ce qui, je crois, est indiscutable</w:t>
      </w:r>
      <w:r>
        <w:rPr>
          <w:lang w:eastAsia="fr-FR" w:bidi="fr-FR"/>
        </w:rPr>
        <w:t> — </w:t>
      </w:r>
      <w:r w:rsidRPr="000F765B">
        <w:rPr>
          <w:lang w:eastAsia="fr-FR" w:bidi="fr-FR"/>
        </w:rPr>
        <w:t>tirons-en les conséquences. Supposons, nous dit M.</w:t>
      </w:r>
      <w:r>
        <w:rPr>
          <w:lang w:eastAsia="fr-FR" w:bidi="fr-FR"/>
        </w:rPr>
        <w:t> </w:t>
      </w:r>
      <w:r w:rsidRPr="000F765B">
        <w:rPr>
          <w:lang w:eastAsia="fr-FR" w:bidi="fr-FR"/>
        </w:rPr>
        <w:t>Simiand, les g</w:t>
      </w:r>
      <w:r w:rsidRPr="000F765B">
        <w:rPr>
          <w:lang w:eastAsia="fr-FR" w:bidi="fr-FR"/>
        </w:rPr>
        <w:t>i</w:t>
      </w:r>
      <w:r w:rsidRPr="000F765B">
        <w:rPr>
          <w:lang w:eastAsia="fr-FR" w:bidi="fr-FR"/>
        </w:rPr>
        <w:t>sements épuisés : les gênes d’une phase B n’en suffiraient pas moins à provoquer une réaction volontaire, capable, par l’introduction d’instruments non convertibles, d’amener le déclenchement d’une nouvelle phase A. Aujourd’hui peut-être. Mais dans le passé ? Adme</w:t>
      </w:r>
      <w:r w:rsidRPr="000F765B">
        <w:rPr>
          <w:lang w:eastAsia="fr-FR" w:bidi="fr-FR"/>
        </w:rPr>
        <w:t>t</w:t>
      </w:r>
      <w:r w:rsidRPr="000F765B">
        <w:rPr>
          <w:lang w:eastAsia="fr-FR" w:bidi="fr-FR"/>
        </w:rPr>
        <w:t xml:space="preserve">trons-nous que si, par exemple, à la fin du </w:t>
      </w:r>
      <w:r>
        <w:rPr>
          <w:lang w:eastAsia="fr-FR" w:bidi="fr-FR"/>
        </w:rPr>
        <w:t>XV</w:t>
      </w:r>
      <w:r w:rsidRPr="000F765B">
        <w:rPr>
          <w:vertAlign w:val="superscript"/>
          <w:lang w:eastAsia="fr-FR" w:bidi="fr-FR"/>
        </w:rPr>
        <w:t>e</w:t>
      </w:r>
      <w:r>
        <w:rPr>
          <w:lang w:eastAsia="fr-FR" w:bidi="fr-FR"/>
        </w:rPr>
        <w:t> </w:t>
      </w:r>
      <w:r w:rsidRPr="000F765B">
        <w:rPr>
          <w:lang w:eastAsia="fr-FR" w:bidi="fr-FR"/>
        </w:rPr>
        <w:t>siècle, on avait dû r</w:t>
      </w:r>
      <w:r w:rsidRPr="000F765B">
        <w:rPr>
          <w:lang w:eastAsia="fr-FR" w:bidi="fr-FR"/>
        </w:rPr>
        <w:t>e</w:t>
      </w:r>
      <w:r w:rsidRPr="000F765B">
        <w:rPr>
          <w:lang w:eastAsia="fr-FR" w:bidi="fr-FR"/>
        </w:rPr>
        <w:t>noncer, définitivement, à administrer à l’économie amaigrie une dose supplémentaire d’or et d’argent, on aurait eu recours, en grand, aux procédés d’inflation, sans accroissement du stock métallique, qu’offrait</w:t>
      </w:r>
      <w:r>
        <w:rPr>
          <w:lang w:eastAsia="fr-FR" w:bidi="fr-FR"/>
        </w:rPr>
        <w:t> — </w:t>
      </w:r>
      <w:r w:rsidRPr="000F765B">
        <w:rPr>
          <w:lang w:eastAsia="fr-FR" w:bidi="fr-FR"/>
        </w:rPr>
        <w:t>nous le verrons</w:t>
      </w:r>
      <w:r>
        <w:rPr>
          <w:lang w:eastAsia="fr-FR" w:bidi="fr-FR"/>
        </w:rPr>
        <w:t> — </w:t>
      </w:r>
      <w:r w:rsidRPr="000F765B">
        <w:rPr>
          <w:lang w:eastAsia="fr-FR" w:bidi="fr-FR"/>
        </w:rPr>
        <w:t>la technique de l’époque ? Ne cédons pas à la tentation de refaire l’histoire. Mais il ne serait certainement pas hors de propos de rechercher quels projets purent être chaque fois conçus, quels efforts tentés, avant les découvertes qui devaient appo</w:t>
      </w:r>
      <w:r w:rsidRPr="000F765B">
        <w:rPr>
          <w:lang w:eastAsia="fr-FR" w:bidi="fr-FR"/>
        </w:rPr>
        <w:t>r</w:t>
      </w:r>
      <w:r w:rsidRPr="000F765B">
        <w:rPr>
          <w:lang w:eastAsia="fr-FR" w:bidi="fr-FR"/>
        </w:rPr>
        <w:t>ter le salut. Là encore, la consultation de ce qu’on me permettra d’appeler les documents d’intention semble s’imposer.</w:t>
      </w:r>
    </w:p>
    <w:p w14:paraId="181CC8DF" w14:textId="77777777" w:rsidR="00B9662D" w:rsidRPr="000F765B" w:rsidRDefault="00B9662D" w:rsidP="00B9662D">
      <w:pPr>
        <w:spacing w:before="120" w:after="120"/>
        <w:jc w:val="both"/>
      </w:pPr>
      <w:r w:rsidRPr="000F765B">
        <w:rPr>
          <w:lang w:eastAsia="fr-FR" w:bidi="fr-FR"/>
        </w:rPr>
        <w:t>La quantité de métal étant supposée invariable, lancer néanmoins</w:t>
      </w:r>
      <w:r>
        <w:t xml:space="preserve"> [912] </w:t>
      </w:r>
      <w:r w:rsidRPr="000F765B">
        <w:rPr>
          <w:lang w:eastAsia="fr-FR" w:bidi="fr-FR"/>
        </w:rPr>
        <w:t>dans l’économie un surcroît de moyens de paiement, le probl</w:t>
      </w:r>
      <w:r w:rsidRPr="000F765B">
        <w:rPr>
          <w:lang w:eastAsia="fr-FR" w:bidi="fr-FR"/>
        </w:rPr>
        <w:t>è</w:t>
      </w:r>
      <w:r w:rsidRPr="000F765B">
        <w:rPr>
          <w:lang w:eastAsia="fr-FR" w:bidi="fr-FR"/>
        </w:rPr>
        <w:t>me n’est pas nouveau. Les solutions non plus. Au regard d’un hist</w:t>
      </w:r>
      <w:r w:rsidRPr="000F765B">
        <w:rPr>
          <w:lang w:eastAsia="fr-FR" w:bidi="fr-FR"/>
        </w:rPr>
        <w:t>o</w:t>
      </w:r>
      <w:r w:rsidRPr="000F765B">
        <w:rPr>
          <w:lang w:eastAsia="fr-FR" w:bidi="fr-FR"/>
        </w:rPr>
        <w:t xml:space="preserve">rien habitué à juger les faits avec quelque recul, l’étonnant est que le </w:t>
      </w:r>
      <w:r w:rsidRPr="007B0E19">
        <w:rPr>
          <w:caps/>
          <w:lang w:eastAsia="fr-FR" w:bidi="fr-FR"/>
        </w:rPr>
        <w:t>xix</w:t>
      </w:r>
      <w:r w:rsidRPr="000F765B">
        <w:rPr>
          <w:vertAlign w:val="superscript"/>
          <w:lang w:eastAsia="fr-FR" w:bidi="fr-FR"/>
        </w:rPr>
        <w:t>e</w:t>
      </w:r>
      <w:r>
        <w:rPr>
          <w:lang w:eastAsia="fr-FR" w:bidi="fr-FR"/>
        </w:rPr>
        <w:t> </w:t>
      </w:r>
      <w:r w:rsidRPr="000F765B">
        <w:rPr>
          <w:lang w:eastAsia="fr-FR" w:bidi="fr-FR"/>
        </w:rPr>
        <w:t>siècle ait connu de si longues périodes où l’augmentation du stock métallique put suffire à celle de la circulation. En dépit de l’Amérique, les trois siècles précédents n’avaient pas, tant s’en faut, ignoré les classiques « affaiblissements », qui, chaque fois, à une e</w:t>
      </w:r>
      <w:r w:rsidRPr="000F765B">
        <w:rPr>
          <w:lang w:eastAsia="fr-FR" w:bidi="fr-FR"/>
        </w:rPr>
        <w:t>x</w:t>
      </w:r>
      <w:r w:rsidRPr="000F765B">
        <w:rPr>
          <w:lang w:eastAsia="fr-FR" w:bidi="fr-FR"/>
        </w:rPr>
        <w:t>pression fixe en monnaie de compte faisaient correspondre une so</w:t>
      </w:r>
      <w:r w:rsidRPr="000F765B">
        <w:rPr>
          <w:lang w:eastAsia="fr-FR" w:bidi="fr-FR"/>
        </w:rPr>
        <w:t>m</w:t>
      </w:r>
      <w:r w:rsidRPr="000F765B">
        <w:rPr>
          <w:lang w:eastAsia="fr-FR" w:bidi="fr-FR"/>
        </w:rPr>
        <w:t xml:space="preserve">me de métal moindre que par le passé. Chacun voit bien que le </w:t>
      </w:r>
      <w:r w:rsidRPr="007B0E19">
        <w:rPr>
          <w:caps/>
          <w:lang w:eastAsia="fr-FR" w:bidi="fr-FR"/>
        </w:rPr>
        <w:t>xx</w:t>
      </w:r>
      <w:r w:rsidRPr="000F765B">
        <w:rPr>
          <w:vertAlign w:val="superscript"/>
          <w:lang w:eastAsia="fr-FR" w:bidi="fr-FR"/>
        </w:rPr>
        <w:t>e</w:t>
      </w:r>
      <w:r w:rsidRPr="000F765B">
        <w:rPr>
          <w:lang w:eastAsia="fr-FR" w:bidi="fr-FR"/>
        </w:rPr>
        <w:t xml:space="preserve"> siècle ne les ignore pas non plus, et lorsque, désormais, nous expliqu</w:t>
      </w:r>
      <w:r w:rsidRPr="000F765B">
        <w:rPr>
          <w:lang w:eastAsia="fr-FR" w:bidi="fr-FR"/>
        </w:rPr>
        <w:t>e</w:t>
      </w:r>
      <w:r w:rsidRPr="000F765B">
        <w:rPr>
          <w:lang w:eastAsia="fr-FR" w:bidi="fr-FR"/>
        </w:rPr>
        <w:t>rons à nos étudiants ce genre de « mutation », la référence sera aisée à la loi américaine, qui a remis au président Roosevelt l</w:t>
      </w:r>
      <w:r>
        <w:rPr>
          <w:lang w:eastAsia="fr-FR" w:bidi="fr-FR"/>
        </w:rPr>
        <w:t>e pouvoir d’abaisser jusqu’à 50</w:t>
      </w:r>
      <w:r w:rsidRPr="000F765B">
        <w:rPr>
          <w:lang w:eastAsia="fr-FR" w:bidi="fr-FR"/>
        </w:rPr>
        <w:t xml:space="preserve">% le titre du dollar. Éclairés par l’exposé de M. Simiand, les historiens auront à rechercher si ces opérations eurent dans le passé des effets semblables à ceux qu’il nous montre liés aux </w:t>
      </w:r>
      <w:r w:rsidRPr="000F765B">
        <w:rPr>
          <w:lang w:eastAsia="fr-FR" w:bidi="fr-FR"/>
        </w:rPr>
        <w:lastRenderedPageBreak/>
        <w:t xml:space="preserve">ondes montantes de la courbe monétaire, durant le </w:t>
      </w:r>
      <w:r w:rsidRPr="00143818">
        <w:rPr>
          <w:smallCaps/>
          <w:lang w:eastAsia="fr-FR" w:bidi="fr-FR"/>
        </w:rPr>
        <w:t>xix</w:t>
      </w:r>
      <w:r w:rsidRPr="000F765B">
        <w:rPr>
          <w:vertAlign w:val="superscript"/>
          <w:lang w:eastAsia="fr-FR" w:bidi="fr-FR"/>
        </w:rPr>
        <w:t>e</w:t>
      </w:r>
      <w:r w:rsidRPr="000F765B">
        <w:rPr>
          <w:lang w:eastAsia="fr-FR" w:bidi="fr-FR"/>
        </w:rPr>
        <w:t xml:space="preserve"> siècle et le début du </w:t>
      </w:r>
      <w:r w:rsidRPr="007B0E19">
        <w:rPr>
          <w:caps/>
          <w:lang w:eastAsia="fr-FR" w:bidi="fr-FR"/>
        </w:rPr>
        <w:t>xx</w:t>
      </w:r>
      <w:r w:rsidRPr="000F765B">
        <w:rPr>
          <w:vertAlign w:val="superscript"/>
          <w:lang w:eastAsia="fr-FR" w:bidi="fr-FR"/>
        </w:rPr>
        <w:t>e</w:t>
      </w:r>
      <w:r w:rsidRPr="000F765B">
        <w:rPr>
          <w:lang w:eastAsia="fr-FR" w:bidi="fr-FR"/>
        </w:rPr>
        <w:t>. On le sait cependant : encore que des considérations proprement économiques ne leur aient sans doute pas été toujours au</w:t>
      </w:r>
      <w:r w:rsidRPr="000F765B">
        <w:rPr>
          <w:lang w:eastAsia="fr-FR" w:bidi="fr-FR"/>
        </w:rPr>
        <w:t>s</w:t>
      </w:r>
      <w:r w:rsidRPr="000F765B">
        <w:rPr>
          <w:lang w:eastAsia="fr-FR" w:bidi="fr-FR"/>
        </w:rPr>
        <w:t>si étrangères qu’on veut bien le dire, ces affaiblissements d’antan, pas plus que l’inflation-papier d’aujourd’hui, ne se proposaient point pour objet essentiel un tonique à la production. Gains de l’État : le motif est de tous les temps. Bénéfice pour les débiteurs aussi, comme motif souvent et, invariablement, comme résultat. Il n’entrait pas dans le dessein de M. Simiand d’étudier, en détail, les répercussions des crues monétaires sur la structure sociale. Peut-être, néanmoins, eût-il pu i</w:t>
      </w:r>
      <w:r w:rsidRPr="000F765B">
        <w:rPr>
          <w:lang w:eastAsia="fr-FR" w:bidi="fr-FR"/>
        </w:rPr>
        <w:t>n</w:t>
      </w:r>
      <w:r w:rsidRPr="000F765B">
        <w:rPr>
          <w:lang w:eastAsia="fr-FR" w:bidi="fr-FR"/>
        </w:rPr>
        <w:t>sister davantage sur ce gros problème des dettes. Il a défini le progrès économique comme une succession de déséquilibres. Y aurait-il trop d’humour à vouloir le définir, à notre tour, comme une succession de banqueroutes ? La première en date, ou peu s’en faut, fut celle des t</w:t>
      </w:r>
      <w:r w:rsidRPr="000F765B">
        <w:rPr>
          <w:lang w:eastAsia="fr-FR" w:bidi="fr-FR"/>
        </w:rPr>
        <w:t>e</w:t>
      </w:r>
      <w:r w:rsidRPr="000F765B">
        <w:rPr>
          <w:lang w:eastAsia="fr-FR" w:bidi="fr-FR"/>
        </w:rPr>
        <w:t>nanciers des seigneuries, astreints à des paiements dont l’expression monétaire demeurait stable, alors que leur valeur intrinsèque décroi</w:t>
      </w:r>
      <w:r w:rsidRPr="000F765B">
        <w:rPr>
          <w:lang w:eastAsia="fr-FR" w:bidi="fr-FR"/>
        </w:rPr>
        <w:t>s</w:t>
      </w:r>
      <w:r w:rsidRPr="000F765B">
        <w:rPr>
          <w:lang w:eastAsia="fr-FR" w:bidi="fr-FR"/>
        </w:rPr>
        <w:t>sait presque sans trêve. Quant aux dernières, elles n’ont guère besoin d’être évoquées autrement que d’un mot...</w:t>
      </w:r>
    </w:p>
    <w:p w14:paraId="2352CCEF" w14:textId="77777777" w:rsidR="00B9662D" w:rsidRPr="000F765B" w:rsidRDefault="00B9662D" w:rsidP="00B9662D">
      <w:pPr>
        <w:spacing w:before="120" w:after="120"/>
        <w:jc w:val="both"/>
      </w:pPr>
      <w:r w:rsidRPr="000F765B">
        <w:rPr>
          <w:lang w:eastAsia="fr-FR" w:bidi="fr-FR"/>
        </w:rPr>
        <w:t>Mais voici que je me suis laissé aller à parler de valeur intrinsèque. M. Simiand, nous le savons, n’y consent point. Ce nominalisme m</w:t>
      </w:r>
      <w:r w:rsidRPr="000F765B">
        <w:rPr>
          <w:lang w:eastAsia="fr-FR" w:bidi="fr-FR"/>
        </w:rPr>
        <w:t>o</w:t>
      </w:r>
      <w:r w:rsidRPr="000F765B">
        <w:rPr>
          <w:lang w:eastAsia="fr-FR" w:bidi="fr-FR"/>
        </w:rPr>
        <w:t>nétaire appellera certainement la controverse. Une discussion en règle serait d’ailleurs prématurée : la recherche et la démonstration, sur ce</w:t>
      </w:r>
      <w:r w:rsidRPr="000F765B">
        <w:rPr>
          <w:lang w:eastAsia="fr-FR" w:bidi="fr-FR"/>
        </w:rPr>
        <w:t>t</w:t>
      </w:r>
      <w:r w:rsidRPr="000F765B">
        <w:rPr>
          <w:lang w:eastAsia="fr-FR" w:bidi="fr-FR"/>
        </w:rPr>
        <w:t>te partie de la thèse, ne semblent encore qu’amorcées. D’ores et déjà, cependant, l’accent doit être mis sur un problème de documentation, que, plusieurs fois déjà, j’ai eu l’occasion d’effleurer. Reprenons la justification que M. Simiand nous donne de son hostilité à toute r</w:t>
      </w:r>
      <w:r w:rsidRPr="000F765B">
        <w:rPr>
          <w:lang w:eastAsia="fr-FR" w:bidi="fr-FR"/>
        </w:rPr>
        <w:t>é</w:t>
      </w:r>
      <w:r w:rsidRPr="000F765B">
        <w:rPr>
          <w:lang w:eastAsia="fr-FR" w:bidi="fr-FR"/>
        </w:rPr>
        <w:t>duction du salaire en pouvoir d’achat. « Si, écrit-il, lorsqu’il est déba</w:t>
      </w:r>
      <w:r w:rsidRPr="000F765B">
        <w:rPr>
          <w:lang w:eastAsia="fr-FR" w:bidi="fr-FR"/>
        </w:rPr>
        <w:t>t</w:t>
      </w:r>
      <w:r w:rsidRPr="000F765B">
        <w:rPr>
          <w:lang w:eastAsia="fr-FR" w:bidi="fr-FR"/>
        </w:rPr>
        <w:t>tu d’une modification de salaires de cinquante centimes ou d’un franc, par exemple, il n’est pas effectivement constaté, dans l’esprit de ceux qui la débattent, une représentation explicite d’une quotité précise de pain, viande, vêtement, logement, etc., exactement correspondante à ces cinquante centimes ou à ce franc, c’est dire que l’expression du salaire en biens de consommation, dite salaire réel, n’est pas à pr</w:t>
      </w:r>
      <w:r w:rsidRPr="000F765B">
        <w:rPr>
          <w:lang w:eastAsia="fr-FR" w:bidi="fr-FR"/>
        </w:rPr>
        <w:t>o</w:t>
      </w:r>
      <w:r w:rsidRPr="000F765B">
        <w:rPr>
          <w:lang w:eastAsia="fr-FR" w:bidi="fr-FR"/>
        </w:rPr>
        <w:t>prement parler un fait. » Si... Qui ne voit que ce « si »</w:t>
      </w:r>
      <w:r>
        <w:rPr>
          <w:lang w:eastAsia="fr-FR" w:bidi="fr-FR"/>
        </w:rPr>
        <w:t> — </w:t>
      </w:r>
      <w:r w:rsidRPr="000F765B">
        <w:rPr>
          <w:lang w:eastAsia="fr-FR" w:bidi="fr-FR"/>
        </w:rPr>
        <w:t>là est préc</w:t>
      </w:r>
      <w:r w:rsidRPr="000F765B">
        <w:rPr>
          <w:lang w:eastAsia="fr-FR" w:bidi="fr-FR"/>
        </w:rPr>
        <w:t>i</w:t>
      </w:r>
      <w:r w:rsidRPr="000F765B">
        <w:rPr>
          <w:lang w:eastAsia="fr-FR" w:bidi="fr-FR"/>
        </w:rPr>
        <w:t>sément ce qu’il conviendrait, avant tout, d’élucider ? Mais, en pareille matière, les chiffres sont, de toute évidence, impuissants. Ce sont des empreintes d’autre sorte qu’ont laissées les désirs,</w:t>
      </w:r>
      <w:r>
        <w:rPr>
          <w:lang w:eastAsia="fr-FR" w:bidi="fr-FR"/>
        </w:rPr>
        <w:t xml:space="preserve"> </w:t>
      </w:r>
      <w:r>
        <w:t>[</w:t>
      </w:r>
      <w:r w:rsidRPr="000F765B">
        <w:rPr>
          <w:lang w:eastAsia="fr-FR" w:bidi="fr-FR"/>
        </w:rPr>
        <w:t>913</w:t>
      </w:r>
      <w:r>
        <w:rPr>
          <w:lang w:eastAsia="fr-FR" w:bidi="fr-FR"/>
        </w:rPr>
        <w:t xml:space="preserve">] </w:t>
      </w:r>
      <w:r w:rsidRPr="000F765B">
        <w:rPr>
          <w:lang w:eastAsia="fr-FR" w:bidi="fr-FR"/>
        </w:rPr>
        <w:t xml:space="preserve">les craintes, les préjugés des hommes, toutes ces </w:t>
      </w:r>
      <w:r w:rsidRPr="000F765B">
        <w:rPr>
          <w:lang w:eastAsia="fr-FR" w:bidi="fr-FR"/>
        </w:rPr>
        <w:lastRenderedPageBreak/>
        <w:t>idées ou tous ces sentiments où nous reconnaissons, unanimement, les moteurs pr</w:t>
      </w:r>
      <w:r w:rsidRPr="000F765B">
        <w:rPr>
          <w:lang w:eastAsia="fr-FR" w:bidi="fr-FR"/>
        </w:rPr>
        <w:t>o</w:t>
      </w:r>
      <w:r w:rsidRPr="000F765B">
        <w:rPr>
          <w:lang w:eastAsia="fr-FR" w:bidi="fr-FR"/>
        </w:rPr>
        <w:t>fonds de l’histoire. Image brouillée et trop souvent suspecte ? D’accord. Il faudrait être un bien piètre historien pour ne pas l’avoir cent fois éprouvé. Prenons-y garde, cependant : estimer que l’imperfection d’un document en commande l’abandon n’équivaudrait à rien de moins qu’à renier la critique du témoignage, fidèle outil des sciences humaines et, par o</w:t>
      </w:r>
      <w:r w:rsidRPr="000F765B">
        <w:rPr>
          <w:lang w:eastAsia="fr-FR" w:bidi="fr-FR"/>
        </w:rPr>
        <w:t>p</w:t>
      </w:r>
      <w:r w:rsidRPr="000F765B">
        <w:rPr>
          <w:lang w:eastAsia="fr-FR" w:bidi="fr-FR"/>
        </w:rPr>
        <w:t>position aux sciences de la nature, l’instrument original de nos exp</w:t>
      </w:r>
      <w:r w:rsidRPr="000F765B">
        <w:rPr>
          <w:lang w:eastAsia="fr-FR" w:bidi="fr-FR"/>
        </w:rPr>
        <w:t>é</w:t>
      </w:r>
      <w:r w:rsidRPr="000F765B">
        <w:rPr>
          <w:lang w:eastAsia="fr-FR" w:bidi="fr-FR"/>
        </w:rPr>
        <w:t>riences. Les nombres eux-mêmes, après tout, ne nous donnent pas de la réalité une représentation to</w:t>
      </w:r>
      <w:r w:rsidRPr="000F765B">
        <w:rPr>
          <w:lang w:eastAsia="fr-FR" w:bidi="fr-FR"/>
        </w:rPr>
        <w:t>u</w:t>
      </w:r>
      <w:r w:rsidRPr="000F765B">
        <w:rPr>
          <w:lang w:eastAsia="fr-FR" w:bidi="fr-FR"/>
        </w:rPr>
        <w:t>jours exacte, ni surtout qu’il suffise de reproduire mécaniquement. Après avoir lu M. Simiand</w:t>
      </w:r>
      <w:r>
        <w:rPr>
          <w:lang w:eastAsia="fr-FR" w:bidi="fr-FR"/>
        </w:rPr>
        <w:t> — </w:t>
      </w:r>
      <w:r w:rsidRPr="000F765B">
        <w:rPr>
          <w:lang w:eastAsia="fr-FR" w:bidi="fr-FR"/>
        </w:rPr>
        <w:t>nous le n</w:t>
      </w:r>
      <w:r w:rsidRPr="000F765B">
        <w:rPr>
          <w:lang w:eastAsia="fr-FR" w:bidi="fr-FR"/>
        </w:rPr>
        <w:t>o</w:t>
      </w:r>
      <w:r w:rsidRPr="000F765B">
        <w:rPr>
          <w:lang w:eastAsia="fr-FR" w:bidi="fr-FR"/>
        </w:rPr>
        <w:t>tions plus haut</w:t>
      </w:r>
      <w:r>
        <w:rPr>
          <w:lang w:eastAsia="fr-FR" w:bidi="fr-FR"/>
        </w:rPr>
        <w:t> — </w:t>
      </w:r>
      <w:r w:rsidRPr="000F765B">
        <w:rPr>
          <w:lang w:eastAsia="fr-FR" w:bidi="fr-FR"/>
        </w:rPr>
        <w:t>comment douter que leur interprétation n’exige, avec une rare faculté de disce</w:t>
      </w:r>
      <w:r w:rsidRPr="000F765B">
        <w:rPr>
          <w:lang w:eastAsia="fr-FR" w:bidi="fr-FR"/>
        </w:rPr>
        <w:t>r</w:t>
      </w:r>
      <w:r w:rsidRPr="000F765B">
        <w:rPr>
          <w:lang w:eastAsia="fr-FR" w:bidi="fr-FR"/>
        </w:rPr>
        <w:t>nement, les légitimes hardiesses d’une imagination constructive ? Tout comme l’interprétation des textes.</w:t>
      </w:r>
    </w:p>
    <w:p w14:paraId="3A8CAFF6" w14:textId="77777777" w:rsidR="00B9662D" w:rsidRPr="000F765B" w:rsidRDefault="00B9662D" w:rsidP="00B9662D">
      <w:pPr>
        <w:spacing w:before="120" w:after="120"/>
        <w:jc w:val="both"/>
      </w:pPr>
      <w:r w:rsidRPr="000F765B">
        <w:rPr>
          <w:lang w:eastAsia="fr-FR" w:bidi="fr-FR"/>
        </w:rPr>
        <w:t>En vérité, ne tenir pour « objectif » que le numérique ne contrai</w:t>
      </w:r>
      <w:r w:rsidRPr="000F765B">
        <w:rPr>
          <w:lang w:eastAsia="fr-FR" w:bidi="fr-FR"/>
        </w:rPr>
        <w:t>n</w:t>
      </w:r>
      <w:r w:rsidRPr="000F765B">
        <w:rPr>
          <w:lang w:eastAsia="fr-FR" w:bidi="fr-FR"/>
        </w:rPr>
        <w:t xml:space="preserve">drait pas seulement à excommunier, d’un bloc, bien des aspects de la sociologie, ou de l’histoire : la sociologie religieuse notamment. Ce serait, tout autant, vouer à un arrêt fatal la sociologie économique elle-même. Nous saisissons, au début du </w:t>
      </w:r>
      <w:r w:rsidRPr="007B0E19">
        <w:rPr>
          <w:caps/>
          <w:lang w:eastAsia="fr-FR" w:bidi="fr-FR"/>
        </w:rPr>
        <w:t>xv</w:t>
      </w:r>
      <w:r w:rsidRPr="000F765B">
        <w:rPr>
          <w:vertAlign w:val="superscript"/>
          <w:lang w:eastAsia="fr-FR" w:bidi="fr-FR"/>
        </w:rPr>
        <w:t>e</w:t>
      </w:r>
      <w:r w:rsidRPr="000F765B">
        <w:rPr>
          <w:lang w:eastAsia="fr-FR" w:bidi="fr-FR"/>
        </w:rPr>
        <w:t xml:space="preserve"> siècle, le moment où, pour la première fois, semble-t-il, les seigneurs réalisèrent que, sous la même expression monétaire qu’autrefois, leurs sujets ne leur versaient plus que des sommes pourvues d’un pouvoir d’achat beaucoup moindre. Nous avons tous vu, durant la grande inflation de l’après-guerre, notre entourage prendre peu à peu conscience de l’affaiblissement des in</w:t>
      </w:r>
      <w:r w:rsidRPr="000F765B">
        <w:rPr>
          <w:lang w:eastAsia="fr-FR" w:bidi="fr-FR"/>
        </w:rPr>
        <w:t>s</w:t>
      </w:r>
      <w:r w:rsidRPr="000F765B">
        <w:rPr>
          <w:lang w:eastAsia="fr-FR" w:bidi="fr-FR"/>
        </w:rPr>
        <w:t>truments d’échange et en tirer les conséquences ; nous avons pu suivre alors, à travers les différents milieux sociaux, plus ou moins lents à réagir, les progrès d’un sentiment d’insécurité, où se mêlait, semble-t-il</w:t>
      </w:r>
      <w:r>
        <w:rPr>
          <w:lang w:eastAsia="fr-FR" w:bidi="fr-FR"/>
        </w:rPr>
        <w:t>, à côté de la perception de 1’</w:t>
      </w:r>
      <w:r w:rsidRPr="000F765B">
        <w:rPr>
          <w:lang w:eastAsia="fr-FR" w:bidi="fr-FR"/>
        </w:rPr>
        <w:t>« imprévisibilité », l’obscure angoisse de ne plus étreindre qu’un nom. Ces faits psychologiques, sont-ce là des faits indifférents ? Or, il en reste des traces : dans des écrits, p</w:t>
      </w:r>
      <w:r w:rsidRPr="000F765B">
        <w:rPr>
          <w:lang w:eastAsia="fr-FR" w:bidi="fr-FR"/>
        </w:rPr>
        <w:t>u</w:t>
      </w:r>
      <w:r w:rsidRPr="000F765B">
        <w:rPr>
          <w:lang w:eastAsia="fr-FR" w:bidi="fr-FR"/>
        </w:rPr>
        <w:t>blics ou privés, des déclarations collectives, des lettres, des essais de comptabilité</w:t>
      </w:r>
      <w:r>
        <w:rPr>
          <w:lang w:eastAsia="fr-FR" w:bidi="fr-FR"/>
        </w:rPr>
        <w:t> — </w:t>
      </w:r>
      <w:r w:rsidRPr="000F765B">
        <w:rPr>
          <w:lang w:eastAsia="fr-FR" w:bidi="fr-FR"/>
        </w:rPr>
        <w:t>documents qui ne peuvent se compter, mais peuvent et doivent se peser. Revenons au salaire. L’ouvrier le calcule-t-il ou non en marchandises ? Nous le saurons peut-être un jour, ou, au pis, nous saurons que nous ne pouvons pas le savoir, ou encore, plus pr</w:t>
      </w:r>
      <w:r w:rsidRPr="000F765B">
        <w:rPr>
          <w:lang w:eastAsia="fr-FR" w:bidi="fr-FR"/>
        </w:rPr>
        <w:t>o</w:t>
      </w:r>
      <w:r w:rsidRPr="000F765B">
        <w:rPr>
          <w:lang w:eastAsia="fr-FR" w:bidi="fr-FR"/>
        </w:rPr>
        <w:t>bablement, nous nous apercevrons que la réponse doit varier selon les moments</w:t>
      </w:r>
      <w:r>
        <w:rPr>
          <w:lang w:eastAsia="fr-FR" w:bidi="fr-FR"/>
        </w:rPr>
        <w:t> — </w:t>
      </w:r>
      <w:r w:rsidRPr="000F765B">
        <w:rPr>
          <w:lang w:eastAsia="fr-FR" w:bidi="fr-FR"/>
        </w:rPr>
        <w:t>j’ai connu, aux temps aigus de l’inflation, une domest</w:t>
      </w:r>
      <w:r w:rsidRPr="000F765B">
        <w:rPr>
          <w:lang w:eastAsia="fr-FR" w:bidi="fr-FR"/>
        </w:rPr>
        <w:t>i</w:t>
      </w:r>
      <w:r w:rsidRPr="000F765B">
        <w:rPr>
          <w:lang w:eastAsia="fr-FR" w:bidi="fr-FR"/>
        </w:rPr>
        <w:t xml:space="preserve">que qui, assurément, envisageait dans son « mois » tout autre chose </w:t>
      </w:r>
      <w:r w:rsidRPr="000F765B">
        <w:rPr>
          <w:lang w:eastAsia="fr-FR" w:bidi="fr-FR"/>
        </w:rPr>
        <w:lastRenderedPageBreak/>
        <w:t>qu’une valeur « d’anticipation », puisqu’elle le remployait, sans d</w:t>
      </w:r>
      <w:r w:rsidRPr="000F765B">
        <w:rPr>
          <w:lang w:eastAsia="fr-FR" w:bidi="fr-FR"/>
        </w:rPr>
        <w:t>é</w:t>
      </w:r>
      <w:r w:rsidRPr="000F765B">
        <w:rPr>
          <w:lang w:eastAsia="fr-FR" w:bidi="fr-FR"/>
        </w:rPr>
        <w:t>semparer, en achats de linges ou de meubles.</w:t>
      </w:r>
      <w:r>
        <w:rPr>
          <w:lang w:eastAsia="fr-FR" w:bidi="fr-FR"/>
        </w:rPr>
        <w:t> — </w:t>
      </w:r>
      <w:r w:rsidRPr="000F765B">
        <w:rPr>
          <w:lang w:eastAsia="fr-FR" w:bidi="fr-FR"/>
        </w:rPr>
        <w:t>Mais cette connai</w:t>
      </w:r>
      <w:r w:rsidRPr="000F765B">
        <w:rPr>
          <w:lang w:eastAsia="fr-FR" w:bidi="fr-FR"/>
        </w:rPr>
        <w:t>s</w:t>
      </w:r>
      <w:r w:rsidRPr="000F765B">
        <w:rPr>
          <w:lang w:eastAsia="fr-FR" w:bidi="fr-FR"/>
        </w:rPr>
        <w:t>sance, positive ou négative, nous ne l’obtiendrons qu’en nous adre</w:t>
      </w:r>
      <w:r w:rsidRPr="000F765B">
        <w:rPr>
          <w:lang w:eastAsia="fr-FR" w:bidi="fr-FR"/>
        </w:rPr>
        <w:t>s</w:t>
      </w:r>
      <w:r w:rsidRPr="000F765B">
        <w:rPr>
          <w:lang w:eastAsia="fr-FR" w:bidi="fr-FR"/>
        </w:rPr>
        <w:t>sant aux textes capables de nous révéler l’opinion de la classe ouvri</w:t>
      </w:r>
      <w:r w:rsidRPr="000F765B">
        <w:rPr>
          <w:lang w:eastAsia="fr-FR" w:bidi="fr-FR"/>
        </w:rPr>
        <w:t>è</w:t>
      </w:r>
      <w:r w:rsidRPr="000F765B">
        <w:rPr>
          <w:lang w:eastAsia="fr-FR" w:bidi="fr-FR"/>
        </w:rPr>
        <w:t>re.</w:t>
      </w:r>
    </w:p>
    <w:p w14:paraId="4247409E" w14:textId="77777777" w:rsidR="00B9662D" w:rsidRPr="000F765B" w:rsidRDefault="00B9662D" w:rsidP="00B9662D">
      <w:pPr>
        <w:spacing w:before="120" w:after="120"/>
        <w:jc w:val="both"/>
      </w:pPr>
      <w:r w:rsidRPr="000F765B">
        <w:rPr>
          <w:lang w:eastAsia="fr-FR" w:bidi="fr-FR"/>
        </w:rPr>
        <w:t>L’observation, on le sent, devrait être élargie. Les phénomènes de répercussion économique, par exemple, dont M. Simiand a si bien démonté le mécanisme</w:t>
      </w:r>
      <w:r>
        <w:rPr>
          <w:lang w:eastAsia="fr-FR" w:bidi="fr-FR"/>
        </w:rPr>
        <w:t> — </w:t>
      </w:r>
      <w:r w:rsidRPr="000F765B">
        <w:rPr>
          <w:lang w:eastAsia="fr-FR" w:bidi="fr-FR"/>
        </w:rPr>
        <w:t>retentissement des prix sur les salaires, la production, la technique</w:t>
      </w:r>
      <w:r>
        <w:rPr>
          <w:lang w:eastAsia="fr-FR" w:bidi="fr-FR"/>
        </w:rPr>
        <w:t> — </w:t>
      </w:r>
      <w:r w:rsidRPr="000F765B">
        <w:rPr>
          <w:lang w:eastAsia="fr-FR" w:bidi="fr-FR"/>
        </w:rPr>
        <w:t>comment croire que leur analyse ne pou</w:t>
      </w:r>
      <w:r w:rsidRPr="000F765B">
        <w:rPr>
          <w:lang w:eastAsia="fr-FR" w:bidi="fr-FR"/>
        </w:rPr>
        <w:t>r</w:t>
      </w:r>
      <w:r w:rsidRPr="000F765B">
        <w:rPr>
          <w:lang w:eastAsia="fr-FR" w:bidi="fr-FR"/>
        </w:rPr>
        <w:t>rait être encore précisée et rendue plus convaincante par un appel ra</w:t>
      </w:r>
      <w:r w:rsidRPr="000F765B">
        <w:rPr>
          <w:lang w:eastAsia="fr-FR" w:bidi="fr-FR"/>
        </w:rPr>
        <w:t>i</w:t>
      </w:r>
      <w:r w:rsidRPr="000F765B">
        <w:rPr>
          <w:lang w:eastAsia="fr-FR" w:bidi="fr-FR"/>
        </w:rPr>
        <w:t>sonné aux documents dont j’esquissais plus haut la nature et que, sans les critiquer de front, il a bien lui-même, en quelque façon, présents à l’esprit, lorsqu’il dépeint le jeu des « tendances » humaines : ces t</w:t>
      </w:r>
      <w:r w:rsidRPr="000F765B">
        <w:rPr>
          <w:lang w:eastAsia="fr-FR" w:bidi="fr-FR"/>
        </w:rPr>
        <w:t>é</w:t>
      </w:r>
      <w:r w:rsidRPr="000F765B">
        <w:rPr>
          <w:lang w:eastAsia="fr-FR" w:bidi="fr-FR"/>
        </w:rPr>
        <w:t>moignages, fuyants et précieux,</w:t>
      </w:r>
      <w:r>
        <w:rPr>
          <w:lang w:eastAsia="fr-FR" w:bidi="fr-FR"/>
        </w:rPr>
        <w:t xml:space="preserve"> [914] </w:t>
      </w:r>
      <w:r w:rsidRPr="000F765B">
        <w:rPr>
          <w:lang w:eastAsia="fr-FR" w:bidi="fr-FR"/>
        </w:rPr>
        <w:t>dans lesquels les hommes ont inscrit les raisons de leurs actions ? Telles qu’ils les voyaient, sans doute, ou qu’ils voulaient qu’elles fu</w:t>
      </w:r>
      <w:r w:rsidRPr="000F765B">
        <w:rPr>
          <w:lang w:eastAsia="fr-FR" w:bidi="fr-FR"/>
        </w:rPr>
        <w:t>s</w:t>
      </w:r>
      <w:r w:rsidRPr="000F765B">
        <w:rPr>
          <w:lang w:eastAsia="fr-FR" w:bidi="fr-FR"/>
        </w:rPr>
        <w:t>sent vues. N’importe : illusions et tromperies ne sont-elles pas souvent aussi instructives que des vér</w:t>
      </w:r>
      <w:r w:rsidRPr="000F765B">
        <w:rPr>
          <w:lang w:eastAsia="fr-FR" w:bidi="fr-FR"/>
        </w:rPr>
        <w:t>i</w:t>
      </w:r>
      <w:r w:rsidRPr="000F765B">
        <w:rPr>
          <w:lang w:eastAsia="fr-FR" w:bidi="fr-FR"/>
        </w:rPr>
        <w:t>tés ? Les livres de M. Simiand sous les yeux, aucun historien n’a plus le droit d’ignorer comment il faut m</w:t>
      </w:r>
      <w:r w:rsidRPr="000F765B">
        <w:rPr>
          <w:lang w:eastAsia="fr-FR" w:bidi="fr-FR"/>
        </w:rPr>
        <w:t>a</w:t>
      </w:r>
      <w:r w:rsidRPr="000F765B">
        <w:rPr>
          <w:lang w:eastAsia="fr-FR" w:bidi="fr-FR"/>
        </w:rPr>
        <w:t>nier l’instrument statistique, de méconnaître non plus l’admirable moisson qu’il promet, lorsqu’il est tenu par un maître. Mais</w:t>
      </w:r>
      <w:r>
        <w:rPr>
          <w:lang w:eastAsia="fr-FR" w:bidi="fr-FR"/>
        </w:rPr>
        <w:t> — </w:t>
      </w:r>
      <w:r w:rsidRPr="000F765B">
        <w:rPr>
          <w:lang w:eastAsia="fr-FR" w:bidi="fr-FR"/>
        </w:rPr>
        <w:t>l’auteur, je pense, ne me démentirait point</w:t>
      </w:r>
      <w:r>
        <w:rPr>
          <w:lang w:eastAsia="fr-FR" w:bidi="fr-FR"/>
        </w:rPr>
        <w:t> — </w:t>
      </w:r>
      <w:r w:rsidRPr="000F765B">
        <w:rPr>
          <w:lang w:eastAsia="fr-FR" w:bidi="fr-FR"/>
        </w:rPr>
        <w:t>le flot de suggestions originales, de vues probantes ou f</w:t>
      </w:r>
      <w:r w:rsidRPr="000F765B">
        <w:rPr>
          <w:lang w:eastAsia="fr-FR" w:bidi="fr-FR"/>
        </w:rPr>
        <w:t>é</w:t>
      </w:r>
      <w:r w:rsidRPr="000F765B">
        <w:rPr>
          <w:lang w:eastAsia="fr-FR" w:bidi="fr-FR"/>
        </w:rPr>
        <w:t>condes que nous apporte son œuvre et par où elle est une perpétuelle incitation au travail, l’expérience st</w:t>
      </w:r>
      <w:r w:rsidRPr="000F765B">
        <w:rPr>
          <w:lang w:eastAsia="fr-FR" w:bidi="fr-FR"/>
        </w:rPr>
        <w:t>a</w:t>
      </w:r>
      <w:r w:rsidRPr="000F765B">
        <w:rPr>
          <w:lang w:eastAsia="fr-FR" w:bidi="fr-FR"/>
        </w:rPr>
        <w:t>tistique ne saurait suffire à les épuiser. En collaboration étroite avec elle, d’autres méthodes de r</w:t>
      </w:r>
      <w:r w:rsidRPr="000F765B">
        <w:rPr>
          <w:lang w:eastAsia="fr-FR" w:bidi="fr-FR"/>
        </w:rPr>
        <w:t>e</w:t>
      </w:r>
      <w:r w:rsidRPr="000F765B">
        <w:rPr>
          <w:lang w:eastAsia="fr-FR" w:bidi="fr-FR"/>
        </w:rPr>
        <w:t>cherche, d’autres types d’expérience d</w:t>
      </w:r>
      <w:r w:rsidRPr="000F765B">
        <w:rPr>
          <w:lang w:eastAsia="fr-FR" w:bidi="fr-FR"/>
        </w:rPr>
        <w:t>e</w:t>
      </w:r>
      <w:r w:rsidRPr="000F765B">
        <w:rPr>
          <w:lang w:eastAsia="fr-FR" w:bidi="fr-FR"/>
        </w:rPr>
        <w:t>vront aider à mesurer la valeur des résultats et à les prolonger.</w:t>
      </w:r>
    </w:p>
    <w:p w14:paraId="4286B57B" w14:textId="77777777" w:rsidR="00B9662D" w:rsidRDefault="00B9662D" w:rsidP="00B9662D">
      <w:pPr>
        <w:spacing w:before="120" w:after="120"/>
        <w:ind w:firstLine="0"/>
        <w:jc w:val="both"/>
      </w:pPr>
      <w:r w:rsidRPr="000F765B">
        <w:br w:type="page"/>
      </w:r>
      <w:r>
        <w:lastRenderedPageBreak/>
        <w:t>[915]</w:t>
      </w:r>
    </w:p>
    <w:p w14:paraId="44ECFF7B" w14:textId="77777777" w:rsidR="00B9662D" w:rsidRDefault="00B9662D" w:rsidP="00B9662D">
      <w:pPr>
        <w:spacing w:before="120" w:after="120"/>
        <w:ind w:firstLine="0"/>
        <w:jc w:val="both"/>
      </w:pPr>
    </w:p>
    <w:p w14:paraId="5311FCAE" w14:textId="77777777" w:rsidR="00B9662D" w:rsidRDefault="00B9662D" w:rsidP="00B9662D">
      <w:pPr>
        <w:spacing w:before="120" w:after="120"/>
        <w:ind w:firstLine="0"/>
        <w:jc w:val="both"/>
      </w:pPr>
    </w:p>
    <w:p w14:paraId="741787BC" w14:textId="77777777" w:rsidR="00B9662D" w:rsidRDefault="00B9662D" w:rsidP="00B9662D">
      <w:pPr>
        <w:spacing w:before="120" w:after="120"/>
        <w:ind w:firstLine="0"/>
        <w:jc w:val="both"/>
      </w:pPr>
    </w:p>
    <w:p w14:paraId="45BF200C" w14:textId="77777777" w:rsidR="00B9662D" w:rsidRPr="007B0E19" w:rsidRDefault="00B9662D" w:rsidP="00B9662D">
      <w:pPr>
        <w:spacing w:before="120" w:after="120"/>
        <w:ind w:firstLine="0"/>
        <w:jc w:val="center"/>
        <w:rPr>
          <w:sz w:val="40"/>
        </w:rPr>
      </w:pPr>
      <w:bookmarkStart w:id="46" w:name="Melanges_t2_pt_9"/>
      <w:r w:rsidRPr="007B0E19">
        <w:rPr>
          <w:sz w:val="40"/>
          <w:lang w:eastAsia="fr-FR" w:bidi="fr-FR"/>
        </w:rPr>
        <w:t>NEUVIÈME PARTIE</w:t>
      </w:r>
    </w:p>
    <w:p w14:paraId="503D43A6" w14:textId="77777777" w:rsidR="00B9662D" w:rsidRDefault="00B9662D" w:rsidP="00B9662D">
      <w:pPr>
        <w:spacing w:before="120" w:after="120"/>
        <w:ind w:firstLine="0"/>
        <w:jc w:val="center"/>
        <w:rPr>
          <w:lang w:eastAsia="fr-FR" w:bidi="fr-FR"/>
        </w:rPr>
      </w:pPr>
    </w:p>
    <w:p w14:paraId="59592898" w14:textId="77777777" w:rsidR="00B9662D" w:rsidRPr="007B0E19" w:rsidRDefault="00B9662D" w:rsidP="00B9662D">
      <w:pPr>
        <w:spacing w:before="120" w:after="120"/>
        <w:ind w:firstLine="0"/>
        <w:jc w:val="center"/>
        <w:rPr>
          <w:sz w:val="48"/>
        </w:rPr>
      </w:pPr>
      <w:r>
        <w:rPr>
          <w:sz w:val="48"/>
          <w:lang w:eastAsia="fr-FR" w:bidi="fr-FR"/>
        </w:rPr>
        <w:t>ASPECTS DE</w:t>
      </w:r>
      <w:r w:rsidRPr="007B0E19">
        <w:rPr>
          <w:sz w:val="48"/>
          <w:lang w:eastAsia="fr-FR" w:bidi="fr-FR"/>
        </w:rPr>
        <w:br/>
      </w:r>
      <w:r>
        <w:rPr>
          <w:sz w:val="48"/>
          <w:lang w:eastAsia="fr-FR" w:bidi="fr-FR"/>
        </w:rPr>
        <w:t xml:space="preserve">LA </w:t>
      </w:r>
      <w:r w:rsidRPr="007B0E19">
        <w:rPr>
          <w:sz w:val="48"/>
          <w:lang w:eastAsia="fr-FR" w:bidi="fr-FR"/>
        </w:rPr>
        <w:t>MENTALITÉ MÉDIÉVALE</w:t>
      </w:r>
    </w:p>
    <w:bookmarkEnd w:id="46"/>
    <w:p w14:paraId="4C7741A2" w14:textId="77777777" w:rsidR="00B9662D" w:rsidRDefault="00B9662D" w:rsidP="00B9662D">
      <w:pPr>
        <w:spacing w:before="120" w:after="120"/>
        <w:ind w:firstLine="0"/>
        <w:jc w:val="both"/>
      </w:pPr>
    </w:p>
    <w:p w14:paraId="161DCBB4" w14:textId="77777777" w:rsidR="00B9662D" w:rsidRDefault="00B9662D" w:rsidP="00B9662D">
      <w:pPr>
        <w:spacing w:before="120" w:after="120"/>
        <w:ind w:firstLine="0"/>
        <w:jc w:val="both"/>
      </w:pPr>
    </w:p>
    <w:p w14:paraId="101C88CB" w14:textId="77777777" w:rsidR="00B9662D" w:rsidRDefault="00B9662D" w:rsidP="00B9662D">
      <w:pPr>
        <w:spacing w:before="120" w:after="120"/>
        <w:ind w:firstLine="0"/>
        <w:jc w:val="both"/>
      </w:pPr>
    </w:p>
    <w:p w14:paraId="31B88367" w14:textId="77777777" w:rsidR="00B9662D" w:rsidRDefault="00B9662D" w:rsidP="00B9662D">
      <w:pPr>
        <w:spacing w:before="120" w:after="120"/>
        <w:ind w:firstLine="0"/>
        <w:jc w:val="both"/>
      </w:pPr>
    </w:p>
    <w:p w14:paraId="0E95CDFA" w14:textId="77777777" w:rsidR="00B9662D" w:rsidRDefault="00B9662D" w:rsidP="00B9662D">
      <w:pPr>
        <w:spacing w:before="120" w:after="120"/>
        <w:ind w:firstLine="0"/>
        <w:jc w:val="both"/>
      </w:pPr>
    </w:p>
    <w:p w14:paraId="240BB535" w14:textId="77777777" w:rsidR="00B9662D" w:rsidRDefault="00B9662D" w:rsidP="00B9662D">
      <w:pPr>
        <w:spacing w:before="120" w:after="120"/>
        <w:ind w:firstLine="0"/>
        <w:jc w:val="both"/>
      </w:pPr>
    </w:p>
    <w:p w14:paraId="70336D5F" w14:textId="77777777" w:rsidR="00B9662D" w:rsidRDefault="00B9662D" w:rsidP="00B9662D">
      <w:pPr>
        <w:spacing w:before="120" w:after="120"/>
        <w:ind w:firstLine="0"/>
        <w:jc w:val="both"/>
      </w:pPr>
    </w:p>
    <w:p w14:paraId="7FF7BB69" w14:textId="77777777" w:rsidR="00B9662D" w:rsidRDefault="00B9662D" w:rsidP="00B9662D">
      <w:pPr>
        <w:spacing w:before="120" w:after="120"/>
        <w:ind w:firstLine="0"/>
        <w:jc w:val="both"/>
      </w:pPr>
      <w:r>
        <w:t>[916]</w:t>
      </w:r>
    </w:p>
    <w:p w14:paraId="5DDDAC8B" w14:textId="77777777" w:rsidR="00B9662D" w:rsidRDefault="00B9662D" w:rsidP="00B9662D">
      <w:pPr>
        <w:pStyle w:val="p"/>
      </w:pPr>
      <w:r w:rsidRPr="000F765B">
        <w:br w:type="page"/>
      </w:r>
      <w:r>
        <w:lastRenderedPageBreak/>
        <w:t>[917]</w:t>
      </w:r>
    </w:p>
    <w:p w14:paraId="1C314503" w14:textId="77777777" w:rsidR="00B9662D" w:rsidRDefault="00B9662D" w:rsidP="00B9662D">
      <w:pPr>
        <w:jc w:val="both"/>
      </w:pPr>
    </w:p>
    <w:p w14:paraId="293148E0" w14:textId="77777777" w:rsidR="00B9662D" w:rsidRDefault="00B9662D" w:rsidP="00B9662D">
      <w:pPr>
        <w:jc w:val="both"/>
      </w:pPr>
    </w:p>
    <w:p w14:paraId="62C58979" w14:textId="77777777" w:rsidR="00B9662D" w:rsidRPr="00E07116" w:rsidRDefault="00B9662D" w:rsidP="00B9662D">
      <w:pPr>
        <w:jc w:val="both"/>
      </w:pPr>
    </w:p>
    <w:p w14:paraId="4F37C777" w14:textId="77777777" w:rsidR="00B9662D" w:rsidRPr="00F54CC7" w:rsidRDefault="00B9662D" w:rsidP="00B9662D">
      <w:pPr>
        <w:spacing w:after="120"/>
        <w:ind w:firstLine="0"/>
        <w:jc w:val="center"/>
        <w:rPr>
          <w:sz w:val="24"/>
        </w:rPr>
      </w:pPr>
      <w:bookmarkStart w:id="47" w:name="Melanges_t2_pt_9_chap_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29EBF846" w14:textId="77777777" w:rsidR="00B9662D" w:rsidRPr="00303F6A" w:rsidRDefault="00B9662D" w:rsidP="00B9662D">
      <w:pPr>
        <w:ind w:firstLine="0"/>
        <w:jc w:val="center"/>
        <w:rPr>
          <w:b/>
          <w:color w:val="000080"/>
          <w:sz w:val="24"/>
        </w:rPr>
      </w:pPr>
      <w:r>
        <w:rPr>
          <w:b/>
          <w:color w:val="000080"/>
          <w:sz w:val="24"/>
        </w:rPr>
        <w:t>9</w:t>
      </w:r>
      <w:r w:rsidRPr="00F82135">
        <w:rPr>
          <w:b/>
          <w:color w:val="000080"/>
          <w:sz w:val="24"/>
          <w:vertAlign w:val="superscript"/>
        </w:rPr>
        <w:t>e</w:t>
      </w:r>
      <w:r>
        <w:rPr>
          <w:b/>
          <w:color w:val="000080"/>
          <w:sz w:val="24"/>
        </w:rPr>
        <w:t xml:space="preserve"> PARTIE.</w:t>
      </w:r>
      <w:r>
        <w:rPr>
          <w:b/>
          <w:color w:val="000080"/>
          <w:sz w:val="24"/>
        </w:rPr>
        <w:br/>
        <w:t>ASPECTS DE LA MENTALITÉ MÉDIÉVALE</w:t>
      </w:r>
    </w:p>
    <w:p w14:paraId="5CA05950" w14:textId="77777777" w:rsidR="00B9662D" w:rsidRPr="00384B20" w:rsidRDefault="00B9662D" w:rsidP="00B9662D">
      <w:pPr>
        <w:pStyle w:val="Titreniveau1"/>
      </w:pPr>
      <w:r w:rsidRPr="00384B20">
        <w:t>Chapitre I</w:t>
      </w:r>
    </w:p>
    <w:p w14:paraId="0E8F41A2" w14:textId="77777777" w:rsidR="00B9662D" w:rsidRPr="00E07116" w:rsidRDefault="00B9662D" w:rsidP="00B9662D">
      <w:pPr>
        <w:jc w:val="both"/>
        <w:rPr>
          <w:szCs w:val="36"/>
        </w:rPr>
      </w:pPr>
    </w:p>
    <w:p w14:paraId="28D5A916" w14:textId="77777777" w:rsidR="00B9662D" w:rsidRDefault="00B9662D" w:rsidP="00B9662D">
      <w:pPr>
        <w:pStyle w:val="Titreniveau2"/>
      </w:pPr>
      <w:r>
        <w:t>LES VICISSITUDES</w:t>
      </w:r>
      <w:r>
        <w:br/>
        <w:t>D’UNE STATUE ÉQUESTRE :</w:t>
      </w:r>
    </w:p>
    <w:p w14:paraId="27C4848A" w14:textId="77777777" w:rsidR="00B9662D" w:rsidRPr="00E07116" w:rsidRDefault="00B9662D" w:rsidP="00B9662D">
      <w:pPr>
        <w:pStyle w:val="Titreniveau2st"/>
      </w:pPr>
      <w:r>
        <w:t>Philippe de valois,</w:t>
      </w:r>
      <w:r>
        <w:br/>
        <w:t>constantin ou marc-aurèle ? </w:t>
      </w:r>
      <w:r>
        <w:rPr>
          <w:rStyle w:val="Appelnotedebasdep"/>
        </w:rPr>
        <w:footnoteReference w:id="959"/>
      </w:r>
    </w:p>
    <w:bookmarkEnd w:id="47"/>
    <w:p w14:paraId="391D69EA" w14:textId="77777777" w:rsidR="00B9662D" w:rsidRDefault="00B9662D" w:rsidP="00B9662D">
      <w:pPr>
        <w:jc w:val="both"/>
        <w:rPr>
          <w:szCs w:val="36"/>
        </w:rPr>
      </w:pPr>
    </w:p>
    <w:p w14:paraId="3875104C" w14:textId="77777777" w:rsidR="00B9662D" w:rsidRDefault="00B9662D" w:rsidP="00B9662D">
      <w:pPr>
        <w:jc w:val="both"/>
        <w:rPr>
          <w:szCs w:val="36"/>
        </w:rPr>
      </w:pPr>
    </w:p>
    <w:p w14:paraId="7DFF08B9" w14:textId="77777777" w:rsidR="00B9662D" w:rsidRDefault="00B9662D" w:rsidP="00B9662D">
      <w:pPr>
        <w:jc w:val="both"/>
        <w:rPr>
          <w:szCs w:val="36"/>
        </w:rPr>
      </w:pPr>
    </w:p>
    <w:p w14:paraId="3BFEAE99" w14:textId="77777777" w:rsidR="00B9662D" w:rsidRDefault="00B9662D" w:rsidP="00B9662D">
      <w:pPr>
        <w:spacing w:before="120" w:after="120"/>
        <w:jc w:val="both"/>
        <w:rPr>
          <w:color w:val="000000"/>
          <w:lang w:eastAsia="fr-FR" w:bidi="fr-FR"/>
        </w:rPr>
      </w:pPr>
    </w:p>
    <w:p w14:paraId="347CF422"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8AE79F2" w14:textId="77777777" w:rsidR="00B9662D" w:rsidRPr="000F765B" w:rsidRDefault="00B9662D" w:rsidP="00B9662D">
      <w:pPr>
        <w:spacing w:before="120" w:after="120"/>
        <w:jc w:val="both"/>
      </w:pPr>
      <w:r w:rsidRPr="000F765B">
        <w:rPr>
          <w:lang w:eastAsia="fr-FR" w:bidi="fr-FR"/>
        </w:rPr>
        <w:t>Sur la façade occidentale de la cathédrale de Sens, entre le portail principal et la Tour Sud, on voit aujourd’hui s’encadrer dans une arc</w:t>
      </w:r>
      <w:r w:rsidRPr="000F765B">
        <w:rPr>
          <w:lang w:eastAsia="fr-FR" w:bidi="fr-FR"/>
        </w:rPr>
        <w:t>a</w:t>
      </w:r>
      <w:r w:rsidRPr="000F765B">
        <w:rPr>
          <w:lang w:eastAsia="fr-FR" w:bidi="fr-FR"/>
        </w:rPr>
        <w:t>ture les restes très mutilés d’une statue équestre. Quelques fragments adhèrent encore au mur ; ailleurs il ne subsiste plus qu’une empreinte, sur le mur lui-même. Tout cela est fort incomplet ; néanmoins, la si</w:t>
      </w:r>
      <w:r w:rsidRPr="000F765B">
        <w:rPr>
          <w:lang w:eastAsia="fr-FR" w:bidi="fr-FR"/>
        </w:rPr>
        <w:t>l</w:t>
      </w:r>
      <w:r w:rsidRPr="000F765B">
        <w:rPr>
          <w:lang w:eastAsia="fr-FR" w:bidi="fr-FR"/>
        </w:rPr>
        <w:t>houette générale du cheval se laisse entrevoir : il était tourné vers la gauche, les deux jambes d’avant levées, les deux pieds arrière rep</w:t>
      </w:r>
      <w:r w:rsidRPr="000F765B">
        <w:rPr>
          <w:lang w:eastAsia="fr-FR" w:bidi="fr-FR"/>
        </w:rPr>
        <w:t>o</w:t>
      </w:r>
      <w:r w:rsidRPr="000F765B">
        <w:rPr>
          <w:lang w:eastAsia="fr-FR" w:bidi="fr-FR"/>
        </w:rPr>
        <w:t>sant sur le sol ; du cavalier, on ne retrouve plus qu’une masse informe. L’œuvre a été irrémédiablement détruite sous la Révolution, ainsi que la plupart de celles qui ornaient cette façade. C’est au même moment, selon toute probabilité, que disparut l’inscription qui avoisinait la st</w:t>
      </w:r>
      <w:r w:rsidRPr="000F765B">
        <w:rPr>
          <w:lang w:eastAsia="fr-FR" w:bidi="fr-FR"/>
        </w:rPr>
        <w:t>a</w:t>
      </w:r>
      <w:r w:rsidRPr="000F765B">
        <w:rPr>
          <w:lang w:eastAsia="fr-FR" w:bidi="fr-FR"/>
        </w:rPr>
        <w:t>tue et en donnait la signification ; elle nous occupera plus longuement tout à l’heure.</w:t>
      </w:r>
    </w:p>
    <w:p w14:paraId="1888F83B" w14:textId="77777777" w:rsidR="00B9662D" w:rsidRPr="000F765B" w:rsidRDefault="00B9662D" w:rsidP="00B9662D">
      <w:pPr>
        <w:spacing w:before="120" w:after="120"/>
        <w:jc w:val="both"/>
      </w:pPr>
      <w:r w:rsidRPr="000F765B">
        <w:rPr>
          <w:lang w:eastAsia="fr-FR" w:bidi="fr-FR"/>
        </w:rPr>
        <w:lastRenderedPageBreak/>
        <w:t>Quel était donc le héros qui caracolait ainsi au seuil de la vénérable église Saint-Étienne ?</w:t>
      </w:r>
    </w:p>
    <w:p w14:paraId="59A7B591" w14:textId="77777777" w:rsidR="00B9662D" w:rsidRPr="000F765B" w:rsidRDefault="00B9662D" w:rsidP="00B9662D">
      <w:pPr>
        <w:spacing w:before="120" w:after="120"/>
        <w:jc w:val="both"/>
      </w:pPr>
      <w:r w:rsidRPr="000F765B">
        <w:rPr>
          <w:lang w:eastAsia="fr-FR" w:bidi="fr-FR"/>
        </w:rPr>
        <w:t>La tradition locale répond sans hésiter : Philippe</w:t>
      </w:r>
      <w:r>
        <w:rPr>
          <w:lang w:eastAsia="fr-FR" w:bidi="fr-FR"/>
        </w:rPr>
        <w:t> </w:t>
      </w:r>
      <w:r w:rsidRPr="000F765B">
        <w:rPr>
          <w:lang w:eastAsia="fr-FR" w:bidi="fr-FR"/>
        </w:rPr>
        <w:t>VI de Valois. Ce</w:t>
      </w:r>
      <w:r w:rsidRPr="000F765B">
        <w:rPr>
          <w:lang w:eastAsia="fr-FR" w:bidi="fr-FR"/>
        </w:rPr>
        <w:t>t</w:t>
      </w:r>
      <w:r w:rsidRPr="000F765B">
        <w:rPr>
          <w:lang w:eastAsia="fr-FR" w:bidi="fr-FR"/>
        </w:rPr>
        <w:t>te interprétation, que répètent aujourd’hui les guides les mieux info</w:t>
      </w:r>
      <w:r w:rsidRPr="000F765B">
        <w:rPr>
          <w:lang w:eastAsia="fr-FR" w:bidi="fr-FR"/>
        </w:rPr>
        <w:t>r</w:t>
      </w:r>
      <w:r w:rsidRPr="000F765B">
        <w:rPr>
          <w:lang w:eastAsia="fr-FR" w:bidi="fr-FR"/>
        </w:rPr>
        <w:t>més</w:t>
      </w:r>
      <w:r>
        <w:rPr>
          <w:lang w:eastAsia="fr-FR" w:bidi="fr-FR"/>
        </w:rPr>
        <w:t> </w:t>
      </w:r>
      <w:r>
        <w:rPr>
          <w:rStyle w:val="Appelnotedebasdep"/>
        </w:rPr>
        <w:footnoteReference w:id="960"/>
      </w:r>
      <w:r w:rsidRPr="000F765B">
        <w:rPr>
          <w:lang w:eastAsia="fr-FR" w:bidi="fr-FR"/>
        </w:rPr>
        <w:t xml:space="preserve">, est relativement ancienne. Elle remonte au début du </w:t>
      </w:r>
      <w:r>
        <w:rPr>
          <w:lang w:eastAsia="fr-FR" w:bidi="fr-FR"/>
        </w:rPr>
        <w:t>XVII</w:t>
      </w:r>
      <w:r w:rsidRPr="000F765B">
        <w:rPr>
          <w:vertAlign w:val="superscript"/>
          <w:lang w:eastAsia="fr-FR" w:bidi="fr-FR"/>
        </w:rPr>
        <w:t>e</w:t>
      </w:r>
      <w:r w:rsidRPr="000F765B">
        <w:rPr>
          <w:lang w:eastAsia="fr-FR" w:bidi="fr-FR"/>
        </w:rPr>
        <w:t xml:space="preserve"> si</w:t>
      </w:r>
      <w:r w:rsidRPr="000F765B">
        <w:rPr>
          <w:lang w:eastAsia="fr-FR" w:bidi="fr-FR"/>
        </w:rPr>
        <w:t>è</w:t>
      </w:r>
      <w:r w:rsidRPr="000F765B">
        <w:rPr>
          <w:lang w:eastAsia="fr-FR" w:bidi="fr-FR"/>
        </w:rPr>
        <w:t xml:space="preserve">cle ; on la trouve chez Sponde, qui fit paraître en 1640-1641 une continuation des </w:t>
      </w:r>
      <w:r w:rsidRPr="00E94D1D">
        <w:rPr>
          <w:i/>
        </w:rPr>
        <w:t>Annales</w:t>
      </w:r>
      <w:r w:rsidRPr="00E94D1D">
        <w:rPr>
          <w:i/>
          <w:lang w:eastAsia="fr-FR" w:bidi="fr-FR"/>
        </w:rPr>
        <w:t xml:space="preserve"> de Baronius </w:t>
      </w:r>
      <w:r>
        <w:rPr>
          <w:rStyle w:val="Appelnotedebasdep"/>
        </w:rPr>
        <w:footnoteReference w:id="961"/>
      </w:r>
      <w:r w:rsidRPr="000F765B">
        <w:rPr>
          <w:lang w:eastAsia="fr-FR" w:bidi="fr-FR"/>
        </w:rPr>
        <w:t>. Peut-être même doit-on la considérer comme antérieure encore à cet auteur, d’une centaine d’années au bas mot. Un érudit sénonais, Théophile Tarbé, dans un ouvrage publié en 1841, rapporte en effet qu’un ouvrier, chargé en 1517 de repeindre la statue, mit au cou du cavalier le « cordon » (e</w:t>
      </w:r>
      <w:r w:rsidRPr="000F765B">
        <w:rPr>
          <w:lang w:eastAsia="fr-FR" w:bidi="fr-FR"/>
        </w:rPr>
        <w:t>n</w:t>
      </w:r>
      <w:r w:rsidRPr="000F765B">
        <w:rPr>
          <w:lang w:eastAsia="fr-FR" w:bidi="fr-FR"/>
        </w:rPr>
        <w:t xml:space="preserve">tendez sans doute le </w:t>
      </w:r>
      <w:r w:rsidRPr="00E94D1D">
        <w:rPr>
          <w:i/>
        </w:rPr>
        <w:t>collier</w:t>
      </w:r>
      <w:r w:rsidRPr="000F765B">
        <w:rPr>
          <w:lang w:eastAsia="fr-FR" w:bidi="fr-FR"/>
        </w:rPr>
        <w:t>) de l’ordre de Saint-Michel</w:t>
      </w:r>
      <w:r>
        <w:rPr>
          <w:lang w:eastAsia="fr-FR" w:bidi="fr-FR"/>
        </w:rPr>
        <w:t> </w:t>
      </w:r>
      <w:r>
        <w:rPr>
          <w:rStyle w:val="Appelnotedebasdep"/>
        </w:rPr>
        <w:footnoteReference w:id="962"/>
      </w:r>
      <w:r w:rsidRPr="000F765B">
        <w:rPr>
          <w:lang w:eastAsia="fr-FR" w:bidi="fr-FR"/>
        </w:rPr>
        <w:t xml:space="preserve">. L’anecdote est donnée sans références. Si elle est exacte, elle prouve que dès les premières années du </w:t>
      </w:r>
      <w:r w:rsidRPr="007B0E19">
        <w:rPr>
          <w:caps/>
          <w:lang w:eastAsia="fr-FR" w:bidi="fr-FR"/>
        </w:rPr>
        <w:t>xvi</w:t>
      </w:r>
      <w:r w:rsidRPr="000F765B">
        <w:rPr>
          <w:vertAlign w:val="superscript"/>
          <w:lang w:eastAsia="fr-FR" w:bidi="fr-FR"/>
        </w:rPr>
        <w:t>e</w:t>
      </w:r>
      <w:r w:rsidRPr="000F765B">
        <w:rPr>
          <w:lang w:eastAsia="fr-FR" w:bidi="fr-FR"/>
        </w:rPr>
        <w:t xml:space="preserve"> siècle ce personnage passait pour représe</w:t>
      </w:r>
      <w:r w:rsidRPr="000F765B">
        <w:rPr>
          <w:lang w:eastAsia="fr-FR" w:bidi="fr-FR"/>
        </w:rPr>
        <w:t>n</w:t>
      </w:r>
      <w:r w:rsidRPr="000F765B">
        <w:rPr>
          <w:lang w:eastAsia="fr-FR" w:bidi="fr-FR"/>
        </w:rPr>
        <w:t>ter un roi de France et, bien vraisemblablement, le roi Philippe</w:t>
      </w:r>
      <w:r>
        <w:rPr>
          <w:lang w:eastAsia="fr-FR" w:bidi="fr-FR"/>
        </w:rPr>
        <w:t> </w:t>
      </w:r>
      <w:r w:rsidRPr="000F765B">
        <w:rPr>
          <w:lang w:eastAsia="fr-FR" w:bidi="fr-FR"/>
        </w:rPr>
        <w:t>VI.</w:t>
      </w:r>
    </w:p>
    <w:p w14:paraId="11ED561E" w14:textId="77777777" w:rsidR="00B9662D" w:rsidRDefault="00B9662D" w:rsidP="00B9662D">
      <w:pPr>
        <w:spacing w:before="120" w:after="120"/>
        <w:jc w:val="both"/>
        <w:rPr>
          <w:lang w:eastAsia="fr-FR" w:bidi="fr-FR"/>
        </w:rPr>
      </w:pPr>
      <w:r w:rsidRPr="000F765B">
        <w:rPr>
          <w:lang w:eastAsia="fr-FR" w:bidi="fr-FR"/>
        </w:rPr>
        <w:t>D’où venait au vaincu de Crécy l’honneur d’avoir ainsi son effigie sur la façade d’une cathédrale ? Sponde, suivi par les auteurs plus r</w:t>
      </w:r>
      <w:r w:rsidRPr="000F765B">
        <w:rPr>
          <w:lang w:eastAsia="fr-FR" w:bidi="fr-FR"/>
        </w:rPr>
        <w:t>é</w:t>
      </w:r>
      <w:r w:rsidRPr="000F765B">
        <w:rPr>
          <w:lang w:eastAsia="fr-FR" w:bidi="fr-FR"/>
        </w:rPr>
        <w:t>cents,</w:t>
      </w:r>
      <w:r>
        <w:t xml:space="preserve"> </w:t>
      </w:r>
      <w:r>
        <w:rPr>
          <w:lang w:eastAsia="fr-FR" w:bidi="fr-FR"/>
        </w:rPr>
        <w:t xml:space="preserve">[918] </w:t>
      </w:r>
      <w:r w:rsidRPr="000F765B">
        <w:rPr>
          <w:lang w:eastAsia="fr-FR" w:bidi="fr-FR"/>
        </w:rPr>
        <w:t>nous fournit la raison de cette distinction exceptionnelle ; par elle on aurait voulu récompenser l’appui donné par ce pieux m</w:t>
      </w:r>
      <w:r w:rsidRPr="000F765B">
        <w:rPr>
          <w:lang w:eastAsia="fr-FR" w:bidi="fr-FR"/>
        </w:rPr>
        <w:t>o</w:t>
      </w:r>
      <w:r w:rsidRPr="000F765B">
        <w:rPr>
          <w:lang w:eastAsia="fr-FR" w:bidi="fr-FR"/>
        </w:rPr>
        <w:t>narque aux églises de son royaume. Une grande conférence, durant les mois de décembre 1329 et janv</w:t>
      </w:r>
      <w:r>
        <w:rPr>
          <w:lang w:eastAsia="fr-FR" w:bidi="fr-FR"/>
        </w:rPr>
        <w:t>ier 1330, à Paris et surtout à V</w:t>
      </w:r>
      <w:r w:rsidRPr="000F765B">
        <w:rPr>
          <w:lang w:eastAsia="fr-FR" w:bidi="fr-FR"/>
        </w:rPr>
        <w:t>ince</w:t>
      </w:r>
      <w:r w:rsidRPr="000F765B">
        <w:rPr>
          <w:lang w:eastAsia="fr-FR" w:bidi="fr-FR"/>
        </w:rPr>
        <w:t>n</w:t>
      </w:r>
      <w:r w:rsidRPr="000F765B">
        <w:rPr>
          <w:lang w:eastAsia="fr-FR" w:bidi="fr-FR"/>
        </w:rPr>
        <w:t>nes, avait mis aux prises les défenseurs des privilèges judiciaires du clergé et leurs adversaires, représentant les intérêts des tribunaux la</w:t>
      </w:r>
      <w:r w:rsidRPr="000F765B">
        <w:rPr>
          <w:lang w:eastAsia="fr-FR" w:bidi="fr-FR"/>
        </w:rPr>
        <w:t>ï</w:t>
      </w:r>
      <w:r w:rsidRPr="000F765B">
        <w:rPr>
          <w:lang w:eastAsia="fr-FR" w:bidi="fr-FR"/>
        </w:rPr>
        <w:t>ques. Ph</w:t>
      </w:r>
      <w:r w:rsidRPr="000F765B">
        <w:rPr>
          <w:lang w:eastAsia="fr-FR" w:bidi="fr-FR"/>
        </w:rPr>
        <w:t>i</w:t>
      </w:r>
      <w:r w:rsidRPr="000F765B">
        <w:rPr>
          <w:lang w:eastAsia="fr-FR" w:bidi="fr-FR"/>
        </w:rPr>
        <w:t>lippe, disait-on, avait décidé en faveur des clercs. D’où l’inscription, citée notamment par Sponde, qu’on lisait auprès de la statue ; c’étaient quelques mots placés dans la bouche du cavalier :</w:t>
      </w:r>
    </w:p>
    <w:p w14:paraId="590D7997" w14:textId="77777777" w:rsidR="00B9662D" w:rsidRPr="00413C41" w:rsidRDefault="00B9662D" w:rsidP="00B9662D">
      <w:pPr>
        <w:jc w:val="both"/>
        <w:rPr>
          <w:sz w:val="18"/>
        </w:rPr>
      </w:pPr>
    </w:p>
    <w:p w14:paraId="74FE74A3" w14:textId="77777777" w:rsidR="00B9662D" w:rsidRPr="007B0E19" w:rsidRDefault="00B9662D" w:rsidP="00B9662D">
      <w:pPr>
        <w:ind w:left="1800" w:firstLine="0"/>
        <w:jc w:val="both"/>
        <w:rPr>
          <w:i/>
        </w:rPr>
      </w:pPr>
      <w:r w:rsidRPr="007B0E19">
        <w:rPr>
          <w:rStyle w:val="Corpsdutexte3NonItaliqueEspacement0pt"/>
          <w:iCs w:val="0"/>
        </w:rPr>
        <w:t>« </w:t>
      </w:r>
      <w:r w:rsidRPr="007B0E19">
        <w:rPr>
          <w:i/>
          <w:lang w:eastAsia="fr-FR" w:bidi="fr-FR"/>
        </w:rPr>
        <w:t>Regnantis veri cupiens verus cultor haberi</w:t>
      </w:r>
    </w:p>
    <w:p w14:paraId="60CD88CC" w14:textId="77777777" w:rsidR="00B9662D" w:rsidRPr="007B0E19" w:rsidRDefault="00B9662D" w:rsidP="00B9662D">
      <w:pPr>
        <w:ind w:left="1800" w:firstLine="0"/>
        <w:jc w:val="both"/>
        <w:rPr>
          <w:rStyle w:val="Corpsdutexte3NonItaliqueEspacement0pt"/>
          <w:i w:val="0"/>
          <w:iCs w:val="0"/>
        </w:rPr>
      </w:pPr>
      <w:r w:rsidRPr="007B0E19">
        <w:rPr>
          <w:i/>
          <w:lang w:eastAsia="fr-FR" w:bidi="fr-FR"/>
        </w:rPr>
        <w:t>Juro rem cleri libertatesque tueri</w:t>
      </w:r>
      <w:r>
        <w:rPr>
          <w:rStyle w:val="Corpsdutexte3NonItaliqueEspacement0pt"/>
          <w:iCs w:val="0"/>
        </w:rPr>
        <w:t> »</w:t>
      </w:r>
      <w:r>
        <w:rPr>
          <w:rStyle w:val="Corpsdutexte3NonItaliqueEspacement0pt"/>
          <w:i w:val="0"/>
          <w:iCs w:val="0"/>
        </w:rPr>
        <w:t> </w:t>
      </w:r>
      <w:r w:rsidRPr="00E94D1D">
        <w:rPr>
          <w:rStyle w:val="Appelnotedebasdep"/>
          <w:bCs/>
          <w:szCs w:val="17"/>
        </w:rPr>
        <w:footnoteReference w:id="963"/>
      </w:r>
    </w:p>
    <w:p w14:paraId="4805F66A" w14:textId="77777777" w:rsidR="00B9662D" w:rsidRPr="007B0E19" w:rsidRDefault="00B9662D" w:rsidP="00B9662D">
      <w:pPr>
        <w:ind w:left="1800" w:firstLine="0"/>
        <w:jc w:val="both"/>
        <w:rPr>
          <w:i/>
        </w:rPr>
      </w:pPr>
    </w:p>
    <w:p w14:paraId="27CB2776" w14:textId="77777777" w:rsidR="00B9662D" w:rsidRPr="000F765B" w:rsidRDefault="00B9662D" w:rsidP="00B9662D">
      <w:pPr>
        <w:spacing w:before="120" w:after="120"/>
        <w:jc w:val="both"/>
      </w:pPr>
      <w:r w:rsidRPr="000F765B">
        <w:rPr>
          <w:lang w:eastAsia="fr-FR" w:bidi="fr-FR"/>
        </w:rPr>
        <w:t>Malheureusement cette opinion souffre une très grave difficulté. Nous savons, à n’en pas douter, que la politique de Philippe VI ne fut point du tout celle que Sponde lui attribuait ; il donna aux prélats quelques bonnes paroles ; mais, en fait, ce que l’on constate sous son règne, a dit l’un des plus récents historiens de la conférence de Vi</w:t>
      </w:r>
      <w:r w:rsidRPr="000F765B">
        <w:rPr>
          <w:lang w:eastAsia="fr-FR" w:bidi="fr-FR"/>
        </w:rPr>
        <w:t>n</w:t>
      </w:r>
      <w:r w:rsidRPr="000F765B">
        <w:rPr>
          <w:lang w:eastAsia="fr-FR" w:bidi="fr-FR"/>
        </w:rPr>
        <w:t>cennes, ce sont « les progrès modérés, mais sûrs de la juridiction la</w:t>
      </w:r>
      <w:r w:rsidRPr="000F765B">
        <w:rPr>
          <w:lang w:eastAsia="fr-FR" w:bidi="fr-FR"/>
        </w:rPr>
        <w:t>ï</w:t>
      </w:r>
      <w:r w:rsidRPr="000F765B">
        <w:rPr>
          <w:lang w:eastAsia="fr-FR" w:bidi="fr-FR"/>
        </w:rPr>
        <w:t>que »</w:t>
      </w:r>
      <w:r>
        <w:rPr>
          <w:lang w:eastAsia="fr-FR" w:bidi="fr-FR"/>
        </w:rPr>
        <w:t> </w:t>
      </w:r>
      <w:r>
        <w:rPr>
          <w:rStyle w:val="Appelnotedebasdep"/>
        </w:rPr>
        <w:footnoteReference w:id="964"/>
      </w:r>
      <w:r w:rsidRPr="000F765B">
        <w:rPr>
          <w:lang w:eastAsia="fr-FR" w:bidi="fr-FR"/>
        </w:rPr>
        <w:t>. Sponde, qui écrivait plus de trois siècles après les évén</w:t>
      </w:r>
      <w:r w:rsidRPr="000F765B">
        <w:rPr>
          <w:lang w:eastAsia="fr-FR" w:bidi="fr-FR"/>
        </w:rPr>
        <w:t>e</w:t>
      </w:r>
      <w:r w:rsidRPr="000F765B">
        <w:rPr>
          <w:lang w:eastAsia="fr-FR" w:bidi="fr-FR"/>
        </w:rPr>
        <w:t>ments, a pu se tromper sur ce point ; mais les contemporains, non pas. L’inscription, si on doit la tenir pour ancienne</w:t>
      </w:r>
      <w:r>
        <w:rPr>
          <w:lang w:eastAsia="fr-FR" w:bidi="fr-FR"/>
        </w:rPr>
        <w:t> — </w:t>
      </w:r>
      <w:r w:rsidRPr="000F765B">
        <w:rPr>
          <w:lang w:eastAsia="fr-FR" w:bidi="fr-FR"/>
        </w:rPr>
        <w:t>ce qui, comme on va le voir, est certainement le cas</w:t>
      </w:r>
      <w:r>
        <w:rPr>
          <w:lang w:eastAsia="fr-FR" w:bidi="fr-FR"/>
        </w:rPr>
        <w:t> — </w:t>
      </w:r>
      <w:r w:rsidRPr="000F765B">
        <w:rPr>
          <w:lang w:eastAsia="fr-FR" w:bidi="fr-FR"/>
        </w:rPr>
        <w:t>ne saurait guère avoir été conçue comme s’appliquant à Philippe.</w:t>
      </w:r>
    </w:p>
    <w:p w14:paraId="37B5A35F" w14:textId="77777777" w:rsidR="00B9662D" w:rsidRPr="000F765B" w:rsidRDefault="00B9662D" w:rsidP="00B9662D">
      <w:pPr>
        <w:spacing w:before="120" w:after="120"/>
        <w:jc w:val="both"/>
      </w:pPr>
      <w:r w:rsidRPr="000F765B">
        <w:rPr>
          <w:lang w:eastAsia="fr-FR" w:bidi="fr-FR"/>
        </w:rPr>
        <w:t>Une heureuse rencontre me permet de donner aujourd’hui le mot de cette énigme. En 1372, le carme Jean Golein exécuta pour le roi Charles</w:t>
      </w:r>
      <w:r>
        <w:rPr>
          <w:lang w:eastAsia="fr-FR" w:bidi="fr-FR"/>
        </w:rPr>
        <w:t> </w:t>
      </w:r>
      <w:r w:rsidRPr="000F765B">
        <w:rPr>
          <w:lang w:eastAsia="fr-FR" w:bidi="fr-FR"/>
        </w:rPr>
        <w:t xml:space="preserve">V une traduction du </w:t>
      </w:r>
      <w:r w:rsidRPr="00E94D1D">
        <w:rPr>
          <w:i/>
        </w:rPr>
        <w:t>Rational des Divins Offices</w:t>
      </w:r>
      <w:r w:rsidRPr="000F765B">
        <w:rPr>
          <w:lang w:eastAsia="fr-FR" w:bidi="fr-FR"/>
        </w:rPr>
        <w:t xml:space="preserve"> de Guillaume Durand : traduction dans l’ensemble assez fidèle, mais non point exempte d’interpolations. Jean Golein y inséra, à la suite du chapitre consacré par Guillaume au rite de l’onction, tout un traité sur le sacre des rois de France, qui est en entier de son cru. Or, dans ce traité, dont l’intérêt, à bien des égards, est extrêmement vif, on lit, à propos du serment du sacre, par où les nouveaux rois s’engageaient à défendre l’Église, les mots suivants : « et ce signifie les sermens que faisoient les roys d’Israël aux prestres, et que fist Alixandre en l’ystoire devant touchée ; et tel comme le fist Constantin a l’eglise de Senz, si comme il appert ou portail d’icelle eglise de Senz, ou il est escript de lettres d’or delez son ymage ou il jura ainsi : </w:t>
      </w:r>
      <w:r w:rsidRPr="007B0E19">
        <w:rPr>
          <w:i/>
        </w:rPr>
        <w:t>Regnantis veri cupiens verus cultor haberi</w:t>
      </w:r>
      <w:r>
        <w:rPr>
          <w:i/>
          <w:lang w:eastAsia="fr-FR" w:bidi="fr-FR"/>
        </w:rPr>
        <w:t> — </w:t>
      </w:r>
      <w:r w:rsidRPr="007B0E19">
        <w:rPr>
          <w:i/>
        </w:rPr>
        <w:t>Juro rem cleri libertatesque tueri</w:t>
      </w:r>
      <w:r w:rsidRPr="007B0E19">
        <w:rPr>
          <w:i/>
          <w:lang w:eastAsia="fr-FR" w:bidi="fr-FR"/>
        </w:rPr>
        <w:t> </w:t>
      </w:r>
      <w:r w:rsidRPr="000F765B">
        <w:rPr>
          <w:lang w:eastAsia="fr-FR" w:bidi="fr-FR"/>
        </w:rPr>
        <w:t>»</w:t>
      </w:r>
      <w:r>
        <w:rPr>
          <w:lang w:eastAsia="fr-FR" w:bidi="fr-FR"/>
        </w:rPr>
        <w:t> </w:t>
      </w:r>
      <w:r>
        <w:rPr>
          <w:rStyle w:val="Appelnotedebasdep"/>
        </w:rPr>
        <w:footnoteReference w:id="965"/>
      </w:r>
      <w:r w:rsidRPr="000F765B">
        <w:rPr>
          <w:lang w:eastAsia="fr-FR" w:bidi="fr-FR"/>
        </w:rPr>
        <w:t>.</w:t>
      </w:r>
    </w:p>
    <w:p w14:paraId="4E49549E" w14:textId="77777777" w:rsidR="00B9662D" w:rsidRPr="000F765B" w:rsidRDefault="00B9662D" w:rsidP="00B9662D">
      <w:pPr>
        <w:spacing w:before="120" w:after="120"/>
        <w:jc w:val="both"/>
      </w:pPr>
      <w:r>
        <w:rPr>
          <w:lang w:eastAsia="fr-FR" w:bidi="fr-FR"/>
        </w:rPr>
        <w:lastRenderedPageBreak/>
        <w:t>[919]</w:t>
      </w:r>
    </w:p>
    <w:p w14:paraId="6E401AD2" w14:textId="77777777" w:rsidR="00B9662D" w:rsidRPr="000F765B" w:rsidRDefault="00B9662D" w:rsidP="00B9662D">
      <w:pPr>
        <w:spacing w:before="120" w:after="120"/>
        <w:jc w:val="both"/>
      </w:pPr>
      <w:r w:rsidRPr="000F765B">
        <w:rPr>
          <w:lang w:eastAsia="fr-FR" w:bidi="fr-FR"/>
        </w:rPr>
        <w:t>Au temps de Jean Golein, la statue équestre de Sens passait donc pour représenter Constantin ; l’inscription faisait évidemment allusion à la célèbre Donation. Nul doute que telle n’ait été la signification or</w:t>
      </w:r>
      <w:r w:rsidRPr="000F765B">
        <w:rPr>
          <w:lang w:eastAsia="fr-FR" w:bidi="fr-FR"/>
        </w:rPr>
        <w:t>i</w:t>
      </w:r>
      <w:r w:rsidRPr="000F765B">
        <w:rPr>
          <w:lang w:eastAsia="fr-FR" w:bidi="fr-FR"/>
        </w:rPr>
        <w:t>ginelle de l’œuvre. Plus tard elle changera de nom : à l’empereur r</w:t>
      </w:r>
      <w:r w:rsidRPr="000F765B">
        <w:rPr>
          <w:lang w:eastAsia="fr-FR" w:bidi="fr-FR"/>
        </w:rPr>
        <w:t>o</w:t>
      </w:r>
      <w:r w:rsidRPr="000F765B">
        <w:rPr>
          <w:lang w:eastAsia="fr-FR" w:bidi="fr-FR"/>
        </w:rPr>
        <w:t xml:space="preserve">main on substitua Philippe de Valois. Cette tradition nouvelle, on l’a vu, semble attestée pour la première fois au </w:t>
      </w:r>
      <w:r w:rsidRPr="007B0E19">
        <w:rPr>
          <w:caps/>
          <w:lang w:eastAsia="fr-FR" w:bidi="fr-FR"/>
        </w:rPr>
        <w:t>xvi</w:t>
      </w:r>
      <w:r w:rsidRPr="000F765B">
        <w:rPr>
          <w:vertAlign w:val="superscript"/>
          <w:lang w:eastAsia="fr-FR" w:bidi="fr-FR"/>
        </w:rPr>
        <w:t>e</w:t>
      </w:r>
      <w:r w:rsidRPr="000F765B">
        <w:rPr>
          <w:lang w:eastAsia="fr-FR" w:bidi="fr-FR"/>
        </w:rPr>
        <w:t xml:space="preserve"> siècle. Vers le même temps, un fait analogue se produisait à Paris. Là, dans la cathédrale, une figure grotesque ornait un des piliers du chœur ; on lui avait d</w:t>
      </w:r>
      <w:r w:rsidRPr="000F765B">
        <w:rPr>
          <w:lang w:eastAsia="fr-FR" w:bidi="fr-FR"/>
        </w:rPr>
        <w:t>e</w:t>
      </w:r>
      <w:r w:rsidRPr="000F765B">
        <w:rPr>
          <w:lang w:eastAsia="fr-FR" w:bidi="fr-FR"/>
        </w:rPr>
        <w:t>puis longtemps donné un sobriquet ; on l’appelait M</w:t>
      </w:r>
      <w:r w:rsidRPr="000F765B">
        <w:rPr>
          <w:vertAlign w:val="superscript"/>
          <w:lang w:eastAsia="fr-FR" w:bidi="fr-FR"/>
        </w:rPr>
        <w:t>e</w:t>
      </w:r>
      <w:r w:rsidRPr="000F765B">
        <w:rPr>
          <w:lang w:eastAsia="fr-FR" w:bidi="fr-FR"/>
        </w:rPr>
        <w:t xml:space="preserve"> Pierre du Cugnet, peut-être parce qu’elle se trouvait placée vers le coin du chœur ; à une date que nous ignorons, mais antérieurement en tout cas à 1550, on imagina de la débaptiser légèrement et de l’identifier avec ce M</w:t>
      </w:r>
      <w:r w:rsidRPr="000F765B">
        <w:rPr>
          <w:vertAlign w:val="superscript"/>
          <w:lang w:eastAsia="fr-FR" w:bidi="fr-FR"/>
        </w:rPr>
        <w:t>e</w:t>
      </w:r>
      <w:r w:rsidRPr="000F765B">
        <w:rPr>
          <w:lang w:eastAsia="fr-FR" w:bidi="fr-FR"/>
        </w:rPr>
        <w:t xml:space="preserve"> Pierre de Cuignières, qui avait été, à la conférence de Vince</w:t>
      </w:r>
      <w:r w:rsidRPr="000F765B">
        <w:rPr>
          <w:lang w:eastAsia="fr-FR" w:bidi="fr-FR"/>
        </w:rPr>
        <w:t>n</w:t>
      </w:r>
      <w:r w:rsidRPr="000F765B">
        <w:rPr>
          <w:lang w:eastAsia="fr-FR" w:bidi="fr-FR"/>
        </w:rPr>
        <w:t xml:space="preserve">nes, le grand avocat des juridictions laïques ; on supposa qu’on avait érigé à cet ennemi de l’Église une effigie outrageante, ou du moins que l’on avait, dès après la fameuse conférence, appliqué par dérision son nom à un marmouset ridicule. </w:t>
      </w:r>
      <w:r>
        <w:rPr>
          <w:lang w:eastAsia="fr-FR" w:bidi="fr-FR"/>
        </w:rPr>
        <w:t>À</w:t>
      </w:r>
      <w:r w:rsidRPr="000F765B">
        <w:rPr>
          <w:lang w:eastAsia="fr-FR" w:bidi="fr-FR"/>
        </w:rPr>
        <w:t xml:space="preserve"> Sens même, une figure de même sorte, Jean du Cognot, fut, elle aussi, à un moment donné confondue avec M</w:t>
      </w:r>
      <w:r w:rsidRPr="000F765B">
        <w:rPr>
          <w:vertAlign w:val="superscript"/>
          <w:lang w:eastAsia="fr-FR" w:bidi="fr-FR"/>
        </w:rPr>
        <w:t>e</w:t>
      </w:r>
      <w:r w:rsidRPr="000F765B">
        <w:rPr>
          <w:lang w:eastAsia="fr-FR" w:bidi="fr-FR"/>
        </w:rPr>
        <w:t xml:space="preserve"> Pierre de Cuignières</w:t>
      </w:r>
      <w:r>
        <w:rPr>
          <w:lang w:eastAsia="fr-FR" w:bidi="fr-FR"/>
        </w:rPr>
        <w:t> </w:t>
      </w:r>
      <w:r>
        <w:rPr>
          <w:rStyle w:val="Appelnotedebasdep"/>
        </w:rPr>
        <w:footnoteReference w:id="966"/>
      </w:r>
      <w:r w:rsidRPr="000F765B">
        <w:rPr>
          <w:lang w:eastAsia="fr-FR" w:bidi="fr-FR"/>
        </w:rPr>
        <w:t xml:space="preserve">. Fantaisies de clercs érudits que tout cela. Dans le cas de la statue équestre de Sens, elles trouvèrent d’autant plus facilement crédit que, au </w:t>
      </w:r>
      <w:r w:rsidRPr="007B0E19">
        <w:rPr>
          <w:caps/>
          <w:lang w:eastAsia="fr-FR" w:bidi="fr-FR"/>
        </w:rPr>
        <w:t>xvi</w:t>
      </w:r>
      <w:r w:rsidRPr="000F765B">
        <w:rPr>
          <w:vertAlign w:val="superscript"/>
          <w:lang w:eastAsia="fr-FR" w:bidi="fr-FR"/>
        </w:rPr>
        <w:t>e</w:t>
      </w:r>
      <w:r w:rsidRPr="000F765B">
        <w:rPr>
          <w:lang w:eastAsia="fr-FR" w:bidi="fr-FR"/>
        </w:rPr>
        <w:t xml:space="preserve"> siècle, la présence d’un empereur romain au porche d’une cathédrale paraissait sans doute à beaucoup de gens ne pas se justifier très bien ; on comprenait plus v</w:t>
      </w:r>
      <w:r w:rsidRPr="000F765B">
        <w:rPr>
          <w:lang w:eastAsia="fr-FR" w:bidi="fr-FR"/>
        </w:rPr>
        <w:t>o</w:t>
      </w:r>
      <w:r w:rsidRPr="000F765B">
        <w:rPr>
          <w:lang w:eastAsia="fr-FR" w:bidi="fr-FR"/>
        </w:rPr>
        <w:t>lontiers qu’un souverain national y fût portraituré. Un sentiment se</w:t>
      </w:r>
      <w:r w:rsidRPr="000F765B">
        <w:rPr>
          <w:lang w:eastAsia="fr-FR" w:bidi="fr-FR"/>
        </w:rPr>
        <w:t>m</w:t>
      </w:r>
      <w:r w:rsidRPr="000F765B">
        <w:rPr>
          <w:lang w:eastAsia="fr-FR" w:bidi="fr-FR"/>
        </w:rPr>
        <w:t xml:space="preserve">blable </w:t>
      </w:r>
      <w:r w:rsidRPr="000F765B">
        <w:rPr>
          <w:lang w:eastAsia="fr-FR" w:bidi="fr-FR"/>
        </w:rPr>
        <w:lastRenderedPageBreak/>
        <w:t>amena de bonne heure l’opinion populaire à transformer, sur plus d’une galerie d’église, les rois de Juda en rois de France.</w:t>
      </w:r>
    </w:p>
    <w:p w14:paraId="2C51D9EF" w14:textId="77777777" w:rsidR="00B9662D" w:rsidRPr="000F765B" w:rsidRDefault="00B9662D" w:rsidP="00B9662D">
      <w:pPr>
        <w:spacing w:before="120" w:after="120"/>
        <w:jc w:val="both"/>
      </w:pPr>
      <w:r w:rsidRPr="000F765B">
        <w:rPr>
          <w:lang w:eastAsia="fr-FR" w:bidi="fr-FR"/>
        </w:rPr>
        <w:t>Quant à nous, la vue d’un Constantin à cheval près d’un portail n’a rien qui puisse nous étonner. Comme M. Mâle l’a montré, avec sa science et sa pénétration habituelles, le grand empereur chrétien figure ou a figuré, à cheval toujours, sur la façade de très nombreuses égl</w:t>
      </w:r>
      <w:r w:rsidRPr="000F765B">
        <w:rPr>
          <w:lang w:eastAsia="fr-FR" w:bidi="fr-FR"/>
        </w:rPr>
        <w:t>i</w:t>
      </w:r>
      <w:r w:rsidRPr="000F765B">
        <w:rPr>
          <w:lang w:eastAsia="fr-FR" w:bidi="fr-FR"/>
        </w:rPr>
        <w:t>ses, dans beaucoup de régions françaises</w:t>
      </w:r>
      <w:r>
        <w:rPr>
          <w:lang w:eastAsia="fr-FR" w:bidi="fr-FR"/>
        </w:rPr>
        <w:t> </w:t>
      </w:r>
      <w:r>
        <w:rPr>
          <w:rStyle w:val="Appelnotedebasdep"/>
        </w:rPr>
        <w:footnoteReference w:id="967"/>
      </w:r>
      <w:r w:rsidRPr="000F765B">
        <w:rPr>
          <w:lang w:eastAsia="fr-FR" w:bidi="fr-FR"/>
        </w:rPr>
        <w:t xml:space="preserve">. C’était le « Constantin de Rome » que les sculpteurs pensaient copier ainsi, soit qu’ils l’eussent vu eux-mêmes, soit, plus souvent, qu’ils en eussent reçu le modèle de traditions d’ateliers ; le Moyen </w:t>
      </w:r>
      <w:r>
        <w:rPr>
          <w:lang w:eastAsia="fr-FR" w:bidi="fr-FR"/>
        </w:rPr>
        <w:t>Â</w:t>
      </w:r>
      <w:r w:rsidRPr="000F765B">
        <w:rPr>
          <w:lang w:eastAsia="fr-FR" w:bidi="fr-FR"/>
        </w:rPr>
        <w:t>ge désignait ainsi la belle statue de bronze qui ornait alors le parvis du Latran, et que nous admirons a</w:t>
      </w:r>
      <w:r w:rsidRPr="000F765B">
        <w:rPr>
          <w:lang w:eastAsia="fr-FR" w:bidi="fr-FR"/>
        </w:rPr>
        <w:t>u</w:t>
      </w:r>
      <w:r w:rsidRPr="000F765B">
        <w:rPr>
          <w:lang w:eastAsia="fr-FR" w:bidi="fr-FR"/>
        </w:rPr>
        <w:t>jourd’hui sur la petite place du Capitole ; chacun sait qu’en réalité ce</w:t>
      </w:r>
      <w:r w:rsidRPr="000F765B">
        <w:rPr>
          <w:lang w:eastAsia="fr-FR" w:bidi="fr-FR"/>
        </w:rPr>
        <w:t>t</w:t>
      </w:r>
      <w:r w:rsidRPr="000F765B">
        <w:rPr>
          <w:lang w:eastAsia="fr-FR" w:bidi="fr-FR"/>
        </w:rPr>
        <w:t>te œuvre représente Marc-Aurèle. Sous les pieds de l’empereur, le sculpteur antique avait placé un petit personnage, sans doute un Ba</w:t>
      </w:r>
      <w:r w:rsidRPr="000F765B">
        <w:rPr>
          <w:lang w:eastAsia="fr-FR" w:bidi="fr-FR"/>
        </w:rPr>
        <w:t>r</w:t>
      </w:r>
      <w:r w:rsidRPr="000F765B">
        <w:rPr>
          <w:lang w:eastAsia="fr-FR" w:bidi="fr-FR"/>
        </w:rPr>
        <w:t>bare, que le cheval foulait aux pieds ; ce personnage a disparu de la statue romaine, mais on le trouve aujourd’hui sous beaucoup des c</w:t>
      </w:r>
      <w:r w:rsidRPr="000F765B">
        <w:rPr>
          <w:lang w:eastAsia="fr-FR" w:bidi="fr-FR"/>
        </w:rPr>
        <w:t>a</w:t>
      </w:r>
      <w:r w:rsidRPr="000F765B">
        <w:rPr>
          <w:lang w:eastAsia="fr-FR" w:bidi="fr-FR"/>
        </w:rPr>
        <w:t>valiers de nos églises ; il semble bien que, à Sens également, on en voie encore un débris dans une entaille de l’entablement de pierre sur lequel reposait le cheval. Quoi qu’il en soit de ce point de détail, il faut certainement ajouter la cathédrale de Sens à la liste déjà longue des églises françaises qui, croyant élever une statue au premier emp</w:t>
      </w:r>
      <w:r w:rsidRPr="000F765B">
        <w:rPr>
          <w:lang w:eastAsia="fr-FR" w:bidi="fr-FR"/>
        </w:rPr>
        <w:t>e</w:t>
      </w:r>
      <w:r w:rsidRPr="000F765B">
        <w:rPr>
          <w:lang w:eastAsia="fr-FR" w:bidi="fr-FR"/>
        </w:rPr>
        <w:t>reur chrétien, ont en réalité offert à la vénération des fidèles l’effigie d’un des plus illustres philosophes du paganisme.</w:t>
      </w:r>
    </w:p>
    <w:p w14:paraId="5B227206" w14:textId="77777777" w:rsidR="00B9662D" w:rsidRPr="000F765B" w:rsidRDefault="00B9662D" w:rsidP="00B9662D">
      <w:pPr>
        <w:spacing w:before="120" w:after="120"/>
        <w:jc w:val="both"/>
      </w:pPr>
    </w:p>
    <w:p w14:paraId="537D45F7" w14:textId="77777777" w:rsidR="00B9662D" w:rsidRDefault="00B9662D" w:rsidP="00B9662D">
      <w:pPr>
        <w:pStyle w:val="p"/>
      </w:pPr>
      <w:r w:rsidRPr="000F765B">
        <w:br w:type="page"/>
      </w:r>
      <w:r>
        <w:lastRenderedPageBreak/>
        <w:t>[920]</w:t>
      </w:r>
    </w:p>
    <w:p w14:paraId="07F20341" w14:textId="77777777" w:rsidR="00B9662D" w:rsidRDefault="00B9662D" w:rsidP="00B9662D">
      <w:pPr>
        <w:jc w:val="both"/>
      </w:pPr>
    </w:p>
    <w:p w14:paraId="6A738504" w14:textId="77777777" w:rsidR="00B9662D" w:rsidRDefault="00B9662D" w:rsidP="00B9662D">
      <w:pPr>
        <w:jc w:val="both"/>
      </w:pPr>
    </w:p>
    <w:p w14:paraId="6CC2D154" w14:textId="77777777" w:rsidR="00B9662D" w:rsidRPr="00E07116" w:rsidRDefault="00B9662D" w:rsidP="00B9662D">
      <w:pPr>
        <w:jc w:val="both"/>
      </w:pPr>
    </w:p>
    <w:p w14:paraId="08E56C6B" w14:textId="77777777" w:rsidR="00B9662D" w:rsidRPr="00F54CC7" w:rsidRDefault="00B9662D" w:rsidP="00B9662D">
      <w:pPr>
        <w:spacing w:after="120"/>
        <w:ind w:firstLine="0"/>
        <w:jc w:val="center"/>
        <w:rPr>
          <w:sz w:val="24"/>
        </w:rPr>
      </w:pPr>
      <w:bookmarkStart w:id="48" w:name="Melanges_t2_pt_9_chap_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647D03BC" w14:textId="77777777" w:rsidR="00B9662D" w:rsidRPr="00303F6A" w:rsidRDefault="00B9662D" w:rsidP="00B9662D">
      <w:pPr>
        <w:ind w:firstLine="0"/>
        <w:jc w:val="center"/>
        <w:rPr>
          <w:b/>
          <w:color w:val="000080"/>
          <w:sz w:val="24"/>
        </w:rPr>
      </w:pPr>
      <w:r>
        <w:rPr>
          <w:b/>
          <w:color w:val="000080"/>
          <w:sz w:val="24"/>
        </w:rPr>
        <w:t>9</w:t>
      </w:r>
      <w:r w:rsidRPr="00F82135">
        <w:rPr>
          <w:b/>
          <w:color w:val="000080"/>
          <w:sz w:val="24"/>
          <w:vertAlign w:val="superscript"/>
        </w:rPr>
        <w:t>e</w:t>
      </w:r>
      <w:r>
        <w:rPr>
          <w:b/>
          <w:color w:val="000080"/>
          <w:sz w:val="24"/>
        </w:rPr>
        <w:t xml:space="preserve"> PARTIE.</w:t>
      </w:r>
      <w:r>
        <w:rPr>
          <w:b/>
          <w:color w:val="000080"/>
          <w:sz w:val="24"/>
        </w:rPr>
        <w:br/>
        <w:t>ASPECTS DE LA MENTALITÉ MÉDIÉVALE</w:t>
      </w:r>
    </w:p>
    <w:p w14:paraId="2B052C59" w14:textId="77777777" w:rsidR="00B9662D" w:rsidRPr="00384B20" w:rsidRDefault="00B9662D" w:rsidP="00B9662D">
      <w:pPr>
        <w:pStyle w:val="Titreniveau1"/>
      </w:pPr>
      <w:r w:rsidRPr="00384B20">
        <w:t>Chapitre I</w:t>
      </w:r>
      <w:r>
        <w:t>I</w:t>
      </w:r>
    </w:p>
    <w:p w14:paraId="00831F23" w14:textId="77777777" w:rsidR="00B9662D" w:rsidRPr="00E07116" w:rsidRDefault="00B9662D" w:rsidP="00B9662D">
      <w:pPr>
        <w:jc w:val="both"/>
        <w:rPr>
          <w:szCs w:val="36"/>
        </w:rPr>
      </w:pPr>
    </w:p>
    <w:p w14:paraId="414E3C29" w14:textId="77777777" w:rsidR="00B9662D" w:rsidRPr="00E07116" w:rsidRDefault="00B9662D" w:rsidP="00B9662D">
      <w:pPr>
        <w:pStyle w:val="Titreniveau2"/>
      </w:pPr>
      <w:r>
        <w:t>la vie d’outre-tombe</w:t>
      </w:r>
      <w:r>
        <w:br/>
        <w:t>du roi salomon </w:t>
      </w:r>
      <w:r>
        <w:rPr>
          <w:rStyle w:val="Appelnotedebasdep"/>
        </w:rPr>
        <w:footnoteReference w:id="968"/>
      </w:r>
    </w:p>
    <w:bookmarkEnd w:id="48"/>
    <w:p w14:paraId="7166BE72" w14:textId="77777777" w:rsidR="00B9662D" w:rsidRDefault="00B9662D" w:rsidP="00B9662D">
      <w:pPr>
        <w:jc w:val="both"/>
        <w:rPr>
          <w:szCs w:val="36"/>
        </w:rPr>
      </w:pPr>
    </w:p>
    <w:p w14:paraId="0DA500A5" w14:textId="77777777" w:rsidR="00B9662D" w:rsidRDefault="00B9662D" w:rsidP="00B9662D">
      <w:pPr>
        <w:jc w:val="both"/>
        <w:rPr>
          <w:szCs w:val="36"/>
        </w:rPr>
      </w:pPr>
    </w:p>
    <w:p w14:paraId="0E167CB5" w14:textId="77777777" w:rsidR="00B9662D" w:rsidRDefault="00B9662D" w:rsidP="00B9662D">
      <w:pPr>
        <w:pStyle w:val="planche"/>
      </w:pPr>
      <w:r>
        <w:t>I</w:t>
      </w:r>
    </w:p>
    <w:p w14:paraId="0FBAD92A" w14:textId="77777777" w:rsidR="00B9662D" w:rsidRDefault="00B9662D" w:rsidP="00B9662D">
      <w:pPr>
        <w:jc w:val="both"/>
        <w:rPr>
          <w:szCs w:val="36"/>
        </w:rPr>
      </w:pPr>
    </w:p>
    <w:p w14:paraId="0E29D696" w14:textId="77777777" w:rsidR="00B9662D" w:rsidRDefault="00B9662D" w:rsidP="00B9662D">
      <w:pPr>
        <w:spacing w:before="120" w:after="120"/>
        <w:jc w:val="both"/>
        <w:rPr>
          <w:color w:val="000000"/>
          <w:lang w:eastAsia="fr-FR" w:bidi="fr-FR"/>
        </w:rPr>
      </w:pPr>
    </w:p>
    <w:p w14:paraId="7619E00D"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59B54F54" w14:textId="77777777" w:rsidR="00B9662D" w:rsidRPr="000F765B" w:rsidRDefault="00B9662D" w:rsidP="00B9662D">
      <w:pPr>
        <w:spacing w:before="120" w:after="120"/>
        <w:jc w:val="both"/>
      </w:pPr>
      <w:r w:rsidRPr="000F765B">
        <w:rPr>
          <w:lang w:eastAsia="fr-FR" w:bidi="fr-FR"/>
        </w:rPr>
        <w:t>On lit, dans une vie latine de saint Édouard le Confesseur, conse</w:t>
      </w:r>
      <w:r w:rsidRPr="000F765B">
        <w:rPr>
          <w:lang w:eastAsia="fr-FR" w:bidi="fr-FR"/>
        </w:rPr>
        <w:t>r</w:t>
      </w:r>
      <w:r w:rsidRPr="000F765B">
        <w:rPr>
          <w:lang w:eastAsia="fr-FR" w:bidi="fr-FR"/>
        </w:rPr>
        <w:t xml:space="preserve">vée dans un légendier du </w:t>
      </w:r>
      <w:r>
        <w:rPr>
          <w:lang w:eastAsia="fr-FR" w:bidi="fr-FR"/>
        </w:rPr>
        <w:t>XIII</w:t>
      </w:r>
      <w:r w:rsidRPr="000F765B">
        <w:rPr>
          <w:vertAlign w:val="superscript"/>
          <w:lang w:eastAsia="fr-FR" w:bidi="fr-FR"/>
        </w:rPr>
        <w:t>e</w:t>
      </w:r>
      <w:r w:rsidRPr="000F765B">
        <w:rPr>
          <w:lang w:eastAsia="fr-FR" w:bidi="fr-FR"/>
        </w:rPr>
        <w:t xml:space="preserve"> siècle, qui fait aujourd’hui partie de la bibliothèque de </w:t>
      </w:r>
      <w:r w:rsidRPr="00B73CE7">
        <w:rPr>
          <w:i/>
        </w:rPr>
        <w:t>Corpus Christi College</w:t>
      </w:r>
      <w:r w:rsidRPr="000F765B">
        <w:rPr>
          <w:lang w:eastAsia="fr-FR" w:bidi="fr-FR"/>
        </w:rPr>
        <w:t>, à Cambridge, l’historiette suivante</w:t>
      </w:r>
      <w:r>
        <w:rPr>
          <w:vertAlign w:val="superscript"/>
          <w:lang w:eastAsia="fr-FR" w:bidi="fr-FR"/>
        </w:rPr>
        <w:t> </w:t>
      </w:r>
      <w:r w:rsidRPr="00B73CE7">
        <w:rPr>
          <w:rStyle w:val="Appelnotedebasdep"/>
        </w:rPr>
        <w:footnoteReference w:id="969"/>
      </w:r>
      <w:r w:rsidRPr="000F765B">
        <w:rPr>
          <w:lang w:eastAsia="fr-FR" w:bidi="fr-FR"/>
        </w:rPr>
        <w:t> :</w:t>
      </w:r>
    </w:p>
    <w:p w14:paraId="1BB1260E" w14:textId="77777777" w:rsidR="00B9662D" w:rsidRPr="000F765B" w:rsidRDefault="00B9662D" w:rsidP="00B9662D">
      <w:pPr>
        <w:spacing w:before="120" w:after="120"/>
        <w:jc w:val="both"/>
      </w:pPr>
      <w:r w:rsidRPr="000F765B">
        <w:rPr>
          <w:lang w:eastAsia="fr-FR" w:bidi="fr-FR"/>
        </w:rPr>
        <w:lastRenderedPageBreak/>
        <w:t>« Deux Anglais se rendaient en pèlerinage à Jérusalem. Ils y firent leurs prières et leurs offrandes ; puis, tant bien que mal, au prix de bien des fatigues, ils gagnèrent le Mont Sinaï... Non loin de ce lieu, coule, au pied des montagnes, un fleuve qui sort du Paradis ; les pèl</w:t>
      </w:r>
      <w:r w:rsidRPr="000F765B">
        <w:rPr>
          <w:lang w:eastAsia="fr-FR" w:bidi="fr-FR"/>
        </w:rPr>
        <w:t>e</w:t>
      </w:r>
      <w:r w:rsidRPr="000F765B">
        <w:rPr>
          <w:lang w:eastAsia="fr-FR" w:bidi="fr-FR"/>
        </w:rPr>
        <w:t>rins décidèrent de partir à la recherche de sa source. Mais, allant de-ci de-là, ils s’égarèrent de divers côtés. Enfin, après avoir perdu bea</w:t>
      </w:r>
      <w:r w:rsidRPr="000F765B">
        <w:rPr>
          <w:lang w:eastAsia="fr-FR" w:bidi="fr-FR"/>
        </w:rPr>
        <w:t>u</w:t>
      </w:r>
      <w:r w:rsidRPr="000F765B">
        <w:rPr>
          <w:lang w:eastAsia="fr-FR" w:bidi="fr-FR"/>
        </w:rPr>
        <w:t>coup de jours à errer ainsi vainement, ils se heurtèrent à un mur, qu’ils ne purent franchir en aucun</w:t>
      </w:r>
      <w:r>
        <w:t xml:space="preserve"> [921] </w:t>
      </w:r>
      <w:r w:rsidRPr="000F765B">
        <w:rPr>
          <w:lang w:eastAsia="fr-FR" w:bidi="fr-FR"/>
        </w:rPr>
        <w:t>point. Sa longueur était inappréci</w:t>
      </w:r>
      <w:r w:rsidRPr="000F765B">
        <w:rPr>
          <w:lang w:eastAsia="fr-FR" w:bidi="fr-FR"/>
        </w:rPr>
        <w:t>a</w:t>
      </w:r>
      <w:r w:rsidRPr="000F765B">
        <w:rPr>
          <w:lang w:eastAsia="fr-FR" w:bidi="fr-FR"/>
        </w:rPr>
        <w:t>ble, et sa hauteur infinie. Cependant, en longeant l’Euphrate, ils ape</w:t>
      </w:r>
      <w:r w:rsidRPr="000F765B">
        <w:rPr>
          <w:lang w:eastAsia="fr-FR" w:bidi="fr-FR"/>
        </w:rPr>
        <w:t>r</w:t>
      </w:r>
      <w:r w:rsidRPr="000F765B">
        <w:rPr>
          <w:lang w:eastAsia="fr-FR" w:bidi="fr-FR"/>
        </w:rPr>
        <w:t>çurent une arche qui s’arrondissait au-dessus du fleuve ; les ondes, en dessous, bouillonnaient avec violence : « Qu’allons-nous faire ? » d</w:t>
      </w:r>
      <w:r w:rsidRPr="000F765B">
        <w:rPr>
          <w:lang w:eastAsia="fr-FR" w:bidi="fr-FR"/>
        </w:rPr>
        <w:t>i</w:t>
      </w:r>
      <w:r w:rsidRPr="000F765B">
        <w:rPr>
          <w:lang w:eastAsia="fr-FR" w:bidi="fr-FR"/>
        </w:rPr>
        <w:t>rent-ils. « Où pou</w:t>
      </w:r>
      <w:r w:rsidRPr="000F765B">
        <w:rPr>
          <w:lang w:eastAsia="fr-FR" w:bidi="fr-FR"/>
        </w:rPr>
        <w:t>r</w:t>
      </w:r>
      <w:r w:rsidRPr="000F765B">
        <w:rPr>
          <w:lang w:eastAsia="fr-FR" w:bidi="fr-FR"/>
        </w:rPr>
        <w:t>rons-nous passer ? L’Ange du Conseil, qui fut notre guide dans le d</w:t>
      </w:r>
      <w:r w:rsidRPr="000F765B">
        <w:rPr>
          <w:lang w:eastAsia="fr-FR" w:bidi="fr-FR"/>
        </w:rPr>
        <w:t>é</w:t>
      </w:r>
      <w:r w:rsidRPr="000F765B">
        <w:rPr>
          <w:lang w:eastAsia="fr-FR" w:bidi="fr-FR"/>
        </w:rPr>
        <w:t>sert, peut nous diriger aussi dans l’onde ». Ils mettent donc leurs mains dans l’eau, et la trouvent tiède et d’une température tout à fait modérée. Ils enlèvent leurs vêtements, plongent rapidement dans les ondes, laissent derrière eux l’arche et abordent de l’autre c</w:t>
      </w:r>
      <w:r w:rsidRPr="000F765B">
        <w:rPr>
          <w:lang w:eastAsia="fr-FR" w:bidi="fr-FR"/>
        </w:rPr>
        <w:t>ô</w:t>
      </w:r>
      <w:r w:rsidRPr="000F765B">
        <w:rPr>
          <w:lang w:eastAsia="fr-FR" w:bidi="fr-FR"/>
        </w:rPr>
        <w:t>té. Ils aperçoivent alors en face d’eux, toute proche, une forêt feuillue et ombreuse ; ils y entrent et y découvrent un palais, si vieux qu’il tombait en ruines. Ils y voient des chambres et des salles en grand no</w:t>
      </w:r>
      <w:r w:rsidRPr="000F765B">
        <w:rPr>
          <w:lang w:eastAsia="fr-FR" w:bidi="fr-FR"/>
        </w:rPr>
        <w:t>m</w:t>
      </w:r>
      <w:r w:rsidRPr="000F765B">
        <w:rPr>
          <w:lang w:eastAsia="fr-FR" w:bidi="fr-FR"/>
        </w:rPr>
        <w:t xml:space="preserve">bre, les parcourent une à une et les trouvent </w:t>
      </w:r>
      <w:r w:rsidRPr="000F765B">
        <w:rPr>
          <w:lang w:eastAsia="fr-FR" w:bidi="fr-FR"/>
        </w:rPr>
        <w:lastRenderedPageBreak/>
        <w:t>toutes vides d’habitants. Enfin, visitant la dernière chambre, ils y rencontrent bru</w:t>
      </w:r>
      <w:r w:rsidRPr="000F765B">
        <w:rPr>
          <w:lang w:eastAsia="fr-FR" w:bidi="fr-FR"/>
        </w:rPr>
        <w:t>s</w:t>
      </w:r>
      <w:r w:rsidRPr="000F765B">
        <w:rPr>
          <w:lang w:eastAsia="fr-FR" w:bidi="fr-FR"/>
        </w:rPr>
        <w:t>quement un personnage de noble allure</w:t>
      </w:r>
      <w:r>
        <w:rPr>
          <w:lang w:eastAsia="fr-FR" w:bidi="fr-FR"/>
        </w:rPr>
        <w:t> </w:t>
      </w:r>
      <w:r>
        <w:rPr>
          <w:rStyle w:val="Appelnotedebasdep"/>
        </w:rPr>
        <w:footnoteReference w:id="970"/>
      </w:r>
      <w:r w:rsidRPr="000F765B">
        <w:rPr>
          <w:lang w:eastAsia="fr-FR" w:bidi="fr-FR"/>
        </w:rPr>
        <w:t>, remarquable par l’agrément de son vis</w:t>
      </w:r>
      <w:r w:rsidRPr="000F765B">
        <w:rPr>
          <w:lang w:eastAsia="fr-FR" w:bidi="fr-FR"/>
        </w:rPr>
        <w:t>a</w:t>
      </w:r>
      <w:r w:rsidRPr="000F765B">
        <w:rPr>
          <w:lang w:eastAsia="fr-FR" w:bidi="fr-FR"/>
        </w:rPr>
        <w:t>ge. Lui, les voyant tout tremblant les réconforte par ces mots : « Quelle est votre nation ? quelle est la raison d’un si long voyage ? Voici bien longtemps que je n’avais vu personne ici, moi qui demeure dans cette solitude depuis tant d’années. Mais allez, hâtez-vous : une fois ce bois dépassé, vous verrez apparaître devant vous la cité royale, pleine de toutes les délices du Salut et de la Vie. S’il vous arrivait d’y être hébergés une nuit, vous jouiriez sans faute de l’abondance de tous les biens. » Cependant ils lui demandent son nom. Il leur apprend alors que, né de la cuisse de David, il fut co</w:t>
      </w:r>
      <w:r w:rsidRPr="000F765B">
        <w:rPr>
          <w:lang w:eastAsia="fr-FR" w:bidi="fr-FR"/>
        </w:rPr>
        <w:t>m</w:t>
      </w:r>
      <w:r w:rsidRPr="000F765B">
        <w:rPr>
          <w:lang w:eastAsia="fr-FR" w:bidi="fr-FR"/>
        </w:rPr>
        <w:t>munément appelé le roi Salomon. Ayant provoqué très gravement la colère de Dieu, il fait p</w:t>
      </w:r>
      <w:r w:rsidRPr="000F765B">
        <w:rPr>
          <w:lang w:eastAsia="fr-FR" w:bidi="fr-FR"/>
        </w:rPr>
        <w:t>é</w:t>
      </w:r>
      <w:r w:rsidRPr="000F765B">
        <w:rPr>
          <w:lang w:eastAsia="fr-FR" w:bidi="fr-FR"/>
        </w:rPr>
        <w:t>nitence, frappé de ce châtiment [qu’ils ont vu], jusqu’au jour du Jugement. Ayant entendu ces paroles, les pèl</w:t>
      </w:r>
      <w:r w:rsidRPr="000F765B">
        <w:rPr>
          <w:lang w:eastAsia="fr-FR" w:bidi="fr-FR"/>
        </w:rPr>
        <w:t>e</w:t>
      </w:r>
      <w:r w:rsidRPr="000F765B">
        <w:rPr>
          <w:lang w:eastAsia="fr-FR" w:bidi="fr-FR"/>
        </w:rPr>
        <w:t>rins furent émus de co</w:t>
      </w:r>
      <w:r w:rsidRPr="000F765B">
        <w:rPr>
          <w:lang w:eastAsia="fr-FR" w:bidi="fr-FR"/>
        </w:rPr>
        <w:t>m</w:t>
      </w:r>
      <w:r w:rsidRPr="000F765B">
        <w:rPr>
          <w:lang w:eastAsia="fr-FR" w:bidi="fr-FR"/>
        </w:rPr>
        <w:t>ponction dans leur cœur ; ils demandèrent la permission de se retirer et partirent. »</w:t>
      </w:r>
    </w:p>
    <w:p w14:paraId="760DA712" w14:textId="77777777" w:rsidR="00B9662D" w:rsidRPr="000F765B" w:rsidRDefault="00B9662D" w:rsidP="00B9662D">
      <w:pPr>
        <w:spacing w:before="120" w:after="120"/>
        <w:jc w:val="both"/>
      </w:pPr>
      <w:r w:rsidRPr="000F765B">
        <w:rPr>
          <w:lang w:eastAsia="fr-FR" w:bidi="fr-FR"/>
        </w:rPr>
        <w:t>La fin de leur merveilleux voyage</w:t>
      </w:r>
      <w:r>
        <w:rPr>
          <w:lang w:eastAsia="fr-FR" w:bidi="fr-FR"/>
        </w:rPr>
        <w:t> — </w:t>
      </w:r>
      <w:r w:rsidRPr="00B73CE7">
        <w:rPr>
          <w:i/>
        </w:rPr>
        <w:t>itinerarium stupendum</w:t>
      </w:r>
      <w:r>
        <w:rPr>
          <w:lang w:eastAsia="fr-FR" w:bidi="fr-FR"/>
        </w:rPr>
        <w:t> — </w:t>
      </w:r>
      <w:r w:rsidRPr="000F765B">
        <w:rPr>
          <w:lang w:eastAsia="fr-FR" w:bidi="fr-FR"/>
        </w:rPr>
        <w:t>ne nous intéresse plus ici. Qu’il nous suffise de savoir que, accueillis par saint Jean l’Évangéliste sur le seuil de la cité céleste, ils y furent i</w:t>
      </w:r>
      <w:r w:rsidRPr="000F765B">
        <w:rPr>
          <w:lang w:eastAsia="fr-FR" w:bidi="fr-FR"/>
        </w:rPr>
        <w:t>n</w:t>
      </w:r>
      <w:r w:rsidRPr="000F765B">
        <w:rPr>
          <w:lang w:eastAsia="fr-FR" w:bidi="fr-FR"/>
        </w:rPr>
        <w:t>troduits par lui, y prirent un repas « abondant en tous les biens de la terre », mais n’obtinrent pas d’y passer la nuit. L’apôtre, en les cong</w:t>
      </w:r>
      <w:r w:rsidRPr="000F765B">
        <w:rPr>
          <w:lang w:eastAsia="fr-FR" w:bidi="fr-FR"/>
        </w:rPr>
        <w:t>é</w:t>
      </w:r>
      <w:r w:rsidRPr="000F765B">
        <w:rPr>
          <w:lang w:eastAsia="fr-FR" w:bidi="fr-FR"/>
        </w:rPr>
        <w:t>diant, les chargea d’une mission. Jadis, déguisant ses traits sous l’habit d’un pèlerin, il s’était présenté devant le roi Édouard et lui avait demandé l’aumône ; le pieux monarque alors, tirant du doigt sa propre bague, l’avait remise au mendiant inconnu dont il ne pouvait soupçonner le caractère sacré. Le moment est venu de récompenser cet acte de charité. Que les deux Anglais rapportent l’anneau à leur prince, et lui annoncent en même temps que, dans moins de six mois, le séjour des élus s’ouvrira devant lui. Six mois ! le délai est court pour un pareil trajet. Qu’à cela ne tienne ! Les habitants du Paradis n’en sont pas à un miracle près. Dès le lendemain matin, nos explor</w:t>
      </w:r>
      <w:r w:rsidRPr="000F765B">
        <w:rPr>
          <w:lang w:eastAsia="fr-FR" w:bidi="fr-FR"/>
        </w:rPr>
        <w:t>a</w:t>
      </w:r>
      <w:r w:rsidRPr="000F765B">
        <w:rPr>
          <w:lang w:eastAsia="fr-FR" w:bidi="fr-FR"/>
        </w:rPr>
        <w:t>teurs se réveillent dans leur propre patrie, au sommet d’un coteau, dans le comté d’York.</w:t>
      </w:r>
    </w:p>
    <w:p w14:paraId="04CF6264" w14:textId="77777777" w:rsidR="00B9662D" w:rsidRPr="000F765B" w:rsidRDefault="00B9662D" w:rsidP="00B9662D">
      <w:pPr>
        <w:spacing w:before="120" w:after="120"/>
        <w:jc w:val="both"/>
      </w:pPr>
      <w:r w:rsidRPr="000F765B">
        <w:rPr>
          <w:lang w:eastAsia="fr-FR" w:bidi="fr-FR"/>
        </w:rPr>
        <w:lastRenderedPageBreak/>
        <w:t xml:space="preserve">La </w:t>
      </w:r>
      <w:r w:rsidRPr="000F765B">
        <w:t>Vie</w:t>
      </w:r>
      <w:r w:rsidRPr="000F765B">
        <w:rPr>
          <w:lang w:eastAsia="fr-FR" w:bidi="fr-FR"/>
        </w:rPr>
        <w:t xml:space="preserve"> de saint Édouard, telle que la présente le manuscrit de Cambridge, n’est pas un œuvre originale</w:t>
      </w:r>
      <w:r>
        <w:rPr>
          <w:lang w:eastAsia="fr-FR" w:bidi="fr-FR"/>
        </w:rPr>
        <w:t> </w:t>
      </w:r>
      <w:r>
        <w:rPr>
          <w:rStyle w:val="Appelnotedebasdep"/>
        </w:rPr>
        <w:footnoteReference w:id="971"/>
      </w:r>
      <w:r w:rsidRPr="000F765B">
        <w:rPr>
          <w:lang w:eastAsia="fr-FR" w:bidi="fr-FR"/>
        </w:rPr>
        <w:t>. Elle ne constitue qu’une version</w:t>
      </w:r>
      <w:r>
        <w:t xml:space="preserve"> </w:t>
      </w:r>
      <w:r>
        <w:rPr>
          <w:lang w:eastAsia="fr-FR" w:bidi="fr-FR"/>
        </w:rPr>
        <w:t xml:space="preserve">[922] </w:t>
      </w:r>
      <w:r w:rsidRPr="000F765B">
        <w:rPr>
          <w:lang w:eastAsia="fr-FR" w:bidi="fr-FR"/>
        </w:rPr>
        <w:t>remaniée</w:t>
      </w:r>
      <w:r>
        <w:rPr>
          <w:lang w:eastAsia="fr-FR" w:bidi="fr-FR"/>
        </w:rPr>
        <w:t> — </w:t>
      </w:r>
      <w:r w:rsidRPr="000F765B">
        <w:rPr>
          <w:lang w:eastAsia="fr-FR" w:bidi="fr-FR"/>
        </w:rPr>
        <w:t>entre 1161 et 1250 ou environ</w:t>
      </w:r>
      <w:r>
        <w:rPr>
          <w:lang w:eastAsia="fr-FR" w:bidi="fr-FR"/>
        </w:rPr>
        <w:t> — </w:t>
      </w:r>
      <w:r w:rsidRPr="000F765B">
        <w:rPr>
          <w:lang w:eastAsia="fr-FR" w:bidi="fr-FR"/>
        </w:rPr>
        <w:t>d’une biographie plus ancienne, qu’avait composée en 1138 le prieur de Westminster, Osbert de Clare : version abrégée, d’une façon générale, mais interp</w:t>
      </w:r>
      <w:r w:rsidRPr="000F765B">
        <w:rPr>
          <w:lang w:eastAsia="fr-FR" w:bidi="fr-FR"/>
        </w:rPr>
        <w:t>o</w:t>
      </w:r>
      <w:r w:rsidRPr="000F765B">
        <w:rPr>
          <w:lang w:eastAsia="fr-FR" w:bidi="fr-FR"/>
        </w:rPr>
        <w:t>lée aussi.</w:t>
      </w:r>
    </w:p>
    <w:p w14:paraId="22FE4BC1" w14:textId="77777777" w:rsidR="00B9662D" w:rsidRPr="000F765B" w:rsidRDefault="00B9662D" w:rsidP="00B9662D">
      <w:pPr>
        <w:spacing w:before="120" w:after="120"/>
        <w:jc w:val="both"/>
      </w:pPr>
      <w:r w:rsidRPr="000F765B">
        <w:rPr>
          <w:lang w:eastAsia="fr-FR" w:bidi="fr-FR"/>
        </w:rPr>
        <w:t>Le récit relatif à l’anneau de saint Jean compte précisément au nombre des passages ajoutés au modèle. Cette jolie anecdote, qui d</w:t>
      </w:r>
      <w:r w:rsidRPr="000F765B">
        <w:rPr>
          <w:lang w:eastAsia="fr-FR" w:bidi="fr-FR"/>
        </w:rPr>
        <w:t>e</w:t>
      </w:r>
      <w:r w:rsidRPr="000F765B">
        <w:rPr>
          <w:lang w:eastAsia="fr-FR" w:bidi="fr-FR"/>
        </w:rPr>
        <w:t>vait devenir une des fleurs les plus illustres de la couronne légendaire du saint, était encore inconnue d’Osbert de Clare et de ses contemp</w:t>
      </w:r>
      <w:r w:rsidRPr="000F765B">
        <w:rPr>
          <w:lang w:eastAsia="fr-FR" w:bidi="fr-FR"/>
        </w:rPr>
        <w:t>o</w:t>
      </w:r>
      <w:r w:rsidRPr="000F765B">
        <w:rPr>
          <w:lang w:eastAsia="fr-FR" w:bidi="fr-FR"/>
        </w:rPr>
        <w:t>rains. On la trouve rapportée pour la première fois par le cistercien Ailred de Rievaulx, qui écrivit en 1163 une nouvelle vie d’Édouard. Mais dans cet ouvrage, dont le succès rejeta bientôt dans l’ombre les verbeuses élucubrations d’Osbert, elle ne revêt pas la forme que nous venons de lui voir. Ailred, suivi par l’ensemble des hagiographes po</w:t>
      </w:r>
      <w:r w:rsidRPr="000F765B">
        <w:rPr>
          <w:lang w:eastAsia="fr-FR" w:bidi="fr-FR"/>
        </w:rPr>
        <w:t>s</w:t>
      </w:r>
      <w:r w:rsidRPr="000F765B">
        <w:rPr>
          <w:lang w:eastAsia="fr-FR" w:bidi="fr-FR"/>
        </w:rPr>
        <w:t>térieurs, se contente de nous dire, sans beaucoup de détails, que les deux pèlerins, s’étant égarés sur la route du Saint-Sépulcre, rencontr</w:t>
      </w:r>
      <w:r w:rsidRPr="000F765B">
        <w:rPr>
          <w:lang w:eastAsia="fr-FR" w:bidi="fr-FR"/>
        </w:rPr>
        <w:t>è</w:t>
      </w:r>
      <w:r w:rsidRPr="000F765B">
        <w:rPr>
          <w:lang w:eastAsia="fr-FR" w:bidi="fr-FR"/>
        </w:rPr>
        <w:t>rent saint Jean qui les hébergea dans « une très noble cité ». Il ignore tout de leur expédition vers le Paradis et de leur entretien avec le fils de David</w:t>
      </w:r>
      <w:r>
        <w:rPr>
          <w:lang w:eastAsia="fr-FR" w:bidi="fr-FR"/>
        </w:rPr>
        <w:t> </w:t>
      </w:r>
      <w:r>
        <w:rPr>
          <w:rStyle w:val="Appelnotedebasdep"/>
        </w:rPr>
        <w:footnoteReference w:id="972"/>
      </w:r>
      <w:r w:rsidRPr="000F765B">
        <w:rPr>
          <w:lang w:eastAsia="fr-FR" w:bidi="fr-FR"/>
        </w:rPr>
        <w:t>. Le morceau qui a été traduit plus haut appartient en propre à la rédaction de Cambridge. Il faut bien avouer qu’il n’est pas fort utile à la trame générale de l’histoire. C’est un hors-d’œuvre, mais agréable et curieux.</w:t>
      </w:r>
    </w:p>
    <w:p w14:paraId="10ACF226" w14:textId="77777777" w:rsidR="00B9662D" w:rsidRPr="000F765B" w:rsidRDefault="00B9662D" w:rsidP="00B9662D">
      <w:pPr>
        <w:spacing w:before="120" w:after="120"/>
        <w:jc w:val="both"/>
      </w:pPr>
      <w:r w:rsidRPr="000F765B">
        <w:rPr>
          <w:lang w:eastAsia="fr-FR" w:bidi="fr-FR"/>
        </w:rPr>
        <w:t xml:space="preserve">Les hommes du Moyen </w:t>
      </w:r>
      <w:r>
        <w:rPr>
          <w:lang w:eastAsia="fr-FR" w:bidi="fr-FR"/>
        </w:rPr>
        <w:t>Â</w:t>
      </w:r>
      <w:r w:rsidRPr="000F765B">
        <w:rPr>
          <w:lang w:eastAsia="fr-FR" w:bidi="fr-FR"/>
        </w:rPr>
        <w:t>ge ont toujours beaucoup rêvé sur l’au-delà ; et leurs curiosités, leurs doutes, leurs espoirs ont trouvé leur e</w:t>
      </w:r>
      <w:r w:rsidRPr="000F765B">
        <w:rPr>
          <w:lang w:eastAsia="fr-FR" w:bidi="fr-FR"/>
        </w:rPr>
        <w:t>x</w:t>
      </w:r>
      <w:r w:rsidRPr="000F765B">
        <w:rPr>
          <w:lang w:eastAsia="fr-FR" w:bidi="fr-FR"/>
        </w:rPr>
        <w:t xml:space="preserve">pression dans d’innombrables contes qui relatent tantôt les visions de pieux chrétiens ravis au ciel, tantôt les aventures prodigieuses de </w:t>
      </w:r>
      <w:r w:rsidRPr="000F765B">
        <w:rPr>
          <w:lang w:eastAsia="fr-FR" w:bidi="fr-FR"/>
        </w:rPr>
        <w:lastRenderedPageBreak/>
        <w:t>voyageurs assez hardis pour pénétrer au pays des morts. Les perso</w:t>
      </w:r>
      <w:r w:rsidRPr="000F765B">
        <w:rPr>
          <w:lang w:eastAsia="fr-FR" w:bidi="fr-FR"/>
        </w:rPr>
        <w:t>n</w:t>
      </w:r>
      <w:r w:rsidRPr="000F765B">
        <w:rPr>
          <w:lang w:eastAsia="fr-FR" w:bidi="fr-FR"/>
        </w:rPr>
        <w:t>nes tant soit peu familières avec ce genre de littérature auront tout de suite reconnu dans le petit récit du légendier de Cambridge quelques thèmes d’exploitation courante ; car ces histoires d’outre-tombe sont, en général, fort peu variées. Les deux pèlerins n’eussent pas dû s’étonner de voir se dresser devant eux cette longue muraille, de ha</w:t>
      </w:r>
      <w:r w:rsidRPr="000F765B">
        <w:rPr>
          <w:lang w:eastAsia="fr-FR" w:bidi="fr-FR"/>
        </w:rPr>
        <w:t>u</w:t>
      </w:r>
      <w:r w:rsidRPr="000F765B">
        <w:rPr>
          <w:lang w:eastAsia="fr-FR" w:bidi="fr-FR"/>
        </w:rPr>
        <w:t>teur infinie, qui leur interdit si longtemps l’accès de la cité royale. Bien d’autres, avant eux, s’y étaient heurtés, tel, par exemple, le No</w:t>
      </w:r>
      <w:r w:rsidRPr="000F765B">
        <w:rPr>
          <w:lang w:eastAsia="fr-FR" w:bidi="fr-FR"/>
        </w:rPr>
        <w:t>r</w:t>
      </w:r>
      <w:r w:rsidRPr="000F765B">
        <w:rPr>
          <w:lang w:eastAsia="fr-FR" w:bidi="fr-FR"/>
        </w:rPr>
        <w:t xml:space="preserve">thumbrien Drycthelm, dont les révélations, consignées dans </w:t>
      </w:r>
      <w:r>
        <w:t>l’</w:t>
      </w:r>
      <w:r w:rsidRPr="00E070DD">
        <w:rPr>
          <w:i/>
        </w:rPr>
        <w:t>Histoire Ecclésiastique</w:t>
      </w:r>
      <w:r w:rsidRPr="000F765B">
        <w:rPr>
          <w:lang w:eastAsia="fr-FR" w:bidi="fr-FR"/>
        </w:rPr>
        <w:t xml:space="preserve"> de Bède le Vénérable, ne pouvaient guère être ignorées d’un hagiographe anglais</w:t>
      </w:r>
      <w:r>
        <w:rPr>
          <w:lang w:eastAsia="fr-FR" w:bidi="fr-FR"/>
        </w:rPr>
        <w:t> </w:t>
      </w:r>
      <w:r>
        <w:rPr>
          <w:rStyle w:val="Appelnotedebasdep"/>
        </w:rPr>
        <w:footnoteReference w:id="973"/>
      </w:r>
      <w:r w:rsidRPr="000F765B">
        <w:rPr>
          <w:lang w:eastAsia="fr-FR" w:bidi="fr-FR"/>
        </w:rPr>
        <w:t> ; tel encore ce visionnaire de Wendlock qui a fourni à saint Boniface</w:t>
      </w:r>
      <w:r>
        <w:rPr>
          <w:lang w:eastAsia="fr-FR" w:bidi="fr-FR"/>
        </w:rPr>
        <w:t> — </w:t>
      </w:r>
      <w:r w:rsidRPr="000F765B">
        <w:rPr>
          <w:lang w:eastAsia="fr-FR" w:bidi="fr-FR"/>
        </w:rPr>
        <w:t>un Anglais lui aussi</w:t>
      </w:r>
      <w:r>
        <w:rPr>
          <w:lang w:eastAsia="fr-FR" w:bidi="fr-FR"/>
        </w:rPr>
        <w:t> — </w:t>
      </w:r>
      <w:r w:rsidRPr="000F765B">
        <w:rPr>
          <w:lang w:eastAsia="fr-FR" w:bidi="fr-FR"/>
        </w:rPr>
        <w:t>la matière d’une si curieuse lettre</w:t>
      </w:r>
      <w:r>
        <w:rPr>
          <w:lang w:eastAsia="fr-FR" w:bidi="fr-FR"/>
        </w:rPr>
        <w:t> </w:t>
      </w:r>
      <w:r>
        <w:rPr>
          <w:rStyle w:val="Appelnotedebasdep"/>
        </w:rPr>
        <w:footnoteReference w:id="974"/>
      </w:r>
      <w:r w:rsidRPr="000F765B">
        <w:rPr>
          <w:lang w:eastAsia="fr-FR" w:bidi="fr-FR"/>
        </w:rPr>
        <w:t>. En revanche, les moyens employés pour triompher de l’obstacle diffèrent grandement selon les auteurs ; je crois bien que nos hommes sont les seuls dont il soit rapporté qu’ils le franchirent à la nage. Mais que l’Euphrate prît sa source dans le Par</w:t>
      </w:r>
      <w:r w:rsidRPr="000F765B">
        <w:rPr>
          <w:lang w:eastAsia="fr-FR" w:bidi="fr-FR"/>
        </w:rPr>
        <w:t>a</w:t>
      </w:r>
      <w:r w:rsidRPr="000F765B">
        <w:rPr>
          <w:lang w:eastAsia="fr-FR" w:bidi="fr-FR"/>
        </w:rPr>
        <w:t xml:space="preserve">dis, c’était, comme l’on sait, un des lieux communs de la géographie médiévale, qui l’avait emprunté à la </w:t>
      </w:r>
      <w:r w:rsidRPr="00E070DD">
        <w:rPr>
          <w:i/>
        </w:rPr>
        <w:t>Genèse</w:t>
      </w:r>
      <w:r w:rsidRPr="000F765B">
        <w:rPr>
          <w:lang w:eastAsia="fr-FR" w:bidi="fr-FR"/>
        </w:rPr>
        <w:t xml:space="preserve"> (II, 14).</w:t>
      </w:r>
    </w:p>
    <w:p w14:paraId="55D256C6" w14:textId="77777777" w:rsidR="00B9662D" w:rsidRPr="000F765B" w:rsidRDefault="00B9662D" w:rsidP="00B9662D">
      <w:pPr>
        <w:spacing w:before="120" w:after="120"/>
        <w:jc w:val="both"/>
      </w:pPr>
      <w:r>
        <w:rPr>
          <w:lang w:eastAsia="fr-FR" w:bidi="fr-FR"/>
        </w:rPr>
        <w:t>[923]</w:t>
      </w:r>
    </w:p>
    <w:p w14:paraId="0157C1E6" w14:textId="77777777" w:rsidR="00B9662D" w:rsidRPr="000F765B" w:rsidRDefault="00B9662D" w:rsidP="00B9662D">
      <w:pPr>
        <w:spacing w:before="120" w:after="120"/>
        <w:jc w:val="both"/>
      </w:pPr>
      <w:r w:rsidRPr="000F765B">
        <w:rPr>
          <w:lang w:eastAsia="fr-FR" w:bidi="fr-FR"/>
        </w:rPr>
        <w:t>Lieu commun aussi, non plus chez les géographes, mais dans l’eschatologie au moins populaire, que l’idée d’une sorte de stage i</w:t>
      </w:r>
      <w:r w:rsidRPr="000F765B">
        <w:rPr>
          <w:lang w:eastAsia="fr-FR" w:bidi="fr-FR"/>
        </w:rPr>
        <w:t>m</w:t>
      </w:r>
      <w:r w:rsidRPr="000F765B">
        <w:rPr>
          <w:lang w:eastAsia="fr-FR" w:bidi="fr-FR"/>
        </w:rPr>
        <w:t>posé à certains hôtes des surnaturelles demeures avant leur admission dans le vrai Paradis. Plusieurs descriptions nous montrent ces élus du second ordre, échappés déjà au Purgatoire ou même n’y ayant jamais passé, mais jugés indignes encore des suprêmes béatitudes, qui, dans un lieu d’ailleurs fort agréable déjà, prairies en fleurs ou délicieux ombrages, voient s’écouler leur dernier temps d’épreuve. Ce séjour provisoire est parfois assimilé au jardin d’Éden, au Paradis Terrestre, opposé au Paradis Céleste, le seul où l’on jouisse de la félicité vérit</w:t>
      </w:r>
      <w:r w:rsidRPr="000F765B">
        <w:rPr>
          <w:lang w:eastAsia="fr-FR" w:bidi="fr-FR"/>
        </w:rPr>
        <w:t>a</w:t>
      </w:r>
      <w:r w:rsidRPr="000F765B">
        <w:rPr>
          <w:lang w:eastAsia="fr-FR" w:bidi="fr-FR"/>
        </w:rPr>
        <w:t>ble, qui est la contemplation de Dieu</w:t>
      </w:r>
      <w:r>
        <w:rPr>
          <w:lang w:eastAsia="fr-FR" w:bidi="fr-FR"/>
        </w:rPr>
        <w:t> </w:t>
      </w:r>
      <w:r>
        <w:rPr>
          <w:rStyle w:val="Appelnotedebasdep"/>
        </w:rPr>
        <w:footnoteReference w:id="975"/>
      </w:r>
      <w:r w:rsidRPr="000F765B">
        <w:rPr>
          <w:lang w:eastAsia="fr-FR" w:bidi="fr-FR"/>
        </w:rPr>
        <w:t xml:space="preserve">. Selon les écrivains, c’est </w:t>
      </w:r>
      <w:r w:rsidRPr="000F765B">
        <w:rPr>
          <w:lang w:eastAsia="fr-FR" w:bidi="fr-FR"/>
        </w:rPr>
        <w:lastRenderedPageBreak/>
        <w:t>tantôt une décision particulière du Souverain Juge, tantôt (comme dans notre texte) le Jugement Dernier seulement qui doit ouvrir à ces âmes la cité céleste où elles aspirent ; le moine italien qui nous a rapporté la cél</w:t>
      </w:r>
      <w:r w:rsidRPr="000F765B">
        <w:rPr>
          <w:lang w:eastAsia="fr-FR" w:bidi="fr-FR"/>
        </w:rPr>
        <w:t>è</w:t>
      </w:r>
      <w:r w:rsidRPr="000F765B">
        <w:rPr>
          <w:lang w:eastAsia="fr-FR" w:bidi="fr-FR"/>
        </w:rPr>
        <w:t>bre vision d’Albéric ne va-t-il pas jusqu’à n’accepter auprès de Dieu, avant la Fin du Monde, qu’une toute petite poignée d’hommes part</w:t>
      </w:r>
      <w:r w:rsidRPr="000F765B">
        <w:rPr>
          <w:lang w:eastAsia="fr-FR" w:bidi="fr-FR"/>
        </w:rPr>
        <w:t>i</w:t>
      </w:r>
      <w:r w:rsidRPr="000F765B">
        <w:rPr>
          <w:lang w:eastAsia="fr-FR" w:bidi="fr-FR"/>
        </w:rPr>
        <w:t>culièrement saints, Abel, Abraham, Lazare, le Bon Larron et quelques autres qu’il ne nomme point</w:t>
      </w:r>
      <w:r>
        <w:rPr>
          <w:lang w:eastAsia="fr-FR" w:bidi="fr-FR"/>
        </w:rPr>
        <w:t> </w:t>
      </w:r>
      <w:r>
        <w:rPr>
          <w:rStyle w:val="Appelnotedebasdep"/>
        </w:rPr>
        <w:footnoteReference w:id="976"/>
      </w:r>
      <w:r w:rsidRPr="000F765B">
        <w:rPr>
          <w:lang w:eastAsia="fr-FR" w:bidi="fr-FR"/>
        </w:rPr>
        <w:t> ? Bède, dans son récit de la vision de Drycthelm, n’est point si rigoureux ; mais il sait, lui aussi, qu’une pa</w:t>
      </w:r>
      <w:r w:rsidRPr="000F765B">
        <w:rPr>
          <w:lang w:eastAsia="fr-FR" w:bidi="fr-FR"/>
        </w:rPr>
        <w:t>r</w:t>
      </w:r>
      <w:r w:rsidRPr="000F765B">
        <w:rPr>
          <w:lang w:eastAsia="fr-FR" w:bidi="fr-FR"/>
        </w:rPr>
        <w:t xml:space="preserve">tie des élus ne seront admis « au royaume des </w:t>
      </w:r>
      <w:r w:rsidRPr="000F765B">
        <w:rPr>
          <w:lang w:eastAsia="fr-FR" w:bidi="fr-FR"/>
        </w:rPr>
        <w:lastRenderedPageBreak/>
        <w:t>Cieux » qu’après le Grand Jugement</w:t>
      </w:r>
      <w:r>
        <w:rPr>
          <w:lang w:eastAsia="fr-FR" w:bidi="fr-FR"/>
        </w:rPr>
        <w:t> </w:t>
      </w:r>
      <w:r>
        <w:rPr>
          <w:rStyle w:val="Appelnotedebasdep"/>
        </w:rPr>
        <w:footnoteReference w:id="977"/>
      </w:r>
      <w:r w:rsidRPr="000F765B">
        <w:rPr>
          <w:lang w:eastAsia="fr-FR" w:bidi="fr-FR"/>
        </w:rPr>
        <w:t xml:space="preserve">. L’influence des représentations de cette sorte se marque très nettement dans le tableau que la </w:t>
      </w:r>
      <w:r w:rsidRPr="000F765B">
        <w:t>Vie</w:t>
      </w:r>
      <w:r w:rsidRPr="000F765B">
        <w:rPr>
          <w:lang w:eastAsia="fr-FR" w:bidi="fr-FR"/>
        </w:rPr>
        <w:t xml:space="preserve"> de saint Édouard nous trace du sort posthume de Salomon. En effet, lorsque celui-ci donne sa pénitence comme devant durer « usque ad diem iudicii », ce qu’il veut exprimer par là, n’en doutons pas, c’est le ferme espoir d’entrer, une fois</w:t>
      </w:r>
      <w:r>
        <w:t xml:space="preserve"> </w:t>
      </w:r>
      <w:r>
        <w:rPr>
          <w:lang w:eastAsia="fr-FR" w:bidi="fr-FR"/>
        </w:rPr>
        <w:t xml:space="preserve">[924] </w:t>
      </w:r>
      <w:r w:rsidRPr="000F765B">
        <w:rPr>
          <w:lang w:eastAsia="fr-FR" w:bidi="fr-FR"/>
        </w:rPr>
        <w:t>le terme passé, au séjour des Justes. Sur un point cependant, l’hagiographe semble original : il est le seul, autant que je puis voir, à faire de cette attente</w:t>
      </w:r>
      <w:r>
        <w:rPr>
          <w:lang w:eastAsia="fr-FR" w:bidi="fr-FR"/>
        </w:rPr>
        <w:t> — </w:t>
      </w:r>
      <w:r w:rsidRPr="000F765B">
        <w:rPr>
          <w:lang w:eastAsia="fr-FR" w:bidi="fr-FR"/>
        </w:rPr>
        <w:t>à l’intérieur des murs du Paradis, mais en dehors de la « cité royale »</w:t>
      </w:r>
      <w:r>
        <w:rPr>
          <w:lang w:eastAsia="fr-FR" w:bidi="fr-FR"/>
        </w:rPr>
        <w:t> — </w:t>
      </w:r>
      <w:r w:rsidRPr="000F765B">
        <w:rPr>
          <w:lang w:eastAsia="fr-FR" w:bidi="fr-FR"/>
        </w:rPr>
        <w:t>un châtiment perso</w:t>
      </w:r>
      <w:r w:rsidRPr="000F765B">
        <w:rPr>
          <w:lang w:eastAsia="fr-FR" w:bidi="fr-FR"/>
        </w:rPr>
        <w:t>n</w:t>
      </w:r>
      <w:r w:rsidRPr="000F765B">
        <w:rPr>
          <w:lang w:eastAsia="fr-FR" w:bidi="fr-FR"/>
        </w:rPr>
        <w:t>nel, réservé à un p</w:t>
      </w:r>
      <w:r w:rsidRPr="000F765B">
        <w:rPr>
          <w:lang w:eastAsia="fr-FR" w:bidi="fr-FR"/>
        </w:rPr>
        <w:t>é</w:t>
      </w:r>
      <w:r w:rsidRPr="000F765B">
        <w:rPr>
          <w:lang w:eastAsia="fr-FR" w:bidi="fr-FR"/>
        </w:rPr>
        <w:t>cheur unique. La solitude même où, selon cette conception, l’exilé se trouve réduit constitue un surcroît de pénitence. Mais pourquoi cette peine, qui d’ailleurs n’a rien de bien effroyable, frappe-t-elle, entre tous, le fils de David, le sage auteur de tant de l</w:t>
      </w:r>
      <w:r w:rsidRPr="000F765B">
        <w:rPr>
          <w:lang w:eastAsia="fr-FR" w:bidi="fr-FR"/>
        </w:rPr>
        <w:t>i</w:t>
      </w:r>
      <w:r w:rsidRPr="000F765B">
        <w:rPr>
          <w:lang w:eastAsia="fr-FR" w:bidi="fr-FR"/>
        </w:rPr>
        <w:t>vres sacrés ? Avant que je n’essaie de répondre à cette question, je dois produire un autre texte encore, fort différent du premier par sa nature et sa date</w:t>
      </w:r>
      <w:r>
        <w:rPr>
          <w:lang w:eastAsia="fr-FR" w:bidi="fr-FR"/>
        </w:rPr>
        <w:t> </w:t>
      </w:r>
      <w:r>
        <w:rPr>
          <w:rStyle w:val="Appelnotedebasdep"/>
        </w:rPr>
        <w:footnoteReference w:id="978"/>
      </w:r>
      <w:r w:rsidRPr="000F765B">
        <w:rPr>
          <w:lang w:eastAsia="fr-FR" w:bidi="fr-FR"/>
        </w:rPr>
        <w:t>.</w:t>
      </w:r>
    </w:p>
    <w:p w14:paraId="1EB65179" w14:textId="77777777" w:rsidR="00B9662D" w:rsidRDefault="00B9662D" w:rsidP="00B9662D">
      <w:pPr>
        <w:spacing w:before="120" w:after="120"/>
        <w:jc w:val="both"/>
        <w:rPr>
          <w:lang w:eastAsia="fr-FR" w:bidi="fr-FR"/>
        </w:rPr>
      </w:pPr>
      <w:r>
        <w:rPr>
          <w:lang w:eastAsia="fr-FR" w:bidi="fr-FR"/>
        </w:rPr>
        <w:br w:type="page"/>
      </w:r>
    </w:p>
    <w:p w14:paraId="53605C49" w14:textId="77777777" w:rsidR="00B9662D" w:rsidRPr="000F765B" w:rsidRDefault="00B9662D" w:rsidP="00B9662D">
      <w:pPr>
        <w:pStyle w:val="planche"/>
      </w:pPr>
      <w:r w:rsidRPr="000F765B">
        <w:t>II</w:t>
      </w:r>
    </w:p>
    <w:p w14:paraId="32C12CE2" w14:textId="77777777" w:rsidR="00B9662D" w:rsidRDefault="00B9662D" w:rsidP="00B9662D">
      <w:pPr>
        <w:spacing w:before="120" w:after="120"/>
        <w:jc w:val="both"/>
        <w:rPr>
          <w:lang w:eastAsia="fr-FR" w:bidi="fr-FR"/>
        </w:rPr>
      </w:pPr>
    </w:p>
    <w:p w14:paraId="37E3997E" w14:textId="77777777" w:rsidR="00B9662D" w:rsidRPr="000F765B" w:rsidRDefault="00B9662D" w:rsidP="00B9662D">
      <w:pPr>
        <w:spacing w:before="120" w:after="120"/>
        <w:jc w:val="both"/>
      </w:pPr>
      <w:r w:rsidRPr="000F765B">
        <w:rPr>
          <w:lang w:eastAsia="fr-FR" w:bidi="fr-FR"/>
        </w:rPr>
        <w:t>Vers 1431, Jean Jouvenel des Ursins, qui était alors ou allait dev</w:t>
      </w:r>
      <w:r w:rsidRPr="000F765B">
        <w:rPr>
          <w:lang w:eastAsia="fr-FR" w:bidi="fr-FR"/>
        </w:rPr>
        <w:t>e</w:t>
      </w:r>
      <w:r w:rsidRPr="000F765B">
        <w:rPr>
          <w:lang w:eastAsia="fr-FR" w:bidi="fr-FR"/>
        </w:rPr>
        <w:t>nir évêque de Beauvais et qui devait mourir archevêque de Reims, composa une Chronique du règne de Charles VI. Il y rapporte, à l’année 1403, les faits suivants</w:t>
      </w:r>
      <w:r>
        <w:rPr>
          <w:lang w:eastAsia="fr-FR" w:bidi="fr-FR"/>
        </w:rPr>
        <w:t> </w:t>
      </w:r>
      <w:r>
        <w:rPr>
          <w:rStyle w:val="Appelnotedebasdep"/>
        </w:rPr>
        <w:footnoteReference w:id="979"/>
      </w:r>
      <w:r w:rsidRPr="000F765B">
        <w:rPr>
          <w:lang w:eastAsia="fr-FR" w:bidi="fr-FR"/>
        </w:rPr>
        <w:t>.</w:t>
      </w:r>
    </w:p>
    <w:p w14:paraId="318443E0" w14:textId="77777777" w:rsidR="00B9662D" w:rsidRPr="000F765B" w:rsidRDefault="00B9662D" w:rsidP="00B9662D">
      <w:pPr>
        <w:spacing w:before="120" w:after="120"/>
        <w:jc w:val="both"/>
      </w:pPr>
      <w:r w:rsidRPr="000F765B">
        <w:rPr>
          <w:lang w:eastAsia="fr-FR" w:bidi="fr-FR"/>
        </w:rPr>
        <w:t>Un homme, à Paris, voulait parler au Diable. D’où lui venait un p</w:t>
      </w:r>
      <w:r w:rsidRPr="000F765B">
        <w:rPr>
          <w:lang w:eastAsia="fr-FR" w:bidi="fr-FR"/>
        </w:rPr>
        <w:t>a</w:t>
      </w:r>
      <w:r w:rsidRPr="000F765B">
        <w:rPr>
          <w:lang w:eastAsia="fr-FR" w:bidi="fr-FR"/>
        </w:rPr>
        <w:t>reil désir ? C’est ce qui n’est pas clairement expliqué. Je crois co</w:t>
      </w:r>
      <w:r w:rsidRPr="000F765B">
        <w:rPr>
          <w:lang w:eastAsia="fr-FR" w:bidi="fr-FR"/>
        </w:rPr>
        <w:t>m</w:t>
      </w:r>
      <w:r w:rsidRPr="000F765B">
        <w:rPr>
          <w:lang w:eastAsia="fr-FR" w:bidi="fr-FR"/>
        </w:rPr>
        <w:t>prendre cependant que le motif en était un sentiment de curiosité, peut-être intéressé. Ce Parisien tenait absolument à poser au Prince des Ténèbres une certaine question, dont l’objet malheureusement ne nous est pas indiqué ; tourmenté sans doute par quelque énigme dont le mot lui échappait, il ne voyait, pour sortir d’incertitude, d’autre moyen que de consulter le subtil connaisseur de tant de choses c</w:t>
      </w:r>
      <w:r w:rsidRPr="000F765B">
        <w:rPr>
          <w:lang w:eastAsia="fr-FR" w:bidi="fr-FR"/>
        </w:rPr>
        <w:t>a</w:t>
      </w:r>
      <w:r w:rsidRPr="000F765B">
        <w:rPr>
          <w:lang w:eastAsia="fr-FR" w:bidi="fr-FR"/>
        </w:rPr>
        <w:t>chées. Il chercha un intermédiaire, et fut longtemps sans trouver. E</w:t>
      </w:r>
      <w:r w:rsidRPr="000F765B">
        <w:rPr>
          <w:lang w:eastAsia="fr-FR" w:bidi="fr-FR"/>
        </w:rPr>
        <w:t>n</w:t>
      </w:r>
      <w:r w:rsidRPr="000F765B">
        <w:rPr>
          <w:lang w:eastAsia="fr-FR" w:bidi="fr-FR"/>
        </w:rPr>
        <w:t>fin, on lui conseilla de se rendre en « Escosse la Saulvage ». Il suivit cet avis et là-bas fit la connaissance d’une vieille « qu’on disoit soi mesler de teles besongnes », et qui, en effet, accepta de lui procurer l’entretien souhaité. Elle l’amena vers un vieux château « tout dero</w:t>
      </w:r>
      <w:r w:rsidRPr="000F765B">
        <w:rPr>
          <w:lang w:eastAsia="fr-FR" w:bidi="fr-FR"/>
        </w:rPr>
        <w:t>m</w:t>
      </w:r>
      <w:r w:rsidRPr="000F765B">
        <w:rPr>
          <w:lang w:eastAsia="fr-FR" w:bidi="fr-FR"/>
        </w:rPr>
        <w:t>pu, et n’y avoit que les murs et paroitz tout plain de ronces et esp</w:t>
      </w:r>
      <w:r w:rsidRPr="000F765B">
        <w:rPr>
          <w:lang w:eastAsia="fr-FR" w:bidi="fr-FR"/>
        </w:rPr>
        <w:t>i</w:t>
      </w:r>
      <w:r w:rsidRPr="000F765B">
        <w:rPr>
          <w:lang w:eastAsia="fr-FR" w:bidi="fr-FR"/>
        </w:rPr>
        <w:t>nes ». Sur le mur, on remarquait une de ces saillies de pierre qu’on appelle, en termes d’architecture, des corbeaux « comme por soustenir un gros bois ». Notre « compaignon » reçut pour instruction de se t</w:t>
      </w:r>
      <w:r w:rsidRPr="000F765B">
        <w:rPr>
          <w:lang w:eastAsia="fr-FR" w:bidi="fr-FR"/>
        </w:rPr>
        <w:t>e</w:t>
      </w:r>
      <w:r w:rsidRPr="000F765B">
        <w:rPr>
          <w:lang w:eastAsia="fr-FR" w:bidi="fr-FR"/>
        </w:rPr>
        <w:t>nir là « sans avoir paour » jusqu’à ce qu’il vît venir vers lui « un homme en maniéré d’un Maur de Maurienne » ; cet homme noir r</w:t>
      </w:r>
      <w:r w:rsidRPr="000F765B">
        <w:rPr>
          <w:lang w:eastAsia="fr-FR" w:bidi="fr-FR"/>
        </w:rPr>
        <w:t>é</w:t>
      </w:r>
      <w:r w:rsidRPr="000F765B">
        <w:rPr>
          <w:lang w:eastAsia="fr-FR" w:bidi="fr-FR"/>
        </w:rPr>
        <w:t>pondrait à toutes ses questions. Et voici ce qui se passa pendant l’attente ; je cite textuellement :</w:t>
      </w:r>
    </w:p>
    <w:p w14:paraId="3A2CBEB1" w14:textId="77777777" w:rsidR="00B9662D" w:rsidRPr="000F765B" w:rsidRDefault="00B9662D" w:rsidP="00B9662D">
      <w:pPr>
        <w:spacing w:before="120" w:after="120"/>
        <w:jc w:val="both"/>
      </w:pPr>
      <w:r w:rsidRPr="000F765B">
        <w:rPr>
          <w:lang w:eastAsia="fr-FR" w:bidi="fr-FR"/>
        </w:rPr>
        <w:t xml:space="preserve">« Quant il y eut esté par aucun temps, on apporta sus deulz grosses pierres une maniéré de biere ou serqueul, ouquel avoit une personne </w:t>
      </w:r>
      <w:r w:rsidRPr="000F765B">
        <w:rPr>
          <w:lang w:eastAsia="fr-FR" w:bidi="fr-FR"/>
        </w:rPr>
        <w:lastRenderedPageBreak/>
        <w:t>toute nue, laquelle fut mise sus le dit corbel » (la pièce d’architecture en saillie). « Et lors, il vit venir plus de dix mil corbeaulz » (le mot désigne cette fois</w:t>
      </w:r>
      <w:r>
        <w:t xml:space="preserve"> </w:t>
      </w:r>
      <w:r>
        <w:rPr>
          <w:lang w:eastAsia="fr-FR" w:bidi="fr-FR"/>
        </w:rPr>
        <w:t xml:space="preserve">[925] </w:t>
      </w:r>
      <w:r w:rsidRPr="000F765B">
        <w:rPr>
          <w:lang w:eastAsia="fr-FR" w:bidi="fr-FR"/>
        </w:rPr>
        <w:t>des oiseaux) « qui descharnerent ceste pe</w:t>
      </w:r>
      <w:r w:rsidRPr="000F765B">
        <w:rPr>
          <w:lang w:eastAsia="fr-FR" w:bidi="fr-FR"/>
        </w:rPr>
        <w:t>r</w:t>
      </w:r>
      <w:r w:rsidRPr="000F765B">
        <w:rPr>
          <w:lang w:eastAsia="fr-FR" w:bidi="fr-FR"/>
        </w:rPr>
        <w:t>sonne, et ly mengerent toute la char, et ne demora que les os. Et ce fait, fut remis audit se</w:t>
      </w:r>
      <w:r w:rsidRPr="000F765B">
        <w:rPr>
          <w:lang w:eastAsia="fr-FR" w:bidi="fr-FR"/>
        </w:rPr>
        <w:t>r</w:t>
      </w:r>
      <w:r w:rsidRPr="000F765B">
        <w:rPr>
          <w:lang w:eastAsia="fr-FR" w:bidi="fr-FR"/>
        </w:rPr>
        <w:t>queul et emporté ».</w:t>
      </w:r>
    </w:p>
    <w:p w14:paraId="619C6FBB" w14:textId="77777777" w:rsidR="00B9662D" w:rsidRPr="000F765B" w:rsidRDefault="00B9662D" w:rsidP="00B9662D">
      <w:pPr>
        <w:spacing w:before="120" w:after="120"/>
        <w:jc w:val="both"/>
      </w:pPr>
      <w:r w:rsidRPr="000F765B">
        <w:rPr>
          <w:lang w:eastAsia="fr-FR" w:bidi="fr-FR"/>
        </w:rPr>
        <w:t>Arrive le « Maure ». Le premier soin du spectateur de cette scène étrange est naturellement de lui demander « ce que c’estoit de cest homme ainsi desciré ; lequel ly dist que c’estoit le r</w:t>
      </w:r>
      <w:r>
        <w:rPr>
          <w:lang w:eastAsia="fr-FR" w:bidi="fr-FR"/>
        </w:rPr>
        <w:t>oi Salomon. Et lors il le inter</w:t>
      </w:r>
      <w:r w:rsidRPr="000F765B">
        <w:rPr>
          <w:lang w:eastAsia="fr-FR" w:bidi="fr-FR"/>
        </w:rPr>
        <w:t>roga s’il estoit dampné ; lequel ly dist que non, mes tous les jours [il soufîriroit] jusques a la fin du monde tel penitence et mal comme s’il estoit en vie ».</w:t>
      </w:r>
    </w:p>
    <w:p w14:paraId="49773432" w14:textId="77777777" w:rsidR="00B9662D" w:rsidRPr="000F765B" w:rsidRDefault="00B9662D" w:rsidP="00B9662D">
      <w:pPr>
        <w:spacing w:before="120" w:after="120"/>
        <w:jc w:val="both"/>
      </w:pPr>
      <w:r w:rsidRPr="000F765B">
        <w:rPr>
          <w:lang w:eastAsia="fr-FR" w:bidi="fr-FR"/>
        </w:rPr>
        <w:t>Pour le détail de la conversation qui suivit, je renvoie à Jean Jo</w:t>
      </w:r>
      <w:r w:rsidRPr="000F765B">
        <w:rPr>
          <w:lang w:eastAsia="fr-FR" w:bidi="fr-FR"/>
        </w:rPr>
        <w:t>u</w:t>
      </w:r>
      <w:r w:rsidRPr="000F765B">
        <w:rPr>
          <w:lang w:eastAsia="fr-FR" w:bidi="fr-FR"/>
        </w:rPr>
        <w:t>venel. On apprendra avec plaisir que le More consentit à donner à son interlocuteur la réponse que celui-ci était venu chercher de si loin ; mais le secret n’en fut jamais révélé à nul autre ; et c’est pourquoi nous n’en savons pas plus long.</w:t>
      </w:r>
    </w:p>
    <w:p w14:paraId="7D1A4524" w14:textId="77777777" w:rsidR="00B9662D" w:rsidRPr="000F765B" w:rsidRDefault="00B9662D" w:rsidP="00B9662D">
      <w:pPr>
        <w:spacing w:before="120" w:after="120"/>
        <w:jc w:val="both"/>
      </w:pPr>
      <w:r w:rsidRPr="000F765B">
        <w:rPr>
          <w:lang w:eastAsia="fr-FR" w:bidi="fr-FR"/>
        </w:rPr>
        <w:t>Le supplice de Salomon, tel que l’imaginait Jouvenel des Ursins, est terrible. Mais il n’a rien de bien original. Ces chairs déchirées par les oiseaux et qui sans doute renaissaient de jour en jour pour être au</w:t>
      </w:r>
      <w:r w:rsidRPr="000F765B">
        <w:rPr>
          <w:lang w:eastAsia="fr-FR" w:bidi="fr-FR"/>
        </w:rPr>
        <w:t>s</w:t>
      </w:r>
      <w:r w:rsidRPr="000F765B">
        <w:rPr>
          <w:lang w:eastAsia="fr-FR" w:bidi="fr-FR"/>
        </w:rPr>
        <w:t>sitôt dévorées</w:t>
      </w:r>
      <w:r>
        <w:rPr>
          <w:lang w:eastAsia="fr-FR" w:bidi="fr-FR"/>
        </w:rPr>
        <w:t> — </w:t>
      </w:r>
      <w:r w:rsidRPr="000F765B">
        <w:rPr>
          <w:lang w:eastAsia="fr-FR" w:bidi="fr-FR"/>
        </w:rPr>
        <w:t>car, s’il en avait été autrement, comment le chât</w:t>
      </w:r>
      <w:r w:rsidRPr="000F765B">
        <w:rPr>
          <w:lang w:eastAsia="fr-FR" w:bidi="fr-FR"/>
        </w:rPr>
        <w:t>i</w:t>
      </w:r>
      <w:r w:rsidRPr="000F765B">
        <w:rPr>
          <w:lang w:eastAsia="fr-FR" w:bidi="fr-FR"/>
        </w:rPr>
        <w:t>ment eût-il pu se poursuivre ?</w:t>
      </w:r>
      <w:r>
        <w:rPr>
          <w:lang w:eastAsia="fr-FR" w:bidi="fr-FR"/>
        </w:rPr>
        <w:t> — </w:t>
      </w:r>
      <w:r w:rsidRPr="000F765B">
        <w:rPr>
          <w:lang w:eastAsia="fr-FR" w:bidi="fr-FR"/>
        </w:rPr>
        <w:t>évoquent de vieux souvenirs class</w:t>
      </w:r>
      <w:r w:rsidRPr="000F765B">
        <w:rPr>
          <w:lang w:eastAsia="fr-FR" w:bidi="fr-FR"/>
        </w:rPr>
        <w:t>i</w:t>
      </w:r>
      <w:r w:rsidRPr="000F765B">
        <w:rPr>
          <w:lang w:eastAsia="fr-FR" w:bidi="fr-FR"/>
        </w:rPr>
        <w:t>ques ; il suffira de rappeler d’un mot les tourments de Prométhée, ou ceux de Tithyos :</w:t>
      </w:r>
    </w:p>
    <w:p w14:paraId="73DB7441" w14:textId="77777777" w:rsidR="00B9662D" w:rsidRPr="00BD4723" w:rsidRDefault="00B9662D" w:rsidP="00B9662D">
      <w:pPr>
        <w:spacing w:before="120" w:after="120"/>
        <w:ind w:left="2160" w:right="720" w:firstLine="0"/>
        <w:jc w:val="both"/>
        <w:rPr>
          <w:b/>
          <w:bCs/>
        </w:rPr>
      </w:pPr>
    </w:p>
    <w:p w14:paraId="4507DD52" w14:textId="77777777" w:rsidR="00B9662D" w:rsidRDefault="00B9662D" w:rsidP="00B9662D">
      <w:pPr>
        <w:spacing w:before="120" w:after="120"/>
        <w:ind w:left="2160" w:right="720" w:firstLine="0"/>
        <w:jc w:val="both"/>
        <w:rPr>
          <w:rStyle w:val="Corpsdutexte3NonItaliqueEspacement0pt"/>
          <w:b w:val="0"/>
          <w:i w:val="0"/>
          <w:iCs w:val="0"/>
        </w:rPr>
      </w:pPr>
      <w:r w:rsidRPr="008D6A03">
        <w:rPr>
          <w:rStyle w:val="Corpsdutexte3NonItaliqueEspacement0pt"/>
          <w:iCs w:val="0"/>
        </w:rPr>
        <w:t xml:space="preserve">« ... </w:t>
      </w:r>
      <w:r w:rsidRPr="008D6A03">
        <w:rPr>
          <w:i/>
          <w:lang w:eastAsia="fr-FR" w:bidi="fr-FR"/>
        </w:rPr>
        <w:t>rostroque immanis uultur obunco Immo</w:t>
      </w:r>
      <w:r w:rsidRPr="008D6A03">
        <w:rPr>
          <w:i/>
          <w:lang w:eastAsia="fr-FR" w:bidi="fr-FR"/>
        </w:rPr>
        <w:t>r</w:t>
      </w:r>
      <w:r w:rsidRPr="008D6A03">
        <w:rPr>
          <w:i/>
          <w:lang w:eastAsia="fr-FR" w:bidi="fr-FR"/>
        </w:rPr>
        <w:t>tale iecur tondens fecundaque poenis Visc</w:t>
      </w:r>
      <w:r w:rsidRPr="008D6A03">
        <w:rPr>
          <w:i/>
          <w:lang w:eastAsia="fr-FR" w:bidi="fr-FR"/>
        </w:rPr>
        <w:t>e</w:t>
      </w:r>
      <w:r w:rsidRPr="008D6A03">
        <w:rPr>
          <w:i/>
          <w:lang w:eastAsia="fr-FR" w:bidi="fr-FR"/>
        </w:rPr>
        <w:t>ra</w:t>
      </w:r>
      <w:r w:rsidRPr="008D6A03">
        <w:rPr>
          <w:rStyle w:val="Corpsdutexte3NonItaliqueEspacement0pt"/>
          <w:i w:val="0"/>
          <w:iCs w:val="0"/>
        </w:rPr>
        <w:t> </w:t>
      </w:r>
      <w:r w:rsidRPr="008D6A03">
        <w:rPr>
          <w:rStyle w:val="Corpsdutexte3NonItaliqueEspacement0pt"/>
          <w:iCs w:val="0"/>
        </w:rPr>
        <w:t>»</w:t>
      </w:r>
      <w:r>
        <w:rPr>
          <w:rStyle w:val="Corpsdutexte3NonItaliqueEspacement0pt"/>
          <w:i w:val="0"/>
          <w:iCs w:val="0"/>
        </w:rPr>
        <w:t> </w:t>
      </w:r>
      <w:r>
        <w:rPr>
          <w:rStyle w:val="Appelnotedebasdep"/>
          <w:b/>
          <w:bCs/>
          <w:szCs w:val="17"/>
        </w:rPr>
        <w:footnoteReference w:id="980"/>
      </w:r>
      <w:r w:rsidRPr="008D6A03">
        <w:rPr>
          <w:rStyle w:val="Corpsdutexte3NonItaliqueEspacement0pt"/>
          <w:b w:val="0"/>
          <w:i w:val="0"/>
          <w:iCs w:val="0"/>
        </w:rPr>
        <w:t>.</w:t>
      </w:r>
    </w:p>
    <w:p w14:paraId="59C2686E" w14:textId="77777777" w:rsidR="00B9662D" w:rsidRPr="000F765B" w:rsidRDefault="00B9662D" w:rsidP="00B9662D">
      <w:pPr>
        <w:spacing w:before="120" w:after="120"/>
        <w:ind w:left="2160" w:right="720" w:firstLine="0"/>
        <w:jc w:val="both"/>
      </w:pPr>
    </w:p>
    <w:p w14:paraId="122D3568" w14:textId="77777777" w:rsidR="00B9662D" w:rsidRPr="000F765B" w:rsidRDefault="00B9662D" w:rsidP="00B9662D">
      <w:pPr>
        <w:spacing w:before="120" w:after="120"/>
        <w:jc w:val="both"/>
      </w:pPr>
      <w:r w:rsidRPr="000F765B">
        <w:rPr>
          <w:lang w:eastAsia="fr-FR" w:bidi="fr-FR"/>
        </w:rPr>
        <w:t xml:space="preserve">Il n’est pas impossible que le Moyen </w:t>
      </w:r>
      <w:r>
        <w:rPr>
          <w:lang w:eastAsia="fr-FR" w:bidi="fr-FR"/>
        </w:rPr>
        <w:t>Â</w:t>
      </w:r>
      <w:r w:rsidRPr="000F765B">
        <w:rPr>
          <w:lang w:eastAsia="fr-FR" w:bidi="fr-FR"/>
        </w:rPr>
        <w:t xml:space="preserve">ge ait tout simplement reçu ce thème de la littérature antique. Le corbeau passait dans l’Europe </w:t>
      </w:r>
      <w:r w:rsidRPr="000F765B">
        <w:rPr>
          <w:lang w:eastAsia="fr-FR" w:bidi="fr-FR"/>
        </w:rPr>
        <w:lastRenderedPageBreak/>
        <w:t>médiévale</w:t>
      </w:r>
      <w:r>
        <w:rPr>
          <w:lang w:eastAsia="fr-FR" w:bidi="fr-FR"/>
        </w:rPr>
        <w:t> </w:t>
      </w:r>
      <w:r>
        <w:rPr>
          <w:rStyle w:val="Appelnotedebasdep"/>
        </w:rPr>
        <w:footnoteReference w:id="981"/>
      </w:r>
      <w:r w:rsidRPr="000F765B">
        <w:rPr>
          <w:lang w:eastAsia="fr-FR" w:bidi="fr-FR"/>
        </w:rPr>
        <w:t xml:space="preserve"> comme de nos jours encore pour un être mal famé et quelque peu démoniaque ; c’est ce qui explique qu’il se soit trouvé tout naturellement remplacer les aigles ou les vautours de la mythol</w:t>
      </w:r>
      <w:r w:rsidRPr="000F765B">
        <w:rPr>
          <w:lang w:eastAsia="fr-FR" w:bidi="fr-FR"/>
        </w:rPr>
        <w:t>o</w:t>
      </w:r>
      <w:r w:rsidRPr="000F765B">
        <w:rPr>
          <w:lang w:eastAsia="fr-FR" w:bidi="fr-FR"/>
        </w:rPr>
        <w:t>gie.</w:t>
      </w:r>
    </w:p>
    <w:p w14:paraId="6B668A68" w14:textId="77777777" w:rsidR="00B9662D" w:rsidRPr="000F765B" w:rsidRDefault="00B9662D" w:rsidP="00B9662D">
      <w:pPr>
        <w:spacing w:before="120" w:after="120"/>
        <w:jc w:val="both"/>
      </w:pPr>
      <w:r w:rsidRPr="000F765B">
        <w:rPr>
          <w:lang w:eastAsia="fr-FR" w:bidi="fr-FR"/>
        </w:rPr>
        <w:t>Nous voilà bien loin, en tout cas, de la douce pénitence que subi</w:t>
      </w:r>
      <w:r w:rsidRPr="000F765B">
        <w:rPr>
          <w:lang w:eastAsia="fr-FR" w:bidi="fr-FR"/>
        </w:rPr>
        <w:t>s</w:t>
      </w:r>
      <w:r w:rsidRPr="000F765B">
        <w:rPr>
          <w:lang w:eastAsia="fr-FR" w:bidi="fr-FR"/>
        </w:rPr>
        <w:t xml:space="preserve">sait selon la </w:t>
      </w:r>
      <w:r w:rsidRPr="000F765B">
        <w:t>Vie</w:t>
      </w:r>
      <w:r w:rsidRPr="000F765B">
        <w:rPr>
          <w:lang w:eastAsia="fr-FR" w:bidi="fr-FR"/>
        </w:rPr>
        <w:t xml:space="preserve"> de saint Édouard, le solitaire habitant du palais en ruines. Cependant, quelques différences qu’on relève dans les détails des deux récits, il y a entre la tradition qu’avait mise en œuvre, aux alentours de l’an 1200, l’hagiographe anglais et celle que recueillit, plus de deux siècles après lui, un prélat de la cour de Charles</w:t>
      </w:r>
      <w:r>
        <w:rPr>
          <w:lang w:eastAsia="fr-FR" w:bidi="fr-FR"/>
        </w:rPr>
        <w:t> </w:t>
      </w:r>
      <w:r w:rsidRPr="000F765B">
        <w:rPr>
          <w:lang w:eastAsia="fr-FR" w:bidi="fr-FR"/>
        </w:rPr>
        <w:t>VII, une indiscutable parenté. L’une et l’autre s’accordent à faire au fds de D</w:t>
      </w:r>
      <w:r w:rsidRPr="000F765B">
        <w:rPr>
          <w:lang w:eastAsia="fr-FR" w:bidi="fr-FR"/>
        </w:rPr>
        <w:t>a</w:t>
      </w:r>
      <w:r w:rsidRPr="000F765B">
        <w:rPr>
          <w:lang w:eastAsia="fr-FR" w:bidi="fr-FR"/>
        </w:rPr>
        <w:t>vid un sort exceptionnel : placé en dehors des lieux habituels des pe</w:t>
      </w:r>
      <w:r w:rsidRPr="000F765B">
        <w:rPr>
          <w:lang w:eastAsia="fr-FR" w:bidi="fr-FR"/>
        </w:rPr>
        <w:t>i</w:t>
      </w:r>
      <w:r w:rsidRPr="000F765B">
        <w:rPr>
          <w:lang w:eastAsia="fr-FR" w:bidi="fr-FR"/>
        </w:rPr>
        <w:t>nes ou des récompenses, exclu de l’enfer et du purgatoire aussi bien que du paradis, il subit une peine dont le terme est fixé d’avance, puisqu’elle doit prendre fin le jour du Jugement Dernier</w:t>
      </w:r>
      <w:r>
        <w:rPr>
          <w:lang w:eastAsia="fr-FR" w:bidi="fr-FR"/>
        </w:rPr>
        <w:t> </w:t>
      </w:r>
      <w:r>
        <w:rPr>
          <w:rStyle w:val="Appelnotedebasdep"/>
        </w:rPr>
        <w:footnoteReference w:id="982"/>
      </w:r>
      <w:r w:rsidRPr="000F765B">
        <w:rPr>
          <w:lang w:eastAsia="fr-FR" w:bidi="fr-FR"/>
        </w:rPr>
        <w:t>. Je ne connais pas d’autre exemple de</w:t>
      </w:r>
      <w:r>
        <w:t xml:space="preserve"> [926] </w:t>
      </w:r>
      <w:r w:rsidRPr="000F765B">
        <w:rPr>
          <w:lang w:eastAsia="fr-FR" w:bidi="fr-FR"/>
        </w:rPr>
        <w:t>cette légende, ni en Occident, ni même, comme on le verra plus loin, en Orient ; cela ne veut pas dire, bien entendu, qu’on n’en d</w:t>
      </w:r>
      <w:r w:rsidRPr="000F765B">
        <w:rPr>
          <w:lang w:eastAsia="fr-FR" w:bidi="fr-FR"/>
        </w:rPr>
        <w:t>é</w:t>
      </w:r>
      <w:r w:rsidRPr="000F765B">
        <w:rPr>
          <w:lang w:eastAsia="fr-FR" w:bidi="fr-FR"/>
        </w:rPr>
        <w:t>couvrira pas un jour quelque trace dans un texte qui m’aura échappé ; mais je crois pouvoir affirmer, sans crainte d’erreur, qu’elle n’a pas été bien souvent mise par écrit. Il faut bien cependant qu’elle ait été assez répandue pour apparaître ainsi, à tant d’années d’intervalle, dans des milieux si dissemblables. Entre les deux œuvres qui la rapportent, on ne saurait vraiment imaginer aucun rapport de filiation ; tout au plus la mention de l’Écosse, chez Jean Jouvenel, pourrait-elle condu</w:t>
      </w:r>
      <w:r w:rsidRPr="000F765B">
        <w:rPr>
          <w:lang w:eastAsia="fr-FR" w:bidi="fr-FR"/>
        </w:rPr>
        <w:t>i</w:t>
      </w:r>
      <w:r w:rsidRPr="000F765B">
        <w:rPr>
          <w:lang w:eastAsia="fr-FR" w:bidi="fr-FR"/>
        </w:rPr>
        <w:t>re à chercher en Grande-Bretagne</w:t>
      </w:r>
      <w:r>
        <w:rPr>
          <w:lang w:eastAsia="fr-FR" w:bidi="fr-FR"/>
        </w:rPr>
        <w:t> — </w:t>
      </w:r>
      <w:r w:rsidRPr="000F765B">
        <w:rPr>
          <w:lang w:eastAsia="fr-FR" w:bidi="fr-FR"/>
        </w:rPr>
        <w:t>patrie du manuscrit de Cambri</w:t>
      </w:r>
      <w:r w:rsidRPr="000F765B">
        <w:rPr>
          <w:lang w:eastAsia="fr-FR" w:bidi="fr-FR"/>
        </w:rPr>
        <w:t>d</w:t>
      </w:r>
      <w:r w:rsidRPr="000F765B">
        <w:rPr>
          <w:lang w:eastAsia="fr-FR" w:bidi="fr-FR"/>
        </w:rPr>
        <w:t>ge</w:t>
      </w:r>
      <w:r>
        <w:rPr>
          <w:lang w:eastAsia="fr-FR" w:bidi="fr-FR"/>
        </w:rPr>
        <w:t> — </w:t>
      </w:r>
      <w:r w:rsidRPr="000F765B">
        <w:rPr>
          <w:lang w:eastAsia="fr-FR" w:bidi="fr-FR"/>
        </w:rPr>
        <w:t xml:space="preserve">l’origine première de l’anecdote dont un Parisien est devenu le héros ; mais cette hypothèse même est des plus fragiles. Après tout, pourquoi nous étonner ? Il a dû courir ainsi, aux siècles passés, une foule d’historiettes qu’on se répétait de </w:t>
      </w:r>
      <w:r w:rsidRPr="000F765B">
        <w:rPr>
          <w:lang w:eastAsia="fr-FR" w:bidi="fr-FR"/>
        </w:rPr>
        <w:lastRenderedPageBreak/>
        <w:t>bouche en bouche, mais qui n’ont jamais été fixées par l’écriture, ou ne le furent que rarement, parce qu’elles n’intéressaient pas particuli</w:t>
      </w:r>
      <w:r w:rsidRPr="000F765B">
        <w:rPr>
          <w:lang w:eastAsia="fr-FR" w:bidi="fr-FR"/>
        </w:rPr>
        <w:t>è</w:t>
      </w:r>
      <w:r w:rsidRPr="000F765B">
        <w:rPr>
          <w:lang w:eastAsia="fr-FR" w:bidi="fr-FR"/>
        </w:rPr>
        <w:t>rement les prédicateurs ni, d’une façon générale, les auteurs d’ouvrages à tendances moralisatr</w:t>
      </w:r>
      <w:r w:rsidRPr="000F765B">
        <w:rPr>
          <w:lang w:eastAsia="fr-FR" w:bidi="fr-FR"/>
        </w:rPr>
        <w:t>i</w:t>
      </w:r>
      <w:r w:rsidRPr="000F765B">
        <w:rPr>
          <w:lang w:eastAsia="fr-FR" w:bidi="fr-FR"/>
        </w:rPr>
        <w:t xml:space="preserve">ces ; n’est-ce pas par des écrivains de ce genre que nous connaissons la plus grande partie de ce qui, dans le trésor folklorique du Moyen </w:t>
      </w:r>
      <w:r>
        <w:rPr>
          <w:lang w:eastAsia="fr-FR" w:bidi="fr-FR"/>
        </w:rPr>
        <w:t>Â</w:t>
      </w:r>
      <w:r w:rsidRPr="000F765B">
        <w:rPr>
          <w:lang w:eastAsia="fr-FR" w:bidi="fr-FR"/>
        </w:rPr>
        <w:t>ge, a été conservé jusqu’à nous ? Je ne donnerais d’ailleurs pas volontiers à notre conte le nom de popula</w:t>
      </w:r>
      <w:r w:rsidRPr="000F765B">
        <w:rPr>
          <w:lang w:eastAsia="fr-FR" w:bidi="fr-FR"/>
        </w:rPr>
        <w:t>i</w:t>
      </w:r>
      <w:r w:rsidRPr="000F765B">
        <w:rPr>
          <w:lang w:eastAsia="fr-FR" w:bidi="fr-FR"/>
        </w:rPr>
        <w:t>re, au sens où l’on entend d’ordinaire cette épithète. Il a dû plutôt na</w:t>
      </w:r>
      <w:r w:rsidRPr="000F765B">
        <w:rPr>
          <w:lang w:eastAsia="fr-FR" w:bidi="fr-FR"/>
        </w:rPr>
        <w:t>î</w:t>
      </w:r>
      <w:r w:rsidRPr="000F765B">
        <w:rPr>
          <w:lang w:eastAsia="fr-FR" w:bidi="fr-FR"/>
        </w:rPr>
        <w:t>tre et se propager « dans ce public à moitié instruit » dont Gaston P</w:t>
      </w:r>
      <w:r w:rsidRPr="000F765B">
        <w:rPr>
          <w:lang w:eastAsia="fr-FR" w:bidi="fr-FR"/>
        </w:rPr>
        <w:t>a</w:t>
      </w:r>
      <w:r w:rsidRPr="000F765B">
        <w:rPr>
          <w:lang w:eastAsia="fr-FR" w:bidi="fr-FR"/>
        </w:rPr>
        <w:t>ris disait</w:t>
      </w:r>
      <w:r>
        <w:rPr>
          <w:lang w:eastAsia="fr-FR" w:bidi="fr-FR"/>
        </w:rPr>
        <w:t> </w:t>
      </w:r>
      <w:r>
        <w:rPr>
          <w:rStyle w:val="Appelnotedebasdep"/>
        </w:rPr>
        <w:footnoteReference w:id="983"/>
      </w:r>
      <w:r w:rsidRPr="000F765B">
        <w:rPr>
          <w:lang w:eastAsia="fr-FR" w:bidi="fr-FR"/>
        </w:rPr>
        <w:t xml:space="preserve"> qu’il était « seul propre à conserver et à amplifier les fables historiques » ; ajoutons aussi : les fables d’origine théologique ; car tel est incontestablement la nature de la nôtre, et pour la comprendre c’est maintenant vers les théologiens qu’il va falloir nous tourner.</w:t>
      </w:r>
    </w:p>
    <w:p w14:paraId="57D89763" w14:textId="77777777" w:rsidR="00B9662D" w:rsidRDefault="00B9662D" w:rsidP="00B9662D">
      <w:pPr>
        <w:spacing w:before="120" w:after="120"/>
        <w:jc w:val="both"/>
        <w:rPr>
          <w:lang w:eastAsia="fr-FR" w:bidi="fr-FR"/>
        </w:rPr>
      </w:pPr>
    </w:p>
    <w:p w14:paraId="2B34A87A" w14:textId="77777777" w:rsidR="00B9662D" w:rsidRPr="000F765B" w:rsidRDefault="00B9662D" w:rsidP="00B9662D">
      <w:pPr>
        <w:pStyle w:val="planche"/>
      </w:pPr>
      <w:r w:rsidRPr="000F765B">
        <w:t>III</w:t>
      </w:r>
    </w:p>
    <w:p w14:paraId="1E301F4C" w14:textId="77777777" w:rsidR="00B9662D" w:rsidRDefault="00B9662D" w:rsidP="00B9662D">
      <w:pPr>
        <w:spacing w:before="120" w:after="120"/>
        <w:jc w:val="both"/>
        <w:rPr>
          <w:lang w:eastAsia="fr-FR" w:bidi="fr-FR"/>
        </w:rPr>
      </w:pPr>
    </w:p>
    <w:p w14:paraId="372D6B52" w14:textId="77777777" w:rsidR="00B9662D" w:rsidRPr="000F765B" w:rsidRDefault="00B9662D" w:rsidP="00B9662D">
      <w:pPr>
        <w:spacing w:before="120" w:after="120"/>
        <w:jc w:val="both"/>
      </w:pPr>
      <w:r w:rsidRPr="000F765B">
        <w:rPr>
          <w:lang w:eastAsia="fr-FR" w:bidi="fr-FR"/>
        </w:rPr>
        <w:t>« Car il arriva, dans le temps de la vieillesse de Salomon, que ses femmes détournèrent son cœur pour suivre d’autres dieux, et son cœur ne fut point droit devant l’Éternel son Dieu, comme le cœur de David son père...</w:t>
      </w:r>
    </w:p>
    <w:p w14:paraId="647AF1EB" w14:textId="77777777" w:rsidR="00B9662D" w:rsidRPr="000F765B" w:rsidRDefault="00B9662D" w:rsidP="00B9662D">
      <w:pPr>
        <w:spacing w:before="120" w:after="120"/>
        <w:jc w:val="both"/>
      </w:pPr>
      <w:r w:rsidRPr="000F765B">
        <w:rPr>
          <w:lang w:eastAsia="fr-FR" w:bidi="fr-FR"/>
        </w:rPr>
        <w:t>... C’est pourquoi l’Éternel fut indigné contre Salomon, parce qu’il avait détourné son cœur de l’Éternel, le Dieu d’Israël, qui lui était a</w:t>
      </w:r>
      <w:r w:rsidRPr="000F765B">
        <w:rPr>
          <w:lang w:eastAsia="fr-FR" w:bidi="fr-FR"/>
        </w:rPr>
        <w:t>p</w:t>
      </w:r>
      <w:r w:rsidRPr="000F765B">
        <w:rPr>
          <w:lang w:eastAsia="fr-FR" w:bidi="fr-FR"/>
        </w:rPr>
        <w:t>paru deux fois ;</w:t>
      </w:r>
    </w:p>
    <w:p w14:paraId="5B9FA900" w14:textId="77777777" w:rsidR="00B9662D" w:rsidRPr="000F765B" w:rsidRDefault="00B9662D" w:rsidP="00B9662D">
      <w:pPr>
        <w:spacing w:before="120" w:after="120"/>
        <w:jc w:val="both"/>
      </w:pPr>
      <w:r w:rsidRPr="000F765B">
        <w:rPr>
          <w:lang w:eastAsia="fr-FR" w:bidi="fr-FR"/>
        </w:rPr>
        <w:t xml:space="preserve">Et qui même lui avait donné un commandement exprès là-dessus, </w:t>
      </w:r>
      <w:r w:rsidRPr="000F765B">
        <w:t>savoir</w:t>
      </w:r>
      <w:r w:rsidRPr="000F765B">
        <w:rPr>
          <w:lang w:eastAsia="fr-FR" w:bidi="fr-FR"/>
        </w:rPr>
        <w:t xml:space="preserve"> qu’il ne suivît point d’autres dieux ; mais il ne garda point ce que l’Éternel lui avait commandé. »</w:t>
      </w:r>
    </w:p>
    <w:p w14:paraId="17233CAB" w14:textId="77777777" w:rsidR="00B9662D" w:rsidRPr="000F765B" w:rsidRDefault="00B9662D" w:rsidP="00B9662D">
      <w:pPr>
        <w:spacing w:before="120" w:after="120"/>
        <w:jc w:val="both"/>
      </w:pPr>
      <w:r w:rsidRPr="000F765B">
        <w:rPr>
          <w:lang w:eastAsia="fr-FR" w:bidi="fr-FR"/>
        </w:rPr>
        <w:t xml:space="preserve">Ces versets du </w:t>
      </w:r>
      <w:r w:rsidRPr="000F765B">
        <w:t>Livre des Rois</w:t>
      </w:r>
      <w:r w:rsidRPr="000F765B">
        <w:rPr>
          <w:lang w:eastAsia="fr-FR" w:bidi="fr-FR"/>
        </w:rPr>
        <w:t xml:space="preserve"> (I, XI, 4, 9 et 10)</w:t>
      </w:r>
      <w:r>
        <w:rPr>
          <w:lang w:eastAsia="fr-FR" w:bidi="fr-FR"/>
        </w:rPr>
        <w:t> </w:t>
      </w:r>
      <w:r>
        <w:rPr>
          <w:rStyle w:val="Appelnotedebasdep"/>
        </w:rPr>
        <w:footnoteReference w:id="984"/>
      </w:r>
      <w:r w:rsidRPr="000F765B">
        <w:rPr>
          <w:lang w:eastAsia="fr-FR" w:bidi="fr-FR"/>
        </w:rPr>
        <w:t xml:space="preserve"> furent pour l’exégèse judéo-chrétienne la source de bien des réflexions et de bien des doutes. Rien d’analogue ne se retrouve dans les </w:t>
      </w:r>
      <w:r w:rsidRPr="000F765B">
        <w:t>Chroniques</w:t>
      </w:r>
      <w:r w:rsidRPr="000F765B">
        <w:rPr>
          <w:lang w:eastAsia="fr-FR" w:bidi="fr-FR"/>
        </w:rPr>
        <w:t xml:space="preserve">, écrit beaucoup plus tardif et d’une inspiration fort différente. C’est que, au sujet de Salomon, la tradition hébraïque était loin d’être unanime. </w:t>
      </w:r>
      <w:r w:rsidRPr="000F765B">
        <w:rPr>
          <w:lang w:eastAsia="fr-FR" w:bidi="fr-FR"/>
        </w:rPr>
        <w:lastRenderedPageBreak/>
        <w:t>Ce</w:t>
      </w:r>
      <w:r w:rsidRPr="000F765B">
        <w:rPr>
          <w:lang w:eastAsia="fr-FR" w:bidi="fr-FR"/>
        </w:rPr>
        <w:t>r</w:t>
      </w:r>
      <w:r w:rsidRPr="000F765B">
        <w:rPr>
          <w:lang w:eastAsia="fr-FR" w:bidi="fr-FR"/>
        </w:rPr>
        <w:t>tes beaucoup se plaisaient à vanter en lui le plus grand, humainement parlant, des rois d’Israël, le bâtisseur du Temple, le Sage par excelle</w:t>
      </w:r>
      <w:r w:rsidRPr="000F765B">
        <w:rPr>
          <w:lang w:eastAsia="fr-FR" w:bidi="fr-FR"/>
        </w:rPr>
        <w:t>n</w:t>
      </w:r>
      <w:r w:rsidRPr="000F765B">
        <w:rPr>
          <w:lang w:eastAsia="fr-FR" w:bidi="fr-FR"/>
        </w:rPr>
        <w:t>ce. Mais ces prestiges</w:t>
      </w:r>
      <w:r>
        <w:t xml:space="preserve"> [927] </w:t>
      </w:r>
      <w:r w:rsidRPr="000F765B">
        <w:rPr>
          <w:lang w:eastAsia="fr-FR" w:bidi="fr-FR"/>
        </w:rPr>
        <w:t>trop mondains n’éblouissaient pas tout le monde ; la fondation même du Temple n’était pas un titre de gloire, tant s’en faut, auprès des ennemis du sacerdoce hiérosolymitain. D’où un second courant, beaucoup moins sympathique ou même résol</w:t>
      </w:r>
      <w:r w:rsidRPr="000F765B">
        <w:rPr>
          <w:lang w:eastAsia="fr-FR" w:bidi="fr-FR"/>
        </w:rPr>
        <w:t>u</w:t>
      </w:r>
      <w:r w:rsidRPr="000F765B">
        <w:rPr>
          <w:lang w:eastAsia="fr-FR" w:bidi="fr-FR"/>
        </w:rPr>
        <w:t>ment hostile. Ces jugements opposés reflétaient au fond des mouv</w:t>
      </w:r>
      <w:r w:rsidRPr="000F765B">
        <w:rPr>
          <w:lang w:eastAsia="fr-FR" w:bidi="fr-FR"/>
        </w:rPr>
        <w:t>e</w:t>
      </w:r>
      <w:r w:rsidRPr="000F765B">
        <w:rPr>
          <w:lang w:eastAsia="fr-FR" w:bidi="fr-FR"/>
        </w:rPr>
        <w:t>ments de pensée esse</w:t>
      </w:r>
      <w:r w:rsidRPr="000F765B">
        <w:rPr>
          <w:lang w:eastAsia="fr-FR" w:bidi="fr-FR"/>
        </w:rPr>
        <w:t>n</w:t>
      </w:r>
      <w:r w:rsidRPr="000F765B">
        <w:rPr>
          <w:lang w:eastAsia="fr-FR" w:bidi="fr-FR"/>
        </w:rPr>
        <w:t>tiellement différents ; mais tous deux avaient déposé leur trace dans des livres qui passaient pour sacrés. Quel e</w:t>
      </w:r>
      <w:r w:rsidRPr="000F765B">
        <w:rPr>
          <w:lang w:eastAsia="fr-FR" w:bidi="fr-FR"/>
        </w:rPr>
        <w:t>m</w:t>
      </w:r>
      <w:r w:rsidRPr="000F765B">
        <w:rPr>
          <w:lang w:eastAsia="fr-FR" w:bidi="fr-FR"/>
        </w:rPr>
        <w:t>barras pour les comme</w:t>
      </w:r>
      <w:r w:rsidRPr="000F765B">
        <w:rPr>
          <w:lang w:eastAsia="fr-FR" w:bidi="fr-FR"/>
        </w:rPr>
        <w:t>n</w:t>
      </w:r>
      <w:r w:rsidRPr="000F765B">
        <w:rPr>
          <w:lang w:eastAsia="fr-FR" w:bidi="fr-FR"/>
        </w:rPr>
        <w:t>tateurs, chargés par principe de concilier les opinions contraires ! Encore, tant que le judaïsme ne conçut les r</w:t>
      </w:r>
      <w:r w:rsidRPr="000F765B">
        <w:rPr>
          <w:lang w:eastAsia="fr-FR" w:bidi="fr-FR"/>
        </w:rPr>
        <w:t>é</w:t>
      </w:r>
      <w:r w:rsidRPr="000F765B">
        <w:rPr>
          <w:lang w:eastAsia="fr-FR" w:bidi="fr-FR"/>
        </w:rPr>
        <w:t>compenses et les peines d</w:t>
      </w:r>
      <w:r w:rsidRPr="000F765B">
        <w:rPr>
          <w:lang w:eastAsia="fr-FR" w:bidi="fr-FR"/>
        </w:rPr>
        <w:t>i</w:t>
      </w:r>
      <w:r w:rsidRPr="000F765B">
        <w:rPr>
          <w:lang w:eastAsia="fr-FR" w:bidi="fr-FR"/>
        </w:rPr>
        <w:t xml:space="preserve">vines que comme s’appliquant à l’existence terrestre, la difficulté ne dut pas paraître bien grande : le </w:t>
      </w:r>
      <w:r w:rsidRPr="00D600B6">
        <w:rPr>
          <w:i/>
        </w:rPr>
        <w:t>Livre des Rois</w:t>
      </w:r>
      <w:r w:rsidRPr="000F765B">
        <w:t xml:space="preserve"> </w:t>
      </w:r>
      <w:r w:rsidRPr="000F765B">
        <w:rPr>
          <w:lang w:eastAsia="fr-FR" w:bidi="fr-FR"/>
        </w:rPr>
        <w:t>n’expliquait-il pas, précisément, comment l’Éternel avait puni Salomon de ses compla</w:t>
      </w:r>
      <w:r w:rsidRPr="000F765B">
        <w:rPr>
          <w:lang w:eastAsia="fr-FR" w:bidi="fr-FR"/>
        </w:rPr>
        <w:t>i</w:t>
      </w:r>
      <w:r w:rsidRPr="000F765B">
        <w:rPr>
          <w:lang w:eastAsia="fr-FR" w:bidi="fr-FR"/>
        </w:rPr>
        <w:t>sances pour l’idolâtrie en suscitant contre lui l’Édomite Hadad et Rézon l’Araméen et surtout en retirant à sa post</w:t>
      </w:r>
      <w:r w:rsidRPr="000F765B">
        <w:rPr>
          <w:lang w:eastAsia="fr-FR" w:bidi="fr-FR"/>
        </w:rPr>
        <w:t>é</w:t>
      </w:r>
      <w:r w:rsidRPr="000F765B">
        <w:rPr>
          <w:lang w:eastAsia="fr-FR" w:bidi="fr-FR"/>
        </w:rPr>
        <w:t>rité la plus grande part de l’héritage davidique ? Mais lorsqu’on eut imaginé les rétributions d’outre-tombe, un problème nouveau, infin</w:t>
      </w:r>
      <w:r w:rsidRPr="000F765B">
        <w:rPr>
          <w:lang w:eastAsia="fr-FR" w:bidi="fr-FR"/>
        </w:rPr>
        <w:t>i</w:t>
      </w:r>
      <w:r w:rsidRPr="000F765B">
        <w:rPr>
          <w:lang w:eastAsia="fr-FR" w:bidi="fr-FR"/>
        </w:rPr>
        <w:t>ment plus troublant, vint à se poser : quel avait été, dans l’autre mo</w:t>
      </w:r>
      <w:r w:rsidRPr="000F765B">
        <w:rPr>
          <w:lang w:eastAsia="fr-FR" w:bidi="fr-FR"/>
        </w:rPr>
        <w:t>n</w:t>
      </w:r>
      <w:r w:rsidRPr="000F765B">
        <w:rPr>
          <w:lang w:eastAsia="fr-FR" w:bidi="fr-FR"/>
        </w:rPr>
        <w:t>de, le sort de Salomon ? Ce</w:t>
      </w:r>
      <w:r w:rsidRPr="000F765B">
        <w:rPr>
          <w:lang w:eastAsia="fr-FR" w:bidi="fr-FR"/>
        </w:rPr>
        <w:t>t</w:t>
      </w:r>
      <w:r w:rsidRPr="000F765B">
        <w:rPr>
          <w:lang w:eastAsia="fr-FR" w:bidi="fr-FR"/>
        </w:rPr>
        <w:t>te délicate question préoccupa à la fois et à peu près vers le même moment la spéculation talmudique et la sp</w:t>
      </w:r>
      <w:r w:rsidRPr="000F765B">
        <w:rPr>
          <w:lang w:eastAsia="fr-FR" w:bidi="fr-FR"/>
        </w:rPr>
        <w:t>é</w:t>
      </w:r>
      <w:r w:rsidRPr="000F765B">
        <w:rPr>
          <w:lang w:eastAsia="fr-FR" w:bidi="fr-FR"/>
        </w:rPr>
        <w:t>culation chrétienne.</w:t>
      </w:r>
    </w:p>
    <w:p w14:paraId="3DDB3387" w14:textId="77777777" w:rsidR="00B9662D" w:rsidRPr="000F765B" w:rsidRDefault="00B9662D" w:rsidP="00B9662D">
      <w:pPr>
        <w:spacing w:before="120" w:after="120"/>
        <w:jc w:val="both"/>
      </w:pPr>
      <w:r w:rsidRPr="000F765B">
        <w:rPr>
          <w:lang w:eastAsia="fr-FR" w:bidi="fr-FR"/>
        </w:rPr>
        <w:t xml:space="preserve">Parmi les Talmudistes les plus sévères pour Salomon paraissent avoir été les plus anciens, ceux que l’on appelle les « répétants », les </w:t>
      </w:r>
      <w:r w:rsidRPr="000F765B">
        <w:t>Tannaim</w:t>
      </w:r>
      <w:r w:rsidRPr="000F765B">
        <w:rPr>
          <w:lang w:eastAsia="fr-FR" w:bidi="fr-FR"/>
        </w:rPr>
        <w:t xml:space="preserve">. Un certain esprit de parti ne fut vraisemblablement pas sans influence sur leur attitude ; ils n’aimaient guère les patriarches, chefs à la fois politiques et religieux qui gouvernaient alors la communauté juive ; or la dynastie patriarcale se donnait pour issue de David et de Salomon ; l’ancêtre porta le poids de l’antipathie qu’inspiraient ses prétendus descendants. Plus tard, une nouvelle école, qui entretenait au contraire avec les patriarches des rapports excellents, celle des </w:t>
      </w:r>
      <w:r w:rsidRPr="00D600B6">
        <w:rPr>
          <w:i/>
        </w:rPr>
        <w:t>Amoraïm</w:t>
      </w:r>
      <w:r w:rsidRPr="000F765B">
        <w:rPr>
          <w:lang w:eastAsia="fr-FR" w:bidi="fr-FR"/>
        </w:rPr>
        <w:t xml:space="preserve"> ou « interprètes », montra moins de rigueur</w:t>
      </w:r>
      <w:r>
        <w:rPr>
          <w:lang w:eastAsia="fr-FR" w:bidi="fr-FR"/>
        </w:rPr>
        <w:t> </w:t>
      </w:r>
      <w:r>
        <w:rPr>
          <w:rStyle w:val="Appelnotedebasdep"/>
        </w:rPr>
        <w:footnoteReference w:id="985"/>
      </w:r>
      <w:r w:rsidRPr="000F765B">
        <w:rPr>
          <w:lang w:eastAsia="fr-FR" w:bidi="fr-FR"/>
        </w:rPr>
        <w:t xml:space="preserve">. Sa pensée </w:t>
      </w:r>
      <w:r w:rsidRPr="000F765B">
        <w:rPr>
          <w:lang w:eastAsia="fr-FR" w:bidi="fr-FR"/>
        </w:rPr>
        <w:lastRenderedPageBreak/>
        <w:t>s’exprima dans un beau récit qu’il vaut la peine de citer. On le trouve rapporté par les deux Talmuds, celui de Jérusalem comme celui de Babylone ; mais si l’on en veut une version vraiment nette et déba</w:t>
      </w:r>
      <w:r w:rsidRPr="000F765B">
        <w:rPr>
          <w:lang w:eastAsia="fr-FR" w:bidi="fr-FR"/>
        </w:rPr>
        <w:t>r</w:t>
      </w:r>
      <w:r w:rsidRPr="000F765B">
        <w:rPr>
          <w:lang w:eastAsia="fr-FR" w:bidi="fr-FR"/>
        </w:rPr>
        <w:t xml:space="preserve">rassée de toute obscurité, il est préférable de s’adresser à un recueil plus récent, le </w:t>
      </w:r>
      <w:r w:rsidRPr="00D600B6">
        <w:rPr>
          <w:i/>
        </w:rPr>
        <w:t>Midrasch</w:t>
      </w:r>
      <w:r w:rsidRPr="000F765B">
        <w:rPr>
          <w:lang w:eastAsia="fr-FR" w:bidi="fr-FR"/>
        </w:rPr>
        <w:t xml:space="preserve"> de Bemidbar Rabba, composé au </w:t>
      </w:r>
      <w:r>
        <w:rPr>
          <w:lang w:eastAsia="fr-FR" w:bidi="fr-FR"/>
        </w:rPr>
        <w:t>VII</w:t>
      </w:r>
      <w:r w:rsidRPr="000F765B">
        <w:rPr>
          <w:vertAlign w:val="superscript"/>
          <w:lang w:eastAsia="fr-FR" w:bidi="fr-FR"/>
        </w:rPr>
        <w:t>e</w:t>
      </w:r>
      <w:r>
        <w:rPr>
          <w:lang w:eastAsia="fr-FR" w:bidi="fr-FR"/>
        </w:rPr>
        <w:t> </w:t>
      </w:r>
      <w:r w:rsidRPr="000F765B">
        <w:rPr>
          <w:lang w:eastAsia="fr-FR" w:bidi="fr-FR"/>
        </w:rPr>
        <w:t>siècle. C’est cette rédaction que je vais suivre.</w:t>
      </w:r>
    </w:p>
    <w:p w14:paraId="1D549FDB" w14:textId="77777777" w:rsidR="00B9662D" w:rsidRPr="000F765B" w:rsidRDefault="00B9662D" w:rsidP="00B9662D">
      <w:pPr>
        <w:spacing w:before="120" w:after="120"/>
        <w:jc w:val="both"/>
      </w:pPr>
      <w:r w:rsidRPr="000F765B">
        <w:rPr>
          <w:lang w:eastAsia="fr-FR" w:bidi="fr-FR"/>
        </w:rPr>
        <w:t xml:space="preserve">Une vieille croyance, recueillie dans la partie la plus ancienne du Talmud, la </w:t>
      </w:r>
      <w:r w:rsidRPr="00D600B6">
        <w:rPr>
          <w:i/>
        </w:rPr>
        <w:t>Mischna</w:t>
      </w:r>
      <w:r w:rsidRPr="000F765B">
        <w:t>,</w:t>
      </w:r>
      <w:r w:rsidRPr="000F765B">
        <w:rPr>
          <w:lang w:eastAsia="fr-FR" w:bidi="fr-FR"/>
        </w:rPr>
        <w:t xml:space="preserve"> voulait que tout Israël eût part à la Vie Éternelle, quelques grands pécheurs seuls exceptés. Parmi ces rares réprouvés, trois rois, nommément désignés : Jéroboam, Achab et Manassé. Notre texte rappelle cette tradition et poursuit ainsi :</w:t>
      </w:r>
    </w:p>
    <w:p w14:paraId="528557EB" w14:textId="77777777" w:rsidR="00B9662D" w:rsidRPr="000F765B" w:rsidRDefault="00B9662D" w:rsidP="00B9662D">
      <w:pPr>
        <w:spacing w:before="120" w:after="120"/>
        <w:jc w:val="both"/>
      </w:pPr>
      <w:r w:rsidRPr="000F765B">
        <w:rPr>
          <w:lang w:eastAsia="fr-FR" w:bidi="fr-FR"/>
        </w:rPr>
        <w:t>« Qui a compté ces rois ? Selon Rab, ce furent les membres du Grand Synode. Rabbi Jehudah dit, parlant au nom de Samuel : « Ils voulurent aussi ajouter à ces trois noms celui de Salomon ; mais alors l’image de David leur apparut et se prosterna [en suppliant] devant eux. Ils n’en tinrent aucun compte. Ensuite un feu sortit du Saint des Saints et dévora</w:t>
      </w:r>
      <w:r>
        <w:rPr>
          <w:lang w:eastAsia="fr-FR" w:bidi="fr-FR"/>
        </w:rPr>
        <w:t xml:space="preserve"> [928] </w:t>
      </w:r>
      <w:r w:rsidRPr="000F765B">
        <w:rPr>
          <w:lang w:eastAsia="fr-FR" w:bidi="fr-FR"/>
        </w:rPr>
        <w:t>tout autour d’eux. Ils n’en tinrent aucun com</w:t>
      </w:r>
      <w:r w:rsidRPr="000F765B">
        <w:rPr>
          <w:lang w:eastAsia="fr-FR" w:bidi="fr-FR"/>
        </w:rPr>
        <w:t>p</w:t>
      </w:r>
      <w:r w:rsidRPr="000F765B">
        <w:rPr>
          <w:lang w:eastAsia="fr-FR" w:bidi="fr-FR"/>
        </w:rPr>
        <w:t>te. Après cela une voix céleste retentit et leur dit : « </w:t>
      </w:r>
      <w:r w:rsidRPr="00D600B6">
        <w:rPr>
          <w:i/>
        </w:rPr>
        <w:t>As-tu vu un ho</w:t>
      </w:r>
      <w:r w:rsidRPr="00D600B6">
        <w:rPr>
          <w:i/>
        </w:rPr>
        <w:t>m</w:t>
      </w:r>
      <w:r w:rsidRPr="00D600B6">
        <w:rPr>
          <w:i/>
        </w:rPr>
        <w:t>me habile dans son travail ?</w:t>
      </w:r>
      <w:r w:rsidRPr="000F765B">
        <w:t xml:space="preserve"> </w:t>
      </w:r>
      <w:r w:rsidRPr="000F765B">
        <w:rPr>
          <w:lang w:eastAsia="fr-FR" w:bidi="fr-FR"/>
        </w:rPr>
        <w:t>Celui qui a bâti ma maison avant la sie</w:t>
      </w:r>
      <w:r w:rsidRPr="000F765B">
        <w:rPr>
          <w:lang w:eastAsia="fr-FR" w:bidi="fr-FR"/>
        </w:rPr>
        <w:t>n</w:t>
      </w:r>
      <w:r w:rsidRPr="000F765B">
        <w:rPr>
          <w:lang w:eastAsia="fr-FR" w:bidi="fr-FR"/>
        </w:rPr>
        <w:t xml:space="preserve">ne, et non seulement cela, mais celui qui a mis sept ans [seulement] à bâtir ma maison et treize ans à bâtir la sienne, </w:t>
      </w:r>
      <w:r w:rsidRPr="00D600B6">
        <w:rPr>
          <w:i/>
        </w:rPr>
        <w:t>sera-t-il au service de gens d'une condition obscure ?</w:t>
      </w:r>
      <w:r>
        <w:t> </w:t>
      </w:r>
      <w:r>
        <w:rPr>
          <w:rStyle w:val="Appelnotedebasdep"/>
        </w:rPr>
        <w:footnoteReference w:id="986"/>
      </w:r>
      <w:r w:rsidRPr="000F765B">
        <w:t xml:space="preserve"> </w:t>
      </w:r>
      <w:r w:rsidRPr="000F765B">
        <w:rPr>
          <w:lang w:eastAsia="fr-FR" w:bidi="fr-FR"/>
        </w:rPr>
        <w:t>(c’est-à-dire : ce roi doit-il être jugé par des hommes du commun ?) « Ils n’en tinrent aucun compte. Mais lorsqu’enfin la voix céleste leur eut dit : « </w:t>
      </w:r>
      <w:r w:rsidRPr="00D600B6">
        <w:rPr>
          <w:i/>
        </w:rPr>
        <w:t>Est-ce donc sur ton bien que</w:t>
      </w:r>
      <w:r w:rsidRPr="000F765B">
        <w:rPr>
          <w:lang w:eastAsia="fr-FR" w:bidi="fr-FR"/>
        </w:rPr>
        <w:t xml:space="preserve"> [Dieu] </w:t>
      </w:r>
      <w:r w:rsidRPr="00D600B6">
        <w:rPr>
          <w:i/>
        </w:rPr>
        <w:t>prendra la récompense, parce que tu as mé</w:t>
      </w:r>
      <w:r w:rsidRPr="00D600B6">
        <w:rPr>
          <w:i/>
        </w:rPr>
        <w:lastRenderedPageBreak/>
        <w:t>prisé ? Est-ce à toi de choisir, et non à Moi ? Ce que tu sais, dis-le</w:t>
      </w:r>
      <w:r w:rsidRPr="00D600B6">
        <w:rPr>
          <w:i/>
          <w:lang w:eastAsia="fr-FR" w:bidi="fr-FR"/>
        </w:rPr>
        <w:t> »</w:t>
      </w:r>
      <w:r>
        <w:rPr>
          <w:lang w:eastAsia="fr-FR" w:bidi="fr-FR"/>
        </w:rPr>
        <w:t> </w:t>
      </w:r>
      <w:r>
        <w:rPr>
          <w:rStyle w:val="Appelnotedebasdep"/>
        </w:rPr>
        <w:footnoteReference w:id="987"/>
      </w:r>
      <w:r w:rsidRPr="000F765B">
        <w:rPr>
          <w:lang w:eastAsia="fr-FR" w:bidi="fr-FR"/>
        </w:rPr>
        <w:t>, ils cessèrent de le mettre au nombre [des rois réprouvés] »</w:t>
      </w:r>
      <w:r>
        <w:rPr>
          <w:lang w:eastAsia="fr-FR" w:bidi="fr-FR"/>
        </w:rPr>
        <w:t> </w:t>
      </w:r>
      <w:r>
        <w:rPr>
          <w:rStyle w:val="Appelnotedebasdep"/>
        </w:rPr>
        <w:footnoteReference w:id="988"/>
      </w:r>
      <w:r w:rsidRPr="000F765B">
        <w:rPr>
          <w:lang w:eastAsia="fr-FR" w:bidi="fr-FR"/>
        </w:rPr>
        <w:t>.</w:t>
      </w:r>
    </w:p>
    <w:p w14:paraId="608AB786" w14:textId="77777777" w:rsidR="00B9662D" w:rsidRPr="000F765B" w:rsidRDefault="00B9662D" w:rsidP="00B9662D">
      <w:pPr>
        <w:spacing w:before="120" w:after="120"/>
        <w:jc w:val="both"/>
      </w:pPr>
      <w:r w:rsidRPr="000F765B">
        <w:rPr>
          <w:lang w:eastAsia="fr-FR" w:bidi="fr-FR"/>
        </w:rPr>
        <w:t>Cette leçon d’indulgence et de soumission à la volonté divine (qu’on voit imposer silence, non sans peine, à l’intransigeance obst</w:t>
      </w:r>
      <w:r w:rsidRPr="000F765B">
        <w:rPr>
          <w:lang w:eastAsia="fr-FR" w:bidi="fr-FR"/>
        </w:rPr>
        <w:t>i</w:t>
      </w:r>
      <w:r w:rsidRPr="000F765B">
        <w:rPr>
          <w:lang w:eastAsia="fr-FR" w:bidi="fr-FR"/>
        </w:rPr>
        <w:t>née des docteurs) fut, semble-t-il, sur la destinée supra-terrestre du fils de David le dernier mot de la sagesse juive. L’Islam l’accepta. Le C</w:t>
      </w:r>
      <w:r w:rsidRPr="000F765B">
        <w:rPr>
          <w:lang w:eastAsia="fr-FR" w:bidi="fr-FR"/>
        </w:rPr>
        <w:t>o</w:t>
      </w:r>
      <w:r w:rsidRPr="000F765B">
        <w:rPr>
          <w:lang w:eastAsia="fr-FR" w:bidi="fr-FR"/>
        </w:rPr>
        <w:t>ran ne met point en doute le salut de Salomon. Sans doute celui-ci a péché ; mais c’est de son vivant qu’Allah l’a châtié ; maintenant « il occupe une place auprès de Nous et jouit de la plus belle demeure »</w:t>
      </w:r>
      <w:r>
        <w:rPr>
          <w:lang w:eastAsia="fr-FR" w:bidi="fr-FR"/>
        </w:rPr>
        <w:t> </w:t>
      </w:r>
      <w:r>
        <w:rPr>
          <w:rStyle w:val="Appelnotedebasdep"/>
        </w:rPr>
        <w:footnoteReference w:id="989"/>
      </w:r>
      <w:r w:rsidRPr="000F765B">
        <w:rPr>
          <w:lang w:eastAsia="fr-FR" w:bidi="fr-FR"/>
        </w:rPr>
        <w:t>.</w:t>
      </w:r>
    </w:p>
    <w:p w14:paraId="44AF71C3" w14:textId="77777777" w:rsidR="00B9662D" w:rsidRPr="000F765B" w:rsidRDefault="00B9662D" w:rsidP="00B9662D">
      <w:pPr>
        <w:spacing w:before="120" w:after="120"/>
        <w:jc w:val="both"/>
      </w:pPr>
      <w:r w:rsidRPr="000F765B">
        <w:rPr>
          <w:lang w:eastAsia="fr-FR" w:bidi="fr-FR"/>
        </w:rPr>
        <w:t xml:space="preserve">Les controverses talmudiques ne laissèrent sans doute pas d’exercer une certaine influence sur celles qui s’élevèrent, à l’occasion du même problème, parmi les adeptes de la Nouvelle Loi ; entre la </w:t>
      </w:r>
      <w:r w:rsidRPr="001C7734">
        <w:rPr>
          <w:i/>
        </w:rPr>
        <w:t>haggada</w:t>
      </w:r>
      <w:r w:rsidRPr="000F765B">
        <w:rPr>
          <w:lang w:eastAsia="fr-FR" w:bidi="fr-FR"/>
        </w:rPr>
        <w:t xml:space="preserve"> hébraïque et la théologie des premiers temps du christianisme il n’y avait pas de cloison étanche. Mais chez les chr</w:t>
      </w:r>
      <w:r w:rsidRPr="000F765B">
        <w:rPr>
          <w:lang w:eastAsia="fr-FR" w:bidi="fr-FR"/>
        </w:rPr>
        <w:t>é</w:t>
      </w:r>
      <w:r w:rsidRPr="000F765B">
        <w:rPr>
          <w:lang w:eastAsia="fr-FR" w:bidi="fr-FR"/>
        </w:rPr>
        <w:t>tiens, en particulier dans l’Église d’Occident, la discussion se pou</w:t>
      </w:r>
      <w:r w:rsidRPr="000F765B">
        <w:rPr>
          <w:lang w:eastAsia="fr-FR" w:bidi="fr-FR"/>
        </w:rPr>
        <w:t>r</w:t>
      </w:r>
      <w:r w:rsidRPr="000F765B">
        <w:rPr>
          <w:lang w:eastAsia="fr-FR" w:bidi="fr-FR"/>
        </w:rPr>
        <w:t xml:space="preserve">suivit bien plus longtemps. </w:t>
      </w:r>
      <w:r>
        <w:rPr>
          <w:lang w:eastAsia="fr-FR" w:bidi="fr-FR"/>
        </w:rPr>
        <w:t>À</w:t>
      </w:r>
      <w:r w:rsidRPr="000F765B">
        <w:rPr>
          <w:lang w:eastAsia="fr-FR" w:bidi="fr-FR"/>
        </w:rPr>
        <w:t xml:space="preserve"> vrai dire elle avait pour eux quelque chose de singulièrement plus angoissant. La pensée de l’autre monde avait sur leurs esprits une force bien plus grande que chez le commun des Juifs ; ils imaginaient par delà la mort un système de récompenses </w:t>
      </w:r>
      <w:r w:rsidRPr="000F765B">
        <w:rPr>
          <w:lang w:eastAsia="fr-FR" w:bidi="fr-FR"/>
        </w:rPr>
        <w:lastRenderedPageBreak/>
        <w:t>et de châtiments infiniment plus exact et plus minutieux. Comment eussent-ils sans hésitation cru au salut de celui dont la Bible disait qu’il avait détourné son cœur de Dieu, sans que rien par ailleurs dans le texte sacré indiquât que le coupable avait fait pénitence ? Et de quel crime, vraiment détestable, Salomon ne leur apparaissait-il pas cha</w:t>
      </w:r>
      <w:r w:rsidRPr="000F765B">
        <w:rPr>
          <w:lang w:eastAsia="fr-FR" w:bidi="fr-FR"/>
        </w:rPr>
        <w:t>r</w:t>
      </w:r>
      <w:r w:rsidRPr="000F765B">
        <w:rPr>
          <w:lang w:eastAsia="fr-FR" w:bidi="fr-FR"/>
        </w:rPr>
        <w:t>gé ! idolâtre certes, mais plus encore luxurieux, il n’avait été</w:t>
      </w:r>
      <w:r>
        <w:t xml:space="preserve"> </w:t>
      </w:r>
      <w:r>
        <w:rPr>
          <w:lang w:eastAsia="fr-FR" w:bidi="fr-FR"/>
        </w:rPr>
        <w:t xml:space="preserve">[929] </w:t>
      </w:r>
      <w:r w:rsidRPr="000F765B">
        <w:rPr>
          <w:lang w:eastAsia="fr-FR" w:bidi="fr-FR"/>
        </w:rPr>
        <w:t>entraîné au culte des faux dieux que par un amour immodéré des femmes ; ainsi, chez lui comme chez tant d’hommes, le principe de toutes les fautes avait été ce péché de la chair, qu’un rabbin, un dévot musulman pardonnaient sans trop de peine, mais qui inspirait au contraire à un prêtre et surtout à un moine nourris dans l’ascétisme catholique une insurmontable horreur. D’un autre côté, les personnes pieuses ne pouvaient se résigner à condamner, de gaieté de cœur, cette grande ombre si intimement liée à tout ce que leur religion offrait de plus vénérable. Comme les juifs, les chrétiens tenaient le vieux roi d’Israël, si étrangement défiguré par la légende, pour un écrivain sacré auquel Dieu même avait dicté ses livres ; l’empereur Julien les raillait de citer sans cesse ce sage dont la conduite avait été si peu conforme à la sagesse</w:t>
      </w:r>
      <w:r>
        <w:rPr>
          <w:lang w:eastAsia="fr-FR" w:bidi="fr-FR"/>
        </w:rPr>
        <w:t> </w:t>
      </w:r>
      <w:r>
        <w:rPr>
          <w:rStyle w:val="Appelnotedebasdep"/>
        </w:rPr>
        <w:footnoteReference w:id="990"/>
      </w:r>
      <w:r w:rsidRPr="000F765B">
        <w:rPr>
          <w:lang w:eastAsia="fr-FR" w:bidi="fr-FR"/>
        </w:rPr>
        <w:t xml:space="preserve"> ; vouer aux peines éternelles l’auteur de </w:t>
      </w:r>
      <w:r>
        <w:t>l’</w:t>
      </w:r>
      <w:r w:rsidRPr="008D6A03">
        <w:rPr>
          <w:i/>
        </w:rPr>
        <w:t>Ecclésiaste</w:t>
      </w:r>
      <w:r w:rsidRPr="000F765B">
        <w:t>,</w:t>
      </w:r>
      <w:r w:rsidRPr="000F765B">
        <w:rPr>
          <w:lang w:eastAsia="fr-FR" w:bidi="fr-FR"/>
        </w:rPr>
        <w:t xml:space="preserve"> des </w:t>
      </w:r>
      <w:r w:rsidRPr="008D6A03">
        <w:rPr>
          <w:i/>
        </w:rPr>
        <w:t>Proverbes</w:t>
      </w:r>
      <w:r w:rsidRPr="000F765B">
        <w:t>,</w:t>
      </w:r>
      <w:r w:rsidRPr="000F765B">
        <w:rPr>
          <w:lang w:eastAsia="fr-FR" w:bidi="fr-FR"/>
        </w:rPr>
        <w:t xml:space="preserve"> du </w:t>
      </w:r>
      <w:r w:rsidRPr="00B4516C">
        <w:rPr>
          <w:i/>
        </w:rPr>
        <w:t>Cantique des Cantiques</w:t>
      </w:r>
      <w:r w:rsidRPr="000F765B">
        <w:rPr>
          <w:lang w:eastAsia="fr-FR" w:bidi="fr-FR"/>
        </w:rPr>
        <w:t xml:space="preserve"> et de la </w:t>
      </w:r>
      <w:r w:rsidRPr="00B4516C">
        <w:rPr>
          <w:i/>
        </w:rPr>
        <w:t>Sapience</w:t>
      </w:r>
      <w:r w:rsidRPr="000F765B">
        <w:rPr>
          <w:lang w:eastAsia="fr-FR" w:bidi="fr-FR"/>
        </w:rPr>
        <w:t>, n’était-ce pas prêter le flanc à ces moqueries ?</w:t>
      </w:r>
      <w:r>
        <w:rPr>
          <w:lang w:eastAsia="fr-FR" w:bidi="fr-FR"/>
        </w:rPr>
        <w:t> </w:t>
      </w:r>
      <w:r>
        <w:rPr>
          <w:rStyle w:val="Appelnotedebasdep"/>
        </w:rPr>
        <w:footnoteReference w:id="991"/>
      </w:r>
      <w:r w:rsidRPr="000F765B">
        <w:rPr>
          <w:lang w:eastAsia="fr-FR" w:bidi="fr-FR"/>
        </w:rPr>
        <w:t xml:space="preserve"> Mais à leurs yeux, Salomon avait d’autres titres encore au respect des fidèles. Il comptait</w:t>
      </w:r>
      <w:r>
        <w:rPr>
          <w:lang w:eastAsia="fr-FR" w:bidi="fr-FR"/>
        </w:rPr>
        <w:t> — </w:t>
      </w:r>
      <w:r w:rsidRPr="000F765B">
        <w:rPr>
          <w:lang w:eastAsia="fr-FR" w:bidi="fr-FR"/>
        </w:rPr>
        <w:t>selon la généalogie de saint Matthieu</w:t>
      </w:r>
      <w:r>
        <w:rPr>
          <w:lang w:eastAsia="fr-FR" w:bidi="fr-FR"/>
        </w:rPr>
        <w:t> — </w:t>
      </w:r>
      <w:r w:rsidRPr="000F765B">
        <w:rPr>
          <w:lang w:eastAsia="fr-FR" w:bidi="fr-FR"/>
        </w:rPr>
        <w:t>parmi les ancêtres que s’était choisis le Christ. Bien plus, lorsque se fut développée cette pensée symboliste qui voyait dans l’Ancien Testament une perpétuelle préfiguration du Nouveau, Salomon passa pour une figure du Chris</w:t>
      </w:r>
      <w:r>
        <w:rPr>
          <w:lang w:eastAsia="fr-FR" w:bidi="fr-FR"/>
        </w:rPr>
        <w:t>t lui-même, pour le Christ de l’</w:t>
      </w:r>
      <w:r w:rsidRPr="000F765B">
        <w:rPr>
          <w:lang w:eastAsia="fr-FR" w:bidi="fr-FR"/>
        </w:rPr>
        <w:t>Ancienne Loi : tel il apparaît d</w:t>
      </w:r>
      <w:r>
        <w:rPr>
          <w:lang w:eastAsia="fr-FR" w:bidi="fr-FR"/>
        </w:rPr>
        <w:t xml:space="preserve">éjà chez Origène et chez </w:t>
      </w:r>
      <w:r>
        <w:rPr>
          <w:lang w:eastAsia="fr-FR" w:bidi="fr-FR"/>
        </w:rPr>
        <w:lastRenderedPageBreak/>
        <w:t>Tertul</w:t>
      </w:r>
      <w:r w:rsidRPr="000F765B">
        <w:rPr>
          <w:lang w:eastAsia="fr-FR" w:bidi="fr-FR"/>
        </w:rPr>
        <w:t>lien</w:t>
      </w:r>
      <w:r>
        <w:rPr>
          <w:lang w:eastAsia="fr-FR" w:bidi="fr-FR"/>
        </w:rPr>
        <w:t> </w:t>
      </w:r>
      <w:r>
        <w:rPr>
          <w:rStyle w:val="Appelnotedebasdep"/>
        </w:rPr>
        <w:footnoteReference w:id="992"/>
      </w:r>
      <w:r w:rsidRPr="000F765B">
        <w:rPr>
          <w:lang w:eastAsia="fr-FR" w:bidi="fr-FR"/>
        </w:rPr>
        <w:t xml:space="preserve">. La liturgie, ainsi que l’art, fixa et perpétua cette notion : « Sortez, filles de Sion », chante-t-on encore aujourd’hui à l’office de la Couronne d’Épines, « et voyez le roi Salomon orné du diadème dont sa mère l’a couronné, </w:t>
      </w:r>
      <w:r w:rsidRPr="008D6A03">
        <w:rPr>
          <w:i/>
        </w:rPr>
        <w:t>préparant la croix de son Sauveur</w:t>
      </w:r>
      <w:r w:rsidRPr="008D6A03">
        <w:rPr>
          <w:i/>
          <w:lang w:eastAsia="fr-FR" w:bidi="fr-FR"/>
        </w:rPr>
        <w:t> </w:t>
      </w:r>
      <w:r w:rsidRPr="000F765B">
        <w:rPr>
          <w:lang w:eastAsia="fr-FR" w:bidi="fr-FR"/>
        </w:rPr>
        <w:t>»</w:t>
      </w:r>
      <w:r>
        <w:rPr>
          <w:lang w:eastAsia="fr-FR" w:bidi="fr-FR"/>
        </w:rPr>
        <w:t> </w:t>
      </w:r>
      <w:r>
        <w:rPr>
          <w:rStyle w:val="Appelnotedebasdep"/>
        </w:rPr>
        <w:footnoteReference w:id="993"/>
      </w:r>
      <w:r w:rsidRPr="000F765B">
        <w:rPr>
          <w:lang w:eastAsia="fr-FR" w:bidi="fr-FR"/>
        </w:rPr>
        <w:t>. D</w:t>
      </w:r>
      <w:r w:rsidRPr="000F765B">
        <w:rPr>
          <w:lang w:eastAsia="fr-FR" w:bidi="fr-FR"/>
        </w:rPr>
        <w:t>e</w:t>
      </w:r>
      <w:r w:rsidRPr="000F765B">
        <w:rPr>
          <w:lang w:eastAsia="fr-FR" w:bidi="fr-FR"/>
        </w:rPr>
        <w:t>vant tant de raisons pour et contre il est naturel que la doctrine ait marqué quelque incertitude.</w:t>
      </w:r>
    </w:p>
    <w:p w14:paraId="19AC16C4" w14:textId="77777777" w:rsidR="00B9662D" w:rsidRPr="000F765B" w:rsidRDefault="00B9662D" w:rsidP="00B9662D">
      <w:pPr>
        <w:spacing w:before="120" w:after="120"/>
        <w:jc w:val="both"/>
      </w:pPr>
      <w:r w:rsidRPr="000F765B">
        <w:rPr>
          <w:lang w:eastAsia="fr-FR" w:bidi="fr-FR"/>
        </w:rPr>
        <w:t xml:space="preserve">Rien ne serait plus fastidieux que d’énumérer ici tous les Pères et les docteurs qui prirent parti dans ce grand débat. Les lecteurs curieux de comparer et de peser les opinions contraires se reporteront, s’ils le veulent bien, aux dissertations du </w:t>
      </w:r>
      <w:r>
        <w:rPr>
          <w:lang w:eastAsia="fr-FR" w:bidi="fr-FR"/>
        </w:rPr>
        <w:t>XVII</w:t>
      </w:r>
      <w:r w:rsidRPr="000F765B">
        <w:rPr>
          <w:vertAlign w:val="superscript"/>
          <w:lang w:eastAsia="fr-FR" w:bidi="fr-FR"/>
        </w:rPr>
        <w:t>e</w:t>
      </w:r>
      <w:r w:rsidRPr="000F765B">
        <w:rPr>
          <w:lang w:eastAsia="fr-FR" w:bidi="fr-FR"/>
        </w:rPr>
        <w:t xml:space="preserve"> siècle dont il sera parlé plus loin, ou bien, plus près de nous, au </w:t>
      </w:r>
      <w:r w:rsidRPr="00B4516C">
        <w:rPr>
          <w:i/>
        </w:rPr>
        <w:t>Dictionnaire de la Bible</w:t>
      </w:r>
      <w:r w:rsidRPr="000F765B">
        <w:rPr>
          <w:lang w:eastAsia="fr-FR" w:bidi="fr-FR"/>
        </w:rPr>
        <w:t>, de l’abbé Vigouroux, où l’abbé Lesètre a consacré à la question qui nous occupe quelques lignes d’un ton assez pessimiste, propre à inspirer les inqui</w:t>
      </w:r>
      <w:r w:rsidRPr="000F765B">
        <w:rPr>
          <w:lang w:eastAsia="fr-FR" w:bidi="fr-FR"/>
        </w:rPr>
        <w:t>é</w:t>
      </w:r>
      <w:r w:rsidRPr="000F765B">
        <w:rPr>
          <w:lang w:eastAsia="fr-FR" w:bidi="fr-FR"/>
        </w:rPr>
        <w:t>tudes les plus sérieuses sur le sort réservé, dans l’autre vie, au sage des sages</w:t>
      </w:r>
      <w:r>
        <w:rPr>
          <w:lang w:eastAsia="fr-FR" w:bidi="fr-FR"/>
        </w:rPr>
        <w:t> </w:t>
      </w:r>
      <w:r>
        <w:rPr>
          <w:rStyle w:val="Appelnotedebasdep"/>
        </w:rPr>
        <w:footnoteReference w:id="994"/>
      </w:r>
      <w:r w:rsidRPr="000F765B">
        <w:rPr>
          <w:lang w:eastAsia="fr-FR" w:bidi="fr-FR"/>
        </w:rPr>
        <w:t>. D’une façon générale, les auteurs se divisent en trois groupes : ceux qui affirment le salut de Salomon ; ceux, en petite quantité, il est vrai, qui, comme saint Cyprien</w:t>
      </w:r>
      <w:r>
        <w:rPr>
          <w:lang w:eastAsia="fr-FR" w:bidi="fr-FR"/>
        </w:rPr>
        <w:t xml:space="preserve"> </w:t>
      </w:r>
      <w:r>
        <w:t xml:space="preserve">[930] </w:t>
      </w:r>
      <w:r w:rsidRPr="000F765B">
        <w:rPr>
          <w:lang w:eastAsia="fr-FR" w:bidi="fr-FR"/>
        </w:rPr>
        <w:t>de Carthage</w:t>
      </w:r>
      <w:r>
        <w:rPr>
          <w:lang w:eastAsia="fr-FR" w:bidi="fr-FR"/>
        </w:rPr>
        <w:t> </w:t>
      </w:r>
      <w:r>
        <w:rPr>
          <w:rStyle w:val="Appelnotedebasdep"/>
        </w:rPr>
        <w:footnoteReference w:id="995"/>
      </w:r>
      <w:r w:rsidRPr="000F765B">
        <w:rPr>
          <w:lang w:eastAsia="fr-FR" w:bidi="fr-FR"/>
        </w:rPr>
        <w:t>, l’accusent résolument d’avoir, par ses fautes, perdu pour toujours « la grâce du Seigneur » ; ceux, enfin, qui se contentent de douter ; ces derniers l’emportent par le nombre. De pareils probl</w:t>
      </w:r>
      <w:r w:rsidRPr="000F765B">
        <w:rPr>
          <w:lang w:eastAsia="fr-FR" w:bidi="fr-FR"/>
        </w:rPr>
        <w:t>è</w:t>
      </w:r>
      <w:r w:rsidRPr="000F765B">
        <w:rPr>
          <w:lang w:eastAsia="fr-FR" w:bidi="fr-FR"/>
        </w:rPr>
        <w:t>mes qui, par leur obscurité même, offrent à l’érudition et à la subtilité d’esprit tant d’occasions de briller, ont toujours exercé sur les intelligences fo</w:t>
      </w:r>
      <w:r w:rsidRPr="000F765B">
        <w:rPr>
          <w:lang w:eastAsia="fr-FR" w:bidi="fr-FR"/>
        </w:rPr>
        <w:t>r</w:t>
      </w:r>
      <w:r w:rsidRPr="000F765B">
        <w:rPr>
          <w:lang w:eastAsia="fr-FR" w:bidi="fr-FR"/>
        </w:rPr>
        <w:t>mées aux spéculations théologiques une séduction partic</w:t>
      </w:r>
      <w:r w:rsidRPr="000F765B">
        <w:rPr>
          <w:lang w:eastAsia="fr-FR" w:bidi="fr-FR"/>
        </w:rPr>
        <w:t>u</w:t>
      </w:r>
      <w:r w:rsidRPr="000F765B">
        <w:rPr>
          <w:lang w:eastAsia="fr-FR" w:bidi="fr-FR"/>
        </w:rPr>
        <w:t xml:space="preserve">lièrement vive. Aussi, on ne sera pas surpris d’apprendre que celui-là ait été abondamment discuté dans les cloîtres du Moyen </w:t>
      </w:r>
      <w:r>
        <w:rPr>
          <w:lang w:eastAsia="fr-FR" w:bidi="fr-FR"/>
        </w:rPr>
        <w:t>Â</w:t>
      </w:r>
      <w:r w:rsidRPr="000F765B">
        <w:rPr>
          <w:lang w:eastAsia="fr-FR" w:bidi="fr-FR"/>
        </w:rPr>
        <w:t xml:space="preserve">ge. Vers la fin du </w:t>
      </w:r>
      <w:r>
        <w:rPr>
          <w:lang w:eastAsia="fr-FR" w:bidi="fr-FR"/>
        </w:rPr>
        <w:t>XII</w:t>
      </w:r>
      <w:r w:rsidRPr="000F765B">
        <w:rPr>
          <w:vertAlign w:val="superscript"/>
          <w:lang w:eastAsia="fr-FR" w:bidi="fr-FR"/>
        </w:rPr>
        <w:t>e</w:t>
      </w:r>
      <w:r w:rsidRPr="000F765B">
        <w:rPr>
          <w:lang w:eastAsia="fr-FR" w:bidi="fr-FR"/>
        </w:rPr>
        <w:t xml:space="preserve"> siècle, les religieux du monastère prémontré de Bonne-Espérance, au diocèse de Cambrai, avaient entre les mains un opus</w:t>
      </w:r>
      <w:r w:rsidRPr="000F765B">
        <w:rPr>
          <w:lang w:eastAsia="fr-FR" w:bidi="fr-FR"/>
        </w:rPr>
        <w:lastRenderedPageBreak/>
        <w:t>c</w:t>
      </w:r>
      <w:r w:rsidRPr="000F765B">
        <w:rPr>
          <w:lang w:eastAsia="fr-FR" w:bidi="fr-FR"/>
        </w:rPr>
        <w:t>u</w:t>
      </w:r>
      <w:r w:rsidRPr="000F765B">
        <w:rPr>
          <w:lang w:eastAsia="fr-FR" w:bidi="fr-FR"/>
        </w:rPr>
        <w:t>le où les témoignages patristiques favorables au salut de Salomon se trouvaient diligemment recueillis ; leur abbé, Philippe de Harvengt, qui était un savant homme, professait la thèse opposée ; il voulut d</w:t>
      </w:r>
      <w:r w:rsidRPr="000F765B">
        <w:rPr>
          <w:lang w:eastAsia="fr-FR" w:bidi="fr-FR"/>
        </w:rPr>
        <w:t>é</w:t>
      </w:r>
      <w:r w:rsidRPr="000F765B">
        <w:rPr>
          <w:lang w:eastAsia="fr-FR" w:bidi="fr-FR"/>
        </w:rPr>
        <w:t xml:space="preserve">tromper ses ouailles et composa pour leur édification une </w:t>
      </w:r>
      <w:r w:rsidRPr="002D166B">
        <w:rPr>
          <w:i/>
        </w:rPr>
        <w:t>Responsio de damnatione Salomonis</w:t>
      </w:r>
      <w:r w:rsidRPr="000F765B">
        <w:rPr>
          <w:lang w:eastAsia="fr-FR" w:bidi="fr-FR"/>
        </w:rPr>
        <w:t xml:space="preserve"> que nous possédons encore</w:t>
      </w:r>
      <w:r>
        <w:rPr>
          <w:lang w:eastAsia="fr-FR" w:bidi="fr-FR"/>
        </w:rPr>
        <w:t> </w:t>
      </w:r>
      <w:r>
        <w:rPr>
          <w:rStyle w:val="Appelnotedebasdep"/>
        </w:rPr>
        <w:footnoteReference w:id="996"/>
      </w:r>
      <w:r w:rsidRPr="000F765B">
        <w:rPr>
          <w:lang w:eastAsia="fr-FR" w:bidi="fr-FR"/>
        </w:rPr>
        <w:t>.</w:t>
      </w:r>
    </w:p>
    <w:p w14:paraId="79F21745" w14:textId="77777777" w:rsidR="00B9662D" w:rsidRPr="000F765B" w:rsidRDefault="00B9662D" w:rsidP="00B9662D">
      <w:pPr>
        <w:spacing w:before="120" w:after="120"/>
        <w:jc w:val="both"/>
      </w:pPr>
      <w:r w:rsidRPr="000F765B">
        <w:rPr>
          <w:lang w:eastAsia="fr-FR" w:bidi="fr-FR"/>
        </w:rPr>
        <w:t>Mais à quoi bon compulser des livres ? N’y avait-il pas, pour pe</w:t>
      </w:r>
      <w:r w:rsidRPr="000F765B">
        <w:rPr>
          <w:lang w:eastAsia="fr-FR" w:bidi="fr-FR"/>
        </w:rPr>
        <w:t>r</w:t>
      </w:r>
      <w:r w:rsidRPr="000F765B">
        <w:rPr>
          <w:lang w:eastAsia="fr-FR" w:bidi="fr-FR"/>
        </w:rPr>
        <w:t>cer l’énigme, des méthodes plus directes et plus sûres ? Dans la s</w:t>
      </w:r>
      <w:r w:rsidRPr="000F765B">
        <w:rPr>
          <w:lang w:eastAsia="fr-FR" w:bidi="fr-FR"/>
        </w:rPr>
        <w:t>e</w:t>
      </w:r>
      <w:r w:rsidRPr="000F765B">
        <w:rPr>
          <w:lang w:eastAsia="fr-FR" w:bidi="fr-FR"/>
        </w:rPr>
        <w:t xml:space="preserve">conde moitié du </w:t>
      </w:r>
      <w:r>
        <w:rPr>
          <w:lang w:eastAsia="fr-FR" w:bidi="fr-FR"/>
        </w:rPr>
        <w:t>XIII</w:t>
      </w:r>
      <w:r w:rsidRPr="000F765B">
        <w:rPr>
          <w:vertAlign w:val="superscript"/>
          <w:lang w:eastAsia="fr-FR" w:bidi="fr-FR"/>
        </w:rPr>
        <w:t>e</w:t>
      </w:r>
      <w:r w:rsidRPr="000F765B">
        <w:rPr>
          <w:lang w:eastAsia="fr-FR" w:bidi="fr-FR"/>
        </w:rPr>
        <w:t xml:space="preserve"> siècle, le monastère de Helfta en Thuringe, o</w:t>
      </w:r>
      <w:r w:rsidRPr="000F765B">
        <w:rPr>
          <w:lang w:eastAsia="fr-FR" w:bidi="fr-FR"/>
        </w:rPr>
        <w:t>c</w:t>
      </w:r>
      <w:r w:rsidRPr="000F765B">
        <w:rPr>
          <w:lang w:eastAsia="fr-FR" w:bidi="fr-FR"/>
        </w:rPr>
        <w:t>cupé par des religieuses bénédictines, fut un ardent foyer de vie my</w:t>
      </w:r>
      <w:r w:rsidRPr="000F765B">
        <w:rPr>
          <w:lang w:eastAsia="fr-FR" w:bidi="fr-FR"/>
        </w:rPr>
        <w:t>s</w:t>
      </w:r>
      <w:r w:rsidRPr="000F765B">
        <w:rPr>
          <w:lang w:eastAsia="fr-FR" w:bidi="fr-FR"/>
        </w:rPr>
        <w:t>tique ; plusieurs nonnes étaient favorisées de grâces surnaturelles ; l’une d’elles, en particulier, nommée Mathilde de Hackeborn, avait avec le Sauveur de confiants entretiens. Les personnes de son ento</w:t>
      </w:r>
      <w:r w:rsidRPr="000F765B">
        <w:rPr>
          <w:lang w:eastAsia="fr-FR" w:bidi="fr-FR"/>
        </w:rPr>
        <w:t>u</w:t>
      </w:r>
      <w:r w:rsidRPr="000F765B">
        <w:rPr>
          <w:lang w:eastAsia="fr-FR" w:bidi="fr-FR"/>
        </w:rPr>
        <w:t>rage n’ignoraient pas ce divin commerce, et cherchaient volontiers à le mettre à profit pour se renseigner sur l’au-delà. C’est ainsi qu’un jour un « frère »</w:t>
      </w:r>
      <w:r>
        <w:rPr>
          <w:lang w:eastAsia="fr-FR" w:bidi="fr-FR"/>
        </w:rPr>
        <w:t> — </w:t>
      </w:r>
      <w:r w:rsidRPr="000F765B">
        <w:rPr>
          <w:lang w:eastAsia="fr-FR" w:bidi="fr-FR"/>
        </w:rPr>
        <w:t>sans doute un religieux du voisinage appartenant à l’un des ordres mendiants</w:t>
      </w:r>
      <w:r>
        <w:rPr>
          <w:lang w:eastAsia="fr-FR" w:bidi="fr-FR"/>
        </w:rPr>
        <w:t> — </w:t>
      </w:r>
      <w:r w:rsidRPr="000F765B">
        <w:rPr>
          <w:lang w:eastAsia="fr-FR" w:bidi="fr-FR"/>
        </w:rPr>
        <w:t>pria la visionnaire d’interroger son tout-puissant interlocuteur sur le lieu où demeuraient, dans l’autre monde, quatre grandes âmes dont les destinées semblaient, entre toutes, ince</w:t>
      </w:r>
      <w:r w:rsidRPr="000F765B">
        <w:rPr>
          <w:lang w:eastAsia="fr-FR" w:bidi="fr-FR"/>
        </w:rPr>
        <w:t>r</w:t>
      </w:r>
      <w:r w:rsidRPr="000F765B">
        <w:rPr>
          <w:lang w:eastAsia="fr-FR" w:bidi="fr-FR"/>
        </w:rPr>
        <w:t>taines : celles de Samson, d’Origène, de Trajan et de Salomon. La question fut transmise ; malheureusement, les réponses manquèrent de précision. Je citerai seulement celle qui concerne Salomon ; les trois autres sont exactement du même type.</w:t>
      </w:r>
    </w:p>
    <w:p w14:paraId="5773A980" w14:textId="77777777" w:rsidR="00B9662D" w:rsidRDefault="00B9662D" w:rsidP="00B9662D">
      <w:pPr>
        <w:spacing w:before="120" w:after="120"/>
        <w:jc w:val="both"/>
        <w:rPr>
          <w:lang w:eastAsia="fr-FR" w:bidi="fr-FR"/>
        </w:rPr>
      </w:pPr>
      <w:r>
        <w:rPr>
          <w:lang w:eastAsia="fr-FR" w:bidi="fr-FR"/>
        </w:rPr>
        <w:br w:type="page"/>
      </w:r>
    </w:p>
    <w:p w14:paraId="0B3A81DF" w14:textId="77777777" w:rsidR="00B9662D" w:rsidRPr="000F765B" w:rsidRDefault="00B9662D" w:rsidP="00B9662D">
      <w:pPr>
        <w:pStyle w:val="Grillecouleur-Accent1"/>
      </w:pPr>
      <w:r w:rsidRPr="000F765B">
        <w:rPr>
          <w:lang w:eastAsia="fr-FR" w:bidi="fr-FR"/>
        </w:rPr>
        <w:t>« Le Seigneur</w:t>
      </w:r>
      <w:r w:rsidRPr="00DF0E93">
        <w:rPr>
          <w:rStyle w:val="Grillecouleur-Accent1Car"/>
        </w:rPr>
        <w:t xml:space="preserve"> répondit : « Ce que ma miséricorde a fait de Salomon, je veux le tenir</w:t>
      </w:r>
      <w:r w:rsidRPr="000F765B">
        <w:rPr>
          <w:lang w:eastAsia="fr-FR" w:bidi="fr-FR"/>
        </w:rPr>
        <w:t xml:space="preserve"> caché aux hommes afin qu’ils évitent plus so</w:t>
      </w:r>
      <w:r w:rsidRPr="000F765B">
        <w:rPr>
          <w:lang w:eastAsia="fr-FR" w:bidi="fr-FR"/>
        </w:rPr>
        <w:t>i</w:t>
      </w:r>
      <w:r w:rsidRPr="000F765B">
        <w:rPr>
          <w:lang w:eastAsia="fr-FR" w:bidi="fr-FR"/>
        </w:rPr>
        <w:t>gneusement les péchés de la chair »</w:t>
      </w:r>
      <w:r>
        <w:rPr>
          <w:lang w:eastAsia="fr-FR" w:bidi="fr-FR"/>
        </w:rPr>
        <w:t> </w:t>
      </w:r>
      <w:r>
        <w:rPr>
          <w:rStyle w:val="Appelnotedebasdep"/>
        </w:rPr>
        <w:footnoteReference w:id="997"/>
      </w:r>
      <w:r w:rsidRPr="000F765B">
        <w:rPr>
          <w:lang w:eastAsia="fr-FR" w:bidi="fr-FR"/>
        </w:rPr>
        <w:t>.</w:t>
      </w:r>
    </w:p>
    <w:p w14:paraId="5E9510D7" w14:textId="77777777" w:rsidR="00B9662D" w:rsidRDefault="00B9662D" w:rsidP="00B9662D">
      <w:pPr>
        <w:spacing w:before="120" w:after="120"/>
        <w:jc w:val="both"/>
        <w:rPr>
          <w:lang w:eastAsia="fr-FR" w:bidi="fr-FR"/>
        </w:rPr>
      </w:pPr>
    </w:p>
    <w:p w14:paraId="17B3F73A" w14:textId="77777777" w:rsidR="00B9662D" w:rsidRPr="000F765B" w:rsidRDefault="00B9662D" w:rsidP="00B9662D">
      <w:pPr>
        <w:spacing w:before="120" w:after="120"/>
        <w:jc w:val="both"/>
      </w:pPr>
      <w:r w:rsidRPr="000F765B">
        <w:rPr>
          <w:lang w:eastAsia="fr-FR" w:bidi="fr-FR"/>
        </w:rPr>
        <w:t>Oracle enveloppé encore de ténèbres, mais où le mot de misérico</w:t>
      </w:r>
      <w:r w:rsidRPr="000F765B">
        <w:rPr>
          <w:lang w:eastAsia="fr-FR" w:bidi="fr-FR"/>
        </w:rPr>
        <w:t>r</w:t>
      </w:r>
      <w:r w:rsidRPr="000F765B">
        <w:rPr>
          <w:lang w:eastAsia="fr-FR" w:bidi="fr-FR"/>
        </w:rPr>
        <w:t>de semble faire prévoir une solution de bonté ! Au siècle suivant, Dante ne connaît pas le doute. Au cours de son prodigieux voyage, c’est dans une demeure paradisiaque qu’il rencontre Salomon. Au ciel du Soleil, cette vive lumière domine par son éclat dix autres étincelles de pure science,</w:t>
      </w:r>
      <w:r>
        <w:t xml:space="preserve"> [931] </w:t>
      </w:r>
      <w:r w:rsidRPr="000F765B">
        <w:rPr>
          <w:lang w:eastAsia="fr-FR" w:bidi="fr-FR"/>
        </w:rPr>
        <w:t>guirlande assez bizarrement composée du reste, puisqu’on y voit briller, à côté de saint Thomas d’Aquin et d’autres penseurs de tout repos, le représentant le plus illustre de l’averroïsme latin, Siger de Brabant. Dante ignorait-il vraiment les hésitations do</w:t>
      </w:r>
      <w:r w:rsidRPr="000F765B">
        <w:rPr>
          <w:lang w:eastAsia="fr-FR" w:bidi="fr-FR"/>
        </w:rPr>
        <w:t>c</w:t>
      </w:r>
      <w:r w:rsidRPr="000F765B">
        <w:rPr>
          <w:lang w:eastAsia="fr-FR" w:bidi="fr-FR"/>
        </w:rPr>
        <w:t>trinales que nous avons signalées plus haut ? Je ne sais. Mais il est permis de pe</w:t>
      </w:r>
      <w:r w:rsidRPr="000F765B">
        <w:rPr>
          <w:lang w:eastAsia="fr-FR" w:bidi="fr-FR"/>
        </w:rPr>
        <w:t>n</w:t>
      </w:r>
      <w:r w:rsidRPr="000F765B">
        <w:rPr>
          <w:lang w:eastAsia="fr-FR" w:bidi="fr-FR"/>
        </w:rPr>
        <w:t>ser que, de même qu’il ne voulut point sacrifier Siger de Brabant à l’hostilité d’une philosophie plus orthodoxe, il n’eût point consenti à livrer aux anathèmes des théologiens le plus sage des hommes, le roi « qui demanda un sens droit afin d’être capable de r</w:t>
      </w:r>
      <w:r w:rsidRPr="000F765B">
        <w:rPr>
          <w:lang w:eastAsia="fr-FR" w:bidi="fr-FR"/>
        </w:rPr>
        <w:t>é</w:t>
      </w:r>
      <w:r w:rsidRPr="000F765B">
        <w:rPr>
          <w:lang w:eastAsia="fr-FR" w:bidi="fr-FR"/>
        </w:rPr>
        <w:t>gner », « ce haut esprit, en qui un savoir si profond fut mis que, si le vrai est le vrai, jamais nul autre ne s’éleva dont la vue s’étendît aussi loin que la sie</w:t>
      </w:r>
      <w:r w:rsidRPr="000F765B">
        <w:rPr>
          <w:lang w:eastAsia="fr-FR" w:bidi="fr-FR"/>
        </w:rPr>
        <w:t>n</w:t>
      </w:r>
      <w:r w:rsidRPr="000F765B">
        <w:rPr>
          <w:lang w:eastAsia="fr-FR" w:bidi="fr-FR"/>
        </w:rPr>
        <w:t>ne ».</w:t>
      </w:r>
    </w:p>
    <w:p w14:paraId="6E202DDB" w14:textId="77777777" w:rsidR="00B9662D" w:rsidRDefault="00B9662D" w:rsidP="00B9662D">
      <w:pPr>
        <w:ind w:left="1800" w:firstLine="0"/>
        <w:jc w:val="both"/>
        <w:rPr>
          <w:i/>
          <w:lang w:eastAsia="fr-FR" w:bidi="fr-FR"/>
        </w:rPr>
      </w:pPr>
      <w:r w:rsidRPr="000F765B">
        <w:rPr>
          <w:rStyle w:val="Corpsdutexte3NonItaliqueEspacement1pt"/>
          <w:i w:val="0"/>
          <w:iCs w:val="0"/>
          <w:sz w:val="28"/>
          <w:lang w:val="fr-CA"/>
        </w:rPr>
        <w:t xml:space="preserve">« ... </w:t>
      </w:r>
      <w:r w:rsidRPr="00B4516C">
        <w:rPr>
          <w:i/>
          <w:lang w:eastAsia="fr-FR" w:bidi="fr-FR"/>
        </w:rPr>
        <w:t xml:space="preserve">Valta mente </w:t>
      </w:r>
      <w:r>
        <w:rPr>
          <w:i/>
          <w:lang w:eastAsia="fr-FR" w:bidi="fr-FR"/>
        </w:rPr>
        <w:t>ú</w:t>
      </w:r>
      <w:r w:rsidRPr="00B4516C">
        <w:rPr>
          <w:i/>
          <w:lang w:eastAsia="fr-FR" w:bidi="fr-FR"/>
        </w:rPr>
        <w:t xml:space="preserve"> si profondo</w:t>
      </w:r>
      <w:r>
        <w:rPr>
          <w:i/>
          <w:lang w:eastAsia="fr-FR" w:bidi="fr-FR"/>
        </w:rPr>
        <w:br/>
      </w:r>
      <w:r w:rsidRPr="00B4516C">
        <w:rPr>
          <w:i/>
          <w:lang w:eastAsia="fr-FR" w:bidi="fr-FR"/>
        </w:rPr>
        <w:t>saver fu messo, che, se il vero è vero</w:t>
      </w:r>
      <w:r>
        <w:rPr>
          <w:i/>
          <w:lang w:eastAsia="fr-FR" w:bidi="fr-FR"/>
        </w:rPr>
        <w:t>,</w:t>
      </w:r>
    </w:p>
    <w:p w14:paraId="638C16D4" w14:textId="77777777" w:rsidR="00B9662D" w:rsidRDefault="00B9662D" w:rsidP="00B9662D">
      <w:pPr>
        <w:ind w:left="1800" w:firstLine="0"/>
        <w:jc w:val="both"/>
        <w:rPr>
          <w:lang w:eastAsia="fr-FR" w:bidi="fr-FR"/>
        </w:rPr>
      </w:pPr>
      <w:r w:rsidRPr="00B4516C">
        <w:rPr>
          <w:i/>
          <w:lang w:eastAsia="fr-FR" w:bidi="fr-FR"/>
        </w:rPr>
        <w:t>a veder tanto non surse il secondo </w:t>
      </w:r>
      <w:r w:rsidRPr="000F765B">
        <w:rPr>
          <w:lang w:eastAsia="fr-FR" w:bidi="fr-FR"/>
        </w:rPr>
        <w:t>»</w:t>
      </w:r>
      <w:r>
        <w:rPr>
          <w:lang w:eastAsia="fr-FR" w:bidi="fr-FR"/>
        </w:rPr>
        <w:t> </w:t>
      </w:r>
      <w:r>
        <w:rPr>
          <w:rStyle w:val="Appelnotedebasdep"/>
        </w:rPr>
        <w:footnoteReference w:id="998"/>
      </w:r>
      <w:r w:rsidRPr="000F765B">
        <w:rPr>
          <w:lang w:eastAsia="fr-FR" w:bidi="fr-FR"/>
        </w:rPr>
        <w:t>.</w:t>
      </w:r>
    </w:p>
    <w:p w14:paraId="1054AEFE" w14:textId="77777777" w:rsidR="00B9662D" w:rsidRPr="000F765B" w:rsidRDefault="00B9662D" w:rsidP="00B9662D">
      <w:pPr>
        <w:ind w:left="1800" w:firstLine="0"/>
        <w:jc w:val="both"/>
      </w:pPr>
    </w:p>
    <w:p w14:paraId="1BC9EFF0" w14:textId="77777777" w:rsidR="00B9662D" w:rsidRPr="000F765B" w:rsidRDefault="00B9662D" w:rsidP="00B9662D">
      <w:pPr>
        <w:spacing w:before="120" w:after="120"/>
        <w:jc w:val="both"/>
      </w:pPr>
      <w:r>
        <w:rPr>
          <w:lang w:eastAsia="fr-FR" w:bidi="fr-FR"/>
        </w:rPr>
        <w:t>À</w:t>
      </w:r>
      <w:r w:rsidRPr="000F765B">
        <w:rPr>
          <w:lang w:eastAsia="fr-FR" w:bidi="fr-FR"/>
        </w:rPr>
        <w:t xml:space="preserve"> côté des textes, interrogeons les monuments. Comment sans en appeler à leur témoignage prétendre scruter sur un point quelconque la pensée religieuse d’un temps où l’art avait pour fonction essentielle d’apprendre aux simples ce dont les savants s’instruisaient dans les livres ? Au premier abord, il semble que l’iconographie du Moyen </w:t>
      </w:r>
      <w:r>
        <w:rPr>
          <w:lang w:eastAsia="fr-FR" w:bidi="fr-FR"/>
        </w:rPr>
        <w:t>Â</w:t>
      </w:r>
      <w:r w:rsidRPr="000F765B">
        <w:rPr>
          <w:lang w:eastAsia="fr-FR" w:bidi="fr-FR"/>
        </w:rPr>
        <w:t>ge ait fait à Salomon un rôle unanimement triomphal. Assis sur son trône, il symbolise l’Enfant-Dieu</w:t>
      </w:r>
      <w:r>
        <w:rPr>
          <w:lang w:eastAsia="fr-FR" w:bidi="fr-FR"/>
        </w:rPr>
        <w:t> — </w:t>
      </w:r>
      <w:r w:rsidRPr="000F765B">
        <w:rPr>
          <w:lang w:eastAsia="fr-FR" w:bidi="fr-FR"/>
        </w:rPr>
        <w:t>Éternelle Sagesse</w:t>
      </w:r>
      <w:r>
        <w:rPr>
          <w:lang w:eastAsia="fr-FR" w:bidi="fr-FR"/>
        </w:rPr>
        <w:t> — </w:t>
      </w:r>
      <w:r w:rsidRPr="000F765B">
        <w:rPr>
          <w:lang w:eastAsia="fr-FR" w:bidi="fr-FR"/>
        </w:rPr>
        <w:t>sur les g</w:t>
      </w:r>
      <w:r w:rsidRPr="000F765B">
        <w:rPr>
          <w:lang w:eastAsia="fr-FR" w:bidi="fr-FR"/>
        </w:rPr>
        <w:t>e</w:t>
      </w:r>
      <w:r w:rsidRPr="000F765B">
        <w:rPr>
          <w:lang w:eastAsia="fr-FR" w:bidi="fr-FR"/>
        </w:rPr>
        <w:t>noux de Marie. Sa rencontre avec la reine de Saba figure selon les cas, soit l’union du Sauveur avec l’Église, soit l’adoration des Mages. Dans le jugement fameux qu’il rendit entre les deux femmes qui se disputaient l’enfant, on voit tantôt une allégorie de l’Ancienne et de la Nouvelle Loi, tantôt, plus simplement, une belle leçon de justice, a</w:t>
      </w:r>
      <w:r w:rsidRPr="000F765B">
        <w:rPr>
          <w:lang w:eastAsia="fr-FR" w:bidi="fr-FR"/>
        </w:rPr>
        <w:t>n</w:t>
      </w:r>
      <w:r w:rsidRPr="000F765B">
        <w:rPr>
          <w:lang w:eastAsia="fr-FR" w:bidi="fr-FR"/>
        </w:rPr>
        <w:t>nonce prophétique de celle que le Christ viendra donner au monde, le jour où il se lèvera pour « juger les mors et les vis »</w:t>
      </w:r>
      <w:r>
        <w:rPr>
          <w:lang w:eastAsia="fr-FR" w:bidi="fr-FR"/>
        </w:rPr>
        <w:t> </w:t>
      </w:r>
      <w:r>
        <w:rPr>
          <w:rStyle w:val="Appelnotedebasdep"/>
        </w:rPr>
        <w:footnoteReference w:id="999"/>
      </w:r>
      <w:r w:rsidRPr="000F765B">
        <w:rPr>
          <w:lang w:eastAsia="fr-FR" w:bidi="fr-FR"/>
        </w:rPr>
        <w:t>. Sculpteurs et peintres verriers ont reproduit à l’envi ces illustres épisodes. Est-ce donc que les artistes ou leurs inspirateurs aient ignoré ou délibérément rejeté l’opinion de ceux-là parmi les théologiens qui refusaient au sage roi la gloire éternelle ? Je ne le crois pas. J’estime au contraire qu’il est possible de découvrir jusque dans les documents figurés la trace de ces réserves doctrinales. Bien entendu, je ne présente ce qui va suivre que comme une conjecture, dont l’examen doit être laissé aux spéci</w:t>
      </w:r>
      <w:r w:rsidRPr="000F765B">
        <w:rPr>
          <w:lang w:eastAsia="fr-FR" w:bidi="fr-FR"/>
        </w:rPr>
        <w:t>a</w:t>
      </w:r>
      <w:r w:rsidRPr="000F765B">
        <w:rPr>
          <w:lang w:eastAsia="fr-FR" w:bidi="fr-FR"/>
        </w:rPr>
        <w:t xml:space="preserve">listes. Ce n’est point par occasion, à propos d’un détail, qu’on peut </w:t>
      </w:r>
      <w:r w:rsidRPr="000F765B">
        <w:rPr>
          <w:lang w:eastAsia="fr-FR" w:bidi="fr-FR"/>
        </w:rPr>
        <w:lastRenderedPageBreak/>
        <w:t>entreprendre</w:t>
      </w:r>
      <w:r>
        <w:t xml:space="preserve"> </w:t>
      </w:r>
      <w:r>
        <w:rPr>
          <w:lang w:eastAsia="fr-FR" w:bidi="fr-FR"/>
        </w:rPr>
        <w:t xml:space="preserve">[932] </w:t>
      </w:r>
      <w:r w:rsidRPr="000F765B">
        <w:rPr>
          <w:lang w:eastAsia="fr-FR" w:bidi="fr-FR"/>
        </w:rPr>
        <w:t>sérieusement l’étude d’un thème iconographique aussi riche que celui de la Descente aux Limbes : car c’est de lui qu’il va s’agir ici</w:t>
      </w:r>
      <w:r>
        <w:rPr>
          <w:lang w:eastAsia="fr-FR" w:bidi="fr-FR"/>
        </w:rPr>
        <w:t> </w:t>
      </w:r>
      <w:r>
        <w:rPr>
          <w:rStyle w:val="Appelnotedebasdep"/>
        </w:rPr>
        <w:footnoteReference w:id="1000"/>
      </w:r>
      <w:r w:rsidRPr="000F765B">
        <w:rPr>
          <w:lang w:eastAsia="fr-FR" w:bidi="fr-FR"/>
        </w:rPr>
        <w:t>.</w:t>
      </w:r>
    </w:p>
    <w:p w14:paraId="2D067D5D" w14:textId="77777777" w:rsidR="00B9662D" w:rsidRDefault="00B9662D" w:rsidP="00B9662D">
      <w:pPr>
        <w:spacing w:before="120" w:after="120"/>
        <w:jc w:val="both"/>
        <w:rPr>
          <w:lang w:eastAsia="fr-FR" w:bidi="fr-FR"/>
        </w:rPr>
      </w:pPr>
      <w:r w:rsidRPr="000F765B">
        <w:rPr>
          <w:lang w:eastAsia="fr-FR" w:bidi="fr-FR"/>
        </w:rPr>
        <w:t xml:space="preserve">Dans l’art byzantin, les représentations de cette scène grandiose sont extrêmement nombreuses. De bonne heure, à partir du </w:t>
      </w:r>
      <w:r>
        <w:rPr>
          <w:lang w:eastAsia="fr-FR" w:bidi="fr-FR"/>
        </w:rPr>
        <w:t>XI</w:t>
      </w:r>
      <w:r w:rsidRPr="000F765B">
        <w:rPr>
          <w:vertAlign w:val="superscript"/>
          <w:lang w:eastAsia="fr-FR" w:bidi="fr-FR"/>
        </w:rPr>
        <w:t>e</w:t>
      </w:r>
      <w:r w:rsidRPr="000F765B">
        <w:rPr>
          <w:lang w:eastAsia="fr-FR" w:bidi="fr-FR"/>
        </w:rPr>
        <w:t xml:space="preserve"> siècle au plus tard, elles comportent un motif accessoire qui, désormais, d</w:t>
      </w:r>
      <w:r w:rsidRPr="000F765B">
        <w:rPr>
          <w:lang w:eastAsia="fr-FR" w:bidi="fr-FR"/>
        </w:rPr>
        <w:t>e</w:t>
      </w:r>
      <w:r w:rsidRPr="000F765B">
        <w:rPr>
          <w:lang w:eastAsia="fr-FR" w:bidi="fr-FR"/>
        </w:rPr>
        <w:t>meurera à peu près immuable. Près du Rédempteur, on aperçoit deux personnages couronnés et nimbés, qui d’ailleurs ont l’air d’assister à l’action plutôt qu’ils n’y participent vraiment ; dans ces deux rois, les archéologues ont unanimement reconnu David et Salomon ; à côté d’eux on plaçait souvent, en tiers, saint Jean-Baptiste</w:t>
      </w:r>
      <w:r>
        <w:rPr>
          <w:lang w:eastAsia="fr-FR" w:bidi="fr-FR"/>
        </w:rPr>
        <w:t> </w:t>
      </w:r>
      <w:r>
        <w:rPr>
          <w:rStyle w:val="Appelnotedebasdep"/>
        </w:rPr>
        <w:footnoteReference w:id="1001"/>
      </w:r>
      <w:r w:rsidRPr="000F765B">
        <w:rPr>
          <w:lang w:eastAsia="fr-FR" w:bidi="fr-FR"/>
        </w:rPr>
        <w:t>. En affir</w:t>
      </w:r>
      <w:r w:rsidRPr="000F765B">
        <w:rPr>
          <w:lang w:eastAsia="fr-FR" w:bidi="fr-FR"/>
        </w:rPr>
        <w:lastRenderedPageBreak/>
        <w:t>mant ainsi leur foi dans le salut non seulement de David mais encore d</w:t>
      </w:r>
      <w:r>
        <w:rPr>
          <w:lang w:eastAsia="fr-FR" w:bidi="fr-FR"/>
        </w:rPr>
        <w:t>e son fils, les peintres, émail</w:t>
      </w:r>
      <w:r w:rsidRPr="000F765B">
        <w:rPr>
          <w:lang w:eastAsia="fr-FR" w:bidi="fr-FR"/>
        </w:rPr>
        <w:t xml:space="preserve">leurs ou mosaïstes de Byzance ne se mettaient pas en contradiction avec l’opinion de leur Église ; car il semble bien que, au Moyen </w:t>
      </w:r>
      <w:r>
        <w:rPr>
          <w:lang w:eastAsia="fr-FR" w:bidi="fr-FR"/>
        </w:rPr>
        <w:t>Â</w:t>
      </w:r>
      <w:r w:rsidRPr="000F765B">
        <w:rPr>
          <w:lang w:eastAsia="fr-FR" w:bidi="fr-FR"/>
        </w:rPr>
        <w:t>ge, les théologiens grecs aient été, en règle générale, beaucoup mieux disposés pour Salomon que leurs confrères latins. Vers le même temps où apparaissait sur les monuments, comme un enrichissement du schéma traditionnel, le groupe des deux princes hébreux, le métropolite Jean Mauropous, dans une série de petits poèmes sur les fêtes qui commémorent la vie du Christ, ne montrait-il pas, parmi les élus appelés par le Sauveur, après sa résurrection, à la vie bienheureuse.</w:t>
      </w:r>
    </w:p>
    <w:p w14:paraId="6D0434F2" w14:textId="77777777" w:rsidR="00B9662D" w:rsidRPr="000F765B" w:rsidRDefault="00B9662D" w:rsidP="00B9662D">
      <w:pPr>
        <w:spacing w:before="120" w:after="120"/>
        <w:jc w:val="both"/>
      </w:pPr>
    </w:p>
    <w:p w14:paraId="557011C9" w14:textId="77777777" w:rsidR="00B9662D" w:rsidRPr="000F765B" w:rsidRDefault="00B9662D" w:rsidP="00B9662D">
      <w:pPr>
        <w:spacing w:before="120" w:after="120"/>
        <w:ind w:firstLine="0"/>
        <w:jc w:val="center"/>
      </w:pPr>
      <w:r>
        <w:rPr>
          <w:lang w:eastAsia="fr-FR" w:bidi="fr-FR"/>
        </w:rPr>
        <w:t>« Αδἀμ, Δαδίδ τε καἰ σ οφὀν Σολομωνα </w:t>
      </w:r>
      <w:r w:rsidRPr="000F765B">
        <w:rPr>
          <w:lang w:eastAsia="fr-FR" w:bidi="fr-FR"/>
        </w:rPr>
        <w:t>»</w:t>
      </w:r>
      <w:r>
        <w:rPr>
          <w:lang w:eastAsia="fr-FR" w:bidi="fr-FR"/>
        </w:rPr>
        <w:t> </w:t>
      </w:r>
      <w:r>
        <w:rPr>
          <w:rStyle w:val="Appelnotedebasdep"/>
        </w:rPr>
        <w:footnoteReference w:id="1002"/>
      </w:r>
    </w:p>
    <w:p w14:paraId="47673F2F" w14:textId="77777777" w:rsidR="00B9662D" w:rsidRDefault="00B9662D" w:rsidP="00B9662D">
      <w:pPr>
        <w:spacing w:before="120" w:after="120"/>
        <w:jc w:val="both"/>
        <w:rPr>
          <w:lang w:eastAsia="fr-FR" w:bidi="fr-FR"/>
        </w:rPr>
      </w:pPr>
    </w:p>
    <w:p w14:paraId="5EEFCEE1" w14:textId="77777777" w:rsidR="00B9662D" w:rsidRPr="000F765B" w:rsidRDefault="00B9662D" w:rsidP="00B9662D">
      <w:pPr>
        <w:spacing w:before="120" w:after="120"/>
        <w:jc w:val="both"/>
      </w:pPr>
      <w:r w:rsidRPr="000F765B">
        <w:rPr>
          <w:lang w:eastAsia="fr-FR" w:bidi="fr-FR"/>
        </w:rPr>
        <w:t>Tournons-nous maintenant vers l’Occident. La France ne nous fournit pas grand-chose que l’on puisse, à notre point de vue, util</w:t>
      </w:r>
      <w:r w:rsidRPr="000F765B">
        <w:rPr>
          <w:lang w:eastAsia="fr-FR" w:bidi="fr-FR"/>
        </w:rPr>
        <w:t>e</w:t>
      </w:r>
      <w:r w:rsidRPr="000F765B">
        <w:rPr>
          <w:lang w:eastAsia="fr-FR" w:bidi="fr-FR"/>
        </w:rPr>
        <w:t>ment mettre en regard des œuvres byzantines. Non que nos compatri</w:t>
      </w:r>
      <w:r w:rsidRPr="000F765B">
        <w:rPr>
          <w:lang w:eastAsia="fr-FR" w:bidi="fr-FR"/>
        </w:rPr>
        <w:t>o</w:t>
      </w:r>
      <w:r w:rsidRPr="000F765B">
        <w:rPr>
          <w:lang w:eastAsia="fr-FR" w:bidi="fr-FR"/>
        </w:rPr>
        <w:t>tes aient</w:t>
      </w:r>
      <w:r>
        <w:t xml:space="preserve"> [</w:t>
      </w:r>
      <w:r w:rsidRPr="000F765B">
        <w:rPr>
          <w:lang w:eastAsia="fr-FR" w:bidi="fr-FR"/>
        </w:rPr>
        <w:t>933</w:t>
      </w:r>
      <w:r>
        <w:rPr>
          <w:lang w:eastAsia="fr-FR" w:bidi="fr-FR"/>
        </w:rPr>
        <w:t xml:space="preserve">] </w:t>
      </w:r>
      <w:r w:rsidRPr="000F765B">
        <w:rPr>
          <w:lang w:eastAsia="fr-FR" w:bidi="fr-FR"/>
        </w:rPr>
        <w:t>négligé de placer la Descente aux Limbes à son rang dans le cycle évangélique ; mais ils la conçoivent en général sous des traits assez simples. Outre le Christ, on ne voit guère paraître qu’Adam et Eve, qu’il tire hors du séjour infernal, ou bien, au plus, derrière les deux Parents du genre humain, quelques personnages sans caractères di</w:t>
      </w:r>
      <w:r w:rsidRPr="000F765B">
        <w:rPr>
          <w:lang w:eastAsia="fr-FR" w:bidi="fr-FR"/>
        </w:rPr>
        <w:t>s</w:t>
      </w:r>
      <w:r w:rsidRPr="000F765B">
        <w:rPr>
          <w:lang w:eastAsia="fr-FR" w:bidi="fr-FR"/>
        </w:rPr>
        <w:t>tinctifs, cohorte anonyme qui figure les Justes de l’Ancienne Loi</w:t>
      </w:r>
      <w:r>
        <w:rPr>
          <w:lang w:eastAsia="fr-FR" w:bidi="fr-FR"/>
        </w:rPr>
        <w:t> </w:t>
      </w:r>
      <w:r>
        <w:rPr>
          <w:rStyle w:val="Appelnotedebasdep"/>
        </w:rPr>
        <w:footnoteReference w:id="1003"/>
      </w:r>
      <w:r w:rsidRPr="000F765B">
        <w:rPr>
          <w:lang w:eastAsia="fr-FR" w:bidi="fr-FR"/>
        </w:rPr>
        <w:t>. L’Italie nous offre un champ d’études plus instru</w:t>
      </w:r>
      <w:r w:rsidRPr="000F765B">
        <w:rPr>
          <w:lang w:eastAsia="fr-FR" w:bidi="fr-FR"/>
        </w:rPr>
        <w:t>c</w:t>
      </w:r>
      <w:r w:rsidRPr="000F765B">
        <w:rPr>
          <w:lang w:eastAsia="fr-FR" w:bidi="fr-FR"/>
        </w:rPr>
        <w:t xml:space="preserve">tif. Naturellement beaucoup de monuments anciens, tels que le </w:t>
      </w:r>
      <w:r w:rsidRPr="000F765B">
        <w:rPr>
          <w:lang w:eastAsia="fr-FR" w:bidi="fr-FR"/>
        </w:rPr>
        <w:lastRenderedPageBreak/>
        <w:t>ty</w:t>
      </w:r>
      <w:r w:rsidRPr="000F765B">
        <w:rPr>
          <w:lang w:eastAsia="fr-FR" w:bidi="fr-FR"/>
        </w:rPr>
        <w:t>m</w:t>
      </w:r>
      <w:r w:rsidRPr="000F765B">
        <w:rPr>
          <w:lang w:eastAsia="fr-FR" w:bidi="fr-FR"/>
        </w:rPr>
        <w:t>pan de la cathédrale de Bitonto, sculpté vers 1200, reproduisent à peu près sans chang</w:t>
      </w:r>
      <w:r w:rsidRPr="000F765B">
        <w:rPr>
          <w:lang w:eastAsia="fr-FR" w:bidi="fr-FR"/>
        </w:rPr>
        <w:t>e</w:t>
      </w:r>
      <w:r w:rsidRPr="000F765B">
        <w:rPr>
          <w:lang w:eastAsia="fr-FR" w:bidi="fr-FR"/>
        </w:rPr>
        <w:t>ment le thème venu de Byzance</w:t>
      </w:r>
      <w:r>
        <w:rPr>
          <w:lang w:eastAsia="fr-FR" w:bidi="fr-FR"/>
        </w:rPr>
        <w:t> </w:t>
      </w:r>
      <w:r>
        <w:rPr>
          <w:rStyle w:val="Appelnotedebasdep"/>
        </w:rPr>
        <w:footnoteReference w:id="1004"/>
      </w:r>
      <w:r w:rsidRPr="000F765B">
        <w:rPr>
          <w:lang w:eastAsia="fr-FR" w:bidi="fr-FR"/>
        </w:rPr>
        <w:t>. Mais bientôt une modification se fit jour. Bien n’est plus curieux à cet égard que de comparer les trois po</w:t>
      </w:r>
      <w:r w:rsidRPr="000F765B">
        <w:rPr>
          <w:lang w:eastAsia="fr-FR" w:bidi="fr-FR"/>
        </w:rPr>
        <w:t>r</w:t>
      </w:r>
      <w:r w:rsidRPr="000F765B">
        <w:rPr>
          <w:lang w:eastAsia="fr-FR" w:bidi="fr-FR"/>
        </w:rPr>
        <w:t>tes de bronze de Trani, Ravello et Monsreale avec celles de la cath</w:t>
      </w:r>
      <w:r w:rsidRPr="000F765B">
        <w:rPr>
          <w:lang w:eastAsia="fr-FR" w:bidi="fr-FR"/>
        </w:rPr>
        <w:t>é</w:t>
      </w:r>
      <w:r w:rsidRPr="000F765B">
        <w:rPr>
          <w:lang w:eastAsia="fr-FR" w:bidi="fr-FR"/>
        </w:rPr>
        <w:t xml:space="preserve">drale de Bénévent. Les trois premières, toutes pareilles entre elles, sont l’ouvrage d’un même </w:t>
      </w:r>
      <w:r w:rsidRPr="00AE4FE5">
        <w:rPr>
          <w:i/>
        </w:rPr>
        <w:t>Barisanus</w:t>
      </w:r>
      <w:r w:rsidRPr="00AE4FE5">
        <w:rPr>
          <w:i/>
          <w:lang w:eastAsia="fr-FR" w:bidi="fr-FR"/>
        </w:rPr>
        <w:t xml:space="preserve"> de Trani</w:t>
      </w:r>
      <w:r w:rsidRPr="000F765B">
        <w:rPr>
          <w:lang w:eastAsia="fr-FR" w:bidi="fr-FR"/>
        </w:rPr>
        <w:t>, qui les exécuta de 1175 à 1186</w:t>
      </w:r>
      <w:r>
        <w:rPr>
          <w:lang w:eastAsia="fr-FR" w:bidi="fr-FR"/>
        </w:rPr>
        <w:t> </w:t>
      </w:r>
      <w:r>
        <w:rPr>
          <w:rStyle w:val="Appelnotedebasdep"/>
        </w:rPr>
        <w:footnoteReference w:id="1005"/>
      </w:r>
      <w:r w:rsidRPr="000F765B">
        <w:rPr>
          <w:lang w:eastAsia="fr-FR" w:bidi="fr-FR"/>
        </w:rPr>
        <w:t>. En tous leurs détails elles suivent servilement des m</w:t>
      </w:r>
      <w:r w:rsidRPr="000F765B">
        <w:rPr>
          <w:lang w:eastAsia="fr-FR" w:bidi="fr-FR"/>
        </w:rPr>
        <w:t>o</w:t>
      </w:r>
      <w:r w:rsidRPr="000F765B">
        <w:rPr>
          <w:lang w:eastAsia="fr-FR" w:bidi="fr-FR"/>
        </w:rPr>
        <w:t xml:space="preserve">dèles byzantins ; c’est dire que dans la Descente aux Limbes, qu’une inscription qualifie </w:t>
      </w:r>
      <w:r w:rsidRPr="000F765B">
        <w:t>d’</w:t>
      </w:r>
      <w:r w:rsidRPr="00AE4FE5">
        <w:rPr>
          <w:i/>
        </w:rPr>
        <w:t>Anastasis</w:t>
      </w:r>
      <w:r w:rsidRPr="000F765B">
        <w:rPr>
          <w:lang w:eastAsia="fr-FR" w:bidi="fr-FR"/>
        </w:rPr>
        <w:t>, selon la termin</w:t>
      </w:r>
      <w:r w:rsidRPr="000F765B">
        <w:rPr>
          <w:lang w:eastAsia="fr-FR" w:bidi="fr-FR"/>
        </w:rPr>
        <w:t>o</w:t>
      </w:r>
      <w:r w:rsidRPr="000F765B">
        <w:rPr>
          <w:lang w:eastAsia="fr-FR" w:bidi="fr-FR"/>
        </w:rPr>
        <w:lastRenderedPageBreak/>
        <w:t>logie grecque, on remarque Salomon aux côtés de David. Au contra</w:t>
      </w:r>
      <w:r w:rsidRPr="000F765B">
        <w:rPr>
          <w:lang w:eastAsia="fr-FR" w:bidi="fr-FR"/>
        </w:rPr>
        <w:t>i</w:t>
      </w:r>
      <w:r w:rsidRPr="000F765B">
        <w:rPr>
          <w:lang w:eastAsia="fr-FR" w:bidi="fr-FR"/>
        </w:rPr>
        <w:t>re, le fondeur inconnu qui travailla à Bénévent était doué d’un esprit original ; tout en connaissant fort bien l’iconographie byzantine, il ne se borna pas à la copier. Sur la gauche du Christ, qui tend la main à Adam, il montra, auprès du Précurseur, un roi seulement. Un siècle et demi plus tard, ou environ, le même sujet fut retracé à Florence, sur les murs de la ch</w:t>
      </w:r>
      <w:r w:rsidRPr="000F765B">
        <w:rPr>
          <w:lang w:eastAsia="fr-FR" w:bidi="fr-FR"/>
        </w:rPr>
        <w:t>a</w:t>
      </w:r>
      <w:r w:rsidRPr="000F765B">
        <w:rPr>
          <w:lang w:eastAsia="fr-FR" w:bidi="fr-FR"/>
        </w:rPr>
        <w:t>pelle capitulaire des Dominicains de Sainte-Marie Nouvelle, appelée aujourd’hui communément Chapelle des Esp</w:t>
      </w:r>
      <w:r w:rsidRPr="000F765B">
        <w:rPr>
          <w:lang w:eastAsia="fr-FR" w:bidi="fr-FR"/>
        </w:rPr>
        <w:t>a</w:t>
      </w:r>
      <w:r w:rsidRPr="000F765B">
        <w:rPr>
          <w:lang w:eastAsia="fr-FR" w:bidi="fr-FR"/>
        </w:rPr>
        <w:t>gnols, par un peintre dont le nom ne nous a pas été conservé. Dans cette vaste fresque c’est toute une foule qui sort des Limbes : trente personnages, tous fort di</w:t>
      </w:r>
      <w:r w:rsidRPr="000F765B">
        <w:rPr>
          <w:lang w:eastAsia="fr-FR" w:bidi="fr-FR"/>
        </w:rPr>
        <w:t>s</w:t>
      </w:r>
      <w:r w:rsidRPr="000F765B">
        <w:rPr>
          <w:lang w:eastAsia="fr-FR" w:bidi="fr-FR"/>
        </w:rPr>
        <w:t>tincts. Un seul, cette fois encore, a couronne</w:t>
      </w:r>
      <w:r>
        <w:t xml:space="preserve"> </w:t>
      </w:r>
      <w:r>
        <w:rPr>
          <w:lang w:eastAsia="fr-FR" w:bidi="fr-FR"/>
        </w:rPr>
        <w:t xml:space="preserve">[934] </w:t>
      </w:r>
      <w:r w:rsidRPr="000F765B">
        <w:rPr>
          <w:lang w:eastAsia="fr-FR" w:bidi="fr-FR"/>
        </w:rPr>
        <w:t>en tête</w:t>
      </w:r>
      <w:r>
        <w:rPr>
          <w:lang w:eastAsia="fr-FR" w:bidi="fr-FR"/>
        </w:rPr>
        <w:t> </w:t>
      </w:r>
      <w:r>
        <w:rPr>
          <w:rStyle w:val="Appelnotedebasdep"/>
        </w:rPr>
        <w:footnoteReference w:id="1006"/>
      </w:r>
      <w:r w:rsidRPr="000F765B">
        <w:rPr>
          <w:lang w:eastAsia="fr-FR" w:bidi="fr-FR"/>
        </w:rPr>
        <w:t xml:space="preserve">. Passons au </w:t>
      </w:r>
      <w:r w:rsidRPr="00DD2370">
        <w:rPr>
          <w:caps/>
          <w:lang w:eastAsia="fr-FR" w:bidi="fr-FR"/>
        </w:rPr>
        <w:t>xv</w:t>
      </w:r>
      <w:r w:rsidRPr="000F765B">
        <w:rPr>
          <w:vertAlign w:val="superscript"/>
          <w:lang w:eastAsia="fr-FR" w:bidi="fr-FR"/>
        </w:rPr>
        <w:t>e</w:t>
      </w:r>
      <w:r w:rsidRPr="000F765B">
        <w:rPr>
          <w:lang w:eastAsia="fr-FR" w:bidi="fr-FR"/>
        </w:rPr>
        <w:t xml:space="preserve"> siècle. </w:t>
      </w:r>
      <w:r>
        <w:rPr>
          <w:lang w:eastAsia="fr-FR" w:bidi="fr-FR"/>
        </w:rPr>
        <w:t>À</w:t>
      </w:r>
      <w:r w:rsidRPr="000F765B">
        <w:rPr>
          <w:lang w:eastAsia="fr-FR" w:bidi="fr-FR"/>
        </w:rPr>
        <w:t xml:space="preserve"> deux reprises, Fra Angelico peint le Christ aux Limbes : à Saint-Marc, sur l</w:t>
      </w:r>
      <w:r>
        <w:rPr>
          <w:lang w:eastAsia="fr-FR" w:bidi="fr-FR"/>
        </w:rPr>
        <w:t>a paroi d’une cellule, à Santa-</w:t>
      </w:r>
      <w:r w:rsidRPr="000F765B">
        <w:rPr>
          <w:lang w:eastAsia="fr-FR" w:bidi="fr-FR"/>
        </w:rPr>
        <w:t>Annunziata sur une des portes de l’armoire au trésor ; les deux fois, la troupe qui d’un bel élan se précipite vers le Sauveur ne co</w:t>
      </w:r>
      <w:r w:rsidRPr="000F765B">
        <w:rPr>
          <w:lang w:eastAsia="fr-FR" w:bidi="fr-FR"/>
        </w:rPr>
        <w:t>m</w:t>
      </w:r>
      <w:r w:rsidRPr="000F765B">
        <w:rPr>
          <w:lang w:eastAsia="fr-FR" w:bidi="fr-FR"/>
        </w:rPr>
        <w:t>prend qu’un seul roi</w:t>
      </w:r>
      <w:r>
        <w:rPr>
          <w:lang w:eastAsia="fr-FR" w:bidi="fr-FR"/>
        </w:rPr>
        <w:t> </w:t>
      </w:r>
      <w:r>
        <w:rPr>
          <w:rStyle w:val="Appelnotedebasdep"/>
        </w:rPr>
        <w:footnoteReference w:id="1007"/>
      </w:r>
      <w:r w:rsidRPr="000F765B">
        <w:rPr>
          <w:lang w:eastAsia="fr-FR" w:bidi="fr-FR"/>
        </w:rPr>
        <w:t>. Quel est donc cet unique porte-couronne qui dans l’iconographie italienne vient ainsi se substituer au groupe des deux rois, familier à l’art byzantin ? Le peintre de la Chapelle des E</w:t>
      </w:r>
      <w:r w:rsidRPr="000F765B">
        <w:rPr>
          <w:lang w:eastAsia="fr-FR" w:bidi="fr-FR"/>
        </w:rPr>
        <w:t>s</w:t>
      </w:r>
      <w:r w:rsidRPr="000F765B">
        <w:rPr>
          <w:lang w:eastAsia="fr-FR" w:bidi="fr-FR"/>
        </w:rPr>
        <w:t>pagnols, pour prévenir toute confusion, a eu soin de lui mettre en main la harpe du Psalmiste : précaution presque inutile ; là même où cet attribut fait défaut, qui pouvait hésiter à reconnaître David ? La pr</w:t>
      </w:r>
      <w:r w:rsidRPr="000F765B">
        <w:rPr>
          <w:lang w:eastAsia="fr-FR" w:bidi="fr-FR"/>
        </w:rPr>
        <w:t>é</w:t>
      </w:r>
      <w:r w:rsidRPr="000F765B">
        <w:rPr>
          <w:lang w:eastAsia="fr-FR" w:bidi="fr-FR"/>
        </w:rPr>
        <w:t>sence du Roi-Prophète parmi les âmes affranchies par le Christ, après la Résurrection, était universellement tenue pour certaine, parce qu’elle était attestée par l’Évangile de Nicodème, source sur ce point de toute la légende chrétienne</w:t>
      </w:r>
      <w:r>
        <w:rPr>
          <w:lang w:eastAsia="fr-FR" w:bidi="fr-FR"/>
        </w:rPr>
        <w:t> </w:t>
      </w:r>
      <w:r>
        <w:rPr>
          <w:rStyle w:val="Appelnotedebasdep"/>
        </w:rPr>
        <w:footnoteReference w:id="1008"/>
      </w:r>
      <w:r w:rsidRPr="000F765B">
        <w:rPr>
          <w:lang w:eastAsia="fr-FR" w:bidi="fr-FR"/>
        </w:rPr>
        <w:t xml:space="preserve">. L’auteur de ce livre fameux, au </w:t>
      </w:r>
      <w:r w:rsidRPr="000F765B">
        <w:rPr>
          <w:lang w:eastAsia="fr-FR" w:bidi="fr-FR"/>
        </w:rPr>
        <w:lastRenderedPageBreak/>
        <w:t>contraire, ne nomme point Salomon, sans que l’on doive d’ailleurs conclure de son silence à aucun parti pris ; il ne prétendait nullement dresser une liste exhaustive des justes délivrés et ne donnait la parole à David qu’en raison, précisément, de son rôle prophétique. Éblouis par la gloire du constructeur du Temple, du roi sage et magnifique a</w:t>
      </w:r>
      <w:r w:rsidRPr="000F765B">
        <w:rPr>
          <w:lang w:eastAsia="fr-FR" w:bidi="fr-FR"/>
        </w:rPr>
        <w:t>u</w:t>
      </w:r>
      <w:r w:rsidRPr="000F765B">
        <w:rPr>
          <w:lang w:eastAsia="fr-FR" w:bidi="fr-FR"/>
        </w:rPr>
        <w:t>quel les Empereurs aimaient à se comparer, les artistes byzantins avaient été naturellement amenés à joindre à David son fils. En dépit de ces précédents, l’art italien élimina l’intrus ; c’est que là où les théologiens doutaient, les fondeurs ou les peintres ne pouvaient guère se permettre d’affirmer.</w:t>
      </w:r>
    </w:p>
    <w:p w14:paraId="30E081A7" w14:textId="77777777" w:rsidR="00B9662D" w:rsidRDefault="00B9662D" w:rsidP="00B9662D">
      <w:pPr>
        <w:spacing w:before="120" w:after="120"/>
        <w:jc w:val="both"/>
        <w:rPr>
          <w:lang w:eastAsia="fr-FR" w:bidi="fr-FR"/>
        </w:rPr>
      </w:pPr>
      <w:r w:rsidRPr="000F765B">
        <w:rPr>
          <w:lang w:eastAsia="fr-FR" w:bidi="fr-FR"/>
        </w:rPr>
        <w:t xml:space="preserve">La même réserve d’ailleurs s’imposa, vers le même temps, avec une force égale, à d’autres interprètes de la grande tragédie chrétienne. Les auteurs dramatiques du Moyen </w:t>
      </w:r>
      <w:r>
        <w:rPr>
          <w:lang w:eastAsia="fr-FR" w:bidi="fr-FR"/>
        </w:rPr>
        <w:t>Â</w:t>
      </w:r>
      <w:r w:rsidRPr="000F765B">
        <w:rPr>
          <w:lang w:eastAsia="fr-FR" w:bidi="fr-FR"/>
        </w:rPr>
        <w:t>ge, en France, en Angleterre, en Allemagne aussi bien qu’en Italie ont à plusieurs reprises fait paraître sur la scène le Christ descendant chez les morts</w:t>
      </w:r>
      <w:r>
        <w:rPr>
          <w:lang w:eastAsia="fr-FR" w:bidi="fr-FR"/>
        </w:rPr>
        <w:t> </w:t>
      </w:r>
      <w:r>
        <w:rPr>
          <w:rStyle w:val="Appelnotedebasdep"/>
        </w:rPr>
        <w:footnoteReference w:id="1009"/>
      </w:r>
      <w:r w:rsidRPr="000F765B">
        <w:rPr>
          <w:lang w:eastAsia="fr-FR" w:bidi="fr-FR"/>
        </w:rPr>
        <w:t xml:space="preserve"> ; autant que je </w:t>
      </w:r>
      <w:r w:rsidRPr="000F765B">
        <w:rPr>
          <w:lang w:eastAsia="fr-FR" w:bidi="fr-FR"/>
        </w:rPr>
        <w:lastRenderedPageBreak/>
        <w:t>puis</w:t>
      </w:r>
      <w:r>
        <w:rPr>
          <w:lang w:eastAsia="fr-FR" w:bidi="fr-FR"/>
        </w:rPr>
        <w:t xml:space="preserve">se </w:t>
      </w:r>
      <w:r w:rsidRPr="000F765B">
        <w:rPr>
          <w:lang w:eastAsia="fr-FR" w:bidi="fr-FR"/>
        </w:rPr>
        <w:t>voir, ils semblent, eux aussi, avoir régulièrement évité de donner à Salomon une place parmi les élus.</w:t>
      </w:r>
    </w:p>
    <w:p w14:paraId="2FDABD6F" w14:textId="77777777" w:rsidR="00B9662D" w:rsidRPr="000F765B" w:rsidRDefault="00B9662D" w:rsidP="00B9662D">
      <w:pPr>
        <w:spacing w:before="120" w:after="120"/>
        <w:jc w:val="both"/>
      </w:pPr>
      <w:r>
        <w:t>[</w:t>
      </w:r>
      <w:r w:rsidRPr="000F765B">
        <w:rPr>
          <w:lang w:eastAsia="fr-FR" w:bidi="fr-FR"/>
        </w:rPr>
        <w:t>935</w:t>
      </w:r>
      <w:r>
        <w:rPr>
          <w:lang w:eastAsia="fr-FR" w:bidi="fr-FR"/>
        </w:rPr>
        <w:t>]</w:t>
      </w:r>
    </w:p>
    <w:p w14:paraId="75A21606" w14:textId="77777777" w:rsidR="00B9662D" w:rsidRPr="000F765B" w:rsidRDefault="00B9662D" w:rsidP="00B9662D">
      <w:pPr>
        <w:spacing w:before="120" w:after="120"/>
        <w:jc w:val="both"/>
      </w:pPr>
      <w:r w:rsidRPr="000F765B">
        <w:rPr>
          <w:lang w:eastAsia="fr-FR" w:bidi="fr-FR"/>
        </w:rPr>
        <w:t>On dira peut-être que, cherchant leur inspiration dans l’Évangile selon Nicodème, ils imitaient simplement, sans penser à mal, le sile</w:t>
      </w:r>
      <w:r w:rsidRPr="000F765B">
        <w:rPr>
          <w:lang w:eastAsia="fr-FR" w:bidi="fr-FR"/>
        </w:rPr>
        <w:t>n</w:t>
      </w:r>
      <w:r w:rsidRPr="000F765B">
        <w:rPr>
          <w:lang w:eastAsia="fr-FR" w:bidi="fr-FR"/>
        </w:rPr>
        <w:t>ce de leur guide ; ils n’avaient pas, comme l’artisan bénéventin, à r</w:t>
      </w:r>
      <w:r w:rsidRPr="000F765B">
        <w:rPr>
          <w:lang w:eastAsia="fr-FR" w:bidi="fr-FR"/>
        </w:rPr>
        <w:t>e</w:t>
      </w:r>
      <w:r w:rsidRPr="000F765B">
        <w:rPr>
          <w:lang w:eastAsia="fr-FR" w:bidi="fr-FR"/>
        </w:rPr>
        <w:t>pousser les suggestions de modèles exotiques. Sans doute, Mais cette fidélité même à la lettre du pseudo-évangile mérite de retenir l’attention ; car elle n’était pas toujours, à beaucoup près, aussi rigo</w:t>
      </w:r>
      <w:r w:rsidRPr="000F765B">
        <w:rPr>
          <w:lang w:eastAsia="fr-FR" w:bidi="fr-FR"/>
        </w:rPr>
        <w:t>u</w:t>
      </w:r>
      <w:r w:rsidRPr="000F765B">
        <w:rPr>
          <w:lang w:eastAsia="fr-FR" w:bidi="fr-FR"/>
        </w:rPr>
        <w:t>reuse. Ces jeux sacrés ne s’interdisaient pas de broder, et parfois fort librement, sur le texte qui leur servait de canevas ; en particulier, dans l’épisode des Limbes, plus d’un introduit des personnages que le vieil apocryphe avait résolument ignorés. Si Salomon, malgré sa reno</w:t>
      </w:r>
      <w:r w:rsidRPr="000F765B">
        <w:rPr>
          <w:lang w:eastAsia="fr-FR" w:bidi="fr-FR"/>
        </w:rPr>
        <w:t>m</w:t>
      </w:r>
      <w:r w:rsidRPr="000F765B">
        <w:rPr>
          <w:lang w:eastAsia="fr-FR" w:bidi="fr-FR"/>
        </w:rPr>
        <w:t>mée, fut toujours omis, c’est que les dramaturges, autant que les arti</w:t>
      </w:r>
      <w:r w:rsidRPr="000F765B">
        <w:rPr>
          <w:lang w:eastAsia="fr-FR" w:bidi="fr-FR"/>
        </w:rPr>
        <w:t>s</w:t>
      </w:r>
      <w:r w:rsidRPr="000F765B">
        <w:rPr>
          <w:lang w:eastAsia="fr-FR" w:bidi="fr-FR"/>
        </w:rPr>
        <w:t>tes, tenaient à se plier aux scrupules des docteurs. Exemple nouveau de cet accord, si souvent remarqué, qui régnait alors entre le théâtre et l’art, sans cesse influencés l’un par l’autre et surtout</w:t>
      </w:r>
      <w:r>
        <w:rPr>
          <w:lang w:eastAsia="fr-FR" w:bidi="fr-FR"/>
        </w:rPr>
        <w:t> — </w:t>
      </w:r>
      <w:r w:rsidRPr="000F765B">
        <w:rPr>
          <w:lang w:eastAsia="fr-FR" w:bidi="fr-FR"/>
        </w:rPr>
        <w:t>c’était la ra</w:t>
      </w:r>
      <w:r w:rsidRPr="000F765B">
        <w:rPr>
          <w:lang w:eastAsia="fr-FR" w:bidi="fr-FR"/>
        </w:rPr>
        <w:t>i</w:t>
      </w:r>
      <w:r w:rsidRPr="000F765B">
        <w:rPr>
          <w:lang w:eastAsia="fr-FR" w:bidi="fr-FR"/>
        </w:rPr>
        <w:t>son profonde de leur harmonie</w:t>
      </w:r>
      <w:r>
        <w:rPr>
          <w:lang w:eastAsia="fr-FR" w:bidi="fr-FR"/>
        </w:rPr>
        <w:t> — </w:t>
      </w:r>
      <w:r w:rsidRPr="000F765B">
        <w:rPr>
          <w:lang w:eastAsia="fr-FR" w:bidi="fr-FR"/>
        </w:rPr>
        <w:t>animés envers l’Église et ses ense</w:t>
      </w:r>
      <w:r w:rsidRPr="000F765B">
        <w:rPr>
          <w:lang w:eastAsia="fr-FR" w:bidi="fr-FR"/>
        </w:rPr>
        <w:t>i</w:t>
      </w:r>
      <w:r w:rsidRPr="000F765B">
        <w:rPr>
          <w:lang w:eastAsia="fr-FR" w:bidi="fr-FR"/>
        </w:rPr>
        <w:t>gnements d’une docilité pareille.</w:t>
      </w:r>
    </w:p>
    <w:p w14:paraId="6633E80D" w14:textId="77777777" w:rsidR="00B9662D" w:rsidRPr="000F765B" w:rsidRDefault="00B9662D" w:rsidP="00B9662D">
      <w:pPr>
        <w:spacing w:before="120" w:after="120"/>
        <w:jc w:val="both"/>
      </w:pPr>
      <w:r w:rsidRPr="000F765B">
        <w:rPr>
          <w:lang w:eastAsia="fr-FR" w:bidi="fr-FR"/>
        </w:rPr>
        <w:t>La controverse ne s’éteignit point lorsque vint la Réforme prote</w:t>
      </w:r>
      <w:r w:rsidRPr="000F765B">
        <w:rPr>
          <w:lang w:eastAsia="fr-FR" w:bidi="fr-FR"/>
        </w:rPr>
        <w:t>s</w:t>
      </w:r>
      <w:r w:rsidRPr="000F765B">
        <w:rPr>
          <w:lang w:eastAsia="fr-FR" w:bidi="fr-FR"/>
        </w:rPr>
        <w:t>tante. On en devisait autour de Luther</w:t>
      </w:r>
      <w:r>
        <w:rPr>
          <w:lang w:eastAsia="fr-FR" w:bidi="fr-FR"/>
        </w:rPr>
        <w:t> </w:t>
      </w:r>
      <w:r>
        <w:rPr>
          <w:rStyle w:val="Appelnotedebasdep"/>
        </w:rPr>
        <w:footnoteReference w:id="1010"/>
      </w:r>
      <w:r w:rsidRPr="000F765B">
        <w:rPr>
          <w:lang w:eastAsia="fr-FR" w:bidi="fr-FR"/>
        </w:rPr>
        <w:t>. Plus tard, un incident inatte</w:t>
      </w:r>
      <w:r w:rsidRPr="000F765B">
        <w:rPr>
          <w:lang w:eastAsia="fr-FR" w:bidi="fr-FR"/>
        </w:rPr>
        <w:t>n</w:t>
      </w:r>
      <w:r w:rsidRPr="000F765B">
        <w:rPr>
          <w:lang w:eastAsia="fr-FR" w:bidi="fr-FR"/>
        </w:rPr>
        <w:t>du l’enflamma encore. Le cardinal Bellarmin « cet Atlas de la cause romaine... ce nouveau saint Thomas d’Aquin des papistes »</w:t>
      </w:r>
      <w:r>
        <w:rPr>
          <w:lang w:eastAsia="fr-FR" w:bidi="fr-FR"/>
        </w:rPr>
        <w:t> </w:t>
      </w:r>
      <w:r>
        <w:rPr>
          <w:rStyle w:val="Appelnotedebasdep"/>
        </w:rPr>
        <w:footnoteReference w:id="1011"/>
      </w:r>
      <w:r w:rsidRPr="000F765B">
        <w:rPr>
          <w:lang w:eastAsia="fr-FR" w:bidi="fr-FR"/>
        </w:rPr>
        <w:t>, en un mot le grand théologien de la Contre-Réforme catholique, crut po</w:t>
      </w:r>
      <w:r w:rsidRPr="000F765B">
        <w:rPr>
          <w:lang w:eastAsia="fr-FR" w:bidi="fr-FR"/>
        </w:rPr>
        <w:t>u</w:t>
      </w:r>
      <w:r w:rsidRPr="000F765B">
        <w:rPr>
          <w:lang w:eastAsia="fr-FR" w:bidi="fr-FR"/>
        </w:rPr>
        <w:t>voir tirer argument du cas de Salomon, qu’il mettait au nombre des réprouvés, pour démontrer que, contrairement à l’opinion de Calvin, la foi, même justifiante, est susceptible de se perdre, et de se perdre pour jamais</w:t>
      </w:r>
      <w:r>
        <w:rPr>
          <w:lang w:eastAsia="fr-FR" w:bidi="fr-FR"/>
        </w:rPr>
        <w:t> </w:t>
      </w:r>
      <w:r>
        <w:rPr>
          <w:rStyle w:val="Appelnotedebasdep"/>
        </w:rPr>
        <w:footnoteReference w:id="1012"/>
      </w:r>
      <w:r w:rsidRPr="000F765B">
        <w:rPr>
          <w:lang w:eastAsia="fr-FR" w:bidi="fr-FR"/>
        </w:rPr>
        <w:t>. Cette argumentation indigna les écrivains du camp a</w:t>
      </w:r>
      <w:r w:rsidRPr="000F765B">
        <w:rPr>
          <w:lang w:eastAsia="fr-FR" w:bidi="fr-FR"/>
        </w:rPr>
        <w:t>d</w:t>
      </w:r>
      <w:r w:rsidRPr="000F765B">
        <w:rPr>
          <w:lang w:eastAsia="fr-FR" w:bidi="fr-FR"/>
        </w:rPr>
        <w:t>verse ; ils prirent parti pour Salomon, et ce fut toute une guerre de plumes, les combattants brandissant pour armes des disser</w:t>
      </w:r>
      <w:r w:rsidRPr="000F765B">
        <w:rPr>
          <w:lang w:eastAsia="fr-FR" w:bidi="fr-FR"/>
        </w:rPr>
        <w:lastRenderedPageBreak/>
        <w:t>tations bourrées de textes, qui m’ont été fort utiles</w:t>
      </w:r>
      <w:r>
        <w:rPr>
          <w:lang w:eastAsia="fr-FR" w:bidi="fr-FR"/>
        </w:rPr>
        <w:t> </w:t>
      </w:r>
      <w:r>
        <w:rPr>
          <w:rStyle w:val="Appelnotedebasdep"/>
        </w:rPr>
        <w:footnoteReference w:id="1013"/>
      </w:r>
      <w:r w:rsidRPr="000F765B">
        <w:rPr>
          <w:lang w:eastAsia="fr-FR" w:bidi="fr-FR"/>
        </w:rPr>
        <w:t>. Ainsi, par un dernier et étrange avatar, l’antique roitelet palestinien, l’allié des princes de T</w:t>
      </w:r>
      <w:r w:rsidRPr="000F765B">
        <w:rPr>
          <w:lang w:eastAsia="fr-FR" w:bidi="fr-FR"/>
        </w:rPr>
        <w:t>a</w:t>
      </w:r>
      <w:r w:rsidRPr="000F765B">
        <w:rPr>
          <w:lang w:eastAsia="fr-FR" w:bidi="fr-FR"/>
        </w:rPr>
        <w:t>nis et de Tyr devint un des enjeux de la grande lutte religieuse des temps modernes. Tous les catholiques cependant ne partageaient pas vis-à-vis de lui l’hostilité de l’illustre cardinal. Vers l’année 1600, on fit, en Espagne, aux environs de Grenade, une curieuse découverte ; on y mit à jour, dans une grotte, des lamelles de plombs et des mo</w:t>
      </w:r>
      <w:r w:rsidRPr="000F765B">
        <w:rPr>
          <w:lang w:eastAsia="fr-FR" w:bidi="fr-FR"/>
        </w:rPr>
        <w:t>r</w:t>
      </w:r>
      <w:r w:rsidRPr="000F765B">
        <w:rPr>
          <w:lang w:eastAsia="fr-FR" w:bidi="fr-FR"/>
        </w:rPr>
        <w:t>ceaux de parchemin sur lesquels étaient écrits, en caractères arabes, un certain nombre d’ouvrages, relatifs principalement à la vie du Christ, à celle de la Vierge</w:t>
      </w:r>
      <w:r>
        <w:t xml:space="preserve"> </w:t>
      </w:r>
      <w:r>
        <w:rPr>
          <w:lang w:eastAsia="fr-FR" w:bidi="fr-FR"/>
        </w:rPr>
        <w:t xml:space="preserve">[936] </w:t>
      </w:r>
      <w:r w:rsidRPr="000F765B">
        <w:rPr>
          <w:lang w:eastAsia="fr-FR" w:bidi="fr-FR"/>
        </w:rPr>
        <w:t xml:space="preserve">et aux pieuses pérégrinations de l’apôtre saint Jacques. Ces livres merveilleux se donnaient pour l’œuvre de deux </w:t>
      </w:r>
      <w:r>
        <w:rPr>
          <w:lang w:eastAsia="fr-FR" w:bidi="fr-FR"/>
        </w:rPr>
        <w:t>disciples de saint Jacques lui-</w:t>
      </w:r>
      <w:r w:rsidRPr="000F765B">
        <w:rPr>
          <w:lang w:eastAsia="fr-FR" w:bidi="fr-FR"/>
        </w:rPr>
        <w:t>même. Dans l’un d’eux, le salut de S</w:t>
      </w:r>
      <w:r w:rsidRPr="000F765B">
        <w:rPr>
          <w:lang w:eastAsia="fr-FR" w:bidi="fr-FR"/>
        </w:rPr>
        <w:t>a</w:t>
      </w:r>
      <w:r w:rsidRPr="000F765B">
        <w:rPr>
          <w:lang w:eastAsia="fr-FR" w:bidi="fr-FR"/>
        </w:rPr>
        <w:t>lomon était express</w:t>
      </w:r>
      <w:r w:rsidRPr="000F765B">
        <w:rPr>
          <w:lang w:eastAsia="fr-FR" w:bidi="fr-FR"/>
        </w:rPr>
        <w:t>é</w:t>
      </w:r>
      <w:r w:rsidRPr="000F765B">
        <w:rPr>
          <w:lang w:eastAsia="fr-FR" w:bidi="fr-FR"/>
        </w:rPr>
        <w:t>ment affirmé. Par malheur, ce n’étaient que des faux grossiers, comme le proclama définitivement, en 1681, une bulle pontificale</w:t>
      </w:r>
      <w:r>
        <w:rPr>
          <w:lang w:eastAsia="fr-FR" w:bidi="fr-FR"/>
        </w:rPr>
        <w:t> </w:t>
      </w:r>
      <w:r>
        <w:rPr>
          <w:rStyle w:val="Appelnotedebasdep"/>
        </w:rPr>
        <w:footnoteReference w:id="1014"/>
      </w:r>
      <w:r w:rsidRPr="000F765B">
        <w:rPr>
          <w:lang w:eastAsia="fr-FR" w:bidi="fr-FR"/>
        </w:rPr>
        <w:t>. Mais n’est-il pas instructif de voir la destinée posthume du fils de David passionner jusqu’à des faiseurs d’apocryphes ?</w:t>
      </w:r>
    </w:p>
    <w:p w14:paraId="705A2EEF" w14:textId="77777777" w:rsidR="00B9662D" w:rsidRDefault="00B9662D" w:rsidP="00B9662D">
      <w:pPr>
        <w:spacing w:before="120" w:after="120"/>
        <w:jc w:val="both"/>
        <w:rPr>
          <w:lang w:eastAsia="fr-FR" w:bidi="fr-FR"/>
        </w:rPr>
      </w:pPr>
      <w:r>
        <w:rPr>
          <w:lang w:eastAsia="fr-FR" w:bidi="fr-FR"/>
        </w:rPr>
        <w:br w:type="page"/>
      </w:r>
    </w:p>
    <w:p w14:paraId="4EC77C76" w14:textId="77777777" w:rsidR="00B9662D" w:rsidRPr="000F765B" w:rsidRDefault="00B9662D" w:rsidP="00B9662D">
      <w:pPr>
        <w:pStyle w:val="planche"/>
      </w:pPr>
      <w:r w:rsidRPr="000F765B">
        <w:t>IV</w:t>
      </w:r>
    </w:p>
    <w:p w14:paraId="55FE9B73" w14:textId="77777777" w:rsidR="00B9662D" w:rsidRDefault="00B9662D" w:rsidP="00B9662D">
      <w:pPr>
        <w:spacing w:before="120" w:after="120"/>
        <w:jc w:val="both"/>
        <w:rPr>
          <w:lang w:eastAsia="fr-FR" w:bidi="fr-FR"/>
        </w:rPr>
      </w:pPr>
    </w:p>
    <w:p w14:paraId="239E69CA" w14:textId="77777777" w:rsidR="00B9662D" w:rsidRPr="000F765B" w:rsidRDefault="00B9662D" w:rsidP="00B9662D">
      <w:pPr>
        <w:spacing w:before="120" w:after="120"/>
        <w:jc w:val="both"/>
      </w:pPr>
      <w:r w:rsidRPr="000F765B">
        <w:rPr>
          <w:lang w:eastAsia="fr-FR" w:bidi="fr-FR"/>
        </w:rPr>
        <w:t>Nulle part, le cycle légendaire de Salomon n’a revêtu plus d’ampleur et de variété que chez les peuples de langue sémitique, su</w:t>
      </w:r>
      <w:r w:rsidRPr="000F765B">
        <w:rPr>
          <w:lang w:eastAsia="fr-FR" w:bidi="fr-FR"/>
        </w:rPr>
        <w:t>r</w:t>
      </w:r>
      <w:r w:rsidRPr="000F765B">
        <w:rPr>
          <w:lang w:eastAsia="fr-FR" w:bidi="fr-FR"/>
        </w:rPr>
        <w:t>tout dans la littérature arabe,</w:t>
      </w:r>
      <w:r>
        <w:rPr>
          <w:lang w:eastAsia="fr-FR" w:bidi="fr-FR"/>
        </w:rPr>
        <w:t> — </w:t>
      </w:r>
      <w:r w:rsidRPr="000F765B">
        <w:rPr>
          <w:lang w:eastAsia="fr-FR" w:bidi="fr-FR"/>
        </w:rPr>
        <w:t>nulle part, sinon peut-être chez les Slaves. Par ailleurs, nous savons déjà que les théologiens juifs agit</w:t>
      </w:r>
      <w:r w:rsidRPr="000F765B">
        <w:rPr>
          <w:lang w:eastAsia="fr-FR" w:bidi="fr-FR"/>
        </w:rPr>
        <w:t>è</w:t>
      </w:r>
      <w:r w:rsidRPr="000F765B">
        <w:rPr>
          <w:lang w:eastAsia="fr-FR" w:bidi="fr-FR"/>
        </w:rPr>
        <w:t>rent comme les chrétiens et sans doute avant eux cette « fameuse question »</w:t>
      </w:r>
      <w:r>
        <w:rPr>
          <w:lang w:eastAsia="fr-FR" w:bidi="fr-FR"/>
        </w:rPr>
        <w:t> </w:t>
      </w:r>
      <w:r>
        <w:rPr>
          <w:rStyle w:val="Appelnotedebasdep"/>
        </w:rPr>
        <w:footnoteReference w:id="1015"/>
      </w:r>
      <w:r w:rsidRPr="000F765B">
        <w:rPr>
          <w:lang w:eastAsia="fr-FR" w:bidi="fr-FR"/>
        </w:rPr>
        <w:t xml:space="preserve"> du salut de Salomon. Ces constatations obligent à mettre en question, au moins provisoirement, l’originalité des contes qui ont été rapportés au début du présent article. Ont-ils vraiment pris nai</w:t>
      </w:r>
      <w:r w:rsidRPr="000F765B">
        <w:rPr>
          <w:lang w:eastAsia="fr-FR" w:bidi="fr-FR"/>
        </w:rPr>
        <w:t>s</w:t>
      </w:r>
      <w:r w:rsidRPr="000F765B">
        <w:rPr>
          <w:lang w:eastAsia="fr-FR" w:bidi="fr-FR"/>
        </w:rPr>
        <w:t xml:space="preserve">sance dans ce monde occidental où nous les avons rencontrés ? Ne les vit-on pas plutôt sortir un jour du coin de quelque </w:t>
      </w:r>
      <w:r w:rsidRPr="000F765B">
        <w:t>haggada</w:t>
      </w:r>
      <w:r w:rsidRPr="000F765B">
        <w:rPr>
          <w:lang w:eastAsia="fr-FR" w:bidi="fr-FR"/>
        </w:rPr>
        <w:t xml:space="preserve"> hébra</w:t>
      </w:r>
      <w:r w:rsidRPr="000F765B">
        <w:rPr>
          <w:lang w:eastAsia="fr-FR" w:bidi="fr-FR"/>
        </w:rPr>
        <w:t>ï</w:t>
      </w:r>
      <w:r w:rsidRPr="000F765B">
        <w:rPr>
          <w:lang w:eastAsia="fr-FR" w:bidi="fr-FR"/>
        </w:rPr>
        <w:t>que ? Ou bien ne seraient-ils pas venus aux peuples de civilisation l</w:t>
      </w:r>
      <w:r w:rsidRPr="000F765B">
        <w:rPr>
          <w:lang w:eastAsia="fr-FR" w:bidi="fr-FR"/>
        </w:rPr>
        <w:t>a</w:t>
      </w:r>
      <w:r w:rsidRPr="000F765B">
        <w:rPr>
          <w:lang w:eastAsia="fr-FR" w:bidi="fr-FR"/>
        </w:rPr>
        <w:t>tine, portés, comme disait Renan, précisément à propos des légendes salomoniques, « sur les ailes de l’Islam » ? Ou encore ne peut-on concevoir qu’ils aient été transmis à nos pays de proche en proche, par les voyageurs et les marchands, depuis les steppes ou les forêts de l’Europe orientale ?</w:t>
      </w:r>
    </w:p>
    <w:p w14:paraId="0F4D2A26" w14:textId="77777777" w:rsidR="00B9662D" w:rsidRPr="000F765B" w:rsidRDefault="00B9662D" w:rsidP="00B9662D">
      <w:pPr>
        <w:spacing w:before="120" w:after="120"/>
        <w:jc w:val="both"/>
      </w:pPr>
      <w:r w:rsidRPr="000F765B">
        <w:rPr>
          <w:lang w:eastAsia="fr-FR" w:bidi="fr-FR"/>
        </w:rPr>
        <w:t>Pour oser donner à ce problème, étroitement apparenté, on le sent, à toute une série de difficultés analogues que pose l’étude des trad</w:t>
      </w:r>
      <w:r w:rsidRPr="000F765B">
        <w:rPr>
          <w:lang w:eastAsia="fr-FR" w:bidi="fr-FR"/>
        </w:rPr>
        <w:t>i</w:t>
      </w:r>
      <w:r w:rsidRPr="000F765B">
        <w:rPr>
          <w:lang w:eastAsia="fr-FR" w:bidi="fr-FR"/>
        </w:rPr>
        <w:t>tions médiévales, une solution à peu près certaine, il faudrait connaître à fond un grand nombre de littératures, écrites dans des langues fort diverses. C’est ce à quoi je suis loin de prétendre. Tout ce que je puis dire, c’est que mes recherches, poursuivies, à la vérité, surtout à l’aide d’ouvrages de seconde main, mais aussi avec le secours de spéciali</w:t>
      </w:r>
      <w:r w:rsidRPr="000F765B">
        <w:rPr>
          <w:lang w:eastAsia="fr-FR" w:bidi="fr-FR"/>
        </w:rPr>
        <w:t>s</w:t>
      </w:r>
      <w:r w:rsidRPr="000F765B">
        <w:rPr>
          <w:lang w:eastAsia="fr-FR" w:bidi="fr-FR"/>
        </w:rPr>
        <w:t>tes amis, ne m’ont donné que des résultats négatifs</w:t>
      </w:r>
      <w:r>
        <w:rPr>
          <w:lang w:eastAsia="fr-FR" w:bidi="fr-FR"/>
        </w:rPr>
        <w:t> </w:t>
      </w:r>
      <w:r>
        <w:rPr>
          <w:rStyle w:val="Appelnotedebasdep"/>
        </w:rPr>
        <w:footnoteReference w:id="1016"/>
      </w:r>
      <w:r w:rsidRPr="000F765B">
        <w:rPr>
          <w:lang w:eastAsia="fr-FR" w:bidi="fr-FR"/>
        </w:rPr>
        <w:t xml:space="preserve">. La sagesse </w:t>
      </w:r>
      <w:r w:rsidRPr="000F765B">
        <w:rPr>
          <w:lang w:eastAsia="fr-FR" w:bidi="fr-FR"/>
        </w:rPr>
        <w:lastRenderedPageBreak/>
        <w:t>de Salomon, ses ruses, son</w:t>
      </w:r>
      <w:r>
        <w:rPr>
          <w:lang w:eastAsia="fr-FR" w:bidi="fr-FR"/>
        </w:rPr>
        <w:t xml:space="preserve"> </w:t>
      </w:r>
      <w:r>
        <w:t>[</w:t>
      </w:r>
      <w:r w:rsidRPr="000F765B">
        <w:rPr>
          <w:lang w:eastAsia="fr-FR" w:bidi="fr-FR"/>
        </w:rPr>
        <w:t>937</w:t>
      </w:r>
      <w:r>
        <w:rPr>
          <w:lang w:eastAsia="fr-FR" w:bidi="fr-FR"/>
        </w:rPr>
        <w:t xml:space="preserve">] </w:t>
      </w:r>
      <w:r w:rsidRPr="000F765B">
        <w:rPr>
          <w:lang w:eastAsia="fr-FR" w:bidi="fr-FR"/>
        </w:rPr>
        <w:t>art magique, ses rapports avec des g</w:t>
      </w:r>
      <w:r w:rsidRPr="000F765B">
        <w:rPr>
          <w:lang w:eastAsia="fr-FR" w:bidi="fr-FR"/>
        </w:rPr>
        <w:t>é</w:t>
      </w:r>
      <w:r w:rsidRPr="000F765B">
        <w:rPr>
          <w:lang w:eastAsia="fr-FR" w:bidi="fr-FR"/>
        </w:rPr>
        <w:t>nies ou des démons familiers, ses trésors, forment les thèmes ordina</w:t>
      </w:r>
      <w:r w:rsidRPr="000F765B">
        <w:rPr>
          <w:lang w:eastAsia="fr-FR" w:bidi="fr-FR"/>
        </w:rPr>
        <w:t>i</w:t>
      </w:r>
      <w:r w:rsidRPr="000F765B">
        <w:rPr>
          <w:lang w:eastAsia="fr-FR" w:bidi="fr-FR"/>
        </w:rPr>
        <w:t xml:space="preserve">res de ce folklore oriental ou slave. Sans doute on y trouve bien par endroits la trace de quelques doutes touchant la vie supra-terrestre du héros. Une prière éthiopienne du </w:t>
      </w:r>
      <w:r w:rsidRPr="000C0A26">
        <w:rPr>
          <w:caps/>
          <w:lang w:eastAsia="fr-FR" w:bidi="fr-FR"/>
        </w:rPr>
        <w:t>xvi</w:t>
      </w:r>
      <w:r w:rsidRPr="000F765B">
        <w:rPr>
          <w:vertAlign w:val="superscript"/>
          <w:lang w:eastAsia="fr-FR" w:bidi="fr-FR"/>
        </w:rPr>
        <w:t>e</w:t>
      </w:r>
      <w:r w:rsidRPr="000F765B">
        <w:rPr>
          <w:lang w:eastAsia="fr-FR" w:bidi="fr-FR"/>
        </w:rPr>
        <w:t xml:space="preserve"> siècle renferme une allusion, d’ailleurs fort obscure, à un s</w:t>
      </w:r>
      <w:r w:rsidRPr="000F765B">
        <w:rPr>
          <w:lang w:eastAsia="fr-FR" w:bidi="fr-FR"/>
        </w:rPr>
        <w:t>é</w:t>
      </w:r>
      <w:r w:rsidRPr="000F765B">
        <w:rPr>
          <w:lang w:eastAsia="fr-FR" w:bidi="fr-FR"/>
        </w:rPr>
        <w:t>jour que Salomon</w:t>
      </w:r>
      <w:r>
        <w:rPr>
          <w:lang w:eastAsia="fr-FR" w:bidi="fr-FR"/>
        </w:rPr>
        <w:t> — </w:t>
      </w:r>
      <w:r w:rsidRPr="000F765B">
        <w:rPr>
          <w:lang w:eastAsia="fr-FR" w:bidi="fr-FR"/>
        </w:rPr>
        <w:t>vivant ou mort, on ne sait au juste</w:t>
      </w:r>
      <w:r>
        <w:rPr>
          <w:lang w:eastAsia="fr-FR" w:bidi="fr-FR"/>
        </w:rPr>
        <w:t> — </w:t>
      </w:r>
      <w:r w:rsidRPr="000F765B">
        <w:rPr>
          <w:lang w:eastAsia="fr-FR" w:bidi="fr-FR"/>
        </w:rPr>
        <w:t>aurait fait chez le roi des Enfers ; il n’aurait écha</w:t>
      </w:r>
      <w:r w:rsidRPr="000F765B">
        <w:rPr>
          <w:lang w:eastAsia="fr-FR" w:bidi="fr-FR"/>
        </w:rPr>
        <w:t>p</w:t>
      </w:r>
      <w:r w:rsidRPr="000F765B">
        <w:rPr>
          <w:lang w:eastAsia="fr-FR" w:bidi="fr-FR"/>
        </w:rPr>
        <w:t>pé au terrible monarque et à ses « forgerons » que par la vertu d’une invocation magique</w:t>
      </w:r>
      <w:r>
        <w:rPr>
          <w:lang w:eastAsia="fr-FR" w:bidi="fr-FR"/>
        </w:rPr>
        <w:t> </w:t>
      </w:r>
      <w:r>
        <w:rPr>
          <w:rStyle w:val="Appelnotedebasdep"/>
        </w:rPr>
        <w:footnoteReference w:id="1017"/>
      </w:r>
      <w:r w:rsidRPr="000F765B">
        <w:rPr>
          <w:lang w:eastAsia="fr-FR" w:bidi="fr-FR"/>
        </w:rPr>
        <w:t xml:space="preserve">. Une </w:t>
      </w:r>
      <w:r w:rsidRPr="001E12FF">
        <w:rPr>
          <w:i/>
        </w:rPr>
        <w:t>byline</w:t>
      </w:r>
      <w:r w:rsidRPr="000F765B">
        <w:rPr>
          <w:lang w:eastAsia="fr-FR" w:bidi="fr-FR"/>
        </w:rPr>
        <w:t xml:space="preserve"> russe nous raconte sur lui une plus étrange histoire ; devenu vieux, il désirait mourir et n’y parvenait point, car, maudit jadis par sa mère, il était condamné à demeurer sans trêve en ce bas monde, ju</w:t>
      </w:r>
      <w:r w:rsidRPr="000F765B">
        <w:rPr>
          <w:lang w:eastAsia="fr-FR" w:bidi="fr-FR"/>
        </w:rPr>
        <w:t>s</w:t>
      </w:r>
      <w:r w:rsidRPr="000F765B">
        <w:rPr>
          <w:lang w:eastAsia="fr-FR" w:bidi="fr-FR"/>
        </w:rPr>
        <w:t>qu’au jour où il aurait vu les abîmes du ciel et les profondeurs de l’océan ; par un dernier tour d’ingéniosité, il r</w:t>
      </w:r>
      <w:r w:rsidRPr="000F765B">
        <w:rPr>
          <w:lang w:eastAsia="fr-FR" w:bidi="fr-FR"/>
        </w:rPr>
        <w:t>é</w:t>
      </w:r>
      <w:r w:rsidRPr="000F765B">
        <w:rPr>
          <w:lang w:eastAsia="fr-FR" w:bidi="fr-FR"/>
        </w:rPr>
        <w:t>ussit enfin à conte</w:t>
      </w:r>
      <w:r w:rsidRPr="000F765B">
        <w:rPr>
          <w:lang w:eastAsia="fr-FR" w:bidi="fr-FR"/>
        </w:rPr>
        <w:t>m</w:t>
      </w:r>
      <w:r w:rsidRPr="000F765B">
        <w:rPr>
          <w:lang w:eastAsia="fr-FR" w:bidi="fr-FR"/>
        </w:rPr>
        <w:t>pler ce double gouffre et connut le bonheur de mourir</w:t>
      </w:r>
      <w:r>
        <w:rPr>
          <w:lang w:eastAsia="fr-FR" w:bidi="fr-FR"/>
        </w:rPr>
        <w:t> </w:t>
      </w:r>
      <w:r>
        <w:rPr>
          <w:rStyle w:val="Appelnotedebasdep"/>
        </w:rPr>
        <w:footnoteReference w:id="1018"/>
      </w:r>
      <w:r w:rsidRPr="000F765B">
        <w:rPr>
          <w:lang w:eastAsia="fr-FR" w:bidi="fr-FR"/>
        </w:rPr>
        <w:t>. Une légende de la Petite-Russie est ce qui rappelle de plus près les préoccupations des conteurs occidentaux. Le jour de la De</w:t>
      </w:r>
      <w:r w:rsidRPr="000F765B">
        <w:rPr>
          <w:lang w:eastAsia="fr-FR" w:bidi="fr-FR"/>
        </w:rPr>
        <w:t>s</w:t>
      </w:r>
      <w:r w:rsidRPr="000F765B">
        <w:rPr>
          <w:lang w:eastAsia="fr-FR" w:bidi="fr-FR"/>
        </w:rPr>
        <w:t>cente aux Limbes, y est-il dit, lorsque les justes libérés furent tous so</w:t>
      </w:r>
      <w:r w:rsidRPr="000F765B">
        <w:rPr>
          <w:lang w:eastAsia="fr-FR" w:bidi="fr-FR"/>
        </w:rPr>
        <w:t>r</w:t>
      </w:r>
      <w:r w:rsidRPr="000F765B">
        <w:rPr>
          <w:lang w:eastAsia="fr-FR" w:bidi="fr-FR"/>
        </w:rPr>
        <w:t>tis, sautant de joie et da</w:t>
      </w:r>
      <w:r w:rsidRPr="000F765B">
        <w:rPr>
          <w:lang w:eastAsia="fr-FR" w:bidi="fr-FR"/>
        </w:rPr>
        <w:t>n</w:t>
      </w:r>
      <w:r w:rsidRPr="000F765B">
        <w:rPr>
          <w:lang w:eastAsia="fr-FR" w:bidi="fr-FR"/>
        </w:rPr>
        <w:t>sant, le tsar David les regarda et s’aperçut que son fils n’était pas pa</w:t>
      </w:r>
      <w:r w:rsidRPr="000F765B">
        <w:rPr>
          <w:lang w:eastAsia="fr-FR" w:bidi="fr-FR"/>
        </w:rPr>
        <w:t>r</w:t>
      </w:r>
      <w:r w:rsidRPr="000F765B">
        <w:rPr>
          <w:lang w:eastAsia="fr-FR" w:bidi="fr-FR"/>
        </w:rPr>
        <w:t>mi eux. Alors « Christ lui dit : Ne te fâche pas ; je n’ai laissé Salomon là-bas que pour l’effroi des diables afin qu’il leur fît peur après mon départ. Salomon, ton fils, saura sortir tout seul par la vertu de sa s</w:t>
      </w:r>
      <w:r w:rsidRPr="000F765B">
        <w:rPr>
          <w:lang w:eastAsia="fr-FR" w:bidi="fr-FR"/>
        </w:rPr>
        <w:t>a</w:t>
      </w:r>
      <w:r w:rsidRPr="000F765B">
        <w:rPr>
          <w:lang w:eastAsia="fr-FR" w:bidi="fr-FR"/>
        </w:rPr>
        <w:t xml:space="preserve">gesse ». En effet, l’astucieux personnage jeta la terreur dans les Enfers en annonçant que le Rédempteur allait venir </w:t>
      </w:r>
      <w:r w:rsidRPr="000F765B">
        <w:rPr>
          <w:lang w:eastAsia="fr-FR" w:bidi="fr-FR"/>
        </w:rPr>
        <w:lastRenderedPageBreak/>
        <w:t>le rechercher, apportant cette fois avec lui « plus d’épouvante encore » qu’à sa première apparition ; il fit si bien que les diables le mirent d</w:t>
      </w:r>
      <w:r w:rsidRPr="000F765B">
        <w:rPr>
          <w:lang w:eastAsia="fr-FR" w:bidi="fr-FR"/>
        </w:rPr>
        <w:t>e</w:t>
      </w:r>
      <w:r w:rsidRPr="000F765B">
        <w:rPr>
          <w:lang w:eastAsia="fr-FR" w:bidi="fr-FR"/>
        </w:rPr>
        <w:t>hors au plus vite</w:t>
      </w:r>
      <w:r>
        <w:rPr>
          <w:lang w:eastAsia="fr-FR" w:bidi="fr-FR"/>
        </w:rPr>
        <w:t> </w:t>
      </w:r>
      <w:r>
        <w:rPr>
          <w:rStyle w:val="Appelnotedebasdep"/>
        </w:rPr>
        <w:footnoteReference w:id="1019"/>
      </w:r>
      <w:r w:rsidRPr="000F765B">
        <w:rPr>
          <w:lang w:eastAsia="fr-FR" w:bidi="fr-FR"/>
        </w:rPr>
        <w:t>. On peut se demander si cette amusante historiette se présente bien ici sous sa forme primitive. J’inclinerais volontiers à ne voir en elle que la déformation d’un conte plus ancien, dont la s</w:t>
      </w:r>
      <w:r w:rsidRPr="000F765B">
        <w:rPr>
          <w:lang w:eastAsia="fr-FR" w:bidi="fr-FR"/>
        </w:rPr>
        <w:t>i</w:t>
      </w:r>
      <w:r w:rsidRPr="000F765B">
        <w:rPr>
          <w:lang w:eastAsia="fr-FR" w:bidi="fr-FR"/>
        </w:rPr>
        <w:t>gnification devait être tout opposée ; n’imagina-t-on pas d’abord que Salomon avait été abando</w:t>
      </w:r>
      <w:r w:rsidRPr="000F765B">
        <w:rPr>
          <w:lang w:eastAsia="fr-FR" w:bidi="fr-FR"/>
        </w:rPr>
        <w:t>n</w:t>
      </w:r>
      <w:r w:rsidRPr="000F765B">
        <w:rPr>
          <w:lang w:eastAsia="fr-FR" w:bidi="fr-FR"/>
        </w:rPr>
        <w:t>né en Enfer, non pas afin d’employer sa sagesse à tourmenter les d</w:t>
      </w:r>
      <w:r w:rsidRPr="000F765B">
        <w:rPr>
          <w:lang w:eastAsia="fr-FR" w:bidi="fr-FR"/>
        </w:rPr>
        <w:t>é</w:t>
      </w:r>
      <w:r w:rsidRPr="000F765B">
        <w:rPr>
          <w:lang w:eastAsia="fr-FR" w:bidi="fr-FR"/>
        </w:rPr>
        <w:t>mons et pour peu de temps, mais à titre de punition et peut-être pour toujours, comme ces âmes malheureuses</w:t>
      </w:r>
      <w:r>
        <w:rPr>
          <w:lang w:eastAsia="fr-FR" w:bidi="fr-FR"/>
        </w:rPr>
        <w:t> — </w:t>
      </w:r>
      <w:r w:rsidRPr="001E12FF">
        <w:rPr>
          <w:i/>
        </w:rPr>
        <w:t>anima infelix</w:t>
      </w:r>
      <w:r>
        <w:rPr>
          <w:lang w:eastAsia="fr-FR" w:bidi="fr-FR"/>
        </w:rPr>
        <w:t> — </w:t>
      </w:r>
      <w:r w:rsidRPr="000F765B">
        <w:rPr>
          <w:lang w:eastAsia="fr-FR" w:bidi="fr-FR"/>
        </w:rPr>
        <w:t>que les drames allemands de la Passion nous</w:t>
      </w:r>
      <w:r>
        <w:rPr>
          <w:lang w:eastAsia="fr-FR" w:bidi="fr-FR"/>
        </w:rPr>
        <w:t xml:space="preserve"> [938] </w:t>
      </w:r>
      <w:r w:rsidRPr="000F765B">
        <w:rPr>
          <w:lang w:eastAsia="fr-FR" w:bidi="fr-FR"/>
        </w:rPr>
        <w:t>montrent volontiers pleurant la délivrance</w:t>
      </w:r>
      <w:r>
        <w:rPr>
          <w:lang w:eastAsia="fr-FR" w:bidi="fr-FR"/>
        </w:rPr>
        <w:t xml:space="preserve"> que le Christ leur a ref</w:t>
      </w:r>
      <w:r>
        <w:rPr>
          <w:lang w:eastAsia="fr-FR" w:bidi="fr-FR"/>
        </w:rPr>
        <w:t>u</w:t>
      </w:r>
      <w:r>
        <w:rPr>
          <w:lang w:eastAsia="fr-FR" w:bidi="fr-FR"/>
        </w:rPr>
        <w:t>sée ? </w:t>
      </w:r>
      <w:r>
        <w:rPr>
          <w:rStyle w:val="Appelnotedebasdep"/>
        </w:rPr>
        <w:footnoteReference w:id="1020"/>
      </w:r>
      <w:r w:rsidRPr="000F765B">
        <w:rPr>
          <w:vertAlign w:val="superscript"/>
          <w:lang w:eastAsia="fr-FR" w:bidi="fr-FR"/>
        </w:rPr>
        <w:t xml:space="preserve"> </w:t>
      </w:r>
      <w:r w:rsidRPr="000F765B">
        <w:rPr>
          <w:lang w:eastAsia="fr-FR" w:bidi="fr-FR"/>
        </w:rPr>
        <w:t>En ce cas, le motif eût été, de même que dans les sources fra</w:t>
      </w:r>
      <w:r w:rsidRPr="000F765B">
        <w:rPr>
          <w:lang w:eastAsia="fr-FR" w:bidi="fr-FR"/>
        </w:rPr>
        <w:t>n</w:t>
      </w:r>
      <w:r w:rsidRPr="000F765B">
        <w:rPr>
          <w:lang w:eastAsia="fr-FR" w:bidi="fr-FR"/>
        </w:rPr>
        <w:t>çaises et anglaises, le châtiment de Salomon. Seulement la présence de ce récit en Ukraine et en Russie subcarpathique, c’est-à-</w:t>
      </w:r>
      <w:r w:rsidRPr="000F765B">
        <w:rPr>
          <w:lang w:eastAsia="fr-FR" w:bidi="fr-FR"/>
        </w:rPr>
        <w:lastRenderedPageBreak/>
        <w:t>dire sur les confins de la catholicité, donne à réfléchir : ne serait-il pas né, préc</w:t>
      </w:r>
      <w:r w:rsidRPr="000F765B">
        <w:rPr>
          <w:lang w:eastAsia="fr-FR" w:bidi="fr-FR"/>
        </w:rPr>
        <w:t>i</w:t>
      </w:r>
      <w:r w:rsidRPr="000F765B">
        <w:rPr>
          <w:lang w:eastAsia="fr-FR" w:bidi="fr-FR"/>
        </w:rPr>
        <w:t>sément, en pays catholique, des discussions que nous connaissons bien, et ne doit-on pas se représenter sa propagation, accompagnée sans doute de remaniements, comme s’étant faite d’Ouest en Est, pl</w:t>
      </w:r>
      <w:r w:rsidRPr="000F765B">
        <w:rPr>
          <w:lang w:eastAsia="fr-FR" w:bidi="fr-FR"/>
        </w:rPr>
        <w:t>u</w:t>
      </w:r>
      <w:r w:rsidRPr="000F765B">
        <w:rPr>
          <w:lang w:eastAsia="fr-FR" w:bidi="fr-FR"/>
        </w:rPr>
        <w:t>tôt que dans le sens contraire ?</w:t>
      </w:r>
    </w:p>
    <w:p w14:paraId="1E56BD63" w14:textId="77777777" w:rsidR="00B9662D" w:rsidRPr="000F765B" w:rsidRDefault="00B9662D" w:rsidP="00B9662D">
      <w:pPr>
        <w:spacing w:before="120" w:after="120"/>
        <w:jc w:val="both"/>
      </w:pPr>
      <w:r w:rsidRPr="000F765B">
        <w:rPr>
          <w:lang w:eastAsia="fr-FR" w:bidi="fr-FR"/>
        </w:rPr>
        <w:t>On le voit, même dans les rares contes orientaux qui paraissent t</w:t>
      </w:r>
      <w:r w:rsidRPr="000F765B">
        <w:rPr>
          <w:lang w:eastAsia="fr-FR" w:bidi="fr-FR"/>
        </w:rPr>
        <w:t>é</w:t>
      </w:r>
      <w:r w:rsidRPr="000F765B">
        <w:rPr>
          <w:lang w:eastAsia="fr-FR" w:bidi="fr-FR"/>
        </w:rPr>
        <w:t>moigner de quelque incertitude sur la part réservée à Salomon dans les rétributions d’outre-tombe, rien ne rappelle la double idée qui forme le trait commun et caractéristique des aventures relatées par l’anonyme anglais et par Jean Jouvenel : punition d’un caractère e</w:t>
      </w:r>
      <w:r w:rsidRPr="000F765B">
        <w:rPr>
          <w:lang w:eastAsia="fr-FR" w:bidi="fr-FR"/>
        </w:rPr>
        <w:t>x</w:t>
      </w:r>
      <w:r w:rsidRPr="000F765B">
        <w:rPr>
          <w:lang w:eastAsia="fr-FR" w:bidi="fr-FR"/>
        </w:rPr>
        <w:t>ceptionnel et d’une durée limitée, son terme étant fixé par avance au jour du Jugement. Jusqu’à nouvel ordre, il n’y a donc pas lieu de do</w:t>
      </w:r>
      <w:r w:rsidRPr="000F765B">
        <w:rPr>
          <w:lang w:eastAsia="fr-FR" w:bidi="fr-FR"/>
        </w:rPr>
        <w:t>u</w:t>
      </w:r>
      <w:r w:rsidRPr="000F765B">
        <w:rPr>
          <w:lang w:eastAsia="fr-FR" w:bidi="fr-FR"/>
        </w:rPr>
        <w:t>ter que notre légende ne soit vraiment née en Occident, fleur issue du terreau théologique. Là où la spéculation pure avait en vain cherché une solution qui ralliât tout le monde, l’imagination fournit la réponse, et, ce qui est bien curieux, une réponse transactionnelle : Salomon s</w:t>
      </w:r>
      <w:r w:rsidRPr="000F765B">
        <w:rPr>
          <w:lang w:eastAsia="fr-FR" w:bidi="fr-FR"/>
        </w:rPr>
        <w:t>e</w:t>
      </w:r>
      <w:r w:rsidRPr="000F765B">
        <w:rPr>
          <w:lang w:eastAsia="fr-FR" w:bidi="fr-FR"/>
        </w:rPr>
        <w:t>ra châtié dans l’autre vie</w:t>
      </w:r>
      <w:r>
        <w:rPr>
          <w:lang w:eastAsia="fr-FR" w:bidi="fr-FR"/>
        </w:rPr>
        <w:t> — </w:t>
      </w:r>
      <w:r w:rsidRPr="000F765B">
        <w:rPr>
          <w:lang w:eastAsia="fr-FR" w:bidi="fr-FR"/>
        </w:rPr>
        <w:t>d’où l’on doit conclure que, comme l’avaient pensé les plus sévères parmi les docteurs, il n’avait pas fait suffisamment pénitence dans celle-ci ; mais sa peine, cruelle ou lég</w:t>
      </w:r>
      <w:r w:rsidRPr="000F765B">
        <w:rPr>
          <w:lang w:eastAsia="fr-FR" w:bidi="fr-FR"/>
        </w:rPr>
        <w:t>è</w:t>
      </w:r>
      <w:r w:rsidRPr="000F765B">
        <w:rPr>
          <w:lang w:eastAsia="fr-FR" w:bidi="fr-FR"/>
        </w:rPr>
        <w:t>re, selon les versions, n’est dans aucune des deux présentée comme éternelle,</w:t>
      </w:r>
      <w:r>
        <w:rPr>
          <w:lang w:eastAsia="fr-FR" w:bidi="fr-FR"/>
        </w:rPr>
        <w:t> — </w:t>
      </w:r>
      <w:r w:rsidRPr="000F765B">
        <w:rPr>
          <w:lang w:eastAsia="fr-FR" w:bidi="fr-FR"/>
        </w:rPr>
        <w:t xml:space="preserve">et voilà les indulgents satisfaits ! Cette origine savante forme à mon sens le principal intérêt de notre récit. Car un récit qui donne corps et couleur à une idée religieuse plus ou moins abstraite, qu’est-ce, au fond, sinon un mythe ? Or l’esprit de création mythique ne saurait passer pour avoir été particulièrement répandu dans le Moyen </w:t>
      </w:r>
      <w:r>
        <w:rPr>
          <w:lang w:eastAsia="fr-FR" w:bidi="fr-FR"/>
        </w:rPr>
        <w:t>Â</w:t>
      </w:r>
      <w:r w:rsidRPr="000F765B">
        <w:rPr>
          <w:lang w:eastAsia="fr-FR" w:bidi="fr-FR"/>
        </w:rPr>
        <w:t>ge occidental. En dehors de la secte cathare</w:t>
      </w:r>
      <w:r>
        <w:rPr>
          <w:lang w:eastAsia="fr-FR" w:bidi="fr-FR"/>
        </w:rPr>
        <w:t> — </w:t>
      </w:r>
      <w:r w:rsidRPr="000F765B">
        <w:rPr>
          <w:lang w:eastAsia="fr-FR" w:bidi="fr-FR"/>
        </w:rPr>
        <w:t>héritière sur ce point de la fécondité fougueuse de la Gnose</w:t>
      </w:r>
      <w:r>
        <w:rPr>
          <w:lang w:eastAsia="fr-FR" w:bidi="fr-FR"/>
        </w:rPr>
        <w:t> — </w:t>
      </w:r>
      <w:r w:rsidRPr="000F765B">
        <w:rPr>
          <w:lang w:eastAsia="fr-FR" w:bidi="fr-FR"/>
        </w:rPr>
        <w:t>on ne lui connait guère qu’un assez petit nombre d’expressions. Chose significative, presque toutes se rapportent à la vie future. La représentation de l’autre monde était placée au cœur même de la religion médiévale ; les controverses doctrinales, même les plus sèches en apparence, lor</w:t>
      </w:r>
      <w:r w:rsidRPr="000F765B">
        <w:rPr>
          <w:lang w:eastAsia="fr-FR" w:bidi="fr-FR"/>
        </w:rPr>
        <w:t>s</w:t>
      </w:r>
      <w:r w:rsidRPr="000F765B">
        <w:rPr>
          <w:lang w:eastAsia="fr-FR" w:bidi="fr-FR"/>
        </w:rPr>
        <w:t>qu’elles touchaient à ce problème de la destinée humaine qui évoquait pour l’âme collective des espérances et des craintes si précises, pr</w:t>
      </w:r>
      <w:r w:rsidRPr="000F765B">
        <w:rPr>
          <w:lang w:eastAsia="fr-FR" w:bidi="fr-FR"/>
        </w:rPr>
        <w:t>e</w:t>
      </w:r>
      <w:r w:rsidRPr="000F765B">
        <w:rPr>
          <w:lang w:eastAsia="fr-FR" w:bidi="fr-FR"/>
        </w:rPr>
        <w:t>naient presque d’instinct la forme d’une suite d’images concrètes et véritablement poétiques.</w:t>
      </w:r>
    </w:p>
    <w:p w14:paraId="00AC40AE" w14:textId="77777777" w:rsidR="00B9662D" w:rsidRDefault="00B9662D" w:rsidP="00B9662D">
      <w:pPr>
        <w:pStyle w:val="p"/>
      </w:pPr>
      <w:r w:rsidRPr="000F765B">
        <w:br w:type="page"/>
      </w:r>
      <w:r>
        <w:lastRenderedPageBreak/>
        <w:t>[939]</w:t>
      </w:r>
    </w:p>
    <w:p w14:paraId="6B3A1226" w14:textId="77777777" w:rsidR="00B9662D" w:rsidRDefault="00B9662D" w:rsidP="00B9662D">
      <w:pPr>
        <w:jc w:val="both"/>
      </w:pPr>
    </w:p>
    <w:p w14:paraId="2DD72BD3" w14:textId="77777777" w:rsidR="00B9662D" w:rsidRDefault="00B9662D" w:rsidP="00B9662D">
      <w:pPr>
        <w:jc w:val="both"/>
      </w:pPr>
    </w:p>
    <w:p w14:paraId="32B911CC" w14:textId="77777777" w:rsidR="00B9662D" w:rsidRPr="00E07116" w:rsidRDefault="00B9662D" w:rsidP="00B9662D">
      <w:pPr>
        <w:jc w:val="both"/>
      </w:pPr>
    </w:p>
    <w:p w14:paraId="00EC9847" w14:textId="77777777" w:rsidR="00B9662D" w:rsidRPr="00F54CC7" w:rsidRDefault="00B9662D" w:rsidP="00B9662D">
      <w:pPr>
        <w:spacing w:after="120"/>
        <w:ind w:firstLine="0"/>
        <w:jc w:val="center"/>
        <w:rPr>
          <w:sz w:val="24"/>
        </w:rPr>
      </w:pPr>
      <w:bookmarkStart w:id="49" w:name="Melanges_t2_pt_9_chap_III"/>
      <w:r>
        <w:rPr>
          <w:b/>
          <w:sz w:val="24"/>
        </w:rPr>
        <w:t>Mélanges historiques.</w:t>
      </w:r>
      <w:r>
        <w:rPr>
          <w:b/>
          <w:sz w:val="24"/>
        </w:rPr>
        <w:br/>
      </w:r>
      <w:r w:rsidRPr="000D320C">
        <w:rPr>
          <w:color w:val="FF0000"/>
          <w:sz w:val="24"/>
        </w:rPr>
        <w:t>Tome I</w:t>
      </w:r>
      <w:r>
        <w:rPr>
          <w:color w:val="FF0000"/>
          <w:sz w:val="24"/>
        </w:rPr>
        <w:t>I</w:t>
      </w:r>
      <w:r w:rsidRPr="000D320C">
        <w:rPr>
          <w:sz w:val="24"/>
        </w:rPr>
        <w:t>.</w:t>
      </w:r>
    </w:p>
    <w:p w14:paraId="0F9A951E" w14:textId="77777777" w:rsidR="00B9662D" w:rsidRPr="00303F6A" w:rsidRDefault="00B9662D" w:rsidP="00B9662D">
      <w:pPr>
        <w:ind w:firstLine="0"/>
        <w:jc w:val="center"/>
        <w:rPr>
          <w:b/>
          <w:color w:val="000080"/>
          <w:sz w:val="24"/>
        </w:rPr>
      </w:pPr>
      <w:r>
        <w:rPr>
          <w:b/>
          <w:color w:val="000080"/>
          <w:sz w:val="24"/>
        </w:rPr>
        <w:t>9</w:t>
      </w:r>
      <w:r w:rsidRPr="00F82135">
        <w:rPr>
          <w:b/>
          <w:color w:val="000080"/>
          <w:sz w:val="24"/>
          <w:vertAlign w:val="superscript"/>
        </w:rPr>
        <w:t>e</w:t>
      </w:r>
      <w:r>
        <w:rPr>
          <w:b/>
          <w:color w:val="000080"/>
          <w:sz w:val="24"/>
        </w:rPr>
        <w:t xml:space="preserve"> PARTIE.</w:t>
      </w:r>
      <w:r>
        <w:rPr>
          <w:b/>
          <w:color w:val="000080"/>
          <w:sz w:val="24"/>
        </w:rPr>
        <w:br/>
        <w:t>ASPECTS DE LA MENTALITÉ MÉDIÉVALE</w:t>
      </w:r>
    </w:p>
    <w:p w14:paraId="385751A7" w14:textId="77777777" w:rsidR="00B9662D" w:rsidRPr="00384B20" w:rsidRDefault="00B9662D" w:rsidP="00B9662D">
      <w:pPr>
        <w:pStyle w:val="Titreniveau1"/>
      </w:pPr>
      <w:r w:rsidRPr="00384B20">
        <w:t>Chapitre I</w:t>
      </w:r>
      <w:r>
        <w:t>II</w:t>
      </w:r>
    </w:p>
    <w:p w14:paraId="08E44A07" w14:textId="77777777" w:rsidR="00B9662D" w:rsidRPr="00E07116" w:rsidRDefault="00B9662D" w:rsidP="00B9662D">
      <w:pPr>
        <w:jc w:val="both"/>
        <w:rPr>
          <w:szCs w:val="36"/>
        </w:rPr>
      </w:pPr>
    </w:p>
    <w:p w14:paraId="38F89BF3" w14:textId="77777777" w:rsidR="00B9662D" w:rsidRDefault="00B9662D" w:rsidP="00B9662D">
      <w:pPr>
        <w:pStyle w:val="Titreniveau2"/>
      </w:pPr>
      <w:r>
        <w:t>Saint martin de tours :</w:t>
      </w:r>
    </w:p>
    <w:p w14:paraId="348395F7" w14:textId="77777777" w:rsidR="00B9662D" w:rsidRPr="00E07116" w:rsidRDefault="00B9662D" w:rsidP="00B9662D">
      <w:pPr>
        <w:pStyle w:val="Titreniveau2st"/>
      </w:pPr>
      <w:r>
        <w:t>à propos d’une polémique </w:t>
      </w:r>
      <w:r>
        <w:rPr>
          <w:rStyle w:val="Appelnotedebasdep"/>
        </w:rPr>
        <w:footnoteReference w:id="1021"/>
      </w:r>
    </w:p>
    <w:bookmarkEnd w:id="49"/>
    <w:p w14:paraId="371CF2A8" w14:textId="77777777" w:rsidR="00B9662D" w:rsidRDefault="00B9662D" w:rsidP="00B9662D">
      <w:pPr>
        <w:jc w:val="both"/>
        <w:rPr>
          <w:szCs w:val="36"/>
        </w:rPr>
      </w:pPr>
    </w:p>
    <w:p w14:paraId="6C95ED45" w14:textId="77777777" w:rsidR="00B9662D" w:rsidRDefault="00B9662D" w:rsidP="00B9662D">
      <w:pPr>
        <w:jc w:val="both"/>
        <w:rPr>
          <w:szCs w:val="36"/>
        </w:rPr>
      </w:pPr>
    </w:p>
    <w:p w14:paraId="4EBC72E4" w14:textId="77777777" w:rsidR="00B9662D" w:rsidRDefault="00B9662D" w:rsidP="00B9662D">
      <w:pPr>
        <w:jc w:val="both"/>
        <w:rPr>
          <w:szCs w:val="36"/>
        </w:rPr>
      </w:pPr>
    </w:p>
    <w:p w14:paraId="2E907437" w14:textId="77777777" w:rsidR="00B9662D" w:rsidRDefault="00B9662D" w:rsidP="00B9662D">
      <w:pPr>
        <w:spacing w:before="120" w:after="120"/>
        <w:jc w:val="both"/>
        <w:rPr>
          <w:color w:val="000000"/>
          <w:lang w:eastAsia="fr-FR" w:bidi="fr-FR"/>
        </w:rPr>
      </w:pPr>
    </w:p>
    <w:p w14:paraId="76C71E38"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FDF4C0B" w14:textId="77777777" w:rsidR="00B9662D" w:rsidRPr="000F765B" w:rsidRDefault="00B9662D" w:rsidP="00B9662D">
      <w:pPr>
        <w:spacing w:before="120" w:after="120"/>
        <w:jc w:val="both"/>
      </w:pPr>
      <w:r w:rsidRPr="000F765B">
        <w:rPr>
          <w:lang w:eastAsia="fr-FR" w:bidi="fr-FR"/>
        </w:rPr>
        <w:t xml:space="preserve">Les </w:t>
      </w:r>
      <w:r w:rsidRPr="00C56A75">
        <w:rPr>
          <w:i/>
        </w:rPr>
        <w:t>Acta Sandorum</w:t>
      </w:r>
      <w:r w:rsidRPr="000F765B">
        <w:rPr>
          <w:lang w:eastAsia="fr-FR" w:bidi="fr-FR"/>
        </w:rPr>
        <w:t>, qui suivent, comme chacun sait, l’ordre du c</w:t>
      </w:r>
      <w:r w:rsidRPr="000F765B">
        <w:rPr>
          <w:lang w:eastAsia="fr-FR" w:bidi="fr-FR"/>
        </w:rPr>
        <w:t>a</w:t>
      </w:r>
      <w:r w:rsidRPr="000F765B">
        <w:rPr>
          <w:lang w:eastAsia="fr-FR" w:bidi="fr-FR"/>
        </w:rPr>
        <w:t>lendrier, ont atteint les premiers jours de novembre. Les voici qui a</w:t>
      </w:r>
      <w:r w:rsidRPr="000F765B">
        <w:rPr>
          <w:lang w:eastAsia="fr-FR" w:bidi="fr-FR"/>
        </w:rPr>
        <w:t>p</w:t>
      </w:r>
      <w:r w:rsidRPr="000F765B">
        <w:rPr>
          <w:lang w:eastAsia="fr-FR" w:bidi="fr-FR"/>
        </w:rPr>
        <w:t>prochent du 11 de ce mois, une des grandes dates de l’année liturg</w:t>
      </w:r>
      <w:r w:rsidRPr="000F765B">
        <w:rPr>
          <w:lang w:eastAsia="fr-FR" w:bidi="fr-FR"/>
        </w:rPr>
        <w:t>i</w:t>
      </w:r>
      <w:r w:rsidRPr="000F765B">
        <w:rPr>
          <w:lang w:eastAsia="fr-FR" w:bidi="fr-FR"/>
        </w:rPr>
        <w:t xml:space="preserve">que ; bien avant que ce jour prédestiné devînt, dans la France d’aujourd’hui, un anniversaire civique, il fut célébré, par les Français du Moyen </w:t>
      </w:r>
      <w:r>
        <w:rPr>
          <w:lang w:eastAsia="fr-FR" w:bidi="fr-FR"/>
        </w:rPr>
        <w:t>Â</w:t>
      </w:r>
      <w:r w:rsidRPr="000F765B">
        <w:rPr>
          <w:lang w:eastAsia="fr-FR" w:bidi="fr-FR"/>
        </w:rPr>
        <w:t xml:space="preserve">ge, comme une de leurs fêtes religieuses les plus aimées : c’était la Saint-Martin d’hiver. Les vies de saint Martin vont donc trouver place dans les </w:t>
      </w:r>
      <w:r w:rsidRPr="000F765B">
        <w:t>Acta</w:t>
      </w:r>
      <w:r w:rsidRPr="000F765B">
        <w:rPr>
          <w:lang w:eastAsia="fr-FR" w:bidi="fr-FR"/>
        </w:rPr>
        <w:t xml:space="preserve">. Or les traditions relatives à ce saint, le plus illustre de la Gaule, ont été récemment soumises à une critique serrée par Ernest Babut, dans un très beau livre, dont les lecteurs de la </w:t>
      </w:r>
      <w:r w:rsidRPr="001E12FF">
        <w:rPr>
          <w:i/>
        </w:rPr>
        <w:t>Revue d’Histoire et de Littérature Religieuses</w:t>
      </w:r>
      <w:r w:rsidRPr="000F765B">
        <w:t xml:space="preserve"> </w:t>
      </w:r>
      <w:r w:rsidRPr="000F765B">
        <w:rPr>
          <w:lang w:eastAsia="fr-FR" w:bidi="fr-FR"/>
        </w:rPr>
        <w:t>ont eu autrefois la pr</w:t>
      </w:r>
      <w:r w:rsidRPr="000F765B">
        <w:rPr>
          <w:lang w:eastAsia="fr-FR" w:bidi="fr-FR"/>
        </w:rPr>
        <w:t>i</w:t>
      </w:r>
      <w:r w:rsidRPr="000F765B">
        <w:rPr>
          <w:lang w:eastAsia="fr-FR" w:bidi="fr-FR"/>
        </w:rPr>
        <w:t>meur</w:t>
      </w:r>
      <w:r>
        <w:rPr>
          <w:lang w:eastAsia="fr-FR" w:bidi="fr-FR"/>
        </w:rPr>
        <w:t> </w:t>
      </w:r>
      <w:r>
        <w:rPr>
          <w:rStyle w:val="Appelnotedebasdep"/>
        </w:rPr>
        <w:footnoteReference w:id="1022"/>
      </w:r>
      <w:r w:rsidRPr="000F765B">
        <w:rPr>
          <w:lang w:eastAsia="fr-FR" w:bidi="fr-FR"/>
        </w:rPr>
        <w:t xml:space="preserve">. M. Babut était arrivé à des conclusions absolument nouvelles. Vis-à-vis d’elles, les Bollandistes devaient prendre position. Ils l’ont fait. Dans le dernier fascicule des </w:t>
      </w:r>
      <w:r w:rsidRPr="00C56A75">
        <w:rPr>
          <w:i/>
        </w:rPr>
        <w:t>Analada Bollandiana</w:t>
      </w:r>
      <w:r w:rsidRPr="000F765B">
        <w:t xml:space="preserve"> </w:t>
      </w:r>
      <w:r w:rsidRPr="000F765B">
        <w:rPr>
          <w:lang w:eastAsia="fr-FR" w:bidi="fr-FR"/>
        </w:rPr>
        <w:t xml:space="preserve">on peut lire un long mémoire du P. Delehaye, intitulé </w:t>
      </w:r>
      <w:r w:rsidRPr="001E12FF">
        <w:rPr>
          <w:i/>
        </w:rPr>
        <w:t xml:space="preserve">Saint Martin et Sulpice </w:t>
      </w:r>
      <w:r w:rsidRPr="001E12FF">
        <w:rPr>
          <w:i/>
        </w:rPr>
        <w:lastRenderedPageBreak/>
        <w:t>Sév</w:t>
      </w:r>
      <w:r w:rsidRPr="001E12FF">
        <w:rPr>
          <w:i/>
        </w:rPr>
        <w:t>è</w:t>
      </w:r>
      <w:r w:rsidRPr="001E12FF">
        <w:rPr>
          <w:i/>
        </w:rPr>
        <w:t>re</w:t>
      </w:r>
      <w:r>
        <w:t> </w:t>
      </w:r>
      <w:r>
        <w:rPr>
          <w:rStyle w:val="Appelnotedebasdep"/>
        </w:rPr>
        <w:footnoteReference w:id="1023"/>
      </w:r>
      <w:r w:rsidRPr="000F765B">
        <w:rPr>
          <w:lang w:eastAsia="fr-FR" w:bidi="fr-FR"/>
        </w:rPr>
        <w:t xml:space="preserve"> ; c’est une réfutation en règle du </w:t>
      </w:r>
      <w:r w:rsidRPr="000F765B">
        <w:t>Saint Martin de Tours</w:t>
      </w:r>
      <w:r w:rsidRPr="000F765B">
        <w:rPr>
          <w:lang w:eastAsia="fr-FR" w:bidi="fr-FR"/>
        </w:rPr>
        <w:t>, de M. Babut.</w:t>
      </w:r>
    </w:p>
    <w:p w14:paraId="44752C05" w14:textId="77777777" w:rsidR="00B9662D" w:rsidRPr="007422C9" w:rsidRDefault="00B9662D" w:rsidP="00B9662D">
      <w:pPr>
        <w:spacing w:before="120" w:after="120"/>
        <w:jc w:val="both"/>
      </w:pPr>
      <w:r w:rsidRPr="000F765B">
        <w:rPr>
          <w:lang w:eastAsia="fr-FR" w:bidi="fr-FR"/>
        </w:rPr>
        <w:t>Au début de ce mémoire, le P. Delehaye exprime un très noble r</w:t>
      </w:r>
      <w:r w:rsidRPr="000F765B">
        <w:rPr>
          <w:lang w:eastAsia="fr-FR" w:bidi="fr-FR"/>
        </w:rPr>
        <w:t>e</w:t>
      </w:r>
      <w:r w:rsidRPr="000F765B">
        <w:rPr>
          <w:lang w:eastAsia="fr-FR" w:bidi="fr-FR"/>
        </w:rPr>
        <w:t>gret, celui de devoir combattre un adversaire qui ne pourra lui répo</w:t>
      </w:r>
      <w:r w:rsidRPr="000F765B">
        <w:rPr>
          <w:lang w:eastAsia="fr-FR" w:bidi="fr-FR"/>
        </w:rPr>
        <w:t>n</w:t>
      </w:r>
      <w:r w:rsidRPr="000F765B">
        <w:rPr>
          <w:lang w:eastAsia="fr-FR" w:bidi="fr-FR"/>
        </w:rPr>
        <w:t>dre. On sait qu’Ernest Babut est mort pour la France, le 28 février 1916. Qu’eût-il pensé, s’il eût pu les connaître, des objections qui lui sont aujourd’hui adressées ? D’une sincérité, et, si je puis dire, d’une candeur admirables, il eût certainement passé de nouveau au crible son propre travail ; il y eût sans doute reconnu quelques erreurs de détail ; mais, si je ne me trompe, il n’en eût pas modifié les résultats principaux. L’article du P. Delehaye est fait d’une multitude de m</w:t>
      </w:r>
      <w:r w:rsidRPr="000F765B">
        <w:rPr>
          <w:lang w:eastAsia="fr-FR" w:bidi="fr-FR"/>
        </w:rPr>
        <w:t>e</w:t>
      </w:r>
      <w:r w:rsidRPr="000F765B">
        <w:rPr>
          <w:lang w:eastAsia="fr-FR" w:bidi="fr-FR"/>
        </w:rPr>
        <w:t>nues remarques et de menues discussions.</w:t>
      </w:r>
      <w:r>
        <w:rPr>
          <w:lang w:eastAsia="fr-FR" w:bidi="fr-FR"/>
        </w:rPr>
        <w:t xml:space="preserve"> [940] </w:t>
      </w:r>
      <w:r w:rsidRPr="007422C9">
        <w:rPr>
          <w:lang w:eastAsia="fr-FR" w:bidi="fr-FR"/>
        </w:rPr>
        <w:t>On dirait une grêle de projectiles de petite artillerie. Il semble au premier abord que sous ce</w:t>
      </w:r>
      <w:r w:rsidRPr="007422C9">
        <w:rPr>
          <w:lang w:eastAsia="fr-FR" w:bidi="fr-FR"/>
        </w:rPr>
        <w:t>t</w:t>
      </w:r>
      <w:r w:rsidRPr="007422C9">
        <w:rPr>
          <w:lang w:eastAsia="fr-FR" w:bidi="fr-FR"/>
        </w:rPr>
        <w:t>te rafale, dont le ciel est comme obscurci, la thèse attaquée va s’écrouler. A y regarder de près, il n’en est rien. Les parties essentie</w:t>
      </w:r>
      <w:r w:rsidRPr="007422C9">
        <w:rPr>
          <w:lang w:eastAsia="fr-FR" w:bidi="fr-FR"/>
        </w:rPr>
        <w:t>l</w:t>
      </w:r>
      <w:r w:rsidRPr="007422C9">
        <w:rPr>
          <w:lang w:eastAsia="fr-FR" w:bidi="fr-FR"/>
        </w:rPr>
        <w:t>les subsistent ; elles n’ont même pas été touchées. Sans entrer ici dans le détail, sans m’astreindre à suivre le P. Delehaye dans tous les d</w:t>
      </w:r>
      <w:r w:rsidRPr="007422C9">
        <w:rPr>
          <w:lang w:eastAsia="fr-FR" w:bidi="fr-FR"/>
        </w:rPr>
        <w:t>é</w:t>
      </w:r>
      <w:r w:rsidRPr="007422C9">
        <w:rPr>
          <w:lang w:eastAsia="fr-FR" w:bidi="fr-FR"/>
        </w:rPr>
        <w:t>tours d’une critique souvent ingénieuse, je voudrais simplement ra</w:t>
      </w:r>
      <w:r w:rsidRPr="007422C9">
        <w:rPr>
          <w:lang w:eastAsia="fr-FR" w:bidi="fr-FR"/>
        </w:rPr>
        <w:t>p</w:t>
      </w:r>
      <w:r w:rsidRPr="007422C9">
        <w:rPr>
          <w:lang w:eastAsia="fr-FR" w:bidi="fr-FR"/>
        </w:rPr>
        <w:t>peler les grands faits que M. Babut avai</w:t>
      </w:r>
      <w:r>
        <w:rPr>
          <w:lang w:eastAsia="fr-FR" w:bidi="fr-FR"/>
        </w:rPr>
        <w:t>t</w:t>
      </w:r>
      <w:r w:rsidRPr="007422C9">
        <w:rPr>
          <w:lang w:eastAsia="fr-FR" w:bidi="fr-FR"/>
        </w:rPr>
        <w:t xml:space="preserve"> mis en lumi</w:t>
      </w:r>
      <w:r w:rsidRPr="007422C9">
        <w:rPr>
          <w:lang w:eastAsia="fr-FR" w:bidi="fr-FR"/>
        </w:rPr>
        <w:t>è</w:t>
      </w:r>
      <w:r w:rsidRPr="007422C9">
        <w:rPr>
          <w:lang w:eastAsia="fr-FR" w:bidi="fr-FR"/>
        </w:rPr>
        <w:t>re et montrer pourquoi, après ce vigoureux assaut, ils me semblent plus incontest</w:t>
      </w:r>
      <w:r w:rsidRPr="007422C9">
        <w:rPr>
          <w:lang w:eastAsia="fr-FR" w:bidi="fr-FR"/>
        </w:rPr>
        <w:t>a</w:t>
      </w:r>
      <w:r w:rsidRPr="007422C9">
        <w:rPr>
          <w:lang w:eastAsia="fr-FR" w:bidi="fr-FR"/>
        </w:rPr>
        <w:t>bles que jamais</w:t>
      </w:r>
      <w:r>
        <w:rPr>
          <w:lang w:eastAsia="fr-FR" w:bidi="fr-FR"/>
        </w:rPr>
        <w:t> </w:t>
      </w:r>
      <w:r>
        <w:rPr>
          <w:rStyle w:val="Appelnotedebasdep"/>
        </w:rPr>
        <w:footnoteReference w:id="1024"/>
      </w:r>
      <w:r w:rsidRPr="007422C9">
        <w:rPr>
          <w:lang w:eastAsia="fr-FR" w:bidi="fr-FR"/>
        </w:rPr>
        <w:t>.</w:t>
      </w:r>
    </w:p>
    <w:p w14:paraId="5E26967A" w14:textId="77777777" w:rsidR="00B9662D" w:rsidRDefault="00B9662D" w:rsidP="00B9662D">
      <w:pPr>
        <w:spacing w:before="120" w:after="120"/>
        <w:jc w:val="both"/>
        <w:rPr>
          <w:b/>
          <w:bCs/>
        </w:rPr>
      </w:pPr>
      <w:r>
        <w:rPr>
          <w:b/>
          <w:bCs/>
        </w:rPr>
        <w:br w:type="page"/>
      </w:r>
    </w:p>
    <w:p w14:paraId="0967BE49" w14:textId="77777777" w:rsidR="00B9662D" w:rsidRPr="005A74A7" w:rsidRDefault="00B9662D" w:rsidP="00B9662D">
      <w:pPr>
        <w:pStyle w:val="planche"/>
      </w:pPr>
      <w:bookmarkStart w:id="50" w:name="Melanges_t2_pt_9_chap_III_I"/>
      <w:r>
        <w:t>I. — </w:t>
      </w:r>
      <w:r w:rsidRPr="005A74A7">
        <w:t>Valeur du témoignage de Sulpice Sévère</w:t>
      </w:r>
    </w:p>
    <w:bookmarkEnd w:id="50"/>
    <w:p w14:paraId="6BFBA293" w14:textId="77777777" w:rsidR="00B9662D" w:rsidRDefault="00B9662D" w:rsidP="00B9662D">
      <w:pPr>
        <w:spacing w:before="120" w:after="120"/>
        <w:jc w:val="both"/>
        <w:rPr>
          <w:lang w:eastAsia="fr-FR" w:bidi="fr-FR"/>
        </w:rPr>
      </w:pPr>
    </w:p>
    <w:p w14:paraId="2F98DA1D"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15F455FE" w14:textId="77777777" w:rsidR="00B9662D" w:rsidRPr="007422C9" w:rsidRDefault="00B9662D" w:rsidP="00B9662D">
      <w:pPr>
        <w:spacing w:before="120" w:after="120"/>
        <w:jc w:val="both"/>
      </w:pPr>
      <w:r w:rsidRPr="007422C9">
        <w:rPr>
          <w:lang w:eastAsia="fr-FR" w:bidi="fr-FR"/>
        </w:rPr>
        <w:t>Nous ne connaissons saint Martin que par Sulpice Sévère. Ce lettré aquitain, étant, vers sa trentième année, tombé sous l’influence du mouvement ascétique, choisit pour héros l’évêque de Tours, bien plus âgé que lui, mais qu’il put encore connaître personnellement</w:t>
      </w:r>
      <w:r>
        <w:rPr>
          <w:lang w:eastAsia="fr-FR" w:bidi="fr-FR"/>
        </w:rPr>
        <w:t xml:space="preserve">. </w:t>
      </w:r>
      <w:r w:rsidRPr="007422C9">
        <w:rPr>
          <w:lang w:eastAsia="fr-FR" w:bidi="fr-FR"/>
        </w:rPr>
        <w:t>Passio</w:t>
      </w:r>
      <w:r w:rsidRPr="007422C9">
        <w:rPr>
          <w:lang w:eastAsia="fr-FR" w:bidi="fr-FR"/>
        </w:rPr>
        <w:t>n</w:t>
      </w:r>
      <w:r w:rsidRPr="007422C9">
        <w:rPr>
          <w:lang w:eastAsia="fr-FR" w:bidi="fr-FR"/>
        </w:rPr>
        <w:t>né pour la gloire du saint qu’il avait élu, il lui consacra plusieurs écrits. Il est notre témoin unique. Que vaut sa déposition ?</w:t>
      </w:r>
    </w:p>
    <w:p w14:paraId="5993A160" w14:textId="77777777" w:rsidR="00B9662D" w:rsidRPr="007422C9" w:rsidRDefault="00B9662D" w:rsidP="00B9662D">
      <w:pPr>
        <w:spacing w:before="120" w:after="120"/>
        <w:jc w:val="both"/>
      </w:pPr>
      <w:r w:rsidRPr="007422C9">
        <w:rPr>
          <w:lang w:eastAsia="fr-FR" w:bidi="fr-FR"/>
        </w:rPr>
        <w:t>Un mot d’abord sur sa chronologie. Nous savons par lui que saint Martin quitta l’armée, où il servait comme officier, pendant le séjour que Julien César fit à Worms, c’est-à-dire en 356 ; il aurait alors été âgé de vingt ans, disent certains manuscrits, de vingt-quatre ans selon quelques autres</w:t>
      </w:r>
      <w:r>
        <w:rPr>
          <w:lang w:eastAsia="fr-FR" w:bidi="fr-FR"/>
        </w:rPr>
        <w:t> </w:t>
      </w:r>
      <w:r>
        <w:rPr>
          <w:rStyle w:val="Appelnotedebasdep"/>
        </w:rPr>
        <w:footnoteReference w:id="1025"/>
      </w:r>
      <w:r w:rsidRPr="007422C9">
        <w:rPr>
          <w:lang w:eastAsia="fr-FR" w:bidi="fr-FR"/>
        </w:rPr>
        <w:t>. Ailleurs Sulpice nous montre en 386 (au plus tard) un saint Martin septuagénaire</w:t>
      </w:r>
      <w:r>
        <w:rPr>
          <w:lang w:eastAsia="fr-FR" w:bidi="fr-FR"/>
        </w:rPr>
        <w:t> </w:t>
      </w:r>
      <w:r>
        <w:rPr>
          <w:rStyle w:val="Appelnotedebasdep"/>
        </w:rPr>
        <w:footnoteReference w:id="1026"/>
      </w:r>
      <w:r w:rsidRPr="007422C9">
        <w:rPr>
          <w:lang w:eastAsia="fr-FR" w:bidi="fr-FR"/>
        </w:rPr>
        <w:t xml:space="preserve">. D’après ces données, cherchons à calculer l’année où naquit le saint ; nous trouvons d’un côté 336 (ou 332), de l’autre 316. M. Babut ne s’était pas contenté de relever cette curieuse contradiction ; il avait cherché à l’expliquer. Pour un prêtre, pour un évêque surtout, avoir été soldat constituait une sorte de tare ; Sulpice Sévère s’est visiblement efforcé d’atténuer l’importance des services militaires de Martin : </w:t>
      </w:r>
      <w:r w:rsidRPr="009D3FFB">
        <w:rPr>
          <w:bCs/>
          <w:i/>
        </w:rPr>
        <w:t>solo lied nomine militavit,</w:t>
      </w:r>
      <w:r w:rsidRPr="007422C9">
        <w:rPr>
          <w:lang w:eastAsia="fr-FR" w:bidi="fr-FR"/>
        </w:rPr>
        <w:t xml:space="preserve"> dit-il</w:t>
      </w:r>
      <w:r>
        <w:rPr>
          <w:lang w:eastAsia="fr-FR" w:bidi="fr-FR"/>
        </w:rPr>
        <w:t> </w:t>
      </w:r>
      <w:r>
        <w:rPr>
          <w:rStyle w:val="Appelnotedebasdep"/>
        </w:rPr>
        <w:footnoteReference w:id="1027"/>
      </w:r>
      <w:r w:rsidRPr="007422C9">
        <w:rPr>
          <w:lang w:eastAsia="fr-FR" w:bidi="fr-FR"/>
        </w:rPr>
        <w:t>. Il aura également voulu en diminuer la durée : saint Martin, né vers 316, officier jusqu’en 356, n’avait rompu avec cette profession décriée qu’à quarante ans, ou plus. C’était bien tard. Sulpice préféra imaginer qu’il s’était libéré à vingt ans (ou vingt-quatre). Comment le lecteur se fût-il aperçu de cet accroc à la vérité ? on lui fournissait si peu de données chronologiques. Pourtant Sulpice laissa subsister quelques précisions de trop ; grâce à elles, nous le pre</w:t>
      </w:r>
      <w:r w:rsidRPr="007422C9">
        <w:rPr>
          <w:lang w:eastAsia="fr-FR" w:bidi="fr-FR"/>
        </w:rPr>
        <w:lastRenderedPageBreak/>
        <w:t>nons</w:t>
      </w:r>
      <w:r>
        <w:rPr>
          <w:lang w:eastAsia="fr-FR" w:bidi="fr-FR"/>
        </w:rPr>
        <w:t> — </w:t>
      </w:r>
      <w:r w:rsidRPr="007422C9">
        <w:rPr>
          <w:lang w:eastAsia="fr-FR" w:bidi="fr-FR"/>
        </w:rPr>
        <w:t>pour dire les ch</w:t>
      </w:r>
      <w:r w:rsidRPr="007422C9">
        <w:rPr>
          <w:lang w:eastAsia="fr-FR" w:bidi="fr-FR"/>
        </w:rPr>
        <w:t>o</w:t>
      </w:r>
      <w:r w:rsidRPr="007422C9">
        <w:rPr>
          <w:lang w:eastAsia="fr-FR" w:bidi="fr-FR"/>
        </w:rPr>
        <w:t>ses crûment</w:t>
      </w:r>
      <w:r>
        <w:rPr>
          <w:lang w:eastAsia="fr-FR" w:bidi="fr-FR"/>
        </w:rPr>
        <w:t> — </w:t>
      </w:r>
      <w:r w:rsidRPr="007422C9">
        <w:rPr>
          <w:lang w:eastAsia="fr-FR" w:bidi="fr-FR"/>
        </w:rPr>
        <w:t>en flagrant délit de mensonge. Telle était l’hypothèse proposée</w:t>
      </w:r>
      <w:r>
        <w:t xml:space="preserve"> [941] </w:t>
      </w:r>
      <w:r w:rsidRPr="007422C9">
        <w:rPr>
          <w:lang w:eastAsia="fr-FR" w:bidi="fr-FR"/>
        </w:rPr>
        <w:t>par M. Babut. Le P. Delehaye ne l’accepte pas. Mais, ne pouvant concilier entre eux des renseignements inconciliables, il est contraint de supprimer un des termes du problème. Sulpice Sévère, dit-il, s’est trompé. Ce n’est ni sous Julien César ni à Worms, que saint Martin donna sa démission. Étonnante erreur : à moins de supp</w:t>
      </w:r>
      <w:r w:rsidRPr="007422C9">
        <w:rPr>
          <w:lang w:eastAsia="fr-FR" w:bidi="fr-FR"/>
        </w:rPr>
        <w:t>o</w:t>
      </w:r>
      <w:r w:rsidRPr="007422C9">
        <w:rPr>
          <w:lang w:eastAsia="fr-FR" w:bidi="fr-FR"/>
        </w:rPr>
        <w:t>ser que Su</w:t>
      </w:r>
      <w:r w:rsidRPr="007422C9">
        <w:rPr>
          <w:lang w:eastAsia="fr-FR" w:bidi="fr-FR"/>
        </w:rPr>
        <w:t>l</w:t>
      </w:r>
      <w:r w:rsidRPr="007422C9">
        <w:rPr>
          <w:lang w:eastAsia="fr-FR" w:bidi="fr-FR"/>
        </w:rPr>
        <w:t>pice Sévère ait inventé de toutes pièces ces détails (et l’on conçoit mal les raisons qui l’auraient poussé à orner ainsi son récit de mensonges inutiles), il faut bien admettre que sa source, sur ce point, ce furent les souvenirs de Martin lui-même ; quelles défaillances de mémoire faudra-t-il donc prêter au vieil évêque ! En vérité pour sa</w:t>
      </w:r>
      <w:r w:rsidRPr="007422C9">
        <w:rPr>
          <w:lang w:eastAsia="fr-FR" w:bidi="fr-FR"/>
        </w:rPr>
        <w:t>u</w:t>
      </w:r>
      <w:r w:rsidRPr="007422C9">
        <w:rPr>
          <w:lang w:eastAsia="fr-FR" w:bidi="fr-FR"/>
        </w:rPr>
        <w:t>ver l’honneur de l’hagiographe, le P. Delehaye est conduit à lui attr</w:t>
      </w:r>
      <w:r w:rsidRPr="007422C9">
        <w:rPr>
          <w:lang w:eastAsia="fr-FR" w:bidi="fr-FR"/>
        </w:rPr>
        <w:t>i</w:t>
      </w:r>
      <w:r w:rsidRPr="007422C9">
        <w:rPr>
          <w:lang w:eastAsia="fr-FR" w:bidi="fr-FR"/>
        </w:rPr>
        <w:t>buer</w:t>
      </w:r>
      <w:r>
        <w:rPr>
          <w:lang w:eastAsia="fr-FR" w:bidi="fr-FR"/>
        </w:rPr>
        <w:t> — </w:t>
      </w:r>
      <w:r w:rsidRPr="007422C9">
        <w:rPr>
          <w:lang w:eastAsia="fr-FR" w:bidi="fr-FR"/>
        </w:rPr>
        <w:t>ou pis encore, à attribuer au saint lui-même</w:t>
      </w:r>
      <w:r>
        <w:rPr>
          <w:lang w:eastAsia="fr-FR" w:bidi="fr-FR"/>
        </w:rPr>
        <w:t> — </w:t>
      </w:r>
      <w:r w:rsidRPr="007422C9">
        <w:rPr>
          <w:lang w:eastAsia="fr-FR" w:bidi="fr-FR"/>
        </w:rPr>
        <w:t>les plus sing</w:t>
      </w:r>
      <w:r w:rsidRPr="007422C9">
        <w:rPr>
          <w:lang w:eastAsia="fr-FR" w:bidi="fr-FR"/>
        </w:rPr>
        <w:t>u</w:t>
      </w:r>
      <w:r w:rsidRPr="007422C9">
        <w:rPr>
          <w:lang w:eastAsia="fr-FR" w:bidi="fr-FR"/>
        </w:rPr>
        <w:t>lières inadve</w:t>
      </w:r>
      <w:r w:rsidRPr="007422C9">
        <w:rPr>
          <w:lang w:eastAsia="fr-FR" w:bidi="fr-FR"/>
        </w:rPr>
        <w:t>r</w:t>
      </w:r>
      <w:r w:rsidRPr="007422C9">
        <w:rPr>
          <w:lang w:eastAsia="fr-FR" w:bidi="fr-FR"/>
        </w:rPr>
        <w:t>tances</w:t>
      </w:r>
      <w:r>
        <w:rPr>
          <w:lang w:eastAsia="fr-FR" w:bidi="fr-FR"/>
        </w:rPr>
        <w:t> </w:t>
      </w:r>
      <w:r>
        <w:rPr>
          <w:rStyle w:val="Appelnotedebasdep"/>
        </w:rPr>
        <w:footnoteReference w:id="1028"/>
      </w:r>
      <w:r w:rsidRPr="007422C9">
        <w:rPr>
          <w:lang w:eastAsia="fr-FR" w:bidi="fr-FR"/>
        </w:rPr>
        <w:t>.</w:t>
      </w:r>
    </w:p>
    <w:p w14:paraId="0FA2D13F" w14:textId="77777777" w:rsidR="00B9662D" w:rsidRPr="007422C9" w:rsidRDefault="00B9662D" w:rsidP="00B9662D">
      <w:pPr>
        <w:spacing w:before="120" w:after="120"/>
        <w:jc w:val="both"/>
      </w:pPr>
      <w:r w:rsidRPr="007422C9">
        <w:rPr>
          <w:lang w:eastAsia="fr-FR" w:bidi="fr-FR"/>
        </w:rPr>
        <w:t>Sulpice Sévère raconte</w:t>
      </w:r>
      <w:r>
        <w:rPr>
          <w:lang w:eastAsia="fr-FR" w:bidi="fr-FR"/>
        </w:rPr>
        <w:t> — </w:t>
      </w:r>
      <w:r w:rsidRPr="007422C9">
        <w:rPr>
          <w:lang w:eastAsia="fr-FR" w:bidi="fr-FR"/>
        </w:rPr>
        <w:t xml:space="preserve">dans la </w:t>
      </w:r>
      <w:r w:rsidRPr="009D3FFB">
        <w:rPr>
          <w:bCs/>
          <w:i/>
        </w:rPr>
        <w:t>Vita beati Martini</w:t>
      </w:r>
      <w:r>
        <w:rPr>
          <w:bCs/>
        </w:rPr>
        <w:t> </w:t>
      </w:r>
      <w:r>
        <w:rPr>
          <w:rStyle w:val="Appelnotedebasdep"/>
          <w:bCs/>
        </w:rPr>
        <w:footnoteReference w:id="1029"/>
      </w:r>
      <w:r>
        <w:rPr>
          <w:lang w:eastAsia="fr-FR" w:bidi="fr-FR"/>
        </w:rPr>
        <w:t> — </w:t>
      </w:r>
      <w:r w:rsidRPr="007422C9">
        <w:rPr>
          <w:lang w:eastAsia="fr-FR" w:bidi="fr-FR"/>
        </w:rPr>
        <w:t>que, quelque temps après avoir quitté le service, Martin fit un voyage en Pannonie, son pays natal, et que, là il fut battu de verges par les Ariens, alors au pouvoir. Cet épisode a inquiété M. Babut, et, après lui, le P. Delehaye ; car, dit fort bien ce dernier, « il est étrange que dans la lettre à Aurelius » (c’est un autre écrit relatif également à notre saint), « où Sulpice Sévère développe cette pensée, que Martin, sans avoir pu donner sa vie pour la foi, n’est pas inférieur aux martyrs, il n’ait pas évoqué ce souvenir »</w:t>
      </w:r>
      <w:r>
        <w:rPr>
          <w:lang w:eastAsia="fr-FR" w:bidi="fr-FR"/>
        </w:rPr>
        <w:t> </w:t>
      </w:r>
      <w:r>
        <w:rPr>
          <w:rStyle w:val="Appelnotedebasdep"/>
        </w:rPr>
        <w:footnoteReference w:id="1030"/>
      </w:r>
      <w:r w:rsidRPr="007422C9">
        <w:rPr>
          <w:lang w:eastAsia="fr-FR" w:bidi="fr-FR"/>
        </w:rPr>
        <w:t>. Oubli involontaire, pense le P. Del</w:t>
      </w:r>
      <w:r w:rsidRPr="007422C9">
        <w:rPr>
          <w:lang w:eastAsia="fr-FR" w:bidi="fr-FR"/>
        </w:rPr>
        <w:t>e</w:t>
      </w:r>
      <w:r w:rsidRPr="007422C9">
        <w:rPr>
          <w:lang w:eastAsia="fr-FR" w:bidi="fr-FR"/>
        </w:rPr>
        <w:t>haye, qui prend texte de ce nouveau défaut de mémoire pour nous i</w:t>
      </w:r>
      <w:r w:rsidRPr="007422C9">
        <w:rPr>
          <w:lang w:eastAsia="fr-FR" w:bidi="fr-FR"/>
        </w:rPr>
        <w:t>n</w:t>
      </w:r>
      <w:r w:rsidRPr="007422C9">
        <w:rPr>
          <w:lang w:eastAsia="fr-FR" w:bidi="fr-FR"/>
        </w:rPr>
        <w:t>viter à avouer que Sulpice met dans ses récits « plus de simplicité qu’on ne veut bien le dire »</w:t>
      </w:r>
      <w:r>
        <w:rPr>
          <w:lang w:eastAsia="fr-FR" w:bidi="fr-FR"/>
        </w:rPr>
        <w:t> </w:t>
      </w:r>
      <w:r>
        <w:rPr>
          <w:rStyle w:val="Appelnotedebasdep"/>
        </w:rPr>
        <w:footnoteReference w:id="1031"/>
      </w:r>
      <w:r w:rsidRPr="007422C9">
        <w:rPr>
          <w:lang w:eastAsia="fr-FR" w:bidi="fr-FR"/>
        </w:rPr>
        <w:t>.</w:t>
      </w:r>
    </w:p>
    <w:p w14:paraId="74420A8B" w14:textId="77777777" w:rsidR="00B9662D" w:rsidRPr="007422C9" w:rsidRDefault="00B9662D" w:rsidP="00B9662D">
      <w:pPr>
        <w:spacing w:before="120" w:after="120"/>
        <w:jc w:val="both"/>
      </w:pPr>
      <w:r w:rsidRPr="007422C9">
        <w:rPr>
          <w:lang w:eastAsia="fr-FR" w:bidi="fr-FR"/>
        </w:rPr>
        <w:t>Cette explication paraîtra sans doute insuffisante. On croira devoir formuler, avec M. Babut, une remarque complémentaire « Il ne faut pas », a observé M. Babut, « prendre le supplice de saint Martin plus au sérieux que n’a fait son hagiographe lui-même »</w:t>
      </w:r>
      <w:r>
        <w:rPr>
          <w:lang w:eastAsia="fr-FR" w:bidi="fr-FR"/>
        </w:rPr>
        <w:t> </w:t>
      </w:r>
      <w:r>
        <w:rPr>
          <w:rStyle w:val="Appelnotedebasdep"/>
        </w:rPr>
        <w:footnoteReference w:id="1032"/>
      </w:r>
      <w:r w:rsidRPr="007422C9">
        <w:rPr>
          <w:lang w:eastAsia="fr-FR" w:bidi="fr-FR"/>
        </w:rPr>
        <w:t xml:space="preserve">. Sulpice Sévère avait vraisemblablement les meilleures raisons du monde pour ne </w:t>
      </w:r>
      <w:r w:rsidRPr="007422C9">
        <w:rPr>
          <w:lang w:eastAsia="fr-FR" w:bidi="fr-FR"/>
        </w:rPr>
        <w:lastRenderedPageBreak/>
        <w:t>pas attacher beaucoup d’importance à l’aventure de la fustigation. Dirons-nous qu’il l’avait inventée ? Le mot serait sans doute trop gros. Un saint n’est vraiment parfait que s’il a si peu que ce soit souffert pour la foi. Sulpice considérait son héros comme la perfection même ; co</w:t>
      </w:r>
      <w:r w:rsidRPr="007422C9">
        <w:rPr>
          <w:lang w:eastAsia="fr-FR" w:bidi="fr-FR"/>
        </w:rPr>
        <w:t>m</w:t>
      </w:r>
      <w:r w:rsidRPr="007422C9">
        <w:rPr>
          <w:lang w:eastAsia="fr-FR" w:bidi="fr-FR"/>
        </w:rPr>
        <w:t>ment se serait-il abstenu d’ajouter à ce qu’il savait de sa vie un trait édifiant, presque classique, et si vraisemblable à ses yeux, que l’imaginer, somme toute, ce n’était point mentir</w:t>
      </w:r>
      <w:r>
        <w:rPr>
          <w:lang w:eastAsia="fr-FR" w:bidi="fr-FR"/>
        </w:rPr>
        <w:t> </w:t>
      </w:r>
      <w:r>
        <w:rPr>
          <w:rStyle w:val="Appelnotedebasdep"/>
        </w:rPr>
        <w:footnoteReference w:id="1033"/>
      </w:r>
      <w:r w:rsidRPr="007422C9">
        <w:rPr>
          <w:lang w:eastAsia="fr-FR" w:bidi="fr-FR"/>
        </w:rPr>
        <w:t> ?</w:t>
      </w:r>
    </w:p>
    <w:p w14:paraId="249B5A3A" w14:textId="77777777" w:rsidR="00B9662D" w:rsidRPr="007422C9" w:rsidRDefault="00B9662D" w:rsidP="00B9662D">
      <w:pPr>
        <w:spacing w:before="120" w:after="120"/>
        <w:jc w:val="both"/>
      </w:pPr>
      <w:r w:rsidRPr="007422C9">
        <w:rPr>
          <w:lang w:eastAsia="fr-FR" w:bidi="fr-FR"/>
        </w:rPr>
        <w:t xml:space="preserve">Ainsi Sulpice Sévère paraît un témoin suspect. </w:t>
      </w:r>
      <w:r>
        <w:rPr>
          <w:lang w:eastAsia="fr-FR" w:bidi="fr-FR"/>
        </w:rPr>
        <w:t>À</w:t>
      </w:r>
      <w:r w:rsidRPr="007422C9">
        <w:rPr>
          <w:lang w:eastAsia="fr-FR" w:bidi="fr-FR"/>
        </w:rPr>
        <w:t xml:space="preserve"> dire la vérité, au moins dans ceux de ses ouvrages qui sont consacrés à saint Martin, il n’écrivait pas en historien, mais en hagiographe. Les Bollandistes nous ont appris à ne pas confondre les deux termes.</w:t>
      </w:r>
    </w:p>
    <w:p w14:paraId="76E133EA" w14:textId="77777777" w:rsidR="00B9662D" w:rsidRPr="007422C9" w:rsidRDefault="00B9662D" w:rsidP="00B9662D">
      <w:pPr>
        <w:spacing w:before="120" w:after="120"/>
        <w:jc w:val="both"/>
      </w:pPr>
      <w:r w:rsidRPr="007422C9">
        <w:rPr>
          <w:lang w:eastAsia="fr-FR" w:bidi="fr-FR"/>
        </w:rPr>
        <w:t>Les auteurs de vies de saints ne tirent généralement pas de leur propre</w:t>
      </w:r>
      <w:r>
        <w:t xml:space="preserve"> [942] </w:t>
      </w:r>
      <w:r w:rsidRPr="007422C9">
        <w:rPr>
          <w:lang w:eastAsia="fr-FR" w:bidi="fr-FR"/>
        </w:rPr>
        <w:t>fond tous les ornements dont, le plus souvent, ils croient bon d’embellir leurs récits ; leur imagination, même lorsqu’elle est riche, se meut d’ordinaire dans des sentiers battus ; ils s’inspirent de mod</w:t>
      </w:r>
      <w:r w:rsidRPr="007422C9">
        <w:rPr>
          <w:lang w:eastAsia="fr-FR" w:bidi="fr-FR"/>
        </w:rPr>
        <w:t>è</w:t>
      </w:r>
      <w:r w:rsidRPr="007422C9">
        <w:rPr>
          <w:lang w:eastAsia="fr-FR" w:bidi="fr-FR"/>
        </w:rPr>
        <w:t>les littéraires. Sulpice Sévère, que, par la suite, tant d’écrivains eccl</w:t>
      </w:r>
      <w:r w:rsidRPr="007422C9">
        <w:rPr>
          <w:lang w:eastAsia="fr-FR" w:bidi="fr-FR"/>
        </w:rPr>
        <w:t>é</w:t>
      </w:r>
      <w:r w:rsidRPr="007422C9">
        <w:rPr>
          <w:lang w:eastAsia="fr-FR" w:bidi="fr-FR"/>
        </w:rPr>
        <w:t>siastiques ont pillé, a-t-il été lui aussi, dans une certaine mesure, un reflet ? Oui, répond M. Babut. Ses modèles, ce furent ces vies de moines égyptiens qui commençaient dès lors à courir le monde occ</w:t>
      </w:r>
      <w:r w:rsidRPr="007422C9">
        <w:rPr>
          <w:lang w:eastAsia="fr-FR" w:bidi="fr-FR"/>
        </w:rPr>
        <w:t>i</w:t>
      </w:r>
      <w:r w:rsidRPr="007422C9">
        <w:rPr>
          <w:lang w:eastAsia="fr-FR" w:bidi="fr-FR"/>
        </w:rPr>
        <w:t>dental, et en particulier la plus célèbre d’entre elles, la vie d’Antoine, par Athanase. M. Babut a cru à des plagiats formels. Le P. Delehaye les nie. Sur ce point, je serais, pour ma part, disposé à lui donner ra</w:t>
      </w:r>
      <w:r w:rsidRPr="007422C9">
        <w:rPr>
          <w:lang w:eastAsia="fr-FR" w:bidi="fr-FR"/>
        </w:rPr>
        <w:t>i</w:t>
      </w:r>
      <w:r w:rsidRPr="007422C9">
        <w:rPr>
          <w:lang w:eastAsia="fr-FR" w:bidi="fr-FR"/>
        </w:rPr>
        <w:t>son. Mettre face à face, sur deux colonnes, deux textes d’écrivains diff</w:t>
      </w:r>
      <w:r w:rsidRPr="007422C9">
        <w:rPr>
          <w:lang w:eastAsia="fr-FR" w:bidi="fr-FR"/>
        </w:rPr>
        <w:t>é</w:t>
      </w:r>
      <w:r w:rsidRPr="007422C9">
        <w:rPr>
          <w:lang w:eastAsia="fr-FR" w:bidi="fr-FR"/>
        </w:rPr>
        <w:t>rents, et les comparer phrase par phrase, c’est un jeu amusant, souvent instructif, mais toujours dangereux : il est si facile de prendre pour des imitations les ressemblances les plus fortuites ! M. Babut n’a pas été sans succomber quelquefois à la tentation. On peut donc a</w:t>
      </w:r>
      <w:r w:rsidRPr="007422C9">
        <w:rPr>
          <w:lang w:eastAsia="fr-FR" w:bidi="fr-FR"/>
        </w:rPr>
        <w:t>d</w:t>
      </w:r>
      <w:r w:rsidRPr="007422C9">
        <w:rPr>
          <w:lang w:eastAsia="fr-FR" w:bidi="fr-FR"/>
        </w:rPr>
        <w:t>mettre, avec le P. Delehaye, que Sulpice Sévère n’a pas précisément copié Athanase. Mais, s’inspirer de certains auteurs, ce n’est pas fo</w:t>
      </w:r>
      <w:r w:rsidRPr="007422C9">
        <w:rPr>
          <w:lang w:eastAsia="fr-FR" w:bidi="fr-FR"/>
        </w:rPr>
        <w:t>r</w:t>
      </w:r>
      <w:r w:rsidRPr="007422C9">
        <w:rPr>
          <w:lang w:eastAsia="fr-FR" w:bidi="fr-FR"/>
        </w:rPr>
        <w:t xml:space="preserve">cément en suivre pas à pas les développements ; c’est aussi se pénétrer de leur esprit et s’accorder à leur ton. Les écrits de Sulpice Sévère sur saint Martin sont tout pleins de contes miraculeux. Il y en avait trop, </w:t>
      </w:r>
      <w:r w:rsidRPr="007422C9">
        <w:rPr>
          <w:lang w:eastAsia="fr-FR" w:bidi="fr-FR"/>
        </w:rPr>
        <w:lastRenderedPageBreak/>
        <w:t>pe</w:t>
      </w:r>
      <w:r w:rsidRPr="007422C9">
        <w:rPr>
          <w:lang w:eastAsia="fr-FR" w:bidi="fr-FR"/>
        </w:rPr>
        <w:t>n</w:t>
      </w:r>
      <w:r w:rsidRPr="007422C9">
        <w:rPr>
          <w:lang w:eastAsia="fr-FR" w:bidi="fr-FR"/>
        </w:rPr>
        <w:t>saient, paraît-il, les moines de Marmoutier ; le P. Delehaye est du même avis ; heureux peut-être de s’abriter derrière l’autorité des di</w:t>
      </w:r>
      <w:r w:rsidRPr="007422C9">
        <w:rPr>
          <w:lang w:eastAsia="fr-FR" w:bidi="fr-FR"/>
        </w:rPr>
        <w:t>s</w:t>
      </w:r>
      <w:r w:rsidRPr="007422C9">
        <w:rPr>
          <w:lang w:eastAsia="fr-FR" w:bidi="fr-FR"/>
        </w:rPr>
        <w:t>ciples mêmes du saint, il n’hésite pas à reprocher à Sulpice « une cr</w:t>
      </w:r>
      <w:r w:rsidRPr="007422C9">
        <w:rPr>
          <w:lang w:eastAsia="fr-FR" w:bidi="fr-FR"/>
        </w:rPr>
        <w:t>é</w:t>
      </w:r>
      <w:r w:rsidRPr="007422C9">
        <w:rPr>
          <w:lang w:eastAsia="fr-FR" w:bidi="fr-FR"/>
        </w:rPr>
        <w:t>dulité excessive en matière d’interventions surnaturelles »</w:t>
      </w:r>
      <w:r>
        <w:rPr>
          <w:lang w:eastAsia="fr-FR" w:bidi="fr-FR"/>
        </w:rPr>
        <w:t> </w:t>
      </w:r>
      <w:r>
        <w:rPr>
          <w:rStyle w:val="Appelnotedebasdep"/>
        </w:rPr>
        <w:footnoteReference w:id="1034"/>
      </w:r>
      <w:r w:rsidRPr="007422C9">
        <w:rPr>
          <w:lang w:eastAsia="fr-FR" w:bidi="fr-FR"/>
        </w:rPr>
        <w:t xml:space="preserve"> Crédulité, imagination, la distinction est délicate à faire. Ces historiettes n’ont pas dû nuire au succès du livre qu’elles ornaient. Elles pouvaient se</w:t>
      </w:r>
      <w:r w:rsidRPr="007422C9">
        <w:rPr>
          <w:lang w:eastAsia="fr-FR" w:bidi="fr-FR"/>
        </w:rPr>
        <w:t>m</w:t>
      </w:r>
      <w:r w:rsidRPr="007422C9">
        <w:rPr>
          <w:lang w:eastAsia="fr-FR" w:bidi="fr-FR"/>
        </w:rPr>
        <w:t>bler presque neuves en Occident. Mais, dans l’autre partie du monde romain, des anecdotes semblables faisaient déjà, depuis une ou deux générations, le charme des récits relatifs aux ermites des solitudes égyptiennes. Comment ne pas voir dans tout le merveilleux dont se pare Sulpice Sévère un éclat emprunté à cette littérature orientale</w:t>
      </w:r>
      <w:r>
        <w:rPr>
          <w:lang w:eastAsia="fr-FR" w:bidi="fr-FR"/>
        </w:rPr>
        <w:t> </w:t>
      </w:r>
      <w:r>
        <w:rPr>
          <w:rStyle w:val="Appelnotedebasdep"/>
        </w:rPr>
        <w:footnoteReference w:id="1035"/>
      </w:r>
      <w:r w:rsidRPr="007422C9">
        <w:rPr>
          <w:lang w:eastAsia="fr-FR" w:bidi="fr-FR"/>
        </w:rPr>
        <w:t> ?</w:t>
      </w:r>
    </w:p>
    <w:p w14:paraId="389197D6" w14:textId="77777777" w:rsidR="00B9662D" w:rsidRDefault="00B9662D" w:rsidP="00B9662D">
      <w:pPr>
        <w:spacing w:before="120" w:after="120"/>
        <w:jc w:val="both"/>
        <w:rPr>
          <w:lang w:eastAsia="fr-FR" w:bidi="fr-FR"/>
        </w:rPr>
      </w:pPr>
      <w:r w:rsidRPr="007422C9">
        <w:rPr>
          <w:lang w:eastAsia="fr-FR" w:bidi="fr-FR"/>
        </w:rPr>
        <w:t>Le goût des « interventions surnaturelles » n’est pas le seul trait qui donne aux ouvrages de Sulpice Sévère une saveur originale. Ils n’émanent point d’une âme sereine. Une partie notable du clergé ga</w:t>
      </w:r>
      <w:r w:rsidRPr="007422C9">
        <w:rPr>
          <w:lang w:eastAsia="fr-FR" w:bidi="fr-FR"/>
        </w:rPr>
        <w:t>u</w:t>
      </w:r>
      <w:r w:rsidRPr="007422C9">
        <w:rPr>
          <w:lang w:eastAsia="fr-FR" w:bidi="fr-FR"/>
        </w:rPr>
        <w:t>lois et plus particulièrement l’épiscopat presque tout entier y sont tra</w:t>
      </w:r>
      <w:r w:rsidRPr="007422C9">
        <w:rPr>
          <w:lang w:eastAsia="fr-FR" w:bidi="fr-FR"/>
        </w:rPr>
        <w:t>i</w:t>
      </w:r>
      <w:r w:rsidRPr="007422C9">
        <w:rPr>
          <w:lang w:eastAsia="fr-FR" w:bidi="fr-FR"/>
        </w:rPr>
        <w:t>tés sans aménité. Les ennemis de Sulpice, ce sont ceux-là mêmes qu’avait autrefois rencontrés son héros. C’est pourquoi les textes pri</w:t>
      </w:r>
      <w:r w:rsidRPr="007422C9">
        <w:rPr>
          <w:lang w:eastAsia="fr-FR" w:bidi="fr-FR"/>
        </w:rPr>
        <w:t>n</w:t>
      </w:r>
      <w:r w:rsidRPr="007422C9">
        <w:rPr>
          <w:lang w:eastAsia="fr-FR" w:bidi="fr-FR"/>
        </w:rPr>
        <w:t>cipaux où s’expriment ses antipathies trouveront plus loin leur place à propos de la vie de saint Martin.</w:t>
      </w:r>
    </w:p>
    <w:p w14:paraId="447AC1F0" w14:textId="77777777" w:rsidR="00B9662D" w:rsidRPr="007422C9" w:rsidRDefault="00B9662D" w:rsidP="00B9662D">
      <w:pPr>
        <w:spacing w:before="120" w:after="120"/>
        <w:jc w:val="both"/>
      </w:pPr>
    </w:p>
    <w:p w14:paraId="346EDBD2" w14:textId="77777777" w:rsidR="00B9662D" w:rsidRPr="009D3FFB" w:rsidRDefault="00B9662D" w:rsidP="00B9662D">
      <w:pPr>
        <w:pStyle w:val="planche"/>
      </w:pPr>
      <w:bookmarkStart w:id="51" w:name="Melanges_t2_pt_9_chap_III_II"/>
      <w:r>
        <w:t>II. — </w:t>
      </w:r>
      <w:r w:rsidRPr="009D3FFB">
        <w:t>Saint Martin évêque et missionnaire</w:t>
      </w:r>
    </w:p>
    <w:bookmarkEnd w:id="51"/>
    <w:p w14:paraId="1BF3D3A5" w14:textId="77777777" w:rsidR="00B9662D" w:rsidRDefault="00B9662D" w:rsidP="00B9662D">
      <w:pPr>
        <w:spacing w:before="120" w:after="120"/>
        <w:jc w:val="both"/>
        <w:rPr>
          <w:lang w:eastAsia="fr-FR" w:bidi="fr-FR"/>
        </w:rPr>
      </w:pPr>
    </w:p>
    <w:p w14:paraId="740B17F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8A23876" w14:textId="77777777" w:rsidR="00B9662D" w:rsidRPr="007422C9" w:rsidRDefault="00B9662D" w:rsidP="00B9662D">
      <w:pPr>
        <w:spacing w:before="120" w:after="120"/>
        <w:jc w:val="both"/>
      </w:pPr>
      <w:r w:rsidRPr="007422C9">
        <w:rPr>
          <w:lang w:eastAsia="fr-FR" w:bidi="fr-FR"/>
        </w:rPr>
        <w:t>Quelle fut la carrière épiscopale de saint Martin ? M. Babut en avait dressé un tableau bien curieux, d’un ton toujours discret et p</w:t>
      </w:r>
      <w:r w:rsidRPr="007422C9">
        <w:rPr>
          <w:lang w:eastAsia="fr-FR" w:bidi="fr-FR"/>
        </w:rPr>
        <w:t>u</w:t>
      </w:r>
      <w:r w:rsidRPr="007422C9">
        <w:rPr>
          <w:lang w:eastAsia="fr-FR" w:bidi="fr-FR"/>
        </w:rPr>
        <w:t>rement scientifique, et pourtant si nourri, si vivant, si amusant, oserai-je dire, qu’aucun de ses lecteurs sans doute ne l’aura oublié : il nous montrait</w:t>
      </w:r>
      <w:r>
        <w:t xml:space="preserve"> [</w:t>
      </w:r>
      <w:r w:rsidRPr="007422C9">
        <w:rPr>
          <w:lang w:eastAsia="fr-FR" w:bidi="fr-FR"/>
        </w:rPr>
        <w:t>943</w:t>
      </w:r>
      <w:r>
        <w:rPr>
          <w:lang w:eastAsia="fr-FR" w:bidi="fr-FR"/>
        </w:rPr>
        <w:t xml:space="preserve">] </w:t>
      </w:r>
      <w:r w:rsidRPr="007422C9">
        <w:rPr>
          <w:lang w:eastAsia="fr-FR" w:bidi="fr-FR"/>
        </w:rPr>
        <w:t xml:space="preserve">le saint fort peu apprécié par la plupart des évêques ses confrères, combattu dans sa cité même par une importante fraction de son propre clergé, ascète égaré, pour son malheur, dans l’administration d’un diocèse. Contre un pareil tableau, le P. Delehaye s’inscrit en faux ; mais il ne le réfute pas ; il l’édulcore. Négligeons </w:t>
      </w:r>
      <w:r w:rsidRPr="007422C9">
        <w:rPr>
          <w:lang w:eastAsia="fr-FR" w:bidi="fr-FR"/>
        </w:rPr>
        <w:lastRenderedPageBreak/>
        <w:t>les broutilles ; et rappelons brièvement les textes essentiels et les faits principaux.</w:t>
      </w:r>
    </w:p>
    <w:p w14:paraId="325D04D3" w14:textId="77777777" w:rsidR="00B9662D" w:rsidRPr="007422C9" w:rsidRDefault="00B9662D" w:rsidP="00B9662D">
      <w:pPr>
        <w:spacing w:before="120" w:after="120"/>
        <w:jc w:val="both"/>
      </w:pPr>
      <w:r w:rsidRPr="007422C9">
        <w:rPr>
          <w:lang w:eastAsia="fr-FR" w:bidi="fr-FR"/>
        </w:rPr>
        <w:t>D’abord en ce qui concerne les évêques :</w:t>
      </w:r>
    </w:p>
    <w:p w14:paraId="358ED317" w14:textId="77777777" w:rsidR="00B9662D" w:rsidRPr="007422C9" w:rsidRDefault="00B9662D" w:rsidP="00B9662D">
      <w:pPr>
        <w:spacing w:before="120" w:after="120"/>
        <w:jc w:val="both"/>
      </w:pPr>
      <w:r w:rsidRPr="007422C9">
        <w:rPr>
          <w:lang w:eastAsia="fr-FR" w:bidi="fr-FR"/>
        </w:rPr>
        <w:t>Nous savons par Sulpice Sévère que pendant les seize dernières années de sa vie, Martin n’assista à aucun synode et se tint à l’écart de toutes les réunions d’évêques</w:t>
      </w:r>
      <w:r>
        <w:rPr>
          <w:lang w:eastAsia="fr-FR" w:bidi="fr-FR"/>
        </w:rPr>
        <w:t> </w:t>
      </w:r>
      <w:r>
        <w:rPr>
          <w:rStyle w:val="Appelnotedebasdep"/>
        </w:rPr>
        <w:footnoteReference w:id="1036"/>
      </w:r>
      <w:r w:rsidRPr="007422C9">
        <w:rPr>
          <w:lang w:eastAsia="fr-FR" w:bidi="fr-FR"/>
        </w:rPr>
        <w:t>.</w:t>
      </w:r>
    </w:p>
    <w:p w14:paraId="4344FB49" w14:textId="77777777" w:rsidR="00B9662D" w:rsidRPr="007422C9" w:rsidRDefault="00B9662D" w:rsidP="00B9662D">
      <w:pPr>
        <w:spacing w:before="120" w:after="120"/>
        <w:jc w:val="both"/>
      </w:pPr>
      <w:r w:rsidRPr="007422C9">
        <w:rPr>
          <w:lang w:eastAsia="fr-FR" w:bidi="fr-FR"/>
        </w:rPr>
        <w:t>Après la mort du saint, le petit groupe de fidèles qui se réclamaient de lui eut à souffrir du mauvais vouloir des évêques gaulois : « un seul nous aimait », dit Sulpice Sévère... ; « il a montré maintenant à notre égard une dureté qu’on n’eût pas attendue de lui »</w:t>
      </w:r>
      <w:r>
        <w:rPr>
          <w:lang w:eastAsia="fr-FR" w:bidi="fr-FR"/>
        </w:rPr>
        <w:t> </w:t>
      </w:r>
      <w:r>
        <w:rPr>
          <w:rStyle w:val="Appelnotedebasdep"/>
        </w:rPr>
        <w:footnoteReference w:id="1037"/>
      </w:r>
      <w:r w:rsidRPr="007422C9">
        <w:rPr>
          <w:lang w:eastAsia="fr-FR" w:bidi="fr-FR"/>
        </w:rPr>
        <w:t>.</w:t>
      </w:r>
    </w:p>
    <w:p w14:paraId="486908DE" w14:textId="77777777" w:rsidR="00B9662D" w:rsidRPr="007422C9" w:rsidRDefault="00B9662D" w:rsidP="00B9662D">
      <w:pPr>
        <w:spacing w:before="120" w:after="120"/>
        <w:jc w:val="both"/>
      </w:pPr>
      <w:r w:rsidRPr="007422C9">
        <w:rPr>
          <w:lang w:eastAsia="fr-FR" w:bidi="fr-FR"/>
        </w:rPr>
        <w:t>Ces textes n’ont pas besoin de commentaires.</w:t>
      </w:r>
    </w:p>
    <w:p w14:paraId="00861554" w14:textId="77777777" w:rsidR="00B9662D" w:rsidRPr="007422C9" w:rsidRDefault="00B9662D" w:rsidP="00B9662D">
      <w:pPr>
        <w:spacing w:before="120" w:after="120"/>
        <w:jc w:val="both"/>
      </w:pPr>
      <w:r w:rsidRPr="007422C9">
        <w:rPr>
          <w:lang w:eastAsia="fr-FR" w:bidi="fr-FR"/>
        </w:rPr>
        <w:t>En ce qui touche le clergé tourangeau :</w:t>
      </w:r>
    </w:p>
    <w:p w14:paraId="32ECE17A" w14:textId="77777777" w:rsidR="00B9662D" w:rsidRPr="007422C9" w:rsidRDefault="00B9662D" w:rsidP="00B9662D">
      <w:pPr>
        <w:spacing w:before="120" w:after="120"/>
        <w:jc w:val="both"/>
      </w:pPr>
      <w:r w:rsidRPr="007422C9">
        <w:rPr>
          <w:lang w:eastAsia="fr-FR" w:bidi="fr-FR"/>
        </w:rPr>
        <w:t>Il suffira sur ce point de citer</w:t>
      </w:r>
      <w:r>
        <w:rPr>
          <w:lang w:eastAsia="fr-FR" w:bidi="fr-FR"/>
        </w:rPr>
        <w:t> — </w:t>
      </w:r>
      <w:r w:rsidRPr="007422C9">
        <w:rPr>
          <w:lang w:eastAsia="fr-FR" w:bidi="fr-FR"/>
        </w:rPr>
        <w:t>non plus même Sulpice Sévère</w:t>
      </w:r>
      <w:r>
        <w:rPr>
          <w:lang w:eastAsia="fr-FR" w:bidi="fr-FR"/>
        </w:rPr>
        <w:t> — </w:t>
      </w:r>
      <w:r w:rsidRPr="007422C9">
        <w:rPr>
          <w:lang w:eastAsia="fr-FR" w:bidi="fr-FR"/>
        </w:rPr>
        <w:t>mais le P. Delehaye en personne. On ne peut douter, dit-il, qu’entre saint Martin et ses clercs il n’y ait eu parfois « des incidents pén</w:t>
      </w:r>
      <w:r w:rsidRPr="007422C9">
        <w:rPr>
          <w:lang w:eastAsia="fr-FR" w:bidi="fr-FR"/>
        </w:rPr>
        <w:t>i</w:t>
      </w:r>
      <w:r w:rsidRPr="007422C9">
        <w:rPr>
          <w:lang w:eastAsia="fr-FR" w:bidi="fr-FR"/>
        </w:rPr>
        <w:t>bles »</w:t>
      </w:r>
      <w:r>
        <w:rPr>
          <w:lang w:eastAsia="fr-FR" w:bidi="fr-FR"/>
        </w:rPr>
        <w:t> </w:t>
      </w:r>
      <w:r>
        <w:rPr>
          <w:rStyle w:val="Appelnotedebasdep"/>
        </w:rPr>
        <w:footnoteReference w:id="1038"/>
      </w:r>
      <w:r w:rsidRPr="007422C9">
        <w:rPr>
          <w:lang w:eastAsia="fr-FR" w:bidi="fr-FR"/>
        </w:rPr>
        <w:t>. On ne saurait mieux dire. Dans cette église divisée, les adve</w:t>
      </w:r>
      <w:r w:rsidRPr="007422C9">
        <w:rPr>
          <w:lang w:eastAsia="fr-FR" w:bidi="fr-FR"/>
        </w:rPr>
        <w:t>r</w:t>
      </w:r>
      <w:r w:rsidRPr="007422C9">
        <w:rPr>
          <w:lang w:eastAsia="fr-FR" w:bidi="fr-FR"/>
        </w:rPr>
        <w:t>saires de l’évêque étaient-ils la majorité (comme l’élection de l’un d’eux, Brice, au siège épiscopal après la mort de Martin pourrait le faire supposer), ou bien ne formaient-ils qu’une forte minorité ? No</w:t>
      </w:r>
      <w:r>
        <w:rPr>
          <w:lang w:eastAsia="fr-FR" w:bidi="fr-FR"/>
        </w:rPr>
        <w:t>us l’ignorerons toujours. Peut-</w:t>
      </w:r>
      <w:r w:rsidRPr="007422C9">
        <w:rPr>
          <w:lang w:eastAsia="fr-FR" w:bidi="fr-FR"/>
        </w:rPr>
        <w:t>être M. Babut avait-il poussé le tableau au noir ; le P. Delehaye, par un excès contraire, en atténue-t-il un peu trop les couleurs. Qu’importe, après tout ? Il y eut des « incidents p</w:t>
      </w:r>
      <w:r w:rsidRPr="007422C9">
        <w:rPr>
          <w:lang w:eastAsia="fr-FR" w:bidi="fr-FR"/>
        </w:rPr>
        <w:t>é</w:t>
      </w:r>
      <w:r w:rsidRPr="007422C9">
        <w:rPr>
          <w:lang w:eastAsia="fr-FR" w:bidi="fr-FR"/>
        </w:rPr>
        <w:t>nibles ». Ce grand saint fut un évêque contesté. C’est tout ce qu’il nous suffit de savoir.</w:t>
      </w:r>
    </w:p>
    <w:p w14:paraId="4492D45F" w14:textId="77777777" w:rsidR="00B9662D" w:rsidRPr="007422C9" w:rsidRDefault="00B9662D" w:rsidP="00B9662D">
      <w:pPr>
        <w:spacing w:before="120" w:after="120"/>
        <w:jc w:val="both"/>
      </w:pPr>
      <w:r w:rsidRPr="007422C9">
        <w:rPr>
          <w:lang w:eastAsia="fr-FR" w:bidi="fr-FR"/>
        </w:rPr>
        <w:t>Mais contesté, pourquoi ? Cette question ne paraît pas avoir tro</w:t>
      </w:r>
      <w:r w:rsidRPr="007422C9">
        <w:rPr>
          <w:lang w:eastAsia="fr-FR" w:bidi="fr-FR"/>
        </w:rPr>
        <w:t>u</w:t>
      </w:r>
      <w:r w:rsidRPr="007422C9">
        <w:rPr>
          <w:lang w:eastAsia="fr-FR" w:bidi="fr-FR"/>
        </w:rPr>
        <w:t>blé le P. Delehaye. Il faut pourtant la poser. L’hostilité que rencontra Martin, tant parmi les évêques de la Gaule que dans son propre tro</w:t>
      </w:r>
      <w:r w:rsidRPr="007422C9">
        <w:rPr>
          <w:lang w:eastAsia="fr-FR" w:bidi="fr-FR"/>
        </w:rPr>
        <w:t>u</w:t>
      </w:r>
      <w:r w:rsidRPr="007422C9">
        <w:rPr>
          <w:lang w:eastAsia="fr-FR" w:bidi="fr-FR"/>
        </w:rPr>
        <w:t>peau, a dû avoir quelque raison d’être : à moins de l’expliquer par la méchanceté humaine</w:t>
      </w:r>
      <w:r>
        <w:rPr>
          <w:lang w:eastAsia="fr-FR" w:bidi="fr-FR"/>
        </w:rPr>
        <w:t> — </w:t>
      </w:r>
      <w:r w:rsidRPr="007422C9">
        <w:rPr>
          <w:lang w:eastAsia="fr-FR" w:bidi="fr-FR"/>
        </w:rPr>
        <w:t>ce qui serait un peu vague</w:t>
      </w:r>
      <w:r>
        <w:rPr>
          <w:lang w:eastAsia="fr-FR" w:bidi="fr-FR"/>
        </w:rPr>
        <w:t> — </w:t>
      </w:r>
      <w:r w:rsidRPr="007422C9">
        <w:rPr>
          <w:lang w:eastAsia="fr-FR" w:bidi="fr-FR"/>
        </w:rPr>
        <w:t>ou par je ne sais quel caractère antipathique attribué à Martin,</w:t>
      </w:r>
      <w:r>
        <w:rPr>
          <w:lang w:eastAsia="fr-FR" w:bidi="fr-FR"/>
        </w:rPr>
        <w:t> — </w:t>
      </w:r>
      <w:r w:rsidRPr="007422C9">
        <w:rPr>
          <w:lang w:eastAsia="fr-FR" w:bidi="fr-FR"/>
        </w:rPr>
        <w:t>hypothèse injurieuse, qui serait purement gratuite,</w:t>
      </w:r>
      <w:r>
        <w:rPr>
          <w:lang w:eastAsia="fr-FR" w:bidi="fr-FR"/>
        </w:rPr>
        <w:t> — </w:t>
      </w:r>
      <w:r w:rsidRPr="007422C9">
        <w:rPr>
          <w:lang w:eastAsia="fr-FR" w:bidi="fr-FR"/>
        </w:rPr>
        <w:t xml:space="preserve">il faut bien supposer, comme l’a fait M. Babut, qu’elle tenait à son genre de vie : il vivait en moine plutôt </w:t>
      </w:r>
      <w:r w:rsidRPr="007422C9">
        <w:rPr>
          <w:lang w:eastAsia="fr-FR" w:bidi="fr-FR"/>
        </w:rPr>
        <w:lastRenderedPageBreak/>
        <w:t xml:space="preserve">qu’en évêque. Dans la Gaule du </w:t>
      </w:r>
      <w:r w:rsidRPr="00955CC9">
        <w:rPr>
          <w:smallCaps/>
          <w:lang w:eastAsia="fr-FR" w:bidi="fr-FR"/>
        </w:rPr>
        <w:t>iv</w:t>
      </w:r>
      <w:r w:rsidRPr="007422C9">
        <w:rPr>
          <w:vertAlign w:val="superscript"/>
          <w:lang w:eastAsia="fr-FR" w:bidi="fr-FR"/>
        </w:rPr>
        <w:t>e</w:t>
      </w:r>
      <w:r w:rsidRPr="007422C9">
        <w:rPr>
          <w:lang w:eastAsia="fr-FR" w:bidi="fr-FR"/>
        </w:rPr>
        <w:t xml:space="preserve"> siècle, ces mœurs rigoureuses n’étaient pas approuvées par tous les chrétiens, ni surtout par le clergé tout entier : d’ailleurs elles ne devaient pas rendre aisée, pour le chef d’un diocèse, sa tâche administrative. Cette même fidélité aux préce</w:t>
      </w:r>
      <w:r w:rsidRPr="007422C9">
        <w:rPr>
          <w:lang w:eastAsia="fr-FR" w:bidi="fr-FR"/>
        </w:rPr>
        <w:t>p</w:t>
      </w:r>
      <w:r w:rsidRPr="007422C9">
        <w:rPr>
          <w:lang w:eastAsia="fr-FR" w:bidi="fr-FR"/>
        </w:rPr>
        <w:t>tes de l’ascèse, qui fit par la suite de Martin le saint préféré des mo</w:t>
      </w:r>
      <w:r w:rsidRPr="007422C9">
        <w:rPr>
          <w:lang w:eastAsia="fr-FR" w:bidi="fr-FR"/>
        </w:rPr>
        <w:t>i</w:t>
      </w:r>
      <w:r w:rsidRPr="007422C9">
        <w:rPr>
          <w:lang w:eastAsia="fr-FR" w:bidi="fr-FR"/>
        </w:rPr>
        <w:t>nes, le compromit à Tours auprès d’une grande partie de son entour</w:t>
      </w:r>
      <w:r w:rsidRPr="007422C9">
        <w:rPr>
          <w:lang w:eastAsia="fr-FR" w:bidi="fr-FR"/>
        </w:rPr>
        <w:t>a</w:t>
      </w:r>
      <w:r w:rsidRPr="007422C9">
        <w:rPr>
          <w:lang w:eastAsia="fr-FR" w:bidi="fr-FR"/>
        </w:rPr>
        <w:t>ge, et lui nuisit en Gaule auprès de tous ceux qui ne partageaient pas son idéal.</w:t>
      </w:r>
    </w:p>
    <w:p w14:paraId="4FEA17B1" w14:textId="77777777" w:rsidR="00B9662D" w:rsidRPr="007422C9" w:rsidRDefault="00B9662D" w:rsidP="00B9662D">
      <w:pPr>
        <w:spacing w:before="120" w:after="120"/>
        <w:jc w:val="both"/>
      </w:pPr>
      <w:r w:rsidRPr="007422C9">
        <w:rPr>
          <w:lang w:eastAsia="fr-FR" w:bidi="fr-FR"/>
        </w:rPr>
        <w:t>Aussi bien, du vivant même de Martin, les haines qu’avaient so</w:t>
      </w:r>
      <w:r w:rsidRPr="007422C9">
        <w:rPr>
          <w:lang w:eastAsia="fr-FR" w:bidi="fr-FR"/>
        </w:rPr>
        <w:t>u</w:t>
      </w:r>
      <w:r w:rsidRPr="007422C9">
        <w:rPr>
          <w:lang w:eastAsia="fr-FR" w:bidi="fr-FR"/>
        </w:rPr>
        <w:t>levées les ascètes trouvèrent une expression éclatante au cours d’une querelle qui troubla profondément l’Église d’Occident : je veux parler de l’affaire</w:t>
      </w:r>
      <w:r>
        <w:t xml:space="preserve"> </w:t>
      </w:r>
      <w:r>
        <w:rPr>
          <w:lang w:eastAsia="fr-FR" w:bidi="fr-FR"/>
        </w:rPr>
        <w:t xml:space="preserve">[944] </w:t>
      </w:r>
      <w:r w:rsidRPr="007422C9">
        <w:rPr>
          <w:lang w:eastAsia="fr-FR" w:bidi="fr-FR"/>
        </w:rPr>
        <w:t>du Priscillianisme. Priscillien fut, après un assez long procès, d</w:t>
      </w:r>
      <w:r w:rsidRPr="007422C9">
        <w:rPr>
          <w:lang w:eastAsia="fr-FR" w:bidi="fr-FR"/>
        </w:rPr>
        <w:t>é</w:t>
      </w:r>
      <w:r w:rsidRPr="007422C9">
        <w:rPr>
          <w:lang w:eastAsia="fr-FR" w:bidi="fr-FR"/>
        </w:rPr>
        <w:t>capité à Trêves en 385. Que saint Martin ait été en quelque façon mêlé à cette tragédie, on n’en peut douter. Mais quel rôle au juste y joua-t-il ? Sulpice Sévère, qui sur ce point comme sur tant d’autres, est notre source unique, nous a laissé de ces événements trois récits,</w:t>
      </w:r>
      <w:r>
        <w:rPr>
          <w:lang w:eastAsia="fr-FR" w:bidi="fr-FR"/>
        </w:rPr>
        <w:t> — </w:t>
      </w:r>
      <w:r w:rsidRPr="007422C9">
        <w:rPr>
          <w:lang w:eastAsia="fr-FR" w:bidi="fr-FR"/>
        </w:rPr>
        <w:t xml:space="preserve">dans la </w:t>
      </w:r>
      <w:r w:rsidRPr="009D3FFB">
        <w:rPr>
          <w:bCs/>
          <w:i/>
        </w:rPr>
        <w:t>Vie de saint Martin</w:t>
      </w:r>
      <w:r>
        <w:rPr>
          <w:b/>
          <w:bCs/>
        </w:rPr>
        <w:t> — </w:t>
      </w:r>
      <w:r w:rsidRPr="007422C9">
        <w:rPr>
          <w:lang w:eastAsia="fr-FR" w:bidi="fr-FR"/>
        </w:rPr>
        <w:t xml:space="preserve">dans la </w:t>
      </w:r>
      <w:r w:rsidRPr="009D3FFB">
        <w:rPr>
          <w:bCs/>
          <w:i/>
        </w:rPr>
        <w:t>Chronique</w:t>
      </w:r>
      <w:r>
        <w:rPr>
          <w:lang w:eastAsia="fr-FR" w:bidi="fr-FR"/>
        </w:rPr>
        <w:t> — </w:t>
      </w:r>
      <w:r w:rsidRPr="007422C9">
        <w:rPr>
          <w:lang w:eastAsia="fr-FR" w:bidi="fr-FR"/>
        </w:rPr>
        <w:t xml:space="preserve">dans les </w:t>
      </w:r>
      <w:r w:rsidRPr="009D3FFB">
        <w:rPr>
          <w:bCs/>
          <w:i/>
        </w:rPr>
        <w:t>Dialogues</w:t>
      </w:r>
      <w:r w:rsidRPr="007422C9">
        <w:rPr>
          <w:lang w:eastAsia="fr-FR" w:bidi="fr-FR"/>
        </w:rPr>
        <w:t xml:space="preserve"> (sans compter peut-être, dans la </w:t>
      </w:r>
      <w:r w:rsidRPr="009D3FFB">
        <w:rPr>
          <w:bCs/>
          <w:i/>
        </w:rPr>
        <w:t>Chronique</w:t>
      </w:r>
      <w:r w:rsidRPr="007422C9">
        <w:rPr>
          <w:lang w:eastAsia="fr-FR" w:bidi="fr-FR"/>
        </w:rPr>
        <w:t xml:space="preserve"> ég</w:t>
      </w:r>
      <w:r w:rsidRPr="007422C9">
        <w:rPr>
          <w:lang w:eastAsia="fr-FR" w:bidi="fr-FR"/>
        </w:rPr>
        <w:t>a</w:t>
      </w:r>
      <w:r w:rsidRPr="007422C9">
        <w:rPr>
          <w:lang w:eastAsia="fr-FR" w:bidi="fr-FR"/>
        </w:rPr>
        <w:t>lement, un quatrième récit sous la forme voilée d’une historiette bibl</w:t>
      </w:r>
      <w:r w:rsidRPr="007422C9">
        <w:rPr>
          <w:lang w:eastAsia="fr-FR" w:bidi="fr-FR"/>
        </w:rPr>
        <w:t>i</w:t>
      </w:r>
      <w:r w:rsidRPr="007422C9">
        <w:rPr>
          <w:lang w:eastAsia="fr-FR" w:bidi="fr-FR"/>
        </w:rPr>
        <w:t>que) ; chacun diffère des autres et même les contredit</w:t>
      </w:r>
      <w:r>
        <w:rPr>
          <w:lang w:eastAsia="fr-FR" w:bidi="fr-FR"/>
        </w:rPr>
        <w:t> </w:t>
      </w:r>
      <w:r>
        <w:rPr>
          <w:rStyle w:val="Appelnotedebasdep"/>
        </w:rPr>
        <w:footnoteReference w:id="1039"/>
      </w:r>
      <w:r w:rsidRPr="007422C9">
        <w:rPr>
          <w:lang w:eastAsia="fr-FR" w:bidi="fr-FR"/>
        </w:rPr>
        <w:t>. Il sera donc toujours à peu près impo</w:t>
      </w:r>
      <w:r w:rsidRPr="007422C9">
        <w:rPr>
          <w:lang w:eastAsia="fr-FR" w:bidi="fr-FR"/>
        </w:rPr>
        <w:t>s</w:t>
      </w:r>
      <w:r w:rsidRPr="007422C9">
        <w:rPr>
          <w:lang w:eastAsia="fr-FR" w:bidi="fr-FR"/>
        </w:rPr>
        <w:t>sible d’établir l’exacte vérité. Je conviens volontiers que M. Babut</w:t>
      </w:r>
      <w:r>
        <w:rPr>
          <w:lang w:eastAsia="fr-FR" w:bidi="fr-FR"/>
        </w:rPr>
        <w:t> — </w:t>
      </w:r>
      <w:r w:rsidRPr="007422C9">
        <w:rPr>
          <w:lang w:eastAsia="fr-FR" w:bidi="fr-FR"/>
        </w:rPr>
        <w:t>pas plus que le P. Delehaye</w:t>
      </w:r>
      <w:r>
        <w:rPr>
          <w:lang w:eastAsia="fr-FR" w:bidi="fr-FR"/>
        </w:rPr>
        <w:t> — </w:t>
      </w:r>
      <w:r w:rsidRPr="007422C9">
        <w:rPr>
          <w:lang w:eastAsia="fr-FR" w:bidi="fr-FR"/>
        </w:rPr>
        <w:t>n’y a réu</w:t>
      </w:r>
      <w:r w:rsidRPr="007422C9">
        <w:rPr>
          <w:lang w:eastAsia="fr-FR" w:bidi="fr-FR"/>
        </w:rPr>
        <w:t>s</w:t>
      </w:r>
      <w:r w:rsidRPr="007422C9">
        <w:rPr>
          <w:lang w:eastAsia="fr-FR" w:bidi="fr-FR"/>
        </w:rPr>
        <w:t>si. Mais quelques grands faits demeurent certains ; ils nous importent seuls. Saint Martin n’approuva pas l’exécution ; il fut lui-même sur le point d’être enveloppé dans une accusat</w:t>
      </w:r>
      <w:r>
        <w:rPr>
          <w:lang w:eastAsia="fr-FR" w:bidi="fr-FR"/>
        </w:rPr>
        <w:t>i</w:t>
      </w:r>
      <w:r w:rsidRPr="007422C9">
        <w:rPr>
          <w:lang w:eastAsia="fr-FR" w:bidi="fr-FR"/>
        </w:rPr>
        <w:t>on d’hérésie ; après avoir a</w:t>
      </w:r>
      <w:r w:rsidRPr="007422C9">
        <w:rPr>
          <w:lang w:eastAsia="fr-FR" w:bidi="fr-FR"/>
        </w:rPr>
        <w:t>c</w:t>
      </w:r>
      <w:r w:rsidRPr="007422C9">
        <w:rPr>
          <w:lang w:eastAsia="fr-FR" w:bidi="fr-FR"/>
        </w:rPr>
        <w:t>cepté, contre sa volonté intime, de communier avec l’évêque de Tr</w:t>
      </w:r>
      <w:r w:rsidRPr="007422C9">
        <w:rPr>
          <w:lang w:eastAsia="fr-FR" w:bidi="fr-FR"/>
        </w:rPr>
        <w:t>ê</w:t>
      </w:r>
      <w:r w:rsidRPr="007422C9">
        <w:rPr>
          <w:lang w:eastAsia="fr-FR" w:bidi="fr-FR"/>
        </w:rPr>
        <w:t>ves Félix, qu’avaient ordonné les fauteurs de la condamnation, il r</w:t>
      </w:r>
      <w:r w:rsidRPr="007422C9">
        <w:rPr>
          <w:lang w:eastAsia="fr-FR" w:bidi="fr-FR"/>
        </w:rPr>
        <w:t>e</w:t>
      </w:r>
      <w:r w:rsidRPr="007422C9">
        <w:rPr>
          <w:lang w:eastAsia="fr-FR" w:bidi="fr-FR"/>
        </w:rPr>
        <w:t>gretta cette concession, qui pensait-il, ou pensait Sulpice Sévère, lui fit perdre, en partie du moins, ses dons de thaumaturge ; il rompit d</w:t>
      </w:r>
      <w:r w:rsidRPr="007422C9">
        <w:rPr>
          <w:lang w:eastAsia="fr-FR" w:bidi="fr-FR"/>
        </w:rPr>
        <w:t>é</w:t>
      </w:r>
      <w:r w:rsidRPr="007422C9">
        <w:rPr>
          <w:lang w:eastAsia="fr-FR" w:bidi="fr-FR"/>
        </w:rPr>
        <w:t>sormais toute relation avec la majeure partie de l’épiscopat gaulois, complice, à son sens, de l’assassinat juridique de Trêves. Les doctr</w:t>
      </w:r>
      <w:r w:rsidRPr="007422C9">
        <w:rPr>
          <w:lang w:eastAsia="fr-FR" w:bidi="fr-FR"/>
        </w:rPr>
        <w:t>i</w:t>
      </w:r>
      <w:r w:rsidRPr="007422C9">
        <w:rPr>
          <w:lang w:eastAsia="fr-FR" w:bidi="fr-FR"/>
        </w:rPr>
        <w:t xml:space="preserve">nes de Priscillien, il ne les eût sans doute point acceptées dans leur entier. Au reste, il n’était pas théologien. Mais, comme tout ce que l’Église d’alors comptait d’amis de l’ascète, il déplora la mort de l’évêque espagnol et méprisa ses bourreaux. </w:t>
      </w:r>
      <w:r>
        <w:rPr>
          <w:lang w:eastAsia="fr-FR" w:bidi="fr-FR"/>
        </w:rPr>
        <w:t>À</w:t>
      </w:r>
      <w:r w:rsidRPr="007422C9">
        <w:rPr>
          <w:lang w:eastAsia="fr-FR" w:bidi="fr-FR"/>
        </w:rPr>
        <w:t xml:space="preserve"> cela, des discussions critiques sur des points de détail ne peuvent rien changer. Après tout </w:t>
      </w:r>
      <w:r w:rsidRPr="007422C9">
        <w:rPr>
          <w:lang w:eastAsia="fr-FR" w:bidi="fr-FR"/>
        </w:rPr>
        <w:lastRenderedPageBreak/>
        <w:t>saint Martin est-il le seul saint canonisé par l’Église qui n’ait pas été très loin de sympathiser avec un hérétique ?</w:t>
      </w:r>
    </w:p>
    <w:p w14:paraId="629BB4FE" w14:textId="77777777" w:rsidR="00B9662D" w:rsidRPr="007422C9" w:rsidRDefault="00B9662D" w:rsidP="00B9662D">
      <w:pPr>
        <w:spacing w:before="120" w:after="120"/>
        <w:jc w:val="both"/>
      </w:pPr>
      <w:r w:rsidRPr="007422C9">
        <w:rPr>
          <w:lang w:eastAsia="fr-FR" w:bidi="fr-FR"/>
        </w:rPr>
        <w:t>De son vivant, évêque médiocrement heureux, saint Martin a passé aux yeux de la postérité pour l’apôtre des Gaules. Pourquoi ? Sulpice Sévère le traite fréquemment d’homme « apostolique », « de tout point semblable aux apôtres ». Cette épithète avait fourni à M. Babut l’occasion d’une développement qu’on peut estimer trop ingénieux : selon lui, elle eût, dans la langue de Sulpice, désigné avec précision « le don des miracles dans sa plénitude »</w:t>
      </w:r>
      <w:r>
        <w:rPr>
          <w:lang w:eastAsia="fr-FR" w:bidi="fr-FR"/>
        </w:rPr>
        <w:t> </w:t>
      </w:r>
      <w:r>
        <w:rPr>
          <w:rStyle w:val="Appelnotedebasdep"/>
        </w:rPr>
        <w:footnoteReference w:id="1040"/>
      </w:r>
      <w:r w:rsidRPr="007422C9">
        <w:rPr>
          <w:lang w:eastAsia="fr-FR" w:bidi="fr-FR"/>
        </w:rPr>
        <w:t>. C’est raffiner à l’excès ; le P. Delehaye me semble sur ce point dans une note plus juste. Sulpice a représenté son héros comme l’égal des plus grands saints, et, partant, des apôtres : telle est la signification très simple de ce mot : apostol</w:t>
      </w:r>
      <w:r w:rsidRPr="007422C9">
        <w:rPr>
          <w:lang w:eastAsia="fr-FR" w:bidi="fr-FR"/>
        </w:rPr>
        <w:t>i</w:t>
      </w:r>
      <w:r w:rsidRPr="007422C9">
        <w:rPr>
          <w:lang w:eastAsia="fr-FR" w:bidi="fr-FR"/>
        </w:rPr>
        <w:t>que. Bien entendu, pour lui, un des signes essentiels de la sainteté était le pouvoir thaumaturgique. En tout cas, le P. Delehaye paraît en convenir</w:t>
      </w:r>
      <w:r>
        <w:rPr>
          <w:lang w:eastAsia="fr-FR" w:bidi="fr-FR"/>
        </w:rPr>
        <w:t> </w:t>
      </w:r>
      <w:r>
        <w:rPr>
          <w:rStyle w:val="Appelnotedebasdep"/>
        </w:rPr>
        <w:footnoteReference w:id="1041"/>
      </w:r>
      <w:r w:rsidRPr="007422C9">
        <w:rPr>
          <w:lang w:eastAsia="fr-FR" w:bidi="fr-FR"/>
        </w:rPr>
        <w:t xml:space="preserve">, en qualifiant Martin de </w:t>
      </w:r>
      <w:r>
        <w:rPr>
          <w:bCs/>
          <w:i/>
        </w:rPr>
        <w:t>vere aposto</w:t>
      </w:r>
      <w:r w:rsidRPr="009D3FFB">
        <w:rPr>
          <w:bCs/>
          <w:i/>
        </w:rPr>
        <w:t>licus,</w:t>
      </w:r>
      <w:r w:rsidRPr="007422C9">
        <w:rPr>
          <w:lang w:eastAsia="fr-FR" w:bidi="fr-FR"/>
        </w:rPr>
        <w:t xml:space="preserve"> Sulpice ne so</w:t>
      </w:r>
      <w:r w:rsidRPr="007422C9">
        <w:rPr>
          <w:lang w:eastAsia="fr-FR" w:bidi="fr-FR"/>
        </w:rPr>
        <w:t>n</w:t>
      </w:r>
      <w:r w:rsidRPr="007422C9">
        <w:rPr>
          <w:lang w:eastAsia="fr-FR" w:bidi="fr-FR"/>
        </w:rPr>
        <w:t>geait null</w:t>
      </w:r>
      <w:r>
        <w:rPr>
          <w:lang w:eastAsia="fr-FR" w:bidi="fr-FR"/>
        </w:rPr>
        <w:t>ement à le représenter comme l’</w:t>
      </w:r>
      <w:r w:rsidRPr="007422C9">
        <w:rPr>
          <w:lang w:eastAsia="fr-FR" w:bidi="fr-FR"/>
        </w:rPr>
        <w:t>« apôtre des Gaules ».</w:t>
      </w:r>
    </w:p>
    <w:p w14:paraId="0A7B705C" w14:textId="77777777" w:rsidR="00B9662D" w:rsidRDefault="00B9662D" w:rsidP="00B9662D">
      <w:pPr>
        <w:spacing w:before="120" w:after="120"/>
        <w:jc w:val="both"/>
        <w:rPr>
          <w:lang w:eastAsia="fr-FR" w:bidi="fr-FR"/>
        </w:rPr>
      </w:pPr>
      <w:r w:rsidRPr="007422C9">
        <w:rPr>
          <w:lang w:eastAsia="fr-FR" w:bidi="fr-FR"/>
        </w:rPr>
        <w:t>D’ailleurs, tout le débat est dominé par une remarque élémentaire qu’a indiquée M. Babut et qu’on peut présenter comme suit. Saint Martin apparaît chez Sulpice Sévère comme ayant détruit quelques temples et comme ayant obtenu quelques conversions ; nul ne le conteste. Mais dans la Gaule où</w:t>
      </w:r>
      <w:r>
        <w:rPr>
          <w:lang w:eastAsia="fr-FR" w:bidi="fr-FR"/>
        </w:rPr>
        <w:t> — </w:t>
      </w:r>
      <w:r w:rsidRPr="007422C9">
        <w:rPr>
          <w:lang w:eastAsia="fr-FR" w:bidi="fr-FR"/>
        </w:rPr>
        <w:t>malgré la législation impériale</w:t>
      </w:r>
      <w:r>
        <w:rPr>
          <w:lang w:eastAsia="fr-FR" w:bidi="fr-FR"/>
        </w:rPr>
        <w:t> — </w:t>
      </w:r>
      <w:r w:rsidRPr="007422C9">
        <w:rPr>
          <w:lang w:eastAsia="fr-FR" w:bidi="fr-FR"/>
        </w:rPr>
        <w:t>bien des sanctuaires païens</w:t>
      </w:r>
      <w:r>
        <w:t xml:space="preserve"> [945] </w:t>
      </w:r>
      <w:r w:rsidRPr="007422C9">
        <w:rPr>
          <w:lang w:eastAsia="fr-FR" w:bidi="fr-FR"/>
        </w:rPr>
        <w:t>étaient encore debout, et où certa</w:t>
      </w:r>
      <w:r w:rsidRPr="007422C9">
        <w:rPr>
          <w:lang w:eastAsia="fr-FR" w:bidi="fr-FR"/>
        </w:rPr>
        <w:t>i</w:t>
      </w:r>
      <w:r w:rsidRPr="007422C9">
        <w:rPr>
          <w:lang w:eastAsia="fr-FR" w:bidi="fr-FR"/>
        </w:rPr>
        <w:t>nement les campagnes n’avaient pas encore oublié les anciens dieux, tout prélat un peu zélé ne connaissait-il pas des succès de cette sorte ? Martin est le seul évêque du temps dont nous possédions la vie. N’est-il pas vraisemblable que, si nous avions d’autres biographies épisc</w:t>
      </w:r>
      <w:r w:rsidRPr="007422C9">
        <w:rPr>
          <w:lang w:eastAsia="fr-FR" w:bidi="fr-FR"/>
        </w:rPr>
        <w:t>o</w:t>
      </w:r>
      <w:r w:rsidRPr="007422C9">
        <w:rPr>
          <w:lang w:eastAsia="fr-FR" w:bidi="fr-FR"/>
        </w:rPr>
        <w:t>pales, nous y lirions des traits analogues ? Dépeindre, sur la foi de quelques épisodes racontés par Sulpice Sévère, saint Martin comme le plus grand convertisseur de son époque, serait</w:t>
      </w:r>
      <w:r>
        <w:rPr>
          <w:lang w:eastAsia="fr-FR" w:bidi="fr-FR"/>
        </w:rPr>
        <w:t> — </w:t>
      </w:r>
      <w:r w:rsidRPr="007422C9">
        <w:rPr>
          <w:lang w:eastAsia="fr-FR" w:bidi="fr-FR"/>
        </w:rPr>
        <w:t>d’une façon détou</w:t>
      </w:r>
      <w:r w:rsidRPr="007422C9">
        <w:rPr>
          <w:lang w:eastAsia="fr-FR" w:bidi="fr-FR"/>
        </w:rPr>
        <w:t>r</w:t>
      </w:r>
      <w:r w:rsidRPr="007422C9">
        <w:rPr>
          <w:lang w:eastAsia="fr-FR" w:bidi="fr-FR"/>
        </w:rPr>
        <w:t>née</w:t>
      </w:r>
      <w:r>
        <w:rPr>
          <w:lang w:eastAsia="fr-FR" w:bidi="fr-FR"/>
        </w:rPr>
        <w:t> — </w:t>
      </w:r>
      <w:r w:rsidRPr="007422C9">
        <w:rPr>
          <w:lang w:eastAsia="fr-FR" w:bidi="fr-FR"/>
        </w:rPr>
        <w:t>faire usage de cet a</w:t>
      </w:r>
      <w:r w:rsidRPr="007422C9">
        <w:rPr>
          <w:lang w:eastAsia="fr-FR" w:bidi="fr-FR"/>
        </w:rPr>
        <w:t>r</w:t>
      </w:r>
      <w:r w:rsidRPr="007422C9">
        <w:rPr>
          <w:lang w:eastAsia="fr-FR" w:bidi="fr-FR"/>
        </w:rPr>
        <w:t xml:space="preserve">gument </w:t>
      </w:r>
      <w:r w:rsidRPr="009D3FFB">
        <w:rPr>
          <w:bCs/>
          <w:i/>
        </w:rPr>
        <w:t>ex silentio</w:t>
      </w:r>
      <w:r w:rsidRPr="007422C9">
        <w:rPr>
          <w:lang w:eastAsia="fr-FR" w:bidi="fr-FR"/>
        </w:rPr>
        <w:t>, qui est un des moins sûrs que puisse manier la cr</w:t>
      </w:r>
      <w:r w:rsidRPr="007422C9">
        <w:rPr>
          <w:lang w:eastAsia="fr-FR" w:bidi="fr-FR"/>
        </w:rPr>
        <w:t>i</w:t>
      </w:r>
      <w:r w:rsidRPr="007422C9">
        <w:rPr>
          <w:lang w:eastAsia="fr-FR" w:bidi="fr-FR"/>
        </w:rPr>
        <w:t>tique historique.</w:t>
      </w:r>
    </w:p>
    <w:p w14:paraId="3C92251B" w14:textId="77777777" w:rsidR="00B9662D" w:rsidRDefault="00B9662D" w:rsidP="00B9662D">
      <w:pPr>
        <w:spacing w:before="120" w:after="120"/>
        <w:jc w:val="both"/>
      </w:pPr>
    </w:p>
    <w:p w14:paraId="4DA652AD" w14:textId="77777777" w:rsidR="00B9662D" w:rsidRPr="007422C9" w:rsidRDefault="00B9662D" w:rsidP="00B9662D">
      <w:pPr>
        <w:spacing w:before="120" w:after="120"/>
        <w:jc w:val="both"/>
      </w:pPr>
    </w:p>
    <w:p w14:paraId="00BE96D6" w14:textId="77777777" w:rsidR="00B9662D" w:rsidRPr="009D3FFB" w:rsidRDefault="00B9662D" w:rsidP="00B9662D">
      <w:pPr>
        <w:pStyle w:val="planche"/>
      </w:pPr>
      <w:bookmarkStart w:id="52" w:name="Melanges_t2_pt_9_chap_III_III"/>
      <w:r>
        <w:t>III. — </w:t>
      </w:r>
      <w:r w:rsidRPr="009D3FFB">
        <w:t>Histoire de saint Martin après sa mort</w:t>
      </w:r>
    </w:p>
    <w:bookmarkEnd w:id="52"/>
    <w:p w14:paraId="2AAD3702" w14:textId="77777777" w:rsidR="00B9662D" w:rsidRDefault="00B9662D" w:rsidP="00B9662D">
      <w:pPr>
        <w:spacing w:before="120" w:after="120"/>
        <w:jc w:val="both"/>
        <w:rPr>
          <w:lang w:eastAsia="fr-FR" w:bidi="fr-FR"/>
        </w:rPr>
      </w:pPr>
    </w:p>
    <w:p w14:paraId="52240219"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A714B2A" w14:textId="77777777" w:rsidR="00B9662D" w:rsidRPr="007422C9" w:rsidRDefault="00B9662D" w:rsidP="00B9662D">
      <w:pPr>
        <w:spacing w:before="120" w:after="120"/>
        <w:jc w:val="both"/>
      </w:pPr>
      <w:r w:rsidRPr="007422C9">
        <w:rPr>
          <w:lang w:eastAsia="fr-FR" w:bidi="fr-FR"/>
        </w:rPr>
        <w:t>L’histoire de la réputation de saint Martin est bien curieuse.</w:t>
      </w:r>
    </w:p>
    <w:p w14:paraId="775D76D3" w14:textId="77777777" w:rsidR="00B9662D" w:rsidRPr="007422C9" w:rsidRDefault="00B9662D" w:rsidP="00B9662D">
      <w:pPr>
        <w:spacing w:before="120" w:after="120"/>
        <w:jc w:val="both"/>
      </w:pPr>
      <w:r w:rsidRPr="007422C9">
        <w:rPr>
          <w:lang w:eastAsia="fr-FR" w:bidi="fr-FR"/>
        </w:rPr>
        <w:t>Pendant les cinquante premières années qui suivent sa mort, dans la plus grande partie du monde chrétien, son souvenir ne rencontre qu’oubli ou que mépris. Non seulement Tours lui donne pour succe</w:t>
      </w:r>
      <w:r w:rsidRPr="007422C9">
        <w:rPr>
          <w:lang w:eastAsia="fr-FR" w:bidi="fr-FR"/>
        </w:rPr>
        <w:t>s</w:t>
      </w:r>
      <w:r w:rsidRPr="007422C9">
        <w:rPr>
          <w:lang w:eastAsia="fr-FR" w:bidi="fr-FR"/>
        </w:rPr>
        <w:t xml:space="preserve">seur un clerc rebelle, Brice, </w:t>
      </w:r>
      <w:r w:rsidRPr="009D3FFB">
        <w:rPr>
          <w:bCs/>
          <w:i/>
        </w:rPr>
        <w:t>saint</w:t>
      </w:r>
      <w:r w:rsidRPr="007422C9">
        <w:rPr>
          <w:lang w:eastAsia="fr-FR" w:bidi="fr-FR"/>
        </w:rPr>
        <w:t xml:space="preserve"> Brice, car l’Église a confondu les deux ennemis dans un même honneur posthume,</w:t>
      </w:r>
      <w:r>
        <w:rPr>
          <w:lang w:eastAsia="fr-FR" w:bidi="fr-FR"/>
        </w:rPr>
        <w:t> — </w:t>
      </w:r>
      <w:r w:rsidRPr="007422C9">
        <w:rPr>
          <w:lang w:eastAsia="fr-FR" w:bidi="fr-FR"/>
        </w:rPr>
        <w:t>mais dans les m</w:t>
      </w:r>
      <w:r w:rsidRPr="007422C9">
        <w:rPr>
          <w:lang w:eastAsia="fr-FR" w:bidi="fr-FR"/>
        </w:rPr>
        <w:t>i</w:t>
      </w:r>
      <w:r w:rsidRPr="007422C9">
        <w:rPr>
          <w:lang w:eastAsia="fr-FR" w:bidi="fr-FR"/>
        </w:rPr>
        <w:t>lieux même les plus favorables au monachisme on ne parle pas de lui ou on en parle en mauvais termes. Dans une lettre de saint Jérôme une allusion médiocrement bienveillante,</w:t>
      </w:r>
      <w:r>
        <w:rPr>
          <w:lang w:eastAsia="fr-FR" w:bidi="fr-FR"/>
        </w:rPr>
        <w:t> — </w:t>
      </w:r>
      <w:r w:rsidRPr="007422C9">
        <w:rPr>
          <w:lang w:eastAsia="fr-FR" w:bidi="fr-FR"/>
        </w:rPr>
        <w:t>dans les œuvres de saint A</w:t>
      </w:r>
      <w:r w:rsidRPr="007422C9">
        <w:rPr>
          <w:lang w:eastAsia="fr-FR" w:bidi="fr-FR"/>
        </w:rPr>
        <w:t>u</w:t>
      </w:r>
      <w:r w:rsidRPr="007422C9">
        <w:rPr>
          <w:lang w:eastAsia="fr-FR" w:bidi="fr-FR"/>
        </w:rPr>
        <w:t>gustin pas un mot. En Gaule même les ascètes provençaux,</w:t>
      </w:r>
      <w:r>
        <w:rPr>
          <w:lang w:eastAsia="fr-FR" w:bidi="fr-FR"/>
        </w:rPr>
        <w:t> — </w:t>
      </w:r>
      <w:r w:rsidRPr="007422C9">
        <w:rPr>
          <w:lang w:eastAsia="fr-FR" w:bidi="fr-FR"/>
        </w:rPr>
        <w:t>dans les monastères de Marseille, de Lérins ou d’Arles</w:t>
      </w:r>
      <w:r>
        <w:rPr>
          <w:lang w:eastAsia="fr-FR" w:bidi="fr-FR"/>
        </w:rPr>
        <w:t> — </w:t>
      </w:r>
      <w:r w:rsidRPr="007422C9">
        <w:rPr>
          <w:lang w:eastAsia="fr-FR" w:bidi="fr-FR"/>
        </w:rPr>
        <w:t>ne songent pas à se réclamer de l’homme en qui Sulpice Sévère voyait un des héros de l’ascétisme. M. Babut avait cru trouver dans les écrits de ce groupe la trace d’une hostilité voilée contre Martin : à tort, selon le P. Delehaye, qui sans doute est dans le vrai. Dans ce petit monde méridional, on ne disait pas de mal de Martin ; on n’en disait rien. C’est ce silence qui est surprenant. « Je n’ir</w:t>
      </w:r>
      <w:r>
        <w:rPr>
          <w:lang w:eastAsia="fr-FR" w:bidi="fr-FR"/>
        </w:rPr>
        <w:t>a</w:t>
      </w:r>
      <w:r w:rsidRPr="007422C9">
        <w:rPr>
          <w:lang w:eastAsia="fr-FR" w:bidi="fr-FR"/>
        </w:rPr>
        <w:t>i pas », dit à ce propos, fort joliment, le P. Delehaye, « jusqu’à prononcer le mot de rivalité d’école... Mais l’idée pourrait être admise avec un correctif en disant que leur milieu, fermé à toute influence du dehors, se concentrait exclusivement sur l’effort présent, sans s’occuper de ce qui n’avait plus qu’un intérêt de souv</w:t>
      </w:r>
      <w:r w:rsidRPr="007422C9">
        <w:rPr>
          <w:lang w:eastAsia="fr-FR" w:bidi="fr-FR"/>
        </w:rPr>
        <w:t>e</w:t>
      </w:r>
      <w:r w:rsidRPr="007422C9">
        <w:rPr>
          <w:lang w:eastAsia="fr-FR" w:bidi="fr-FR"/>
        </w:rPr>
        <w:t>nir. Il ne faut pas vouloir retrouver chez les hommes d’action les hab</w:t>
      </w:r>
      <w:r w:rsidRPr="007422C9">
        <w:rPr>
          <w:lang w:eastAsia="fr-FR" w:bidi="fr-FR"/>
        </w:rPr>
        <w:t>i</w:t>
      </w:r>
      <w:r w:rsidRPr="007422C9">
        <w:rPr>
          <w:lang w:eastAsia="fr-FR" w:bidi="fr-FR"/>
        </w:rPr>
        <w:t>tudes des érudits dont les regards sont toujours tournés vers le pa</w:t>
      </w:r>
      <w:r w:rsidRPr="007422C9">
        <w:rPr>
          <w:lang w:eastAsia="fr-FR" w:bidi="fr-FR"/>
        </w:rPr>
        <w:t>s</w:t>
      </w:r>
      <w:r w:rsidRPr="007422C9">
        <w:rPr>
          <w:lang w:eastAsia="fr-FR" w:bidi="fr-FR"/>
        </w:rPr>
        <w:t>sé »</w:t>
      </w:r>
      <w:r>
        <w:rPr>
          <w:lang w:eastAsia="fr-FR" w:bidi="fr-FR"/>
        </w:rPr>
        <w:t> </w:t>
      </w:r>
      <w:r>
        <w:rPr>
          <w:rStyle w:val="Appelnotedebasdep"/>
        </w:rPr>
        <w:footnoteReference w:id="1042"/>
      </w:r>
      <w:r w:rsidRPr="007422C9">
        <w:rPr>
          <w:lang w:eastAsia="fr-FR" w:bidi="fr-FR"/>
        </w:rPr>
        <w:t>. Il semble pourtant que les « hommes d’action » dont il s’agit, tournaient volontiers leurs regards vers les déserts égyptiens. Tout près d’eux dans l’espace, tout près aussi dans le temps, Martin avait donné un parfait exemple des vertus dont ils allaient chercher les m</w:t>
      </w:r>
      <w:r w:rsidRPr="007422C9">
        <w:rPr>
          <w:lang w:eastAsia="fr-FR" w:bidi="fr-FR"/>
        </w:rPr>
        <w:t>o</w:t>
      </w:r>
      <w:r w:rsidRPr="007422C9">
        <w:rPr>
          <w:lang w:eastAsia="fr-FR" w:bidi="fr-FR"/>
        </w:rPr>
        <w:t xml:space="preserve">dèles jusque dans la Thébaïde. Pourquoi ne l’ont-ils point nommé ? </w:t>
      </w:r>
      <w:r>
        <w:rPr>
          <w:lang w:eastAsia="fr-FR" w:bidi="fr-FR"/>
        </w:rPr>
        <w:lastRenderedPageBreak/>
        <w:t>À</w:t>
      </w:r>
      <w:r w:rsidRPr="007422C9">
        <w:rPr>
          <w:lang w:eastAsia="fr-FR" w:bidi="fr-FR"/>
        </w:rPr>
        <w:t xml:space="preserve"> cette question, il est peut-être malaisé de répondre. Sachons du moins nous étonner.</w:t>
      </w:r>
    </w:p>
    <w:p w14:paraId="57A4846C" w14:textId="77777777" w:rsidR="00B9662D" w:rsidRPr="007422C9" w:rsidRDefault="00B9662D" w:rsidP="00B9662D">
      <w:pPr>
        <w:spacing w:before="120" w:after="120"/>
        <w:jc w:val="both"/>
      </w:pPr>
      <w:r w:rsidRPr="007422C9">
        <w:rPr>
          <w:lang w:eastAsia="fr-FR" w:bidi="fr-FR"/>
        </w:rPr>
        <w:t>Pendant le même temps toutefois, le souvenir de Martin ne s’éteint point ; un petit groupe de fidèles l’entretient pieusement. Entre 410 et 440 une femme nommée Fœdula, étant morte à Vienne, la personne qui rédige son épitaphe ne néglige pas de mentionner que jadis l’illustre Martin l’avait baptisée. Deux évêques du Midi, qui d’ailleurs eurent des malheurs, nous apparaissent comme les disciples du saint. Surtout Sulpice Sévère</w:t>
      </w:r>
      <w:r>
        <w:t xml:space="preserve"> </w:t>
      </w:r>
      <w:r>
        <w:rPr>
          <w:lang w:eastAsia="fr-FR" w:bidi="fr-FR"/>
        </w:rPr>
        <w:t xml:space="preserve">[946] </w:t>
      </w:r>
      <w:r w:rsidRPr="007422C9">
        <w:rPr>
          <w:lang w:eastAsia="fr-FR" w:bidi="fr-FR"/>
        </w:rPr>
        <w:t>et son entourage se remémorent sans cesse l’exemple de ses vertus et préparent sa légende.</w:t>
      </w:r>
    </w:p>
    <w:p w14:paraId="5D79022B" w14:textId="77777777" w:rsidR="00B9662D" w:rsidRPr="007422C9" w:rsidRDefault="00B9662D" w:rsidP="00B9662D">
      <w:pPr>
        <w:spacing w:before="120" w:after="120"/>
        <w:jc w:val="both"/>
      </w:pPr>
      <w:r w:rsidRPr="007422C9">
        <w:rPr>
          <w:lang w:eastAsia="fr-FR" w:bidi="fr-FR"/>
        </w:rPr>
        <w:t>Les amis de Martin l’emportèrent. De son vivant son propre clergé ne lui avait prêté qu’une obéissance imparfaite ; dans le sacerdoce gaulois il avait occupé une place médiocre. Un siècle et demi après sa mort, son culte faisait la fortune et la gloire de son ancienne cité épi</w:t>
      </w:r>
      <w:r w:rsidRPr="007422C9">
        <w:rPr>
          <w:lang w:eastAsia="fr-FR" w:bidi="fr-FR"/>
        </w:rPr>
        <w:t>s</w:t>
      </w:r>
      <w:r w:rsidRPr="007422C9">
        <w:rPr>
          <w:lang w:eastAsia="fr-FR" w:bidi="fr-FR"/>
        </w:rPr>
        <w:t>copale, et la Gaule franque voyait en lui le plus puissant des interce</w:t>
      </w:r>
      <w:r w:rsidRPr="007422C9">
        <w:rPr>
          <w:lang w:eastAsia="fr-FR" w:bidi="fr-FR"/>
        </w:rPr>
        <w:t>s</w:t>
      </w:r>
      <w:r w:rsidRPr="007422C9">
        <w:rPr>
          <w:lang w:eastAsia="fr-FR" w:bidi="fr-FR"/>
        </w:rPr>
        <w:t>seurs dont elle pouvait disposer auprès de la Divinité. Telle est l’étrange antinomie historique que M. Babut avait fortement mise en lumière. Comme j’ai essayé de l’indiquer brièvement, le mémoire du P. Delehaye n’en modifie point les termes : l’image que M. Babut avait tracée de saint Martin</w:t>
      </w:r>
      <w:r>
        <w:rPr>
          <w:lang w:eastAsia="fr-FR" w:bidi="fr-FR"/>
        </w:rPr>
        <w:t> — </w:t>
      </w:r>
      <w:r w:rsidRPr="007422C9">
        <w:rPr>
          <w:lang w:eastAsia="fr-FR" w:bidi="fr-FR"/>
        </w:rPr>
        <w:t>du vrai saint Martin tels que purent le connaître les clercs tourangeaux</w:t>
      </w:r>
      <w:r>
        <w:rPr>
          <w:lang w:eastAsia="fr-FR" w:bidi="fr-FR"/>
        </w:rPr>
        <w:t> — </w:t>
      </w:r>
      <w:r w:rsidRPr="007422C9">
        <w:rPr>
          <w:lang w:eastAsia="fr-FR" w:bidi="fr-FR"/>
        </w:rPr>
        <w:t>demeure l’image juste ; et l’on doit continuer à s’étonner que cet évêque de second plan soit devenu un si grand saint. L’immense mérite de M. Babut sera d’avoir, en quelque sorte, découvert ce problème, et de l’avoir posé. L’a-t-il rés</w:t>
      </w:r>
      <w:r w:rsidRPr="007422C9">
        <w:rPr>
          <w:lang w:eastAsia="fr-FR" w:bidi="fr-FR"/>
        </w:rPr>
        <w:t>o</w:t>
      </w:r>
      <w:r w:rsidRPr="007422C9">
        <w:rPr>
          <w:lang w:eastAsia="fr-FR" w:bidi="fr-FR"/>
        </w:rPr>
        <w:t>lu ? Je ne le crois point.</w:t>
      </w:r>
    </w:p>
    <w:p w14:paraId="06550AC9" w14:textId="77777777" w:rsidR="00B9662D" w:rsidRPr="007422C9" w:rsidRDefault="00B9662D" w:rsidP="00B9662D">
      <w:pPr>
        <w:spacing w:before="120" w:after="120"/>
        <w:jc w:val="both"/>
      </w:pPr>
      <w:r w:rsidRPr="007422C9">
        <w:rPr>
          <w:lang w:eastAsia="fr-FR" w:bidi="fr-FR"/>
        </w:rPr>
        <w:t xml:space="preserve">Il est évident en effet que le dernier chapitre du livre de M. Babut : </w:t>
      </w:r>
      <w:r w:rsidRPr="005C6A48">
        <w:rPr>
          <w:bCs/>
          <w:i/>
        </w:rPr>
        <w:t>Le triomphe de saint Martin</w:t>
      </w:r>
      <w:r w:rsidRPr="007422C9">
        <w:rPr>
          <w:lang w:eastAsia="fr-FR" w:bidi="fr-FR"/>
        </w:rPr>
        <w:t>, est trop court, et ne traite qu’imparfaitement une question très complexe. Je ne crois pas me tromper en disant que M. Babut l’eût aisément reconnu lui-même. Aussi bien avait-il voulu écrire l’histoire de saint Martin et non pas l’histoire de sa légende.</w:t>
      </w:r>
    </w:p>
    <w:p w14:paraId="078B685C" w14:textId="77777777" w:rsidR="00B9662D" w:rsidRPr="007422C9" w:rsidRDefault="00B9662D" w:rsidP="00B9662D">
      <w:pPr>
        <w:spacing w:before="120" w:after="120"/>
        <w:jc w:val="both"/>
      </w:pPr>
      <w:r w:rsidRPr="007422C9">
        <w:rPr>
          <w:lang w:eastAsia="fr-FR" w:bidi="fr-FR"/>
        </w:rPr>
        <w:t>Parmi les causes possibles « de la gloire posthume » de saint Ma</w:t>
      </w:r>
      <w:r w:rsidRPr="007422C9">
        <w:rPr>
          <w:lang w:eastAsia="fr-FR" w:bidi="fr-FR"/>
        </w:rPr>
        <w:t>r</w:t>
      </w:r>
      <w:r w:rsidRPr="007422C9">
        <w:rPr>
          <w:lang w:eastAsia="fr-FR" w:bidi="fr-FR"/>
        </w:rPr>
        <w:t xml:space="preserve">tin (pour parler comme les Bollandistes) il en eût, semble-t-il, retenu surtout deux, d’ailleurs étroitement liées : la victoire du monachisme et la valeur littéraire des écrits de Sulpice Sévère. Lorsque les amis des moines eurent triomphé, le héros qu’un des leurs avait célébré dans des livres admirablement faits pour flatter les goûts du public </w:t>
      </w:r>
      <w:r w:rsidRPr="007422C9">
        <w:rPr>
          <w:lang w:eastAsia="fr-FR" w:bidi="fr-FR"/>
        </w:rPr>
        <w:lastRenderedPageBreak/>
        <w:t>triompha avec eux. Sur l’importance de ces deux causes, on sera fac</w:t>
      </w:r>
      <w:r w:rsidRPr="007422C9">
        <w:rPr>
          <w:lang w:eastAsia="fr-FR" w:bidi="fr-FR"/>
        </w:rPr>
        <w:t>i</w:t>
      </w:r>
      <w:r w:rsidRPr="007422C9">
        <w:rPr>
          <w:lang w:eastAsia="fr-FR" w:bidi="fr-FR"/>
        </w:rPr>
        <w:t>lement d’accord avec M. Babut ; mais il est permis de penser qu’elles n’expliquent point tout. On a vu la médiocre estime en laquelle des partisans illustres du monachisme,</w:t>
      </w:r>
      <w:r>
        <w:rPr>
          <w:lang w:eastAsia="fr-FR" w:bidi="fr-FR"/>
        </w:rPr>
        <w:t> — </w:t>
      </w:r>
      <w:r w:rsidRPr="007422C9">
        <w:rPr>
          <w:lang w:eastAsia="fr-FR" w:bidi="fr-FR"/>
        </w:rPr>
        <w:t>les hommes de Lérins, d’Arles et de Marseille</w:t>
      </w:r>
      <w:r>
        <w:rPr>
          <w:lang w:eastAsia="fr-FR" w:bidi="fr-FR"/>
        </w:rPr>
        <w:t> — </w:t>
      </w:r>
      <w:r w:rsidRPr="007422C9">
        <w:rPr>
          <w:lang w:eastAsia="fr-FR" w:bidi="fr-FR"/>
        </w:rPr>
        <w:t>tenaient saint Martin. Y eut-il donc, chez les asc</w:t>
      </w:r>
      <w:r w:rsidRPr="007422C9">
        <w:rPr>
          <w:lang w:eastAsia="fr-FR" w:bidi="fr-FR"/>
        </w:rPr>
        <w:t>è</w:t>
      </w:r>
      <w:r w:rsidRPr="007422C9">
        <w:rPr>
          <w:lang w:eastAsia="fr-FR" w:bidi="fr-FR"/>
        </w:rPr>
        <w:t>tes, des écoles différentes et peut-être rivales ? C’est une question qu’a effleurée M. Babut</w:t>
      </w:r>
      <w:r>
        <w:rPr>
          <w:lang w:eastAsia="fr-FR" w:bidi="fr-FR"/>
        </w:rPr>
        <w:t> </w:t>
      </w:r>
      <w:r>
        <w:rPr>
          <w:rStyle w:val="Appelnotedebasdep"/>
        </w:rPr>
        <w:footnoteReference w:id="1043"/>
      </w:r>
      <w:r w:rsidRPr="007422C9">
        <w:rPr>
          <w:lang w:eastAsia="fr-FR" w:bidi="fr-FR"/>
        </w:rPr>
        <w:t>, et qui mériterait d’être approfondie.</w:t>
      </w:r>
    </w:p>
    <w:p w14:paraId="0A2F52C3" w14:textId="77777777" w:rsidR="00B9662D" w:rsidRPr="007422C9" w:rsidRDefault="00B9662D" w:rsidP="00B9662D">
      <w:pPr>
        <w:spacing w:before="120" w:after="120"/>
        <w:jc w:val="both"/>
      </w:pPr>
      <w:r w:rsidRPr="007422C9">
        <w:rPr>
          <w:lang w:eastAsia="fr-FR" w:bidi="fr-FR"/>
        </w:rPr>
        <w:t>Sans doute, devrait-on tenir compte aussi de considérations plus terre à terre. La réconciliation des clercs tourangeaux dans un culte commun a dû</w:t>
      </w:r>
      <w:r>
        <w:rPr>
          <w:lang w:eastAsia="fr-FR" w:bidi="fr-FR"/>
        </w:rPr>
        <w:t> — </w:t>
      </w:r>
      <w:r w:rsidRPr="007422C9">
        <w:rPr>
          <w:lang w:eastAsia="fr-FR" w:bidi="fr-FR"/>
        </w:rPr>
        <w:t>une fois le souvenir des haines anciennes tant soit peu assoupi</w:t>
      </w:r>
      <w:r>
        <w:rPr>
          <w:lang w:eastAsia="fr-FR" w:bidi="fr-FR"/>
        </w:rPr>
        <w:t> — </w:t>
      </w:r>
      <w:r w:rsidRPr="007422C9">
        <w:rPr>
          <w:lang w:eastAsia="fr-FR" w:bidi="fr-FR"/>
        </w:rPr>
        <w:t>s’opérer aisément ; car ce culte était lucratif ; l’église de Tours eût eu mauvaise grâce à refuser le saint qu’on lui offrait</w:t>
      </w:r>
      <w:r>
        <w:rPr>
          <w:lang w:eastAsia="fr-FR" w:bidi="fr-FR"/>
        </w:rPr>
        <w:t> </w:t>
      </w:r>
      <w:r>
        <w:rPr>
          <w:rStyle w:val="Appelnotedebasdep"/>
        </w:rPr>
        <w:footnoteReference w:id="1044"/>
      </w:r>
      <w:r w:rsidRPr="007422C9">
        <w:rPr>
          <w:lang w:eastAsia="fr-FR" w:bidi="fr-FR"/>
        </w:rPr>
        <w:t>.</w:t>
      </w:r>
    </w:p>
    <w:p w14:paraId="5486C54D" w14:textId="77777777" w:rsidR="00B9662D" w:rsidRPr="007422C9" w:rsidRDefault="00B9662D" w:rsidP="00B9662D">
      <w:pPr>
        <w:spacing w:before="120" w:after="120"/>
        <w:jc w:val="both"/>
      </w:pPr>
      <w:r>
        <w:t>[</w:t>
      </w:r>
      <w:r w:rsidRPr="007422C9">
        <w:rPr>
          <w:lang w:eastAsia="fr-FR" w:bidi="fr-FR"/>
        </w:rPr>
        <w:t>947</w:t>
      </w:r>
      <w:r>
        <w:rPr>
          <w:lang w:eastAsia="fr-FR" w:bidi="fr-FR"/>
        </w:rPr>
        <w:t>]</w:t>
      </w:r>
    </w:p>
    <w:p w14:paraId="514BF93B" w14:textId="77777777" w:rsidR="00B9662D" w:rsidRPr="007422C9" w:rsidRDefault="00B9662D" w:rsidP="00B9662D">
      <w:pPr>
        <w:spacing w:before="120" w:after="120"/>
        <w:jc w:val="both"/>
      </w:pPr>
      <w:r w:rsidRPr="007422C9">
        <w:rPr>
          <w:lang w:eastAsia="fr-FR" w:bidi="fr-FR"/>
        </w:rPr>
        <w:t xml:space="preserve">Saint Martin n’a pas été seulement un saint local ou le patron des moines ; il est devenu une sorte de saint national ; à des fortunes de ce genre, la politique est rarement tout à fait étrangère. Vers la fin du </w:t>
      </w:r>
      <w:r>
        <w:rPr>
          <w:lang w:eastAsia="fr-FR" w:bidi="fr-FR"/>
        </w:rPr>
        <w:t>V</w:t>
      </w:r>
      <w:r w:rsidRPr="007422C9">
        <w:rPr>
          <w:vertAlign w:val="superscript"/>
          <w:lang w:eastAsia="fr-FR" w:bidi="fr-FR"/>
        </w:rPr>
        <w:t>e</w:t>
      </w:r>
      <w:r w:rsidRPr="007422C9">
        <w:rPr>
          <w:lang w:eastAsia="fr-FR" w:bidi="fr-FR"/>
        </w:rPr>
        <w:t xml:space="preserve"> siècle, il a dû se nouer, autour du tombeau où reposaient les reliques du thaumaturge, bien des intrigues. La cité de Tours se trouvait alors placée aux confins du royaume visigothique ; elle avait pour évêques des prélats catholiques, qui haïssaient les rois ariens de Toulouse, qui ont sans doute appelé et aidé le roi franc</w:t>
      </w:r>
      <w:r>
        <w:rPr>
          <w:lang w:eastAsia="fr-FR" w:bidi="fr-FR"/>
        </w:rPr>
        <w:t> </w:t>
      </w:r>
      <w:r>
        <w:rPr>
          <w:rStyle w:val="Appelnotedebasdep"/>
        </w:rPr>
        <w:footnoteReference w:id="1045"/>
      </w:r>
      <w:r w:rsidRPr="007422C9">
        <w:rPr>
          <w:lang w:eastAsia="fr-FR" w:bidi="fr-FR"/>
        </w:rPr>
        <w:t xml:space="preserve">. Clovis, lorsqu’il donnait </w:t>
      </w:r>
      <w:r w:rsidRPr="007422C9">
        <w:rPr>
          <w:lang w:eastAsia="fr-FR" w:bidi="fr-FR"/>
        </w:rPr>
        <w:lastRenderedPageBreak/>
        <w:t>à son peuple l’exemple d’une éclatante dévotion à saint Martin</w:t>
      </w:r>
      <w:r>
        <w:rPr>
          <w:lang w:eastAsia="fr-FR" w:bidi="fr-FR"/>
        </w:rPr>
        <w:t> </w:t>
      </w:r>
      <w:r>
        <w:rPr>
          <w:rStyle w:val="Appelnotedebasdep"/>
        </w:rPr>
        <w:footnoteReference w:id="1046"/>
      </w:r>
      <w:r w:rsidRPr="007422C9">
        <w:rPr>
          <w:lang w:eastAsia="fr-FR" w:bidi="fr-FR"/>
        </w:rPr>
        <w:t>, n’acquittait-il pas une dette de reconnaissance, qu’il avait contractée entre les évêques successeurs du saint ?</w:t>
      </w:r>
    </w:p>
    <w:p w14:paraId="6AA5399A" w14:textId="77777777" w:rsidR="00B9662D" w:rsidRPr="007422C9" w:rsidRDefault="00B9662D" w:rsidP="00B9662D">
      <w:pPr>
        <w:spacing w:before="120" w:after="120"/>
        <w:jc w:val="both"/>
      </w:pPr>
      <w:r w:rsidRPr="007422C9">
        <w:rPr>
          <w:lang w:eastAsia="fr-FR" w:bidi="fr-FR"/>
        </w:rPr>
        <w:t xml:space="preserve">Je n’ai voulu poser ici que quelques points d’interrogation. L’histoire, si je puis dire, de la </w:t>
      </w:r>
      <w:r w:rsidRPr="005C6A48">
        <w:rPr>
          <w:bCs/>
          <w:i/>
        </w:rPr>
        <w:t>survie</w:t>
      </w:r>
      <w:r w:rsidRPr="007422C9">
        <w:rPr>
          <w:lang w:eastAsia="fr-FR" w:bidi="fr-FR"/>
        </w:rPr>
        <w:t xml:space="preserve"> de saint Martin reste à écrire. </w:t>
      </w:r>
      <w:r>
        <w:rPr>
          <w:lang w:eastAsia="fr-FR" w:bidi="fr-FR"/>
        </w:rPr>
        <w:t>À</w:t>
      </w:r>
      <w:r w:rsidRPr="007422C9">
        <w:rPr>
          <w:lang w:eastAsia="fr-FR" w:bidi="fr-FR"/>
        </w:rPr>
        <w:t xml:space="preserve"> dire vrai, elle se détacherait malaisément d’histoires plus vastes, que nous n’avons point. Ni sur les débuts du monachisme latin, ni sur les origines du culte des saints, dans le monde occidental, nous ne poss</w:t>
      </w:r>
      <w:r w:rsidRPr="007422C9">
        <w:rPr>
          <w:lang w:eastAsia="fr-FR" w:bidi="fr-FR"/>
        </w:rPr>
        <w:t>é</w:t>
      </w:r>
      <w:r w:rsidRPr="007422C9">
        <w:rPr>
          <w:lang w:eastAsia="fr-FR" w:bidi="fr-FR"/>
        </w:rPr>
        <w:t xml:space="preserve">dons d’études qui puissent passer pour complètes et définitives. Nous voyons mal comment le moine qui occupa sans beaucoup d’éclat le siège épiscopal de Tours est devenu un des héros du </w:t>
      </w:r>
      <w:r w:rsidRPr="005C6A48">
        <w:rPr>
          <w:bCs/>
          <w:i/>
        </w:rPr>
        <w:t>folk</w:t>
      </w:r>
      <w:r>
        <w:rPr>
          <w:bCs/>
          <w:i/>
        </w:rPr>
        <w:t>-l</w:t>
      </w:r>
      <w:r w:rsidRPr="005C6A48">
        <w:rPr>
          <w:bCs/>
          <w:i/>
        </w:rPr>
        <w:t>ore</w:t>
      </w:r>
      <w:r w:rsidRPr="007422C9">
        <w:rPr>
          <w:lang w:eastAsia="fr-FR" w:bidi="fr-FR"/>
        </w:rPr>
        <w:t xml:space="preserve"> popula</w:t>
      </w:r>
      <w:r w:rsidRPr="007422C9">
        <w:rPr>
          <w:lang w:eastAsia="fr-FR" w:bidi="fr-FR"/>
        </w:rPr>
        <w:t>i</w:t>
      </w:r>
      <w:r w:rsidRPr="007422C9">
        <w:rPr>
          <w:lang w:eastAsia="fr-FR" w:bidi="fr-FR"/>
        </w:rPr>
        <w:t>re. Pour quel saint le voyons-nous nettement ? On ne doit point s’étonner que ces grandes et passionnantes questions n’aient point e</w:t>
      </w:r>
      <w:r w:rsidRPr="007422C9">
        <w:rPr>
          <w:lang w:eastAsia="fr-FR" w:bidi="fr-FR"/>
        </w:rPr>
        <w:t>n</w:t>
      </w:r>
      <w:r w:rsidRPr="007422C9">
        <w:rPr>
          <w:lang w:eastAsia="fr-FR" w:bidi="fr-FR"/>
        </w:rPr>
        <w:t xml:space="preserve">core été traitées dans leur ampleur. Il fallait d’abord voir clair dans les traditions hagiographiques. Voici déjà plusieurs siècles que les Pères Bollandistes s’emploient à ce débroussaillement. </w:t>
      </w:r>
      <w:r>
        <w:rPr>
          <w:lang w:eastAsia="fr-FR" w:bidi="fr-FR"/>
        </w:rPr>
        <w:t>À</w:t>
      </w:r>
      <w:r w:rsidRPr="007422C9">
        <w:rPr>
          <w:lang w:eastAsia="fr-FR" w:bidi="fr-FR"/>
        </w:rPr>
        <w:t xml:space="preserve"> son tour M. Babut a manié brillamment la hache du bûcheron. Il n’a du reste pas fait se</w:t>
      </w:r>
      <w:r w:rsidRPr="007422C9">
        <w:rPr>
          <w:lang w:eastAsia="fr-FR" w:bidi="fr-FR"/>
        </w:rPr>
        <w:t>u</w:t>
      </w:r>
      <w:r w:rsidRPr="007422C9">
        <w:rPr>
          <w:lang w:eastAsia="fr-FR" w:bidi="fr-FR"/>
        </w:rPr>
        <w:t xml:space="preserve">lement œuvre de démolisseur : son </w:t>
      </w:r>
      <w:r w:rsidRPr="005C6A48">
        <w:rPr>
          <w:bCs/>
          <w:i/>
        </w:rPr>
        <w:t>Saint Martin</w:t>
      </w:r>
      <w:r w:rsidRPr="007422C9">
        <w:rPr>
          <w:lang w:eastAsia="fr-FR" w:bidi="fr-FR"/>
        </w:rPr>
        <w:t xml:space="preserve"> restera, en son genre, un des ouvrages les plus achevés qu’ait produits la France d’avant-guerre, parce que l’esprit critique le plus aigu qui se puisse concevoir y est sans cesse vivifié par un sens historique et psychologique me</w:t>
      </w:r>
      <w:r w:rsidRPr="007422C9">
        <w:rPr>
          <w:lang w:eastAsia="fr-FR" w:bidi="fr-FR"/>
        </w:rPr>
        <w:t>r</w:t>
      </w:r>
      <w:r w:rsidRPr="007422C9">
        <w:rPr>
          <w:lang w:eastAsia="fr-FR" w:bidi="fr-FR"/>
        </w:rPr>
        <w:t>veilleusement pénétrant. Il est cruel de penser qu’un tel savant, qu’un tel écrivain ne nous donnera plus rien.</w:t>
      </w:r>
    </w:p>
    <w:p w14:paraId="5F9FBBBC" w14:textId="77777777" w:rsidR="00B9662D" w:rsidRDefault="00B9662D" w:rsidP="00B9662D">
      <w:pPr>
        <w:pStyle w:val="p"/>
      </w:pPr>
      <w:r w:rsidRPr="007422C9">
        <w:br w:type="page"/>
      </w:r>
      <w:r>
        <w:lastRenderedPageBreak/>
        <w:t>[948]</w:t>
      </w:r>
    </w:p>
    <w:p w14:paraId="0DF1FFA1" w14:textId="77777777" w:rsidR="00B9662D" w:rsidRDefault="00B9662D" w:rsidP="00B9662D">
      <w:pPr>
        <w:jc w:val="both"/>
      </w:pPr>
    </w:p>
    <w:p w14:paraId="17E87F49" w14:textId="77777777" w:rsidR="00B9662D" w:rsidRDefault="00B9662D" w:rsidP="00B9662D">
      <w:pPr>
        <w:jc w:val="both"/>
      </w:pPr>
    </w:p>
    <w:p w14:paraId="4D67C50C" w14:textId="77777777" w:rsidR="00B9662D" w:rsidRPr="00E07116" w:rsidRDefault="00B9662D" w:rsidP="00B9662D">
      <w:pPr>
        <w:jc w:val="both"/>
      </w:pPr>
    </w:p>
    <w:p w14:paraId="20FF39AC" w14:textId="77777777" w:rsidR="00B9662D" w:rsidRPr="00F54CC7" w:rsidRDefault="00B9662D" w:rsidP="00B9662D">
      <w:pPr>
        <w:spacing w:after="120"/>
        <w:ind w:firstLine="0"/>
        <w:jc w:val="center"/>
        <w:rPr>
          <w:sz w:val="24"/>
        </w:rPr>
      </w:pPr>
      <w:bookmarkStart w:id="53" w:name="Melanges_t2_pt_9_chap_IV"/>
      <w:r>
        <w:rPr>
          <w:b/>
          <w:sz w:val="24"/>
        </w:rPr>
        <w:t>Mélanges historiques.</w:t>
      </w:r>
      <w:r>
        <w:rPr>
          <w:b/>
          <w:sz w:val="24"/>
        </w:rPr>
        <w:br/>
      </w:r>
      <w:r w:rsidRPr="000D320C">
        <w:rPr>
          <w:color w:val="FF0000"/>
          <w:sz w:val="24"/>
        </w:rPr>
        <w:t>Tome I</w:t>
      </w:r>
      <w:r>
        <w:rPr>
          <w:color w:val="FF0000"/>
          <w:sz w:val="24"/>
        </w:rPr>
        <w:t>I</w:t>
      </w:r>
      <w:r w:rsidRPr="000D320C">
        <w:rPr>
          <w:sz w:val="24"/>
        </w:rPr>
        <w:t>.</w:t>
      </w:r>
    </w:p>
    <w:p w14:paraId="7A544CEE" w14:textId="77777777" w:rsidR="00B9662D" w:rsidRPr="00303F6A" w:rsidRDefault="00B9662D" w:rsidP="00B9662D">
      <w:pPr>
        <w:ind w:firstLine="0"/>
        <w:jc w:val="center"/>
        <w:rPr>
          <w:b/>
          <w:color w:val="000080"/>
          <w:sz w:val="24"/>
        </w:rPr>
      </w:pPr>
      <w:r>
        <w:rPr>
          <w:b/>
          <w:color w:val="000080"/>
          <w:sz w:val="24"/>
        </w:rPr>
        <w:t>9</w:t>
      </w:r>
      <w:r w:rsidRPr="00F82135">
        <w:rPr>
          <w:b/>
          <w:color w:val="000080"/>
          <w:sz w:val="24"/>
          <w:vertAlign w:val="superscript"/>
        </w:rPr>
        <w:t>e</w:t>
      </w:r>
      <w:r>
        <w:rPr>
          <w:b/>
          <w:color w:val="000080"/>
          <w:sz w:val="24"/>
        </w:rPr>
        <w:t xml:space="preserve"> PARTIE.</w:t>
      </w:r>
      <w:r>
        <w:rPr>
          <w:b/>
          <w:color w:val="000080"/>
          <w:sz w:val="24"/>
        </w:rPr>
        <w:br/>
        <w:t>ASPECTS DE LA MENTALITÉ MÉDIÉVALE</w:t>
      </w:r>
    </w:p>
    <w:p w14:paraId="0F183150" w14:textId="77777777" w:rsidR="00B9662D" w:rsidRPr="00384B20" w:rsidRDefault="00B9662D" w:rsidP="00B9662D">
      <w:pPr>
        <w:pStyle w:val="Titreniveau1"/>
      </w:pPr>
      <w:r w:rsidRPr="00384B20">
        <w:t>Chapitre I</w:t>
      </w:r>
      <w:r>
        <w:t>V</w:t>
      </w:r>
    </w:p>
    <w:p w14:paraId="2E287E4A" w14:textId="77777777" w:rsidR="00B9662D" w:rsidRPr="00E07116" w:rsidRDefault="00B9662D" w:rsidP="00B9662D">
      <w:pPr>
        <w:jc w:val="both"/>
        <w:rPr>
          <w:szCs w:val="36"/>
        </w:rPr>
      </w:pPr>
    </w:p>
    <w:p w14:paraId="6281A782" w14:textId="77777777" w:rsidR="00B9662D" w:rsidRPr="00E07116" w:rsidRDefault="00B9662D" w:rsidP="00B9662D">
      <w:pPr>
        <w:pStyle w:val="Titreniveau2"/>
      </w:pPr>
      <w:r>
        <w:t>la vie de saint édouard</w:t>
      </w:r>
      <w:r>
        <w:br/>
        <w:t>le confesseur</w:t>
      </w:r>
      <w:r>
        <w:br/>
        <w:t>par osbert de clare </w:t>
      </w:r>
      <w:r>
        <w:rPr>
          <w:rStyle w:val="Appelnotedebasdep"/>
        </w:rPr>
        <w:footnoteReference w:id="1047"/>
      </w:r>
    </w:p>
    <w:bookmarkEnd w:id="53"/>
    <w:p w14:paraId="23042322" w14:textId="77777777" w:rsidR="00B9662D" w:rsidRDefault="00B9662D" w:rsidP="00B9662D">
      <w:pPr>
        <w:jc w:val="both"/>
        <w:rPr>
          <w:szCs w:val="36"/>
        </w:rPr>
      </w:pPr>
    </w:p>
    <w:p w14:paraId="70C4A152" w14:textId="77777777" w:rsidR="00B9662D" w:rsidRDefault="00B9662D" w:rsidP="00B9662D">
      <w:pPr>
        <w:jc w:val="both"/>
        <w:rPr>
          <w:szCs w:val="36"/>
        </w:rPr>
      </w:pPr>
    </w:p>
    <w:p w14:paraId="426DBC0D" w14:textId="77777777" w:rsidR="00B9662D" w:rsidRDefault="00B9662D" w:rsidP="00B9662D">
      <w:pPr>
        <w:jc w:val="both"/>
        <w:rPr>
          <w:szCs w:val="36"/>
        </w:rPr>
      </w:pPr>
    </w:p>
    <w:p w14:paraId="06D422E8" w14:textId="77777777" w:rsidR="00B9662D" w:rsidRPr="007422C9" w:rsidRDefault="00B9662D" w:rsidP="00B9662D">
      <w:pPr>
        <w:pStyle w:val="planche"/>
      </w:pPr>
      <w:bookmarkStart w:id="54" w:name="Melanges_t2_pt_9_chap_IV_intro"/>
      <w:r w:rsidRPr="007422C9">
        <w:t>INTRODUCTION</w:t>
      </w:r>
      <w:r>
        <w:t> </w:t>
      </w:r>
      <w:r>
        <w:rPr>
          <w:rStyle w:val="Appelnotedebasdep"/>
        </w:rPr>
        <w:footnoteReference w:customMarkFollows="1" w:id="1048"/>
        <w:t>*</w:t>
      </w:r>
    </w:p>
    <w:bookmarkEnd w:id="54"/>
    <w:p w14:paraId="134BCC24" w14:textId="77777777" w:rsidR="00B9662D" w:rsidRDefault="00B9662D" w:rsidP="00B9662D">
      <w:pPr>
        <w:pStyle w:val="planchest0"/>
      </w:pPr>
    </w:p>
    <w:p w14:paraId="5DE33AD9" w14:textId="77777777" w:rsidR="00B9662D" w:rsidRPr="007422C9" w:rsidRDefault="00B9662D" w:rsidP="00B9662D">
      <w:pPr>
        <w:pStyle w:val="planchest0"/>
      </w:pPr>
      <w:r w:rsidRPr="007422C9">
        <w:t>OSBERT DE CLAR</w:t>
      </w:r>
      <w:r>
        <w:t>E ET LES PREMIÈRES VI</w:t>
      </w:r>
      <w:r w:rsidRPr="007422C9">
        <w:t>ES</w:t>
      </w:r>
      <w:r>
        <w:br/>
      </w:r>
      <w:r w:rsidRPr="007422C9">
        <w:t>DE SAINT ÉDOUARD</w:t>
      </w:r>
    </w:p>
    <w:p w14:paraId="71557264" w14:textId="77777777" w:rsidR="00B9662D" w:rsidRDefault="00B9662D" w:rsidP="00B9662D">
      <w:pPr>
        <w:spacing w:before="120" w:after="120"/>
        <w:jc w:val="both"/>
        <w:rPr>
          <w:lang w:eastAsia="fr-FR" w:bidi="fr-FR"/>
        </w:rPr>
      </w:pPr>
    </w:p>
    <w:p w14:paraId="7612652E" w14:textId="77777777" w:rsidR="00B9662D" w:rsidRDefault="00B9662D" w:rsidP="00B9662D">
      <w:pPr>
        <w:spacing w:before="120" w:after="120"/>
        <w:jc w:val="both"/>
        <w:rPr>
          <w:lang w:eastAsia="fr-FR" w:bidi="fr-FR"/>
        </w:rPr>
      </w:pPr>
    </w:p>
    <w:p w14:paraId="3AC0837B"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0680E393" w14:textId="77777777" w:rsidR="00B9662D" w:rsidRDefault="00B9662D" w:rsidP="00B9662D">
      <w:pPr>
        <w:spacing w:before="120" w:after="120"/>
        <w:jc w:val="both"/>
        <w:rPr>
          <w:lang w:eastAsia="fr-FR" w:bidi="fr-FR"/>
        </w:rPr>
      </w:pPr>
      <w:r w:rsidRPr="00CA3FF1">
        <w:rPr>
          <w:i/>
          <w:lang w:eastAsia="fr-FR" w:bidi="fr-FR"/>
        </w:rPr>
        <w:t>En 1138 un moine de Westminster, le prieur Osbert de Clare, écr</w:t>
      </w:r>
      <w:r w:rsidRPr="00CA3FF1">
        <w:rPr>
          <w:i/>
          <w:lang w:eastAsia="fr-FR" w:bidi="fr-FR"/>
        </w:rPr>
        <w:t>i</w:t>
      </w:r>
      <w:r w:rsidRPr="00CA3FF1">
        <w:rPr>
          <w:i/>
          <w:lang w:eastAsia="fr-FR" w:bidi="fr-FR"/>
        </w:rPr>
        <w:t xml:space="preserve">vit une Vie de saint Édouard le Confesseur. Cet ouvrage est demeuré longtemps inédit et presque inconnu. Je le publie ici pour la première fois. Retenu loin de </w:t>
      </w:r>
      <w:r>
        <w:rPr>
          <w:i/>
          <w:lang w:eastAsia="fr-FR" w:bidi="fr-FR"/>
        </w:rPr>
        <w:t>l’A</w:t>
      </w:r>
      <w:r w:rsidRPr="00CA3FF1">
        <w:rPr>
          <w:i/>
          <w:lang w:eastAsia="fr-FR" w:bidi="fr-FR"/>
        </w:rPr>
        <w:t>ngleterre, je n'aurais pu mener à bonne fin ce</w:t>
      </w:r>
      <w:r w:rsidRPr="00CA3FF1">
        <w:rPr>
          <w:i/>
          <w:lang w:eastAsia="fr-FR" w:bidi="fr-FR"/>
        </w:rPr>
        <w:t>t</w:t>
      </w:r>
      <w:r w:rsidRPr="00CA3FF1">
        <w:rPr>
          <w:i/>
          <w:lang w:eastAsia="fr-FR" w:bidi="fr-FR"/>
        </w:rPr>
        <w:t>te entreprise, si je n'avais rencontré de l'autre côté de la Manche des concours précieux. M. J. Armitage Robinson, doyen de Wells et pr</w:t>
      </w:r>
      <w:r w:rsidRPr="00CA3FF1">
        <w:rPr>
          <w:i/>
          <w:lang w:eastAsia="fr-FR" w:bidi="fr-FR"/>
        </w:rPr>
        <w:t>é</w:t>
      </w:r>
      <w:r w:rsidRPr="00CA3FF1">
        <w:rPr>
          <w:i/>
          <w:lang w:eastAsia="fr-FR" w:bidi="fr-FR"/>
        </w:rPr>
        <w:t xml:space="preserve">cédemment de Westminster, a bien voulu me confier une copie du meilleur manuscrit d'Osbert, exécutée autrefois pour lui par la plume experte de M. J. A. Herbert, du Musée Britannique ; sa bienveillance </w:t>
      </w:r>
      <w:r w:rsidRPr="00CA3FF1">
        <w:rPr>
          <w:i/>
          <w:lang w:eastAsia="fr-FR" w:bidi="fr-FR"/>
        </w:rPr>
        <w:lastRenderedPageBreak/>
        <w:t>et son parfait désintéressement ont de la sorte singulièrement allégé ma tâche. Le Maître et les</w:t>
      </w:r>
      <w:r w:rsidRPr="00CA3FF1">
        <w:rPr>
          <w:b/>
          <w:bCs/>
          <w:i/>
        </w:rPr>
        <w:t xml:space="preserve"> </w:t>
      </w:r>
      <w:r w:rsidRPr="00CA3FF1">
        <w:rPr>
          <w:bCs/>
          <w:i/>
        </w:rPr>
        <w:t>Fellows</w:t>
      </w:r>
      <w:r w:rsidRPr="00CA3FF1">
        <w:rPr>
          <w:b/>
          <w:bCs/>
          <w:i/>
        </w:rPr>
        <w:t xml:space="preserve"> </w:t>
      </w:r>
      <w:r w:rsidRPr="00CA3FF1">
        <w:rPr>
          <w:i/>
          <w:lang w:eastAsia="fr-FR" w:bidi="fr-FR"/>
        </w:rPr>
        <w:t>de</w:t>
      </w:r>
      <w:r w:rsidRPr="00CA3FF1">
        <w:rPr>
          <w:b/>
          <w:bCs/>
          <w:i/>
        </w:rPr>
        <w:t xml:space="preserve"> </w:t>
      </w:r>
      <w:r w:rsidRPr="00CA3FF1">
        <w:rPr>
          <w:bCs/>
          <w:i/>
        </w:rPr>
        <w:t>Corpus Christi College</w:t>
      </w:r>
      <w:r w:rsidRPr="00CA3FF1">
        <w:rPr>
          <w:b/>
          <w:bCs/>
          <w:i/>
        </w:rPr>
        <w:t xml:space="preserve"> </w:t>
      </w:r>
      <w:r w:rsidRPr="00CA3FF1">
        <w:rPr>
          <w:i/>
          <w:lang w:eastAsia="fr-FR" w:bidi="fr-FR"/>
        </w:rPr>
        <w:t>à Ca</w:t>
      </w:r>
      <w:r w:rsidRPr="00CA3FF1">
        <w:rPr>
          <w:i/>
          <w:lang w:eastAsia="fr-FR" w:bidi="fr-FR"/>
        </w:rPr>
        <w:t>m</w:t>
      </w:r>
      <w:r w:rsidRPr="00CA3FF1">
        <w:rPr>
          <w:i/>
          <w:lang w:eastAsia="fr-FR" w:bidi="fr-FR"/>
        </w:rPr>
        <w:t>bridge m'ont autorisé à faire photographier quelques feuillets d'un légendier conservé dans leur antique maison, et Sir Geoffrey Butler, bibliothécaire du collège, s'est très aimablement chargé de surveiller le travail. Enfin M. J. A. Herbert et M. E. W. Williamson ont été pour moi de véritables collaborateurs ; je n'ai jamais eu recours en vain à leur obligeance et à leur érudition. Ainsi les compatriotes d'Osbert auront contribué à mettre au jour l'œuvre composée jadis à l'ombre de Westminster. Osbert et moi nous devons</w:t>
      </w:r>
      <w:r w:rsidRPr="007422C9">
        <w:rPr>
          <w:lang w:eastAsia="fr-FR" w:bidi="fr-FR"/>
        </w:rPr>
        <w:t xml:space="preserve"> </w:t>
      </w:r>
      <w:r w:rsidRPr="00CA3FF1">
        <w:rPr>
          <w:i/>
          <w:lang w:eastAsia="fr-FR" w:bidi="fr-FR"/>
        </w:rPr>
        <w:t>également une bien vive r</w:t>
      </w:r>
      <w:r w:rsidRPr="00CA3FF1">
        <w:rPr>
          <w:i/>
          <w:lang w:eastAsia="fr-FR" w:bidi="fr-FR"/>
        </w:rPr>
        <w:t>e</w:t>
      </w:r>
      <w:r w:rsidRPr="00CA3FF1">
        <w:rPr>
          <w:i/>
          <w:lang w:eastAsia="fr-FR" w:bidi="fr-FR"/>
        </w:rPr>
        <w:t>connaissance aux Pères Bollandistes qui nous ont donné l'hospitalité dans leur revue </w:t>
      </w:r>
      <w:r>
        <w:rPr>
          <w:rStyle w:val="Appelnotedebasdep"/>
        </w:rPr>
        <w:footnoteReference w:id="1049"/>
      </w:r>
      <w:r w:rsidRPr="007422C9">
        <w:rPr>
          <w:lang w:eastAsia="fr-FR" w:bidi="fr-FR"/>
        </w:rPr>
        <w:t>.</w:t>
      </w:r>
    </w:p>
    <w:p w14:paraId="19A7225F" w14:textId="77777777" w:rsidR="00B9662D" w:rsidRDefault="00B9662D" w:rsidP="00B9662D">
      <w:pPr>
        <w:spacing w:before="120" w:after="120"/>
        <w:jc w:val="both"/>
        <w:rPr>
          <w:lang w:eastAsia="fr-FR" w:bidi="fr-FR"/>
        </w:rPr>
      </w:pPr>
      <w:r>
        <w:lastRenderedPageBreak/>
        <w:t>[</w:t>
      </w:r>
      <w:r w:rsidRPr="007422C9">
        <w:rPr>
          <w:lang w:eastAsia="fr-FR" w:bidi="fr-FR"/>
        </w:rPr>
        <w:t>949</w:t>
      </w:r>
      <w:r>
        <w:rPr>
          <w:lang w:eastAsia="fr-FR" w:bidi="fr-FR"/>
        </w:rPr>
        <w:t>]</w:t>
      </w:r>
    </w:p>
    <w:p w14:paraId="3BDE512E" w14:textId="77777777" w:rsidR="00B9662D" w:rsidRPr="007422C9" w:rsidRDefault="00B9662D" w:rsidP="00B9662D">
      <w:pPr>
        <w:spacing w:before="120" w:after="120"/>
        <w:jc w:val="both"/>
      </w:pPr>
    </w:p>
    <w:p w14:paraId="5ADD342A" w14:textId="77777777" w:rsidR="00B9662D" w:rsidRPr="005C6A48" w:rsidRDefault="00B9662D" w:rsidP="00B9662D">
      <w:pPr>
        <w:pStyle w:val="planche"/>
      </w:pPr>
      <w:bookmarkStart w:id="55" w:name="Melanges_t2_pt_9_chap_IV_I"/>
      <w:r w:rsidRPr="005C6A48">
        <w:t>I. Place d’Osbert</w:t>
      </w:r>
      <w:r w:rsidRPr="005C6A48">
        <w:br/>
        <w:t>dans la Tradition Hagiographique</w:t>
      </w:r>
      <w:r>
        <w:t> </w:t>
      </w:r>
      <w:r>
        <w:rPr>
          <w:rStyle w:val="Appelnotedebasdep"/>
          <w:bCs w:val="0"/>
        </w:rPr>
        <w:footnoteReference w:id="1050"/>
      </w:r>
    </w:p>
    <w:bookmarkEnd w:id="55"/>
    <w:p w14:paraId="73272305" w14:textId="77777777" w:rsidR="00B9662D" w:rsidRDefault="00B9662D" w:rsidP="00B9662D">
      <w:pPr>
        <w:spacing w:before="120" w:after="120"/>
        <w:jc w:val="both"/>
        <w:rPr>
          <w:lang w:eastAsia="fr-FR" w:bidi="fr-FR"/>
        </w:rPr>
      </w:pPr>
    </w:p>
    <w:p w14:paraId="3F776902"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630444AC" w14:textId="77777777" w:rsidR="00B9662D" w:rsidRPr="00CA3FF1" w:rsidRDefault="00B9662D" w:rsidP="00B9662D">
      <w:pPr>
        <w:spacing w:before="120" w:after="120"/>
        <w:jc w:val="both"/>
        <w:rPr>
          <w:i/>
        </w:rPr>
      </w:pPr>
      <w:r w:rsidRPr="00CA3FF1">
        <w:rPr>
          <w:i/>
          <w:lang w:eastAsia="fr-FR" w:bidi="fr-FR"/>
        </w:rPr>
        <w:t>Édouard, fils d'Éthelred et le dernier des rois anglais qui ait a</w:t>
      </w:r>
      <w:r w:rsidRPr="00CA3FF1">
        <w:rPr>
          <w:i/>
          <w:lang w:eastAsia="fr-FR" w:bidi="fr-FR"/>
        </w:rPr>
        <w:t>p</w:t>
      </w:r>
      <w:r w:rsidRPr="00CA3FF1">
        <w:rPr>
          <w:i/>
          <w:lang w:eastAsia="fr-FR" w:bidi="fr-FR"/>
        </w:rPr>
        <w:t>partenu en descendance mascul</w:t>
      </w:r>
      <w:r w:rsidRPr="00CA3FF1">
        <w:rPr>
          <w:i/>
          <w:lang w:eastAsia="fr-FR" w:bidi="fr-FR"/>
        </w:rPr>
        <w:t>i</w:t>
      </w:r>
      <w:r w:rsidRPr="00CA3FF1">
        <w:rPr>
          <w:i/>
          <w:lang w:eastAsia="fr-FR" w:bidi="fr-FR"/>
        </w:rPr>
        <w:t>ne à la lignée issue de Cerdic, mourut à Londres le 4 ouïe 5 janvier 1066 </w:t>
      </w:r>
      <w:r>
        <w:rPr>
          <w:rStyle w:val="Appelnotedebasdep"/>
        </w:rPr>
        <w:footnoteReference w:id="1051"/>
      </w:r>
      <w:r w:rsidRPr="007422C9">
        <w:rPr>
          <w:lang w:eastAsia="fr-FR" w:bidi="fr-FR"/>
        </w:rPr>
        <w:t xml:space="preserve">. </w:t>
      </w:r>
      <w:r w:rsidRPr="00CA3FF1">
        <w:rPr>
          <w:i/>
          <w:lang w:eastAsia="fr-FR" w:bidi="fr-FR"/>
        </w:rPr>
        <w:t>Il fut canonisé un peu moins d'un siècle plus tard, le 7 février 1161. On a pris assez tardivement, se</w:t>
      </w:r>
      <w:r w:rsidRPr="00CA3FF1">
        <w:rPr>
          <w:i/>
          <w:lang w:eastAsia="fr-FR" w:bidi="fr-FR"/>
        </w:rPr>
        <w:t>m</w:t>
      </w:r>
      <w:r w:rsidRPr="00CA3FF1">
        <w:rPr>
          <w:i/>
          <w:lang w:eastAsia="fr-FR" w:bidi="fr-FR"/>
        </w:rPr>
        <w:t>ble-t-il, l'habitude d'accoler couramment à son nom son titre hagiol</w:t>
      </w:r>
      <w:r w:rsidRPr="00CA3FF1">
        <w:rPr>
          <w:i/>
          <w:lang w:eastAsia="fr-FR" w:bidi="fr-FR"/>
        </w:rPr>
        <w:t>o</w:t>
      </w:r>
      <w:r w:rsidRPr="00CA3FF1">
        <w:rPr>
          <w:i/>
          <w:lang w:eastAsia="fr-FR" w:bidi="fr-FR"/>
        </w:rPr>
        <w:t>gique de Confesseur, pour le distinguer de son oncle et homonyme saint Édouard le Martyr. Nous possédons plusieurs Vies de saint Édouard le Confesseur, de dates diverses. Celle qu'écrivit Osbert, r</w:t>
      </w:r>
      <w:r w:rsidRPr="00CA3FF1">
        <w:rPr>
          <w:i/>
          <w:lang w:eastAsia="fr-FR" w:bidi="fr-FR"/>
        </w:rPr>
        <w:t>é</w:t>
      </w:r>
      <w:r w:rsidRPr="00CA3FF1">
        <w:rPr>
          <w:i/>
          <w:lang w:eastAsia="fr-FR" w:bidi="fr-FR"/>
        </w:rPr>
        <w:t>digée soixante-douze ans après la mort du saint, vingt et un ans avant la canonisation, est une des plus anciennes. Avant de l'étudier de front, il convient de chercher à ma</w:t>
      </w:r>
      <w:r w:rsidRPr="00CA3FF1">
        <w:rPr>
          <w:i/>
          <w:lang w:eastAsia="fr-FR" w:bidi="fr-FR"/>
        </w:rPr>
        <w:t>r</w:t>
      </w:r>
      <w:r w:rsidRPr="00CA3FF1">
        <w:rPr>
          <w:i/>
          <w:lang w:eastAsia="fr-FR" w:bidi="fr-FR"/>
        </w:rPr>
        <w:t>quer sa place dans la tradition hagiographique, dont elle forme un chaînon important.</w:t>
      </w:r>
    </w:p>
    <w:p w14:paraId="35CB573F" w14:textId="77777777" w:rsidR="00B9662D" w:rsidRPr="00CA3FF1" w:rsidRDefault="00B9662D" w:rsidP="00B9662D">
      <w:pPr>
        <w:spacing w:before="120" w:after="120"/>
        <w:jc w:val="both"/>
        <w:rPr>
          <w:i/>
        </w:rPr>
      </w:pPr>
      <w:r w:rsidRPr="00CA3FF1">
        <w:rPr>
          <w:i/>
          <w:lang w:eastAsia="fr-FR" w:bidi="fr-FR"/>
        </w:rPr>
        <w:t>Les témoignages les plus anciens que nous ayons sur saint Édouard, écrits peu d'années après sa mort, nous le représentent si</w:t>
      </w:r>
      <w:r w:rsidRPr="00CA3FF1">
        <w:rPr>
          <w:i/>
          <w:lang w:eastAsia="fr-FR" w:bidi="fr-FR"/>
        </w:rPr>
        <w:t>m</w:t>
      </w:r>
      <w:r w:rsidRPr="00CA3FF1">
        <w:rPr>
          <w:i/>
          <w:lang w:eastAsia="fr-FR" w:bidi="fr-FR"/>
        </w:rPr>
        <w:t>plement comme un prince très pieux : tel il apparaît dans une poésie anglo-saxonne, sorte d'élégie funéraire, que nous ont conservée les chroniques d'Abingdon et d'Evesham</w:t>
      </w:r>
      <w:r>
        <w:rPr>
          <w:lang w:eastAsia="fr-FR" w:bidi="fr-FR"/>
        </w:rPr>
        <w:t> </w:t>
      </w:r>
      <w:r>
        <w:rPr>
          <w:rStyle w:val="Appelnotedebasdep"/>
        </w:rPr>
        <w:footnoteReference w:id="1052"/>
      </w:r>
      <w:r w:rsidRPr="005C6A48">
        <w:rPr>
          <w:bCs/>
        </w:rPr>
        <w:t> ;</w:t>
      </w:r>
      <w:r w:rsidRPr="007422C9">
        <w:rPr>
          <w:b/>
          <w:bCs/>
        </w:rPr>
        <w:t xml:space="preserve"> </w:t>
      </w:r>
      <w:r w:rsidRPr="00CA3FF1">
        <w:rPr>
          <w:i/>
          <w:lang w:eastAsia="fr-FR" w:bidi="fr-FR"/>
        </w:rPr>
        <w:t xml:space="preserve">tel le dépeint également le premier historien de Westminster, le moine Sulcard, qui composa sous </w:t>
      </w:r>
      <w:r w:rsidRPr="00CA3FF1">
        <w:rPr>
          <w:i/>
          <w:lang w:eastAsia="fr-FR" w:bidi="fr-FR"/>
        </w:rPr>
        <w:lastRenderedPageBreak/>
        <w:t>l'abbé Vital, entre 1076 et 1085un récit des origines de l'abbaye</w:t>
      </w:r>
      <w:r w:rsidRPr="00CA3FF1">
        <w:rPr>
          <w:i/>
          <w:vertAlign w:val="superscript"/>
          <w:lang w:eastAsia="fr-FR" w:bidi="fr-FR"/>
        </w:rPr>
        <w:t>3</w:t>
      </w:r>
      <w:r w:rsidRPr="00CA3FF1">
        <w:rPr>
          <w:i/>
          <w:lang w:eastAsia="fr-FR" w:bidi="fr-FR"/>
        </w:rPr>
        <w:t>. Westminster existait avant Édouard ; la tradition en plaçait la fond</w:t>
      </w:r>
      <w:r w:rsidRPr="00CA3FF1">
        <w:rPr>
          <w:i/>
          <w:lang w:eastAsia="fr-FR" w:bidi="fr-FR"/>
        </w:rPr>
        <w:t>a</w:t>
      </w:r>
      <w:r w:rsidRPr="00CA3FF1">
        <w:rPr>
          <w:i/>
          <w:lang w:eastAsia="fr-FR" w:bidi="fr-FR"/>
        </w:rPr>
        <w:t>tion au temps de l'évêque de Londres Mellitus, c'est-à-dire au début du VII</w:t>
      </w:r>
      <w:r w:rsidRPr="00CA3FF1">
        <w:rPr>
          <w:i/>
          <w:vertAlign w:val="superscript"/>
          <w:lang w:eastAsia="fr-FR" w:bidi="fr-FR"/>
        </w:rPr>
        <w:t>e</w:t>
      </w:r>
      <w:r w:rsidRPr="00CA3FF1">
        <w:rPr>
          <w:i/>
          <w:lang w:eastAsia="fr-FR" w:bidi="fr-FR"/>
        </w:rPr>
        <w:t xml:space="preserve"> siècle ; mais Édouard avait en quelque sorte fondé à nouveau le monastère ; il l’avait généreusement doté ; il en avait reconstruit l'église ; il y était enterré. C'est pourquoi Sulcard crut devoir cons</w:t>
      </w:r>
      <w:r w:rsidRPr="00CA3FF1">
        <w:rPr>
          <w:i/>
          <w:lang w:eastAsia="fr-FR" w:bidi="fr-FR"/>
        </w:rPr>
        <w:t>a</w:t>
      </w:r>
      <w:r w:rsidRPr="00CA3FF1">
        <w:rPr>
          <w:i/>
          <w:lang w:eastAsia="fr-FR" w:bidi="fr-FR"/>
        </w:rPr>
        <w:t>crer au roi bienfaiteur de sa maison les dernières pages de</w:t>
      </w:r>
      <w:r w:rsidRPr="007422C9">
        <w:rPr>
          <w:lang w:eastAsia="fr-FR" w:bidi="fr-FR"/>
        </w:rPr>
        <w:t xml:space="preserve"> </w:t>
      </w:r>
      <w:r w:rsidRPr="00CA3FF1">
        <w:rPr>
          <w:i/>
          <w:lang w:eastAsia="fr-FR" w:bidi="fr-FR"/>
        </w:rPr>
        <w:t>son petit ouvrage. Il loue sa piété et même son bon gouvernement. Mais il ne mentionne pas de miracles</w:t>
      </w:r>
      <w:r>
        <w:rPr>
          <w:lang w:eastAsia="fr-FR" w:bidi="fr-FR"/>
        </w:rPr>
        <w:t xml:space="preserve"> [950] </w:t>
      </w:r>
      <w:r w:rsidRPr="00CA3FF1">
        <w:rPr>
          <w:i/>
          <w:lang w:eastAsia="fr-FR" w:bidi="fr-FR"/>
        </w:rPr>
        <w:t>accomplis par lui de son vivant ou sur sa tombe. Il ne le considère pas comme un saint.</w:t>
      </w:r>
    </w:p>
    <w:p w14:paraId="54DEE0C8" w14:textId="77777777" w:rsidR="00B9662D" w:rsidRPr="00CA3FF1" w:rsidRDefault="00B9662D" w:rsidP="00B9662D">
      <w:pPr>
        <w:spacing w:before="120" w:after="120"/>
        <w:jc w:val="both"/>
        <w:rPr>
          <w:i/>
        </w:rPr>
      </w:pPr>
      <w:r w:rsidRPr="00CA3FF1">
        <w:rPr>
          <w:i/>
          <w:lang w:eastAsia="fr-FR" w:bidi="fr-FR"/>
        </w:rPr>
        <w:t>Tout devait cependant conspirer à la</w:t>
      </w:r>
      <w:r w:rsidRPr="00CA3FF1">
        <w:rPr>
          <w:b/>
          <w:bCs/>
          <w:i/>
        </w:rPr>
        <w:t xml:space="preserve"> « </w:t>
      </w:r>
      <w:r w:rsidRPr="00CA3FF1">
        <w:rPr>
          <w:i/>
          <w:lang w:eastAsia="fr-FR" w:bidi="fr-FR"/>
        </w:rPr>
        <w:t>gloire posthume</w:t>
      </w:r>
      <w:r w:rsidRPr="00CA3FF1">
        <w:rPr>
          <w:b/>
          <w:bCs/>
          <w:i/>
        </w:rPr>
        <w:t xml:space="preserve"> » </w:t>
      </w:r>
      <w:r w:rsidRPr="00CA3FF1">
        <w:rPr>
          <w:i/>
          <w:lang w:eastAsia="fr-FR" w:bidi="fr-FR"/>
        </w:rPr>
        <w:t>de saint Édouard. Il avait été le dernier roi national. Par une sorte de par</w:t>
      </w:r>
      <w:r w:rsidRPr="00CA3FF1">
        <w:rPr>
          <w:i/>
          <w:lang w:eastAsia="fr-FR" w:bidi="fr-FR"/>
        </w:rPr>
        <w:t>a</w:t>
      </w:r>
      <w:r w:rsidRPr="00CA3FF1">
        <w:rPr>
          <w:i/>
          <w:lang w:eastAsia="fr-FR" w:bidi="fr-FR"/>
        </w:rPr>
        <w:t>doxe historique, son règne, qu'avaient marqué tant de faveurs acco</w:t>
      </w:r>
      <w:r w:rsidRPr="00CA3FF1">
        <w:rPr>
          <w:i/>
          <w:lang w:eastAsia="fr-FR" w:bidi="fr-FR"/>
        </w:rPr>
        <w:t>r</w:t>
      </w:r>
      <w:r w:rsidRPr="00CA3FF1">
        <w:rPr>
          <w:i/>
          <w:lang w:eastAsia="fr-FR" w:bidi="fr-FR"/>
        </w:rPr>
        <w:t>dées aux étrangers, Normands ou Lorrains, devint après la conquête, pour les vaincus, comme le symbole de leurs souvenirs et de leurs a</w:t>
      </w:r>
      <w:r w:rsidRPr="00CA3FF1">
        <w:rPr>
          <w:i/>
          <w:lang w:eastAsia="fr-FR" w:bidi="fr-FR"/>
        </w:rPr>
        <w:t>s</w:t>
      </w:r>
      <w:r w:rsidRPr="00CA3FF1">
        <w:rPr>
          <w:i/>
          <w:lang w:eastAsia="fr-FR" w:bidi="fr-FR"/>
        </w:rPr>
        <w:t>pirations. Très tôt on prit l'habitude de désigner les anciennes cout</w:t>
      </w:r>
      <w:r w:rsidRPr="00CA3FF1">
        <w:rPr>
          <w:i/>
          <w:lang w:eastAsia="fr-FR" w:bidi="fr-FR"/>
        </w:rPr>
        <w:t>u</w:t>
      </w:r>
      <w:r w:rsidRPr="00CA3FF1">
        <w:rPr>
          <w:i/>
          <w:lang w:eastAsia="fr-FR" w:bidi="fr-FR"/>
        </w:rPr>
        <w:t>mes anglo-saxonnes, que les vainqueurs promettaient de respecter, sous le nom de loi d'Édouard,</w:t>
      </w:r>
      <w:r w:rsidRPr="00CA3FF1">
        <w:rPr>
          <w:b/>
          <w:bCs/>
          <w:i/>
        </w:rPr>
        <w:t xml:space="preserve"> </w:t>
      </w:r>
      <w:r w:rsidRPr="001F2F68">
        <w:rPr>
          <w:bCs/>
        </w:rPr>
        <w:t>laga Eadwardi </w:t>
      </w:r>
      <w:r w:rsidRPr="00CA3FF1">
        <w:rPr>
          <w:b/>
          <w:bCs/>
          <w:i/>
        </w:rPr>
        <w:t xml:space="preserve">; </w:t>
      </w:r>
      <w:r w:rsidRPr="00CA3FF1">
        <w:rPr>
          <w:i/>
          <w:lang w:eastAsia="fr-FR" w:bidi="fr-FR"/>
        </w:rPr>
        <w:t>ainsi se créa rapid</w:t>
      </w:r>
      <w:r w:rsidRPr="00CA3FF1">
        <w:rPr>
          <w:i/>
          <w:lang w:eastAsia="fr-FR" w:bidi="fr-FR"/>
        </w:rPr>
        <w:t>e</w:t>
      </w:r>
      <w:r w:rsidRPr="00CA3FF1">
        <w:rPr>
          <w:i/>
          <w:lang w:eastAsia="fr-FR" w:bidi="fr-FR"/>
        </w:rPr>
        <w:t>ment la légende qui devait faire d'un roi dont nous ne possédons pas une seule ordonnance authentique une manière de Justinien. De re</w:t>
      </w:r>
      <w:r w:rsidRPr="00CA3FF1">
        <w:rPr>
          <w:i/>
          <w:lang w:eastAsia="fr-FR" w:bidi="fr-FR"/>
        </w:rPr>
        <w:t>s</w:t>
      </w:r>
      <w:r w:rsidRPr="00CA3FF1">
        <w:rPr>
          <w:i/>
          <w:lang w:eastAsia="fr-FR" w:bidi="fr-FR"/>
        </w:rPr>
        <w:t>pecter Édouard comme un pieux et bon souverain à t'honorer comme un saint, la distance, il est vrai, peut paraître grande ; pour les A</w:t>
      </w:r>
      <w:r w:rsidRPr="00CA3FF1">
        <w:rPr>
          <w:i/>
          <w:lang w:eastAsia="fr-FR" w:bidi="fr-FR"/>
        </w:rPr>
        <w:t>n</w:t>
      </w:r>
      <w:r w:rsidRPr="00CA3FF1">
        <w:rPr>
          <w:i/>
          <w:lang w:eastAsia="fr-FR" w:bidi="fr-FR"/>
        </w:rPr>
        <w:t>glais elle était particulièrement facile à franchir. Parmi toutes les royautés germaniques, la royauté anglo-saxonne était la plus profo</w:t>
      </w:r>
      <w:r w:rsidRPr="00CA3FF1">
        <w:rPr>
          <w:i/>
          <w:lang w:eastAsia="fr-FR" w:bidi="fr-FR"/>
        </w:rPr>
        <w:t>n</w:t>
      </w:r>
      <w:r w:rsidRPr="00CA3FF1">
        <w:rPr>
          <w:i/>
          <w:lang w:eastAsia="fr-FR" w:bidi="fr-FR"/>
        </w:rPr>
        <w:t>dément empreinte du caractère religieux ; les dynasties de l'île avaient fourni un très grand nombre de saints ; le peuple était acco</w:t>
      </w:r>
      <w:r w:rsidRPr="00CA3FF1">
        <w:rPr>
          <w:i/>
          <w:lang w:eastAsia="fr-FR" w:bidi="fr-FR"/>
        </w:rPr>
        <w:t>u</w:t>
      </w:r>
      <w:r w:rsidRPr="00CA3FF1">
        <w:rPr>
          <w:i/>
          <w:lang w:eastAsia="fr-FR" w:bidi="fr-FR"/>
        </w:rPr>
        <w:t>tumé à chercher les objets de son culte parmi les princes issus de ces races presque sacrées. De tout cela naissait un mouvement naturel de vénération. Deux catégories de personnes avaient intérêt à l'encour</w:t>
      </w:r>
      <w:r w:rsidRPr="00CA3FF1">
        <w:rPr>
          <w:i/>
          <w:lang w:eastAsia="fr-FR" w:bidi="fr-FR"/>
        </w:rPr>
        <w:t>a</w:t>
      </w:r>
      <w:r w:rsidRPr="00CA3FF1">
        <w:rPr>
          <w:i/>
          <w:lang w:eastAsia="fr-FR" w:bidi="fr-FR"/>
        </w:rPr>
        <w:t xml:space="preserve">ger. C'étaient d'abord les moines de Westminster, qui possédaient le tombeau d'Edouard et dont les raisons d'agir sont trop claires pour avoir besoin d'être expliquées ; c'étaient aussi les rois normands ou angevins. Comme tous leurs pareils au Moyen </w:t>
      </w:r>
      <w:r>
        <w:rPr>
          <w:i/>
          <w:lang w:eastAsia="fr-FR" w:bidi="fr-FR"/>
        </w:rPr>
        <w:t>Â</w:t>
      </w:r>
      <w:r w:rsidRPr="00CA3FF1">
        <w:rPr>
          <w:i/>
          <w:lang w:eastAsia="fr-FR" w:bidi="fr-FR"/>
        </w:rPr>
        <w:t xml:space="preserve">ge, ils tenaient à compter des saints authentiques dans leur maison ; pour eux sans doute, fûs d’un sang étranger, Édouard n'était pas un ancêtre ; mais ils l'avaient en quelque façon adopté ; ils se considéraient comme ses héritiers. N'était-ce pas sur ses volontés, réelles ou supposées, que Guillaume le Bâtard avait prétendu fonder la légitimité de l'entreprise </w:t>
      </w:r>
      <w:r w:rsidRPr="00CA3FF1">
        <w:rPr>
          <w:i/>
          <w:lang w:eastAsia="fr-FR" w:bidi="fr-FR"/>
        </w:rPr>
        <w:lastRenderedPageBreak/>
        <w:t>de 1066 ? Rois et sujets se trouvaient d'accord pour le porter sur les autels.</w:t>
      </w:r>
    </w:p>
    <w:p w14:paraId="05622AC8" w14:textId="77777777" w:rsidR="00B9662D" w:rsidRPr="001F2F68" w:rsidRDefault="00B9662D" w:rsidP="00B9662D">
      <w:pPr>
        <w:spacing w:before="120" w:after="120"/>
        <w:jc w:val="both"/>
        <w:rPr>
          <w:i/>
        </w:rPr>
      </w:pPr>
      <w:r w:rsidRPr="00CA3FF1">
        <w:rPr>
          <w:i/>
          <w:lang w:eastAsia="fr-FR" w:bidi="fr-FR"/>
        </w:rPr>
        <w:t>De fait son tombeau nous apparaît de bonne heure comme un lieu sacré. Si l'on en croit Osbert de Clare, l'abbé Gilbert Crispin opéra en 1102 la première translation du corps, que l'on trouva intact</w:t>
      </w:r>
      <w:r w:rsidRPr="00CA3FF1">
        <w:rPr>
          <w:b/>
          <w:bCs/>
          <w:i/>
        </w:rPr>
        <w:t xml:space="preserve"> « </w:t>
      </w:r>
      <w:r w:rsidRPr="00CA3FF1">
        <w:rPr>
          <w:i/>
          <w:lang w:eastAsia="fr-FR" w:bidi="fr-FR"/>
        </w:rPr>
        <w:t>sans aucune trace de pourriture</w:t>
      </w:r>
      <w:r>
        <w:rPr>
          <w:lang w:eastAsia="fr-FR" w:bidi="fr-FR"/>
        </w:rPr>
        <w:t> </w:t>
      </w:r>
      <w:r>
        <w:rPr>
          <w:rStyle w:val="Appelnotedebasdep"/>
        </w:rPr>
        <w:footnoteReference w:id="1053"/>
      </w:r>
      <w:r w:rsidRPr="007422C9">
        <w:rPr>
          <w:lang w:eastAsia="fr-FR" w:bidi="fr-FR"/>
        </w:rPr>
        <w:t xml:space="preserve">. </w:t>
      </w:r>
      <w:r w:rsidRPr="00CA3FF1">
        <w:rPr>
          <w:i/>
          <w:lang w:eastAsia="fr-FR" w:bidi="fr-FR"/>
        </w:rPr>
        <w:t>Gilbert gouverna Westminster de 1085 environ à 1117 ; il est certain que de son temps, par une formule bien significative de la vénération où l'on tenait déjà les restes du pieux roi, on disait d'un homme qui réclamait l'asile du monastère qu'il</w:t>
      </w:r>
      <w:r w:rsidRPr="00CA3FF1">
        <w:rPr>
          <w:b/>
          <w:bCs/>
          <w:i/>
        </w:rPr>
        <w:t xml:space="preserve"> « </w:t>
      </w:r>
      <w:r w:rsidRPr="00CA3FF1">
        <w:rPr>
          <w:i/>
          <w:lang w:eastAsia="fr-FR" w:bidi="fr-FR"/>
        </w:rPr>
        <w:t>cherchait l'autel de Saint-Pierre de Westminster et le corps du roi Édouard</w:t>
      </w:r>
      <w:r w:rsidRPr="00CA3FF1">
        <w:rPr>
          <w:b/>
          <w:bCs/>
          <w:i/>
        </w:rPr>
        <w:t> » </w:t>
      </w:r>
      <w:r w:rsidRPr="00CA3FF1">
        <w:rPr>
          <w:bCs/>
          <w:i/>
        </w:rPr>
        <w:t>;</w:t>
      </w:r>
      <w:r w:rsidRPr="00CA3FF1">
        <w:rPr>
          <w:b/>
          <w:bCs/>
          <w:i/>
        </w:rPr>
        <w:t xml:space="preserve"> </w:t>
      </w:r>
      <w:r w:rsidRPr="00CA3FF1">
        <w:rPr>
          <w:i/>
          <w:lang w:eastAsia="fr-FR" w:bidi="fr-FR"/>
        </w:rPr>
        <w:t>deux chartes de lui en témoignent </w:t>
      </w:r>
      <w:r>
        <w:rPr>
          <w:rStyle w:val="Appelnotedebasdep"/>
        </w:rPr>
        <w:footnoteReference w:id="1054"/>
      </w:r>
      <w:r w:rsidRPr="007B2663">
        <w:rPr>
          <w:bCs/>
        </w:rPr>
        <w:t>.</w:t>
      </w:r>
      <w:r w:rsidRPr="007422C9">
        <w:rPr>
          <w:b/>
          <w:bCs/>
        </w:rPr>
        <w:t xml:space="preserve"> </w:t>
      </w:r>
      <w:r w:rsidRPr="00CA3FF1">
        <w:rPr>
          <w:i/>
          <w:lang w:eastAsia="fr-FR" w:bidi="fr-FR"/>
        </w:rPr>
        <w:t>Nul doute que sur le tombeau des miracles ne passassent dès lors pour s'être accomplis. Ils ne tardèrent vraisemblablement pas à être mis par écrit ; et l'on dut bientôt y ajouter quelques notes sommaires sur les guérisons m</w:t>
      </w:r>
      <w:r w:rsidRPr="00CA3FF1">
        <w:rPr>
          <w:i/>
          <w:lang w:eastAsia="fr-FR" w:bidi="fr-FR"/>
        </w:rPr>
        <w:t>i</w:t>
      </w:r>
      <w:r w:rsidRPr="00CA3FF1">
        <w:rPr>
          <w:i/>
          <w:lang w:eastAsia="fr-FR" w:bidi="fr-FR"/>
        </w:rPr>
        <w:t>raculeuses ou sur les visions que l'on commençait à prêter à Édouard de son vivant. Lorsque Osbert de Clore, dans la dédicace qu'il a pl</w:t>
      </w:r>
      <w:r w:rsidRPr="00CA3FF1">
        <w:rPr>
          <w:i/>
          <w:lang w:eastAsia="fr-FR" w:bidi="fr-FR"/>
        </w:rPr>
        <w:t>a</w:t>
      </w:r>
      <w:r w:rsidRPr="00CA3FF1">
        <w:rPr>
          <w:i/>
          <w:lang w:eastAsia="fr-FR" w:bidi="fr-FR"/>
        </w:rPr>
        <w:t>cée en tête de sa</w:t>
      </w:r>
      <w:r w:rsidRPr="00CA3FF1">
        <w:rPr>
          <w:b/>
          <w:bCs/>
          <w:i/>
        </w:rPr>
        <w:t xml:space="preserve"> </w:t>
      </w:r>
      <w:r w:rsidRPr="00CA3FF1">
        <w:rPr>
          <w:bCs/>
          <w:i/>
        </w:rPr>
        <w:t>Vie,</w:t>
      </w:r>
      <w:r w:rsidRPr="00CA3FF1">
        <w:rPr>
          <w:b/>
          <w:bCs/>
          <w:i/>
        </w:rPr>
        <w:t xml:space="preserve"> </w:t>
      </w:r>
      <w:r w:rsidRPr="00CA3FF1">
        <w:rPr>
          <w:i/>
          <w:lang w:eastAsia="fr-FR" w:bidi="fr-FR"/>
        </w:rPr>
        <w:t xml:space="preserve">parle des </w:t>
      </w:r>
      <w:r w:rsidRPr="00CA3FF1">
        <w:rPr>
          <w:b/>
          <w:bCs/>
          <w:i/>
        </w:rPr>
        <w:t>« </w:t>
      </w:r>
      <w:r w:rsidRPr="00CA3FF1">
        <w:rPr>
          <w:i/>
          <w:lang w:eastAsia="fr-FR" w:bidi="fr-FR"/>
        </w:rPr>
        <w:t>cédules... écrites par nos saints p</w:t>
      </w:r>
      <w:r w:rsidRPr="00CA3FF1">
        <w:rPr>
          <w:i/>
          <w:lang w:eastAsia="fr-FR" w:bidi="fr-FR"/>
        </w:rPr>
        <w:t>è</w:t>
      </w:r>
      <w:r w:rsidRPr="00CA3FF1">
        <w:rPr>
          <w:i/>
          <w:lang w:eastAsia="fr-FR" w:bidi="fr-FR"/>
        </w:rPr>
        <w:t>res</w:t>
      </w:r>
      <w:r w:rsidRPr="00CA3FF1">
        <w:rPr>
          <w:b/>
          <w:bCs/>
          <w:i/>
        </w:rPr>
        <w:t xml:space="preserve"> » </w:t>
      </w:r>
      <w:r w:rsidRPr="00CA3FF1">
        <w:rPr>
          <w:i/>
          <w:lang w:eastAsia="fr-FR" w:bidi="fr-FR"/>
        </w:rPr>
        <w:t>où ceux-ci avaient consigné</w:t>
      </w:r>
      <w:r w:rsidRPr="00CA3FF1">
        <w:rPr>
          <w:b/>
          <w:bCs/>
          <w:i/>
        </w:rPr>
        <w:t xml:space="preserve"> « </w:t>
      </w:r>
      <w:r w:rsidRPr="00CA3FF1">
        <w:rPr>
          <w:i/>
          <w:lang w:eastAsia="fr-FR" w:bidi="fr-FR"/>
        </w:rPr>
        <w:t>ce qu'ils avaient vu et entendu</w:t>
      </w:r>
      <w:r w:rsidRPr="00CA3FF1">
        <w:rPr>
          <w:b/>
          <w:bCs/>
          <w:i/>
        </w:rPr>
        <w:t> » </w:t>
      </w:r>
      <w:r>
        <w:rPr>
          <w:rStyle w:val="Appelnotedebasdep"/>
          <w:b/>
          <w:bCs/>
        </w:rPr>
        <w:footnoteReference w:id="1055"/>
      </w:r>
      <w:r w:rsidRPr="007B2663">
        <w:rPr>
          <w:bCs/>
        </w:rPr>
        <w:t>,</w:t>
      </w:r>
      <w:r w:rsidRPr="007422C9">
        <w:rPr>
          <w:b/>
          <w:bCs/>
        </w:rPr>
        <w:t xml:space="preserve"> </w:t>
      </w:r>
      <w:r w:rsidRPr="00CA3FF1">
        <w:rPr>
          <w:i/>
          <w:lang w:eastAsia="fr-FR" w:bidi="fr-FR"/>
        </w:rPr>
        <w:t>il fait, selon toute probabilité, allusion à des récits</w:t>
      </w:r>
      <w:r>
        <w:rPr>
          <w:lang w:eastAsia="fr-FR" w:bidi="fr-FR"/>
        </w:rPr>
        <w:t xml:space="preserve"> </w:t>
      </w:r>
      <w:r>
        <w:t>[</w:t>
      </w:r>
      <w:r w:rsidRPr="007422C9">
        <w:rPr>
          <w:lang w:eastAsia="fr-FR" w:bidi="fr-FR"/>
        </w:rPr>
        <w:t>951</w:t>
      </w:r>
      <w:r>
        <w:rPr>
          <w:lang w:eastAsia="fr-FR" w:bidi="fr-FR"/>
        </w:rPr>
        <w:t>]</w:t>
      </w:r>
      <w:r>
        <w:rPr>
          <w:i/>
          <w:lang w:eastAsia="fr-FR" w:bidi="fr-FR"/>
        </w:rPr>
        <w:t xml:space="preserve"> </w:t>
      </w:r>
      <w:r w:rsidRPr="001F2F68">
        <w:rPr>
          <w:i/>
          <w:lang w:eastAsia="fr-FR" w:bidi="fr-FR"/>
        </w:rPr>
        <w:t>de cette so</w:t>
      </w:r>
      <w:r w:rsidRPr="001F2F68">
        <w:rPr>
          <w:i/>
          <w:lang w:eastAsia="fr-FR" w:bidi="fr-FR"/>
        </w:rPr>
        <w:t>r</w:t>
      </w:r>
      <w:r w:rsidRPr="001F2F68">
        <w:rPr>
          <w:i/>
          <w:lang w:eastAsia="fr-FR" w:bidi="fr-FR"/>
        </w:rPr>
        <w:t>te, aujourd'hui perdus, mais que, comme on le verra tout à l’heure, nous pouvons dans une certaine mesure reconstituer.</w:t>
      </w:r>
    </w:p>
    <w:p w14:paraId="220FF122" w14:textId="77777777" w:rsidR="00B9662D" w:rsidRPr="001F2F68" w:rsidRDefault="00B9662D" w:rsidP="00B9662D">
      <w:pPr>
        <w:spacing w:before="120" w:after="120"/>
        <w:jc w:val="both"/>
        <w:rPr>
          <w:i/>
        </w:rPr>
      </w:pPr>
      <w:r w:rsidRPr="001F2F68">
        <w:rPr>
          <w:i/>
          <w:lang w:eastAsia="fr-FR" w:bidi="fr-FR"/>
        </w:rPr>
        <w:t>Ce n'étaient là encore que des matériaux susceptibles de servir aux hagiographes de l'avenir, non point des œuvres littéraires aptes à être répandues dans le public. Quand pour la première fois la Vie d'Édouard fut-elle traitée selon les formules classiques de l'hagiogr</w:t>
      </w:r>
      <w:r w:rsidRPr="001F2F68">
        <w:rPr>
          <w:i/>
          <w:lang w:eastAsia="fr-FR" w:bidi="fr-FR"/>
        </w:rPr>
        <w:t>a</w:t>
      </w:r>
      <w:r w:rsidRPr="001F2F68">
        <w:rPr>
          <w:i/>
          <w:lang w:eastAsia="fr-FR" w:bidi="fr-FR"/>
        </w:rPr>
        <w:t>phie ? En d'autres termes Osbert eut-il des prédécesseurs et lesquels ? C'est ce qu'il faut maintenant examiner.</w:t>
      </w:r>
    </w:p>
    <w:p w14:paraId="58A25AD9" w14:textId="77777777" w:rsidR="00B9662D" w:rsidRPr="001F2F68" w:rsidRDefault="00B9662D" w:rsidP="00B9662D">
      <w:pPr>
        <w:spacing w:before="120" w:after="120"/>
        <w:jc w:val="both"/>
        <w:rPr>
          <w:b/>
          <w:bCs/>
          <w:i/>
        </w:rPr>
      </w:pPr>
      <w:r>
        <w:rPr>
          <w:i/>
          <w:lang w:eastAsia="fr-FR" w:bidi="fr-FR"/>
        </w:rPr>
        <w:br w:type="page"/>
      </w:r>
      <w:r w:rsidRPr="001F2F68">
        <w:rPr>
          <w:i/>
          <w:lang w:eastAsia="fr-FR" w:bidi="fr-FR"/>
        </w:rPr>
        <w:lastRenderedPageBreak/>
        <w:t>On considère d'ordinaire comme la plus ancienne Vie du Confe</w:t>
      </w:r>
      <w:r w:rsidRPr="001F2F68">
        <w:rPr>
          <w:i/>
          <w:lang w:eastAsia="fr-FR" w:bidi="fr-FR"/>
        </w:rPr>
        <w:t>s</w:t>
      </w:r>
      <w:r w:rsidRPr="001F2F68">
        <w:rPr>
          <w:i/>
          <w:lang w:eastAsia="fr-FR" w:bidi="fr-FR"/>
        </w:rPr>
        <w:t>seur un écrit que Luard a publié en 1858 sous le titre de</w:t>
      </w:r>
      <w:r w:rsidRPr="007422C9">
        <w:rPr>
          <w:b/>
          <w:bCs/>
        </w:rPr>
        <w:t xml:space="preserve"> </w:t>
      </w:r>
      <w:r w:rsidRPr="001F2F68">
        <w:rPr>
          <w:bCs/>
        </w:rPr>
        <w:t>Vita A</w:t>
      </w:r>
      <w:r w:rsidRPr="001F2F68">
        <w:rPr>
          <w:bCs/>
        </w:rPr>
        <w:t>e</w:t>
      </w:r>
      <w:r w:rsidRPr="001F2F68">
        <w:rPr>
          <w:bCs/>
        </w:rPr>
        <w:t>duuardi regis qui apud Westmonasterium requiescit </w:t>
      </w:r>
      <w:r>
        <w:rPr>
          <w:rStyle w:val="Appelnotedebasdep"/>
          <w:bCs/>
        </w:rPr>
        <w:footnoteReference w:id="1056"/>
      </w:r>
      <w:r w:rsidRPr="007B2663">
        <w:rPr>
          <w:bCs/>
          <w:i/>
        </w:rPr>
        <w:t>.</w:t>
      </w:r>
      <w:r w:rsidRPr="007422C9">
        <w:rPr>
          <w:b/>
          <w:bCs/>
        </w:rPr>
        <w:t xml:space="preserve"> </w:t>
      </w:r>
      <w:r w:rsidRPr="001F2F68">
        <w:rPr>
          <w:i/>
          <w:lang w:eastAsia="fr-FR" w:bidi="fr-FR"/>
        </w:rPr>
        <w:t>Sans en conte</w:t>
      </w:r>
      <w:r w:rsidRPr="001F2F68">
        <w:rPr>
          <w:i/>
          <w:lang w:eastAsia="fr-FR" w:bidi="fr-FR"/>
        </w:rPr>
        <w:t>s</w:t>
      </w:r>
      <w:r w:rsidRPr="001F2F68">
        <w:rPr>
          <w:i/>
          <w:lang w:eastAsia="fr-FR" w:bidi="fr-FR"/>
        </w:rPr>
        <w:t>ter l’ancienneté, je n'en tiens pas la date pour aussi reculée qu'on l'a cru jusqu'ici. J'essaierai plus loin d'en faire l'étude critique, indispe</w:t>
      </w:r>
      <w:r w:rsidRPr="001F2F68">
        <w:rPr>
          <w:i/>
          <w:lang w:eastAsia="fr-FR" w:bidi="fr-FR"/>
        </w:rPr>
        <w:t>n</w:t>
      </w:r>
      <w:r w:rsidRPr="001F2F68">
        <w:rPr>
          <w:i/>
          <w:lang w:eastAsia="fr-FR" w:bidi="fr-FR"/>
        </w:rPr>
        <w:t>sable à la connaissance des sources où Osbert a puisé. Mais ce que j'ai à en dire ne serait guère intelligible à un lecteur qui ne se repr</w:t>
      </w:r>
      <w:r w:rsidRPr="001F2F68">
        <w:rPr>
          <w:i/>
          <w:lang w:eastAsia="fr-FR" w:bidi="fr-FR"/>
        </w:rPr>
        <w:t>é</w:t>
      </w:r>
      <w:r w:rsidRPr="001F2F68">
        <w:rPr>
          <w:i/>
          <w:lang w:eastAsia="fr-FR" w:bidi="fr-FR"/>
        </w:rPr>
        <w:t>senterait pas d'ensemble l'évolution de la littérature spéciale qui nous occupe ici. Je laisserai donc dans l'ombre, pour l'instant, ce texte, placé d'ailleurs un peu à l'écart du courant général de la tradition. Nous reviendrons plus tard vers lui, mieux outillés pour le compre</w:t>
      </w:r>
      <w:r w:rsidRPr="001F2F68">
        <w:rPr>
          <w:i/>
          <w:lang w:eastAsia="fr-FR" w:bidi="fr-FR"/>
        </w:rPr>
        <w:t>n</w:t>
      </w:r>
      <w:r w:rsidRPr="001F2F68">
        <w:rPr>
          <w:i/>
          <w:lang w:eastAsia="fr-FR" w:bidi="fr-FR"/>
        </w:rPr>
        <w:t>dre que nous ne le serions maintenant.</w:t>
      </w:r>
    </w:p>
    <w:p w14:paraId="67842B32" w14:textId="77777777" w:rsidR="00B9662D" w:rsidRPr="001F2F68" w:rsidRDefault="00B9662D" w:rsidP="00B9662D">
      <w:pPr>
        <w:spacing w:before="120" w:after="120"/>
        <w:jc w:val="both"/>
        <w:rPr>
          <w:i/>
        </w:rPr>
      </w:pPr>
      <w:r w:rsidRPr="001F2F68">
        <w:rPr>
          <w:lang w:eastAsia="fr-FR" w:bidi="fr-FR"/>
        </w:rPr>
        <w:t>La</w:t>
      </w:r>
      <w:r w:rsidRPr="001F2F68">
        <w:rPr>
          <w:b/>
          <w:bCs/>
        </w:rPr>
        <w:t xml:space="preserve"> </w:t>
      </w:r>
      <w:r w:rsidRPr="001F2F68">
        <w:rPr>
          <w:bCs/>
        </w:rPr>
        <w:t>Vita</w:t>
      </w:r>
      <w:r w:rsidRPr="001F2F68">
        <w:rPr>
          <w:b/>
          <w:bCs/>
          <w:i/>
        </w:rPr>
        <w:t xml:space="preserve"> </w:t>
      </w:r>
      <w:r w:rsidRPr="001F2F68">
        <w:rPr>
          <w:i/>
          <w:lang w:eastAsia="fr-FR" w:bidi="fr-FR"/>
        </w:rPr>
        <w:t>publiée par Luard une fois mise de côté, le plus ancien des écrivains chez qui la légende dont nous cherchons à suivre les dest</w:t>
      </w:r>
      <w:r w:rsidRPr="001F2F68">
        <w:rPr>
          <w:i/>
          <w:lang w:eastAsia="fr-FR" w:bidi="fr-FR"/>
        </w:rPr>
        <w:t>i</w:t>
      </w:r>
      <w:r w:rsidRPr="001F2F68">
        <w:rPr>
          <w:i/>
          <w:lang w:eastAsia="fr-FR" w:bidi="fr-FR"/>
        </w:rPr>
        <w:t>nées apparaisse déjà épanouie est le célèbre historien anglais Gui</w:t>
      </w:r>
      <w:r w:rsidRPr="001F2F68">
        <w:rPr>
          <w:i/>
          <w:lang w:eastAsia="fr-FR" w:bidi="fr-FR"/>
        </w:rPr>
        <w:t>l</w:t>
      </w:r>
      <w:r w:rsidRPr="001F2F68">
        <w:rPr>
          <w:i/>
          <w:lang w:eastAsia="fr-FR" w:bidi="fr-FR"/>
        </w:rPr>
        <w:t>laume de Malmesbury. Non que Guillaume ait jamais composé, à proprement parler, une biographie de saint Édouard ; mais dans la première rédaction de ses</w:t>
      </w:r>
      <w:r w:rsidRPr="001F2F68">
        <w:rPr>
          <w:b/>
          <w:bCs/>
          <w:i/>
        </w:rPr>
        <w:t xml:space="preserve"> </w:t>
      </w:r>
      <w:r w:rsidRPr="001F2F68">
        <w:rPr>
          <w:bCs/>
        </w:rPr>
        <w:t>Gesta Regum</w:t>
      </w:r>
      <w:r w:rsidRPr="001F2F68">
        <w:rPr>
          <w:bCs/>
          <w:i/>
        </w:rPr>
        <w:t>,</w:t>
      </w:r>
      <w:r w:rsidRPr="001F2F68">
        <w:rPr>
          <w:b/>
          <w:bCs/>
          <w:i/>
        </w:rPr>
        <w:t xml:space="preserve"> </w:t>
      </w:r>
      <w:r w:rsidRPr="001F2F68">
        <w:rPr>
          <w:i/>
          <w:lang w:eastAsia="fr-FR" w:bidi="fr-FR"/>
        </w:rPr>
        <w:t>à laquelle il donna la derni</w:t>
      </w:r>
      <w:r w:rsidRPr="001F2F68">
        <w:rPr>
          <w:i/>
          <w:lang w:eastAsia="fr-FR" w:bidi="fr-FR"/>
        </w:rPr>
        <w:t>è</w:t>
      </w:r>
      <w:r w:rsidRPr="001F2F68">
        <w:rPr>
          <w:i/>
          <w:lang w:eastAsia="fr-FR" w:bidi="fr-FR"/>
        </w:rPr>
        <w:t>re main en 1124 ou 1125, il consacra aux miracles du saint roi un développement important, que par la suite il reproduisit sans modif</w:t>
      </w:r>
      <w:r w:rsidRPr="001F2F68">
        <w:rPr>
          <w:i/>
          <w:lang w:eastAsia="fr-FR" w:bidi="fr-FR"/>
        </w:rPr>
        <w:t>i</w:t>
      </w:r>
      <w:r w:rsidRPr="001F2F68">
        <w:rPr>
          <w:i/>
          <w:lang w:eastAsia="fr-FR" w:bidi="fr-FR"/>
        </w:rPr>
        <w:t>cation dans les éditions successives de cette œuvre</w:t>
      </w:r>
      <w:r>
        <w:rPr>
          <w:lang w:eastAsia="fr-FR" w:bidi="fr-FR"/>
        </w:rPr>
        <w:t> </w:t>
      </w:r>
      <w:r>
        <w:rPr>
          <w:rStyle w:val="Appelnotedebasdep"/>
        </w:rPr>
        <w:footnoteReference w:id="1057"/>
      </w:r>
      <w:r w:rsidRPr="007422C9">
        <w:rPr>
          <w:lang w:eastAsia="fr-FR" w:bidi="fr-FR"/>
        </w:rPr>
        <w:t xml:space="preserve">. </w:t>
      </w:r>
      <w:r w:rsidRPr="001F2F68">
        <w:rPr>
          <w:i/>
          <w:lang w:eastAsia="fr-FR" w:bidi="fr-FR"/>
        </w:rPr>
        <w:t>Ces quelques pages étaient, semble-t-il, médiocrement originales. Nous verrons plus tard que probablement Guillaume ne fit guère que mettre</w:t>
      </w:r>
      <w:r w:rsidRPr="007422C9">
        <w:rPr>
          <w:lang w:eastAsia="fr-FR" w:bidi="fr-FR"/>
        </w:rPr>
        <w:t xml:space="preserve"> </w:t>
      </w:r>
      <w:r w:rsidRPr="001F2F68">
        <w:rPr>
          <w:i/>
          <w:lang w:eastAsia="fr-FR" w:bidi="fr-FR"/>
        </w:rPr>
        <w:t>en fo</w:t>
      </w:r>
      <w:r w:rsidRPr="001F2F68">
        <w:rPr>
          <w:i/>
          <w:lang w:eastAsia="fr-FR" w:bidi="fr-FR"/>
        </w:rPr>
        <w:t>r</w:t>
      </w:r>
      <w:r w:rsidRPr="001F2F68">
        <w:rPr>
          <w:i/>
          <w:lang w:eastAsia="fr-FR" w:bidi="fr-FR"/>
        </w:rPr>
        <w:t>me un recueil de miracles qu'il avait sous les yeux, sans doute les</w:t>
      </w:r>
      <w:r w:rsidRPr="001F2F68">
        <w:rPr>
          <w:b/>
          <w:bCs/>
          <w:i/>
        </w:rPr>
        <w:t xml:space="preserve"> « </w:t>
      </w:r>
      <w:r w:rsidRPr="001F2F68">
        <w:rPr>
          <w:i/>
          <w:lang w:eastAsia="fr-FR" w:bidi="fr-FR"/>
        </w:rPr>
        <w:t>cédules</w:t>
      </w:r>
      <w:r w:rsidRPr="001F2F68">
        <w:rPr>
          <w:b/>
          <w:bCs/>
          <w:i/>
        </w:rPr>
        <w:t xml:space="preserve"> » </w:t>
      </w:r>
      <w:r w:rsidRPr="001F2F68">
        <w:rPr>
          <w:i/>
          <w:lang w:eastAsia="fr-FR" w:bidi="fr-FR"/>
        </w:rPr>
        <w:t>rédigées par les moines de Westminster.</w:t>
      </w:r>
    </w:p>
    <w:p w14:paraId="5479FA60" w14:textId="77777777" w:rsidR="00B9662D" w:rsidRPr="007422C9" w:rsidRDefault="00B9662D" w:rsidP="00B9662D">
      <w:pPr>
        <w:spacing w:before="120" w:after="120"/>
        <w:jc w:val="both"/>
      </w:pPr>
      <w:r w:rsidRPr="001F2F68">
        <w:rPr>
          <w:i/>
          <w:lang w:eastAsia="fr-FR" w:bidi="fr-FR"/>
        </w:rPr>
        <w:t>Ensuite vint Osbert de Clare</w:t>
      </w:r>
      <w:r w:rsidRPr="007422C9">
        <w:rPr>
          <w:lang w:eastAsia="fr-FR" w:bidi="fr-FR"/>
        </w:rPr>
        <w:t>.</w:t>
      </w:r>
    </w:p>
    <w:p w14:paraId="66870D37" w14:textId="77777777" w:rsidR="00B9662D" w:rsidRPr="005A4C1A" w:rsidRDefault="00B9662D" w:rsidP="00B9662D">
      <w:pPr>
        <w:spacing w:before="120" w:after="120"/>
        <w:jc w:val="both"/>
        <w:rPr>
          <w:i/>
        </w:rPr>
      </w:pPr>
      <w:r w:rsidRPr="001F2F68">
        <w:rPr>
          <w:i/>
          <w:lang w:eastAsia="fr-FR" w:bidi="fr-FR"/>
        </w:rPr>
        <w:t xml:space="preserve">À la différence de tant d'autres écrivains du Moyen </w:t>
      </w:r>
      <w:r>
        <w:rPr>
          <w:i/>
          <w:lang w:eastAsia="fr-FR" w:bidi="fr-FR"/>
        </w:rPr>
        <w:t>Â</w:t>
      </w:r>
      <w:r w:rsidRPr="001F2F68">
        <w:rPr>
          <w:i/>
          <w:lang w:eastAsia="fr-FR" w:bidi="fr-FR"/>
        </w:rPr>
        <w:t xml:space="preserve">ge, Osbert de Clare est pour nous mieux qu'un nom. Dans son existence, à vrai dire, beaucoup de points importants et presque toutes les dates nous échappent. Mais nous pouvons nous faire de sa personnalité une idée assez exacte. </w:t>
      </w:r>
      <w:r>
        <w:rPr>
          <w:i/>
          <w:lang w:eastAsia="fr-FR" w:bidi="fr-FR"/>
        </w:rPr>
        <w:t>E</w:t>
      </w:r>
      <w:r w:rsidRPr="001F2F68">
        <w:rPr>
          <w:i/>
          <w:lang w:eastAsia="fr-FR" w:bidi="fr-FR"/>
        </w:rPr>
        <w:t xml:space="preserve">lle revit dans ses lettres, dont un bon nombre ont été conservées, grâce sans doute à leur forme apprêtée qui leur gagna en leur temps l'estime des gens de goût. Anstruther en a donné en 1846 </w:t>
      </w:r>
      <w:r w:rsidRPr="001F2F68">
        <w:rPr>
          <w:i/>
          <w:lang w:eastAsia="fr-FR" w:bidi="fr-FR"/>
        </w:rPr>
        <w:lastRenderedPageBreak/>
        <w:t>une édition incomplète et imparfaite </w:t>
      </w:r>
      <w:r>
        <w:rPr>
          <w:rStyle w:val="Appelnotedebasdep"/>
        </w:rPr>
        <w:footnoteReference w:id="1058"/>
      </w:r>
      <w:r w:rsidRPr="007B2663">
        <w:rPr>
          <w:bCs/>
        </w:rPr>
        <w:t>.</w:t>
      </w:r>
      <w:r w:rsidRPr="007422C9">
        <w:rPr>
          <w:b/>
          <w:bCs/>
        </w:rPr>
        <w:t xml:space="preserve"> </w:t>
      </w:r>
      <w:r w:rsidRPr="001F2F68">
        <w:rPr>
          <w:i/>
          <w:lang w:eastAsia="fr-FR" w:bidi="fr-FR"/>
        </w:rPr>
        <w:t>MM. J. Armitage Robinson et E. W. Williamson nous en promettent aujourd'hui une autre qui sera plus fidèle ; tous ceux qu'intéresse l'histoire de la culture intellectuelle médiévale l'accueilleront avec plaisir </w:t>
      </w:r>
      <w:r>
        <w:rPr>
          <w:rStyle w:val="Appelnotedebasdep"/>
        </w:rPr>
        <w:footnoteReference w:id="1059"/>
      </w:r>
      <w:r w:rsidRPr="007B2663">
        <w:rPr>
          <w:bCs/>
        </w:rPr>
        <w:t>.</w:t>
      </w:r>
      <w:r w:rsidRPr="007422C9">
        <w:rPr>
          <w:b/>
          <w:bCs/>
        </w:rPr>
        <w:t xml:space="preserve"> </w:t>
      </w:r>
      <w:r w:rsidRPr="001F2F68">
        <w:rPr>
          <w:i/>
          <w:lang w:eastAsia="fr-FR" w:bidi="fr-FR"/>
        </w:rPr>
        <w:t>La biographie d'Osbert, telle du</w:t>
      </w:r>
      <w:r>
        <w:rPr>
          <w:lang w:eastAsia="fr-FR" w:bidi="fr-FR"/>
        </w:rPr>
        <w:t xml:space="preserve"> [952] </w:t>
      </w:r>
      <w:r w:rsidRPr="005A4C1A">
        <w:rPr>
          <w:i/>
          <w:lang w:eastAsia="fr-FR" w:bidi="fr-FR"/>
        </w:rPr>
        <w:t>moins que nos sources nous permettent de la reconstituer, a été e</w:t>
      </w:r>
      <w:r w:rsidRPr="005A4C1A">
        <w:rPr>
          <w:i/>
          <w:lang w:eastAsia="fr-FR" w:bidi="fr-FR"/>
        </w:rPr>
        <w:t>x</w:t>
      </w:r>
      <w:r w:rsidRPr="005A4C1A">
        <w:rPr>
          <w:i/>
          <w:lang w:eastAsia="fr-FR" w:bidi="fr-FR"/>
        </w:rPr>
        <w:t>cellemment résumée par M. Armitage Robinson, dans un article de la</w:t>
      </w:r>
      <w:r w:rsidRPr="005A4C1A">
        <w:rPr>
          <w:b/>
          <w:bCs/>
          <w:i/>
        </w:rPr>
        <w:t xml:space="preserve"> </w:t>
      </w:r>
      <w:r w:rsidRPr="005A4C1A">
        <w:rPr>
          <w:bCs/>
        </w:rPr>
        <w:t>Church Quarterly</w:t>
      </w:r>
      <w:r w:rsidRPr="005A4C1A">
        <w:rPr>
          <w:bCs/>
          <w:i/>
        </w:rPr>
        <w:t>,</w:t>
      </w:r>
      <w:r w:rsidRPr="005A4C1A">
        <w:rPr>
          <w:b/>
          <w:bCs/>
          <w:i/>
        </w:rPr>
        <w:t xml:space="preserve"> </w:t>
      </w:r>
      <w:r w:rsidRPr="005A4C1A">
        <w:rPr>
          <w:i/>
          <w:lang w:eastAsia="fr-FR" w:bidi="fr-FR"/>
        </w:rPr>
        <w:t>auquel j'emprunterai la plus grande partie de ce qui va suivre </w:t>
      </w:r>
      <w:r>
        <w:rPr>
          <w:rStyle w:val="Appelnotedebasdep"/>
        </w:rPr>
        <w:footnoteReference w:id="1060"/>
      </w:r>
      <w:r w:rsidRPr="007422C9">
        <w:rPr>
          <w:lang w:eastAsia="fr-FR" w:bidi="fr-FR"/>
        </w:rPr>
        <w:t xml:space="preserve">. </w:t>
      </w:r>
      <w:r w:rsidRPr="005A4C1A">
        <w:rPr>
          <w:i/>
          <w:lang w:eastAsia="fr-FR" w:bidi="fr-FR"/>
        </w:rPr>
        <w:t>Je me bornerai bien entendu aux traits essentiels, indispensables à connaître pour replacer dans son milieu l'œuvre p</w:t>
      </w:r>
      <w:r w:rsidRPr="005A4C1A">
        <w:rPr>
          <w:i/>
          <w:lang w:eastAsia="fr-FR" w:bidi="fr-FR"/>
        </w:rPr>
        <w:t>u</w:t>
      </w:r>
      <w:r w:rsidRPr="005A4C1A">
        <w:rPr>
          <w:i/>
          <w:lang w:eastAsia="fr-FR" w:bidi="fr-FR"/>
        </w:rPr>
        <w:t>bliée ici.</w:t>
      </w:r>
    </w:p>
    <w:p w14:paraId="6612D6BD" w14:textId="77777777" w:rsidR="00B9662D" w:rsidRPr="005A4C1A" w:rsidRDefault="00B9662D" w:rsidP="00B9662D">
      <w:pPr>
        <w:spacing w:before="120" w:after="120"/>
        <w:jc w:val="both"/>
        <w:rPr>
          <w:i/>
        </w:rPr>
      </w:pPr>
      <w:r w:rsidRPr="005A4C1A">
        <w:rPr>
          <w:i/>
          <w:lang w:eastAsia="fr-FR" w:bidi="fr-FR"/>
        </w:rPr>
        <w:t>Osbert était originaire de la petite ville de Clore, dans le comté de Suffolk : d'où son surnom. On ignore l'année de sa naissance. Il était déjà moine à Westminster et sans doute déjà homme fait lorsque He</w:t>
      </w:r>
      <w:r w:rsidRPr="005A4C1A">
        <w:rPr>
          <w:i/>
          <w:lang w:eastAsia="fr-FR" w:bidi="fr-FR"/>
        </w:rPr>
        <w:t>n</w:t>
      </w:r>
      <w:r w:rsidRPr="005A4C1A">
        <w:rPr>
          <w:i/>
          <w:lang w:eastAsia="fr-FR" w:bidi="fr-FR"/>
        </w:rPr>
        <w:t>ri Beauclerc désigna comme abbé l'aumônier royal Herbert, en 1121. Il avait peut-être été le concurrent d'Herbert. En tout cas il eut avec lui une âpre querelle. Il vécut de longues années en exil, loin de son monastère. Puis il rentra en grâce en 1133 ou 1134 et fut nommé prieur </w:t>
      </w:r>
      <w:r>
        <w:rPr>
          <w:rStyle w:val="Appelnotedebasdep"/>
        </w:rPr>
        <w:footnoteReference w:id="1061"/>
      </w:r>
      <w:r w:rsidRPr="007422C9">
        <w:rPr>
          <w:lang w:eastAsia="fr-FR" w:bidi="fr-FR"/>
        </w:rPr>
        <w:t xml:space="preserve">, </w:t>
      </w:r>
      <w:r w:rsidRPr="005A4C1A">
        <w:rPr>
          <w:i/>
          <w:lang w:eastAsia="fr-FR" w:bidi="fr-FR"/>
        </w:rPr>
        <w:t>ou, si l'on admet qu'il avait déjà auparavant été revêtu de cet office, il reprit ses fonctions anciennes. Mais à la mort d'Herbert, la dignité abbatiale lui échappa une seconde fois ; il dut s'effacer devant Gervais de Blois, le propre fils naturel du nouveau roi Étienne. Il v</w:t>
      </w:r>
      <w:r w:rsidRPr="005A4C1A">
        <w:rPr>
          <w:i/>
          <w:lang w:eastAsia="fr-FR" w:bidi="fr-FR"/>
        </w:rPr>
        <w:t>é</w:t>
      </w:r>
      <w:r w:rsidRPr="005A4C1A">
        <w:rPr>
          <w:i/>
          <w:lang w:eastAsia="fr-FR" w:bidi="fr-FR"/>
        </w:rPr>
        <w:t xml:space="preserve">cut assez pour voir en 1153 le retour en Angleterre de Henri II </w:t>
      </w:r>
      <w:r w:rsidRPr="005A4C1A">
        <w:rPr>
          <w:i/>
          <w:lang w:eastAsia="fr-FR" w:bidi="fr-FR"/>
        </w:rPr>
        <w:lastRenderedPageBreak/>
        <w:t>Pla</w:t>
      </w:r>
      <w:r w:rsidRPr="005A4C1A">
        <w:rPr>
          <w:i/>
          <w:lang w:eastAsia="fr-FR" w:bidi="fr-FR"/>
        </w:rPr>
        <w:t>n</w:t>
      </w:r>
      <w:r w:rsidRPr="005A4C1A">
        <w:rPr>
          <w:i/>
          <w:lang w:eastAsia="fr-FR" w:bidi="fr-FR"/>
        </w:rPr>
        <w:t>tagenet, à qui il dédia une poésie </w:t>
      </w:r>
      <w:r>
        <w:rPr>
          <w:rStyle w:val="Appelnotedebasdep"/>
        </w:rPr>
        <w:footnoteReference w:id="1062"/>
      </w:r>
      <w:r w:rsidRPr="007B2663">
        <w:rPr>
          <w:bCs/>
        </w:rPr>
        <w:t>.</w:t>
      </w:r>
      <w:r w:rsidRPr="007422C9">
        <w:rPr>
          <w:b/>
          <w:bCs/>
        </w:rPr>
        <w:t xml:space="preserve"> </w:t>
      </w:r>
      <w:r w:rsidRPr="005A4C1A">
        <w:rPr>
          <w:i/>
          <w:lang w:eastAsia="fr-FR" w:bidi="fr-FR"/>
        </w:rPr>
        <w:t>La date de sa mort, comme celle de sa naissance, demeure dans l'obscurité.</w:t>
      </w:r>
    </w:p>
    <w:p w14:paraId="7BC4EFBE" w14:textId="77777777" w:rsidR="00B9662D" w:rsidRPr="005A4C1A" w:rsidRDefault="00B9662D" w:rsidP="00B9662D">
      <w:pPr>
        <w:spacing w:before="120" w:after="120"/>
        <w:jc w:val="both"/>
        <w:rPr>
          <w:i/>
        </w:rPr>
      </w:pPr>
      <w:r w:rsidRPr="005A4C1A">
        <w:rPr>
          <w:i/>
          <w:lang w:eastAsia="fr-FR" w:bidi="fr-FR"/>
        </w:rPr>
        <w:t>Ame passionnée, caractère inquiet, Osbert fut de ces religieux qui ne connaissent guère la paix du cloître. Trois grandes affaires surtout occupèrent sa vie : ses démêlés avec ses supérieurs ;</w:t>
      </w:r>
      <w:r w:rsidRPr="005A4C1A">
        <w:rPr>
          <w:b/>
          <w:bCs/>
          <w:i/>
        </w:rPr>
        <w:t> — </w:t>
      </w:r>
      <w:r w:rsidRPr="005A4C1A">
        <w:rPr>
          <w:i/>
          <w:lang w:eastAsia="fr-FR" w:bidi="fr-FR"/>
        </w:rPr>
        <w:t>un ardent apostolat en faveur de la croyance à l’Immaculée Conception </w:t>
      </w:r>
      <w:r w:rsidRPr="005A4C1A">
        <w:rPr>
          <w:rStyle w:val="Appelnotedebasdep"/>
        </w:rPr>
        <w:footnoteReference w:id="1063"/>
      </w:r>
      <w:r w:rsidRPr="005A4C1A">
        <w:rPr>
          <w:i/>
          <w:lang w:eastAsia="fr-FR" w:bidi="fr-FR"/>
        </w:rPr>
        <w:t> ;</w:t>
      </w:r>
      <w:r w:rsidRPr="005A4C1A">
        <w:rPr>
          <w:b/>
          <w:bCs/>
          <w:i/>
        </w:rPr>
        <w:t> — </w:t>
      </w:r>
      <w:r w:rsidRPr="005A4C1A">
        <w:rPr>
          <w:i/>
          <w:lang w:eastAsia="fr-FR" w:bidi="fr-FR"/>
        </w:rPr>
        <w:t>enfin la canonisation de saint Édouard le Confesseur. Ce dernier point seul doit nous retenir.</w:t>
      </w:r>
    </w:p>
    <w:p w14:paraId="4D2E391E" w14:textId="77777777" w:rsidR="00B9662D" w:rsidRPr="00384C32" w:rsidRDefault="00B9662D" w:rsidP="00B9662D">
      <w:pPr>
        <w:spacing w:before="120" w:after="120"/>
        <w:jc w:val="both"/>
        <w:rPr>
          <w:i/>
        </w:rPr>
      </w:pPr>
      <w:r w:rsidRPr="005A4C1A">
        <w:rPr>
          <w:i/>
          <w:lang w:eastAsia="fr-FR" w:bidi="fr-FR"/>
        </w:rPr>
        <w:t>Nous avons d'Osbert, outre un sermon sur l’Immaculée Conce</w:t>
      </w:r>
      <w:r w:rsidRPr="005A4C1A">
        <w:rPr>
          <w:i/>
          <w:lang w:eastAsia="fr-FR" w:bidi="fr-FR"/>
        </w:rPr>
        <w:t>p</w:t>
      </w:r>
      <w:r w:rsidRPr="005A4C1A">
        <w:rPr>
          <w:i/>
          <w:lang w:eastAsia="fr-FR" w:bidi="fr-FR"/>
        </w:rPr>
        <w:t>tion</w:t>
      </w:r>
      <w:r>
        <w:rPr>
          <w:lang w:eastAsia="fr-FR" w:bidi="fr-FR"/>
        </w:rPr>
        <w:t> </w:t>
      </w:r>
      <w:r>
        <w:rPr>
          <w:rStyle w:val="Appelnotedebasdep"/>
        </w:rPr>
        <w:footnoteReference w:id="1064"/>
      </w:r>
      <w:r w:rsidRPr="005A4C1A">
        <w:rPr>
          <w:bCs/>
          <w:i/>
        </w:rPr>
        <w:t>,</w:t>
      </w:r>
      <w:r w:rsidRPr="005A4C1A">
        <w:rPr>
          <w:b/>
          <w:bCs/>
          <w:i/>
        </w:rPr>
        <w:t xml:space="preserve"> </w:t>
      </w:r>
      <w:r w:rsidRPr="005A4C1A">
        <w:rPr>
          <w:i/>
          <w:lang w:eastAsia="fr-FR" w:bidi="fr-FR"/>
        </w:rPr>
        <w:t>un traité de la chasteté </w:t>
      </w:r>
      <w:r w:rsidRPr="005A4C1A">
        <w:rPr>
          <w:rStyle w:val="Appelnotedebasdep"/>
        </w:rPr>
        <w:footnoteReference w:id="1065"/>
      </w:r>
      <w:r w:rsidRPr="005A4C1A">
        <w:rPr>
          <w:b/>
          <w:bCs/>
          <w:i/>
        </w:rPr>
        <w:t xml:space="preserve"> </w:t>
      </w:r>
      <w:r w:rsidRPr="005A4C1A">
        <w:rPr>
          <w:i/>
          <w:lang w:eastAsia="fr-FR" w:bidi="fr-FR"/>
        </w:rPr>
        <w:t>et ses lettres, divers ouvrages hagi</w:t>
      </w:r>
      <w:r w:rsidRPr="005A4C1A">
        <w:rPr>
          <w:i/>
          <w:lang w:eastAsia="fr-FR" w:bidi="fr-FR"/>
        </w:rPr>
        <w:t>o</w:t>
      </w:r>
      <w:r w:rsidRPr="005A4C1A">
        <w:rPr>
          <w:i/>
          <w:lang w:eastAsia="fr-FR" w:bidi="fr-FR"/>
        </w:rPr>
        <w:t>graphiques, biographies de saints et de saintes qui par une rencontre singulière appartiennent tous aux maisons royales anglo-saxonnes</w:t>
      </w:r>
      <w:r>
        <w:rPr>
          <w:lang w:eastAsia="fr-FR" w:bidi="fr-FR"/>
        </w:rPr>
        <w:t> </w:t>
      </w:r>
      <w:r>
        <w:rPr>
          <w:rStyle w:val="Appelnotedebasdep"/>
        </w:rPr>
        <w:footnoteReference w:id="1066"/>
      </w:r>
      <w:r w:rsidRPr="005A4C1A">
        <w:rPr>
          <w:bCs/>
          <w:i/>
        </w:rPr>
        <w:t>.</w:t>
      </w:r>
      <w:r w:rsidRPr="005A4C1A">
        <w:rPr>
          <w:b/>
          <w:bCs/>
          <w:i/>
        </w:rPr>
        <w:t xml:space="preserve"> </w:t>
      </w:r>
      <w:r w:rsidRPr="005A4C1A">
        <w:rPr>
          <w:i/>
          <w:lang w:eastAsia="fr-FR" w:bidi="fr-FR"/>
        </w:rPr>
        <w:t>On peut supposer qu'un certain nombre de ces écrits avaient déjà été rédigés et avaient fait avantageusement</w:t>
      </w:r>
      <w:r>
        <w:rPr>
          <w:lang w:eastAsia="fr-FR" w:bidi="fr-FR"/>
        </w:rPr>
        <w:t xml:space="preserve"> [953] </w:t>
      </w:r>
      <w:r w:rsidRPr="00384C32">
        <w:rPr>
          <w:i/>
          <w:lang w:eastAsia="fr-FR" w:bidi="fr-FR"/>
        </w:rPr>
        <w:t>connaître le nom de leur auteur lorsqu'il reçut la commande de la Vie de saint Édouard. Car cette Vie est un travail officiel qu'on</w:t>
      </w:r>
      <w:r w:rsidRPr="007422C9">
        <w:rPr>
          <w:lang w:eastAsia="fr-FR" w:bidi="fr-FR"/>
        </w:rPr>
        <w:t xml:space="preserve"> </w:t>
      </w:r>
      <w:r w:rsidRPr="00384C32">
        <w:rPr>
          <w:i/>
          <w:lang w:eastAsia="fr-FR" w:bidi="fr-FR"/>
        </w:rPr>
        <w:t>n'a</w:t>
      </w:r>
      <w:r w:rsidRPr="00384C32">
        <w:rPr>
          <w:i/>
          <w:lang w:eastAsia="fr-FR" w:bidi="fr-FR"/>
        </w:rPr>
        <w:t>u</w:t>
      </w:r>
      <w:r w:rsidRPr="00384C32">
        <w:rPr>
          <w:i/>
          <w:lang w:eastAsia="fr-FR" w:bidi="fr-FR"/>
        </w:rPr>
        <w:t>rait guère confié à un débutant.</w:t>
      </w:r>
      <w:r w:rsidRPr="00384C32">
        <w:rPr>
          <w:b/>
          <w:bCs/>
          <w:i/>
        </w:rPr>
        <w:t xml:space="preserve"> « </w:t>
      </w:r>
      <w:r w:rsidRPr="00384C32">
        <w:rPr>
          <w:i/>
          <w:lang w:eastAsia="fr-FR" w:bidi="fr-FR"/>
        </w:rPr>
        <w:t>Veuillent mes seigneurs</w:t>
      </w:r>
      <w:r w:rsidRPr="007422C9">
        <w:rPr>
          <w:b/>
          <w:bCs/>
        </w:rPr>
        <w:t xml:space="preserve"> </w:t>
      </w:r>
      <w:r w:rsidRPr="00384C32">
        <w:rPr>
          <w:bCs/>
        </w:rPr>
        <w:t>(seniores)</w:t>
      </w:r>
      <w:r w:rsidRPr="007422C9">
        <w:rPr>
          <w:b/>
          <w:bCs/>
        </w:rPr>
        <w:t xml:space="preserve"> </w:t>
      </w:r>
      <w:r w:rsidRPr="00384C32">
        <w:rPr>
          <w:i/>
          <w:lang w:eastAsia="fr-FR" w:bidi="fr-FR"/>
        </w:rPr>
        <w:t>sur l'ordre desquels j'ai entrepris ce récit m'aider de leurs prières</w:t>
      </w:r>
      <w:r w:rsidRPr="00384C32">
        <w:rPr>
          <w:b/>
          <w:bCs/>
          <w:i/>
        </w:rPr>
        <w:t xml:space="preserve"> », </w:t>
      </w:r>
      <w:r w:rsidRPr="00384C32">
        <w:rPr>
          <w:i/>
          <w:lang w:eastAsia="fr-FR" w:bidi="fr-FR"/>
        </w:rPr>
        <w:t xml:space="preserve">dit </w:t>
      </w:r>
      <w:r w:rsidRPr="00384C32">
        <w:rPr>
          <w:i/>
          <w:lang w:eastAsia="fr-FR" w:bidi="fr-FR"/>
        </w:rPr>
        <w:lastRenderedPageBreak/>
        <w:t>Osbert dans le</w:t>
      </w:r>
      <w:r w:rsidRPr="007422C9">
        <w:rPr>
          <w:b/>
          <w:bCs/>
        </w:rPr>
        <w:t xml:space="preserve"> </w:t>
      </w:r>
      <w:r w:rsidRPr="00384C32">
        <w:rPr>
          <w:bCs/>
        </w:rPr>
        <w:t>Prol</w:t>
      </w:r>
      <w:r w:rsidRPr="00384C32">
        <w:rPr>
          <w:bCs/>
        </w:rPr>
        <w:t>o</w:t>
      </w:r>
      <w:r w:rsidRPr="00384C32">
        <w:rPr>
          <w:bCs/>
        </w:rPr>
        <w:t>gue </w:t>
      </w:r>
      <w:r>
        <w:rPr>
          <w:rStyle w:val="Appelnotedebasdep"/>
          <w:bCs/>
        </w:rPr>
        <w:footnoteReference w:id="1067"/>
      </w:r>
      <w:r w:rsidRPr="00CC613B">
        <w:rPr>
          <w:bCs/>
        </w:rPr>
        <w:t>.</w:t>
      </w:r>
      <w:r w:rsidRPr="007422C9">
        <w:rPr>
          <w:b/>
          <w:bCs/>
        </w:rPr>
        <w:t xml:space="preserve"> </w:t>
      </w:r>
      <w:r w:rsidRPr="00384C32">
        <w:rPr>
          <w:i/>
          <w:lang w:eastAsia="fr-FR" w:bidi="fr-FR"/>
        </w:rPr>
        <w:t>Qui sont ces</w:t>
      </w:r>
      <w:r w:rsidRPr="007422C9">
        <w:rPr>
          <w:b/>
          <w:bCs/>
        </w:rPr>
        <w:t xml:space="preserve"> </w:t>
      </w:r>
      <w:r w:rsidRPr="00384C32">
        <w:rPr>
          <w:bCs/>
        </w:rPr>
        <w:t>seniores</w:t>
      </w:r>
      <w:r w:rsidRPr="00CC613B">
        <w:rPr>
          <w:bCs/>
          <w:i/>
        </w:rPr>
        <w:t> ?</w:t>
      </w:r>
      <w:r w:rsidRPr="007422C9">
        <w:rPr>
          <w:b/>
          <w:bCs/>
        </w:rPr>
        <w:t xml:space="preserve"> </w:t>
      </w:r>
      <w:r w:rsidRPr="00384C32">
        <w:rPr>
          <w:i/>
          <w:lang w:eastAsia="fr-FR" w:bidi="fr-FR"/>
        </w:rPr>
        <w:t>En première ligne évidemment l'abbé de Westminster ; mais aussi sans nul doute le roi Étienne lui-même ou du moins</w:t>
      </w:r>
      <w:r w:rsidRPr="00384C32">
        <w:rPr>
          <w:b/>
          <w:bCs/>
          <w:i/>
        </w:rPr>
        <w:t> — </w:t>
      </w:r>
      <w:r w:rsidRPr="00384C32">
        <w:rPr>
          <w:i/>
          <w:lang w:eastAsia="fr-FR" w:bidi="fr-FR"/>
        </w:rPr>
        <w:t>car ce preux chevalier n'ente</w:t>
      </w:r>
      <w:r w:rsidRPr="00384C32">
        <w:rPr>
          <w:i/>
          <w:lang w:eastAsia="fr-FR" w:bidi="fr-FR"/>
        </w:rPr>
        <w:t>n</w:t>
      </w:r>
      <w:r w:rsidRPr="00384C32">
        <w:rPr>
          <w:i/>
          <w:lang w:eastAsia="fr-FR" w:bidi="fr-FR"/>
        </w:rPr>
        <w:t>dait vraisemblablement pas grand'chose aux finesses de la politique ecclésiastique</w:t>
      </w:r>
      <w:r w:rsidRPr="00384C32">
        <w:rPr>
          <w:b/>
          <w:bCs/>
          <w:i/>
        </w:rPr>
        <w:t> — </w:t>
      </w:r>
      <w:r w:rsidRPr="00384C32">
        <w:rPr>
          <w:i/>
          <w:lang w:eastAsia="fr-FR" w:bidi="fr-FR"/>
        </w:rPr>
        <w:t>ses consei</w:t>
      </w:r>
      <w:r w:rsidRPr="00384C32">
        <w:rPr>
          <w:i/>
          <w:lang w:eastAsia="fr-FR" w:bidi="fr-FR"/>
        </w:rPr>
        <w:t>l</w:t>
      </w:r>
      <w:r w:rsidRPr="00384C32">
        <w:rPr>
          <w:i/>
          <w:lang w:eastAsia="fr-FR" w:bidi="fr-FR"/>
        </w:rPr>
        <w:t>lers parmi lesquels il faut citer surtout son frère Henri, évêque de Winchester </w:t>
      </w:r>
      <w:r>
        <w:rPr>
          <w:rStyle w:val="Appelnotedebasdep"/>
        </w:rPr>
        <w:footnoteReference w:id="1068"/>
      </w:r>
      <w:r w:rsidRPr="00CC613B">
        <w:rPr>
          <w:bCs/>
        </w:rPr>
        <w:t>.</w:t>
      </w:r>
      <w:r w:rsidRPr="007422C9">
        <w:rPr>
          <w:b/>
          <w:bCs/>
        </w:rPr>
        <w:t xml:space="preserve"> </w:t>
      </w:r>
      <w:r w:rsidRPr="00384C32">
        <w:rPr>
          <w:i/>
          <w:lang w:eastAsia="fr-FR" w:bidi="fr-FR"/>
        </w:rPr>
        <w:t>Étienne avait été couronné le jour de Noël 1135. Son titre était contesté et ne pouvait en tout cas se fonder sur l'hérédité. Préoccupé de s'assurer un fort parti, il avait, à son avènement, r</w:t>
      </w:r>
      <w:r w:rsidRPr="00384C32">
        <w:rPr>
          <w:i/>
          <w:lang w:eastAsia="fr-FR" w:bidi="fr-FR"/>
        </w:rPr>
        <w:t>e</w:t>
      </w:r>
      <w:r w:rsidRPr="00384C32">
        <w:rPr>
          <w:i/>
          <w:lang w:eastAsia="fr-FR" w:bidi="fr-FR"/>
        </w:rPr>
        <w:t>cherché, non sans succès, l'appui du clergé. Il était en bons termes avec Rome. Au mois de juin 1138, on vit débarquer en Angleterre un légat pontifical : le cardinal Albéric d'Ostie. Osbert lui remit un exemplaire de la Vie d'Édouard, qu'il venait d'écrire ; il y joignit une lettre, en forme de dédicace, qui devait figurer en tête de l'ouvrage. Malgré tout son pathos, ce morceau est fort clair, et laisse paraître, sans équivoque aucune, l'objet que poursuivaient Osbert et ceux qui étaient derrière lui : obtenir du pape Innocent II, sollicité par l'inte</w:t>
      </w:r>
      <w:r w:rsidRPr="00384C32">
        <w:rPr>
          <w:i/>
          <w:lang w:eastAsia="fr-FR" w:bidi="fr-FR"/>
        </w:rPr>
        <w:t>r</w:t>
      </w:r>
      <w:r w:rsidRPr="00384C32">
        <w:rPr>
          <w:i/>
          <w:lang w:eastAsia="fr-FR" w:bidi="fr-FR"/>
        </w:rPr>
        <w:t>médiaire de son légat, la canonisation du pieux roi. Ainsi la plus ha</w:t>
      </w:r>
      <w:r w:rsidRPr="00384C32">
        <w:rPr>
          <w:i/>
          <w:lang w:eastAsia="fr-FR" w:bidi="fr-FR"/>
        </w:rPr>
        <w:t>u</w:t>
      </w:r>
      <w:r w:rsidRPr="00384C32">
        <w:rPr>
          <w:i/>
          <w:lang w:eastAsia="fr-FR" w:bidi="fr-FR"/>
        </w:rPr>
        <w:t>te autorité de l'Église sanctionnerait le culte déjà spontan</w:t>
      </w:r>
      <w:r w:rsidRPr="00384C32">
        <w:rPr>
          <w:i/>
          <w:lang w:eastAsia="fr-FR" w:bidi="fr-FR"/>
        </w:rPr>
        <w:t>é</w:t>
      </w:r>
      <w:r w:rsidRPr="00384C32">
        <w:rPr>
          <w:i/>
          <w:lang w:eastAsia="fr-FR" w:bidi="fr-FR"/>
        </w:rPr>
        <w:t>ment rendu par le peuple anglais à son ancien monarque. Donner au royaume un saint national, jeter sur la dynastie normande un lustre nouveau en faisant publiquement reconnaître la sainteté et le pouvoir thaumatu</w:t>
      </w:r>
      <w:r w:rsidRPr="00384C32">
        <w:rPr>
          <w:i/>
          <w:lang w:eastAsia="fr-FR" w:bidi="fr-FR"/>
        </w:rPr>
        <w:t>r</w:t>
      </w:r>
      <w:r w:rsidRPr="00384C32">
        <w:rPr>
          <w:i/>
          <w:lang w:eastAsia="fr-FR" w:bidi="fr-FR"/>
        </w:rPr>
        <w:t>gique du prince dont Guillaume le Conquérant, grand-père d'Étienne de Blois, avait prétendu tenir ses droits, une pareille entr</w:t>
      </w:r>
      <w:r w:rsidRPr="00384C32">
        <w:rPr>
          <w:i/>
          <w:lang w:eastAsia="fr-FR" w:bidi="fr-FR"/>
        </w:rPr>
        <w:t>e</w:t>
      </w:r>
      <w:r w:rsidRPr="00384C32">
        <w:rPr>
          <w:i/>
          <w:lang w:eastAsia="fr-FR" w:bidi="fr-FR"/>
        </w:rPr>
        <w:t>prise devait sembler remarquablement propre, si elle réussissait, à accroître le prestige d'un souverain dont la légitimité était considérée comme do</w:t>
      </w:r>
      <w:r w:rsidRPr="00384C32">
        <w:rPr>
          <w:i/>
          <w:lang w:eastAsia="fr-FR" w:bidi="fr-FR"/>
        </w:rPr>
        <w:t>u</w:t>
      </w:r>
      <w:r w:rsidRPr="00384C32">
        <w:rPr>
          <w:i/>
          <w:lang w:eastAsia="fr-FR" w:bidi="fr-FR"/>
        </w:rPr>
        <w:t>teuse par tant de gens.</w:t>
      </w:r>
    </w:p>
    <w:p w14:paraId="01521FB9" w14:textId="77777777" w:rsidR="00B9662D" w:rsidRPr="007422C9" w:rsidRDefault="00B9662D" w:rsidP="00B9662D">
      <w:pPr>
        <w:spacing w:before="120" w:after="120"/>
        <w:jc w:val="both"/>
      </w:pPr>
      <w:r w:rsidRPr="00384C32">
        <w:rPr>
          <w:i/>
          <w:lang w:eastAsia="fr-FR" w:bidi="fr-FR"/>
        </w:rPr>
        <w:t>Agir en Angleterre auprès du légat ne suffisait point. Il fallait aller à Rome et voir le pape en personne. Cette mission délicate et qui po</w:t>
      </w:r>
      <w:r w:rsidRPr="00384C32">
        <w:rPr>
          <w:i/>
          <w:lang w:eastAsia="fr-FR" w:bidi="fr-FR"/>
        </w:rPr>
        <w:t>u</w:t>
      </w:r>
      <w:r w:rsidRPr="00384C32">
        <w:rPr>
          <w:i/>
          <w:lang w:eastAsia="fr-FR" w:bidi="fr-FR"/>
        </w:rPr>
        <w:t>vait être glorieuse incomba à l'hagiographe lui-même. Dès 1139 vra</w:t>
      </w:r>
      <w:r w:rsidRPr="00384C32">
        <w:rPr>
          <w:i/>
          <w:lang w:eastAsia="fr-FR" w:bidi="fr-FR"/>
        </w:rPr>
        <w:t>i</w:t>
      </w:r>
      <w:r w:rsidRPr="00384C32">
        <w:rPr>
          <w:i/>
          <w:lang w:eastAsia="fr-FR" w:bidi="fr-FR"/>
        </w:rPr>
        <w:t>semblablement, accompagné d'un certain Sylvestre, qui devint plus tard abbé de Saint-Augustin de Canterbury </w:t>
      </w:r>
      <w:r>
        <w:rPr>
          <w:rStyle w:val="Appelnotedebasdep"/>
        </w:rPr>
        <w:footnoteReference w:id="1069"/>
      </w:r>
      <w:r w:rsidRPr="00CC613B">
        <w:rPr>
          <w:bCs/>
        </w:rPr>
        <w:t>,</w:t>
      </w:r>
      <w:r w:rsidRPr="007422C9">
        <w:rPr>
          <w:b/>
          <w:bCs/>
        </w:rPr>
        <w:t xml:space="preserve"> </w:t>
      </w:r>
      <w:r w:rsidRPr="00384C32">
        <w:rPr>
          <w:i/>
          <w:lang w:eastAsia="fr-FR" w:bidi="fr-FR"/>
        </w:rPr>
        <w:t>Osbert se mit en route. Des lettres du</w:t>
      </w:r>
      <w:r w:rsidRPr="00384C32">
        <w:rPr>
          <w:b/>
          <w:bCs/>
          <w:i/>
        </w:rPr>
        <w:t xml:space="preserve"> </w:t>
      </w:r>
      <w:r w:rsidRPr="00384C32">
        <w:rPr>
          <w:bCs/>
          <w:i/>
        </w:rPr>
        <w:t>roi </w:t>
      </w:r>
      <w:r>
        <w:rPr>
          <w:rStyle w:val="Appelnotedebasdep"/>
          <w:bCs/>
        </w:rPr>
        <w:footnoteReference w:id="1070"/>
      </w:r>
      <w:r w:rsidRPr="007422C9">
        <w:rPr>
          <w:b/>
          <w:bCs/>
        </w:rPr>
        <w:t xml:space="preserve"> </w:t>
      </w:r>
      <w:r w:rsidRPr="00384C32">
        <w:rPr>
          <w:i/>
          <w:lang w:eastAsia="fr-FR" w:bidi="fr-FR"/>
        </w:rPr>
        <w:t>de l'évêque de Winchester </w:t>
      </w:r>
      <w:r>
        <w:rPr>
          <w:rStyle w:val="Appelnotedebasdep"/>
        </w:rPr>
        <w:footnoteReference w:id="1071"/>
      </w:r>
      <w:r w:rsidRPr="007422C9">
        <w:rPr>
          <w:lang w:eastAsia="fr-FR" w:bidi="fr-FR"/>
        </w:rPr>
        <w:t xml:space="preserve">, </w:t>
      </w:r>
      <w:r w:rsidRPr="00384C32">
        <w:rPr>
          <w:i/>
          <w:lang w:eastAsia="fr-FR" w:bidi="fr-FR"/>
        </w:rPr>
        <w:t xml:space="preserve">devenu à </w:t>
      </w:r>
      <w:r w:rsidRPr="00384C32">
        <w:rPr>
          <w:i/>
          <w:lang w:eastAsia="fr-FR" w:bidi="fr-FR"/>
        </w:rPr>
        <w:lastRenderedPageBreak/>
        <w:t>son tour l</w:t>
      </w:r>
      <w:r w:rsidRPr="00384C32">
        <w:rPr>
          <w:i/>
          <w:lang w:eastAsia="fr-FR" w:bidi="fr-FR"/>
        </w:rPr>
        <w:t>é</w:t>
      </w:r>
      <w:r w:rsidRPr="00384C32">
        <w:rPr>
          <w:i/>
          <w:lang w:eastAsia="fr-FR" w:bidi="fr-FR"/>
        </w:rPr>
        <w:t>gat apostolique, de l'abbé et des moines de Westminster</w:t>
      </w:r>
      <w:r>
        <w:rPr>
          <w:lang w:eastAsia="fr-FR" w:bidi="fr-FR"/>
        </w:rPr>
        <w:t> </w:t>
      </w:r>
      <w:r>
        <w:rPr>
          <w:rStyle w:val="Appelnotedebasdep"/>
        </w:rPr>
        <w:footnoteReference w:id="1072"/>
      </w:r>
      <w:r w:rsidRPr="00CC613B">
        <w:rPr>
          <w:bCs/>
        </w:rPr>
        <w:t>,</w:t>
      </w:r>
      <w:r w:rsidRPr="007422C9">
        <w:rPr>
          <w:b/>
          <w:bCs/>
        </w:rPr>
        <w:t xml:space="preserve"> </w:t>
      </w:r>
      <w:r w:rsidRPr="00156BC8">
        <w:rPr>
          <w:i/>
          <w:lang w:eastAsia="fr-FR" w:bidi="fr-FR"/>
        </w:rPr>
        <w:t>et</w:t>
      </w:r>
      <w:r w:rsidRPr="00156BC8">
        <w:rPr>
          <w:b/>
          <w:bCs/>
          <w:i/>
        </w:rPr>
        <w:t> — </w:t>
      </w:r>
      <w:r w:rsidRPr="00156BC8">
        <w:rPr>
          <w:i/>
          <w:lang w:eastAsia="fr-FR" w:bidi="fr-FR"/>
        </w:rPr>
        <w:t>le si</w:t>
      </w:r>
      <w:r w:rsidRPr="00156BC8">
        <w:rPr>
          <w:i/>
          <w:lang w:eastAsia="fr-FR" w:bidi="fr-FR"/>
        </w:rPr>
        <w:t>è</w:t>
      </w:r>
      <w:r w:rsidRPr="00156BC8">
        <w:rPr>
          <w:i/>
          <w:lang w:eastAsia="fr-FR" w:bidi="fr-FR"/>
        </w:rPr>
        <w:t>ge épiscopal étant vacant,</w:t>
      </w:r>
      <w:r w:rsidRPr="00156BC8">
        <w:rPr>
          <w:b/>
          <w:bCs/>
          <w:i/>
        </w:rPr>
        <w:t> — </w:t>
      </w:r>
      <w:r w:rsidRPr="00156BC8">
        <w:rPr>
          <w:i/>
          <w:lang w:eastAsia="fr-FR" w:bidi="fr-FR"/>
        </w:rPr>
        <w:t>du chapitre de Londres </w:t>
      </w:r>
      <w:r w:rsidRPr="00156BC8">
        <w:rPr>
          <w:rStyle w:val="Appelnotedebasdep"/>
        </w:rPr>
        <w:footnoteReference w:id="1073"/>
      </w:r>
      <w:r w:rsidRPr="00156BC8">
        <w:rPr>
          <w:vertAlign w:val="superscript"/>
          <w:lang w:eastAsia="fr-FR" w:bidi="fr-FR"/>
        </w:rPr>
        <w:t xml:space="preserve"> </w:t>
      </w:r>
      <w:r w:rsidRPr="00156BC8">
        <w:rPr>
          <w:i/>
          <w:lang w:eastAsia="fr-FR" w:bidi="fr-FR"/>
        </w:rPr>
        <w:t>l'accréditaient auprès du Saint-Père. Nul doute qu'il n'emportât</w:t>
      </w:r>
      <w:r w:rsidRPr="007422C9">
        <w:rPr>
          <w:lang w:eastAsia="fr-FR" w:bidi="fr-FR"/>
        </w:rPr>
        <w:t xml:space="preserve"> </w:t>
      </w:r>
      <w:r w:rsidRPr="00156BC8">
        <w:rPr>
          <w:i/>
          <w:lang w:eastAsia="fr-FR" w:bidi="fr-FR"/>
        </w:rPr>
        <w:t>aussi dans ses bag</w:t>
      </w:r>
      <w:r w:rsidRPr="00156BC8">
        <w:rPr>
          <w:i/>
          <w:lang w:eastAsia="fr-FR" w:bidi="fr-FR"/>
        </w:rPr>
        <w:t>a</w:t>
      </w:r>
      <w:r w:rsidRPr="00156BC8">
        <w:rPr>
          <w:i/>
          <w:lang w:eastAsia="fr-FR" w:bidi="fr-FR"/>
        </w:rPr>
        <w:t>ges, espérant le faire lire au pape et le répandre dans la curie, le récit qu'il avait composé de la vie et des miracles de son saint. Tel fut cet</w:t>
      </w:r>
      <w:r w:rsidRPr="00156BC8">
        <w:rPr>
          <w:b/>
          <w:bCs/>
          <w:i/>
        </w:rPr>
        <w:t xml:space="preserve"> </w:t>
      </w:r>
      <w:r w:rsidRPr="00156BC8">
        <w:rPr>
          <w:bCs/>
          <w:i/>
        </w:rPr>
        <w:t>iter romanum</w:t>
      </w:r>
      <w:r w:rsidRPr="00156BC8">
        <w:rPr>
          <w:b/>
          <w:bCs/>
          <w:i/>
        </w:rPr>
        <w:t xml:space="preserve"> </w:t>
      </w:r>
      <w:r w:rsidRPr="00156BC8">
        <w:rPr>
          <w:i/>
          <w:lang w:eastAsia="fr-FR" w:bidi="fr-FR"/>
        </w:rPr>
        <w:t>dont Osbert, moine amoureux des lettres classiques, reçut une impression profonde, qui transparaît dans sa correspo</w:t>
      </w:r>
      <w:r w:rsidRPr="00156BC8">
        <w:rPr>
          <w:i/>
          <w:lang w:eastAsia="fr-FR" w:bidi="fr-FR"/>
        </w:rPr>
        <w:t>n</w:t>
      </w:r>
      <w:r w:rsidRPr="00156BC8">
        <w:rPr>
          <w:i/>
          <w:lang w:eastAsia="fr-FR" w:bidi="fr-FR"/>
        </w:rPr>
        <w:t>dance </w:t>
      </w:r>
      <w:r>
        <w:rPr>
          <w:rStyle w:val="Appelnotedebasdep"/>
        </w:rPr>
        <w:footnoteReference w:id="1074"/>
      </w:r>
      <w:r w:rsidRPr="007422C9">
        <w:rPr>
          <w:lang w:eastAsia="fr-FR" w:bidi="fr-FR"/>
        </w:rPr>
        <w:t xml:space="preserve">. </w:t>
      </w:r>
      <w:r w:rsidRPr="00156BC8">
        <w:rPr>
          <w:i/>
          <w:lang w:eastAsia="fr-FR" w:bidi="fr-FR"/>
        </w:rPr>
        <w:t>Mais l'ambassade échoua. Les circonstances n'étaient pas favorables. Osbert venait sans doute à peine d'atteindre Rome lor</w:t>
      </w:r>
      <w:r w:rsidRPr="00156BC8">
        <w:rPr>
          <w:i/>
          <w:lang w:eastAsia="fr-FR" w:bidi="fr-FR"/>
        </w:rPr>
        <w:t>s</w:t>
      </w:r>
      <w:r w:rsidRPr="00156BC8">
        <w:rPr>
          <w:i/>
          <w:lang w:eastAsia="fr-FR" w:bidi="fr-FR"/>
        </w:rPr>
        <w:t>qu'arrivèrent d'Angleterre les plus étranges nouvelles.</w:t>
      </w:r>
      <w:r>
        <w:rPr>
          <w:lang w:eastAsia="fr-FR" w:bidi="fr-FR"/>
        </w:rPr>
        <w:t xml:space="preserve"> [954] </w:t>
      </w:r>
      <w:r w:rsidRPr="00156BC8">
        <w:rPr>
          <w:i/>
          <w:lang w:eastAsia="fr-FR" w:bidi="fr-FR"/>
        </w:rPr>
        <w:t>En juin le roi Étienne avait fait arrêter, fort brutalement, les évêques de S</w:t>
      </w:r>
      <w:r w:rsidRPr="00156BC8">
        <w:rPr>
          <w:i/>
          <w:lang w:eastAsia="fr-FR" w:bidi="fr-FR"/>
        </w:rPr>
        <w:t>a</w:t>
      </w:r>
      <w:r w:rsidRPr="00156BC8">
        <w:rPr>
          <w:i/>
          <w:lang w:eastAsia="fr-FR" w:bidi="fr-FR"/>
        </w:rPr>
        <w:t>lisbury et de Lincoln, soulevant ainsi contre lui l'indign</w:t>
      </w:r>
      <w:r w:rsidRPr="00156BC8">
        <w:rPr>
          <w:i/>
          <w:lang w:eastAsia="fr-FR" w:bidi="fr-FR"/>
        </w:rPr>
        <w:t>a</w:t>
      </w:r>
      <w:r w:rsidRPr="00156BC8">
        <w:rPr>
          <w:i/>
          <w:lang w:eastAsia="fr-FR" w:bidi="fr-FR"/>
        </w:rPr>
        <w:t>tion de son clergé ; en septembre sa cousine l’</w:t>
      </w:r>
      <w:r w:rsidRPr="00156BC8">
        <w:rPr>
          <w:b/>
          <w:bCs/>
          <w:i/>
        </w:rPr>
        <w:t>« </w:t>
      </w:r>
      <w:r w:rsidRPr="00156BC8">
        <w:rPr>
          <w:i/>
          <w:lang w:eastAsia="fr-FR" w:bidi="fr-FR"/>
        </w:rPr>
        <w:t>impératrice</w:t>
      </w:r>
      <w:r w:rsidRPr="00156BC8">
        <w:rPr>
          <w:b/>
          <w:bCs/>
          <w:i/>
        </w:rPr>
        <w:t xml:space="preserve"> » </w:t>
      </w:r>
      <w:r w:rsidRPr="00156BC8">
        <w:rPr>
          <w:i/>
          <w:lang w:eastAsia="fr-FR" w:bidi="fr-FR"/>
        </w:rPr>
        <w:t>Mathi</w:t>
      </w:r>
      <w:r w:rsidRPr="00156BC8">
        <w:rPr>
          <w:i/>
          <w:lang w:eastAsia="fr-FR" w:bidi="fr-FR"/>
        </w:rPr>
        <w:t>l</w:t>
      </w:r>
      <w:r w:rsidRPr="00156BC8">
        <w:rPr>
          <w:i/>
          <w:lang w:eastAsia="fr-FR" w:bidi="fr-FR"/>
        </w:rPr>
        <w:t>de que beaucoup de Normands et d’Anglais considéraient comme leur souv</w:t>
      </w:r>
      <w:r w:rsidRPr="00156BC8">
        <w:rPr>
          <w:i/>
          <w:lang w:eastAsia="fr-FR" w:bidi="fr-FR"/>
        </w:rPr>
        <w:t>e</w:t>
      </w:r>
      <w:r w:rsidRPr="00156BC8">
        <w:rPr>
          <w:i/>
          <w:lang w:eastAsia="fr-FR" w:bidi="fr-FR"/>
        </w:rPr>
        <w:t>raine légitime, avait débarqué à Arundel ; elle groupait autour d’elle de nombreux et puissants partisans. En quelques mois, tout avait changé de face : Étienne n’était plus l’ami des clercs et son tr</w:t>
      </w:r>
      <w:r w:rsidRPr="00156BC8">
        <w:rPr>
          <w:i/>
          <w:lang w:eastAsia="fr-FR" w:bidi="fr-FR"/>
        </w:rPr>
        <w:t>ô</w:t>
      </w:r>
      <w:r w:rsidRPr="00156BC8">
        <w:rPr>
          <w:i/>
          <w:lang w:eastAsia="fr-FR" w:bidi="fr-FR"/>
        </w:rPr>
        <w:t>ne branlait. L’autorité de son envoyé se trouvait par cela même singuli</w:t>
      </w:r>
      <w:r w:rsidRPr="00156BC8">
        <w:rPr>
          <w:i/>
          <w:lang w:eastAsia="fr-FR" w:bidi="fr-FR"/>
        </w:rPr>
        <w:t>è</w:t>
      </w:r>
      <w:r w:rsidRPr="00156BC8">
        <w:rPr>
          <w:i/>
          <w:lang w:eastAsia="fr-FR" w:bidi="fr-FR"/>
        </w:rPr>
        <w:t>rement diminuée. Innocent II ajourna la canonisation jusqu’à plus ample informé </w:t>
      </w:r>
      <w:r>
        <w:rPr>
          <w:rStyle w:val="Appelnotedebasdep"/>
        </w:rPr>
        <w:footnoteReference w:id="1075"/>
      </w:r>
      <w:r w:rsidRPr="007422C9">
        <w:rPr>
          <w:lang w:eastAsia="fr-FR" w:bidi="fr-FR"/>
        </w:rPr>
        <w:t>.</w:t>
      </w:r>
    </w:p>
    <w:p w14:paraId="4697BE4B" w14:textId="77777777" w:rsidR="00B9662D" w:rsidRPr="00156BC8" w:rsidRDefault="00B9662D" w:rsidP="00B9662D">
      <w:pPr>
        <w:spacing w:before="120" w:after="120"/>
        <w:jc w:val="both"/>
        <w:rPr>
          <w:i/>
        </w:rPr>
      </w:pPr>
      <w:r w:rsidRPr="00156BC8">
        <w:rPr>
          <w:i/>
          <w:lang w:eastAsia="fr-FR" w:bidi="fr-FR"/>
        </w:rPr>
        <w:lastRenderedPageBreak/>
        <w:t>Cet insuccès diplomatique devait avoir pour la gloire littéraire d’Osbert les plus regrettables conséquences.</w:t>
      </w:r>
    </w:p>
    <w:p w14:paraId="466C2507" w14:textId="77777777" w:rsidR="00B9662D" w:rsidRPr="007422C9" w:rsidRDefault="00B9662D" w:rsidP="00B9662D">
      <w:pPr>
        <w:spacing w:before="120" w:after="120"/>
        <w:jc w:val="both"/>
      </w:pPr>
      <w:r w:rsidRPr="00156BC8">
        <w:rPr>
          <w:i/>
          <w:lang w:eastAsia="fr-FR" w:bidi="fr-FR"/>
        </w:rPr>
        <w:t>La cause de la canonisation, qu’Étienne de Blois n’avait pu mener à bonne fin, fut reprise environ vingt ans plus tard par un souverain beaucoup mieux armé pour réussir auprès de la curie : Henri II Pla</w:t>
      </w:r>
      <w:r w:rsidRPr="00156BC8">
        <w:rPr>
          <w:i/>
          <w:lang w:eastAsia="fr-FR" w:bidi="fr-FR"/>
        </w:rPr>
        <w:t>n</w:t>
      </w:r>
      <w:r w:rsidRPr="00156BC8">
        <w:rPr>
          <w:i/>
          <w:lang w:eastAsia="fr-FR" w:bidi="fr-FR"/>
        </w:rPr>
        <w:t>tagenet. En septembre 1159, le conclave réuni à Rome s’était divisé entre deux candidats : la majorité avait élu Alexandre III, la minorité le cardinal Odavien</w:t>
      </w:r>
      <w:r w:rsidRPr="00156BC8">
        <w:rPr>
          <w:b/>
          <w:bCs/>
          <w:i/>
        </w:rPr>
        <w:t> — </w:t>
      </w:r>
      <w:r w:rsidRPr="00156BC8">
        <w:rPr>
          <w:i/>
          <w:lang w:eastAsia="fr-FR" w:bidi="fr-FR"/>
        </w:rPr>
        <w:t>devenu l’antipape Victor IV</w:t>
      </w:r>
      <w:r w:rsidRPr="00156BC8">
        <w:rPr>
          <w:b/>
          <w:bCs/>
          <w:i/>
        </w:rPr>
        <w:t> — </w:t>
      </w:r>
      <w:r w:rsidRPr="00156BC8">
        <w:rPr>
          <w:i/>
          <w:lang w:eastAsia="fr-FR" w:bidi="fr-FR"/>
        </w:rPr>
        <w:t>que protégeait l’empereur Frédéric Barberousse. Une fois de plus la chrétienté se partageait entre deux pontifes. Le roi d’Angleterre hésita quelque temps ; puis, en 1160, au cours de l’été, il publia sa décision : il se rangeait résolument du côté d’Alexandre. Une pareille attitude</w:t>
      </w:r>
      <w:r w:rsidRPr="007422C9">
        <w:rPr>
          <w:lang w:eastAsia="fr-FR" w:bidi="fr-FR"/>
        </w:rPr>
        <w:t xml:space="preserve"> </w:t>
      </w:r>
      <w:r w:rsidRPr="00156BC8">
        <w:rPr>
          <w:i/>
          <w:lang w:eastAsia="fr-FR" w:bidi="fr-FR"/>
        </w:rPr>
        <w:t>mér</w:t>
      </w:r>
      <w:r w:rsidRPr="00156BC8">
        <w:rPr>
          <w:i/>
          <w:lang w:eastAsia="fr-FR" w:bidi="fr-FR"/>
        </w:rPr>
        <w:t>i</w:t>
      </w:r>
      <w:r w:rsidRPr="00156BC8">
        <w:rPr>
          <w:i/>
          <w:lang w:eastAsia="fr-FR" w:bidi="fr-FR"/>
        </w:rPr>
        <w:t>tait une récompense. C’est ce que l’évêque de Hereford, Gilbert F</w:t>
      </w:r>
      <w:r w:rsidRPr="00156BC8">
        <w:rPr>
          <w:i/>
          <w:lang w:eastAsia="fr-FR" w:bidi="fr-FR"/>
        </w:rPr>
        <w:t>o</w:t>
      </w:r>
      <w:r w:rsidRPr="00156BC8">
        <w:rPr>
          <w:i/>
          <w:lang w:eastAsia="fr-FR" w:bidi="fr-FR"/>
        </w:rPr>
        <w:t>liot, dans une lettre que Henri avait certainement inspirée, fit co</w:t>
      </w:r>
      <w:r w:rsidRPr="00156BC8">
        <w:rPr>
          <w:i/>
          <w:lang w:eastAsia="fr-FR" w:bidi="fr-FR"/>
        </w:rPr>
        <w:t>m</w:t>
      </w:r>
      <w:r w:rsidRPr="00156BC8">
        <w:rPr>
          <w:i/>
          <w:lang w:eastAsia="fr-FR" w:bidi="fr-FR"/>
        </w:rPr>
        <w:t>prendre au pape </w:t>
      </w:r>
      <w:r>
        <w:rPr>
          <w:rStyle w:val="Appelnotedebasdep"/>
        </w:rPr>
        <w:footnoteReference w:id="1076"/>
      </w:r>
      <w:r w:rsidRPr="007422C9">
        <w:rPr>
          <w:lang w:eastAsia="fr-FR" w:bidi="fr-FR"/>
        </w:rPr>
        <w:t xml:space="preserve"> : </w:t>
      </w:r>
      <w:r w:rsidRPr="00156BC8">
        <w:rPr>
          <w:i/>
          <w:lang w:eastAsia="fr-FR" w:bidi="fr-FR"/>
        </w:rPr>
        <w:t>Alexandre III s’exécuta de bonne grâce. Dès le 7 février 1161, d’Anagni où, chassé de Rome, il s’était réfugié, il pr</w:t>
      </w:r>
      <w:r w:rsidRPr="00156BC8">
        <w:rPr>
          <w:i/>
          <w:lang w:eastAsia="fr-FR" w:bidi="fr-FR"/>
        </w:rPr>
        <w:t>o</w:t>
      </w:r>
      <w:r w:rsidRPr="00156BC8">
        <w:rPr>
          <w:i/>
          <w:lang w:eastAsia="fr-FR" w:bidi="fr-FR"/>
        </w:rPr>
        <w:t>mulgua la bulle canonisant saint Édouard le Confesseur </w:t>
      </w:r>
      <w:r>
        <w:rPr>
          <w:rStyle w:val="Appelnotedebasdep"/>
        </w:rPr>
        <w:footnoteReference w:id="1077"/>
      </w:r>
      <w:r w:rsidRPr="007422C9">
        <w:rPr>
          <w:b/>
          <w:bCs/>
        </w:rPr>
        <w:t>.</w:t>
      </w:r>
    </w:p>
    <w:p w14:paraId="3DD5646C" w14:textId="77777777" w:rsidR="00B9662D" w:rsidRPr="00494B38" w:rsidRDefault="00B9662D" w:rsidP="00B9662D">
      <w:pPr>
        <w:spacing w:before="120" w:after="120"/>
        <w:jc w:val="both"/>
        <w:rPr>
          <w:i/>
        </w:rPr>
      </w:pPr>
      <w:r w:rsidRPr="00156BC8">
        <w:rPr>
          <w:i/>
          <w:lang w:eastAsia="fr-FR" w:bidi="fr-FR"/>
        </w:rPr>
        <w:t>Au saint officiel, il fallait une Vie, également officielle. On avait toujours celle qu’avait rédigée Osbert de Clare. Mais elle ne suffisait plus. Depuis vingt ans, aux miracles accomplis par saint Édouard après sa mort de nouveaux miracles s’étaient ajoutés ; sa biographie même s’était, dans l’imagination des fidèles, embellie de traits lége</w:t>
      </w:r>
      <w:r w:rsidRPr="00156BC8">
        <w:rPr>
          <w:i/>
          <w:lang w:eastAsia="fr-FR" w:bidi="fr-FR"/>
        </w:rPr>
        <w:t>n</w:t>
      </w:r>
      <w:r w:rsidRPr="00156BC8">
        <w:rPr>
          <w:i/>
          <w:lang w:eastAsia="fr-FR" w:bidi="fr-FR"/>
        </w:rPr>
        <w:t>daires jusque-là inconnus ; enfin la politique exigeait que l’on mod</w:t>
      </w:r>
      <w:r w:rsidRPr="00156BC8">
        <w:rPr>
          <w:i/>
          <w:lang w:eastAsia="fr-FR" w:bidi="fr-FR"/>
        </w:rPr>
        <w:t>i</w:t>
      </w:r>
      <w:r w:rsidRPr="00156BC8">
        <w:rPr>
          <w:i/>
          <w:lang w:eastAsia="fr-FR" w:bidi="fr-FR"/>
        </w:rPr>
        <w:t>fiât légèrement, pour l’accorder aux intérêts des Plantagenets, l’interprétation d’une prophétie que la tradition prêtait au saint roi. À vrai dire on aurait pu se contenter de reprendre le texte d’Osbert, en le complétant et au besoin en le retouchant. L’abbé de Westminster, Laurent, qui avec le roi avait été un des principaux artisans de la c</w:t>
      </w:r>
      <w:r w:rsidRPr="00156BC8">
        <w:rPr>
          <w:i/>
          <w:lang w:eastAsia="fr-FR" w:bidi="fr-FR"/>
        </w:rPr>
        <w:t>a</w:t>
      </w:r>
      <w:r w:rsidRPr="00156BC8">
        <w:rPr>
          <w:i/>
          <w:lang w:eastAsia="fr-FR" w:bidi="fr-FR"/>
        </w:rPr>
        <w:t>nonisation, préféra faire mettre sur le chantier une œuvre nouvelle. Peut-être se rendit-il compte que le style d’Osbert, prolixe et affecté, bourré de réminiscences classiques ou</w:t>
      </w:r>
      <w:r>
        <w:rPr>
          <w:lang w:eastAsia="fr-FR" w:bidi="fr-FR"/>
        </w:rPr>
        <w:t xml:space="preserve"> </w:t>
      </w:r>
      <w:r>
        <w:t>[</w:t>
      </w:r>
      <w:r w:rsidRPr="007422C9">
        <w:rPr>
          <w:lang w:eastAsia="fr-FR" w:bidi="fr-FR"/>
        </w:rPr>
        <w:t>955</w:t>
      </w:r>
      <w:r>
        <w:rPr>
          <w:lang w:eastAsia="fr-FR" w:bidi="fr-FR"/>
        </w:rPr>
        <w:t xml:space="preserve">] </w:t>
      </w:r>
      <w:r w:rsidRPr="004D290B">
        <w:rPr>
          <w:i/>
          <w:lang w:eastAsia="fr-FR" w:bidi="fr-FR"/>
        </w:rPr>
        <w:t>bibliques, convenait mal à un livre d'édification, destiné à être largement répandu ; ou simpl</w:t>
      </w:r>
      <w:r w:rsidRPr="004D290B">
        <w:rPr>
          <w:i/>
          <w:lang w:eastAsia="fr-FR" w:bidi="fr-FR"/>
        </w:rPr>
        <w:t>e</w:t>
      </w:r>
      <w:r w:rsidRPr="004D290B">
        <w:rPr>
          <w:i/>
          <w:lang w:eastAsia="fr-FR" w:bidi="fr-FR"/>
        </w:rPr>
        <w:t>ment jugea-t-il malséant que le travail composé pour Étienne de Blois fût tout bonnement réchauffé pour son ancien rival, Henri Plantag</w:t>
      </w:r>
      <w:r w:rsidRPr="004D290B">
        <w:rPr>
          <w:i/>
          <w:lang w:eastAsia="fr-FR" w:bidi="fr-FR"/>
        </w:rPr>
        <w:t>e</w:t>
      </w:r>
      <w:r w:rsidRPr="004D290B">
        <w:rPr>
          <w:i/>
          <w:lang w:eastAsia="fr-FR" w:bidi="fr-FR"/>
        </w:rPr>
        <w:lastRenderedPageBreak/>
        <w:t>net. Quoi qu'il en soit, il s'adressa à un écrivain déjà célèbre pour son talent et sa piété, son parent au su</w:t>
      </w:r>
      <w:r w:rsidRPr="004D290B">
        <w:rPr>
          <w:i/>
          <w:lang w:eastAsia="fr-FR" w:bidi="fr-FR"/>
        </w:rPr>
        <w:t>r</w:t>
      </w:r>
      <w:r w:rsidRPr="004D290B">
        <w:rPr>
          <w:i/>
          <w:lang w:eastAsia="fr-FR" w:bidi="fr-FR"/>
        </w:rPr>
        <w:t>plus, le cistercien Ailred, abbé de Rievaulx, dont l'Église à son tour devait faire un saint</w:t>
      </w:r>
      <w:r>
        <w:rPr>
          <w:lang w:eastAsia="fr-FR" w:bidi="fr-FR"/>
        </w:rPr>
        <w:t> </w:t>
      </w:r>
      <w:r>
        <w:rPr>
          <w:rStyle w:val="Appelnotedebasdep"/>
        </w:rPr>
        <w:footnoteReference w:id="1078"/>
      </w:r>
      <w:r w:rsidRPr="004D290B">
        <w:rPr>
          <w:i/>
          <w:lang w:eastAsia="fr-FR" w:bidi="fr-FR"/>
        </w:rPr>
        <w:t>. Saint Ailred accepta. Son ouvrage, dédié à la fois au roi Henri et à l'abbé Laurent, fut</w:t>
      </w:r>
      <w:r w:rsidRPr="004D290B">
        <w:rPr>
          <w:b/>
          <w:bCs/>
          <w:i/>
        </w:rPr>
        <w:t xml:space="preserve"> « </w:t>
      </w:r>
      <w:r w:rsidRPr="004D290B">
        <w:rPr>
          <w:i/>
          <w:lang w:eastAsia="fr-FR" w:bidi="fr-FR"/>
        </w:rPr>
        <w:t>offert</w:t>
      </w:r>
      <w:r w:rsidRPr="004D290B">
        <w:rPr>
          <w:b/>
          <w:bCs/>
          <w:i/>
        </w:rPr>
        <w:t xml:space="preserve"> » </w:t>
      </w:r>
      <w:r w:rsidRPr="004D290B">
        <w:rPr>
          <w:i/>
          <w:lang w:eastAsia="fr-FR" w:bidi="fr-FR"/>
        </w:rPr>
        <w:t>solennellement par lui le jour de la translation des rel</w:t>
      </w:r>
      <w:r w:rsidRPr="004D290B">
        <w:rPr>
          <w:i/>
          <w:lang w:eastAsia="fr-FR" w:bidi="fr-FR"/>
        </w:rPr>
        <w:t>i</w:t>
      </w:r>
      <w:r w:rsidRPr="004D290B">
        <w:rPr>
          <w:i/>
          <w:lang w:eastAsia="fr-FR" w:bidi="fr-FR"/>
        </w:rPr>
        <w:t>ques du roi Édouard, devenu saint Édouard, accomplie à Westminster le 13 octobre 1163, en présence du souverain</w:t>
      </w:r>
      <w:r>
        <w:rPr>
          <w:lang w:eastAsia="fr-FR" w:bidi="fr-FR"/>
        </w:rPr>
        <w:t> </w:t>
      </w:r>
      <w:r>
        <w:rPr>
          <w:rStyle w:val="Appelnotedebasdep"/>
        </w:rPr>
        <w:footnoteReference w:id="1079"/>
      </w:r>
      <w:r w:rsidRPr="004D290B">
        <w:rPr>
          <w:bCs/>
          <w:i/>
        </w:rPr>
        <w:t>.</w:t>
      </w:r>
      <w:r w:rsidRPr="004D290B">
        <w:rPr>
          <w:b/>
          <w:bCs/>
          <w:i/>
        </w:rPr>
        <w:t xml:space="preserve"> </w:t>
      </w:r>
      <w:r w:rsidRPr="004D290B">
        <w:rPr>
          <w:i/>
          <w:lang w:eastAsia="fr-FR" w:bidi="fr-FR"/>
        </w:rPr>
        <w:t>Pour le fond, Ailred ne rechercha pas l'originalité. Il suivit de très près Osbert, le compl</w:t>
      </w:r>
      <w:r w:rsidRPr="004D290B">
        <w:rPr>
          <w:i/>
          <w:lang w:eastAsia="fr-FR" w:bidi="fr-FR"/>
        </w:rPr>
        <w:t>é</w:t>
      </w:r>
      <w:r w:rsidRPr="004D290B">
        <w:rPr>
          <w:i/>
          <w:lang w:eastAsia="fr-FR" w:bidi="fr-FR"/>
        </w:rPr>
        <w:t>tant par endroits ou le modifiant légèrement dans le sens indiqué tout à l'heure</w:t>
      </w:r>
      <w:r>
        <w:rPr>
          <w:lang w:eastAsia="fr-FR" w:bidi="fr-FR"/>
        </w:rPr>
        <w:t> </w:t>
      </w:r>
      <w:r>
        <w:rPr>
          <w:rStyle w:val="Appelnotedebasdep"/>
        </w:rPr>
        <w:footnoteReference w:id="1080"/>
      </w:r>
      <w:r w:rsidRPr="004D290B">
        <w:rPr>
          <w:i/>
          <w:lang w:eastAsia="fr-FR" w:bidi="fr-FR"/>
        </w:rPr>
        <w:t>. Mais la forme est très différente : plus banale peut-être, mais beaucoup plus sobre et plus claire, en somme incomparablement mieux adaptée à son objet. He</w:t>
      </w:r>
      <w:r w:rsidRPr="004D290B">
        <w:rPr>
          <w:i/>
          <w:lang w:eastAsia="fr-FR" w:bidi="fr-FR"/>
        </w:rPr>
        <w:t>u</w:t>
      </w:r>
      <w:r w:rsidRPr="004D290B">
        <w:rPr>
          <w:i/>
          <w:lang w:eastAsia="fr-FR" w:bidi="fr-FR"/>
        </w:rPr>
        <w:t>reusement rédigée, munie par surcroît de l'estampille royale, la nouvelle Vie eut un grand succès. Elle d</w:t>
      </w:r>
      <w:r w:rsidRPr="004D290B">
        <w:rPr>
          <w:i/>
          <w:lang w:eastAsia="fr-FR" w:bidi="fr-FR"/>
        </w:rPr>
        <w:t>e</w:t>
      </w:r>
      <w:r w:rsidRPr="004D290B">
        <w:rPr>
          <w:i/>
          <w:lang w:eastAsia="fr-FR" w:bidi="fr-FR"/>
        </w:rPr>
        <w:t>meura par la suite comme la vulgate de la tradition hagiographique relative à saint Édouard. To</w:t>
      </w:r>
      <w:r w:rsidRPr="004D290B">
        <w:rPr>
          <w:i/>
          <w:lang w:eastAsia="fr-FR" w:bidi="fr-FR"/>
        </w:rPr>
        <w:t>u</w:t>
      </w:r>
      <w:r w:rsidRPr="004D290B">
        <w:rPr>
          <w:i/>
          <w:lang w:eastAsia="fr-FR" w:bidi="fr-FR"/>
        </w:rPr>
        <w:t>te la littérature postérieure dont</w:t>
      </w:r>
      <w:r w:rsidRPr="004D290B">
        <w:rPr>
          <w:b/>
          <w:bCs/>
          <w:i/>
        </w:rPr>
        <w:t xml:space="preserve"> « </w:t>
      </w:r>
      <w:r w:rsidRPr="004D290B">
        <w:rPr>
          <w:i/>
          <w:lang w:eastAsia="fr-FR" w:bidi="fr-FR"/>
        </w:rPr>
        <w:t>Aedward li reis</w:t>
      </w:r>
      <w:r w:rsidRPr="004D290B">
        <w:rPr>
          <w:b/>
          <w:bCs/>
          <w:i/>
        </w:rPr>
        <w:t xml:space="preserve"> » </w:t>
      </w:r>
      <w:r w:rsidRPr="004D290B">
        <w:rPr>
          <w:i/>
          <w:lang w:eastAsia="fr-FR" w:bidi="fr-FR"/>
        </w:rPr>
        <w:t>est le héros ne fit</w:t>
      </w:r>
      <w:r w:rsidRPr="007422C9">
        <w:rPr>
          <w:lang w:eastAsia="fr-FR" w:bidi="fr-FR"/>
        </w:rPr>
        <w:t xml:space="preserve"> </w:t>
      </w:r>
      <w:r w:rsidRPr="00494B38">
        <w:rPr>
          <w:i/>
          <w:lang w:eastAsia="fr-FR" w:bidi="fr-FR"/>
        </w:rPr>
        <w:t>guère que la paraphraser</w:t>
      </w:r>
      <w:r>
        <w:rPr>
          <w:lang w:eastAsia="fr-FR" w:bidi="fr-FR"/>
        </w:rPr>
        <w:t> </w:t>
      </w:r>
      <w:r>
        <w:rPr>
          <w:rStyle w:val="Appelnotedebasdep"/>
        </w:rPr>
        <w:footnoteReference w:id="1081"/>
      </w:r>
      <w:r w:rsidRPr="00494B38">
        <w:rPr>
          <w:bCs/>
          <w:i/>
        </w:rPr>
        <w:t>.</w:t>
      </w:r>
      <w:r w:rsidRPr="00494B38">
        <w:rPr>
          <w:b/>
          <w:bCs/>
          <w:i/>
        </w:rPr>
        <w:t xml:space="preserve"> </w:t>
      </w:r>
      <w:r w:rsidRPr="00494B38">
        <w:rPr>
          <w:i/>
          <w:lang w:eastAsia="fr-FR" w:bidi="fr-FR"/>
        </w:rPr>
        <w:t>On la copia souvent, parfois en l’abrégeant</w:t>
      </w:r>
      <w:r>
        <w:rPr>
          <w:lang w:eastAsia="fr-FR" w:bidi="fr-FR"/>
        </w:rPr>
        <w:t> </w:t>
      </w:r>
      <w:r>
        <w:rPr>
          <w:rStyle w:val="Appelnotedebasdep"/>
        </w:rPr>
        <w:footnoteReference w:id="1082"/>
      </w:r>
      <w:r w:rsidRPr="00494B38">
        <w:rPr>
          <w:i/>
          <w:lang w:eastAsia="fr-FR" w:bidi="fr-FR"/>
        </w:rPr>
        <w:t xml:space="preserve"> ; de </w:t>
      </w:r>
      <w:r w:rsidRPr="00494B38">
        <w:rPr>
          <w:i/>
          <w:lang w:eastAsia="fr-FR" w:bidi="fr-FR"/>
        </w:rPr>
        <w:lastRenderedPageBreak/>
        <w:t>nombreux manuscrits nous l'ont transmise. L'o</w:t>
      </w:r>
      <w:r w:rsidRPr="00494B38">
        <w:rPr>
          <w:i/>
          <w:lang w:eastAsia="fr-FR" w:bidi="fr-FR"/>
        </w:rPr>
        <w:t>u</w:t>
      </w:r>
      <w:r w:rsidRPr="00494B38">
        <w:rPr>
          <w:i/>
          <w:lang w:eastAsia="fr-FR" w:bidi="fr-FR"/>
        </w:rPr>
        <w:t>vrage d’Osbert au contraire cessa d'être lu ; verbeux et souvent obscur, il portait en outre la peine des circonsta</w:t>
      </w:r>
      <w:r w:rsidRPr="00494B38">
        <w:rPr>
          <w:i/>
          <w:lang w:eastAsia="fr-FR" w:bidi="fr-FR"/>
        </w:rPr>
        <w:t>n</w:t>
      </w:r>
      <w:r w:rsidRPr="00494B38">
        <w:rPr>
          <w:i/>
          <w:lang w:eastAsia="fr-FR" w:bidi="fr-FR"/>
        </w:rPr>
        <w:t>ces au milieu desquelles il avait vu le jour ; il avait été entrepris sur les ordres d'un souverain malheureux, dans le dessein de faire aboutir un procès de canonis</w:t>
      </w:r>
      <w:r w:rsidRPr="00494B38">
        <w:rPr>
          <w:i/>
          <w:lang w:eastAsia="fr-FR" w:bidi="fr-FR"/>
        </w:rPr>
        <w:t>a</w:t>
      </w:r>
      <w:r w:rsidRPr="00494B38">
        <w:rPr>
          <w:i/>
          <w:lang w:eastAsia="fr-FR" w:bidi="fr-FR"/>
        </w:rPr>
        <w:t>tion qui échoua ; il ne pouvait soutenir la concurrence. On l'oublia. De nos jours les érudits l'ont longtemps cru perdu ; on en connaissait bien un manuscrit, mais abrégé et interpolé. Le seul manuscrit co</w:t>
      </w:r>
      <w:r w:rsidRPr="00494B38">
        <w:rPr>
          <w:i/>
          <w:lang w:eastAsia="fr-FR" w:bidi="fr-FR"/>
        </w:rPr>
        <w:t>m</w:t>
      </w:r>
      <w:r w:rsidRPr="00494B38">
        <w:rPr>
          <w:i/>
          <w:lang w:eastAsia="fr-FR" w:bidi="fr-FR"/>
        </w:rPr>
        <w:t>plet a été retrouvé il y a peu d'années</w:t>
      </w:r>
      <w:r>
        <w:rPr>
          <w:lang w:eastAsia="fr-FR" w:bidi="fr-FR"/>
        </w:rPr>
        <w:t> </w:t>
      </w:r>
      <w:r>
        <w:rPr>
          <w:rStyle w:val="Appelnotedebasdep"/>
        </w:rPr>
        <w:footnoteReference w:id="1083"/>
      </w:r>
      <w:r w:rsidRPr="00494B38">
        <w:rPr>
          <w:bCs/>
          <w:i/>
        </w:rPr>
        <w:t>.</w:t>
      </w:r>
      <w:r w:rsidRPr="00494B38">
        <w:rPr>
          <w:b/>
          <w:bCs/>
          <w:i/>
        </w:rPr>
        <w:t xml:space="preserve"> </w:t>
      </w:r>
      <w:r w:rsidRPr="00494B38">
        <w:rPr>
          <w:i/>
          <w:lang w:eastAsia="fr-FR" w:bidi="fr-FR"/>
        </w:rPr>
        <w:t>L'écrit d'Ailred a été imprimé pour la première fois en 1516, par Capgrave, il est vrai sous une forme résumée</w:t>
      </w:r>
      <w:r>
        <w:rPr>
          <w:lang w:eastAsia="fr-FR" w:bidi="fr-FR"/>
        </w:rPr>
        <w:t> </w:t>
      </w:r>
      <w:r>
        <w:rPr>
          <w:rStyle w:val="Appelnotedebasdep"/>
        </w:rPr>
        <w:footnoteReference w:id="1084"/>
      </w:r>
      <w:r w:rsidRPr="00494B38">
        <w:rPr>
          <w:i/>
          <w:lang w:eastAsia="fr-FR" w:bidi="fr-FR"/>
        </w:rPr>
        <w:t> ; intégralement dès 1562 par Twy</w:t>
      </w:r>
      <w:r w:rsidRPr="00494B38">
        <w:rPr>
          <w:i/>
          <w:lang w:eastAsia="fr-FR" w:bidi="fr-FR"/>
        </w:rPr>
        <w:t>s</w:t>
      </w:r>
      <w:r w:rsidRPr="00494B38">
        <w:rPr>
          <w:i/>
          <w:lang w:eastAsia="fr-FR" w:bidi="fr-FR"/>
        </w:rPr>
        <w:t>den</w:t>
      </w:r>
      <w:r>
        <w:rPr>
          <w:lang w:eastAsia="fr-FR" w:bidi="fr-FR"/>
        </w:rPr>
        <w:t> </w:t>
      </w:r>
      <w:r>
        <w:rPr>
          <w:rStyle w:val="Appelnotedebasdep"/>
        </w:rPr>
        <w:footnoteReference w:id="1085"/>
      </w:r>
      <w:r w:rsidRPr="00494B38">
        <w:rPr>
          <w:i/>
          <w:lang w:eastAsia="fr-FR" w:bidi="fr-FR"/>
        </w:rPr>
        <w:t>. Celui d'Osbert était jusqu'aujourd'hui resté inédit</w:t>
      </w:r>
      <w:r>
        <w:rPr>
          <w:i/>
          <w:lang w:eastAsia="fr-FR" w:bidi="fr-FR"/>
        </w:rPr>
        <w:t> </w:t>
      </w:r>
      <w:r w:rsidRPr="00494B38">
        <w:rPr>
          <w:rStyle w:val="Appelnotedebasdep"/>
        </w:rPr>
        <w:footnoteReference w:id="1086"/>
      </w:r>
      <w:r w:rsidRPr="00494B38">
        <w:rPr>
          <w:i/>
          <w:lang w:eastAsia="fr-FR" w:bidi="fr-FR"/>
        </w:rPr>
        <w:t>.</w:t>
      </w:r>
    </w:p>
    <w:p w14:paraId="3E7A45C5" w14:textId="77777777" w:rsidR="00B9662D" w:rsidRDefault="00B9662D" w:rsidP="00B9662D">
      <w:pPr>
        <w:spacing w:before="120" w:after="120"/>
        <w:jc w:val="both"/>
        <w:rPr>
          <w:lang w:eastAsia="fr-FR" w:bidi="fr-FR"/>
        </w:rPr>
      </w:pPr>
      <w:r>
        <w:rPr>
          <w:lang w:eastAsia="fr-FR" w:bidi="fr-FR"/>
        </w:rPr>
        <w:t>[956]</w:t>
      </w:r>
    </w:p>
    <w:p w14:paraId="73D37BCB" w14:textId="77777777" w:rsidR="00B9662D" w:rsidRPr="007422C9" w:rsidRDefault="00B9662D" w:rsidP="00B9662D">
      <w:pPr>
        <w:spacing w:before="120" w:after="120"/>
        <w:jc w:val="both"/>
      </w:pPr>
    </w:p>
    <w:p w14:paraId="134103CC" w14:textId="77777777" w:rsidR="00B9662D" w:rsidRPr="00523B82" w:rsidRDefault="00B9662D" w:rsidP="00B9662D">
      <w:pPr>
        <w:pStyle w:val="planche"/>
      </w:pPr>
      <w:bookmarkStart w:id="56" w:name="Melanges_t2_pt_9_chap_IV_II"/>
      <w:r w:rsidRPr="007422C9">
        <w:t>II. Une source d’Osbert de Clare :</w:t>
      </w:r>
      <w:r>
        <w:br/>
        <w:t>La</w:t>
      </w:r>
      <w:r w:rsidRPr="007422C9">
        <w:rPr>
          <w:rStyle w:val="Corpsdutexte585ptPetitesmajuscules"/>
          <w:sz w:val="28"/>
          <w:lang w:val="fr-CA"/>
        </w:rPr>
        <w:t xml:space="preserve"> </w:t>
      </w:r>
      <w:r w:rsidRPr="007422C9">
        <w:t>vita « Aeduuardi</w:t>
      </w:r>
      <w:r>
        <w:t xml:space="preserve"> </w:t>
      </w:r>
      <w:r w:rsidRPr="00523B82">
        <w:t>regis qui apud</w:t>
      </w:r>
      <w:r>
        <w:br/>
      </w:r>
      <w:r w:rsidRPr="00523B82">
        <w:t>westmonasterium requiescit »</w:t>
      </w:r>
    </w:p>
    <w:bookmarkEnd w:id="56"/>
    <w:p w14:paraId="403B75E9" w14:textId="77777777" w:rsidR="00B9662D" w:rsidRDefault="00B9662D" w:rsidP="00B9662D">
      <w:pPr>
        <w:spacing w:before="120" w:after="120"/>
        <w:jc w:val="both"/>
        <w:rPr>
          <w:lang w:eastAsia="fr-FR" w:bidi="fr-FR"/>
        </w:rPr>
      </w:pPr>
    </w:p>
    <w:p w14:paraId="44274C74"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2ACCBB1" w14:textId="77777777" w:rsidR="00B9662D" w:rsidRPr="00494B38" w:rsidRDefault="00B9662D" w:rsidP="00B9662D">
      <w:pPr>
        <w:spacing w:before="120" w:after="120"/>
        <w:jc w:val="both"/>
        <w:rPr>
          <w:i/>
        </w:rPr>
      </w:pPr>
      <w:r w:rsidRPr="00494B38">
        <w:rPr>
          <w:i/>
          <w:lang w:eastAsia="fr-FR" w:bidi="fr-FR"/>
        </w:rPr>
        <w:t>Revenons maintenant à cette mystérieuse</w:t>
      </w:r>
      <w:r w:rsidRPr="00494B38">
        <w:rPr>
          <w:b/>
          <w:bCs/>
          <w:i/>
        </w:rPr>
        <w:t xml:space="preserve"> </w:t>
      </w:r>
      <w:r w:rsidRPr="00494B38">
        <w:rPr>
          <w:bCs/>
        </w:rPr>
        <w:t>Vita Aeduuardi regis qui apud Westmonasterium requiescit</w:t>
      </w:r>
      <w:r w:rsidRPr="00494B38">
        <w:rPr>
          <w:bCs/>
          <w:i/>
        </w:rPr>
        <w:t>,</w:t>
      </w:r>
      <w:r w:rsidRPr="00494B38">
        <w:rPr>
          <w:b/>
          <w:bCs/>
          <w:i/>
        </w:rPr>
        <w:t xml:space="preserve"> </w:t>
      </w:r>
      <w:r w:rsidRPr="00494B38">
        <w:rPr>
          <w:i/>
          <w:lang w:eastAsia="fr-FR" w:bidi="fr-FR"/>
        </w:rPr>
        <w:t>que je n’ai mentionnée plus haut que pour la laisser provisoirement de côté. Il faut chercher à en d</w:t>
      </w:r>
      <w:r w:rsidRPr="00494B38">
        <w:rPr>
          <w:i/>
          <w:lang w:eastAsia="fr-FR" w:bidi="fr-FR"/>
        </w:rPr>
        <w:t>é</w:t>
      </w:r>
      <w:r w:rsidRPr="00494B38">
        <w:rPr>
          <w:i/>
          <w:lang w:eastAsia="fr-FR" w:bidi="fr-FR"/>
        </w:rPr>
        <w:t>terminer, s’il se peut, le caractère et la date.</w:t>
      </w:r>
    </w:p>
    <w:p w14:paraId="2A0F1F11" w14:textId="77777777" w:rsidR="00B9662D" w:rsidRPr="001D0D44" w:rsidRDefault="00B9662D" w:rsidP="00B9662D">
      <w:pPr>
        <w:spacing w:before="120" w:after="120"/>
        <w:jc w:val="both"/>
        <w:rPr>
          <w:i/>
        </w:rPr>
      </w:pPr>
      <w:r>
        <w:rPr>
          <w:i/>
          <w:lang w:eastAsia="fr-FR" w:bidi="fr-FR"/>
        </w:rPr>
        <w:br w:type="page"/>
      </w:r>
      <w:r w:rsidRPr="001D0D44">
        <w:rPr>
          <w:i/>
          <w:lang w:eastAsia="fr-FR" w:bidi="fr-FR"/>
        </w:rPr>
        <w:lastRenderedPageBreak/>
        <w:t>Un seul manuscrit nous l’a transmise ; il a passé de la collection des comtes d’Oxford au Musée Britannique, où il porte maintenant la cote</w:t>
      </w:r>
      <w:r w:rsidRPr="001D0D44">
        <w:rPr>
          <w:b/>
          <w:bCs/>
          <w:i/>
        </w:rPr>
        <w:t xml:space="preserve"> </w:t>
      </w:r>
      <w:r w:rsidRPr="001D0D44">
        <w:rPr>
          <w:bCs/>
        </w:rPr>
        <w:t>Harleian 526 </w:t>
      </w:r>
      <w:r w:rsidRPr="001D0D44">
        <w:rPr>
          <w:bCs/>
          <w:i/>
        </w:rPr>
        <w:t>;</w:t>
      </w:r>
      <w:r w:rsidRPr="001D0D44">
        <w:rPr>
          <w:b/>
          <w:bCs/>
          <w:i/>
        </w:rPr>
        <w:t xml:space="preserve"> </w:t>
      </w:r>
      <w:r w:rsidRPr="001D0D44">
        <w:rPr>
          <w:i/>
          <w:lang w:eastAsia="fr-FR" w:bidi="fr-FR"/>
        </w:rPr>
        <w:t xml:space="preserve">rien ne permet d’en fixer le lieu d’origine ; l’examen des caractères paléographiques montre qu’il a été exécuté vers la fin du </w:t>
      </w:r>
      <w:r w:rsidRPr="001D0D44">
        <w:rPr>
          <w:bCs/>
          <w:i/>
          <w:iCs/>
        </w:rPr>
        <w:t>XI</w:t>
      </w:r>
      <w:r w:rsidRPr="001D0D44">
        <w:rPr>
          <w:bCs/>
          <w:i/>
          <w:iCs/>
          <w:vertAlign w:val="superscript"/>
        </w:rPr>
        <w:t>e</w:t>
      </w:r>
      <w:r w:rsidRPr="001D0D44">
        <w:rPr>
          <w:i/>
          <w:lang w:eastAsia="fr-FR" w:bidi="fr-FR"/>
        </w:rPr>
        <w:t xml:space="preserve"> siècle. Il est mutilé, présentant en deux endroits des lacunes dont on ne saurait mesurer l’étendue</w:t>
      </w:r>
      <w:r>
        <w:rPr>
          <w:lang w:eastAsia="fr-FR" w:bidi="fr-FR"/>
        </w:rPr>
        <w:t> </w:t>
      </w:r>
      <w:r>
        <w:rPr>
          <w:rStyle w:val="Appelnotedebasdep"/>
        </w:rPr>
        <w:footnoteReference w:id="1087"/>
      </w:r>
      <w:r w:rsidRPr="001D0D44">
        <w:rPr>
          <w:i/>
          <w:lang w:eastAsia="fr-FR" w:bidi="fr-FR"/>
        </w:rPr>
        <w:t>. Il a été publié, médi</w:t>
      </w:r>
      <w:r w:rsidRPr="001D0D44">
        <w:rPr>
          <w:i/>
          <w:lang w:eastAsia="fr-FR" w:bidi="fr-FR"/>
        </w:rPr>
        <w:t>o</w:t>
      </w:r>
      <w:r w:rsidRPr="001D0D44">
        <w:rPr>
          <w:i/>
          <w:lang w:eastAsia="fr-FR" w:bidi="fr-FR"/>
        </w:rPr>
        <w:t>crement, par Luard parmi d’autres Vies du roi, qui sont de basse ép</w:t>
      </w:r>
      <w:r w:rsidRPr="001D0D44">
        <w:rPr>
          <w:i/>
          <w:lang w:eastAsia="fr-FR" w:bidi="fr-FR"/>
        </w:rPr>
        <w:t>o</w:t>
      </w:r>
      <w:r w:rsidRPr="001D0D44">
        <w:rPr>
          <w:i/>
          <w:lang w:eastAsia="fr-FR" w:bidi="fr-FR"/>
        </w:rPr>
        <w:t>que</w:t>
      </w:r>
      <w:r>
        <w:rPr>
          <w:lang w:eastAsia="fr-FR" w:bidi="fr-FR"/>
        </w:rPr>
        <w:t> </w:t>
      </w:r>
      <w:r>
        <w:rPr>
          <w:rStyle w:val="Appelnotedebasdep"/>
        </w:rPr>
        <w:footnoteReference w:id="1088"/>
      </w:r>
      <w:r w:rsidRPr="001D0D44">
        <w:rPr>
          <w:bCs/>
          <w:i/>
        </w:rPr>
        <w:t>.</w:t>
      </w:r>
      <w:r w:rsidRPr="001D0D44">
        <w:rPr>
          <w:b/>
          <w:bCs/>
          <w:i/>
        </w:rPr>
        <w:t xml:space="preserve"> </w:t>
      </w:r>
      <w:r w:rsidRPr="001D0D44">
        <w:rPr>
          <w:i/>
          <w:lang w:eastAsia="fr-FR" w:bidi="fr-FR"/>
        </w:rPr>
        <w:t>L’auteur ne se nomme point, et son anonymat ne sera sans do</w:t>
      </w:r>
      <w:r w:rsidRPr="001D0D44">
        <w:rPr>
          <w:i/>
          <w:lang w:eastAsia="fr-FR" w:bidi="fr-FR"/>
        </w:rPr>
        <w:t>u</w:t>
      </w:r>
      <w:r w:rsidRPr="001D0D44">
        <w:rPr>
          <w:i/>
          <w:lang w:eastAsia="fr-FR" w:bidi="fr-FR"/>
        </w:rPr>
        <w:t>te jamais percé. Les historiens anglais, depuis Freeman, ont pris l’habitude de le désigner par l’appellation de Biographe</w:t>
      </w:r>
      <w:r w:rsidRPr="001D0D44">
        <w:rPr>
          <w:b/>
          <w:bCs/>
          <w:i/>
        </w:rPr>
        <w:t xml:space="preserve"> </w:t>
      </w:r>
      <w:r w:rsidRPr="001D0D44">
        <w:rPr>
          <w:bCs/>
          <w:i/>
        </w:rPr>
        <w:t>(</w:t>
      </w:r>
      <w:r>
        <w:rPr>
          <w:bCs/>
        </w:rPr>
        <w:t>the Biogr</w:t>
      </w:r>
      <w:r>
        <w:rPr>
          <w:bCs/>
        </w:rPr>
        <w:t>a</w:t>
      </w:r>
      <w:r w:rsidRPr="001D0D44">
        <w:rPr>
          <w:bCs/>
        </w:rPr>
        <w:t>pher</w:t>
      </w:r>
      <w:r w:rsidRPr="001D0D44">
        <w:rPr>
          <w:bCs/>
          <w:i/>
        </w:rPr>
        <w:t>) ;</w:t>
      </w:r>
      <w:r w:rsidRPr="001D0D44">
        <w:rPr>
          <w:b/>
          <w:bCs/>
          <w:i/>
        </w:rPr>
        <w:t xml:space="preserve"> </w:t>
      </w:r>
      <w:r w:rsidRPr="001D0D44">
        <w:rPr>
          <w:i/>
          <w:lang w:eastAsia="fr-FR" w:bidi="fr-FR"/>
        </w:rPr>
        <w:t>ce terme est commode et je m’en servirai désormais.</w:t>
      </w:r>
    </w:p>
    <w:p w14:paraId="212799E2" w14:textId="77777777" w:rsidR="00B9662D" w:rsidRPr="001D0D44" w:rsidRDefault="00B9662D" w:rsidP="00B9662D">
      <w:pPr>
        <w:spacing w:before="120" w:after="120"/>
        <w:jc w:val="both"/>
        <w:rPr>
          <w:i/>
        </w:rPr>
      </w:pPr>
      <w:r w:rsidRPr="001D0D44">
        <w:rPr>
          <w:i/>
          <w:lang w:eastAsia="fr-FR" w:bidi="fr-FR"/>
        </w:rPr>
        <w:t>La forme littéraire de l’ouvrage est singulière. Il est mêlé de prose et de vers ; ces derniers sont des hexamètres et pentamètres à peu près réguliers, mais souvent obscurs, tandis que la prose, qui n’obéit point aux règles du</w:t>
      </w:r>
      <w:r w:rsidRPr="001D0D44">
        <w:rPr>
          <w:b/>
          <w:bCs/>
          <w:i/>
        </w:rPr>
        <w:t xml:space="preserve"> </w:t>
      </w:r>
      <w:r w:rsidRPr="001D0D44">
        <w:rPr>
          <w:bCs/>
        </w:rPr>
        <w:t>cursus</w:t>
      </w:r>
      <w:r w:rsidRPr="001D0D44">
        <w:rPr>
          <w:bCs/>
          <w:i/>
        </w:rPr>
        <w:t>,</w:t>
      </w:r>
      <w:r w:rsidRPr="001D0D44">
        <w:rPr>
          <w:b/>
          <w:bCs/>
          <w:i/>
        </w:rPr>
        <w:t xml:space="preserve"> </w:t>
      </w:r>
      <w:r w:rsidRPr="001D0D44">
        <w:rPr>
          <w:i/>
          <w:lang w:eastAsia="fr-FR" w:bidi="fr-FR"/>
        </w:rPr>
        <w:t>est somme toute fort claire. Les parties en vers se présentent souvent comme un dialogue entre le poète et sa m</w:t>
      </w:r>
      <w:r w:rsidRPr="001D0D44">
        <w:rPr>
          <w:i/>
          <w:lang w:eastAsia="fr-FR" w:bidi="fr-FR"/>
        </w:rPr>
        <w:t>u</w:t>
      </w:r>
      <w:r w:rsidRPr="001D0D44">
        <w:rPr>
          <w:i/>
          <w:lang w:eastAsia="fr-FR" w:bidi="fr-FR"/>
        </w:rPr>
        <w:t>se,</w:t>
      </w:r>
      <w:r w:rsidRPr="001D0D44">
        <w:rPr>
          <w:b/>
          <w:bCs/>
          <w:i/>
        </w:rPr>
        <w:t xml:space="preserve"> </w:t>
      </w:r>
      <w:r w:rsidRPr="001D0D44">
        <w:rPr>
          <w:bCs/>
        </w:rPr>
        <w:t>celsa Clio</w:t>
      </w:r>
      <w:r w:rsidRPr="001D0D44">
        <w:rPr>
          <w:bCs/>
          <w:i/>
        </w:rPr>
        <w:t>,</w:t>
      </w:r>
      <w:r w:rsidRPr="001D0D44">
        <w:rPr>
          <w:b/>
          <w:bCs/>
          <w:i/>
        </w:rPr>
        <w:t xml:space="preserve"> </w:t>
      </w:r>
      <w:r w:rsidRPr="001D0D44">
        <w:rPr>
          <w:i/>
          <w:lang w:eastAsia="fr-FR" w:bidi="fr-FR"/>
        </w:rPr>
        <w:t>qui l’excite au travail et fait briller à ses yeux la gra</w:t>
      </w:r>
      <w:r w:rsidRPr="001D0D44">
        <w:rPr>
          <w:i/>
          <w:lang w:eastAsia="fr-FR" w:bidi="fr-FR"/>
        </w:rPr>
        <w:t>n</w:t>
      </w:r>
      <w:r w:rsidRPr="001D0D44">
        <w:rPr>
          <w:i/>
          <w:lang w:eastAsia="fr-FR" w:bidi="fr-FR"/>
        </w:rPr>
        <w:t>deur de sa tâche.</w:t>
      </w:r>
    </w:p>
    <w:p w14:paraId="07472A41" w14:textId="77777777" w:rsidR="00B9662D" w:rsidRPr="00283650" w:rsidRDefault="00B9662D" w:rsidP="00B9662D">
      <w:pPr>
        <w:spacing w:before="120" w:after="120"/>
        <w:jc w:val="both"/>
        <w:rPr>
          <w:i/>
        </w:rPr>
      </w:pPr>
      <w:r w:rsidRPr="001D0D44">
        <w:rPr>
          <w:i/>
          <w:lang w:eastAsia="fr-FR" w:bidi="fr-FR"/>
        </w:rPr>
        <w:t>Le Biographe se donne lui-même comme un protégé de la veuve de saint Édouard, la reine Édith.</w:t>
      </w:r>
      <w:r w:rsidRPr="001D0D44">
        <w:rPr>
          <w:b/>
          <w:bCs/>
          <w:i/>
        </w:rPr>
        <w:t xml:space="preserve"> « </w:t>
      </w:r>
      <w:r w:rsidRPr="001D0D44">
        <w:rPr>
          <w:i/>
          <w:lang w:eastAsia="fr-FR" w:bidi="fr-FR"/>
        </w:rPr>
        <w:t>Tu chanteras la reine, venue la pr</w:t>
      </w:r>
      <w:r w:rsidRPr="001D0D44">
        <w:rPr>
          <w:i/>
          <w:lang w:eastAsia="fr-FR" w:bidi="fr-FR"/>
        </w:rPr>
        <w:t>e</w:t>
      </w:r>
      <w:r w:rsidRPr="001D0D44">
        <w:rPr>
          <w:i/>
          <w:lang w:eastAsia="fr-FR" w:bidi="fr-FR"/>
        </w:rPr>
        <w:t>mière à ton secours</w:t>
      </w:r>
      <w:r w:rsidRPr="001D0D44">
        <w:rPr>
          <w:b/>
          <w:bCs/>
          <w:i/>
        </w:rPr>
        <w:t xml:space="preserve"> », </w:t>
      </w:r>
      <w:r w:rsidRPr="001D0D44">
        <w:rPr>
          <w:i/>
          <w:lang w:eastAsia="fr-FR" w:bidi="fr-FR"/>
        </w:rPr>
        <w:t>lui dit la Muse</w:t>
      </w:r>
      <w:r>
        <w:rPr>
          <w:lang w:eastAsia="fr-FR" w:bidi="fr-FR"/>
        </w:rPr>
        <w:t> </w:t>
      </w:r>
      <w:r>
        <w:rPr>
          <w:rStyle w:val="Appelnotedebasdep"/>
        </w:rPr>
        <w:footnoteReference w:id="1089"/>
      </w:r>
      <w:r w:rsidRPr="001D0D44">
        <w:rPr>
          <w:i/>
          <w:lang w:eastAsia="fr-FR" w:bidi="fr-FR"/>
        </w:rPr>
        <w:t>. Il arrête son récit à la mort du saint, comme s’il s’était mis au travail peu après cette mort ; mais des allusions faciles à pénétrer à la bataille de Stamford Bridge (25 se</w:t>
      </w:r>
      <w:r w:rsidRPr="001D0D44">
        <w:rPr>
          <w:i/>
          <w:lang w:eastAsia="fr-FR" w:bidi="fr-FR"/>
        </w:rPr>
        <w:t>p</w:t>
      </w:r>
      <w:r w:rsidRPr="001D0D44">
        <w:rPr>
          <w:i/>
          <w:lang w:eastAsia="fr-FR" w:bidi="fr-FR"/>
        </w:rPr>
        <w:t>tembre 1066)</w:t>
      </w:r>
      <w:r>
        <w:rPr>
          <w:lang w:eastAsia="fr-FR" w:bidi="fr-FR"/>
        </w:rPr>
        <w:t> </w:t>
      </w:r>
      <w:r>
        <w:rPr>
          <w:rStyle w:val="Appelnotedebasdep"/>
        </w:rPr>
        <w:footnoteReference w:id="1090"/>
      </w:r>
      <w:r w:rsidRPr="001D0D44">
        <w:rPr>
          <w:i/>
          <w:lang w:eastAsia="fr-FR" w:bidi="fr-FR"/>
        </w:rPr>
        <w:t xml:space="preserve"> et à la conquête normande</w:t>
      </w:r>
      <w:r>
        <w:rPr>
          <w:lang w:eastAsia="fr-FR" w:bidi="fr-FR"/>
        </w:rPr>
        <w:t> </w:t>
      </w:r>
      <w:r>
        <w:rPr>
          <w:rStyle w:val="Appelnotedebasdep"/>
        </w:rPr>
        <w:footnoteReference w:id="1091"/>
      </w:r>
      <w:r w:rsidRPr="001D0D44">
        <w:rPr>
          <w:b/>
          <w:bCs/>
          <w:i/>
        </w:rPr>
        <w:t xml:space="preserve"> </w:t>
      </w:r>
      <w:r w:rsidRPr="001D0D44">
        <w:rPr>
          <w:i/>
          <w:lang w:eastAsia="fr-FR" w:bidi="fr-FR"/>
        </w:rPr>
        <w:t xml:space="preserve">interdisent de penser qu’il ait écrit avant la fin de l’année 1066. D’autre part il </w:t>
      </w:r>
      <w:r w:rsidRPr="001D0D44">
        <w:rPr>
          <w:i/>
          <w:lang w:eastAsia="fr-FR" w:bidi="fr-FR"/>
        </w:rPr>
        <w:lastRenderedPageBreak/>
        <w:t>parle de la reine Édith comme d’une personne vivante</w:t>
      </w:r>
      <w:r>
        <w:rPr>
          <w:lang w:eastAsia="fr-FR" w:bidi="fr-FR"/>
        </w:rPr>
        <w:t> </w:t>
      </w:r>
      <w:r>
        <w:rPr>
          <w:rStyle w:val="Appelnotedebasdep"/>
        </w:rPr>
        <w:footnoteReference w:id="1092"/>
      </w:r>
      <w:r w:rsidRPr="001D0D44">
        <w:rPr>
          <w:i/>
          <w:lang w:eastAsia="fr-FR" w:bidi="fr-FR"/>
        </w:rPr>
        <w:t> ; il lui dédie expressément son œuvre</w:t>
      </w:r>
      <w:r>
        <w:rPr>
          <w:lang w:eastAsia="fr-FR" w:bidi="fr-FR"/>
        </w:rPr>
        <w:t> </w:t>
      </w:r>
      <w:r>
        <w:rPr>
          <w:rStyle w:val="Appelnotedebasdep"/>
        </w:rPr>
        <w:footnoteReference w:id="1093"/>
      </w:r>
      <w:r w:rsidRPr="001D0D44">
        <w:rPr>
          <w:i/>
          <w:lang w:eastAsia="fr-FR" w:bidi="fr-FR"/>
        </w:rPr>
        <w:t>. Or Édith mourut à Winchester en 1074 ou 1076</w:t>
      </w:r>
      <w:r>
        <w:rPr>
          <w:lang w:eastAsia="fr-FR" w:bidi="fr-FR"/>
        </w:rPr>
        <w:t> </w:t>
      </w:r>
      <w:r>
        <w:rPr>
          <w:rStyle w:val="Appelnotedebasdep"/>
        </w:rPr>
        <w:footnoteReference w:id="1094"/>
      </w:r>
      <w:r w:rsidRPr="001D0D44">
        <w:rPr>
          <w:i/>
          <w:lang w:eastAsia="fr-FR" w:bidi="fr-FR"/>
        </w:rPr>
        <w:t>. Que conclura-t-on naturellement de tout ce qui précède ? sans doute que la Vie fut rédigée entre 1067 et 1074 ou 1076, c’est-à-dire dans la décennie qui suivit la mort du Confesseur. Telle est en effet l’opinion qu’unanimement, semble-t-il, ont soutenue les historiens anglais. Ce texte émanant d’un homme qui avait pu connaître personnellement saint Édouard, qui en tout cas avait</w:t>
      </w:r>
      <w:r>
        <w:rPr>
          <w:lang w:eastAsia="fr-FR" w:bidi="fr-FR"/>
        </w:rPr>
        <w:t xml:space="preserve"> [957] </w:t>
      </w:r>
      <w:r w:rsidRPr="00283650">
        <w:rPr>
          <w:i/>
          <w:lang w:eastAsia="fr-FR" w:bidi="fr-FR"/>
        </w:rPr>
        <w:t>été le familier de sa veuve, prenait ainsi la valeur d'une source de premier ordre. Freeman, dans sa grande</w:t>
      </w:r>
      <w:r w:rsidRPr="00283650">
        <w:rPr>
          <w:b/>
          <w:bCs/>
          <w:i/>
        </w:rPr>
        <w:t xml:space="preserve"> </w:t>
      </w:r>
      <w:r w:rsidRPr="00283650">
        <w:rPr>
          <w:bCs/>
        </w:rPr>
        <w:t>Histoire de la Conquête</w:t>
      </w:r>
      <w:r w:rsidRPr="00283650">
        <w:rPr>
          <w:bCs/>
          <w:i/>
        </w:rPr>
        <w:t>,</w:t>
      </w:r>
      <w:r w:rsidRPr="00283650">
        <w:rPr>
          <w:b/>
          <w:bCs/>
          <w:i/>
        </w:rPr>
        <w:t xml:space="preserve"> </w:t>
      </w:r>
      <w:r w:rsidRPr="00283650">
        <w:rPr>
          <w:i/>
          <w:lang w:eastAsia="fr-FR" w:bidi="fr-FR"/>
        </w:rPr>
        <w:t>en a fait un très large emploi</w:t>
      </w:r>
      <w:r w:rsidRPr="00283650">
        <w:rPr>
          <w:b/>
          <w:bCs/>
          <w:i/>
        </w:rPr>
        <w:t> — </w:t>
      </w:r>
      <w:r w:rsidRPr="00283650">
        <w:rPr>
          <w:i/>
          <w:lang w:eastAsia="fr-FR" w:bidi="fr-FR"/>
        </w:rPr>
        <w:t>non pas il est vrai sans concevoir par moments quelques inquiétudes au sujet de son authenticité</w:t>
      </w:r>
      <w:r>
        <w:rPr>
          <w:lang w:eastAsia="fr-FR" w:bidi="fr-FR"/>
        </w:rPr>
        <w:t> </w:t>
      </w:r>
      <w:r>
        <w:rPr>
          <w:rStyle w:val="Appelnotedebasdep"/>
        </w:rPr>
        <w:footnoteReference w:id="1095"/>
      </w:r>
      <w:r w:rsidRPr="00283650">
        <w:rPr>
          <w:i/>
          <w:lang w:eastAsia="fr-FR" w:bidi="fr-FR"/>
        </w:rPr>
        <w:t> ; mais ces doutes étaient bien vite éca</w:t>
      </w:r>
      <w:r w:rsidRPr="00283650">
        <w:rPr>
          <w:i/>
          <w:lang w:eastAsia="fr-FR" w:bidi="fr-FR"/>
        </w:rPr>
        <w:t>r</w:t>
      </w:r>
      <w:r w:rsidRPr="00283650">
        <w:rPr>
          <w:i/>
          <w:lang w:eastAsia="fr-FR" w:bidi="fr-FR"/>
        </w:rPr>
        <w:t>tés. Le Biographe, qui entonne à tout pr</w:t>
      </w:r>
      <w:r w:rsidRPr="00283650">
        <w:rPr>
          <w:i/>
          <w:lang w:eastAsia="fr-FR" w:bidi="fr-FR"/>
        </w:rPr>
        <w:t>o</w:t>
      </w:r>
      <w:r w:rsidRPr="00283650">
        <w:rPr>
          <w:i/>
          <w:lang w:eastAsia="fr-FR" w:bidi="fr-FR"/>
        </w:rPr>
        <w:t>pos la louange de la reine Edith, étend son admiration pour elle à tous les siens, à ses frères Tostig et Harold et plus particulièrement à son père le comte Godwin, qui fut sous Édouard le Confesseur l'a</w:t>
      </w:r>
      <w:r w:rsidRPr="00283650">
        <w:rPr>
          <w:i/>
          <w:lang w:eastAsia="fr-FR" w:bidi="fr-FR"/>
        </w:rPr>
        <w:t>d</w:t>
      </w:r>
      <w:r w:rsidRPr="00283650">
        <w:rPr>
          <w:i/>
          <w:lang w:eastAsia="fr-FR" w:bidi="fr-FR"/>
        </w:rPr>
        <w:t>versaire acharné du parti normand. Comment Freeman, qui, huit siècles après Hastings, nou</w:t>
      </w:r>
      <w:r w:rsidRPr="00283650">
        <w:rPr>
          <w:i/>
          <w:lang w:eastAsia="fr-FR" w:bidi="fr-FR"/>
        </w:rPr>
        <w:t>r</w:t>
      </w:r>
      <w:r w:rsidRPr="00283650">
        <w:rPr>
          <w:i/>
          <w:lang w:eastAsia="fr-FR" w:bidi="fr-FR"/>
        </w:rPr>
        <w:t>rissait dans son cœur une haine brûlante pour les Normands, Fre</w:t>
      </w:r>
      <w:r w:rsidRPr="00283650">
        <w:rPr>
          <w:i/>
          <w:lang w:eastAsia="fr-FR" w:bidi="fr-FR"/>
        </w:rPr>
        <w:t>e</w:t>
      </w:r>
      <w:r w:rsidRPr="00283650">
        <w:rPr>
          <w:i/>
          <w:lang w:eastAsia="fr-FR" w:bidi="fr-FR"/>
        </w:rPr>
        <w:t>man qui écrivait expressément pour réhabil</w:t>
      </w:r>
      <w:r w:rsidRPr="00283650">
        <w:rPr>
          <w:i/>
          <w:lang w:eastAsia="fr-FR" w:bidi="fr-FR"/>
        </w:rPr>
        <w:t>i</w:t>
      </w:r>
      <w:r w:rsidRPr="00283650">
        <w:rPr>
          <w:i/>
          <w:lang w:eastAsia="fr-FR" w:bidi="fr-FR"/>
        </w:rPr>
        <w:t>ter Harold, eût-il eu le courage de rejeter un document si parfait</w:t>
      </w:r>
      <w:r w:rsidRPr="00283650">
        <w:rPr>
          <w:i/>
          <w:lang w:eastAsia="fr-FR" w:bidi="fr-FR"/>
        </w:rPr>
        <w:t>e</w:t>
      </w:r>
      <w:r w:rsidRPr="00283650">
        <w:rPr>
          <w:i/>
          <w:lang w:eastAsia="fr-FR" w:bidi="fr-FR"/>
        </w:rPr>
        <w:t>ment</w:t>
      </w:r>
      <w:r w:rsidRPr="00283650">
        <w:rPr>
          <w:b/>
          <w:bCs/>
          <w:i/>
        </w:rPr>
        <w:t xml:space="preserve"> « </w:t>
      </w:r>
      <w:r w:rsidRPr="00283650">
        <w:rPr>
          <w:i/>
          <w:lang w:eastAsia="fr-FR" w:bidi="fr-FR"/>
        </w:rPr>
        <w:t>godwiniste</w:t>
      </w:r>
      <w:r w:rsidRPr="00283650">
        <w:rPr>
          <w:b/>
          <w:bCs/>
          <w:i/>
        </w:rPr>
        <w:t> »</w:t>
      </w:r>
      <w:r>
        <w:rPr>
          <w:b/>
          <w:bCs/>
        </w:rPr>
        <w:t> </w:t>
      </w:r>
      <w:r>
        <w:rPr>
          <w:rStyle w:val="Appelnotedebasdep"/>
          <w:b/>
          <w:bCs/>
        </w:rPr>
        <w:footnoteReference w:id="1096"/>
      </w:r>
      <w:r w:rsidRPr="00283650">
        <w:rPr>
          <w:bCs/>
          <w:i/>
        </w:rPr>
        <w:t> ?</w:t>
      </w:r>
      <w:r w:rsidRPr="00283650">
        <w:rPr>
          <w:i/>
          <w:lang w:eastAsia="fr-FR" w:bidi="fr-FR"/>
        </w:rPr>
        <w:t xml:space="preserve"> Il ne trouvait guère qu'une chose à reprocher au Biographe : ne pas mettre assez haut Harold, lui préférer son frère et rival Tostig. Ma</w:t>
      </w:r>
      <w:r w:rsidRPr="00283650">
        <w:rPr>
          <w:i/>
          <w:lang w:eastAsia="fr-FR" w:bidi="fr-FR"/>
        </w:rPr>
        <w:t>l</w:t>
      </w:r>
      <w:r w:rsidRPr="00283650">
        <w:rPr>
          <w:i/>
          <w:lang w:eastAsia="fr-FR" w:bidi="fr-FR"/>
        </w:rPr>
        <w:t>heureusement la théorie courante semble bien insoutenable. L'ouvr</w:t>
      </w:r>
      <w:r w:rsidRPr="00283650">
        <w:rPr>
          <w:i/>
          <w:lang w:eastAsia="fr-FR" w:bidi="fr-FR"/>
        </w:rPr>
        <w:t>a</w:t>
      </w:r>
      <w:r w:rsidRPr="00283650">
        <w:rPr>
          <w:i/>
          <w:lang w:eastAsia="fr-FR" w:bidi="fr-FR"/>
        </w:rPr>
        <w:t>ge du Biographe est difficile à dater ; mais une chose me paraît hors de doute : il n'a pas été composé avant le début du XII</w:t>
      </w:r>
      <w:r w:rsidRPr="00283650">
        <w:rPr>
          <w:i/>
          <w:vertAlign w:val="superscript"/>
          <w:lang w:eastAsia="fr-FR" w:bidi="fr-FR"/>
        </w:rPr>
        <w:t>e</w:t>
      </w:r>
      <w:r w:rsidRPr="00283650">
        <w:rPr>
          <w:i/>
          <w:lang w:eastAsia="fr-FR" w:bidi="fr-FR"/>
        </w:rPr>
        <w:t xml:space="preserve"> siècle. Il y a à cela plusieurs raisons, que voici</w:t>
      </w:r>
      <w:r>
        <w:rPr>
          <w:lang w:eastAsia="fr-FR" w:bidi="fr-FR"/>
        </w:rPr>
        <w:t> </w:t>
      </w:r>
      <w:r>
        <w:rPr>
          <w:rStyle w:val="Appelnotedebasdep"/>
        </w:rPr>
        <w:footnoteReference w:id="1097"/>
      </w:r>
      <w:r w:rsidRPr="00283650">
        <w:rPr>
          <w:i/>
          <w:lang w:eastAsia="fr-FR" w:bidi="fr-FR"/>
        </w:rPr>
        <w:t>.</w:t>
      </w:r>
    </w:p>
    <w:p w14:paraId="502CA71A" w14:textId="77777777" w:rsidR="00B9662D" w:rsidRPr="00283650" w:rsidRDefault="00B9662D" w:rsidP="00B9662D">
      <w:pPr>
        <w:spacing w:before="120" w:after="120"/>
        <w:jc w:val="both"/>
        <w:rPr>
          <w:i/>
        </w:rPr>
      </w:pPr>
      <w:r w:rsidRPr="00283650">
        <w:rPr>
          <w:i/>
          <w:lang w:eastAsia="fr-FR" w:bidi="fr-FR"/>
        </w:rPr>
        <w:lastRenderedPageBreak/>
        <w:t>Reportons-nous à la description que le Biographe nous donne des derniers moments de saint Édouard. Le roi a perdu connaissance ; tout à coup il se réveille ; non sans efforts il recouvre la parole ; il décrit une vision qu'il a eue dans son sommeil ; je cite désormais te</w:t>
      </w:r>
      <w:r w:rsidRPr="00283650">
        <w:rPr>
          <w:i/>
          <w:lang w:eastAsia="fr-FR" w:bidi="fr-FR"/>
        </w:rPr>
        <w:t>x</w:t>
      </w:r>
      <w:r w:rsidRPr="00283650">
        <w:rPr>
          <w:i/>
          <w:lang w:eastAsia="fr-FR" w:bidi="fr-FR"/>
        </w:rPr>
        <w:t>tuellement :</w:t>
      </w:r>
      <w:r w:rsidRPr="00283650">
        <w:rPr>
          <w:b/>
          <w:bCs/>
          <w:i/>
        </w:rPr>
        <w:t xml:space="preserve"> « </w:t>
      </w:r>
      <w:r w:rsidRPr="00283650">
        <w:rPr>
          <w:i/>
          <w:lang w:eastAsia="fr-FR" w:bidi="fr-FR"/>
        </w:rPr>
        <w:t>Deux moines étaient avec moi, que j'avais bien connus jadis en Normandie quand j'étais adolescent : deux hommes</w:t>
      </w:r>
      <w:r w:rsidRPr="007422C9">
        <w:rPr>
          <w:lang w:eastAsia="fr-FR" w:bidi="fr-FR"/>
        </w:rPr>
        <w:t xml:space="preserve"> </w:t>
      </w:r>
      <w:r w:rsidRPr="00283650">
        <w:rPr>
          <w:i/>
          <w:lang w:eastAsia="fr-FR" w:bidi="fr-FR"/>
        </w:rPr>
        <w:t>d'une grande sainteté qui ont quitté ce monde voici déjà longtemps. Ils me parlèrent ainsi, de la part de Dieu :</w:t>
      </w:r>
      <w:r w:rsidRPr="00283650">
        <w:rPr>
          <w:b/>
          <w:bCs/>
          <w:i/>
        </w:rPr>
        <w:t xml:space="preserve"> « </w:t>
      </w:r>
      <w:r w:rsidRPr="00283650">
        <w:rPr>
          <w:i/>
          <w:lang w:eastAsia="fr-FR" w:bidi="fr-FR"/>
        </w:rPr>
        <w:t>Parce que, dirent-ils, ceux qui dans ce royaume d'Angleterre sont montés au premier rang, ducs, évêques, abbés et tous les personnages revêtus des ordres sacrés ne sont pas ce qu'ils semblent être, mais, au contraire, ne sont que des ministres du diable, Dieu, dans l'année qui suivra ta mort, livrera tout ce royaume qu'il a maudit aux mains de l'Ennemi ; les diables pa</w:t>
      </w:r>
      <w:r w:rsidRPr="00283650">
        <w:rPr>
          <w:i/>
          <w:lang w:eastAsia="fr-FR" w:bidi="fr-FR"/>
        </w:rPr>
        <w:t>r</w:t>
      </w:r>
      <w:r w:rsidRPr="00283650">
        <w:rPr>
          <w:i/>
          <w:lang w:eastAsia="fr-FR" w:bidi="fr-FR"/>
        </w:rPr>
        <w:t>courront toute cette terre, le feu et le fer à la main, et la ravageront</w:t>
      </w:r>
      <w:r w:rsidRPr="00283650">
        <w:rPr>
          <w:b/>
          <w:bCs/>
          <w:i/>
        </w:rPr>
        <w:t xml:space="preserve"> ». </w:t>
      </w:r>
      <w:r w:rsidRPr="00283650">
        <w:rPr>
          <w:i/>
          <w:lang w:eastAsia="fr-FR" w:bidi="fr-FR"/>
        </w:rPr>
        <w:t>Je leur dis :</w:t>
      </w:r>
      <w:r w:rsidRPr="00283650">
        <w:rPr>
          <w:b/>
          <w:bCs/>
          <w:i/>
        </w:rPr>
        <w:t xml:space="preserve"> « </w:t>
      </w:r>
      <w:r w:rsidRPr="00283650">
        <w:rPr>
          <w:i/>
          <w:lang w:eastAsia="fr-FR" w:bidi="fr-FR"/>
        </w:rPr>
        <w:t>Je vais montrer à mon peuple la volonté de Dieu ; il se repentira et Dieu, dans sa miséricorde, le prendra en pitié. Dieu eut pitié des Ninivites, lorsqu'ayant connu la menace divine ils se furent repentis</w:t>
      </w:r>
      <w:r w:rsidRPr="00283650">
        <w:rPr>
          <w:b/>
          <w:bCs/>
          <w:i/>
        </w:rPr>
        <w:t xml:space="preserve"> ». </w:t>
      </w:r>
      <w:r w:rsidRPr="00283650">
        <w:rPr>
          <w:i/>
          <w:lang w:eastAsia="fr-FR" w:bidi="fr-FR"/>
        </w:rPr>
        <w:t>Les moines répliquèrent :</w:t>
      </w:r>
      <w:r w:rsidRPr="00283650">
        <w:rPr>
          <w:b/>
          <w:bCs/>
          <w:i/>
        </w:rPr>
        <w:t xml:space="preserve"> « </w:t>
      </w:r>
      <w:r w:rsidRPr="00283650">
        <w:rPr>
          <w:i/>
          <w:lang w:eastAsia="fr-FR" w:bidi="fr-FR"/>
        </w:rPr>
        <w:t>Ton peuple ne se repentira point et la miséricorde de Dieu ne le visitera pas</w:t>
      </w:r>
      <w:r w:rsidRPr="00283650">
        <w:rPr>
          <w:b/>
          <w:bCs/>
          <w:i/>
        </w:rPr>
        <w:t> »</w:t>
      </w:r>
      <w:r w:rsidRPr="00283650">
        <w:rPr>
          <w:bCs/>
          <w:i/>
        </w:rPr>
        <w:t>.</w:t>
      </w:r>
      <w:r w:rsidRPr="00283650">
        <w:rPr>
          <w:b/>
          <w:bCs/>
          <w:i/>
        </w:rPr>
        <w:t> — « </w:t>
      </w:r>
      <w:r w:rsidRPr="00283650">
        <w:rPr>
          <w:i/>
          <w:lang w:eastAsia="fr-FR" w:bidi="fr-FR"/>
        </w:rPr>
        <w:t>Qu'adviendra-t-il donc, dis-je, et quand pourra-t-on espérer la r</w:t>
      </w:r>
      <w:r w:rsidRPr="00283650">
        <w:rPr>
          <w:i/>
          <w:lang w:eastAsia="fr-FR" w:bidi="fr-FR"/>
        </w:rPr>
        <w:t>é</w:t>
      </w:r>
      <w:r w:rsidRPr="00283650">
        <w:rPr>
          <w:i/>
          <w:lang w:eastAsia="fr-FR" w:bidi="fr-FR"/>
        </w:rPr>
        <w:t>mission d'une si terrible menace ?</w:t>
      </w:r>
      <w:r w:rsidRPr="00283650">
        <w:rPr>
          <w:b/>
          <w:bCs/>
          <w:i/>
        </w:rPr>
        <w:t xml:space="preserve"> » </w:t>
      </w:r>
      <w:r w:rsidRPr="00283650">
        <w:rPr>
          <w:i/>
          <w:lang w:eastAsia="fr-FR" w:bidi="fr-FR"/>
        </w:rPr>
        <w:t>Ils répondirent ;</w:t>
      </w:r>
      <w:r w:rsidRPr="00283650">
        <w:rPr>
          <w:b/>
          <w:bCs/>
          <w:i/>
        </w:rPr>
        <w:t xml:space="preserve"> « </w:t>
      </w:r>
      <w:r w:rsidRPr="00283650">
        <w:rPr>
          <w:i/>
          <w:lang w:eastAsia="fr-FR" w:bidi="fr-FR"/>
        </w:rPr>
        <w:t>Lorsque l'a</w:t>
      </w:r>
      <w:r w:rsidRPr="00283650">
        <w:rPr>
          <w:i/>
          <w:lang w:eastAsia="fr-FR" w:bidi="fr-FR"/>
        </w:rPr>
        <w:t>r</w:t>
      </w:r>
      <w:r w:rsidRPr="00283650">
        <w:rPr>
          <w:i/>
          <w:lang w:eastAsia="fr-FR" w:bidi="fr-FR"/>
        </w:rPr>
        <w:t>bre vert aura été tranché en son milieu et que le tronçon coupé aura été emporté loin de la souche, jusqu'à une distance de trois arpents, si ce tronçon de lui-même, sans aide de main d'homme ni secours aucun, vient se rattacher à la souche, si dès lors par un effet de son ancien amour pour elle, qui avait grandi unie avec lui, il se reprend</w:t>
      </w:r>
      <w:r>
        <w:rPr>
          <w:lang w:eastAsia="fr-FR" w:bidi="fr-FR"/>
        </w:rPr>
        <w:t xml:space="preserve"> </w:t>
      </w:r>
      <w:r>
        <w:t xml:space="preserve">[958] </w:t>
      </w:r>
      <w:r w:rsidRPr="00283650">
        <w:rPr>
          <w:i/>
          <w:lang w:eastAsia="fr-FR" w:bidi="fr-FR"/>
        </w:rPr>
        <w:t>à verdir et à fructifier, alors et alors seulement on pourra espérer la rémission de maux si affreux »</w:t>
      </w:r>
      <w:r>
        <w:rPr>
          <w:lang w:eastAsia="fr-FR" w:bidi="fr-FR"/>
        </w:rPr>
        <w:t> </w:t>
      </w:r>
      <w:r>
        <w:rPr>
          <w:rStyle w:val="Appelnotedebasdep"/>
        </w:rPr>
        <w:footnoteReference w:id="1098"/>
      </w:r>
      <w:r w:rsidRPr="00283650">
        <w:rPr>
          <w:rStyle w:val="Corpsdutexte29ptNonGrasEspacement0pt"/>
          <w:rFonts w:eastAsia="Arial"/>
          <w:b w:val="0"/>
          <w:bCs w:val="0"/>
          <w:i w:val="0"/>
          <w:sz w:val="28"/>
          <w:lang w:val="fr-CA"/>
        </w:rPr>
        <w:t>.</w:t>
      </w:r>
    </w:p>
    <w:p w14:paraId="5C135FB8" w14:textId="77777777" w:rsidR="00B9662D" w:rsidRPr="00D465E3" w:rsidRDefault="00B9662D" w:rsidP="00B9662D">
      <w:pPr>
        <w:spacing w:before="120" w:after="120"/>
        <w:jc w:val="both"/>
        <w:rPr>
          <w:i/>
        </w:rPr>
      </w:pPr>
      <w:r w:rsidRPr="00283650">
        <w:rPr>
          <w:i/>
          <w:lang w:eastAsia="fr-FR" w:bidi="fr-FR"/>
        </w:rPr>
        <w:lastRenderedPageBreak/>
        <w:t>Telle est la prophétie ; elle a été très célèbre ; on la retrouve sous une forme analogue dans toutes les Vies de saint Édouard. Quel sens faut-il lui attribuer ? Le Biographe est muet sur ce point. Comment ne le serait-il pas ? De deux choses l’une : ou bien il écrivait vraiment peu d'années après la mort du Confesseur ; en ce cas il pouvait bien noter, il ne pouvait pas interpréter une vaticination qui ne devait être suivie d'effet qu'à longue échéance ; les maux annoncés avaient déjà fondu sur l’Angleterre, mais la rémission n'était pas encore venue. Ou bien, vivant plus tard, il a feint, par un procédé littéraire familier à beaucoup d'hagiographes, d'avoir été le contemporain de son saint ; en expliquant la vision il serait sorti de son rôle ; c'eût été avouer qu'il en avait vu la réalisation et confesser par là même sa superch</w:t>
      </w:r>
      <w:r w:rsidRPr="00283650">
        <w:rPr>
          <w:i/>
          <w:lang w:eastAsia="fr-FR" w:bidi="fr-FR"/>
        </w:rPr>
        <w:t>e</w:t>
      </w:r>
      <w:r w:rsidRPr="00283650">
        <w:rPr>
          <w:i/>
          <w:lang w:eastAsia="fr-FR" w:bidi="fr-FR"/>
        </w:rPr>
        <w:t>rie. Heureusement tous les écrivains n'ont pas eu les mêmes raisons de se taire. Guillaume de Malmesbury a connu la prophétie ; il en a connu aussi la signification, telle qu'on la donnait généralement a</w:t>
      </w:r>
      <w:r w:rsidRPr="00283650">
        <w:rPr>
          <w:i/>
          <w:lang w:eastAsia="fr-FR" w:bidi="fr-FR"/>
        </w:rPr>
        <w:t>u</w:t>
      </w:r>
      <w:r w:rsidRPr="00283650">
        <w:rPr>
          <w:i/>
          <w:lang w:eastAsia="fr-FR" w:bidi="fr-FR"/>
        </w:rPr>
        <w:t>tour de lui, et nous en a fait part. Afin de mieux comprendre ce qu'il nous</w:t>
      </w:r>
      <w:r w:rsidRPr="007422C9">
        <w:rPr>
          <w:lang w:eastAsia="fr-FR" w:bidi="fr-FR"/>
        </w:rPr>
        <w:t xml:space="preserve"> </w:t>
      </w:r>
      <w:r w:rsidRPr="00D465E3">
        <w:rPr>
          <w:i/>
          <w:lang w:eastAsia="fr-FR" w:bidi="fr-FR"/>
        </w:rPr>
        <w:t xml:space="preserve">rapporte, rappelons brièvement les événements dont l'Angleterre fut le théâtre, au début du </w:t>
      </w:r>
      <w:r w:rsidRPr="00D465E3">
        <w:rPr>
          <w:bCs/>
          <w:i/>
          <w:iCs/>
        </w:rPr>
        <w:t>XI</w:t>
      </w:r>
      <w:r w:rsidRPr="00D465E3">
        <w:rPr>
          <w:bCs/>
          <w:i/>
          <w:iCs/>
          <w:vertAlign w:val="superscript"/>
        </w:rPr>
        <w:t>e</w:t>
      </w:r>
      <w:r w:rsidRPr="00D465E3">
        <w:rPr>
          <w:i/>
          <w:lang w:eastAsia="fr-FR" w:bidi="fr-FR"/>
        </w:rPr>
        <w:t xml:space="preserve"> siècle.</w:t>
      </w:r>
    </w:p>
    <w:p w14:paraId="6E4BF66C" w14:textId="77777777" w:rsidR="00B9662D" w:rsidRPr="00EA3A9D" w:rsidRDefault="00B9662D" w:rsidP="00B9662D">
      <w:pPr>
        <w:spacing w:before="120" w:after="120"/>
        <w:jc w:val="both"/>
        <w:rPr>
          <w:i/>
        </w:rPr>
      </w:pPr>
      <w:r w:rsidRPr="00D465E3">
        <w:rPr>
          <w:i/>
          <w:lang w:eastAsia="fr-FR" w:bidi="fr-FR"/>
        </w:rPr>
        <w:t>Le 2 août 1100 le roi Guillaume le Roux était tombé dans la No</w:t>
      </w:r>
      <w:r w:rsidRPr="00D465E3">
        <w:rPr>
          <w:i/>
          <w:lang w:eastAsia="fr-FR" w:bidi="fr-FR"/>
        </w:rPr>
        <w:t>u</w:t>
      </w:r>
      <w:r w:rsidRPr="00D465E3">
        <w:rPr>
          <w:i/>
          <w:lang w:eastAsia="fr-FR" w:bidi="fr-FR"/>
        </w:rPr>
        <w:t>velle Forêt, tué par une flèche mystérieuse. Son jeune frère Henri se trouvait sur les lieux. Au mépris des droits de son aîné Robert, il s'empara du trésor royal et se fit proclamer roi. Il fut Henri I</w:t>
      </w:r>
      <w:r w:rsidRPr="00D465E3">
        <w:rPr>
          <w:i/>
          <w:vertAlign w:val="superscript"/>
          <w:lang w:eastAsia="fr-FR" w:bidi="fr-FR"/>
        </w:rPr>
        <w:t>er</w:t>
      </w:r>
      <w:r w:rsidRPr="00D465E3">
        <w:rPr>
          <w:i/>
          <w:lang w:eastAsia="fr-FR" w:bidi="fr-FR"/>
        </w:rPr>
        <w:t xml:space="preserve"> Bea</w:t>
      </w:r>
      <w:r w:rsidRPr="00D465E3">
        <w:rPr>
          <w:i/>
          <w:lang w:eastAsia="fr-FR" w:bidi="fr-FR"/>
        </w:rPr>
        <w:t>u</w:t>
      </w:r>
      <w:r w:rsidRPr="00D465E3">
        <w:rPr>
          <w:i/>
          <w:lang w:eastAsia="fr-FR" w:bidi="fr-FR"/>
        </w:rPr>
        <w:t xml:space="preserve">clerc. C'était un fin politique. Sachant sa légitimité sujette à caution, il chercha tous les moyens de consolider son pouvoir. Tout respect pour la vieille dynastie nationale, dont Édouard le Confesseur avait été sur le trône le dernier représentant, n'était sans doute pas mort au </w:t>
      </w:r>
      <w:r w:rsidRPr="00D465E3">
        <w:rPr>
          <w:i/>
          <w:lang w:eastAsia="fr-FR" w:bidi="fr-FR"/>
        </w:rPr>
        <w:lastRenderedPageBreak/>
        <w:t>cœur des Anglais. Or cette dynastie n'était point éteinte : Édouard le Confesseur, à un certain moment de son règne, avait désigné comme son héritier un sien neveu, appelé Édouard comme lui, qu'il avait convoqué à cette fin du fond de la lointaine Hongrie ; mais à peine arrivé sur le sol anglais, ce personnage était mort. Il avait laissé des enfants, entre autres une fille, Marguerite</w:t>
      </w:r>
      <w:r w:rsidRPr="00D465E3">
        <w:rPr>
          <w:b/>
          <w:bCs/>
          <w:i/>
        </w:rPr>
        <w:t> — </w:t>
      </w:r>
      <w:r w:rsidRPr="00D465E3">
        <w:rPr>
          <w:i/>
          <w:lang w:eastAsia="fr-FR" w:bidi="fr-FR"/>
        </w:rPr>
        <w:t>sainte Marguerite</w:t>
      </w:r>
      <w:r w:rsidRPr="00D465E3">
        <w:rPr>
          <w:b/>
          <w:bCs/>
          <w:i/>
        </w:rPr>
        <w:t> — </w:t>
      </w:r>
      <w:r w:rsidRPr="00D465E3">
        <w:rPr>
          <w:i/>
          <w:lang w:eastAsia="fr-FR" w:bidi="fr-FR"/>
        </w:rPr>
        <w:t>qui épousa le roi d'Écosse Malcolm Canmore. Marguerite à son tour avait donné le jour à une assez nombreuse postérité, notamment à une fille, Édith. Au début du règne de Henri I</w:t>
      </w:r>
      <w:r w:rsidRPr="00D465E3">
        <w:rPr>
          <w:b/>
          <w:bCs/>
          <w:i/>
          <w:vertAlign w:val="superscript"/>
        </w:rPr>
        <w:t>er</w:t>
      </w:r>
      <w:r w:rsidRPr="00D465E3">
        <w:rPr>
          <w:b/>
          <w:bCs/>
          <w:i/>
        </w:rPr>
        <w:t xml:space="preserve">, </w:t>
      </w:r>
      <w:r w:rsidRPr="00D465E3">
        <w:rPr>
          <w:i/>
          <w:lang w:eastAsia="fr-FR" w:bidi="fr-FR"/>
        </w:rPr>
        <w:t>1Edith vivait dans un m</w:t>
      </w:r>
      <w:r w:rsidRPr="00D465E3">
        <w:rPr>
          <w:i/>
          <w:lang w:eastAsia="fr-FR" w:bidi="fr-FR"/>
        </w:rPr>
        <w:t>o</w:t>
      </w:r>
      <w:r w:rsidRPr="00D465E3">
        <w:rPr>
          <w:i/>
          <w:lang w:eastAsia="fr-FR" w:bidi="fr-FR"/>
        </w:rPr>
        <w:t>nastère anglais ; il l'en tira et l'épousa. Auprès de certains barons normands, ce mariage fit scandale. La nouvelle reine avait quitté son nom anglo-saxon, trop malaisé sans doute à prononcer pour ses</w:t>
      </w:r>
      <w:r>
        <w:rPr>
          <w:lang w:eastAsia="fr-FR" w:bidi="fr-FR"/>
        </w:rPr>
        <w:t xml:space="preserve"> </w:t>
      </w:r>
      <w:r>
        <w:t xml:space="preserve">[959] </w:t>
      </w:r>
      <w:r w:rsidRPr="00EA3A9D">
        <w:rPr>
          <w:i/>
          <w:lang w:eastAsia="fr-FR" w:bidi="fr-FR"/>
        </w:rPr>
        <w:t>sujets de langue française ; désormais elle s'appelait officiellement Mathilde. Mais à la cour on se plaisait à donner par dérision aux deux époux des sobriquets empruntés à la langue des vaincus : Godric et Godgiva</w:t>
      </w:r>
      <w:r>
        <w:rPr>
          <w:lang w:eastAsia="fr-FR" w:bidi="fr-FR"/>
        </w:rPr>
        <w:t> </w:t>
      </w:r>
      <w:r>
        <w:rPr>
          <w:rStyle w:val="Appelnotedebasdep"/>
        </w:rPr>
        <w:footnoteReference w:id="1099"/>
      </w:r>
      <w:r w:rsidRPr="00EA3A9D">
        <w:rPr>
          <w:i/>
          <w:lang w:eastAsia="fr-FR" w:bidi="fr-FR"/>
        </w:rPr>
        <w:t>. Nous sommes mal renseignés sur les sentiments de la population indigène ; on peut croire qu'elle accueillit avec joie cette union flatteuse pour l'orgueil national. En 1100, note un chroniqueur de langue anglaise, qui écrivait sans doute dans le monastère de Saint-Augustin de Canterburg,</w:t>
      </w:r>
      <w:r w:rsidRPr="00EA3A9D">
        <w:rPr>
          <w:b/>
          <w:bCs/>
          <w:i/>
        </w:rPr>
        <w:t xml:space="preserve"> « </w:t>
      </w:r>
      <w:r w:rsidRPr="00EA3A9D">
        <w:rPr>
          <w:i/>
          <w:lang w:eastAsia="fr-FR" w:bidi="fr-FR"/>
        </w:rPr>
        <w:t>le roi épousa Mathilde... de la droite lignée royale d'Angleterre</w:t>
      </w:r>
      <w:r w:rsidRPr="00EA3A9D">
        <w:rPr>
          <w:b/>
          <w:bCs/>
          <w:i/>
        </w:rPr>
        <w:t> »</w:t>
      </w:r>
      <w:r>
        <w:rPr>
          <w:b/>
          <w:bCs/>
        </w:rPr>
        <w:t> </w:t>
      </w:r>
      <w:r>
        <w:rPr>
          <w:rStyle w:val="Appelnotedebasdep"/>
          <w:b/>
          <w:bCs/>
        </w:rPr>
        <w:footnoteReference w:id="1100"/>
      </w:r>
      <w:r w:rsidRPr="00EA3A9D">
        <w:rPr>
          <w:bCs/>
          <w:i/>
        </w:rPr>
        <w:t>.</w:t>
      </w:r>
    </w:p>
    <w:p w14:paraId="7339929B" w14:textId="77777777" w:rsidR="00B9662D" w:rsidRPr="00EA3A9D" w:rsidRDefault="00B9662D" w:rsidP="00B9662D">
      <w:pPr>
        <w:spacing w:before="120" w:after="120"/>
        <w:jc w:val="both"/>
        <w:rPr>
          <w:i/>
        </w:rPr>
      </w:pPr>
      <w:r w:rsidRPr="00EA3A9D">
        <w:rPr>
          <w:i/>
          <w:lang w:eastAsia="fr-FR" w:bidi="fr-FR"/>
        </w:rPr>
        <w:t>En 1103 la reine Mathilde donna naissance à un fûs, Guillaume. Dans la personne de ce prince, les deux familles royales, anglaise et normande, semblaient devoir se fondre. Le sang de Cerdic allait de nouveau régner. Alors on évoqua la prophétie d'Édouard le Confe</w:t>
      </w:r>
      <w:r w:rsidRPr="00EA3A9D">
        <w:rPr>
          <w:i/>
          <w:lang w:eastAsia="fr-FR" w:bidi="fr-FR"/>
        </w:rPr>
        <w:t>s</w:t>
      </w:r>
      <w:r w:rsidRPr="00EA3A9D">
        <w:rPr>
          <w:i/>
          <w:lang w:eastAsia="fr-FR" w:bidi="fr-FR"/>
        </w:rPr>
        <w:t>seur. L'arbre vert, c'était la dynastie nationale, issue des rois de We</w:t>
      </w:r>
      <w:r w:rsidRPr="00EA3A9D">
        <w:rPr>
          <w:i/>
          <w:lang w:eastAsia="fr-FR" w:bidi="fr-FR"/>
        </w:rPr>
        <w:t>s</w:t>
      </w:r>
      <w:r w:rsidRPr="00EA3A9D">
        <w:rPr>
          <w:i/>
          <w:lang w:eastAsia="fr-FR" w:bidi="fr-FR"/>
        </w:rPr>
        <w:t>sex ; à la mort d'Édouard il avait été tranché ; le tronçon coupé avait été porté à une distance de trois arpents : image des trois règnes</w:t>
      </w:r>
      <w:r w:rsidRPr="00EA3A9D">
        <w:rPr>
          <w:b/>
          <w:bCs/>
          <w:i/>
        </w:rPr>
        <w:t> — </w:t>
      </w:r>
      <w:r w:rsidRPr="00EA3A9D">
        <w:rPr>
          <w:i/>
          <w:lang w:eastAsia="fr-FR" w:bidi="fr-FR"/>
        </w:rPr>
        <w:t>Harold, Guillaume le Conquérant, Guillaume le Roux</w:t>
      </w:r>
      <w:r w:rsidRPr="00EA3A9D">
        <w:rPr>
          <w:b/>
          <w:bCs/>
          <w:i/>
        </w:rPr>
        <w:t> — </w:t>
      </w:r>
      <w:r w:rsidRPr="00EA3A9D">
        <w:rPr>
          <w:i/>
          <w:lang w:eastAsia="fr-FR" w:bidi="fr-FR"/>
        </w:rPr>
        <w:t>qui avaient précédé le règne réparateur de Henri I</w:t>
      </w:r>
      <w:r w:rsidRPr="00EA3A9D">
        <w:rPr>
          <w:i/>
          <w:vertAlign w:val="superscript"/>
          <w:lang w:eastAsia="fr-FR" w:bidi="fr-FR"/>
        </w:rPr>
        <w:t>er</w:t>
      </w:r>
      <w:r w:rsidRPr="00EA3A9D">
        <w:rPr>
          <w:i/>
          <w:lang w:eastAsia="fr-FR" w:bidi="fr-FR"/>
        </w:rPr>
        <w:t> ; le retour du tronçon à sa souche première, qui n'y eût vu le mariage d'Édith et de Henri, le r</w:t>
      </w:r>
      <w:r w:rsidRPr="00EA3A9D">
        <w:rPr>
          <w:i/>
          <w:lang w:eastAsia="fr-FR" w:bidi="fr-FR"/>
        </w:rPr>
        <w:t>e</w:t>
      </w:r>
      <w:r w:rsidRPr="00EA3A9D">
        <w:rPr>
          <w:i/>
          <w:lang w:eastAsia="fr-FR" w:bidi="fr-FR"/>
        </w:rPr>
        <w:lastRenderedPageBreak/>
        <w:t>tour sur le trône d'une descendante de la vieille race ? et voici que l'arbre a reverdi et fructifié ; le mariage a été fécond ; l’Angleterre va retrouver un roi sorti du tronc antique.</w:t>
      </w:r>
      <w:r w:rsidRPr="00EA3A9D">
        <w:rPr>
          <w:b/>
          <w:bCs/>
          <w:i/>
        </w:rPr>
        <w:t xml:space="preserve"> « </w:t>
      </w:r>
      <w:r w:rsidRPr="00EA3A9D">
        <w:rPr>
          <w:i/>
          <w:lang w:eastAsia="fr-FR" w:bidi="fr-FR"/>
        </w:rPr>
        <w:t>En cet enfant</w:t>
      </w:r>
      <w:r w:rsidRPr="00EA3A9D">
        <w:rPr>
          <w:b/>
          <w:bCs/>
          <w:i/>
        </w:rPr>
        <w:t xml:space="preserve"> », </w:t>
      </w:r>
      <w:r w:rsidRPr="00EA3A9D">
        <w:rPr>
          <w:i/>
          <w:lang w:eastAsia="fr-FR" w:bidi="fr-FR"/>
        </w:rPr>
        <w:t>nous dit Guillaume de Malmesbury</w:t>
      </w:r>
      <w:r w:rsidRPr="00EA3A9D">
        <w:rPr>
          <w:b/>
          <w:bCs/>
          <w:i/>
        </w:rPr>
        <w:t xml:space="preserve">, </w:t>
      </w:r>
      <w:r w:rsidRPr="00EA3A9D">
        <w:rPr>
          <w:i/>
          <w:lang w:eastAsia="fr-FR" w:bidi="fr-FR"/>
        </w:rPr>
        <w:t>parlant du jeune prince</w:t>
      </w:r>
      <w:r w:rsidRPr="00EA3A9D">
        <w:rPr>
          <w:b/>
          <w:bCs/>
          <w:i/>
        </w:rPr>
        <w:t xml:space="preserve"> « </w:t>
      </w:r>
      <w:r w:rsidRPr="00EA3A9D">
        <w:rPr>
          <w:i/>
          <w:lang w:eastAsia="fr-FR" w:bidi="fr-FR"/>
        </w:rPr>
        <w:t>on s'imagina que la vision du roi Édouard allait s'accomplir</w:t>
      </w:r>
      <w:r w:rsidRPr="00EA3A9D">
        <w:rPr>
          <w:b/>
          <w:bCs/>
          <w:i/>
        </w:rPr>
        <w:t> »</w:t>
      </w:r>
      <w:r>
        <w:rPr>
          <w:b/>
          <w:bCs/>
        </w:rPr>
        <w:t> </w:t>
      </w:r>
      <w:r>
        <w:rPr>
          <w:rStyle w:val="Appelnotedebasdep"/>
          <w:b/>
          <w:bCs/>
        </w:rPr>
        <w:footnoteReference w:id="1101"/>
      </w:r>
      <w:r w:rsidRPr="00EA3A9D">
        <w:rPr>
          <w:bCs/>
          <w:i/>
        </w:rPr>
        <w:t>.</w:t>
      </w:r>
    </w:p>
    <w:p w14:paraId="02BA2A71" w14:textId="77777777" w:rsidR="00B9662D" w:rsidRPr="007422C9" w:rsidRDefault="00B9662D" w:rsidP="00B9662D">
      <w:pPr>
        <w:spacing w:before="120" w:after="120"/>
        <w:jc w:val="both"/>
      </w:pPr>
      <w:r w:rsidRPr="00EA3A9D">
        <w:rPr>
          <w:i/>
          <w:lang w:eastAsia="fr-FR" w:bidi="fr-FR"/>
        </w:rPr>
        <w:t>Parmi les contemporains de Guillaume de Malmesbury, plus d'un certainement, en toute simplicité de cœur, crut que vraiment Édouard avait eu, avant de mourir, la révélation, par symbole, du mariage d'Édith et de la naissance de l'héritier royal. L'historien aujourd'hui a le droit d'être plus difficile. Cette prédiction, à la fois précise et subt</w:t>
      </w:r>
      <w:r w:rsidRPr="00EA3A9D">
        <w:rPr>
          <w:i/>
          <w:lang w:eastAsia="fr-FR" w:bidi="fr-FR"/>
        </w:rPr>
        <w:t>i</w:t>
      </w:r>
      <w:r w:rsidRPr="00EA3A9D">
        <w:rPr>
          <w:i/>
          <w:lang w:eastAsia="fr-FR" w:bidi="fr-FR"/>
        </w:rPr>
        <w:t>le, a tout l'air d'avoir été inventée après coup. Aussi bien, sous la fo</w:t>
      </w:r>
      <w:r w:rsidRPr="00EA3A9D">
        <w:rPr>
          <w:i/>
          <w:lang w:eastAsia="fr-FR" w:bidi="fr-FR"/>
        </w:rPr>
        <w:t>r</w:t>
      </w:r>
      <w:r w:rsidRPr="00EA3A9D">
        <w:rPr>
          <w:i/>
          <w:lang w:eastAsia="fr-FR" w:bidi="fr-FR"/>
        </w:rPr>
        <w:t>me qu'on vient de lire et qu'elle revêt</w:t>
      </w:r>
      <w:r w:rsidRPr="00EA3A9D">
        <w:rPr>
          <w:b/>
          <w:bCs/>
          <w:i/>
        </w:rPr>
        <w:t> — </w:t>
      </w:r>
      <w:r w:rsidRPr="00EA3A9D">
        <w:rPr>
          <w:i/>
          <w:lang w:eastAsia="fr-FR" w:bidi="fr-FR"/>
        </w:rPr>
        <w:t>à quelques différences près</w:t>
      </w:r>
      <w:r w:rsidRPr="00EA3A9D">
        <w:rPr>
          <w:b/>
          <w:bCs/>
          <w:i/>
        </w:rPr>
        <w:t> — </w:t>
      </w:r>
      <w:r w:rsidRPr="00EA3A9D">
        <w:rPr>
          <w:i/>
          <w:lang w:eastAsia="fr-FR" w:bidi="fr-FR"/>
        </w:rPr>
        <w:t>non seulement chez le Biographe, mais aussi chez Guillaume de Malmesbury et encore chez Osbert de Clare, elle ne s'est jamais réalisée ; comme on le verra plus loin, il a fallu, en fin de compte, pour l'adapter aux événements, la retoucher légèrement : en sorte que si Édouard s'était exprimé sur son lit de mort comme le veut son pr</w:t>
      </w:r>
      <w:r w:rsidRPr="00EA3A9D">
        <w:rPr>
          <w:i/>
          <w:lang w:eastAsia="fr-FR" w:bidi="fr-FR"/>
        </w:rPr>
        <w:t>é</w:t>
      </w:r>
      <w:r w:rsidRPr="00EA3A9D">
        <w:rPr>
          <w:i/>
          <w:lang w:eastAsia="fr-FR" w:bidi="fr-FR"/>
        </w:rPr>
        <w:t>tendu contemporain le Biographe, il eût été non pas, il est vrai, au sens plein du mot un faux prophète, mais du moins un prophète inexact. En fait, on ne doutera guère que la prophétie n'ait été inve</w:t>
      </w:r>
      <w:r w:rsidRPr="00EA3A9D">
        <w:rPr>
          <w:i/>
          <w:lang w:eastAsia="fr-FR" w:bidi="fr-FR"/>
        </w:rPr>
        <w:t>n</w:t>
      </w:r>
      <w:r w:rsidRPr="00EA3A9D">
        <w:rPr>
          <w:i/>
          <w:lang w:eastAsia="fr-FR" w:bidi="fr-FR"/>
        </w:rPr>
        <w:t>tée au moment de la naissance du prince Guillaume, dans l'entourage de Henri I</w:t>
      </w:r>
      <w:r w:rsidRPr="00EA3A9D">
        <w:rPr>
          <w:i/>
          <w:vertAlign w:val="superscript"/>
          <w:lang w:eastAsia="fr-FR" w:bidi="fr-FR"/>
        </w:rPr>
        <w:t>er</w:t>
      </w:r>
      <w:r w:rsidRPr="00EA3A9D">
        <w:rPr>
          <w:i/>
          <w:lang w:eastAsia="fr-FR" w:bidi="fr-FR"/>
        </w:rPr>
        <w:t xml:space="preserve"> et répandue alors en Angleterre par les soins du roi et de ses conseillers. Qu'en espérait-on ? affermir le prestige de Henri I</w:t>
      </w:r>
      <w:r w:rsidRPr="00EA3A9D">
        <w:rPr>
          <w:i/>
          <w:vertAlign w:val="superscript"/>
          <w:lang w:eastAsia="fr-FR" w:bidi="fr-FR"/>
        </w:rPr>
        <w:t>er</w:t>
      </w:r>
      <w:r w:rsidRPr="00EA3A9D">
        <w:rPr>
          <w:i/>
          <w:lang w:eastAsia="fr-FR" w:bidi="fr-FR"/>
        </w:rPr>
        <w:t xml:space="preserve"> lui-même et aussi, et surtout peut-être, préparer par avance l'avèn</w:t>
      </w:r>
      <w:r w:rsidRPr="00EA3A9D">
        <w:rPr>
          <w:i/>
          <w:lang w:eastAsia="fr-FR" w:bidi="fr-FR"/>
        </w:rPr>
        <w:t>e</w:t>
      </w:r>
      <w:r w:rsidRPr="00EA3A9D">
        <w:rPr>
          <w:i/>
          <w:lang w:eastAsia="fr-FR" w:bidi="fr-FR"/>
        </w:rPr>
        <w:t>ment du nouveau-né qui, n'héritant de son père qu'une</w:t>
      </w:r>
      <w:r>
        <w:rPr>
          <w:lang w:eastAsia="fr-FR" w:bidi="fr-FR"/>
        </w:rPr>
        <w:t xml:space="preserve"> [960] </w:t>
      </w:r>
      <w:r w:rsidRPr="00EA3A9D">
        <w:rPr>
          <w:i/>
          <w:lang w:eastAsia="fr-FR" w:bidi="fr-FR"/>
        </w:rPr>
        <w:t>légitimité fragile, tiendrait au moins de sa mère, aux yeux d'un ce</w:t>
      </w:r>
      <w:r w:rsidRPr="00EA3A9D">
        <w:rPr>
          <w:i/>
          <w:lang w:eastAsia="fr-FR" w:bidi="fr-FR"/>
        </w:rPr>
        <w:t>r</w:t>
      </w:r>
      <w:r w:rsidRPr="00EA3A9D">
        <w:rPr>
          <w:i/>
          <w:lang w:eastAsia="fr-FR" w:bidi="fr-FR"/>
        </w:rPr>
        <w:t>tain nombre de ses sujets, des droits plus respectables. Bien des so</w:t>
      </w:r>
      <w:r w:rsidRPr="00EA3A9D">
        <w:rPr>
          <w:i/>
          <w:lang w:eastAsia="fr-FR" w:bidi="fr-FR"/>
        </w:rPr>
        <w:t>u</w:t>
      </w:r>
      <w:r w:rsidRPr="00EA3A9D">
        <w:rPr>
          <w:i/>
          <w:lang w:eastAsia="fr-FR" w:bidi="fr-FR"/>
        </w:rPr>
        <w:t xml:space="preserve">verains au Moyen </w:t>
      </w:r>
      <w:r>
        <w:rPr>
          <w:i/>
          <w:lang w:eastAsia="fr-FR" w:bidi="fr-FR"/>
        </w:rPr>
        <w:t>Â</w:t>
      </w:r>
      <w:r w:rsidRPr="00EA3A9D">
        <w:rPr>
          <w:i/>
          <w:lang w:eastAsia="fr-FR" w:bidi="fr-FR"/>
        </w:rPr>
        <w:t>ge ont pratiqué ce genre de propagande ; Henri I</w:t>
      </w:r>
      <w:r w:rsidRPr="00EA3A9D">
        <w:rPr>
          <w:i/>
          <w:vertAlign w:val="superscript"/>
          <w:lang w:eastAsia="fr-FR" w:bidi="fr-FR"/>
        </w:rPr>
        <w:t>er</w:t>
      </w:r>
      <w:r w:rsidRPr="00EA3A9D">
        <w:rPr>
          <w:i/>
          <w:lang w:eastAsia="fr-FR" w:bidi="fr-FR"/>
        </w:rPr>
        <w:t xml:space="preserve"> en part</w:t>
      </w:r>
      <w:r w:rsidRPr="00EA3A9D">
        <w:rPr>
          <w:i/>
          <w:lang w:eastAsia="fr-FR" w:bidi="fr-FR"/>
        </w:rPr>
        <w:t>i</w:t>
      </w:r>
      <w:r w:rsidRPr="00EA3A9D">
        <w:rPr>
          <w:i/>
          <w:lang w:eastAsia="fr-FR" w:bidi="fr-FR"/>
        </w:rPr>
        <w:t>culier n'en était probablement pas à son coup d'essai ; dès les pr</w:t>
      </w:r>
      <w:r w:rsidRPr="00EA3A9D">
        <w:rPr>
          <w:i/>
          <w:lang w:eastAsia="fr-FR" w:bidi="fr-FR"/>
        </w:rPr>
        <w:t>e</w:t>
      </w:r>
      <w:r w:rsidRPr="00EA3A9D">
        <w:rPr>
          <w:i/>
          <w:lang w:eastAsia="fr-FR" w:bidi="fr-FR"/>
        </w:rPr>
        <w:t>miers jours de son règne, semble-t-il, il fit interpréter en sa faveur quelques-unes de ces vaticinations bretonnes qui comme</w:t>
      </w:r>
      <w:r w:rsidRPr="00EA3A9D">
        <w:rPr>
          <w:i/>
          <w:lang w:eastAsia="fr-FR" w:bidi="fr-FR"/>
        </w:rPr>
        <w:t>n</w:t>
      </w:r>
      <w:r w:rsidRPr="00EA3A9D">
        <w:rPr>
          <w:i/>
          <w:lang w:eastAsia="fr-FR" w:bidi="fr-FR"/>
        </w:rPr>
        <w:t>çaient dès lors à être à la mode</w:t>
      </w:r>
      <w:r>
        <w:rPr>
          <w:lang w:eastAsia="fr-FR" w:bidi="fr-FR"/>
        </w:rPr>
        <w:t> </w:t>
      </w:r>
      <w:r>
        <w:rPr>
          <w:rStyle w:val="Appelnotedebasdep"/>
        </w:rPr>
        <w:footnoteReference w:id="1102"/>
      </w:r>
      <w:r w:rsidRPr="00EA3A9D">
        <w:rPr>
          <w:i/>
          <w:lang w:eastAsia="fr-FR" w:bidi="fr-FR"/>
        </w:rPr>
        <w:t xml:space="preserve">. Mais là où il s'agissait pour lui de rattacher </w:t>
      </w:r>
      <w:r w:rsidRPr="00EA3A9D">
        <w:rPr>
          <w:i/>
          <w:lang w:eastAsia="fr-FR" w:bidi="fr-FR"/>
        </w:rPr>
        <w:lastRenderedPageBreak/>
        <w:t>la dynastie qu'il prétendait fonder à la vieille race royale d'Angleterre, un barde gallois plus ou moins mythique eût été un m</w:t>
      </w:r>
      <w:r w:rsidRPr="00EA3A9D">
        <w:rPr>
          <w:i/>
          <w:lang w:eastAsia="fr-FR" w:bidi="fr-FR"/>
        </w:rPr>
        <w:t>é</w:t>
      </w:r>
      <w:r w:rsidRPr="00EA3A9D">
        <w:rPr>
          <w:i/>
          <w:lang w:eastAsia="fr-FR" w:bidi="fr-FR"/>
        </w:rPr>
        <w:t>diocre garant ; il fallait trouver mieux ; on invoqua l'autorité du de</w:t>
      </w:r>
      <w:r w:rsidRPr="00EA3A9D">
        <w:rPr>
          <w:i/>
          <w:lang w:eastAsia="fr-FR" w:bidi="fr-FR"/>
        </w:rPr>
        <w:t>r</w:t>
      </w:r>
      <w:r w:rsidRPr="00EA3A9D">
        <w:rPr>
          <w:i/>
          <w:lang w:eastAsia="fr-FR" w:bidi="fr-FR"/>
        </w:rPr>
        <w:t>nier roi de cette race, cet Édouard déjà presque vénéré comme un saint. Au reste</w:t>
      </w:r>
      <w:r w:rsidRPr="00EA3A9D">
        <w:rPr>
          <w:b/>
          <w:bCs/>
          <w:i/>
        </w:rPr>
        <w:t xml:space="preserve">, </w:t>
      </w:r>
      <w:r w:rsidRPr="00EA3A9D">
        <w:rPr>
          <w:i/>
          <w:lang w:eastAsia="fr-FR" w:bidi="fr-FR"/>
        </w:rPr>
        <w:t>sur l'époque où commença à circuler la célèbre vision, nous avons un t</w:t>
      </w:r>
      <w:r w:rsidRPr="00EA3A9D">
        <w:rPr>
          <w:i/>
          <w:lang w:eastAsia="fr-FR" w:bidi="fr-FR"/>
        </w:rPr>
        <w:t>é</w:t>
      </w:r>
      <w:r w:rsidRPr="00EA3A9D">
        <w:rPr>
          <w:i/>
          <w:lang w:eastAsia="fr-FR" w:bidi="fr-FR"/>
        </w:rPr>
        <w:t>moignage curieux, qui jusqu'ici paraît avoir passé inaperçu. En 1070 ou 1071 un moine de Jumièges, nommé Guillaume, composa une hi</w:t>
      </w:r>
      <w:r w:rsidRPr="00EA3A9D">
        <w:rPr>
          <w:i/>
          <w:lang w:eastAsia="fr-FR" w:bidi="fr-FR"/>
        </w:rPr>
        <w:t>s</w:t>
      </w:r>
      <w:r w:rsidRPr="00EA3A9D">
        <w:rPr>
          <w:i/>
          <w:lang w:eastAsia="fr-FR" w:bidi="fr-FR"/>
        </w:rPr>
        <w:t>toire des ducs de Normandie ; il y mentionnait à pl</w:t>
      </w:r>
      <w:r w:rsidRPr="00EA3A9D">
        <w:rPr>
          <w:i/>
          <w:lang w:eastAsia="fr-FR" w:bidi="fr-FR"/>
        </w:rPr>
        <w:t>u</w:t>
      </w:r>
      <w:r w:rsidRPr="00EA3A9D">
        <w:rPr>
          <w:i/>
          <w:lang w:eastAsia="fr-FR" w:bidi="fr-FR"/>
        </w:rPr>
        <w:t>sieurs reprises le roi Édouard, en quelques phrases sobres et sèches. En 1109 au plus tard, peut-être un peu avant, son ouvrage fut repris par un moine de Saint-Évroul, Orderic Vital, qui l'interpola. Orderic notamment intr</w:t>
      </w:r>
      <w:r w:rsidRPr="00EA3A9D">
        <w:rPr>
          <w:i/>
          <w:lang w:eastAsia="fr-FR" w:bidi="fr-FR"/>
        </w:rPr>
        <w:t>o</w:t>
      </w:r>
      <w:r w:rsidRPr="00EA3A9D">
        <w:rPr>
          <w:i/>
          <w:lang w:eastAsia="fr-FR" w:bidi="fr-FR"/>
        </w:rPr>
        <w:t>duisit sur Édouard un développement nouveau assez court, mais ne</w:t>
      </w:r>
      <w:r w:rsidRPr="00EA3A9D">
        <w:rPr>
          <w:i/>
          <w:lang w:eastAsia="fr-FR" w:bidi="fr-FR"/>
        </w:rPr>
        <w:t>t</w:t>
      </w:r>
      <w:r w:rsidRPr="00EA3A9D">
        <w:rPr>
          <w:i/>
          <w:lang w:eastAsia="fr-FR" w:bidi="fr-FR"/>
        </w:rPr>
        <w:t>tement élogieux et de caractère déjà presque hagi</w:t>
      </w:r>
      <w:r w:rsidRPr="00EA3A9D">
        <w:rPr>
          <w:i/>
          <w:lang w:eastAsia="fr-FR" w:bidi="fr-FR"/>
        </w:rPr>
        <w:t>o</w:t>
      </w:r>
      <w:r w:rsidRPr="00EA3A9D">
        <w:rPr>
          <w:i/>
          <w:lang w:eastAsia="fr-FR" w:bidi="fr-FR"/>
        </w:rPr>
        <w:t>graphique ; il le termina par ces mots :</w:t>
      </w:r>
      <w:r w:rsidRPr="00EA3A9D">
        <w:rPr>
          <w:b/>
          <w:bCs/>
          <w:i/>
        </w:rPr>
        <w:t xml:space="preserve"> « </w:t>
      </w:r>
      <w:r w:rsidRPr="00EA3A9D">
        <w:rPr>
          <w:i/>
          <w:lang w:eastAsia="fr-FR" w:bidi="fr-FR"/>
        </w:rPr>
        <w:t>Il contempla à maintes r</w:t>
      </w:r>
      <w:r w:rsidRPr="00EA3A9D">
        <w:rPr>
          <w:i/>
          <w:lang w:eastAsia="fr-FR" w:bidi="fr-FR"/>
        </w:rPr>
        <w:t>e</w:t>
      </w:r>
      <w:r w:rsidRPr="00EA3A9D">
        <w:rPr>
          <w:i/>
          <w:lang w:eastAsia="fr-FR" w:bidi="fr-FR"/>
        </w:rPr>
        <w:t>prises de divins mystères, et fit des prophéties, que l'événement confirma</w:t>
      </w:r>
      <w:r w:rsidRPr="00EA3A9D">
        <w:rPr>
          <w:b/>
          <w:bCs/>
          <w:i/>
        </w:rPr>
        <w:t> »</w:t>
      </w:r>
      <w:r>
        <w:rPr>
          <w:bCs/>
          <w:i/>
        </w:rPr>
        <w:t> </w:t>
      </w:r>
      <w:r w:rsidRPr="00EA3A9D">
        <w:rPr>
          <w:rStyle w:val="Appelnotedebasdep"/>
          <w:bCs/>
        </w:rPr>
        <w:footnoteReference w:id="1103"/>
      </w:r>
      <w:r w:rsidRPr="00EA3A9D">
        <w:rPr>
          <w:bCs/>
          <w:i/>
        </w:rPr>
        <w:t>.</w:t>
      </w:r>
      <w:r w:rsidRPr="00EA3A9D">
        <w:rPr>
          <w:b/>
          <w:bCs/>
          <w:i/>
        </w:rPr>
        <w:t xml:space="preserve"> </w:t>
      </w:r>
      <w:r w:rsidRPr="00EA3A9D">
        <w:rPr>
          <w:i/>
          <w:lang w:eastAsia="fr-FR" w:bidi="fr-FR"/>
        </w:rPr>
        <w:t>Quelles prophéties ? Orderic, écrivant pour des contemporains qui savaient à quoi s'en tenir, n'a point précisé sa pe</w:t>
      </w:r>
      <w:r w:rsidRPr="00EA3A9D">
        <w:rPr>
          <w:i/>
          <w:lang w:eastAsia="fr-FR" w:bidi="fr-FR"/>
        </w:rPr>
        <w:t>n</w:t>
      </w:r>
      <w:r w:rsidRPr="00EA3A9D">
        <w:rPr>
          <w:i/>
          <w:lang w:eastAsia="fr-FR" w:bidi="fr-FR"/>
        </w:rPr>
        <w:t>sée. Mais comment douter qu'il n'ait prétendu faire allusion au</w:t>
      </w:r>
      <w:r w:rsidRPr="007422C9">
        <w:rPr>
          <w:lang w:eastAsia="fr-FR" w:bidi="fr-FR"/>
        </w:rPr>
        <w:t xml:space="preserve"> sy</w:t>
      </w:r>
      <w:r w:rsidRPr="007422C9">
        <w:rPr>
          <w:lang w:eastAsia="fr-FR" w:bidi="fr-FR"/>
        </w:rPr>
        <w:t>m</w:t>
      </w:r>
      <w:r w:rsidRPr="007422C9">
        <w:rPr>
          <w:lang w:eastAsia="fr-FR" w:bidi="fr-FR"/>
        </w:rPr>
        <w:t>bole de l'arbre coupé ? Depuis quelques années déjà le prince Gui</w:t>
      </w:r>
      <w:r w:rsidRPr="007422C9">
        <w:rPr>
          <w:lang w:eastAsia="fr-FR" w:bidi="fr-FR"/>
        </w:rPr>
        <w:t>l</w:t>
      </w:r>
      <w:r w:rsidRPr="007422C9">
        <w:rPr>
          <w:lang w:eastAsia="fr-FR" w:bidi="fr-FR"/>
        </w:rPr>
        <w:t>laume était né.</w:t>
      </w:r>
    </w:p>
    <w:p w14:paraId="3AFAD458" w14:textId="77777777" w:rsidR="00B9662D" w:rsidRPr="00D733B7" w:rsidRDefault="00B9662D" w:rsidP="00B9662D">
      <w:pPr>
        <w:spacing w:before="120" w:after="120"/>
        <w:jc w:val="both"/>
        <w:rPr>
          <w:i/>
        </w:rPr>
      </w:pPr>
      <w:r w:rsidRPr="00EA3A9D">
        <w:rPr>
          <w:i/>
          <w:lang w:eastAsia="fr-FR" w:bidi="fr-FR"/>
        </w:rPr>
        <w:t>Ainsi les paroles que le Biographe prête à saint Édouard mourant ont peu de chances d'être authentiques ; elles n'ont guère pu être im</w:t>
      </w:r>
      <w:r w:rsidRPr="00EA3A9D">
        <w:rPr>
          <w:i/>
          <w:lang w:eastAsia="fr-FR" w:bidi="fr-FR"/>
        </w:rPr>
        <w:t>a</w:t>
      </w:r>
      <w:r w:rsidRPr="00EA3A9D">
        <w:rPr>
          <w:i/>
          <w:lang w:eastAsia="fr-FR" w:bidi="fr-FR"/>
        </w:rPr>
        <w:t>ginées avant le règne de Henri I</w:t>
      </w:r>
      <w:r w:rsidRPr="00EA3A9D">
        <w:rPr>
          <w:i/>
          <w:vertAlign w:val="superscript"/>
          <w:lang w:eastAsia="fr-FR" w:bidi="fr-FR"/>
        </w:rPr>
        <w:t>er</w:t>
      </w:r>
      <w:r w:rsidRPr="00EA3A9D">
        <w:rPr>
          <w:i/>
          <w:lang w:eastAsia="fr-FR" w:bidi="fr-FR"/>
        </w:rPr>
        <w:t xml:space="preserve"> et plus précisément avant la nai</w:t>
      </w:r>
      <w:r w:rsidRPr="00EA3A9D">
        <w:rPr>
          <w:i/>
          <w:lang w:eastAsia="fr-FR" w:bidi="fr-FR"/>
        </w:rPr>
        <w:t>s</w:t>
      </w:r>
      <w:r w:rsidRPr="00EA3A9D">
        <w:rPr>
          <w:i/>
          <w:lang w:eastAsia="fr-FR" w:bidi="fr-FR"/>
        </w:rPr>
        <w:t>sance du jeune Guillaume, advenue en 1103</w:t>
      </w:r>
      <w:r>
        <w:rPr>
          <w:lang w:eastAsia="fr-FR" w:bidi="fr-FR"/>
        </w:rPr>
        <w:t> </w:t>
      </w:r>
      <w:r>
        <w:rPr>
          <w:rStyle w:val="Appelnotedebasdep"/>
        </w:rPr>
        <w:footnoteReference w:id="1104"/>
      </w:r>
      <w:r w:rsidRPr="00EA3A9D">
        <w:rPr>
          <w:i/>
          <w:lang w:eastAsia="fr-FR" w:bidi="fr-FR"/>
        </w:rPr>
        <w:t>. Constatation trou</w:t>
      </w:r>
      <w:r w:rsidRPr="00EA3A9D">
        <w:rPr>
          <w:i/>
          <w:lang w:eastAsia="fr-FR" w:bidi="fr-FR"/>
        </w:rPr>
        <w:lastRenderedPageBreak/>
        <w:t>bla</w:t>
      </w:r>
      <w:r w:rsidRPr="00EA3A9D">
        <w:rPr>
          <w:i/>
          <w:lang w:eastAsia="fr-FR" w:bidi="fr-FR"/>
        </w:rPr>
        <w:t>n</w:t>
      </w:r>
      <w:r w:rsidRPr="00EA3A9D">
        <w:rPr>
          <w:i/>
          <w:lang w:eastAsia="fr-FR" w:bidi="fr-FR"/>
        </w:rPr>
        <w:t>te : le Biographe a voulu nous persuader qu'il écrivait dans les années qui suivirent immédiatement la mort du Confesseur, pour sa veuve ; nous aurait-il donc trompé et n'aurait-il en réalité composé son o</w:t>
      </w:r>
      <w:r w:rsidRPr="00EA3A9D">
        <w:rPr>
          <w:i/>
          <w:lang w:eastAsia="fr-FR" w:bidi="fr-FR"/>
        </w:rPr>
        <w:t>u</w:t>
      </w:r>
      <w:r w:rsidRPr="00EA3A9D">
        <w:rPr>
          <w:i/>
          <w:lang w:eastAsia="fr-FR" w:bidi="fr-FR"/>
        </w:rPr>
        <w:t>vrage qu'environ quarante ans plus tard, au minimum ? Il n'y a, se</w:t>
      </w:r>
      <w:r w:rsidRPr="00EA3A9D">
        <w:rPr>
          <w:i/>
          <w:lang w:eastAsia="fr-FR" w:bidi="fr-FR"/>
        </w:rPr>
        <w:t>m</w:t>
      </w:r>
      <w:r w:rsidRPr="00EA3A9D">
        <w:rPr>
          <w:i/>
          <w:lang w:eastAsia="fr-FR" w:bidi="fr-FR"/>
        </w:rPr>
        <w:t>ble-t-il, qu'un moyen d'échapper à cette conclusion : supposer que la prophétie fut intercalée après coup, par un scribe médiocrement scr</w:t>
      </w:r>
      <w:r w:rsidRPr="00EA3A9D">
        <w:rPr>
          <w:i/>
          <w:lang w:eastAsia="fr-FR" w:bidi="fr-FR"/>
        </w:rPr>
        <w:t>u</w:t>
      </w:r>
      <w:r w:rsidRPr="00EA3A9D">
        <w:rPr>
          <w:i/>
          <w:lang w:eastAsia="fr-FR" w:bidi="fr-FR"/>
        </w:rPr>
        <w:t>puleux, dans une œuvre véritablement rédigée peu après 1066 ; le manuscrit</w:t>
      </w:r>
      <w:r>
        <w:rPr>
          <w:lang w:eastAsia="fr-FR" w:bidi="fr-FR"/>
        </w:rPr>
        <w:t xml:space="preserve"> [961] </w:t>
      </w:r>
      <w:r w:rsidRPr="00D733B7">
        <w:rPr>
          <w:i/>
          <w:lang w:eastAsia="fr-FR" w:bidi="fr-FR"/>
        </w:rPr>
        <w:t xml:space="preserve">du Musée Britannique, manuscrit unique et qui, il convient de le rappeler, n'est pas antérieur au milieu du </w:t>
      </w:r>
      <w:r w:rsidRPr="00D733B7">
        <w:rPr>
          <w:rStyle w:val="Corpsdutexte275ptPetitesmajuscules"/>
          <w:b w:val="0"/>
          <w:i w:val="0"/>
          <w:sz w:val="28"/>
          <w:lang w:val="fr-CA"/>
        </w:rPr>
        <w:t>xii</w:t>
      </w:r>
      <w:r w:rsidRPr="00D733B7">
        <w:rPr>
          <w:rStyle w:val="Corpsdutexte275ptPetitesmajuscules"/>
          <w:b w:val="0"/>
          <w:i w:val="0"/>
          <w:smallCaps w:val="0"/>
          <w:sz w:val="28"/>
          <w:vertAlign w:val="superscript"/>
          <w:lang w:val="fr-CA"/>
        </w:rPr>
        <w:t>e</w:t>
      </w:r>
      <w:r w:rsidRPr="00D733B7">
        <w:rPr>
          <w:rStyle w:val="Corpsdutexte275ptPetitesmajuscules"/>
          <w:b w:val="0"/>
          <w:i w:val="0"/>
          <w:smallCaps w:val="0"/>
          <w:sz w:val="28"/>
          <w:lang w:val="fr-CA"/>
        </w:rPr>
        <w:t xml:space="preserve"> </w:t>
      </w:r>
      <w:r w:rsidRPr="00D733B7">
        <w:rPr>
          <w:i/>
          <w:lang w:eastAsia="fr-FR" w:bidi="fr-FR"/>
        </w:rPr>
        <w:t>siècle, ne nous aurait transmis qu'un texte interpolé. Cette hypothèse paraît avoir traversé l'esprit de Freeman</w:t>
      </w:r>
      <w:r>
        <w:rPr>
          <w:lang w:eastAsia="fr-FR" w:bidi="fr-FR"/>
        </w:rPr>
        <w:t> </w:t>
      </w:r>
      <w:r>
        <w:rPr>
          <w:rStyle w:val="Appelnotedebasdep"/>
        </w:rPr>
        <w:footnoteReference w:id="1105"/>
      </w:r>
      <w:r w:rsidRPr="00D733B7">
        <w:rPr>
          <w:i/>
          <w:lang w:eastAsia="fr-FR" w:bidi="fr-FR"/>
        </w:rPr>
        <w:t> ; en soi elle n'a rien d'invraise</w:t>
      </w:r>
      <w:r w:rsidRPr="00D733B7">
        <w:rPr>
          <w:i/>
          <w:lang w:eastAsia="fr-FR" w:bidi="fr-FR"/>
        </w:rPr>
        <w:t>m</w:t>
      </w:r>
      <w:r w:rsidRPr="00D733B7">
        <w:rPr>
          <w:i/>
          <w:lang w:eastAsia="fr-FR" w:bidi="fr-FR"/>
        </w:rPr>
        <w:t>blable. Par malheur, même si on laisse de côté la vision dernière du saint, bien des traits dans la</w:t>
      </w:r>
      <w:r w:rsidRPr="00D733B7">
        <w:rPr>
          <w:b/>
          <w:bCs/>
          <w:i/>
        </w:rPr>
        <w:t xml:space="preserve"> </w:t>
      </w:r>
      <w:r w:rsidRPr="00D733B7">
        <w:rPr>
          <w:bCs/>
        </w:rPr>
        <w:t>Vita Aeduuardi</w:t>
      </w:r>
      <w:r w:rsidRPr="00D733B7">
        <w:rPr>
          <w:b/>
          <w:bCs/>
          <w:i/>
        </w:rPr>
        <w:t xml:space="preserve"> </w:t>
      </w:r>
      <w:r w:rsidRPr="00D733B7">
        <w:rPr>
          <w:i/>
          <w:lang w:eastAsia="fr-FR" w:bidi="fr-FR"/>
        </w:rPr>
        <w:t>tout entière doivent évei</w:t>
      </w:r>
      <w:r w:rsidRPr="00D733B7">
        <w:rPr>
          <w:i/>
          <w:lang w:eastAsia="fr-FR" w:bidi="fr-FR"/>
        </w:rPr>
        <w:t>l</w:t>
      </w:r>
      <w:r w:rsidRPr="00D733B7">
        <w:rPr>
          <w:i/>
          <w:lang w:eastAsia="fr-FR" w:bidi="fr-FR"/>
        </w:rPr>
        <w:t>ler notre méfiance.</w:t>
      </w:r>
    </w:p>
    <w:p w14:paraId="43B0FCA7" w14:textId="77777777" w:rsidR="00B9662D" w:rsidRPr="00D733B7" w:rsidRDefault="00B9662D" w:rsidP="00B9662D">
      <w:pPr>
        <w:spacing w:before="120" w:after="120"/>
        <w:jc w:val="both"/>
        <w:rPr>
          <w:i/>
        </w:rPr>
      </w:pPr>
      <w:r w:rsidRPr="00D733B7">
        <w:rPr>
          <w:i/>
          <w:lang w:eastAsia="fr-FR" w:bidi="fr-FR"/>
        </w:rPr>
        <w:t>Les récits de miracles une fois mis à part, on peut répartir en trois classes les données proprement historiques fournies par le Biographe. Ce sont d'abord quelques grands faits, dessinant les lignes essentielles de la vie de saint Édouard ou de son règne. Ils sont conformes à ce que nous apprennent unanimement les autres textes. On n'en saurait rien tirer pour la critique de l'œuvre. Contemporain, le Biographe les aura naturellement connus ; écrivant quelques dizaines d'années plus tard, il les aura puisés sans peine dans l'une quelconque de ces ann</w:t>
      </w:r>
      <w:r w:rsidRPr="00D733B7">
        <w:rPr>
          <w:i/>
          <w:lang w:eastAsia="fr-FR" w:bidi="fr-FR"/>
        </w:rPr>
        <w:t>a</w:t>
      </w:r>
      <w:r w:rsidRPr="00D733B7">
        <w:rPr>
          <w:i/>
          <w:lang w:eastAsia="fr-FR" w:bidi="fr-FR"/>
        </w:rPr>
        <w:t>les que possédaient presque toutes les maisons religieuses de son pays.</w:t>
      </w:r>
    </w:p>
    <w:p w14:paraId="77D9647D" w14:textId="77777777" w:rsidR="00B9662D" w:rsidRPr="00D733B7" w:rsidRDefault="00B9662D" w:rsidP="00B9662D">
      <w:pPr>
        <w:spacing w:before="120" w:after="120"/>
        <w:jc w:val="both"/>
        <w:rPr>
          <w:i/>
        </w:rPr>
      </w:pPr>
      <w:r w:rsidRPr="00D733B7">
        <w:rPr>
          <w:i/>
          <w:lang w:eastAsia="fr-FR" w:bidi="fr-FR"/>
        </w:rPr>
        <w:t>Viennent ensuite quelques détails que l'on ne trouve nulle part ai</w:t>
      </w:r>
      <w:r w:rsidRPr="00D733B7">
        <w:rPr>
          <w:i/>
          <w:lang w:eastAsia="fr-FR" w:bidi="fr-FR"/>
        </w:rPr>
        <w:t>l</w:t>
      </w:r>
      <w:r w:rsidRPr="00D733B7">
        <w:rPr>
          <w:i/>
          <w:lang w:eastAsia="fr-FR" w:bidi="fr-FR"/>
        </w:rPr>
        <w:t>leurs mais qui, n'étant pas en désaccord avec ce que nous savons, d'un autre côté, de source certaine, peuvent passer pour vraisembl</w:t>
      </w:r>
      <w:r w:rsidRPr="00D733B7">
        <w:rPr>
          <w:i/>
          <w:lang w:eastAsia="fr-FR" w:bidi="fr-FR"/>
        </w:rPr>
        <w:t>a</w:t>
      </w:r>
      <w:r w:rsidRPr="00D733B7">
        <w:rPr>
          <w:i/>
          <w:lang w:eastAsia="fr-FR" w:bidi="fr-FR"/>
        </w:rPr>
        <w:t>bles : à propos de la nomination de Robert de Jumièges au siège de Canterbury le nom de son concurrent le moine Aelric, qu'aucun autre document ne nous a conservé</w:t>
      </w:r>
      <w:r>
        <w:rPr>
          <w:lang w:eastAsia="fr-FR" w:bidi="fr-FR"/>
        </w:rPr>
        <w:t> </w:t>
      </w:r>
      <w:r>
        <w:rPr>
          <w:rStyle w:val="Appelnotedebasdep"/>
        </w:rPr>
        <w:footnoteReference w:id="1106"/>
      </w:r>
      <w:r w:rsidRPr="00D733B7">
        <w:rPr>
          <w:i/>
          <w:lang w:eastAsia="fr-FR" w:bidi="fr-FR"/>
        </w:rPr>
        <w:t> ; quelques précisions sur les mouv</w:t>
      </w:r>
      <w:r w:rsidRPr="00D733B7">
        <w:rPr>
          <w:i/>
          <w:lang w:eastAsia="fr-FR" w:bidi="fr-FR"/>
        </w:rPr>
        <w:t>e</w:t>
      </w:r>
      <w:r w:rsidRPr="00D733B7">
        <w:rPr>
          <w:i/>
          <w:lang w:eastAsia="fr-FR" w:bidi="fr-FR"/>
        </w:rPr>
        <w:t xml:space="preserve">ments du roi au moment de la révolte du Northumberland en </w:t>
      </w:r>
      <w:r w:rsidRPr="00D733B7">
        <w:rPr>
          <w:i/>
          <w:lang w:eastAsia="fr-FR" w:bidi="fr-FR"/>
        </w:rPr>
        <w:lastRenderedPageBreak/>
        <w:t>1065</w:t>
      </w:r>
      <w:r>
        <w:rPr>
          <w:lang w:eastAsia="fr-FR" w:bidi="fr-FR"/>
        </w:rPr>
        <w:t> </w:t>
      </w:r>
      <w:r>
        <w:rPr>
          <w:rStyle w:val="Appelnotedebasdep"/>
        </w:rPr>
        <w:footnoteReference w:id="1107"/>
      </w:r>
      <w:r w:rsidRPr="00D733B7">
        <w:rPr>
          <w:i/>
          <w:lang w:eastAsia="fr-FR" w:bidi="fr-FR"/>
        </w:rPr>
        <w:t> ; les rapports de la reine Edith avec le monastère de Wilton</w:t>
      </w:r>
      <w:r>
        <w:rPr>
          <w:lang w:eastAsia="fr-FR" w:bidi="fr-FR"/>
        </w:rPr>
        <w:t> </w:t>
      </w:r>
      <w:r>
        <w:rPr>
          <w:rStyle w:val="Appelnotedebasdep"/>
        </w:rPr>
        <w:footnoteReference w:id="1108"/>
      </w:r>
      <w:r w:rsidRPr="00D733B7">
        <w:rPr>
          <w:bCs/>
          <w:i/>
        </w:rPr>
        <w:t> :</w:t>
      </w:r>
      <w:r w:rsidRPr="00D733B7">
        <w:rPr>
          <w:b/>
          <w:bCs/>
          <w:i/>
        </w:rPr>
        <w:t xml:space="preserve"> </w:t>
      </w:r>
      <w:r w:rsidRPr="00D733B7">
        <w:rPr>
          <w:i/>
          <w:lang w:eastAsia="fr-FR" w:bidi="fr-FR"/>
        </w:rPr>
        <w:t>rien que n'avaient pu fournir à un hagiographe, même assez éloigné des év</w:t>
      </w:r>
      <w:r w:rsidRPr="00D733B7">
        <w:rPr>
          <w:i/>
          <w:lang w:eastAsia="fr-FR" w:bidi="fr-FR"/>
        </w:rPr>
        <w:t>é</w:t>
      </w:r>
      <w:r w:rsidRPr="00D733B7">
        <w:rPr>
          <w:i/>
          <w:lang w:eastAsia="fr-FR" w:bidi="fr-FR"/>
        </w:rPr>
        <w:t>nements, soit des notes annalistiques aujourd'hui perdues, soit tout simplement une tradition locale demeurée orale.</w:t>
      </w:r>
    </w:p>
    <w:p w14:paraId="69F0F6BC" w14:textId="77777777" w:rsidR="00B9662D" w:rsidRPr="00D733B7" w:rsidRDefault="00B9662D" w:rsidP="00B9662D">
      <w:pPr>
        <w:spacing w:before="120" w:after="120"/>
        <w:jc w:val="both"/>
        <w:rPr>
          <w:i/>
        </w:rPr>
      </w:pPr>
      <w:r w:rsidRPr="00D733B7">
        <w:rPr>
          <w:i/>
          <w:lang w:eastAsia="fr-FR" w:bidi="fr-FR"/>
        </w:rPr>
        <w:t>Reste enfin une dernière catégorie de renseignements : ceux que contredisent formellement d'autres sources, très sûres, et qu'il y a tout lieu, pour cette raison, de considérer, tantôt comme erronés, tantôt comme très suspects. Ils sont nombreux ; ils concernent des points</w:t>
      </w:r>
      <w:r w:rsidRPr="007422C9">
        <w:rPr>
          <w:lang w:eastAsia="fr-FR" w:bidi="fr-FR"/>
        </w:rPr>
        <w:t xml:space="preserve"> </w:t>
      </w:r>
      <w:r w:rsidRPr="00D733B7">
        <w:rPr>
          <w:i/>
          <w:lang w:eastAsia="fr-FR" w:bidi="fr-FR"/>
        </w:rPr>
        <w:t>souvent très importants de l'histoire du saint roi. Leur présence dans une œuvre qui se prétend quasi contemporaine des faits qu'elle relate constitue contre son authenticité un argument très fort.</w:t>
      </w:r>
    </w:p>
    <w:p w14:paraId="5C3676B7" w14:textId="77777777" w:rsidR="00B9662D" w:rsidRPr="00D733B7" w:rsidRDefault="00B9662D" w:rsidP="00B9662D">
      <w:pPr>
        <w:spacing w:before="120" w:after="120"/>
        <w:jc w:val="both"/>
        <w:rPr>
          <w:i/>
        </w:rPr>
      </w:pPr>
      <w:r w:rsidRPr="00D733B7">
        <w:rPr>
          <w:i/>
          <w:lang w:eastAsia="fr-FR" w:bidi="fr-FR"/>
        </w:rPr>
        <w:t>Citons les principaux d'entre eux.</w:t>
      </w:r>
    </w:p>
    <w:p w14:paraId="30754451" w14:textId="77777777" w:rsidR="00B9662D" w:rsidRPr="00D733B7" w:rsidRDefault="00B9662D" w:rsidP="00B9662D">
      <w:pPr>
        <w:spacing w:before="120" w:after="120"/>
        <w:jc w:val="both"/>
        <w:rPr>
          <w:i/>
        </w:rPr>
      </w:pPr>
      <w:r w:rsidRPr="00D733B7">
        <w:rPr>
          <w:i/>
          <w:lang w:eastAsia="fr-FR" w:bidi="fr-FR"/>
        </w:rPr>
        <w:t>La plus frappante des inexactitudes commises par le Biographe est relative au comte Godwin. Nous sommes assez bien renseignés, par ailleurs, sur ce puissant personnage, qui remplit de ses ambitions et de ses intrigues l'histoire de son temps. En particulier, nous savons de façon absolument certaine qu'il eut au moins six fils et plusieurs filles, probablement trois</w:t>
      </w:r>
      <w:r>
        <w:rPr>
          <w:lang w:eastAsia="fr-FR" w:bidi="fr-FR"/>
        </w:rPr>
        <w:t> </w:t>
      </w:r>
      <w:r>
        <w:rPr>
          <w:rStyle w:val="Appelnotedebasdep"/>
        </w:rPr>
        <w:footnoteReference w:id="1109"/>
      </w:r>
      <w:r w:rsidRPr="00D733B7">
        <w:rPr>
          <w:i/>
          <w:lang w:eastAsia="fr-FR" w:bidi="fr-FR"/>
        </w:rPr>
        <w:t>. Or le Biographe, expressément, lui attribue en tout et pour tout quatre enfants. Ce n'est pas un lapsus. Cette affirm</w:t>
      </w:r>
      <w:r w:rsidRPr="00D733B7">
        <w:rPr>
          <w:i/>
          <w:lang w:eastAsia="fr-FR" w:bidi="fr-FR"/>
        </w:rPr>
        <w:t>a</w:t>
      </w:r>
      <w:r w:rsidRPr="00D733B7">
        <w:rPr>
          <w:i/>
          <w:lang w:eastAsia="fr-FR" w:bidi="fr-FR"/>
        </w:rPr>
        <w:t>tion étonnante se répète à cinq endroits différents dans la Vie ; ch</w:t>
      </w:r>
      <w:r w:rsidRPr="00D733B7">
        <w:rPr>
          <w:i/>
          <w:lang w:eastAsia="fr-FR" w:bidi="fr-FR"/>
        </w:rPr>
        <w:t>a</w:t>
      </w:r>
      <w:r w:rsidRPr="00D733B7">
        <w:rPr>
          <w:i/>
          <w:lang w:eastAsia="fr-FR" w:bidi="fr-FR"/>
        </w:rPr>
        <w:t>que fois à l'occasion de la même métaphore fondée précisément sur l'emploi du nombre quatre : la progéniture de l'illustre seigneur est comparée aux quatre fleuves issus du Paradis</w:t>
      </w:r>
      <w:r>
        <w:rPr>
          <w:lang w:eastAsia="fr-FR" w:bidi="fr-FR"/>
        </w:rPr>
        <w:t> </w:t>
      </w:r>
      <w:r>
        <w:rPr>
          <w:rStyle w:val="Appelnotedebasdep"/>
        </w:rPr>
        <w:footnoteReference w:id="1110"/>
      </w:r>
      <w:r w:rsidRPr="00D733B7">
        <w:rPr>
          <w:bCs/>
          <w:i/>
        </w:rPr>
        <w:t>.</w:t>
      </w:r>
      <w:r w:rsidRPr="00D733B7">
        <w:rPr>
          <w:b/>
          <w:bCs/>
          <w:i/>
        </w:rPr>
        <w:t xml:space="preserve"> </w:t>
      </w:r>
      <w:r w:rsidRPr="00D733B7">
        <w:rPr>
          <w:i/>
          <w:lang w:eastAsia="fr-FR" w:bidi="fr-FR"/>
        </w:rPr>
        <w:t>Aussi bien, le</w:t>
      </w:r>
      <w:r>
        <w:rPr>
          <w:lang w:eastAsia="fr-FR" w:bidi="fr-FR"/>
        </w:rPr>
        <w:t xml:space="preserve"> </w:t>
      </w:r>
      <w:r>
        <w:t xml:space="preserve">[962] </w:t>
      </w:r>
      <w:r w:rsidRPr="00D733B7">
        <w:rPr>
          <w:i/>
          <w:lang w:eastAsia="fr-FR" w:bidi="fr-FR"/>
        </w:rPr>
        <w:t>Biographe nous a-t-il livré les noms des quatre enfants auxquels il pensait, les seuls sans doute qu'il connût parmi la nombreuse postér</w:t>
      </w:r>
      <w:r w:rsidRPr="00D733B7">
        <w:rPr>
          <w:i/>
          <w:lang w:eastAsia="fr-FR" w:bidi="fr-FR"/>
        </w:rPr>
        <w:t>i</w:t>
      </w:r>
      <w:r w:rsidRPr="00D733B7">
        <w:rPr>
          <w:i/>
          <w:lang w:eastAsia="fr-FR" w:bidi="fr-FR"/>
        </w:rPr>
        <w:t>té de Godwin : une fille, Edith, qui épousa saint Édouard, et trois fils : Harold, Tostig, Gyrth</w:t>
      </w:r>
      <w:r>
        <w:rPr>
          <w:lang w:eastAsia="fr-FR" w:bidi="fr-FR"/>
        </w:rPr>
        <w:t> </w:t>
      </w:r>
      <w:r>
        <w:rPr>
          <w:rStyle w:val="Appelnotedebasdep"/>
        </w:rPr>
        <w:footnoteReference w:id="1111"/>
      </w:r>
      <w:r w:rsidRPr="00D733B7">
        <w:rPr>
          <w:i/>
          <w:lang w:eastAsia="fr-FR" w:bidi="fr-FR"/>
        </w:rPr>
        <w:t>. Trois au moins de ces noms, les trois pr</w:t>
      </w:r>
      <w:r w:rsidRPr="00D733B7">
        <w:rPr>
          <w:i/>
          <w:lang w:eastAsia="fr-FR" w:bidi="fr-FR"/>
        </w:rPr>
        <w:t>e</w:t>
      </w:r>
      <w:r w:rsidRPr="00D733B7">
        <w:rPr>
          <w:i/>
          <w:lang w:eastAsia="fr-FR" w:bidi="fr-FR"/>
        </w:rPr>
        <w:t>miers,</w:t>
      </w:r>
      <w:r w:rsidRPr="00D733B7">
        <w:rPr>
          <w:b/>
          <w:bCs/>
          <w:i/>
        </w:rPr>
        <w:t xml:space="preserve"> </w:t>
      </w:r>
      <w:r w:rsidRPr="00D733B7">
        <w:rPr>
          <w:bCs/>
          <w:i/>
        </w:rPr>
        <w:t xml:space="preserve">sont </w:t>
      </w:r>
      <w:r w:rsidRPr="00D733B7">
        <w:rPr>
          <w:rStyle w:val="Corpsdutexte210ptNonItalique"/>
          <w:b w:val="0"/>
          <w:i w:val="0"/>
          <w:iCs w:val="0"/>
          <w:sz w:val="28"/>
          <w:lang w:val="fr-CA"/>
        </w:rPr>
        <w:t>de ceux</w:t>
      </w:r>
      <w:r w:rsidRPr="00D733B7">
        <w:rPr>
          <w:rStyle w:val="Corpsdutexte210ptNonItalique"/>
          <w:i w:val="0"/>
          <w:iCs w:val="0"/>
          <w:sz w:val="28"/>
          <w:lang w:val="fr-CA"/>
        </w:rPr>
        <w:t xml:space="preserve"> </w:t>
      </w:r>
      <w:r w:rsidRPr="00D733B7">
        <w:rPr>
          <w:i/>
          <w:lang w:eastAsia="fr-FR" w:bidi="fr-FR"/>
        </w:rPr>
        <w:t>qu'aucun écrivain même travaillant à une longue distance des événements, pourvu qu'il eût quelque teinture d'histoire, ne pouvait ignorer. Ne donner que quatre enfants à un comte qui en eut en réalité bien davantage, le péché,</w:t>
      </w:r>
      <w:r w:rsidRPr="00D733B7">
        <w:rPr>
          <w:b/>
          <w:bCs/>
          <w:i/>
        </w:rPr>
        <w:t xml:space="preserve"> </w:t>
      </w:r>
      <w:r w:rsidRPr="00D733B7">
        <w:rPr>
          <w:rStyle w:val="Corpsdutexte210ptNonItalique"/>
          <w:b w:val="0"/>
          <w:i w:val="0"/>
          <w:iCs w:val="0"/>
          <w:sz w:val="28"/>
          <w:lang w:val="fr-CA"/>
        </w:rPr>
        <w:t>au</w:t>
      </w:r>
      <w:r w:rsidRPr="00D733B7">
        <w:rPr>
          <w:rStyle w:val="Corpsdutexte210ptNonItalique"/>
          <w:i w:val="0"/>
          <w:iCs w:val="0"/>
          <w:sz w:val="28"/>
          <w:lang w:val="fr-CA"/>
        </w:rPr>
        <w:t xml:space="preserve"> </w:t>
      </w:r>
      <w:r w:rsidRPr="00D733B7">
        <w:rPr>
          <w:i/>
          <w:lang w:eastAsia="fr-FR" w:bidi="fr-FR"/>
        </w:rPr>
        <w:t xml:space="preserve">premier abord, semblera peut-être véniel ; il le serait en effet de la part de tout </w:t>
      </w:r>
      <w:r w:rsidRPr="00D733B7">
        <w:rPr>
          <w:i/>
          <w:lang w:eastAsia="fr-FR" w:bidi="fr-FR"/>
        </w:rPr>
        <w:lastRenderedPageBreak/>
        <w:t>autre que le Biographe ; mais dans la bouche d'un soi-disant protégé de la reine Edith, la propre fille de Godwin, une pareille erreur fait rêver. Co</w:t>
      </w:r>
      <w:r w:rsidRPr="00D733B7">
        <w:rPr>
          <w:i/>
          <w:lang w:eastAsia="fr-FR" w:bidi="fr-FR"/>
        </w:rPr>
        <w:t>m</w:t>
      </w:r>
      <w:r w:rsidRPr="00D733B7">
        <w:rPr>
          <w:i/>
          <w:lang w:eastAsia="fr-FR" w:bidi="fr-FR"/>
        </w:rPr>
        <w:t>ment la reine eût-elle toléré, dans un ouvrage qu'on a cru jusqu'ici lui avoir été dédié, une pareille bévue ? comment un de ses clercs se fût-il laissé aller à la commettre ?</w:t>
      </w:r>
    </w:p>
    <w:p w14:paraId="1DCA983E" w14:textId="77777777" w:rsidR="00B9662D" w:rsidRPr="00D733B7" w:rsidRDefault="00B9662D" w:rsidP="00B9662D">
      <w:pPr>
        <w:spacing w:before="120" w:after="120"/>
        <w:jc w:val="both"/>
        <w:rPr>
          <w:i/>
        </w:rPr>
      </w:pPr>
      <w:r w:rsidRPr="00D733B7">
        <w:rPr>
          <w:i/>
          <w:lang w:eastAsia="fr-FR" w:bidi="fr-FR"/>
        </w:rPr>
        <w:t>Au reste Godwin n'a point porté bonheur au Biographe. En 1051 le comte fut banni. Deux chroniques, rédigées en langue anglaise, celles d'Evesham et de Saint-Augustin de Canterbury, nous ont rapporté les circonstances de cette catastrophe retentissante. Elles diffèrent sur les détails ; on s'en étonnera d'autant moins que l'une d'elles, celle de Canterbury, est l'œuvre d'un partisan de Godwin, tandis que l'autre est beaucoup plus tiède pour l'exilé ; mais sur les lignes essentielles elles s'accordent parfaitement. Au contraire le Biographe donne du même épisode un récit radicalement différent. De nos jours ces dive</w:t>
      </w:r>
      <w:r w:rsidRPr="00D733B7">
        <w:rPr>
          <w:i/>
          <w:lang w:eastAsia="fr-FR" w:bidi="fr-FR"/>
        </w:rPr>
        <w:t>r</w:t>
      </w:r>
      <w:r w:rsidRPr="00D733B7">
        <w:rPr>
          <w:i/>
          <w:lang w:eastAsia="fr-FR" w:bidi="fr-FR"/>
        </w:rPr>
        <w:t>gences embarrassèrent beaucoup Freeman ; il s'en tira en s'efforçant d'atténuer les contradictions, et en construisant, avec des renseign</w:t>
      </w:r>
      <w:r w:rsidRPr="00D733B7">
        <w:rPr>
          <w:i/>
          <w:lang w:eastAsia="fr-FR" w:bidi="fr-FR"/>
        </w:rPr>
        <w:t>e</w:t>
      </w:r>
      <w:r w:rsidRPr="00D733B7">
        <w:rPr>
          <w:i/>
          <w:lang w:eastAsia="fr-FR" w:bidi="fr-FR"/>
        </w:rPr>
        <w:t>ments pris de toutes mains, un récit artificiellement cohérent. On ne saurait approuver cette méthode. En fait l'incompatibilité entre les deux Chroniques d'une part, la</w:t>
      </w:r>
      <w:r w:rsidRPr="00D733B7">
        <w:rPr>
          <w:b/>
          <w:bCs/>
          <w:i/>
        </w:rPr>
        <w:t xml:space="preserve"> </w:t>
      </w:r>
      <w:r w:rsidRPr="00D733B7">
        <w:rPr>
          <w:bCs/>
        </w:rPr>
        <w:t>Vita Aeduuardi</w:t>
      </w:r>
      <w:r w:rsidRPr="00D733B7">
        <w:rPr>
          <w:b/>
          <w:bCs/>
        </w:rPr>
        <w:t xml:space="preserve"> </w:t>
      </w:r>
      <w:r w:rsidRPr="00D733B7">
        <w:rPr>
          <w:i/>
          <w:lang w:eastAsia="fr-FR" w:bidi="fr-FR"/>
        </w:rPr>
        <w:t>de l'autre, est absolue, ainsi qu'on s'en convaincra aisément en jetant les yeux sur l'excellent tableau synoptique dressé par M. Plummer dans les notes de son éd</w:t>
      </w:r>
      <w:r w:rsidRPr="00D733B7">
        <w:rPr>
          <w:i/>
          <w:lang w:eastAsia="fr-FR" w:bidi="fr-FR"/>
        </w:rPr>
        <w:t>i</w:t>
      </w:r>
      <w:r w:rsidRPr="00D733B7">
        <w:rPr>
          <w:i/>
          <w:lang w:eastAsia="fr-FR" w:bidi="fr-FR"/>
        </w:rPr>
        <w:t xml:space="preserve">tion des </w:t>
      </w:r>
      <w:r w:rsidRPr="008E1BCD">
        <w:rPr>
          <w:lang w:eastAsia="fr-FR" w:bidi="fr-FR"/>
        </w:rPr>
        <w:t>Chroniques </w:t>
      </w:r>
      <w:r>
        <w:rPr>
          <w:rStyle w:val="Appelnotedebasdep"/>
        </w:rPr>
        <w:footnoteReference w:id="1112"/>
      </w:r>
      <w:r w:rsidRPr="00D733B7">
        <w:rPr>
          <w:bCs/>
          <w:i/>
        </w:rPr>
        <w:t>.</w:t>
      </w:r>
      <w:r w:rsidRPr="00D733B7">
        <w:rPr>
          <w:b/>
          <w:bCs/>
          <w:i/>
        </w:rPr>
        <w:t xml:space="preserve"> </w:t>
      </w:r>
      <w:r w:rsidRPr="00D733B7">
        <w:rPr>
          <w:i/>
          <w:lang w:eastAsia="fr-FR" w:bidi="fr-FR"/>
        </w:rPr>
        <w:t>Il faut rejeter l'un ou l'autre récit. Mais co</w:t>
      </w:r>
      <w:r w:rsidRPr="00D733B7">
        <w:rPr>
          <w:i/>
          <w:lang w:eastAsia="fr-FR" w:bidi="fr-FR"/>
        </w:rPr>
        <w:t>m</w:t>
      </w:r>
      <w:r w:rsidRPr="00D733B7">
        <w:rPr>
          <w:i/>
          <w:lang w:eastAsia="fr-FR" w:bidi="fr-FR"/>
        </w:rPr>
        <w:t>ment repousser celui des Chroniques que nous savons avoir été réd</w:t>
      </w:r>
      <w:r w:rsidRPr="00D733B7">
        <w:rPr>
          <w:i/>
          <w:lang w:eastAsia="fr-FR" w:bidi="fr-FR"/>
        </w:rPr>
        <w:t>i</w:t>
      </w:r>
      <w:r w:rsidRPr="00D733B7">
        <w:rPr>
          <w:i/>
          <w:lang w:eastAsia="fr-FR" w:bidi="fr-FR"/>
        </w:rPr>
        <w:t>gées indépendamment l'une de l'autre dans deux monastères diff</w:t>
      </w:r>
      <w:r w:rsidRPr="00D733B7">
        <w:rPr>
          <w:i/>
          <w:lang w:eastAsia="fr-FR" w:bidi="fr-FR"/>
        </w:rPr>
        <w:t>é</w:t>
      </w:r>
      <w:r w:rsidRPr="00D733B7">
        <w:rPr>
          <w:i/>
          <w:lang w:eastAsia="fr-FR" w:bidi="fr-FR"/>
        </w:rPr>
        <w:t>rents, au fur et à mesure des événements ?</w:t>
      </w:r>
      <w:r w:rsidRPr="007422C9">
        <w:rPr>
          <w:lang w:eastAsia="fr-FR" w:bidi="fr-FR"/>
        </w:rPr>
        <w:t xml:space="preserve"> </w:t>
      </w:r>
      <w:r w:rsidRPr="00D733B7">
        <w:rPr>
          <w:i/>
          <w:lang w:eastAsia="fr-FR" w:bidi="fr-FR"/>
        </w:rPr>
        <w:t>Ce qu'il y a de plus sing</w:t>
      </w:r>
      <w:r w:rsidRPr="00D733B7">
        <w:rPr>
          <w:i/>
          <w:lang w:eastAsia="fr-FR" w:bidi="fr-FR"/>
        </w:rPr>
        <w:t>u</w:t>
      </w:r>
      <w:r w:rsidRPr="00D733B7">
        <w:rPr>
          <w:i/>
          <w:lang w:eastAsia="fr-FR" w:bidi="fr-FR"/>
        </w:rPr>
        <w:t>lier, c'est que le Biographe, grand admirateur lui aussi de Godwin, a laissé échapper ici une belle occasion de chanter les louanges de son héros</w:t>
      </w:r>
      <w:r w:rsidRPr="00D733B7">
        <w:rPr>
          <w:b/>
          <w:bCs/>
          <w:i/>
        </w:rPr>
        <w:t xml:space="preserve">. </w:t>
      </w:r>
      <w:r w:rsidRPr="00D733B7">
        <w:rPr>
          <w:i/>
          <w:lang w:eastAsia="fr-FR" w:bidi="fr-FR"/>
        </w:rPr>
        <w:t>En 1051 les gens de Douvres s'étant pris de querelle avec la suite d'Eustache de Boulogne, beau-frère de saint Édouard : le roi, embrassant la cause de son parent</w:t>
      </w:r>
      <w:r w:rsidRPr="00D733B7">
        <w:rPr>
          <w:b/>
          <w:bCs/>
          <w:i/>
        </w:rPr>
        <w:t> — </w:t>
      </w:r>
      <w:r w:rsidRPr="00D733B7">
        <w:rPr>
          <w:i/>
          <w:lang w:eastAsia="fr-FR" w:bidi="fr-FR"/>
        </w:rPr>
        <w:t>un étranger</w:t>
      </w:r>
      <w:r w:rsidRPr="00D733B7">
        <w:rPr>
          <w:b/>
          <w:bCs/>
          <w:i/>
        </w:rPr>
        <w:t> — </w:t>
      </w:r>
      <w:r w:rsidRPr="00D733B7">
        <w:rPr>
          <w:i/>
          <w:lang w:eastAsia="fr-FR" w:bidi="fr-FR"/>
        </w:rPr>
        <w:t>commanda à Godwin, comte de Kent, de châtier la ville ; le comte refusa ; telle fut, nous disent, d'un commun accord, les deux Chroniques l'origine pr</w:t>
      </w:r>
      <w:r w:rsidRPr="00D733B7">
        <w:rPr>
          <w:i/>
          <w:lang w:eastAsia="fr-FR" w:bidi="fr-FR"/>
        </w:rPr>
        <w:t>e</w:t>
      </w:r>
      <w:r w:rsidRPr="00D733B7">
        <w:rPr>
          <w:i/>
          <w:lang w:eastAsia="fr-FR" w:bidi="fr-FR"/>
        </w:rPr>
        <w:t xml:space="preserve">mière de sa disgrâce. On devine tout ce qu'un panégyriste aurait pu tirer de ces faits. Le Biographe les a certainement ignorés. Eût-il, sans cela, attribué à la brouille entre Godwin et Édouard, une tout </w:t>
      </w:r>
      <w:r w:rsidRPr="00D733B7">
        <w:rPr>
          <w:i/>
          <w:lang w:eastAsia="fr-FR" w:bidi="fr-FR"/>
        </w:rPr>
        <w:lastRenderedPageBreak/>
        <w:t>autre cause ? Mais, s'il a vraiment écrit dans l'entourage de la reine Édith, par quelle raison pourra-t-on expliquer son ignorance ?</w:t>
      </w:r>
    </w:p>
    <w:p w14:paraId="003F3A93" w14:textId="77777777" w:rsidR="00B9662D" w:rsidRPr="008E1BCD" w:rsidRDefault="00B9662D" w:rsidP="00B9662D">
      <w:pPr>
        <w:spacing w:before="120" w:after="120"/>
        <w:jc w:val="both"/>
        <w:rPr>
          <w:i/>
        </w:rPr>
      </w:pPr>
      <w:r w:rsidRPr="00D733B7">
        <w:rPr>
          <w:i/>
          <w:lang w:eastAsia="fr-FR" w:bidi="fr-FR"/>
        </w:rPr>
        <w:t>L'an 1061, un des fûs de Godwin, Tostig, se rendit à Rome. Un p</w:t>
      </w:r>
      <w:r w:rsidRPr="00D733B7">
        <w:rPr>
          <w:i/>
          <w:lang w:eastAsia="fr-FR" w:bidi="fr-FR"/>
        </w:rPr>
        <w:t>a</w:t>
      </w:r>
      <w:r w:rsidRPr="00D733B7">
        <w:rPr>
          <w:i/>
          <w:lang w:eastAsia="fr-FR" w:bidi="fr-FR"/>
        </w:rPr>
        <w:t>reil voyage accompli par un homme si haut placé, dans des conditions qui faisaient de lui un ambassadeur en même temps qu'un pèlerin, ne pouvait passer inaperçu ; toutes les Chroniques l'ont enregistré</w:t>
      </w:r>
      <w:r>
        <w:rPr>
          <w:lang w:eastAsia="fr-FR" w:bidi="fr-FR"/>
        </w:rPr>
        <w:t> </w:t>
      </w:r>
      <w:r>
        <w:rPr>
          <w:rStyle w:val="Appelnotedebasdep"/>
        </w:rPr>
        <w:footnoteReference w:id="1113"/>
      </w:r>
      <w:r w:rsidRPr="00D733B7">
        <w:rPr>
          <w:bCs/>
          <w:i/>
        </w:rPr>
        <w:t>. Le</w:t>
      </w:r>
      <w:r w:rsidRPr="00D733B7">
        <w:rPr>
          <w:b/>
          <w:bCs/>
          <w:i/>
        </w:rPr>
        <w:t xml:space="preserve"> </w:t>
      </w:r>
      <w:r w:rsidRPr="00D733B7">
        <w:rPr>
          <w:i/>
          <w:lang w:eastAsia="fr-FR" w:bidi="fr-FR"/>
        </w:rPr>
        <w:t>Biographe l'a connu ;</w:t>
      </w:r>
      <w:r>
        <w:rPr>
          <w:lang w:eastAsia="fr-FR" w:bidi="fr-FR"/>
        </w:rPr>
        <w:t xml:space="preserve"> </w:t>
      </w:r>
      <w:r>
        <w:t xml:space="preserve">[963] </w:t>
      </w:r>
      <w:r w:rsidRPr="008E1BCD">
        <w:rPr>
          <w:i/>
          <w:lang w:eastAsia="fr-FR" w:bidi="fr-FR"/>
        </w:rPr>
        <w:t>il en a parlé ; mais à l’en croire, parmi les fils de Godwin, Tostig n'aurait pas été le seul à visiter le tombeau de saint Pierre. Comme lui, mais non pas à sa suite, une autre année (aucune précision de d</w:t>
      </w:r>
      <w:r w:rsidRPr="008E1BCD">
        <w:rPr>
          <w:i/>
          <w:lang w:eastAsia="fr-FR" w:bidi="fr-FR"/>
        </w:rPr>
        <w:t>a</w:t>
      </w:r>
      <w:r w:rsidRPr="008E1BCD">
        <w:rPr>
          <w:i/>
          <w:lang w:eastAsia="fr-FR" w:bidi="fr-FR"/>
        </w:rPr>
        <w:t>te ne nous est donnée) son frère Harold s'en serait allé, à son tour,</w:t>
      </w:r>
      <w:r w:rsidRPr="008E1BCD">
        <w:rPr>
          <w:b/>
          <w:bCs/>
          <w:i/>
        </w:rPr>
        <w:t xml:space="preserve"> </w:t>
      </w:r>
      <w:r w:rsidRPr="008E1BCD">
        <w:rPr>
          <w:bCs/>
        </w:rPr>
        <w:t>ad confessionem Apostolorum</w:t>
      </w:r>
      <w:r>
        <w:rPr>
          <w:bCs/>
        </w:rPr>
        <w:t> </w:t>
      </w:r>
      <w:r>
        <w:rPr>
          <w:rStyle w:val="Appelnotedebasdep"/>
          <w:bCs/>
        </w:rPr>
        <w:footnoteReference w:id="1114"/>
      </w:r>
      <w:r w:rsidRPr="0049261F">
        <w:rPr>
          <w:bCs/>
          <w:i/>
        </w:rPr>
        <w:t>.</w:t>
      </w:r>
      <w:r w:rsidRPr="007422C9">
        <w:rPr>
          <w:b/>
          <w:bCs/>
        </w:rPr>
        <w:t xml:space="preserve"> </w:t>
      </w:r>
      <w:r w:rsidRPr="008E1BCD">
        <w:rPr>
          <w:i/>
          <w:lang w:eastAsia="fr-FR" w:bidi="fr-FR"/>
        </w:rPr>
        <w:t>Sur ce point, le Biographe n'est pas tout à fait notre source unique ; un autre a</w:t>
      </w:r>
      <w:r w:rsidRPr="008E1BCD">
        <w:rPr>
          <w:i/>
          <w:lang w:eastAsia="fr-FR" w:bidi="fr-FR"/>
        </w:rPr>
        <w:t>u</w:t>
      </w:r>
      <w:r w:rsidRPr="008E1BCD">
        <w:rPr>
          <w:i/>
          <w:lang w:eastAsia="fr-FR" w:bidi="fr-FR"/>
        </w:rPr>
        <w:t>teur a mentionné l'expédition d'Harold ; c'est un écrivain de date a</w:t>
      </w:r>
      <w:r w:rsidRPr="008E1BCD">
        <w:rPr>
          <w:i/>
          <w:lang w:eastAsia="fr-FR" w:bidi="fr-FR"/>
        </w:rPr>
        <w:t>s</w:t>
      </w:r>
      <w:r w:rsidRPr="008E1BCD">
        <w:rPr>
          <w:i/>
          <w:lang w:eastAsia="fr-FR" w:bidi="fr-FR"/>
        </w:rPr>
        <w:t>sez basse</w:t>
      </w:r>
      <w:r w:rsidRPr="008E1BCD">
        <w:rPr>
          <w:b/>
          <w:bCs/>
          <w:i/>
        </w:rPr>
        <w:t> — </w:t>
      </w:r>
      <w:r w:rsidRPr="008E1BCD">
        <w:rPr>
          <w:i/>
          <w:lang w:eastAsia="fr-FR" w:bidi="fr-FR"/>
        </w:rPr>
        <w:t>début du XIII</w:t>
      </w:r>
      <w:r w:rsidRPr="008E1BCD">
        <w:rPr>
          <w:i/>
          <w:vertAlign w:val="superscript"/>
          <w:lang w:eastAsia="fr-FR" w:bidi="fr-FR"/>
        </w:rPr>
        <w:t>e</w:t>
      </w:r>
      <w:r w:rsidRPr="008E1BCD">
        <w:rPr>
          <w:i/>
          <w:lang w:eastAsia="fr-FR" w:bidi="fr-FR"/>
        </w:rPr>
        <w:t xml:space="preserve"> si</w:t>
      </w:r>
      <w:r w:rsidRPr="008E1BCD">
        <w:rPr>
          <w:i/>
          <w:lang w:eastAsia="fr-FR" w:bidi="fr-FR"/>
        </w:rPr>
        <w:t>è</w:t>
      </w:r>
      <w:r w:rsidRPr="008E1BCD">
        <w:rPr>
          <w:i/>
          <w:lang w:eastAsia="fr-FR" w:bidi="fr-FR"/>
        </w:rPr>
        <w:t>cle</w:t>
      </w:r>
      <w:r w:rsidRPr="008E1BCD">
        <w:rPr>
          <w:b/>
          <w:bCs/>
          <w:i/>
        </w:rPr>
        <w:t> — </w:t>
      </w:r>
      <w:r w:rsidRPr="008E1BCD">
        <w:rPr>
          <w:i/>
          <w:lang w:eastAsia="fr-FR" w:bidi="fr-FR"/>
        </w:rPr>
        <w:t>qui, travaillant au monastère de Waltham, que jadis Harold avait fondé, semble bien n'avoir, en a</w:t>
      </w:r>
      <w:r w:rsidRPr="008E1BCD">
        <w:rPr>
          <w:i/>
          <w:lang w:eastAsia="fr-FR" w:bidi="fr-FR"/>
        </w:rPr>
        <w:t>c</w:t>
      </w:r>
      <w:r w:rsidRPr="008E1BCD">
        <w:rPr>
          <w:i/>
          <w:lang w:eastAsia="fr-FR" w:bidi="fr-FR"/>
        </w:rPr>
        <w:t>cueillant cette tradition, eu d'autre objet que de chercher à authent</w:t>
      </w:r>
      <w:r w:rsidRPr="008E1BCD">
        <w:rPr>
          <w:i/>
          <w:lang w:eastAsia="fr-FR" w:bidi="fr-FR"/>
        </w:rPr>
        <w:t>i</w:t>
      </w:r>
      <w:r w:rsidRPr="008E1BCD">
        <w:rPr>
          <w:i/>
          <w:lang w:eastAsia="fr-FR" w:bidi="fr-FR"/>
        </w:rPr>
        <w:t>fier des reliques soi-disant rapportées de Rome par le créateur de sa maison ; on ne saurait prendre son témoignage au sérieux</w:t>
      </w:r>
      <w:r>
        <w:rPr>
          <w:lang w:eastAsia="fr-FR" w:bidi="fr-FR"/>
        </w:rPr>
        <w:t> </w:t>
      </w:r>
      <w:r>
        <w:rPr>
          <w:rStyle w:val="Appelnotedebasdep"/>
        </w:rPr>
        <w:footnoteReference w:id="1115"/>
      </w:r>
      <w:r w:rsidRPr="008E1BCD">
        <w:rPr>
          <w:i/>
          <w:lang w:eastAsia="fr-FR" w:bidi="fr-FR"/>
        </w:rPr>
        <w:t>. Aucune des chroniques contemporaines</w:t>
      </w:r>
      <w:r w:rsidRPr="008E1BCD">
        <w:rPr>
          <w:b/>
          <w:bCs/>
          <w:i/>
        </w:rPr>
        <w:t> — </w:t>
      </w:r>
      <w:r w:rsidRPr="008E1BCD">
        <w:rPr>
          <w:i/>
          <w:lang w:eastAsia="fr-FR" w:bidi="fr-FR"/>
        </w:rPr>
        <w:t>unanimes comme on l'a vu à sign</w:t>
      </w:r>
      <w:r w:rsidRPr="008E1BCD">
        <w:rPr>
          <w:i/>
          <w:lang w:eastAsia="fr-FR" w:bidi="fr-FR"/>
        </w:rPr>
        <w:t>a</w:t>
      </w:r>
      <w:r w:rsidRPr="008E1BCD">
        <w:rPr>
          <w:i/>
          <w:lang w:eastAsia="fr-FR" w:bidi="fr-FR"/>
        </w:rPr>
        <w:t>ler le voyage de To</w:t>
      </w:r>
      <w:r w:rsidRPr="008E1BCD">
        <w:rPr>
          <w:i/>
          <w:lang w:eastAsia="fr-FR" w:bidi="fr-FR"/>
        </w:rPr>
        <w:t>s</w:t>
      </w:r>
      <w:r w:rsidRPr="008E1BCD">
        <w:rPr>
          <w:i/>
          <w:lang w:eastAsia="fr-FR" w:bidi="fr-FR"/>
        </w:rPr>
        <w:t>tig</w:t>
      </w:r>
      <w:r w:rsidRPr="008E1BCD">
        <w:rPr>
          <w:b/>
          <w:bCs/>
          <w:i/>
        </w:rPr>
        <w:t> — </w:t>
      </w:r>
      <w:r w:rsidRPr="008E1BCD">
        <w:rPr>
          <w:i/>
          <w:lang w:eastAsia="fr-FR" w:bidi="fr-FR"/>
        </w:rPr>
        <w:t>ne fait allusion à celui de Harold</w:t>
      </w:r>
      <w:r>
        <w:rPr>
          <w:lang w:eastAsia="fr-FR" w:bidi="fr-FR"/>
        </w:rPr>
        <w:t> </w:t>
      </w:r>
      <w:r>
        <w:rPr>
          <w:rStyle w:val="Appelnotedebasdep"/>
        </w:rPr>
        <w:footnoteReference w:id="1116"/>
      </w:r>
      <w:r w:rsidRPr="008E1BCD">
        <w:rPr>
          <w:bCs/>
          <w:i/>
        </w:rPr>
        <w:t>.</w:t>
      </w:r>
      <w:r w:rsidRPr="008E1BCD">
        <w:rPr>
          <w:b/>
          <w:bCs/>
          <w:i/>
        </w:rPr>
        <w:t xml:space="preserve"> </w:t>
      </w:r>
      <w:r w:rsidRPr="008E1BCD">
        <w:rPr>
          <w:i/>
          <w:lang w:eastAsia="fr-FR" w:bidi="fr-FR"/>
        </w:rPr>
        <w:t>Si le Biographe a dit vrai, leur silence demeure inexplicable ; mais contre ce silence, que vaut l'affirmation du Biographe ? On ne peut s'emp</w:t>
      </w:r>
      <w:r w:rsidRPr="008E1BCD">
        <w:rPr>
          <w:i/>
          <w:lang w:eastAsia="fr-FR" w:bidi="fr-FR"/>
        </w:rPr>
        <w:t>ê</w:t>
      </w:r>
      <w:r w:rsidRPr="008E1BCD">
        <w:rPr>
          <w:i/>
          <w:lang w:eastAsia="fr-FR" w:bidi="fr-FR"/>
        </w:rPr>
        <w:t>cher de penser qu'une fois de plus il s'est trompé.</w:t>
      </w:r>
    </w:p>
    <w:p w14:paraId="14B6C7C9" w14:textId="77777777" w:rsidR="00B9662D" w:rsidRPr="008E1BCD" w:rsidRDefault="00B9662D" w:rsidP="00B9662D">
      <w:pPr>
        <w:spacing w:before="120" w:after="120"/>
        <w:jc w:val="both"/>
        <w:rPr>
          <w:i/>
        </w:rPr>
      </w:pPr>
      <w:r w:rsidRPr="008E1BCD">
        <w:rPr>
          <w:i/>
          <w:lang w:eastAsia="fr-FR" w:bidi="fr-FR"/>
        </w:rPr>
        <w:t>Je passe rapidement sur quelques autres erreurs, certaines ou vraisemblables : le couronnement de saint Édouard localisé à Ca</w:t>
      </w:r>
      <w:r w:rsidRPr="008E1BCD">
        <w:rPr>
          <w:i/>
          <w:lang w:eastAsia="fr-FR" w:bidi="fr-FR"/>
        </w:rPr>
        <w:t>n</w:t>
      </w:r>
      <w:r w:rsidRPr="008E1BCD">
        <w:rPr>
          <w:i/>
          <w:lang w:eastAsia="fr-FR" w:bidi="fr-FR"/>
        </w:rPr>
        <w:t>terbury alors qu'incontestablement il se fit à Winchester</w:t>
      </w:r>
      <w:r>
        <w:rPr>
          <w:i/>
          <w:lang w:eastAsia="fr-FR" w:bidi="fr-FR"/>
        </w:rPr>
        <w:t> </w:t>
      </w:r>
      <w:r w:rsidRPr="008E1BCD">
        <w:rPr>
          <w:rStyle w:val="Appelnotedebasdep"/>
        </w:rPr>
        <w:footnoteReference w:id="1117"/>
      </w:r>
      <w:r w:rsidRPr="008E1BCD">
        <w:rPr>
          <w:i/>
          <w:lang w:eastAsia="fr-FR" w:bidi="fr-FR"/>
        </w:rPr>
        <w:t> ; l'inexpl</w:t>
      </w:r>
      <w:r w:rsidRPr="008E1BCD">
        <w:rPr>
          <w:i/>
          <w:lang w:eastAsia="fr-FR" w:bidi="fr-FR"/>
        </w:rPr>
        <w:t>i</w:t>
      </w:r>
      <w:r w:rsidRPr="008E1BCD">
        <w:rPr>
          <w:i/>
          <w:lang w:eastAsia="fr-FR" w:bidi="fr-FR"/>
        </w:rPr>
        <w:t>cable parenté établie entre saint Édouard et le roi de France He</w:t>
      </w:r>
      <w:r w:rsidRPr="008E1BCD">
        <w:rPr>
          <w:i/>
          <w:lang w:eastAsia="fr-FR" w:bidi="fr-FR"/>
        </w:rPr>
        <w:t>n</w:t>
      </w:r>
      <w:r w:rsidRPr="008E1BCD">
        <w:rPr>
          <w:i/>
          <w:lang w:eastAsia="fr-FR" w:bidi="fr-FR"/>
        </w:rPr>
        <w:t>ri I</w:t>
      </w:r>
      <w:r w:rsidRPr="008E1BCD">
        <w:rPr>
          <w:i/>
          <w:vertAlign w:val="superscript"/>
          <w:lang w:eastAsia="fr-FR" w:bidi="fr-FR"/>
        </w:rPr>
        <w:t>er</w:t>
      </w:r>
      <w:r w:rsidRPr="008E1BCD">
        <w:rPr>
          <w:i/>
          <w:lang w:eastAsia="fr-FR" w:bidi="fr-FR"/>
        </w:rPr>
        <w:t> </w:t>
      </w:r>
      <w:r>
        <w:rPr>
          <w:lang w:eastAsia="fr-FR" w:bidi="fr-FR"/>
        </w:rPr>
        <w:t> </w:t>
      </w:r>
      <w:r>
        <w:rPr>
          <w:rStyle w:val="Appelnotedebasdep"/>
        </w:rPr>
        <w:footnoteReference w:id="1118"/>
      </w:r>
      <w:r w:rsidRPr="008E1BCD">
        <w:rPr>
          <w:i/>
          <w:lang w:eastAsia="fr-FR" w:bidi="fr-FR"/>
        </w:rPr>
        <w:t xml:space="preserve"> ; le lieu d'exil de la reine Édith en 1051 placé à Wilton, </w:t>
      </w:r>
      <w:r w:rsidRPr="008E1BCD">
        <w:rPr>
          <w:i/>
          <w:lang w:eastAsia="fr-FR" w:bidi="fr-FR"/>
        </w:rPr>
        <w:lastRenderedPageBreak/>
        <w:t>alors que les autres sources indiquent Wherwell</w:t>
      </w:r>
      <w:r>
        <w:rPr>
          <w:lang w:eastAsia="fr-FR" w:bidi="fr-FR"/>
        </w:rPr>
        <w:t> </w:t>
      </w:r>
      <w:r>
        <w:rPr>
          <w:rStyle w:val="Appelnotedebasdep"/>
        </w:rPr>
        <w:footnoteReference w:id="1119"/>
      </w:r>
      <w:r w:rsidRPr="008E1BCD">
        <w:rPr>
          <w:i/>
          <w:lang w:eastAsia="fr-FR" w:bidi="fr-FR"/>
        </w:rPr>
        <w:t> ;</w:t>
      </w:r>
      <w:r w:rsidRPr="008E1BCD">
        <w:rPr>
          <w:b/>
          <w:bCs/>
          <w:i/>
        </w:rPr>
        <w:t> — </w:t>
      </w:r>
      <w:r w:rsidRPr="008E1BCD">
        <w:rPr>
          <w:i/>
          <w:lang w:eastAsia="fr-FR" w:bidi="fr-FR"/>
        </w:rPr>
        <w:t>et j'en arrive à la conception même de l'œuvre : là, à mon avis, est la preuve la plus éclatante de son inauthenticité.</w:t>
      </w:r>
    </w:p>
    <w:p w14:paraId="431B2E35" w14:textId="77777777" w:rsidR="00B9662D" w:rsidRPr="003C1A6A" w:rsidRDefault="00B9662D" w:rsidP="00B9662D">
      <w:pPr>
        <w:spacing w:before="120" w:after="120"/>
        <w:jc w:val="both"/>
        <w:rPr>
          <w:i/>
        </w:rPr>
      </w:pPr>
      <w:r w:rsidRPr="008E1BCD">
        <w:rPr>
          <w:i/>
          <w:lang w:eastAsia="fr-FR" w:bidi="fr-FR"/>
        </w:rPr>
        <w:t>La</w:t>
      </w:r>
      <w:r w:rsidRPr="008E1BCD">
        <w:rPr>
          <w:b/>
          <w:bCs/>
          <w:i/>
        </w:rPr>
        <w:t xml:space="preserve"> </w:t>
      </w:r>
      <w:r w:rsidRPr="008E1BCD">
        <w:rPr>
          <w:bCs/>
        </w:rPr>
        <w:t>Vita Aeduuardi</w:t>
      </w:r>
      <w:r w:rsidRPr="008E1BCD">
        <w:rPr>
          <w:b/>
          <w:bCs/>
          <w:i/>
        </w:rPr>
        <w:t xml:space="preserve"> </w:t>
      </w:r>
      <w:r w:rsidRPr="008E1BCD">
        <w:rPr>
          <w:i/>
          <w:lang w:eastAsia="fr-FR" w:bidi="fr-FR"/>
        </w:rPr>
        <w:t>est un écrit à bien des égards très étrange. Elle semble en particulier s'écarter délibérément des principes de la litt</w:t>
      </w:r>
      <w:r w:rsidRPr="008E1BCD">
        <w:rPr>
          <w:i/>
          <w:lang w:eastAsia="fr-FR" w:bidi="fr-FR"/>
        </w:rPr>
        <w:t>é</w:t>
      </w:r>
      <w:r w:rsidRPr="008E1BCD">
        <w:rPr>
          <w:i/>
          <w:lang w:eastAsia="fr-FR" w:bidi="fr-FR"/>
        </w:rPr>
        <w:t>rature hagiographique. Qui dit hagiographie dit d'ordinaire</w:t>
      </w:r>
      <w:r w:rsidRPr="007422C9">
        <w:rPr>
          <w:lang w:eastAsia="fr-FR" w:bidi="fr-FR"/>
        </w:rPr>
        <w:t xml:space="preserve"> </w:t>
      </w:r>
      <w:r w:rsidRPr="008E1BCD">
        <w:rPr>
          <w:i/>
          <w:lang w:eastAsia="fr-FR" w:bidi="fr-FR"/>
        </w:rPr>
        <w:t>panég</w:t>
      </w:r>
      <w:r w:rsidRPr="008E1BCD">
        <w:rPr>
          <w:i/>
          <w:lang w:eastAsia="fr-FR" w:bidi="fr-FR"/>
        </w:rPr>
        <w:t>y</w:t>
      </w:r>
      <w:r w:rsidRPr="008E1BCD">
        <w:rPr>
          <w:i/>
          <w:lang w:eastAsia="fr-FR" w:bidi="fr-FR"/>
        </w:rPr>
        <w:t>rique. Exalter les vertus du saint par-dessus toutes celles de son e</w:t>
      </w:r>
      <w:r w:rsidRPr="008E1BCD">
        <w:rPr>
          <w:i/>
          <w:lang w:eastAsia="fr-FR" w:bidi="fr-FR"/>
        </w:rPr>
        <w:t>n</w:t>
      </w:r>
      <w:r w:rsidRPr="008E1BCD">
        <w:rPr>
          <w:i/>
          <w:lang w:eastAsia="fr-FR" w:bidi="fr-FR"/>
        </w:rPr>
        <w:t>tourage, au besoin passer sous silence les quelques ombres, si légères soient-elles, qui pourraient altérer l'absolue blancheur de sa physi</w:t>
      </w:r>
      <w:r w:rsidRPr="008E1BCD">
        <w:rPr>
          <w:i/>
          <w:lang w:eastAsia="fr-FR" w:bidi="fr-FR"/>
        </w:rPr>
        <w:t>o</w:t>
      </w:r>
      <w:r w:rsidRPr="008E1BCD">
        <w:rPr>
          <w:i/>
          <w:lang w:eastAsia="fr-FR" w:bidi="fr-FR"/>
        </w:rPr>
        <w:t>nomie, telles sont les règles du genre. Ici rien de pareil. Sans doute le Biographe considère bien Édouard comme un saint, comme un ho</w:t>
      </w:r>
      <w:r w:rsidRPr="008E1BCD">
        <w:rPr>
          <w:i/>
          <w:lang w:eastAsia="fr-FR" w:bidi="fr-FR"/>
        </w:rPr>
        <w:t>m</w:t>
      </w:r>
      <w:r w:rsidRPr="008E1BCD">
        <w:rPr>
          <w:i/>
          <w:lang w:eastAsia="fr-FR" w:bidi="fr-FR"/>
        </w:rPr>
        <w:t>me très vertueux et très pur, aimé du Seigneur, qui a des visions et fait des miracles ; mais à le lire avec soin, on s'aperçoit aisément que son admiration pour le pieux roi comporte des réserves. Les faiblesses politiques du règne que les hagiographes postérieurs, Osbert de Clare par exemple, trouveront tout naturel de taire, il les étale au grand jour. Lorsqu'il montre Édouard en conflit avec Godwin ou les siens, c'est au comte, non au roi, que va sa sympathie ; il compare Godwin devant Édouard à David devant Saül </w:t>
      </w:r>
      <w:r w:rsidRPr="008E1BCD">
        <w:rPr>
          <w:rStyle w:val="Appelnotedebasdep"/>
        </w:rPr>
        <w:footnoteReference w:id="1120"/>
      </w:r>
      <w:r w:rsidRPr="008E1BCD">
        <w:rPr>
          <w:i/>
          <w:lang w:eastAsia="fr-FR" w:bidi="fr-FR"/>
        </w:rPr>
        <w:t> : traiter un prince de Saül, le compliment paraîtra médiocre. La raison de cette attitude singulière est évidente. La reine Édith n'est-elle pas la fille de Godwin ? J'ai d</w:t>
      </w:r>
      <w:r w:rsidRPr="008E1BCD">
        <w:rPr>
          <w:i/>
          <w:lang w:eastAsia="fr-FR" w:bidi="fr-FR"/>
        </w:rPr>
        <w:t>é</w:t>
      </w:r>
      <w:r w:rsidRPr="008E1BCD">
        <w:rPr>
          <w:i/>
          <w:lang w:eastAsia="fr-FR" w:bidi="fr-FR"/>
        </w:rPr>
        <w:t>jà dit quelle place la reine tient dans l'œuvre du Biographe ; il fait sans cesse son éloge ; c'est à elle en même temps qu'au roi qu'il</w:t>
      </w:r>
      <w:r w:rsidRPr="008E1BCD">
        <w:rPr>
          <w:b/>
          <w:bCs/>
          <w:i/>
        </w:rPr>
        <w:t xml:space="preserve"> « </w:t>
      </w:r>
      <w:r w:rsidRPr="008E1BCD">
        <w:rPr>
          <w:i/>
          <w:lang w:eastAsia="fr-FR" w:bidi="fr-FR"/>
        </w:rPr>
        <w:t>voue</w:t>
      </w:r>
      <w:r w:rsidRPr="008E1BCD">
        <w:rPr>
          <w:b/>
          <w:bCs/>
          <w:i/>
        </w:rPr>
        <w:t> »</w:t>
      </w:r>
      <w:r>
        <w:rPr>
          <w:b/>
          <w:bCs/>
        </w:rPr>
        <w:t xml:space="preserve"> </w:t>
      </w:r>
      <w:r>
        <w:rPr>
          <w:lang w:eastAsia="fr-FR" w:bidi="fr-FR"/>
        </w:rPr>
        <w:t xml:space="preserve">[964] </w:t>
      </w:r>
      <w:r w:rsidRPr="008E1BCD">
        <w:rPr>
          <w:i/>
          <w:lang w:eastAsia="fr-FR" w:bidi="fr-FR"/>
        </w:rPr>
        <w:t>son travail</w:t>
      </w:r>
      <w:r>
        <w:rPr>
          <w:lang w:eastAsia="fr-FR" w:bidi="fr-FR"/>
        </w:rPr>
        <w:t> </w:t>
      </w:r>
      <w:r>
        <w:rPr>
          <w:rStyle w:val="Appelnotedebasdep"/>
        </w:rPr>
        <w:footnoteReference w:id="1121"/>
      </w:r>
      <w:r w:rsidRPr="008E1BCD">
        <w:rPr>
          <w:i/>
          <w:lang w:eastAsia="fr-FR" w:bidi="fr-FR"/>
        </w:rPr>
        <w:t> ; quand elle est exilée c'est pour elle que, discrèt</w:t>
      </w:r>
      <w:r w:rsidRPr="008E1BCD">
        <w:rPr>
          <w:i/>
          <w:lang w:eastAsia="fr-FR" w:bidi="fr-FR"/>
        </w:rPr>
        <w:t>e</w:t>
      </w:r>
      <w:r w:rsidRPr="008E1BCD">
        <w:rPr>
          <w:i/>
          <w:lang w:eastAsia="fr-FR" w:bidi="fr-FR"/>
        </w:rPr>
        <w:t>ment, mais nettement, il prend parti</w:t>
      </w:r>
      <w:r>
        <w:rPr>
          <w:lang w:eastAsia="fr-FR" w:bidi="fr-FR"/>
        </w:rPr>
        <w:t> </w:t>
      </w:r>
      <w:r>
        <w:rPr>
          <w:rStyle w:val="Appelnotedebasdep"/>
        </w:rPr>
        <w:footnoteReference w:id="1122"/>
      </w:r>
      <w:r w:rsidRPr="008E1BCD">
        <w:rPr>
          <w:i/>
          <w:lang w:eastAsia="fr-FR" w:bidi="fr-FR"/>
        </w:rPr>
        <w:t> ; il va même jusqu'à la mettre expressément au-dessus de son mari</w:t>
      </w:r>
      <w:r>
        <w:rPr>
          <w:lang w:eastAsia="fr-FR" w:bidi="fr-FR"/>
        </w:rPr>
        <w:t> </w:t>
      </w:r>
      <w:r>
        <w:rPr>
          <w:rStyle w:val="Appelnotedebasdep"/>
        </w:rPr>
        <w:footnoteReference w:id="1123"/>
      </w:r>
      <w:r w:rsidRPr="008E1BCD">
        <w:rPr>
          <w:bCs/>
          <w:i/>
        </w:rPr>
        <w:t> :</w:t>
      </w:r>
      <w:r w:rsidRPr="008E1BCD">
        <w:rPr>
          <w:b/>
          <w:bCs/>
          <w:i/>
        </w:rPr>
        <w:t xml:space="preserve"> </w:t>
      </w:r>
      <w:r w:rsidRPr="008E1BCD">
        <w:rPr>
          <w:i/>
          <w:lang w:eastAsia="fr-FR" w:bidi="fr-FR"/>
        </w:rPr>
        <w:t>Édouard est généreux, mais Édith plus généreuse encore</w:t>
      </w:r>
      <w:r>
        <w:rPr>
          <w:i/>
          <w:lang w:eastAsia="fr-FR" w:bidi="fr-FR"/>
        </w:rPr>
        <w:t> </w:t>
      </w:r>
      <w:r w:rsidRPr="003C1A6A">
        <w:rPr>
          <w:rStyle w:val="Appelnotedebasdep"/>
        </w:rPr>
        <w:footnoteReference w:id="1124"/>
      </w:r>
      <w:r w:rsidRPr="008E1BCD">
        <w:rPr>
          <w:bCs/>
          <w:i/>
        </w:rPr>
        <w:t> :</w:t>
      </w:r>
      <w:r w:rsidRPr="008E1BCD">
        <w:rPr>
          <w:b/>
          <w:bCs/>
          <w:i/>
        </w:rPr>
        <w:t xml:space="preserve"> </w:t>
      </w:r>
      <w:r w:rsidRPr="008E1BCD">
        <w:rPr>
          <w:i/>
          <w:lang w:eastAsia="fr-FR" w:bidi="fr-FR"/>
        </w:rPr>
        <w:t>Édouard fait bâtir une église à Westminster, Édith en même temps en élève une autre à Wilton ; pie</w:t>
      </w:r>
      <w:r w:rsidRPr="008E1BCD">
        <w:rPr>
          <w:i/>
          <w:lang w:eastAsia="fr-FR" w:bidi="fr-FR"/>
        </w:rPr>
        <w:t>u</w:t>
      </w:r>
      <w:r w:rsidRPr="008E1BCD">
        <w:rPr>
          <w:i/>
          <w:lang w:eastAsia="fr-FR" w:bidi="fr-FR"/>
        </w:rPr>
        <w:t>se émulation, lutte pacifique dont l'épouse sort victorieuse.</w:t>
      </w:r>
      <w:r w:rsidRPr="008E1BCD">
        <w:rPr>
          <w:b/>
          <w:bCs/>
          <w:i/>
        </w:rPr>
        <w:t xml:space="preserve"> « </w:t>
      </w:r>
      <w:r w:rsidRPr="008E1BCD">
        <w:rPr>
          <w:i/>
          <w:lang w:eastAsia="fr-FR" w:bidi="fr-FR"/>
        </w:rPr>
        <w:t xml:space="preserve">L'église atteignit plus vite la perfection, </w:t>
      </w:r>
      <w:r w:rsidRPr="008E1BCD">
        <w:rPr>
          <w:i/>
          <w:lang w:eastAsia="fr-FR" w:bidi="fr-FR"/>
        </w:rPr>
        <w:lastRenderedPageBreak/>
        <w:t>parce que la sage reine avait conçu son projet avec plus de modération</w:t>
      </w:r>
      <w:r w:rsidRPr="008E1BCD">
        <w:rPr>
          <w:b/>
          <w:bCs/>
          <w:i/>
        </w:rPr>
        <w:t> </w:t>
      </w:r>
      <w:r w:rsidRPr="003C1A6A">
        <w:rPr>
          <w:bCs/>
          <w:i/>
        </w:rPr>
        <w:t>»</w:t>
      </w:r>
      <w:r w:rsidRPr="003C1A6A">
        <w:rPr>
          <w:bCs/>
        </w:rPr>
        <w:t> </w:t>
      </w:r>
      <w:r>
        <w:rPr>
          <w:rStyle w:val="Appelnotedebasdep"/>
          <w:bCs/>
        </w:rPr>
        <w:footnoteReference w:id="1125"/>
      </w:r>
      <w:r w:rsidRPr="008E1BCD">
        <w:rPr>
          <w:bCs/>
          <w:i/>
        </w:rPr>
        <w:t>.</w:t>
      </w:r>
      <w:r w:rsidRPr="008E1BCD">
        <w:rPr>
          <w:b/>
          <w:bCs/>
          <w:i/>
        </w:rPr>
        <w:t xml:space="preserve"> </w:t>
      </w:r>
      <w:r w:rsidRPr="008E1BCD">
        <w:rPr>
          <w:i/>
          <w:lang w:eastAsia="fr-FR" w:bidi="fr-FR"/>
        </w:rPr>
        <w:t>En vérité, de cette Vie de saint Édouard, saint Édouard n'est pas le héros ; elle a une héroïne, qui est Édith. Tout se passe comme si le dessein du Biographe avait été, non pas de chanter les vertus d'Édouard et de propager son culte, mais, Édouard passant déjà partout pour un saint, de lui associer dans la vénération des fidèles la reine, sa femme, de lui donner, si j'ose e</w:t>
      </w:r>
      <w:r w:rsidRPr="008E1BCD">
        <w:rPr>
          <w:i/>
          <w:lang w:eastAsia="fr-FR" w:bidi="fr-FR"/>
        </w:rPr>
        <w:t>m</w:t>
      </w:r>
      <w:r w:rsidRPr="008E1BCD">
        <w:rPr>
          <w:i/>
          <w:lang w:eastAsia="fr-FR" w:bidi="fr-FR"/>
        </w:rPr>
        <w:t xml:space="preserve">ployer ici un terme païen, une </w:t>
      </w:r>
      <w:r w:rsidRPr="008E1BCD">
        <w:rPr>
          <w:bCs/>
        </w:rPr>
        <w:t>parèdre</w:t>
      </w:r>
      <w:r w:rsidRPr="003B473B">
        <w:rPr>
          <w:bCs/>
          <w:i/>
        </w:rPr>
        <w:t>.</w:t>
      </w:r>
      <w:r w:rsidRPr="007422C9">
        <w:rPr>
          <w:b/>
          <w:bCs/>
        </w:rPr>
        <w:t xml:space="preserve"> </w:t>
      </w:r>
      <w:r w:rsidRPr="008E1BCD">
        <w:rPr>
          <w:i/>
          <w:lang w:eastAsia="fr-FR" w:bidi="fr-FR"/>
        </w:rPr>
        <w:t>Tel est bien en effet, à mon avis, les sens de l'œuvre ; telle est la seule explication qui nous livre la clef de ses bizarreries. Or, pour qu'un pareil projet fût possible, ou même concevable, il fallait de toute évidence qu'Édouard fût déjà, s</w:t>
      </w:r>
      <w:r w:rsidRPr="008E1BCD">
        <w:rPr>
          <w:i/>
          <w:lang w:eastAsia="fr-FR" w:bidi="fr-FR"/>
        </w:rPr>
        <w:t>i</w:t>
      </w:r>
      <w:r w:rsidRPr="008E1BCD">
        <w:rPr>
          <w:i/>
          <w:lang w:eastAsia="fr-FR" w:bidi="fr-FR"/>
        </w:rPr>
        <w:t>non canonisé par Rome, du moins placé par l'opinion quasi unanime du peuple anglais au rang des saints. Qu'il doive être considéré co</w:t>
      </w:r>
      <w:r w:rsidRPr="008E1BCD">
        <w:rPr>
          <w:i/>
          <w:lang w:eastAsia="fr-FR" w:bidi="fr-FR"/>
        </w:rPr>
        <w:t>m</w:t>
      </w:r>
      <w:r w:rsidRPr="008E1BCD">
        <w:rPr>
          <w:i/>
          <w:lang w:eastAsia="fr-FR" w:bidi="fr-FR"/>
        </w:rPr>
        <w:t>me digne des autels, c'est ce que le Biographe ne cherche nullement à démontrer ; tout l'ouvrage suppose cette vérité universellement r</w:t>
      </w:r>
      <w:r w:rsidRPr="008E1BCD">
        <w:rPr>
          <w:i/>
          <w:lang w:eastAsia="fr-FR" w:bidi="fr-FR"/>
        </w:rPr>
        <w:t>e</w:t>
      </w:r>
      <w:r w:rsidRPr="008E1BCD">
        <w:rPr>
          <w:i/>
          <w:lang w:eastAsia="fr-FR" w:bidi="fr-FR"/>
        </w:rPr>
        <w:t>çue</w:t>
      </w:r>
      <w:r>
        <w:rPr>
          <w:lang w:eastAsia="fr-FR" w:bidi="fr-FR"/>
        </w:rPr>
        <w:t> </w:t>
      </w:r>
      <w:r>
        <w:rPr>
          <w:rStyle w:val="Appelnotedebasdep"/>
        </w:rPr>
        <w:footnoteReference w:id="1126"/>
      </w:r>
      <w:r w:rsidRPr="008E1BCD">
        <w:rPr>
          <w:i/>
          <w:lang w:eastAsia="fr-FR" w:bidi="fr-FR"/>
        </w:rPr>
        <w:t>. Elle l'était en effet dès le début du XII</w:t>
      </w:r>
      <w:r w:rsidRPr="008E1BCD">
        <w:rPr>
          <w:i/>
          <w:vertAlign w:val="superscript"/>
          <w:lang w:eastAsia="fr-FR" w:bidi="fr-FR"/>
        </w:rPr>
        <w:t>e</w:t>
      </w:r>
      <w:r w:rsidRPr="008E1BCD">
        <w:rPr>
          <w:b/>
          <w:bCs/>
          <w:i/>
          <w:iCs/>
        </w:rPr>
        <w:t xml:space="preserve"> </w:t>
      </w:r>
      <w:r w:rsidRPr="008E1BCD">
        <w:rPr>
          <w:i/>
          <w:lang w:eastAsia="fr-FR" w:bidi="fr-FR"/>
        </w:rPr>
        <w:t>siècle. Mais avant 1076, non pas. A l'époque où l'on place d'ordinaire la composition de la</w:t>
      </w:r>
      <w:r w:rsidRPr="008E1BCD">
        <w:rPr>
          <w:b/>
          <w:bCs/>
          <w:i/>
        </w:rPr>
        <w:t xml:space="preserve"> </w:t>
      </w:r>
      <w:r w:rsidRPr="008E1BCD">
        <w:rPr>
          <w:bCs/>
        </w:rPr>
        <w:t>V</w:t>
      </w:r>
      <w:r w:rsidRPr="008E1BCD">
        <w:rPr>
          <w:bCs/>
        </w:rPr>
        <w:t>i</w:t>
      </w:r>
      <w:r w:rsidRPr="008E1BCD">
        <w:rPr>
          <w:bCs/>
        </w:rPr>
        <w:t>ta Aeduuardi</w:t>
      </w:r>
      <w:r w:rsidRPr="008E1BCD">
        <w:rPr>
          <w:bCs/>
          <w:i/>
        </w:rPr>
        <w:t>,</w:t>
      </w:r>
      <w:r w:rsidRPr="008E1BCD">
        <w:rPr>
          <w:b/>
          <w:bCs/>
          <w:i/>
        </w:rPr>
        <w:t xml:space="preserve"> </w:t>
      </w:r>
      <w:r w:rsidRPr="003C1A6A">
        <w:rPr>
          <w:i/>
          <w:lang w:eastAsia="fr-FR" w:bidi="fr-FR"/>
        </w:rPr>
        <w:t>Sulcard, comme on l'a vu plus haut, rédigeait son hi</w:t>
      </w:r>
      <w:r w:rsidRPr="003C1A6A">
        <w:rPr>
          <w:i/>
          <w:lang w:eastAsia="fr-FR" w:bidi="fr-FR"/>
        </w:rPr>
        <w:t>s</w:t>
      </w:r>
      <w:r w:rsidRPr="003C1A6A">
        <w:rPr>
          <w:i/>
          <w:lang w:eastAsia="fr-FR" w:bidi="fr-FR"/>
        </w:rPr>
        <w:t>toire des origines de Westminster ; il travaillait, près de la tombe du roi, dans le monastère</w:t>
      </w:r>
      <w:r w:rsidRPr="007422C9">
        <w:rPr>
          <w:lang w:eastAsia="fr-FR" w:bidi="fr-FR"/>
        </w:rPr>
        <w:t xml:space="preserve"> </w:t>
      </w:r>
      <w:r w:rsidRPr="003C1A6A">
        <w:rPr>
          <w:i/>
          <w:lang w:eastAsia="fr-FR" w:bidi="fr-FR"/>
        </w:rPr>
        <w:t>même qui devait devenir le lieu préféré du culte rendu par les Anglais à leur ancien souverain, le centre de rayonnement de la légende. Pour lui cependant le bienfaiteur de sa maison, qu'il respecte et admire, n'est encore qu'un prince excellent, sans plus. Comment croire qu'au même moment, aux yeux d'un autre écrivain, la sainteté d'Édouard ait paru assez bien établie pour pe</w:t>
      </w:r>
      <w:r w:rsidRPr="003C1A6A">
        <w:rPr>
          <w:i/>
          <w:lang w:eastAsia="fr-FR" w:bidi="fr-FR"/>
        </w:rPr>
        <w:t>r</w:t>
      </w:r>
      <w:r w:rsidRPr="003C1A6A">
        <w:rPr>
          <w:i/>
          <w:lang w:eastAsia="fr-FR" w:bidi="fr-FR"/>
        </w:rPr>
        <w:t>mettre qu'on en fît sans trop de peine rejaillir le prestige sur la femme qui avait été sa compagne et qu'on présentait maintenant comme son égale, sinon sa supérieure en vertu. Une pareille idée n'a pu germer dans un cerveau anglais que quelques dizaines d'années plus tard, au bas mot.</w:t>
      </w:r>
    </w:p>
    <w:p w14:paraId="04C87457" w14:textId="77777777" w:rsidR="00B9662D" w:rsidRPr="003B473B" w:rsidRDefault="00B9662D" w:rsidP="00B9662D">
      <w:pPr>
        <w:spacing w:before="120" w:after="120"/>
        <w:jc w:val="both"/>
        <w:rPr>
          <w:i/>
        </w:rPr>
      </w:pPr>
      <w:r w:rsidRPr="003C1A6A">
        <w:rPr>
          <w:i/>
          <w:lang w:eastAsia="fr-FR" w:bidi="fr-FR"/>
        </w:rPr>
        <w:t xml:space="preserve">Ainsi tout nous empêche d'admettre que l'œuvre du Biographe, quoi qu'ait tenté de nous suggérer son auteur, ait été composée entre 1067 et 1077 dans l'entourage de la reine Édith ; elle renferme une </w:t>
      </w:r>
      <w:r w:rsidRPr="003C1A6A">
        <w:rPr>
          <w:i/>
          <w:lang w:eastAsia="fr-FR" w:bidi="fr-FR"/>
        </w:rPr>
        <w:lastRenderedPageBreak/>
        <w:t>fausse prophétie qui n'a pu être imaginée qu'après 1103 ; des erreurs multiples y dénoncent un écrivain mal instruit des faits qu'il relate ; l'esprit général qui l'anime révèle un état du culte de saint Édouard qui nous reporte au plus tôt au début du XI</w:t>
      </w:r>
      <w:r w:rsidRPr="003C1A6A">
        <w:rPr>
          <w:i/>
          <w:vertAlign w:val="superscript"/>
          <w:lang w:eastAsia="fr-FR" w:bidi="fr-FR"/>
        </w:rPr>
        <w:t>e</w:t>
      </w:r>
      <w:r w:rsidRPr="003C1A6A">
        <w:rPr>
          <w:i/>
          <w:iCs/>
        </w:rPr>
        <w:t xml:space="preserve"> </w:t>
      </w:r>
      <w:r w:rsidRPr="003C1A6A">
        <w:rPr>
          <w:i/>
          <w:lang w:eastAsia="fr-FR" w:bidi="fr-FR"/>
        </w:rPr>
        <w:t>siècle. S'il est vrai qu'une œuvre qui se donne pour ce qu'elle n'est point</w:t>
      </w:r>
      <w:r>
        <w:rPr>
          <w:lang w:eastAsia="fr-FR" w:bidi="fr-FR"/>
        </w:rPr>
        <w:t xml:space="preserve"> </w:t>
      </w:r>
      <w:r>
        <w:t xml:space="preserve">[965] </w:t>
      </w:r>
      <w:r w:rsidRPr="00DE5052">
        <w:rPr>
          <w:i/>
          <w:lang w:eastAsia="fr-FR" w:bidi="fr-FR"/>
        </w:rPr>
        <w:t>doive être dite apocryphe, cette épithète s'appliquera justement, s</w:t>
      </w:r>
      <w:r w:rsidRPr="00DE5052">
        <w:rPr>
          <w:i/>
          <w:lang w:eastAsia="fr-FR" w:bidi="fr-FR"/>
        </w:rPr>
        <w:t>e</w:t>
      </w:r>
      <w:r w:rsidRPr="00DE5052">
        <w:rPr>
          <w:i/>
          <w:lang w:eastAsia="fr-FR" w:bidi="fr-FR"/>
        </w:rPr>
        <w:t>lon moi, à la</w:t>
      </w:r>
      <w:r w:rsidRPr="007422C9">
        <w:rPr>
          <w:lang w:eastAsia="fr-FR" w:bidi="fr-FR"/>
        </w:rPr>
        <w:t xml:space="preserve"> </w:t>
      </w:r>
      <w:r w:rsidRPr="00DE5052">
        <w:rPr>
          <w:bCs/>
        </w:rPr>
        <w:t>Vita Aeduuardi regis qui apud Westmonasterium r</w:t>
      </w:r>
      <w:r w:rsidRPr="00DE5052">
        <w:rPr>
          <w:bCs/>
        </w:rPr>
        <w:t>e</w:t>
      </w:r>
      <w:r w:rsidRPr="00DE5052">
        <w:rPr>
          <w:bCs/>
        </w:rPr>
        <w:t>quiescit</w:t>
      </w:r>
      <w:r w:rsidRPr="003B473B">
        <w:rPr>
          <w:bCs/>
          <w:i/>
        </w:rPr>
        <w:t>.</w:t>
      </w:r>
    </w:p>
    <w:p w14:paraId="1923E56E" w14:textId="77777777" w:rsidR="00B9662D" w:rsidRPr="00DE5052" w:rsidRDefault="00B9662D" w:rsidP="00B9662D">
      <w:pPr>
        <w:spacing w:before="120" w:after="120"/>
        <w:jc w:val="both"/>
        <w:rPr>
          <w:i/>
        </w:rPr>
      </w:pPr>
      <w:r w:rsidRPr="00DE5052">
        <w:rPr>
          <w:i/>
          <w:lang w:eastAsia="fr-FR" w:bidi="fr-FR"/>
        </w:rPr>
        <w:t>Mais quand ce texte a-t-il été rédigé ? et dans quelles circonsta</w:t>
      </w:r>
      <w:r w:rsidRPr="00DE5052">
        <w:rPr>
          <w:i/>
          <w:lang w:eastAsia="fr-FR" w:bidi="fr-FR"/>
        </w:rPr>
        <w:t>n</w:t>
      </w:r>
      <w:r w:rsidRPr="00DE5052">
        <w:rPr>
          <w:i/>
          <w:lang w:eastAsia="fr-FR" w:bidi="fr-FR"/>
        </w:rPr>
        <w:t>ces ? Il faut essayer de répondre à ces questions</w:t>
      </w:r>
      <w:r w:rsidRPr="00DE5052">
        <w:rPr>
          <w:b/>
          <w:bCs/>
          <w:i/>
        </w:rPr>
        <w:t xml:space="preserve"> ; </w:t>
      </w:r>
      <w:r w:rsidRPr="00DE5052">
        <w:rPr>
          <w:i/>
          <w:lang w:eastAsia="fr-FR" w:bidi="fr-FR"/>
        </w:rPr>
        <w:t>je vais indiquer la solution à laquelle je suis arrivé ; mais je tiens à ne pas la présenter comme meilleure qu'elle ne me le paraît. Autant que le mot un peu ambitieux de certitude convient aux démonstrations de la critique hi</w:t>
      </w:r>
      <w:r w:rsidRPr="00DE5052">
        <w:rPr>
          <w:i/>
          <w:lang w:eastAsia="fr-FR" w:bidi="fr-FR"/>
        </w:rPr>
        <w:t>s</w:t>
      </w:r>
      <w:r w:rsidRPr="00DE5052">
        <w:rPr>
          <w:i/>
          <w:lang w:eastAsia="fr-FR" w:bidi="fr-FR"/>
        </w:rPr>
        <w:t>torique, je considère comme certain que la</w:t>
      </w:r>
      <w:r w:rsidRPr="007422C9">
        <w:rPr>
          <w:lang w:eastAsia="fr-FR" w:bidi="fr-FR"/>
        </w:rPr>
        <w:t xml:space="preserve"> </w:t>
      </w:r>
      <w:r w:rsidRPr="00DE5052">
        <w:rPr>
          <w:bCs/>
        </w:rPr>
        <w:t>Vita Aeduuardi</w:t>
      </w:r>
      <w:r w:rsidRPr="007422C9">
        <w:rPr>
          <w:b/>
          <w:bCs/>
        </w:rPr>
        <w:t xml:space="preserve"> </w:t>
      </w:r>
      <w:r w:rsidRPr="00DE5052">
        <w:rPr>
          <w:i/>
          <w:lang w:eastAsia="fr-FR" w:bidi="fr-FR"/>
        </w:rPr>
        <w:t>est post</w:t>
      </w:r>
      <w:r w:rsidRPr="00DE5052">
        <w:rPr>
          <w:i/>
          <w:lang w:eastAsia="fr-FR" w:bidi="fr-FR"/>
        </w:rPr>
        <w:t>é</w:t>
      </w:r>
      <w:r w:rsidRPr="00DE5052">
        <w:rPr>
          <w:i/>
          <w:lang w:eastAsia="fr-FR" w:bidi="fr-FR"/>
        </w:rPr>
        <w:t>rieure à 1103 ; je ne propose au contraire la théorie qui va suivre que comme la moins invraisemblable de celle que l'on peut concevoir.</w:t>
      </w:r>
    </w:p>
    <w:p w14:paraId="11256CCE" w14:textId="77777777" w:rsidR="00B9662D" w:rsidRPr="007422C9" w:rsidRDefault="00B9662D" w:rsidP="00B9662D">
      <w:pPr>
        <w:spacing w:before="120" w:after="120"/>
        <w:jc w:val="both"/>
      </w:pPr>
      <w:r w:rsidRPr="00DE5052">
        <w:rPr>
          <w:i/>
          <w:lang w:eastAsia="fr-FR" w:bidi="fr-FR"/>
        </w:rPr>
        <w:t>Examinons tout d'abord le manuscrit unique qui nous a conservé l'œuvre du Biographe. Il ne porte pas de date, mais de l'étude de ses caractères paléographiques, on peut tirer une indication chronolog</w:t>
      </w:r>
      <w:r w:rsidRPr="00DE5052">
        <w:rPr>
          <w:i/>
          <w:lang w:eastAsia="fr-FR" w:bidi="fr-FR"/>
        </w:rPr>
        <w:t>i</w:t>
      </w:r>
      <w:r w:rsidRPr="00DE5052">
        <w:rPr>
          <w:i/>
          <w:lang w:eastAsia="fr-FR" w:bidi="fr-FR"/>
        </w:rPr>
        <w:t xml:space="preserve">que, au moins approximative. Il a dû être exécuté vers la fin du </w:t>
      </w:r>
      <w:r w:rsidRPr="00DE5052">
        <w:rPr>
          <w:rStyle w:val="Corpsdutexte275ptPetitesmajuscules"/>
          <w:b w:val="0"/>
          <w:i w:val="0"/>
          <w:sz w:val="28"/>
          <w:lang w:val="fr-CA"/>
        </w:rPr>
        <w:t>xii</w:t>
      </w:r>
      <w:r w:rsidRPr="00DE5052">
        <w:rPr>
          <w:rStyle w:val="Corpsdutexte275ptPetitesmajuscules"/>
          <w:b w:val="0"/>
          <w:i w:val="0"/>
          <w:smallCaps w:val="0"/>
          <w:sz w:val="28"/>
          <w:vertAlign w:val="superscript"/>
          <w:lang w:val="fr-CA"/>
        </w:rPr>
        <w:t>e</w:t>
      </w:r>
      <w:r w:rsidRPr="00DE5052">
        <w:rPr>
          <w:rStyle w:val="Corpsdutexte275ptPetitesmajuscules"/>
          <w:b w:val="0"/>
          <w:i w:val="0"/>
          <w:sz w:val="28"/>
          <w:lang w:val="fr-CA"/>
        </w:rPr>
        <w:t xml:space="preserve"> </w:t>
      </w:r>
      <w:r w:rsidRPr="00DE5052">
        <w:rPr>
          <w:i/>
          <w:lang w:eastAsia="fr-FR" w:bidi="fr-FR"/>
        </w:rPr>
        <w:t>siècle, disons, pour fixer les idées, avant 1200. C'est donc entre 1103 d'une part</w:t>
      </w:r>
      <w:r w:rsidRPr="00DE5052">
        <w:rPr>
          <w:b/>
          <w:bCs/>
          <w:i/>
        </w:rPr>
        <w:t> — </w:t>
      </w:r>
      <w:r w:rsidRPr="00DE5052">
        <w:rPr>
          <w:i/>
          <w:lang w:eastAsia="fr-FR" w:bidi="fr-FR"/>
        </w:rPr>
        <w:t>naissance du prince Guillaume, à quoi fait allusion la célèbre prophétie</w:t>
      </w:r>
      <w:r w:rsidRPr="00DE5052">
        <w:rPr>
          <w:b/>
          <w:bCs/>
          <w:i/>
        </w:rPr>
        <w:t> — </w:t>
      </w:r>
      <w:r w:rsidRPr="00DE5052">
        <w:rPr>
          <w:i/>
          <w:lang w:eastAsia="fr-FR" w:bidi="fr-FR"/>
        </w:rPr>
        <w:t>et 1200 environ de l'autre que se placera la composition de la</w:t>
      </w:r>
      <w:r w:rsidRPr="007422C9">
        <w:rPr>
          <w:b/>
          <w:bCs/>
        </w:rPr>
        <w:t xml:space="preserve"> </w:t>
      </w:r>
      <w:r w:rsidRPr="00DE5052">
        <w:rPr>
          <w:bCs/>
        </w:rPr>
        <w:t>Vita Aeduuardi</w:t>
      </w:r>
      <w:r w:rsidRPr="003B473B">
        <w:rPr>
          <w:bCs/>
          <w:i/>
        </w:rPr>
        <w:t>.</w:t>
      </w:r>
      <w:r w:rsidRPr="007422C9">
        <w:rPr>
          <w:b/>
          <w:bCs/>
        </w:rPr>
        <w:t xml:space="preserve"> </w:t>
      </w:r>
      <w:r w:rsidRPr="00DE5052">
        <w:rPr>
          <w:i/>
          <w:lang w:eastAsia="fr-FR" w:bidi="fr-FR"/>
        </w:rPr>
        <w:t>Voilà un premier résultat, modeste mais sûr. Cherchons maintenant à serrer la question de plus près.</w:t>
      </w:r>
    </w:p>
    <w:p w14:paraId="63CBC505" w14:textId="77777777" w:rsidR="00B9662D" w:rsidRPr="00DE5052" w:rsidRDefault="00B9662D" w:rsidP="00B9662D">
      <w:pPr>
        <w:spacing w:before="120" w:after="120"/>
        <w:jc w:val="both"/>
        <w:rPr>
          <w:i/>
        </w:rPr>
      </w:pPr>
      <w:r w:rsidRPr="00DE5052">
        <w:rPr>
          <w:i/>
          <w:lang w:eastAsia="fr-FR" w:bidi="fr-FR"/>
        </w:rPr>
        <w:t>Dans la première moitié du XII</w:t>
      </w:r>
      <w:r w:rsidRPr="00DE5052">
        <w:rPr>
          <w:i/>
          <w:vertAlign w:val="superscript"/>
          <w:lang w:eastAsia="fr-FR" w:bidi="fr-FR"/>
        </w:rPr>
        <w:t>e</w:t>
      </w:r>
      <w:r w:rsidRPr="00DE5052">
        <w:rPr>
          <w:i/>
          <w:lang w:eastAsia="fr-FR" w:bidi="fr-FR"/>
        </w:rPr>
        <w:t xml:space="preserve"> siècle, deux historiens, outre le Biographe, ont raconté la vie de saint Édouard : Guillaume de Ma</w:t>
      </w:r>
      <w:r w:rsidRPr="00DE5052">
        <w:rPr>
          <w:i/>
          <w:lang w:eastAsia="fr-FR" w:bidi="fr-FR"/>
        </w:rPr>
        <w:t>l</w:t>
      </w:r>
      <w:r w:rsidRPr="00DE5052">
        <w:rPr>
          <w:i/>
          <w:lang w:eastAsia="fr-FR" w:bidi="fr-FR"/>
        </w:rPr>
        <w:t>mesbury, Osbert de Clare. Peut-on relever dans leurs écrits les traces d'une influence exercée sur eux par le Biographe ou, inversement, chez le Biographe la marque d'emprunts faits à Guillaume ou à O</w:t>
      </w:r>
      <w:r w:rsidRPr="00DE5052">
        <w:rPr>
          <w:i/>
          <w:lang w:eastAsia="fr-FR" w:bidi="fr-FR"/>
        </w:rPr>
        <w:t>s</w:t>
      </w:r>
      <w:r w:rsidRPr="00DE5052">
        <w:rPr>
          <w:i/>
          <w:lang w:eastAsia="fr-FR" w:bidi="fr-FR"/>
        </w:rPr>
        <w:t>bert ?</w:t>
      </w:r>
    </w:p>
    <w:p w14:paraId="1B5234C6" w14:textId="77777777" w:rsidR="00B9662D" w:rsidRPr="00DE5052" w:rsidRDefault="00B9662D" w:rsidP="00B9662D">
      <w:pPr>
        <w:spacing w:before="120" w:after="120"/>
        <w:jc w:val="both"/>
        <w:rPr>
          <w:i/>
        </w:rPr>
      </w:pPr>
      <w:r w:rsidRPr="00DE5052">
        <w:rPr>
          <w:i/>
          <w:lang w:eastAsia="fr-FR" w:bidi="fr-FR"/>
        </w:rPr>
        <w:t>Dans les</w:t>
      </w:r>
      <w:r w:rsidRPr="007422C9">
        <w:rPr>
          <w:b/>
          <w:bCs/>
        </w:rPr>
        <w:t xml:space="preserve"> </w:t>
      </w:r>
      <w:r w:rsidRPr="00DE5052">
        <w:rPr>
          <w:bCs/>
        </w:rPr>
        <w:t>Gesta Regum</w:t>
      </w:r>
      <w:r w:rsidRPr="007422C9">
        <w:rPr>
          <w:b/>
          <w:bCs/>
        </w:rPr>
        <w:t xml:space="preserve"> </w:t>
      </w:r>
      <w:r w:rsidRPr="00DE5052">
        <w:rPr>
          <w:i/>
          <w:lang w:eastAsia="fr-FR" w:bidi="fr-FR"/>
        </w:rPr>
        <w:t>de Guillaume de Malmesbury, les passages consacrés aux miracles et prophéties du Confesseur font l'effet en quelque sorte d'un corps étranger. Ils renferment en particulier, au sujet de la chronologie des empereurs byzantins, des erreurs et omi</w:t>
      </w:r>
      <w:r w:rsidRPr="00DE5052">
        <w:rPr>
          <w:i/>
          <w:lang w:eastAsia="fr-FR" w:bidi="fr-FR"/>
        </w:rPr>
        <w:t>s</w:t>
      </w:r>
      <w:r w:rsidRPr="00DE5052">
        <w:rPr>
          <w:i/>
          <w:lang w:eastAsia="fr-FR" w:bidi="fr-FR"/>
        </w:rPr>
        <w:t>sions énormes qui jurent avec la liste, fort exacte, de ces</w:t>
      </w:r>
      <w:r w:rsidRPr="007422C9">
        <w:rPr>
          <w:lang w:eastAsia="fr-FR" w:bidi="fr-FR"/>
        </w:rPr>
        <w:t xml:space="preserve"> </w:t>
      </w:r>
      <w:r w:rsidRPr="00DE5052">
        <w:rPr>
          <w:i/>
          <w:lang w:eastAsia="fr-FR" w:bidi="fr-FR"/>
        </w:rPr>
        <w:t xml:space="preserve">souverains, </w:t>
      </w:r>
      <w:r w:rsidRPr="00DE5052">
        <w:rPr>
          <w:i/>
          <w:lang w:eastAsia="fr-FR" w:bidi="fr-FR"/>
        </w:rPr>
        <w:lastRenderedPageBreak/>
        <w:t>que l'on rencontre dans une autre partie de l'ouvrage </w:t>
      </w:r>
      <w:r>
        <w:rPr>
          <w:rStyle w:val="Appelnotedebasdep"/>
        </w:rPr>
        <w:footnoteReference w:id="1127"/>
      </w:r>
      <w:r w:rsidRPr="003B473B">
        <w:rPr>
          <w:bCs/>
        </w:rPr>
        <w:t> :</w:t>
      </w:r>
      <w:r w:rsidRPr="007422C9">
        <w:rPr>
          <w:b/>
          <w:bCs/>
        </w:rPr>
        <w:t xml:space="preserve"> </w:t>
      </w:r>
      <w:r w:rsidRPr="00DE5052">
        <w:rPr>
          <w:i/>
          <w:lang w:eastAsia="fr-FR" w:bidi="fr-FR"/>
        </w:rPr>
        <w:t>tout indique qu'arrivé à ce point de son travail Guillaume se borna purement et simplement à reproduire un texte antérieur, qu'il avait sous les yeux, sans se préoccuper de le mettre en harmonie avec ses propres connaissances. D'autre part ses récits présentent avec les développ</w:t>
      </w:r>
      <w:r w:rsidRPr="00DE5052">
        <w:rPr>
          <w:i/>
          <w:lang w:eastAsia="fr-FR" w:bidi="fr-FR"/>
        </w:rPr>
        <w:t>e</w:t>
      </w:r>
      <w:r w:rsidRPr="00DE5052">
        <w:rPr>
          <w:i/>
          <w:lang w:eastAsia="fr-FR" w:bidi="fr-FR"/>
        </w:rPr>
        <w:t>ments du</w:t>
      </w:r>
      <w:r>
        <w:rPr>
          <w:lang w:eastAsia="fr-FR" w:bidi="fr-FR"/>
        </w:rPr>
        <w:t xml:space="preserve"> </w:t>
      </w:r>
      <w:r>
        <w:t xml:space="preserve">[966] </w:t>
      </w:r>
      <w:r w:rsidRPr="00DE5052">
        <w:rPr>
          <w:i/>
          <w:lang w:eastAsia="fr-FR" w:bidi="fr-FR"/>
        </w:rPr>
        <w:t>Biographe sur le même sujet des ressemblances fra</w:t>
      </w:r>
      <w:r w:rsidRPr="00DE5052">
        <w:rPr>
          <w:i/>
          <w:lang w:eastAsia="fr-FR" w:bidi="fr-FR"/>
        </w:rPr>
        <w:t>p</w:t>
      </w:r>
      <w:r w:rsidRPr="00DE5052">
        <w:rPr>
          <w:i/>
          <w:lang w:eastAsia="fr-FR" w:bidi="fr-FR"/>
        </w:rPr>
        <w:t>pantes, allant parfois jusqu'à une absolue identité de termes. Il faut donc ou que Guillaume ait copié le Biographe, ou le Biographe Gui</w:t>
      </w:r>
      <w:r w:rsidRPr="00DE5052">
        <w:rPr>
          <w:i/>
          <w:lang w:eastAsia="fr-FR" w:bidi="fr-FR"/>
        </w:rPr>
        <w:t>l</w:t>
      </w:r>
      <w:r w:rsidRPr="00DE5052">
        <w:rPr>
          <w:i/>
          <w:lang w:eastAsia="fr-FR" w:bidi="fr-FR"/>
        </w:rPr>
        <w:t>laume, ou bien qu'ils aient puisé tous les deux à une source commune. Cette dernière hypothèse me paraît la seule vraisemblable. En effet les analogies entre les deux œuvres se limitent strictement aux témo</w:t>
      </w:r>
      <w:r w:rsidRPr="00DE5052">
        <w:rPr>
          <w:i/>
          <w:lang w:eastAsia="fr-FR" w:bidi="fr-FR"/>
        </w:rPr>
        <w:t>i</w:t>
      </w:r>
      <w:r w:rsidRPr="00DE5052">
        <w:rPr>
          <w:i/>
          <w:lang w:eastAsia="fr-FR" w:bidi="fr-FR"/>
        </w:rPr>
        <w:t>gnages de la ve</w:t>
      </w:r>
      <w:r w:rsidRPr="00DE5052">
        <w:rPr>
          <w:i/>
          <w:lang w:eastAsia="fr-FR" w:bidi="fr-FR"/>
        </w:rPr>
        <w:t>r</w:t>
      </w:r>
      <w:r w:rsidRPr="00DE5052">
        <w:rPr>
          <w:i/>
          <w:lang w:eastAsia="fr-FR" w:bidi="fr-FR"/>
        </w:rPr>
        <w:t xml:space="preserve">tu surnaturelle du saint. Si Guillaume, comme on l'a cru d'ordinaire, s'était inspiré du Biographe, pourquoi eût-il retenu de son modèle uniquement les traits relatifs à la vie miraculeuse de saint Édouard, laissant de côté tant de détails </w:t>
      </w:r>
      <w:r w:rsidRPr="00DE5052">
        <w:rPr>
          <w:i/>
          <w:lang w:eastAsia="fr-FR" w:bidi="fr-FR"/>
        </w:rPr>
        <w:lastRenderedPageBreak/>
        <w:t>pittoresques touchant l'ho</w:t>
      </w:r>
      <w:r w:rsidRPr="00DE5052">
        <w:rPr>
          <w:i/>
          <w:lang w:eastAsia="fr-FR" w:bidi="fr-FR"/>
        </w:rPr>
        <w:t>m</w:t>
      </w:r>
      <w:r w:rsidRPr="00DE5052">
        <w:rPr>
          <w:i/>
          <w:lang w:eastAsia="fr-FR" w:bidi="fr-FR"/>
        </w:rPr>
        <w:t>me et le roi, notamment ce portrait </w:t>
      </w:r>
      <w:r>
        <w:rPr>
          <w:rStyle w:val="Appelnotedebasdep"/>
        </w:rPr>
        <w:footnoteReference w:id="1128"/>
      </w:r>
      <w:r w:rsidRPr="007422C9">
        <w:rPr>
          <w:lang w:eastAsia="fr-FR" w:bidi="fr-FR"/>
        </w:rPr>
        <w:t xml:space="preserve">, </w:t>
      </w:r>
      <w:r w:rsidRPr="00DE5052">
        <w:rPr>
          <w:i/>
          <w:lang w:eastAsia="fr-FR" w:bidi="fr-FR"/>
        </w:rPr>
        <w:t>un des meilleurs morceaux de la</w:t>
      </w:r>
      <w:r w:rsidRPr="007422C9">
        <w:rPr>
          <w:b/>
          <w:bCs/>
        </w:rPr>
        <w:t xml:space="preserve"> </w:t>
      </w:r>
      <w:r w:rsidRPr="00DE5052">
        <w:rPr>
          <w:bCs/>
        </w:rPr>
        <w:t>Vita A</w:t>
      </w:r>
      <w:r w:rsidRPr="00DE5052">
        <w:rPr>
          <w:bCs/>
        </w:rPr>
        <w:t>e</w:t>
      </w:r>
      <w:r w:rsidRPr="00DE5052">
        <w:rPr>
          <w:bCs/>
        </w:rPr>
        <w:t>duuardi</w:t>
      </w:r>
      <w:r w:rsidRPr="00B24A33">
        <w:rPr>
          <w:bCs/>
          <w:i/>
        </w:rPr>
        <w:t>,</w:t>
      </w:r>
      <w:r w:rsidRPr="007422C9">
        <w:rPr>
          <w:b/>
          <w:bCs/>
        </w:rPr>
        <w:t xml:space="preserve"> </w:t>
      </w:r>
      <w:r w:rsidRPr="00DE5052">
        <w:rPr>
          <w:i/>
          <w:lang w:eastAsia="fr-FR" w:bidi="fr-FR"/>
        </w:rPr>
        <w:t>qui appelait pour ainsi dire l'imitation ? De même rien chez le Biographe ne révèle la lecture des</w:t>
      </w:r>
      <w:r w:rsidRPr="007422C9">
        <w:rPr>
          <w:b/>
          <w:bCs/>
        </w:rPr>
        <w:t xml:space="preserve"> </w:t>
      </w:r>
      <w:r w:rsidRPr="00DE5052">
        <w:rPr>
          <w:bCs/>
        </w:rPr>
        <w:t>Gesta Regum</w:t>
      </w:r>
      <w:r w:rsidRPr="007422C9">
        <w:rPr>
          <w:b/>
          <w:bCs/>
        </w:rPr>
        <w:t xml:space="preserve"> </w:t>
      </w:r>
      <w:r w:rsidRPr="00DE5052">
        <w:rPr>
          <w:i/>
          <w:lang w:eastAsia="fr-FR" w:bidi="fr-FR"/>
        </w:rPr>
        <w:t>dans leur ense</w:t>
      </w:r>
      <w:r w:rsidRPr="00DE5052">
        <w:rPr>
          <w:i/>
          <w:lang w:eastAsia="fr-FR" w:bidi="fr-FR"/>
        </w:rPr>
        <w:t>m</w:t>
      </w:r>
      <w:r w:rsidRPr="00DE5052">
        <w:rPr>
          <w:i/>
          <w:lang w:eastAsia="fr-FR" w:bidi="fr-FR"/>
        </w:rPr>
        <w:t>ble. On doit supposer que les deux auteurs, chacun de son côté, i</w:t>
      </w:r>
      <w:r w:rsidRPr="00DE5052">
        <w:rPr>
          <w:i/>
          <w:lang w:eastAsia="fr-FR" w:bidi="fr-FR"/>
        </w:rPr>
        <w:t>n</w:t>
      </w:r>
      <w:r w:rsidRPr="00DE5052">
        <w:rPr>
          <w:i/>
          <w:lang w:eastAsia="fr-FR" w:bidi="fr-FR"/>
        </w:rPr>
        <w:t>corporèrent à leur narration un écrit, aujourd'hui perdu, un recueil de miracles et de visions, composé sans doute à Westminster peut-être ces</w:t>
      </w:r>
      <w:r w:rsidRPr="00DE5052">
        <w:rPr>
          <w:b/>
          <w:bCs/>
          <w:i/>
        </w:rPr>
        <w:t xml:space="preserve"> « </w:t>
      </w:r>
      <w:r w:rsidRPr="00DE5052">
        <w:rPr>
          <w:i/>
          <w:lang w:eastAsia="fr-FR" w:bidi="fr-FR"/>
        </w:rPr>
        <w:t>cédules</w:t>
      </w:r>
      <w:r w:rsidRPr="00DE5052">
        <w:rPr>
          <w:b/>
          <w:bCs/>
          <w:i/>
        </w:rPr>
        <w:t xml:space="preserve"> » </w:t>
      </w:r>
      <w:r w:rsidRPr="00DE5052">
        <w:rPr>
          <w:i/>
          <w:lang w:eastAsia="fr-FR" w:bidi="fr-FR"/>
        </w:rPr>
        <w:t>dont parle Osbert de Clare. Rien d'étonnant à ce que ce petit traité ait disparu par la suite, absorbé dans la littérature h</w:t>
      </w:r>
      <w:r w:rsidRPr="00DE5052">
        <w:rPr>
          <w:i/>
          <w:lang w:eastAsia="fr-FR" w:bidi="fr-FR"/>
        </w:rPr>
        <w:t>a</w:t>
      </w:r>
      <w:r w:rsidRPr="00DE5052">
        <w:rPr>
          <w:i/>
          <w:lang w:eastAsia="fr-FR" w:bidi="fr-FR"/>
        </w:rPr>
        <w:t>giographique dont il avait été le germe originel et le premier noyau.</w:t>
      </w:r>
    </w:p>
    <w:p w14:paraId="3BBF4F3F" w14:textId="77777777" w:rsidR="00B9662D" w:rsidRPr="007007D0" w:rsidRDefault="00B9662D" w:rsidP="00B9662D">
      <w:pPr>
        <w:spacing w:before="120" w:after="120"/>
        <w:jc w:val="both"/>
        <w:rPr>
          <w:i/>
        </w:rPr>
      </w:pPr>
      <w:r w:rsidRPr="00DE5052">
        <w:rPr>
          <w:i/>
          <w:lang w:eastAsia="fr-FR" w:bidi="fr-FR"/>
        </w:rPr>
        <w:t>Ainsi il n'y a aucune raison de penser que Guillaume de Malme</w:t>
      </w:r>
      <w:r w:rsidRPr="00DE5052">
        <w:rPr>
          <w:i/>
          <w:lang w:eastAsia="fr-FR" w:bidi="fr-FR"/>
        </w:rPr>
        <w:t>s</w:t>
      </w:r>
      <w:r w:rsidRPr="00DE5052">
        <w:rPr>
          <w:i/>
          <w:lang w:eastAsia="fr-FR" w:bidi="fr-FR"/>
        </w:rPr>
        <w:t>bury ait jamais lu le Biographe, ou le Biographe Guillaume. Entre le Biographe et Osbert de Clare au contraire les rapports sont beaucoup plus étroits. Un peu partout dans les deux ouvrages, les ressembla</w:t>
      </w:r>
      <w:r w:rsidRPr="00DE5052">
        <w:rPr>
          <w:i/>
          <w:lang w:eastAsia="fr-FR" w:bidi="fr-FR"/>
        </w:rPr>
        <w:t>n</w:t>
      </w:r>
      <w:r w:rsidRPr="00DE5052">
        <w:rPr>
          <w:i/>
          <w:lang w:eastAsia="fr-FR" w:bidi="fr-FR"/>
        </w:rPr>
        <w:t>ces verbales sont assez nombreuses </w:t>
      </w:r>
      <w:r>
        <w:rPr>
          <w:rStyle w:val="Appelnotedebasdep"/>
        </w:rPr>
        <w:footnoteReference w:id="1129"/>
      </w:r>
      <w:r w:rsidRPr="00B24A33">
        <w:rPr>
          <w:bCs/>
        </w:rPr>
        <w:t> ;</w:t>
      </w:r>
      <w:r w:rsidRPr="007422C9">
        <w:rPr>
          <w:b/>
          <w:bCs/>
        </w:rPr>
        <w:t xml:space="preserve"> </w:t>
      </w:r>
      <w:r w:rsidRPr="00DE5052">
        <w:rPr>
          <w:i/>
          <w:lang w:eastAsia="fr-FR" w:bidi="fr-FR"/>
        </w:rPr>
        <w:t>le portrait de saint Édouard, en particulier se retrouve des deux parts pareil presque en tous points </w:t>
      </w:r>
      <w:r>
        <w:rPr>
          <w:rStyle w:val="Appelnotedebasdep"/>
        </w:rPr>
        <w:footnoteReference w:id="1130"/>
      </w:r>
      <w:r w:rsidRPr="00B24A33">
        <w:rPr>
          <w:bCs/>
        </w:rPr>
        <w:t>.</w:t>
      </w:r>
      <w:r w:rsidRPr="007422C9">
        <w:rPr>
          <w:b/>
          <w:bCs/>
        </w:rPr>
        <w:t xml:space="preserve"> </w:t>
      </w:r>
      <w:r w:rsidRPr="00DE5052">
        <w:rPr>
          <w:i/>
          <w:lang w:eastAsia="fr-FR" w:bidi="fr-FR"/>
        </w:rPr>
        <w:t>On ne peut guère douter que l'un des deux hagiographes n'ait copié l'autre. Mais lequel fut l'imitateur et lequel l'origi</w:t>
      </w:r>
      <w:r w:rsidRPr="00DE5052">
        <w:rPr>
          <w:i/>
          <w:lang w:eastAsia="fr-FR" w:bidi="fr-FR"/>
        </w:rPr>
        <w:lastRenderedPageBreak/>
        <w:t>nal ? Question inf</w:t>
      </w:r>
      <w:r w:rsidRPr="00DE5052">
        <w:rPr>
          <w:i/>
          <w:lang w:eastAsia="fr-FR" w:bidi="fr-FR"/>
        </w:rPr>
        <w:t>i</w:t>
      </w:r>
      <w:r w:rsidRPr="00DE5052">
        <w:rPr>
          <w:i/>
          <w:lang w:eastAsia="fr-FR" w:bidi="fr-FR"/>
        </w:rPr>
        <w:t>niment délicate. Il semble bien que la tradition apparaisse chez O</w:t>
      </w:r>
      <w:r w:rsidRPr="00DE5052">
        <w:rPr>
          <w:i/>
          <w:lang w:eastAsia="fr-FR" w:bidi="fr-FR"/>
        </w:rPr>
        <w:t>s</w:t>
      </w:r>
      <w:r w:rsidRPr="00DE5052">
        <w:rPr>
          <w:i/>
          <w:lang w:eastAsia="fr-FR" w:bidi="fr-FR"/>
        </w:rPr>
        <w:t>bert sous une forme plus développée, plus épanouie : deux des plus célèbres visions de saint Édouard</w:t>
      </w:r>
      <w:r w:rsidRPr="00DE5052">
        <w:rPr>
          <w:b/>
          <w:bCs/>
          <w:i/>
        </w:rPr>
        <w:t> — </w:t>
      </w:r>
      <w:r w:rsidRPr="00DE5052">
        <w:rPr>
          <w:i/>
          <w:lang w:eastAsia="fr-FR" w:bidi="fr-FR"/>
        </w:rPr>
        <w:t>révélation de la mort du roi de Danemark, apparition de Jésus dans l'hostie</w:t>
      </w:r>
      <w:r w:rsidRPr="00DE5052">
        <w:rPr>
          <w:b/>
          <w:bCs/>
          <w:i/>
        </w:rPr>
        <w:t> — </w:t>
      </w:r>
      <w:r w:rsidRPr="00DE5052">
        <w:rPr>
          <w:i/>
          <w:lang w:eastAsia="fr-FR" w:bidi="fr-FR"/>
        </w:rPr>
        <w:t>qui se rencontrent chez lui manquent chez le Biographe</w:t>
      </w:r>
      <w:r>
        <w:rPr>
          <w:lang w:eastAsia="fr-FR" w:bidi="fr-FR"/>
        </w:rPr>
        <w:t> </w:t>
      </w:r>
      <w:r>
        <w:rPr>
          <w:rStyle w:val="Appelnotedebasdep"/>
        </w:rPr>
        <w:footnoteReference w:id="1131"/>
      </w:r>
      <w:r w:rsidRPr="00B24A33">
        <w:rPr>
          <w:bCs/>
        </w:rPr>
        <w:t>.</w:t>
      </w:r>
      <w:r w:rsidRPr="007422C9">
        <w:rPr>
          <w:b/>
          <w:bCs/>
        </w:rPr>
        <w:t xml:space="preserve"> </w:t>
      </w:r>
      <w:r w:rsidRPr="00DE5052">
        <w:rPr>
          <w:i/>
          <w:lang w:eastAsia="fr-FR" w:bidi="fr-FR"/>
        </w:rPr>
        <w:t>On sera naturellement tenté de croire</w:t>
      </w:r>
      <w:r>
        <w:rPr>
          <w:lang w:eastAsia="fr-FR" w:bidi="fr-FR"/>
        </w:rPr>
        <w:t xml:space="preserve"> </w:t>
      </w:r>
      <w:r>
        <w:t xml:space="preserve">[967] </w:t>
      </w:r>
      <w:r w:rsidRPr="007007D0">
        <w:rPr>
          <w:i/>
          <w:lang w:eastAsia="fr-FR" w:bidi="fr-FR"/>
        </w:rPr>
        <w:t>à l’antériorité de l’œuvre la plus maigre ; si le Biographe avait connu ces deux miracles, pourquoi les eût-il passés sous sile</w:t>
      </w:r>
      <w:r w:rsidRPr="007007D0">
        <w:rPr>
          <w:i/>
          <w:lang w:eastAsia="fr-FR" w:bidi="fr-FR"/>
        </w:rPr>
        <w:t>n</w:t>
      </w:r>
      <w:r w:rsidRPr="007007D0">
        <w:rPr>
          <w:i/>
          <w:lang w:eastAsia="fr-FR" w:bidi="fr-FR"/>
        </w:rPr>
        <w:t>ce ? C'est dans ce sens-là aussi que porte à conclure l’étude du style des deux auteurs. Des modes d'expression si particuliers d’Osbert, de son emphase rien ne se retrouve chez le Biographe ; on a souvent le se</w:t>
      </w:r>
      <w:r w:rsidRPr="007007D0">
        <w:rPr>
          <w:i/>
          <w:lang w:eastAsia="fr-FR" w:bidi="fr-FR"/>
        </w:rPr>
        <w:t>n</w:t>
      </w:r>
      <w:r w:rsidRPr="007007D0">
        <w:rPr>
          <w:i/>
          <w:lang w:eastAsia="fr-FR" w:bidi="fr-FR"/>
        </w:rPr>
        <w:t>timent qu’Osbert amplifie le Biographe, jamais le sentiment contraire. Enfin Osbert, parlant de la reine Edith, indique qu'elle fut célébrée en vers et en prose </w:t>
      </w:r>
      <w:r>
        <w:rPr>
          <w:rStyle w:val="Appelnotedebasdep"/>
        </w:rPr>
        <w:footnoteReference w:id="1132"/>
      </w:r>
      <w:r w:rsidRPr="007422C9">
        <w:rPr>
          <w:lang w:eastAsia="fr-FR" w:bidi="fr-FR"/>
        </w:rPr>
        <w:t xml:space="preserve"> ; </w:t>
      </w:r>
      <w:r w:rsidRPr="007007D0">
        <w:rPr>
          <w:i/>
          <w:lang w:eastAsia="fr-FR" w:bidi="fr-FR"/>
        </w:rPr>
        <w:t>comment ne pas songer à voir là une allusion à la</w:t>
      </w:r>
      <w:r w:rsidRPr="007422C9">
        <w:rPr>
          <w:b/>
          <w:bCs/>
        </w:rPr>
        <w:t xml:space="preserve"> </w:t>
      </w:r>
      <w:r w:rsidRPr="007007D0">
        <w:rPr>
          <w:bCs/>
        </w:rPr>
        <w:t>Vita Aeduuardi</w:t>
      </w:r>
      <w:r w:rsidRPr="00B24A33">
        <w:rPr>
          <w:bCs/>
          <w:i/>
        </w:rPr>
        <w:t>,</w:t>
      </w:r>
      <w:r w:rsidRPr="007422C9">
        <w:rPr>
          <w:b/>
          <w:bCs/>
        </w:rPr>
        <w:t xml:space="preserve"> </w:t>
      </w:r>
      <w:r w:rsidRPr="007007D0">
        <w:rPr>
          <w:i/>
          <w:lang w:eastAsia="fr-FR" w:bidi="fr-FR"/>
        </w:rPr>
        <w:t>œuvre mêlée de poésie et de prose, où la reine tient tant de place ? Le Biographe aurait donc été le modèle ; Osbert dér</w:t>
      </w:r>
      <w:r w:rsidRPr="007007D0">
        <w:rPr>
          <w:i/>
          <w:lang w:eastAsia="fr-FR" w:bidi="fr-FR"/>
        </w:rPr>
        <w:t>i</w:t>
      </w:r>
      <w:r w:rsidRPr="007007D0">
        <w:rPr>
          <w:i/>
          <w:lang w:eastAsia="fr-FR" w:bidi="fr-FR"/>
        </w:rPr>
        <w:t>verait de lui. Ces considérations ont leur prix ; mais elles sont un peu fragiles. Nous ne saurions guère avoir, pour l'instant, qu'une impre</w:t>
      </w:r>
      <w:r w:rsidRPr="007007D0">
        <w:rPr>
          <w:i/>
          <w:lang w:eastAsia="fr-FR" w:bidi="fr-FR"/>
        </w:rPr>
        <w:t>s</w:t>
      </w:r>
      <w:r w:rsidRPr="007007D0">
        <w:rPr>
          <w:i/>
          <w:lang w:eastAsia="fr-FR" w:bidi="fr-FR"/>
        </w:rPr>
        <w:t>sion ; elle ne se transformera en quelque chose de plus certain que le jour où nous serons parvenu à établir, par des données de fait, la date approximative du Biographe. Mais c'est précisément cette date que nous cherchons ; comment la fixer ?</w:t>
      </w:r>
    </w:p>
    <w:p w14:paraId="354FEA05" w14:textId="77777777" w:rsidR="00B9662D" w:rsidRPr="007007D0" w:rsidRDefault="00B9662D" w:rsidP="00B9662D">
      <w:pPr>
        <w:spacing w:before="120" w:after="120"/>
        <w:jc w:val="both"/>
        <w:rPr>
          <w:i/>
        </w:rPr>
      </w:pPr>
      <w:r w:rsidRPr="007007D0">
        <w:rPr>
          <w:i/>
          <w:lang w:eastAsia="fr-FR" w:bidi="fr-FR"/>
        </w:rPr>
        <w:t>On peut y parvenir, je crois, en s'appuyant sur un passage qui a déjà plus haut retenu notre attention : la prophétie d'Édouard mo</w:t>
      </w:r>
      <w:r w:rsidRPr="007007D0">
        <w:rPr>
          <w:i/>
          <w:lang w:eastAsia="fr-FR" w:bidi="fr-FR"/>
        </w:rPr>
        <w:t>u</w:t>
      </w:r>
      <w:r w:rsidRPr="007007D0">
        <w:rPr>
          <w:i/>
          <w:lang w:eastAsia="fr-FR" w:bidi="fr-FR"/>
        </w:rPr>
        <w:t>rant.</w:t>
      </w:r>
    </w:p>
    <w:p w14:paraId="55D19C41" w14:textId="77777777" w:rsidR="00B9662D" w:rsidRPr="007007D0" w:rsidRDefault="00B9662D" w:rsidP="00B9662D">
      <w:pPr>
        <w:spacing w:before="120" w:after="120"/>
        <w:jc w:val="both"/>
        <w:rPr>
          <w:i/>
        </w:rPr>
      </w:pPr>
      <w:r>
        <w:rPr>
          <w:i/>
          <w:lang w:eastAsia="fr-FR" w:bidi="fr-FR"/>
        </w:rPr>
        <w:br w:type="page"/>
      </w:r>
      <w:r w:rsidRPr="007007D0">
        <w:rPr>
          <w:i/>
          <w:lang w:eastAsia="fr-FR" w:bidi="fr-FR"/>
        </w:rPr>
        <w:lastRenderedPageBreak/>
        <w:t>Laissant de côté pour l'instant le texte même du Biographe, che</w:t>
      </w:r>
      <w:r w:rsidRPr="007007D0">
        <w:rPr>
          <w:i/>
          <w:lang w:eastAsia="fr-FR" w:bidi="fr-FR"/>
        </w:rPr>
        <w:t>r</w:t>
      </w:r>
      <w:r w:rsidRPr="007007D0">
        <w:rPr>
          <w:i/>
          <w:lang w:eastAsia="fr-FR" w:bidi="fr-FR"/>
        </w:rPr>
        <w:t>chons à suivre dans l'hagiographie du XII</w:t>
      </w:r>
      <w:r w:rsidRPr="007007D0">
        <w:rPr>
          <w:b/>
          <w:bCs/>
          <w:i/>
          <w:vertAlign w:val="superscript"/>
        </w:rPr>
        <w:t>e</w:t>
      </w:r>
      <w:r w:rsidRPr="007007D0">
        <w:rPr>
          <w:b/>
          <w:bCs/>
          <w:i/>
        </w:rPr>
        <w:t xml:space="preserve"> </w:t>
      </w:r>
      <w:r w:rsidRPr="007007D0">
        <w:rPr>
          <w:i/>
          <w:lang w:eastAsia="fr-FR" w:bidi="fr-FR"/>
        </w:rPr>
        <w:t>siècle les formes diverses prises par cette vision fameuse et ses gloses : dans l'histoire de ce m</w:t>
      </w:r>
      <w:r w:rsidRPr="007007D0">
        <w:rPr>
          <w:i/>
          <w:lang w:eastAsia="fr-FR" w:bidi="fr-FR"/>
        </w:rPr>
        <w:t>o</w:t>
      </w:r>
      <w:r w:rsidRPr="007007D0">
        <w:rPr>
          <w:i/>
          <w:lang w:eastAsia="fr-FR" w:bidi="fr-FR"/>
        </w:rPr>
        <w:t>tif littéraire, nous verrons se refléter en raccourci les vicissitudes p</w:t>
      </w:r>
      <w:r w:rsidRPr="007007D0">
        <w:rPr>
          <w:i/>
          <w:lang w:eastAsia="fr-FR" w:bidi="fr-FR"/>
        </w:rPr>
        <w:t>o</w:t>
      </w:r>
      <w:r w:rsidRPr="007007D0">
        <w:rPr>
          <w:i/>
          <w:lang w:eastAsia="fr-FR" w:bidi="fr-FR"/>
        </w:rPr>
        <w:t>litiques traversées par l’Angleterre elle-même.</w:t>
      </w:r>
    </w:p>
    <w:p w14:paraId="65644CAB" w14:textId="77777777" w:rsidR="00B9662D" w:rsidRPr="0044283A" w:rsidRDefault="00B9662D" w:rsidP="00B9662D">
      <w:pPr>
        <w:spacing w:before="120" w:after="120"/>
        <w:jc w:val="both"/>
        <w:rPr>
          <w:i/>
        </w:rPr>
      </w:pPr>
      <w:r w:rsidRPr="007007D0">
        <w:rPr>
          <w:i/>
          <w:lang w:eastAsia="fr-FR" w:bidi="fr-FR"/>
        </w:rPr>
        <w:t>Voici d'abord Guillaume de Malmesbury. C'est grâce à lui, comme l'on sait, que nous connaissons l'interprétation officielle donnée après 1103 au thème de l'arbre coupé. Mais cette interprétation, qu'il relate en historien, il n'y croit pas, ou mieux, il n'y croit plus :</w:t>
      </w:r>
      <w:r w:rsidRPr="007007D0">
        <w:rPr>
          <w:b/>
          <w:bCs/>
          <w:i/>
        </w:rPr>
        <w:t xml:space="preserve"> « </w:t>
      </w:r>
      <w:r w:rsidRPr="007007D0">
        <w:rPr>
          <w:i/>
          <w:lang w:eastAsia="fr-FR" w:bidi="fr-FR"/>
        </w:rPr>
        <w:t>autant en emportèrent les vents</w:t>
      </w:r>
      <w:r w:rsidRPr="007007D0">
        <w:rPr>
          <w:b/>
          <w:bCs/>
          <w:i/>
        </w:rPr>
        <w:t xml:space="preserve"> », </w:t>
      </w:r>
      <w:r w:rsidRPr="007007D0">
        <w:rPr>
          <w:i/>
          <w:lang w:eastAsia="fr-FR" w:bidi="fr-FR"/>
        </w:rPr>
        <w:t>écrit-il à son sujet </w:t>
      </w:r>
      <w:r>
        <w:rPr>
          <w:rStyle w:val="Appelnotedebasdep"/>
        </w:rPr>
        <w:footnoteReference w:id="1133"/>
      </w:r>
      <w:r w:rsidRPr="007422C9">
        <w:rPr>
          <w:lang w:eastAsia="fr-FR" w:bidi="fr-FR"/>
        </w:rPr>
        <w:t xml:space="preserve">. </w:t>
      </w:r>
      <w:r w:rsidRPr="007007D0">
        <w:rPr>
          <w:i/>
          <w:lang w:eastAsia="fr-FR" w:bidi="fr-FR"/>
        </w:rPr>
        <w:t>Pour comprendre son attitude, reportons-nous par la pensée à l'époque où il composait son grand ouvrage : 1124 ou 1125, avant le 23 mai de cette dernière a</w:t>
      </w:r>
      <w:r w:rsidRPr="007007D0">
        <w:rPr>
          <w:i/>
          <w:lang w:eastAsia="fr-FR" w:bidi="fr-FR"/>
        </w:rPr>
        <w:t>n</w:t>
      </w:r>
      <w:r w:rsidRPr="007007D0">
        <w:rPr>
          <w:i/>
          <w:lang w:eastAsia="fr-FR" w:bidi="fr-FR"/>
        </w:rPr>
        <w:t>née. Le prince Guillaume, jadis chargé de tant d'espoirs, tige</w:t>
      </w:r>
      <w:r w:rsidRPr="007422C9">
        <w:rPr>
          <w:lang w:eastAsia="fr-FR" w:bidi="fr-FR"/>
        </w:rPr>
        <w:t xml:space="preserve"> </w:t>
      </w:r>
      <w:r w:rsidRPr="007007D0">
        <w:rPr>
          <w:i/>
          <w:lang w:eastAsia="fr-FR" w:bidi="fr-FR"/>
        </w:rPr>
        <w:t>reve</w:t>
      </w:r>
      <w:r w:rsidRPr="007007D0">
        <w:rPr>
          <w:i/>
          <w:lang w:eastAsia="fr-FR" w:bidi="fr-FR"/>
        </w:rPr>
        <w:t>r</w:t>
      </w:r>
      <w:r w:rsidRPr="007007D0">
        <w:rPr>
          <w:i/>
          <w:lang w:eastAsia="fr-FR" w:bidi="fr-FR"/>
        </w:rPr>
        <w:t>dissante qui devait jaillir du vieux tronc anglais, n'est plus : il a péri le 25 novembre 1120 dans le naufrage de la Blanche Nef. Des enfants issus de l'union de Henri Beauclerc avec Edith un seul subsiste : c'est une fille, Mathilde, mariée à l'empereur Henri V ; depuis son enfance elle vit en Allemagne, auprès de son époux ; personne n'imagine que cette souveraine étrangère puisse un jour régner sur la terre anglaise. A la mort du roi Henri, qui héritera de son trône ? Nul ne le sait, bien que beaucoup, sans doute, parmi ses sujets, songent à son neveu, le fils de son frère aîné, Guillaume Cliton. En tout cas le futur souv</w:t>
      </w:r>
      <w:r w:rsidRPr="007007D0">
        <w:rPr>
          <w:i/>
          <w:lang w:eastAsia="fr-FR" w:bidi="fr-FR"/>
        </w:rPr>
        <w:t>e</w:t>
      </w:r>
      <w:r w:rsidRPr="007007D0">
        <w:rPr>
          <w:i/>
          <w:lang w:eastAsia="fr-FR" w:bidi="fr-FR"/>
        </w:rPr>
        <w:t>rain, quel qu'il soit, ne descendra pas de Cerdic. Guillaume n'a pas cessé de croire à l'authenticité des paroles dernières qu'une tradition, répandue autour de lui, attribue à saint Édouard, parce que son esprit critique n'est pas assez aiguisé pour l'engager à les rejeter ; mais il n'en retient plus guère que la première partie, celle qui annonçait à l'Angleterre d'obscures et terribles calamités ; le reste n'a plus pour lui</w:t>
      </w:r>
      <w:r>
        <w:rPr>
          <w:lang w:eastAsia="fr-FR" w:bidi="fr-FR"/>
        </w:rPr>
        <w:t xml:space="preserve"> [968] </w:t>
      </w:r>
      <w:r w:rsidRPr="0044283A">
        <w:rPr>
          <w:i/>
          <w:lang w:eastAsia="fr-FR" w:bidi="fr-FR"/>
        </w:rPr>
        <w:t>qu'un sens très vague ; comme jamais on n'a vu un tronçon revenir à sa souche, il pense sans doute que saint Édouard par cette métaph</w:t>
      </w:r>
      <w:r w:rsidRPr="0044283A">
        <w:rPr>
          <w:i/>
          <w:lang w:eastAsia="fr-FR" w:bidi="fr-FR"/>
        </w:rPr>
        <w:t>o</w:t>
      </w:r>
      <w:r w:rsidRPr="0044283A">
        <w:rPr>
          <w:i/>
          <w:lang w:eastAsia="fr-FR" w:bidi="fr-FR"/>
        </w:rPr>
        <w:t>re a simplement voulu dire que les maux du pays seraient éternels.</w:t>
      </w:r>
      <w:r w:rsidRPr="0044283A">
        <w:rPr>
          <w:b/>
          <w:bCs/>
          <w:i/>
        </w:rPr>
        <w:t xml:space="preserve"> « </w:t>
      </w:r>
      <w:r w:rsidRPr="0044283A">
        <w:rPr>
          <w:i/>
          <w:lang w:eastAsia="fr-FR" w:bidi="fr-FR"/>
        </w:rPr>
        <w:t>La vérité de la prophétie</w:t>
      </w:r>
      <w:r w:rsidRPr="0044283A">
        <w:rPr>
          <w:b/>
          <w:bCs/>
          <w:i/>
        </w:rPr>
        <w:t xml:space="preserve"> », </w:t>
      </w:r>
      <w:r w:rsidRPr="0044283A">
        <w:rPr>
          <w:i/>
          <w:lang w:eastAsia="fr-FR" w:bidi="fr-FR"/>
        </w:rPr>
        <w:t>écrit-il dans son commentaire,</w:t>
      </w:r>
      <w:r w:rsidRPr="0044283A">
        <w:rPr>
          <w:b/>
          <w:bCs/>
          <w:i/>
        </w:rPr>
        <w:t xml:space="preserve"> </w:t>
      </w:r>
      <w:r w:rsidRPr="0044283A">
        <w:rPr>
          <w:i/>
          <w:lang w:eastAsia="fr-FR" w:bidi="fr-FR"/>
        </w:rPr>
        <w:t>« nous en faisons l'expérience : l’Angleterre est devenue le logis des étrangers, le domaine d'une race qui n'est pas la nôtre... il n'y a point d'espoir que ces misères finissent jamais »</w:t>
      </w:r>
      <w:r>
        <w:rPr>
          <w:lang w:eastAsia="fr-FR" w:bidi="fr-FR"/>
        </w:rPr>
        <w:t> </w:t>
      </w:r>
      <w:r>
        <w:rPr>
          <w:rStyle w:val="Appelnotedebasdep"/>
        </w:rPr>
        <w:footnoteReference w:id="1134"/>
      </w:r>
      <w:r w:rsidRPr="007422C9">
        <w:rPr>
          <w:lang w:eastAsia="fr-FR" w:bidi="fr-FR"/>
        </w:rPr>
        <w:t xml:space="preserve">. </w:t>
      </w:r>
      <w:r w:rsidRPr="0044283A">
        <w:rPr>
          <w:i/>
          <w:lang w:eastAsia="fr-FR" w:bidi="fr-FR"/>
        </w:rPr>
        <w:t>Ainsi le symbole in</w:t>
      </w:r>
      <w:r w:rsidRPr="0044283A">
        <w:rPr>
          <w:i/>
          <w:lang w:eastAsia="fr-FR" w:bidi="fr-FR"/>
        </w:rPr>
        <w:lastRenderedPageBreak/>
        <w:t>venté autrefois par les conseillers de Henri Beauclerc afin d'illuminer d'e</w:t>
      </w:r>
      <w:r w:rsidRPr="0044283A">
        <w:rPr>
          <w:i/>
          <w:lang w:eastAsia="fr-FR" w:bidi="fr-FR"/>
        </w:rPr>
        <w:t>s</w:t>
      </w:r>
      <w:r w:rsidRPr="0044283A">
        <w:rPr>
          <w:i/>
          <w:lang w:eastAsia="fr-FR" w:bidi="fr-FR"/>
        </w:rPr>
        <w:t>pérance le début d'un nouveau règne est devenu pour le moine de Malmesbury un motif de pessimisme.</w:t>
      </w:r>
    </w:p>
    <w:p w14:paraId="53DE1AE8" w14:textId="77777777" w:rsidR="00B9662D" w:rsidRPr="007422C9" w:rsidRDefault="00B9662D" w:rsidP="00B9662D">
      <w:pPr>
        <w:spacing w:before="120" w:after="120"/>
        <w:jc w:val="both"/>
      </w:pPr>
      <w:r w:rsidRPr="0044283A">
        <w:rPr>
          <w:i/>
          <w:lang w:eastAsia="fr-FR" w:bidi="fr-FR"/>
        </w:rPr>
        <w:t>L'interprétation d'Osbert de Clare est analogue ; elle est dans son expression plus nette encore.</w:t>
      </w:r>
      <w:r w:rsidRPr="0044283A">
        <w:rPr>
          <w:b/>
          <w:bCs/>
          <w:i/>
        </w:rPr>
        <w:t xml:space="preserve"> « </w:t>
      </w:r>
      <w:r w:rsidRPr="0044283A">
        <w:rPr>
          <w:i/>
          <w:lang w:eastAsia="fr-FR" w:bidi="fr-FR"/>
        </w:rPr>
        <w:t>Le roi, imbu de l'Esprit divin, choisit comme point de comparaison une chose impossible</w:t>
      </w:r>
      <w:r w:rsidRPr="0044283A">
        <w:rPr>
          <w:b/>
          <w:bCs/>
          <w:i/>
        </w:rPr>
        <w:t> </w:t>
      </w:r>
      <w:r w:rsidRPr="0044283A">
        <w:rPr>
          <w:bCs/>
          <w:i/>
        </w:rPr>
        <w:t>» </w:t>
      </w:r>
      <w:r w:rsidRPr="0044283A">
        <w:rPr>
          <w:rStyle w:val="Appelnotedebasdep"/>
          <w:bCs/>
        </w:rPr>
        <w:footnoteReference w:id="1135"/>
      </w:r>
      <w:r w:rsidRPr="00F176B5">
        <w:rPr>
          <w:bCs/>
        </w:rPr>
        <w:t>.</w:t>
      </w:r>
      <w:r w:rsidRPr="007422C9">
        <w:rPr>
          <w:b/>
          <w:bCs/>
        </w:rPr>
        <w:t xml:space="preserve"> </w:t>
      </w:r>
      <w:r w:rsidRPr="0044283A">
        <w:rPr>
          <w:i/>
          <w:lang w:eastAsia="fr-FR" w:bidi="fr-FR"/>
        </w:rPr>
        <w:t>Nous sommes en 1138. Depuis les</w:t>
      </w:r>
      <w:r w:rsidRPr="0044283A">
        <w:rPr>
          <w:b/>
          <w:bCs/>
          <w:i/>
        </w:rPr>
        <w:t xml:space="preserve"> </w:t>
      </w:r>
      <w:r w:rsidRPr="0044283A">
        <w:rPr>
          <w:bCs/>
        </w:rPr>
        <w:t>Gesta Regum</w:t>
      </w:r>
      <w:r w:rsidRPr="00F176B5">
        <w:rPr>
          <w:bCs/>
          <w:i/>
        </w:rPr>
        <w:t>,</w:t>
      </w:r>
      <w:r w:rsidRPr="007422C9">
        <w:rPr>
          <w:b/>
          <w:bCs/>
        </w:rPr>
        <w:t xml:space="preserve"> </w:t>
      </w:r>
      <w:r w:rsidRPr="0044283A">
        <w:rPr>
          <w:i/>
          <w:lang w:eastAsia="fr-FR" w:bidi="fr-FR"/>
        </w:rPr>
        <w:t>l’Angleterre a été secouée par des rivalités dynastiques. L'impératrice Mathilde, devenue veuve, et sans enfants de son premier mariage, a été rappelée en Angleterre par son père Henri I</w:t>
      </w:r>
      <w:r w:rsidRPr="0044283A">
        <w:rPr>
          <w:i/>
          <w:vertAlign w:val="superscript"/>
          <w:lang w:eastAsia="fr-FR" w:bidi="fr-FR"/>
        </w:rPr>
        <w:t>er</w:t>
      </w:r>
      <w:r w:rsidRPr="0044283A">
        <w:rPr>
          <w:i/>
          <w:lang w:eastAsia="fr-FR" w:bidi="fr-FR"/>
        </w:rPr>
        <w:t> ; les grands l'ont acceptée pour héritière du royaume. Mais, à la mort de Henri, elle n'a pu effectivement se faire reconnaître comme reine. Un aventurier, son cousin Étienne de Blois, s'est emp</w:t>
      </w:r>
      <w:r w:rsidRPr="0044283A">
        <w:rPr>
          <w:i/>
          <w:lang w:eastAsia="fr-FR" w:bidi="fr-FR"/>
        </w:rPr>
        <w:t>a</w:t>
      </w:r>
      <w:r w:rsidRPr="0044283A">
        <w:rPr>
          <w:i/>
          <w:lang w:eastAsia="fr-FR" w:bidi="fr-FR"/>
        </w:rPr>
        <w:t>ré de la couronne. Il règne au moment où Osbert écrit ; bien plus, on l'a vu, Osbert écrit pour lui. Comme Guillaume de Malmesbury, le prieur de Westminster doit répéter l'illustre prophétie, devenue partie intégrante de la légende du Confesseur ; mais, sous peine de trahir la cause du roi son protecteur, il ne peut lui donner de sens précis </w:t>
      </w:r>
      <w:r>
        <w:rPr>
          <w:rStyle w:val="Appelnotedebasdep"/>
        </w:rPr>
        <w:footnoteReference w:id="1136"/>
      </w:r>
      <w:r w:rsidRPr="00F176B5">
        <w:rPr>
          <w:bCs/>
        </w:rPr>
        <w:t>.</w:t>
      </w:r>
    </w:p>
    <w:p w14:paraId="0ABB0782" w14:textId="77777777" w:rsidR="00B9662D" w:rsidRPr="007422C9" w:rsidRDefault="00B9662D" w:rsidP="00B9662D">
      <w:pPr>
        <w:spacing w:before="120" w:after="120"/>
        <w:jc w:val="both"/>
      </w:pPr>
      <w:r w:rsidRPr="0044283A">
        <w:rPr>
          <w:i/>
          <w:lang w:eastAsia="fr-FR" w:bidi="fr-FR"/>
        </w:rPr>
        <w:t>Passons à Ailred. Avec lui tout change. Il s'élève contre les écr</w:t>
      </w:r>
      <w:r w:rsidRPr="0044283A">
        <w:rPr>
          <w:i/>
          <w:lang w:eastAsia="fr-FR" w:bidi="fr-FR"/>
        </w:rPr>
        <w:t>i</w:t>
      </w:r>
      <w:r w:rsidRPr="0044283A">
        <w:rPr>
          <w:i/>
          <w:lang w:eastAsia="fr-FR" w:bidi="fr-FR"/>
        </w:rPr>
        <w:t>vains qui prêtent au roi mourant l'intention de</w:t>
      </w:r>
      <w:r w:rsidRPr="0044283A">
        <w:rPr>
          <w:b/>
          <w:bCs/>
          <w:i/>
        </w:rPr>
        <w:t xml:space="preserve"> « </w:t>
      </w:r>
      <w:r w:rsidRPr="0044283A">
        <w:rPr>
          <w:i/>
          <w:lang w:eastAsia="fr-FR" w:bidi="fr-FR"/>
        </w:rPr>
        <w:t>se servir comme point de comparaison d'une chose impossible</w:t>
      </w:r>
      <w:r w:rsidRPr="0044283A">
        <w:rPr>
          <w:b/>
          <w:bCs/>
          <w:i/>
        </w:rPr>
        <w:t> </w:t>
      </w:r>
      <w:r w:rsidRPr="0044283A">
        <w:rPr>
          <w:bCs/>
          <w:i/>
        </w:rPr>
        <w:t>»</w:t>
      </w:r>
      <w:r w:rsidRPr="0044283A">
        <w:rPr>
          <w:bCs/>
        </w:rPr>
        <w:t> </w:t>
      </w:r>
      <w:r w:rsidRPr="0044283A">
        <w:rPr>
          <w:rStyle w:val="Appelnotedebasdep"/>
          <w:bCs/>
        </w:rPr>
        <w:footnoteReference w:id="1137"/>
      </w:r>
      <w:r w:rsidRPr="00F176B5">
        <w:rPr>
          <w:bCs/>
        </w:rPr>
        <w:t> :</w:t>
      </w:r>
      <w:r w:rsidRPr="007422C9">
        <w:rPr>
          <w:b/>
          <w:bCs/>
        </w:rPr>
        <w:t xml:space="preserve"> </w:t>
      </w:r>
      <w:r w:rsidRPr="0044283A">
        <w:rPr>
          <w:i/>
          <w:lang w:eastAsia="fr-FR" w:bidi="fr-FR"/>
        </w:rPr>
        <w:t>allusion transp</w:t>
      </w:r>
      <w:r w:rsidRPr="0044283A">
        <w:rPr>
          <w:i/>
          <w:lang w:eastAsia="fr-FR" w:bidi="fr-FR"/>
        </w:rPr>
        <w:t>a</w:t>
      </w:r>
      <w:r w:rsidRPr="0044283A">
        <w:rPr>
          <w:i/>
          <w:lang w:eastAsia="fr-FR" w:bidi="fr-FR"/>
        </w:rPr>
        <w:t>rente à son prédécesseur Osbert. Pour le nouvel hagiographe la pr</w:t>
      </w:r>
      <w:r w:rsidRPr="0044283A">
        <w:rPr>
          <w:i/>
          <w:lang w:eastAsia="fr-FR" w:bidi="fr-FR"/>
        </w:rPr>
        <w:t>o</w:t>
      </w:r>
      <w:r w:rsidRPr="0044283A">
        <w:rPr>
          <w:i/>
          <w:lang w:eastAsia="fr-FR" w:bidi="fr-FR"/>
        </w:rPr>
        <w:t>phétie est fort claire ; elle s'est accomplie, le tronçon détaché de l'a</w:t>
      </w:r>
      <w:r w:rsidRPr="0044283A">
        <w:rPr>
          <w:i/>
          <w:lang w:eastAsia="fr-FR" w:bidi="fr-FR"/>
        </w:rPr>
        <w:t>r</w:t>
      </w:r>
      <w:r w:rsidRPr="0044283A">
        <w:rPr>
          <w:i/>
          <w:lang w:eastAsia="fr-FR" w:bidi="fr-FR"/>
        </w:rPr>
        <w:t xml:space="preserve">bre a regagné sa souche. C'est qu'en cette année 1163 où l'abbé de </w:t>
      </w:r>
      <w:r w:rsidRPr="0044283A">
        <w:rPr>
          <w:i/>
          <w:lang w:eastAsia="fr-FR" w:bidi="fr-FR"/>
        </w:rPr>
        <w:lastRenderedPageBreak/>
        <w:t>Rievaulx va</w:t>
      </w:r>
      <w:r w:rsidRPr="0044283A">
        <w:rPr>
          <w:b/>
          <w:bCs/>
          <w:i/>
        </w:rPr>
        <w:t xml:space="preserve"> « </w:t>
      </w:r>
      <w:r w:rsidRPr="0044283A">
        <w:rPr>
          <w:i/>
          <w:lang w:eastAsia="fr-FR" w:bidi="fr-FR"/>
        </w:rPr>
        <w:t>offrir</w:t>
      </w:r>
      <w:r w:rsidRPr="0044283A">
        <w:rPr>
          <w:b/>
          <w:bCs/>
          <w:i/>
        </w:rPr>
        <w:t xml:space="preserve"> » </w:t>
      </w:r>
      <w:r w:rsidRPr="0044283A">
        <w:rPr>
          <w:i/>
          <w:lang w:eastAsia="fr-FR" w:bidi="fr-FR"/>
        </w:rPr>
        <w:t>son ouvrage sur le tombeau même du saint, à Westminster, l’Angleterre a pour souverain Henri II Plantagenet, fils, par un second mariage, de l'impératrice Mathilde, petit-fils par conséquent de Henri Beauclerc et de la reine Édith, descendant loi</w:t>
      </w:r>
      <w:r w:rsidRPr="0044283A">
        <w:rPr>
          <w:i/>
          <w:lang w:eastAsia="fr-FR" w:bidi="fr-FR"/>
        </w:rPr>
        <w:t>n</w:t>
      </w:r>
      <w:r w:rsidRPr="0044283A">
        <w:rPr>
          <w:i/>
          <w:lang w:eastAsia="fr-FR" w:bidi="fr-FR"/>
        </w:rPr>
        <w:t>tain des vieux rois du Wessex. À ce prince est dédiée la nouvelle Vie de saint Édouard. Comment oublier qu'en lui la vision a été couro</w:t>
      </w:r>
      <w:r w:rsidRPr="0044283A">
        <w:rPr>
          <w:i/>
          <w:lang w:eastAsia="fr-FR" w:bidi="fr-FR"/>
        </w:rPr>
        <w:t>n</w:t>
      </w:r>
      <w:r w:rsidRPr="0044283A">
        <w:rPr>
          <w:i/>
          <w:lang w:eastAsia="fr-FR" w:bidi="fr-FR"/>
        </w:rPr>
        <w:t>née d'effet ? Il convient même de préciser mieux qu'autrefois les traits de l'image. Osbert se bornait à noter vaguement que l'arbre, une fois rétabli dans son intégrité, devait reverdir et fructifier. On symbolisera désormais, avec plus d'exactitude, dans les différents stades de la v</w:t>
      </w:r>
      <w:r w:rsidRPr="0044283A">
        <w:rPr>
          <w:i/>
          <w:lang w:eastAsia="fr-FR" w:bidi="fr-FR"/>
        </w:rPr>
        <w:t>é</w:t>
      </w:r>
      <w:r w:rsidRPr="0044283A">
        <w:rPr>
          <w:i/>
          <w:lang w:eastAsia="fr-FR" w:bidi="fr-FR"/>
        </w:rPr>
        <w:t>gétation les différentes générations de la</w:t>
      </w:r>
      <w:r>
        <w:rPr>
          <w:lang w:eastAsia="fr-FR" w:bidi="fr-FR"/>
        </w:rPr>
        <w:t xml:space="preserve"> </w:t>
      </w:r>
      <w:r>
        <w:t>[</w:t>
      </w:r>
      <w:r w:rsidRPr="007422C9">
        <w:rPr>
          <w:lang w:eastAsia="fr-FR" w:bidi="fr-FR"/>
        </w:rPr>
        <w:t>969</w:t>
      </w:r>
      <w:r>
        <w:rPr>
          <w:lang w:eastAsia="fr-FR" w:bidi="fr-FR"/>
        </w:rPr>
        <w:t xml:space="preserve">] </w:t>
      </w:r>
      <w:r w:rsidRPr="0044283A">
        <w:rPr>
          <w:i/>
          <w:lang w:eastAsia="fr-FR" w:bidi="fr-FR"/>
        </w:rPr>
        <w:t>famille royale : l'arbre fleurit d'abord, il porte ensuite un fruit.</w:t>
      </w:r>
      <w:r w:rsidRPr="0044283A">
        <w:rPr>
          <w:b/>
          <w:bCs/>
          <w:i/>
        </w:rPr>
        <w:t xml:space="preserve"> « </w:t>
      </w:r>
      <w:r w:rsidRPr="0044283A">
        <w:rPr>
          <w:i/>
          <w:lang w:eastAsia="fr-FR" w:bidi="fr-FR"/>
        </w:rPr>
        <w:t>L'arbre fleurit</w:t>
      </w:r>
      <w:r w:rsidRPr="0044283A">
        <w:rPr>
          <w:b/>
          <w:bCs/>
          <w:i/>
        </w:rPr>
        <w:t xml:space="preserve"> », </w:t>
      </w:r>
      <w:r w:rsidRPr="0044283A">
        <w:rPr>
          <w:i/>
          <w:lang w:eastAsia="fr-FR" w:bidi="fr-FR"/>
        </w:rPr>
        <w:t>explique doctement Ailred</w:t>
      </w:r>
      <w:r w:rsidRPr="0044283A">
        <w:rPr>
          <w:b/>
          <w:bCs/>
          <w:i/>
        </w:rPr>
        <w:t>, « </w:t>
      </w:r>
      <w:r w:rsidRPr="0044283A">
        <w:rPr>
          <w:i/>
          <w:lang w:eastAsia="fr-FR" w:bidi="fr-FR"/>
        </w:rPr>
        <w:t>lorsque, fille des deux races, l'impératrice vit le jour. Il porta fruit lorsque de Mathilde n</w:t>
      </w:r>
      <w:r w:rsidRPr="0044283A">
        <w:rPr>
          <w:i/>
          <w:lang w:eastAsia="fr-FR" w:bidi="fr-FR"/>
        </w:rPr>
        <w:t>a</w:t>
      </w:r>
      <w:r w:rsidRPr="0044283A">
        <w:rPr>
          <w:i/>
          <w:lang w:eastAsia="fr-FR" w:bidi="fr-FR"/>
        </w:rPr>
        <w:t>quit notre Henri, étoile du matin, pierre angulaire en qui s'unirent les deux peuples</w:t>
      </w:r>
      <w:r w:rsidRPr="0044283A">
        <w:rPr>
          <w:b/>
          <w:bCs/>
          <w:i/>
        </w:rPr>
        <w:t xml:space="preserve"> ». </w:t>
      </w:r>
      <w:r w:rsidRPr="0044283A">
        <w:rPr>
          <w:i/>
          <w:lang w:eastAsia="fr-FR" w:bidi="fr-FR"/>
        </w:rPr>
        <w:t>Et l'hagi</w:t>
      </w:r>
      <w:r w:rsidRPr="0044283A">
        <w:rPr>
          <w:i/>
          <w:lang w:eastAsia="fr-FR" w:bidi="fr-FR"/>
        </w:rPr>
        <w:t>o</w:t>
      </w:r>
      <w:r w:rsidRPr="0044283A">
        <w:rPr>
          <w:i/>
          <w:lang w:eastAsia="fr-FR" w:bidi="fr-FR"/>
        </w:rPr>
        <w:t>graphe officiel célèbre la fusion des n</w:t>
      </w:r>
      <w:r w:rsidRPr="0044283A">
        <w:rPr>
          <w:i/>
          <w:lang w:eastAsia="fr-FR" w:bidi="fr-FR"/>
        </w:rPr>
        <w:t>a</w:t>
      </w:r>
      <w:r w:rsidRPr="0044283A">
        <w:rPr>
          <w:i/>
          <w:lang w:eastAsia="fr-FR" w:bidi="fr-FR"/>
        </w:rPr>
        <w:t>tions :</w:t>
      </w:r>
      <w:r w:rsidRPr="0044283A">
        <w:rPr>
          <w:b/>
          <w:bCs/>
          <w:i/>
        </w:rPr>
        <w:t xml:space="preserve"> « </w:t>
      </w:r>
      <w:r w:rsidRPr="0044283A">
        <w:rPr>
          <w:i/>
          <w:lang w:eastAsia="fr-FR" w:bidi="fr-FR"/>
        </w:rPr>
        <w:t>Voici que l'Angleterre a un roi incontestablement anglais ; elle a des évêques et des abbés, des princes, des chevaliers excellents, qui appartiennent à cette même nation anglaise, car ils sont issus de mariages où se mêlèrent les deux races</w:t>
      </w:r>
      <w:r w:rsidRPr="0044283A">
        <w:rPr>
          <w:b/>
          <w:bCs/>
          <w:i/>
        </w:rPr>
        <w:t> </w:t>
      </w:r>
      <w:r w:rsidRPr="0044283A">
        <w:rPr>
          <w:bCs/>
          <w:i/>
        </w:rPr>
        <w:t>»</w:t>
      </w:r>
      <w:r w:rsidRPr="0044283A">
        <w:rPr>
          <w:bCs/>
        </w:rPr>
        <w:t> </w:t>
      </w:r>
      <w:r w:rsidRPr="0044283A">
        <w:rPr>
          <w:rStyle w:val="Appelnotedebasdep"/>
          <w:bCs/>
        </w:rPr>
        <w:footnoteReference w:id="1138"/>
      </w:r>
      <w:r w:rsidRPr="00F176B5">
        <w:rPr>
          <w:bCs/>
        </w:rPr>
        <w:t>.</w:t>
      </w:r>
    </w:p>
    <w:p w14:paraId="441BB5CE" w14:textId="77777777" w:rsidR="00B9662D" w:rsidRPr="007422C9" w:rsidRDefault="00B9662D" w:rsidP="00B9662D">
      <w:pPr>
        <w:spacing w:before="120" w:after="120"/>
        <w:jc w:val="both"/>
      </w:pPr>
      <w:r w:rsidRPr="0044283A">
        <w:rPr>
          <w:i/>
          <w:lang w:eastAsia="fr-FR" w:bidi="fr-FR"/>
        </w:rPr>
        <w:t>Telle fut la forme sous laquelle se fixa pour l'avenir l'ultime vision de saint Édouard ; telle fut l'interprétation, désormais classique, qu'en devaient invariablement donner, à la suite d'Ailred, chron</w:t>
      </w:r>
      <w:r w:rsidRPr="0044283A">
        <w:rPr>
          <w:i/>
          <w:lang w:eastAsia="fr-FR" w:bidi="fr-FR"/>
        </w:rPr>
        <w:t>i</w:t>
      </w:r>
      <w:r w:rsidRPr="0044283A">
        <w:rPr>
          <w:i/>
          <w:lang w:eastAsia="fr-FR" w:bidi="fr-FR"/>
        </w:rPr>
        <w:t>queurs, hagiographes et rimeurs </w:t>
      </w:r>
      <w:r>
        <w:rPr>
          <w:rStyle w:val="Appelnotedebasdep"/>
        </w:rPr>
        <w:footnoteReference w:id="1139"/>
      </w:r>
      <w:r w:rsidRPr="00F176B5">
        <w:rPr>
          <w:lang w:eastAsia="fr-FR" w:bidi="fr-FR"/>
        </w:rPr>
        <w:t>.</w:t>
      </w:r>
    </w:p>
    <w:p w14:paraId="761A86C9" w14:textId="77777777" w:rsidR="00B9662D" w:rsidRPr="0044283A" w:rsidRDefault="00B9662D" w:rsidP="00B9662D">
      <w:pPr>
        <w:spacing w:before="120" w:after="120"/>
        <w:jc w:val="both"/>
        <w:rPr>
          <w:i/>
        </w:rPr>
      </w:pPr>
      <w:r w:rsidRPr="0044283A">
        <w:rPr>
          <w:i/>
          <w:lang w:eastAsia="fr-FR" w:bidi="fr-FR"/>
        </w:rPr>
        <w:t>Revenons maintenant au Biographe.</w:t>
      </w:r>
    </w:p>
    <w:p w14:paraId="72B1BCE2" w14:textId="77777777" w:rsidR="00B9662D" w:rsidRPr="007E50AD" w:rsidRDefault="00B9662D" w:rsidP="00B9662D">
      <w:pPr>
        <w:spacing w:before="120" w:after="120"/>
        <w:jc w:val="both"/>
        <w:rPr>
          <w:i/>
        </w:rPr>
      </w:pPr>
      <w:r w:rsidRPr="0044283A">
        <w:rPr>
          <w:i/>
          <w:lang w:eastAsia="fr-FR" w:bidi="fr-FR"/>
        </w:rPr>
        <w:t xml:space="preserve">Le masque qu'il avait pris l'empêchait, comme on l'a déjà vu, de s'expliquer clairement ; il feignait d'écrire peu après la mort du saint </w:t>
      </w:r>
      <w:r w:rsidRPr="0044283A">
        <w:rPr>
          <w:i/>
          <w:lang w:eastAsia="fr-FR" w:bidi="fr-FR"/>
        </w:rPr>
        <w:lastRenderedPageBreak/>
        <w:t>roi ; par quelle aberration eût-il pu prétendre connaître déjà par e</w:t>
      </w:r>
      <w:r w:rsidRPr="0044283A">
        <w:rPr>
          <w:i/>
          <w:lang w:eastAsia="fr-FR" w:bidi="fr-FR"/>
        </w:rPr>
        <w:t>x</w:t>
      </w:r>
      <w:r w:rsidRPr="0044283A">
        <w:rPr>
          <w:i/>
          <w:lang w:eastAsia="fr-FR" w:bidi="fr-FR"/>
        </w:rPr>
        <w:t>périence le sens véritable de la prophétie ? On ne saurait douter néanmoins qu'à la différence de Guillaume de Malmesbury ou d'O</w:t>
      </w:r>
      <w:r w:rsidRPr="0044283A">
        <w:rPr>
          <w:i/>
          <w:lang w:eastAsia="fr-FR" w:bidi="fr-FR"/>
        </w:rPr>
        <w:t>s</w:t>
      </w:r>
      <w:r w:rsidRPr="0044283A">
        <w:rPr>
          <w:i/>
          <w:lang w:eastAsia="fr-FR" w:bidi="fr-FR"/>
        </w:rPr>
        <w:t>bert il n'ait cru que vraiment le tronçon détaché de l'arbre devait un four rejoindre la souche. C'est ce qu'il insinue discrètement en ces termes :</w:t>
      </w:r>
      <w:r w:rsidRPr="0044283A">
        <w:rPr>
          <w:b/>
          <w:bCs/>
          <w:i/>
        </w:rPr>
        <w:t xml:space="preserve"> « </w:t>
      </w:r>
      <w:r w:rsidRPr="0044283A">
        <w:rPr>
          <w:i/>
          <w:lang w:eastAsia="fr-FR" w:bidi="fr-FR"/>
        </w:rPr>
        <w:t>Il n'est pas possible</w:t>
      </w:r>
      <w:r w:rsidRPr="0044283A">
        <w:rPr>
          <w:b/>
          <w:bCs/>
          <w:i/>
        </w:rPr>
        <w:t xml:space="preserve"> </w:t>
      </w:r>
      <w:r w:rsidRPr="0044283A">
        <w:rPr>
          <w:bCs/>
        </w:rPr>
        <w:t>chez les hommes</w:t>
      </w:r>
      <w:r w:rsidRPr="007422C9">
        <w:rPr>
          <w:b/>
          <w:bCs/>
        </w:rPr>
        <w:t xml:space="preserve"> </w:t>
      </w:r>
      <w:r w:rsidRPr="0044283A">
        <w:rPr>
          <w:i/>
          <w:lang w:eastAsia="fr-FR" w:bidi="fr-FR"/>
        </w:rPr>
        <w:t>de voir un arbre co</w:t>
      </w:r>
      <w:r w:rsidRPr="0044283A">
        <w:rPr>
          <w:i/>
          <w:lang w:eastAsia="fr-FR" w:bidi="fr-FR"/>
        </w:rPr>
        <w:t>u</w:t>
      </w:r>
      <w:r w:rsidRPr="0044283A">
        <w:rPr>
          <w:i/>
          <w:lang w:eastAsia="fr-FR" w:bidi="fr-FR"/>
        </w:rPr>
        <w:t>pé se mettre en mouvement de lui-même... Dieu, s'il regarde nos cœurs, n'y trouve rien qui l'engage à arrêter ses coups... Cette</w:t>
      </w:r>
      <w:r w:rsidRPr="007422C9">
        <w:rPr>
          <w:lang w:eastAsia="fr-FR" w:bidi="fr-FR"/>
        </w:rPr>
        <w:t xml:space="preserve"> </w:t>
      </w:r>
      <w:r w:rsidRPr="0044283A">
        <w:rPr>
          <w:i/>
          <w:lang w:eastAsia="fr-FR" w:bidi="fr-FR"/>
        </w:rPr>
        <w:t>révél</w:t>
      </w:r>
      <w:r w:rsidRPr="0044283A">
        <w:rPr>
          <w:i/>
          <w:lang w:eastAsia="fr-FR" w:bidi="fr-FR"/>
        </w:rPr>
        <w:t>a</w:t>
      </w:r>
      <w:r w:rsidRPr="0044283A">
        <w:rPr>
          <w:i/>
          <w:lang w:eastAsia="fr-FR" w:bidi="fr-FR"/>
        </w:rPr>
        <w:t>tion, tirée d'une comparaison avec une chose impossible, n'est pas parvenue à nous terrifier ; nous ne nous préoccupons pas d'apaiser par nos repentirs, par nos cris vers Dieu la colère divine. À quoi sa</w:t>
      </w:r>
      <w:r w:rsidRPr="0044283A">
        <w:rPr>
          <w:i/>
          <w:lang w:eastAsia="fr-FR" w:bidi="fr-FR"/>
        </w:rPr>
        <w:t>u</w:t>
      </w:r>
      <w:r w:rsidRPr="0044283A">
        <w:rPr>
          <w:i/>
          <w:lang w:eastAsia="fr-FR" w:bidi="fr-FR"/>
        </w:rPr>
        <w:t>rions-nous donc nous attendre, sinon à cette lamentable issue : un massacre général,</w:t>
      </w:r>
      <w:r w:rsidRPr="0044283A">
        <w:rPr>
          <w:b/>
          <w:bCs/>
          <w:i/>
        </w:rPr>
        <w:t> — </w:t>
      </w:r>
      <w:r w:rsidRPr="0044283A">
        <w:rPr>
          <w:i/>
          <w:lang w:eastAsia="fr-FR" w:bidi="fr-FR"/>
        </w:rPr>
        <w:t>à moins toutefois que la clémence infinie et ine</w:t>
      </w:r>
      <w:r w:rsidRPr="0044283A">
        <w:rPr>
          <w:i/>
          <w:lang w:eastAsia="fr-FR" w:bidi="fr-FR"/>
        </w:rPr>
        <w:t>s</w:t>
      </w:r>
      <w:r w:rsidRPr="0044283A">
        <w:rPr>
          <w:i/>
          <w:lang w:eastAsia="fr-FR" w:bidi="fr-FR"/>
        </w:rPr>
        <w:t>timable du Seigneur</w:t>
      </w:r>
      <w:r w:rsidRPr="007422C9">
        <w:rPr>
          <w:b/>
          <w:bCs/>
        </w:rPr>
        <w:t xml:space="preserve"> </w:t>
      </w:r>
      <w:r w:rsidRPr="0044283A">
        <w:rPr>
          <w:bCs/>
        </w:rPr>
        <w:t>à qui tout est possible,</w:t>
      </w:r>
      <w:r w:rsidRPr="007422C9">
        <w:rPr>
          <w:b/>
          <w:bCs/>
        </w:rPr>
        <w:t xml:space="preserve"> </w:t>
      </w:r>
      <w:r w:rsidRPr="0044283A">
        <w:rPr>
          <w:i/>
          <w:lang w:eastAsia="fr-FR" w:bidi="fr-FR"/>
        </w:rPr>
        <w:t>ne prenne les devants sur notre dureté de cœur en nous accordant</w:t>
      </w:r>
      <w:r w:rsidRPr="0044283A">
        <w:rPr>
          <w:bCs/>
          <w:i/>
        </w:rPr>
        <w:t>,</w:t>
      </w:r>
      <w:r w:rsidRPr="0044283A">
        <w:rPr>
          <w:b/>
          <w:bCs/>
          <w:i/>
        </w:rPr>
        <w:t xml:space="preserve"> </w:t>
      </w:r>
      <w:r w:rsidRPr="0044283A">
        <w:rPr>
          <w:i/>
          <w:lang w:eastAsia="fr-FR" w:bidi="fr-FR"/>
        </w:rPr>
        <w:t>par une grâce toute gr</w:t>
      </w:r>
      <w:r w:rsidRPr="0044283A">
        <w:rPr>
          <w:i/>
          <w:lang w:eastAsia="fr-FR" w:bidi="fr-FR"/>
        </w:rPr>
        <w:t>a</w:t>
      </w:r>
      <w:r w:rsidRPr="0044283A">
        <w:rPr>
          <w:i/>
          <w:lang w:eastAsia="fr-FR" w:bidi="fr-FR"/>
        </w:rPr>
        <w:t>tuite, son pardon et sa bénédiction</w:t>
      </w:r>
      <w:r w:rsidRPr="0044283A">
        <w:rPr>
          <w:b/>
          <w:bCs/>
          <w:i/>
        </w:rPr>
        <w:t> </w:t>
      </w:r>
      <w:r w:rsidRPr="0044283A">
        <w:rPr>
          <w:bCs/>
          <w:i/>
        </w:rPr>
        <w:t>» </w:t>
      </w:r>
      <w:r>
        <w:rPr>
          <w:rStyle w:val="Appelnotedebasdep"/>
          <w:bCs/>
        </w:rPr>
        <w:footnoteReference w:id="1140"/>
      </w:r>
      <w:r w:rsidRPr="00F176B5">
        <w:rPr>
          <w:bCs/>
        </w:rPr>
        <w:t>.</w:t>
      </w:r>
      <w:r w:rsidRPr="007422C9">
        <w:rPr>
          <w:b/>
          <w:bCs/>
        </w:rPr>
        <w:t xml:space="preserve"> </w:t>
      </w:r>
      <w:r w:rsidRPr="0044283A">
        <w:rPr>
          <w:i/>
          <w:lang w:eastAsia="fr-FR" w:bidi="fr-FR"/>
        </w:rPr>
        <w:t>Paroles d'espoir, d'un tout a</w:t>
      </w:r>
      <w:r w:rsidRPr="0044283A">
        <w:rPr>
          <w:i/>
          <w:lang w:eastAsia="fr-FR" w:bidi="fr-FR"/>
        </w:rPr>
        <w:t>u</w:t>
      </w:r>
      <w:r w:rsidRPr="0044283A">
        <w:rPr>
          <w:i/>
          <w:lang w:eastAsia="fr-FR" w:bidi="fr-FR"/>
        </w:rPr>
        <w:t>tre ton que la conclusion désolée de Guillaume de Malmesbury. Or la prophétie n'a pu paraître susceptible de réalisation qu'à deux m</w:t>
      </w:r>
      <w:r w:rsidRPr="0044283A">
        <w:rPr>
          <w:i/>
          <w:lang w:eastAsia="fr-FR" w:bidi="fr-FR"/>
        </w:rPr>
        <w:t>o</w:t>
      </w:r>
      <w:r w:rsidRPr="0044283A">
        <w:rPr>
          <w:i/>
          <w:lang w:eastAsia="fr-FR" w:bidi="fr-FR"/>
        </w:rPr>
        <w:t>ments : du vivant du prince Guillaume, c'est-à-dire entre 1103 et 1120, et après 1154, date de l'avènement de Henri Plantagenet. D'a</w:t>
      </w:r>
      <w:r w:rsidRPr="0044283A">
        <w:rPr>
          <w:i/>
          <w:lang w:eastAsia="fr-FR" w:bidi="fr-FR"/>
        </w:rPr>
        <w:t>u</w:t>
      </w:r>
      <w:r w:rsidRPr="0044283A">
        <w:rPr>
          <w:i/>
          <w:lang w:eastAsia="fr-FR" w:bidi="fr-FR"/>
        </w:rPr>
        <w:t>tre part on ne rencontre ici</w:t>
      </w:r>
      <w:r>
        <w:rPr>
          <w:lang w:eastAsia="fr-FR" w:bidi="fr-FR"/>
        </w:rPr>
        <w:t xml:space="preserve"> </w:t>
      </w:r>
      <w:r>
        <w:t xml:space="preserve">[970] </w:t>
      </w:r>
      <w:r w:rsidRPr="007E50AD">
        <w:rPr>
          <w:i/>
          <w:lang w:eastAsia="fr-FR" w:bidi="fr-FR"/>
        </w:rPr>
        <w:t>aucun effort pour tenir compte de l’ordre des générations depuis la reine Edith jusqu'à Henri : lorsque le tronçon aura été rattaché à la souche, il se reprendra</w:t>
      </w:r>
      <w:r w:rsidRPr="007E50AD">
        <w:rPr>
          <w:b/>
          <w:bCs/>
          <w:i/>
        </w:rPr>
        <w:t xml:space="preserve"> « </w:t>
      </w:r>
      <w:r w:rsidRPr="007E50AD">
        <w:rPr>
          <w:i/>
          <w:lang w:eastAsia="fr-FR" w:bidi="fr-FR"/>
        </w:rPr>
        <w:t>à verdir et à fructifier</w:t>
      </w:r>
      <w:r w:rsidRPr="007E50AD">
        <w:rPr>
          <w:b/>
          <w:bCs/>
          <w:i/>
        </w:rPr>
        <w:t xml:space="preserve"> », </w:t>
      </w:r>
      <w:r w:rsidRPr="007E50AD">
        <w:rPr>
          <w:i/>
          <w:lang w:eastAsia="fr-FR" w:bidi="fr-FR"/>
        </w:rPr>
        <w:t>est-il dit tout uniment. Il semble donc bien que la su</w:t>
      </w:r>
      <w:r w:rsidRPr="007E50AD">
        <w:rPr>
          <w:i/>
          <w:lang w:eastAsia="fr-FR" w:bidi="fr-FR"/>
        </w:rPr>
        <w:t>c</w:t>
      </w:r>
      <w:r w:rsidRPr="007E50AD">
        <w:rPr>
          <w:i/>
          <w:lang w:eastAsia="fr-FR" w:bidi="fr-FR"/>
        </w:rPr>
        <w:t>cession héréditaire envisagée soit très simple ; telle que celle d'une mère transmettant à son fils son sang royal. C'est selon toute probab</w:t>
      </w:r>
      <w:r w:rsidRPr="007E50AD">
        <w:rPr>
          <w:i/>
          <w:lang w:eastAsia="fr-FR" w:bidi="fr-FR"/>
        </w:rPr>
        <w:t>i</w:t>
      </w:r>
      <w:r w:rsidRPr="007E50AD">
        <w:rPr>
          <w:i/>
          <w:lang w:eastAsia="fr-FR" w:bidi="fr-FR"/>
        </w:rPr>
        <w:lastRenderedPageBreak/>
        <w:t>lité à Guillaume, fils d'Édith, non à Henri</w:t>
      </w:r>
      <w:r>
        <w:rPr>
          <w:i/>
          <w:lang w:eastAsia="fr-FR" w:bidi="fr-FR"/>
        </w:rPr>
        <w:t> </w:t>
      </w:r>
      <w:r w:rsidRPr="007E50AD">
        <w:rPr>
          <w:i/>
          <w:lang w:eastAsia="fr-FR" w:bidi="fr-FR"/>
        </w:rPr>
        <w:t>II, fils de Mathilde, que pensait le Biographe. On en conclura que son œuvre fut sans doute composée au plus tôt en 1103, au plus tard en 1120. Bien qu'elle pe</w:t>
      </w:r>
      <w:r w:rsidRPr="007E50AD">
        <w:rPr>
          <w:i/>
          <w:lang w:eastAsia="fr-FR" w:bidi="fr-FR"/>
        </w:rPr>
        <w:t>r</w:t>
      </w:r>
      <w:r w:rsidRPr="007E50AD">
        <w:rPr>
          <w:i/>
          <w:lang w:eastAsia="fr-FR" w:bidi="fr-FR"/>
        </w:rPr>
        <w:t>de la valeur d'une source proprement contemporaine, elle demeure ainsi la plus ancienne des Vies de saint Édouard qui soient venues en notre possession, antérieure à Osbert, antérieure même à Guillaume de Malmesbury.</w:t>
      </w:r>
    </w:p>
    <w:p w14:paraId="27A831A6" w14:textId="77777777" w:rsidR="00B9662D" w:rsidRPr="007E50AD" w:rsidRDefault="00B9662D" w:rsidP="00B9662D">
      <w:pPr>
        <w:spacing w:before="120" w:after="120"/>
        <w:jc w:val="both"/>
        <w:rPr>
          <w:i/>
        </w:rPr>
      </w:pPr>
      <w:r w:rsidRPr="007E50AD">
        <w:rPr>
          <w:i/>
          <w:lang w:eastAsia="fr-FR" w:bidi="fr-FR"/>
        </w:rPr>
        <w:t>Mais comment expliquer l'esprit si singulier qui l'anime et la fi</w:t>
      </w:r>
      <w:r w:rsidRPr="007E50AD">
        <w:rPr>
          <w:i/>
          <w:lang w:eastAsia="fr-FR" w:bidi="fr-FR"/>
        </w:rPr>
        <w:t>c</w:t>
      </w:r>
      <w:r w:rsidRPr="007E50AD">
        <w:rPr>
          <w:i/>
          <w:lang w:eastAsia="fr-FR" w:bidi="fr-FR"/>
        </w:rPr>
        <w:t>tion bizarre sur laquelle elle repose, se présentant comme dédiée à la reine Edith, morte bien avant 1103 ?</w:t>
      </w:r>
    </w:p>
    <w:p w14:paraId="7A857768" w14:textId="77777777" w:rsidR="00B9662D" w:rsidRPr="007E50AD" w:rsidRDefault="00B9662D" w:rsidP="00B9662D">
      <w:pPr>
        <w:spacing w:before="120" w:after="120"/>
        <w:jc w:val="both"/>
        <w:rPr>
          <w:i/>
        </w:rPr>
      </w:pPr>
      <w:r w:rsidRPr="007E50AD">
        <w:rPr>
          <w:i/>
          <w:lang w:eastAsia="fr-FR" w:bidi="fr-FR"/>
        </w:rPr>
        <w:t>Un écrit de ce genre, au XI</w:t>
      </w:r>
      <w:r w:rsidRPr="007E50AD">
        <w:rPr>
          <w:i/>
          <w:vertAlign w:val="superscript"/>
          <w:lang w:eastAsia="fr-FR" w:bidi="fr-FR"/>
        </w:rPr>
        <w:t>e</w:t>
      </w:r>
      <w:r w:rsidRPr="007E50AD">
        <w:rPr>
          <w:i/>
          <w:lang w:eastAsia="fr-FR" w:bidi="fr-FR"/>
        </w:rPr>
        <w:t xml:space="preserve"> siècle, a quelques chances d'avoir été rédigé dans un établissement ecclésiastique</w:t>
      </w:r>
      <w:r w:rsidRPr="007E50AD">
        <w:rPr>
          <w:b/>
          <w:bCs/>
          <w:i/>
        </w:rPr>
        <w:t xml:space="preserve">. </w:t>
      </w:r>
      <w:r w:rsidRPr="007E50AD">
        <w:rPr>
          <w:i/>
          <w:lang w:eastAsia="fr-FR" w:bidi="fr-FR"/>
        </w:rPr>
        <w:t>Vers quel lieu tourner nos regards ? Un nom vient d'abord à la pensée : celui du monastère qui fut le premier et le plus éclatant foyer du culte de saint Édouard : Westminster. Mais il faut l'écarter. L'illustre maison, sans cesse pr</w:t>
      </w:r>
      <w:r w:rsidRPr="007E50AD">
        <w:rPr>
          <w:i/>
          <w:lang w:eastAsia="fr-FR" w:bidi="fr-FR"/>
        </w:rPr>
        <w:t>é</w:t>
      </w:r>
      <w:r w:rsidRPr="007E50AD">
        <w:rPr>
          <w:i/>
          <w:lang w:eastAsia="fr-FR" w:bidi="fr-FR"/>
        </w:rPr>
        <w:t>sente à l'esprit d'Osbert de Clare, chez le Biographe paraît à peine. Sans doute il signale qu'Édouard en fit rebâtir l'église : comment eût-il ignoré ou passé sous silence un fait connu de tous ? cette église même, il l'avait sans doute visitée, puisqu'il nous en a laissé une de</w:t>
      </w:r>
      <w:r w:rsidRPr="007E50AD">
        <w:rPr>
          <w:i/>
          <w:lang w:eastAsia="fr-FR" w:bidi="fr-FR"/>
        </w:rPr>
        <w:t>s</w:t>
      </w:r>
      <w:r w:rsidRPr="007E50AD">
        <w:rPr>
          <w:i/>
          <w:lang w:eastAsia="fr-FR" w:bidi="fr-FR"/>
        </w:rPr>
        <w:t>cription dont l'exactitude d'ailleurs, faute de moyens de contrôle, ne pourra jamais être vérifiée</w:t>
      </w:r>
      <w:r>
        <w:rPr>
          <w:lang w:eastAsia="fr-FR" w:bidi="fr-FR"/>
        </w:rPr>
        <w:t> </w:t>
      </w:r>
      <w:r>
        <w:rPr>
          <w:rStyle w:val="Appelnotedebasdep"/>
        </w:rPr>
        <w:footnoteReference w:id="1141"/>
      </w:r>
      <w:r w:rsidRPr="007422C9">
        <w:rPr>
          <w:lang w:eastAsia="fr-FR" w:bidi="fr-FR"/>
        </w:rPr>
        <w:t xml:space="preserve">. </w:t>
      </w:r>
      <w:r w:rsidRPr="007E50AD">
        <w:rPr>
          <w:i/>
          <w:lang w:eastAsia="fr-FR" w:bidi="fr-FR"/>
        </w:rPr>
        <w:t>Mais il ne s'intéresse nullement aux pr</w:t>
      </w:r>
      <w:r w:rsidRPr="007E50AD">
        <w:rPr>
          <w:i/>
          <w:lang w:eastAsia="fr-FR" w:bidi="fr-FR"/>
        </w:rPr>
        <w:t>i</w:t>
      </w:r>
      <w:r w:rsidRPr="007E50AD">
        <w:rPr>
          <w:i/>
          <w:lang w:eastAsia="fr-FR" w:bidi="fr-FR"/>
        </w:rPr>
        <w:t>vilèges des moines. La suite d'événements par où la tradition expl</w:t>
      </w:r>
      <w:r w:rsidRPr="007E50AD">
        <w:rPr>
          <w:i/>
          <w:lang w:eastAsia="fr-FR" w:bidi="fr-FR"/>
        </w:rPr>
        <w:t>i</w:t>
      </w:r>
      <w:r w:rsidRPr="007E50AD">
        <w:rPr>
          <w:i/>
          <w:lang w:eastAsia="fr-FR" w:bidi="fr-FR"/>
        </w:rPr>
        <w:t>quait les générosités royales</w:t>
      </w:r>
      <w:r w:rsidRPr="007E50AD">
        <w:rPr>
          <w:b/>
          <w:bCs/>
          <w:i/>
        </w:rPr>
        <w:t> — </w:t>
      </w:r>
      <w:r w:rsidRPr="007E50AD">
        <w:rPr>
          <w:i/>
          <w:lang w:eastAsia="fr-FR" w:bidi="fr-FR"/>
        </w:rPr>
        <w:t>vœu fait par Édouard d'aller à Rome, obstacles mis par les grands à son départ, décision prise par le roi, renonçant à son premier dessein, d'employer l'argent rassemblé pour le pèlerinage à construire en Angleterre, sous l'invocation de saint Pierre, un sanctuaire, qui sera Westminster</w:t>
      </w:r>
      <w:r w:rsidRPr="007E50AD">
        <w:rPr>
          <w:b/>
          <w:bCs/>
          <w:i/>
        </w:rPr>
        <w:t> — </w:t>
      </w:r>
      <w:r w:rsidRPr="007E50AD">
        <w:rPr>
          <w:i/>
          <w:lang w:eastAsia="fr-FR" w:bidi="fr-FR"/>
        </w:rPr>
        <w:t>tout ce beau récit, qui se répétait déjà au temps de Sulcard, ici ne trouve point d'écho. D'a</w:t>
      </w:r>
      <w:r w:rsidRPr="007E50AD">
        <w:rPr>
          <w:i/>
          <w:lang w:eastAsia="fr-FR" w:bidi="fr-FR"/>
        </w:rPr>
        <w:t>u</w:t>
      </w:r>
      <w:r w:rsidRPr="007E50AD">
        <w:rPr>
          <w:i/>
          <w:lang w:eastAsia="fr-FR" w:bidi="fr-FR"/>
        </w:rPr>
        <w:t>tres hagiographes, écrivant la Vie du saint</w:t>
      </w:r>
      <w:r w:rsidRPr="007422C9">
        <w:rPr>
          <w:lang w:eastAsia="fr-FR" w:bidi="fr-FR"/>
        </w:rPr>
        <w:t xml:space="preserve"> </w:t>
      </w:r>
      <w:r w:rsidRPr="007E50AD">
        <w:rPr>
          <w:i/>
          <w:lang w:eastAsia="fr-FR" w:bidi="fr-FR"/>
        </w:rPr>
        <w:t>roi, ont cherché leur insp</w:t>
      </w:r>
      <w:r w:rsidRPr="007E50AD">
        <w:rPr>
          <w:i/>
          <w:lang w:eastAsia="fr-FR" w:bidi="fr-FR"/>
        </w:rPr>
        <w:t>i</w:t>
      </w:r>
      <w:r w:rsidRPr="007E50AD">
        <w:rPr>
          <w:i/>
          <w:lang w:eastAsia="fr-FR" w:bidi="fr-FR"/>
        </w:rPr>
        <w:t>ration auprès de son tombeau ; le Biographe ne doit point compter parmi eux.</w:t>
      </w:r>
    </w:p>
    <w:p w14:paraId="6D42C345" w14:textId="77777777" w:rsidR="00B9662D" w:rsidRPr="007422C9" w:rsidRDefault="00B9662D" w:rsidP="00B9662D">
      <w:pPr>
        <w:spacing w:before="120" w:after="120"/>
        <w:jc w:val="both"/>
      </w:pPr>
      <w:r w:rsidRPr="007E50AD">
        <w:rPr>
          <w:i/>
          <w:lang w:eastAsia="fr-FR" w:bidi="fr-FR"/>
        </w:rPr>
        <w:t>En revanche une autre abbaye, moins célèbre, tient dans son œ</w:t>
      </w:r>
      <w:r w:rsidRPr="007E50AD">
        <w:rPr>
          <w:i/>
          <w:lang w:eastAsia="fr-FR" w:bidi="fr-FR"/>
        </w:rPr>
        <w:t>u</w:t>
      </w:r>
      <w:r w:rsidRPr="007E50AD">
        <w:rPr>
          <w:i/>
          <w:lang w:eastAsia="fr-FR" w:bidi="fr-FR"/>
        </w:rPr>
        <w:t xml:space="preserve">vre une place relativement importante. C'est une communauté de femmes vivant sous la règle de saint Benoît : Wilton en Wiltshire. Il la cite à plusieurs reprises. Il paraît avoir puisé à ses traditions. Seul entre tous les historiens, il sait qu'en 1065, au moment de la révolte </w:t>
      </w:r>
      <w:r w:rsidRPr="007E50AD">
        <w:rPr>
          <w:i/>
          <w:lang w:eastAsia="fr-FR" w:bidi="fr-FR"/>
        </w:rPr>
        <w:lastRenderedPageBreak/>
        <w:t>du Northumberland, saint Édouard se trouvait à Britford ; il a soin d'ajouter que cette localité est voisine de</w:t>
      </w:r>
      <w:r w:rsidRPr="007E50AD">
        <w:rPr>
          <w:b/>
          <w:bCs/>
          <w:i/>
        </w:rPr>
        <w:t xml:space="preserve"> « </w:t>
      </w:r>
      <w:r w:rsidRPr="007E50AD">
        <w:rPr>
          <w:i/>
          <w:lang w:eastAsia="fr-FR" w:bidi="fr-FR"/>
        </w:rPr>
        <w:t>la ville royale de Wi</w:t>
      </w:r>
      <w:r w:rsidRPr="007E50AD">
        <w:rPr>
          <w:i/>
          <w:lang w:eastAsia="fr-FR" w:bidi="fr-FR"/>
        </w:rPr>
        <w:t>l</w:t>
      </w:r>
      <w:r w:rsidRPr="007E50AD">
        <w:rPr>
          <w:i/>
          <w:lang w:eastAsia="fr-FR" w:bidi="fr-FR"/>
        </w:rPr>
        <w:t>ton</w:t>
      </w:r>
      <w:r w:rsidRPr="007E50AD">
        <w:rPr>
          <w:b/>
          <w:bCs/>
          <w:i/>
        </w:rPr>
        <w:t> </w:t>
      </w:r>
      <w:r w:rsidRPr="007E50AD">
        <w:rPr>
          <w:bCs/>
          <w:i/>
        </w:rPr>
        <w:t>»</w:t>
      </w:r>
      <w:r w:rsidRPr="007E50AD">
        <w:rPr>
          <w:bCs/>
        </w:rPr>
        <w:t> </w:t>
      </w:r>
      <w:r w:rsidRPr="007E50AD">
        <w:rPr>
          <w:rStyle w:val="Appelnotedebasdep"/>
          <w:bCs/>
        </w:rPr>
        <w:footnoteReference w:id="1142"/>
      </w:r>
      <w:r w:rsidRPr="00F176B5">
        <w:rPr>
          <w:bCs/>
        </w:rPr>
        <w:t> ;</w:t>
      </w:r>
      <w:r w:rsidRPr="007422C9">
        <w:rPr>
          <w:b/>
          <w:bCs/>
        </w:rPr>
        <w:t xml:space="preserve"> </w:t>
      </w:r>
      <w:r w:rsidRPr="007422C9">
        <w:rPr>
          <w:lang w:eastAsia="fr-FR" w:bidi="fr-FR"/>
        </w:rPr>
        <w:t xml:space="preserve">elle en est en effet fort proche. Sans doute les gens de la ville se </w:t>
      </w:r>
      <w:r w:rsidRPr="007E50AD">
        <w:rPr>
          <w:i/>
          <w:lang w:eastAsia="fr-FR" w:bidi="fr-FR"/>
        </w:rPr>
        <w:t>rappelaient le séjour fait par le roi tout près d'eux, en un instant aussi grave. Seul également, entre tous les auteurs de son temps, le Biographe nous a conservé le souvenir du temps passé par la reine Édith, dans son enfance, chez les religieuses de Wilton, qui furent ses éducatrices </w:t>
      </w:r>
      <w:r>
        <w:rPr>
          <w:rStyle w:val="Appelnotedebasdep"/>
        </w:rPr>
        <w:footnoteReference w:id="1143"/>
      </w:r>
      <w:r w:rsidRPr="00F176B5">
        <w:rPr>
          <w:bCs/>
        </w:rPr>
        <w:t> ;</w:t>
      </w:r>
      <w:r w:rsidRPr="007422C9">
        <w:rPr>
          <w:b/>
          <w:bCs/>
        </w:rPr>
        <w:t xml:space="preserve"> </w:t>
      </w:r>
      <w:r w:rsidRPr="007E50AD">
        <w:rPr>
          <w:i/>
          <w:lang w:eastAsia="fr-FR" w:bidi="fr-FR"/>
        </w:rPr>
        <w:t>seul il a raconté comment fut reconstruite par cette élève reconnaissante l'église abbatiale</w:t>
      </w:r>
      <w:r>
        <w:t xml:space="preserve"> [</w:t>
      </w:r>
      <w:r w:rsidRPr="007422C9">
        <w:rPr>
          <w:lang w:eastAsia="fr-FR" w:bidi="fr-FR"/>
        </w:rPr>
        <w:t>971</w:t>
      </w:r>
      <w:r>
        <w:rPr>
          <w:lang w:eastAsia="fr-FR" w:bidi="fr-FR"/>
        </w:rPr>
        <w:t>]</w:t>
      </w:r>
      <w:r w:rsidRPr="007E50AD">
        <w:rPr>
          <w:i/>
          <w:lang w:eastAsia="fr-FR" w:bidi="fr-FR"/>
        </w:rPr>
        <w:t xml:space="preserve"> du lieu </w:t>
      </w:r>
      <w:r>
        <w:rPr>
          <w:rStyle w:val="Appelnotedebasdep"/>
        </w:rPr>
        <w:footnoteReference w:id="1144"/>
      </w:r>
      <w:r w:rsidRPr="007422C9">
        <w:rPr>
          <w:b/>
          <w:bCs/>
        </w:rPr>
        <w:t> </w:t>
      </w:r>
      <w:r w:rsidRPr="007E50AD">
        <w:rPr>
          <w:bCs/>
          <w:i/>
        </w:rPr>
        <w:t>;</w:t>
      </w:r>
      <w:r w:rsidRPr="007E50AD">
        <w:rPr>
          <w:b/>
          <w:bCs/>
          <w:i/>
        </w:rPr>
        <w:t xml:space="preserve"> </w:t>
      </w:r>
      <w:r w:rsidRPr="007E50AD">
        <w:rPr>
          <w:i/>
          <w:lang w:eastAsia="fr-FR" w:bidi="fr-FR"/>
        </w:rPr>
        <w:t>il met l’œuvre accomplie là par la souveraine en parallèle avec celle de son époux à Westminster ; et dans ce dipt</w:t>
      </w:r>
      <w:r w:rsidRPr="007E50AD">
        <w:rPr>
          <w:i/>
          <w:lang w:eastAsia="fr-FR" w:bidi="fr-FR"/>
        </w:rPr>
        <w:t>y</w:t>
      </w:r>
      <w:r w:rsidRPr="007E50AD">
        <w:rPr>
          <w:i/>
          <w:lang w:eastAsia="fr-FR" w:bidi="fr-FR"/>
        </w:rPr>
        <w:t>que, c'est vers la plus obscure des deux fondations que vont ses préférences. C'est en l'honneur de</w:t>
      </w:r>
      <w:r w:rsidRPr="007E50AD">
        <w:rPr>
          <w:b/>
          <w:bCs/>
          <w:i/>
        </w:rPr>
        <w:t xml:space="preserve"> « </w:t>
      </w:r>
      <w:r w:rsidRPr="007E50AD">
        <w:rPr>
          <w:i/>
          <w:lang w:eastAsia="fr-FR" w:bidi="fr-FR"/>
        </w:rPr>
        <w:t>la nouve</w:t>
      </w:r>
      <w:r w:rsidRPr="007E50AD">
        <w:rPr>
          <w:i/>
          <w:lang w:eastAsia="fr-FR" w:bidi="fr-FR"/>
        </w:rPr>
        <w:t>l</w:t>
      </w:r>
      <w:r w:rsidRPr="007E50AD">
        <w:rPr>
          <w:i/>
          <w:lang w:eastAsia="fr-FR" w:bidi="fr-FR"/>
        </w:rPr>
        <w:t>le épousée de Dieu</w:t>
      </w:r>
      <w:r w:rsidRPr="007E50AD">
        <w:rPr>
          <w:b/>
          <w:bCs/>
          <w:i/>
        </w:rPr>
        <w:t xml:space="preserve"> » </w:t>
      </w:r>
      <w:r w:rsidRPr="007E50AD">
        <w:rPr>
          <w:i/>
          <w:lang w:eastAsia="fr-FR" w:bidi="fr-FR"/>
        </w:rPr>
        <w:t>offerte au Seigneur par Edith qu'il entonne un</w:t>
      </w:r>
      <w:r w:rsidRPr="007E50AD">
        <w:rPr>
          <w:b/>
          <w:bCs/>
          <w:i/>
        </w:rPr>
        <w:t xml:space="preserve"> « </w:t>
      </w:r>
      <w:r w:rsidRPr="007E50AD">
        <w:rPr>
          <w:i/>
          <w:lang w:eastAsia="fr-FR" w:bidi="fr-FR"/>
        </w:rPr>
        <w:t>symbolique épithalame</w:t>
      </w:r>
      <w:r w:rsidRPr="007E50AD">
        <w:rPr>
          <w:b/>
          <w:bCs/>
          <w:i/>
        </w:rPr>
        <w:t> </w:t>
      </w:r>
      <w:r w:rsidRPr="007E50AD">
        <w:rPr>
          <w:bCs/>
          <w:i/>
        </w:rPr>
        <w:t>»</w:t>
      </w:r>
      <w:r w:rsidRPr="007E50AD">
        <w:rPr>
          <w:bCs/>
        </w:rPr>
        <w:t> </w:t>
      </w:r>
      <w:r w:rsidRPr="007E50AD">
        <w:rPr>
          <w:rStyle w:val="Appelnotedebasdep"/>
          <w:bCs/>
        </w:rPr>
        <w:footnoteReference w:id="1145"/>
      </w:r>
      <w:r w:rsidRPr="00F176B5">
        <w:rPr>
          <w:bCs/>
        </w:rPr>
        <w:t>.</w:t>
      </w:r>
      <w:r w:rsidRPr="007422C9">
        <w:rPr>
          <w:b/>
          <w:bCs/>
        </w:rPr>
        <w:t xml:space="preserve"> </w:t>
      </w:r>
      <w:r w:rsidRPr="007E50AD">
        <w:rPr>
          <w:i/>
          <w:lang w:eastAsia="fr-FR" w:bidi="fr-FR"/>
        </w:rPr>
        <w:t>Tout nous invite à penser qu'il écrivait lui-même dans le</w:t>
      </w:r>
      <w:r w:rsidRPr="007E50AD">
        <w:rPr>
          <w:b/>
          <w:bCs/>
          <w:i/>
        </w:rPr>
        <w:t xml:space="preserve"> « </w:t>
      </w:r>
      <w:r w:rsidRPr="007E50AD">
        <w:rPr>
          <w:i/>
          <w:lang w:eastAsia="fr-FR" w:bidi="fr-FR"/>
        </w:rPr>
        <w:t>lieu charmant</w:t>
      </w:r>
      <w:r w:rsidRPr="007E50AD">
        <w:rPr>
          <w:b/>
          <w:bCs/>
          <w:i/>
        </w:rPr>
        <w:t> </w:t>
      </w:r>
      <w:r w:rsidRPr="007E50AD">
        <w:rPr>
          <w:bCs/>
          <w:i/>
        </w:rPr>
        <w:t>» </w:t>
      </w:r>
      <w:r w:rsidRPr="007E50AD">
        <w:rPr>
          <w:rStyle w:val="Appelnotedebasdep"/>
          <w:bCs/>
        </w:rPr>
        <w:footnoteReference w:id="1146"/>
      </w:r>
      <w:r w:rsidRPr="00F176B5">
        <w:rPr>
          <w:bCs/>
        </w:rPr>
        <w:t>,</w:t>
      </w:r>
      <w:r w:rsidRPr="007422C9">
        <w:rPr>
          <w:b/>
          <w:bCs/>
        </w:rPr>
        <w:t xml:space="preserve"> </w:t>
      </w:r>
      <w:r w:rsidRPr="007E50AD">
        <w:rPr>
          <w:i/>
          <w:lang w:eastAsia="fr-FR" w:bidi="fr-FR"/>
        </w:rPr>
        <w:t>embelli par la reine, ami ou d</w:t>
      </w:r>
      <w:r w:rsidRPr="007E50AD">
        <w:rPr>
          <w:i/>
          <w:lang w:eastAsia="fr-FR" w:bidi="fr-FR"/>
        </w:rPr>
        <w:t>é</w:t>
      </w:r>
      <w:r w:rsidRPr="007E50AD">
        <w:rPr>
          <w:i/>
          <w:lang w:eastAsia="fr-FR" w:bidi="fr-FR"/>
        </w:rPr>
        <w:t>pendant du monastère, peut-être chapelain des nonnes </w:t>
      </w:r>
      <w:r>
        <w:rPr>
          <w:rStyle w:val="Appelnotedebasdep"/>
        </w:rPr>
        <w:footnoteReference w:id="1147"/>
      </w:r>
      <w:r w:rsidRPr="00F176B5">
        <w:rPr>
          <w:bCs/>
        </w:rPr>
        <w:t>.</w:t>
      </w:r>
    </w:p>
    <w:p w14:paraId="354A1CE3" w14:textId="77777777" w:rsidR="00B9662D" w:rsidRPr="00ED73A5" w:rsidRDefault="00B9662D" w:rsidP="00B9662D">
      <w:pPr>
        <w:spacing w:before="120" w:after="120"/>
        <w:jc w:val="both"/>
        <w:rPr>
          <w:i/>
        </w:rPr>
      </w:pPr>
      <w:r w:rsidRPr="007E50AD">
        <w:rPr>
          <w:i/>
          <w:lang w:eastAsia="fr-FR" w:bidi="fr-FR"/>
        </w:rPr>
        <w:lastRenderedPageBreak/>
        <w:t>Cherchons maintenant dans quelle mesure ce que nous savons de cette maison religieuse peut aider à expliquer l'œuvre qui</w:t>
      </w:r>
      <w:r w:rsidRPr="007422C9">
        <w:rPr>
          <w:lang w:eastAsia="fr-FR" w:bidi="fr-FR"/>
        </w:rPr>
        <w:t xml:space="preserve"> </w:t>
      </w:r>
      <w:r w:rsidRPr="00ED73A5">
        <w:rPr>
          <w:i/>
          <w:lang w:eastAsia="fr-FR" w:bidi="fr-FR"/>
        </w:rPr>
        <w:t>probabl</w:t>
      </w:r>
      <w:r w:rsidRPr="00ED73A5">
        <w:rPr>
          <w:i/>
          <w:lang w:eastAsia="fr-FR" w:bidi="fr-FR"/>
        </w:rPr>
        <w:t>e</w:t>
      </w:r>
      <w:r w:rsidRPr="00ED73A5">
        <w:rPr>
          <w:i/>
          <w:lang w:eastAsia="fr-FR" w:bidi="fr-FR"/>
        </w:rPr>
        <w:t>ment vit le jour à son ombre </w:t>
      </w:r>
      <w:r>
        <w:rPr>
          <w:rStyle w:val="Appelnotedebasdep"/>
        </w:rPr>
        <w:footnoteReference w:id="1148"/>
      </w:r>
      <w:r w:rsidRPr="007422C9">
        <w:rPr>
          <w:lang w:eastAsia="fr-FR" w:bidi="fr-FR"/>
        </w:rPr>
        <w:t xml:space="preserve">. </w:t>
      </w:r>
      <w:r w:rsidRPr="00ED73A5">
        <w:rPr>
          <w:i/>
          <w:lang w:eastAsia="fr-FR" w:bidi="fr-FR"/>
        </w:rPr>
        <w:t>L'abbaye de Wilton passait pour très ancienne ; mais sa célébrité ne datait guère que des dernières années du X</w:t>
      </w:r>
      <w:r w:rsidRPr="00ED73A5">
        <w:rPr>
          <w:rStyle w:val="Corpsdutexte28ptEspacement1pt"/>
          <w:b w:val="0"/>
          <w:i w:val="0"/>
          <w:sz w:val="28"/>
          <w:vertAlign w:val="superscript"/>
          <w:lang w:val="fr-CA"/>
        </w:rPr>
        <w:t>e</w:t>
      </w:r>
      <w:r w:rsidRPr="00ED73A5">
        <w:rPr>
          <w:rStyle w:val="Corpsdutexte28ptEspacement1pt"/>
          <w:i w:val="0"/>
          <w:sz w:val="28"/>
          <w:lang w:val="fr-CA"/>
        </w:rPr>
        <w:t xml:space="preserve"> </w:t>
      </w:r>
      <w:r w:rsidRPr="00ED73A5">
        <w:rPr>
          <w:i/>
          <w:lang w:eastAsia="fr-FR" w:bidi="fr-FR"/>
        </w:rPr>
        <w:t>siècle. En ce temps-là, Êdith (ce nom porté par des personnes différentes va sans cesse revenir dans notre récit), fille naturelle du roi Edgar, s'y retira ; elle y mena une vie édifiante, mourut</w:t>
      </w:r>
      <w:r w:rsidRPr="00ED73A5">
        <w:rPr>
          <w:b/>
          <w:bCs/>
          <w:i/>
        </w:rPr>
        <w:t> — </w:t>
      </w:r>
      <w:r w:rsidRPr="00ED73A5">
        <w:rPr>
          <w:i/>
          <w:lang w:eastAsia="fr-FR" w:bidi="fr-FR"/>
        </w:rPr>
        <w:t>au cours de l'année 984</w:t>
      </w:r>
      <w:r w:rsidRPr="00ED73A5">
        <w:rPr>
          <w:b/>
          <w:bCs/>
          <w:i/>
        </w:rPr>
        <w:t> — </w:t>
      </w:r>
      <w:r w:rsidRPr="00ED73A5">
        <w:rPr>
          <w:i/>
          <w:lang w:eastAsia="fr-FR" w:bidi="fr-FR"/>
        </w:rPr>
        <w:t>en odeur de sainteté et devint bientôt, sous le nom de sainte Édith, la patronne de la communauté qu'elle avait e</w:t>
      </w:r>
      <w:r w:rsidRPr="00ED73A5">
        <w:rPr>
          <w:i/>
          <w:lang w:eastAsia="fr-FR" w:bidi="fr-FR"/>
        </w:rPr>
        <w:t>m</w:t>
      </w:r>
      <w:r w:rsidRPr="00ED73A5">
        <w:rPr>
          <w:i/>
          <w:lang w:eastAsia="fr-FR" w:bidi="fr-FR"/>
        </w:rPr>
        <w:t>bellie de ses vertus. Plus tard son homonyme la reine Édith, fille de Godwin et femme du Confesseur, dont il a déjà été si souvent question dans ces pages, eut à son tour avec le monastère de Wilton les liens les plus étroits : elle y avait été élevée ; elle en fut, comme il a été dit plus haut, la bienfaitrice ; devenue veuve, elle y séjourna quelqu</w:t>
      </w:r>
      <w:r w:rsidRPr="00ED73A5">
        <w:rPr>
          <w:i/>
          <w:lang w:eastAsia="fr-FR" w:bidi="fr-FR"/>
        </w:rPr>
        <w:t>e</w:t>
      </w:r>
      <w:r w:rsidRPr="00ED73A5">
        <w:rPr>
          <w:i/>
          <w:lang w:eastAsia="fr-FR" w:bidi="fr-FR"/>
        </w:rPr>
        <w:t>fois</w:t>
      </w:r>
      <w:r>
        <w:rPr>
          <w:lang w:eastAsia="fr-FR" w:bidi="fr-FR"/>
        </w:rPr>
        <w:t> </w:t>
      </w:r>
      <w:r>
        <w:rPr>
          <w:rStyle w:val="Appelnotedebasdep"/>
        </w:rPr>
        <w:footnoteReference w:id="1149"/>
      </w:r>
      <w:r w:rsidRPr="007422C9">
        <w:rPr>
          <w:lang w:eastAsia="fr-FR" w:bidi="fr-FR"/>
        </w:rPr>
        <w:t xml:space="preserve">. </w:t>
      </w:r>
      <w:r w:rsidRPr="00ED73A5">
        <w:rPr>
          <w:i/>
          <w:lang w:eastAsia="fr-FR" w:bidi="fr-FR"/>
        </w:rPr>
        <w:t>Nul doute qu'après sa mort sa mémoire n'y ait été pieusement conservée. Quand, vers le début du XII</w:t>
      </w:r>
      <w:r w:rsidRPr="00ED73A5">
        <w:rPr>
          <w:i/>
          <w:vertAlign w:val="superscript"/>
          <w:lang w:eastAsia="fr-FR" w:bidi="fr-FR"/>
        </w:rPr>
        <w:t>e</w:t>
      </w:r>
      <w:r w:rsidRPr="00ED73A5">
        <w:rPr>
          <w:i/>
          <w:lang w:eastAsia="fr-FR" w:bidi="fr-FR"/>
        </w:rPr>
        <w:t xml:space="preserve"> siècle, son ancien époux fut en passe d'être reconnu comme un saint, les nonnes se prirent vra</w:t>
      </w:r>
      <w:r w:rsidRPr="00ED73A5">
        <w:rPr>
          <w:i/>
          <w:lang w:eastAsia="fr-FR" w:bidi="fr-FR"/>
        </w:rPr>
        <w:t>i</w:t>
      </w:r>
      <w:r w:rsidRPr="00ED73A5">
        <w:rPr>
          <w:i/>
          <w:lang w:eastAsia="fr-FR" w:bidi="fr-FR"/>
        </w:rPr>
        <w:t>semblablement à songer qu'à la gloire du mari la femme pouvait et devait être associée. L'ouvrage du Biographe naquit de cette préocc</w:t>
      </w:r>
      <w:r w:rsidRPr="00ED73A5">
        <w:rPr>
          <w:i/>
          <w:lang w:eastAsia="fr-FR" w:bidi="fr-FR"/>
        </w:rPr>
        <w:t>u</w:t>
      </w:r>
      <w:r w:rsidRPr="00ED73A5">
        <w:rPr>
          <w:i/>
          <w:lang w:eastAsia="fr-FR" w:bidi="fr-FR"/>
        </w:rPr>
        <w:t>pation. Ce fut une Vie du roi, écrite dans le dessein de vanter la re</w:t>
      </w:r>
      <w:r w:rsidRPr="00ED73A5">
        <w:rPr>
          <w:i/>
          <w:lang w:eastAsia="fr-FR" w:bidi="fr-FR"/>
        </w:rPr>
        <w:t>i</w:t>
      </w:r>
      <w:r w:rsidRPr="00ED73A5">
        <w:rPr>
          <w:i/>
          <w:lang w:eastAsia="fr-FR" w:bidi="fr-FR"/>
        </w:rPr>
        <w:t>ne ; qui sait ? peut-être de frayer les voies à une canonisation future. Si tel a été le cas, ce que je n'oserais affirmer, la tentative échoua. Jamais Édith fille de Godwin ne fut portée sur les autels.</w:t>
      </w:r>
    </w:p>
    <w:p w14:paraId="7742FCD0" w14:textId="77777777" w:rsidR="00B9662D" w:rsidRPr="007422C9" w:rsidRDefault="00B9662D" w:rsidP="00B9662D">
      <w:pPr>
        <w:spacing w:before="120" w:after="120"/>
        <w:jc w:val="both"/>
      </w:pPr>
      <w:r w:rsidRPr="00ED73A5">
        <w:rPr>
          <w:i/>
          <w:lang w:eastAsia="fr-FR" w:bidi="fr-FR"/>
        </w:rPr>
        <w:t>Mais pourquoi ce déguisement singulier adopté par le Biographe ? Pourquoi pour chanter les louanges de feu la reine Édith éprouva-t-il le</w:t>
      </w:r>
      <w:r>
        <w:rPr>
          <w:lang w:eastAsia="fr-FR" w:bidi="fr-FR"/>
        </w:rPr>
        <w:t xml:space="preserve"> [972] </w:t>
      </w:r>
      <w:r w:rsidRPr="00E0269A">
        <w:rPr>
          <w:i/>
          <w:lang w:eastAsia="fr-FR" w:bidi="fr-FR"/>
        </w:rPr>
        <w:t>besoin de se faire passer pour son familier</w:t>
      </w:r>
      <w:r w:rsidRPr="00E0269A">
        <w:rPr>
          <w:b/>
          <w:bCs/>
          <w:i/>
        </w:rPr>
        <w:t xml:space="preserve">, </w:t>
      </w:r>
      <w:r w:rsidRPr="00E0269A">
        <w:rPr>
          <w:i/>
          <w:lang w:eastAsia="fr-FR" w:bidi="fr-FR"/>
        </w:rPr>
        <w:t>travaillant pour elle, de son vivant ? Observons tout d'abord que nous n'avons le droit de mettre à sa charge, à coup sûr, qu'une demi-tromperie. Peut-être avait-il vraiment connu, dans sa jeunesse, la royale protectrice de Wilton : les dates ne s'y opposent point. Peut-être l'avait-elle effect</w:t>
      </w:r>
      <w:r w:rsidRPr="00E0269A">
        <w:rPr>
          <w:i/>
          <w:lang w:eastAsia="fr-FR" w:bidi="fr-FR"/>
        </w:rPr>
        <w:t>i</w:t>
      </w:r>
      <w:r w:rsidRPr="00E0269A">
        <w:rPr>
          <w:i/>
          <w:lang w:eastAsia="fr-FR" w:bidi="fr-FR"/>
        </w:rPr>
        <w:lastRenderedPageBreak/>
        <w:t>vement aidé à ses débuts. Le vers déjà cité :</w:t>
      </w:r>
      <w:r w:rsidRPr="00E0269A">
        <w:rPr>
          <w:b/>
          <w:bCs/>
          <w:i/>
        </w:rPr>
        <w:t xml:space="preserve"> </w:t>
      </w:r>
      <w:r w:rsidRPr="00E0269A">
        <w:rPr>
          <w:bCs/>
          <w:i/>
        </w:rPr>
        <w:t>«</w:t>
      </w:r>
      <w:r w:rsidRPr="00E0269A">
        <w:rPr>
          <w:b/>
          <w:bCs/>
          <w:i/>
        </w:rPr>
        <w:t> </w:t>
      </w:r>
      <w:r w:rsidRPr="00E0269A">
        <w:rPr>
          <w:i/>
          <w:lang w:eastAsia="fr-FR" w:bidi="fr-FR"/>
        </w:rPr>
        <w:t>Tu chanteras la reine, venue la première à ton secours</w:t>
      </w:r>
      <w:r w:rsidRPr="00E0269A">
        <w:rPr>
          <w:b/>
          <w:bCs/>
          <w:i/>
        </w:rPr>
        <w:t xml:space="preserve"> », </w:t>
      </w:r>
      <w:r w:rsidRPr="00E0269A">
        <w:rPr>
          <w:i/>
          <w:lang w:eastAsia="fr-FR" w:bidi="fr-FR"/>
        </w:rPr>
        <w:t>peut très bien ne pas être menso</w:t>
      </w:r>
      <w:r w:rsidRPr="00E0269A">
        <w:rPr>
          <w:i/>
          <w:lang w:eastAsia="fr-FR" w:bidi="fr-FR"/>
        </w:rPr>
        <w:t>n</w:t>
      </w:r>
      <w:r w:rsidRPr="00E0269A">
        <w:rPr>
          <w:i/>
          <w:lang w:eastAsia="fr-FR" w:bidi="fr-FR"/>
        </w:rPr>
        <w:t>ger. Mais qu'il ait écrit pour elle, avec l'espoir, comme il l'affirme, qu'elle</w:t>
      </w:r>
      <w:r w:rsidRPr="00E0269A">
        <w:rPr>
          <w:b/>
          <w:bCs/>
          <w:i/>
        </w:rPr>
        <w:t xml:space="preserve"> « </w:t>
      </w:r>
      <w:r w:rsidRPr="00E0269A">
        <w:rPr>
          <w:i/>
          <w:lang w:eastAsia="fr-FR" w:bidi="fr-FR"/>
        </w:rPr>
        <w:t>lirait et relirait</w:t>
      </w:r>
      <w:r w:rsidRPr="00E0269A">
        <w:rPr>
          <w:b/>
          <w:bCs/>
          <w:i/>
        </w:rPr>
        <w:t xml:space="preserve"> » </w:t>
      </w:r>
      <w:r w:rsidRPr="00E0269A">
        <w:rPr>
          <w:i/>
          <w:lang w:eastAsia="fr-FR" w:bidi="fr-FR"/>
        </w:rPr>
        <w:t>son ouvrage </w:t>
      </w:r>
      <w:r>
        <w:rPr>
          <w:rStyle w:val="Appelnotedebasdep"/>
        </w:rPr>
        <w:footnoteReference w:id="1150"/>
      </w:r>
      <w:r w:rsidRPr="007422C9">
        <w:rPr>
          <w:lang w:eastAsia="fr-FR" w:bidi="fr-FR"/>
        </w:rPr>
        <w:t xml:space="preserve">, </w:t>
      </w:r>
      <w:r w:rsidRPr="00E0269A">
        <w:rPr>
          <w:i/>
          <w:lang w:eastAsia="fr-FR" w:bidi="fr-FR"/>
        </w:rPr>
        <w:t>c'est ce qu'après tout ce qui précède nous ne pouvons plus admettre. D'où vient, encore une fois, qu'il ait essayé de nous induire en erreur ?</w:t>
      </w:r>
    </w:p>
    <w:p w14:paraId="5FE9BB49" w14:textId="77777777" w:rsidR="00B9662D" w:rsidRPr="00E0269A" w:rsidRDefault="00B9662D" w:rsidP="00B9662D">
      <w:pPr>
        <w:spacing w:before="120" w:after="120"/>
        <w:jc w:val="both"/>
        <w:rPr>
          <w:i/>
        </w:rPr>
      </w:pPr>
      <w:r w:rsidRPr="00E0269A">
        <w:rPr>
          <w:i/>
          <w:lang w:eastAsia="fr-FR" w:bidi="fr-FR"/>
        </w:rPr>
        <w:t>En lui-même un pareil procédé, au fond, n'avait rien d'extraord</w:t>
      </w:r>
      <w:r w:rsidRPr="00E0269A">
        <w:rPr>
          <w:i/>
          <w:lang w:eastAsia="fr-FR" w:bidi="fr-FR"/>
        </w:rPr>
        <w:t>i</w:t>
      </w:r>
      <w:r w:rsidRPr="00E0269A">
        <w:rPr>
          <w:i/>
          <w:lang w:eastAsia="fr-FR" w:bidi="fr-FR"/>
        </w:rPr>
        <w:t>naire. Il était familier aux hagiographes, et paraissait sans doute fort innocent. Plus d'une Vie de saint d'époque tardive se donne avec une naïve hardiesse pour l'œuvre d'un disciple ou d'un contemporain. En usant d'une fiction de cette sorte, le Biographe ne croyait peut-être qu'obéir à une des règles du genre littéraire qu'il pratiquait. En l'e</w:t>
      </w:r>
      <w:r w:rsidRPr="00E0269A">
        <w:rPr>
          <w:i/>
          <w:lang w:eastAsia="fr-FR" w:bidi="fr-FR"/>
        </w:rPr>
        <w:t>s</w:t>
      </w:r>
      <w:r w:rsidRPr="00E0269A">
        <w:rPr>
          <w:i/>
          <w:lang w:eastAsia="fr-FR" w:bidi="fr-FR"/>
        </w:rPr>
        <w:t>pèce, cependant, on peut supposer qu'il visait, par son artifice, un but précis. Il écrivait, on le sait, entre 1103 et 1120. Or à cette époque, ou du moins jusqu'au 1</w:t>
      </w:r>
      <w:r w:rsidRPr="00E0269A">
        <w:rPr>
          <w:i/>
          <w:vertAlign w:val="superscript"/>
          <w:lang w:eastAsia="fr-FR" w:bidi="fr-FR"/>
        </w:rPr>
        <w:t>er</w:t>
      </w:r>
      <w:r w:rsidRPr="00E0269A">
        <w:rPr>
          <w:i/>
          <w:lang w:eastAsia="fr-FR" w:bidi="fr-FR"/>
        </w:rPr>
        <w:t xml:space="preserve"> mai 1118, si la reine Édith, femme du Confe</w:t>
      </w:r>
      <w:r w:rsidRPr="00E0269A">
        <w:rPr>
          <w:i/>
          <w:lang w:eastAsia="fr-FR" w:bidi="fr-FR"/>
        </w:rPr>
        <w:t>s</w:t>
      </w:r>
      <w:r w:rsidRPr="00E0269A">
        <w:rPr>
          <w:i/>
          <w:lang w:eastAsia="fr-FR" w:bidi="fr-FR"/>
        </w:rPr>
        <w:t>seur, n'était plus, il y avait en Angleterre de nouveau une souveraine du même nom, cette princesse de sang anglo-saxon que Henri Bea</w:t>
      </w:r>
      <w:r w:rsidRPr="00E0269A">
        <w:rPr>
          <w:i/>
          <w:lang w:eastAsia="fr-FR" w:bidi="fr-FR"/>
        </w:rPr>
        <w:t>u</w:t>
      </w:r>
      <w:r w:rsidRPr="00E0269A">
        <w:rPr>
          <w:i/>
          <w:lang w:eastAsia="fr-FR" w:bidi="fr-FR"/>
        </w:rPr>
        <w:t>clerc avait épousée et dont l'union avec le roi normand avait donné lieu à la fameuse prophétie de l'arbre coupé ; elle s'appelait officie</w:t>
      </w:r>
      <w:r w:rsidRPr="00E0269A">
        <w:rPr>
          <w:i/>
          <w:lang w:eastAsia="fr-FR" w:bidi="fr-FR"/>
        </w:rPr>
        <w:t>l</w:t>
      </w:r>
      <w:r w:rsidRPr="00E0269A">
        <w:rPr>
          <w:i/>
          <w:lang w:eastAsia="fr-FR" w:bidi="fr-FR"/>
        </w:rPr>
        <w:t>lement Mathilde, mais sans doute ses sujets anglais n'avaient point cessé de la désigner par son nom de baptême. Elle aussi avait des liens avec l'abbaye de Wilton ; elle y avait vécu avant d'être tirée de l'obscurité par son mariage. C'était une femme lettrée, à qui les poètes adressaient volontiers leurs vers latins </w:t>
      </w:r>
      <w:r>
        <w:rPr>
          <w:rStyle w:val="Appelnotedebasdep"/>
        </w:rPr>
        <w:footnoteReference w:id="1151"/>
      </w:r>
      <w:r w:rsidRPr="00F176B5">
        <w:rPr>
          <w:bCs/>
        </w:rPr>
        <w:t> ;</w:t>
      </w:r>
      <w:r w:rsidRPr="007422C9">
        <w:rPr>
          <w:b/>
          <w:bCs/>
        </w:rPr>
        <w:t xml:space="preserve"> </w:t>
      </w:r>
      <w:r w:rsidRPr="00E0269A">
        <w:rPr>
          <w:i/>
          <w:lang w:eastAsia="fr-FR" w:bidi="fr-FR"/>
        </w:rPr>
        <w:t>et c'était la descendante de Cerdic, ce qui ne pouvait manquer de toucher le cœur du Biographe, dont toute l'œuvre respire la fidélité aux vieux souvenirs nationaux. Quand il portait aux nues, en des</w:t>
      </w:r>
      <w:r w:rsidRPr="007422C9">
        <w:rPr>
          <w:lang w:eastAsia="fr-FR" w:bidi="fr-FR"/>
        </w:rPr>
        <w:t xml:space="preserve"> </w:t>
      </w:r>
      <w:r w:rsidRPr="00E0269A">
        <w:rPr>
          <w:i/>
          <w:lang w:eastAsia="fr-FR" w:bidi="fr-FR"/>
        </w:rPr>
        <w:t>hexamètres et pentamètres lab</w:t>
      </w:r>
      <w:r w:rsidRPr="00E0269A">
        <w:rPr>
          <w:i/>
          <w:lang w:eastAsia="fr-FR" w:bidi="fr-FR"/>
        </w:rPr>
        <w:t>o</w:t>
      </w:r>
      <w:r w:rsidRPr="00E0269A">
        <w:rPr>
          <w:i/>
          <w:lang w:eastAsia="fr-FR" w:bidi="fr-FR"/>
        </w:rPr>
        <w:t>rieux, la reine Édith I</w:t>
      </w:r>
      <w:r w:rsidRPr="00E0269A">
        <w:rPr>
          <w:i/>
          <w:vertAlign w:val="superscript"/>
          <w:lang w:eastAsia="fr-FR" w:bidi="fr-FR"/>
        </w:rPr>
        <w:t>re</w:t>
      </w:r>
      <w:r w:rsidRPr="00E0269A">
        <w:rPr>
          <w:i/>
          <w:lang w:eastAsia="fr-FR" w:bidi="fr-FR"/>
        </w:rPr>
        <w:t>, quand il s'adressait à cette morte comme à une personne vivante et à une protectrice toujours présente, était-ce vraiment à la veuve du Confesseur qu'aillait sa pensée ? ou bien ne faut-il pas voir plutôt dans ces effusions poétiques un délicat homm</w:t>
      </w:r>
      <w:r w:rsidRPr="00E0269A">
        <w:rPr>
          <w:i/>
          <w:lang w:eastAsia="fr-FR" w:bidi="fr-FR"/>
        </w:rPr>
        <w:t>a</w:t>
      </w:r>
      <w:r w:rsidRPr="00E0269A">
        <w:rPr>
          <w:i/>
          <w:lang w:eastAsia="fr-FR" w:bidi="fr-FR"/>
        </w:rPr>
        <w:t>ge, sous le voile de l’homonymie, à la reine du jour, une allusion su</w:t>
      </w:r>
      <w:r w:rsidRPr="00E0269A">
        <w:rPr>
          <w:i/>
          <w:lang w:eastAsia="fr-FR" w:bidi="fr-FR"/>
        </w:rPr>
        <w:t>b</w:t>
      </w:r>
      <w:r w:rsidRPr="00E0269A">
        <w:rPr>
          <w:i/>
          <w:lang w:eastAsia="fr-FR" w:bidi="fr-FR"/>
        </w:rPr>
        <w:t>tile à des faveurs déjà reçues ou seulement espérées ? Ce n'est là qu'une conjecture ; mais elle a de quoi séduire.</w:t>
      </w:r>
    </w:p>
    <w:p w14:paraId="24C2C5CC" w14:textId="77777777" w:rsidR="00B9662D" w:rsidRPr="00E0269A" w:rsidRDefault="00B9662D" w:rsidP="00B9662D">
      <w:pPr>
        <w:spacing w:before="120" w:after="120"/>
        <w:jc w:val="both"/>
        <w:rPr>
          <w:i/>
        </w:rPr>
      </w:pPr>
      <w:r w:rsidRPr="00E0269A">
        <w:rPr>
          <w:i/>
          <w:lang w:eastAsia="fr-FR" w:bidi="fr-FR"/>
        </w:rPr>
        <w:lastRenderedPageBreak/>
        <w:t>Arrivé au terme de cette longue étude, il convient d'en résumer les conclusions, en marquant, s'il se peut, dans l'exposé des résultats o</w:t>
      </w:r>
      <w:r w:rsidRPr="00E0269A">
        <w:rPr>
          <w:i/>
          <w:lang w:eastAsia="fr-FR" w:bidi="fr-FR"/>
        </w:rPr>
        <w:t>b</w:t>
      </w:r>
      <w:r w:rsidRPr="00E0269A">
        <w:rPr>
          <w:i/>
          <w:lang w:eastAsia="fr-FR" w:bidi="fr-FR"/>
        </w:rPr>
        <w:t>tenus, les différents degrés de certitude. Je le ferais volontiers comme il suit :</w:t>
      </w:r>
      <w:r w:rsidRPr="007422C9">
        <w:rPr>
          <w:lang w:eastAsia="fr-FR" w:bidi="fr-FR"/>
        </w:rPr>
        <w:t xml:space="preserve"> </w:t>
      </w:r>
      <w:r w:rsidRPr="00E0269A">
        <w:rPr>
          <w:i/>
          <w:lang w:eastAsia="fr-FR" w:bidi="fr-FR"/>
        </w:rPr>
        <w:t>la</w:t>
      </w:r>
      <w:r w:rsidRPr="007422C9">
        <w:rPr>
          <w:b/>
          <w:bCs/>
        </w:rPr>
        <w:t xml:space="preserve"> </w:t>
      </w:r>
      <w:r w:rsidRPr="00E0269A">
        <w:rPr>
          <w:bCs/>
        </w:rPr>
        <w:t>Vita Aeduuardi regis qui apud Westmonasterium requiescit</w:t>
      </w:r>
      <w:r w:rsidRPr="007422C9">
        <w:rPr>
          <w:b/>
          <w:bCs/>
        </w:rPr>
        <w:t xml:space="preserve"> </w:t>
      </w:r>
      <w:r w:rsidRPr="00E0269A">
        <w:rPr>
          <w:i/>
          <w:lang w:eastAsia="fr-FR" w:bidi="fr-FR"/>
        </w:rPr>
        <w:t>n'est certainement pas antérieure à 1103 ; elle fut composée, selon toute vraisemblance, entre 1103 et 1120, à Wilton ; son objet paraît avoir été d'associer à la gloire et peut-être à la sainteté du roi Édouard, sa veuve la reine Édith, bienfaitrice de ce monastère ; il n'est pas impossible que tout en poursuivant ce dessein l'auteur ait cherché en outre à flalter, par de fines allusions, la seconde reine Édith, femme de Henri Beauclerc ; en ce cas l'ouvrage serait ant</w:t>
      </w:r>
      <w:r w:rsidRPr="00E0269A">
        <w:rPr>
          <w:i/>
          <w:lang w:eastAsia="fr-FR" w:bidi="fr-FR"/>
        </w:rPr>
        <w:t>é</w:t>
      </w:r>
      <w:r w:rsidRPr="00E0269A">
        <w:rPr>
          <w:i/>
          <w:lang w:eastAsia="fr-FR" w:bidi="fr-FR"/>
        </w:rPr>
        <w:t>rieur au 1</w:t>
      </w:r>
      <w:r w:rsidRPr="00E0269A">
        <w:rPr>
          <w:i/>
          <w:vertAlign w:val="superscript"/>
          <w:lang w:eastAsia="fr-FR" w:bidi="fr-FR"/>
        </w:rPr>
        <w:t>er</w:t>
      </w:r>
      <w:r w:rsidRPr="00E0269A">
        <w:rPr>
          <w:i/>
          <w:lang w:eastAsia="fr-FR" w:bidi="fr-FR"/>
        </w:rPr>
        <w:t xml:space="preserve"> mai 1118 (date de la mort de cette souveraine). En tout état de cause la</w:t>
      </w:r>
      <w:r w:rsidRPr="007422C9">
        <w:rPr>
          <w:b/>
          <w:bCs/>
        </w:rPr>
        <w:t xml:space="preserve"> </w:t>
      </w:r>
      <w:r w:rsidRPr="00E0269A">
        <w:rPr>
          <w:bCs/>
        </w:rPr>
        <w:t>Vita</w:t>
      </w:r>
      <w:r w:rsidRPr="007422C9">
        <w:rPr>
          <w:b/>
          <w:bCs/>
        </w:rPr>
        <w:t xml:space="preserve"> </w:t>
      </w:r>
      <w:r w:rsidRPr="00E0269A">
        <w:rPr>
          <w:i/>
          <w:lang w:eastAsia="fr-FR" w:bidi="fr-FR"/>
        </w:rPr>
        <w:t>doit être</w:t>
      </w:r>
      <w:r>
        <w:rPr>
          <w:lang w:eastAsia="fr-FR" w:bidi="fr-FR"/>
        </w:rPr>
        <w:t xml:space="preserve"> [973] </w:t>
      </w:r>
      <w:r w:rsidRPr="00E0269A">
        <w:rPr>
          <w:i/>
          <w:lang w:eastAsia="fr-FR" w:bidi="fr-FR"/>
        </w:rPr>
        <w:t>considérée, en ce qui touche la vie et le règne d'Édouard, comme une source capable de fournir par ci par là des renseignements utiles, mais dans l'ensemble d'autorité extrêmement médiocre.</w:t>
      </w:r>
    </w:p>
    <w:p w14:paraId="5F2AFAA0" w14:textId="77777777" w:rsidR="00B9662D" w:rsidRDefault="00B9662D" w:rsidP="00B9662D">
      <w:pPr>
        <w:spacing w:before="120" w:after="120"/>
        <w:jc w:val="both"/>
        <w:rPr>
          <w:rStyle w:val="Corpsdutexte510ptNonGrasEspacement0pt"/>
          <w:b w:val="0"/>
          <w:bCs w:val="0"/>
          <w:sz w:val="28"/>
          <w:lang w:val="fr-CA"/>
        </w:rPr>
      </w:pPr>
    </w:p>
    <w:p w14:paraId="0EDDABF6" w14:textId="77777777" w:rsidR="00B9662D" w:rsidRPr="007422C9" w:rsidRDefault="00B9662D" w:rsidP="00B9662D">
      <w:pPr>
        <w:pStyle w:val="planche"/>
      </w:pPr>
      <w:bookmarkStart w:id="57" w:name="Melanges_t2_pt_9_chap_IV_III"/>
      <w:r w:rsidRPr="00A41148">
        <w:t>III. L’</w:t>
      </w:r>
      <w:r w:rsidRPr="007422C9">
        <w:t>ŒUVRE D’OSBERT DE CLARE ;</w:t>
      </w:r>
      <w:r>
        <w:rPr>
          <w:rStyle w:val="Corpsdutexte510ptNonGrasEspacement0pt"/>
          <w:b w:val="0"/>
          <w:bCs/>
          <w:sz w:val="28"/>
          <w:lang w:val="fr-CA"/>
        </w:rPr>
        <w:br/>
      </w:r>
      <w:r w:rsidRPr="007422C9">
        <w:t>SES SOU</w:t>
      </w:r>
      <w:r w:rsidRPr="007422C9">
        <w:t>R</w:t>
      </w:r>
      <w:r w:rsidRPr="007422C9">
        <w:t>CES ET SA VALEUR ;</w:t>
      </w:r>
      <w:r>
        <w:br/>
      </w:r>
      <w:r w:rsidRPr="007422C9">
        <w:t>RÉCIT DE LA RESTAURATION</w:t>
      </w:r>
      <w:r>
        <w:br/>
      </w:r>
      <w:r w:rsidRPr="007422C9">
        <w:t>DE WESTMIN</w:t>
      </w:r>
      <w:r w:rsidRPr="007422C9">
        <w:t>S</w:t>
      </w:r>
      <w:r w:rsidRPr="007422C9">
        <w:t>TER</w:t>
      </w:r>
    </w:p>
    <w:bookmarkEnd w:id="57"/>
    <w:p w14:paraId="691ABC0E" w14:textId="77777777" w:rsidR="00B9662D" w:rsidRDefault="00B9662D" w:rsidP="00B9662D">
      <w:pPr>
        <w:spacing w:before="120" w:after="120"/>
        <w:jc w:val="both"/>
        <w:rPr>
          <w:b/>
          <w:bCs/>
        </w:rPr>
      </w:pPr>
    </w:p>
    <w:p w14:paraId="41AD4E1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09881A6" w14:textId="77777777" w:rsidR="00B9662D" w:rsidRPr="000308BC" w:rsidRDefault="00B9662D" w:rsidP="00B9662D">
      <w:pPr>
        <w:spacing w:before="120" w:after="120"/>
        <w:jc w:val="both"/>
        <w:rPr>
          <w:i/>
        </w:rPr>
      </w:pPr>
      <w:r w:rsidRPr="000308BC">
        <w:rPr>
          <w:b/>
          <w:bCs/>
          <w:i/>
        </w:rPr>
        <w:t>« </w:t>
      </w:r>
      <w:r w:rsidRPr="000308BC">
        <w:rPr>
          <w:i/>
          <w:lang w:eastAsia="fr-FR" w:bidi="fr-FR"/>
        </w:rPr>
        <w:t>Saint père de noire patrie, grand roi Édouard... Osbert né dans le bourg de Clare... a rassemblé ces traits de ta vertu royale, les pu</w:t>
      </w:r>
      <w:r w:rsidRPr="000308BC">
        <w:rPr>
          <w:i/>
          <w:lang w:eastAsia="fr-FR" w:bidi="fr-FR"/>
        </w:rPr>
        <w:t>i</w:t>
      </w:r>
      <w:r w:rsidRPr="000308BC">
        <w:rPr>
          <w:i/>
          <w:lang w:eastAsia="fr-FR" w:bidi="fr-FR"/>
        </w:rPr>
        <w:t>sant dans la variété de plusieurs volumes différents et, sous l'inspir</w:t>
      </w:r>
      <w:r w:rsidRPr="000308BC">
        <w:rPr>
          <w:i/>
          <w:lang w:eastAsia="fr-FR" w:bidi="fr-FR"/>
        </w:rPr>
        <w:t>a</w:t>
      </w:r>
      <w:r w:rsidRPr="000308BC">
        <w:rPr>
          <w:i/>
          <w:lang w:eastAsia="fr-FR" w:bidi="fr-FR"/>
        </w:rPr>
        <w:t>tion de la gloire de Dieu, a fait de cette diversité une unité</w:t>
      </w:r>
      <w:r w:rsidRPr="000308BC">
        <w:rPr>
          <w:b/>
          <w:bCs/>
          <w:i/>
        </w:rPr>
        <w:t> </w:t>
      </w:r>
      <w:r w:rsidRPr="000308BC">
        <w:rPr>
          <w:bCs/>
          <w:i/>
        </w:rPr>
        <w:t>» </w:t>
      </w:r>
      <w:r w:rsidRPr="000308BC">
        <w:rPr>
          <w:rStyle w:val="Appelnotedebasdep"/>
          <w:bCs/>
        </w:rPr>
        <w:footnoteReference w:id="1152"/>
      </w:r>
      <w:r w:rsidRPr="000308BC">
        <w:rPr>
          <w:bCs/>
          <w:i/>
        </w:rPr>
        <w:t>.</w:t>
      </w:r>
      <w:r w:rsidRPr="000308BC">
        <w:rPr>
          <w:b/>
          <w:bCs/>
          <w:i/>
        </w:rPr>
        <w:t xml:space="preserve"> </w:t>
      </w:r>
      <w:r w:rsidRPr="000308BC">
        <w:rPr>
          <w:i/>
          <w:lang w:eastAsia="fr-FR" w:bidi="fr-FR"/>
        </w:rPr>
        <w:t>Ainsi s'exprime, dans les dernières lignes de son ouvrage, Osbert de Clare. Ses sources, de son propre aveu, furent donc multiples. Nous ne les connaissons pas toutes. Mais quelques-unes apparaissent avec év</w:t>
      </w:r>
      <w:r w:rsidRPr="000308BC">
        <w:rPr>
          <w:i/>
          <w:lang w:eastAsia="fr-FR" w:bidi="fr-FR"/>
        </w:rPr>
        <w:t>i</w:t>
      </w:r>
      <w:r w:rsidRPr="000308BC">
        <w:rPr>
          <w:i/>
          <w:lang w:eastAsia="fr-FR" w:bidi="fr-FR"/>
        </w:rPr>
        <w:t>dence. Les voici :</w:t>
      </w:r>
    </w:p>
    <w:p w14:paraId="65B27BDE" w14:textId="77777777" w:rsidR="00B9662D" w:rsidRPr="000308BC" w:rsidRDefault="00B9662D" w:rsidP="00B9662D">
      <w:pPr>
        <w:spacing w:before="120" w:after="120"/>
        <w:jc w:val="both"/>
        <w:rPr>
          <w:i/>
          <w:lang w:eastAsia="fr-FR" w:bidi="fr-FR"/>
        </w:rPr>
      </w:pPr>
      <w:r>
        <w:rPr>
          <w:i/>
          <w:lang w:eastAsia="fr-FR" w:bidi="fr-FR"/>
        </w:rPr>
        <w:br w:type="page"/>
      </w:r>
    </w:p>
    <w:p w14:paraId="0B46E731" w14:textId="77777777" w:rsidR="00B9662D" w:rsidRPr="007422C9" w:rsidRDefault="00B9662D" w:rsidP="00B9662D">
      <w:pPr>
        <w:spacing w:before="120" w:after="120"/>
        <w:ind w:left="720" w:hanging="360"/>
        <w:jc w:val="both"/>
      </w:pPr>
      <w:r w:rsidRPr="000308BC">
        <w:rPr>
          <w:i/>
          <w:lang w:eastAsia="fr-FR" w:bidi="fr-FR"/>
        </w:rPr>
        <w:t>1)</w:t>
      </w:r>
      <w:r>
        <w:rPr>
          <w:i/>
          <w:lang w:eastAsia="fr-FR" w:bidi="fr-FR"/>
        </w:rPr>
        <w:tab/>
      </w:r>
      <w:r w:rsidRPr="000308BC">
        <w:rPr>
          <w:i/>
          <w:lang w:eastAsia="fr-FR" w:bidi="fr-FR"/>
        </w:rPr>
        <w:t>La tradition orale ; Osbert y fait allusion dans sa lettre à l'év</w:t>
      </w:r>
      <w:r w:rsidRPr="000308BC">
        <w:rPr>
          <w:i/>
          <w:lang w:eastAsia="fr-FR" w:bidi="fr-FR"/>
        </w:rPr>
        <w:t>ê</w:t>
      </w:r>
      <w:r w:rsidRPr="000308BC">
        <w:rPr>
          <w:i/>
          <w:lang w:eastAsia="fr-FR" w:bidi="fr-FR"/>
        </w:rPr>
        <w:t>que de Winchester </w:t>
      </w:r>
      <w:r>
        <w:rPr>
          <w:rStyle w:val="Appelnotedebasdep"/>
        </w:rPr>
        <w:footnoteReference w:id="1153"/>
      </w:r>
      <w:r w:rsidRPr="007422C9">
        <w:rPr>
          <w:lang w:eastAsia="fr-FR" w:bidi="fr-FR"/>
        </w:rPr>
        <w:t>.</w:t>
      </w:r>
    </w:p>
    <w:p w14:paraId="3A1FF9B9" w14:textId="77777777" w:rsidR="00B9662D" w:rsidRPr="000308BC" w:rsidRDefault="00B9662D" w:rsidP="00B9662D">
      <w:pPr>
        <w:spacing w:before="120" w:after="120"/>
        <w:ind w:left="720" w:hanging="360"/>
        <w:jc w:val="both"/>
        <w:rPr>
          <w:i/>
        </w:rPr>
      </w:pPr>
      <w:r w:rsidRPr="000308BC">
        <w:rPr>
          <w:i/>
          <w:lang w:eastAsia="fr-FR" w:bidi="fr-FR"/>
        </w:rPr>
        <w:t>2)</w:t>
      </w:r>
      <w:r>
        <w:rPr>
          <w:i/>
          <w:lang w:eastAsia="fr-FR" w:bidi="fr-FR"/>
        </w:rPr>
        <w:tab/>
      </w:r>
      <w:r w:rsidRPr="000308BC">
        <w:rPr>
          <w:i/>
          <w:lang w:eastAsia="fr-FR" w:bidi="fr-FR"/>
        </w:rPr>
        <w:t>Un recueil de miracles composé à Westminster, ces</w:t>
      </w:r>
      <w:r w:rsidRPr="000308BC">
        <w:rPr>
          <w:b/>
          <w:bCs/>
          <w:i/>
        </w:rPr>
        <w:t xml:space="preserve"> « </w:t>
      </w:r>
      <w:r w:rsidRPr="000308BC">
        <w:rPr>
          <w:i/>
          <w:lang w:eastAsia="fr-FR" w:bidi="fr-FR"/>
        </w:rPr>
        <w:t>cédules... écrites par nos saints pères</w:t>
      </w:r>
      <w:r w:rsidRPr="000308BC">
        <w:rPr>
          <w:b/>
          <w:bCs/>
          <w:i/>
        </w:rPr>
        <w:t xml:space="preserve"> » </w:t>
      </w:r>
      <w:r w:rsidRPr="000308BC">
        <w:rPr>
          <w:i/>
          <w:lang w:eastAsia="fr-FR" w:bidi="fr-FR"/>
        </w:rPr>
        <w:t>citées par Osbert lui-même. On sait que cet écrit aujourd'hui perdu est représenté vraisembl</w:t>
      </w:r>
      <w:r w:rsidRPr="000308BC">
        <w:rPr>
          <w:i/>
          <w:lang w:eastAsia="fr-FR" w:bidi="fr-FR"/>
        </w:rPr>
        <w:t>a</w:t>
      </w:r>
      <w:r w:rsidRPr="000308BC">
        <w:rPr>
          <w:i/>
          <w:lang w:eastAsia="fr-FR" w:bidi="fr-FR"/>
        </w:rPr>
        <w:t>blement, dans ses données essentielles, par les parties comm</w:t>
      </w:r>
      <w:r w:rsidRPr="000308BC">
        <w:rPr>
          <w:i/>
          <w:lang w:eastAsia="fr-FR" w:bidi="fr-FR"/>
        </w:rPr>
        <w:t>u</w:t>
      </w:r>
      <w:r w:rsidRPr="000308BC">
        <w:rPr>
          <w:i/>
          <w:lang w:eastAsia="fr-FR" w:bidi="fr-FR"/>
        </w:rPr>
        <w:t>nes aux</w:t>
      </w:r>
      <w:r w:rsidRPr="007422C9">
        <w:rPr>
          <w:b/>
          <w:bCs/>
        </w:rPr>
        <w:t xml:space="preserve"> </w:t>
      </w:r>
      <w:r w:rsidRPr="000308BC">
        <w:rPr>
          <w:bCs/>
        </w:rPr>
        <w:t>Gesta Regum</w:t>
      </w:r>
      <w:r w:rsidRPr="007422C9">
        <w:rPr>
          <w:b/>
          <w:bCs/>
        </w:rPr>
        <w:t xml:space="preserve"> </w:t>
      </w:r>
      <w:r w:rsidRPr="000308BC">
        <w:rPr>
          <w:i/>
          <w:lang w:eastAsia="fr-FR" w:bidi="fr-FR"/>
        </w:rPr>
        <w:t>de Guillaume de Malmesbury d'une part, à la</w:t>
      </w:r>
      <w:r w:rsidRPr="007422C9">
        <w:rPr>
          <w:b/>
          <w:bCs/>
        </w:rPr>
        <w:t xml:space="preserve"> </w:t>
      </w:r>
      <w:r w:rsidRPr="000308BC">
        <w:rPr>
          <w:bCs/>
        </w:rPr>
        <w:t>Vie</w:t>
      </w:r>
      <w:r w:rsidRPr="007422C9">
        <w:rPr>
          <w:b/>
          <w:bCs/>
        </w:rPr>
        <w:t xml:space="preserve"> </w:t>
      </w:r>
      <w:r w:rsidRPr="000308BC">
        <w:rPr>
          <w:i/>
          <w:lang w:eastAsia="fr-FR" w:bidi="fr-FR"/>
        </w:rPr>
        <w:t>du Biographe de l'autre</w:t>
      </w:r>
      <w:r>
        <w:rPr>
          <w:lang w:eastAsia="fr-FR" w:bidi="fr-FR"/>
        </w:rPr>
        <w:t> </w:t>
      </w:r>
      <w:r>
        <w:rPr>
          <w:rStyle w:val="Appelnotedebasdep"/>
        </w:rPr>
        <w:footnoteReference w:id="1154"/>
      </w:r>
      <w:r w:rsidRPr="00F176B5">
        <w:rPr>
          <w:bCs/>
        </w:rPr>
        <w:t>.</w:t>
      </w:r>
      <w:r w:rsidRPr="007422C9">
        <w:rPr>
          <w:b/>
          <w:bCs/>
        </w:rPr>
        <w:t xml:space="preserve"> </w:t>
      </w:r>
      <w:r w:rsidRPr="000308BC">
        <w:rPr>
          <w:i/>
          <w:lang w:eastAsia="fr-FR" w:bidi="fr-FR"/>
        </w:rPr>
        <w:t>Osbert a largement amplifié tout ce qu'il a pu lui emprunter.</w:t>
      </w:r>
    </w:p>
    <w:p w14:paraId="77BC0D83" w14:textId="77777777" w:rsidR="00B9662D" w:rsidRPr="000308BC" w:rsidRDefault="00B9662D" w:rsidP="00B9662D">
      <w:pPr>
        <w:spacing w:before="120" w:after="120"/>
        <w:ind w:left="720" w:hanging="360"/>
        <w:jc w:val="both"/>
        <w:rPr>
          <w:i/>
        </w:rPr>
      </w:pPr>
      <w:r w:rsidRPr="000308BC">
        <w:rPr>
          <w:i/>
          <w:lang w:eastAsia="fr-FR" w:bidi="fr-FR"/>
        </w:rPr>
        <w:t>3)</w:t>
      </w:r>
      <w:r>
        <w:rPr>
          <w:i/>
          <w:lang w:eastAsia="fr-FR" w:bidi="fr-FR"/>
        </w:rPr>
        <w:tab/>
      </w:r>
      <w:r w:rsidRPr="000308BC">
        <w:rPr>
          <w:i/>
          <w:lang w:eastAsia="fr-FR" w:bidi="fr-FR"/>
        </w:rPr>
        <w:t>Le Biographe ; j'ai signalé plus haut ses rapports avec O</w:t>
      </w:r>
      <w:r w:rsidRPr="000308BC">
        <w:rPr>
          <w:i/>
          <w:lang w:eastAsia="fr-FR" w:bidi="fr-FR"/>
        </w:rPr>
        <w:t>s</w:t>
      </w:r>
      <w:r w:rsidRPr="000308BC">
        <w:rPr>
          <w:i/>
          <w:lang w:eastAsia="fr-FR" w:bidi="fr-FR"/>
        </w:rPr>
        <w:t>bert</w:t>
      </w:r>
      <w:r w:rsidRPr="000308BC">
        <w:rPr>
          <w:b/>
          <w:bCs/>
          <w:i/>
        </w:rPr>
        <w:t> — </w:t>
      </w:r>
      <w:r w:rsidRPr="000308BC">
        <w:rPr>
          <w:i/>
          <w:lang w:eastAsia="fr-FR" w:bidi="fr-FR"/>
        </w:rPr>
        <w:t>rapports de modèle à imitateur, nous le savons maint</w:t>
      </w:r>
      <w:r w:rsidRPr="000308BC">
        <w:rPr>
          <w:i/>
          <w:lang w:eastAsia="fr-FR" w:bidi="fr-FR"/>
        </w:rPr>
        <w:t>e</w:t>
      </w:r>
      <w:r w:rsidRPr="000308BC">
        <w:rPr>
          <w:i/>
          <w:lang w:eastAsia="fr-FR" w:bidi="fr-FR"/>
        </w:rPr>
        <w:t>nant, à n'en plus douter.</w:t>
      </w:r>
    </w:p>
    <w:p w14:paraId="045F5C98" w14:textId="77777777" w:rsidR="00B9662D" w:rsidRPr="000308BC" w:rsidRDefault="00B9662D" w:rsidP="00B9662D">
      <w:pPr>
        <w:spacing w:before="120" w:after="120"/>
        <w:ind w:left="720" w:hanging="360"/>
        <w:jc w:val="both"/>
        <w:rPr>
          <w:i/>
        </w:rPr>
      </w:pPr>
      <w:r w:rsidRPr="000308BC">
        <w:rPr>
          <w:i/>
          <w:lang w:eastAsia="fr-FR" w:bidi="fr-FR"/>
        </w:rPr>
        <w:t>4)</w:t>
      </w:r>
      <w:r>
        <w:rPr>
          <w:i/>
          <w:lang w:eastAsia="fr-FR" w:bidi="fr-FR"/>
        </w:rPr>
        <w:tab/>
      </w:r>
      <w:r w:rsidRPr="000308BC">
        <w:rPr>
          <w:i/>
          <w:lang w:eastAsia="fr-FR" w:bidi="fr-FR"/>
        </w:rPr>
        <w:t>L'histoire de Westminster par Sulcard.</w:t>
      </w:r>
    </w:p>
    <w:p w14:paraId="596FEC63" w14:textId="77777777" w:rsidR="00B9662D" w:rsidRPr="007422C9" w:rsidRDefault="00B9662D" w:rsidP="00B9662D">
      <w:pPr>
        <w:spacing w:before="120" w:after="120"/>
        <w:ind w:left="720" w:hanging="360"/>
        <w:jc w:val="both"/>
      </w:pPr>
      <w:r w:rsidRPr="000308BC">
        <w:rPr>
          <w:i/>
          <w:lang w:eastAsia="fr-FR" w:bidi="fr-FR"/>
        </w:rPr>
        <w:lastRenderedPageBreak/>
        <w:t>5)</w:t>
      </w:r>
      <w:r>
        <w:rPr>
          <w:i/>
          <w:lang w:eastAsia="fr-FR" w:bidi="fr-FR"/>
        </w:rPr>
        <w:tab/>
      </w:r>
      <w:r w:rsidRPr="000308BC">
        <w:rPr>
          <w:i/>
          <w:lang w:eastAsia="fr-FR" w:bidi="fr-FR"/>
        </w:rPr>
        <w:t>La Vie de saint Mellitus, évêque de Londres, par Gosselin. L'i</w:t>
      </w:r>
      <w:r w:rsidRPr="000308BC">
        <w:rPr>
          <w:i/>
          <w:lang w:eastAsia="fr-FR" w:bidi="fr-FR"/>
        </w:rPr>
        <w:t>n</w:t>
      </w:r>
      <w:r w:rsidRPr="000308BC">
        <w:rPr>
          <w:i/>
          <w:lang w:eastAsia="fr-FR" w:bidi="fr-FR"/>
        </w:rPr>
        <w:t>fluence de ces deux derniers ouvrages sur Osbert a été mise en lumi</w:t>
      </w:r>
      <w:r w:rsidRPr="000308BC">
        <w:rPr>
          <w:i/>
          <w:lang w:eastAsia="fr-FR" w:bidi="fr-FR"/>
        </w:rPr>
        <w:t>è</w:t>
      </w:r>
      <w:r w:rsidRPr="000308BC">
        <w:rPr>
          <w:i/>
          <w:lang w:eastAsia="fr-FR" w:bidi="fr-FR"/>
        </w:rPr>
        <w:t>re par J. Armitage Robinson, dans un excellent travail, auquel je n'ai qu'à renvoyer </w:t>
      </w:r>
      <w:r>
        <w:rPr>
          <w:rStyle w:val="Appelnotedebasdep"/>
        </w:rPr>
        <w:footnoteReference w:id="1155"/>
      </w:r>
      <w:r w:rsidRPr="00E349FC">
        <w:rPr>
          <w:bCs/>
        </w:rPr>
        <w:t>.</w:t>
      </w:r>
    </w:p>
    <w:p w14:paraId="35CC8282" w14:textId="77777777" w:rsidR="00B9662D" w:rsidRPr="007422C9" w:rsidRDefault="00B9662D" w:rsidP="00B9662D">
      <w:pPr>
        <w:pStyle w:val="p"/>
      </w:pPr>
      <w:r>
        <w:t>[974]</w:t>
      </w:r>
    </w:p>
    <w:p w14:paraId="01B78853" w14:textId="77777777" w:rsidR="00B9662D" w:rsidRPr="000308BC" w:rsidRDefault="00B9662D" w:rsidP="00B9662D">
      <w:pPr>
        <w:spacing w:before="120" w:after="120"/>
        <w:ind w:left="720" w:hanging="360"/>
        <w:jc w:val="both"/>
        <w:rPr>
          <w:i/>
        </w:rPr>
      </w:pPr>
      <w:r w:rsidRPr="000308BC">
        <w:rPr>
          <w:i/>
          <w:lang w:eastAsia="fr-FR" w:bidi="fr-FR"/>
        </w:rPr>
        <w:t>6)</w:t>
      </w:r>
      <w:r>
        <w:rPr>
          <w:i/>
          <w:lang w:eastAsia="fr-FR" w:bidi="fr-FR"/>
        </w:rPr>
        <w:tab/>
      </w:r>
      <w:r w:rsidRPr="000308BC">
        <w:rPr>
          <w:i/>
          <w:lang w:eastAsia="fr-FR" w:bidi="fr-FR"/>
        </w:rPr>
        <w:t>Quelques textes diplomatiques provenant de Westminster. Ici un mot d'explication sera nécessaire.</w:t>
      </w:r>
    </w:p>
    <w:p w14:paraId="78F59C7C" w14:textId="77777777" w:rsidR="00B9662D" w:rsidRPr="000308BC" w:rsidRDefault="00B9662D" w:rsidP="00B9662D">
      <w:pPr>
        <w:spacing w:before="120" w:after="120"/>
        <w:jc w:val="both"/>
        <w:rPr>
          <w:i/>
          <w:lang w:eastAsia="fr-FR" w:bidi="fr-FR"/>
        </w:rPr>
      </w:pPr>
    </w:p>
    <w:p w14:paraId="01813411" w14:textId="77777777" w:rsidR="00B9662D" w:rsidRPr="007422C9" w:rsidRDefault="00B9662D" w:rsidP="00B9662D">
      <w:pPr>
        <w:spacing w:before="120" w:after="120"/>
        <w:jc w:val="both"/>
      </w:pPr>
      <w:r w:rsidRPr="000308BC">
        <w:rPr>
          <w:i/>
          <w:lang w:eastAsia="fr-FR" w:bidi="fr-FR"/>
        </w:rPr>
        <w:t>Osbert a inséré dans son récit deux bulles, l'une de Léon IX </w:t>
      </w:r>
      <w:r>
        <w:rPr>
          <w:rStyle w:val="Appelnotedebasdep"/>
        </w:rPr>
        <w:footnoteReference w:id="1156"/>
      </w:r>
      <w:r w:rsidRPr="007422C9">
        <w:rPr>
          <w:lang w:eastAsia="fr-FR" w:bidi="fr-FR"/>
        </w:rPr>
        <w:t xml:space="preserve">, </w:t>
      </w:r>
      <w:r w:rsidRPr="000308BC">
        <w:rPr>
          <w:i/>
          <w:lang w:eastAsia="fr-FR" w:bidi="fr-FR"/>
        </w:rPr>
        <w:t>l'a</w:t>
      </w:r>
      <w:r w:rsidRPr="000308BC">
        <w:rPr>
          <w:i/>
          <w:lang w:eastAsia="fr-FR" w:bidi="fr-FR"/>
        </w:rPr>
        <w:t>u</w:t>
      </w:r>
      <w:r w:rsidRPr="000308BC">
        <w:rPr>
          <w:i/>
          <w:lang w:eastAsia="fr-FR" w:bidi="fr-FR"/>
        </w:rPr>
        <w:t>tre de Nicolas II </w:t>
      </w:r>
      <w:r>
        <w:rPr>
          <w:rStyle w:val="Appelnotedebasdep"/>
        </w:rPr>
        <w:footnoteReference w:id="1157"/>
      </w:r>
      <w:r w:rsidRPr="007422C9">
        <w:rPr>
          <w:lang w:eastAsia="fr-FR" w:bidi="fr-FR"/>
        </w:rPr>
        <w:t xml:space="preserve">, </w:t>
      </w:r>
      <w:r w:rsidRPr="000308BC">
        <w:rPr>
          <w:i/>
          <w:lang w:eastAsia="fr-FR" w:bidi="fr-FR"/>
        </w:rPr>
        <w:t>rendues en faveur de Westminster, et une lettre de saint Édouard au second de ces deux papes </w:t>
      </w:r>
      <w:r>
        <w:rPr>
          <w:rStyle w:val="Appelnotedebasdep"/>
        </w:rPr>
        <w:footnoteReference w:id="1158"/>
      </w:r>
      <w:r w:rsidRPr="007422C9">
        <w:rPr>
          <w:lang w:eastAsia="fr-FR" w:bidi="fr-FR"/>
        </w:rPr>
        <w:t xml:space="preserve">. </w:t>
      </w:r>
      <w:r w:rsidRPr="000308BC">
        <w:rPr>
          <w:i/>
          <w:lang w:eastAsia="fr-FR" w:bidi="fr-FR"/>
        </w:rPr>
        <w:t>De plus son exposé des circonstances qui amenèrent saint Édouard à élever au bord de la Tamise une église sous le vocable de saint Pierre présente des re</w:t>
      </w:r>
      <w:r w:rsidRPr="000308BC">
        <w:rPr>
          <w:i/>
          <w:lang w:eastAsia="fr-FR" w:bidi="fr-FR"/>
        </w:rPr>
        <w:t>s</w:t>
      </w:r>
      <w:r w:rsidRPr="000308BC">
        <w:rPr>
          <w:i/>
          <w:lang w:eastAsia="fr-FR" w:bidi="fr-FR"/>
        </w:rPr>
        <w:t>semblances extrêmement fortes, dans les termes mêmes, avec deux diplômes du saint roi dont nous possédons par ailleurs les originaux, ou soi-disant tels, et plusieurs copies</w:t>
      </w:r>
      <w:r>
        <w:rPr>
          <w:lang w:eastAsia="fr-FR" w:bidi="fr-FR"/>
        </w:rPr>
        <w:t> </w:t>
      </w:r>
      <w:r>
        <w:rPr>
          <w:rStyle w:val="Appelnotedebasdep"/>
        </w:rPr>
        <w:footnoteReference w:id="1159"/>
      </w:r>
      <w:r w:rsidRPr="00E349FC">
        <w:rPr>
          <w:bCs/>
        </w:rPr>
        <w:t>.</w:t>
      </w:r>
    </w:p>
    <w:p w14:paraId="54B733AF" w14:textId="77777777" w:rsidR="00B9662D" w:rsidRPr="000308BC" w:rsidRDefault="00B9662D" w:rsidP="00B9662D">
      <w:pPr>
        <w:spacing w:before="120" w:after="120"/>
        <w:jc w:val="both"/>
        <w:rPr>
          <w:i/>
        </w:rPr>
      </w:pPr>
      <w:r w:rsidRPr="000308BC">
        <w:rPr>
          <w:i/>
          <w:lang w:eastAsia="fr-FR" w:bidi="fr-FR"/>
        </w:rPr>
        <w:lastRenderedPageBreak/>
        <w:t>Ces cinq documents appellent la critique. Mais on ne peut guère les examiner isolément. Ce qu'il nous faudrait, c'est une étude d'e</w:t>
      </w:r>
      <w:r w:rsidRPr="000308BC">
        <w:rPr>
          <w:i/>
          <w:lang w:eastAsia="fr-FR" w:bidi="fr-FR"/>
        </w:rPr>
        <w:t>n</w:t>
      </w:r>
      <w:r w:rsidRPr="000308BC">
        <w:rPr>
          <w:i/>
          <w:lang w:eastAsia="fr-FR" w:bidi="fr-FR"/>
        </w:rPr>
        <w:t>semble sur les anciens privilèges de Westminster. Une enquête de ce</w:t>
      </w:r>
      <w:r w:rsidRPr="000308BC">
        <w:rPr>
          <w:i/>
          <w:lang w:eastAsia="fr-FR" w:bidi="fr-FR"/>
        </w:rPr>
        <w:t>t</w:t>
      </w:r>
      <w:r w:rsidRPr="000308BC">
        <w:rPr>
          <w:i/>
          <w:lang w:eastAsia="fr-FR" w:bidi="fr-FR"/>
        </w:rPr>
        <w:t>te sorte mériterait de tenter un diplomatiste anglais ; elle donnerait sans doute des résultats curieux. Pour bien des raisons, je ne puis songer à l'entreprendre ; elle serait d'ailleurs ici hors de propos. Je me bornerai donc à quelques brèves observations, destinées seul</w:t>
      </w:r>
      <w:r w:rsidRPr="000308BC">
        <w:rPr>
          <w:i/>
          <w:lang w:eastAsia="fr-FR" w:bidi="fr-FR"/>
        </w:rPr>
        <w:t>e</w:t>
      </w:r>
      <w:r w:rsidRPr="000308BC">
        <w:rPr>
          <w:i/>
          <w:lang w:eastAsia="fr-FR" w:bidi="fr-FR"/>
        </w:rPr>
        <w:t>ment à éclairer le texte d'Osbert.</w:t>
      </w:r>
    </w:p>
    <w:p w14:paraId="1346B3AB" w14:textId="77777777" w:rsidR="00B9662D" w:rsidRPr="000308BC" w:rsidRDefault="00B9662D" w:rsidP="00B9662D">
      <w:pPr>
        <w:spacing w:before="120" w:after="120"/>
        <w:jc w:val="both"/>
        <w:rPr>
          <w:i/>
        </w:rPr>
      </w:pPr>
      <w:r w:rsidRPr="000308BC">
        <w:rPr>
          <w:i/>
          <w:lang w:eastAsia="fr-FR" w:bidi="fr-FR"/>
        </w:rPr>
        <w:t>Comment saint Édouard conçut-il l'idée de restaurer Westmin</w:t>
      </w:r>
      <w:r w:rsidRPr="000308BC">
        <w:rPr>
          <w:i/>
          <w:lang w:eastAsia="fr-FR" w:bidi="fr-FR"/>
        </w:rPr>
        <w:t>s</w:t>
      </w:r>
      <w:r w:rsidRPr="000308BC">
        <w:rPr>
          <w:i/>
          <w:lang w:eastAsia="fr-FR" w:bidi="fr-FR"/>
        </w:rPr>
        <w:t>ter ?</w:t>
      </w:r>
    </w:p>
    <w:p w14:paraId="1A676610" w14:textId="77777777" w:rsidR="00B9662D" w:rsidRPr="000308BC" w:rsidRDefault="00B9662D" w:rsidP="00B9662D">
      <w:pPr>
        <w:spacing w:before="120" w:after="120"/>
        <w:jc w:val="both"/>
        <w:rPr>
          <w:i/>
        </w:rPr>
      </w:pPr>
      <w:r w:rsidRPr="000308BC">
        <w:rPr>
          <w:i/>
          <w:lang w:eastAsia="fr-FR" w:bidi="fr-FR"/>
        </w:rPr>
        <w:t>Sulcard, tout proche des événements, est sur ce point très précis et très bref : Édouard</w:t>
      </w:r>
      <w:r w:rsidRPr="000308BC">
        <w:rPr>
          <w:b/>
          <w:bCs/>
          <w:i/>
        </w:rPr>
        <w:t xml:space="preserve"> « </w:t>
      </w:r>
      <w:r w:rsidRPr="000308BC">
        <w:rPr>
          <w:i/>
          <w:lang w:eastAsia="fr-FR" w:bidi="fr-FR"/>
        </w:rPr>
        <w:t>désireux de remercier Dieu et saint Pierre déc</w:t>
      </w:r>
      <w:r w:rsidRPr="000308BC">
        <w:rPr>
          <w:i/>
          <w:lang w:eastAsia="fr-FR" w:bidi="fr-FR"/>
        </w:rPr>
        <w:t>i</w:t>
      </w:r>
      <w:r w:rsidRPr="000308BC">
        <w:rPr>
          <w:i/>
          <w:lang w:eastAsia="fr-FR" w:bidi="fr-FR"/>
        </w:rPr>
        <w:t>da d'aller à Rome. Il annonça son dessein aux grands ; ceux-ci en f</w:t>
      </w:r>
      <w:r w:rsidRPr="000308BC">
        <w:rPr>
          <w:i/>
          <w:lang w:eastAsia="fr-FR" w:bidi="fr-FR"/>
        </w:rPr>
        <w:t>u</w:t>
      </w:r>
      <w:r w:rsidRPr="000308BC">
        <w:rPr>
          <w:i/>
          <w:lang w:eastAsia="fr-FR" w:bidi="fr-FR"/>
        </w:rPr>
        <w:t>rent vivement émus ; finalement tous s'unirent pour lui donner le conseil suivant : en l'absence d'un tel seigneur, du pieux roi de la p</w:t>
      </w:r>
      <w:r w:rsidRPr="000308BC">
        <w:rPr>
          <w:i/>
          <w:lang w:eastAsia="fr-FR" w:bidi="fr-FR"/>
        </w:rPr>
        <w:t>a</w:t>
      </w:r>
      <w:r w:rsidRPr="000308BC">
        <w:rPr>
          <w:i/>
          <w:lang w:eastAsia="fr-FR" w:bidi="fr-FR"/>
        </w:rPr>
        <w:t>trie, le royaume récemment pacifié risquerait d'être troublé par des guerres nouvelles ; qu'Édouard demeurât donc, et qu'avec l'argent destiné au pèlerinage il réparât un lieu consacré à saint Pierre</w:t>
      </w:r>
      <w:r w:rsidRPr="000308BC">
        <w:rPr>
          <w:b/>
          <w:bCs/>
          <w:i/>
        </w:rPr>
        <w:t> </w:t>
      </w:r>
      <w:r w:rsidRPr="000308BC">
        <w:rPr>
          <w:bCs/>
          <w:i/>
        </w:rPr>
        <w:t>» </w:t>
      </w:r>
      <w:r w:rsidRPr="000308BC">
        <w:rPr>
          <w:rStyle w:val="Appelnotedebasdep"/>
          <w:bCs/>
        </w:rPr>
        <w:footnoteReference w:id="1160"/>
      </w:r>
      <w:r w:rsidRPr="00E349FC">
        <w:rPr>
          <w:bCs/>
        </w:rPr>
        <w:t>.</w:t>
      </w:r>
      <w:r w:rsidRPr="007422C9">
        <w:rPr>
          <w:b/>
          <w:bCs/>
        </w:rPr>
        <w:t xml:space="preserve"> </w:t>
      </w:r>
      <w:r w:rsidRPr="000308BC">
        <w:rPr>
          <w:i/>
          <w:lang w:eastAsia="fr-FR" w:bidi="fr-FR"/>
        </w:rPr>
        <w:t>Le roi accepte et rebâtit Westminster. On voit qu'il n'est pas question d'une intervention quelconque de la part de la papauté.</w:t>
      </w:r>
    </w:p>
    <w:p w14:paraId="0BC33D78" w14:textId="77777777" w:rsidR="00B9662D" w:rsidRPr="00EC7237" w:rsidRDefault="00B9662D" w:rsidP="00B9662D">
      <w:pPr>
        <w:spacing w:before="120" w:after="120"/>
        <w:jc w:val="both"/>
        <w:rPr>
          <w:i/>
        </w:rPr>
      </w:pPr>
      <w:r w:rsidRPr="000308BC">
        <w:rPr>
          <w:i/>
          <w:lang w:eastAsia="fr-FR" w:bidi="fr-FR"/>
        </w:rPr>
        <w:t>Chez Osbert au contraire, pour la première fois dans une source narrative, on rencontre un récit beaucoup plus développé, qui devie</w:t>
      </w:r>
      <w:r w:rsidRPr="000308BC">
        <w:rPr>
          <w:i/>
          <w:lang w:eastAsia="fr-FR" w:bidi="fr-FR"/>
        </w:rPr>
        <w:t>n</w:t>
      </w:r>
      <w:r w:rsidRPr="000308BC">
        <w:rPr>
          <w:i/>
          <w:lang w:eastAsia="fr-FR" w:bidi="fr-FR"/>
        </w:rPr>
        <w:t>dra traditionnel. Édouard veut partir ; les grands cherchent à l'en di</w:t>
      </w:r>
      <w:r w:rsidRPr="000308BC">
        <w:rPr>
          <w:i/>
          <w:lang w:eastAsia="fr-FR" w:bidi="fr-FR"/>
        </w:rPr>
        <w:t>s</w:t>
      </w:r>
      <w:r w:rsidRPr="000308BC">
        <w:rPr>
          <w:i/>
          <w:lang w:eastAsia="fr-FR" w:bidi="fr-FR"/>
        </w:rPr>
        <w:t>suader ; il ne consent</w:t>
      </w:r>
      <w:r>
        <w:rPr>
          <w:lang w:eastAsia="fr-FR" w:bidi="fr-FR"/>
        </w:rPr>
        <w:t xml:space="preserve"> </w:t>
      </w:r>
      <w:r>
        <w:t>[</w:t>
      </w:r>
      <w:r w:rsidRPr="007422C9">
        <w:rPr>
          <w:lang w:eastAsia="fr-FR" w:bidi="fr-FR"/>
        </w:rPr>
        <w:t>975</w:t>
      </w:r>
      <w:r>
        <w:rPr>
          <w:lang w:eastAsia="fr-FR" w:bidi="fr-FR"/>
        </w:rPr>
        <w:t xml:space="preserve">] </w:t>
      </w:r>
      <w:r w:rsidRPr="00EC7237">
        <w:rPr>
          <w:i/>
          <w:lang w:eastAsia="fr-FR" w:bidi="fr-FR"/>
        </w:rPr>
        <w:t>à renoncer à son projet qu'à condition d'être absous de son vœu par le pape ; il envoie donc vers celui-ci</w:t>
      </w:r>
      <w:r w:rsidRPr="00EC7237">
        <w:rPr>
          <w:b/>
          <w:bCs/>
          <w:i/>
        </w:rPr>
        <w:t> — </w:t>
      </w:r>
      <w:r w:rsidRPr="00EC7237">
        <w:rPr>
          <w:i/>
          <w:lang w:eastAsia="fr-FR" w:bidi="fr-FR"/>
        </w:rPr>
        <w:t>Léon IX</w:t>
      </w:r>
      <w:r w:rsidRPr="00EC7237">
        <w:rPr>
          <w:b/>
          <w:bCs/>
          <w:i/>
        </w:rPr>
        <w:t> — </w:t>
      </w:r>
      <w:r w:rsidRPr="00EC7237">
        <w:rPr>
          <w:i/>
          <w:lang w:eastAsia="fr-FR" w:bidi="fr-FR"/>
        </w:rPr>
        <w:t>deux évêques, Eldred de Worcester et Hermann de Wil</w:t>
      </w:r>
      <w:r w:rsidRPr="00EC7237">
        <w:rPr>
          <w:i/>
          <w:lang w:eastAsia="fr-FR" w:bidi="fr-FR"/>
        </w:rPr>
        <w:t>t</w:t>
      </w:r>
      <w:r w:rsidRPr="00EC7237">
        <w:rPr>
          <w:i/>
          <w:lang w:eastAsia="fr-FR" w:bidi="fr-FR"/>
        </w:rPr>
        <w:t>shire ; Léon IX les accueille aimablement et leur remet une bulle qui relève Édouard de son se</w:t>
      </w:r>
      <w:r w:rsidRPr="00EC7237">
        <w:rPr>
          <w:i/>
          <w:lang w:eastAsia="fr-FR" w:bidi="fr-FR"/>
        </w:rPr>
        <w:t>r</w:t>
      </w:r>
      <w:r w:rsidRPr="00EC7237">
        <w:rPr>
          <w:i/>
          <w:lang w:eastAsia="fr-FR" w:bidi="fr-FR"/>
        </w:rPr>
        <w:t>ment, à condition qu'il fonde ou res</w:t>
      </w:r>
      <w:r w:rsidRPr="00EC7237">
        <w:rPr>
          <w:i/>
          <w:lang w:eastAsia="fr-FR" w:bidi="fr-FR"/>
        </w:rPr>
        <w:lastRenderedPageBreak/>
        <w:t>taure un monastère en l'honneur de saint Pierre. Le roi obéit ; et conform</w:t>
      </w:r>
      <w:r w:rsidRPr="00EC7237">
        <w:rPr>
          <w:i/>
          <w:lang w:eastAsia="fr-FR" w:bidi="fr-FR"/>
        </w:rPr>
        <w:t>é</w:t>
      </w:r>
      <w:r w:rsidRPr="00EC7237">
        <w:rPr>
          <w:i/>
          <w:lang w:eastAsia="fr-FR" w:bidi="fr-FR"/>
        </w:rPr>
        <w:t>ment à une révélation qu'il a eue par l'intermédiaire d'un reclus no</w:t>
      </w:r>
      <w:r w:rsidRPr="00EC7237">
        <w:rPr>
          <w:i/>
          <w:lang w:eastAsia="fr-FR" w:bidi="fr-FR"/>
        </w:rPr>
        <w:t>m</w:t>
      </w:r>
      <w:r w:rsidRPr="00EC7237">
        <w:rPr>
          <w:i/>
          <w:lang w:eastAsia="fr-FR" w:bidi="fr-FR"/>
        </w:rPr>
        <w:t>mé Wulsin, il choisit Wes</w:t>
      </w:r>
      <w:r w:rsidRPr="00EC7237">
        <w:rPr>
          <w:i/>
          <w:lang w:eastAsia="fr-FR" w:bidi="fr-FR"/>
        </w:rPr>
        <w:t>t</w:t>
      </w:r>
      <w:r w:rsidRPr="00EC7237">
        <w:rPr>
          <w:i/>
          <w:lang w:eastAsia="fr-FR" w:bidi="fr-FR"/>
        </w:rPr>
        <w:t>minster. Puis, quelques années plus tard, de nouveaux scrupules vie</w:t>
      </w:r>
      <w:r w:rsidRPr="00EC7237">
        <w:rPr>
          <w:i/>
          <w:lang w:eastAsia="fr-FR" w:bidi="fr-FR"/>
        </w:rPr>
        <w:t>n</w:t>
      </w:r>
      <w:r w:rsidRPr="00EC7237">
        <w:rPr>
          <w:i/>
          <w:lang w:eastAsia="fr-FR" w:bidi="fr-FR"/>
        </w:rPr>
        <w:t>nent l'assaillir. Seconde ambassade à Rome, confiée au même Eldred, devenu dans l'intervalle archevêque d'York, à Gisa évêque de Wells et Walter évêque de Hereford. Les trois pr</w:t>
      </w:r>
      <w:r w:rsidRPr="00EC7237">
        <w:rPr>
          <w:i/>
          <w:lang w:eastAsia="fr-FR" w:bidi="fr-FR"/>
        </w:rPr>
        <w:t>é</w:t>
      </w:r>
      <w:r w:rsidRPr="00EC7237">
        <w:rPr>
          <w:i/>
          <w:lang w:eastAsia="fr-FR" w:bidi="fr-FR"/>
        </w:rPr>
        <w:t>lats remettent au pape r</w:t>
      </w:r>
      <w:r w:rsidRPr="00EC7237">
        <w:rPr>
          <w:i/>
          <w:lang w:eastAsia="fr-FR" w:bidi="fr-FR"/>
        </w:rPr>
        <w:t>é</w:t>
      </w:r>
      <w:r w:rsidRPr="00EC7237">
        <w:rPr>
          <w:i/>
          <w:lang w:eastAsia="fr-FR" w:bidi="fr-FR"/>
        </w:rPr>
        <w:t>gnant</w:t>
      </w:r>
      <w:r w:rsidRPr="00EC7237">
        <w:rPr>
          <w:b/>
          <w:bCs/>
          <w:i/>
        </w:rPr>
        <w:t> — </w:t>
      </w:r>
      <w:r w:rsidRPr="00EC7237">
        <w:rPr>
          <w:i/>
          <w:lang w:eastAsia="fr-FR" w:bidi="fr-FR"/>
        </w:rPr>
        <w:t>qui est Nicolas II</w:t>
      </w:r>
      <w:r w:rsidRPr="00EC7237">
        <w:rPr>
          <w:b/>
          <w:bCs/>
          <w:i/>
        </w:rPr>
        <w:t> — </w:t>
      </w:r>
      <w:r w:rsidRPr="00EC7237">
        <w:rPr>
          <w:i/>
          <w:lang w:eastAsia="fr-FR" w:bidi="fr-FR"/>
        </w:rPr>
        <w:t>une lettre de leur souverain ; reçus cette fois encore avec bienveillance, ils revie</w:t>
      </w:r>
      <w:r w:rsidRPr="00EC7237">
        <w:rPr>
          <w:i/>
          <w:lang w:eastAsia="fr-FR" w:bidi="fr-FR"/>
        </w:rPr>
        <w:t>n</w:t>
      </w:r>
      <w:r w:rsidRPr="00EC7237">
        <w:rPr>
          <w:i/>
          <w:lang w:eastAsia="fr-FR" w:bidi="fr-FR"/>
        </w:rPr>
        <w:t>nent porteurs d'une bulle qui répète l'absolution première et accorde en outre tant aux moines de Westminster qu'aux rois d'Angleterre d</w:t>
      </w:r>
      <w:r w:rsidRPr="00EC7237">
        <w:rPr>
          <w:i/>
          <w:lang w:eastAsia="fr-FR" w:bidi="fr-FR"/>
        </w:rPr>
        <w:t>i</w:t>
      </w:r>
      <w:r w:rsidRPr="00EC7237">
        <w:rPr>
          <w:i/>
          <w:lang w:eastAsia="fr-FR" w:bidi="fr-FR"/>
        </w:rPr>
        <w:t>vers privilèges.</w:t>
      </w:r>
    </w:p>
    <w:p w14:paraId="5C19ED46" w14:textId="77777777" w:rsidR="00B9662D" w:rsidRPr="00F354E6" w:rsidRDefault="00B9662D" w:rsidP="00B9662D">
      <w:pPr>
        <w:spacing w:before="120" w:after="120"/>
        <w:jc w:val="both"/>
        <w:rPr>
          <w:i/>
        </w:rPr>
      </w:pPr>
      <w:r w:rsidRPr="00EC7237">
        <w:rPr>
          <w:i/>
          <w:lang w:eastAsia="fr-FR" w:bidi="fr-FR"/>
        </w:rPr>
        <w:t>Tout cela est fort singulier. En particulier on comprend mal pou</w:t>
      </w:r>
      <w:r w:rsidRPr="00EC7237">
        <w:rPr>
          <w:i/>
          <w:lang w:eastAsia="fr-FR" w:bidi="fr-FR"/>
        </w:rPr>
        <w:t>r</w:t>
      </w:r>
      <w:r w:rsidRPr="00EC7237">
        <w:rPr>
          <w:i/>
          <w:lang w:eastAsia="fr-FR" w:bidi="fr-FR"/>
        </w:rPr>
        <w:t>quoi Édouard, dont la conscience eût dû être tranquillisée par la pr</w:t>
      </w:r>
      <w:r w:rsidRPr="00EC7237">
        <w:rPr>
          <w:i/>
          <w:lang w:eastAsia="fr-FR" w:bidi="fr-FR"/>
        </w:rPr>
        <w:t>e</w:t>
      </w:r>
      <w:r w:rsidRPr="00EC7237">
        <w:rPr>
          <w:i/>
          <w:lang w:eastAsia="fr-FR" w:bidi="fr-FR"/>
        </w:rPr>
        <w:t>mière lettre pontificale, éprouve le besoin de solliciter, après bien des années écoulées, d'un nouveau pontife une nouvelle dispense. Il est par ailleurs étrange que si les papes avaient vraiment été mêlés de si près à la restauration de Westminster, Sulcard n'en eût rien su ou, le sachant, l'eût passé sous silence. Qu'Eldred soit allé à Rome en 1050, avec Hermann de Wiltshire, qu'il y soit retourné en 1061, accomp</w:t>
      </w:r>
      <w:r w:rsidRPr="00EC7237">
        <w:rPr>
          <w:i/>
          <w:lang w:eastAsia="fr-FR" w:bidi="fr-FR"/>
        </w:rPr>
        <w:t>a</w:t>
      </w:r>
      <w:r w:rsidRPr="00EC7237">
        <w:rPr>
          <w:i/>
          <w:lang w:eastAsia="fr-FR" w:bidi="fr-FR"/>
        </w:rPr>
        <w:t>gné cette fois non seulement de Gisa de Wells et Walter de Hereford, mais aussi, ce qu'Osbert a tu, du comte Tostig</w:t>
      </w:r>
      <w:r>
        <w:rPr>
          <w:lang w:eastAsia="fr-FR" w:bidi="fr-FR"/>
        </w:rPr>
        <w:t> </w:t>
      </w:r>
      <w:r>
        <w:rPr>
          <w:rStyle w:val="Appelnotedebasdep"/>
        </w:rPr>
        <w:footnoteReference w:id="1161"/>
      </w:r>
      <w:r w:rsidRPr="007422C9">
        <w:rPr>
          <w:b/>
          <w:bCs/>
        </w:rPr>
        <w:t xml:space="preserve"> </w:t>
      </w:r>
      <w:r w:rsidRPr="00EC7237">
        <w:rPr>
          <w:i/>
          <w:lang w:eastAsia="fr-FR" w:bidi="fr-FR"/>
        </w:rPr>
        <w:t>on n'en saurait do</w:t>
      </w:r>
      <w:r w:rsidRPr="00EC7237">
        <w:rPr>
          <w:i/>
          <w:lang w:eastAsia="fr-FR" w:bidi="fr-FR"/>
        </w:rPr>
        <w:t>u</w:t>
      </w:r>
      <w:r w:rsidRPr="00EC7237">
        <w:rPr>
          <w:i/>
          <w:lang w:eastAsia="fr-FR" w:bidi="fr-FR"/>
        </w:rPr>
        <w:t>ter ; ces faits sont attestés par des documents anglais assez no</w:t>
      </w:r>
      <w:r w:rsidRPr="00EC7237">
        <w:rPr>
          <w:i/>
          <w:lang w:eastAsia="fr-FR" w:bidi="fr-FR"/>
        </w:rPr>
        <w:t>m</w:t>
      </w:r>
      <w:r w:rsidRPr="00EC7237">
        <w:rPr>
          <w:i/>
          <w:lang w:eastAsia="fr-FR" w:bidi="fr-FR"/>
        </w:rPr>
        <w:t>breux </w:t>
      </w:r>
      <w:r>
        <w:rPr>
          <w:rStyle w:val="Appelnotedebasdep"/>
        </w:rPr>
        <w:footnoteReference w:id="1162"/>
      </w:r>
      <w:r w:rsidRPr="007422C9">
        <w:rPr>
          <w:lang w:eastAsia="fr-FR" w:bidi="fr-FR"/>
        </w:rPr>
        <w:t xml:space="preserve">, </w:t>
      </w:r>
      <w:r w:rsidRPr="00EC7237">
        <w:rPr>
          <w:i/>
          <w:lang w:eastAsia="fr-FR" w:bidi="fr-FR"/>
        </w:rPr>
        <w:t>et même par des sources romaines </w:t>
      </w:r>
      <w:r>
        <w:rPr>
          <w:rStyle w:val="Appelnotedebasdep"/>
        </w:rPr>
        <w:footnoteReference w:id="1163"/>
      </w:r>
      <w:r w:rsidRPr="00E349FC">
        <w:rPr>
          <w:bCs/>
        </w:rPr>
        <w:t>.</w:t>
      </w:r>
      <w:r w:rsidRPr="007422C9">
        <w:rPr>
          <w:b/>
          <w:bCs/>
        </w:rPr>
        <w:t xml:space="preserve"> </w:t>
      </w:r>
      <w:r w:rsidRPr="00EC7237">
        <w:rPr>
          <w:i/>
          <w:lang w:eastAsia="fr-FR" w:bidi="fr-FR"/>
        </w:rPr>
        <w:t>Mais c'est</w:t>
      </w:r>
      <w:r w:rsidRPr="007422C9">
        <w:rPr>
          <w:lang w:eastAsia="fr-FR" w:bidi="fr-FR"/>
        </w:rPr>
        <w:t xml:space="preserve"> </w:t>
      </w:r>
      <w:r w:rsidRPr="00EC7237">
        <w:rPr>
          <w:i/>
          <w:lang w:eastAsia="fr-FR" w:bidi="fr-FR"/>
        </w:rPr>
        <w:t xml:space="preserve">chez Osbert ou plutôt c'est dans les deux diplômes auxquels il paraît avoir </w:t>
      </w:r>
      <w:r w:rsidRPr="00EC7237">
        <w:rPr>
          <w:i/>
          <w:lang w:eastAsia="fr-FR" w:bidi="fr-FR"/>
        </w:rPr>
        <w:lastRenderedPageBreak/>
        <w:t>e</w:t>
      </w:r>
      <w:r w:rsidRPr="00EC7237">
        <w:rPr>
          <w:i/>
          <w:lang w:eastAsia="fr-FR" w:bidi="fr-FR"/>
        </w:rPr>
        <w:t>m</w:t>
      </w:r>
      <w:r w:rsidRPr="00EC7237">
        <w:rPr>
          <w:i/>
          <w:lang w:eastAsia="fr-FR" w:bidi="fr-FR"/>
        </w:rPr>
        <w:t>prunté son récit que pour la première fois on voit ces deux voyages mis en rapport avec la reconstruction de Westminster. En 1061 Gisa et Walter allaient chercher à Rome la consécration épiscopale, qu'en l'absence de tout archevêque régulièrement institué (Stigand de Ca</w:t>
      </w:r>
      <w:r w:rsidRPr="00EC7237">
        <w:rPr>
          <w:i/>
          <w:lang w:eastAsia="fr-FR" w:bidi="fr-FR"/>
        </w:rPr>
        <w:t>n</w:t>
      </w:r>
      <w:r w:rsidRPr="00EC7237">
        <w:rPr>
          <w:i/>
          <w:lang w:eastAsia="fr-FR" w:bidi="fr-FR"/>
        </w:rPr>
        <w:t>terbury passait aux yeux de bien des gens pour un usurpateur et E</w:t>
      </w:r>
      <w:r w:rsidRPr="00EC7237">
        <w:rPr>
          <w:i/>
          <w:lang w:eastAsia="fr-FR" w:bidi="fr-FR"/>
        </w:rPr>
        <w:t>l</w:t>
      </w:r>
      <w:r w:rsidRPr="00EC7237">
        <w:rPr>
          <w:i/>
          <w:lang w:eastAsia="fr-FR" w:bidi="fr-FR"/>
        </w:rPr>
        <w:t>dred lui-même n'était pas sans reproches) personne en Angleterre ne pouvait leur donner ; l'ambassade de Tostig et d'Eldred avait préc</w:t>
      </w:r>
      <w:r w:rsidRPr="00EC7237">
        <w:rPr>
          <w:i/>
          <w:lang w:eastAsia="fr-FR" w:bidi="fr-FR"/>
        </w:rPr>
        <w:t>i</w:t>
      </w:r>
      <w:r w:rsidRPr="00EC7237">
        <w:rPr>
          <w:i/>
          <w:lang w:eastAsia="fr-FR" w:bidi="fr-FR"/>
        </w:rPr>
        <w:t>sément pour objet de mettre fin à la situation difficile de l'archevêque d'York et d'obtenir pour lui le</w:t>
      </w:r>
      <w:r w:rsidRPr="007422C9">
        <w:rPr>
          <w:b/>
          <w:bCs/>
        </w:rPr>
        <w:t xml:space="preserve"> </w:t>
      </w:r>
      <w:r w:rsidRPr="00EC7237">
        <w:rPr>
          <w:bCs/>
        </w:rPr>
        <w:t>pallium</w:t>
      </w:r>
      <w:r w:rsidRPr="007422C9">
        <w:rPr>
          <w:b/>
          <w:bCs/>
        </w:rPr>
        <w:t xml:space="preserve"> </w:t>
      </w:r>
      <w:r w:rsidRPr="00EC7237">
        <w:rPr>
          <w:i/>
          <w:lang w:eastAsia="fr-FR" w:bidi="fr-FR"/>
        </w:rPr>
        <w:t>qui ne lui fut accordé qu'à grand-peine. En 1050 Eldred et Hermann avaient vraisemblablement reçu comme mission de représenter l'Église anglaise au grand synode réformateur du mois d'avril qui condamna Bérenger de Tours ; la s</w:t>
      </w:r>
      <w:r w:rsidRPr="00EC7237">
        <w:rPr>
          <w:i/>
          <w:lang w:eastAsia="fr-FR" w:bidi="fr-FR"/>
        </w:rPr>
        <w:t>i</w:t>
      </w:r>
      <w:r w:rsidRPr="00EC7237">
        <w:rPr>
          <w:i/>
          <w:lang w:eastAsia="fr-FR" w:bidi="fr-FR"/>
        </w:rPr>
        <w:t>gnature d'Eldred</w:t>
      </w:r>
      <w:r w:rsidRPr="00EC7237">
        <w:rPr>
          <w:b/>
          <w:bCs/>
          <w:i/>
        </w:rPr>
        <w:t> — </w:t>
      </w:r>
      <w:r w:rsidRPr="00EC7237">
        <w:rPr>
          <w:i/>
          <w:lang w:eastAsia="fr-FR" w:bidi="fr-FR"/>
        </w:rPr>
        <w:t>on ne paraît pas l'avoir remarqué jusqu'ici</w:t>
      </w:r>
      <w:r w:rsidRPr="00EC7237">
        <w:rPr>
          <w:b/>
          <w:bCs/>
          <w:i/>
        </w:rPr>
        <w:t> — </w:t>
      </w:r>
      <w:r w:rsidRPr="00EC7237">
        <w:rPr>
          <w:i/>
          <w:lang w:eastAsia="fr-FR" w:bidi="fr-FR"/>
        </w:rPr>
        <w:t>se lit au bas d'un acte promulgué</w:t>
      </w:r>
      <w:r>
        <w:rPr>
          <w:lang w:eastAsia="fr-FR" w:bidi="fr-FR"/>
        </w:rPr>
        <w:t xml:space="preserve"> [976] </w:t>
      </w:r>
      <w:r w:rsidRPr="00F354E6">
        <w:rPr>
          <w:i/>
          <w:lang w:eastAsia="fr-FR" w:bidi="fr-FR"/>
        </w:rPr>
        <w:t>par le pape au sein du synode </w:t>
      </w:r>
      <w:r>
        <w:rPr>
          <w:rStyle w:val="Appelnotedebasdep"/>
        </w:rPr>
        <w:footnoteReference w:id="1164"/>
      </w:r>
      <w:r w:rsidRPr="007422C9">
        <w:rPr>
          <w:lang w:eastAsia="fr-FR" w:bidi="fr-FR"/>
        </w:rPr>
        <w:t xml:space="preserve">. </w:t>
      </w:r>
      <w:r w:rsidRPr="00F354E6">
        <w:rPr>
          <w:i/>
          <w:lang w:eastAsia="fr-FR" w:bidi="fr-FR"/>
        </w:rPr>
        <w:t>Toutes les annales mentionnaient ces événements. Rattacher à ces voyages fameux les origines de l'égl</w:t>
      </w:r>
      <w:r w:rsidRPr="00F354E6">
        <w:rPr>
          <w:i/>
          <w:lang w:eastAsia="fr-FR" w:bidi="fr-FR"/>
        </w:rPr>
        <w:t>i</w:t>
      </w:r>
      <w:r w:rsidRPr="00F354E6">
        <w:rPr>
          <w:i/>
          <w:lang w:eastAsia="fr-FR" w:bidi="fr-FR"/>
        </w:rPr>
        <w:t>se rebâtie par saint Édouard, c'était jeter sur Westminster un éclat nouveau ; imaginer que quatre prélats (le nom médiocrement estimé du comte Tostig ne valait pas la peine d'être retenu) avaient collaboré à la fondation royale et contr</w:t>
      </w:r>
      <w:r w:rsidRPr="00F354E6">
        <w:rPr>
          <w:i/>
          <w:lang w:eastAsia="fr-FR" w:bidi="fr-FR"/>
        </w:rPr>
        <w:t>i</w:t>
      </w:r>
      <w:r w:rsidRPr="00F354E6">
        <w:rPr>
          <w:i/>
          <w:lang w:eastAsia="fr-FR" w:bidi="fr-FR"/>
        </w:rPr>
        <w:t>bué à assurer au monastère de précieux avantages, c'était assurer aux privilèges revendiqués par la comm</w:t>
      </w:r>
      <w:r w:rsidRPr="00F354E6">
        <w:rPr>
          <w:i/>
          <w:lang w:eastAsia="fr-FR" w:bidi="fr-FR"/>
        </w:rPr>
        <w:t>u</w:t>
      </w:r>
      <w:r w:rsidRPr="00F354E6">
        <w:rPr>
          <w:i/>
          <w:lang w:eastAsia="fr-FR" w:bidi="fr-FR"/>
        </w:rPr>
        <w:t>nauté une force particulière</w:t>
      </w:r>
      <w:r>
        <w:rPr>
          <w:lang w:eastAsia="fr-FR" w:bidi="fr-FR"/>
        </w:rPr>
        <w:t> </w:t>
      </w:r>
      <w:r>
        <w:rPr>
          <w:rStyle w:val="Appelnotedebasdep"/>
        </w:rPr>
        <w:footnoteReference w:id="1165"/>
      </w:r>
      <w:r w:rsidRPr="007422C9">
        <w:rPr>
          <w:lang w:eastAsia="fr-FR" w:bidi="fr-FR"/>
        </w:rPr>
        <w:t xml:space="preserve">. </w:t>
      </w:r>
      <w:r w:rsidRPr="00F354E6">
        <w:rPr>
          <w:i/>
          <w:lang w:eastAsia="fr-FR" w:bidi="fr-FR"/>
        </w:rPr>
        <w:t>Comment les moines eussent-ils écha</w:t>
      </w:r>
      <w:r w:rsidRPr="00F354E6">
        <w:rPr>
          <w:i/>
          <w:lang w:eastAsia="fr-FR" w:bidi="fr-FR"/>
        </w:rPr>
        <w:t>p</w:t>
      </w:r>
      <w:r w:rsidRPr="00F354E6">
        <w:rPr>
          <w:i/>
          <w:lang w:eastAsia="fr-FR" w:bidi="fr-FR"/>
        </w:rPr>
        <w:t xml:space="preserve">pé à la </w:t>
      </w:r>
      <w:r w:rsidRPr="00F354E6">
        <w:rPr>
          <w:i/>
          <w:lang w:eastAsia="fr-FR" w:bidi="fr-FR"/>
        </w:rPr>
        <w:lastRenderedPageBreak/>
        <w:t>tentation de donner à l'histoire une légère entorse ? Ainsi naquit sans doute la tradition r</w:t>
      </w:r>
      <w:r w:rsidRPr="00F354E6">
        <w:rPr>
          <w:i/>
          <w:lang w:eastAsia="fr-FR" w:bidi="fr-FR"/>
        </w:rPr>
        <w:t>e</w:t>
      </w:r>
      <w:r w:rsidRPr="00F354E6">
        <w:rPr>
          <w:i/>
          <w:lang w:eastAsia="fr-FR" w:bidi="fr-FR"/>
        </w:rPr>
        <w:t>latée par Osbert.</w:t>
      </w:r>
    </w:p>
    <w:p w14:paraId="69B0779C" w14:textId="77777777" w:rsidR="00B9662D" w:rsidRPr="00F354E6" w:rsidRDefault="00B9662D" w:rsidP="00B9662D">
      <w:pPr>
        <w:spacing w:before="120" w:after="120"/>
        <w:jc w:val="both"/>
        <w:rPr>
          <w:i/>
        </w:rPr>
      </w:pPr>
      <w:r w:rsidRPr="00F354E6">
        <w:rPr>
          <w:i/>
          <w:lang w:eastAsia="fr-FR" w:bidi="fr-FR"/>
        </w:rPr>
        <w:t>Mais son récit s'appuie sur des documents, qu'il cite ou paraphr</w:t>
      </w:r>
      <w:r w:rsidRPr="00F354E6">
        <w:rPr>
          <w:i/>
          <w:lang w:eastAsia="fr-FR" w:bidi="fr-FR"/>
        </w:rPr>
        <w:t>a</w:t>
      </w:r>
      <w:r w:rsidRPr="00F354E6">
        <w:rPr>
          <w:i/>
          <w:lang w:eastAsia="fr-FR" w:bidi="fr-FR"/>
        </w:rPr>
        <w:t>se. Que valent ces pièces ?</w:t>
      </w:r>
    </w:p>
    <w:p w14:paraId="31E98C11" w14:textId="77777777" w:rsidR="00B9662D" w:rsidRPr="007422C9" w:rsidRDefault="00B9662D" w:rsidP="00B9662D">
      <w:pPr>
        <w:spacing w:before="120" w:after="120"/>
        <w:jc w:val="both"/>
      </w:pPr>
      <w:r w:rsidRPr="00F354E6">
        <w:rPr>
          <w:i/>
          <w:lang w:eastAsia="fr-FR" w:bidi="fr-FR"/>
        </w:rPr>
        <w:t>À la première mission des évêques à Rome se rapportent un des deux diplômes royaux </w:t>
      </w:r>
      <w:r>
        <w:rPr>
          <w:rStyle w:val="Appelnotedebasdep"/>
        </w:rPr>
        <w:footnoteReference w:id="1166"/>
      </w:r>
      <w:r w:rsidRPr="007422C9">
        <w:rPr>
          <w:b/>
          <w:bCs/>
        </w:rPr>
        <w:t xml:space="preserve"> </w:t>
      </w:r>
      <w:r w:rsidRPr="00F354E6">
        <w:rPr>
          <w:i/>
          <w:lang w:eastAsia="fr-FR" w:bidi="fr-FR"/>
        </w:rPr>
        <w:t>(datés tous deux, par une rencontre singuli</w:t>
      </w:r>
      <w:r w:rsidRPr="00F354E6">
        <w:rPr>
          <w:i/>
          <w:lang w:eastAsia="fr-FR" w:bidi="fr-FR"/>
        </w:rPr>
        <w:t>è</w:t>
      </w:r>
      <w:r w:rsidRPr="00F354E6">
        <w:rPr>
          <w:i/>
          <w:lang w:eastAsia="fr-FR" w:bidi="fr-FR"/>
        </w:rPr>
        <w:t>re, du 28 décembre 1065) et la bulle de Léon IX. La bulle très courte et dépourvue de tout protocole final ne renferme en elle-même rien qui donne aisément prise à la critique, sinon peut-être une formule d'absolution générale, assez étonnante. Nous n'en possédons pas l'original</w:t>
      </w:r>
      <w:r>
        <w:rPr>
          <w:lang w:eastAsia="fr-FR" w:bidi="fr-FR"/>
        </w:rPr>
        <w:t> </w:t>
      </w:r>
      <w:r>
        <w:rPr>
          <w:rStyle w:val="Appelnotedebasdep"/>
        </w:rPr>
        <w:footnoteReference w:id="1167"/>
      </w:r>
      <w:r w:rsidRPr="007422C9">
        <w:rPr>
          <w:b/>
          <w:bCs/>
        </w:rPr>
        <w:t xml:space="preserve"> </w:t>
      </w:r>
      <w:r w:rsidRPr="00F354E6">
        <w:rPr>
          <w:i/>
          <w:lang w:eastAsia="fr-FR" w:bidi="fr-FR"/>
        </w:rPr>
        <w:t xml:space="preserve">et, si on laisse Osbert de côté, la seule copie ancienne </w:t>
      </w:r>
      <w:r w:rsidRPr="00F354E6">
        <w:rPr>
          <w:i/>
          <w:lang w:eastAsia="fr-FR" w:bidi="fr-FR"/>
        </w:rPr>
        <w:lastRenderedPageBreak/>
        <w:t>que nous en connaissions nous est précisément donnée par le premier d</w:t>
      </w:r>
      <w:r w:rsidRPr="00F354E6">
        <w:rPr>
          <w:i/>
          <w:lang w:eastAsia="fr-FR" w:bidi="fr-FR"/>
        </w:rPr>
        <w:t>i</w:t>
      </w:r>
      <w:r w:rsidRPr="00F354E6">
        <w:rPr>
          <w:i/>
          <w:lang w:eastAsia="fr-FR" w:bidi="fr-FR"/>
        </w:rPr>
        <w:t>plôme royal, dans lequel elle se trouve insérée, et d'où peut-être</w:t>
      </w:r>
      <w:r>
        <w:rPr>
          <w:lang w:eastAsia="fr-FR" w:bidi="fr-FR"/>
        </w:rPr>
        <w:t xml:space="preserve"> </w:t>
      </w:r>
      <w:r>
        <w:t xml:space="preserve">[977] </w:t>
      </w:r>
      <w:r w:rsidRPr="00F34163">
        <w:rPr>
          <w:i/>
          <w:lang w:eastAsia="fr-FR" w:bidi="fr-FR"/>
        </w:rPr>
        <w:t>Osbert lui-même l’aura tirée. Ses rapports étroits avec ce doc</w:t>
      </w:r>
      <w:r w:rsidRPr="00F34163">
        <w:rPr>
          <w:i/>
          <w:lang w:eastAsia="fr-FR" w:bidi="fr-FR"/>
        </w:rPr>
        <w:t>u</w:t>
      </w:r>
      <w:r w:rsidRPr="00F34163">
        <w:rPr>
          <w:i/>
          <w:lang w:eastAsia="fr-FR" w:bidi="fr-FR"/>
        </w:rPr>
        <w:t>ment sont précisément ce qui, plus que toute autre considération, nous la rend suspecte. Car la fausseté du diplôme est hors de doute. Ni son style, ni ses caractères diplomatiques ne sont ceux que Von devrait attendre d'un acte authentique. L'accord unanime des érudits anglais me dispense d'insister sur ce point </w:t>
      </w:r>
      <w:r>
        <w:rPr>
          <w:rStyle w:val="Appelnotedebasdep"/>
        </w:rPr>
        <w:footnoteReference w:id="1168"/>
      </w:r>
      <w:r w:rsidRPr="007422C9">
        <w:rPr>
          <w:lang w:eastAsia="fr-FR" w:bidi="fr-FR"/>
        </w:rPr>
        <w:t>.</w:t>
      </w:r>
    </w:p>
    <w:p w14:paraId="67AF2D55" w14:textId="77777777" w:rsidR="00B9662D" w:rsidRPr="00F34163" w:rsidRDefault="00B9662D" w:rsidP="00B9662D">
      <w:pPr>
        <w:spacing w:before="120" w:after="120"/>
        <w:jc w:val="both"/>
        <w:rPr>
          <w:i/>
        </w:rPr>
      </w:pPr>
      <w:r w:rsidRPr="00F34163">
        <w:rPr>
          <w:i/>
          <w:lang w:eastAsia="fr-FR" w:bidi="fr-FR"/>
        </w:rPr>
        <w:t>Trois textes concernent le second voyage : le second diplôme </w:t>
      </w:r>
      <w:r>
        <w:rPr>
          <w:rStyle w:val="Appelnotedebasdep"/>
        </w:rPr>
        <w:footnoteReference w:id="1169"/>
      </w:r>
      <w:r w:rsidRPr="00E349FC">
        <w:rPr>
          <w:bCs/>
        </w:rPr>
        <w:t>,</w:t>
      </w:r>
      <w:r w:rsidRPr="007422C9">
        <w:rPr>
          <w:b/>
          <w:bCs/>
        </w:rPr>
        <w:t xml:space="preserve"> </w:t>
      </w:r>
      <w:r w:rsidRPr="00F34163">
        <w:rPr>
          <w:i/>
          <w:lang w:eastAsia="fr-FR" w:bidi="fr-FR"/>
        </w:rPr>
        <w:t>la bulle de Nicolas II, lu lettre de saint Édouard, ces deux derniers connus seulement, en copie ancienne, par leur reproduction dans le pseudo-original du diplôme et chez Osbert. De même que le premier diplôme, et pour les mêmes raisons, le second apparaît, sans contest</w:t>
      </w:r>
      <w:r w:rsidRPr="00F34163">
        <w:rPr>
          <w:i/>
          <w:lang w:eastAsia="fr-FR" w:bidi="fr-FR"/>
        </w:rPr>
        <w:t>a</w:t>
      </w:r>
      <w:r w:rsidRPr="00F34163">
        <w:rPr>
          <w:i/>
          <w:lang w:eastAsia="fr-FR" w:bidi="fr-FR"/>
        </w:rPr>
        <w:t>tion possible, comme forgé de toutes pièces. Dans la bulle également tout dénonce la main d'un faussaire. Sans vouloir en entreprendre un examen détaillé, il suffira de noter qu'on y trouve la disposition su</w:t>
      </w:r>
      <w:r w:rsidRPr="00F34163">
        <w:rPr>
          <w:i/>
          <w:lang w:eastAsia="fr-FR" w:bidi="fr-FR"/>
        </w:rPr>
        <w:t>i</w:t>
      </w:r>
      <w:r w:rsidRPr="00F34163">
        <w:rPr>
          <w:i/>
          <w:lang w:eastAsia="fr-FR" w:bidi="fr-FR"/>
        </w:rPr>
        <w:t>vante :</w:t>
      </w:r>
      <w:r w:rsidRPr="00F34163">
        <w:rPr>
          <w:b/>
          <w:bCs/>
          <w:i/>
        </w:rPr>
        <w:t xml:space="preserve"> « </w:t>
      </w:r>
      <w:r w:rsidRPr="00F34163">
        <w:rPr>
          <w:i/>
          <w:lang w:eastAsia="fr-FR" w:bidi="fr-FR"/>
        </w:rPr>
        <w:t>Nous vous confions, dit le pape au roi, à vous et à vos su</w:t>
      </w:r>
      <w:r w:rsidRPr="00F34163">
        <w:rPr>
          <w:i/>
          <w:lang w:eastAsia="fr-FR" w:bidi="fr-FR"/>
        </w:rPr>
        <w:t>c</w:t>
      </w:r>
      <w:r w:rsidRPr="00F34163">
        <w:rPr>
          <w:i/>
          <w:lang w:eastAsia="fr-FR" w:bidi="fr-FR"/>
        </w:rPr>
        <w:t>cesseurs, l'avouerie et la protection de ce monastère (Westminster) ainsi que des églises de l'Angleterre entière, afin que en notre lieu</w:t>
      </w:r>
      <w:r w:rsidRPr="007422C9">
        <w:rPr>
          <w:lang w:eastAsia="fr-FR" w:bidi="fr-FR"/>
        </w:rPr>
        <w:t>,</w:t>
      </w:r>
      <w:r>
        <w:rPr>
          <w:b/>
          <w:bCs/>
        </w:rPr>
        <w:t> — </w:t>
      </w:r>
      <w:r w:rsidRPr="00F34163">
        <w:rPr>
          <w:bCs/>
        </w:rPr>
        <w:t>vice nostra</w:t>
      </w:r>
      <w:r w:rsidRPr="00F34163">
        <w:rPr>
          <w:b/>
          <w:bCs/>
        </w:rPr>
        <w:t> </w:t>
      </w:r>
      <w:r>
        <w:rPr>
          <w:b/>
          <w:bCs/>
        </w:rPr>
        <w:t>— </w:t>
      </w:r>
      <w:r w:rsidRPr="00F34163">
        <w:rPr>
          <w:i/>
          <w:lang w:eastAsia="fr-FR" w:bidi="fr-FR"/>
        </w:rPr>
        <w:t>vous entourant des conseils des évêques et des abbés, vous fassiez partout régner la justice</w:t>
      </w:r>
      <w:r w:rsidRPr="00F34163">
        <w:rPr>
          <w:b/>
          <w:bCs/>
          <w:i/>
        </w:rPr>
        <w:t> </w:t>
      </w:r>
      <w:r w:rsidRPr="00F34163">
        <w:rPr>
          <w:bCs/>
          <w:i/>
        </w:rPr>
        <w:t>» </w:t>
      </w:r>
      <w:r w:rsidRPr="00F34163">
        <w:rPr>
          <w:rStyle w:val="Appelnotedebasdep"/>
          <w:bCs/>
        </w:rPr>
        <w:footnoteReference w:id="1170"/>
      </w:r>
      <w:r w:rsidRPr="00E349FC">
        <w:rPr>
          <w:bCs/>
        </w:rPr>
        <w:t>.</w:t>
      </w:r>
      <w:r w:rsidRPr="007422C9">
        <w:rPr>
          <w:b/>
          <w:bCs/>
        </w:rPr>
        <w:t xml:space="preserve"> </w:t>
      </w:r>
      <w:r w:rsidRPr="00F34163">
        <w:rPr>
          <w:i/>
          <w:lang w:eastAsia="fr-FR" w:bidi="fr-FR"/>
        </w:rPr>
        <w:t>Certes jamais Nicolas II n'investit une dynastie de cette sorte de légation perpétuelle. La lettre, qui d'ailleurs a l'allure d'un exercice de rhétorique, doit être envelo</w:t>
      </w:r>
      <w:r w:rsidRPr="00F34163">
        <w:rPr>
          <w:i/>
          <w:lang w:eastAsia="fr-FR" w:bidi="fr-FR"/>
        </w:rPr>
        <w:t>p</w:t>
      </w:r>
      <w:r w:rsidRPr="00F34163">
        <w:rPr>
          <w:i/>
          <w:lang w:eastAsia="fr-FR" w:bidi="fr-FR"/>
        </w:rPr>
        <w:t>pée dans la même condamnation que les documents avec lesquels elle ne fait qu'un tout.</w:t>
      </w:r>
    </w:p>
    <w:p w14:paraId="466B08D2" w14:textId="77777777" w:rsidR="00B9662D" w:rsidRPr="00F34163" w:rsidRDefault="00B9662D" w:rsidP="00B9662D">
      <w:pPr>
        <w:spacing w:before="120" w:after="120"/>
        <w:jc w:val="both"/>
        <w:rPr>
          <w:i/>
        </w:rPr>
      </w:pPr>
      <w:r w:rsidRPr="00F34163">
        <w:rPr>
          <w:i/>
          <w:lang w:eastAsia="fr-FR" w:bidi="fr-FR"/>
        </w:rPr>
        <w:t>Ainsi cinq documents faux ont été reproduits par Osbert, les uns cités intégralement, les autres fondus dans le récit. Selon toute</w:t>
      </w:r>
      <w:r w:rsidRPr="007422C9">
        <w:rPr>
          <w:lang w:eastAsia="fr-FR" w:bidi="fr-FR"/>
        </w:rPr>
        <w:t xml:space="preserve"> </w:t>
      </w:r>
      <w:r w:rsidRPr="00F34163">
        <w:rPr>
          <w:i/>
          <w:lang w:eastAsia="fr-FR" w:bidi="fr-FR"/>
        </w:rPr>
        <w:t>prob</w:t>
      </w:r>
      <w:r w:rsidRPr="00F34163">
        <w:rPr>
          <w:i/>
          <w:lang w:eastAsia="fr-FR" w:bidi="fr-FR"/>
        </w:rPr>
        <w:t>a</w:t>
      </w:r>
      <w:r w:rsidRPr="00F34163">
        <w:rPr>
          <w:i/>
          <w:lang w:eastAsia="fr-FR" w:bidi="fr-FR"/>
        </w:rPr>
        <w:lastRenderedPageBreak/>
        <w:t>bilité, ils doivent être considérés comme étant tous l'œuvre d'un même faussaire ; pareils par leur style et l'esprit qui les anime, ils prése</w:t>
      </w:r>
      <w:r w:rsidRPr="00F34163">
        <w:rPr>
          <w:i/>
          <w:lang w:eastAsia="fr-FR" w:bidi="fr-FR"/>
        </w:rPr>
        <w:t>n</w:t>
      </w:r>
      <w:r w:rsidRPr="00F34163">
        <w:rPr>
          <w:i/>
          <w:lang w:eastAsia="fr-FR" w:bidi="fr-FR"/>
        </w:rPr>
        <w:t>tent également, nous dit-on, des ressemblances extérieures très fra</w:t>
      </w:r>
      <w:r w:rsidRPr="00F34163">
        <w:rPr>
          <w:i/>
          <w:lang w:eastAsia="fr-FR" w:bidi="fr-FR"/>
        </w:rPr>
        <w:t>p</w:t>
      </w:r>
      <w:r w:rsidRPr="00F34163">
        <w:rPr>
          <w:i/>
          <w:lang w:eastAsia="fr-FR" w:bidi="fr-FR"/>
        </w:rPr>
        <w:t>pantes. Sir Frédéric Madden put vers 1862 comparer les pseudo-originaux des deux diplômes, qui, comme l'on sait, renferment l'un la première bulle, le second la lettre royale et la deuxième bulle ; il constata qu'ils paraissaient écrits de la même</w:t>
      </w:r>
      <w:r w:rsidRPr="00F34163">
        <w:rPr>
          <w:b/>
          <w:bCs/>
          <w:i/>
        </w:rPr>
        <w:t xml:space="preserve"> </w:t>
      </w:r>
      <w:r w:rsidRPr="00F34163">
        <w:rPr>
          <w:bCs/>
          <w:i/>
        </w:rPr>
        <w:t>main </w:t>
      </w:r>
      <w:r>
        <w:rPr>
          <w:rStyle w:val="Appelnotedebasdep"/>
          <w:bCs/>
        </w:rPr>
        <w:footnoteReference w:id="1171"/>
      </w:r>
      <w:r w:rsidRPr="00E349FC">
        <w:rPr>
          <w:bCs/>
        </w:rPr>
        <w:t>.</w:t>
      </w:r>
      <w:r w:rsidRPr="007422C9">
        <w:rPr>
          <w:b/>
          <w:bCs/>
        </w:rPr>
        <w:t xml:space="preserve"> </w:t>
      </w:r>
      <w:r w:rsidRPr="00F34163">
        <w:rPr>
          <w:i/>
          <w:lang w:eastAsia="fr-FR" w:bidi="fr-FR"/>
        </w:rPr>
        <w:t>Mais quand tr</w:t>
      </w:r>
      <w:r w:rsidRPr="00F34163">
        <w:rPr>
          <w:i/>
          <w:lang w:eastAsia="fr-FR" w:bidi="fr-FR"/>
        </w:rPr>
        <w:t>a</w:t>
      </w:r>
      <w:r w:rsidRPr="00F34163">
        <w:rPr>
          <w:i/>
          <w:lang w:eastAsia="fr-FR" w:bidi="fr-FR"/>
        </w:rPr>
        <w:t>vailla le trop ingénieux auteur de ces pièces mensongères ? Furent-elles forgées bien avant 1138 de sorte que lorsque cette année-là O</w:t>
      </w:r>
      <w:r w:rsidRPr="00F34163">
        <w:rPr>
          <w:i/>
          <w:lang w:eastAsia="fr-FR" w:bidi="fr-FR"/>
        </w:rPr>
        <w:t>s</w:t>
      </w:r>
      <w:r w:rsidRPr="00F34163">
        <w:rPr>
          <w:i/>
          <w:lang w:eastAsia="fr-FR" w:bidi="fr-FR"/>
        </w:rPr>
        <w:t>bert se mit à l'ouvrage il put aisément les croire authentiques ? ou bien au contraire virent-elles le jour de son temps, alors qu'il gouve</w:t>
      </w:r>
      <w:r w:rsidRPr="00F34163">
        <w:rPr>
          <w:i/>
          <w:lang w:eastAsia="fr-FR" w:bidi="fr-FR"/>
        </w:rPr>
        <w:t>r</w:t>
      </w:r>
      <w:r w:rsidRPr="00F34163">
        <w:rPr>
          <w:i/>
          <w:lang w:eastAsia="fr-FR" w:bidi="fr-FR"/>
        </w:rPr>
        <w:t>nait en second le monastère Où sans doute vécut leur auteur ? L'éd</w:t>
      </w:r>
      <w:r w:rsidRPr="00F34163">
        <w:rPr>
          <w:i/>
          <w:lang w:eastAsia="fr-FR" w:bidi="fr-FR"/>
        </w:rPr>
        <w:t>i</w:t>
      </w:r>
      <w:r w:rsidRPr="00F34163">
        <w:rPr>
          <w:i/>
          <w:lang w:eastAsia="fr-FR" w:bidi="fr-FR"/>
        </w:rPr>
        <w:t>teur d'Osbert doit se poser cette question ; il ne peut lui donner de réponse certaine ; car elle est de celles que seule une étude d'ense</w:t>
      </w:r>
      <w:r w:rsidRPr="00F34163">
        <w:rPr>
          <w:i/>
          <w:lang w:eastAsia="fr-FR" w:bidi="fr-FR"/>
        </w:rPr>
        <w:t>m</w:t>
      </w:r>
      <w:r w:rsidRPr="00F34163">
        <w:rPr>
          <w:i/>
          <w:lang w:eastAsia="fr-FR" w:bidi="fr-FR"/>
        </w:rPr>
        <w:t>ble des chartes de Westminster permettrait de résoudre. Je ne puis qu'indiquer ici, sous toutes réserves, l'opinion qui me semble la plus plausible. On a déjà vu quels pouvoirs exorbitants la prétendue bulle de Nicolas II concède aux rois d'Angleterre. L'idée d'une église nati</w:t>
      </w:r>
      <w:r w:rsidRPr="00F34163">
        <w:rPr>
          <w:i/>
          <w:lang w:eastAsia="fr-FR" w:bidi="fr-FR"/>
        </w:rPr>
        <w:t>o</w:t>
      </w:r>
      <w:r w:rsidRPr="00F34163">
        <w:rPr>
          <w:i/>
          <w:lang w:eastAsia="fr-FR" w:bidi="fr-FR"/>
        </w:rPr>
        <w:t>nale, gouvernée ainsi par le roi, au nom du pape, je veux bien, mais aussi à sa place, n'a guère pu naître dans les esprits au temps où Étienne de Blois accueillait avec respect un légat pontifical et che</w:t>
      </w:r>
      <w:r w:rsidRPr="00F34163">
        <w:rPr>
          <w:i/>
          <w:lang w:eastAsia="fr-FR" w:bidi="fr-FR"/>
        </w:rPr>
        <w:t>r</w:t>
      </w:r>
      <w:r w:rsidRPr="00F34163">
        <w:rPr>
          <w:i/>
          <w:lang w:eastAsia="fr-FR" w:bidi="fr-FR"/>
        </w:rPr>
        <w:t>chait de toute</w:t>
      </w:r>
      <w:r>
        <w:rPr>
          <w:i/>
          <w:lang w:eastAsia="fr-FR" w:bidi="fr-FR"/>
        </w:rPr>
        <w:t xml:space="preserve"> façon</w:t>
      </w:r>
      <w:r w:rsidRPr="00F34163">
        <w:rPr>
          <w:i/>
          <w:lang w:eastAsia="fr-FR" w:bidi="fr-FR"/>
        </w:rPr>
        <w:t xml:space="preserve"> à</w:t>
      </w:r>
      <w:r>
        <w:rPr>
          <w:lang w:eastAsia="fr-FR" w:bidi="fr-FR"/>
        </w:rPr>
        <w:t xml:space="preserve"> </w:t>
      </w:r>
      <w:r>
        <w:t xml:space="preserve">[978] </w:t>
      </w:r>
      <w:r w:rsidRPr="00F34163">
        <w:rPr>
          <w:i/>
          <w:lang w:eastAsia="fr-FR" w:bidi="fr-FR"/>
        </w:rPr>
        <w:t>s'appuyer sur l’amitié de la curie. Une prétention pareille évoque au contraire le souvenir de la politique e</w:t>
      </w:r>
      <w:r w:rsidRPr="00F34163">
        <w:rPr>
          <w:i/>
          <w:lang w:eastAsia="fr-FR" w:bidi="fr-FR"/>
        </w:rPr>
        <w:t>c</w:t>
      </w:r>
      <w:r w:rsidRPr="00F34163">
        <w:rPr>
          <w:i/>
          <w:lang w:eastAsia="fr-FR" w:bidi="fr-FR"/>
        </w:rPr>
        <w:t>clésiastique de Henri</w:t>
      </w:r>
      <w:r>
        <w:rPr>
          <w:i/>
          <w:lang w:eastAsia="fr-FR" w:bidi="fr-FR"/>
        </w:rPr>
        <w:t> </w:t>
      </w:r>
      <w:r w:rsidRPr="00F34163">
        <w:rPr>
          <w:i/>
          <w:lang w:eastAsia="fr-FR" w:bidi="fr-FR"/>
        </w:rPr>
        <w:t>I</w:t>
      </w:r>
      <w:r w:rsidRPr="00F34163">
        <w:rPr>
          <w:i/>
          <w:vertAlign w:val="superscript"/>
          <w:lang w:eastAsia="fr-FR" w:bidi="fr-FR"/>
        </w:rPr>
        <w:t>er</w:t>
      </w:r>
      <w:r w:rsidRPr="00F34163">
        <w:rPr>
          <w:i/>
          <w:lang w:eastAsia="fr-FR" w:bidi="fr-FR"/>
        </w:rPr>
        <w:t>, plus particulièrement pendant la première partie de son règne, jusque vers 1115 à peu près. Ne serait-ce pas à ce moment que notre faussaire fit sa besogne ? J'inclinerais à le cro</w:t>
      </w:r>
      <w:r w:rsidRPr="00F34163">
        <w:rPr>
          <w:i/>
          <w:lang w:eastAsia="fr-FR" w:bidi="fr-FR"/>
        </w:rPr>
        <w:t>i</w:t>
      </w:r>
      <w:r w:rsidRPr="00F34163">
        <w:rPr>
          <w:i/>
          <w:lang w:eastAsia="fr-FR" w:bidi="fr-FR"/>
        </w:rPr>
        <w:t>re ; mais encore une fois le problème demanderait un nouvel et plus sérieux examen.</w:t>
      </w:r>
    </w:p>
    <w:p w14:paraId="133E2C32" w14:textId="77777777" w:rsidR="00B9662D" w:rsidRPr="00F34163" w:rsidRDefault="00B9662D" w:rsidP="00B9662D">
      <w:pPr>
        <w:spacing w:before="120" w:after="120"/>
        <w:jc w:val="both"/>
        <w:rPr>
          <w:i/>
        </w:rPr>
      </w:pPr>
      <w:r w:rsidRPr="00F34163">
        <w:rPr>
          <w:i/>
          <w:lang w:eastAsia="fr-FR" w:bidi="fr-FR"/>
        </w:rPr>
        <w:t>Une étude des sources d'Osbert de Clare devrait pour être compl</w:t>
      </w:r>
      <w:r w:rsidRPr="00F34163">
        <w:rPr>
          <w:i/>
          <w:lang w:eastAsia="fr-FR" w:bidi="fr-FR"/>
        </w:rPr>
        <w:t>è</w:t>
      </w:r>
      <w:r w:rsidRPr="00F34163">
        <w:rPr>
          <w:i/>
          <w:lang w:eastAsia="fr-FR" w:bidi="fr-FR"/>
        </w:rPr>
        <w:t>te comprendre, non seulement les ouvrages ou documents où il puisa des renseignements d'ordre historique, mais aussi les livres où il chercha des modèles littéraires. Quelques indications rapides suff</w:t>
      </w:r>
      <w:r w:rsidRPr="00F34163">
        <w:rPr>
          <w:i/>
          <w:lang w:eastAsia="fr-FR" w:bidi="fr-FR"/>
        </w:rPr>
        <w:t>i</w:t>
      </w:r>
      <w:r w:rsidRPr="00F34163">
        <w:rPr>
          <w:i/>
          <w:lang w:eastAsia="fr-FR" w:bidi="fr-FR"/>
        </w:rPr>
        <w:t>ront ici.</w:t>
      </w:r>
    </w:p>
    <w:p w14:paraId="53322DB7" w14:textId="77777777" w:rsidR="00B9662D" w:rsidRPr="00F34163" w:rsidRDefault="00B9662D" w:rsidP="00B9662D">
      <w:pPr>
        <w:spacing w:before="120" w:after="120"/>
        <w:jc w:val="both"/>
        <w:rPr>
          <w:i/>
        </w:rPr>
      </w:pPr>
      <w:r>
        <w:rPr>
          <w:i/>
          <w:lang w:eastAsia="fr-FR" w:bidi="fr-FR"/>
        </w:rPr>
        <w:br w:type="page"/>
      </w:r>
      <w:r w:rsidRPr="00F34163">
        <w:rPr>
          <w:i/>
          <w:lang w:eastAsia="fr-FR" w:bidi="fr-FR"/>
        </w:rPr>
        <w:lastRenderedPageBreak/>
        <w:t>Ses principales sources d'inspiration sont au nombre de deux :</w:t>
      </w:r>
    </w:p>
    <w:p w14:paraId="47109E1F" w14:textId="77777777" w:rsidR="00B9662D" w:rsidRPr="007422C9" w:rsidRDefault="00B9662D" w:rsidP="00B9662D">
      <w:pPr>
        <w:spacing w:before="120" w:after="120"/>
        <w:jc w:val="both"/>
      </w:pPr>
      <w:r w:rsidRPr="00F34163">
        <w:rPr>
          <w:i/>
          <w:lang w:eastAsia="fr-FR" w:bidi="fr-FR"/>
        </w:rPr>
        <w:t>D'une part la Bible, Ancien et Nouveau Testament. Nourri de la lecture du texte sacré, il le cite sans cesse, conformément du reste à l'usage suivi par presque tous les écrivains de son temps </w:t>
      </w:r>
      <w:r>
        <w:rPr>
          <w:rStyle w:val="Appelnotedebasdep"/>
        </w:rPr>
        <w:footnoteReference w:id="1172"/>
      </w:r>
      <w:r w:rsidRPr="007422C9">
        <w:rPr>
          <w:lang w:eastAsia="fr-FR" w:bidi="fr-FR"/>
        </w:rPr>
        <w:t>.</w:t>
      </w:r>
    </w:p>
    <w:p w14:paraId="638EE087" w14:textId="77777777" w:rsidR="00B9662D" w:rsidRPr="007422C9" w:rsidRDefault="00B9662D" w:rsidP="00B9662D">
      <w:pPr>
        <w:spacing w:before="120" w:after="120"/>
        <w:jc w:val="both"/>
      </w:pPr>
      <w:r w:rsidRPr="00F34163">
        <w:rPr>
          <w:i/>
          <w:lang w:eastAsia="fr-FR" w:bidi="fr-FR"/>
        </w:rPr>
        <w:t>D'autre part,</w:t>
      </w:r>
      <w:r w:rsidRPr="00F34163">
        <w:rPr>
          <w:b/>
          <w:bCs/>
          <w:i/>
        </w:rPr>
        <w:t> — </w:t>
      </w:r>
      <w:r w:rsidRPr="00F34163">
        <w:rPr>
          <w:i/>
          <w:lang w:eastAsia="fr-FR" w:bidi="fr-FR"/>
        </w:rPr>
        <w:t>et ceci est plus curieux</w:t>
      </w:r>
      <w:r w:rsidRPr="00F34163">
        <w:rPr>
          <w:b/>
          <w:bCs/>
          <w:i/>
        </w:rPr>
        <w:t> — </w:t>
      </w:r>
      <w:r w:rsidRPr="00F34163">
        <w:rPr>
          <w:i/>
          <w:lang w:eastAsia="fr-FR" w:bidi="fr-FR"/>
        </w:rPr>
        <w:t>l'ancienne littérature latine. Un amour naïf pour les lettres antiques anime tous les ouvr</w:t>
      </w:r>
      <w:r w:rsidRPr="00F34163">
        <w:rPr>
          <w:i/>
          <w:lang w:eastAsia="fr-FR" w:bidi="fr-FR"/>
        </w:rPr>
        <w:t>a</w:t>
      </w:r>
      <w:r w:rsidRPr="00F34163">
        <w:rPr>
          <w:i/>
          <w:lang w:eastAsia="fr-FR" w:bidi="fr-FR"/>
        </w:rPr>
        <w:t>ges de ce moine très pieux, qui fut un dévot champion de la Vierge. Il présente un exemple parfait de cette dualité de culture qui, bien avant la Renaissance, fut l'apanage ou tout au moins l'idéal de tant de bri</w:t>
      </w:r>
      <w:r w:rsidRPr="00F34163">
        <w:rPr>
          <w:i/>
          <w:lang w:eastAsia="fr-FR" w:bidi="fr-FR"/>
        </w:rPr>
        <w:t>l</w:t>
      </w:r>
      <w:r w:rsidRPr="00F34163">
        <w:rPr>
          <w:i/>
          <w:lang w:eastAsia="fr-FR" w:bidi="fr-FR"/>
        </w:rPr>
        <w:t>lants esprits. Ne va-t-il pas dans son traité de la chasteté jusqu'à r</w:t>
      </w:r>
      <w:r w:rsidRPr="00F34163">
        <w:rPr>
          <w:i/>
          <w:lang w:eastAsia="fr-FR" w:bidi="fr-FR"/>
        </w:rPr>
        <w:t>a</w:t>
      </w:r>
      <w:r w:rsidRPr="00F34163">
        <w:rPr>
          <w:i/>
          <w:lang w:eastAsia="fr-FR" w:bidi="fr-FR"/>
        </w:rPr>
        <w:t>conter les aventures de Silvia, mère de Romulus</w:t>
      </w:r>
      <w:r>
        <w:rPr>
          <w:lang w:eastAsia="fr-FR" w:bidi="fr-FR"/>
        </w:rPr>
        <w:t> </w:t>
      </w:r>
      <w:r>
        <w:rPr>
          <w:rStyle w:val="Appelnotedebasdep"/>
        </w:rPr>
        <w:footnoteReference w:id="1173"/>
      </w:r>
      <w:r w:rsidRPr="007422C9">
        <w:rPr>
          <w:lang w:eastAsia="fr-FR" w:bidi="fr-FR"/>
        </w:rPr>
        <w:t xml:space="preserve"> ? </w:t>
      </w:r>
      <w:r w:rsidRPr="00F34163">
        <w:rPr>
          <w:i/>
          <w:lang w:eastAsia="fr-FR" w:bidi="fr-FR"/>
        </w:rPr>
        <w:t>Dans la Vie d'Édouard sa passion coutumière se déploie, comme dans ses autres écrits, non sans intempérance. La reine Edith est pour lui une seconde Minerve </w:t>
      </w:r>
      <w:r>
        <w:rPr>
          <w:rStyle w:val="Appelnotedebasdep"/>
        </w:rPr>
        <w:footnoteReference w:id="1174"/>
      </w:r>
      <w:r w:rsidRPr="00E349FC">
        <w:rPr>
          <w:bCs/>
        </w:rPr>
        <w:t>,</w:t>
      </w:r>
      <w:r w:rsidRPr="007422C9">
        <w:rPr>
          <w:b/>
          <w:bCs/>
        </w:rPr>
        <w:t xml:space="preserve"> </w:t>
      </w:r>
      <w:r w:rsidRPr="00F34163">
        <w:rPr>
          <w:i/>
          <w:lang w:eastAsia="fr-FR" w:bidi="fr-FR"/>
        </w:rPr>
        <w:t>dont il semble faire, je ne sais trop pourquoi, la déesse de la peinture. Quand il s'apprête à chanter les louanges du saint roi, il croit devoir nous avertir qu'il n'aura point</w:t>
      </w:r>
      <w:r w:rsidRPr="007422C9">
        <w:rPr>
          <w:lang w:eastAsia="fr-FR" w:bidi="fr-FR"/>
        </w:rPr>
        <w:t xml:space="preserve"> </w:t>
      </w:r>
      <w:r w:rsidRPr="00F34163">
        <w:rPr>
          <w:i/>
          <w:lang w:eastAsia="fr-FR" w:bidi="fr-FR"/>
        </w:rPr>
        <w:t>recours aux inspirations de l'Apollon Delphique, mais à celle du Saint Esprit </w:t>
      </w:r>
      <w:r>
        <w:rPr>
          <w:rStyle w:val="Appelnotedebasdep"/>
        </w:rPr>
        <w:footnoteReference w:id="1175"/>
      </w:r>
      <w:r w:rsidRPr="00E349FC">
        <w:rPr>
          <w:bCs/>
        </w:rPr>
        <w:t>.</w:t>
      </w:r>
      <w:r w:rsidRPr="007422C9">
        <w:rPr>
          <w:b/>
          <w:bCs/>
        </w:rPr>
        <w:t xml:space="preserve"> </w:t>
      </w:r>
      <w:r w:rsidRPr="00F34163">
        <w:rPr>
          <w:i/>
          <w:lang w:eastAsia="fr-FR" w:bidi="fr-FR"/>
        </w:rPr>
        <w:t>Il se pique à ce point de classicisme que son oreille formée aux cadences latines r</w:t>
      </w:r>
      <w:r w:rsidRPr="00F34163">
        <w:rPr>
          <w:i/>
          <w:lang w:eastAsia="fr-FR" w:bidi="fr-FR"/>
        </w:rPr>
        <w:t>é</w:t>
      </w:r>
      <w:r w:rsidRPr="00F34163">
        <w:rPr>
          <w:i/>
          <w:lang w:eastAsia="fr-FR" w:bidi="fr-FR"/>
        </w:rPr>
        <w:t>pugne à admettre les sonorités anglo-saxonnes ; ne pouvant ou ne voulant pas reproduire les noms des deux abbés qui en 1050 acco</w:t>
      </w:r>
      <w:r w:rsidRPr="00F34163">
        <w:rPr>
          <w:i/>
          <w:lang w:eastAsia="fr-FR" w:bidi="fr-FR"/>
        </w:rPr>
        <w:t>m</w:t>
      </w:r>
      <w:r w:rsidRPr="00F34163">
        <w:rPr>
          <w:i/>
          <w:lang w:eastAsia="fr-FR" w:bidi="fr-FR"/>
        </w:rPr>
        <w:t>pagnèrent à Rome les évêques Eldred et Hermann, il s'excuse</w:t>
      </w:r>
      <w:r w:rsidRPr="00F34163">
        <w:rPr>
          <w:b/>
          <w:bCs/>
          <w:i/>
        </w:rPr>
        <w:t> — </w:t>
      </w:r>
      <w:r w:rsidRPr="00F34163">
        <w:rPr>
          <w:i/>
          <w:lang w:eastAsia="fr-FR" w:bidi="fr-FR"/>
        </w:rPr>
        <w:t>tel Boileau refusant d'énumérer les villes hollandaises conquises par le Grand Roi</w:t>
      </w:r>
      <w:r w:rsidRPr="00F34163">
        <w:rPr>
          <w:b/>
          <w:bCs/>
          <w:i/>
        </w:rPr>
        <w:t> — </w:t>
      </w:r>
      <w:r w:rsidRPr="00F34163">
        <w:rPr>
          <w:i/>
          <w:lang w:eastAsia="fr-FR" w:bidi="fr-FR"/>
        </w:rPr>
        <w:t>sur la</w:t>
      </w:r>
      <w:r w:rsidRPr="00F34163">
        <w:rPr>
          <w:b/>
          <w:bCs/>
          <w:i/>
        </w:rPr>
        <w:t xml:space="preserve"> « </w:t>
      </w:r>
      <w:r w:rsidRPr="00F34163">
        <w:rPr>
          <w:i/>
          <w:lang w:eastAsia="fr-FR" w:bidi="fr-FR"/>
        </w:rPr>
        <w:t>barbarie</w:t>
      </w:r>
      <w:r w:rsidRPr="00F34163">
        <w:rPr>
          <w:b/>
          <w:bCs/>
          <w:i/>
        </w:rPr>
        <w:t xml:space="preserve"> » </w:t>
      </w:r>
      <w:r w:rsidRPr="00F34163">
        <w:rPr>
          <w:i/>
          <w:lang w:eastAsia="fr-FR" w:bidi="fr-FR"/>
        </w:rPr>
        <w:t>de ces vocables </w:t>
      </w:r>
      <w:r>
        <w:rPr>
          <w:rStyle w:val="Appelnotedebasdep"/>
        </w:rPr>
        <w:footnoteReference w:id="1176"/>
      </w:r>
      <w:r w:rsidRPr="00E349FC">
        <w:rPr>
          <w:bCs/>
        </w:rPr>
        <w:t>.</w:t>
      </w:r>
      <w:r w:rsidRPr="007422C9">
        <w:rPr>
          <w:b/>
          <w:bCs/>
        </w:rPr>
        <w:t xml:space="preserve"> </w:t>
      </w:r>
      <w:r w:rsidRPr="00F34163">
        <w:rPr>
          <w:i/>
          <w:lang w:eastAsia="fr-FR" w:bidi="fr-FR"/>
        </w:rPr>
        <w:t>Il aimait à orner son discours de maximes empruntées aux écrivains anciens ; dans ses Lettres, il se laissa librement aller à satisfaire ce goût ; dans la Vie, il s'est montré plus sobre de citations. Sénèque</w:t>
      </w:r>
      <w:r w:rsidRPr="007422C9">
        <w:rPr>
          <w:lang w:eastAsia="fr-FR" w:bidi="fr-FR"/>
        </w:rPr>
        <w:t>,</w:t>
      </w:r>
      <w:r w:rsidRPr="007422C9">
        <w:rPr>
          <w:b/>
          <w:bCs/>
        </w:rPr>
        <w:t xml:space="preserve"> </w:t>
      </w:r>
      <w:r w:rsidRPr="00F34163">
        <w:rPr>
          <w:bCs/>
        </w:rPr>
        <w:t>bonus ille instruc</w:t>
      </w:r>
      <w:r w:rsidRPr="00F34163">
        <w:rPr>
          <w:bCs/>
        </w:rPr>
        <w:lastRenderedPageBreak/>
        <w:t>tor m</w:t>
      </w:r>
      <w:r w:rsidRPr="00F34163">
        <w:rPr>
          <w:bCs/>
        </w:rPr>
        <w:t>o</w:t>
      </w:r>
      <w:r w:rsidRPr="00F34163">
        <w:rPr>
          <w:bCs/>
        </w:rPr>
        <w:t>rum </w:t>
      </w:r>
      <w:r>
        <w:rPr>
          <w:rStyle w:val="Appelnotedebasdep"/>
          <w:bCs/>
        </w:rPr>
        <w:footnoteReference w:id="1177"/>
      </w:r>
      <w:r w:rsidRPr="00E349FC">
        <w:rPr>
          <w:bCs/>
        </w:rPr>
        <w:t>,</w:t>
      </w:r>
      <w:r w:rsidRPr="007422C9">
        <w:rPr>
          <w:b/>
          <w:bCs/>
        </w:rPr>
        <w:t xml:space="preserve"> </w:t>
      </w:r>
      <w:r w:rsidRPr="00F34163">
        <w:rPr>
          <w:i/>
          <w:lang w:eastAsia="fr-FR" w:bidi="fr-FR"/>
        </w:rPr>
        <w:t>qui revient à tout propos dans les Lettres n'est ici représenté que par une phrase, à peu près correctement reproduite</w:t>
      </w:r>
      <w:r>
        <w:rPr>
          <w:lang w:eastAsia="fr-FR" w:bidi="fr-FR"/>
        </w:rPr>
        <w:t> </w:t>
      </w:r>
      <w:r>
        <w:rPr>
          <w:rStyle w:val="Appelnotedebasdep"/>
        </w:rPr>
        <w:footnoteReference w:id="1178"/>
      </w:r>
      <w:r w:rsidRPr="007422C9">
        <w:rPr>
          <w:lang w:eastAsia="fr-FR" w:bidi="fr-FR"/>
        </w:rPr>
        <w:t xml:space="preserve">. </w:t>
      </w:r>
      <w:r w:rsidRPr="00F34163">
        <w:rPr>
          <w:i/>
          <w:lang w:eastAsia="fr-FR" w:bidi="fr-FR"/>
        </w:rPr>
        <w:t>Apparai</w:t>
      </w:r>
      <w:r w:rsidRPr="00F34163">
        <w:rPr>
          <w:i/>
          <w:lang w:eastAsia="fr-FR" w:bidi="fr-FR"/>
        </w:rPr>
        <w:t>s</w:t>
      </w:r>
      <w:r w:rsidRPr="00F34163">
        <w:rPr>
          <w:i/>
          <w:lang w:eastAsia="fr-FR" w:bidi="fr-FR"/>
        </w:rPr>
        <w:t>sent également une fois chacun, les trois auteurs suivants : Symm</w:t>
      </w:r>
      <w:r w:rsidRPr="00F34163">
        <w:rPr>
          <w:i/>
          <w:lang w:eastAsia="fr-FR" w:bidi="fr-FR"/>
        </w:rPr>
        <w:t>a</w:t>
      </w:r>
      <w:r w:rsidRPr="00F34163">
        <w:rPr>
          <w:i/>
          <w:lang w:eastAsia="fr-FR" w:bidi="fr-FR"/>
        </w:rPr>
        <w:t>que </w:t>
      </w:r>
      <w:r>
        <w:rPr>
          <w:rStyle w:val="Appelnotedebasdep"/>
        </w:rPr>
        <w:footnoteReference w:id="1179"/>
      </w:r>
      <w:r w:rsidRPr="007422C9">
        <w:rPr>
          <w:lang w:eastAsia="fr-FR" w:bidi="fr-FR"/>
        </w:rPr>
        <w:t xml:space="preserve"> ; </w:t>
      </w:r>
      <w:r w:rsidRPr="00F34163">
        <w:rPr>
          <w:i/>
          <w:lang w:eastAsia="fr-FR" w:bidi="fr-FR"/>
        </w:rPr>
        <w:t>Platon connu sans doute par un intermédiaire qui est peut-être Boèce, ou Alcuin </w:t>
      </w:r>
      <w:r>
        <w:rPr>
          <w:rStyle w:val="Appelnotedebasdep"/>
        </w:rPr>
        <w:footnoteReference w:id="1180"/>
      </w:r>
      <w:r w:rsidRPr="00E349FC">
        <w:rPr>
          <w:bCs/>
        </w:rPr>
        <w:t>,</w:t>
      </w:r>
      <w:r w:rsidRPr="007422C9">
        <w:rPr>
          <w:b/>
          <w:bCs/>
        </w:rPr>
        <w:t xml:space="preserve"> </w:t>
      </w:r>
      <w:r w:rsidRPr="00117332">
        <w:rPr>
          <w:i/>
          <w:lang w:eastAsia="fr-FR" w:bidi="fr-FR"/>
        </w:rPr>
        <w:t>Horace enfin, mais la réminis-</w:t>
      </w:r>
    </w:p>
    <w:p w14:paraId="7B489001" w14:textId="77777777" w:rsidR="00B9662D" w:rsidRPr="007422C9" w:rsidRDefault="00B9662D" w:rsidP="00B9662D">
      <w:pPr>
        <w:spacing w:before="120" w:after="120"/>
        <w:jc w:val="both"/>
      </w:pPr>
    </w:p>
    <w:p w14:paraId="29C964F6" w14:textId="77777777" w:rsidR="00B9662D" w:rsidRPr="00117332" w:rsidRDefault="00B9662D" w:rsidP="00B9662D">
      <w:pPr>
        <w:spacing w:before="120" w:after="120"/>
        <w:jc w:val="both"/>
        <w:rPr>
          <w:i/>
        </w:rPr>
      </w:pPr>
      <w:r w:rsidRPr="00117332">
        <w:rPr>
          <w:i/>
          <w:lang w:eastAsia="fr-FR" w:bidi="fr-FR"/>
        </w:rPr>
        <w:t>cence</w:t>
      </w:r>
      <w:r>
        <w:t xml:space="preserve"> [</w:t>
      </w:r>
      <w:r w:rsidRPr="007422C9">
        <w:rPr>
          <w:lang w:eastAsia="fr-FR" w:bidi="fr-FR"/>
        </w:rPr>
        <w:t>979</w:t>
      </w:r>
      <w:r>
        <w:rPr>
          <w:lang w:eastAsia="fr-FR" w:bidi="fr-FR"/>
        </w:rPr>
        <w:t>]</w:t>
      </w:r>
      <w:r w:rsidRPr="00117332">
        <w:rPr>
          <w:i/>
          <w:lang w:eastAsia="fr-FR" w:bidi="fr-FR"/>
        </w:rPr>
        <w:t xml:space="preserve"> est si banale (c'est</w:t>
      </w:r>
      <w:r w:rsidRPr="00117332">
        <w:rPr>
          <w:bCs/>
          <w:i/>
        </w:rPr>
        <w:t xml:space="preserve"> </w:t>
      </w:r>
      <w:r w:rsidRPr="00117332">
        <w:rPr>
          <w:bCs/>
        </w:rPr>
        <w:t>l’Exegi monumentum aere pere</w:t>
      </w:r>
      <w:r w:rsidRPr="00117332">
        <w:rPr>
          <w:bCs/>
        </w:rPr>
        <w:t>n</w:t>
      </w:r>
      <w:r w:rsidRPr="00117332">
        <w:rPr>
          <w:bCs/>
        </w:rPr>
        <w:t>nius</w:t>
      </w:r>
      <w:r w:rsidRPr="006C0978">
        <w:rPr>
          <w:bCs/>
        </w:rPr>
        <w:t>)</w:t>
      </w:r>
      <w:r>
        <w:rPr>
          <w:bCs/>
        </w:rPr>
        <w:t> </w:t>
      </w:r>
      <w:r>
        <w:rPr>
          <w:rStyle w:val="Appelnotedebasdep"/>
          <w:bCs/>
        </w:rPr>
        <w:footnoteReference w:id="1181"/>
      </w:r>
      <w:r w:rsidRPr="007422C9">
        <w:rPr>
          <w:b/>
          <w:bCs/>
        </w:rPr>
        <w:t xml:space="preserve"> </w:t>
      </w:r>
      <w:r w:rsidRPr="00117332">
        <w:rPr>
          <w:i/>
          <w:lang w:eastAsia="fr-FR" w:bidi="fr-FR"/>
        </w:rPr>
        <w:t>qu'elle a pu aisément venir à Osberi de seconde main ; nous avons du reste des raisons de croire qu'Horace ne lui était pas très familier</w:t>
      </w:r>
      <w:r>
        <w:rPr>
          <w:lang w:eastAsia="fr-FR" w:bidi="fr-FR"/>
        </w:rPr>
        <w:t> </w:t>
      </w:r>
      <w:r>
        <w:rPr>
          <w:rStyle w:val="Appelnotedebasdep"/>
        </w:rPr>
        <w:footnoteReference w:id="1182"/>
      </w:r>
      <w:r w:rsidRPr="006C0978">
        <w:rPr>
          <w:bCs/>
        </w:rPr>
        <w:t>.</w:t>
      </w:r>
      <w:r w:rsidRPr="007422C9">
        <w:rPr>
          <w:b/>
          <w:bCs/>
        </w:rPr>
        <w:t xml:space="preserve"> </w:t>
      </w:r>
      <w:r w:rsidRPr="00117332">
        <w:rPr>
          <w:i/>
          <w:lang w:eastAsia="fr-FR" w:bidi="fr-FR"/>
        </w:rPr>
        <w:t>Son style suffirait à en fournir la preuve. Osbert rapporte tout au long la légende de Midas </w:t>
      </w:r>
      <w:r>
        <w:rPr>
          <w:rStyle w:val="Appelnotedebasdep"/>
        </w:rPr>
        <w:footnoteReference w:id="1183"/>
      </w:r>
      <w:r w:rsidRPr="006C0978">
        <w:rPr>
          <w:bCs/>
        </w:rPr>
        <w:t> ;</w:t>
      </w:r>
      <w:r w:rsidRPr="007422C9">
        <w:rPr>
          <w:b/>
          <w:bCs/>
        </w:rPr>
        <w:t xml:space="preserve"> </w:t>
      </w:r>
      <w:r w:rsidRPr="00117332">
        <w:rPr>
          <w:i/>
          <w:lang w:eastAsia="fr-FR" w:bidi="fr-FR"/>
        </w:rPr>
        <w:t>la forme qu'il lui donne prouve qu'il ne la t</w:t>
      </w:r>
      <w:r w:rsidRPr="00117332">
        <w:rPr>
          <w:i/>
          <w:lang w:eastAsia="fr-FR" w:bidi="fr-FR"/>
        </w:rPr>
        <w:t>e</w:t>
      </w:r>
      <w:r w:rsidRPr="00117332">
        <w:rPr>
          <w:i/>
          <w:lang w:eastAsia="fr-FR" w:bidi="fr-FR"/>
        </w:rPr>
        <w:t>nait pas d'Ovide ; son modèle, directement ou non, paraît avoir été le grammairien et mythographe Fulgence. Un autre épisode occupe ég</w:t>
      </w:r>
      <w:r w:rsidRPr="00117332">
        <w:rPr>
          <w:i/>
          <w:lang w:eastAsia="fr-FR" w:bidi="fr-FR"/>
        </w:rPr>
        <w:t>a</w:t>
      </w:r>
      <w:r w:rsidRPr="00117332">
        <w:rPr>
          <w:i/>
          <w:lang w:eastAsia="fr-FR" w:bidi="fr-FR"/>
        </w:rPr>
        <w:t>lement dans la Vie une place surprenante : c'est celui de Damoclès</w:t>
      </w:r>
      <w:r w:rsidRPr="00117332">
        <w:rPr>
          <w:b/>
          <w:bCs/>
          <w:i/>
        </w:rPr>
        <w:t> — </w:t>
      </w:r>
      <w:r w:rsidRPr="00117332">
        <w:rPr>
          <w:i/>
          <w:lang w:eastAsia="fr-FR" w:bidi="fr-FR"/>
        </w:rPr>
        <w:t>appelé d'ailleurs Démocrite</w:t>
      </w:r>
      <w:r w:rsidRPr="00117332">
        <w:rPr>
          <w:b/>
          <w:bCs/>
          <w:i/>
        </w:rPr>
        <w:t> — </w:t>
      </w:r>
      <w:r w:rsidRPr="00117332">
        <w:rPr>
          <w:i/>
          <w:lang w:eastAsia="fr-FR" w:bidi="fr-FR"/>
        </w:rPr>
        <w:t>et de son épée</w:t>
      </w:r>
      <w:r>
        <w:rPr>
          <w:lang w:eastAsia="fr-FR" w:bidi="fr-FR"/>
        </w:rPr>
        <w:t> </w:t>
      </w:r>
      <w:r>
        <w:rPr>
          <w:rStyle w:val="Appelnotedebasdep"/>
        </w:rPr>
        <w:footnoteReference w:id="1184"/>
      </w:r>
      <w:r w:rsidRPr="007422C9">
        <w:rPr>
          <w:lang w:eastAsia="fr-FR" w:bidi="fr-FR"/>
        </w:rPr>
        <w:t> </w:t>
      </w:r>
      <w:r w:rsidRPr="00117332">
        <w:rPr>
          <w:i/>
          <w:lang w:eastAsia="fr-FR" w:bidi="fr-FR"/>
        </w:rPr>
        <w:t>; ici l'origine du récit m'a échappé. Somme toute il semble bien que chez notre moine l'a</w:t>
      </w:r>
      <w:r w:rsidRPr="00117332">
        <w:rPr>
          <w:i/>
          <w:lang w:eastAsia="fr-FR" w:bidi="fr-FR"/>
        </w:rPr>
        <w:t>d</w:t>
      </w:r>
      <w:r w:rsidRPr="00117332">
        <w:rPr>
          <w:i/>
          <w:lang w:eastAsia="fr-FR" w:bidi="fr-FR"/>
        </w:rPr>
        <w:t>miration de l'antiquité ne s'accompagnait pas d'une connaissance très directe des textes. Sans doute puisait-il, plutôt qu'aux sources class</w:t>
      </w:r>
      <w:r w:rsidRPr="00117332">
        <w:rPr>
          <w:i/>
          <w:lang w:eastAsia="fr-FR" w:bidi="fr-FR"/>
        </w:rPr>
        <w:t>i</w:t>
      </w:r>
      <w:r w:rsidRPr="00117332">
        <w:rPr>
          <w:i/>
          <w:lang w:eastAsia="fr-FR" w:bidi="fr-FR"/>
        </w:rPr>
        <w:t>ques, dans des manuels de basse époque</w:t>
      </w:r>
      <w:r w:rsidRPr="00117332">
        <w:rPr>
          <w:b/>
          <w:bCs/>
          <w:i/>
        </w:rPr>
        <w:t> — </w:t>
      </w:r>
      <w:r w:rsidRPr="00117332">
        <w:rPr>
          <w:i/>
          <w:lang w:eastAsia="fr-FR" w:bidi="fr-FR"/>
        </w:rPr>
        <w:t>recueils d'anecdotes ou choix de belles pensées</w:t>
      </w:r>
      <w:r w:rsidRPr="00117332">
        <w:rPr>
          <w:b/>
          <w:bCs/>
          <w:i/>
        </w:rPr>
        <w:t> — </w:t>
      </w:r>
      <w:r w:rsidRPr="00117332">
        <w:rPr>
          <w:i/>
          <w:lang w:eastAsia="fr-FR" w:bidi="fr-FR"/>
        </w:rPr>
        <w:t>sur lesquels je n'ai pu mettre la main.</w:t>
      </w:r>
    </w:p>
    <w:p w14:paraId="2E32E8BE" w14:textId="77777777" w:rsidR="00B9662D" w:rsidRPr="00850F55" w:rsidRDefault="00B9662D" w:rsidP="00B9662D">
      <w:pPr>
        <w:spacing w:before="120" w:after="120"/>
        <w:jc w:val="both"/>
        <w:rPr>
          <w:i/>
        </w:rPr>
      </w:pPr>
      <w:r w:rsidRPr="00117332">
        <w:rPr>
          <w:i/>
          <w:lang w:eastAsia="fr-FR" w:bidi="fr-FR"/>
        </w:rPr>
        <w:t>Ce mélange de centons bibliques et de réminiscences antiques forme un des traits caractéristiques de la langue d'Osbert : langue travaillée et savante s'il en fut. Les rhétoriciens et les</w:t>
      </w:r>
      <w:r w:rsidRPr="007422C9">
        <w:rPr>
          <w:b/>
          <w:bCs/>
        </w:rPr>
        <w:t xml:space="preserve"> </w:t>
      </w:r>
      <w:r w:rsidRPr="00117332">
        <w:rPr>
          <w:bCs/>
        </w:rPr>
        <w:t>dictatores</w:t>
      </w:r>
      <w:r w:rsidRPr="007422C9">
        <w:rPr>
          <w:b/>
          <w:bCs/>
        </w:rPr>
        <w:t xml:space="preserve"> </w:t>
      </w:r>
      <w:r w:rsidRPr="00117332">
        <w:rPr>
          <w:i/>
          <w:lang w:eastAsia="fr-FR" w:bidi="fr-FR"/>
        </w:rPr>
        <w:t>avaient codifié les principes du bien dire ; ils enseignaient à grouper les mots, aux fins de phrase, selon les lois du</w:t>
      </w:r>
      <w:r w:rsidRPr="007422C9">
        <w:rPr>
          <w:b/>
          <w:bCs/>
        </w:rPr>
        <w:t xml:space="preserve"> </w:t>
      </w:r>
      <w:r w:rsidRPr="00117332">
        <w:rPr>
          <w:bCs/>
        </w:rPr>
        <w:t>cursus</w:t>
      </w:r>
      <w:r w:rsidRPr="007422C9">
        <w:rPr>
          <w:b/>
          <w:bCs/>
        </w:rPr>
        <w:t xml:space="preserve"> </w:t>
      </w:r>
      <w:r w:rsidRPr="00117332">
        <w:rPr>
          <w:i/>
          <w:lang w:eastAsia="fr-FR" w:bidi="fr-FR"/>
        </w:rPr>
        <w:t xml:space="preserve">accentué et à construire les phrases elles-mêmes de telle sorte qu'elles pussent se </w:t>
      </w:r>
      <w:r w:rsidRPr="00117332">
        <w:rPr>
          <w:i/>
          <w:lang w:eastAsia="fr-FR" w:bidi="fr-FR"/>
        </w:rPr>
        <w:lastRenderedPageBreak/>
        <w:t>décomposer en distiques, dont chaque moitié se terminait par le même son : somme toute une suite de bouts-rimés, ou assonancés, de lo</w:t>
      </w:r>
      <w:r w:rsidRPr="00117332">
        <w:rPr>
          <w:i/>
          <w:lang w:eastAsia="fr-FR" w:bidi="fr-FR"/>
        </w:rPr>
        <w:t>n</w:t>
      </w:r>
      <w:r w:rsidRPr="00117332">
        <w:rPr>
          <w:i/>
          <w:lang w:eastAsia="fr-FR" w:bidi="fr-FR"/>
        </w:rPr>
        <w:t>gueur inégale, s'en allant deux par deux. Osbert connaissait ces r</w:t>
      </w:r>
      <w:r w:rsidRPr="00117332">
        <w:rPr>
          <w:i/>
          <w:lang w:eastAsia="fr-FR" w:bidi="fr-FR"/>
        </w:rPr>
        <w:t>è</w:t>
      </w:r>
      <w:r w:rsidRPr="00117332">
        <w:rPr>
          <w:i/>
          <w:lang w:eastAsia="fr-FR" w:bidi="fr-FR"/>
        </w:rPr>
        <w:t>gles et s'efforçait visiblement de les suivre ; sa prose est à peu près correctement rythmée et rimée </w:t>
      </w:r>
      <w:r>
        <w:rPr>
          <w:rStyle w:val="Appelnotedebasdep"/>
        </w:rPr>
        <w:footnoteReference w:id="1185"/>
      </w:r>
      <w:r w:rsidRPr="006C0978">
        <w:rPr>
          <w:bCs/>
        </w:rPr>
        <w:t>.</w:t>
      </w:r>
      <w:r w:rsidRPr="007422C9">
        <w:rPr>
          <w:b/>
          <w:bCs/>
        </w:rPr>
        <w:t xml:space="preserve"> </w:t>
      </w:r>
      <w:r w:rsidRPr="00117332">
        <w:rPr>
          <w:i/>
          <w:lang w:eastAsia="fr-FR" w:bidi="fr-FR"/>
        </w:rPr>
        <w:t>C'était un bon élève, mais non</w:t>
      </w:r>
      <w:r w:rsidRPr="007422C9">
        <w:rPr>
          <w:lang w:eastAsia="fr-FR" w:bidi="fr-FR"/>
        </w:rPr>
        <w:t xml:space="preserve"> </w:t>
      </w:r>
      <w:r w:rsidRPr="00850F55">
        <w:rPr>
          <w:i/>
          <w:lang w:eastAsia="fr-FR" w:bidi="fr-FR"/>
        </w:rPr>
        <w:t>pas sans quelque originalité. Sa manière ne manque pas d'une certaine saveur personnelle. Il a ses procédés littéraires préférés, notamment le discours direct dont il use et abuse. En un mot il a son style ; mais quel style ! On comprend que la postérité ait préféré à cette prolixité prétentieuse le latin incolore et facile d'Ailred.</w:t>
      </w:r>
    </w:p>
    <w:p w14:paraId="72177D6A" w14:textId="77777777" w:rsidR="00B9662D" w:rsidRPr="00B5271E" w:rsidRDefault="00B9662D" w:rsidP="00B9662D">
      <w:pPr>
        <w:spacing w:before="120" w:after="120"/>
        <w:jc w:val="both"/>
        <w:rPr>
          <w:i/>
        </w:rPr>
      </w:pPr>
      <w:r w:rsidRPr="00850F55">
        <w:rPr>
          <w:i/>
          <w:lang w:eastAsia="fr-FR" w:bidi="fr-FR"/>
        </w:rPr>
        <w:t>Aujourd'hui que vaut pour nous l'œuvre d'Osbert ? quels rense</w:t>
      </w:r>
      <w:r w:rsidRPr="00850F55">
        <w:rPr>
          <w:i/>
          <w:lang w:eastAsia="fr-FR" w:bidi="fr-FR"/>
        </w:rPr>
        <w:t>i</w:t>
      </w:r>
      <w:r w:rsidRPr="00850F55">
        <w:rPr>
          <w:i/>
          <w:lang w:eastAsia="fr-FR" w:bidi="fr-FR"/>
        </w:rPr>
        <w:t>gnements en pouvons-nous tirer ? Comme source historique, à pr</w:t>
      </w:r>
      <w:r w:rsidRPr="00850F55">
        <w:rPr>
          <w:i/>
          <w:lang w:eastAsia="fr-FR" w:bidi="fr-FR"/>
        </w:rPr>
        <w:t>o</w:t>
      </w:r>
      <w:r w:rsidRPr="00850F55">
        <w:rPr>
          <w:i/>
          <w:lang w:eastAsia="fr-FR" w:bidi="fr-FR"/>
        </w:rPr>
        <w:t>prement parler, elle est sans intérêt aucun : sur la vie d'Édouard, son règne, son entourage elle ne nous apprend rien de nouveau ou de ce</w:t>
      </w:r>
      <w:r w:rsidRPr="00850F55">
        <w:rPr>
          <w:i/>
          <w:lang w:eastAsia="fr-FR" w:bidi="fr-FR"/>
        </w:rPr>
        <w:t>r</w:t>
      </w:r>
      <w:r w:rsidRPr="00850F55">
        <w:rPr>
          <w:i/>
          <w:lang w:eastAsia="fr-FR" w:bidi="fr-FR"/>
        </w:rPr>
        <w:t>tain. En revanche quiconque aime à observer la vie des légendes h</w:t>
      </w:r>
      <w:r w:rsidRPr="00850F55">
        <w:rPr>
          <w:i/>
          <w:lang w:eastAsia="fr-FR" w:bidi="fr-FR"/>
        </w:rPr>
        <w:t>a</w:t>
      </w:r>
      <w:r w:rsidRPr="00850F55">
        <w:rPr>
          <w:i/>
          <w:lang w:eastAsia="fr-FR" w:bidi="fr-FR"/>
        </w:rPr>
        <w:t>giographiques trouvera en elle un document précieux. Nous y voyons déjà la tradition largement épanouie ; plus d'un récit qui par la suite devint classique,</w:t>
      </w:r>
      <w:r w:rsidRPr="00850F55">
        <w:rPr>
          <w:b/>
          <w:bCs/>
          <w:i/>
        </w:rPr>
        <w:t> — </w:t>
      </w:r>
      <w:r w:rsidRPr="00850F55">
        <w:rPr>
          <w:i/>
          <w:lang w:eastAsia="fr-FR" w:bidi="fr-FR"/>
        </w:rPr>
        <w:t>vision par saint Édouard de l'accident survenu au roi de Danemark, se noyant dans la mer au moment où il va partir pour envahir l’Angleterre</w:t>
      </w:r>
      <w:r>
        <w:rPr>
          <w:lang w:eastAsia="fr-FR" w:bidi="fr-FR"/>
        </w:rPr>
        <w:t> </w:t>
      </w:r>
      <w:r>
        <w:rPr>
          <w:rStyle w:val="Appelnotedebasdep"/>
        </w:rPr>
        <w:footnoteReference w:id="1186"/>
      </w:r>
      <w:r w:rsidRPr="007422C9">
        <w:rPr>
          <w:lang w:eastAsia="fr-FR" w:bidi="fr-FR"/>
        </w:rPr>
        <w:t>,</w:t>
      </w:r>
      <w:r>
        <w:rPr>
          <w:b/>
          <w:bCs/>
        </w:rPr>
        <w:t> </w:t>
      </w:r>
      <w:r w:rsidRPr="00850F55">
        <w:rPr>
          <w:b/>
          <w:bCs/>
          <w:i/>
        </w:rPr>
        <w:t>— </w:t>
      </w:r>
      <w:r w:rsidRPr="00850F55">
        <w:rPr>
          <w:i/>
          <w:lang w:eastAsia="fr-FR" w:bidi="fr-FR"/>
        </w:rPr>
        <w:t>apparition à saint Édouard et au co</w:t>
      </w:r>
      <w:r w:rsidRPr="00850F55">
        <w:rPr>
          <w:i/>
          <w:lang w:eastAsia="fr-FR" w:bidi="fr-FR"/>
        </w:rPr>
        <w:t>m</w:t>
      </w:r>
      <w:r w:rsidRPr="00850F55">
        <w:rPr>
          <w:i/>
          <w:lang w:eastAsia="fr-FR" w:bidi="fr-FR"/>
        </w:rPr>
        <w:t>te</w:t>
      </w:r>
      <w:r>
        <w:rPr>
          <w:lang w:eastAsia="fr-FR" w:bidi="fr-FR"/>
        </w:rPr>
        <w:t xml:space="preserve"> [980] </w:t>
      </w:r>
      <w:r w:rsidRPr="00B5271E">
        <w:rPr>
          <w:i/>
          <w:lang w:eastAsia="fr-FR" w:bidi="fr-FR"/>
        </w:rPr>
        <w:t>Léofric de Jésus dans l’hostie </w:t>
      </w:r>
      <w:r>
        <w:rPr>
          <w:rStyle w:val="Appelnotedebasdep"/>
        </w:rPr>
        <w:footnoteReference w:id="1187"/>
      </w:r>
      <w:r w:rsidRPr="006C0978">
        <w:rPr>
          <w:bCs/>
        </w:rPr>
        <w:t>,</w:t>
      </w:r>
      <w:r>
        <w:rPr>
          <w:b/>
          <w:bCs/>
        </w:rPr>
        <w:t> </w:t>
      </w:r>
      <w:r w:rsidRPr="00B5271E">
        <w:rPr>
          <w:b/>
          <w:bCs/>
          <w:i/>
        </w:rPr>
        <w:t>— </w:t>
      </w:r>
      <w:r w:rsidRPr="00B5271E">
        <w:rPr>
          <w:i/>
          <w:lang w:eastAsia="fr-FR" w:bidi="fr-FR"/>
        </w:rPr>
        <w:t>guérison du contr</w:t>
      </w:r>
      <w:r w:rsidRPr="00B5271E">
        <w:rPr>
          <w:i/>
          <w:lang w:eastAsia="fr-FR" w:bidi="fr-FR"/>
        </w:rPr>
        <w:t>e</w:t>
      </w:r>
      <w:r w:rsidRPr="00B5271E">
        <w:rPr>
          <w:i/>
          <w:lang w:eastAsia="fr-FR" w:bidi="fr-FR"/>
        </w:rPr>
        <w:t>fait </w:t>
      </w:r>
      <w:r w:rsidRPr="00B72751">
        <w:rPr>
          <w:rStyle w:val="Appelnotedebasdep"/>
        </w:rPr>
        <w:footnoteReference w:id="1188"/>
      </w:r>
      <w:r w:rsidRPr="00B5271E">
        <w:rPr>
          <w:bCs/>
          <w:i/>
        </w:rPr>
        <w:t>,</w:t>
      </w:r>
      <w:r w:rsidRPr="00B5271E">
        <w:rPr>
          <w:b/>
          <w:bCs/>
          <w:i/>
        </w:rPr>
        <w:t> — </w:t>
      </w:r>
      <w:r w:rsidRPr="00B5271E">
        <w:rPr>
          <w:i/>
          <w:lang w:eastAsia="fr-FR" w:bidi="fr-FR"/>
        </w:rPr>
        <w:t>se rencontre là pour la première fois ; et sur tous les mir</w:t>
      </w:r>
      <w:r w:rsidRPr="00B5271E">
        <w:rPr>
          <w:i/>
          <w:lang w:eastAsia="fr-FR" w:bidi="fr-FR"/>
        </w:rPr>
        <w:t>a</w:t>
      </w:r>
      <w:r w:rsidRPr="00B5271E">
        <w:rPr>
          <w:i/>
          <w:lang w:eastAsia="fr-FR" w:bidi="fr-FR"/>
        </w:rPr>
        <w:t>cles accomplis par le corps saint elle constitue notre plus ancien t</w:t>
      </w:r>
      <w:r w:rsidRPr="00B5271E">
        <w:rPr>
          <w:i/>
          <w:lang w:eastAsia="fr-FR" w:bidi="fr-FR"/>
        </w:rPr>
        <w:t>é</w:t>
      </w:r>
      <w:r w:rsidRPr="00B5271E">
        <w:rPr>
          <w:i/>
          <w:lang w:eastAsia="fr-FR" w:bidi="fr-FR"/>
        </w:rPr>
        <w:t xml:space="preserve">moignage ; c’est ainsi que le fameux récit de la justification de saint </w:t>
      </w:r>
      <w:r w:rsidRPr="00B5271E">
        <w:rPr>
          <w:i/>
          <w:lang w:eastAsia="fr-FR" w:bidi="fr-FR"/>
        </w:rPr>
        <w:lastRenderedPageBreak/>
        <w:t>Wulfstan trouve en elle sa première expression </w:t>
      </w:r>
      <w:r>
        <w:rPr>
          <w:rStyle w:val="Appelnotedebasdep"/>
        </w:rPr>
        <w:footnoteReference w:id="1189"/>
      </w:r>
      <w:r w:rsidRPr="006C0978">
        <w:rPr>
          <w:bCs/>
        </w:rPr>
        <w:t>.</w:t>
      </w:r>
      <w:r w:rsidRPr="007422C9">
        <w:rPr>
          <w:b/>
          <w:bCs/>
        </w:rPr>
        <w:t xml:space="preserve"> </w:t>
      </w:r>
      <w:r w:rsidRPr="00B5271E">
        <w:rPr>
          <w:i/>
          <w:lang w:eastAsia="fr-FR" w:bidi="fr-FR"/>
        </w:rPr>
        <w:t>Par contre si on la compare avec la Vie rédigée vingt-cinq ans plus tard par saint Ailred, on constatera que, dans ce court intervalle</w:t>
      </w:r>
      <w:r w:rsidRPr="00B5271E">
        <w:rPr>
          <w:b/>
          <w:bCs/>
          <w:i/>
        </w:rPr>
        <w:t xml:space="preserve">, </w:t>
      </w:r>
      <w:r w:rsidRPr="00B5271E">
        <w:rPr>
          <w:i/>
          <w:lang w:eastAsia="fr-FR" w:bidi="fr-FR"/>
        </w:rPr>
        <w:t>la légende s’est notabl</w:t>
      </w:r>
      <w:r w:rsidRPr="00B5271E">
        <w:rPr>
          <w:i/>
          <w:lang w:eastAsia="fr-FR" w:bidi="fr-FR"/>
        </w:rPr>
        <w:t>e</w:t>
      </w:r>
      <w:r w:rsidRPr="00B5271E">
        <w:rPr>
          <w:i/>
          <w:lang w:eastAsia="fr-FR" w:bidi="fr-FR"/>
        </w:rPr>
        <w:t>ment amplifiée ; plusieurs miracles rapportés par saint Ailred ma</w:t>
      </w:r>
      <w:r w:rsidRPr="00B5271E">
        <w:rPr>
          <w:i/>
          <w:lang w:eastAsia="fr-FR" w:bidi="fr-FR"/>
        </w:rPr>
        <w:t>n</w:t>
      </w:r>
      <w:r w:rsidRPr="00B5271E">
        <w:rPr>
          <w:i/>
          <w:lang w:eastAsia="fr-FR" w:bidi="fr-FR"/>
        </w:rPr>
        <w:t>quent encore chez O</w:t>
      </w:r>
      <w:r w:rsidRPr="00B5271E">
        <w:rPr>
          <w:i/>
          <w:lang w:eastAsia="fr-FR" w:bidi="fr-FR"/>
        </w:rPr>
        <w:t>s</w:t>
      </w:r>
      <w:r w:rsidRPr="00B5271E">
        <w:rPr>
          <w:i/>
          <w:lang w:eastAsia="fr-FR" w:bidi="fr-FR"/>
        </w:rPr>
        <w:t>bert : en particulier l’un des plus illustres entre tous ceux pour le</w:t>
      </w:r>
      <w:r w:rsidRPr="00B5271E">
        <w:rPr>
          <w:i/>
          <w:lang w:eastAsia="fr-FR" w:bidi="fr-FR"/>
        </w:rPr>
        <w:t>s</w:t>
      </w:r>
      <w:r w:rsidRPr="00B5271E">
        <w:rPr>
          <w:i/>
          <w:lang w:eastAsia="fr-FR" w:bidi="fr-FR"/>
        </w:rPr>
        <w:t>quels les siècles suivants vénérèrent le Confesseur : l’histoire de l’anneau remis par le généreux roi à un mendiant, en qui l’on reco</w:t>
      </w:r>
      <w:r w:rsidRPr="00B5271E">
        <w:rPr>
          <w:i/>
          <w:lang w:eastAsia="fr-FR" w:bidi="fr-FR"/>
        </w:rPr>
        <w:t>n</w:t>
      </w:r>
      <w:r w:rsidRPr="00B5271E">
        <w:rPr>
          <w:i/>
          <w:lang w:eastAsia="fr-FR" w:bidi="fr-FR"/>
        </w:rPr>
        <w:t>naît plus tard saint Jean l’Évangéliste</w:t>
      </w:r>
      <w:r>
        <w:rPr>
          <w:lang w:eastAsia="fr-FR" w:bidi="fr-FR"/>
        </w:rPr>
        <w:t> </w:t>
      </w:r>
      <w:r>
        <w:rPr>
          <w:rStyle w:val="Appelnotedebasdep"/>
        </w:rPr>
        <w:footnoteReference w:id="1190"/>
      </w:r>
      <w:r w:rsidRPr="007422C9">
        <w:rPr>
          <w:lang w:eastAsia="fr-FR" w:bidi="fr-FR"/>
        </w:rPr>
        <w:t xml:space="preserve">. </w:t>
      </w:r>
      <w:r w:rsidRPr="00B5271E">
        <w:rPr>
          <w:i/>
          <w:lang w:eastAsia="fr-FR" w:bidi="fr-FR"/>
        </w:rPr>
        <w:t>Quand Osbert écrivit, le tr</w:t>
      </w:r>
      <w:r w:rsidRPr="00B5271E">
        <w:rPr>
          <w:i/>
          <w:lang w:eastAsia="fr-FR" w:bidi="fr-FR"/>
        </w:rPr>
        <w:t>é</w:t>
      </w:r>
      <w:r w:rsidRPr="00B5271E">
        <w:rPr>
          <w:i/>
          <w:lang w:eastAsia="fr-FR" w:bidi="fr-FR"/>
        </w:rPr>
        <w:t>sor légendaire n’avait pas encore cessé de s’accroître.</w:t>
      </w:r>
    </w:p>
    <w:p w14:paraId="0A3334C9" w14:textId="77777777" w:rsidR="00B9662D" w:rsidRDefault="00B9662D" w:rsidP="00B9662D">
      <w:pPr>
        <w:spacing w:before="120" w:after="120"/>
        <w:jc w:val="both"/>
        <w:rPr>
          <w:lang w:eastAsia="fr-FR" w:bidi="fr-FR"/>
        </w:rPr>
      </w:pPr>
      <w:r w:rsidRPr="00B5271E">
        <w:rPr>
          <w:i/>
          <w:lang w:eastAsia="fr-FR" w:bidi="fr-FR"/>
        </w:rPr>
        <w:t>Enfin la très curieuse personnalité d’Osbert de Clare</w:t>
      </w:r>
      <w:r w:rsidRPr="00B5271E">
        <w:rPr>
          <w:b/>
          <w:bCs/>
          <w:i/>
        </w:rPr>
        <w:t xml:space="preserve">, </w:t>
      </w:r>
      <w:r w:rsidRPr="00B5271E">
        <w:rPr>
          <w:i/>
          <w:lang w:eastAsia="fr-FR" w:bidi="fr-FR"/>
        </w:rPr>
        <w:t>cette âme singulière de moine dévot et pédant se reflète dans la Vie de saint Édouard ; et ce n’est peut-être pas son moindre intérêt.</w:t>
      </w:r>
    </w:p>
    <w:p w14:paraId="697CBE6F" w14:textId="77777777" w:rsidR="00B9662D" w:rsidRPr="007422C9" w:rsidRDefault="00B9662D" w:rsidP="00B9662D">
      <w:pPr>
        <w:spacing w:before="120" w:after="120"/>
        <w:jc w:val="both"/>
      </w:pPr>
    </w:p>
    <w:p w14:paraId="71A2AA19" w14:textId="77777777" w:rsidR="00B9662D" w:rsidRPr="006C0978" w:rsidRDefault="00B9662D" w:rsidP="00B9662D">
      <w:pPr>
        <w:pStyle w:val="planche"/>
      </w:pPr>
      <w:bookmarkStart w:id="58" w:name="Melanges_t2_pt_9_chap_IV_IV"/>
      <w:r w:rsidRPr="006C0978">
        <w:t>IV. Les Manuscrits de l’œuvre d’Osbert.</w:t>
      </w:r>
      <w:r w:rsidRPr="006C0978">
        <w:br/>
        <w:t>Les Miracles interpolés du ms. de Cambridge</w:t>
      </w:r>
    </w:p>
    <w:bookmarkEnd w:id="58"/>
    <w:p w14:paraId="08647201" w14:textId="77777777" w:rsidR="00B9662D" w:rsidRDefault="00B9662D" w:rsidP="00B9662D">
      <w:pPr>
        <w:spacing w:before="120" w:after="120"/>
        <w:jc w:val="both"/>
        <w:rPr>
          <w:lang w:eastAsia="fr-FR" w:bidi="fr-FR"/>
        </w:rPr>
      </w:pPr>
    </w:p>
    <w:p w14:paraId="107639A7"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228E725E" w14:textId="77777777" w:rsidR="00B9662D" w:rsidRPr="00B5271E" w:rsidRDefault="00B9662D" w:rsidP="00B9662D">
      <w:pPr>
        <w:spacing w:before="120" w:after="120"/>
        <w:jc w:val="both"/>
        <w:rPr>
          <w:i/>
        </w:rPr>
      </w:pPr>
      <w:r w:rsidRPr="00B5271E">
        <w:rPr>
          <w:i/>
          <w:lang w:eastAsia="fr-FR" w:bidi="fr-FR"/>
        </w:rPr>
        <w:t>Il me reste à indiquer brièvement sur quels manuscrits se fonde l’édition qu’on va lire et quels ont été les principes suivis pour l’établissement du texte.</w:t>
      </w:r>
    </w:p>
    <w:p w14:paraId="4DC64A8D" w14:textId="77777777" w:rsidR="00B9662D" w:rsidRPr="007422C9" w:rsidRDefault="00B9662D" w:rsidP="00B9662D">
      <w:pPr>
        <w:spacing w:before="120" w:after="120"/>
        <w:jc w:val="both"/>
      </w:pPr>
      <w:r w:rsidRPr="007422C9">
        <w:rPr>
          <w:lang w:eastAsia="fr-FR" w:bidi="fr-FR"/>
        </w:rPr>
        <w:t>Les manuscrits de la Vie de saint Édouard par Osbert sont à ma connaissance au nombre de deux :</w:t>
      </w:r>
    </w:p>
    <w:p w14:paraId="4B26EB39" w14:textId="77777777" w:rsidR="00B9662D" w:rsidRDefault="00B9662D" w:rsidP="00B9662D">
      <w:pPr>
        <w:spacing w:before="120" w:after="120"/>
        <w:jc w:val="both"/>
        <w:rPr>
          <w:lang w:eastAsia="fr-FR" w:bidi="fr-FR"/>
        </w:rPr>
      </w:pPr>
    </w:p>
    <w:p w14:paraId="2F1AC80B" w14:textId="77777777" w:rsidR="00B9662D" w:rsidRPr="00B72751" w:rsidRDefault="00B9662D" w:rsidP="00B9662D">
      <w:pPr>
        <w:spacing w:before="120" w:after="120"/>
        <w:jc w:val="both"/>
        <w:rPr>
          <w:i/>
        </w:rPr>
      </w:pPr>
      <w:r w:rsidRPr="00B5271E">
        <w:rPr>
          <w:i/>
          <w:lang w:eastAsia="fr-FR" w:bidi="fr-FR"/>
        </w:rPr>
        <w:t>1) British Museum Add. Mss. 36737 (désigné dans l’</w:t>
      </w:r>
      <w:r w:rsidRPr="00B5271E">
        <w:rPr>
          <w:bCs/>
          <w:i/>
        </w:rPr>
        <w:t>apparatus cr</w:t>
      </w:r>
      <w:r w:rsidRPr="00B5271E">
        <w:rPr>
          <w:bCs/>
          <w:i/>
        </w:rPr>
        <w:t>i</w:t>
      </w:r>
      <w:r w:rsidRPr="00B5271E">
        <w:rPr>
          <w:bCs/>
          <w:i/>
        </w:rPr>
        <w:t>ticus</w:t>
      </w:r>
      <w:r w:rsidRPr="00B5271E">
        <w:rPr>
          <w:b/>
          <w:bCs/>
          <w:i/>
        </w:rPr>
        <w:t xml:space="preserve"> </w:t>
      </w:r>
      <w:r w:rsidRPr="00B5271E">
        <w:rPr>
          <w:i/>
          <w:lang w:eastAsia="fr-FR" w:bidi="fr-FR"/>
        </w:rPr>
        <w:t>par la lettre</w:t>
      </w:r>
      <w:r w:rsidRPr="00B5271E">
        <w:rPr>
          <w:b/>
          <w:bCs/>
          <w:i/>
        </w:rPr>
        <w:t xml:space="preserve"> </w:t>
      </w:r>
      <w:r w:rsidRPr="00B5271E">
        <w:rPr>
          <w:bCs/>
          <w:i/>
        </w:rPr>
        <w:t>L) :</w:t>
      </w:r>
      <w:r w:rsidRPr="00B5271E">
        <w:rPr>
          <w:b/>
          <w:bCs/>
          <w:i/>
        </w:rPr>
        <w:t xml:space="preserve"> </w:t>
      </w:r>
      <w:r w:rsidRPr="00B5271E">
        <w:rPr>
          <w:i/>
          <w:lang w:eastAsia="fr-FR" w:bidi="fr-FR"/>
        </w:rPr>
        <w:t>notre seul manuscrit complet. C’est un lége</w:t>
      </w:r>
      <w:r w:rsidRPr="00B5271E">
        <w:rPr>
          <w:i/>
          <w:lang w:eastAsia="fr-FR" w:bidi="fr-FR"/>
        </w:rPr>
        <w:t>n</w:t>
      </w:r>
      <w:r w:rsidRPr="00B5271E">
        <w:rPr>
          <w:i/>
          <w:lang w:eastAsia="fr-FR" w:bidi="fr-FR"/>
        </w:rPr>
        <w:t>dier composé vers la fin du XII</w:t>
      </w:r>
      <w:r w:rsidRPr="00B5271E">
        <w:rPr>
          <w:i/>
          <w:vertAlign w:val="superscript"/>
          <w:lang w:eastAsia="fr-FR" w:bidi="fr-FR"/>
        </w:rPr>
        <w:t>e</w:t>
      </w:r>
      <w:r w:rsidRPr="00B5271E">
        <w:rPr>
          <w:i/>
          <w:lang w:eastAsia="fr-FR" w:bidi="fr-FR"/>
        </w:rPr>
        <w:t xml:space="preserve"> siècle ou le début du XIII</w:t>
      </w:r>
      <w:r w:rsidRPr="00B5271E">
        <w:rPr>
          <w:b/>
          <w:bCs/>
          <w:i/>
          <w:vertAlign w:val="superscript"/>
        </w:rPr>
        <w:t>e</w:t>
      </w:r>
      <w:r w:rsidRPr="00B5271E">
        <w:rPr>
          <w:b/>
          <w:bCs/>
          <w:i/>
        </w:rPr>
        <w:t xml:space="preserve">, </w:t>
      </w:r>
      <w:r w:rsidRPr="00B5271E">
        <w:rPr>
          <w:i/>
          <w:lang w:eastAsia="fr-FR" w:bidi="fr-FR"/>
        </w:rPr>
        <w:t>sans doute pour l’abbaye cistercienne d’Hemmerode</w:t>
      </w:r>
      <w:r w:rsidRPr="00B5271E">
        <w:rPr>
          <w:b/>
          <w:bCs/>
          <w:i/>
        </w:rPr>
        <w:t xml:space="preserve">, </w:t>
      </w:r>
      <w:r w:rsidRPr="00B5271E">
        <w:rPr>
          <w:i/>
          <w:lang w:eastAsia="fr-FR" w:bidi="fr-FR"/>
        </w:rPr>
        <w:t>au diocèse de Trêves </w:t>
      </w:r>
      <w:r>
        <w:rPr>
          <w:rStyle w:val="Appelnotedebasdep"/>
        </w:rPr>
        <w:footnoteReference w:id="1191"/>
      </w:r>
      <w:r w:rsidRPr="007422C9">
        <w:rPr>
          <w:lang w:eastAsia="fr-FR" w:bidi="fr-FR"/>
        </w:rPr>
        <w:t xml:space="preserve">. </w:t>
      </w:r>
      <w:r w:rsidRPr="00B5271E">
        <w:rPr>
          <w:i/>
          <w:lang w:eastAsia="fr-FR" w:bidi="fr-FR"/>
        </w:rPr>
        <w:t xml:space="preserve">Du moins deux choses sont certaines : il fut exécuté hors </w:t>
      </w:r>
      <w:r w:rsidRPr="00B5271E">
        <w:rPr>
          <w:i/>
          <w:lang w:eastAsia="fr-FR" w:bidi="fr-FR"/>
        </w:rPr>
        <w:lastRenderedPageBreak/>
        <w:t>d’Angleterre</w:t>
      </w:r>
      <w:r w:rsidRPr="00B5271E">
        <w:rPr>
          <w:b/>
          <w:bCs/>
          <w:i/>
        </w:rPr>
        <w:t> — </w:t>
      </w:r>
      <w:r w:rsidRPr="00B5271E">
        <w:rPr>
          <w:i/>
          <w:lang w:eastAsia="fr-FR" w:bidi="fr-FR"/>
        </w:rPr>
        <w:t>comme en témoignent l’orthographe des noms propres de personnes et les erreurs fréquentes qui défigurent les noms de lieux</w:t>
      </w:r>
      <w:r>
        <w:rPr>
          <w:lang w:eastAsia="fr-FR" w:bidi="fr-FR"/>
        </w:rPr>
        <w:t> </w:t>
      </w:r>
      <w:r>
        <w:rPr>
          <w:rStyle w:val="Appelnotedebasdep"/>
        </w:rPr>
        <w:footnoteReference w:id="1192"/>
      </w:r>
      <w:r>
        <w:rPr>
          <w:b/>
          <w:bCs/>
        </w:rPr>
        <w:t> — </w:t>
      </w:r>
      <w:r w:rsidRPr="00B5271E">
        <w:rPr>
          <w:i/>
          <w:lang w:eastAsia="fr-FR" w:bidi="fr-FR"/>
        </w:rPr>
        <w:t>et il a</w:t>
      </w:r>
      <w:r w:rsidRPr="00B5271E">
        <w:rPr>
          <w:i/>
          <w:lang w:eastAsia="fr-FR" w:bidi="fr-FR"/>
        </w:rPr>
        <w:t>p</w:t>
      </w:r>
      <w:r w:rsidRPr="00B5271E">
        <w:rPr>
          <w:i/>
          <w:lang w:eastAsia="fr-FR" w:bidi="fr-FR"/>
        </w:rPr>
        <w:t>partint de bonne heure aux moines d’Hemmerode : deux notes inscr</w:t>
      </w:r>
      <w:r w:rsidRPr="00B5271E">
        <w:rPr>
          <w:i/>
          <w:lang w:eastAsia="fr-FR" w:bidi="fr-FR"/>
        </w:rPr>
        <w:t>i</w:t>
      </w:r>
      <w:r w:rsidRPr="00B5271E">
        <w:rPr>
          <w:i/>
          <w:lang w:eastAsia="fr-FR" w:bidi="fr-FR"/>
        </w:rPr>
        <w:t>tes</w:t>
      </w:r>
      <w:r w:rsidRPr="00B5271E">
        <w:rPr>
          <w:b/>
          <w:bCs/>
          <w:i/>
        </w:rPr>
        <w:t xml:space="preserve">, </w:t>
      </w:r>
      <w:r w:rsidRPr="00B5271E">
        <w:rPr>
          <w:i/>
          <w:lang w:eastAsia="fr-FR" w:bidi="fr-FR"/>
        </w:rPr>
        <w:t xml:space="preserve">au </w:t>
      </w:r>
      <w:r w:rsidRPr="00B5271E">
        <w:rPr>
          <w:i/>
          <w:caps/>
          <w:lang w:eastAsia="fr-FR" w:bidi="fr-FR"/>
        </w:rPr>
        <w:t>xiv</w:t>
      </w:r>
      <w:r w:rsidRPr="00B5271E">
        <w:rPr>
          <w:i/>
          <w:vertAlign w:val="superscript"/>
          <w:lang w:eastAsia="fr-FR" w:bidi="fr-FR"/>
        </w:rPr>
        <w:t>e</w:t>
      </w:r>
      <w:r w:rsidRPr="00B5271E">
        <w:rPr>
          <w:i/>
          <w:lang w:eastAsia="fr-FR" w:bidi="fr-FR"/>
        </w:rPr>
        <w:t xml:space="preserve"> siècle, sur le manuscrit lui-même, en font foi </w:t>
      </w:r>
      <w:r>
        <w:rPr>
          <w:rStyle w:val="Appelnotedebasdep"/>
        </w:rPr>
        <w:footnoteReference w:id="1193"/>
      </w:r>
      <w:r w:rsidRPr="007422C9">
        <w:rPr>
          <w:lang w:eastAsia="fr-FR" w:bidi="fr-FR"/>
        </w:rPr>
        <w:t xml:space="preserve">. </w:t>
      </w:r>
      <w:r w:rsidRPr="00B5271E">
        <w:rPr>
          <w:i/>
          <w:lang w:eastAsia="fr-FR" w:bidi="fr-FR"/>
        </w:rPr>
        <w:t>La Vie de saint Édouard y occupe les fol. 139 à 157 v°. Comment une œuvre originaire de Westminster et médiocrement populaire dans son pays natal fut-elle portée dans une abbaye de la région mosellanne, et comment y trouva-t-elle un copiste ? on ne sait. De la bibliothèque des cister</w:t>
      </w:r>
      <w:r w:rsidRPr="00B72751">
        <w:rPr>
          <w:i/>
          <w:lang w:eastAsia="fr-FR" w:bidi="fr-FR"/>
        </w:rPr>
        <w:t>ciens</w:t>
      </w:r>
      <w:r>
        <w:t xml:space="preserve"> </w:t>
      </w:r>
      <w:r>
        <w:rPr>
          <w:lang w:eastAsia="fr-FR" w:bidi="fr-FR"/>
        </w:rPr>
        <w:t>[981]</w:t>
      </w:r>
      <w:r w:rsidRPr="00B72751">
        <w:rPr>
          <w:i/>
          <w:lang w:eastAsia="fr-FR" w:bidi="fr-FR"/>
        </w:rPr>
        <w:t xml:space="preserve"> d'Hemmerode, le manuscrit passa, sans doute vers le fin du XIII</w:t>
      </w:r>
      <w:r w:rsidRPr="00B72751">
        <w:rPr>
          <w:i/>
          <w:vertAlign w:val="superscript"/>
          <w:lang w:eastAsia="fr-FR" w:bidi="fr-FR"/>
        </w:rPr>
        <w:t>e</w:t>
      </w:r>
      <w:r w:rsidRPr="00B72751">
        <w:rPr>
          <w:i/>
          <w:lang w:eastAsia="fr-FR" w:bidi="fr-FR"/>
        </w:rPr>
        <w:t xml:space="preserve"> siècle, au moment des sécularisations révolutio</w:t>
      </w:r>
      <w:r w:rsidRPr="00B72751">
        <w:rPr>
          <w:i/>
          <w:lang w:eastAsia="fr-FR" w:bidi="fr-FR"/>
        </w:rPr>
        <w:t>n</w:t>
      </w:r>
      <w:r w:rsidRPr="00B72751">
        <w:rPr>
          <w:i/>
          <w:lang w:eastAsia="fr-FR" w:bidi="fr-FR"/>
        </w:rPr>
        <w:t>naires, dans la collection de Joseph de Görres, l’historien et écrivain polit</w:t>
      </w:r>
      <w:r w:rsidRPr="00B72751">
        <w:rPr>
          <w:i/>
          <w:lang w:eastAsia="fr-FR" w:bidi="fr-FR"/>
        </w:rPr>
        <w:t>i</w:t>
      </w:r>
      <w:r w:rsidRPr="00B72751">
        <w:rPr>
          <w:i/>
          <w:lang w:eastAsia="fr-FR" w:bidi="fr-FR"/>
        </w:rPr>
        <w:t>que bien connu </w:t>
      </w:r>
      <w:r>
        <w:rPr>
          <w:rStyle w:val="Appelnotedebasdep"/>
        </w:rPr>
        <w:footnoteReference w:id="1194"/>
      </w:r>
      <w:r w:rsidRPr="006C0978">
        <w:rPr>
          <w:bCs/>
        </w:rPr>
        <w:t>;</w:t>
      </w:r>
      <w:r w:rsidRPr="007422C9">
        <w:rPr>
          <w:b/>
          <w:bCs/>
        </w:rPr>
        <w:t xml:space="preserve"> </w:t>
      </w:r>
      <w:r w:rsidRPr="00B72751">
        <w:rPr>
          <w:i/>
          <w:lang w:eastAsia="fr-FR" w:bidi="fr-FR"/>
        </w:rPr>
        <w:t>il fut acquis, en 1904, précisément le four de la fête de saint Edouard, par le Musée Britannique. Très soigneusement établi (Ta</w:t>
      </w:r>
      <w:r w:rsidRPr="00B72751">
        <w:rPr>
          <w:i/>
          <w:lang w:eastAsia="fr-FR" w:bidi="fr-FR"/>
        </w:rPr>
        <w:t>s</w:t>
      </w:r>
      <w:r w:rsidRPr="00B72751">
        <w:rPr>
          <w:i/>
          <w:lang w:eastAsia="fr-FR" w:bidi="fr-FR"/>
        </w:rPr>
        <w:t>sez nombreuses corrections qui semblent toutes de la même main que Vensemble prouvent qu'il fut l'objet d'une révision attent</w:t>
      </w:r>
      <w:r w:rsidRPr="00B72751">
        <w:rPr>
          <w:i/>
          <w:lang w:eastAsia="fr-FR" w:bidi="fr-FR"/>
        </w:rPr>
        <w:t>i</w:t>
      </w:r>
      <w:r w:rsidRPr="00B72751">
        <w:rPr>
          <w:i/>
          <w:lang w:eastAsia="fr-FR" w:bidi="fr-FR"/>
        </w:rPr>
        <w:t>ve), il fournit en général un texte très sûr.</w:t>
      </w:r>
    </w:p>
    <w:p w14:paraId="31791BC6" w14:textId="77777777" w:rsidR="00B9662D" w:rsidRPr="00B72751" w:rsidRDefault="00B9662D" w:rsidP="00B9662D">
      <w:pPr>
        <w:spacing w:before="120" w:after="120"/>
        <w:jc w:val="both"/>
        <w:rPr>
          <w:i/>
        </w:rPr>
      </w:pPr>
      <w:r w:rsidRPr="00B72751">
        <w:rPr>
          <w:i/>
          <w:lang w:eastAsia="fr-FR" w:bidi="fr-FR"/>
        </w:rPr>
        <w:t>2) Cambridge Corpus Christi College 161 (désigné dans</w:t>
      </w:r>
      <w:r w:rsidRPr="00B72751">
        <w:rPr>
          <w:b/>
          <w:bCs/>
          <w:i/>
        </w:rPr>
        <w:t xml:space="preserve"> </w:t>
      </w:r>
      <w:r w:rsidRPr="00B72751">
        <w:rPr>
          <w:bCs/>
          <w:i/>
        </w:rPr>
        <w:t>l’apparatus</w:t>
      </w:r>
      <w:r w:rsidRPr="00B72751">
        <w:rPr>
          <w:b/>
          <w:bCs/>
          <w:i/>
        </w:rPr>
        <w:t xml:space="preserve"> </w:t>
      </w:r>
      <w:r w:rsidRPr="00B72751">
        <w:rPr>
          <w:i/>
          <w:lang w:eastAsia="fr-FR" w:bidi="fr-FR"/>
        </w:rPr>
        <w:t>par la lettre C) : légendier composé sans doute dans la première moitié du XIII</w:t>
      </w:r>
      <w:r w:rsidRPr="00B72751">
        <w:rPr>
          <w:i/>
          <w:vertAlign w:val="superscript"/>
          <w:lang w:eastAsia="fr-FR" w:bidi="fr-FR"/>
        </w:rPr>
        <w:t>e</w:t>
      </w:r>
      <w:r w:rsidRPr="00B72751">
        <w:rPr>
          <w:b/>
          <w:bCs/>
          <w:i/>
          <w:iCs/>
        </w:rPr>
        <w:t xml:space="preserve"> </w:t>
      </w:r>
      <w:r w:rsidRPr="00B72751">
        <w:rPr>
          <w:i/>
          <w:lang w:eastAsia="fr-FR" w:bidi="fr-FR"/>
        </w:rPr>
        <w:t>siècle, on ne sait pour quel établissement r</w:t>
      </w:r>
      <w:r w:rsidRPr="00B72751">
        <w:rPr>
          <w:i/>
          <w:lang w:eastAsia="fr-FR" w:bidi="fr-FR"/>
        </w:rPr>
        <w:t>e</w:t>
      </w:r>
      <w:r w:rsidRPr="00B72751">
        <w:rPr>
          <w:i/>
          <w:lang w:eastAsia="fr-FR" w:bidi="fr-FR"/>
        </w:rPr>
        <w:t>ligieux anglais ;</w:t>
      </w:r>
      <w:r w:rsidRPr="00B72751">
        <w:rPr>
          <w:b/>
          <w:bCs/>
          <w:i/>
          <w:iCs/>
        </w:rPr>
        <w:t xml:space="preserve"> </w:t>
      </w:r>
      <w:r w:rsidRPr="00B72751">
        <w:rPr>
          <w:i/>
          <w:lang w:eastAsia="fr-FR" w:bidi="fr-FR"/>
        </w:rPr>
        <w:t>la Vie y occupe les fol. 138 v° à 152 v°. Ce manu</w:t>
      </w:r>
      <w:r w:rsidRPr="00B72751">
        <w:rPr>
          <w:i/>
          <w:lang w:eastAsia="fr-FR" w:bidi="fr-FR"/>
        </w:rPr>
        <w:t>s</w:t>
      </w:r>
      <w:r w:rsidRPr="00B72751">
        <w:rPr>
          <w:i/>
          <w:lang w:eastAsia="fr-FR" w:bidi="fr-FR"/>
        </w:rPr>
        <w:t>crit</w:t>
      </w:r>
      <w:r w:rsidRPr="00B72751">
        <w:rPr>
          <w:b/>
          <w:bCs/>
          <w:i/>
        </w:rPr>
        <w:t> — </w:t>
      </w:r>
      <w:r w:rsidRPr="00B72751">
        <w:rPr>
          <w:i/>
          <w:lang w:eastAsia="fr-FR" w:bidi="fr-FR"/>
        </w:rPr>
        <w:t>qu'on a cru longtemps être le seul subsistant</w:t>
      </w:r>
      <w:r w:rsidRPr="00B72751">
        <w:rPr>
          <w:b/>
          <w:bCs/>
          <w:i/>
        </w:rPr>
        <w:t> — </w:t>
      </w:r>
      <w:r w:rsidRPr="00B72751">
        <w:rPr>
          <w:i/>
          <w:lang w:eastAsia="fr-FR" w:bidi="fr-FR"/>
        </w:rPr>
        <w:t>n'offre de l'œuvre d'Osbert qu'une version fortement abrégée</w:t>
      </w:r>
      <w:r>
        <w:rPr>
          <w:lang w:eastAsia="fr-FR" w:bidi="fr-FR"/>
        </w:rPr>
        <w:t> </w:t>
      </w:r>
      <w:r>
        <w:rPr>
          <w:rStyle w:val="Appelnotedebasdep"/>
        </w:rPr>
        <w:footnoteReference w:id="1195"/>
      </w:r>
      <w:r w:rsidRPr="006C0978">
        <w:rPr>
          <w:bCs/>
        </w:rPr>
        <w:t>.</w:t>
      </w:r>
      <w:r w:rsidRPr="007422C9">
        <w:rPr>
          <w:b/>
          <w:bCs/>
        </w:rPr>
        <w:t xml:space="preserve"> </w:t>
      </w:r>
      <w:r w:rsidRPr="00B72751">
        <w:rPr>
          <w:i/>
          <w:lang w:eastAsia="fr-FR" w:bidi="fr-FR"/>
        </w:rPr>
        <w:t xml:space="preserve">Le travail de l'abréviateur est facile à suivre : il supprime tantôt un développement </w:t>
      </w:r>
      <w:r w:rsidRPr="00B72751">
        <w:rPr>
          <w:i/>
          <w:lang w:eastAsia="fr-FR" w:bidi="fr-FR"/>
        </w:rPr>
        <w:lastRenderedPageBreak/>
        <w:t>tout entier </w:t>
      </w:r>
      <w:r>
        <w:rPr>
          <w:rStyle w:val="Appelnotedebasdep"/>
        </w:rPr>
        <w:footnoteReference w:id="1196"/>
      </w:r>
      <w:r w:rsidRPr="007422C9">
        <w:rPr>
          <w:lang w:eastAsia="fr-FR" w:bidi="fr-FR"/>
        </w:rPr>
        <w:t xml:space="preserve">, </w:t>
      </w:r>
      <w:r w:rsidRPr="00B72751">
        <w:rPr>
          <w:i/>
          <w:lang w:eastAsia="fr-FR" w:bidi="fr-FR"/>
        </w:rPr>
        <w:t>tantôt une phrase ou deux, ailleurs encore quelques mots seulement</w:t>
      </w:r>
      <w:r>
        <w:rPr>
          <w:lang w:eastAsia="fr-FR" w:bidi="fr-FR"/>
        </w:rPr>
        <w:t> </w:t>
      </w:r>
      <w:r>
        <w:rPr>
          <w:rStyle w:val="Appelnotedebasdep"/>
        </w:rPr>
        <w:footnoteReference w:id="1197"/>
      </w:r>
      <w:r w:rsidRPr="007422C9">
        <w:rPr>
          <w:lang w:eastAsia="fr-FR" w:bidi="fr-FR"/>
        </w:rPr>
        <w:t xml:space="preserve"> ; </w:t>
      </w:r>
      <w:r w:rsidRPr="00B72751">
        <w:rPr>
          <w:i/>
          <w:lang w:eastAsia="fr-FR" w:bidi="fr-FR"/>
        </w:rPr>
        <w:t>il modifie la disposition des chapitres </w:t>
      </w:r>
      <w:r>
        <w:rPr>
          <w:rStyle w:val="Appelnotedebasdep"/>
        </w:rPr>
        <w:footnoteReference w:id="1198"/>
      </w:r>
      <w:r w:rsidRPr="007422C9">
        <w:rPr>
          <w:lang w:eastAsia="fr-FR" w:bidi="fr-FR"/>
        </w:rPr>
        <w:t xml:space="preserve"> ; </w:t>
      </w:r>
      <w:r w:rsidRPr="00B72751">
        <w:rPr>
          <w:i/>
          <w:lang w:eastAsia="fr-FR" w:bidi="fr-FR"/>
        </w:rPr>
        <w:t>il ajoute de temps à autre un mot ou une petite phrase</w:t>
      </w:r>
      <w:r w:rsidRPr="007422C9">
        <w:rPr>
          <w:lang w:eastAsia="fr-FR" w:bidi="fr-FR"/>
        </w:rPr>
        <w:t xml:space="preserve"> </w:t>
      </w:r>
      <w:r w:rsidRPr="00B72751">
        <w:rPr>
          <w:i/>
          <w:lang w:eastAsia="fr-FR" w:bidi="fr-FR"/>
        </w:rPr>
        <w:t>pour faire raccord ; le tout sans jamais sacrifier un épisode entier. Ces coups de ciseau étaient rendus aisés par l'extrême prolixité d'Osbert. Mais le ms. de Ca</w:t>
      </w:r>
      <w:r w:rsidRPr="00B72751">
        <w:rPr>
          <w:i/>
          <w:lang w:eastAsia="fr-FR" w:bidi="fr-FR"/>
        </w:rPr>
        <w:t>m</w:t>
      </w:r>
      <w:r w:rsidRPr="00B72751">
        <w:rPr>
          <w:i/>
          <w:lang w:eastAsia="fr-FR" w:bidi="fr-FR"/>
        </w:rPr>
        <w:t>bridge n'est pas une simple</w:t>
      </w:r>
      <w:r w:rsidRPr="007422C9">
        <w:rPr>
          <w:b/>
          <w:bCs/>
        </w:rPr>
        <w:t xml:space="preserve"> </w:t>
      </w:r>
      <w:r w:rsidRPr="00B72751">
        <w:rPr>
          <w:bCs/>
        </w:rPr>
        <w:t>epitome </w:t>
      </w:r>
      <w:r w:rsidRPr="006C0978">
        <w:rPr>
          <w:bCs/>
          <w:i/>
        </w:rPr>
        <w:t>;</w:t>
      </w:r>
      <w:r w:rsidRPr="007422C9">
        <w:rPr>
          <w:b/>
          <w:bCs/>
        </w:rPr>
        <w:t xml:space="preserve"> </w:t>
      </w:r>
      <w:r w:rsidRPr="00B72751">
        <w:rPr>
          <w:i/>
          <w:lang w:eastAsia="fr-FR" w:bidi="fr-FR"/>
        </w:rPr>
        <w:t>il présente deux chapitres (le vingtième et le trentième) qui lui appartiennent en propre, étant sans parallèles dans le ms. de Londres : ce sont deux récits de miracles, l'un datant de la vie même de saint Édouard</w:t>
      </w:r>
      <w:r w:rsidRPr="00B72751">
        <w:rPr>
          <w:b/>
          <w:bCs/>
          <w:i/>
        </w:rPr>
        <w:t> — </w:t>
      </w:r>
      <w:r w:rsidRPr="00B72751">
        <w:rPr>
          <w:i/>
          <w:lang w:eastAsia="fr-FR" w:bidi="fr-FR"/>
        </w:rPr>
        <w:t>c'est l'histoire, à l</w:t>
      </w:r>
      <w:r w:rsidRPr="00B72751">
        <w:rPr>
          <w:i/>
          <w:lang w:eastAsia="fr-FR" w:bidi="fr-FR"/>
        </w:rPr>
        <w:t>a</w:t>
      </w:r>
      <w:r w:rsidRPr="00B72751">
        <w:rPr>
          <w:i/>
          <w:lang w:eastAsia="fr-FR" w:bidi="fr-FR"/>
        </w:rPr>
        <w:t>quelle j’ai déjà fait allusion, de l'anneau remis par le roi à saint Jean l'Évangéliste, qui lui apparaît sous la forme d'un mendiant, et rendu ensuite par l'apôtre à deux pèlerins anglais</w:t>
      </w:r>
      <w:r w:rsidRPr="00B72751">
        <w:rPr>
          <w:b/>
          <w:bCs/>
          <w:i/>
        </w:rPr>
        <w:t> — </w:t>
      </w:r>
      <w:r w:rsidRPr="00B72751">
        <w:rPr>
          <w:i/>
          <w:lang w:eastAsia="fr-FR" w:bidi="fr-FR"/>
        </w:rPr>
        <w:t>l'autre se rattachant à son action posthume : l'aventure d'une couturière londonienne tour à tour châtiée et guérie par le saint. Ces deux chapitres constituent-ils une interpolation, ajoutée après coup à l'œuvre d'Osbert par une main inconnue ? Ou bien au contraire faut-il voir en eux deux fragments du texte primitif, négligés par le scribe à qui nous devons la version r</w:t>
      </w:r>
      <w:r w:rsidRPr="00B72751">
        <w:rPr>
          <w:i/>
          <w:lang w:eastAsia="fr-FR" w:bidi="fr-FR"/>
        </w:rPr>
        <w:t>e</w:t>
      </w:r>
      <w:r w:rsidRPr="00B72751">
        <w:rPr>
          <w:i/>
          <w:lang w:eastAsia="fr-FR" w:bidi="fr-FR"/>
        </w:rPr>
        <w:t>cueillie dans le ms. de Londres ? Pour pouvoir répondre à cette que</w:t>
      </w:r>
      <w:r w:rsidRPr="00B72751">
        <w:rPr>
          <w:i/>
          <w:lang w:eastAsia="fr-FR" w:bidi="fr-FR"/>
        </w:rPr>
        <w:t>s</w:t>
      </w:r>
      <w:r w:rsidRPr="00B72751">
        <w:rPr>
          <w:i/>
          <w:lang w:eastAsia="fr-FR" w:bidi="fr-FR"/>
        </w:rPr>
        <w:t>tion, examinons séparément l'un et l'autre passage.</w:t>
      </w:r>
    </w:p>
    <w:p w14:paraId="0E2B433D" w14:textId="77777777" w:rsidR="00B9662D" w:rsidRPr="00B4772E" w:rsidRDefault="00B9662D" w:rsidP="00B9662D">
      <w:pPr>
        <w:spacing w:before="120" w:after="120"/>
        <w:jc w:val="both"/>
        <w:rPr>
          <w:i/>
        </w:rPr>
      </w:pPr>
      <w:r w:rsidRPr="00B72751">
        <w:rPr>
          <w:i/>
          <w:lang w:eastAsia="fr-FR" w:bidi="fr-FR"/>
        </w:rPr>
        <w:t>D'abord l'anneau. C'est le plus célèbre peut-être des miracles de saint Édouard : aucun n'a été reproduit plus souvent</w:t>
      </w:r>
      <w:r w:rsidRPr="00B72751">
        <w:rPr>
          <w:b/>
          <w:bCs/>
          <w:i/>
        </w:rPr>
        <w:t> — </w:t>
      </w:r>
      <w:r w:rsidRPr="00B72751">
        <w:rPr>
          <w:i/>
          <w:lang w:eastAsia="fr-FR" w:bidi="fr-FR"/>
        </w:rPr>
        <w:t>tant sur le Continent qu'en Angleterre</w:t>
      </w:r>
      <w:r w:rsidRPr="00B72751">
        <w:rPr>
          <w:b/>
          <w:bCs/>
          <w:i/>
        </w:rPr>
        <w:t> — </w:t>
      </w:r>
      <w:r w:rsidRPr="00B72751">
        <w:rPr>
          <w:i/>
          <w:lang w:eastAsia="fr-FR" w:bidi="fr-FR"/>
        </w:rPr>
        <w:t>par l'iconographie médiévale </w:t>
      </w:r>
      <w:r>
        <w:rPr>
          <w:rStyle w:val="Appelnotedebasdep"/>
        </w:rPr>
        <w:footnoteReference w:id="1199"/>
      </w:r>
      <w:r w:rsidRPr="006C0978">
        <w:rPr>
          <w:bCs/>
        </w:rPr>
        <w:t>.</w:t>
      </w:r>
      <w:r w:rsidRPr="007422C9">
        <w:rPr>
          <w:b/>
          <w:bCs/>
        </w:rPr>
        <w:t xml:space="preserve"> </w:t>
      </w:r>
      <w:r w:rsidRPr="00B72751">
        <w:rPr>
          <w:i/>
          <w:lang w:eastAsia="fr-FR" w:bidi="fr-FR"/>
        </w:rPr>
        <w:t>Co</w:t>
      </w:r>
      <w:r w:rsidRPr="00B72751">
        <w:rPr>
          <w:i/>
          <w:lang w:eastAsia="fr-FR" w:bidi="fr-FR"/>
        </w:rPr>
        <w:t>m</w:t>
      </w:r>
      <w:r w:rsidRPr="00B72751">
        <w:rPr>
          <w:i/>
          <w:lang w:eastAsia="fr-FR" w:bidi="fr-FR"/>
        </w:rPr>
        <w:t>ment un scribe, le lisant dans son modèle, eût-il</w:t>
      </w:r>
      <w:r w:rsidRPr="00B72751">
        <w:rPr>
          <w:b/>
          <w:bCs/>
          <w:i/>
        </w:rPr>
        <w:t> — </w:t>
      </w:r>
      <w:r w:rsidRPr="00B72751">
        <w:rPr>
          <w:i/>
          <w:lang w:eastAsia="fr-FR" w:bidi="fr-FR"/>
        </w:rPr>
        <w:t>copiant tant d'a</w:t>
      </w:r>
      <w:r w:rsidRPr="00B72751">
        <w:rPr>
          <w:i/>
          <w:lang w:eastAsia="fr-FR" w:bidi="fr-FR"/>
        </w:rPr>
        <w:t>u</w:t>
      </w:r>
      <w:r w:rsidRPr="00B72751">
        <w:rPr>
          <w:i/>
          <w:lang w:eastAsia="fr-FR" w:bidi="fr-FR"/>
        </w:rPr>
        <w:t>tres historiettes plus obscures</w:t>
      </w:r>
      <w:r w:rsidRPr="00B72751">
        <w:rPr>
          <w:b/>
          <w:bCs/>
          <w:i/>
        </w:rPr>
        <w:t xml:space="preserve"> —</w:t>
      </w:r>
      <w:r>
        <w:rPr>
          <w:b/>
          <w:bCs/>
        </w:rPr>
        <w:t xml:space="preserve"> </w:t>
      </w:r>
      <w:r>
        <w:rPr>
          <w:lang w:eastAsia="fr-FR" w:bidi="fr-FR"/>
        </w:rPr>
        <w:t xml:space="preserve">[982] </w:t>
      </w:r>
      <w:r w:rsidRPr="00B4772E">
        <w:rPr>
          <w:i/>
          <w:lang w:eastAsia="fr-FR" w:bidi="fr-FR"/>
        </w:rPr>
        <w:t xml:space="preserve">laissé de côté précisément </w:t>
      </w:r>
      <w:r w:rsidRPr="00B4772E">
        <w:rPr>
          <w:i/>
          <w:lang w:eastAsia="fr-FR" w:bidi="fr-FR"/>
        </w:rPr>
        <w:lastRenderedPageBreak/>
        <w:t>ce</w:t>
      </w:r>
      <w:r w:rsidRPr="00B4772E">
        <w:rPr>
          <w:i/>
          <w:lang w:eastAsia="fr-FR" w:bidi="fr-FR"/>
        </w:rPr>
        <w:t>l</w:t>
      </w:r>
      <w:r w:rsidRPr="00B4772E">
        <w:rPr>
          <w:i/>
          <w:lang w:eastAsia="fr-FR" w:bidi="fr-FR"/>
        </w:rPr>
        <w:t>le-là que chacun connaissait ? Su</w:t>
      </w:r>
      <w:r w:rsidRPr="00B4772E">
        <w:rPr>
          <w:i/>
          <w:lang w:eastAsia="fr-FR" w:bidi="fr-FR"/>
        </w:rPr>
        <w:t>p</w:t>
      </w:r>
      <w:r w:rsidRPr="00B4772E">
        <w:rPr>
          <w:i/>
          <w:lang w:eastAsia="fr-FR" w:bidi="fr-FR"/>
        </w:rPr>
        <w:t>posons au contraire qu’Osbert, témoin d'un état relativement ancien de la légende, ait ignoré, parce que tout le monde l’ignorait de son temps, la merveilleuse entrevue de saint Édouard et de saint Jean. Plus tard on reprend son œuvre ; on l’abrège pour la rendre plus lis</w:t>
      </w:r>
      <w:r w:rsidRPr="00B4772E">
        <w:rPr>
          <w:i/>
          <w:lang w:eastAsia="fr-FR" w:bidi="fr-FR"/>
        </w:rPr>
        <w:t>i</w:t>
      </w:r>
      <w:r w:rsidRPr="00B4772E">
        <w:rPr>
          <w:i/>
          <w:lang w:eastAsia="fr-FR" w:bidi="fr-FR"/>
        </w:rPr>
        <w:t>ble ; en même temps on la met au courant ; et le remanieur y ajoute l’épisode omis, devenu, dans l’intervalle, absolument classique. Rien de plus naturel. Ces consid</w:t>
      </w:r>
      <w:r w:rsidRPr="00B4772E">
        <w:rPr>
          <w:i/>
          <w:lang w:eastAsia="fr-FR" w:bidi="fr-FR"/>
        </w:rPr>
        <w:t>é</w:t>
      </w:r>
      <w:r w:rsidRPr="00B4772E">
        <w:rPr>
          <w:i/>
          <w:lang w:eastAsia="fr-FR" w:bidi="fr-FR"/>
        </w:rPr>
        <w:t>rations de fond doivent déjà nous incliner à voir dans le chapitre xx du ms. de</w:t>
      </w:r>
      <w:r w:rsidRPr="007422C9">
        <w:rPr>
          <w:b/>
          <w:bCs/>
        </w:rPr>
        <w:t xml:space="preserve"> </w:t>
      </w:r>
      <w:r w:rsidRPr="00B4772E">
        <w:rPr>
          <w:bCs/>
        </w:rPr>
        <w:t>Corpus Christi</w:t>
      </w:r>
      <w:r w:rsidRPr="007422C9">
        <w:rPr>
          <w:b/>
          <w:bCs/>
        </w:rPr>
        <w:t xml:space="preserve"> </w:t>
      </w:r>
      <w:r w:rsidRPr="00B4772E">
        <w:rPr>
          <w:i/>
          <w:lang w:eastAsia="fr-FR" w:bidi="fr-FR"/>
        </w:rPr>
        <w:t>une simple interpolation. L’étude de la fo</w:t>
      </w:r>
      <w:r w:rsidRPr="00B4772E">
        <w:rPr>
          <w:i/>
          <w:lang w:eastAsia="fr-FR" w:bidi="fr-FR"/>
        </w:rPr>
        <w:t>r</w:t>
      </w:r>
      <w:r w:rsidRPr="00B4772E">
        <w:rPr>
          <w:i/>
          <w:lang w:eastAsia="fr-FR" w:bidi="fr-FR"/>
        </w:rPr>
        <w:t>me confirme cette conclusion. Le style de ce petit récit, écrit dans une prose alerte, sans rythme, exempte de rém</w:t>
      </w:r>
      <w:r w:rsidRPr="00B4772E">
        <w:rPr>
          <w:i/>
          <w:lang w:eastAsia="fr-FR" w:bidi="fr-FR"/>
        </w:rPr>
        <w:t>i</w:t>
      </w:r>
      <w:r w:rsidRPr="00B4772E">
        <w:rPr>
          <w:i/>
          <w:lang w:eastAsia="fr-FR" w:bidi="fr-FR"/>
        </w:rPr>
        <w:t>niscences antiques comme de souvenirs bibliques, ne porte point la marque d’Osbert ; certes, il n’est point sorti de la même main que la Vie où il se trouve a</w:t>
      </w:r>
      <w:r w:rsidRPr="00B4772E">
        <w:rPr>
          <w:i/>
          <w:lang w:eastAsia="fr-FR" w:bidi="fr-FR"/>
        </w:rPr>
        <w:t>u</w:t>
      </w:r>
      <w:r w:rsidRPr="00B4772E">
        <w:rPr>
          <w:i/>
          <w:lang w:eastAsia="fr-FR" w:bidi="fr-FR"/>
        </w:rPr>
        <w:t>jourd’hui interpolé.</w:t>
      </w:r>
    </w:p>
    <w:p w14:paraId="2CBF3981" w14:textId="77777777" w:rsidR="00B9662D" w:rsidRPr="007422C9" w:rsidRDefault="00B9662D" w:rsidP="00B9662D">
      <w:pPr>
        <w:spacing w:before="120" w:after="120"/>
        <w:jc w:val="both"/>
      </w:pPr>
      <w:r w:rsidRPr="00B4772E">
        <w:rPr>
          <w:i/>
          <w:lang w:eastAsia="fr-FR" w:bidi="fr-FR"/>
        </w:rPr>
        <w:t>Aussi bien il reflète des traditions fort étrangères sans doute au bagage d’Osbert. Le miracle de l’anneau n’y sert guère que de pr</w:t>
      </w:r>
      <w:r w:rsidRPr="00B4772E">
        <w:rPr>
          <w:i/>
          <w:lang w:eastAsia="fr-FR" w:bidi="fr-FR"/>
        </w:rPr>
        <w:t>é</w:t>
      </w:r>
      <w:r w:rsidRPr="00B4772E">
        <w:rPr>
          <w:i/>
          <w:lang w:eastAsia="fr-FR" w:bidi="fr-FR"/>
        </w:rPr>
        <w:t>texte à un joli conte qui nous emmène bien loin de Westminster ; on y voit décrite l’entrée du Paradis, une arche sous laquelle coule l’Euphrate ; on y rencontre le roi Salomon qui, écarté par ses fautes de la béatitude suprême, au moins jusqu’au jour du Jugement, attend la Fin du Monde seul dans un palais en ruines, au cœur d’une forêt ombreuse, tout près des portes de la Cité céleste. Cette dernière l</w:t>
      </w:r>
      <w:r w:rsidRPr="00B4772E">
        <w:rPr>
          <w:i/>
          <w:lang w:eastAsia="fr-FR" w:bidi="fr-FR"/>
        </w:rPr>
        <w:t>é</w:t>
      </w:r>
      <w:r w:rsidRPr="00B4772E">
        <w:rPr>
          <w:i/>
          <w:lang w:eastAsia="fr-FR" w:bidi="fr-FR"/>
        </w:rPr>
        <w:t>gende est particulièrement curieuse. D’où notre interpolateur la t</w:t>
      </w:r>
      <w:r w:rsidRPr="00B4772E">
        <w:rPr>
          <w:i/>
          <w:lang w:eastAsia="fr-FR" w:bidi="fr-FR"/>
        </w:rPr>
        <w:t>e</w:t>
      </w:r>
      <w:r w:rsidRPr="00B4772E">
        <w:rPr>
          <w:i/>
          <w:lang w:eastAsia="fr-FR" w:bidi="fr-FR"/>
        </w:rPr>
        <w:t>nait-il ? Elle a peu d’analogues dans la littérature médiévale ; mais elle ne fait sans doute que refléter sous une forme concrète et en que</w:t>
      </w:r>
      <w:r w:rsidRPr="00B4772E">
        <w:rPr>
          <w:i/>
          <w:lang w:eastAsia="fr-FR" w:bidi="fr-FR"/>
        </w:rPr>
        <w:t>l</w:t>
      </w:r>
      <w:r w:rsidRPr="00B4772E">
        <w:rPr>
          <w:i/>
          <w:lang w:eastAsia="fr-FR" w:bidi="fr-FR"/>
        </w:rPr>
        <w:t>que sorte mythique, les préoccupations de certains théologiens : quel sort était réservé dans l’au-delà à Salomon, roi très sage, inspiré de Dieu, ancêtre et figure du Christ, mais dont la vieillesse avait été souillée par l’idolâtrie ? les savants en disputaient. La place que le fils de David tient dans l’iconographie prouve que la tradition en g</w:t>
      </w:r>
      <w:r w:rsidRPr="00B4772E">
        <w:rPr>
          <w:i/>
          <w:lang w:eastAsia="fr-FR" w:bidi="fr-FR"/>
        </w:rPr>
        <w:t>é</w:t>
      </w:r>
      <w:r w:rsidRPr="00B4772E">
        <w:rPr>
          <w:i/>
          <w:lang w:eastAsia="fr-FR" w:bidi="fr-FR"/>
        </w:rPr>
        <w:t>néral lui était favorable ; mais il existait un courant contraire, dont le récit du manuscrit de Cambridge fournit un témoignage particulièr</w:t>
      </w:r>
      <w:r w:rsidRPr="00B4772E">
        <w:rPr>
          <w:i/>
          <w:lang w:eastAsia="fr-FR" w:bidi="fr-FR"/>
        </w:rPr>
        <w:t>e</w:t>
      </w:r>
      <w:r w:rsidRPr="00B4772E">
        <w:rPr>
          <w:i/>
          <w:lang w:eastAsia="fr-FR" w:bidi="fr-FR"/>
        </w:rPr>
        <w:t>ment curieux</w:t>
      </w:r>
      <w:r>
        <w:rPr>
          <w:lang w:eastAsia="fr-FR" w:bidi="fr-FR"/>
        </w:rPr>
        <w:t> </w:t>
      </w:r>
      <w:r>
        <w:rPr>
          <w:rStyle w:val="Appelnotedebasdep"/>
        </w:rPr>
        <w:footnoteReference w:id="1200"/>
      </w:r>
      <w:r w:rsidRPr="007422C9">
        <w:rPr>
          <w:lang w:eastAsia="fr-FR" w:bidi="fr-FR"/>
        </w:rPr>
        <w:t>.</w:t>
      </w:r>
    </w:p>
    <w:p w14:paraId="3F0DC223" w14:textId="77777777" w:rsidR="00B9662D" w:rsidRPr="007422C9" w:rsidRDefault="00B9662D" w:rsidP="00B9662D">
      <w:pPr>
        <w:spacing w:before="120" w:after="120"/>
        <w:jc w:val="both"/>
      </w:pPr>
      <w:r w:rsidRPr="00B4772E">
        <w:rPr>
          <w:i/>
          <w:lang w:eastAsia="fr-FR" w:bidi="fr-FR"/>
        </w:rPr>
        <w:lastRenderedPageBreak/>
        <w:t xml:space="preserve">Reste le miracle de la couturière. Ici les arguments de forme sont à peu près inopérants : le style n’est pas sans quelque ressemblance avec celui d’Osbert, qui, si le récit, comme je le crois, n’est pas de lui, a dû du moins servir de modèle. Mais la place du passage dans l’œuvre dénonce son inauthenticité ; il s’interpose maladroitement entre le chapitre consacré à la translation du corps saint en 1102 et les formules finales. Rien de plus contraire aux desseins d’Osbert. Nous connaissons son plan ; il a pris soin de </w:t>
      </w:r>
      <w:r>
        <w:rPr>
          <w:i/>
          <w:lang w:eastAsia="fr-FR" w:bidi="fr-FR"/>
        </w:rPr>
        <w:t>nous l’expo</w:t>
      </w:r>
      <w:r w:rsidRPr="005C4B12">
        <w:rPr>
          <w:i/>
          <w:lang w:eastAsia="fr-FR" w:bidi="fr-FR"/>
        </w:rPr>
        <w:t>ser</w:t>
      </w:r>
      <w:r>
        <w:rPr>
          <w:lang w:eastAsia="fr-FR" w:bidi="fr-FR"/>
        </w:rPr>
        <w:t> </w:t>
      </w:r>
      <w:r>
        <w:rPr>
          <w:rStyle w:val="Appelnotedebasdep"/>
        </w:rPr>
        <w:footnoteReference w:id="1201"/>
      </w:r>
      <w:r w:rsidRPr="0054578D">
        <w:rPr>
          <w:bCs/>
        </w:rPr>
        <w:t> ;</w:t>
      </w:r>
      <w:r>
        <w:t xml:space="preserve"> </w:t>
      </w:r>
      <w:r>
        <w:rPr>
          <w:lang w:eastAsia="fr-FR" w:bidi="fr-FR"/>
        </w:rPr>
        <w:t>[983]</w:t>
      </w:r>
      <w:r w:rsidRPr="007422C9">
        <w:rPr>
          <w:b/>
          <w:bCs/>
        </w:rPr>
        <w:t xml:space="preserve"> </w:t>
      </w:r>
      <w:r w:rsidRPr="0068358F">
        <w:rPr>
          <w:i/>
          <w:lang w:eastAsia="fr-FR" w:bidi="fr-FR"/>
        </w:rPr>
        <w:t>dans sa pensée, le récit de la translation devait term</w:t>
      </w:r>
      <w:r w:rsidRPr="0068358F">
        <w:rPr>
          <w:i/>
          <w:lang w:eastAsia="fr-FR" w:bidi="fr-FR"/>
        </w:rPr>
        <w:t>i</w:t>
      </w:r>
      <w:r w:rsidRPr="0068358F">
        <w:rPr>
          <w:i/>
          <w:lang w:eastAsia="fr-FR" w:bidi="fr-FR"/>
        </w:rPr>
        <w:t>ner l’œuvre. Cet ordre n'était pas arbitraire ; les raisons qui l'avaient di</w:t>
      </w:r>
      <w:r w:rsidRPr="0068358F">
        <w:rPr>
          <w:i/>
          <w:lang w:eastAsia="fr-FR" w:bidi="fr-FR"/>
        </w:rPr>
        <w:t>c</w:t>
      </w:r>
      <w:r w:rsidRPr="0068358F">
        <w:rPr>
          <w:i/>
          <w:lang w:eastAsia="fr-FR" w:bidi="fr-FR"/>
        </w:rPr>
        <w:t>té se laissent aisément pénétrer. En 1102, nous raconte la</w:t>
      </w:r>
      <w:r w:rsidRPr="007422C9">
        <w:rPr>
          <w:b/>
          <w:bCs/>
        </w:rPr>
        <w:t xml:space="preserve"> </w:t>
      </w:r>
      <w:r w:rsidRPr="0068358F">
        <w:rPr>
          <w:bCs/>
        </w:rPr>
        <w:t>Vie</w:t>
      </w:r>
      <w:r w:rsidRPr="0054578D">
        <w:rPr>
          <w:bCs/>
          <w:i/>
        </w:rPr>
        <w:t>,</w:t>
      </w:r>
      <w:r w:rsidRPr="007422C9">
        <w:rPr>
          <w:b/>
          <w:bCs/>
        </w:rPr>
        <w:t xml:space="preserve"> </w:t>
      </w:r>
      <w:r w:rsidRPr="0068358F">
        <w:rPr>
          <w:i/>
          <w:lang w:eastAsia="fr-FR" w:bidi="fr-FR"/>
        </w:rPr>
        <w:t>les évêques et les moines, rendant déjà à Édouard les honneurs dus à un saint, tran</w:t>
      </w:r>
      <w:r w:rsidRPr="0068358F">
        <w:rPr>
          <w:i/>
          <w:lang w:eastAsia="fr-FR" w:bidi="fr-FR"/>
        </w:rPr>
        <w:t>s</w:t>
      </w:r>
      <w:r w:rsidRPr="0068358F">
        <w:rPr>
          <w:i/>
          <w:lang w:eastAsia="fr-FR" w:bidi="fr-FR"/>
        </w:rPr>
        <w:t>portèrent ses restes dans une tombe nouvelle ; et l'on s'aperçut alors que le cadavre, respecté par le temps, était pur de to</w:t>
      </w:r>
      <w:r w:rsidRPr="0068358F">
        <w:rPr>
          <w:i/>
          <w:lang w:eastAsia="fr-FR" w:bidi="fr-FR"/>
        </w:rPr>
        <w:t>u</w:t>
      </w:r>
      <w:r w:rsidRPr="0068358F">
        <w:rPr>
          <w:i/>
          <w:lang w:eastAsia="fr-FR" w:bidi="fr-FR"/>
        </w:rPr>
        <w:t>te</w:t>
      </w:r>
      <w:r w:rsidRPr="0068358F">
        <w:rPr>
          <w:b/>
          <w:bCs/>
          <w:i/>
        </w:rPr>
        <w:t xml:space="preserve"> « </w:t>
      </w:r>
      <w:r w:rsidRPr="0068358F">
        <w:rPr>
          <w:i/>
          <w:lang w:eastAsia="fr-FR" w:bidi="fr-FR"/>
        </w:rPr>
        <w:t>pourriture</w:t>
      </w:r>
      <w:r w:rsidRPr="0068358F">
        <w:rPr>
          <w:b/>
          <w:bCs/>
          <w:i/>
        </w:rPr>
        <w:t> </w:t>
      </w:r>
      <w:r w:rsidRPr="0068358F">
        <w:rPr>
          <w:bCs/>
          <w:i/>
        </w:rPr>
        <w:t>»</w:t>
      </w:r>
      <w:r w:rsidRPr="0068358F">
        <w:rPr>
          <w:bCs/>
        </w:rPr>
        <w:t> </w:t>
      </w:r>
      <w:r w:rsidRPr="0068358F">
        <w:rPr>
          <w:rStyle w:val="Appelnotedebasdep"/>
          <w:bCs/>
        </w:rPr>
        <w:footnoteReference w:id="1202"/>
      </w:r>
      <w:r w:rsidRPr="0054578D">
        <w:rPr>
          <w:bCs/>
        </w:rPr>
        <w:t> ;</w:t>
      </w:r>
      <w:r w:rsidRPr="007422C9">
        <w:rPr>
          <w:b/>
          <w:bCs/>
        </w:rPr>
        <w:t xml:space="preserve"> </w:t>
      </w:r>
      <w:r w:rsidRPr="0068358F">
        <w:rPr>
          <w:i/>
          <w:lang w:eastAsia="fr-FR" w:bidi="fr-FR"/>
        </w:rPr>
        <w:t>l'imagination populaire, on le sait, voyait dans cette incorruptibilité une preuve de sainteté. C'est sur cette impression qu'Osbert</w:t>
      </w:r>
      <w:r w:rsidRPr="0068358F">
        <w:rPr>
          <w:b/>
          <w:bCs/>
          <w:i/>
        </w:rPr>
        <w:t> — </w:t>
      </w:r>
      <w:r w:rsidRPr="0068358F">
        <w:rPr>
          <w:i/>
          <w:lang w:eastAsia="fr-FR" w:bidi="fr-FR"/>
        </w:rPr>
        <w:t xml:space="preserve">qui poursuivait, ne l'oublions pas, la canonisation de son héros, — tenait à laisser son lecteur ; s'il avait connu l'aventure de la petite Londonienne, il l'eût racontée à la suite des </w:t>
      </w:r>
      <w:r w:rsidRPr="0068358F">
        <w:rPr>
          <w:i/>
          <w:lang w:eastAsia="fr-FR" w:bidi="fr-FR"/>
        </w:rPr>
        <w:lastRenderedPageBreak/>
        <w:t>autres mir</w:t>
      </w:r>
      <w:r w:rsidRPr="0068358F">
        <w:rPr>
          <w:i/>
          <w:lang w:eastAsia="fr-FR" w:bidi="fr-FR"/>
        </w:rPr>
        <w:t>a</w:t>
      </w:r>
      <w:r w:rsidRPr="0068358F">
        <w:rPr>
          <w:i/>
          <w:lang w:eastAsia="fr-FR" w:bidi="fr-FR"/>
        </w:rPr>
        <w:t xml:space="preserve">cles posthumes, avant l'événement de 1102 et non après. Pas plus que le chapitre </w:t>
      </w:r>
      <w:r w:rsidRPr="0068358F">
        <w:rPr>
          <w:i/>
          <w:smallCaps/>
          <w:lang w:eastAsia="fr-FR" w:bidi="fr-FR"/>
        </w:rPr>
        <w:t>xx</w:t>
      </w:r>
      <w:r w:rsidRPr="0068358F">
        <w:rPr>
          <w:i/>
          <w:lang w:eastAsia="fr-FR" w:bidi="fr-FR"/>
        </w:rPr>
        <w:t xml:space="preserve">, le chapitre </w:t>
      </w:r>
      <w:r w:rsidRPr="0068358F">
        <w:rPr>
          <w:i/>
          <w:smallCaps/>
          <w:lang w:eastAsia="fr-FR" w:bidi="fr-FR"/>
        </w:rPr>
        <w:t>xxx</w:t>
      </w:r>
      <w:r w:rsidRPr="0068358F">
        <w:rPr>
          <w:i/>
          <w:lang w:eastAsia="fr-FR" w:bidi="fr-FR"/>
        </w:rPr>
        <w:t xml:space="preserve"> du ms. de Cambridge n'est de lui. Notre manuscrit ne représente pas seulement une version abrégée de l'œ</w:t>
      </w:r>
      <w:r w:rsidRPr="0068358F">
        <w:rPr>
          <w:i/>
          <w:lang w:eastAsia="fr-FR" w:bidi="fr-FR"/>
        </w:rPr>
        <w:t>u</w:t>
      </w:r>
      <w:r w:rsidRPr="0068358F">
        <w:rPr>
          <w:i/>
          <w:lang w:eastAsia="fr-FR" w:bidi="fr-FR"/>
        </w:rPr>
        <w:t>vre première, il en constitue en même temps un remaniement </w:t>
      </w:r>
      <w:r>
        <w:rPr>
          <w:rStyle w:val="Appelnotedebasdep"/>
        </w:rPr>
        <w:footnoteReference w:id="1203"/>
      </w:r>
      <w:r w:rsidRPr="0054578D">
        <w:rPr>
          <w:bCs/>
        </w:rPr>
        <w:t>.</w:t>
      </w:r>
    </w:p>
    <w:p w14:paraId="0DDD7C01" w14:textId="77777777" w:rsidR="00B9662D" w:rsidRPr="007422C9" w:rsidRDefault="00B9662D" w:rsidP="00B9662D">
      <w:pPr>
        <w:spacing w:before="120" w:after="120"/>
        <w:jc w:val="both"/>
      </w:pPr>
      <w:r w:rsidRPr="00B4772E">
        <w:rPr>
          <w:i/>
          <w:lang w:eastAsia="fr-FR" w:bidi="fr-FR"/>
        </w:rPr>
        <w:t>En tête de la Vie figure, sous forme de préface, une lettre adressée par Osbert au légat Albéric. Cette lettre a été, par ailleurs, recueillie dans la correspondance de notre auteur ; il faut donc, pour en établir le texte, avoir recours, non seulement au ms. de Londres et accesso</w:t>
      </w:r>
      <w:r w:rsidRPr="00B4772E">
        <w:rPr>
          <w:i/>
          <w:lang w:eastAsia="fr-FR" w:bidi="fr-FR"/>
        </w:rPr>
        <w:t>i</w:t>
      </w:r>
      <w:r w:rsidRPr="00B4772E">
        <w:rPr>
          <w:i/>
          <w:lang w:eastAsia="fr-FR" w:bidi="fr-FR"/>
        </w:rPr>
        <w:t>rement à celui de Cambridge, mais aussi aux manuscrits qui nous ont transmis le recueil épistolaire qu'Osbert considérait sans doute co</w:t>
      </w:r>
      <w:r w:rsidRPr="00B4772E">
        <w:rPr>
          <w:i/>
          <w:lang w:eastAsia="fr-FR" w:bidi="fr-FR"/>
        </w:rPr>
        <w:t>m</w:t>
      </w:r>
      <w:r w:rsidRPr="00B4772E">
        <w:rPr>
          <w:i/>
          <w:lang w:eastAsia="fr-FR" w:bidi="fr-FR"/>
        </w:rPr>
        <w:t>me un de ses plus beaux titres de gloire. Ces manuscrits sont au no</w:t>
      </w:r>
      <w:r w:rsidRPr="00B4772E">
        <w:rPr>
          <w:i/>
          <w:lang w:eastAsia="fr-FR" w:bidi="fr-FR"/>
        </w:rPr>
        <w:t>m</w:t>
      </w:r>
      <w:r w:rsidRPr="00B4772E">
        <w:rPr>
          <w:i/>
          <w:lang w:eastAsia="fr-FR" w:bidi="fr-FR"/>
        </w:rPr>
        <w:t>bre de deux : le premier, du XII</w:t>
      </w:r>
      <w:r w:rsidRPr="00B4772E">
        <w:rPr>
          <w:i/>
          <w:vertAlign w:val="superscript"/>
          <w:lang w:eastAsia="fr-FR" w:bidi="fr-FR"/>
        </w:rPr>
        <w:t>e</w:t>
      </w:r>
      <w:r w:rsidRPr="00B4772E">
        <w:rPr>
          <w:i/>
          <w:lang w:eastAsia="fr-FR" w:bidi="fr-FR"/>
        </w:rPr>
        <w:t xml:space="preserve"> siècle, est conservé au Musée </w:t>
      </w:r>
      <w:r w:rsidRPr="00B4772E">
        <w:rPr>
          <w:i/>
          <w:lang w:eastAsia="fr-FR" w:bidi="fr-FR"/>
        </w:rPr>
        <w:lastRenderedPageBreak/>
        <w:t>Br</w:t>
      </w:r>
      <w:r w:rsidRPr="00B4772E">
        <w:rPr>
          <w:i/>
          <w:lang w:eastAsia="fr-FR" w:bidi="fr-FR"/>
        </w:rPr>
        <w:t>i</w:t>
      </w:r>
      <w:r w:rsidRPr="00B4772E">
        <w:rPr>
          <w:i/>
          <w:lang w:eastAsia="fr-FR" w:bidi="fr-FR"/>
        </w:rPr>
        <w:t>tannique : Cotton Vitellius A XVII ! le second, de la fin du XVI</w:t>
      </w:r>
      <w:r w:rsidRPr="00B4772E">
        <w:rPr>
          <w:i/>
          <w:vertAlign w:val="superscript"/>
          <w:lang w:eastAsia="fr-FR" w:bidi="fr-FR"/>
        </w:rPr>
        <w:t>e</w:t>
      </w:r>
      <w:r w:rsidRPr="00B4772E">
        <w:rPr>
          <w:i/>
          <w:iCs/>
        </w:rPr>
        <w:t xml:space="preserve"> </w:t>
      </w:r>
      <w:r w:rsidRPr="00B4772E">
        <w:rPr>
          <w:i/>
          <w:lang w:eastAsia="fr-FR" w:bidi="fr-FR"/>
        </w:rPr>
        <w:t>siècle, est conservé à Cambridge, Trinity College 0. 10. 16 ; c'est une simple copie du premier. Je dois à M. E. W. Williamson une collation du m</w:t>
      </w:r>
      <w:r w:rsidRPr="00B4772E">
        <w:rPr>
          <w:i/>
          <w:lang w:eastAsia="fr-FR" w:bidi="fr-FR"/>
        </w:rPr>
        <w:t>a</w:t>
      </w:r>
      <w:r w:rsidRPr="00B4772E">
        <w:rPr>
          <w:i/>
          <w:lang w:eastAsia="fr-FR" w:bidi="fr-FR"/>
        </w:rPr>
        <w:t>nuscrit du Musée Britannique (désigné dans l’</w:t>
      </w:r>
      <w:r w:rsidRPr="00B4772E">
        <w:rPr>
          <w:bCs/>
        </w:rPr>
        <w:t>apparatus</w:t>
      </w:r>
      <w:r w:rsidRPr="007422C9">
        <w:rPr>
          <w:b/>
          <w:bCs/>
        </w:rPr>
        <w:t xml:space="preserve"> </w:t>
      </w:r>
      <w:r w:rsidRPr="00B4772E">
        <w:rPr>
          <w:i/>
          <w:lang w:eastAsia="fr-FR" w:bidi="fr-FR"/>
        </w:rPr>
        <w:t>par la lettre</w:t>
      </w:r>
      <w:r w:rsidRPr="007422C9">
        <w:rPr>
          <w:b/>
          <w:bCs/>
        </w:rPr>
        <w:t xml:space="preserve"> </w:t>
      </w:r>
      <w:r w:rsidRPr="0054578D">
        <w:rPr>
          <w:bCs/>
        </w:rPr>
        <w:t>V),</w:t>
      </w:r>
      <w:r w:rsidRPr="007422C9">
        <w:rPr>
          <w:b/>
          <w:bCs/>
        </w:rPr>
        <w:t xml:space="preserve"> </w:t>
      </w:r>
      <w:r w:rsidRPr="0068358F">
        <w:rPr>
          <w:i/>
          <w:lang w:eastAsia="fr-FR" w:bidi="fr-FR"/>
        </w:rPr>
        <w:t>dont j'ai fait mon profit. Bien entendu, la lettre a été éditée par Anstruther, mais, comme à l'ordinaire, d'une façon très fautive </w:t>
      </w:r>
      <w:r>
        <w:rPr>
          <w:rStyle w:val="Appelnotedebasdep"/>
        </w:rPr>
        <w:footnoteReference w:id="1204"/>
      </w:r>
      <w:r w:rsidRPr="0054578D">
        <w:rPr>
          <w:bCs/>
        </w:rPr>
        <w:t>.</w:t>
      </w:r>
    </w:p>
    <w:p w14:paraId="04EAEA30" w14:textId="77777777" w:rsidR="00B9662D" w:rsidRPr="007422C9" w:rsidRDefault="00B9662D" w:rsidP="00B9662D">
      <w:pPr>
        <w:spacing w:before="120" w:after="120"/>
        <w:jc w:val="both"/>
      </w:pPr>
      <w:r>
        <w:rPr>
          <w:lang w:eastAsia="fr-FR" w:bidi="fr-FR"/>
        </w:rPr>
        <w:t>[984]</w:t>
      </w:r>
    </w:p>
    <w:p w14:paraId="4326F347" w14:textId="77777777" w:rsidR="00B9662D" w:rsidRDefault="00B9662D" w:rsidP="00B9662D">
      <w:pPr>
        <w:spacing w:before="120" w:after="120"/>
        <w:jc w:val="both"/>
        <w:rPr>
          <w:bCs/>
        </w:rPr>
      </w:pPr>
      <w:r w:rsidRPr="00AB144D">
        <w:rPr>
          <w:i/>
          <w:lang w:eastAsia="fr-FR" w:bidi="fr-FR"/>
        </w:rPr>
        <w:t>En somme nous n'avons de la Vie de saint Édouard qu'un seul m</w:t>
      </w:r>
      <w:r w:rsidRPr="00AB144D">
        <w:rPr>
          <w:i/>
          <w:lang w:eastAsia="fr-FR" w:bidi="fr-FR"/>
        </w:rPr>
        <w:t>a</w:t>
      </w:r>
      <w:r w:rsidRPr="00AB144D">
        <w:rPr>
          <w:i/>
          <w:lang w:eastAsia="fr-FR" w:bidi="fr-FR"/>
        </w:rPr>
        <w:t>nuscrit ; et ce manuscrit est excellent. La tâche de l'éditeur se prése</w:t>
      </w:r>
      <w:r w:rsidRPr="00AB144D">
        <w:rPr>
          <w:i/>
          <w:lang w:eastAsia="fr-FR" w:bidi="fr-FR"/>
        </w:rPr>
        <w:t>n</w:t>
      </w:r>
      <w:r w:rsidRPr="00AB144D">
        <w:rPr>
          <w:i/>
          <w:lang w:eastAsia="fr-FR" w:bidi="fr-FR"/>
        </w:rPr>
        <w:t>tait donc comme extrêmement simple. J'ai reproduit presque partout aussi diligemment que j'ai pu le texte fourni par</w:t>
      </w:r>
      <w:r w:rsidRPr="007422C9">
        <w:rPr>
          <w:b/>
          <w:bCs/>
        </w:rPr>
        <w:t xml:space="preserve"> </w:t>
      </w:r>
      <w:r w:rsidRPr="00AB144D">
        <w:rPr>
          <w:bCs/>
        </w:rPr>
        <w:t>L </w:t>
      </w:r>
      <w:r>
        <w:rPr>
          <w:rStyle w:val="Appelnotedebasdep"/>
          <w:bCs/>
        </w:rPr>
        <w:footnoteReference w:id="1205"/>
      </w:r>
      <w:r w:rsidRPr="0054578D">
        <w:rPr>
          <w:bCs/>
        </w:rPr>
        <w:t>.</w:t>
      </w:r>
      <w:r w:rsidRPr="007422C9">
        <w:rPr>
          <w:b/>
          <w:bCs/>
        </w:rPr>
        <w:t xml:space="preserve"> </w:t>
      </w:r>
      <w:r w:rsidRPr="00AB144D">
        <w:rPr>
          <w:i/>
          <w:lang w:eastAsia="fr-FR" w:bidi="fr-FR"/>
        </w:rPr>
        <w:t>Mais aucun m</w:t>
      </w:r>
      <w:r w:rsidRPr="00AB144D">
        <w:rPr>
          <w:i/>
          <w:lang w:eastAsia="fr-FR" w:bidi="fr-FR"/>
        </w:rPr>
        <w:t>a</w:t>
      </w:r>
      <w:r w:rsidRPr="00AB144D">
        <w:rPr>
          <w:i/>
          <w:lang w:eastAsia="fr-FR" w:bidi="fr-FR"/>
        </w:rPr>
        <w:t>nuscrit, si bon qu'il soit, n'est tout à fait exempt d'erreurs. Là où</w:t>
      </w:r>
      <w:r w:rsidRPr="00AB144D">
        <w:rPr>
          <w:b/>
          <w:bCs/>
          <w:i/>
        </w:rPr>
        <w:t xml:space="preserve"> </w:t>
      </w:r>
      <w:r w:rsidRPr="00AB144D">
        <w:rPr>
          <w:bCs/>
        </w:rPr>
        <w:t>L</w:t>
      </w:r>
      <w:r w:rsidRPr="00AB144D">
        <w:rPr>
          <w:b/>
          <w:bCs/>
          <w:i/>
        </w:rPr>
        <w:t xml:space="preserve"> </w:t>
      </w:r>
      <w:r w:rsidRPr="00AB144D">
        <w:rPr>
          <w:i/>
          <w:lang w:eastAsia="fr-FR" w:bidi="fr-FR"/>
        </w:rPr>
        <w:t>me paraissait par exception n'offrir qu'une leçon fautive, je me suis effo</w:t>
      </w:r>
      <w:r w:rsidRPr="00AB144D">
        <w:rPr>
          <w:i/>
          <w:lang w:eastAsia="fr-FR" w:bidi="fr-FR"/>
        </w:rPr>
        <w:t>r</w:t>
      </w:r>
      <w:r w:rsidRPr="00AB144D">
        <w:rPr>
          <w:i/>
          <w:lang w:eastAsia="fr-FR" w:bidi="fr-FR"/>
        </w:rPr>
        <w:t>cé</w:t>
      </w:r>
      <w:r w:rsidRPr="00AB144D">
        <w:rPr>
          <w:b/>
          <w:bCs/>
          <w:i/>
        </w:rPr>
        <w:t> — </w:t>
      </w:r>
      <w:r w:rsidRPr="00AB144D">
        <w:rPr>
          <w:i/>
          <w:lang w:eastAsia="fr-FR" w:bidi="fr-FR"/>
        </w:rPr>
        <w:t>tout en donnant bien entendu dans l’</w:t>
      </w:r>
      <w:r w:rsidRPr="00AB144D">
        <w:rPr>
          <w:bCs/>
          <w:i/>
        </w:rPr>
        <w:t>apparatus</w:t>
      </w:r>
      <w:r w:rsidRPr="00AB144D">
        <w:rPr>
          <w:b/>
          <w:bCs/>
          <w:i/>
        </w:rPr>
        <w:t xml:space="preserve"> </w:t>
      </w:r>
      <w:r w:rsidRPr="00AB144D">
        <w:rPr>
          <w:i/>
          <w:lang w:eastAsia="fr-FR" w:bidi="fr-FR"/>
        </w:rPr>
        <w:t>la leçon exacte du manuscrit</w:t>
      </w:r>
      <w:r w:rsidRPr="00AB144D">
        <w:rPr>
          <w:b/>
          <w:bCs/>
          <w:i/>
        </w:rPr>
        <w:t> — </w:t>
      </w:r>
      <w:r w:rsidRPr="00AB144D">
        <w:rPr>
          <w:i/>
          <w:lang w:eastAsia="fr-FR" w:bidi="fr-FR"/>
        </w:rPr>
        <w:t>de rétablir le texte correct ; en pareil cas, partout où cela était possible, j'ai cherché à m'appuyer sur le texte transmis par</w:t>
      </w:r>
      <w:r w:rsidRPr="00AB144D">
        <w:rPr>
          <w:b/>
          <w:bCs/>
          <w:i/>
        </w:rPr>
        <w:t xml:space="preserve"> </w:t>
      </w:r>
      <w:r w:rsidRPr="00AB144D">
        <w:rPr>
          <w:bCs/>
        </w:rPr>
        <w:t>C </w:t>
      </w:r>
      <w:r w:rsidRPr="00AB144D">
        <w:rPr>
          <w:bCs/>
          <w:i/>
        </w:rPr>
        <w:t>;</w:t>
      </w:r>
      <w:r w:rsidRPr="00AB144D">
        <w:rPr>
          <w:b/>
          <w:bCs/>
          <w:i/>
        </w:rPr>
        <w:t xml:space="preserve"> </w:t>
      </w:r>
      <w:r w:rsidRPr="00AB144D">
        <w:rPr>
          <w:i/>
          <w:lang w:eastAsia="fr-FR" w:bidi="fr-FR"/>
        </w:rPr>
        <w:t>très rarement j'ai eu recours à la conjecture</w:t>
      </w:r>
      <w:r>
        <w:rPr>
          <w:lang w:eastAsia="fr-FR" w:bidi="fr-FR"/>
        </w:rPr>
        <w:t> </w:t>
      </w:r>
      <w:r>
        <w:rPr>
          <w:rStyle w:val="Appelnotedebasdep"/>
        </w:rPr>
        <w:footnoteReference w:id="1206"/>
      </w:r>
      <w:r w:rsidRPr="0054578D">
        <w:rPr>
          <w:bCs/>
        </w:rPr>
        <w:t>.</w:t>
      </w:r>
      <w:r w:rsidRPr="007422C9">
        <w:rPr>
          <w:b/>
          <w:bCs/>
        </w:rPr>
        <w:t xml:space="preserve"> </w:t>
      </w:r>
      <w:r w:rsidRPr="00AB144D">
        <w:rPr>
          <w:i/>
          <w:lang w:eastAsia="fr-FR" w:bidi="fr-FR"/>
        </w:rPr>
        <w:t>Quant aux varia</w:t>
      </w:r>
      <w:r w:rsidRPr="00AB144D">
        <w:rPr>
          <w:i/>
          <w:lang w:eastAsia="fr-FR" w:bidi="fr-FR"/>
        </w:rPr>
        <w:t>n</w:t>
      </w:r>
      <w:r w:rsidRPr="00AB144D">
        <w:rPr>
          <w:i/>
          <w:lang w:eastAsia="fr-FR" w:bidi="fr-FR"/>
        </w:rPr>
        <w:t>tes fournies par</w:t>
      </w:r>
      <w:r w:rsidRPr="00AB144D">
        <w:rPr>
          <w:b/>
          <w:bCs/>
          <w:i/>
        </w:rPr>
        <w:t xml:space="preserve"> </w:t>
      </w:r>
      <w:r w:rsidRPr="00AB144D">
        <w:rPr>
          <w:bCs/>
          <w:i/>
        </w:rPr>
        <w:t>C,</w:t>
      </w:r>
      <w:r w:rsidRPr="00AB144D">
        <w:rPr>
          <w:b/>
          <w:bCs/>
          <w:i/>
        </w:rPr>
        <w:t xml:space="preserve"> </w:t>
      </w:r>
      <w:r w:rsidRPr="00AB144D">
        <w:rPr>
          <w:i/>
          <w:lang w:eastAsia="fr-FR" w:bidi="fr-FR"/>
        </w:rPr>
        <w:t>sauf là où elles pouvaient, par chance, aider à co</w:t>
      </w:r>
      <w:r w:rsidRPr="00AB144D">
        <w:rPr>
          <w:i/>
          <w:lang w:eastAsia="fr-FR" w:bidi="fr-FR"/>
        </w:rPr>
        <w:t>r</w:t>
      </w:r>
      <w:r w:rsidRPr="00AB144D">
        <w:rPr>
          <w:i/>
          <w:lang w:eastAsia="fr-FR" w:bidi="fr-FR"/>
        </w:rPr>
        <w:t>riger</w:t>
      </w:r>
      <w:r w:rsidRPr="007422C9">
        <w:rPr>
          <w:b/>
          <w:bCs/>
        </w:rPr>
        <w:t xml:space="preserve"> </w:t>
      </w:r>
      <w:r w:rsidRPr="00AB144D">
        <w:rPr>
          <w:bCs/>
        </w:rPr>
        <w:t>L</w:t>
      </w:r>
      <w:r w:rsidRPr="0054578D">
        <w:rPr>
          <w:bCs/>
          <w:i/>
        </w:rPr>
        <w:t>,</w:t>
      </w:r>
      <w:r w:rsidRPr="007422C9">
        <w:rPr>
          <w:b/>
          <w:bCs/>
        </w:rPr>
        <w:t xml:space="preserve"> </w:t>
      </w:r>
      <w:r w:rsidRPr="00AB144D">
        <w:rPr>
          <w:i/>
          <w:lang w:eastAsia="fr-FR" w:bidi="fr-FR"/>
        </w:rPr>
        <w:t xml:space="preserve">elles ne m'ont pas paru devoir être retenues même dans </w:t>
      </w:r>
      <w:r w:rsidRPr="00AB144D">
        <w:rPr>
          <w:lang w:eastAsia="fr-FR" w:bidi="fr-FR"/>
        </w:rPr>
        <w:t>l’</w:t>
      </w:r>
      <w:r w:rsidRPr="00AB144D">
        <w:rPr>
          <w:bCs/>
        </w:rPr>
        <w:t>apparatus </w:t>
      </w:r>
      <w:r w:rsidRPr="0054578D">
        <w:rPr>
          <w:bCs/>
          <w:i/>
        </w:rPr>
        <w:t>;</w:t>
      </w:r>
      <w:r w:rsidRPr="007422C9">
        <w:rPr>
          <w:b/>
          <w:bCs/>
        </w:rPr>
        <w:t xml:space="preserve"> </w:t>
      </w:r>
      <w:r w:rsidRPr="00AB144D">
        <w:rPr>
          <w:i/>
          <w:lang w:eastAsia="fr-FR" w:bidi="fr-FR"/>
        </w:rPr>
        <w:t>car</w:t>
      </w:r>
      <w:r w:rsidRPr="007422C9">
        <w:rPr>
          <w:lang w:eastAsia="fr-FR" w:bidi="fr-FR"/>
        </w:rPr>
        <w:t xml:space="preserve"> </w:t>
      </w:r>
      <w:r w:rsidRPr="00AB144D">
        <w:rPr>
          <w:lang w:eastAsia="fr-FR" w:bidi="fr-FR"/>
        </w:rPr>
        <w:t>C</w:t>
      </w:r>
      <w:r w:rsidRPr="007422C9">
        <w:rPr>
          <w:lang w:eastAsia="fr-FR" w:bidi="fr-FR"/>
        </w:rPr>
        <w:t xml:space="preserve"> </w:t>
      </w:r>
      <w:r w:rsidRPr="00AB144D">
        <w:rPr>
          <w:i/>
          <w:lang w:eastAsia="fr-FR" w:bidi="fr-FR"/>
        </w:rPr>
        <w:t>constitue en réalité, comme on l'a vu plus haut, non une transcription de l'écrit d'Osbert, mais une œuvre distincte, d'ailleurs tout à fait dépourvue d'intérêt. Seuls les deux chapitres ajoutés à la rédaction originelle par le remanieur de</w:t>
      </w:r>
      <w:r w:rsidRPr="00AB144D">
        <w:rPr>
          <w:b/>
          <w:bCs/>
          <w:i/>
        </w:rPr>
        <w:t xml:space="preserve"> </w:t>
      </w:r>
      <w:r w:rsidRPr="00AB144D">
        <w:rPr>
          <w:bCs/>
          <w:i/>
        </w:rPr>
        <w:t>C</w:t>
      </w:r>
      <w:r w:rsidRPr="00AB144D">
        <w:rPr>
          <w:b/>
          <w:bCs/>
          <w:i/>
        </w:rPr>
        <w:t xml:space="preserve"> </w:t>
      </w:r>
      <w:r w:rsidRPr="00AB144D">
        <w:rPr>
          <w:i/>
          <w:lang w:eastAsia="fr-FR" w:bidi="fr-FR"/>
        </w:rPr>
        <w:t xml:space="preserve">méritaient d'être conservés ; on les trouvera en Appendice, à la suite </w:t>
      </w:r>
      <w:r w:rsidRPr="00AB144D">
        <w:rPr>
          <w:i/>
          <w:lang w:eastAsia="fr-FR" w:bidi="fr-FR"/>
        </w:rPr>
        <w:lastRenderedPageBreak/>
        <w:t>de l'œuvre d'Osbert. En résumé, ce qu'on lira ci-dessous, c'est la transcription textuelle du manuscrit unique qui, sous une graphie dont seul le scribe qui l'exécuta peut être rendu responsable</w:t>
      </w:r>
      <w:r>
        <w:rPr>
          <w:lang w:eastAsia="fr-FR" w:bidi="fr-FR"/>
        </w:rPr>
        <w:t> </w:t>
      </w:r>
      <w:r>
        <w:rPr>
          <w:rStyle w:val="Appelnotedebasdep"/>
        </w:rPr>
        <w:footnoteReference w:id="1207"/>
      </w:r>
      <w:r w:rsidRPr="007422C9">
        <w:rPr>
          <w:lang w:eastAsia="fr-FR" w:bidi="fr-FR"/>
        </w:rPr>
        <w:t xml:space="preserve">, </w:t>
      </w:r>
      <w:r w:rsidRPr="00AB144D">
        <w:rPr>
          <w:i/>
          <w:lang w:eastAsia="fr-FR" w:bidi="fr-FR"/>
        </w:rPr>
        <w:t>nous a pour le fond conservé très fidèlement, semble-t-il, l'ouvrage consacré par Osbert au dernier des rois anglo-saxons </w:t>
      </w:r>
      <w:r>
        <w:rPr>
          <w:rStyle w:val="Appelnotedebasdep"/>
        </w:rPr>
        <w:footnoteReference w:id="1208"/>
      </w:r>
      <w:r w:rsidRPr="0054578D">
        <w:rPr>
          <w:bCs/>
        </w:rPr>
        <w:t>.</w:t>
      </w:r>
    </w:p>
    <w:p w14:paraId="484FBB57" w14:textId="77777777" w:rsidR="00B9662D" w:rsidRDefault="00B9662D" w:rsidP="00B9662D">
      <w:pPr>
        <w:spacing w:before="120" w:after="120"/>
        <w:jc w:val="both"/>
        <w:rPr>
          <w:bCs/>
        </w:rPr>
      </w:pPr>
    </w:p>
    <w:p w14:paraId="35D2DC90" w14:textId="77777777" w:rsidR="00B9662D" w:rsidRPr="007422C9" w:rsidRDefault="00B9662D" w:rsidP="00B9662D">
      <w:pPr>
        <w:spacing w:before="120" w:after="120"/>
        <w:jc w:val="both"/>
      </w:pPr>
    </w:p>
    <w:p w14:paraId="75643FA0" w14:textId="77777777" w:rsidR="00B9662D" w:rsidRDefault="00B9662D" w:rsidP="00B9662D">
      <w:pPr>
        <w:spacing w:before="120" w:after="120"/>
        <w:jc w:val="both"/>
        <w:rPr>
          <w:lang w:eastAsia="fr-FR" w:bidi="fr-FR"/>
        </w:rPr>
      </w:pPr>
      <w:r w:rsidRPr="007422C9">
        <w:br w:type="page"/>
      </w:r>
      <w:r>
        <w:rPr>
          <w:lang w:eastAsia="fr-FR" w:bidi="fr-FR"/>
        </w:rPr>
        <w:lastRenderedPageBreak/>
        <w:t>[985]</w:t>
      </w:r>
    </w:p>
    <w:p w14:paraId="21E9C9A0" w14:textId="77777777" w:rsidR="00B9662D" w:rsidRPr="007422C9" w:rsidRDefault="00B9662D" w:rsidP="00B9662D">
      <w:pPr>
        <w:spacing w:before="120" w:after="120"/>
        <w:jc w:val="both"/>
      </w:pPr>
    </w:p>
    <w:p w14:paraId="20E8B334" w14:textId="77777777" w:rsidR="00B9662D" w:rsidRPr="007422C9" w:rsidRDefault="00B9662D" w:rsidP="00B9662D">
      <w:pPr>
        <w:spacing w:before="120" w:after="120"/>
        <w:jc w:val="center"/>
      </w:pPr>
      <w:r w:rsidRPr="004A1D3D">
        <w:rPr>
          <w:b/>
          <w:lang w:eastAsia="fr-FR" w:bidi="fr-FR"/>
        </w:rPr>
        <w:t>Incipit epistola</w:t>
      </w:r>
      <w:r>
        <w:rPr>
          <w:lang w:eastAsia="fr-FR" w:bidi="fr-FR"/>
        </w:rPr>
        <w:t> </w:t>
      </w:r>
      <w:r>
        <w:rPr>
          <w:rStyle w:val="Appelnotedebasdep"/>
          <w:lang w:eastAsia="fr-FR" w:bidi="fr-FR"/>
        </w:rPr>
        <w:footnoteReference w:customMarkFollows="1" w:id="1209"/>
        <w:t>*</w:t>
      </w:r>
      <w:r w:rsidRPr="004A1D3D">
        <w:rPr>
          <w:b/>
          <w:lang w:eastAsia="fr-FR" w:bidi="fr-FR"/>
        </w:rPr>
        <w:t xml:space="preserve"> in Vita beati Eadwardi </w:t>
      </w:r>
      <w:r w:rsidRPr="00537119">
        <w:rPr>
          <w:b/>
          <w:lang w:eastAsia="fr-FR" w:bidi="fr-FR"/>
        </w:rPr>
        <w:t>r</w:t>
      </w:r>
      <w:r>
        <w:rPr>
          <w:b/>
          <w:lang w:eastAsia="fr-FR" w:bidi="fr-FR"/>
        </w:rPr>
        <w:t>e</w:t>
      </w:r>
      <w:r w:rsidRPr="00537119">
        <w:rPr>
          <w:b/>
          <w:lang w:eastAsia="fr-FR" w:bidi="fr-FR"/>
        </w:rPr>
        <w:t>gis </w:t>
      </w:r>
      <w:r>
        <w:rPr>
          <w:rStyle w:val="Appelnotedebasdep"/>
          <w:lang w:eastAsia="fr-FR" w:bidi="fr-FR"/>
        </w:rPr>
        <w:footnoteReference w:customMarkFollows="1" w:id="1210"/>
        <w:t>a</w:t>
      </w:r>
      <w:r w:rsidRPr="004A1D3D">
        <w:rPr>
          <w:b/>
          <w:lang w:eastAsia="fr-FR" w:bidi="fr-FR"/>
        </w:rPr>
        <w:t xml:space="preserve"> </w:t>
      </w:r>
      <w:r>
        <w:rPr>
          <w:b/>
          <w:lang w:eastAsia="fr-FR" w:bidi="fr-FR"/>
        </w:rPr>
        <w:br/>
      </w:r>
      <w:r w:rsidRPr="004A1D3D">
        <w:rPr>
          <w:b/>
          <w:lang w:eastAsia="fr-FR" w:bidi="fr-FR"/>
        </w:rPr>
        <w:t>Anglorum d</w:t>
      </w:r>
      <w:r w:rsidRPr="004A1D3D">
        <w:rPr>
          <w:b/>
          <w:lang w:eastAsia="fr-FR" w:bidi="fr-FR"/>
        </w:rPr>
        <w:t>o</w:t>
      </w:r>
      <w:r w:rsidRPr="004A1D3D">
        <w:rPr>
          <w:b/>
          <w:lang w:eastAsia="fr-FR" w:bidi="fr-FR"/>
        </w:rPr>
        <w:t xml:space="preserve">mino Alberico </w:t>
      </w:r>
      <w:r w:rsidRPr="00A41148">
        <w:rPr>
          <w:lang w:eastAsia="fr-FR" w:bidi="fr-FR"/>
        </w:rPr>
        <w:t>Hostiens</w:t>
      </w:r>
      <w:r>
        <w:rPr>
          <w:lang w:eastAsia="fr-FR" w:bidi="fr-FR"/>
        </w:rPr>
        <w:t> </w:t>
      </w:r>
      <w:r>
        <w:rPr>
          <w:rStyle w:val="Appelnotedebasdep"/>
          <w:lang w:eastAsia="fr-FR" w:bidi="fr-FR"/>
        </w:rPr>
        <w:footnoteReference w:customMarkFollows="1" w:id="1211"/>
        <w:t>b</w:t>
      </w:r>
      <w:r w:rsidRPr="004A1D3D">
        <w:rPr>
          <w:b/>
          <w:lang w:eastAsia="fr-FR" w:bidi="fr-FR"/>
        </w:rPr>
        <w:t xml:space="preserve"> episcopo</w:t>
      </w:r>
      <w:r>
        <w:rPr>
          <w:b/>
          <w:lang w:eastAsia="fr-FR" w:bidi="fr-FR"/>
        </w:rPr>
        <w:br/>
      </w:r>
      <w:r w:rsidRPr="004A1D3D">
        <w:rPr>
          <w:b/>
          <w:lang w:eastAsia="fr-FR" w:bidi="fr-FR"/>
        </w:rPr>
        <w:t>et sancte Romane ecclesie, leg</w:t>
      </w:r>
      <w:r w:rsidRPr="004A1D3D">
        <w:rPr>
          <w:b/>
          <w:lang w:eastAsia="fr-FR" w:bidi="fr-FR"/>
        </w:rPr>
        <w:t>a</w:t>
      </w:r>
      <w:r w:rsidRPr="004A1D3D">
        <w:rPr>
          <w:b/>
          <w:lang w:eastAsia="fr-FR" w:bidi="fr-FR"/>
        </w:rPr>
        <w:t>to premissa </w:t>
      </w:r>
      <w:r>
        <w:rPr>
          <w:rStyle w:val="Appelnotedebasdep"/>
        </w:rPr>
        <w:footnoteReference w:id="1212"/>
      </w:r>
      <w:r w:rsidRPr="007422C9">
        <w:rPr>
          <w:lang w:eastAsia="fr-FR" w:bidi="fr-FR"/>
        </w:rPr>
        <w:t>.</w:t>
      </w:r>
    </w:p>
    <w:p w14:paraId="1A2F8E96" w14:textId="77777777" w:rsidR="00B9662D" w:rsidRDefault="00B9662D" w:rsidP="00B9662D">
      <w:pPr>
        <w:spacing w:before="120" w:after="120"/>
        <w:jc w:val="both"/>
        <w:rPr>
          <w:lang w:eastAsia="fr-FR" w:bidi="fr-FR"/>
        </w:rPr>
      </w:pPr>
    </w:p>
    <w:p w14:paraId="2D7DC8EA" w14:textId="77777777" w:rsidR="00B9662D" w:rsidRPr="007422C9" w:rsidRDefault="00B9662D" w:rsidP="00B9662D">
      <w:pPr>
        <w:spacing w:before="120" w:after="120"/>
        <w:jc w:val="both"/>
      </w:pPr>
      <w:r w:rsidRPr="007422C9">
        <w:rPr>
          <w:lang w:eastAsia="fr-FR" w:bidi="fr-FR"/>
        </w:rPr>
        <w:t>Innocentii summi pontificis sancteque romane et appostolice sedis legato, uenerabili tociusque religionis ac famé uiro, in omnibus pr</w:t>
      </w:r>
      <w:r w:rsidRPr="007422C9">
        <w:rPr>
          <w:lang w:eastAsia="fr-FR" w:bidi="fr-FR"/>
        </w:rPr>
        <w:t>e</w:t>
      </w:r>
      <w:r w:rsidRPr="007422C9">
        <w:rPr>
          <w:lang w:eastAsia="fr-FR" w:bidi="fr-FR"/>
        </w:rPr>
        <w:t>cellenti domino et patri serenissimo Alberico, Dei gracia Hostiensis ecclesie</w:t>
      </w:r>
      <w:r>
        <w:rPr>
          <w:lang w:eastAsia="fr-FR" w:bidi="fr-FR"/>
        </w:rPr>
        <w:t> </w:t>
      </w:r>
      <w:r>
        <w:rPr>
          <w:rStyle w:val="Appelnotedebasdep"/>
          <w:lang w:eastAsia="fr-FR" w:bidi="fr-FR"/>
        </w:rPr>
        <w:footnoteReference w:customMarkFollows="1" w:id="1213"/>
        <w:t>c</w:t>
      </w:r>
      <w:r w:rsidRPr="007422C9">
        <w:rPr>
          <w:vertAlign w:val="superscript"/>
          <w:lang w:eastAsia="fr-FR" w:bidi="fr-FR"/>
        </w:rPr>
        <w:t xml:space="preserve"> </w:t>
      </w:r>
      <w:r w:rsidRPr="007422C9">
        <w:rPr>
          <w:lang w:eastAsia="fr-FR" w:bidi="fr-FR"/>
        </w:rPr>
        <w:t>episcopo, frater Osbertus, Westmonasterii prepositus usu</w:t>
      </w:r>
      <w:r w:rsidRPr="007422C9">
        <w:rPr>
          <w:lang w:eastAsia="fr-FR" w:bidi="fr-FR"/>
        </w:rPr>
        <w:t>r</w:t>
      </w:r>
      <w:r w:rsidRPr="007422C9">
        <w:rPr>
          <w:lang w:eastAsia="fr-FR" w:bidi="fr-FR"/>
        </w:rPr>
        <w:t>pato indigne uocabulo appellatus, salutem et obedientiam et debitam ubique terrarum tante persone reuerentiam.</w:t>
      </w:r>
    </w:p>
    <w:p w14:paraId="4D918A3B" w14:textId="77777777" w:rsidR="00B9662D" w:rsidRDefault="00B9662D" w:rsidP="00B9662D">
      <w:pPr>
        <w:spacing w:before="120" w:after="120"/>
        <w:jc w:val="both"/>
        <w:rPr>
          <w:lang w:eastAsia="fr-FR" w:bidi="fr-FR"/>
        </w:rPr>
      </w:pPr>
      <w:r w:rsidRPr="007422C9">
        <w:rPr>
          <w:lang w:eastAsia="fr-FR" w:bidi="fr-FR"/>
        </w:rPr>
        <w:t>Quia tibi, antistes Dei electe, nichil deesse cognoscitur ad doctrine salutaris integritatem et ad iusticie plenitudinem, beatissimus Petrus, princeps ordinis appostolici et clauicularius regni, tuo credidit mini</w:t>
      </w:r>
      <w:r w:rsidRPr="007422C9">
        <w:rPr>
          <w:lang w:eastAsia="fr-FR" w:bidi="fr-FR"/>
        </w:rPr>
        <w:t>s</w:t>
      </w:r>
      <w:r w:rsidRPr="007422C9">
        <w:rPr>
          <w:lang w:eastAsia="fr-FR" w:bidi="fr-FR"/>
        </w:rPr>
        <w:t>terio sue fidei firmitatem. Vnde beatum iudico omniumque penetrale uirtutum reuerendum censeo pectus tuum, de quo uelut ex abditis</w:t>
      </w:r>
      <w:r>
        <w:rPr>
          <w:lang w:eastAsia="fr-FR" w:bidi="fr-FR"/>
        </w:rPr>
        <w:t> </w:t>
      </w:r>
      <w:r>
        <w:rPr>
          <w:rStyle w:val="Appelnotedebasdep"/>
          <w:lang w:eastAsia="fr-FR" w:bidi="fr-FR"/>
        </w:rPr>
        <w:footnoteReference w:customMarkFollows="1" w:id="1214"/>
        <w:t>d</w:t>
      </w:r>
      <w:r w:rsidRPr="007422C9">
        <w:rPr>
          <w:lang w:eastAsia="fr-FR" w:bidi="fr-FR"/>
        </w:rPr>
        <w:t xml:space="preserve"> diuina prodeunt oracula et aromatum pigmenta celestium dulcedine spirant graciosa</w:t>
      </w:r>
      <w:r>
        <w:rPr>
          <w:lang w:eastAsia="fr-FR" w:bidi="fr-FR"/>
        </w:rPr>
        <w:t> </w:t>
      </w:r>
      <w:r>
        <w:rPr>
          <w:rStyle w:val="Appelnotedebasdep"/>
          <w:lang w:eastAsia="fr-FR" w:bidi="fr-FR"/>
        </w:rPr>
        <w:footnoteReference w:customMarkFollows="1" w:id="1215"/>
        <w:t>e</w:t>
      </w:r>
      <w:r w:rsidRPr="007422C9">
        <w:rPr>
          <w:lang w:eastAsia="fr-FR" w:bidi="fr-FR"/>
        </w:rPr>
        <w:t xml:space="preserve">. Aura namque exurgens ab oriente salubris per te </w:t>
      </w:r>
      <w:r>
        <w:rPr>
          <w:lang w:eastAsia="fr-FR" w:bidi="fr-FR"/>
        </w:rPr>
        <w:t>fines toxicatos inuisit occiden</w:t>
      </w:r>
      <w:r w:rsidRPr="007422C9">
        <w:rPr>
          <w:lang w:eastAsia="fr-FR" w:bidi="fr-FR"/>
        </w:rPr>
        <w:t>tis, in quibus corruptus aer morum ofïe</w:t>
      </w:r>
      <w:r w:rsidRPr="007422C9">
        <w:rPr>
          <w:lang w:eastAsia="fr-FR" w:bidi="fr-FR"/>
        </w:rPr>
        <w:t>n</w:t>
      </w:r>
      <w:r>
        <w:rPr>
          <w:lang w:eastAsia="fr-FR" w:bidi="fr-FR"/>
        </w:rPr>
        <w:t>dicula peperit animabusque mul</w:t>
      </w:r>
      <w:r w:rsidRPr="007422C9">
        <w:rPr>
          <w:lang w:eastAsia="fr-FR" w:bidi="fr-FR"/>
        </w:rPr>
        <w:t>torum uirus eterne mortis infixit. Igitur medicinalis uirtus apostoli aggredietur in te auertere desolati</w:t>
      </w:r>
      <w:r w:rsidRPr="007422C9">
        <w:rPr>
          <w:lang w:eastAsia="fr-FR" w:bidi="fr-FR"/>
        </w:rPr>
        <w:t>o</w:t>
      </w:r>
      <w:r w:rsidRPr="007422C9">
        <w:rPr>
          <w:lang w:eastAsia="fr-FR" w:bidi="fr-FR"/>
        </w:rPr>
        <w:lastRenderedPageBreak/>
        <w:t>nem regni, in quo quisquis tante paternitatis reuerentie detrahit, rom</w:t>
      </w:r>
      <w:r w:rsidRPr="007422C9">
        <w:rPr>
          <w:lang w:eastAsia="fr-FR" w:bidi="fr-FR"/>
        </w:rPr>
        <w:t>a</w:t>
      </w:r>
      <w:r w:rsidRPr="007422C9">
        <w:rPr>
          <w:lang w:eastAsia="fr-FR" w:bidi="fr-FR"/>
        </w:rPr>
        <w:t>ni nominis dignitatem minuit et of</w:t>
      </w:r>
      <w:r>
        <w:rPr>
          <w:lang w:eastAsia="fr-FR" w:bidi="fr-FR"/>
        </w:rPr>
        <w:t>f</w:t>
      </w:r>
      <w:r w:rsidRPr="007422C9">
        <w:rPr>
          <w:lang w:eastAsia="fr-FR" w:bidi="fr-FR"/>
        </w:rPr>
        <w:t>endit. Gladio proinde Sancti Spir</w:t>
      </w:r>
      <w:r w:rsidRPr="007422C9">
        <w:rPr>
          <w:lang w:eastAsia="fr-FR" w:bidi="fr-FR"/>
        </w:rPr>
        <w:t>i</w:t>
      </w:r>
      <w:r w:rsidRPr="007422C9">
        <w:rPr>
          <w:lang w:eastAsia="fr-FR" w:bidi="fr-FR"/>
        </w:rPr>
        <w:t>tus omnis es</w:t>
      </w:r>
      <w:r>
        <w:rPr>
          <w:lang w:eastAsia="fr-FR" w:bidi="fr-FR"/>
        </w:rPr>
        <w:t>t apostata cohercendus, induen</w:t>
      </w:r>
      <w:r w:rsidRPr="007422C9">
        <w:rPr>
          <w:lang w:eastAsia="fr-FR" w:bidi="fr-FR"/>
        </w:rPr>
        <w:t>dique sunt manu tua lorica iu</w:t>
      </w:r>
      <w:r w:rsidRPr="007422C9">
        <w:rPr>
          <w:lang w:eastAsia="fr-FR" w:bidi="fr-FR"/>
        </w:rPr>
        <w:t>s</w:t>
      </w:r>
      <w:r w:rsidRPr="007422C9">
        <w:rPr>
          <w:lang w:eastAsia="fr-FR" w:bidi="fr-FR"/>
        </w:rPr>
        <w:t>titie quos rigor ecclesiastice circumdat discipline. Balthasar enim ad dispergenda uasa domus Domini manus iam ubique extendit poll</w:t>
      </w:r>
      <w:r w:rsidRPr="007422C9">
        <w:rPr>
          <w:lang w:eastAsia="fr-FR" w:bidi="fr-FR"/>
        </w:rPr>
        <w:t>u</w:t>
      </w:r>
      <w:r w:rsidRPr="007422C9">
        <w:rPr>
          <w:lang w:eastAsia="fr-FR" w:bidi="fr-FR"/>
        </w:rPr>
        <w:t>tas in scelere quem</w:t>
      </w:r>
      <w:r>
        <w:rPr>
          <w:lang w:eastAsia="fr-FR" w:bidi="fr-FR"/>
        </w:rPr>
        <w:t> </w:t>
      </w:r>
      <w:r>
        <w:rPr>
          <w:rStyle w:val="Appelnotedebasdep"/>
          <w:lang w:eastAsia="fr-FR" w:bidi="fr-FR"/>
        </w:rPr>
        <w:footnoteReference w:customMarkFollows="1" w:id="1216"/>
        <w:t>f</w:t>
      </w:r>
      <w:r w:rsidRPr="007422C9">
        <w:rPr>
          <w:lang w:eastAsia="fr-FR" w:bidi="fr-FR"/>
        </w:rPr>
        <w:t>, tamquam Petrus Malchum</w:t>
      </w:r>
      <w:r>
        <w:rPr>
          <w:lang w:eastAsia="fr-FR" w:bidi="fr-FR"/>
        </w:rPr>
        <w:t> </w:t>
      </w:r>
      <w:r>
        <w:rPr>
          <w:rStyle w:val="Appelnotedebasdep"/>
        </w:rPr>
        <w:footnoteReference w:id="1217"/>
      </w:r>
      <w:r w:rsidRPr="007422C9">
        <w:rPr>
          <w:vertAlign w:val="superscript"/>
          <w:lang w:eastAsia="fr-FR" w:bidi="fr-FR"/>
        </w:rPr>
        <w:t xml:space="preserve"> </w:t>
      </w:r>
      <w:r w:rsidRPr="007422C9">
        <w:rPr>
          <w:lang w:eastAsia="fr-FR" w:bidi="fr-FR"/>
        </w:rPr>
        <w:t>seuientem in Chri</w:t>
      </w:r>
      <w:r w:rsidRPr="007422C9">
        <w:rPr>
          <w:lang w:eastAsia="fr-FR" w:bidi="fr-FR"/>
        </w:rPr>
        <w:t>s</w:t>
      </w:r>
      <w:r w:rsidRPr="007422C9">
        <w:rPr>
          <w:lang w:eastAsia="fr-FR" w:bidi="fr-FR"/>
        </w:rPr>
        <w:t>tum, auctoritatis apostolice persequaris ultione. Oza</w:t>
      </w:r>
      <w:r>
        <w:rPr>
          <w:lang w:eastAsia="fr-FR" w:bidi="fr-FR"/>
        </w:rPr>
        <w:t> </w:t>
      </w:r>
      <w:r>
        <w:rPr>
          <w:rStyle w:val="Appelnotedebasdep"/>
          <w:lang w:eastAsia="fr-FR" w:bidi="fr-FR"/>
        </w:rPr>
        <w:footnoteReference w:customMarkFollows="1" w:id="1218"/>
        <w:t>g</w:t>
      </w:r>
      <w:r>
        <w:rPr>
          <w:lang w:eastAsia="fr-FR" w:bidi="fr-FR"/>
        </w:rPr>
        <w:t xml:space="preserve"> </w:t>
      </w:r>
      <w:r w:rsidRPr="007422C9">
        <w:rPr>
          <w:lang w:eastAsia="fr-FR" w:bidi="fr-FR"/>
        </w:rPr>
        <w:t>titubantem u</w:t>
      </w:r>
      <w:r w:rsidRPr="007422C9">
        <w:rPr>
          <w:lang w:eastAsia="fr-FR" w:bidi="fr-FR"/>
        </w:rPr>
        <w:t>n</w:t>
      </w:r>
      <w:r w:rsidRPr="007422C9">
        <w:rPr>
          <w:lang w:eastAsia="fr-FR" w:bidi="fr-FR"/>
        </w:rPr>
        <w:t>dique apud nos arcam Domini indigna manu quasi sustinet</w:t>
      </w:r>
      <w:r>
        <w:rPr>
          <w:lang w:eastAsia="fr-FR" w:bidi="fr-FR"/>
        </w:rPr>
        <w:t> </w:t>
      </w:r>
      <w:r>
        <w:rPr>
          <w:rStyle w:val="Appelnotedebasdep"/>
        </w:rPr>
        <w:footnoteReference w:id="1219"/>
      </w:r>
      <w:r w:rsidRPr="007422C9">
        <w:rPr>
          <w:lang w:eastAsia="fr-FR" w:bidi="fr-FR"/>
        </w:rPr>
        <w:t>, set tu, qui angélus domini Sabahot appellaris, âge ut citius prefocatus exp</w:t>
      </w:r>
      <w:r w:rsidRPr="007422C9">
        <w:rPr>
          <w:lang w:eastAsia="fr-FR" w:bidi="fr-FR"/>
        </w:rPr>
        <w:t>i</w:t>
      </w:r>
      <w:r w:rsidRPr="007422C9">
        <w:rPr>
          <w:lang w:eastAsia="fr-FR" w:bidi="fr-FR"/>
        </w:rPr>
        <w:t>ret. Ignis Domini succensus Nadab et Abiu non in ira furoris set rati</w:t>
      </w:r>
      <w:r w:rsidRPr="007422C9">
        <w:rPr>
          <w:lang w:eastAsia="fr-FR" w:bidi="fr-FR"/>
        </w:rPr>
        <w:t>o</w:t>
      </w:r>
      <w:r w:rsidRPr="007422C9">
        <w:rPr>
          <w:lang w:eastAsia="fr-FR" w:bidi="fr-FR"/>
        </w:rPr>
        <w:t>nis deuoret, dum ignem uterque alienum in sacrificio offerre non t</w:t>
      </w:r>
      <w:r w:rsidRPr="007422C9">
        <w:rPr>
          <w:lang w:eastAsia="fr-FR" w:bidi="fr-FR"/>
        </w:rPr>
        <w:t>i</w:t>
      </w:r>
      <w:r w:rsidRPr="007422C9">
        <w:rPr>
          <w:lang w:eastAsia="fr-FR" w:bidi="fr-FR"/>
        </w:rPr>
        <w:t>met</w:t>
      </w:r>
      <w:r>
        <w:rPr>
          <w:lang w:eastAsia="fr-FR" w:bidi="fr-FR"/>
        </w:rPr>
        <w:t> </w:t>
      </w:r>
      <w:r>
        <w:rPr>
          <w:rStyle w:val="Appelnotedebasdep"/>
        </w:rPr>
        <w:footnoteReference w:id="1220"/>
      </w:r>
      <w:r w:rsidRPr="007422C9">
        <w:rPr>
          <w:lang w:eastAsia="fr-FR" w:bidi="fr-FR"/>
        </w:rPr>
        <w:t>. Dathan et</w:t>
      </w:r>
      <w:r>
        <w:rPr>
          <w:lang w:eastAsia="fr-FR" w:bidi="fr-FR"/>
        </w:rPr>
        <w:t xml:space="preserve"> Abiron terra uiuentes absorbeat </w:t>
      </w:r>
      <w:r>
        <w:rPr>
          <w:rStyle w:val="Appelnotedebasdep"/>
          <w:lang w:eastAsia="fr-FR" w:bidi="fr-FR"/>
        </w:rPr>
        <w:footnoteReference w:customMarkFollows="1" w:id="1221"/>
        <w:t>h</w:t>
      </w:r>
      <w:r>
        <w:rPr>
          <w:color w:val="FF0000"/>
          <w:lang w:eastAsia="fr-FR" w:bidi="fr-FR"/>
        </w:rPr>
        <w:t> </w:t>
      </w:r>
      <w:r>
        <w:rPr>
          <w:rStyle w:val="Appelnotedebasdep"/>
        </w:rPr>
        <w:footnoteReference w:id="1222"/>
      </w:r>
      <w:r w:rsidRPr="007422C9">
        <w:rPr>
          <w:lang w:eastAsia="fr-FR" w:bidi="fr-FR"/>
        </w:rPr>
        <w:t> ; et Oziam sace</w:t>
      </w:r>
      <w:r w:rsidRPr="007422C9">
        <w:rPr>
          <w:lang w:eastAsia="fr-FR" w:bidi="fr-FR"/>
        </w:rPr>
        <w:t>r</w:t>
      </w:r>
      <w:r w:rsidRPr="007422C9">
        <w:rPr>
          <w:lang w:eastAsia="fr-FR" w:bidi="fr-FR"/>
        </w:rPr>
        <w:t>dotium usurpantem lepra percutiat</w:t>
      </w:r>
      <w:r>
        <w:rPr>
          <w:lang w:eastAsia="fr-FR" w:bidi="fr-FR"/>
        </w:rPr>
        <w:t> </w:t>
      </w:r>
      <w:r>
        <w:rPr>
          <w:rStyle w:val="Appelnotedebasdep"/>
        </w:rPr>
        <w:footnoteReference w:id="1223"/>
      </w:r>
      <w:r w:rsidRPr="007422C9">
        <w:rPr>
          <w:lang w:eastAsia="fr-FR" w:bidi="fr-FR"/>
        </w:rPr>
        <w:t> ; magusque Symon corruat ind</w:t>
      </w:r>
      <w:r w:rsidRPr="007422C9">
        <w:rPr>
          <w:lang w:eastAsia="fr-FR" w:bidi="fr-FR"/>
        </w:rPr>
        <w:t>i</w:t>
      </w:r>
      <w:r w:rsidRPr="007422C9">
        <w:rPr>
          <w:lang w:eastAsia="fr-FR" w:bidi="fr-FR"/>
        </w:rPr>
        <w:t>gno uolatu tendens ad sydera</w:t>
      </w:r>
      <w:r>
        <w:rPr>
          <w:lang w:eastAsia="fr-FR" w:bidi="fr-FR"/>
        </w:rPr>
        <w:t> </w:t>
      </w:r>
      <w:r>
        <w:rPr>
          <w:rStyle w:val="Appelnotedebasdep"/>
        </w:rPr>
        <w:footnoteReference w:id="1224"/>
      </w:r>
      <w:r w:rsidRPr="007422C9">
        <w:rPr>
          <w:lang w:eastAsia="fr-FR" w:bidi="fr-FR"/>
        </w:rPr>
        <w:t> ; et hereditas Domini per te resp</w:t>
      </w:r>
      <w:r w:rsidRPr="007422C9">
        <w:rPr>
          <w:lang w:eastAsia="fr-FR" w:bidi="fr-FR"/>
        </w:rPr>
        <w:t>i</w:t>
      </w:r>
      <w:r w:rsidRPr="007422C9">
        <w:rPr>
          <w:lang w:eastAsia="fr-FR" w:bidi="fr-FR"/>
        </w:rPr>
        <w:t>ret, iam usque ad interitum pene consumpta. « Ex usu » enim « uenit », sicut Sym</w:t>
      </w:r>
      <w:r w:rsidRPr="007422C9">
        <w:rPr>
          <w:lang w:eastAsia="fr-FR" w:bidi="fr-FR"/>
        </w:rPr>
        <w:t>a</w:t>
      </w:r>
      <w:r w:rsidRPr="007422C9">
        <w:rPr>
          <w:lang w:eastAsia="fr-FR" w:bidi="fr-FR"/>
        </w:rPr>
        <w:t>chus dicit, « ut opem desiderantes ad sufïragia probata confugiant »</w:t>
      </w:r>
      <w:r>
        <w:rPr>
          <w:lang w:eastAsia="fr-FR" w:bidi="fr-FR"/>
        </w:rPr>
        <w:t> </w:t>
      </w:r>
      <w:r>
        <w:rPr>
          <w:rStyle w:val="Appelnotedebasdep"/>
        </w:rPr>
        <w:footnoteReference w:id="1225"/>
      </w:r>
      <w:r w:rsidRPr="007422C9">
        <w:rPr>
          <w:lang w:eastAsia="fr-FR" w:bidi="fr-FR"/>
        </w:rPr>
        <w:t>. Ad te</w:t>
      </w:r>
      <w:r>
        <w:rPr>
          <w:lang w:eastAsia="fr-FR" w:bidi="fr-FR"/>
        </w:rPr>
        <w:t xml:space="preserve"> [986] </w:t>
      </w:r>
      <w:r w:rsidRPr="007422C9">
        <w:rPr>
          <w:lang w:eastAsia="fr-FR" w:bidi="fr-FR"/>
        </w:rPr>
        <w:t>itaque confugimus, qui mala superiora a</w:t>
      </w:r>
      <w:r w:rsidRPr="007422C9">
        <w:rPr>
          <w:lang w:eastAsia="fr-FR" w:bidi="fr-FR"/>
        </w:rPr>
        <w:t>n</w:t>
      </w:r>
      <w:r w:rsidRPr="007422C9">
        <w:rPr>
          <w:lang w:eastAsia="fr-FR" w:bidi="fr-FR"/>
        </w:rPr>
        <w:t>nis plurimis experti s</w:t>
      </w:r>
      <w:r w:rsidRPr="007422C9">
        <w:rPr>
          <w:lang w:eastAsia="fr-FR" w:bidi="fr-FR"/>
        </w:rPr>
        <w:t>u</w:t>
      </w:r>
      <w:r w:rsidRPr="007422C9">
        <w:rPr>
          <w:lang w:eastAsia="fr-FR" w:bidi="fr-FR"/>
        </w:rPr>
        <w:t>mus, quem et claritas commendat ex nobilitate generis et maiestatis potentia ex auctoritate legationis. Respice ergo, pater pie, respice pietatis intuitu ecclesiam nostram, et super candel</w:t>
      </w:r>
      <w:r w:rsidRPr="007422C9">
        <w:rPr>
          <w:lang w:eastAsia="fr-FR" w:bidi="fr-FR"/>
        </w:rPr>
        <w:t>a</w:t>
      </w:r>
      <w:r w:rsidRPr="007422C9">
        <w:rPr>
          <w:lang w:eastAsia="fr-FR" w:bidi="fr-FR"/>
        </w:rPr>
        <w:t>brum érigé que diutius latuit in puluere lucernam nostram. Dominus enim et princeps patrie nostre rex insignis Eadwardus, celestibus mundo miraculis tociens ostensus, dignus est, attestantibus signis, c</w:t>
      </w:r>
      <w:r w:rsidRPr="007422C9">
        <w:rPr>
          <w:lang w:eastAsia="fr-FR" w:bidi="fr-FR"/>
        </w:rPr>
        <w:t>e</w:t>
      </w:r>
      <w:r w:rsidRPr="007422C9">
        <w:rPr>
          <w:lang w:eastAsia="fr-FR" w:bidi="fr-FR"/>
        </w:rPr>
        <w:t>lebri festiuitate inter homines in terris, cuius copiosa apud Deum m</w:t>
      </w:r>
      <w:r w:rsidRPr="007422C9">
        <w:rPr>
          <w:lang w:eastAsia="fr-FR" w:bidi="fr-FR"/>
        </w:rPr>
        <w:t>é</w:t>
      </w:r>
      <w:r w:rsidRPr="007422C9">
        <w:rPr>
          <w:lang w:eastAsia="fr-FR" w:bidi="fr-FR"/>
        </w:rPr>
        <w:t xml:space="preserve">rita coronantur in celis. Lege itaque eius uitam et nobis in </w:t>
      </w:r>
      <w:r w:rsidRPr="007422C9">
        <w:rPr>
          <w:lang w:eastAsia="fr-FR" w:bidi="fr-FR"/>
        </w:rPr>
        <w:lastRenderedPageBreak/>
        <w:t>auxilium salutarem porrige dexteram, ut et tibi ante Deum hoc deputetur in m</w:t>
      </w:r>
      <w:r w:rsidRPr="007422C9">
        <w:rPr>
          <w:lang w:eastAsia="fr-FR" w:bidi="fr-FR"/>
        </w:rPr>
        <w:t>u</w:t>
      </w:r>
      <w:r w:rsidRPr="007422C9">
        <w:rPr>
          <w:lang w:eastAsia="fr-FR" w:bidi="fr-FR"/>
        </w:rPr>
        <w:t>nere quod mundo gaud</w:t>
      </w:r>
      <w:r w:rsidRPr="007422C9">
        <w:rPr>
          <w:lang w:eastAsia="fr-FR" w:bidi="fr-FR"/>
        </w:rPr>
        <w:t>e</w:t>
      </w:r>
      <w:r w:rsidRPr="007422C9">
        <w:rPr>
          <w:lang w:eastAsia="fr-FR" w:bidi="fr-FR"/>
        </w:rPr>
        <w:t>re detur de preclara tanti regis festiuitate. « Oleum » enim « efïusum nomen tuum »</w:t>
      </w:r>
      <w:r>
        <w:rPr>
          <w:lang w:eastAsia="fr-FR" w:bidi="fr-FR"/>
        </w:rPr>
        <w:t> </w:t>
      </w:r>
      <w:r>
        <w:rPr>
          <w:rStyle w:val="Appelnotedebasdep"/>
        </w:rPr>
        <w:footnoteReference w:id="1226"/>
      </w:r>
      <w:r w:rsidRPr="007422C9">
        <w:rPr>
          <w:lang w:eastAsia="fr-FR" w:bidi="fr-FR"/>
        </w:rPr>
        <w:t xml:space="preserve"> cuius de longinquo ad nos usque peruenit opinio, et nunc odorem circumquaque celebrem spargit in proximo. Sit igitur ager noster, ager ille cui per te benedicat Dom</w:t>
      </w:r>
      <w:r w:rsidRPr="007422C9">
        <w:rPr>
          <w:lang w:eastAsia="fr-FR" w:bidi="fr-FR"/>
        </w:rPr>
        <w:t>i</w:t>
      </w:r>
      <w:r w:rsidRPr="007422C9">
        <w:rPr>
          <w:lang w:eastAsia="fr-FR" w:bidi="fr-FR"/>
        </w:rPr>
        <w:t>nus, et sub tanto cultore sterilis ficus redeat in graciam, que actenus non floruit nec fructus suauitatem protulit graciosam. Seneca namque dicit : « Habet hoc o</w:t>
      </w:r>
      <w:r w:rsidRPr="007422C9">
        <w:rPr>
          <w:lang w:eastAsia="fr-FR" w:bidi="fr-FR"/>
        </w:rPr>
        <w:t>p</w:t>
      </w:r>
      <w:r w:rsidRPr="007422C9">
        <w:rPr>
          <w:lang w:eastAsia="fr-FR" w:bidi="fr-FR"/>
        </w:rPr>
        <w:t>timum in se generosus animus, quod concitatur ad honesta. Neminem excelsi ingenii uirum humilia delectant et sord</w:t>
      </w:r>
      <w:r w:rsidRPr="007422C9">
        <w:rPr>
          <w:lang w:eastAsia="fr-FR" w:bidi="fr-FR"/>
        </w:rPr>
        <w:t>i</w:t>
      </w:r>
      <w:r w:rsidRPr="007422C9">
        <w:rPr>
          <w:lang w:eastAsia="fr-FR" w:bidi="fr-FR"/>
        </w:rPr>
        <w:t>da ; magnarum</w:t>
      </w:r>
      <w:r>
        <w:rPr>
          <w:lang w:eastAsia="fr-FR" w:bidi="fr-FR"/>
        </w:rPr>
        <w:t> </w:t>
      </w:r>
      <w:r>
        <w:rPr>
          <w:rStyle w:val="Appelnotedebasdep"/>
          <w:lang w:eastAsia="fr-FR" w:bidi="fr-FR"/>
        </w:rPr>
        <w:footnoteReference w:customMarkFollows="1" w:id="1227"/>
        <w:t>i</w:t>
      </w:r>
      <w:r w:rsidRPr="007422C9">
        <w:rPr>
          <w:lang w:eastAsia="fr-FR" w:bidi="fr-FR"/>
        </w:rPr>
        <w:t xml:space="preserve"> rerum species ad se uocat et extollit</w:t>
      </w:r>
      <w:r>
        <w:rPr>
          <w:lang w:eastAsia="fr-FR" w:bidi="fr-FR"/>
        </w:rPr>
        <w:t> </w:t>
      </w:r>
      <w:r>
        <w:rPr>
          <w:rStyle w:val="Appelnotedebasdep"/>
        </w:rPr>
        <w:footnoteReference w:id="1228"/>
      </w:r>
      <w:r w:rsidRPr="007422C9">
        <w:rPr>
          <w:lang w:eastAsia="fr-FR" w:bidi="fr-FR"/>
        </w:rPr>
        <w:t>. » Intende proinde, sacerdos egregie, generoso labori tuo, insiste officio tuo. L</w:t>
      </w:r>
      <w:r w:rsidRPr="007422C9">
        <w:rPr>
          <w:lang w:eastAsia="fr-FR" w:bidi="fr-FR"/>
        </w:rPr>
        <w:t>a</w:t>
      </w:r>
      <w:r w:rsidRPr="007422C9">
        <w:rPr>
          <w:lang w:eastAsia="fr-FR" w:bidi="fr-FR"/>
        </w:rPr>
        <w:t>bor tuus consolatio ecclesie est</w:t>
      </w:r>
      <w:r>
        <w:rPr>
          <w:lang w:eastAsia="fr-FR" w:bidi="fr-FR"/>
        </w:rPr>
        <w:t> </w:t>
      </w:r>
      <w:r>
        <w:rPr>
          <w:rStyle w:val="Appelnotedebasdep"/>
          <w:lang w:eastAsia="fr-FR" w:bidi="fr-FR"/>
        </w:rPr>
        <w:footnoteReference w:customMarkFollows="1" w:id="1229"/>
        <w:t>j</w:t>
      </w:r>
      <w:r w:rsidRPr="007422C9">
        <w:rPr>
          <w:lang w:eastAsia="fr-FR" w:bidi="fr-FR"/>
        </w:rPr>
        <w:t> ; offici</w:t>
      </w:r>
      <w:r>
        <w:rPr>
          <w:lang w:eastAsia="fr-FR" w:bidi="fr-FR"/>
        </w:rPr>
        <w:t>um tuum exaltatio est sanct</w:t>
      </w:r>
      <w:r>
        <w:rPr>
          <w:lang w:eastAsia="fr-FR" w:bidi="fr-FR"/>
        </w:rPr>
        <w:t>o</w:t>
      </w:r>
      <w:r>
        <w:rPr>
          <w:lang w:eastAsia="fr-FR" w:bidi="fr-FR"/>
        </w:rPr>
        <w:t>rum </w:t>
      </w:r>
      <w:r>
        <w:rPr>
          <w:rStyle w:val="Appelnotedebasdep"/>
          <w:lang w:eastAsia="fr-FR" w:bidi="fr-FR"/>
        </w:rPr>
        <w:footnoteReference w:customMarkFollows="1" w:id="1230"/>
        <w:t>k</w:t>
      </w:r>
      <w:r w:rsidRPr="007422C9">
        <w:rPr>
          <w:lang w:eastAsia="fr-FR" w:bidi="fr-FR"/>
        </w:rPr>
        <w:t>. Vocat te ergo celitus</w:t>
      </w:r>
      <w:r>
        <w:rPr>
          <w:lang w:eastAsia="fr-FR" w:bidi="fr-FR"/>
        </w:rPr>
        <w:t> </w:t>
      </w:r>
      <w:r>
        <w:rPr>
          <w:rStyle w:val="Appelnotedebasdep"/>
          <w:lang w:eastAsia="fr-FR" w:bidi="fr-FR"/>
        </w:rPr>
        <w:footnoteReference w:customMarkFollows="1" w:id="1231"/>
        <w:t>l</w:t>
      </w:r>
      <w:r w:rsidRPr="007422C9">
        <w:rPr>
          <w:lang w:eastAsia="fr-FR" w:bidi="fr-FR"/>
        </w:rPr>
        <w:t xml:space="preserve"> ad suum christus Dei Eadwardus obs</w:t>
      </w:r>
      <w:r w:rsidRPr="007422C9">
        <w:rPr>
          <w:lang w:eastAsia="fr-FR" w:bidi="fr-FR"/>
        </w:rPr>
        <w:t>e</w:t>
      </w:r>
      <w:r w:rsidRPr="007422C9">
        <w:rPr>
          <w:lang w:eastAsia="fr-FR" w:bidi="fr-FR"/>
        </w:rPr>
        <w:t>quium, cuius species integritatis adhuc hodie ut confidimus os</w:t>
      </w:r>
      <w:r>
        <w:rPr>
          <w:lang w:eastAsia="fr-FR" w:bidi="fr-FR"/>
        </w:rPr>
        <w:t>tendit in carne quanta uirgini</w:t>
      </w:r>
      <w:r w:rsidRPr="007422C9">
        <w:rPr>
          <w:lang w:eastAsia="fr-FR" w:bidi="fr-FR"/>
        </w:rPr>
        <w:t>tatis titulos mentis coluerit puritate. Eius tempor</w:t>
      </w:r>
      <w:r w:rsidRPr="007422C9">
        <w:rPr>
          <w:lang w:eastAsia="fr-FR" w:bidi="fr-FR"/>
        </w:rPr>
        <w:t>i</w:t>
      </w:r>
      <w:r w:rsidRPr="007422C9">
        <w:rPr>
          <w:lang w:eastAsia="fr-FR" w:bidi="fr-FR"/>
        </w:rPr>
        <w:t>bus exaltatum est solium iustitie, ita ut uitia hune experirentur iudicem et mores generosi inter domesticos prouisorem. In persona tocius e</w:t>
      </w:r>
      <w:r w:rsidRPr="007422C9">
        <w:rPr>
          <w:lang w:eastAsia="fr-FR" w:bidi="fr-FR"/>
        </w:rPr>
        <w:t>c</w:t>
      </w:r>
      <w:r w:rsidRPr="007422C9">
        <w:rPr>
          <w:lang w:eastAsia="fr-FR" w:bidi="fr-FR"/>
        </w:rPr>
        <w:t>clesie nostre tue aggressus sum maiestati scribere et tanti patris aute</w:t>
      </w:r>
      <w:r w:rsidRPr="007422C9">
        <w:rPr>
          <w:lang w:eastAsia="fr-FR" w:bidi="fr-FR"/>
        </w:rPr>
        <w:t>n</w:t>
      </w:r>
      <w:r w:rsidRPr="007422C9">
        <w:rPr>
          <w:lang w:eastAsia="fr-FR" w:bidi="fr-FR"/>
        </w:rPr>
        <w:t>tica subsidia postulare. Ex diue</w:t>
      </w:r>
      <w:r w:rsidRPr="007422C9">
        <w:rPr>
          <w:lang w:eastAsia="fr-FR" w:bidi="fr-FR"/>
        </w:rPr>
        <w:t>r</w:t>
      </w:r>
      <w:r w:rsidRPr="007422C9">
        <w:rPr>
          <w:lang w:eastAsia="fr-FR" w:bidi="fr-FR"/>
        </w:rPr>
        <w:t>sis namque hoc opus fratrum imperio collectum est scedulis, quas sancti patres nostri nobis reliquerunt scriptas, qui eas uide</w:t>
      </w:r>
      <w:r>
        <w:rPr>
          <w:lang w:eastAsia="fr-FR" w:bidi="fr-FR"/>
        </w:rPr>
        <w:t>runt et a</w:t>
      </w:r>
      <w:r>
        <w:rPr>
          <w:lang w:eastAsia="fr-FR" w:bidi="fr-FR"/>
        </w:rPr>
        <w:t>u</w:t>
      </w:r>
      <w:r>
        <w:rPr>
          <w:lang w:eastAsia="fr-FR" w:bidi="fr-FR"/>
        </w:rPr>
        <w:t>die</w:t>
      </w:r>
      <w:r w:rsidRPr="007422C9">
        <w:rPr>
          <w:lang w:eastAsia="fr-FR" w:bidi="fr-FR"/>
        </w:rPr>
        <w:t>runt, sicut referimus, perpetratas. Tue itaque celsitudini nouum r</w:t>
      </w:r>
      <w:r w:rsidRPr="007422C9">
        <w:rPr>
          <w:lang w:eastAsia="fr-FR" w:bidi="fr-FR"/>
        </w:rPr>
        <w:t>e</w:t>
      </w:r>
      <w:r w:rsidRPr="007422C9">
        <w:rPr>
          <w:lang w:eastAsia="fr-FR" w:bidi="fr-FR"/>
        </w:rPr>
        <w:t>gis opus sacrandum dirigitur, quia, inspirante spiritu ueritatis, sic r</w:t>
      </w:r>
      <w:r w:rsidRPr="007422C9">
        <w:rPr>
          <w:lang w:eastAsia="fr-FR" w:bidi="fr-FR"/>
        </w:rPr>
        <w:t>e</w:t>
      </w:r>
      <w:r w:rsidRPr="007422C9">
        <w:rPr>
          <w:lang w:eastAsia="fr-FR" w:bidi="fr-FR"/>
        </w:rPr>
        <w:t>texere ordimur hystoriam, ne mens officiosa lectoris eam sentiat i</w:t>
      </w:r>
      <w:r w:rsidRPr="007422C9">
        <w:rPr>
          <w:lang w:eastAsia="fr-FR" w:bidi="fr-FR"/>
        </w:rPr>
        <w:t>m</w:t>
      </w:r>
      <w:r w:rsidRPr="007422C9">
        <w:rPr>
          <w:lang w:eastAsia="fr-FR" w:bidi="fr-FR"/>
        </w:rPr>
        <w:t>politam.</w:t>
      </w:r>
    </w:p>
    <w:p w14:paraId="6370CF60" w14:textId="77777777" w:rsidR="00B9662D" w:rsidRDefault="00B9662D" w:rsidP="00B9662D">
      <w:pPr>
        <w:pBdr>
          <w:bottom w:val="single" w:sz="24" w:space="1" w:color="auto"/>
        </w:pBdr>
        <w:spacing w:before="120" w:after="120"/>
        <w:ind w:left="1080" w:right="1080" w:firstLine="0"/>
        <w:jc w:val="both"/>
        <w:rPr>
          <w:lang w:eastAsia="fr-FR" w:bidi="fr-FR"/>
        </w:rPr>
      </w:pPr>
    </w:p>
    <w:p w14:paraId="79D07CD3" w14:textId="77777777" w:rsidR="00B9662D" w:rsidRDefault="00B9662D" w:rsidP="00B9662D">
      <w:pPr>
        <w:spacing w:before="120" w:after="120"/>
        <w:jc w:val="both"/>
        <w:rPr>
          <w:color w:val="008000"/>
          <w:vertAlign w:val="superscript"/>
        </w:rPr>
      </w:pPr>
      <w:r>
        <w:rPr>
          <w:color w:val="008000"/>
          <w:vertAlign w:val="superscript"/>
        </w:rPr>
        <w:br w:type="page"/>
      </w:r>
    </w:p>
    <w:p w14:paraId="4E519A85" w14:textId="77777777" w:rsidR="00B9662D" w:rsidRPr="007422C9" w:rsidRDefault="00B9662D" w:rsidP="00B9662D">
      <w:pPr>
        <w:pStyle w:val="b"/>
      </w:pPr>
      <w:r w:rsidRPr="00A80205">
        <w:rPr>
          <w:lang w:eastAsia="fr-FR" w:bidi="fr-FR"/>
        </w:rPr>
        <w:t>I.</w:t>
      </w:r>
      <w:r w:rsidRPr="007422C9">
        <w:rPr>
          <w:lang w:eastAsia="fr-FR" w:bidi="fr-FR"/>
        </w:rPr>
        <w:t xml:space="preserve"> </w:t>
      </w:r>
      <w:r w:rsidRPr="00A80205">
        <w:rPr>
          <w:lang w:eastAsia="fr-FR" w:bidi="fr-FR"/>
        </w:rPr>
        <w:t xml:space="preserve">Incipit prologus in uita beati ac gloriosi </w:t>
      </w:r>
      <w:r>
        <w:rPr>
          <w:lang w:eastAsia="fr-FR" w:bidi="fr-FR"/>
        </w:rPr>
        <w:t>régis</w:t>
      </w:r>
      <w:r>
        <w:rPr>
          <w:lang w:eastAsia="fr-FR" w:bidi="fr-FR"/>
        </w:rPr>
        <w:br/>
      </w:r>
      <w:r w:rsidRPr="00A80205">
        <w:rPr>
          <w:lang w:eastAsia="fr-FR" w:bidi="fr-FR"/>
        </w:rPr>
        <w:t>Anglorum Eadwardi.</w:t>
      </w:r>
    </w:p>
    <w:p w14:paraId="2BA1C180" w14:textId="77777777" w:rsidR="00B9662D" w:rsidRDefault="00B9662D" w:rsidP="00B9662D">
      <w:pPr>
        <w:spacing w:before="120" w:after="120"/>
        <w:jc w:val="both"/>
        <w:rPr>
          <w:lang w:eastAsia="fr-FR" w:bidi="fr-FR"/>
        </w:rPr>
      </w:pPr>
    </w:p>
    <w:p w14:paraId="77891587" w14:textId="77777777" w:rsidR="00B9662D" w:rsidRPr="007422C9" w:rsidRDefault="00B9662D" w:rsidP="00B9662D">
      <w:pPr>
        <w:spacing w:before="120" w:after="120"/>
        <w:jc w:val="both"/>
      </w:pPr>
      <w:r w:rsidRPr="007422C9">
        <w:rPr>
          <w:lang w:eastAsia="fr-FR" w:bidi="fr-FR"/>
        </w:rPr>
        <w:t>Insignia uirorum fortium gesta litteris tradere laus est copiosa scr</w:t>
      </w:r>
      <w:r w:rsidRPr="007422C9">
        <w:rPr>
          <w:lang w:eastAsia="fr-FR" w:bidi="fr-FR"/>
        </w:rPr>
        <w:t>i</w:t>
      </w:r>
      <w:r w:rsidRPr="007422C9">
        <w:rPr>
          <w:lang w:eastAsia="fr-FR" w:bidi="fr-FR"/>
        </w:rPr>
        <w:t>bentium, et eorum mores imitari dat afïectus ad honesta suspirantis animi : ex quo et emeritorum uirtus attollenda proponitur, et uite s</w:t>
      </w:r>
      <w:r w:rsidRPr="007422C9">
        <w:rPr>
          <w:lang w:eastAsia="fr-FR" w:bidi="fr-FR"/>
        </w:rPr>
        <w:t>o</w:t>
      </w:r>
      <w:r w:rsidRPr="007422C9">
        <w:rPr>
          <w:lang w:eastAsia="fr-FR" w:bidi="fr-FR"/>
        </w:rPr>
        <w:t>brietas commendatur. Sicut enim eneruos solet animos satyricorum pagina reprehendendo deprimere, ita titulis honestatis non inglorios uenustiores decet calamos altius intonare. Qui itaque laudat aliquem se ipsum ut laudetur exhibeat laudabilem, et ex alterius pendeat laud</w:t>
      </w:r>
      <w:r w:rsidRPr="007422C9">
        <w:rPr>
          <w:lang w:eastAsia="fr-FR" w:bidi="fr-FR"/>
        </w:rPr>
        <w:t>a</w:t>
      </w:r>
      <w:r w:rsidRPr="007422C9">
        <w:rPr>
          <w:lang w:eastAsia="fr-FR" w:bidi="fr-FR"/>
        </w:rPr>
        <w:t>tor sententia qualis obscurari debeat ex eius imitatione disciplina. Omnis autem homo</w:t>
      </w:r>
      <w:r>
        <w:rPr>
          <w:lang w:eastAsia="fr-FR" w:bidi="fr-FR"/>
        </w:rPr>
        <w:t xml:space="preserve"> </w:t>
      </w:r>
      <w:r>
        <w:t>[</w:t>
      </w:r>
      <w:r w:rsidRPr="007422C9">
        <w:rPr>
          <w:lang w:eastAsia="fr-FR" w:bidi="fr-FR"/>
        </w:rPr>
        <w:t>987</w:t>
      </w:r>
      <w:r>
        <w:rPr>
          <w:lang w:eastAsia="fr-FR" w:bidi="fr-FR"/>
        </w:rPr>
        <w:t xml:space="preserve">] </w:t>
      </w:r>
      <w:r w:rsidRPr="007422C9">
        <w:rPr>
          <w:lang w:eastAsia="fr-FR" w:bidi="fr-FR"/>
        </w:rPr>
        <w:t>aut uoluptate resoluitur ad mollitiem, aut ardore animi excitatur studio- sius ad uirtutem. Mida autem rex aurum fieri quicquit tangeret Appollinem petiit et ab ipso munus efïïcaciter impetrauit. Efïectu it</w:t>
      </w:r>
      <w:r w:rsidRPr="007422C9">
        <w:rPr>
          <w:lang w:eastAsia="fr-FR" w:bidi="fr-FR"/>
        </w:rPr>
        <w:t>a</w:t>
      </w:r>
      <w:r w:rsidRPr="007422C9">
        <w:rPr>
          <w:lang w:eastAsia="fr-FR" w:bidi="fr-FR"/>
        </w:rPr>
        <w:t>que uoti sui, cepit ipse miser torqueri, totumque in eo processit ad uindictam quod sue sacietatis sibi desiderabat mini</w:t>
      </w:r>
      <w:r w:rsidRPr="007422C9">
        <w:rPr>
          <w:lang w:eastAsia="fr-FR" w:bidi="fr-FR"/>
        </w:rPr>
        <w:t>s</w:t>
      </w:r>
      <w:r w:rsidRPr="007422C9">
        <w:rPr>
          <w:lang w:eastAsia="fr-FR" w:bidi="fr-FR"/>
        </w:rPr>
        <w:t>trare materiam. Rigebat cibus aurea speculatione coruscus potusque sapiebat idem huius metalli soliditate conspicuus, set uterque a mensa reiciebatur intactus</w:t>
      </w:r>
      <w:r>
        <w:rPr>
          <w:lang w:eastAsia="fr-FR" w:bidi="fr-FR"/>
        </w:rPr>
        <w:t> </w:t>
      </w:r>
      <w:r>
        <w:rPr>
          <w:rStyle w:val="Appelnotedebasdep"/>
        </w:rPr>
        <w:footnoteReference w:id="1232"/>
      </w:r>
      <w:r w:rsidRPr="007422C9">
        <w:rPr>
          <w:lang w:eastAsia="fr-FR" w:bidi="fr-FR"/>
        </w:rPr>
        <w:t>. Hoc ergo eius cum esset desiderium, illi miser</w:t>
      </w:r>
      <w:r w:rsidRPr="007422C9">
        <w:rPr>
          <w:lang w:eastAsia="fr-FR" w:bidi="fr-FR"/>
        </w:rPr>
        <w:t>a</w:t>
      </w:r>
      <w:r w:rsidRPr="007422C9">
        <w:rPr>
          <w:lang w:eastAsia="fr-FR" w:bidi="fr-FR"/>
        </w:rPr>
        <w:t>bile parturiuit detrimentum. Aurea etiam locuplex diuiciarum senti</w:t>
      </w:r>
      <w:r w:rsidRPr="007422C9">
        <w:rPr>
          <w:lang w:eastAsia="fr-FR" w:bidi="fr-FR"/>
        </w:rPr>
        <w:t>e</w:t>
      </w:r>
      <w:r w:rsidRPr="007422C9">
        <w:rPr>
          <w:lang w:eastAsia="fr-FR" w:bidi="fr-FR"/>
        </w:rPr>
        <w:t>batur copia, set in necessitate dominabatur uiolenta. Formam gessit rex iste cupid</w:t>
      </w:r>
      <w:r w:rsidRPr="007422C9">
        <w:rPr>
          <w:lang w:eastAsia="fr-FR" w:bidi="fr-FR"/>
        </w:rPr>
        <w:t>i</w:t>
      </w:r>
      <w:r w:rsidRPr="007422C9">
        <w:rPr>
          <w:lang w:eastAsia="fr-FR" w:bidi="fr-FR"/>
        </w:rPr>
        <w:t>tatis auare que pecuniarum copias per usuras congregat, at ad famem depellendam tangere metuit que peruerse coaceruat. Hoc sancti reges et iusti non faciunt, qui cum Christi pauperibus spiritu sunt pauperes eisque substantias dispergunt locupletes. In quorum c</w:t>
      </w:r>
      <w:r w:rsidRPr="007422C9">
        <w:rPr>
          <w:lang w:eastAsia="fr-FR" w:bidi="fr-FR"/>
        </w:rPr>
        <w:t>a</w:t>
      </w:r>
      <w:r w:rsidRPr="007422C9">
        <w:rPr>
          <w:lang w:eastAsia="fr-FR" w:bidi="fr-FR"/>
        </w:rPr>
        <w:t>talogo sanctus Dei rex Eadwardus, prerogatiuam dignitatis sortitus egregiam, ewangelista Christi nudus animo fieri non erubuit ; et a s</w:t>
      </w:r>
      <w:r w:rsidRPr="007422C9">
        <w:rPr>
          <w:lang w:eastAsia="fr-FR" w:bidi="fr-FR"/>
        </w:rPr>
        <w:t>a</w:t>
      </w:r>
      <w:r w:rsidRPr="007422C9">
        <w:rPr>
          <w:lang w:eastAsia="fr-FR" w:bidi="fr-FR"/>
        </w:rPr>
        <w:t>cris philosophie semitis errore deuio non declinauit. Tempore namque suo implere uir catholicus non abhorruit quod Plato philosophus diu ante predixit : beatam scilicet fore rem publicam si uel reges philos</w:t>
      </w:r>
      <w:r w:rsidRPr="007422C9">
        <w:rPr>
          <w:lang w:eastAsia="fr-FR" w:bidi="fr-FR"/>
        </w:rPr>
        <w:t>o</w:t>
      </w:r>
      <w:r w:rsidRPr="007422C9">
        <w:rPr>
          <w:lang w:eastAsia="fr-FR" w:bidi="fr-FR"/>
        </w:rPr>
        <w:t>pharentur, uel philosophi regnarent</w:t>
      </w:r>
      <w:r>
        <w:rPr>
          <w:lang w:eastAsia="fr-FR" w:bidi="fr-FR"/>
        </w:rPr>
        <w:t> </w:t>
      </w:r>
      <w:r>
        <w:rPr>
          <w:rStyle w:val="Appelnotedebasdep"/>
        </w:rPr>
        <w:footnoteReference w:id="1233"/>
      </w:r>
      <w:r w:rsidRPr="007422C9">
        <w:rPr>
          <w:lang w:eastAsia="fr-FR" w:bidi="fr-FR"/>
        </w:rPr>
        <w:t xml:space="preserve">. Inuestigator </w:t>
      </w:r>
      <w:r w:rsidRPr="007422C9">
        <w:rPr>
          <w:lang w:eastAsia="fr-FR" w:bidi="fr-FR"/>
        </w:rPr>
        <w:lastRenderedPageBreak/>
        <w:t>quippe factus est sapientie, « et quesiuit illam sibi sponsam assumere, et amator factus est forme i</w:t>
      </w:r>
      <w:r w:rsidRPr="007422C9">
        <w:rPr>
          <w:lang w:eastAsia="fr-FR" w:bidi="fr-FR"/>
        </w:rPr>
        <w:t>l</w:t>
      </w:r>
      <w:r w:rsidRPr="007422C9">
        <w:rPr>
          <w:lang w:eastAsia="fr-FR" w:bidi="fr-FR"/>
        </w:rPr>
        <w:t>lius »</w:t>
      </w:r>
      <w:r>
        <w:rPr>
          <w:lang w:eastAsia="fr-FR" w:bidi="fr-FR"/>
        </w:rPr>
        <w:t> </w:t>
      </w:r>
      <w:r>
        <w:rPr>
          <w:rStyle w:val="Appelnotedebasdep"/>
        </w:rPr>
        <w:footnoteReference w:id="1234"/>
      </w:r>
      <w:r w:rsidRPr="007422C9">
        <w:rPr>
          <w:lang w:eastAsia="fr-FR" w:bidi="fr-FR"/>
        </w:rPr>
        <w:t>. Hec est speciosa Abisag</w:t>
      </w:r>
      <w:r w:rsidRPr="007422C9">
        <w:rPr>
          <w:vertAlign w:val="superscript"/>
          <w:lang w:eastAsia="fr-FR" w:bidi="fr-FR"/>
        </w:rPr>
        <w:t>a</w:t>
      </w:r>
      <w:r w:rsidRPr="007422C9">
        <w:rPr>
          <w:lang w:eastAsia="fr-FR" w:bidi="fr-FR"/>
        </w:rPr>
        <w:t xml:space="preserve"> in cuius sinu noster iste Dauid requieuit</w:t>
      </w:r>
      <w:r>
        <w:rPr>
          <w:lang w:eastAsia="fr-FR" w:bidi="fr-FR"/>
        </w:rPr>
        <w:t> </w:t>
      </w:r>
      <w:r>
        <w:rPr>
          <w:rStyle w:val="Appelnotedebasdep"/>
        </w:rPr>
        <w:footnoteReference w:id="1235"/>
      </w:r>
      <w:r w:rsidRPr="007422C9">
        <w:rPr>
          <w:lang w:eastAsia="fr-FR" w:bidi="fr-FR"/>
        </w:rPr>
        <w:t>, noster desiderabilis, noster manu fortis ; inter cuius amplexus senio confectus incaluit et salutis in ilia delitias inuenit. V</w:t>
      </w:r>
      <w:r w:rsidRPr="007422C9">
        <w:rPr>
          <w:lang w:eastAsia="fr-FR" w:bidi="fr-FR"/>
        </w:rPr>
        <w:t>i</w:t>
      </w:r>
      <w:r>
        <w:rPr>
          <w:lang w:eastAsia="fr-FR" w:bidi="fr-FR"/>
        </w:rPr>
        <w:t>ret etenim semper etate iuue</w:t>
      </w:r>
      <w:r w:rsidRPr="007422C9">
        <w:rPr>
          <w:lang w:eastAsia="fr-FR" w:bidi="fr-FR"/>
        </w:rPr>
        <w:t>nescitque cotidie nullamque generositas sua rugam contrahit autmaculam, que sceptrum in sinistra et crucem in dextera prefert deauratam. Huic adhesit et ab hac non recessit, quam quia reges gentium bene nescierunt querere, eam suo matrim</w:t>
      </w:r>
      <w:r w:rsidRPr="007422C9">
        <w:rPr>
          <w:lang w:eastAsia="fr-FR" w:bidi="fr-FR"/>
        </w:rPr>
        <w:t>o</w:t>
      </w:r>
      <w:r w:rsidRPr="007422C9">
        <w:rPr>
          <w:lang w:eastAsia="fr-FR" w:bidi="fr-FR"/>
        </w:rPr>
        <w:t>nio non potuerunt copulare. Dionisius namque tirannus Democrito familiari suo suspensum capiti intentauit gladium, dum regis purp</w:t>
      </w:r>
      <w:r w:rsidRPr="007422C9">
        <w:rPr>
          <w:lang w:eastAsia="fr-FR" w:bidi="fr-FR"/>
        </w:rPr>
        <w:t>u</w:t>
      </w:r>
      <w:r w:rsidRPr="007422C9">
        <w:rPr>
          <w:lang w:eastAsia="fr-FR" w:bidi="fr-FR"/>
        </w:rPr>
        <w:t>ram conc</w:t>
      </w:r>
      <w:r w:rsidRPr="007422C9">
        <w:rPr>
          <w:lang w:eastAsia="fr-FR" w:bidi="fr-FR"/>
        </w:rPr>
        <w:t>u</w:t>
      </w:r>
      <w:r w:rsidRPr="007422C9">
        <w:rPr>
          <w:lang w:eastAsia="fr-FR" w:bidi="fr-FR"/>
        </w:rPr>
        <w:t>pisceret inter delitias Siculorum ; quem cum inter epulas imminentem cerneret et tenu</w:t>
      </w:r>
      <w:r>
        <w:rPr>
          <w:lang w:eastAsia="fr-FR" w:bidi="fr-FR"/>
        </w:rPr>
        <w:t>i filo superius pendentem uehe</w:t>
      </w:r>
      <w:r w:rsidRPr="007422C9">
        <w:rPr>
          <w:lang w:eastAsia="fr-FR" w:bidi="fr-FR"/>
        </w:rPr>
        <w:t>mentius formidaret, r</w:t>
      </w:r>
      <w:r w:rsidRPr="007422C9">
        <w:rPr>
          <w:lang w:eastAsia="fr-FR" w:bidi="fr-FR"/>
        </w:rPr>
        <w:t>e</w:t>
      </w:r>
      <w:r w:rsidRPr="007422C9">
        <w:rPr>
          <w:lang w:eastAsia="fr-FR" w:bidi="fr-FR"/>
        </w:rPr>
        <w:t>gias aspernatus exhorruit delitias et reiecit copias saciata cupidine fastiditas. In mortis namque discrimine non sunt delitie sap</w:t>
      </w:r>
      <w:r w:rsidRPr="007422C9">
        <w:rPr>
          <w:lang w:eastAsia="fr-FR" w:bidi="fr-FR"/>
        </w:rPr>
        <w:t>i</w:t>
      </w:r>
      <w:r w:rsidRPr="007422C9">
        <w:rPr>
          <w:lang w:eastAsia="fr-FR" w:bidi="fr-FR"/>
        </w:rPr>
        <w:t>de, et quilibet diues se sentit inglorium cui minantur supplicia passi</w:t>
      </w:r>
      <w:r w:rsidRPr="007422C9">
        <w:rPr>
          <w:lang w:eastAsia="fr-FR" w:bidi="fr-FR"/>
        </w:rPr>
        <w:t>o</w:t>
      </w:r>
      <w:r w:rsidRPr="007422C9">
        <w:rPr>
          <w:lang w:eastAsia="fr-FR" w:bidi="fr-FR"/>
        </w:rPr>
        <w:t>num. Hoc uero facto suo edocuit quod in nulla gloria positus rex tim</w:t>
      </w:r>
      <w:r w:rsidRPr="007422C9">
        <w:rPr>
          <w:lang w:eastAsia="fr-FR" w:bidi="fr-FR"/>
        </w:rPr>
        <w:t>e</w:t>
      </w:r>
      <w:r w:rsidRPr="007422C9">
        <w:rPr>
          <w:lang w:eastAsia="fr-FR" w:bidi="fr-FR"/>
        </w:rPr>
        <w:t>re desinit, dum terret ex superioribus formidabile Dei iuditium et in inferio- ribus m</w:t>
      </w:r>
      <w:r w:rsidRPr="007422C9">
        <w:rPr>
          <w:lang w:eastAsia="fr-FR" w:bidi="fr-FR"/>
        </w:rPr>
        <w:t>i</w:t>
      </w:r>
      <w:r w:rsidRPr="007422C9">
        <w:rPr>
          <w:lang w:eastAsia="fr-FR" w:bidi="fr-FR"/>
        </w:rPr>
        <w:t xml:space="preserve">nantur casum pericula populorum. Princeps igitur Eadwardus Christi regis nostri signatus caractère et </w:t>
      </w:r>
      <w:r w:rsidRPr="005472FE">
        <w:rPr>
          <w:bCs/>
          <w:i/>
        </w:rPr>
        <w:t>tau</w:t>
      </w:r>
      <w:r w:rsidRPr="007422C9">
        <w:rPr>
          <w:lang w:eastAsia="fr-FR" w:bidi="fr-FR"/>
        </w:rPr>
        <w:t xml:space="preserve"> uiuificantem litteram gestans in fronte</w:t>
      </w:r>
      <w:r>
        <w:rPr>
          <w:lang w:eastAsia="fr-FR" w:bidi="fr-FR"/>
        </w:rPr>
        <w:t> </w:t>
      </w:r>
      <w:r>
        <w:rPr>
          <w:rStyle w:val="Appelnotedebasdep"/>
        </w:rPr>
        <w:footnoteReference w:id="1236"/>
      </w:r>
      <w:r w:rsidRPr="007422C9">
        <w:rPr>
          <w:lang w:eastAsia="fr-FR" w:bidi="fr-FR"/>
        </w:rPr>
        <w:t xml:space="preserve"> sceptrum gestauit et diadema regium in Anglorum dispositissima Dei ordinatione preparatum. Qui, cum ca</w:t>
      </w:r>
      <w:r w:rsidRPr="007422C9">
        <w:rPr>
          <w:lang w:eastAsia="fr-FR" w:bidi="fr-FR"/>
        </w:rPr>
        <w:t>u</w:t>
      </w:r>
      <w:r w:rsidRPr="007422C9">
        <w:rPr>
          <w:lang w:eastAsia="fr-FR" w:bidi="fr-FR"/>
        </w:rPr>
        <w:t>sam in populo discut</w:t>
      </w:r>
      <w:r w:rsidRPr="007422C9">
        <w:rPr>
          <w:lang w:eastAsia="fr-FR" w:bidi="fr-FR"/>
        </w:rPr>
        <w:t>e</w:t>
      </w:r>
      <w:r w:rsidRPr="007422C9">
        <w:rPr>
          <w:lang w:eastAsia="fr-FR" w:bidi="fr-FR"/>
        </w:rPr>
        <w:t>ret multimodam, imminentem capiti diuino semper iuditio metuebat uindictam. « Beatus enim homo qui semper est pauidus ; qui autem mentis est</w:t>
      </w:r>
      <w:r>
        <w:rPr>
          <w:lang w:eastAsia="fr-FR" w:bidi="fr-FR"/>
        </w:rPr>
        <w:t xml:space="preserve"> [988] </w:t>
      </w:r>
      <w:r w:rsidRPr="007422C9">
        <w:rPr>
          <w:lang w:eastAsia="fr-FR" w:bidi="fr-FR"/>
        </w:rPr>
        <w:t>dure corruet in malum</w:t>
      </w:r>
      <w:r>
        <w:rPr>
          <w:lang w:eastAsia="fr-FR" w:bidi="fr-FR"/>
        </w:rPr>
        <w:t> » </w:t>
      </w:r>
      <w:r>
        <w:rPr>
          <w:rStyle w:val="Appelnotedebasdep"/>
        </w:rPr>
        <w:footnoteReference w:id="1237"/>
      </w:r>
      <w:r w:rsidRPr="007422C9">
        <w:rPr>
          <w:lang w:eastAsia="fr-FR" w:bidi="fr-FR"/>
        </w:rPr>
        <w:t>. Huius ergo miranda seculis gesta conc</w:t>
      </w:r>
      <w:r w:rsidRPr="007422C9">
        <w:rPr>
          <w:lang w:eastAsia="fr-FR" w:bidi="fr-FR"/>
        </w:rPr>
        <w:t>i</w:t>
      </w:r>
      <w:r w:rsidRPr="007422C9">
        <w:rPr>
          <w:lang w:eastAsia="fr-FR" w:bidi="fr-FR"/>
        </w:rPr>
        <w:t>nere, huius generose mores uite decreui sollempniter nouis fidibus concrepare. Nec ad Apollinis De</w:t>
      </w:r>
      <w:r w:rsidRPr="007422C9">
        <w:rPr>
          <w:lang w:eastAsia="fr-FR" w:bidi="fr-FR"/>
        </w:rPr>
        <w:t>l</w:t>
      </w:r>
      <w:r w:rsidRPr="007422C9">
        <w:rPr>
          <w:lang w:eastAsia="fr-FR" w:bidi="fr-FR"/>
        </w:rPr>
        <w:t>fici recurrere delectat oraculum, nec ut sonos hauriam musicos eius inuisere decacordum ; set Sancti Spiritus inuocare confido dulced</w:t>
      </w:r>
      <w:r w:rsidRPr="007422C9">
        <w:rPr>
          <w:lang w:eastAsia="fr-FR" w:bidi="fr-FR"/>
        </w:rPr>
        <w:t>i</w:t>
      </w:r>
      <w:r w:rsidRPr="007422C9">
        <w:rPr>
          <w:lang w:eastAsia="fr-FR" w:bidi="fr-FR"/>
        </w:rPr>
        <w:t>nem, ut me simpliciter per istorie uestigia gradientem in sanctam i</w:t>
      </w:r>
      <w:r w:rsidRPr="007422C9">
        <w:rPr>
          <w:lang w:eastAsia="fr-FR" w:bidi="fr-FR"/>
        </w:rPr>
        <w:t>n</w:t>
      </w:r>
      <w:r w:rsidRPr="007422C9">
        <w:rPr>
          <w:lang w:eastAsia="fr-FR" w:bidi="fr-FR"/>
        </w:rPr>
        <w:t>ducat ueritatem ; sicque me inter organa sua bene sonantem perficiat fistulam, ne quassatus calamus raucus ut a</w:t>
      </w:r>
      <w:r w:rsidRPr="007422C9">
        <w:rPr>
          <w:lang w:eastAsia="fr-FR" w:bidi="fr-FR"/>
        </w:rPr>
        <w:t>n</w:t>
      </w:r>
      <w:r w:rsidRPr="007422C9">
        <w:rPr>
          <w:lang w:eastAsia="fr-FR" w:bidi="fr-FR"/>
        </w:rPr>
        <w:t>ser incipiam perstrepere, set ut olor in flumine grate dulcedinis modulos suauiter proferre. Pr</w:t>
      </w:r>
      <w:r w:rsidRPr="007422C9">
        <w:rPr>
          <w:lang w:eastAsia="fr-FR" w:bidi="fr-FR"/>
        </w:rPr>
        <w:t>e</w:t>
      </w:r>
      <w:r w:rsidRPr="007422C9">
        <w:rPr>
          <w:lang w:eastAsia="fr-FR" w:bidi="fr-FR"/>
        </w:rPr>
        <w:t>figant ergo capitula quibus transcribenda proponitur uita, ut, dum d</w:t>
      </w:r>
      <w:r w:rsidRPr="007422C9">
        <w:rPr>
          <w:lang w:eastAsia="fr-FR" w:bidi="fr-FR"/>
        </w:rPr>
        <w:t>e</w:t>
      </w:r>
      <w:r w:rsidRPr="007422C9">
        <w:rPr>
          <w:lang w:eastAsia="fr-FR" w:bidi="fr-FR"/>
        </w:rPr>
        <w:t xml:space="preserve">siderant cognoscere seriem, repperiant in artificio noui operis </w:t>
      </w:r>
      <w:r w:rsidRPr="007422C9">
        <w:rPr>
          <w:lang w:eastAsia="fr-FR" w:bidi="fr-FR"/>
        </w:rPr>
        <w:lastRenderedPageBreak/>
        <w:t>uenust</w:t>
      </w:r>
      <w:r w:rsidRPr="007422C9">
        <w:rPr>
          <w:lang w:eastAsia="fr-FR" w:bidi="fr-FR"/>
        </w:rPr>
        <w:t>a</w:t>
      </w:r>
      <w:r w:rsidRPr="007422C9">
        <w:rPr>
          <w:lang w:eastAsia="fr-FR" w:bidi="fr-FR"/>
        </w:rPr>
        <w:t>tem. Adiuuent igitur seniores sanctis orationibus quorum imperio e</w:t>
      </w:r>
      <w:r w:rsidRPr="007422C9">
        <w:rPr>
          <w:lang w:eastAsia="fr-FR" w:bidi="fr-FR"/>
        </w:rPr>
        <w:t>x</w:t>
      </w:r>
      <w:r w:rsidRPr="007422C9">
        <w:rPr>
          <w:lang w:eastAsia="fr-FR" w:bidi="fr-FR"/>
        </w:rPr>
        <w:t>planando suscepimus, sanctusque rex Eadwardus suis precibus cyt</w:t>
      </w:r>
      <w:r w:rsidRPr="007422C9">
        <w:rPr>
          <w:lang w:eastAsia="fr-FR" w:bidi="fr-FR"/>
        </w:rPr>
        <w:t>a</w:t>
      </w:r>
      <w:r w:rsidRPr="007422C9">
        <w:rPr>
          <w:lang w:eastAsia="fr-FR" w:bidi="fr-FR"/>
        </w:rPr>
        <w:t>ram nostram sic temperet, ut in melodiis concentibus a ueritatis dulc</w:t>
      </w:r>
      <w:r w:rsidRPr="007422C9">
        <w:rPr>
          <w:lang w:eastAsia="fr-FR" w:bidi="fr-FR"/>
        </w:rPr>
        <w:t>e</w:t>
      </w:r>
      <w:r w:rsidRPr="007422C9">
        <w:rPr>
          <w:lang w:eastAsia="fr-FR" w:bidi="fr-FR"/>
        </w:rPr>
        <w:t>dine non discordet.</w:t>
      </w:r>
    </w:p>
    <w:p w14:paraId="610BC790" w14:textId="77777777" w:rsidR="00B9662D" w:rsidRPr="004C7EBC" w:rsidRDefault="00B9662D" w:rsidP="00B9662D">
      <w:pPr>
        <w:spacing w:before="120" w:after="120"/>
        <w:jc w:val="both"/>
        <w:rPr>
          <w:b/>
        </w:rPr>
      </w:pPr>
      <w:r w:rsidRPr="004C7EBC">
        <w:rPr>
          <w:b/>
          <w:lang w:eastAsia="fr-FR" w:bidi="fr-FR"/>
        </w:rPr>
        <w:t>Explicit prologus. Incipit uita beati ac gloriosi regis Eadwardi.</w:t>
      </w:r>
    </w:p>
    <w:p w14:paraId="1BF3D254" w14:textId="77777777" w:rsidR="00B9662D" w:rsidRDefault="00B9662D" w:rsidP="00B9662D">
      <w:pPr>
        <w:spacing w:before="120" w:after="120"/>
        <w:jc w:val="both"/>
        <w:rPr>
          <w:b/>
          <w:lang w:eastAsia="fr-FR" w:bidi="fr-FR"/>
        </w:rPr>
      </w:pPr>
    </w:p>
    <w:p w14:paraId="73D8B362" w14:textId="77777777" w:rsidR="00B9662D" w:rsidRPr="007422C9" w:rsidRDefault="00B9662D" w:rsidP="00B9662D">
      <w:pPr>
        <w:pStyle w:val="b"/>
      </w:pPr>
      <w:r w:rsidRPr="004C7EBC">
        <w:rPr>
          <w:lang w:eastAsia="fr-FR" w:bidi="fr-FR"/>
        </w:rPr>
        <w:t>II. De sancti regis generositate</w:t>
      </w:r>
      <w:r>
        <w:rPr>
          <w:lang w:eastAsia="fr-FR" w:bidi="fr-FR"/>
        </w:rPr>
        <w:br/>
      </w:r>
      <w:r w:rsidRPr="004C7EBC">
        <w:rPr>
          <w:lang w:eastAsia="fr-FR" w:bidi="fr-FR"/>
        </w:rPr>
        <w:t>et sanctitate parentum eius.</w:t>
      </w:r>
    </w:p>
    <w:p w14:paraId="5B66B2C2" w14:textId="77777777" w:rsidR="00B9662D" w:rsidRDefault="00B9662D" w:rsidP="00B9662D">
      <w:pPr>
        <w:spacing w:before="120" w:after="120"/>
        <w:jc w:val="both"/>
        <w:rPr>
          <w:lang w:eastAsia="fr-FR" w:bidi="fr-FR"/>
        </w:rPr>
      </w:pPr>
    </w:p>
    <w:p w14:paraId="0DE49592" w14:textId="77777777" w:rsidR="00B9662D" w:rsidRDefault="00B9662D" w:rsidP="00B9662D">
      <w:pPr>
        <w:spacing w:before="120" w:after="120"/>
        <w:jc w:val="both"/>
        <w:rPr>
          <w:lang w:eastAsia="fr-FR" w:bidi="fr-FR"/>
        </w:rPr>
      </w:pPr>
      <w:r w:rsidRPr="007422C9">
        <w:rPr>
          <w:lang w:eastAsia="fr-FR" w:bidi="fr-FR"/>
        </w:rPr>
        <w:t>Preciosus adleta Domini et rex insignis Eadwardus ex antiquis A</w:t>
      </w:r>
      <w:r w:rsidRPr="007422C9">
        <w:rPr>
          <w:lang w:eastAsia="fr-FR" w:bidi="fr-FR"/>
        </w:rPr>
        <w:t>n</w:t>
      </w:r>
      <w:r w:rsidRPr="007422C9">
        <w:rPr>
          <w:lang w:eastAsia="fr-FR" w:bidi="fr-FR"/>
        </w:rPr>
        <w:t>glorum regibus generosa carnis origine prodiit oriundus. Cuius pater Adelredus extitit, Emma uero, Ricardi ducis Normannorum filia, m</w:t>
      </w:r>
      <w:r w:rsidRPr="007422C9">
        <w:rPr>
          <w:lang w:eastAsia="fr-FR" w:bidi="fr-FR"/>
        </w:rPr>
        <w:t>a</w:t>
      </w:r>
      <w:r w:rsidRPr="007422C9">
        <w:rPr>
          <w:lang w:eastAsia="fr-FR" w:bidi="fr-FR"/>
        </w:rPr>
        <w:t>ter fuit ; ex utroque latere sanguinis nobilitate fulsit ingenuus. Cuius auus cenobiorum fundator Edgarus primo in regibus Anglorum m</w:t>
      </w:r>
      <w:r w:rsidRPr="007422C9">
        <w:rPr>
          <w:lang w:eastAsia="fr-FR" w:bidi="fr-FR"/>
        </w:rPr>
        <w:t>o</w:t>
      </w:r>
      <w:r w:rsidRPr="007422C9">
        <w:rPr>
          <w:lang w:eastAsia="fr-FR" w:bidi="fr-FR"/>
        </w:rPr>
        <w:t>narchiam solus obtinuit, eique gloriosus et felix fdius eius Edwardus innocenter postmodum iugulatus dicedenti successit. Ipso uero in c</w:t>
      </w:r>
      <w:r w:rsidRPr="007422C9">
        <w:rPr>
          <w:lang w:eastAsia="fr-FR" w:bidi="fr-FR"/>
        </w:rPr>
        <w:t>e</w:t>
      </w:r>
      <w:r w:rsidRPr="007422C9">
        <w:rPr>
          <w:lang w:eastAsia="fr-FR" w:bidi="fr-FR"/>
        </w:rPr>
        <w:t>lestibus castris gloria et honore coronato, frater eius regnauit Adelr</w:t>
      </w:r>
      <w:r w:rsidRPr="007422C9">
        <w:rPr>
          <w:lang w:eastAsia="fr-FR" w:bidi="fr-FR"/>
        </w:rPr>
        <w:t>e</w:t>
      </w:r>
      <w:r w:rsidRPr="007422C9">
        <w:rPr>
          <w:lang w:eastAsia="fr-FR" w:bidi="fr-FR"/>
        </w:rPr>
        <w:t>dus, uere tanta proie felix pater et beatus. Sanctissima autem uirgo Edeiha, Edgari regis filia et gloriosi martiris Edwardi soror atque Ad</w:t>
      </w:r>
      <w:r w:rsidRPr="007422C9">
        <w:rPr>
          <w:lang w:eastAsia="fr-FR" w:bidi="fr-FR"/>
        </w:rPr>
        <w:t>e</w:t>
      </w:r>
      <w:r w:rsidRPr="007422C9">
        <w:rPr>
          <w:lang w:eastAsia="fr-FR" w:bidi="fr-FR"/>
        </w:rPr>
        <w:t>lredi germana, in sancto uirginitatis proposito dotales domino tabulas obtulit et copiosa miracu- lorum gloria clara in mundo et celebris efîulsit. Beata uero Eadburga, signorum fulgore celestium urbis Wi</w:t>
      </w:r>
      <w:r w:rsidRPr="007422C9">
        <w:rPr>
          <w:lang w:eastAsia="fr-FR" w:bidi="fr-FR"/>
        </w:rPr>
        <w:t>n</w:t>
      </w:r>
      <w:r w:rsidRPr="007422C9">
        <w:rPr>
          <w:lang w:eastAsia="fr-FR" w:bidi="fr-FR"/>
        </w:rPr>
        <w:t>tonie lustrans confmia, sancti huius principis aui, regis uidelicet Ea</w:t>
      </w:r>
      <w:r w:rsidRPr="007422C9">
        <w:rPr>
          <w:lang w:eastAsia="fr-FR" w:bidi="fr-FR"/>
        </w:rPr>
        <w:t>d</w:t>
      </w:r>
      <w:r w:rsidRPr="007422C9">
        <w:rPr>
          <w:lang w:eastAsia="fr-FR" w:bidi="fr-FR"/>
        </w:rPr>
        <w:t>gari, insignis resplenduit amita, cui frater uirginis Eadmundus in ca</w:t>
      </w:r>
      <w:r w:rsidRPr="007422C9">
        <w:rPr>
          <w:lang w:eastAsia="fr-FR" w:bidi="fr-FR"/>
        </w:rPr>
        <w:t>r</w:t>
      </w:r>
      <w:r w:rsidRPr="007422C9">
        <w:rPr>
          <w:lang w:eastAsia="fr-FR" w:bidi="fr-FR"/>
        </w:rPr>
        <w:t>nali pater extitit genitura. Maternum uero beatissimi huius Eadwardi genus</w:t>
      </w:r>
      <w:r>
        <w:rPr>
          <w:lang w:eastAsia="fr-FR" w:bidi="fr-FR"/>
        </w:rPr>
        <w:t> </w:t>
      </w:r>
      <w:r>
        <w:rPr>
          <w:rStyle w:val="Appelnotedebasdep"/>
          <w:lang w:eastAsia="fr-FR" w:bidi="fr-FR"/>
        </w:rPr>
        <w:footnoteReference w:customMarkFollows="1" w:id="1238"/>
        <w:t>a</w:t>
      </w:r>
      <w:r w:rsidRPr="007422C9">
        <w:rPr>
          <w:lang w:eastAsia="fr-FR" w:bidi="fr-FR"/>
        </w:rPr>
        <w:t xml:space="preserve"> ex Francorum regibus et Normannorum ducibus traxit orig</w:t>
      </w:r>
      <w:r w:rsidRPr="007422C9">
        <w:rPr>
          <w:lang w:eastAsia="fr-FR" w:bidi="fr-FR"/>
        </w:rPr>
        <w:t>i</w:t>
      </w:r>
      <w:r w:rsidRPr="007422C9">
        <w:rPr>
          <w:lang w:eastAsia="fr-FR" w:bidi="fr-FR"/>
        </w:rPr>
        <w:t>nem. Cuius frater egregius iunior</w:t>
      </w:r>
      <w:r>
        <w:rPr>
          <w:lang w:eastAsia="fr-FR" w:bidi="fr-FR"/>
        </w:rPr>
        <w:t> </w:t>
      </w:r>
      <w:r>
        <w:rPr>
          <w:rStyle w:val="Appelnotedebasdep"/>
          <w:lang w:eastAsia="fr-FR" w:bidi="fr-FR"/>
        </w:rPr>
        <w:footnoteReference w:customMarkFollows="1" w:id="1239"/>
        <w:t>b</w:t>
      </w:r>
      <w:r w:rsidRPr="007422C9">
        <w:rPr>
          <w:lang w:eastAsia="fr-FR" w:bidi="fr-FR"/>
        </w:rPr>
        <w:t xml:space="preserve"> consul Ricardus Fiscamnense fu</w:t>
      </w:r>
      <w:r w:rsidRPr="007422C9">
        <w:rPr>
          <w:lang w:eastAsia="fr-FR" w:bidi="fr-FR"/>
        </w:rPr>
        <w:t>n</w:t>
      </w:r>
      <w:r w:rsidRPr="007422C9">
        <w:rPr>
          <w:lang w:eastAsia="fr-FR" w:bidi="fr-FR"/>
        </w:rPr>
        <w:t>dauit cenobium</w:t>
      </w:r>
      <w:r>
        <w:rPr>
          <w:lang w:eastAsia="fr-FR" w:bidi="fr-FR"/>
        </w:rPr>
        <w:t> </w:t>
      </w:r>
      <w:r>
        <w:rPr>
          <w:rStyle w:val="Appelnotedebasdep"/>
        </w:rPr>
        <w:footnoteReference w:id="1240"/>
      </w:r>
      <w:r w:rsidRPr="007422C9">
        <w:rPr>
          <w:lang w:eastAsia="fr-FR" w:bidi="fr-FR"/>
        </w:rPr>
        <w:t xml:space="preserve"> temporaliumque cumulauit omni sufïïcientia co</w:t>
      </w:r>
      <w:r w:rsidRPr="007422C9">
        <w:rPr>
          <w:lang w:eastAsia="fr-FR" w:bidi="fr-FR"/>
        </w:rPr>
        <w:t>m</w:t>
      </w:r>
      <w:r w:rsidRPr="007422C9">
        <w:rPr>
          <w:lang w:eastAsia="fr-FR" w:bidi="fr-FR"/>
        </w:rPr>
        <w:t>modorum : qui magis in occulto circumferebat anachoritam quam principem, monachum potius exprimebat quam ducem, dum in eo h</w:t>
      </w:r>
      <w:r w:rsidRPr="007422C9">
        <w:rPr>
          <w:lang w:eastAsia="fr-FR" w:bidi="fr-FR"/>
        </w:rPr>
        <w:t>a</w:t>
      </w:r>
      <w:r w:rsidRPr="007422C9">
        <w:rPr>
          <w:lang w:eastAsia="fr-FR" w:bidi="fr-FR"/>
        </w:rPr>
        <w:t xml:space="preserve">berent in publico et quod timerent singuli et quod diligerent uniuersi. Robertus etiam filius eius dux inclitus, honore paterno sublimatus, </w:t>
      </w:r>
      <w:r w:rsidRPr="007422C9">
        <w:rPr>
          <w:lang w:eastAsia="fr-FR" w:bidi="fr-FR"/>
        </w:rPr>
        <w:lastRenderedPageBreak/>
        <w:t>regine laudabilis Emme nepos, cunctis fidelibus memorandus</w:t>
      </w:r>
      <w:r>
        <w:rPr>
          <w:lang w:eastAsia="fr-FR" w:bidi="fr-FR"/>
        </w:rPr>
        <w:t> </w:t>
      </w:r>
      <w:r>
        <w:rPr>
          <w:rStyle w:val="Appelnotedebasdep"/>
          <w:lang w:eastAsia="fr-FR" w:bidi="fr-FR"/>
        </w:rPr>
        <w:footnoteReference w:customMarkFollows="1" w:id="1241"/>
        <w:t>c</w:t>
      </w:r>
      <w:r>
        <w:rPr>
          <w:lang w:eastAsia="fr-FR" w:bidi="fr-FR"/>
        </w:rPr>
        <w:t xml:space="preserve"> terr</w:t>
      </w:r>
      <w:r>
        <w:rPr>
          <w:lang w:eastAsia="fr-FR" w:bidi="fr-FR"/>
        </w:rPr>
        <w:t>e</w:t>
      </w:r>
      <w:r>
        <w:rPr>
          <w:lang w:eastAsia="fr-FR" w:bidi="fr-FR"/>
        </w:rPr>
        <w:t>num post</w:t>
      </w:r>
      <w:r w:rsidRPr="007422C9">
        <w:rPr>
          <w:lang w:eastAsia="fr-FR" w:bidi="fr-FR"/>
        </w:rPr>
        <w:t>ponens principatum, sepulchrum Christi Ierosolimis adiit et in reditu in Nicea urbe peregrinus obiens, eo sepultus in pace requie</w:t>
      </w:r>
      <w:r w:rsidRPr="007422C9">
        <w:rPr>
          <w:lang w:eastAsia="fr-FR" w:bidi="fr-FR"/>
        </w:rPr>
        <w:t>s</w:t>
      </w:r>
      <w:r w:rsidRPr="007422C9">
        <w:rPr>
          <w:lang w:eastAsia="fr-FR" w:bidi="fr-FR"/>
        </w:rPr>
        <w:t>cit. Hec iccirco tantisper de generosa eius sanguinis linea dicta suff</w:t>
      </w:r>
      <w:r w:rsidRPr="007422C9">
        <w:rPr>
          <w:lang w:eastAsia="fr-FR" w:bidi="fr-FR"/>
        </w:rPr>
        <w:t>i</w:t>
      </w:r>
      <w:r w:rsidRPr="007422C9">
        <w:rPr>
          <w:lang w:eastAsia="fr-FR" w:bidi="fr-FR"/>
        </w:rPr>
        <w:t>ciant, ut nullus auditor</w:t>
      </w:r>
      <w:r>
        <w:t xml:space="preserve"> </w:t>
      </w:r>
      <w:r>
        <w:rPr>
          <w:lang w:eastAsia="fr-FR" w:bidi="fr-FR"/>
        </w:rPr>
        <w:t xml:space="preserve">[989] </w:t>
      </w:r>
      <w:r w:rsidRPr="007422C9">
        <w:rPr>
          <w:lang w:eastAsia="fr-FR" w:bidi="fr-FR"/>
        </w:rPr>
        <w:t>ducat ambiguum opus ei sanctitatis ex diuina etiam gracia natural</w:t>
      </w:r>
      <w:r w:rsidRPr="007422C9">
        <w:rPr>
          <w:lang w:eastAsia="fr-FR" w:bidi="fr-FR"/>
        </w:rPr>
        <w:t>i</w:t>
      </w:r>
      <w:r w:rsidRPr="007422C9">
        <w:rPr>
          <w:lang w:eastAsia="fr-FR" w:bidi="fr-FR"/>
        </w:rPr>
        <w:t>ter innatum</w:t>
      </w:r>
      <w:r>
        <w:rPr>
          <w:lang w:eastAsia="fr-FR" w:bidi="fr-FR"/>
        </w:rPr>
        <w:t> </w:t>
      </w:r>
      <w:r>
        <w:rPr>
          <w:rStyle w:val="Appelnotedebasdep"/>
        </w:rPr>
        <w:footnoteReference w:id="1242"/>
      </w:r>
      <w:r w:rsidRPr="007422C9">
        <w:rPr>
          <w:lang w:eastAsia="fr-FR" w:bidi="fr-FR"/>
        </w:rPr>
        <w:t>.</w:t>
      </w:r>
    </w:p>
    <w:p w14:paraId="154AB465" w14:textId="77777777" w:rsidR="00B9662D" w:rsidRPr="007422C9" w:rsidRDefault="00B9662D" w:rsidP="00B9662D">
      <w:pPr>
        <w:spacing w:before="120" w:after="120"/>
        <w:jc w:val="both"/>
      </w:pPr>
    </w:p>
    <w:p w14:paraId="6DF73C90" w14:textId="77777777" w:rsidR="00B9662D" w:rsidRPr="00C05411" w:rsidRDefault="00B9662D" w:rsidP="00B9662D">
      <w:pPr>
        <w:pStyle w:val="b"/>
        <w:rPr>
          <w:i w:val="0"/>
        </w:rPr>
      </w:pPr>
      <w:r>
        <w:rPr>
          <w:lang w:eastAsia="fr-FR" w:bidi="fr-FR"/>
        </w:rPr>
        <w:t xml:space="preserve">III. </w:t>
      </w:r>
      <w:r w:rsidRPr="004C7EBC">
        <w:rPr>
          <w:lang w:eastAsia="fr-FR" w:bidi="fr-FR"/>
        </w:rPr>
        <w:t>De iuramento procerum et de uisione sancti pontificis que ei celitus facta est de persona regis.</w:t>
      </w:r>
      <w:r>
        <w:rPr>
          <w:i w:val="0"/>
          <w:lang w:eastAsia="fr-FR" w:bidi="fr-FR"/>
        </w:rPr>
        <w:t> </w:t>
      </w:r>
      <w:r>
        <w:rPr>
          <w:rStyle w:val="Appelnotedebasdep"/>
          <w:i w:val="0"/>
          <w:lang w:eastAsia="fr-FR" w:bidi="fr-FR"/>
        </w:rPr>
        <w:footnoteReference w:customMarkFollows="1" w:id="1243"/>
        <w:t>*</w:t>
      </w:r>
    </w:p>
    <w:p w14:paraId="40DB5128" w14:textId="77777777" w:rsidR="00B9662D" w:rsidRDefault="00B9662D" w:rsidP="00B9662D">
      <w:pPr>
        <w:spacing w:before="120" w:after="120"/>
        <w:jc w:val="both"/>
        <w:rPr>
          <w:lang w:eastAsia="fr-FR" w:bidi="fr-FR"/>
        </w:rPr>
      </w:pPr>
    </w:p>
    <w:p w14:paraId="38C53423" w14:textId="77777777" w:rsidR="00B9662D" w:rsidRPr="007422C9" w:rsidRDefault="00B9662D" w:rsidP="00B9662D">
      <w:pPr>
        <w:spacing w:before="120" w:after="120"/>
        <w:jc w:val="both"/>
      </w:pPr>
      <w:r w:rsidRPr="007422C9">
        <w:rPr>
          <w:lang w:eastAsia="fr-FR" w:bidi="fr-FR"/>
        </w:rPr>
        <w:t>Grauida itaque regina effecta, procedente tempore, suum peperit primogenitum</w:t>
      </w:r>
      <w:r>
        <w:rPr>
          <w:lang w:eastAsia="fr-FR" w:bidi="fr-FR"/>
        </w:rPr>
        <w:t> </w:t>
      </w:r>
      <w:r>
        <w:rPr>
          <w:rStyle w:val="Appelnotedebasdep"/>
        </w:rPr>
        <w:footnoteReference w:id="1244"/>
      </w:r>
      <w:r w:rsidRPr="007422C9">
        <w:rPr>
          <w:lang w:eastAsia="fr-FR" w:bidi="fr-FR"/>
        </w:rPr>
        <w:t>, quem patres in baptismate uocauerunt Aluredum. Qui, maxima in palatio educatus diligentia, spei bone fructum de fut</w:t>
      </w:r>
      <w:r w:rsidRPr="007422C9">
        <w:rPr>
          <w:lang w:eastAsia="fr-FR" w:bidi="fr-FR"/>
        </w:rPr>
        <w:t>u</w:t>
      </w:r>
      <w:r w:rsidRPr="007422C9">
        <w:rPr>
          <w:lang w:eastAsia="fr-FR" w:bidi="fr-FR"/>
        </w:rPr>
        <w:t>ri regni sceptro genitoribus parturiuit ; set Deus, occulta dispositione sua, alteri ut creditur diadema reseruauit. Non eum fortasse regnat</w:t>
      </w:r>
      <w:r w:rsidRPr="007422C9">
        <w:rPr>
          <w:lang w:eastAsia="fr-FR" w:bidi="fr-FR"/>
        </w:rPr>
        <w:t>u</w:t>
      </w:r>
      <w:r w:rsidRPr="007422C9">
        <w:rPr>
          <w:lang w:eastAsia="fr-FR" w:bidi="fr-FR"/>
        </w:rPr>
        <w:lastRenderedPageBreak/>
        <w:t>rum ad utilitatem populi presciuit spiritus Dei, qui, diuturno postm</w:t>
      </w:r>
      <w:r w:rsidRPr="007422C9">
        <w:rPr>
          <w:lang w:eastAsia="fr-FR" w:bidi="fr-FR"/>
        </w:rPr>
        <w:t>o</w:t>
      </w:r>
      <w:r w:rsidRPr="007422C9">
        <w:rPr>
          <w:lang w:eastAsia="fr-FR" w:bidi="fr-FR"/>
        </w:rPr>
        <w:t>dum tempore, raptus ad supplicium, innocens neci traditur infausta crudelitate barbarorum. Set, quia de eius martirio hystoriam in prese</w:t>
      </w:r>
      <w:r w:rsidRPr="007422C9">
        <w:rPr>
          <w:lang w:eastAsia="fr-FR" w:bidi="fr-FR"/>
        </w:rPr>
        <w:t>n</w:t>
      </w:r>
      <w:r w:rsidRPr="007422C9">
        <w:rPr>
          <w:lang w:eastAsia="fr-FR" w:bidi="fr-FR"/>
        </w:rPr>
        <w:t>tiarum explicandam non susce- pimus, reuertamur ad materiam quam exorsi sumus. Inpregnata rursus Dei prouidentia Anglorum regina, coniurant omnes regni proceres, si masculus prodiret, in eo se regem expectare futurum, qui sceptro et diade- mate populo presideret A</w:t>
      </w:r>
      <w:r w:rsidRPr="007422C9">
        <w:rPr>
          <w:lang w:eastAsia="fr-FR" w:bidi="fr-FR"/>
        </w:rPr>
        <w:t>n</w:t>
      </w:r>
      <w:r w:rsidRPr="007422C9">
        <w:rPr>
          <w:lang w:eastAsia="fr-FR" w:bidi="fr-FR"/>
        </w:rPr>
        <w:t>glorum. Scit igitur ille quem occulta hominum non nouerunt fallere, ego prorsus inuestigare non possum indaginem, cur in filio iuniore tanti impleuerint sacramenti ueritatem. In primogenito regis a iur</w:t>
      </w:r>
      <w:r w:rsidRPr="007422C9">
        <w:rPr>
          <w:lang w:eastAsia="fr-FR" w:bidi="fr-FR"/>
        </w:rPr>
        <w:t>a</w:t>
      </w:r>
      <w:r w:rsidRPr="007422C9">
        <w:rPr>
          <w:lang w:eastAsia="fr-FR" w:bidi="fr-FR"/>
        </w:rPr>
        <w:t>mento siluit Anglorum totus orbis, et in natiuitate iunioris pueri ei fide proceres colligantur uniuersi</w:t>
      </w:r>
      <w:r>
        <w:rPr>
          <w:lang w:eastAsia="fr-FR" w:bidi="fr-FR"/>
        </w:rPr>
        <w:t> </w:t>
      </w:r>
      <w:r>
        <w:rPr>
          <w:rStyle w:val="Appelnotedebasdep"/>
        </w:rPr>
        <w:footnoteReference w:id="1245"/>
      </w:r>
      <w:r w:rsidRPr="007422C9">
        <w:rPr>
          <w:lang w:eastAsia="fr-FR" w:bidi="fr-FR"/>
        </w:rPr>
        <w:t>. Editus ergo puer egregius</w:t>
      </w:r>
      <w:r>
        <w:rPr>
          <w:lang w:eastAsia="fr-FR" w:bidi="fr-FR"/>
        </w:rPr>
        <w:t xml:space="preserve"> [990] </w:t>
      </w:r>
      <w:r w:rsidRPr="007422C9">
        <w:rPr>
          <w:lang w:eastAsia="fr-FR" w:bidi="fr-FR"/>
        </w:rPr>
        <w:t>max</w:t>
      </w:r>
      <w:r w:rsidRPr="007422C9">
        <w:rPr>
          <w:lang w:eastAsia="fr-FR" w:bidi="fr-FR"/>
        </w:rPr>
        <w:t>i</w:t>
      </w:r>
      <w:r w:rsidRPr="007422C9">
        <w:rPr>
          <w:lang w:eastAsia="fr-FR" w:bidi="fr-FR"/>
        </w:rPr>
        <w:t>ma parentum enutritur diligentia et in etate tenera Sancti Spiritus i</w:t>
      </w:r>
      <w:r w:rsidRPr="007422C9">
        <w:rPr>
          <w:lang w:eastAsia="fr-FR" w:bidi="fr-FR"/>
        </w:rPr>
        <w:t>n</w:t>
      </w:r>
      <w:r w:rsidRPr="007422C9">
        <w:rPr>
          <w:lang w:eastAsia="fr-FR" w:bidi="fr-FR"/>
        </w:rPr>
        <w:t>formatur disciplina. Cuius uenusta faciès et digna imperio tam dec</w:t>
      </w:r>
      <w:r w:rsidRPr="007422C9">
        <w:rPr>
          <w:lang w:eastAsia="fr-FR" w:bidi="fr-FR"/>
        </w:rPr>
        <w:t>o</w:t>
      </w:r>
      <w:r w:rsidRPr="007422C9">
        <w:rPr>
          <w:lang w:eastAsia="fr-FR" w:bidi="fr-FR"/>
        </w:rPr>
        <w:lastRenderedPageBreak/>
        <w:t>ram et splendidam preferebat speciem ut regalem uideretur imit</w:t>
      </w:r>
      <w:r w:rsidRPr="007422C9">
        <w:rPr>
          <w:lang w:eastAsia="fr-FR" w:bidi="fr-FR"/>
        </w:rPr>
        <w:t>a</w:t>
      </w:r>
      <w:r w:rsidRPr="007422C9">
        <w:rPr>
          <w:lang w:eastAsia="fr-FR" w:bidi="fr-FR"/>
        </w:rPr>
        <w:t>ri maiestatem. Set post tempus non modicum glaciali frigore concreta a finibus aquilonis irrupit barbarica rabies, que et totum regnum inu</w:t>
      </w:r>
      <w:r w:rsidRPr="007422C9">
        <w:rPr>
          <w:lang w:eastAsia="fr-FR" w:bidi="fr-FR"/>
        </w:rPr>
        <w:t>a</w:t>
      </w:r>
      <w:r w:rsidRPr="007422C9">
        <w:rPr>
          <w:lang w:eastAsia="fr-FR" w:bidi="fr-FR"/>
        </w:rPr>
        <w:t>sit et suo illud dominio subiecit. Cumque Danorum fremeret tam grand</w:t>
      </w:r>
      <w:r w:rsidRPr="007422C9">
        <w:rPr>
          <w:lang w:eastAsia="fr-FR" w:bidi="fr-FR"/>
        </w:rPr>
        <w:t>i</w:t>
      </w:r>
      <w:r w:rsidRPr="007422C9">
        <w:rPr>
          <w:lang w:eastAsia="fr-FR" w:bidi="fr-FR"/>
        </w:rPr>
        <w:t>nosa tempestas, ad auos suos in Neustriam gloriosus puer tran</w:t>
      </w:r>
      <w:r w:rsidRPr="007422C9">
        <w:rPr>
          <w:lang w:eastAsia="fr-FR" w:bidi="fr-FR"/>
        </w:rPr>
        <w:t>s</w:t>
      </w:r>
      <w:r w:rsidRPr="007422C9">
        <w:rPr>
          <w:lang w:eastAsia="fr-FR" w:bidi="fr-FR"/>
        </w:rPr>
        <w:t>ducitur, ne tam immani procéda seuientium fluctuum citius absorber</w:t>
      </w:r>
      <w:r w:rsidRPr="007422C9">
        <w:rPr>
          <w:lang w:eastAsia="fr-FR" w:bidi="fr-FR"/>
        </w:rPr>
        <w:t>e</w:t>
      </w:r>
      <w:r w:rsidRPr="007422C9">
        <w:rPr>
          <w:lang w:eastAsia="fr-FR" w:bidi="fr-FR"/>
        </w:rPr>
        <w:t>tur.</w:t>
      </w:r>
    </w:p>
    <w:p w14:paraId="006DFCEF" w14:textId="77777777" w:rsidR="00B9662D" w:rsidRPr="007422C9" w:rsidRDefault="00B9662D" w:rsidP="00B9662D">
      <w:pPr>
        <w:spacing w:before="120" w:after="120"/>
        <w:jc w:val="both"/>
      </w:pPr>
      <w:r w:rsidRPr="007422C9">
        <w:rPr>
          <w:lang w:eastAsia="fr-FR" w:bidi="fr-FR"/>
        </w:rPr>
        <w:t>Quo tempore dilectus Domini Brihtwoldus, Wiltoniensis</w:t>
      </w:r>
      <w:r w:rsidRPr="003A6290">
        <w:rPr>
          <w:i/>
          <w:color w:val="FF0000"/>
          <w:vertAlign w:val="superscript"/>
          <w:lang w:eastAsia="fr-FR" w:bidi="fr-FR"/>
        </w:rPr>
        <w:t>a</w:t>
      </w:r>
      <w:r w:rsidRPr="007422C9">
        <w:rPr>
          <w:lang w:eastAsia="fr-FR" w:bidi="fr-FR"/>
        </w:rPr>
        <w:t xml:space="preserve"> episc</w:t>
      </w:r>
      <w:r w:rsidRPr="007422C9">
        <w:rPr>
          <w:lang w:eastAsia="fr-FR" w:bidi="fr-FR"/>
        </w:rPr>
        <w:t>o</w:t>
      </w:r>
      <w:r w:rsidRPr="007422C9">
        <w:rPr>
          <w:lang w:eastAsia="fr-FR" w:bidi="fr-FR"/>
        </w:rPr>
        <w:t>pus prouintie, desolationem regni deflebat in m</w:t>
      </w:r>
      <w:r>
        <w:rPr>
          <w:lang w:eastAsia="fr-FR" w:bidi="fr-FR"/>
        </w:rPr>
        <w:t>onasterio Glastoniensi, fessus</w:t>
      </w:r>
      <w:r w:rsidRPr="007422C9">
        <w:rPr>
          <w:lang w:eastAsia="fr-FR" w:bidi="fr-FR"/>
        </w:rPr>
        <w:t>que post lacrimas nocturnum soporem incidit ; cui gloriosam semiuigilanti Deus reuelationem ostendit, uidet namque beatissimum Petrum, princi- pem apostolorum, decentem et congruam hominis pe</w:t>
      </w:r>
      <w:r w:rsidRPr="007422C9">
        <w:rPr>
          <w:lang w:eastAsia="fr-FR" w:bidi="fr-FR"/>
        </w:rPr>
        <w:t>r</w:t>
      </w:r>
      <w:r w:rsidRPr="007422C9">
        <w:rPr>
          <w:lang w:eastAsia="fr-FR" w:bidi="fr-FR"/>
        </w:rPr>
        <w:t>sonam consecrare in regem ; et uitam eius designare celibem, et sub certo regnandi calculo annorum numerum determinantem. Inuestigat uir sanctus ab apostolo de posteritate regni, postulat ut doceatur quis regnare debeat et cui tante maiestatis honor incumbat. Quem huiu</w:t>
      </w:r>
      <w:r>
        <w:rPr>
          <w:lang w:eastAsia="fr-FR" w:bidi="fr-FR"/>
        </w:rPr>
        <w:t>s</w:t>
      </w:r>
      <w:r>
        <w:rPr>
          <w:lang w:eastAsia="fr-FR" w:bidi="fr-FR"/>
        </w:rPr>
        <w:t>modi responsis apostolus allo</w:t>
      </w:r>
      <w:r w:rsidRPr="007422C9">
        <w:rPr>
          <w:lang w:eastAsia="fr-FR" w:bidi="fr-FR"/>
        </w:rPr>
        <w:t>quitur, eiusque uir Dei sermonibus ed</w:t>
      </w:r>
      <w:r w:rsidRPr="007422C9">
        <w:rPr>
          <w:lang w:eastAsia="fr-FR" w:bidi="fr-FR"/>
        </w:rPr>
        <w:t>o</w:t>
      </w:r>
      <w:r w:rsidRPr="007422C9">
        <w:rPr>
          <w:lang w:eastAsia="fr-FR" w:bidi="fr-FR"/>
        </w:rPr>
        <w:t>cet</w:t>
      </w:r>
      <w:r>
        <w:rPr>
          <w:lang w:eastAsia="fr-FR" w:bidi="fr-FR"/>
        </w:rPr>
        <w:t>ur : « Regnum » inquit « Anglo</w:t>
      </w:r>
      <w:r w:rsidRPr="007422C9">
        <w:rPr>
          <w:lang w:eastAsia="fr-FR" w:bidi="fr-FR"/>
        </w:rPr>
        <w:t>rum regnum est Dei, qui, post tra</w:t>
      </w:r>
      <w:r w:rsidRPr="007422C9">
        <w:rPr>
          <w:lang w:eastAsia="fr-FR" w:bidi="fr-FR"/>
        </w:rPr>
        <w:t>n</w:t>
      </w:r>
      <w:r w:rsidRPr="007422C9">
        <w:rPr>
          <w:lang w:eastAsia="fr-FR" w:bidi="fr-FR"/>
        </w:rPr>
        <w:t>situm tuum ad superos, prouidebit sibi regem suo humiliter obseque</w:t>
      </w:r>
      <w:r w:rsidRPr="007422C9">
        <w:rPr>
          <w:lang w:eastAsia="fr-FR" w:bidi="fr-FR"/>
        </w:rPr>
        <w:t>n</w:t>
      </w:r>
      <w:r w:rsidRPr="007422C9">
        <w:rPr>
          <w:lang w:eastAsia="fr-FR" w:bidi="fr-FR"/>
        </w:rPr>
        <w:t>tem imperio et ei penitus placentem in regno »</w:t>
      </w:r>
      <w:r>
        <w:rPr>
          <w:lang w:eastAsia="fr-FR" w:bidi="fr-FR"/>
        </w:rPr>
        <w:t> </w:t>
      </w:r>
      <w:r>
        <w:rPr>
          <w:rStyle w:val="Appelnotedebasdep"/>
        </w:rPr>
        <w:footnoteReference w:id="1246"/>
      </w:r>
      <w:r w:rsidRPr="007422C9">
        <w:rPr>
          <w:lang w:eastAsia="fr-FR" w:bidi="fr-FR"/>
        </w:rPr>
        <w:t>.</w:t>
      </w:r>
    </w:p>
    <w:p w14:paraId="168D049D" w14:textId="77777777" w:rsidR="00B9662D" w:rsidRPr="007422C9" w:rsidRDefault="00B9662D" w:rsidP="00B9662D">
      <w:pPr>
        <w:spacing w:before="120" w:after="120"/>
        <w:jc w:val="both"/>
      </w:pPr>
      <w:r w:rsidRPr="007422C9">
        <w:rPr>
          <w:lang w:eastAsia="fr-FR" w:bidi="fr-FR"/>
        </w:rPr>
        <w:t>Quod ita postmodum accidit sicut eum uisio celestis informauit. Pluribus uero interiectis annorum curriculis, cum ab afïlictione Egy</w:t>
      </w:r>
      <w:r w:rsidRPr="007422C9">
        <w:rPr>
          <w:lang w:eastAsia="fr-FR" w:bidi="fr-FR"/>
        </w:rPr>
        <w:t>p</w:t>
      </w:r>
      <w:r w:rsidRPr="007422C9">
        <w:rPr>
          <w:lang w:eastAsia="fr-FR" w:bidi="fr-FR"/>
        </w:rPr>
        <w:t>tia transisset populus Anglorum ad desideratum redemptionis sue iub</w:t>
      </w:r>
      <w:r w:rsidRPr="007422C9">
        <w:rPr>
          <w:lang w:eastAsia="fr-FR" w:bidi="fr-FR"/>
        </w:rPr>
        <w:t>i</w:t>
      </w:r>
      <w:r w:rsidRPr="007422C9">
        <w:rPr>
          <w:lang w:eastAsia="fr-FR" w:bidi="fr-FR"/>
        </w:rPr>
        <w:t>leum, instant ut innatum regem suum suscipiant, ut eum in paterno solio et paterno collocare ualeant in throno. Mittuntur post ilium duces regni et pontifices religiosi, festiuoque omnium tripudio adducitur, et in ecclesia Christi Cantuarie</w:t>
      </w:r>
      <w:r>
        <w:rPr>
          <w:lang w:eastAsia="fr-FR" w:bidi="fr-FR"/>
        </w:rPr>
        <w:t> </w:t>
      </w:r>
      <w:r>
        <w:rPr>
          <w:rStyle w:val="Appelnotedebasdep"/>
        </w:rPr>
        <w:footnoteReference w:id="1247"/>
      </w:r>
      <w:r w:rsidRPr="007422C9">
        <w:rPr>
          <w:lang w:eastAsia="fr-FR" w:bidi="fr-FR"/>
        </w:rPr>
        <w:t xml:space="preserve"> christus domini consecratur ; sicque concordat uoluntas Dei iuramento populi et quod diu ante preuiderant impletum celitus gratulantur sacramentum. Sollempniter itaque regno in pace stabilito, uicina undique régna suo confederantur imperio, eiusque perfrui desiderant amicitia et dilectione sublimari graciosa. Imperator igitur Romanorum</w:t>
      </w:r>
      <w:r>
        <w:rPr>
          <w:lang w:eastAsia="fr-FR" w:bidi="fr-FR"/>
        </w:rPr>
        <w:t xml:space="preserve"> </w:t>
      </w:r>
      <w:r>
        <w:t xml:space="preserve">[991] </w:t>
      </w:r>
      <w:r w:rsidRPr="007422C9">
        <w:rPr>
          <w:lang w:eastAsia="fr-FR" w:bidi="fr-FR"/>
        </w:rPr>
        <w:t xml:space="preserve">Henricus, qui César tantus erat </w:t>
      </w:r>
      <w:r w:rsidRPr="007422C9">
        <w:rPr>
          <w:lang w:eastAsia="fr-FR" w:bidi="fr-FR"/>
        </w:rPr>
        <w:lastRenderedPageBreak/>
        <w:t>quantus et orbis, ad connectendas in inuicem fidei dexteras legatos dirigit et sibi suisque pacem et amicitiam postulat et impertit. Henr</w:t>
      </w:r>
      <w:r w:rsidRPr="007422C9">
        <w:rPr>
          <w:lang w:eastAsia="fr-FR" w:bidi="fr-FR"/>
        </w:rPr>
        <w:t>i</w:t>
      </w:r>
      <w:r w:rsidRPr="007422C9">
        <w:rPr>
          <w:lang w:eastAsia="fr-FR" w:bidi="fr-FR"/>
        </w:rPr>
        <w:t>cus etiam rex Francorum, carnis ei et sanguinis uicinitate propinquus, fedus cum illo indissolubile pepigit, et manibus plaudens de tanti principis gloria medullitus exultauit. Ceteri quoque principes in circu</w:t>
      </w:r>
      <w:r w:rsidRPr="007422C9">
        <w:rPr>
          <w:lang w:eastAsia="fr-FR" w:bidi="fr-FR"/>
        </w:rPr>
        <w:t>i</w:t>
      </w:r>
      <w:r w:rsidRPr="007422C9">
        <w:rPr>
          <w:lang w:eastAsia="fr-FR" w:bidi="fr-FR"/>
        </w:rPr>
        <w:t>tu per litteras et legatos ad ilium ueniunt seque suaque tuicioni et pr</w:t>
      </w:r>
      <w:r w:rsidRPr="007422C9">
        <w:rPr>
          <w:lang w:eastAsia="fr-FR" w:bidi="fr-FR"/>
        </w:rPr>
        <w:t>e</w:t>
      </w:r>
      <w:r w:rsidRPr="007422C9">
        <w:rPr>
          <w:lang w:eastAsia="fr-FR" w:bidi="fr-FR"/>
        </w:rPr>
        <w:t>sidio eius committunt. Sola Dacia effera et superba adhuc spirabat iniquitatis rabiem et in Anglos exercere suum tempore oportuno pre</w:t>
      </w:r>
      <w:r w:rsidRPr="007422C9">
        <w:rPr>
          <w:lang w:eastAsia="fr-FR" w:bidi="fr-FR"/>
        </w:rPr>
        <w:t>s</w:t>
      </w:r>
      <w:r w:rsidRPr="007422C9">
        <w:rPr>
          <w:lang w:eastAsia="fr-FR" w:bidi="fr-FR"/>
        </w:rPr>
        <w:t>tolabatur furorem. In cuius regni principio tanta pacis resplenduit gr</w:t>
      </w:r>
      <w:r w:rsidRPr="007422C9">
        <w:rPr>
          <w:lang w:eastAsia="fr-FR" w:bidi="fr-FR"/>
        </w:rPr>
        <w:t>a</w:t>
      </w:r>
      <w:r w:rsidRPr="007422C9">
        <w:rPr>
          <w:lang w:eastAsia="fr-FR" w:bidi="fr-FR"/>
        </w:rPr>
        <w:t>cia ut Salomonis regnum post terror</w:t>
      </w:r>
      <w:r>
        <w:rPr>
          <w:lang w:eastAsia="fr-FR" w:bidi="fr-FR"/>
        </w:rPr>
        <w:t>es Dauiticorum appareret preli</w:t>
      </w:r>
      <w:r>
        <w:rPr>
          <w:lang w:eastAsia="fr-FR" w:bidi="fr-FR"/>
        </w:rPr>
        <w:t>o</w:t>
      </w:r>
      <w:r w:rsidRPr="007422C9">
        <w:rPr>
          <w:lang w:eastAsia="fr-FR" w:bidi="fr-FR"/>
        </w:rPr>
        <w:t>rum, et, sedatis bellorum incendiis, in mansuetudine uiueret et uniue</w:t>
      </w:r>
      <w:r w:rsidRPr="007422C9">
        <w:rPr>
          <w:lang w:eastAsia="fr-FR" w:bidi="fr-FR"/>
        </w:rPr>
        <w:t>r</w:t>
      </w:r>
      <w:r w:rsidRPr="007422C9">
        <w:rPr>
          <w:lang w:eastAsia="fr-FR" w:bidi="fr-FR"/>
        </w:rPr>
        <w:t>sa mundi gloria pre ceteris terrarum regibus c</w:t>
      </w:r>
      <w:r w:rsidRPr="007422C9">
        <w:rPr>
          <w:lang w:eastAsia="fr-FR" w:bidi="fr-FR"/>
        </w:rPr>
        <w:t>o</w:t>
      </w:r>
      <w:r w:rsidRPr="007422C9">
        <w:rPr>
          <w:lang w:eastAsia="fr-FR" w:bidi="fr-FR"/>
        </w:rPr>
        <w:t>piosius habundaret</w:t>
      </w:r>
      <w:r>
        <w:rPr>
          <w:lang w:eastAsia="fr-FR" w:bidi="fr-FR"/>
        </w:rPr>
        <w:t> </w:t>
      </w:r>
      <w:r>
        <w:rPr>
          <w:rStyle w:val="Appelnotedebasdep"/>
        </w:rPr>
        <w:footnoteReference w:id="1248"/>
      </w:r>
      <w:r w:rsidRPr="007422C9">
        <w:rPr>
          <w:lang w:eastAsia="fr-FR" w:bidi="fr-FR"/>
        </w:rPr>
        <w:t>.</w:t>
      </w:r>
    </w:p>
    <w:p w14:paraId="3AF6BFD2" w14:textId="77777777" w:rsidR="00B9662D" w:rsidRDefault="00B9662D" w:rsidP="00B9662D">
      <w:pPr>
        <w:spacing w:before="120" w:after="120"/>
        <w:jc w:val="both"/>
        <w:rPr>
          <w:lang w:eastAsia="fr-FR" w:bidi="fr-FR"/>
        </w:rPr>
      </w:pPr>
    </w:p>
    <w:p w14:paraId="2729B6E4" w14:textId="77777777" w:rsidR="00B9662D" w:rsidRPr="00C07431" w:rsidRDefault="00B9662D" w:rsidP="00B9662D">
      <w:pPr>
        <w:pStyle w:val="b"/>
      </w:pPr>
      <w:r w:rsidRPr="00C07431">
        <w:rPr>
          <w:lang w:eastAsia="fr-FR" w:bidi="fr-FR"/>
        </w:rPr>
        <w:t>IV. De forma sanctis regis et de sollempnibus</w:t>
      </w:r>
      <w:r>
        <w:rPr>
          <w:lang w:eastAsia="fr-FR" w:bidi="fr-FR"/>
        </w:rPr>
        <w:br/>
      </w:r>
      <w:r w:rsidRPr="00C07431">
        <w:rPr>
          <w:lang w:eastAsia="fr-FR" w:bidi="fr-FR"/>
        </w:rPr>
        <w:t>et castis eius nu</w:t>
      </w:r>
      <w:r w:rsidRPr="00C07431">
        <w:rPr>
          <w:lang w:eastAsia="fr-FR" w:bidi="fr-FR"/>
        </w:rPr>
        <w:t>p</w:t>
      </w:r>
      <w:r w:rsidRPr="00C07431">
        <w:rPr>
          <w:lang w:eastAsia="fr-FR" w:bidi="fr-FR"/>
        </w:rPr>
        <w:t>tiis.</w:t>
      </w:r>
      <w:r>
        <w:rPr>
          <w:lang w:eastAsia="fr-FR" w:bidi="fr-FR"/>
        </w:rPr>
        <w:t> </w:t>
      </w:r>
      <w:r>
        <w:rPr>
          <w:rStyle w:val="Appelnotedebasdep"/>
          <w:b/>
          <w:lang w:eastAsia="fr-FR" w:bidi="fr-FR"/>
        </w:rPr>
        <w:footnoteReference w:customMarkFollows="1" w:id="1249"/>
        <w:t>*</w:t>
      </w:r>
    </w:p>
    <w:p w14:paraId="065A11AA" w14:textId="77777777" w:rsidR="00B9662D" w:rsidRDefault="00B9662D" w:rsidP="00B9662D">
      <w:pPr>
        <w:spacing w:before="120" w:after="120"/>
        <w:jc w:val="both"/>
        <w:rPr>
          <w:lang w:eastAsia="fr-FR" w:bidi="fr-FR"/>
        </w:rPr>
      </w:pPr>
    </w:p>
    <w:p w14:paraId="48644926" w14:textId="77777777" w:rsidR="00B9662D" w:rsidRPr="007422C9" w:rsidRDefault="00B9662D" w:rsidP="00B9662D">
      <w:pPr>
        <w:spacing w:before="120" w:after="120"/>
        <w:jc w:val="both"/>
      </w:pPr>
      <w:r w:rsidRPr="007422C9">
        <w:rPr>
          <w:lang w:eastAsia="fr-FR" w:bidi="fr-FR"/>
        </w:rPr>
        <w:t>Ut autem de statu gloriosi regis et forma aliquid audiant qui de eterna eius gloria in terris exultant, decentissim</w:t>
      </w:r>
      <w:r>
        <w:rPr>
          <w:lang w:eastAsia="fr-FR" w:bidi="fr-FR"/>
        </w:rPr>
        <w:t>a hominis erat persona, proceri</w:t>
      </w:r>
      <w:r w:rsidRPr="007422C9">
        <w:rPr>
          <w:lang w:eastAsia="fr-FR" w:bidi="fr-FR"/>
        </w:rPr>
        <w:t>tate discreta, cesaries et barba canitie lactea, cutis rosea et f</w:t>
      </w:r>
      <w:r w:rsidRPr="007422C9">
        <w:rPr>
          <w:lang w:eastAsia="fr-FR" w:bidi="fr-FR"/>
        </w:rPr>
        <w:t>a</w:t>
      </w:r>
      <w:r w:rsidRPr="007422C9">
        <w:rPr>
          <w:lang w:eastAsia="fr-FR" w:bidi="fr-FR"/>
        </w:rPr>
        <w:t>ciès appare- bat plena ; macre manus et niuee, longi quoque</w:t>
      </w:r>
      <w:r w:rsidRPr="003A6290">
        <w:rPr>
          <w:i/>
          <w:color w:val="FF0000"/>
          <w:vertAlign w:val="superscript"/>
          <w:lang w:eastAsia="fr-FR" w:bidi="fr-FR"/>
        </w:rPr>
        <w:t>a</w:t>
      </w:r>
      <w:r w:rsidRPr="007422C9">
        <w:rPr>
          <w:lang w:eastAsia="fr-FR" w:bidi="fr-FR"/>
        </w:rPr>
        <w:t xml:space="preserve"> et inte</w:t>
      </w:r>
      <w:r w:rsidRPr="007422C9">
        <w:rPr>
          <w:lang w:eastAsia="fr-FR" w:bidi="fr-FR"/>
        </w:rPr>
        <w:t>r</w:t>
      </w:r>
      <w:r w:rsidRPr="007422C9">
        <w:rPr>
          <w:lang w:eastAsia="fr-FR" w:bidi="fr-FR"/>
        </w:rPr>
        <w:t>lucentes digiti ; et reliquo toto corpore regia uenustus incedebat int</w:t>
      </w:r>
      <w:r w:rsidRPr="007422C9">
        <w:rPr>
          <w:lang w:eastAsia="fr-FR" w:bidi="fr-FR"/>
        </w:rPr>
        <w:t>e</w:t>
      </w:r>
      <w:r w:rsidRPr="007422C9">
        <w:rPr>
          <w:lang w:eastAsia="fr-FR" w:bidi="fr-FR"/>
        </w:rPr>
        <w:t>gritate. Grauis et iocundus in uultu, humilis in uisu, suauis et dulcis alloquio, hylaris erat in dato. Si ratio suscitaret animi motum, leonis spectaret intuitum ; si prouocaretur ad iram, non procedebat iurgiis ad uindictam. Omni poscenti se tribuere aut cum plurima benignitate n</w:t>
      </w:r>
      <w:r w:rsidRPr="007422C9">
        <w:rPr>
          <w:lang w:eastAsia="fr-FR" w:bidi="fr-FR"/>
        </w:rPr>
        <w:t>e</w:t>
      </w:r>
      <w:r w:rsidRPr="007422C9">
        <w:rPr>
          <w:lang w:eastAsia="fr-FR" w:bidi="fr-FR"/>
        </w:rPr>
        <w:t>gare, ita etiam ut plerumque ipsa negatio benigna uideretur esse larg</w:t>
      </w:r>
      <w:r w:rsidRPr="007422C9">
        <w:rPr>
          <w:lang w:eastAsia="fr-FR" w:bidi="fr-FR"/>
        </w:rPr>
        <w:t>i</w:t>
      </w:r>
      <w:r w:rsidRPr="007422C9">
        <w:rPr>
          <w:lang w:eastAsia="fr-FR" w:bidi="fr-FR"/>
        </w:rPr>
        <w:t>ti</w:t>
      </w:r>
      <w:r>
        <w:rPr>
          <w:lang w:eastAsia="fr-FR" w:bidi="fr-FR"/>
        </w:rPr>
        <w:t>o. In frequentia populi maiesta</w:t>
      </w:r>
      <w:r w:rsidRPr="007422C9">
        <w:rPr>
          <w:lang w:eastAsia="fr-FR" w:bidi="fr-FR"/>
        </w:rPr>
        <w:t>tem regiam, in priuato pretendebat mansuetudinem graciosam. Sanctis Domini sacerdotibus causas i</w:t>
      </w:r>
      <w:r w:rsidRPr="007422C9">
        <w:rPr>
          <w:lang w:eastAsia="fr-FR" w:bidi="fr-FR"/>
        </w:rPr>
        <w:t>m</w:t>
      </w:r>
      <w:r w:rsidRPr="007422C9">
        <w:rPr>
          <w:lang w:eastAsia="fr-FR" w:bidi="fr-FR"/>
        </w:rPr>
        <w:t>ponens ecclesiasticas, suadebat secundum iustitiam uiriliter agere et auctoritate canonica sanctorum patrum uestigiis firmiter inherere. S</w:t>
      </w:r>
      <w:r w:rsidRPr="007422C9">
        <w:rPr>
          <w:lang w:eastAsia="fr-FR" w:bidi="fr-FR"/>
        </w:rPr>
        <w:t>e</w:t>
      </w:r>
      <w:r w:rsidRPr="007422C9">
        <w:rPr>
          <w:lang w:eastAsia="fr-FR" w:bidi="fr-FR"/>
        </w:rPr>
        <w:lastRenderedPageBreak/>
        <w:t>cularia palatinis et causidicis committebat iudicia, precipiens eis per recti tramitis iter incedere et neque a dextris neque a sinistris uspiam declinare. Semper in celum dirigebat animum, et quicquid pro cond</w:t>
      </w:r>
      <w:r w:rsidRPr="007422C9">
        <w:rPr>
          <w:lang w:eastAsia="fr-FR" w:bidi="fr-FR"/>
        </w:rPr>
        <w:t>i</w:t>
      </w:r>
      <w:r w:rsidRPr="007422C9">
        <w:rPr>
          <w:lang w:eastAsia="fr-FR" w:bidi="fr-FR"/>
        </w:rPr>
        <w:t>tione regia coram hominibus agebat in seculo occulto cordis sacrificio totum inuisibiliter repreensabat Deo</w:t>
      </w:r>
      <w:r>
        <w:rPr>
          <w:lang w:eastAsia="fr-FR" w:bidi="fr-FR"/>
        </w:rPr>
        <w:t> </w:t>
      </w:r>
      <w:r>
        <w:rPr>
          <w:rStyle w:val="Appelnotedebasdep"/>
        </w:rPr>
        <w:footnoteReference w:id="1250"/>
      </w:r>
      <w:r w:rsidRPr="007422C9">
        <w:rPr>
          <w:lang w:eastAsia="fr-FR" w:bidi="fr-FR"/>
        </w:rPr>
        <w:t>.</w:t>
      </w:r>
    </w:p>
    <w:p w14:paraId="4A571EF4" w14:textId="77777777" w:rsidR="00B9662D" w:rsidRPr="007422C9" w:rsidRDefault="00B9662D" w:rsidP="00B9662D">
      <w:pPr>
        <w:spacing w:before="120" w:after="120"/>
        <w:jc w:val="both"/>
      </w:pPr>
      <w:r w:rsidRPr="007422C9">
        <w:rPr>
          <w:lang w:eastAsia="fr-FR" w:bidi="fr-FR"/>
        </w:rPr>
        <w:t>Dei mater et uirgo semper in corde, semper eius uersabatur in ore : qui, uirginiatatis factus domicilium, formam uirginalem sibimet ipsi protulit ad exemplum. Intenderunt tamen quidam ut naufragium inc</w:t>
      </w:r>
      <w:r w:rsidRPr="007422C9">
        <w:rPr>
          <w:lang w:eastAsia="fr-FR" w:bidi="fr-FR"/>
        </w:rPr>
        <w:t>i</w:t>
      </w:r>
      <w:r w:rsidRPr="007422C9">
        <w:rPr>
          <w:lang w:eastAsia="fr-FR" w:bidi="fr-FR"/>
        </w:rPr>
        <w:t>deret eius pudicitia set nequaquam, ut assolet, lege pudoris sine rem</w:t>
      </w:r>
      <w:r w:rsidRPr="007422C9">
        <w:rPr>
          <w:lang w:eastAsia="fr-FR" w:bidi="fr-FR"/>
        </w:rPr>
        <w:t>e</w:t>
      </w:r>
      <w:r w:rsidRPr="007422C9">
        <w:rPr>
          <w:lang w:eastAsia="fr-FR" w:bidi="fr-FR"/>
        </w:rPr>
        <w:t>dio uiolata. Uniuerso itaque regni imperio in pace consopito, de s</w:t>
      </w:r>
      <w:r w:rsidRPr="007422C9">
        <w:rPr>
          <w:lang w:eastAsia="fr-FR" w:bidi="fr-FR"/>
        </w:rPr>
        <w:t>e</w:t>
      </w:r>
      <w:r w:rsidRPr="007422C9">
        <w:rPr>
          <w:lang w:eastAsia="fr-FR" w:bidi="fr-FR"/>
        </w:rPr>
        <w:t>cunda que lateri regis adhereat persona decernitur,</w:t>
      </w:r>
      <w:r>
        <w:rPr>
          <w:lang w:eastAsia="fr-FR" w:bidi="fr-FR"/>
        </w:rPr>
        <w:t xml:space="preserve"> </w:t>
      </w:r>
      <w:r w:rsidRPr="007422C9">
        <w:rPr>
          <w:lang w:eastAsia="fr-FR" w:bidi="fr-FR"/>
        </w:rPr>
        <w:t>ut sponsa tanto d</w:t>
      </w:r>
      <w:r w:rsidRPr="007422C9">
        <w:rPr>
          <w:lang w:eastAsia="fr-FR" w:bidi="fr-FR"/>
        </w:rPr>
        <w:t>i</w:t>
      </w:r>
      <w:r w:rsidRPr="007422C9">
        <w:rPr>
          <w:lang w:eastAsia="fr-FR" w:bidi="fr-FR"/>
        </w:rPr>
        <w:t>gna sponso inter filias principum requiratur. Reperitur tamen in eadem gente una et sola, nulli</w:t>
      </w:r>
      <w:r>
        <w:rPr>
          <w:lang w:eastAsia="fr-FR" w:bidi="fr-FR"/>
        </w:rPr>
        <w:t xml:space="preserve"> </w:t>
      </w:r>
      <w:r>
        <w:t xml:space="preserve">[992] </w:t>
      </w:r>
      <w:r w:rsidRPr="007422C9">
        <w:rPr>
          <w:lang w:eastAsia="fr-FR" w:bidi="fr-FR"/>
        </w:rPr>
        <w:t>inferior, ceteris superior, quam et claritas</w:t>
      </w:r>
      <w:r>
        <w:rPr>
          <w:lang w:eastAsia="fr-FR" w:bidi="fr-FR"/>
        </w:rPr>
        <w:t xml:space="preserve"> commendabat generis et ineffa</w:t>
      </w:r>
      <w:r w:rsidRPr="007422C9">
        <w:rPr>
          <w:lang w:eastAsia="fr-FR" w:bidi="fr-FR"/>
        </w:rPr>
        <w:t>bilis décor excellentissime iueuntutis. Maior ergo natu de fili</w:t>
      </w:r>
      <w:r w:rsidRPr="007422C9">
        <w:rPr>
          <w:lang w:eastAsia="fr-FR" w:bidi="fr-FR"/>
        </w:rPr>
        <w:t>a</w:t>
      </w:r>
      <w:r w:rsidRPr="007422C9">
        <w:rPr>
          <w:lang w:eastAsia="fr-FR" w:bidi="fr-FR"/>
        </w:rPr>
        <w:t>bus Gowini clarissimi ducis Edeiha diligitur, que, uersu etprosa cel</w:t>
      </w:r>
      <w:r w:rsidRPr="007422C9">
        <w:rPr>
          <w:lang w:eastAsia="fr-FR" w:bidi="fr-FR"/>
        </w:rPr>
        <w:t>e</w:t>
      </w:r>
      <w:r w:rsidRPr="007422C9">
        <w:rPr>
          <w:lang w:eastAsia="fr-FR" w:bidi="fr-FR"/>
        </w:rPr>
        <w:t xml:space="preserve">bris et </w:t>
      </w:r>
      <w:r>
        <w:rPr>
          <w:lang w:eastAsia="fr-FR" w:bidi="fr-FR"/>
        </w:rPr>
        <w:t>eximia, et opéré et pictura alte</w:t>
      </w:r>
      <w:r w:rsidRPr="007422C9">
        <w:rPr>
          <w:lang w:eastAsia="fr-FR" w:bidi="fr-FR"/>
        </w:rPr>
        <w:t>ra erat Minerua. Hec regalibus thalamis sollempni tripudio traditur, et Deo inunct diademate coronatur. Set misericors Deus, qui beatum confe</w:t>
      </w:r>
      <w:r w:rsidRPr="007422C9">
        <w:rPr>
          <w:lang w:eastAsia="fr-FR" w:bidi="fr-FR"/>
        </w:rPr>
        <w:t>s</w:t>
      </w:r>
      <w:r w:rsidRPr="007422C9">
        <w:rPr>
          <w:lang w:eastAsia="fr-FR" w:bidi="fr-FR"/>
        </w:rPr>
        <w:t>sorem suum Alexium in uirginitate seruauit</w:t>
      </w:r>
      <w:r>
        <w:rPr>
          <w:rStyle w:val="Appelnotedebasdep"/>
        </w:rPr>
        <w:footnoteReference w:id="1251"/>
      </w:r>
      <w:r w:rsidRPr="007422C9">
        <w:rPr>
          <w:lang w:eastAsia="fr-FR" w:bidi="fr-FR"/>
        </w:rPr>
        <w:t>, omnibus diebus uite sue, ut confidimus, sanctum regem Eadwardum in carnis puritate cust</w:t>
      </w:r>
      <w:r w:rsidRPr="007422C9">
        <w:rPr>
          <w:lang w:eastAsia="fr-FR" w:bidi="fr-FR"/>
        </w:rPr>
        <w:t>o</w:t>
      </w:r>
      <w:r w:rsidRPr="007422C9">
        <w:rPr>
          <w:lang w:eastAsia="fr-FR" w:bidi="fr-FR"/>
        </w:rPr>
        <w:t>diuit. Obsecuta est illi tamquam filia regina egregia eumque a princ</w:t>
      </w:r>
      <w:r w:rsidRPr="007422C9">
        <w:rPr>
          <w:lang w:eastAsia="fr-FR" w:bidi="fr-FR"/>
        </w:rPr>
        <w:t>i</w:t>
      </w:r>
      <w:r w:rsidRPr="007422C9">
        <w:rPr>
          <w:lang w:eastAsia="fr-FR" w:bidi="fr-FR"/>
        </w:rPr>
        <w:t>pio sue desponsionis diue</w:t>
      </w:r>
      <w:r w:rsidRPr="007422C9">
        <w:rPr>
          <w:lang w:eastAsia="fr-FR" w:bidi="fr-FR"/>
        </w:rPr>
        <w:t>r</w:t>
      </w:r>
      <w:r w:rsidRPr="007422C9">
        <w:rPr>
          <w:lang w:eastAsia="fr-FR" w:bidi="fr-FR"/>
        </w:rPr>
        <w:t>sis in op</w:t>
      </w:r>
      <w:r>
        <w:rPr>
          <w:lang w:eastAsia="fr-FR" w:bidi="fr-FR"/>
        </w:rPr>
        <w:t>e</w:t>
      </w:r>
      <w:r w:rsidRPr="007422C9">
        <w:rPr>
          <w:lang w:eastAsia="fr-FR" w:bidi="fr-FR"/>
        </w:rPr>
        <w:t>r</w:t>
      </w:r>
      <w:r>
        <w:rPr>
          <w:lang w:eastAsia="fr-FR" w:bidi="fr-FR"/>
        </w:rPr>
        <w:t>e</w:t>
      </w:r>
      <w:r w:rsidRPr="007422C9">
        <w:rPr>
          <w:lang w:eastAsia="fr-FR" w:bidi="fr-FR"/>
        </w:rPr>
        <w:t xml:space="preserve"> redimiuit</w:t>
      </w:r>
      <w:r>
        <w:rPr>
          <w:lang w:eastAsia="fr-FR" w:bidi="fr-FR"/>
        </w:rPr>
        <w:t> </w:t>
      </w:r>
      <w:r w:rsidRPr="00C07431">
        <w:rPr>
          <w:i/>
          <w:color w:val="FF0000"/>
          <w:vertAlign w:val="superscript"/>
          <w:lang w:eastAsia="fr-FR" w:bidi="fr-FR"/>
        </w:rPr>
        <w:t>b</w:t>
      </w:r>
      <w:r>
        <w:rPr>
          <w:lang w:eastAsia="fr-FR" w:bidi="fr-FR"/>
        </w:rPr>
        <w:t xml:space="preserve"> ornamen</w:t>
      </w:r>
      <w:r w:rsidRPr="007422C9">
        <w:rPr>
          <w:lang w:eastAsia="fr-FR" w:bidi="fr-FR"/>
        </w:rPr>
        <w:t>tis. Quod pro consuetudine ergum magis amplectebatur, quam pro délicate uite qualibet occidua uolupt</w:t>
      </w:r>
      <w:r w:rsidRPr="007422C9">
        <w:rPr>
          <w:lang w:eastAsia="fr-FR" w:bidi="fr-FR"/>
        </w:rPr>
        <w:t>a</w:t>
      </w:r>
      <w:r w:rsidRPr="007422C9">
        <w:rPr>
          <w:lang w:eastAsia="fr-FR" w:bidi="fr-FR"/>
        </w:rPr>
        <w:t>te. Ipsa uero regis castimoniam reticere quam nouerat, nec consilium efïundere quod sciebat. Eadwardo namque in</w:t>
      </w:r>
      <w:r w:rsidRPr="007422C9">
        <w:rPr>
          <w:lang w:eastAsia="fr-FR" w:bidi="fr-FR"/>
        </w:rPr>
        <w:t>e</w:t>
      </w:r>
      <w:r w:rsidRPr="007422C9">
        <w:rPr>
          <w:lang w:eastAsia="fr-FR" w:bidi="fr-FR"/>
        </w:rPr>
        <w:t>rat et uirgo conscientia, et caro usque hodie in urna perseuerat inco</w:t>
      </w:r>
      <w:r w:rsidRPr="007422C9">
        <w:rPr>
          <w:lang w:eastAsia="fr-FR" w:bidi="fr-FR"/>
        </w:rPr>
        <w:t>r</w:t>
      </w:r>
      <w:r w:rsidRPr="007422C9">
        <w:rPr>
          <w:lang w:eastAsia="fr-FR" w:bidi="fr-FR"/>
        </w:rPr>
        <w:t>rupta : quod suo plenius in loco tractabitur. Veruntamen ordine prop</w:t>
      </w:r>
      <w:r w:rsidRPr="007422C9">
        <w:rPr>
          <w:lang w:eastAsia="fr-FR" w:bidi="fr-FR"/>
        </w:rPr>
        <w:t>o</w:t>
      </w:r>
      <w:r w:rsidRPr="007422C9">
        <w:rPr>
          <w:lang w:eastAsia="fr-FR" w:bidi="fr-FR"/>
        </w:rPr>
        <w:t>sito incepta narratio exp</w:t>
      </w:r>
      <w:r w:rsidRPr="007422C9">
        <w:rPr>
          <w:lang w:eastAsia="fr-FR" w:bidi="fr-FR"/>
        </w:rPr>
        <w:t>e</w:t>
      </w:r>
      <w:r w:rsidRPr="007422C9">
        <w:rPr>
          <w:lang w:eastAsia="fr-FR" w:bidi="fr-FR"/>
        </w:rPr>
        <w:t>diatur.</w:t>
      </w:r>
    </w:p>
    <w:p w14:paraId="0B4B62EA" w14:textId="77777777" w:rsidR="00B9662D" w:rsidRDefault="00B9662D" w:rsidP="00B9662D">
      <w:pPr>
        <w:spacing w:before="120" w:after="120"/>
        <w:jc w:val="both"/>
        <w:rPr>
          <w:lang w:eastAsia="fr-FR" w:bidi="fr-FR"/>
        </w:rPr>
      </w:pPr>
      <w:r>
        <w:rPr>
          <w:lang w:eastAsia="fr-FR" w:bidi="fr-FR"/>
        </w:rPr>
        <w:br w:type="page"/>
      </w:r>
    </w:p>
    <w:p w14:paraId="661E708A" w14:textId="77777777" w:rsidR="00B9662D" w:rsidRPr="007422C9" w:rsidRDefault="00B9662D" w:rsidP="00B9662D">
      <w:pPr>
        <w:pStyle w:val="b"/>
      </w:pPr>
      <w:r w:rsidRPr="00C07431">
        <w:rPr>
          <w:lang w:eastAsia="fr-FR" w:bidi="fr-FR"/>
        </w:rPr>
        <w:t>V. De eo quod uidit in spiritu regem Dacie diuina ultione su</w:t>
      </w:r>
      <w:r w:rsidRPr="00C07431">
        <w:rPr>
          <w:lang w:eastAsia="fr-FR" w:bidi="fr-FR"/>
        </w:rPr>
        <w:t>b</w:t>
      </w:r>
      <w:r w:rsidRPr="00C07431">
        <w:rPr>
          <w:lang w:eastAsia="fr-FR" w:bidi="fr-FR"/>
        </w:rPr>
        <w:t>mersum </w:t>
      </w:r>
      <w:r>
        <w:rPr>
          <w:rStyle w:val="Appelnotedebasdep"/>
        </w:rPr>
        <w:footnoteReference w:id="1252"/>
      </w:r>
      <w:r w:rsidRPr="007422C9">
        <w:rPr>
          <w:lang w:eastAsia="fr-FR" w:bidi="fr-FR"/>
        </w:rPr>
        <w:t>.</w:t>
      </w:r>
    </w:p>
    <w:p w14:paraId="38D04D8D" w14:textId="77777777" w:rsidR="00B9662D" w:rsidRDefault="00B9662D" w:rsidP="00B9662D">
      <w:pPr>
        <w:spacing w:before="120" w:after="120"/>
        <w:jc w:val="both"/>
        <w:rPr>
          <w:lang w:eastAsia="fr-FR" w:bidi="fr-FR"/>
        </w:rPr>
      </w:pPr>
    </w:p>
    <w:p w14:paraId="2A3BF7E2" w14:textId="77777777" w:rsidR="00B9662D" w:rsidRPr="007422C9" w:rsidRDefault="00B9662D" w:rsidP="00B9662D">
      <w:pPr>
        <w:spacing w:before="120" w:after="120"/>
        <w:jc w:val="both"/>
      </w:pPr>
      <w:r w:rsidRPr="007422C9">
        <w:rPr>
          <w:lang w:eastAsia="fr-FR" w:bidi="fr-FR"/>
        </w:rPr>
        <w:t>In die gloriose festiuitatis quam in aduentu Sancti Spiritus missus de supernis serenauit ignis, rex insignis Eadwardus apud Westmona</w:t>
      </w:r>
      <w:r w:rsidRPr="007422C9">
        <w:rPr>
          <w:lang w:eastAsia="fr-FR" w:bidi="fr-FR"/>
        </w:rPr>
        <w:t>s</w:t>
      </w:r>
      <w:r w:rsidRPr="007422C9">
        <w:rPr>
          <w:lang w:eastAsia="fr-FR" w:bidi="fr-FR"/>
        </w:rPr>
        <w:t>terium</w:t>
      </w:r>
      <w:r>
        <w:rPr>
          <w:lang w:eastAsia="fr-FR" w:bidi="fr-FR"/>
        </w:rPr>
        <w:t> </w:t>
      </w:r>
      <w:r>
        <w:rPr>
          <w:rStyle w:val="Appelnotedebasdep"/>
          <w:lang w:eastAsia="fr-FR" w:bidi="fr-FR"/>
        </w:rPr>
        <w:footnoteReference w:customMarkFollows="1" w:id="1253"/>
        <w:t>a</w:t>
      </w:r>
      <w:r w:rsidRPr="007422C9">
        <w:rPr>
          <w:vertAlign w:val="superscript"/>
          <w:lang w:eastAsia="fr-FR" w:bidi="fr-FR"/>
        </w:rPr>
        <w:t xml:space="preserve"> </w:t>
      </w:r>
      <w:r w:rsidRPr="007422C9">
        <w:rPr>
          <w:lang w:eastAsia="fr-FR" w:bidi="fr-FR"/>
        </w:rPr>
        <w:t xml:space="preserve">in ecclesia beati </w:t>
      </w:r>
      <w:r>
        <w:rPr>
          <w:lang w:eastAsia="fr-FR" w:bidi="fr-FR"/>
        </w:rPr>
        <w:t>Petri</w:t>
      </w:r>
      <w:r w:rsidRPr="007422C9">
        <w:rPr>
          <w:lang w:eastAsia="fr-FR" w:bidi="fr-FR"/>
        </w:rPr>
        <w:t xml:space="preserve"> apostolorum principis agebat in sce</w:t>
      </w:r>
      <w:r w:rsidRPr="007422C9">
        <w:rPr>
          <w:lang w:eastAsia="fr-FR" w:bidi="fr-FR"/>
        </w:rPr>
        <w:t>p</w:t>
      </w:r>
      <w:r w:rsidRPr="007422C9">
        <w:rPr>
          <w:lang w:eastAsia="fr-FR" w:bidi="fr-FR"/>
        </w:rPr>
        <w:t>tris ; eoque totius Anglie duces conüuxerant et pontifices, sollempnit</w:t>
      </w:r>
      <w:r w:rsidRPr="007422C9">
        <w:rPr>
          <w:lang w:eastAsia="fr-FR" w:bidi="fr-FR"/>
        </w:rPr>
        <w:t>a</w:t>
      </w:r>
      <w:r w:rsidRPr="007422C9">
        <w:rPr>
          <w:lang w:eastAsia="fr-FR" w:bidi="fr-FR"/>
        </w:rPr>
        <w:t>tem regiam uariis diuitiarum suarum delitiis in fimbriis aureis déc</w:t>
      </w:r>
      <w:r w:rsidRPr="007422C9">
        <w:rPr>
          <w:lang w:eastAsia="fr-FR" w:bidi="fr-FR"/>
        </w:rPr>
        <w:t>o</w:t>
      </w:r>
      <w:r w:rsidRPr="007422C9">
        <w:rPr>
          <w:lang w:eastAsia="fr-FR" w:bidi="fr-FR"/>
        </w:rPr>
        <w:t>rantes. Circa horam uero eandem qua salutaris uictima agni paschalis a populo percipitur, in cachinnum</w:t>
      </w:r>
      <w:r>
        <w:rPr>
          <w:lang w:eastAsia="fr-FR" w:bidi="fr-FR"/>
        </w:rPr>
        <w:t> </w:t>
      </w:r>
      <w:r>
        <w:rPr>
          <w:rStyle w:val="Appelnotedebasdep"/>
          <w:lang w:eastAsia="fr-FR" w:bidi="fr-FR"/>
        </w:rPr>
        <w:footnoteReference w:customMarkFollows="1" w:id="1254"/>
        <w:t>b</w:t>
      </w:r>
      <w:r w:rsidRPr="007422C9">
        <w:rPr>
          <w:lang w:eastAsia="fr-FR" w:bidi="fr-FR"/>
        </w:rPr>
        <w:t xml:space="preserve"> rex gloriosus erupit immoder</w:t>
      </w:r>
      <w:r w:rsidRPr="007422C9">
        <w:rPr>
          <w:lang w:eastAsia="fr-FR" w:bidi="fr-FR"/>
        </w:rPr>
        <w:t>a</w:t>
      </w:r>
      <w:r w:rsidRPr="007422C9">
        <w:rPr>
          <w:lang w:eastAsia="fr-FR" w:bidi="fr-FR"/>
        </w:rPr>
        <w:t>tum, ita ut qui astarent mira- rentur per circuitum. Quia uero solide grauit</w:t>
      </w:r>
      <w:r w:rsidRPr="007422C9">
        <w:rPr>
          <w:lang w:eastAsia="fr-FR" w:bidi="fr-FR"/>
        </w:rPr>
        <w:t>a</w:t>
      </w:r>
      <w:r w:rsidRPr="007422C9">
        <w:rPr>
          <w:lang w:eastAsia="fr-FR" w:bidi="fr-FR"/>
        </w:rPr>
        <w:t>tis idem princeps extiterat et in illo nulla inconstantia uel leuitas app</w:t>
      </w:r>
      <w:r w:rsidRPr="007422C9">
        <w:rPr>
          <w:lang w:eastAsia="fr-FR" w:bidi="fr-FR"/>
        </w:rPr>
        <w:t>a</w:t>
      </w:r>
      <w:r w:rsidRPr="007422C9">
        <w:rPr>
          <w:lang w:eastAsia="fr-FR" w:bidi="fr-FR"/>
        </w:rPr>
        <w:t>rere consueuerat, post acta sollemp- nia a suis inquiritur que in risu significatio teneatur. « Rex » inquit « Dacie cui Sueno iuenior erat uocabulum</w:t>
      </w:r>
      <w:r>
        <w:rPr>
          <w:lang w:eastAsia="fr-FR" w:bidi="fr-FR"/>
        </w:rPr>
        <w:t> </w:t>
      </w:r>
      <w:r>
        <w:rPr>
          <w:rStyle w:val="Appelnotedebasdep"/>
        </w:rPr>
        <w:footnoteReference w:id="1255"/>
      </w:r>
      <w:r w:rsidRPr="007422C9">
        <w:rPr>
          <w:lang w:eastAsia="fr-FR" w:bidi="fr-FR"/>
        </w:rPr>
        <w:t xml:space="preserve"> cum infinita classe parauerat Anglie fines inuadere et suo principatui subiugare et, quia aui eius auis meis et proauis ext</w:t>
      </w:r>
      <w:r w:rsidRPr="007422C9">
        <w:rPr>
          <w:lang w:eastAsia="fr-FR" w:bidi="fr-FR"/>
        </w:rPr>
        <w:t>i</w:t>
      </w:r>
      <w:r w:rsidRPr="007422C9">
        <w:rPr>
          <w:lang w:eastAsia="fr-FR" w:bidi="fr-FR"/>
        </w:rPr>
        <w:t>terunt semper inimici, et ceruices meorum infesto prorsus edomare nitebatur gladio. Naues hodie conscendebat cum excercitu copioso. Cumque de prora ad nauem in quam ingredi debebat pedem extend</w:t>
      </w:r>
      <w:r w:rsidRPr="007422C9">
        <w:rPr>
          <w:lang w:eastAsia="fr-FR" w:bidi="fr-FR"/>
        </w:rPr>
        <w:t>e</w:t>
      </w:r>
      <w:r w:rsidRPr="007422C9">
        <w:rPr>
          <w:lang w:eastAsia="fr-FR" w:bidi="fr-FR"/>
        </w:rPr>
        <w:t>ret, iusto Dei iudicio, elapsus corruit, et demersus in mare miserabil</w:t>
      </w:r>
      <w:r w:rsidRPr="007422C9">
        <w:rPr>
          <w:lang w:eastAsia="fr-FR" w:bidi="fr-FR"/>
        </w:rPr>
        <w:t>i</w:t>
      </w:r>
      <w:r w:rsidRPr="007422C9">
        <w:rPr>
          <w:lang w:eastAsia="fr-FR" w:bidi="fr-FR"/>
        </w:rPr>
        <w:t>ter exspirauit. Huiusque perniciosi capitis factum est exitio ut et pleps mea ab i</w:t>
      </w:r>
      <w:r w:rsidRPr="007422C9">
        <w:rPr>
          <w:lang w:eastAsia="fr-FR" w:bidi="fr-FR"/>
        </w:rPr>
        <w:t>n</w:t>
      </w:r>
      <w:r w:rsidRPr="007422C9">
        <w:rPr>
          <w:lang w:eastAsia="fr-FR" w:bidi="fr-FR"/>
        </w:rPr>
        <w:t>fausta pernitie sit immunis et libéra, et tota Dacia ab homicidii liber</w:t>
      </w:r>
      <w:r w:rsidRPr="007422C9">
        <w:rPr>
          <w:lang w:eastAsia="fr-FR" w:bidi="fr-FR"/>
        </w:rPr>
        <w:t>e</w:t>
      </w:r>
      <w:r w:rsidRPr="007422C9">
        <w:rPr>
          <w:lang w:eastAsia="fr-FR" w:bidi="fr-FR"/>
        </w:rPr>
        <w:t>tur offensa. Hoc placuit Altissimo ut michi reueletur e celo et « siue</w:t>
      </w:r>
      <w:r>
        <w:rPr>
          <w:lang w:eastAsia="fr-FR" w:bidi="fr-FR"/>
        </w:rPr>
        <w:t xml:space="preserve"> [993] </w:t>
      </w:r>
      <w:r w:rsidRPr="007422C9">
        <w:rPr>
          <w:lang w:eastAsia="fr-FR" w:bidi="fr-FR"/>
        </w:rPr>
        <w:t>extra corpus siue in corpore »</w:t>
      </w:r>
      <w:r>
        <w:rPr>
          <w:lang w:eastAsia="fr-FR" w:bidi="fr-FR"/>
        </w:rPr>
        <w:t> </w:t>
      </w:r>
      <w:r>
        <w:rPr>
          <w:rStyle w:val="Appelnotedebasdep"/>
        </w:rPr>
        <w:footnoteReference w:id="1256"/>
      </w:r>
      <w:r w:rsidRPr="007422C9">
        <w:rPr>
          <w:lang w:eastAsia="fr-FR" w:bidi="fr-FR"/>
        </w:rPr>
        <w:t xml:space="preserve"> dignata est michi </w:t>
      </w:r>
      <w:r w:rsidRPr="007422C9">
        <w:rPr>
          <w:lang w:eastAsia="fr-FR" w:bidi="fr-FR"/>
        </w:rPr>
        <w:lastRenderedPageBreak/>
        <w:t>clauis Dauid</w:t>
      </w:r>
      <w:r>
        <w:rPr>
          <w:lang w:eastAsia="fr-FR" w:bidi="fr-FR"/>
        </w:rPr>
        <w:t> </w:t>
      </w:r>
      <w:r>
        <w:rPr>
          <w:rStyle w:val="Appelnotedebasdep"/>
        </w:rPr>
        <w:footnoteReference w:id="1257"/>
      </w:r>
      <w:r w:rsidRPr="007422C9">
        <w:rPr>
          <w:lang w:eastAsia="fr-FR" w:bidi="fr-FR"/>
        </w:rPr>
        <w:t xml:space="preserve"> clementie sue hostium reserare. In huiusmodi gaudio tripudiauit mea intentio, et quod nefando principi uersum est in perniciem Anglorum excercitui collatum est ad salutem ». Quod audientes, regni proceres qui présentes aderant legatos naualibus instruunt armamentis qui t</w:t>
      </w:r>
      <w:r w:rsidRPr="007422C9">
        <w:rPr>
          <w:lang w:eastAsia="fr-FR" w:bidi="fr-FR"/>
        </w:rPr>
        <w:t>u</w:t>
      </w:r>
      <w:r w:rsidRPr="007422C9">
        <w:rPr>
          <w:lang w:eastAsia="fr-FR" w:bidi="fr-FR"/>
        </w:rPr>
        <w:t>mescentis pelagi profunda rimentur</w:t>
      </w:r>
      <w:r>
        <w:rPr>
          <w:lang w:eastAsia="fr-FR" w:bidi="fr-FR"/>
        </w:rPr>
        <w:t> </w:t>
      </w:r>
      <w:r>
        <w:rPr>
          <w:rStyle w:val="Appelnotedebasdep"/>
          <w:lang w:eastAsia="fr-FR" w:bidi="fr-FR"/>
        </w:rPr>
        <w:footnoteReference w:customMarkFollows="1" w:id="1258"/>
        <w:t>c</w:t>
      </w:r>
      <w:r w:rsidRPr="007422C9">
        <w:rPr>
          <w:lang w:eastAsia="fr-FR" w:bidi="fr-FR"/>
        </w:rPr>
        <w:t xml:space="preserve"> et Dacie fines ingrediantur a</w:t>
      </w:r>
      <w:r w:rsidRPr="007422C9">
        <w:rPr>
          <w:lang w:eastAsia="fr-FR" w:bidi="fr-FR"/>
        </w:rPr>
        <w:t>p</w:t>
      </w:r>
      <w:r w:rsidRPr="007422C9">
        <w:rPr>
          <w:lang w:eastAsia="fr-FR" w:bidi="fr-FR"/>
        </w:rPr>
        <w:t>pulsi, regis obitum inquirant, uelocius redeant, et quid factum sit pr</w:t>
      </w:r>
      <w:r w:rsidRPr="007422C9">
        <w:rPr>
          <w:lang w:eastAsia="fr-FR" w:bidi="fr-FR"/>
        </w:rPr>
        <w:t>o</w:t>
      </w:r>
      <w:r w:rsidRPr="007422C9">
        <w:rPr>
          <w:lang w:eastAsia="fr-FR" w:bidi="fr-FR"/>
        </w:rPr>
        <w:t>loquantur. Parent iussis, uentis et uelis comitantur</w:t>
      </w:r>
      <w:r>
        <w:rPr>
          <w:lang w:eastAsia="fr-FR" w:bidi="fr-FR"/>
        </w:rPr>
        <w:t> </w:t>
      </w:r>
      <w:r>
        <w:rPr>
          <w:rStyle w:val="Appelnotedebasdep"/>
          <w:lang w:eastAsia="fr-FR" w:bidi="fr-FR"/>
        </w:rPr>
        <w:footnoteReference w:customMarkFollows="1" w:id="1259"/>
        <w:t>d</w:t>
      </w:r>
      <w:r w:rsidRPr="007422C9">
        <w:rPr>
          <w:lang w:eastAsia="fr-FR" w:bidi="fr-FR"/>
        </w:rPr>
        <w:t xml:space="preserve"> prosperis, ad D</w:t>
      </w:r>
      <w:r w:rsidRPr="007422C9">
        <w:rPr>
          <w:lang w:eastAsia="fr-FR" w:bidi="fr-FR"/>
        </w:rPr>
        <w:t>a</w:t>
      </w:r>
      <w:r w:rsidRPr="007422C9">
        <w:rPr>
          <w:lang w:eastAsia="fr-FR" w:bidi="fr-FR"/>
        </w:rPr>
        <w:t>ciam ueniunt, ita de rege repperiunt sicut Dei dignatio in populo A</w:t>
      </w:r>
      <w:r w:rsidRPr="007422C9">
        <w:rPr>
          <w:lang w:eastAsia="fr-FR" w:bidi="fr-FR"/>
        </w:rPr>
        <w:t>n</w:t>
      </w:r>
      <w:r w:rsidRPr="007422C9">
        <w:rPr>
          <w:lang w:eastAsia="fr-FR" w:bidi="fr-FR"/>
        </w:rPr>
        <w:t>glorum sancto premonstrauit Eadwardo. Huius itaque tam inmensi crebrescente fama miraculi, timor magnus super uniuersas per circu</w:t>
      </w:r>
      <w:r w:rsidRPr="007422C9">
        <w:rPr>
          <w:lang w:eastAsia="fr-FR" w:bidi="fr-FR"/>
        </w:rPr>
        <w:t>i</w:t>
      </w:r>
      <w:r w:rsidRPr="007422C9">
        <w:rPr>
          <w:lang w:eastAsia="fr-FR" w:bidi="fr-FR"/>
        </w:rPr>
        <w:t>tum nationes irruit, et ad uenerationem hominis Dei regis Eadwardi omnium animos excitauit. Tanta pertesus formidine, Danorum pri</w:t>
      </w:r>
      <w:r w:rsidRPr="007422C9">
        <w:rPr>
          <w:lang w:eastAsia="fr-FR" w:bidi="fr-FR"/>
        </w:rPr>
        <w:t>n</w:t>
      </w:r>
      <w:r w:rsidRPr="007422C9">
        <w:rPr>
          <w:lang w:eastAsia="fr-FR" w:bidi="fr-FR"/>
        </w:rPr>
        <w:t>ceps obsides exi</w:t>
      </w:r>
      <w:r>
        <w:rPr>
          <w:lang w:eastAsia="fr-FR" w:bidi="fr-FR"/>
        </w:rPr>
        <w:t>bet, sacramenta prebet, promis</w:t>
      </w:r>
      <w:r w:rsidRPr="007422C9">
        <w:rPr>
          <w:lang w:eastAsia="fr-FR" w:bidi="fr-FR"/>
        </w:rPr>
        <w:t>sam seruat dilectionem et pacem et eum ut dominum ueneratur</w:t>
      </w:r>
      <w:r>
        <w:rPr>
          <w:lang w:eastAsia="fr-FR" w:bidi="fr-FR"/>
        </w:rPr>
        <w:t> </w:t>
      </w:r>
      <w:r>
        <w:rPr>
          <w:rStyle w:val="Appelnotedebasdep"/>
          <w:lang w:eastAsia="fr-FR" w:bidi="fr-FR"/>
        </w:rPr>
        <w:footnoteReference w:customMarkFollows="1" w:id="1260"/>
        <w:t>e</w:t>
      </w:r>
      <w:r w:rsidRPr="00C848EB">
        <w:rPr>
          <w:i/>
          <w:color w:val="FF0000"/>
          <w:lang w:eastAsia="fr-FR" w:bidi="fr-FR"/>
        </w:rPr>
        <w:t>e</w:t>
      </w:r>
      <w:r w:rsidRPr="007422C9">
        <w:rPr>
          <w:lang w:eastAsia="fr-FR" w:bidi="fr-FR"/>
        </w:rPr>
        <w:t xml:space="preserve"> et patrem. Ceterarum tyra</w:t>
      </w:r>
      <w:r w:rsidRPr="007422C9">
        <w:rPr>
          <w:lang w:eastAsia="fr-FR" w:bidi="fr-FR"/>
        </w:rPr>
        <w:t>n</w:t>
      </w:r>
      <w:r w:rsidRPr="007422C9">
        <w:rPr>
          <w:lang w:eastAsia="fr-FR" w:bidi="fr-FR"/>
        </w:rPr>
        <w:t>ni et potentes insularum pacem cum ipso faciunt tantique triumphat</w:t>
      </w:r>
      <w:r w:rsidRPr="007422C9">
        <w:rPr>
          <w:lang w:eastAsia="fr-FR" w:bidi="fr-FR"/>
        </w:rPr>
        <w:t>o</w:t>
      </w:r>
      <w:r w:rsidRPr="007422C9">
        <w:rPr>
          <w:lang w:eastAsia="fr-FR" w:bidi="fr-FR"/>
        </w:rPr>
        <w:t>ris dominatum admittunt.</w:t>
      </w:r>
      <w:r>
        <w:rPr>
          <w:lang w:eastAsia="fr-FR" w:bidi="fr-FR"/>
        </w:rPr>
        <w:t xml:space="preserve"> Quibus omnibus idem regum pul</w:t>
      </w:r>
      <w:r w:rsidRPr="007422C9">
        <w:rPr>
          <w:lang w:eastAsia="fr-FR" w:bidi="fr-FR"/>
        </w:rPr>
        <w:t>cherrimus et regalia munera et donaria per annos singulos transmittebat copiosa.</w:t>
      </w:r>
    </w:p>
    <w:p w14:paraId="59A174E3" w14:textId="77777777" w:rsidR="00B9662D" w:rsidRDefault="00B9662D" w:rsidP="00B9662D">
      <w:pPr>
        <w:spacing w:before="120" w:after="120"/>
        <w:jc w:val="both"/>
        <w:rPr>
          <w:lang w:eastAsia="fr-FR" w:bidi="fr-FR"/>
        </w:rPr>
      </w:pPr>
    </w:p>
    <w:p w14:paraId="220E15DD" w14:textId="77777777" w:rsidR="00B9662D" w:rsidRPr="007422C9" w:rsidRDefault="00B9662D" w:rsidP="00B9662D">
      <w:pPr>
        <w:pStyle w:val="b"/>
      </w:pPr>
      <w:r w:rsidRPr="00C07431">
        <w:rPr>
          <w:lang w:eastAsia="fr-FR" w:bidi="fr-FR"/>
        </w:rPr>
        <w:t>VI. Quomodo de negotio romani itineris loquitur sum optimat</w:t>
      </w:r>
      <w:r w:rsidRPr="00C07431">
        <w:rPr>
          <w:lang w:eastAsia="fr-FR" w:bidi="fr-FR"/>
        </w:rPr>
        <w:t>i</w:t>
      </w:r>
      <w:r w:rsidRPr="00C07431">
        <w:rPr>
          <w:lang w:eastAsia="fr-FR" w:bidi="fr-FR"/>
        </w:rPr>
        <w:t>bus suis </w:t>
      </w:r>
      <w:r w:rsidRPr="00C05411">
        <w:rPr>
          <w:rStyle w:val="Appelnotedebasdep"/>
          <w:i w:val="0"/>
        </w:rPr>
        <w:footnoteReference w:id="1261"/>
      </w:r>
      <w:r w:rsidRPr="007422C9">
        <w:rPr>
          <w:lang w:eastAsia="fr-FR" w:bidi="fr-FR"/>
        </w:rPr>
        <w:t>.</w:t>
      </w:r>
    </w:p>
    <w:p w14:paraId="11697A42" w14:textId="77777777" w:rsidR="00B9662D" w:rsidRDefault="00B9662D" w:rsidP="00B9662D">
      <w:pPr>
        <w:spacing w:before="120" w:after="120"/>
        <w:jc w:val="both"/>
        <w:rPr>
          <w:lang w:eastAsia="fr-FR" w:bidi="fr-FR"/>
        </w:rPr>
      </w:pPr>
    </w:p>
    <w:p w14:paraId="1683E795" w14:textId="77777777" w:rsidR="00B9662D" w:rsidRPr="007422C9" w:rsidRDefault="00B9662D" w:rsidP="00B9662D">
      <w:pPr>
        <w:spacing w:before="120" w:after="120"/>
        <w:jc w:val="both"/>
      </w:pPr>
      <w:r w:rsidRPr="007422C9">
        <w:rPr>
          <w:lang w:eastAsia="fr-FR" w:bidi="fr-FR"/>
        </w:rPr>
        <w:t>Confirmatus féliciter in throno regni secundum uoluntatem Dei, ad postulanda Rome summorum apostolor</w:t>
      </w:r>
      <w:r>
        <w:rPr>
          <w:lang w:eastAsia="fr-FR" w:bidi="fr-FR"/>
        </w:rPr>
        <w:t>um patrocinia rex sumptus n</w:t>
      </w:r>
      <w:r>
        <w:rPr>
          <w:lang w:eastAsia="fr-FR" w:bidi="fr-FR"/>
        </w:rPr>
        <w:t>e</w:t>
      </w:r>
      <w:r>
        <w:rPr>
          <w:lang w:eastAsia="fr-FR" w:bidi="fr-FR"/>
        </w:rPr>
        <w:t>ces</w:t>
      </w:r>
      <w:r w:rsidRPr="007422C9">
        <w:rPr>
          <w:lang w:eastAsia="fr-FR" w:bidi="fr-FR"/>
        </w:rPr>
        <w:t>sarios pr</w:t>
      </w:r>
      <w:r>
        <w:rPr>
          <w:lang w:eastAsia="fr-FR" w:bidi="fr-FR"/>
        </w:rPr>
        <w:t>e</w:t>
      </w:r>
      <w:r w:rsidRPr="007422C9">
        <w:rPr>
          <w:lang w:eastAsia="fr-FR" w:bidi="fr-FR"/>
        </w:rPr>
        <w:t>par</w:t>
      </w:r>
      <w:r>
        <w:rPr>
          <w:lang w:eastAsia="fr-FR" w:bidi="fr-FR"/>
        </w:rPr>
        <w:t>a</w:t>
      </w:r>
      <w:r w:rsidRPr="007422C9">
        <w:rPr>
          <w:lang w:eastAsia="fr-FR" w:bidi="fr-FR"/>
        </w:rPr>
        <w:t>t, quos in itinere sue peregrinationis expendat. Et quia per prophetam prolatum nouerat « uouete et reddite Domino Deo uestro »</w:t>
      </w:r>
      <w:r>
        <w:rPr>
          <w:lang w:eastAsia="fr-FR" w:bidi="fr-FR"/>
        </w:rPr>
        <w:t> </w:t>
      </w:r>
      <w:r>
        <w:rPr>
          <w:rStyle w:val="Appelnotedebasdep"/>
        </w:rPr>
        <w:footnoteReference w:id="1262"/>
      </w:r>
      <w:r w:rsidRPr="007422C9">
        <w:rPr>
          <w:lang w:eastAsia="fr-FR" w:bidi="fr-FR"/>
        </w:rPr>
        <w:t>, et idem in Normannia adhuc adolescens fecerat uotum, so</w:t>
      </w:r>
      <w:r w:rsidRPr="007422C9">
        <w:rPr>
          <w:lang w:eastAsia="fr-FR" w:bidi="fr-FR"/>
        </w:rPr>
        <w:t>l</w:t>
      </w:r>
      <w:r w:rsidRPr="007422C9">
        <w:rPr>
          <w:lang w:eastAsia="fr-FR" w:bidi="fr-FR"/>
        </w:rPr>
        <w:t>licita sedulitate perducere satagebat ad effectum ; habitoque in unum et collecto illustrium uirorum concilio, huiusmodi sermone attentos reddidit et negotio presenti suspensos : « Ego » inquit « Ead</w:t>
      </w:r>
      <w:r w:rsidRPr="007422C9">
        <w:rPr>
          <w:lang w:eastAsia="fr-FR" w:bidi="fr-FR"/>
        </w:rPr>
        <w:lastRenderedPageBreak/>
        <w:t>wardus, Edelredi filius, gracia Dei Anglorum rex, futuris post me regibus et omnium dignitatum gradibus omniumque etatum hominibus. Non latet uos, dilectissimi, huius rei notitia quod tempore patris mei multa et grauia bellorum pericula gentem nostram afïlixerunt, et tam a suis quam ab extraneis ad extremum pene ducta est exitium. Adeo autem hec malitia creuit in terra ut tota fere hereditaria regum successio sit deleta. Nam inter me et fratrem meum Eadmundum qui patri defuncto successit diuturnum factum est intersticium, inuadentibus regnum Sueone et Cnuto</w:t>
      </w:r>
      <w:r>
        <w:rPr>
          <w:lang w:eastAsia="fr-FR" w:bidi="fr-FR"/>
        </w:rPr>
        <w:t> </w:t>
      </w:r>
      <w:r>
        <w:rPr>
          <w:rStyle w:val="Appelnotedebasdep"/>
          <w:lang w:eastAsia="fr-FR" w:bidi="fr-FR"/>
        </w:rPr>
        <w:footnoteReference w:customMarkFollows="1" w:id="1263"/>
        <w:t>a</w:t>
      </w:r>
      <w:r w:rsidRPr="007422C9">
        <w:rPr>
          <w:lang w:eastAsia="fr-FR" w:bidi="fr-FR"/>
        </w:rPr>
        <w:t xml:space="preserve"> filio eius regibus Danorum</w:t>
      </w:r>
      <w:r>
        <w:rPr>
          <w:lang w:eastAsia="fr-FR" w:bidi="fr-FR"/>
        </w:rPr>
        <w:t> </w:t>
      </w:r>
      <w:r>
        <w:rPr>
          <w:rStyle w:val="Appelnotedebasdep"/>
        </w:rPr>
        <w:footnoteReference w:id="1264"/>
      </w:r>
      <w:r w:rsidRPr="007422C9">
        <w:rPr>
          <w:lang w:eastAsia="fr-FR" w:bidi="fr-FR"/>
        </w:rPr>
        <w:t>. Quorum factione et filiorum suorum imperio frater meus Aluredus interemptus occubuit, et, sicut Ioas occisionem Otholie, sic illorum crudelitatem ego</w:t>
      </w:r>
      <w:r>
        <w:rPr>
          <w:lang w:eastAsia="fr-FR" w:bidi="fr-FR"/>
        </w:rPr>
        <w:t xml:space="preserve"> [994] </w:t>
      </w:r>
      <w:r w:rsidRPr="007422C9">
        <w:rPr>
          <w:lang w:eastAsia="fr-FR" w:bidi="fr-FR"/>
        </w:rPr>
        <w:t>solus euasi. Tandem, respectu misericordie Dei, post plures annos ad regnum paternum redii, et, eo sine aliquo preliorum labore potitus, sicut amabilis quondam Deo Salomon tanta pace et rerum opulentia quanta hodie uidetis abundaui. Nullus enim antecedentium regum coequari michi potuit in gloria et diuitiis, neque, ut assolet, ex opule</w:t>
      </w:r>
      <w:r w:rsidRPr="007422C9">
        <w:rPr>
          <w:lang w:eastAsia="fr-FR" w:bidi="fr-FR"/>
        </w:rPr>
        <w:t>n</w:t>
      </w:r>
      <w:r w:rsidRPr="007422C9">
        <w:rPr>
          <w:lang w:eastAsia="fr-FR" w:bidi="fr-FR"/>
        </w:rPr>
        <w:t>tia subrepsit contemptus anime superbientis. Cepi itaque recogitare cuius dono et auxilio ad regni culmen euasi, « quoniam Dei est r</w:t>
      </w:r>
      <w:r w:rsidRPr="007422C9">
        <w:rPr>
          <w:lang w:eastAsia="fr-FR" w:bidi="fr-FR"/>
        </w:rPr>
        <w:t>e</w:t>
      </w:r>
      <w:r w:rsidRPr="007422C9">
        <w:rPr>
          <w:lang w:eastAsia="fr-FR" w:bidi="fr-FR"/>
        </w:rPr>
        <w:t>gnum</w:t>
      </w:r>
      <w:r>
        <w:rPr>
          <w:lang w:eastAsia="fr-FR" w:bidi="fr-FR"/>
        </w:rPr>
        <w:t> » </w:t>
      </w:r>
      <w:r>
        <w:rPr>
          <w:rStyle w:val="Appelnotedebasdep"/>
        </w:rPr>
        <w:footnoteReference w:id="1265"/>
      </w:r>
      <w:r w:rsidRPr="007422C9">
        <w:rPr>
          <w:lang w:eastAsia="fr-FR" w:bidi="fr-FR"/>
        </w:rPr>
        <w:t xml:space="preserve"> et cui uult dat illud, et quia « mundus transit et concupisce</w:t>
      </w:r>
      <w:r w:rsidRPr="007422C9">
        <w:rPr>
          <w:lang w:eastAsia="fr-FR" w:bidi="fr-FR"/>
        </w:rPr>
        <w:t>n</w:t>
      </w:r>
      <w:r w:rsidRPr="007422C9">
        <w:rPr>
          <w:lang w:eastAsia="fr-FR" w:bidi="fr-FR"/>
        </w:rPr>
        <w:t>tia eius »</w:t>
      </w:r>
      <w:r>
        <w:rPr>
          <w:lang w:eastAsia="fr-FR" w:bidi="fr-FR"/>
        </w:rPr>
        <w:t> </w:t>
      </w:r>
      <w:r>
        <w:rPr>
          <w:rStyle w:val="Appelnotedebasdep"/>
        </w:rPr>
        <w:footnoteReference w:id="1266"/>
      </w:r>
      <w:r w:rsidRPr="007422C9">
        <w:rPr>
          <w:lang w:eastAsia="fr-FR" w:bidi="fr-FR"/>
        </w:rPr>
        <w:t> ; qui autem se totum subdit Deo féliciter r</w:t>
      </w:r>
      <w:r>
        <w:rPr>
          <w:lang w:eastAsia="fr-FR" w:bidi="fr-FR"/>
        </w:rPr>
        <w:t>eg</w:t>
      </w:r>
      <w:r w:rsidRPr="007422C9">
        <w:rPr>
          <w:lang w:eastAsia="fr-FR" w:bidi="fr-FR"/>
        </w:rPr>
        <w:t>n</w:t>
      </w:r>
      <w:r>
        <w:rPr>
          <w:lang w:eastAsia="fr-FR" w:bidi="fr-FR"/>
        </w:rPr>
        <w:t>at</w:t>
      </w:r>
      <w:r w:rsidRPr="007422C9">
        <w:rPr>
          <w:lang w:eastAsia="fr-FR" w:bidi="fr-FR"/>
        </w:rPr>
        <w:t xml:space="preserve"> et perp</w:t>
      </w:r>
      <w:r w:rsidRPr="007422C9">
        <w:rPr>
          <w:lang w:eastAsia="fr-FR" w:bidi="fr-FR"/>
        </w:rPr>
        <w:t>e</w:t>
      </w:r>
      <w:r w:rsidRPr="007422C9">
        <w:rPr>
          <w:lang w:eastAsia="fr-FR" w:bidi="fr-FR"/>
        </w:rPr>
        <w:t>tualiter diues est. Igitur deliberaui me iturum ad limina sublimium apostolorum P</w:t>
      </w:r>
      <w:r>
        <w:rPr>
          <w:lang w:eastAsia="fr-FR" w:bidi="fr-FR"/>
        </w:rPr>
        <w:t>et</w:t>
      </w:r>
      <w:r w:rsidRPr="007422C9">
        <w:rPr>
          <w:lang w:eastAsia="fr-FR" w:bidi="fr-FR"/>
        </w:rPr>
        <w:t>ri et Pauli, et ibi pro collatis gracias agere beneficiis et exorare ut eam pacem firmaret Deus perpetuam michi et posteris meis. Preparaui ergo et dinumeraui expensas itineri necessarias et h</w:t>
      </w:r>
      <w:r w:rsidRPr="007422C9">
        <w:rPr>
          <w:lang w:eastAsia="fr-FR" w:bidi="fr-FR"/>
        </w:rPr>
        <w:t>o</w:t>
      </w:r>
      <w:r w:rsidRPr="007422C9">
        <w:rPr>
          <w:lang w:eastAsia="fr-FR" w:bidi="fr-FR"/>
        </w:rPr>
        <w:t>norabilia que beatis apostolis feram donaria. « Votum uoui Deo I</w:t>
      </w:r>
      <w:r w:rsidRPr="007422C9">
        <w:rPr>
          <w:lang w:eastAsia="fr-FR" w:bidi="fr-FR"/>
        </w:rPr>
        <w:t>a</w:t>
      </w:r>
      <w:r w:rsidRPr="007422C9">
        <w:rPr>
          <w:lang w:eastAsia="fr-FR" w:bidi="fr-FR"/>
        </w:rPr>
        <w:t>cob »</w:t>
      </w:r>
      <w:r>
        <w:rPr>
          <w:lang w:eastAsia="fr-FR" w:bidi="fr-FR"/>
        </w:rPr>
        <w:t> </w:t>
      </w:r>
      <w:r>
        <w:rPr>
          <w:rStyle w:val="Appelnotedebasdep"/>
        </w:rPr>
        <w:footnoteReference w:id="1267"/>
      </w:r>
      <w:r w:rsidRPr="007422C9">
        <w:rPr>
          <w:lang w:eastAsia="fr-FR" w:bidi="fr-FR"/>
        </w:rPr>
        <w:t>, quod uestro consilio persoluendum est pariter et ausilio ».</w:t>
      </w:r>
    </w:p>
    <w:p w14:paraId="5D57FC0B" w14:textId="77777777" w:rsidR="00B9662D" w:rsidRDefault="00B9662D" w:rsidP="00B9662D">
      <w:pPr>
        <w:spacing w:before="120" w:after="120"/>
        <w:jc w:val="both"/>
        <w:rPr>
          <w:lang w:eastAsia="fr-FR" w:bidi="fr-FR"/>
        </w:rPr>
      </w:pPr>
    </w:p>
    <w:p w14:paraId="136D25B0" w14:textId="77777777" w:rsidR="00B9662D" w:rsidRPr="007422C9" w:rsidRDefault="00B9662D" w:rsidP="00B9662D">
      <w:pPr>
        <w:pStyle w:val="b"/>
      </w:pPr>
      <w:r>
        <w:rPr>
          <w:lang w:eastAsia="fr-FR" w:bidi="fr-FR"/>
        </w:rPr>
        <w:t xml:space="preserve">VII. </w:t>
      </w:r>
      <w:r w:rsidRPr="007422C9">
        <w:rPr>
          <w:lang w:eastAsia="fr-FR" w:bidi="fr-FR"/>
        </w:rPr>
        <w:t>Responsum procerum et de priuilegio Leonis pape.</w:t>
      </w:r>
    </w:p>
    <w:p w14:paraId="5D4B95CC" w14:textId="77777777" w:rsidR="00B9662D" w:rsidRDefault="00B9662D" w:rsidP="00B9662D">
      <w:pPr>
        <w:spacing w:before="120" w:after="120"/>
        <w:jc w:val="both"/>
        <w:rPr>
          <w:lang w:eastAsia="fr-FR" w:bidi="fr-FR"/>
        </w:rPr>
      </w:pPr>
    </w:p>
    <w:p w14:paraId="37BE8A2D" w14:textId="77777777" w:rsidR="00B9662D" w:rsidRPr="007422C9" w:rsidRDefault="00B9662D" w:rsidP="00B9662D">
      <w:pPr>
        <w:spacing w:before="120" w:after="120"/>
        <w:jc w:val="both"/>
      </w:pPr>
      <w:r w:rsidRPr="007422C9">
        <w:rPr>
          <w:lang w:eastAsia="fr-FR" w:bidi="fr-FR"/>
        </w:rPr>
        <w:t>Auditis itaque sermonibus regis graui merore populus omnis afïl</w:t>
      </w:r>
      <w:r w:rsidRPr="007422C9">
        <w:rPr>
          <w:lang w:eastAsia="fr-FR" w:bidi="fr-FR"/>
        </w:rPr>
        <w:t>i</w:t>
      </w:r>
      <w:r w:rsidRPr="007422C9">
        <w:rPr>
          <w:lang w:eastAsia="fr-FR" w:bidi="fr-FR"/>
        </w:rPr>
        <w:t>gitur, et inmenso cordis dolore uehementer consternatur. Vnde pont</w:t>
      </w:r>
      <w:r w:rsidRPr="007422C9">
        <w:rPr>
          <w:lang w:eastAsia="fr-FR" w:bidi="fr-FR"/>
        </w:rPr>
        <w:t>i</w:t>
      </w:r>
      <w:r w:rsidRPr="007422C9">
        <w:rPr>
          <w:lang w:eastAsia="fr-FR" w:bidi="fr-FR"/>
        </w:rPr>
        <w:t>fices et duces et ceteri sapientes regni, memores malorum que sub aliis regibus pertulerant, in huius absentia hec iterum uentura form</w:t>
      </w:r>
      <w:r w:rsidRPr="007422C9">
        <w:rPr>
          <w:lang w:eastAsia="fr-FR" w:bidi="fr-FR"/>
        </w:rPr>
        <w:t>i</w:t>
      </w:r>
      <w:r w:rsidRPr="007422C9">
        <w:rPr>
          <w:lang w:eastAsia="fr-FR" w:bidi="fr-FR"/>
        </w:rPr>
        <w:t>dabant. Inuitos ergo et renitentes se tanto principe et tam pio patrie pâtre carere, proclamabant quia sedatum nouiter regnum aliqua host</w:t>
      </w:r>
      <w:r w:rsidRPr="007422C9">
        <w:rPr>
          <w:lang w:eastAsia="fr-FR" w:bidi="fr-FR"/>
        </w:rPr>
        <w:t>i</w:t>
      </w:r>
      <w:r w:rsidRPr="007422C9">
        <w:rPr>
          <w:lang w:eastAsia="fr-FR" w:bidi="fr-FR"/>
        </w:rPr>
        <w:t>litate turbandum aut regem in uia aliquo incommodo metuebant per</w:t>
      </w:r>
      <w:r w:rsidRPr="007422C9">
        <w:rPr>
          <w:lang w:eastAsia="fr-FR" w:bidi="fr-FR"/>
        </w:rPr>
        <w:t>i</w:t>
      </w:r>
      <w:r w:rsidRPr="007422C9">
        <w:rPr>
          <w:lang w:eastAsia="fr-FR" w:bidi="fr-FR"/>
        </w:rPr>
        <w:t>turum. Hoc uero si aliquo casu contingeret, hereditarios reges terra deinceps non haberet. Hinc est quod, habito communiter inter eos consilio, rogabant ut ab hac penitus intencione desisteret, pollicentes se Deo satisfacturos pro uoto, orationum et elemosinarum coaceruato fructu copioso. Contradixit rex hoc quanto tempore potuit, quia R</w:t>
      </w:r>
      <w:r w:rsidRPr="007422C9">
        <w:rPr>
          <w:lang w:eastAsia="fr-FR" w:bidi="fr-FR"/>
        </w:rPr>
        <w:t>o</w:t>
      </w:r>
      <w:r w:rsidRPr="007422C9">
        <w:rPr>
          <w:lang w:eastAsia="fr-FR" w:bidi="fr-FR"/>
        </w:rPr>
        <w:t>mam deuotis gressibus gestiebat inuisere et sese beatorum apostol</w:t>
      </w:r>
      <w:r w:rsidRPr="007422C9">
        <w:rPr>
          <w:lang w:eastAsia="fr-FR" w:bidi="fr-FR"/>
        </w:rPr>
        <w:t>o</w:t>
      </w:r>
      <w:r w:rsidRPr="007422C9">
        <w:rPr>
          <w:lang w:eastAsia="fr-FR" w:bidi="fr-FR"/>
        </w:rPr>
        <w:t>rum patrocinio presentare. Motus tamen suorum fletibus, et suspiriis populorum et precibus omnium in comu ne deuictus, uoluntati illorum ad tempus adquieuit, et honorabiles Romam legatos summo pontifici transmittere decreuit. Hac tamen usus est condicione, ut domino pape eius insinuarent et uoluntatem et uotum, et secundum sen- tentiam eius scirent proceres omnino se deinceps esse facturum. Ab utraque ergo parte electi sunt antistites uenerandi Aldredus uidelicet Ebor</w:t>
      </w:r>
      <w:r w:rsidRPr="007422C9">
        <w:rPr>
          <w:lang w:eastAsia="fr-FR" w:bidi="fr-FR"/>
        </w:rPr>
        <w:t>a</w:t>
      </w:r>
      <w:r w:rsidRPr="007422C9">
        <w:rPr>
          <w:lang w:eastAsia="fr-FR" w:bidi="fr-FR"/>
        </w:rPr>
        <w:t>censis et Hermannus Wiltoniensis</w:t>
      </w:r>
      <w:r>
        <w:rPr>
          <w:lang w:eastAsia="fr-FR" w:bidi="fr-FR"/>
        </w:rPr>
        <w:t> </w:t>
      </w:r>
      <w:r>
        <w:rPr>
          <w:rStyle w:val="Appelnotedebasdep"/>
          <w:lang w:eastAsia="fr-FR" w:bidi="fr-FR"/>
        </w:rPr>
        <w:footnoteReference w:customMarkFollows="1" w:id="1268"/>
        <w:t>a</w:t>
      </w:r>
      <w:r w:rsidRPr="007422C9">
        <w:rPr>
          <w:lang w:eastAsia="fr-FR" w:bidi="fr-FR"/>
        </w:rPr>
        <w:t xml:space="preserve"> totidemque religiosi abbates, quos hic propter uocabulorum barbariem nominare pretermisimus</w:t>
      </w:r>
      <w:r>
        <w:rPr>
          <w:lang w:eastAsia="fr-FR" w:bidi="fr-FR"/>
        </w:rPr>
        <w:t> </w:t>
      </w:r>
      <w:r>
        <w:rPr>
          <w:rStyle w:val="Appelnotedebasdep"/>
        </w:rPr>
        <w:footnoteReference w:id="1269"/>
      </w:r>
      <w:r w:rsidRPr="007422C9">
        <w:rPr>
          <w:lang w:eastAsia="fr-FR" w:bidi="fr-FR"/>
        </w:rPr>
        <w:t>. Inper</w:t>
      </w:r>
      <w:r w:rsidRPr="007422C9">
        <w:rPr>
          <w:lang w:eastAsia="fr-FR" w:bidi="fr-FR"/>
        </w:rPr>
        <w:t>a</w:t>
      </w:r>
      <w:r w:rsidRPr="007422C9">
        <w:rPr>
          <w:lang w:eastAsia="fr-FR" w:bidi="fr-FR"/>
        </w:rPr>
        <w:t>tur eis</w:t>
      </w:r>
      <w:r>
        <w:rPr>
          <w:lang w:eastAsia="fr-FR" w:bidi="fr-FR"/>
        </w:rPr>
        <w:t xml:space="preserve"> </w:t>
      </w:r>
      <w:r>
        <w:t>[</w:t>
      </w:r>
      <w:r w:rsidRPr="007422C9">
        <w:rPr>
          <w:lang w:eastAsia="fr-FR" w:bidi="fr-FR"/>
        </w:rPr>
        <w:t>995</w:t>
      </w:r>
      <w:r>
        <w:rPr>
          <w:lang w:eastAsia="fr-FR" w:bidi="fr-FR"/>
        </w:rPr>
        <w:t xml:space="preserve">] </w:t>
      </w:r>
      <w:r w:rsidRPr="007422C9">
        <w:rPr>
          <w:lang w:eastAsia="fr-FR" w:bidi="fr-FR"/>
        </w:rPr>
        <w:t>ut iniunctum sibi strennue et fideliter opus arripiant, et ad terram natiui- tatis proprie perfectis negotiis redire citius non omittant. V</w:t>
      </w:r>
      <w:r w:rsidRPr="007422C9">
        <w:rPr>
          <w:lang w:eastAsia="fr-FR" w:bidi="fr-FR"/>
        </w:rPr>
        <w:t>e</w:t>
      </w:r>
      <w:r w:rsidRPr="007422C9">
        <w:rPr>
          <w:lang w:eastAsia="fr-FR" w:bidi="fr-FR"/>
        </w:rPr>
        <w:t>niunt itaque legati et ex uoluntate Dei synodum maximam in eadem inuenerunt urbe collectam. Erant enim cc</w:t>
      </w:r>
      <w:r w:rsidRPr="007422C9">
        <w:rPr>
          <w:vertAlign w:val="superscript"/>
          <w:lang w:eastAsia="fr-FR" w:bidi="fr-FR"/>
        </w:rPr>
        <w:t>tl</w:t>
      </w:r>
      <w:r w:rsidRPr="007422C9">
        <w:rPr>
          <w:lang w:eastAsia="fr-FR" w:bidi="fr-FR"/>
        </w:rPr>
        <w:t xml:space="preserve"> l</w:t>
      </w:r>
      <w:r>
        <w:rPr>
          <w:lang w:eastAsia="fr-FR" w:bidi="fr-FR"/>
        </w:rPr>
        <w:t> </w:t>
      </w:r>
      <w:r>
        <w:rPr>
          <w:rStyle w:val="Appelnotedebasdep"/>
          <w:lang w:eastAsia="fr-FR" w:bidi="fr-FR"/>
        </w:rPr>
        <w:footnoteReference w:customMarkFollows="1" w:id="1270"/>
        <w:t>a</w:t>
      </w:r>
      <w:r w:rsidRPr="007422C9">
        <w:rPr>
          <w:lang w:eastAsia="fr-FR" w:bidi="fr-FR"/>
        </w:rPr>
        <w:t xml:space="preserve"> parres, patriarcharum, archiepiscoporum, episcoporum, abbatum, et diuersarum dignitatum, et ecclesiastici ordinis uniuersi. Excepit ergo legatos beatus papa Léo cum sollempni tripudio eorumque causam diligenter audiuit sanctoque régi Anglorum Eadwardo in hec uerba rescripsit : « Léo episcopus, seruus seruorum Dei, dilecto filio Eadwardo Anglorum régi salutem et apostolicam benedictionem. Quoniam uoluntatem tuam laudabilem et Deo gratam agnouimus, gracias agimus Ei per quem reges régnant et principes iusta decernunt</w:t>
      </w:r>
      <w:r>
        <w:rPr>
          <w:lang w:eastAsia="fr-FR" w:bidi="fr-FR"/>
        </w:rPr>
        <w:t> </w:t>
      </w:r>
      <w:r>
        <w:rPr>
          <w:rStyle w:val="Appelnotedebasdep"/>
        </w:rPr>
        <w:footnoteReference w:id="1271"/>
      </w:r>
      <w:r w:rsidRPr="007422C9">
        <w:rPr>
          <w:lang w:eastAsia="fr-FR" w:bidi="fr-FR"/>
        </w:rPr>
        <w:t>. Set quia « prope est Dominus » in omni loco « omnibus inuocantibus eum in ueritate »</w:t>
      </w:r>
      <w:r>
        <w:rPr>
          <w:lang w:eastAsia="fr-FR" w:bidi="fr-FR"/>
        </w:rPr>
        <w:t> </w:t>
      </w:r>
      <w:r>
        <w:rPr>
          <w:rStyle w:val="Appelnotedebasdep"/>
        </w:rPr>
        <w:footnoteReference w:id="1272"/>
      </w:r>
      <w:r w:rsidRPr="007422C9">
        <w:rPr>
          <w:lang w:eastAsia="fr-FR" w:bidi="fr-FR"/>
        </w:rPr>
        <w:t>, et sancti apostoli cum suo capite coniuncti unus spiritus sunt et pias preces equa- liter audiunt, et quia constat periclitari regionem anglicam ex tua disces- sione, qui freno iusticie sediciosos eius motus coibes, ex auctoritate</w:t>
      </w:r>
      <w:r>
        <w:rPr>
          <w:lang w:eastAsia="fr-FR" w:bidi="fr-FR"/>
        </w:rPr>
        <w:t> </w:t>
      </w:r>
      <w:r>
        <w:rPr>
          <w:rStyle w:val="Appelnotedebasdep"/>
          <w:lang w:eastAsia="fr-FR" w:bidi="fr-FR"/>
        </w:rPr>
        <w:footnoteReference w:customMarkFollows="1" w:id="1273"/>
        <w:t>b</w:t>
      </w:r>
      <w:r w:rsidRPr="007422C9">
        <w:rPr>
          <w:lang w:eastAsia="fr-FR" w:bidi="fr-FR"/>
        </w:rPr>
        <w:t xml:space="preserve"> Dei et sanctorum apostolorum et sancte synodi absoluimus te a pecc</w:t>
      </w:r>
      <w:r w:rsidRPr="007422C9">
        <w:rPr>
          <w:lang w:eastAsia="fr-FR" w:bidi="fr-FR"/>
        </w:rPr>
        <w:t>a</w:t>
      </w:r>
      <w:r w:rsidRPr="007422C9">
        <w:rPr>
          <w:lang w:eastAsia="fr-FR" w:bidi="fr-FR"/>
        </w:rPr>
        <w:t>to illius uoti pro quo Dei ofîensam times et ab omnibus negligentiis et iniquitatibus tuis, ea nimirum potestate usi quam Dominus in beato Petro concessit nobis, dicens « quecumque solueritis super terram, erunt soluta et in celis »</w:t>
      </w:r>
      <w:r>
        <w:rPr>
          <w:lang w:eastAsia="fr-FR" w:bidi="fr-FR"/>
        </w:rPr>
        <w:t> </w:t>
      </w:r>
      <w:r>
        <w:rPr>
          <w:rStyle w:val="Appelnotedebasdep"/>
        </w:rPr>
        <w:footnoteReference w:id="1274"/>
      </w:r>
      <w:r w:rsidRPr="007422C9">
        <w:rPr>
          <w:lang w:eastAsia="fr-FR" w:bidi="fr-FR"/>
        </w:rPr>
        <w:t>. Deinde precipimus tibi sub nomine sancte obedientie et penitentie ut expensas quas ad iter istud paraueras pa</w:t>
      </w:r>
      <w:r w:rsidRPr="007422C9">
        <w:rPr>
          <w:lang w:eastAsia="fr-FR" w:bidi="fr-FR"/>
        </w:rPr>
        <w:t>u</w:t>
      </w:r>
      <w:r w:rsidRPr="007422C9">
        <w:rPr>
          <w:lang w:eastAsia="fr-FR" w:bidi="fr-FR"/>
        </w:rPr>
        <w:t>peribus eroges, et cenobium monachorum</w:t>
      </w:r>
      <w:r w:rsidRPr="007422C9">
        <w:rPr>
          <w:vertAlign w:val="superscript"/>
          <w:lang w:eastAsia="fr-FR" w:bidi="fr-FR"/>
        </w:rPr>
        <w:t>c</w:t>
      </w:r>
      <w:r w:rsidRPr="007422C9">
        <w:rPr>
          <w:lang w:eastAsia="fr-FR" w:bidi="fr-FR"/>
        </w:rPr>
        <w:t xml:space="preserve"> in honorem sancti </w:t>
      </w:r>
      <w:r>
        <w:rPr>
          <w:lang w:eastAsia="fr-FR" w:bidi="fr-FR"/>
        </w:rPr>
        <w:t>Petri</w:t>
      </w:r>
      <w:r w:rsidRPr="007422C9">
        <w:rPr>
          <w:lang w:eastAsia="fr-FR" w:bidi="fr-FR"/>
        </w:rPr>
        <w:t xml:space="preserve"> apostolorum principis aut nouum construas aut uetustum emendes et augeas,</w:t>
      </w:r>
      <w:r>
        <w:rPr>
          <w:lang w:eastAsia="fr-FR" w:bidi="fr-FR"/>
        </w:rPr>
        <w:t xml:space="preserve"> et sufîicientia uictualium fra</w:t>
      </w:r>
      <w:r w:rsidRPr="007422C9">
        <w:rPr>
          <w:lang w:eastAsia="fr-FR" w:bidi="fr-FR"/>
        </w:rPr>
        <w:t>tribus de tuis redditibus const</w:t>
      </w:r>
      <w:r w:rsidRPr="007422C9">
        <w:rPr>
          <w:lang w:eastAsia="fr-FR" w:bidi="fr-FR"/>
        </w:rPr>
        <w:t>i</w:t>
      </w:r>
      <w:r w:rsidRPr="007422C9">
        <w:rPr>
          <w:lang w:eastAsia="fr-FR" w:bidi="fr-FR"/>
        </w:rPr>
        <w:t>tuas, quatinus, dum illi assidue inibi Deum laudauerint, et sanctis a</w:t>
      </w:r>
      <w:r w:rsidRPr="007422C9">
        <w:rPr>
          <w:lang w:eastAsia="fr-FR" w:bidi="fr-FR"/>
        </w:rPr>
        <w:t>u</w:t>
      </w:r>
      <w:r w:rsidRPr="007422C9">
        <w:rPr>
          <w:lang w:eastAsia="fr-FR" w:bidi="fr-FR"/>
        </w:rPr>
        <w:t>geatur gloria et tibi indulgentia. Cui loco quicquit contuleris uel coll</w:t>
      </w:r>
      <w:r w:rsidRPr="007422C9">
        <w:rPr>
          <w:lang w:eastAsia="fr-FR" w:bidi="fr-FR"/>
        </w:rPr>
        <w:t>a</w:t>
      </w:r>
      <w:r w:rsidRPr="007422C9">
        <w:rPr>
          <w:lang w:eastAsia="fr-FR" w:bidi="fr-FR"/>
        </w:rPr>
        <w:t>tum est uel confertur ut ratum sit apostolica auctoritate precipimus, et ut semper habitatio monachorum sit et nulli laice per- sone nisi r</w:t>
      </w:r>
      <w:r>
        <w:rPr>
          <w:lang w:eastAsia="fr-FR" w:bidi="fr-FR"/>
        </w:rPr>
        <w:t>e</w:t>
      </w:r>
      <w:r w:rsidRPr="007422C9">
        <w:rPr>
          <w:lang w:eastAsia="fr-FR" w:bidi="fr-FR"/>
        </w:rPr>
        <w:t>gi subdatur ; et quecumque priuilegia ibi instituere uolueris ad honorem Dei pertinentia concedimus et robustissima auctoritate confirma- mus et infractores eorum eterna maledictione dampnamus ». Apostolica itaque benedictione donati ad natale solum, ut premisimus, cum pro</w:t>
      </w:r>
      <w:r w:rsidRPr="007422C9">
        <w:rPr>
          <w:lang w:eastAsia="fr-FR" w:bidi="fr-FR"/>
        </w:rPr>
        <w:t>s</w:t>
      </w:r>
      <w:r w:rsidRPr="007422C9">
        <w:rPr>
          <w:lang w:eastAsia="fr-FR" w:bidi="fr-FR"/>
        </w:rPr>
        <w:t>peritate redierunt nuntii, a quibus accepta sancti Leonis epistola par</w:t>
      </w:r>
      <w:r w:rsidRPr="007422C9">
        <w:rPr>
          <w:lang w:eastAsia="fr-FR" w:bidi="fr-FR"/>
        </w:rPr>
        <w:t>i</w:t>
      </w:r>
      <w:r w:rsidRPr="007422C9">
        <w:rPr>
          <w:lang w:eastAsia="fr-FR" w:bidi="fr-FR"/>
        </w:rPr>
        <w:t>ter et audita, gratulati sunt pontifices et proceres uniuersi.</w:t>
      </w:r>
    </w:p>
    <w:p w14:paraId="23C7BCBC" w14:textId="77777777" w:rsidR="00B9662D" w:rsidRDefault="00B9662D" w:rsidP="00B9662D">
      <w:pPr>
        <w:spacing w:before="120" w:after="120"/>
        <w:jc w:val="both"/>
        <w:rPr>
          <w:lang w:eastAsia="fr-FR" w:bidi="fr-FR"/>
        </w:rPr>
      </w:pPr>
      <w:r>
        <w:rPr>
          <w:lang w:eastAsia="fr-FR" w:bidi="fr-FR"/>
        </w:rPr>
        <w:br w:type="page"/>
      </w:r>
    </w:p>
    <w:p w14:paraId="40A050B6" w14:textId="77777777" w:rsidR="00B9662D" w:rsidRPr="007422C9" w:rsidRDefault="00B9662D" w:rsidP="00B9662D">
      <w:pPr>
        <w:pStyle w:val="b"/>
      </w:pPr>
      <w:r w:rsidRPr="008B4658">
        <w:rPr>
          <w:lang w:eastAsia="fr-FR" w:bidi="fr-FR"/>
        </w:rPr>
        <w:t>VIII. Reuelatio</w:t>
      </w:r>
      <w:r>
        <w:rPr>
          <w:lang w:eastAsia="fr-FR" w:bidi="fr-FR"/>
        </w:rPr>
        <w:t xml:space="preserve"> que facta est uiro Dei incluso</w:t>
      </w:r>
      <w:r>
        <w:rPr>
          <w:lang w:eastAsia="fr-FR" w:bidi="fr-FR"/>
        </w:rPr>
        <w:br/>
      </w:r>
      <w:r w:rsidRPr="008B4658">
        <w:rPr>
          <w:lang w:eastAsia="fr-FR" w:bidi="fr-FR"/>
        </w:rPr>
        <w:t>de sancto rege Eadwardo </w:t>
      </w:r>
      <w:r>
        <w:rPr>
          <w:rStyle w:val="Appelnotedebasdep"/>
        </w:rPr>
        <w:footnoteReference w:id="1275"/>
      </w:r>
      <w:r w:rsidRPr="007422C9">
        <w:rPr>
          <w:lang w:eastAsia="fr-FR" w:bidi="fr-FR"/>
        </w:rPr>
        <w:t>.</w:t>
      </w:r>
    </w:p>
    <w:p w14:paraId="61453CD8" w14:textId="77777777" w:rsidR="00B9662D" w:rsidRDefault="00B9662D" w:rsidP="00B9662D">
      <w:pPr>
        <w:spacing w:before="120" w:after="120"/>
        <w:jc w:val="both"/>
        <w:rPr>
          <w:lang w:eastAsia="fr-FR" w:bidi="fr-FR"/>
        </w:rPr>
      </w:pPr>
    </w:p>
    <w:p w14:paraId="383C056F" w14:textId="77777777" w:rsidR="00B9662D" w:rsidRDefault="00B9662D" w:rsidP="00B9662D">
      <w:pPr>
        <w:spacing w:before="120" w:after="120"/>
        <w:jc w:val="both"/>
        <w:rPr>
          <w:lang w:eastAsia="fr-FR" w:bidi="fr-FR"/>
        </w:rPr>
      </w:pPr>
      <w:r w:rsidRPr="007422C9">
        <w:rPr>
          <w:lang w:eastAsia="fr-FR" w:bidi="fr-FR"/>
        </w:rPr>
        <w:t>Interea beatus Petrus princeps apostolici ordinis apparuit cuidam in solitudine multis pro Christo annorum curriculis inclusio pure et pr</w:t>
      </w:r>
      <w:r w:rsidRPr="007422C9">
        <w:rPr>
          <w:lang w:eastAsia="fr-FR" w:bidi="fr-FR"/>
        </w:rPr>
        <w:t>o</w:t>
      </w:r>
      <w:r w:rsidRPr="007422C9">
        <w:rPr>
          <w:lang w:eastAsia="fr-FR" w:bidi="fr-FR"/>
        </w:rPr>
        <w:t>babilis uite monacho, nomine Wlsino</w:t>
      </w:r>
      <w:r>
        <w:rPr>
          <w:lang w:eastAsia="fr-FR" w:bidi="fr-FR"/>
        </w:rPr>
        <w:t> </w:t>
      </w:r>
      <w:r>
        <w:rPr>
          <w:rStyle w:val="Appelnotedebasdep"/>
        </w:rPr>
        <w:footnoteReference w:id="1276"/>
      </w:r>
      <w:r w:rsidRPr="007422C9">
        <w:rPr>
          <w:lang w:eastAsia="fr-FR" w:bidi="fr-FR"/>
        </w:rPr>
        <w:t>, eique precepit ut rex secu</w:t>
      </w:r>
      <w:r w:rsidRPr="007422C9">
        <w:rPr>
          <w:lang w:eastAsia="fr-FR" w:bidi="fr-FR"/>
        </w:rPr>
        <w:t>n</w:t>
      </w:r>
      <w:r w:rsidRPr="007422C9">
        <w:rPr>
          <w:lang w:eastAsia="fr-FR" w:bidi="fr-FR"/>
        </w:rPr>
        <w:t>dum litteras</w:t>
      </w:r>
      <w:r>
        <w:t xml:space="preserve"> [996] </w:t>
      </w:r>
      <w:r w:rsidRPr="007422C9">
        <w:rPr>
          <w:lang w:eastAsia="fr-FR" w:bidi="fr-FR"/>
        </w:rPr>
        <w:t>romani pontificis ageret et quod sibi mandauerat adinplere non di</w:t>
      </w:r>
      <w:r w:rsidRPr="007422C9">
        <w:rPr>
          <w:lang w:eastAsia="fr-FR" w:bidi="fr-FR"/>
        </w:rPr>
        <w:t>f</w:t>
      </w:r>
      <w:r w:rsidRPr="007422C9">
        <w:rPr>
          <w:lang w:eastAsia="fr-FR" w:bidi="fr-FR"/>
        </w:rPr>
        <w:t>f</w:t>
      </w:r>
      <w:r>
        <w:rPr>
          <w:lang w:eastAsia="fr-FR" w:bidi="fr-FR"/>
        </w:rPr>
        <w:t>e</w:t>
      </w:r>
      <w:r w:rsidRPr="007422C9">
        <w:rPr>
          <w:lang w:eastAsia="fr-FR" w:bidi="fr-FR"/>
        </w:rPr>
        <w:t>r</w:t>
      </w:r>
      <w:r>
        <w:rPr>
          <w:lang w:eastAsia="fr-FR" w:bidi="fr-FR"/>
        </w:rPr>
        <w:t>a</w:t>
      </w:r>
      <w:r w:rsidRPr="007422C9">
        <w:rPr>
          <w:lang w:eastAsia="fr-FR" w:bidi="fr-FR"/>
        </w:rPr>
        <w:t>t</w:t>
      </w:r>
      <w:r>
        <w:rPr>
          <w:lang w:eastAsia="fr-FR" w:bidi="fr-FR"/>
        </w:rPr>
        <w:t> </w:t>
      </w:r>
      <w:r>
        <w:rPr>
          <w:rStyle w:val="Appelnotedebasdep"/>
          <w:lang w:eastAsia="fr-FR" w:bidi="fr-FR"/>
        </w:rPr>
        <w:footnoteReference w:customMarkFollows="1" w:id="1277"/>
        <w:t>a</w:t>
      </w:r>
      <w:r w:rsidRPr="007422C9">
        <w:rPr>
          <w:lang w:eastAsia="fr-FR" w:bidi="fr-FR"/>
        </w:rPr>
        <w:t>. « Hec » inquit apostolus « uoluntas mea est ut uices meas efficaciter suppléas et ad regem Eadwardum uelociter mi</w:t>
      </w:r>
      <w:r w:rsidRPr="007422C9">
        <w:rPr>
          <w:lang w:eastAsia="fr-FR" w:bidi="fr-FR"/>
        </w:rPr>
        <w:t>t</w:t>
      </w:r>
      <w:r w:rsidRPr="007422C9">
        <w:rPr>
          <w:lang w:eastAsia="fr-FR" w:bidi="fr-FR"/>
        </w:rPr>
        <w:t>tas. Ex meo hoc ei preceptum institue mandato ut monasterium meum in suburbio Lundonie antiquitus collocatum celsioribus reparet et re</w:t>
      </w:r>
      <w:r w:rsidRPr="007422C9">
        <w:rPr>
          <w:lang w:eastAsia="fr-FR" w:bidi="fr-FR"/>
        </w:rPr>
        <w:t>s</w:t>
      </w:r>
      <w:r w:rsidRPr="007422C9">
        <w:rPr>
          <w:lang w:eastAsia="fr-FR" w:bidi="fr-FR"/>
        </w:rPr>
        <w:t>truat edificiis, quod iam pene deletum est temporibus uetustatis</w:t>
      </w:r>
      <w:r>
        <w:rPr>
          <w:lang w:eastAsia="fr-FR" w:bidi="fr-FR"/>
        </w:rPr>
        <w:t> </w:t>
      </w:r>
      <w:r>
        <w:rPr>
          <w:rStyle w:val="Appelnotedebasdep"/>
          <w:lang w:eastAsia="fr-FR" w:bidi="fr-FR"/>
        </w:rPr>
        <w:footnoteReference w:customMarkFollows="1" w:id="1278"/>
        <w:t>b</w:t>
      </w:r>
      <w:r w:rsidRPr="007422C9">
        <w:rPr>
          <w:lang w:eastAsia="fr-FR" w:bidi="fr-FR"/>
        </w:rPr>
        <w:t>. Ab occidua parte ciuitatis in insula quadam que Torneia dicitur situs est locus ille, ha</w:t>
      </w:r>
      <w:r w:rsidRPr="007422C9">
        <w:rPr>
          <w:lang w:eastAsia="fr-FR" w:bidi="fr-FR"/>
        </w:rPr>
        <w:t>c</w:t>
      </w:r>
      <w:r w:rsidRPr="007422C9">
        <w:rPr>
          <w:lang w:eastAsia="fr-FR" w:bidi="fr-FR"/>
        </w:rPr>
        <w:t>que de causa ab incolis Westmo- nasterium nominatur. Non est eadem habitatio diuitiis locuples terrenis, set ingenti thesauro et copia sanct</w:t>
      </w:r>
      <w:r w:rsidRPr="007422C9">
        <w:rPr>
          <w:lang w:eastAsia="fr-FR" w:bidi="fr-FR"/>
        </w:rPr>
        <w:t>i</w:t>
      </w:r>
      <w:r w:rsidRPr="007422C9">
        <w:rPr>
          <w:lang w:eastAsia="fr-FR" w:bidi="fr-FR"/>
        </w:rPr>
        <w:t>tatis. Hanc olim michi edem sacraui, hanc in Anglia specialiter elegi. Hanc pro peccatorum suorum remissione sublimior</w:t>
      </w:r>
      <w:r w:rsidRPr="007422C9">
        <w:rPr>
          <w:lang w:eastAsia="fr-FR" w:bidi="fr-FR"/>
        </w:rPr>
        <w:t>i</w:t>
      </w:r>
      <w:r w:rsidRPr="007422C9">
        <w:rPr>
          <w:lang w:eastAsia="fr-FR" w:bidi="fr-FR"/>
        </w:rPr>
        <w:t>bus erigat fastigiis et nouis denuo amplificet fundamentis ». Hucusque uerba apostoli, que per inclusum mandata sunt régi. De cetero in W</w:t>
      </w:r>
      <w:r w:rsidRPr="007422C9">
        <w:rPr>
          <w:lang w:eastAsia="fr-FR" w:bidi="fr-FR"/>
        </w:rPr>
        <w:t>i</w:t>
      </w:r>
      <w:r w:rsidRPr="007422C9">
        <w:rPr>
          <w:lang w:eastAsia="fr-FR" w:bidi="fr-FR"/>
        </w:rPr>
        <w:t>gornensi prouincia</w:t>
      </w:r>
      <w:r>
        <w:rPr>
          <w:lang w:eastAsia="fr-FR" w:bidi="fr-FR"/>
        </w:rPr>
        <w:t> </w:t>
      </w:r>
      <w:r>
        <w:rPr>
          <w:rStyle w:val="Appelnotedebasdep"/>
        </w:rPr>
        <w:footnoteReference w:id="1279"/>
      </w:r>
      <w:r w:rsidRPr="007422C9">
        <w:rPr>
          <w:lang w:eastAsia="fr-FR" w:bidi="fr-FR"/>
        </w:rPr>
        <w:t>, longe distans a ciuitate Loundonia, uir iste diu</w:t>
      </w:r>
      <w:r w:rsidRPr="007422C9">
        <w:rPr>
          <w:lang w:eastAsia="fr-FR" w:bidi="fr-FR"/>
        </w:rPr>
        <w:t>i</w:t>
      </w:r>
      <w:r w:rsidRPr="007422C9">
        <w:rPr>
          <w:lang w:eastAsia="fr-FR" w:bidi="fr-FR"/>
        </w:rPr>
        <w:t>nis in specu su</w:t>
      </w:r>
      <w:r w:rsidRPr="007422C9">
        <w:rPr>
          <w:lang w:eastAsia="fr-FR" w:bidi="fr-FR"/>
        </w:rPr>
        <w:t>b</w:t>
      </w:r>
      <w:r w:rsidRPr="007422C9">
        <w:rPr>
          <w:lang w:eastAsia="fr-FR" w:bidi="fr-FR"/>
        </w:rPr>
        <w:t>terraneo mancipatus erat obsequiis, ubi et reuelatio facta est tam beate et gloriose uisionis. Scripsit ergo régi totum ex o</w:t>
      </w:r>
      <w:r w:rsidRPr="007422C9">
        <w:rPr>
          <w:lang w:eastAsia="fr-FR" w:bidi="fr-FR"/>
        </w:rPr>
        <w:t>r</w:t>
      </w:r>
      <w:r w:rsidRPr="007422C9">
        <w:rPr>
          <w:lang w:eastAsia="fr-FR" w:bidi="fr-FR"/>
        </w:rPr>
        <w:t>dine sicut superius retuli, et quemadmodum seriatim textum ueritatis ut decuit explanauit. Eodem uero die, eodem loco, eodemque concilio quo legati cum beati Leonis epistola a romanis menibus redierunt, u</w:t>
      </w:r>
      <w:r w:rsidRPr="007422C9">
        <w:rPr>
          <w:lang w:eastAsia="fr-FR" w:bidi="fr-FR"/>
        </w:rPr>
        <w:t>e</w:t>
      </w:r>
      <w:r w:rsidRPr="007422C9">
        <w:rPr>
          <w:lang w:eastAsia="fr-FR" w:bidi="fr-FR"/>
        </w:rPr>
        <w:t>nerunt et scripta Christi confessoris inclusi, que coram rege et primis totius Anglie le</w:t>
      </w:r>
      <w:r w:rsidRPr="007422C9">
        <w:rPr>
          <w:lang w:eastAsia="fr-FR" w:bidi="fr-FR"/>
        </w:rPr>
        <w:t>c</w:t>
      </w:r>
      <w:r w:rsidRPr="007422C9">
        <w:rPr>
          <w:lang w:eastAsia="fr-FR" w:bidi="fr-FR"/>
        </w:rPr>
        <w:t>ta sunt, et ab uniuersis audita. Fit letitia grandis in populo, quia decr</w:t>
      </w:r>
      <w:r w:rsidRPr="007422C9">
        <w:rPr>
          <w:lang w:eastAsia="fr-FR" w:bidi="fr-FR"/>
        </w:rPr>
        <w:t>e</w:t>
      </w:r>
      <w:r w:rsidRPr="007422C9">
        <w:rPr>
          <w:lang w:eastAsia="fr-FR" w:bidi="fr-FR"/>
        </w:rPr>
        <w:t>tis Apostolici concordat apostolica reuelatio, rexque securior quiescit ab itinere quod agendum decreuerat longa peregrin</w:t>
      </w:r>
      <w:r w:rsidRPr="007422C9">
        <w:rPr>
          <w:lang w:eastAsia="fr-FR" w:bidi="fr-FR"/>
        </w:rPr>
        <w:t>a</w:t>
      </w:r>
      <w:r w:rsidRPr="007422C9">
        <w:rPr>
          <w:lang w:eastAsia="fr-FR" w:bidi="fr-FR"/>
        </w:rPr>
        <w:t>cione. Laudat e</w:t>
      </w:r>
      <w:r w:rsidRPr="007422C9">
        <w:rPr>
          <w:lang w:eastAsia="fr-FR" w:bidi="fr-FR"/>
        </w:rPr>
        <w:t>r</w:t>
      </w:r>
      <w:r w:rsidRPr="007422C9">
        <w:rPr>
          <w:lang w:eastAsia="fr-FR" w:bidi="fr-FR"/>
        </w:rPr>
        <w:t>go Deum gloriosus princeps Eadwardus in sanctis suis mirabilem</w:t>
      </w:r>
      <w:r>
        <w:rPr>
          <w:lang w:eastAsia="fr-FR" w:bidi="fr-FR"/>
        </w:rPr>
        <w:t> </w:t>
      </w:r>
      <w:r>
        <w:rPr>
          <w:rStyle w:val="Appelnotedebasdep"/>
        </w:rPr>
        <w:footnoteReference w:id="1280"/>
      </w:r>
      <w:r w:rsidRPr="007422C9">
        <w:rPr>
          <w:lang w:eastAsia="fr-FR" w:bidi="fr-FR"/>
        </w:rPr>
        <w:t>, qui sese per pontificem summum beatum Leonem et a uoto quod t</w:t>
      </w:r>
      <w:r w:rsidRPr="007422C9">
        <w:rPr>
          <w:lang w:eastAsia="fr-FR" w:bidi="fr-FR"/>
        </w:rPr>
        <w:t>i</w:t>
      </w:r>
      <w:r w:rsidRPr="007422C9">
        <w:rPr>
          <w:lang w:eastAsia="fr-FR" w:bidi="fr-FR"/>
        </w:rPr>
        <w:t>mebat absoluit et, ne de hoc ambigeret, ulterius celesti uisione confi</w:t>
      </w:r>
      <w:r w:rsidRPr="007422C9">
        <w:rPr>
          <w:lang w:eastAsia="fr-FR" w:bidi="fr-FR"/>
        </w:rPr>
        <w:t>r</w:t>
      </w:r>
      <w:r w:rsidRPr="007422C9">
        <w:rPr>
          <w:lang w:eastAsia="fr-FR" w:bidi="fr-FR"/>
        </w:rPr>
        <w:t>mauit. Remanet itaque triumpho pariter potitus et regno, et nouo operi construendo mentem applicat et opes ad hoc larga manu dispensât. Per eum plurima Christus operatur magnalia preteritis te</w:t>
      </w:r>
      <w:r w:rsidRPr="007422C9">
        <w:rPr>
          <w:lang w:eastAsia="fr-FR" w:bidi="fr-FR"/>
        </w:rPr>
        <w:t>m</w:t>
      </w:r>
      <w:r w:rsidRPr="007422C9">
        <w:rPr>
          <w:lang w:eastAsia="fr-FR" w:bidi="fr-FR"/>
        </w:rPr>
        <w:t>poribus Angl</w:t>
      </w:r>
      <w:r w:rsidRPr="007422C9">
        <w:rPr>
          <w:lang w:eastAsia="fr-FR" w:bidi="fr-FR"/>
        </w:rPr>
        <w:t>o</w:t>
      </w:r>
      <w:r w:rsidRPr="007422C9">
        <w:rPr>
          <w:lang w:eastAsia="fr-FR" w:bidi="fr-FR"/>
        </w:rPr>
        <w:t>rum populis rétro inaudita. Ex quibus unum huic seriei dignum dux</w:t>
      </w:r>
      <w:r w:rsidRPr="007422C9">
        <w:rPr>
          <w:lang w:eastAsia="fr-FR" w:bidi="fr-FR"/>
        </w:rPr>
        <w:t>i</w:t>
      </w:r>
      <w:r w:rsidRPr="007422C9">
        <w:rPr>
          <w:lang w:eastAsia="fr-FR" w:bidi="fr-FR"/>
        </w:rPr>
        <w:t>mus inserendum, in quo maiestas regia quam demissa pro Christo et humilis extiterit animaduertentibus liquido satis apparebit.</w:t>
      </w:r>
    </w:p>
    <w:p w14:paraId="71A93A6E" w14:textId="77777777" w:rsidR="00B9662D" w:rsidRPr="007422C9" w:rsidRDefault="00B9662D" w:rsidP="00B9662D">
      <w:pPr>
        <w:spacing w:before="120" w:after="120"/>
        <w:jc w:val="both"/>
      </w:pPr>
    </w:p>
    <w:p w14:paraId="04337644" w14:textId="77777777" w:rsidR="00B9662D" w:rsidRPr="007422C9" w:rsidRDefault="00B9662D" w:rsidP="00B9662D">
      <w:pPr>
        <w:pStyle w:val="b"/>
      </w:pPr>
      <w:r>
        <w:rPr>
          <w:lang w:eastAsia="fr-FR" w:bidi="fr-FR"/>
        </w:rPr>
        <w:t xml:space="preserve">IX. </w:t>
      </w:r>
      <w:r w:rsidRPr="00F43309">
        <w:rPr>
          <w:lang w:eastAsia="fr-FR" w:bidi="fr-FR"/>
        </w:rPr>
        <w:t>De contracto quem rex beati apostolorum principis imperio super dorsum suum baiulauit </w:t>
      </w:r>
      <w:r>
        <w:rPr>
          <w:rStyle w:val="Appelnotedebasdep"/>
        </w:rPr>
        <w:footnoteReference w:id="1281"/>
      </w:r>
      <w:r w:rsidRPr="007422C9">
        <w:rPr>
          <w:lang w:eastAsia="fr-FR" w:bidi="fr-FR"/>
        </w:rPr>
        <w:t>.</w:t>
      </w:r>
    </w:p>
    <w:p w14:paraId="454CBC2F" w14:textId="77777777" w:rsidR="00B9662D" w:rsidRDefault="00B9662D" w:rsidP="00B9662D">
      <w:pPr>
        <w:spacing w:before="120" w:after="120"/>
        <w:jc w:val="both"/>
        <w:rPr>
          <w:lang w:eastAsia="fr-FR" w:bidi="fr-FR"/>
        </w:rPr>
      </w:pPr>
    </w:p>
    <w:p w14:paraId="2BDC3ABB" w14:textId="77777777" w:rsidR="00B9662D" w:rsidRPr="007422C9" w:rsidRDefault="00B9662D" w:rsidP="00B9662D">
      <w:pPr>
        <w:spacing w:before="120" w:after="120"/>
        <w:jc w:val="both"/>
      </w:pPr>
      <w:r w:rsidRPr="007422C9">
        <w:rPr>
          <w:lang w:eastAsia="fr-FR" w:bidi="fr-FR"/>
        </w:rPr>
        <w:t xml:space="preserve">Cum rex gloriosus et laudabilis héros Eadwardus esset aliquando in sede sua regia secus ecclesiam beati </w:t>
      </w:r>
      <w:r>
        <w:rPr>
          <w:lang w:eastAsia="fr-FR" w:bidi="fr-FR"/>
        </w:rPr>
        <w:t>Petri</w:t>
      </w:r>
      <w:r w:rsidRPr="007422C9">
        <w:rPr>
          <w:lang w:eastAsia="fr-FR" w:bidi="fr-FR"/>
        </w:rPr>
        <w:t xml:space="preserve"> apostoli, uenit quidam Gillo- michael a natiuitate miserabiliter contractus, natibus eius talis coherentibus et carnibus articulis infixis ; accedensque ad Hugolinum qui cubicularius regis erat</w:t>
      </w:r>
      <w:r>
        <w:rPr>
          <w:lang w:eastAsia="fr-FR" w:bidi="fr-FR"/>
        </w:rPr>
        <w:t> </w:t>
      </w:r>
      <w:r>
        <w:rPr>
          <w:rStyle w:val="Appelnotedebasdep"/>
        </w:rPr>
        <w:footnoteReference w:id="1282"/>
      </w:r>
      <w:r w:rsidRPr="007422C9">
        <w:rPr>
          <w:lang w:eastAsia="fr-FR" w:bidi="fr-FR"/>
        </w:rPr>
        <w:t>, suam régi necessitatem supplicauit exp</w:t>
      </w:r>
      <w:r w:rsidRPr="007422C9">
        <w:rPr>
          <w:lang w:eastAsia="fr-FR" w:bidi="fr-FR"/>
        </w:rPr>
        <w:t>o</w:t>
      </w:r>
      <w:r>
        <w:rPr>
          <w:lang w:eastAsia="fr-FR" w:bidi="fr-FR"/>
        </w:rPr>
        <w:t>nere et uisio</w:t>
      </w:r>
      <w:r w:rsidRPr="007422C9">
        <w:rPr>
          <w:lang w:eastAsia="fr-FR" w:bidi="fr-FR"/>
        </w:rPr>
        <w:t>nem quam uiderat cercius intimare. « Iam sexies</w:t>
      </w:r>
      <w:r>
        <w:rPr>
          <w:lang w:eastAsia="fr-FR" w:bidi="fr-FR"/>
        </w:rPr>
        <w:t> </w:t>
      </w:r>
      <w:r>
        <w:rPr>
          <w:rStyle w:val="Appelnotedebasdep"/>
          <w:lang w:eastAsia="fr-FR" w:bidi="fr-FR"/>
        </w:rPr>
        <w:footnoteReference w:customMarkFollows="1" w:id="1283"/>
        <w:t>a</w:t>
      </w:r>
      <w:r w:rsidRPr="007422C9">
        <w:rPr>
          <w:lang w:eastAsia="fr-FR" w:bidi="fr-FR"/>
        </w:rPr>
        <w:t> » i</w:t>
      </w:r>
      <w:r w:rsidRPr="007422C9">
        <w:rPr>
          <w:lang w:eastAsia="fr-FR" w:bidi="fr-FR"/>
        </w:rPr>
        <w:t>n</w:t>
      </w:r>
      <w:r w:rsidRPr="007422C9">
        <w:rPr>
          <w:lang w:eastAsia="fr-FR" w:bidi="fr-FR"/>
        </w:rPr>
        <w:t>quit « summorum</w:t>
      </w:r>
      <w:r>
        <w:t xml:space="preserve"> [</w:t>
      </w:r>
      <w:r w:rsidRPr="007422C9">
        <w:rPr>
          <w:lang w:eastAsia="fr-FR" w:bidi="fr-FR"/>
        </w:rPr>
        <w:t>997</w:t>
      </w:r>
      <w:r>
        <w:rPr>
          <w:lang w:eastAsia="fr-FR" w:bidi="fr-FR"/>
        </w:rPr>
        <w:t xml:space="preserve">] </w:t>
      </w:r>
      <w:r w:rsidRPr="007422C9">
        <w:rPr>
          <w:lang w:eastAsia="fr-FR" w:bidi="fr-FR"/>
        </w:rPr>
        <w:t>apostolorum Rome liminibus astiti, septimamque uicem modo explere contendi. Hybernensis sum natione, inobs et a</w:t>
      </w:r>
      <w:r w:rsidRPr="007422C9">
        <w:rPr>
          <w:lang w:eastAsia="fr-FR" w:bidi="fr-FR"/>
        </w:rPr>
        <w:t>n</w:t>
      </w:r>
      <w:r w:rsidRPr="007422C9">
        <w:rPr>
          <w:lang w:eastAsia="fr-FR" w:bidi="fr-FR"/>
        </w:rPr>
        <w:t>xius in egritud</w:t>
      </w:r>
      <w:r w:rsidRPr="007422C9">
        <w:rPr>
          <w:lang w:eastAsia="fr-FR" w:bidi="fr-FR"/>
        </w:rPr>
        <w:t>i</w:t>
      </w:r>
      <w:r w:rsidRPr="007422C9">
        <w:rPr>
          <w:lang w:eastAsia="fr-FR" w:bidi="fr-FR"/>
        </w:rPr>
        <w:t>ne, quem paupertas deprimit, et rei familiaris inopia et utriusque sortis miseria dupplicata. Vade igitur ad gloriosum regem, ad hominem ui</w:t>
      </w:r>
      <w:r w:rsidRPr="007422C9">
        <w:rPr>
          <w:lang w:eastAsia="fr-FR" w:bidi="fr-FR"/>
        </w:rPr>
        <w:t>s</w:t>
      </w:r>
      <w:r w:rsidRPr="007422C9">
        <w:rPr>
          <w:lang w:eastAsia="fr-FR" w:bidi="fr-FR"/>
        </w:rPr>
        <w:t>ceribus pietatis insignem, expone fideliter quo dolore torqueor et quit in illo Dei uirtutis amplector. Mandatum sollempne dat illi beatus Petrus apostolus, ut me tergo suo superiniectum a pal</w:t>
      </w:r>
      <w:r w:rsidRPr="007422C9">
        <w:rPr>
          <w:lang w:eastAsia="fr-FR" w:bidi="fr-FR"/>
        </w:rPr>
        <w:t>a</w:t>
      </w:r>
      <w:r w:rsidRPr="007422C9">
        <w:rPr>
          <w:lang w:eastAsia="fr-FR" w:bidi="fr-FR"/>
        </w:rPr>
        <w:t>tio regali ad eccl</w:t>
      </w:r>
      <w:r w:rsidRPr="007422C9">
        <w:rPr>
          <w:lang w:eastAsia="fr-FR" w:bidi="fr-FR"/>
        </w:rPr>
        <w:t>e</w:t>
      </w:r>
      <w:r w:rsidRPr="007422C9">
        <w:rPr>
          <w:lang w:eastAsia="fr-FR" w:bidi="fr-FR"/>
        </w:rPr>
        <w:t>siam ferat apostoli ; contingetque michi ex aduersa ualitudine tanti uiri meritis liberari ». Procedit uelociter cubicularius ad regem, refert u</w:t>
      </w:r>
      <w:r w:rsidRPr="007422C9">
        <w:rPr>
          <w:lang w:eastAsia="fr-FR" w:bidi="fr-FR"/>
        </w:rPr>
        <w:t>i</w:t>
      </w:r>
      <w:r w:rsidRPr="007422C9">
        <w:rPr>
          <w:lang w:eastAsia="fr-FR" w:bidi="fr-FR"/>
        </w:rPr>
        <w:t>sionem. Aduoçat princeps inopem, facturus denuo locupletem. Dorso seminecem inicit, et se iumentum Domini pauperi substernit. Cum subito distenduntur nerui, rumpuntur uene, carnes scinduntur, sanguis defluit, sospitas redit, regalia uestimenta intingu</w:t>
      </w:r>
      <w:r w:rsidRPr="007422C9">
        <w:rPr>
          <w:lang w:eastAsia="fr-FR" w:bidi="fr-FR"/>
        </w:rPr>
        <w:t>n</w:t>
      </w:r>
      <w:r w:rsidRPr="007422C9">
        <w:rPr>
          <w:lang w:eastAsia="fr-FR" w:bidi="fr-FR"/>
        </w:rPr>
        <w:t>tur, rogant proceres ut onus reiciat, languidum expo- nat ; clamant et ingeminant, currunt et insistunt regem dedecere quod baiulat, et huiusmodi onus admonent ut omittat</w:t>
      </w:r>
      <w:r>
        <w:rPr>
          <w:lang w:eastAsia="fr-FR" w:bidi="fr-FR"/>
        </w:rPr>
        <w:t> </w:t>
      </w:r>
      <w:r>
        <w:rPr>
          <w:rStyle w:val="Appelnotedebasdep"/>
          <w:lang w:eastAsia="fr-FR" w:bidi="fr-FR"/>
        </w:rPr>
        <w:footnoteReference w:customMarkFollows="1" w:id="1284"/>
        <w:t>b</w:t>
      </w:r>
      <w:r>
        <w:rPr>
          <w:i/>
          <w:lang w:eastAsia="fr-FR" w:bidi="fr-FR"/>
        </w:rPr>
        <w:t>.</w:t>
      </w:r>
      <w:r w:rsidRPr="007422C9">
        <w:rPr>
          <w:lang w:eastAsia="fr-FR" w:bidi="fr-FR"/>
        </w:rPr>
        <w:t xml:space="preserve"> Rex uero non adquiescit uoc</w:t>
      </w:r>
      <w:r w:rsidRPr="007422C9">
        <w:rPr>
          <w:lang w:eastAsia="fr-FR" w:bidi="fr-FR"/>
        </w:rPr>
        <w:t>i</w:t>
      </w:r>
      <w:r w:rsidRPr="007422C9">
        <w:rPr>
          <w:lang w:eastAsia="fr-FR" w:bidi="fr-FR"/>
        </w:rPr>
        <w:t>bus populi. « Nec iustum » inquit « ut transiliam mandatum apostoli ; set exequar quod iussit, et complebo quod mandauit ». Festinansque ad ecclesiam, ante altare beati principis apostolorum onus suum exp</w:t>
      </w:r>
      <w:r w:rsidRPr="007422C9">
        <w:rPr>
          <w:lang w:eastAsia="fr-FR" w:bidi="fr-FR"/>
        </w:rPr>
        <w:t>o</w:t>
      </w:r>
      <w:r w:rsidRPr="007422C9">
        <w:rPr>
          <w:lang w:eastAsia="fr-FR" w:bidi="fr-FR"/>
        </w:rPr>
        <w:t>suit, et Deo pro miraculo gracias egit. Erat ipsa die in ecclesia secret</w:t>
      </w:r>
      <w:r w:rsidRPr="007422C9">
        <w:rPr>
          <w:lang w:eastAsia="fr-FR" w:bidi="fr-FR"/>
        </w:rPr>
        <w:t>a</w:t>
      </w:r>
      <w:r w:rsidRPr="007422C9">
        <w:rPr>
          <w:lang w:eastAsia="fr-FR" w:bidi="fr-FR"/>
        </w:rPr>
        <w:t>rii functus officio quidam Dei seruus nomine Gaufridus, qui ante s</w:t>
      </w:r>
      <w:r w:rsidRPr="007422C9">
        <w:rPr>
          <w:lang w:eastAsia="fr-FR" w:bidi="fr-FR"/>
        </w:rPr>
        <w:t>a</w:t>
      </w:r>
      <w:r w:rsidRPr="007422C9">
        <w:rPr>
          <w:lang w:eastAsia="fr-FR" w:bidi="fr-FR"/>
        </w:rPr>
        <w:t>cram apostolorum principis aram sedulus excubabat, et contriti cordis holocaustum sacrifi- cabat Deo. Hic, accepta uelocius unda, debilem diluit et noxiis humoribus efïluentibus defecauit. Qui in modico te</w:t>
      </w:r>
      <w:r w:rsidRPr="007422C9">
        <w:rPr>
          <w:lang w:eastAsia="fr-FR" w:bidi="fr-FR"/>
        </w:rPr>
        <w:t>m</w:t>
      </w:r>
      <w:r w:rsidRPr="007422C9">
        <w:rPr>
          <w:lang w:eastAsia="fr-FR" w:bidi="fr-FR"/>
        </w:rPr>
        <w:t>pore adeo conualuit ut et integer homo se super pedes erigeret et ad apostolorum limina et r</w:t>
      </w:r>
      <w:r w:rsidRPr="007422C9">
        <w:rPr>
          <w:lang w:eastAsia="fr-FR" w:bidi="fr-FR"/>
        </w:rPr>
        <w:t>o</w:t>
      </w:r>
      <w:r w:rsidRPr="007422C9">
        <w:rPr>
          <w:lang w:eastAsia="fr-FR" w:bidi="fr-FR"/>
        </w:rPr>
        <w:t>muleas arces reparatis gressibus ambularet. Ad tam ingentis miraculi presigne testi- monium et ad regis meritum efficacius comprobandum, et scanna quibus repserat suspensa sunt in ecclesia ibique per tempora uisa sunt diuturna. Inclitus autem pri</w:t>
      </w:r>
      <w:r w:rsidRPr="007422C9">
        <w:rPr>
          <w:lang w:eastAsia="fr-FR" w:bidi="fr-FR"/>
        </w:rPr>
        <w:t>n</w:t>
      </w:r>
      <w:r w:rsidRPr="007422C9">
        <w:rPr>
          <w:lang w:eastAsia="fr-FR" w:bidi="fr-FR"/>
        </w:rPr>
        <w:t>ceps, non sibi set beato deputans celorum ianitori, gracias agens Deo rediit ad palatium et emaculate sunt uestes eius suorum manibus m</w:t>
      </w:r>
      <w:r w:rsidRPr="007422C9">
        <w:rPr>
          <w:lang w:eastAsia="fr-FR" w:bidi="fr-FR"/>
        </w:rPr>
        <w:t>i</w:t>
      </w:r>
      <w:r w:rsidRPr="007422C9">
        <w:rPr>
          <w:lang w:eastAsia="fr-FR" w:bidi="fr-FR"/>
        </w:rPr>
        <w:t>nistrorum. Competit huic mirac</w:t>
      </w:r>
      <w:r w:rsidRPr="007422C9">
        <w:rPr>
          <w:lang w:eastAsia="fr-FR" w:bidi="fr-FR"/>
        </w:rPr>
        <w:t>u</w:t>
      </w:r>
      <w:r w:rsidRPr="007422C9">
        <w:rPr>
          <w:lang w:eastAsia="fr-FR" w:bidi="fr-FR"/>
        </w:rPr>
        <w:t>lo illud insigne miraculum quod in actibus apostolorum legitur, qua</w:t>
      </w:r>
      <w:r w:rsidRPr="007422C9">
        <w:rPr>
          <w:lang w:eastAsia="fr-FR" w:bidi="fr-FR"/>
        </w:rPr>
        <w:t>n</w:t>
      </w:r>
      <w:r w:rsidRPr="007422C9">
        <w:rPr>
          <w:lang w:eastAsia="fr-FR" w:bidi="fr-FR"/>
        </w:rPr>
        <w:t>do Petrus aurum et argentum se non habere perhibuit et infirmo qui claudus ex utero matris natus fuerat in nomine Ihesu Christi Nazareni ad speciosam portam templi bases et plantas instaurait</w:t>
      </w:r>
      <w:r>
        <w:rPr>
          <w:lang w:eastAsia="fr-FR" w:bidi="fr-FR"/>
        </w:rPr>
        <w:t> </w:t>
      </w:r>
      <w:r>
        <w:rPr>
          <w:rStyle w:val="Appelnotedebasdep"/>
        </w:rPr>
        <w:footnoteReference w:id="1285"/>
      </w:r>
      <w:r w:rsidRPr="007422C9">
        <w:rPr>
          <w:lang w:eastAsia="fr-FR" w:bidi="fr-FR"/>
        </w:rPr>
        <w:t>.</w:t>
      </w:r>
    </w:p>
    <w:p w14:paraId="3AC5E1BD" w14:textId="77777777" w:rsidR="00B9662D" w:rsidRDefault="00B9662D" w:rsidP="00B9662D">
      <w:pPr>
        <w:spacing w:before="120" w:after="120"/>
        <w:jc w:val="both"/>
        <w:rPr>
          <w:lang w:eastAsia="fr-FR" w:bidi="fr-FR"/>
        </w:rPr>
      </w:pPr>
      <w:r>
        <w:rPr>
          <w:lang w:eastAsia="fr-FR" w:bidi="fr-FR"/>
        </w:rPr>
        <w:br w:type="page"/>
      </w:r>
    </w:p>
    <w:p w14:paraId="5471E647" w14:textId="77777777" w:rsidR="00B9662D" w:rsidRPr="007422C9" w:rsidRDefault="00B9662D" w:rsidP="00B9662D">
      <w:pPr>
        <w:pStyle w:val="b"/>
      </w:pPr>
      <w:r w:rsidRPr="00F43309">
        <w:rPr>
          <w:lang w:eastAsia="fr-FR" w:bidi="fr-FR"/>
        </w:rPr>
        <w:t xml:space="preserve">X. De ecclesia sancti </w:t>
      </w:r>
      <w:r>
        <w:rPr>
          <w:lang w:eastAsia="fr-FR" w:bidi="fr-FR"/>
        </w:rPr>
        <w:t>Petri</w:t>
      </w:r>
      <w:r w:rsidRPr="00F43309">
        <w:rPr>
          <w:lang w:eastAsia="fr-FR" w:bidi="fr-FR"/>
        </w:rPr>
        <w:t xml:space="preserve"> Westmonasterii </w:t>
      </w:r>
      <w:r>
        <w:rPr>
          <w:lang w:eastAsia="fr-FR" w:bidi="fr-FR"/>
        </w:rPr>
        <w:br/>
      </w:r>
      <w:r w:rsidRPr="00F43309">
        <w:rPr>
          <w:lang w:eastAsia="fr-FR" w:bidi="fr-FR"/>
        </w:rPr>
        <w:t>quam idem apost</w:t>
      </w:r>
      <w:r w:rsidRPr="00F43309">
        <w:rPr>
          <w:lang w:eastAsia="fr-FR" w:bidi="fr-FR"/>
        </w:rPr>
        <w:t>o</w:t>
      </w:r>
      <w:r w:rsidRPr="00F43309">
        <w:rPr>
          <w:lang w:eastAsia="fr-FR" w:bidi="fr-FR"/>
        </w:rPr>
        <w:t>lus per se dedicauit </w:t>
      </w:r>
      <w:r>
        <w:rPr>
          <w:rStyle w:val="Appelnotedebasdep"/>
        </w:rPr>
        <w:footnoteReference w:id="1286"/>
      </w:r>
      <w:r w:rsidRPr="007422C9">
        <w:rPr>
          <w:lang w:eastAsia="fr-FR" w:bidi="fr-FR"/>
        </w:rPr>
        <w:t>.</w:t>
      </w:r>
    </w:p>
    <w:p w14:paraId="309C0ABC" w14:textId="77777777" w:rsidR="00B9662D" w:rsidRDefault="00B9662D" w:rsidP="00B9662D">
      <w:pPr>
        <w:spacing w:before="120" w:after="120"/>
        <w:jc w:val="both"/>
        <w:rPr>
          <w:lang w:eastAsia="fr-FR" w:bidi="fr-FR"/>
        </w:rPr>
      </w:pPr>
    </w:p>
    <w:p w14:paraId="6D549913" w14:textId="77777777" w:rsidR="00B9662D" w:rsidRPr="007422C9" w:rsidRDefault="00B9662D" w:rsidP="00B9662D">
      <w:pPr>
        <w:spacing w:before="120" w:after="120"/>
        <w:jc w:val="both"/>
      </w:pPr>
      <w:r w:rsidRPr="007422C9">
        <w:rPr>
          <w:lang w:eastAsia="fr-FR" w:bidi="fr-FR"/>
        </w:rPr>
        <w:t>Antiquum beati principis apostolorum et insigne monasterium non recens, non nouum, non moderno tempore constructum, set a diebus serui Dei Augustini primi Anglorum apostoli a Saberto orientalium Saxo</w:t>
      </w:r>
    </w:p>
    <w:p w14:paraId="61815261" w14:textId="77777777" w:rsidR="00B9662D" w:rsidRPr="007422C9" w:rsidRDefault="00B9662D" w:rsidP="00B9662D">
      <w:pPr>
        <w:spacing w:before="120" w:after="120"/>
        <w:jc w:val="both"/>
      </w:pPr>
      <w:r w:rsidRPr="007422C9">
        <w:rPr>
          <w:lang w:eastAsia="fr-FR" w:bidi="fr-FR"/>
        </w:rPr>
        <w:t>num</w:t>
      </w:r>
      <w:r>
        <w:t xml:space="preserve"> </w:t>
      </w:r>
      <w:r>
        <w:rPr>
          <w:lang w:eastAsia="fr-FR" w:bidi="fr-FR"/>
        </w:rPr>
        <w:t>[998]</w:t>
      </w:r>
      <w:r w:rsidRPr="007422C9">
        <w:rPr>
          <w:lang w:eastAsia="fr-FR" w:bidi="fr-FR"/>
        </w:rPr>
        <w:t xml:space="preserve"> rege copiosa dicitur caritate fundatum. Hic nepos sancti Ethelberti regis extitit, quem Christi predicatione sanctus A</w:t>
      </w:r>
      <w:r w:rsidRPr="007422C9">
        <w:rPr>
          <w:lang w:eastAsia="fr-FR" w:bidi="fr-FR"/>
        </w:rPr>
        <w:t>u</w:t>
      </w:r>
      <w:r w:rsidRPr="007422C9">
        <w:rPr>
          <w:lang w:eastAsia="fr-FR" w:bidi="fr-FR"/>
        </w:rPr>
        <w:t>gustinus imbutum in urbe Cantuaria babtizauit. Administrante uero pontific</w:t>
      </w:r>
      <w:r w:rsidRPr="007422C9">
        <w:rPr>
          <w:lang w:eastAsia="fr-FR" w:bidi="fr-FR"/>
        </w:rPr>
        <w:t>a</w:t>
      </w:r>
      <w:r w:rsidRPr="007422C9">
        <w:rPr>
          <w:lang w:eastAsia="fr-FR" w:bidi="fr-FR"/>
        </w:rPr>
        <w:t xml:space="preserve">tum Londonensis ecclesie Mellito, sub titulo beati </w:t>
      </w:r>
      <w:r>
        <w:rPr>
          <w:lang w:eastAsia="fr-FR" w:bidi="fr-FR"/>
        </w:rPr>
        <w:t>Petri</w:t>
      </w:r>
      <w:r w:rsidRPr="007422C9">
        <w:rPr>
          <w:lang w:eastAsia="fr-FR" w:bidi="fr-FR"/>
        </w:rPr>
        <w:t xml:space="preserve"> apostoli ded</w:t>
      </w:r>
      <w:r w:rsidRPr="007422C9">
        <w:rPr>
          <w:lang w:eastAsia="fr-FR" w:bidi="fr-FR"/>
        </w:rPr>
        <w:t>i</w:t>
      </w:r>
      <w:r w:rsidRPr="007422C9">
        <w:rPr>
          <w:lang w:eastAsia="fr-FR" w:bidi="fr-FR"/>
        </w:rPr>
        <w:t>canda erat ecclesia ad occidentalem urbis plagam extra muros sita. Set, ut geste rei prosequamur ordinem, paratis presul rebus uenit ad dedicationem ; tentoriis autem a dimidio fixis miliario crastinum illu</w:t>
      </w:r>
      <w:r w:rsidRPr="007422C9">
        <w:rPr>
          <w:lang w:eastAsia="fr-FR" w:bidi="fr-FR"/>
        </w:rPr>
        <w:t>s</w:t>
      </w:r>
      <w:r w:rsidRPr="007422C9">
        <w:rPr>
          <w:lang w:eastAsia="fr-FR" w:bidi="fr-FR"/>
        </w:rPr>
        <w:t>cescentis dominice diluculum expec- tat, ut, aurora fulgente, e</w:t>
      </w:r>
      <w:r w:rsidRPr="007422C9">
        <w:rPr>
          <w:lang w:eastAsia="fr-FR" w:bidi="fr-FR"/>
        </w:rPr>
        <w:t>x</w:t>
      </w:r>
      <w:r w:rsidRPr="007422C9">
        <w:rPr>
          <w:lang w:eastAsia="fr-FR" w:bidi="fr-FR"/>
        </w:rPr>
        <w:t>peditus occurrat. Yeruntamen dominica nocte ilia celestis aille ianitor in ult</w:t>
      </w:r>
      <w:r w:rsidRPr="007422C9">
        <w:rPr>
          <w:lang w:eastAsia="fr-FR" w:bidi="fr-FR"/>
        </w:rPr>
        <w:t>e</w:t>
      </w:r>
      <w:r w:rsidRPr="007422C9">
        <w:rPr>
          <w:lang w:eastAsia="fr-FR" w:bidi="fr-FR"/>
        </w:rPr>
        <w:t>riore ripa fluuii Tamensis astitit, qui eidem monasterio ab orie</w:t>
      </w:r>
      <w:r w:rsidRPr="007422C9">
        <w:rPr>
          <w:lang w:eastAsia="fr-FR" w:bidi="fr-FR"/>
        </w:rPr>
        <w:t>n</w:t>
      </w:r>
      <w:r w:rsidRPr="007422C9">
        <w:rPr>
          <w:lang w:eastAsia="fr-FR" w:bidi="fr-FR"/>
        </w:rPr>
        <w:t>tali parte uicinus subtercurrit. Vocat itaque piscatorem qui predam exe</w:t>
      </w:r>
      <w:r w:rsidRPr="007422C9">
        <w:rPr>
          <w:lang w:eastAsia="fr-FR" w:bidi="fr-FR"/>
        </w:rPr>
        <w:t>r</w:t>
      </w:r>
      <w:r w:rsidRPr="007422C9">
        <w:rPr>
          <w:lang w:eastAsia="fr-FR" w:bidi="fr-FR"/>
        </w:rPr>
        <w:t>cebat fluuialem ; ad alteram ripam se poscit exponi merce- de</w:t>
      </w:r>
      <w:r w:rsidRPr="007422C9">
        <w:rPr>
          <w:lang w:eastAsia="fr-FR" w:bidi="fr-FR"/>
        </w:rPr>
        <w:t>m</w:t>
      </w:r>
      <w:r w:rsidRPr="007422C9">
        <w:rPr>
          <w:lang w:eastAsia="fr-FR" w:bidi="fr-FR"/>
        </w:rPr>
        <w:t>que dum redeat prestolari. Transposito amne persona recessit ignota ; d</w:t>
      </w:r>
      <w:r w:rsidRPr="007422C9">
        <w:rPr>
          <w:lang w:eastAsia="fr-FR" w:bidi="fr-FR"/>
        </w:rPr>
        <w:t>o</w:t>
      </w:r>
      <w:r w:rsidRPr="007422C9">
        <w:rPr>
          <w:lang w:eastAsia="fr-FR" w:bidi="fr-FR"/>
        </w:rPr>
        <w:t>naria piscator expectat promissa. Stupidus intérim repente contempl</w:t>
      </w:r>
      <w:r w:rsidRPr="007422C9">
        <w:rPr>
          <w:lang w:eastAsia="fr-FR" w:bidi="fr-FR"/>
        </w:rPr>
        <w:t>a</w:t>
      </w:r>
      <w:r w:rsidRPr="007422C9">
        <w:rPr>
          <w:lang w:eastAsia="fr-FR" w:bidi="fr-FR"/>
        </w:rPr>
        <w:t>tur ecclesiam, supernis in circuitu luminaribus plenam, flammarum globos celitus emittere, et candidatorum choros nunc intus nunc foris cum concentibus angelicis locum eundem circuire. Audit mortalibus insuetam suauitatis armoniam, maiestatem secum reputat imperiosam que quiddam insigne spirans et immortale poterat ad celestia intuentes accendere. Patent ethera sursum, claritas resplendet immensa deo</w:t>
      </w:r>
      <w:r w:rsidRPr="007422C9">
        <w:rPr>
          <w:lang w:eastAsia="fr-FR" w:bidi="fr-FR"/>
        </w:rPr>
        <w:t>r</w:t>
      </w:r>
      <w:r w:rsidRPr="007422C9">
        <w:rPr>
          <w:lang w:eastAsia="fr-FR" w:bidi="fr-FR"/>
        </w:rPr>
        <w:t>sum. Apostolico piscator nutu tenetur dum redeat et laboris sui me</w:t>
      </w:r>
      <w:r w:rsidRPr="007422C9">
        <w:rPr>
          <w:lang w:eastAsia="fr-FR" w:bidi="fr-FR"/>
        </w:rPr>
        <w:t>r</w:t>
      </w:r>
      <w:r>
        <w:rPr>
          <w:lang w:eastAsia="fr-FR" w:bidi="fr-FR"/>
        </w:rPr>
        <w:t>cedem quam transiens promi</w:t>
      </w:r>
      <w:r w:rsidRPr="007422C9">
        <w:rPr>
          <w:lang w:eastAsia="fr-FR" w:bidi="fr-FR"/>
        </w:rPr>
        <w:t>serat appréhend</w:t>
      </w:r>
      <w:r>
        <w:rPr>
          <w:lang w:eastAsia="fr-FR" w:bidi="fr-FR"/>
        </w:rPr>
        <w:t>a</w:t>
      </w:r>
      <w:r w:rsidRPr="007422C9">
        <w:rPr>
          <w:lang w:eastAsia="fr-FR" w:bidi="fr-FR"/>
        </w:rPr>
        <w:t>t. Sacramento tandem diuine dedicationis expleto, syderee mansionis ianitor ad ducem nauis iterum rediit, et piscator piscatorem de transponendo fluuio cito c</w:t>
      </w:r>
      <w:r w:rsidRPr="007422C9">
        <w:rPr>
          <w:lang w:eastAsia="fr-FR" w:bidi="fr-FR"/>
        </w:rPr>
        <w:t>o</w:t>
      </w:r>
      <w:r w:rsidRPr="007422C9">
        <w:rPr>
          <w:lang w:eastAsia="fr-FR" w:bidi="fr-FR"/>
        </w:rPr>
        <w:t>nuenit. Lenit itaq</w:t>
      </w:r>
      <w:r>
        <w:rPr>
          <w:lang w:eastAsia="fr-FR" w:bidi="fr-FR"/>
        </w:rPr>
        <w:t>ue pauentem quem pene pre timore</w:t>
      </w:r>
      <w:r w:rsidRPr="007422C9">
        <w:rPr>
          <w:lang w:eastAsia="fr-FR" w:bidi="fr-FR"/>
        </w:rPr>
        <w:t xml:space="preserve"> inuenit exan</w:t>
      </w:r>
      <w:r w:rsidRPr="007422C9">
        <w:rPr>
          <w:lang w:eastAsia="fr-FR" w:bidi="fr-FR"/>
        </w:rPr>
        <w:t>i</w:t>
      </w:r>
      <w:r w:rsidRPr="007422C9">
        <w:rPr>
          <w:lang w:eastAsia="fr-FR" w:bidi="fr-FR"/>
        </w:rPr>
        <w:t>mem et eum salutifera exhortatione uisitat ut de celestibus mysteriis que uiderat confidat. Remigantem itaque per amnem et superiori ripe approximantem collega collegam alloquitur et piscator piscatorem his sermonibus sic affatur : « Qualiter » inquit « in arte profecisti pisc</w:t>
      </w:r>
      <w:r w:rsidRPr="007422C9">
        <w:rPr>
          <w:lang w:eastAsia="fr-FR" w:bidi="fr-FR"/>
        </w:rPr>
        <w:t>a</w:t>
      </w:r>
      <w:r w:rsidRPr="007422C9">
        <w:rPr>
          <w:lang w:eastAsia="fr-FR" w:bidi="fr-FR"/>
        </w:rPr>
        <w:t>tionis tue ? Quid captum est hac nocte ? An aliquod retia tibi operata sunt commodum ? An iactata sint in flumine ad aliquem profectum ? » Cumque negaret ille capturam, et diceret defecisse sibi materiam, qui prius loquebatur adiecit : « Inice retia fluuio et habundanter capies in momento. » Paret iubentis imperio et alueo fluminis maculas iniecit et piscibus plenas protinus extraxit. Inter ceteros uero piscem repperit in reti mirabilem, quem uulgo appellant salmonem. « Hune » inqu</w:t>
      </w:r>
      <w:r>
        <w:rPr>
          <w:lang w:eastAsia="fr-FR" w:bidi="fr-FR"/>
        </w:rPr>
        <w:t>it « mane uice mea Mellito repre</w:t>
      </w:r>
      <w:r w:rsidRPr="007422C9">
        <w:rPr>
          <w:lang w:eastAsia="fr-FR" w:bidi="fr-FR"/>
        </w:rPr>
        <w:t>senta pontifici ; tue uero qui supersunt reputabuntur mercedi. Comité autem uita, huius tibi generis non deerit copia et tua post te tempore longo progenies hac arte parabit edes sibi locupletes. Dominicis tantum diebus sacro uacabis otio, et sic ab hoc negotio cohibe dexteram, ne uadas ulterius in capturam. Imperium meum sedulus explorator arripe, et episcopo dedicatam nunciabis e</w:t>
      </w:r>
      <w:r w:rsidRPr="007422C9">
        <w:rPr>
          <w:lang w:eastAsia="fr-FR" w:bidi="fr-FR"/>
        </w:rPr>
        <w:t>c</w:t>
      </w:r>
      <w:r w:rsidRPr="007422C9">
        <w:rPr>
          <w:lang w:eastAsia="fr-FR" w:bidi="fr-FR"/>
        </w:rPr>
        <w:t>clesiam, qui michi intendit dedicare preparatam. Ego ipse eam per me sacraui, ego misteriis sanctis interfui, et accedens presul factum rep</w:t>
      </w:r>
      <w:r w:rsidRPr="007422C9">
        <w:rPr>
          <w:lang w:eastAsia="fr-FR" w:bidi="fr-FR"/>
        </w:rPr>
        <w:t>e</w:t>
      </w:r>
      <w:r w:rsidRPr="007422C9">
        <w:rPr>
          <w:lang w:eastAsia="fr-FR" w:bidi="fr-FR"/>
        </w:rPr>
        <w:t>riet quod se facturum urbs uicina docet. Missas dumtaxat dedicationis sollempniter peragat et populum Domini benedicens absoluat. Auctor huius mandati Petrus est apostolus Ihesu Christi, qui ea que audis t</w:t>
      </w:r>
      <w:r w:rsidRPr="007422C9">
        <w:rPr>
          <w:lang w:eastAsia="fr-FR" w:bidi="fr-FR"/>
        </w:rPr>
        <w:t>e</w:t>
      </w:r>
      <w:r w:rsidRPr="007422C9">
        <w:rPr>
          <w:lang w:eastAsia="fr-FR" w:bidi="fr-FR"/>
        </w:rPr>
        <w:t>cum loquitur et ex huius ore res ista episcopo significata mandatur ». Visio itaque beati disparuit his dictis apostoli. Cum piscator mane ad episcopum retulit quicquit ab apostolo superius audiuit, fides adibetur in munere quod sibi cum apostolica prouenerat salute. Gratulatur Me</w:t>
      </w:r>
      <w:r w:rsidRPr="007422C9">
        <w:rPr>
          <w:lang w:eastAsia="fr-FR" w:bidi="fr-FR"/>
        </w:rPr>
        <w:t>l</w:t>
      </w:r>
      <w:r w:rsidRPr="007422C9">
        <w:rPr>
          <w:lang w:eastAsia="fr-FR" w:bidi="fr-FR"/>
        </w:rPr>
        <w:t>litus celi clauicularium huius sacrationis</w:t>
      </w:r>
      <w:r>
        <w:rPr>
          <w:lang w:eastAsia="fr-FR" w:bidi="fr-FR"/>
        </w:rPr>
        <w:t xml:space="preserve"> </w:t>
      </w:r>
      <w:r>
        <w:t>[</w:t>
      </w:r>
      <w:r w:rsidRPr="007422C9">
        <w:rPr>
          <w:lang w:eastAsia="fr-FR" w:bidi="fr-FR"/>
        </w:rPr>
        <w:t>999</w:t>
      </w:r>
      <w:r>
        <w:rPr>
          <w:lang w:eastAsia="fr-FR" w:bidi="fr-FR"/>
        </w:rPr>
        <w:t xml:space="preserve">] </w:t>
      </w:r>
      <w:r w:rsidRPr="007422C9">
        <w:rPr>
          <w:lang w:eastAsia="fr-FR" w:bidi="fr-FR"/>
        </w:rPr>
        <w:t>peregisse misterium, ingrediensque signatos crismate parietes repperit quos Iordanicis re</w:t>
      </w:r>
      <w:r w:rsidRPr="007422C9">
        <w:rPr>
          <w:lang w:eastAsia="fr-FR" w:bidi="fr-FR"/>
        </w:rPr>
        <w:t>s</w:t>
      </w:r>
      <w:r w:rsidRPr="007422C9">
        <w:rPr>
          <w:lang w:eastAsia="fr-FR" w:bidi="fr-FR"/>
        </w:rPr>
        <w:t>persos fluentis intellexit. Duodenis conspicit crucibus insignitos et tipicos caractères pauimentis inscriptos. Conflagratorum etiam rel</w:t>
      </w:r>
      <w:r w:rsidRPr="007422C9">
        <w:rPr>
          <w:lang w:eastAsia="fr-FR" w:bidi="fr-FR"/>
        </w:rPr>
        <w:t>i</w:t>
      </w:r>
      <w:r w:rsidRPr="007422C9">
        <w:rPr>
          <w:lang w:eastAsia="fr-FR" w:bidi="fr-FR"/>
        </w:rPr>
        <w:t>quiis cereorum beatum animauertit affuisse Petrum apostolum han</w:t>
      </w:r>
      <w:r w:rsidRPr="007422C9">
        <w:rPr>
          <w:lang w:eastAsia="fr-FR" w:bidi="fr-FR"/>
        </w:rPr>
        <w:t>c</w:t>
      </w:r>
      <w:r w:rsidRPr="007422C9">
        <w:rPr>
          <w:lang w:eastAsia="fr-FR" w:bidi="fr-FR"/>
        </w:rPr>
        <w:t>que Deo decenter sacrasse basilicam et agno sponso nuptam despo</w:t>
      </w:r>
      <w:r w:rsidRPr="007422C9">
        <w:rPr>
          <w:lang w:eastAsia="fr-FR" w:bidi="fr-FR"/>
        </w:rPr>
        <w:t>n</w:t>
      </w:r>
      <w:r w:rsidRPr="007422C9">
        <w:rPr>
          <w:lang w:eastAsia="fr-FR" w:bidi="fr-FR"/>
        </w:rPr>
        <w:t>sasse incorruptam. Gracias agit Deo sanctoque apostolo et, pontific</w:t>
      </w:r>
      <w:r w:rsidRPr="007422C9">
        <w:rPr>
          <w:lang w:eastAsia="fr-FR" w:bidi="fr-FR"/>
        </w:rPr>
        <w:t>a</w:t>
      </w:r>
      <w:r w:rsidRPr="007422C9">
        <w:rPr>
          <w:lang w:eastAsia="fr-FR" w:bidi="fr-FR"/>
        </w:rPr>
        <w:t>libus amictus induuiis, missas facit célébrés tante sollempnitatis ; se</w:t>
      </w:r>
      <w:r w:rsidRPr="007422C9">
        <w:rPr>
          <w:lang w:eastAsia="fr-FR" w:bidi="fr-FR"/>
        </w:rPr>
        <w:t>r</w:t>
      </w:r>
      <w:r w:rsidRPr="007422C9">
        <w:rPr>
          <w:lang w:eastAsia="fr-FR" w:bidi="fr-FR"/>
        </w:rPr>
        <w:t>monis protulit de re gesta compendium, intendens profectibus anim</w:t>
      </w:r>
      <w:r w:rsidRPr="007422C9">
        <w:rPr>
          <w:lang w:eastAsia="fr-FR" w:bidi="fr-FR"/>
        </w:rPr>
        <w:t>a</w:t>
      </w:r>
      <w:r w:rsidRPr="007422C9">
        <w:rPr>
          <w:lang w:eastAsia="fr-FR" w:bidi="fr-FR"/>
        </w:rPr>
        <w:t>rum ; offert sacrificium, immolât holocaustum, conf</w:t>
      </w:r>
      <w:r w:rsidRPr="007422C9">
        <w:rPr>
          <w:lang w:eastAsia="fr-FR" w:bidi="fr-FR"/>
        </w:rPr>
        <w:t>i</w:t>
      </w:r>
      <w:r w:rsidRPr="007422C9">
        <w:rPr>
          <w:lang w:eastAsia="fr-FR" w:bidi="fr-FR"/>
        </w:rPr>
        <w:t>tentes absoluit, populum Domini benedicit. Expletis itaque celebritatis tante mysteriis, cum gaudio pontifex recessit ad propria ; et noua cot</w:t>
      </w:r>
      <w:r w:rsidRPr="007422C9">
        <w:rPr>
          <w:lang w:eastAsia="fr-FR" w:bidi="fr-FR"/>
        </w:rPr>
        <w:t>i</w:t>
      </w:r>
      <w:r w:rsidRPr="007422C9">
        <w:rPr>
          <w:lang w:eastAsia="fr-FR" w:bidi="fr-FR"/>
        </w:rPr>
        <w:t>die deinceps creuit Deo sponsa. Thorneia uero anglice, que spinarum insula latine dicitur, uocabulum uetustatis amisit, et a uento uel situ ciuitatis occ</w:t>
      </w:r>
      <w:r w:rsidRPr="007422C9">
        <w:rPr>
          <w:lang w:eastAsia="fr-FR" w:bidi="fr-FR"/>
        </w:rPr>
        <w:t>i</w:t>
      </w:r>
      <w:r w:rsidRPr="007422C9">
        <w:rPr>
          <w:lang w:eastAsia="fr-FR" w:bidi="fr-FR"/>
        </w:rPr>
        <w:t>dentale monasterium nomen accepit. Piscatores uero qui de genere illius descenderunt cui beatus Petrus apparuit et qui ad sanctum Mell</w:t>
      </w:r>
      <w:r w:rsidRPr="007422C9">
        <w:rPr>
          <w:lang w:eastAsia="fr-FR" w:bidi="fr-FR"/>
        </w:rPr>
        <w:t>i</w:t>
      </w:r>
      <w:r w:rsidRPr="007422C9">
        <w:rPr>
          <w:lang w:eastAsia="fr-FR" w:bidi="fr-FR"/>
        </w:rPr>
        <w:t>tum eundem transmisit adhuc usque hodie qui nascuntur per ordinem decimata captione sancti principis apostolorum uenerantur dignit</w:t>
      </w:r>
      <w:r w:rsidRPr="007422C9">
        <w:rPr>
          <w:lang w:eastAsia="fr-FR" w:bidi="fr-FR"/>
        </w:rPr>
        <w:t>a</w:t>
      </w:r>
      <w:r w:rsidRPr="007422C9">
        <w:rPr>
          <w:lang w:eastAsia="fr-FR" w:bidi="fr-FR"/>
        </w:rPr>
        <w:t>tem ; et quotquot in carne superstites apparent fi</w:t>
      </w:r>
      <w:r>
        <w:rPr>
          <w:lang w:eastAsia="fr-FR" w:bidi="fr-FR"/>
        </w:rPr>
        <w:t>rmiter apost</w:t>
      </w:r>
      <w:r>
        <w:rPr>
          <w:lang w:eastAsia="fr-FR" w:bidi="fr-FR"/>
        </w:rPr>
        <w:t>o</w:t>
      </w:r>
      <w:r>
        <w:rPr>
          <w:lang w:eastAsia="fr-FR" w:bidi="fr-FR"/>
        </w:rPr>
        <w:t>licis mandatis adhe</w:t>
      </w:r>
      <w:r w:rsidRPr="007422C9">
        <w:rPr>
          <w:lang w:eastAsia="fr-FR" w:bidi="fr-FR"/>
        </w:rPr>
        <w:t>rent. Et que prius fuerat insula spinarum nunc lilia D</w:t>
      </w:r>
      <w:r w:rsidRPr="007422C9">
        <w:rPr>
          <w:lang w:eastAsia="fr-FR" w:bidi="fr-FR"/>
        </w:rPr>
        <w:t>o</w:t>
      </w:r>
      <w:r w:rsidRPr="007422C9">
        <w:rPr>
          <w:lang w:eastAsia="fr-FR" w:bidi="fr-FR"/>
        </w:rPr>
        <w:t>mino germinat animarum. In ilia cotidie peccatum occidit et pen</w:t>
      </w:r>
      <w:r w:rsidRPr="007422C9">
        <w:rPr>
          <w:lang w:eastAsia="fr-FR" w:bidi="fr-FR"/>
        </w:rPr>
        <w:t>i</w:t>
      </w:r>
      <w:r w:rsidRPr="007422C9">
        <w:rPr>
          <w:lang w:eastAsia="fr-FR" w:bidi="fr-FR"/>
        </w:rPr>
        <w:t>tens ad iusticiam uiuificatus resurgit. Ecce hec est causa que beatum regem Eadwardum precordialiter animauit ut locum ilium pre ceteris dilig</w:t>
      </w:r>
      <w:r w:rsidRPr="007422C9">
        <w:rPr>
          <w:lang w:eastAsia="fr-FR" w:bidi="fr-FR"/>
        </w:rPr>
        <w:t>e</w:t>
      </w:r>
      <w:r w:rsidRPr="007422C9">
        <w:rPr>
          <w:lang w:eastAsia="fr-FR" w:bidi="fr-FR"/>
        </w:rPr>
        <w:t>ret et ornamentis atque possessionibus copiosius insigniret.</w:t>
      </w:r>
    </w:p>
    <w:p w14:paraId="39424368" w14:textId="77777777" w:rsidR="00B9662D" w:rsidRPr="007422C9" w:rsidRDefault="00B9662D" w:rsidP="00B9662D">
      <w:pPr>
        <w:spacing w:before="120" w:after="120"/>
        <w:jc w:val="both"/>
      </w:pPr>
      <w:r w:rsidRPr="007422C9">
        <w:rPr>
          <w:lang w:eastAsia="fr-FR" w:bidi="fr-FR"/>
        </w:rPr>
        <w:t>Est etiam dignum relatu et ad honorem respicit apostolicum quod, tempore congruo, in diebus nostris accidit et quod actum populus Dei in sancta monasterii congregatione cognouit. Piscator ex illius gener</w:t>
      </w:r>
      <w:r w:rsidRPr="007422C9">
        <w:rPr>
          <w:lang w:eastAsia="fr-FR" w:bidi="fr-FR"/>
        </w:rPr>
        <w:t>a</w:t>
      </w:r>
      <w:r w:rsidRPr="007422C9">
        <w:rPr>
          <w:lang w:eastAsia="fr-FR" w:bidi="fr-FR"/>
        </w:rPr>
        <w:t>tione contrahens ortum qui sanctum, ut prediximus, Petrum trans T</w:t>
      </w:r>
      <w:r w:rsidRPr="007422C9">
        <w:rPr>
          <w:lang w:eastAsia="fr-FR" w:bidi="fr-FR"/>
        </w:rPr>
        <w:t>a</w:t>
      </w:r>
      <w:r w:rsidRPr="007422C9">
        <w:rPr>
          <w:lang w:eastAsia="fr-FR" w:bidi="fr-FR"/>
        </w:rPr>
        <w:t>mensem in cymba subportauit fluuium, dum sibi nocte aliqua pisc</w:t>
      </w:r>
      <w:r w:rsidRPr="007422C9">
        <w:rPr>
          <w:lang w:eastAsia="fr-FR" w:bidi="fr-FR"/>
        </w:rPr>
        <w:t>a</w:t>
      </w:r>
      <w:r w:rsidRPr="007422C9">
        <w:rPr>
          <w:lang w:eastAsia="fr-FR" w:bidi="fr-FR"/>
        </w:rPr>
        <w:t>cionis utiliter cessisset captura, décima que Deo prouenerat ab eo in rapinam est retenta. Fuit autem idem piscis inmense magnitudinis, quem, quia pluris apud se estimabat precii, plurima denariorum uend</w:t>
      </w:r>
      <w:r w:rsidRPr="007422C9">
        <w:rPr>
          <w:lang w:eastAsia="fr-FR" w:bidi="fr-FR"/>
        </w:rPr>
        <w:t>i</w:t>
      </w:r>
      <w:r w:rsidRPr="007422C9">
        <w:rPr>
          <w:lang w:eastAsia="fr-FR" w:bidi="fr-FR"/>
        </w:rPr>
        <w:t>tione distraxit. Transiit itaque tempus et piscator ad solitum redit off</w:t>
      </w:r>
      <w:r w:rsidRPr="007422C9">
        <w:rPr>
          <w:lang w:eastAsia="fr-FR" w:bidi="fr-FR"/>
        </w:rPr>
        <w:t>i</w:t>
      </w:r>
      <w:r w:rsidRPr="007422C9">
        <w:rPr>
          <w:lang w:eastAsia="fr-FR" w:bidi="fr-FR"/>
        </w:rPr>
        <w:t>cium ; set, retibus inmissis, laboris impensa disperiit, et nichil huic utilitatis in uadoso gurgite cessit. Sic uir per integrum mensem consumpsit omnem diem, et nox ei nulla nunciauit prospéra cui se</w:t>
      </w:r>
      <w:r w:rsidRPr="007422C9">
        <w:rPr>
          <w:lang w:eastAsia="fr-FR" w:bidi="fr-FR"/>
        </w:rPr>
        <w:t>m</w:t>
      </w:r>
      <w:r w:rsidRPr="007422C9">
        <w:rPr>
          <w:lang w:eastAsia="fr-FR" w:bidi="fr-FR"/>
        </w:rPr>
        <w:t>per piscatio erat aduersa. Ipsum uero penituit egisse quod egerat, et rediens in se gressuque concito properans ad Westmonasterium, culpam suam exposuit in conuentu fratrum. Promittens igitur Deo co</w:t>
      </w:r>
      <w:r w:rsidRPr="007422C9">
        <w:rPr>
          <w:lang w:eastAsia="fr-FR" w:bidi="fr-FR"/>
        </w:rPr>
        <w:t>r</w:t>
      </w:r>
      <w:r w:rsidRPr="007422C9">
        <w:rPr>
          <w:lang w:eastAsia="fr-FR" w:bidi="fr-FR"/>
        </w:rPr>
        <w:t xml:space="preserve">rec- tionem et glorioso eius apostolo, super altare beati </w:t>
      </w:r>
      <w:r>
        <w:rPr>
          <w:lang w:eastAsia="fr-FR" w:bidi="fr-FR"/>
        </w:rPr>
        <w:t>Petri</w:t>
      </w:r>
      <w:r w:rsidRPr="007422C9">
        <w:rPr>
          <w:lang w:eastAsia="fr-FR" w:bidi="fr-FR"/>
        </w:rPr>
        <w:t xml:space="preserve"> manum suam posuit, seque coram omnibus decimam ultro redditurum sacr</w:t>
      </w:r>
      <w:r w:rsidRPr="007422C9">
        <w:rPr>
          <w:lang w:eastAsia="fr-FR" w:bidi="fr-FR"/>
        </w:rPr>
        <w:t>a</w:t>
      </w:r>
      <w:r w:rsidRPr="007422C9">
        <w:rPr>
          <w:lang w:eastAsia="fr-FR" w:bidi="fr-FR"/>
        </w:rPr>
        <w:t>mento professions obligauit. Qui ex eadem die et deinceps capturam piscium sic inuenit facilem ut aperte daretur intelligi eum apostolicam prius offendisse maiestatem. Claruit in hoc facto et uirtus apostoli et experimentum insigne miraculi, quia quod sibi debebatur ab inuito piscatore uiolenter extorsit et exemplum ceteris ne sua iura raperent efficaciter tribuit.</w:t>
      </w:r>
    </w:p>
    <w:p w14:paraId="3E20C366" w14:textId="77777777" w:rsidR="00B9662D" w:rsidRDefault="00B9662D" w:rsidP="00B9662D">
      <w:pPr>
        <w:spacing w:before="120" w:after="120"/>
        <w:jc w:val="both"/>
        <w:rPr>
          <w:lang w:eastAsia="fr-FR" w:bidi="fr-FR"/>
        </w:rPr>
      </w:pPr>
      <w:r>
        <w:rPr>
          <w:lang w:eastAsia="fr-FR" w:bidi="fr-FR"/>
        </w:rPr>
        <w:t>[1000]</w:t>
      </w:r>
    </w:p>
    <w:p w14:paraId="09F4F900" w14:textId="77777777" w:rsidR="00B9662D" w:rsidRPr="007422C9" w:rsidRDefault="00B9662D" w:rsidP="00B9662D">
      <w:pPr>
        <w:spacing w:before="120" w:after="120"/>
        <w:jc w:val="both"/>
      </w:pPr>
    </w:p>
    <w:p w14:paraId="1601196B" w14:textId="77777777" w:rsidR="00B9662D" w:rsidRPr="007422C9" w:rsidRDefault="00B9662D" w:rsidP="00B9662D">
      <w:pPr>
        <w:pStyle w:val="b"/>
      </w:pPr>
      <w:r w:rsidRPr="001F2256">
        <w:rPr>
          <w:lang w:eastAsia="fr-FR" w:bidi="fr-FR"/>
        </w:rPr>
        <w:t>XI. De legatis quos ad Nicholaum papam Romam misit et de priuilegio eiusdem summi pontificis </w:t>
      </w:r>
      <w:r w:rsidRPr="00FA2B99">
        <w:rPr>
          <w:rStyle w:val="Appelnotedebasdep"/>
          <w:i w:val="0"/>
        </w:rPr>
        <w:footnoteReference w:id="1287"/>
      </w:r>
      <w:r w:rsidRPr="007422C9">
        <w:rPr>
          <w:lang w:eastAsia="fr-FR" w:bidi="fr-FR"/>
        </w:rPr>
        <w:t>.</w:t>
      </w:r>
    </w:p>
    <w:p w14:paraId="4338DBFD" w14:textId="77777777" w:rsidR="00B9662D" w:rsidRDefault="00B9662D" w:rsidP="00B9662D">
      <w:pPr>
        <w:spacing w:before="120" w:after="120"/>
        <w:jc w:val="both"/>
        <w:rPr>
          <w:lang w:eastAsia="fr-FR" w:bidi="fr-FR"/>
        </w:rPr>
      </w:pPr>
    </w:p>
    <w:p w14:paraId="775C42A3" w14:textId="77777777" w:rsidR="00B9662D" w:rsidRPr="007422C9" w:rsidRDefault="00B9662D" w:rsidP="00B9662D">
      <w:pPr>
        <w:spacing w:before="120" w:after="120"/>
        <w:jc w:val="both"/>
      </w:pPr>
      <w:r w:rsidRPr="007422C9">
        <w:rPr>
          <w:lang w:eastAsia="fr-FR" w:bidi="fr-FR"/>
        </w:rPr>
        <w:t>Preterea, laudabilis uite princeps Eadwardus cum diuersis sanct</w:t>
      </w:r>
      <w:r w:rsidRPr="007422C9">
        <w:rPr>
          <w:lang w:eastAsia="fr-FR" w:bidi="fr-FR"/>
        </w:rPr>
        <w:t>a</w:t>
      </w:r>
      <w:r w:rsidRPr="007422C9">
        <w:rPr>
          <w:lang w:eastAsia="fr-FR" w:bidi="fr-FR"/>
        </w:rPr>
        <w:t>rum uirtutum resplenderet operibus et ad maiorem suspiraret spiri</w:t>
      </w:r>
      <w:r>
        <w:rPr>
          <w:lang w:eastAsia="fr-FR" w:bidi="fr-FR"/>
        </w:rPr>
        <w:t>tu</w:t>
      </w:r>
      <w:r>
        <w:rPr>
          <w:lang w:eastAsia="fr-FR" w:bidi="fr-FR"/>
        </w:rPr>
        <w:t>a</w:t>
      </w:r>
      <w:r>
        <w:rPr>
          <w:lang w:eastAsia="fr-FR" w:bidi="fr-FR"/>
        </w:rPr>
        <w:t>lis uite profectum, beatus Le</w:t>
      </w:r>
      <w:r w:rsidRPr="007422C9">
        <w:rPr>
          <w:lang w:eastAsia="fr-FR" w:bidi="fr-FR"/>
        </w:rPr>
        <w:t>o papa uiam uniuerse carnis ingreditur</w:t>
      </w:r>
      <w:r>
        <w:rPr>
          <w:lang w:eastAsia="fr-FR" w:bidi="fr-FR"/>
        </w:rPr>
        <w:t> </w:t>
      </w:r>
      <w:r>
        <w:rPr>
          <w:rStyle w:val="Appelnotedebasdep"/>
          <w:lang w:eastAsia="fr-FR" w:bidi="fr-FR"/>
        </w:rPr>
        <w:footnoteReference w:customMarkFollows="1" w:id="1288"/>
        <w:t>a</w:t>
      </w:r>
      <w:r w:rsidRPr="007422C9">
        <w:rPr>
          <w:lang w:eastAsia="fr-FR" w:bidi="fr-FR"/>
        </w:rPr>
        <w:t xml:space="preserve"> et sacra beati P</w:t>
      </w:r>
      <w:r>
        <w:rPr>
          <w:lang w:eastAsia="fr-FR" w:bidi="fr-FR"/>
        </w:rPr>
        <w:t>et</w:t>
      </w:r>
      <w:r w:rsidRPr="007422C9">
        <w:rPr>
          <w:lang w:eastAsia="fr-FR" w:bidi="fr-FR"/>
        </w:rPr>
        <w:t>ri apostoli cathedra tanto pastore uacuat</w:t>
      </w:r>
      <w:r>
        <w:rPr>
          <w:lang w:eastAsia="fr-FR" w:bidi="fr-FR"/>
        </w:rPr>
        <w:t>ur. Prefuit idem uir sanctissi</w:t>
      </w:r>
      <w:r w:rsidRPr="007422C9">
        <w:rPr>
          <w:lang w:eastAsia="fr-FR" w:bidi="fr-FR"/>
        </w:rPr>
        <w:t>mus ecclesiis Dei annis v</w:t>
      </w:r>
      <w:r w:rsidRPr="005C2076">
        <w:rPr>
          <w:vertAlign w:val="superscript"/>
          <w:lang w:eastAsia="fr-FR" w:bidi="fr-FR"/>
        </w:rPr>
        <w:t>quo</w:t>
      </w:r>
      <w:r w:rsidRPr="007422C9">
        <w:rPr>
          <w:lang w:eastAsia="fr-FR" w:bidi="fr-FR"/>
        </w:rPr>
        <w:t>, mensibus ii</w:t>
      </w:r>
      <w:r w:rsidRPr="007422C9">
        <w:rPr>
          <w:vertAlign w:val="superscript"/>
          <w:lang w:eastAsia="fr-FR" w:bidi="fr-FR"/>
        </w:rPr>
        <w:t>bus</w:t>
      </w:r>
      <w:r w:rsidRPr="007422C9">
        <w:rPr>
          <w:lang w:eastAsia="fr-FR" w:bidi="fr-FR"/>
        </w:rPr>
        <w:t xml:space="preserve"> et diebus vi</w:t>
      </w:r>
      <w:r w:rsidRPr="007422C9">
        <w:rPr>
          <w:lang w:eastAsia="fr-FR" w:bidi="fr-FR"/>
        </w:rPr>
        <w:t>i</w:t>
      </w:r>
      <w:r w:rsidRPr="007422C9">
        <w:rPr>
          <w:vertAlign w:val="superscript"/>
          <w:lang w:eastAsia="fr-FR" w:bidi="fr-FR"/>
        </w:rPr>
        <w:t>tem</w:t>
      </w:r>
      <w:r>
        <w:rPr>
          <w:vertAlign w:val="superscript"/>
          <w:lang w:eastAsia="fr-FR" w:bidi="fr-FR"/>
        </w:rPr>
        <w:t xml:space="preserve"> </w:t>
      </w:r>
      <w:r>
        <w:rPr>
          <w:lang w:eastAsia="fr-FR" w:bidi="fr-FR"/>
        </w:rPr>
        <w:t> </w:t>
      </w:r>
      <w:r>
        <w:rPr>
          <w:rStyle w:val="Appelnotedebasdep"/>
        </w:rPr>
        <w:footnoteReference w:id="1289"/>
      </w:r>
      <w:r w:rsidRPr="007422C9">
        <w:rPr>
          <w:lang w:eastAsia="fr-FR" w:bidi="fr-FR"/>
        </w:rPr>
        <w:t>. Post quem tr</w:t>
      </w:r>
      <w:r>
        <w:rPr>
          <w:lang w:eastAsia="fr-FR" w:bidi="fr-FR"/>
        </w:rPr>
        <w:t>es</w:t>
      </w:r>
      <w:r w:rsidRPr="007422C9">
        <w:rPr>
          <w:lang w:eastAsia="fr-FR" w:bidi="fr-FR"/>
        </w:rPr>
        <w:t xml:space="preserve"> presederunt sub paruo tempore romane sedi pontifices, Victor scilicet, Stephanus et Benedictus : quorum pr</w:t>
      </w:r>
      <w:r w:rsidRPr="007422C9">
        <w:rPr>
          <w:lang w:eastAsia="fr-FR" w:bidi="fr-FR"/>
        </w:rPr>
        <w:t>i</w:t>
      </w:r>
      <w:r w:rsidRPr="007422C9">
        <w:rPr>
          <w:lang w:eastAsia="fr-FR" w:bidi="fr-FR"/>
        </w:rPr>
        <w:t>mus annis ii</w:t>
      </w:r>
      <w:r>
        <w:rPr>
          <w:vertAlign w:val="superscript"/>
          <w:lang w:eastAsia="fr-FR" w:bidi="fr-FR"/>
        </w:rPr>
        <w:t>obu</w:t>
      </w:r>
      <w:r w:rsidRPr="007422C9">
        <w:rPr>
          <w:vertAlign w:val="superscript"/>
          <w:lang w:eastAsia="fr-FR" w:bidi="fr-FR"/>
        </w:rPr>
        <w:t>s</w:t>
      </w:r>
      <w:r w:rsidRPr="007422C9">
        <w:rPr>
          <w:lang w:eastAsia="fr-FR" w:bidi="fr-FR"/>
        </w:rPr>
        <w:t>, mensibus tribus, diebus xiii rexit ecclesiam ; secundus post menses vii</w:t>
      </w:r>
      <w:r w:rsidRPr="007422C9">
        <w:rPr>
          <w:vertAlign w:val="superscript"/>
          <w:lang w:eastAsia="fr-FR" w:bidi="fr-FR"/>
        </w:rPr>
        <w:t>tem</w:t>
      </w:r>
      <w:r w:rsidRPr="007422C9">
        <w:rPr>
          <w:lang w:eastAsia="fr-FR" w:bidi="fr-FR"/>
        </w:rPr>
        <w:t xml:space="preserve"> unoque de xx</w:t>
      </w:r>
      <w:r>
        <w:rPr>
          <w:vertAlign w:val="superscript"/>
          <w:lang w:eastAsia="fr-FR" w:bidi="fr-FR"/>
        </w:rPr>
        <w:t>t</w:t>
      </w:r>
      <w:r w:rsidRPr="007422C9">
        <w:rPr>
          <w:vertAlign w:val="superscript"/>
          <w:lang w:eastAsia="fr-FR" w:bidi="fr-FR"/>
        </w:rPr>
        <w:t>i</w:t>
      </w:r>
      <w:r w:rsidRPr="007422C9">
        <w:rPr>
          <w:lang w:eastAsia="fr-FR" w:bidi="fr-FR"/>
        </w:rPr>
        <w:t xml:space="preserve"> dies dereliquit uacuam, tercius e</w:t>
      </w:r>
      <w:r w:rsidRPr="007422C9">
        <w:rPr>
          <w:lang w:eastAsia="fr-FR" w:bidi="fr-FR"/>
        </w:rPr>
        <w:t>x</w:t>
      </w:r>
      <w:r w:rsidRPr="007422C9">
        <w:rPr>
          <w:lang w:eastAsia="fr-FR" w:bidi="fr-FR"/>
        </w:rPr>
        <w:t>pletis ix mensibus et xx</w:t>
      </w:r>
      <w:r>
        <w:rPr>
          <w:vertAlign w:val="superscript"/>
          <w:lang w:eastAsia="fr-FR" w:bidi="fr-FR"/>
        </w:rPr>
        <w:t>ti</w:t>
      </w:r>
      <w:r w:rsidRPr="007422C9">
        <w:rPr>
          <w:lang w:eastAsia="fr-FR" w:bidi="fr-FR"/>
        </w:rPr>
        <w:t xml:space="preserve"> diebus fecit uacare desolatam</w:t>
      </w:r>
      <w:r>
        <w:rPr>
          <w:lang w:eastAsia="fr-FR" w:bidi="fr-FR"/>
        </w:rPr>
        <w:t> </w:t>
      </w:r>
      <w:r>
        <w:rPr>
          <w:rStyle w:val="Appelnotedebasdep"/>
        </w:rPr>
        <w:footnoteReference w:id="1290"/>
      </w:r>
      <w:r w:rsidRPr="007422C9">
        <w:rPr>
          <w:lang w:eastAsia="fr-FR" w:bidi="fr-FR"/>
        </w:rPr>
        <w:t>. Succedente uero N</w:t>
      </w:r>
      <w:r w:rsidRPr="007422C9">
        <w:rPr>
          <w:lang w:eastAsia="fr-FR" w:bidi="fr-FR"/>
        </w:rPr>
        <w:t>i</w:t>
      </w:r>
      <w:r w:rsidRPr="007422C9">
        <w:rPr>
          <w:lang w:eastAsia="fr-FR" w:bidi="fr-FR"/>
        </w:rPr>
        <w:t>cholao et in apostolica sede confir- mato, placuit Eadwardo glorioso régi ut de uoto quod fecerat sollicitior fieret et tanti patris consilium ut securior existeret sibi copiosius habun- daret. Voluit enim per eum etiam renouare et confirmare consuetudines et donati</w:t>
      </w:r>
      <w:r w:rsidRPr="007422C9">
        <w:rPr>
          <w:lang w:eastAsia="fr-FR" w:bidi="fr-FR"/>
        </w:rPr>
        <w:t>o</w:t>
      </w:r>
      <w:r w:rsidRPr="007422C9">
        <w:rPr>
          <w:lang w:eastAsia="fr-FR" w:bidi="fr-FR"/>
        </w:rPr>
        <w:t>nes pecuniarum quas antecessor</w:t>
      </w:r>
      <w:r>
        <w:rPr>
          <w:lang w:eastAsia="fr-FR" w:bidi="fr-FR"/>
        </w:rPr>
        <w:t>es sui reges beato Petro insti</w:t>
      </w:r>
      <w:r w:rsidRPr="007422C9">
        <w:rPr>
          <w:lang w:eastAsia="fr-FR" w:bidi="fr-FR"/>
        </w:rPr>
        <w:t>tuerant propter summam deuocionem et fidem quam erga eum et eius uicarios semper hab</w:t>
      </w:r>
      <w:r w:rsidRPr="007422C9">
        <w:rPr>
          <w:lang w:eastAsia="fr-FR" w:bidi="fr-FR"/>
        </w:rPr>
        <w:t>e</w:t>
      </w:r>
      <w:r w:rsidRPr="007422C9">
        <w:rPr>
          <w:lang w:eastAsia="fr-FR" w:bidi="fr-FR"/>
        </w:rPr>
        <w:t>bant. Itaque, propter hoc quod premisimus negotium et propter diue</w:t>
      </w:r>
      <w:r w:rsidRPr="007422C9">
        <w:rPr>
          <w:lang w:eastAsia="fr-FR" w:bidi="fr-FR"/>
        </w:rPr>
        <w:t>r</w:t>
      </w:r>
      <w:r w:rsidRPr="007422C9">
        <w:rPr>
          <w:lang w:eastAsia="fr-FR" w:bidi="fr-FR"/>
        </w:rPr>
        <w:t>sarum fluctuationes causarum, Eboracensem pontificem Romam misit Aldredum, et duos electos ad ordinandum episcopos, Gisonem et Wa</w:t>
      </w:r>
      <w:r w:rsidRPr="007422C9">
        <w:rPr>
          <w:lang w:eastAsia="fr-FR" w:bidi="fr-FR"/>
        </w:rPr>
        <w:t>l</w:t>
      </w:r>
      <w:r w:rsidRPr="007422C9">
        <w:rPr>
          <w:lang w:eastAsia="fr-FR" w:bidi="fr-FR"/>
        </w:rPr>
        <w:t>terum, quorum prior Wieelensem, alter uero Herefordensem rexit e</w:t>
      </w:r>
      <w:r w:rsidRPr="007422C9">
        <w:rPr>
          <w:lang w:eastAsia="fr-FR" w:bidi="fr-FR"/>
        </w:rPr>
        <w:t>c</w:t>
      </w:r>
      <w:r w:rsidRPr="007422C9">
        <w:rPr>
          <w:lang w:eastAsia="fr-FR" w:bidi="fr-FR"/>
        </w:rPr>
        <w:t>clesiam</w:t>
      </w:r>
      <w:r>
        <w:rPr>
          <w:lang w:eastAsia="fr-FR" w:bidi="fr-FR"/>
        </w:rPr>
        <w:t> </w:t>
      </w:r>
      <w:r>
        <w:rPr>
          <w:rStyle w:val="Appelnotedebasdep"/>
        </w:rPr>
        <w:footnoteReference w:id="1291"/>
      </w:r>
      <w:r w:rsidRPr="007422C9">
        <w:rPr>
          <w:lang w:eastAsia="fr-FR" w:bidi="fr-FR"/>
        </w:rPr>
        <w:t>. Venientes autem ad urbem a domino papa Nicholao honore quo decebat suscepti sunt, et duo quos premisimus ab eodem sacrati. Inuenerunt etiam secundum De</w:t>
      </w:r>
      <w:r>
        <w:rPr>
          <w:lang w:eastAsia="fr-FR" w:bidi="fr-FR"/>
        </w:rPr>
        <w:t>i dispositionem synodum in Late</w:t>
      </w:r>
      <w:r w:rsidRPr="007422C9">
        <w:rPr>
          <w:lang w:eastAsia="fr-FR" w:bidi="fr-FR"/>
        </w:rPr>
        <w:t>rane</w:t>
      </w:r>
      <w:r w:rsidRPr="007422C9">
        <w:rPr>
          <w:lang w:eastAsia="fr-FR" w:bidi="fr-FR"/>
        </w:rPr>
        <w:t>n</w:t>
      </w:r>
      <w:r w:rsidRPr="007422C9">
        <w:rPr>
          <w:lang w:eastAsia="fr-FR" w:bidi="fr-FR"/>
        </w:rPr>
        <w:t>si palatio congregatam, maximam uidelicet multitudinem episco- p</w:t>
      </w:r>
      <w:r w:rsidRPr="007422C9">
        <w:rPr>
          <w:lang w:eastAsia="fr-FR" w:bidi="fr-FR"/>
        </w:rPr>
        <w:t>o</w:t>
      </w:r>
      <w:r w:rsidRPr="007422C9">
        <w:rPr>
          <w:lang w:eastAsia="fr-FR" w:bidi="fr-FR"/>
        </w:rPr>
        <w:t>rum, abbatum, monachorum et clericorum ceter</w:t>
      </w:r>
      <w:r w:rsidRPr="007422C9">
        <w:rPr>
          <w:lang w:eastAsia="fr-FR" w:bidi="fr-FR"/>
        </w:rPr>
        <w:t>o</w:t>
      </w:r>
      <w:r w:rsidRPr="007422C9">
        <w:rPr>
          <w:lang w:eastAsia="fr-FR" w:bidi="fr-FR"/>
        </w:rPr>
        <w:t>rumque fidelium. Cumque, audiente synodo, sue legationis causam perorarent, huius summam epistole domno pape optulerunt : « Summo uniuersalis e</w:t>
      </w:r>
      <w:r w:rsidRPr="007422C9">
        <w:rPr>
          <w:lang w:eastAsia="fr-FR" w:bidi="fr-FR"/>
        </w:rPr>
        <w:t>c</w:t>
      </w:r>
      <w:r w:rsidRPr="007422C9">
        <w:rPr>
          <w:lang w:eastAsia="fr-FR" w:bidi="fr-FR"/>
        </w:rPr>
        <w:t>clesie patri Nicholao Eadwardus gracia Dei Anglorum rex debitam subiectionem et obedientiam. Glorificamus Deum quia curam habet sue electe ecclesie, quoniam in loco boni predecessoris uos optimum successorem constituit.</w:t>
      </w:r>
      <w:r>
        <w:rPr>
          <w:lang w:eastAsia="fr-FR" w:bidi="fr-FR"/>
        </w:rPr>
        <w:t xml:space="preserve"> </w:t>
      </w:r>
      <w:r>
        <w:t xml:space="preserve">[1001] </w:t>
      </w:r>
      <w:r w:rsidRPr="007422C9">
        <w:rPr>
          <w:lang w:eastAsia="fr-FR" w:bidi="fr-FR"/>
        </w:rPr>
        <w:t>Quapropter iustum iudicamus apud uos uelut ad solidam petram acuere et probare omnes bonas intentiones nostras et uestram</w:t>
      </w:r>
      <w:r>
        <w:rPr>
          <w:lang w:eastAsia="fr-FR" w:bidi="fr-FR"/>
        </w:rPr>
        <w:t> </w:t>
      </w:r>
      <w:r>
        <w:rPr>
          <w:rStyle w:val="Appelnotedebasdep"/>
          <w:lang w:eastAsia="fr-FR" w:bidi="fr-FR"/>
        </w:rPr>
        <w:footnoteReference w:customMarkFollows="1" w:id="1292"/>
        <w:t>b</w:t>
      </w:r>
      <w:r w:rsidRPr="007422C9">
        <w:rPr>
          <w:lang w:eastAsia="fr-FR" w:bidi="fr-FR"/>
        </w:rPr>
        <w:t xml:space="preserve"> notitiam atque societatem in bono habere, quat</w:t>
      </w:r>
      <w:r w:rsidRPr="007422C9">
        <w:rPr>
          <w:lang w:eastAsia="fr-FR" w:bidi="fr-FR"/>
        </w:rPr>
        <w:t>i</w:t>
      </w:r>
      <w:r w:rsidRPr="007422C9">
        <w:rPr>
          <w:lang w:eastAsia="fr-FR" w:bidi="fr-FR"/>
        </w:rPr>
        <w:t>nus eas don</w:t>
      </w:r>
      <w:r>
        <w:rPr>
          <w:lang w:eastAsia="fr-FR" w:bidi="fr-FR"/>
        </w:rPr>
        <w:t>ationes et priuilegia que obti</w:t>
      </w:r>
      <w:r w:rsidRPr="007422C9">
        <w:rPr>
          <w:lang w:eastAsia="fr-FR" w:bidi="fr-FR"/>
        </w:rPr>
        <w:t>nuimus apud predecessorem uestrum renouetis et augeatis nobis : uidelicet ut quod ille iniunxit n</w:t>
      </w:r>
      <w:r w:rsidRPr="007422C9">
        <w:rPr>
          <w:lang w:eastAsia="fr-FR" w:bidi="fr-FR"/>
        </w:rPr>
        <w:t>o</w:t>
      </w:r>
      <w:r w:rsidRPr="007422C9">
        <w:rPr>
          <w:lang w:eastAsia="fr-FR" w:bidi="fr-FR"/>
        </w:rPr>
        <w:t>bis, sub nomine ob</w:t>
      </w:r>
      <w:r w:rsidRPr="007422C9">
        <w:rPr>
          <w:lang w:eastAsia="fr-FR" w:bidi="fr-FR"/>
        </w:rPr>
        <w:t>e</w:t>
      </w:r>
      <w:r w:rsidRPr="007422C9">
        <w:rPr>
          <w:lang w:eastAsia="fr-FR" w:bidi="fr-FR"/>
        </w:rPr>
        <w:t>dientie ac penitentie, propter uotum quod uoueram ire Romam et in remissionem peccatorum omnium meorum, constru</w:t>
      </w:r>
      <w:r w:rsidRPr="007422C9">
        <w:rPr>
          <w:lang w:eastAsia="fr-FR" w:bidi="fr-FR"/>
        </w:rPr>
        <w:t>e</w:t>
      </w:r>
      <w:r w:rsidRPr="007422C9">
        <w:rPr>
          <w:lang w:eastAsia="fr-FR" w:bidi="fr-FR"/>
        </w:rPr>
        <w:t>re cenobium m</w:t>
      </w:r>
      <w:r w:rsidRPr="007422C9">
        <w:rPr>
          <w:lang w:eastAsia="fr-FR" w:bidi="fr-FR"/>
        </w:rPr>
        <w:t>o</w:t>
      </w:r>
      <w:r w:rsidRPr="007422C9">
        <w:rPr>
          <w:lang w:eastAsia="fr-FR" w:bidi="fr-FR"/>
        </w:rPr>
        <w:t xml:space="preserve">nachorum in honore apostoli </w:t>
      </w:r>
      <w:r>
        <w:rPr>
          <w:lang w:eastAsia="fr-FR" w:bidi="fr-FR"/>
        </w:rPr>
        <w:t>Petri</w:t>
      </w:r>
      <w:r w:rsidRPr="007422C9">
        <w:rPr>
          <w:lang w:eastAsia="fr-FR" w:bidi="fr-FR"/>
        </w:rPr>
        <w:t>, ratum faciatis, et priuilegia possessionum et dignitatum eiusdem loci confir- metis, r</w:t>
      </w:r>
      <w:r w:rsidRPr="007422C9">
        <w:rPr>
          <w:lang w:eastAsia="fr-FR" w:bidi="fr-FR"/>
        </w:rPr>
        <w:t>e</w:t>
      </w:r>
      <w:r w:rsidRPr="007422C9">
        <w:rPr>
          <w:lang w:eastAsia="fr-FR" w:bidi="fr-FR"/>
        </w:rPr>
        <w:t>nouetis atque a</w:t>
      </w:r>
      <w:r w:rsidRPr="007422C9">
        <w:rPr>
          <w:lang w:eastAsia="fr-FR" w:bidi="fr-FR"/>
        </w:rPr>
        <w:t>u</w:t>
      </w:r>
      <w:r w:rsidRPr="007422C9">
        <w:rPr>
          <w:lang w:eastAsia="fr-FR" w:bidi="fr-FR"/>
        </w:rPr>
        <w:t>geatis et in perpetuum inmutabilia stare decernatis. Ego quoque, pro modulo meo, augeo et confirmo donationes et consuetudines pecuniarum quas habet sanctus Petrus in Anglia, et i</w:t>
      </w:r>
      <w:r w:rsidRPr="007422C9">
        <w:rPr>
          <w:lang w:eastAsia="fr-FR" w:bidi="fr-FR"/>
        </w:rPr>
        <w:t>p</w:t>
      </w:r>
      <w:r w:rsidRPr="007422C9">
        <w:rPr>
          <w:lang w:eastAsia="fr-FR" w:bidi="fr-FR"/>
        </w:rPr>
        <w:t>sas pecunias collectas cum regalibus donis mitto uobis, ut oretis pro me et pro pace regni mei et continuam ac sollempnem memoriam in</w:t>
      </w:r>
      <w:r w:rsidRPr="007422C9">
        <w:rPr>
          <w:lang w:eastAsia="fr-FR" w:bidi="fr-FR"/>
        </w:rPr>
        <w:t>s</w:t>
      </w:r>
      <w:r w:rsidRPr="007422C9">
        <w:rPr>
          <w:lang w:eastAsia="fr-FR" w:bidi="fr-FR"/>
        </w:rPr>
        <w:t>tituatis totius gentis Anglorum coram corporibus sanctorum apostol</w:t>
      </w:r>
      <w:r w:rsidRPr="007422C9">
        <w:rPr>
          <w:lang w:eastAsia="fr-FR" w:bidi="fr-FR"/>
        </w:rPr>
        <w:t>o</w:t>
      </w:r>
      <w:r w:rsidRPr="007422C9">
        <w:rPr>
          <w:lang w:eastAsia="fr-FR" w:bidi="fr-FR"/>
        </w:rPr>
        <w:t>rum ». His igitur litteris a summo po</w:t>
      </w:r>
      <w:r w:rsidRPr="007422C9">
        <w:rPr>
          <w:lang w:eastAsia="fr-FR" w:bidi="fr-FR"/>
        </w:rPr>
        <w:t>n</w:t>
      </w:r>
      <w:r w:rsidRPr="007422C9">
        <w:rPr>
          <w:lang w:eastAsia="fr-FR" w:bidi="fr-FR"/>
        </w:rPr>
        <w:t>tifice susceptis, cum féliciter ad uotum suum omnibus peractis a Roma redirent, consulente sancta s</w:t>
      </w:r>
      <w:r w:rsidRPr="007422C9">
        <w:rPr>
          <w:lang w:eastAsia="fr-FR" w:bidi="fr-FR"/>
        </w:rPr>
        <w:t>y</w:t>
      </w:r>
      <w:r w:rsidRPr="007422C9">
        <w:rPr>
          <w:lang w:eastAsia="fr-FR" w:bidi="fr-FR"/>
        </w:rPr>
        <w:t>nodo transmissam a domno papa régi detulerunt epistolam : « Nicholaus episcopus, seruus seruorum Dei, gloriosissimo ac piiss</w:t>
      </w:r>
      <w:r w:rsidRPr="007422C9">
        <w:rPr>
          <w:lang w:eastAsia="fr-FR" w:bidi="fr-FR"/>
        </w:rPr>
        <w:t>i</w:t>
      </w:r>
      <w:r w:rsidRPr="007422C9">
        <w:rPr>
          <w:lang w:eastAsia="fr-FR" w:bidi="fr-FR"/>
        </w:rPr>
        <w:t xml:space="preserve">mo </w:t>
      </w:r>
      <w:r>
        <w:rPr>
          <w:lang w:eastAsia="fr-FR" w:bidi="fr-FR"/>
        </w:rPr>
        <w:t>omnique honore dignissimo spiri</w:t>
      </w:r>
      <w:r w:rsidRPr="007422C9">
        <w:rPr>
          <w:lang w:eastAsia="fr-FR" w:bidi="fr-FR"/>
        </w:rPr>
        <w:t>tuali quoque filio nostro Eadwa</w:t>
      </w:r>
      <w:r w:rsidRPr="007422C9">
        <w:rPr>
          <w:lang w:eastAsia="fr-FR" w:bidi="fr-FR"/>
        </w:rPr>
        <w:t>r</w:t>
      </w:r>
      <w:r w:rsidRPr="007422C9">
        <w:rPr>
          <w:lang w:eastAsia="fr-FR" w:bidi="fr-FR"/>
        </w:rPr>
        <w:t>do An</w:t>
      </w:r>
      <w:r>
        <w:rPr>
          <w:lang w:eastAsia="fr-FR" w:bidi="fr-FR"/>
        </w:rPr>
        <w:t>glorum regi uisitationem omnimo</w:t>
      </w:r>
      <w:r w:rsidRPr="007422C9">
        <w:rPr>
          <w:lang w:eastAsia="fr-FR" w:bidi="fr-FR"/>
        </w:rPr>
        <w:t>dam, salutem mellifluam et benedictionem apostolicam. O</w:t>
      </w:r>
      <w:r w:rsidRPr="007422C9">
        <w:rPr>
          <w:lang w:eastAsia="fr-FR" w:bidi="fr-FR"/>
        </w:rPr>
        <w:t>m</w:t>
      </w:r>
      <w:r w:rsidRPr="007422C9">
        <w:rPr>
          <w:lang w:eastAsia="fr-FR" w:bidi="fr-FR"/>
        </w:rPr>
        <w:t>nipotenti Deo referimus grates qui uestram prudentissimam excelle</w:t>
      </w:r>
      <w:r w:rsidRPr="007422C9">
        <w:rPr>
          <w:lang w:eastAsia="fr-FR" w:bidi="fr-FR"/>
        </w:rPr>
        <w:t>n</w:t>
      </w:r>
      <w:r w:rsidRPr="007422C9">
        <w:rPr>
          <w:lang w:eastAsia="fr-FR" w:bidi="fr-FR"/>
        </w:rPr>
        <w:t>tiam in omnibus ornauit ac decorauit erga beatum Petrum</w:t>
      </w:r>
      <w:r>
        <w:rPr>
          <w:lang w:eastAsia="fr-FR" w:bidi="fr-FR"/>
        </w:rPr>
        <w:t xml:space="preserve"> apostolorum principem et nobis</w:t>
      </w:r>
      <w:r w:rsidRPr="007422C9">
        <w:rPr>
          <w:lang w:eastAsia="fr-FR" w:bidi="fr-FR"/>
        </w:rPr>
        <w:t>cum habere dï ectionem et in omnibus apostoli</w:t>
      </w:r>
      <w:r>
        <w:rPr>
          <w:lang w:eastAsia="fr-FR" w:bidi="fr-FR"/>
        </w:rPr>
        <w:t>cis consentire censuris. Litte</w:t>
      </w:r>
      <w:r w:rsidRPr="007422C9">
        <w:rPr>
          <w:lang w:eastAsia="fr-FR" w:bidi="fr-FR"/>
        </w:rPr>
        <w:t>ras ig</w:t>
      </w:r>
      <w:r w:rsidRPr="007422C9">
        <w:rPr>
          <w:lang w:eastAsia="fr-FR" w:bidi="fr-FR"/>
        </w:rPr>
        <w:t>i</w:t>
      </w:r>
      <w:r w:rsidRPr="007422C9">
        <w:rPr>
          <w:lang w:eastAsia="fr-FR" w:bidi="fr-FR"/>
        </w:rPr>
        <w:t>tur uestre nobilitati transmittimus et per eas societatem sanctorum apost</w:t>
      </w:r>
      <w:r w:rsidRPr="007422C9">
        <w:rPr>
          <w:lang w:eastAsia="fr-FR" w:bidi="fr-FR"/>
        </w:rPr>
        <w:t>o</w:t>
      </w:r>
      <w:r w:rsidRPr="007422C9">
        <w:rPr>
          <w:lang w:eastAsia="fr-FR" w:bidi="fr-FR"/>
        </w:rPr>
        <w:t>lorum et nostram nobis damus, orantes m</w:t>
      </w:r>
      <w:r w:rsidRPr="007422C9">
        <w:rPr>
          <w:lang w:eastAsia="fr-FR" w:bidi="fr-FR"/>
        </w:rPr>
        <w:t>i</w:t>
      </w:r>
      <w:r w:rsidRPr="007422C9">
        <w:rPr>
          <w:lang w:eastAsia="fr-FR" w:bidi="fr-FR"/>
        </w:rPr>
        <w:t>sericordiam Illius qui est Dominus omnium et Rex super omnia solus, ut ipse uos participem faciat ex omnibus, si qua sunt c</w:t>
      </w:r>
      <w:r w:rsidRPr="007422C9">
        <w:rPr>
          <w:lang w:eastAsia="fr-FR" w:bidi="fr-FR"/>
        </w:rPr>
        <w:t>o</w:t>
      </w:r>
      <w:r w:rsidRPr="007422C9">
        <w:rPr>
          <w:lang w:eastAsia="fr-FR" w:bidi="fr-FR"/>
        </w:rPr>
        <w:t>ram Deo, bonis operibus nostris, et fratres uos ac socios in sua dilectione constituât in omni tempore a</w:t>
      </w:r>
      <w:r w:rsidRPr="007422C9">
        <w:rPr>
          <w:lang w:eastAsia="fr-FR" w:bidi="fr-FR"/>
        </w:rPr>
        <w:t>m</w:t>
      </w:r>
      <w:r w:rsidRPr="007422C9">
        <w:rPr>
          <w:lang w:eastAsia="fr-FR" w:bidi="fr-FR"/>
        </w:rPr>
        <w:t>plius, ac non minorem partem nostri obsequii uobis reconsignet in r</w:t>
      </w:r>
      <w:r w:rsidRPr="007422C9">
        <w:rPr>
          <w:lang w:eastAsia="fr-FR" w:bidi="fr-FR"/>
        </w:rPr>
        <w:t>e</w:t>
      </w:r>
      <w:r w:rsidRPr="007422C9">
        <w:rPr>
          <w:lang w:eastAsia="fr-FR" w:bidi="fr-FR"/>
        </w:rPr>
        <w:t>gno suo quam nobismet ipsis prouenire optamus. Erimus etiam dei</w:t>
      </w:r>
      <w:r w:rsidRPr="007422C9">
        <w:rPr>
          <w:lang w:eastAsia="fr-FR" w:bidi="fr-FR"/>
        </w:rPr>
        <w:t>n</w:t>
      </w:r>
      <w:r w:rsidRPr="007422C9">
        <w:rPr>
          <w:lang w:eastAsia="fr-FR" w:bidi="fr-FR"/>
        </w:rPr>
        <w:t>ceps pro uobis sine dubio ora</w:t>
      </w:r>
      <w:r w:rsidRPr="007422C9">
        <w:rPr>
          <w:lang w:eastAsia="fr-FR" w:bidi="fr-FR"/>
        </w:rPr>
        <w:t>n</w:t>
      </w:r>
      <w:r w:rsidRPr="007422C9">
        <w:rPr>
          <w:lang w:eastAsia="fr-FR" w:bidi="fr-FR"/>
        </w:rPr>
        <w:t>tes assidue, ut ipse Deus uobis subiciat hostes et inimicos qui contra uos uoluerunt insu</w:t>
      </w:r>
      <w:r w:rsidRPr="007422C9">
        <w:rPr>
          <w:lang w:eastAsia="fr-FR" w:bidi="fr-FR"/>
        </w:rPr>
        <w:t>r</w:t>
      </w:r>
      <w:r w:rsidRPr="007422C9">
        <w:rPr>
          <w:lang w:eastAsia="fr-FR" w:bidi="fr-FR"/>
        </w:rPr>
        <w:t>gere et confirmet uos in paterno solio et propria hereditate, ac beatus Petrus sit uobis custos et adiutor semper in omni tribulatione. Claret enim Anglorum reges, pro reuerentia et deuotione quam exibuerunt beato Petro, gloria et h</w:t>
      </w:r>
      <w:r w:rsidRPr="007422C9">
        <w:rPr>
          <w:lang w:eastAsia="fr-FR" w:bidi="fr-FR"/>
        </w:rPr>
        <w:t>o</w:t>
      </w:r>
      <w:r w:rsidRPr="007422C9">
        <w:rPr>
          <w:lang w:eastAsia="fr-FR" w:bidi="fr-FR"/>
        </w:rPr>
        <w:t>nore lloruisse, et ipsius p</w:t>
      </w:r>
      <w:r w:rsidRPr="007422C9">
        <w:rPr>
          <w:lang w:eastAsia="fr-FR" w:bidi="fr-FR"/>
        </w:rPr>
        <w:t>a</w:t>
      </w:r>
      <w:r>
        <w:rPr>
          <w:lang w:eastAsia="fr-FR" w:bidi="fr-FR"/>
        </w:rPr>
        <w:t>tro</w:t>
      </w:r>
      <w:r w:rsidRPr="007422C9">
        <w:rPr>
          <w:lang w:eastAsia="fr-FR" w:bidi="fr-FR"/>
        </w:rPr>
        <w:t>cinio famosos triumphos obtinuisse. Cuius beati apostoli meritis uestro desiderio et uoluntati omnipotens Deus prestet efïectum, et confirmet uobis paterni regni imperium et tribuat incrementum, et post presentis uite decursum perducat ad ete</w:t>
      </w:r>
      <w:r w:rsidRPr="007422C9">
        <w:rPr>
          <w:lang w:eastAsia="fr-FR" w:bidi="fr-FR"/>
        </w:rPr>
        <w:t>r</w:t>
      </w:r>
      <w:r w:rsidRPr="007422C9">
        <w:rPr>
          <w:lang w:eastAsia="fr-FR" w:bidi="fr-FR"/>
        </w:rPr>
        <w:t>num permanentis glorie imp</w:t>
      </w:r>
      <w:r w:rsidRPr="007422C9">
        <w:rPr>
          <w:lang w:eastAsia="fr-FR" w:bidi="fr-FR"/>
        </w:rPr>
        <w:t>e</w:t>
      </w:r>
      <w:r w:rsidRPr="007422C9">
        <w:rPr>
          <w:lang w:eastAsia="fr-FR" w:bidi="fr-FR"/>
        </w:rPr>
        <w:t>rium. Renouamus ergo et confirmamus et augemus uobis priuilegia uestra, scilicet ut absolutus sitis ab illo uoto</w:t>
      </w:r>
      <w:r>
        <w:rPr>
          <w:lang w:eastAsia="fr-FR" w:bidi="fr-FR"/>
        </w:rPr>
        <w:t> </w:t>
      </w:r>
      <w:r>
        <w:rPr>
          <w:rStyle w:val="Appelnotedebasdep"/>
          <w:lang w:eastAsia="fr-FR" w:bidi="fr-FR"/>
        </w:rPr>
        <w:footnoteReference w:customMarkFollows="1" w:id="1293"/>
        <w:t>c</w:t>
      </w:r>
      <w:r w:rsidRPr="007422C9">
        <w:rPr>
          <w:lang w:eastAsia="fr-FR" w:bidi="fr-FR"/>
        </w:rPr>
        <w:t xml:space="preserve"> quod timebatis, et ab omnibus aliis peccatis et iniquitatibus ue</w:t>
      </w:r>
      <w:r w:rsidRPr="007422C9">
        <w:rPr>
          <w:lang w:eastAsia="fr-FR" w:bidi="fr-FR"/>
        </w:rPr>
        <w:t>s</w:t>
      </w:r>
      <w:r w:rsidRPr="007422C9">
        <w:rPr>
          <w:lang w:eastAsia="fr-FR" w:bidi="fr-FR"/>
        </w:rPr>
        <w:t>tris, auctoritate Illius qui me, licet indignum, sue sancte sedi preesse uoluit. Preterea illi loco quem sub nomine sancte penitentie con</w:t>
      </w:r>
      <w:r w:rsidRPr="007422C9">
        <w:rPr>
          <w:lang w:eastAsia="fr-FR" w:bidi="fr-FR"/>
        </w:rPr>
        <w:t>s</w:t>
      </w:r>
      <w:r w:rsidRPr="007422C9">
        <w:rPr>
          <w:lang w:eastAsia="fr-FR" w:bidi="fr-FR"/>
        </w:rPr>
        <w:t>truendum et meliorandum suscepistis, quoniam, ut fertur, primam a</w:t>
      </w:r>
      <w:r w:rsidRPr="007422C9">
        <w:rPr>
          <w:lang w:eastAsia="fr-FR" w:bidi="fr-FR"/>
        </w:rPr>
        <w:t>n</w:t>
      </w:r>
      <w:r w:rsidRPr="007422C9">
        <w:rPr>
          <w:lang w:eastAsia="fr-FR" w:bidi="fr-FR"/>
        </w:rPr>
        <w:t>tiquitus consecrationem a beato P</w:t>
      </w:r>
      <w:r w:rsidRPr="007422C9">
        <w:rPr>
          <w:lang w:eastAsia="fr-FR" w:bidi="fr-FR"/>
        </w:rPr>
        <w:t>e</w:t>
      </w:r>
      <w:r w:rsidRPr="007422C9">
        <w:rPr>
          <w:lang w:eastAsia="fr-FR" w:bidi="fr-FR"/>
        </w:rPr>
        <w:t>tro accepit, cuius, licet indigni,</w:t>
      </w:r>
      <w:r>
        <w:rPr>
          <w:lang w:eastAsia="fr-FR" w:bidi="fr-FR"/>
        </w:rPr>
        <w:t xml:space="preserve"> </w:t>
      </w:r>
      <w:r>
        <w:t xml:space="preserve">[1002] </w:t>
      </w:r>
      <w:r w:rsidRPr="007422C9">
        <w:rPr>
          <w:lang w:eastAsia="fr-FR" w:bidi="fr-FR"/>
        </w:rPr>
        <w:t>uicarii sumus, et quia regia antiquitus sedes est, auctoritate Dei et sancto- rum apostolorum atque huius Romane sedis et nostra conc</w:t>
      </w:r>
      <w:r w:rsidRPr="007422C9">
        <w:rPr>
          <w:lang w:eastAsia="fr-FR" w:bidi="fr-FR"/>
        </w:rPr>
        <w:t>e</w:t>
      </w:r>
      <w:r w:rsidRPr="007422C9">
        <w:rPr>
          <w:lang w:eastAsia="fr-FR" w:bidi="fr-FR"/>
        </w:rPr>
        <w:t>dimus, permit- timus, et solidissime confirmamus ut amplius imperp</w:t>
      </w:r>
      <w:r w:rsidRPr="007422C9">
        <w:rPr>
          <w:lang w:eastAsia="fr-FR" w:bidi="fr-FR"/>
        </w:rPr>
        <w:t>e</w:t>
      </w:r>
      <w:r w:rsidRPr="007422C9">
        <w:rPr>
          <w:lang w:eastAsia="fr-FR" w:bidi="fr-FR"/>
        </w:rPr>
        <w:t>tuum régie constitutionis et consecracionis sit locus, atque reposit</w:t>
      </w:r>
      <w:r w:rsidRPr="007422C9">
        <w:rPr>
          <w:lang w:eastAsia="fr-FR" w:bidi="fr-FR"/>
        </w:rPr>
        <w:t>o</w:t>
      </w:r>
      <w:r w:rsidRPr="007422C9">
        <w:rPr>
          <w:lang w:eastAsia="fr-FR" w:bidi="fr-FR"/>
        </w:rPr>
        <w:t>rium regalium insignium et habitatio perpétua monachorum qui nulli omnino persone nisi régi subdantur ; habeantque potestatem secundum regulam sancti Benedicti per successores eligere ex se id</w:t>
      </w:r>
      <w:r w:rsidRPr="007422C9">
        <w:rPr>
          <w:lang w:eastAsia="fr-FR" w:bidi="fr-FR"/>
        </w:rPr>
        <w:t>o</w:t>
      </w:r>
      <w:r w:rsidRPr="007422C9">
        <w:rPr>
          <w:lang w:eastAsia="fr-FR" w:bidi="fr-FR"/>
        </w:rPr>
        <w:t>neos abbates, neque introducatur per uiolentiam extranea persona nisi quam concors congregatio preesse elegerit. Absoluimus etiam eum locum ab omni seruicio et dominatione episcopali, ut nullus episcopus illuc i</w:t>
      </w:r>
      <w:r w:rsidRPr="007422C9">
        <w:rPr>
          <w:lang w:eastAsia="fr-FR" w:bidi="fr-FR"/>
        </w:rPr>
        <w:t>n</w:t>
      </w:r>
      <w:r w:rsidRPr="007422C9">
        <w:rPr>
          <w:lang w:eastAsia="fr-FR" w:bidi="fr-FR"/>
        </w:rPr>
        <w:t>troeat ordinaturus aut precepturus aliquid nisi ex petitione et consensu abbatis et monachorum, et habeat idem locus liberum pr</w:t>
      </w:r>
      <w:r w:rsidRPr="007422C9">
        <w:rPr>
          <w:lang w:eastAsia="fr-FR" w:bidi="fr-FR"/>
        </w:rPr>
        <w:t>o</w:t>
      </w:r>
      <w:r w:rsidRPr="007422C9">
        <w:rPr>
          <w:lang w:eastAsia="fr-FR" w:bidi="fr-FR"/>
        </w:rPr>
        <w:t>cinctum, id est</w:t>
      </w:r>
      <w:r>
        <w:rPr>
          <w:lang w:eastAsia="fr-FR" w:bidi="fr-FR"/>
        </w:rPr>
        <w:t> </w:t>
      </w:r>
      <w:r>
        <w:rPr>
          <w:rStyle w:val="Appelnotedebasdep"/>
          <w:lang w:eastAsia="fr-FR" w:bidi="fr-FR"/>
        </w:rPr>
        <w:footnoteReference w:customMarkFollows="1" w:id="1294"/>
        <w:t>d</w:t>
      </w:r>
      <w:r w:rsidRPr="007422C9">
        <w:rPr>
          <w:lang w:eastAsia="fr-FR" w:bidi="fr-FR"/>
        </w:rPr>
        <w:t xml:space="preserve"> ambitum et cimiterium mortuorum circa se absque episcopali uel cuiuslibet respectu uel exactione. Et omnia que ad libe</w:t>
      </w:r>
      <w:r w:rsidRPr="007422C9">
        <w:rPr>
          <w:lang w:eastAsia="fr-FR" w:bidi="fr-FR"/>
        </w:rPr>
        <w:t>r</w:t>
      </w:r>
      <w:r w:rsidRPr="007422C9">
        <w:rPr>
          <w:lang w:eastAsia="fr-FR" w:bidi="fr-FR"/>
        </w:rPr>
        <w:t>tatem et exaltationem illius loci ad honorem Dei pertinentia per no</w:t>
      </w:r>
      <w:r w:rsidRPr="007422C9">
        <w:rPr>
          <w:lang w:eastAsia="fr-FR" w:bidi="fr-FR"/>
        </w:rPr>
        <w:t>s</w:t>
      </w:r>
      <w:r w:rsidRPr="007422C9">
        <w:rPr>
          <w:lang w:eastAsia="fr-FR" w:bidi="fr-FR"/>
        </w:rPr>
        <w:t>tram auctorit</w:t>
      </w:r>
      <w:r w:rsidRPr="007422C9">
        <w:rPr>
          <w:lang w:eastAsia="fr-FR" w:bidi="fr-FR"/>
        </w:rPr>
        <w:t>a</w:t>
      </w:r>
      <w:r w:rsidRPr="007422C9">
        <w:rPr>
          <w:lang w:eastAsia="fr-FR" w:bidi="fr-FR"/>
        </w:rPr>
        <w:t>tem accedere possunt, hylari et promtissima uoluntate concedimus. Possessiones autem quas antiqui reges seu quicumque alii homines uos quoque et uestri barones ad eundem locum contuli</w:t>
      </w:r>
      <w:r w:rsidRPr="007422C9">
        <w:rPr>
          <w:lang w:eastAsia="fr-FR" w:bidi="fr-FR"/>
        </w:rPr>
        <w:t>s</w:t>
      </w:r>
      <w:r w:rsidRPr="007422C9">
        <w:rPr>
          <w:lang w:eastAsia="fr-FR" w:bidi="fr-FR"/>
        </w:rPr>
        <w:t>tis, et cartas que ex eis facte sunt, diuina et nostra auctoritate robor</w:t>
      </w:r>
      <w:r w:rsidRPr="007422C9">
        <w:rPr>
          <w:lang w:eastAsia="fr-FR" w:bidi="fr-FR"/>
        </w:rPr>
        <w:t>a</w:t>
      </w:r>
      <w:r w:rsidRPr="007422C9">
        <w:rPr>
          <w:lang w:eastAsia="fr-FR" w:bidi="fr-FR"/>
        </w:rPr>
        <w:t>mus et ratas ac stabiles esse decernimus ; et infractores earum uel inuasores aut dim</w:t>
      </w:r>
      <w:r w:rsidRPr="007422C9">
        <w:rPr>
          <w:lang w:eastAsia="fr-FR" w:bidi="fr-FR"/>
        </w:rPr>
        <w:t>i</w:t>
      </w:r>
      <w:r w:rsidRPr="007422C9">
        <w:rPr>
          <w:lang w:eastAsia="fr-FR" w:bidi="fr-FR"/>
        </w:rPr>
        <w:t>nutores aut dispersores, uenditores etiam, eterna maledictione cum Iuda proditore dampnamus, ut non habeant partem in beata resurre</w:t>
      </w:r>
      <w:r w:rsidRPr="007422C9">
        <w:rPr>
          <w:lang w:eastAsia="fr-FR" w:bidi="fr-FR"/>
        </w:rPr>
        <w:t>c</w:t>
      </w:r>
      <w:r w:rsidRPr="007422C9">
        <w:rPr>
          <w:lang w:eastAsia="fr-FR" w:bidi="fr-FR"/>
        </w:rPr>
        <w:t>tione, set a beato Petro apostolo se iudicandos sciant, quando sedebit cum suis coapostolis iudicans xii tribus Israël. Vobis uero et posteris uestris regibus committimus aduocationem et tuiti</w:t>
      </w:r>
      <w:r w:rsidRPr="007422C9">
        <w:rPr>
          <w:lang w:eastAsia="fr-FR" w:bidi="fr-FR"/>
        </w:rPr>
        <w:t>o</w:t>
      </w:r>
      <w:r w:rsidRPr="007422C9">
        <w:rPr>
          <w:lang w:eastAsia="fr-FR" w:bidi="fr-FR"/>
        </w:rPr>
        <w:t>nem eiusdem loci et omnium totius Anglie eclesiarum, ut uice nostra cum consilio epi</w:t>
      </w:r>
      <w:r w:rsidRPr="007422C9">
        <w:rPr>
          <w:lang w:eastAsia="fr-FR" w:bidi="fr-FR"/>
        </w:rPr>
        <w:t>s</w:t>
      </w:r>
      <w:r w:rsidRPr="007422C9">
        <w:rPr>
          <w:lang w:eastAsia="fr-FR" w:bidi="fr-FR"/>
        </w:rPr>
        <w:t>coporum et abbatum constituatis ubique que iusta sunt, scientes pro hoc uos recepturos dignam mercedem ab eo cuius regnum et imperium nec desinet nec minuetur in seculum ». Hanc ig</w:t>
      </w:r>
      <w:r w:rsidRPr="007422C9">
        <w:rPr>
          <w:lang w:eastAsia="fr-FR" w:bidi="fr-FR"/>
        </w:rPr>
        <w:t>i</w:t>
      </w:r>
      <w:r w:rsidRPr="007422C9">
        <w:rPr>
          <w:lang w:eastAsia="fr-FR" w:bidi="fr-FR"/>
        </w:rPr>
        <w:t>tur epistolam a sedis apostolice présidé Nicholao transmissam cum maxima prosper</w:t>
      </w:r>
      <w:r w:rsidRPr="007422C9">
        <w:rPr>
          <w:lang w:eastAsia="fr-FR" w:bidi="fr-FR"/>
        </w:rPr>
        <w:t>i</w:t>
      </w:r>
      <w:r w:rsidRPr="007422C9">
        <w:rPr>
          <w:lang w:eastAsia="fr-FR" w:bidi="fr-FR"/>
        </w:rPr>
        <w:t>tate retulerunt nuntii et a rege gratanter et honorifice sunt suscepti. Qui priuilegia sua statuit inconuulsa, in quibus tantam libertatem attr</w:t>
      </w:r>
      <w:r w:rsidRPr="007422C9">
        <w:rPr>
          <w:lang w:eastAsia="fr-FR" w:bidi="fr-FR"/>
        </w:rPr>
        <w:t>i</w:t>
      </w:r>
      <w:r w:rsidRPr="007422C9">
        <w:rPr>
          <w:lang w:eastAsia="fr-FR" w:bidi="fr-FR"/>
        </w:rPr>
        <w:t>buit ecclesie quod ea liberiorum nemo potest inuenire. In quibus et hoc specialiter a cunctis Anglorum regibus usque hodie conseruatum est ut quicumque fugitiuus, de quocumque loco, pro quacumque ca</w:t>
      </w:r>
      <w:r w:rsidRPr="007422C9">
        <w:rPr>
          <w:lang w:eastAsia="fr-FR" w:bidi="fr-FR"/>
        </w:rPr>
        <w:t>u</w:t>
      </w:r>
      <w:r w:rsidRPr="007422C9">
        <w:rPr>
          <w:lang w:eastAsia="fr-FR" w:bidi="fr-FR"/>
        </w:rPr>
        <w:t>sa, cuiuscumque conditionis sit, ipsum sanctum locum uel procinctum eius fugiens intrauerit, me</w:t>
      </w:r>
      <w:r>
        <w:rPr>
          <w:lang w:eastAsia="fr-FR" w:bidi="fr-FR"/>
        </w:rPr>
        <w:t>mbrorum suorum ac uite impu</w:t>
      </w:r>
      <w:r w:rsidRPr="007422C9">
        <w:rPr>
          <w:lang w:eastAsia="fr-FR" w:bidi="fr-FR"/>
        </w:rPr>
        <w:t>nitatem consequatur. Que priuilegia cum maxima in thesauro custodiuntur d</w:t>
      </w:r>
      <w:r w:rsidRPr="007422C9">
        <w:rPr>
          <w:lang w:eastAsia="fr-FR" w:bidi="fr-FR"/>
        </w:rPr>
        <w:t>i</w:t>
      </w:r>
      <w:r w:rsidRPr="007422C9">
        <w:rPr>
          <w:lang w:eastAsia="fr-FR" w:bidi="fr-FR"/>
        </w:rPr>
        <w:t>ligentia, eiusdem sancti regis sigillo</w:t>
      </w:r>
      <w:r>
        <w:rPr>
          <w:lang w:eastAsia="fr-FR" w:bidi="fr-FR"/>
        </w:rPr>
        <w:t> </w:t>
      </w:r>
      <w:r>
        <w:rPr>
          <w:rStyle w:val="Appelnotedebasdep"/>
          <w:lang w:eastAsia="fr-FR" w:bidi="fr-FR"/>
        </w:rPr>
        <w:footnoteReference w:customMarkFollows="1" w:id="1295"/>
        <w:t>e</w:t>
      </w:r>
      <w:r>
        <w:rPr>
          <w:lang w:eastAsia="fr-FR" w:bidi="fr-FR"/>
        </w:rPr>
        <w:t> </w:t>
      </w:r>
      <w:r w:rsidRPr="00D8358A">
        <w:rPr>
          <w:i/>
          <w:color w:val="FF0000"/>
          <w:lang w:eastAsia="fr-FR" w:bidi="fr-FR"/>
        </w:rPr>
        <w:t>e</w:t>
      </w:r>
      <w:r w:rsidRPr="007422C9">
        <w:rPr>
          <w:lang w:eastAsia="fr-FR" w:bidi="fr-FR"/>
        </w:rPr>
        <w:t xml:space="preserve"> consignata. Set quia de uita eius explicanda, non de priuilegiis suscepimus seriem, ab alio inc</w:t>
      </w:r>
      <w:r w:rsidRPr="007422C9">
        <w:rPr>
          <w:lang w:eastAsia="fr-FR" w:bidi="fr-FR"/>
        </w:rPr>
        <w:t>i</w:t>
      </w:r>
      <w:r w:rsidRPr="007422C9">
        <w:rPr>
          <w:lang w:eastAsia="fr-FR" w:bidi="fr-FR"/>
        </w:rPr>
        <w:t>piamus exordio nouam relationem.</w:t>
      </w:r>
    </w:p>
    <w:p w14:paraId="29755D3B" w14:textId="77777777" w:rsidR="00B9662D" w:rsidRDefault="00B9662D" w:rsidP="00B9662D">
      <w:pPr>
        <w:spacing w:before="120" w:after="120"/>
        <w:jc w:val="both"/>
        <w:rPr>
          <w:lang w:eastAsia="fr-FR" w:bidi="fr-FR"/>
        </w:rPr>
      </w:pPr>
    </w:p>
    <w:p w14:paraId="16865736" w14:textId="77777777" w:rsidR="00B9662D" w:rsidRPr="007422C9" w:rsidRDefault="00B9662D" w:rsidP="00B9662D">
      <w:pPr>
        <w:pStyle w:val="b"/>
      </w:pPr>
      <w:r>
        <w:rPr>
          <w:lang w:eastAsia="fr-FR" w:bidi="fr-FR"/>
        </w:rPr>
        <w:t xml:space="preserve">XII. </w:t>
      </w:r>
      <w:r w:rsidRPr="00011E17">
        <w:rPr>
          <w:lang w:eastAsia="fr-FR" w:bidi="fr-FR"/>
        </w:rPr>
        <w:t>De eo quod rex et quidam cornes religiosus Dominum Ih</w:t>
      </w:r>
      <w:r w:rsidRPr="00011E17">
        <w:rPr>
          <w:lang w:eastAsia="fr-FR" w:bidi="fr-FR"/>
        </w:rPr>
        <w:t>e</w:t>
      </w:r>
      <w:r w:rsidRPr="00011E17">
        <w:rPr>
          <w:lang w:eastAsia="fr-FR" w:bidi="fr-FR"/>
        </w:rPr>
        <w:t>sum Christum corporalibus oculis uiderint </w:t>
      </w:r>
      <w:r w:rsidRPr="00FA2B99">
        <w:rPr>
          <w:rStyle w:val="Appelnotedebasdep"/>
          <w:i w:val="0"/>
        </w:rPr>
        <w:footnoteReference w:id="1296"/>
      </w:r>
      <w:r w:rsidRPr="007422C9">
        <w:rPr>
          <w:lang w:eastAsia="fr-FR" w:bidi="fr-FR"/>
        </w:rPr>
        <w:t>.</w:t>
      </w:r>
    </w:p>
    <w:p w14:paraId="3ACC5DA0" w14:textId="77777777" w:rsidR="00B9662D" w:rsidRDefault="00B9662D" w:rsidP="00B9662D">
      <w:pPr>
        <w:spacing w:before="120" w:after="120"/>
        <w:jc w:val="both"/>
        <w:rPr>
          <w:lang w:eastAsia="fr-FR" w:bidi="fr-FR"/>
        </w:rPr>
      </w:pPr>
    </w:p>
    <w:p w14:paraId="4D30A701" w14:textId="77777777" w:rsidR="00B9662D" w:rsidRPr="007422C9" w:rsidRDefault="00B9662D" w:rsidP="00B9662D">
      <w:pPr>
        <w:spacing w:before="120" w:after="120"/>
        <w:jc w:val="both"/>
      </w:pPr>
      <w:r w:rsidRPr="007422C9">
        <w:rPr>
          <w:lang w:eastAsia="fr-FR" w:bidi="fr-FR"/>
        </w:rPr>
        <w:t>Multa per regem Eadwardum Deus omnipotens opéra tus insignia istud fertur addidisse miraculum quod mente sollicita suscepimus e</w:t>
      </w:r>
      <w:r w:rsidRPr="007422C9">
        <w:rPr>
          <w:lang w:eastAsia="fr-FR" w:bidi="fr-FR"/>
        </w:rPr>
        <w:t>x</w:t>
      </w:r>
      <w:r w:rsidRPr="007422C9">
        <w:rPr>
          <w:lang w:eastAsia="fr-FR" w:bidi="fr-FR"/>
        </w:rPr>
        <w:t>planandum.</w:t>
      </w:r>
      <w:r>
        <w:rPr>
          <w:lang w:eastAsia="fr-FR" w:bidi="fr-FR"/>
        </w:rPr>
        <w:t xml:space="preserve"> </w:t>
      </w:r>
      <w:r>
        <w:t xml:space="preserve">[1003] </w:t>
      </w:r>
      <w:r w:rsidRPr="007422C9">
        <w:rPr>
          <w:lang w:eastAsia="fr-FR" w:bidi="fr-FR"/>
        </w:rPr>
        <w:t>Erat aliquando prefatus princeps in ecclesia Westmonasterii ad sancte et indiuidue Trinitatis altare, et cum eo deuotus Dei seruus co</w:t>
      </w:r>
      <w:r w:rsidRPr="007422C9">
        <w:rPr>
          <w:lang w:eastAsia="fr-FR" w:bidi="fr-FR"/>
        </w:rPr>
        <w:t>r</w:t>
      </w:r>
      <w:r w:rsidRPr="007422C9">
        <w:rPr>
          <w:lang w:eastAsia="fr-FR" w:bidi="fr-FR"/>
        </w:rPr>
        <w:t>nes Leouericus qui Couentrense cenobium condidit</w:t>
      </w:r>
      <w:r>
        <w:rPr>
          <w:lang w:eastAsia="fr-FR" w:bidi="fr-FR"/>
        </w:rPr>
        <w:t> </w:t>
      </w:r>
      <w:r>
        <w:rPr>
          <w:rStyle w:val="Appelnotedebasdep"/>
        </w:rPr>
        <w:footnoteReference w:id="1297"/>
      </w:r>
      <w:r w:rsidRPr="007422C9">
        <w:rPr>
          <w:lang w:eastAsia="fr-FR" w:bidi="fr-FR"/>
        </w:rPr>
        <w:t xml:space="preserve"> et inter cuncta totius regni monasteria auro et argento c</w:t>
      </w:r>
      <w:r w:rsidRPr="007422C9">
        <w:rPr>
          <w:lang w:eastAsia="fr-FR" w:bidi="fr-FR"/>
        </w:rPr>
        <w:t>o</w:t>
      </w:r>
      <w:r w:rsidRPr="007422C9">
        <w:rPr>
          <w:lang w:eastAsia="fr-FR" w:bidi="fr-FR"/>
        </w:rPr>
        <w:t>piosius ditauit. Vir iste pr</w:t>
      </w:r>
      <w:r w:rsidRPr="007422C9">
        <w:rPr>
          <w:lang w:eastAsia="fr-FR" w:bidi="fr-FR"/>
        </w:rPr>
        <w:t>e</w:t>
      </w:r>
      <w:r w:rsidRPr="007422C9">
        <w:rPr>
          <w:lang w:eastAsia="fr-FR" w:bidi="fr-FR"/>
        </w:rPr>
        <w:t>clarus et celebris, astans ante mensam Christi in orationibus et lamentis, in ili</w:t>
      </w:r>
      <w:r>
        <w:rPr>
          <w:lang w:eastAsia="fr-FR" w:bidi="fr-FR"/>
        </w:rPr>
        <w:t>a hora qua patri sacerdos i</w:t>
      </w:r>
      <w:r>
        <w:rPr>
          <w:lang w:eastAsia="fr-FR" w:bidi="fr-FR"/>
        </w:rPr>
        <w:t>m</w:t>
      </w:r>
      <w:r>
        <w:rPr>
          <w:lang w:eastAsia="fr-FR" w:bidi="fr-FR"/>
        </w:rPr>
        <w:t>mola</w:t>
      </w:r>
      <w:r w:rsidRPr="007422C9">
        <w:rPr>
          <w:lang w:eastAsia="fr-FR" w:bidi="fr-FR"/>
        </w:rPr>
        <w:t>t filium, uidit astare super mensam dominicam eundem Ihesum Christum qui, dextera regem benedicens extensa, suam utrique man</w:t>
      </w:r>
      <w:r w:rsidRPr="007422C9">
        <w:rPr>
          <w:lang w:eastAsia="fr-FR" w:bidi="fr-FR"/>
        </w:rPr>
        <w:t>i</w:t>
      </w:r>
      <w:r w:rsidRPr="007422C9">
        <w:rPr>
          <w:lang w:eastAsia="fr-FR" w:bidi="fr-FR"/>
        </w:rPr>
        <w:t>festât speciem speciosusque uis</w:t>
      </w:r>
      <w:r w:rsidRPr="007422C9">
        <w:rPr>
          <w:lang w:eastAsia="fr-FR" w:bidi="fr-FR"/>
        </w:rPr>
        <w:t>i</w:t>
      </w:r>
      <w:r w:rsidRPr="007422C9">
        <w:rPr>
          <w:lang w:eastAsia="fr-FR" w:bidi="fr-FR"/>
        </w:rPr>
        <w:t>bilem exhibet maiestatem. Inclinato autem uultu et demisso capite ad nutum</w:t>
      </w:r>
      <w:r>
        <w:rPr>
          <w:lang w:eastAsia="fr-FR" w:bidi="fr-FR"/>
        </w:rPr>
        <w:t xml:space="preserve"> Christi Domini ceruicem h</w:t>
      </w:r>
      <w:r>
        <w:rPr>
          <w:lang w:eastAsia="fr-FR" w:bidi="fr-FR"/>
        </w:rPr>
        <w:t>u</w:t>
      </w:r>
      <w:r>
        <w:rPr>
          <w:lang w:eastAsia="fr-FR" w:bidi="fr-FR"/>
        </w:rPr>
        <w:t>milia</w:t>
      </w:r>
      <w:r w:rsidRPr="007422C9">
        <w:rPr>
          <w:lang w:eastAsia="fr-FR" w:bidi="fr-FR"/>
        </w:rPr>
        <w:t>t ; et respiciens rex comitem premonet ut stet quemadmodum stabat : « Sta » inquit « sta, sustine et expecta. En » inquit « quem u</w:t>
      </w:r>
      <w:r w:rsidRPr="007422C9">
        <w:rPr>
          <w:lang w:eastAsia="fr-FR" w:bidi="fr-FR"/>
        </w:rPr>
        <w:t>i</w:t>
      </w:r>
      <w:r w:rsidRPr="007422C9">
        <w:rPr>
          <w:lang w:eastAsia="fr-FR" w:bidi="fr-FR"/>
        </w:rPr>
        <w:t>des uideo et quem uisibiliter cernis u</w:t>
      </w:r>
      <w:r w:rsidRPr="007422C9">
        <w:rPr>
          <w:lang w:eastAsia="fr-FR" w:bidi="fr-FR"/>
        </w:rPr>
        <w:t>i</w:t>
      </w:r>
      <w:r w:rsidRPr="007422C9">
        <w:rPr>
          <w:lang w:eastAsia="fr-FR" w:bidi="fr-FR"/>
        </w:rPr>
        <w:t>sibilem adoro. Set uide quamdiu ambo spiritum huius corporis agimus ut nemini per te relatum pateat quod nobis Christus in mensa sua de se manifest</w:t>
      </w:r>
      <w:r>
        <w:rPr>
          <w:lang w:eastAsia="fr-FR" w:bidi="fr-FR"/>
        </w:rPr>
        <w:t>a</w:t>
      </w:r>
      <w:r w:rsidRPr="007422C9">
        <w:rPr>
          <w:lang w:eastAsia="fr-FR" w:bidi="fr-FR"/>
        </w:rPr>
        <w:t>t ». Recessit pos</w:t>
      </w:r>
      <w:r w:rsidRPr="007422C9">
        <w:rPr>
          <w:lang w:eastAsia="fr-FR" w:bidi="fr-FR"/>
        </w:rPr>
        <w:t>t</w:t>
      </w:r>
      <w:r w:rsidRPr="007422C9">
        <w:rPr>
          <w:lang w:eastAsia="fr-FR" w:bidi="fr-FR"/>
        </w:rPr>
        <w:t>modum cornes a curia et ad Wigornensem commigrans ecclesiam cu</w:t>
      </w:r>
      <w:r w:rsidRPr="007422C9">
        <w:rPr>
          <w:lang w:eastAsia="fr-FR" w:bidi="fr-FR"/>
        </w:rPr>
        <w:t>i</w:t>
      </w:r>
      <w:r w:rsidRPr="007422C9">
        <w:rPr>
          <w:lang w:eastAsia="fr-FR" w:bidi="fr-FR"/>
        </w:rPr>
        <w:t>dam monacho seruo Dei fecit humiliter confessionem suam ; inter c</w:t>
      </w:r>
      <w:r w:rsidRPr="007422C9">
        <w:rPr>
          <w:lang w:eastAsia="fr-FR" w:bidi="fr-FR"/>
        </w:rPr>
        <w:t>e</w:t>
      </w:r>
      <w:r w:rsidRPr="007422C9">
        <w:rPr>
          <w:lang w:eastAsia="fr-FR" w:bidi="fr-FR"/>
        </w:rPr>
        <w:t>tera uero retulit ei uisionem quam uid</w:t>
      </w:r>
      <w:r w:rsidRPr="007422C9">
        <w:rPr>
          <w:lang w:eastAsia="fr-FR" w:bidi="fr-FR"/>
        </w:rPr>
        <w:t>e</w:t>
      </w:r>
      <w:r w:rsidRPr="007422C9">
        <w:rPr>
          <w:lang w:eastAsia="fr-FR" w:bidi="fr-FR"/>
        </w:rPr>
        <w:t>rat, et eam rogauit ut scriberet, ne ueritatis et geste memoriam antiqu</w:t>
      </w:r>
      <w:r w:rsidRPr="007422C9">
        <w:rPr>
          <w:lang w:eastAsia="fr-FR" w:bidi="fr-FR"/>
        </w:rPr>
        <w:t>i</w:t>
      </w:r>
      <w:r w:rsidRPr="007422C9">
        <w:rPr>
          <w:lang w:eastAsia="fr-FR" w:bidi="fr-FR"/>
        </w:rPr>
        <w:t>tas aboleret. Scripsit ergo seruus Dei et inter sanctorum reliquias in quodam scrinio posuit, et sicut a comit</w:t>
      </w:r>
      <w:r>
        <w:rPr>
          <w:lang w:eastAsia="fr-FR" w:bidi="fr-FR"/>
        </w:rPr>
        <w:t xml:space="preserve">e </w:t>
      </w:r>
      <w:r w:rsidRPr="007422C9">
        <w:rPr>
          <w:lang w:eastAsia="fr-FR" w:bidi="fr-FR"/>
        </w:rPr>
        <w:t>mandatum acceperat quamdiu rex uixit nulli reuelauit. Diutu</w:t>
      </w:r>
      <w:r w:rsidRPr="007422C9">
        <w:rPr>
          <w:lang w:eastAsia="fr-FR" w:bidi="fr-FR"/>
        </w:rPr>
        <w:t>r</w:t>
      </w:r>
      <w:r w:rsidRPr="007422C9">
        <w:rPr>
          <w:lang w:eastAsia="fr-FR" w:bidi="fr-FR"/>
        </w:rPr>
        <w:t>no uero tempore, post tanti principis obitum, urna que scriptum cont</w:t>
      </w:r>
      <w:r w:rsidRPr="007422C9">
        <w:rPr>
          <w:lang w:eastAsia="fr-FR" w:bidi="fr-FR"/>
        </w:rPr>
        <w:t>i</w:t>
      </w:r>
      <w:r w:rsidRPr="007422C9">
        <w:rPr>
          <w:lang w:eastAsia="fr-FR" w:bidi="fr-FR"/>
        </w:rPr>
        <w:t>nebat uetustate consumpta nullo c</w:t>
      </w:r>
      <w:r w:rsidRPr="007422C9">
        <w:rPr>
          <w:lang w:eastAsia="fr-FR" w:bidi="fr-FR"/>
        </w:rPr>
        <w:t>o</w:t>
      </w:r>
      <w:r w:rsidRPr="007422C9">
        <w:rPr>
          <w:lang w:eastAsia="fr-FR" w:bidi="fr-FR"/>
        </w:rPr>
        <w:t>gente est aperta. Expositis reliquiis, reperitur cedula, et coram cunctis in ecclesia legitur, et magna Dei ui</w:t>
      </w:r>
      <w:r w:rsidRPr="007422C9">
        <w:rPr>
          <w:lang w:eastAsia="fr-FR" w:bidi="fr-FR"/>
        </w:rPr>
        <w:t>r</w:t>
      </w:r>
      <w:r w:rsidRPr="007422C9">
        <w:rPr>
          <w:lang w:eastAsia="fr-FR" w:bidi="fr-FR"/>
        </w:rPr>
        <w:t>tus in populo laudatur. Qui uero huic sermoni interfuit et qui script</w:t>
      </w:r>
      <w:r w:rsidRPr="007422C9">
        <w:rPr>
          <w:lang w:eastAsia="fr-FR" w:bidi="fr-FR"/>
        </w:rPr>
        <w:t>u</w:t>
      </w:r>
      <w:r w:rsidRPr="007422C9">
        <w:rPr>
          <w:lang w:eastAsia="fr-FR" w:bidi="fr-FR"/>
        </w:rPr>
        <w:t>ram hanc oculis suis uidit, Mauritius subdiaconus sancti Wlstani W</w:t>
      </w:r>
      <w:r w:rsidRPr="007422C9">
        <w:rPr>
          <w:lang w:eastAsia="fr-FR" w:bidi="fr-FR"/>
        </w:rPr>
        <w:t>i</w:t>
      </w:r>
      <w:r w:rsidRPr="007422C9">
        <w:rPr>
          <w:lang w:eastAsia="fr-FR" w:bidi="fr-FR"/>
        </w:rPr>
        <w:t>gorniensis episcopi fuit. Hic postmodum, in Westmo- nasterio mon</w:t>
      </w:r>
      <w:r w:rsidRPr="007422C9">
        <w:rPr>
          <w:lang w:eastAsia="fr-FR" w:bidi="fr-FR"/>
        </w:rPr>
        <w:t>a</w:t>
      </w:r>
      <w:r w:rsidRPr="007422C9">
        <w:rPr>
          <w:lang w:eastAsia="fr-FR" w:bidi="fr-FR"/>
        </w:rPr>
        <w:t>chum induens, tam probate uite meruit testimonium ut etiam in cler</w:t>
      </w:r>
      <w:r w:rsidRPr="007422C9">
        <w:rPr>
          <w:lang w:eastAsia="fr-FR" w:bidi="fr-FR"/>
        </w:rPr>
        <w:t>i</w:t>
      </w:r>
      <w:r w:rsidRPr="007422C9">
        <w:rPr>
          <w:lang w:eastAsia="fr-FR" w:bidi="fr-FR"/>
        </w:rPr>
        <w:t>cali positus continentie et castit</w:t>
      </w:r>
      <w:r w:rsidRPr="007422C9">
        <w:rPr>
          <w:lang w:eastAsia="fr-FR" w:bidi="fr-FR"/>
        </w:rPr>
        <w:t>a</w:t>
      </w:r>
      <w:r w:rsidRPr="007422C9">
        <w:rPr>
          <w:lang w:eastAsia="fr-FR" w:bidi="fr-FR"/>
        </w:rPr>
        <w:t>tis omnibus per circuitum factus sit ad exemplum per xx plene ann</w:t>
      </w:r>
      <w:r w:rsidRPr="007422C9">
        <w:rPr>
          <w:lang w:eastAsia="fr-FR" w:bidi="fr-FR"/>
        </w:rPr>
        <w:t>o</w:t>
      </w:r>
      <w:r w:rsidRPr="007422C9">
        <w:rPr>
          <w:lang w:eastAsia="fr-FR" w:bidi="fr-FR"/>
        </w:rPr>
        <w:t>rum curricula ante obitum suum ; totum ex integro cotidie decantabat psalterium, nisi eum molestia corporis aliqua reddidisset afïlictum. Huius nos ueredica relation docuit et lecta ab eo de sancto rege pagina confirmauit</w:t>
      </w:r>
      <w:r>
        <w:rPr>
          <w:lang w:eastAsia="fr-FR" w:bidi="fr-FR"/>
        </w:rPr>
        <w:t> </w:t>
      </w:r>
      <w:r>
        <w:rPr>
          <w:rStyle w:val="Appelnotedebasdep"/>
        </w:rPr>
        <w:footnoteReference w:id="1298"/>
      </w:r>
      <w:r w:rsidRPr="007422C9">
        <w:rPr>
          <w:lang w:eastAsia="fr-FR" w:bidi="fr-FR"/>
        </w:rPr>
        <w:t>.</w:t>
      </w:r>
    </w:p>
    <w:p w14:paraId="5E83B012" w14:textId="77777777" w:rsidR="00B9662D" w:rsidRDefault="00B9662D" w:rsidP="00B9662D">
      <w:pPr>
        <w:spacing w:before="120" w:after="120"/>
        <w:jc w:val="both"/>
        <w:rPr>
          <w:lang w:eastAsia="fr-FR" w:bidi="fr-FR"/>
        </w:rPr>
      </w:pPr>
    </w:p>
    <w:p w14:paraId="7D069327" w14:textId="77777777" w:rsidR="00B9662D" w:rsidRPr="00011E17" w:rsidRDefault="00B9662D" w:rsidP="00B9662D">
      <w:pPr>
        <w:pStyle w:val="b"/>
      </w:pPr>
      <w:r w:rsidRPr="00011E17">
        <w:rPr>
          <w:lang w:eastAsia="fr-FR" w:bidi="fr-FR"/>
        </w:rPr>
        <w:t xml:space="preserve">XIII. De glandulis et uermibus tactu manuum </w:t>
      </w:r>
      <w:r>
        <w:rPr>
          <w:lang w:eastAsia="fr-FR" w:bidi="fr-FR"/>
        </w:rPr>
        <w:t>regis</w:t>
      </w:r>
      <w:r>
        <w:rPr>
          <w:lang w:eastAsia="fr-FR" w:bidi="fr-FR"/>
        </w:rPr>
        <w:br/>
      </w:r>
      <w:r w:rsidRPr="00011E17">
        <w:rPr>
          <w:lang w:eastAsia="fr-FR" w:bidi="fr-FR"/>
        </w:rPr>
        <w:t>de fauce mulieris expulsis.</w:t>
      </w:r>
    </w:p>
    <w:p w14:paraId="00483F99" w14:textId="77777777" w:rsidR="00B9662D" w:rsidRDefault="00B9662D" w:rsidP="00B9662D">
      <w:pPr>
        <w:spacing w:before="120" w:after="120"/>
        <w:jc w:val="both"/>
        <w:rPr>
          <w:lang w:eastAsia="fr-FR" w:bidi="fr-FR"/>
        </w:rPr>
      </w:pPr>
    </w:p>
    <w:p w14:paraId="6EBC90CB" w14:textId="77777777" w:rsidR="00B9662D" w:rsidRPr="007422C9" w:rsidRDefault="00B9662D" w:rsidP="00B9662D">
      <w:pPr>
        <w:spacing w:before="120" w:after="120"/>
        <w:jc w:val="both"/>
      </w:pPr>
      <w:r w:rsidRPr="007422C9">
        <w:rPr>
          <w:lang w:eastAsia="fr-FR" w:bidi="fr-FR"/>
        </w:rPr>
        <w:t xml:space="preserve">Rex gloriosus et multis in mundo coruscans prodigiis Eadwardus ante natalis sui diem a Deo, ut confidimus, est </w:t>
      </w:r>
      <w:r>
        <w:rPr>
          <w:lang w:eastAsia="fr-FR" w:bidi="fr-FR"/>
        </w:rPr>
        <w:t>electus, et in regnum, ut premi</w:t>
      </w:r>
      <w:r w:rsidRPr="007422C9">
        <w:rPr>
          <w:lang w:eastAsia="fr-FR" w:bidi="fr-FR"/>
        </w:rPr>
        <w:t>simus, diuina administrante gracia consecratus. Dignitas uero tante consecrationis semper in dies capiebat augmentum, quam iugis castimonia comitabatur ad gloriam, ne per licitam quoque carnis cop</w:t>
      </w:r>
      <w:r w:rsidRPr="007422C9">
        <w:rPr>
          <w:lang w:eastAsia="fr-FR" w:bidi="fr-FR"/>
        </w:rPr>
        <w:t>u</w:t>
      </w:r>
      <w:r w:rsidRPr="007422C9">
        <w:rPr>
          <w:lang w:eastAsia="fr-FR" w:bidi="fr-FR"/>
        </w:rPr>
        <w:t>lam uerteret ad ruinam. Cuius tota uita in holocaustum acceptionis Deo est approbata, et in hac corruptibili carne signis euidentibus d</w:t>
      </w:r>
      <w:r w:rsidRPr="007422C9">
        <w:rPr>
          <w:lang w:eastAsia="fr-FR" w:bidi="fr-FR"/>
        </w:rPr>
        <w:t>e</w:t>
      </w:r>
      <w:r w:rsidRPr="007422C9">
        <w:rPr>
          <w:lang w:eastAsia="fr-FR" w:bidi="fr-FR"/>
        </w:rPr>
        <w:t>clarata. Inter cetera</w:t>
      </w:r>
      <w:r>
        <w:t xml:space="preserve"> [1004] </w:t>
      </w:r>
      <w:r w:rsidRPr="007422C9">
        <w:rPr>
          <w:lang w:eastAsia="fr-FR" w:bidi="fr-FR"/>
        </w:rPr>
        <w:t>nouam subsequentis miraculi mensam a</w:t>
      </w:r>
      <w:r w:rsidRPr="007422C9">
        <w:rPr>
          <w:lang w:eastAsia="fr-FR" w:bidi="fr-FR"/>
        </w:rPr>
        <w:t>p</w:t>
      </w:r>
      <w:r w:rsidRPr="007422C9">
        <w:rPr>
          <w:lang w:eastAsia="fr-FR" w:bidi="fr-FR"/>
        </w:rPr>
        <w:t>ponimus, ut de regis deliciis animas fidelium saginemus. Adolescent</w:t>
      </w:r>
      <w:r w:rsidRPr="007422C9">
        <w:rPr>
          <w:lang w:eastAsia="fr-FR" w:bidi="fr-FR"/>
        </w:rPr>
        <w:t>u</w:t>
      </w:r>
      <w:r w:rsidRPr="007422C9">
        <w:rPr>
          <w:lang w:eastAsia="fr-FR" w:bidi="fr-FR"/>
        </w:rPr>
        <w:t>la quedam, maritalis c</w:t>
      </w:r>
      <w:r w:rsidRPr="007422C9">
        <w:rPr>
          <w:lang w:eastAsia="fr-FR" w:bidi="fr-FR"/>
        </w:rPr>
        <w:t>o</w:t>
      </w:r>
      <w:r w:rsidRPr="007422C9">
        <w:rPr>
          <w:lang w:eastAsia="fr-FR" w:bidi="fr-FR"/>
        </w:rPr>
        <w:t>pule sor- tita consorcium, nullum diuturno tempore sterilis uteri sper</w:t>
      </w:r>
      <w:r w:rsidRPr="007422C9">
        <w:rPr>
          <w:lang w:eastAsia="fr-FR" w:bidi="fr-FR"/>
        </w:rPr>
        <w:t>a</w:t>
      </w:r>
      <w:r w:rsidRPr="007422C9">
        <w:rPr>
          <w:lang w:eastAsia="fr-FR" w:bidi="fr-FR"/>
        </w:rPr>
        <w:t>re potuit fructum. Hoc irremedicabili dolore afïligitur. Set grauiori molestia acrius uulneratur. Sub faucibus enim iuuencule tamquam glandes ceperunt excrescere, que breui tempore totam faciem suam ita uerterunt in perniciem ut secus illam conue</w:t>
      </w:r>
      <w:r w:rsidRPr="007422C9">
        <w:rPr>
          <w:lang w:eastAsia="fr-FR" w:bidi="fr-FR"/>
        </w:rPr>
        <w:t>r</w:t>
      </w:r>
      <w:r w:rsidRPr="007422C9">
        <w:rPr>
          <w:lang w:eastAsia="fr-FR" w:bidi="fr-FR"/>
        </w:rPr>
        <w:t>santes uix tantum sufïicerent tolerare fetorem. Hanc uisio celestis ed</w:t>
      </w:r>
      <w:r w:rsidRPr="007422C9">
        <w:rPr>
          <w:lang w:eastAsia="fr-FR" w:bidi="fr-FR"/>
        </w:rPr>
        <w:t>o</w:t>
      </w:r>
      <w:r w:rsidRPr="007422C9">
        <w:rPr>
          <w:lang w:eastAsia="fr-FR" w:bidi="fr-FR"/>
        </w:rPr>
        <w:t>cuit quod uelox hab</w:t>
      </w:r>
      <w:r>
        <w:rPr>
          <w:lang w:eastAsia="fr-FR" w:bidi="fr-FR"/>
        </w:rPr>
        <w:t>eret egrota remedium, si contin</w:t>
      </w:r>
      <w:r w:rsidRPr="007422C9">
        <w:rPr>
          <w:lang w:eastAsia="fr-FR" w:bidi="fr-FR"/>
        </w:rPr>
        <w:t>geret maxillam eius ablui tactu sanctorum regis Eadwardi digitorum. Currit mulier ad r</w:t>
      </w:r>
      <w:r w:rsidRPr="007422C9">
        <w:rPr>
          <w:lang w:eastAsia="fr-FR" w:bidi="fr-FR"/>
        </w:rPr>
        <w:t>e</w:t>
      </w:r>
      <w:r w:rsidRPr="007422C9">
        <w:rPr>
          <w:lang w:eastAsia="fr-FR" w:bidi="fr-FR"/>
        </w:rPr>
        <w:t>gem, edocet uisionem, supplicat sanitatem. Non dedignatur uir iste mitissimus in populo suo inferiori succurrere sexui, quem et dulcedo mentis trahebat ad miser</w:t>
      </w:r>
      <w:r w:rsidRPr="007422C9">
        <w:rPr>
          <w:lang w:eastAsia="fr-FR" w:bidi="fr-FR"/>
        </w:rPr>
        <w:t>i</w:t>
      </w:r>
      <w:r w:rsidRPr="007422C9">
        <w:rPr>
          <w:lang w:eastAsia="fr-FR" w:bidi="fr-FR"/>
        </w:rPr>
        <w:t>cordiam et potestas regia non prouocabat ad iram. Allata princeps aqua digitos intingit, faciem mulieris madefieri instituit et loca fetoribus plena sancte crucis inpressione signauit. I</w:t>
      </w:r>
      <w:r w:rsidRPr="007422C9">
        <w:rPr>
          <w:lang w:eastAsia="fr-FR" w:bidi="fr-FR"/>
        </w:rPr>
        <w:t>n</w:t>
      </w:r>
      <w:r w:rsidRPr="007422C9">
        <w:rPr>
          <w:lang w:eastAsia="fr-FR" w:bidi="fr-FR"/>
        </w:rPr>
        <w:t>mensa Dei uirtus apparet mirabilis : dum sancta regis dextera foram</w:t>
      </w:r>
      <w:r w:rsidRPr="007422C9">
        <w:rPr>
          <w:lang w:eastAsia="fr-FR" w:bidi="fr-FR"/>
        </w:rPr>
        <w:t>i</w:t>
      </w:r>
      <w:r w:rsidRPr="007422C9">
        <w:rPr>
          <w:lang w:eastAsia="fr-FR" w:bidi="fr-FR"/>
        </w:rPr>
        <w:t>na linit, soluitur crusta et mollescit ; glandule cum uermibus egrediu</w:t>
      </w:r>
      <w:r w:rsidRPr="007422C9">
        <w:rPr>
          <w:lang w:eastAsia="fr-FR" w:bidi="fr-FR"/>
        </w:rPr>
        <w:t>n</w:t>
      </w:r>
      <w:r w:rsidRPr="007422C9">
        <w:rPr>
          <w:lang w:eastAsia="fr-FR" w:bidi="fr-FR"/>
        </w:rPr>
        <w:t>tur ; sanies et sanguis dextera regis premitur ; et mulier in breui int</w:t>
      </w:r>
      <w:r w:rsidRPr="007422C9">
        <w:rPr>
          <w:lang w:eastAsia="fr-FR" w:bidi="fr-FR"/>
        </w:rPr>
        <w:t>é</w:t>
      </w:r>
      <w:r w:rsidRPr="007422C9">
        <w:rPr>
          <w:lang w:eastAsia="fr-FR" w:bidi="fr-FR"/>
        </w:rPr>
        <w:t>gré saluti reparatur. In curia uero sua ut alatur imperat, hancque rete</w:t>
      </w:r>
      <w:r w:rsidRPr="007422C9">
        <w:rPr>
          <w:lang w:eastAsia="fr-FR" w:bidi="fr-FR"/>
        </w:rPr>
        <w:t>n</w:t>
      </w:r>
      <w:r w:rsidRPr="007422C9">
        <w:rPr>
          <w:lang w:eastAsia="fr-FR" w:bidi="fr-FR"/>
        </w:rPr>
        <w:t>tam in septimana Dei uirtus et gracie medicina reformat. O quam sancta et humilis tanti principis innocentia, qui fetorem non dedign</w:t>
      </w:r>
      <w:r w:rsidRPr="007422C9">
        <w:rPr>
          <w:lang w:eastAsia="fr-FR" w:bidi="fr-FR"/>
        </w:rPr>
        <w:t>a</w:t>
      </w:r>
      <w:r w:rsidRPr="007422C9">
        <w:rPr>
          <w:lang w:eastAsia="fr-FR" w:bidi="fr-FR"/>
        </w:rPr>
        <w:t>tus est humoris noxii, ut iuuenculam redderet sospitati ! Que eodem postmodum anno et steril</w:t>
      </w:r>
      <w:r w:rsidRPr="007422C9">
        <w:rPr>
          <w:lang w:eastAsia="fr-FR" w:bidi="fr-FR"/>
        </w:rPr>
        <w:t>i</w:t>
      </w:r>
      <w:r w:rsidRPr="007422C9">
        <w:rPr>
          <w:lang w:eastAsia="fr-FR" w:bidi="fr-FR"/>
        </w:rPr>
        <w:t>tatis amisit opprobrium, et cum uiro suo deinceps iocunda uixit in domo sua per tempus diuturnum. Cum a</w:t>
      </w:r>
      <w:r w:rsidRPr="007422C9">
        <w:rPr>
          <w:lang w:eastAsia="fr-FR" w:bidi="fr-FR"/>
        </w:rPr>
        <w:t>u</w:t>
      </w:r>
      <w:r w:rsidRPr="007422C9">
        <w:rPr>
          <w:lang w:eastAsia="fr-FR" w:bidi="fr-FR"/>
        </w:rPr>
        <w:t>tem rex exul in Neustria degeret, fréquenter huiuscemodi signis efïu</w:t>
      </w:r>
      <w:r w:rsidRPr="007422C9">
        <w:rPr>
          <w:lang w:eastAsia="fr-FR" w:bidi="fr-FR"/>
        </w:rPr>
        <w:t>l</w:t>
      </w:r>
      <w:r w:rsidRPr="007422C9">
        <w:rPr>
          <w:lang w:eastAsia="fr-FR" w:bidi="fr-FR"/>
        </w:rPr>
        <w:t>sit, quemadmodum in regno suo per Dei graciam coruscauit</w:t>
      </w:r>
      <w:r>
        <w:rPr>
          <w:lang w:eastAsia="fr-FR" w:bidi="fr-FR"/>
        </w:rPr>
        <w:t> </w:t>
      </w:r>
      <w:r>
        <w:rPr>
          <w:rStyle w:val="Appelnotedebasdep"/>
        </w:rPr>
        <w:footnoteReference w:id="1299"/>
      </w:r>
      <w:r w:rsidRPr="007422C9">
        <w:rPr>
          <w:lang w:eastAsia="fr-FR" w:bidi="fr-FR"/>
        </w:rPr>
        <w:t>.</w:t>
      </w:r>
    </w:p>
    <w:p w14:paraId="530BAF23" w14:textId="77777777" w:rsidR="00B9662D" w:rsidRDefault="00B9662D" w:rsidP="00B9662D">
      <w:pPr>
        <w:spacing w:before="120" w:after="120"/>
        <w:jc w:val="both"/>
        <w:rPr>
          <w:lang w:eastAsia="fr-FR" w:bidi="fr-FR"/>
        </w:rPr>
      </w:pPr>
    </w:p>
    <w:p w14:paraId="024AAF74" w14:textId="77777777" w:rsidR="00B9662D" w:rsidRPr="00011E17" w:rsidRDefault="00B9662D" w:rsidP="00B9662D">
      <w:pPr>
        <w:pStyle w:val="b"/>
      </w:pPr>
      <w:r w:rsidRPr="00011E17">
        <w:rPr>
          <w:lang w:eastAsia="fr-FR" w:bidi="fr-FR"/>
        </w:rPr>
        <w:t>XIV. De ceco per aqriam lauature regis</w:t>
      </w:r>
      <w:r>
        <w:rPr>
          <w:lang w:eastAsia="fr-FR" w:bidi="fr-FR"/>
        </w:rPr>
        <w:br/>
      </w:r>
      <w:r w:rsidRPr="00011E17">
        <w:rPr>
          <w:lang w:eastAsia="fr-FR" w:bidi="fr-FR"/>
        </w:rPr>
        <w:t>in eius absentia sanato.</w:t>
      </w:r>
    </w:p>
    <w:p w14:paraId="0639B189" w14:textId="77777777" w:rsidR="00B9662D" w:rsidRDefault="00B9662D" w:rsidP="00B9662D">
      <w:pPr>
        <w:spacing w:before="120" w:after="120"/>
        <w:jc w:val="both"/>
        <w:rPr>
          <w:lang w:eastAsia="fr-FR" w:bidi="fr-FR"/>
        </w:rPr>
      </w:pPr>
    </w:p>
    <w:p w14:paraId="6E5C97AE" w14:textId="77777777" w:rsidR="00B9662D" w:rsidRPr="007422C9" w:rsidRDefault="00B9662D" w:rsidP="00B9662D">
      <w:pPr>
        <w:spacing w:before="120" w:after="120"/>
        <w:jc w:val="both"/>
      </w:pPr>
      <w:r w:rsidRPr="007422C9">
        <w:rPr>
          <w:lang w:eastAsia="fr-FR" w:bidi="fr-FR"/>
        </w:rPr>
        <w:t>Adiecit et aliud pro tanto rege Deus insigne, quod operis textui presentis inserimus et ad edificationem audientium et Dei gloriam r</w:t>
      </w:r>
      <w:r w:rsidRPr="007422C9">
        <w:rPr>
          <w:lang w:eastAsia="fr-FR" w:bidi="fr-FR"/>
        </w:rPr>
        <w:t>e</w:t>
      </w:r>
      <w:r w:rsidRPr="007422C9">
        <w:rPr>
          <w:lang w:eastAsia="fr-FR" w:bidi="fr-FR"/>
        </w:rPr>
        <w:t>citamus. Cecus quispiam notus in populo ad cubicularios regis acce</w:t>
      </w:r>
      <w:r w:rsidRPr="007422C9">
        <w:rPr>
          <w:lang w:eastAsia="fr-FR" w:bidi="fr-FR"/>
        </w:rPr>
        <w:t>s</w:t>
      </w:r>
      <w:r w:rsidRPr="007422C9">
        <w:rPr>
          <w:lang w:eastAsia="fr-FR" w:bidi="fr-FR"/>
        </w:rPr>
        <w:t>sit et eis uisionem quam uiderat in somnis revelauit. « Videbatur » inquit « michi quod aqua que sanctas manus regis a puluere defecaret si faciem meam dilueret, amissum michi lumen eius meritis Dei uirtus innouaret</w:t>
      </w:r>
      <w:r>
        <w:rPr>
          <w:lang w:eastAsia="fr-FR" w:bidi="fr-FR"/>
        </w:rPr>
        <w:t> </w:t>
      </w:r>
      <w:r>
        <w:rPr>
          <w:rStyle w:val="Appelnotedebasdep"/>
          <w:lang w:eastAsia="fr-FR" w:bidi="fr-FR"/>
        </w:rPr>
        <w:footnoteReference w:customMarkFollows="1" w:id="1300"/>
        <w:t>a</w:t>
      </w:r>
      <w:r w:rsidRPr="007422C9">
        <w:rPr>
          <w:lang w:eastAsia="fr-FR" w:bidi="fr-FR"/>
        </w:rPr>
        <w:t xml:space="preserve">. Ad huius itaque clementiam referte causam </w:t>
      </w:r>
      <w:r>
        <w:rPr>
          <w:lang w:eastAsia="fr-FR" w:bidi="fr-FR"/>
        </w:rPr>
        <w:t>meam, ut hoc non uidenti largia</w:t>
      </w:r>
      <w:r w:rsidRPr="007422C9">
        <w:rPr>
          <w:lang w:eastAsia="fr-FR" w:bidi="fr-FR"/>
        </w:rPr>
        <w:t>tur munere quod ei iam prouenit ex Dei miserati</w:t>
      </w:r>
      <w:r w:rsidRPr="007422C9">
        <w:rPr>
          <w:lang w:eastAsia="fr-FR" w:bidi="fr-FR"/>
        </w:rPr>
        <w:t>o</w:t>
      </w:r>
      <w:r w:rsidRPr="007422C9">
        <w:rPr>
          <w:lang w:eastAsia="fr-FR" w:bidi="fr-FR"/>
        </w:rPr>
        <w:t>ne ». Monet uernulas regis pietas non modica, ad principem referunt delegata. Auditu solo rex obstupescit, quod rogant se facturum contradicit, increpat illos quod talia crederent et quod huiusmodi pet</w:t>
      </w:r>
      <w:r w:rsidRPr="007422C9">
        <w:rPr>
          <w:lang w:eastAsia="fr-FR" w:bidi="fr-FR"/>
        </w:rPr>
        <w:t>i</w:t>
      </w:r>
      <w:r w:rsidRPr="007422C9">
        <w:rPr>
          <w:lang w:eastAsia="fr-FR" w:bidi="fr-FR"/>
        </w:rPr>
        <w:t>tionibus assentirent. E contra uero ministri sese supplicando import</w:t>
      </w:r>
      <w:r w:rsidRPr="007422C9">
        <w:rPr>
          <w:lang w:eastAsia="fr-FR" w:bidi="fr-FR"/>
        </w:rPr>
        <w:t>u</w:t>
      </w:r>
      <w:r w:rsidRPr="007422C9">
        <w:rPr>
          <w:lang w:eastAsia="fr-FR" w:bidi="fr-FR"/>
        </w:rPr>
        <w:t>nos ingeruntur, Dei uoluntatem referunt : non difïidat, set credat, op</w:t>
      </w:r>
      <w:r w:rsidRPr="007422C9">
        <w:rPr>
          <w:lang w:eastAsia="fr-FR" w:bidi="fr-FR"/>
        </w:rPr>
        <w:t>e</w:t>
      </w:r>
      <w:r w:rsidRPr="007422C9">
        <w:rPr>
          <w:lang w:eastAsia="fr-FR" w:bidi="fr-FR"/>
        </w:rPr>
        <w:t>retur et faciat. Celebris omnium instabat uigilia sanctorum cum rex diluculo petiturus ecclesiam manus suas diluit</w:t>
      </w:r>
      <w:r>
        <w:rPr>
          <w:lang w:eastAsia="fr-FR" w:bidi="fr-FR"/>
        </w:rPr>
        <w:t xml:space="preserve"> </w:t>
      </w:r>
      <w:r>
        <w:t xml:space="preserve">[1005] </w:t>
      </w:r>
      <w:r w:rsidRPr="007422C9">
        <w:rPr>
          <w:lang w:eastAsia="fr-FR" w:bidi="fr-FR"/>
        </w:rPr>
        <w:t>et ad templum Dei cum deuotione processit. Reseruata uero a regis clientibus aqua cecus abluitur et radiis celitus noui splendoris illustr</w:t>
      </w:r>
      <w:r w:rsidRPr="007422C9">
        <w:rPr>
          <w:lang w:eastAsia="fr-FR" w:bidi="fr-FR"/>
        </w:rPr>
        <w:t>a</w:t>
      </w:r>
      <w:r w:rsidRPr="007422C9">
        <w:rPr>
          <w:lang w:eastAsia="fr-FR" w:bidi="fr-FR"/>
        </w:rPr>
        <w:t>tur. Ingreditur oratorium</w:t>
      </w:r>
      <w:r>
        <w:rPr>
          <w:lang w:eastAsia="fr-FR" w:bidi="fr-FR"/>
        </w:rPr>
        <w:t> </w:t>
      </w:r>
      <w:r>
        <w:rPr>
          <w:rStyle w:val="Appelnotedebasdep"/>
          <w:lang w:eastAsia="fr-FR" w:bidi="fr-FR"/>
        </w:rPr>
        <w:footnoteReference w:customMarkFollows="1" w:id="1301"/>
        <w:t>b</w:t>
      </w:r>
      <w:r w:rsidRPr="007422C9">
        <w:rPr>
          <w:lang w:eastAsia="fr-FR" w:bidi="fr-FR"/>
        </w:rPr>
        <w:t>, uices supplet orationum, laudat regem pro munere, Deum glo</w:t>
      </w:r>
      <w:r>
        <w:rPr>
          <w:lang w:eastAsia="fr-FR" w:bidi="fr-FR"/>
        </w:rPr>
        <w:t>rificat de collata claritate. Re</w:t>
      </w:r>
      <w:r w:rsidRPr="007422C9">
        <w:rPr>
          <w:lang w:eastAsia="fr-FR" w:bidi="fr-FR"/>
        </w:rPr>
        <w:t>sonant concentus et hymni melodis uocibus cantorum, canonica sollempniter explentur officia, agitur dies ieiuniorum sanctis omnibus ueneranda. Egressus oratorium, a suis rex audit miraculum. Cum denuo princeps insignis domum orationis i</w:t>
      </w:r>
      <w:r w:rsidRPr="007422C9">
        <w:rPr>
          <w:lang w:eastAsia="fr-FR" w:bidi="fr-FR"/>
        </w:rPr>
        <w:t>n</w:t>
      </w:r>
      <w:r w:rsidRPr="007422C9">
        <w:rPr>
          <w:lang w:eastAsia="fr-FR" w:bidi="fr-FR"/>
        </w:rPr>
        <w:t>greditur, [iubet]</w:t>
      </w:r>
      <w:r>
        <w:rPr>
          <w:lang w:eastAsia="fr-FR" w:bidi="fr-FR"/>
        </w:rPr>
        <w:t> </w:t>
      </w:r>
      <w:r>
        <w:rPr>
          <w:rStyle w:val="Appelnotedebasdep"/>
          <w:lang w:eastAsia="fr-FR" w:bidi="fr-FR"/>
        </w:rPr>
        <w:footnoteReference w:customMarkFollows="1" w:id="1302"/>
        <w:t>c</w:t>
      </w:r>
      <w:r w:rsidRPr="007422C9">
        <w:rPr>
          <w:lang w:eastAsia="fr-FR" w:bidi="fr-FR"/>
        </w:rPr>
        <w:t xml:space="preserve"> ut cecus suis obtutibus present</w:t>
      </w:r>
      <w:r w:rsidRPr="007422C9">
        <w:rPr>
          <w:lang w:eastAsia="fr-FR" w:bidi="fr-FR"/>
        </w:rPr>
        <w:t>e</w:t>
      </w:r>
      <w:r w:rsidRPr="007422C9">
        <w:rPr>
          <w:lang w:eastAsia="fr-FR" w:bidi="fr-FR"/>
        </w:rPr>
        <w:t>tur. Experiri per seipsum satagit ut sci</w:t>
      </w:r>
      <w:r>
        <w:rPr>
          <w:lang w:eastAsia="fr-FR" w:bidi="fr-FR"/>
        </w:rPr>
        <w:t>a</w:t>
      </w:r>
      <w:r w:rsidRPr="007422C9">
        <w:rPr>
          <w:lang w:eastAsia="fr-FR" w:bidi="fr-FR"/>
        </w:rPr>
        <w:t>t si ei qui temporalis solis illu</w:t>
      </w:r>
      <w:r w:rsidRPr="007422C9">
        <w:rPr>
          <w:lang w:eastAsia="fr-FR" w:bidi="fr-FR"/>
        </w:rPr>
        <w:t>s</w:t>
      </w:r>
      <w:r w:rsidRPr="007422C9">
        <w:rPr>
          <w:lang w:eastAsia="fr-FR" w:bidi="fr-FR"/>
        </w:rPr>
        <w:t>tratione caruerat diuine respectu gracie noui splendoris radius illu</w:t>
      </w:r>
      <w:r w:rsidRPr="007422C9">
        <w:rPr>
          <w:lang w:eastAsia="fr-FR" w:bidi="fr-FR"/>
        </w:rPr>
        <w:t>s</w:t>
      </w:r>
      <w:r w:rsidRPr="007422C9">
        <w:rPr>
          <w:lang w:eastAsia="fr-FR" w:bidi="fr-FR"/>
        </w:rPr>
        <w:t>cescat. Venit igitur ad cecum, conuenit accersitum, interrogat de mir</w:t>
      </w:r>
      <w:r w:rsidRPr="007422C9">
        <w:rPr>
          <w:lang w:eastAsia="fr-FR" w:bidi="fr-FR"/>
        </w:rPr>
        <w:t>a</w:t>
      </w:r>
      <w:r w:rsidRPr="007422C9">
        <w:rPr>
          <w:lang w:eastAsia="fr-FR" w:bidi="fr-FR"/>
        </w:rPr>
        <w:t>culo, sciscitatur de facto, querit utrum uideat ; ille uero sic se ha</w:t>
      </w:r>
      <w:r>
        <w:rPr>
          <w:lang w:eastAsia="fr-FR" w:bidi="fr-FR"/>
        </w:rPr>
        <w:t>bere, Deo gracias agens, affirma</w:t>
      </w:r>
      <w:r w:rsidRPr="007422C9">
        <w:rPr>
          <w:lang w:eastAsia="fr-FR" w:bidi="fr-FR"/>
        </w:rPr>
        <w:t>t. Rex uero cotidianum Deo in turture et columba ofîerens s</w:t>
      </w:r>
      <w:r w:rsidRPr="007422C9">
        <w:rPr>
          <w:lang w:eastAsia="fr-FR" w:bidi="fr-FR"/>
        </w:rPr>
        <w:t>a</w:t>
      </w:r>
      <w:r w:rsidRPr="007422C9">
        <w:rPr>
          <w:lang w:eastAsia="fr-FR" w:bidi="fr-FR"/>
        </w:rPr>
        <w:t>crificium, castitatis scilicet et innocentie prebens imitantibus doc</w:t>
      </w:r>
      <w:r w:rsidRPr="007422C9">
        <w:rPr>
          <w:lang w:eastAsia="fr-FR" w:bidi="fr-FR"/>
        </w:rPr>
        <w:t>u</w:t>
      </w:r>
      <w:r w:rsidRPr="007422C9">
        <w:rPr>
          <w:lang w:eastAsia="fr-FR" w:bidi="fr-FR"/>
        </w:rPr>
        <w:t>mentum, non de tanta uirtute elatus intumuit, set de misericordia h</w:t>
      </w:r>
      <w:r w:rsidRPr="007422C9">
        <w:rPr>
          <w:lang w:eastAsia="fr-FR" w:bidi="fr-FR"/>
        </w:rPr>
        <w:t>u</w:t>
      </w:r>
      <w:r w:rsidRPr="007422C9">
        <w:rPr>
          <w:lang w:eastAsia="fr-FR" w:bidi="fr-FR"/>
        </w:rPr>
        <w:t>militer exultauit. Igitur manus sue uolam extendit, et ab eo qui cecus fuerat quid ageret inquisiuit. Ad nutum principis : « Manum tuam » inquit « o rex, extendis ». Bicornem denuo formam indicis et medii inferens digiti, inuestigauit ab eo qui cecus fuerat quid faceret et refe</w:t>
      </w:r>
      <w:r w:rsidRPr="007422C9">
        <w:rPr>
          <w:lang w:eastAsia="fr-FR" w:bidi="fr-FR"/>
        </w:rPr>
        <w:t>r</w:t>
      </w:r>
      <w:r w:rsidRPr="007422C9">
        <w:rPr>
          <w:lang w:eastAsia="fr-FR" w:bidi="fr-FR"/>
        </w:rPr>
        <w:t>ret citius quid uideret ; ille quod cernit regis auribus pandit. Rex inie</w:t>
      </w:r>
      <w:r w:rsidRPr="007422C9">
        <w:rPr>
          <w:lang w:eastAsia="fr-FR" w:bidi="fr-FR"/>
        </w:rPr>
        <w:t>c</w:t>
      </w:r>
      <w:r w:rsidRPr="007422C9">
        <w:rPr>
          <w:lang w:eastAsia="fr-FR" w:bidi="fr-FR"/>
        </w:rPr>
        <w:t>ta manu barbam comprehendit niueam, cum causam illuminatus res</w:t>
      </w:r>
      <w:r w:rsidRPr="007422C9">
        <w:rPr>
          <w:lang w:eastAsia="fr-FR" w:bidi="fr-FR"/>
        </w:rPr>
        <w:t>e</w:t>
      </w:r>
      <w:r w:rsidRPr="007422C9">
        <w:rPr>
          <w:lang w:eastAsia="fr-FR" w:bidi="fr-FR"/>
        </w:rPr>
        <w:t>ruat inquisitam. Tertia uice peracta, rex oraturus ad altare procedit, flexisque ter genibus Deo pro collatis beneficiis gracias egit. Ocul</w:t>
      </w:r>
      <w:r w:rsidRPr="007422C9">
        <w:rPr>
          <w:lang w:eastAsia="fr-FR" w:bidi="fr-FR"/>
        </w:rPr>
        <w:t>o</w:t>
      </w:r>
      <w:r w:rsidRPr="007422C9">
        <w:rPr>
          <w:lang w:eastAsia="fr-FR" w:bidi="fr-FR"/>
        </w:rPr>
        <w:t>rum lumine donatus regis imperio stipe eius alitur et diuturno tempore in curia sustentatur. Hic sancto dum uixit fuit in te</w:t>
      </w:r>
      <w:r w:rsidRPr="007422C9">
        <w:rPr>
          <w:lang w:eastAsia="fr-FR" w:bidi="fr-FR"/>
        </w:rPr>
        <w:t>s</w:t>
      </w:r>
      <w:r w:rsidRPr="007422C9">
        <w:rPr>
          <w:lang w:eastAsia="fr-FR" w:bidi="fr-FR"/>
        </w:rPr>
        <w:t>timonium quantum uirtutis a Deo percepit incrementum</w:t>
      </w:r>
      <w:r w:rsidRPr="007422C9">
        <w:rPr>
          <w:vertAlign w:val="superscript"/>
          <w:lang w:eastAsia="fr-FR" w:bidi="fr-FR"/>
        </w:rPr>
        <w:t xml:space="preserve"> </w:t>
      </w:r>
      <w:r>
        <w:rPr>
          <w:vertAlign w:val="superscript"/>
          <w:lang w:eastAsia="fr-FR" w:bidi="fr-FR"/>
        </w:rPr>
        <w:t> </w:t>
      </w:r>
      <w:r w:rsidRPr="00011E17">
        <w:rPr>
          <w:rStyle w:val="Appelnotedebasdep"/>
        </w:rPr>
        <w:footnoteReference w:id="1303"/>
      </w:r>
      <w:r w:rsidRPr="007422C9">
        <w:rPr>
          <w:lang w:eastAsia="fr-FR" w:bidi="fr-FR"/>
        </w:rPr>
        <w:t>.</w:t>
      </w:r>
    </w:p>
    <w:p w14:paraId="7133E6EA" w14:textId="77777777" w:rsidR="00B9662D" w:rsidRDefault="00B9662D" w:rsidP="00B9662D">
      <w:pPr>
        <w:spacing w:before="120" w:after="120"/>
        <w:jc w:val="both"/>
        <w:rPr>
          <w:lang w:eastAsia="fr-FR" w:bidi="fr-FR"/>
        </w:rPr>
      </w:pPr>
      <w:r>
        <w:rPr>
          <w:lang w:eastAsia="fr-FR" w:bidi="fr-FR"/>
        </w:rPr>
        <w:br w:type="page"/>
      </w:r>
    </w:p>
    <w:p w14:paraId="6F2E892E" w14:textId="77777777" w:rsidR="00B9662D" w:rsidRPr="00011E17" w:rsidRDefault="00B9662D" w:rsidP="00B9662D">
      <w:pPr>
        <w:pStyle w:val="b"/>
      </w:pPr>
      <w:r w:rsidRPr="00011E17">
        <w:rPr>
          <w:lang w:eastAsia="fr-FR" w:bidi="fr-FR"/>
        </w:rPr>
        <w:t>XV. De altero ceco per aquam lauature eius sanato.</w:t>
      </w:r>
    </w:p>
    <w:p w14:paraId="67519262" w14:textId="77777777" w:rsidR="00B9662D" w:rsidRDefault="00B9662D" w:rsidP="00B9662D">
      <w:pPr>
        <w:spacing w:before="120" w:after="120"/>
        <w:jc w:val="both"/>
        <w:rPr>
          <w:lang w:eastAsia="fr-FR" w:bidi="fr-FR"/>
        </w:rPr>
      </w:pPr>
    </w:p>
    <w:p w14:paraId="3F69B05D" w14:textId="77777777" w:rsidR="00B9662D" w:rsidRPr="007422C9" w:rsidRDefault="00B9662D" w:rsidP="00B9662D">
      <w:pPr>
        <w:spacing w:before="120" w:after="120"/>
        <w:jc w:val="both"/>
      </w:pPr>
      <w:r w:rsidRPr="007422C9">
        <w:rPr>
          <w:lang w:eastAsia="fr-FR" w:bidi="fr-FR"/>
        </w:rPr>
        <w:t>Reuelatum est iterum certa uisione cuidam per tr</w:t>
      </w:r>
      <w:r>
        <w:rPr>
          <w:lang w:eastAsia="fr-FR" w:bidi="fr-FR"/>
        </w:rPr>
        <w:t>es</w:t>
      </w:r>
      <w:r w:rsidRPr="007422C9">
        <w:rPr>
          <w:lang w:eastAsia="fr-FR" w:bidi="fr-FR"/>
        </w:rPr>
        <w:t xml:space="preserve"> annos penitus excecato et ex Linconice</w:t>
      </w:r>
      <w:r>
        <w:rPr>
          <w:lang w:eastAsia="fr-FR" w:bidi="fr-FR"/>
        </w:rPr>
        <w:t> </w:t>
      </w:r>
      <w:r>
        <w:rPr>
          <w:rStyle w:val="Appelnotedebasdep"/>
        </w:rPr>
        <w:footnoteReference w:id="1304"/>
      </w:r>
      <w:r w:rsidRPr="007422C9">
        <w:rPr>
          <w:lang w:eastAsia="fr-FR" w:bidi="fr-FR"/>
        </w:rPr>
        <w:t xml:space="preserve"> urbis ciuibus trahens originem quod apud sanctum Dei Eadwardum sideris utruiusque reperiret claritatem. Ex unda namque manibus regis infusa precipitur ablui et sic demum pri</w:t>
      </w:r>
      <w:r w:rsidRPr="007422C9">
        <w:rPr>
          <w:lang w:eastAsia="fr-FR" w:bidi="fr-FR"/>
        </w:rPr>
        <w:t>s</w:t>
      </w:r>
      <w:r w:rsidRPr="007422C9">
        <w:rPr>
          <w:lang w:eastAsia="fr-FR" w:bidi="fr-FR"/>
        </w:rPr>
        <w:t>tine cecitatis caligine uacuari. Festinat ocius cecus ad curiam et quam tempore diuturno non habuit a ministeris regis sibi impertiri post</w:t>
      </w:r>
      <w:r w:rsidRPr="007422C9">
        <w:rPr>
          <w:lang w:eastAsia="fr-FR" w:bidi="fr-FR"/>
        </w:rPr>
        <w:t>u</w:t>
      </w:r>
      <w:r w:rsidRPr="007422C9">
        <w:rPr>
          <w:lang w:eastAsia="fr-FR" w:bidi="fr-FR"/>
        </w:rPr>
        <w:t>lauit. Eodem igitur modo quo cecus superior facie Iota, sospitati rest</w:t>
      </w:r>
      <w:r w:rsidRPr="007422C9">
        <w:rPr>
          <w:lang w:eastAsia="fr-FR" w:bidi="fr-FR"/>
        </w:rPr>
        <w:t>i</w:t>
      </w:r>
      <w:r w:rsidRPr="007422C9">
        <w:rPr>
          <w:lang w:eastAsia="fr-FR" w:bidi="fr-FR"/>
        </w:rPr>
        <w:t>tuitur et pristine salutis innouata ei gloria restauratur. Adhuc usque in diem assertor permanet hodiernum, qui eum multo tempore prius c</w:t>
      </w:r>
      <w:r w:rsidRPr="007422C9">
        <w:rPr>
          <w:lang w:eastAsia="fr-FR" w:bidi="fr-FR"/>
        </w:rPr>
        <w:t>e</w:t>
      </w:r>
      <w:r w:rsidRPr="007422C9">
        <w:rPr>
          <w:lang w:eastAsia="fr-FR" w:bidi="fr-FR"/>
        </w:rPr>
        <w:t>cum uidit et postea uidentem discussa caligine cognitum habuit. Sic Christus Ihesus Dei filius per christum suum operatur Eadwardum, sic gloriam miraculis adiecit miraculorum</w:t>
      </w:r>
      <w:r>
        <w:rPr>
          <w:lang w:eastAsia="fr-FR" w:bidi="fr-FR"/>
        </w:rPr>
        <w:t> </w:t>
      </w:r>
      <w:r>
        <w:rPr>
          <w:rStyle w:val="Appelnotedebasdep"/>
        </w:rPr>
        <w:footnoteReference w:id="1305"/>
      </w:r>
      <w:r w:rsidRPr="007422C9">
        <w:rPr>
          <w:lang w:eastAsia="fr-FR" w:bidi="fr-FR"/>
        </w:rPr>
        <w:t>.</w:t>
      </w:r>
    </w:p>
    <w:p w14:paraId="549FB5CD" w14:textId="77777777" w:rsidR="00B9662D" w:rsidRPr="007422C9" w:rsidRDefault="00B9662D" w:rsidP="00B9662D">
      <w:pPr>
        <w:spacing w:before="120" w:after="120"/>
        <w:jc w:val="both"/>
      </w:pPr>
      <w:r>
        <w:t>[1006]</w:t>
      </w:r>
    </w:p>
    <w:p w14:paraId="0E0E6765" w14:textId="77777777" w:rsidR="00B9662D" w:rsidRDefault="00B9662D" w:rsidP="00B9662D">
      <w:pPr>
        <w:spacing w:before="120" w:after="120"/>
        <w:jc w:val="both"/>
        <w:rPr>
          <w:lang w:eastAsia="fr-FR" w:bidi="fr-FR"/>
        </w:rPr>
      </w:pPr>
    </w:p>
    <w:p w14:paraId="59A15313" w14:textId="77777777" w:rsidR="00B9662D" w:rsidRPr="00F87F24" w:rsidRDefault="00B9662D" w:rsidP="00B9662D">
      <w:pPr>
        <w:pStyle w:val="b"/>
      </w:pPr>
      <w:r w:rsidRPr="00F87F24">
        <w:rPr>
          <w:lang w:eastAsia="fr-FR" w:bidi="fr-FR"/>
        </w:rPr>
        <w:t>XVI. De ceco per x et ix annos tenebrato et ad tactum regis s</w:t>
      </w:r>
      <w:r w:rsidRPr="00F87F24">
        <w:rPr>
          <w:lang w:eastAsia="fr-FR" w:bidi="fr-FR"/>
        </w:rPr>
        <w:t>a</w:t>
      </w:r>
      <w:r w:rsidRPr="00F87F24">
        <w:rPr>
          <w:lang w:eastAsia="fr-FR" w:bidi="fr-FR"/>
        </w:rPr>
        <w:t>nato.</w:t>
      </w:r>
    </w:p>
    <w:p w14:paraId="1CFCE163" w14:textId="77777777" w:rsidR="00B9662D" w:rsidRDefault="00B9662D" w:rsidP="00B9662D">
      <w:pPr>
        <w:spacing w:before="120" w:after="120"/>
        <w:jc w:val="both"/>
        <w:rPr>
          <w:lang w:eastAsia="fr-FR" w:bidi="fr-FR"/>
        </w:rPr>
      </w:pPr>
    </w:p>
    <w:p w14:paraId="2C5F5281" w14:textId="77777777" w:rsidR="00B9662D" w:rsidRPr="007422C9" w:rsidRDefault="00B9662D" w:rsidP="00B9662D">
      <w:pPr>
        <w:spacing w:before="120" w:after="120"/>
        <w:jc w:val="both"/>
      </w:pPr>
      <w:r w:rsidRPr="007422C9">
        <w:rPr>
          <w:lang w:eastAsia="fr-FR" w:bidi="fr-FR"/>
        </w:rPr>
        <w:t>Honor eterni regis est de sancto rege Eadwardo festiua sollempn</w:t>
      </w:r>
      <w:r w:rsidRPr="007422C9">
        <w:rPr>
          <w:lang w:eastAsia="fr-FR" w:bidi="fr-FR"/>
        </w:rPr>
        <w:t>i</w:t>
      </w:r>
      <w:r w:rsidRPr="007422C9">
        <w:rPr>
          <w:lang w:eastAsia="fr-FR" w:bidi="fr-FR"/>
        </w:rPr>
        <w:t>ter op</w:t>
      </w:r>
      <w:r>
        <w:rPr>
          <w:lang w:eastAsia="fr-FR" w:bidi="fr-FR"/>
        </w:rPr>
        <w:t>e</w:t>
      </w:r>
      <w:r w:rsidRPr="007422C9">
        <w:rPr>
          <w:lang w:eastAsia="fr-FR" w:bidi="fr-FR"/>
        </w:rPr>
        <w:t xml:space="preserve">ra cudere et ad Dei laudem et gloriam eius gesta fideliter nouis titulis commendare. Vnde igitur cetera materiœ tela contexitur qua ad tanti regis amorem populus </w:t>
      </w:r>
      <w:r>
        <w:rPr>
          <w:lang w:eastAsia="fr-FR" w:bidi="fr-FR"/>
        </w:rPr>
        <w:t>Dei diuino igne</w:t>
      </w:r>
      <w:r w:rsidRPr="007422C9">
        <w:rPr>
          <w:lang w:eastAsia="fr-FR" w:bidi="fr-FR"/>
        </w:rPr>
        <w:t xml:space="preserve"> succendatur. Rex igitur gloriosus apud Bruhellam</w:t>
      </w:r>
      <w:r>
        <w:rPr>
          <w:lang w:eastAsia="fr-FR" w:bidi="fr-FR"/>
        </w:rPr>
        <w:t> </w:t>
      </w:r>
      <w:r>
        <w:rPr>
          <w:rStyle w:val="Appelnotedebasdep"/>
        </w:rPr>
        <w:footnoteReference w:id="1306"/>
      </w:r>
      <w:r w:rsidRPr="007422C9">
        <w:rPr>
          <w:lang w:eastAsia="fr-FR" w:bidi="fr-FR"/>
        </w:rPr>
        <w:t xml:space="preserve"> precepit construi regale palatium, hacque de causa ad siluam confluxit cum securibus copiosa multitudo rustic</w:t>
      </w:r>
      <w:r w:rsidRPr="007422C9">
        <w:rPr>
          <w:lang w:eastAsia="fr-FR" w:bidi="fr-FR"/>
        </w:rPr>
        <w:t>o</w:t>
      </w:r>
      <w:r w:rsidRPr="007422C9">
        <w:rPr>
          <w:lang w:eastAsia="fr-FR" w:bidi="fr-FR"/>
        </w:rPr>
        <w:t>rum. Estiuum namque tempus instabat quo pastis uisceribus festinatur ad requiem et rursus post meridiem properatur alacrius ad laborem. Inter ceteros autem edificii regalis operarios adolescens, Wlwinus u</w:t>
      </w:r>
      <w:r w:rsidRPr="007422C9">
        <w:rPr>
          <w:lang w:eastAsia="fr-FR" w:bidi="fr-FR"/>
        </w:rPr>
        <w:t>o</w:t>
      </w:r>
      <w:r w:rsidRPr="007422C9">
        <w:rPr>
          <w:lang w:eastAsia="fr-FR" w:bidi="fr-FR"/>
        </w:rPr>
        <w:t xml:space="preserve">cabulo, amisso uisu a sompno surrexit, qui a consumptione tritici </w:t>
      </w:r>
      <w:r w:rsidRPr="00C248E5">
        <w:rPr>
          <w:bCs/>
          <w:i/>
        </w:rPr>
        <w:t>Va</w:t>
      </w:r>
      <w:r w:rsidRPr="00C248E5">
        <w:rPr>
          <w:bCs/>
          <w:i/>
        </w:rPr>
        <w:t>s</w:t>
      </w:r>
      <w:r w:rsidRPr="00C248E5">
        <w:rPr>
          <w:bCs/>
          <w:i/>
        </w:rPr>
        <w:t>tans annonam</w:t>
      </w:r>
      <w:r>
        <w:rPr>
          <w:bCs/>
        </w:rPr>
        <w:t> </w:t>
      </w:r>
      <w:r>
        <w:rPr>
          <w:rStyle w:val="Appelnotedebasdep"/>
          <w:bCs/>
        </w:rPr>
        <w:footnoteReference w:id="1307"/>
      </w:r>
      <w:r w:rsidRPr="007422C9">
        <w:rPr>
          <w:vertAlign w:val="superscript"/>
          <w:lang w:eastAsia="fr-FR" w:bidi="fr-FR"/>
        </w:rPr>
        <w:t xml:space="preserve"> </w:t>
      </w:r>
      <w:r w:rsidRPr="007422C9">
        <w:rPr>
          <w:lang w:eastAsia="fr-FR" w:bidi="fr-FR"/>
        </w:rPr>
        <w:t xml:space="preserve"> agnomen habuit ; et x et nouem annis in ipsa cecitate permansit. Aliquando Dei super eum respexit miseratio, et qui tanto tempore caruit oculis recepit respectu superne uisitationis. Adiit ergo quedam materfamilias hominem mirabili laborantem incommodo, et quod in uisu de eo didicerat sermonibus ei apertis explanat. « Ad lxxx</w:t>
      </w:r>
      <w:r w:rsidRPr="007422C9">
        <w:rPr>
          <w:vertAlign w:val="superscript"/>
          <w:lang w:eastAsia="fr-FR" w:bidi="fr-FR"/>
        </w:rPr>
        <w:t>t</w:t>
      </w:r>
      <w:r>
        <w:rPr>
          <w:vertAlign w:val="superscript"/>
          <w:lang w:eastAsia="fr-FR" w:bidi="fr-FR"/>
        </w:rPr>
        <w:t>a</w:t>
      </w:r>
      <w:r w:rsidRPr="007422C9">
        <w:rPr>
          <w:lang w:eastAsia="fr-FR" w:bidi="fr-FR"/>
        </w:rPr>
        <w:t> » inquit « ecclesias, dilectissime, nudis pedibus ibis laneis ta</w:t>
      </w:r>
      <w:r w:rsidRPr="007422C9">
        <w:rPr>
          <w:lang w:eastAsia="fr-FR" w:bidi="fr-FR"/>
        </w:rPr>
        <w:t>n</w:t>
      </w:r>
      <w:r w:rsidRPr="007422C9">
        <w:rPr>
          <w:lang w:eastAsia="fr-FR" w:bidi="fr-FR"/>
        </w:rPr>
        <w:t>tum circumdatus uestimentis ; sicque in euacuatione cecitatis tue san</w:t>
      </w:r>
      <w:r w:rsidRPr="007422C9">
        <w:rPr>
          <w:lang w:eastAsia="fr-FR" w:bidi="fr-FR"/>
        </w:rPr>
        <w:t>c</w:t>
      </w:r>
      <w:r w:rsidRPr="007422C9">
        <w:rPr>
          <w:lang w:eastAsia="fr-FR" w:bidi="fr-FR"/>
        </w:rPr>
        <w:t>torum mérita senties, quorum patrocinia fideliter exquires ; specialiter tamen sancto régi Eadwardo hoc reseruatum est priuilegium, ut abl</w:t>
      </w:r>
      <w:r w:rsidRPr="007422C9">
        <w:rPr>
          <w:lang w:eastAsia="fr-FR" w:bidi="fr-FR"/>
        </w:rPr>
        <w:t>u</w:t>
      </w:r>
      <w:r w:rsidRPr="007422C9">
        <w:rPr>
          <w:lang w:eastAsia="fr-FR" w:bidi="fr-FR"/>
        </w:rPr>
        <w:t>tio manuum suarum lumen tibi restitu</w:t>
      </w:r>
      <w:r>
        <w:rPr>
          <w:lang w:eastAsia="fr-FR" w:bidi="fr-FR"/>
        </w:rPr>
        <w:t>a</w:t>
      </w:r>
      <w:r w:rsidRPr="007422C9">
        <w:rPr>
          <w:lang w:eastAsia="fr-FR" w:bidi="fr-FR"/>
        </w:rPr>
        <w:t>t oculorum tuorum ». Inpiger, his auditis, ecclesias totidem repetit. Ad ultimum causam suam cub</w:t>
      </w:r>
      <w:r w:rsidRPr="007422C9">
        <w:rPr>
          <w:lang w:eastAsia="fr-FR" w:bidi="fr-FR"/>
        </w:rPr>
        <w:t>i</w:t>
      </w:r>
      <w:r w:rsidRPr="007422C9">
        <w:rPr>
          <w:lang w:eastAsia="fr-FR" w:bidi="fr-FR"/>
        </w:rPr>
        <w:t>culariis regis ostendit. Distulerunt illi regem reppetere et necessitatem pauperis eius auribus intimare. Pauper eni</w:t>
      </w:r>
      <w:r>
        <w:rPr>
          <w:lang w:eastAsia="fr-FR" w:bidi="fr-FR"/>
        </w:rPr>
        <w:t>m ubique iacet, et ubi pec</w:t>
      </w:r>
      <w:r>
        <w:rPr>
          <w:lang w:eastAsia="fr-FR" w:bidi="fr-FR"/>
        </w:rPr>
        <w:t>u</w:t>
      </w:r>
      <w:r>
        <w:rPr>
          <w:lang w:eastAsia="fr-FR" w:bidi="fr-FR"/>
        </w:rPr>
        <w:t>nia</w:t>
      </w:r>
      <w:r w:rsidRPr="007422C9">
        <w:rPr>
          <w:lang w:eastAsia="fr-FR" w:bidi="fr-FR"/>
        </w:rPr>
        <w:t>rum deficiunt expense, nomen perire solet et fructus amicitie. Pu</w:t>
      </w:r>
      <w:r w:rsidRPr="007422C9">
        <w:rPr>
          <w:lang w:eastAsia="fr-FR" w:bidi="fr-FR"/>
        </w:rPr>
        <w:t>l</w:t>
      </w:r>
      <w:r w:rsidRPr="007422C9">
        <w:rPr>
          <w:lang w:eastAsia="fr-FR" w:bidi="fr-FR"/>
        </w:rPr>
        <w:t xml:space="preserve">sabat tamen attentius ille qui mendicabat ad ostium clementie Dei, ut per sanctum regem Eadwardum lumen reciperet </w:t>
      </w:r>
      <w:r>
        <w:rPr>
          <w:lang w:eastAsia="fr-FR" w:bidi="fr-FR"/>
        </w:rPr>
        <w:t>oculorum. Victus t</w:t>
      </w:r>
      <w:r>
        <w:rPr>
          <w:lang w:eastAsia="fr-FR" w:bidi="fr-FR"/>
        </w:rPr>
        <w:t>e</w:t>
      </w:r>
      <w:r>
        <w:rPr>
          <w:lang w:eastAsia="fr-FR" w:bidi="fr-FR"/>
        </w:rPr>
        <w:t>dio et impor</w:t>
      </w:r>
      <w:r w:rsidRPr="007422C9">
        <w:rPr>
          <w:lang w:eastAsia="fr-FR" w:bidi="fr-FR"/>
        </w:rPr>
        <w:t>tunitate ceci, cubicularius adit quamtocius principem, r</w:t>
      </w:r>
      <w:r w:rsidRPr="007422C9">
        <w:rPr>
          <w:lang w:eastAsia="fr-FR" w:bidi="fr-FR"/>
        </w:rPr>
        <w:t>e</w:t>
      </w:r>
      <w:r w:rsidRPr="007422C9">
        <w:rPr>
          <w:lang w:eastAsia="fr-FR" w:bidi="fr-FR"/>
        </w:rPr>
        <w:t>latam ex ordine indicat uisionem. Rex ut adducetur imperat, suamque pauperi misericordiam Deus ostendit. « Dei genitrix » inquit « domina mea et semper uirgo Maria testis assist</w:t>
      </w:r>
      <w:r>
        <w:rPr>
          <w:lang w:eastAsia="fr-FR" w:bidi="fr-FR"/>
        </w:rPr>
        <w:t>a</w:t>
      </w:r>
      <w:r w:rsidRPr="007422C9">
        <w:rPr>
          <w:lang w:eastAsia="fr-FR" w:bidi="fr-FR"/>
        </w:rPr>
        <w:t>t</w:t>
      </w:r>
      <w:r>
        <w:rPr>
          <w:lang w:eastAsia="fr-FR" w:bidi="fr-FR"/>
        </w:rPr>
        <w:t> </w:t>
      </w:r>
      <w:r>
        <w:rPr>
          <w:rStyle w:val="Appelnotedebasdep"/>
          <w:lang w:eastAsia="fr-FR" w:bidi="fr-FR"/>
        </w:rPr>
        <w:footnoteReference w:customMarkFollows="1" w:id="1308"/>
        <w:t>a</w:t>
      </w:r>
      <w:r w:rsidRPr="007422C9">
        <w:rPr>
          <w:lang w:eastAsia="fr-FR" w:bidi="fr-FR"/>
        </w:rPr>
        <w:t>, quod maxima michi exu</w:t>
      </w:r>
      <w:r w:rsidRPr="007422C9">
        <w:rPr>
          <w:lang w:eastAsia="fr-FR" w:bidi="fr-FR"/>
        </w:rPr>
        <w:t>l</w:t>
      </w:r>
      <w:r w:rsidRPr="007422C9">
        <w:rPr>
          <w:lang w:eastAsia="fr-FR" w:bidi="fr-FR"/>
        </w:rPr>
        <w:t>tatio proueniet si per me Deus cooperatur in eo quod relata uisio d</w:t>
      </w:r>
      <w:r w:rsidRPr="007422C9">
        <w:rPr>
          <w:lang w:eastAsia="fr-FR" w:bidi="fr-FR"/>
        </w:rPr>
        <w:t>o</w:t>
      </w:r>
      <w:r w:rsidRPr="007422C9">
        <w:rPr>
          <w:lang w:eastAsia="fr-FR" w:bidi="fr-FR"/>
        </w:rPr>
        <w:t>cet ». Liquido igitur rex intinctis digitis elemento oculos excecatos misericorditer tetigit ; cum protinus ubertim inter manus principis sanguis efïluxit, de ceco autem factus inco- lumis exclamauit et inge</w:t>
      </w:r>
      <w:r w:rsidRPr="007422C9">
        <w:rPr>
          <w:lang w:eastAsia="fr-FR" w:bidi="fr-FR"/>
        </w:rPr>
        <w:t>n</w:t>
      </w:r>
      <w:r w:rsidRPr="007422C9">
        <w:rPr>
          <w:lang w:eastAsia="fr-FR" w:bidi="fr-FR"/>
        </w:rPr>
        <w:t>ti gaudio exhylaratus ait : « Video, rex, serenam faciem tuam ; uideo gratiosam uite personam ; illuminauit me Deus, et Eadwardus christus eius ! » Quod uir Dei factum considerans omnipotenti Deo gracias retulit, per cuius misericordiam ceco serenitatis dies illuxit. Apud r</w:t>
      </w:r>
      <w:r w:rsidRPr="007422C9">
        <w:rPr>
          <w:lang w:eastAsia="fr-FR" w:bidi="fr-FR"/>
        </w:rPr>
        <w:t>e</w:t>
      </w:r>
      <w:r w:rsidRPr="007422C9">
        <w:rPr>
          <w:lang w:eastAsia="fr-FR" w:bidi="fr-FR"/>
        </w:rPr>
        <w:t>gale municipium, quod Windelesorias</w:t>
      </w:r>
      <w:r>
        <w:rPr>
          <w:lang w:eastAsia="fr-FR" w:bidi="fr-FR"/>
        </w:rPr>
        <w:t> </w:t>
      </w:r>
      <w:r>
        <w:rPr>
          <w:rStyle w:val="Appelnotedebasdep"/>
        </w:rPr>
        <w:footnoteReference w:id="1309"/>
      </w:r>
      <w:r w:rsidRPr="007422C9">
        <w:rPr>
          <w:lang w:eastAsia="fr-FR" w:bidi="fr-FR"/>
        </w:rPr>
        <w:t xml:space="preserve"> nuncupant, hoc actum contigit Domino dispensante miraculum, sicut ei per uisionem femine ante</w:t>
      </w:r>
      <w:r>
        <w:t xml:space="preserve"> [1007] </w:t>
      </w:r>
      <w:r w:rsidRPr="007422C9">
        <w:rPr>
          <w:lang w:eastAsia="fr-FR" w:bidi="fr-FR"/>
        </w:rPr>
        <w:t>fuerat reuelatum : quod rex gloriosus opidum beato Petro apo</w:t>
      </w:r>
      <w:r w:rsidRPr="007422C9">
        <w:rPr>
          <w:lang w:eastAsia="fr-FR" w:bidi="fr-FR"/>
        </w:rPr>
        <w:t>s</w:t>
      </w:r>
      <w:r w:rsidRPr="007422C9">
        <w:rPr>
          <w:lang w:eastAsia="fr-FR" w:bidi="fr-FR"/>
        </w:rPr>
        <w:t>tolo in Westmonasterio tradidit, et priuilegii sui libertate confi</w:t>
      </w:r>
      <w:r w:rsidRPr="007422C9">
        <w:rPr>
          <w:lang w:eastAsia="fr-FR" w:bidi="fr-FR"/>
        </w:rPr>
        <w:t>r</w:t>
      </w:r>
      <w:r w:rsidRPr="007422C9">
        <w:rPr>
          <w:lang w:eastAsia="fr-FR" w:bidi="fr-FR"/>
        </w:rPr>
        <w:t>mauit</w:t>
      </w:r>
      <w:r>
        <w:rPr>
          <w:lang w:eastAsia="fr-FR" w:bidi="fr-FR"/>
        </w:rPr>
        <w:t> </w:t>
      </w:r>
      <w:r>
        <w:rPr>
          <w:rStyle w:val="Appelnotedebasdep"/>
        </w:rPr>
        <w:footnoteReference w:id="1310"/>
      </w:r>
      <w:r w:rsidRPr="007422C9">
        <w:rPr>
          <w:lang w:eastAsia="fr-FR" w:bidi="fr-FR"/>
        </w:rPr>
        <w:t>. Homini uero celitus illuminato suum commisit principale p</w:t>
      </w:r>
      <w:r w:rsidRPr="007422C9">
        <w:rPr>
          <w:lang w:eastAsia="fr-FR" w:bidi="fr-FR"/>
        </w:rPr>
        <w:t>a</w:t>
      </w:r>
      <w:r w:rsidRPr="007422C9">
        <w:rPr>
          <w:lang w:eastAsia="fr-FR" w:bidi="fr-FR"/>
        </w:rPr>
        <w:t>latium totius uite sue tempore deinceps custodiendum. Hic usque ad tempora regis Willelmi, qui de Anglis in prelio uictor triumphauit, aulam Westmonasterii seruauit regiam ; et qui per annos unum de xx</w:t>
      </w:r>
      <w:r w:rsidRPr="00C248E5">
        <w:rPr>
          <w:vertAlign w:val="superscript"/>
          <w:lang w:eastAsia="fr-FR" w:bidi="fr-FR"/>
        </w:rPr>
        <w:t>ti</w:t>
      </w:r>
      <w:r w:rsidRPr="007422C9">
        <w:rPr>
          <w:lang w:eastAsia="fr-FR" w:bidi="fr-FR"/>
        </w:rPr>
        <w:t xml:space="preserve"> cecus extiterat claro uidit intuitu usque ad mortem suam.</w:t>
      </w:r>
    </w:p>
    <w:p w14:paraId="5FECF9E6" w14:textId="77777777" w:rsidR="00B9662D" w:rsidRDefault="00B9662D" w:rsidP="00B9662D">
      <w:pPr>
        <w:spacing w:before="120" w:after="120"/>
        <w:jc w:val="both"/>
        <w:rPr>
          <w:lang w:eastAsia="fr-FR" w:bidi="fr-FR"/>
        </w:rPr>
      </w:pPr>
    </w:p>
    <w:p w14:paraId="213BE0FF" w14:textId="77777777" w:rsidR="00B9662D" w:rsidRPr="00F87F24" w:rsidRDefault="00B9662D" w:rsidP="00B9662D">
      <w:pPr>
        <w:pStyle w:val="b"/>
      </w:pPr>
      <w:r w:rsidRPr="00F87F24">
        <w:rPr>
          <w:lang w:eastAsia="fr-FR" w:bidi="fr-FR"/>
        </w:rPr>
        <w:t>XVII. De aqua regis manibus apposita</w:t>
      </w:r>
      <w:r>
        <w:rPr>
          <w:lang w:eastAsia="fr-FR" w:bidi="fr-FR"/>
        </w:rPr>
        <w:br/>
      </w:r>
      <w:r w:rsidRPr="00F87F24">
        <w:rPr>
          <w:lang w:eastAsia="fr-FR" w:bidi="fr-FR"/>
        </w:rPr>
        <w:t>et clam ciudam submi- nistra.</w:t>
      </w:r>
    </w:p>
    <w:p w14:paraId="11335475" w14:textId="77777777" w:rsidR="00B9662D" w:rsidRDefault="00B9662D" w:rsidP="00B9662D">
      <w:pPr>
        <w:spacing w:before="120" w:after="120"/>
        <w:jc w:val="both"/>
        <w:rPr>
          <w:lang w:eastAsia="fr-FR" w:bidi="fr-FR"/>
        </w:rPr>
      </w:pPr>
    </w:p>
    <w:p w14:paraId="793BBA5B" w14:textId="77777777" w:rsidR="00B9662D" w:rsidRPr="007422C9" w:rsidRDefault="00B9662D" w:rsidP="00B9662D">
      <w:pPr>
        <w:spacing w:before="120" w:after="120"/>
        <w:jc w:val="both"/>
      </w:pPr>
      <w:r w:rsidRPr="007422C9">
        <w:rPr>
          <w:lang w:eastAsia="fr-FR" w:bidi="fr-FR"/>
        </w:rPr>
        <w:t>Adhuc maiora referenda sunt de uiro Dei magnalia, que ad laudem eius et gloriam a recta fide nemo discretus existimabit aliéna. Con</w:t>
      </w:r>
      <w:r w:rsidRPr="007422C9">
        <w:rPr>
          <w:lang w:eastAsia="fr-FR" w:bidi="fr-FR"/>
        </w:rPr>
        <w:t>s</w:t>
      </w:r>
      <w:r w:rsidRPr="007422C9">
        <w:rPr>
          <w:lang w:eastAsia="fr-FR" w:bidi="fr-FR"/>
        </w:rPr>
        <w:t>pecto namque tanto quidam de palatinis miraculo, quo cecus a calig</w:t>
      </w:r>
      <w:r w:rsidRPr="007422C9">
        <w:rPr>
          <w:lang w:eastAsia="fr-FR" w:bidi="fr-FR"/>
        </w:rPr>
        <w:t>i</w:t>
      </w:r>
      <w:r w:rsidRPr="007422C9">
        <w:rPr>
          <w:lang w:eastAsia="fr-FR" w:bidi="fr-FR"/>
        </w:rPr>
        <w:t>ne per regem absoluitur, quod de lauature regis superest reliquiis rel</w:t>
      </w:r>
      <w:r w:rsidRPr="007422C9">
        <w:rPr>
          <w:lang w:eastAsia="fr-FR" w:bidi="fr-FR"/>
        </w:rPr>
        <w:t>i</w:t>
      </w:r>
      <w:r w:rsidRPr="007422C9">
        <w:rPr>
          <w:lang w:eastAsia="fr-FR" w:bidi="fr-FR"/>
        </w:rPr>
        <w:t>giose nititur ut furetur. Asportata de foris aqua quat</w:t>
      </w:r>
      <w:r>
        <w:rPr>
          <w:lang w:eastAsia="fr-FR" w:bidi="fr-FR"/>
        </w:rPr>
        <w:t>uor mendicos re</w:t>
      </w:r>
      <w:r>
        <w:rPr>
          <w:lang w:eastAsia="fr-FR" w:bidi="fr-FR"/>
        </w:rPr>
        <w:t>p</w:t>
      </w:r>
      <w:r>
        <w:rPr>
          <w:lang w:eastAsia="fr-FR" w:bidi="fr-FR"/>
        </w:rPr>
        <w:t>perit quorum tre</w:t>
      </w:r>
      <w:r w:rsidRPr="007422C9">
        <w:rPr>
          <w:lang w:eastAsia="fr-FR" w:bidi="fr-FR"/>
        </w:rPr>
        <w:t>s oculorum amissione grauati erant, quarto uero unum tantummodo sidus illuxit. Vir autem palatinus eorum inde cecitatem fideliter abluit, quibus in curia tanti principis vii</w:t>
      </w:r>
      <w:r w:rsidRPr="007422C9">
        <w:rPr>
          <w:vertAlign w:val="superscript"/>
          <w:lang w:eastAsia="fr-FR" w:bidi="fr-FR"/>
        </w:rPr>
        <w:t>tem</w:t>
      </w:r>
      <w:r w:rsidRPr="007422C9">
        <w:rPr>
          <w:lang w:eastAsia="fr-FR" w:bidi="fr-FR"/>
        </w:rPr>
        <w:t xml:space="preserve"> amissa lumina Dei uirtus restaurauit. Obstupescunt ex admiratione de facto, qui utrique interfuere miraculo. Magnum estimant quod per regem cernunt impl</w:t>
      </w:r>
      <w:r w:rsidRPr="007422C9">
        <w:rPr>
          <w:lang w:eastAsia="fr-FR" w:bidi="fr-FR"/>
        </w:rPr>
        <w:t>e</w:t>
      </w:r>
      <w:r w:rsidRPr="007422C9">
        <w:rPr>
          <w:lang w:eastAsia="fr-FR" w:bidi="fr-FR"/>
        </w:rPr>
        <w:t>tum, set maius pronun- ciant quod per manum alterius ex manuum suarum ablutione seruum suum Deus glorificauit Eadwardum</w:t>
      </w:r>
      <w:r>
        <w:rPr>
          <w:lang w:eastAsia="fr-FR" w:bidi="fr-FR"/>
        </w:rPr>
        <w:t> </w:t>
      </w:r>
      <w:r>
        <w:rPr>
          <w:rStyle w:val="Appelnotedebasdep"/>
        </w:rPr>
        <w:footnoteReference w:id="1311"/>
      </w:r>
      <w:r w:rsidRPr="007422C9">
        <w:rPr>
          <w:lang w:eastAsia="fr-FR" w:bidi="fr-FR"/>
        </w:rPr>
        <w:t>.</w:t>
      </w:r>
    </w:p>
    <w:p w14:paraId="03693B8F" w14:textId="77777777" w:rsidR="00B9662D" w:rsidRDefault="00B9662D" w:rsidP="00B9662D">
      <w:pPr>
        <w:spacing w:before="120" w:after="120"/>
        <w:jc w:val="both"/>
        <w:rPr>
          <w:lang w:eastAsia="fr-FR" w:bidi="fr-FR"/>
        </w:rPr>
      </w:pPr>
      <w:r>
        <w:rPr>
          <w:lang w:eastAsia="fr-FR" w:bidi="fr-FR"/>
        </w:rPr>
        <w:br w:type="page"/>
      </w:r>
    </w:p>
    <w:p w14:paraId="771E9238" w14:textId="77777777" w:rsidR="00B9662D" w:rsidRPr="00F87F24" w:rsidRDefault="00B9662D" w:rsidP="00B9662D">
      <w:pPr>
        <w:pStyle w:val="b"/>
      </w:pPr>
      <w:r w:rsidRPr="00F87F24">
        <w:rPr>
          <w:lang w:eastAsia="fr-FR" w:bidi="fr-FR"/>
        </w:rPr>
        <w:t>XVIII. De uisione que ei die sanct</w:t>
      </w:r>
      <w:r>
        <w:rPr>
          <w:lang w:eastAsia="fr-FR" w:bidi="fr-FR"/>
        </w:rPr>
        <w:t>o Pasche facta</w:t>
      </w:r>
      <w:r>
        <w:rPr>
          <w:lang w:eastAsia="fr-FR" w:bidi="fr-FR"/>
        </w:rPr>
        <w:br/>
      </w:r>
      <w:r w:rsidRPr="00F87F24">
        <w:rPr>
          <w:lang w:eastAsia="fr-FR" w:bidi="fr-FR"/>
        </w:rPr>
        <w:t>est celitus de sanctis vii dormientibus.</w:t>
      </w:r>
    </w:p>
    <w:p w14:paraId="6ADC742A" w14:textId="77777777" w:rsidR="00B9662D" w:rsidRDefault="00B9662D" w:rsidP="00B9662D">
      <w:pPr>
        <w:spacing w:before="120" w:after="120"/>
        <w:jc w:val="both"/>
        <w:rPr>
          <w:lang w:eastAsia="fr-FR" w:bidi="fr-FR"/>
        </w:rPr>
      </w:pPr>
    </w:p>
    <w:p w14:paraId="266158D5" w14:textId="77777777" w:rsidR="00B9662D" w:rsidRPr="007422C9" w:rsidRDefault="00B9662D" w:rsidP="00B9662D">
      <w:pPr>
        <w:spacing w:before="120" w:after="120"/>
        <w:jc w:val="both"/>
      </w:pPr>
      <w:r w:rsidRPr="007422C9">
        <w:rPr>
          <w:lang w:eastAsia="fr-FR" w:bidi="fr-FR"/>
        </w:rPr>
        <w:t>Zelus domus Dei gloriosi principis animum a secularium remou</w:t>
      </w:r>
      <w:r w:rsidRPr="007422C9">
        <w:rPr>
          <w:lang w:eastAsia="fr-FR" w:bidi="fr-FR"/>
        </w:rPr>
        <w:t>e</w:t>
      </w:r>
      <w:r w:rsidRPr="007422C9">
        <w:rPr>
          <w:lang w:eastAsia="fr-FR" w:bidi="fr-FR"/>
        </w:rPr>
        <w:t>bat repressione curarum, ut liberius diuinorum feruidus existeret ind</w:t>
      </w:r>
      <w:r w:rsidRPr="007422C9">
        <w:rPr>
          <w:lang w:eastAsia="fr-FR" w:bidi="fr-FR"/>
        </w:rPr>
        <w:t>a</w:t>
      </w:r>
      <w:r w:rsidRPr="007422C9">
        <w:rPr>
          <w:lang w:eastAsia="fr-FR" w:bidi="fr-FR"/>
        </w:rPr>
        <w:t>gator studiorum. Noxia quantum poterat reiciebat onera, et spiritual</w:t>
      </w:r>
      <w:r w:rsidRPr="007422C9">
        <w:rPr>
          <w:lang w:eastAsia="fr-FR" w:bidi="fr-FR"/>
        </w:rPr>
        <w:t>i</w:t>
      </w:r>
      <w:r w:rsidRPr="007422C9">
        <w:rPr>
          <w:lang w:eastAsia="fr-FR" w:bidi="fr-FR"/>
        </w:rPr>
        <w:t>bus mens eius uigebat stipendiis occupata. Vnde Rex regum et Dom</w:t>
      </w:r>
      <w:r w:rsidRPr="007422C9">
        <w:rPr>
          <w:lang w:eastAsia="fr-FR" w:bidi="fr-FR"/>
        </w:rPr>
        <w:t>i</w:t>
      </w:r>
      <w:r w:rsidRPr="007422C9">
        <w:rPr>
          <w:lang w:eastAsia="fr-FR" w:bidi="fr-FR"/>
        </w:rPr>
        <w:t>nus dominan- tium tantam ei dilectionem exhibuit, quod multa de s</w:t>
      </w:r>
      <w:r w:rsidRPr="007422C9">
        <w:rPr>
          <w:lang w:eastAsia="fr-FR" w:bidi="fr-FR"/>
        </w:rPr>
        <w:t>e</w:t>
      </w:r>
      <w:r w:rsidRPr="007422C9">
        <w:rPr>
          <w:lang w:eastAsia="fr-FR" w:bidi="fr-FR"/>
        </w:rPr>
        <w:t>cretis suis archana r</w:t>
      </w:r>
      <w:r>
        <w:rPr>
          <w:lang w:eastAsia="fr-FR" w:bidi="fr-FR"/>
        </w:rPr>
        <w:t>e</w:t>
      </w:r>
      <w:r w:rsidRPr="007422C9">
        <w:rPr>
          <w:lang w:eastAsia="fr-FR" w:bidi="fr-FR"/>
        </w:rPr>
        <w:t>gi familiariter insinuauit. Accidit ergo in die r</w:t>
      </w:r>
      <w:r w:rsidRPr="007422C9">
        <w:rPr>
          <w:lang w:eastAsia="fr-FR" w:bidi="fr-FR"/>
        </w:rPr>
        <w:t>e</w:t>
      </w:r>
      <w:r w:rsidRPr="007422C9">
        <w:rPr>
          <w:lang w:eastAsia="fr-FR" w:bidi="fr-FR"/>
        </w:rPr>
        <w:t>surrectionis dominice quod narro apud Westmonasterium, in regali palatio. Egregius princeps diademate pariter ornatus et sceptro in e</w:t>
      </w:r>
      <w:r w:rsidRPr="007422C9">
        <w:rPr>
          <w:lang w:eastAsia="fr-FR" w:bidi="fr-FR"/>
        </w:rPr>
        <w:t>c</w:t>
      </w:r>
      <w:r w:rsidRPr="007422C9">
        <w:rPr>
          <w:lang w:eastAsia="fr-FR" w:bidi="fr-FR"/>
        </w:rPr>
        <w:t>clesia beati P</w:t>
      </w:r>
      <w:r>
        <w:rPr>
          <w:lang w:eastAsia="fr-FR" w:bidi="fr-FR"/>
        </w:rPr>
        <w:t>e</w:t>
      </w:r>
      <w:r w:rsidRPr="007422C9">
        <w:rPr>
          <w:lang w:eastAsia="fr-FR" w:bidi="fr-FR"/>
        </w:rPr>
        <w:t>tri apostoli mysteriis sanctis diuine seruitutis interfuit, quem paschalis agni uictima salutaris spiritualiter saciauit. Inde r</w:t>
      </w:r>
      <w:r w:rsidRPr="007422C9">
        <w:rPr>
          <w:lang w:eastAsia="fr-FR" w:bidi="fr-FR"/>
        </w:rPr>
        <w:t>e</w:t>
      </w:r>
      <w:r w:rsidRPr="007422C9">
        <w:rPr>
          <w:lang w:eastAsia="fr-FR" w:bidi="fr-FR"/>
        </w:rPr>
        <w:t>gressus</w:t>
      </w:r>
      <w:r>
        <w:rPr>
          <w:lang w:eastAsia="fr-FR" w:bidi="fr-FR"/>
        </w:rPr>
        <w:t> </w:t>
      </w:r>
      <w:r>
        <w:rPr>
          <w:rStyle w:val="Appelnotedebasdep"/>
          <w:lang w:eastAsia="fr-FR" w:bidi="fr-FR"/>
        </w:rPr>
        <w:footnoteReference w:customMarkFollows="1" w:id="1312"/>
        <w:t>a</w:t>
      </w:r>
      <w:r w:rsidRPr="007422C9">
        <w:rPr>
          <w:lang w:eastAsia="fr-FR" w:bidi="fr-FR"/>
        </w:rPr>
        <w:t>, maiestatis excepit regie domicilium, copiosamque pariter cum eo multidudinem uirorum qui dominice mense adorauerant my</w:t>
      </w:r>
      <w:r w:rsidRPr="007422C9">
        <w:rPr>
          <w:lang w:eastAsia="fr-FR" w:bidi="fr-FR"/>
        </w:rPr>
        <w:t>s</w:t>
      </w:r>
      <w:r w:rsidRPr="007422C9">
        <w:rPr>
          <w:lang w:eastAsia="fr-FR" w:bidi="fr-FR"/>
        </w:rPr>
        <w:t>teria et corporis Christi ac sanguinis secum</w:t>
      </w:r>
      <w:r>
        <w:t xml:space="preserve"> [1008] </w:t>
      </w:r>
      <w:r w:rsidRPr="007422C9">
        <w:rPr>
          <w:lang w:eastAsia="fr-FR" w:bidi="fr-FR"/>
        </w:rPr>
        <w:t>susceperant sacr</w:t>
      </w:r>
      <w:r w:rsidRPr="007422C9">
        <w:rPr>
          <w:lang w:eastAsia="fr-FR" w:bidi="fr-FR"/>
        </w:rPr>
        <w:t>a</w:t>
      </w:r>
      <w:r w:rsidRPr="007422C9">
        <w:rPr>
          <w:lang w:eastAsia="fr-FR" w:bidi="fr-FR"/>
        </w:rPr>
        <w:t>menta. Cumque rex prediue</w:t>
      </w:r>
      <w:r>
        <w:rPr>
          <w:lang w:eastAsia="fr-FR" w:bidi="fr-FR"/>
        </w:rPr>
        <w:t>s in imperio, glori</w:t>
      </w:r>
      <w:r>
        <w:rPr>
          <w:lang w:eastAsia="fr-FR" w:bidi="fr-FR"/>
        </w:rPr>
        <w:t>o</w:t>
      </w:r>
      <w:r>
        <w:rPr>
          <w:lang w:eastAsia="fr-FR" w:bidi="fr-FR"/>
        </w:rPr>
        <w:t>sus in pala</w:t>
      </w:r>
      <w:r w:rsidRPr="007422C9">
        <w:rPr>
          <w:lang w:eastAsia="fr-FR" w:bidi="fr-FR"/>
        </w:rPr>
        <w:t>tio, terribilis in regno, circumdatus sue militie optimatibus incederet, et iam mensis regalibus sollempniter assedisset, uocem suam subito promouit in risu, ut ab omnibus patulo perciperetur aud</w:t>
      </w:r>
      <w:r w:rsidRPr="007422C9">
        <w:rPr>
          <w:lang w:eastAsia="fr-FR" w:bidi="fr-FR"/>
        </w:rPr>
        <w:t>i</w:t>
      </w:r>
      <w:r w:rsidRPr="007422C9">
        <w:rPr>
          <w:lang w:eastAsia="fr-FR" w:bidi="fr-FR"/>
        </w:rPr>
        <w:t>tu. Qui</w:t>
      </w:r>
      <w:r>
        <w:rPr>
          <w:lang w:eastAsia="fr-FR" w:bidi="fr-FR"/>
        </w:rPr>
        <w:t>euerunt cuncti silen</w:t>
      </w:r>
      <w:r w:rsidRPr="007422C9">
        <w:rPr>
          <w:lang w:eastAsia="fr-FR" w:bidi="fr-FR"/>
        </w:rPr>
        <w:t>tio, nec cuiuspiam regem interrogatio mouit, nec questio super hoc aliqua pulsauit. Peractis autem tante so</w:t>
      </w:r>
      <w:r w:rsidRPr="007422C9">
        <w:rPr>
          <w:lang w:eastAsia="fr-FR" w:bidi="fr-FR"/>
        </w:rPr>
        <w:t>l</w:t>
      </w:r>
      <w:r w:rsidRPr="007422C9">
        <w:rPr>
          <w:lang w:eastAsia="fr-FR" w:bidi="fr-FR"/>
        </w:rPr>
        <w:t>lempnitatis regalibus epulis, ut tante dignitatis exoneraretur ornamentis ingreditur princeps continuo thal</w:t>
      </w:r>
      <w:r w:rsidRPr="007422C9">
        <w:rPr>
          <w:lang w:eastAsia="fr-FR" w:bidi="fr-FR"/>
        </w:rPr>
        <w:t>a</w:t>
      </w:r>
      <w:r w:rsidRPr="007422C9">
        <w:rPr>
          <w:lang w:eastAsia="fr-FR" w:bidi="fr-FR"/>
        </w:rPr>
        <w:t>mum, diadema pariter deposit</w:t>
      </w:r>
      <w:r w:rsidRPr="007422C9">
        <w:rPr>
          <w:lang w:eastAsia="fr-FR" w:bidi="fr-FR"/>
        </w:rPr>
        <w:t>u</w:t>
      </w:r>
      <w:r w:rsidRPr="007422C9">
        <w:rPr>
          <w:lang w:eastAsia="fr-FR" w:bidi="fr-FR"/>
        </w:rPr>
        <w:t>rus et sceptrum. Dux igitur Haroldus ei pre ceteris familiarior</w:t>
      </w:r>
      <w:r>
        <w:rPr>
          <w:lang w:eastAsia="fr-FR" w:bidi="fr-FR"/>
        </w:rPr>
        <w:t> </w:t>
      </w:r>
      <w:r>
        <w:rPr>
          <w:rStyle w:val="Appelnotedebasdep"/>
          <w:lang w:eastAsia="fr-FR" w:bidi="fr-FR"/>
        </w:rPr>
        <w:footnoteReference w:customMarkFollows="1" w:id="1313"/>
        <w:t>b</w:t>
      </w:r>
      <w:r w:rsidRPr="007422C9">
        <w:rPr>
          <w:lang w:eastAsia="fr-FR" w:bidi="fr-FR"/>
        </w:rPr>
        <w:t xml:space="preserve"> et ad interrogandum omnibus audacior, pont</w:t>
      </w:r>
      <w:r w:rsidRPr="007422C9">
        <w:rPr>
          <w:lang w:eastAsia="fr-FR" w:bidi="fr-FR"/>
        </w:rPr>
        <w:t>i</w:t>
      </w:r>
      <w:r w:rsidRPr="007422C9">
        <w:rPr>
          <w:lang w:eastAsia="fr-FR" w:bidi="fr-FR"/>
        </w:rPr>
        <w:t>fice tantum comitatus et abbate, tali regem egregium alloquitur sedul</w:t>
      </w:r>
      <w:r w:rsidRPr="007422C9">
        <w:rPr>
          <w:lang w:eastAsia="fr-FR" w:bidi="fr-FR"/>
        </w:rPr>
        <w:t>i</w:t>
      </w:r>
      <w:r w:rsidRPr="007422C9">
        <w:rPr>
          <w:lang w:eastAsia="fr-FR" w:bidi="fr-FR"/>
        </w:rPr>
        <w:t>tate : « Mirati sunt hodie tuo qui interfuere conuiuio, quibus ualde u</w:t>
      </w:r>
      <w:r w:rsidRPr="007422C9">
        <w:rPr>
          <w:lang w:eastAsia="fr-FR" w:bidi="fr-FR"/>
        </w:rPr>
        <w:t>i</w:t>
      </w:r>
      <w:r w:rsidRPr="007422C9">
        <w:rPr>
          <w:lang w:eastAsia="fr-FR" w:bidi="fr-FR"/>
        </w:rPr>
        <w:t>detur insolitum quod omnes sensus anime tue excitati sunt adeo u</w:t>
      </w:r>
      <w:r w:rsidRPr="007422C9">
        <w:rPr>
          <w:lang w:eastAsia="fr-FR" w:bidi="fr-FR"/>
        </w:rPr>
        <w:t>e</w:t>
      </w:r>
      <w:r w:rsidRPr="007422C9">
        <w:rPr>
          <w:lang w:eastAsia="fr-FR" w:bidi="fr-FR"/>
        </w:rPr>
        <w:t>hementer in risum. Intemperantem audiuimus, quem nusquam hact</w:t>
      </w:r>
      <w:r w:rsidRPr="007422C9">
        <w:rPr>
          <w:lang w:eastAsia="fr-FR" w:bidi="fr-FR"/>
        </w:rPr>
        <w:t>e</w:t>
      </w:r>
      <w:r w:rsidRPr="007422C9">
        <w:rPr>
          <w:lang w:eastAsia="fr-FR" w:bidi="fr-FR"/>
        </w:rPr>
        <w:t>nus sine temperantia experti fu</w:t>
      </w:r>
      <w:r w:rsidRPr="007422C9">
        <w:rPr>
          <w:lang w:eastAsia="fr-FR" w:bidi="fr-FR"/>
        </w:rPr>
        <w:t>i</w:t>
      </w:r>
      <w:r w:rsidRPr="007422C9">
        <w:rPr>
          <w:lang w:eastAsia="fr-FR" w:bidi="fr-FR"/>
        </w:rPr>
        <w:t>mus. Que igitur causa huiusmodi ? Saltem edissere quid risisti. Non sine causa factum arguimus quod in causam uenisse non ignor</w:t>
      </w:r>
      <w:r w:rsidRPr="007422C9">
        <w:rPr>
          <w:lang w:eastAsia="fr-FR" w:bidi="fr-FR"/>
        </w:rPr>
        <w:t>a</w:t>
      </w:r>
      <w:r w:rsidRPr="007422C9">
        <w:rPr>
          <w:lang w:eastAsia="fr-FR" w:bidi="fr-FR"/>
        </w:rPr>
        <w:t>mus. »</w:t>
      </w:r>
      <w:r>
        <w:rPr>
          <w:lang w:eastAsia="fr-FR" w:bidi="fr-FR"/>
        </w:rPr>
        <w:t> — </w:t>
      </w:r>
      <w:r w:rsidRPr="007422C9">
        <w:rPr>
          <w:lang w:eastAsia="fr-FR" w:bidi="fr-FR"/>
        </w:rPr>
        <w:t>« Ne turbemini » rex ait « dilectissimi, quia mira uidi. Derisum quem inquiritis confictum fo</w:t>
      </w:r>
      <w:r w:rsidRPr="007422C9">
        <w:rPr>
          <w:lang w:eastAsia="fr-FR" w:bidi="fr-FR"/>
        </w:rPr>
        <w:t>r</w:t>
      </w:r>
      <w:r w:rsidRPr="007422C9">
        <w:rPr>
          <w:lang w:eastAsia="fr-FR" w:bidi="fr-FR"/>
        </w:rPr>
        <w:t>tuitu ne teneatis. » Instant heroes causam letitie postulantes quia uidi</w:t>
      </w:r>
      <w:r w:rsidRPr="007422C9">
        <w:rPr>
          <w:lang w:eastAsia="fr-FR" w:bidi="fr-FR"/>
        </w:rPr>
        <w:t>s</w:t>
      </w:r>
      <w:r w:rsidRPr="007422C9">
        <w:rPr>
          <w:lang w:eastAsia="fr-FR" w:bidi="fr-FR"/>
        </w:rPr>
        <w:t>se regem non dubitabant in spiritu, unde quoddam gaudium profereb</w:t>
      </w:r>
      <w:r w:rsidRPr="007422C9">
        <w:rPr>
          <w:lang w:eastAsia="fr-FR" w:bidi="fr-FR"/>
        </w:rPr>
        <w:t>a</w:t>
      </w:r>
      <w:r w:rsidRPr="007422C9">
        <w:rPr>
          <w:lang w:eastAsia="fr-FR" w:bidi="fr-FR"/>
        </w:rPr>
        <w:t>tur in risu. Exponit tandem ce</w:t>
      </w:r>
      <w:r w:rsidRPr="007422C9">
        <w:rPr>
          <w:lang w:eastAsia="fr-FR" w:bidi="fr-FR"/>
        </w:rPr>
        <w:t>r</w:t>
      </w:r>
      <w:r w:rsidRPr="007422C9">
        <w:rPr>
          <w:lang w:eastAsia="fr-FR" w:bidi="fr-FR"/>
        </w:rPr>
        <w:t>tius quod rogant auidus et ostendit eis princeps in specie quod tanta exultatio non precesserat de mundi uan</w:t>
      </w:r>
      <w:r w:rsidRPr="007422C9">
        <w:rPr>
          <w:lang w:eastAsia="fr-FR" w:bidi="fr-FR"/>
        </w:rPr>
        <w:t>i</w:t>
      </w:r>
      <w:r w:rsidRPr="007422C9">
        <w:rPr>
          <w:lang w:eastAsia="fr-FR" w:bidi="fr-FR"/>
        </w:rPr>
        <w:t>tate. « Ducentos » inquit « et eo amplius pertransisse nouimus annos, quod s</w:t>
      </w:r>
      <w:r>
        <w:rPr>
          <w:lang w:eastAsia="fr-FR" w:bidi="fr-FR"/>
        </w:rPr>
        <w:t>ancti vii dormientes, apud Ephe</w:t>
      </w:r>
      <w:r w:rsidRPr="007422C9">
        <w:rPr>
          <w:lang w:eastAsia="fr-FR" w:bidi="fr-FR"/>
        </w:rPr>
        <w:t>sum, in monte Celio introeuntes speluncam, super dextrum latus quiescentes in pace condignam m</w:t>
      </w:r>
      <w:r w:rsidRPr="007422C9">
        <w:rPr>
          <w:lang w:eastAsia="fr-FR" w:bidi="fr-FR"/>
        </w:rPr>
        <w:t>e</w:t>
      </w:r>
      <w:r w:rsidRPr="007422C9">
        <w:rPr>
          <w:lang w:eastAsia="fr-FR" w:bidi="fr-FR"/>
        </w:rPr>
        <w:t>ruerunt sepulturam. Veruntamen hodie postquam cepimus epulari, s</w:t>
      </w:r>
      <w:r w:rsidRPr="007422C9">
        <w:rPr>
          <w:lang w:eastAsia="fr-FR" w:bidi="fr-FR"/>
        </w:rPr>
        <w:t>u</w:t>
      </w:r>
      <w:r w:rsidRPr="007422C9">
        <w:rPr>
          <w:lang w:eastAsia="fr-FR" w:bidi="fr-FR"/>
        </w:rPr>
        <w:t>per sinistrum latus mirum in modum sunt conuersi et usque ad lxx iiii</w:t>
      </w:r>
      <w:r w:rsidRPr="007422C9">
        <w:rPr>
          <w:vertAlign w:val="superscript"/>
          <w:lang w:eastAsia="fr-FR" w:bidi="fr-FR"/>
        </w:rPr>
        <w:t>or</w:t>
      </w:r>
      <w:r w:rsidRPr="007422C9">
        <w:rPr>
          <w:lang w:eastAsia="fr-FR" w:bidi="fr-FR"/>
        </w:rPr>
        <w:t xml:space="preserve"> annos sic erunt assidue ut intérim non releuentur altéra mutatione. Dirum enim omen mortalibus iminet, sicut in euangelio Dominus d</w:t>
      </w:r>
      <w:r w:rsidRPr="007422C9">
        <w:rPr>
          <w:lang w:eastAsia="fr-FR" w:bidi="fr-FR"/>
        </w:rPr>
        <w:t>o</w:t>
      </w:r>
      <w:r w:rsidRPr="007422C9">
        <w:rPr>
          <w:lang w:eastAsia="fr-FR" w:bidi="fr-FR"/>
        </w:rPr>
        <w:t>cet. Nam « surget gens contra gentem, et regnum aduersus regnum, et terremotus magni erunt per loca, et pestilentie et famés terroresque de celo et signa magna erunt »</w:t>
      </w:r>
      <w:r>
        <w:rPr>
          <w:lang w:eastAsia="fr-FR" w:bidi="fr-FR"/>
        </w:rPr>
        <w:t> </w:t>
      </w:r>
      <w:r>
        <w:rPr>
          <w:rStyle w:val="Appelnotedebasdep"/>
        </w:rPr>
        <w:footnoteReference w:id="1314"/>
      </w:r>
      <w:r w:rsidRPr="007422C9">
        <w:rPr>
          <w:lang w:eastAsia="fr-FR" w:bidi="fr-FR"/>
        </w:rPr>
        <w:t xml:space="preserve"> Hec uero aliis lxx</w:t>
      </w:r>
      <w:r w:rsidRPr="007422C9">
        <w:rPr>
          <w:vertAlign w:val="superscript"/>
          <w:lang w:eastAsia="fr-FR" w:bidi="fr-FR"/>
        </w:rPr>
        <w:t>t</w:t>
      </w:r>
      <w:r>
        <w:rPr>
          <w:vertAlign w:val="superscript"/>
          <w:lang w:eastAsia="fr-FR" w:bidi="fr-FR"/>
        </w:rPr>
        <w:t>a</w:t>
      </w:r>
      <w:r w:rsidRPr="007422C9">
        <w:rPr>
          <w:lang w:eastAsia="fr-FR" w:bidi="fr-FR"/>
        </w:rPr>
        <w:t xml:space="preserve"> iiii</w:t>
      </w:r>
      <w:r w:rsidRPr="007422C9">
        <w:rPr>
          <w:vertAlign w:val="superscript"/>
          <w:lang w:eastAsia="fr-FR" w:bidi="fr-FR"/>
        </w:rPr>
        <w:t xml:space="preserve">or </w:t>
      </w:r>
      <w:r w:rsidRPr="007422C9">
        <w:rPr>
          <w:lang w:eastAsia="fr-FR" w:bidi="fr-FR"/>
        </w:rPr>
        <w:t>annis persistent incommoda, quibus humano generi tante clades imineant et oppre</w:t>
      </w:r>
      <w:r w:rsidRPr="007422C9">
        <w:rPr>
          <w:lang w:eastAsia="fr-FR" w:bidi="fr-FR"/>
        </w:rPr>
        <w:t>s</w:t>
      </w:r>
      <w:r w:rsidRPr="007422C9">
        <w:rPr>
          <w:lang w:eastAsia="fr-FR" w:bidi="fr-FR"/>
        </w:rPr>
        <w:t>siones gentium mu</w:t>
      </w:r>
      <w:r w:rsidRPr="007422C9">
        <w:rPr>
          <w:lang w:eastAsia="fr-FR" w:bidi="fr-FR"/>
        </w:rPr>
        <w:t>n</w:t>
      </w:r>
      <w:r w:rsidRPr="007422C9">
        <w:rPr>
          <w:lang w:eastAsia="fr-FR" w:bidi="fr-FR"/>
        </w:rPr>
        <w:t>dum tormentis et ruinis afïligant. Alt</w:t>
      </w:r>
      <w:r>
        <w:rPr>
          <w:lang w:eastAsia="fr-FR" w:bidi="fr-FR"/>
        </w:rPr>
        <w:t>r</w:t>
      </w:r>
      <w:r w:rsidRPr="007422C9">
        <w:rPr>
          <w:lang w:eastAsia="fr-FR" w:bidi="fr-FR"/>
        </w:rPr>
        <w:t>rais uicibus gentiles catholici et christianos nichilominus persequentur Christi n</w:t>
      </w:r>
      <w:r w:rsidRPr="007422C9">
        <w:rPr>
          <w:lang w:eastAsia="fr-FR" w:bidi="fr-FR"/>
        </w:rPr>
        <w:t>o</w:t>
      </w:r>
      <w:r w:rsidRPr="007422C9">
        <w:rPr>
          <w:lang w:eastAsia="fr-FR" w:bidi="fr-FR"/>
        </w:rPr>
        <w:t>minis inimici ». Mirantur ista qui audiunt, et uehementer obstupe</w:t>
      </w:r>
      <w:r w:rsidRPr="007422C9">
        <w:rPr>
          <w:lang w:eastAsia="fr-FR" w:bidi="fr-FR"/>
        </w:rPr>
        <w:t>s</w:t>
      </w:r>
      <w:r w:rsidRPr="007422C9">
        <w:rPr>
          <w:lang w:eastAsia="fr-FR" w:bidi="fr-FR"/>
        </w:rPr>
        <w:t>cunt. Querunt qui vii dormientes extiterint, quod genus, quos mores, quam natalem patriam, quamue tenuerint professionem ; quibus egr</w:t>
      </w:r>
      <w:r w:rsidRPr="007422C9">
        <w:rPr>
          <w:lang w:eastAsia="fr-FR" w:bidi="fr-FR"/>
        </w:rPr>
        <w:t>e</w:t>
      </w:r>
      <w:r w:rsidRPr="007422C9">
        <w:rPr>
          <w:lang w:eastAsia="fr-FR" w:bidi="fr-FR"/>
        </w:rPr>
        <w:t>gius Dei famulus respo</w:t>
      </w:r>
      <w:r w:rsidRPr="007422C9">
        <w:rPr>
          <w:lang w:eastAsia="fr-FR" w:bidi="fr-FR"/>
        </w:rPr>
        <w:t>n</w:t>
      </w:r>
      <w:r w:rsidRPr="007422C9">
        <w:rPr>
          <w:lang w:eastAsia="fr-FR" w:bidi="fr-FR"/>
        </w:rPr>
        <w:t>dit Eadwardus</w:t>
      </w:r>
      <w:r>
        <w:rPr>
          <w:lang w:eastAsia="fr-FR" w:bidi="fr-FR"/>
        </w:rPr>
        <w:t> </w:t>
      </w:r>
      <w:r>
        <w:rPr>
          <w:rStyle w:val="Appelnotedebasdep"/>
        </w:rPr>
        <w:footnoteReference w:id="1315"/>
      </w:r>
      <w:r w:rsidRPr="007422C9">
        <w:rPr>
          <w:lang w:eastAsia="fr-FR" w:bidi="fr-FR"/>
        </w:rPr>
        <w:t> : « Temporib</w:t>
      </w:r>
      <w:r>
        <w:rPr>
          <w:lang w:eastAsia="fr-FR" w:bidi="fr-FR"/>
        </w:rPr>
        <w:t>us Decii Cesaris inhorruit pro</w:t>
      </w:r>
      <w:r w:rsidRPr="007422C9">
        <w:rPr>
          <w:lang w:eastAsia="fr-FR" w:bidi="fr-FR"/>
        </w:rPr>
        <w:t>cella</w:t>
      </w:r>
      <w:r>
        <w:t xml:space="preserve"> [</w:t>
      </w:r>
      <w:r w:rsidRPr="007422C9">
        <w:rPr>
          <w:lang w:eastAsia="fr-FR" w:bidi="fr-FR"/>
        </w:rPr>
        <w:t>1009</w:t>
      </w:r>
      <w:r>
        <w:rPr>
          <w:lang w:eastAsia="fr-FR" w:bidi="fr-FR"/>
        </w:rPr>
        <w:t>]</w:t>
      </w:r>
      <w:r w:rsidRPr="007422C9">
        <w:rPr>
          <w:lang w:eastAsia="fr-FR" w:bidi="fr-FR"/>
        </w:rPr>
        <w:t xml:space="preserve"> persecutionis. Hi uero vii uiri, apud Eph</w:t>
      </w:r>
      <w:r w:rsidRPr="007422C9">
        <w:rPr>
          <w:lang w:eastAsia="fr-FR" w:bidi="fr-FR"/>
        </w:rPr>
        <w:t>e</w:t>
      </w:r>
      <w:r w:rsidRPr="007422C9">
        <w:rPr>
          <w:lang w:eastAsia="fr-FR" w:bidi="fr-FR"/>
        </w:rPr>
        <w:t>sum compr</w:t>
      </w:r>
      <w:r w:rsidRPr="007422C9">
        <w:rPr>
          <w:lang w:eastAsia="fr-FR" w:bidi="fr-FR"/>
        </w:rPr>
        <w:t>e</w:t>
      </w:r>
      <w:r w:rsidRPr="007422C9">
        <w:rPr>
          <w:lang w:eastAsia="fr-FR" w:bidi="fr-FR"/>
        </w:rPr>
        <w:t>hensi, plurima pro Christo tormenta sunt perpessi. Sub monte tandem Celio ingressi sunt speluncam, quibus ministri impéri</w:t>
      </w:r>
      <w:r w:rsidRPr="007422C9">
        <w:rPr>
          <w:lang w:eastAsia="fr-FR" w:bidi="fr-FR"/>
        </w:rPr>
        <w:t>a</w:t>
      </w:r>
      <w:r w:rsidRPr="007422C9">
        <w:rPr>
          <w:lang w:eastAsia="fr-FR" w:bidi="fr-FR"/>
        </w:rPr>
        <w:t>les lapidibus ob</w:t>
      </w:r>
      <w:r w:rsidRPr="007422C9">
        <w:rPr>
          <w:lang w:eastAsia="fr-FR" w:bidi="fr-FR"/>
        </w:rPr>
        <w:t>s</w:t>
      </w:r>
      <w:r w:rsidRPr="007422C9">
        <w:rPr>
          <w:lang w:eastAsia="fr-FR" w:bidi="fr-FR"/>
        </w:rPr>
        <w:t>truxerunt hostium, ne liberum Christi testes haberent egressum. In cauerna autem ilia Dei sibi prouidentia preparata duce</w:t>
      </w:r>
      <w:r w:rsidRPr="007422C9">
        <w:rPr>
          <w:lang w:eastAsia="fr-FR" w:bidi="fr-FR"/>
        </w:rPr>
        <w:t>n</w:t>
      </w:r>
      <w:r w:rsidRPr="007422C9">
        <w:rPr>
          <w:lang w:eastAsia="fr-FR" w:bidi="fr-FR"/>
        </w:rPr>
        <w:t>tis lxx ii</w:t>
      </w:r>
      <w:r w:rsidRPr="007422C9">
        <w:rPr>
          <w:vertAlign w:val="superscript"/>
          <w:lang w:eastAsia="fr-FR" w:bidi="fr-FR"/>
        </w:rPr>
        <w:t>bus</w:t>
      </w:r>
      <w:r w:rsidRPr="007422C9">
        <w:rPr>
          <w:lang w:eastAsia="fr-FR" w:bidi="fr-FR"/>
        </w:rPr>
        <w:t xml:space="preserve"> a</w:t>
      </w:r>
      <w:r w:rsidRPr="007422C9">
        <w:rPr>
          <w:lang w:eastAsia="fr-FR" w:bidi="fr-FR"/>
        </w:rPr>
        <w:t>n</w:t>
      </w:r>
      <w:r w:rsidRPr="007422C9">
        <w:rPr>
          <w:lang w:eastAsia="fr-FR" w:bidi="fr-FR"/>
        </w:rPr>
        <w:t>nis tamquam nocte una obdormierunt incolumes et adhuc requiescunt, eiusdem loci principatum suis exequiis dedicantes. Si nomina eorum desideratis agnoscere iam certius potestis audire : Maximianus, Ma</w:t>
      </w:r>
      <w:r w:rsidRPr="007422C9">
        <w:rPr>
          <w:lang w:eastAsia="fr-FR" w:bidi="fr-FR"/>
        </w:rPr>
        <w:t>l</w:t>
      </w:r>
      <w:r w:rsidRPr="007422C9">
        <w:rPr>
          <w:lang w:eastAsia="fr-FR" w:bidi="fr-FR"/>
        </w:rPr>
        <w:t>cus, Martinianus, Dionisius, Iohannes, Serapion, et Constantinus. Hi sunt triumphatores egregii, hi Christi milites preci</w:t>
      </w:r>
      <w:r w:rsidRPr="007422C9">
        <w:rPr>
          <w:lang w:eastAsia="fr-FR" w:bidi="fr-FR"/>
        </w:rPr>
        <w:t>o</w:t>
      </w:r>
      <w:r w:rsidRPr="007422C9">
        <w:rPr>
          <w:lang w:eastAsia="fr-FR" w:bidi="fr-FR"/>
        </w:rPr>
        <w:t>si, quorum michi decus et formas ostendit et qualitates patefecit ». Retulit ergo rex singulas eorum et proprietates in uultu, et species di</w:t>
      </w:r>
      <w:r w:rsidRPr="007422C9">
        <w:rPr>
          <w:lang w:eastAsia="fr-FR" w:bidi="fr-FR"/>
        </w:rPr>
        <w:t>s</w:t>
      </w:r>
      <w:r w:rsidRPr="007422C9">
        <w:rPr>
          <w:lang w:eastAsia="fr-FR" w:bidi="fr-FR"/>
        </w:rPr>
        <w:t>cretas in habitu ac si semper eorum addictus fu</w:t>
      </w:r>
      <w:r>
        <w:rPr>
          <w:lang w:eastAsia="fr-FR" w:bidi="fr-FR"/>
        </w:rPr>
        <w:t>isset consortio dum Cesari mili</w:t>
      </w:r>
      <w:r w:rsidRPr="007422C9">
        <w:rPr>
          <w:lang w:eastAsia="fr-FR" w:bidi="fr-FR"/>
        </w:rPr>
        <w:t>tarent in natali solo. Auditores autem huius nouitatis obst</w:t>
      </w:r>
      <w:r w:rsidRPr="007422C9">
        <w:rPr>
          <w:lang w:eastAsia="fr-FR" w:bidi="fr-FR"/>
        </w:rPr>
        <w:t>u</w:t>
      </w:r>
      <w:r w:rsidRPr="007422C9">
        <w:rPr>
          <w:lang w:eastAsia="fr-FR" w:bidi="fr-FR"/>
        </w:rPr>
        <w:t>pescunt mira- culo, nec de sanctitate uiri dubitant, de quo mirantur pariter et exultant</w:t>
      </w:r>
      <w:r>
        <w:rPr>
          <w:lang w:eastAsia="fr-FR" w:bidi="fr-FR"/>
        </w:rPr>
        <w:t>. Patet lippis etiam hune prophe</w:t>
      </w:r>
      <w:r w:rsidRPr="007422C9">
        <w:rPr>
          <w:lang w:eastAsia="fr-FR" w:bidi="fr-FR"/>
        </w:rPr>
        <w:t>tie spiritum ditesc</w:t>
      </w:r>
      <w:r w:rsidRPr="007422C9">
        <w:rPr>
          <w:lang w:eastAsia="fr-FR" w:bidi="fr-FR"/>
        </w:rPr>
        <w:t>e</w:t>
      </w:r>
      <w:r w:rsidRPr="007422C9">
        <w:rPr>
          <w:lang w:eastAsia="fr-FR" w:bidi="fr-FR"/>
        </w:rPr>
        <w:t>re, quem in collegio sanctorum regum Dauid, Ezechie et Iosie dign</w:t>
      </w:r>
      <w:r w:rsidRPr="007422C9">
        <w:rPr>
          <w:lang w:eastAsia="fr-FR" w:bidi="fr-FR"/>
        </w:rPr>
        <w:t>a</w:t>
      </w:r>
      <w:r w:rsidRPr="007422C9">
        <w:rPr>
          <w:lang w:eastAsia="fr-FR" w:bidi="fr-FR"/>
        </w:rPr>
        <w:t>tus est numerare.</w:t>
      </w:r>
    </w:p>
    <w:p w14:paraId="7F99BAAB" w14:textId="77777777" w:rsidR="00B9662D" w:rsidRPr="007422C9" w:rsidRDefault="00B9662D" w:rsidP="00B9662D">
      <w:pPr>
        <w:spacing w:before="120" w:after="120"/>
        <w:jc w:val="both"/>
      </w:pPr>
      <w:r w:rsidRPr="007422C9">
        <w:rPr>
          <w:lang w:eastAsia="fr-FR" w:bidi="fr-FR"/>
        </w:rPr>
        <w:t>Accingitur unusquisque qui interfuit et legatos dirigere et rei geste ueritatem euidentius indagare : episcopus clericum, abbas monachum, dux militie militem cum litteris dirigunt regis sigillo signatis. Erat ei</w:t>
      </w:r>
      <w:r w:rsidRPr="007422C9">
        <w:rPr>
          <w:lang w:eastAsia="fr-FR" w:bidi="fr-FR"/>
        </w:rPr>
        <w:t>s</w:t>
      </w:r>
      <w:r w:rsidRPr="007422C9">
        <w:rPr>
          <w:lang w:eastAsia="fr-FR" w:bidi="fr-FR"/>
        </w:rPr>
        <w:t>dem diebus Maniches</w:t>
      </w:r>
      <w:r>
        <w:rPr>
          <w:lang w:eastAsia="fr-FR" w:bidi="fr-FR"/>
        </w:rPr>
        <w:t> </w:t>
      </w:r>
      <w:r>
        <w:rPr>
          <w:rStyle w:val="Appelnotedebasdep"/>
        </w:rPr>
        <w:footnoteReference w:id="1316"/>
      </w:r>
      <w:r w:rsidRPr="007422C9">
        <w:rPr>
          <w:lang w:eastAsia="fr-FR" w:bidi="fr-FR"/>
        </w:rPr>
        <w:t xml:space="preserve"> Constantinopolitane urbis administrans imp</w:t>
      </w:r>
      <w:r w:rsidRPr="007422C9">
        <w:rPr>
          <w:lang w:eastAsia="fr-FR" w:bidi="fr-FR"/>
        </w:rPr>
        <w:t>e</w:t>
      </w:r>
      <w:r w:rsidRPr="007422C9">
        <w:rPr>
          <w:lang w:eastAsia="fr-FR" w:bidi="fr-FR"/>
        </w:rPr>
        <w:t>rium, cui in longinquam regionem profecti Anglorum regis Eadwardi litteras detu- lere legati, in quibus vii dormientes ostendi suis nuntiis postulat, ut in dilectione et deuotione sanctorum fidem cordis arde</w:t>
      </w:r>
      <w:r w:rsidRPr="007422C9">
        <w:rPr>
          <w:lang w:eastAsia="fr-FR" w:bidi="fr-FR"/>
        </w:rPr>
        <w:t>n</w:t>
      </w:r>
      <w:r w:rsidRPr="007422C9">
        <w:rPr>
          <w:lang w:eastAsia="fr-FR" w:bidi="fr-FR"/>
        </w:rPr>
        <w:t>tius figat. Imperator autem hospites de regnis tam longinquis adue</w:t>
      </w:r>
      <w:r w:rsidRPr="007422C9">
        <w:rPr>
          <w:lang w:eastAsia="fr-FR" w:bidi="fr-FR"/>
        </w:rPr>
        <w:t>n</w:t>
      </w:r>
      <w:r w:rsidRPr="007422C9">
        <w:rPr>
          <w:lang w:eastAsia="fr-FR" w:bidi="fr-FR"/>
        </w:rPr>
        <w:t>tantes benigne suscipit, et supplicationes eorum et uota efïectu copi</w:t>
      </w:r>
      <w:r w:rsidRPr="007422C9">
        <w:rPr>
          <w:lang w:eastAsia="fr-FR" w:bidi="fr-FR"/>
        </w:rPr>
        <w:t>o</w:t>
      </w:r>
      <w:r w:rsidRPr="007422C9">
        <w:rPr>
          <w:lang w:eastAsia="fr-FR" w:bidi="fr-FR"/>
        </w:rPr>
        <w:t>so perfecit. Ad urbem namque Ephesiorum suo transmittuntur imp</w:t>
      </w:r>
      <w:r w:rsidRPr="007422C9">
        <w:rPr>
          <w:lang w:eastAsia="fr-FR" w:bidi="fr-FR"/>
        </w:rPr>
        <w:t>e</w:t>
      </w:r>
      <w:r w:rsidRPr="007422C9">
        <w:rPr>
          <w:lang w:eastAsia="fr-FR" w:bidi="fr-FR"/>
        </w:rPr>
        <w:t xml:space="preserve">rio, ut peregrini in Grecia discerent si ea que rex Eadwardus in Anglia predixerat a Deo sibi reuelata constarent. Mittit ergo eos </w:t>
      </w:r>
      <w:r>
        <w:rPr>
          <w:lang w:eastAsia="fr-FR" w:bidi="fr-FR"/>
        </w:rPr>
        <w:t>ad episc</w:t>
      </w:r>
      <w:r>
        <w:rPr>
          <w:lang w:eastAsia="fr-FR" w:bidi="fr-FR"/>
        </w:rPr>
        <w:t>o</w:t>
      </w:r>
      <w:r>
        <w:rPr>
          <w:lang w:eastAsia="fr-FR" w:bidi="fr-FR"/>
        </w:rPr>
        <w:t>pum, mandans ut procéda</w:t>
      </w:r>
      <w:r w:rsidRPr="007422C9">
        <w:rPr>
          <w:lang w:eastAsia="fr-FR" w:bidi="fr-FR"/>
        </w:rPr>
        <w:t>t ad monumenta sanctorum et nuntii secum conspiciant in integra carnis gloria quid expectare debeant in resurre</w:t>
      </w:r>
      <w:r w:rsidRPr="007422C9">
        <w:rPr>
          <w:lang w:eastAsia="fr-FR" w:bidi="fr-FR"/>
        </w:rPr>
        <w:t>c</w:t>
      </w:r>
      <w:r w:rsidRPr="007422C9">
        <w:rPr>
          <w:lang w:eastAsia="fr-FR" w:bidi="fr-FR"/>
        </w:rPr>
        <w:t>tione futura. Paruit mansuetudo pontificis iussis imperatoris, et clero et populo comitantibus speluncam adiit atque ubi vii dormientes quiescebant cum aromatibus legatos introduxit. Angligene uero, u</w:t>
      </w:r>
      <w:r w:rsidRPr="007422C9">
        <w:rPr>
          <w:lang w:eastAsia="fr-FR" w:bidi="fr-FR"/>
        </w:rPr>
        <w:t>i</w:t>
      </w:r>
      <w:r w:rsidRPr="007422C9">
        <w:rPr>
          <w:lang w:eastAsia="fr-FR" w:bidi="fr-FR"/>
        </w:rPr>
        <w:t>dentes signa et mirabilia Domini, omnia in sanctis Dei contemplaba</w:t>
      </w:r>
      <w:r w:rsidRPr="007422C9">
        <w:rPr>
          <w:lang w:eastAsia="fr-FR" w:bidi="fr-FR"/>
        </w:rPr>
        <w:t>n</w:t>
      </w:r>
      <w:r w:rsidRPr="007422C9">
        <w:rPr>
          <w:lang w:eastAsia="fr-FR" w:bidi="fr-FR"/>
        </w:rPr>
        <w:t>tur inditia que a sancto rege Eadwardo didicerant in terra sua. Beatos autem martires muneribus honorantes o</w:t>
      </w:r>
      <w:r>
        <w:rPr>
          <w:lang w:eastAsia="fr-FR" w:bidi="fr-FR"/>
        </w:rPr>
        <w:t>blatis, ad natalem cum prosp</w:t>
      </w:r>
      <w:r>
        <w:rPr>
          <w:lang w:eastAsia="fr-FR" w:bidi="fr-FR"/>
        </w:rPr>
        <w:t>e</w:t>
      </w:r>
      <w:r>
        <w:rPr>
          <w:lang w:eastAsia="fr-FR" w:bidi="fr-FR"/>
        </w:rPr>
        <w:t>ri</w:t>
      </w:r>
      <w:r w:rsidRPr="007422C9">
        <w:rPr>
          <w:lang w:eastAsia="fr-FR" w:bidi="fr-FR"/>
        </w:rPr>
        <w:t>tate regressi sunt patriam nec uspiam in itinere perpessi sunt detr</w:t>
      </w:r>
      <w:r w:rsidRPr="007422C9">
        <w:rPr>
          <w:lang w:eastAsia="fr-FR" w:bidi="fr-FR"/>
        </w:rPr>
        <w:t>i</w:t>
      </w:r>
      <w:r w:rsidRPr="007422C9">
        <w:rPr>
          <w:lang w:eastAsia="fr-FR" w:bidi="fr-FR"/>
        </w:rPr>
        <w:t>mentum aut ruinam. Ephesiorum uero ciues et cuncti prouinciam i</w:t>
      </w:r>
      <w:r w:rsidRPr="007422C9">
        <w:rPr>
          <w:lang w:eastAsia="fr-FR" w:bidi="fr-FR"/>
        </w:rPr>
        <w:t>n</w:t>
      </w:r>
      <w:r w:rsidRPr="007422C9">
        <w:rPr>
          <w:lang w:eastAsia="fr-FR" w:bidi="fr-FR"/>
        </w:rPr>
        <w:t>habitantes de collata celitus gratia letantur et Deum collaudantes u</w:t>
      </w:r>
      <w:r w:rsidRPr="007422C9">
        <w:rPr>
          <w:lang w:eastAsia="fr-FR" w:bidi="fr-FR"/>
        </w:rPr>
        <w:t>e</w:t>
      </w:r>
      <w:r w:rsidRPr="007422C9">
        <w:rPr>
          <w:lang w:eastAsia="fr-FR" w:bidi="fr-FR"/>
        </w:rPr>
        <w:t>hementer admiran- tur. Magnum quiddam fore suspicantur in munere quod ad mensam régi Lindonie residenti diuinitus est ostensum qual</w:t>
      </w:r>
      <w:r w:rsidRPr="007422C9">
        <w:rPr>
          <w:lang w:eastAsia="fr-FR" w:bidi="fr-FR"/>
        </w:rPr>
        <w:t>i</w:t>
      </w:r>
      <w:r w:rsidRPr="007422C9">
        <w:rPr>
          <w:lang w:eastAsia="fr-FR" w:bidi="fr-FR"/>
        </w:rPr>
        <w:t>ter in spelunca montis Celii glorificata sint a Christo suorum corpora sanctorum. Huius rei testes facti sunt transmarini Saxones, quos rex Eadwardus misit ut sanctos cernerent et reuertentes ad fines Anglie eorum gloriam predicarent ; in quorum reditu tripudiant qui eos transmiserant re</w:t>
      </w:r>
      <w:r>
        <w:rPr>
          <w:lang w:eastAsia="fr-FR" w:bidi="fr-FR"/>
        </w:rPr>
        <w:t>gemque suum confitentur summo Re</w:t>
      </w:r>
      <w:r w:rsidRPr="007422C9">
        <w:rPr>
          <w:lang w:eastAsia="fr-FR" w:bidi="fr-FR"/>
        </w:rPr>
        <w:t>gi proximum, cuius dono gratie spiritum prophétie sibi sciunt attributum.</w:t>
      </w:r>
    </w:p>
    <w:p w14:paraId="479B236A" w14:textId="77777777" w:rsidR="00B9662D" w:rsidRPr="007422C9" w:rsidRDefault="00B9662D" w:rsidP="00B9662D">
      <w:pPr>
        <w:spacing w:before="120" w:after="120"/>
        <w:jc w:val="both"/>
      </w:pPr>
      <w:r w:rsidRPr="007422C9">
        <w:rPr>
          <w:lang w:eastAsia="fr-FR" w:bidi="fr-FR"/>
        </w:rPr>
        <w:t>Imminent itaque iuxta regis uaticinium maxime pestes regnorum et terrarum principes experti sunt morie</w:t>
      </w:r>
      <w:r>
        <w:rPr>
          <w:lang w:eastAsia="fr-FR" w:bidi="fr-FR"/>
        </w:rPr>
        <w:t>ndo quod princeps Eadwardus pro</w:t>
      </w:r>
      <w:r w:rsidRPr="007422C9">
        <w:rPr>
          <w:lang w:eastAsia="fr-FR" w:bidi="fr-FR"/>
        </w:rPr>
        <w:t>tulit</w:t>
      </w:r>
      <w:r>
        <w:t xml:space="preserve"> </w:t>
      </w:r>
      <w:r>
        <w:rPr>
          <w:lang w:eastAsia="fr-FR" w:bidi="fr-FR"/>
        </w:rPr>
        <w:t>[1010]</w:t>
      </w:r>
      <w:r w:rsidRPr="007422C9">
        <w:rPr>
          <w:lang w:eastAsia="fr-FR" w:bidi="fr-FR"/>
        </w:rPr>
        <w:t xml:space="preserve"> prophetando. Eodem namque Francorum rex anno Henricus obiit, cui filiiis eius puer Philippus in regno successit. Hic dum phisice artis quereret in potione remedium, inreparabile uite sue incurrit d</w:t>
      </w:r>
      <w:r w:rsidRPr="007422C9">
        <w:rPr>
          <w:lang w:eastAsia="fr-FR" w:bidi="fr-FR"/>
        </w:rPr>
        <w:t>e</w:t>
      </w:r>
      <w:r w:rsidRPr="007422C9">
        <w:rPr>
          <w:lang w:eastAsia="fr-FR" w:bidi="fr-FR"/>
        </w:rPr>
        <w:t>trimentum</w:t>
      </w:r>
      <w:r>
        <w:rPr>
          <w:lang w:eastAsia="fr-FR" w:bidi="fr-FR"/>
        </w:rPr>
        <w:t> </w:t>
      </w:r>
      <w:r>
        <w:rPr>
          <w:rStyle w:val="Appelnotedebasdep"/>
        </w:rPr>
        <w:footnoteReference w:id="1317"/>
      </w:r>
      <w:r w:rsidRPr="007422C9">
        <w:rPr>
          <w:lang w:eastAsia="fr-FR" w:bidi="fr-FR"/>
        </w:rPr>
        <w:t>. Decessit et ille augustus toto orbe laudabilis et uenera</w:t>
      </w:r>
      <w:r w:rsidRPr="007422C9">
        <w:rPr>
          <w:lang w:eastAsia="fr-FR" w:bidi="fr-FR"/>
        </w:rPr>
        <w:t>n</w:t>
      </w:r>
      <w:r w:rsidRPr="007422C9">
        <w:rPr>
          <w:lang w:eastAsia="fr-FR" w:bidi="fr-FR"/>
        </w:rPr>
        <w:t>dus Cononis filius imperator Henricus</w:t>
      </w:r>
      <w:r>
        <w:rPr>
          <w:lang w:eastAsia="fr-FR" w:bidi="fr-FR"/>
        </w:rPr>
        <w:t> </w:t>
      </w:r>
      <w:r>
        <w:rPr>
          <w:rStyle w:val="Appelnotedebasdep"/>
        </w:rPr>
        <w:footnoteReference w:id="1318"/>
      </w:r>
      <w:r w:rsidRPr="007422C9">
        <w:rPr>
          <w:lang w:eastAsia="fr-FR" w:bidi="fr-FR"/>
        </w:rPr>
        <w:t>, qui sic in armis et in probit</w:t>
      </w:r>
      <w:r w:rsidRPr="007422C9">
        <w:rPr>
          <w:lang w:eastAsia="fr-FR" w:bidi="fr-FR"/>
        </w:rPr>
        <w:t>a</w:t>
      </w:r>
      <w:r w:rsidRPr="007422C9">
        <w:rPr>
          <w:lang w:eastAsia="fr-FR" w:bidi="fr-FR"/>
        </w:rPr>
        <w:t>te circumferebat militem ut etiam in liberalibus philosophie exerciciis non desereret uatem. Cui successit Henricus eiusdem Ces</w:t>
      </w:r>
      <w:r w:rsidRPr="007422C9">
        <w:rPr>
          <w:lang w:eastAsia="fr-FR" w:bidi="fr-FR"/>
        </w:rPr>
        <w:t>a</w:t>
      </w:r>
      <w:r w:rsidRPr="007422C9">
        <w:rPr>
          <w:lang w:eastAsia="fr-FR" w:bidi="fr-FR"/>
        </w:rPr>
        <w:t>ris filius, probitate minor, uirtutibus inferior, cuius temporibus graui</w:t>
      </w:r>
      <w:r w:rsidRPr="007422C9">
        <w:rPr>
          <w:lang w:eastAsia="fr-FR" w:bidi="fr-FR"/>
        </w:rPr>
        <w:t>s</w:t>
      </w:r>
      <w:r w:rsidRPr="007422C9">
        <w:rPr>
          <w:lang w:eastAsia="fr-FR" w:bidi="fr-FR"/>
        </w:rPr>
        <w:t>simas pe</w:t>
      </w:r>
      <w:r w:rsidRPr="007422C9">
        <w:rPr>
          <w:lang w:eastAsia="fr-FR" w:bidi="fr-FR"/>
        </w:rPr>
        <w:t>r</w:t>
      </w:r>
      <w:r w:rsidRPr="007422C9">
        <w:rPr>
          <w:lang w:eastAsia="fr-FR" w:bidi="fr-FR"/>
        </w:rPr>
        <w:t>turbationes pertulit ecclesia et pestem sustinuit uastatricem ciuitas Roman</w:t>
      </w:r>
      <w:r>
        <w:rPr>
          <w:lang w:eastAsia="fr-FR" w:bidi="fr-FR"/>
        </w:rPr>
        <w:t>a. In septem namque annorum numero tre</w:t>
      </w:r>
      <w:r w:rsidRPr="007422C9">
        <w:rPr>
          <w:lang w:eastAsia="fr-FR" w:bidi="fr-FR"/>
        </w:rPr>
        <w:t>s Romane pontifices obierunt ecclesie et sedem apostolicam alterno reliquerunt funere de</w:t>
      </w:r>
      <w:r w:rsidRPr="007422C9">
        <w:rPr>
          <w:lang w:eastAsia="fr-FR" w:bidi="fr-FR"/>
        </w:rPr>
        <w:t>s</w:t>
      </w:r>
      <w:r w:rsidRPr="007422C9">
        <w:rPr>
          <w:lang w:eastAsia="fr-FR" w:bidi="fr-FR"/>
        </w:rPr>
        <w:t>titutam</w:t>
      </w:r>
      <w:r>
        <w:rPr>
          <w:lang w:eastAsia="fr-FR" w:bidi="fr-FR"/>
        </w:rPr>
        <w:t> </w:t>
      </w:r>
      <w:r>
        <w:rPr>
          <w:rStyle w:val="Appelnotedebasdep"/>
        </w:rPr>
        <w:footnoteReference w:id="1319"/>
      </w:r>
      <w:r w:rsidRPr="007422C9">
        <w:rPr>
          <w:lang w:eastAsia="fr-FR" w:bidi="fr-FR"/>
        </w:rPr>
        <w:t>. Grecia quoque innumeris afïlicta iniuriis tantas sustinuit oppressiones et ludibria ut paruo sub tempore suorum sa</w:t>
      </w:r>
      <w:r w:rsidRPr="007422C9">
        <w:rPr>
          <w:lang w:eastAsia="fr-FR" w:bidi="fr-FR"/>
        </w:rPr>
        <w:t>n</w:t>
      </w:r>
      <w:r w:rsidRPr="007422C9">
        <w:rPr>
          <w:lang w:eastAsia="fr-FR" w:bidi="fr-FR"/>
        </w:rPr>
        <w:t>guine sit imp</w:t>
      </w:r>
      <w:r w:rsidRPr="007422C9">
        <w:rPr>
          <w:lang w:eastAsia="fr-FR" w:bidi="fr-FR"/>
        </w:rPr>
        <w:t>e</w:t>
      </w:r>
      <w:r w:rsidRPr="007422C9">
        <w:rPr>
          <w:lang w:eastAsia="fr-FR" w:bidi="fr-FR"/>
        </w:rPr>
        <w:t>ratorum crudeliter fedata. Nam quinque fuerunt qui sese de imperiali sede mutua precipitauerunt uicissitudine, quorum nomina recto subter ordine curauimus annotare. Post Manichetis obitum Di</w:t>
      </w:r>
      <w:r w:rsidRPr="007422C9">
        <w:rPr>
          <w:lang w:eastAsia="fr-FR" w:bidi="fr-FR"/>
        </w:rPr>
        <w:t>o</w:t>
      </w:r>
      <w:r w:rsidRPr="007422C9">
        <w:rPr>
          <w:lang w:eastAsia="fr-FR" w:bidi="fr-FR"/>
        </w:rPr>
        <w:t>genes imperium subiit, set a Michaele peremptus citius defecit. M</w:t>
      </w:r>
      <w:r w:rsidRPr="007422C9">
        <w:rPr>
          <w:lang w:eastAsia="fr-FR" w:bidi="fr-FR"/>
        </w:rPr>
        <w:t>i</w:t>
      </w:r>
      <w:r w:rsidRPr="007422C9">
        <w:rPr>
          <w:lang w:eastAsia="fr-FR" w:bidi="fr-FR"/>
        </w:rPr>
        <w:t>chael uero p</w:t>
      </w:r>
      <w:r w:rsidRPr="007422C9">
        <w:rPr>
          <w:lang w:eastAsia="fr-FR" w:bidi="fr-FR"/>
        </w:rPr>
        <w:t>a</w:t>
      </w:r>
      <w:r w:rsidRPr="007422C9">
        <w:rPr>
          <w:lang w:eastAsia="fr-FR" w:bidi="fr-FR"/>
        </w:rPr>
        <w:t>ruo temporis durauit interuallo quem Butinacius ex urbe proiecit et sceptrum imperii sibi fortiter usurpauit. Huic Alexis prer</w:t>
      </w:r>
      <w:r w:rsidRPr="007422C9">
        <w:rPr>
          <w:lang w:eastAsia="fr-FR" w:bidi="fr-FR"/>
        </w:rPr>
        <w:t>i</w:t>
      </w:r>
      <w:r w:rsidRPr="007422C9">
        <w:rPr>
          <w:lang w:eastAsia="fr-FR" w:bidi="fr-FR"/>
        </w:rPr>
        <w:t>puit cor</w:t>
      </w:r>
      <w:r w:rsidRPr="007422C9">
        <w:rPr>
          <w:lang w:eastAsia="fr-FR" w:bidi="fr-FR"/>
        </w:rPr>
        <w:t>o</w:t>
      </w:r>
      <w:r w:rsidRPr="007422C9">
        <w:rPr>
          <w:lang w:eastAsia="fr-FR" w:bidi="fr-FR"/>
        </w:rPr>
        <w:t>nam</w:t>
      </w:r>
      <w:r>
        <w:rPr>
          <w:lang w:eastAsia="fr-FR" w:bidi="fr-FR"/>
        </w:rPr>
        <w:t> </w:t>
      </w:r>
      <w:r>
        <w:rPr>
          <w:rStyle w:val="Appelnotedebasdep"/>
        </w:rPr>
        <w:footnoteReference w:id="1320"/>
      </w:r>
      <w:r w:rsidRPr="007422C9">
        <w:rPr>
          <w:lang w:eastAsia="fr-FR" w:bidi="fr-FR"/>
        </w:rPr>
        <w:t>, facteque sunt strages infinité per Greciam, et principes regn</w:t>
      </w:r>
      <w:r w:rsidRPr="007422C9">
        <w:rPr>
          <w:lang w:eastAsia="fr-FR" w:bidi="fr-FR"/>
        </w:rPr>
        <w:t>o</w:t>
      </w:r>
      <w:r w:rsidRPr="007422C9">
        <w:rPr>
          <w:lang w:eastAsia="fr-FR" w:bidi="fr-FR"/>
        </w:rPr>
        <w:t>rum multi ad interitum sunt uersi et ruinam. Agareni et Arabes et Pa</w:t>
      </w:r>
      <w:r w:rsidRPr="007422C9">
        <w:rPr>
          <w:lang w:eastAsia="fr-FR" w:bidi="fr-FR"/>
        </w:rPr>
        <w:t>r</w:t>
      </w:r>
      <w:r w:rsidRPr="007422C9">
        <w:rPr>
          <w:lang w:eastAsia="fr-FR" w:bidi="fr-FR"/>
        </w:rPr>
        <w:t>thi et cetere barbare gentes Christo resistentes Siriam et Liciam et u</w:t>
      </w:r>
      <w:r w:rsidRPr="007422C9">
        <w:rPr>
          <w:lang w:eastAsia="fr-FR" w:bidi="fr-FR"/>
        </w:rPr>
        <w:t>i</w:t>
      </w:r>
      <w:r w:rsidRPr="007422C9">
        <w:rPr>
          <w:lang w:eastAsia="fr-FR" w:bidi="fr-FR"/>
        </w:rPr>
        <w:t>cin</w:t>
      </w:r>
      <w:r>
        <w:rPr>
          <w:lang w:eastAsia="fr-FR" w:bidi="fr-FR"/>
        </w:rPr>
        <w:t>a sibi re</w:t>
      </w:r>
      <w:r w:rsidRPr="007422C9">
        <w:rPr>
          <w:lang w:eastAsia="fr-FR" w:bidi="fr-FR"/>
        </w:rPr>
        <w:t>gna depredati sunt et in christianos insurgentes ecclesias Dei destruxerunt. Ipsa quoque maior Britannia, suorum fuso sanguine filiorum, peccatis aggrauata, populo subcubuit alieno, qui eam diad</w:t>
      </w:r>
      <w:r w:rsidRPr="007422C9">
        <w:rPr>
          <w:lang w:eastAsia="fr-FR" w:bidi="fr-FR"/>
        </w:rPr>
        <w:t>e</w:t>
      </w:r>
      <w:r w:rsidRPr="007422C9">
        <w:rPr>
          <w:lang w:eastAsia="fr-FR" w:bidi="fr-FR"/>
        </w:rPr>
        <w:t>mate spoliauit et sceptro cuius consiliarii uincti sunt, et principes i</w:t>
      </w:r>
      <w:r w:rsidRPr="007422C9">
        <w:rPr>
          <w:lang w:eastAsia="fr-FR" w:bidi="fr-FR"/>
        </w:rPr>
        <w:t>u</w:t>
      </w:r>
      <w:r w:rsidRPr="007422C9">
        <w:rPr>
          <w:lang w:eastAsia="fr-FR" w:bidi="fr-FR"/>
        </w:rPr>
        <w:t>gulati. Igitur morte gloriosi regis interueniente hanc infelix Anglia suscepit perniciem que perniciosam in innatis Anglis hodie patitur deiectionem.</w:t>
      </w:r>
    </w:p>
    <w:p w14:paraId="25AA6590" w14:textId="77777777" w:rsidR="00B9662D" w:rsidRDefault="00B9662D" w:rsidP="00B9662D">
      <w:pPr>
        <w:spacing w:before="120" w:after="120"/>
        <w:jc w:val="both"/>
        <w:rPr>
          <w:lang w:eastAsia="fr-FR" w:bidi="fr-FR"/>
        </w:rPr>
      </w:pPr>
      <w:r w:rsidRPr="007422C9">
        <w:rPr>
          <w:lang w:eastAsia="fr-FR" w:bidi="fr-FR"/>
        </w:rPr>
        <w:t>Set quia traiediam non proposuimus describere, set historiam, ad gloriosi principis obitum uertamus articulum, eique nostre seruitutis persoluamus tributum. Quicquit enim monarchus</w:t>
      </w:r>
      <w:r>
        <w:rPr>
          <w:lang w:eastAsia="fr-FR" w:bidi="fr-FR"/>
        </w:rPr>
        <w:t> </w:t>
      </w:r>
      <w:r>
        <w:rPr>
          <w:rStyle w:val="Appelnotedebasdep"/>
          <w:lang w:eastAsia="fr-FR" w:bidi="fr-FR"/>
        </w:rPr>
        <w:footnoteReference w:customMarkFollows="1" w:id="1321"/>
        <w:t>c</w:t>
      </w:r>
      <w:r w:rsidRPr="007422C9">
        <w:rPr>
          <w:lang w:eastAsia="fr-FR" w:bidi="fr-FR"/>
        </w:rPr>
        <w:t xml:space="preserve"> idem predixit, t</w:t>
      </w:r>
      <w:r w:rsidRPr="007422C9">
        <w:rPr>
          <w:lang w:eastAsia="fr-FR" w:bidi="fr-FR"/>
        </w:rPr>
        <w:t>o</w:t>
      </w:r>
      <w:r w:rsidRPr="007422C9">
        <w:rPr>
          <w:lang w:eastAsia="fr-FR" w:bidi="fr-FR"/>
        </w:rPr>
        <w:t>tum post mortem suam in diuersis regnis Dei prouidentia terminauit</w:t>
      </w:r>
      <w:r>
        <w:rPr>
          <w:lang w:eastAsia="fr-FR" w:bidi="fr-FR"/>
        </w:rPr>
        <w:t> </w:t>
      </w:r>
      <w:r>
        <w:rPr>
          <w:rStyle w:val="Appelnotedebasdep"/>
        </w:rPr>
        <w:footnoteReference w:id="1322"/>
      </w:r>
      <w:r w:rsidRPr="007422C9">
        <w:rPr>
          <w:lang w:eastAsia="fr-FR" w:bidi="fr-FR"/>
        </w:rPr>
        <w:t>.</w:t>
      </w:r>
    </w:p>
    <w:p w14:paraId="150706CE" w14:textId="77777777" w:rsidR="00B9662D" w:rsidRDefault="00B9662D" w:rsidP="00B9662D">
      <w:pPr>
        <w:spacing w:before="120" w:after="120"/>
        <w:jc w:val="both"/>
      </w:pPr>
      <w:r>
        <w:t>[1011]</w:t>
      </w:r>
    </w:p>
    <w:p w14:paraId="499CB6DF" w14:textId="77777777" w:rsidR="00B9662D" w:rsidRPr="007422C9" w:rsidRDefault="00B9662D" w:rsidP="00B9662D">
      <w:pPr>
        <w:spacing w:before="120" w:after="120"/>
        <w:jc w:val="both"/>
      </w:pPr>
    </w:p>
    <w:p w14:paraId="1C205F08" w14:textId="77777777" w:rsidR="00B9662D" w:rsidRPr="007422C9" w:rsidRDefault="00B9662D" w:rsidP="00B9662D">
      <w:pPr>
        <w:pStyle w:val="b"/>
      </w:pPr>
      <w:r w:rsidRPr="00381899">
        <w:rPr>
          <w:lang w:eastAsia="fr-FR" w:bidi="fr-FR"/>
        </w:rPr>
        <w:t>XIX</w:t>
      </w:r>
      <w:r>
        <w:rPr>
          <w:lang w:eastAsia="fr-FR" w:bidi="fr-FR"/>
        </w:rPr>
        <w:t xml:space="preserve">. </w:t>
      </w:r>
      <w:r w:rsidRPr="00381899">
        <w:rPr>
          <w:lang w:eastAsia="fr-FR" w:bidi="fr-FR"/>
        </w:rPr>
        <w:t>De sancti regis infirmitate, et dedicatione ecclesie beati P</w:t>
      </w:r>
      <w:r>
        <w:rPr>
          <w:lang w:eastAsia="fr-FR" w:bidi="fr-FR"/>
        </w:rPr>
        <w:t>et</w:t>
      </w:r>
      <w:r w:rsidRPr="00381899">
        <w:rPr>
          <w:lang w:eastAsia="fr-FR" w:bidi="fr-FR"/>
        </w:rPr>
        <w:t>ri apostolorum principis Westmonasterii </w:t>
      </w:r>
      <w:r w:rsidRPr="00DD12A5">
        <w:rPr>
          <w:rStyle w:val="Appelnotedebasdep"/>
          <w:i w:val="0"/>
        </w:rPr>
        <w:footnoteReference w:id="1323"/>
      </w:r>
      <w:r w:rsidRPr="007422C9">
        <w:rPr>
          <w:lang w:eastAsia="fr-FR" w:bidi="fr-FR"/>
        </w:rPr>
        <w:t>.</w:t>
      </w:r>
    </w:p>
    <w:p w14:paraId="20EA7D77" w14:textId="77777777" w:rsidR="00B9662D" w:rsidRDefault="00B9662D" w:rsidP="00B9662D">
      <w:pPr>
        <w:spacing w:before="120" w:after="120"/>
        <w:jc w:val="both"/>
        <w:rPr>
          <w:lang w:eastAsia="fr-FR" w:bidi="fr-FR"/>
        </w:rPr>
      </w:pPr>
    </w:p>
    <w:p w14:paraId="5EDC039D" w14:textId="77777777" w:rsidR="00B9662D" w:rsidRDefault="00B9662D" w:rsidP="00B9662D">
      <w:pPr>
        <w:spacing w:before="120" w:after="120"/>
        <w:jc w:val="both"/>
        <w:rPr>
          <w:lang w:eastAsia="fr-FR" w:bidi="fr-FR"/>
        </w:rPr>
      </w:pPr>
      <w:r w:rsidRPr="007422C9">
        <w:rPr>
          <w:lang w:eastAsia="fr-FR" w:bidi="fr-FR"/>
        </w:rPr>
        <w:t>Instante igitur anno dominice incarnationis millesimo sexagesimo quinto, zelus domus Dei beati regis animum feruentius occupauit, et ad celebrandas celestis regis et noue sponse eius nuptias medullitus accendit. Neque enim hanc ei iusticiam sceptrum regale contulit, set penes eum reconditam inuenit. In sublimem itaque structuram surge</w:t>
      </w:r>
      <w:r w:rsidRPr="007422C9">
        <w:rPr>
          <w:lang w:eastAsia="fr-FR" w:bidi="fr-FR"/>
        </w:rPr>
        <w:t>n</w:t>
      </w:r>
      <w:r w:rsidRPr="007422C9">
        <w:rPr>
          <w:lang w:eastAsia="fr-FR" w:bidi="fr-FR"/>
        </w:rPr>
        <w:t>te edificio edis apostolice cepit rex gloriosus de titulo tant</w:t>
      </w:r>
      <w:r>
        <w:rPr>
          <w:lang w:eastAsia="fr-FR" w:bidi="fr-FR"/>
        </w:rPr>
        <w:t>e consecr</w:t>
      </w:r>
      <w:r>
        <w:rPr>
          <w:lang w:eastAsia="fr-FR" w:bidi="fr-FR"/>
        </w:rPr>
        <w:t>a</w:t>
      </w:r>
      <w:r>
        <w:rPr>
          <w:lang w:eastAsia="fr-FR" w:bidi="fr-FR"/>
        </w:rPr>
        <w:t>tionis ofïiciosa sedu</w:t>
      </w:r>
      <w:r w:rsidRPr="007422C9">
        <w:rPr>
          <w:lang w:eastAsia="fr-FR" w:bidi="fr-FR"/>
        </w:rPr>
        <w:t>litate tractare. Sentiebat autem appropinqu</w:t>
      </w:r>
      <w:r>
        <w:rPr>
          <w:lang w:eastAsia="fr-FR" w:bidi="fr-FR"/>
        </w:rPr>
        <w:t>antem sibi mortalis uite termi</w:t>
      </w:r>
      <w:r w:rsidRPr="007422C9">
        <w:rPr>
          <w:lang w:eastAsia="fr-FR" w:bidi="fr-FR"/>
        </w:rPr>
        <w:t>num, et antequam metas eius attingeret bone uoluntatis trahebatur ad efïectum. Imminebat tune temporis dies d</w:t>
      </w:r>
      <w:r w:rsidRPr="007422C9">
        <w:rPr>
          <w:lang w:eastAsia="fr-FR" w:bidi="fr-FR"/>
        </w:rPr>
        <w:t>o</w:t>
      </w:r>
      <w:r w:rsidRPr="007422C9">
        <w:rPr>
          <w:lang w:eastAsia="fr-FR" w:bidi="fr-FR"/>
        </w:rPr>
        <w:t>min</w:t>
      </w:r>
      <w:r>
        <w:rPr>
          <w:lang w:eastAsia="fr-FR" w:bidi="fr-FR"/>
        </w:rPr>
        <w:t>ice natiuitatis, et utri</w:t>
      </w:r>
      <w:r w:rsidRPr="007422C9">
        <w:rPr>
          <w:lang w:eastAsia="fr-FR" w:bidi="fr-FR"/>
        </w:rPr>
        <w:t xml:space="preserve">usque sollempnitatis gaudia congeminauerant, quibus in toto regno tante dedicationis preconia personabant. In </w:t>
      </w:r>
      <w:r>
        <w:rPr>
          <w:lang w:eastAsia="fr-FR" w:bidi="fr-FR"/>
        </w:rPr>
        <w:t>ipsa autem nocte qua Virgo puer</w:t>
      </w:r>
      <w:r w:rsidRPr="007422C9">
        <w:rPr>
          <w:lang w:eastAsia="fr-FR" w:bidi="fr-FR"/>
        </w:rPr>
        <w:t>pera his qui in umbra mortis caligauerant lucem superne claritatis ministrabit et sine dolore Regem seculorum intacta progenuit, aduersa ualitudine rex gloriosus affiigitur, et iocu</w:t>
      </w:r>
      <w:r w:rsidRPr="007422C9">
        <w:rPr>
          <w:lang w:eastAsia="fr-FR" w:bidi="fr-FR"/>
        </w:rPr>
        <w:t>n</w:t>
      </w:r>
      <w:r w:rsidRPr="007422C9">
        <w:rPr>
          <w:lang w:eastAsia="fr-FR" w:bidi="fr-FR"/>
        </w:rPr>
        <w:t>ditas di</w:t>
      </w:r>
      <w:r>
        <w:rPr>
          <w:lang w:eastAsia="fr-FR" w:bidi="fr-FR"/>
        </w:rPr>
        <w:t>ei plaga recenti in palatio pre</w:t>
      </w:r>
      <w:r w:rsidRPr="007422C9">
        <w:rPr>
          <w:lang w:eastAsia="fr-FR" w:bidi="fr-FR"/>
        </w:rPr>
        <w:t>peditur. Dissimulauit tamen suam supra uires uir sanctus egritudinem, triduoque dum licuit uultus adh</w:t>
      </w:r>
      <w:r w:rsidRPr="007422C9">
        <w:rPr>
          <w:lang w:eastAsia="fr-FR" w:bidi="fr-FR"/>
        </w:rPr>
        <w:t>i</w:t>
      </w:r>
      <w:r w:rsidRPr="007422C9">
        <w:rPr>
          <w:lang w:eastAsia="fr-FR" w:bidi="fr-FR"/>
        </w:rPr>
        <w:t>buit serenitatem. Ad mensam festiuo residebat indutus amictu, set d</w:t>
      </w:r>
      <w:r w:rsidRPr="007422C9">
        <w:rPr>
          <w:lang w:eastAsia="fr-FR" w:bidi="fr-FR"/>
        </w:rPr>
        <w:t>e</w:t>
      </w:r>
      <w:r w:rsidRPr="007422C9">
        <w:rPr>
          <w:lang w:eastAsia="fr-FR" w:bidi="fr-FR"/>
        </w:rPr>
        <w:t>licias fastidiebat appositas. Hylarem circumstantibus ostendebat f</w:t>
      </w:r>
      <w:r w:rsidRPr="007422C9">
        <w:rPr>
          <w:lang w:eastAsia="fr-FR" w:bidi="fr-FR"/>
        </w:rPr>
        <w:t>a</w:t>
      </w:r>
      <w:r w:rsidRPr="007422C9">
        <w:rPr>
          <w:lang w:eastAsia="fr-FR" w:bidi="fr-FR"/>
        </w:rPr>
        <w:t>ciem, quamuis eum intolerabilis urgeret infirmitas. Sumptis autem epulis interioris cubiculi s</w:t>
      </w:r>
      <w:r>
        <w:rPr>
          <w:lang w:eastAsia="fr-FR" w:bidi="fr-FR"/>
        </w:rPr>
        <w:t>e</w:t>
      </w:r>
      <w:r w:rsidRPr="007422C9">
        <w:rPr>
          <w:lang w:eastAsia="fr-FR" w:bidi="fr-FR"/>
        </w:rPr>
        <w:t>cr</w:t>
      </w:r>
      <w:r>
        <w:rPr>
          <w:lang w:eastAsia="fr-FR" w:bidi="fr-FR"/>
        </w:rPr>
        <w:t>e</w:t>
      </w:r>
      <w:r w:rsidRPr="007422C9">
        <w:rPr>
          <w:lang w:eastAsia="fr-FR" w:bidi="fr-FR"/>
        </w:rPr>
        <w:t>ta petebat, grauiterque in dies cresce</w:t>
      </w:r>
      <w:r w:rsidRPr="007422C9">
        <w:rPr>
          <w:lang w:eastAsia="fr-FR" w:bidi="fr-FR"/>
        </w:rPr>
        <w:t>n</w:t>
      </w:r>
      <w:r w:rsidRPr="007422C9">
        <w:rPr>
          <w:lang w:eastAsia="fr-FR" w:bidi="fr-FR"/>
        </w:rPr>
        <w:t>tem pacienter tolerabat laborem. Circumdabant eum densa suorum fidelium agmina, ipsaque regina futuri doloris in luctu presaga. Dies autem ilia celebris aderat quam sanctorum Innocentium preciosa pa</w:t>
      </w:r>
      <w:r w:rsidRPr="007422C9">
        <w:rPr>
          <w:lang w:eastAsia="fr-FR" w:bidi="fr-FR"/>
        </w:rPr>
        <w:t>s</w:t>
      </w:r>
      <w:r w:rsidRPr="007422C9">
        <w:rPr>
          <w:lang w:eastAsia="fr-FR" w:bidi="fr-FR"/>
        </w:rPr>
        <w:t>sio decorabat</w:t>
      </w:r>
      <w:r>
        <w:rPr>
          <w:lang w:eastAsia="fr-FR" w:bidi="fr-FR"/>
        </w:rPr>
        <w:t> </w:t>
      </w:r>
      <w:r>
        <w:rPr>
          <w:rStyle w:val="Appelnotedebasdep"/>
        </w:rPr>
        <w:footnoteReference w:id="1324"/>
      </w:r>
      <w:r w:rsidRPr="007422C9">
        <w:rPr>
          <w:lang w:eastAsia="fr-FR" w:bidi="fr-FR"/>
        </w:rPr>
        <w:t>, cum princeps egregius accelerare precipit dedicati</w:t>
      </w:r>
      <w:r w:rsidRPr="007422C9">
        <w:rPr>
          <w:lang w:eastAsia="fr-FR" w:bidi="fr-FR"/>
        </w:rPr>
        <w:t>o</w:t>
      </w:r>
      <w:r w:rsidRPr="007422C9">
        <w:rPr>
          <w:lang w:eastAsia="fr-FR" w:bidi="fr-FR"/>
        </w:rPr>
        <w:t>nem ecclesie, nec in tempus aliud ulterius difïerre. Querulis tamen Eadwardus incumbabat lamentis quod illuc conuenire non posset cum ceteris, decoctus incendio aduersi languoris. Collateralis autem eius quam habebat ex specie, cuius sécréta uir Dei non nouit in carne, iuxta regis magnifici desudat imperium, ut sacre consecrationis impleatur sacramentum. Assunt pontifices et proceres regni, clerus et populus fr</w:t>
      </w:r>
      <w:r>
        <w:rPr>
          <w:lang w:eastAsia="fr-FR" w:bidi="fr-FR"/>
        </w:rPr>
        <w:t>e</w:t>
      </w:r>
      <w:r w:rsidRPr="007422C9">
        <w:rPr>
          <w:lang w:eastAsia="fr-FR" w:bidi="fr-FR"/>
        </w:rPr>
        <w:t>quentant Dei laudem et gloriam et nouis dotibus agno sponsam c</w:t>
      </w:r>
      <w:r w:rsidRPr="007422C9">
        <w:rPr>
          <w:lang w:eastAsia="fr-FR" w:bidi="fr-FR"/>
        </w:rPr>
        <w:t>o</w:t>
      </w:r>
      <w:r w:rsidRPr="007422C9">
        <w:rPr>
          <w:lang w:eastAsia="fr-FR" w:bidi="fr-FR"/>
        </w:rPr>
        <w:t>pulant incorruptam.</w:t>
      </w:r>
    </w:p>
    <w:p w14:paraId="39837F85" w14:textId="77777777" w:rsidR="00B9662D" w:rsidRDefault="00B9662D" w:rsidP="00B9662D">
      <w:pPr>
        <w:spacing w:before="120" w:after="120"/>
        <w:jc w:val="both"/>
        <w:rPr>
          <w:lang w:eastAsia="fr-FR" w:bidi="fr-FR"/>
        </w:rPr>
      </w:pPr>
      <w:r>
        <w:rPr>
          <w:lang w:eastAsia="fr-FR" w:bidi="fr-FR"/>
        </w:rPr>
        <w:t>[1012]</w:t>
      </w:r>
    </w:p>
    <w:p w14:paraId="04BFD0DC" w14:textId="77777777" w:rsidR="00B9662D" w:rsidRPr="007422C9" w:rsidRDefault="00B9662D" w:rsidP="00B9662D">
      <w:pPr>
        <w:spacing w:before="120" w:after="120"/>
        <w:jc w:val="both"/>
      </w:pPr>
    </w:p>
    <w:p w14:paraId="4DBC3C99" w14:textId="77777777" w:rsidR="00B9662D" w:rsidRPr="00381899" w:rsidRDefault="00B9662D" w:rsidP="00B9662D">
      <w:pPr>
        <w:pStyle w:val="b"/>
      </w:pPr>
      <w:r w:rsidRPr="00381899">
        <w:rPr>
          <w:lang w:eastAsia="fr-FR" w:bidi="fr-FR"/>
        </w:rPr>
        <w:t>XX. De facultatibus et ornamentis et possessionibus que in eo</w:t>
      </w:r>
      <w:r w:rsidRPr="00381899">
        <w:rPr>
          <w:lang w:eastAsia="fr-FR" w:bidi="fr-FR"/>
        </w:rPr>
        <w:t>n</w:t>
      </w:r>
      <w:r w:rsidRPr="00381899">
        <w:rPr>
          <w:lang w:eastAsia="fr-FR" w:bidi="fr-FR"/>
        </w:rPr>
        <w:t>secratione collata sunt ecclesie.</w:t>
      </w:r>
    </w:p>
    <w:p w14:paraId="496D87A8" w14:textId="77777777" w:rsidR="00B9662D" w:rsidRDefault="00B9662D" w:rsidP="00B9662D">
      <w:pPr>
        <w:spacing w:before="120" w:after="120"/>
        <w:jc w:val="both"/>
        <w:rPr>
          <w:lang w:eastAsia="fr-FR" w:bidi="fr-FR"/>
        </w:rPr>
      </w:pPr>
    </w:p>
    <w:p w14:paraId="09FA1C37" w14:textId="77777777" w:rsidR="00B9662D" w:rsidRPr="007422C9" w:rsidRDefault="00B9662D" w:rsidP="00B9662D">
      <w:pPr>
        <w:spacing w:before="120" w:after="120"/>
        <w:jc w:val="both"/>
      </w:pPr>
      <w:r w:rsidRPr="007422C9">
        <w:rPr>
          <w:lang w:eastAsia="fr-FR" w:bidi="fr-FR"/>
        </w:rPr>
        <w:t>Cumulatur uariis basilica beati principis apostolorum sufïicienter ornamentis, sacrorumque uasorum instauratur utensilibus preciosis. Que cotidiano in ecclesia Dei congruant ministerio, queue magnifica resplen- deant in die festo, liberalis munificentia regis ad copiam contulit, et domum Domini larga uenustate sollempniter decorauit. In auro et preciosis lapidibus nescitur modus, et qui in rebus temporal</w:t>
      </w:r>
      <w:r w:rsidRPr="007422C9">
        <w:rPr>
          <w:lang w:eastAsia="fr-FR" w:bidi="fr-FR"/>
        </w:rPr>
        <w:t>i</w:t>
      </w:r>
      <w:r w:rsidRPr="007422C9">
        <w:rPr>
          <w:lang w:eastAsia="fr-FR" w:bidi="fr-FR"/>
        </w:rPr>
        <w:t>bus modum non excesserat, in regalibus donatiuis mensuram non s</w:t>
      </w:r>
      <w:r w:rsidRPr="007422C9">
        <w:rPr>
          <w:lang w:eastAsia="fr-FR" w:bidi="fr-FR"/>
        </w:rPr>
        <w:t>e</w:t>
      </w:r>
      <w:r w:rsidRPr="007422C9">
        <w:rPr>
          <w:lang w:eastAsia="fr-FR" w:bidi="fr-FR"/>
        </w:rPr>
        <w:t>ruat. Adiecit et his in diuersarum prouinciarum territoriis ditia reg</w:t>
      </w:r>
      <w:r w:rsidRPr="007422C9">
        <w:rPr>
          <w:lang w:eastAsia="fr-FR" w:bidi="fr-FR"/>
        </w:rPr>
        <w:t>a</w:t>
      </w:r>
      <w:r w:rsidRPr="007422C9">
        <w:rPr>
          <w:lang w:eastAsia="fr-FR" w:bidi="fr-FR"/>
        </w:rPr>
        <w:t>lium fiscorum predia, opulentisque dotibus noua Dei sponsa refloruit et sicut intus in moribus, sic extra in facultatibus uberius coruscauit. Quot prata, quot pascua, quot siluas, quot aquas, quot rura, quot sata contulit ecclesie ! Adhuc hodie in rebus ablatis uel imminutis testatur tirannorum uiolentia quanta fuerit eius integritas in possessione prim</w:t>
      </w:r>
      <w:r w:rsidRPr="007422C9">
        <w:rPr>
          <w:lang w:eastAsia="fr-FR" w:bidi="fr-FR"/>
        </w:rPr>
        <w:t>i</w:t>
      </w:r>
      <w:r w:rsidRPr="007422C9">
        <w:rPr>
          <w:lang w:eastAsia="fr-FR" w:bidi="fr-FR"/>
        </w:rPr>
        <w:t>tiua. Magna uero et iocunda sollempnitas, qua regina Saba in uestibus deauratis a dextris astitit ueri Salomonis</w:t>
      </w:r>
      <w:r>
        <w:rPr>
          <w:lang w:eastAsia="fr-FR" w:bidi="fr-FR"/>
        </w:rPr>
        <w:t> </w:t>
      </w:r>
      <w:r>
        <w:rPr>
          <w:rStyle w:val="Appelnotedebasdep"/>
        </w:rPr>
        <w:footnoteReference w:id="1325"/>
      </w:r>
      <w:r w:rsidRPr="007422C9">
        <w:rPr>
          <w:lang w:eastAsia="fr-FR" w:bidi="fr-FR"/>
        </w:rPr>
        <w:t>, inefïabile tripudium cont</w:t>
      </w:r>
      <w:r w:rsidRPr="007422C9">
        <w:rPr>
          <w:lang w:eastAsia="fr-FR" w:bidi="fr-FR"/>
        </w:rPr>
        <w:t>u</w:t>
      </w:r>
      <w:r w:rsidRPr="007422C9">
        <w:rPr>
          <w:lang w:eastAsia="fr-FR" w:bidi="fr-FR"/>
        </w:rPr>
        <w:t>lisset patrie si non esset prepeditum grauante regis infirmitate. Ea de causa filie Tyri, quas intincta precioso muricis sanguine circumdare purpura consueuerat, sollempnem ornatum commutant in cilicium et mollem corporis habitum uertunt in lamentum. Set quia decurse sunt nuptie in quibus Ethiopissa Moysi nostro est coniuncta</w:t>
      </w:r>
      <w:r>
        <w:rPr>
          <w:lang w:eastAsia="fr-FR" w:bidi="fr-FR"/>
        </w:rPr>
        <w:t> </w:t>
      </w:r>
      <w:r>
        <w:rPr>
          <w:rStyle w:val="Appelnotedebasdep"/>
        </w:rPr>
        <w:footnoteReference w:id="1326"/>
      </w:r>
      <w:r w:rsidRPr="007422C9">
        <w:rPr>
          <w:lang w:eastAsia="fr-FR" w:bidi="fr-FR"/>
        </w:rPr>
        <w:t>, que ex spo</w:t>
      </w:r>
      <w:r w:rsidRPr="007422C9">
        <w:rPr>
          <w:lang w:eastAsia="fr-FR" w:bidi="fr-FR"/>
        </w:rPr>
        <w:t>n</w:t>
      </w:r>
      <w:r w:rsidRPr="007422C9">
        <w:rPr>
          <w:lang w:eastAsia="fr-FR" w:bidi="fr-FR"/>
        </w:rPr>
        <w:t>si décoré contraxit speciem que suam nigredinem mutauit in cand</w:t>
      </w:r>
      <w:r w:rsidRPr="007422C9">
        <w:rPr>
          <w:lang w:eastAsia="fr-FR" w:bidi="fr-FR"/>
        </w:rPr>
        <w:t>o</w:t>
      </w:r>
      <w:r w:rsidRPr="007422C9">
        <w:rPr>
          <w:lang w:eastAsia="fr-FR" w:bidi="fr-FR"/>
        </w:rPr>
        <w:t>rem, nos ad regis exequendum accingamus obitum et quomodo ad brauium peruenerit post uite temporalis excursum.</w:t>
      </w:r>
    </w:p>
    <w:p w14:paraId="5B1917D6" w14:textId="77777777" w:rsidR="00B9662D" w:rsidRDefault="00B9662D" w:rsidP="00B9662D">
      <w:pPr>
        <w:spacing w:before="120" w:after="120"/>
        <w:jc w:val="both"/>
        <w:rPr>
          <w:lang w:eastAsia="fr-FR" w:bidi="fr-FR"/>
        </w:rPr>
      </w:pPr>
    </w:p>
    <w:p w14:paraId="6CB44CDF" w14:textId="77777777" w:rsidR="00B9662D" w:rsidRPr="00381899" w:rsidRDefault="00B9662D" w:rsidP="00B9662D">
      <w:pPr>
        <w:pStyle w:val="b"/>
      </w:pPr>
      <w:r w:rsidRPr="00381899">
        <w:rPr>
          <w:lang w:eastAsia="fr-FR" w:bidi="fr-FR"/>
        </w:rPr>
        <w:t>XXI. De uisione quam rex in agonia positus uidit.</w:t>
      </w:r>
    </w:p>
    <w:p w14:paraId="5BF608F0" w14:textId="77777777" w:rsidR="00B9662D" w:rsidRDefault="00B9662D" w:rsidP="00B9662D">
      <w:pPr>
        <w:spacing w:before="120" w:after="120"/>
        <w:jc w:val="both"/>
        <w:rPr>
          <w:lang w:eastAsia="fr-FR" w:bidi="fr-FR"/>
        </w:rPr>
      </w:pPr>
    </w:p>
    <w:p w14:paraId="08C1B7AE" w14:textId="77777777" w:rsidR="00B9662D" w:rsidRPr="007422C9" w:rsidRDefault="00B9662D" w:rsidP="00B9662D">
      <w:pPr>
        <w:spacing w:before="120" w:after="120"/>
        <w:jc w:val="both"/>
      </w:pPr>
      <w:r w:rsidRPr="007422C9">
        <w:rPr>
          <w:lang w:eastAsia="fr-FR" w:bidi="fr-FR"/>
        </w:rPr>
        <w:t>Principis triumphos insignes iam aliquatenus expediuimus, set que restant cetera congruum ducitur ut expediamus. Adgrauatur aduersa ualitudine corporis ciuis regni celestis, Christique ministrorum cel</w:t>
      </w:r>
      <w:r w:rsidRPr="007422C9">
        <w:rPr>
          <w:lang w:eastAsia="fr-FR" w:bidi="fr-FR"/>
        </w:rPr>
        <w:t>e</w:t>
      </w:r>
      <w:r w:rsidRPr="007422C9">
        <w:rPr>
          <w:lang w:eastAsia="fr-FR" w:bidi="fr-FR"/>
        </w:rPr>
        <w:t>rius ad se conuocat multitudinem, ut excessum</w:t>
      </w:r>
      <w:r>
        <w:rPr>
          <w:lang w:eastAsia="fr-FR" w:bidi="fr-FR"/>
        </w:rPr>
        <w:t> </w:t>
      </w:r>
      <w:r>
        <w:rPr>
          <w:rStyle w:val="Appelnotedebasdep"/>
          <w:lang w:eastAsia="fr-FR" w:bidi="fr-FR"/>
        </w:rPr>
        <w:footnoteReference w:customMarkFollows="1" w:id="1327"/>
        <w:t>a</w:t>
      </w:r>
      <w:r w:rsidRPr="007422C9">
        <w:rPr>
          <w:lang w:eastAsia="fr-FR" w:bidi="fr-FR"/>
        </w:rPr>
        <w:t xml:space="preserve"> sui cunctis denunciet imminen- tem. Commendat precibus sanctorum suspirantis anime d</w:t>
      </w:r>
      <w:r w:rsidRPr="007422C9">
        <w:rPr>
          <w:lang w:eastAsia="fr-FR" w:bidi="fr-FR"/>
        </w:rPr>
        <w:t>e</w:t>
      </w:r>
      <w:r w:rsidRPr="007422C9">
        <w:rPr>
          <w:lang w:eastAsia="fr-FR" w:bidi="fr-FR"/>
        </w:rPr>
        <w:t>siderium e</w:t>
      </w:r>
      <w:r>
        <w:rPr>
          <w:lang w:eastAsia="fr-FR" w:bidi="fr-FR"/>
        </w:rPr>
        <w:t>t, dum regem seculorum in suo de</w:t>
      </w:r>
      <w:r w:rsidRPr="007422C9">
        <w:rPr>
          <w:lang w:eastAsia="fr-FR" w:bidi="fr-FR"/>
        </w:rPr>
        <w:t>cor</w:t>
      </w:r>
      <w:r>
        <w:rPr>
          <w:lang w:eastAsia="fr-FR" w:bidi="fr-FR"/>
        </w:rPr>
        <w:t>e</w:t>
      </w:r>
      <w:r w:rsidRPr="007422C9">
        <w:rPr>
          <w:lang w:eastAsia="fr-FR" w:bidi="fr-FR"/>
        </w:rPr>
        <w:t xml:space="preserve"> concupiscit cernere, contemplator feruidus celesti informatur uisione. Cumque funèbres prestolantur exequias qui circumstant pr</w:t>
      </w:r>
      <w:r>
        <w:rPr>
          <w:lang w:eastAsia="fr-FR" w:bidi="fr-FR"/>
        </w:rPr>
        <w:t>e</w:t>
      </w:r>
      <w:r w:rsidRPr="007422C9">
        <w:rPr>
          <w:lang w:eastAsia="fr-FR" w:bidi="fr-FR"/>
        </w:rPr>
        <w:t>sentes, hune obdormisse su</w:t>
      </w:r>
      <w:r w:rsidRPr="007422C9">
        <w:rPr>
          <w:lang w:eastAsia="fr-FR" w:bidi="fr-FR"/>
        </w:rPr>
        <w:t>s</w:t>
      </w:r>
      <w:r w:rsidRPr="007422C9">
        <w:rPr>
          <w:lang w:eastAsia="fr-FR" w:bidi="fr-FR"/>
        </w:rPr>
        <w:t>picantur in mortis angustia, difïidentes sermonis ofïicium ad usus pri</w:t>
      </w:r>
      <w:r w:rsidRPr="007422C9">
        <w:rPr>
          <w:lang w:eastAsia="fr-FR" w:bidi="fr-FR"/>
        </w:rPr>
        <w:t>s</w:t>
      </w:r>
      <w:r w:rsidRPr="007422C9">
        <w:rPr>
          <w:lang w:eastAsia="fr-FR" w:bidi="fr-FR"/>
        </w:rPr>
        <w:t>tinos rediturum. Biduo namque uelut in agonia positus omnino silu</w:t>
      </w:r>
      <w:r w:rsidRPr="007422C9">
        <w:rPr>
          <w:lang w:eastAsia="fr-FR" w:bidi="fr-FR"/>
        </w:rPr>
        <w:t>e</w:t>
      </w:r>
      <w:r w:rsidRPr="007422C9">
        <w:rPr>
          <w:lang w:eastAsia="fr-FR" w:bidi="fr-FR"/>
        </w:rPr>
        <w:t>rat, prolatumque ex ore eius aut uix aut nullatenus uerbum percipiunt quicumque in pressura decumbenti ut uoces significatiuas hauriant aures apponunt. Excitus tandem suorum, ut in talibus consueuit luctu uel strepitu palatinorum, ad seipsum uir Domini ex mortis somno r</w:t>
      </w:r>
      <w:r w:rsidRPr="007422C9">
        <w:rPr>
          <w:lang w:eastAsia="fr-FR" w:bidi="fr-FR"/>
        </w:rPr>
        <w:t>e</w:t>
      </w:r>
      <w:r w:rsidRPr="007422C9">
        <w:rPr>
          <w:lang w:eastAsia="fr-FR" w:bidi="fr-FR"/>
        </w:rPr>
        <w:t>diit, et hoc ad Deum ordine orationem premisit</w:t>
      </w:r>
      <w:r>
        <w:rPr>
          <w:lang w:eastAsia="fr-FR" w:bidi="fr-FR"/>
        </w:rPr>
        <w:t xml:space="preserve"> </w:t>
      </w:r>
      <w:r>
        <w:t>[</w:t>
      </w:r>
      <w:r w:rsidRPr="007422C9">
        <w:rPr>
          <w:lang w:eastAsia="fr-FR" w:bidi="fr-FR"/>
        </w:rPr>
        <w:t>1013</w:t>
      </w:r>
      <w:r>
        <w:rPr>
          <w:lang w:eastAsia="fr-FR" w:bidi="fr-FR"/>
        </w:rPr>
        <w:t xml:space="preserve">] </w:t>
      </w:r>
      <w:r w:rsidRPr="007422C9">
        <w:rPr>
          <w:lang w:eastAsia="fr-FR" w:bidi="fr-FR"/>
        </w:rPr>
        <w:t>« Celestis arb</w:t>
      </w:r>
      <w:r w:rsidRPr="007422C9">
        <w:rPr>
          <w:lang w:eastAsia="fr-FR" w:bidi="fr-FR"/>
        </w:rPr>
        <w:t>i</w:t>
      </w:r>
      <w:r w:rsidRPr="007422C9">
        <w:rPr>
          <w:lang w:eastAsia="fr-FR" w:bidi="fr-FR"/>
        </w:rPr>
        <w:t>ter Deus, da mihi uirtutem » inquit « et uires ut ref</w:t>
      </w:r>
      <w:r w:rsidRPr="007422C9">
        <w:rPr>
          <w:lang w:eastAsia="fr-FR" w:bidi="fr-FR"/>
        </w:rPr>
        <w:t>e</w:t>
      </w:r>
      <w:r w:rsidRPr="007422C9">
        <w:rPr>
          <w:lang w:eastAsia="fr-FR" w:bidi="fr-FR"/>
        </w:rPr>
        <w:t>ram, et intelligant astantes ueritatem tuam, et si fluxerunt ex te que in somnis didici, i</w:t>
      </w:r>
      <w:r w:rsidRPr="007422C9">
        <w:rPr>
          <w:lang w:eastAsia="fr-FR" w:bidi="fr-FR"/>
        </w:rPr>
        <w:t>n</w:t>
      </w:r>
      <w:r w:rsidRPr="007422C9">
        <w:rPr>
          <w:lang w:eastAsia="fr-FR" w:bidi="fr-FR"/>
        </w:rPr>
        <w:t>dustriam tribue que uise sunt referendi. Quod si ill</w:t>
      </w:r>
      <w:r w:rsidRPr="007422C9">
        <w:rPr>
          <w:lang w:eastAsia="fr-FR" w:bidi="fr-FR"/>
        </w:rPr>
        <w:t>u</w:t>
      </w:r>
      <w:r w:rsidRPr="007422C9">
        <w:rPr>
          <w:lang w:eastAsia="fr-FR" w:bidi="fr-FR"/>
        </w:rPr>
        <w:t>sio est fantastica et te mandante non prodiit nec de supernis aditis pr</w:t>
      </w:r>
      <w:r w:rsidRPr="007422C9">
        <w:rPr>
          <w:lang w:eastAsia="fr-FR" w:bidi="fr-FR"/>
        </w:rPr>
        <w:t>e</w:t>
      </w:r>
      <w:r>
        <w:rPr>
          <w:lang w:eastAsia="fr-FR" w:bidi="fr-FR"/>
        </w:rPr>
        <w:t>cessit oracu</w:t>
      </w:r>
      <w:r w:rsidRPr="007422C9">
        <w:rPr>
          <w:lang w:eastAsia="fr-FR" w:bidi="fr-FR"/>
        </w:rPr>
        <w:t>lum, e</w:t>
      </w:r>
      <w:r w:rsidRPr="007422C9">
        <w:rPr>
          <w:lang w:eastAsia="fr-FR" w:bidi="fr-FR"/>
        </w:rPr>
        <w:t>o</w:t>
      </w:r>
      <w:r w:rsidRPr="007422C9">
        <w:rPr>
          <w:lang w:eastAsia="fr-FR" w:bidi="fr-FR"/>
        </w:rPr>
        <w:t>dem quo prius incommodo languorem perferam consuetum ». Tanta deinde rex uirtute conualuit ut sublate uocis org</w:t>
      </w:r>
      <w:r w:rsidRPr="007422C9">
        <w:rPr>
          <w:lang w:eastAsia="fr-FR" w:bidi="fr-FR"/>
        </w:rPr>
        <w:t>a</w:t>
      </w:r>
      <w:r w:rsidRPr="007422C9">
        <w:rPr>
          <w:lang w:eastAsia="fr-FR" w:bidi="fr-FR"/>
        </w:rPr>
        <w:t>num in uerba pr</w:t>
      </w:r>
      <w:r w:rsidRPr="007422C9">
        <w:rPr>
          <w:lang w:eastAsia="fr-FR" w:bidi="fr-FR"/>
        </w:rPr>
        <w:t>o</w:t>
      </w:r>
      <w:r w:rsidRPr="007422C9">
        <w:rPr>
          <w:lang w:eastAsia="fr-FR" w:bidi="fr-FR"/>
        </w:rPr>
        <w:t>rumperet, et clausas diu fibras lingue uelocitas aper</w:t>
      </w:r>
      <w:r w:rsidRPr="007422C9">
        <w:rPr>
          <w:lang w:eastAsia="fr-FR" w:bidi="fr-FR"/>
        </w:rPr>
        <w:t>i</w:t>
      </w:r>
      <w:r w:rsidRPr="007422C9">
        <w:rPr>
          <w:lang w:eastAsia="fr-FR" w:bidi="fr-FR"/>
        </w:rPr>
        <w:t>ret ; nec minus hylaritas sonuit in uerbis quam dum tantus h</w:t>
      </w:r>
      <w:r>
        <w:rPr>
          <w:lang w:eastAsia="fr-FR" w:bidi="fr-FR"/>
        </w:rPr>
        <w:t>e</w:t>
      </w:r>
      <w:r w:rsidRPr="007422C9">
        <w:rPr>
          <w:lang w:eastAsia="fr-FR" w:bidi="fr-FR"/>
        </w:rPr>
        <w:t>ros totus esset incolumis. Exterrentur qui consident secus regni principem, m</w:t>
      </w:r>
      <w:r w:rsidRPr="007422C9">
        <w:rPr>
          <w:lang w:eastAsia="fr-FR" w:bidi="fr-FR"/>
        </w:rPr>
        <w:t>i</w:t>
      </w:r>
      <w:r w:rsidRPr="007422C9">
        <w:rPr>
          <w:lang w:eastAsia="fr-FR" w:bidi="fr-FR"/>
        </w:rPr>
        <w:t>rantes tam sub</w:t>
      </w:r>
      <w:r w:rsidRPr="007422C9">
        <w:rPr>
          <w:lang w:eastAsia="fr-FR" w:bidi="fr-FR"/>
        </w:rPr>
        <w:t>i</w:t>
      </w:r>
      <w:r w:rsidRPr="007422C9">
        <w:rPr>
          <w:lang w:eastAsia="fr-FR" w:bidi="fr-FR"/>
        </w:rPr>
        <w:t>tam mutate ualitudinis nouitatem. Afïuerunt idonei te</w:t>
      </w:r>
      <w:r w:rsidRPr="007422C9">
        <w:rPr>
          <w:lang w:eastAsia="fr-FR" w:bidi="fr-FR"/>
        </w:rPr>
        <w:t>s</w:t>
      </w:r>
      <w:r w:rsidRPr="007422C9">
        <w:rPr>
          <w:lang w:eastAsia="fr-FR" w:bidi="fr-FR"/>
        </w:rPr>
        <w:t>tes textum rei geste ueraciter exprimentes, qui eodem ordine quo r</w:t>
      </w:r>
      <w:r w:rsidRPr="007422C9">
        <w:rPr>
          <w:lang w:eastAsia="fr-FR" w:bidi="fr-FR"/>
        </w:rPr>
        <w:t>e</w:t>
      </w:r>
      <w:r w:rsidRPr="007422C9">
        <w:rPr>
          <w:lang w:eastAsia="fr-FR" w:bidi="fr-FR"/>
        </w:rPr>
        <w:t>teximus presentia retulerunt ornata relatione peracta. Exordium itaque uisionis sue rex huiusmodi gloriosus apperuit et ratione polita lucule</w:t>
      </w:r>
      <w:r w:rsidRPr="007422C9">
        <w:rPr>
          <w:lang w:eastAsia="fr-FR" w:bidi="fr-FR"/>
        </w:rPr>
        <w:t>n</w:t>
      </w:r>
      <w:r w:rsidRPr="007422C9">
        <w:rPr>
          <w:lang w:eastAsia="fr-FR" w:bidi="fr-FR"/>
        </w:rPr>
        <w:t>ter terminauit :</w:t>
      </w:r>
    </w:p>
    <w:p w14:paraId="0AB0558C" w14:textId="77777777" w:rsidR="00B9662D" w:rsidRPr="007422C9" w:rsidRDefault="00B9662D" w:rsidP="00B9662D">
      <w:pPr>
        <w:spacing w:before="120" w:after="120"/>
        <w:jc w:val="both"/>
      </w:pPr>
      <w:r w:rsidRPr="007422C9">
        <w:rPr>
          <w:lang w:eastAsia="fr-FR" w:bidi="fr-FR"/>
        </w:rPr>
        <w:t>« Adolescens » inquit « cum essem in Normannia, duos in mona</w:t>
      </w:r>
      <w:r w:rsidRPr="007422C9">
        <w:rPr>
          <w:lang w:eastAsia="fr-FR" w:bidi="fr-FR"/>
        </w:rPr>
        <w:t>s</w:t>
      </w:r>
      <w:r w:rsidRPr="007422C9">
        <w:rPr>
          <w:lang w:eastAsia="fr-FR" w:bidi="fr-FR"/>
        </w:rPr>
        <w:t>tica religione familiares habui ; hique merito sanctitatis et fam</w:t>
      </w:r>
      <w:r>
        <w:rPr>
          <w:lang w:eastAsia="fr-FR" w:bidi="fr-FR"/>
        </w:rPr>
        <w:t>e</w:t>
      </w:r>
      <w:r w:rsidRPr="007422C9">
        <w:rPr>
          <w:lang w:eastAsia="fr-FR" w:bidi="fr-FR"/>
        </w:rPr>
        <w:t xml:space="preserve"> in uita sua extiterunt uiri laudabiles et gloriosi. Qui, diuturno iam tempore spoliis uite corporalis expositis, ad diem peruenerunt eternitatis. Fun</w:t>
      </w:r>
      <w:r w:rsidRPr="007422C9">
        <w:rPr>
          <w:lang w:eastAsia="fr-FR" w:bidi="fr-FR"/>
        </w:rPr>
        <w:t>c</w:t>
      </w:r>
      <w:r w:rsidRPr="007422C9">
        <w:rPr>
          <w:lang w:eastAsia="fr-FR" w:bidi="fr-FR"/>
        </w:rPr>
        <w:t>ti ergo Dei legatione paulo superius uenerunt ad me, edocentes in sp</w:t>
      </w:r>
      <w:r w:rsidRPr="007422C9">
        <w:rPr>
          <w:lang w:eastAsia="fr-FR" w:bidi="fr-FR"/>
        </w:rPr>
        <w:t>i</w:t>
      </w:r>
      <w:r w:rsidRPr="007422C9">
        <w:rPr>
          <w:lang w:eastAsia="fr-FR" w:bidi="fr-FR"/>
        </w:rPr>
        <w:t>ritu quid huic regno post fauillas meas et cineres debeat accidere, et quomodo antiquo serpenti de precelsis potestatibus populi dabitur triumphare : « Regnum Anglorum tradidit ira Dei malignis per int</w:t>
      </w:r>
      <w:r w:rsidRPr="007422C9">
        <w:rPr>
          <w:lang w:eastAsia="fr-FR" w:bidi="fr-FR"/>
        </w:rPr>
        <w:t>e</w:t>
      </w:r>
      <w:r w:rsidRPr="007422C9">
        <w:rPr>
          <w:lang w:eastAsia="fr-FR" w:bidi="fr-FR"/>
        </w:rPr>
        <w:t>grum spiritibus annum adiecta die una, ut infelicitas miseris crescat ad tormentum. Feruebit Vulcanus et seuiet gladius, et rapiet hostis infe</w:t>
      </w:r>
      <w:r w:rsidRPr="007422C9">
        <w:rPr>
          <w:lang w:eastAsia="fr-FR" w:bidi="fr-FR"/>
        </w:rPr>
        <w:t>s</w:t>
      </w:r>
      <w:r w:rsidRPr="007422C9">
        <w:rPr>
          <w:lang w:eastAsia="fr-FR" w:bidi="fr-FR"/>
        </w:rPr>
        <w:t>tus ad predam quicquit insulse genti uerti poterit ad ruinam. Hune c</w:t>
      </w:r>
      <w:r w:rsidRPr="007422C9">
        <w:rPr>
          <w:lang w:eastAsia="fr-FR" w:bidi="fr-FR"/>
        </w:rPr>
        <w:t>a</w:t>
      </w:r>
      <w:r w:rsidRPr="007422C9">
        <w:rPr>
          <w:lang w:eastAsia="fr-FR" w:bidi="fr-FR"/>
        </w:rPr>
        <w:t>sum promeruit apud Deum nequitia prelatorum, qui patres in ecclesia Dei dicuntur ex nomine, set ordinis dignitatem non seruant in oper</w:t>
      </w:r>
      <w:r w:rsidRPr="007422C9">
        <w:rPr>
          <w:lang w:eastAsia="fr-FR" w:bidi="fr-FR"/>
        </w:rPr>
        <w:t>a</w:t>
      </w:r>
      <w:r w:rsidRPr="007422C9">
        <w:rPr>
          <w:lang w:eastAsia="fr-FR" w:bidi="fr-FR"/>
        </w:rPr>
        <w:t>tione. Sanctitatis conscenderunt cathedram, set honestatis titulo cath</w:t>
      </w:r>
      <w:r w:rsidRPr="007422C9">
        <w:rPr>
          <w:lang w:eastAsia="fr-FR" w:bidi="fr-FR"/>
        </w:rPr>
        <w:t>e</w:t>
      </w:r>
      <w:r w:rsidRPr="007422C9">
        <w:rPr>
          <w:lang w:eastAsia="fr-FR" w:bidi="fr-FR"/>
        </w:rPr>
        <w:t>dre et dignitatis non custodiunt formam. Pontifices et abbates uidentur esse quod non sunt, quia preciosa uasa Domini mundis manibus contrectare refugiunt. Duces gladium portant ad perniciem, non ad correctionem. Maledixit eis Deus et indurata eorum corda crudeli ue</w:t>
      </w:r>
      <w:r w:rsidRPr="007422C9">
        <w:rPr>
          <w:lang w:eastAsia="fr-FR" w:bidi="fr-FR"/>
        </w:rPr>
        <w:t>r</w:t>
      </w:r>
      <w:r w:rsidRPr="007422C9">
        <w:rPr>
          <w:lang w:eastAsia="fr-FR" w:bidi="fr-FR"/>
        </w:rPr>
        <w:t>bere iustissime feriet, et iniquitati illorum sceleribusque non parcet ». Hec sunt uerba que insignes et egregii michi retulerunt monachi, qu</w:t>
      </w:r>
      <w:r w:rsidRPr="007422C9">
        <w:rPr>
          <w:lang w:eastAsia="fr-FR" w:bidi="fr-FR"/>
        </w:rPr>
        <w:t>i</w:t>
      </w:r>
      <w:r w:rsidRPr="007422C9">
        <w:rPr>
          <w:lang w:eastAsia="fr-FR" w:bidi="fr-FR"/>
        </w:rPr>
        <w:t>bus ea que potestis audire respondi : « Archana uoluntatis Dei iudicia populo gentis mee patefaciam. Penitebunt forsitan et, propiciante Deo, declinabunt hanc iacturam. Qui enim per predicationem Ione penite</w:t>
      </w:r>
      <w:r w:rsidRPr="007422C9">
        <w:rPr>
          <w:lang w:eastAsia="fr-FR" w:bidi="fr-FR"/>
        </w:rPr>
        <w:t>n</w:t>
      </w:r>
      <w:r w:rsidRPr="007422C9">
        <w:rPr>
          <w:lang w:eastAsia="fr-FR" w:bidi="fr-FR"/>
        </w:rPr>
        <w:t>tibus pepercit Niniuitis, per lamentum penitentie parcet afïlictis ».</w:t>
      </w:r>
      <w:r>
        <w:rPr>
          <w:lang w:eastAsia="fr-FR" w:bidi="fr-FR"/>
        </w:rPr>
        <w:t> — </w:t>
      </w:r>
      <w:r w:rsidRPr="007422C9">
        <w:rPr>
          <w:lang w:eastAsia="fr-FR" w:bidi="fr-FR"/>
        </w:rPr>
        <w:t>« Nulla eis » inquiunt « proueniet miseratio, dum nolunt penitere de facinore perpe- trato ».</w:t>
      </w:r>
      <w:r>
        <w:rPr>
          <w:lang w:eastAsia="fr-FR" w:bidi="fr-FR"/>
        </w:rPr>
        <w:t> — </w:t>
      </w:r>
      <w:r w:rsidRPr="007422C9">
        <w:rPr>
          <w:lang w:eastAsia="fr-FR" w:bidi="fr-FR"/>
        </w:rPr>
        <w:t>Tum sollerter ego sollicitus de populi mei remedio : « Et quando, seniores » inquam « sperari poterit ulla remi</w:t>
      </w:r>
      <w:r w:rsidRPr="007422C9">
        <w:rPr>
          <w:lang w:eastAsia="fr-FR" w:bidi="fr-FR"/>
        </w:rPr>
        <w:t>s</w:t>
      </w:r>
      <w:r w:rsidRPr="007422C9">
        <w:rPr>
          <w:lang w:eastAsia="fr-FR" w:bidi="fr-FR"/>
        </w:rPr>
        <w:t>sio si tante sunt mine uindictam promittentes quam graues sunt sagitte crudeliter seuientes ? Nun- quamne terminabitur ista deiectio ? Nu</w:t>
      </w:r>
      <w:r w:rsidRPr="007422C9">
        <w:rPr>
          <w:lang w:eastAsia="fr-FR" w:bidi="fr-FR"/>
        </w:rPr>
        <w:t>n</w:t>
      </w:r>
      <w:r w:rsidRPr="007422C9">
        <w:rPr>
          <w:lang w:eastAsia="fr-FR" w:bidi="fr-FR"/>
        </w:rPr>
        <w:t>quamne finietur tam molesta contritio ? Agite, uiri célébrés, horam saltim predicite, qua tôt imponat finem malis Dominator orbis te</w:t>
      </w:r>
      <w:r w:rsidRPr="007422C9">
        <w:rPr>
          <w:lang w:eastAsia="fr-FR" w:bidi="fr-FR"/>
        </w:rPr>
        <w:t>r</w:t>
      </w:r>
      <w:r w:rsidRPr="007422C9">
        <w:rPr>
          <w:lang w:eastAsia="fr-FR" w:bidi="fr-FR"/>
        </w:rPr>
        <w:t>re ».</w:t>
      </w:r>
      <w:r>
        <w:rPr>
          <w:lang w:eastAsia="fr-FR" w:bidi="fr-FR"/>
        </w:rPr>
        <w:t> — </w:t>
      </w:r>
      <w:r w:rsidRPr="007422C9">
        <w:rPr>
          <w:lang w:eastAsia="fr-FR" w:bidi="fr-FR"/>
        </w:rPr>
        <w:t>Tune insignes suprême legationis heroes, cum me sollicitum pro populo pariter scirent et regno, hoc dignati sunt responso : « Viridis arbor quelibet a corporis sui succidatur medio, et tribus po</w:t>
      </w:r>
      <w:r w:rsidRPr="007422C9">
        <w:rPr>
          <w:lang w:eastAsia="fr-FR" w:bidi="fr-FR"/>
        </w:rPr>
        <w:t>r</w:t>
      </w:r>
      <w:r w:rsidRPr="007422C9">
        <w:rPr>
          <w:lang w:eastAsia="fr-FR" w:bidi="fr-FR"/>
        </w:rPr>
        <w:t>tio abscisa iugeribus separetur a trunco, cum absque humani operis adminiculo per se redierit rursus ad stipitem, denuoque uirescens ex iterato succo coalescet et fructum faciet ut in integritate sua perseu</w:t>
      </w:r>
      <w:r w:rsidRPr="007422C9">
        <w:rPr>
          <w:lang w:eastAsia="fr-FR" w:bidi="fr-FR"/>
        </w:rPr>
        <w:t>e</w:t>
      </w:r>
      <w:r w:rsidRPr="007422C9">
        <w:rPr>
          <w:lang w:eastAsia="fr-FR" w:bidi="fr-FR"/>
        </w:rPr>
        <w:t>ret, tune tribulationibus huiuscemodi metam Deus imponet ».</w:t>
      </w:r>
    </w:p>
    <w:p w14:paraId="29CE8C57" w14:textId="77777777" w:rsidR="00B9662D" w:rsidRDefault="00B9662D" w:rsidP="00B9662D">
      <w:pPr>
        <w:spacing w:before="120" w:after="120"/>
        <w:jc w:val="both"/>
      </w:pPr>
      <w:r w:rsidRPr="007422C9">
        <w:br w:type="page"/>
      </w:r>
      <w:r>
        <w:t>[1014]</w:t>
      </w:r>
    </w:p>
    <w:p w14:paraId="73EAAD16" w14:textId="77777777" w:rsidR="00B9662D" w:rsidRPr="007422C9" w:rsidRDefault="00B9662D" w:rsidP="00B9662D">
      <w:pPr>
        <w:spacing w:before="120" w:after="120"/>
        <w:jc w:val="both"/>
      </w:pPr>
    </w:p>
    <w:p w14:paraId="0CFF09C6" w14:textId="77777777" w:rsidR="00B9662D" w:rsidRPr="00381899" w:rsidRDefault="00B9662D" w:rsidP="00B9662D">
      <w:pPr>
        <w:pStyle w:val="b"/>
      </w:pPr>
      <w:r w:rsidRPr="00381899">
        <w:rPr>
          <w:lang w:eastAsia="fr-FR" w:bidi="fr-FR"/>
        </w:rPr>
        <w:t>XXII. De his qui assidebant régi uisionem referenti.</w:t>
      </w:r>
    </w:p>
    <w:p w14:paraId="2F26B03F" w14:textId="77777777" w:rsidR="00B9662D" w:rsidRDefault="00B9662D" w:rsidP="00B9662D">
      <w:pPr>
        <w:spacing w:before="120" w:after="120"/>
        <w:jc w:val="both"/>
        <w:rPr>
          <w:lang w:eastAsia="fr-FR" w:bidi="fr-FR"/>
        </w:rPr>
      </w:pPr>
    </w:p>
    <w:p w14:paraId="7A442704" w14:textId="77777777" w:rsidR="00B9662D" w:rsidRPr="007422C9" w:rsidRDefault="00B9662D" w:rsidP="00B9662D">
      <w:pPr>
        <w:spacing w:before="120" w:after="120"/>
        <w:jc w:val="both"/>
      </w:pPr>
      <w:r w:rsidRPr="007422C9">
        <w:rPr>
          <w:lang w:eastAsia="fr-FR" w:bidi="fr-FR"/>
        </w:rPr>
        <w:t>Excubabat ante cubiculum regis regina insignis, que pedes eius proprio ut calefierent confouebat gremio, dum uisionem referret se</w:t>
      </w:r>
      <w:r w:rsidRPr="007422C9">
        <w:rPr>
          <w:lang w:eastAsia="fr-FR" w:bidi="fr-FR"/>
        </w:rPr>
        <w:t>r</w:t>
      </w:r>
      <w:r w:rsidRPr="007422C9">
        <w:rPr>
          <w:lang w:eastAsia="fr-FR" w:bidi="fr-FR"/>
        </w:rPr>
        <w:t>mone luculenter elimato. Assidebat et regii constabilitor Robertus p</w:t>
      </w:r>
      <w:r w:rsidRPr="007422C9">
        <w:rPr>
          <w:lang w:eastAsia="fr-FR" w:bidi="fr-FR"/>
        </w:rPr>
        <w:t>a</w:t>
      </w:r>
      <w:r w:rsidRPr="007422C9">
        <w:rPr>
          <w:lang w:eastAsia="fr-FR" w:bidi="fr-FR"/>
        </w:rPr>
        <w:t>latii</w:t>
      </w:r>
      <w:r>
        <w:rPr>
          <w:lang w:eastAsia="fr-FR" w:bidi="fr-FR"/>
        </w:rPr>
        <w:t> </w:t>
      </w:r>
      <w:r>
        <w:rPr>
          <w:rStyle w:val="Appelnotedebasdep"/>
        </w:rPr>
        <w:footnoteReference w:id="1328"/>
      </w:r>
      <w:r w:rsidRPr="007422C9">
        <w:rPr>
          <w:lang w:eastAsia="fr-FR" w:bidi="fr-FR"/>
        </w:rPr>
        <w:t>, qui et propinquus eiusdem regis consanguineus et ex Norma</w:t>
      </w:r>
      <w:r w:rsidRPr="007422C9">
        <w:rPr>
          <w:lang w:eastAsia="fr-FR" w:bidi="fr-FR"/>
        </w:rPr>
        <w:t>n</w:t>
      </w:r>
      <w:r w:rsidRPr="007422C9">
        <w:rPr>
          <w:lang w:eastAsia="fr-FR" w:bidi="fr-FR"/>
        </w:rPr>
        <w:t>norum gente preclaris erat natalibus oriundus. Dux etiam Haroldus cum sorore augusta presens aderat, in cuius audientia rex cum se regni terrestris an</w:t>
      </w:r>
      <w:r>
        <w:rPr>
          <w:lang w:eastAsia="fr-FR" w:bidi="fr-FR"/>
        </w:rPr>
        <w:t>imaduer</w:t>
      </w:r>
      <w:r w:rsidRPr="007422C9">
        <w:rPr>
          <w:lang w:eastAsia="fr-FR" w:bidi="fr-FR"/>
        </w:rPr>
        <w:t>teret</w:t>
      </w:r>
      <w:r>
        <w:rPr>
          <w:lang w:eastAsia="fr-FR" w:bidi="fr-FR"/>
        </w:rPr>
        <w:t> </w:t>
      </w:r>
      <w:r>
        <w:rPr>
          <w:rStyle w:val="Appelnotedebasdep"/>
          <w:lang w:eastAsia="fr-FR" w:bidi="fr-FR"/>
        </w:rPr>
        <w:footnoteReference w:customMarkFollows="1" w:id="1329"/>
        <w:t>a</w:t>
      </w:r>
      <w:r w:rsidRPr="008376DF">
        <w:rPr>
          <w:i/>
          <w:color w:val="FF0000"/>
          <w:vertAlign w:val="superscript"/>
          <w:lang w:eastAsia="fr-FR" w:bidi="fr-FR"/>
        </w:rPr>
        <w:t>a</w:t>
      </w:r>
      <w:r w:rsidRPr="007422C9">
        <w:rPr>
          <w:lang w:eastAsia="fr-FR" w:bidi="fr-FR"/>
        </w:rPr>
        <w:t xml:space="preserve"> exulem filium nepotis</w:t>
      </w:r>
      <w:r>
        <w:rPr>
          <w:lang w:eastAsia="fr-FR" w:bidi="fr-FR"/>
        </w:rPr>
        <w:t> </w:t>
      </w:r>
      <w:r>
        <w:rPr>
          <w:rStyle w:val="Appelnotedebasdep"/>
          <w:lang w:eastAsia="fr-FR" w:bidi="fr-FR"/>
        </w:rPr>
        <w:footnoteReference w:customMarkFollows="1" w:id="1330"/>
        <w:t>b</w:t>
      </w:r>
      <w:r>
        <w:rPr>
          <w:vertAlign w:val="superscript"/>
          <w:lang w:eastAsia="fr-FR" w:bidi="fr-FR"/>
        </w:rPr>
        <w:t> </w:t>
      </w:r>
      <w:r w:rsidRPr="008376DF">
        <w:rPr>
          <w:i/>
          <w:color w:val="FF0000"/>
          <w:vertAlign w:val="superscript"/>
          <w:lang w:eastAsia="fr-FR" w:bidi="fr-FR"/>
        </w:rPr>
        <w:t>b</w:t>
      </w:r>
      <w:r w:rsidRPr="007422C9">
        <w:rPr>
          <w:lang w:eastAsia="fr-FR" w:bidi="fr-FR"/>
        </w:rPr>
        <w:t xml:space="preserve"> matris sue Wi</w:t>
      </w:r>
      <w:r w:rsidRPr="007422C9">
        <w:rPr>
          <w:lang w:eastAsia="fr-FR" w:bidi="fr-FR"/>
        </w:rPr>
        <w:t>l</w:t>
      </w:r>
      <w:r w:rsidRPr="007422C9">
        <w:rPr>
          <w:lang w:eastAsia="fr-FR" w:bidi="fr-FR"/>
        </w:rPr>
        <w:t xml:space="preserve">lelmum ducem Normannie reliquit heredem. Stigandus presertim </w:t>
      </w:r>
      <w:r>
        <w:rPr>
          <w:lang w:eastAsia="fr-FR" w:bidi="fr-FR"/>
        </w:rPr>
        <w:t>quem potius inmeritum quam eme</w:t>
      </w:r>
      <w:r w:rsidRPr="007422C9">
        <w:rPr>
          <w:lang w:eastAsia="fr-FR" w:bidi="fr-FR"/>
        </w:rPr>
        <w:t>ritum Cantuariensis pallii fibula d</w:t>
      </w:r>
      <w:r w:rsidRPr="007422C9">
        <w:rPr>
          <w:lang w:eastAsia="fr-FR" w:bidi="fr-FR"/>
        </w:rPr>
        <w:t>e</w:t>
      </w:r>
      <w:r w:rsidRPr="007422C9">
        <w:rPr>
          <w:lang w:eastAsia="fr-FR" w:bidi="fr-FR"/>
        </w:rPr>
        <w:t>corabat et plurima sibi monasteria impudenter usurpauerat, cum pa</w:t>
      </w:r>
      <w:r w:rsidRPr="007422C9">
        <w:rPr>
          <w:lang w:eastAsia="fr-FR" w:bidi="fr-FR"/>
        </w:rPr>
        <w:t>u</w:t>
      </w:r>
      <w:r w:rsidRPr="007422C9">
        <w:rPr>
          <w:lang w:eastAsia="fr-FR" w:bidi="fr-FR"/>
        </w:rPr>
        <w:t>cis quos princeps archano dignatus fuerat, iusti iudicis Dei consilio audito, grauiter non terretur ex uerbere, qui infatuato corde, dum cet</w:t>
      </w:r>
      <w:r w:rsidRPr="007422C9">
        <w:rPr>
          <w:lang w:eastAsia="fr-FR" w:bidi="fr-FR"/>
        </w:rPr>
        <w:t>e</w:t>
      </w:r>
      <w:r w:rsidRPr="007422C9">
        <w:rPr>
          <w:lang w:eastAsia="fr-FR" w:bidi="fr-FR"/>
        </w:rPr>
        <w:t>ris qui susspirabant gementes debuisset iri consultum ut peniterent et lugerent pro suorum excessibus delictorum, debachabatur spiritu exasperatus</w:t>
      </w:r>
      <w:r>
        <w:rPr>
          <w:lang w:eastAsia="fr-FR" w:bidi="fr-FR"/>
        </w:rPr>
        <w:t> </w:t>
      </w:r>
      <w:r>
        <w:rPr>
          <w:rStyle w:val="Appelnotedebasdep"/>
          <w:lang w:eastAsia="fr-FR" w:bidi="fr-FR"/>
        </w:rPr>
        <w:footnoteReference w:customMarkFollows="1" w:id="1331"/>
        <w:t>c</w:t>
      </w:r>
      <w:r w:rsidRPr="008376DF">
        <w:rPr>
          <w:i/>
          <w:color w:val="FF0000"/>
          <w:vertAlign w:val="superscript"/>
          <w:lang w:eastAsia="fr-FR" w:bidi="fr-FR"/>
        </w:rPr>
        <w:t>c</w:t>
      </w:r>
      <w:r w:rsidRPr="007422C9">
        <w:rPr>
          <w:lang w:eastAsia="fr-FR" w:bidi="fr-FR"/>
        </w:rPr>
        <w:t xml:space="preserve"> malicie et uirum Dei submurmurabat confectum senio deliramenta proferre. Qui uero terribiliter promissum omnipotentis Dei formid</w:t>
      </w:r>
      <w:r w:rsidRPr="007422C9">
        <w:rPr>
          <w:lang w:eastAsia="fr-FR" w:bidi="fr-FR"/>
        </w:rPr>
        <w:t>a</w:t>
      </w:r>
      <w:r w:rsidRPr="007422C9">
        <w:rPr>
          <w:lang w:eastAsia="fr-FR" w:bidi="fr-FR"/>
        </w:rPr>
        <w:t>bant iudicium fletibus copiosis madefiebant et lacrimis, et susspir</w:t>
      </w:r>
      <w:r w:rsidRPr="007422C9">
        <w:rPr>
          <w:lang w:eastAsia="fr-FR" w:bidi="fr-FR"/>
        </w:rPr>
        <w:t>a</w:t>
      </w:r>
      <w:r w:rsidRPr="007422C9">
        <w:rPr>
          <w:lang w:eastAsia="fr-FR" w:bidi="fr-FR"/>
        </w:rPr>
        <w:t>bant prestolantes diem future animaduersionis. Nouerant enim quod per eos populus Dei certatim cotidie tendebat ad exitium, per quos celestis uite intendere</w:t>
      </w:r>
      <w:r>
        <w:rPr>
          <w:lang w:eastAsia="fr-FR" w:bidi="fr-FR"/>
        </w:rPr>
        <w:t xml:space="preserve"> deberent ad profectum, et pas</w:t>
      </w:r>
      <w:r w:rsidRPr="007422C9">
        <w:rPr>
          <w:lang w:eastAsia="fr-FR" w:bidi="fr-FR"/>
        </w:rPr>
        <w:t>tores eccl</w:t>
      </w:r>
      <w:r w:rsidRPr="007422C9">
        <w:rPr>
          <w:lang w:eastAsia="fr-FR" w:bidi="fr-FR"/>
        </w:rPr>
        <w:t>e</w:t>
      </w:r>
      <w:r w:rsidRPr="007422C9">
        <w:rPr>
          <w:lang w:eastAsia="fr-FR" w:bidi="fr-FR"/>
        </w:rPr>
        <w:t>sie, quibus commissa erant canonum d</w:t>
      </w:r>
      <w:r>
        <w:rPr>
          <w:lang w:eastAsia="fr-FR" w:bidi="fr-FR"/>
        </w:rPr>
        <w:t>e</w:t>
      </w:r>
      <w:r w:rsidRPr="007422C9">
        <w:rPr>
          <w:lang w:eastAsia="fr-FR" w:bidi="fr-FR"/>
        </w:rPr>
        <w:t>cr</w:t>
      </w:r>
      <w:r>
        <w:rPr>
          <w:lang w:eastAsia="fr-FR" w:bidi="fr-FR"/>
        </w:rPr>
        <w:t>e</w:t>
      </w:r>
      <w:r w:rsidRPr="007422C9">
        <w:rPr>
          <w:lang w:eastAsia="fr-FR" w:bidi="fr-FR"/>
        </w:rPr>
        <w:t>ta sanctorum exem- plis suis frequentius inuitarent ad occasum quos ueri et eterni luminis i</w:t>
      </w:r>
      <w:r w:rsidRPr="007422C9">
        <w:rPr>
          <w:lang w:eastAsia="fr-FR" w:bidi="fr-FR"/>
        </w:rPr>
        <w:t>l</w:t>
      </w:r>
      <w:r w:rsidRPr="007422C9">
        <w:rPr>
          <w:lang w:eastAsia="fr-FR" w:bidi="fr-FR"/>
        </w:rPr>
        <w:t>lustrare decebat ut anelarent</w:t>
      </w:r>
      <w:r>
        <w:rPr>
          <w:lang w:eastAsia="fr-FR" w:bidi="fr-FR"/>
        </w:rPr>
        <w:t> </w:t>
      </w:r>
      <w:r>
        <w:rPr>
          <w:rStyle w:val="Appelnotedebasdep"/>
          <w:lang w:eastAsia="fr-FR" w:bidi="fr-FR"/>
        </w:rPr>
        <w:footnoteReference w:customMarkFollows="1" w:id="1332"/>
        <w:t>d</w:t>
      </w:r>
      <w:r w:rsidRPr="008376DF">
        <w:rPr>
          <w:i/>
          <w:color w:val="FF0000"/>
          <w:vertAlign w:val="superscript"/>
          <w:lang w:eastAsia="fr-FR" w:bidi="fr-FR"/>
        </w:rPr>
        <w:t>d</w:t>
      </w:r>
      <w:r w:rsidRPr="007422C9">
        <w:rPr>
          <w:lang w:eastAsia="fr-FR" w:bidi="fr-FR"/>
        </w:rPr>
        <w:t xml:space="preserve"> ad ortum. Itidem Romanum pontificem décl</w:t>
      </w:r>
      <w:r w:rsidRPr="007422C9">
        <w:rPr>
          <w:lang w:eastAsia="fr-FR" w:bidi="fr-FR"/>
        </w:rPr>
        <w:t>a</w:t>
      </w:r>
      <w:r w:rsidRPr="007422C9">
        <w:rPr>
          <w:lang w:eastAsia="fr-FR" w:bidi="fr-FR"/>
        </w:rPr>
        <w:t>masse tum per epistolas tum per legatos asserunt regemque ac reginam id illis frequentius replicasse contendunt ; set, mundanis st</w:t>
      </w:r>
      <w:r w:rsidRPr="007422C9">
        <w:rPr>
          <w:lang w:eastAsia="fr-FR" w:bidi="fr-FR"/>
        </w:rPr>
        <w:t>u</w:t>
      </w:r>
      <w:r w:rsidRPr="007422C9">
        <w:rPr>
          <w:lang w:eastAsia="fr-FR" w:bidi="fr-FR"/>
        </w:rPr>
        <w:t>de</w:t>
      </w:r>
      <w:r w:rsidRPr="007422C9">
        <w:rPr>
          <w:lang w:eastAsia="fr-FR" w:bidi="fr-FR"/>
        </w:rPr>
        <w:t>n</w:t>
      </w:r>
      <w:r w:rsidRPr="007422C9">
        <w:rPr>
          <w:lang w:eastAsia="fr-FR" w:bidi="fr-FR"/>
        </w:rPr>
        <w:t>tes illecebris et florentes diuitiis, iram Dei se nescire dissimulant proximam, et iccirco apprehendere negligunt discip</w:t>
      </w:r>
      <w:r>
        <w:rPr>
          <w:lang w:eastAsia="fr-FR" w:bidi="fr-FR"/>
        </w:rPr>
        <w:t>linam. Experti sunt autem post</w:t>
      </w:r>
      <w:r w:rsidRPr="007422C9">
        <w:rPr>
          <w:lang w:eastAsia="fr-FR" w:bidi="fr-FR"/>
        </w:rPr>
        <w:t>modum regis uaticinio uerum fuisse presagium et occu</w:t>
      </w:r>
      <w:r w:rsidRPr="007422C9">
        <w:rPr>
          <w:lang w:eastAsia="fr-FR" w:bidi="fr-FR"/>
        </w:rPr>
        <w:t>m</w:t>
      </w:r>
      <w:r w:rsidRPr="007422C9">
        <w:rPr>
          <w:lang w:eastAsia="fr-FR" w:bidi="fr-FR"/>
        </w:rPr>
        <w:t>bens Haroldus in prelio, dum uictricibus signis Willelmi Normann</w:t>
      </w:r>
      <w:r w:rsidRPr="007422C9">
        <w:rPr>
          <w:lang w:eastAsia="fr-FR" w:bidi="fr-FR"/>
        </w:rPr>
        <w:t>o</w:t>
      </w:r>
      <w:r w:rsidRPr="007422C9">
        <w:rPr>
          <w:lang w:eastAsia="fr-FR" w:bidi="fr-FR"/>
        </w:rPr>
        <w:t>rum ducis triumphata diues Anglia cessit, et Stigandus Wintonie d</w:t>
      </w:r>
      <w:r w:rsidRPr="007422C9">
        <w:rPr>
          <w:lang w:eastAsia="fr-FR" w:bidi="fr-FR"/>
        </w:rPr>
        <w:t>e</w:t>
      </w:r>
      <w:r w:rsidRPr="007422C9">
        <w:rPr>
          <w:lang w:eastAsia="fr-FR" w:bidi="fr-FR"/>
        </w:rPr>
        <w:t>positus in concilio, totius honorem dignitatis, perpetuo carceris dam</w:t>
      </w:r>
      <w:r w:rsidRPr="007422C9">
        <w:rPr>
          <w:lang w:eastAsia="fr-FR" w:bidi="fr-FR"/>
        </w:rPr>
        <w:t>p</w:t>
      </w:r>
      <w:r w:rsidRPr="007422C9">
        <w:rPr>
          <w:lang w:eastAsia="fr-FR" w:bidi="fr-FR"/>
        </w:rPr>
        <w:t>natus ergastulo, usque ad finem uite nunquam in decus pristinum r</w:t>
      </w:r>
      <w:r w:rsidRPr="007422C9">
        <w:rPr>
          <w:lang w:eastAsia="fr-FR" w:bidi="fr-FR"/>
        </w:rPr>
        <w:t>e</w:t>
      </w:r>
      <w:r w:rsidRPr="007422C9">
        <w:rPr>
          <w:lang w:eastAsia="fr-FR" w:bidi="fr-FR"/>
        </w:rPr>
        <w:t>formatus amisit. Prostrata sunt et multa milia in gente Anglorum post gloriosi regis obitum. Que preter- mittentes, quoniam tragediam scr</w:t>
      </w:r>
      <w:r w:rsidRPr="007422C9">
        <w:rPr>
          <w:lang w:eastAsia="fr-FR" w:bidi="fr-FR"/>
        </w:rPr>
        <w:t>i</w:t>
      </w:r>
      <w:r w:rsidRPr="007422C9">
        <w:rPr>
          <w:lang w:eastAsia="fr-FR" w:bidi="fr-FR"/>
        </w:rPr>
        <w:t>bere non proposuimus, simplicem tantum historiam retexere satag</w:t>
      </w:r>
      <w:r w:rsidRPr="007422C9">
        <w:rPr>
          <w:lang w:eastAsia="fr-FR" w:bidi="fr-FR"/>
        </w:rPr>
        <w:t>a</w:t>
      </w:r>
      <w:r w:rsidRPr="007422C9">
        <w:rPr>
          <w:lang w:eastAsia="fr-FR" w:bidi="fr-FR"/>
        </w:rPr>
        <w:t>mus. Prelibemus tamen prius quod liquido patuit in regno posterius quia rex, Dei spiritu imbutus, ex</w:t>
      </w:r>
      <w:r>
        <w:rPr>
          <w:lang w:eastAsia="fr-FR" w:bidi="fr-FR"/>
        </w:rPr>
        <w:t xml:space="preserve"> impos</w:t>
      </w:r>
      <w:r w:rsidRPr="007422C9">
        <w:rPr>
          <w:lang w:eastAsia="fr-FR" w:bidi="fr-FR"/>
        </w:rPr>
        <w:t>sibili statuit similitudinem dum difïicilem futuris temporibus Anglorum preuideret respirationem. N</w:t>
      </w:r>
      <w:r w:rsidRPr="007422C9">
        <w:rPr>
          <w:lang w:eastAsia="fr-FR" w:bidi="fr-FR"/>
        </w:rPr>
        <w:t>e</w:t>
      </w:r>
      <w:r w:rsidRPr="007422C9">
        <w:rPr>
          <w:lang w:eastAsia="fr-FR" w:bidi="fr-FR"/>
        </w:rPr>
        <w:t>que enim hodie regem aut du</w:t>
      </w:r>
      <w:r>
        <w:rPr>
          <w:lang w:eastAsia="fr-FR" w:bidi="fr-FR"/>
        </w:rPr>
        <w:t>cem aut ponti</w:t>
      </w:r>
      <w:r w:rsidRPr="007422C9">
        <w:rPr>
          <w:lang w:eastAsia="fr-FR" w:bidi="fr-FR"/>
        </w:rPr>
        <w:t>ficem</w:t>
      </w:r>
      <w:r>
        <w:t xml:space="preserve"> [</w:t>
      </w:r>
      <w:r w:rsidRPr="007422C9">
        <w:rPr>
          <w:lang w:eastAsia="fr-FR" w:bidi="fr-FR"/>
        </w:rPr>
        <w:t>1015</w:t>
      </w:r>
      <w:r>
        <w:rPr>
          <w:lang w:eastAsia="fr-FR" w:bidi="fr-FR"/>
        </w:rPr>
        <w:t>]</w:t>
      </w:r>
      <w:r w:rsidRPr="007422C9">
        <w:rPr>
          <w:lang w:eastAsia="fr-FR" w:bidi="fr-FR"/>
        </w:rPr>
        <w:t xml:space="preserve"> ex eadem gente cernimus aliter originem ducere quam arb</w:t>
      </w:r>
      <w:r w:rsidRPr="007422C9">
        <w:rPr>
          <w:lang w:eastAsia="fr-FR" w:bidi="fr-FR"/>
        </w:rPr>
        <w:t>o</w:t>
      </w:r>
      <w:r w:rsidRPr="007422C9">
        <w:rPr>
          <w:lang w:eastAsia="fr-FR" w:bidi="fr-FR"/>
        </w:rPr>
        <w:t>rem succisam ut reuirescat et fructum proférât suo stipiti denuo coh</w:t>
      </w:r>
      <w:r w:rsidRPr="007422C9">
        <w:rPr>
          <w:lang w:eastAsia="fr-FR" w:bidi="fr-FR"/>
        </w:rPr>
        <w:t>e</w:t>
      </w:r>
      <w:r w:rsidRPr="007422C9">
        <w:rPr>
          <w:lang w:eastAsia="fr-FR" w:bidi="fr-FR"/>
        </w:rPr>
        <w:t>rere</w:t>
      </w:r>
      <w:r>
        <w:rPr>
          <w:lang w:eastAsia="fr-FR" w:bidi="fr-FR"/>
        </w:rPr>
        <w:t> </w:t>
      </w:r>
      <w:r>
        <w:rPr>
          <w:rStyle w:val="Appelnotedebasdep"/>
        </w:rPr>
        <w:footnoteReference w:id="1333"/>
      </w:r>
      <w:r w:rsidRPr="007422C9">
        <w:rPr>
          <w:lang w:eastAsia="fr-FR" w:bidi="fr-FR"/>
        </w:rPr>
        <w:t>.</w:t>
      </w:r>
    </w:p>
    <w:p w14:paraId="2399C542" w14:textId="77777777" w:rsidR="00B9662D" w:rsidRDefault="00B9662D" w:rsidP="00B9662D">
      <w:pPr>
        <w:spacing w:before="120" w:after="120"/>
        <w:jc w:val="both"/>
        <w:rPr>
          <w:lang w:eastAsia="fr-FR" w:bidi="fr-FR"/>
        </w:rPr>
      </w:pPr>
    </w:p>
    <w:p w14:paraId="5D3131BE" w14:textId="77777777" w:rsidR="00B9662D" w:rsidRPr="00381899" w:rsidRDefault="00B9662D" w:rsidP="00B9662D">
      <w:pPr>
        <w:pStyle w:val="b"/>
      </w:pPr>
      <w:r w:rsidRPr="00381899">
        <w:rPr>
          <w:lang w:eastAsia="fr-FR" w:bidi="fr-FR"/>
        </w:rPr>
        <w:t>XXI</w:t>
      </w:r>
      <w:r>
        <w:rPr>
          <w:lang w:eastAsia="fr-FR" w:bidi="fr-FR"/>
        </w:rPr>
        <w:t>II. Quomodo rex suos alloquitur</w:t>
      </w:r>
      <w:r>
        <w:rPr>
          <w:lang w:eastAsia="fr-FR" w:bidi="fr-FR"/>
        </w:rPr>
        <w:br/>
      </w:r>
      <w:r w:rsidRPr="00381899">
        <w:rPr>
          <w:lang w:eastAsia="fr-FR" w:bidi="fr-FR"/>
        </w:rPr>
        <w:t>et ut subueniant depre- c</w:t>
      </w:r>
      <w:r w:rsidRPr="00381899">
        <w:rPr>
          <w:lang w:eastAsia="fr-FR" w:bidi="fr-FR"/>
        </w:rPr>
        <w:t>a</w:t>
      </w:r>
      <w:r w:rsidRPr="00381899">
        <w:rPr>
          <w:lang w:eastAsia="fr-FR" w:bidi="fr-FR"/>
        </w:rPr>
        <w:t>tur.</w:t>
      </w:r>
    </w:p>
    <w:p w14:paraId="434E2BC7" w14:textId="77777777" w:rsidR="00B9662D" w:rsidRDefault="00B9662D" w:rsidP="00B9662D">
      <w:pPr>
        <w:spacing w:before="120" w:after="120"/>
        <w:jc w:val="both"/>
        <w:rPr>
          <w:lang w:eastAsia="fr-FR" w:bidi="fr-FR"/>
        </w:rPr>
      </w:pPr>
    </w:p>
    <w:p w14:paraId="28F23E65" w14:textId="77777777" w:rsidR="00B9662D" w:rsidRPr="007422C9" w:rsidRDefault="00B9662D" w:rsidP="00B9662D">
      <w:pPr>
        <w:spacing w:before="120" w:after="120"/>
        <w:jc w:val="both"/>
      </w:pPr>
      <w:r w:rsidRPr="007422C9">
        <w:rPr>
          <w:lang w:eastAsia="fr-FR" w:bidi="fr-FR"/>
        </w:rPr>
        <w:t>His ita decursis redeamus ad seriem, e</w:t>
      </w:r>
      <w:r>
        <w:rPr>
          <w:lang w:eastAsia="fr-FR" w:bidi="fr-FR"/>
        </w:rPr>
        <w:t>t de felici regis excessu conti</w:t>
      </w:r>
      <w:r w:rsidRPr="007422C9">
        <w:rPr>
          <w:lang w:eastAsia="fr-FR" w:bidi="fr-FR"/>
        </w:rPr>
        <w:t>nuam fidei predicemus ueritatem. Aggrauatus pene usque ad diuisionem anime et corporis, princeps insignis, cum suos in luctu et merore uersari conspiceret, intendit ut eorum dolorem comminus a</w:t>
      </w:r>
      <w:r w:rsidRPr="007422C9">
        <w:rPr>
          <w:lang w:eastAsia="fr-FR" w:bidi="fr-FR"/>
        </w:rPr>
        <w:t>l</w:t>
      </w:r>
      <w:r w:rsidRPr="007422C9">
        <w:rPr>
          <w:lang w:eastAsia="fr-FR" w:bidi="fr-FR"/>
        </w:rPr>
        <w:t>leuiaret. « Desine » inquit « flere, satellitum meorum cornes et arnica sodalitas, et orationes tuas apud Deum sentiam seculo mortuus qui in te confidere didici moriturus. Ad Creatorem meum abeundi licentiam postulo sitque uniuscuius- que pro me interpellatio sedula, cui sedul</w:t>
      </w:r>
      <w:r w:rsidRPr="007422C9">
        <w:rPr>
          <w:lang w:eastAsia="fr-FR" w:bidi="fr-FR"/>
        </w:rPr>
        <w:t>i</w:t>
      </w:r>
      <w:r w:rsidRPr="007422C9">
        <w:rPr>
          <w:lang w:eastAsia="fr-FR" w:bidi="fr-FR"/>
        </w:rPr>
        <w:t>tate prefui iugiter ofïiciosa. Noluit Christus sibi ne moreretur propici</w:t>
      </w:r>
      <w:r w:rsidRPr="007422C9">
        <w:rPr>
          <w:lang w:eastAsia="fr-FR" w:bidi="fr-FR"/>
        </w:rPr>
        <w:t>a</w:t>
      </w:r>
      <w:r w:rsidRPr="007422C9">
        <w:rPr>
          <w:lang w:eastAsia="fr-FR" w:bidi="fr-FR"/>
        </w:rPr>
        <w:t>ri, nec michi ne moriar propiciabitur ; set orate ut post mortem saltim propicietur. » Regine uero laudabilem suis castis usibus approbans seruitutem, omnipotentem Dominum ut eam tueatur suppliciter obs</w:t>
      </w:r>
      <w:r w:rsidRPr="007422C9">
        <w:rPr>
          <w:lang w:eastAsia="fr-FR" w:bidi="fr-FR"/>
        </w:rPr>
        <w:t>e</w:t>
      </w:r>
      <w:r w:rsidRPr="007422C9">
        <w:rPr>
          <w:lang w:eastAsia="fr-FR" w:bidi="fr-FR"/>
        </w:rPr>
        <w:t>crat, eiusque custodiam sanctorum angelorum agminibus commendat. Penes se enim in loco filie celebriter illam astitisse comm</w:t>
      </w:r>
      <w:r>
        <w:rPr>
          <w:lang w:eastAsia="fr-FR" w:bidi="fr-FR"/>
        </w:rPr>
        <w:t>e</w:t>
      </w:r>
      <w:r w:rsidRPr="007422C9">
        <w:rPr>
          <w:lang w:eastAsia="fr-FR" w:bidi="fr-FR"/>
        </w:rPr>
        <w:t>mor</w:t>
      </w:r>
      <w:r>
        <w:rPr>
          <w:lang w:eastAsia="fr-FR" w:bidi="fr-FR"/>
        </w:rPr>
        <w:t>a</w:t>
      </w:r>
      <w:r w:rsidRPr="007422C9">
        <w:rPr>
          <w:lang w:eastAsia="fr-FR" w:bidi="fr-FR"/>
        </w:rPr>
        <w:t>t, cui dum lege licuisset nulla corruptio carnalis inherebat. Assignat et e</w:t>
      </w:r>
      <w:r w:rsidRPr="007422C9">
        <w:rPr>
          <w:lang w:eastAsia="fr-FR" w:bidi="fr-FR"/>
        </w:rPr>
        <w:t>i</w:t>
      </w:r>
      <w:r w:rsidRPr="007422C9">
        <w:rPr>
          <w:lang w:eastAsia="fr-FR" w:bidi="fr-FR"/>
        </w:rPr>
        <w:t>dem fratrem suum ducem Haroldum in tempora- libus prouisorem, ut eam quoad uixerit cum honore debito seruet incolu- mem, nec rebus spoliata dotalibus alicuius iudicii incurret seueritatem. Eorum preterea eloquitur causam ne paciantur repulsam, qui amoris sui uinculis pr</w:t>
      </w:r>
      <w:r w:rsidRPr="007422C9">
        <w:rPr>
          <w:lang w:eastAsia="fr-FR" w:bidi="fr-FR"/>
        </w:rPr>
        <w:t>e</w:t>
      </w:r>
      <w:r w:rsidRPr="007422C9">
        <w:rPr>
          <w:lang w:eastAsia="fr-FR" w:bidi="fr-FR"/>
        </w:rPr>
        <w:t>cordialibus astricti deseruerant terram natiuitatis proprie, et secum p</w:t>
      </w:r>
      <w:r w:rsidRPr="007422C9">
        <w:rPr>
          <w:lang w:eastAsia="fr-FR" w:bidi="fr-FR"/>
        </w:rPr>
        <w:t>a</w:t>
      </w:r>
      <w:r w:rsidRPr="007422C9">
        <w:rPr>
          <w:lang w:eastAsia="fr-FR" w:bidi="fr-FR"/>
        </w:rPr>
        <w:t xml:space="preserve">trie fines </w:t>
      </w:r>
      <w:r>
        <w:rPr>
          <w:lang w:eastAsia="fr-FR" w:bidi="fr-FR"/>
        </w:rPr>
        <w:t>inuiserant alie</w:t>
      </w:r>
      <w:r w:rsidRPr="007422C9">
        <w:rPr>
          <w:lang w:eastAsia="fr-FR" w:bidi="fr-FR"/>
        </w:rPr>
        <w:t>n</w:t>
      </w:r>
      <w:r>
        <w:rPr>
          <w:lang w:eastAsia="fr-FR" w:bidi="fr-FR"/>
        </w:rPr>
        <w:t>e</w:t>
      </w:r>
      <w:r w:rsidRPr="007422C9">
        <w:rPr>
          <w:lang w:eastAsia="fr-FR" w:bidi="fr-FR"/>
        </w:rPr>
        <w:t> ; quod eis ad uotum cederet imperauit ut fieret aut sine dedecore in Anglia subsistere, aut natale solum cum gloria transmigrare.</w:t>
      </w:r>
    </w:p>
    <w:p w14:paraId="70507F02" w14:textId="77777777" w:rsidR="00B9662D" w:rsidRDefault="00B9662D" w:rsidP="00B9662D">
      <w:pPr>
        <w:spacing w:before="120" w:after="120"/>
        <w:jc w:val="both"/>
        <w:rPr>
          <w:lang w:eastAsia="fr-FR" w:bidi="fr-FR"/>
        </w:rPr>
      </w:pPr>
    </w:p>
    <w:p w14:paraId="5B255328" w14:textId="77777777" w:rsidR="00B9662D" w:rsidRPr="00381899" w:rsidRDefault="00B9662D" w:rsidP="00B9662D">
      <w:pPr>
        <w:pStyle w:val="b"/>
      </w:pPr>
      <w:r w:rsidRPr="00381899">
        <w:rPr>
          <w:lang w:eastAsia="fr-FR" w:bidi="fr-FR"/>
        </w:rPr>
        <w:t>XXIV. De sancti regis obitu, et de loco sépulture eius.</w:t>
      </w:r>
    </w:p>
    <w:p w14:paraId="41F400DE" w14:textId="77777777" w:rsidR="00B9662D" w:rsidRDefault="00B9662D" w:rsidP="00B9662D">
      <w:pPr>
        <w:spacing w:before="120" w:after="120"/>
        <w:jc w:val="both"/>
        <w:rPr>
          <w:lang w:eastAsia="fr-FR" w:bidi="fr-FR"/>
        </w:rPr>
      </w:pPr>
    </w:p>
    <w:p w14:paraId="48D22E99" w14:textId="77777777" w:rsidR="00B9662D" w:rsidRPr="007422C9" w:rsidRDefault="00B9662D" w:rsidP="00B9662D">
      <w:pPr>
        <w:spacing w:before="120" w:after="120"/>
        <w:jc w:val="both"/>
      </w:pPr>
      <w:r w:rsidRPr="007422C9">
        <w:rPr>
          <w:lang w:eastAsia="fr-FR" w:bidi="fr-FR"/>
        </w:rPr>
        <w:t xml:space="preserve">Locum deinde </w:t>
      </w:r>
      <w:r>
        <w:rPr>
          <w:lang w:eastAsia="fr-FR" w:bidi="fr-FR"/>
        </w:rPr>
        <w:t>sepulchri in monasterio beati Pe</w:t>
      </w:r>
      <w:r w:rsidRPr="007422C9">
        <w:rPr>
          <w:lang w:eastAsia="fr-FR" w:bidi="fr-FR"/>
        </w:rPr>
        <w:t>tri suo funeri ma</w:t>
      </w:r>
      <w:r w:rsidRPr="007422C9">
        <w:rPr>
          <w:lang w:eastAsia="fr-FR" w:bidi="fr-FR"/>
        </w:rPr>
        <w:t>n</w:t>
      </w:r>
      <w:r w:rsidRPr="007422C9">
        <w:rPr>
          <w:lang w:eastAsia="fr-FR" w:bidi="fr-FR"/>
        </w:rPr>
        <w:t>dat institui, suasque publicari poscit exequias et per orbem terre citius fieri manifestas. Maiestatem namque clementie Dei per eos futuram sibi non diffidit placabilem qui suam audierint dissolutionem. Inte</w:t>
      </w:r>
      <w:r w:rsidRPr="007422C9">
        <w:rPr>
          <w:lang w:eastAsia="fr-FR" w:bidi="fr-FR"/>
        </w:rPr>
        <w:t>r</w:t>
      </w:r>
      <w:r w:rsidRPr="007422C9">
        <w:rPr>
          <w:lang w:eastAsia="fr-FR" w:bidi="fr-FR"/>
        </w:rPr>
        <w:t>dum uero uocem regine compescebat lugubrem et in anxietate spiritus consolabatur merentem. « Noli flere » inquit « filia, noli lugere, soror et arnica. Non enim moriar, set Deo uiuam</w:t>
      </w:r>
      <w:r>
        <w:rPr>
          <w:lang w:eastAsia="fr-FR" w:bidi="fr-FR"/>
        </w:rPr>
        <w:t> </w:t>
      </w:r>
      <w:r>
        <w:rPr>
          <w:rStyle w:val="Appelnotedebasdep"/>
        </w:rPr>
        <w:footnoteReference w:id="1334"/>
      </w:r>
      <w:r w:rsidRPr="007422C9">
        <w:rPr>
          <w:lang w:eastAsia="fr-FR" w:bidi="fr-FR"/>
        </w:rPr>
        <w:t>, eoque propiciante in m</w:t>
      </w:r>
      <w:r w:rsidRPr="007422C9">
        <w:rPr>
          <w:lang w:eastAsia="fr-FR" w:bidi="fr-FR"/>
        </w:rPr>
        <w:t>e</w:t>
      </w:r>
      <w:r w:rsidRPr="007422C9">
        <w:rPr>
          <w:lang w:eastAsia="fr-FR" w:bidi="fr-FR"/>
        </w:rPr>
        <w:t>lius conualescam ». In hoc autem promisso non fefellit diligentem, quia cum mori contingeret in carne, cum Christo uicturus migrauit a corpore. Accitis deinde sacri Ghristi altaris sacerdotibus et ministris, et saluta</w:t>
      </w:r>
      <w:r>
        <w:rPr>
          <w:lang w:eastAsia="fr-FR" w:bidi="fr-FR"/>
        </w:rPr>
        <w:t>ribus dominici corporis et san</w:t>
      </w:r>
      <w:r w:rsidRPr="007422C9">
        <w:rPr>
          <w:lang w:eastAsia="fr-FR" w:bidi="fr-FR"/>
        </w:rPr>
        <w:t>guinis sumptis humiliter sacr</w:t>
      </w:r>
      <w:r w:rsidRPr="007422C9">
        <w:rPr>
          <w:lang w:eastAsia="fr-FR" w:bidi="fr-FR"/>
        </w:rPr>
        <w:t>a</w:t>
      </w:r>
      <w:r w:rsidRPr="007422C9">
        <w:rPr>
          <w:lang w:eastAsia="fr-FR" w:bidi="fr-FR"/>
        </w:rPr>
        <w:t>mentis, in confessione fidei et unius ueri Dei notitia inter sanct</w:t>
      </w:r>
      <w:r w:rsidRPr="007422C9">
        <w:rPr>
          <w:lang w:eastAsia="fr-FR" w:bidi="fr-FR"/>
        </w:rPr>
        <w:t>o</w:t>
      </w:r>
      <w:r w:rsidRPr="007422C9">
        <w:rPr>
          <w:lang w:eastAsia="fr-FR" w:bidi="fr-FR"/>
        </w:rPr>
        <w:t>rum manus angelorum innocentie et puritatis spiritum</w:t>
      </w:r>
      <w:r>
        <w:rPr>
          <w:lang w:eastAsia="fr-FR" w:bidi="fr-FR"/>
        </w:rPr>
        <w:t xml:space="preserve"> </w:t>
      </w:r>
      <w:r>
        <w:t xml:space="preserve">[1016] </w:t>
      </w:r>
      <w:r w:rsidRPr="007422C9">
        <w:rPr>
          <w:lang w:eastAsia="fr-FR" w:bidi="fr-FR"/>
        </w:rPr>
        <w:t>efflauit inui</w:t>
      </w:r>
      <w:r w:rsidRPr="007422C9">
        <w:rPr>
          <w:lang w:eastAsia="fr-FR" w:bidi="fr-FR"/>
        </w:rPr>
        <w:t>c</w:t>
      </w:r>
      <w:r w:rsidRPr="007422C9">
        <w:rPr>
          <w:lang w:eastAsia="fr-FR" w:bidi="fr-FR"/>
        </w:rPr>
        <w:t>tum, et pridie nonas Ianuarii</w:t>
      </w:r>
      <w:r>
        <w:rPr>
          <w:lang w:eastAsia="fr-FR" w:bidi="fr-FR"/>
        </w:rPr>
        <w:t> </w:t>
      </w:r>
      <w:r>
        <w:rPr>
          <w:rStyle w:val="Appelnotedebasdep"/>
        </w:rPr>
        <w:footnoteReference w:id="1335"/>
      </w:r>
      <w:r w:rsidRPr="007422C9">
        <w:rPr>
          <w:lang w:eastAsia="fr-FR" w:bidi="fr-FR"/>
        </w:rPr>
        <w:t xml:space="preserve"> diem temporis clausit extre- mum. Quoddam itaque resurrectionis decus in se cadauer preferebat exan</w:t>
      </w:r>
      <w:r w:rsidRPr="007422C9">
        <w:rPr>
          <w:lang w:eastAsia="fr-FR" w:bidi="fr-FR"/>
        </w:rPr>
        <w:t>i</w:t>
      </w:r>
      <w:r w:rsidRPr="007422C9">
        <w:rPr>
          <w:lang w:eastAsia="fr-FR" w:bidi="fr-FR"/>
        </w:rPr>
        <w:t>me, cum faciès scilicet ruberet ut rosa, barba quasi lilium canderet s</w:t>
      </w:r>
      <w:r w:rsidRPr="007422C9">
        <w:rPr>
          <w:lang w:eastAsia="fr-FR" w:bidi="fr-FR"/>
        </w:rPr>
        <w:t>u</w:t>
      </w:r>
      <w:r w:rsidRPr="007422C9">
        <w:rPr>
          <w:lang w:eastAsia="fr-FR" w:bidi="fr-FR"/>
        </w:rPr>
        <w:t>biecta, ordine suo directe manus albescerent, totumque corpus non morti set fausto datum sopori signarent. Fient circumsta</w:t>
      </w:r>
      <w:r w:rsidRPr="007422C9">
        <w:rPr>
          <w:lang w:eastAsia="fr-FR" w:bidi="fr-FR"/>
        </w:rPr>
        <w:t>n</w:t>
      </w:r>
      <w:r w:rsidRPr="007422C9">
        <w:rPr>
          <w:lang w:eastAsia="fr-FR" w:bidi="fr-FR"/>
        </w:rPr>
        <w:t>tes et dolent, admirantur et gaudent, quos occasus principis hortatur ut lugeant et glorificatio corporis imperat ut noua gaudia comprehendant.</w:t>
      </w:r>
    </w:p>
    <w:p w14:paraId="42527747" w14:textId="77777777" w:rsidR="00B9662D" w:rsidRPr="007422C9" w:rsidRDefault="00B9662D" w:rsidP="00B9662D">
      <w:pPr>
        <w:spacing w:before="120" w:after="120"/>
        <w:jc w:val="both"/>
      </w:pPr>
      <w:r w:rsidRPr="007422C9">
        <w:rPr>
          <w:lang w:eastAsia="fr-FR" w:bidi="fr-FR"/>
        </w:rPr>
        <w:t>Parant igitur exequias regio funeri congruentes, auroque et argento pauperum Christi subleuatur inopia, et pro redemptione eius thesaur</w:t>
      </w:r>
      <w:r w:rsidRPr="007422C9">
        <w:rPr>
          <w:lang w:eastAsia="fr-FR" w:bidi="fr-FR"/>
        </w:rPr>
        <w:t>o</w:t>
      </w:r>
      <w:r w:rsidRPr="007422C9">
        <w:rPr>
          <w:lang w:eastAsia="fr-FR" w:bidi="fr-FR"/>
        </w:rPr>
        <w:t>rum dispersa redundat copia copiosa. In sindone munda prius inuolu</w:t>
      </w:r>
      <w:r w:rsidRPr="007422C9">
        <w:rPr>
          <w:lang w:eastAsia="fr-FR" w:bidi="fr-FR"/>
        </w:rPr>
        <w:t>i</w:t>
      </w:r>
      <w:r w:rsidRPr="007422C9">
        <w:rPr>
          <w:lang w:eastAsia="fr-FR" w:bidi="fr-FR"/>
        </w:rPr>
        <w:t>tur, deinde in pallio precioso collocatur. A palatio Christi miles defe</w:t>
      </w:r>
      <w:r w:rsidRPr="007422C9">
        <w:rPr>
          <w:lang w:eastAsia="fr-FR" w:bidi="fr-FR"/>
        </w:rPr>
        <w:t>r</w:t>
      </w:r>
      <w:r w:rsidRPr="007422C9">
        <w:rPr>
          <w:lang w:eastAsia="fr-FR" w:bidi="fr-FR"/>
        </w:rPr>
        <w:t>tur ad ecclesiam quam beato Petro apostolo insigni reddiderat dedic</w:t>
      </w:r>
      <w:r w:rsidRPr="007422C9">
        <w:rPr>
          <w:lang w:eastAsia="fr-FR" w:bidi="fr-FR"/>
        </w:rPr>
        <w:t>a</w:t>
      </w:r>
      <w:r w:rsidRPr="007422C9">
        <w:rPr>
          <w:lang w:eastAsia="fr-FR" w:bidi="fr-FR"/>
        </w:rPr>
        <w:t>tione consecratum. Conuolant undecumque pontifices et secunde d</w:t>
      </w:r>
      <w:r w:rsidRPr="007422C9">
        <w:rPr>
          <w:lang w:eastAsia="fr-FR" w:bidi="fr-FR"/>
        </w:rPr>
        <w:t>i</w:t>
      </w:r>
      <w:r w:rsidRPr="007422C9">
        <w:rPr>
          <w:lang w:eastAsia="fr-FR" w:bidi="fr-FR"/>
        </w:rPr>
        <w:t>gnitatis sacerdotes ; occurrunt duces regni et conueniunt optimates ; densa clericorum confluunt agmina, multimoda monachorum adest caterua ; ab urbe frequentia non defuit ciuium ; stipantur compita i</w:t>
      </w:r>
      <w:r w:rsidRPr="007422C9">
        <w:rPr>
          <w:lang w:eastAsia="fr-FR" w:bidi="fr-FR"/>
        </w:rPr>
        <w:t>n</w:t>
      </w:r>
      <w:r w:rsidRPr="007422C9">
        <w:rPr>
          <w:lang w:eastAsia="fr-FR" w:bidi="fr-FR"/>
        </w:rPr>
        <w:t>numera multitudine populorum. Omnes regem conlacrimantur ami</w:t>
      </w:r>
      <w:r w:rsidRPr="007422C9">
        <w:rPr>
          <w:lang w:eastAsia="fr-FR" w:bidi="fr-FR"/>
        </w:rPr>
        <w:t>s</w:t>
      </w:r>
      <w:r w:rsidRPr="007422C9">
        <w:rPr>
          <w:lang w:eastAsia="fr-FR" w:bidi="fr-FR"/>
        </w:rPr>
        <w:t>sum ; omnes conqueruntur principem temporalis uite sceptro sub cel</w:t>
      </w:r>
      <w:r w:rsidRPr="007422C9">
        <w:rPr>
          <w:lang w:eastAsia="fr-FR" w:bidi="fr-FR"/>
        </w:rPr>
        <w:t>e</w:t>
      </w:r>
      <w:r w:rsidRPr="007422C9">
        <w:rPr>
          <w:lang w:eastAsia="fr-FR" w:bidi="fr-FR"/>
        </w:rPr>
        <w:t>ri momento spoliatum. Sollempnis eiusdem diei celebritas agitur, et cum tonorum c</w:t>
      </w:r>
      <w:r>
        <w:rPr>
          <w:lang w:eastAsia="fr-FR" w:bidi="fr-FR"/>
        </w:rPr>
        <w:t>oncentibus quibus uoces concre</w:t>
      </w:r>
      <w:r w:rsidRPr="007422C9">
        <w:rPr>
          <w:lang w:eastAsia="fr-FR" w:bidi="fr-FR"/>
        </w:rPr>
        <w:t>pant decurrentibus l</w:t>
      </w:r>
      <w:r w:rsidRPr="007422C9">
        <w:rPr>
          <w:lang w:eastAsia="fr-FR" w:bidi="fr-FR"/>
        </w:rPr>
        <w:t>a</w:t>
      </w:r>
      <w:r w:rsidRPr="007422C9">
        <w:rPr>
          <w:lang w:eastAsia="fr-FR" w:bidi="fr-FR"/>
        </w:rPr>
        <w:t>crimis luctus uultus fedant. Ut enim quidam sapiens ait, « musica in luctu importuna narratio est »</w:t>
      </w:r>
      <w:r>
        <w:rPr>
          <w:lang w:eastAsia="fr-FR" w:bidi="fr-FR"/>
        </w:rPr>
        <w:t> </w:t>
      </w:r>
      <w:r>
        <w:rPr>
          <w:rStyle w:val="Appelnotedebasdep"/>
        </w:rPr>
        <w:footnoteReference w:id="1336"/>
      </w:r>
      <w:r w:rsidRPr="007422C9">
        <w:rPr>
          <w:lang w:eastAsia="fr-FR" w:bidi="fr-FR"/>
        </w:rPr>
        <w:t>. Expletis igitur ofïiciis quibus populus Dei uenerabilem tanti principis executus est memoriam, secus altare beati P</w:t>
      </w:r>
      <w:r>
        <w:rPr>
          <w:lang w:eastAsia="fr-FR" w:bidi="fr-FR"/>
        </w:rPr>
        <w:t>e</w:t>
      </w:r>
      <w:r w:rsidRPr="007422C9">
        <w:rPr>
          <w:lang w:eastAsia="fr-FR" w:bidi="fr-FR"/>
        </w:rPr>
        <w:t>tri apostoli suis dignam exequii meruit sepulturam. Ad tu</w:t>
      </w:r>
      <w:r w:rsidRPr="007422C9">
        <w:rPr>
          <w:lang w:eastAsia="fr-FR" w:bidi="fr-FR"/>
        </w:rPr>
        <w:t>m</w:t>
      </w:r>
      <w:r w:rsidRPr="007422C9">
        <w:rPr>
          <w:lang w:eastAsia="fr-FR" w:bidi="fr-FR"/>
        </w:rPr>
        <w:t>bam eius diuersa fiunt a Christo ipso intercedente miracula et odoris eius suauitas et fragrantia</w:t>
      </w:r>
      <w:r>
        <w:rPr>
          <w:lang w:eastAsia="fr-FR" w:bidi="fr-FR"/>
        </w:rPr>
        <w:t> </w:t>
      </w:r>
      <w:r>
        <w:rPr>
          <w:rStyle w:val="Appelnotedebasdep"/>
          <w:lang w:eastAsia="fr-FR" w:bidi="fr-FR"/>
        </w:rPr>
        <w:footnoteReference w:customMarkFollows="1" w:id="1337"/>
        <w:t>a</w:t>
      </w:r>
      <w:r w:rsidRPr="007422C9">
        <w:rPr>
          <w:lang w:eastAsia="fr-FR" w:bidi="fr-FR"/>
        </w:rPr>
        <w:t xml:space="preserve"> membra reddit inualida celesti medicamine solidata. Ex quibus aliqua subter anectere sollerter instituimus, unde prodesse per Dei gratiam cunctis audientibus ualeamus</w:t>
      </w:r>
      <w:r>
        <w:rPr>
          <w:lang w:eastAsia="fr-FR" w:bidi="fr-FR"/>
        </w:rPr>
        <w:t> </w:t>
      </w:r>
      <w:r>
        <w:rPr>
          <w:rStyle w:val="Appelnotedebasdep"/>
        </w:rPr>
        <w:footnoteReference w:id="1338"/>
      </w:r>
      <w:r w:rsidRPr="007422C9">
        <w:rPr>
          <w:lang w:eastAsia="fr-FR" w:bidi="fr-FR"/>
        </w:rPr>
        <w:t>.</w:t>
      </w:r>
    </w:p>
    <w:p w14:paraId="70B6B482" w14:textId="77777777" w:rsidR="00B9662D" w:rsidRDefault="00B9662D" w:rsidP="00B9662D">
      <w:pPr>
        <w:spacing w:before="120" w:after="120"/>
        <w:jc w:val="both"/>
        <w:rPr>
          <w:lang w:eastAsia="fr-FR" w:bidi="fr-FR"/>
        </w:rPr>
      </w:pPr>
    </w:p>
    <w:p w14:paraId="2C37D7A3" w14:textId="77777777" w:rsidR="00B9662D" w:rsidRPr="007422C9" w:rsidRDefault="00B9662D" w:rsidP="00B9662D">
      <w:pPr>
        <w:pStyle w:val="b"/>
      </w:pPr>
      <w:r w:rsidRPr="00E93456">
        <w:rPr>
          <w:lang w:eastAsia="fr-FR" w:bidi="fr-FR"/>
        </w:rPr>
        <w:t>XXV. De contracto nomine Radulfo infra primos</w:t>
      </w:r>
      <w:r>
        <w:rPr>
          <w:lang w:eastAsia="fr-FR" w:bidi="fr-FR"/>
        </w:rPr>
        <w:br/>
      </w:r>
      <w:r w:rsidRPr="00E93456">
        <w:rPr>
          <w:lang w:eastAsia="fr-FR" w:bidi="fr-FR"/>
        </w:rPr>
        <w:t>viii dies ad tumulum regis sanato </w:t>
      </w:r>
      <w:r>
        <w:rPr>
          <w:rStyle w:val="Appelnotedebasdep"/>
        </w:rPr>
        <w:footnoteReference w:id="1339"/>
      </w:r>
      <w:r w:rsidRPr="007422C9">
        <w:rPr>
          <w:lang w:eastAsia="fr-FR" w:bidi="fr-FR"/>
        </w:rPr>
        <w:t>.</w:t>
      </w:r>
    </w:p>
    <w:p w14:paraId="75585E28" w14:textId="77777777" w:rsidR="00B9662D" w:rsidRDefault="00B9662D" w:rsidP="00B9662D">
      <w:pPr>
        <w:spacing w:before="120" w:after="120"/>
        <w:jc w:val="both"/>
        <w:rPr>
          <w:lang w:eastAsia="fr-FR" w:bidi="fr-FR"/>
        </w:rPr>
      </w:pPr>
    </w:p>
    <w:p w14:paraId="5A210B7B" w14:textId="77777777" w:rsidR="00B9662D" w:rsidRPr="007422C9" w:rsidRDefault="00B9662D" w:rsidP="00B9662D">
      <w:pPr>
        <w:spacing w:before="120" w:after="120"/>
        <w:jc w:val="both"/>
      </w:pPr>
      <w:r w:rsidRPr="007422C9">
        <w:rPr>
          <w:lang w:eastAsia="fr-FR" w:bidi="fr-FR"/>
        </w:rPr>
        <w:t>Eruct</w:t>
      </w:r>
      <w:r>
        <w:rPr>
          <w:lang w:eastAsia="fr-FR" w:bidi="fr-FR"/>
        </w:rPr>
        <w:t>a</w:t>
      </w:r>
      <w:r w:rsidRPr="007422C9">
        <w:rPr>
          <w:lang w:eastAsia="fr-FR" w:bidi="fr-FR"/>
        </w:rPr>
        <w:t>t recens hystoria salutiferum diligenter audientibus intellec- tum et dulcedinis intime delicias applicat quas beati regis Eadwardi caritas</w:t>
      </w:r>
      <w:r>
        <w:rPr>
          <w:lang w:eastAsia="fr-FR" w:bidi="fr-FR"/>
        </w:rPr>
        <w:t xml:space="preserve"> </w:t>
      </w:r>
      <w:r>
        <w:t xml:space="preserve">[1017] </w:t>
      </w:r>
      <w:r w:rsidRPr="007422C9">
        <w:rPr>
          <w:lang w:eastAsia="fr-FR" w:bidi="fr-FR"/>
        </w:rPr>
        <w:t>administr</w:t>
      </w:r>
      <w:r>
        <w:rPr>
          <w:lang w:eastAsia="fr-FR" w:bidi="fr-FR"/>
        </w:rPr>
        <w:t>a</w:t>
      </w:r>
      <w:r w:rsidRPr="007422C9">
        <w:rPr>
          <w:lang w:eastAsia="fr-FR" w:bidi="fr-FR"/>
        </w:rPr>
        <w:t>t. Infra dies octo quibus uir Domini primum regie traditus est sépulture, Deo contigit op</w:t>
      </w:r>
      <w:r>
        <w:rPr>
          <w:lang w:eastAsia="fr-FR" w:bidi="fr-FR"/>
        </w:rPr>
        <w:t>e</w:t>
      </w:r>
      <w:r w:rsidRPr="007422C9">
        <w:rPr>
          <w:lang w:eastAsia="fr-FR" w:bidi="fr-FR"/>
        </w:rPr>
        <w:t>rante quod narro mirac</w:t>
      </w:r>
      <w:r w:rsidRPr="007422C9">
        <w:rPr>
          <w:lang w:eastAsia="fr-FR" w:bidi="fr-FR"/>
        </w:rPr>
        <w:t>u</w:t>
      </w:r>
      <w:r w:rsidRPr="007422C9">
        <w:rPr>
          <w:lang w:eastAsia="fr-FR" w:bidi="fr-FR"/>
        </w:rPr>
        <w:t>lum. Ad eius gloriosum et presigne sepulcrum Radulfus quidam contractus de Normannia uenerat, quem regia sustentare solebant al</w:t>
      </w:r>
      <w:r w:rsidRPr="007422C9">
        <w:rPr>
          <w:lang w:eastAsia="fr-FR" w:bidi="fr-FR"/>
        </w:rPr>
        <w:t>i</w:t>
      </w:r>
      <w:r w:rsidRPr="007422C9">
        <w:rPr>
          <w:lang w:eastAsia="fr-FR" w:bidi="fr-FR"/>
        </w:rPr>
        <w:t>monia dum sospitate comité superstes esset in uita. Huius natibus congeriti coherebant tali, uasque cauatum in modum peluis sibi retro</w:t>
      </w:r>
      <w:r w:rsidRPr="007422C9">
        <w:rPr>
          <w:lang w:eastAsia="fr-FR" w:bidi="fr-FR"/>
        </w:rPr>
        <w:t>r</w:t>
      </w:r>
      <w:r w:rsidRPr="007422C9">
        <w:rPr>
          <w:lang w:eastAsia="fr-FR" w:bidi="fr-FR"/>
        </w:rPr>
        <w:t>sum colligau</w:t>
      </w:r>
      <w:r w:rsidRPr="007422C9">
        <w:rPr>
          <w:lang w:eastAsia="fr-FR" w:bidi="fr-FR"/>
        </w:rPr>
        <w:t>e</w:t>
      </w:r>
      <w:r w:rsidRPr="007422C9">
        <w:rPr>
          <w:lang w:eastAsia="fr-FR" w:bidi="fr-FR"/>
        </w:rPr>
        <w:t>rat, in quo non repens, set quasi terram radens, infelices artus supportabat. Defuncto autem rege uenit ad mausoleum prout p</w:t>
      </w:r>
      <w:r w:rsidRPr="007422C9">
        <w:rPr>
          <w:lang w:eastAsia="fr-FR" w:bidi="fr-FR"/>
        </w:rPr>
        <w:t>o</w:t>
      </w:r>
      <w:r w:rsidRPr="007422C9">
        <w:rPr>
          <w:lang w:eastAsia="fr-FR" w:bidi="fr-FR"/>
        </w:rPr>
        <w:t>tuit, et huiusmodi uocibus Eadwardum Dei seruum fideliter interpe</w:t>
      </w:r>
      <w:r w:rsidRPr="007422C9">
        <w:rPr>
          <w:lang w:eastAsia="fr-FR" w:bidi="fr-FR"/>
        </w:rPr>
        <w:t>l</w:t>
      </w:r>
      <w:r w:rsidRPr="007422C9">
        <w:rPr>
          <w:lang w:eastAsia="fr-FR" w:bidi="fr-FR"/>
        </w:rPr>
        <w:t>lauit : « Ecce presens coram te assisto, princeps egregie, quem largis ad ui</w:t>
      </w:r>
      <w:r w:rsidRPr="007422C9">
        <w:rPr>
          <w:lang w:eastAsia="fr-FR" w:bidi="fr-FR"/>
        </w:rPr>
        <w:t>c</w:t>
      </w:r>
      <w:r w:rsidRPr="007422C9">
        <w:rPr>
          <w:lang w:eastAsia="fr-FR" w:bidi="fr-FR"/>
        </w:rPr>
        <w:t>tum sustentare soles dapibus</w:t>
      </w:r>
      <w:r w:rsidRPr="000E4136">
        <w:rPr>
          <w:i/>
          <w:color w:val="FF0000"/>
          <w:vertAlign w:val="superscript"/>
          <w:lang w:eastAsia="fr-FR" w:bidi="fr-FR"/>
        </w:rPr>
        <w:t>a</w:t>
      </w:r>
      <w:r w:rsidRPr="007422C9">
        <w:rPr>
          <w:lang w:eastAsia="fr-FR" w:bidi="fr-FR"/>
        </w:rPr>
        <w:t>, et uillosis in frigore circundare uest</w:t>
      </w:r>
      <w:r w:rsidRPr="007422C9">
        <w:rPr>
          <w:lang w:eastAsia="fr-FR" w:bidi="fr-FR"/>
        </w:rPr>
        <w:t>i</w:t>
      </w:r>
      <w:r w:rsidRPr="007422C9">
        <w:rPr>
          <w:lang w:eastAsia="fr-FR" w:bidi="fr-FR"/>
        </w:rPr>
        <w:t>mentis. Nunc autem quia totum simul déficit quicquit michi per te s</w:t>
      </w:r>
      <w:r w:rsidRPr="007422C9">
        <w:rPr>
          <w:lang w:eastAsia="fr-FR" w:bidi="fr-FR"/>
        </w:rPr>
        <w:t>u</w:t>
      </w:r>
      <w:r w:rsidRPr="007422C9">
        <w:rPr>
          <w:lang w:eastAsia="fr-FR" w:bidi="fr-FR"/>
        </w:rPr>
        <w:t>fîragari consueuit, oro fiducialiter quod non impetrem difficulter ut eterna bona que possides mecum communices, sentiamque temp</w:t>
      </w:r>
      <w:r w:rsidRPr="007422C9">
        <w:rPr>
          <w:lang w:eastAsia="fr-FR" w:bidi="fr-FR"/>
        </w:rPr>
        <w:t>o</w:t>
      </w:r>
      <w:r w:rsidRPr="007422C9">
        <w:rPr>
          <w:lang w:eastAsia="fr-FR" w:bidi="fr-FR"/>
        </w:rPr>
        <w:t>ral</w:t>
      </w:r>
      <w:r w:rsidRPr="007422C9">
        <w:rPr>
          <w:lang w:eastAsia="fr-FR" w:bidi="fr-FR"/>
        </w:rPr>
        <w:t>i</w:t>
      </w:r>
      <w:r w:rsidRPr="007422C9">
        <w:rPr>
          <w:lang w:eastAsia="fr-FR" w:bidi="fr-FR"/>
        </w:rPr>
        <w:t>t</w:t>
      </w:r>
      <w:r>
        <w:rPr>
          <w:lang w:eastAsia="fr-FR" w:bidi="fr-FR"/>
        </w:rPr>
        <w:t>er corpori salutaria que tibi bene</w:t>
      </w:r>
      <w:r w:rsidRPr="007422C9">
        <w:rPr>
          <w:lang w:eastAsia="fr-FR" w:bidi="fr-FR"/>
        </w:rPr>
        <w:t>ficia gaudes eternaliter a Christo co</w:t>
      </w:r>
      <w:r w:rsidRPr="007422C9">
        <w:rPr>
          <w:lang w:eastAsia="fr-FR" w:bidi="fr-FR"/>
        </w:rPr>
        <w:t>l</w:t>
      </w:r>
      <w:r w:rsidRPr="007422C9">
        <w:rPr>
          <w:lang w:eastAsia="fr-FR" w:bidi="fr-FR"/>
        </w:rPr>
        <w:t>lata ». In his uerbis humiliter toto corde profusis inmensa uirtus Dei in momento resplenduit, et talos a natibus scissis carnibus seque</w:t>
      </w:r>
      <w:r w:rsidRPr="007422C9">
        <w:rPr>
          <w:lang w:eastAsia="fr-FR" w:bidi="fr-FR"/>
        </w:rPr>
        <w:t>s</w:t>
      </w:r>
      <w:r w:rsidRPr="007422C9">
        <w:rPr>
          <w:lang w:eastAsia="fr-FR" w:bidi="fr-FR"/>
        </w:rPr>
        <w:t>trauit. Distenduntur nerui, eriguntur articuli, cutis a carne diuellitur, sanguinis infusione paui- mentum fuscatur. Glorificant uidentes m</w:t>
      </w:r>
      <w:r w:rsidRPr="007422C9">
        <w:rPr>
          <w:lang w:eastAsia="fr-FR" w:bidi="fr-FR"/>
        </w:rPr>
        <w:t>a</w:t>
      </w:r>
      <w:r w:rsidRPr="007422C9">
        <w:rPr>
          <w:lang w:eastAsia="fr-FR" w:bidi="fr-FR"/>
        </w:rPr>
        <w:t>gnalia Domini, et eum in sanctis suis predicant mirabilem, qui per sanctum regem Eadwardum operatus est huius miraculi ueritatem. Conualescit in proximo uir predictus ex toto et erectus super pedes tam firma dei</w:t>
      </w:r>
      <w:r w:rsidRPr="007422C9">
        <w:rPr>
          <w:lang w:eastAsia="fr-FR" w:bidi="fr-FR"/>
        </w:rPr>
        <w:t>n</w:t>
      </w:r>
      <w:r w:rsidRPr="007422C9">
        <w:rPr>
          <w:lang w:eastAsia="fr-FR" w:bidi="fr-FR"/>
        </w:rPr>
        <w:t>ceps habuit usquequaque uestigia, ut nulla in gressibus ultra appareret lesio uel actura. Ecce alter Eneas quem sub umbraculo apostoli P</w:t>
      </w:r>
      <w:r>
        <w:rPr>
          <w:lang w:eastAsia="fr-FR" w:bidi="fr-FR"/>
        </w:rPr>
        <w:t>e</w:t>
      </w:r>
      <w:r w:rsidRPr="007422C9">
        <w:rPr>
          <w:lang w:eastAsia="fr-FR" w:bidi="fr-FR"/>
        </w:rPr>
        <w:t>tri uirtus erexit et gracia Dei</w:t>
      </w:r>
      <w:r>
        <w:rPr>
          <w:lang w:eastAsia="fr-FR" w:bidi="fr-FR"/>
        </w:rPr>
        <w:t> </w:t>
      </w:r>
      <w:r>
        <w:rPr>
          <w:rStyle w:val="Appelnotedebasdep"/>
        </w:rPr>
        <w:footnoteReference w:id="1340"/>
      </w:r>
      <w:r w:rsidRPr="007422C9">
        <w:rPr>
          <w:lang w:eastAsia="fr-FR" w:bidi="fr-FR"/>
        </w:rPr>
        <w:t>, ut omnes qui uiderent c</w:t>
      </w:r>
      <w:r w:rsidRPr="007422C9">
        <w:rPr>
          <w:lang w:eastAsia="fr-FR" w:bidi="fr-FR"/>
        </w:rPr>
        <w:t>o</w:t>
      </w:r>
      <w:r w:rsidRPr="007422C9">
        <w:rPr>
          <w:lang w:eastAsia="fr-FR" w:bidi="fr-FR"/>
        </w:rPr>
        <w:t>nuerterentur ad Dominum, et glorificarent seruum suum regem Ea</w:t>
      </w:r>
      <w:r w:rsidRPr="007422C9">
        <w:rPr>
          <w:lang w:eastAsia="fr-FR" w:bidi="fr-FR"/>
        </w:rPr>
        <w:t>d</w:t>
      </w:r>
      <w:r w:rsidRPr="007422C9">
        <w:rPr>
          <w:lang w:eastAsia="fr-FR" w:bidi="fr-FR"/>
        </w:rPr>
        <w:t>wardum.</w:t>
      </w:r>
    </w:p>
    <w:p w14:paraId="40C25D8D" w14:textId="77777777" w:rsidR="00B9662D" w:rsidRDefault="00B9662D" w:rsidP="00B9662D">
      <w:pPr>
        <w:spacing w:before="120" w:after="120"/>
        <w:jc w:val="both"/>
        <w:rPr>
          <w:lang w:eastAsia="fr-FR" w:bidi="fr-FR"/>
        </w:rPr>
      </w:pPr>
    </w:p>
    <w:p w14:paraId="7B8BCB54" w14:textId="77777777" w:rsidR="00B9662D" w:rsidRPr="007422C9" w:rsidRDefault="00B9662D" w:rsidP="00B9662D">
      <w:pPr>
        <w:pStyle w:val="b"/>
      </w:pPr>
      <w:r w:rsidRPr="00E93456">
        <w:rPr>
          <w:lang w:eastAsia="fr-FR" w:bidi="fr-FR"/>
        </w:rPr>
        <w:t>XXVI. De vii cecis ad sepulchrum eius sanatis, quorum ductor unus erat monoculus </w:t>
      </w:r>
      <w:r w:rsidRPr="008760DC">
        <w:rPr>
          <w:rStyle w:val="Appelnotedebasdep"/>
          <w:i w:val="0"/>
        </w:rPr>
        <w:footnoteReference w:id="1341"/>
      </w:r>
      <w:r w:rsidRPr="007422C9">
        <w:rPr>
          <w:lang w:eastAsia="fr-FR" w:bidi="fr-FR"/>
        </w:rPr>
        <w:t>.</w:t>
      </w:r>
    </w:p>
    <w:p w14:paraId="3D043EF1" w14:textId="77777777" w:rsidR="00B9662D" w:rsidRDefault="00B9662D" w:rsidP="00B9662D">
      <w:pPr>
        <w:spacing w:before="120" w:after="120"/>
        <w:jc w:val="both"/>
        <w:rPr>
          <w:lang w:eastAsia="fr-FR" w:bidi="fr-FR"/>
        </w:rPr>
      </w:pPr>
    </w:p>
    <w:p w14:paraId="66EF6CE7" w14:textId="77777777" w:rsidR="00B9662D" w:rsidRPr="007422C9" w:rsidRDefault="00B9662D" w:rsidP="00B9662D">
      <w:pPr>
        <w:spacing w:before="120" w:after="120"/>
        <w:jc w:val="both"/>
      </w:pPr>
      <w:r w:rsidRPr="007422C9">
        <w:rPr>
          <w:lang w:eastAsia="fr-FR" w:bidi="fr-FR"/>
        </w:rPr>
        <w:t>Plurima Rex celestis pro milite suo rege Eadwardo miracula dign</w:t>
      </w:r>
      <w:r w:rsidRPr="007422C9">
        <w:rPr>
          <w:lang w:eastAsia="fr-FR" w:bidi="fr-FR"/>
        </w:rPr>
        <w:t>a</w:t>
      </w:r>
      <w:r w:rsidRPr="007422C9">
        <w:rPr>
          <w:lang w:eastAsia="fr-FR" w:bidi="fr-FR"/>
        </w:rPr>
        <w:t>tus ostendere, taliter iterum post mortem eum precepit sollempniter chorus- care. Venerunt septem debiles et infirmi ad sepulcrum hom</w:t>
      </w:r>
      <w:r w:rsidRPr="007422C9">
        <w:rPr>
          <w:lang w:eastAsia="fr-FR" w:bidi="fr-FR"/>
        </w:rPr>
        <w:t>i</w:t>
      </w:r>
      <w:r w:rsidRPr="007422C9">
        <w:rPr>
          <w:lang w:eastAsia="fr-FR" w:bidi="fr-FR"/>
        </w:rPr>
        <w:t>nis Dei, quibus cecitas diuturna cornes fuerat indiuidua, et temporalis lucis erat claritas denegata. Vnus tamen ex illis supererat, qui, ut ali</w:t>
      </w:r>
      <w:r w:rsidRPr="007422C9">
        <w:rPr>
          <w:lang w:eastAsia="fr-FR" w:bidi="fr-FR"/>
        </w:rPr>
        <w:t>o</w:t>
      </w:r>
      <w:r w:rsidRPr="007422C9">
        <w:rPr>
          <w:lang w:eastAsia="fr-FR" w:bidi="fr-FR"/>
        </w:rPr>
        <w:t>rum ductor existeret, uno tamen ex illis supererat, qui, ut aliorum du</w:t>
      </w:r>
      <w:r w:rsidRPr="007422C9">
        <w:rPr>
          <w:lang w:eastAsia="fr-FR" w:bidi="fr-FR"/>
        </w:rPr>
        <w:t>c</w:t>
      </w:r>
      <w:r w:rsidRPr="007422C9">
        <w:rPr>
          <w:lang w:eastAsia="fr-FR" w:bidi="fr-FR"/>
        </w:rPr>
        <w:t>tor existeret, uno tantum occulo uidebat. In tam densa ergo caligine alter alteri coherebat ex ordine, quos omnes precedebat ille monoc</w:t>
      </w:r>
      <w:r w:rsidRPr="007422C9">
        <w:rPr>
          <w:lang w:eastAsia="fr-FR" w:bidi="fr-FR"/>
        </w:rPr>
        <w:t>u</w:t>
      </w:r>
      <w:r w:rsidRPr="007422C9">
        <w:rPr>
          <w:lang w:eastAsia="fr-FR" w:bidi="fr-FR"/>
        </w:rPr>
        <w:t>lus, tante necessitatis minister ef</w:t>
      </w:r>
      <w:r>
        <w:rPr>
          <w:lang w:eastAsia="fr-FR" w:bidi="fr-FR"/>
        </w:rPr>
        <w:t>f</w:t>
      </w:r>
      <w:r w:rsidRPr="007422C9">
        <w:rPr>
          <w:lang w:eastAsia="fr-FR" w:bidi="fr-FR"/>
        </w:rPr>
        <w:t>ectus. Hi pariter infra primos xxx</w:t>
      </w:r>
      <w:r>
        <w:rPr>
          <w:vertAlign w:val="superscript"/>
          <w:lang w:eastAsia="fr-FR" w:bidi="fr-FR"/>
        </w:rPr>
        <w:t>t </w:t>
      </w:r>
      <w:r>
        <w:rPr>
          <w:rStyle w:val="Appelnotedebasdep"/>
          <w:vertAlign w:val="superscript"/>
          <w:lang w:eastAsia="fr-FR" w:bidi="fr-FR"/>
        </w:rPr>
        <w:footnoteReference w:customMarkFollows="1" w:id="1342"/>
        <w:t>a</w:t>
      </w:r>
      <w:r w:rsidRPr="007422C9">
        <w:rPr>
          <w:lang w:eastAsia="fr-FR" w:bidi="fr-FR"/>
        </w:rPr>
        <w:t xml:space="preserve"> die</w:t>
      </w:r>
      <w:r>
        <w:rPr>
          <w:lang w:eastAsia="fr-FR" w:bidi="fr-FR"/>
        </w:rPr>
        <w:t>s assistunt in ecclesia beati Pe</w:t>
      </w:r>
      <w:r w:rsidRPr="007422C9">
        <w:rPr>
          <w:lang w:eastAsia="fr-FR" w:bidi="fr-FR"/>
        </w:rPr>
        <w:t>tri coram Domino, suaque depromunt uota r</w:t>
      </w:r>
      <w:r>
        <w:rPr>
          <w:lang w:eastAsia="fr-FR" w:bidi="fr-FR"/>
        </w:rPr>
        <w:t>e</w:t>
      </w:r>
      <w:r w:rsidRPr="007422C9">
        <w:rPr>
          <w:lang w:eastAsia="fr-FR" w:bidi="fr-FR"/>
        </w:rPr>
        <w:t>gi glorios</w:t>
      </w:r>
      <w:r>
        <w:rPr>
          <w:lang w:eastAsia="fr-FR" w:bidi="fr-FR"/>
        </w:rPr>
        <w:t>o. « Princeps » inquiunt « Ead</w:t>
      </w:r>
      <w:r w:rsidRPr="007422C9">
        <w:rPr>
          <w:lang w:eastAsia="fr-FR" w:bidi="fr-FR"/>
        </w:rPr>
        <w:t>warde, caliginem ab</w:t>
      </w:r>
      <w:r w:rsidRPr="007422C9">
        <w:rPr>
          <w:lang w:eastAsia="fr-FR" w:bidi="fr-FR"/>
        </w:rPr>
        <w:t>s</w:t>
      </w:r>
      <w:r w:rsidRPr="007422C9">
        <w:rPr>
          <w:lang w:eastAsia="fr-FR" w:bidi="fr-FR"/>
        </w:rPr>
        <w:t>terge cecitatis nostre, et qui t</w:t>
      </w:r>
      <w:r>
        <w:rPr>
          <w:lang w:eastAsia="fr-FR" w:bidi="fr-FR"/>
        </w:rPr>
        <w:t>o</w:t>
      </w:r>
      <w:r w:rsidRPr="007422C9">
        <w:rPr>
          <w:lang w:eastAsia="fr-FR" w:bidi="fr-FR"/>
        </w:rPr>
        <w:t>ôt annis tetre noctis tenebris immersi uix respirauimus, eas te sufïragante dissipatas hodie sentiamus. Esto nobis présidium et dux ante Deum, ut eum glorificare ualeamus in te et in ipso te laudare de collata nobis celitus sosspitate ».</w:t>
      </w:r>
    </w:p>
    <w:p w14:paraId="0A31D375" w14:textId="77777777" w:rsidR="00B9662D" w:rsidRPr="007422C9" w:rsidRDefault="00B9662D" w:rsidP="00B9662D">
      <w:pPr>
        <w:spacing w:before="120" w:after="120"/>
        <w:jc w:val="both"/>
      </w:pPr>
      <w:r>
        <w:t>[1018]</w:t>
      </w:r>
    </w:p>
    <w:p w14:paraId="3489D472" w14:textId="77777777" w:rsidR="00B9662D" w:rsidRPr="007422C9" w:rsidRDefault="00B9662D" w:rsidP="00B9662D">
      <w:pPr>
        <w:spacing w:before="120" w:after="120"/>
        <w:jc w:val="both"/>
      </w:pPr>
      <w:r w:rsidRPr="007422C9">
        <w:rPr>
          <w:lang w:eastAsia="fr-FR" w:bidi="fr-FR"/>
        </w:rPr>
        <w:t>Quibus precordialiter orantibus clementia Dei non defuit, set o</w:t>
      </w:r>
      <w:r w:rsidRPr="007422C9">
        <w:rPr>
          <w:lang w:eastAsia="fr-FR" w:bidi="fr-FR"/>
        </w:rPr>
        <w:t>m</w:t>
      </w:r>
      <w:r w:rsidRPr="007422C9">
        <w:rPr>
          <w:lang w:eastAsia="fr-FR" w:bidi="fr-FR"/>
        </w:rPr>
        <w:t>nes simul a caligine cecitatis absoluit. Qui uero uno conducti oculo uenerant ad Westmonasterium, tresdecim sideribus illustrati sine du</w:t>
      </w:r>
      <w:r w:rsidRPr="007422C9">
        <w:rPr>
          <w:lang w:eastAsia="fr-FR" w:bidi="fr-FR"/>
        </w:rPr>
        <w:t>c</w:t>
      </w:r>
      <w:r w:rsidRPr="007422C9">
        <w:rPr>
          <w:lang w:eastAsia="fr-FR" w:bidi="fr-FR"/>
        </w:rPr>
        <w:t>tore redeunt ad natale solum. Sic choruscat rex insignis Eadwardus post obitum, sicut choruscauit superstes in carne fulgore uirtutum.</w:t>
      </w:r>
    </w:p>
    <w:p w14:paraId="26A7E1F2" w14:textId="77777777" w:rsidR="00B9662D" w:rsidRDefault="00B9662D" w:rsidP="00B9662D">
      <w:pPr>
        <w:spacing w:before="120" w:after="120"/>
        <w:jc w:val="both"/>
        <w:rPr>
          <w:lang w:eastAsia="fr-FR" w:bidi="fr-FR"/>
        </w:rPr>
      </w:pPr>
      <w:r>
        <w:rPr>
          <w:lang w:eastAsia="fr-FR" w:bidi="fr-FR"/>
        </w:rPr>
        <w:br w:type="page"/>
      </w:r>
    </w:p>
    <w:p w14:paraId="1193D42A" w14:textId="77777777" w:rsidR="00B9662D" w:rsidRPr="007422C9" w:rsidRDefault="00B9662D" w:rsidP="00B9662D">
      <w:pPr>
        <w:pStyle w:val="b"/>
      </w:pPr>
      <w:r w:rsidRPr="00E93456">
        <w:rPr>
          <w:lang w:eastAsia="fr-FR" w:bidi="fr-FR"/>
        </w:rPr>
        <w:t>XVIII. De uisione quam quidam abbas uidit, et de mandato quod a rege sancto ad Haroldum accepit </w:t>
      </w:r>
      <w:r w:rsidRPr="008760DC">
        <w:rPr>
          <w:rStyle w:val="Appelnotedebasdep"/>
          <w:i w:val="0"/>
        </w:rPr>
        <w:footnoteReference w:id="1343"/>
      </w:r>
      <w:r w:rsidRPr="007422C9">
        <w:rPr>
          <w:lang w:eastAsia="fr-FR" w:bidi="fr-FR"/>
        </w:rPr>
        <w:t>.</w:t>
      </w:r>
    </w:p>
    <w:p w14:paraId="6F3EFB2A" w14:textId="77777777" w:rsidR="00B9662D" w:rsidRDefault="00B9662D" w:rsidP="00B9662D">
      <w:pPr>
        <w:spacing w:before="120" w:after="120"/>
        <w:jc w:val="both"/>
        <w:rPr>
          <w:lang w:eastAsia="fr-FR" w:bidi="fr-FR"/>
        </w:rPr>
      </w:pPr>
    </w:p>
    <w:p w14:paraId="5E366507" w14:textId="77777777" w:rsidR="00B9662D" w:rsidRPr="007422C9" w:rsidRDefault="00B9662D" w:rsidP="00B9662D">
      <w:pPr>
        <w:spacing w:before="120" w:after="120"/>
        <w:jc w:val="both"/>
      </w:pPr>
      <w:r w:rsidRPr="007422C9">
        <w:rPr>
          <w:lang w:eastAsia="fr-FR" w:bidi="fr-FR"/>
        </w:rPr>
        <w:t>Cum Danorum exercitus in Eboracensi</w:t>
      </w:r>
      <w:r>
        <w:rPr>
          <w:lang w:eastAsia="fr-FR" w:bidi="fr-FR"/>
        </w:rPr>
        <w:t> </w:t>
      </w:r>
      <w:r>
        <w:rPr>
          <w:rStyle w:val="Appelnotedebasdep"/>
          <w:lang w:eastAsia="fr-FR" w:bidi="fr-FR"/>
        </w:rPr>
        <w:footnoteReference w:customMarkFollows="1" w:id="1344"/>
        <w:t>a</w:t>
      </w:r>
      <w:r w:rsidRPr="007422C9">
        <w:rPr>
          <w:lang w:eastAsia="fr-FR" w:bidi="fr-FR"/>
        </w:rPr>
        <w:t xml:space="preserve"> prouincia infinita classe uallata applicuisset ad portum, et fines contiguos deuastarent host</w:t>
      </w:r>
      <w:r w:rsidRPr="007422C9">
        <w:rPr>
          <w:lang w:eastAsia="fr-FR" w:bidi="fr-FR"/>
        </w:rPr>
        <w:t>i</w:t>
      </w:r>
      <w:r w:rsidRPr="007422C9">
        <w:rPr>
          <w:lang w:eastAsia="fr-FR" w:bidi="fr-FR"/>
        </w:rPr>
        <w:t>lium agmina cuneorum, subuenire Deus fidelibus suis per sanctum regem uoluit Eadwardum. Apparuit autem cuidam</w:t>
      </w:r>
      <w:r>
        <w:rPr>
          <w:lang w:eastAsia="fr-FR" w:bidi="fr-FR"/>
        </w:rPr>
        <w:t> </w:t>
      </w:r>
      <w:r>
        <w:rPr>
          <w:rStyle w:val="Appelnotedebasdep"/>
          <w:lang w:eastAsia="fr-FR" w:bidi="fr-FR"/>
        </w:rPr>
        <w:footnoteReference w:customMarkFollows="1" w:id="1345"/>
        <w:t>b</w:t>
      </w:r>
      <w:r w:rsidRPr="007422C9">
        <w:rPr>
          <w:lang w:eastAsia="fr-FR" w:bidi="fr-FR"/>
        </w:rPr>
        <w:t xml:space="preserve"> abbati religionis et fam</w:t>
      </w:r>
      <w:r>
        <w:rPr>
          <w:lang w:eastAsia="fr-FR" w:bidi="fr-FR"/>
        </w:rPr>
        <w:t>e</w:t>
      </w:r>
      <w:r w:rsidRPr="007422C9">
        <w:rPr>
          <w:lang w:eastAsia="fr-FR" w:bidi="fr-FR"/>
        </w:rPr>
        <w:t xml:space="preserve"> Ramesiensis cenobii Alsino nomine</w:t>
      </w:r>
      <w:r>
        <w:rPr>
          <w:lang w:eastAsia="fr-FR" w:bidi="fr-FR"/>
        </w:rPr>
        <w:t> </w:t>
      </w:r>
      <w:r>
        <w:rPr>
          <w:rStyle w:val="Appelnotedebasdep"/>
        </w:rPr>
        <w:footnoteReference w:id="1346"/>
      </w:r>
      <w:r w:rsidRPr="007422C9">
        <w:rPr>
          <w:lang w:eastAsia="fr-FR" w:bidi="fr-FR"/>
        </w:rPr>
        <w:t>, et eum in somnis all</w:t>
      </w:r>
      <w:r w:rsidRPr="007422C9">
        <w:rPr>
          <w:lang w:eastAsia="fr-FR" w:bidi="fr-FR"/>
        </w:rPr>
        <w:t>o</w:t>
      </w:r>
      <w:r w:rsidRPr="007422C9">
        <w:rPr>
          <w:lang w:eastAsia="fr-FR" w:bidi="fr-FR"/>
        </w:rPr>
        <w:t>cutus est hac imperii maiestate : « Vade » inquit « ualde diluculo ad H</w:t>
      </w:r>
      <w:r w:rsidRPr="007422C9">
        <w:rPr>
          <w:lang w:eastAsia="fr-FR" w:bidi="fr-FR"/>
        </w:rPr>
        <w:t>a</w:t>
      </w:r>
      <w:r w:rsidRPr="007422C9">
        <w:rPr>
          <w:lang w:eastAsia="fr-FR" w:bidi="fr-FR"/>
        </w:rPr>
        <w:t>roldum, et die ei ut contra iminentem exercitum festinet ad prelium. Ego enim in fugam eos conuertam, et uisitabo per me captiuitatem uestram. Infinita plebs uero uobis in auxilium occurret ab Austro, ho</w:t>
      </w:r>
      <w:r w:rsidRPr="007422C9">
        <w:rPr>
          <w:lang w:eastAsia="fr-FR" w:bidi="fr-FR"/>
        </w:rPr>
        <w:t>s</w:t>
      </w:r>
      <w:r w:rsidRPr="007422C9">
        <w:rPr>
          <w:lang w:eastAsia="fr-FR" w:bidi="fr-FR"/>
        </w:rPr>
        <w:t>tesque facillime poteritis opprimere, qui uos sue tirannidi conantur subiugare. Hoc ei indicium notetur in signum, quod nocte preterita femoris depressus laborauit molestia, nuneque aliquantulum conualuit sospitate donatus innouata ; et dum eum torqueret anxietas egritudinis confiteri noluit dolorem languoris ; metuebat namque ne uel minus appreciaretur a suis uel leuius timeretur ab alienis, si eis causam se manifestaret inualitudinis. Nunc itaque de Dei adiutorio certus et de me confisus secure contra Aquilonalium regem Haroldum pulcra u</w:t>
      </w:r>
      <w:r w:rsidRPr="007422C9">
        <w:rPr>
          <w:lang w:eastAsia="fr-FR" w:bidi="fr-FR"/>
        </w:rPr>
        <w:t>e</w:t>
      </w:r>
      <w:r w:rsidRPr="007422C9">
        <w:rPr>
          <w:lang w:eastAsia="fr-FR" w:bidi="fr-FR"/>
        </w:rPr>
        <w:t>nustate crinitum exeat ad bellum, et precedentibus aquilis reportabit hoste prostrato triumphum. Spolia etiam referet infinita, gaudebitque de preda suis per uiolentiam predatoribus extorta. » Agnomine uoc</w:t>
      </w:r>
      <w:r w:rsidRPr="007422C9">
        <w:rPr>
          <w:lang w:eastAsia="fr-FR" w:bidi="fr-FR"/>
        </w:rPr>
        <w:t>a</w:t>
      </w:r>
      <w:r w:rsidRPr="007422C9">
        <w:rPr>
          <w:lang w:eastAsia="fr-FR" w:bidi="fr-FR"/>
        </w:rPr>
        <w:t>batur lingua Danica rex eorum predictus Haroldus « pulcre crin</w:t>
      </w:r>
      <w:r w:rsidRPr="007422C9">
        <w:rPr>
          <w:lang w:eastAsia="fr-FR" w:bidi="fr-FR"/>
        </w:rPr>
        <w:t>i</w:t>
      </w:r>
      <w:r w:rsidRPr="007422C9">
        <w:rPr>
          <w:lang w:eastAsia="fr-FR" w:bidi="fr-FR"/>
        </w:rPr>
        <w:t>tus »</w:t>
      </w:r>
      <w:r>
        <w:rPr>
          <w:lang w:eastAsia="fr-FR" w:bidi="fr-FR"/>
        </w:rPr>
        <w:t> </w:t>
      </w:r>
      <w:r>
        <w:rPr>
          <w:rStyle w:val="Appelnotedebasdep"/>
        </w:rPr>
        <w:footnoteReference w:id="1347"/>
      </w:r>
      <w:r w:rsidRPr="007422C9">
        <w:rPr>
          <w:lang w:eastAsia="fr-FR" w:bidi="fr-FR"/>
        </w:rPr>
        <w:t>. Erat quidem ea tempestate in eadem regione prefatus abbas cum Anglorum rege, qui, cum rex Eadwardus eum uisionis huius el</w:t>
      </w:r>
      <w:r w:rsidRPr="007422C9">
        <w:rPr>
          <w:lang w:eastAsia="fr-FR" w:bidi="fr-FR"/>
        </w:rPr>
        <w:t>e</w:t>
      </w:r>
      <w:r w:rsidRPr="007422C9">
        <w:rPr>
          <w:lang w:eastAsia="fr-FR" w:bidi="fr-FR"/>
        </w:rPr>
        <w:t>gisset prenuntium, euentum belli prestolabat incertum. Egit abbas ergo quod ei imperatum fuerat in somnio ; et quicquit per hune Haroldo</w:t>
      </w:r>
      <w:r>
        <w:rPr>
          <w:lang w:eastAsia="fr-FR" w:bidi="fr-FR"/>
        </w:rPr>
        <w:t> </w:t>
      </w:r>
      <w:r>
        <w:rPr>
          <w:rStyle w:val="Appelnotedebasdep"/>
          <w:lang w:eastAsia="fr-FR" w:bidi="fr-FR"/>
        </w:rPr>
        <w:footnoteReference w:customMarkFollows="1" w:id="1348"/>
        <w:t>c</w:t>
      </w:r>
      <w:r w:rsidRPr="007422C9">
        <w:rPr>
          <w:lang w:eastAsia="fr-FR" w:bidi="fr-FR"/>
        </w:rPr>
        <w:t xml:space="preserve"> prouenerat in mandatum Haroldus uiriliter traxit ad efïectum. Irruit ergo rex in regem repente, copioso constipatus milite, et tiranno tira</w:t>
      </w:r>
      <w:r w:rsidRPr="007422C9">
        <w:rPr>
          <w:lang w:eastAsia="fr-FR" w:bidi="fr-FR"/>
        </w:rPr>
        <w:t>n</w:t>
      </w:r>
      <w:r w:rsidRPr="007422C9">
        <w:rPr>
          <w:lang w:eastAsia="fr-FR" w:bidi="fr-FR"/>
        </w:rPr>
        <w:t>nus occursat</w:t>
      </w:r>
      <w:r>
        <w:rPr>
          <w:lang w:eastAsia="fr-FR" w:bidi="fr-FR"/>
        </w:rPr>
        <w:t> </w:t>
      </w:r>
      <w:r>
        <w:rPr>
          <w:rStyle w:val="Appelnotedebasdep"/>
          <w:lang w:eastAsia="fr-FR" w:bidi="fr-FR"/>
        </w:rPr>
        <w:footnoteReference w:customMarkFollows="1" w:id="1349"/>
        <w:t>d</w:t>
      </w:r>
      <w:r w:rsidRPr="007422C9">
        <w:rPr>
          <w:lang w:eastAsia="fr-FR" w:bidi="fr-FR"/>
        </w:rPr>
        <w:t xml:space="preserve"> in manu ualida militaris armature, quique ab australibus Anglie finibus ad Aquilonem uenerant, aquiloni rege peremto et pro</w:t>
      </w:r>
      <w:r w:rsidRPr="007422C9">
        <w:rPr>
          <w:lang w:eastAsia="fr-FR" w:bidi="fr-FR"/>
        </w:rPr>
        <w:t>s</w:t>
      </w:r>
      <w:r w:rsidRPr="007422C9">
        <w:rPr>
          <w:lang w:eastAsia="fr-FR" w:bidi="fr-FR"/>
        </w:rPr>
        <w:t>tratis hostibus trophea reportant. Sic uictor triumphat efïectus, qui paucis post diebus occubuit uictus, et qui</w:t>
      </w:r>
      <w:r>
        <w:t xml:space="preserve"> [1019] </w:t>
      </w:r>
      <w:r w:rsidRPr="007422C9">
        <w:rPr>
          <w:lang w:eastAsia="fr-FR" w:bidi="fr-FR"/>
        </w:rPr>
        <w:t>eos uicit qui contra iusticiam Dei inmerito in regnum irruerant alienum, eum iuste oppre</w:t>
      </w:r>
      <w:r w:rsidRPr="007422C9">
        <w:rPr>
          <w:lang w:eastAsia="fr-FR" w:bidi="fr-FR"/>
        </w:rPr>
        <w:t>s</w:t>
      </w:r>
      <w:r w:rsidRPr="007422C9">
        <w:rPr>
          <w:lang w:eastAsia="fr-FR" w:bidi="fr-FR"/>
        </w:rPr>
        <w:t>sit periurium quod Willelmo fecerat duci Normannorum. Patet profe</w:t>
      </w:r>
      <w:r w:rsidRPr="007422C9">
        <w:rPr>
          <w:lang w:eastAsia="fr-FR" w:bidi="fr-FR"/>
        </w:rPr>
        <w:t>c</w:t>
      </w:r>
      <w:r w:rsidRPr="007422C9">
        <w:rPr>
          <w:lang w:eastAsia="fr-FR" w:bidi="fr-FR"/>
        </w:rPr>
        <w:t>to in huiusmodi auctoritatis exemplo quod tirannus iste, sicut Achab, dum contra uoluntatem Dei pergeret ad pugnam perniciosam, Dei i</w:t>
      </w:r>
      <w:r w:rsidRPr="007422C9">
        <w:rPr>
          <w:lang w:eastAsia="fr-FR" w:bidi="fr-FR"/>
        </w:rPr>
        <w:t>u</w:t>
      </w:r>
      <w:r w:rsidRPr="007422C9">
        <w:rPr>
          <w:lang w:eastAsia="fr-FR" w:bidi="fr-FR"/>
        </w:rPr>
        <w:t>dicio non potuit euitare ruinam. In eo enim ei successit uictoria ubi pro patrie libertate non iniuste pugnauit ; et cum deuio errore exorbit</w:t>
      </w:r>
      <w:r w:rsidRPr="007422C9">
        <w:rPr>
          <w:lang w:eastAsia="fr-FR" w:bidi="fr-FR"/>
        </w:rPr>
        <w:t>a</w:t>
      </w:r>
      <w:r w:rsidRPr="007422C9">
        <w:rPr>
          <w:lang w:eastAsia="fr-FR" w:bidi="fr-FR"/>
        </w:rPr>
        <w:t>ret a iusticia, iuste peremtus rex iniustus o</w:t>
      </w:r>
      <w:r w:rsidRPr="007422C9">
        <w:rPr>
          <w:lang w:eastAsia="fr-FR" w:bidi="fr-FR"/>
        </w:rPr>
        <w:t>c</w:t>
      </w:r>
      <w:r w:rsidRPr="007422C9">
        <w:rPr>
          <w:lang w:eastAsia="fr-FR" w:bidi="fr-FR"/>
        </w:rPr>
        <w:t>cubuit.</w:t>
      </w:r>
    </w:p>
    <w:p w14:paraId="67CEB799" w14:textId="77777777" w:rsidR="00B9662D" w:rsidRDefault="00B9662D" w:rsidP="00B9662D">
      <w:pPr>
        <w:spacing w:before="120" w:after="120"/>
        <w:jc w:val="both"/>
        <w:rPr>
          <w:lang w:eastAsia="fr-FR" w:bidi="fr-FR"/>
        </w:rPr>
      </w:pPr>
    </w:p>
    <w:p w14:paraId="006664AB" w14:textId="77777777" w:rsidR="00B9662D" w:rsidRPr="007422C9" w:rsidRDefault="00B9662D" w:rsidP="00B9662D">
      <w:pPr>
        <w:pStyle w:val="b"/>
      </w:pPr>
      <w:r w:rsidRPr="00B5475E">
        <w:rPr>
          <w:lang w:eastAsia="fr-FR" w:bidi="fr-FR"/>
        </w:rPr>
        <w:t>XXVIII. Quomodo Ea</w:t>
      </w:r>
      <w:r>
        <w:rPr>
          <w:lang w:eastAsia="fr-FR" w:bidi="fr-FR"/>
        </w:rPr>
        <w:t>dwardus rex beatus de sepulchro</w:t>
      </w:r>
      <w:r>
        <w:rPr>
          <w:lang w:eastAsia="fr-FR" w:bidi="fr-FR"/>
        </w:rPr>
        <w:br/>
      </w:r>
      <w:r w:rsidRPr="00B5475E">
        <w:rPr>
          <w:lang w:eastAsia="fr-FR" w:bidi="fr-FR"/>
        </w:rPr>
        <w:t>suo u</w:t>
      </w:r>
      <w:r w:rsidRPr="00B5475E">
        <w:rPr>
          <w:lang w:eastAsia="fr-FR" w:bidi="fr-FR"/>
        </w:rPr>
        <w:t>i</w:t>
      </w:r>
      <w:r w:rsidRPr="00B5475E">
        <w:rPr>
          <w:lang w:eastAsia="fr-FR" w:bidi="fr-FR"/>
        </w:rPr>
        <w:t>sus est exire, et quomodo cecus cepit videre </w:t>
      </w:r>
      <w:r w:rsidRPr="008760DC">
        <w:rPr>
          <w:rStyle w:val="Appelnotedebasdep"/>
          <w:i w:val="0"/>
        </w:rPr>
        <w:footnoteReference w:id="1350"/>
      </w:r>
      <w:r w:rsidRPr="007422C9">
        <w:rPr>
          <w:lang w:eastAsia="fr-FR" w:bidi="fr-FR"/>
        </w:rPr>
        <w:t>.</w:t>
      </w:r>
    </w:p>
    <w:p w14:paraId="73309FCD" w14:textId="77777777" w:rsidR="00B9662D" w:rsidRDefault="00B9662D" w:rsidP="00B9662D">
      <w:pPr>
        <w:spacing w:before="120" w:after="120"/>
        <w:jc w:val="both"/>
        <w:rPr>
          <w:lang w:eastAsia="fr-FR" w:bidi="fr-FR"/>
        </w:rPr>
      </w:pPr>
    </w:p>
    <w:p w14:paraId="2B6F77B5" w14:textId="77777777" w:rsidR="00B9662D" w:rsidRPr="007422C9" w:rsidRDefault="00B9662D" w:rsidP="00B9662D">
      <w:pPr>
        <w:spacing w:before="120" w:after="120"/>
        <w:jc w:val="both"/>
      </w:pPr>
      <w:r w:rsidRPr="007422C9">
        <w:rPr>
          <w:lang w:eastAsia="fr-FR" w:bidi="fr-FR"/>
        </w:rPr>
        <w:t>Respicit Dominus nécessitâtes afïlictorum secundum opéra merito- rum, et qui pacem diligunt et seruant innocentiam celestem freque</w:t>
      </w:r>
      <w:r w:rsidRPr="007422C9">
        <w:rPr>
          <w:lang w:eastAsia="fr-FR" w:bidi="fr-FR"/>
        </w:rPr>
        <w:t>n</w:t>
      </w:r>
      <w:r w:rsidRPr="007422C9">
        <w:rPr>
          <w:lang w:eastAsia="fr-FR" w:bidi="fr-FR"/>
        </w:rPr>
        <w:t xml:space="preserve">tius experiuntur medicinam. Erat namque in prefato beati </w:t>
      </w:r>
      <w:r>
        <w:rPr>
          <w:lang w:eastAsia="fr-FR" w:bidi="fr-FR"/>
        </w:rPr>
        <w:t>Petri</w:t>
      </w:r>
      <w:r w:rsidRPr="007422C9">
        <w:rPr>
          <w:lang w:eastAsia="fr-FR" w:bidi="fr-FR"/>
        </w:rPr>
        <w:t xml:space="preserve"> mona</w:t>
      </w:r>
      <w:r w:rsidRPr="007422C9">
        <w:rPr>
          <w:lang w:eastAsia="fr-FR" w:bidi="fr-FR"/>
        </w:rPr>
        <w:t>s</w:t>
      </w:r>
      <w:r w:rsidRPr="007422C9">
        <w:rPr>
          <w:lang w:eastAsia="fr-FR" w:bidi="fr-FR"/>
        </w:rPr>
        <w:t>terio quidam iuuenis forme precellentis qui lumen oculorum penitus amiserat, nec alicuius glorie claritate radiabat ; qui tali fuerat deput</w:t>
      </w:r>
      <w:r w:rsidRPr="007422C9">
        <w:rPr>
          <w:lang w:eastAsia="fr-FR" w:bidi="fr-FR"/>
        </w:rPr>
        <w:t>a</w:t>
      </w:r>
      <w:r w:rsidRPr="007422C9">
        <w:rPr>
          <w:lang w:eastAsia="fr-FR" w:bidi="fr-FR"/>
        </w:rPr>
        <w:t>tus ofïicio ut campanarum cordas ipse traheret, horasque diurnas ti</w:t>
      </w:r>
      <w:r w:rsidRPr="007422C9">
        <w:rPr>
          <w:lang w:eastAsia="fr-FR" w:bidi="fr-FR"/>
        </w:rPr>
        <w:t>n</w:t>
      </w:r>
      <w:r w:rsidRPr="007422C9">
        <w:rPr>
          <w:lang w:eastAsia="fr-FR" w:bidi="fr-FR"/>
        </w:rPr>
        <w:t>tinnentibus cimbalis ipse terminaret. Accidit aliquando estiuo temp</w:t>
      </w:r>
      <w:r w:rsidRPr="007422C9">
        <w:rPr>
          <w:lang w:eastAsia="fr-FR" w:bidi="fr-FR"/>
        </w:rPr>
        <w:t>o</w:t>
      </w:r>
      <w:r w:rsidRPr="007422C9">
        <w:rPr>
          <w:lang w:eastAsia="fr-FR" w:bidi="fr-FR"/>
        </w:rPr>
        <w:t xml:space="preserve">re, dum requiesceret in stratu, meridie aspexit per somnium exire de </w:t>
      </w:r>
      <w:r w:rsidRPr="00B5475E">
        <w:rPr>
          <w:lang w:eastAsia="fr-FR" w:bidi="fr-FR"/>
        </w:rPr>
        <w:t>sepulcro</w:t>
      </w:r>
      <w:r>
        <w:rPr>
          <w:lang w:eastAsia="fr-FR" w:bidi="fr-FR"/>
        </w:rPr>
        <w:t> </w:t>
      </w:r>
      <w:r>
        <w:rPr>
          <w:rStyle w:val="Appelnotedebasdep"/>
          <w:lang w:eastAsia="fr-FR" w:bidi="fr-FR"/>
        </w:rPr>
        <w:footnoteReference w:customMarkFollows="1" w:id="1351"/>
        <w:t>a</w:t>
      </w:r>
      <w:r w:rsidRPr="007422C9">
        <w:rPr>
          <w:lang w:eastAsia="fr-FR" w:bidi="fr-FR"/>
        </w:rPr>
        <w:t xml:space="preserve"> suo sanctum regem Eadwardum et ei huiusmodi delegare imperium : « Arripe » inquit « signum et métallo sonante terminetur orologium, quia hora iam nona diurne lucis ofïicium postulat et ord</w:t>
      </w:r>
      <w:r w:rsidRPr="007422C9">
        <w:rPr>
          <w:lang w:eastAsia="fr-FR" w:bidi="fr-FR"/>
        </w:rPr>
        <w:t>i</w:t>
      </w:r>
      <w:r w:rsidRPr="007422C9">
        <w:rPr>
          <w:lang w:eastAsia="fr-FR" w:bidi="fr-FR"/>
        </w:rPr>
        <w:t>nis ratio fratres ut exurgant a stratis uocat. » Cum uero hec audisset, uidit ad maius altare coronatum regem procedere, pariterque et seni</w:t>
      </w:r>
      <w:r w:rsidRPr="007422C9">
        <w:rPr>
          <w:lang w:eastAsia="fr-FR" w:bidi="fr-FR"/>
        </w:rPr>
        <w:t>o</w:t>
      </w:r>
      <w:r w:rsidRPr="007422C9">
        <w:rPr>
          <w:lang w:eastAsia="fr-FR" w:bidi="fr-FR"/>
        </w:rPr>
        <w:t>ris ei uisio disparuit, et ipse eodem momento expergefactus surrexit. Manifestauit autem conditor lucis euidentibus indibiis quod uera fu</w:t>
      </w:r>
      <w:r w:rsidRPr="007422C9">
        <w:rPr>
          <w:lang w:eastAsia="fr-FR" w:bidi="fr-FR"/>
        </w:rPr>
        <w:t>e</w:t>
      </w:r>
      <w:r w:rsidRPr="007422C9">
        <w:rPr>
          <w:lang w:eastAsia="fr-FR" w:bidi="fr-FR"/>
        </w:rPr>
        <w:t>rint tam gloriosa</w:t>
      </w:r>
      <w:r>
        <w:rPr>
          <w:lang w:eastAsia="fr-FR" w:bidi="fr-FR"/>
        </w:rPr>
        <w:t> </w:t>
      </w:r>
      <w:r>
        <w:rPr>
          <w:rStyle w:val="Appelnotedebasdep"/>
          <w:lang w:eastAsia="fr-FR" w:bidi="fr-FR"/>
        </w:rPr>
        <w:footnoteReference w:customMarkFollows="1" w:id="1352"/>
        <w:t>b</w:t>
      </w:r>
      <w:r w:rsidRPr="007422C9">
        <w:rPr>
          <w:lang w:eastAsia="fr-FR" w:bidi="fr-FR"/>
        </w:rPr>
        <w:t xml:space="preserve"> argumenta, quia ex ilia hora et deinceps utriusque syderis orbati recepit ofïicium, et usque ad finem uite amborum lum</w:t>
      </w:r>
      <w:r w:rsidRPr="007422C9">
        <w:rPr>
          <w:lang w:eastAsia="fr-FR" w:bidi="fr-FR"/>
        </w:rPr>
        <w:t>i</w:t>
      </w:r>
      <w:r w:rsidRPr="007422C9">
        <w:rPr>
          <w:lang w:eastAsia="fr-FR" w:bidi="fr-FR"/>
        </w:rPr>
        <w:t>ne donatus est oculorum. Sic oritur in tenebris lumen corde rectis, sic misericordiam suam Dominus operatur in sanctis qui uespere et mane in eius obsequio uigilant et ad postes ostii sapientie Dei et uirtutis o</w:t>
      </w:r>
      <w:r w:rsidRPr="007422C9">
        <w:rPr>
          <w:lang w:eastAsia="fr-FR" w:bidi="fr-FR"/>
        </w:rPr>
        <w:t>b</w:t>
      </w:r>
      <w:r w:rsidRPr="007422C9">
        <w:rPr>
          <w:lang w:eastAsia="fr-FR" w:bidi="fr-FR"/>
        </w:rPr>
        <w:t>seruant</w:t>
      </w:r>
      <w:r>
        <w:rPr>
          <w:lang w:eastAsia="fr-FR" w:bidi="fr-FR"/>
        </w:rPr>
        <w:t> </w:t>
      </w:r>
      <w:r>
        <w:rPr>
          <w:rStyle w:val="Appelnotedebasdep"/>
        </w:rPr>
        <w:footnoteReference w:id="1353"/>
      </w:r>
      <w:r w:rsidRPr="007422C9">
        <w:rPr>
          <w:lang w:eastAsia="fr-FR" w:bidi="fr-FR"/>
        </w:rPr>
        <w:t>.</w:t>
      </w:r>
    </w:p>
    <w:p w14:paraId="6E5022C2" w14:textId="77777777" w:rsidR="00B9662D" w:rsidRDefault="00B9662D" w:rsidP="00B9662D">
      <w:pPr>
        <w:spacing w:before="120" w:after="120"/>
        <w:jc w:val="both"/>
        <w:rPr>
          <w:lang w:eastAsia="fr-FR" w:bidi="fr-FR"/>
        </w:rPr>
      </w:pPr>
    </w:p>
    <w:p w14:paraId="13525BAC" w14:textId="77777777" w:rsidR="00B9662D" w:rsidRPr="00B5475E" w:rsidRDefault="00B9662D" w:rsidP="00B9662D">
      <w:pPr>
        <w:pStyle w:val="b"/>
      </w:pPr>
      <w:r w:rsidRPr="00B5475E">
        <w:rPr>
          <w:lang w:eastAsia="fr-FR" w:bidi="fr-FR"/>
        </w:rPr>
        <w:t>XXIX. De prerogatiua dignitatis beati regis Eadwardi et sancti Wlstani Wigornensis episcopi.</w:t>
      </w:r>
    </w:p>
    <w:p w14:paraId="59939E3D" w14:textId="77777777" w:rsidR="00B9662D" w:rsidRDefault="00B9662D" w:rsidP="00B9662D">
      <w:pPr>
        <w:spacing w:before="120" w:after="120"/>
        <w:jc w:val="both"/>
        <w:rPr>
          <w:lang w:eastAsia="fr-FR" w:bidi="fr-FR"/>
        </w:rPr>
      </w:pPr>
    </w:p>
    <w:p w14:paraId="0F2A7250" w14:textId="77777777" w:rsidR="00B9662D" w:rsidRPr="007422C9" w:rsidRDefault="00B9662D" w:rsidP="00B9662D">
      <w:pPr>
        <w:spacing w:before="120" w:after="120"/>
        <w:jc w:val="both"/>
      </w:pPr>
      <w:r w:rsidRPr="007422C9">
        <w:rPr>
          <w:lang w:eastAsia="fr-FR" w:bidi="fr-FR"/>
        </w:rPr>
        <w:t xml:space="preserve">Referre scienter iuuat quod </w:t>
      </w:r>
      <w:r>
        <w:rPr>
          <w:lang w:eastAsia="fr-FR" w:bidi="fr-FR"/>
        </w:rPr>
        <w:t>prudentes uiros audire non pigea</w:t>
      </w:r>
      <w:r w:rsidRPr="007422C9">
        <w:rPr>
          <w:lang w:eastAsia="fr-FR" w:bidi="fr-FR"/>
        </w:rPr>
        <w:t>t, quomodo uir idoneus, opérante Domino, princeps Eadwardus mode</w:t>
      </w:r>
      <w:r w:rsidRPr="007422C9">
        <w:rPr>
          <w:lang w:eastAsia="fr-FR" w:bidi="fr-FR"/>
        </w:rPr>
        <w:t>r</w:t>
      </w:r>
      <w:r w:rsidRPr="007422C9">
        <w:rPr>
          <w:lang w:eastAsia="fr-FR" w:bidi="fr-FR"/>
        </w:rPr>
        <w:t>no nobis tempore ostendit m</w:t>
      </w:r>
      <w:r>
        <w:rPr>
          <w:lang w:eastAsia="fr-FR" w:bidi="fr-FR"/>
        </w:rPr>
        <w:t>e</w:t>
      </w:r>
      <w:r w:rsidRPr="007422C9">
        <w:rPr>
          <w:lang w:eastAsia="fr-FR" w:bidi="fr-FR"/>
        </w:rPr>
        <w:t>rita sanctitatis sue. Accidit ergo gracia Dei largiente quod narro, ad quod auditum studiosius quisque fidelis adhibeat et de eius glorificatione uberius gratuletur. Postquam triu</w:t>
      </w:r>
      <w:r w:rsidRPr="007422C9">
        <w:rPr>
          <w:lang w:eastAsia="fr-FR" w:bidi="fr-FR"/>
        </w:rPr>
        <w:t>m</w:t>
      </w:r>
      <w:r w:rsidRPr="007422C9">
        <w:rPr>
          <w:lang w:eastAsia="fr-FR" w:bidi="fr-FR"/>
        </w:rPr>
        <w:t>phator rex orbis britannici Willelmus peruagatam suis uiribus A</w:t>
      </w:r>
      <w:r w:rsidRPr="007422C9">
        <w:rPr>
          <w:lang w:eastAsia="fr-FR" w:bidi="fr-FR"/>
        </w:rPr>
        <w:t>n</w:t>
      </w:r>
      <w:r w:rsidRPr="007422C9">
        <w:rPr>
          <w:lang w:eastAsia="fr-FR" w:bidi="fr-FR"/>
        </w:rPr>
        <w:t>gliam subdidit, scientie totius armarium usque redundans secularium litterarum, uocante Domino, in summo regni sacerdotio prefecit La</w:t>
      </w:r>
      <w:r w:rsidRPr="007422C9">
        <w:rPr>
          <w:lang w:eastAsia="fr-FR" w:bidi="fr-FR"/>
        </w:rPr>
        <w:t>n</w:t>
      </w:r>
      <w:r w:rsidRPr="007422C9">
        <w:rPr>
          <w:lang w:eastAsia="fr-FR" w:bidi="fr-FR"/>
        </w:rPr>
        <w:t>drancum. Hic apud</w:t>
      </w:r>
      <w:r w:rsidR="00287BD5" w:rsidRPr="007422C9">
        <w:rPr>
          <w:noProof/>
          <w:lang w:bidi="fr-FR"/>
        </w:rPr>
        <mc:AlternateContent>
          <mc:Choice Requires="wps">
            <w:drawing>
              <wp:anchor distT="0" distB="0" distL="63500" distR="63500" simplePos="0" relativeHeight="251658752" behindDoc="1" locked="0" layoutInCell="1" allowOverlap="1" wp14:anchorId="48DEDB1B" wp14:editId="288865D0">
                <wp:simplePos x="0" y="0"/>
                <wp:positionH relativeFrom="margin">
                  <wp:posOffset>4542790</wp:posOffset>
                </wp:positionH>
                <wp:positionV relativeFrom="paragraph">
                  <wp:posOffset>7922895</wp:posOffset>
                </wp:positionV>
                <wp:extent cx="133985" cy="266700"/>
                <wp:effectExtent l="0" t="0" r="0" b="0"/>
                <wp:wrapSquare wrapText="bothSides"/>
                <wp:docPr id="139762982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398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861CAB" w14:textId="77777777" w:rsidR="00B9662D" w:rsidRDefault="00B9662D" w:rsidP="00B9662D">
                            <w:pPr>
                              <w:spacing w:line="210" w:lineRule="exact"/>
                            </w:pPr>
                            <w:r>
                              <w:rPr>
                                <w:color w:val="000000"/>
                                <w:lang w:val="fr-FR" w:eastAsia="fr-FR" w:bidi="fr-FR"/>
                              </w:rPr>
                              <w:t>«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DEDB1B" id="Text Box 8" o:spid="_x0000_s1028" type="#_x0000_t202" style="position:absolute;left:0;text-align:left;margin-left:357.7pt;margin-top:623.85pt;width:10.55pt;height:21pt;z-index:-2516577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" filled="f" stroked="f">
                <v:path arrowok="t"/>
                <v:textbox style="mso-fit-shape-to-text:t" inset="0,0,0,0">
                  <w:txbxContent>
                    <w:p w14:paraId="23861CAB" w14:textId="77777777" w:rsidR="00B9662D" w:rsidRDefault="00B9662D" w:rsidP="00B9662D">
                      <w:pPr>
                        <w:spacing w:line="210" w:lineRule="exact"/>
                      </w:pPr>
                      <w:r>
                        <w:rPr>
                          <w:color w:val="000000"/>
                          <w:lang w:val="fr-FR" w:eastAsia="fr-FR" w:bidi="fr-FR"/>
                        </w:rPr>
                        <w:t>« </w:t>
                      </w:r>
                    </w:p>
                  </w:txbxContent>
                </v:textbox>
                <w10:wrap type="square" anchorx="margin"/>
              </v:shape>
            </w:pict>
          </mc:Fallback>
        </mc:AlternateContent>
      </w:r>
      <w:r>
        <w:t xml:space="preserve"> [1020] </w:t>
      </w:r>
      <w:r w:rsidRPr="007422C9">
        <w:rPr>
          <w:lang w:eastAsia="fr-FR" w:bidi="fr-FR"/>
        </w:rPr>
        <w:t>Westmonasterium regali concili</w:t>
      </w:r>
      <w:r>
        <w:rPr>
          <w:lang w:eastAsia="fr-FR" w:bidi="fr-FR"/>
        </w:rPr>
        <w:t>o</w:t>
      </w:r>
      <w:r w:rsidRPr="007422C9">
        <w:rPr>
          <w:lang w:eastAsia="fr-FR" w:bidi="fr-FR"/>
        </w:rPr>
        <w:t xml:space="preserve"> prefuit, in quo romani pontificis aucto- ritate canonica de ecclesiasticis negotiis multa tractauit. Inter cetera uero quibus uulgariter principatus est sue primitiue moderationis instituta, sanctum Domini uirum Wigorne</w:t>
      </w:r>
      <w:r w:rsidRPr="007422C9">
        <w:rPr>
          <w:lang w:eastAsia="fr-FR" w:bidi="fr-FR"/>
        </w:rPr>
        <w:t>n</w:t>
      </w:r>
      <w:r w:rsidRPr="007422C9">
        <w:rPr>
          <w:lang w:eastAsia="fr-FR" w:bidi="fr-FR"/>
        </w:rPr>
        <w:t>sem</w:t>
      </w:r>
      <w:r>
        <w:rPr>
          <w:lang w:eastAsia="fr-FR" w:bidi="fr-FR"/>
        </w:rPr>
        <w:t> </w:t>
      </w:r>
      <w:r>
        <w:rPr>
          <w:rStyle w:val="Appelnotedebasdep"/>
          <w:lang w:eastAsia="fr-FR" w:bidi="fr-FR"/>
        </w:rPr>
        <w:footnoteReference w:customMarkFollows="1" w:id="1354"/>
        <w:t>a</w:t>
      </w:r>
      <w:r w:rsidRPr="007422C9">
        <w:rPr>
          <w:lang w:eastAsia="fr-FR" w:bidi="fr-FR"/>
        </w:rPr>
        <w:t xml:space="preserve"> episcopum Wlst</w:t>
      </w:r>
      <w:r w:rsidRPr="007422C9">
        <w:rPr>
          <w:lang w:eastAsia="fr-FR" w:bidi="fr-FR"/>
        </w:rPr>
        <w:t>a</w:t>
      </w:r>
      <w:r w:rsidRPr="007422C9">
        <w:rPr>
          <w:lang w:eastAsia="fr-FR" w:bidi="fr-FR"/>
        </w:rPr>
        <w:t>num aggressus deponere et eius in loco proprio examine alterum s</w:t>
      </w:r>
      <w:r w:rsidRPr="007422C9">
        <w:rPr>
          <w:lang w:eastAsia="fr-FR" w:bidi="fr-FR"/>
        </w:rPr>
        <w:t>u</w:t>
      </w:r>
      <w:r w:rsidRPr="007422C9">
        <w:rPr>
          <w:lang w:eastAsia="fr-FR" w:bidi="fr-FR"/>
        </w:rPr>
        <w:t>brogare. Erat uir idem homo « simplex et rectus ac timens Deum et recedens a malo</w:t>
      </w:r>
      <w:r>
        <w:rPr>
          <w:lang w:eastAsia="fr-FR" w:bidi="fr-FR"/>
        </w:rPr>
        <w:t> » </w:t>
      </w:r>
      <w:r>
        <w:rPr>
          <w:rStyle w:val="Appelnotedebasdep"/>
        </w:rPr>
        <w:footnoteReference w:id="1355"/>
      </w:r>
      <w:r w:rsidRPr="007422C9">
        <w:rPr>
          <w:lang w:eastAsia="fr-FR" w:bidi="fr-FR"/>
        </w:rPr>
        <w:t>, et, sicut de beato Zacharia leg</w:t>
      </w:r>
      <w:r w:rsidRPr="007422C9">
        <w:rPr>
          <w:lang w:eastAsia="fr-FR" w:bidi="fr-FR"/>
        </w:rPr>
        <w:t>i</w:t>
      </w:r>
      <w:r w:rsidRPr="007422C9">
        <w:rPr>
          <w:lang w:eastAsia="fr-FR" w:bidi="fr-FR"/>
        </w:rPr>
        <w:t>tur, « incedens in omnibus mandatis et iustificationibus Domini sine querela »</w:t>
      </w:r>
      <w:r>
        <w:rPr>
          <w:lang w:eastAsia="fr-FR" w:bidi="fr-FR"/>
        </w:rPr>
        <w:t> </w:t>
      </w:r>
      <w:r>
        <w:rPr>
          <w:rStyle w:val="Appelnotedebasdep"/>
        </w:rPr>
        <w:footnoteReference w:id="1356"/>
      </w:r>
      <w:r w:rsidRPr="007422C9">
        <w:rPr>
          <w:lang w:eastAsia="fr-FR" w:bidi="fr-FR"/>
        </w:rPr>
        <w:t>. Verum quia minus Lanfranco uidebatur peritus in artis grammatice facunda scientia, neque tam disertus orator efïloruit sicut nunc temporis in lit</w:t>
      </w:r>
      <w:r w:rsidRPr="007422C9">
        <w:rPr>
          <w:lang w:eastAsia="fr-FR" w:bidi="fr-FR"/>
        </w:rPr>
        <w:t>e</w:t>
      </w:r>
      <w:r w:rsidRPr="007422C9">
        <w:rPr>
          <w:lang w:eastAsia="fr-FR" w:bidi="fr-FR"/>
        </w:rPr>
        <w:t>ratura, in plena synodo uirgam ab eo conabatur extorquere pastoralem. Iussus itaque baculum reddere, quo lupos a septis dominici gregis consueuerat propulsare, Lanfranco respondit Dei plenus inspiratione : « Quod a me queris non est tui iuris, nec per te michi cura commissa est ecclesiastica, nec sub tuo crédita sacerd</w:t>
      </w:r>
      <w:r w:rsidRPr="007422C9">
        <w:rPr>
          <w:lang w:eastAsia="fr-FR" w:bidi="fr-FR"/>
        </w:rPr>
        <w:t>o</w:t>
      </w:r>
      <w:r w:rsidRPr="007422C9">
        <w:rPr>
          <w:lang w:eastAsia="fr-FR" w:bidi="fr-FR"/>
        </w:rPr>
        <w:t>cio domus Dei disciplina. Non ergo tibi reddam curam per te nequ</w:t>
      </w:r>
      <w:r w:rsidRPr="007422C9">
        <w:rPr>
          <w:lang w:eastAsia="fr-FR" w:bidi="fr-FR"/>
        </w:rPr>
        <w:t>a</w:t>
      </w:r>
      <w:r w:rsidRPr="007422C9">
        <w:rPr>
          <w:lang w:eastAsia="fr-FR" w:bidi="fr-FR"/>
        </w:rPr>
        <w:t>quam hactenus habitam, qui pontificalem inuestituram dextera tua sumministrante non attigi, nec tua legatione ad opus iniunctum Deo iubente uocatus accessi. Si san</w:t>
      </w:r>
      <w:r w:rsidRPr="007422C9">
        <w:rPr>
          <w:lang w:eastAsia="fr-FR" w:bidi="fr-FR"/>
        </w:rPr>
        <w:t>c</w:t>
      </w:r>
      <w:r w:rsidRPr="007422C9">
        <w:rPr>
          <w:lang w:eastAsia="fr-FR" w:bidi="fr-FR"/>
        </w:rPr>
        <w:t>ta synodus in presentiarum me tante iudicauerit dignitatis indignum ut alium cathedra sacerdotalis debeat recipere, ei qui michi uirgam contulit oportet eandem consignare ». Tum Lanfrancus : « Cuinam, inquam ? »</w:t>
      </w:r>
      <w:r>
        <w:rPr>
          <w:lang w:eastAsia="fr-FR" w:bidi="fr-FR"/>
        </w:rPr>
        <w:t> — </w:t>
      </w:r>
      <w:r w:rsidRPr="007422C9">
        <w:rPr>
          <w:lang w:eastAsia="fr-FR" w:bidi="fr-FR"/>
        </w:rPr>
        <w:t>« Inclito domino meo » Wlstanus ait « Eadwardo, qui me ad ecclesie Dei inuitauit ofïicium et pastoralem michi curam san</w:t>
      </w:r>
      <w:r w:rsidRPr="007422C9">
        <w:rPr>
          <w:lang w:eastAsia="fr-FR" w:bidi="fr-FR"/>
        </w:rPr>
        <w:t>c</w:t>
      </w:r>
      <w:r w:rsidRPr="007422C9">
        <w:rPr>
          <w:lang w:eastAsia="fr-FR" w:bidi="fr-FR"/>
        </w:rPr>
        <w:t>tarum credidit animarum. Per ilium meus in hac prelatione claruit i</w:t>
      </w:r>
      <w:r w:rsidRPr="007422C9">
        <w:rPr>
          <w:lang w:eastAsia="fr-FR" w:bidi="fr-FR"/>
        </w:rPr>
        <w:t>n</w:t>
      </w:r>
      <w:r w:rsidRPr="007422C9">
        <w:rPr>
          <w:lang w:eastAsia="fr-FR" w:bidi="fr-FR"/>
        </w:rPr>
        <w:t>gressus eoque silebo si uoluerit imperante, et exequar quod annuit, eius imperio preualente. » Tum Lanfrancus, Dei sacerdos excelsus : « Tibi » inquit « precipio baculum citius re</w:t>
      </w:r>
      <w:r w:rsidRPr="007422C9">
        <w:rPr>
          <w:lang w:eastAsia="fr-FR" w:bidi="fr-FR"/>
        </w:rPr>
        <w:t>d</w:t>
      </w:r>
      <w:r w:rsidRPr="007422C9">
        <w:rPr>
          <w:lang w:eastAsia="fr-FR" w:bidi="fr-FR"/>
        </w:rPr>
        <w:t>dere et pastoris regimini iam renunciare ». Presul ad hec Wigornensis, animatus spe et fiducia Eadwardi egregii principis : « Ecce » inquit « baculum redditurus ad ilium uado, cuius attributum mea dextera t</w:t>
      </w:r>
      <w:r w:rsidRPr="007422C9">
        <w:rPr>
          <w:lang w:eastAsia="fr-FR" w:bidi="fr-FR"/>
        </w:rPr>
        <w:t>e</w:t>
      </w:r>
      <w:r w:rsidRPr="007422C9">
        <w:rPr>
          <w:lang w:eastAsia="fr-FR" w:bidi="fr-FR"/>
        </w:rPr>
        <w:t>net imperio ». In his uerbis mundi uictor insignis ad sepulcrum regis abiit et uasto suorum uallatus agmine ad suum celerius dominum cum deuotione properauit. Veniens autem ante mensam dominicam in h</w:t>
      </w:r>
      <w:r w:rsidRPr="007422C9">
        <w:rPr>
          <w:lang w:eastAsia="fr-FR" w:bidi="fr-FR"/>
        </w:rPr>
        <w:t>o</w:t>
      </w:r>
      <w:r w:rsidRPr="007422C9">
        <w:rPr>
          <w:lang w:eastAsia="fr-FR" w:bidi="fr-FR"/>
        </w:rPr>
        <w:t>nore beati P</w:t>
      </w:r>
      <w:r>
        <w:rPr>
          <w:lang w:eastAsia="fr-FR" w:bidi="fr-FR"/>
        </w:rPr>
        <w:t>e</w:t>
      </w:r>
      <w:r w:rsidRPr="007422C9">
        <w:rPr>
          <w:lang w:eastAsia="fr-FR" w:bidi="fr-FR"/>
        </w:rPr>
        <w:t>tri apostolorum principis consecratam, in sacris oration</w:t>
      </w:r>
      <w:r w:rsidRPr="007422C9">
        <w:rPr>
          <w:lang w:eastAsia="fr-FR" w:bidi="fr-FR"/>
        </w:rPr>
        <w:t>i</w:t>
      </w:r>
      <w:r w:rsidRPr="007422C9">
        <w:rPr>
          <w:lang w:eastAsia="fr-FR" w:bidi="fr-FR"/>
        </w:rPr>
        <w:t>bus coram Deo prostern</w:t>
      </w:r>
      <w:r w:rsidRPr="007422C9">
        <w:rPr>
          <w:lang w:eastAsia="fr-FR" w:bidi="fr-FR"/>
        </w:rPr>
        <w:t>i</w:t>
      </w:r>
      <w:r w:rsidRPr="007422C9">
        <w:rPr>
          <w:lang w:eastAsia="fr-FR" w:bidi="fr-FR"/>
        </w:rPr>
        <w:t>tur et demisso uultu supplex humiliatur. Exurgens tandem lacrimis madefactus opulentis, ad regem sanctum suam conuertit faciem et c</w:t>
      </w:r>
      <w:r w:rsidRPr="007422C9">
        <w:rPr>
          <w:lang w:eastAsia="fr-FR" w:bidi="fr-FR"/>
        </w:rPr>
        <w:t>o</w:t>
      </w:r>
      <w:r w:rsidRPr="007422C9">
        <w:rPr>
          <w:lang w:eastAsia="fr-FR" w:bidi="fr-FR"/>
        </w:rPr>
        <w:t>ram eo huiusmodi fudit orationem : « Inclite princeps Eadwarde, quem Deus regno prefecit natiuitatis no</w:t>
      </w:r>
      <w:r w:rsidRPr="007422C9">
        <w:rPr>
          <w:lang w:eastAsia="fr-FR" w:bidi="fr-FR"/>
        </w:rPr>
        <w:t>s</w:t>
      </w:r>
      <w:r w:rsidRPr="007422C9">
        <w:rPr>
          <w:lang w:eastAsia="fr-FR" w:bidi="fr-FR"/>
        </w:rPr>
        <w:t>tre, hune quem commenda</w:t>
      </w:r>
      <w:r w:rsidRPr="007422C9">
        <w:rPr>
          <w:lang w:eastAsia="fr-FR" w:bidi="fr-FR"/>
        </w:rPr>
        <w:t>s</w:t>
      </w:r>
      <w:r w:rsidRPr="007422C9">
        <w:rPr>
          <w:lang w:eastAsia="fr-FR" w:bidi="fr-FR"/>
        </w:rPr>
        <w:t>ti tibi reddo baculum, ut in eo preuideas quid ecclesie Dei sit deinceps profuturum. Si per me uigor aut profe</w:t>
      </w:r>
      <w:r w:rsidRPr="007422C9">
        <w:rPr>
          <w:lang w:eastAsia="fr-FR" w:bidi="fr-FR"/>
        </w:rPr>
        <w:t>c</w:t>
      </w:r>
      <w:r w:rsidRPr="007422C9">
        <w:rPr>
          <w:lang w:eastAsia="fr-FR" w:bidi="fr-FR"/>
        </w:rPr>
        <w:t>tus tenoris ecclesiastici meriturus est gloriam, et ad senatum cele</w:t>
      </w:r>
      <w:r w:rsidRPr="007422C9">
        <w:rPr>
          <w:lang w:eastAsia="fr-FR" w:bidi="fr-FR"/>
        </w:rPr>
        <w:t>s</w:t>
      </w:r>
      <w:r w:rsidRPr="007422C9">
        <w:rPr>
          <w:lang w:eastAsia="fr-FR" w:bidi="fr-FR"/>
        </w:rPr>
        <w:t>tis patrie per linguam meam populum suum Dei uocauerit dignatio, tua manifestet citius celsitudo. Et si te indignante res damna parturiet, tue uoluntatis efïectus ostendet. Causantur enim me nequaquam can</w:t>
      </w:r>
      <w:r w:rsidRPr="007422C9">
        <w:rPr>
          <w:lang w:eastAsia="fr-FR" w:bidi="fr-FR"/>
        </w:rPr>
        <w:t>o</w:t>
      </w:r>
      <w:r w:rsidRPr="007422C9">
        <w:rPr>
          <w:lang w:eastAsia="fr-FR" w:bidi="fr-FR"/>
        </w:rPr>
        <w:t>nice a te pastoralem inuestituram accepisse, quod utrum uerum sit quia p</w:t>
      </w:r>
      <w:r w:rsidRPr="007422C9">
        <w:rPr>
          <w:lang w:eastAsia="fr-FR" w:bidi="fr-FR"/>
        </w:rPr>
        <w:t>u</w:t>
      </w:r>
      <w:r w:rsidRPr="007422C9">
        <w:rPr>
          <w:lang w:eastAsia="fr-FR" w:bidi="fr-FR"/>
        </w:rPr>
        <w:t>ro examine nescio discernere, in tuam iudicandum relinquo potest</w:t>
      </w:r>
      <w:r w:rsidRPr="007422C9">
        <w:rPr>
          <w:lang w:eastAsia="fr-FR" w:bidi="fr-FR"/>
        </w:rPr>
        <w:t>a</w:t>
      </w:r>
      <w:r w:rsidRPr="007422C9">
        <w:rPr>
          <w:lang w:eastAsia="fr-FR" w:bidi="fr-FR"/>
        </w:rPr>
        <w:t>tem ». Apprehendit in hec uerba uir Dei ecclesiastice nauis armame</w:t>
      </w:r>
      <w:r w:rsidRPr="007422C9">
        <w:rPr>
          <w:lang w:eastAsia="fr-FR" w:bidi="fr-FR"/>
        </w:rPr>
        <w:t>n</w:t>
      </w:r>
      <w:r w:rsidRPr="007422C9">
        <w:rPr>
          <w:lang w:eastAsia="fr-FR" w:bidi="fr-FR"/>
        </w:rPr>
        <w:t>ta, pastoralem scilicet uirgam, quam correctioni</w:t>
      </w:r>
      <w:r>
        <w:rPr>
          <w:lang w:eastAsia="fr-FR" w:bidi="fr-FR"/>
        </w:rPr>
        <w:t xml:space="preserve"> </w:t>
      </w:r>
      <w:r>
        <w:t xml:space="preserve">[1021] </w:t>
      </w:r>
      <w:r w:rsidRPr="007422C9">
        <w:rPr>
          <w:lang w:eastAsia="fr-FR" w:bidi="fr-FR"/>
        </w:rPr>
        <w:t>dédit Deus fidelium, et tamquam humo solide infixit in sepulcrum que firmius impressa per ferrum inferius sic superiorem correxit lapidem, ut r</w:t>
      </w:r>
      <w:r w:rsidRPr="007422C9">
        <w:rPr>
          <w:lang w:eastAsia="fr-FR" w:bidi="fr-FR"/>
        </w:rPr>
        <w:t>e</w:t>
      </w:r>
      <w:r w:rsidRPr="007422C9">
        <w:rPr>
          <w:lang w:eastAsia="fr-FR" w:bidi="fr-FR"/>
        </w:rPr>
        <w:t>giam uiri coram Deo proderet maiestatem. Infixum est igitur ferrum uirge in silicem uelut in ceram liquantem nec ab eodem loco dimoueri per quempiam potuit, donec fulgor claritatis ipsius choruscantibus r</w:t>
      </w:r>
      <w:r w:rsidRPr="007422C9">
        <w:rPr>
          <w:lang w:eastAsia="fr-FR" w:bidi="fr-FR"/>
        </w:rPr>
        <w:t>a</w:t>
      </w:r>
      <w:r w:rsidRPr="007422C9">
        <w:rPr>
          <w:lang w:eastAsia="fr-FR" w:bidi="fr-FR"/>
        </w:rPr>
        <w:t>diis serenus illuxit.</w:t>
      </w:r>
    </w:p>
    <w:p w14:paraId="6A702CF8" w14:textId="77777777" w:rsidR="00B9662D" w:rsidRPr="007422C9" w:rsidRDefault="00B9662D" w:rsidP="00B9662D">
      <w:pPr>
        <w:spacing w:before="120" w:after="120"/>
        <w:jc w:val="both"/>
      </w:pPr>
      <w:r w:rsidRPr="007422C9">
        <w:rPr>
          <w:lang w:eastAsia="fr-FR" w:bidi="fr-FR"/>
        </w:rPr>
        <w:t>Res ad Lanfrancum defertur celitus habita et questio multipliciter palpatur uentilata. Euocat ad se uirum religionis et famé domnum Gun- nulfum ecclesie Rofensis episcopum</w:t>
      </w:r>
      <w:r>
        <w:rPr>
          <w:lang w:eastAsia="fr-FR" w:bidi="fr-FR"/>
        </w:rPr>
        <w:t> </w:t>
      </w:r>
      <w:r>
        <w:rPr>
          <w:rStyle w:val="Appelnotedebasdep"/>
        </w:rPr>
        <w:footnoteReference w:id="1357"/>
      </w:r>
      <w:r w:rsidRPr="007422C9">
        <w:rPr>
          <w:lang w:eastAsia="fr-FR" w:bidi="fr-FR"/>
        </w:rPr>
        <w:t>, precipiens eidem ut ad sepulchrum regis uelocius abeat, et Wigornensis antistitis uirgam r</w:t>
      </w:r>
      <w:r w:rsidRPr="007422C9">
        <w:rPr>
          <w:lang w:eastAsia="fr-FR" w:bidi="fr-FR"/>
        </w:rPr>
        <w:t>e</w:t>
      </w:r>
      <w:r w:rsidRPr="007422C9">
        <w:rPr>
          <w:lang w:eastAsia="fr-FR" w:bidi="fr-FR"/>
        </w:rPr>
        <w:t>portet. Éxequitur presul quod Lanfrancus imperat, ueniensque ad m</w:t>
      </w:r>
      <w:r w:rsidRPr="007422C9">
        <w:rPr>
          <w:lang w:eastAsia="fr-FR" w:bidi="fr-FR"/>
        </w:rPr>
        <w:t>o</w:t>
      </w:r>
      <w:r w:rsidRPr="007422C9">
        <w:rPr>
          <w:lang w:eastAsia="fr-FR" w:bidi="fr-FR"/>
        </w:rPr>
        <w:t>numentum arripuit baculum, set firmum repperit uelud solide telluri radicitus infixum. Cernens itaque uir Dei mirabilia Domini, cum tim</w:t>
      </w:r>
      <w:r w:rsidRPr="007422C9">
        <w:rPr>
          <w:lang w:eastAsia="fr-FR" w:bidi="fr-FR"/>
        </w:rPr>
        <w:t>o</w:t>
      </w:r>
      <w:r w:rsidRPr="007422C9">
        <w:rPr>
          <w:lang w:eastAsia="fr-FR" w:bidi="fr-FR"/>
        </w:rPr>
        <w:t>ré et tremore uelociter abcessit et ad Lanfrancum quod uiderat</w:t>
      </w:r>
      <w:r>
        <w:rPr>
          <w:lang w:eastAsia="fr-FR" w:bidi="fr-FR"/>
        </w:rPr>
        <w:t> </w:t>
      </w:r>
      <w:r>
        <w:rPr>
          <w:rStyle w:val="Appelnotedebasdep"/>
          <w:lang w:eastAsia="fr-FR" w:bidi="fr-FR"/>
        </w:rPr>
        <w:footnoteReference w:customMarkFollows="1" w:id="1358"/>
        <w:t>b</w:t>
      </w:r>
      <w:r w:rsidRPr="007422C9">
        <w:rPr>
          <w:lang w:eastAsia="fr-FR" w:bidi="fr-FR"/>
        </w:rPr>
        <w:t xml:space="preserve"> fest</w:t>
      </w:r>
      <w:r w:rsidRPr="007422C9">
        <w:rPr>
          <w:lang w:eastAsia="fr-FR" w:bidi="fr-FR"/>
        </w:rPr>
        <w:t>i</w:t>
      </w:r>
      <w:r w:rsidRPr="007422C9">
        <w:rPr>
          <w:lang w:eastAsia="fr-FR" w:bidi="fr-FR"/>
        </w:rPr>
        <w:t>nanter reportauit. Stupefactus uero summus sacerdos de relato so</w:t>
      </w:r>
      <w:r w:rsidRPr="007422C9">
        <w:rPr>
          <w:lang w:eastAsia="fr-FR" w:bidi="fr-FR"/>
        </w:rPr>
        <w:t>l</w:t>
      </w:r>
      <w:r w:rsidRPr="007422C9">
        <w:rPr>
          <w:lang w:eastAsia="fr-FR" w:bidi="fr-FR"/>
        </w:rPr>
        <w:t>lempni miraculo, régi mandatum dédit ut ad ecclesiam celeriter ac s</w:t>
      </w:r>
      <w:r w:rsidRPr="007422C9">
        <w:rPr>
          <w:lang w:eastAsia="fr-FR" w:bidi="fr-FR"/>
        </w:rPr>
        <w:t>i</w:t>
      </w:r>
      <w:r w:rsidRPr="007422C9">
        <w:rPr>
          <w:lang w:eastAsia="fr-FR" w:bidi="fr-FR"/>
        </w:rPr>
        <w:t>ne mora recurreret, et noua Dei mirabilia uidere non tardaret. Adest princeps eximius, agminibus procerum suorum undique constipatus ; cum festinatione assistens ante pontificem, audit et ueneratur relatam miraculi nouitatem. Residebat Wlstanus inter plebeios monachos gl</w:t>
      </w:r>
      <w:r w:rsidRPr="007422C9">
        <w:rPr>
          <w:lang w:eastAsia="fr-FR" w:bidi="fr-FR"/>
        </w:rPr>
        <w:t>o</w:t>
      </w:r>
      <w:r w:rsidRPr="007422C9">
        <w:rPr>
          <w:lang w:eastAsia="fr-FR" w:bidi="fr-FR"/>
        </w:rPr>
        <w:t>ria et honore cathedre pontificalis exutus, nec aliquod episcopalis m</w:t>
      </w:r>
      <w:r w:rsidRPr="007422C9">
        <w:rPr>
          <w:lang w:eastAsia="fr-FR" w:bidi="fr-FR"/>
        </w:rPr>
        <w:t>i</w:t>
      </w:r>
      <w:r w:rsidRPr="007422C9">
        <w:rPr>
          <w:lang w:eastAsia="fr-FR" w:bidi="fr-FR"/>
        </w:rPr>
        <w:t>nisterii culmen attingere nec opus prohibitum tamquam indebite u</w:t>
      </w:r>
      <w:r w:rsidRPr="007422C9">
        <w:rPr>
          <w:lang w:eastAsia="fr-FR" w:bidi="fr-FR"/>
        </w:rPr>
        <w:t>o</w:t>
      </w:r>
      <w:r w:rsidRPr="007422C9">
        <w:rPr>
          <w:lang w:eastAsia="fr-FR" w:bidi="fr-FR"/>
        </w:rPr>
        <w:t>luit</w:t>
      </w:r>
      <w:r>
        <w:rPr>
          <w:lang w:eastAsia="fr-FR" w:bidi="fr-FR"/>
        </w:rPr>
        <w:t> </w:t>
      </w:r>
      <w:r>
        <w:rPr>
          <w:rStyle w:val="Appelnotedebasdep"/>
          <w:lang w:eastAsia="fr-FR" w:bidi="fr-FR"/>
        </w:rPr>
        <w:footnoteReference w:customMarkFollows="1" w:id="1359"/>
        <w:t>c</w:t>
      </w:r>
      <w:r w:rsidRPr="007422C9">
        <w:rPr>
          <w:lang w:eastAsia="fr-FR" w:bidi="fr-FR"/>
        </w:rPr>
        <w:t xml:space="preserve"> usurpare. Procedunt rex Willelmus et sacerdos Lanfrancus ad locum quo tumulo redonditus rex erat Eadwardus, ibique facta ora- ti</w:t>
      </w:r>
      <w:r w:rsidRPr="007422C9">
        <w:rPr>
          <w:lang w:eastAsia="fr-FR" w:bidi="fr-FR"/>
        </w:rPr>
        <w:t>o</w:t>
      </w:r>
      <w:r w:rsidRPr="007422C9">
        <w:rPr>
          <w:lang w:eastAsia="fr-FR" w:bidi="fr-FR"/>
        </w:rPr>
        <w:t>ne summus pontifex uirgam pastoralem arripuit, set celitus in lapide confirmatam offendit. Non potuerunt eandem presulis uires auellere, nec ferrum a silice qualibet occasione sequestrare. Clamat triumphator egregius rex Willelmus : « Domino gloriam ! » ; clamat Lanfrancus : « Deitatis potentiam in sanctis mirabilem et predicandam ! » Vniuersi collaudant uirum Dei insignem Eadwardum Anglice plebis principem, et Wlstanum publi</w:t>
      </w:r>
      <w:r>
        <w:rPr>
          <w:lang w:eastAsia="fr-FR" w:bidi="fr-FR"/>
        </w:rPr>
        <w:t>c</w:t>
      </w:r>
      <w:r w:rsidRPr="007422C9">
        <w:rPr>
          <w:lang w:eastAsia="fr-FR" w:bidi="fr-FR"/>
        </w:rPr>
        <w:t>e omnes astruunt sanctum Domini sacerdotem. Tum Lanfrancus, intelligens rem subtiliter agi secreto Dei misterio, uirum Domini coram omni populo hoc modo alloqui instructius uoluit, et in huiusmodi uerba cum lacrimis uberrimis deuotis erupit : « Doleo » inquit « te, serue Dei eximie, a celsitudine tue dignitatis iniuste depositum et oppressione peruersa me opérante a pontificalis glorie sublimitate deiectum. Quia uero « beneplacitum est Domino super timentes eum et in eis qui sperant super misericordia eius »</w:t>
      </w:r>
      <w:r>
        <w:rPr>
          <w:lang w:eastAsia="fr-FR" w:bidi="fr-FR"/>
        </w:rPr>
        <w:t> </w:t>
      </w:r>
      <w:r>
        <w:rPr>
          <w:rStyle w:val="Appelnotedebasdep"/>
        </w:rPr>
        <w:footnoteReference w:id="1360"/>
      </w:r>
      <w:r w:rsidRPr="007422C9">
        <w:rPr>
          <w:lang w:eastAsia="fr-FR" w:bidi="fr-FR"/>
        </w:rPr>
        <w:t>, precipio tibi eadem auctoritate uirgam sumere, qua tibi prius non t</w:t>
      </w:r>
      <w:r w:rsidRPr="007422C9">
        <w:rPr>
          <w:lang w:eastAsia="fr-FR" w:bidi="fr-FR"/>
        </w:rPr>
        <w:t>i</w:t>
      </w:r>
      <w:r w:rsidRPr="007422C9">
        <w:rPr>
          <w:lang w:eastAsia="fr-FR" w:bidi="fr-FR"/>
        </w:rPr>
        <w:t>mui preiudicium uiolente dominationis inferre. Ostendit enim Deus et Eadwardus eius quod in simplicitate cordis qua ambulauerunt patres tui et tu coram Domino simpliciter ambulasti. Nunc itaque pastoralis uirge denuo recepta plenitudine, dignitatem delegate tibi postestatis agnosce, et exerce eam deinceps ad iudicium et iusticiam, sicut decet pontificem ad misericordiam et uindictam ». Ad hec ille, « innocens manibus et mundo corde, qui non accepit in uano animam suam »</w:t>
      </w:r>
      <w:r>
        <w:rPr>
          <w:lang w:eastAsia="fr-FR" w:bidi="fr-FR"/>
        </w:rPr>
        <w:t> </w:t>
      </w:r>
      <w:r>
        <w:rPr>
          <w:rStyle w:val="Appelnotedebasdep"/>
        </w:rPr>
        <w:footnoteReference w:id="1361"/>
      </w:r>
      <w:r w:rsidRPr="007422C9">
        <w:rPr>
          <w:lang w:eastAsia="fr-FR" w:bidi="fr-FR"/>
        </w:rPr>
        <w:t>, flexis</w:t>
      </w:r>
      <w:r>
        <w:rPr>
          <w:lang w:eastAsia="fr-FR" w:bidi="fr-FR"/>
        </w:rPr>
        <w:t xml:space="preserve"> </w:t>
      </w:r>
      <w:r>
        <w:t xml:space="preserve">[1022] </w:t>
      </w:r>
      <w:r w:rsidRPr="007422C9">
        <w:rPr>
          <w:lang w:eastAsia="fr-FR" w:bidi="fr-FR"/>
        </w:rPr>
        <w:t>genibus cum lamentis in pauimento decubuit, et his ad Dominum uerbis fiducialiter orauit : « Domine Deus omnipotens, creator celi et terre, si tibi placet potestas per seruum tuum regem Eadwardum michi in eccle- siastica commissa sollicitudine, hoc tuis digneris indiciis d</w:t>
      </w:r>
      <w:r w:rsidRPr="007422C9">
        <w:rPr>
          <w:lang w:eastAsia="fr-FR" w:bidi="fr-FR"/>
        </w:rPr>
        <w:t>e</w:t>
      </w:r>
      <w:r w:rsidRPr="007422C9">
        <w:rPr>
          <w:lang w:eastAsia="fr-FR" w:bidi="fr-FR"/>
        </w:rPr>
        <w:t>clarare : uirgam pastoralem quam domino meo reddidi michi restitue, si preuidisti causam meam esse ecclesie tue ad honor</w:t>
      </w:r>
      <w:r>
        <w:rPr>
          <w:lang w:eastAsia="fr-FR" w:bidi="fr-FR"/>
        </w:rPr>
        <w:t>em et gloriam et populis ad pro</w:t>
      </w:r>
      <w:r w:rsidRPr="007422C9">
        <w:rPr>
          <w:lang w:eastAsia="fr-FR" w:bidi="fr-FR"/>
        </w:rPr>
        <w:t>fectum et malignis spiritibus ad ruinam. Et tu, rex meus Eadwarde, eadem facilitate michi digneris reddere baculum, qua eu</w:t>
      </w:r>
      <w:r w:rsidRPr="007422C9">
        <w:rPr>
          <w:lang w:eastAsia="fr-FR" w:bidi="fr-FR"/>
        </w:rPr>
        <w:t>n</w:t>
      </w:r>
      <w:r w:rsidRPr="007422C9">
        <w:rPr>
          <w:lang w:eastAsia="fr-FR" w:bidi="fr-FR"/>
        </w:rPr>
        <w:t>dem suscepisti in tuo paulo ante sepulchro defixum ». His igitur expletis, uir Dei coram omnibus ad locum acce</w:t>
      </w:r>
      <w:r w:rsidRPr="007422C9">
        <w:rPr>
          <w:lang w:eastAsia="fr-FR" w:bidi="fr-FR"/>
        </w:rPr>
        <w:t>s</w:t>
      </w:r>
      <w:r w:rsidRPr="007422C9">
        <w:rPr>
          <w:lang w:eastAsia="fr-FR" w:bidi="fr-FR"/>
        </w:rPr>
        <w:t>sit, et tam leuiter pastoralem uirgam remouit a lapide, ut nulla sequ</w:t>
      </w:r>
      <w:r w:rsidRPr="007422C9">
        <w:rPr>
          <w:lang w:eastAsia="fr-FR" w:bidi="fr-FR"/>
        </w:rPr>
        <w:t>e</w:t>
      </w:r>
      <w:r w:rsidRPr="007422C9">
        <w:rPr>
          <w:lang w:eastAsia="fr-FR" w:bidi="fr-FR"/>
        </w:rPr>
        <w:t>retur difïicultas in op</w:t>
      </w:r>
      <w:r w:rsidRPr="007422C9">
        <w:rPr>
          <w:lang w:eastAsia="fr-FR" w:bidi="fr-FR"/>
        </w:rPr>
        <w:t>é</w:t>
      </w:r>
      <w:r w:rsidRPr="007422C9">
        <w:rPr>
          <w:lang w:eastAsia="fr-FR" w:bidi="fr-FR"/>
        </w:rPr>
        <w:t>ré. Procidunt itaque ad pedes Wlstani tam rex Willelmus quam pontifex Lanfrancus, et suis postulant excessibus u</w:t>
      </w:r>
      <w:r w:rsidRPr="007422C9">
        <w:rPr>
          <w:lang w:eastAsia="fr-FR" w:bidi="fr-FR"/>
        </w:rPr>
        <w:t>e</w:t>
      </w:r>
      <w:r w:rsidRPr="007422C9">
        <w:rPr>
          <w:lang w:eastAsia="fr-FR" w:bidi="fr-FR"/>
        </w:rPr>
        <w:t>niam, ingemiscentes deli</w:t>
      </w:r>
      <w:r w:rsidRPr="007422C9">
        <w:rPr>
          <w:lang w:eastAsia="fr-FR" w:bidi="fr-FR"/>
        </w:rPr>
        <w:t>c</w:t>
      </w:r>
      <w:r w:rsidRPr="007422C9">
        <w:rPr>
          <w:lang w:eastAsia="fr-FR" w:bidi="fr-FR"/>
        </w:rPr>
        <w:t>tum et lugentes ofïensam. At uero humilis Dei sacerdos ex hac Dom</w:t>
      </w:r>
      <w:r w:rsidRPr="007422C9">
        <w:rPr>
          <w:lang w:eastAsia="fr-FR" w:bidi="fr-FR"/>
        </w:rPr>
        <w:t>i</w:t>
      </w:r>
      <w:r w:rsidRPr="007422C9">
        <w:rPr>
          <w:lang w:eastAsia="fr-FR" w:bidi="fr-FR"/>
        </w:rPr>
        <w:t>ni clemencia non intumuit, set tamquam inferior a superiore benedictionem a summo pontifice Lanfranco p</w:t>
      </w:r>
      <w:r w:rsidRPr="007422C9">
        <w:rPr>
          <w:lang w:eastAsia="fr-FR" w:bidi="fr-FR"/>
        </w:rPr>
        <w:t>e</w:t>
      </w:r>
      <w:r w:rsidRPr="007422C9">
        <w:rPr>
          <w:lang w:eastAsia="fr-FR" w:bidi="fr-FR"/>
        </w:rPr>
        <w:t>tiuit. Alter igitur ab altero b</w:t>
      </w:r>
      <w:r w:rsidRPr="007422C9">
        <w:rPr>
          <w:lang w:eastAsia="fr-FR" w:bidi="fr-FR"/>
        </w:rPr>
        <w:t>e</w:t>
      </w:r>
      <w:r w:rsidRPr="007422C9">
        <w:rPr>
          <w:lang w:eastAsia="fr-FR" w:bidi="fr-FR"/>
        </w:rPr>
        <w:t>nedicitur, et ab omni populo mirabilis Deus in Eadwardo et Wlstano predicatur. Qua de causa triumphator Anglorum Willelmus super sanctum regem Eadwardum ex auro et argento capse fabricam condidit, que utique in odiernum diem in e</w:t>
      </w:r>
      <w:r w:rsidRPr="007422C9">
        <w:rPr>
          <w:lang w:eastAsia="fr-FR" w:bidi="fr-FR"/>
        </w:rPr>
        <w:t>c</w:t>
      </w:r>
      <w:r w:rsidRPr="007422C9">
        <w:rPr>
          <w:lang w:eastAsia="fr-FR" w:bidi="fr-FR"/>
        </w:rPr>
        <w:t>clesia beati P</w:t>
      </w:r>
      <w:r>
        <w:rPr>
          <w:lang w:eastAsia="fr-FR" w:bidi="fr-FR"/>
        </w:rPr>
        <w:t>e</w:t>
      </w:r>
      <w:r w:rsidRPr="007422C9">
        <w:rPr>
          <w:lang w:eastAsia="fr-FR" w:bidi="fr-FR"/>
        </w:rPr>
        <w:t>tri apostoli gloriosum corpus obumbrat et tegit. Mirac</w:t>
      </w:r>
      <w:r>
        <w:rPr>
          <w:lang w:eastAsia="fr-FR" w:bidi="fr-FR"/>
        </w:rPr>
        <w:t>u</w:t>
      </w:r>
      <w:r>
        <w:rPr>
          <w:lang w:eastAsia="fr-FR" w:bidi="fr-FR"/>
        </w:rPr>
        <w:t>la uero pro eo in eodem loco to</w:t>
      </w:r>
      <w:r w:rsidRPr="007422C9">
        <w:rPr>
          <w:lang w:eastAsia="fr-FR" w:bidi="fr-FR"/>
        </w:rPr>
        <w:t>t et tanta operatus est Christus, quot et quanta nec ego ualeo uerbis uulgariter inconditis comprehendere, nec uos propter fastidium dele</w:t>
      </w:r>
      <w:r w:rsidRPr="007422C9">
        <w:rPr>
          <w:lang w:eastAsia="fr-FR" w:bidi="fr-FR"/>
        </w:rPr>
        <w:t>c</w:t>
      </w:r>
      <w:r w:rsidRPr="007422C9">
        <w:rPr>
          <w:lang w:eastAsia="fr-FR" w:bidi="fr-FR"/>
        </w:rPr>
        <w:t xml:space="preserve">tat audire. At tamen unum restât, quia liber clausulam postulat, in quo uestre caritati deesse non debeo, ut, dum </w:t>
      </w:r>
      <w:r w:rsidRPr="008760DC">
        <w:rPr>
          <w:u w:val="single"/>
          <w:lang w:eastAsia="fr-FR" w:bidi="fr-FR"/>
        </w:rPr>
        <w:t>eius </w:t>
      </w:r>
      <w:r>
        <w:rPr>
          <w:rStyle w:val="Appelnotedebasdep"/>
          <w:lang w:eastAsia="fr-FR" w:bidi="fr-FR"/>
        </w:rPr>
        <w:footnoteReference w:customMarkFollows="1" w:id="1362"/>
        <w:t>d</w:t>
      </w:r>
      <w:r w:rsidRPr="007422C9">
        <w:rPr>
          <w:lang w:eastAsia="fr-FR" w:bidi="fr-FR"/>
        </w:rPr>
        <w:t xml:space="preserve"> sermonis ofïicium u</w:t>
      </w:r>
      <w:r w:rsidRPr="007422C9">
        <w:rPr>
          <w:lang w:eastAsia="fr-FR" w:bidi="fr-FR"/>
        </w:rPr>
        <w:t>o</w:t>
      </w:r>
      <w:r>
        <w:rPr>
          <w:lang w:eastAsia="fr-FR" w:bidi="fr-FR"/>
        </w:rPr>
        <w:t>bis afïluentem tri- buitur</w:t>
      </w:r>
      <w:r w:rsidRPr="007422C9">
        <w:rPr>
          <w:lang w:eastAsia="fr-FR" w:bidi="fr-FR"/>
        </w:rPr>
        <w:t>d usum salutis eterne, maximum in cunctis gen</w:t>
      </w:r>
      <w:r w:rsidRPr="007422C9">
        <w:rPr>
          <w:lang w:eastAsia="fr-FR" w:bidi="fr-FR"/>
        </w:rPr>
        <w:t>e</w:t>
      </w:r>
      <w:r w:rsidRPr="007422C9">
        <w:rPr>
          <w:lang w:eastAsia="fr-FR" w:bidi="fr-FR"/>
        </w:rPr>
        <w:t>ret incrementum</w:t>
      </w:r>
      <w:r>
        <w:rPr>
          <w:lang w:eastAsia="fr-FR" w:bidi="fr-FR"/>
        </w:rPr>
        <w:t> </w:t>
      </w:r>
      <w:r>
        <w:rPr>
          <w:rStyle w:val="Appelnotedebasdep"/>
        </w:rPr>
        <w:footnoteReference w:id="1363"/>
      </w:r>
      <w:r w:rsidRPr="007422C9">
        <w:rPr>
          <w:lang w:eastAsia="fr-FR" w:bidi="fr-FR"/>
        </w:rPr>
        <w:t>.</w:t>
      </w:r>
    </w:p>
    <w:p w14:paraId="6C7A11FD" w14:textId="77777777" w:rsidR="00B9662D" w:rsidRDefault="00B9662D" w:rsidP="00B9662D">
      <w:pPr>
        <w:spacing w:before="120" w:after="120"/>
        <w:jc w:val="both"/>
        <w:rPr>
          <w:lang w:eastAsia="fr-FR" w:bidi="fr-FR"/>
        </w:rPr>
      </w:pPr>
    </w:p>
    <w:p w14:paraId="22110655" w14:textId="77777777" w:rsidR="00B9662D" w:rsidRDefault="00B9662D" w:rsidP="00B9662D">
      <w:pPr>
        <w:pStyle w:val="b"/>
        <w:rPr>
          <w:lang w:eastAsia="fr-FR" w:bidi="fr-FR"/>
        </w:rPr>
      </w:pPr>
      <w:r>
        <w:rPr>
          <w:lang w:eastAsia="fr-FR" w:bidi="fr-FR"/>
        </w:rPr>
        <w:t xml:space="preserve">XXX. </w:t>
      </w:r>
      <w:r w:rsidRPr="007422C9">
        <w:rPr>
          <w:lang w:eastAsia="fr-FR" w:bidi="fr-FR"/>
        </w:rPr>
        <w:t>De prima eius translatione et inuenta post xxx et vi annos beati corporis integritate</w:t>
      </w:r>
      <w:r>
        <w:rPr>
          <w:lang w:eastAsia="fr-FR" w:bidi="fr-FR"/>
        </w:rPr>
        <w:t> </w:t>
      </w:r>
      <w:r w:rsidRPr="000B6094">
        <w:rPr>
          <w:rStyle w:val="Appelnotedebasdep"/>
          <w:i w:val="0"/>
        </w:rPr>
        <w:footnoteReference w:id="1364"/>
      </w:r>
      <w:r w:rsidRPr="007422C9">
        <w:rPr>
          <w:lang w:eastAsia="fr-FR" w:bidi="fr-FR"/>
        </w:rPr>
        <w:t>.</w:t>
      </w:r>
    </w:p>
    <w:p w14:paraId="022CA241" w14:textId="77777777" w:rsidR="00B9662D" w:rsidRPr="007422C9" w:rsidRDefault="00B9662D" w:rsidP="00B9662D">
      <w:pPr>
        <w:spacing w:before="120" w:after="120"/>
        <w:jc w:val="both"/>
      </w:pPr>
    </w:p>
    <w:p w14:paraId="05595402" w14:textId="77777777" w:rsidR="00B9662D" w:rsidRPr="007422C9" w:rsidRDefault="00B9662D" w:rsidP="00B9662D">
      <w:pPr>
        <w:spacing w:before="120" w:after="120"/>
        <w:jc w:val="both"/>
      </w:pPr>
      <w:r w:rsidRPr="007422C9">
        <w:rPr>
          <w:lang w:eastAsia="fr-FR" w:bidi="fr-FR"/>
        </w:rPr>
        <w:t>Cum domino Deo nostro placuit ocul</w:t>
      </w:r>
      <w:r>
        <w:rPr>
          <w:lang w:eastAsia="fr-FR" w:bidi="fr-FR"/>
        </w:rPr>
        <w:t>is multorum corporalibus o</w:t>
      </w:r>
      <w:r>
        <w:rPr>
          <w:lang w:eastAsia="fr-FR" w:bidi="fr-FR"/>
        </w:rPr>
        <w:t>s</w:t>
      </w:r>
      <w:r>
        <w:rPr>
          <w:lang w:eastAsia="fr-FR" w:bidi="fr-FR"/>
        </w:rPr>
        <w:t>ten</w:t>
      </w:r>
      <w:r w:rsidRPr="007422C9">
        <w:rPr>
          <w:lang w:eastAsia="fr-FR" w:bidi="fr-FR"/>
        </w:rPr>
        <w:t>dere quanta sanctus princeps pulcritudine choruscaret in carne, sancte multitudinis illius glorie temporali testimonium sufïicit, que in die sue translationis incorruptum regis corpus inuenit. Domnus abbas Gillebertus, cuius nomen patronimicum dicebatur Crispinus</w:t>
      </w:r>
      <w:r>
        <w:rPr>
          <w:lang w:eastAsia="fr-FR" w:bidi="fr-FR"/>
        </w:rPr>
        <w:t> </w:t>
      </w:r>
      <w:r>
        <w:rPr>
          <w:rStyle w:val="Appelnotedebasdep"/>
        </w:rPr>
        <w:footnoteReference w:id="1365"/>
      </w:r>
      <w:r w:rsidRPr="007422C9">
        <w:rPr>
          <w:lang w:eastAsia="fr-FR" w:bidi="fr-FR"/>
        </w:rPr>
        <w:t>, ad ta</w:t>
      </w:r>
      <w:r w:rsidRPr="007422C9">
        <w:rPr>
          <w:lang w:eastAsia="fr-FR" w:bidi="fr-FR"/>
        </w:rPr>
        <w:t>n</w:t>
      </w:r>
      <w:r w:rsidRPr="007422C9">
        <w:rPr>
          <w:lang w:eastAsia="fr-FR" w:bidi="fr-FR"/>
        </w:rPr>
        <w:t>tam sollempnitatem plures honestatis personas inuitauerat, inter quas omnes uenerandus Rofïensis urbis episcopus Gunnolfus</w:t>
      </w:r>
      <w:r>
        <w:rPr>
          <w:lang w:eastAsia="fr-FR" w:bidi="fr-FR"/>
        </w:rPr>
        <w:t> </w:t>
      </w:r>
      <w:r>
        <w:rPr>
          <w:rStyle w:val="Appelnotedebasdep"/>
        </w:rPr>
        <w:footnoteReference w:id="1366"/>
      </w:r>
      <w:r w:rsidRPr="007422C9">
        <w:rPr>
          <w:lang w:eastAsia="fr-FR" w:bidi="fr-FR"/>
        </w:rPr>
        <w:t xml:space="preserve"> specialiter eminebat. Sex namque et xxx</w:t>
      </w:r>
      <w:r w:rsidRPr="00207CF0">
        <w:rPr>
          <w:vertAlign w:val="superscript"/>
          <w:lang w:eastAsia="fr-FR" w:bidi="fr-FR"/>
        </w:rPr>
        <w:t>t</w:t>
      </w:r>
      <w:r>
        <w:rPr>
          <w:vertAlign w:val="superscript"/>
          <w:lang w:eastAsia="fr-FR" w:bidi="fr-FR"/>
        </w:rPr>
        <w:t>  </w:t>
      </w:r>
      <w:r>
        <w:rPr>
          <w:rStyle w:val="Appelnotedebasdep"/>
          <w:vertAlign w:val="superscript"/>
          <w:lang w:eastAsia="fr-FR" w:bidi="fr-FR"/>
        </w:rPr>
        <w:footnoteReference w:customMarkFollows="1" w:id="1367"/>
        <w:t>d</w:t>
      </w:r>
      <w:r w:rsidRPr="007422C9">
        <w:rPr>
          <w:lang w:eastAsia="fr-FR" w:bidi="fr-FR"/>
        </w:rPr>
        <w:t xml:space="preserve"> annis rex delituerat Eadwardu</w:t>
      </w:r>
      <w:r>
        <w:rPr>
          <w:lang w:eastAsia="fr-FR" w:bidi="fr-FR"/>
        </w:rPr>
        <w:t>s in t</w:t>
      </w:r>
      <w:r>
        <w:rPr>
          <w:lang w:eastAsia="fr-FR" w:bidi="fr-FR"/>
        </w:rPr>
        <w:t>u</w:t>
      </w:r>
      <w:r>
        <w:rPr>
          <w:lang w:eastAsia="fr-FR" w:bidi="fr-FR"/>
        </w:rPr>
        <w:t>multo, eumque iuxta condi</w:t>
      </w:r>
      <w:r w:rsidRPr="007422C9">
        <w:rPr>
          <w:lang w:eastAsia="fr-FR" w:bidi="fr-FR"/>
        </w:rPr>
        <w:t>cionem</w:t>
      </w:r>
      <w:r>
        <w:t xml:space="preserve"> [</w:t>
      </w:r>
      <w:r w:rsidRPr="007422C9">
        <w:rPr>
          <w:lang w:eastAsia="fr-FR" w:bidi="fr-FR"/>
        </w:rPr>
        <w:t>1023</w:t>
      </w:r>
      <w:r>
        <w:rPr>
          <w:lang w:eastAsia="fr-FR" w:bidi="fr-FR"/>
        </w:rPr>
        <w:t>]</w:t>
      </w:r>
      <w:r w:rsidRPr="007422C9">
        <w:rPr>
          <w:lang w:eastAsia="fr-FR" w:bidi="fr-FR"/>
        </w:rPr>
        <w:t xml:space="preserve"> mortalitatis nostre arbitrati sunt nonnulli humanitus in c</w:t>
      </w:r>
      <w:r w:rsidRPr="007422C9">
        <w:rPr>
          <w:lang w:eastAsia="fr-FR" w:bidi="fr-FR"/>
        </w:rPr>
        <w:t>i</w:t>
      </w:r>
      <w:r w:rsidRPr="007422C9">
        <w:rPr>
          <w:lang w:eastAsia="fr-FR" w:bidi="fr-FR"/>
        </w:rPr>
        <w:t>neres defluxisse. Quidam uero pio mentis desi</w:t>
      </w:r>
      <w:r>
        <w:rPr>
          <w:lang w:eastAsia="fr-FR" w:bidi="fr-FR"/>
        </w:rPr>
        <w:t>derio quoddam diuinum presagie</w:t>
      </w:r>
      <w:r w:rsidRPr="007422C9">
        <w:rPr>
          <w:lang w:eastAsia="fr-FR" w:bidi="fr-FR"/>
        </w:rPr>
        <w:t>bant in eo cuius membra, quia uirginei pudoris dampna non senserant, in quadam resurrectionis gl</w:t>
      </w:r>
      <w:r w:rsidRPr="007422C9">
        <w:rPr>
          <w:lang w:eastAsia="fr-FR" w:bidi="fr-FR"/>
        </w:rPr>
        <w:t>o</w:t>
      </w:r>
      <w:r w:rsidRPr="007422C9">
        <w:rPr>
          <w:lang w:eastAsia="fr-FR" w:bidi="fr-FR"/>
        </w:rPr>
        <w:t>ria corpus manere non dubit</w:t>
      </w:r>
      <w:r w:rsidRPr="007422C9">
        <w:rPr>
          <w:lang w:eastAsia="fr-FR" w:bidi="fr-FR"/>
        </w:rPr>
        <w:t>a</w:t>
      </w:r>
      <w:r w:rsidRPr="007422C9">
        <w:rPr>
          <w:lang w:eastAsia="fr-FR" w:bidi="fr-FR"/>
        </w:rPr>
        <w:t>bant. Alii uero sancti et religiosi uiri maximo ducebantur affectu uultum eius cernere, quibus contigit in carne dum uiueret des</w:t>
      </w:r>
      <w:r w:rsidRPr="007422C9">
        <w:rPr>
          <w:lang w:eastAsia="fr-FR" w:bidi="fr-FR"/>
        </w:rPr>
        <w:t>i</w:t>
      </w:r>
      <w:r w:rsidRPr="007422C9">
        <w:rPr>
          <w:lang w:eastAsia="fr-FR" w:bidi="fr-FR"/>
        </w:rPr>
        <w:t>derabilem faciem eius uidere. In eius namque fuerant obsequio deputati, ideoque ad sanctum feruebant celerius n</w:t>
      </w:r>
      <w:r w:rsidRPr="007422C9">
        <w:rPr>
          <w:lang w:eastAsia="fr-FR" w:bidi="fr-FR"/>
        </w:rPr>
        <w:t>e</w:t>
      </w:r>
      <w:r w:rsidRPr="007422C9">
        <w:rPr>
          <w:lang w:eastAsia="fr-FR" w:bidi="fr-FR"/>
        </w:rPr>
        <w:t>gotium ut propriis inuiserent oculis tanto tempore tumulatum. R</w:t>
      </w:r>
      <w:r w:rsidRPr="007422C9">
        <w:rPr>
          <w:lang w:eastAsia="fr-FR" w:bidi="fr-FR"/>
        </w:rPr>
        <w:t>e</w:t>
      </w:r>
      <w:r w:rsidRPr="007422C9">
        <w:rPr>
          <w:lang w:eastAsia="fr-FR" w:bidi="fr-FR"/>
        </w:rPr>
        <w:t>mouetur ergo lapis superior a sarcofago, corpusque gloriosum pallio inuolutum reperriunt preci</w:t>
      </w:r>
      <w:r w:rsidRPr="007422C9">
        <w:rPr>
          <w:lang w:eastAsia="fr-FR" w:bidi="fr-FR"/>
        </w:rPr>
        <w:t>o</w:t>
      </w:r>
      <w:r w:rsidRPr="007422C9">
        <w:rPr>
          <w:lang w:eastAsia="fr-FR" w:bidi="fr-FR"/>
        </w:rPr>
        <w:t>so ; manus delicatas et flexibiles articulos, regioque digitum anulo circumdatum et sandalia contemplantur nu</w:t>
      </w:r>
      <w:r w:rsidRPr="007422C9">
        <w:rPr>
          <w:lang w:eastAsia="fr-FR" w:bidi="fr-FR"/>
        </w:rPr>
        <w:t>l</w:t>
      </w:r>
      <w:r w:rsidRPr="007422C9">
        <w:rPr>
          <w:lang w:eastAsia="fr-FR" w:bidi="fr-FR"/>
        </w:rPr>
        <w:t>lum putredinis preferre uestigium ; sceptrum a latere et corona in cap</w:t>
      </w:r>
      <w:r w:rsidRPr="007422C9">
        <w:rPr>
          <w:lang w:eastAsia="fr-FR" w:bidi="fr-FR"/>
        </w:rPr>
        <w:t>i</w:t>
      </w:r>
      <w:r w:rsidRPr="007422C9">
        <w:rPr>
          <w:lang w:eastAsia="fr-FR" w:bidi="fr-FR"/>
        </w:rPr>
        <w:t>te et quecunque sépulture celebris erant regalia nulla uidebantur uetu</w:t>
      </w:r>
      <w:r w:rsidRPr="007422C9">
        <w:rPr>
          <w:lang w:eastAsia="fr-FR" w:bidi="fr-FR"/>
        </w:rPr>
        <w:t>s</w:t>
      </w:r>
      <w:r w:rsidRPr="007422C9">
        <w:rPr>
          <w:lang w:eastAsia="fr-FR" w:bidi="fr-FR"/>
        </w:rPr>
        <w:t>tate consumpta. Sicque caro solida et nitida</w:t>
      </w:r>
      <w:r>
        <w:rPr>
          <w:lang w:eastAsia="fr-FR" w:bidi="fr-FR"/>
        </w:rPr>
        <w:t xml:space="preserve"> erant ac inuiolata omnia uesti</w:t>
      </w:r>
      <w:r w:rsidRPr="007422C9">
        <w:rPr>
          <w:lang w:eastAsia="fr-FR" w:bidi="fr-FR"/>
        </w:rPr>
        <w:t>menta, ut integritas eorum loqueretur Deum in Eadwardo uere mirabilem, qui in eius carne representabat</w:t>
      </w:r>
      <w:r>
        <w:rPr>
          <w:lang w:eastAsia="fr-FR" w:bidi="fr-FR"/>
        </w:rPr>
        <w:t> </w:t>
      </w:r>
      <w:r>
        <w:rPr>
          <w:rStyle w:val="Appelnotedebasdep"/>
          <w:lang w:eastAsia="fr-FR" w:bidi="fr-FR"/>
        </w:rPr>
        <w:footnoteReference w:customMarkFollows="1" w:id="1368"/>
        <w:t>a</w:t>
      </w:r>
      <w:r w:rsidRPr="007422C9">
        <w:rPr>
          <w:lang w:eastAsia="fr-FR" w:bidi="fr-FR"/>
        </w:rPr>
        <w:t xml:space="preserve"> quandam sanctorum co</w:t>
      </w:r>
      <w:r w:rsidRPr="007422C9">
        <w:rPr>
          <w:lang w:eastAsia="fr-FR" w:bidi="fr-FR"/>
        </w:rPr>
        <w:t>r</w:t>
      </w:r>
      <w:r w:rsidRPr="007422C9">
        <w:rPr>
          <w:lang w:eastAsia="fr-FR" w:bidi="fr-FR"/>
        </w:rPr>
        <w:t>porum resurrec- tionem. Tantus autem timor uniuersos inuasit, ut u</w:t>
      </w:r>
      <w:r w:rsidRPr="007422C9">
        <w:rPr>
          <w:lang w:eastAsia="fr-FR" w:bidi="fr-FR"/>
        </w:rPr>
        <w:t>e</w:t>
      </w:r>
      <w:r w:rsidRPr="007422C9">
        <w:rPr>
          <w:lang w:eastAsia="fr-FR" w:bidi="fr-FR"/>
        </w:rPr>
        <w:t>latam regis faciem nullus aggrederetur detegere, nec concupiscibilem uultum eius ex parte al</w:t>
      </w:r>
      <w:r w:rsidRPr="007422C9">
        <w:rPr>
          <w:lang w:eastAsia="fr-FR" w:bidi="fr-FR"/>
        </w:rPr>
        <w:t>i</w:t>
      </w:r>
      <w:r w:rsidRPr="007422C9">
        <w:rPr>
          <w:lang w:eastAsia="fr-FR" w:bidi="fr-FR"/>
        </w:rPr>
        <w:t>qua denudare. Solus ille uir sanctus et iustus antistes Dei Gunnulfus tanti amoris desiderio ignitus efïeruuit, ut pa</w:t>
      </w:r>
      <w:r w:rsidRPr="007422C9">
        <w:rPr>
          <w:lang w:eastAsia="fr-FR" w:bidi="fr-FR"/>
        </w:rPr>
        <w:t>l</w:t>
      </w:r>
      <w:r w:rsidRPr="007422C9">
        <w:rPr>
          <w:lang w:eastAsia="fr-FR" w:bidi="fr-FR"/>
        </w:rPr>
        <w:t>lium sub mento scinderet et barbam f</w:t>
      </w:r>
      <w:r w:rsidRPr="007422C9">
        <w:rPr>
          <w:lang w:eastAsia="fr-FR" w:bidi="fr-FR"/>
        </w:rPr>
        <w:t>o</w:t>
      </w:r>
      <w:r w:rsidRPr="007422C9">
        <w:rPr>
          <w:lang w:eastAsia="fr-FR" w:bidi="fr-FR"/>
        </w:rPr>
        <w:t>ris extraheret, et inter manus s</w:t>
      </w:r>
      <w:r>
        <w:rPr>
          <w:lang w:eastAsia="fr-FR" w:bidi="fr-FR"/>
        </w:rPr>
        <w:t>uas uenusta compositione collo</w:t>
      </w:r>
      <w:r w:rsidRPr="007422C9">
        <w:rPr>
          <w:lang w:eastAsia="fr-FR" w:bidi="fr-FR"/>
        </w:rPr>
        <w:t>caret. Cum uero eam solidam sentiret in carne, héros obstupuit de miraculi nouitate. Temptauit tamen pilum aliquem si sponte sequeretur suauiter detrahere, ut de sancti regis rel</w:t>
      </w:r>
      <w:r w:rsidRPr="007422C9">
        <w:rPr>
          <w:lang w:eastAsia="fr-FR" w:bidi="fr-FR"/>
        </w:rPr>
        <w:t>i</w:t>
      </w:r>
      <w:r w:rsidRPr="007422C9">
        <w:rPr>
          <w:lang w:eastAsia="fr-FR" w:bidi="fr-FR"/>
        </w:rPr>
        <w:t>quiis huiusmodi copia preualeret habundare. Astans uero et consid</w:t>
      </w:r>
      <w:r w:rsidRPr="007422C9">
        <w:rPr>
          <w:lang w:eastAsia="fr-FR" w:bidi="fr-FR"/>
        </w:rPr>
        <w:t>e</w:t>
      </w:r>
      <w:r w:rsidRPr="007422C9">
        <w:rPr>
          <w:lang w:eastAsia="fr-FR" w:bidi="fr-FR"/>
        </w:rPr>
        <w:t>rans hec domnus abbas Gillebertus : « Quid » inquit « est, presul am</w:t>
      </w:r>
      <w:r w:rsidRPr="007422C9">
        <w:rPr>
          <w:lang w:eastAsia="fr-FR" w:bidi="fr-FR"/>
        </w:rPr>
        <w:t>a</w:t>
      </w:r>
      <w:r w:rsidRPr="007422C9">
        <w:rPr>
          <w:lang w:eastAsia="fr-FR" w:bidi="fr-FR"/>
        </w:rPr>
        <w:t>bilis, quod agis ? Qui in terra uiuentium perpetuam cum sanctis Dei possidet hereditatem, quare temporalis eius glorie queris minuere po</w:t>
      </w:r>
      <w:r w:rsidRPr="007422C9">
        <w:rPr>
          <w:lang w:eastAsia="fr-FR" w:bidi="fr-FR"/>
        </w:rPr>
        <w:t>r</w:t>
      </w:r>
      <w:r w:rsidRPr="007422C9">
        <w:rPr>
          <w:lang w:eastAsia="fr-FR" w:bidi="fr-FR"/>
        </w:rPr>
        <w:t>cionem ? Relinque, uir insignis, talia presumere, et noli tantum princ</w:t>
      </w:r>
      <w:r w:rsidRPr="007422C9">
        <w:rPr>
          <w:lang w:eastAsia="fr-FR" w:bidi="fr-FR"/>
        </w:rPr>
        <w:t>i</w:t>
      </w:r>
      <w:r w:rsidRPr="007422C9">
        <w:rPr>
          <w:lang w:eastAsia="fr-FR" w:bidi="fr-FR"/>
        </w:rPr>
        <w:t>pem in regni sui thal</w:t>
      </w:r>
      <w:r w:rsidRPr="007422C9">
        <w:rPr>
          <w:lang w:eastAsia="fr-FR" w:bidi="fr-FR"/>
        </w:rPr>
        <w:t>a</w:t>
      </w:r>
      <w:r w:rsidRPr="007422C9">
        <w:rPr>
          <w:lang w:eastAsia="fr-FR" w:bidi="fr-FR"/>
        </w:rPr>
        <w:t>mo pregrauare ». Iam uero Gunnulfus totus in lacrimis resolutus : « Probe, uenerabilis abbas, locutus es » ait. « Set noueris quod me nulla presumptionis audacia ad hoc precipitauit. A</w:t>
      </w:r>
      <w:r w:rsidRPr="007422C9">
        <w:rPr>
          <w:lang w:eastAsia="fr-FR" w:bidi="fr-FR"/>
        </w:rPr>
        <w:t>r</w:t>
      </w:r>
      <w:r w:rsidRPr="007422C9">
        <w:rPr>
          <w:lang w:eastAsia="fr-FR" w:bidi="fr-FR"/>
        </w:rPr>
        <w:t>dor namque sancte deuotionis quo in amore gloriosi regis incalui m</w:t>
      </w:r>
      <w:r w:rsidRPr="007422C9">
        <w:rPr>
          <w:lang w:eastAsia="fr-FR" w:bidi="fr-FR"/>
        </w:rPr>
        <w:t>o</w:t>
      </w:r>
      <w:r w:rsidRPr="007422C9">
        <w:rPr>
          <w:lang w:eastAsia="fr-FR" w:bidi="fr-FR"/>
        </w:rPr>
        <w:t>nuit ut uel unum ex barba niuea pilum contingerem, quod ad eius memoriam sollempniter exceptum auro precioso</w:t>
      </w:r>
      <w:r>
        <w:rPr>
          <w:lang w:eastAsia="fr-FR" w:bidi="fr-FR"/>
        </w:rPr>
        <w:t> </w:t>
      </w:r>
      <w:r>
        <w:rPr>
          <w:rStyle w:val="Appelnotedebasdep"/>
          <w:lang w:eastAsia="fr-FR" w:bidi="fr-FR"/>
        </w:rPr>
        <w:footnoteReference w:customMarkFollows="1" w:id="1369"/>
        <w:t>b</w:t>
      </w:r>
      <w:r w:rsidRPr="007422C9">
        <w:rPr>
          <w:lang w:eastAsia="fr-FR" w:bidi="fr-FR"/>
        </w:rPr>
        <w:t xml:space="preserve"> preciosius possid</w:t>
      </w:r>
      <w:r w:rsidRPr="007422C9">
        <w:rPr>
          <w:lang w:eastAsia="fr-FR" w:bidi="fr-FR"/>
        </w:rPr>
        <w:t>e</w:t>
      </w:r>
      <w:r w:rsidRPr="007422C9">
        <w:rPr>
          <w:lang w:eastAsia="fr-FR" w:bidi="fr-FR"/>
        </w:rPr>
        <w:t>rem. At quia spes efïluxit nec ad uotum michi cedere potuit, que sua sunt ut Dominus habeat in pace, et superni iuris non spolietur conce</w:t>
      </w:r>
      <w:r w:rsidRPr="007422C9">
        <w:rPr>
          <w:lang w:eastAsia="fr-FR" w:bidi="fr-FR"/>
        </w:rPr>
        <w:t>s</w:t>
      </w:r>
      <w:r w:rsidRPr="007422C9">
        <w:rPr>
          <w:lang w:eastAsia="fr-FR" w:bidi="fr-FR"/>
        </w:rPr>
        <w:t>sa celitus libertate. Requie</w:t>
      </w:r>
      <w:r w:rsidRPr="007422C9">
        <w:rPr>
          <w:lang w:eastAsia="fr-FR" w:bidi="fr-FR"/>
        </w:rPr>
        <w:t>s</w:t>
      </w:r>
      <w:r w:rsidRPr="007422C9">
        <w:rPr>
          <w:lang w:eastAsia="fr-FR" w:bidi="fr-FR"/>
        </w:rPr>
        <w:t>cat in palatio suo et incorruptus et uirgo, donec tripudio gratulabundus occurrat aduentui iudicis, recepturus in hac carne perhennem gloriam beate immortalitatis ». In sepulcro igitur clauserunt sanctum corpus in integra sui soliditate repertum de quo prius tanta odoris emanauerat fragrantia</w:t>
      </w:r>
      <w:r>
        <w:rPr>
          <w:lang w:eastAsia="fr-FR" w:bidi="fr-FR"/>
        </w:rPr>
        <w:t> </w:t>
      </w:r>
      <w:r>
        <w:rPr>
          <w:rStyle w:val="Appelnotedebasdep"/>
          <w:lang w:eastAsia="fr-FR" w:bidi="fr-FR"/>
        </w:rPr>
        <w:footnoteReference w:customMarkFollows="1" w:id="1370"/>
        <w:t>c</w:t>
      </w:r>
      <w:r w:rsidRPr="007422C9">
        <w:rPr>
          <w:lang w:eastAsia="fr-FR" w:bidi="fr-FR"/>
        </w:rPr>
        <w:t xml:space="preserve"> ut eius suauitate ilia domus Dei tota quasi redoleret aspe</w:t>
      </w:r>
      <w:r w:rsidRPr="007422C9">
        <w:rPr>
          <w:lang w:eastAsia="fr-FR" w:bidi="fr-FR"/>
        </w:rPr>
        <w:t>r</w:t>
      </w:r>
      <w:r w:rsidRPr="007422C9">
        <w:rPr>
          <w:lang w:eastAsia="fr-FR" w:bidi="fr-FR"/>
        </w:rPr>
        <w:t>sa. Ad cuius monumentum multo plura quam retulerim afïluere soient opérante Christo magnalia, quorum quedam intacta studiose preterii, eo quod audientibus tedium generare formidaui.</w:t>
      </w:r>
    </w:p>
    <w:p w14:paraId="4EF893A4" w14:textId="77777777" w:rsidR="00B9662D" w:rsidRDefault="00B9662D" w:rsidP="00B9662D">
      <w:pPr>
        <w:spacing w:before="120" w:after="120"/>
        <w:jc w:val="both"/>
        <w:rPr>
          <w:lang w:eastAsia="fr-FR" w:bidi="fr-FR"/>
        </w:rPr>
      </w:pPr>
    </w:p>
    <w:p w14:paraId="3144CCEC" w14:textId="77777777" w:rsidR="00B9662D" w:rsidRPr="007422C9" w:rsidRDefault="00B9662D" w:rsidP="00B9662D">
      <w:pPr>
        <w:spacing w:before="120" w:after="120"/>
        <w:jc w:val="both"/>
      </w:pPr>
      <w:r w:rsidRPr="007422C9">
        <w:rPr>
          <w:lang w:eastAsia="fr-FR" w:bidi="fr-FR"/>
        </w:rPr>
        <w:t>Ego tamen quem in Dei obsequio alimonia corporali cotidie ueg</w:t>
      </w:r>
      <w:r w:rsidRPr="007422C9">
        <w:rPr>
          <w:lang w:eastAsia="fr-FR" w:bidi="fr-FR"/>
        </w:rPr>
        <w:t>e</w:t>
      </w:r>
      <w:r w:rsidRPr="007422C9">
        <w:rPr>
          <w:lang w:eastAsia="fr-FR" w:bidi="fr-FR"/>
        </w:rPr>
        <w:t>tat, et beneficiorum s</w:t>
      </w:r>
      <w:r>
        <w:rPr>
          <w:lang w:eastAsia="fr-FR" w:bidi="fr-FR"/>
        </w:rPr>
        <w:t>uorum copiosa largitate sustenta</w:t>
      </w:r>
      <w:r w:rsidRPr="007422C9">
        <w:rPr>
          <w:lang w:eastAsia="fr-FR" w:bidi="fr-FR"/>
        </w:rPr>
        <w:t>t, perhennius ere nouum</w:t>
      </w:r>
      <w:r>
        <w:t xml:space="preserve"> [1024] </w:t>
      </w:r>
      <w:r w:rsidRPr="007422C9">
        <w:rPr>
          <w:lang w:eastAsia="fr-FR" w:bidi="fr-FR"/>
        </w:rPr>
        <w:t>ei cudere non distuli monumentum</w:t>
      </w:r>
      <w:r>
        <w:rPr>
          <w:lang w:eastAsia="fr-FR" w:bidi="fr-FR"/>
        </w:rPr>
        <w:t> </w:t>
      </w:r>
      <w:r>
        <w:rPr>
          <w:rStyle w:val="Appelnotedebasdep"/>
        </w:rPr>
        <w:footnoteReference w:id="1371"/>
      </w:r>
      <w:r>
        <w:rPr>
          <w:lang w:eastAsia="fr-FR" w:bidi="fr-FR"/>
        </w:rPr>
        <w:t>,</w:t>
      </w:r>
      <w:r w:rsidRPr="007422C9">
        <w:rPr>
          <w:lang w:eastAsia="fr-FR" w:bidi="fr-FR"/>
        </w:rPr>
        <w:t xml:space="preserve"> ut per generati</w:t>
      </w:r>
      <w:r w:rsidRPr="007422C9">
        <w:rPr>
          <w:lang w:eastAsia="fr-FR" w:bidi="fr-FR"/>
        </w:rPr>
        <w:t>o</w:t>
      </w:r>
      <w:r w:rsidRPr="007422C9">
        <w:rPr>
          <w:lang w:eastAsia="fr-FR" w:bidi="fr-FR"/>
        </w:rPr>
        <w:t>num succe</w:t>
      </w:r>
      <w:r w:rsidRPr="007422C9">
        <w:rPr>
          <w:lang w:eastAsia="fr-FR" w:bidi="fr-FR"/>
        </w:rPr>
        <w:t>s</w:t>
      </w:r>
      <w:r w:rsidRPr="007422C9">
        <w:rPr>
          <w:lang w:eastAsia="fr-FR" w:bidi="fr-FR"/>
        </w:rPr>
        <w:t>siones notitie semper pateat posterorum. Extende dexteram tuam it</w:t>
      </w:r>
      <w:r w:rsidRPr="007422C9">
        <w:rPr>
          <w:lang w:eastAsia="fr-FR" w:bidi="fr-FR"/>
        </w:rPr>
        <w:t>a</w:t>
      </w:r>
      <w:r w:rsidRPr="007422C9">
        <w:rPr>
          <w:lang w:eastAsia="fr-FR" w:bidi="fr-FR"/>
        </w:rPr>
        <w:t>que, sancte pater patrie nostre et rex insignis Eadwarde, et s</w:t>
      </w:r>
      <w:r w:rsidRPr="007422C9">
        <w:rPr>
          <w:lang w:eastAsia="fr-FR" w:bidi="fr-FR"/>
        </w:rPr>
        <w:t>u</w:t>
      </w:r>
      <w:r w:rsidRPr="007422C9">
        <w:rPr>
          <w:lang w:eastAsia="fr-FR" w:bidi="fr-FR"/>
        </w:rPr>
        <w:t>per congregationem tuam clementer inuoca Dei misericordiam, et sic tibi famulantes</w:t>
      </w:r>
      <w:r>
        <w:rPr>
          <w:lang w:eastAsia="fr-FR" w:bidi="fr-FR"/>
        </w:rPr>
        <w:t> </w:t>
      </w:r>
      <w:r>
        <w:rPr>
          <w:rStyle w:val="Appelnotedebasdep"/>
          <w:lang w:eastAsia="fr-FR" w:bidi="fr-FR"/>
        </w:rPr>
        <w:footnoteReference w:customMarkFollows="1" w:id="1372"/>
        <w:t>d</w:t>
      </w:r>
      <w:r w:rsidRPr="007422C9">
        <w:rPr>
          <w:lang w:eastAsia="fr-FR" w:bidi="fr-FR"/>
        </w:rPr>
        <w:t xml:space="preserve"> in hac carnis molestia prot</w:t>
      </w:r>
      <w:r>
        <w:rPr>
          <w:lang w:eastAsia="fr-FR" w:bidi="fr-FR"/>
        </w:rPr>
        <w:t>ege,</w:t>
      </w:r>
      <w:r w:rsidRPr="007422C9">
        <w:rPr>
          <w:lang w:eastAsia="fr-FR" w:bidi="fr-FR"/>
        </w:rPr>
        <w:t xml:space="preserve"> ut tecum mereantur ante uultum Dei féliciter in celo sine fine regnare. Et licet tenuis scie</w:t>
      </w:r>
      <w:r w:rsidRPr="007422C9">
        <w:rPr>
          <w:lang w:eastAsia="fr-FR" w:bidi="fr-FR"/>
        </w:rPr>
        <w:t>n</w:t>
      </w:r>
      <w:r w:rsidRPr="007422C9">
        <w:rPr>
          <w:lang w:eastAsia="fr-FR" w:bidi="fr-FR"/>
        </w:rPr>
        <w:t>tie scriptor tuus decoratus uirtutibus non resplendeat Osbertus, qui</w:t>
      </w:r>
      <w:r>
        <w:rPr>
          <w:lang w:eastAsia="fr-FR" w:bidi="fr-FR"/>
        </w:rPr>
        <w:t> </w:t>
      </w:r>
      <w:r>
        <w:rPr>
          <w:rStyle w:val="Appelnotedebasdep"/>
          <w:lang w:eastAsia="fr-FR" w:bidi="fr-FR"/>
        </w:rPr>
        <w:footnoteReference w:customMarkFollows="1" w:id="1373"/>
        <w:t>e</w:t>
      </w:r>
      <w:r w:rsidRPr="007422C9">
        <w:rPr>
          <w:lang w:eastAsia="fr-FR" w:bidi="fr-FR"/>
        </w:rPr>
        <w:t xml:space="preserve"> de castello quod Clara dicitur natiuitatis duxit originem, eterne per te gl</w:t>
      </w:r>
      <w:r w:rsidRPr="007422C9">
        <w:rPr>
          <w:lang w:eastAsia="fr-FR" w:bidi="fr-FR"/>
        </w:rPr>
        <w:t>o</w:t>
      </w:r>
      <w:r w:rsidRPr="007422C9">
        <w:rPr>
          <w:lang w:eastAsia="fr-FR" w:bidi="fr-FR"/>
        </w:rPr>
        <w:t>rie consequatur claritatem. Hec enim gesta tue regie fortit</w:t>
      </w:r>
      <w:r w:rsidRPr="007422C9">
        <w:rPr>
          <w:lang w:eastAsia="fr-FR" w:bidi="fr-FR"/>
        </w:rPr>
        <w:t>u</w:t>
      </w:r>
      <w:r w:rsidRPr="007422C9">
        <w:rPr>
          <w:lang w:eastAsia="fr-FR" w:bidi="fr-FR"/>
        </w:rPr>
        <w:t>dinis ex diuersorum collegit uarietate uoluminum, et gloria Dei dicta</w:t>
      </w:r>
      <w:r w:rsidRPr="007422C9">
        <w:rPr>
          <w:lang w:eastAsia="fr-FR" w:bidi="fr-FR"/>
        </w:rPr>
        <w:t>n</w:t>
      </w:r>
      <w:r w:rsidRPr="007422C9">
        <w:rPr>
          <w:lang w:eastAsia="fr-FR" w:bidi="fr-FR"/>
        </w:rPr>
        <w:t>te red</w:t>
      </w:r>
      <w:r w:rsidRPr="007422C9">
        <w:rPr>
          <w:lang w:eastAsia="fr-FR" w:bidi="fr-FR"/>
        </w:rPr>
        <w:t>e</w:t>
      </w:r>
      <w:r w:rsidRPr="007422C9">
        <w:rPr>
          <w:lang w:eastAsia="fr-FR" w:bidi="fr-FR"/>
        </w:rPr>
        <w:t>git in unum. Gloria itaque Deo in exelsis qui te tam sanctum plebis Anglice principem coronauit in terris, et cum sanctis suis i</w:t>
      </w:r>
      <w:r w:rsidRPr="007422C9">
        <w:rPr>
          <w:lang w:eastAsia="fr-FR" w:bidi="fr-FR"/>
        </w:rPr>
        <w:t>m</w:t>
      </w:r>
      <w:r w:rsidRPr="007422C9">
        <w:rPr>
          <w:lang w:eastAsia="fr-FR" w:bidi="fr-FR"/>
        </w:rPr>
        <w:t>mortalit</w:t>
      </w:r>
      <w:r w:rsidRPr="007422C9">
        <w:rPr>
          <w:lang w:eastAsia="fr-FR" w:bidi="fr-FR"/>
        </w:rPr>
        <w:t>a</w:t>
      </w:r>
      <w:r w:rsidRPr="007422C9">
        <w:rPr>
          <w:lang w:eastAsia="fr-FR" w:bidi="fr-FR"/>
        </w:rPr>
        <w:t>te ditauit, eterna ubi possides gaudia per seculorum secula ! Amen.</w:t>
      </w:r>
    </w:p>
    <w:p w14:paraId="37763D78" w14:textId="77777777" w:rsidR="00B9662D" w:rsidRPr="009C48E5" w:rsidRDefault="00B9662D" w:rsidP="00B9662D">
      <w:pPr>
        <w:spacing w:before="120" w:after="120"/>
        <w:jc w:val="both"/>
        <w:rPr>
          <w:b/>
        </w:rPr>
      </w:pPr>
      <w:r w:rsidRPr="009C48E5">
        <w:rPr>
          <w:b/>
          <w:lang w:eastAsia="fr-FR" w:bidi="fr-FR"/>
        </w:rPr>
        <w:t>Explicit uita sancti Eadwardi regis Anglorum.</w:t>
      </w:r>
    </w:p>
    <w:p w14:paraId="4E21063A" w14:textId="77777777" w:rsidR="00B9662D" w:rsidRDefault="00B9662D" w:rsidP="00B9662D">
      <w:pPr>
        <w:spacing w:before="120" w:after="120"/>
        <w:jc w:val="both"/>
        <w:rPr>
          <w:lang w:eastAsia="fr-FR" w:bidi="fr-FR"/>
        </w:rPr>
      </w:pPr>
      <w:r>
        <w:rPr>
          <w:lang w:eastAsia="fr-FR" w:bidi="fr-FR"/>
        </w:rPr>
        <w:br w:type="page"/>
      </w:r>
    </w:p>
    <w:p w14:paraId="63F8AC8B" w14:textId="77777777" w:rsidR="00B9662D" w:rsidRDefault="00B9662D" w:rsidP="00B9662D">
      <w:pPr>
        <w:spacing w:before="120" w:after="120"/>
        <w:jc w:val="both"/>
        <w:rPr>
          <w:lang w:eastAsia="fr-FR" w:bidi="fr-FR"/>
        </w:rPr>
      </w:pPr>
    </w:p>
    <w:p w14:paraId="560049A7" w14:textId="77777777" w:rsidR="00B9662D" w:rsidRPr="007422C9" w:rsidRDefault="00B9662D" w:rsidP="00B9662D">
      <w:pPr>
        <w:pStyle w:val="planche"/>
      </w:pPr>
      <w:bookmarkStart w:id="59" w:name="Melanges_t2_pt_9_chap_IV_IV_appendice_I"/>
      <w:r w:rsidRPr="007422C9">
        <w:t>APPENDICE I</w:t>
      </w:r>
    </w:p>
    <w:p w14:paraId="641680DB" w14:textId="77777777" w:rsidR="00B9662D" w:rsidRPr="009C48E5" w:rsidRDefault="00B9662D" w:rsidP="00B9662D">
      <w:pPr>
        <w:pStyle w:val="planchest0"/>
      </w:pPr>
      <w:r w:rsidRPr="009C48E5">
        <w:t>Miracles ajoutés a la Vie d’Osbert</w:t>
      </w:r>
      <w:r w:rsidRPr="009C48E5">
        <w:br/>
        <w:t>par le manuscrit de Cambridge</w:t>
      </w:r>
      <w:r>
        <w:t> </w:t>
      </w:r>
      <w:r w:rsidRPr="0030796E">
        <w:rPr>
          <w:rStyle w:val="Appelnotedebasdep"/>
        </w:rPr>
        <w:footnoteReference w:customMarkFollows="1" w:id="1374"/>
        <w:t>a</w:t>
      </w:r>
    </w:p>
    <w:bookmarkEnd w:id="59"/>
    <w:p w14:paraId="4E5A2EB2" w14:textId="77777777" w:rsidR="00B9662D" w:rsidRDefault="00B9662D" w:rsidP="00B9662D">
      <w:pPr>
        <w:spacing w:before="120" w:after="120"/>
        <w:jc w:val="both"/>
        <w:rPr>
          <w:lang w:eastAsia="fr-FR" w:bidi="fr-FR"/>
        </w:rPr>
      </w:pPr>
    </w:p>
    <w:p w14:paraId="74BE3409" w14:textId="77777777" w:rsidR="00B9662D" w:rsidRPr="007422C9" w:rsidRDefault="00B9662D" w:rsidP="00B9662D">
      <w:pPr>
        <w:pStyle w:val="a"/>
      </w:pPr>
      <w:r w:rsidRPr="009C48E5">
        <w:t>I. Itinerarium stupendum duorum peregrinorum per quos sanctus Iohannes anulum sancto Eadwardo quem ei dederat rem</w:t>
      </w:r>
      <w:r w:rsidRPr="009C48E5">
        <w:t>i</w:t>
      </w:r>
      <w:r w:rsidRPr="009C48E5">
        <w:t>sit</w:t>
      </w:r>
      <w:r>
        <w:t> </w:t>
      </w:r>
      <w:r w:rsidRPr="0030796E">
        <w:rPr>
          <w:rStyle w:val="Appelnotedebasdep"/>
          <w:b w:val="0"/>
          <w:i w:val="0"/>
        </w:rPr>
        <w:footnoteReference w:id="1375"/>
      </w:r>
      <w:r w:rsidRPr="007422C9">
        <w:t>.</w:t>
      </w:r>
    </w:p>
    <w:p w14:paraId="3FDF2126" w14:textId="77777777" w:rsidR="00B9662D" w:rsidRDefault="00B9662D" w:rsidP="00B9662D">
      <w:pPr>
        <w:spacing w:before="120" w:after="120"/>
        <w:jc w:val="both"/>
        <w:rPr>
          <w:lang w:eastAsia="fr-FR" w:bidi="fr-FR"/>
        </w:rPr>
      </w:pPr>
    </w:p>
    <w:p w14:paraId="6E078D96"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32CFAB14" w14:textId="77777777" w:rsidR="00B9662D" w:rsidRPr="007422C9" w:rsidRDefault="00B9662D" w:rsidP="00B9662D">
      <w:pPr>
        <w:spacing w:before="120" w:after="120"/>
        <w:jc w:val="both"/>
      </w:pPr>
      <w:r w:rsidRPr="007422C9">
        <w:rPr>
          <w:lang w:eastAsia="fr-FR" w:bidi="fr-FR"/>
        </w:rPr>
        <w:t>Quia de transitu delecti Deo principis exprimenda est s</w:t>
      </w:r>
      <w:r>
        <w:rPr>
          <w:lang w:eastAsia="fr-FR" w:bidi="fr-FR"/>
        </w:rPr>
        <w:t>er</w:t>
      </w:r>
      <w:r w:rsidRPr="007422C9">
        <w:rPr>
          <w:lang w:eastAsia="fr-FR" w:bidi="fr-FR"/>
        </w:rPr>
        <w:t>i</w:t>
      </w:r>
      <w:r>
        <w:rPr>
          <w:lang w:eastAsia="fr-FR" w:bidi="fr-FR"/>
        </w:rPr>
        <w:t>es</w:t>
      </w:r>
      <w:r w:rsidRPr="007422C9">
        <w:rPr>
          <w:lang w:eastAsia="fr-FR" w:bidi="fr-FR"/>
        </w:rPr>
        <w:t>, mir</w:t>
      </w:r>
      <w:r w:rsidRPr="007422C9">
        <w:rPr>
          <w:lang w:eastAsia="fr-FR" w:bidi="fr-FR"/>
        </w:rPr>
        <w:t>a</w:t>
      </w:r>
      <w:r w:rsidRPr="007422C9">
        <w:rPr>
          <w:lang w:eastAsia="fr-FR" w:bidi="fr-FR"/>
        </w:rPr>
        <w:t>culum referre de eo prius hoc libuit, quod eius excessui concinnabit.</w:t>
      </w:r>
    </w:p>
    <w:p w14:paraId="63E2F435" w14:textId="77777777" w:rsidR="00B9662D" w:rsidRPr="007422C9" w:rsidRDefault="00B9662D" w:rsidP="00B9662D">
      <w:pPr>
        <w:spacing w:before="120" w:after="120"/>
        <w:jc w:val="both"/>
      </w:pPr>
      <w:r w:rsidRPr="007422C9">
        <w:rPr>
          <w:lang w:eastAsia="fr-FR" w:bidi="fr-FR"/>
        </w:rPr>
        <w:t>Duo uiri ex Anglis peregre profecti Ierosolimam tendunt. Vbi pr</w:t>
      </w:r>
      <w:r w:rsidRPr="007422C9">
        <w:rPr>
          <w:lang w:eastAsia="fr-FR" w:bidi="fr-FR"/>
        </w:rPr>
        <w:t>e</w:t>
      </w:r>
      <w:r w:rsidRPr="007422C9">
        <w:rPr>
          <w:lang w:eastAsia="fr-FR" w:bidi="fr-FR"/>
        </w:rPr>
        <w:t>cibus et oblationibus persolutis, ad montem Synai quibus potuerunt laboribus peruenerunt. Volebant enim et locum ilium cernere in quo lex data est Moysi scripta digito Dei, et gloriose uirginis Caterine suf</w:t>
      </w:r>
      <w:r w:rsidRPr="007422C9">
        <w:rPr>
          <w:lang w:eastAsia="fr-FR" w:bidi="fr-FR"/>
        </w:rPr>
        <w:t>ï</w:t>
      </w:r>
      <w:r w:rsidRPr="007422C9">
        <w:rPr>
          <w:lang w:eastAsia="fr-FR" w:bidi="fr-FR"/>
        </w:rPr>
        <w:t>ragiis adiuuari</w:t>
      </w:r>
      <w:r>
        <w:rPr>
          <w:lang w:eastAsia="fr-FR" w:bidi="fr-FR"/>
        </w:rPr>
        <w:t> </w:t>
      </w:r>
      <w:r>
        <w:rPr>
          <w:rStyle w:val="Appelnotedebasdep"/>
        </w:rPr>
        <w:footnoteReference w:id="1376"/>
      </w:r>
      <w:r w:rsidRPr="007422C9">
        <w:rPr>
          <w:lang w:eastAsia="fr-FR" w:bidi="fr-FR"/>
        </w:rPr>
        <w:t>. Et quia fluuius de paradiso egrediens haud longe subterfluit, huius ortum decreuerunt inquirere. Circumeuntes uero diuersos inciderunt errores. Multis igitur diebus huius dispendii uan</w:t>
      </w:r>
      <w:r w:rsidRPr="007422C9">
        <w:rPr>
          <w:lang w:eastAsia="fr-FR" w:bidi="fr-FR"/>
        </w:rPr>
        <w:t>i</w:t>
      </w:r>
      <w:r w:rsidRPr="007422C9">
        <w:rPr>
          <w:lang w:eastAsia="fr-FR" w:bidi="fr-FR"/>
        </w:rPr>
        <w:t>tate consumptis, aduersum sibi murum ofïendunt in itinere, nec u</w:t>
      </w:r>
      <w:r w:rsidRPr="007422C9">
        <w:rPr>
          <w:lang w:eastAsia="fr-FR" w:bidi="fr-FR"/>
        </w:rPr>
        <w:t>s</w:t>
      </w:r>
      <w:r w:rsidRPr="007422C9">
        <w:rPr>
          <w:lang w:eastAsia="fr-FR" w:bidi="fr-FR"/>
        </w:rPr>
        <w:t>piam poterant eundem pertransire. Longitudo eius erat inuestigabilis et altitudo infinita. Sequentes tamen Eufraten, arcum conspiciunt curuatum desuper et undas inferius ebullientes uehementer. « Quid » inquiunt « facimus ?</w:t>
      </w:r>
      <w:r>
        <w:rPr>
          <w:lang w:eastAsia="fr-FR" w:bidi="fr-FR"/>
        </w:rPr>
        <w:t xml:space="preserve"> quo in loco pertransire poteri</w:t>
      </w:r>
      <w:r w:rsidRPr="007422C9">
        <w:rPr>
          <w:lang w:eastAsia="fr-FR" w:bidi="fr-FR"/>
        </w:rPr>
        <w:t>mus ?</w:t>
      </w:r>
      <w:r>
        <w:t xml:space="preserve"> [1025]</w:t>
      </w:r>
      <w:r w:rsidRPr="007422C9">
        <w:rPr>
          <w:lang w:eastAsia="fr-FR" w:bidi="fr-FR"/>
        </w:rPr>
        <w:t xml:space="preserve"> Ang</w:t>
      </w:r>
      <w:r>
        <w:rPr>
          <w:lang w:eastAsia="fr-FR" w:bidi="fr-FR"/>
        </w:rPr>
        <w:t>e</w:t>
      </w:r>
      <w:r w:rsidRPr="007422C9">
        <w:rPr>
          <w:lang w:eastAsia="fr-FR" w:bidi="fr-FR"/>
        </w:rPr>
        <w:t>lus consilii qui nobis dux extitit in arida, ipse rector nobis esse potest et in unda ». Miserunt ergo manus ad aquam eamque reppererunt tep</w:t>
      </w:r>
      <w:r w:rsidRPr="007422C9">
        <w:rPr>
          <w:lang w:eastAsia="fr-FR" w:bidi="fr-FR"/>
        </w:rPr>
        <w:t>i</w:t>
      </w:r>
      <w:r w:rsidRPr="007422C9">
        <w:rPr>
          <w:lang w:eastAsia="fr-FR" w:bidi="fr-FR"/>
        </w:rPr>
        <w:t>dam et omnino temperatam. Vestes exuunt, seque celeriter undis i</w:t>
      </w:r>
      <w:r w:rsidRPr="007422C9">
        <w:rPr>
          <w:lang w:eastAsia="fr-FR" w:bidi="fr-FR"/>
        </w:rPr>
        <w:t>m</w:t>
      </w:r>
      <w:r w:rsidRPr="007422C9">
        <w:rPr>
          <w:lang w:eastAsia="fr-FR" w:bidi="fr-FR"/>
        </w:rPr>
        <w:t>mergunt ; et areu seposito ulterius allabuntur. Vident siluam in prox</w:t>
      </w:r>
      <w:r w:rsidRPr="007422C9">
        <w:rPr>
          <w:lang w:eastAsia="fr-FR" w:bidi="fr-FR"/>
        </w:rPr>
        <w:t>i</w:t>
      </w:r>
      <w:r w:rsidRPr="007422C9">
        <w:rPr>
          <w:lang w:eastAsia="fr-FR" w:bidi="fr-FR"/>
        </w:rPr>
        <w:t>mo optutibus suis oppositam, frondosam et umbrosam, quam ingr</w:t>
      </w:r>
      <w:r w:rsidRPr="007422C9">
        <w:rPr>
          <w:lang w:eastAsia="fr-FR" w:bidi="fr-FR"/>
        </w:rPr>
        <w:t>e</w:t>
      </w:r>
      <w:r w:rsidRPr="007422C9">
        <w:rPr>
          <w:lang w:eastAsia="fr-FR" w:bidi="fr-FR"/>
        </w:rPr>
        <w:t>dientes inuenere palatium nimia temporis uetustate consumptum. Mu</w:t>
      </w:r>
      <w:r w:rsidRPr="007422C9">
        <w:rPr>
          <w:lang w:eastAsia="fr-FR" w:bidi="fr-FR"/>
        </w:rPr>
        <w:t>l</w:t>
      </w:r>
      <w:r w:rsidRPr="007422C9">
        <w:rPr>
          <w:lang w:eastAsia="fr-FR" w:bidi="fr-FR"/>
        </w:rPr>
        <w:t>ta ibi trieamerata cernentes et triclinia, circ</w:t>
      </w:r>
      <w:r w:rsidRPr="007422C9">
        <w:rPr>
          <w:lang w:eastAsia="fr-FR" w:bidi="fr-FR"/>
        </w:rPr>
        <w:t>u</w:t>
      </w:r>
      <w:r w:rsidRPr="007422C9">
        <w:rPr>
          <w:lang w:eastAsia="fr-FR" w:bidi="fr-FR"/>
        </w:rPr>
        <w:t>meundo perscrutati sunt singula, et uacua hominibus inuenerunt uniuersa. Ta</w:t>
      </w:r>
      <w:r w:rsidRPr="007422C9">
        <w:rPr>
          <w:lang w:eastAsia="fr-FR" w:bidi="fr-FR"/>
        </w:rPr>
        <w:t>n</w:t>
      </w:r>
      <w:r w:rsidRPr="007422C9">
        <w:rPr>
          <w:lang w:eastAsia="fr-FR" w:bidi="fr-FR"/>
        </w:rPr>
        <w:t>dem extremum perlustrantes thalamum, ex inprouiso ofïenderunt in eo personam c</w:t>
      </w:r>
      <w:r w:rsidRPr="007422C9">
        <w:rPr>
          <w:lang w:eastAsia="fr-FR" w:bidi="fr-FR"/>
        </w:rPr>
        <w:t>e</w:t>
      </w:r>
      <w:r w:rsidRPr="007422C9">
        <w:rPr>
          <w:lang w:eastAsia="fr-FR" w:bidi="fr-FR"/>
        </w:rPr>
        <w:t>lebrem, iocunditate uultus insignem. Qui eos ualde trem</w:t>
      </w:r>
      <w:r w:rsidRPr="007422C9">
        <w:rPr>
          <w:lang w:eastAsia="fr-FR" w:bidi="fr-FR"/>
        </w:rPr>
        <w:t>e</w:t>
      </w:r>
      <w:r w:rsidRPr="007422C9">
        <w:rPr>
          <w:lang w:eastAsia="fr-FR" w:bidi="fr-FR"/>
        </w:rPr>
        <w:t>factos huiusmodi sermonibus consolatur : « Cuius » inquid « nationis hom</w:t>
      </w:r>
      <w:r w:rsidRPr="007422C9">
        <w:rPr>
          <w:lang w:eastAsia="fr-FR" w:bidi="fr-FR"/>
        </w:rPr>
        <w:t>i</w:t>
      </w:r>
      <w:r w:rsidRPr="007422C9">
        <w:rPr>
          <w:lang w:eastAsia="fr-FR" w:bidi="fr-FR"/>
        </w:rPr>
        <w:t>nes estis ? que tam longinqui itineris ratio ? Neminem hoc in loco di</w:t>
      </w:r>
      <w:r w:rsidRPr="007422C9">
        <w:rPr>
          <w:lang w:eastAsia="fr-FR" w:bidi="fr-FR"/>
        </w:rPr>
        <w:t>u</w:t>
      </w:r>
      <w:r w:rsidRPr="007422C9">
        <w:rPr>
          <w:lang w:eastAsia="fr-FR" w:bidi="fr-FR"/>
        </w:rPr>
        <w:t>turno uidere temp</w:t>
      </w:r>
      <w:r>
        <w:rPr>
          <w:lang w:eastAsia="fr-FR" w:bidi="fr-FR"/>
        </w:rPr>
        <w:t>ore potui, qui to</w:t>
      </w:r>
      <w:r w:rsidRPr="007422C9">
        <w:rPr>
          <w:lang w:eastAsia="fr-FR" w:bidi="fr-FR"/>
        </w:rPr>
        <w:t>t et tantis annis in hac solitudine m</w:t>
      </w:r>
      <w:r w:rsidRPr="007422C9">
        <w:rPr>
          <w:lang w:eastAsia="fr-FR" w:bidi="fr-FR"/>
        </w:rPr>
        <w:t>o</w:t>
      </w:r>
      <w:r w:rsidRPr="007422C9">
        <w:rPr>
          <w:lang w:eastAsia="fr-FR" w:bidi="fr-FR"/>
        </w:rPr>
        <w:t>ram feci. Sed ite uelocius, quia transposito nemore uobis a</w:t>
      </w:r>
      <w:r w:rsidRPr="007422C9">
        <w:rPr>
          <w:lang w:eastAsia="fr-FR" w:bidi="fr-FR"/>
        </w:rPr>
        <w:t>p</w:t>
      </w:r>
      <w:r w:rsidRPr="007422C9">
        <w:rPr>
          <w:lang w:eastAsia="fr-FR" w:bidi="fr-FR"/>
        </w:rPr>
        <w:t>parebit ciuitas regia, omnibus salutis et uite deliciis plena. In hac si sortiri noctu contingat hospicium, omnium uobis non deerit copia bon</w:t>
      </w:r>
      <w:r w:rsidRPr="007422C9">
        <w:rPr>
          <w:lang w:eastAsia="fr-FR" w:bidi="fr-FR"/>
        </w:rPr>
        <w:t>o</w:t>
      </w:r>
      <w:r w:rsidRPr="007422C9">
        <w:rPr>
          <w:lang w:eastAsia="fr-FR" w:bidi="fr-FR"/>
        </w:rPr>
        <w:t>rum ». Notam uero nominis eius inuest</w:t>
      </w:r>
      <w:r w:rsidRPr="007422C9">
        <w:rPr>
          <w:lang w:eastAsia="fr-FR" w:bidi="fr-FR"/>
        </w:rPr>
        <w:t>i</w:t>
      </w:r>
      <w:r w:rsidRPr="007422C9">
        <w:rPr>
          <w:lang w:eastAsia="fr-FR" w:bidi="fr-FR"/>
        </w:rPr>
        <w:t>gantes, didicerunt ab eo se de femore Dauid traxisse carnis originem, uulgoque appellatum regem Salomonem. Qui quoniam Deum tam grauiter prouocauit ad iracu</w:t>
      </w:r>
      <w:r w:rsidRPr="007422C9">
        <w:rPr>
          <w:lang w:eastAsia="fr-FR" w:bidi="fr-FR"/>
        </w:rPr>
        <w:t>n</w:t>
      </w:r>
      <w:r w:rsidRPr="007422C9">
        <w:rPr>
          <w:lang w:eastAsia="fr-FR" w:bidi="fr-FR"/>
        </w:rPr>
        <w:t>diam, hanc in se pro penitentia usque ad diem iudicii exercet uindi</w:t>
      </w:r>
      <w:r w:rsidRPr="007422C9">
        <w:rPr>
          <w:lang w:eastAsia="fr-FR" w:bidi="fr-FR"/>
        </w:rPr>
        <w:t>c</w:t>
      </w:r>
      <w:r w:rsidRPr="007422C9">
        <w:rPr>
          <w:lang w:eastAsia="fr-FR" w:bidi="fr-FR"/>
        </w:rPr>
        <w:t>tam</w:t>
      </w:r>
      <w:r>
        <w:rPr>
          <w:lang w:eastAsia="fr-FR" w:bidi="fr-FR"/>
        </w:rPr>
        <w:t> </w:t>
      </w:r>
      <w:r>
        <w:rPr>
          <w:rStyle w:val="Appelnotedebasdep"/>
        </w:rPr>
        <w:footnoteReference w:id="1377"/>
      </w:r>
      <w:r w:rsidRPr="007422C9">
        <w:rPr>
          <w:lang w:eastAsia="fr-FR" w:bidi="fr-FR"/>
        </w:rPr>
        <w:t>. Quibus auditis corde compuncti sunt, et accepta licentia rece</w:t>
      </w:r>
      <w:r w:rsidRPr="007422C9">
        <w:rPr>
          <w:lang w:eastAsia="fr-FR" w:bidi="fr-FR"/>
        </w:rPr>
        <w:t>s</w:t>
      </w:r>
      <w:r w:rsidRPr="007422C9">
        <w:rPr>
          <w:lang w:eastAsia="fr-FR" w:bidi="fr-FR"/>
        </w:rPr>
        <w:t>serunt. Egressi uero de loco, et nemore tran</w:t>
      </w:r>
      <w:r w:rsidRPr="007422C9">
        <w:rPr>
          <w:lang w:eastAsia="fr-FR" w:bidi="fr-FR"/>
        </w:rPr>
        <w:t>s</w:t>
      </w:r>
      <w:r w:rsidRPr="007422C9">
        <w:rPr>
          <w:lang w:eastAsia="fr-FR" w:bidi="fr-FR"/>
        </w:rPr>
        <w:t>posito, occurrit oculorum suorum conspectibus tanquam e uicino ciu</w:t>
      </w:r>
      <w:r w:rsidRPr="007422C9">
        <w:rPr>
          <w:lang w:eastAsia="fr-FR" w:bidi="fr-FR"/>
        </w:rPr>
        <w:t>i</w:t>
      </w:r>
      <w:r w:rsidRPr="007422C9">
        <w:rPr>
          <w:lang w:eastAsia="fr-FR" w:bidi="fr-FR"/>
        </w:rPr>
        <w:t>tas regia, auro et preciosis lapidibus edificata. Quam uidentes gauisi sunt, et ad eam alacrius fe</w:t>
      </w:r>
      <w:r w:rsidRPr="007422C9">
        <w:rPr>
          <w:lang w:eastAsia="fr-FR" w:bidi="fr-FR"/>
        </w:rPr>
        <w:t>s</w:t>
      </w:r>
      <w:r w:rsidRPr="007422C9">
        <w:rPr>
          <w:lang w:eastAsia="fr-FR" w:bidi="fr-FR"/>
        </w:rPr>
        <w:t>tinarunt. Quo uero propius accedebant, ta</w:t>
      </w:r>
      <w:r w:rsidRPr="007422C9">
        <w:rPr>
          <w:lang w:eastAsia="fr-FR" w:bidi="fr-FR"/>
        </w:rPr>
        <w:t>n</w:t>
      </w:r>
      <w:r w:rsidRPr="007422C9">
        <w:rPr>
          <w:lang w:eastAsia="fr-FR" w:bidi="fr-FR"/>
        </w:rPr>
        <w:t>to ciuitas suam et uidebatur presentiam absentabat. Cum uero aliqu</w:t>
      </w:r>
      <w:r w:rsidRPr="007422C9">
        <w:rPr>
          <w:lang w:eastAsia="fr-FR" w:bidi="fr-FR"/>
        </w:rPr>
        <w:t>a</w:t>
      </w:r>
      <w:r w:rsidRPr="007422C9">
        <w:rPr>
          <w:lang w:eastAsia="fr-FR" w:bidi="fr-FR"/>
        </w:rPr>
        <w:t>tenus prodissent ulterius, obuia facta est eis candidatorum turma iuu</w:t>
      </w:r>
      <w:r w:rsidRPr="007422C9">
        <w:rPr>
          <w:lang w:eastAsia="fr-FR" w:bidi="fr-FR"/>
        </w:rPr>
        <w:t>e</w:t>
      </w:r>
      <w:r w:rsidRPr="007422C9">
        <w:rPr>
          <w:lang w:eastAsia="fr-FR" w:bidi="fr-FR"/>
        </w:rPr>
        <w:t>num, duobus preeuntibus cum totidem radiis cereorum. Duo uero a dextris et a sinistris collat</w:t>
      </w:r>
      <w:r w:rsidRPr="007422C9">
        <w:rPr>
          <w:lang w:eastAsia="fr-FR" w:bidi="fr-FR"/>
        </w:rPr>
        <w:t>e</w:t>
      </w:r>
      <w:r w:rsidRPr="007422C9">
        <w:rPr>
          <w:lang w:eastAsia="fr-FR" w:bidi="fr-FR"/>
        </w:rPr>
        <w:t>rales cuiusdam senioris longeuum comitabantur uirum, niueum qu</w:t>
      </w:r>
      <w:r w:rsidRPr="007422C9">
        <w:rPr>
          <w:lang w:eastAsia="fr-FR" w:bidi="fr-FR"/>
        </w:rPr>
        <w:t>i</w:t>
      </w:r>
      <w:r w:rsidRPr="007422C9">
        <w:rPr>
          <w:lang w:eastAsia="fr-FR" w:bidi="fr-FR"/>
        </w:rPr>
        <w:t>dem cesarie, et uultus atque oculorum c</w:t>
      </w:r>
      <w:r w:rsidRPr="007422C9">
        <w:rPr>
          <w:lang w:eastAsia="fr-FR" w:bidi="fr-FR"/>
        </w:rPr>
        <w:t>o</w:t>
      </w:r>
      <w:r w:rsidRPr="007422C9">
        <w:rPr>
          <w:lang w:eastAsia="fr-FR" w:bidi="fr-FR"/>
        </w:rPr>
        <w:t xml:space="preserve">rusca uisione conspicuum. Quos senex ille affatur </w:t>
      </w:r>
      <w:r>
        <w:rPr>
          <w:lang w:eastAsia="fr-FR" w:bidi="fr-FR"/>
        </w:rPr>
        <w:t>his uerbis : « Quo tendit afïec</w:t>
      </w:r>
      <w:r w:rsidRPr="007422C9">
        <w:rPr>
          <w:lang w:eastAsia="fr-FR" w:bidi="fr-FR"/>
        </w:rPr>
        <w:t>tus itineris ? et quis rex, uel quod uobis regnum ? »</w:t>
      </w:r>
      <w:r>
        <w:rPr>
          <w:lang w:eastAsia="fr-FR" w:bidi="fr-FR"/>
        </w:rPr>
        <w:t> — </w:t>
      </w:r>
      <w:r w:rsidRPr="007422C9">
        <w:rPr>
          <w:lang w:eastAsia="fr-FR" w:bidi="fr-FR"/>
        </w:rPr>
        <w:t>« Anglia nobis » inquiunt « regio nationis est ; rex autem Eadwa</w:t>
      </w:r>
      <w:r w:rsidRPr="007422C9">
        <w:rPr>
          <w:lang w:eastAsia="fr-FR" w:bidi="fr-FR"/>
        </w:rPr>
        <w:t>r</w:t>
      </w:r>
      <w:r w:rsidRPr="007422C9">
        <w:rPr>
          <w:lang w:eastAsia="fr-FR" w:bidi="fr-FR"/>
        </w:rPr>
        <w:t>dus ».</w:t>
      </w:r>
      <w:r>
        <w:rPr>
          <w:lang w:eastAsia="fr-FR" w:bidi="fr-FR"/>
        </w:rPr>
        <w:t> — </w:t>
      </w:r>
      <w:r w:rsidRPr="007422C9">
        <w:rPr>
          <w:lang w:eastAsia="fr-FR" w:bidi="fr-FR"/>
        </w:rPr>
        <w:t>« Reuertimini » ait senior « ad urbem proximam, et inueni</w:t>
      </w:r>
      <w:r w:rsidRPr="007422C9">
        <w:rPr>
          <w:lang w:eastAsia="fr-FR" w:bidi="fr-FR"/>
        </w:rPr>
        <w:t>e</w:t>
      </w:r>
      <w:r w:rsidRPr="007422C9">
        <w:rPr>
          <w:lang w:eastAsia="fr-FR" w:bidi="fr-FR"/>
        </w:rPr>
        <w:t>tis procurationem copiosam ». Regressus et ipse cum suis peregrinos ad urbem regiam adduxit, eo</w:t>
      </w:r>
      <w:r w:rsidRPr="007422C9">
        <w:rPr>
          <w:lang w:eastAsia="fr-FR" w:bidi="fr-FR"/>
        </w:rPr>
        <w:t>s</w:t>
      </w:r>
      <w:r w:rsidRPr="007422C9">
        <w:rPr>
          <w:lang w:eastAsia="fr-FR" w:bidi="fr-FR"/>
        </w:rPr>
        <w:t>que in omnibus bonis que terra nutrit habundare fecit. Summo uero diluculo comitatur egressos, et eos alloquitur : « Moras nolite innect</w:t>
      </w:r>
      <w:r w:rsidRPr="007422C9">
        <w:rPr>
          <w:lang w:eastAsia="fr-FR" w:bidi="fr-FR"/>
        </w:rPr>
        <w:t>e</w:t>
      </w:r>
      <w:r w:rsidRPr="007422C9">
        <w:rPr>
          <w:lang w:eastAsia="fr-FR" w:bidi="fr-FR"/>
        </w:rPr>
        <w:t>re, set ad regnum uestrum properate. Nullo modo potestis que uultis attingere, quia Eufrates in paradiso exoritur, et nemo illic peruenit nisi carnalibus sarcinis exoneretur. Ego sum Iohannes apostolus et euang</w:t>
      </w:r>
      <w:r w:rsidRPr="007422C9">
        <w:rPr>
          <w:lang w:eastAsia="fr-FR" w:bidi="fr-FR"/>
        </w:rPr>
        <w:t>e</w:t>
      </w:r>
      <w:r w:rsidRPr="007422C9">
        <w:rPr>
          <w:lang w:eastAsia="fr-FR" w:bidi="fr-FR"/>
        </w:rPr>
        <w:t>lista Christi, qui supra pectus Dom</w:t>
      </w:r>
      <w:r w:rsidRPr="007422C9">
        <w:rPr>
          <w:lang w:eastAsia="fr-FR" w:bidi="fr-FR"/>
        </w:rPr>
        <w:t>i</w:t>
      </w:r>
      <w:r w:rsidRPr="007422C9">
        <w:rPr>
          <w:lang w:eastAsia="fr-FR" w:bidi="fr-FR"/>
        </w:rPr>
        <w:t>ni in cena recubui, qui sanctum regem Eadwardum propter castitatem diligo, quia eum proximum c</w:t>
      </w:r>
      <w:r w:rsidRPr="007422C9">
        <w:rPr>
          <w:lang w:eastAsia="fr-FR" w:bidi="fr-FR"/>
        </w:rPr>
        <w:t>o</w:t>
      </w:r>
      <w:r w:rsidRPr="007422C9">
        <w:rPr>
          <w:lang w:eastAsia="fr-FR" w:bidi="fr-FR"/>
        </w:rPr>
        <w:t>gnosco Deo. Vice lega- tionis mee ad ipsum fungi uos postulo, quem huiusmodi salutate inter- signo. Cum ad celebritatem ecclesie cuiu</w:t>
      </w:r>
      <w:r w:rsidRPr="007422C9">
        <w:rPr>
          <w:lang w:eastAsia="fr-FR" w:bidi="fr-FR"/>
        </w:rPr>
        <w:t>s</w:t>
      </w:r>
      <w:r w:rsidRPr="007422C9">
        <w:rPr>
          <w:lang w:eastAsia="fr-FR" w:bidi="fr-FR"/>
        </w:rPr>
        <w:t>dam dedicationis assisteret, ut sub n</w:t>
      </w:r>
      <w:r w:rsidRPr="007422C9">
        <w:rPr>
          <w:lang w:eastAsia="fr-FR" w:bidi="fr-FR"/>
        </w:rPr>
        <w:t>o</w:t>
      </w:r>
      <w:r w:rsidRPr="007422C9">
        <w:rPr>
          <w:lang w:eastAsia="fr-FR" w:bidi="fr-FR"/>
        </w:rPr>
        <w:t>minis mei titulo creatori Deo consecrari debuisset, in peregrini specie eidem régi apparui, et pro sancti Iohannis amore beneficium elemosine supplicaui. Qui pietate motus regium anulum de digito extraxit, munifica largitate consign</w:t>
      </w:r>
      <w:r w:rsidRPr="007422C9">
        <w:rPr>
          <w:lang w:eastAsia="fr-FR" w:bidi="fr-FR"/>
        </w:rPr>
        <w:t>a</w:t>
      </w:r>
      <w:r w:rsidRPr="007422C9">
        <w:rPr>
          <w:lang w:eastAsia="fr-FR" w:bidi="fr-FR"/>
        </w:rPr>
        <w:t>bit. Quem ob amorem et deuotionem hominis Dei usque hodie cons</w:t>
      </w:r>
      <w:r w:rsidRPr="007422C9">
        <w:rPr>
          <w:lang w:eastAsia="fr-FR" w:bidi="fr-FR"/>
        </w:rPr>
        <w:t>e</w:t>
      </w:r>
      <w:r w:rsidRPr="007422C9">
        <w:rPr>
          <w:lang w:eastAsia="fr-FR" w:bidi="fr-FR"/>
        </w:rPr>
        <w:t>ruaui, eique munus quod tribuit remitto cum gratia,</w:t>
      </w:r>
      <w:r>
        <w:t xml:space="preserve"> [1026] </w:t>
      </w:r>
      <w:r w:rsidRPr="007422C9">
        <w:rPr>
          <w:lang w:eastAsia="fr-FR" w:bidi="fr-FR"/>
        </w:rPr>
        <w:t>infra te</w:t>
      </w:r>
      <w:r w:rsidRPr="007422C9">
        <w:rPr>
          <w:lang w:eastAsia="fr-FR" w:bidi="fr-FR"/>
        </w:rPr>
        <w:t>m</w:t>
      </w:r>
      <w:r w:rsidRPr="007422C9">
        <w:rPr>
          <w:lang w:eastAsia="fr-FR" w:bidi="fr-FR"/>
        </w:rPr>
        <w:t>pus non modicum dona redditurus gratiora. Nam ad pa</w:t>
      </w:r>
      <w:r w:rsidRPr="007422C9">
        <w:rPr>
          <w:lang w:eastAsia="fr-FR" w:bidi="fr-FR"/>
        </w:rPr>
        <w:t>u</w:t>
      </w:r>
      <w:r w:rsidRPr="007422C9">
        <w:rPr>
          <w:lang w:eastAsia="fr-FR" w:bidi="fr-FR"/>
        </w:rPr>
        <w:t>cos usque dies mecum immortali uestietur sindone, qui gloriosa carnis prefulget int</w:t>
      </w:r>
      <w:r w:rsidRPr="007422C9">
        <w:rPr>
          <w:lang w:eastAsia="fr-FR" w:bidi="fr-FR"/>
        </w:rPr>
        <w:t>e</w:t>
      </w:r>
      <w:r w:rsidRPr="007422C9">
        <w:rPr>
          <w:lang w:eastAsia="fr-FR" w:bidi="fr-FR"/>
        </w:rPr>
        <w:t>gritate ». Obstupescunt peregrini ex uerbis apostoli, a</w:t>
      </w:r>
      <w:r w:rsidRPr="007422C9">
        <w:rPr>
          <w:lang w:eastAsia="fr-FR" w:bidi="fr-FR"/>
        </w:rPr>
        <w:t>f</w:t>
      </w:r>
      <w:r w:rsidRPr="007422C9">
        <w:rPr>
          <w:lang w:eastAsia="fr-FR" w:bidi="fr-FR"/>
        </w:rPr>
        <w:t>firmantes per vii annos se subisse exilium, et per totidem se reuersuros ad natale solum. Orant proinde ut ab legatione d</w:t>
      </w:r>
      <w:r>
        <w:rPr>
          <w:lang w:eastAsia="fr-FR" w:bidi="fr-FR"/>
        </w:rPr>
        <w:t>e</w:t>
      </w:r>
      <w:r w:rsidRPr="007422C9">
        <w:rPr>
          <w:lang w:eastAsia="fr-FR" w:bidi="fr-FR"/>
        </w:rPr>
        <w:t>sist</w:t>
      </w:r>
      <w:r>
        <w:rPr>
          <w:lang w:eastAsia="fr-FR" w:bidi="fr-FR"/>
        </w:rPr>
        <w:t>a</w:t>
      </w:r>
      <w:r w:rsidRPr="007422C9">
        <w:rPr>
          <w:lang w:eastAsia="fr-FR" w:bidi="fr-FR"/>
        </w:rPr>
        <w:t>t huiusmodi, quia form</w:t>
      </w:r>
      <w:r w:rsidRPr="007422C9">
        <w:rPr>
          <w:lang w:eastAsia="fr-FR" w:bidi="fr-FR"/>
        </w:rPr>
        <w:t>i</w:t>
      </w:r>
      <w:r w:rsidRPr="007422C9">
        <w:rPr>
          <w:lang w:eastAsia="fr-FR" w:bidi="fr-FR"/>
        </w:rPr>
        <w:t>dant apostolo tanto promittere quod non possent infra te</w:t>
      </w:r>
      <w:r w:rsidRPr="007422C9">
        <w:rPr>
          <w:lang w:eastAsia="fr-FR" w:bidi="fr-FR"/>
        </w:rPr>
        <w:t>m</w:t>
      </w:r>
      <w:r w:rsidRPr="007422C9">
        <w:rPr>
          <w:lang w:eastAsia="fr-FR" w:bidi="fr-FR"/>
        </w:rPr>
        <w:t>pus tam modicum efficaciter adimplere. Quibus apostolus : « Facilis » inquid « uobis patebit regressus in patriam. Cum ad ilium uos pe</w:t>
      </w:r>
      <w:r w:rsidRPr="007422C9">
        <w:rPr>
          <w:lang w:eastAsia="fr-FR" w:bidi="fr-FR"/>
        </w:rPr>
        <w:t>r</w:t>
      </w:r>
      <w:r w:rsidRPr="007422C9">
        <w:rPr>
          <w:lang w:eastAsia="fr-FR" w:bidi="fr-FR"/>
        </w:rPr>
        <w:t>duxerit Deus, ex mea illi uoce innuite, quod infra presentis anni dim</w:t>
      </w:r>
      <w:r w:rsidRPr="007422C9">
        <w:rPr>
          <w:lang w:eastAsia="fr-FR" w:bidi="fr-FR"/>
        </w:rPr>
        <w:t>i</w:t>
      </w:r>
      <w:r w:rsidRPr="007422C9">
        <w:rPr>
          <w:lang w:eastAsia="fr-FR" w:bidi="fr-FR"/>
        </w:rPr>
        <w:t>dium ad beatam gloriam mee societatis attinget. Hiisque completis anulum o</w:t>
      </w:r>
      <w:r w:rsidRPr="007422C9">
        <w:rPr>
          <w:lang w:eastAsia="fr-FR" w:bidi="fr-FR"/>
        </w:rPr>
        <w:t>s</w:t>
      </w:r>
      <w:r w:rsidRPr="007422C9">
        <w:rPr>
          <w:lang w:eastAsia="fr-FR" w:bidi="fr-FR"/>
        </w:rPr>
        <w:t>tendite, et digito cui extractus est iterum reformate ». D</w:t>
      </w:r>
      <w:r w:rsidRPr="007422C9">
        <w:rPr>
          <w:lang w:eastAsia="fr-FR" w:bidi="fr-FR"/>
        </w:rPr>
        <w:t>e</w:t>
      </w:r>
      <w:r w:rsidRPr="007422C9">
        <w:rPr>
          <w:lang w:eastAsia="fr-FR" w:bidi="fr-FR"/>
        </w:rPr>
        <w:t>duxit igitur eos usque ad pratum diuersis floribus consitum et miris odoribus re</w:t>
      </w:r>
      <w:r w:rsidRPr="007422C9">
        <w:rPr>
          <w:lang w:eastAsia="fr-FR" w:bidi="fr-FR"/>
        </w:rPr>
        <w:t>s</w:t>
      </w:r>
      <w:r w:rsidRPr="007422C9">
        <w:rPr>
          <w:lang w:eastAsia="fr-FR" w:bidi="fr-FR"/>
        </w:rPr>
        <w:t>persum, eoque dilectus Dei Iohannes ab eis recessit, illosque sua b</w:t>
      </w:r>
      <w:r w:rsidRPr="007422C9">
        <w:rPr>
          <w:lang w:eastAsia="fr-FR" w:bidi="fr-FR"/>
        </w:rPr>
        <w:t>e</w:t>
      </w:r>
      <w:r w:rsidRPr="007422C9">
        <w:rPr>
          <w:lang w:eastAsia="fr-FR" w:bidi="fr-FR"/>
        </w:rPr>
        <w:t>nedictione prosecutus alacrius animauit. Cum uero recess</w:t>
      </w:r>
      <w:r w:rsidRPr="007422C9">
        <w:rPr>
          <w:lang w:eastAsia="fr-FR" w:bidi="fr-FR"/>
        </w:rPr>
        <w:t>i</w:t>
      </w:r>
      <w:r w:rsidRPr="007422C9">
        <w:rPr>
          <w:lang w:eastAsia="fr-FR" w:bidi="fr-FR"/>
        </w:rPr>
        <w:t>set ab eis apotolus, ex Dei prouidentia lassitudo itineris eos residere coegit, quos nimio sopore inmersos deuinxit. Sed Deus omnipotens cui nichil diff</w:t>
      </w:r>
      <w:r w:rsidRPr="007422C9">
        <w:rPr>
          <w:lang w:eastAsia="fr-FR" w:bidi="fr-FR"/>
        </w:rPr>
        <w:t>i</w:t>
      </w:r>
      <w:r w:rsidRPr="007422C9">
        <w:rPr>
          <w:lang w:eastAsia="fr-FR" w:bidi="fr-FR"/>
        </w:rPr>
        <w:t>cile ut se in sanctis suis ostenderet s</w:t>
      </w:r>
      <w:r>
        <w:rPr>
          <w:lang w:eastAsia="fr-FR" w:bidi="fr-FR"/>
        </w:rPr>
        <w:t>emper esse mirab</w:t>
      </w:r>
      <w:r>
        <w:rPr>
          <w:lang w:eastAsia="fr-FR" w:bidi="fr-FR"/>
        </w:rPr>
        <w:t>i</w:t>
      </w:r>
      <w:r>
        <w:rPr>
          <w:lang w:eastAsia="fr-FR" w:bidi="fr-FR"/>
        </w:rPr>
        <w:t>lem, miram pro</w:t>
      </w:r>
      <w:r w:rsidRPr="007422C9">
        <w:rPr>
          <w:lang w:eastAsia="fr-FR" w:bidi="fr-FR"/>
        </w:rPr>
        <w:t>digii operari dignatus est nouitatem. Qui enim per a</w:t>
      </w:r>
      <w:r w:rsidRPr="007422C9">
        <w:rPr>
          <w:lang w:eastAsia="fr-FR" w:bidi="fr-FR"/>
        </w:rPr>
        <w:t>n</w:t>
      </w:r>
      <w:r w:rsidRPr="007422C9">
        <w:rPr>
          <w:lang w:eastAsia="fr-FR" w:bidi="fr-FR"/>
        </w:rPr>
        <w:t>gelum suum Abbacuc prophetam capillo capitis sui de Iudea in Ca</w:t>
      </w:r>
      <w:r w:rsidRPr="007422C9">
        <w:rPr>
          <w:lang w:eastAsia="fr-FR" w:bidi="fr-FR"/>
        </w:rPr>
        <w:t>l</w:t>
      </w:r>
      <w:r w:rsidRPr="007422C9">
        <w:rPr>
          <w:lang w:eastAsia="fr-FR" w:bidi="fr-FR"/>
        </w:rPr>
        <w:t>deam transtulit, ipse de desertis orientalibus in quibus obdormierant ad terram sue n</w:t>
      </w:r>
      <w:r w:rsidRPr="007422C9">
        <w:rPr>
          <w:lang w:eastAsia="fr-FR" w:bidi="fr-FR"/>
        </w:rPr>
        <w:t>a</w:t>
      </w:r>
      <w:r w:rsidRPr="007422C9">
        <w:rPr>
          <w:lang w:eastAsia="fr-FR" w:bidi="fr-FR"/>
        </w:rPr>
        <w:t>tiuitatis peregrinos subleuauit. Et qui per tôt annos elongati fuerant tam inmensi itineris interuallo natali solo restituti sunt in momento. Euigilantes itaque in summitate cuiusdam cliui in Anglia sese repper</w:t>
      </w:r>
      <w:r w:rsidRPr="007422C9">
        <w:rPr>
          <w:lang w:eastAsia="fr-FR" w:bidi="fr-FR"/>
        </w:rPr>
        <w:t>e</w:t>
      </w:r>
      <w:r w:rsidRPr="007422C9">
        <w:rPr>
          <w:lang w:eastAsia="fr-FR" w:bidi="fr-FR"/>
        </w:rPr>
        <w:t>runt</w:t>
      </w:r>
      <w:r>
        <w:rPr>
          <w:lang w:eastAsia="fr-FR" w:bidi="fr-FR"/>
        </w:rPr>
        <w:t> </w:t>
      </w:r>
      <w:r>
        <w:rPr>
          <w:rStyle w:val="Appelnotedebasdep"/>
          <w:lang w:eastAsia="fr-FR" w:bidi="fr-FR"/>
        </w:rPr>
        <w:footnoteReference w:customMarkFollows="1" w:id="1378"/>
        <w:t>b</w:t>
      </w:r>
      <w:r w:rsidRPr="007422C9">
        <w:rPr>
          <w:lang w:eastAsia="fr-FR" w:bidi="fr-FR"/>
        </w:rPr>
        <w:t xml:space="preserve"> et Eboracensem natiuitatis sue prouinciam certis indiciis c</w:t>
      </w:r>
      <w:r w:rsidRPr="007422C9">
        <w:rPr>
          <w:lang w:eastAsia="fr-FR" w:bidi="fr-FR"/>
        </w:rPr>
        <w:t>o</w:t>
      </w:r>
      <w:r w:rsidRPr="007422C9">
        <w:rPr>
          <w:lang w:eastAsia="fr-FR" w:bidi="fr-FR"/>
        </w:rPr>
        <w:t>gnouerunt. Audierunt namque confabulantes inter se pastores, ex qu</w:t>
      </w:r>
      <w:r w:rsidRPr="007422C9">
        <w:rPr>
          <w:lang w:eastAsia="fr-FR" w:bidi="fr-FR"/>
        </w:rPr>
        <w:t>o</w:t>
      </w:r>
      <w:r w:rsidRPr="007422C9">
        <w:rPr>
          <w:lang w:eastAsia="fr-FR" w:bidi="fr-FR"/>
        </w:rPr>
        <w:t>rum uerbis idioma lingue addiscentes materne, gaudio r</w:t>
      </w:r>
      <w:r w:rsidRPr="007422C9">
        <w:rPr>
          <w:lang w:eastAsia="fr-FR" w:bidi="fr-FR"/>
        </w:rPr>
        <w:t>e</w:t>
      </w:r>
      <w:r w:rsidRPr="007422C9">
        <w:rPr>
          <w:lang w:eastAsia="fr-FR" w:bidi="fr-FR"/>
        </w:rPr>
        <w:t>pleti sunt et exultatione. Interrogant utrum rex Eadwardus adhuc uiuat. Ut autem eum uiuere didicerunt, ad ipsum quantocius properarunt. Appropia</w:t>
      </w:r>
      <w:r w:rsidRPr="007422C9">
        <w:rPr>
          <w:lang w:eastAsia="fr-FR" w:bidi="fr-FR"/>
        </w:rPr>
        <w:t>n</w:t>
      </w:r>
      <w:r w:rsidRPr="007422C9">
        <w:rPr>
          <w:lang w:eastAsia="fr-FR" w:bidi="fr-FR"/>
        </w:rPr>
        <w:t>tes igitur ad palatium sollemnibus epulis seruus D</w:t>
      </w:r>
      <w:r w:rsidRPr="007422C9">
        <w:rPr>
          <w:lang w:eastAsia="fr-FR" w:bidi="fr-FR"/>
        </w:rPr>
        <w:t>o</w:t>
      </w:r>
      <w:r w:rsidRPr="007422C9">
        <w:rPr>
          <w:lang w:eastAsia="fr-FR" w:bidi="fr-FR"/>
        </w:rPr>
        <w:t xml:space="preserve">mini assidens Eadwardus, Spiritu Sancto docente, nuntios expectat, nec quisquam ex </w:t>
      </w:r>
      <w:r>
        <w:rPr>
          <w:lang w:eastAsia="fr-FR" w:bidi="fr-FR"/>
        </w:rPr>
        <w:t>his que apponuntur ante eorum de</w:t>
      </w:r>
      <w:r w:rsidRPr="007422C9">
        <w:rPr>
          <w:lang w:eastAsia="fr-FR" w:bidi="fr-FR"/>
        </w:rPr>
        <w:t>gust</w:t>
      </w:r>
      <w:r>
        <w:rPr>
          <w:lang w:eastAsia="fr-FR" w:bidi="fr-FR"/>
        </w:rPr>
        <w:t>a</w:t>
      </w:r>
      <w:r w:rsidRPr="007422C9">
        <w:rPr>
          <w:lang w:eastAsia="fr-FR" w:bidi="fr-FR"/>
        </w:rPr>
        <w:t>t aduentum. Inuitatur a seruie</w:t>
      </w:r>
      <w:r w:rsidRPr="007422C9">
        <w:rPr>
          <w:lang w:eastAsia="fr-FR" w:bidi="fr-FR"/>
        </w:rPr>
        <w:t>n</w:t>
      </w:r>
      <w:r w:rsidRPr="007422C9">
        <w:rPr>
          <w:lang w:eastAsia="fr-FR" w:bidi="fr-FR"/>
        </w:rPr>
        <w:t>tibus attingere fercula, pocula prolibare. « Scio » inquid « filii, quid facio. Prestolor legatos ex longinqua mihi regione transmissos, nec prius licet cibum sumere, quam contingat eos oculis uidere. Abite it</w:t>
      </w:r>
      <w:r w:rsidRPr="007422C9">
        <w:rPr>
          <w:lang w:eastAsia="fr-FR" w:bidi="fr-FR"/>
        </w:rPr>
        <w:t>a</w:t>
      </w:r>
      <w:r w:rsidRPr="007422C9">
        <w:rPr>
          <w:lang w:eastAsia="fr-FR" w:bidi="fr-FR"/>
        </w:rPr>
        <w:t xml:space="preserve">que uelocius extra terminos ruris </w:t>
      </w:r>
      <w:r>
        <w:rPr>
          <w:lang w:eastAsia="fr-FR" w:bidi="fr-FR"/>
        </w:rPr>
        <w:t>huius, eosque intr</w:t>
      </w:r>
      <w:r>
        <w:rPr>
          <w:lang w:eastAsia="fr-FR" w:bidi="fr-FR"/>
        </w:rPr>
        <w:t>o</w:t>
      </w:r>
      <w:r w:rsidRPr="007422C9">
        <w:rPr>
          <w:lang w:eastAsia="fr-FR" w:bidi="fr-FR"/>
        </w:rPr>
        <w:t>ducite ». Qui dum peregrinos querunt, ec</w:t>
      </w:r>
      <w:r>
        <w:rPr>
          <w:lang w:eastAsia="fr-FR" w:bidi="fr-FR"/>
        </w:rPr>
        <w:t>ce illi occurrunt. Itaque intro</w:t>
      </w:r>
      <w:r w:rsidRPr="007422C9">
        <w:rPr>
          <w:lang w:eastAsia="fr-FR" w:bidi="fr-FR"/>
        </w:rPr>
        <w:t>ducti, salutem pr</w:t>
      </w:r>
      <w:r w:rsidRPr="007422C9">
        <w:rPr>
          <w:lang w:eastAsia="fr-FR" w:bidi="fr-FR"/>
        </w:rPr>
        <w:t>e</w:t>
      </w:r>
      <w:r w:rsidRPr="007422C9">
        <w:rPr>
          <w:lang w:eastAsia="fr-FR" w:bidi="fr-FR"/>
        </w:rPr>
        <w:t>ferentes, resalutantur a rege, et manibus ablutis iubentur assidere. « Non ignotum mihi est » inquid « quod dicendum reseruatis, sed c</w:t>
      </w:r>
      <w:r w:rsidRPr="007422C9">
        <w:rPr>
          <w:lang w:eastAsia="fr-FR" w:bidi="fr-FR"/>
        </w:rPr>
        <w:t>i</w:t>
      </w:r>
      <w:r w:rsidRPr="007422C9">
        <w:rPr>
          <w:lang w:eastAsia="fr-FR" w:bidi="fr-FR"/>
        </w:rPr>
        <w:t>bos appositos prius attingite, et causam pro qua ueni</w:t>
      </w:r>
      <w:r w:rsidRPr="007422C9">
        <w:rPr>
          <w:lang w:eastAsia="fr-FR" w:bidi="fr-FR"/>
        </w:rPr>
        <w:t>s</w:t>
      </w:r>
      <w:r w:rsidRPr="007422C9">
        <w:rPr>
          <w:lang w:eastAsia="fr-FR" w:bidi="fr-FR"/>
        </w:rPr>
        <w:t>tis postmodum enodate ». Refectos itaque rex legatos in cubiculum introduxit, eoque cum eis sécréta uerba conseruit. Cumque referrent omnia sicut sup</w:t>
      </w:r>
      <w:r w:rsidRPr="007422C9">
        <w:rPr>
          <w:lang w:eastAsia="fr-FR" w:bidi="fr-FR"/>
        </w:rPr>
        <w:t>e</w:t>
      </w:r>
      <w:r w:rsidRPr="007422C9">
        <w:rPr>
          <w:lang w:eastAsia="fr-FR" w:bidi="fr-FR"/>
        </w:rPr>
        <w:t>rius sunt descripta, et de beato Iohanne mentionem facerent, regem in lacrimas commouerunt. « O » inquit « fratres mei, ubinam ilium dile</w:t>
      </w:r>
      <w:r w:rsidRPr="007422C9">
        <w:rPr>
          <w:lang w:eastAsia="fr-FR" w:bidi="fr-FR"/>
        </w:rPr>
        <w:t>c</w:t>
      </w:r>
      <w:r w:rsidRPr="007422C9">
        <w:rPr>
          <w:lang w:eastAsia="fr-FR" w:bidi="fr-FR"/>
        </w:rPr>
        <w:t>tum domini Ihesu uidistis ? Vbi tantum euuangelistam tantumque ce</w:t>
      </w:r>
      <w:r w:rsidRPr="007422C9">
        <w:rPr>
          <w:lang w:eastAsia="fr-FR" w:bidi="fr-FR"/>
        </w:rPr>
        <w:t>r</w:t>
      </w:r>
      <w:r w:rsidRPr="007422C9">
        <w:rPr>
          <w:lang w:eastAsia="fr-FR" w:bidi="fr-FR"/>
        </w:rPr>
        <w:t>nere meruistis apostolum ? » Et illi : « Ecce » i</w:t>
      </w:r>
      <w:r w:rsidRPr="007422C9">
        <w:rPr>
          <w:lang w:eastAsia="fr-FR" w:bidi="fr-FR"/>
        </w:rPr>
        <w:t>n</w:t>
      </w:r>
      <w:r w:rsidRPr="007422C9">
        <w:rPr>
          <w:lang w:eastAsia="fr-FR" w:bidi="fr-FR"/>
        </w:rPr>
        <w:t>quiunt « anulus iste tibi ab eo transmittitur in signum, quem in dedic</w:t>
      </w:r>
      <w:r w:rsidRPr="007422C9">
        <w:rPr>
          <w:lang w:eastAsia="fr-FR" w:bidi="fr-FR"/>
        </w:rPr>
        <w:t>a</w:t>
      </w:r>
      <w:r w:rsidRPr="007422C9">
        <w:rPr>
          <w:lang w:eastAsia="fr-FR" w:bidi="fr-FR"/>
        </w:rPr>
        <w:t>tione ecclesie eius titulo insignite a te sibi perhibuit attributum. Si ta</w:t>
      </w:r>
      <w:r w:rsidRPr="007422C9">
        <w:rPr>
          <w:lang w:eastAsia="fr-FR" w:bidi="fr-FR"/>
        </w:rPr>
        <w:t>n</w:t>
      </w:r>
      <w:r w:rsidRPr="007422C9">
        <w:rPr>
          <w:lang w:eastAsia="fr-FR" w:bidi="fr-FR"/>
        </w:rPr>
        <w:t>ti federis portionem recognoscis, mandatum ab eo nouum deferimus, quod infra presentis anni dimidium pertinges ad immortalis uite triumphum, et cum illo palmam castitatis accipies. Locum uero</w:t>
      </w:r>
      <w:r>
        <w:t xml:space="preserve"> [1027] </w:t>
      </w:r>
      <w:r w:rsidRPr="007422C9">
        <w:rPr>
          <w:lang w:eastAsia="fr-FR" w:bidi="fr-FR"/>
        </w:rPr>
        <w:t>nominatim in partibus Orientis nescimus exprimere, ubi tantum contigit apostolum uidere ». Ad auditam nuntiorum legationem rex sanctus uehe- menter exult</w:t>
      </w:r>
      <w:r>
        <w:rPr>
          <w:lang w:eastAsia="fr-FR" w:bidi="fr-FR"/>
        </w:rPr>
        <w:t>a</w:t>
      </w:r>
      <w:r w:rsidRPr="007422C9">
        <w:rPr>
          <w:lang w:eastAsia="fr-FR" w:bidi="fr-FR"/>
        </w:rPr>
        <w:t>t. « Gracias » inquid « Deo et sancto eius apostolo, quod me nequaquam reliquerunt inglorium, quem ad regnum glorie inuitauerunt gloriosum. Exultans et gaudens ad eundem ueniam, qui ad palmam me uocare dignatus est eternam ». Cum ergo geste rei seriem explicuissent nuntii perfectumque prodigialiter modum reuertendi, ad Dei laudem et gl</w:t>
      </w:r>
      <w:r w:rsidRPr="007422C9">
        <w:rPr>
          <w:lang w:eastAsia="fr-FR" w:bidi="fr-FR"/>
        </w:rPr>
        <w:t>o</w:t>
      </w:r>
      <w:r w:rsidRPr="007422C9">
        <w:rPr>
          <w:lang w:eastAsia="fr-FR" w:bidi="fr-FR"/>
        </w:rPr>
        <w:t>riam uoces omnium mirabiliter extulerunt. Ipsis autem nuntiis prosp</w:t>
      </w:r>
      <w:r w:rsidRPr="007422C9">
        <w:rPr>
          <w:lang w:eastAsia="fr-FR" w:bidi="fr-FR"/>
        </w:rPr>
        <w:t>é</w:t>
      </w:r>
      <w:r w:rsidRPr="007422C9">
        <w:rPr>
          <w:lang w:eastAsia="fr-FR" w:bidi="fr-FR"/>
        </w:rPr>
        <w:t>ra ab ilia die et deinceps cuncta succedunt.</w:t>
      </w:r>
    </w:p>
    <w:p w14:paraId="14BF7C35" w14:textId="77777777" w:rsidR="00B9662D" w:rsidRDefault="00B9662D" w:rsidP="00B9662D">
      <w:pPr>
        <w:spacing w:before="120" w:after="120"/>
        <w:jc w:val="both"/>
        <w:rPr>
          <w:lang w:eastAsia="fr-FR" w:bidi="fr-FR"/>
        </w:rPr>
      </w:pPr>
      <w:r>
        <w:rPr>
          <w:lang w:eastAsia="fr-FR" w:bidi="fr-FR"/>
        </w:rPr>
        <w:br w:type="page"/>
      </w:r>
    </w:p>
    <w:p w14:paraId="110CC6C3" w14:textId="77777777" w:rsidR="00B9662D" w:rsidRPr="007422C9" w:rsidRDefault="00B9662D" w:rsidP="00B9662D">
      <w:pPr>
        <w:pStyle w:val="a"/>
      </w:pPr>
      <w:r w:rsidRPr="009C48E5">
        <w:t>II. De puella in Sanctum blasphemando deformata</w:t>
      </w:r>
      <w:r>
        <w:br/>
      </w:r>
      <w:r w:rsidRPr="009C48E5">
        <w:t>et per eum r</w:t>
      </w:r>
      <w:r w:rsidRPr="009C48E5">
        <w:t>e</w:t>
      </w:r>
      <w:r w:rsidRPr="009C48E5">
        <w:t>formata</w:t>
      </w:r>
      <w:r>
        <w:rPr>
          <w:b w:val="0"/>
          <w:i w:val="0"/>
        </w:rPr>
        <w:t> </w:t>
      </w:r>
      <w:r>
        <w:rPr>
          <w:rStyle w:val="Appelnotedebasdep"/>
          <w:b w:val="0"/>
          <w:i w:val="0"/>
        </w:rPr>
        <w:footnoteReference w:customMarkFollows="1" w:id="1379"/>
        <w:t>a</w:t>
      </w:r>
      <w:r w:rsidRPr="007422C9">
        <w:t>.</w:t>
      </w:r>
    </w:p>
    <w:p w14:paraId="3231E196" w14:textId="77777777" w:rsidR="00B9662D" w:rsidRDefault="00B9662D" w:rsidP="00B9662D">
      <w:pPr>
        <w:spacing w:before="120" w:after="120"/>
        <w:jc w:val="both"/>
        <w:rPr>
          <w:lang w:eastAsia="fr-FR" w:bidi="fr-FR"/>
        </w:rPr>
      </w:pPr>
    </w:p>
    <w:p w14:paraId="3EA7FA8E" w14:textId="77777777" w:rsidR="00B9662D" w:rsidRPr="007422C9" w:rsidRDefault="00B9662D" w:rsidP="00B9662D">
      <w:pPr>
        <w:spacing w:before="120" w:after="120"/>
        <w:jc w:val="both"/>
      </w:pPr>
      <w:r w:rsidRPr="007422C9">
        <w:rPr>
          <w:lang w:eastAsia="fr-FR" w:bidi="fr-FR"/>
        </w:rPr>
        <w:t>Erat autem in ciuitate Lundonia quedam mulier nobilis, que regales diuitum purpuras auro gemmisque contexere, et consulares togas op</w:t>
      </w:r>
      <w:r w:rsidRPr="007422C9">
        <w:rPr>
          <w:lang w:eastAsia="fr-FR" w:bidi="fr-FR"/>
        </w:rPr>
        <w:t>é</w:t>
      </w:r>
      <w:r w:rsidRPr="007422C9">
        <w:rPr>
          <w:lang w:eastAsia="fr-FR" w:bidi="fr-FR"/>
        </w:rPr>
        <w:t>ré subtilis artificii consueuit adornare. Cumque diei uespera occurisset que crastinam beati Eadwardi precedit solennitatem, adolescentule que secum operabatur : « Quid », inquid « o iuuencula, die crastina faciemus ? sacrisne pretiosi regis feriis annua celebritate uacabimus ? Instant et opus properant, quibus hoc decus ascribitur. Sed gloriosus rex prohibet Eadwardus triumphalis diei temerare solemnia ». Cui p</w:t>
      </w:r>
      <w:r w:rsidRPr="007422C9">
        <w:rPr>
          <w:lang w:eastAsia="fr-FR" w:bidi="fr-FR"/>
        </w:rPr>
        <w:t>e</w:t>
      </w:r>
      <w:r w:rsidRPr="007422C9">
        <w:rPr>
          <w:lang w:eastAsia="fr-FR" w:bidi="fr-FR"/>
        </w:rPr>
        <w:t>dissequa : « Cuiusne regis Eadwardi est ista festivitas ? An illius apud Westmonasterium, quem honore regio plebs anglica iudicat attolle</w:t>
      </w:r>
      <w:r w:rsidRPr="007422C9">
        <w:rPr>
          <w:lang w:eastAsia="fr-FR" w:bidi="fr-FR"/>
        </w:rPr>
        <w:t>n</w:t>
      </w:r>
      <w:r w:rsidRPr="007422C9">
        <w:rPr>
          <w:lang w:eastAsia="fr-FR" w:bidi="fr-FR"/>
        </w:rPr>
        <w:t>dum ? Quid facerem amplius pro Eadwardo quam pro quolibet hom</w:t>
      </w:r>
      <w:r w:rsidRPr="007422C9">
        <w:rPr>
          <w:lang w:eastAsia="fr-FR" w:bidi="fr-FR"/>
        </w:rPr>
        <w:t>i</w:t>
      </w:r>
      <w:r w:rsidRPr="007422C9">
        <w:rPr>
          <w:lang w:eastAsia="fr-FR" w:bidi="fr-FR"/>
        </w:rPr>
        <w:t>ne</w:t>
      </w:r>
      <w:r>
        <w:rPr>
          <w:lang w:eastAsia="fr-FR" w:bidi="fr-FR"/>
        </w:rPr>
        <w:t xml:space="preserve"> rusticano ? » Dum hec et huius</w:t>
      </w:r>
      <w:r w:rsidRPr="007422C9">
        <w:rPr>
          <w:lang w:eastAsia="fr-FR" w:bidi="fr-FR"/>
        </w:rPr>
        <w:t>modi oblatraret, mox in conspectu omnium qui aderant miserabili genere paralitici languoris corripitur, et spumis ex eius ore profluentibus sermonis ofïicio uexata priuatur. Torquetur usque ad aurem fere dextram rictus oris multiplici passione deformis, uidebaturque iam proxima morti. Luget uenerabilis domina cum tota domo sua, currunt lamentantes uicini, fama extra fores jam in urbe diuulgata. Hera denique ad languentis mensuram candelam pr</w:t>
      </w:r>
      <w:r>
        <w:rPr>
          <w:lang w:eastAsia="fr-FR" w:bidi="fr-FR"/>
        </w:rPr>
        <w:t>e</w:t>
      </w:r>
      <w:r w:rsidRPr="007422C9">
        <w:rPr>
          <w:lang w:eastAsia="fr-FR" w:bidi="fr-FR"/>
        </w:rPr>
        <w:t>par</w:t>
      </w:r>
      <w:r>
        <w:rPr>
          <w:lang w:eastAsia="fr-FR" w:bidi="fr-FR"/>
        </w:rPr>
        <w:t>a</w:t>
      </w:r>
      <w:r w:rsidRPr="007422C9">
        <w:rPr>
          <w:lang w:eastAsia="fr-FR" w:bidi="fr-FR"/>
        </w:rPr>
        <w:t>t, sicque egrotam in tapeto cum lamentis expositam, ad eccl</w:t>
      </w:r>
      <w:r w:rsidRPr="007422C9">
        <w:rPr>
          <w:lang w:eastAsia="fr-FR" w:bidi="fr-FR"/>
        </w:rPr>
        <w:t>e</w:t>
      </w:r>
      <w:r w:rsidRPr="007422C9">
        <w:rPr>
          <w:lang w:eastAsia="fr-FR" w:bidi="fr-FR"/>
        </w:rPr>
        <w:t>siam per nauem deferunt predictam, et usque ad sepulchrum gloriosi regis Eadwardi miserandam sustollunt. Domina tam miserabilis fort</w:t>
      </w:r>
      <w:r w:rsidRPr="007422C9">
        <w:rPr>
          <w:lang w:eastAsia="fr-FR" w:bidi="fr-FR"/>
        </w:rPr>
        <w:t>u</w:t>
      </w:r>
      <w:r w:rsidRPr="007422C9">
        <w:rPr>
          <w:lang w:eastAsia="fr-FR" w:bidi="fr-FR"/>
        </w:rPr>
        <w:t>ne lacrimabatur incommodum et sanctum postulat regem Eadwardum ut tante inualetudinis remoueret tormentum. Sacris itaque uigiliis i</w:t>
      </w:r>
      <w:r w:rsidRPr="007422C9">
        <w:rPr>
          <w:lang w:eastAsia="fr-FR" w:bidi="fr-FR"/>
        </w:rPr>
        <w:t>n</w:t>
      </w:r>
      <w:r w:rsidRPr="007422C9">
        <w:rPr>
          <w:lang w:eastAsia="fr-FR" w:bidi="fr-FR"/>
        </w:rPr>
        <w:t>sistentes, diem continuant deuotis precibus subsequentem. Ipsa uero languida cui nec uox nec sensus erat in corpore, semianimis ut putab</w:t>
      </w:r>
      <w:r w:rsidRPr="007422C9">
        <w:rPr>
          <w:lang w:eastAsia="fr-FR" w:bidi="fr-FR"/>
        </w:rPr>
        <w:t>a</w:t>
      </w:r>
      <w:r w:rsidRPr="007422C9">
        <w:rPr>
          <w:lang w:eastAsia="fr-FR" w:bidi="fr-FR"/>
        </w:rPr>
        <w:t>tur anhelabat in mortem, cum inter astantium ploratus ad se tanquam de graui somno rediit et, sibi reddita, quo in loco decumberet inqu</w:t>
      </w:r>
      <w:r w:rsidRPr="007422C9">
        <w:rPr>
          <w:lang w:eastAsia="fr-FR" w:bidi="fr-FR"/>
        </w:rPr>
        <w:t>i</w:t>
      </w:r>
      <w:r w:rsidRPr="007422C9">
        <w:rPr>
          <w:lang w:eastAsia="fr-FR" w:bidi="fr-FR"/>
        </w:rPr>
        <w:t>siuit. Os namque eius paulo ante ita d</w:t>
      </w:r>
      <w:r>
        <w:rPr>
          <w:lang w:eastAsia="fr-FR" w:bidi="fr-FR"/>
        </w:rPr>
        <w:t>e</w:t>
      </w:r>
      <w:r w:rsidRPr="007422C9">
        <w:rPr>
          <w:lang w:eastAsia="fr-FR" w:bidi="fr-FR"/>
        </w:rPr>
        <w:t>form</w:t>
      </w:r>
      <w:r>
        <w:rPr>
          <w:lang w:eastAsia="fr-FR" w:bidi="fr-FR"/>
        </w:rPr>
        <w:t>e</w:t>
      </w:r>
      <w:r w:rsidRPr="007422C9">
        <w:rPr>
          <w:lang w:eastAsia="fr-FR" w:bidi="fr-FR"/>
        </w:rPr>
        <w:t xml:space="preserve"> ut monstrum uideretur esse, ita pulchre ad sue proprietatis rediit ordinem, ut nullius turpit</w:t>
      </w:r>
      <w:r w:rsidRPr="007422C9">
        <w:rPr>
          <w:lang w:eastAsia="fr-FR" w:bidi="fr-FR"/>
        </w:rPr>
        <w:t>u</w:t>
      </w:r>
      <w:r w:rsidRPr="007422C9">
        <w:rPr>
          <w:lang w:eastAsia="fr-FR" w:bidi="fr-FR"/>
        </w:rPr>
        <w:t>dinis exhiberet qualitatem. Tun</w:t>
      </w:r>
      <w:r>
        <w:rPr>
          <w:lang w:eastAsia="fr-FR" w:bidi="fr-FR"/>
        </w:rPr>
        <w:t>c</w:t>
      </w:r>
      <w:r w:rsidRPr="007422C9">
        <w:rPr>
          <w:lang w:eastAsia="fr-FR" w:bidi="fr-FR"/>
        </w:rPr>
        <w:t xml:space="preserve"> omnes qui aderant tripudiant de m</w:t>
      </w:r>
      <w:r w:rsidRPr="007422C9">
        <w:rPr>
          <w:lang w:eastAsia="fr-FR" w:bidi="fr-FR"/>
        </w:rPr>
        <w:t>i</w:t>
      </w:r>
      <w:r w:rsidRPr="007422C9">
        <w:rPr>
          <w:lang w:eastAsia="fr-FR" w:bidi="fr-FR"/>
        </w:rPr>
        <w:t>raculo in beato regis Eadwardi preconio : cuius quanta apud Deum florerent mérita, euidenter celestia pandebant indicia</w:t>
      </w:r>
      <w:r>
        <w:rPr>
          <w:lang w:eastAsia="fr-FR" w:bidi="fr-FR"/>
        </w:rPr>
        <w:t> </w:t>
      </w:r>
      <w:r>
        <w:rPr>
          <w:rStyle w:val="Appelnotedebasdep"/>
        </w:rPr>
        <w:footnoteReference w:id="1380"/>
      </w:r>
      <w:r w:rsidRPr="007422C9">
        <w:rPr>
          <w:lang w:eastAsia="fr-FR" w:bidi="fr-FR"/>
        </w:rPr>
        <w:t>.</w:t>
      </w:r>
    </w:p>
    <w:p w14:paraId="4D43E2DE" w14:textId="77777777" w:rsidR="00B9662D" w:rsidRDefault="00B9662D" w:rsidP="00B9662D">
      <w:pPr>
        <w:pStyle w:val="p"/>
      </w:pPr>
      <w:r>
        <w:t>[1028]</w:t>
      </w:r>
    </w:p>
    <w:p w14:paraId="40632ADA" w14:textId="77777777" w:rsidR="00B9662D" w:rsidRPr="007422C9" w:rsidRDefault="00B9662D" w:rsidP="00B9662D">
      <w:pPr>
        <w:spacing w:before="120" w:after="120"/>
        <w:jc w:val="both"/>
      </w:pPr>
    </w:p>
    <w:p w14:paraId="376FBC9F" w14:textId="77777777" w:rsidR="00B9662D" w:rsidRPr="007422C9" w:rsidRDefault="00B9662D" w:rsidP="00B9662D">
      <w:pPr>
        <w:pStyle w:val="planche"/>
      </w:pPr>
      <w:bookmarkStart w:id="60" w:name="Melanges_t2_pt_9_chap_IV_IV_appendice_II"/>
      <w:r w:rsidRPr="007422C9">
        <w:t>APPENDICE II</w:t>
      </w:r>
    </w:p>
    <w:p w14:paraId="54A3E7EB" w14:textId="77777777" w:rsidR="00B9662D" w:rsidRPr="00511AC0" w:rsidRDefault="00B9662D" w:rsidP="00B9662D">
      <w:pPr>
        <w:pStyle w:val="planchest0"/>
      </w:pPr>
      <w:r w:rsidRPr="00511AC0">
        <w:t>Extrait, relatif à saint Édouard le Confesseur,</w:t>
      </w:r>
      <w:r w:rsidRPr="00511AC0">
        <w:br/>
        <w:t>de l’histoire de Westminster par Sulcard</w:t>
      </w:r>
    </w:p>
    <w:bookmarkEnd w:id="60"/>
    <w:p w14:paraId="2F04F924" w14:textId="77777777" w:rsidR="00B9662D" w:rsidRDefault="00B9662D" w:rsidP="00B9662D">
      <w:pPr>
        <w:spacing w:before="120" w:after="120"/>
        <w:jc w:val="both"/>
        <w:rPr>
          <w:lang w:eastAsia="fr-FR" w:bidi="fr-FR"/>
        </w:rPr>
      </w:pPr>
    </w:p>
    <w:p w14:paraId="6CD69A97" w14:textId="77777777" w:rsidR="00B9662D" w:rsidRDefault="00B9662D" w:rsidP="00B9662D">
      <w:pPr>
        <w:spacing w:before="120" w:after="120"/>
        <w:jc w:val="both"/>
        <w:rPr>
          <w:lang w:eastAsia="fr-FR" w:bidi="fr-FR"/>
        </w:rPr>
      </w:pPr>
    </w:p>
    <w:p w14:paraId="7FF57BC0"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07998058" w14:textId="77777777" w:rsidR="00B9662D" w:rsidRPr="007422C9" w:rsidRDefault="00B9662D" w:rsidP="00B9662D">
      <w:pPr>
        <w:spacing w:before="120" w:after="120"/>
        <w:jc w:val="both"/>
      </w:pPr>
      <w:r w:rsidRPr="00DE5BDB">
        <w:rPr>
          <w:i/>
          <w:lang w:eastAsia="fr-FR" w:bidi="fr-FR"/>
        </w:rPr>
        <w:t>L'opuscule de Sulcard fut dédié à l'abbé Vital (environ 1076-1085) ; son titre</w:t>
      </w:r>
      <w:r w:rsidRPr="00DE5BDB">
        <w:rPr>
          <w:b/>
          <w:bCs/>
          <w:i/>
        </w:rPr>
        <w:t xml:space="preserve">, </w:t>
      </w:r>
      <w:r w:rsidRPr="00DE5BDB">
        <w:rPr>
          <w:i/>
          <w:lang w:eastAsia="fr-FR" w:bidi="fr-FR"/>
        </w:rPr>
        <w:t>tel que le donnent les manuscrits est :</w:t>
      </w:r>
      <w:r w:rsidRPr="00DE5BDB">
        <w:rPr>
          <w:b/>
          <w:bCs/>
          <w:i/>
        </w:rPr>
        <w:t xml:space="preserve"> </w:t>
      </w:r>
      <w:r w:rsidRPr="00DE5BDB">
        <w:rPr>
          <w:bCs/>
        </w:rPr>
        <w:t>Prologus de prima constructione ecclesie Westmonasterii et de dedicacione loci eiusdem per sanctum Petrum apostolorum principem</w:t>
      </w:r>
      <w:r w:rsidRPr="00DE5BDB">
        <w:rPr>
          <w:bCs/>
          <w:i/>
        </w:rPr>
        <w:t>.</w:t>
      </w:r>
      <w:r w:rsidRPr="00DE5BDB">
        <w:rPr>
          <w:b/>
          <w:bCs/>
          <w:i/>
        </w:rPr>
        <w:t xml:space="preserve"> </w:t>
      </w:r>
      <w:r w:rsidRPr="00DE5BDB">
        <w:rPr>
          <w:i/>
          <w:lang w:eastAsia="fr-FR" w:bidi="fr-FR"/>
        </w:rPr>
        <w:t>On le trouve en tête de deux cartulaires de Westminster</w:t>
      </w:r>
      <w:r w:rsidRPr="00DE5BDB">
        <w:rPr>
          <w:b/>
          <w:bCs/>
          <w:i/>
        </w:rPr>
        <w:t xml:space="preserve">, </w:t>
      </w:r>
      <w:r w:rsidRPr="00DE5BDB">
        <w:rPr>
          <w:i/>
          <w:lang w:eastAsia="fr-FR" w:bidi="fr-FR"/>
        </w:rPr>
        <w:t>tous deux conservés au M</w:t>
      </w:r>
      <w:r w:rsidRPr="00DE5BDB">
        <w:rPr>
          <w:i/>
          <w:lang w:eastAsia="fr-FR" w:bidi="fr-FR"/>
        </w:rPr>
        <w:t>u</w:t>
      </w:r>
      <w:r w:rsidRPr="00DE5BDB">
        <w:rPr>
          <w:i/>
          <w:lang w:eastAsia="fr-FR" w:bidi="fr-FR"/>
        </w:rPr>
        <w:t>sée Britannique :</w:t>
      </w:r>
      <w:r w:rsidRPr="00DE5BDB">
        <w:rPr>
          <w:b/>
          <w:bCs/>
          <w:i/>
        </w:rPr>
        <w:t xml:space="preserve"> </w:t>
      </w:r>
      <w:r w:rsidRPr="00DE5BDB">
        <w:rPr>
          <w:bCs/>
          <w:i/>
        </w:rPr>
        <w:t>Cotton Faustina</w:t>
      </w:r>
      <w:r w:rsidRPr="00DE5BDB">
        <w:rPr>
          <w:b/>
          <w:bCs/>
          <w:i/>
        </w:rPr>
        <w:t xml:space="preserve"> </w:t>
      </w:r>
      <w:r w:rsidRPr="00DE5BDB">
        <w:rPr>
          <w:i/>
          <w:lang w:eastAsia="fr-FR" w:bidi="fr-FR"/>
        </w:rPr>
        <w:t>A III (désigné dans</w:t>
      </w:r>
      <w:r w:rsidRPr="00DE5BDB">
        <w:rPr>
          <w:b/>
          <w:bCs/>
          <w:i/>
        </w:rPr>
        <w:t xml:space="preserve"> </w:t>
      </w:r>
      <w:r w:rsidRPr="00DE5BDB">
        <w:rPr>
          <w:bCs/>
          <w:i/>
        </w:rPr>
        <w:t>l’apparatus</w:t>
      </w:r>
      <w:r w:rsidRPr="00DE5BDB">
        <w:rPr>
          <w:b/>
          <w:bCs/>
          <w:i/>
        </w:rPr>
        <w:t xml:space="preserve"> </w:t>
      </w:r>
      <w:r w:rsidRPr="00DE5BDB">
        <w:rPr>
          <w:i/>
          <w:lang w:eastAsia="fr-FR" w:bidi="fr-FR"/>
        </w:rPr>
        <w:t xml:space="preserve">par </w:t>
      </w:r>
      <w:r>
        <w:rPr>
          <w:i/>
          <w:lang w:eastAsia="fr-FR" w:bidi="fr-FR"/>
        </w:rPr>
        <w:t>F</w:t>
      </w:r>
      <w:r w:rsidRPr="00DE5BDB">
        <w:rPr>
          <w:rStyle w:val="Corpsdutexte275ptNonItaliquePetitesmajuscules"/>
          <w:b w:val="0"/>
          <w:i w:val="0"/>
          <w:iCs w:val="0"/>
          <w:sz w:val="28"/>
          <w:lang w:val="fr-CA"/>
        </w:rPr>
        <w:t>),</w:t>
      </w:r>
      <w:r w:rsidRPr="00DE5BDB">
        <w:rPr>
          <w:rStyle w:val="Corpsdutexte275ptNonItaliquePetitesmajuscules"/>
          <w:i w:val="0"/>
          <w:iCs w:val="0"/>
          <w:sz w:val="28"/>
          <w:lang w:val="fr-CA"/>
        </w:rPr>
        <w:t xml:space="preserve"> </w:t>
      </w:r>
      <w:r w:rsidRPr="00DE5BDB">
        <w:rPr>
          <w:i/>
          <w:lang w:eastAsia="fr-FR" w:bidi="fr-FR"/>
        </w:rPr>
        <w:t>qui date du règne d'Édouard</w:t>
      </w:r>
      <w:r>
        <w:rPr>
          <w:i/>
          <w:lang w:eastAsia="fr-FR" w:bidi="fr-FR"/>
        </w:rPr>
        <w:t> </w:t>
      </w:r>
      <w:r w:rsidRPr="00DE5BDB">
        <w:rPr>
          <w:i/>
          <w:lang w:eastAsia="fr-FR" w:bidi="fr-FR"/>
        </w:rPr>
        <w:t>I</w:t>
      </w:r>
      <w:r w:rsidRPr="00DE5BDB">
        <w:rPr>
          <w:i/>
          <w:vertAlign w:val="superscript"/>
          <w:lang w:eastAsia="fr-FR" w:bidi="fr-FR"/>
        </w:rPr>
        <w:t xml:space="preserve">er  </w:t>
      </w:r>
      <w:r w:rsidRPr="00DE5BDB">
        <w:rPr>
          <w:i/>
          <w:lang w:eastAsia="fr-FR" w:bidi="fr-FR"/>
        </w:rPr>
        <w:t>(1272-1307),</w:t>
      </w:r>
      <w:r w:rsidRPr="00DE5BDB">
        <w:rPr>
          <w:b/>
          <w:bCs/>
          <w:i/>
        </w:rPr>
        <w:t> — </w:t>
      </w:r>
      <w:r w:rsidRPr="00DE5BDB">
        <w:rPr>
          <w:i/>
          <w:lang w:eastAsia="fr-FR" w:bidi="fr-FR"/>
        </w:rPr>
        <w:t>et</w:t>
      </w:r>
      <w:r w:rsidRPr="00DE5BDB">
        <w:rPr>
          <w:b/>
          <w:bCs/>
          <w:i/>
        </w:rPr>
        <w:t xml:space="preserve"> </w:t>
      </w:r>
      <w:r w:rsidRPr="00DE5BDB">
        <w:rPr>
          <w:bCs/>
        </w:rPr>
        <w:t xml:space="preserve">Titus </w:t>
      </w:r>
      <w:r w:rsidRPr="00DE5BDB">
        <w:rPr>
          <w:rStyle w:val="Corpsdutexte275ptNonItaliquePetitesmajuscules"/>
          <w:b w:val="0"/>
          <w:iCs w:val="0"/>
          <w:sz w:val="28"/>
          <w:lang w:val="fr-CA"/>
        </w:rPr>
        <w:t>a</w:t>
      </w:r>
      <w:r w:rsidRPr="00DE5BDB">
        <w:rPr>
          <w:rStyle w:val="Corpsdutexte275ptNonItaliquePetitesmajuscules"/>
          <w:i w:val="0"/>
          <w:iCs w:val="0"/>
          <w:sz w:val="28"/>
          <w:lang w:val="fr-CA"/>
        </w:rPr>
        <w:t xml:space="preserve"> </w:t>
      </w:r>
      <w:r w:rsidRPr="00DE5BDB">
        <w:rPr>
          <w:bCs/>
          <w:i/>
          <w:iCs/>
        </w:rPr>
        <w:t>VIII</w:t>
      </w:r>
      <w:r w:rsidRPr="00DE5BDB">
        <w:rPr>
          <w:i/>
          <w:lang w:eastAsia="fr-FR" w:bidi="fr-FR"/>
        </w:rPr>
        <w:t xml:space="preserve"> (désigné dans l'apparatus par</w:t>
      </w:r>
      <w:r w:rsidRPr="00DE5BDB">
        <w:rPr>
          <w:b/>
          <w:bCs/>
          <w:i/>
        </w:rPr>
        <w:t xml:space="preserve"> </w:t>
      </w:r>
      <w:r w:rsidRPr="00DE5BDB">
        <w:rPr>
          <w:rStyle w:val="Corpsdutexte275ptNonItaliquePetitesmajuscules"/>
          <w:b w:val="0"/>
          <w:i w:val="0"/>
          <w:iCs w:val="0"/>
          <w:sz w:val="28"/>
          <w:lang w:val="fr-CA"/>
        </w:rPr>
        <w:t>t)</w:t>
      </w:r>
      <w:r w:rsidRPr="00DE5BDB">
        <w:rPr>
          <w:rStyle w:val="Corpsdutexte275ptNonItaliquePetitesmajuscules"/>
          <w:i w:val="0"/>
          <w:iCs w:val="0"/>
          <w:sz w:val="28"/>
          <w:lang w:val="fr-CA"/>
        </w:rPr>
        <w:t xml:space="preserve"> </w:t>
      </w:r>
      <w:r w:rsidRPr="00DE5BDB">
        <w:rPr>
          <w:i/>
          <w:lang w:eastAsia="fr-FR" w:bidi="fr-FR"/>
        </w:rPr>
        <w:t>dont la première partie a dû être écrite vers l'an 1300 (en tout cas après 1290 cf. fol. 42 v°) ; le second texte semble avoir été copié sur le premier</w:t>
      </w:r>
      <w:r>
        <w:rPr>
          <w:lang w:eastAsia="fr-FR" w:bidi="fr-FR"/>
        </w:rPr>
        <w:t> </w:t>
      </w:r>
      <w:r>
        <w:rPr>
          <w:rStyle w:val="Appelnotedebasdep"/>
        </w:rPr>
        <w:footnoteReference w:id="1381"/>
      </w:r>
      <w:r w:rsidRPr="007422C9">
        <w:rPr>
          <w:lang w:eastAsia="fr-FR" w:bidi="fr-FR"/>
        </w:rPr>
        <w:t xml:space="preserve">. </w:t>
      </w:r>
      <w:r w:rsidRPr="00DE5BDB">
        <w:rPr>
          <w:i/>
          <w:lang w:eastAsia="fr-FR" w:bidi="fr-FR"/>
        </w:rPr>
        <w:t>Le passage ci-dessous reproduit forme la fin de l'ouvrage :</w:t>
      </w:r>
      <w:r w:rsidRPr="00DE5BDB">
        <w:rPr>
          <w:b/>
          <w:bCs/>
          <w:i/>
        </w:rPr>
        <w:t xml:space="preserve"> </w:t>
      </w:r>
      <w:r w:rsidRPr="00DE5BDB">
        <w:rPr>
          <w:rStyle w:val="Corpsdutexte275ptNonItaliquePetitesmajuscules"/>
          <w:b w:val="0"/>
          <w:i w:val="0"/>
          <w:iCs w:val="0"/>
          <w:sz w:val="28"/>
          <w:lang w:val="fr-CA"/>
        </w:rPr>
        <w:t>f</w:t>
      </w:r>
      <w:r w:rsidRPr="00DE5BDB">
        <w:rPr>
          <w:rStyle w:val="Corpsdutexte275ptNonItaliquePetitesmajuscules"/>
          <w:i w:val="0"/>
          <w:iCs w:val="0"/>
          <w:sz w:val="28"/>
          <w:lang w:val="fr-CA"/>
        </w:rPr>
        <w:t xml:space="preserve"> </w:t>
      </w:r>
      <w:r w:rsidRPr="00DE5BDB">
        <w:rPr>
          <w:i/>
          <w:lang w:eastAsia="fr-FR" w:bidi="fr-FR"/>
        </w:rPr>
        <w:t xml:space="preserve">fol. 16 et v° et </w:t>
      </w:r>
      <w:r w:rsidRPr="00DE5BDB">
        <w:rPr>
          <w:rStyle w:val="Corpsdutexte275ptNonItaliquePetitesmajuscules"/>
          <w:b w:val="0"/>
          <w:i w:val="0"/>
          <w:iCs w:val="0"/>
          <w:sz w:val="28"/>
          <w:lang w:val="fr-CA"/>
        </w:rPr>
        <w:t>t</w:t>
      </w:r>
      <w:r w:rsidRPr="00DE5BDB">
        <w:rPr>
          <w:rStyle w:val="Corpsdutexte275ptNonItaliquePetitesmajuscules"/>
          <w:i w:val="0"/>
          <w:iCs w:val="0"/>
          <w:sz w:val="28"/>
          <w:lang w:val="fr-CA"/>
        </w:rPr>
        <w:t xml:space="preserve"> </w:t>
      </w:r>
      <w:r w:rsidRPr="00DE5BDB">
        <w:rPr>
          <w:i/>
          <w:lang w:eastAsia="fr-FR" w:bidi="fr-FR"/>
        </w:rPr>
        <w:t>fol. 5 et v°.</w:t>
      </w:r>
    </w:p>
    <w:p w14:paraId="26DD72BB" w14:textId="77777777" w:rsidR="00B9662D" w:rsidRPr="007422C9" w:rsidRDefault="00B9662D" w:rsidP="00B9662D">
      <w:pPr>
        <w:spacing w:before="120" w:after="120"/>
        <w:jc w:val="both"/>
      </w:pPr>
      <w:r w:rsidRPr="007422C9">
        <w:rPr>
          <w:lang w:eastAsia="fr-FR" w:bidi="fr-FR"/>
        </w:rPr>
        <w:t>Tandem uero pietas diuina Angliam respexit : quando scilicet te</w:t>
      </w:r>
      <w:r w:rsidRPr="007422C9">
        <w:rPr>
          <w:lang w:eastAsia="fr-FR" w:bidi="fr-FR"/>
        </w:rPr>
        <w:t>m</w:t>
      </w:r>
      <w:r w:rsidRPr="007422C9">
        <w:rPr>
          <w:lang w:eastAsia="fr-FR" w:bidi="fr-FR"/>
        </w:rPr>
        <w:t>pus miserendi eius aduenit</w:t>
      </w:r>
      <w:r>
        <w:rPr>
          <w:lang w:eastAsia="fr-FR" w:bidi="fr-FR"/>
        </w:rPr>
        <w:t> </w:t>
      </w:r>
      <w:r>
        <w:rPr>
          <w:rStyle w:val="Appelnotedebasdep"/>
        </w:rPr>
        <w:footnoteReference w:id="1382"/>
      </w:r>
      <w:r w:rsidRPr="007422C9">
        <w:rPr>
          <w:lang w:eastAsia="fr-FR" w:bidi="fr-FR"/>
        </w:rPr>
        <w:t>, solo diuino consilio nutuque</w:t>
      </w:r>
      <w:r>
        <w:rPr>
          <w:lang w:eastAsia="fr-FR" w:bidi="fr-FR"/>
        </w:rPr>
        <w:t> </w:t>
      </w:r>
      <w:r>
        <w:rPr>
          <w:rStyle w:val="Appelnotedebasdep"/>
          <w:lang w:eastAsia="fr-FR" w:bidi="fr-FR"/>
        </w:rPr>
        <w:footnoteReference w:customMarkFollows="1" w:id="1383"/>
        <w:t>a</w:t>
      </w:r>
      <w:r w:rsidRPr="007422C9">
        <w:rPr>
          <w:lang w:eastAsia="fr-FR" w:bidi="fr-FR"/>
        </w:rPr>
        <w:t xml:space="preserve"> agente post tôt ruinas et pericula rex pie mençionis Edwardus, rex factus, a pate</w:t>
      </w:r>
      <w:r w:rsidRPr="007422C9">
        <w:rPr>
          <w:lang w:eastAsia="fr-FR" w:bidi="fr-FR"/>
        </w:rPr>
        <w:t>r</w:t>
      </w:r>
      <w:r w:rsidRPr="007422C9">
        <w:rPr>
          <w:lang w:eastAsia="fr-FR" w:bidi="fr-FR"/>
        </w:rPr>
        <w:t>no regno omnia scandalorum purgauit discrimina ; qui, ut alter Sal</w:t>
      </w:r>
      <w:r w:rsidRPr="007422C9">
        <w:rPr>
          <w:lang w:eastAsia="fr-FR" w:bidi="fr-FR"/>
        </w:rPr>
        <w:t>o</w:t>
      </w:r>
      <w:r w:rsidRPr="007422C9">
        <w:rPr>
          <w:lang w:eastAsia="fr-FR" w:bidi="fr-FR"/>
        </w:rPr>
        <w:t>mon post paterna bella</w:t>
      </w:r>
      <w:r>
        <w:rPr>
          <w:lang w:eastAsia="fr-FR" w:bidi="fr-FR"/>
        </w:rPr>
        <w:t> </w:t>
      </w:r>
      <w:r>
        <w:rPr>
          <w:rStyle w:val="Appelnotedebasdep"/>
          <w:lang w:eastAsia="fr-FR" w:bidi="fr-FR"/>
        </w:rPr>
        <w:footnoteReference w:customMarkFollows="1" w:id="1384"/>
        <w:t>b</w:t>
      </w:r>
      <w:r w:rsidRPr="007422C9">
        <w:rPr>
          <w:lang w:eastAsia="fr-FR" w:bidi="fr-FR"/>
        </w:rPr>
        <w:t xml:space="preserve"> et cruentum regnum successit in pace omni</w:t>
      </w:r>
      <w:r w:rsidRPr="007422C9">
        <w:rPr>
          <w:lang w:eastAsia="fr-FR" w:bidi="fr-FR"/>
        </w:rPr>
        <w:t>s</w:t>
      </w:r>
      <w:r w:rsidRPr="007422C9">
        <w:rPr>
          <w:lang w:eastAsia="fr-FR" w:bidi="fr-FR"/>
        </w:rPr>
        <w:t>que motus conquieuit omni tempore uite sue. Hic ergo, ut Deo et sancto Petro referret gracias pro sibi celitus concesso honore et p</w:t>
      </w:r>
      <w:r w:rsidRPr="007422C9">
        <w:rPr>
          <w:lang w:eastAsia="fr-FR" w:bidi="fr-FR"/>
        </w:rPr>
        <w:t>a</w:t>
      </w:r>
      <w:r w:rsidRPr="007422C9">
        <w:rPr>
          <w:lang w:eastAsia="fr-FR" w:bidi="fr-FR"/>
        </w:rPr>
        <w:t>ce, R</w:t>
      </w:r>
      <w:r w:rsidRPr="007422C9">
        <w:rPr>
          <w:lang w:eastAsia="fr-FR" w:bidi="fr-FR"/>
        </w:rPr>
        <w:t>o</w:t>
      </w:r>
      <w:r w:rsidRPr="007422C9">
        <w:rPr>
          <w:lang w:eastAsia="fr-FR" w:bidi="fr-FR"/>
        </w:rPr>
        <w:t>mam statuit ire. Quod ubi regni primatibus claruit, hinc inde turbatis tandem hoc consilium</w:t>
      </w:r>
      <w:r>
        <w:rPr>
          <w:lang w:eastAsia="fr-FR" w:bidi="fr-FR"/>
        </w:rPr>
        <w:t> </w:t>
      </w:r>
      <w:r>
        <w:rPr>
          <w:rStyle w:val="Appelnotedebasdep"/>
          <w:lang w:eastAsia="fr-FR" w:bidi="fr-FR"/>
        </w:rPr>
        <w:footnoteReference w:customMarkFollows="1" w:id="1385"/>
        <w:t>c</w:t>
      </w:r>
      <w:r w:rsidRPr="007422C9">
        <w:rPr>
          <w:vertAlign w:val="superscript"/>
          <w:lang w:eastAsia="fr-FR" w:bidi="fr-FR"/>
        </w:rPr>
        <w:t xml:space="preserve"> </w:t>
      </w:r>
      <w:r w:rsidRPr="007422C9">
        <w:rPr>
          <w:lang w:eastAsia="fr-FR" w:bidi="fr-FR"/>
        </w:rPr>
        <w:t>cunctis consulentibus complacuit, ne tanto d</w:t>
      </w:r>
      <w:r w:rsidRPr="007422C9">
        <w:rPr>
          <w:lang w:eastAsia="fr-FR" w:bidi="fr-FR"/>
        </w:rPr>
        <w:t>o</w:t>
      </w:r>
      <w:r w:rsidRPr="007422C9">
        <w:rPr>
          <w:lang w:eastAsia="fr-FR" w:bidi="fr-FR"/>
        </w:rPr>
        <w:t xml:space="preserve">mino et pio patrie rege absente regnum nouiter sedatum aliqua turbaretur hostilitate, remanens ex hiis sumptibus aliquem emendaret locum in eiusdem beati </w:t>
      </w:r>
      <w:r>
        <w:rPr>
          <w:lang w:eastAsia="fr-FR" w:bidi="fr-FR"/>
        </w:rPr>
        <w:t>Petri</w:t>
      </w:r>
      <w:r w:rsidRPr="007422C9">
        <w:rPr>
          <w:lang w:eastAsia="fr-FR" w:bidi="fr-FR"/>
        </w:rPr>
        <w:t xml:space="preserve"> honore. Hoc consultum Deus agebat ut supradictum apostolorum principis monasterium in melius per eum proficeret, ut decebat. Perdurabat adhuc idem monasterium quod o</w:t>
      </w:r>
      <w:r w:rsidRPr="007422C9">
        <w:rPr>
          <w:lang w:eastAsia="fr-FR" w:bidi="fr-FR"/>
        </w:rPr>
        <w:t>m</w:t>
      </w:r>
      <w:r w:rsidRPr="007422C9">
        <w:rPr>
          <w:lang w:eastAsia="fr-FR" w:bidi="fr-FR"/>
        </w:rPr>
        <w:t>nes uidimus habito consilio esse</w:t>
      </w:r>
      <w:r>
        <w:rPr>
          <w:lang w:eastAsia="fr-FR" w:bidi="fr-FR"/>
        </w:rPr>
        <w:t> </w:t>
      </w:r>
      <w:r>
        <w:rPr>
          <w:rStyle w:val="Appelnotedebasdep"/>
          <w:lang w:eastAsia="fr-FR" w:bidi="fr-FR"/>
        </w:rPr>
        <w:footnoteReference w:customMarkFollows="1" w:id="1386"/>
        <w:t>d</w:t>
      </w:r>
      <w:r w:rsidRPr="007422C9">
        <w:rPr>
          <w:lang w:eastAsia="fr-FR" w:bidi="fr-FR"/>
        </w:rPr>
        <w:t xml:space="preserve"> dirutum ut surgeret nobilius, quod nunc uidemus, et ubi tantus rex sepulturam sibi eligeret et cum sibi desponsata unice liberalitatis et industrie regina diem suppremum e</w:t>
      </w:r>
      <w:r w:rsidRPr="007422C9">
        <w:rPr>
          <w:lang w:eastAsia="fr-FR" w:bidi="fr-FR"/>
        </w:rPr>
        <w:t>x</w:t>
      </w:r>
      <w:r w:rsidRPr="007422C9">
        <w:rPr>
          <w:lang w:eastAsia="fr-FR" w:bidi="fr-FR"/>
        </w:rPr>
        <w:t>pectaret. Festinatur ergo ex precepto regis ceptum opus, et post paucos annos, diversis fultum columpnis ac multiplicibus uolutum hinc et i</w:t>
      </w:r>
      <w:r w:rsidRPr="007422C9">
        <w:rPr>
          <w:lang w:eastAsia="fr-FR" w:bidi="fr-FR"/>
        </w:rPr>
        <w:t>n</w:t>
      </w:r>
      <w:r w:rsidRPr="007422C9">
        <w:rPr>
          <w:lang w:eastAsia="fr-FR" w:bidi="fr-FR"/>
        </w:rPr>
        <w:t>de arc</w:t>
      </w:r>
      <w:r w:rsidRPr="007422C9">
        <w:rPr>
          <w:lang w:eastAsia="fr-FR" w:bidi="fr-FR"/>
        </w:rPr>
        <w:t>u</w:t>
      </w:r>
      <w:r w:rsidRPr="007422C9">
        <w:rPr>
          <w:lang w:eastAsia="fr-FR" w:bidi="fr-FR"/>
        </w:rPr>
        <w:t>bus, usque ad ipsum uestibulum perfectum premonstratur, consecra</w:t>
      </w:r>
      <w:r w:rsidRPr="007422C9">
        <w:rPr>
          <w:lang w:eastAsia="fr-FR" w:bidi="fr-FR"/>
        </w:rPr>
        <w:t>n</w:t>
      </w:r>
      <w:r w:rsidRPr="007422C9">
        <w:rPr>
          <w:lang w:eastAsia="fr-FR" w:bidi="fr-FR"/>
        </w:rPr>
        <w:t>dum episcopis et cunctis regni proceribus.</w:t>
      </w:r>
    </w:p>
    <w:p w14:paraId="188743B5" w14:textId="77777777" w:rsidR="00B9662D" w:rsidRDefault="00B9662D" w:rsidP="00B9662D">
      <w:pPr>
        <w:spacing w:before="120" w:after="120"/>
        <w:jc w:val="both"/>
        <w:rPr>
          <w:lang w:eastAsia="fr-FR" w:bidi="fr-FR"/>
        </w:rPr>
      </w:pPr>
      <w:r w:rsidRPr="007422C9">
        <w:rPr>
          <w:lang w:eastAsia="fr-FR" w:bidi="fr-FR"/>
        </w:rPr>
        <w:t>Apparantur</w:t>
      </w:r>
      <w:r>
        <w:rPr>
          <w:lang w:eastAsia="fr-FR" w:bidi="fr-FR"/>
        </w:rPr>
        <w:t> </w:t>
      </w:r>
      <w:r>
        <w:rPr>
          <w:rStyle w:val="Appelnotedebasdep"/>
          <w:lang w:eastAsia="fr-FR" w:bidi="fr-FR"/>
        </w:rPr>
        <w:footnoteReference w:customMarkFollows="1" w:id="1387"/>
        <w:t>e</w:t>
      </w:r>
      <w:r w:rsidRPr="007422C9">
        <w:rPr>
          <w:lang w:eastAsia="fr-FR" w:bidi="fr-FR"/>
        </w:rPr>
        <w:t xml:space="preserve"> interea regio uti par erat sumptu tanti operis dedica- cioni necessaria, et conuenitur eo a tota Britannia, conuenitur, inquam, ut in Natali Domini sicut ad regis curia</w:t>
      </w:r>
      <w:r>
        <w:rPr>
          <w:lang w:eastAsia="fr-FR" w:bidi="fr-FR"/>
        </w:rPr>
        <w:t>m uel ad celebrem Christo conse</w:t>
      </w:r>
      <w:r w:rsidRPr="007422C9">
        <w:rPr>
          <w:lang w:eastAsia="fr-FR" w:bidi="fr-FR"/>
        </w:rPr>
        <w:t>crandam</w:t>
      </w:r>
      <w:r>
        <w:t xml:space="preserve"> [1029]</w:t>
      </w:r>
      <w:r w:rsidRPr="007422C9">
        <w:rPr>
          <w:lang w:eastAsia="fr-FR" w:bidi="fr-FR"/>
        </w:rPr>
        <w:t xml:space="preserve"> ecclesiam ; et hoc, ut solet fieri, putabant fieri cum ga</w:t>
      </w:r>
      <w:r w:rsidRPr="007422C9">
        <w:rPr>
          <w:lang w:eastAsia="fr-FR" w:bidi="fr-FR"/>
        </w:rPr>
        <w:t>u</w:t>
      </w:r>
      <w:r w:rsidRPr="007422C9">
        <w:rPr>
          <w:lang w:eastAsia="fr-FR" w:bidi="fr-FR"/>
        </w:rPr>
        <w:t>dio ; set « faciens pacem et creans malum »</w:t>
      </w:r>
      <w:r>
        <w:rPr>
          <w:lang w:eastAsia="fr-FR" w:bidi="fr-FR"/>
        </w:rPr>
        <w:t> </w:t>
      </w:r>
      <w:r>
        <w:rPr>
          <w:rStyle w:val="Appelnotedebasdep"/>
        </w:rPr>
        <w:footnoteReference w:id="1388"/>
      </w:r>
      <w:r w:rsidRPr="007422C9">
        <w:rPr>
          <w:lang w:eastAsia="fr-FR" w:bidi="fr-FR"/>
        </w:rPr>
        <w:t xml:space="preserve"> nostris exagitata peccatis aliter dispo</w:t>
      </w:r>
      <w:r>
        <w:rPr>
          <w:lang w:eastAsia="fr-FR" w:bidi="fr-FR"/>
        </w:rPr>
        <w:t>suit diuina </w:t>
      </w:r>
      <w:r>
        <w:rPr>
          <w:rStyle w:val="Appelnotedebasdep"/>
          <w:lang w:eastAsia="fr-FR" w:bidi="fr-FR"/>
        </w:rPr>
        <w:footnoteReference w:customMarkFollows="1" w:id="1389"/>
        <w:t>f</w:t>
      </w:r>
      <w:r w:rsidRPr="007422C9">
        <w:rPr>
          <w:lang w:eastAsia="fr-FR" w:bidi="fr-FR"/>
        </w:rPr>
        <w:t xml:space="preserve"> commis</w:t>
      </w:r>
      <w:r>
        <w:rPr>
          <w:lang w:eastAsia="fr-FR" w:bidi="fr-FR"/>
        </w:rPr>
        <w:t>eraci</w:t>
      </w:r>
      <w:r w:rsidRPr="007422C9">
        <w:rPr>
          <w:lang w:eastAsia="fr-FR" w:bidi="fr-FR"/>
        </w:rPr>
        <w:t>o</w:t>
      </w:r>
      <w:r>
        <w:rPr>
          <w:lang w:eastAsia="fr-FR" w:bidi="fr-FR"/>
        </w:rPr>
        <w:t> </w:t>
      </w:r>
      <w:r>
        <w:rPr>
          <w:rStyle w:val="Appelnotedebasdep"/>
          <w:lang w:eastAsia="fr-FR" w:bidi="fr-FR"/>
        </w:rPr>
        <w:footnoteReference w:customMarkFollows="1" w:id="1390"/>
        <w:t>g</w:t>
      </w:r>
      <w:r>
        <w:rPr>
          <w:lang w:eastAsia="fr-FR" w:bidi="fr-FR"/>
        </w:rPr>
        <w:t>.</w:t>
      </w:r>
      <w:r w:rsidRPr="007422C9">
        <w:rPr>
          <w:lang w:eastAsia="fr-FR" w:bidi="fr-FR"/>
        </w:rPr>
        <w:t xml:space="preserve"> Nam in ipsa N</w:t>
      </w:r>
      <w:r>
        <w:rPr>
          <w:lang w:eastAsia="fr-FR" w:bidi="fr-FR"/>
        </w:rPr>
        <w:t>atali Domini nocte cepit ingra</w:t>
      </w:r>
      <w:r w:rsidRPr="007422C9">
        <w:rPr>
          <w:lang w:eastAsia="fr-FR" w:bidi="fr-FR"/>
        </w:rPr>
        <w:t>uari rex benignissimus ; dissimulans tamen ipsam diem tam in ecclesia quam in palacio ducit exultanter cum suis principibus ; secunda uero die, cum iam non posset celare, cepit s</w:t>
      </w:r>
      <w:r w:rsidRPr="007422C9">
        <w:rPr>
          <w:lang w:eastAsia="fr-FR" w:bidi="fr-FR"/>
        </w:rPr>
        <w:t>e</w:t>
      </w:r>
      <w:r w:rsidRPr="007422C9">
        <w:rPr>
          <w:lang w:eastAsia="fr-FR" w:bidi="fr-FR"/>
        </w:rPr>
        <w:t>creci</w:t>
      </w:r>
      <w:r>
        <w:rPr>
          <w:lang w:eastAsia="fr-FR" w:bidi="fr-FR"/>
        </w:rPr>
        <w:t>us requiescere et per internun</w:t>
      </w:r>
      <w:r w:rsidRPr="007422C9">
        <w:rPr>
          <w:lang w:eastAsia="fr-FR" w:bidi="fr-FR"/>
        </w:rPr>
        <w:t>cios curiam suam letificare dedic</w:t>
      </w:r>
      <w:r w:rsidRPr="007422C9">
        <w:rPr>
          <w:lang w:eastAsia="fr-FR" w:bidi="fr-FR"/>
        </w:rPr>
        <w:t>a</w:t>
      </w:r>
      <w:r w:rsidRPr="007422C9">
        <w:rPr>
          <w:lang w:eastAsia="fr-FR" w:bidi="fr-FR"/>
        </w:rPr>
        <w:t>cione</w:t>
      </w:r>
      <w:r w:rsidRPr="007422C9">
        <w:rPr>
          <w:lang w:eastAsia="fr-FR" w:bidi="fr-FR"/>
        </w:rPr>
        <w:t>m</w:t>
      </w:r>
      <w:r w:rsidRPr="007422C9">
        <w:rPr>
          <w:lang w:eastAsia="fr-FR" w:bidi="fr-FR"/>
        </w:rPr>
        <w:t>que monasterii sui per eos quos decebat</w:t>
      </w:r>
      <w:r>
        <w:rPr>
          <w:lang w:eastAsia="fr-FR" w:bidi="fr-FR"/>
        </w:rPr>
        <w:t> </w:t>
      </w:r>
      <w:r>
        <w:rPr>
          <w:rStyle w:val="Appelnotedebasdep"/>
          <w:lang w:eastAsia="fr-FR" w:bidi="fr-FR"/>
        </w:rPr>
        <w:footnoteReference w:customMarkFollows="1" w:id="1391"/>
        <w:t>h</w:t>
      </w:r>
      <w:r w:rsidRPr="007422C9">
        <w:rPr>
          <w:lang w:eastAsia="fr-FR" w:bidi="fr-FR"/>
        </w:rPr>
        <w:t xml:space="preserve"> consummare. Paucis, proch dolor ! superuiuens diebus, sacro munitus uiatico, extremum clausit diem, sepultusque est, ut uidetur, ante ipsum altare principis apostol</w:t>
      </w:r>
      <w:r w:rsidRPr="007422C9">
        <w:rPr>
          <w:lang w:eastAsia="fr-FR" w:bidi="fr-FR"/>
        </w:rPr>
        <w:t>o</w:t>
      </w:r>
      <w:r w:rsidRPr="007422C9">
        <w:rPr>
          <w:lang w:eastAsia="fr-FR" w:bidi="fr-FR"/>
        </w:rPr>
        <w:t>rum, cedente non solum Anglia, set omnibus uicinis regnis in gem</w:t>
      </w:r>
      <w:r w:rsidRPr="007422C9">
        <w:rPr>
          <w:lang w:eastAsia="fr-FR" w:bidi="fr-FR"/>
        </w:rPr>
        <w:t>i</w:t>
      </w:r>
      <w:r w:rsidRPr="007422C9">
        <w:rPr>
          <w:lang w:eastAsia="fr-FR" w:bidi="fr-FR"/>
        </w:rPr>
        <w:t>tum.</w:t>
      </w:r>
    </w:p>
    <w:p w14:paraId="183D2D14" w14:textId="77777777" w:rsidR="00B9662D" w:rsidRPr="007422C9" w:rsidRDefault="00B9662D" w:rsidP="00B9662D">
      <w:pPr>
        <w:spacing w:before="120" w:after="120"/>
        <w:jc w:val="both"/>
      </w:pPr>
    </w:p>
    <w:p w14:paraId="7DF72630" w14:textId="77777777" w:rsidR="00B9662D" w:rsidRPr="00861ADB" w:rsidRDefault="00B9662D" w:rsidP="00B9662D">
      <w:pPr>
        <w:pStyle w:val="planche"/>
      </w:pPr>
      <w:r w:rsidRPr="00861ADB">
        <w:t>Note rectificative</w:t>
      </w:r>
    </w:p>
    <w:p w14:paraId="0D80FC0C" w14:textId="77777777" w:rsidR="00B9662D" w:rsidRDefault="00B9662D" w:rsidP="00B9662D">
      <w:pPr>
        <w:spacing w:before="120" w:after="120"/>
        <w:jc w:val="both"/>
        <w:rPr>
          <w:lang w:eastAsia="fr-FR" w:bidi="fr-FR"/>
        </w:rPr>
      </w:pPr>
    </w:p>
    <w:p w14:paraId="28520E89" w14:textId="77777777" w:rsidR="00B9662D" w:rsidRDefault="00B9662D" w:rsidP="00B9662D">
      <w:pPr>
        <w:spacing w:before="120" w:after="120"/>
        <w:jc w:val="both"/>
        <w:rPr>
          <w:lang w:eastAsia="fr-FR" w:bidi="fr-FR"/>
        </w:rPr>
      </w:pPr>
      <w:r w:rsidRPr="007422C9">
        <w:rPr>
          <w:lang w:eastAsia="fr-FR" w:bidi="fr-FR"/>
        </w:rPr>
        <w:t>J’ai qualifié plus haut d’« inexplicable » la parenté établie par le Biographe, et par Osbert, sans doute à sa suite, entre Édouard le Confesseur et Henri I</w:t>
      </w:r>
      <w:r w:rsidRPr="007422C9">
        <w:rPr>
          <w:vertAlign w:val="superscript"/>
          <w:lang w:eastAsia="fr-FR" w:bidi="fr-FR"/>
        </w:rPr>
        <w:t>er</w:t>
      </w:r>
      <w:r w:rsidRPr="007422C9">
        <w:rPr>
          <w:lang w:eastAsia="fr-FR" w:bidi="fr-FR"/>
        </w:rPr>
        <w:t xml:space="preserve"> de France. L’erreur est certaine ; mais elle s’explique assez aisément. Le Biographe avait dû lire dans quelque chronique que le duc de Normandie Richard</w:t>
      </w:r>
      <w:r>
        <w:rPr>
          <w:lang w:eastAsia="fr-FR" w:bidi="fr-FR"/>
        </w:rPr>
        <w:t> </w:t>
      </w:r>
      <w:r w:rsidRPr="007422C9">
        <w:rPr>
          <w:lang w:eastAsia="fr-FR" w:bidi="fr-FR"/>
        </w:rPr>
        <w:t>I</w:t>
      </w:r>
      <w:r w:rsidRPr="007422C9">
        <w:rPr>
          <w:vertAlign w:val="superscript"/>
          <w:lang w:eastAsia="fr-FR" w:bidi="fr-FR"/>
        </w:rPr>
        <w:t>er</w:t>
      </w:r>
      <w:r w:rsidRPr="007422C9">
        <w:rPr>
          <w:lang w:eastAsia="fr-FR" w:bidi="fr-FR"/>
        </w:rPr>
        <w:t>, père de la reine d’Angleterre Emma, grand-père par conséquent de saint Édouard, avait eu pour femme la fille du duc de France Hugues le Grand, app</w:t>
      </w:r>
      <w:r w:rsidRPr="007422C9">
        <w:rPr>
          <w:lang w:eastAsia="fr-FR" w:bidi="fr-FR"/>
        </w:rPr>
        <w:t>e</w:t>
      </w:r>
      <w:r w:rsidRPr="007422C9">
        <w:rPr>
          <w:lang w:eastAsia="fr-FR" w:bidi="fr-FR"/>
        </w:rPr>
        <w:t>lée elle aussi Emma. Rien de plus exact. Mais ce que le Biographe n’aura point su, c’est que cette princesse ne donna point d’enfants à son mari ; la reine Emma et tous ses autres frères et sœurs naquirent de la seconde femme du duc, Gonnor. Supposant la reine Emma fille d’une sœur de Hugues Capet, notre auteur en conclut naturellement que saint Édouard et le Capétien Henri étaient proches parents ; la conclusion eût été juste, si les prémisses n’avaient été fausses.</w:t>
      </w:r>
    </w:p>
    <w:p w14:paraId="6F045DC1" w14:textId="77777777" w:rsidR="00B9662D" w:rsidRPr="007422C9" w:rsidRDefault="00B9662D" w:rsidP="00B9662D">
      <w:pPr>
        <w:spacing w:before="120" w:after="120"/>
        <w:jc w:val="both"/>
      </w:pPr>
    </w:p>
    <w:p w14:paraId="158DB9F7" w14:textId="77777777" w:rsidR="00B9662D" w:rsidRDefault="00B9662D" w:rsidP="00B9662D">
      <w:pPr>
        <w:pStyle w:val="planche"/>
      </w:pPr>
      <w:r w:rsidRPr="007422C9">
        <w:t>ABRÉVIATIONS BIBLIOGRAPHIQUES</w:t>
      </w:r>
    </w:p>
    <w:p w14:paraId="7923EE27" w14:textId="77777777" w:rsidR="00B9662D" w:rsidRPr="007422C9" w:rsidRDefault="00B9662D" w:rsidP="00B9662D">
      <w:pPr>
        <w:spacing w:before="120" w:after="120"/>
        <w:jc w:val="both"/>
      </w:pPr>
    </w:p>
    <w:p w14:paraId="72743B8F" w14:textId="77777777" w:rsidR="00B9662D" w:rsidRPr="007422C9" w:rsidRDefault="00B9662D" w:rsidP="00B9662D">
      <w:pPr>
        <w:spacing w:before="120" w:after="120"/>
        <w:jc w:val="both"/>
      </w:pPr>
      <w:r w:rsidRPr="00861ADB">
        <w:rPr>
          <w:rStyle w:val="Corpsdutexte2175ptItalique"/>
          <w:b w:val="0"/>
          <w:sz w:val="28"/>
          <w:lang w:val="fr-CA"/>
        </w:rPr>
        <w:t>BHG.</w:t>
      </w:r>
      <w:r w:rsidRPr="00861ADB">
        <w:rPr>
          <w:b/>
          <w:bCs/>
        </w:rPr>
        <w:t xml:space="preserve"> = </w:t>
      </w:r>
      <w:r w:rsidRPr="00861ADB">
        <w:rPr>
          <w:rStyle w:val="Corpsdutexte2175ptItalique"/>
          <w:b w:val="0"/>
          <w:sz w:val="28"/>
          <w:lang w:val="fr-CA"/>
        </w:rPr>
        <w:t>Bibliotheca hagiographica graeca.</w:t>
      </w:r>
      <w:r w:rsidRPr="007422C9">
        <w:rPr>
          <w:b/>
          <w:bCs/>
        </w:rPr>
        <w:t xml:space="preserve"> </w:t>
      </w:r>
      <w:r w:rsidRPr="007422C9">
        <w:rPr>
          <w:lang w:eastAsia="fr-FR" w:bidi="fr-FR"/>
        </w:rPr>
        <w:t>Editio altéra emend</w:t>
      </w:r>
      <w:r w:rsidRPr="007422C9">
        <w:rPr>
          <w:lang w:eastAsia="fr-FR" w:bidi="fr-FR"/>
        </w:rPr>
        <w:t>a</w:t>
      </w:r>
      <w:r w:rsidRPr="007422C9">
        <w:rPr>
          <w:lang w:eastAsia="fr-FR" w:bidi="fr-FR"/>
        </w:rPr>
        <w:t>tior. Bruxellis, 1909.</w:t>
      </w:r>
    </w:p>
    <w:p w14:paraId="701DE4A4" w14:textId="77777777" w:rsidR="00B9662D" w:rsidRPr="007422C9" w:rsidRDefault="00B9662D" w:rsidP="00B9662D">
      <w:pPr>
        <w:spacing w:before="120" w:after="120"/>
        <w:jc w:val="both"/>
      </w:pPr>
      <w:r w:rsidRPr="00DE5BDB">
        <w:rPr>
          <w:i/>
          <w:lang w:eastAsia="fr-FR" w:bidi="fr-FR"/>
        </w:rPr>
        <w:t>BHL.</w:t>
      </w:r>
      <w:r w:rsidRPr="007422C9">
        <w:rPr>
          <w:lang w:eastAsia="fr-FR" w:bidi="fr-FR"/>
        </w:rPr>
        <w:t xml:space="preserve"> = </w:t>
      </w:r>
      <w:r w:rsidRPr="00DE5BDB">
        <w:rPr>
          <w:i/>
          <w:lang w:eastAsia="fr-FR" w:bidi="fr-FR"/>
        </w:rPr>
        <w:t>Bibliotheca hagiographica latina antiquae et mediae aet</w:t>
      </w:r>
      <w:r w:rsidRPr="00DE5BDB">
        <w:rPr>
          <w:i/>
          <w:lang w:eastAsia="fr-FR" w:bidi="fr-FR"/>
        </w:rPr>
        <w:t>a</w:t>
      </w:r>
      <w:r w:rsidRPr="00DE5BDB">
        <w:rPr>
          <w:i/>
          <w:lang w:eastAsia="fr-FR" w:bidi="fr-FR"/>
        </w:rPr>
        <w:t>tis.</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1898-1901. Eiusdem</w:t>
      </w:r>
      <w:r w:rsidRPr="007422C9">
        <w:rPr>
          <w:rStyle w:val="Corpsdutexte138ptNonItalique"/>
          <w:i w:val="0"/>
          <w:iCs w:val="0"/>
          <w:sz w:val="28"/>
          <w:lang w:val="fr-CA"/>
        </w:rPr>
        <w:t xml:space="preserve"> </w:t>
      </w:r>
      <w:r w:rsidRPr="00DE5BDB">
        <w:rPr>
          <w:i/>
          <w:lang w:eastAsia="fr-FR" w:bidi="fr-FR"/>
        </w:rPr>
        <w:t>Supplementi editio altéra auctitor. Ibid</w:t>
      </w:r>
      <w:r w:rsidRPr="00861ADB">
        <w:rPr>
          <w:rStyle w:val="Corpsdutexte138ptNonItalique"/>
          <w:b w:val="0"/>
          <w:i w:val="0"/>
          <w:iCs w:val="0"/>
          <w:sz w:val="28"/>
          <w:lang w:val="fr-CA"/>
        </w:rPr>
        <w:t>, 1911.</w:t>
      </w:r>
    </w:p>
    <w:p w14:paraId="45D965FB" w14:textId="77777777" w:rsidR="00B9662D" w:rsidRPr="00861ADB" w:rsidRDefault="00B9662D" w:rsidP="00B9662D">
      <w:pPr>
        <w:spacing w:before="120" w:after="120"/>
        <w:jc w:val="both"/>
        <w:rPr>
          <w:b/>
        </w:rPr>
      </w:pPr>
      <w:r w:rsidRPr="00DE5BDB">
        <w:rPr>
          <w:i/>
          <w:lang w:eastAsia="fr-FR" w:bidi="fr-FR"/>
        </w:rPr>
        <w:t>BHO.</w:t>
      </w:r>
      <w:r w:rsidRPr="00DE5BDB">
        <w:rPr>
          <w:rStyle w:val="Corpsdutexte1345ptNonItalique"/>
          <w:i w:val="0"/>
          <w:iCs w:val="0"/>
          <w:sz w:val="28"/>
          <w:lang w:val="fr-CA"/>
        </w:rPr>
        <w:t xml:space="preserve"> = </w:t>
      </w:r>
      <w:r w:rsidRPr="00DE5BDB">
        <w:rPr>
          <w:i/>
          <w:lang w:eastAsia="fr-FR" w:bidi="fr-FR"/>
        </w:rPr>
        <w:t>Bibliotheca hagiographica orientalis</w:t>
      </w:r>
      <w:r w:rsidRPr="007422C9">
        <w:rPr>
          <w:lang w:eastAsia="fr-FR" w:bidi="fr-FR"/>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1910.</w:t>
      </w:r>
    </w:p>
    <w:p w14:paraId="402A3882" w14:textId="77777777" w:rsidR="00B9662D" w:rsidRPr="007422C9" w:rsidRDefault="00B9662D" w:rsidP="00B9662D">
      <w:pPr>
        <w:spacing w:before="120" w:after="120"/>
        <w:jc w:val="both"/>
      </w:pPr>
      <w:r w:rsidRPr="00DE5BDB">
        <w:rPr>
          <w:i/>
          <w:lang w:eastAsia="fr-FR" w:bidi="fr-FR"/>
        </w:rPr>
        <w:t>Catal. Gr. Germ.</w:t>
      </w:r>
      <w:r w:rsidRPr="00DE5BDB">
        <w:rPr>
          <w:rStyle w:val="Corpsdutexte1345ptNonItalique"/>
          <w:i w:val="0"/>
          <w:iCs w:val="0"/>
          <w:sz w:val="28"/>
          <w:lang w:val="fr-CA"/>
        </w:rPr>
        <w:t xml:space="preserve"> = </w:t>
      </w:r>
      <w:r w:rsidRPr="00DE5BDB">
        <w:rPr>
          <w:i/>
          <w:lang w:eastAsia="fr-FR" w:bidi="fr-FR"/>
        </w:rPr>
        <w:t>Catalogus codicum hagiographicorum graec</w:t>
      </w:r>
      <w:r w:rsidRPr="00DE5BDB">
        <w:rPr>
          <w:i/>
          <w:lang w:eastAsia="fr-FR" w:bidi="fr-FR"/>
        </w:rPr>
        <w:t>o</w:t>
      </w:r>
      <w:r w:rsidRPr="00DE5BDB">
        <w:rPr>
          <w:i/>
          <w:lang w:eastAsia="fr-FR" w:bidi="fr-FR"/>
        </w:rPr>
        <w:t>rum Germaniae Belgii Angliae</w:t>
      </w:r>
      <w:r w:rsidRPr="007422C9">
        <w:rPr>
          <w:lang w:eastAsia="fr-FR" w:bidi="fr-FR"/>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1913.</w:t>
      </w:r>
    </w:p>
    <w:p w14:paraId="2EC6A367" w14:textId="77777777" w:rsidR="00B9662D" w:rsidRPr="007422C9" w:rsidRDefault="00B9662D" w:rsidP="00B9662D">
      <w:pPr>
        <w:spacing w:before="120" w:after="120"/>
        <w:jc w:val="both"/>
      </w:pPr>
      <w:r w:rsidRPr="00DE5BDB">
        <w:rPr>
          <w:i/>
          <w:lang w:eastAsia="fr-FR" w:bidi="fr-FR"/>
        </w:rPr>
        <w:t>Catal. Gr. Paris.</w:t>
      </w:r>
      <w:r w:rsidRPr="00DE5BDB">
        <w:rPr>
          <w:rStyle w:val="Corpsdutexte1345ptNonItalique"/>
          <w:i w:val="0"/>
          <w:iCs w:val="0"/>
          <w:sz w:val="28"/>
          <w:lang w:val="fr-CA"/>
        </w:rPr>
        <w:t xml:space="preserve"> = </w:t>
      </w:r>
      <w:r w:rsidRPr="00DE5BDB">
        <w:rPr>
          <w:i/>
          <w:lang w:eastAsia="fr-FR" w:bidi="fr-FR"/>
        </w:rPr>
        <w:t>Catalogus codicum hagiographicorum graec</w:t>
      </w:r>
      <w:r w:rsidRPr="00DE5BDB">
        <w:rPr>
          <w:i/>
          <w:lang w:eastAsia="fr-FR" w:bidi="fr-FR"/>
        </w:rPr>
        <w:t>o</w:t>
      </w:r>
      <w:r w:rsidRPr="00DE5BDB">
        <w:rPr>
          <w:i/>
          <w:lang w:eastAsia="fr-FR" w:bidi="fr-FR"/>
        </w:rPr>
        <w:t>rum bibliothecae Nationalis Parisiensis</w:t>
      </w:r>
      <w:r w:rsidRPr="007422C9">
        <w:rPr>
          <w:lang w:eastAsia="fr-FR" w:bidi="fr-FR"/>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1896.</w:t>
      </w:r>
    </w:p>
    <w:p w14:paraId="15776789" w14:textId="77777777" w:rsidR="00B9662D" w:rsidRPr="007422C9" w:rsidRDefault="00B9662D" w:rsidP="00B9662D">
      <w:pPr>
        <w:spacing w:before="120" w:after="120"/>
        <w:jc w:val="both"/>
      </w:pPr>
      <w:r w:rsidRPr="00DE5BDB">
        <w:rPr>
          <w:i/>
          <w:lang w:eastAsia="fr-FR" w:bidi="fr-FR"/>
        </w:rPr>
        <w:t>Catal. Gr. Vatic.</w:t>
      </w:r>
      <w:r w:rsidRPr="00DE5BDB">
        <w:rPr>
          <w:rStyle w:val="Corpsdutexte1345ptNonItalique"/>
          <w:i w:val="0"/>
          <w:iCs w:val="0"/>
          <w:sz w:val="28"/>
          <w:lang w:val="fr-CA"/>
        </w:rPr>
        <w:t xml:space="preserve"> = </w:t>
      </w:r>
      <w:r w:rsidRPr="00DE5BDB">
        <w:rPr>
          <w:i/>
          <w:lang w:eastAsia="fr-FR" w:bidi="fr-FR"/>
        </w:rPr>
        <w:t>Catalogus codicum hagiographicorum graec</w:t>
      </w:r>
      <w:r w:rsidRPr="00DE5BDB">
        <w:rPr>
          <w:i/>
          <w:lang w:eastAsia="fr-FR" w:bidi="fr-FR"/>
        </w:rPr>
        <w:t>o</w:t>
      </w:r>
      <w:r w:rsidRPr="00DE5BDB">
        <w:rPr>
          <w:i/>
          <w:lang w:eastAsia="fr-FR" w:bidi="fr-FR"/>
        </w:rPr>
        <w:t>rum bibliothecae Vaticanae.</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1899.</w:t>
      </w:r>
    </w:p>
    <w:p w14:paraId="20CBA054" w14:textId="77777777" w:rsidR="00B9662D" w:rsidRPr="007422C9" w:rsidRDefault="00B9662D" w:rsidP="00B9662D">
      <w:pPr>
        <w:spacing w:before="120" w:after="120"/>
        <w:jc w:val="both"/>
      </w:pPr>
      <w:r w:rsidRPr="00DE5BDB">
        <w:rPr>
          <w:i/>
          <w:lang w:eastAsia="fr-FR" w:bidi="fr-FR"/>
        </w:rPr>
        <w:t>Catal. Lat. Brux. = Catalogus codicum hagiographicorum bibli</w:t>
      </w:r>
      <w:r w:rsidRPr="00DE5BDB">
        <w:rPr>
          <w:i/>
          <w:lang w:eastAsia="fr-FR" w:bidi="fr-FR"/>
        </w:rPr>
        <w:t>o</w:t>
      </w:r>
      <w:r w:rsidRPr="00DE5BDB">
        <w:rPr>
          <w:i/>
          <w:lang w:eastAsia="fr-FR" w:bidi="fr-FR"/>
        </w:rPr>
        <w:t>thecae regiae Bruxellensis</w:t>
      </w:r>
      <w:r w:rsidRPr="007422C9">
        <w:rPr>
          <w:lang w:eastAsia="fr-FR" w:bidi="fr-FR"/>
        </w:rPr>
        <w:t xml:space="preserve">. </w:t>
      </w:r>
      <w:r w:rsidRPr="00861ADB">
        <w:rPr>
          <w:rStyle w:val="Corpsdutexte138ptNonItalique"/>
          <w:b w:val="0"/>
          <w:i w:val="0"/>
          <w:iCs w:val="0"/>
          <w:sz w:val="28"/>
          <w:lang w:val="fr-CA"/>
        </w:rPr>
        <w:t>Pars I. Codices latini membranei. Bruxe</w:t>
      </w:r>
      <w:r w:rsidRPr="00861ADB">
        <w:rPr>
          <w:rStyle w:val="Corpsdutexte138ptNonItalique"/>
          <w:b w:val="0"/>
          <w:i w:val="0"/>
          <w:iCs w:val="0"/>
          <w:sz w:val="28"/>
          <w:lang w:val="fr-CA"/>
        </w:rPr>
        <w:t>l</w:t>
      </w:r>
      <w:r w:rsidRPr="00861ADB">
        <w:rPr>
          <w:rStyle w:val="Corpsdutexte138ptNonItalique"/>
          <w:b w:val="0"/>
          <w:i w:val="0"/>
          <w:iCs w:val="0"/>
          <w:sz w:val="28"/>
          <w:lang w:val="fr-CA"/>
        </w:rPr>
        <w:t>lis, 1886, 1889. Tomi duo.</w:t>
      </w:r>
    </w:p>
    <w:p w14:paraId="3ED27AC7" w14:textId="77777777" w:rsidR="00B9662D" w:rsidRPr="007422C9" w:rsidRDefault="00B9662D" w:rsidP="00B9662D">
      <w:pPr>
        <w:spacing w:before="120" w:after="120"/>
        <w:jc w:val="both"/>
      </w:pPr>
      <w:r>
        <w:t>[1030]</w:t>
      </w:r>
    </w:p>
    <w:p w14:paraId="2BBCE9FA" w14:textId="77777777" w:rsidR="00B9662D" w:rsidRPr="007422C9" w:rsidRDefault="00B9662D" w:rsidP="00B9662D">
      <w:pPr>
        <w:spacing w:before="120" w:after="120"/>
        <w:jc w:val="both"/>
      </w:pPr>
      <w:r w:rsidRPr="00DE5BDB">
        <w:rPr>
          <w:i/>
          <w:lang w:eastAsia="fr-FR" w:bidi="fr-FR"/>
        </w:rPr>
        <w:t>Catal. Lat. Paris. = Calalogus codicum hagiographicorum latin</w:t>
      </w:r>
      <w:r w:rsidRPr="00DE5BDB">
        <w:rPr>
          <w:i/>
          <w:lang w:eastAsia="fr-FR" w:bidi="fr-FR"/>
        </w:rPr>
        <w:t>o</w:t>
      </w:r>
      <w:r w:rsidRPr="00DE5BDB">
        <w:rPr>
          <w:i/>
          <w:lang w:eastAsia="fr-FR" w:bidi="fr-FR"/>
        </w:rPr>
        <w:t>rum antiquiorum saeculo XVI qui asservantur in bibliotheca Nationali Parisiensi.</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1889- 1893. Tomi quattuor.</w:t>
      </w:r>
    </w:p>
    <w:p w14:paraId="0968F2D1" w14:textId="77777777" w:rsidR="00B9662D" w:rsidRPr="007422C9" w:rsidRDefault="00B9662D" w:rsidP="00B9662D">
      <w:pPr>
        <w:spacing w:before="120" w:after="120"/>
        <w:jc w:val="both"/>
      </w:pPr>
      <w:r w:rsidRPr="007C4A38">
        <w:rPr>
          <w:i/>
          <w:lang w:eastAsia="fr-FR" w:bidi="fr-FR"/>
        </w:rPr>
        <w:t>Catal. Lat. Rom. = Catalogus codicum hagiographicorum latin</w:t>
      </w:r>
      <w:r w:rsidRPr="007C4A38">
        <w:rPr>
          <w:i/>
          <w:lang w:eastAsia="fr-FR" w:bidi="fr-FR"/>
        </w:rPr>
        <w:t>o</w:t>
      </w:r>
      <w:r w:rsidRPr="007C4A38">
        <w:rPr>
          <w:i/>
          <w:lang w:eastAsia="fr-FR" w:bidi="fr-FR"/>
        </w:rPr>
        <w:t>rum bibliothecarum Romanarum praeter quam Vaticanae</w:t>
      </w:r>
      <w:r w:rsidRPr="007422C9">
        <w:rPr>
          <w:lang w:eastAsia="fr-FR" w:bidi="fr-FR"/>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1909.</w:t>
      </w:r>
    </w:p>
    <w:p w14:paraId="1A37EAFC" w14:textId="77777777" w:rsidR="00B9662D" w:rsidRPr="007422C9" w:rsidRDefault="00B9662D" w:rsidP="00B9662D">
      <w:pPr>
        <w:spacing w:before="120" w:after="120"/>
        <w:jc w:val="both"/>
      </w:pPr>
      <w:r w:rsidRPr="007C4A38">
        <w:rPr>
          <w:i/>
          <w:lang w:eastAsia="fr-FR" w:bidi="fr-FR"/>
        </w:rPr>
        <w:t>Catal. Lat. Vatic.</w:t>
      </w:r>
      <w:r w:rsidRPr="007C4A38">
        <w:rPr>
          <w:rStyle w:val="Corpsdutexte1345ptNonItalique"/>
          <w:i w:val="0"/>
          <w:iCs w:val="0"/>
          <w:sz w:val="28"/>
          <w:lang w:val="fr-CA"/>
        </w:rPr>
        <w:t xml:space="preserve"> = </w:t>
      </w:r>
      <w:r w:rsidRPr="007C4A38">
        <w:rPr>
          <w:i/>
          <w:lang w:eastAsia="fr-FR" w:bidi="fr-FR"/>
        </w:rPr>
        <w:t>Catalogus codicum hagiographicorum latin</w:t>
      </w:r>
      <w:r w:rsidRPr="007C4A38">
        <w:rPr>
          <w:i/>
          <w:lang w:eastAsia="fr-FR" w:bidi="fr-FR"/>
        </w:rPr>
        <w:t>o</w:t>
      </w:r>
      <w:r w:rsidRPr="007C4A38">
        <w:rPr>
          <w:i/>
          <w:lang w:eastAsia="fr-FR" w:bidi="fr-FR"/>
        </w:rPr>
        <w:t>rum bibliothecae Vaticanae</w:t>
      </w:r>
      <w:r w:rsidRPr="007422C9">
        <w:rPr>
          <w:lang w:eastAsia="fr-FR" w:bidi="fr-FR"/>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Bruxellis, 1910.</w:t>
      </w:r>
    </w:p>
    <w:p w14:paraId="6E3E7BB8" w14:textId="77777777" w:rsidR="00B9662D" w:rsidRPr="007422C9" w:rsidRDefault="00B9662D" w:rsidP="00B9662D">
      <w:pPr>
        <w:spacing w:before="120" w:after="120"/>
        <w:jc w:val="both"/>
      </w:pPr>
      <w:r w:rsidRPr="007C4A38">
        <w:rPr>
          <w:i/>
          <w:lang w:eastAsia="fr-FR" w:bidi="fr-FR"/>
        </w:rPr>
        <w:t>Mir. BVM. = Index Miraculorum B. V. Mariae</w:t>
      </w:r>
      <w:r w:rsidRPr="007C4A38">
        <w:rPr>
          <w:rStyle w:val="Corpsdutexte1345ptNonItalique"/>
          <w:i w:val="0"/>
          <w:iCs w:val="0"/>
          <w:sz w:val="28"/>
          <w:lang w:val="fr-CA"/>
        </w:rPr>
        <w:t xml:space="preserve"> </w:t>
      </w:r>
      <w:r w:rsidRPr="007C4A38">
        <w:rPr>
          <w:rStyle w:val="Corpsdutexte138ptNonItalique"/>
          <w:b w:val="0"/>
          <w:i w:val="0"/>
          <w:iCs w:val="0"/>
          <w:sz w:val="28"/>
          <w:lang w:val="fr-CA"/>
        </w:rPr>
        <w:t xml:space="preserve">editus in </w:t>
      </w:r>
      <w:r w:rsidRPr="007C4A38">
        <w:rPr>
          <w:rStyle w:val="Corpsdutexte1365ptNonItalique"/>
          <w:b w:val="0"/>
          <w:i w:val="0"/>
          <w:iCs w:val="0"/>
          <w:sz w:val="28"/>
          <w:lang w:val="fr-CA"/>
        </w:rPr>
        <w:t>Anal.</w:t>
      </w:r>
      <w:r w:rsidRPr="00861ADB">
        <w:rPr>
          <w:rStyle w:val="Corpsdutexte1365ptNonItalique"/>
          <w:b w:val="0"/>
          <w:i w:val="0"/>
          <w:iCs w:val="0"/>
          <w:sz w:val="28"/>
          <w:lang w:val="fr-CA"/>
        </w:rPr>
        <w:t xml:space="preserve"> Boll., </w:t>
      </w:r>
      <w:r w:rsidRPr="00861ADB">
        <w:rPr>
          <w:rStyle w:val="Corpsdutexte138ptNonItalique"/>
          <w:b w:val="0"/>
          <w:i w:val="0"/>
          <w:iCs w:val="0"/>
          <w:sz w:val="28"/>
          <w:lang w:val="fr-CA"/>
        </w:rPr>
        <w:t>t. XXI, p. 241-360.</w:t>
      </w:r>
    </w:p>
    <w:p w14:paraId="6E1D2831" w14:textId="77777777" w:rsidR="00B9662D" w:rsidRPr="007422C9" w:rsidRDefault="00B9662D" w:rsidP="00B9662D">
      <w:pPr>
        <w:spacing w:before="120" w:after="120"/>
        <w:jc w:val="both"/>
      </w:pPr>
      <w:r w:rsidRPr="007C4A38">
        <w:rPr>
          <w:i/>
          <w:lang w:eastAsia="fr-FR" w:bidi="fr-FR"/>
        </w:rPr>
        <w:t>Synax. Eccl. CP. = Synaxarium ecclesiae Constantinopolitanae</w:t>
      </w:r>
      <w:r w:rsidRPr="007C4A38">
        <w:rPr>
          <w:rStyle w:val="Corpsdutexte1345ptNonItalique"/>
          <w:i w:val="0"/>
          <w:iCs w:val="0"/>
          <w:sz w:val="28"/>
          <w:lang w:val="fr-CA"/>
        </w:rPr>
        <w:t>,</w:t>
      </w:r>
      <w:r w:rsidRPr="007422C9">
        <w:rPr>
          <w:rStyle w:val="Corpsdutexte1345ptNonItalique"/>
          <w:i w:val="0"/>
          <w:iCs w:val="0"/>
          <w:sz w:val="28"/>
          <w:lang w:val="fr-CA"/>
        </w:rPr>
        <w:t xml:space="preserve"> </w:t>
      </w:r>
      <w:r w:rsidRPr="00861ADB">
        <w:rPr>
          <w:rStyle w:val="Corpsdutexte138ptNonItalique"/>
          <w:b w:val="0"/>
          <w:i w:val="0"/>
          <w:iCs w:val="0"/>
          <w:sz w:val="28"/>
          <w:lang w:val="fr-CA"/>
        </w:rPr>
        <w:t xml:space="preserve">ed. H. </w:t>
      </w:r>
      <w:r w:rsidRPr="007C4A38">
        <w:rPr>
          <w:rStyle w:val="Corpsdutexte1365ptNonItalique"/>
          <w:b w:val="0"/>
          <w:i w:val="0"/>
          <w:iCs w:val="0"/>
          <w:smallCaps/>
          <w:sz w:val="28"/>
          <w:lang w:val="fr-CA"/>
        </w:rPr>
        <w:t>Delehaye</w:t>
      </w:r>
      <w:r w:rsidRPr="00861ADB">
        <w:rPr>
          <w:rStyle w:val="Corpsdutexte1365ptNonItalique"/>
          <w:b w:val="0"/>
          <w:i w:val="0"/>
          <w:iCs w:val="0"/>
          <w:sz w:val="28"/>
          <w:lang w:val="fr-CA"/>
        </w:rPr>
        <w:t xml:space="preserve">. </w:t>
      </w:r>
      <w:r w:rsidRPr="00861ADB">
        <w:rPr>
          <w:rStyle w:val="Corpsdutexte138ptNonItalique"/>
          <w:b w:val="0"/>
          <w:i w:val="0"/>
          <w:iCs w:val="0"/>
          <w:sz w:val="28"/>
          <w:lang w:val="fr-CA"/>
        </w:rPr>
        <w:t>Bruxellis, 1902, in-fol.</w:t>
      </w:r>
      <w:r w:rsidRPr="007422C9">
        <w:rPr>
          <w:rStyle w:val="Corpsdutexte138ptNonItalique"/>
          <w:i w:val="0"/>
          <w:iCs w:val="0"/>
          <w:sz w:val="28"/>
          <w:lang w:val="fr-CA"/>
        </w:rPr>
        <w:t xml:space="preserve"> </w:t>
      </w:r>
      <w:r w:rsidRPr="007422C9">
        <w:rPr>
          <w:rStyle w:val="Corpsdutexte1345ptNonItalique"/>
          <w:i w:val="0"/>
          <w:iCs w:val="0"/>
          <w:sz w:val="28"/>
          <w:lang w:val="fr-CA"/>
        </w:rPr>
        <w:t>(</w:t>
      </w:r>
      <w:r w:rsidRPr="007C4A38">
        <w:rPr>
          <w:i/>
          <w:lang w:eastAsia="fr-FR" w:bidi="fr-FR"/>
        </w:rPr>
        <w:t>Acta Sanctorum</w:t>
      </w:r>
      <w:r w:rsidRPr="007422C9">
        <w:rPr>
          <w:rStyle w:val="Corpsdutexte1345ptNonItalique"/>
          <w:i w:val="0"/>
          <w:iCs w:val="0"/>
          <w:sz w:val="28"/>
          <w:lang w:val="fr-CA"/>
        </w:rPr>
        <w:t xml:space="preserve">, </w:t>
      </w:r>
      <w:r w:rsidRPr="00861ADB">
        <w:rPr>
          <w:rStyle w:val="Corpsdutexte138ptNonItalique"/>
          <w:b w:val="0"/>
          <w:i w:val="0"/>
          <w:iCs w:val="0"/>
          <w:sz w:val="28"/>
          <w:lang w:val="fr-CA"/>
        </w:rPr>
        <w:t>Prop</w:t>
      </w:r>
      <w:r w:rsidRPr="00861ADB">
        <w:rPr>
          <w:rStyle w:val="Corpsdutexte138ptNonItalique"/>
          <w:b w:val="0"/>
          <w:i w:val="0"/>
          <w:iCs w:val="0"/>
          <w:sz w:val="28"/>
          <w:lang w:val="fr-CA"/>
        </w:rPr>
        <w:t>y</w:t>
      </w:r>
      <w:r w:rsidRPr="00861ADB">
        <w:rPr>
          <w:rStyle w:val="Corpsdutexte138ptNonItalique"/>
          <w:b w:val="0"/>
          <w:i w:val="0"/>
          <w:iCs w:val="0"/>
          <w:sz w:val="28"/>
          <w:lang w:val="fr-CA"/>
        </w:rPr>
        <w:t>laeum ad Acta SS. Novembris).</w:t>
      </w:r>
    </w:p>
    <w:p w14:paraId="6F9BE4A5" w14:textId="77777777" w:rsidR="00B9662D" w:rsidRDefault="00B9662D" w:rsidP="00B9662D">
      <w:pPr>
        <w:pStyle w:val="p"/>
      </w:pPr>
      <w:r>
        <w:rPr>
          <w:lang w:eastAsia="fr-FR" w:bidi="fr-FR"/>
        </w:rPr>
        <w:br w:type="page"/>
      </w:r>
      <w:r>
        <w:t>[1031]</w:t>
      </w:r>
    </w:p>
    <w:p w14:paraId="4A9F9017" w14:textId="77777777" w:rsidR="00B9662D" w:rsidRPr="00E07116" w:rsidRDefault="00B9662D" w:rsidP="00B9662D">
      <w:pPr>
        <w:jc w:val="both"/>
      </w:pPr>
    </w:p>
    <w:p w14:paraId="6667AFD3" w14:textId="77777777" w:rsidR="00B9662D" w:rsidRPr="00E07116" w:rsidRDefault="00B9662D" w:rsidP="00B9662D">
      <w:pPr>
        <w:jc w:val="both"/>
      </w:pPr>
    </w:p>
    <w:p w14:paraId="32D119F4" w14:textId="77777777" w:rsidR="00B9662D" w:rsidRPr="00E07116" w:rsidRDefault="00B9662D" w:rsidP="00B9662D">
      <w:pPr>
        <w:jc w:val="both"/>
      </w:pPr>
    </w:p>
    <w:p w14:paraId="1ADD797D" w14:textId="77777777" w:rsidR="00B9662D" w:rsidRPr="00F54CC7" w:rsidRDefault="00B9662D" w:rsidP="00B9662D">
      <w:pPr>
        <w:spacing w:after="120"/>
        <w:ind w:firstLine="0"/>
        <w:jc w:val="center"/>
        <w:rPr>
          <w:sz w:val="24"/>
        </w:rPr>
      </w:pPr>
      <w:bookmarkStart w:id="61" w:name="Melanges_t2_biblio"/>
      <w:r>
        <w:rPr>
          <w:b/>
          <w:sz w:val="24"/>
        </w:rPr>
        <w:t>Mélanges historiques.</w:t>
      </w:r>
      <w:r>
        <w:rPr>
          <w:b/>
          <w:sz w:val="24"/>
        </w:rPr>
        <w:br/>
        <w:t>Tome I.</w:t>
      </w:r>
    </w:p>
    <w:p w14:paraId="3D8A6DB4" w14:textId="77777777" w:rsidR="00B9662D" w:rsidRPr="007D3797" w:rsidRDefault="00B9662D" w:rsidP="00B9662D">
      <w:pPr>
        <w:pStyle w:val="planchest"/>
      </w:pPr>
      <w:r>
        <w:t>BIBLIOGRAPHIE</w:t>
      </w:r>
    </w:p>
    <w:bookmarkEnd w:id="61"/>
    <w:p w14:paraId="029F5C33" w14:textId="77777777" w:rsidR="00B9662D" w:rsidRPr="00E07116" w:rsidRDefault="00B9662D" w:rsidP="00B9662D">
      <w:pPr>
        <w:jc w:val="both"/>
      </w:pPr>
    </w:p>
    <w:p w14:paraId="36A0C0C8" w14:textId="77777777" w:rsidR="00B9662D" w:rsidRPr="00E07116" w:rsidRDefault="00B9662D" w:rsidP="00B9662D">
      <w:pPr>
        <w:jc w:val="both"/>
      </w:pPr>
    </w:p>
    <w:p w14:paraId="50109199" w14:textId="77777777" w:rsidR="00B9662D" w:rsidRPr="00E07116" w:rsidRDefault="00B9662D" w:rsidP="00B9662D">
      <w:pPr>
        <w:jc w:val="both"/>
      </w:pPr>
    </w:p>
    <w:p w14:paraId="26AE7C5E" w14:textId="77777777" w:rsidR="00B9662D" w:rsidRPr="003676AF" w:rsidRDefault="00B9662D" w:rsidP="00B9662D">
      <w:pPr>
        <w:spacing w:before="120" w:after="120"/>
        <w:ind w:firstLine="0"/>
        <w:jc w:val="both"/>
        <w:rPr>
          <w:i/>
        </w:rPr>
      </w:pPr>
      <w:r w:rsidRPr="00D0423A">
        <w:rPr>
          <w:b/>
          <w:i/>
          <w:lang w:eastAsia="fr-FR" w:bidi="fr-FR"/>
        </w:rPr>
        <w:t>INTRODUCTION</w:t>
      </w:r>
    </w:p>
    <w:p w14:paraId="0EE5D733" w14:textId="77777777" w:rsidR="00B9662D" w:rsidRDefault="00B9662D" w:rsidP="00B9662D">
      <w:pPr>
        <w:spacing w:before="120" w:after="120"/>
        <w:jc w:val="both"/>
        <w:rPr>
          <w:lang w:eastAsia="fr-FR" w:bidi="fr-FR"/>
        </w:rPr>
      </w:pPr>
    </w:p>
    <w:p w14:paraId="227D8A15" w14:textId="77777777" w:rsidR="00B9662D" w:rsidRPr="00384B20" w:rsidRDefault="00B9662D" w:rsidP="00B9662D">
      <w:pPr>
        <w:ind w:right="90" w:firstLine="0"/>
        <w:jc w:val="both"/>
        <w:rPr>
          <w:sz w:val="20"/>
        </w:rPr>
      </w:pPr>
      <w:hyperlink w:anchor="tdm" w:history="1">
        <w:r w:rsidRPr="00384B20">
          <w:rPr>
            <w:rStyle w:val="Hyperlien"/>
            <w:sz w:val="20"/>
          </w:rPr>
          <w:t>Retour à la table des matières</w:t>
        </w:r>
      </w:hyperlink>
    </w:p>
    <w:p w14:paraId="45271734" w14:textId="77777777" w:rsidR="00B9662D" w:rsidRPr="007422C9" w:rsidRDefault="00B9662D" w:rsidP="00B9662D">
      <w:pPr>
        <w:spacing w:before="120" w:after="120"/>
        <w:jc w:val="both"/>
      </w:pPr>
      <w:r w:rsidRPr="003676AF">
        <w:rPr>
          <w:i/>
          <w:lang w:eastAsia="fr-FR" w:bidi="fr-FR"/>
        </w:rPr>
        <w:t>Il était impossible de publier intégralement tous les articles, tous les comptes rendus et notes de Marc Bloch. Seuls les articles de fond ont été repris, comme M. Charles-Edmond Perrin l’a expliqué dans l’avant-propos qui ouvre le tome I de ces</w:t>
      </w:r>
      <w:r w:rsidRPr="007422C9">
        <w:rPr>
          <w:b/>
          <w:bCs/>
        </w:rPr>
        <w:t xml:space="preserve"> </w:t>
      </w:r>
      <w:r w:rsidRPr="003676AF">
        <w:rPr>
          <w:bCs/>
        </w:rPr>
        <w:t>Mélanges Historiques</w:t>
      </w:r>
      <w:r w:rsidRPr="00861ADB">
        <w:rPr>
          <w:bCs/>
          <w:i/>
        </w:rPr>
        <w:t>.</w:t>
      </w:r>
      <w:r w:rsidRPr="007422C9">
        <w:rPr>
          <w:b/>
          <w:bCs/>
        </w:rPr>
        <w:t xml:space="preserve"> </w:t>
      </w:r>
      <w:r w:rsidRPr="003676AF">
        <w:rPr>
          <w:i/>
          <w:lang w:eastAsia="fr-FR" w:bidi="fr-FR"/>
        </w:rPr>
        <w:t>Mais il eût été regrettable de ne point mentionner les notes et surtout les comptes rendus dont le nombre est écrasant et qui, parfois, sont plus importants que certains articles. Toujours vivants et instructifs, ils fourmillent de réflexions de méthode et de projets d’enquête. Non se</w:t>
      </w:r>
      <w:r w:rsidRPr="003676AF">
        <w:rPr>
          <w:i/>
          <w:lang w:eastAsia="fr-FR" w:bidi="fr-FR"/>
        </w:rPr>
        <w:t>u</w:t>
      </w:r>
      <w:r w:rsidRPr="003676AF">
        <w:rPr>
          <w:i/>
          <w:lang w:eastAsia="fr-FR" w:bidi="fr-FR"/>
        </w:rPr>
        <w:t>lement Marc Bloch a recensé un nombre considérable de livres, d’articles et de revues (l’ensemble constitue une revue bibliograph</w:t>
      </w:r>
      <w:r w:rsidRPr="003676AF">
        <w:rPr>
          <w:i/>
          <w:lang w:eastAsia="fr-FR" w:bidi="fr-FR"/>
        </w:rPr>
        <w:t>i</w:t>
      </w:r>
      <w:r w:rsidRPr="003676AF">
        <w:rPr>
          <w:i/>
          <w:lang w:eastAsia="fr-FR" w:bidi="fr-FR"/>
        </w:rPr>
        <w:t>que générale et très fournie de la production historique entre les deux guerres mondiales)</w:t>
      </w:r>
      <w:r w:rsidRPr="003676AF">
        <w:rPr>
          <w:b/>
          <w:bCs/>
          <w:i/>
        </w:rPr>
        <w:t xml:space="preserve"> </w:t>
      </w:r>
      <w:r w:rsidRPr="003676AF">
        <w:rPr>
          <w:bCs/>
          <w:i/>
        </w:rPr>
        <w:t>—,</w:t>
      </w:r>
      <w:r w:rsidRPr="003676AF">
        <w:rPr>
          <w:b/>
          <w:bCs/>
          <w:i/>
        </w:rPr>
        <w:t xml:space="preserve"> </w:t>
      </w:r>
      <w:r w:rsidRPr="003676AF">
        <w:rPr>
          <w:i/>
          <w:lang w:eastAsia="fr-FR" w:bidi="fr-FR"/>
        </w:rPr>
        <w:t>mais c’était pour lui l’occasion de répéter i</w:t>
      </w:r>
      <w:r w:rsidRPr="003676AF">
        <w:rPr>
          <w:i/>
          <w:lang w:eastAsia="fr-FR" w:bidi="fr-FR"/>
        </w:rPr>
        <w:t>n</w:t>
      </w:r>
      <w:r w:rsidRPr="003676AF">
        <w:rPr>
          <w:i/>
          <w:lang w:eastAsia="fr-FR" w:bidi="fr-FR"/>
        </w:rPr>
        <w:t>lassablement ta conception qu’il se faisait de la recherche et du tr</w:t>
      </w:r>
      <w:r w:rsidRPr="003676AF">
        <w:rPr>
          <w:i/>
          <w:lang w:eastAsia="fr-FR" w:bidi="fr-FR"/>
        </w:rPr>
        <w:t>a</w:t>
      </w:r>
      <w:r w:rsidRPr="003676AF">
        <w:rPr>
          <w:i/>
          <w:lang w:eastAsia="fr-FR" w:bidi="fr-FR"/>
        </w:rPr>
        <w:t>vail historiques.</w:t>
      </w:r>
    </w:p>
    <w:p w14:paraId="07B1FBFD" w14:textId="77777777" w:rsidR="00B9662D" w:rsidRPr="007422C9" w:rsidRDefault="00B9662D" w:rsidP="00B9662D">
      <w:pPr>
        <w:spacing w:before="120" w:after="120"/>
        <w:jc w:val="both"/>
      </w:pPr>
      <w:r w:rsidRPr="003676AF">
        <w:rPr>
          <w:i/>
          <w:lang w:eastAsia="fr-FR" w:bidi="fr-FR"/>
        </w:rPr>
        <w:t>Une bibliographie sélective des travaux de Marc Bloch avait été établie par l’auteur lui-même, lorsqu’il avait présenté sa candidature au Collège de France en 1934. Elle nous a servi de base. En outre M. Étienne Bloch avait étendu cette bibliographie aux années suiva</w:t>
      </w:r>
      <w:r w:rsidRPr="003676AF">
        <w:rPr>
          <w:i/>
          <w:lang w:eastAsia="fr-FR" w:bidi="fr-FR"/>
        </w:rPr>
        <w:t>n</w:t>
      </w:r>
      <w:r w:rsidRPr="003676AF">
        <w:rPr>
          <w:i/>
          <w:lang w:eastAsia="fr-FR" w:bidi="fr-FR"/>
        </w:rPr>
        <w:t>tes et à un certain nombre de comptes rendus que son père n’avait pas cités. Cette liste nous a été communiquée et a aidé nos recherches que M. Mandrou, chargé par l’Association Marc Bloch de la préparation de ces</w:t>
      </w:r>
      <w:r w:rsidRPr="007422C9">
        <w:rPr>
          <w:b/>
          <w:bCs/>
        </w:rPr>
        <w:t xml:space="preserve"> </w:t>
      </w:r>
      <w:r w:rsidRPr="003676AF">
        <w:rPr>
          <w:bCs/>
        </w:rPr>
        <w:t>Mélanges</w:t>
      </w:r>
      <w:r w:rsidRPr="00861ADB">
        <w:rPr>
          <w:bCs/>
          <w:i/>
        </w:rPr>
        <w:t>,</w:t>
      </w:r>
      <w:r w:rsidRPr="007422C9">
        <w:rPr>
          <w:b/>
          <w:bCs/>
        </w:rPr>
        <w:t xml:space="preserve"> </w:t>
      </w:r>
      <w:r w:rsidRPr="003676AF">
        <w:rPr>
          <w:i/>
          <w:lang w:eastAsia="fr-FR" w:bidi="fr-FR"/>
        </w:rPr>
        <w:t>a bien voulu guider</w:t>
      </w:r>
      <w:r w:rsidRPr="007422C9">
        <w:rPr>
          <w:lang w:eastAsia="fr-FR" w:bidi="fr-FR"/>
        </w:rPr>
        <w:t>.</w:t>
      </w:r>
    </w:p>
    <w:p w14:paraId="521CC112" w14:textId="77777777" w:rsidR="00B9662D" w:rsidRPr="003676AF" w:rsidRDefault="00B9662D" w:rsidP="00B9662D">
      <w:pPr>
        <w:spacing w:before="120" w:after="120"/>
        <w:jc w:val="both"/>
        <w:rPr>
          <w:i/>
        </w:rPr>
      </w:pPr>
      <w:r w:rsidRPr="003676AF">
        <w:rPr>
          <w:i/>
          <w:lang w:eastAsia="fr-FR" w:bidi="fr-FR"/>
        </w:rPr>
        <w:t>Le classement adopté est chronologique. Pour chaque année, les livres sont présentés en premier, puis les articles, et enfin les comptes rendus. Pour classer les articles et les comptes rendus, nous avons observé l’ordre alphabétique des revues et à l’intérieur de chacune d’elles nous avons suivi l’ordre de la pagination.</w:t>
      </w:r>
    </w:p>
    <w:p w14:paraId="3427B72A" w14:textId="77777777" w:rsidR="00B9662D" w:rsidRPr="003676AF" w:rsidRDefault="00B9662D" w:rsidP="00B9662D">
      <w:pPr>
        <w:spacing w:before="120" w:after="120"/>
        <w:jc w:val="both"/>
        <w:rPr>
          <w:i/>
        </w:rPr>
      </w:pPr>
      <w:r w:rsidRPr="003676AF">
        <w:rPr>
          <w:i/>
          <w:lang w:eastAsia="fr-FR" w:bidi="fr-FR"/>
        </w:rPr>
        <w:t>Rappelons que les textes de Marc Bloch qui ont paru de 1941 à juin 1944 sont signés M. Fougères ou M. F.</w:t>
      </w:r>
    </w:p>
    <w:p w14:paraId="72AAA81D" w14:textId="77777777" w:rsidR="00B9662D" w:rsidRPr="00861ADB" w:rsidRDefault="00B9662D" w:rsidP="00B9662D">
      <w:pPr>
        <w:spacing w:before="120" w:after="120"/>
        <w:jc w:val="both"/>
      </w:pPr>
      <w:r w:rsidRPr="00861ADB">
        <w:rPr>
          <w:bCs/>
        </w:rPr>
        <w:t>M. Cl. Gasnault-Beis.</w:t>
      </w:r>
    </w:p>
    <w:p w14:paraId="180042EB" w14:textId="77777777" w:rsidR="00B9662D" w:rsidRDefault="00B9662D" w:rsidP="00B9662D">
      <w:pPr>
        <w:spacing w:before="120" w:after="120"/>
        <w:jc w:val="both"/>
      </w:pPr>
    </w:p>
    <w:p w14:paraId="5D13F7E1" w14:textId="77777777" w:rsidR="00B9662D" w:rsidRDefault="00B9662D" w:rsidP="00B9662D">
      <w:pPr>
        <w:pStyle w:val="p"/>
      </w:pPr>
      <w:r>
        <w:t>[1032]</w:t>
      </w:r>
    </w:p>
    <w:p w14:paraId="621949A7" w14:textId="77777777" w:rsidR="00B9662D" w:rsidRPr="00567DC5" w:rsidRDefault="00B9662D" w:rsidP="00B9662D">
      <w:pPr>
        <w:spacing w:before="120" w:after="120"/>
        <w:jc w:val="both"/>
      </w:pPr>
    </w:p>
    <w:p w14:paraId="7F2B807A" w14:textId="77777777" w:rsidR="00B9662D" w:rsidRPr="00567DC5" w:rsidRDefault="00B9662D" w:rsidP="00B9662D">
      <w:pPr>
        <w:spacing w:before="120" w:after="120"/>
        <w:jc w:val="center"/>
      </w:pPr>
      <w:r w:rsidRPr="00E9210E">
        <w:rPr>
          <w:rFonts w:eastAsia="Courier New"/>
          <w:b/>
        </w:rPr>
        <w:t>Abréviations</w:t>
      </w:r>
    </w:p>
    <w:p w14:paraId="42ECCF57" w14:textId="77777777" w:rsidR="00B9662D" w:rsidRDefault="00B9662D" w:rsidP="00B9662D">
      <w:pPr>
        <w:spacing w:before="120" w:after="120"/>
        <w:jc w:val="both"/>
      </w:pPr>
    </w:p>
    <w:tbl>
      <w:tblPr>
        <w:tblW w:w="0" w:type="auto"/>
        <w:tblLook w:val="00BF" w:firstRow="1" w:lastRow="0" w:firstColumn="1" w:lastColumn="0" w:noHBand="0" w:noVBand="0"/>
      </w:tblPr>
      <w:tblGrid>
        <w:gridCol w:w="5224"/>
        <w:gridCol w:w="2696"/>
      </w:tblGrid>
      <w:tr w:rsidR="00B9662D" w14:paraId="5C0858AB" w14:textId="77777777">
        <w:tc>
          <w:tcPr>
            <w:tcW w:w="5328" w:type="dxa"/>
          </w:tcPr>
          <w:p w14:paraId="11DB2296" w14:textId="77777777" w:rsidR="00B9662D" w:rsidRPr="00E9210E" w:rsidRDefault="00B9662D" w:rsidP="00B9662D">
            <w:pPr>
              <w:spacing w:before="120" w:after="120"/>
              <w:ind w:firstLine="0"/>
            </w:pPr>
            <w:r w:rsidRPr="00E9210E">
              <w:rPr>
                <w:i/>
              </w:rPr>
              <w:t>Annales d’Histoire Économique et Sociale</w:t>
            </w:r>
            <w:r w:rsidRPr="00E9210E">
              <w:t xml:space="preserve"> continuées à partir de 1939 par les </w:t>
            </w:r>
          </w:p>
        </w:tc>
        <w:tc>
          <w:tcPr>
            <w:tcW w:w="2732" w:type="dxa"/>
          </w:tcPr>
          <w:p w14:paraId="1ECA9023" w14:textId="77777777" w:rsidR="00B9662D" w:rsidRPr="00E9210E" w:rsidRDefault="00B9662D" w:rsidP="00B9662D">
            <w:pPr>
              <w:spacing w:before="120" w:after="120"/>
              <w:ind w:firstLine="0"/>
            </w:pPr>
            <w:r w:rsidRPr="00E9210E">
              <w:rPr>
                <w:rStyle w:val="Corpsdutexte385ptNonItalique"/>
                <w:rFonts w:eastAsia="Courier New"/>
                <w:i w:val="0"/>
                <w:iCs w:val="0"/>
                <w:sz w:val="28"/>
              </w:rPr>
              <w:t>A.H.E.S.</w:t>
            </w:r>
          </w:p>
        </w:tc>
      </w:tr>
      <w:tr w:rsidR="00B9662D" w14:paraId="4DDDCB63" w14:textId="77777777">
        <w:tc>
          <w:tcPr>
            <w:tcW w:w="5328" w:type="dxa"/>
          </w:tcPr>
          <w:p w14:paraId="473E7CAD" w14:textId="77777777" w:rsidR="00B9662D" w:rsidRPr="00E9210E" w:rsidRDefault="00B9662D" w:rsidP="00B9662D">
            <w:pPr>
              <w:spacing w:before="120" w:after="120"/>
              <w:ind w:firstLine="0"/>
            </w:pPr>
            <w:r w:rsidRPr="00E9210E">
              <w:rPr>
                <w:rStyle w:val="Corpsdutexte28ptItalique"/>
                <w:rFonts w:eastAsia="Courier New"/>
                <w:sz w:val="28"/>
              </w:rPr>
              <w:t xml:space="preserve">Annales d’Histoire Sociale </w:t>
            </w:r>
            <w:r w:rsidRPr="00E9210E">
              <w:t>qui, de 1942 à 1944, font pl</w:t>
            </w:r>
            <w:r w:rsidRPr="00E9210E">
              <w:t>a</w:t>
            </w:r>
            <w:r w:rsidRPr="00E9210E">
              <w:t xml:space="preserve">ce aux </w:t>
            </w:r>
          </w:p>
        </w:tc>
        <w:tc>
          <w:tcPr>
            <w:tcW w:w="2732" w:type="dxa"/>
          </w:tcPr>
          <w:p w14:paraId="4341C98C" w14:textId="77777777" w:rsidR="00B9662D" w:rsidRPr="00E9210E" w:rsidRDefault="00B9662D" w:rsidP="00B9662D">
            <w:pPr>
              <w:spacing w:before="120" w:after="120"/>
              <w:ind w:firstLine="0"/>
            </w:pPr>
            <w:r w:rsidRPr="00E9210E">
              <w:t>A.H.S.</w:t>
            </w:r>
          </w:p>
        </w:tc>
      </w:tr>
      <w:tr w:rsidR="00B9662D" w14:paraId="0A2F7D5F" w14:textId="77777777">
        <w:tc>
          <w:tcPr>
            <w:tcW w:w="5328" w:type="dxa"/>
          </w:tcPr>
          <w:p w14:paraId="50D07266" w14:textId="77777777" w:rsidR="00B9662D" w:rsidRPr="00E9210E" w:rsidRDefault="00B9662D" w:rsidP="00B9662D">
            <w:pPr>
              <w:spacing w:before="120" w:after="120"/>
              <w:ind w:firstLine="0"/>
            </w:pPr>
            <w:r w:rsidRPr="00E9210E">
              <w:rPr>
                <w:rStyle w:val="Corpsdutexte28ptItalique"/>
                <w:rFonts w:eastAsia="Courier New"/>
                <w:sz w:val="28"/>
              </w:rPr>
              <w:t>Mélanges d’Histoire Sociale</w:t>
            </w:r>
          </w:p>
        </w:tc>
        <w:tc>
          <w:tcPr>
            <w:tcW w:w="2732" w:type="dxa"/>
          </w:tcPr>
          <w:p w14:paraId="67C1A04C" w14:textId="77777777" w:rsidR="00B9662D" w:rsidRPr="00E9210E" w:rsidRDefault="00B9662D" w:rsidP="00B9662D">
            <w:pPr>
              <w:spacing w:before="120" w:after="120"/>
              <w:ind w:firstLine="0"/>
            </w:pPr>
            <w:r w:rsidRPr="00E9210E">
              <w:t>M.H.S.</w:t>
            </w:r>
          </w:p>
        </w:tc>
      </w:tr>
      <w:tr w:rsidR="00B9662D" w14:paraId="70E25D39" w14:textId="77777777">
        <w:tc>
          <w:tcPr>
            <w:tcW w:w="5328" w:type="dxa"/>
          </w:tcPr>
          <w:p w14:paraId="5AE95F5B" w14:textId="77777777" w:rsidR="00B9662D" w:rsidRPr="00E9210E" w:rsidRDefault="00B9662D" w:rsidP="00B9662D">
            <w:pPr>
              <w:spacing w:before="120" w:after="120"/>
              <w:ind w:firstLine="0"/>
              <w:rPr>
                <w:i/>
              </w:rPr>
            </w:pPr>
            <w:r w:rsidRPr="00E9210E">
              <w:rPr>
                <w:i/>
              </w:rPr>
              <w:t>Bulletin de la Faculté des Lettres de Stra</w:t>
            </w:r>
            <w:r w:rsidRPr="00E9210E">
              <w:rPr>
                <w:i/>
              </w:rPr>
              <w:t>s</w:t>
            </w:r>
            <w:r w:rsidRPr="00E9210E">
              <w:rPr>
                <w:i/>
              </w:rPr>
              <w:t>bourg</w:t>
            </w:r>
            <w:r w:rsidRPr="00E9210E">
              <w:rPr>
                <w:rStyle w:val="Corpsdutexte3GrasNonItaliqueEspacement1ptchelle120"/>
                <w:rFonts w:eastAsia="Courier New"/>
                <w:i w:val="0"/>
                <w:iCs w:val="0"/>
                <w:sz w:val="28"/>
              </w:rPr>
              <w:t xml:space="preserve"> </w:t>
            </w:r>
          </w:p>
        </w:tc>
        <w:tc>
          <w:tcPr>
            <w:tcW w:w="2732" w:type="dxa"/>
          </w:tcPr>
          <w:p w14:paraId="45FC0897" w14:textId="77777777" w:rsidR="00B9662D" w:rsidRPr="00E9210E" w:rsidRDefault="00B9662D" w:rsidP="00B9662D">
            <w:pPr>
              <w:spacing w:before="120" w:after="120"/>
              <w:ind w:firstLine="0"/>
            </w:pPr>
            <w:r w:rsidRPr="00E9210E">
              <w:rPr>
                <w:rStyle w:val="Corpsdutexte385ptNonItalique"/>
                <w:rFonts w:eastAsia="Courier New"/>
                <w:i w:val="0"/>
                <w:iCs w:val="0"/>
                <w:sz w:val="28"/>
              </w:rPr>
              <w:t xml:space="preserve">Bull. Fac. Let. Strasb. </w:t>
            </w:r>
          </w:p>
        </w:tc>
      </w:tr>
      <w:tr w:rsidR="00B9662D" w14:paraId="27AA3A26" w14:textId="77777777">
        <w:tc>
          <w:tcPr>
            <w:tcW w:w="5328" w:type="dxa"/>
          </w:tcPr>
          <w:p w14:paraId="371F41C7" w14:textId="77777777" w:rsidR="00B9662D" w:rsidRPr="00E9210E" w:rsidRDefault="00B9662D" w:rsidP="00B9662D">
            <w:pPr>
              <w:spacing w:before="120" w:after="120"/>
              <w:ind w:firstLine="0"/>
              <w:rPr>
                <w:i/>
              </w:rPr>
            </w:pPr>
            <w:r w:rsidRPr="00E9210E">
              <w:rPr>
                <w:i/>
              </w:rPr>
              <w:t>Revue Critique d’Histoire et de Littérature</w:t>
            </w:r>
          </w:p>
        </w:tc>
        <w:tc>
          <w:tcPr>
            <w:tcW w:w="2732" w:type="dxa"/>
          </w:tcPr>
          <w:p w14:paraId="452B42B0" w14:textId="77777777" w:rsidR="00B9662D" w:rsidRPr="00E9210E" w:rsidRDefault="00B9662D" w:rsidP="00B9662D">
            <w:pPr>
              <w:spacing w:before="120" w:after="120"/>
              <w:ind w:firstLine="0"/>
            </w:pPr>
            <w:r w:rsidRPr="00E9210E">
              <w:rPr>
                <w:rStyle w:val="Corpsdutexte385ptNonItalique"/>
                <w:rFonts w:eastAsia="Courier New"/>
                <w:i w:val="0"/>
                <w:iCs w:val="0"/>
                <w:sz w:val="28"/>
              </w:rPr>
              <w:t>R.C.H.L.</w:t>
            </w:r>
          </w:p>
        </w:tc>
      </w:tr>
      <w:tr w:rsidR="00B9662D" w14:paraId="2E4F57B9" w14:textId="77777777">
        <w:tc>
          <w:tcPr>
            <w:tcW w:w="5328" w:type="dxa"/>
          </w:tcPr>
          <w:p w14:paraId="48857FF9" w14:textId="77777777" w:rsidR="00B9662D" w:rsidRPr="00E9210E" w:rsidRDefault="00B9662D" w:rsidP="00B9662D">
            <w:pPr>
              <w:spacing w:before="120" w:after="120"/>
              <w:ind w:firstLine="0"/>
              <w:rPr>
                <w:i/>
              </w:rPr>
            </w:pPr>
            <w:r w:rsidRPr="00E9210E">
              <w:rPr>
                <w:i/>
              </w:rPr>
              <w:t>Revue de synthèse historique</w:t>
            </w:r>
          </w:p>
        </w:tc>
        <w:tc>
          <w:tcPr>
            <w:tcW w:w="2732" w:type="dxa"/>
          </w:tcPr>
          <w:p w14:paraId="448B47D4" w14:textId="77777777" w:rsidR="00B9662D" w:rsidRPr="00E9210E" w:rsidRDefault="00B9662D" w:rsidP="00B9662D">
            <w:pPr>
              <w:spacing w:before="120" w:after="120"/>
              <w:ind w:firstLine="0"/>
            </w:pPr>
            <w:r w:rsidRPr="00E9210E">
              <w:rPr>
                <w:rStyle w:val="Corpsdutexte385ptNonItalique"/>
                <w:rFonts w:eastAsia="Courier New"/>
                <w:i w:val="0"/>
                <w:iCs w:val="0"/>
                <w:sz w:val="28"/>
              </w:rPr>
              <w:t>Rev. synt. hist.</w:t>
            </w:r>
          </w:p>
        </w:tc>
      </w:tr>
    </w:tbl>
    <w:p w14:paraId="34E52787" w14:textId="77777777" w:rsidR="00B9662D" w:rsidRDefault="00B9662D" w:rsidP="00B9662D">
      <w:pPr>
        <w:spacing w:before="120" w:after="120"/>
        <w:jc w:val="both"/>
      </w:pPr>
    </w:p>
    <w:p w14:paraId="562A3F48" w14:textId="77777777" w:rsidR="00B9662D" w:rsidRDefault="00B9662D" w:rsidP="00B9662D">
      <w:pPr>
        <w:spacing w:before="120" w:after="120"/>
        <w:jc w:val="both"/>
      </w:pPr>
      <w:r>
        <w:br w:type="page"/>
      </w:r>
    </w:p>
    <w:p w14:paraId="2DCA93CF" w14:textId="77777777" w:rsidR="00B9662D" w:rsidRPr="00567DC5" w:rsidRDefault="00B9662D" w:rsidP="00B9662D">
      <w:pPr>
        <w:spacing w:before="120" w:after="120"/>
        <w:jc w:val="center"/>
      </w:pPr>
      <w:r w:rsidRPr="00E82DB1">
        <w:rPr>
          <w:b/>
        </w:rPr>
        <w:t>1911</w:t>
      </w:r>
    </w:p>
    <w:p w14:paraId="4F954031" w14:textId="77777777" w:rsidR="00B9662D" w:rsidRDefault="00B9662D" w:rsidP="00B9662D">
      <w:pPr>
        <w:spacing w:before="120" w:after="120"/>
        <w:jc w:val="both"/>
        <w:rPr>
          <w:rStyle w:val="Corpsdutexte3GrasNonItaliquechelle120"/>
          <w:rFonts w:eastAsia="Courier New"/>
          <w:i w:val="0"/>
          <w:iCs w:val="0"/>
          <w:sz w:val="28"/>
        </w:rPr>
      </w:pPr>
    </w:p>
    <w:p w14:paraId="2BCC8965" w14:textId="77777777" w:rsidR="00B9662D" w:rsidRPr="00E9210E" w:rsidRDefault="00B9662D" w:rsidP="00B9662D">
      <w:pPr>
        <w:spacing w:before="120" w:after="120"/>
        <w:jc w:val="both"/>
      </w:pPr>
      <w:r w:rsidRPr="00E9210E">
        <w:rPr>
          <w:rStyle w:val="Corpsdutexte3GrasNonItaliquechelle120"/>
          <w:rFonts w:eastAsia="Courier New"/>
          <w:i w:val="0"/>
          <w:iCs w:val="0"/>
          <w:sz w:val="28"/>
        </w:rPr>
        <w:t>« Blanche de Castille et les serfs du chapitre de P</w:t>
      </w:r>
      <w:r w:rsidRPr="00E9210E">
        <w:rPr>
          <w:rStyle w:val="Corpsdutexte3GrasNonItaliquechelle120"/>
          <w:rFonts w:eastAsia="Courier New"/>
          <w:i w:val="0"/>
          <w:iCs w:val="0"/>
          <w:sz w:val="28"/>
        </w:rPr>
        <w:t>a</w:t>
      </w:r>
      <w:r w:rsidRPr="00E9210E">
        <w:rPr>
          <w:rStyle w:val="Corpsdutexte3GrasNonItaliquechelle120"/>
          <w:rFonts w:eastAsia="Courier New"/>
          <w:i w:val="0"/>
          <w:iCs w:val="0"/>
          <w:sz w:val="28"/>
        </w:rPr>
        <w:t>ris »</w:t>
      </w:r>
      <w:r w:rsidRPr="00E9210E">
        <w:rPr>
          <w:rStyle w:val="Corpsdutexte3GrasNonItaliqueEspacement1ptchelle120"/>
          <w:rFonts w:eastAsia="Courier New"/>
          <w:i w:val="0"/>
          <w:iCs w:val="0"/>
          <w:sz w:val="28"/>
        </w:rPr>
        <w:t xml:space="preserve">, </w:t>
      </w:r>
      <w:r w:rsidRPr="00E9210E">
        <w:rPr>
          <w:i/>
        </w:rPr>
        <w:t>Mémoires de la Société de l’histoire de Paris et de l’Ile-de-France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38 (1911), pp. 224-272.</w:t>
      </w:r>
    </w:p>
    <w:p w14:paraId="60BFA941" w14:textId="77777777" w:rsidR="00B9662D" w:rsidRPr="00E9210E" w:rsidRDefault="00B9662D" w:rsidP="00B9662D">
      <w:pPr>
        <w:spacing w:before="120" w:after="120"/>
        <w:jc w:val="both"/>
      </w:pPr>
      <w:r w:rsidRPr="00E9210E">
        <w:t>Compte rendu :</w:t>
      </w:r>
      <w:r w:rsidRPr="00E9210E">
        <w:rPr>
          <w:rStyle w:val="Corpsdutexte28ptGrasEspacement1ptchelle120"/>
          <w:rFonts w:eastAsia="Courier New"/>
          <w:sz w:val="28"/>
        </w:rPr>
        <w:t xml:space="preserve"> </w:t>
      </w:r>
      <w:r w:rsidRPr="00E9210E">
        <w:t xml:space="preserve">M. </w:t>
      </w:r>
      <w:r w:rsidRPr="00E9210E">
        <w:rPr>
          <w:rStyle w:val="Corpsdutexte27ptGras"/>
          <w:rFonts w:eastAsia="Courier New"/>
          <w:b w:val="0"/>
          <w:sz w:val="28"/>
        </w:rPr>
        <w:t>Poëte,</w:t>
      </w:r>
      <w:r w:rsidRPr="00E9210E">
        <w:rPr>
          <w:rStyle w:val="Corpsdutexte27ptGras"/>
          <w:rFonts w:eastAsia="Courier New"/>
          <w:sz w:val="28"/>
        </w:rPr>
        <w:t xml:space="preserve"> </w:t>
      </w:r>
      <w:r w:rsidRPr="00E9210E">
        <w:rPr>
          <w:rStyle w:val="Corpsdutexte28ptItalique"/>
          <w:rFonts w:eastAsia="Courier New"/>
          <w:sz w:val="28"/>
        </w:rPr>
        <w:t>Formation et évolution de Paris</w:t>
      </w:r>
      <w:r w:rsidRPr="00E9210E">
        <w:rPr>
          <w:rStyle w:val="Corpsdutexte28ptGrasEspacement1ptchelle120"/>
          <w:rFonts w:eastAsia="Courier New"/>
          <w:sz w:val="28"/>
        </w:rPr>
        <w:t xml:space="preserve">, </w:t>
      </w:r>
      <w:r w:rsidRPr="00E9210E">
        <w:t xml:space="preserve">Paris, s.d., </w:t>
      </w:r>
      <w:r w:rsidRPr="00E9210E">
        <w:rPr>
          <w:rStyle w:val="Corpsdutexte28ptGrasEspacement1ptchelle120"/>
          <w:rFonts w:eastAsia="Courier New"/>
          <w:sz w:val="28"/>
        </w:rPr>
        <w:t>« </w:t>
      </w:r>
      <w:r w:rsidRPr="00E9210E">
        <w:t>Rev. synt. hist. », t. 23 (1911), pp. 378-379.</w:t>
      </w:r>
    </w:p>
    <w:p w14:paraId="33CCF9FB" w14:textId="77777777" w:rsidR="00B9662D" w:rsidRPr="00E9210E" w:rsidRDefault="00B9662D" w:rsidP="00B9662D">
      <w:pPr>
        <w:spacing w:before="120" w:after="120"/>
        <w:jc w:val="both"/>
      </w:pPr>
    </w:p>
    <w:p w14:paraId="599EE414" w14:textId="77777777" w:rsidR="00B9662D" w:rsidRPr="00E9210E" w:rsidRDefault="00B9662D" w:rsidP="00B9662D">
      <w:pPr>
        <w:spacing w:before="120" w:after="120"/>
        <w:jc w:val="center"/>
        <w:rPr>
          <w:b/>
        </w:rPr>
      </w:pPr>
      <w:r w:rsidRPr="00E9210E">
        <w:rPr>
          <w:b/>
        </w:rPr>
        <w:t>1912</w:t>
      </w:r>
    </w:p>
    <w:p w14:paraId="3FA0C18F" w14:textId="77777777" w:rsidR="00B9662D" w:rsidRPr="00E9210E" w:rsidRDefault="00B9662D" w:rsidP="00B9662D">
      <w:pPr>
        <w:spacing w:before="120" w:after="120"/>
        <w:jc w:val="both"/>
        <w:rPr>
          <w:rStyle w:val="Corpsdutexte3GrasNonItaliqueEspacement1ptchelle120"/>
          <w:rFonts w:eastAsia="Courier New"/>
          <w:i w:val="0"/>
          <w:iCs w:val="0"/>
          <w:sz w:val="28"/>
        </w:rPr>
      </w:pPr>
    </w:p>
    <w:p w14:paraId="152E732D" w14:textId="77777777" w:rsidR="00B9662D" w:rsidRPr="00E9210E" w:rsidRDefault="00B9662D" w:rsidP="00B9662D">
      <w:pPr>
        <w:spacing w:before="120" w:after="120"/>
        <w:jc w:val="both"/>
      </w:pPr>
      <w:r w:rsidRPr="00E9210E">
        <w:rPr>
          <w:rStyle w:val="Corpsdutexte3GrasNonItaliqueEspacement1ptchelle120"/>
          <w:rFonts w:eastAsia="Courier New"/>
          <w:i w:val="0"/>
          <w:iCs w:val="0"/>
          <w:sz w:val="28"/>
        </w:rPr>
        <w:t>« </w:t>
      </w:r>
      <w:r w:rsidRPr="00E9210E">
        <w:rPr>
          <w:rStyle w:val="Corpsdutexte3GrasNonItaliquechelle120"/>
          <w:rFonts w:eastAsia="Courier New"/>
          <w:i w:val="0"/>
          <w:iCs w:val="0"/>
          <w:sz w:val="28"/>
        </w:rPr>
        <w:t>Cerny ou Serin »</w:t>
      </w:r>
      <w:r w:rsidRPr="00E9210E">
        <w:rPr>
          <w:rStyle w:val="Corpsdutexte3GrasNonItaliqueEspacement1ptchelle120"/>
          <w:rFonts w:eastAsia="Courier New"/>
          <w:i w:val="0"/>
          <w:iCs w:val="0"/>
          <w:sz w:val="28"/>
        </w:rPr>
        <w:t xml:space="preserve">, </w:t>
      </w:r>
      <w:r w:rsidRPr="00E9210E">
        <w:rPr>
          <w:i/>
        </w:rPr>
        <w:t>Annales de la Société historique et a</w:t>
      </w:r>
      <w:r w:rsidRPr="00E9210E">
        <w:rPr>
          <w:i/>
        </w:rPr>
        <w:t>r</w:t>
      </w:r>
      <w:r w:rsidRPr="00E9210E">
        <w:rPr>
          <w:i/>
        </w:rPr>
        <w:t>chéologique du Gâtinais</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30 (1912), p. 157-160.</w:t>
      </w:r>
    </w:p>
    <w:p w14:paraId="3205523A" w14:textId="77777777" w:rsidR="00B9662D" w:rsidRPr="00E9210E" w:rsidRDefault="00B9662D" w:rsidP="00B9662D">
      <w:pPr>
        <w:spacing w:before="120" w:after="120"/>
        <w:jc w:val="both"/>
      </w:pPr>
      <w:r w:rsidRPr="00E9210E">
        <w:rPr>
          <w:rFonts w:eastAsia="Courier New"/>
        </w:rPr>
        <w:t>« </w:t>
      </w:r>
      <w:r w:rsidRPr="00E9210E">
        <w:rPr>
          <w:b/>
        </w:rPr>
        <w:t>Les formes de la rupture de l’hommage dans l’ancien droit féodal </w:t>
      </w:r>
      <w:r w:rsidRPr="00E9210E">
        <w:t>»</w:t>
      </w:r>
      <w:r w:rsidRPr="00E9210E">
        <w:rPr>
          <w:rFonts w:eastAsia="Courier New"/>
        </w:rPr>
        <w:t xml:space="preserve">, </w:t>
      </w:r>
      <w:r w:rsidRPr="00E9210E">
        <w:rPr>
          <w:rStyle w:val="Corpsdutexte8NonGrasItaliquechelle100"/>
          <w:rFonts w:eastAsia="Courier New"/>
          <w:b w:val="0"/>
          <w:bCs w:val="0"/>
          <w:sz w:val="28"/>
        </w:rPr>
        <w:t>Nouvelle revue historique de droit français et étranger</w:t>
      </w:r>
      <w:r w:rsidRPr="00E9210E">
        <w:rPr>
          <w:rFonts w:eastAsia="Courier New"/>
        </w:rPr>
        <w:t xml:space="preserve">, </w:t>
      </w:r>
      <w:r w:rsidRPr="00E9210E">
        <w:rPr>
          <w:rStyle w:val="Corpsdutexte885ptNonGraschelle100"/>
          <w:rFonts w:eastAsia="Courier New"/>
          <w:b w:val="0"/>
          <w:bCs w:val="0"/>
          <w:sz w:val="28"/>
        </w:rPr>
        <w:t>36</w:t>
      </w:r>
      <w:r w:rsidRPr="00E9210E">
        <w:rPr>
          <w:rStyle w:val="Corpsdutexte885ptNonGraschelle100"/>
          <w:rFonts w:eastAsia="Courier New"/>
          <w:b w:val="0"/>
          <w:bCs w:val="0"/>
          <w:sz w:val="28"/>
          <w:vertAlign w:val="superscript"/>
        </w:rPr>
        <w:t>e</w:t>
      </w:r>
      <w:r w:rsidRPr="00E9210E">
        <w:rPr>
          <w:rStyle w:val="Corpsdutexte885ptNonGraschelle100"/>
          <w:rFonts w:eastAsia="Courier New"/>
          <w:b w:val="0"/>
          <w:bCs w:val="0"/>
          <w:sz w:val="28"/>
        </w:rPr>
        <w:t xml:space="preserve"> année (1912), pp. 141-177.</w:t>
      </w:r>
    </w:p>
    <w:p w14:paraId="11303C7C" w14:textId="77777777" w:rsidR="00B9662D" w:rsidRPr="00E9210E" w:rsidRDefault="00B9662D" w:rsidP="00B9662D">
      <w:pPr>
        <w:spacing w:before="120" w:after="120"/>
        <w:jc w:val="both"/>
      </w:pPr>
      <w:r w:rsidRPr="00E9210E">
        <w:rPr>
          <w:rFonts w:eastAsia="Courier New"/>
        </w:rPr>
        <w:t>« </w:t>
      </w:r>
      <w:r w:rsidRPr="00E9210E">
        <w:rPr>
          <w:b/>
        </w:rPr>
        <w:t>L’Île-de-France (Les pays autour de Paris)</w:t>
      </w:r>
      <w:r w:rsidRPr="00E9210E">
        <w:t> »</w:t>
      </w:r>
      <w:r w:rsidRPr="00E9210E">
        <w:rPr>
          <w:rFonts w:eastAsia="Courier New"/>
        </w:rPr>
        <w:t xml:space="preserve">, </w:t>
      </w:r>
      <w:r w:rsidRPr="00E9210E">
        <w:rPr>
          <w:rStyle w:val="Corpsdutexte8NonGrasItaliquechelle100"/>
          <w:rFonts w:eastAsia="Courier New"/>
          <w:b w:val="0"/>
          <w:bCs w:val="0"/>
          <w:sz w:val="28"/>
        </w:rPr>
        <w:t>Rev. synt. hist.,</w:t>
      </w:r>
      <w:r w:rsidRPr="00E9210E">
        <w:rPr>
          <w:rFonts w:eastAsia="Courier New"/>
        </w:rPr>
        <w:t xml:space="preserve"> </w:t>
      </w:r>
      <w:r w:rsidRPr="00E9210E">
        <w:rPr>
          <w:rStyle w:val="Corpsdutexte885ptNonGraschelle100"/>
          <w:rFonts w:eastAsia="Courier New"/>
          <w:b w:val="0"/>
          <w:bCs w:val="0"/>
          <w:sz w:val="28"/>
        </w:rPr>
        <w:t>t. 25 (1912), p</w:t>
      </w:r>
      <w:r w:rsidRPr="00E9210E">
        <w:t>p. 209-223 et 310-339.</w:t>
      </w:r>
    </w:p>
    <w:p w14:paraId="028D2A7B"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Espacement1ptchelle120"/>
          <w:rFonts w:eastAsia="Courier New"/>
          <w:i w:val="0"/>
          <w:iCs w:val="0"/>
          <w:sz w:val="28"/>
        </w:rPr>
        <w:t xml:space="preserve"> </w:t>
      </w:r>
      <w:r w:rsidRPr="00E9210E">
        <w:rPr>
          <w:rStyle w:val="Corpsdutexte37ptGrasNonItalique"/>
          <w:rFonts w:eastAsia="Courier New"/>
          <w:b w:val="0"/>
          <w:i w:val="0"/>
          <w:iCs w:val="0"/>
          <w:sz w:val="28"/>
        </w:rPr>
        <w:t xml:space="preserve">C. </w:t>
      </w:r>
      <w:r w:rsidRPr="00E9210E">
        <w:rPr>
          <w:rStyle w:val="Corpsdutexte385ptNonItalique"/>
          <w:rFonts w:eastAsia="Courier New"/>
          <w:i w:val="0"/>
          <w:iCs w:val="0"/>
          <w:sz w:val="28"/>
        </w:rPr>
        <w:t>R. L.</w:t>
      </w:r>
      <w:r w:rsidRPr="00E9210E">
        <w:rPr>
          <w:rStyle w:val="Corpsdutexte385ptNonItalique"/>
          <w:rFonts w:eastAsia="Courier New"/>
          <w:b/>
          <w:i w:val="0"/>
          <w:iCs w:val="0"/>
          <w:sz w:val="28"/>
        </w:rPr>
        <w:t xml:space="preserve"> </w:t>
      </w:r>
      <w:r w:rsidRPr="00E9210E">
        <w:rPr>
          <w:rStyle w:val="Corpsdutexte37ptGrasNonItalique"/>
          <w:rFonts w:eastAsia="Courier New"/>
          <w:b w:val="0"/>
          <w:i w:val="0"/>
          <w:iCs w:val="0"/>
          <w:smallCaps/>
          <w:sz w:val="28"/>
        </w:rPr>
        <w:t>Flechter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Making of Western Eur</w:t>
      </w:r>
      <w:r w:rsidRPr="00E9210E">
        <w:rPr>
          <w:i/>
        </w:rPr>
        <w:t>o</w:t>
      </w:r>
      <w:r w:rsidRPr="00E9210E">
        <w:rPr>
          <w:i/>
        </w:rPr>
        <w:t>pe being an a</w:t>
      </w:r>
      <w:r w:rsidRPr="00E9210E">
        <w:rPr>
          <w:i/>
        </w:rPr>
        <w:t>t</w:t>
      </w:r>
      <w:r w:rsidRPr="00E9210E">
        <w:rPr>
          <w:i/>
        </w:rPr>
        <w:t>tempt to trace the fortunes of the children of the Roman Empire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Vol. I :</w:t>
      </w:r>
      <w:r w:rsidRPr="00E9210E">
        <w:rPr>
          <w:rStyle w:val="Corpsdutexte3GrasNonItaliqueEspacement1ptchelle120"/>
          <w:rFonts w:eastAsia="Courier New"/>
          <w:i w:val="0"/>
          <w:iCs w:val="0"/>
          <w:sz w:val="28"/>
        </w:rPr>
        <w:t xml:space="preserve"> </w:t>
      </w:r>
      <w:r w:rsidRPr="00E9210E">
        <w:t>The Dark Ages 300-1000 A.D.,</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Londres, 1912, « Rev. synt. hist. », t. 24 (1912), p. 417.</w:t>
      </w:r>
    </w:p>
    <w:p w14:paraId="7CA36475" w14:textId="77777777" w:rsidR="00B9662D" w:rsidRPr="00E9210E" w:rsidRDefault="00B9662D" w:rsidP="00B9662D">
      <w:pPr>
        <w:spacing w:before="120" w:after="120"/>
        <w:jc w:val="both"/>
      </w:pPr>
      <w:r w:rsidRPr="00E9210E">
        <w:t xml:space="preserve">Notes sur quelques ouvrages de théorie et d’histoire économiques. (W. T. </w:t>
      </w:r>
      <w:r w:rsidRPr="00E9210E">
        <w:rPr>
          <w:rStyle w:val="Corpsdutexte27ptGras"/>
          <w:rFonts w:eastAsia="Courier New"/>
          <w:b w:val="0"/>
          <w:smallCaps/>
          <w:sz w:val="28"/>
        </w:rPr>
        <w:t>Layton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An introduction to the study of prices...,</w:t>
      </w:r>
      <w:r w:rsidRPr="00E9210E">
        <w:rPr>
          <w:rStyle w:val="Corpsdutexte28ptGrasEspacement1ptchelle120"/>
          <w:rFonts w:eastAsia="Courier New"/>
          <w:sz w:val="28"/>
        </w:rPr>
        <w:t xml:space="preserve"> </w:t>
      </w:r>
      <w:r w:rsidRPr="00E9210E">
        <w:t xml:space="preserve">Londres, 1912), </w:t>
      </w:r>
      <w:r w:rsidRPr="00E9210E">
        <w:rPr>
          <w:rStyle w:val="Corpsdutexte28ptGrasEspacement1ptchelle120"/>
          <w:rFonts w:eastAsia="Courier New"/>
          <w:sz w:val="28"/>
        </w:rPr>
        <w:t>« </w:t>
      </w:r>
      <w:r w:rsidRPr="00E9210E">
        <w:t>Rev. synt. hist. », t. 25 (1912), pp. 105-107.</w:t>
      </w:r>
    </w:p>
    <w:p w14:paraId="2351CA0E" w14:textId="77777777" w:rsidR="00B9662D" w:rsidRPr="00E9210E" w:rsidRDefault="00B9662D" w:rsidP="00B9662D">
      <w:pPr>
        <w:spacing w:before="120" w:after="120"/>
        <w:jc w:val="both"/>
      </w:pPr>
      <w:r w:rsidRPr="00E9210E">
        <w:t>Compte rendu :</w:t>
      </w:r>
      <w:r w:rsidRPr="00E9210E">
        <w:rPr>
          <w:rStyle w:val="Corpsdutexte28ptGrasEspacement1ptchelle120"/>
          <w:rFonts w:eastAsia="Courier New"/>
          <w:sz w:val="28"/>
        </w:rPr>
        <w:t xml:space="preserve"> </w:t>
      </w:r>
      <w:r w:rsidRPr="00E9210E">
        <w:rPr>
          <w:rStyle w:val="Corpsdutexte27ptGras"/>
          <w:rFonts w:eastAsia="Courier New"/>
          <w:b w:val="0"/>
          <w:sz w:val="28"/>
        </w:rPr>
        <w:t xml:space="preserve">A. </w:t>
      </w:r>
      <w:r w:rsidRPr="00E9210E">
        <w:rPr>
          <w:rStyle w:val="Corpsdutexte27ptGras"/>
          <w:rFonts w:eastAsia="Courier New"/>
          <w:b w:val="0"/>
          <w:smallCaps/>
          <w:sz w:val="28"/>
        </w:rPr>
        <w:t>Walther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Geldwert in der Geschichte. Ein methodologischer Versuch</w:t>
      </w:r>
      <w:r w:rsidRPr="00E9210E">
        <w:rPr>
          <w:rStyle w:val="Corpsdutexte28ptGrasEspacement1ptchelle120"/>
          <w:rFonts w:eastAsia="Courier New"/>
          <w:sz w:val="28"/>
        </w:rPr>
        <w:t xml:space="preserve">, </w:t>
      </w:r>
      <w:r w:rsidRPr="00E9210E">
        <w:t>Stuttgart et Berlin, 1912, « Rev. synt. hist. », t. 25 (1912), p. 244.</w:t>
      </w:r>
    </w:p>
    <w:p w14:paraId="13C1348F" w14:textId="77777777" w:rsidR="00B9662D" w:rsidRPr="00E9210E" w:rsidRDefault="00B9662D" w:rsidP="00B9662D">
      <w:pPr>
        <w:spacing w:before="120" w:after="120"/>
        <w:jc w:val="both"/>
      </w:pPr>
      <w:r w:rsidRPr="00E9210E">
        <w:t>[1033]</w:t>
      </w:r>
    </w:p>
    <w:p w14:paraId="760A11A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w:t>
      </w:r>
      <w:r w:rsidRPr="00E9210E">
        <w:rPr>
          <w:rStyle w:val="Corpsdutexte37ptGrasNonItalique"/>
          <w:rFonts w:eastAsia="Courier New"/>
          <w:b w:val="0"/>
          <w:i w:val="0"/>
          <w:iCs w:val="0"/>
          <w:sz w:val="28"/>
        </w:rPr>
        <w:t xml:space="preserve">A. </w:t>
      </w:r>
      <w:r w:rsidRPr="00E9210E">
        <w:rPr>
          <w:rStyle w:val="Corpsdutexte37ptGrasNonItalique"/>
          <w:rFonts w:eastAsia="Courier New"/>
          <w:b w:val="0"/>
          <w:i w:val="0"/>
          <w:iCs w:val="0"/>
          <w:smallCaps/>
          <w:sz w:val="28"/>
        </w:rPr>
        <w:t>Longnon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Origine et formation de la national</w:t>
      </w:r>
      <w:r w:rsidRPr="00E9210E">
        <w:rPr>
          <w:i/>
        </w:rPr>
        <w:t>i</w:t>
      </w:r>
      <w:r w:rsidRPr="00E9210E">
        <w:rPr>
          <w:i/>
        </w:rPr>
        <w:t>té française. Éléments ethniques. Unité territoriale</w:t>
      </w:r>
      <w:r w:rsidRPr="00E9210E">
        <w:rPr>
          <w:rStyle w:val="Corpsdutexte385ptEspacement0pt"/>
          <w:rFonts w:eastAsia="Courier New"/>
          <w:sz w:val="28"/>
        </w:rPr>
        <w:t>,</w:t>
      </w:r>
      <w:r w:rsidRPr="00E9210E">
        <w:rPr>
          <w:rStyle w:val="Corpsdutexte385ptNonItalique"/>
          <w:rFonts w:eastAsia="Courier New"/>
          <w:i w:val="0"/>
          <w:iCs w:val="0"/>
          <w:sz w:val="28"/>
        </w:rPr>
        <w:t xml:space="preserve"> Paris, [1912], « Rev. synt. hist. », t. 25 (1912), p. 365.</w:t>
      </w:r>
    </w:p>
    <w:p w14:paraId="7B538330" w14:textId="77777777" w:rsidR="00B9662D" w:rsidRDefault="00B9662D" w:rsidP="00B9662D">
      <w:pPr>
        <w:spacing w:before="120" w:after="120"/>
        <w:jc w:val="both"/>
      </w:pPr>
    </w:p>
    <w:p w14:paraId="4DDCB4B5" w14:textId="77777777" w:rsidR="00B9662D" w:rsidRPr="00E9210E" w:rsidRDefault="00B9662D" w:rsidP="00B9662D">
      <w:pPr>
        <w:spacing w:before="120" w:after="120"/>
        <w:jc w:val="both"/>
      </w:pPr>
    </w:p>
    <w:p w14:paraId="270D6FBA" w14:textId="77777777" w:rsidR="00B9662D" w:rsidRPr="00E9210E" w:rsidRDefault="00B9662D" w:rsidP="00B9662D">
      <w:pPr>
        <w:spacing w:before="120" w:after="120"/>
        <w:jc w:val="center"/>
        <w:rPr>
          <w:b/>
        </w:rPr>
      </w:pPr>
      <w:r w:rsidRPr="00E9210E">
        <w:rPr>
          <w:b/>
        </w:rPr>
        <w:t>1913</w:t>
      </w:r>
    </w:p>
    <w:p w14:paraId="49840298" w14:textId="77777777" w:rsidR="00B9662D" w:rsidRPr="00E9210E" w:rsidRDefault="00B9662D" w:rsidP="00B9662D">
      <w:pPr>
        <w:spacing w:before="120" w:after="120"/>
        <w:jc w:val="both"/>
      </w:pPr>
    </w:p>
    <w:p w14:paraId="68645AC2" w14:textId="77777777" w:rsidR="00B9662D" w:rsidRPr="00E9210E" w:rsidRDefault="00B9662D" w:rsidP="00B9662D">
      <w:pPr>
        <w:spacing w:before="120" w:after="120"/>
        <w:jc w:val="both"/>
      </w:pPr>
      <w:r w:rsidRPr="00E9210E">
        <w:rPr>
          <w:rStyle w:val="Corpsdutexte28ptGraschelle120"/>
          <w:rFonts w:eastAsia="Courier New"/>
          <w:sz w:val="28"/>
        </w:rPr>
        <w:t xml:space="preserve">L’Ile-de-France (les pays autour de Paris), </w:t>
      </w:r>
      <w:r w:rsidRPr="00E9210E">
        <w:t xml:space="preserve">Paris, 1913, in-8°, 136 p., (Publ. de la </w:t>
      </w:r>
      <w:r w:rsidRPr="00E9210E">
        <w:rPr>
          <w:rStyle w:val="Corpsdutexte28ptItalique"/>
          <w:rFonts w:eastAsia="Courier New"/>
          <w:sz w:val="28"/>
        </w:rPr>
        <w:t>Rev. synt. hist. Les Régions de la France</w:t>
      </w:r>
      <w:r w:rsidRPr="00E9210E">
        <w:t>, n° IX).</w:t>
      </w:r>
    </w:p>
    <w:p w14:paraId="6CFAA0A3" w14:textId="77777777" w:rsidR="00B9662D" w:rsidRPr="00E9210E" w:rsidRDefault="00B9662D" w:rsidP="00B9662D">
      <w:pPr>
        <w:spacing w:before="120" w:after="120"/>
        <w:jc w:val="both"/>
      </w:pPr>
      <w:r w:rsidRPr="00E9210E">
        <w:rPr>
          <w:rFonts w:eastAsia="Courier New"/>
        </w:rPr>
        <w:t>« </w:t>
      </w:r>
      <w:r w:rsidRPr="00E9210E">
        <w:rPr>
          <w:b/>
        </w:rPr>
        <w:t>Notes sur les sources de l’histoire de l’Ile-de-France au Moyen Âge </w:t>
      </w:r>
      <w:r w:rsidRPr="00E9210E">
        <w:t>»</w:t>
      </w:r>
      <w:r w:rsidRPr="00E9210E">
        <w:rPr>
          <w:rFonts w:eastAsia="Courier New"/>
        </w:rPr>
        <w:t xml:space="preserve">, </w:t>
      </w:r>
      <w:r w:rsidRPr="00E9210E">
        <w:rPr>
          <w:rStyle w:val="Corpsdutexte8NonGrasItaliquechelle100"/>
          <w:rFonts w:eastAsia="Courier New"/>
          <w:b w:val="0"/>
          <w:bCs w:val="0"/>
          <w:sz w:val="28"/>
        </w:rPr>
        <w:t>Bulletin de la Société de l'histoire de Paris et de l’Ile-de-France,</w:t>
      </w:r>
      <w:r w:rsidRPr="00E9210E">
        <w:rPr>
          <w:rFonts w:eastAsia="Courier New"/>
        </w:rPr>
        <w:t xml:space="preserve"> </w:t>
      </w:r>
      <w:r w:rsidRPr="00E9210E">
        <w:rPr>
          <w:rStyle w:val="Corpsdutexte885ptNonGraschelle100"/>
          <w:rFonts w:eastAsia="Courier New"/>
          <w:b w:val="0"/>
          <w:bCs w:val="0"/>
          <w:sz w:val="28"/>
        </w:rPr>
        <w:t>t. 40 (1913), pp. 145-164.</w:t>
      </w:r>
    </w:p>
    <w:p w14:paraId="65F17716" w14:textId="77777777" w:rsidR="00B9662D" w:rsidRPr="00E9210E" w:rsidRDefault="00B9662D" w:rsidP="00B9662D">
      <w:pPr>
        <w:spacing w:before="120" w:after="120"/>
        <w:jc w:val="both"/>
      </w:pPr>
      <w:r w:rsidRPr="00E9210E">
        <w:rPr>
          <w:rStyle w:val="Corpsdutexte28ptGraschelle120"/>
          <w:rFonts w:eastAsia="Courier New"/>
          <w:sz w:val="28"/>
        </w:rPr>
        <w:t>« L’Île-de-France (Les pays autour de Paris) »</w:t>
      </w:r>
      <w:r w:rsidRPr="00E9210E">
        <w:t xml:space="preserve">, suite et fin, </w:t>
      </w:r>
      <w:r w:rsidRPr="00E9210E">
        <w:rPr>
          <w:rStyle w:val="Corpsdutexte28ptItalique"/>
          <w:rFonts w:eastAsia="Courier New"/>
          <w:sz w:val="28"/>
        </w:rPr>
        <w:t>Rev. synt. hist.,</w:t>
      </w:r>
      <w:r w:rsidRPr="00E9210E">
        <w:rPr>
          <w:rStyle w:val="Corpsdutexte28ptGrasEspacement1ptchelle120"/>
          <w:rFonts w:eastAsia="Courier New"/>
          <w:sz w:val="28"/>
        </w:rPr>
        <w:t xml:space="preserve"> </w:t>
      </w:r>
      <w:r w:rsidRPr="00E9210E">
        <w:t>t. 26 (1913), pp. 131-199 et 325-350.</w:t>
      </w:r>
    </w:p>
    <w:p w14:paraId="7B727A27" w14:textId="77777777" w:rsidR="00B9662D" w:rsidRPr="00E9210E" w:rsidRDefault="00B9662D" w:rsidP="00B9662D">
      <w:pPr>
        <w:spacing w:before="120" w:after="120"/>
        <w:jc w:val="both"/>
      </w:pPr>
      <w:r w:rsidRPr="00E9210E">
        <w:t xml:space="preserve">Note sur deux ouvrages d’histoire et d’économie rurale. (Compte rendu : E. C. K. </w:t>
      </w:r>
      <w:r w:rsidRPr="00E9210E">
        <w:rPr>
          <w:rStyle w:val="Corpsdutexte27ptGras"/>
          <w:rFonts w:eastAsia="Courier New"/>
          <w:b w:val="0"/>
          <w:smallCaps/>
          <w:sz w:val="28"/>
        </w:rPr>
        <w:t>Gonner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Common Land and Inciosure,</w:t>
      </w:r>
      <w:r w:rsidRPr="00E9210E">
        <w:rPr>
          <w:rStyle w:val="Corpsdutexte28ptGrasEspacement1ptchelle120"/>
          <w:rFonts w:eastAsia="Courier New"/>
          <w:sz w:val="28"/>
        </w:rPr>
        <w:t xml:space="preserve"> </w:t>
      </w:r>
      <w:r w:rsidRPr="00E9210E">
        <w:t xml:space="preserve">Londres, 1912. — M. </w:t>
      </w:r>
      <w:r w:rsidRPr="00E9210E">
        <w:rPr>
          <w:rStyle w:val="Corpsdutexte27ptGras"/>
          <w:rFonts w:eastAsia="Courier New"/>
          <w:b w:val="0"/>
          <w:smallCaps/>
          <w:sz w:val="28"/>
        </w:rPr>
        <w:t>Augé-Laribé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L’évolution de la France agricole,</w:t>
      </w:r>
      <w:r w:rsidRPr="00E9210E">
        <w:rPr>
          <w:rStyle w:val="Corpsdutexte28ptGrasEspacement1ptchelle120"/>
          <w:rFonts w:eastAsia="Courier New"/>
          <w:sz w:val="28"/>
        </w:rPr>
        <w:t xml:space="preserve"> </w:t>
      </w:r>
      <w:r w:rsidRPr="00E9210E">
        <w:t>Paris, 1912), « Rev. synt. hist. », t. 27 (1913), pp. 162-167.</w:t>
      </w:r>
    </w:p>
    <w:p w14:paraId="71C53156"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P. </w:t>
      </w:r>
      <w:r w:rsidRPr="00E9210E">
        <w:rPr>
          <w:rStyle w:val="Corpsdutexte37ptGrasNonItalique"/>
          <w:rFonts w:eastAsia="Courier New"/>
          <w:b w:val="0"/>
          <w:i w:val="0"/>
          <w:iCs w:val="0"/>
          <w:smallCaps/>
          <w:sz w:val="28"/>
        </w:rPr>
        <w:t>Viard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de la dîme ecclésiastique dans le royaume de France aux XII</w:t>
      </w:r>
      <w:r w:rsidRPr="00E9210E">
        <w:rPr>
          <w:i/>
          <w:vertAlign w:val="superscript"/>
        </w:rPr>
        <w:t>e</w:t>
      </w:r>
      <w:r w:rsidRPr="00E9210E">
        <w:rPr>
          <w:i/>
        </w:rPr>
        <w:t xml:space="preserve"> et XIII</w:t>
      </w:r>
      <w:r w:rsidRPr="00E9210E">
        <w:rPr>
          <w:i/>
          <w:vertAlign w:val="superscript"/>
        </w:rPr>
        <w:t>e</w:t>
      </w:r>
      <w:r w:rsidRPr="00E9210E">
        <w:rPr>
          <w:i/>
        </w:rPr>
        <w:t xml:space="preserve"> s. (1150-1313),</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Paris, 1912, « Rev. synt. hist, », t. 27 (1913), pp. 374-375.</w:t>
      </w:r>
    </w:p>
    <w:p w14:paraId="3502A428" w14:textId="77777777" w:rsidR="00B9662D" w:rsidRPr="00E9210E" w:rsidRDefault="00B9662D" w:rsidP="00B9662D">
      <w:pPr>
        <w:spacing w:before="120" w:after="120"/>
        <w:jc w:val="both"/>
      </w:pPr>
    </w:p>
    <w:p w14:paraId="41606C5F" w14:textId="77777777" w:rsidR="00B9662D" w:rsidRPr="00E9210E" w:rsidRDefault="00B9662D" w:rsidP="00B9662D">
      <w:pPr>
        <w:spacing w:before="120" w:after="120"/>
        <w:jc w:val="center"/>
        <w:rPr>
          <w:b/>
        </w:rPr>
      </w:pPr>
      <w:r w:rsidRPr="00E9210E">
        <w:rPr>
          <w:b/>
        </w:rPr>
        <w:t>1914</w:t>
      </w:r>
    </w:p>
    <w:p w14:paraId="2B2A4A2F" w14:textId="77777777" w:rsidR="00B9662D" w:rsidRPr="00E9210E" w:rsidRDefault="00B9662D" w:rsidP="00B9662D">
      <w:pPr>
        <w:spacing w:before="120" w:after="120"/>
        <w:jc w:val="both"/>
      </w:pPr>
    </w:p>
    <w:p w14:paraId="106CC678" w14:textId="77777777" w:rsidR="00B9662D" w:rsidRPr="00E9210E" w:rsidRDefault="00B9662D" w:rsidP="00B9662D">
      <w:pPr>
        <w:spacing w:before="120" w:after="120"/>
        <w:jc w:val="both"/>
      </w:pPr>
      <w:r w:rsidRPr="00E9210E">
        <w:rPr>
          <w:rStyle w:val="Corpsdutexte28ptGraschelle120"/>
          <w:rFonts w:eastAsia="Courier New"/>
          <w:sz w:val="28"/>
        </w:rPr>
        <w:t xml:space="preserve">Critique historique et critique du témoignage. </w:t>
      </w:r>
      <w:r w:rsidRPr="00E9210E">
        <w:t>(Br</w:t>
      </w:r>
      <w:r w:rsidRPr="00E9210E">
        <w:t>o</w:t>
      </w:r>
      <w:r w:rsidRPr="00E9210E">
        <w:t>chure in-8°, 7 p., Amiens, 1914. Discours prononcé à la distribution des Prix, année scolaire 1913-1914).</w:t>
      </w:r>
    </w:p>
    <w:p w14:paraId="38069175" w14:textId="77777777" w:rsidR="00B9662D" w:rsidRPr="00E9210E" w:rsidRDefault="00B9662D" w:rsidP="00B9662D">
      <w:pPr>
        <w:spacing w:before="120" w:after="120"/>
        <w:jc w:val="both"/>
      </w:pPr>
      <w:r w:rsidRPr="00E9210E">
        <w:t xml:space="preserve">Compte rendu : L. </w:t>
      </w:r>
      <w:r w:rsidRPr="00E9210E">
        <w:rPr>
          <w:rStyle w:val="Corpsdutexte27ptGras"/>
          <w:rFonts w:eastAsia="Courier New"/>
          <w:b w:val="0"/>
          <w:smallCaps/>
          <w:sz w:val="28"/>
        </w:rPr>
        <w:t>Febvre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de la Franche-Comté,</w:t>
      </w:r>
      <w:r w:rsidRPr="00E9210E">
        <w:rPr>
          <w:rStyle w:val="Corpsdutexte28ptGrasEspacement1ptchelle120"/>
          <w:rFonts w:eastAsia="Courier New"/>
          <w:sz w:val="28"/>
        </w:rPr>
        <w:t xml:space="preserve"> </w:t>
      </w:r>
      <w:r w:rsidRPr="00E9210E">
        <w:t>Paris, 1912, « Rev. synt. hist. », t. 28 (1914), pp. 354-356.</w:t>
      </w:r>
    </w:p>
    <w:p w14:paraId="6F070141" w14:textId="77777777" w:rsidR="00B9662D" w:rsidRPr="00E9210E" w:rsidRDefault="00B9662D" w:rsidP="00B9662D">
      <w:pPr>
        <w:spacing w:before="120" w:after="120"/>
        <w:jc w:val="both"/>
      </w:pPr>
    </w:p>
    <w:p w14:paraId="7AC80CF3" w14:textId="77777777" w:rsidR="00B9662D" w:rsidRPr="00E9210E" w:rsidRDefault="00B9662D" w:rsidP="00B9662D">
      <w:pPr>
        <w:spacing w:before="120" w:after="120"/>
        <w:jc w:val="center"/>
        <w:rPr>
          <w:b/>
        </w:rPr>
      </w:pPr>
      <w:r w:rsidRPr="00E9210E">
        <w:rPr>
          <w:b/>
        </w:rPr>
        <w:t>1915</w:t>
      </w:r>
    </w:p>
    <w:p w14:paraId="67A5CD85" w14:textId="77777777" w:rsidR="00B9662D" w:rsidRPr="00E9210E" w:rsidRDefault="00B9662D" w:rsidP="00B9662D">
      <w:pPr>
        <w:spacing w:before="120" w:after="120"/>
        <w:jc w:val="both"/>
      </w:pPr>
    </w:p>
    <w:p w14:paraId="5ECA6246" w14:textId="77777777" w:rsidR="00B9662D" w:rsidRDefault="00B9662D" w:rsidP="00B9662D">
      <w:pPr>
        <w:spacing w:before="120" w:after="120"/>
        <w:jc w:val="both"/>
        <w:rPr>
          <w:rStyle w:val="Corpsdutexte385ptNonItalique"/>
          <w:rFonts w:eastAsia="Courier New"/>
          <w:i w:val="0"/>
          <w:iCs w:val="0"/>
          <w:sz w:val="28"/>
        </w:rPr>
      </w:pPr>
      <w:r w:rsidRPr="00E9210E">
        <w:rPr>
          <w:rStyle w:val="Corpsdutexte385ptNonItalique"/>
          <w:rFonts w:eastAsia="Courier New"/>
          <w:i w:val="0"/>
          <w:iCs w:val="0"/>
          <w:sz w:val="28"/>
        </w:rPr>
        <w:t xml:space="preserve">Compte rendu : David Jayne </w:t>
      </w:r>
      <w:r w:rsidRPr="00E9210E">
        <w:rPr>
          <w:rStyle w:val="Corpsdutexte37ptGrasNonItalique"/>
          <w:rFonts w:eastAsia="Courier New"/>
          <w:b w:val="0"/>
          <w:i w:val="0"/>
          <w:iCs w:val="0"/>
          <w:smallCaps/>
          <w:sz w:val="28"/>
        </w:rPr>
        <w:t>Hill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 history of diplomacy in the international development of Europe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t. I : </w:t>
      </w:r>
      <w:r w:rsidRPr="00E9210E">
        <w:rPr>
          <w:i/>
        </w:rPr>
        <w:t>The struggle for universal Empir</w:t>
      </w:r>
      <w:r w:rsidRPr="00E9210E">
        <w:t>e [B.C. 30 to 1313],</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Londres et New York, 1905 ; t. II : </w:t>
      </w:r>
      <w:r w:rsidRPr="00E9210E">
        <w:rPr>
          <w:i/>
        </w:rPr>
        <w:t>The establishment of territorial sov</w:t>
      </w:r>
      <w:r w:rsidRPr="00E9210E">
        <w:rPr>
          <w:i/>
        </w:rPr>
        <w:t>e</w:t>
      </w:r>
      <w:r w:rsidRPr="00E9210E">
        <w:rPr>
          <w:i/>
        </w:rPr>
        <w:t>reignty</w:t>
      </w:r>
      <w:r w:rsidRPr="00E9210E">
        <w:rPr>
          <w:rStyle w:val="Corpsdutexte3GrasNonItaliqueEspacement1ptchelle120"/>
          <w:rFonts w:eastAsia="Courier New"/>
          <w:i w:val="0"/>
          <w:iCs w:val="0"/>
          <w:sz w:val="28"/>
        </w:rPr>
        <w:t xml:space="preserve"> (</w:t>
      </w:r>
      <w:r w:rsidRPr="00E9210E">
        <w:rPr>
          <w:i/>
        </w:rPr>
        <w:t>1313-1648</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1906 ; t. III : </w:t>
      </w:r>
      <w:r w:rsidRPr="00E9210E">
        <w:rPr>
          <w:i/>
        </w:rPr>
        <w:t>The diplomacy of the age of absolution</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1914, « Revue Historique », t. 119 (1915), p. 389-393.</w:t>
      </w:r>
    </w:p>
    <w:p w14:paraId="1528F40B" w14:textId="77777777" w:rsidR="00B9662D" w:rsidRPr="00E9210E" w:rsidRDefault="00B9662D" w:rsidP="00B9662D">
      <w:pPr>
        <w:spacing w:before="120" w:after="120"/>
        <w:jc w:val="both"/>
      </w:pPr>
    </w:p>
    <w:p w14:paraId="5F2710F4" w14:textId="77777777" w:rsidR="00B9662D" w:rsidRPr="00E9210E" w:rsidRDefault="00B9662D" w:rsidP="00B9662D">
      <w:pPr>
        <w:spacing w:before="120" w:after="120"/>
        <w:jc w:val="center"/>
        <w:rPr>
          <w:b/>
        </w:rPr>
      </w:pPr>
      <w:r w:rsidRPr="00E9210E">
        <w:rPr>
          <w:b/>
        </w:rPr>
        <w:t>1918</w:t>
      </w:r>
    </w:p>
    <w:p w14:paraId="78C23B00" w14:textId="77777777" w:rsidR="00B9662D" w:rsidRDefault="00B9662D" w:rsidP="00B9662D">
      <w:pPr>
        <w:spacing w:before="120" w:after="120"/>
        <w:jc w:val="both"/>
      </w:pPr>
    </w:p>
    <w:p w14:paraId="4E5E7173" w14:textId="77777777" w:rsidR="00B9662D" w:rsidRPr="00E9210E" w:rsidRDefault="00B9662D" w:rsidP="00B9662D">
      <w:pPr>
        <w:spacing w:before="120" w:after="120"/>
        <w:jc w:val="both"/>
      </w:pPr>
      <w:r w:rsidRPr="00E9210E">
        <w:t xml:space="preserve">Compte rendu : </w:t>
      </w:r>
      <w:r w:rsidRPr="00E9210E">
        <w:rPr>
          <w:rStyle w:val="Corpsdutexte27ptGras"/>
          <w:rFonts w:eastAsia="Courier New"/>
          <w:b w:val="0"/>
          <w:sz w:val="28"/>
        </w:rPr>
        <w:t>G.</w:t>
      </w:r>
      <w:r w:rsidRPr="00E9210E">
        <w:rPr>
          <w:rStyle w:val="Corpsdutexte27ptGras"/>
          <w:rFonts w:eastAsia="Courier New"/>
          <w:sz w:val="28"/>
        </w:rPr>
        <w:t xml:space="preserve"> </w:t>
      </w:r>
      <w:r w:rsidRPr="00E9210E">
        <w:t xml:space="preserve">von </w:t>
      </w:r>
      <w:r w:rsidRPr="00E9210E">
        <w:rPr>
          <w:rStyle w:val="Corpsdutexte27ptGras"/>
          <w:rFonts w:eastAsia="Courier New"/>
          <w:b w:val="0"/>
          <w:smallCaps/>
          <w:sz w:val="28"/>
        </w:rPr>
        <w:t>Below</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Der deutsche Stadt des Mittela</w:t>
      </w:r>
      <w:r w:rsidRPr="00E9210E">
        <w:rPr>
          <w:rStyle w:val="Corpsdutexte28ptItalique"/>
          <w:rFonts w:eastAsia="Courier New"/>
          <w:sz w:val="28"/>
        </w:rPr>
        <w:t>l</w:t>
      </w:r>
      <w:r w:rsidRPr="00E9210E">
        <w:rPr>
          <w:rStyle w:val="Corpsdutexte28ptItalique"/>
          <w:rFonts w:eastAsia="Courier New"/>
          <w:sz w:val="28"/>
        </w:rPr>
        <w:t>ters, Bd I,</w:t>
      </w:r>
      <w:r w:rsidRPr="00E9210E">
        <w:rPr>
          <w:rStyle w:val="Corpsdutexte28ptGrasEspacement1ptchelle120"/>
          <w:rFonts w:eastAsia="Courier New"/>
          <w:sz w:val="28"/>
        </w:rPr>
        <w:t xml:space="preserve"> </w:t>
      </w:r>
      <w:r w:rsidRPr="00E9210E">
        <w:t>Leipzig, 1914, « Revue historique », t. 128 (1918), pp. 343-347.</w:t>
      </w:r>
    </w:p>
    <w:p w14:paraId="18332BC3" w14:textId="77777777" w:rsidR="00B9662D" w:rsidRPr="00E9210E" w:rsidRDefault="00B9662D" w:rsidP="00B9662D">
      <w:pPr>
        <w:spacing w:before="120" w:after="120"/>
        <w:jc w:val="both"/>
      </w:pPr>
    </w:p>
    <w:p w14:paraId="7E22894A" w14:textId="77777777" w:rsidR="00B9662D" w:rsidRPr="00E9210E" w:rsidRDefault="00B9662D" w:rsidP="00B9662D">
      <w:pPr>
        <w:spacing w:before="120" w:after="120"/>
        <w:jc w:val="center"/>
        <w:rPr>
          <w:b/>
        </w:rPr>
      </w:pPr>
      <w:r w:rsidRPr="00E9210E">
        <w:rPr>
          <w:b/>
        </w:rPr>
        <w:t>1920</w:t>
      </w:r>
    </w:p>
    <w:p w14:paraId="0DF9D798" w14:textId="77777777" w:rsidR="00B9662D" w:rsidRPr="00E9210E" w:rsidRDefault="00B9662D" w:rsidP="00B9662D">
      <w:pPr>
        <w:spacing w:before="120" w:after="120"/>
        <w:jc w:val="both"/>
      </w:pPr>
    </w:p>
    <w:p w14:paraId="44D09180" w14:textId="77777777" w:rsidR="00B9662D" w:rsidRPr="00E9210E" w:rsidRDefault="00B9662D" w:rsidP="00B9662D">
      <w:pPr>
        <w:spacing w:before="120" w:after="120"/>
        <w:jc w:val="both"/>
      </w:pPr>
      <w:r w:rsidRPr="00E9210E">
        <w:rPr>
          <w:rStyle w:val="Corpsdutexte28ptGraschelle120"/>
          <w:rFonts w:eastAsia="Courier New"/>
          <w:sz w:val="28"/>
        </w:rPr>
        <w:t xml:space="preserve">Rois et serfs — un chapitre d’histoire capétienne </w:t>
      </w:r>
      <w:r w:rsidRPr="00E9210E">
        <w:t>(Thèse pour le doctorat ès-lettres, présentée à la Faculté des Lettres de Paris), Paris, 1920, in-8°, 224 p.</w:t>
      </w:r>
    </w:p>
    <w:p w14:paraId="106AA695" w14:textId="77777777" w:rsidR="00B9662D" w:rsidRPr="00E9210E" w:rsidRDefault="00B9662D" w:rsidP="00B9662D">
      <w:pPr>
        <w:spacing w:before="120" w:after="120"/>
        <w:jc w:val="both"/>
      </w:pPr>
      <w:r w:rsidRPr="00E9210E">
        <w:t>« </w:t>
      </w:r>
      <w:r w:rsidRPr="00E9210E">
        <w:rPr>
          <w:b/>
        </w:rPr>
        <w:t>M. Flach et les origines de l’ancienne France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Rev. synt. hist.,</w:t>
      </w:r>
      <w:r w:rsidRPr="00E9210E">
        <w:rPr>
          <w:rFonts w:eastAsia="Courier New"/>
        </w:rPr>
        <w:t xml:space="preserve"> </w:t>
      </w:r>
      <w:r w:rsidRPr="00E9210E">
        <w:rPr>
          <w:rStyle w:val="Corpsdutexte885ptNonGraschelle100"/>
          <w:rFonts w:eastAsia="Courier New"/>
          <w:b w:val="0"/>
          <w:bCs w:val="0"/>
          <w:sz w:val="28"/>
        </w:rPr>
        <w:t>t. 31 (1920), pp. 150-152.</w:t>
      </w:r>
    </w:p>
    <w:p w14:paraId="668555C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w:t>
      </w:r>
      <w:r w:rsidRPr="00E9210E">
        <w:rPr>
          <w:rStyle w:val="Corpsdutexte37ptGrasNonItalique"/>
          <w:rFonts w:eastAsia="Courier New"/>
          <w:b w:val="0"/>
          <w:i w:val="0"/>
          <w:iCs w:val="0"/>
          <w:sz w:val="28"/>
        </w:rPr>
        <w:t xml:space="preserve">G. </w:t>
      </w:r>
      <w:r w:rsidRPr="00E9210E">
        <w:rPr>
          <w:rStyle w:val="Corpsdutexte37ptGrasNonItalique"/>
          <w:rFonts w:eastAsia="Courier New"/>
          <w:b w:val="0"/>
          <w:i w:val="0"/>
          <w:iCs w:val="0"/>
          <w:smallCaps/>
          <w:sz w:val="28"/>
        </w:rPr>
        <w:t>Baer Fundenburg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Feudal France in the French Epic ; a study of feudal French institutions in history and po</w:t>
      </w:r>
      <w:r w:rsidRPr="00E9210E">
        <w:rPr>
          <w:i/>
        </w:rPr>
        <w:t>e</w:t>
      </w:r>
      <w:r w:rsidRPr="00E9210E">
        <w:rPr>
          <w:i/>
        </w:rPr>
        <w:t>try</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Princeton, 1918, « Revue historique », t. 134 (1920), pp. 324-325.</w:t>
      </w:r>
    </w:p>
    <w:p w14:paraId="2437ACB9" w14:textId="77777777" w:rsidR="00B9662D" w:rsidRPr="00E9210E" w:rsidRDefault="00B9662D" w:rsidP="00B9662D">
      <w:pPr>
        <w:spacing w:before="120" w:after="120"/>
        <w:jc w:val="both"/>
      </w:pPr>
      <w:r w:rsidRPr="00E9210E">
        <w:t>[1034]</w:t>
      </w:r>
    </w:p>
    <w:p w14:paraId="06EA065C"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R. </w:t>
      </w:r>
      <w:r w:rsidRPr="00E9210E">
        <w:rPr>
          <w:rStyle w:val="Corpsdutexte37ptGrasNonItalique"/>
          <w:rFonts w:eastAsia="Courier New"/>
          <w:b w:val="0"/>
          <w:i w:val="0"/>
          <w:iCs w:val="0"/>
          <w:smallCaps/>
          <w:sz w:val="28"/>
        </w:rPr>
        <w:t>Parisot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de Lorraine.</w:t>
      </w:r>
      <w:r w:rsidRPr="00E9210E">
        <w:rPr>
          <w:rStyle w:val="Corpsdutexte3GrasNonItaliqueEspacement1ptchelle120"/>
          <w:rFonts w:eastAsia="Courier New"/>
          <w:i w:val="0"/>
          <w:iCs w:val="0"/>
          <w:sz w:val="28"/>
        </w:rPr>
        <w:t xml:space="preserve"> (</w:t>
      </w:r>
      <w:r w:rsidRPr="00E9210E">
        <w:rPr>
          <w:i/>
        </w:rPr>
        <w:t>Duché de Lo</w:t>
      </w:r>
      <w:r w:rsidRPr="00E9210E">
        <w:rPr>
          <w:i/>
        </w:rPr>
        <w:t>r</w:t>
      </w:r>
      <w:r w:rsidRPr="00E9210E">
        <w:rPr>
          <w:i/>
        </w:rPr>
        <w:t>raine, Duché de Bar,</w:t>
      </w:r>
      <w:r w:rsidRPr="00E9210E">
        <w:t xml:space="preserve"> </w:t>
      </w:r>
      <w:r w:rsidRPr="00E9210E">
        <w:rPr>
          <w:i/>
        </w:rPr>
        <w:t>Trois Évêchés</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I :</w:t>
      </w:r>
      <w:r w:rsidRPr="00E9210E">
        <w:rPr>
          <w:rStyle w:val="Corpsdutexte3GrasNonItaliqueEspacement1ptchelle120"/>
          <w:rFonts w:eastAsia="Courier New"/>
          <w:i w:val="0"/>
          <w:iCs w:val="0"/>
          <w:sz w:val="28"/>
        </w:rPr>
        <w:t xml:space="preserve"> </w:t>
      </w:r>
      <w:r w:rsidRPr="00E9210E">
        <w:t>Des origines à 1552</w:t>
      </w:r>
      <w:r w:rsidRPr="00E9210E">
        <w:rPr>
          <w:rStyle w:val="Corpsdutexte385ptEspacement0pt"/>
          <w:rFonts w:eastAsia="Courier New"/>
          <w:sz w:val="28"/>
        </w:rPr>
        <w:t>,</w:t>
      </w:r>
      <w:r w:rsidRPr="00E9210E">
        <w:rPr>
          <w:rStyle w:val="Corpsdutexte385ptNonItalique"/>
          <w:rFonts w:eastAsia="Courier New"/>
          <w:i w:val="0"/>
          <w:iCs w:val="0"/>
          <w:sz w:val="28"/>
        </w:rPr>
        <w:t xml:space="preserve"> Paris, 1919), « Rev. synt. hist. », t. 30 (1920), p. 234.</w:t>
      </w:r>
    </w:p>
    <w:p w14:paraId="5B02A008" w14:textId="77777777" w:rsidR="00B9662D" w:rsidRPr="00E9210E" w:rsidRDefault="00B9662D" w:rsidP="00B9662D">
      <w:pPr>
        <w:spacing w:before="120" w:after="120"/>
        <w:jc w:val="both"/>
      </w:pPr>
      <w:r w:rsidRPr="00E9210E">
        <w:t>Compte rendu :</w:t>
      </w:r>
      <w:r w:rsidRPr="00E9210E">
        <w:rPr>
          <w:rStyle w:val="Corpsdutexte28ptGrasEspacement1ptchelle120"/>
          <w:rFonts w:eastAsia="Courier New"/>
          <w:sz w:val="28"/>
        </w:rPr>
        <w:t xml:space="preserve"> </w:t>
      </w:r>
      <w:r w:rsidRPr="00E9210E">
        <w:t xml:space="preserve">H. </w:t>
      </w:r>
      <w:r w:rsidRPr="00E9210E">
        <w:rPr>
          <w:rStyle w:val="Corpsdutexte27ptGras"/>
          <w:rFonts w:eastAsia="Courier New"/>
          <w:b w:val="0"/>
          <w:smallCaps/>
          <w:sz w:val="28"/>
        </w:rPr>
        <w:t>Lévy-Brühl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élections abbatiales en France</w:t>
      </w:r>
      <w:r w:rsidRPr="00E9210E">
        <w:rPr>
          <w:rStyle w:val="Corpsdutexte28ptGrasEspacement1ptchelle120"/>
          <w:rFonts w:eastAsia="Courier New"/>
          <w:sz w:val="28"/>
        </w:rPr>
        <w:t xml:space="preserve">, </w:t>
      </w:r>
      <w:r w:rsidRPr="00E9210E">
        <w:rPr>
          <w:rStyle w:val="Corpsdutexte28ptGrasEspacement1ptchelle120"/>
          <w:rFonts w:eastAsia="Courier New"/>
          <w:b w:val="0"/>
          <w:sz w:val="28"/>
        </w:rPr>
        <w:t>I.</w:t>
      </w:r>
      <w:r w:rsidRPr="00E9210E">
        <w:rPr>
          <w:rStyle w:val="Corpsdutexte28ptGrasEspacement1ptchelle120"/>
          <w:rFonts w:eastAsia="Courier New"/>
          <w:sz w:val="28"/>
        </w:rPr>
        <w:t xml:space="preserve"> </w:t>
      </w:r>
      <w:r w:rsidRPr="00E9210E">
        <w:rPr>
          <w:rStyle w:val="Corpsdutexte28ptItalique"/>
          <w:rFonts w:eastAsia="Courier New"/>
          <w:sz w:val="28"/>
        </w:rPr>
        <w:t xml:space="preserve">Époque franque, </w:t>
      </w:r>
      <w:r w:rsidRPr="00E9210E">
        <w:t>Paris, 1913, « Rev. synt. hist. », t. 31 (1920), pp. 160-161.</w:t>
      </w:r>
    </w:p>
    <w:p w14:paraId="0EC23DFB" w14:textId="77777777" w:rsidR="00B9662D" w:rsidRPr="00E9210E" w:rsidRDefault="00B9662D" w:rsidP="00B9662D">
      <w:pPr>
        <w:spacing w:before="120" w:after="120"/>
        <w:jc w:val="both"/>
      </w:pPr>
    </w:p>
    <w:p w14:paraId="4CD08F50" w14:textId="77777777" w:rsidR="00B9662D" w:rsidRPr="00E9210E" w:rsidRDefault="00B9662D" w:rsidP="00B9662D">
      <w:pPr>
        <w:spacing w:before="120" w:after="120"/>
        <w:jc w:val="center"/>
        <w:rPr>
          <w:b/>
        </w:rPr>
      </w:pPr>
      <w:r w:rsidRPr="00E9210E">
        <w:rPr>
          <w:b/>
        </w:rPr>
        <w:t>1921</w:t>
      </w:r>
    </w:p>
    <w:p w14:paraId="7816D4B0" w14:textId="77777777" w:rsidR="00B9662D" w:rsidRPr="00E9210E" w:rsidRDefault="00B9662D" w:rsidP="00B9662D">
      <w:pPr>
        <w:spacing w:before="120" w:after="120"/>
        <w:jc w:val="both"/>
      </w:pPr>
    </w:p>
    <w:p w14:paraId="1EEA61F8" w14:textId="77777777" w:rsidR="00B9662D" w:rsidRPr="00E9210E" w:rsidRDefault="00B9662D" w:rsidP="00B9662D">
      <w:pPr>
        <w:spacing w:before="120" w:after="120"/>
        <w:jc w:val="both"/>
      </w:pPr>
      <w:r w:rsidRPr="00E9210E">
        <w:rPr>
          <w:rFonts w:eastAsia="Courier New"/>
          <w:b/>
        </w:rPr>
        <w:t>« </w:t>
      </w:r>
      <w:r w:rsidRPr="00E9210E">
        <w:rPr>
          <w:b/>
        </w:rPr>
        <w:t>Sur les programmes d’histoire de l’enseignement seconda</w:t>
      </w:r>
      <w:r w:rsidRPr="00E9210E">
        <w:rPr>
          <w:b/>
        </w:rPr>
        <w:t>i</w:t>
      </w:r>
      <w:r w:rsidRPr="00E9210E">
        <w:rPr>
          <w:b/>
        </w:rPr>
        <w:t>re »</w:t>
      </w:r>
      <w:r w:rsidRPr="00E9210E">
        <w:rPr>
          <w:rFonts w:eastAsia="Courier New"/>
          <w:b/>
        </w:rPr>
        <w:t>,</w:t>
      </w:r>
      <w:r w:rsidRPr="00E9210E">
        <w:rPr>
          <w:rFonts w:eastAsia="Courier New"/>
        </w:rPr>
        <w:t xml:space="preserve"> </w:t>
      </w:r>
      <w:r w:rsidRPr="00E9210E">
        <w:rPr>
          <w:rStyle w:val="Corpsdutexte8NonGrasItaliquechelle100"/>
          <w:rFonts w:eastAsia="Courier New"/>
          <w:b w:val="0"/>
          <w:bCs w:val="0"/>
          <w:sz w:val="28"/>
        </w:rPr>
        <w:t>Bull, de la Société des Professeurs d’histoire,</w:t>
      </w:r>
      <w:r w:rsidRPr="00E9210E">
        <w:rPr>
          <w:rFonts w:eastAsia="Courier New"/>
        </w:rPr>
        <w:t xml:space="preserve"> </w:t>
      </w:r>
      <w:r w:rsidRPr="00E9210E">
        <w:rPr>
          <w:rStyle w:val="Corpsdutexte885ptNonGraschelle100"/>
          <w:rFonts w:eastAsia="Courier New"/>
          <w:b w:val="0"/>
          <w:bCs w:val="0"/>
          <w:sz w:val="28"/>
        </w:rPr>
        <w:t>nov. 1921, pp. 15-17.</w:t>
      </w:r>
    </w:p>
    <w:p w14:paraId="20BD2E81" w14:textId="77777777" w:rsidR="00B9662D" w:rsidRPr="00E9210E" w:rsidRDefault="00B9662D" w:rsidP="00B9662D">
      <w:pPr>
        <w:spacing w:before="120" w:after="120"/>
        <w:jc w:val="both"/>
      </w:pPr>
      <w:r w:rsidRPr="00E9210E">
        <w:rPr>
          <w:rStyle w:val="Corpsdutexte3GrasNonItaliqueEspacement1ptchelle120"/>
          <w:rFonts w:eastAsia="Courier New"/>
          <w:i w:val="0"/>
          <w:iCs w:val="0"/>
          <w:sz w:val="28"/>
        </w:rPr>
        <w:t>« </w:t>
      </w:r>
      <w:r w:rsidRPr="00E9210E">
        <w:rPr>
          <w:rStyle w:val="Corpsdutexte3GrasNonItaliquechelle120"/>
          <w:rFonts w:eastAsia="Courier New"/>
          <w:i w:val="0"/>
          <w:iCs w:val="0"/>
          <w:sz w:val="28"/>
        </w:rPr>
        <w:t>Saint Martin de Tours :</w:t>
      </w:r>
      <w:r w:rsidRPr="00E9210E">
        <w:rPr>
          <w:rStyle w:val="Corpsdutexte3GrasNonItaliqueEspacement1ptchelle120"/>
          <w:rFonts w:eastAsia="Courier New"/>
          <w:i w:val="0"/>
          <w:iCs w:val="0"/>
          <w:sz w:val="28"/>
        </w:rPr>
        <w:t xml:space="preserve"> </w:t>
      </w:r>
      <w:r w:rsidRPr="00E9210E">
        <w:rPr>
          <w:rStyle w:val="Corpsdutexte3GrasNonItaliquechelle120"/>
          <w:rFonts w:eastAsia="Courier New"/>
          <w:i w:val="0"/>
          <w:iCs w:val="0"/>
          <w:sz w:val="28"/>
        </w:rPr>
        <w:t>à propos d’une polém</w:t>
      </w:r>
      <w:r w:rsidRPr="00E9210E">
        <w:rPr>
          <w:rStyle w:val="Corpsdutexte3GrasNonItaliquechelle120"/>
          <w:rFonts w:eastAsia="Courier New"/>
          <w:i w:val="0"/>
          <w:iCs w:val="0"/>
          <w:sz w:val="28"/>
        </w:rPr>
        <w:t>i</w:t>
      </w:r>
      <w:r w:rsidRPr="00E9210E">
        <w:rPr>
          <w:rStyle w:val="Corpsdutexte3GrasNonItaliquechelle120"/>
          <w:rFonts w:eastAsia="Courier New"/>
          <w:i w:val="0"/>
          <w:iCs w:val="0"/>
          <w:sz w:val="28"/>
        </w:rPr>
        <w:t>que »</w:t>
      </w:r>
      <w:r w:rsidRPr="00E9210E">
        <w:rPr>
          <w:rStyle w:val="Corpsdutexte3GrasNonItaliqueEspacement1ptchelle120"/>
          <w:rFonts w:eastAsia="Courier New"/>
          <w:i w:val="0"/>
          <w:iCs w:val="0"/>
          <w:sz w:val="28"/>
        </w:rPr>
        <w:t xml:space="preserve">, </w:t>
      </w:r>
      <w:r w:rsidRPr="00E9210E">
        <w:rPr>
          <w:i/>
        </w:rPr>
        <w:t>Revue d’histoire et de littérature religieuse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7 (1921), pp. 44-57.</w:t>
      </w:r>
    </w:p>
    <w:p w14:paraId="14ADC250" w14:textId="77777777" w:rsidR="00B9662D" w:rsidRPr="00E9210E" w:rsidRDefault="00B9662D" w:rsidP="00B9662D">
      <w:pPr>
        <w:spacing w:before="120" w:after="120"/>
        <w:jc w:val="both"/>
      </w:pPr>
      <w:r w:rsidRPr="00E9210E">
        <w:rPr>
          <w:rFonts w:eastAsia="Courier New"/>
        </w:rPr>
        <w:t>« </w:t>
      </w:r>
      <w:r w:rsidRPr="00E9210E">
        <w:rPr>
          <w:b/>
        </w:rPr>
        <w:t>L’Institut de recherches historiques de Londres </w:t>
      </w:r>
      <w:r w:rsidRPr="00E9210E">
        <w:t>»</w:t>
      </w:r>
      <w:r w:rsidRPr="00E9210E">
        <w:rPr>
          <w:rFonts w:eastAsia="Courier New"/>
        </w:rPr>
        <w:t xml:space="preserve">, </w:t>
      </w:r>
      <w:r w:rsidRPr="00E9210E">
        <w:rPr>
          <w:rStyle w:val="Corpsdutexte8NonGrasItaliquechelle100"/>
          <w:rFonts w:eastAsia="Courier New"/>
          <w:b w:val="0"/>
          <w:bCs w:val="0"/>
          <w:sz w:val="28"/>
        </w:rPr>
        <w:t>Revue hi</w:t>
      </w:r>
      <w:r w:rsidRPr="00E9210E">
        <w:rPr>
          <w:rStyle w:val="Corpsdutexte8NonGrasItaliquechelle100"/>
          <w:rFonts w:eastAsia="Courier New"/>
          <w:b w:val="0"/>
          <w:bCs w:val="0"/>
          <w:sz w:val="28"/>
        </w:rPr>
        <w:t>s</w:t>
      </w:r>
      <w:r w:rsidRPr="00E9210E">
        <w:rPr>
          <w:rStyle w:val="Corpsdutexte8NonGrasItaliquechelle100"/>
          <w:rFonts w:eastAsia="Courier New"/>
          <w:b w:val="0"/>
          <w:bCs w:val="0"/>
          <w:sz w:val="28"/>
        </w:rPr>
        <w:t>torique,</w:t>
      </w:r>
      <w:r w:rsidRPr="00E9210E">
        <w:rPr>
          <w:rFonts w:eastAsia="Courier New"/>
        </w:rPr>
        <w:t xml:space="preserve"> </w:t>
      </w:r>
      <w:r w:rsidRPr="00E9210E">
        <w:rPr>
          <w:rStyle w:val="Corpsdutexte885ptNonGraschelle100"/>
          <w:rFonts w:eastAsia="Courier New"/>
          <w:b w:val="0"/>
          <w:bCs w:val="0"/>
          <w:sz w:val="28"/>
        </w:rPr>
        <w:t>t. 138 (1921), pp. 156-158.</w:t>
      </w:r>
    </w:p>
    <w:p w14:paraId="69043A6C" w14:textId="77777777" w:rsidR="00B9662D" w:rsidRPr="00E9210E" w:rsidRDefault="00B9662D" w:rsidP="00B9662D">
      <w:pPr>
        <w:spacing w:before="120" w:after="120"/>
        <w:jc w:val="both"/>
      </w:pPr>
      <w:r w:rsidRPr="00E9210E">
        <w:rPr>
          <w:rFonts w:eastAsia="Courier New"/>
        </w:rPr>
        <w:t>« </w:t>
      </w:r>
      <w:r w:rsidRPr="00E9210E">
        <w:rPr>
          <w:b/>
        </w:rPr>
        <w:t>Serf de la glèbe :</w:t>
      </w:r>
      <w:r w:rsidRPr="00E9210E">
        <w:rPr>
          <w:rFonts w:eastAsia="Courier New"/>
          <w:b/>
        </w:rPr>
        <w:t xml:space="preserve"> </w:t>
      </w:r>
      <w:r w:rsidRPr="00E9210E">
        <w:rPr>
          <w:b/>
        </w:rPr>
        <w:t>histoire d'une expression toute faite </w:t>
      </w:r>
      <w:r w:rsidRPr="00E9210E">
        <w:t>»</w:t>
      </w:r>
      <w:r w:rsidRPr="00E9210E">
        <w:rPr>
          <w:rFonts w:eastAsia="Courier New"/>
        </w:rPr>
        <w:t xml:space="preserve">, </w:t>
      </w:r>
      <w:r w:rsidRPr="00E9210E">
        <w:rPr>
          <w:rStyle w:val="Corpsdutexte8NonGrasItaliquechelle100"/>
          <w:rFonts w:eastAsia="Courier New"/>
          <w:b w:val="0"/>
          <w:bCs w:val="0"/>
          <w:sz w:val="28"/>
        </w:rPr>
        <w:t>Revue hi</w:t>
      </w:r>
      <w:r w:rsidRPr="00E9210E">
        <w:rPr>
          <w:rStyle w:val="Corpsdutexte8NonGrasItaliquechelle100"/>
          <w:rFonts w:eastAsia="Courier New"/>
          <w:b w:val="0"/>
          <w:bCs w:val="0"/>
          <w:sz w:val="28"/>
        </w:rPr>
        <w:t>s</w:t>
      </w:r>
      <w:r w:rsidRPr="00E9210E">
        <w:rPr>
          <w:rStyle w:val="Corpsdutexte8NonGrasItaliquechelle100"/>
          <w:rFonts w:eastAsia="Courier New"/>
          <w:b w:val="0"/>
          <w:bCs w:val="0"/>
          <w:sz w:val="28"/>
        </w:rPr>
        <w:t>torique,</w:t>
      </w:r>
      <w:r w:rsidRPr="00E9210E">
        <w:rPr>
          <w:rFonts w:eastAsia="Courier New"/>
        </w:rPr>
        <w:t xml:space="preserve"> </w:t>
      </w:r>
      <w:r w:rsidRPr="00E9210E">
        <w:rPr>
          <w:rStyle w:val="Corpsdutexte885ptNonGraschelle100"/>
          <w:rFonts w:eastAsia="Courier New"/>
          <w:b w:val="0"/>
          <w:bCs w:val="0"/>
          <w:sz w:val="28"/>
        </w:rPr>
        <w:t>t. 136 (1921), pp. 220-242.</w:t>
      </w:r>
    </w:p>
    <w:p w14:paraId="62422663" w14:textId="77777777" w:rsidR="00B9662D" w:rsidRPr="00E9210E" w:rsidRDefault="00B9662D" w:rsidP="00B9662D">
      <w:pPr>
        <w:spacing w:before="120" w:after="120"/>
        <w:jc w:val="both"/>
      </w:pPr>
      <w:r w:rsidRPr="00E9210E">
        <w:rPr>
          <w:rFonts w:eastAsia="Courier New"/>
        </w:rPr>
        <w:t>« </w:t>
      </w:r>
      <w:r w:rsidRPr="00E9210E">
        <w:rPr>
          <w:b/>
        </w:rPr>
        <w:t>Réflexions d’un historien sur les fausses nouvelles de la gue</w:t>
      </w:r>
      <w:r w:rsidRPr="00E9210E">
        <w:rPr>
          <w:b/>
        </w:rPr>
        <w:t>r</w:t>
      </w:r>
      <w:r w:rsidRPr="00E9210E">
        <w:rPr>
          <w:b/>
        </w:rPr>
        <w:t>re </w:t>
      </w:r>
      <w:r w:rsidRPr="00E9210E">
        <w:t>»</w:t>
      </w:r>
      <w:r w:rsidRPr="00E9210E">
        <w:rPr>
          <w:rFonts w:eastAsia="Courier New"/>
        </w:rPr>
        <w:t xml:space="preserve">, </w:t>
      </w:r>
      <w:r w:rsidRPr="00E9210E">
        <w:rPr>
          <w:rStyle w:val="Corpsdutexte8NonGrasItaliquechelle100"/>
          <w:rFonts w:eastAsia="Courier New"/>
          <w:b w:val="0"/>
          <w:bCs w:val="0"/>
          <w:sz w:val="28"/>
        </w:rPr>
        <w:t>Rev. synt. hist.,</w:t>
      </w:r>
      <w:r w:rsidRPr="00E9210E">
        <w:rPr>
          <w:rFonts w:eastAsia="Courier New"/>
        </w:rPr>
        <w:t xml:space="preserve"> </w:t>
      </w:r>
      <w:r w:rsidRPr="00E9210E">
        <w:rPr>
          <w:rStyle w:val="Corpsdutexte885ptNonGraschelle100"/>
          <w:rFonts w:eastAsia="Courier New"/>
          <w:b w:val="0"/>
          <w:bCs w:val="0"/>
          <w:sz w:val="28"/>
        </w:rPr>
        <w:t>t. 33 (1921), pp. 13-35.</w:t>
      </w:r>
    </w:p>
    <w:p w14:paraId="1EC7860C" w14:textId="77777777" w:rsidR="00B9662D" w:rsidRPr="00E9210E" w:rsidRDefault="00B9662D" w:rsidP="00B9662D">
      <w:pPr>
        <w:spacing w:before="120" w:after="120"/>
        <w:jc w:val="both"/>
      </w:pPr>
      <w:r w:rsidRPr="00E9210E">
        <w:rPr>
          <w:rFonts w:eastAsia="Courier New"/>
        </w:rPr>
        <w:t>« </w:t>
      </w:r>
      <w:r w:rsidRPr="00E9210E">
        <w:rPr>
          <w:b/>
        </w:rPr>
        <w:t>Un aspect de la société médiévale :</w:t>
      </w:r>
      <w:r w:rsidRPr="00E9210E">
        <w:rPr>
          <w:rFonts w:eastAsia="Courier New"/>
          <w:b/>
        </w:rPr>
        <w:t xml:space="preserve"> </w:t>
      </w:r>
      <w:r w:rsidRPr="00E9210E">
        <w:rPr>
          <w:b/>
        </w:rPr>
        <w:t>rois et serfs</w:t>
      </w:r>
      <w:r w:rsidRPr="00E9210E">
        <w:t> »</w:t>
      </w:r>
      <w:r w:rsidRPr="00E9210E">
        <w:rPr>
          <w:rFonts w:eastAsia="Courier New"/>
        </w:rPr>
        <w:t xml:space="preserve">, </w:t>
      </w:r>
      <w:r w:rsidRPr="00E9210E">
        <w:rPr>
          <w:rStyle w:val="Corpsdutexte8NonGrasItaliquechelle100"/>
          <w:rFonts w:eastAsia="Courier New"/>
          <w:b w:val="0"/>
          <w:bCs w:val="0"/>
          <w:sz w:val="28"/>
        </w:rPr>
        <w:t>The French Quarterly,</w:t>
      </w:r>
      <w:r w:rsidRPr="00E9210E">
        <w:rPr>
          <w:rFonts w:eastAsia="Courier New"/>
        </w:rPr>
        <w:t xml:space="preserve"> </w:t>
      </w:r>
      <w:r w:rsidRPr="00E9210E">
        <w:rPr>
          <w:rStyle w:val="Corpsdutexte885ptNonGraschelle100"/>
          <w:rFonts w:eastAsia="Courier New"/>
          <w:b w:val="0"/>
          <w:bCs w:val="0"/>
          <w:sz w:val="28"/>
        </w:rPr>
        <w:t>vol. 3 (1921), pp. 69-72.</w:t>
      </w:r>
    </w:p>
    <w:p w14:paraId="676E4B48" w14:textId="77777777" w:rsidR="00B9662D" w:rsidRPr="00E9210E" w:rsidRDefault="00B9662D" w:rsidP="00B9662D">
      <w:pPr>
        <w:spacing w:before="120" w:after="120"/>
        <w:jc w:val="both"/>
      </w:pPr>
      <w:r w:rsidRPr="00E9210E">
        <w:t>Note :</w:t>
      </w:r>
      <w:r w:rsidRPr="00E9210E">
        <w:rPr>
          <w:rStyle w:val="Corpsdutexte28ptGrasEspacement1ptchelle120"/>
          <w:rFonts w:eastAsia="Courier New"/>
          <w:sz w:val="28"/>
        </w:rPr>
        <w:t xml:space="preserve"> </w:t>
      </w:r>
      <w:r w:rsidRPr="00E9210E">
        <w:t>Grande-Bretagne (à propos de la création de l’</w:t>
      </w:r>
      <w:r w:rsidRPr="00E9210E">
        <w:rPr>
          <w:rStyle w:val="Corpsdutexte28ptItalique"/>
          <w:rFonts w:eastAsia="Courier New"/>
          <w:sz w:val="28"/>
        </w:rPr>
        <w:t xml:space="preserve">Institute of historical Research), </w:t>
      </w:r>
      <w:r w:rsidRPr="00E9210E">
        <w:t>« Revue historique », t. 138 (1921), pp. 156-158.</w:t>
      </w:r>
    </w:p>
    <w:p w14:paraId="0D4AE998"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Fr. </w:t>
      </w:r>
      <w:r w:rsidRPr="00E9210E">
        <w:rPr>
          <w:rStyle w:val="Corpsdutexte37ptGrasNonItalique"/>
          <w:rFonts w:eastAsia="Courier New"/>
          <w:b w:val="0"/>
          <w:i w:val="0"/>
          <w:iCs w:val="0"/>
          <w:smallCaps/>
          <w:sz w:val="28"/>
        </w:rPr>
        <w:t>Kern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Gottesgnadentum und Widerstandsrecht im früh</w:t>
      </w:r>
      <w:r w:rsidRPr="00E9210E">
        <w:rPr>
          <w:i/>
        </w:rPr>
        <w:t>e</w:t>
      </w:r>
      <w:r w:rsidRPr="00E9210E">
        <w:rPr>
          <w:i/>
        </w:rPr>
        <w:t>rem Mittelalter. Zur Entwicklungsgeschichte der Monarchie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Leipzig, 1914, </w:t>
      </w:r>
      <w:r w:rsidRPr="00E9210E">
        <w:rPr>
          <w:rStyle w:val="Corpsdutexte3GrasNonItaliqueEspacement1ptchelle120"/>
          <w:rFonts w:eastAsia="Courier New"/>
          <w:i w:val="0"/>
          <w:iCs w:val="0"/>
          <w:sz w:val="28"/>
        </w:rPr>
        <w:t>« </w:t>
      </w:r>
      <w:r w:rsidRPr="00E9210E">
        <w:rPr>
          <w:rStyle w:val="Corpsdutexte385ptNonItalique"/>
          <w:rFonts w:eastAsia="Courier New"/>
          <w:i w:val="0"/>
          <w:iCs w:val="0"/>
          <w:sz w:val="28"/>
        </w:rPr>
        <w:t>Revue historique », t. 138 (1921), pp. 247-253.</w:t>
      </w:r>
    </w:p>
    <w:p w14:paraId="0DF016EE" w14:textId="77777777" w:rsidR="00B9662D" w:rsidRPr="00E9210E" w:rsidRDefault="00B9662D" w:rsidP="00B9662D">
      <w:pPr>
        <w:spacing w:before="120" w:after="120"/>
        <w:jc w:val="both"/>
      </w:pPr>
    </w:p>
    <w:p w14:paraId="4EAC7077" w14:textId="77777777" w:rsidR="00B9662D" w:rsidRPr="00E9210E" w:rsidRDefault="00B9662D" w:rsidP="00B9662D">
      <w:pPr>
        <w:spacing w:before="120" w:after="120"/>
        <w:jc w:val="center"/>
        <w:rPr>
          <w:b/>
        </w:rPr>
      </w:pPr>
      <w:r w:rsidRPr="00E9210E">
        <w:rPr>
          <w:b/>
        </w:rPr>
        <w:t>1922</w:t>
      </w:r>
    </w:p>
    <w:p w14:paraId="4863746D" w14:textId="77777777" w:rsidR="00B9662D" w:rsidRPr="00E9210E" w:rsidRDefault="00B9662D" w:rsidP="00B9662D">
      <w:pPr>
        <w:spacing w:before="120" w:after="120"/>
        <w:jc w:val="both"/>
      </w:pPr>
    </w:p>
    <w:p w14:paraId="2A76425B" w14:textId="77777777" w:rsidR="00B9662D" w:rsidRPr="00E9210E" w:rsidRDefault="00B9662D" w:rsidP="00B9662D">
      <w:pPr>
        <w:spacing w:before="120" w:after="120"/>
        <w:jc w:val="both"/>
      </w:pPr>
      <w:r w:rsidRPr="00E9210E">
        <w:t>« </w:t>
      </w:r>
      <w:r w:rsidRPr="00E9210E">
        <w:rPr>
          <w:b/>
        </w:rPr>
        <w:t>Une nouvelle histoire universelle : H. G. Wells, historien </w:t>
      </w:r>
      <w:r w:rsidRPr="00E9210E">
        <w:t xml:space="preserve">», </w:t>
      </w:r>
      <w:r w:rsidRPr="00E9210E">
        <w:rPr>
          <w:rStyle w:val="Corpsdutexte8NonGrasItaliquechelle100"/>
          <w:rFonts w:eastAsia="Courier New"/>
          <w:b w:val="0"/>
          <w:bCs w:val="0"/>
          <w:sz w:val="28"/>
        </w:rPr>
        <w:t xml:space="preserve">La Revue de Paris, </w:t>
      </w:r>
      <w:r w:rsidRPr="00E9210E">
        <w:rPr>
          <w:rStyle w:val="Corpsdutexte885ptNonGraschelle100"/>
          <w:rFonts w:eastAsia="Courier New"/>
          <w:b w:val="0"/>
          <w:bCs w:val="0"/>
          <w:sz w:val="28"/>
        </w:rPr>
        <w:t>t. II (1922), pp. 860-874.</w:t>
      </w:r>
    </w:p>
    <w:p w14:paraId="15DC5ED9" w14:textId="77777777" w:rsidR="00B9662D" w:rsidRPr="00E9210E" w:rsidRDefault="00B9662D" w:rsidP="00B9662D">
      <w:pPr>
        <w:spacing w:before="120" w:after="120"/>
        <w:jc w:val="both"/>
      </w:pPr>
    </w:p>
    <w:p w14:paraId="422F70BE" w14:textId="77777777" w:rsidR="00B9662D" w:rsidRPr="00E9210E" w:rsidRDefault="00B9662D" w:rsidP="00B9662D">
      <w:pPr>
        <w:spacing w:before="120" w:after="120"/>
        <w:jc w:val="center"/>
        <w:rPr>
          <w:b/>
        </w:rPr>
      </w:pPr>
      <w:r w:rsidRPr="00E9210E">
        <w:rPr>
          <w:b/>
        </w:rPr>
        <w:t>1923</w:t>
      </w:r>
    </w:p>
    <w:p w14:paraId="3104EE8F" w14:textId="77777777" w:rsidR="00B9662D" w:rsidRPr="00E9210E" w:rsidRDefault="00B9662D" w:rsidP="00B9662D">
      <w:pPr>
        <w:spacing w:before="120" w:after="120"/>
        <w:jc w:val="both"/>
      </w:pPr>
    </w:p>
    <w:p w14:paraId="2540AD02" w14:textId="77777777" w:rsidR="00B9662D" w:rsidRPr="00E9210E" w:rsidRDefault="00B9662D" w:rsidP="00B9662D">
      <w:pPr>
        <w:spacing w:before="120" w:after="120"/>
        <w:jc w:val="both"/>
      </w:pPr>
      <w:r w:rsidRPr="00E9210E">
        <w:t>« </w:t>
      </w:r>
      <w:r w:rsidRPr="00E9210E">
        <w:rPr>
          <w:b/>
        </w:rPr>
        <w:t>La vie de saint Édouard le Confesseur, par Osbert de Clare avec Introduction sur Osbert de Clare et les premières vies de saint Édouard </w:t>
      </w:r>
      <w:r w:rsidRPr="00E9210E">
        <w:t>»</w:t>
      </w:r>
      <w:r w:rsidRPr="00E9210E">
        <w:rPr>
          <w:rFonts w:eastAsia="Courier New"/>
        </w:rPr>
        <w:t xml:space="preserve">, </w:t>
      </w:r>
      <w:r w:rsidRPr="00E9210E">
        <w:rPr>
          <w:rStyle w:val="Corpsdutexte8NonGrasItaliquechelle100"/>
          <w:rFonts w:eastAsia="Courier New"/>
          <w:b w:val="0"/>
          <w:bCs w:val="0"/>
          <w:sz w:val="28"/>
        </w:rPr>
        <w:t>Analecta Bollandiana,</w:t>
      </w:r>
      <w:r w:rsidRPr="00E9210E">
        <w:rPr>
          <w:rFonts w:eastAsia="Courier New"/>
        </w:rPr>
        <w:t xml:space="preserve"> </w:t>
      </w:r>
      <w:r w:rsidRPr="00E9210E">
        <w:rPr>
          <w:rStyle w:val="Corpsdutexte885ptNonGraschelle100"/>
          <w:rFonts w:eastAsia="Courier New"/>
          <w:b w:val="0"/>
          <w:bCs w:val="0"/>
          <w:sz w:val="28"/>
        </w:rPr>
        <w:t>t. 41 (1923), pp. 5-131.</w:t>
      </w:r>
    </w:p>
    <w:p w14:paraId="3D39DD06" w14:textId="77777777" w:rsidR="00B9662D" w:rsidRPr="00E9210E" w:rsidRDefault="00B9662D" w:rsidP="00B9662D">
      <w:pPr>
        <w:spacing w:before="120" w:after="120"/>
        <w:jc w:val="both"/>
      </w:pPr>
      <w:r w:rsidRPr="00E9210E">
        <w:t>« </w:t>
      </w:r>
      <w:r w:rsidRPr="00E9210E">
        <w:rPr>
          <w:b/>
        </w:rPr>
        <w:t xml:space="preserve">L’origine et la date du capitulaire </w:t>
      </w:r>
      <w:r w:rsidRPr="00E9210E">
        <w:rPr>
          <w:rStyle w:val="Corpsdutexte885ptNonGrasItaliquechelle100"/>
          <w:rFonts w:eastAsia="Courier New"/>
          <w:bCs w:val="0"/>
          <w:sz w:val="28"/>
        </w:rPr>
        <w:t>de Villis</w:t>
      </w:r>
      <w:r w:rsidRPr="00E9210E">
        <w:t xml:space="preserve"> », </w:t>
      </w:r>
      <w:r w:rsidRPr="00E9210E">
        <w:rPr>
          <w:rStyle w:val="Corpsdutexte8NonGrasItaliquechelle100"/>
          <w:rFonts w:eastAsia="Courier New"/>
          <w:b w:val="0"/>
          <w:bCs w:val="0"/>
          <w:sz w:val="28"/>
        </w:rPr>
        <w:t>Revue historique,</w:t>
      </w:r>
      <w:r w:rsidRPr="00E9210E">
        <w:rPr>
          <w:rFonts w:eastAsia="Courier New"/>
        </w:rPr>
        <w:t xml:space="preserve"> </w:t>
      </w:r>
      <w:r w:rsidRPr="00E9210E">
        <w:rPr>
          <w:rStyle w:val="Corpsdutexte885ptNonGraschelle100"/>
          <w:rFonts w:eastAsia="Courier New"/>
          <w:b w:val="0"/>
          <w:bCs w:val="0"/>
          <w:sz w:val="28"/>
        </w:rPr>
        <w:t>t. 143 (1923), pp. 40-56.</w:t>
      </w:r>
    </w:p>
    <w:p w14:paraId="6FE10AF7" w14:textId="77777777" w:rsidR="00B9662D" w:rsidRPr="00E9210E" w:rsidRDefault="00B9662D" w:rsidP="00B9662D">
      <w:pPr>
        <w:spacing w:before="120" w:after="120"/>
        <w:jc w:val="both"/>
      </w:pPr>
      <w:r>
        <w:br w:type="page"/>
      </w:r>
    </w:p>
    <w:p w14:paraId="276E9321" w14:textId="77777777" w:rsidR="00B9662D" w:rsidRPr="00E9210E" w:rsidRDefault="00B9662D" w:rsidP="00B9662D">
      <w:pPr>
        <w:spacing w:before="120" w:after="120"/>
        <w:jc w:val="center"/>
        <w:rPr>
          <w:b/>
        </w:rPr>
      </w:pPr>
      <w:r w:rsidRPr="00E9210E">
        <w:rPr>
          <w:b/>
        </w:rPr>
        <w:t>1924</w:t>
      </w:r>
    </w:p>
    <w:p w14:paraId="580F13F5" w14:textId="77777777" w:rsidR="00B9662D" w:rsidRPr="00E9210E" w:rsidRDefault="00B9662D" w:rsidP="00B9662D">
      <w:pPr>
        <w:spacing w:before="120" w:after="120"/>
        <w:jc w:val="both"/>
      </w:pPr>
    </w:p>
    <w:p w14:paraId="557D75F8" w14:textId="77777777" w:rsidR="00B9662D" w:rsidRPr="00E9210E" w:rsidRDefault="00B9662D" w:rsidP="00B9662D">
      <w:pPr>
        <w:spacing w:before="120" w:after="120"/>
        <w:jc w:val="both"/>
      </w:pPr>
      <w:r w:rsidRPr="00E9210E">
        <w:rPr>
          <w:rStyle w:val="Corpsdutexte28ptGraschelle120"/>
          <w:rFonts w:eastAsia="Courier New"/>
          <w:sz w:val="28"/>
        </w:rPr>
        <w:t>Les rois thaumaturges. Étude sur le caractère surn</w:t>
      </w:r>
      <w:r w:rsidRPr="00E9210E">
        <w:rPr>
          <w:rStyle w:val="Corpsdutexte28ptGraschelle120"/>
          <w:rFonts w:eastAsia="Courier New"/>
          <w:sz w:val="28"/>
        </w:rPr>
        <w:t>a</w:t>
      </w:r>
      <w:r w:rsidRPr="00E9210E">
        <w:rPr>
          <w:rStyle w:val="Corpsdutexte28ptGraschelle120"/>
          <w:rFonts w:eastAsia="Courier New"/>
          <w:sz w:val="28"/>
        </w:rPr>
        <w:t>turel attribué à la puissance royale, pa</w:t>
      </w:r>
      <w:r w:rsidRPr="00E9210E">
        <w:rPr>
          <w:rStyle w:val="Corpsdutexte28ptGraschelle120"/>
          <w:rFonts w:eastAsia="Courier New"/>
          <w:sz w:val="28"/>
        </w:rPr>
        <w:t>r</w:t>
      </w:r>
      <w:r w:rsidRPr="00E9210E">
        <w:rPr>
          <w:rStyle w:val="Corpsdutexte28ptGraschelle120"/>
          <w:rFonts w:eastAsia="Courier New"/>
          <w:sz w:val="28"/>
        </w:rPr>
        <w:t xml:space="preserve">ticulièrement en France et en Angleterre, </w:t>
      </w:r>
      <w:r w:rsidRPr="00E9210E">
        <w:t>Strasbourg, 1924, in-8°, 542 p., 4 pl. (Publ. de la Fac. des lettres de l’Université de Strasbourg, fasc. 19). Rééd. Paris, Colin, 1961.</w:t>
      </w:r>
    </w:p>
    <w:p w14:paraId="49238E60" w14:textId="77777777" w:rsidR="00B9662D" w:rsidRPr="00E9210E" w:rsidRDefault="00B9662D" w:rsidP="00B9662D">
      <w:pPr>
        <w:spacing w:before="120" w:after="120"/>
        <w:jc w:val="both"/>
      </w:pPr>
      <w:r w:rsidRPr="00E9210E">
        <w:t>« </w:t>
      </w:r>
      <w:r w:rsidRPr="00E9210E">
        <w:rPr>
          <w:b/>
        </w:rPr>
        <w:t>Les vicissitudes d’une statue équestre : Philippe de Valois, Constantin ou Marc-Aurèle </w:t>
      </w:r>
      <w:r w:rsidRPr="00E9210E">
        <w:t xml:space="preserve">», </w:t>
      </w:r>
      <w:r w:rsidRPr="00E9210E">
        <w:rPr>
          <w:rStyle w:val="Corpsdutexte8NonGrasItaliquechelle100"/>
          <w:rFonts w:eastAsia="Courier New"/>
          <w:b w:val="0"/>
          <w:bCs w:val="0"/>
          <w:sz w:val="28"/>
        </w:rPr>
        <w:t>Revue archéologique,</w:t>
      </w:r>
      <w:r w:rsidRPr="00E9210E">
        <w:rPr>
          <w:rFonts w:eastAsia="Courier New"/>
        </w:rPr>
        <w:t xml:space="preserve"> </w:t>
      </w:r>
      <w:r w:rsidRPr="00E9210E">
        <w:rPr>
          <w:rStyle w:val="Corpsdutexte885ptNonGraschelle100"/>
          <w:rFonts w:eastAsia="Courier New"/>
          <w:b w:val="0"/>
          <w:bCs w:val="0"/>
          <w:sz w:val="28"/>
        </w:rPr>
        <w:t>t. XIX (1924), pp. 132-136.</w:t>
      </w:r>
    </w:p>
    <w:p w14:paraId="7419C63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Lucien </w:t>
      </w:r>
      <w:r w:rsidRPr="00E9210E">
        <w:rPr>
          <w:rStyle w:val="Corpsdutexte37ptGrasNonItalique"/>
          <w:rFonts w:eastAsia="Courier New"/>
          <w:b w:val="0"/>
          <w:i w:val="0"/>
          <w:iCs w:val="0"/>
          <w:smallCaps/>
          <w:sz w:val="28"/>
        </w:rPr>
        <w:t>Febvre</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avec le concours de Lionel </w:t>
      </w:r>
      <w:r w:rsidRPr="00E9210E">
        <w:rPr>
          <w:rStyle w:val="Corpsdutexte37ptGrasNonItalique"/>
          <w:rFonts w:eastAsia="Courier New"/>
          <w:b w:val="0"/>
          <w:i w:val="0"/>
          <w:iCs w:val="0"/>
          <w:smallCaps/>
          <w:sz w:val="28"/>
        </w:rPr>
        <w:t>B</w:t>
      </w:r>
      <w:r w:rsidRPr="00E9210E">
        <w:rPr>
          <w:rStyle w:val="Corpsdutexte37ptGrasNonItalique"/>
          <w:rFonts w:eastAsia="Courier New"/>
          <w:b w:val="0"/>
          <w:i w:val="0"/>
          <w:iCs w:val="0"/>
          <w:smallCaps/>
          <w:sz w:val="28"/>
        </w:rPr>
        <w:t>a</w:t>
      </w:r>
      <w:r w:rsidRPr="00E9210E">
        <w:rPr>
          <w:rStyle w:val="Corpsdutexte37ptGrasNonItalique"/>
          <w:rFonts w:eastAsia="Courier New"/>
          <w:b w:val="0"/>
          <w:i w:val="0"/>
          <w:iCs w:val="0"/>
          <w:smallCaps/>
          <w:sz w:val="28"/>
        </w:rPr>
        <w:t>taillon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terre et l’évolution humaine. Introduction géographique à l’histoire,</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Paris, 1922, dans </w:t>
      </w:r>
      <w:r w:rsidRPr="00E9210E">
        <w:rPr>
          <w:i/>
        </w:rPr>
        <w:t>Bibl. de synthèse historique. L’Évolution de l’humanité</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Revue historique », t. 145 (1924), pp. 235-240.</w:t>
      </w:r>
    </w:p>
    <w:p w14:paraId="1BD57DC1" w14:textId="77777777" w:rsidR="00B9662D" w:rsidRPr="00E9210E" w:rsidRDefault="00B9662D" w:rsidP="00B9662D">
      <w:pPr>
        <w:spacing w:before="120" w:after="120"/>
        <w:jc w:val="both"/>
      </w:pPr>
      <w:r w:rsidRPr="00E9210E">
        <w:t>[1035]</w:t>
      </w:r>
    </w:p>
    <w:p w14:paraId="684605E4" w14:textId="77777777" w:rsidR="00B9662D" w:rsidRPr="00E9210E" w:rsidRDefault="00B9662D" w:rsidP="00B9662D">
      <w:pPr>
        <w:spacing w:before="120" w:after="120"/>
        <w:jc w:val="both"/>
      </w:pPr>
    </w:p>
    <w:p w14:paraId="615CDF2E" w14:textId="77777777" w:rsidR="00B9662D" w:rsidRPr="00E9210E" w:rsidRDefault="00B9662D" w:rsidP="00B9662D">
      <w:pPr>
        <w:spacing w:before="120" w:after="120"/>
        <w:jc w:val="center"/>
        <w:rPr>
          <w:b/>
        </w:rPr>
      </w:pPr>
      <w:r w:rsidRPr="00E9210E">
        <w:rPr>
          <w:b/>
        </w:rPr>
        <w:t>1925</w:t>
      </w:r>
    </w:p>
    <w:p w14:paraId="42EAE25E" w14:textId="77777777" w:rsidR="00B9662D" w:rsidRPr="00E9210E" w:rsidRDefault="00B9662D" w:rsidP="00B9662D">
      <w:pPr>
        <w:spacing w:before="120" w:after="120"/>
        <w:jc w:val="both"/>
      </w:pPr>
    </w:p>
    <w:p w14:paraId="47FB1740" w14:textId="77777777" w:rsidR="00B9662D" w:rsidRPr="00E9210E" w:rsidRDefault="00B9662D" w:rsidP="00B9662D">
      <w:pPr>
        <w:spacing w:before="120" w:after="120"/>
        <w:jc w:val="both"/>
      </w:pPr>
      <w:r w:rsidRPr="00E9210E">
        <w:t>« </w:t>
      </w:r>
      <w:r w:rsidRPr="00E9210E">
        <w:rPr>
          <w:b/>
        </w:rPr>
        <w:t>Les transformations du servage : à propos de deux doc</w:t>
      </w:r>
      <w:r w:rsidRPr="00E9210E">
        <w:rPr>
          <w:b/>
        </w:rPr>
        <w:t>u</w:t>
      </w:r>
      <w:r w:rsidRPr="00E9210E">
        <w:rPr>
          <w:b/>
        </w:rPr>
        <w:t>ments du XIII</w:t>
      </w:r>
      <w:r w:rsidRPr="00E9210E">
        <w:rPr>
          <w:b/>
          <w:vertAlign w:val="superscript"/>
        </w:rPr>
        <w:t>e</w:t>
      </w:r>
      <w:r w:rsidRPr="00E9210E">
        <w:rPr>
          <w:b/>
        </w:rPr>
        <w:t xml:space="preserve"> siècle relatifs à la région parisienne </w:t>
      </w:r>
      <w:r w:rsidRPr="00E9210E">
        <w:t>»</w:t>
      </w:r>
      <w:r w:rsidRPr="00E9210E">
        <w:rPr>
          <w:rFonts w:eastAsia="Courier New"/>
        </w:rPr>
        <w:t xml:space="preserve">, </w:t>
      </w:r>
      <w:r w:rsidRPr="00E9210E">
        <w:rPr>
          <w:rStyle w:val="Corpsdutexte8NonGrasItaliquechelle100"/>
          <w:rFonts w:eastAsia="Courier New"/>
          <w:b w:val="0"/>
          <w:bCs w:val="0"/>
          <w:sz w:val="28"/>
        </w:rPr>
        <w:t>Mélanges d'histoire du Moyen Âge offerts à Ferdinand Lot</w:t>
      </w:r>
      <w:r w:rsidRPr="00E9210E">
        <w:rPr>
          <w:rStyle w:val="Corpsdutexte885ptNonGraschelle100"/>
          <w:rFonts w:eastAsia="Courier New"/>
          <w:b w:val="0"/>
          <w:bCs w:val="0"/>
          <w:sz w:val="28"/>
        </w:rPr>
        <w:t>, Paris, 1925, pp. 55-74.</w:t>
      </w:r>
    </w:p>
    <w:p w14:paraId="06B7C9B2" w14:textId="77777777" w:rsidR="00B9662D" w:rsidRPr="00E9210E" w:rsidRDefault="00B9662D" w:rsidP="00B9662D">
      <w:pPr>
        <w:spacing w:before="120" w:after="120"/>
        <w:jc w:val="both"/>
      </w:pPr>
      <w:r w:rsidRPr="00E9210E">
        <w:rPr>
          <w:rStyle w:val="Corpsdutexte385ptNonItalique"/>
          <w:rFonts w:eastAsia="Courier New"/>
          <w:i w:val="0"/>
          <w:iCs w:val="0"/>
          <w:sz w:val="28"/>
        </w:rPr>
        <w:t>« </w:t>
      </w:r>
      <w:r w:rsidRPr="00E9210E">
        <w:rPr>
          <w:rStyle w:val="Corpsdutexte3GrasNonItaliquechelle120"/>
          <w:rFonts w:eastAsia="Courier New"/>
          <w:i w:val="0"/>
          <w:iCs w:val="0"/>
          <w:sz w:val="28"/>
        </w:rPr>
        <w:t>La vie d’outre-tombe du roi Salomon »</w:t>
      </w:r>
      <w:r w:rsidRPr="00E9210E">
        <w:rPr>
          <w:rStyle w:val="Corpsdutexte385ptNonItalique"/>
          <w:rFonts w:eastAsia="Courier New"/>
          <w:i w:val="0"/>
          <w:iCs w:val="0"/>
          <w:sz w:val="28"/>
        </w:rPr>
        <w:t xml:space="preserve">, </w:t>
      </w:r>
      <w:r w:rsidRPr="00E9210E">
        <w:rPr>
          <w:i/>
        </w:rPr>
        <w:t>Revue belge de philologie et d'histoire</w:t>
      </w:r>
      <w:r w:rsidRPr="00E9210E">
        <w:rPr>
          <w:rStyle w:val="Corpsdutexte385ptNonItalique"/>
          <w:rFonts w:eastAsia="Courier New"/>
          <w:i w:val="0"/>
          <w:iCs w:val="0"/>
          <w:sz w:val="28"/>
        </w:rPr>
        <w:t>, t. 4 (1925), pp. 349-377.</w:t>
      </w:r>
    </w:p>
    <w:p w14:paraId="53C1642A" w14:textId="77777777" w:rsidR="00B9662D" w:rsidRPr="00E9210E" w:rsidRDefault="00B9662D" w:rsidP="00B9662D">
      <w:pPr>
        <w:spacing w:before="120" w:after="120"/>
        <w:jc w:val="both"/>
      </w:pPr>
      <w:r w:rsidRPr="00E9210E">
        <w:t xml:space="preserve">Mémoire collective, tradition et coutume à propos d’un livre récent (Compte rendu : M. </w:t>
      </w:r>
      <w:r w:rsidRPr="00E9210E">
        <w:rPr>
          <w:rStyle w:val="Corpsdutexte27ptGras"/>
          <w:rFonts w:eastAsia="Courier New"/>
          <w:b w:val="0"/>
          <w:smallCaps/>
          <w:sz w:val="28"/>
        </w:rPr>
        <w:t>Halbwachs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cadres sociaux de la mémoire</w:t>
      </w:r>
      <w:r w:rsidRPr="00E9210E">
        <w:t>, Paris, 1925), « Rev. synt. hist. », t. 40 (1925), pp. 73-83.</w:t>
      </w:r>
    </w:p>
    <w:p w14:paraId="3D2C896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À propos d’un manuel scolaire. (Compte-rendu : E. </w:t>
      </w:r>
      <w:r w:rsidRPr="00E9210E">
        <w:rPr>
          <w:rStyle w:val="Corpsdutexte37ptGrasNonItalique"/>
          <w:rFonts w:eastAsia="Courier New"/>
          <w:b w:val="0"/>
          <w:i w:val="0"/>
          <w:iCs w:val="0"/>
          <w:smallCaps/>
          <w:sz w:val="28"/>
        </w:rPr>
        <w:t>Sieurin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w:t>
      </w:r>
      <w:r w:rsidRPr="00E9210E">
        <w:rPr>
          <w:i/>
        </w:rPr>
        <w:t>s</w:t>
      </w:r>
      <w:r w:rsidRPr="00E9210E">
        <w:rPr>
          <w:i/>
        </w:rPr>
        <w:t>toire de l'Europe et de la France depuis la fin du V</w:t>
      </w:r>
      <w:r w:rsidRPr="00E9210E">
        <w:rPr>
          <w:i/>
          <w:vertAlign w:val="superscript"/>
        </w:rPr>
        <w:t>e</w:t>
      </w:r>
      <w:r w:rsidRPr="00E9210E">
        <w:rPr>
          <w:i/>
        </w:rPr>
        <w:t xml:space="preserve"> siècle jusqu'à la guerre de 100 ans</w:t>
      </w:r>
      <w:r w:rsidRPr="00E9210E">
        <w:rPr>
          <w:rStyle w:val="Corpsdutexte385ptNonItalique"/>
          <w:rFonts w:eastAsia="Courier New"/>
          <w:i w:val="0"/>
          <w:iCs w:val="0"/>
          <w:sz w:val="28"/>
        </w:rPr>
        <w:t>, 5</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éd. P</w:t>
      </w:r>
      <w:r w:rsidRPr="00E9210E">
        <w:rPr>
          <w:rStyle w:val="Corpsdutexte385ptNonItalique"/>
          <w:rFonts w:eastAsia="Courier New"/>
          <w:i w:val="0"/>
          <w:iCs w:val="0"/>
          <w:sz w:val="28"/>
        </w:rPr>
        <w:t>a</w:t>
      </w:r>
      <w:r w:rsidRPr="00E9210E">
        <w:rPr>
          <w:rStyle w:val="Corpsdutexte385ptNonItalique"/>
          <w:rFonts w:eastAsia="Courier New"/>
          <w:i w:val="0"/>
          <w:iCs w:val="0"/>
          <w:sz w:val="28"/>
        </w:rPr>
        <w:t>ris,</w:t>
      </w:r>
      <w:r>
        <w:rPr>
          <w:rStyle w:val="Corpsdutexte385ptNonItalique"/>
          <w:rFonts w:eastAsia="Courier New"/>
          <w:i w:val="0"/>
          <w:iCs w:val="0"/>
          <w:sz w:val="28"/>
        </w:rPr>
        <w:t xml:space="preserve"> </w:t>
      </w:r>
      <w:r w:rsidRPr="00E9210E">
        <w:rPr>
          <w:rStyle w:val="Corpsdutexte385ptNonItalique"/>
          <w:rFonts w:eastAsia="Courier New"/>
          <w:i w:val="0"/>
          <w:iCs w:val="0"/>
          <w:sz w:val="28"/>
        </w:rPr>
        <w:t>1925)</w:t>
      </w:r>
      <w:r w:rsidRPr="00E9210E">
        <w:t>, « </w:t>
      </w:r>
      <w:r w:rsidRPr="007E3D8D">
        <w:rPr>
          <w:i/>
        </w:rPr>
        <w:t>Rev. synt. hist</w:t>
      </w:r>
      <w:r w:rsidRPr="00E9210E">
        <w:t>. », t. 40 (1925), pp. 188-189.</w:t>
      </w:r>
    </w:p>
    <w:p w14:paraId="70A1298F" w14:textId="77777777" w:rsidR="00B9662D" w:rsidRPr="00E9210E" w:rsidRDefault="00B9662D" w:rsidP="00B9662D">
      <w:pPr>
        <w:spacing w:before="120" w:after="120"/>
        <w:jc w:val="both"/>
      </w:pPr>
    </w:p>
    <w:p w14:paraId="71C442AA" w14:textId="77777777" w:rsidR="00B9662D" w:rsidRPr="00E9210E" w:rsidRDefault="00B9662D" w:rsidP="00B9662D">
      <w:pPr>
        <w:spacing w:before="120" w:after="120"/>
        <w:jc w:val="center"/>
        <w:rPr>
          <w:b/>
        </w:rPr>
      </w:pPr>
      <w:r w:rsidRPr="00E9210E">
        <w:rPr>
          <w:b/>
        </w:rPr>
        <w:t>1925-1926</w:t>
      </w:r>
    </w:p>
    <w:p w14:paraId="113E6D5F" w14:textId="77777777" w:rsidR="00B9662D" w:rsidRPr="00E9210E" w:rsidRDefault="00B9662D" w:rsidP="00B9662D">
      <w:pPr>
        <w:spacing w:before="120" w:after="120"/>
        <w:jc w:val="both"/>
      </w:pPr>
    </w:p>
    <w:p w14:paraId="22F6817F" w14:textId="77777777" w:rsidR="00B9662D" w:rsidRPr="00E9210E" w:rsidRDefault="00B9662D" w:rsidP="00B9662D">
      <w:pPr>
        <w:spacing w:before="120" w:after="120"/>
        <w:jc w:val="both"/>
      </w:pPr>
      <w:r w:rsidRPr="00E9210E">
        <w:t>« </w:t>
      </w:r>
      <w:r w:rsidRPr="00E9210E">
        <w:rPr>
          <w:b/>
        </w:rPr>
        <w:t>An unknown testimony on the history of coronation in Sc</w:t>
      </w:r>
      <w:r w:rsidRPr="00E9210E">
        <w:rPr>
          <w:b/>
        </w:rPr>
        <w:t>o</w:t>
      </w:r>
      <w:r w:rsidRPr="00E9210E">
        <w:rPr>
          <w:b/>
        </w:rPr>
        <w:t>tland </w:t>
      </w:r>
      <w:r w:rsidRPr="00E9210E">
        <w:t>»</w:t>
      </w:r>
      <w:r w:rsidRPr="00E9210E">
        <w:rPr>
          <w:rFonts w:eastAsia="Courier New"/>
        </w:rPr>
        <w:t xml:space="preserve">, </w:t>
      </w:r>
      <w:r w:rsidRPr="00E9210E">
        <w:rPr>
          <w:rStyle w:val="Corpsdutexte8NonGrasItaliquechelle100"/>
          <w:rFonts w:eastAsia="Courier New"/>
          <w:b w:val="0"/>
          <w:bCs w:val="0"/>
          <w:sz w:val="28"/>
        </w:rPr>
        <w:t>Scottish historical Review</w:t>
      </w:r>
      <w:r w:rsidRPr="00E9210E">
        <w:rPr>
          <w:rStyle w:val="Corpsdutexte885ptNonGraschelle100"/>
          <w:rFonts w:eastAsia="Courier New"/>
          <w:b w:val="0"/>
          <w:bCs w:val="0"/>
          <w:sz w:val="28"/>
        </w:rPr>
        <w:t>, t. XXIII (1925-1926), pp. 105-106.</w:t>
      </w:r>
    </w:p>
    <w:p w14:paraId="65D2B083" w14:textId="77777777" w:rsidR="00B9662D" w:rsidRPr="00E9210E" w:rsidRDefault="00B9662D" w:rsidP="00B9662D">
      <w:pPr>
        <w:spacing w:before="120" w:after="120"/>
        <w:jc w:val="both"/>
      </w:pPr>
    </w:p>
    <w:p w14:paraId="5ECA8773" w14:textId="77777777" w:rsidR="00B9662D" w:rsidRPr="00E9210E" w:rsidRDefault="00B9662D" w:rsidP="00B9662D">
      <w:pPr>
        <w:spacing w:before="120" w:after="120"/>
        <w:jc w:val="center"/>
        <w:rPr>
          <w:b/>
        </w:rPr>
      </w:pPr>
      <w:r w:rsidRPr="00E9210E">
        <w:rPr>
          <w:b/>
        </w:rPr>
        <w:t>1926</w:t>
      </w:r>
    </w:p>
    <w:p w14:paraId="1ABB3C44" w14:textId="77777777" w:rsidR="00B9662D" w:rsidRPr="00E9210E" w:rsidRDefault="00B9662D" w:rsidP="00B9662D">
      <w:pPr>
        <w:spacing w:before="120" w:after="120"/>
        <w:jc w:val="both"/>
      </w:pPr>
    </w:p>
    <w:p w14:paraId="1C03CF5A" w14:textId="77777777" w:rsidR="00B9662D" w:rsidRPr="00E9210E" w:rsidRDefault="00B9662D" w:rsidP="00B9662D">
      <w:pPr>
        <w:spacing w:before="120" w:after="120"/>
        <w:jc w:val="both"/>
      </w:pPr>
      <w:r w:rsidRPr="00E9210E">
        <w:t>« </w:t>
      </w:r>
      <w:r w:rsidRPr="00E9210E">
        <w:rPr>
          <w:b/>
        </w:rPr>
        <w:t>Une source peu connue d’histoire et de géographie rurale : les observations sur le projet de code rural du Premier Empire </w:t>
      </w:r>
      <w:r w:rsidRPr="00E9210E">
        <w:t>»</w:t>
      </w:r>
      <w:r w:rsidRPr="00E9210E">
        <w:rPr>
          <w:rFonts w:eastAsia="Courier New"/>
        </w:rPr>
        <w:t xml:space="preserve">, </w:t>
      </w:r>
      <w:r w:rsidRPr="00E9210E">
        <w:rPr>
          <w:rStyle w:val="Corpsdutexte8NonGrasItaliquechelle100"/>
          <w:rFonts w:eastAsia="Courier New"/>
          <w:b w:val="0"/>
          <w:bCs w:val="0"/>
          <w:sz w:val="28"/>
        </w:rPr>
        <w:t>Annales de géographie</w:t>
      </w:r>
      <w:r w:rsidRPr="00E9210E">
        <w:rPr>
          <w:rFonts w:eastAsia="Courier New"/>
        </w:rPr>
        <w:t xml:space="preserve">, </w:t>
      </w:r>
      <w:r w:rsidRPr="00E9210E">
        <w:rPr>
          <w:rStyle w:val="Corpsdutexte885ptNonGraschelle100"/>
          <w:rFonts w:eastAsia="Courier New"/>
          <w:b w:val="0"/>
          <w:bCs w:val="0"/>
          <w:sz w:val="28"/>
        </w:rPr>
        <w:t>t. 35 (1926), pp. 458-460.</w:t>
      </w:r>
    </w:p>
    <w:p w14:paraId="59367095" w14:textId="77777777" w:rsidR="00B9662D" w:rsidRPr="00E9210E" w:rsidRDefault="00B9662D" w:rsidP="00B9662D">
      <w:pPr>
        <w:spacing w:before="120" w:after="120"/>
        <w:jc w:val="both"/>
      </w:pPr>
      <w:r w:rsidRPr="00E9210E">
        <w:t>« </w:t>
      </w:r>
      <w:r w:rsidRPr="00E9210E">
        <w:rPr>
          <w:b/>
        </w:rPr>
        <w:t>La organizacion de los Dominios reales Carolingios y las te</w:t>
      </w:r>
      <w:r w:rsidRPr="00E9210E">
        <w:rPr>
          <w:b/>
        </w:rPr>
        <w:t>o</w:t>
      </w:r>
      <w:r w:rsidRPr="00E9210E">
        <w:rPr>
          <w:b/>
        </w:rPr>
        <w:t>rias de Dopsch </w:t>
      </w:r>
      <w:r w:rsidRPr="00E9210E">
        <w:t xml:space="preserve">», </w:t>
      </w:r>
      <w:r w:rsidRPr="00E9210E">
        <w:rPr>
          <w:i/>
        </w:rPr>
        <w:t>Anuario de Historia del derecho español</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III (1926), pp. 89-119.</w:t>
      </w:r>
    </w:p>
    <w:p w14:paraId="1889E982" w14:textId="77777777" w:rsidR="00B9662D" w:rsidRPr="00E9210E" w:rsidRDefault="00B9662D" w:rsidP="00B9662D">
      <w:pPr>
        <w:spacing w:before="120" w:after="120"/>
        <w:jc w:val="both"/>
      </w:pPr>
      <w:r w:rsidRPr="00E9210E">
        <w:rPr>
          <w:rFonts w:eastAsia="Courier New"/>
        </w:rPr>
        <w:t>« </w:t>
      </w:r>
      <w:r w:rsidRPr="00E9210E">
        <w:rPr>
          <w:b/>
        </w:rPr>
        <w:t>Les édits sur les clôtures et les enquêtes agraires au XVIII</w:t>
      </w:r>
      <w:r w:rsidRPr="00E9210E">
        <w:rPr>
          <w:b/>
          <w:vertAlign w:val="superscript"/>
        </w:rPr>
        <w:t>e</w:t>
      </w:r>
      <w:r w:rsidRPr="00E9210E">
        <w:rPr>
          <w:b/>
        </w:rPr>
        <w:t> siècle</w:t>
      </w:r>
      <w:r w:rsidRPr="00E9210E">
        <w:t> »</w:t>
      </w:r>
      <w:r w:rsidRPr="00E9210E">
        <w:rPr>
          <w:rFonts w:eastAsia="Courier New"/>
        </w:rPr>
        <w:t xml:space="preserve">, </w:t>
      </w:r>
      <w:r w:rsidRPr="00E9210E">
        <w:rPr>
          <w:rStyle w:val="Corpsdutexte8NonGrasItaliquechelle100"/>
          <w:rFonts w:eastAsia="Courier New"/>
          <w:b w:val="0"/>
          <w:bCs w:val="0"/>
          <w:sz w:val="28"/>
        </w:rPr>
        <w:t>Bulletin de la Société d'histoire moderne</w:t>
      </w:r>
      <w:r w:rsidRPr="00E9210E">
        <w:rPr>
          <w:rStyle w:val="Corpsdutexte885ptNonGraschelle100"/>
          <w:rFonts w:eastAsia="Courier New"/>
          <w:b w:val="0"/>
          <w:bCs w:val="0"/>
          <w:sz w:val="28"/>
        </w:rPr>
        <w:t>, 1926 (ja</w:t>
      </w:r>
      <w:r w:rsidRPr="00E9210E">
        <w:rPr>
          <w:rStyle w:val="Corpsdutexte885ptNonGraschelle100"/>
          <w:rFonts w:eastAsia="Courier New"/>
          <w:b w:val="0"/>
          <w:bCs w:val="0"/>
          <w:sz w:val="28"/>
        </w:rPr>
        <w:t>n</w:t>
      </w:r>
      <w:r w:rsidRPr="00E9210E">
        <w:rPr>
          <w:rStyle w:val="Corpsdutexte885ptNonGraschelle100"/>
          <w:rFonts w:eastAsia="Courier New"/>
          <w:b w:val="0"/>
          <w:bCs w:val="0"/>
          <w:sz w:val="28"/>
        </w:rPr>
        <w:t>vier), pp. 213-216.</w:t>
      </w:r>
    </w:p>
    <w:p w14:paraId="7DCFF0D9"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La société du haut moyen âge et ses origines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Journal des Savants</w:t>
      </w:r>
      <w:r w:rsidRPr="00E9210E">
        <w:rPr>
          <w:rStyle w:val="Corpsdutexte885ptNonGraschelle100"/>
          <w:rFonts w:eastAsia="Courier New"/>
          <w:b w:val="0"/>
          <w:bCs w:val="0"/>
          <w:sz w:val="28"/>
        </w:rPr>
        <w:t>, 1926, pp. 403- 420.</w:t>
      </w:r>
    </w:p>
    <w:p w14:paraId="2D579FC2"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Collibertus ou Gulibertus »</w:t>
      </w:r>
      <w:r w:rsidRPr="00E9210E">
        <w:t xml:space="preserve">, </w:t>
      </w:r>
      <w:r w:rsidRPr="00E9210E">
        <w:rPr>
          <w:rStyle w:val="Corpsdutexte28ptItalique"/>
          <w:rFonts w:eastAsia="Courier New"/>
          <w:sz w:val="28"/>
        </w:rPr>
        <w:t>Revue de linguistique rom</w:t>
      </w:r>
      <w:r w:rsidRPr="00E9210E">
        <w:rPr>
          <w:rStyle w:val="Corpsdutexte28ptItalique"/>
          <w:rFonts w:eastAsia="Courier New"/>
          <w:sz w:val="28"/>
        </w:rPr>
        <w:t>a</w:t>
      </w:r>
      <w:r w:rsidRPr="00E9210E">
        <w:rPr>
          <w:rStyle w:val="Corpsdutexte28ptItalique"/>
          <w:rFonts w:eastAsia="Courier New"/>
          <w:sz w:val="28"/>
        </w:rPr>
        <w:t>ne</w:t>
      </w:r>
      <w:r w:rsidRPr="00E9210E">
        <w:t>, t. II (1926), pp. 16-24.</w:t>
      </w:r>
    </w:p>
    <w:p w14:paraId="159890BF"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Servus Glebae »</w:t>
      </w:r>
      <w:r w:rsidRPr="00E9210E">
        <w:t xml:space="preserve">, </w:t>
      </w:r>
      <w:r w:rsidRPr="00E9210E">
        <w:rPr>
          <w:rStyle w:val="Corpsdutexte28ptItalique"/>
          <w:rFonts w:eastAsia="Courier New"/>
          <w:sz w:val="28"/>
        </w:rPr>
        <w:t>Revue des Études anciennes</w:t>
      </w:r>
      <w:r w:rsidRPr="00E9210E">
        <w:t>, t. 28 (1926), pp. 352-358.</w:t>
      </w:r>
    </w:p>
    <w:p w14:paraId="18F5BCDE" w14:textId="77777777" w:rsidR="00B9662D" w:rsidRPr="00E9210E" w:rsidRDefault="00B9662D" w:rsidP="00B9662D">
      <w:pPr>
        <w:spacing w:before="120" w:after="120"/>
        <w:jc w:val="both"/>
      </w:pPr>
      <w:r w:rsidRPr="00E9210E">
        <w:t xml:space="preserve">Compte rendu : G. G. </w:t>
      </w:r>
      <w:r w:rsidRPr="00E9210E">
        <w:rPr>
          <w:rStyle w:val="Corpsdutexte27ptGras"/>
          <w:rFonts w:eastAsia="Courier New"/>
          <w:b w:val="0"/>
          <w:smallCaps/>
          <w:sz w:val="28"/>
        </w:rPr>
        <w:t>Coulton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medieval village</w:t>
      </w:r>
      <w:r w:rsidRPr="00E9210E">
        <w:t>, Cambridge, 1925, « R.C.H.L. », 1926, pp. 281-283.</w:t>
      </w:r>
    </w:p>
    <w:p w14:paraId="265B3D15" w14:textId="77777777" w:rsidR="00B9662D" w:rsidRPr="00E9210E" w:rsidRDefault="00B9662D" w:rsidP="00B9662D">
      <w:pPr>
        <w:spacing w:before="120" w:after="120"/>
        <w:jc w:val="both"/>
      </w:pPr>
      <w:r w:rsidRPr="00E9210E">
        <w:t xml:space="preserve">Compte rendu : R. H. </w:t>
      </w:r>
      <w:r w:rsidRPr="00E9210E">
        <w:rPr>
          <w:rStyle w:val="Corpsdutexte27ptGras"/>
          <w:rFonts w:eastAsia="Courier New"/>
          <w:b w:val="0"/>
          <w:smallCaps/>
          <w:sz w:val="28"/>
        </w:rPr>
        <w:t>Snape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English monastic finances in the l</w:t>
      </w:r>
      <w:r w:rsidRPr="00E9210E">
        <w:rPr>
          <w:rStyle w:val="Corpsdutexte28ptItalique"/>
          <w:rFonts w:eastAsia="Courier New"/>
          <w:sz w:val="28"/>
        </w:rPr>
        <w:t>a</w:t>
      </w:r>
      <w:r w:rsidRPr="00E9210E">
        <w:rPr>
          <w:rStyle w:val="Corpsdutexte28ptItalique"/>
          <w:rFonts w:eastAsia="Courier New"/>
          <w:sz w:val="28"/>
        </w:rPr>
        <w:t>ter Middle Ages</w:t>
      </w:r>
      <w:r w:rsidRPr="00E9210E">
        <w:t>, Cambri</w:t>
      </w:r>
      <w:r w:rsidRPr="00E9210E">
        <w:t>d</w:t>
      </w:r>
      <w:r w:rsidRPr="00E9210E">
        <w:t>ge, 1926, « R.C.H.L. », 1926, p. 400.</w:t>
      </w:r>
    </w:p>
    <w:p w14:paraId="15431D7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P. </w:t>
      </w:r>
      <w:r w:rsidRPr="00E9210E">
        <w:rPr>
          <w:rStyle w:val="Corpsdutexte37ptGrasNonItalique"/>
          <w:rFonts w:eastAsia="Courier New"/>
          <w:b w:val="0"/>
          <w:i w:val="0"/>
          <w:iCs w:val="0"/>
          <w:smallCaps/>
          <w:sz w:val="28"/>
        </w:rPr>
        <w:t>Raveau</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L'agriculture et les classes paysannes. La tran</w:t>
      </w:r>
      <w:r w:rsidRPr="00E9210E">
        <w:rPr>
          <w:i/>
        </w:rPr>
        <w:t>s</w:t>
      </w:r>
      <w:r w:rsidRPr="00E9210E">
        <w:rPr>
          <w:i/>
        </w:rPr>
        <w:t>formation de la propriété dans le Haut-Poitou au XVI</w:t>
      </w:r>
      <w:r w:rsidRPr="00E9210E">
        <w:rPr>
          <w:i/>
          <w:vertAlign w:val="superscript"/>
        </w:rPr>
        <w:t>e</w:t>
      </w:r>
      <w:r w:rsidRPr="00E9210E">
        <w:rPr>
          <w:i/>
        </w:rPr>
        <w:t xml:space="preserve"> siècle</w:t>
      </w:r>
      <w:r w:rsidRPr="00E9210E">
        <w:rPr>
          <w:rStyle w:val="Corpsdutexte385ptNonItalique"/>
          <w:rFonts w:eastAsia="Courier New"/>
          <w:i w:val="0"/>
          <w:iCs w:val="0"/>
          <w:sz w:val="28"/>
        </w:rPr>
        <w:t>, Paris, 1926, « R.C.H.L. », 1926, pp. 436-438.</w:t>
      </w:r>
    </w:p>
    <w:p w14:paraId="4ACDC847" w14:textId="77777777" w:rsidR="00B9662D" w:rsidRPr="00E9210E" w:rsidRDefault="00B9662D" w:rsidP="00B9662D">
      <w:pPr>
        <w:spacing w:before="120" w:after="120"/>
        <w:jc w:val="both"/>
      </w:pPr>
      <w:r w:rsidRPr="00E9210E">
        <w:t xml:space="preserve">Compte rendu : E. </w:t>
      </w:r>
      <w:r w:rsidRPr="00E9210E">
        <w:rPr>
          <w:rStyle w:val="Corpsdutexte27ptGras"/>
          <w:rFonts w:eastAsia="Courier New"/>
          <w:b w:val="0"/>
          <w:smallCaps/>
          <w:sz w:val="28"/>
        </w:rPr>
        <w:t>Tonnelat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chanson des Niebelungen</w:t>
      </w:r>
      <w:r w:rsidRPr="00E9210E">
        <w:t>, Publ. de la Fac. des Le</w:t>
      </w:r>
      <w:r w:rsidRPr="00E9210E">
        <w:t>t</w:t>
      </w:r>
      <w:r w:rsidRPr="00E9210E">
        <w:t>tres de Strasbourg, fasc. 30, « Revue historique », t. 151 (1926), pp. 256-259.</w:t>
      </w:r>
    </w:p>
    <w:p w14:paraId="53891D2A" w14:textId="77777777" w:rsidR="00B9662D" w:rsidRPr="00E9210E" w:rsidRDefault="00B9662D" w:rsidP="00B9662D">
      <w:pPr>
        <w:spacing w:before="120" w:after="120"/>
        <w:jc w:val="both"/>
      </w:pPr>
      <w:r w:rsidRPr="00E9210E">
        <w:t xml:space="preserve">Technique et évolution sociale à propos de l’histoire de l’attelage et de celle de l’esclavage, (Compte rendu : </w:t>
      </w:r>
      <w:r w:rsidRPr="00E9210E">
        <w:rPr>
          <w:rStyle w:val="Corpsdutexte27ptGras"/>
          <w:rFonts w:eastAsia="Courier New"/>
          <w:b w:val="0"/>
          <w:smallCaps/>
          <w:sz w:val="28"/>
        </w:rPr>
        <w:t>Lefebvre des Noëttes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Force motrice anim</w:t>
      </w:r>
      <w:r w:rsidRPr="00E9210E">
        <w:rPr>
          <w:rStyle w:val="Corpsdutexte28ptItalique"/>
          <w:rFonts w:eastAsia="Courier New"/>
          <w:sz w:val="28"/>
        </w:rPr>
        <w:t>a</w:t>
      </w:r>
      <w:r w:rsidRPr="00E9210E">
        <w:rPr>
          <w:rStyle w:val="Corpsdutexte28ptItalique"/>
          <w:rFonts w:eastAsia="Courier New"/>
          <w:sz w:val="28"/>
        </w:rPr>
        <w:t>le à travers les âges</w:t>
      </w:r>
      <w:r w:rsidRPr="00E9210E">
        <w:t>, Paris, 1924), « Rev. synt. hist. », t. 41 (1926), pp. 91-99.</w:t>
      </w:r>
    </w:p>
    <w:p w14:paraId="4E30B823" w14:textId="77777777" w:rsidR="00B9662D" w:rsidRPr="00E9210E" w:rsidRDefault="00B9662D" w:rsidP="00B9662D">
      <w:pPr>
        <w:spacing w:before="120" w:after="120"/>
        <w:jc w:val="both"/>
      </w:pPr>
      <w:r w:rsidRPr="00E9210E">
        <w:t xml:space="preserve">Compte rendu : J. K. </w:t>
      </w:r>
      <w:r w:rsidRPr="00E9210E">
        <w:rPr>
          <w:rStyle w:val="Corpsdutexte27ptGras"/>
          <w:rFonts w:eastAsia="Courier New"/>
          <w:b w:val="0"/>
          <w:smallCaps/>
          <w:sz w:val="28"/>
        </w:rPr>
        <w:t>Wright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geographical Lore of the Time of the Crusades</w:t>
      </w:r>
      <w:r w:rsidRPr="00E9210E">
        <w:t>, New York, 1925), « Rev. synt. hist. », t. 41 (1926), pp. 125-127.</w:t>
      </w:r>
    </w:p>
    <w:p w14:paraId="3E14F56D" w14:textId="77777777" w:rsidR="00B9662D" w:rsidRPr="00E9210E" w:rsidRDefault="00B9662D" w:rsidP="00B9662D">
      <w:pPr>
        <w:spacing w:before="120" w:after="120"/>
        <w:jc w:val="both"/>
      </w:pPr>
      <w:r w:rsidRPr="00E9210E">
        <w:t>[1036]</w:t>
      </w:r>
    </w:p>
    <w:p w14:paraId="451820DA" w14:textId="77777777" w:rsidR="00B9662D" w:rsidRPr="00E9210E" w:rsidRDefault="00B9662D" w:rsidP="00B9662D">
      <w:pPr>
        <w:spacing w:before="120" w:after="120"/>
        <w:jc w:val="both"/>
      </w:pPr>
      <w:r w:rsidRPr="00E9210E">
        <w:t xml:space="preserve">Compte rendu : </w:t>
      </w:r>
      <w:r w:rsidRPr="00E9210E">
        <w:rPr>
          <w:rStyle w:val="Corpsdutexte27ptGras"/>
          <w:rFonts w:eastAsia="Courier New"/>
          <w:b w:val="0"/>
          <w:sz w:val="28"/>
        </w:rPr>
        <w:t xml:space="preserve">N. </w:t>
      </w:r>
      <w:r w:rsidRPr="00E9210E">
        <w:rPr>
          <w:rStyle w:val="Corpsdutexte27ptGras"/>
          <w:rFonts w:eastAsia="Courier New"/>
          <w:b w:val="0"/>
          <w:smallCaps/>
          <w:sz w:val="28"/>
        </w:rPr>
        <w:t>Iorga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Points de vue sur l’histoire du comme</w:t>
      </w:r>
      <w:r w:rsidRPr="00E9210E">
        <w:rPr>
          <w:rStyle w:val="Corpsdutexte28ptItalique"/>
          <w:rFonts w:eastAsia="Courier New"/>
          <w:sz w:val="28"/>
        </w:rPr>
        <w:t>r</w:t>
      </w:r>
      <w:r w:rsidRPr="00E9210E">
        <w:rPr>
          <w:rStyle w:val="Corpsdutexte28ptItalique"/>
          <w:rFonts w:eastAsia="Courier New"/>
          <w:sz w:val="28"/>
        </w:rPr>
        <w:t>ce de l'Orient au Moyen Âge</w:t>
      </w:r>
      <w:r w:rsidRPr="00E9210E">
        <w:rPr>
          <w:rStyle w:val="Corpsdutexte2ItaliqueEspacement0pt"/>
          <w:rFonts w:eastAsia="Courier New"/>
          <w:sz w:val="28"/>
        </w:rPr>
        <w:t>,</w:t>
      </w:r>
      <w:r w:rsidRPr="00E9210E">
        <w:t xml:space="preserve"> Paris, 1924, « Rev. synt. hist. », t. 41 (1926), p. 134.</w:t>
      </w:r>
    </w:p>
    <w:p w14:paraId="49B12542"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Peuplement et régime agraire. (Compte rendu : à propos de G. </w:t>
      </w:r>
      <w:r w:rsidRPr="00E9210E">
        <w:rPr>
          <w:rStyle w:val="Corpsdutexte37ptGrasNonItalique"/>
          <w:rFonts w:eastAsia="Courier New"/>
          <w:b w:val="0"/>
          <w:i w:val="0"/>
          <w:iCs w:val="0"/>
          <w:smallCaps/>
          <w:sz w:val="28"/>
        </w:rPr>
        <w:t>des</w:t>
      </w:r>
      <w:r w:rsidRPr="00E9210E">
        <w:rPr>
          <w:rStyle w:val="Corpsdutexte37ptGrasNonItalique"/>
          <w:rFonts w:eastAsia="Courier New"/>
          <w:i w:val="0"/>
          <w:iCs w:val="0"/>
          <w:smallCaps/>
          <w:sz w:val="28"/>
        </w:rPr>
        <w:t xml:space="preserve"> </w:t>
      </w:r>
      <w:r w:rsidRPr="00E9210E">
        <w:rPr>
          <w:rStyle w:val="Corpsdutexte37ptGrasNonItalique"/>
          <w:rFonts w:eastAsia="Courier New"/>
          <w:b w:val="0"/>
          <w:i w:val="0"/>
          <w:iCs w:val="0"/>
          <w:smallCaps/>
          <w:sz w:val="28"/>
        </w:rPr>
        <w:t>Marez</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problème de la c</w:t>
      </w:r>
      <w:r w:rsidRPr="00E9210E">
        <w:rPr>
          <w:i/>
        </w:rPr>
        <w:t>o</w:t>
      </w:r>
      <w:r w:rsidRPr="00E9210E">
        <w:rPr>
          <w:i/>
        </w:rPr>
        <w:t>lonisation franque et du régime agraire dans la Basse-Belgique</w:t>
      </w:r>
      <w:r w:rsidRPr="00E9210E">
        <w:rPr>
          <w:rStyle w:val="Corpsdutexte385ptNonItalique"/>
          <w:rFonts w:eastAsia="Courier New"/>
          <w:i w:val="0"/>
          <w:iCs w:val="0"/>
          <w:sz w:val="28"/>
        </w:rPr>
        <w:t>, Bruxelles, 1926)</w:t>
      </w:r>
      <w:r w:rsidRPr="00E9210E">
        <w:t xml:space="preserve">, </w:t>
      </w:r>
      <w:r w:rsidRPr="00E9210E">
        <w:rPr>
          <w:rStyle w:val="Corpsdutexte28ptItalique"/>
          <w:rFonts w:eastAsia="Courier New"/>
          <w:sz w:val="28"/>
        </w:rPr>
        <w:t>Rev. synt. hist.,</w:t>
      </w:r>
      <w:r w:rsidRPr="00E9210E">
        <w:rPr>
          <w:rStyle w:val="Corpsdutexte28ptGraschelle120"/>
          <w:rFonts w:eastAsia="Courier New"/>
          <w:sz w:val="28"/>
        </w:rPr>
        <w:t xml:space="preserve"> </w:t>
      </w:r>
      <w:r w:rsidRPr="00E9210E">
        <w:t>t. 42 (1926), pp. 93-99.</w:t>
      </w:r>
    </w:p>
    <w:p w14:paraId="2BEF3B8E" w14:textId="77777777" w:rsidR="00B9662D" w:rsidRPr="00E9210E" w:rsidRDefault="00B9662D" w:rsidP="00B9662D">
      <w:pPr>
        <w:spacing w:before="120" w:after="120"/>
        <w:jc w:val="both"/>
      </w:pPr>
      <w:r w:rsidRPr="00E9210E">
        <w:t>Sur un poème hagiographique du XI</w:t>
      </w:r>
      <w:r w:rsidRPr="00E9210E">
        <w:rPr>
          <w:vertAlign w:val="superscript"/>
        </w:rPr>
        <w:t>e</w:t>
      </w:r>
      <w:r w:rsidRPr="00E9210E">
        <w:t xml:space="preserve"> siècle : la Chanson de Sainte-Foy, à propos d’une édition nouvelle, (compte rendu : P. </w:t>
      </w:r>
      <w:r w:rsidRPr="00E9210E">
        <w:rPr>
          <w:rStyle w:val="Corpsdutexte27ptGras"/>
          <w:rFonts w:eastAsia="Courier New"/>
          <w:b w:val="0"/>
          <w:smallCaps/>
          <w:sz w:val="28"/>
        </w:rPr>
        <w:t>Alfaric</w:t>
      </w:r>
      <w:r w:rsidRPr="00E9210E">
        <w:rPr>
          <w:rStyle w:val="Corpsdutexte27ptGras"/>
          <w:rFonts w:eastAsia="Courier New"/>
          <w:sz w:val="28"/>
        </w:rPr>
        <w:t xml:space="preserve"> </w:t>
      </w:r>
      <w:r w:rsidRPr="00E9210E">
        <w:t xml:space="preserve">et E. </w:t>
      </w:r>
      <w:r w:rsidRPr="00E9210E">
        <w:rPr>
          <w:rStyle w:val="Corpsdutexte27ptGras"/>
          <w:rFonts w:eastAsia="Courier New"/>
          <w:b w:val="0"/>
          <w:smallCaps/>
          <w:sz w:val="28"/>
        </w:rPr>
        <w:t>Hoepffner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Chanson de Sainte-Foy.</w:t>
      </w:r>
      <w:r w:rsidRPr="00E9210E">
        <w:rPr>
          <w:rStyle w:val="Corpsdutexte28ptGraschelle120"/>
          <w:rFonts w:eastAsia="Courier New"/>
          <w:sz w:val="28"/>
        </w:rPr>
        <w:t xml:space="preserve"> </w:t>
      </w:r>
      <w:r w:rsidRPr="00E9210E">
        <w:t>Publication de la Faculté des Lettres de l’Université de Strasbourg, fasc. 32 et 33), « Rev. synt. hist. », t. 42 (1926), pp. 143-146.</w:t>
      </w:r>
    </w:p>
    <w:p w14:paraId="13CC839E" w14:textId="77777777" w:rsidR="00B9662D" w:rsidRPr="00E9210E" w:rsidRDefault="00B9662D" w:rsidP="00B9662D">
      <w:pPr>
        <w:spacing w:before="120" w:after="120"/>
        <w:jc w:val="both"/>
      </w:pPr>
      <w:r w:rsidRPr="00E9210E">
        <w:t xml:space="preserve">Compte rendu : S. </w:t>
      </w:r>
      <w:r w:rsidRPr="00E9210E">
        <w:rPr>
          <w:rStyle w:val="Corpsdutexte27ptGras"/>
          <w:rFonts w:eastAsia="Courier New"/>
          <w:b w:val="0"/>
          <w:smallCaps/>
          <w:sz w:val="28"/>
        </w:rPr>
        <w:t>Deck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ville d'Eu, son histoire, ses instit</w:t>
      </w:r>
      <w:r w:rsidRPr="00E9210E">
        <w:rPr>
          <w:rStyle w:val="Corpsdutexte28ptItalique"/>
          <w:rFonts w:eastAsia="Courier New"/>
          <w:sz w:val="28"/>
        </w:rPr>
        <w:t>u</w:t>
      </w:r>
      <w:r w:rsidRPr="00E9210E">
        <w:rPr>
          <w:rStyle w:val="Corpsdutexte28ptItalique"/>
          <w:rFonts w:eastAsia="Courier New"/>
          <w:sz w:val="28"/>
        </w:rPr>
        <w:t>tions</w:t>
      </w:r>
      <w:r w:rsidRPr="00E9210E">
        <w:rPr>
          <w:rStyle w:val="Corpsdutexte28ptGraschelle120"/>
          <w:rFonts w:eastAsia="Courier New"/>
          <w:sz w:val="28"/>
        </w:rPr>
        <w:t xml:space="preserve"> </w:t>
      </w:r>
      <w:r w:rsidRPr="00E9210E">
        <w:t xml:space="preserve">(1151-1475), dans </w:t>
      </w:r>
      <w:r w:rsidRPr="00E9210E">
        <w:rPr>
          <w:rStyle w:val="Corpsdutexte28ptItalique"/>
          <w:rFonts w:eastAsia="Courier New"/>
          <w:sz w:val="28"/>
        </w:rPr>
        <w:t>Bibl. Ec.H.E., Sc. hist. et Phil.,</w:t>
      </w:r>
      <w:r w:rsidRPr="00E9210E">
        <w:rPr>
          <w:rStyle w:val="Corpsdutexte28ptGraschelle120"/>
          <w:rFonts w:eastAsia="Courier New"/>
          <w:sz w:val="28"/>
        </w:rPr>
        <w:t xml:space="preserve"> </w:t>
      </w:r>
      <w:r w:rsidRPr="00E9210E">
        <w:t>fasc. 243, « Rev. synt. hist. », t. 42 (1926), pp. 164-165.</w:t>
      </w:r>
    </w:p>
    <w:p w14:paraId="27E1ED63" w14:textId="77777777" w:rsidR="00B9662D" w:rsidRPr="00E9210E" w:rsidRDefault="00B9662D" w:rsidP="00B9662D">
      <w:pPr>
        <w:spacing w:before="120" w:after="120"/>
        <w:jc w:val="both"/>
      </w:pPr>
    </w:p>
    <w:p w14:paraId="215CB028" w14:textId="77777777" w:rsidR="00B9662D" w:rsidRPr="00E9210E" w:rsidRDefault="00B9662D" w:rsidP="00B9662D">
      <w:pPr>
        <w:spacing w:before="120" w:after="120"/>
        <w:jc w:val="center"/>
        <w:rPr>
          <w:b/>
        </w:rPr>
      </w:pPr>
      <w:r w:rsidRPr="00E9210E">
        <w:rPr>
          <w:b/>
        </w:rPr>
        <w:t>1927</w:t>
      </w:r>
    </w:p>
    <w:p w14:paraId="7BDEA30D" w14:textId="77777777" w:rsidR="00B9662D" w:rsidRPr="00E9210E" w:rsidRDefault="00B9662D" w:rsidP="00B9662D">
      <w:pPr>
        <w:spacing w:before="120" w:after="120"/>
        <w:jc w:val="both"/>
      </w:pPr>
    </w:p>
    <w:p w14:paraId="27223697" w14:textId="77777777" w:rsidR="00B9662D" w:rsidRPr="00E9210E" w:rsidRDefault="00B9662D" w:rsidP="00B9662D">
      <w:pPr>
        <w:spacing w:before="120" w:after="120"/>
        <w:jc w:val="both"/>
      </w:pPr>
      <w:r w:rsidRPr="00E9210E">
        <w:t>« </w:t>
      </w:r>
      <w:r w:rsidRPr="00E9210E">
        <w:rPr>
          <w:b/>
        </w:rPr>
        <w:t>La merveilleuse aventure de saint Martin </w:t>
      </w:r>
      <w:r w:rsidRPr="00E9210E">
        <w:t xml:space="preserve">», </w:t>
      </w:r>
      <w:r w:rsidRPr="00E9210E">
        <w:rPr>
          <w:rStyle w:val="Corpsdutexte8NonGrasItaliquechelle100"/>
          <w:rFonts w:eastAsia="Courier New"/>
          <w:b w:val="0"/>
          <w:bCs w:val="0"/>
          <w:sz w:val="28"/>
        </w:rPr>
        <w:t>L’Impartial fra</w:t>
      </w:r>
      <w:r w:rsidRPr="00E9210E">
        <w:rPr>
          <w:rStyle w:val="Corpsdutexte8NonGrasItaliquechelle100"/>
          <w:rFonts w:eastAsia="Courier New"/>
          <w:b w:val="0"/>
          <w:bCs w:val="0"/>
          <w:sz w:val="28"/>
        </w:rPr>
        <w:t>n</w:t>
      </w:r>
      <w:r w:rsidRPr="00E9210E">
        <w:rPr>
          <w:rStyle w:val="Corpsdutexte8NonGrasItaliquechelle100"/>
          <w:rFonts w:eastAsia="Courier New"/>
          <w:b w:val="0"/>
          <w:bCs w:val="0"/>
          <w:sz w:val="28"/>
        </w:rPr>
        <w:t>çais,</w:t>
      </w:r>
      <w:r w:rsidRPr="00E9210E">
        <w:t xml:space="preserve"> </w:t>
      </w:r>
      <w:r w:rsidRPr="00E9210E">
        <w:rPr>
          <w:rStyle w:val="Corpsdutexte885ptNonGraschelle100"/>
          <w:rFonts w:eastAsia="Courier New"/>
          <w:b w:val="0"/>
          <w:bCs w:val="0"/>
          <w:sz w:val="28"/>
        </w:rPr>
        <w:t>13 avril 1927.</w:t>
      </w:r>
    </w:p>
    <w:p w14:paraId="669504E9" w14:textId="77777777" w:rsidR="00B9662D" w:rsidRPr="00E9210E" w:rsidRDefault="00B9662D" w:rsidP="00B9662D">
      <w:pPr>
        <w:spacing w:before="120" w:after="120"/>
        <w:jc w:val="both"/>
      </w:pPr>
      <w:r w:rsidRPr="00E9210E">
        <w:t>« </w:t>
      </w:r>
      <w:r w:rsidRPr="00E9210E">
        <w:rPr>
          <w:b/>
        </w:rPr>
        <w:t>La popularité du toucher des écrouelles </w:t>
      </w:r>
      <w:r w:rsidRPr="00E9210E">
        <w:t xml:space="preserve">», </w:t>
      </w:r>
      <w:r w:rsidRPr="00E9210E">
        <w:rPr>
          <w:rStyle w:val="Corpsdutexte8NonGrasItaliquechelle100"/>
          <w:rFonts w:eastAsia="Courier New"/>
          <w:b w:val="0"/>
          <w:bCs w:val="0"/>
          <w:sz w:val="28"/>
        </w:rPr>
        <w:t>Le Moyen Âge,</w:t>
      </w:r>
      <w:r w:rsidRPr="00E9210E">
        <w:t xml:space="preserve"> </w:t>
      </w:r>
      <w:r w:rsidRPr="00E9210E">
        <w:rPr>
          <w:rStyle w:val="Corpsdutexte885ptNonGraschelle100"/>
          <w:rFonts w:eastAsia="Courier New"/>
          <w:b w:val="0"/>
          <w:bCs w:val="0"/>
          <w:sz w:val="28"/>
        </w:rPr>
        <w:t>2</w:t>
      </w:r>
      <w:r w:rsidRPr="00E9210E">
        <w:rPr>
          <w:rStyle w:val="Corpsdutexte885ptNonGraschelle100"/>
          <w:rFonts w:eastAsia="Courier New"/>
          <w:b w:val="0"/>
          <w:bCs w:val="0"/>
          <w:sz w:val="28"/>
          <w:vertAlign w:val="superscript"/>
        </w:rPr>
        <w:t>e</w:t>
      </w:r>
      <w:r w:rsidRPr="00E9210E">
        <w:rPr>
          <w:rStyle w:val="Corpsdutexte885ptNonGraschelle100"/>
          <w:rFonts w:eastAsia="Courier New"/>
          <w:b w:val="0"/>
          <w:bCs w:val="0"/>
          <w:sz w:val="28"/>
        </w:rPr>
        <w:t> série, t. 28 (1927), pp. 34-41.</w:t>
      </w:r>
    </w:p>
    <w:p w14:paraId="7DEA5879" w14:textId="77777777" w:rsidR="00B9662D" w:rsidRPr="00E9210E" w:rsidRDefault="00B9662D" w:rsidP="00B9662D">
      <w:pPr>
        <w:spacing w:before="120" w:after="120"/>
        <w:jc w:val="both"/>
      </w:pPr>
      <w:r w:rsidRPr="00E9210E">
        <w:t>« </w:t>
      </w:r>
      <w:r w:rsidRPr="00E9210E">
        <w:rPr>
          <w:b/>
        </w:rPr>
        <w:t>Observations sur la conquête de la Gaule Romaine par les rois francs </w:t>
      </w:r>
      <w:r w:rsidRPr="00E9210E">
        <w:t xml:space="preserve">», </w:t>
      </w:r>
      <w:r w:rsidRPr="00E9210E">
        <w:rPr>
          <w:rStyle w:val="Corpsdutexte28ptItalique"/>
          <w:rFonts w:eastAsia="Courier New"/>
          <w:sz w:val="28"/>
        </w:rPr>
        <w:t>Revue historique,</w:t>
      </w:r>
      <w:r w:rsidRPr="00E9210E">
        <w:rPr>
          <w:rStyle w:val="Corpsdutexte28ptGraschelle120"/>
          <w:rFonts w:eastAsia="Courier New"/>
          <w:sz w:val="28"/>
        </w:rPr>
        <w:t xml:space="preserve"> </w:t>
      </w:r>
      <w:r w:rsidRPr="00E9210E">
        <w:t>t. 154 (1927), pp. 161-178.</w:t>
      </w:r>
    </w:p>
    <w:p w14:paraId="22512780"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J. M. </w:t>
      </w:r>
      <w:r w:rsidRPr="00E9210E">
        <w:rPr>
          <w:rStyle w:val="Corpsdutexte27ptGras"/>
          <w:rFonts w:eastAsia="Courier New"/>
          <w:b w:val="0"/>
          <w:smallCaps/>
          <w:sz w:val="28"/>
        </w:rPr>
        <w:t>Clark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The abbey of St. Gall as a centre of literature and art, </w:t>
      </w:r>
      <w:r w:rsidRPr="00E9210E">
        <w:t>Cambri</w:t>
      </w:r>
      <w:r w:rsidRPr="00E9210E">
        <w:t>d</w:t>
      </w:r>
      <w:r w:rsidRPr="00E9210E">
        <w:t>ge, 1926, « Le Moyen Âge », t. 28 (1927), pp. 203-204.</w:t>
      </w:r>
    </w:p>
    <w:p w14:paraId="1E6511A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Ch. M. </w:t>
      </w:r>
      <w:r w:rsidRPr="00E9210E">
        <w:rPr>
          <w:rStyle w:val="Corpsdutexte37ptGrasNonItalique"/>
          <w:rFonts w:eastAsia="Courier New"/>
          <w:b w:val="0"/>
          <w:i w:val="0"/>
          <w:iCs w:val="0"/>
          <w:smallCaps/>
          <w:sz w:val="28"/>
        </w:rPr>
        <w:t>Waters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An economic history of England 1066-1874</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O</w:t>
      </w:r>
      <w:r w:rsidRPr="00E9210E">
        <w:rPr>
          <w:rStyle w:val="Corpsdutexte385ptNonItalique"/>
          <w:rFonts w:eastAsia="Courier New"/>
          <w:i w:val="0"/>
          <w:iCs w:val="0"/>
          <w:sz w:val="28"/>
        </w:rPr>
        <w:t>x</w:t>
      </w:r>
      <w:r w:rsidRPr="00E9210E">
        <w:rPr>
          <w:rStyle w:val="Corpsdutexte385ptNonItalique"/>
          <w:rFonts w:eastAsia="Courier New"/>
          <w:i w:val="0"/>
          <w:iCs w:val="0"/>
          <w:sz w:val="28"/>
        </w:rPr>
        <w:t xml:space="preserve">ford, 1925, </w:t>
      </w:r>
      <w:r w:rsidRPr="00E9210E">
        <w:t>« R.C.H.L. », 1927, p. 39.</w:t>
      </w:r>
    </w:p>
    <w:p w14:paraId="2661DC7A"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Fr. </w:t>
      </w:r>
      <w:r w:rsidRPr="00E9210E">
        <w:rPr>
          <w:rStyle w:val="Corpsdutexte37ptGrasNonItalique"/>
          <w:rFonts w:eastAsia="Courier New"/>
          <w:b w:val="0"/>
          <w:i w:val="0"/>
          <w:iCs w:val="0"/>
          <w:smallCaps/>
          <w:sz w:val="28"/>
        </w:rPr>
        <w:t>Baix</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Étude sur l'abbaye et la principauté de Stavelot-Malmédy</w:t>
      </w:r>
      <w:r w:rsidRPr="00E9210E">
        <w:t xml:space="preserve">. </w:t>
      </w:r>
      <w:r w:rsidRPr="00E9210E">
        <w:rPr>
          <w:rStyle w:val="Corpsdutexte3GrasNonItaliquechelle120"/>
          <w:rFonts w:eastAsia="Courier New"/>
          <w:b w:val="0"/>
          <w:i w:val="0"/>
          <w:iCs w:val="0"/>
          <w:sz w:val="28"/>
        </w:rPr>
        <w:t>1</w:t>
      </w:r>
      <w:r w:rsidRPr="00E9210E">
        <w:rPr>
          <w:rStyle w:val="Corpsdutexte3GrasNonItaliquechelle120"/>
          <w:rFonts w:eastAsia="Courier New"/>
          <w:b w:val="0"/>
          <w:i w:val="0"/>
          <w:iCs w:val="0"/>
          <w:sz w:val="28"/>
          <w:vertAlign w:val="superscript"/>
        </w:rPr>
        <w:t>e</w:t>
      </w:r>
      <w:r w:rsidRPr="00E9210E">
        <w:rPr>
          <w:rStyle w:val="Corpsdutexte3GrasNonItaliquechelle120"/>
          <w:rFonts w:eastAsia="Courier New"/>
          <w:i w:val="0"/>
          <w:iCs w:val="0"/>
          <w:sz w:val="28"/>
        </w:rPr>
        <w:t xml:space="preserve"> </w:t>
      </w:r>
      <w:r w:rsidRPr="00E9210E">
        <w:rPr>
          <w:i/>
        </w:rPr>
        <w:t>partie</w:t>
      </w:r>
      <w:r w:rsidRPr="00E9210E">
        <w:rPr>
          <w:rStyle w:val="Corpsdutexte3GrasNonItaliquechelle120"/>
          <w:rFonts w:eastAsia="Courier New"/>
          <w:i w:val="0"/>
          <w:iCs w:val="0"/>
          <w:sz w:val="28"/>
        </w:rPr>
        <w:t> — </w:t>
      </w:r>
      <w:r w:rsidRPr="00E9210E">
        <w:rPr>
          <w:i/>
        </w:rPr>
        <w:t>L'abbaye royale et bénédictine (Des origines à l'avènement de S. Poppon, 1021</w:t>
      </w:r>
      <w:r w:rsidRPr="00E9210E">
        <w:rPr>
          <w:rStyle w:val="Corpsdutexte385ptEspacement0pt"/>
          <w:rFonts w:eastAsia="Courier New"/>
          <w:sz w:val="28"/>
        </w:rPr>
        <w:t>),</w:t>
      </w:r>
      <w:r w:rsidRPr="00E9210E">
        <w:rPr>
          <w:rStyle w:val="Corpsdutexte385ptNonItalique"/>
          <w:rFonts w:eastAsia="Courier New"/>
          <w:i w:val="0"/>
          <w:iCs w:val="0"/>
          <w:sz w:val="28"/>
        </w:rPr>
        <w:t xml:space="preserve"> Paris et Charleroi, 1924, « R.C.H.L. », 1927, p. 39.</w:t>
      </w:r>
    </w:p>
    <w:p w14:paraId="1353F463"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M. </w:t>
      </w:r>
      <w:r w:rsidRPr="00E9210E">
        <w:rPr>
          <w:rStyle w:val="Corpsdutexte37ptGrasNonItalique"/>
          <w:rFonts w:eastAsia="Courier New"/>
          <w:b w:val="0"/>
          <w:i w:val="0"/>
          <w:iCs w:val="0"/>
          <w:smallCaps/>
          <w:sz w:val="28"/>
        </w:rPr>
        <w:t>Buchner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Clausula de unctione Pippini, eine Fäl</w:t>
      </w:r>
      <w:r w:rsidRPr="00E9210E">
        <w:rPr>
          <w:i/>
        </w:rPr>
        <w:t>s</w:t>
      </w:r>
      <w:r w:rsidRPr="00E9210E">
        <w:rPr>
          <w:i/>
        </w:rPr>
        <w:t>chung aus dem Jahre 880</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Paderborn, 1926,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1927, pp. 53-54.</w:t>
      </w:r>
    </w:p>
    <w:p w14:paraId="16D3390F"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Cl. </w:t>
      </w:r>
      <w:r w:rsidRPr="00E9210E">
        <w:rPr>
          <w:rStyle w:val="Corpsdutexte27ptGras"/>
          <w:rFonts w:eastAsia="Courier New"/>
          <w:b w:val="0"/>
          <w:smallCaps/>
          <w:sz w:val="28"/>
        </w:rPr>
        <w:t>Sanchez-Albornoz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Estampas de la vida en Leon durante el siglo X</w:t>
      </w:r>
      <w:r w:rsidRPr="00E9210E">
        <w:rPr>
          <w:rStyle w:val="Corpsdutexte28ptGraschelle120"/>
          <w:rFonts w:eastAsia="Courier New"/>
          <w:sz w:val="28"/>
        </w:rPr>
        <w:t xml:space="preserve">, </w:t>
      </w:r>
      <w:r w:rsidRPr="00E9210E">
        <w:t>Madrid, 1926, « R.C.H.L. », 1927, p. 54.</w:t>
      </w:r>
    </w:p>
    <w:p w14:paraId="4040A5A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Comptes rendus : F. L. </w:t>
      </w:r>
      <w:r w:rsidRPr="00E9210E">
        <w:rPr>
          <w:rStyle w:val="Corpsdutexte37ptGrasNonItalique"/>
          <w:rFonts w:eastAsia="Courier New"/>
          <w:b w:val="0"/>
          <w:i w:val="0"/>
          <w:iCs w:val="0"/>
          <w:smallCaps/>
          <w:sz w:val="28"/>
        </w:rPr>
        <w:t>Attenborough</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Laws of the earliest English Kings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w:t>
      </w:r>
      <w:r w:rsidRPr="00E9210E">
        <w:rPr>
          <w:rStyle w:val="Corpsdutexte385ptNonItalique"/>
          <w:rFonts w:eastAsia="Courier New"/>
          <w:i w:val="0"/>
          <w:iCs w:val="0"/>
          <w:sz w:val="28"/>
        </w:rPr>
        <w:t>m</w:t>
      </w:r>
      <w:r w:rsidRPr="00E9210E">
        <w:rPr>
          <w:rStyle w:val="Corpsdutexte385ptNonItalique"/>
          <w:rFonts w:eastAsia="Courier New"/>
          <w:i w:val="0"/>
          <w:iCs w:val="0"/>
          <w:sz w:val="28"/>
        </w:rPr>
        <w:t xml:space="preserve">bridge, 1922. — A. J. </w:t>
      </w:r>
      <w:r w:rsidRPr="00E9210E">
        <w:rPr>
          <w:rStyle w:val="Corpsdutexte37ptGrasNonItalique"/>
          <w:rFonts w:eastAsia="Courier New"/>
          <w:b w:val="0"/>
          <w:i w:val="0"/>
          <w:iCs w:val="0"/>
          <w:smallCaps/>
          <w:sz w:val="28"/>
        </w:rPr>
        <w:t>Robertson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laws of the Kings of England from Edmund to Henri I</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Cambridge, 1925,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1927, p. 79.</w:t>
      </w:r>
    </w:p>
    <w:p w14:paraId="0B20C4A7"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Y. </w:t>
      </w:r>
      <w:r w:rsidRPr="00E9210E">
        <w:rPr>
          <w:rStyle w:val="Corpsdutexte37ptGrasNonItalique"/>
          <w:rFonts w:eastAsia="Courier New"/>
          <w:b w:val="0"/>
          <w:i w:val="0"/>
          <w:iCs w:val="0"/>
          <w:smallCaps/>
          <w:sz w:val="28"/>
        </w:rPr>
        <w:t>Ernst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Entstehung des deutschen Grunde</w:t>
      </w:r>
      <w:r w:rsidRPr="00E9210E">
        <w:rPr>
          <w:i/>
        </w:rPr>
        <w:t>i</w:t>
      </w:r>
      <w:r w:rsidRPr="00E9210E">
        <w:rPr>
          <w:i/>
        </w:rPr>
        <w:t>gentums,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Stuttgart, 1926, </w:t>
      </w:r>
      <w:r w:rsidRPr="00E9210E">
        <w:t>« R.C.H.L. », 1927, pp. 176-177.</w:t>
      </w:r>
    </w:p>
    <w:p w14:paraId="0324F63D"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W. </w:t>
      </w:r>
      <w:r w:rsidRPr="00E9210E">
        <w:rPr>
          <w:rStyle w:val="Corpsdutexte37ptGrasNonItalique"/>
          <w:rFonts w:eastAsia="Courier New"/>
          <w:b w:val="0"/>
          <w:i w:val="0"/>
          <w:iCs w:val="0"/>
          <w:smallCaps/>
          <w:sz w:val="28"/>
        </w:rPr>
        <w:t>Ganz</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Beiträge zur Wirtschaftsgeschichte des Gros</w:t>
      </w:r>
      <w:r w:rsidRPr="00E9210E">
        <w:rPr>
          <w:i/>
        </w:rPr>
        <w:t>s</w:t>
      </w:r>
      <w:r w:rsidRPr="00E9210E">
        <w:rPr>
          <w:i/>
        </w:rPr>
        <w:t>münsterstiftes in Zurich</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Zürich, 1925,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1927, p. 177.</w:t>
      </w:r>
    </w:p>
    <w:p w14:paraId="3C074526"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J. </w:t>
      </w:r>
      <w:r w:rsidRPr="00E9210E">
        <w:rPr>
          <w:rStyle w:val="Corpsdutexte37ptGrasNonItalique"/>
          <w:rFonts w:eastAsia="Courier New"/>
          <w:b w:val="0"/>
          <w:i w:val="0"/>
          <w:iCs w:val="0"/>
          <w:smallCaps/>
          <w:sz w:val="28"/>
        </w:rPr>
        <w:t>Strieder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Studien zur Geschichte Kapitalisti</w:t>
      </w:r>
      <w:r w:rsidRPr="00E9210E">
        <w:rPr>
          <w:i/>
        </w:rPr>
        <w:t>s</w:t>
      </w:r>
      <w:r w:rsidRPr="00E9210E">
        <w:rPr>
          <w:i/>
        </w:rPr>
        <w:t>cher Organ</w:t>
      </w:r>
      <w:r w:rsidRPr="00E9210E">
        <w:rPr>
          <w:i/>
        </w:rPr>
        <w:t>i</w:t>
      </w:r>
      <w:r w:rsidRPr="00E9210E">
        <w:rPr>
          <w:i/>
        </w:rPr>
        <w:t>sations-formen... im Mittelalter und Beginn der Neuzeit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éd., Münich et Leipzig, 1925, « R.C.H.L. », 1927, pp. 325-326.</w:t>
      </w:r>
    </w:p>
    <w:p w14:paraId="7DF4851D"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7ptGras"/>
          <w:rFonts w:eastAsia="Courier New"/>
          <w:b w:val="0"/>
          <w:sz w:val="28"/>
        </w:rPr>
        <w:t>G.</w:t>
      </w:r>
      <w:r w:rsidRPr="00E9210E">
        <w:rPr>
          <w:rStyle w:val="Corpsdutexte27ptGras"/>
          <w:rFonts w:eastAsia="Courier New"/>
          <w:sz w:val="28"/>
        </w:rPr>
        <w:t xml:space="preserve"> </w:t>
      </w:r>
      <w:r w:rsidRPr="00E9210E">
        <w:rPr>
          <w:smallCaps/>
        </w:rPr>
        <w:t xml:space="preserve">von </w:t>
      </w:r>
      <w:r w:rsidRPr="00E9210E">
        <w:rPr>
          <w:rStyle w:val="Corpsdutexte27ptGras"/>
          <w:rFonts w:eastAsia="Courier New"/>
          <w:b w:val="0"/>
          <w:smallCaps/>
          <w:sz w:val="28"/>
        </w:rPr>
        <w:t>Below</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Probleme der Wirtschaftsge</w:t>
      </w:r>
      <w:r w:rsidRPr="00E9210E">
        <w:rPr>
          <w:rStyle w:val="Corpsdutexte28ptItalique"/>
          <w:rFonts w:eastAsia="Courier New"/>
          <w:sz w:val="28"/>
        </w:rPr>
        <w:t>s</w:t>
      </w:r>
      <w:r w:rsidRPr="00E9210E">
        <w:rPr>
          <w:rStyle w:val="Corpsdutexte28ptItalique"/>
          <w:rFonts w:eastAsia="Courier New"/>
          <w:sz w:val="28"/>
        </w:rPr>
        <w:t>chichte,</w:t>
      </w:r>
      <w:r w:rsidRPr="00E9210E">
        <w:rPr>
          <w:rStyle w:val="Corpsdutexte28ptGraschelle120"/>
          <w:rFonts w:eastAsia="Courier New"/>
          <w:sz w:val="28"/>
        </w:rPr>
        <w:t xml:space="preserve"> </w:t>
      </w:r>
      <w:r w:rsidRPr="00E9210E">
        <w:t>Tübingen, 1926, « R.C.H.L. », 1927, pp. 350-351.</w:t>
      </w:r>
    </w:p>
    <w:p w14:paraId="28A3B73A" w14:textId="77777777" w:rsidR="00B9662D" w:rsidRDefault="00B9662D" w:rsidP="00B9662D">
      <w:pPr>
        <w:spacing w:before="120" w:after="120"/>
        <w:jc w:val="both"/>
        <w:rPr>
          <w:rStyle w:val="Corpsdutexte385ptNonItalique"/>
          <w:rFonts w:eastAsia="Courier New"/>
          <w:i w:val="0"/>
          <w:iCs w:val="0"/>
          <w:sz w:val="28"/>
        </w:rPr>
      </w:pPr>
      <w:r w:rsidRPr="00E9210E">
        <w:rPr>
          <w:rStyle w:val="Corpsdutexte385ptNonItalique"/>
          <w:rFonts w:eastAsia="Courier New"/>
          <w:i w:val="0"/>
          <w:iCs w:val="0"/>
          <w:sz w:val="28"/>
        </w:rPr>
        <w:t xml:space="preserve">Comptes rendus : J. M. </w:t>
      </w:r>
      <w:r w:rsidRPr="00E9210E">
        <w:rPr>
          <w:rStyle w:val="Corpsdutexte37ptGrasNonItalique"/>
          <w:rFonts w:eastAsia="Courier New"/>
          <w:b w:val="0"/>
          <w:i w:val="0"/>
          <w:iCs w:val="0"/>
          <w:smallCaps/>
          <w:sz w:val="28"/>
        </w:rPr>
        <w:t>Maubourguet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Périgord méridional des origines à l'an 1370 : étude d'histoire politique et religieuse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w:t>
      </w:r>
      <w:r w:rsidRPr="00E9210E">
        <w:rPr>
          <w:rStyle w:val="Corpsdutexte385ptNonItalique"/>
          <w:rFonts w:eastAsia="Courier New"/>
          <w:i w:val="0"/>
          <w:iCs w:val="0"/>
          <w:sz w:val="28"/>
        </w:rPr>
        <w:t>a</w:t>
      </w:r>
      <w:r w:rsidRPr="00E9210E">
        <w:rPr>
          <w:rStyle w:val="Corpsdutexte385ptNonItalique"/>
          <w:rFonts w:eastAsia="Courier New"/>
          <w:i w:val="0"/>
          <w:iCs w:val="0"/>
          <w:sz w:val="28"/>
        </w:rPr>
        <w:t>hors, 1926. — </w:t>
      </w:r>
      <w:r w:rsidRPr="00E9210E">
        <w:rPr>
          <w:i/>
        </w:rPr>
        <w:t>Le cartulaire de l'abbaye de Cadouin, précédé de notes sur l'histoire économique du Périgord méridional à l'époque féodale</w:t>
      </w:r>
      <w:r w:rsidRPr="00E9210E">
        <w:rPr>
          <w:rStyle w:val="Corpsdutexte385ptEspacement0pt"/>
          <w:rFonts w:eastAsia="Courier New"/>
          <w:sz w:val="28"/>
        </w:rPr>
        <w:t>,</w:t>
      </w:r>
      <w:r w:rsidRPr="00E9210E">
        <w:rPr>
          <w:rStyle w:val="Corpsdutexte385ptNonItalique"/>
          <w:rFonts w:eastAsia="Courier New"/>
          <w:i w:val="0"/>
          <w:iCs w:val="0"/>
          <w:sz w:val="28"/>
        </w:rPr>
        <w:t xml:space="preserve"> Cahors, 1926, « R.C.H.L. », 1927, pp. 437-438.</w:t>
      </w:r>
    </w:p>
    <w:p w14:paraId="2BB8F221" w14:textId="77777777" w:rsidR="00B9662D" w:rsidRPr="00E9210E" w:rsidRDefault="00B9662D" w:rsidP="00B9662D">
      <w:pPr>
        <w:spacing w:before="120" w:after="120"/>
        <w:jc w:val="both"/>
      </w:pPr>
      <w:r w:rsidRPr="00E9210E">
        <w:t>[103]7</w:t>
      </w:r>
    </w:p>
    <w:p w14:paraId="712DAF75" w14:textId="77777777" w:rsidR="00B9662D" w:rsidRPr="00E9210E" w:rsidRDefault="00B9662D" w:rsidP="00B9662D">
      <w:pPr>
        <w:spacing w:before="120" w:after="120"/>
        <w:jc w:val="both"/>
      </w:pPr>
      <w:r w:rsidRPr="00E9210E">
        <w:t>Note :</w:t>
      </w:r>
      <w:r w:rsidRPr="00E9210E">
        <w:rPr>
          <w:rStyle w:val="Corpsdutexte28ptGraschelle120"/>
          <w:rFonts w:eastAsia="Courier New"/>
          <w:sz w:val="28"/>
        </w:rPr>
        <w:t xml:space="preserve"> </w:t>
      </w:r>
      <w:r w:rsidRPr="00E9210E">
        <w:rPr>
          <w:rStyle w:val="Corpsdutexte28ptGraschelle120"/>
          <w:rFonts w:eastAsia="Courier New"/>
          <w:b w:val="0"/>
          <w:i/>
          <w:sz w:val="28"/>
        </w:rPr>
        <w:t>L’</w:t>
      </w:r>
      <w:r w:rsidRPr="00E9210E">
        <w:rPr>
          <w:rStyle w:val="Corpsdutexte28ptItalique"/>
          <w:rFonts w:eastAsia="Courier New"/>
          <w:sz w:val="28"/>
        </w:rPr>
        <w:t>année sociologique</w:t>
      </w:r>
      <w:r w:rsidRPr="00E9210E">
        <w:rPr>
          <w:rStyle w:val="Corpsdutexte2ItaliqueEspacement0pt"/>
          <w:rFonts w:eastAsia="Courier New"/>
          <w:sz w:val="28"/>
        </w:rPr>
        <w:t>,</w:t>
      </w:r>
      <w:r w:rsidRPr="00E9210E">
        <w:t xml:space="preserve"> nouvelle série, t. I (1923-1924), P</w:t>
      </w:r>
      <w:r w:rsidRPr="00E9210E">
        <w:t>a</w:t>
      </w:r>
      <w:r w:rsidRPr="00E9210E">
        <w:t>ris, 1925, « Revue historique », t. 155 (1927), p. 176.</w:t>
      </w:r>
    </w:p>
    <w:p w14:paraId="00B102AF" w14:textId="77777777" w:rsidR="00B9662D" w:rsidRPr="00E9210E" w:rsidRDefault="00B9662D" w:rsidP="00B9662D">
      <w:pPr>
        <w:spacing w:before="120" w:after="120"/>
        <w:jc w:val="both"/>
      </w:pPr>
      <w:r w:rsidRPr="00E9210E">
        <w:t xml:space="preserve">Compte rendu : </w:t>
      </w:r>
      <w:r w:rsidRPr="00E9210E">
        <w:rPr>
          <w:rStyle w:val="Corpsdutexte28ptItalique"/>
          <w:rFonts w:eastAsia="Courier New"/>
          <w:sz w:val="28"/>
        </w:rPr>
        <w:t>La force motrice animale et le rôle des inventions techniques</w:t>
      </w:r>
      <w:r w:rsidRPr="00E9210E">
        <w:rPr>
          <w:rStyle w:val="Corpsdutexte28ptGraschelle120"/>
          <w:rFonts w:eastAsia="Courier New"/>
          <w:sz w:val="28"/>
        </w:rPr>
        <w:t xml:space="preserve"> </w:t>
      </w:r>
      <w:r w:rsidRPr="00E9210E">
        <w:t>(toujours à pr</w:t>
      </w:r>
      <w:r w:rsidRPr="00E9210E">
        <w:t>o</w:t>
      </w:r>
      <w:r w:rsidRPr="00E9210E">
        <w:t xml:space="preserve">pos du livre de </w:t>
      </w:r>
      <w:r w:rsidRPr="00E9210E">
        <w:rPr>
          <w:rStyle w:val="Corpsdutexte27ptGras"/>
          <w:rFonts w:eastAsia="Courier New"/>
          <w:b w:val="0"/>
          <w:smallCaps/>
          <w:sz w:val="28"/>
        </w:rPr>
        <w:t>Lefebvre des Noëttes</w:t>
      </w:r>
      <w:r w:rsidRPr="00E9210E">
        <w:rPr>
          <w:rStyle w:val="Corpsdutexte27ptGras"/>
          <w:rFonts w:eastAsia="Courier New"/>
          <w:b w:val="0"/>
          <w:sz w:val="28"/>
        </w:rPr>
        <w:t>),</w:t>
      </w:r>
      <w:r w:rsidRPr="00E9210E">
        <w:rPr>
          <w:rStyle w:val="Corpsdutexte27ptGras"/>
          <w:rFonts w:eastAsia="Courier New"/>
          <w:sz w:val="28"/>
        </w:rPr>
        <w:t xml:space="preserve"> </w:t>
      </w:r>
      <w:r w:rsidRPr="00E9210E">
        <w:t>« Rev. synt. hist. », t. 43 (1927), pp. 83-91.</w:t>
      </w:r>
    </w:p>
    <w:p w14:paraId="21C0ABB3" w14:textId="77777777" w:rsidR="00B9662D" w:rsidRPr="00E9210E" w:rsidRDefault="00B9662D" w:rsidP="00B9662D">
      <w:pPr>
        <w:spacing w:before="120" w:after="120"/>
        <w:jc w:val="both"/>
      </w:pPr>
      <w:r w:rsidRPr="00E9210E">
        <w:t xml:space="preserve">Quelques études récentes sur l’histoire économique et sociale de l’ancienne France. (Comptes rendus : Th. </w:t>
      </w:r>
      <w:r w:rsidRPr="00E9210E">
        <w:rPr>
          <w:rStyle w:val="Corpsdutexte27ptGras"/>
          <w:rFonts w:eastAsia="Courier New"/>
          <w:b w:val="0"/>
          <w:smallCaps/>
          <w:sz w:val="28"/>
        </w:rPr>
        <w:t>Sclafert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Haut-Dauphiné au Moyen Âge</w:t>
      </w:r>
      <w:r w:rsidRPr="00E9210E">
        <w:t xml:space="preserve">, Paris, 1926. — R. </w:t>
      </w:r>
      <w:r w:rsidRPr="00E9210E">
        <w:rPr>
          <w:rStyle w:val="Corpsdutexte27ptGras"/>
          <w:rFonts w:eastAsia="Courier New"/>
          <w:b w:val="0"/>
          <w:smallCaps/>
          <w:sz w:val="28"/>
        </w:rPr>
        <w:t>Brun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ville de Salon au Moyen Âge. La vie économique</w:t>
      </w:r>
      <w:r w:rsidRPr="00E9210E">
        <w:rPr>
          <w:rStyle w:val="Corpsdutexte28ptGraschelle120"/>
          <w:rFonts w:eastAsia="Courier New"/>
          <w:sz w:val="28"/>
        </w:rPr>
        <w:t> — </w:t>
      </w:r>
      <w:r w:rsidRPr="00E9210E">
        <w:rPr>
          <w:rStyle w:val="Corpsdutexte28ptItalique"/>
          <w:rFonts w:eastAsia="Courier New"/>
          <w:sz w:val="28"/>
        </w:rPr>
        <w:t>Le régime seigneurial. Le r</w:t>
      </w:r>
      <w:r w:rsidRPr="00E9210E">
        <w:rPr>
          <w:rStyle w:val="Corpsdutexte28ptItalique"/>
          <w:rFonts w:eastAsia="Courier New"/>
          <w:sz w:val="28"/>
        </w:rPr>
        <w:t>é</w:t>
      </w:r>
      <w:r w:rsidRPr="00E9210E">
        <w:rPr>
          <w:rStyle w:val="Corpsdutexte28ptItalique"/>
          <w:rFonts w:eastAsia="Courier New"/>
          <w:sz w:val="28"/>
        </w:rPr>
        <w:t>gime municipal</w:t>
      </w:r>
      <w:r w:rsidRPr="00E9210E">
        <w:t xml:space="preserve">, Aix-en-Provence, 1924. — J. </w:t>
      </w:r>
      <w:r w:rsidRPr="00E9210E">
        <w:rPr>
          <w:rStyle w:val="Corpsdutexte27ptGras"/>
          <w:rFonts w:eastAsia="Courier New"/>
          <w:b w:val="0"/>
          <w:smallCaps/>
          <w:sz w:val="28"/>
        </w:rPr>
        <w:t>Donat</w:t>
      </w:r>
      <w:r w:rsidRPr="00E9210E">
        <w:rPr>
          <w:rStyle w:val="Corpsdutexte27ptGras"/>
          <w:rFonts w:eastAsia="Courier New"/>
          <w:b w:val="0"/>
          <w:sz w:val="28"/>
        </w:rPr>
        <w:t xml:space="preserve">, </w:t>
      </w:r>
      <w:r w:rsidRPr="00E9210E">
        <w:rPr>
          <w:rStyle w:val="Corpsdutexte28ptItalique"/>
          <w:rFonts w:eastAsia="Courier New"/>
          <w:sz w:val="28"/>
        </w:rPr>
        <w:t>Une comm</w:t>
      </w:r>
      <w:r w:rsidRPr="00E9210E">
        <w:rPr>
          <w:rStyle w:val="Corpsdutexte28ptItalique"/>
          <w:rFonts w:eastAsia="Courier New"/>
          <w:sz w:val="28"/>
        </w:rPr>
        <w:t>u</w:t>
      </w:r>
      <w:r w:rsidRPr="00E9210E">
        <w:rPr>
          <w:rStyle w:val="Corpsdutexte28ptItalique"/>
          <w:rFonts w:eastAsia="Courier New"/>
          <w:sz w:val="28"/>
        </w:rPr>
        <w:t>nauté rurale à la fin de l’Ancien Régime</w:t>
      </w:r>
      <w:r w:rsidRPr="00E9210E">
        <w:t>, Montauban, 1926), « Rev. synt. hist. », t. 43 (1927), pp. 93-103.</w:t>
      </w:r>
    </w:p>
    <w:p w14:paraId="7787A760" w14:textId="77777777" w:rsidR="00B9662D" w:rsidRPr="00E9210E" w:rsidRDefault="00B9662D" w:rsidP="00B9662D">
      <w:pPr>
        <w:spacing w:before="120" w:after="120"/>
        <w:jc w:val="both"/>
      </w:pPr>
      <w:r w:rsidRPr="00E9210E">
        <w:t xml:space="preserve">Compte rendu : St. </w:t>
      </w:r>
      <w:r w:rsidRPr="00E9210E">
        <w:rPr>
          <w:rStyle w:val="Corpsdutexte27ptGras"/>
          <w:rFonts w:eastAsia="Courier New"/>
          <w:b w:val="0"/>
          <w:smallCaps/>
          <w:sz w:val="28"/>
        </w:rPr>
        <w:t>Gaselee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An Anthologie of medieval Latin</w:t>
      </w:r>
      <w:r w:rsidRPr="00E9210E">
        <w:t>, Londres, « Rev. synt. hist. », t. 43 (1927), p. 155.</w:t>
      </w:r>
    </w:p>
    <w:p w14:paraId="2A2CFFCE" w14:textId="77777777" w:rsidR="00B9662D" w:rsidRPr="00E9210E" w:rsidRDefault="00B9662D" w:rsidP="00B9662D">
      <w:pPr>
        <w:spacing w:before="120" w:after="120"/>
        <w:jc w:val="both"/>
      </w:pPr>
      <w:r w:rsidRPr="00E9210E">
        <w:t xml:space="preserve">Les travaux de M. </w:t>
      </w:r>
      <w:r w:rsidRPr="00E9210E">
        <w:rPr>
          <w:smallCaps/>
        </w:rPr>
        <w:t>Clapham</w:t>
      </w:r>
      <w:r w:rsidRPr="00E9210E">
        <w:t xml:space="preserve">. (Compte rendu : </w:t>
      </w:r>
      <w:r w:rsidRPr="00E9210E">
        <w:rPr>
          <w:rStyle w:val="Corpsdutexte28ptItalique"/>
          <w:rFonts w:eastAsia="Courier New"/>
          <w:sz w:val="28"/>
        </w:rPr>
        <w:t>An economic Hist</w:t>
      </w:r>
      <w:r w:rsidRPr="00E9210E">
        <w:rPr>
          <w:rStyle w:val="Corpsdutexte28ptItalique"/>
          <w:rFonts w:eastAsia="Courier New"/>
          <w:sz w:val="28"/>
        </w:rPr>
        <w:t>o</w:t>
      </w:r>
      <w:r w:rsidRPr="00E9210E">
        <w:rPr>
          <w:rStyle w:val="Corpsdutexte28ptItalique"/>
          <w:rFonts w:eastAsia="Courier New"/>
          <w:sz w:val="28"/>
        </w:rPr>
        <w:t>ry of modem Britain : the early Railway Age 1820-1850</w:t>
      </w:r>
      <w:r w:rsidRPr="00E9210E">
        <w:t>, Cambridge, 1926), « Rev. synt. hist. », t. 44 (1927), pp. 157-159.</w:t>
      </w:r>
    </w:p>
    <w:p w14:paraId="1B5E4F8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F. </w:t>
      </w:r>
      <w:r w:rsidRPr="00E9210E">
        <w:rPr>
          <w:rStyle w:val="Corpsdutexte37ptGrasNonItalique"/>
          <w:rFonts w:eastAsia="Courier New"/>
          <w:b w:val="0"/>
          <w:i w:val="0"/>
          <w:iCs w:val="0"/>
          <w:smallCaps/>
          <w:sz w:val="28"/>
        </w:rPr>
        <w:t>Schneider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Rom und Romgedanke im Mittela</w:t>
      </w:r>
      <w:r w:rsidRPr="00E9210E">
        <w:rPr>
          <w:i/>
        </w:rPr>
        <w:t>l</w:t>
      </w:r>
      <w:r w:rsidRPr="00E9210E">
        <w:rPr>
          <w:i/>
        </w:rPr>
        <w:t>ter : die geist</w:t>
      </w:r>
      <w:r w:rsidRPr="00E9210E">
        <w:rPr>
          <w:i/>
        </w:rPr>
        <w:t>i</w:t>
      </w:r>
      <w:r w:rsidRPr="00E9210E">
        <w:rPr>
          <w:i/>
        </w:rPr>
        <w:t>gen Grundlagen der Renaissance</w:t>
      </w:r>
      <w:r w:rsidRPr="00E9210E">
        <w:rPr>
          <w:rStyle w:val="Corpsdutexte385ptNonItalique"/>
          <w:rFonts w:eastAsia="Courier New"/>
          <w:i w:val="0"/>
          <w:iCs w:val="0"/>
          <w:sz w:val="28"/>
        </w:rPr>
        <w:t>, Munich, « Rev. synt. hist. », t. 44 (1927), p. 168.</w:t>
      </w:r>
    </w:p>
    <w:p w14:paraId="0C1E2279" w14:textId="77777777" w:rsidR="00B9662D" w:rsidRPr="00E9210E" w:rsidRDefault="00B9662D" w:rsidP="00B9662D">
      <w:pPr>
        <w:spacing w:before="120" w:after="120"/>
        <w:jc w:val="both"/>
      </w:pPr>
      <w:r w:rsidRPr="00E9210E">
        <w:t xml:space="preserve">Compte rendu : </w:t>
      </w:r>
      <w:r w:rsidRPr="00E9210E">
        <w:rPr>
          <w:rStyle w:val="Corpsdutexte28ptItalique"/>
          <w:rFonts w:eastAsia="Courier New"/>
          <w:sz w:val="28"/>
        </w:rPr>
        <w:t>Year Books,</w:t>
      </w:r>
      <w:r w:rsidRPr="00E9210E">
        <w:rPr>
          <w:rStyle w:val="Corpsdutexte28ptGraschelle120"/>
          <w:rFonts w:eastAsia="Courier New"/>
          <w:sz w:val="28"/>
        </w:rPr>
        <w:t xml:space="preserve"> </w:t>
      </w:r>
      <w:r w:rsidRPr="00E9210E">
        <w:t>« Rev. synt. hist. », t. 44 (1927), p. 189.</w:t>
      </w:r>
    </w:p>
    <w:p w14:paraId="7B1D3E6A" w14:textId="77777777" w:rsidR="00B9662D" w:rsidRPr="00E9210E" w:rsidRDefault="00B9662D" w:rsidP="00B9662D">
      <w:pPr>
        <w:spacing w:before="120" w:after="120"/>
        <w:jc w:val="both"/>
      </w:pPr>
    </w:p>
    <w:p w14:paraId="2BF06D22" w14:textId="77777777" w:rsidR="00B9662D" w:rsidRPr="00E9210E" w:rsidRDefault="00B9662D" w:rsidP="00B9662D">
      <w:pPr>
        <w:spacing w:before="120" w:after="120"/>
        <w:jc w:val="center"/>
        <w:rPr>
          <w:b/>
        </w:rPr>
      </w:pPr>
      <w:r w:rsidRPr="00E9210E">
        <w:rPr>
          <w:b/>
        </w:rPr>
        <w:t>1928</w:t>
      </w:r>
    </w:p>
    <w:p w14:paraId="41977829" w14:textId="77777777" w:rsidR="00B9662D" w:rsidRPr="00E9210E" w:rsidRDefault="00B9662D" w:rsidP="00B9662D">
      <w:pPr>
        <w:spacing w:before="120" w:after="120"/>
        <w:jc w:val="both"/>
      </w:pPr>
    </w:p>
    <w:p w14:paraId="6AE98952" w14:textId="77777777" w:rsidR="00B9662D" w:rsidRPr="00E9210E" w:rsidRDefault="00B9662D" w:rsidP="00B9662D">
      <w:pPr>
        <w:spacing w:before="120" w:after="120"/>
        <w:jc w:val="both"/>
      </w:pPr>
      <w:r w:rsidRPr="00E9210E">
        <w:t>« </w:t>
      </w:r>
      <w:r w:rsidRPr="00E9210E">
        <w:rPr>
          <w:b/>
        </w:rPr>
        <w:t>Les colliberti : étude sur la formation de la classe servile </w:t>
      </w:r>
      <w:r w:rsidRPr="00E9210E">
        <w:t xml:space="preserve">», </w:t>
      </w:r>
      <w:r w:rsidRPr="00E9210E">
        <w:rPr>
          <w:rStyle w:val="Corpsdutexte8NonGrasItaliquechelle100"/>
          <w:rFonts w:eastAsia="Courier New"/>
          <w:b w:val="0"/>
          <w:bCs w:val="0"/>
          <w:sz w:val="28"/>
        </w:rPr>
        <w:t xml:space="preserve">Revue historique, </w:t>
      </w:r>
      <w:r w:rsidRPr="00E9210E">
        <w:rPr>
          <w:rStyle w:val="Corpsdutexte885ptNonGraschelle100"/>
          <w:rFonts w:eastAsia="Courier New"/>
          <w:b w:val="0"/>
          <w:bCs w:val="0"/>
          <w:sz w:val="28"/>
        </w:rPr>
        <w:t>t. 157 (1928), pp. 1-48 et 225-263.</w:t>
      </w:r>
    </w:p>
    <w:p w14:paraId="1C45F31F" w14:textId="77777777" w:rsidR="00B9662D" w:rsidRPr="00E9210E" w:rsidRDefault="00B9662D" w:rsidP="00B9662D">
      <w:pPr>
        <w:spacing w:before="120" w:after="120"/>
        <w:jc w:val="both"/>
      </w:pPr>
      <w:r w:rsidRPr="00E9210E">
        <w:t>« </w:t>
      </w:r>
      <w:r w:rsidRPr="00E9210E">
        <w:rPr>
          <w:b/>
        </w:rPr>
        <w:t>Un problème d’histoire comparée : la ministérialité en Fra</w:t>
      </w:r>
      <w:r w:rsidRPr="00E9210E">
        <w:rPr>
          <w:b/>
        </w:rPr>
        <w:t>n</w:t>
      </w:r>
      <w:r w:rsidRPr="00E9210E">
        <w:rPr>
          <w:b/>
        </w:rPr>
        <w:t>ce et en Allemagne </w:t>
      </w:r>
      <w:r w:rsidRPr="00E9210E">
        <w:t xml:space="preserve">», </w:t>
      </w:r>
      <w:r w:rsidRPr="00E9210E">
        <w:rPr>
          <w:rStyle w:val="Corpsdutexte8NonGrasItaliquechelle100"/>
          <w:rFonts w:eastAsia="Courier New"/>
          <w:b w:val="0"/>
          <w:bCs w:val="0"/>
          <w:sz w:val="28"/>
        </w:rPr>
        <w:t>Revue historique de droit français et étranger</w:t>
      </w:r>
      <w:r w:rsidRPr="00E9210E">
        <w:rPr>
          <w:rStyle w:val="Corpsdutexte885ptNonGraschelle100"/>
          <w:rFonts w:eastAsia="Courier New"/>
          <w:b w:val="0"/>
          <w:bCs w:val="0"/>
          <w:sz w:val="28"/>
        </w:rPr>
        <w:t>, 1928, pp. 46-91.</w:t>
      </w:r>
    </w:p>
    <w:p w14:paraId="428CA821"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Pour une histoire comparée des sociétés européennes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Rev. synt. hist.,</w:t>
      </w:r>
      <w:r w:rsidRPr="00E9210E">
        <w:t xml:space="preserve"> </w:t>
      </w:r>
      <w:r w:rsidRPr="00E9210E">
        <w:rPr>
          <w:rStyle w:val="Corpsdutexte885ptNonGraschelle100"/>
          <w:rFonts w:eastAsia="Courier New"/>
          <w:b w:val="0"/>
          <w:bCs w:val="0"/>
          <w:sz w:val="28"/>
        </w:rPr>
        <w:t>t. 46 (1928)</w:t>
      </w:r>
      <w:r w:rsidRPr="00E9210E">
        <w:t>, p. 15-50. Traduit en anglais et publ dans « Enterprise and Secular, Change ».</w:t>
      </w:r>
    </w:p>
    <w:p w14:paraId="291AD8D9" w14:textId="77777777" w:rsidR="00B9662D" w:rsidRPr="00E9210E" w:rsidRDefault="00B9662D" w:rsidP="00B9662D">
      <w:pPr>
        <w:spacing w:before="120" w:after="120"/>
        <w:jc w:val="both"/>
      </w:pPr>
      <w:r w:rsidRPr="00E9210E">
        <w:t xml:space="preserve">Compte rendu : W. </w:t>
      </w:r>
      <w:r w:rsidRPr="00E9210E">
        <w:rPr>
          <w:rStyle w:val="Corpsdutexte27ptGras"/>
          <w:rFonts w:eastAsia="Courier New"/>
          <w:b w:val="0"/>
          <w:smallCaps/>
          <w:sz w:val="28"/>
        </w:rPr>
        <w:t>Stubbs,</w:t>
      </w:r>
      <w:r w:rsidRPr="00E9210E">
        <w:rPr>
          <w:rStyle w:val="Corpsdutexte27ptGras"/>
          <w:rFonts w:eastAsia="Courier New"/>
          <w:sz w:val="28"/>
        </w:rPr>
        <w:t xml:space="preserve"> </w:t>
      </w:r>
      <w:r w:rsidRPr="00E9210E">
        <w:rPr>
          <w:rStyle w:val="Corpsdutexte28ptItalique"/>
          <w:rFonts w:eastAsia="Courier New"/>
          <w:sz w:val="28"/>
        </w:rPr>
        <w:t>Histoire constitutionnelle de l’Angleterre,</w:t>
      </w:r>
      <w:r w:rsidRPr="00E9210E">
        <w:rPr>
          <w:rStyle w:val="Corpsdutexte28ptGraschelle120"/>
          <w:rFonts w:eastAsia="Courier New"/>
          <w:sz w:val="28"/>
        </w:rPr>
        <w:t xml:space="preserve"> </w:t>
      </w:r>
      <w:r w:rsidRPr="00E9210E">
        <w:t>éd. fr., t. III Paris, 1927, « Le Moyen Âge », t. 29 (1928), pp. 72-76.</w:t>
      </w:r>
    </w:p>
    <w:p w14:paraId="05FDD507" w14:textId="77777777" w:rsidR="00B9662D" w:rsidRPr="00E9210E" w:rsidRDefault="00B9662D" w:rsidP="00B9662D">
      <w:pPr>
        <w:spacing w:before="120" w:after="120"/>
        <w:jc w:val="both"/>
      </w:pPr>
      <w:r w:rsidRPr="00E9210E">
        <w:t xml:space="preserve">Compte rendu : W. A. </w:t>
      </w:r>
      <w:r w:rsidRPr="00E9210E">
        <w:rPr>
          <w:rStyle w:val="Corpsdutexte27ptGras"/>
          <w:rFonts w:eastAsia="Courier New"/>
          <w:b w:val="0"/>
          <w:smallCaps/>
          <w:sz w:val="28"/>
        </w:rPr>
        <w:t>Morris,</w:t>
      </w:r>
      <w:r w:rsidRPr="00E9210E">
        <w:rPr>
          <w:rStyle w:val="Corpsdutexte27ptGras"/>
          <w:rFonts w:eastAsia="Courier New"/>
          <w:sz w:val="28"/>
        </w:rPr>
        <w:t xml:space="preserve"> </w:t>
      </w:r>
      <w:r w:rsidRPr="00E9210E">
        <w:rPr>
          <w:rStyle w:val="Corpsdutexte28ptItalique"/>
          <w:rFonts w:eastAsia="Courier New"/>
          <w:sz w:val="28"/>
        </w:rPr>
        <w:t>The mediaeval english sheriff to 1300,</w:t>
      </w:r>
      <w:r w:rsidRPr="00E9210E">
        <w:rPr>
          <w:rStyle w:val="Corpsdutexte28ptGraschelle120"/>
          <w:rFonts w:eastAsia="Courier New"/>
          <w:sz w:val="28"/>
        </w:rPr>
        <w:t xml:space="preserve"> </w:t>
      </w:r>
      <w:r w:rsidRPr="00E9210E">
        <w:t>Manchester et Londres, 1927, « Le Moyen Âge », t. 29 (1928), pp. 76-78.</w:t>
      </w:r>
    </w:p>
    <w:p w14:paraId="75E21900" w14:textId="77777777" w:rsidR="00B9662D" w:rsidRPr="00E9210E" w:rsidRDefault="00B9662D" w:rsidP="00B9662D">
      <w:pPr>
        <w:spacing w:before="120" w:after="120"/>
        <w:jc w:val="both"/>
      </w:pPr>
      <w:r w:rsidRPr="00E9210E">
        <w:t xml:space="preserve">Compte </w:t>
      </w:r>
      <w:r w:rsidRPr="00E9210E">
        <w:rPr>
          <w:rStyle w:val="Corpsdutexte27ptGras"/>
          <w:rFonts w:eastAsia="Courier New"/>
          <w:b w:val="0"/>
          <w:sz w:val="28"/>
        </w:rPr>
        <w:t>rendu :</w:t>
      </w:r>
      <w:r w:rsidRPr="00E9210E">
        <w:rPr>
          <w:rStyle w:val="Corpsdutexte27ptGras"/>
          <w:rFonts w:eastAsia="Courier New"/>
          <w:sz w:val="28"/>
        </w:rPr>
        <w:t xml:space="preserve"> </w:t>
      </w:r>
      <w:r w:rsidRPr="00E9210E">
        <w:t xml:space="preserve">G. </w:t>
      </w:r>
      <w:r w:rsidRPr="00E9210E">
        <w:rPr>
          <w:rStyle w:val="Corpsdutexte27ptGras"/>
          <w:rFonts w:eastAsia="Courier New"/>
          <w:b w:val="0"/>
          <w:smallCaps/>
          <w:sz w:val="28"/>
        </w:rPr>
        <w:t>Martin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économique et financière.</w:t>
      </w:r>
      <w:r w:rsidRPr="00E9210E">
        <w:rPr>
          <w:rStyle w:val="Corpsdutexte28ptGraschelle120"/>
          <w:rFonts w:eastAsia="Courier New"/>
          <w:sz w:val="28"/>
        </w:rPr>
        <w:t xml:space="preserve"> </w:t>
      </w:r>
      <w:r w:rsidRPr="00E9210E">
        <w:t xml:space="preserve">Coll. </w:t>
      </w:r>
      <w:r w:rsidRPr="00E9210E">
        <w:rPr>
          <w:rStyle w:val="Corpsdutexte28ptItalique"/>
          <w:rFonts w:eastAsia="Courier New"/>
          <w:sz w:val="28"/>
        </w:rPr>
        <w:t>Histoire de la Nation française,</w:t>
      </w:r>
      <w:r w:rsidRPr="00E9210E">
        <w:rPr>
          <w:rStyle w:val="Corpsdutexte28ptGraschelle120"/>
          <w:rFonts w:eastAsia="Courier New"/>
          <w:sz w:val="28"/>
        </w:rPr>
        <w:t xml:space="preserve"> </w:t>
      </w:r>
      <w:r w:rsidRPr="00E9210E">
        <w:t>t. X, Paris, 1927, « Le Moyen Âge », t. 29 (1928), pp. 78-80.</w:t>
      </w:r>
    </w:p>
    <w:p w14:paraId="7DE5FC53" w14:textId="77777777" w:rsidR="00B9662D" w:rsidRPr="00E9210E" w:rsidRDefault="00B9662D" w:rsidP="00B9662D">
      <w:pPr>
        <w:spacing w:before="120" w:after="120"/>
        <w:jc w:val="both"/>
      </w:pPr>
      <w:r w:rsidRPr="00E9210E">
        <w:t xml:space="preserve">Compte rendu : F. M. </w:t>
      </w:r>
      <w:r w:rsidRPr="00E9210E">
        <w:rPr>
          <w:rStyle w:val="Corpsdutexte27ptGras"/>
          <w:rFonts w:eastAsia="Courier New"/>
          <w:b w:val="0"/>
          <w:smallCaps/>
          <w:sz w:val="28"/>
        </w:rPr>
        <w:t>Powicke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Stephen Lanqton</w:t>
      </w:r>
      <w:r w:rsidRPr="00E9210E">
        <w:rPr>
          <w:rFonts w:eastAsia="Courier New"/>
        </w:rPr>
        <w:t>,</w:t>
      </w:r>
      <w:r w:rsidRPr="00E9210E">
        <w:rPr>
          <w:rStyle w:val="Corpsdutexte28ptGraschelle120"/>
          <w:rFonts w:eastAsia="Courier New"/>
          <w:sz w:val="28"/>
        </w:rPr>
        <w:t xml:space="preserve"> </w:t>
      </w:r>
      <w:r w:rsidRPr="00E9210E">
        <w:t>Oxford, 1928, « Le Moyen Âge », t. 29 (1928), pp. 341-342.</w:t>
      </w:r>
    </w:p>
    <w:p w14:paraId="7B0DE892" w14:textId="77777777" w:rsidR="00B9662D" w:rsidRPr="00E9210E" w:rsidRDefault="00B9662D" w:rsidP="00B9662D">
      <w:pPr>
        <w:spacing w:before="120" w:after="120"/>
        <w:jc w:val="both"/>
      </w:pPr>
      <w:r w:rsidRPr="00E9210E">
        <w:t xml:space="preserve">Compte rendu : W. A. </w:t>
      </w:r>
      <w:r w:rsidRPr="00E9210E">
        <w:rPr>
          <w:rStyle w:val="Corpsdutexte27ptGras"/>
          <w:rFonts w:eastAsia="Courier New"/>
          <w:b w:val="0"/>
          <w:smallCaps/>
          <w:sz w:val="28"/>
        </w:rPr>
        <w:t>Morris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early English county court : a historical treatise with illustrative documents</w:t>
      </w:r>
      <w:r w:rsidRPr="00E9210E">
        <w:rPr>
          <w:rStyle w:val="Corpsdutexte2ItaliqueEspacement0pt"/>
          <w:rFonts w:eastAsia="Courier New"/>
          <w:sz w:val="28"/>
        </w:rPr>
        <w:t>,</w:t>
      </w:r>
      <w:r w:rsidRPr="00E9210E">
        <w:t xml:space="preserve"> Berkeley, 1926, « Le Moyen Âge », t. 29 (1928), pp. 343- 344.</w:t>
      </w:r>
    </w:p>
    <w:p w14:paraId="5FA022F2"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M. </w:t>
      </w:r>
      <w:r w:rsidRPr="00E9210E">
        <w:rPr>
          <w:rStyle w:val="Corpsdutexte37ptGrasNonItalique"/>
          <w:rFonts w:eastAsia="Courier New"/>
          <w:b w:val="0"/>
          <w:i w:val="0"/>
          <w:iCs w:val="0"/>
          <w:smallCaps/>
          <w:sz w:val="28"/>
        </w:rPr>
        <w:t>Gaudioso</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schiavitu domestica in Sicilia dopo i No</w:t>
      </w:r>
      <w:r w:rsidRPr="00E9210E">
        <w:rPr>
          <w:i/>
        </w:rPr>
        <w:t>r</w:t>
      </w:r>
      <w:r w:rsidRPr="00E9210E">
        <w:rPr>
          <w:i/>
        </w:rPr>
        <w:t>manni. Legislazione-Dottrina-Formule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Catania, 1926, « Le Moyen Âge », t. 29 (1928), p. 344.</w:t>
      </w:r>
    </w:p>
    <w:p w14:paraId="1D698C23"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villes du Moyen Âge : essai d’histoire économique et sociale,</w:t>
      </w:r>
      <w:r w:rsidRPr="00E9210E">
        <w:rPr>
          <w:rStyle w:val="Corpsdutexte28ptGraschelle120"/>
          <w:rFonts w:eastAsia="Courier New"/>
          <w:sz w:val="28"/>
        </w:rPr>
        <w:t xml:space="preserve"> </w:t>
      </w:r>
      <w:r w:rsidRPr="00E9210E">
        <w:t>Bruxelles, 1927, « R.C.H.L. », 1928, pp. 203-206.</w:t>
      </w:r>
    </w:p>
    <w:p w14:paraId="7531D59B" w14:textId="77777777" w:rsidR="00B9662D" w:rsidRPr="00E9210E" w:rsidRDefault="00B9662D" w:rsidP="00B9662D">
      <w:pPr>
        <w:spacing w:before="120" w:after="120"/>
        <w:jc w:val="both"/>
      </w:pPr>
      <w:r w:rsidRPr="00E9210E">
        <w:t xml:space="preserve">Compte rendu : A. </w:t>
      </w:r>
      <w:r w:rsidRPr="00E9210E">
        <w:rPr>
          <w:rStyle w:val="Corpsdutexte27ptGras"/>
          <w:rFonts w:eastAsia="Courier New"/>
          <w:b w:val="0"/>
          <w:smallCaps/>
          <w:sz w:val="28"/>
        </w:rPr>
        <w:t>Sapori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La crisi delle compagnie mercantili dei Bardi e dei Peruzzi, </w:t>
      </w:r>
      <w:r w:rsidRPr="00E9210E">
        <w:t>Florence, 1926, « R.C.H.L. », 1928, pp. 206-207.</w:t>
      </w:r>
    </w:p>
    <w:p w14:paraId="13DC92AC" w14:textId="77777777" w:rsidR="00B9662D" w:rsidRPr="00E9210E" w:rsidRDefault="00B9662D" w:rsidP="00B9662D">
      <w:pPr>
        <w:spacing w:before="120" w:after="120"/>
        <w:jc w:val="both"/>
      </w:pPr>
      <w:r w:rsidRPr="00E9210E">
        <w:t>[1038]</w:t>
      </w:r>
    </w:p>
    <w:p w14:paraId="0FF3919A"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Fr. L. </w:t>
      </w:r>
      <w:r w:rsidRPr="00E9210E">
        <w:rPr>
          <w:rStyle w:val="Corpsdutexte27ptGras"/>
          <w:rFonts w:eastAsia="Courier New"/>
          <w:b w:val="0"/>
          <w:smallCaps/>
          <w:sz w:val="28"/>
        </w:rPr>
        <w:t>Ganshof</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Étude sur les ministériales en Flandre et en Lotharingie, </w:t>
      </w:r>
      <w:r w:rsidRPr="00E9210E">
        <w:t>Bruxelles, 1926, « R.C.H.L. », 1928, p. 207.</w:t>
      </w:r>
    </w:p>
    <w:p w14:paraId="0E256E81"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F. M. </w:t>
      </w:r>
      <w:r w:rsidRPr="00E9210E">
        <w:rPr>
          <w:rStyle w:val="Corpsdutexte37ptGrasNonItalique"/>
          <w:rFonts w:eastAsia="Courier New"/>
          <w:b w:val="0"/>
          <w:i w:val="0"/>
          <w:iCs w:val="0"/>
          <w:smallCaps/>
          <w:sz w:val="28"/>
        </w:rPr>
        <w:t>Graves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Deux inventaires de la maison d'Orléans (1389 et 1408) publiés pour la première fois avec une i</w:t>
      </w:r>
      <w:r w:rsidRPr="00E9210E">
        <w:rPr>
          <w:i/>
        </w:rPr>
        <w:t>n</w:t>
      </w:r>
      <w:r w:rsidRPr="00E9210E">
        <w:rPr>
          <w:i/>
        </w:rPr>
        <w:t>troduction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1924,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1928, p. 208.</w:t>
      </w:r>
    </w:p>
    <w:p w14:paraId="4D0D0F1F"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G. </w:t>
      </w:r>
      <w:r w:rsidRPr="00E9210E">
        <w:rPr>
          <w:rStyle w:val="Corpsdutexte37ptGrasNonItalique"/>
          <w:rFonts w:eastAsia="Courier New"/>
          <w:b w:val="0"/>
          <w:i w:val="0"/>
          <w:iCs w:val="0"/>
          <w:smallCaps/>
          <w:sz w:val="28"/>
        </w:rPr>
        <w:t>d’Avenel</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(V</w:t>
      </w:r>
      <w:r w:rsidRPr="00E9210E">
        <w:rPr>
          <w:rStyle w:val="Corpsdutexte385ptNonItalique"/>
          <w:rFonts w:eastAsia="Courier New"/>
          <w:i w:val="0"/>
          <w:iCs w:val="0"/>
          <w:sz w:val="28"/>
          <w:vertAlign w:val="superscript"/>
        </w:rPr>
        <w:t>te</w:t>
      </w:r>
      <w:r w:rsidRPr="00E9210E">
        <w:rPr>
          <w:rStyle w:val="Corpsdutexte385ptNonItalique"/>
          <w:rFonts w:eastAsia="Courier New"/>
          <w:i w:val="0"/>
          <w:iCs w:val="0"/>
          <w:sz w:val="28"/>
        </w:rPr>
        <w:t xml:space="preserve">), </w:t>
      </w:r>
      <w:r w:rsidRPr="00E9210E">
        <w:rPr>
          <w:i/>
        </w:rPr>
        <w:t>Histoire de la fortune frança</w:t>
      </w:r>
      <w:r w:rsidRPr="00E9210E">
        <w:rPr>
          <w:i/>
        </w:rPr>
        <w:t>i</w:t>
      </w:r>
      <w:r w:rsidRPr="00E9210E">
        <w:rPr>
          <w:i/>
        </w:rPr>
        <w:t>se : la fortune privée à travers sept siècles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1927, « R.C.H.L. », 1928, p. 258.</w:t>
      </w:r>
    </w:p>
    <w:p w14:paraId="090A0450"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B. </w:t>
      </w:r>
      <w:r w:rsidRPr="00E9210E">
        <w:rPr>
          <w:rStyle w:val="Corpsdutexte27ptGras"/>
          <w:rFonts w:eastAsia="Courier New"/>
          <w:b w:val="0"/>
          <w:smallCaps/>
          <w:sz w:val="28"/>
        </w:rPr>
        <w:t>Jarrett</w:t>
      </w:r>
      <w:r w:rsidRPr="00E9210E">
        <w:rPr>
          <w:rStyle w:val="Corpsdutexte27ptGras"/>
          <w:rFonts w:eastAsia="Courier New"/>
          <w:b w:val="0"/>
          <w:sz w:val="28"/>
        </w:rPr>
        <w:t>, O.</w:t>
      </w:r>
      <w:r w:rsidRPr="00E9210E">
        <w:t xml:space="preserve">P., </w:t>
      </w:r>
      <w:r w:rsidRPr="00E9210E">
        <w:rPr>
          <w:rStyle w:val="Corpsdutexte28ptItalique"/>
          <w:rFonts w:eastAsia="Courier New"/>
          <w:sz w:val="28"/>
        </w:rPr>
        <w:t xml:space="preserve">Social Theories of the middle ages (1200-1500), </w:t>
      </w:r>
      <w:r w:rsidRPr="00E9210E">
        <w:t>Londres, 1926, « R.C.H.L. », 1928, p. 335.</w:t>
      </w:r>
    </w:p>
    <w:p w14:paraId="605421B0"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Brunner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Deutsche Rechtsgeschichte</w:t>
      </w:r>
      <w:r w:rsidRPr="00E9210E">
        <w:t>, Bd. II, 2</w:t>
      </w:r>
      <w:r w:rsidRPr="00E9210E">
        <w:rPr>
          <w:vertAlign w:val="superscript"/>
        </w:rPr>
        <w:t>e</w:t>
      </w:r>
      <w:r w:rsidRPr="00E9210E">
        <w:t xml:space="preserve"> éd., Leipzig, 1928, « R.C.H.L. », 1928, p. 362.</w:t>
      </w:r>
    </w:p>
    <w:p w14:paraId="169D58B9"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8ptItalique"/>
          <w:rFonts w:eastAsia="Courier New"/>
          <w:sz w:val="28"/>
        </w:rPr>
        <w:t>Bulletin historique. Histoire d’Allemagne. Moyen Âge,</w:t>
      </w:r>
      <w:r w:rsidRPr="00E9210E">
        <w:rPr>
          <w:rStyle w:val="Corpsdutexte28ptGraschelle120"/>
          <w:rFonts w:eastAsia="Courier New"/>
          <w:sz w:val="28"/>
        </w:rPr>
        <w:t xml:space="preserve"> « </w:t>
      </w:r>
      <w:r w:rsidRPr="00E9210E">
        <w:t>Revue histor</w:t>
      </w:r>
      <w:r w:rsidRPr="00E9210E">
        <w:t>i</w:t>
      </w:r>
      <w:r w:rsidRPr="00E9210E">
        <w:t>que », t. 158 (1928), pp. 108-158.</w:t>
      </w:r>
    </w:p>
    <w:p w14:paraId="2D616762"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Th. </w:t>
      </w:r>
      <w:r w:rsidRPr="00E9210E">
        <w:rPr>
          <w:rStyle w:val="Corpsdutexte3NonItaliquePetitesmajuscules"/>
          <w:rFonts w:eastAsia="Courier New"/>
          <w:i w:val="0"/>
          <w:iCs w:val="0"/>
          <w:sz w:val="28"/>
        </w:rPr>
        <w:t xml:space="preserve">Tyc, </w:t>
      </w:r>
      <w:r w:rsidRPr="00E9210E">
        <w:rPr>
          <w:i/>
        </w:rPr>
        <w:t>L'immunité de l'abbaye de Wissembourg. Coll, d'études sur l'histoire du droit et des institutions de l'Alsace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 Strasbourg, 1927,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Revue historique », t. 158 (1928), pp. 159-160.</w:t>
      </w:r>
    </w:p>
    <w:p w14:paraId="0CC7DA98"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E. </w:t>
      </w:r>
      <w:r w:rsidRPr="00E9210E">
        <w:rPr>
          <w:rStyle w:val="Corpsdutexte37ptGrasNonItalique"/>
          <w:rFonts w:eastAsia="Courier New"/>
          <w:b w:val="0"/>
          <w:i w:val="0"/>
          <w:iCs w:val="0"/>
          <w:smallCaps/>
          <w:sz w:val="28"/>
        </w:rPr>
        <w:t>Patzelt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Karolingische Renaissance, Be</w:t>
      </w:r>
      <w:r w:rsidRPr="00E9210E">
        <w:rPr>
          <w:i/>
        </w:rPr>
        <w:t>i</w:t>
      </w:r>
      <w:r w:rsidRPr="00E9210E">
        <w:rPr>
          <w:i/>
        </w:rPr>
        <w:t>träge zur Geschichte der Kultur des frühen Mittelalters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Vienne, 1924, « Rev. synt. hist.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45 (1928), pp. 148-149.</w:t>
      </w:r>
    </w:p>
    <w:p w14:paraId="6A19B156"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Cl. </w:t>
      </w:r>
      <w:r w:rsidRPr="00E9210E">
        <w:rPr>
          <w:rStyle w:val="Corpsdutexte37ptGrasNonItalique"/>
          <w:rFonts w:eastAsia="Courier New"/>
          <w:b w:val="0"/>
          <w:i w:val="0"/>
          <w:iCs w:val="0"/>
          <w:smallCaps/>
          <w:sz w:val="28"/>
        </w:rPr>
        <w:t>Brunel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plus anciennes chartes en langue provençale, recueil de pièces originales antérieures au XIII</w:t>
      </w:r>
      <w:r w:rsidRPr="00E9210E">
        <w:rPr>
          <w:i/>
          <w:vertAlign w:val="superscript"/>
        </w:rPr>
        <w:t>e</w:t>
      </w:r>
      <w:r w:rsidRPr="00E9210E">
        <w:rPr>
          <w:i/>
        </w:rPr>
        <w:t xml:space="preserve"> siècle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1926,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 synt. hist. », t. 45 (1928), pp. 162-163.</w:t>
      </w:r>
    </w:p>
    <w:p w14:paraId="76B5325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Quelques contributions à l’histoire religieuse du Moyen Âge. (Comptes rendus : G. G. </w:t>
      </w:r>
      <w:r w:rsidRPr="00E9210E">
        <w:rPr>
          <w:rStyle w:val="Corpsdutexte37ptGrasNonItalique"/>
          <w:rFonts w:eastAsia="Courier New"/>
          <w:b w:val="0"/>
          <w:i w:val="0"/>
          <w:iCs w:val="0"/>
          <w:smallCaps/>
          <w:sz w:val="28"/>
        </w:rPr>
        <w:t>Coulton</w:t>
      </w:r>
      <w:r w:rsidRPr="00E9210E">
        <w:rPr>
          <w:rStyle w:val="Corpsdutexte37ptGrasNonItalique"/>
          <w:rFonts w:eastAsia="Courier New"/>
          <w:i w:val="0"/>
          <w:iCs w:val="0"/>
          <w:sz w:val="28"/>
        </w:rPr>
        <w:t xml:space="preserve">, </w:t>
      </w:r>
      <w:r w:rsidRPr="00E9210E">
        <w:rPr>
          <w:i/>
        </w:rPr>
        <w:t>Five centuries of religion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vol. II, Cambridge, 1927. — G. </w:t>
      </w:r>
      <w:r w:rsidRPr="00E9210E">
        <w:rPr>
          <w:rStyle w:val="Corpsdutexte37ptGrasNonItalique"/>
          <w:rFonts w:eastAsia="Courier New"/>
          <w:b w:val="0"/>
          <w:i w:val="0"/>
          <w:iCs w:val="0"/>
          <w:smallCaps/>
          <w:sz w:val="28"/>
        </w:rPr>
        <w:t>Volpe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Movimenti religiosi e sette ereticali nella societa medievale italiana (secoli XI-XI V),</w:t>
      </w:r>
      <w:r w:rsidRPr="00E9210E">
        <w:t xml:space="preserve"> </w:t>
      </w:r>
      <w:r w:rsidRPr="00E9210E">
        <w:rPr>
          <w:rStyle w:val="Corpsdutexte385ptNonItalique"/>
          <w:rFonts w:eastAsia="Courier New"/>
          <w:i w:val="0"/>
          <w:iCs w:val="0"/>
          <w:sz w:val="28"/>
        </w:rPr>
        <w:t xml:space="preserve">Florence, 1926. — E. </w:t>
      </w:r>
      <w:r w:rsidRPr="00E9210E">
        <w:rPr>
          <w:rStyle w:val="Corpsdutexte37ptGrasNonItalique"/>
          <w:rFonts w:eastAsia="Courier New"/>
          <w:b w:val="0"/>
          <w:i w:val="0"/>
          <w:iCs w:val="0"/>
          <w:smallCaps/>
          <w:sz w:val="28"/>
        </w:rPr>
        <w:t>Aegerten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Joachim de Flore. L'Évangile éternel, première tr</w:t>
      </w:r>
      <w:r w:rsidRPr="00E9210E">
        <w:rPr>
          <w:i/>
        </w:rPr>
        <w:t>a</w:t>
      </w:r>
      <w:r w:rsidRPr="00E9210E">
        <w:rPr>
          <w:i/>
        </w:rPr>
        <w:t>duction française précédée d'une biographie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1928. — E. de </w:t>
      </w:r>
      <w:r w:rsidRPr="00E9210E">
        <w:rPr>
          <w:rStyle w:val="Corpsdutexte37ptGrasNonItalique"/>
          <w:rFonts w:eastAsia="Courier New"/>
          <w:b w:val="0"/>
          <w:i w:val="0"/>
          <w:iCs w:val="0"/>
          <w:smallCaps/>
          <w:sz w:val="28"/>
        </w:rPr>
        <w:t>Moreau</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Saint Amand apôtre de la Belgique et du Nord de la France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Louvain, 1927,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 synt. hist. », t. 46 (1928), pp. 159-163.</w:t>
      </w:r>
    </w:p>
    <w:p w14:paraId="205833DB" w14:textId="77777777" w:rsidR="00B9662D" w:rsidRPr="00E9210E" w:rsidRDefault="00B9662D" w:rsidP="00B9662D">
      <w:pPr>
        <w:spacing w:before="120" w:after="120"/>
        <w:jc w:val="both"/>
      </w:pPr>
      <w:r w:rsidRPr="00E9210E">
        <w:t xml:space="preserve">Compte rendu : G. </w:t>
      </w:r>
      <w:r w:rsidRPr="00E9210E">
        <w:rPr>
          <w:rStyle w:val="Corpsdutexte27ptGras"/>
          <w:rFonts w:eastAsia="Courier New"/>
          <w:b w:val="0"/>
          <w:smallCaps/>
          <w:sz w:val="28"/>
        </w:rPr>
        <w:t>Robert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serfs de Saint-Rémi de Reims,</w:t>
      </w:r>
      <w:r w:rsidRPr="00E9210E">
        <w:rPr>
          <w:rStyle w:val="Corpsdutexte28ptGraschelle120"/>
          <w:rFonts w:eastAsia="Courier New"/>
          <w:sz w:val="28"/>
        </w:rPr>
        <w:t xml:space="preserve"> </w:t>
      </w:r>
      <w:r w:rsidRPr="00E9210E">
        <w:t>Reims, 1926, « Rev. synt. hist. », t. 46 (1928), p. 164.</w:t>
      </w:r>
    </w:p>
    <w:p w14:paraId="72CA17B8"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7ptGras"/>
          <w:rFonts w:eastAsia="Courier New"/>
          <w:b w:val="0"/>
          <w:sz w:val="28"/>
        </w:rPr>
        <w:t xml:space="preserve">O. </w:t>
      </w:r>
      <w:r w:rsidRPr="00E9210E">
        <w:rPr>
          <w:rStyle w:val="Corpsdutexte27ptGras"/>
          <w:rFonts w:eastAsia="Courier New"/>
          <w:b w:val="0"/>
          <w:smallCaps/>
          <w:sz w:val="28"/>
        </w:rPr>
        <w:t>Martin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Histoire de la coutume de la prévôté et vicomté de Paris, </w:t>
      </w:r>
      <w:r w:rsidRPr="00E9210E">
        <w:t>t. II, fasc. 1, Paris, 1926, « Rev. synt. hist. », t. 46 (1928), pp. 164-165.</w:t>
      </w:r>
    </w:p>
    <w:p w14:paraId="4DFCF2C4" w14:textId="77777777" w:rsidR="00B9662D" w:rsidRPr="00E9210E" w:rsidRDefault="00B9662D" w:rsidP="00B9662D">
      <w:pPr>
        <w:spacing w:before="120" w:after="120"/>
        <w:jc w:val="both"/>
      </w:pPr>
    </w:p>
    <w:p w14:paraId="7BFA2BE1" w14:textId="77777777" w:rsidR="00B9662D" w:rsidRPr="00E9210E" w:rsidRDefault="00B9662D" w:rsidP="00B9662D">
      <w:pPr>
        <w:spacing w:before="120" w:after="120"/>
        <w:jc w:val="center"/>
        <w:rPr>
          <w:b/>
        </w:rPr>
      </w:pPr>
      <w:r w:rsidRPr="00E9210E">
        <w:rPr>
          <w:b/>
        </w:rPr>
        <w:t>1928-1929</w:t>
      </w:r>
    </w:p>
    <w:p w14:paraId="47725F68" w14:textId="77777777" w:rsidR="00B9662D" w:rsidRPr="00E9210E" w:rsidRDefault="00B9662D" w:rsidP="00B9662D">
      <w:pPr>
        <w:spacing w:before="120" w:after="120"/>
        <w:jc w:val="both"/>
      </w:pPr>
    </w:p>
    <w:p w14:paraId="09C2FE9D" w14:textId="77777777" w:rsidR="00B9662D" w:rsidRPr="00E9210E" w:rsidRDefault="00B9662D" w:rsidP="00B9662D">
      <w:pPr>
        <w:spacing w:before="120" w:after="120"/>
        <w:jc w:val="both"/>
      </w:pPr>
      <w:r w:rsidRPr="00E9210E">
        <w:t xml:space="preserve">Compte rendu : J. </w:t>
      </w:r>
      <w:r w:rsidRPr="00E9210E">
        <w:rPr>
          <w:rStyle w:val="Corpsdutexte27ptGras"/>
          <w:rFonts w:eastAsia="Courier New"/>
          <w:b w:val="0"/>
          <w:smallCaps/>
          <w:sz w:val="28"/>
        </w:rPr>
        <w:t>Huizinga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Herbst des Mittelalters,</w:t>
      </w:r>
      <w:r w:rsidRPr="00E9210E">
        <w:rPr>
          <w:rStyle w:val="Corpsdutexte28ptGraschelle120"/>
          <w:rFonts w:eastAsia="Courier New"/>
          <w:sz w:val="28"/>
        </w:rPr>
        <w:t xml:space="preserve"> </w:t>
      </w:r>
      <w:r w:rsidRPr="00E9210E">
        <w:t>Munich, 1928, « Bull. Fac. Let. Strasb. », t. VII (1928-1929), pp. 33-35.</w:t>
      </w:r>
    </w:p>
    <w:p w14:paraId="18AE7ABF" w14:textId="77777777" w:rsidR="00B9662D" w:rsidRPr="00E9210E" w:rsidRDefault="00B9662D" w:rsidP="00B9662D">
      <w:pPr>
        <w:spacing w:before="120" w:after="120"/>
        <w:jc w:val="both"/>
      </w:pPr>
      <w:r w:rsidRPr="00E9210E">
        <w:t xml:space="preserve">Compte rendu : R. </w:t>
      </w:r>
      <w:r w:rsidRPr="00E9210E">
        <w:rPr>
          <w:rStyle w:val="Corpsdutexte27ptGras"/>
          <w:rFonts w:eastAsia="Courier New"/>
          <w:b w:val="0"/>
          <w:smallCaps/>
          <w:sz w:val="28"/>
        </w:rPr>
        <w:t>Ballester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de l'Espagne traduite de l'espagnol par Théodoric Legrand,</w:t>
      </w:r>
      <w:r w:rsidRPr="00E9210E">
        <w:rPr>
          <w:rStyle w:val="Corpsdutexte28ptGraschelle120"/>
          <w:rFonts w:eastAsia="Courier New"/>
          <w:sz w:val="28"/>
        </w:rPr>
        <w:t xml:space="preserve"> </w:t>
      </w:r>
      <w:r w:rsidRPr="00E9210E">
        <w:t>Paris, 1928, « Bull. Fac. Let. Strasb. », t. VII (1928-1929), p. 35.</w:t>
      </w:r>
    </w:p>
    <w:p w14:paraId="78A79D3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w:t>
      </w:r>
      <w:r w:rsidRPr="00E9210E">
        <w:rPr>
          <w:i/>
        </w:rPr>
        <w:t>Géographie universelle publiée sous la direction de P. Vidal de la Blache et L. Gallois</w:t>
      </w:r>
      <w:r w:rsidRPr="00E9210E">
        <w:rPr>
          <w:rStyle w:val="Corpsdutexte3GrasNonItaliquechelle120"/>
          <w:rFonts w:eastAsia="Courier New"/>
          <w:i w:val="0"/>
          <w:iCs w:val="0"/>
          <w:sz w:val="28"/>
        </w:rPr>
        <w:t xml:space="preserve">, </w:t>
      </w:r>
      <w:r w:rsidRPr="00E9210E">
        <w:rPr>
          <w:i/>
        </w:rPr>
        <w:t>t. VII et t. IX, 1</w:t>
      </w:r>
      <w:r w:rsidRPr="00E9210E">
        <w:rPr>
          <w:i/>
          <w:vertAlign w:val="superscript"/>
        </w:rPr>
        <w:t>re</w:t>
      </w:r>
      <w:r w:rsidRPr="00E9210E">
        <w:rPr>
          <w:i/>
        </w:rPr>
        <w:t xml:space="preserve"> partie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1928, « Bull. Fac. Let. Strasb. », t. VII (1928-1929), pp. 287-289.</w:t>
      </w:r>
    </w:p>
    <w:p w14:paraId="51475126" w14:textId="77777777" w:rsidR="00B9662D" w:rsidRPr="00E9210E" w:rsidRDefault="00B9662D" w:rsidP="00B9662D">
      <w:pPr>
        <w:spacing w:before="120" w:after="120"/>
        <w:jc w:val="both"/>
      </w:pPr>
    </w:p>
    <w:p w14:paraId="3800F68C" w14:textId="77777777" w:rsidR="00B9662D" w:rsidRPr="00E9210E" w:rsidRDefault="00B9662D" w:rsidP="00B9662D">
      <w:pPr>
        <w:spacing w:before="120" w:after="120"/>
        <w:jc w:val="center"/>
        <w:rPr>
          <w:b/>
        </w:rPr>
      </w:pPr>
      <w:r w:rsidRPr="00E9210E">
        <w:rPr>
          <w:b/>
        </w:rPr>
        <w:t>1929</w:t>
      </w:r>
    </w:p>
    <w:p w14:paraId="17FF273D" w14:textId="77777777" w:rsidR="00B9662D" w:rsidRPr="00E9210E" w:rsidRDefault="00B9662D" w:rsidP="00B9662D">
      <w:pPr>
        <w:spacing w:before="120" w:after="120"/>
        <w:jc w:val="both"/>
      </w:pPr>
    </w:p>
    <w:p w14:paraId="3291027D" w14:textId="77777777" w:rsidR="00B9662D" w:rsidRPr="00E9210E" w:rsidRDefault="00B9662D" w:rsidP="00B9662D">
      <w:pPr>
        <w:spacing w:before="120" w:after="120"/>
        <w:jc w:val="both"/>
        <w:rPr>
          <w:rStyle w:val="Corpsdutexte985ptNonGraschelle100"/>
          <w:rFonts w:eastAsia="Courier New"/>
          <w:b w:val="0"/>
          <w:bCs w:val="0"/>
          <w:sz w:val="28"/>
        </w:rPr>
      </w:pPr>
      <w:r w:rsidRPr="00E9210E">
        <w:rPr>
          <w:b/>
        </w:rPr>
        <w:t>« Les plans parcellaires en France »</w:t>
      </w:r>
      <w:r w:rsidRPr="00E9210E">
        <w:rPr>
          <w:rStyle w:val="Corpsdutexte985ptNonGraschelle100"/>
          <w:rFonts w:eastAsia="Courier New"/>
          <w:b w:val="0"/>
          <w:bCs w:val="0"/>
          <w:sz w:val="28"/>
        </w:rPr>
        <w:t xml:space="preserve">, </w:t>
      </w:r>
      <w:r w:rsidRPr="00E9210E">
        <w:rPr>
          <w:rStyle w:val="Corpsdutexte9NonGrasItaliquechelle100"/>
          <w:rFonts w:eastAsia="Courier New"/>
          <w:b w:val="0"/>
          <w:bCs w:val="0"/>
          <w:sz w:val="28"/>
        </w:rPr>
        <w:t>A.H.E.S.,</w:t>
      </w:r>
      <w:r w:rsidRPr="00E9210E">
        <w:t xml:space="preserve"> </w:t>
      </w:r>
      <w:r w:rsidRPr="00E9210E">
        <w:rPr>
          <w:rStyle w:val="Corpsdutexte985ptNonGraschelle100"/>
          <w:rFonts w:eastAsia="Courier New"/>
          <w:b w:val="0"/>
          <w:bCs w:val="0"/>
          <w:sz w:val="28"/>
        </w:rPr>
        <w:t xml:space="preserve">t. </w:t>
      </w:r>
      <w:r w:rsidRPr="00E9210E">
        <w:t xml:space="preserve">I </w:t>
      </w:r>
      <w:r w:rsidRPr="00E9210E">
        <w:rPr>
          <w:rStyle w:val="Corpsdutexte985ptNonGraschelle100"/>
          <w:rFonts w:eastAsia="Courier New"/>
          <w:b w:val="0"/>
          <w:bCs w:val="0"/>
          <w:sz w:val="28"/>
        </w:rPr>
        <w:t xml:space="preserve">(1929), p. 60-70 et 390-398. </w:t>
      </w:r>
    </w:p>
    <w:p w14:paraId="00193926" w14:textId="77777777" w:rsidR="00B9662D" w:rsidRPr="00E9210E" w:rsidRDefault="00B9662D" w:rsidP="00B9662D">
      <w:pPr>
        <w:spacing w:before="120" w:after="120"/>
        <w:jc w:val="both"/>
      </w:pPr>
      <w:r w:rsidRPr="00E9210E">
        <w:rPr>
          <w:b/>
        </w:rPr>
        <w:t>« Les Congrès-Sciences historiques »</w:t>
      </w:r>
      <w:r w:rsidRPr="00E9210E">
        <w:rPr>
          <w:rStyle w:val="Corpsdutexte985ptNonGraschelle100"/>
          <w:rFonts w:eastAsia="Courier New"/>
          <w:b w:val="0"/>
          <w:bCs w:val="0"/>
          <w:sz w:val="28"/>
        </w:rPr>
        <w:t xml:space="preserve">, </w:t>
      </w:r>
      <w:r w:rsidRPr="00E9210E">
        <w:rPr>
          <w:rStyle w:val="Corpsdutexte9NonGrasItaliquechelle100"/>
          <w:rFonts w:eastAsia="Courier New"/>
          <w:b w:val="0"/>
          <w:bCs w:val="0"/>
          <w:sz w:val="28"/>
        </w:rPr>
        <w:t>A.H.E.S.,</w:t>
      </w:r>
      <w:r w:rsidRPr="00E9210E">
        <w:t xml:space="preserve"> </w:t>
      </w:r>
      <w:r w:rsidRPr="00E9210E">
        <w:rPr>
          <w:rStyle w:val="Corpsdutexte985ptNonGraschelle100"/>
          <w:rFonts w:eastAsia="Courier New"/>
          <w:b w:val="0"/>
          <w:bCs w:val="0"/>
          <w:sz w:val="28"/>
        </w:rPr>
        <w:t xml:space="preserve">t. </w:t>
      </w:r>
      <w:r w:rsidRPr="00E9210E">
        <w:t xml:space="preserve">I </w:t>
      </w:r>
      <w:r w:rsidRPr="00E9210E">
        <w:rPr>
          <w:rStyle w:val="Corpsdutexte985ptNonGraschelle100"/>
          <w:rFonts w:eastAsia="Courier New"/>
          <w:b w:val="0"/>
          <w:bCs w:val="0"/>
          <w:sz w:val="28"/>
        </w:rPr>
        <w:t>(1929), pp. 71-73.</w:t>
      </w:r>
    </w:p>
    <w:p w14:paraId="62B22212" w14:textId="77777777" w:rsidR="00B9662D" w:rsidRPr="00E9210E" w:rsidRDefault="00B9662D" w:rsidP="00B9662D">
      <w:pPr>
        <w:spacing w:before="120" w:after="120"/>
        <w:jc w:val="both"/>
      </w:pPr>
      <w:r w:rsidRPr="00E9210E">
        <w:t>[1039]</w:t>
      </w:r>
    </w:p>
    <w:p w14:paraId="66D20061" w14:textId="77777777" w:rsidR="00B9662D" w:rsidRPr="00E9210E" w:rsidRDefault="00B9662D" w:rsidP="00B9662D">
      <w:pPr>
        <w:spacing w:before="120" w:after="120"/>
        <w:jc w:val="both"/>
      </w:pPr>
      <w:r w:rsidRPr="00E9210E">
        <w:t>« </w:t>
      </w:r>
      <w:r w:rsidRPr="00E9210E">
        <w:rPr>
          <w:b/>
        </w:rPr>
        <w:t>George Unwin : sa vie et les idées directrices de son œuvre </w:t>
      </w:r>
      <w:r w:rsidRPr="00E9210E">
        <w:t xml:space="preserve">», </w:t>
      </w:r>
      <w:r w:rsidRPr="00E9210E">
        <w:rPr>
          <w:rStyle w:val="Corpsdutexte8NonGrasItaliquechelle100"/>
          <w:rFonts w:eastAsia="Courier New"/>
          <w:b w:val="0"/>
          <w:bCs w:val="0"/>
          <w:sz w:val="28"/>
        </w:rPr>
        <w:t>A.H.E.S.,</w:t>
      </w:r>
      <w:r w:rsidRPr="00E9210E">
        <w:t xml:space="preserve"> t. I (1929), pp. 241-247.</w:t>
      </w:r>
    </w:p>
    <w:p w14:paraId="216569AC" w14:textId="77777777" w:rsidR="00B9662D" w:rsidRPr="00E9210E" w:rsidRDefault="00B9662D" w:rsidP="00B9662D">
      <w:pPr>
        <w:spacing w:before="120" w:after="120"/>
        <w:jc w:val="both"/>
      </w:pPr>
      <w:r w:rsidRPr="00E9210E">
        <w:t>« </w:t>
      </w:r>
      <w:r w:rsidRPr="00E9210E">
        <w:rPr>
          <w:b/>
        </w:rPr>
        <w:t>L’Empire et l’idée d'Empire sous les Kohenstaufen </w:t>
      </w:r>
      <w:r w:rsidRPr="00E9210E">
        <w:t xml:space="preserve">», </w:t>
      </w:r>
      <w:r w:rsidRPr="00E9210E">
        <w:rPr>
          <w:rStyle w:val="Corpsdutexte8NonGrasItaliquechelle100"/>
          <w:rFonts w:eastAsia="Courier New"/>
          <w:b w:val="0"/>
          <w:bCs w:val="0"/>
          <w:sz w:val="28"/>
        </w:rPr>
        <w:t>Revue des cours et conférences</w:t>
      </w:r>
      <w:r w:rsidRPr="00E9210E">
        <w:rPr>
          <w:rStyle w:val="Corpsdutexte885ptNonGraschelle100"/>
          <w:rFonts w:eastAsia="Courier New"/>
          <w:b w:val="0"/>
          <w:bCs w:val="0"/>
          <w:sz w:val="28"/>
        </w:rPr>
        <w:t>, t. 60 (1929), pp. 481-494, 577-589 et 759-768.</w:t>
      </w:r>
    </w:p>
    <w:p w14:paraId="4A93BC8E" w14:textId="77777777" w:rsidR="00B9662D" w:rsidRPr="00E9210E" w:rsidRDefault="00B9662D" w:rsidP="00B9662D">
      <w:pPr>
        <w:spacing w:before="120" w:after="120"/>
        <w:jc w:val="both"/>
      </w:pPr>
      <w:r w:rsidRPr="00E9210E">
        <w:t>L’esclavage en Sicile depuis la fin du Moyen Âge. (Compte re</w:t>
      </w:r>
      <w:r w:rsidRPr="00E9210E">
        <w:t>n</w:t>
      </w:r>
      <w:r w:rsidRPr="00E9210E">
        <w:t xml:space="preserve">du : M. </w:t>
      </w:r>
      <w:r w:rsidRPr="00E9210E">
        <w:rPr>
          <w:rStyle w:val="Corpsdutexte27ptGras"/>
          <w:rFonts w:eastAsia="Courier New"/>
          <w:b w:val="0"/>
          <w:smallCaps/>
          <w:sz w:val="28"/>
        </w:rPr>
        <w:t>Gaudioso</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schiavitu domestica in Sicilia dopo i Norma</w:t>
      </w:r>
      <w:r w:rsidRPr="00E9210E">
        <w:rPr>
          <w:rStyle w:val="Corpsdutexte28ptItalique"/>
          <w:rFonts w:eastAsia="Courier New"/>
          <w:sz w:val="28"/>
        </w:rPr>
        <w:t>n</w:t>
      </w:r>
      <w:r w:rsidRPr="00E9210E">
        <w:rPr>
          <w:rStyle w:val="Corpsdutexte28ptItalique"/>
          <w:rFonts w:eastAsia="Courier New"/>
          <w:sz w:val="28"/>
        </w:rPr>
        <w:t xml:space="preserve">ni. Legislazione, Dottrina, Formule, </w:t>
      </w:r>
      <w:r w:rsidRPr="00E9210E">
        <w:t>Cat</w:t>
      </w:r>
      <w:r w:rsidRPr="00E9210E">
        <w:t>a</w:t>
      </w:r>
      <w:r w:rsidRPr="00E9210E">
        <w:t>nia, 1926), « A.H.E.S. », t. I (1929), pp. 91-94.</w:t>
      </w:r>
    </w:p>
    <w:p w14:paraId="20B581F5" w14:textId="77777777" w:rsidR="00B9662D" w:rsidRPr="00E9210E" w:rsidRDefault="00B9662D" w:rsidP="00B9662D">
      <w:pPr>
        <w:spacing w:before="120" w:after="120"/>
        <w:jc w:val="both"/>
      </w:pPr>
      <w:r w:rsidRPr="00E9210E">
        <w:t xml:space="preserve">Compte rendu : </w:t>
      </w:r>
      <w:r w:rsidRPr="00E9210E">
        <w:rPr>
          <w:rStyle w:val="Corpsdutexte28ptItalique"/>
          <w:rFonts w:eastAsia="Courier New"/>
          <w:sz w:val="28"/>
        </w:rPr>
        <w:t>Infelices Rustici,</w:t>
      </w:r>
      <w:r w:rsidRPr="00E9210E">
        <w:rPr>
          <w:rStyle w:val="Corpsdutexte28ptGraschelle120"/>
          <w:rFonts w:eastAsia="Courier New"/>
          <w:sz w:val="28"/>
        </w:rPr>
        <w:t xml:space="preserve"> </w:t>
      </w:r>
      <w:r w:rsidRPr="00E9210E">
        <w:t xml:space="preserve">édité par L. </w:t>
      </w:r>
      <w:r w:rsidRPr="00E9210E">
        <w:rPr>
          <w:rStyle w:val="Corpsdutexte27ptGras"/>
          <w:rFonts w:eastAsia="Courier New"/>
          <w:b w:val="0"/>
          <w:smallCaps/>
          <w:sz w:val="28"/>
        </w:rPr>
        <w:t>Suttina</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dans </w:t>
      </w:r>
      <w:r w:rsidRPr="00E9210E">
        <w:rPr>
          <w:rStyle w:val="Corpsdutexte28ptItalique"/>
          <w:rFonts w:eastAsia="Courier New"/>
          <w:sz w:val="28"/>
        </w:rPr>
        <w:t>Studi Medievali, Nuova Serie,</w:t>
      </w:r>
      <w:r w:rsidRPr="00E9210E">
        <w:rPr>
          <w:rStyle w:val="Corpsdutexte28ptGraschelle120"/>
          <w:rFonts w:eastAsia="Courier New"/>
          <w:sz w:val="28"/>
        </w:rPr>
        <w:t xml:space="preserve"> </w:t>
      </w:r>
      <w:r w:rsidRPr="00E9210E">
        <w:t>t. I, (1928), p. 165-172, « A.H.E.S. », t. I (1929), p. 100.</w:t>
      </w:r>
    </w:p>
    <w:p w14:paraId="6E475CD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G. </w:t>
      </w:r>
      <w:r w:rsidRPr="00E9210E">
        <w:rPr>
          <w:rStyle w:val="Corpsdutexte37ptGrasNonItalique"/>
          <w:rFonts w:eastAsia="Courier New"/>
          <w:b w:val="0"/>
          <w:i w:val="0"/>
          <w:iCs w:val="0"/>
          <w:smallCaps/>
          <w:sz w:val="28"/>
        </w:rPr>
        <w:t>Lefebvre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recherches relatives à la répa</w:t>
      </w:r>
      <w:r w:rsidRPr="00E9210E">
        <w:rPr>
          <w:i/>
        </w:rPr>
        <w:t>r</w:t>
      </w:r>
      <w:r w:rsidRPr="00E9210E">
        <w:rPr>
          <w:i/>
        </w:rPr>
        <w:t>tition de la propriété et de l’exploitation à la fin de l’ancien régime,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d’histoire moderne</w:t>
      </w:r>
      <w:r w:rsidRPr="00E9210E">
        <w:t xml:space="preserve">, </w:t>
      </w:r>
      <w:r w:rsidRPr="00E9210E">
        <w:rPr>
          <w:rStyle w:val="Corpsdutexte385ptNonItalique"/>
          <w:rFonts w:eastAsia="Courier New"/>
          <w:i w:val="0"/>
          <w:iCs w:val="0"/>
          <w:sz w:val="28"/>
        </w:rPr>
        <w:t>mars-avril 1928, pp. 103-130, « A.H.E.S. », t. I (1929), p. 100.</w:t>
      </w:r>
    </w:p>
    <w:p w14:paraId="42C1467F" w14:textId="77777777" w:rsidR="00B9662D" w:rsidRPr="00E9210E" w:rsidRDefault="00B9662D" w:rsidP="00B9662D">
      <w:pPr>
        <w:spacing w:before="120" w:after="120"/>
        <w:jc w:val="both"/>
      </w:pPr>
      <w:r w:rsidRPr="00E9210E">
        <w:t xml:space="preserve">Compte rendu : </w:t>
      </w:r>
      <w:r w:rsidRPr="00E9210E">
        <w:rPr>
          <w:rStyle w:val="Corpsdutexte27ptGras"/>
          <w:rFonts w:eastAsia="Courier New"/>
          <w:b w:val="0"/>
          <w:sz w:val="28"/>
        </w:rPr>
        <w:t xml:space="preserve">A. A., </w:t>
      </w:r>
      <w:r w:rsidRPr="00E9210E">
        <w:rPr>
          <w:rStyle w:val="Corpsdutexte27ptGras"/>
          <w:rFonts w:eastAsia="Courier New"/>
          <w:b w:val="0"/>
          <w:smallCaps/>
          <w:sz w:val="28"/>
        </w:rPr>
        <w:t>Alexandre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agricole dans la Pica</w:t>
      </w:r>
      <w:r w:rsidRPr="00E9210E">
        <w:rPr>
          <w:rStyle w:val="Corpsdutexte28ptItalique"/>
          <w:rFonts w:eastAsia="Courier New"/>
          <w:sz w:val="28"/>
        </w:rPr>
        <w:t>r</w:t>
      </w:r>
      <w:r w:rsidRPr="00E9210E">
        <w:rPr>
          <w:rStyle w:val="Corpsdutexte28ptItalique"/>
          <w:rFonts w:eastAsia="Courier New"/>
          <w:sz w:val="28"/>
        </w:rPr>
        <w:t>die orientale depuis la guerre,</w:t>
      </w:r>
      <w:r w:rsidRPr="00E9210E">
        <w:rPr>
          <w:rStyle w:val="Corpsdutexte28ptGraschelle120"/>
          <w:rFonts w:eastAsia="Courier New"/>
          <w:sz w:val="28"/>
        </w:rPr>
        <w:t xml:space="preserve"> </w:t>
      </w:r>
      <w:r w:rsidRPr="00E9210E">
        <w:t>Paris, 1928, « A.H.E.S. », t. I (1929), pp. 101-102.</w:t>
      </w:r>
    </w:p>
    <w:p w14:paraId="0BBA5E5E" w14:textId="77777777" w:rsidR="00B9662D" w:rsidRPr="00E9210E" w:rsidRDefault="00B9662D" w:rsidP="00B9662D">
      <w:pPr>
        <w:spacing w:before="120" w:after="120"/>
        <w:jc w:val="both"/>
      </w:pPr>
      <w:r w:rsidRPr="00E9210E">
        <w:t xml:space="preserve">Compte rendu : A. </w:t>
      </w:r>
      <w:r w:rsidRPr="00E9210E">
        <w:rPr>
          <w:rStyle w:val="Corpsdutexte27ptGras"/>
          <w:rFonts w:eastAsia="Courier New"/>
          <w:b w:val="0"/>
          <w:smallCaps/>
          <w:sz w:val="28"/>
        </w:rPr>
        <w:t>Wauters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réforme agraire en Europe,</w:t>
      </w:r>
      <w:r w:rsidRPr="00E9210E">
        <w:rPr>
          <w:rStyle w:val="Corpsdutexte28ptGraschelle120"/>
          <w:rFonts w:eastAsia="Courier New"/>
          <w:sz w:val="28"/>
        </w:rPr>
        <w:t xml:space="preserve"> </w:t>
      </w:r>
      <w:r w:rsidRPr="00E9210E">
        <w:t>Bruxelles, 1928, « A.H.E.S. », t. I (1929), pp. 102-103.</w:t>
      </w:r>
    </w:p>
    <w:p w14:paraId="07C2E2AA"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 prétendu drapier milanais en 926,</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Studi medievali, Nuova S</w:t>
      </w:r>
      <w:r w:rsidRPr="00E9210E">
        <w:rPr>
          <w:rStyle w:val="Corpsdutexte28ptItalique"/>
          <w:rFonts w:eastAsia="Courier New"/>
          <w:sz w:val="28"/>
        </w:rPr>
        <w:t>e</w:t>
      </w:r>
      <w:r w:rsidRPr="00E9210E">
        <w:rPr>
          <w:rStyle w:val="Corpsdutexte28ptItalique"/>
          <w:rFonts w:eastAsia="Courier New"/>
          <w:sz w:val="28"/>
        </w:rPr>
        <w:t>rie,</w:t>
      </w:r>
      <w:r w:rsidRPr="00E9210E">
        <w:rPr>
          <w:rStyle w:val="Corpsdutexte28ptGraschelle120"/>
          <w:rFonts w:eastAsia="Courier New"/>
          <w:sz w:val="28"/>
        </w:rPr>
        <w:t xml:space="preserve"> </w:t>
      </w:r>
      <w:r w:rsidRPr="00E9210E">
        <w:t>t. I, (1928), pp. 131-133, « A.H.E.S. », t. I (1929), p. 126.</w:t>
      </w:r>
    </w:p>
    <w:p w14:paraId="5A7E552B"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A. </w:t>
      </w:r>
      <w:r w:rsidRPr="00E9210E">
        <w:rPr>
          <w:rStyle w:val="Corpsdutexte37ptGrasNonItalique"/>
          <w:rFonts w:eastAsia="Courier New"/>
          <w:b w:val="0"/>
          <w:i w:val="0"/>
          <w:iCs w:val="0"/>
          <w:smallCaps/>
          <w:sz w:val="28"/>
        </w:rPr>
        <w:t>Sapori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I libri di commercio délia Compagnia dei Perruzzi di Firenze, </w:t>
      </w:r>
      <w:r w:rsidRPr="00E9210E">
        <w:rPr>
          <w:rStyle w:val="Corpsdutexte385ptNonItalique"/>
          <w:rFonts w:eastAsia="Courier New"/>
          <w:i w:val="0"/>
          <w:iCs w:val="0"/>
          <w:sz w:val="28"/>
        </w:rPr>
        <w:t xml:space="preserve">dans </w:t>
      </w:r>
      <w:r w:rsidRPr="00E9210E">
        <w:rPr>
          <w:i/>
        </w:rPr>
        <w:t>Studi medievali, Nuova Serie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I (1928), p. 114-130, « A.H.E.S. », t. I (1929), p. 126.</w:t>
      </w:r>
    </w:p>
    <w:p w14:paraId="3B96426A" w14:textId="77777777" w:rsidR="00B9662D" w:rsidRPr="00E9210E" w:rsidRDefault="00B9662D" w:rsidP="00B9662D">
      <w:pPr>
        <w:spacing w:before="120" w:after="120"/>
        <w:jc w:val="both"/>
      </w:pPr>
      <w:r w:rsidRPr="00E9210E">
        <w:t xml:space="preserve">Compte rendu : W. </w:t>
      </w:r>
      <w:r w:rsidRPr="00E9210E">
        <w:rPr>
          <w:rStyle w:val="Corpsdutexte27ptGras"/>
          <w:rFonts w:eastAsia="Courier New"/>
          <w:b w:val="0"/>
          <w:smallCaps/>
          <w:sz w:val="28"/>
        </w:rPr>
        <w:t>Vogel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Hansische Umschau (Herbst 1925-bis Sommer 1927),</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Hansische Geschiclitsblätter,</w:t>
      </w:r>
      <w:r w:rsidRPr="00E9210E">
        <w:rPr>
          <w:rStyle w:val="Corpsdutexte28ptGraschelle120"/>
          <w:rFonts w:eastAsia="Courier New"/>
          <w:sz w:val="28"/>
        </w:rPr>
        <w:t xml:space="preserve"> </w:t>
      </w:r>
      <w:r w:rsidRPr="00E9210E">
        <w:t>52</w:t>
      </w:r>
      <w:r w:rsidRPr="00E9210E">
        <w:rPr>
          <w:vertAlign w:val="superscript"/>
        </w:rPr>
        <w:t>e</w:t>
      </w:r>
      <w:r w:rsidRPr="00E9210E">
        <w:t xml:space="preserve"> année (1927), pp. 211-249, « A.H.E.S. », t. I (1929), p. 126.</w:t>
      </w:r>
    </w:p>
    <w:p w14:paraId="0E7EB6A6" w14:textId="77777777" w:rsidR="00B9662D" w:rsidRPr="00E9210E" w:rsidRDefault="00B9662D" w:rsidP="00B9662D">
      <w:pPr>
        <w:spacing w:before="120" w:after="120"/>
        <w:jc w:val="both"/>
      </w:pPr>
      <w:r w:rsidRPr="00E9210E">
        <w:t xml:space="preserve">Compte rendu : E. </w:t>
      </w:r>
      <w:r w:rsidRPr="00E9210E">
        <w:rPr>
          <w:rStyle w:val="Corpsdutexte27ptGras"/>
          <w:rFonts w:eastAsia="Courier New"/>
          <w:b w:val="0"/>
          <w:smallCaps/>
          <w:sz w:val="28"/>
        </w:rPr>
        <w:t>Keyser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Anfänge des deutschen Handels im Preussenlande,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Hansische Geschichtsblätter,</w:t>
      </w:r>
      <w:r w:rsidRPr="00E9210E">
        <w:rPr>
          <w:rStyle w:val="Corpsdutexte28ptGraschelle120"/>
          <w:rFonts w:eastAsia="Courier New"/>
          <w:sz w:val="28"/>
        </w:rPr>
        <w:t xml:space="preserve"> </w:t>
      </w:r>
      <w:r w:rsidRPr="00E9210E">
        <w:t>52</w:t>
      </w:r>
      <w:r w:rsidRPr="00E9210E">
        <w:rPr>
          <w:vertAlign w:val="superscript"/>
        </w:rPr>
        <w:t>e</w:t>
      </w:r>
      <w:r w:rsidRPr="00E9210E">
        <w:t xml:space="preserve"> année (1927), pp. 57-80, « A.H.E.S. », t. I (1929) pp. 126-127.</w:t>
      </w:r>
    </w:p>
    <w:p w14:paraId="2E31C57D" w14:textId="77777777" w:rsidR="00B9662D" w:rsidRPr="00E9210E" w:rsidRDefault="00B9662D" w:rsidP="00B9662D">
      <w:pPr>
        <w:spacing w:before="120" w:after="120"/>
        <w:jc w:val="both"/>
      </w:pPr>
      <w:r w:rsidRPr="00E9210E">
        <w:rPr>
          <w:rStyle w:val="Corpsdutexte385ptNonItalique"/>
          <w:rFonts w:eastAsia="Courier New"/>
          <w:i w:val="0"/>
          <w:iCs w:val="0"/>
          <w:sz w:val="28"/>
        </w:rPr>
        <w:t>Institutions vassaliques, féodales et seigneuriales. (Comptes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dus : P. </w:t>
      </w:r>
      <w:r w:rsidRPr="00E9210E">
        <w:rPr>
          <w:rStyle w:val="Corpsdutexte37ptGrasNonItalique"/>
          <w:rFonts w:eastAsia="Courier New"/>
          <w:b w:val="0"/>
          <w:i w:val="0"/>
          <w:iCs w:val="0"/>
          <w:smallCaps/>
          <w:sz w:val="28"/>
        </w:rPr>
        <w:t>Leicht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Gasindii e vassalli,</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Rendiconti delia R. Acc</w:t>
      </w:r>
      <w:r w:rsidRPr="00E9210E">
        <w:rPr>
          <w:i/>
        </w:rPr>
        <w:t>a</w:t>
      </w:r>
      <w:r w:rsidRPr="00E9210E">
        <w:rPr>
          <w:i/>
        </w:rPr>
        <w:t>demia nazionale dei Lincei. Classe di scienze morali, storiche e fil</w:t>
      </w:r>
      <w:r w:rsidRPr="00E9210E">
        <w:rPr>
          <w:i/>
        </w:rPr>
        <w:t>o</w:t>
      </w:r>
      <w:r w:rsidRPr="00E9210E">
        <w:rPr>
          <w:i/>
        </w:rPr>
        <w:t>logiche,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Série VI, vol. III, fasc. 3-4 (1927), pp. 291-307. — </w:t>
      </w:r>
      <w:r w:rsidRPr="00E9210E">
        <w:rPr>
          <w:rStyle w:val="Corpsdutexte3NonItaliquePetitesmajuscules"/>
          <w:rFonts w:eastAsia="Courier New"/>
          <w:i w:val="0"/>
          <w:iCs w:val="0"/>
          <w:sz w:val="28"/>
        </w:rPr>
        <w:t xml:space="preserve">G. M. Monti, </w:t>
      </w:r>
      <w:r w:rsidRPr="00E9210E">
        <w:rPr>
          <w:i/>
        </w:rPr>
        <w:t>Il dominio universale feudale e l’jus cunnatici in Terra d’Otranto</w:t>
      </w:r>
      <w:r w:rsidRPr="00E9210E">
        <w:t xml:space="preserve">, </w:t>
      </w:r>
      <w:r w:rsidRPr="00E9210E">
        <w:rPr>
          <w:rStyle w:val="Corpsdutexte385ptNonItalique"/>
          <w:rFonts w:eastAsia="Courier New"/>
          <w:i w:val="0"/>
          <w:iCs w:val="0"/>
          <w:sz w:val="28"/>
        </w:rPr>
        <w:t xml:space="preserve">dans </w:t>
      </w:r>
      <w:r w:rsidRPr="00E9210E">
        <w:rPr>
          <w:i/>
        </w:rPr>
        <w:t>Annali dei Seminario Giuridico Economico dei R. Un</w:t>
      </w:r>
      <w:r w:rsidRPr="00E9210E">
        <w:rPr>
          <w:i/>
        </w:rPr>
        <w:t>i</w:t>
      </w:r>
      <w:r w:rsidRPr="00E9210E">
        <w:rPr>
          <w:i/>
        </w:rPr>
        <w:t>versità di Bari,</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I, fasc. 2 [1927]), « A.H.E.S. », t. I (1929), pp. 131-134.</w:t>
      </w:r>
    </w:p>
    <w:p w14:paraId="46721551" w14:textId="77777777" w:rsidR="00B9662D" w:rsidRPr="00E9210E" w:rsidRDefault="00B9662D" w:rsidP="00B9662D">
      <w:pPr>
        <w:spacing w:before="120" w:after="120"/>
        <w:jc w:val="both"/>
      </w:pPr>
      <w:r w:rsidRPr="00E9210E">
        <w:t>Économie française : monographies géographiques. (Comptes re</w:t>
      </w:r>
      <w:r w:rsidRPr="00E9210E">
        <w:t>n</w:t>
      </w:r>
      <w:r w:rsidRPr="00E9210E">
        <w:t xml:space="preserve">dus : G. </w:t>
      </w:r>
      <w:r w:rsidRPr="00E9210E">
        <w:rPr>
          <w:rStyle w:val="Corpsdutexte27ptGras"/>
          <w:rFonts w:eastAsia="Courier New"/>
          <w:b w:val="0"/>
          <w:smallCaps/>
          <w:sz w:val="28"/>
        </w:rPr>
        <w:t>Chabot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côtière orientale de la Dombes, et l’influence de Lyon,</w:t>
      </w:r>
      <w:r w:rsidRPr="00E9210E">
        <w:rPr>
          <w:rStyle w:val="Corpsdutexte28ptGraschelle120"/>
          <w:rFonts w:eastAsia="Courier New"/>
          <w:sz w:val="28"/>
        </w:rPr>
        <w:t xml:space="preserve"> </w:t>
      </w:r>
      <w:r w:rsidRPr="00E9210E">
        <w:t xml:space="preserve">Paris, 1927. — M. </w:t>
      </w:r>
      <w:r w:rsidRPr="00E9210E">
        <w:rPr>
          <w:rStyle w:val="Corpsdutexte27ptGras"/>
          <w:rFonts w:eastAsia="Courier New"/>
          <w:b w:val="0"/>
          <w:smallCaps/>
          <w:sz w:val="28"/>
        </w:rPr>
        <w:t>Basse</w:t>
      </w:r>
      <w:r w:rsidRPr="00E9210E">
        <w:rPr>
          <w:rStyle w:val="Corpsdutexte27ptGras"/>
          <w:rFonts w:eastAsia="Courier New"/>
          <w:b w:val="0"/>
          <w:smallCaps/>
          <w:sz w:val="28"/>
        </w:rPr>
        <w:t>r</w:t>
      </w:r>
      <w:r w:rsidRPr="00E9210E">
        <w:rPr>
          <w:rStyle w:val="Corpsdutexte27ptGras"/>
          <w:rFonts w:eastAsia="Courier New"/>
          <w:b w:val="0"/>
          <w:smallCaps/>
          <w:sz w:val="28"/>
        </w:rPr>
        <w:t>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Cantal : économie agricole et pastorale,</w:t>
      </w:r>
      <w:r w:rsidRPr="00E9210E">
        <w:rPr>
          <w:rStyle w:val="Corpsdutexte28ptGraschelle120"/>
          <w:rFonts w:eastAsia="Courier New"/>
          <w:sz w:val="28"/>
        </w:rPr>
        <w:t xml:space="preserve"> </w:t>
      </w:r>
      <w:r w:rsidRPr="00E9210E">
        <w:t>Aurillac, 1928), « A.H.E.S. », t. 1(1929), pp. 134-137.</w:t>
      </w:r>
    </w:p>
    <w:p w14:paraId="21A89427" w14:textId="77777777" w:rsidR="00B9662D" w:rsidRPr="00E9210E" w:rsidRDefault="00B9662D" w:rsidP="00B9662D">
      <w:pPr>
        <w:spacing w:before="120" w:after="120"/>
        <w:jc w:val="both"/>
      </w:pPr>
      <w:r w:rsidRPr="00E9210E">
        <w:t xml:space="preserve">Économie de l’Europe slave. (Compte rendu : J. </w:t>
      </w:r>
      <w:r w:rsidRPr="00E9210E">
        <w:rPr>
          <w:rStyle w:val="Corpsdutexte27ptGras"/>
          <w:rFonts w:eastAsia="Courier New"/>
          <w:b w:val="0"/>
          <w:smallCaps/>
          <w:sz w:val="28"/>
        </w:rPr>
        <w:t>Rutkowski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w:t>
      </w:r>
      <w:r w:rsidRPr="00E9210E">
        <w:rPr>
          <w:rStyle w:val="Corpsdutexte28ptItalique"/>
          <w:rFonts w:eastAsia="Courier New"/>
          <w:sz w:val="28"/>
        </w:rPr>
        <w:t>s</w:t>
      </w:r>
      <w:r w:rsidRPr="00E9210E">
        <w:rPr>
          <w:rStyle w:val="Corpsdutexte28ptItalique"/>
          <w:rFonts w:eastAsia="Courier New"/>
          <w:sz w:val="28"/>
        </w:rPr>
        <w:t>toire économique de la Pologne avant les partages,</w:t>
      </w:r>
      <w:r w:rsidRPr="00E9210E">
        <w:rPr>
          <w:rStyle w:val="Corpsdutexte28ptGraschelle120"/>
          <w:rFonts w:eastAsia="Courier New"/>
          <w:sz w:val="28"/>
        </w:rPr>
        <w:t xml:space="preserve"> </w:t>
      </w:r>
      <w:r w:rsidRPr="00E9210E">
        <w:t>Paris, 1927), « A.H.E.S. », t. I (1929), pp. 147-150.</w:t>
      </w:r>
    </w:p>
    <w:p w14:paraId="5B4859D5" w14:textId="77777777" w:rsidR="00B9662D" w:rsidRPr="00E9210E" w:rsidRDefault="00B9662D" w:rsidP="00B9662D">
      <w:pPr>
        <w:spacing w:before="120" w:after="120"/>
        <w:jc w:val="both"/>
      </w:pPr>
      <w:r w:rsidRPr="00E9210E">
        <w:rPr>
          <w:rStyle w:val="Corpsdutexte28ptItalique"/>
          <w:rFonts w:eastAsia="Courier New"/>
          <w:sz w:val="28"/>
        </w:rPr>
        <w:t>Les plans parcellaires. En Allemagne.</w:t>
      </w:r>
      <w:r w:rsidRPr="00E9210E">
        <w:rPr>
          <w:rStyle w:val="Corpsdutexte28ptGraschelle120"/>
          <w:rFonts w:eastAsia="Courier New"/>
          <w:sz w:val="28"/>
        </w:rPr>
        <w:t> — </w:t>
      </w:r>
      <w:r w:rsidRPr="00E9210E">
        <w:rPr>
          <w:rStyle w:val="Corpsdutexte28ptItalique"/>
          <w:rFonts w:eastAsia="Courier New"/>
          <w:sz w:val="28"/>
        </w:rPr>
        <w:t>En Angleterre,</w:t>
      </w:r>
      <w:r w:rsidRPr="00E9210E">
        <w:rPr>
          <w:rStyle w:val="Corpsdutexte28ptGraschelle120"/>
          <w:rFonts w:eastAsia="Courier New"/>
          <w:sz w:val="28"/>
        </w:rPr>
        <w:t xml:space="preserve"> </w:t>
      </w:r>
      <w:r w:rsidRPr="00E9210E">
        <w:t xml:space="preserve">(Notes de W. </w:t>
      </w:r>
      <w:r w:rsidRPr="00E9210E">
        <w:rPr>
          <w:rStyle w:val="Corpsdutexte27ptGras"/>
          <w:rFonts w:eastAsia="Courier New"/>
          <w:b w:val="0"/>
          <w:smallCaps/>
          <w:sz w:val="28"/>
        </w:rPr>
        <w:t>Vogel</w:t>
      </w:r>
      <w:r w:rsidRPr="00E9210E">
        <w:rPr>
          <w:rStyle w:val="Corpsdutexte27ptGras"/>
          <w:rFonts w:eastAsia="Courier New"/>
          <w:sz w:val="28"/>
        </w:rPr>
        <w:t xml:space="preserve"> </w:t>
      </w:r>
      <w:r w:rsidRPr="00E9210E">
        <w:t xml:space="preserve">(Allemagne) et R. H. </w:t>
      </w:r>
      <w:r w:rsidRPr="00E9210E">
        <w:rPr>
          <w:rStyle w:val="Corpsdutexte27ptGras"/>
          <w:rFonts w:eastAsia="Courier New"/>
          <w:b w:val="0"/>
          <w:smallCaps/>
          <w:sz w:val="28"/>
        </w:rPr>
        <w:t>Tawney</w:t>
      </w:r>
      <w:r w:rsidRPr="00E9210E">
        <w:rPr>
          <w:rStyle w:val="Corpsdutexte27ptGras"/>
          <w:rFonts w:eastAsia="Courier New"/>
          <w:sz w:val="28"/>
        </w:rPr>
        <w:t xml:space="preserve"> </w:t>
      </w:r>
      <w:r w:rsidRPr="00E9210E">
        <w:t xml:space="preserve">et Dr. H. </w:t>
      </w:r>
      <w:r w:rsidRPr="00E9210E">
        <w:rPr>
          <w:rStyle w:val="Corpsdutexte27ptGras"/>
          <w:rFonts w:eastAsia="Courier New"/>
          <w:b w:val="0"/>
          <w:smallCaps/>
          <w:sz w:val="28"/>
        </w:rPr>
        <w:t>Hall</w:t>
      </w:r>
      <w:r w:rsidRPr="00E9210E">
        <w:rPr>
          <w:rStyle w:val="Corpsdutexte27ptGras"/>
          <w:rFonts w:eastAsia="Courier New"/>
          <w:sz w:val="28"/>
        </w:rPr>
        <w:t xml:space="preserve"> </w:t>
      </w:r>
      <w:r w:rsidRPr="00E9210E">
        <w:t>(Angl</w:t>
      </w:r>
      <w:r w:rsidRPr="00E9210E">
        <w:t>e</w:t>
      </w:r>
      <w:r w:rsidRPr="00E9210E">
        <w:t>terre), traduites et adaptées par M. Bloch), « A.H.E.S. », t. I (1929), pp. 225-231.</w:t>
      </w:r>
    </w:p>
    <w:p w14:paraId="01AB2D0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nouvelle revue d’histoire économique </w:t>
      </w:r>
      <w:r w:rsidRPr="00E9210E">
        <w:t>(</w:t>
      </w:r>
      <w:r w:rsidRPr="00E9210E">
        <w:rPr>
          <w:i/>
        </w:rPr>
        <w:t>Journal of économie and business hi</w:t>
      </w:r>
      <w:r w:rsidRPr="00E9210E">
        <w:rPr>
          <w:i/>
        </w:rPr>
        <w:t>s</w:t>
      </w:r>
      <w:r w:rsidRPr="00E9210E">
        <w:rPr>
          <w:i/>
        </w:rPr>
        <w:t>tory</w:t>
      </w:r>
      <w:r w:rsidRPr="00E9210E">
        <w:t>), « A.H.E.S. », t. I (1929), pp. 239-240.</w:t>
      </w:r>
    </w:p>
    <w:p w14:paraId="1EEB278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Instruments de travail. (Note sur </w:t>
      </w:r>
      <w:r w:rsidRPr="00E9210E">
        <w:rPr>
          <w:i/>
        </w:rPr>
        <w:t>l’Indice trentennale (1894-1923) de la Riforma sociale, rivista critica di economia e di finanze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A.H.E.S. », t. I (1929), pp. 248-249.</w:t>
      </w:r>
    </w:p>
    <w:p w14:paraId="3E594D67" w14:textId="77777777" w:rsidR="00B9662D" w:rsidRPr="00E9210E" w:rsidRDefault="00B9662D" w:rsidP="00B9662D">
      <w:pPr>
        <w:spacing w:before="120" w:after="120"/>
        <w:jc w:val="both"/>
      </w:pPr>
      <w:r w:rsidRPr="00E9210E">
        <w:t>Not. nécrologique : Dietrich Schäfer (de l’Université de Berlin), « A.H.E.S. », t. I (1929), pp. 250-251.</w:t>
      </w:r>
    </w:p>
    <w:p w14:paraId="02FB3898" w14:textId="77777777" w:rsidR="00B9662D" w:rsidRPr="00E9210E" w:rsidRDefault="00B9662D" w:rsidP="00B9662D">
      <w:pPr>
        <w:spacing w:before="120" w:after="120"/>
        <w:jc w:val="both"/>
      </w:pPr>
      <w:r w:rsidRPr="00E9210E">
        <w:t>[1040]</w:t>
      </w:r>
    </w:p>
    <w:p w14:paraId="7AB6E054" w14:textId="77777777" w:rsidR="00B9662D" w:rsidRPr="00E9210E" w:rsidRDefault="00B9662D" w:rsidP="00B9662D">
      <w:pPr>
        <w:spacing w:before="120" w:after="120"/>
        <w:jc w:val="both"/>
      </w:pPr>
      <w:r w:rsidRPr="00E9210E">
        <w:t xml:space="preserve">Classification et choix des faits en histoire économique : réflexions de méthode à propos de quelques ouvrages récents. (Comptes rendus : J. W. </w:t>
      </w:r>
      <w:r w:rsidRPr="00E9210E">
        <w:rPr>
          <w:rStyle w:val="Corpsdutexte27ptGras"/>
          <w:rFonts w:eastAsia="Courier New"/>
          <w:b w:val="0"/>
          <w:smallCaps/>
          <w:sz w:val="28"/>
        </w:rPr>
        <w:t>Thompson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An economic and social history of the middle ages</w:t>
      </w:r>
      <w:r w:rsidRPr="00E9210E">
        <w:rPr>
          <w:rStyle w:val="Corpsdutexte2ItaliqueEspacement0pt"/>
          <w:rFonts w:eastAsia="Courier New"/>
          <w:sz w:val="28"/>
        </w:rPr>
        <w:t>,</w:t>
      </w:r>
      <w:r w:rsidRPr="00E9210E">
        <w:t xml:space="preserve"> New York, Londres. — J. </w:t>
      </w:r>
      <w:r w:rsidRPr="00E9210E">
        <w:rPr>
          <w:rStyle w:val="Corpsdutexte27ptGras"/>
          <w:rFonts w:eastAsia="Courier New"/>
          <w:b w:val="0"/>
          <w:smallCaps/>
          <w:sz w:val="28"/>
        </w:rPr>
        <w:t>Kulischer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Allgemeine Wirtschaftsge</w:t>
      </w:r>
      <w:r w:rsidRPr="00E9210E">
        <w:rPr>
          <w:rStyle w:val="Corpsdutexte28ptItalique"/>
          <w:rFonts w:eastAsia="Courier New"/>
          <w:sz w:val="28"/>
        </w:rPr>
        <w:t>s</w:t>
      </w:r>
      <w:r w:rsidRPr="00E9210E">
        <w:rPr>
          <w:rStyle w:val="Corpsdutexte28ptItalique"/>
          <w:rFonts w:eastAsia="Courier New"/>
          <w:sz w:val="28"/>
        </w:rPr>
        <w:t>chichte des Mittelalters und der Neuzeit,</w:t>
      </w:r>
      <w:r w:rsidRPr="00E9210E">
        <w:rPr>
          <w:rStyle w:val="Corpsdutexte28ptGraschelle120"/>
          <w:rFonts w:eastAsia="Courier New"/>
          <w:sz w:val="28"/>
        </w:rPr>
        <w:t xml:space="preserve"> </w:t>
      </w:r>
      <w:r w:rsidRPr="00E9210E">
        <w:t xml:space="preserve">Munich, Berlin, 1928. — M. M. </w:t>
      </w:r>
      <w:r w:rsidRPr="00E9210E">
        <w:rPr>
          <w:rStyle w:val="Corpsdutexte27ptGras"/>
          <w:rFonts w:eastAsia="Courier New"/>
          <w:b w:val="0"/>
          <w:smallCaps/>
          <w:sz w:val="28"/>
        </w:rPr>
        <w:t>Knight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Economic history of Europe to the end of the middle ages,</w:t>
      </w:r>
      <w:r w:rsidRPr="00E9210E">
        <w:rPr>
          <w:rStyle w:val="Corpsdutexte28ptGraschelle120"/>
          <w:rFonts w:eastAsia="Courier New"/>
          <w:sz w:val="28"/>
        </w:rPr>
        <w:t xml:space="preserve"> </w:t>
      </w:r>
      <w:r w:rsidRPr="00E9210E">
        <w:t xml:space="preserve">Boston, 1926. — R. </w:t>
      </w:r>
      <w:r w:rsidRPr="00E9210E">
        <w:rPr>
          <w:rStyle w:val="Corpsdutexte27ptGras"/>
          <w:rFonts w:eastAsia="Courier New"/>
          <w:b w:val="0"/>
          <w:smallCaps/>
          <w:sz w:val="28"/>
        </w:rPr>
        <w:t>Kötzschke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Allgemeine Wirtschaftsge</w:t>
      </w:r>
      <w:r w:rsidRPr="00E9210E">
        <w:rPr>
          <w:rStyle w:val="Corpsdutexte28ptItalique"/>
          <w:rFonts w:eastAsia="Courier New"/>
          <w:sz w:val="28"/>
        </w:rPr>
        <w:t>s</w:t>
      </w:r>
      <w:r w:rsidRPr="00E9210E">
        <w:rPr>
          <w:rStyle w:val="Corpsdutexte28ptItalique"/>
          <w:rFonts w:eastAsia="Courier New"/>
          <w:sz w:val="28"/>
        </w:rPr>
        <w:t>chichte des Mittelalters</w:t>
      </w:r>
      <w:r w:rsidRPr="00E9210E">
        <w:t>, Iéna, 1924), « A.H.E.S. », t. I (1929), pp. 252-258.</w:t>
      </w:r>
    </w:p>
    <w:p w14:paraId="54C8F0CD" w14:textId="77777777" w:rsidR="00B9662D" w:rsidRPr="00E9210E" w:rsidRDefault="00B9662D" w:rsidP="00B9662D">
      <w:pPr>
        <w:spacing w:before="120" w:after="120"/>
        <w:jc w:val="both"/>
      </w:pPr>
      <w:r w:rsidRPr="00E9210E">
        <w:t xml:space="preserve">La Hanse. (Compte rendu : Fr. </w:t>
      </w:r>
      <w:r w:rsidRPr="00E9210E">
        <w:rPr>
          <w:rStyle w:val="Corpsdutexte27ptGras"/>
          <w:rFonts w:eastAsia="Courier New"/>
          <w:b w:val="0"/>
          <w:smallCaps/>
          <w:sz w:val="28"/>
        </w:rPr>
        <w:t>Rörig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geistigen Grundlagen von der hansischen Vormac</w:t>
      </w:r>
      <w:r w:rsidRPr="00E9210E">
        <w:rPr>
          <w:rStyle w:val="Corpsdutexte28ptItalique"/>
          <w:rFonts w:eastAsia="Courier New"/>
          <w:sz w:val="28"/>
        </w:rPr>
        <w:t>h</w:t>
      </w:r>
      <w:r w:rsidRPr="00E9210E">
        <w:rPr>
          <w:rStyle w:val="Corpsdutexte28ptItalique"/>
          <w:rFonts w:eastAsia="Courier New"/>
          <w:sz w:val="28"/>
        </w:rPr>
        <w:t>tstellung,</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Historische Zeitschrift</w:t>
      </w:r>
      <w:r w:rsidRPr="00E9210E">
        <w:t>, t. CXXXIX (1928), pp. 242-251), « A.H.E.S. », t. I (1929), p. 280.</w:t>
      </w:r>
    </w:p>
    <w:p w14:paraId="3BCAC3A9" w14:textId="77777777" w:rsidR="00B9662D" w:rsidRPr="00E9210E" w:rsidRDefault="00B9662D" w:rsidP="00B9662D">
      <w:pPr>
        <w:spacing w:before="120" w:after="120"/>
        <w:jc w:val="both"/>
      </w:pPr>
      <w:r w:rsidRPr="00E9210E">
        <w:t xml:space="preserve">Le Marché. (Compte rendu : Fr. </w:t>
      </w:r>
      <w:r w:rsidRPr="00E9210E">
        <w:rPr>
          <w:rStyle w:val="Corpsdutexte27ptGras"/>
          <w:rFonts w:eastAsia="Courier New"/>
          <w:b w:val="0"/>
          <w:smallCaps/>
          <w:sz w:val="28"/>
        </w:rPr>
        <w:t>Philippi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Der Markt der mittela</w:t>
      </w:r>
      <w:r w:rsidRPr="00E9210E">
        <w:rPr>
          <w:rStyle w:val="Corpsdutexte28ptItalique"/>
          <w:rFonts w:eastAsia="Courier New"/>
          <w:sz w:val="28"/>
        </w:rPr>
        <w:t>l</w:t>
      </w:r>
      <w:r w:rsidRPr="00E9210E">
        <w:rPr>
          <w:rStyle w:val="Corpsdutexte28ptItalique"/>
          <w:rFonts w:eastAsia="Courier New"/>
          <w:sz w:val="28"/>
        </w:rPr>
        <w:t>terlichen Stadt,</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Hi</w:t>
      </w:r>
      <w:r w:rsidRPr="00E9210E">
        <w:rPr>
          <w:rStyle w:val="Corpsdutexte28ptItalique"/>
          <w:rFonts w:eastAsia="Courier New"/>
          <w:sz w:val="28"/>
        </w:rPr>
        <w:t>s</w:t>
      </w:r>
      <w:r w:rsidRPr="00E9210E">
        <w:rPr>
          <w:rStyle w:val="Corpsdutexte28ptItalique"/>
          <w:rFonts w:eastAsia="Courier New"/>
          <w:sz w:val="28"/>
        </w:rPr>
        <w:t>torische Zeitschrift,</w:t>
      </w:r>
      <w:r w:rsidRPr="00E9210E">
        <w:rPr>
          <w:rStyle w:val="Corpsdutexte28ptGraschelle120"/>
          <w:rFonts w:eastAsia="Courier New"/>
          <w:sz w:val="28"/>
        </w:rPr>
        <w:t xml:space="preserve"> </w:t>
      </w:r>
      <w:r w:rsidRPr="00E9210E">
        <w:t>t. CXXXVIII (1928), pp. 229-254), « A.H.E.S. », t. I (1929), pp. 280-281.</w:t>
      </w:r>
    </w:p>
    <w:p w14:paraId="6CC10667" w14:textId="77777777" w:rsidR="00B9662D" w:rsidRPr="00E9210E" w:rsidRDefault="00B9662D" w:rsidP="00B9662D">
      <w:pPr>
        <w:spacing w:before="120" w:after="120"/>
        <w:jc w:val="both"/>
      </w:pPr>
      <w:r w:rsidRPr="00E9210E">
        <w:t xml:space="preserve">Ville et paix de Dieu. (Compte rendu : L. </w:t>
      </w:r>
      <w:r w:rsidRPr="00E9210E">
        <w:rPr>
          <w:smallCaps/>
        </w:rPr>
        <w:t xml:space="preserve">von </w:t>
      </w:r>
      <w:r w:rsidRPr="00E9210E">
        <w:rPr>
          <w:rStyle w:val="Corpsdutexte27ptGras"/>
          <w:rFonts w:eastAsia="Courier New"/>
          <w:b w:val="0"/>
          <w:smallCaps/>
          <w:sz w:val="28"/>
        </w:rPr>
        <w:t>Winterfeld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Go</w:t>
      </w:r>
      <w:r w:rsidRPr="00E9210E">
        <w:rPr>
          <w:rStyle w:val="Corpsdutexte28ptItalique"/>
          <w:rFonts w:eastAsia="Courier New"/>
          <w:sz w:val="28"/>
        </w:rPr>
        <w:t>t</w:t>
      </w:r>
      <w:r w:rsidRPr="00E9210E">
        <w:rPr>
          <w:rStyle w:val="Corpsdutexte28ptItalique"/>
          <w:rFonts w:eastAsia="Courier New"/>
          <w:sz w:val="28"/>
        </w:rPr>
        <w:t>tesfrieden und deutsche Stadtverfassung</w:t>
      </w:r>
      <w:r w:rsidRPr="00E9210E">
        <w:rPr>
          <w:rStyle w:val="Corpsdutexte2ItaliqueEspacement0pt"/>
          <w:rFonts w:eastAsia="Courier New"/>
          <w:sz w:val="28"/>
        </w:rPr>
        <w:t>,</w:t>
      </w:r>
      <w:r w:rsidRPr="00E9210E">
        <w:t xml:space="preserve"> dans </w:t>
      </w:r>
      <w:r w:rsidRPr="00E9210E">
        <w:rPr>
          <w:rStyle w:val="Corpsdutexte28ptItalique"/>
          <w:rFonts w:eastAsia="Courier New"/>
          <w:sz w:val="28"/>
        </w:rPr>
        <w:t>Hansische Geschic</w:t>
      </w:r>
      <w:r w:rsidRPr="00E9210E">
        <w:rPr>
          <w:rStyle w:val="Corpsdutexte28ptItalique"/>
          <w:rFonts w:eastAsia="Courier New"/>
          <w:sz w:val="28"/>
        </w:rPr>
        <w:t>h</w:t>
      </w:r>
      <w:r w:rsidRPr="00E9210E">
        <w:rPr>
          <w:rStyle w:val="Corpsdutexte28ptItalique"/>
          <w:rFonts w:eastAsia="Courier New"/>
          <w:sz w:val="28"/>
        </w:rPr>
        <w:t>tsblätter</w:t>
      </w:r>
      <w:r w:rsidRPr="00E9210E">
        <w:rPr>
          <w:rStyle w:val="Corpsdutexte2ItaliqueEspacement0pt"/>
          <w:rFonts w:eastAsia="Courier New"/>
          <w:sz w:val="28"/>
        </w:rPr>
        <w:t>,</w:t>
      </w:r>
      <w:r w:rsidRPr="00E9210E">
        <w:t xml:space="preserve"> 52</w:t>
      </w:r>
      <w:r w:rsidRPr="00E9210E">
        <w:rPr>
          <w:vertAlign w:val="superscript"/>
        </w:rPr>
        <w:t>e</w:t>
      </w:r>
      <w:r w:rsidRPr="00E9210E">
        <w:t xml:space="preserve"> année (1927), p. 8-56), « A.H.E.S. », t. I (1929), p. 281.</w:t>
      </w:r>
    </w:p>
    <w:p w14:paraId="441F9FB8" w14:textId="77777777" w:rsidR="00B9662D" w:rsidRPr="00E9210E" w:rsidRDefault="00B9662D" w:rsidP="00B9662D">
      <w:pPr>
        <w:spacing w:before="120" w:after="120"/>
        <w:jc w:val="both"/>
      </w:pPr>
      <w:r w:rsidRPr="00E9210E">
        <w:t xml:space="preserve">Villes et routes. (Compte rendu : W. </w:t>
      </w:r>
      <w:r w:rsidRPr="00E9210E">
        <w:rPr>
          <w:rStyle w:val="Corpsdutexte27ptGras"/>
          <w:rFonts w:eastAsia="Courier New"/>
          <w:b w:val="0"/>
          <w:smallCaps/>
          <w:sz w:val="28"/>
        </w:rPr>
        <w:t>Spiess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Heerstrasse und Stadtsiedelung in Südhann</w:t>
      </w:r>
      <w:r w:rsidRPr="00E9210E">
        <w:rPr>
          <w:rStyle w:val="Corpsdutexte28ptItalique"/>
          <w:rFonts w:eastAsia="Courier New"/>
          <w:sz w:val="28"/>
        </w:rPr>
        <w:t>o</w:t>
      </w:r>
      <w:r w:rsidRPr="00E9210E">
        <w:rPr>
          <w:rStyle w:val="Corpsdutexte28ptItalique"/>
          <w:rFonts w:eastAsia="Courier New"/>
          <w:sz w:val="28"/>
        </w:rPr>
        <w:t>ver</w:t>
      </w:r>
      <w:r w:rsidRPr="00E9210E">
        <w:rPr>
          <w:rStyle w:val="Corpsdutexte2ItaliqueEspacement0pt"/>
          <w:rFonts w:eastAsia="Courier New"/>
          <w:sz w:val="28"/>
        </w:rPr>
        <w:t>,</w:t>
      </w:r>
      <w:r w:rsidRPr="00E9210E">
        <w:t xml:space="preserve"> dans </w:t>
      </w:r>
      <w:r w:rsidRPr="00E9210E">
        <w:rPr>
          <w:rStyle w:val="Corpsdutexte28ptItalique"/>
          <w:rFonts w:eastAsia="Courier New"/>
          <w:sz w:val="28"/>
        </w:rPr>
        <w:t>Hansische Geschichtsblätter,</w:t>
      </w:r>
      <w:r w:rsidRPr="00E9210E">
        <w:rPr>
          <w:rStyle w:val="Corpsdutexte28ptGraschelle120"/>
          <w:rFonts w:eastAsia="Courier New"/>
          <w:sz w:val="28"/>
        </w:rPr>
        <w:t xml:space="preserve"> </w:t>
      </w:r>
      <w:r w:rsidRPr="00E9210E">
        <w:t>t. XXXII (1927), pp. 122-133), « A.H.E.S. » t. I (1929), pp. 281-282.</w:t>
      </w:r>
    </w:p>
    <w:p w14:paraId="0C3F2AE4" w14:textId="77777777" w:rsidR="00B9662D" w:rsidRPr="00E9210E" w:rsidRDefault="00B9662D" w:rsidP="00B9662D">
      <w:pPr>
        <w:spacing w:before="120" w:after="120"/>
        <w:jc w:val="both"/>
      </w:pPr>
      <w:r w:rsidRPr="00E9210E">
        <w:t xml:space="preserve">Une région : La Bourgogne. (Compte rendu : H. </w:t>
      </w:r>
      <w:r w:rsidRPr="00E9210E">
        <w:rPr>
          <w:rStyle w:val="Corpsdutexte27ptGras"/>
          <w:rFonts w:eastAsia="Courier New"/>
          <w:b w:val="0"/>
          <w:smallCaps/>
          <w:sz w:val="28"/>
        </w:rPr>
        <w:t>Drouot</w:t>
      </w:r>
      <w:r w:rsidRPr="00E9210E">
        <w:rPr>
          <w:rStyle w:val="Corpsdutexte27ptGras"/>
          <w:rFonts w:eastAsia="Courier New"/>
          <w:sz w:val="28"/>
        </w:rPr>
        <w:t xml:space="preserve"> </w:t>
      </w:r>
      <w:r w:rsidRPr="00E9210E">
        <w:t>et J. </w:t>
      </w:r>
      <w:r w:rsidRPr="00E9210E">
        <w:rPr>
          <w:rStyle w:val="Corpsdutexte27ptGras"/>
          <w:rFonts w:eastAsia="Courier New"/>
          <w:b w:val="0"/>
          <w:smallCaps/>
          <w:sz w:val="28"/>
        </w:rPr>
        <w:t>Calmette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w:t>
      </w:r>
      <w:r w:rsidRPr="00E9210E">
        <w:rPr>
          <w:rStyle w:val="Corpsdutexte28ptItalique"/>
          <w:rFonts w:eastAsia="Courier New"/>
          <w:sz w:val="28"/>
        </w:rPr>
        <w:t>s</w:t>
      </w:r>
      <w:r w:rsidRPr="00E9210E">
        <w:rPr>
          <w:rStyle w:val="Corpsdutexte28ptItalique"/>
          <w:rFonts w:eastAsia="Courier New"/>
          <w:sz w:val="28"/>
        </w:rPr>
        <w:t>toire de Bourgogne,</w:t>
      </w:r>
      <w:r w:rsidRPr="00E9210E">
        <w:rPr>
          <w:rStyle w:val="Corpsdutexte28ptGraschelle120"/>
          <w:rFonts w:eastAsia="Courier New"/>
          <w:sz w:val="28"/>
        </w:rPr>
        <w:t xml:space="preserve"> </w:t>
      </w:r>
      <w:r w:rsidRPr="00E9210E">
        <w:t>3</w:t>
      </w:r>
      <w:r w:rsidRPr="00E9210E">
        <w:rPr>
          <w:vertAlign w:val="superscript"/>
        </w:rPr>
        <w:t>e</w:t>
      </w:r>
      <w:r w:rsidRPr="00E9210E">
        <w:t xml:space="preserve"> éd., Paris, 1928), « A.H.E.S. », t. I (1929), pp. 299-300.</w:t>
      </w:r>
    </w:p>
    <w:p w14:paraId="6E5D2685" w14:textId="77777777" w:rsidR="00B9662D" w:rsidRPr="00E9210E" w:rsidRDefault="00B9662D" w:rsidP="00B9662D">
      <w:pPr>
        <w:spacing w:before="120" w:after="120"/>
        <w:jc w:val="both"/>
      </w:pPr>
      <w:r w:rsidRPr="00E9210E">
        <w:t xml:space="preserve">Une ville : Espalion. (Compte rendu : P. </w:t>
      </w:r>
      <w:r w:rsidRPr="00E9210E">
        <w:rPr>
          <w:rStyle w:val="Corpsdutexte27ptGras"/>
          <w:rFonts w:eastAsia="Courier New"/>
          <w:b w:val="0"/>
          <w:smallCaps/>
          <w:sz w:val="28"/>
        </w:rPr>
        <w:t>Blanc</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Espalion,</w:t>
      </w:r>
      <w:r w:rsidRPr="00E9210E">
        <w:rPr>
          <w:rStyle w:val="Corpsdutexte28ptGraschelle120"/>
          <w:rFonts w:eastAsia="Courier New"/>
          <w:sz w:val="28"/>
        </w:rPr>
        <w:t xml:space="preserve"> </w:t>
      </w:r>
      <w:r w:rsidRPr="00E9210E">
        <w:t>Av</w:t>
      </w:r>
      <w:r w:rsidRPr="00E9210E">
        <w:t>i</w:t>
      </w:r>
      <w:r w:rsidRPr="00E9210E">
        <w:t>gnon, 1928), « A.H.E.S. », t. I (1929), pp. 301-302.</w:t>
      </w:r>
    </w:p>
    <w:p w14:paraId="069BB74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village : Chatou. (Compte rendu : L. </w:t>
      </w:r>
      <w:r w:rsidRPr="00E9210E">
        <w:rPr>
          <w:rStyle w:val="Corpsdutexte37ptGrasNonItalique"/>
          <w:rFonts w:eastAsia="Courier New"/>
          <w:b w:val="0"/>
          <w:i w:val="0"/>
          <w:iCs w:val="0"/>
          <w:smallCaps/>
          <w:sz w:val="28"/>
        </w:rPr>
        <w:t>Bigard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Contribution à l’étude des communes rurales et des franchises communales dans la prévôté de Paris,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Pontoise et Chatou, (1927)</w:t>
      </w:r>
      <w:r w:rsidRPr="00E9210E">
        <w:t>, « A.H.E.S. », t. I (1929), p. 302.</w:t>
      </w:r>
    </w:p>
    <w:p w14:paraId="1ED2D51E" w14:textId="77777777" w:rsidR="00B9662D" w:rsidRPr="00E9210E" w:rsidRDefault="00B9662D" w:rsidP="00B9662D">
      <w:pPr>
        <w:spacing w:before="120" w:after="120"/>
        <w:jc w:val="both"/>
      </w:pPr>
      <w:r w:rsidRPr="00E9210E">
        <w:t>Un groupement rural : la Celle-Dunoise. (Compte rendu : L. </w:t>
      </w:r>
      <w:r w:rsidRPr="00E9210E">
        <w:rPr>
          <w:rStyle w:val="Corpsdutexte27ptGras"/>
          <w:rFonts w:eastAsia="Courier New"/>
          <w:b w:val="0"/>
          <w:smallCaps/>
          <w:sz w:val="28"/>
        </w:rPr>
        <w:t>Lacrocq</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Monographie de la commune de la Celle-Dunoise,</w:t>
      </w:r>
      <w:r w:rsidRPr="00E9210E">
        <w:rPr>
          <w:rStyle w:val="Corpsdutexte28ptGraschelle120"/>
          <w:rFonts w:eastAsia="Courier New"/>
          <w:sz w:val="28"/>
        </w:rPr>
        <w:t xml:space="preserve"> </w:t>
      </w:r>
      <w:r w:rsidRPr="00E9210E">
        <w:t>Gu</w:t>
      </w:r>
      <w:r w:rsidRPr="00E9210E">
        <w:t>é</w:t>
      </w:r>
      <w:r w:rsidRPr="00E9210E">
        <w:t>ret, 1926), « A.H.E.S. », t. I (1929), pp. 303- 304.</w:t>
      </w:r>
    </w:p>
    <w:p w14:paraId="1946ADD4" w14:textId="77777777" w:rsidR="00B9662D" w:rsidRPr="00E9210E" w:rsidRDefault="00B9662D" w:rsidP="00B9662D">
      <w:pPr>
        <w:spacing w:before="120" w:after="120"/>
        <w:jc w:val="both"/>
      </w:pPr>
      <w:r w:rsidRPr="00E9210E">
        <w:t xml:space="preserve">Les Juifs </w:t>
      </w:r>
      <w:r w:rsidRPr="00E9210E">
        <w:rPr>
          <w:rStyle w:val="Corpsdutexte27ptGras"/>
          <w:rFonts w:eastAsia="Courier New"/>
          <w:b w:val="0"/>
          <w:sz w:val="28"/>
        </w:rPr>
        <w:t>de</w:t>
      </w:r>
      <w:r w:rsidRPr="00E9210E">
        <w:rPr>
          <w:rStyle w:val="Corpsdutexte27ptGras"/>
          <w:rFonts w:eastAsia="Courier New"/>
          <w:sz w:val="28"/>
        </w:rPr>
        <w:t xml:space="preserve"> </w:t>
      </w:r>
      <w:r w:rsidRPr="00E9210E">
        <w:t xml:space="preserve">Provence. (Compte rendu : E. </w:t>
      </w:r>
      <w:r w:rsidRPr="00E9210E">
        <w:rPr>
          <w:rStyle w:val="Corpsdutexte27ptGras"/>
          <w:rFonts w:eastAsia="Courier New"/>
          <w:b w:val="0"/>
          <w:smallCaps/>
          <w:sz w:val="28"/>
        </w:rPr>
        <w:t>Camau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Juifs en Provence,</w:t>
      </w:r>
      <w:r w:rsidRPr="00E9210E">
        <w:rPr>
          <w:rStyle w:val="Corpsdutexte28ptGraschelle120"/>
          <w:rFonts w:eastAsia="Courier New"/>
          <w:sz w:val="28"/>
        </w:rPr>
        <w:t xml:space="preserve"> </w:t>
      </w:r>
      <w:r w:rsidRPr="00E9210E">
        <w:t>Paris, 1928), « A.H.E.S. », t. I (1929), p. 304.</w:t>
      </w:r>
    </w:p>
    <w:p w14:paraId="47874DE5" w14:textId="77777777" w:rsidR="00B9662D" w:rsidRPr="00E9210E" w:rsidRDefault="00B9662D" w:rsidP="00B9662D">
      <w:pPr>
        <w:spacing w:before="120" w:after="120"/>
        <w:jc w:val="both"/>
      </w:pPr>
      <w:r w:rsidRPr="00E9210E">
        <w:t xml:space="preserve">Un métier : la boucherie parisienne. (Compte rendu : R. </w:t>
      </w:r>
      <w:r w:rsidRPr="00E9210E">
        <w:rPr>
          <w:rStyle w:val="Corpsdutexte27ptGras"/>
          <w:rFonts w:eastAsia="Courier New"/>
          <w:b w:val="0"/>
          <w:smallCaps/>
          <w:sz w:val="28"/>
        </w:rPr>
        <w:t>Héron</w:t>
      </w:r>
      <w:r w:rsidRPr="00E9210E">
        <w:rPr>
          <w:rStyle w:val="Corpsdutexte27ptGras"/>
          <w:rFonts w:eastAsia="Courier New"/>
          <w:b w:val="0"/>
          <w:sz w:val="28"/>
        </w:rPr>
        <w:t xml:space="preserve"> de</w:t>
      </w:r>
      <w:r w:rsidRPr="00E9210E">
        <w:rPr>
          <w:rStyle w:val="Corpsdutexte27ptGras"/>
          <w:rFonts w:eastAsia="Courier New"/>
          <w:sz w:val="28"/>
        </w:rPr>
        <w:t xml:space="preserve"> </w:t>
      </w:r>
      <w:r w:rsidRPr="00E9210E">
        <w:rPr>
          <w:rStyle w:val="Corpsdutexte27ptGras"/>
          <w:rFonts w:eastAsia="Courier New"/>
          <w:b w:val="0"/>
          <w:sz w:val="28"/>
        </w:rPr>
        <w:t>Villefosse,</w:t>
      </w:r>
      <w:r w:rsidRPr="00E9210E">
        <w:rPr>
          <w:rStyle w:val="Corpsdutexte27ptGras"/>
          <w:rFonts w:eastAsia="Courier New"/>
          <w:sz w:val="28"/>
        </w:rPr>
        <w:t xml:space="preserve"> </w:t>
      </w:r>
      <w:r w:rsidRPr="00E9210E">
        <w:rPr>
          <w:rStyle w:val="Corpsdutexte28ptItalique"/>
          <w:rFonts w:eastAsia="Courier New"/>
          <w:sz w:val="28"/>
        </w:rPr>
        <w:t>La Grande Boucherie de Paris,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Bulletin de la Société de l’histoire de Paris et de l’Île-de-France,</w:t>
      </w:r>
      <w:r w:rsidRPr="00E9210E">
        <w:rPr>
          <w:rStyle w:val="Corpsdutexte28ptGraschelle120"/>
          <w:rFonts w:eastAsia="Courier New"/>
          <w:sz w:val="28"/>
        </w:rPr>
        <w:t xml:space="preserve"> </w:t>
      </w:r>
      <w:r w:rsidRPr="00E9210E">
        <w:t>t. LV (1928), pp. 39-73), « A.H.E.S. », t. I (1929), pp. 304-305.</w:t>
      </w:r>
    </w:p>
    <w:p w14:paraId="2CC426A8" w14:textId="77777777" w:rsidR="00B9662D" w:rsidRPr="00E9210E" w:rsidRDefault="00B9662D" w:rsidP="00B9662D">
      <w:pPr>
        <w:spacing w:before="120" w:after="120"/>
        <w:jc w:val="both"/>
      </w:pPr>
      <w:r w:rsidRPr="00E9210E">
        <w:t xml:space="preserve">L’histoire locale en Allemagne. (Compte rendu : E. </w:t>
      </w:r>
      <w:r w:rsidRPr="00E9210E">
        <w:rPr>
          <w:rStyle w:val="Corpsdutexte27ptGras"/>
          <w:rFonts w:eastAsia="Courier New"/>
          <w:b w:val="0"/>
          <w:smallCaps/>
          <w:sz w:val="28"/>
        </w:rPr>
        <w:t>Keyser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Deutsche Lande</w:t>
      </w:r>
      <w:r w:rsidRPr="00E9210E">
        <w:rPr>
          <w:rStyle w:val="Corpsdutexte28ptItalique"/>
          <w:rFonts w:eastAsia="Courier New"/>
          <w:sz w:val="28"/>
        </w:rPr>
        <w:t>s</w:t>
      </w:r>
      <w:r w:rsidRPr="00E9210E">
        <w:rPr>
          <w:rStyle w:val="Corpsdutexte28ptItalique"/>
          <w:rFonts w:eastAsia="Courier New"/>
          <w:sz w:val="28"/>
        </w:rPr>
        <w:t xml:space="preserve">geschichte, </w:t>
      </w:r>
      <w:r w:rsidRPr="00E9210E">
        <w:t xml:space="preserve">dans </w:t>
      </w:r>
      <w:r w:rsidRPr="00E9210E">
        <w:rPr>
          <w:rStyle w:val="Corpsdutexte28ptItalique"/>
          <w:rFonts w:eastAsia="Courier New"/>
          <w:sz w:val="28"/>
        </w:rPr>
        <w:t>Historische Zeitschrift,</w:t>
      </w:r>
      <w:r w:rsidRPr="00E9210E">
        <w:rPr>
          <w:rStyle w:val="Corpsdutexte28ptGraschelle120"/>
          <w:rFonts w:eastAsia="Courier New"/>
          <w:sz w:val="28"/>
        </w:rPr>
        <w:t xml:space="preserve"> </w:t>
      </w:r>
      <w:r w:rsidRPr="00E9210E">
        <w:t>t. CXXXIX (1928), pp. 252-272), « A.H.E.S. », t. I (1929), p. 306.</w:t>
      </w:r>
    </w:p>
    <w:p w14:paraId="7C0BB40C" w14:textId="77777777" w:rsidR="00B9662D" w:rsidRPr="00E9210E" w:rsidRDefault="00B9662D" w:rsidP="00B9662D">
      <w:pPr>
        <w:spacing w:before="120" w:after="120"/>
        <w:jc w:val="both"/>
      </w:pPr>
      <w:r w:rsidRPr="00E9210E">
        <w:t xml:space="preserve">Un choix de statistiques. (Compte rendu : P. </w:t>
      </w:r>
      <w:r w:rsidRPr="00E9210E">
        <w:rPr>
          <w:rStyle w:val="Corpsdutexte27ptGras"/>
          <w:rFonts w:eastAsia="Courier New"/>
          <w:b w:val="0"/>
          <w:smallCaps/>
          <w:sz w:val="28"/>
        </w:rPr>
        <w:t>Gemähling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Statist</w:t>
      </w:r>
      <w:r w:rsidRPr="00E9210E">
        <w:rPr>
          <w:rStyle w:val="Corpsdutexte28ptItalique"/>
          <w:rFonts w:eastAsia="Courier New"/>
          <w:sz w:val="28"/>
        </w:rPr>
        <w:t>i</w:t>
      </w:r>
      <w:r w:rsidRPr="00E9210E">
        <w:rPr>
          <w:rStyle w:val="Corpsdutexte28ptItalique"/>
          <w:rFonts w:eastAsia="Courier New"/>
          <w:sz w:val="28"/>
        </w:rPr>
        <w:t>ques choisies et annotées,</w:t>
      </w:r>
      <w:r w:rsidRPr="00E9210E">
        <w:rPr>
          <w:rStyle w:val="Corpsdutexte28ptGraschelle120"/>
          <w:rFonts w:eastAsia="Courier New"/>
          <w:sz w:val="28"/>
        </w:rPr>
        <w:t xml:space="preserve"> </w:t>
      </w:r>
      <w:r w:rsidRPr="00E9210E">
        <w:t>Paris, 1926. — </w:t>
      </w:r>
      <w:r w:rsidRPr="00E9210E">
        <w:rPr>
          <w:rStyle w:val="Corpsdutexte28ptItalique"/>
          <w:rFonts w:eastAsia="Courier New"/>
          <w:sz w:val="28"/>
        </w:rPr>
        <w:t>Statistiques choisies et a</w:t>
      </w:r>
      <w:r w:rsidRPr="00E9210E">
        <w:rPr>
          <w:rStyle w:val="Corpsdutexte28ptItalique"/>
          <w:rFonts w:eastAsia="Courier New"/>
          <w:sz w:val="28"/>
        </w:rPr>
        <w:t>n</w:t>
      </w:r>
      <w:r w:rsidRPr="00E9210E">
        <w:rPr>
          <w:rStyle w:val="Corpsdutexte28ptItalique"/>
          <w:rFonts w:eastAsia="Courier New"/>
          <w:sz w:val="28"/>
        </w:rPr>
        <w:t>notées. Supplément 1928,</w:t>
      </w:r>
      <w:r w:rsidRPr="00E9210E">
        <w:rPr>
          <w:rStyle w:val="Corpsdutexte28ptGraschelle120"/>
          <w:rFonts w:eastAsia="Courier New"/>
          <w:sz w:val="28"/>
        </w:rPr>
        <w:t xml:space="preserve"> </w:t>
      </w:r>
      <w:r w:rsidRPr="00E9210E">
        <w:t>Paris, 1929), « A.H.E.S. », t. I (1929), pp. 428-429.</w:t>
      </w:r>
    </w:p>
    <w:p w14:paraId="6807395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Les nombres indices. (Compte rendu : R. </w:t>
      </w:r>
      <w:r w:rsidRPr="00E9210E">
        <w:rPr>
          <w:rStyle w:val="Corpsdutexte37ptGrasNonItalique"/>
          <w:rFonts w:eastAsia="Courier New"/>
          <w:b w:val="0"/>
          <w:i w:val="0"/>
          <w:iCs w:val="0"/>
          <w:smallCaps/>
          <w:sz w:val="28"/>
        </w:rPr>
        <w:t>Picard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L'observation des prix de gros et de détail. L'élaboration des indices. Leur valeur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des études coopératives</w:t>
      </w:r>
      <w:r w:rsidRPr="00E9210E">
        <w:t xml:space="preserve">, </w:t>
      </w:r>
      <w:r w:rsidRPr="00E9210E">
        <w:rPr>
          <w:rStyle w:val="Corpsdutexte385ptNonItalique"/>
          <w:rFonts w:eastAsia="Courier New"/>
          <w:i w:val="0"/>
          <w:iCs w:val="0"/>
          <w:sz w:val="28"/>
        </w:rPr>
        <w:t>t. VIII (1928-1929), pp. 25-50), « A.H.E.S. », t. I (1929), p. 429.</w:t>
      </w:r>
    </w:p>
    <w:p w14:paraId="782F26DA" w14:textId="77777777" w:rsidR="00B9662D" w:rsidRPr="00E9210E" w:rsidRDefault="00B9662D" w:rsidP="00B9662D">
      <w:pPr>
        <w:spacing w:before="120" w:after="120"/>
        <w:jc w:val="both"/>
      </w:pPr>
      <w:r w:rsidRPr="00E9210E">
        <w:t xml:space="preserve">Le développement de Paris depuis le milieu du </w:t>
      </w:r>
      <w:r w:rsidRPr="00E9210E">
        <w:rPr>
          <w:caps/>
        </w:rPr>
        <w:t>xix</w:t>
      </w:r>
      <w:r w:rsidRPr="00E9210E">
        <w:rPr>
          <w:vertAlign w:val="superscript"/>
        </w:rPr>
        <w:t>e</w:t>
      </w:r>
      <w:r w:rsidRPr="00E9210E">
        <w:t xml:space="preserve">s. (Compte rendu : M. </w:t>
      </w:r>
      <w:r w:rsidRPr="00E9210E">
        <w:rPr>
          <w:rStyle w:val="Corpsdutexte27ptGras"/>
          <w:rFonts w:eastAsia="Courier New"/>
          <w:b w:val="0"/>
          <w:smallCaps/>
          <w:sz w:val="28"/>
        </w:rPr>
        <w:t>Halbwachs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population et les tracés de voies à Paris, depuis un siècle</w:t>
      </w:r>
      <w:r w:rsidRPr="00E9210E">
        <w:rPr>
          <w:rStyle w:val="Corpsdutexte2ItaliqueEspacement0pt"/>
          <w:rFonts w:eastAsia="Courier New"/>
          <w:sz w:val="28"/>
        </w:rPr>
        <w:t>,</w:t>
      </w:r>
      <w:r w:rsidRPr="00E9210E">
        <w:t xml:space="preserve"> Paris, 1928), « A.H.E.S. », t. I (1929), pp. 434-436.</w:t>
      </w:r>
    </w:p>
    <w:p w14:paraId="43F26325" w14:textId="77777777" w:rsidR="00B9662D" w:rsidRPr="00E9210E" w:rsidRDefault="00B9662D" w:rsidP="00B9662D">
      <w:pPr>
        <w:spacing w:before="120" w:after="120"/>
        <w:jc w:val="both"/>
      </w:pPr>
      <w:r w:rsidRPr="00E9210E">
        <w:t xml:space="preserve">Quelques recherches sur les opérations de crédit dans le monde contemporain. (Comptes rendus d’articles de la </w:t>
      </w:r>
      <w:r w:rsidRPr="00E9210E">
        <w:rPr>
          <w:rStyle w:val="Corpsdutexte28ptItalique"/>
          <w:rFonts w:eastAsia="Courier New"/>
          <w:sz w:val="28"/>
        </w:rPr>
        <w:t>Revue d'économie p</w:t>
      </w:r>
      <w:r w:rsidRPr="00E9210E">
        <w:rPr>
          <w:rStyle w:val="Corpsdutexte28ptItalique"/>
          <w:rFonts w:eastAsia="Courier New"/>
          <w:sz w:val="28"/>
        </w:rPr>
        <w:t>o</w:t>
      </w:r>
      <w:r w:rsidRPr="00E9210E">
        <w:rPr>
          <w:rStyle w:val="Corpsdutexte28ptItalique"/>
          <w:rFonts w:eastAsia="Courier New"/>
          <w:sz w:val="28"/>
        </w:rPr>
        <w:t>litique,</w:t>
      </w:r>
      <w:r w:rsidRPr="00E9210E">
        <w:rPr>
          <w:rStyle w:val="Corpsdutexte28ptGraschelle120"/>
          <w:rFonts w:eastAsia="Courier New"/>
          <w:sz w:val="28"/>
        </w:rPr>
        <w:t xml:space="preserve"> </w:t>
      </w:r>
      <w:r w:rsidRPr="00E9210E">
        <w:t xml:space="preserve">mars-avril 1929 : Ch. </w:t>
      </w:r>
      <w:r w:rsidRPr="00E9210E">
        <w:rPr>
          <w:rStyle w:val="Corpsdutexte27ptGras"/>
          <w:rFonts w:eastAsia="Courier New"/>
          <w:b w:val="0"/>
          <w:smallCaps/>
          <w:sz w:val="28"/>
        </w:rPr>
        <w:t>Lazard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 puissant moyen de fina</w:t>
      </w:r>
      <w:r w:rsidRPr="00E9210E">
        <w:rPr>
          <w:rStyle w:val="Corpsdutexte28ptItalique"/>
          <w:rFonts w:eastAsia="Courier New"/>
          <w:sz w:val="28"/>
        </w:rPr>
        <w:t>n</w:t>
      </w:r>
      <w:r w:rsidRPr="00E9210E">
        <w:rPr>
          <w:rStyle w:val="Corpsdutexte28ptItalique"/>
          <w:rFonts w:eastAsia="Courier New"/>
          <w:sz w:val="28"/>
        </w:rPr>
        <w:t>cement anglo-saxon :</w:t>
      </w:r>
      <w:r w:rsidRPr="00E9210E">
        <w:rPr>
          <w:rStyle w:val="Corpsdutexte2ItaliqueEspacement0pt"/>
          <w:rFonts w:eastAsia="Courier New"/>
          <w:sz w:val="28"/>
        </w:rPr>
        <w:t xml:space="preserve"> </w:t>
      </w:r>
      <w:r w:rsidRPr="00E9210E">
        <w:rPr>
          <w:rStyle w:val="Corpsdutexte28ptItalique"/>
          <w:rFonts w:eastAsia="Courier New"/>
          <w:sz w:val="28"/>
        </w:rPr>
        <w:t>l'investment trust,</w:t>
      </w:r>
      <w:r w:rsidRPr="00E9210E">
        <w:rPr>
          <w:rStyle w:val="Corpsdutexte28ptGraschelle120"/>
          <w:rFonts w:eastAsia="Courier New"/>
          <w:sz w:val="28"/>
        </w:rPr>
        <w:t xml:space="preserve"> </w:t>
      </w:r>
      <w:r w:rsidRPr="00E9210E">
        <w:t>pp. 221-227).</w:t>
      </w:r>
    </w:p>
    <w:p w14:paraId="44D25623" w14:textId="77777777" w:rsidR="00B9662D" w:rsidRPr="00E9210E" w:rsidRDefault="00B9662D" w:rsidP="00B9662D">
      <w:pPr>
        <w:spacing w:before="120" w:after="120"/>
        <w:jc w:val="both"/>
      </w:pPr>
      <w:r w:rsidRPr="00E9210E">
        <w:t>[1041]</w:t>
      </w:r>
    </w:p>
    <w:p w14:paraId="543F526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 R. </w:t>
      </w:r>
      <w:r w:rsidRPr="00E9210E">
        <w:rPr>
          <w:rStyle w:val="Corpsdutexte37ptGrasNonItalique"/>
          <w:rFonts w:eastAsia="Courier New"/>
          <w:b w:val="0"/>
          <w:i w:val="0"/>
          <w:iCs w:val="0"/>
          <w:smallCaps/>
          <w:sz w:val="28"/>
        </w:rPr>
        <w:t>Nathan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financement de la consommation : vente à cr</w:t>
      </w:r>
      <w:r w:rsidRPr="00E9210E">
        <w:rPr>
          <w:i/>
        </w:rPr>
        <w:t>é</w:t>
      </w:r>
      <w:r w:rsidRPr="00E9210E">
        <w:rPr>
          <w:i/>
        </w:rPr>
        <w:t>dit et f</w:t>
      </w:r>
      <w:r w:rsidRPr="00E9210E">
        <w:rPr>
          <w:i/>
        </w:rPr>
        <w:t>i</w:t>
      </w:r>
      <w:r w:rsidRPr="00E9210E">
        <w:rPr>
          <w:i/>
        </w:rPr>
        <w:t>nance companies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 228-268). — L. </w:t>
      </w:r>
      <w:r w:rsidRPr="00E9210E">
        <w:rPr>
          <w:rStyle w:val="Corpsdutexte37ptGrasNonItalique"/>
          <w:rFonts w:eastAsia="Courier New"/>
          <w:b w:val="0"/>
          <w:i w:val="0"/>
          <w:iCs w:val="0"/>
          <w:smallCaps/>
          <w:sz w:val="28"/>
        </w:rPr>
        <w:t>Pommery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marché de Paris et les accept</w:t>
      </w:r>
      <w:r w:rsidRPr="00E9210E">
        <w:rPr>
          <w:i/>
        </w:rPr>
        <w:t>a</w:t>
      </w:r>
      <w:r w:rsidRPr="00E9210E">
        <w:rPr>
          <w:i/>
        </w:rPr>
        <w:t>tions de banque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 280-294]), « A.H.E.S. », t. I (1929), pp. 445-446.</w:t>
      </w:r>
    </w:p>
    <w:p w14:paraId="1C4A3E60" w14:textId="77777777" w:rsidR="00B9662D" w:rsidRPr="00E9210E" w:rsidRDefault="00B9662D" w:rsidP="00B9662D">
      <w:pPr>
        <w:spacing w:before="120" w:after="120"/>
        <w:jc w:val="both"/>
      </w:pPr>
      <w:r w:rsidRPr="00E9210E">
        <w:t xml:space="preserve">Société russe. (Compte rendu : G. K. </w:t>
      </w:r>
      <w:r w:rsidRPr="00E9210E">
        <w:rPr>
          <w:rStyle w:val="Corpsdutexte27ptGras"/>
          <w:rFonts w:eastAsia="Courier New"/>
          <w:b w:val="0"/>
          <w:smallCaps/>
          <w:sz w:val="28"/>
        </w:rPr>
        <w:t>Loukhomski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et les mœurs en Russie, de Pie</w:t>
      </w:r>
      <w:r w:rsidRPr="00E9210E">
        <w:rPr>
          <w:rStyle w:val="Corpsdutexte28ptItalique"/>
          <w:rFonts w:eastAsia="Courier New"/>
          <w:sz w:val="28"/>
        </w:rPr>
        <w:t>r</w:t>
      </w:r>
      <w:r w:rsidRPr="00E9210E">
        <w:rPr>
          <w:rStyle w:val="Corpsdutexte28ptItalique"/>
          <w:rFonts w:eastAsia="Courier New"/>
          <w:sz w:val="28"/>
        </w:rPr>
        <w:t>re le Grand à Lénine</w:t>
      </w:r>
      <w:r w:rsidRPr="00E9210E">
        <w:t>, Paris, 1928), » A.H.E.S. », t. I (1929), p. 448.</w:t>
      </w:r>
    </w:p>
    <w:p w14:paraId="6747986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Testaments gévaudanais. (Compte rendu : L. </w:t>
      </w:r>
      <w:r w:rsidRPr="00E9210E">
        <w:rPr>
          <w:rStyle w:val="Corpsdutexte37ptGrasNonItalique"/>
          <w:rFonts w:eastAsia="Courier New"/>
          <w:b w:val="0"/>
          <w:i w:val="0"/>
          <w:iCs w:val="0"/>
          <w:smallCaps/>
          <w:sz w:val="28"/>
        </w:rPr>
        <w:t>Costecalde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Ment</w:t>
      </w:r>
      <w:r w:rsidRPr="00E9210E">
        <w:rPr>
          <w:i/>
        </w:rPr>
        <w:t>a</w:t>
      </w:r>
      <w:r w:rsidRPr="00E9210E">
        <w:rPr>
          <w:i/>
        </w:rPr>
        <w:t>lité gévaudanaise du Moyen Âge d’après divers testaments inédits du XIII</w:t>
      </w:r>
      <w:r w:rsidRPr="00E9210E">
        <w:rPr>
          <w:i/>
          <w:vertAlign w:val="superscript"/>
        </w:rPr>
        <w:t>e</w:t>
      </w:r>
      <w:r w:rsidRPr="00E9210E">
        <w:rPr>
          <w:i/>
        </w:rPr>
        <w:t>, du XIV</w:t>
      </w:r>
      <w:r w:rsidRPr="00E9210E">
        <w:rPr>
          <w:i/>
          <w:vertAlign w:val="superscript"/>
        </w:rPr>
        <w:t>e</w:t>
      </w:r>
      <w:r w:rsidRPr="00E9210E">
        <w:rPr>
          <w:i/>
        </w:rPr>
        <w:t xml:space="preserve"> et du XV</w:t>
      </w:r>
      <w:r w:rsidRPr="00E9210E">
        <w:rPr>
          <w:i/>
          <w:vertAlign w:val="superscript"/>
        </w:rPr>
        <w:t>e</w:t>
      </w:r>
      <w:r w:rsidRPr="00E9210E">
        <w:rPr>
          <w:i/>
        </w:rPr>
        <w:t xml:space="preserve"> siècle</w:t>
      </w:r>
      <w:r w:rsidRPr="00E9210E">
        <w:t xml:space="preserve">, </w:t>
      </w:r>
      <w:r w:rsidRPr="00E9210E">
        <w:rPr>
          <w:rStyle w:val="Corpsdutexte385ptNonItalique"/>
          <w:rFonts w:eastAsia="Courier New"/>
          <w:i w:val="0"/>
          <w:iCs w:val="0"/>
          <w:sz w:val="28"/>
        </w:rPr>
        <w:t>Mende, 1925), « A.H.E.S. », t. I (1929), pp. 462-463.</w:t>
      </w:r>
    </w:p>
    <w:p w14:paraId="40ADA139" w14:textId="77777777" w:rsidR="00B9662D" w:rsidRPr="00E9210E" w:rsidRDefault="00B9662D" w:rsidP="00B9662D">
      <w:pPr>
        <w:spacing w:before="120" w:after="120"/>
        <w:jc w:val="both"/>
      </w:pPr>
      <w:r w:rsidRPr="00E9210E">
        <w:t xml:space="preserve">Documents d’histoire économique anglaise (à propos du tome XV des </w:t>
      </w:r>
      <w:r w:rsidRPr="00E9210E">
        <w:rPr>
          <w:rStyle w:val="Corpsdutexte28ptItalique"/>
          <w:rFonts w:eastAsia="Courier New"/>
          <w:sz w:val="28"/>
        </w:rPr>
        <w:t>Camden Miscellanies,</w:t>
      </w:r>
      <w:r w:rsidRPr="00E9210E">
        <w:rPr>
          <w:rStyle w:val="Corpsdutexte28ptGraschelle120"/>
          <w:rFonts w:eastAsia="Courier New"/>
          <w:sz w:val="28"/>
        </w:rPr>
        <w:t xml:space="preserve"> </w:t>
      </w:r>
      <w:r w:rsidRPr="00E9210E">
        <w:t>Londres, 1929), « A.H.E.S. », t. I (1929), pp. 582-583.</w:t>
      </w:r>
    </w:p>
    <w:p w14:paraId="600ED555" w14:textId="77777777" w:rsidR="00B9662D" w:rsidRPr="00E9210E" w:rsidRDefault="00B9662D" w:rsidP="00B9662D">
      <w:pPr>
        <w:spacing w:before="120" w:after="120"/>
        <w:jc w:val="both"/>
      </w:pPr>
      <w:r w:rsidRPr="00E9210E">
        <w:t>Not. nécrologiques : Charles-Victor Langlois, Louis J. Paetow, « A.H.E.S »., t. I (1929), pp. 583-584.</w:t>
      </w:r>
    </w:p>
    <w:p w14:paraId="341AFE9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Les groupes sociaux dans l’Italie médiévale. (Comptes rendus : G. P. </w:t>
      </w:r>
      <w:r w:rsidRPr="00E9210E">
        <w:rPr>
          <w:rStyle w:val="Corpsdutexte37ptGrasNonItalique"/>
          <w:rFonts w:eastAsia="Courier New"/>
          <w:b w:val="0"/>
          <w:i w:val="0"/>
          <w:iCs w:val="0"/>
          <w:smallCaps/>
          <w:sz w:val="28"/>
        </w:rPr>
        <w:t>Bognetti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Sulle origini dei communi rurali del medioevo, con spéciale observazioni dei territorii milanese e comasco</w:t>
      </w:r>
      <w:r w:rsidRPr="00E9210E">
        <w:rPr>
          <w:rStyle w:val="Corpsdutexte385ptNonItalique"/>
          <w:rFonts w:eastAsia="Courier New"/>
          <w:i w:val="0"/>
          <w:iCs w:val="0"/>
          <w:sz w:val="28"/>
        </w:rPr>
        <w:t xml:space="preserve">, Pavie, 1927. — P. </w:t>
      </w:r>
      <w:r w:rsidRPr="00E9210E">
        <w:rPr>
          <w:rStyle w:val="Corpsdutexte37ptGrasNonItalique"/>
          <w:rFonts w:eastAsia="Courier New"/>
          <w:b w:val="0"/>
          <w:i w:val="0"/>
          <w:iCs w:val="0"/>
          <w:smallCaps/>
          <w:sz w:val="28"/>
        </w:rPr>
        <w:t>Vaccari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territorialita corne base dell’ordinamento giuridico del contado :</w:t>
      </w:r>
      <w:r w:rsidRPr="00E9210E">
        <w:rPr>
          <w:rStyle w:val="Corpsdutexte385ptEspacement0pt"/>
          <w:rFonts w:eastAsia="Courier New"/>
          <w:i w:val="0"/>
          <w:sz w:val="28"/>
        </w:rPr>
        <w:t xml:space="preserve"> </w:t>
      </w:r>
      <w:r w:rsidRPr="00E9210E">
        <w:rPr>
          <w:i/>
        </w:rPr>
        <w:t>Italia superiore e media</w:t>
      </w:r>
      <w:r w:rsidRPr="00E9210E">
        <w:rPr>
          <w:rStyle w:val="Corpsdutexte385ptNonItalique"/>
          <w:rFonts w:eastAsia="Courier New"/>
          <w:i w:val="0"/>
          <w:iCs w:val="0"/>
          <w:sz w:val="28"/>
        </w:rPr>
        <w:t>, Pavie, 1921. — G. </w:t>
      </w:r>
      <w:r w:rsidRPr="00E9210E">
        <w:rPr>
          <w:rStyle w:val="Corpsdutexte37ptGrasNonItalique"/>
          <w:rFonts w:eastAsia="Courier New"/>
          <w:b w:val="0"/>
          <w:i w:val="0"/>
          <w:iCs w:val="0"/>
          <w:sz w:val="28"/>
        </w:rPr>
        <w:t xml:space="preserve">M. </w:t>
      </w:r>
      <w:r w:rsidRPr="00E9210E">
        <w:rPr>
          <w:rStyle w:val="Corpsdutexte37ptGrasNonItalique"/>
          <w:rFonts w:eastAsia="Courier New"/>
          <w:b w:val="0"/>
          <w:i w:val="0"/>
          <w:iCs w:val="0"/>
          <w:smallCaps/>
          <w:sz w:val="28"/>
        </w:rPr>
        <w:t>Monti</w:t>
      </w:r>
      <w:r w:rsidRPr="00E9210E">
        <w:rPr>
          <w:rStyle w:val="Corpsdutexte37ptGrasNonItalique"/>
          <w:rFonts w:eastAsia="Courier New"/>
          <w:b w:val="0"/>
          <w:i w:val="0"/>
          <w:iCs w:val="0"/>
          <w:sz w:val="28"/>
        </w:rPr>
        <w:t xml:space="preserve">, </w:t>
      </w:r>
      <w:r w:rsidRPr="00E9210E">
        <w:rPr>
          <w:i/>
        </w:rPr>
        <w:t>Le confraternitate medievali dell’alta e media Italia</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Ven</w:t>
      </w:r>
      <w:r w:rsidRPr="00E9210E">
        <w:rPr>
          <w:rStyle w:val="Corpsdutexte385ptNonItalique"/>
          <w:rFonts w:eastAsia="Courier New"/>
          <w:i w:val="0"/>
          <w:iCs w:val="0"/>
          <w:sz w:val="28"/>
        </w:rPr>
        <w:t>i</w:t>
      </w:r>
      <w:r w:rsidRPr="00E9210E">
        <w:rPr>
          <w:rStyle w:val="Corpsdutexte385ptNonItalique"/>
          <w:rFonts w:eastAsia="Courier New"/>
          <w:i w:val="0"/>
          <w:iCs w:val="0"/>
          <w:sz w:val="28"/>
        </w:rPr>
        <w:t>se [1927]), « A.H.E.S. », t. I (1929), pp. 587-591.</w:t>
      </w:r>
    </w:p>
    <w:p w14:paraId="0AA6939F" w14:textId="77777777" w:rsidR="00B9662D" w:rsidRPr="00E9210E" w:rsidRDefault="00B9662D" w:rsidP="00B9662D">
      <w:pPr>
        <w:spacing w:before="120" w:after="120"/>
        <w:jc w:val="both"/>
      </w:pPr>
      <w:r w:rsidRPr="00E9210E">
        <w:t xml:space="preserve">La « révolution économique » du </w:t>
      </w:r>
      <w:r w:rsidRPr="00E9210E">
        <w:rPr>
          <w:caps/>
        </w:rPr>
        <w:t>xvi</w:t>
      </w:r>
      <w:r w:rsidRPr="00E9210E">
        <w:rPr>
          <w:vertAlign w:val="superscript"/>
        </w:rPr>
        <w:t>e</w:t>
      </w:r>
      <w:r w:rsidRPr="00E9210E">
        <w:t xml:space="preserve"> siècle. (Compte rendu : H. </w:t>
      </w:r>
      <w:r w:rsidRPr="00E9210E">
        <w:rPr>
          <w:rStyle w:val="Corpsdutexte27ptGras"/>
          <w:rFonts w:eastAsia="Courier New"/>
          <w:b w:val="0"/>
          <w:smallCaps/>
          <w:sz w:val="28"/>
        </w:rPr>
        <w:t>Hauser</w:t>
      </w:r>
      <w:r w:rsidRPr="00E9210E">
        <w:rPr>
          <w:rStyle w:val="Corpsdutexte27ptGras"/>
          <w:rFonts w:eastAsia="Courier New"/>
          <w:sz w:val="28"/>
        </w:rPr>
        <w:t xml:space="preserve"> </w:t>
      </w:r>
      <w:r w:rsidRPr="00E9210E">
        <w:t xml:space="preserve">et A. </w:t>
      </w:r>
      <w:r w:rsidRPr="00E9210E">
        <w:rPr>
          <w:rStyle w:val="Corpsdutexte27ptGras"/>
          <w:rFonts w:eastAsia="Courier New"/>
          <w:b w:val="0"/>
          <w:smallCaps/>
          <w:sz w:val="28"/>
        </w:rPr>
        <w:t>Renaudet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débuts de l’âge moderne. La Renai</w:t>
      </w:r>
      <w:r w:rsidRPr="00E9210E">
        <w:rPr>
          <w:rStyle w:val="Corpsdutexte28ptItalique"/>
          <w:rFonts w:eastAsia="Courier New"/>
          <w:sz w:val="28"/>
        </w:rPr>
        <w:t>s</w:t>
      </w:r>
      <w:r w:rsidRPr="00E9210E">
        <w:rPr>
          <w:rStyle w:val="Corpsdutexte28ptItalique"/>
          <w:rFonts w:eastAsia="Courier New"/>
          <w:sz w:val="28"/>
        </w:rPr>
        <w:t>sance et la Réforme,</w:t>
      </w:r>
      <w:r w:rsidRPr="00E9210E">
        <w:rPr>
          <w:rStyle w:val="Corpsdutexte28ptGraschelle120"/>
          <w:rFonts w:eastAsia="Courier New"/>
          <w:sz w:val="28"/>
        </w:rPr>
        <w:t xml:space="preserve"> </w:t>
      </w:r>
      <w:r w:rsidRPr="00E9210E">
        <w:t xml:space="preserve">Paris, 1929. </w:t>
      </w:r>
      <w:r w:rsidRPr="00E9210E">
        <w:rPr>
          <w:rStyle w:val="Corpsdutexte28ptItalique"/>
          <w:rFonts w:eastAsia="Courier New"/>
          <w:sz w:val="28"/>
        </w:rPr>
        <w:t>Pe</w:t>
      </w:r>
      <w:r w:rsidRPr="00E9210E">
        <w:rPr>
          <w:rStyle w:val="Corpsdutexte28ptItalique"/>
          <w:rFonts w:eastAsia="Courier New"/>
          <w:sz w:val="28"/>
        </w:rPr>
        <w:t>u</w:t>
      </w:r>
      <w:r w:rsidRPr="00E9210E">
        <w:rPr>
          <w:rStyle w:val="Corpsdutexte28ptItalique"/>
          <w:rFonts w:eastAsia="Courier New"/>
          <w:sz w:val="28"/>
        </w:rPr>
        <w:t>ples et civilisation...,</w:t>
      </w:r>
      <w:r w:rsidRPr="00E9210E">
        <w:rPr>
          <w:rStyle w:val="Corpsdutexte28ptGraschelle120"/>
          <w:rFonts w:eastAsia="Courier New"/>
          <w:sz w:val="28"/>
        </w:rPr>
        <w:t xml:space="preserve"> </w:t>
      </w:r>
      <w:r w:rsidRPr="00E9210E">
        <w:t>publ. sous la dir. de L. Halphen et Ph. Sagnac, t. VIII), « A.H.E.S. », t. I (1929), pp. 591-593.</w:t>
      </w:r>
    </w:p>
    <w:p w14:paraId="3379F249" w14:textId="77777777" w:rsidR="00B9662D" w:rsidRPr="00E9210E" w:rsidRDefault="00B9662D" w:rsidP="00B9662D">
      <w:pPr>
        <w:spacing w:before="120" w:after="120"/>
        <w:jc w:val="both"/>
      </w:pPr>
      <w:r w:rsidRPr="00E9210E">
        <w:t xml:space="preserve">Études de régions. 1) Une monographie géographique (compte rendu : D. </w:t>
      </w:r>
      <w:r w:rsidRPr="00E9210E">
        <w:rPr>
          <w:rStyle w:val="Corpsdutexte27ptGras"/>
          <w:rFonts w:eastAsia="Courier New"/>
          <w:b w:val="0"/>
          <w:smallCaps/>
          <w:sz w:val="28"/>
        </w:rPr>
        <w:t>Faucher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Plaines et bassins du Rhône moyen. Étude gé</w:t>
      </w:r>
      <w:r w:rsidRPr="00E9210E">
        <w:rPr>
          <w:rStyle w:val="Corpsdutexte28ptItalique"/>
          <w:rFonts w:eastAsia="Courier New"/>
          <w:sz w:val="28"/>
        </w:rPr>
        <w:t>o</w:t>
      </w:r>
      <w:r w:rsidRPr="00E9210E">
        <w:rPr>
          <w:rStyle w:val="Corpsdutexte28ptItalique"/>
          <w:rFonts w:eastAsia="Courier New"/>
          <w:sz w:val="28"/>
        </w:rPr>
        <w:t>graphique,</w:t>
      </w:r>
      <w:r w:rsidRPr="00E9210E">
        <w:rPr>
          <w:rStyle w:val="Corpsdutexte28ptGraschelle120"/>
          <w:rFonts w:eastAsia="Courier New"/>
          <w:sz w:val="28"/>
        </w:rPr>
        <w:t xml:space="preserve"> </w:t>
      </w:r>
      <w:r w:rsidRPr="00E9210E">
        <w:t>Valence, 1927). — </w:t>
      </w:r>
      <w:r w:rsidRPr="00E9210E">
        <w:rPr>
          <w:rStyle w:val="Corpsdutexte27ptGras"/>
          <w:rFonts w:eastAsia="Courier New"/>
          <w:b w:val="0"/>
          <w:sz w:val="28"/>
        </w:rPr>
        <w:t>2)</w:t>
      </w:r>
      <w:r w:rsidRPr="00E9210E">
        <w:rPr>
          <w:rStyle w:val="Corpsdutexte27ptGras"/>
          <w:rFonts w:eastAsia="Courier New"/>
          <w:sz w:val="28"/>
        </w:rPr>
        <w:t xml:space="preserve"> </w:t>
      </w:r>
      <w:r w:rsidRPr="00E9210E">
        <w:t xml:space="preserve">Une histoire provinciale (compte rendu : </w:t>
      </w:r>
      <w:r w:rsidRPr="00E9210E">
        <w:rPr>
          <w:rStyle w:val="Corpsdutexte27ptGras"/>
          <w:rFonts w:eastAsia="Courier New"/>
          <w:b w:val="0"/>
          <w:sz w:val="28"/>
        </w:rPr>
        <w:t>F.</w:t>
      </w:r>
      <w:r w:rsidRPr="00E9210E">
        <w:rPr>
          <w:rStyle w:val="Corpsdutexte27ptGras"/>
          <w:rFonts w:eastAsia="Courier New"/>
          <w:sz w:val="28"/>
        </w:rPr>
        <w:t xml:space="preserve"> </w:t>
      </w:r>
      <w:r w:rsidRPr="00E9210E">
        <w:rPr>
          <w:smallCaps/>
        </w:rPr>
        <w:t xml:space="preserve">de </w:t>
      </w:r>
      <w:r w:rsidRPr="00E9210E">
        <w:rPr>
          <w:rStyle w:val="Corpsdutexte27ptGras"/>
          <w:rFonts w:eastAsia="Courier New"/>
          <w:b w:val="0"/>
          <w:smallCaps/>
          <w:sz w:val="28"/>
        </w:rPr>
        <w:t>Vaux de Foletier</w:t>
      </w:r>
      <w:r w:rsidRPr="00E9210E">
        <w:rPr>
          <w:rStyle w:val="Corpsdutexte27ptGras"/>
          <w:rFonts w:eastAsia="Courier New"/>
          <w:b w:val="0"/>
          <w:sz w:val="28"/>
        </w:rPr>
        <w:t xml:space="preserve">, </w:t>
      </w:r>
      <w:r w:rsidRPr="00E9210E">
        <w:rPr>
          <w:rStyle w:val="Corpsdutexte28ptItalique"/>
          <w:rFonts w:eastAsia="Courier New"/>
          <w:sz w:val="28"/>
        </w:rPr>
        <w:t>Histoire d’Aunis et de Saintonge,</w:t>
      </w:r>
      <w:r w:rsidRPr="00E9210E">
        <w:rPr>
          <w:rStyle w:val="Corpsdutexte28ptGraschelle120"/>
          <w:rFonts w:eastAsia="Courier New"/>
          <w:sz w:val="28"/>
        </w:rPr>
        <w:t xml:space="preserve"> </w:t>
      </w:r>
      <w:r w:rsidRPr="00E9210E">
        <w:t xml:space="preserve">Paris, 1929). — 3) Les Pays-Bas dans l’économie médiévale (compte rendu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place of the Netherlands in the economic hi</w:t>
      </w:r>
      <w:r w:rsidRPr="00E9210E">
        <w:rPr>
          <w:rStyle w:val="Corpsdutexte28ptItalique"/>
          <w:rFonts w:eastAsia="Courier New"/>
          <w:sz w:val="28"/>
        </w:rPr>
        <w:t>s</w:t>
      </w:r>
      <w:r w:rsidRPr="00E9210E">
        <w:rPr>
          <w:rStyle w:val="Corpsdutexte28ptItalique"/>
          <w:rFonts w:eastAsia="Courier New"/>
          <w:sz w:val="28"/>
        </w:rPr>
        <w:t>tory of mediaeval Europe,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The economic history Review,</w:t>
      </w:r>
      <w:r w:rsidRPr="00E9210E">
        <w:rPr>
          <w:rStyle w:val="Corpsdutexte28ptGraschelle120"/>
          <w:rFonts w:eastAsia="Courier New"/>
          <w:sz w:val="28"/>
        </w:rPr>
        <w:t xml:space="preserve"> </w:t>
      </w:r>
      <w:r w:rsidRPr="00E9210E">
        <w:t>t. II (1929), pp. 20-40), « A.H.E.S. », t. I (1929), pp. 606-612.</w:t>
      </w:r>
    </w:p>
    <w:p w14:paraId="6850A4D9" w14:textId="77777777" w:rsidR="00B9662D" w:rsidRPr="00E9210E" w:rsidRDefault="00B9662D" w:rsidP="00B9662D">
      <w:pPr>
        <w:spacing w:before="120" w:after="120"/>
        <w:jc w:val="both"/>
      </w:pPr>
      <w:r w:rsidRPr="00E9210E">
        <w:t xml:space="preserve">Relations commerciales de l’Italie du Nord et du Centre avec le royaume de Naples au </w:t>
      </w:r>
      <w:r w:rsidRPr="00E9210E">
        <w:rPr>
          <w:caps/>
        </w:rPr>
        <w:t>xv</w:t>
      </w:r>
      <w:r w:rsidRPr="00E9210E">
        <w:rPr>
          <w:vertAlign w:val="superscript"/>
        </w:rPr>
        <w:t>e</w:t>
      </w:r>
      <w:r w:rsidRPr="00E9210E">
        <w:t xml:space="preserve"> siècle. (Compte rendu : G. </w:t>
      </w:r>
      <w:r w:rsidRPr="00E9210E">
        <w:rPr>
          <w:rStyle w:val="Corpsdutexte27ptGras"/>
          <w:rFonts w:eastAsia="Courier New"/>
          <w:b w:val="0"/>
          <w:sz w:val="28"/>
        </w:rPr>
        <w:t xml:space="preserve">M. </w:t>
      </w:r>
      <w:r w:rsidRPr="00E9210E">
        <w:rPr>
          <w:rStyle w:val="Corpsdutexte27ptGras"/>
          <w:rFonts w:eastAsia="Courier New"/>
          <w:b w:val="0"/>
          <w:smallCaps/>
          <w:sz w:val="28"/>
        </w:rPr>
        <w:t>Monti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Privilegi e consolati di Fiorentini e di Lombardi sotto Ferrante I di Aragona,</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Regio Istituto superiore di Scienze economiche e co</w:t>
      </w:r>
      <w:r w:rsidRPr="00E9210E">
        <w:rPr>
          <w:rStyle w:val="Corpsdutexte28ptItalique"/>
          <w:rFonts w:eastAsia="Courier New"/>
          <w:sz w:val="28"/>
        </w:rPr>
        <w:t>m</w:t>
      </w:r>
      <w:r w:rsidRPr="00E9210E">
        <w:rPr>
          <w:rStyle w:val="Corpsdutexte28ptItalique"/>
          <w:rFonts w:eastAsia="Courier New"/>
          <w:sz w:val="28"/>
        </w:rPr>
        <w:t>merciali,</w:t>
      </w:r>
      <w:r w:rsidRPr="00E9210E">
        <w:rPr>
          <w:rStyle w:val="Corpsdutexte28ptGraschelle120"/>
          <w:rFonts w:eastAsia="Courier New"/>
          <w:sz w:val="28"/>
        </w:rPr>
        <w:t xml:space="preserve"> </w:t>
      </w:r>
      <w:r w:rsidRPr="00E9210E">
        <w:t xml:space="preserve">Bari, </w:t>
      </w:r>
      <w:r w:rsidRPr="00E9210E">
        <w:rPr>
          <w:rStyle w:val="Corpsdutexte28ptItalique"/>
          <w:rFonts w:eastAsia="Courier New"/>
          <w:sz w:val="28"/>
        </w:rPr>
        <w:t>Archivio scientifico,</w:t>
      </w:r>
      <w:r w:rsidRPr="00E9210E">
        <w:rPr>
          <w:rStyle w:val="Corpsdutexte28ptGraschelle120"/>
          <w:rFonts w:eastAsia="Courier New"/>
          <w:sz w:val="28"/>
        </w:rPr>
        <w:t xml:space="preserve"> </w:t>
      </w:r>
      <w:r w:rsidRPr="00E9210E">
        <w:t>vol. I-II, 1926-1928), « A.H.E.S. », t. I (1929), p. 613.</w:t>
      </w:r>
    </w:p>
    <w:p w14:paraId="78D0F9DC" w14:textId="77777777" w:rsidR="00B9662D" w:rsidRPr="00E9210E" w:rsidRDefault="00B9662D" w:rsidP="00B9662D">
      <w:pPr>
        <w:spacing w:before="120" w:after="120"/>
        <w:jc w:val="both"/>
      </w:pPr>
      <w:r w:rsidRPr="00E9210E">
        <w:t xml:space="preserve">La vie intérieure d’une entreprise. (Compte rendu : J. </w:t>
      </w:r>
      <w:r w:rsidRPr="00E9210E">
        <w:rPr>
          <w:rStyle w:val="Corpsdutexte27ptGras"/>
          <w:rFonts w:eastAsia="Courier New"/>
          <w:b w:val="0"/>
          <w:smallCaps/>
          <w:sz w:val="28"/>
        </w:rPr>
        <w:t>Wilbois</w:t>
      </w:r>
      <w:r w:rsidRPr="00E9210E">
        <w:rPr>
          <w:rStyle w:val="Corpsdutexte27ptGras"/>
          <w:rFonts w:eastAsia="Courier New"/>
          <w:sz w:val="28"/>
        </w:rPr>
        <w:t xml:space="preserve"> </w:t>
      </w:r>
      <w:r w:rsidRPr="00E9210E">
        <w:t xml:space="preserve">et A. </w:t>
      </w:r>
      <w:r w:rsidRPr="00E9210E">
        <w:rPr>
          <w:rStyle w:val="Corpsdutexte27ptGras"/>
          <w:rFonts w:eastAsia="Courier New"/>
          <w:b w:val="0"/>
          <w:smallCaps/>
          <w:sz w:val="28"/>
        </w:rPr>
        <w:t>L</w:t>
      </w:r>
      <w:r w:rsidRPr="00E9210E">
        <w:rPr>
          <w:rStyle w:val="Corpsdutexte27ptGras"/>
          <w:rFonts w:eastAsia="Courier New"/>
          <w:b w:val="0"/>
          <w:smallCaps/>
          <w:sz w:val="28"/>
        </w:rPr>
        <w:t>e</w:t>
      </w:r>
      <w:r w:rsidRPr="00E9210E">
        <w:rPr>
          <w:rStyle w:val="Corpsdutexte27ptGras"/>
          <w:rFonts w:eastAsia="Courier New"/>
          <w:b w:val="0"/>
          <w:smallCaps/>
          <w:sz w:val="28"/>
        </w:rPr>
        <w:t>tixerant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Comment faire vivre une entreprise,</w:t>
      </w:r>
      <w:r w:rsidRPr="00E9210E">
        <w:rPr>
          <w:rStyle w:val="Corpsdutexte28ptGraschelle120"/>
          <w:rFonts w:eastAsia="Courier New"/>
          <w:sz w:val="28"/>
        </w:rPr>
        <w:t xml:space="preserve"> </w:t>
      </w:r>
      <w:r w:rsidRPr="00E9210E">
        <w:t>Paris, 1928), « A.H.E.S. », t. I (1929), p. 614.</w:t>
      </w:r>
    </w:p>
    <w:p w14:paraId="040E75BF" w14:textId="77777777" w:rsidR="00B9662D" w:rsidRPr="00E9210E" w:rsidRDefault="00B9662D" w:rsidP="00B9662D">
      <w:pPr>
        <w:spacing w:before="120" w:after="120"/>
        <w:jc w:val="both"/>
      </w:pPr>
      <w:r w:rsidRPr="00E9210E">
        <w:t xml:space="preserve">Crises monétaires médiévales : La Bourgogne sous les Valois. (Compte rendu : L. </w:t>
      </w:r>
      <w:r w:rsidRPr="00E9210E">
        <w:rPr>
          <w:rStyle w:val="Corpsdutexte27ptGras"/>
          <w:rFonts w:eastAsia="Courier New"/>
          <w:b w:val="0"/>
          <w:smallCaps/>
          <w:sz w:val="28"/>
        </w:rPr>
        <w:t>Lièvre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monnaie et le change en Bourgogne sous les ducs Valois,</w:t>
      </w:r>
      <w:r w:rsidRPr="00E9210E">
        <w:rPr>
          <w:rStyle w:val="Corpsdutexte28ptGraschelle120"/>
          <w:rFonts w:eastAsia="Courier New"/>
          <w:sz w:val="28"/>
        </w:rPr>
        <w:t xml:space="preserve"> </w:t>
      </w:r>
      <w:r w:rsidRPr="00E9210E">
        <w:t>Dijon, 1929), « A.H.E.S. », t. 1(1929), pp. 615-616.</w:t>
      </w:r>
    </w:p>
    <w:p w14:paraId="39C7C76D" w14:textId="77777777" w:rsidR="00B9662D" w:rsidRPr="00E9210E" w:rsidRDefault="00B9662D" w:rsidP="00B9662D">
      <w:pPr>
        <w:spacing w:before="120" w:after="120"/>
        <w:jc w:val="both"/>
      </w:pPr>
      <w:r w:rsidRPr="00E9210E">
        <w:t xml:space="preserve">La crise monétaire d’après-guerre. (Compte rendu : </w:t>
      </w:r>
      <w:r w:rsidRPr="00E9210E">
        <w:rPr>
          <w:rStyle w:val="Corpsdutexte28ptItalique"/>
          <w:rFonts w:eastAsia="Courier New"/>
          <w:sz w:val="28"/>
        </w:rPr>
        <w:t>La politique monétaire de divers pays d’Europe,</w:t>
      </w:r>
      <w:r w:rsidRPr="00E9210E">
        <w:rPr>
          <w:rStyle w:val="Corpsdutexte28ptGraschelle120"/>
          <w:rFonts w:eastAsia="Courier New"/>
          <w:sz w:val="28"/>
        </w:rPr>
        <w:t xml:space="preserve"> </w:t>
      </w:r>
      <w:r w:rsidRPr="00E9210E">
        <w:t>Paris, 1928 : publ. d’une série de conférences organisées par la société des élèves et anciens élèves de l’École des Sciences p</w:t>
      </w:r>
      <w:r w:rsidRPr="00E9210E">
        <w:t>o</w:t>
      </w:r>
      <w:r w:rsidRPr="00E9210E">
        <w:t>litiques), « A.H.E.S. », t. I (1929), pp. 616-617.</w:t>
      </w:r>
    </w:p>
    <w:p w14:paraId="403A6C6D" w14:textId="77777777" w:rsidR="00B9662D" w:rsidRPr="00E9210E" w:rsidRDefault="00B9662D" w:rsidP="00B9662D">
      <w:pPr>
        <w:spacing w:before="120" w:after="120"/>
        <w:jc w:val="both"/>
      </w:pPr>
      <w:r w:rsidRPr="00E9210E">
        <w:t>Publications diverses sur l’histoire monétaire et bancaire conte</w:t>
      </w:r>
      <w:r w:rsidRPr="00E9210E">
        <w:t>m</w:t>
      </w:r>
      <w:r w:rsidRPr="00E9210E">
        <w:t xml:space="preserve">poraine. (Comptes rendus : </w:t>
      </w:r>
      <w:r w:rsidRPr="00E9210E">
        <w:rPr>
          <w:rStyle w:val="Corpsdutexte27ptGras"/>
          <w:rFonts w:eastAsia="Courier New"/>
          <w:b w:val="0"/>
          <w:sz w:val="28"/>
        </w:rPr>
        <w:t xml:space="preserve">G. </w:t>
      </w:r>
      <w:r w:rsidRPr="00E9210E">
        <w:rPr>
          <w:rStyle w:val="Corpsdutexte27ptGras"/>
          <w:rFonts w:eastAsia="Courier New"/>
          <w:b w:val="0"/>
          <w:smallCaps/>
          <w:sz w:val="28"/>
        </w:rPr>
        <w:t>Grand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franc d’hier et le franc d’aujourd’hui,</w:t>
      </w:r>
      <w:r w:rsidRPr="00E9210E">
        <w:rPr>
          <w:rStyle w:val="Corpsdutexte28ptGraschelle120"/>
          <w:rFonts w:eastAsia="Courier New"/>
          <w:sz w:val="28"/>
        </w:rPr>
        <w:t xml:space="preserve"> </w:t>
      </w:r>
      <w:r w:rsidRPr="00E9210E">
        <w:t xml:space="preserve">Clermont-Ferrand, 1928. — J. </w:t>
      </w:r>
      <w:r w:rsidRPr="00E9210E">
        <w:rPr>
          <w:rStyle w:val="Corpsdutexte27ptGras"/>
          <w:rFonts w:eastAsia="Courier New"/>
          <w:b w:val="0"/>
          <w:smallCaps/>
          <w:sz w:val="28"/>
        </w:rPr>
        <w:t>Compeyrot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Ce qu’il faut connaître de la finance internationale,</w:t>
      </w:r>
      <w:r w:rsidRPr="00E9210E">
        <w:rPr>
          <w:rStyle w:val="Corpsdutexte28ptGraschelle120"/>
          <w:rFonts w:eastAsia="Courier New"/>
          <w:sz w:val="28"/>
        </w:rPr>
        <w:t xml:space="preserve"> </w:t>
      </w:r>
      <w:r w:rsidRPr="00E9210E">
        <w:t>Paris, 1929), « A.H.E.S. », t. I (1929), p. 617.</w:t>
      </w:r>
    </w:p>
    <w:p w14:paraId="1C5E648C" w14:textId="77777777" w:rsidR="00B9662D" w:rsidRPr="00E9210E" w:rsidRDefault="00B9662D" w:rsidP="00B9662D">
      <w:pPr>
        <w:spacing w:before="120" w:after="120"/>
        <w:jc w:val="both"/>
      </w:pPr>
      <w:r w:rsidRPr="00E9210E">
        <w:t xml:space="preserve">Une </w:t>
      </w:r>
      <w:r w:rsidRPr="00E9210E">
        <w:rPr>
          <w:rStyle w:val="Corpsdutexte27ptGras"/>
          <w:rFonts w:eastAsia="Courier New"/>
          <w:b w:val="0"/>
          <w:sz w:val="28"/>
        </w:rPr>
        <w:t>ville :</w:t>
      </w:r>
      <w:r w:rsidRPr="00E9210E">
        <w:t xml:space="preserve"> Béziers. (Compte rendu : </w:t>
      </w:r>
      <w:r w:rsidRPr="00E9210E">
        <w:rPr>
          <w:rStyle w:val="Corpsdutexte27ptGras"/>
          <w:rFonts w:eastAsia="Courier New"/>
          <w:b w:val="0"/>
          <w:smallCaps/>
          <w:sz w:val="28"/>
        </w:rPr>
        <w:t>Bellaud-Dessalles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w:t>
      </w:r>
      <w:r w:rsidRPr="00E9210E">
        <w:rPr>
          <w:rStyle w:val="Corpsdutexte28ptItalique"/>
          <w:rFonts w:eastAsia="Courier New"/>
          <w:sz w:val="28"/>
        </w:rPr>
        <w:t>i</w:t>
      </w:r>
      <w:r w:rsidRPr="00E9210E">
        <w:rPr>
          <w:rStyle w:val="Corpsdutexte28ptItalique"/>
          <w:rFonts w:eastAsia="Courier New"/>
          <w:sz w:val="28"/>
        </w:rPr>
        <w:t>re de Béziers des origines à la Révolution française</w:t>
      </w:r>
      <w:r w:rsidRPr="00E9210E">
        <w:t>, Béziers, 1929), « A.H.E.S. », t. I (1929), p. 619.</w:t>
      </w:r>
    </w:p>
    <w:p w14:paraId="6C440541" w14:textId="77777777" w:rsidR="00B9662D" w:rsidRPr="00E9210E" w:rsidRDefault="00B9662D" w:rsidP="00B9662D">
      <w:pPr>
        <w:spacing w:before="120" w:after="120"/>
        <w:jc w:val="both"/>
      </w:pPr>
      <w:r w:rsidRPr="00E9210E">
        <w:t>[1042]</w:t>
      </w:r>
    </w:p>
    <w:p w14:paraId="088A89E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G. </w:t>
      </w:r>
      <w:r w:rsidRPr="00E9210E">
        <w:rPr>
          <w:rStyle w:val="Corpsdutexte37ptGrasNonItalique"/>
          <w:rFonts w:eastAsia="Courier New"/>
          <w:b w:val="0"/>
          <w:i w:val="0"/>
          <w:iCs w:val="0"/>
          <w:smallCaps/>
          <w:sz w:val="28"/>
        </w:rPr>
        <w:t>Lefebvre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recherches relatives à la vente des biens n</w:t>
      </w:r>
      <w:r w:rsidRPr="00E9210E">
        <w:rPr>
          <w:i/>
        </w:rPr>
        <w:t>a</w:t>
      </w:r>
      <w:r w:rsidRPr="00E9210E">
        <w:rPr>
          <w:i/>
        </w:rPr>
        <w:t>tionaux,</w:t>
      </w:r>
      <w:r w:rsidRPr="00E9210E">
        <w:t xml:space="preserve"> </w:t>
      </w:r>
      <w:r w:rsidRPr="00E9210E">
        <w:rPr>
          <w:rStyle w:val="Corpsdutexte385ptNonItalique"/>
          <w:rFonts w:eastAsia="Courier New"/>
          <w:i w:val="0"/>
          <w:iCs w:val="0"/>
          <w:sz w:val="28"/>
        </w:rPr>
        <w:t xml:space="preserve">dans </w:t>
      </w:r>
      <w:r w:rsidRPr="00E9210E">
        <w:rPr>
          <w:i/>
        </w:rPr>
        <w:t>Revue d'histoire moderne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1928, p. 188-219,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A.H.E.S.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I (1929), pp. 620- 621.</w:t>
      </w:r>
    </w:p>
    <w:p w14:paraId="45D80235" w14:textId="77777777" w:rsidR="00B9662D" w:rsidRPr="00E9210E" w:rsidRDefault="00B9662D" w:rsidP="00B9662D">
      <w:pPr>
        <w:spacing w:before="120" w:after="120"/>
        <w:jc w:val="both"/>
      </w:pPr>
      <w:r w:rsidRPr="00E9210E">
        <w:t xml:space="preserve">Les « Years Books » : notes d’audiences ou entreprise de librairie. (Compte rendu : J. </w:t>
      </w:r>
      <w:r w:rsidRPr="00E9210E">
        <w:rPr>
          <w:rStyle w:val="Corpsdutexte27ptGras"/>
          <w:rFonts w:eastAsia="Courier New"/>
          <w:b w:val="0"/>
          <w:smallCaps/>
          <w:sz w:val="28"/>
        </w:rPr>
        <w:t>Lambert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Years Books de langue française</w:t>
      </w:r>
      <w:r w:rsidRPr="00E9210E">
        <w:rPr>
          <w:rStyle w:val="Corpsdutexte28ptGraschelle120"/>
          <w:rFonts w:eastAsia="Courier New"/>
          <w:sz w:val="28"/>
        </w:rPr>
        <w:t xml:space="preserve">, </w:t>
      </w:r>
      <w:r w:rsidRPr="00E9210E">
        <w:t>Paris, 1928), « A.H.E.S. », t. I (1929), pp. 627-628.</w:t>
      </w:r>
    </w:p>
    <w:p w14:paraId="0AD98F10" w14:textId="77777777" w:rsidR="00B9662D" w:rsidRPr="00E9210E" w:rsidRDefault="00B9662D" w:rsidP="00B9662D">
      <w:pPr>
        <w:spacing w:before="120" w:after="120"/>
        <w:jc w:val="both"/>
      </w:pPr>
      <w:r w:rsidRPr="00E9210E">
        <w:t xml:space="preserve">Finances anglaises </w:t>
      </w:r>
      <w:r w:rsidRPr="00E9210E">
        <w:rPr>
          <w:rStyle w:val="Corpsdutexte27ptGras"/>
          <w:rFonts w:eastAsia="Courier New"/>
          <w:b w:val="0"/>
          <w:sz w:val="28"/>
        </w:rPr>
        <w:t>du</w:t>
      </w:r>
      <w:r w:rsidRPr="00E9210E">
        <w:rPr>
          <w:rStyle w:val="Corpsdutexte27ptGras"/>
          <w:rFonts w:eastAsia="Courier New"/>
          <w:sz w:val="28"/>
        </w:rPr>
        <w:t xml:space="preserve"> </w:t>
      </w:r>
      <w:r w:rsidRPr="00E9210E">
        <w:t xml:space="preserve">Moyen Âge. (Compte rendu : A. B. </w:t>
      </w:r>
      <w:r w:rsidRPr="00E9210E">
        <w:rPr>
          <w:rStyle w:val="Corpsdutexte27ptGras"/>
          <w:rFonts w:eastAsia="Courier New"/>
          <w:b w:val="0"/>
          <w:smallCaps/>
          <w:sz w:val="28"/>
        </w:rPr>
        <w:t>Steel</w:t>
      </w:r>
      <w:r w:rsidRPr="00E9210E">
        <w:rPr>
          <w:rStyle w:val="Corpsdutexte27ptGras"/>
          <w:rFonts w:eastAsia="Courier New"/>
          <w:b w:val="0"/>
          <w:sz w:val="28"/>
        </w:rPr>
        <w:t xml:space="preserve">, </w:t>
      </w:r>
      <w:r w:rsidRPr="00E9210E">
        <w:rPr>
          <w:rStyle w:val="Corpsdutexte28ptItalique"/>
          <w:rFonts w:eastAsia="Courier New"/>
          <w:sz w:val="28"/>
        </w:rPr>
        <w:t>The present state of studies on the English Exchequer in the middle ages,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The american historical Review</w:t>
      </w:r>
      <w:r w:rsidRPr="00E9210E">
        <w:rPr>
          <w:rStyle w:val="Corpsdutexte28ptGraschelle120"/>
          <w:rFonts w:eastAsia="Courier New"/>
          <w:b w:val="0"/>
          <w:sz w:val="28"/>
        </w:rPr>
        <w:t>,</w:t>
      </w:r>
      <w:r w:rsidRPr="00E9210E">
        <w:rPr>
          <w:rStyle w:val="Corpsdutexte28ptGraschelle120"/>
          <w:rFonts w:eastAsia="Courier New"/>
          <w:sz w:val="28"/>
        </w:rPr>
        <w:t xml:space="preserve"> </w:t>
      </w:r>
      <w:r w:rsidRPr="00E9210E">
        <w:t xml:space="preserve">t. XXXIV, 1928-1929, pp. 485-512),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 (1929), pp. 627-628.</w:t>
      </w:r>
    </w:p>
    <w:p w14:paraId="57520A3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w:t>
      </w:r>
      <w:r w:rsidRPr="00E9210E">
        <w:rPr>
          <w:rStyle w:val="Corpsdutexte385ptNonItalique"/>
          <w:rFonts w:eastAsia="Courier New"/>
          <w:iCs w:val="0"/>
          <w:sz w:val="28"/>
        </w:rPr>
        <w:t xml:space="preserve">rendu : </w:t>
      </w:r>
      <w:r w:rsidRPr="00E9210E">
        <w:rPr>
          <w:rStyle w:val="Corpsdutexte385ptNonItalique"/>
          <w:rFonts w:eastAsia="Courier New"/>
          <w:i w:val="0"/>
          <w:iCs w:val="0"/>
          <w:sz w:val="28"/>
        </w:rPr>
        <w:t xml:space="preserve">M. </w:t>
      </w:r>
      <w:r w:rsidRPr="00E9210E">
        <w:rPr>
          <w:rStyle w:val="Corpsdutexte37ptGrasNonItalique"/>
          <w:rFonts w:eastAsia="Courier New"/>
          <w:b w:val="0"/>
          <w:i w:val="0"/>
          <w:iCs w:val="0"/>
          <w:smallCaps/>
          <w:sz w:val="28"/>
        </w:rPr>
        <w:t>Ottokar</w:t>
      </w:r>
      <w:r w:rsidRPr="00E9210E">
        <w:rPr>
          <w:rStyle w:val="Corpsdutexte37ptGrasNonItalique"/>
          <w:rFonts w:eastAsia="Courier New"/>
          <w:b w:val="0"/>
          <w:iCs w:val="0"/>
          <w:sz w:val="28"/>
        </w:rPr>
        <w:t>,</w:t>
      </w:r>
      <w:r w:rsidRPr="00E9210E">
        <w:rPr>
          <w:rStyle w:val="Corpsdutexte37ptGrasNonItalique"/>
          <w:rFonts w:eastAsia="Courier New"/>
          <w:iCs w:val="0"/>
          <w:sz w:val="28"/>
        </w:rPr>
        <w:t xml:space="preserve"> </w:t>
      </w:r>
      <w:r w:rsidRPr="00E9210E">
        <w:t>Le città francesi nel alto medio evo :</w:t>
      </w:r>
      <w:r w:rsidRPr="00E9210E">
        <w:rPr>
          <w:rStyle w:val="Corpsdutexte385ptEspacement0pt"/>
          <w:rFonts w:eastAsia="Courier New"/>
          <w:sz w:val="28"/>
        </w:rPr>
        <w:t xml:space="preserve"> </w:t>
      </w:r>
      <w:r w:rsidRPr="00E9210E">
        <w:t>saggi storici,</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Florence, 1927, </w:t>
      </w:r>
      <w:r w:rsidRPr="00E9210E">
        <w:t>« Le Moyen Âge », t. 30 (1929), pp. 104-107.</w:t>
      </w:r>
    </w:p>
    <w:p w14:paraId="015DC82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N. </w:t>
      </w:r>
      <w:r w:rsidRPr="00E9210E">
        <w:rPr>
          <w:rStyle w:val="Corpsdutexte37ptGrasNonItalique"/>
          <w:rFonts w:eastAsia="Courier New"/>
          <w:b w:val="0"/>
          <w:i w:val="0"/>
          <w:iCs w:val="0"/>
          <w:smallCaps/>
          <w:sz w:val="28"/>
        </w:rPr>
        <w:t>Åberg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Anglo-Saxons in England during the early ce</w:t>
      </w:r>
      <w:r w:rsidRPr="00E9210E">
        <w:rPr>
          <w:i/>
        </w:rPr>
        <w:t>n</w:t>
      </w:r>
      <w:r w:rsidRPr="00E9210E">
        <w:rPr>
          <w:i/>
        </w:rPr>
        <w:t>turies after the invasion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Upsal, 1926,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Le Moyen Âge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30 (1929), pp. 107-108.</w:t>
      </w:r>
    </w:p>
    <w:p w14:paraId="05D5400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M. </w:t>
      </w:r>
      <w:r w:rsidRPr="00E9210E">
        <w:rPr>
          <w:rStyle w:val="Corpsdutexte37ptGrasNonItalique"/>
          <w:rFonts w:eastAsia="Courier New"/>
          <w:b w:val="0"/>
          <w:i w:val="0"/>
          <w:iCs w:val="0"/>
          <w:smallCaps/>
          <w:sz w:val="28"/>
        </w:rPr>
        <w:t>Buchner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Vizepapstum des Abtes von St. Denis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Paderborn, 1928, </w:t>
      </w:r>
      <w:r w:rsidRPr="00E9210E">
        <w:t>« R.C.H.L. », 1929, pp. 117-118.</w:t>
      </w:r>
    </w:p>
    <w:p w14:paraId="6106835E" w14:textId="77777777" w:rsidR="00B9662D" w:rsidRPr="00E9210E" w:rsidRDefault="00B9662D" w:rsidP="00B9662D">
      <w:pPr>
        <w:spacing w:before="120" w:after="120"/>
        <w:jc w:val="both"/>
      </w:pPr>
      <w:r w:rsidRPr="00E9210E">
        <w:t xml:space="preserve">Compte rendu : A. M. </w:t>
      </w:r>
      <w:r w:rsidRPr="00E9210E">
        <w:rPr>
          <w:rStyle w:val="Corpsdutexte27ptGras"/>
          <w:rFonts w:eastAsia="Courier New"/>
          <w:b w:val="0"/>
          <w:sz w:val="28"/>
        </w:rPr>
        <w:t>Candioti,</w:t>
      </w:r>
      <w:r w:rsidRPr="00E9210E">
        <w:rPr>
          <w:rStyle w:val="Corpsdutexte27ptGras"/>
          <w:rFonts w:eastAsia="Courier New"/>
          <w:sz w:val="28"/>
        </w:rPr>
        <w:t xml:space="preserve"> </w:t>
      </w:r>
      <w:r w:rsidRPr="00E9210E">
        <w:rPr>
          <w:rStyle w:val="Corpsdutexte28ptItalique"/>
          <w:rFonts w:eastAsia="Courier New"/>
          <w:sz w:val="28"/>
        </w:rPr>
        <w:t>Historia de la Instituciόn consular en la Antigüedad y en la Edad Media</w:t>
      </w:r>
      <w:r w:rsidRPr="00E9210E">
        <w:rPr>
          <w:rStyle w:val="Corpsdutexte28ptGraschelle120"/>
          <w:rFonts w:eastAsia="Courier New"/>
          <w:sz w:val="28"/>
        </w:rPr>
        <w:t xml:space="preserve">, </w:t>
      </w:r>
      <w:r w:rsidRPr="00E9210E">
        <w:t xml:space="preserve">t. </w:t>
      </w:r>
      <w:r w:rsidRPr="00E9210E">
        <w:rPr>
          <w:rStyle w:val="Corpsdutexte28ptGraschelle120"/>
          <w:rFonts w:eastAsia="Courier New"/>
          <w:b w:val="0"/>
          <w:sz w:val="28"/>
        </w:rPr>
        <w:t>I,</w:t>
      </w:r>
      <w:r w:rsidRPr="00E9210E">
        <w:rPr>
          <w:rStyle w:val="Corpsdutexte28ptGraschelle120"/>
          <w:rFonts w:eastAsia="Courier New"/>
          <w:sz w:val="28"/>
        </w:rPr>
        <w:t xml:space="preserve"> </w:t>
      </w:r>
      <w:r w:rsidRPr="00E9210E">
        <w:t xml:space="preserve">Buenos Aires et Mexico, 1925, </w:t>
      </w:r>
      <w:r w:rsidRPr="00E9210E">
        <w:rPr>
          <w:rStyle w:val="Corpsdutexte28ptGraschelle120"/>
          <w:rFonts w:eastAsia="Courier New"/>
          <w:sz w:val="28"/>
        </w:rPr>
        <w:t>« </w:t>
      </w:r>
      <w:r w:rsidRPr="00E9210E">
        <w:t>R.C.H.L. »</w:t>
      </w:r>
      <w:r w:rsidRPr="00E9210E">
        <w:rPr>
          <w:rStyle w:val="Corpsdutexte28ptGraschelle120"/>
          <w:rFonts w:eastAsia="Courier New"/>
          <w:sz w:val="28"/>
        </w:rPr>
        <w:t xml:space="preserve">, </w:t>
      </w:r>
      <w:r w:rsidRPr="00E9210E">
        <w:t>1929, p. 238.</w:t>
      </w:r>
    </w:p>
    <w:p w14:paraId="51EA9A48" w14:textId="77777777" w:rsidR="00B9662D" w:rsidRPr="00E9210E" w:rsidRDefault="00B9662D" w:rsidP="00B9662D">
      <w:pPr>
        <w:spacing w:before="120" w:after="120"/>
        <w:jc w:val="both"/>
      </w:pPr>
      <w:r w:rsidRPr="00E9210E">
        <w:t xml:space="preserve">Compte rendu : R. </w:t>
      </w:r>
      <w:r w:rsidRPr="00E9210E">
        <w:rPr>
          <w:rStyle w:val="Corpsdutexte27ptGras"/>
          <w:rFonts w:eastAsia="Courier New"/>
          <w:b w:val="0"/>
          <w:smallCaps/>
          <w:sz w:val="28"/>
        </w:rPr>
        <w:t>Bouvier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 financier colonial au XV</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 : Jacques Cœur,</w:t>
      </w:r>
      <w:r w:rsidRPr="00E9210E">
        <w:rPr>
          <w:rStyle w:val="Corpsdutexte28ptGraschelle120"/>
          <w:rFonts w:eastAsia="Courier New"/>
          <w:sz w:val="28"/>
        </w:rPr>
        <w:t xml:space="preserve"> </w:t>
      </w:r>
      <w:r w:rsidRPr="00E9210E">
        <w:t>Paris, 1928, « R.C.H.L. », 1929, pp. 238-239.</w:t>
      </w:r>
    </w:p>
    <w:p w14:paraId="302D9852"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H. </w:t>
      </w:r>
      <w:r w:rsidRPr="00E9210E">
        <w:rPr>
          <w:rStyle w:val="Corpsdutexte37ptGrasNonItalique"/>
          <w:rFonts w:eastAsia="Courier New"/>
          <w:b w:val="0"/>
          <w:i w:val="0"/>
          <w:iCs w:val="0"/>
          <w:smallCaps/>
          <w:sz w:val="28"/>
        </w:rPr>
        <w:t>Schubert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Urkunden und Erlaüterungen zur Geschichte der Stadt Mühleim an der Ruhr (796-1508),</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Bonn, 1926,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1929, p. 239.</w:t>
      </w:r>
    </w:p>
    <w:p w14:paraId="6039454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A. </w:t>
      </w:r>
      <w:r w:rsidRPr="00E9210E">
        <w:rPr>
          <w:rStyle w:val="Corpsdutexte385ptNonItaliquePetitesmajuscules"/>
          <w:rFonts w:eastAsia="Courier New"/>
          <w:i w:val="0"/>
          <w:iCs w:val="0"/>
          <w:sz w:val="28"/>
        </w:rPr>
        <w:t xml:space="preserve">Hajje, </w:t>
      </w:r>
      <w:r w:rsidRPr="00E9210E">
        <w:rPr>
          <w:i/>
        </w:rPr>
        <w:t>Histoire de la justice seigneuriale en France. Les origines romaines.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 </w:t>
      </w:r>
      <w:r w:rsidRPr="00E9210E">
        <w:rPr>
          <w:i/>
        </w:rPr>
        <w:t>La justice privée dans les domaines des emp</w:t>
      </w:r>
      <w:r w:rsidRPr="00E9210E">
        <w:rPr>
          <w:i/>
        </w:rPr>
        <w:t>e</w:t>
      </w:r>
      <w:r w:rsidRPr="00E9210E">
        <w:rPr>
          <w:i/>
        </w:rPr>
        <w:t>reurs</w:t>
      </w:r>
      <w:r w:rsidRPr="00E9210E">
        <w:rPr>
          <w:rStyle w:val="Corpsdutexte3GrasNonItaliquechelle120"/>
          <w:rFonts w:eastAsia="Courier New"/>
          <w:b w:val="0"/>
          <w:i w:val="0"/>
          <w:iCs w:val="0"/>
          <w:sz w:val="28"/>
        </w:rPr>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1927, « R.C.H.L. », 1929, p. 239.</w:t>
      </w:r>
    </w:p>
    <w:p w14:paraId="102467B4"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K. </w:t>
      </w:r>
      <w:r w:rsidRPr="00E9210E">
        <w:rPr>
          <w:rStyle w:val="Corpsdutexte37ptGrasNonItalique"/>
          <w:rFonts w:eastAsia="Courier New"/>
          <w:b w:val="0"/>
          <w:i w:val="0"/>
          <w:iCs w:val="0"/>
          <w:smallCaps/>
          <w:sz w:val="28"/>
        </w:rPr>
        <w:t>Heldmann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Kaisertum Karls des Grossen. Theorien und Wirklichkeit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Weimar, 1928,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1929, pp. 251-254.</w:t>
      </w:r>
    </w:p>
    <w:p w14:paraId="5FAB17D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G. </w:t>
      </w:r>
      <w:r w:rsidRPr="00E9210E">
        <w:rPr>
          <w:rStyle w:val="Corpsdutexte37ptGrasNonItalique"/>
          <w:rFonts w:eastAsia="Courier New"/>
          <w:b w:val="0"/>
          <w:i w:val="0"/>
          <w:iCs w:val="0"/>
          <w:smallCaps/>
          <w:sz w:val="28"/>
        </w:rPr>
        <w:t>Dupont-Ferrier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formation de l'État fra</w:t>
      </w:r>
      <w:r w:rsidRPr="00E9210E">
        <w:rPr>
          <w:i/>
        </w:rPr>
        <w:t>n</w:t>
      </w:r>
      <w:r w:rsidRPr="00E9210E">
        <w:rPr>
          <w:i/>
        </w:rPr>
        <w:t>çais et de l'unité française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1929,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1929, p. 575.</w:t>
      </w:r>
    </w:p>
    <w:p w14:paraId="41BF7152"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85ptNonItalique"/>
          <w:rFonts w:eastAsia="Courier New"/>
          <w:i w:val="0"/>
          <w:iCs w:val="0"/>
          <w:sz w:val="28"/>
        </w:rPr>
        <w:tab/>
        <w:t>J</w:t>
      </w:r>
      <w:r w:rsidRPr="00E9210E">
        <w:rPr>
          <w:rStyle w:val="Corpsdutexte385ptNonItalique"/>
          <w:rFonts w:eastAsia="Courier New"/>
          <w:i w:val="0"/>
          <w:iCs w:val="0"/>
          <w:smallCaps/>
          <w:sz w:val="28"/>
        </w:rPr>
        <w:t xml:space="preserve">. </w:t>
      </w:r>
      <w:r w:rsidRPr="00E9210E">
        <w:rPr>
          <w:rStyle w:val="Corpsdutexte37ptGrasNonItalique"/>
          <w:rFonts w:eastAsia="Courier New"/>
          <w:b w:val="0"/>
          <w:i w:val="0"/>
          <w:iCs w:val="0"/>
          <w:smallCaps/>
          <w:sz w:val="28"/>
        </w:rPr>
        <w:t>Kulischer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Allgemeine Wirtschaftsgeschichte des Mi</w:t>
      </w:r>
      <w:r w:rsidRPr="00E9210E">
        <w:rPr>
          <w:i/>
        </w:rPr>
        <w:t>t</w:t>
      </w:r>
      <w:r w:rsidRPr="00E9210E">
        <w:rPr>
          <w:i/>
        </w:rPr>
        <w:t xml:space="preserve">telalters und </w:t>
      </w:r>
      <w:r w:rsidRPr="00E9210E">
        <w:rPr>
          <w:rStyle w:val="Corpsdutexte28ptItalique"/>
          <w:rFonts w:eastAsia="Courier New"/>
          <w:i w:val="0"/>
          <w:sz w:val="28"/>
        </w:rPr>
        <w:t xml:space="preserve">der </w:t>
      </w:r>
      <w:r w:rsidRPr="00E9210E">
        <w:rPr>
          <w:rStyle w:val="Corpsdutexte28ptItalique"/>
          <w:rFonts w:eastAsia="Courier New"/>
          <w:sz w:val="28"/>
        </w:rPr>
        <w:t>Neuzeit.</w:t>
      </w:r>
      <w:r w:rsidRPr="00E9210E">
        <w:rPr>
          <w:rStyle w:val="Corpsdutexte28ptGraschelle120"/>
          <w:rFonts w:eastAsia="Courier New"/>
          <w:sz w:val="28"/>
        </w:rPr>
        <w:t xml:space="preserve"> </w:t>
      </w:r>
      <w:r w:rsidRPr="00E9210E">
        <w:t xml:space="preserve">Bd. I, </w:t>
      </w:r>
      <w:r w:rsidRPr="00E9210E">
        <w:rPr>
          <w:rStyle w:val="Corpsdutexte28ptItalique"/>
          <w:rFonts w:eastAsia="Courier New"/>
          <w:sz w:val="28"/>
        </w:rPr>
        <w:t>Das Mittelalter,</w:t>
      </w:r>
      <w:r w:rsidRPr="00E9210E">
        <w:rPr>
          <w:rStyle w:val="Corpsdutexte28ptGraschelle120"/>
          <w:rFonts w:eastAsia="Courier New"/>
          <w:sz w:val="28"/>
        </w:rPr>
        <w:t xml:space="preserve"> </w:t>
      </w:r>
      <w:r w:rsidRPr="00E9210E">
        <w:t>Munich et Berlin, 1928, « Revue historique », t. 160 (1929), pp. 381-382.</w:t>
      </w:r>
    </w:p>
    <w:p w14:paraId="686B302D" w14:textId="77777777" w:rsidR="00B9662D" w:rsidRPr="00E9210E" w:rsidRDefault="00B9662D" w:rsidP="00B9662D">
      <w:pPr>
        <w:spacing w:before="120" w:after="120"/>
        <w:jc w:val="both"/>
      </w:pPr>
      <w:r w:rsidRPr="00E9210E">
        <w:t xml:space="preserve">Compte rendu : Ch. </w:t>
      </w:r>
      <w:r w:rsidRPr="00E9210E">
        <w:rPr>
          <w:rStyle w:val="Corpsdutexte27ptGras"/>
          <w:rFonts w:eastAsia="Courier New"/>
          <w:b w:val="0"/>
          <w:smallCaps/>
          <w:sz w:val="28"/>
        </w:rPr>
        <w:t>Blondel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Introduction à la psychologie co</w:t>
      </w:r>
      <w:r w:rsidRPr="00E9210E">
        <w:rPr>
          <w:rStyle w:val="Corpsdutexte28ptItalique"/>
          <w:rFonts w:eastAsia="Courier New"/>
          <w:sz w:val="28"/>
        </w:rPr>
        <w:t>l</w:t>
      </w:r>
      <w:r w:rsidRPr="00E9210E">
        <w:rPr>
          <w:rStyle w:val="Corpsdutexte28ptItalique"/>
          <w:rFonts w:eastAsia="Courier New"/>
          <w:sz w:val="28"/>
        </w:rPr>
        <w:t>lective,</w:t>
      </w:r>
      <w:r w:rsidRPr="00E9210E">
        <w:rPr>
          <w:rStyle w:val="Corpsdutexte28ptGraschelle120"/>
          <w:rFonts w:eastAsia="Courier New"/>
          <w:sz w:val="28"/>
        </w:rPr>
        <w:t xml:space="preserve"> </w:t>
      </w:r>
      <w:r w:rsidRPr="00E9210E">
        <w:t>Paris, 1928, « Revue historique », t. 160 (1929), pp. 398-399.</w:t>
      </w:r>
    </w:p>
    <w:p w14:paraId="732422E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Quelques contributions à l’histoire religieuse du Moyen Âge. (Comptes rendus : M. </w:t>
      </w:r>
      <w:r w:rsidRPr="00E9210E">
        <w:rPr>
          <w:rStyle w:val="Corpsdutexte37ptGrasNonItalique"/>
          <w:rFonts w:eastAsia="Courier New"/>
          <w:b w:val="0"/>
          <w:i w:val="0"/>
          <w:iCs w:val="0"/>
          <w:smallCaps/>
          <w:sz w:val="28"/>
        </w:rPr>
        <w:t>Dessubré</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bibli</w:t>
      </w:r>
      <w:r w:rsidRPr="00E9210E">
        <w:rPr>
          <w:i/>
        </w:rPr>
        <w:t>o</w:t>
      </w:r>
      <w:r w:rsidRPr="00E9210E">
        <w:rPr>
          <w:i/>
        </w:rPr>
        <w:t>graphie de l'ordre des Templiers</w:t>
      </w:r>
      <w:r w:rsidRPr="00E9210E">
        <w:t xml:space="preserve"> (Imprimés et manuscrits),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1928. — P. </w:t>
      </w:r>
      <w:r w:rsidRPr="00E9210E">
        <w:rPr>
          <w:rStyle w:val="Corpsdutexte37ptGrasNonItalique"/>
          <w:rFonts w:eastAsia="Courier New"/>
          <w:b w:val="0"/>
          <w:i w:val="0"/>
          <w:iCs w:val="0"/>
          <w:smallCaps/>
          <w:sz w:val="28"/>
        </w:rPr>
        <w:t>Delehaye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Sanctus, essai sur le culte des saints dans l'Antiquité</w:t>
      </w:r>
      <w:r w:rsidRPr="00E9210E">
        <w:t xml:space="preserve">, </w:t>
      </w:r>
      <w:r w:rsidRPr="00E9210E">
        <w:rPr>
          <w:rStyle w:val="Corpsdutexte385ptNonItalique"/>
          <w:rFonts w:eastAsia="Courier New"/>
          <w:i w:val="0"/>
          <w:iCs w:val="0"/>
          <w:sz w:val="28"/>
        </w:rPr>
        <w:t>Bruxelles, 1927. — M</w:t>
      </w:r>
      <w:r w:rsidRPr="00E9210E">
        <w:rPr>
          <w:rStyle w:val="Corpsdutexte385ptNonItalique"/>
          <w:rFonts w:eastAsia="Courier New"/>
          <w:i w:val="0"/>
          <w:iCs w:val="0"/>
          <w:sz w:val="28"/>
          <w:vertAlign w:val="superscript"/>
        </w:rPr>
        <w:t>gr</w:t>
      </w:r>
      <w:r w:rsidRPr="00E9210E">
        <w:rPr>
          <w:rStyle w:val="Corpsdutexte385ptNonItalique"/>
          <w:rFonts w:eastAsia="Courier New"/>
          <w:i w:val="0"/>
          <w:iCs w:val="0"/>
          <w:sz w:val="28"/>
        </w:rPr>
        <w:t xml:space="preserve"> </w:t>
      </w:r>
      <w:r w:rsidRPr="00E9210E">
        <w:rPr>
          <w:rStyle w:val="Corpsdutexte37ptGrasNonItalique"/>
          <w:rFonts w:eastAsia="Courier New"/>
          <w:b w:val="0"/>
          <w:i w:val="0"/>
          <w:iCs w:val="0"/>
          <w:smallCaps/>
          <w:sz w:val="28"/>
        </w:rPr>
        <w:t>Batiffol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Saint Grégoire le Grand,</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éd., Paris, 1928. Dr. Th. </w:t>
      </w:r>
      <w:r w:rsidRPr="00E9210E">
        <w:rPr>
          <w:rStyle w:val="Corpsdutexte37ptGrasNonItalique"/>
          <w:rFonts w:eastAsia="Courier New"/>
          <w:b w:val="0"/>
          <w:i w:val="0"/>
          <w:iCs w:val="0"/>
          <w:smallCaps/>
          <w:sz w:val="28"/>
        </w:rPr>
        <w:t>Gottlob</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Der abendländische Chorepiskopat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Bonn, 1928. — Dom </w:t>
      </w:r>
      <w:r w:rsidRPr="00E9210E">
        <w:rPr>
          <w:rStyle w:val="Corpsdutexte37ptGrasNonItalique"/>
          <w:rFonts w:eastAsia="Courier New"/>
          <w:b w:val="0"/>
          <w:i w:val="0"/>
          <w:iCs w:val="0"/>
          <w:sz w:val="28"/>
        </w:rPr>
        <w:t xml:space="preserve">L. </w:t>
      </w:r>
      <w:r w:rsidRPr="00E9210E">
        <w:rPr>
          <w:rStyle w:val="Corpsdutexte37ptGrasNonItalique"/>
          <w:rFonts w:eastAsia="Courier New"/>
          <w:b w:val="0"/>
          <w:i w:val="0"/>
          <w:iCs w:val="0"/>
          <w:smallCaps/>
          <w:sz w:val="28"/>
        </w:rPr>
        <w:t>Gougaud</w:t>
      </w:r>
      <w:r w:rsidRPr="00E9210E">
        <w:rPr>
          <w:rStyle w:val="Corpsdutexte37ptGrasNonItalique"/>
          <w:rFonts w:eastAsia="Courier New"/>
          <w:b w:val="0"/>
          <w:i w:val="0"/>
          <w:iCs w:val="0"/>
          <w:sz w:val="28"/>
        </w:rPr>
        <w:t xml:space="preserve">, </w:t>
      </w:r>
      <w:r w:rsidRPr="00E9210E">
        <w:rPr>
          <w:i/>
        </w:rPr>
        <w:t>Ermites et reclus. Études sur d’anciennes formes de vie religieuse,</w:t>
      </w:r>
      <w:r w:rsidRPr="00E9210E">
        <w:t xml:space="preserve"> </w:t>
      </w:r>
      <w:r w:rsidRPr="00E9210E">
        <w:rPr>
          <w:rStyle w:val="Corpsdutexte385ptNonItalique"/>
          <w:rFonts w:eastAsia="Courier New"/>
          <w:i w:val="0"/>
          <w:iCs w:val="0"/>
          <w:sz w:val="28"/>
        </w:rPr>
        <w:t>Abbaye de Saint-Martin de L</w:t>
      </w:r>
      <w:r w:rsidRPr="00E9210E">
        <w:rPr>
          <w:rStyle w:val="Corpsdutexte385ptNonItalique"/>
          <w:rFonts w:eastAsia="Courier New"/>
          <w:i w:val="0"/>
          <w:iCs w:val="0"/>
          <w:sz w:val="28"/>
        </w:rPr>
        <w:t>i</w:t>
      </w:r>
      <w:r w:rsidRPr="00E9210E">
        <w:rPr>
          <w:rStyle w:val="Corpsdutexte385ptNonItalique"/>
          <w:rFonts w:eastAsia="Courier New"/>
          <w:i w:val="0"/>
          <w:iCs w:val="0"/>
          <w:sz w:val="28"/>
        </w:rPr>
        <w:t xml:space="preserve">gugé, 1928. — G. G. </w:t>
      </w:r>
      <w:r w:rsidRPr="00E9210E">
        <w:rPr>
          <w:rStyle w:val="Corpsdutexte37ptGrasNonItalique"/>
          <w:rFonts w:eastAsia="Courier New"/>
          <w:b w:val="0"/>
          <w:i w:val="0"/>
          <w:iCs w:val="0"/>
          <w:smallCaps/>
          <w:sz w:val="28"/>
        </w:rPr>
        <w:t>Goulton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Life of the middle ages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Vol. I, </w:t>
      </w:r>
      <w:r w:rsidRPr="00E9210E">
        <w:rPr>
          <w:i/>
        </w:rPr>
        <w:t>Rel</w:t>
      </w:r>
      <w:r w:rsidRPr="00E9210E">
        <w:rPr>
          <w:i/>
        </w:rPr>
        <w:t>i</w:t>
      </w:r>
      <w:r w:rsidRPr="00E9210E">
        <w:rPr>
          <w:i/>
        </w:rPr>
        <w:t>gion, Folklore and S</w:t>
      </w:r>
      <w:r w:rsidRPr="00E9210E">
        <w:rPr>
          <w:i/>
        </w:rPr>
        <w:t>u</w:t>
      </w:r>
      <w:r w:rsidRPr="00E9210E">
        <w:rPr>
          <w:i/>
        </w:rPr>
        <w:t>perstition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Cambridge, 1928. — Ch. V. </w:t>
      </w:r>
      <w:r w:rsidRPr="00E9210E">
        <w:rPr>
          <w:rStyle w:val="Corpsdutexte37ptGrasNonItalique"/>
          <w:rFonts w:eastAsia="Courier New"/>
          <w:b w:val="0"/>
          <w:i w:val="0"/>
          <w:iCs w:val="0"/>
          <w:smallCaps/>
          <w:sz w:val="28"/>
        </w:rPr>
        <w:t>Langlois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vie spirituelle : enseignements, méditations et controverses d’après des écrits français à l'usage des laïcs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1928,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 synt. hist.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47 (1929), pp. 87-97.</w:t>
      </w:r>
    </w:p>
    <w:p w14:paraId="4C5D1CF1" w14:textId="77777777" w:rsidR="00B9662D" w:rsidRPr="00E9210E" w:rsidRDefault="00B9662D" w:rsidP="00B9662D">
      <w:pPr>
        <w:spacing w:before="120" w:after="120"/>
        <w:jc w:val="both"/>
      </w:pPr>
      <w:r w:rsidRPr="00E9210E">
        <w:t>Deux contributions à l’histoire de Louis XI. (Comptes rendus : P. </w:t>
      </w:r>
      <w:r w:rsidRPr="00E9210E">
        <w:rPr>
          <w:rStyle w:val="Corpsdutexte27ptGras"/>
          <w:rFonts w:eastAsia="Courier New"/>
          <w:b w:val="0"/>
          <w:smallCaps/>
          <w:sz w:val="28"/>
        </w:rPr>
        <w:t>Champion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Louis XI. </w:t>
      </w:r>
      <w:r w:rsidRPr="00E9210E">
        <w:t>T. I :</w:t>
      </w:r>
      <w:r w:rsidRPr="00E9210E">
        <w:rPr>
          <w:rStyle w:val="Corpsdutexte28ptGraschelle120"/>
          <w:rFonts w:eastAsia="Courier New"/>
          <w:sz w:val="28"/>
        </w:rPr>
        <w:t xml:space="preserve"> </w:t>
      </w:r>
      <w:r w:rsidRPr="00E9210E">
        <w:rPr>
          <w:rStyle w:val="Corpsdutexte28ptItalique"/>
          <w:rFonts w:eastAsia="Courier New"/>
          <w:sz w:val="28"/>
        </w:rPr>
        <w:t>Le dauphin.</w:t>
      </w:r>
      <w:r w:rsidRPr="00E9210E">
        <w:rPr>
          <w:rStyle w:val="Corpsdutexte28ptGraschelle120"/>
          <w:rFonts w:eastAsia="Courier New"/>
          <w:sz w:val="28"/>
        </w:rPr>
        <w:t xml:space="preserve"> </w:t>
      </w:r>
      <w:r w:rsidRPr="00E9210E">
        <w:t>T. Il :</w:t>
      </w:r>
      <w:r w:rsidRPr="00E9210E">
        <w:rPr>
          <w:rStyle w:val="Corpsdutexte28ptGraschelle120"/>
          <w:rFonts w:eastAsia="Courier New"/>
          <w:sz w:val="28"/>
        </w:rPr>
        <w:t xml:space="preserve"> </w:t>
      </w:r>
      <w:r w:rsidRPr="00E9210E">
        <w:rPr>
          <w:rStyle w:val="Corpsdutexte28ptItalique"/>
          <w:rFonts w:eastAsia="Courier New"/>
          <w:sz w:val="28"/>
        </w:rPr>
        <w:t>Le roi,</w:t>
      </w:r>
      <w:r w:rsidRPr="00E9210E">
        <w:rPr>
          <w:rStyle w:val="Corpsdutexte28ptGraschelle120"/>
          <w:rFonts w:eastAsia="Courier New"/>
          <w:sz w:val="28"/>
        </w:rPr>
        <w:t xml:space="preserve"> </w:t>
      </w:r>
      <w:r w:rsidRPr="00E9210E">
        <w:t xml:space="preserve">Paris, 1927. — O. </w:t>
      </w:r>
      <w:r w:rsidRPr="00E9210E">
        <w:rPr>
          <w:rStyle w:val="Corpsdutexte27ptGras"/>
          <w:rFonts w:eastAsia="Courier New"/>
          <w:b w:val="0"/>
          <w:smallCaps/>
          <w:sz w:val="28"/>
        </w:rPr>
        <w:t>Cramer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innere Politik Ludwigs XI. von Frankreich,</w:t>
      </w:r>
      <w:r w:rsidRPr="00E9210E">
        <w:rPr>
          <w:rStyle w:val="Corpsdutexte28ptGraschelle120"/>
          <w:rFonts w:eastAsia="Courier New"/>
          <w:sz w:val="28"/>
        </w:rPr>
        <w:t xml:space="preserve"> </w:t>
      </w:r>
      <w:r w:rsidRPr="00E9210E">
        <w:t>Cologne, 1927), « Rev. synt. hist. », t. 47 (1929), pp. 111-112.</w:t>
      </w:r>
    </w:p>
    <w:p w14:paraId="2B2C159B" w14:textId="77777777" w:rsidR="00B9662D" w:rsidRPr="00E9210E" w:rsidRDefault="00B9662D" w:rsidP="00B9662D">
      <w:pPr>
        <w:spacing w:before="120" w:after="120"/>
        <w:jc w:val="both"/>
      </w:pPr>
      <w:r w:rsidRPr="00E9210E">
        <w:t>[1043]</w:t>
      </w:r>
    </w:p>
    <w:p w14:paraId="55459CCC"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Hauser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débats du capitalisme,</w:t>
      </w:r>
      <w:r w:rsidRPr="00E9210E">
        <w:rPr>
          <w:rStyle w:val="Corpsdutexte28ptGraschelle120"/>
          <w:rFonts w:eastAsia="Courier New"/>
          <w:sz w:val="28"/>
        </w:rPr>
        <w:t xml:space="preserve"> </w:t>
      </w:r>
      <w:r w:rsidRPr="00E9210E">
        <w:t>Paris, 1927, « Rev. synt. hist. », t. 47 (1929), pp. 112-113.</w:t>
      </w:r>
    </w:p>
    <w:p w14:paraId="6A9D0E81" w14:textId="77777777" w:rsidR="00B9662D" w:rsidRPr="00E9210E" w:rsidRDefault="00B9662D" w:rsidP="00B9662D">
      <w:pPr>
        <w:spacing w:before="120" w:after="120"/>
        <w:jc w:val="both"/>
      </w:pPr>
      <w:r w:rsidRPr="00E9210E">
        <w:t xml:space="preserve">Mise au point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propos de P. des </w:t>
      </w:r>
      <w:r w:rsidRPr="00E9210E">
        <w:rPr>
          <w:rStyle w:val="Corpsdutexte27ptGras"/>
          <w:rFonts w:eastAsia="Courier New"/>
          <w:b w:val="0"/>
          <w:smallCaps/>
          <w:sz w:val="28"/>
        </w:rPr>
        <w:t>Mallais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sacre des rois de France</w:t>
      </w:r>
      <w:r w:rsidRPr="00E9210E">
        <w:rPr>
          <w:rStyle w:val="Corpsdutexte28ptGraschelle120"/>
          <w:rFonts w:eastAsia="Courier New"/>
          <w:sz w:val="28"/>
        </w:rPr>
        <w:t xml:space="preserve">, </w:t>
      </w:r>
      <w:r w:rsidRPr="00E9210E">
        <w:t>Paris), « Rev. synt. hist. », t. 47 (1929), p. 135.</w:t>
      </w:r>
    </w:p>
    <w:p w14:paraId="2642673F" w14:textId="77777777" w:rsidR="00B9662D" w:rsidRPr="00E9210E" w:rsidRDefault="00B9662D" w:rsidP="00B9662D">
      <w:pPr>
        <w:spacing w:before="120" w:after="120"/>
        <w:jc w:val="both"/>
      </w:pPr>
      <w:r w:rsidRPr="00E9210E">
        <w:t xml:space="preserve">Une géographie commerciale. (Compte rendu : P. </w:t>
      </w:r>
      <w:r w:rsidRPr="00E9210E">
        <w:rPr>
          <w:rStyle w:val="Corpsdutexte27ptGras"/>
          <w:rFonts w:eastAsia="Courier New"/>
          <w:b w:val="0"/>
          <w:smallCaps/>
          <w:sz w:val="28"/>
        </w:rPr>
        <w:t>Clerget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w:t>
      </w:r>
      <w:r w:rsidRPr="00E9210E">
        <w:rPr>
          <w:rStyle w:val="Corpsdutexte28ptItalique"/>
          <w:rFonts w:eastAsia="Courier New"/>
          <w:sz w:val="28"/>
        </w:rPr>
        <w:t>a</w:t>
      </w:r>
      <w:r w:rsidRPr="00E9210E">
        <w:rPr>
          <w:rStyle w:val="Corpsdutexte28ptItalique"/>
          <w:rFonts w:eastAsia="Courier New"/>
          <w:sz w:val="28"/>
        </w:rPr>
        <w:t>nuel de géogr</w:t>
      </w:r>
      <w:r w:rsidRPr="00E9210E">
        <w:rPr>
          <w:rStyle w:val="Corpsdutexte28ptItalique"/>
          <w:rFonts w:eastAsia="Courier New"/>
          <w:sz w:val="28"/>
        </w:rPr>
        <w:t>a</w:t>
      </w:r>
      <w:r w:rsidRPr="00E9210E">
        <w:rPr>
          <w:rStyle w:val="Corpsdutexte28ptItalique"/>
          <w:rFonts w:eastAsia="Courier New"/>
          <w:sz w:val="28"/>
        </w:rPr>
        <w:t>phie commerciale</w:t>
      </w:r>
      <w:r w:rsidRPr="00E9210E">
        <w:rPr>
          <w:rStyle w:val="Corpsdutexte28ptGraschelle120"/>
          <w:rFonts w:eastAsia="Courier New"/>
          <w:sz w:val="28"/>
        </w:rPr>
        <w:t xml:space="preserve">, </w:t>
      </w:r>
      <w:r w:rsidRPr="00E9210E">
        <w:t>2</w:t>
      </w:r>
      <w:r w:rsidRPr="00E9210E">
        <w:rPr>
          <w:vertAlign w:val="superscript"/>
        </w:rPr>
        <w:t>e</w:t>
      </w:r>
      <w:r w:rsidRPr="00E9210E">
        <w:t xml:space="preserve"> éd., Paris, 1928), </w:t>
      </w:r>
      <w:r w:rsidRPr="00E9210E">
        <w:rPr>
          <w:rStyle w:val="Corpsdutexte28ptGraschelle120"/>
          <w:rFonts w:eastAsia="Courier New"/>
          <w:sz w:val="28"/>
        </w:rPr>
        <w:t>« </w:t>
      </w:r>
      <w:r w:rsidRPr="00E9210E">
        <w:t>Rev. synt. hist. »</w:t>
      </w:r>
      <w:r w:rsidRPr="00E9210E">
        <w:rPr>
          <w:rStyle w:val="Corpsdutexte28ptGraschelle120"/>
          <w:rFonts w:eastAsia="Courier New"/>
          <w:sz w:val="28"/>
        </w:rPr>
        <w:t xml:space="preserve">, </w:t>
      </w:r>
      <w:r w:rsidRPr="00E9210E">
        <w:t>t. 48 (1929), pp. 125-126.</w:t>
      </w:r>
    </w:p>
    <w:p w14:paraId="5C7FA371" w14:textId="77777777" w:rsidR="00B9662D" w:rsidRPr="00E9210E" w:rsidRDefault="00B9662D" w:rsidP="00B9662D">
      <w:pPr>
        <w:spacing w:before="120" w:after="120"/>
        <w:jc w:val="both"/>
      </w:pPr>
      <w:r w:rsidRPr="00E9210E">
        <w:t xml:space="preserve">Compte rendu : Ch. </w:t>
      </w:r>
      <w:r w:rsidRPr="00E9210E">
        <w:rPr>
          <w:rStyle w:val="Corpsdutexte27ptGras"/>
          <w:rFonts w:eastAsia="Courier New"/>
          <w:b w:val="0"/>
          <w:sz w:val="28"/>
        </w:rPr>
        <w:t xml:space="preserve">M. </w:t>
      </w:r>
      <w:r w:rsidRPr="00E9210E">
        <w:rPr>
          <w:rStyle w:val="Corpsdutexte27ptGras"/>
          <w:rFonts w:eastAsia="Courier New"/>
          <w:b w:val="0"/>
          <w:smallCaps/>
          <w:sz w:val="28"/>
        </w:rPr>
        <w:t>Macri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Des Byzantins et des étrangers dans Constantinople au Moyen Âge</w:t>
      </w:r>
      <w:r w:rsidRPr="00E9210E">
        <w:rPr>
          <w:rStyle w:val="Corpsdutexte28ptGraschelle120"/>
          <w:rFonts w:eastAsia="Courier New"/>
          <w:sz w:val="28"/>
        </w:rPr>
        <w:t xml:space="preserve">, </w:t>
      </w:r>
      <w:r w:rsidRPr="00E9210E">
        <w:t>Paris, 1928, « Rev. synt. hist. », t. 48 (1929), p. 129.</w:t>
      </w:r>
    </w:p>
    <w:p w14:paraId="27AE11C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H. </w:t>
      </w:r>
      <w:r w:rsidRPr="00E9210E">
        <w:rPr>
          <w:rStyle w:val="Corpsdutexte37ptGrasNonItalique"/>
          <w:rFonts w:eastAsia="Courier New"/>
          <w:b w:val="0"/>
          <w:i w:val="0"/>
          <w:iCs w:val="0"/>
          <w:smallCaps/>
          <w:sz w:val="28"/>
        </w:rPr>
        <w:t>Lévy-Ullmann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Éléments d'introduction gén</w:t>
      </w:r>
      <w:r w:rsidRPr="00E9210E">
        <w:rPr>
          <w:i/>
        </w:rPr>
        <w:t>é</w:t>
      </w:r>
      <w:r w:rsidRPr="00E9210E">
        <w:rPr>
          <w:i/>
        </w:rPr>
        <w:t>rale à l’étude des sciences juridiques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II. </w:t>
      </w:r>
      <w:r w:rsidRPr="00E9210E">
        <w:rPr>
          <w:i/>
        </w:rPr>
        <w:t>Le système juridique de l’Angleterre.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I. </w:t>
      </w:r>
      <w:r w:rsidRPr="00E9210E">
        <w:t>Le sy</w:t>
      </w:r>
      <w:r w:rsidRPr="00E9210E">
        <w:t>s</w:t>
      </w:r>
      <w:r w:rsidRPr="00E9210E">
        <w:t xml:space="preserve">tème traditionnel, </w:t>
      </w:r>
      <w:r w:rsidRPr="00E9210E">
        <w:rPr>
          <w:rStyle w:val="Corpsdutexte385ptNonItalique"/>
          <w:rFonts w:eastAsia="Courier New"/>
          <w:i w:val="0"/>
          <w:iCs w:val="0"/>
          <w:sz w:val="28"/>
        </w:rPr>
        <w:t>Paris, 1928, « Rev. synt. hist. », t. 48 (1929), pp. 131-132.</w:t>
      </w:r>
    </w:p>
    <w:p w14:paraId="5BEDA097" w14:textId="77777777" w:rsidR="00B9662D" w:rsidRPr="00E9210E" w:rsidRDefault="00B9662D" w:rsidP="00B9662D">
      <w:pPr>
        <w:spacing w:before="120" w:after="120"/>
        <w:jc w:val="both"/>
      </w:pPr>
    </w:p>
    <w:p w14:paraId="4636A6C2" w14:textId="77777777" w:rsidR="00B9662D" w:rsidRPr="00E9210E" w:rsidRDefault="00B9662D" w:rsidP="00B9662D">
      <w:pPr>
        <w:spacing w:before="120" w:after="120"/>
        <w:jc w:val="center"/>
        <w:rPr>
          <w:b/>
        </w:rPr>
      </w:pPr>
      <w:r w:rsidRPr="00E9210E">
        <w:rPr>
          <w:b/>
        </w:rPr>
        <w:t>1929-1930</w:t>
      </w:r>
    </w:p>
    <w:p w14:paraId="39A83B84" w14:textId="77777777" w:rsidR="00B9662D" w:rsidRPr="00E9210E" w:rsidRDefault="00B9662D" w:rsidP="00B9662D">
      <w:pPr>
        <w:spacing w:before="120" w:after="120"/>
        <w:jc w:val="both"/>
      </w:pPr>
    </w:p>
    <w:p w14:paraId="06000508" w14:textId="77777777" w:rsidR="00B9662D" w:rsidRPr="00E9210E" w:rsidRDefault="00B9662D" w:rsidP="00B9662D">
      <w:pPr>
        <w:spacing w:before="120" w:after="120"/>
        <w:jc w:val="both"/>
      </w:pPr>
      <w:r w:rsidRPr="00E9210E">
        <w:t xml:space="preserve">Comptes rendus : H. </w:t>
      </w:r>
      <w:r w:rsidRPr="00E9210E">
        <w:rPr>
          <w:rStyle w:val="Corpsdutexte27ptGras"/>
          <w:rFonts w:eastAsia="Courier New"/>
          <w:b w:val="0"/>
          <w:smallCaps/>
          <w:sz w:val="28"/>
        </w:rPr>
        <w:t>Maspero</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Chine ancienne</w:t>
      </w:r>
      <w:r w:rsidRPr="00E9210E">
        <w:rPr>
          <w:rStyle w:val="Corpsdutexte28ptGraschelle120"/>
          <w:rFonts w:eastAsia="Courier New"/>
          <w:sz w:val="28"/>
        </w:rPr>
        <w:t xml:space="preserve">, </w:t>
      </w:r>
      <w:r w:rsidRPr="00E9210E">
        <w:t xml:space="preserve">Paris, 1927. — L. </w:t>
      </w:r>
      <w:r w:rsidRPr="00E9210E">
        <w:rPr>
          <w:rStyle w:val="Corpsdutexte27ptGras"/>
          <w:rFonts w:eastAsia="Courier New"/>
          <w:b w:val="0"/>
          <w:smallCaps/>
          <w:sz w:val="28"/>
        </w:rPr>
        <w:t>Bouvat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L’empire mongol</w:t>
      </w:r>
      <w:r w:rsidRPr="00E9210E">
        <w:rPr>
          <w:rStyle w:val="Corpsdutexte28ptGraschelle120"/>
          <w:rFonts w:eastAsia="Courier New"/>
          <w:sz w:val="28"/>
        </w:rPr>
        <w:t xml:space="preserve">, </w:t>
      </w:r>
      <w:r w:rsidRPr="00E9210E">
        <w:t xml:space="preserve">Paris, 1927, Coll. </w:t>
      </w:r>
      <w:r w:rsidRPr="00E9210E">
        <w:rPr>
          <w:rStyle w:val="Corpsdutexte28ptItalique"/>
          <w:rFonts w:eastAsia="Courier New"/>
          <w:sz w:val="28"/>
        </w:rPr>
        <w:t>Histoire du Monde</w:t>
      </w:r>
      <w:r w:rsidRPr="00E9210E">
        <w:rPr>
          <w:rStyle w:val="Corpsdutexte28ptGraschelle120"/>
          <w:rFonts w:eastAsia="Courier New"/>
          <w:sz w:val="28"/>
        </w:rPr>
        <w:t xml:space="preserve">, </w:t>
      </w:r>
      <w:r w:rsidRPr="00E9210E">
        <w:t>t. IV et VIII, « Bull. Fac. Let. Strasb. », t. VIII (1929-1930), pp. 33-34.</w:t>
      </w:r>
    </w:p>
    <w:p w14:paraId="49CDC1B9"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t xml:space="preserve">Guillaume </w:t>
      </w:r>
      <w:r w:rsidRPr="00E9210E">
        <w:rPr>
          <w:smallCaps/>
        </w:rPr>
        <w:t>de Lorris</w:t>
      </w:r>
      <w:r w:rsidRPr="00E9210E">
        <w:t xml:space="preserve"> et Jean </w:t>
      </w:r>
      <w:r w:rsidRPr="00E9210E">
        <w:rPr>
          <w:smallCaps/>
        </w:rPr>
        <w:t>de Meung</w:t>
      </w:r>
      <w:r w:rsidRPr="00E9210E">
        <w:t xml:space="preserve">, </w:t>
      </w:r>
      <w:r w:rsidRPr="00E9210E">
        <w:rPr>
          <w:i/>
        </w:rPr>
        <w:t>Le R</w:t>
      </w:r>
      <w:r w:rsidRPr="00E9210E">
        <w:rPr>
          <w:i/>
        </w:rPr>
        <w:t>o</w:t>
      </w:r>
      <w:r w:rsidRPr="00E9210E">
        <w:rPr>
          <w:i/>
        </w:rPr>
        <w:t>man de la Rose, mis en français moderne par André Mary</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1928, « Bull. Fac. Let. Strasb., t. VIII (1929-1930), p. 68.</w:t>
      </w:r>
    </w:p>
    <w:p w14:paraId="758DAA6C"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7ptGrasNonItalique"/>
          <w:rFonts w:eastAsia="Courier New"/>
          <w:b w:val="0"/>
          <w:i w:val="0"/>
          <w:iCs w:val="0"/>
          <w:smallCaps/>
          <w:sz w:val="28"/>
        </w:rPr>
        <w:t>Watenphul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Mittellateinisches Lesebuch : Pr</w:t>
      </w:r>
      <w:r w:rsidRPr="00E9210E">
        <w:rPr>
          <w:i/>
        </w:rPr>
        <w:t>o</w:t>
      </w:r>
      <w:r w:rsidRPr="00E9210E">
        <w:rPr>
          <w:i/>
        </w:rPr>
        <w:t>sen, lateini</w:t>
      </w:r>
      <w:r w:rsidRPr="00E9210E">
        <w:rPr>
          <w:i/>
        </w:rPr>
        <w:t>s</w:t>
      </w:r>
      <w:r w:rsidRPr="00E9210E">
        <w:rPr>
          <w:i/>
        </w:rPr>
        <w:t>chen Schrifttums von der Zeit der Merowinger bis zum Ausgang des Mittelalters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Bielefeld et Leipzig, 1927, Bull. Fac. Let. Strasb., t. VIII (1929-1930), pp. 105-106.</w:t>
      </w:r>
    </w:p>
    <w:p w14:paraId="56CFF7BB" w14:textId="77777777" w:rsidR="00B9662D" w:rsidRPr="00E9210E" w:rsidRDefault="00B9662D" w:rsidP="00B9662D">
      <w:pPr>
        <w:spacing w:before="120" w:after="120"/>
        <w:jc w:val="both"/>
      </w:pPr>
    </w:p>
    <w:p w14:paraId="035F9C93" w14:textId="77777777" w:rsidR="00B9662D" w:rsidRPr="00E9210E" w:rsidRDefault="00B9662D" w:rsidP="00B9662D">
      <w:pPr>
        <w:spacing w:before="120" w:after="120"/>
        <w:jc w:val="center"/>
        <w:rPr>
          <w:b/>
        </w:rPr>
      </w:pPr>
      <w:r w:rsidRPr="00E9210E">
        <w:rPr>
          <w:b/>
        </w:rPr>
        <w:t>1930</w:t>
      </w:r>
    </w:p>
    <w:p w14:paraId="06066C80" w14:textId="77777777" w:rsidR="00B9662D" w:rsidRPr="00E9210E" w:rsidRDefault="00B9662D" w:rsidP="00B9662D">
      <w:pPr>
        <w:spacing w:before="120" w:after="120"/>
        <w:jc w:val="both"/>
      </w:pPr>
    </w:p>
    <w:p w14:paraId="3F7D2DB6" w14:textId="77777777" w:rsidR="00B9662D" w:rsidRPr="00E9210E" w:rsidRDefault="00B9662D" w:rsidP="00B9662D">
      <w:pPr>
        <w:spacing w:before="120" w:after="120"/>
        <w:jc w:val="both"/>
      </w:pPr>
      <w:r w:rsidRPr="00E9210E">
        <w:t>« </w:t>
      </w:r>
      <w:r w:rsidRPr="00E9210E">
        <w:rPr>
          <w:b/>
        </w:rPr>
        <w:t>Fustel de Coulanges, historien des origines françaises </w:t>
      </w:r>
      <w:r w:rsidRPr="00E9210E">
        <w:t xml:space="preserve">», </w:t>
      </w:r>
      <w:r w:rsidRPr="00E9210E">
        <w:rPr>
          <w:rStyle w:val="Corpsdutexte8NonGrasItaliquechelle100"/>
          <w:rFonts w:eastAsia="Courier New"/>
          <w:b w:val="0"/>
          <w:bCs w:val="0"/>
          <w:sz w:val="28"/>
        </w:rPr>
        <w:t xml:space="preserve">L’Alsace française, </w:t>
      </w:r>
      <w:r w:rsidRPr="00E9210E">
        <w:rPr>
          <w:rStyle w:val="Corpsdutexte885ptNonGraschelle100"/>
          <w:rFonts w:eastAsia="Courier New"/>
          <w:b w:val="0"/>
          <w:bCs w:val="0"/>
          <w:sz w:val="28"/>
        </w:rPr>
        <w:t>t. XIX (1930), pp. 206-209.</w:t>
      </w:r>
    </w:p>
    <w:p w14:paraId="404F7656"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Au bout d’un an »</w:t>
      </w:r>
      <w:r w:rsidRPr="00E9210E">
        <w:t xml:space="preserve">, </w:t>
      </w:r>
      <w:r w:rsidRPr="00E9210E">
        <w:rPr>
          <w:rStyle w:val="Corpsdutexte28ptItalique"/>
          <w:rFonts w:eastAsia="Courier New"/>
          <w:sz w:val="28"/>
        </w:rPr>
        <w:t>A.H.E.S.</w:t>
      </w:r>
      <w:r w:rsidRPr="00E9210E">
        <w:rPr>
          <w:rStyle w:val="Corpsdutexte2ItaliqueEspacement0pt"/>
          <w:rFonts w:eastAsia="Courier New"/>
          <w:sz w:val="28"/>
        </w:rPr>
        <w:t>,</w:t>
      </w:r>
      <w:r w:rsidRPr="00E9210E">
        <w:t xml:space="preserve"> t. II (1930), p. 1-3.</w:t>
      </w:r>
    </w:p>
    <w:p w14:paraId="437B8534" w14:textId="77777777" w:rsidR="00B9662D" w:rsidRPr="00E9210E" w:rsidRDefault="00B9662D" w:rsidP="00B9662D">
      <w:pPr>
        <w:spacing w:before="120" w:after="120"/>
        <w:jc w:val="both"/>
      </w:pPr>
      <w:r w:rsidRPr="00E9210E">
        <w:t>« </w:t>
      </w:r>
      <w:r w:rsidRPr="00E9210E">
        <w:rPr>
          <w:b/>
        </w:rPr>
        <w:t>Un centre d’études en développement :</w:t>
      </w:r>
      <w:r w:rsidRPr="00E9210E">
        <w:t xml:space="preserve"> </w:t>
      </w:r>
      <w:r w:rsidRPr="00E9210E">
        <w:rPr>
          <w:b/>
        </w:rPr>
        <w:t xml:space="preserve">l’Institut pour l’étude comparative des Civilisations </w:t>
      </w:r>
      <w:r w:rsidRPr="00E9210E">
        <w:rPr>
          <w:rStyle w:val="Corpsdutexte885ptNonGraschelle100"/>
          <w:rFonts w:eastAsia="Courier New"/>
          <w:b w:val="0"/>
          <w:bCs w:val="0"/>
          <w:sz w:val="28"/>
        </w:rPr>
        <w:t xml:space="preserve">à </w:t>
      </w:r>
      <w:r w:rsidRPr="00E9210E">
        <w:rPr>
          <w:b/>
        </w:rPr>
        <w:t>Oslo </w:t>
      </w:r>
      <w:r w:rsidRPr="00E9210E">
        <w:t xml:space="preserve">»,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t. II (1930), pp. 83-85.</w:t>
      </w:r>
    </w:p>
    <w:p w14:paraId="74B1EC10"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Musées ruraux, musées techniques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 xml:space="preserve">t. II (1930), </w:t>
      </w:r>
      <w:r w:rsidRPr="00E9210E">
        <w:t>pp. </w:t>
      </w:r>
      <w:r w:rsidRPr="00E9210E">
        <w:rPr>
          <w:rStyle w:val="Corpsdutexte885ptNonGraschelle100"/>
          <w:rFonts w:eastAsia="Courier New"/>
          <w:b w:val="0"/>
          <w:bCs w:val="0"/>
          <w:sz w:val="28"/>
        </w:rPr>
        <w:t>248-251.</w:t>
      </w:r>
    </w:p>
    <w:p w14:paraId="68BA0949" w14:textId="77777777" w:rsidR="00B9662D" w:rsidRPr="00E9210E" w:rsidRDefault="00B9662D" w:rsidP="00B9662D">
      <w:pPr>
        <w:spacing w:before="120" w:after="120"/>
        <w:jc w:val="both"/>
      </w:pPr>
      <w:r w:rsidRPr="00E9210E">
        <w:t>« </w:t>
      </w:r>
      <w:r w:rsidRPr="00E9210E">
        <w:rPr>
          <w:b/>
        </w:rPr>
        <w:t>La lutte pour l’individualisme agraire dans la France du XVIII</w:t>
      </w:r>
      <w:r w:rsidRPr="00E9210E">
        <w:rPr>
          <w:b/>
          <w:vertAlign w:val="superscript"/>
        </w:rPr>
        <w:t>e</w:t>
      </w:r>
      <w:r w:rsidRPr="00E9210E">
        <w:rPr>
          <w:b/>
        </w:rPr>
        <w:t xml:space="preserve"> siècle</w:t>
      </w:r>
      <w:r w:rsidRPr="00E9210E">
        <w:t xml:space="preserve"> », </w:t>
      </w:r>
      <w:r w:rsidRPr="00E9210E">
        <w:rPr>
          <w:i/>
        </w:rPr>
        <w:t>A.</w:t>
      </w:r>
      <w:r w:rsidRPr="00E9210E">
        <w:rPr>
          <w:rStyle w:val="Corpsdutexte28ptItalique"/>
          <w:rFonts w:eastAsia="Courier New"/>
          <w:sz w:val="28"/>
        </w:rPr>
        <w:t>H.E.S</w:t>
      </w:r>
      <w:r w:rsidRPr="00E9210E">
        <w:t>., t. II (1930), 1</w:t>
      </w:r>
      <w:r w:rsidRPr="00E9210E">
        <w:rPr>
          <w:vertAlign w:val="superscript"/>
        </w:rPr>
        <w:t>re</w:t>
      </w:r>
      <w:r w:rsidRPr="00E9210E">
        <w:t xml:space="preserve"> partie : « L’œuvre des po</w:t>
      </w:r>
      <w:r w:rsidRPr="00E9210E">
        <w:t>u</w:t>
      </w:r>
      <w:r w:rsidRPr="00E9210E">
        <w:t>voirs d’Ancien Régime », p. 329-383 ; 2</w:t>
      </w:r>
      <w:r w:rsidRPr="00E9210E">
        <w:rPr>
          <w:vertAlign w:val="superscript"/>
        </w:rPr>
        <w:t>e</w:t>
      </w:r>
      <w:r w:rsidRPr="00E9210E">
        <w:t xml:space="preserve"> partie : « Conflits et résu</w:t>
      </w:r>
      <w:r w:rsidRPr="00E9210E">
        <w:t>l</w:t>
      </w:r>
      <w:r w:rsidRPr="00E9210E">
        <w:t>tats », p. 511-543 ; 3</w:t>
      </w:r>
      <w:r w:rsidRPr="00E9210E">
        <w:rPr>
          <w:vertAlign w:val="superscript"/>
        </w:rPr>
        <w:t>e</w:t>
      </w:r>
      <w:r w:rsidRPr="00E9210E">
        <w:t xml:space="preserve"> partie : « La Révolution et la Grande œuvre de la propriété », pp. 543-556.</w:t>
      </w:r>
    </w:p>
    <w:p w14:paraId="44032FE1" w14:textId="77777777" w:rsidR="00B9662D" w:rsidRPr="00E9210E" w:rsidRDefault="00B9662D" w:rsidP="00B9662D">
      <w:pPr>
        <w:spacing w:before="120" w:after="120"/>
        <w:jc w:val="both"/>
      </w:pPr>
      <w:r w:rsidRPr="00E9210E">
        <w:t>« </w:t>
      </w:r>
      <w:r w:rsidRPr="00E9210E">
        <w:rPr>
          <w:b/>
        </w:rPr>
        <w:t>Les plans parcellaires : l’avion au service de l'histoire agra</w:t>
      </w:r>
      <w:r w:rsidRPr="00E9210E">
        <w:rPr>
          <w:b/>
        </w:rPr>
        <w:t>i</w:t>
      </w:r>
      <w:r w:rsidRPr="00E9210E">
        <w:rPr>
          <w:b/>
        </w:rPr>
        <w:t>re — en Angleterre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t. II (1930), pp. 557-558.</w:t>
      </w:r>
    </w:p>
    <w:p w14:paraId="495095F7" w14:textId="77777777" w:rsidR="00B9662D" w:rsidRPr="00E9210E" w:rsidRDefault="00B9662D" w:rsidP="00B9662D">
      <w:pPr>
        <w:spacing w:before="120" w:after="120"/>
        <w:jc w:val="both"/>
      </w:pPr>
      <w:r w:rsidRPr="00E9210E">
        <w:rPr>
          <w:rStyle w:val="Corpsdutexte3GrasNonItaliquechelle120"/>
          <w:rFonts w:eastAsia="Courier New"/>
          <w:i w:val="0"/>
          <w:iCs w:val="0"/>
          <w:sz w:val="28"/>
        </w:rPr>
        <w:t xml:space="preserve">« Comparaison », </w:t>
      </w:r>
      <w:r w:rsidRPr="00E9210E">
        <w:rPr>
          <w:i/>
        </w:rPr>
        <w:t>Bulletin du Centre international de synth</w:t>
      </w:r>
      <w:r w:rsidRPr="00E9210E">
        <w:rPr>
          <w:i/>
        </w:rPr>
        <w:t>è</w:t>
      </w:r>
      <w:r w:rsidRPr="00E9210E">
        <w:rPr>
          <w:i/>
        </w:rPr>
        <w:t>se</w:t>
      </w:r>
      <w:r w:rsidRPr="00E9210E">
        <w:rPr>
          <w:rStyle w:val="Corpsdutexte3GrasNonItaliquechelle120"/>
          <w:rFonts w:eastAsia="Courier New"/>
          <w:i w:val="0"/>
          <w:iCs w:val="0"/>
          <w:sz w:val="28"/>
        </w:rPr>
        <w:t> — </w:t>
      </w:r>
      <w:r w:rsidRPr="00E9210E">
        <w:rPr>
          <w:i/>
        </w:rPr>
        <w:t>section de synthèse historique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n° 9, juin 1930, pp. 31-39.</w:t>
      </w:r>
    </w:p>
    <w:p w14:paraId="33960CA8" w14:textId="77777777" w:rsidR="00B9662D" w:rsidRPr="00E9210E" w:rsidRDefault="00B9662D" w:rsidP="00B9662D">
      <w:pPr>
        <w:spacing w:before="120" w:after="120"/>
        <w:jc w:val="both"/>
      </w:pPr>
      <w:r w:rsidRPr="00E9210E">
        <w:t xml:space="preserve">Note : Encore des archives italiennes à Boston, </w:t>
      </w:r>
      <w:r w:rsidRPr="00E9210E">
        <w:rPr>
          <w:rStyle w:val="Corpsdutexte28ptItalique"/>
          <w:rFonts w:eastAsia="Courier New"/>
          <w:sz w:val="28"/>
        </w:rPr>
        <w:t>A.H.E.S.,</w:t>
      </w:r>
      <w:r w:rsidRPr="00E9210E">
        <w:rPr>
          <w:rStyle w:val="Corpsdutexte28ptGraschelle120"/>
          <w:rFonts w:eastAsia="Courier New"/>
          <w:sz w:val="28"/>
        </w:rPr>
        <w:t xml:space="preserve"> </w:t>
      </w:r>
      <w:r w:rsidRPr="00E9210E">
        <w:t>t. II (1930), p. 93.</w:t>
      </w:r>
    </w:p>
    <w:p w14:paraId="1E706066" w14:textId="77777777" w:rsidR="00B9662D" w:rsidRPr="00E9210E" w:rsidRDefault="00B9662D" w:rsidP="00B9662D">
      <w:pPr>
        <w:spacing w:before="120" w:after="120"/>
        <w:jc w:val="both"/>
      </w:pPr>
      <w:r w:rsidRPr="00E9210E">
        <w:t>La vie rurale : problèmes de jadis et de naguère (problèmes de m</w:t>
      </w:r>
      <w:r w:rsidRPr="00E9210E">
        <w:t>é</w:t>
      </w:r>
      <w:r w:rsidRPr="00E9210E">
        <w:t xml:space="preserve">thode à propos de quelques livres : Y. </w:t>
      </w:r>
      <w:r w:rsidRPr="00E9210E">
        <w:rPr>
          <w:rStyle w:val="Corpsdutexte27ptGras"/>
          <w:rFonts w:eastAsia="Courier New"/>
          <w:b w:val="0"/>
          <w:smallCaps/>
          <w:sz w:val="28"/>
        </w:rPr>
        <w:t>Bezard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rurale dans le Sud de la région parisie</w:t>
      </w:r>
      <w:r w:rsidRPr="00E9210E">
        <w:rPr>
          <w:rStyle w:val="Corpsdutexte28ptItalique"/>
          <w:rFonts w:eastAsia="Courier New"/>
          <w:sz w:val="28"/>
        </w:rPr>
        <w:t>n</w:t>
      </w:r>
      <w:r w:rsidRPr="00E9210E">
        <w:rPr>
          <w:rStyle w:val="Corpsdutexte28ptItalique"/>
          <w:rFonts w:eastAsia="Courier New"/>
          <w:sz w:val="28"/>
        </w:rPr>
        <w:t>ne de 1450 à 1560</w:t>
      </w:r>
      <w:r w:rsidRPr="00E9210E">
        <w:rPr>
          <w:rStyle w:val="Corpsdutexte2ItaliqueEspacement0pt"/>
          <w:rFonts w:eastAsia="Courier New"/>
          <w:sz w:val="28"/>
        </w:rPr>
        <w:t>,</w:t>
      </w:r>
      <w:r w:rsidRPr="00E9210E">
        <w:t xml:space="preserve"> Paris, 1929. — Ch. </w:t>
      </w:r>
      <w:r w:rsidRPr="00E9210E">
        <w:rPr>
          <w:rStyle w:val="Corpsdutexte27ptGras"/>
          <w:rFonts w:eastAsia="Courier New"/>
          <w:b w:val="0"/>
          <w:smallCaps/>
          <w:sz w:val="28"/>
        </w:rPr>
        <w:t>Leroy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Paysans normands au XVIII</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 </w:t>
      </w:r>
      <w:r w:rsidRPr="00E9210E">
        <w:t>t. I, 3</w:t>
      </w:r>
      <w:r w:rsidRPr="00E9210E">
        <w:rPr>
          <w:vertAlign w:val="superscript"/>
        </w:rPr>
        <w:t>e</w:t>
      </w:r>
      <w:r w:rsidRPr="00E9210E">
        <w:t xml:space="preserve"> éd. </w:t>
      </w:r>
      <w:r w:rsidRPr="00E9210E">
        <w:rPr>
          <w:rStyle w:val="Corpsdutexte28ptItalique"/>
          <w:rFonts w:eastAsia="Courier New"/>
          <w:sz w:val="28"/>
        </w:rPr>
        <w:t>La vie r</w:t>
      </w:r>
      <w:r w:rsidRPr="00E9210E">
        <w:rPr>
          <w:rStyle w:val="Corpsdutexte28ptItalique"/>
          <w:rFonts w:eastAsia="Courier New"/>
          <w:sz w:val="28"/>
        </w:rPr>
        <w:t>u</w:t>
      </w:r>
      <w:r w:rsidRPr="00E9210E">
        <w:rPr>
          <w:rStyle w:val="Corpsdutexte28ptItalique"/>
          <w:rFonts w:eastAsia="Courier New"/>
          <w:sz w:val="28"/>
        </w:rPr>
        <w:t>rale,</w:t>
      </w:r>
      <w:r w:rsidRPr="00E9210E">
        <w:rPr>
          <w:rStyle w:val="Corpsdutexte28ptGraschelle120"/>
          <w:rFonts w:eastAsia="Courier New"/>
          <w:sz w:val="28"/>
        </w:rPr>
        <w:t xml:space="preserve"> </w:t>
      </w:r>
      <w:r w:rsidRPr="00E9210E">
        <w:t>t. II, 1</w:t>
      </w:r>
      <w:r w:rsidRPr="00E9210E">
        <w:rPr>
          <w:vertAlign w:val="superscript"/>
        </w:rPr>
        <w:t>re</w:t>
      </w:r>
      <w:r w:rsidRPr="00E9210E">
        <w:t xml:space="preserve"> éd. </w:t>
      </w:r>
      <w:r w:rsidRPr="00E9210E">
        <w:rPr>
          <w:rStyle w:val="Corpsdutexte28ptItalique"/>
          <w:rFonts w:eastAsia="Courier New"/>
          <w:sz w:val="28"/>
        </w:rPr>
        <w:t>La communauté, la paroisse,</w:t>
      </w:r>
      <w:r w:rsidRPr="00E9210E">
        <w:rPr>
          <w:rStyle w:val="Corpsdutexte28ptGraschelle120"/>
          <w:rFonts w:eastAsia="Courier New"/>
          <w:sz w:val="28"/>
        </w:rPr>
        <w:t xml:space="preserve"> </w:t>
      </w:r>
      <w:r w:rsidRPr="00E9210E">
        <w:t>Rouen, 1929), « A.H.E.S. », t. II (1930), pp. 96-120.</w:t>
      </w:r>
    </w:p>
    <w:p w14:paraId="582EFAF3" w14:textId="77777777" w:rsidR="00B9662D" w:rsidRPr="00E9210E" w:rsidRDefault="00B9662D" w:rsidP="00B9662D">
      <w:pPr>
        <w:spacing w:before="120" w:after="120"/>
        <w:jc w:val="both"/>
      </w:pPr>
      <w:r w:rsidRPr="00E9210E">
        <w:t xml:space="preserve">Relations entre les sociétés méditerranéennes du Moyen Âge. (Comptes rendus : J. </w:t>
      </w:r>
      <w:r w:rsidRPr="00E9210E">
        <w:rPr>
          <w:rStyle w:val="Corpsdutexte27ptGras"/>
          <w:rFonts w:eastAsia="Courier New"/>
          <w:b w:val="0"/>
          <w:smallCaps/>
          <w:sz w:val="28"/>
        </w:rPr>
        <w:t>Ebersolt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Orient et Occident. Recherches sur les influences byzantines et orientales en</w:t>
      </w:r>
      <w:r>
        <w:rPr>
          <w:rStyle w:val="Corpsdutexte28ptItalique"/>
          <w:rFonts w:eastAsia="Courier New"/>
          <w:i w:val="0"/>
          <w:sz w:val="28"/>
        </w:rPr>
        <w:t xml:space="preserve"> </w:t>
      </w:r>
      <w:r w:rsidRPr="00E9210E">
        <w:t>[1044]</w:t>
      </w:r>
      <w:r>
        <w:t xml:space="preserve"> </w:t>
      </w:r>
      <w:r w:rsidRPr="00E9210E">
        <w:t>France avant les cro</w:t>
      </w:r>
      <w:r w:rsidRPr="00E9210E">
        <w:t>i</w:t>
      </w:r>
      <w:r w:rsidRPr="00E9210E">
        <w:t>sades</w:t>
      </w:r>
      <w:r w:rsidRPr="00E9210E">
        <w:rPr>
          <w:rStyle w:val="Corpsdutexte385ptNonItalique"/>
          <w:rFonts w:eastAsia="Courier New"/>
          <w:i w:val="0"/>
          <w:iCs w:val="0"/>
          <w:sz w:val="28"/>
        </w:rPr>
        <w:t>, Paris et Bruxelles, 1928. — J. </w:t>
      </w:r>
      <w:r w:rsidRPr="00E9210E">
        <w:rPr>
          <w:rStyle w:val="Corpsdutexte37ptGrasNonItalique"/>
          <w:rFonts w:eastAsia="Courier New"/>
          <w:b w:val="0"/>
          <w:i w:val="0"/>
          <w:iCs w:val="0"/>
          <w:smallCaps/>
          <w:sz w:val="28"/>
        </w:rPr>
        <w:t>Longnon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Français d’outre-mer au Moyen Âge. Essai sur l’expansion française dans le bassin de la Méditerranée</w:t>
      </w:r>
      <w:r w:rsidRPr="00E9210E">
        <w:rPr>
          <w:rStyle w:val="Corpsdutexte385ptEspacement0pt"/>
          <w:rFonts w:eastAsia="Courier New"/>
          <w:sz w:val="28"/>
        </w:rPr>
        <w:t>,</w:t>
      </w:r>
      <w:r w:rsidRPr="00E9210E">
        <w:rPr>
          <w:rStyle w:val="Corpsdutexte385ptNonItalique"/>
          <w:rFonts w:eastAsia="Courier New"/>
          <w:i w:val="0"/>
          <w:iCs w:val="0"/>
          <w:sz w:val="28"/>
        </w:rPr>
        <w:t xml:space="preserve"> Paris, 1929), « A.H.E.S. », t. II (1930), pp. 122-123.</w:t>
      </w:r>
    </w:p>
    <w:p w14:paraId="1D5E2A93" w14:textId="77777777" w:rsidR="00B9662D" w:rsidRPr="00E9210E" w:rsidRDefault="00B9662D" w:rsidP="00B9662D">
      <w:pPr>
        <w:spacing w:before="120" w:after="120"/>
        <w:jc w:val="both"/>
      </w:pPr>
      <w:r w:rsidRPr="00E9210E">
        <w:rPr>
          <w:rStyle w:val="Corpsdutexte385ptNonItalique"/>
          <w:rFonts w:eastAsia="Courier New"/>
          <w:i w:val="0"/>
          <w:iCs w:val="0"/>
          <w:sz w:val="28"/>
        </w:rPr>
        <w:t>Synthèses d’histoire économique. (Comptes rendus : J. </w:t>
      </w:r>
      <w:r w:rsidRPr="00E9210E">
        <w:rPr>
          <w:rStyle w:val="Corpsdutexte37ptGrasNonItalique"/>
          <w:rFonts w:eastAsia="Courier New"/>
          <w:b w:val="0"/>
          <w:i w:val="0"/>
          <w:iCs w:val="0"/>
          <w:smallCaps/>
          <w:sz w:val="28"/>
        </w:rPr>
        <w:t>Kulischer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Allgemeine Wirtschaf</w:t>
      </w:r>
      <w:r w:rsidRPr="00E9210E">
        <w:rPr>
          <w:i/>
        </w:rPr>
        <w:t>t</w:t>
      </w:r>
      <w:r w:rsidRPr="00E9210E">
        <w:rPr>
          <w:i/>
        </w:rPr>
        <w:t>sgeschichte des Mittelalters und der Neuzeit.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Bd. II : </w:t>
      </w:r>
      <w:r w:rsidRPr="00E9210E">
        <w:rPr>
          <w:i/>
        </w:rPr>
        <w:t>Die Neuzeit</w:t>
      </w:r>
      <w:r w:rsidRPr="00E9210E">
        <w:rPr>
          <w:rStyle w:val="Corpsdutexte385ptNonItalique"/>
          <w:rFonts w:eastAsia="Courier New"/>
          <w:i w:val="0"/>
          <w:iCs w:val="0"/>
          <w:sz w:val="28"/>
        </w:rPr>
        <w:t>, Munich et Berlin, 1929. — H. </w:t>
      </w:r>
      <w:r w:rsidRPr="00E9210E">
        <w:rPr>
          <w:rStyle w:val="Corpsdutexte37ptGrasNonItalique"/>
          <w:rFonts w:eastAsia="Courier New"/>
          <w:b w:val="0"/>
          <w:i w:val="0"/>
          <w:iCs w:val="0"/>
          <w:smallCaps/>
          <w:sz w:val="28"/>
        </w:rPr>
        <w:t>Cunow</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Allgemeine Wirtschaftsgeschichte. Eine Uebersicht... </w:t>
      </w:r>
      <w:r w:rsidRPr="00E9210E">
        <w:rPr>
          <w:rStyle w:val="Corpsdutexte385ptNonItalique"/>
          <w:rFonts w:eastAsia="Courier New"/>
          <w:i w:val="0"/>
          <w:iCs w:val="0"/>
          <w:sz w:val="28"/>
        </w:rPr>
        <w:t xml:space="preserve">Bd. III : </w:t>
      </w:r>
      <w:r w:rsidRPr="00E9210E">
        <w:rPr>
          <w:i/>
        </w:rPr>
        <w:t>Deutschlands, Frankreichs und Englands Wirtschaftsentwi</w:t>
      </w:r>
      <w:r w:rsidRPr="00E9210E">
        <w:rPr>
          <w:i/>
        </w:rPr>
        <w:t>c</w:t>
      </w:r>
      <w:r w:rsidRPr="00E9210E">
        <w:rPr>
          <w:i/>
        </w:rPr>
        <w:t>klung vom 12. bis 17. Jahrhundert</w:t>
      </w:r>
      <w:r w:rsidRPr="00E9210E">
        <w:rPr>
          <w:rStyle w:val="Corpsdutexte385ptNonItalique"/>
          <w:rFonts w:eastAsia="Courier New"/>
          <w:i w:val="0"/>
          <w:iCs w:val="0"/>
          <w:sz w:val="28"/>
        </w:rPr>
        <w:t xml:space="preserve">, Berlin, 1929. — H. </w:t>
      </w:r>
      <w:r w:rsidRPr="00E9210E">
        <w:rPr>
          <w:rStyle w:val="Corpsdutexte37ptGrasNonItalique"/>
          <w:rFonts w:eastAsia="Courier New"/>
          <w:b w:val="0"/>
          <w:i w:val="0"/>
          <w:iCs w:val="0"/>
          <w:smallCaps/>
          <w:sz w:val="28"/>
        </w:rPr>
        <w:t>Prösler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Epochen der Deutschen Wirtschaftsgeschichte</w:t>
      </w:r>
      <w:r w:rsidRPr="00E9210E">
        <w:rPr>
          <w:rStyle w:val="Corpsdutexte385ptNonItalique"/>
          <w:rFonts w:eastAsia="Courier New"/>
          <w:i w:val="0"/>
          <w:iCs w:val="0"/>
          <w:sz w:val="28"/>
        </w:rPr>
        <w:t xml:space="preserve">, Nuremberg, 1927. — C. </w:t>
      </w:r>
      <w:r w:rsidRPr="00E9210E">
        <w:rPr>
          <w:rStyle w:val="Corpsdutexte37ptGrasNonItalique"/>
          <w:rFonts w:eastAsia="Courier New"/>
          <w:b w:val="0"/>
          <w:i w:val="0"/>
          <w:iCs w:val="0"/>
          <w:smallCaps/>
          <w:sz w:val="28"/>
        </w:rPr>
        <w:t>Brinkmann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Wirtschafts und Socialgeschichte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Munich et Berlin, 1927), « A.H.E.S. », t. II (1930), pp. 132-135.</w:t>
      </w:r>
    </w:p>
    <w:p w14:paraId="40940B44" w14:textId="77777777" w:rsidR="00B9662D" w:rsidRPr="00E9210E" w:rsidRDefault="00B9662D" w:rsidP="00B9662D">
      <w:pPr>
        <w:spacing w:before="120" w:after="120"/>
        <w:jc w:val="both"/>
      </w:pPr>
      <w:r w:rsidRPr="00E9210E">
        <w:t>Une survivance du régime seigneurial. (Compte rendu : L. </w:t>
      </w:r>
      <w:r w:rsidRPr="00E9210E">
        <w:rPr>
          <w:rStyle w:val="Corpsdutexte27ptGras"/>
          <w:rFonts w:eastAsia="Courier New"/>
          <w:b w:val="0"/>
          <w:smallCaps/>
          <w:sz w:val="28"/>
        </w:rPr>
        <w:t>Selosse,</w:t>
      </w:r>
      <w:r w:rsidRPr="00E9210E">
        <w:rPr>
          <w:rStyle w:val="Corpsdutexte27ptGras"/>
          <w:rFonts w:eastAsia="Courier New"/>
          <w:sz w:val="28"/>
        </w:rPr>
        <w:t xml:space="preserve"> </w:t>
      </w:r>
      <w:r w:rsidRPr="00E9210E">
        <w:rPr>
          <w:rStyle w:val="Corpsdutexte28ptItalique"/>
          <w:rFonts w:eastAsia="Courier New"/>
          <w:sz w:val="28"/>
        </w:rPr>
        <w:t>L’Ile de Serk. Un État féodal au XX</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w:t>
      </w:r>
      <w:r w:rsidRPr="00E9210E">
        <w:t>, Lille, 1928), « A.H.E.S. », t. II (1930), pp. 135-136.</w:t>
      </w:r>
    </w:p>
    <w:p w14:paraId="0A80FC95" w14:textId="77777777" w:rsidR="00B9662D" w:rsidRPr="00E9210E" w:rsidRDefault="00B9662D" w:rsidP="00B9662D">
      <w:pPr>
        <w:spacing w:before="120" w:after="120"/>
        <w:jc w:val="both"/>
      </w:pPr>
      <w:r w:rsidRPr="00E9210E">
        <w:t xml:space="preserve">Un essai d’histoire comparée : Europe occidentale et Japon. (Compte rendu : </w:t>
      </w:r>
      <w:r w:rsidRPr="00E9210E">
        <w:rPr>
          <w:rStyle w:val="Corpsdutexte27ptGras"/>
          <w:rFonts w:eastAsia="Courier New"/>
          <w:b w:val="0"/>
          <w:sz w:val="28"/>
        </w:rPr>
        <w:t xml:space="preserve">K. </w:t>
      </w:r>
      <w:r w:rsidRPr="00E9210E">
        <w:rPr>
          <w:rStyle w:val="Corpsdutexte27ptGras"/>
          <w:rFonts w:eastAsia="Courier New"/>
          <w:b w:val="0"/>
          <w:smallCaps/>
          <w:sz w:val="28"/>
        </w:rPr>
        <w:t>Asakawa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Agriculture in japanese history : a general survey</w:t>
      </w:r>
      <w:r w:rsidRPr="00E9210E">
        <w:t xml:space="preserve">, dans </w:t>
      </w:r>
      <w:r w:rsidRPr="00E9210E">
        <w:rPr>
          <w:rStyle w:val="Corpsdutexte28ptItalique"/>
          <w:rFonts w:eastAsia="Courier New"/>
          <w:sz w:val="28"/>
        </w:rPr>
        <w:t>The economic history Review</w:t>
      </w:r>
      <w:r w:rsidRPr="00E9210E">
        <w:t xml:space="preserve">, t. II (1929), pp. 81-92 et </w:t>
      </w:r>
      <w:r w:rsidRPr="00E9210E">
        <w:rPr>
          <w:rStyle w:val="Corpsdutexte28ptItalique"/>
          <w:rFonts w:eastAsia="Courier New"/>
          <w:sz w:val="28"/>
        </w:rPr>
        <w:t>The early shô and the early manor : a comparative study,</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Journal of economic and business History</w:t>
      </w:r>
      <w:r w:rsidRPr="00E9210E">
        <w:t>, t. I (1929), p. 177-207), « A.H.E.S. », t. II (1930), pp. 136-137.</w:t>
      </w:r>
    </w:p>
    <w:p w14:paraId="1166A18B" w14:textId="77777777" w:rsidR="00B9662D" w:rsidRPr="00E9210E" w:rsidRDefault="00B9662D" w:rsidP="00B9662D">
      <w:pPr>
        <w:spacing w:before="120" w:after="120"/>
        <w:jc w:val="both"/>
      </w:pPr>
      <w:r w:rsidRPr="00E9210E">
        <w:t xml:space="preserve">Une histoire de Suède. (Compte rendu : C. </w:t>
      </w:r>
      <w:r w:rsidRPr="00E9210E">
        <w:rPr>
          <w:rStyle w:val="Corpsdutexte27ptGras"/>
          <w:rFonts w:eastAsia="Courier New"/>
          <w:b w:val="0"/>
          <w:sz w:val="28"/>
        </w:rPr>
        <w:t>Hallendorff</w:t>
      </w:r>
      <w:r w:rsidRPr="00E9210E">
        <w:rPr>
          <w:rStyle w:val="Corpsdutexte27ptGras"/>
          <w:rFonts w:eastAsia="Courier New"/>
          <w:sz w:val="28"/>
        </w:rPr>
        <w:t xml:space="preserve"> </w:t>
      </w:r>
      <w:r w:rsidRPr="00E9210E">
        <w:t>et A. </w:t>
      </w:r>
      <w:r w:rsidRPr="00E9210E">
        <w:rPr>
          <w:rStyle w:val="Corpsdutexte27ptGras"/>
          <w:rFonts w:eastAsia="Courier New"/>
          <w:b w:val="0"/>
          <w:smallCaps/>
          <w:sz w:val="28"/>
        </w:rPr>
        <w:t>Schück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History of Sweden,</w:t>
      </w:r>
      <w:r w:rsidRPr="00E9210E">
        <w:rPr>
          <w:rStyle w:val="Corpsdutexte28ptGraschelle120"/>
          <w:rFonts w:eastAsia="Courier New"/>
          <w:sz w:val="28"/>
        </w:rPr>
        <w:t xml:space="preserve"> </w:t>
      </w:r>
      <w:r w:rsidRPr="00E9210E">
        <w:t>Stokholm, 1929), « A.H.E.S. », t. II (1930), pp. 150-151.</w:t>
      </w:r>
    </w:p>
    <w:p w14:paraId="29501AED" w14:textId="77777777" w:rsidR="00B9662D" w:rsidRPr="00E9210E" w:rsidRDefault="00B9662D" w:rsidP="00B9662D">
      <w:pPr>
        <w:spacing w:before="120" w:after="120"/>
        <w:jc w:val="both"/>
      </w:pPr>
      <w:r w:rsidRPr="00E9210E">
        <w:t>Problèmes généraux de l’Europe du Sud-Est. (Compte rendu : M. </w:t>
      </w:r>
      <w:r w:rsidRPr="00E9210E">
        <w:rPr>
          <w:rStyle w:val="Corpsdutexte27ptGras"/>
          <w:rFonts w:eastAsia="Courier New"/>
          <w:b w:val="0"/>
          <w:smallCaps/>
          <w:sz w:val="28"/>
        </w:rPr>
        <w:t>Pernot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Balkans nouveaux</w:t>
      </w:r>
      <w:r w:rsidRPr="00E9210E">
        <w:t>, Paris, 1929), « A.H.E.S. », t. II (1930), p. 153.</w:t>
      </w:r>
    </w:p>
    <w:p w14:paraId="0125D03E" w14:textId="77777777" w:rsidR="00B9662D" w:rsidRPr="00E9210E" w:rsidRDefault="00B9662D" w:rsidP="00B9662D">
      <w:pPr>
        <w:spacing w:before="120" w:after="120"/>
        <w:jc w:val="both"/>
      </w:pPr>
      <w:r w:rsidRPr="00E9210E">
        <w:t>Les chartes de franchise françaises (à propos du rapport fait par G. </w:t>
      </w:r>
      <w:r w:rsidRPr="00E9210E">
        <w:rPr>
          <w:rStyle w:val="Corpsdutexte27ptGras"/>
          <w:rFonts w:eastAsia="Courier New"/>
          <w:b w:val="0"/>
          <w:smallCaps/>
          <w:sz w:val="28"/>
        </w:rPr>
        <w:t>Espinas</w:t>
      </w:r>
      <w:r w:rsidRPr="00E9210E">
        <w:rPr>
          <w:rStyle w:val="Corpsdutexte27ptGras"/>
          <w:rFonts w:eastAsia="Courier New"/>
          <w:sz w:val="28"/>
        </w:rPr>
        <w:t xml:space="preserve"> </w:t>
      </w:r>
      <w:r w:rsidRPr="00E9210E">
        <w:t>sur le travail accompli en 1928 par la Société d’histoire du droit pour un inventaire des chartes de franchise françaises), « A.H.E.S. », t. II (1930), p. 253.</w:t>
      </w:r>
    </w:p>
    <w:p w14:paraId="22B27B58" w14:textId="77777777" w:rsidR="00B9662D" w:rsidRPr="00E9210E" w:rsidRDefault="00B9662D" w:rsidP="00B9662D">
      <w:pPr>
        <w:spacing w:before="120" w:after="120"/>
        <w:jc w:val="both"/>
      </w:pPr>
      <w:r w:rsidRPr="00E9210E">
        <w:t xml:space="preserve">Mélanges d’histoire du droit. (Compte rendu : </w:t>
      </w:r>
      <w:r w:rsidRPr="00E9210E">
        <w:rPr>
          <w:rStyle w:val="Corpsdutexte28ptItalique"/>
          <w:rFonts w:eastAsia="Courier New"/>
          <w:sz w:val="28"/>
        </w:rPr>
        <w:t>Mélanges Paul Fournier</w:t>
      </w:r>
      <w:r w:rsidRPr="00E9210E">
        <w:t>, P</w:t>
      </w:r>
      <w:r w:rsidRPr="00E9210E">
        <w:t>a</w:t>
      </w:r>
      <w:r w:rsidRPr="00E9210E">
        <w:t>ris, 1929),. « A.H.E.S. », t. II (1930), pp. 253-254.</w:t>
      </w:r>
    </w:p>
    <w:p w14:paraId="3432A7E0" w14:textId="77777777" w:rsidR="00B9662D" w:rsidRPr="00E9210E" w:rsidRDefault="00B9662D" w:rsidP="00B9662D">
      <w:pPr>
        <w:spacing w:before="120" w:after="120"/>
        <w:jc w:val="both"/>
      </w:pPr>
      <w:r w:rsidRPr="00E9210E">
        <w:t xml:space="preserve">Un historien au travail (M. H. </w:t>
      </w:r>
      <w:r w:rsidRPr="00E9210E">
        <w:rPr>
          <w:rStyle w:val="Corpsdutexte27ptGras"/>
          <w:rFonts w:eastAsia="Courier New"/>
          <w:b w:val="0"/>
          <w:sz w:val="28"/>
        </w:rPr>
        <w:t>Pirenne, à</w:t>
      </w:r>
      <w:r w:rsidRPr="00E9210E">
        <w:rPr>
          <w:rStyle w:val="Corpsdutexte27ptGras"/>
          <w:rFonts w:eastAsia="Courier New"/>
          <w:sz w:val="28"/>
        </w:rPr>
        <w:t xml:space="preserve"> </w:t>
      </w:r>
      <w:r w:rsidRPr="00E9210E">
        <w:t xml:space="preserve">propos de la </w:t>
      </w:r>
      <w:r w:rsidRPr="00E9210E">
        <w:rPr>
          <w:rStyle w:val="Corpsdutexte27ptGras"/>
          <w:rFonts w:eastAsia="Courier New"/>
          <w:b w:val="0"/>
          <w:sz w:val="28"/>
        </w:rPr>
        <w:t>5</w:t>
      </w:r>
      <w:r w:rsidRPr="00E9210E">
        <w:rPr>
          <w:rStyle w:val="Corpsdutexte27ptGras"/>
          <w:rFonts w:eastAsia="Courier New"/>
          <w:b w:val="0"/>
          <w:sz w:val="28"/>
          <w:vertAlign w:val="superscript"/>
        </w:rPr>
        <w:t>e</w:t>
      </w:r>
      <w:r w:rsidRPr="00E9210E">
        <w:rPr>
          <w:rStyle w:val="Corpsdutexte27ptGras"/>
          <w:rFonts w:eastAsia="Courier New"/>
          <w:sz w:val="28"/>
        </w:rPr>
        <w:t xml:space="preserve"> </w:t>
      </w:r>
      <w:r w:rsidRPr="00E9210E">
        <w:t>éd. du 1</w:t>
      </w:r>
      <w:r w:rsidRPr="00E9210E">
        <w:rPr>
          <w:vertAlign w:val="superscript"/>
        </w:rPr>
        <w:t>er</w:t>
      </w:r>
      <w:r w:rsidRPr="00E9210E">
        <w:t xml:space="preserve"> vol. de </w:t>
      </w:r>
      <w:r w:rsidRPr="00E9210E">
        <w:rPr>
          <w:rStyle w:val="Corpsdutexte28ptItalique"/>
          <w:rFonts w:eastAsia="Courier New"/>
          <w:sz w:val="28"/>
        </w:rPr>
        <w:t>l’Histoire de Belgique</w:t>
      </w:r>
      <w:r w:rsidRPr="00E9210E">
        <w:t>), « A.H.E.S. », t. II (1930), p. 256.</w:t>
      </w:r>
    </w:p>
    <w:p w14:paraId="165F179A" w14:textId="77777777" w:rsidR="00B9662D" w:rsidRPr="00E9210E" w:rsidRDefault="00B9662D" w:rsidP="00B9662D">
      <w:pPr>
        <w:spacing w:before="120" w:after="120"/>
        <w:jc w:val="both"/>
      </w:pPr>
      <w:r w:rsidRPr="00E9210E">
        <w:t>Not. nécrologique : Alexandre Bugge, « A.H.E.S. », t. II (1930), p. 257.</w:t>
      </w:r>
    </w:p>
    <w:p w14:paraId="59193B42" w14:textId="77777777" w:rsidR="00B9662D" w:rsidRPr="00E9210E" w:rsidRDefault="00B9662D" w:rsidP="00B9662D">
      <w:pPr>
        <w:spacing w:before="120" w:after="120"/>
        <w:jc w:val="both"/>
      </w:pPr>
      <w:r w:rsidRPr="00E9210E">
        <w:t>La draperie dans la Flandre médiévale. (Compte rendu : G. </w:t>
      </w:r>
      <w:r w:rsidRPr="00E9210E">
        <w:rPr>
          <w:rStyle w:val="Corpsdutexte27ptGras"/>
          <w:rFonts w:eastAsia="Courier New"/>
          <w:b w:val="0"/>
          <w:smallCaps/>
          <w:sz w:val="28"/>
        </w:rPr>
        <w:t>Espinas</w:t>
      </w:r>
      <w:r w:rsidRPr="00E9210E">
        <w:rPr>
          <w:rStyle w:val="Corpsdutexte27ptGras"/>
          <w:rFonts w:eastAsia="Courier New"/>
          <w:sz w:val="28"/>
        </w:rPr>
        <w:t xml:space="preserve"> </w:t>
      </w:r>
      <w:r w:rsidRPr="00E9210E">
        <w:t xml:space="preserve">et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Additions au recueil de documents relatifs à l’histoire de l’industrie drapière en Flandre</w:t>
      </w:r>
      <w:r w:rsidRPr="00E9210E">
        <w:t xml:space="preserve">, dans </w:t>
      </w:r>
      <w:r w:rsidRPr="00E9210E">
        <w:rPr>
          <w:rStyle w:val="Corpsdutexte28ptItalique"/>
          <w:rFonts w:eastAsia="Courier New"/>
          <w:sz w:val="28"/>
        </w:rPr>
        <w:t>Bulletin de la commission royale d’histoire</w:t>
      </w:r>
      <w:r w:rsidRPr="00E9210E">
        <w:t>, t. XCIII (1929), p. 33-66), « A.H.E.S. », t. II (1930), pp. 286-287.</w:t>
      </w:r>
    </w:p>
    <w:p w14:paraId="38034009"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voyage en Bretagne au </w:t>
      </w:r>
      <w:r w:rsidRPr="00E9210E">
        <w:rPr>
          <w:rStyle w:val="Corpsdutexte385ptNonItalique"/>
          <w:rFonts w:eastAsia="Courier New"/>
          <w:i w:val="0"/>
          <w:iCs w:val="0"/>
          <w:smallCaps/>
          <w:sz w:val="28"/>
        </w:rPr>
        <w:t>xviii</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 (Compte rendu : H. </w:t>
      </w:r>
      <w:r w:rsidRPr="00E9210E">
        <w:rPr>
          <w:rStyle w:val="Corpsdutexte37ptGrasNonItalique"/>
          <w:rFonts w:eastAsia="Courier New"/>
          <w:b w:val="0"/>
          <w:i w:val="0"/>
          <w:iCs w:val="0"/>
          <w:smallCaps/>
          <w:sz w:val="28"/>
        </w:rPr>
        <w:t>Bourde de la Rogerie</w:t>
      </w:r>
      <w:r w:rsidRPr="00E9210E">
        <w:rPr>
          <w:rStyle w:val="Corpsdutexte37ptGrasNonItalique"/>
          <w:rFonts w:eastAsia="Courier New"/>
          <w:b w:val="0"/>
          <w:i w:val="0"/>
          <w:iCs w:val="0"/>
          <w:sz w:val="28"/>
        </w:rPr>
        <w:t xml:space="preserve">, </w:t>
      </w:r>
      <w:r w:rsidRPr="00E9210E">
        <w:rPr>
          <w:i/>
        </w:rPr>
        <w:t>Les voyageurs en Bretagne : le voyage de Mignol de Montigny en Bretagne en 1752</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Mémoires de la Société d’histoire et d’archéologie de Bretagne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1928, pp. 225-301), « A.H.E.S. », t. II (1930), p. 290.</w:t>
      </w:r>
    </w:p>
    <w:p w14:paraId="6FBC6E76" w14:textId="77777777" w:rsidR="00B9662D" w:rsidRPr="00E9210E" w:rsidRDefault="00B9662D" w:rsidP="00B9662D">
      <w:pPr>
        <w:spacing w:before="120" w:after="120"/>
        <w:jc w:val="both"/>
      </w:pPr>
      <w:r w:rsidRPr="00E9210E">
        <w:t>Prix et mesures : un exemple de recherche critique. (Compte re</w:t>
      </w:r>
      <w:r w:rsidRPr="00E9210E">
        <w:t>n</w:t>
      </w:r>
      <w:r w:rsidRPr="00E9210E">
        <w:t xml:space="preserve">du : Sir W. </w:t>
      </w:r>
      <w:r w:rsidRPr="00E9210E">
        <w:rPr>
          <w:rStyle w:val="Corpsdutexte27ptGras"/>
          <w:rFonts w:eastAsia="Courier New"/>
          <w:b w:val="0"/>
          <w:smallCaps/>
          <w:sz w:val="28"/>
        </w:rPr>
        <w:t>Beveridge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 statistical crime of the seventeenth century,</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Journal of Economic and Business History</w:t>
      </w:r>
      <w:r w:rsidRPr="00E9210E">
        <w:t>, t. I (1929), pp. 502-533), « A.H.E.S. », t. II (1930), pp. 385-386.</w:t>
      </w:r>
    </w:p>
    <w:p w14:paraId="2AE692DD" w14:textId="77777777" w:rsidR="00B9662D" w:rsidRPr="00E9210E" w:rsidRDefault="00B9662D" w:rsidP="00B9662D">
      <w:pPr>
        <w:spacing w:before="120" w:after="120"/>
        <w:jc w:val="both"/>
      </w:pPr>
      <w:r w:rsidRPr="00E9210E">
        <w:t xml:space="preserve">L’art populaire. (Note sur </w:t>
      </w:r>
      <w:r w:rsidRPr="00E9210E">
        <w:rPr>
          <w:rStyle w:val="Corpsdutexte28ptItalique"/>
          <w:rFonts w:eastAsia="Courier New"/>
          <w:sz w:val="28"/>
        </w:rPr>
        <w:t>L’art populaire en France,</w:t>
      </w:r>
      <w:r w:rsidRPr="00E9210E">
        <w:rPr>
          <w:rStyle w:val="Corpsdutexte28ptGraschelle120"/>
          <w:rFonts w:eastAsia="Courier New"/>
          <w:sz w:val="28"/>
        </w:rPr>
        <w:t xml:space="preserve"> </w:t>
      </w:r>
      <w:r w:rsidRPr="00E9210E">
        <w:t>t. I [1929]), « A.H.E.S. », t. II (1930), pp. 405-407.</w:t>
      </w:r>
    </w:p>
    <w:p w14:paraId="6A9CF4A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Cadastres anciens de l’Ardèche. (Comptes rendus : J. </w:t>
      </w:r>
      <w:r w:rsidRPr="00E9210E">
        <w:rPr>
          <w:rStyle w:val="Corpsdutexte37ptGrasNonItalique"/>
          <w:rFonts w:eastAsia="Courier New"/>
          <w:b w:val="0"/>
          <w:i w:val="0"/>
          <w:iCs w:val="0"/>
          <w:smallCaps/>
          <w:sz w:val="28"/>
        </w:rPr>
        <w:t>Régné</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w:t>
      </w:r>
      <w:r w:rsidRPr="00E9210E">
        <w:rPr>
          <w:i/>
        </w:rPr>
        <w:t>é</w:t>
      </w:r>
      <w:r w:rsidRPr="00E9210E">
        <w:rPr>
          <w:i/>
        </w:rPr>
        <w:t>pertoire des anciens cadastres conservés dans les communes ou dép</w:t>
      </w:r>
      <w:r w:rsidRPr="00E9210E">
        <w:rPr>
          <w:i/>
        </w:rPr>
        <w:t>o</w:t>
      </w:r>
      <w:r w:rsidRPr="00E9210E">
        <w:rPr>
          <w:i/>
        </w:rPr>
        <w:t>sés aux Archives de l’Ardèche</w:t>
      </w:r>
      <w:r w:rsidRPr="00E9210E">
        <w:t xml:space="preserve">, </w:t>
      </w:r>
      <w:r w:rsidRPr="00E9210E">
        <w:rPr>
          <w:rStyle w:val="Corpsdutexte385ptNonItalique"/>
          <w:rFonts w:eastAsia="Courier New"/>
          <w:i w:val="0"/>
          <w:iCs w:val="0"/>
          <w:sz w:val="28"/>
        </w:rPr>
        <w:t xml:space="preserve">Annonay, 1929. — Du même, </w:t>
      </w:r>
      <w:r w:rsidRPr="00E9210E">
        <w:rPr>
          <w:i/>
        </w:rPr>
        <w:t>Vie économique et sociale dans 150 localités du Vivarais, d’après les e</w:t>
      </w:r>
      <w:r w:rsidRPr="00E9210E">
        <w:rPr>
          <w:i/>
        </w:rPr>
        <w:t>s</w:t>
      </w:r>
      <w:r w:rsidRPr="00E9210E">
        <w:rPr>
          <w:i/>
        </w:rPr>
        <w:t>times de 1464,</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Aubenas, 1925), « A.H.E.S. », t. II (1930), p. 410.</w:t>
      </w:r>
    </w:p>
    <w:p w14:paraId="2261EE94" w14:textId="77777777" w:rsidR="00B9662D" w:rsidRPr="00E9210E" w:rsidRDefault="00B9662D" w:rsidP="00B9662D">
      <w:pPr>
        <w:spacing w:before="120" w:after="120"/>
        <w:jc w:val="both"/>
      </w:pPr>
      <w:r w:rsidRPr="00E9210E">
        <w:t xml:space="preserve">La correspondance d’un marchand italien établi à Bruxelles. (Compte rendu : M. </w:t>
      </w:r>
      <w:r w:rsidRPr="00E9210E">
        <w:rPr>
          <w:rStyle w:val="Corpsdutexte27ptGras"/>
          <w:rFonts w:eastAsia="Courier New"/>
          <w:b w:val="0"/>
          <w:smallCaps/>
          <w:sz w:val="28"/>
        </w:rPr>
        <w:t>Battistini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correspondance commerciale de Francesco Gasparini (1689-1744),</w:t>
      </w:r>
      <w:r>
        <w:rPr>
          <w:rStyle w:val="Corpsdutexte28ptItalique"/>
          <w:rFonts w:eastAsia="Courier New"/>
          <w:i w:val="0"/>
          <w:sz w:val="28"/>
        </w:rPr>
        <w:t xml:space="preserve"> </w:t>
      </w:r>
      <w:r w:rsidRPr="00E9210E">
        <w:t>[1045]</w:t>
      </w:r>
      <w:r>
        <w:t xml:space="preserve"> </w:t>
      </w:r>
      <w:r w:rsidRPr="00E9210E">
        <w:t xml:space="preserve">dans </w:t>
      </w:r>
      <w:r w:rsidRPr="00E9210E">
        <w:rPr>
          <w:rStyle w:val="Corpsdutexte28ptItalique"/>
          <w:rFonts w:eastAsia="Courier New"/>
          <w:sz w:val="28"/>
        </w:rPr>
        <w:t>Bulletin de la co</w:t>
      </w:r>
      <w:r w:rsidRPr="00E9210E">
        <w:rPr>
          <w:rStyle w:val="Corpsdutexte28ptItalique"/>
          <w:rFonts w:eastAsia="Courier New"/>
          <w:sz w:val="28"/>
        </w:rPr>
        <w:t>m</w:t>
      </w:r>
      <w:r w:rsidRPr="00E9210E">
        <w:rPr>
          <w:rStyle w:val="Corpsdutexte28ptItalique"/>
          <w:rFonts w:eastAsia="Courier New"/>
          <w:sz w:val="28"/>
        </w:rPr>
        <w:t>mission royale d’histoire,</w:t>
      </w:r>
      <w:r w:rsidRPr="00E9210E">
        <w:rPr>
          <w:rStyle w:val="Corpsdutexte28ptGraschelle120"/>
          <w:rFonts w:eastAsia="Courier New"/>
          <w:sz w:val="28"/>
        </w:rPr>
        <w:t xml:space="preserve"> </w:t>
      </w:r>
      <w:r w:rsidRPr="00E9210E">
        <w:t>t. CXIII (1929), p. 245-280) « A.H.E.S. », t. II (1930), pp. 410-411.</w:t>
      </w:r>
    </w:p>
    <w:p w14:paraId="220A63AE" w14:textId="77777777" w:rsidR="00B9662D" w:rsidRPr="00E9210E" w:rsidRDefault="00B9662D" w:rsidP="00B9662D">
      <w:pPr>
        <w:spacing w:before="120" w:after="120"/>
        <w:jc w:val="both"/>
      </w:pPr>
      <w:r w:rsidRPr="00E9210E">
        <w:t xml:space="preserve">Une bibliothèque : Le Mans. (Compte rendu : Ch. </w:t>
      </w:r>
      <w:r w:rsidRPr="00E9210E">
        <w:rPr>
          <w:rStyle w:val="Corpsdutexte27ptGras"/>
          <w:rFonts w:eastAsia="Courier New"/>
          <w:b w:val="0"/>
          <w:smallCaps/>
          <w:sz w:val="28"/>
        </w:rPr>
        <w:t>Girault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w:t>
      </w:r>
      <w:r w:rsidRPr="00E9210E">
        <w:rPr>
          <w:rStyle w:val="Corpsdutexte28ptItalique"/>
          <w:rFonts w:eastAsia="Courier New"/>
          <w:sz w:val="28"/>
        </w:rPr>
        <w:t>i</w:t>
      </w:r>
      <w:r w:rsidRPr="00E9210E">
        <w:rPr>
          <w:rStyle w:val="Corpsdutexte28ptItalique"/>
          <w:rFonts w:eastAsia="Courier New"/>
          <w:sz w:val="28"/>
        </w:rPr>
        <w:t>bliothèque et m</w:t>
      </w:r>
      <w:r w:rsidRPr="00E9210E">
        <w:rPr>
          <w:rStyle w:val="Corpsdutexte28ptItalique"/>
          <w:rFonts w:eastAsia="Courier New"/>
          <w:sz w:val="28"/>
        </w:rPr>
        <w:t>u</w:t>
      </w:r>
      <w:r w:rsidRPr="00E9210E">
        <w:rPr>
          <w:rStyle w:val="Corpsdutexte28ptItalique"/>
          <w:rFonts w:eastAsia="Courier New"/>
          <w:sz w:val="28"/>
        </w:rPr>
        <w:t>sée du Mans. Les origines,</w:t>
      </w:r>
      <w:r w:rsidRPr="00E9210E">
        <w:rPr>
          <w:rStyle w:val="Corpsdutexte28ptGraschelle120"/>
          <w:rFonts w:eastAsia="Courier New"/>
          <w:sz w:val="28"/>
        </w:rPr>
        <w:t xml:space="preserve"> </w:t>
      </w:r>
      <w:r w:rsidRPr="00E9210E">
        <w:t>Laval, 1929), « A.H.E.S. », t. II (1930), p. 411.</w:t>
      </w:r>
    </w:p>
    <w:p w14:paraId="039EE1BB" w14:textId="77777777" w:rsidR="00B9662D" w:rsidRPr="00E9210E" w:rsidRDefault="00B9662D" w:rsidP="00B9662D">
      <w:pPr>
        <w:spacing w:before="120" w:after="120"/>
        <w:jc w:val="both"/>
      </w:pPr>
      <w:r w:rsidRPr="00E9210E">
        <w:t>Une enquête permanente sur la vie économique de l'ancienne Fra</w:t>
      </w:r>
      <w:r w:rsidRPr="00E9210E">
        <w:t>n</w:t>
      </w:r>
      <w:r w:rsidRPr="00E9210E">
        <w:t xml:space="preserve">ce. (Note sur la publication des </w:t>
      </w:r>
      <w:r w:rsidRPr="00E9210E">
        <w:rPr>
          <w:rStyle w:val="Corpsdutexte28ptItalique"/>
          <w:rFonts w:eastAsia="Courier New"/>
          <w:sz w:val="28"/>
        </w:rPr>
        <w:t>Mémoires et documents pour servir à l’histoire du commerce et de l’industrie en France,</w:t>
      </w:r>
      <w:r w:rsidRPr="00E9210E">
        <w:rPr>
          <w:rStyle w:val="Corpsdutexte28ptGraschelle120"/>
          <w:rFonts w:eastAsia="Courier New"/>
          <w:sz w:val="28"/>
        </w:rPr>
        <w:t xml:space="preserve"> </w:t>
      </w:r>
      <w:r w:rsidRPr="00E9210E">
        <w:t xml:space="preserve">sous l'impulsion de </w:t>
      </w:r>
      <w:r w:rsidRPr="00E9210E">
        <w:rPr>
          <w:rStyle w:val="Corpsdutexte27ptGras"/>
          <w:rFonts w:eastAsia="Courier New"/>
          <w:b w:val="0"/>
          <w:sz w:val="28"/>
        </w:rPr>
        <w:t xml:space="preserve">J. </w:t>
      </w:r>
      <w:r w:rsidRPr="00E9210E">
        <w:rPr>
          <w:rStyle w:val="Corpsdutexte27ptGras"/>
          <w:rFonts w:eastAsia="Courier New"/>
          <w:b w:val="0"/>
          <w:smallCaps/>
          <w:sz w:val="28"/>
        </w:rPr>
        <w:t>Hayem</w:t>
      </w:r>
      <w:r w:rsidRPr="00E9210E">
        <w:rPr>
          <w:rStyle w:val="Corpsdutexte27ptGras"/>
          <w:rFonts w:eastAsia="Courier New"/>
          <w:b w:val="0"/>
          <w:sz w:val="28"/>
        </w:rPr>
        <w:t>,</w:t>
      </w:r>
      <w:r w:rsidRPr="00E9210E">
        <w:rPr>
          <w:rStyle w:val="Corpsdutexte27ptGras"/>
          <w:rFonts w:eastAsia="Courier New"/>
          <w:sz w:val="28"/>
        </w:rPr>
        <w:t xml:space="preserve"> </w:t>
      </w:r>
      <w:r w:rsidRPr="00E9210E">
        <w:t>12</w:t>
      </w:r>
      <w:r w:rsidRPr="00E9210E">
        <w:rPr>
          <w:vertAlign w:val="superscript"/>
        </w:rPr>
        <w:t>e</w:t>
      </w:r>
      <w:r w:rsidRPr="00E9210E">
        <w:t xml:space="preserve"> série, Paris, 1929), « A.H.E.S. », t. II (1930), pp. 412-413.</w:t>
      </w:r>
    </w:p>
    <w:p w14:paraId="01467C68" w14:textId="77777777" w:rsidR="00B9662D" w:rsidRPr="00E9210E" w:rsidRDefault="00B9662D" w:rsidP="00B9662D">
      <w:pPr>
        <w:spacing w:before="120" w:after="120"/>
        <w:jc w:val="both"/>
      </w:pPr>
      <w:r w:rsidRPr="00E9210E">
        <w:t>L'annuaire d’histoire du droit espagnol (t. V de l’</w:t>
      </w:r>
      <w:r w:rsidRPr="00E9210E">
        <w:rPr>
          <w:rStyle w:val="Corpsdutexte28ptItalique"/>
          <w:rFonts w:eastAsia="Courier New"/>
          <w:sz w:val="28"/>
        </w:rPr>
        <w:t>Anuario de hist</w:t>
      </w:r>
      <w:r w:rsidRPr="00E9210E">
        <w:rPr>
          <w:rStyle w:val="Corpsdutexte28ptItalique"/>
          <w:rFonts w:eastAsia="Courier New"/>
          <w:sz w:val="28"/>
        </w:rPr>
        <w:t>o</w:t>
      </w:r>
      <w:r w:rsidRPr="00E9210E">
        <w:rPr>
          <w:rStyle w:val="Corpsdutexte28ptItalique"/>
          <w:rFonts w:eastAsia="Courier New"/>
          <w:sz w:val="28"/>
        </w:rPr>
        <w:t>ria del derecho espanol,</w:t>
      </w:r>
      <w:r w:rsidRPr="00E9210E">
        <w:rPr>
          <w:rStyle w:val="Corpsdutexte28ptGraschelle120"/>
          <w:rFonts w:eastAsia="Courier New"/>
          <w:sz w:val="28"/>
        </w:rPr>
        <w:t xml:space="preserve"> </w:t>
      </w:r>
      <w:r w:rsidRPr="00E9210E">
        <w:t>Madrid, 1928), « A.H.E.S. », t. II (1930), p. 413.</w:t>
      </w:r>
    </w:p>
    <w:p w14:paraId="081F6179" w14:textId="77777777" w:rsidR="00B9662D" w:rsidRPr="00E9210E" w:rsidRDefault="00B9662D" w:rsidP="00B9662D">
      <w:pPr>
        <w:spacing w:before="120" w:after="120"/>
        <w:jc w:val="both"/>
      </w:pPr>
      <w:r w:rsidRPr="00E9210E">
        <w:t>Not. nécrologique : Georges Bigwood, « A.H.E.S., » t. II (1930), p. 414.</w:t>
      </w:r>
    </w:p>
    <w:p w14:paraId="36EB2192" w14:textId="77777777" w:rsidR="00B9662D" w:rsidRPr="00E9210E" w:rsidRDefault="00B9662D" w:rsidP="00B9662D">
      <w:pPr>
        <w:spacing w:before="120" w:after="120"/>
        <w:jc w:val="both"/>
      </w:pPr>
      <w:r w:rsidRPr="00E9210E">
        <w:t xml:space="preserve">Le partage des terres entre Romains et Barbares. (Compte rendu : F. </w:t>
      </w:r>
      <w:r w:rsidRPr="00E9210E">
        <w:rPr>
          <w:rStyle w:val="Corpsdutexte27ptGras"/>
          <w:rFonts w:eastAsia="Courier New"/>
          <w:b w:val="0"/>
          <w:smallCaps/>
          <w:sz w:val="28"/>
        </w:rPr>
        <w:t>Lot</w:t>
      </w:r>
      <w:r w:rsidRPr="00E9210E">
        <w:rPr>
          <w:rStyle w:val="Corpsdutexte27ptGras"/>
          <w:rFonts w:eastAsia="Courier New"/>
          <w:b w:val="0"/>
          <w:sz w:val="28"/>
        </w:rPr>
        <w:t>,</w:t>
      </w:r>
      <w:r w:rsidRPr="00E9210E">
        <w:rPr>
          <w:rStyle w:val="Corpsdutexte2ItaliquePetitesmajuscules"/>
          <w:rFonts w:eastAsia="Courier New"/>
          <w:sz w:val="28"/>
        </w:rPr>
        <w:t xml:space="preserve"> </w:t>
      </w:r>
      <w:r w:rsidRPr="00E9210E">
        <w:rPr>
          <w:rStyle w:val="Corpsdutexte2ItaliquePetitesmajuscules"/>
          <w:rFonts w:eastAsia="Courier New"/>
          <w:smallCaps w:val="0"/>
          <w:sz w:val="28"/>
        </w:rPr>
        <w:t>Du</w:t>
      </w:r>
      <w:r w:rsidRPr="00E9210E">
        <w:rPr>
          <w:rStyle w:val="Corpsdutexte2ItaliquePetitesmajuscules"/>
          <w:rFonts w:eastAsia="Courier New"/>
          <w:sz w:val="28"/>
        </w:rPr>
        <w:t xml:space="preserve"> </w:t>
      </w:r>
      <w:r w:rsidRPr="00E9210E">
        <w:rPr>
          <w:rStyle w:val="Corpsdutexte28ptItalique"/>
          <w:rFonts w:eastAsia="Courier New"/>
          <w:sz w:val="28"/>
        </w:rPr>
        <w:t>régime de l’hospitalité,</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belge de philologie et d’histoire,</w:t>
      </w:r>
      <w:r w:rsidRPr="00E9210E">
        <w:rPr>
          <w:rStyle w:val="Corpsdutexte28ptGraschelle120"/>
          <w:rFonts w:eastAsia="Courier New"/>
          <w:sz w:val="28"/>
        </w:rPr>
        <w:t xml:space="preserve"> </w:t>
      </w:r>
      <w:r w:rsidRPr="00E9210E">
        <w:t>t. VII (1928), pp. 976-1011), « A.H.E.S. », t. II (1930), p. 434.</w:t>
      </w:r>
    </w:p>
    <w:p w14:paraId="7573AF5F" w14:textId="77777777" w:rsidR="00B9662D" w:rsidRPr="00E9210E" w:rsidRDefault="00B9662D" w:rsidP="00B9662D">
      <w:pPr>
        <w:spacing w:before="120" w:after="120"/>
        <w:jc w:val="both"/>
      </w:pPr>
      <w:r w:rsidRPr="00E9210E">
        <w:t xml:space="preserve">Les libertés paysannes : la Confédération suisse. (Compte rendu : H. </w:t>
      </w:r>
      <w:r w:rsidRPr="00E9210E">
        <w:rPr>
          <w:rStyle w:val="Corpsdutexte27ptGras"/>
          <w:rFonts w:eastAsia="Courier New"/>
          <w:b w:val="0"/>
          <w:smallCaps/>
          <w:sz w:val="28"/>
        </w:rPr>
        <w:t>Fehr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Entstehung der schweizerischen Eidgenossenschaft,</w:t>
      </w:r>
      <w:r w:rsidRPr="00E9210E">
        <w:rPr>
          <w:rStyle w:val="Corpsdutexte28ptGraschelle120"/>
          <w:rFonts w:eastAsia="Courier New"/>
          <w:sz w:val="28"/>
        </w:rPr>
        <w:t xml:space="preserve"> </w:t>
      </w:r>
      <w:r w:rsidRPr="00E9210E">
        <w:t>Berne, 1929), « A.H.E.S. », t. II (1930), pp. 436-437.</w:t>
      </w:r>
    </w:p>
    <w:p w14:paraId="721BC32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 répartition de l’impôt indirect dans l’Ile-de-France au </w:t>
      </w:r>
      <w:r w:rsidRPr="00E9210E">
        <w:rPr>
          <w:rStyle w:val="Corpsdutexte385ptNonItalique"/>
          <w:rFonts w:eastAsia="Courier New"/>
          <w:i w:val="0"/>
          <w:iCs w:val="0"/>
          <w:caps/>
          <w:sz w:val="28"/>
        </w:rPr>
        <w:t>x</w:t>
      </w:r>
      <w:r w:rsidRPr="00E9210E">
        <w:rPr>
          <w:rStyle w:val="Corpsdutexte385ptNonItalique"/>
          <w:rFonts w:eastAsia="Courier New"/>
          <w:i w:val="0"/>
          <w:iCs w:val="0"/>
          <w:caps/>
          <w:sz w:val="28"/>
        </w:rPr>
        <w:t>i</w:t>
      </w:r>
      <w:r w:rsidRPr="00E9210E">
        <w:rPr>
          <w:rStyle w:val="Corpsdutexte385ptNonItalique"/>
          <w:rFonts w:eastAsia="Courier New"/>
          <w:i w:val="0"/>
          <w:iCs w:val="0"/>
          <w:caps/>
          <w:sz w:val="28"/>
        </w:rPr>
        <w:t>v</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 rendu : Cdt. A. </w:t>
      </w:r>
      <w:r w:rsidRPr="00E9210E">
        <w:rPr>
          <w:rStyle w:val="Corpsdutexte37ptGrasNonItalique"/>
          <w:rFonts w:eastAsia="Courier New"/>
          <w:b w:val="0"/>
          <w:i w:val="0"/>
          <w:iCs w:val="0"/>
          <w:smallCaps/>
          <w:sz w:val="28"/>
        </w:rPr>
        <w:t>Gravier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Villes et villages de Se</w:t>
      </w:r>
      <w:r w:rsidRPr="00E9210E">
        <w:rPr>
          <w:i/>
        </w:rPr>
        <w:t>i</w:t>
      </w:r>
      <w:r w:rsidRPr="00E9210E">
        <w:rPr>
          <w:i/>
        </w:rPr>
        <w:t>ne-et-Oise au Moyen Âge (1370) : leur importa</w:t>
      </w:r>
      <w:r w:rsidRPr="00E9210E">
        <w:rPr>
          <w:i/>
        </w:rPr>
        <w:t>n</w:t>
      </w:r>
      <w:r w:rsidRPr="00E9210E">
        <w:rPr>
          <w:i/>
        </w:rPr>
        <w:t>ce relative d’après un registre de comptes de l’époque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de l’histoire de Versai</w:t>
      </w:r>
      <w:r w:rsidRPr="00E9210E">
        <w:rPr>
          <w:i/>
        </w:rPr>
        <w:t>l</w:t>
      </w:r>
      <w:r w:rsidRPr="00E9210E">
        <w:rPr>
          <w:i/>
        </w:rPr>
        <w:t>les et de Seine-et-Oise</w:t>
      </w:r>
      <w:r w:rsidRPr="00E9210E">
        <w:rPr>
          <w:rStyle w:val="Corpsdutexte385ptNonItalique"/>
          <w:rFonts w:eastAsia="Courier New"/>
          <w:i w:val="0"/>
          <w:iCs w:val="0"/>
          <w:sz w:val="28"/>
        </w:rPr>
        <w:t>, 1927), « A.H.E.S. », t. II (1930), p. 438.</w:t>
      </w:r>
    </w:p>
    <w:p w14:paraId="2E1986F5" w14:textId="77777777" w:rsidR="00B9662D" w:rsidRPr="00E9210E" w:rsidRDefault="00B9662D" w:rsidP="00B9662D">
      <w:pPr>
        <w:spacing w:before="120" w:after="120"/>
        <w:jc w:val="both"/>
      </w:pPr>
      <w:r w:rsidRPr="00E9210E">
        <w:t xml:space="preserve">Une société d’agriculture. (Compte rendu : A. </w:t>
      </w:r>
      <w:r w:rsidRPr="00E9210E">
        <w:rPr>
          <w:rStyle w:val="Corpsdutexte27ptGras"/>
          <w:rFonts w:eastAsia="Courier New"/>
          <w:b w:val="0"/>
          <w:smallCaps/>
          <w:sz w:val="28"/>
        </w:rPr>
        <w:t>Rostand</w:t>
      </w:r>
      <w:r w:rsidRPr="00E9210E">
        <w:rPr>
          <w:rStyle w:val="Corpsdutexte27ptGras"/>
          <w:rFonts w:eastAsia="Courier New"/>
          <w:sz w:val="28"/>
        </w:rPr>
        <w:t xml:space="preserve">, </w:t>
      </w:r>
      <w:r w:rsidRPr="00E9210E">
        <w:rPr>
          <w:rStyle w:val="Corpsdutexte28ptItalique"/>
          <w:rFonts w:eastAsia="Courier New"/>
          <w:sz w:val="28"/>
        </w:rPr>
        <w:t>La Soci</w:t>
      </w:r>
      <w:r w:rsidRPr="00E9210E">
        <w:rPr>
          <w:rStyle w:val="Corpsdutexte28ptItalique"/>
          <w:rFonts w:eastAsia="Courier New"/>
          <w:sz w:val="28"/>
        </w:rPr>
        <w:t>é</w:t>
      </w:r>
      <w:r w:rsidRPr="00E9210E">
        <w:rPr>
          <w:rStyle w:val="Corpsdutexte28ptItalique"/>
          <w:rFonts w:eastAsia="Courier New"/>
          <w:sz w:val="28"/>
        </w:rPr>
        <w:t>té d’agriculture de la généralité de Caen (1762-1790),</w:t>
      </w:r>
      <w:r w:rsidRPr="00E9210E">
        <w:rPr>
          <w:rStyle w:val="Corpsdutexte28ptGraschelle120"/>
          <w:rFonts w:eastAsia="Courier New"/>
          <w:sz w:val="28"/>
        </w:rPr>
        <w:t xml:space="preserve"> </w:t>
      </w:r>
      <w:r w:rsidRPr="00E9210E">
        <w:t>Caen, 1929), « A.H.E.S. », t. II (1930), p. 438.</w:t>
      </w:r>
    </w:p>
    <w:p w14:paraId="245B20E0" w14:textId="77777777" w:rsidR="00B9662D" w:rsidRPr="00E9210E" w:rsidRDefault="00B9662D" w:rsidP="00B9662D">
      <w:pPr>
        <w:spacing w:before="120" w:after="120"/>
        <w:jc w:val="both"/>
      </w:pPr>
      <w:r w:rsidRPr="00E9210E">
        <w:t xml:space="preserve">Une capitale du Haut Moyen Âge. (Compte rendu : P. </w:t>
      </w:r>
      <w:r w:rsidRPr="00E9210E">
        <w:rPr>
          <w:rStyle w:val="Corpsdutexte27ptGras"/>
          <w:rFonts w:eastAsia="Courier New"/>
          <w:b w:val="0"/>
          <w:smallCaps/>
          <w:sz w:val="28"/>
        </w:rPr>
        <w:t>Vaccari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Pavia cap</w:t>
      </w:r>
      <w:r w:rsidRPr="00E9210E">
        <w:rPr>
          <w:rStyle w:val="Corpsdutexte28ptItalique"/>
          <w:rFonts w:eastAsia="Courier New"/>
          <w:sz w:val="28"/>
        </w:rPr>
        <w:t>i</w:t>
      </w:r>
      <w:r w:rsidRPr="00E9210E">
        <w:rPr>
          <w:rStyle w:val="Corpsdutexte28ptItalique"/>
          <w:rFonts w:eastAsia="Courier New"/>
          <w:sz w:val="28"/>
        </w:rPr>
        <w:t>tale di regno,</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Lezioni e conferenze :</w:t>
      </w:r>
      <w:r w:rsidRPr="00E9210E">
        <w:rPr>
          <w:rStyle w:val="Corpsdutexte2ItaliqueEspacement0pt"/>
          <w:rFonts w:eastAsia="Courier New"/>
          <w:sz w:val="28"/>
        </w:rPr>
        <w:t xml:space="preserve"> </w:t>
      </w:r>
      <w:r w:rsidRPr="00E9210E">
        <w:rPr>
          <w:rStyle w:val="Corpsdutexte28ptItalique"/>
          <w:rFonts w:eastAsia="Courier New"/>
          <w:sz w:val="28"/>
        </w:rPr>
        <w:t xml:space="preserve">corsi autunnali délia R. Università di Pavia, </w:t>
      </w:r>
      <w:r w:rsidRPr="00E9210E">
        <w:t>settembre-ottobre 1927), « A.H.E.S. », t. II (1930), p. 439.</w:t>
      </w:r>
    </w:p>
    <w:p w14:paraId="5708E9DF" w14:textId="77777777" w:rsidR="00B9662D" w:rsidRPr="00E9210E" w:rsidRDefault="00B9662D" w:rsidP="00B9662D">
      <w:pPr>
        <w:spacing w:before="120" w:after="120"/>
        <w:jc w:val="both"/>
      </w:pPr>
      <w:r w:rsidRPr="00E9210E">
        <w:t xml:space="preserve">Les éléments de la société urbaine médiévale. (Compte rendu : </w:t>
      </w:r>
      <w:r w:rsidRPr="00E9210E">
        <w:rPr>
          <w:rStyle w:val="Corpsdutexte27ptGras"/>
          <w:rFonts w:eastAsia="Courier New"/>
          <w:b w:val="0"/>
          <w:sz w:val="28"/>
        </w:rPr>
        <w:t>G. </w:t>
      </w:r>
      <w:r w:rsidRPr="00E9210E">
        <w:rPr>
          <w:rStyle w:val="Corpsdutexte27ptGras"/>
          <w:rFonts w:eastAsia="Courier New"/>
          <w:b w:val="0"/>
          <w:smallCaps/>
          <w:sz w:val="28"/>
        </w:rPr>
        <w:t>Espinas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manants dans le droit urbain en Flandre au Moyen Âge,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 xml:space="preserve">Mélanges Paul Fournier, </w:t>
      </w:r>
      <w:r w:rsidRPr="00E9210E">
        <w:t>Paris, 1929, pp. 203-217), « A.H.E.S. », t. II (1930), pp. 439-440.</w:t>
      </w:r>
    </w:p>
    <w:p w14:paraId="0C00E835" w14:textId="77777777" w:rsidR="00B9662D" w:rsidRPr="00E9210E" w:rsidRDefault="00B9662D" w:rsidP="00B9662D">
      <w:pPr>
        <w:spacing w:before="120" w:after="120"/>
        <w:jc w:val="both"/>
      </w:pPr>
      <w:r w:rsidRPr="00E9210E">
        <w:t xml:space="preserve">De la monnaie romaine à la monnaie médiévale. (Compte rendu : F. F. </w:t>
      </w:r>
      <w:r w:rsidRPr="00E9210E">
        <w:rPr>
          <w:rStyle w:val="Corpsdutexte27ptGras"/>
          <w:rFonts w:eastAsia="Courier New"/>
          <w:b w:val="0"/>
          <w:smallCaps/>
          <w:sz w:val="28"/>
        </w:rPr>
        <w:t>Kraus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Münzen Odovacars und der Ostgotenreiches in It</w:t>
      </w:r>
      <w:r w:rsidRPr="00E9210E">
        <w:rPr>
          <w:rStyle w:val="Corpsdutexte28ptItalique"/>
          <w:rFonts w:eastAsia="Courier New"/>
          <w:sz w:val="28"/>
        </w:rPr>
        <w:t>a</w:t>
      </w:r>
      <w:r w:rsidRPr="00E9210E">
        <w:rPr>
          <w:rStyle w:val="Corpsdutexte28ptItalique"/>
          <w:rFonts w:eastAsia="Courier New"/>
          <w:sz w:val="28"/>
        </w:rPr>
        <w:t>lien,</w:t>
      </w:r>
      <w:r w:rsidRPr="00E9210E">
        <w:rPr>
          <w:rStyle w:val="Corpsdutexte28ptGraschelle120"/>
          <w:rFonts w:eastAsia="Courier New"/>
          <w:sz w:val="28"/>
        </w:rPr>
        <w:t xml:space="preserve"> </w:t>
      </w:r>
      <w:r w:rsidRPr="00E9210E">
        <w:t>Halle, 1928), « A.H.E.S. », t. II (1930), pp. 443-444.</w:t>
      </w:r>
    </w:p>
    <w:p w14:paraId="19D8E4B7" w14:textId="77777777" w:rsidR="00B9662D" w:rsidRPr="00E9210E" w:rsidRDefault="00B9662D" w:rsidP="00B9662D">
      <w:pPr>
        <w:spacing w:before="120" w:after="120"/>
        <w:jc w:val="both"/>
      </w:pPr>
      <w:r w:rsidRPr="00E9210E">
        <w:t xml:space="preserve">Les origines du monnayage léonais et castillan. (Compte rendu : Cl. </w:t>
      </w:r>
      <w:r w:rsidRPr="00E9210E">
        <w:rPr>
          <w:rStyle w:val="Corpsdutexte27ptGras"/>
          <w:rFonts w:eastAsia="Courier New"/>
          <w:b w:val="0"/>
          <w:smallCaps/>
          <w:sz w:val="28"/>
        </w:rPr>
        <w:t>Sanchez-Albornoz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primitiva organización monetaria de Leόn y Castilla,</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Anuario de historia del der</w:t>
      </w:r>
      <w:r w:rsidRPr="00E9210E">
        <w:rPr>
          <w:rStyle w:val="Corpsdutexte28ptItalique"/>
          <w:rFonts w:eastAsia="Courier New"/>
          <w:sz w:val="28"/>
        </w:rPr>
        <w:t>e</w:t>
      </w:r>
      <w:r w:rsidRPr="00E9210E">
        <w:rPr>
          <w:rStyle w:val="Corpsdutexte28ptItalique"/>
          <w:rFonts w:eastAsia="Courier New"/>
          <w:sz w:val="28"/>
        </w:rPr>
        <w:t>cho espanol,</w:t>
      </w:r>
      <w:r w:rsidRPr="00E9210E">
        <w:rPr>
          <w:rStyle w:val="Corpsdutexte28ptGraschelle120"/>
          <w:rFonts w:eastAsia="Courier New"/>
          <w:sz w:val="28"/>
        </w:rPr>
        <w:t xml:space="preserve"> </w:t>
      </w:r>
      <w:r w:rsidRPr="00E9210E">
        <w:t>t. V (1928), pp. 301-345), « A.H.E.S. », t. II (1930), pp. 444-445.</w:t>
      </w:r>
    </w:p>
    <w:p w14:paraId="30CB0172" w14:textId="77777777" w:rsidR="00B9662D" w:rsidRPr="00E9210E" w:rsidRDefault="00B9662D" w:rsidP="00B9662D">
      <w:pPr>
        <w:spacing w:before="120" w:after="120"/>
        <w:jc w:val="both"/>
      </w:pPr>
      <w:r w:rsidRPr="00E9210E">
        <w:t xml:space="preserve">Le monnayage des Angevins à Naples. (Compte rendu : G. M. </w:t>
      </w:r>
      <w:r w:rsidRPr="00E9210E">
        <w:rPr>
          <w:rStyle w:val="Corpsdutexte27ptGras"/>
          <w:rFonts w:eastAsia="Courier New"/>
          <w:b w:val="0"/>
          <w:smallCaps/>
          <w:sz w:val="28"/>
        </w:rPr>
        <w:t>Monti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Zecche, monete e legislazione monetaria angioina,</w:t>
      </w:r>
      <w:r w:rsidRPr="00E9210E">
        <w:rPr>
          <w:rStyle w:val="Corpsdutexte28ptGraschelle120"/>
          <w:rFonts w:eastAsia="Courier New"/>
          <w:sz w:val="28"/>
        </w:rPr>
        <w:t xml:space="preserve"> </w:t>
      </w:r>
      <w:r w:rsidRPr="00E9210E">
        <w:t>Naples, 1928), « A.H.E.S. », t. II (1930), p. 445.</w:t>
      </w:r>
    </w:p>
    <w:p w14:paraId="77033865" w14:textId="77777777" w:rsidR="00B9662D" w:rsidRPr="00E9210E" w:rsidRDefault="00B9662D" w:rsidP="00B9662D">
      <w:pPr>
        <w:spacing w:before="120" w:after="120"/>
        <w:jc w:val="both"/>
      </w:pPr>
      <w:r w:rsidRPr="00E9210E">
        <w:t xml:space="preserve">Le rôle des banques comme fournisseurs de crédits à l’industrie. (Comptes rendus : </w:t>
      </w:r>
      <w:r w:rsidRPr="00E9210E">
        <w:rPr>
          <w:rStyle w:val="Corpsdutexte37ptGrasNonItalique"/>
          <w:rFonts w:eastAsia="Courier New"/>
          <w:b w:val="0"/>
          <w:i w:val="0"/>
          <w:iCs w:val="0"/>
          <w:sz w:val="28"/>
        </w:rPr>
        <w:t>S.</w:t>
      </w:r>
      <w:r w:rsidRPr="00E9210E">
        <w:rPr>
          <w:rStyle w:val="Corpsdutexte37ptGrasNonItalique"/>
          <w:rFonts w:eastAsia="Courier New"/>
          <w:i w:val="0"/>
          <w:iCs w:val="0"/>
          <w:sz w:val="28"/>
        </w:rPr>
        <w:t xml:space="preserve"> </w:t>
      </w:r>
      <w:r w:rsidRPr="00E9210E">
        <w:rPr>
          <w:rStyle w:val="Corpsdutexte37ptGrasNonItalique"/>
          <w:rFonts w:eastAsia="Courier New"/>
          <w:b w:val="0"/>
          <w:i w:val="0"/>
          <w:iCs w:val="0"/>
          <w:smallCaps/>
          <w:sz w:val="28"/>
        </w:rPr>
        <w:t>Shlepner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débuts du crédit industriel m</w:t>
      </w:r>
      <w:r w:rsidRPr="00E9210E">
        <w:rPr>
          <w:i/>
        </w:rPr>
        <w:t>o</w:t>
      </w:r>
      <w:r w:rsidRPr="00E9210E">
        <w:rPr>
          <w:i/>
        </w:rPr>
        <w:t>derne,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de l’Institut de Sociologie,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1929, et </w:t>
      </w:r>
      <w:r w:rsidRPr="00E9210E">
        <w:rPr>
          <w:i/>
        </w:rPr>
        <w:t>Les problèmes bancaires a</w:t>
      </w:r>
      <w:r w:rsidRPr="00E9210E">
        <w:rPr>
          <w:i/>
        </w:rPr>
        <w:t>n</w:t>
      </w:r>
      <w:r w:rsidRPr="00E9210E">
        <w:rPr>
          <w:i/>
        </w:rPr>
        <w:t>glais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Bull, mensuel de la Mutuelle Solvay</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déc. 1929), « A.H.E.S. », t. II (1930), pp. 445-446.</w:t>
      </w:r>
    </w:p>
    <w:p w14:paraId="51976D8E" w14:textId="77777777" w:rsidR="00B9662D" w:rsidRPr="00E9210E" w:rsidRDefault="00B9662D" w:rsidP="00B9662D">
      <w:pPr>
        <w:spacing w:before="120" w:after="120"/>
        <w:jc w:val="both"/>
      </w:pPr>
      <w:r w:rsidRPr="00E9210E">
        <w:t xml:space="preserve">La gestion financière. (Comptes rendus : P. </w:t>
      </w:r>
      <w:r w:rsidRPr="00E9210E">
        <w:rPr>
          <w:rStyle w:val="Corpsdutexte27ptGras"/>
          <w:rFonts w:eastAsia="Courier New"/>
          <w:b w:val="0"/>
          <w:smallCaps/>
          <w:sz w:val="28"/>
        </w:rPr>
        <w:t>Jeaucard</w:t>
      </w:r>
      <w:r w:rsidRPr="00E9210E">
        <w:rPr>
          <w:rStyle w:val="Corpsdutexte27ptGras"/>
          <w:rFonts w:eastAsia="Courier New"/>
          <w:b w:val="0"/>
          <w:sz w:val="28"/>
        </w:rPr>
        <w:t xml:space="preserve">, J. </w:t>
      </w:r>
      <w:r w:rsidRPr="00E9210E">
        <w:rPr>
          <w:rStyle w:val="Corpsdutexte27ptGras"/>
          <w:rFonts w:eastAsia="Courier New"/>
          <w:b w:val="0"/>
          <w:smallCaps/>
          <w:sz w:val="28"/>
        </w:rPr>
        <w:t>Wilbois</w:t>
      </w:r>
      <w:r w:rsidRPr="00E9210E">
        <w:rPr>
          <w:rStyle w:val="Corpsdutexte27ptGras"/>
          <w:rFonts w:eastAsia="Courier New"/>
          <w:b w:val="0"/>
          <w:sz w:val="28"/>
        </w:rPr>
        <w:t xml:space="preserve">, G. </w:t>
      </w:r>
      <w:r w:rsidRPr="00E9210E">
        <w:rPr>
          <w:rStyle w:val="Corpsdutexte27ptGras"/>
          <w:rFonts w:eastAsia="Courier New"/>
          <w:b w:val="0"/>
          <w:smallCaps/>
          <w:sz w:val="28"/>
        </w:rPr>
        <w:t>Crespin</w:t>
      </w:r>
      <w:r w:rsidRPr="00E9210E">
        <w:rPr>
          <w:rStyle w:val="Corpsdutexte27ptGras"/>
          <w:rFonts w:eastAsia="Courier New"/>
          <w:b w:val="0"/>
          <w:sz w:val="28"/>
        </w:rPr>
        <w:t xml:space="preserve">, </w:t>
      </w:r>
      <w:r w:rsidRPr="00E9210E">
        <w:rPr>
          <w:rStyle w:val="Corpsdutexte28ptItalique"/>
          <w:rFonts w:eastAsia="Courier New"/>
          <w:sz w:val="28"/>
        </w:rPr>
        <w:t>Gestion du fonds de roulement.</w:t>
      </w:r>
      <w:r w:rsidRPr="00E9210E">
        <w:rPr>
          <w:rStyle w:val="Corpsdutexte28ptGraschelle120"/>
          <w:rFonts w:eastAsia="Courier New"/>
          <w:sz w:val="28"/>
        </w:rPr>
        <w:t> — </w:t>
      </w:r>
      <w:r w:rsidRPr="00E9210E">
        <w:t xml:space="preserve">P. </w:t>
      </w:r>
      <w:r w:rsidRPr="00E9210E">
        <w:rPr>
          <w:rStyle w:val="Corpsdutexte27ptGras"/>
          <w:rFonts w:eastAsia="Courier New"/>
          <w:b w:val="0"/>
          <w:smallCaps/>
          <w:sz w:val="28"/>
        </w:rPr>
        <w:t>Jeaucard</w:t>
      </w:r>
      <w:r w:rsidRPr="00E9210E">
        <w:rPr>
          <w:rStyle w:val="Corpsdutexte27ptGras"/>
          <w:rFonts w:eastAsia="Courier New"/>
          <w:b w:val="0"/>
          <w:sz w:val="28"/>
        </w:rPr>
        <w:t>, J. </w:t>
      </w:r>
      <w:r w:rsidRPr="00E9210E">
        <w:rPr>
          <w:rStyle w:val="Corpsdutexte27ptGras"/>
          <w:rFonts w:eastAsia="Courier New"/>
          <w:b w:val="0"/>
          <w:smallCaps/>
          <w:sz w:val="28"/>
        </w:rPr>
        <w:t>Wilbois</w:t>
      </w:r>
      <w:r w:rsidRPr="00E9210E">
        <w:rPr>
          <w:rStyle w:val="Corpsdutexte27ptGras"/>
          <w:rFonts w:eastAsia="Courier New"/>
          <w:b w:val="0"/>
          <w:sz w:val="28"/>
        </w:rPr>
        <w:t xml:space="preserve">, </w:t>
      </w:r>
      <w:r w:rsidRPr="00E9210E">
        <w:rPr>
          <w:rStyle w:val="Corpsdutexte28ptItalique"/>
          <w:rFonts w:eastAsia="Courier New"/>
          <w:sz w:val="28"/>
        </w:rPr>
        <w:t xml:space="preserve">Gestion du capital investi, </w:t>
      </w:r>
      <w:r w:rsidRPr="00E9210E">
        <w:t xml:space="preserve">Paris, 1929. Coll. </w:t>
      </w:r>
      <w:r w:rsidRPr="00E9210E">
        <w:rPr>
          <w:rStyle w:val="Corpsdutexte28ptItalique"/>
          <w:rFonts w:eastAsia="Courier New"/>
          <w:sz w:val="28"/>
        </w:rPr>
        <w:t>Les Vade-mecum du chef d’entreprise,</w:t>
      </w:r>
      <w:r w:rsidRPr="00E9210E">
        <w:rPr>
          <w:rStyle w:val="Corpsdutexte28ptGraschelle120"/>
          <w:rFonts w:eastAsia="Courier New"/>
          <w:sz w:val="28"/>
        </w:rPr>
        <w:t xml:space="preserve"> </w:t>
      </w:r>
      <w:r w:rsidRPr="00E9210E">
        <w:t xml:space="preserve">publiés sous la direction de </w:t>
      </w:r>
      <w:r w:rsidRPr="00E9210E">
        <w:rPr>
          <w:rStyle w:val="Corpsdutexte27ptGras"/>
          <w:rFonts w:eastAsia="Courier New"/>
          <w:b w:val="0"/>
          <w:sz w:val="28"/>
        </w:rPr>
        <w:t xml:space="preserve">J. </w:t>
      </w:r>
      <w:r w:rsidRPr="00E9210E">
        <w:rPr>
          <w:rStyle w:val="Corpsdutexte27ptGras"/>
          <w:rFonts w:eastAsia="Courier New"/>
          <w:b w:val="0"/>
          <w:smallCaps/>
          <w:sz w:val="28"/>
        </w:rPr>
        <w:t>Wilbois</w:t>
      </w:r>
      <w:r w:rsidRPr="00E9210E">
        <w:rPr>
          <w:rStyle w:val="Corpsdutexte27ptGras"/>
          <w:rFonts w:eastAsia="Courier New"/>
          <w:b w:val="0"/>
          <w:sz w:val="28"/>
        </w:rPr>
        <w:t>),</w:t>
      </w:r>
      <w:r w:rsidRPr="00E9210E">
        <w:rPr>
          <w:rStyle w:val="Corpsdutexte27ptGras"/>
          <w:rFonts w:eastAsia="Courier New"/>
          <w:sz w:val="28"/>
        </w:rPr>
        <w:t xml:space="preserve"> </w:t>
      </w:r>
      <w:r w:rsidRPr="00E9210E">
        <w:t>« A.H.E.S. », t. II (1930), pp. 452-453.</w:t>
      </w:r>
    </w:p>
    <w:p w14:paraId="3952CBF5" w14:textId="77777777" w:rsidR="00B9662D" w:rsidRPr="00E9210E" w:rsidRDefault="00B9662D" w:rsidP="00B9662D">
      <w:pPr>
        <w:spacing w:before="120" w:after="120"/>
        <w:jc w:val="both"/>
      </w:pPr>
      <w:r w:rsidRPr="00E9210E">
        <w:t xml:space="preserve">Un coin des Alpes au Moyen Âge. (Compte rendu : Th. </w:t>
      </w:r>
      <w:r w:rsidRPr="00E9210E">
        <w:rPr>
          <w:rStyle w:val="Corpsdutexte27ptGras"/>
          <w:rFonts w:eastAsia="Courier New"/>
          <w:b w:val="0"/>
          <w:smallCaps/>
          <w:sz w:val="28"/>
        </w:rPr>
        <w:t>Sclafert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dans la montagne de Séuse du XIV</w:t>
      </w:r>
      <w:r w:rsidRPr="00E9210E">
        <w:rPr>
          <w:rStyle w:val="Corpsdutexte28ptItalique"/>
          <w:rFonts w:eastAsia="Courier New"/>
          <w:sz w:val="28"/>
          <w:vertAlign w:val="superscript"/>
        </w:rPr>
        <w:t>e</w:t>
      </w:r>
      <w:r w:rsidRPr="00E9210E">
        <w:rPr>
          <w:rStyle w:val="Corpsdutexte28ptItalique"/>
          <w:rFonts w:eastAsia="Courier New"/>
          <w:sz w:val="28"/>
        </w:rPr>
        <w:t xml:space="preserve"> au XVI</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Société d’études des Hautes-Alpes,</w:t>
      </w:r>
      <w:r w:rsidRPr="00E9210E">
        <w:rPr>
          <w:rStyle w:val="Corpsdutexte28ptGraschelle120"/>
          <w:rFonts w:eastAsia="Courier New"/>
          <w:sz w:val="28"/>
        </w:rPr>
        <w:t xml:space="preserve"> </w:t>
      </w:r>
      <w:r w:rsidRPr="00E9210E">
        <w:t>t. XLVIII (1929), pp. 40-87), « A.H.E.S. », t. II (1930), p. 456.</w:t>
      </w:r>
    </w:p>
    <w:p w14:paraId="38675B02" w14:textId="77777777" w:rsidR="00B9662D" w:rsidRPr="00E9210E" w:rsidRDefault="00B9662D" w:rsidP="00B9662D">
      <w:pPr>
        <w:spacing w:before="120" w:after="120"/>
        <w:jc w:val="both"/>
      </w:pPr>
      <w:r w:rsidRPr="00E9210E">
        <w:t>[1046]</w:t>
      </w:r>
    </w:p>
    <w:p w14:paraId="701B2FDE" w14:textId="77777777" w:rsidR="00B9662D" w:rsidRPr="00E9210E" w:rsidRDefault="00B9662D" w:rsidP="00B9662D">
      <w:pPr>
        <w:spacing w:before="120" w:after="120"/>
        <w:jc w:val="both"/>
      </w:pPr>
      <w:r w:rsidRPr="00E9210E">
        <w:t xml:space="preserve">Une bourgade de l’Argonne : Varennes. (Compte rendu : Chan. Ch. </w:t>
      </w:r>
      <w:r w:rsidRPr="00E9210E">
        <w:rPr>
          <w:rStyle w:val="Corpsdutexte27ptGras"/>
          <w:rFonts w:eastAsia="Courier New"/>
          <w:b w:val="0"/>
          <w:smallCaps/>
          <w:sz w:val="28"/>
        </w:rPr>
        <w:t>Aimond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la ville de Varennes-en-Argonne,</w:t>
      </w:r>
      <w:r w:rsidRPr="00E9210E">
        <w:rPr>
          <w:rStyle w:val="Corpsdutexte28ptGraschelle120"/>
          <w:rFonts w:eastAsia="Courier New"/>
          <w:sz w:val="28"/>
        </w:rPr>
        <w:t xml:space="preserve"> </w:t>
      </w:r>
      <w:r w:rsidRPr="00E9210E">
        <w:t>Bar-le-Duc, 1928), « A.H.E.S. », t. II (1930), pp. 457-458.</w:t>
      </w:r>
    </w:p>
    <w:p w14:paraId="5E08572D" w14:textId="77777777" w:rsidR="00B9662D" w:rsidRPr="00E9210E" w:rsidRDefault="00B9662D" w:rsidP="00B9662D">
      <w:pPr>
        <w:spacing w:before="120" w:after="120"/>
        <w:jc w:val="both"/>
      </w:pPr>
      <w:r w:rsidRPr="00E9210E">
        <w:t xml:space="preserve">Gênes et </w:t>
      </w:r>
      <w:r w:rsidRPr="00E9210E">
        <w:rPr>
          <w:rStyle w:val="Corpsdutexte27ptGras"/>
          <w:rFonts w:eastAsia="Courier New"/>
          <w:b w:val="0"/>
          <w:sz w:val="28"/>
        </w:rPr>
        <w:t>la</w:t>
      </w:r>
      <w:r w:rsidRPr="00E9210E">
        <w:rPr>
          <w:rStyle w:val="Corpsdutexte27ptGras"/>
          <w:rFonts w:eastAsia="Courier New"/>
          <w:sz w:val="28"/>
        </w:rPr>
        <w:t xml:space="preserve"> </w:t>
      </w:r>
      <w:r w:rsidRPr="00E9210E">
        <w:t xml:space="preserve">Mer Noire. (Compte rendu : G. </w:t>
      </w:r>
      <w:r w:rsidRPr="00E9210E">
        <w:rPr>
          <w:rStyle w:val="Corpsdutexte27ptGras"/>
          <w:rFonts w:eastAsia="Courier New"/>
          <w:b w:val="0"/>
          <w:sz w:val="28"/>
        </w:rPr>
        <w:t xml:space="preserve">I. </w:t>
      </w:r>
      <w:r w:rsidRPr="00E9210E">
        <w:rPr>
          <w:rStyle w:val="Corpsdutexte27ptGras"/>
          <w:rFonts w:eastAsia="Courier New"/>
          <w:b w:val="0"/>
          <w:smallCaps/>
          <w:sz w:val="28"/>
        </w:rPr>
        <w:t>Bratianu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Reche</w:t>
      </w:r>
      <w:r w:rsidRPr="00E9210E">
        <w:rPr>
          <w:rFonts w:eastAsia="Courier New"/>
          <w:i/>
        </w:rPr>
        <w:t>r</w:t>
      </w:r>
      <w:r w:rsidRPr="00E9210E">
        <w:rPr>
          <w:rFonts w:eastAsia="Courier New"/>
          <w:i/>
        </w:rPr>
        <w:t xml:space="preserve">ches sur le commerce génois dans la Mer Noire au </w:t>
      </w:r>
      <w:r w:rsidRPr="00E9210E">
        <w:rPr>
          <w:rStyle w:val="Corpsdutexte2ItaliqueEspacement1pt"/>
          <w:rFonts w:eastAsia="Courier New"/>
          <w:sz w:val="28"/>
        </w:rPr>
        <w:t>XIII</w:t>
      </w:r>
      <w:r w:rsidRPr="00E9210E">
        <w:rPr>
          <w:rStyle w:val="Corpsdutexte2ItaliqueEspacement1pt"/>
          <w:rFonts w:eastAsia="Courier New"/>
          <w:sz w:val="28"/>
          <w:vertAlign w:val="superscript"/>
        </w:rPr>
        <w:t>e</w:t>
      </w:r>
      <w:r w:rsidRPr="00E9210E">
        <w:rPr>
          <w:rFonts w:eastAsia="Courier New"/>
          <w:i/>
        </w:rPr>
        <w:t xml:space="preserve"> siècle</w:t>
      </w:r>
      <w:r w:rsidRPr="00E9210E">
        <w:t>, Paris, 1929), « A.H.E.S. », t. II (1930), pp. 463-464.</w:t>
      </w:r>
    </w:p>
    <w:p w14:paraId="01053909"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Économie allemande. (Comptes rendus : E. </w:t>
      </w:r>
      <w:r w:rsidRPr="00E9210E">
        <w:rPr>
          <w:rStyle w:val="Corpsdutexte37ptGrasNonItalique"/>
          <w:rFonts w:eastAsia="Courier New"/>
          <w:b w:val="0"/>
          <w:i w:val="0"/>
          <w:iCs w:val="0"/>
          <w:smallCaps/>
          <w:sz w:val="28"/>
        </w:rPr>
        <w:t>Blum</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deutschen Kreditmàrkte nach der Stabilisierung</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Berlin, 1929. — W. </w:t>
      </w:r>
      <w:r w:rsidRPr="00E9210E">
        <w:rPr>
          <w:rStyle w:val="Corpsdutexte37ptGrasNonItalique"/>
          <w:rFonts w:eastAsia="Courier New"/>
          <w:b w:val="0"/>
          <w:i w:val="0"/>
          <w:iCs w:val="0"/>
          <w:smallCaps/>
          <w:sz w:val="28"/>
        </w:rPr>
        <w:t>Neumann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Kommunalkreditgeschäft der deutschen Girozentralen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Grei</w:t>
      </w:r>
      <w:r w:rsidRPr="00E9210E">
        <w:rPr>
          <w:rStyle w:val="Corpsdutexte385ptNonItalique"/>
          <w:rFonts w:eastAsia="Courier New"/>
          <w:i w:val="0"/>
          <w:iCs w:val="0"/>
          <w:sz w:val="28"/>
        </w:rPr>
        <w:t>s</w:t>
      </w:r>
      <w:r w:rsidRPr="00E9210E">
        <w:rPr>
          <w:rStyle w:val="Corpsdutexte385ptNonItalique"/>
          <w:rFonts w:eastAsia="Courier New"/>
          <w:i w:val="0"/>
          <w:iCs w:val="0"/>
          <w:sz w:val="28"/>
        </w:rPr>
        <w:t xml:space="preserve">wald, 1929. — K. </w:t>
      </w:r>
      <w:r w:rsidRPr="00E9210E">
        <w:rPr>
          <w:rStyle w:val="Corpsdutexte37ptGrasNonItalique"/>
          <w:rFonts w:eastAsia="Courier New"/>
          <w:b w:val="0"/>
          <w:i w:val="0"/>
          <w:iCs w:val="0"/>
          <w:smallCaps/>
          <w:sz w:val="28"/>
        </w:rPr>
        <w:t>Linder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Realkreditve</w:t>
      </w:r>
      <w:r w:rsidRPr="00E9210E">
        <w:rPr>
          <w:i/>
        </w:rPr>
        <w:t>r</w:t>
      </w:r>
      <w:r w:rsidRPr="00E9210E">
        <w:rPr>
          <w:i/>
        </w:rPr>
        <w:t>sorgung der mittleren und kleinen Industrie nach der Wâhrungse</w:t>
      </w:r>
      <w:r w:rsidRPr="00E9210E">
        <w:rPr>
          <w:i/>
        </w:rPr>
        <w:t>r</w:t>
      </w:r>
      <w:r w:rsidRPr="00E9210E">
        <w:rPr>
          <w:i/>
        </w:rPr>
        <w:t>neuerung</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Iena, 1929 — </w:t>
      </w:r>
      <w:r w:rsidRPr="00E9210E">
        <w:rPr>
          <w:rStyle w:val="Corpsdutexte37ptGrasNonItalique"/>
          <w:rFonts w:eastAsia="Courier New"/>
          <w:b w:val="0"/>
          <w:i w:val="0"/>
          <w:iCs w:val="0"/>
          <w:sz w:val="28"/>
        </w:rPr>
        <w:t xml:space="preserve">R. </w:t>
      </w:r>
      <w:r w:rsidRPr="00E9210E">
        <w:rPr>
          <w:rStyle w:val="Corpsdutexte37ptGrasNonItalique"/>
          <w:rFonts w:eastAsia="Courier New"/>
          <w:b w:val="0"/>
          <w:i w:val="0"/>
          <w:iCs w:val="0"/>
          <w:smallCaps/>
          <w:sz w:val="28"/>
        </w:rPr>
        <w:t>Oehler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Finanzen und Rentabilität der deutschen Reichspost (1900-1927)</w:t>
      </w:r>
      <w:r w:rsidRPr="00E9210E">
        <w:t xml:space="preserve">, </w:t>
      </w:r>
      <w:r w:rsidRPr="00E9210E">
        <w:rPr>
          <w:rStyle w:val="Corpsdutexte385ptNonItalique"/>
          <w:rFonts w:eastAsia="Courier New"/>
          <w:i w:val="0"/>
          <w:iCs w:val="0"/>
          <w:sz w:val="28"/>
        </w:rPr>
        <w:t xml:space="preserve">Leipzig, 1929. — H. </w:t>
      </w:r>
      <w:r w:rsidRPr="00E9210E">
        <w:rPr>
          <w:rStyle w:val="Corpsdutexte37ptGrasNonItalique"/>
          <w:rFonts w:eastAsia="Courier New"/>
          <w:b w:val="0"/>
          <w:i w:val="0"/>
          <w:iCs w:val="0"/>
          <w:smallCaps/>
          <w:sz w:val="28"/>
        </w:rPr>
        <w:t>Mayer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deutschen Getreid</w:t>
      </w:r>
      <w:r w:rsidRPr="00E9210E">
        <w:rPr>
          <w:i/>
        </w:rPr>
        <w:t>e</w:t>
      </w:r>
      <w:r w:rsidRPr="00E9210E">
        <w:rPr>
          <w:i/>
        </w:rPr>
        <w:t>kreditbanken soweit sie der Zentrale der deutschen Getreidekredi</w:t>
      </w:r>
      <w:r w:rsidRPr="00E9210E">
        <w:rPr>
          <w:i/>
        </w:rPr>
        <w:t>t</w:t>
      </w:r>
      <w:r w:rsidRPr="00E9210E">
        <w:rPr>
          <w:i/>
        </w:rPr>
        <w:t>banken angeschlossen sind, Ihre Entwicklung und Bedeutung</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Lei</w:t>
      </w:r>
      <w:r w:rsidRPr="00E9210E">
        <w:rPr>
          <w:rStyle w:val="Corpsdutexte385ptNonItalique"/>
          <w:rFonts w:eastAsia="Courier New"/>
          <w:i w:val="0"/>
          <w:iCs w:val="0"/>
          <w:sz w:val="28"/>
        </w:rPr>
        <w:t>p</w:t>
      </w:r>
      <w:r w:rsidRPr="00E9210E">
        <w:rPr>
          <w:rStyle w:val="Corpsdutexte385ptNonItalique"/>
          <w:rFonts w:eastAsia="Courier New"/>
          <w:i w:val="0"/>
          <w:iCs w:val="0"/>
          <w:sz w:val="28"/>
        </w:rPr>
        <w:t xml:space="preserve">zig, 1929. — Fr. </w:t>
      </w:r>
      <w:r w:rsidRPr="00E9210E">
        <w:rPr>
          <w:rStyle w:val="Corpsdutexte37ptGrasNonItalique"/>
          <w:rFonts w:eastAsia="Courier New"/>
          <w:b w:val="0"/>
          <w:i w:val="0"/>
          <w:iCs w:val="0"/>
          <w:smallCaps/>
          <w:sz w:val="28"/>
        </w:rPr>
        <w:t>Federau</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Gegenwartsfragen im deutschen landwir</w:t>
      </w:r>
      <w:r w:rsidRPr="00E9210E">
        <w:rPr>
          <w:i/>
        </w:rPr>
        <w:t>t</w:t>
      </w:r>
      <w:r w:rsidRPr="00E9210E">
        <w:rPr>
          <w:i/>
        </w:rPr>
        <w:t>schaftlichen Kreditwesen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Potsdam, 1929. — H. </w:t>
      </w:r>
      <w:r w:rsidRPr="00E9210E">
        <w:rPr>
          <w:rStyle w:val="Corpsdutexte37ptGrasNonItalique"/>
          <w:rFonts w:eastAsia="Courier New"/>
          <w:b w:val="0"/>
          <w:i w:val="0"/>
          <w:iCs w:val="0"/>
          <w:smallCaps/>
          <w:sz w:val="28"/>
        </w:rPr>
        <w:t>Brenning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Entwi</w:t>
      </w:r>
      <w:r w:rsidRPr="00E9210E">
        <w:rPr>
          <w:i/>
        </w:rPr>
        <w:t>c</w:t>
      </w:r>
      <w:r w:rsidRPr="00E9210E">
        <w:rPr>
          <w:i/>
        </w:rPr>
        <w:t>klung und Aufbau der Bezirksorganis</w:t>
      </w:r>
      <w:r w:rsidRPr="00E9210E">
        <w:rPr>
          <w:i/>
        </w:rPr>
        <w:t>a</w:t>
      </w:r>
      <w:r w:rsidRPr="00E9210E">
        <w:rPr>
          <w:i/>
        </w:rPr>
        <w:t>tionen im deutschen ländlichen Genossenschaftswesen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Bückeburg, 1928. — F. </w:t>
      </w:r>
      <w:r w:rsidRPr="00E9210E">
        <w:rPr>
          <w:rStyle w:val="Corpsdutexte37ptGrasNonItalique"/>
          <w:rFonts w:eastAsia="Courier New"/>
          <w:b w:val="0"/>
          <w:i w:val="0"/>
          <w:iCs w:val="0"/>
          <w:smallCaps/>
          <w:sz w:val="28"/>
        </w:rPr>
        <w:t>Falk</w:t>
      </w:r>
      <w:r w:rsidRPr="00E9210E">
        <w:rPr>
          <w:rStyle w:val="Corpsdutexte37ptGrasNonItalique"/>
          <w:rFonts w:eastAsia="Courier New"/>
          <w:b w:val="0"/>
          <w:i w:val="0"/>
          <w:iCs w:val="0"/>
          <w:sz w:val="28"/>
        </w:rPr>
        <w:t xml:space="preserve">, </w:t>
      </w:r>
      <w:r w:rsidRPr="00E9210E">
        <w:rPr>
          <w:i/>
        </w:rPr>
        <w:t>Der deutsche Holzmarkt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Berlin, 1929. — Ch. </w:t>
      </w:r>
      <w:r w:rsidRPr="00E9210E">
        <w:rPr>
          <w:rStyle w:val="Corpsdutexte37ptGrasNonItalique"/>
          <w:rFonts w:eastAsia="Courier New"/>
          <w:b w:val="0"/>
          <w:i w:val="0"/>
          <w:iCs w:val="0"/>
          <w:smallCaps/>
          <w:sz w:val="28"/>
        </w:rPr>
        <w:t>Roy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formule allemande de pr</w:t>
      </w:r>
      <w:r w:rsidRPr="00E9210E">
        <w:rPr>
          <w:i/>
        </w:rPr>
        <w:t>o</w:t>
      </w:r>
      <w:r w:rsidRPr="00E9210E">
        <w:rPr>
          <w:i/>
        </w:rPr>
        <w:t>duction rationnelle</w:t>
      </w:r>
      <w:r w:rsidRPr="00E9210E">
        <w:t xml:space="preserve"> </w:t>
      </w:r>
      <w:r w:rsidRPr="00E9210E">
        <w:rPr>
          <w:i/>
        </w:rPr>
        <w:t>dans l’industrie : Rationalisation contre Marxi</w:t>
      </w:r>
      <w:r w:rsidRPr="00E9210E">
        <w:rPr>
          <w:i/>
        </w:rPr>
        <w:t>s</w:t>
      </w:r>
      <w:r w:rsidRPr="00E9210E">
        <w:rPr>
          <w:i/>
        </w:rPr>
        <w:t>me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1929. — K. </w:t>
      </w:r>
      <w:r w:rsidRPr="00E9210E">
        <w:rPr>
          <w:rStyle w:val="Corpsdutexte37ptGrasNonItalique"/>
          <w:rFonts w:eastAsia="Courier New"/>
          <w:b w:val="0"/>
          <w:i w:val="0"/>
          <w:iCs w:val="0"/>
          <w:smallCaps/>
          <w:sz w:val="28"/>
        </w:rPr>
        <w:t>Albach</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Oberschlesiens heutige Gestalt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Si</w:t>
      </w:r>
      <w:r w:rsidRPr="00E9210E">
        <w:rPr>
          <w:rStyle w:val="Corpsdutexte385ptNonItalique"/>
          <w:rFonts w:eastAsia="Courier New"/>
          <w:i w:val="0"/>
          <w:iCs w:val="0"/>
          <w:sz w:val="28"/>
        </w:rPr>
        <w:t>e</w:t>
      </w:r>
      <w:r w:rsidRPr="00E9210E">
        <w:rPr>
          <w:rStyle w:val="Corpsdutexte385ptNonItalique"/>
          <w:rFonts w:eastAsia="Courier New"/>
          <w:i w:val="0"/>
          <w:iCs w:val="0"/>
          <w:sz w:val="28"/>
        </w:rPr>
        <w:t xml:space="preserve">gen, 1929. — W. </w:t>
      </w:r>
      <w:r w:rsidRPr="00E9210E">
        <w:rPr>
          <w:rStyle w:val="Corpsdutexte37ptGrasNonItalique"/>
          <w:rFonts w:eastAsia="Courier New"/>
          <w:b w:val="0"/>
          <w:i w:val="0"/>
          <w:iCs w:val="0"/>
          <w:smallCaps/>
          <w:sz w:val="28"/>
        </w:rPr>
        <w:t>Mommsen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t xml:space="preserve">Johannes Miquel. </w:t>
      </w:r>
      <w:r w:rsidRPr="00E9210E">
        <w:rPr>
          <w:rStyle w:val="Corpsdutexte385ptNonItalique"/>
          <w:rFonts w:eastAsia="Courier New"/>
          <w:i w:val="0"/>
          <w:iCs w:val="0"/>
          <w:sz w:val="28"/>
        </w:rPr>
        <w:t xml:space="preserve">1. Bd., </w:t>
      </w:r>
      <w:r w:rsidRPr="00E9210E">
        <w:t>1828-1866</w:t>
      </w:r>
      <w:r w:rsidRPr="00E9210E">
        <w:rPr>
          <w:rStyle w:val="Corpsdutexte385ptNonItalique"/>
          <w:rFonts w:eastAsia="Courier New"/>
          <w:i w:val="0"/>
          <w:iCs w:val="0"/>
          <w:sz w:val="28"/>
        </w:rPr>
        <w:t>, Stuttgart, 1928), « A.H.E.S. », t. II (1930), pp. 466-470.</w:t>
      </w:r>
    </w:p>
    <w:p w14:paraId="4069C006" w14:textId="77777777" w:rsidR="00B9662D" w:rsidRPr="00E9210E" w:rsidRDefault="00B9662D" w:rsidP="00B9662D">
      <w:pPr>
        <w:spacing w:before="120" w:after="120"/>
        <w:jc w:val="both"/>
      </w:pPr>
      <w:r w:rsidRPr="00E9210E">
        <w:t xml:space="preserve">Littérature et société. (Compte rendu : W. </w:t>
      </w:r>
      <w:r w:rsidRPr="00E9210E">
        <w:rPr>
          <w:rStyle w:val="Corpsdutexte27ptGras"/>
          <w:rFonts w:eastAsia="Courier New"/>
          <w:b w:val="0"/>
          <w:smallCaps/>
          <w:sz w:val="28"/>
        </w:rPr>
        <w:t>Krauss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Das tätigen Leben und die Literatur im mittelalterlichen Spanien</w:t>
      </w:r>
      <w:r w:rsidRPr="00E9210E">
        <w:rPr>
          <w:rFonts w:eastAsia="Courier New"/>
        </w:rPr>
        <w:t>,</w:t>
      </w:r>
      <w:r w:rsidRPr="00E9210E">
        <w:rPr>
          <w:rStyle w:val="Corpsdutexte28ptGraschelle120"/>
          <w:rFonts w:eastAsia="Courier New"/>
          <w:sz w:val="28"/>
        </w:rPr>
        <w:t xml:space="preserve"> </w:t>
      </w:r>
      <w:r w:rsidRPr="00E9210E">
        <w:t>Stuttgart, 1929), « A.H.E.S. », t. II (1930), p. 470.</w:t>
      </w:r>
    </w:p>
    <w:p w14:paraId="33F87109" w14:textId="77777777" w:rsidR="00B9662D" w:rsidRPr="00E9210E" w:rsidRDefault="00B9662D" w:rsidP="00B9662D">
      <w:pPr>
        <w:spacing w:before="120" w:after="120"/>
        <w:jc w:val="both"/>
      </w:pPr>
      <w:r w:rsidRPr="00E9210E">
        <w:t xml:space="preserve">L’Espagne et l’Islam. (Compte rendu : Cl. </w:t>
      </w:r>
      <w:r w:rsidRPr="00E9210E">
        <w:rPr>
          <w:rStyle w:val="Corpsdutexte27ptGras"/>
          <w:rFonts w:eastAsia="Courier New"/>
          <w:b w:val="0"/>
          <w:smallCaps/>
          <w:sz w:val="28"/>
        </w:rPr>
        <w:t>Sanchez-Albornoz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Espaha y el Islam</w:t>
      </w:r>
      <w:r w:rsidRPr="00E9210E">
        <w:rPr>
          <w:rStyle w:val="Corpsdutexte28ptGraschelle120"/>
          <w:rFonts w:eastAsia="Courier New"/>
          <w:i/>
          <w:sz w:val="28"/>
        </w:rPr>
        <w:t xml:space="preserve">, </w:t>
      </w:r>
      <w:r w:rsidRPr="00E9210E">
        <w:rPr>
          <w:i/>
        </w:rPr>
        <w:t xml:space="preserve">dans </w:t>
      </w:r>
      <w:r w:rsidRPr="00E9210E">
        <w:rPr>
          <w:rFonts w:eastAsia="Courier New"/>
          <w:i/>
        </w:rPr>
        <w:t>Revista di Occidente</w:t>
      </w:r>
      <w:r w:rsidRPr="00E9210E">
        <w:rPr>
          <w:rFonts w:eastAsia="Courier New"/>
        </w:rPr>
        <w:t>,</w:t>
      </w:r>
      <w:r w:rsidRPr="00E9210E">
        <w:rPr>
          <w:rStyle w:val="Corpsdutexte28ptGraschelle120"/>
          <w:rFonts w:eastAsia="Courier New"/>
          <w:sz w:val="28"/>
        </w:rPr>
        <w:t xml:space="preserve"> </w:t>
      </w:r>
      <w:r w:rsidRPr="00E9210E">
        <w:t>avril 1929, pp. 1-30), « A.H.E.S. », t. II (1930), p. 471.</w:t>
      </w:r>
    </w:p>
    <w:p w14:paraId="5D1536D1" w14:textId="77777777" w:rsidR="00B9662D" w:rsidRPr="00E9210E" w:rsidRDefault="00B9662D" w:rsidP="00B9662D">
      <w:pPr>
        <w:spacing w:before="120" w:after="120"/>
        <w:jc w:val="both"/>
      </w:pPr>
      <w:r w:rsidRPr="00E9210E">
        <w:t xml:space="preserve">Une coutume aragonaise. (Compte rendu : </w:t>
      </w:r>
      <w:r w:rsidRPr="00E9210E">
        <w:rPr>
          <w:smallCaps/>
        </w:rPr>
        <w:t xml:space="preserve">J. M. </w:t>
      </w:r>
      <w:r w:rsidRPr="00E9210E">
        <w:rPr>
          <w:rStyle w:val="Corpsdutexte27ptGras"/>
          <w:rFonts w:eastAsia="Courier New"/>
          <w:b w:val="0"/>
          <w:smallCaps/>
          <w:sz w:val="28"/>
        </w:rPr>
        <w:t>Ramos y Losce</w:t>
      </w:r>
      <w:r w:rsidRPr="00E9210E">
        <w:rPr>
          <w:rStyle w:val="Corpsdutexte27ptGras"/>
          <w:rFonts w:eastAsia="Courier New"/>
          <w:b w:val="0"/>
          <w:smallCaps/>
          <w:sz w:val="28"/>
        </w:rPr>
        <w:t>r</w:t>
      </w:r>
      <w:r w:rsidRPr="00E9210E">
        <w:rPr>
          <w:rStyle w:val="Corpsdutexte27ptGras"/>
          <w:rFonts w:eastAsia="Courier New"/>
          <w:b w:val="0"/>
          <w:smallCaps/>
          <w:sz w:val="28"/>
        </w:rPr>
        <w:t>tales</w:t>
      </w:r>
      <w:r w:rsidRPr="00E9210E">
        <w:rPr>
          <w:rStyle w:val="Corpsdutexte27ptGras"/>
          <w:rFonts w:eastAsia="Courier New"/>
          <w:b w:val="0"/>
          <w:sz w:val="28"/>
        </w:rPr>
        <w:t xml:space="preserve">, </w:t>
      </w:r>
      <w:r w:rsidRPr="00E9210E">
        <w:rPr>
          <w:rFonts w:eastAsia="Courier New"/>
          <w:i/>
        </w:rPr>
        <w:t>Fuero de Jaca</w:t>
      </w:r>
      <w:r w:rsidRPr="00E9210E">
        <w:rPr>
          <w:rFonts w:eastAsia="Courier New"/>
        </w:rPr>
        <w:t>,</w:t>
      </w:r>
      <w:r w:rsidRPr="00E9210E">
        <w:rPr>
          <w:rFonts w:eastAsia="Courier New"/>
          <w:vertAlign w:val="subscript"/>
        </w:rPr>
        <w:t xml:space="preserve"> </w:t>
      </w:r>
      <w:r w:rsidRPr="00E9210E">
        <w:t>Barcelone, 1927), « A.H.E.S. », t. II (1930), p. 471.</w:t>
      </w:r>
    </w:p>
    <w:p w14:paraId="11E4D3E2" w14:textId="77777777" w:rsidR="00B9662D" w:rsidRPr="00E9210E" w:rsidRDefault="00B9662D" w:rsidP="00B9662D">
      <w:pPr>
        <w:spacing w:before="120" w:after="120"/>
        <w:jc w:val="both"/>
      </w:pPr>
      <w:r w:rsidRPr="00E9210E">
        <w:t xml:space="preserve">Un enseignement : M. Camille Jullian au Collège de France. (Compte rendu : C. </w:t>
      </w:r>
      <w:r w:rsidRPr="00E9210E">
        <w:rPr>
          <w:rStyle w:val="Corpsdutexte27ptGras"/>
          <w:rFonts w:eastAsia="Courier New"/>
          <w:b w:val="0"/>
          <w:smallCaps/>
          <w:sz w:val="28"/>
        </w:rPr>
        <w:t>Jullian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Au seuil de notre histoire</w:t>
      </w:r>
      <w:r w:rsidRPr="00E9210E">
        <w:t>, t. I. Paris, s.d. [1930]), « A.H.E.S. », t. II (1930), p. 562.</w:t>
      </w:r>
    </w:p>
    <w:p w14:paraId="12A1446B" w14:textId="77777777" w:rsidR="00B9662D" w:rsidRPr="00E9210E" w:rsidRDefault="00B9662D" w:rsidP="00B9662D">
      <w:pPr>
        <w:spacing w:before="120" w:after="120"/>
        <w:jc w:val="both"/>
      </w:pPr>
      <w:r w:rsidRPr="00E9210E">
        <w:t>Les origines ethniques d’une classe. (Compte rendu : L. </w:t>
      </w:r>
      <w:r w:rsidRPr="00E9210E">
        <w:rPr>
          <w:rStyle w:val="Corpsdutexte27ptGras"/>
          <w:rFonts w:eastAsia="Courier New"/>
          <w:b w:val="0"/>
          <w:smallCaps/>
          <w:sz w:val="28"/>
        </w:rPr>
        <w:t>Hauptmann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Herkunft der Kàrnter Edlinge</w:t>
      </w:r>
      <w:r w:rsidRPr="00E9210E">
        <w:rPr>
          <w:i/>
        </w:rPr>
        <w:t xml:space="preserve">, dans </w:t>
      </w:r>
      <w:r w:rsidRPr="00E9210E">
        <w:rPr>
          <w:rFonts w:eastAsia="Courier New"/>
          <w:i/>
        </w:rPr>
        <w:t>Vierteljah</w:t>
      </w:r>
      <w:r w:rsidRPr="00E9210E">
        <w:rPr>
          <w:rFonts w:eastAsia="Courier New"/>
          <w:i/>
        </w:rPr>
        <w:t>r</w:t>
      </w:r>
      <w:r w:rsidRPr="00E9210E">
        <w:rPr>
          <w:rFonts w:eastAsia="Courier New"/>
          <w:i/>
        </w:rPr>
        <w:t>schrift für Sozialund Wirtschaftsgeschichte</w:t>
      </w:r>
      <w:r w:rsidRPr="00E9210E">
        <w:rPr>
          <w:rFonts w:eastAsia="Courier New"/>
        </w:rPr>
        <w:t xml:space="preserve">, </w:t>
      </w:r>
      <w:r w:rsidRPr="00E9210E">
        <w:t>t. XXI (1928), pp. 245-279), « A.H.E.S. », t. II (1930), p. 596.</w:t>
      </w:r>
    </w:p>
    <w:p w14:paraId="4FCA8301" w14:textId="77777777" w:rsidR="00B9662D" w:rsidRPr="00E9210E" w:rsidRDefault="00B9662D" w:rsidP="00B9662D">
      <w:pPr>
        <w:spacing w:before="120" w:after="120"/>
        <w:jc w:val="both"/>
      </w:pPr>
      <w:r w:rsidRPr="00E9210E">
        <w:t xml:space="preserve">Crédit et crise de classe. (Compte rendu : H. </w:t>
      </w:r>
      <w:r w:rsidRPr="00E9210E">
        <w:rPr>
          <w:smallCaps/>
        </w:rPr>
        <w:t xml:space="preserve">van </w:t>
      </w:r>
      <w:r w:rsidRPr="00E9210E">
        <w:rPr>
          <w:rStyle w:val="Corpsdutexte27ptGras"/>
          <w:rFonts w:eastAsia="Courier New"/>
          <w:b w:val="0"/>
          <w:smallCaps/>
          <w:sz w:val="28"/>
        </w:rPr>
        <w:t>Werweke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mort-gage et son rôle économique en Flandre et en Lotharingie</w:t>
      </w:r>
      <w:r w:rsidRPr="00E9210E">
        <w:t xml:space="preserve">, dans </w:t>
      </w:r>
      <w:r w:rsidRPr="00E9210E">
        <w:rPr>
          <w:rFonts w:eastAsia="Courier New"/>
          <w:i/>
        </w:rPr>
        <w:t>R</w:t>
      </w:r>
      <w:r w:rsidRPr="00E9210E">
        <w:rPr>
          <w:rFonts w:eastAsia="Courier New"/>
          <w:i/>
        </w:rPr>
        <w:t>e</w:t>
      </w:r>
      <w:r w:rsidRPr="00E9210E">
        <w:rPr>
          <w:rFonts w:eastAsia="Courier New"/>
          <w:i/>
        </w:rPr>
        <w:t>vue belge de philologie et d’histoire</w:t>
      </w:r>
      <w:r w:rsidRPr="00E9210E">
        <w:t>, t. VIII (1929), pp. 53-91), « A.H.E.S. », t. II (1930), pp. 596-598.</w:t>
      </w:r>
    </w:p>
    <w:p w14:paraId="271097CE" w14:textId="77777777" w:rsidR="00B9662D" w:rsidRPr="00E9210E" w:rsidRDefault="00B9662D" w:rsidP="00B9662D">
      <w:pPr>
        <w:spacing w:before="120" w:after="120"/>
        <w:jc w:val="both"/>
      </w:pPr>
      <w:r w:rsidRPr="00E9210E">
        <w:t xml:space="preserve">Fortune nobiliaire et service étranger. (Compte rendu : G. G. </w:t>
      </w:r>
      <w:r w:rsidRPr="00E9210E">
        <w:rPr>
          <w:rStyle w:val="Corpsdutexte27ptGras"/>
          <w:rFonts w:eastAsia="Courier New"/>
          <w:b w:val="0"/>
          <w:smallCaps/>
          <w:sz w:val="28"/>
        </w:rPr>
        <w:t>Dept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influences anglaise et française dans le comté de Flandres au d</w:t>
      </w:r>
      <w:r w:rsidRPr="00E9210E">
        <w:rPr>
          <w:rFonts w:eastAsia="Courier New"/>
          <w:i/>
        </w:rPr>
        <w:t>é</w:t>
      </w:r>
      <w:r w:rsidRPr="00E9210E">
        <w:rPr>
          <w:rFonts w:eastAsia="Courier New"/>
          <w:i/>
        </w:rPr>
        <w:t xml:space="preserve">but du </w:t>
      </w:r>
      <w:r w:rsidRPr="00E9210E">
        <w:rPr>
          <w:rStyle w:val="Corpsdutexte2ItaliqueEspacement1pt"/>
          <w:rFonts w:eastAsia="Courier New"/>
          <w:i w:val="0"/>
          <w:sz w:val="28"/>
        </w:rPr>
        <w:t>XIII</w:t>
      </w:r>
      <w:r w:rsidRPr="00E9210E">
        <w:rPr>
          <w:rStyle w:val="Corpsdutexte2ItaliqueEspacement1pt"/>
          <w:rFonts w:eastAsia="Courier New"/>
          <w:i w:val="0"/>
          <w:sz w:val="28"/>
          <w:vertAlign w:val="superscript"/>
        </w:rPr>
        <w:t>e</w:t>
      </w:r>
      <w:r w:rsidRPr="00E9210E">
        <w:rPr>
          <w:rFonts w:eastAsia="Courier New"/>
          <w:i/>
        </w:rPr>
        <w:t xml:space="preserve"> siècle</w:t>
      </w:r>
      <w:r w:rsidRPr="00E9210E">
        <w:t>, Gand et Paris, 1928), « A.H.E.S. », t. II (1930), p. 598.</w:t>
      </w:r>
    </w:p>
    <w:p w14:paraId="429C7687" w14:textId="77777777" w:rsidR="00B9662D" w:rsidRPr="00E9210E" w:rsidRDefault="00B9662D" w:rsidP="00B9662D">
      <w:pPr>
        <w:spacing w:before="120" w:after="120"/>
        <w:jc w:val="both"/>
      </w:pPr>
      <w:r w:rsidRPr="00E9210E">
        <w:t>Le fonctionnarisme comme institution économique et comme cla</w:t>
      </w:r>
      <w:r w:rsidRPr="00E9210E">
        <w:t>s</w:t>
      </w:r>
      <w:r w:rsidRPr="00E9210E">
        <w:t xml:space="preserve">se sociale. (Compte rendu : H. </w:t>
      </w:r>
      <w:r w:rsidRPr="00E9210E">
        <w:rPr>
          <w:rStyle w:val="Corpsdutexte27ptGras"/>
          <w:rFonts w:eastAsia="Courier New"/>
          <w:b w:val="0"/>
          <w:smallCaps/>
          <w:sz w:val="28"/>
        </w:rPr>
        <w:t>Nowé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Les baillis comtaux de Flandre des origines à la fin du </w:t>
      </w:r>
      <w:r w:rsidRPr="00E9210E">
        <w:rPr>
          <w:rStyle w:val="Corpsdutexte2ItaliqueEspacement1pt"/>
          <w:rFonts w:eastAsia="Courier New"/>
          <w:i w:val="0"/>
          <w:sz w:val="28"/>
        </w:rPr>
        <w:t>XIV</w:t>
      </w:r>
      <w:r w:rsidRPr="00E9210E">
        <w:rPr>
          <w:rStyle w:val="Corpsdutexte2ItaliqueEspacement1pt"/>
          <w:rFonts w:eastAsia="Courier New"/>
          <w:i w:val="0"/>
          <w:sz w:val="28"/>
          <w:vertAlign w:val="superscript"/>
        </w:rPr>
        <w:t>e</w:t>
      </w:r>
      <w:r w:rsidRPr="00E9210E">
        <w:rPr>
          <w:rFonts w:eastAsia="Courier New"/>
          <w:i/>
        </w:rPr>
        <w:t xml:space="preserve"> siècle</w:t>
      </w:r>
      <w:r w:rsidRPr="00E9210E">
        <w:t>, Bruxelles, 1929), « A.H.E.S. », t. II (1930), p. 599.</w:t>
      </w:r>
    </w:p>
    <w:p w14:paraId="077BF7D5" w14:textId="77777777" w:rsidR="00B9662D" w:rsidRPr="00E9210E" w:rsidRDefault="00B9662D" w:rsidP="00B9662D">
      <w:pPr>
        <w:spacing w:before="120" w:after="120"/>
        <w:jc w:val="both"/>
      </w:pPr>
      <w:r w:rsidRPr="00E9210E">
        <w:t xml:space="preserve">Orient et Occident. (Compte rendu : J. </w:t>
      </w:r>
      <w:r w:rsidRPr="00E9210E">
        <w:rPr>
          <w:rStyle w:val="Corpsdutexte27ptGras"/>
          <w:rFonts w:eastAsia="Courier New"/>
          <w:b w:val="0"/>
          <w:smallCaps/>
          <w:sz w:val="28"/>
        </w:rPr>
        <w:t>Ebersolt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Orient et Occ</w:t>
      </w:r>
      <w:r w:rsidRPr="00E9210E">
        <w:rPr>
          <w:rFonts w:eastAsia="Courier New"/>
          <w:i/>
        </w:rPr>
        <w:t>i</w:t>
      </w:r>
      <w:r w:rsidRPr="00E9210E">
        <w:rPr>
          <w:rFonts w:eastAsia="Courier New"/>
          <w:i/>
        </w:rPr>
        <w:t>dent. Recherches sur les influences byzantines en France pendant les cro</w:t>
      </w:r>
      <w:r w:rsidRPr="00E9210E">
        <w:rPr>
          <w:rFonts w:eastAsia="Courier New"/>
          <w:i/>
        </w:rPr>
        <w:t>i</w:t>
      </w:r>
      <w:r w:rsidRPr="00E9210E">
        <w:rPr>
          <w:rFonts w:eastAsia="Courier New"/>
          <w:i/>
        </w:rPr>
        <w:t>sades</w:t>
      </w:r>
      <w:r w:rsidRPr="00E9210E">
        <w:t>, t. II, Bruxelles, 1929), « A.H.E.S. », t. II (1930), p. 607.</w:t>
      </w:r>
    </w:p>
    <w:p w14:paraId="39DF513D" w14:textId="77777777" w:rsidR="00B9662D" w:rsidRPr="00E9210E" w:rsidRDefault="00B9662D" w:rsidP="00B9662D">
      <w:pPr>
        <w:spacing w:before="120" w:after="120"/>
        <w:jc w:val="both"/>
      </w:pPr>
      <w:r w:rsidRPr="00E9210E">
        <w:t>Une industrie : la fabrication des allumettes. (Compte rendu : W. </w:t>
      </w:r>
      <w:r w:rsidRPr="00E9210E">
        <w:rPr>
          <w:rStyle w:val="Corpsdutexte27ptGras"/>
          <w:rFonts w:eastAsia="Courier New"/>
          <w:b w:val="0"/>
          <w:smallCaps/>
          <w:sz w:val="28"/>
        </w:rPr>
        <w:t>Amstutz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schweizerisches Zündholz-Fabrikation</w:t>
      </w:r>
      <w:r w:rsidRPr="00E9210E">
        <w:rPr>
          <w:rFonts w:eastAsia="Courier New"/>
        </w:rPr>
        <w:t>,</w:t>
      </w:r>
      <w:r w:rsidRPr="00E9210E">
        <w:rPr>
          <w:rStyle w:val="Corpsdutexte28ptGraschelle120"/>
          <w:rFonts w:eastAsia="Courier New"/>
          <w:sz w:val="28"/>
        </w:rPr>
        <w:t xml:space="preserve"> </w:t>
      </w:r>
      <w:r w:rsidRPr="00E9210E">
        <w:t>Weinfe</w:t>
      </w:r>
      <w:r w:rsidRPr="00E9210E">
        <w:t>l</w:t>
      </w:r>
      <w:r w:rsidRPr="00E9210E">
        <w:t>den, 1928), « A.H.E.S. », t. II (1930), pp. 621-622.</w:t>
      </w:r>
    </w:p>
    <w:p w14:paraId="473C671A" w14:textId="77777777" w:rsidR="00B9662D" w:rsidRPr="00E9210E" w:rsidRDefault="00B9662D" w:rsidP="00B9662D">
      <w:pPr>
        <w:spacing w:before="120" w:after="120"/>
        <w:jc w:val="both"/>
      </w:pPr>
      <w:r>
        <w:t>[104</w:t>
      </w:r>
      <w:r w:rsidRPr="00E9210E">
        <w:t>7</w:t>
      </w:r>
      <w:r>
        <w:t>]</w:t>
      </w:r>
    </w:p>
    <w:p w14:paraId="734C3765" w14:textId="77777777" w:rsidR="00B9662D" w:rsidRPr="00E9210E" w:rsidRDefault="00B9662D" w:rsidP="00B9662D">
      <w:pPr>
        <w:spacing w:before="120" w:after="120"/>
        <w:jc w:val="both"/>
      </w:pPr>
      <w:r w:rsidRPr="00E9210E">
        <w:t xml:space="preserve">Migrations asiatiques. (Compte rendu : E. </w:t>
      </w:r>
      <w:r w:rsidRPr="00E9210E">
        <w:rPr>
          <w:rStyle w:val="Corpsdutexte27ptGras"/>
          <w:rFonts w:eastAsia="Courier New"/>
          <w:b w:val="0"/>
          <w:smallCaps/>
          <w:sz w:val="28"/>
        </w:rPr>
        <w:t>Dennery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Foules d'Asie (Surpopulation j</w:t>
      </w:r>
      <w:r w:rsidRPr="00E9210E">
        <w:rPr>
          <w:rStyle w:val="Corpsdutexte28ptItalique"/>
          <w:rFonts w:eastAsia="Courier New"/>
          <w:sz w:val="28"/>
        </w:rPr>
        <w:t>a</w:t>
      </w:r>
      <w:r w:rsidRPr="00E9210E">
        <w:rPr>
          <w:rStyle w:val="Corpsdutexte28ptItalique"/>
          <w:rFonts w:eastAsia="Courier New"/>
          <w:sz w:val="28"/>
        </w:rPr>
        <w:t>ponaise, expansion chinoise, émigration indienne</w:t>
      </w:r>
      <w:r w:rsidRPr="00E9210E">
        <w:rPr>
          <w:rStyle w:val="Corpsdutexte2ItaliqueEspacement0pt"/>
          <w:rFonts w:eastAsia="Courier New"/>
          <w:sz w:val="28"/>
        </w:rPr>
        <w:t>),</w:t>
      </w:r>
      <w:r w:rsidRPr="00E9210E">
        <w:t xml:space="preserve"> Paris, 1930), « A.H.E.S. », t. II (1930), pp. 624-626.</w:t>
      </w:r>
    </w:p>
    <w:p w14:paraId="4DF60D8F" w14:textId="77777777" w:rsidR="00B9662D" w:rsidRPr="00E9210E" w:rsidRDefault="00B9662D" w:rsidP="00B9662D">
      <w:pPr>
        <w:spacing w:before="120" w:after="120"/>
        <w:jc w:val="both"/>
      </w:pPr>
      <w:r w:rsidRPr="00E9210E">
        <w:t>Factorie européenne à Canton. (Compte rendu :</w:t>
      </w:r>
      <w:r w:rsidRPr="00E9210E">
        <w:rPr>
          <w:rStyle w:val="Corpsdutexte28ptGraschelle120"/>
          <w:rFonts w:eastAsia="Courier New"/>
          <w:sz w:val="28"/>
        </w:rPr>
        <w:t xml:space="preserve"> </w:t>
      </w:r>
      <w:r w:rsidRPr="00E9210E">
        <w:rPr>
          <w:rStyle w:val="Corpsdutexte28ptItalique"/>
          <w:rFonts w:eastAsia="Courier New"/>
          <w:sz w:val="28"/>
        </w:rPr>
        <w:t>China and the F</w:t>
      </w:r>
      <w:r w:rsidRPr="00E9210E">
        <w:rPr>
          <w:rStyle w:val="Corpsdutexte28ptItalique"/>
          <w:rFonts w:eastAsia="Courier New"/>
          <w:sz w:val="28"/>
        </w:rPr>
        <w:t>o</w:t>
      </w:r>
      <w:r w:rsidRPr="00E9210E">
        <w:rPr>
          <w:rStyle w:val="Corpsdutexte28ptItalique"/>
          <w:rFonts w:eastAsia="Courier New"/>
          <w:sz w:val="28"/>
        </w:rPr>
        <w:t>reign-Devils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ofthe Business historical Society</w:t>
      </w:r>
      <w:r w:rsidRPr="00E9210E">
        <w:rPr>
          <w:rStyle w:val="Corpsdutexte28ptGraschelle120"/>
          <w:rFonts w:eastAsia="Courier New"/>
          <w:sz w:val="28"/>
        </w:rPr>
        <w:t xml:space="preserve">, </w:t>
      </w:r>
      <w:r w:rsidRPr="00E9210E">
        <w:t>t. III, n° 6 (nov. 1929), p. 9-19), « A.H.E.S. », t. II (1930), p. 626.</w:t>
      </w:r>
    </w:p>
    <w:p w14:paraId="73730821" w14:textId="77777777" w:rsidR="00B9662D" w:rsidRPr="00E9210E" w:rsidRDefault="00B9662D" w:rsidP="00B9662D">
      <w:pPr>
        <w:spacing w:before="120" w:after="120"/>
        <w:jc w:val="both"/>
      </w:pPr>
      <w:r w:rsidRPr="00E9210E">
        <w:t xml:space="preserve">Jean Jaurès. (Compte rendu : P. </w:t>
      </w:r>
      <w:r w:rsidRPr="00E9210E">
        <w:rPr>
          <w:rStyle w:val="Corpsdutexte27ptGras"/>
          <w:rFonts w:eastAsia="Courier New"/>
          <w:b w:val="0"/>
          <w:smallCaps/>
          <w:sz w:val="28"/>
        </w:rPr>
        <w:t>Desauges</w:t>
      </w:r>
      <w:r w:rsidRPr="00E9210E">
        <w:rPr>
          <w:rStyle w:val="Corpsdutexte27ptGras"/>
          <w:rFonts w:eastAsia="Courier New"/>
          <w:sz w:val="28"/>
        </w:rPr>
        <w:t xml:space="preserve"> </w:t>
      </w:r>
      <w:r w:rsidRPr="00E9210E">
        <w:t xml:space="preserve">et L. </w:t>
      </w:r>
      <w:r w:rsidRPr="00E9210E">
        <w:rPr>
          <w:rStyle w:val="Corpsdutexte27ptGras"/>
          <w:rFonts w:eastAsia="Courier New"/>
          <w:b w:val="0"/>
          <w:smallCaps/>
          <w:sz w:val="28"/>
        </w:rPr>
        <w:t>Meriga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p</w:t>
      </w:r>
      <w:r w:rsidRPr="00E9210E">
        <w:rPr>
          <w:rStyle w:val="Corpsdutexte28ptItalique"/>
          <w:rFonts w:eastAsia="Courier New"/>
          <w:sz w:val="28"/>
        </w:rPr>
        <w:t>a</w:t>
      </w:r>
      <w:r w:rsidRPr="00E9210E">
        <w:rPr>
          <w:rStyle w:val="Corpsdutexte28ptItalique"/>
          <w:rFonts w:eastAsia="Courier New"/>
          <w:sz w:val="28"/>
        </w:rPr>
        <w:t>ges choisies de Jean Ja</w:t>
      </w:r>
      <w:r w:rsidRPr="00E9210E">
        <w:rPr>
          <w:rStyle w:val="Corpsdutexte28ptItalique"/>
          <w:rFonts w:eastAsia="Courier New"/>
          <w:sz w:val="28"/>
        </w:rPr>
        <w:t>u</w:t>
      </w:r>
      <w:r w:rsidRPr="00E9210E">
        <w:rPr>
          <w:rStyle w:val="Corpsdutexte28ptItalique"/>
          <w:rFonts w:eastAsia="Courier New"/>
          <w:sz w:val="28"/>
        </w:rPr>
        <w:t>rès</w:t>
      </w:r>
      <w:r w:rsidRPr="00E9210E">
        <w:t>, Paris, s.d.), « A.H.E.S. », t. II (1930), pp. 629-630.</w:t>
      </w:r>
    </w:p>
    <w:p w14:paraId="1F0BCA62" w14:textId="77777777" w:rsidR="00B9662D" w:rsidRPr="00E9210E" w:rsidRDefault="00B9662D" w:rsidP="00B9662D">
      <w:pPr>
        <w:spacing w:before="120" w:after="120"/>
        <w:jc w:val="both"/>
      </w:pPr>
      <w:r w:rsidRPr="00E9210E">
        <w:rPr>
          <w:i/>
        </w:rPr>
        <w:t>Bulletin historique. Histoire d’Allemagne</w:t>
      </w:r>
      <w:r w:rsidRPr="00E9210E">
        <w:t xml:space="preserve">. </w:t>
      </w:r>
      <w:r w:rsidRPr="00E9210E">
        <w:rPr>
          <w:i/>
        </w:rPr>
        <w:t>Moyen Âge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Revue histor</w:t>
      </w:r>
      <w:r w:rsidRPr="00E9210E">
        <w:rPr>
          <w:rStyle w:val="Corpsdutexte385ptNonItalique"/>
          <w:rFonts w:eastAsia="Courier New"/>
          <w:i w:val="0"/>
          <w:iCs w:val="0"/>
          <w:sz w:val="28"/>
        </w:rPr>
        <w:t>i</w:t>
      </w:r>
      <w:r w:rsidRPr="00E9210E">
        <w:rPr>
          <w:rStyle w:val="Corpsdutexte385ptNonItalique"/>
          <w:rFonts w:eastAsia="Courier New"/>
          <w:i w:val="0"/>
          <w:iCs w:val="0"/>
          <w:sz w:val="28"/>
        </w:rPr>
        <w:t>que », t. 163 (1930), pp. 331-373.</w:t>
      </w:r>
    </w:p>
    <w:p w14:paraId="225FD6C3" w14:textId="77777777" w:rsidR="00B9662D" w:rsidRPr="00E9210E" w:rsidRDefault="00B9662D" w:rsidP="00B9662D">
      <w:pPr>
        <w:spacing w:before="120" w:after="120"/>
        <w:jc w:val="both"/>
      </w:pPr>
      <w:r w:rsidRPr="00E9210E">
        <w:rPr>
          <w:i/>
        </w:rPr>
        <w:t>Bulletin historique. Histoire d’Allemagne. Moyen Âge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Revue histor</w:t>
      </w:r>
      <w:r w:rsidRPr="00E9210E">
        <w:rPr>
          <w:rStyle w:val="Corpsdutexte385ptNonItalique"/>
          <w:rFonts w:eastAsia="Courier New"/>
          <w:i w:val="0"/>
          <w:iCs w:val="0"/>
          <w:sz w:val="28"/>
        </w:rPr>
        <w:t>i</w:t>
      </w:r>
      <w:r w:rsidRPr="00E9210E">
        <w:rPr>
          <w:rStyle w:val="Corpsdutexte385ptNonItalique"/>
          <w:rFonts w:eastAsia="Courier New"/>
          <w:i w:val="0"/>
          <w:iCs w:val="0"/>
          <w:sz w:val="28"/>
        </w:rPr>
        <w:t>que », t. 164 (1930), pp. 134-160.</w:t>
      </w:r>
    </w:p>
    <w:p w14:paraId="51BEC36A" w14:textId="77777777" w:rsidR="00B9662D" w:rsidRPr="00E9210E" w:rsidRDefault="00B9662D" w:rsidP="00B9662D">
      <w:pPr>
        <w:spacing w:before="120" w:after="120"/>
        <w:jc w:val="both"/>
      </w:pPr>
      <w:r w:rsidRPr="00E9210E">
        <w:t xml:space="preserve">Du monde antique au monde barbare, les vicissitudes de l’impôt. (À propos de F. </w:t>
      </w:r>
      <w:r w:rsidRPr="00E9210E">
        <w:rPr>
          <w:rFonts w:eastAsia="Courier New"/>
          <w:smallCaps/>
        </w:rPr>
        <w:t>Lot</w:t>
      </w:r>
      <w:r w:rsidRPr="00E9210E">
        <w:rPr>
          <w:rFonts w:eastAsia="Courier New"/>
        </w:rPr>
        <w:t xml:space="preserve">, </w:t>
      </w:r>
      <w:r w:rsidRPr="00E9210E">
        <w:rPr>
          <w:rStyle w:val="Corpsdutexte28ptItalique"/>
          <w:rFonts w:eastAsia="Courier New"/>
          <w:sz w:val="28"/>
        </w:rPr>
        <w:t>L'impôt foncier et la capitation personnelle sous le Bas-Empire et à l'époque fra</w:t>
      </w:r>
      <w:r w:rsidRPr="00E9210E">
        <w:rPr>
          <w:rStyle w:val="Corpsdutexte28ptItalique"/>
          <w:rFonts w:eastAsia="Courier New"/>
          <w:sz w:val="28"/>
        </w:rPr>
        <w:t>n</w:t>
      </w:r>
      <w:r w:rsidRPr="00E9210E">
        <w:rPr>
          <w:rStyle w:val="Corpsdutexte28ptItalique"/>
          <w:rFonts w:eastAsia="Courier New"/>
          <w:sz w:val="28"/>
        </w:rPr>
        <w:t>que</w:t>
      </w:r>
      <w:r w:rsidRPr="00E9210E">
        <w:rPr>
          <w:rStyle w:val="Corpsdutexte28ptGraschelle120"/>
          <w:rFonts w:eastAsia="Courier New"/>
          <w:sz w:val="28"/>
        </w:rPr>
        <w:t xml:space="preserve">, </w:t>
      </w:r>
      <w:r w:rsidRPr="00E9210E">
        <w:t xml:space="preserve">Paris, 1928), </w:t>
      </w:r>
      <w:r w:rsidRPr="00E9210E">
        <w:rPr>
          <w:rStyle w:val="Corpsdutexte28ptGraschelle120"/>
          <w:rFonts w:eastAsia="Courier New"/>
          <w:sz w:val="28"/>
        </w:rPr>
        <w:t>« </w:t>
      </w:r>
      <w:r w:rsidRPr="00E9210E">
        <w:t>Rev. synt. hist. »</w:t>
      </w:r>
      <w:r w:rsidRPr="00E9210E">
        <w:rPr>
          <w:rStyle w:val="Corpsdutexte28ptGraschelle120"/>
          <w:rFonts w:eastAsia="Courier New"/>
          <w:sz w:val="28"/>
        </w:rPr>
        <w:t xml:space="preserve">, </w:t>
      </w:r>
      <w:r w:rsidRPr="00E9210E">
        <w:t>t. 49 (1930), pp. 69-74.</w:t>
      </w:r>
    </w:p>
    <w:p w14:paraId="1E5BABC7" w14:textId="77777777" w:rsidR="00B9662D" w:rsidRPr="00E9210E" w:rsidRDefault="00B9662D" w:rsidP="00B9662D">
      <w:pPr>
        <w:spacing w:before="120" w:after="120"/>
        <w:jc w:val="both"/>
      </w:pPr>
      <w:r>
        <w:t>À</w:t>
      </w:r>
      <w:r w:rsidRPr="00E9210E">
        <w:t xml:space="preserve"> propos d’une publication de diplômes royaux. (Compte rendu :</w:t>
      </w:r>
      <w:r w:rsidRPr="00E9210E">
        <w:rPr>
          <w:rStyle w:val="Corpsdutexte28ptGraschelle120"/>
          <w:rFonts w:eastAsia="Courier New"/>
          <w:sz w:val="28"/>
        </w:rPr>
        <w:t xml:space="preserve"> </w:t>
      </w:r>
      <w:r w:rsidRPr="00E9210E">
        <w:rPr>
          <w:rStyle w:val="Corpsdutexte28ptItalique"/>
          <w:rFonts w:eastAsia="Courier New"/>
          <w:sz w:val="28"/>
        </w:rPr>
        <w:t>Recueil des actes de Pépin I</w:t>
      </w:r>
      <w:r w:rsidRPr="00E9210E">
        <w:rPr>
          <w:rStyle w:val="Corpsdutexte28ptItalique"/>
          <w:rFonts w:eastAsia="Courier New"/>
          <w:sz w:val="28"/>
          <w:vertAlign w:val="superscript"/>
        </w:rPr>
        <w:t>er</w:t>
      </w:r>
      <w:r w:rsidRPr="00E9210E">
        <w:rPr>
          <w:rStyle w:val="Corpsdutexte28ptItalique"/>
          <w:rFonts w:eastAsia="Courier New"/>
          <w:sz w:val="28"/>
        </w:rPr>
        <w:t xml:space="preserve"> et Pépin II, rois d'Aquitaine (814-818),</w:t>
      </w:r>
      <w:r w:rsidRPr="00E9210E">
        <w:rPr>
          <w:rStyle w:val="Corpsdutexte28ptGraschelle120"/>
          <w:rFonts w:eastAsia="Courier New"/>
          <w:sz w:val="28"/>
        </w:rPr>
        <w:t xml:space="preserve"> </w:t>
      </w:r>
      <w:r w:rsidRPr="00E9210E">
        <w:t xml:space="preserve">par </w:t>
      </w:r>
      <w:r w:rsidRPr="00E9210E">
        <w:rPr>
          <w:rStyle w:val="Corpsdutexte27ptGras"/>
          <w:rFonts w:eastAsia="Courier New"/>
          <w:b w:val="0"/>
          <w:sz w:val="28"/>
        </w:rPr>
        <w:t xml:space="preserve">L. </w:t>
      </w:r>
      <w:r w:rsidRPr="00E9210E">
        <w:rPr>
          <w:rStyle w:val="Corpsdutexte27ptGras"/>
          <w:rFonts w:eastAsia="Courier New"/>
          <w:b w:val="0"/>
          <w:smallCaps/>
          <w:sz w:val="28"/>
        </w:rPr>
        <w:t>Levillain</w:t>
      </w:r>
      <w:r w:rsidRPr="00E9210E">
        <w:rPr>
          <w:rStyle w:val="Corpsdutexte27ptGras"/>
          <w:rFonts w:eastAsia="Courier New"/>
          <w:b w:val="0"/>
          <w:sz w:val="28"/>
        </w:rPr>
        <w:t>,</w:t>
      </w:r>
      <w:r w:rsidRPr="00E9210E">
        <w:rPr>
          <w:rStyle w:val="Corpsdutexte27ptGras"/>
          <w:rFonts w:eastAsia="Courier New"/>
          <w:sz w:val="28"/>
        </w:rPr>
        <w:t xml:space="preserve"> </w:t>
      </w:r>
      <w:r w:rsidRPr="00E9210E">
        <w:t>Paris, 1926), « Rev. synt. hist. », t. 49 (1930), pp. 107-109.</w:t>
      </w:r>
    </w:p>
    <w:p w14:paraId="3DD9A4D8" w14:textId="77777777" w:rsidR="00B9662D" w:rsidRPr="00E9210E" w:rsidRDefault="00B9662D" w:rsidP="00B9662D">
      <w:pPr>
        <w:spacing w:before="120" w:after="120"/>
        <w:jc w:val="both"/>
      </w:pPr>
      <w:r w:rsidRPr="00E9210E">
        <w:t xml:space="preserve">Compte rendu : A. </w:t>
      </w:r>
      <w:r w:rsidRPr="00E9210E">
        <w:rPr>
          <w:smallCaps/>
        </w:rPr>
        <w:t>Co</w:t>
      </w:r>
      <w:r w:rsidRPr="00E9210E">
        <w:rPr>
          <w:rStyle w:val="Corpsdutexte27ptGras"/>
          <w:rFonts w:eastAsia="Courier New"/>
          <w:b w:val="0"/>
          <w:smallCaps/>
          <w:sz w:val="28"/>
        </w:rPr>
        <w:t>ville</w:t>
      </w:r>
      <w:r w:rsidRPr="00E9210E">
        <w:rPr>
          <w:rStyle w:val="Corpsdutexte27ptGras"/>
          <w:rFonts w:eastAsia="Courier New"/>
          <w:b w:val="0"/>
          <w:sz w:val="28"/>
        </w:rPr>
        <w:t xml:space="preserve">, </w:t>
      </w:r>
      <w:r w:rsidRPr="00E9210E">
        <w:rPr>
          <w:rStyle w:val="Corpsdutexte28ptItalique"/>
          <w:rFonts w:eastAsia="Courier New"/>
          <w:sz w:val="28"/>
        </w:rPr>
        <w:t>Recherches sur l’histoire de Lyon du V</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 au IX</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 (450-800),</w:t>
      </w:r>
      <w:r w:rsidRPr="00E9210E">
        <w:rPr>
          <w:rStyle w:val="Corpsdutexte28ptGraschelle120"/>
          <w:rFonts w:eastAsia="Courier New"/>
          <w:sz w:val="28"/>
        </w:rPr>
        <w:t xml:space="preserve"> </w:t>
      </w:r>
      <w:r w:rsidRPr="00E9210E">
        <w:t>Paris, 1928, « Rev. synt. hist. » t. 49 (1930), p. 122.</w:t>
      </w:r>
    </w:p>
    <w:p w14:paraId="6195CB1B" w14:textId="77777777" w:rsidR="00B9662D" w:rsidRPr="00E9210E" w:rsidRDefault="00B9662D" w:rsidP="00B9662D">
      <w:pPr>
        <w:spacing w:before="120" w:after="120"/>
        <w:jc w:val="both"/>
      </w:pPr>
      <w:r w:rsidRPr="00E9210E">
        <w:t xml:space="preserve">Une haute terre : l’Oisans d’autrefois et d’aujourd’hui. (Compte rendu : Thèses de doctorat d’A. </w:t>
      </w:r>
      <w:r w:rsidRPr="00E9210E">
        <w:rPr>
          <w:rStyle w:val="Corpsdutexte27ptGras"/>
          <w:rFonts w:eastAsia="Courier New"/>
          <w:b w:val="0"/>
          <w:smallCaps/>
          <w:sz w:val="28"/>
        </w:rPr>
        <w:t>Allix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 pays de haute montagne :</w:t>
      </w:r>
      <w:r w:rsidRPr="00E9210E">
        <w:rPr>
          <w:rStyle w:val="Corpsdutexte2ItaliqueEspacement0pt"/>
          <w:rFonts w:eastAsia="Courier New"/>
          <w:sz w:val="28"/>
        </w:rPr>
        <w:t xml:space="preserve"> </w:t>
      </w:r>
      <w:r w:rsidRPr="00E9210E">
        <w:rPr>
          <w:rStyle w:val="Corpsdutexte28ptItalique"/>
          <w:rFonts w:eastAsia="Courier New"/>
          <w:sz w:val="28"/>
        </w:rPr>
        <w:t xml:space="preserve">l'Oisan. Étude géographique, </w:t>
      </w:r>
      <w:r w:rsidRPr="00E9210E">
        <w:t>Paris, 1929. — </w:t>
      </w:r>
      <w:r w:rsidRPr="00E9210E">
        <w:rPr>
          <w:rStyle w:val="Corpsdutexte28ptItalique"/>
          <w:rFonts w:eastAsia="Courier New"/>
          <w:sz w:val="28"/>
        </w:rPr>
        <w:t>L'Oisan au Moyen Âge. Étude de géographie historique en haute montagne,</w:t>
      </w:r>
      <w:r w:rsidRPr="00E9210E">
        <w:rPr>
          <w:rStyle w:val="Corpsdutexte28ptGraschelle120"/>
          <w:rFonts w:eastAsia="Courier New"/>
          <w:sz w:val="28"/>
        </w:rPr>
        <w:t xml:space="preserve"> </w:t>
      </w:r>
      <w:r w:rsidRPr="00E9210E">
        <w:t>Paris, 1929), « Rev. synt. hist. », t. 50 (1930), pp. 71-78.</w:t>
      </w:r>
    </w:p>
    <w:p w14:paraId="4A9DC67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 politique française dans les Pays-Bas du Moyen Âge. (Compte rendu : E. </w:t>
      </w:r>
      <w:r w:rsidRPr="00E9210E">
        <w:rPr>
          <w:rStyle w:val="Corpsdutexte37ptGrasNonItalique"/>
          <w:rFonts w:eastAsia="Courier New"/>
          <w:b w:val="0"/>
          <w:i w:val="0"/>
          <w:iCs w:val="0"/>
          <w:smallCaps/>
          <w:sz w:val="28"/>
        </w:rPr>
        <w:t>Delcambre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relations de la Flandre avec le Hainaut depuis l'avènement de Jean II d'Ave</w:t>
      </w:r>
      <w:r w:rsidRPr="00E9210E">
        <w:rPr>
          <w:i/>
        </w:rPr>
        <w:t>s</w:t>
      </w:r>
      <w:r w:rsidRPr="00E9210E">
        <w:rPr>
          <w:i/>
        </w:rPr>
        <w:t>nes, comte de Hainaut, jusqu'à la conclusion de l’alliance franco-hennuyère (1280-1297</w:t>
      </w:r>
      <w:r w:rsidRPr="00E9210E">
        <w:rPr>
          <w:rStyle w:val="Corpsdutexte385ptEspacement0pt"/>
          <w:rFonts w:eastAsia="Courier New"/>
          <w:i w:val="0"/>
          <w:sz w:val="28"/>
        </w:rPr>
        <w:t>),</w:t>
      </w:r>
      <w:r w:rsidRPr="00E9210E">
        <w:rPr>
          <w:rStyle w:val="Corpsdutexte385ptNonItalique"/>
          <w:rFonts w:eastAsia="Courier New"/>
          <w:i w:val="0"/>
          <w:iCs w:val="0"/>
          <w:sz w:val="28"/>
        </w:rPr>
        <w:t xml:space="preserve"> Mars et Fr</w:t>
      </w:r>
      <w:r w:rsidRPr="00E9210E">
        <w:rPr>
          <w:rStyle w:val="Corpsdutexte385ptNonItalique"/>
          <w:rFonts w:eastAsia="Courier New"/>
          <w:i w:val="0"/>
          <w:iCs w:val="0"/>
          <w:sz w:val="28"/>
        </w:rPr>
        <w:t>a</w:t>
      </w:r>
      <w:r w:rsidRPr="00E9210E">
        <w:rPr>
          <w:rStyle w:val="Corpsdutexte385ptNonItalique"/>
          <w:rFonts w:eastAsia="Courier New"/>
          <w:i w:val="0"/>
          <w:iCs w:val="0"/>
          <w:sz w:val="28"/>
        </w:rPr>
        <w:t>meries, 1930), « Rev. synt. hist. », t. 50 (1930), pp. 145-146.</w:t>
      </w:r>
    </w:p>
    <w:p w14:paraId="21D2ABA7" w14:textId="77777777" w:rsidR="00B9662D" w:rsidRPr="00E9210E" w:rsidRDefault="00B9662D" w:rsidP="00B9662D">
      <w:pPr>
        <w:spacing w:before="120" w:after="120"/>
        <w:jc w:val="both"/>
      </w:pPr>
      <w:r w:rsidRPr="00E9210E">
        <w:t xml:space="preserve">Compte rendu : G. </w:t>
      </w:r>
      <w:r w:rsidRPr="00E9210E">
        <w:rPr>
          <w:rStyle w:val="Corpsdutexte27ptGras"/>
          <w:rFonts w:eastAsia="Courier New"/>
          <w:b w:val="0"/>
          <w:smallCaps/>
          <w:sz w:val="28"/>
        </w:rPr>
        <w:t>Volpe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Il medioevo,</w:t>
      </w:r>
      <w:r w:rsidRPr="00E9210E">
        <w:rPr>
          <w:rStyle w:val="Corpsdutexte28ptGraschelle120"/>
          <w:rFonts w:eastAsia="Courier New"/>
          <w:sz w:val="28"/>
        </w:rPr>
        <w:t xml:space="preserve"> </w:t>
      </w:r>
      <w:r w:rsidRPr="00E9210E">
        <w:t>Florence, 1927, « Rev. synt. hist. », t. 50 (1930), p. 157.</w:t>
      </w:r>
    </w:p>
    <w:p w14:paraId="2A0FEDE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G. G. </w:t>
      </w:r>
      <w:r w:rsidRPr="00E9210E">
        <w:rPr>
          <w:rStyle w:val="Corpsdutexte37ptGrasNonItalique"/>
          <w:rFonts w:eastAsia="Courier New"/>
          <w:b w:val="0"/>
          <w:i w:val="0"/>
          <w:iCs w:val="0"/>
          <w:smallCaps/>
          <w:sz w:val="28"/>
        </w:rPr>
        <w:t>Coulton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Life in the middle ages selected, translated and annotated</w:t>
      </w:r>
      <w:r w:rsidRPr="00E9210E">
        <w:t xml:space="preserve">. </w:t>
      </w:r>
      <w:r w:rsidRPr="00E9210E">
        <w:rPr>
          <w:rStyle w:val="Corpsdutexte385ptNonItalique"/>
          <w:rFonts w:eastAsia="Courier New"/>
          <w:i w:val="0"/>
          <w:iCs w:val="0"/>
          <w:sz w:val="28"/>
        </w:rPr>
        <w:t xml:space="preserve">Vol. II, </w:t>
      </w:r>
      <w:r w:rsidRPr="00E9210E">
        <w:t>Chronicles, science and art.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Vol. III, </w:t>
      </w:r>
      <w:r w:rsidRPr="00E9210E">
        <w:t>Men and manners.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Vol. IV, </w:t>
      </w:r>
      <w:r w:rsidRPr="00E9210E">
        <w:rPr>
          <w:i/>
        </w:rPr>
        <w:t>Monks, friars and nuns,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Cambridge, 1929-1930, « Rev. synt. hist. », t. 50 (1930), pp. 157-158.</w:t>
      </w:r>
    </w:p>
    <w:p w14:paraId="40266E4A" w14:textId="77777777" w:rsidR="00B9662D" w:rsidRPr="00E9210E" w:rsidRDefault="00B9662D" w:rsidP="00B9662D">
      <w:pPr>
        <w:spacing w:before="120" w:after="120"/>
        <w:jc w:val="both"/>
      </w:pPr>
      <w:r w:rsidRPr="00E9210E">
        <w:t xml:space="preserve">Compte rendu : E. </w:t>
      </w:r>
      <w:r w:rsidRPr="00E9210E">
        <w:rPr>
          <w:rFonts w:eastAsia="Courier New"/>
          <w:smallCaps/>
        </w:rPr>
        <w:t>Camau</w:t>
      </w:r>
      <w:r w:rsidRPr="00E9210E">
        <w:rPr>
          <w:rFonts w:eastAsia="Courier New"/>
        </w:rPr>
        <w:t xml:space="preserve">, </w:t>
      </w:r>
      <w:r w:rsidRPr="00E9210E">
        <w:rPr>
          <w:rStyle w:val="Corpsdutexte28ptItalique"/>
          <w:rFonts w:eastAsia="Courier New"/>
          <w:sz w:val="28"/>
        </w:rPr>
        <w:t>Le règne des princes angevins en Pr</w:t>
      </w:r>
      <w:r w:rsidRPr="00E9210E">
        <w:rPr>
          <w:rStyle w:val="Corpsdutexte28ptItalique"/>
          <w:rFonts w:eastAsia="Courier New"/>
          <w:sz w:val="28"/>
        </w:rPr>
        <w:t>o</w:t>
      </w:r>
      <w:r w:rsidRPr="00E9210E">
        <w:rPr>
          <w:rStyle w:val="Corpsdutexte28ptItalique"/>
          <w:rFonts w:eastAsia="Courier New"/>
          <w:sz w:val="28"/>
        </w:rPr>
        <w:t>vence,</w:t>
      </w:r>
      <w:r w:rsidRPr="00E9210E">
        <w:rPr>
          <w:rStyle w:val="Corpsdutexte28ptGraschelle120"/>
          <w:rFonts w:eastAsia="Courier New"/>
          <w:sz w:val="28"/>
        </w:rPr>
        <w:t xml:space="preserve"> </w:t>
      </w:r>
      <w:r w:rsidRPr="00E9210E">
        <w:t>Paris, 1926, « Rev. synt. hist. », t. 50 (1930), p. 158.</w:t>
      </w:r>
    </w:p>
    <w:p w14:paraId="1D61EFA4" w14:textId="77777777" w:rsidR="00B9662D" w:rsidRPr="00E9210E" w:rsidRDefault="00B9662D" w:rsidP="00B9662D">
      <w:pPr>
        <w:spacing w:before="120" w:after="120"/>
        <w:jc w:val="both"/>
      </w:pPr>
      <w:r w:rsidRPr="00E9210E">
        <w:t xml:space="preserve">Compte rendu : N. </w:t>
      </w:r>
      <w:r w:rsidRPr="00E9210E">
        <w:rPr>
          <w:rStyle w:val="Corpsdutexte27ptGras"/>
          <w:rFonts w:eastAsia="Courier New"/>
          <w:b w:val="0"/>
          <w:smallCaps/>
          <w:sz w:val="28"/>
        </w:rPr>
        <w:t>Grimaldi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contessa Matilde e la sua stirpe feodale,</w:t>
      </w:r>
      <w:r w:rsidRPr="00E9210E">
        <w:rPr>
          <w:rStyle w:val="Corpsdutexte28ptGraschelle120"/>
          <w:rFonts w:eastAsia="Courier New"/>
          <w:sz w:val="28"/>
        </w:rPr>
        <w:t xml:space="preserve"> </w:t>
      </w:r>
      <w:r w:rsidRPr="00E9210E">
        <w:t>Florence. 1928, « Rev. synt. hist. », t. 50 (1930), pp. 158-159.</w:t>
      </w:r>
    </w:p>
    <w:p w14:paraId="5133297D" w14:textId="77777777" w:rsidR="00B9662D" w:rsidRPr="00E9210E" w:rsidRDefault="00B9662D" w:rsidP="00B9662D">
      <w:pPr>
        <w:spacing w:before="120" w:after="120"/>
        <w:jc w:val="both"/>
      </w:pPr>
      <w:r w:rsidRPr="00E9210E">
        <w:t xml:space="preserve">Compte rendu : A. </w:t>
      </w:r>
      <w:r w:rsidRPr="00E9210E">
        <w:rPr>
          <w:rStyle w:val="Corpsdutexte27ptGras"/>
          <w:rFonts w:eastAsia="Courier New"/>
          <w:b w:val="0"/>
          <w:smallCaps/>
          <w:sz w:val="28"/>
        </w:rPr>
        <w:t>Ferradou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rachat des droits féodaux dans la Gironde (1790-1793),</w:t>
      </w:r>
      <w:r w:rsidRPr="00E9210E">
        <w:rPr>
          <w:rStyle w:val="Corpsdutexte28ptGraschelle120"/>
          <w:rFonts w:eastAsia="Courier New"/>
          <w:sz w:val="28"/>
        </w:rPr>
        <w:t xml:space="preserve"> </w:t>
      </w:r>
      <w:r w:rsidRPr="00E9210E">
        <w:t>Paris, 1928, « Rev. synt. hist. », t. 50 (1930), pp. 160-161.</w:t>
      </w:r>
    </w:p>
    <w:p w14:paraId="32CB821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Histoire religieuse. 2. Moyen Âge. (H. Th. </w:t>
      </w:r>
      <w:r w:rsidRPr="00E9210E">
        <w:rPr>
          <w:rStyle w:val="Corpsdutexte37ptGrasNonItalique"/>
          <w:rFonts w:eastAsia="Courier New"/>
          <w:b w:val="0"/>
          <w:i w:val="0"/>
          <w:iCs w:val="0"/>
          <w:smallCaps/>
          <w:sz w:val="28"/>
        </w:rPr>
        <w:t>Heijman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Unters</w:t>
      </w:r>
      <w:r w:rsidRPr="00E9210E">
        <w:rPr>
          <w:i/>
        </w:rPr>
        <w:t>u</w:t>
      </w:r>
      <w:r w:rsidRPr="00E9210E">
        <w:rPr>
          <w:i/>
        </w:rPr>
        <w:t>chungen über die Prämon</w:t>
      </w:r>
      <w:r w:rsidRPr="00E9210E">
        <w:rPr>
          <w:i/>
        </w:rPr>
        <w:t>s</w:t>
      </w:r>
      <w:r w:rsidRPr="00E9210E">
        <w:rPr>
          <w:i/>
        </w:rPr>
        <w:t>tratenser-Gewohnheiten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Tongerloo, 1928. — </w:t>
      </w:r>
      <w:r w:rsidRPr="00E9210E">
        <w:rPr>
          <w:i/>
        </w:rPr>
        <w:t>The letters of Osbert of Clare, prior of Westminster</w:t>
      </w:r>
      <w:r w:rsidRPr="00E9210E">
        <w:t xml:space="preserve">, edited by E. W. </w:t>
      </w:r>
      <w:r w:rsidRPr="00E9210E">
        <w:rPr>
          <w:smallCaps/>
        </w:rPr>
        <w:t>Williamson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Oxford, 1929. — </w:t>
      </w:r>
      <w:r w:rsidRPr="00E9210E">
        <w:rPr>
          <w:i/>
        </w:rPr>
        <w:t>Le poème moral. Traité de vie chrétienne écrit dans la région wallonne vers l'an 1200</w:t>
      </w:r>
      <w:r w:rsidRPr="00E9210E">
        <w:t xml:space="preserve">, édité par A. </w:t>
      </w:r>
      <w:r w:rsidRPr="00E9210E">
        <w:rPr>
          <w:smallCaps/>
        </w:rPr>
        <w:t>Bayot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Bruxelles, 1929. — B. </w:t>
      </w:r>
      <w:r w:rsidRPr="00E9210E">
        <w:rPr>
          <w:rStyle w:val="Corpsdutexte37ptGrasNonItalique"/>
          <w:rFonts w:eastAsia="Courier New"/>
          <w:b w:val="0"/>
          <w:i w:val="0"/>
          <w:iCs w:val="0"/>
          <w:smallCaps/>
          <w:sz w:val="28"/>
        </w:rPr>
        <w:t>Landry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L'idée de Chr</w:t>
      </w:r>
      <w:r w:rsidRPr="00E9210E">
        <w:rPr>
          <w:i/>
        </w:rPr>
        <w:t>é</w:t>
      </w:r>
      <w:r w:rsidRPr="00E9210E">
        <w:rPr>
          <w:i/>
        </w:rPr>
        <w:t>tienté chez les scolastiques du XIII</w:t>
      </w:r>
      <w:r w:rsidRPr="00E9210E">
        <w:rPr>
          <w:i/>
          <w:vertAlign w:val="superscript"/>
        </w:rPr>
        <w:t>e</w:t>
      </w:r>
      <w:r w:rsidRPr="00E9210E">
        <w:rPr>
          <w:i/>
        </w:rPr>
        <w:t xml:space="preserve"> 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1929. — F. </w:t>
      </w:r>
      <w:r w:rsidRPr="00E9210E">
        <w:rPr>
          <w:rStyle w:val="Corpsdutexte37ptGrasNonItalique"/>
          <w:rFonts w:eastAsia="Courier New"/>
          <w:b w:val="0"/>
          <w:i w:val="0"/>
          <w:iCs w:val="0"/>
          <w:smallCaps/>
          <w:sz w:val="28"/>
        </w:rPr>
        <w:t>Brittain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Saint Giles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Cambridge, 1928), « Rev. synt. hist. », t. 50 (1930), pp. 168-171.</w:t>
      </w:r>
    </w:p>
    <w:p w14:paraId="444B8D58" w14:textId="77777777" w:rsidR="00B9662D" w:rsidRDefault="00B9662D" w:rsidP="00B9662D">
      <w:pPr>
        <w:spacing w:before="120" w:after="120"/>
        <w:jc w:val="both"/>
      </w:pPr>
    </w:p>
    <w:p w14:paraId="217A37A5" w14:textId="77777777" w:rsidR="00B9662D" w:rsidRPr="00E9210E" w:rsidRDefault="00B9662D" w:rsidP="00B9662D">
      <w:pPr>
        <w:spacing w:before="120" w:after="120"/>
        <w:jc w:val="both"/>
      </w:pPr>
      <w:r w:rsidRPr="00E9210E">
        <w:t>[1048]</w:t>
      </w:r>
    </w:p>
    <w:p w14:paraId="68B58423" w14:textId="77777777" w:rsidR="00B9662D" w:rsidRPr="00E9210E" w:rsidRDefault="00B9662D" w:rsidP="00B9662D">
      <w:pPr>
        <w:spacing w:before="120" w:after="120"/>
        <w:jc w:val="both"/>
      </w:pPr>
      <w:r w:rsidRPr="00E9210E">
        <w:rPr>
          <w:rFonts w:eastAsia="Courier New"/>
          <w:iCs/>
        </w:rPr>
        <w:t>Compte rendu : J. F.</w:t>
      </w:r>
      <w:r w:rsidRPr="00E9210E">
        <w:rPr>
          <w:rFonts w:eastAsia="Courier New"/>
          <w:i/>
          <w:iCs/>
        </w:rPr>
        <w:t xml:space="preserve"> </w:t>
      </w:r>
      <w:r w:rsidRPr="00E9210E">
        <w:rPr>
          <w:rStyle w:val="Corpsdutexte107ptGrasNonItalique"/>
          <w:rFonts w:eastAsia="Courier New"/>
          <w:b w:val="0"/>
          <w:i w:val="0"/>
          <w:iCs w:val="0"/>
          <w:sz w:val="28"/>
        </w:rPr>
        <w:t>Kenney,</w:t>
      </w:r>
      <w:r w:rsidRPr="00E9210E">
        <w:rPr>
          <w:rStyle w:val="Corpsdutexte107ptGrasNonItalique"/>
          <w:rFonts w:eastAsia="Courier New"/>
          <w:i w:val="0"/>
          <w:iCs w:val="0"/>
          <w:sz w:val="28"/>
        </w:rPr>
        <w:t xml:space="preserve"> </w:t>
      </w:r>
      <w:r w:rsidRPr="00E9210E">
        <w:rPr>
          <w:i/>
        </w:rPr>
        <w:t>The sources for the early history of Ir</w:t>
      </w:r>
      <w:r w:rsidRPr="00E9210E">
        <w:rPr>
          <w:i/>
        </w:rPr>
        <w:t>e</w:t>
      </w:r>
      <w:r w:rsidRPr="00E9210E">
        <w:rPr>
          <w:i/>
        </w:rPr>
        <w:t>land : an introduction and guide</w:t>
      </w:r>
      <w:r w:rsidRPr="00E9210E">
        <w:t>.</w:t>
      </w:r>
      <w:r w:rsidRPr="00E9210E">
        <w:rPr>
          <w:rStyle w:val="Corpsdutexte108ptGrasNonItaliquechelle120"/>
          <w:rFonts w:eastAsia="Courier New"/>
          <w:i w:val="0"/>
          <w:iCs w:val="0"/>
          <w:sz w:val="28"/>
        </w:rPr>
        <w:t xml:space="preserve"> </w:t>
      </w:r>
      <w:r w:rsidRPr="00E9210E">
        <w:rPr>
          <w:rFonts w:eastAsia="Courier New"/>
          <w:iCs/>
        </w:rPr>
        <w:t>Vol. I,</w:t>
      </w:r>
      <w:r w:rsidRPr="00E9210E">
        <w:rPr>
          <w:rFonts w:eastAsia="Courier New"/>
          <w:i/>
          <w:iCs/>
        </w:rPr>
        <w:t xml:space="preserve"> </w:t>
      </w:r>
      <w:r w:rsidRPr="00E9210E">
        <w:rPr>
          <w:i/>
        </w:rPr>
        <w:t>Ecclesiastical</w:t>
      </w:r>
      <w:r w:rsidRPr="00E9210E">
        <w:t>,</w:t>
      </w:r>
      <w:r w:rsidRPr="00E9210E">
        <w:rPr>
          <w:rStyle w:val="Corpsdutexte108ptGrasNonItaliquechelle120"/>
          <w:rFonts w:eastAsia="Courier New"/>
          <w:i w:val="0"/>
          <w:iCs w:val="0"/>
          <w:sz w:val="28"/>
        </w:rPr>
        <w:t xml:space="preserve"> </w:t>
      </w:r>
      <w:r w:rsidRPr="00E9210E">
        <w:rPr>
          <w:rFonts w:eastAsia="Courier New"/>
          <w:iCs/>
        </w:rPr>
        <w:t>New York, 1929, « Rev. synt. hist. », t. 50, (1930)</w:t>
      </w:r>
      <w:r w:rsidRPr="00E9210E">
        <w:t>, p. 173.</w:t>
      </w:r>
    </w:p>
    <w:p w14:paraId="169B32B2" w14:textId="77777777" w:rsidR="00B9662D" w:rsidRPr="00E9210E" w:rsidRDefault="00B9662D" w:rsidP="00B9662D">
      <w:pPr>
        <w:spacing w:before="120" w:after="120"/>
        <w:jc w:val="both"/>
      </w:pPr>
      <w:r w:rsidRPr="00E9210E">
        <w:t xml:space="preserve">Compte rendu : C. </w:t>
      </w:r>
      <w:r w:rsidRPr="00E9210E">
        <w:rPr>
          <w:rStyle w:val="Corpsdutexte27ptGras"/>
          <w:rFonts w:eastAsia="Courier New"/>
          <w:b w:val="0"/>
          <w:sz w:val="28"/>
        </w:rPr>
        <w:t>Maxwell,</w:t>
      </w:r>
      <w:r w:rsidRPr="00E9210E">
        <w:rPr>
          <w:rStyle w:val="Corpsdutexte27ptGras"/>
          <w:rFonts w:eastAsia="Courier New"/>
          <w:sz w:val="28"/>
        </w:rPr>
        <w:t xml:space="preserve"> </w:t>
      </w:r>
      <w:r w:rsidRPr="00E9210E">
        <w:rPr>
          <w:rStyle w:val="Corpsdutexte28ptItalique"/>
          <w:rFonts w:eastAsia="Courier New"/>
          <w:sz w:val="28"/>
        </w:rPr>
        <w:t xml:space="preserve">Travels in France during the years 1787, 1788 and 1789- </w:t>
      </w:r>
      <w:r w:rsidRPr="00E9210E">
        <w:t>Cambri</w:t>
      </w:r>
      <w:r w:rsidRPr="00E9210E">
        <w:t>d</w:t>
      </w:r>
      <w:r w:rsidRPr="00E9210E">
        <w:t>ge, 1929, « Rev. synt. hist. », t. 50 (1930), pp. 175-176.</w:t>
      </w:r>
    </w:p>
    <w:p w14:paraId="5AF4936E" w14:textId="77777777" w:rsidR="00B9662D" w:rsidRPr="00E9210E" w:rsidRDefault="00B9662D" w:rsidP="00B9662D">
      <w:pPr>
        <w:spacing w:before="120" w:after="120"/>
        <w:jc w:val="both"/>
      </w:pPr>
    </w:p>
    <w:p w14:paraId="73C8C8B6" w14:textId="77777777" w:rsidR="00B9662D" w:rsidRPr="00E9210E" w:rsidRDefault="00B9662D" w:rsidP="00B9662D">
      <w:pPr>
        <w:spacing w:before="120" w:after="120"/>
        <w:jc w:val="center"/>
        <w:rPr>
          <w:b/>
        </w:rPr>
      </w:pPr>
      <w:r w:rsidRPr="00E9210E">
        <w:rPr>
          <w:b/>
        </w:rPr>
        <w:t>1931</w:t>
      </w:r>
    </w:p>
    <w:p w14:paraId="78C8E194" w14:textId="77777777" w:rsidR="00B9662D" w:rsidRPr="00E9210E" w:rsidRDefault="00B9662D" w:rsidP="00B9662D">
      <w:pPr>
        <w:spacing w:before="120" w:after="120"/>
        <w:jc w:val="both"/>
      </w:pPr>
    </w:p>
    <w:p w14:paraId="4D82E785" w14:textId="77777777" w:rsidR="00B9662D" w:rsidRPr="00E9210E" w:rsidRDefault="00B9662D" w:rsidP="00B9662D">
      <w:pPr>
        <w:spacing w:before="120" w:after="120"/>
        <w:jc w:val="both"/>
      </w:pPr>
      <w:r w:rsidRPr="00E9210E">
        <w:rPr>
          <w:b/>
        </w:rPr>
        <w:t>Les Caractères originaux de l’histoire rurale française</w:t>
      </w:r>
      <w:r w:rsidRPr="00E9210E">
        <w:t xml:space="preserve">, </w:t>
      </w:r>
      <w:r w:rsidRPr="00E9210E">
        <w:rPr>
          <w:rStyle w:val="Corpsdutexte885ptNonGraschelle100"/>
          <w:rFonts w:eastAsia="Courier New"/>
          <w:b w:val="0"/>
          <w:bCs w:val="0"/>
          <w:sz w:val="28"/>
        </w:rPr>
        <w:t>Oslo, Asch</w:t>
      </w:r>
      <w:r w:rsidRPr="00E9210E">
        <w:rPr>
          <w:rStyle w:val="Corpsdutexte885ptNonGraschelle100"/>
          <w:rFonts w:eastAsia="Courier New"/>
          <w:b w:val="0"/>
          <w:bCs w:val="0"/>
          <w:sz w:val="28"/>
        </w:rPr>
        <w:t>e</w:t>
      </w:r>
      <w:r w:rsidRPr="00E9210E">
        <w:rPr>
          <w:rStyle w:val="Corpsdutexte885ptNonGraschelle100"/>
          <w:rFonts w:eastAsia="Courier New"/>
          <w:b w:val="0"/>
          <w:bCs w:val="0"/>
          <w:sz w:val="28"/>
        </w:rPr>
        <w:t>houg, 1931, in-4°, 262 p., 18 pl.</w:t>
      </w:r>
    </w:p>
    <w:p w14:paraId="31F8C3CA" w14:textId="77777777" w:rsidR="00B9662D" w:rsidRPr="00E9210E" w:rsidRDefault="00B9662D" w:rsidP="00B9662D">
      <w:pPr>
        <w:spacing w:before="120" w:after="120"/>
        <w:jc w:val="both"/>
      </w:pPr>
      <w:r w:rsidRPr="00E9210E">
        <w:t>« </w:t>
      </w:r>
      <w:r w:rsidRPr="00E9210E">
        <w:rPr>
          <w:b/>
        </w:rPr>
        <w:t>Culture historique et action économique : à propos de l’exemple américain</w:t>
      </w:r>
      <w:r w:rsidRPr="00E9210E">
        <w:t xml:space="preserve"> », </w:t>
      </w:r>
      <w:r w:rsidRPr="00E9210E">
        <w:rPr>
          <w:rFonts w:eastAsia="Courier New"/>
          <w:i/>
        </w:rPr>
        <w:t>A.H.E.S.</w:t>
      </w:r>
      <w:r w:rsidRPr="00E9210E">
        <w:t>, t. III (1931), p. 1-4.</w:t>
      </w:r>
    </w:p>
    <w:p w14:paraId="2F7BFA7E"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Un tempérament :</w:t>
      </w:r>
      <w:r w:rsidRPr="00E9210E">
        <w:t xml:space="preserve"> </w:t>
      </w:r>
      <w:r w:rsidRPr="00E9210E">
        <w:rPr>
          <w:rStyle w:val="Corpsdutexte28ptGraschelle120"/>
          <w:rFonts w:eastAsia="Courier New"/>
          <w:sz w:val="28"/>
        </w:rPr>
        <w:t>Georg von Below »</w:t>
      </w:r>
      <w:r w:rsidRPr="00E9210E">
        <w:t xml:space="preserve">, </w:t>
      </w:r>
      <w:r w:rsidRPr="00E9210E">
        <w:rPr>
          <w:rFonts w:eastAsia="Courier New"/>
          <w:i/>
        </w:rPr>
        <w:t>A.H.E.S</w:t>
      </w:r>
      <w:r w:rsidRPr="00E9210E">
        <w:rPr>
          <w:rStyle w:val="Corpsdutexte2ItaliqueEspacement0pt"/>
          <w:rFonts w:eastAsia="Courier New"/>
          <w:i w:val="0"/>
          <w:sz w:val="28"/>
        </w:rPr>
        <w:t>.,</w:t>
      </w:r>
      <w:r w:rsidRPr="00E9210E">
        <w:t xml:space="preserve"> t. III (1931), pp. 553-559.</w:t>
      </w:r>
    </w:p>
    <w:p w14:paraId="42459302" w14:textId="77777777" w:rsidR="00B9662D" w:rsidRPr="00E9210E" w:rsidRDefault="00B9662D" w:rsidP="00B9662D">
      <w:pPr>
        <w:spacing w:before="120" w:after="120"/>
        <w:jc w:val="both"/>
      </w:pPr>
      <w:r w:rsidRPr="00E9210E">
        <w:rPr>
          <w:rFonts w:eastAsia="Courier New"/>
          <w:i/>
          <w:iCs/>
        </w:rPr>
        <w:t>« </w:t>
      </w:r>
      <w:r w:rsidRPr="00E9210E">
        <w:rPr>
          <w:rStyle w:val="Corpsdutexte108ptGrasNonItaliquechelle120"/>
          <w:rFonts w:eastAsia="Courier New"/>
          <w:i w:val="0"/>
          <w:iCs w:val="0"/>
          <w:sz w:val="28"/>
        </w:rPr>
        <w:t>European feudalism »</w:t>
      </w:r>
      <w:r w:rsidRPr="00E9210E">
        <w:rPr>
          <w:rFonts w:eastAsia="Courier New"/>
          <w:i/>
          <w:iCs/>
        </w:rPr>
        <w:t xml:space="preserve">, </w:t>
      </w:r>
      <w:r w:rsidRPr="00E9210E">
        <w:rPr>
          <w:i/>
        </w:rPr>
        <w:t>Encyclopedia of the Social Scie</w:t>
      </w:r>
      <w:r w:rsidRPr="00E9210E">
        <w:rPr>
          <w:i/>
        </w:rPr>
        <w:t>n</w:t>
      </w:r>
      <w:r w:rsidRPr="00E9210E">
        <w:rPr>
          <w:i/>
        </w:rPr>
        <w:t>ces</w:t>
      </w:r>
      <w:r w:rsidRPr="00E9210E">
        <w:rPr>
          <w:rFonts w:eastAsia="Courier New"/>
          <w:iCs/>
        </w:rPr>
        <w:t>, t. VI (1931), pp. 203-210.</w:t>
      </w:r>
    </w:p>
    <w:p w14:paraId="02258866" w14:textId="77777777" w:rsidR="00B9662D" w:rsidRPr="00E9210E" w:rsidRDefault="00B9662D" w:rsidP="00B9662D">
      <w:pPr>
        <w:spacing w:before="120" w:after="120"/>
        <w:jc w:val="both"/>
      </w:pPr>
      <w:r w:rsidRPr="00E9210E">
        <w:rPr>
          <w:rStyle w:val="Corpsdutexte28ptItalique"/>
          <w:rFonts w:eastAsia="Courier New"/>
          <w:sz w:val="28"/>
        </w:rPr>
        <w:t>L'étude des droits provinciaux.</w:t>
      </w:r>
      <w:r w:rsidRPr="00E9210E">
        <w:rPr>
          <w:rStyle w:val="Corpsdutexte28ptGraschelle120"/>
          <w:rFonts w:eastAsia="Courier New"/>
          <w:sz w:val="28"/>
        </w:rPr>
        <w:t xml:space="preserve"> </w:t>
      </w:r>
      <w:r w:rsidRPr="00E9210E">
        <w:t>(Note sur les journées de la Société d’histoire du Droit des pays flamands, picards et wallons ; 11 et 12 février 1929), « A.H.E.S. », t. III (1931), pp. 70-71.</w:t>
      </w:r>
    </w:p>
    <w:p w14:paraId="74EE6E45" w14:textId="77777777" w:rsidR="00B9662D" w:rsidRPr="00E9210E" w:rsidRDefault="00B9662D" w:rsidP="00B9662D">
      <w:pPr>
        <w:spacing w:before="120" w:after="120"/>
        <w:jc w:val="both"/>
      </w:pPr>
      <w:r w:rsidRPr="00E9210E">
        <w:t xml:space="preserve">La statistique agricole annuelle. (Compte rendu : </w:t>
      </w:r>
      <w:r w:rsidRPr="00E9210E">
        <w:rPr>
          <w:rStyle w:val="Corpsdutexte28ptItalique"/>
          <w:rFonts w:eastAsia="Courier New"/>
          <w:sz w:val="28"/>
        </w:rPr>
        <w:t>La statistique agricole annue</w:t>
      </w:r>
      <w:r w:rsidRPr="00E9210E">
        <w:rPr>
          <w:rStyle w:val="Corpsdutexte28ptItalique"/>
          <w:rFonts w:eastAsia="Courier New"/>
          <w:sz w:val="28"/>
        </w:rPr>
        <w:t>l</w:t>
      </w:r>
      <w:r w:rsidRPr="00E9210E">
        <w:rPr>
          <w:rStyle w:val="Corpsdutexte28ptItalique"/>
          <w:rFonts w:eastAsia="Courier New"/>
          <w:sz w:val="28"/>
        </w:rPr>
        <w:t xml:space="preserve">le (1927), </w:t>
      </w:r>
      <w:r w:rsidRPr="00E9210E">
        <w:t>Paris, 1928), « A.H.E.S. », t. III (1931), p. 73.</w:t>
      </w:r>
    </w:p>
    <w:p w14:paraId="7A093644" w14:textId="77777777" w:rsidR="00B9662D" w:rsidRPr="00E9210E" w:rsidRDefault="00B9662D" w:rsidP="00B9662D">
      <w:pPr>
        <w:spacing w:before="120" w:after="120"/>
        <w:jc w:val="both"/>
      </w:pPr>
      <w:r w:rsidRPr="00E9210E">
        <w:t xml:space="preserve">Monographies agricoles. (Compte rendu : P. </w:t>
      </w:r>
      <w:r w:rsidRPr="00E9210E">
        <w:rPr>
          <w:smallCaps/>
        </w:rPr>
        <w:t>Roux</w:t>
      </w:r>
      <w:r w:rsidRPr="00E9210E">
        <w:t xml:space="preserve">, </w:t>
      </w:r>
      <w:r w:rsidRPr="00E9210E">
        <w:rPr>
          <w:rFonts w:eastAsia="Courier New"/>
          <w:i/>
        </w:rPr>
        <w:t>Le guide de l'enquêteur</w:t>
      </w:r>
      <w:r w:rsidRPr="00E9210E">
        <w:rPr>
          <w:rFonts w:eastAsia="Courier New"/>
        </w:rPr>
        <w:t>,</w:t>
      </w:r>
      <w:r w:rsidRPr="00E9210E">
        <w:rPr>
          <w:rStyle w:val="Corpsdutexte28ptGraschelle120"/>
          <w:rFonts w:eastAsia="Courier New"/>
          <w:sz w:val="28"/>
        </w:rPr>
        <w:t xml:space="preserve"> </w:t>
      </w:r>
      <w:r w:rsidRPr="00E9210E">
        <w:t>Paris, 1930), « A.H.E.S. », t. III (1931), p. 74.</w:t>
      </w:r>
    </w:p>
    <w:p w14:paraId="4E73C05E" w14:textId="77777777" w:rsidR="00B9662D" w:rsidRPr="00E9210E" w:rsidRDefault="00B9662D" w:rsidP="00B9662D">
      <w:pPr>
        <w:spacing w:before="120" w:after="120"/>
        <w:jc w:val="both"/>
      </w:pPr>
      <w:r w:rsidRPr="00E9210E">
        <w:t xml:space="preserve">Communautés religieuses. (Comptes rendus : L. H. </w:t>
      </w:r>
      <w:r w:rsidRPr="00E9210E">
        <w:rPr>
          <w:rStyle w:val="Corpsdutexte27ptGras"/>
          <w:rFonts w:eastAsia="Courier New"/>
          <w:b w:val="0"/>
          <w:smallCaps/>
          <w:sz w:val="28"/>
        </w:rPr>
        <w:t>Champly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w:t>
      </w:r>
      <w:r w:rsidRPr="00E9210E">
        <w:rPr>
          <w:rStyle w:val="Corpsdutexte28ptItalique"/>
          <w:rFonts w:eastAsia="Courier New"/>
          <w:sz w:val="28"/>
        </w:rPr>
        <w:t>s</w:t>
      </w:r>
      <w:r w:rsidRPr="00E9210E">
        <w:rPr>
          <w:rStyle w:val="Corpsdutexte28ptItalique"/>
          <w:rFonts w:eastAsia="Courier New"/>
          <w:sz w:val="28"/>
        </w:rPr>
        <w:t>toire de l'a</w:t>
      </w:r>
      <w:r w:rsidRPr="00E9210E">
        <w:rPr>
          <w:rStyle w:val="Corpsdutexte28ptItalique"/>
          <w:rFonts w:eastAsia="Courier New"/>
          <w:sz w:val="28"/>
        </w:rPr>
        <w:t>b</w:t>
      </w:r>
      <w:r w:rsidRPr="00E9210E">
        <w:rPr>
          <w:rStyle w:val="Corpsdutexte28ptItalique"/>
          <w:rFonts w:eastAsia="Courier New"/>
          <w:sz w:val="28"/>
        </w:rPr>
        <w:t>baye de Cluny</w:t>
      </w:r>
      <w:r w:rsidRPr="00E9210E">
        <w:t>, 3</w:t>
      </w:r>
      <w:r w:rsidRPr="00E9210E">
        <w:rPr>
          <w:vertAlign w:val="superscript"/>
        </w:rPr>
        <w:t>e</w:t>
      </w:r>
      <w:r w:rsidRPr="00E9210E">
        <w:t xml:space="preserve"> éd. revue par R. Champly, Paris, 1930. — Dom H. </w:t>
      </w:r>
      <w:r w:rsidRPr="00E9210E">
        <w:rPr>
          <w:rStyle w:val="Corpsdutexte27ptGras"/>
          <w:rFonts w:eastAsia="Courier New"/>
          <w:b w:val="0"/>
          <w:smallCaps/>
          <w:sz w:val="28"/>
        </w:rPr>
        <w:t>Leclercq</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L'ordre Bénédictin,</w:t>
      </w:r>
      <w:r w:rsidRPr="00E9210E">
        <w:rPr>
          <w:rStyle w:val="Corpsdutexte28ptGraschelle120"/>
          <w:rFonts w:eastAsia="Courier New"/>
          <w:sz w:val="28"/>
        </w:rPr>
        <w:t xml:space="preserve"> </w:t>
      </w:r>
      <w:r w:rsidRPr="00E9210E">
        <w:t xml:space="preserve">Paris, 1930. — Dom P. de </w:t>
      </w:r>
      <w:r w:rsidRPr="00E9210E">
        <w:rPr>
          <w:rStyle w:val="Corpsdutexte27ptGras"/>
          <w:rFonts w:eastAsia="Courier New"/>
          <w:b w:val="0"/>
          <w:smallCaps/>
          <w:sz w:val="28"/>
        </w:rPr>
        <w:t>Montsabert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monastère de Ligugé :</w:t>
      </w:r>
      <w:r w:rsidRPr="00E9210E">
        <w:rPr>
          <w:rStyle w:val="Corpsdutexte2ItaliqueEspacement0pt"/>
          <w:rFonts w:eastAsia="Courier New"/>
          <w:sz w:val="28"/>
        </w:rPr>
        <w:t xml:space="preserve"> </w:t>
      </w:r>
      <w:r w:rsidRPr="00E9210E">
        <w:rPr>
          <w:rStyle w:val="Corpsdutexte28ptItalique"/>
          <w:rFonts w:eastAsia="Courier New"/>
          <w:sz w:val="28"/>
        </w:rPr>
        <w:t>étude historique,</w:t>
      </w:r>
      <w:r w:rsidRPr="00E9210E">
        <w:rPr>
          <w:rStyle w:val="Corpsdutexte28ptGraschelle120"/>
          <w:rFonts w:eastAsia="Courier New"/>
          <w:sz w:val="28"/>
        </w:rPr>
        <w:t xml:space="preserve"> </w:t>
      </w:r>
      <w:r w:rsidRPr="00E9210E">
        <w:t>Lig</w:t>
      </w:r>
      <w:r w:rsidRPr="00E9210E">
        <w:t>u</w:t>
      </w:r>
      <w:r w:rsidRPr="00E9210E">
        <w:t xml:space="preserve">gé, 1929. — L. </w:t>
      </w:r>
      <w:r w:rsidRPr="00E9210E">
        <w:rPr>
          <w:rStyle w:val="Corpsdutexte27ptGras"/>
          <w:rFonts w:eastAsia="Courier New"/>
          <w:b w:val="0"/>
          <w:smallCaps/>
          <w:sz w:val="28"/>
        </w:rPr>
        <w:t>Bigard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L'office claustral du trésorier de l’abbaye de Saint-Denis,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Mabillon,</w:t>
      </w:r>
      <w:r w:rsidRPr="00E9210E">
        <w:rPr>
          <w:rStyle w:val="Corpsdutexte28ptGraschelle120"/>
          <w:rFonts w:eastAsia="Courier New"/>
          <w:sz w:val="28"/>
        </w:rPr>
        <w:t xml:space="preserve"> </w:t>
      </w:r>
      <w:r w:rsidRPr="00E9210E">
        <w:t>1928 et 1929), « A.H.E.S. », t. III (1931), pp. 134-135.</w:t>
      </w:r>
    </w:p>
    <w:p w14:paraId="49A7C51E" w14:textId="77777777" w:rsidR="00B9662D" w:rsidRPr="00E9210E" w:rsidRDefault="00B9662D" w:rsidP="00B9662D">
      <w:pPr>
        <w:spacing w:before="120" w:after="120"/>
        <w:jc w:val="both"/>
      </w:pPr>
      <w:r w:rsidRPr="00E9210E">
        <w:rPr>
          <w:rStyle w:val="Corpsdutexte28ptItalique"/>
          <w:rFonts w:eastAsia="Courier New"/>
          <w:sz w:val="28"/>
        </w:rPr>
        <w:t>Comment recueillir les anciens prix.</w:t>
      </w:r>
      <w:r w:rsidRPr="00E9210E">
        <w:rPr>
          <w:rStyle w:val="Corpsdutexte28ptGraschelle120"/>
          <w:rFonts w:eastAsia="Courier New"/>
          <w:sz w:val="28"/>
        </w:rPr>
        <w:t xml:space="preserve"> </w:t>
      </w:r>
      <w:r w:rsidRPr="00E9210E">
        <w:t>« A.H.E.S. », t. III (1931), pp. 227-228.</w:t>
      </w:r>
    </w:p>
    <w:p w14:paraId="4441EA1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w:t>
      </w:r>
      <w:r w:rsidRPr="00E9210E">
        <w:rPr>
          <w:rStyle w:val="Corpsdutexte37ptGrasNonItalique"/>
          <w:rFonts w:eastAsia="Courier New"/>
          <w:b w:val="0"/>
          <w:i w:val="0"/>
          <w:iCs w:val="0"/>
          <w:sz w:val="28"/>
        </w:rPr>
        <w:t xml:space="preserve">L. </w:t>
      </w:r>
      <w:r w:rsidRPr="00E9210E">
        <w:rPr>
          <w:rStyle w:val="Corpsdutexte37ptGrasNonItalique"/>
          <w:rFonts w:eastAsia="Courier New"/>
          <w:b w:val="0"/>
          <w:i w:val="0"/>
          <w:iCs w:val="0"/>
          <w:smallCaps/>
          <w:sz w:val="28"/>
        </w:rPr>
        <w:t>Le Grand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Comment composer l'histoire d'un établissement hospitalier. Sources et méthodes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d'histoire de l’Église de France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XVI (1930), pp. 161-239, « A.H.E.S. », t. III (1931), p. 240.</w:t>
      </w:r>
    </w:p>
    <w:p w14:paraId="2FBF28B0" w14:textId="77777777" w:rsidR="00B9662D" w:rsidRPr="00E9210E" w:rsidRDefault="00B9662D" w:rsidP="00B9662D">
      <w:pPr>
        <w:spacing w:before="120" w:after="120"/>
        <w:jc w:val="both"/>
      </w:pPr>
      <w:r w:rsidRPr="00E9210E">
        <w:t xml:space="preserve">Les archives d’un marchand italien. (Compte rendu : R. </w:t>
      </w:r>
      <w:r w:rsidRPr="00E9210E">
        <w:rPr>
          <w:rStyle w:val="Corpsdutexte27ptGras"/>
          <w:rFonts w:eastAsia="Courier New"/>
          <w:b w:val="0"/>
          <w:smallCaps/>
          <w:sz w:val="28"/>
        </w:rPr>
        <w:t>Brun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 fou</w:t>
      </w:r>
      <w:r w:rsidRPr="00E9210E">
        <w:rPr>
          <w:rFonts w:eastAsia="Courier New"/>
          <w:i/>
        </w:rPr>
        <w:t>r</w:t>
      </w:r>
      <w:r w:rsidRPr="00E9210E">
        <w:rPr>
          <w:rFonts w:eastAsia="Courier New"/>
          <w:i/>
        </w:rPr>
        <w:t>teenth century Merchant of Italy</w:t>
      </w:r>
      <w:r w:rsidRPr="00E9210E">
        <w:rPr>
          <w:rFonts w:eastAsia="Courier New"/>
        </w:rPr>
        <w:t>,</w:t>
      </w:r>
      <w:r w:rsidRPr="00E9210E">
        <w:rPr>
          <w:rStyle w:val="Corpsdutexte28ptGraschelle120"/>
          <w:rFonts w:eastAsia="Courier New"/>
          <w:sz w:val="28"/>
        </w:rPr>
        <w:t xml:space="preserve"> </w:t>
      </w:r>
      <w:r w:rsidRPr="00E9210E">
        <w:t xml:space="preserve">dans </w:t>
      </w:r>
      <w:r w:rsidRPr="00E9210E">
        <w:rPr>
          <w:rFonts w:eastAsia="Courier New"/>
          <w:i/>
        </w:rPr>
        <w:t>Journal of economic and Bus</w:t>
      </w:r>
      <w:r w:rsidRPr="00E9210E">
        <w:rPr>
          <w:rFonts w:eastAsia="Courier New"/>
          <w:i/>
        </w:rPr>
        <w:t>i</w:t>
      </w:r>
      <w:r w:rsidRPr="00E9210E">
        <w:rPr>
          <w:rFonts w:eastAsia="Courier New"/>
          <w:i/>
        </w:rPr>
        <w:t>ness History</w:t>
      </w:r>
      <w:r w:rsidRPr="00E9210E">
        <w:rPr>
          <w:rFonts w:eastAsia="Courier New"/>
        </w:rPr>
        <w:t>,</w:t>
      </w:r>
      <w:r w:rsidRPr="00E9210E">
        <w:rPr>
          <w:rStyle w:val="Corpsdutexte28ptGraschelle120"/>
          <w:rFonts w:eastAsia="Courier New"/>
          <w:sz w:val="28"/>
        </w:rPr>
        <w:t xml:space="preserve"> </w:t>
      </w:r>
      <w:r w:rsidRPr="00E9210E">
        <w:t>t. II (1930), p. 451-466), « A.H.E.S. », t. III (1931), p. 240.</w:t>
      </w:r>
    </w:p>
    <w:p w14:paraId="5388ACB9"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Archives communales. (Compte rendu : J. </w:t>
      </w:r>
      <w:r w:rsidRPr="00E9210E">
        <w:rPr>
          <w:rStyle w:val="Corpsdutexte37ptGrasNonItalique"/>
          <w:rFonts w:eastAsia="Courier New"/>
          <w:b w:val="0"/>
          <w:i w:val="0"/>
          <w:iCs w:val="0"/>
          <w:smallCaps/>
          <w:sz w:val="28"/>
        </w:rPr>
        <w:t>Régné</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Répertoire des plus anciennes délibérations municipales conservées dans les co</w:t>
      </w:r>
      <w:r w:rsidRPr="00E9210E">
        <w:rPr>
          <w:i/>
        </w:rPr>
        <w:t>m</w:t>
      </w:r>
      <w:r w:rsidRPr="00E9210E">
        <w:rPr>
          <w:i/>
        </w:rPr>
        <w:t>munes ou déposées aux Archives de l'Ardèche, précédé d'une intr</w:t>
      </w:r>
      <w:r w:rsidRPr="00E9210E">
        <w:rPr>
          <w:i/>
        </w:rPr>
        <w:t>o</w:t>
      </w:r>
      <w:r w:rsidRPr="00E9210E">
        <w:rPr>
          <w:i/>
        </w:rPr>
        <w:t>duction sur les nouvelles acquisitions des archives et de la biblioth</w:t>
      </w:r>
      <w:r w:rsidRPr="00E9210E">
        <w:rPr>
          <w:i/>
        </w:rPr>
        <w:t>è</w:t>
      </w:r>
      <w:r w:rsidRPr="00E9210E">
        <w:rPr>
          <w:i/>
        </w:rPr>
        <w:t>que du département au 1</w:t>
      </w:r>
      <w:r w:rsidRPr="00E9210E">
        <w:rPr>
          <w:i/>
          <w:vertAlign w:val="superscript"/>
        </w:rPr>
        <w:t>er</w:t>
      </w:r>
      <w:r w:rsidRPr="00E9210E">
        <w:rPr>
          <w:i/>
        </w:rPr>
        <w:t xml:space="preserve"> juillet 1930</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Annonay, 1930), « A.H.E.S. », t. III (1931), p. 240.</w:t>
      </w:r>
    </w:p>
    <w:p w14:paraId="3D57054E" w14:textId="77777777" w:rsidR="00B9662D" w:rsidRPr="00E9210E" w:rsidRDefault="00B9662D" w:rsidP="00B9662D">
      <w:pPr>
        <w:spacing w:before="120" w:after="120"/>
        <w:jc w:val="both"/>
      </w:pPr>
      <w:r w:rsidRPr="00E9210E">
        <w:t xml:space="preserve">Une histoire générale du Moyen Âge. (Compte rendu : </w:t>
      </w:r>
      <w:r w:rsidRPr="00E9210E">
        <w:rPr>
          <w:rStyle w:val="Corpsdutexte28ptItalique"/>
          <w:rFonts w:eastAsia="Courier New"/>
          <w:sz w:val="28"/>
        </w:rPr>
        <w:t>The Ca</w:t>
      </w:r>
      <w:r w:rsidRPr="00E9210E">
        <w:rPr>
          <w:rStyle w:val="Corpsdutexte28ptItalique"/>
          <w:rFonts w:eastAsia="Courier New"/>
          <w:sz w:val="28"/>
        </w:rPr>
        <w:t>m</w:t>
      </w:r>
      <w:r w:rsidRPr="00E9210E">
        <w:rPr>
          <w:rStyle w:val="Corpsdutexte28ptItalique"/>
          <w:rFonts w:eastAsia="Courier New"/>
          <w:sz w:val="28"/>
        </w:rPr>
        <w:t>bridge M</w:t>
      </w:r>
      <w:r w:rsidRPr="00E9210E">
        <w:rPr>
          <w:rStyle w:val="Corpsdutexte28ptItalique"/>
          <w:rFonts w:eastAsia="Courier New"/>
          <w:sz w:val="28"/>
        </w:rPr>
        <w:t>e</w:t>
      </w:r>
      <w:r w:rsidRPr="00E9210E">
        <w:rPr>
          <w:rStyle w:val="Corpsdutexte28ptItalique"/>
          <w:rFonts w:eastAsia="Courier New"/>
          <w:sz w:val="28"/>
        </w:rPr>
        <w:t xml:space="preserve">dieval History, </w:t>
      </w:r>
      <w:r w:rsidRPr="00E9210E">
        <w:t xml:space="preserve">t. VI, </w:t>
      </w:r>
      <w:r w:rsidRPr="00E9210E">
        <w:rPr>
          <w:rStyle w:val="Corpsdutexte28ptItalique"/>
          <w:rFonts w:eastAsia="Courier New"/>
          <w:sz w:val="28"/>
        </w:rPr>
        <w:t>Victory of the Papacy,</w:t>
      </w:r>
      <w:r w:rsidRPr="00E9210E">
        <w:rPr>
          <w:rStyle w:val="Corpsdutexte28ptGraschelle120"/>
          <w:rFonts w:eastAsia="Courier New"/>
          <w:sz w:val="28"/>
        </w:rPr>
        <w:t xml:space="preserve"> </w:t>
      </w:r>
      <w:r w:rsidRPr="00E9210E">
        <w:t>Cambridge, 1929), « A.H.E.S. », t. III (1931), p. 241.</w:t>
      </w:r>
    </w:p>
    <w:p w14:paraId="4E7361D8" w14:textId="77777777" w:rsidR="00B9662D" w:rsidRPr="00E9210E" w:rsidRDefault="00B9662D" w:rsidP="00B9662D">
      <w:pPr>
        <w:spacing w:before="120" w:after="120"/>
        <w:jc w:val="both"/>
      </w:pPr>
      <w:r w:rsidRPr="00E9210E">
        <w:t>Un progrès dans notre équipement scientifique : les index par m</w:t>
      </w:r>
      <w:r w:rsidRPr="00E9210E">
        <w:t>a</w:t>
      </w:r>
      <w:r w:rsidRPr="00E9210E">
        <w:t xml:space="preserve">tières. (Compte rendu : R. </w:t>
      </w:r>
      <w:r w:rsidRPr="00E9210E">
        <w:rPr>
          <w:rStyle w:val="Corpsdutexte27ptGras"/>
          <w:rFonts w:eastAsia="Courier New"/>
          <w:b w:val="0"/>
          <w:smallCaps/>
          <w:sz w:val="28"/>
        </w:rPr>
        <w:t>Genestal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Index des termes juridiques et éc</w:t>
      </w:r>
      <w:r w:rsidRPr="00E9210E">
        <w:rPr>
          <w:rFonts w:eastAsia="Courier New"/>
          <w:i/>
        </w:rPr>
        <w:t>o</w:t>
      </w:r>
      <w:r w:rsidRPr="00E9210E">
        <w:rPr>
          <w:rFonts w:eastAsia="Courier New"/>
          <w:i/>
        </w:rPr>
        <w:t>nomiques contenus dans le</w:t>
      </w:r>
      <w:r w:rsidRPr="00E9210E">
        <w:rPr>
          <w:rFonts w:eastAsia="Courier New"/>
        </w:rPr>
        <w:t xml:space="preserve"> Recueil </w:t>
      </w:r>
      <w:r w:rsidRPr="00E9210E">
        <w:rPr>
          <w:rFonts w:eastAsia="Courier New"/>
          <w:i/>
        </w:rPr>
        <w:t xml:space="preserve">des jugements de l’Échiquier de Normandie au </w:t>
      </w:r>
      <w:r w:rsidRPr="00E9210E">
        <w:rPr>
          <w:rStyle w:val="Corpsdutexte2ItaliqueEspacement1pt"/>
          <w:rFonts w:eastAsia="Courier New"/>
          <w:sz w:val="28"/>
        </w:rPr>
        <w:t>XIII</w:t>
      </w:r>
      <w:r w:rsidRPr="00E9210E">
        <w:rPr>
          <w:rStyle w:val="Corpsdutexte2ItaliqueEspacement1pt"/>
          <w:rFonts w:eastAsia="Courier New"/>
          <w:sz w:val="28"/>
          <w:vertAlign w:val="superscript"/>
        </w:rPr>
        <w:t>e</w:t>
      </w:r>
      <w:r w:rsidRPr="00E9210E">
        <w:rPr>
          <w:rFonts w:eastAsia="Courier New"/>
          <w:i/>
        </w:rPr>
        <w:t xml:space="preserve"> siècle</w:t>
      </w:r>
      <w:r w:rsidRPr="00E9210E">
        <w:rPr>
          <w:rFonts w:eastAsia="Courier New"/>
        </w:rPr>
        <w:t xml:space="preserve">, </w:t>
      </w:r>
      <w:r w:rsidRPr="00E9210E">
        <w:rPr>
          <w:rFonts w:eastAsia="Courier New"/>
          <w:i/>
        </w:rPr>
        <w:t>de L. Delisle</w:t>
      </w:r>
      <w:r w:rsidRPr="00E9210E">
        <w:rPr>
          <w:rFonts w:eastAsia="Courier New"/>
        </w:rPr>
        <w:t>,</w:t>
      </w:r>
      <w:r w:rsidRPr="00E9210E">
        <w:rPr>
          <w:rStyle w:val="Corpsdutexte28ptGraschelle120"/>
          <w:rFonts w:eastAsia="Courier New"/>
          <w:sz w:val="28"/>
        </w:rPr>
        <w:t xml:space="preserve"> </w:t>
      </w:r>
      <w:r w:rsidRPr="00E9210E">
        <w:t>Paris, 1929), « A.H.E.S. », t. III (1931), p. 242.</w:t>
      </w:r>
    </w:p>
    <w:p w14:paraId="3B7D7383" w14:textId="77777777" w:rsidR="00B9662D" w:rsidRPr="00E9210E" w:rsidRDefault="00B9662D" w:rsidP="00B9662D">
      <w:pPr>
        <w:spacing w:before="120" w:after="120"/>
        <w:jc w:val="both"/>
      </w:pPr>
      <w:r w:rsidRPr="00E9210E">
        <w:t xml:space="preserve">Encore le problème des index. (Compte rendu : J. </w:t>
      </w:r>
      <w:r w:rsidRPr="00E9210E">
        <w:rPr>
          <w:rStyle w:val="Corpsdutexte27ptGras"/>
          <w:rFonts w:eastAsia="Courier New"/>
          <w:b w:val="0"/>
          <w:smallCaps/>
          <w:sz w:val="28"/>
        </w:rPr>
        <w:t>Meurgey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Une table des Olim et des registres du Conseil du Parlement de Paris,</w:t>
      </w:r>
      <w:r w:rsidRPr="00E9210E">
        <w:rPr>
          <w:rStyle w:val="Corpsdutexte28ptGraschelle120"/>
          <w:rFonts w:eastAsia="Courier New"/>
          <w:sz w:val="28"/>
        </w:rPr>
        <w:t xml:space="preserve"> </w:t>
      </w:r>
      <w:r w:rsidRPr="00E9210E">
        <w:t>P</w:t>
      </w:r>
      <w:r w:rsidRPr="00E9210E">
        <w:t>a</w:t>
      </w:r>
      <w:r w:rsidRPr="00E9210E">
        <w:t>ris, 1929), « A.H.E.S. », t. III (1931), pp. 242-243.</w:t>
      </w:r>
    </w:p>
    <w:p w14:paraId="56C52C79" w14:textId="77777777" w:rsidR="00B9662D" w:rsidRPr="00E9210E" w:rsidRDefault="00B9662D" w:rsidP="00B9662D">
      <w:pPr>
        <w:spacing w:before="120" w:after="120"/>
        <w:jc w:val="both"/>
      </w:pPr>
      <w:r w:rsidRPr="00E9210E">
        <w:t>[1049]</w:t>
      </w:r>
    </w:p>
    <w:p w14:paraId="65480D86" w14:textId="77777777" w:rsidR="00B9662D" w:rsidRPr="00E9210E" w:rsidRDefault="00B9662D" w:rsidP="00B9662D">
      <w:pPr>
        <w:spacing w:before="120" w:after="120"/>
        <w:jc w:val="both"/>
      </w:pPr>
      <w:r w:rsidRPr="00E9210E">
        <w:t xml:space="preserve">Un instrument de travail métrologique. (Compte rendu : E. S. V. </w:t>
      </w:r>
      <w:r w:rsidRPr="00E9210E">
        <w:rPr>
          <w:rStyle w:val="Corpsdutexte27ptGras"/>
          <w:rFonts w:eastAsia="Courier New"/>
          <w:b w:val="0"/>
          <w:smallCaps/>
          <w:sz w:val="28"/>
        </w:rPr>
        <w:t>Oelsen</w:t>
      </w:r>
      <w:r w:rsidRPr="00E9210E">
        <w:rPr>
          <w:rStyle w:val="Corpsdutexte27ptGras"/>
          <w:rFonts w:eastAsia="Courier New"/>
          <w:sz w:val="28"/>
        </w:rPr>
        <w:t xml:space="preserve">, </w:t>
      </w:r>
      <w:r w:rsidRPr="00E9210E">
        <w:rPr>
          <w:rStyle w:val="Corpsdutexte28ptItalique"/>
          <w:rFonts w:eastAsia="Courier New"/>
          <w:sz w:val="28"/>
        </w:rPr>
        <w:t>Zahlungsmittel, Masse und Gewichte der ganzen Erde</w:t>
      </w:r>
      <w:r w:rsidRPr="00E9210E">
        <w:rPr>
          <w:rStyle w:val="Corpsdutexte2ItaliqueEspacement0pt"/>
          <w:rFonts w:eastAsia="Courier New"/>
          <w:sz w:val="28"/>
        </w:rPr>
        <w:t>,</w:t>
      </w:r>
      <w:r w:rsidRPr="00E9210E">
        <w:t xml:space="preserve"> Be</w:t>
      </w:r>
      <w:r w:rsidRPr="00E9210E">
        <w:t>r</w:t>
      </w:r>
      <w:r w:rsidRPr="00E9210E">
        <w:t>lin, 1930), « A.H.E.S. », t. III (1931), p. 243.</w:t>
      </w:r>
    </w:p>
    <w:p w14:paraId="183BB948" w14:textId="77777777" w:rsidR="00B9662D" w:rsidRPr="00E9210E" w:rsidRDefault="00B9662D" w:rsidP="00B9662D">
      <w:pPr>
        <w:spacing w:before="120" w:after="120"/>
        <w:jc w:val="both"/>
      </w:pPr>
      <w:r w:rsidRPr="00E9210E">
        <w:t>Not. nécrologique : Paul Raveau, « A.H.E.S. », t. III (1931), p. 245.</w:t>
      </w:r>
    </w:p>
    <w:p w14:paraId="463FAC57" w14:textId="77777777" w:rsidR="00B9662D" w:rsidRPr="00E9210E" w:rsidRDefault="00B9662D" w:rsidP="00B9662D">
      <w:pPr>
        <w:spacing w:before="120" w:after="120"/>
        <w:jc w:val="both"/>
      </w:pPr>
      <w:r w:rsidRPr="00E9210E">
        <w:rPr>
          <w:rStyle w:val="Corpsdutexte385ptNonItalique"/>
          <w:rFonts w:eastAsia="Courier New"/>
          <w:i w:val="0"/>
          <w:iCs w:val="0"/>
          <w:sz w:val="28"/>
        </w:rPr>
        <w:t>Féodalité, vassalité, seigneurie : à propos de quelques travaux r</w:t>
      </w:r>
      <w:r w:rsidRPr="00E9210E">
        <w:rPr>
          <w:rStyle w:val="Corpsdutexte385ptNonItalique"/>
          <w:rFonts w:eastAsia="Courier New"/>
          <w:i w:val="0"/>
          <w:iCs w:val="0"/>
          <w:sz w:val="28"/>
        </w:rPr>
        <w:t>é</w:t>
      </w:r>
      <w:r w:rsidRPr="00E9210E">
        <w:rPr>
          <w:rStyle w:val="Corpsdutexte385ptNonItalique"/>
          <w:rFonts w:eastAsia="Courier New"/>
          <w:i w:val="0"/>
          <w:iCs w:val="0"/>
          <w:sz w:val="28"/>
        </w:rPr>
        <w:t xml:space="preserve">cents. (O. </w:t>
      </w:r>
      <w:r w:rsidRPr="00E9210E">
        <w:rPr>
          <w:rStyle w:val="Corpsdutexte37ptGrasNonItalique"/>
          <w:rFonts w:eastAsia="Courier New"/>
          <w:b w:val="0"/>
          <w:i w:val="0"/>
          <w:iCs w:val="0"/>
          <w:smallCaps/>
          <w:sz w:val="28"/>
        </w:rPr>
        <w:t>Hintze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Wesen und Ve</w:t>
      </w:r>
      <w:r w:rsidRPr="00E9210E">
        <w:rPr>
          <w:i/>
        </w:rPr>
        <w:t>r</w:t>
      </w:r>
      <w:r w:rsidRPr="00E9210E">
        <w:rPr>
          <w:i/>
        </w:rPr>
        <w:t>breitung des Feudalismus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Berlin, 1929. — K. </w:t>
      </w:r>
      <w:r w:rsidRPr="00E9210E">
        <w:rPr>
          <w:rStyle w:val="Corpsdutexte37ptGrasNonItalique"/>
          <w:rFonts w:eastAsia="Courier New"/>
          <w:b w:val="0"/>
          <w:i w:val="0"/>
          <w:iCs w:val="0"/>
          <w:smallCaps/>
          <w:sz w:val="28"/>
        </w:rPr>
        <w:t>Asakawa</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documents of Iriki, illustrative of the d</w:t>
      </w:r>
      <w:r w:rsidRPr="00E9210E">
        <w:rPr>
          <w:i/>
        </w:rPr>
        <w:t>e</w:t>
      </w:r>
      <w:r w:rsidRPr="00E9210E">
        <w:rPr>
          <w:i/>
        </w:rPr>
        <w:t>velopment of the feudal institutions of Japan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New Haven, 1929. — Y. </w:t>
      </w:r>
      <w:r w:rsidRPr="00E9210E">
        <w:rPr>
          <w:rStyle w:val="Corpsdutexte37ptGrasNonItalique"/>
          <w:rFonts w:eastAsia="Courier New"/>
          <w:b w:val="0"/>
          <w:i w:val="0"/>
          <w:iCs w:val="0"/>
          <w:smallCaps/>
          <w:sz w:val="28"/>
        </w:rPr>
        <w:t>Bröndal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Moyen latin Feudum</w:t>
      </w:r>
      <w:r w:rsidRPr="00E9210E">
        <w:t xml:space="preserve">, </w:t>
      </w:r>
      <w:r w:rsidRPr="00E9210E">
        <w:rPr>
          <w:i/>
        </w:rPr>
        <w:t>fr. Fief</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Donum Natalicium Schrijnen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1929, pp. 447-452. — F. L. </w:t>
      </w:r>
      <w:r w:rsidRPr="00E9210E">
        <w:rPr>
          <w:rStyle w:val="Corpsdutexte37ptGrasNonItalique"/>
          <w:rFonts w:eastAsia="Courier New"/>
          <w:b w:val="0"/>
          <w:i w:val="0"/>
          <w:iCs w:val="0"/>
          <w:smallCaps/>
          <w:sz w:val="28"/>
        </w:rPr>
        <w:t>Ganshof</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Depuis quand a-t-on pu, en France, être vassal de plusieurs seigneurs </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Mélanges Paul Fournier</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1929, pp. 261-270. — M. </w:t>
      </w:r>
      <w:r w:rsidRPr="00E9210E">
        <w:rPr>
          <w:rStyle w:val="Corpsdutexte37ptGrasNonItalique"/>
          <w:rFonts w:eastAsia="Courier New"/>
          <w:b w:val="0"/>
          <w:i w:val="0"/>
          <w:iCs w:val="0"/>
          <w:smallCaps/>
          <w:sz w:val="28"/>
        </w:rPr>
        <w:t>Dillay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w:t>
      </w:r>
      <w:r w:rsidRPr="00E9210E">
        <w:rPr>
          <w:rStyle w:val="Corpsdutexte3GrasNonItaliquechelle120"/>
          <w:rFonts w:eastAsia="Courier New"/>
          <w:i w:val="0"/>
          <w:iCs w:val="0"/>
          <w:sz w:val="28"/>
        </w:rPr>
        <w:t xml:space="preserve"> « </w:t>
      </w:r>
      <w:r w:rsidRPr="00E9210E">
        <w:rPr>
          <w:i/>
        </w:rPr>
        <w:t>service</w:t>
      </w:r>
      <w:r w:rsidRPr="00E9210E">
        <w:rPr>
          <w:rStyle w:val="Corpsdutexte3GrasNonItaliquechelle120"/>
          <w:rFonts w:eastAsia="Courier New"/>
          <w:i w:val="0"/>
          <w:iCs w:val="0"/>
          <w:sz w:val="28"/>
        </w:rPr>
        <w:t xml:space="preserve"> » </w:t>
      </w:r>
      <w:r w:rsidRPr="00E9210E">
        <w:rPr>
          <w:i/>
        </w:rPr>
        <w:t>a</w:t>
      </w:r>
      <w:r w:rsidRPr="00E9210E">
        <w:rPr>
          <w:i/>
        </w:rPr>
        <w:t>n</w:t>
      </w:r>
      <w:r w:rsidRPr="00E9210E">
        <w:rPr>
          <w:i/>
        </w:rPr>
        <w:t>nuel en deniers des fiefs de la r</w:t>
      </w:r>
      <w:r w:rsidRPr="00E9210E">
        <w:rPr>
          <w:i/>
        </w:rPr>
        <w:t>é</w:t>
      </w:r>
      <w:r w:rsidRPr="00E9210E">
        <w:rPr>
          <w:i/>
        </w:rPr>
        <w:t>gion angevine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Mélanges Paul Fournier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pp. 143-151. — A. </w:t>
      </w:r>
      <w:r w:rsidRPr="00E9210E">
        <w:rPr>
          <w:rStyle w:val="Corpsdutexte37ptGrasNonItalique"/>
          <w:rFonts w:eastAsia="Courier New"/>
          <w:b w:val="0"/>
          <w:i w:val="0"/>
          <w:iCs w:val="0"/>
          <w:smallCaps/>
          <w:sz w:val="28"/>
        </w:rPr>
        <w:t>Petit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Coliberti ou Culverts, essai d’interprétation des textes qui les concernent </w:t>
      </w:r>
      <w:r w:rsidRPr="00E9210E">
        <w:rPr>
          <w:rFonts w:eastAsia="Courier New"/>
          <w:i/>
        </w:rPr>
        <w:t>(XI</w:t>
      </w:r>
      <w:r w:rsidRPr="00E9210E">
        <w:rPr>
          <w:rFonts w:eastAsia="Courier New"/>
          <w:i/>
          <w:vertAlign w:val="superscript"/>
        </w:rPr>
        <w:t>e</w:t>
      </w:r>
      <w:r w:rsidRPr="00E9210E">
        <w:rPr>
          <w:rFonts w:eastAsia="Courier New"/>
          <w:i/>
        </w:rPr>
        <w:t>-XII</w:t>
      </w:r>
      <w:r w:rsidRPr="00E9210E">
        <w:rPr>
          <w:rFonts w:eastAsia="Courier New"/>
          <w:i/>
          <w:vertAlign w:val="superscript"/>
        </w:rPr>
        <w:t>e</w:t>
      </w:r>
      <w:r w:rsidRPr="00E9210E">
        <w:rPr>
          <w:i/>
        </w:rPr>
        <w:t xml:space="preserve"> siècle),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Lim</w:t>
      </w:r>
      <w:r w:rsidRPr="00E9210E">
        <w:rPr>
          <w:rStyle w:val="Corpsdutexte385ptNonItalique"/>
          <w:rFonts w:eastAsia="Courier New"/>
          <w:i w:val="0"/>
          <w:iCs w:val="0"/>
          <w:sz w:val="28"/>
        </w:rPr>
        <w:t>o</w:t>
      </w:r>
      <w:r w:rsidRPr="00E9210E">
        <w:rPr>
          <w:rStyle w:val="Corpsdutexte385ptNonItalique"/>
          <w:rFonts w:eastAsia="Courier New"/>
          <w:i w:val="0"/>
          <w:iCs w:val="0"/>
          <w:sz w:val="28"/>
        </w:rPr>
        <w:t xml:space="preserve">ges, 1926. — F. </w:t>
      </w:r>
      <w:r w:rsidRPr="00E9210E">
        <w:rPr>
          <w:rStyle w:val="Corpsdutexte37ptGrasNonItalique"/>
          <w:rFonts w:eastAsia="Courier New"/>
          <w:b w:val="0"/>
          <w:i w:val="0"/>
          <w:iCs w:val="0"/>
          <w:smallCaps/>
          <w:sz w:val="28"/>
        </w:rPr>
        <w:t>Thibault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Essai de solution du problème des Col</w:t>
      </w:r>
      <w:r w:rsidRPr="00E9210E">
        <w:rPr>
          <w:i/>
        </w:rPr>
        <w:t>i</w:t>
      </w:r>
      <w:r w:rsidRPr="00E9210E">
        <w:rPr>
          <w:i/>
        </w:rPr>
        <w:t>berti</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Mélanges Paul Fournier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pp. 725-733. — A. </w:t>
      </w:r>
      <w:r w:rsidRPr="00E9210E">
        <w:rPr>
          <w:rStyle w:val="Corpsdutexte37ptGrasNonItalique"/>
          <w:rFonts w:eastAsia="Courier New"/>
          <w:b w:val="0"/>
          <w:i w:val="0"/>
          <w:iCs w:val="0"/>
          <w:smallCaps/>
          <w:sz w:val="28"/>
        </w:rPr>
        <w:t>Petit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Col</w:t>
      </w:r>
      <w:r w:rsidRPr="00E9210E">
        <w:rPr>
          <w:i/>
        </w:rPr>
        <w:t>i</w:t>
      </w:r>
      <w:r w:rsidRPr="00E9210E">
        <w:rPr>
          <w:i/>
        </w:rPr>
        <w:t>berti ou Culverts, réponse à diverses objections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Limoges, 1930. — </w:t>
      </w:r>
      <w:r w:rsidRPr="00E9210E">
        <w:rPr>
          <w:rStyle w:val="Corpsdutexte37ptGrasNonItalique"/>
          <w:rFonts w:eastAsia="Courier New"/>
          <w:b w:val="0"/>
          <w:i w:val="0"/>
          <w:iCs w:val="0"/>
          <w:sz w:val="28"/>
        </w:rPr>
        <w:t xml:space="preserve">P. </w:t>
      </w:r>
      <w:r w:rsidRPr="00E9210E">
        <w:rPr>
          <w:rStyle w:val="Corpsdutexte37ptGrasNonItalique"/>
          <w:rFonts w:eastAsia="Courier New"/>
          <w:b w:val="0"/>
          <w:i w:val="0"/>
          <w:iCs w:val="0"/>
          <w:smallCaps/>
          <w:sz w:val="28"/>
        </w:rPr>
        <w:t>Petot</w:t>
      </w:r>
      <w:r w:rsidRPr="00E9210E">
        <w:rPr>
          <w:rStyle w:val="Corpsdutexte37ptGrasNonItalique"/>
          <w:rFonts w:eastAsia="Courier New"/>
          <w:b w:val="0"/>
          <w:i w:val="0"/>
          <w:iCs w:val="0"/>
          <w:sz w:val="28"/>
        </w:rPr>
        <w:t xml:space="preserve">, </w:t>
      </w:r>
      <w:r w:rsidRPr="00E9210E">
        <w:rPr>
          <w:i/>
        </w:rPr>
        <w:t>La comme</w:t>
      </w:r>
      <w:r w:rsidRPr="00E9210E">
        <w:rPr>
          <w:i/>
        </w:rPr>
        <w:t>n</w:t>
      </w:r>
      <w:r w:rsidRPr="00E9210E">
        <w:rPr>
          <w:i/>
        </w:rPr>
        <w:t>dise personnelle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Mélanges Paul Fournier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pp. 609-614. — J. M. </w:t>
      </w:r>
      <w:r w:rsidRPr="00E9210E">
        <w:rPr>
          <w:rStyle w:val="Corpsdutexte37ptGrasNonItalique"/>
          <w:rFonts w:eastAsia="Courier New"/>
          <w:b w:val="0"/>
          <w:i w:val="0"/>
          <w:iCs w:val="0"/>
          <w:smallCaps/>
          <w:sz w:val="28"/>
        </w:rPr>
        <w:t>Mans Puigarnau</w:t>
      </w:r>
      <w:r w:rsidRPr="00E9210E">
        <w:rPr>
          <w:rStyle w:val="Corpsdutexte37ptGrasNonItalique"/>
          <w:rFonts w:eastAsia="Courier New"/>
          <w:b w:val="0"/>
          <w:i w:val="0"/>
          <w:iCs w:val="0"/>
          <w:sz w:val="28"/>
        </w:rPr>
        <w:t xml:space="preserve">. </w:t>
      </w:r>
      <w:r w:rsidRPr="00E9210E">
        <w:rPr>
          <w:i/>
        </w:rPr>
        <w:t>Las clases serviles bajo la monarquia visigoda y en los estados cristianos de la reconquista e</w:t>
      </w:r>
      <w:r w:rsidRPr="00E9210E">
        <w:rPr>
          <w:i/>
        </w:rPr>
        <w:t>s</w:t>
      </w:r>
      <w:r w:rsidRPr="00E9210E">
        <w:rPr>
          <w:i/>
        </w:rPr>
        <w:t>pahola</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Barcelone, 1930. — M. </w:t>
      </w:r>
      <w:r w:rsidRPr="00E9210E">
        <w:rPr>
          <w:rStyle w:val="Corpsdutexte37ptGrasNonItalique"/>
          <w:rFonts w:eastAsia="Courier New"/>
          <w:b w:val="0"/>
          <w:i w:val="0"/>
          <w:iCs w:val="0"/>
          <w:smallCaps/>
          <w:sz w:val="28"/>
        </w:rPr>
        <w:t>Steinhauser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Der Adel in Dithmar</w:t>
      </w:r>
      <w:r w:rsidRPr="00E9210E">
        <w:rPr>
          <w:i/>
        </w:rPr>
        <w:t>s</w:t>
      </w:r>
      <w:r w:rsidRPr="00E9210E">
        <w:rPr>
          <w:i/>
        </w:rPr>
        <w:t>chen,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Jahrbuch des Vereins für Dithmarscher Lande</w:t>
      </w:r>
      <w:r w:rsidRPr="00E9210E">
        <w:rPr>
          <w:i/>
        </w:rPr>
        <w:t>s</w:t>
      </w:r>
      <w:r w:rsidRPr="00E9210E">
        <w:rPr>
          <w:i/>
        </w:rPr>
        <w:t>kunde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IX (1929), pp. 1-102. — G. </w:t>
      </w:r>
      <w:r w:rsidRPr="00E9210E">
        <w:rPr>
          <w:rStyle w:val="Corpsdutexte37ptGrasNonItalique"/>
          <w:rFonts w:eastAsia="Courier New"/>
          <w:b w:val="0"/>
          <w:i w:val="0"/>
          <w:iCs w:val="0"/>
          <w:smallCaps/>
          <w:sz w:val="28"/>
        </w:rPr>
        <w:t>Maillart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classes rurales dans la région marnaise au Moyen Âge (jusqu’en 1328),</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Saint-Dizier, 1929. — G. </w:t>
      </w:r>
      <w:r w:rsidRPr="00E9210E">
        <w:rPr>
          <w:rStyle w:val="Corpsdutexte37ptGrasNonItalique"/>
          <w:rFonts w:eastAsia="Courier New"/>
          <w:b w:val="0"/>
          <w:i w:val="0"/>
          <w:iCs w:val="0"/>
          <w:smallCaps/>
          <w:sz w:val="28"/>
        </w:rPr>
        <w:t>Robert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L’abbaye de Saint-Thierry et les communautés populaires au Moyen Âge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Reims, 1930. — </w:t>
      </w:r>
      <w:r w:rsidRPr="00E9210E">
        <w:rPr>
          <w:rStyle w:val="Corpsdutexte37ptGrasNonItalique"/>
          <w:rFonts w:eastAsia="Courier New"/>
          <w:b w:val="0"/>
          <w:i w:val="0"/>
          <w:iCs w:val="0"/>
          <w:sz w:val="28"/>
        </w:rPr>
        <w:t>N. </w:t>
      </w:r>
      <w:r w:rsidRPr="00E9210E">
        <w:rPr>
          <w:rStyle w:val="Corpsdutexte37ptGrasNonItalique"/>
          <w:rFonts w:eastAsia="Courier New"/>
          <w:b w:val="0"/>
          <w:i w:val="0"/>
          <w:iCs w:val="0"/>
          <w:smallCaps/>
          <w:sz w:val="28"/>
        </w:rPr>
        <w:t>Neilson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English m</w:t>
      </w:r>
      <w:r w:rsidRPr="00E9210E">
        <w:rPr>
          <w:i/>
        </w:rPr>
        <w:t>a</w:t>
      </w:r>
      <w:r w:rsidRPr="00E9210E">
        <w:rPr>
          <w:i/>
        </w:rPr>
        <w:t>norial forms,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The American hi</w:t>
      </w:r>
      <w:r w:rsidRPr="00E9210E">
        <w:rPr>
          <w:i/>
        </w:rPr>
        <w:t>s</w:t>
      </w:r>
      <w:r w:rsidRPr="00E9210E">
        <w:rPr>
          <w:i/>
        </w:rPr>
        <w:t>torical Review</w:t>
      </w:r>
      <w:r w:rsidRPr="00E9210E">
        <w:t xml:space="preserve">, </w:t>
      </w:r>
      <w:r w:rsidRPr="00E9210E">
        <w:rPr>
          <w:rStyle w:val="Corpsdutexte385ptNonItalique"/>
          <w:rFonts w:eastAsia="Courier New"/>
          <w:i w:val="0"/>
          <w:iCs w:val="0"/>
          <w:sz w:val="28"/>
        </w:rPr>
        <w:t>t. XXXIV (1928-1929), pp. 724-739), « A.H.E.S. », t. III (1931), pp. 246-260.</w:t>
      </w:r>
    </w:p>
    <w:p w14:paraId="13C34D64" w14:textId="77777777" w:rsidR="00B9662D" w:rsidRPr="00E9210E" w:rsidRDefault="00B9662D" w:rsidP="00B9662D">
      <w:pPr>
        <w:spacing w:before="120" w:after="120"/>
        <w:jc w:val="both"/>
      </w:pPr>
      <w:r w:rsidRPr="00E9210E">
        <w:t xml:space="preserve">Un manuel d’histoire des techniques. (Compte rendu : A. </w:t>
      </w:r>
      <w:r w:rsidRPr="00E9210E">
        <w:rPr>
          <w:rStyle w:val="Corpsdutexte27ptGras"/>
          <w:rFonts w:eastAsia="Courier New"/>
          <w:b w:val="0"/>
          <w:smallCaps/>
          <w:sz w:val="28"/>
        </w:rPr>
        <w:t>Payton</w:t>
      </w:r>
      <w:r w:rsidRPr="00E9210E">
        <w:rPr>
          <w:rStyle w:val="Corpsdutexte27ptGras"/>
          <w:rFonts w:eastAsia="Courier New"/>
          <w:b w:val="0"/>
          <w:sz w:val="28"/>
        </w:rPr>
        <w:t xml:space="preserve"> Usher, </w:t>
      </w:r>
      <w:r w:rsidRPr="00E9210E">
        <w:rPr>
          <w:i/>
        </w:rPr>
        <w:t>A</w:t>
      </w:r>
      <w:r w:rsidRPr="00E9210E">
        <w:t xml:space="preserve"> </w:t>
      </w:r>
      <w:r w:rsidRPr="00E9210E">
        <w:rPr>
          <w:rStyle w:val="Corpsdutexte28ptItalique"/>
          <w:rFonts w:eastAsia="Courier New"/>
          <w:sz w:val="28"/>
        </w:rPr>
        <w:t>history of mechanical inventions,</w:t>
      </w:r>
      <w:r w:rsidRPr="00E9210E">
        <w:rPr>
          <w:rStyle w:val="Corpsdutexte28ptGraschelle120"/>
          <w:rFonts w:eastAsia="Courier New"/>
          <w:sz w:val="28"/>
        </w:rPr>
        <w:t xml:space="preserve"> </w:t>
      </w:r>
      <w:r w:rsidRPr="00E9210E">
        <w:t>New York, 1929), « A.H.E.S. », t. III (1931), pp. 278- 279.</w:t>
      </w:r>
    </w:p>
    <w:p w14:paraId="467CA941" w14:textId="77777777" w:rsidR="00B9662D" w:rsidRPr="00E9210E" w:rsidRDefault="00B9662D" w:rsidP="00B9662D">
      <w:pPr>
        <w:spacing w:before="120" w:after="120"/>
        <w:jc w:val="both"/>
      </w:pPr>
      <w:r w:rsidRPr="00E9210E">
        <w:t>Une conscience de classe : les paysans de Norvège. (Compte re</w:t>
      </w:r>
      <w:r w:rsidRPr="00E9210E">
        <w:t>n</w:t>
      </w:r>
      <w:r w:rsidRPr="00E9210E">
        <w:t xml:space="preserve">du : H. </w:t>
      </w:r>
      <w:r w:rsidRPr="00E9210E">
        <w:rPr>
          <w:rStyle w:val="Corpsdutexte27ptGras"/>
          <w:rFonts w:eastAsia="Courier New"/>
          <w:b w:val="0"/>
          <w:smallCaps/>
          <w:sz w:val="28"/>
        </w:rPr>
        <w:t>Koht</w:t>
      </w:r>
      <w:r w:rsidRPr="00E9210E">
        <w:rPr>
          <w:rStyle w:val="Corpsdutexte27ptGras"/>
          <w:rFonts w:eastAsia="Courier New"/>
          <w:b w:val="0"/>
          <w:sz w:val="28"/>
        </w:rPr>
        <w:t>,</w:t>
      </w:r>
      <w:r w:rsidRPr="00E9210E">
        <w:rPr>
          <w:rStyle w:val="Corpsdutexte27ptGras"/>
          <w:rFonts w:eastAsia="Courier New"/>
          <w:sz w:val="28"/>
        </w:rPr>
        <w:t xml:space="preserve"> </w:t>
      </w:r>
      <w:r w:rsidRPr="00E9210E">
        <w:t>« </w:t>
      </w:r>
      <w:r w:rsidRPr="00E9210E">
        <w:rPr>
          <w:rStyle w:val="Corpsdutexte28ptItalique"/>
          <w:rFonts w:eastAsia="Courier New"/>
          <w:sz w:val="28"/>
        </w:rPr>
        <w:t xml:space="preserve">Les luttes des paysans en Norvège du </w:t>
      </w:r>
      <w:r w:rsidRPr="00E9210E">
        <w:rPr>
          <w:rStyle w:val="Corpsdutexte28ptItaliqueEspacement1pt"/>
          <w:rFonts w:eastAsia="Courier New"/>
          <w:sz w:val="28"/>
        </w:rPr>
        <w:t>XVI</w:t>
      </w:r>
      <w:r w:rsidRPr="00E9210E">
        <w:rPr>
          <w:rStyle w:val="Corpsdutexte28ptItaliqueEspacement1pt"/>
          <w:rFonts w:eastAsia="Courier New"/>
          <w:sz w:val="28"/>
          <w:vertAlign w:val="superscript"/>
        </w:rPr>
        <w:t>e</w:t>
      </w:r>
      <w:r w:rsidRPr="00E9210E">
        <w:rPr>
          <w:rStyle w:val="Corpsdutexte28ptItaliqueEspacement1pt"/>
          <w:rFonts w:eastAsia="Courier New"/>
          <w:sz w:val="28"/>
        </w:rPr>
        <w:t xml:space="preserve"> au XIX</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w:t>
      </w:r>
      <w:r w:rsidRPr="00E9210E">
        <w:t>, Paris, 1929), « A.H.E.S. », t. III (1931), pp. 282-284.</w:t>
      </w:r>
    </w:p>
    <w:p w14:paraId="3775F7BC" w14:textId="77777777" w:rsidR="00B9662D" w:rsidRPr="00E9210E" w:rsidRDefault="00B9662D" w:rsidP="00B9662D">
      <w:pPr>
        <w:spacing w:before="120" w:after="120"/>
        <w:jc w:val="both"/>
      </w:pPr>
      <w:r w:rsidRPr="00E9210E">
        <w:t xml:space="preserve">Un milieu social d’après son Folklore juridique. (Compte rendu : E. </w:t>
      </w:r>
      <w:r w:rsidRPr="00E9210E">
        <w:rPr>
          <w:rStyle w:val="Corpsdutexte27ptGras"/>
          <w:rFonts w:eastAsia="Courier New"/>
          <w:b w:val="0"/>
          <w:smallCaps/>
          <w:sz w:val="28"/>
        </w:rPr>
        <w:t>Jobbé-Duval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idées primitives dans la Bretagne contempora</w:t>
      </w:r>
      <w:r w:rsidRPr="00E9210E">
        <w:rPr>
          <w:rStyle w:val="Corpsdutexte28ptItalique"/>
          <w:rFonts w:eastAsia="Courier New"/>
          <w:sz w:val="28"/>
        </w:rPr>
        <w:t>i</w:t>
      </w:r>
      <w:r w:rsidRPr="00E9210E">
        <w:rPr>
          <w:rStyle w:val="Corpsdutexte28ptItalique"/>
          <w:rFonts w:eastAsia="Courier New"/>
          <w:sz w:val="28"/>
        </w:rPr>
        <w:t>ne. Essai de folklore juridique et d’histoire générale du droit,</w:t>
      </w:r>
      <w:r w:rsidRPr="00E9210E">
        <w:rPr>
          <w:rStyle w:val="Corpsdutexte28ptGraschelle120"/>
          <w:rFonts w:eastAsia="Courier New"/>
          <w:sz w:val="28"/>
        </w:rPr>
        <w:t xml:space="preserve"> </w:t>
      </w:r>
      <w:r w:rsidRPr="00E9210E">
        <w:t>t. II, Paris, 1930), « A.H.E.S. », t. III (1931), pp. 286-287.</w:t>
      </w:r>
    </w:p>
    <w:p w14:paraId="43ADA7F6" w14:textId="77777777" w:rsidR="00B9662D" w:rsidRPr="00E9210E" w:rsidRDefault="00B9662D" w:rsidP="00B9662D">
      <w:pPr>
        <w:spacing w:before="120" w:after="120"/>
        <w:jc w:val="both"/>
      </w:pPr>
      <w:r w:rsidRPr="00E9210E">
        <w:t xml:space="preserve">Une commune italienne : Corne. (Compte rendu : </w:t>
      </w:r>
      <w:r w:rsidRPr="00E9210E">
        <w:rPr>
          <w:rStyle w:val="Corpsdutexte27ptGras"/>
          <w:rFonts w:eastAsia="Courier New"/>
          <w:b w:val="0"/>
          <w:smallCaps/>
          <w:sz w:val="28"/>
        </w:rPr>
        <w:t>Campiche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Communalve</w:t>
      </w:r>
      <w:r w:rsidRPr="00E9210E">
        <w:rPr>
          <w:rStyle w:val="Corpsdutexte28ptItalique"/>
          <w:rFonts w:eastAsia="Courier New"/>
          <w:sz w:val="28"/>
        </w:rPr>
        <w:t>r</w:t>
      </w:r>
      <w:r w:rsidRPr="00E9210E">
        <w:rPr>
          <w:rStyle w:val="Corpsdutexte28ptItalique"/>
          <w:rFonts w:eastAsia="Courier New"/>
          <w:sz w:val="28"/>
        </w:rPr>
        <w:t>fassung von Como im 12. und 13. Jahrhundert,</w:t>
      </w:r>
      <w:r w:rsidRPr="00E9210E">
        <w:rPr>
          <w:rStyle w:val="Corpsdutexte28ptGraschelle120"/>
          <w:rFonts w:eastAsia="Courier New"/>
          <w:sz w:val="28"/>
        </w:rPr>
        <w:t xml:space="preserve"> </w:t>
      </w:r>
      <w:r w:rsidRPr="00E9210E">
        <w:t>Zürich, 1929), « A.H.E.S. », t. III (1931), pp. 287-289.</w:t>
      </w:r>
    </w:p>
    <w:p w14:paraId="781158D6" w14:textId="77777777" w:rsidR="00B9662D" w:rsidRPr="00E9210E" w:rsidRDefault="00B9662D" w:rsidP="00B9662D">
      <w:pPr>
        <w:spacing w:before="120" w:after="120"/>
        <w:jc w:val="both"/>
      </w:pPr>
      <w:r w:rsidRPr="00E9210E">
        <w:t xml:space="preserve">Les origines de Venise. (Compte rendu : R. </w:t>
      </w:r>
      <w:r w:rsidRPr="00E9210E">
        <w:rPr>
          <w:rStyle w:val="Corpsdutexte27ptGras"/>
          <w:rFonts w:eastAsia="Courier New"/>
          <w:b w:val="0"/>
          <w:smallCaps/>
          <w:sz w:val="28"/>
        </w:rPr>
        <w:t>Cessi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Venezia Ducale.</w:t>
      </w:r>
      <w:r w:rsidRPr="00E9210E">
        <w:rPr>
          <w:rStyle w:val="Corpsdutexte28ptGraschelle120"/>
          <w:rFonts w:eastAsia="Courier New"/>
          <w:sz w:val="28"/>
        </w:rPr>
        <w:t xml:space="preserve"> </w:t>
      </w:r>
      <w:r w:rsidRPr="00E9210E">
        <w:rPr>
          <w:rStyle w:val="Corpsdutexte27ptGras"/>
          <w:rFonts w:eastAsia="Courier New"/>
          <w:b w:val="0"/>
          <w:sz w:val="28"/>
        </w:rPr>
        <w:t>I,</w:t>
      </w:r>
      <w:r w:rsidRPr="00E9210E">
        <w:rPr>
          <w:rStyle w:val="Corpsdutexte27ptGras"/>
          <w:rFonts w:eastAsia="Courier New"/>
          <w:sz w:val="28"/>
        </w:rPr>
        <w:t xml:space="preserve"> </w:t>
      </w:r>
      <w:r w:rsidRPr="00E9210E">
        <w:rPr>
          <w:rStyle w:val="Corpsdutexte28ptItalique"/>
          <w:rFonts w:eastAsia="Courier New"/>
          <w:sz w:val="28"/>
        </w:rPr>
        <w:t>Le origini,</w:t>
      </w:r>
      <w:r w:rsidRPr="00E9210E">
        <w:rPr>
          <w:rStyle w:val="Corpsdutexte28ptGraschelle120"/>
          <w:rFonts w:eastAsia="Courier New"/>
          <w:sz w:val="28"/>
        </w:rPr>
        <w:t xml:space="preserve"> </w:t>
      </w:r>
      <w:r w:rsidRPr="00E9210E">
        <w:t>Padoue, 1928), « A.H.E.S. », t. III (1931), p. 290.</w:t>
      </w:r>
    </w:p>
    <w:p w14:paraId="4C8A0D17" w14:textId="77777777" w:rsidR="00B9662D" w:rsidRPr="00E9210E" w:rsidRDefault="00B9662D" w:rsidP="00B9662D">
      <w:pPr>
        <w:spacing w:before="120" w:after="120"/>
        <w:jc w:val="both"/>
      </w:pPr>
      <w:r w:rsidRPr="00E9210E">
        <w:t>Londres du XI</w:t>
      </w:r>
      <w:r w:rsidRPr="00E9210E">
        <w:rPr>
          <w:vertAlign w:val="superscript"/>
        </w:rPr>
        <w:t>e</w:t>
      </w:r>
      <w:r w:rsidRPr="00E9210E">
        <w:t xml:space="preserve"> au XIII</w:t>
      </w:r>
      <w:r w:rsidRPr="00E9210E">
        <w:rPr>
          <w:vertAlign w:val="superscript"/>
        </w:rPr>
        <w:t>e</w:t>
      </w:r>
      <w:r w:rsidRPr="00E9210E">
        <w:t xml:space="preserve"> siècle. (Compte rendu : M. </w:t>
      </w:r>
      <w:r w:rsidRPr="00E9210E">
        <w:rPr>
          <w:rStyle w:val="Corpsdutexte27ptGras"/>
          <w:rFonts w:eastAsia="Courier New"/>
          <w:b w:val="0"/>
          <w:smallCaps/>
          <w:sz w:val="28"/>
        </w:rPr>
        <w:t>Weinbaum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Verfassun</w:t>
      </w:r>
      <w:r w:rsidRPr="00E9210E">
        <w:rPr>
          <w:rStyle w:val="Corpsdutexte28ptItalique"/>
          <w:rFonts w:eastAsia="Courier New"/>
          <w:sz w:val="28"/>
        </w:rPr>
        <w:t>g</w:t>
      </w:r>
      <w:r w:rsidRPr="00E9210E">
        <w:rPr>
          <w:rStyle w:val="Corpsdutexte28ptItalique"/>
          <w:rFonts w:eastAsia="Courier New"/>
          <w:sz w:val="28"/>
        </w:rPr>
        <w:t>sgeschichte Londons (1066-1168),</w:t>
      </w:r>
      <w:r w:rsidRPr="00E9210E">
        <w:rPr>
          <w:rStyle w:val="Corpsdutexte28ptGraschelle120"/>
          <w:rFonts w:eastAsia="Courier New"/>
          <w:sz w:val="28"/>
        </w:rPr>
        <w:t xml:space="preserve"> </w:t>
      </w:r>
      <w:r w:rsidRPr="00E9210E">
        <w:t>Stuttgart, 1929), « A.H.E.S. », t. III (1931), pp. 290-292.</w:t>
      </w:r>
    </w:p>
    <w:p w14:paraId="6725153A" w14:textId="77777777" w:rsidR="00B9662D" w:rsidRPr="00E9210E" w:rsidRDefault="00B9662D" w:rsidP="00B9662D">
      <w:pPr>
        <w:spacing w:before="120" w:after="120"/>
        <w:jc w:val="both"/>
      </w:pPr>
      <w:r w:rsidRPr="00E9210E">
        <w:t xml:space="preserve">Une ville du sel : Lunebourg. (Compte rendu : </w:t>
      </w:r>
      <w:r w:rsidRPr="00E9210E">
        <w:rPr>
          <w:rStyle w:val="Corpsdutexte27ptGras"/>
          <w:rFonts w:eastAsia="Courier New"/>
          <w:b w:val="0"/>
          <w:sz w:val="28"/>
        </w:rPr>
        <w:t xml:space="preserve">W. </w:t>
      </w:r>
      <w:r w:rsidRPr="00E9210E">
        <w:rPr>
          <w:rStyle w:val="Corpsdutexte27ptGras"/>
          <w:rFonts w:eastAsia="Courier New"/>
          <w:b w:val="0"/>
          <w:smallCaps/>
          <w:sz w:val="28"/>
        </w:rPr>
        <w:t>Reinecke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w:t>
      </w:r>
      <w:r w:rsidRPr="00E9210E">
        <w:rPr>
          <w:rStyle w:val="Corpsdutexte28ptItalique"/>
          <w:rFonts w:eastAsia="Courier New"/>
          <w:sz w:val="28"/>
        </w:rPr>
        <w:t>ü</w:t>
      </w:r>
      <w:r w:rsidRPr="00E9210E">
        <w:rPr>
          <w:rStyle w:val="Corpsdutexte28ptItalique"/>
          <w:rFonts w:eastAsia="Courier New"/>
          <w:sz w:val="28"/>
        </w:rPr>
        <w:t>neburg als Hanse</w:t>
      </w:r>
      <w:r w:rsidRPr="00E9210E">
        <w:rPr>
          <w:rStyle w:val="Corpsdutexte28ptItalique"/>
          <w:rFonts w:eastAsia="Courier New"/>
          <w:sz w:val="28"/>
        </w:rPr>
        <w:t>s</w:t>
      </w:r>
      <w:r w:rsidRPr="00E9210E">
        <w:rPr>
          <w:rStyle w:val="Corpsdutexte28ptItalique"/>
          <w:rFonts w:eastAsia="Courier New"/>
          <w:sz w:val="28"/>
        </w:rPr>
        <w:t xml:space="preserve">tadt, </w:t>
      </w:r>
      <w:r w:rsidRPr="00E9210E">
        <w:t>Brême, s.d.), « A.H.E.S. », t. III (1931), p. 292.</w:t>
      </w:r>
    </w:p>
    <w:p w14:paraId="14AC452A" w14:textId="77777777" w:rsidR="00B9662D" w:rsidRPr="00E9210E" w:rsidRDefault="00B9662D" w:rsidP="00B9662D">
      <w:pPr>
        <w:spacing w:before="120" w:after="120"/>
        <w:jc w:val="both"/>
      </w:pPr>
      <w:r w:rsidRPr="00E9210E">
        <w:t xml:space="preserve">La mentalité urbaine en action. (Compte rendu : G. </w:t>
      </w:r>
      <w:r w:rsidRPr="00E9210E">
        <w:rPr>
          <w:rStyle w:val="Corpsdutexte27ptGras"/>
          <w:rFonts w:eastAsia="Courier New"/>
          <w:b w:val="0"/>
          <w:smallCaps/>
          <w:sz w:val="28"/>
        </w:rPr>
        <w:t>Espinas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Une guerre sociale interurbaine dans la Flandre wallonne au </w:t>
      </w:r>
      <w:r w:rsidRPr="00E9210E">
        <w:rPr>
          <w:rStyle w:val="Corpsdutexte28ptItaliqueEspacement1pt"/>
          <w:rFonts w:eastAsia="Courier New"/>
          <w:sz w:val="28"/>
        </w:rPr>
        <w:t>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w:t>
      </w:r>
      <w:r w:rsidRPr="00E9210E">
        <w:rPr>
          <w:rStyle w:val="Corpsdutexte28ptItalique"/>
          <w:rFonts w:eastAsia="Courier New"/>
          <w:sz w:val="28"/>
        </w:rPr>
        <w:t>è</w:t>
      </w:r>
      <w:r w:rsidRPr="00E9210E">
        <w:rPr>
          <w:rStyle w:val="Corpsdutexte28ptItalique"/>
          <w:rFonts w:eastAsia="Courier New"/>
          <w:sz w:val="28"/>
        </w:rPr>
        <w:t xml:space="preserve">cle : Douai et Lille, 1284-1285, </w:t>
      </w:r>
      <w:r w:rsidRPr="00E9210E">
        <w:t>Paris et Lille, 1930), « A.H.E.S. », t. III (1931), pp. 292-294.</w:t>
      </w:r>
    </w:p>
    <w:p w14:paraId="2FE60FB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Montpellier, les Aragonais et les Capétiens. (Compte rendu : L. J. </w:t>
      </w:r>
      <w:r w:rsidRPr="00E9210E">
        <w:rPr>
          <w:rStyle w:val="Corpsdutexte37ptGrasNonItalique"/>
          <w:rFonts w:eastAsia="Courier New"/>
          <w:b w:val="0"/>
          <w:i w:val="0"/>
          <w:iCs w:val="0"/>
          <w:smallCaps/>
          <w:sz w:val="28"/>
        </w:rPr>
        <w:t>Thomas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Montpellier entre la France et l’Aragon pendant la premi</w:t>
      </w:r>
      <w:r w:rsidRPr="00E9210E">
        <w:rPr>
          <w:i/>
        </w:rPr>
        <w:t>è</w:t>
      </w:r>
      <w:r w:rsidRPr="00E9210E">
        <w:rPr>
          <w:i/>
        </w:rPr>
        <w:t xml:space="preserve">re moitié du </w:t>
      </w:r>
      <w:r w:rsidRPr="00E9210E">
        <w:rPr>
          <w:rFonts w:eastAsia="Courier New"/>
          <w:i/>
        </w:rPr>
        <w:t>XIV</w:t>
      </w:r>
      <w:r w:rsidRPr="00E9210E">
        <w:rPr>
          <w:rFonts w:eastAsia="Courier New"/>
          <w:i/>
          <w:vertAlign w:val="superscript"/>
        </w:rPr>
        <w:t>e</w:t>
      </w:r>
      <w:r w:rsidRPr="00E9210E">
        <w:rPr>
          <w:i/>
        </w:rPr>
        <w:t xml:space="preserve"> siècle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Montpellier, 1929)</w:t>
      </w:r>
      <w:r w:rsidRPr="00E9210E">
        <w:t>, « A.H.E.S. », t. III (1931), p. 294.</w:t>
      </w:r>
    </w:p>
    <w:p w14:paraId="27F670F8" w14:textId="77777777" w:rsidR="00B9662D" w:rsidRPr="00E9210E" w:rsidRDefault="00B9662D" w:rsidP="00B9662D">
      <w:pPr>
        <w:spacing w:before="120" w:after="120"/>
        <w:jc w:val="both"/>
      </w:pPr>
      <w:r w:rsidRPr="00E9210E">
        <w:t>[1050]</w:t>
      </w:r>
    </w:p>
    <w:p w14:paraId="3458B37C" w14:textId="77777777" w:rsidR="00B9662D" w:rsidRPr="00E9210E" w:rsidRDefault="00B9662D" w:rsidP="00B9662D">
      <w:pPr>
        <w:spacing w:before="120" w:after="120"/>
        <w:jc w:val="both"/>
      </w:pPr>
      <w:r w:rsidRPr="00E9210E">
        <w:t>Des mots aux choses : le vocabulaire du commerce. (Compte re</w:t>
      </w:r>
      <w:r w:rsidRPr="00E9210E">
        <w:t>n</w:t>
      </w:r>
      <w:r w:rsidRPr="00E9210E">
        <w:t xml:space="preserve">du : A. </w:t>
      </w:r>
      <w:r w:rsidRPr="00E9210E">
        <w:rPr>
          <w:rStyle w:val="Corpsdutexte27ptGras"/>
          <w:rFonts w:eastAsia="Courier New"/>
          <w:b w:val="0"/>
          <w:smallCaps/>
          <w:sz w:val="28"/>
        </w:rPr>
        <w:t>Schiaffini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Disegno storico della lingua commerciale dai primordi di Roma all’eta moderna. </w:t>
      </w:r>
      <w:r w:rsidRPr="00E9210E">
        <w:t xml:space="preserve">I, </w:t>
      </w:r>
      <w:r w:rsidRPr="00E9210E">
        <w:rPr>
          <w:rStyle w:val="Corpsdutexte28ptItalique"/>
          <w:rFonts w:eastAsia="Courier New"/>
          <w:sz w:val="28"/>
        </w:rPr>
        <w:t>Roma e i regni romano-germanici</w:t>
      </w:r>
      <w:r w:rsidRPr="00E9210E">
        <w:t>, Pisa, 1929), « A.H.E.S. », t. III (1931), pp. 295-296.</w:t>
      </w:r>
    </w:p>
    <w:p w14:paraId="49EA6A46" w14:textId="77777777" w:rsidR="00B9662D" w:rsidRPr="00E9210E" w:rsidRDefault="00B9662D" w:rsidP="00B9662D">
      <w:pPr>
        <w:spacing w:before="120" w:after="120"/>
        <w:jc w:val="both"/>
      </w:pPr>
      <w:r w:rsidRPr="00E9210E">
        <w:t xml:space="preserve">La voie du Danube aux premiers siècles du Moyen Âge. (Compte rendu : Fr. </w:t>
      </w:r>
      <w:r w:rsidRPr="00E9210E">
        <w:rPr>
          <w:rStyle w:val="Corpsdutexte27ptGras"/>
          <w:rFonts w:eastAsia="Courier New"/>
          <w:b w:val="0"/>
          <w:smallCaps/>
          <w:sz w:val="28"/>
        </w:rPr>
        <w:t>Bastian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Legende vom Donauhandel im Frühmittela</w:t>
      </w:r>
      <w:r w:rsidRPr="00E9210E">
        <w:rPr>
          <w:rStyle w:val="Corpsdutexte28ptItalique"/>
          <w:rFonts w:eastAsia="Courier New"/>
          <w:sz w:val="28"/>
        </w:rPr>
        <w:t>l</w:t>
      </w:r>
      <w:r w:rsidRPr="00E9210E">
        <w:rPr>
          <w:rStyle w:val="Corpsdutexte28ptItalique"/>
          <w:rFonts w:eastAsia="Courier New"/>
          <w:sz w:val="28"/>
        </w:rPr>
        <w:t>ter</w:t>
      </w:r>
      <w:r w:rsidRPr="00E9210E">
        <w:t xml:space="preserve">, dans </w:t>
      </w:r>
      <w:r w:rsidRPr="00E9210E">
        <w:rPr>
          <w:rStyle w:val="Corpsdutexte28ptItalique"/>
          <w:rFonts w:eastAsia="Courier New"/>
          <w:sz w:val="28"/>
        </w:rPr>
        <w:t>Vierteljahrschrift für Sozial- und Wirtschaftsgeschichte,</w:t>
      </w:r>
      <w:r w:rsidRPr="00E9210E">
        <w:rPr>
          <w:rStyle w:val="Corpsdutexte28ptGraschelle120"/>
          <w:rFonts w:eastAsia="Courier New"/>
          <w:sz w:val="28"/>
        </w:rPr>
        <w:t xml:space="preserve"> </w:t>
      </w:r>
      <w:r w:rsidRPr="00E9210E">
        <w:t>t. XXII (1930), p. 289-330), « A.H.E.S. », t. 111(1931), p. 297.</w:t>
      </w:r>
    </w:p>
    <w:p w14:paraId="40FBCB2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Danube contre Méditerranée. (Compte rendu : H. </w:t>
      </w:r>
      <w:r w:rsidRPr="00E9210E">
        <w:rPr>
          <w:rStyle w:val="Corpsdutexte37ptGrasNonItalique"/>
          <w:rFonts w:eastAsia="Courier New"/>
          <w:b w:val="0"/>
          <w:i w:val="0"/>
          <w:iCs w:val="0"/>
          <w:smallCaps/>
          <w:sz w:val="28"/>
        </w:rPr>
        <w:t>Heimpel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Zar Handelspolitik Kaiser S</w:t>
      </w:r>
      <w:r w:rsidRPr="00E9210E">
        <w:rPr>
          <w:i/>
        </w:rPr>
        <w:t>i</w:t>
      </w:r>
      <w:r w:rsidRPr="00E9210E">
        <w:rPr>
          <w:i/>
        </w:rPr>
        <w:t>gismunds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Vierteljahrschrift für Sozial- und Wirtschaftsgeschichte</w:t>
      </w:r>
      <w:r w:rsidRPr="00E9210E">
        <w:rPr>
          <w:rStyle w:val="Corpsdutexte385ptNonItalique"/>
          <w:rFonts w:eastAsia="Courier New"/>
          <w:i w:val="0"/>
          <w:iCs w:val="0"/>
          <w:sz w:val="28"/>
        </w:rPr>
        <w:t>, t. XXIV (1930)</w:t>
      </w:r>
      <w:r w:rsidRPr="00E9210E">
        <w:t>, p. 145-156), « A.H.E.S. », t. III (1931), pp. 297-298.</w:t>
      </w:r>
    </w:p>
    <w:p w14:paraId="16AE960E" w14:textId="77777777" w:rsidR="00B9662D" w:rsidRPr="00E9210E" w:rsidRDefault="00B9662D" w:rsidP="00B9662D">
      <w:pPr>
        <w:spacing w:before="120" w:after="120"/>
        <w:jc w:val="both"/>
      </w:pPr>
      <w:r w:rsidRPr="00E9210E">
        <w:t>Les associations de marchands à Crémone. (Compte rendu : U. </w:t>
      </w:r>
      <w:r w:rsidRPr="00E9210E">
        <w:rPr>
          <w:rStyle w:val="Corpsdutexte27ptGras"/>
          <w:rFonts w:eastAsia="Courier New"/>
          <w:b w:val="0"/>
          <w:smallCaps/>
          <w:sz w:val="28"/>
        </w:rPr>
        <w:t>Gualazzini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I mercanti di Cremona</w:t>
      </w:r>
      <w:r w:rsidRPr="00E9210E">
        <w:rPr>
          <w:rStyle w:val="Corpsdutexte28ptGraschelle120"/>
          <w:rFonts w:eastAsia="Courier New"/>
          <w:sz w:val="28"/>
        </w:rPr>
        <w:t xml:space="preserve">, </w:t>
      </w:r>
      <w:r w:rsidRPr="00E9210E">
        <w:rPr>
          <w:rStyle w:val="Corpsdutexte28ptItalique"/>
          <w:rFonts w:eastAsia="Courier New"/>
          <w:sz w:val="28"/>
        </w:rPr>
        <w:t>1183-1260-1927. Cenni st</w:t>
      </w:r>
      <w:r w:rsidRPr="00E9210E">
        <w:rPr>
          <w:rStyle w:val="Corpsdutexte28ptItalique"/>
          <w:rFonts w:eastAsia="Courier New"/>
          <w:sz w:val="28"/>
        </w:rPr>
        <w:t>o</w:t>
      </w:r>
      <w:r w:rsidRPr="00E9210E">
        <w:rPr>
          <w:rStyle w:val="Corpsdutexte28ptItalique"/>
          <w:rFonts w:eastAsia="Courier New"/>
          <w:sz w:val="28"/>
        </w:rPr>
        <w:t>rici sulla loro organizzazione,</w:t>
      </w:r>
      <w:r w:rsidRPr="00E9210E">
        <w:rPr>
          <w:rStyle w:val="Corpsdutexte28ptGraschelle120"/>
          <w:rFonts w:eastAsia="Courier New"/>
          <w:sz w:val="28"/>
        </w:rPr>
        <w:t xml:space="preserve"> </w:t>
      </w:r>
      <w:r w:rsidRPr="00E9210E">
        <w:t>Cremona, 1928), « A.H.E.S. », t. III (1931), p. 298.</w:t>
      </w:r>
    </w:p>
    <w:p w14:paraId="42BF519B" w14:textId="77777777" w:rsidR="00B9662D" w:rsidRPr="00E9210E" w:rsidRDefault="00B9662D" w:rsidP="00B9662D">
      <w:pPr>
        <w:spacing w:before="120" w:after="120"/>
        <w:jc w:val="both"/>
      </w:pPr>
      <w:r w:rsidRPr="00E9210E">
        <w:t xml:space="preserve">Une révolution commerciale : Hollandais contre Hanséates. (Compte rendu : Fr. </w:t>
      </w:r>
      <w:r w:rsidRPr="00E9210E">
        <w:rPr>
          <w:rStyle w:val="Corpsdutexte27ptGras"/>
          <w:rFonts w:eastAsia="Courier New"/>
          <w:b w:val="0"/>
          <w:smallCaps/>
          <w:sz w:val="28"/>
        </w:rPr>
        <w:t>Vollbehr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Holländer und die deutsche Ha</w:t>
      </w:r>
      <w:r w:rsidRPr="00E9210E">
        <w:rPr>
          <w:rStyle w:val="Corpsdutexte28ptItalique"/>
          <w:rFonts w:eastAsia="Courier New"/>
          <w:sz w:val="28"/>
        </w:rPr>
        <w:t>n</w:t>
      </w:r>
      <w:r w:rsidRPr="00E9210E">
        <w:rPr>
          <w:rStyle w:val="Corpsdutexte28ptItalique"/>
          <w:rFonts w:eastAsia="Courier New"/>
          <w:sz w:val="28"/>
        </w:rPr>
        <w:t>se</w:t>
      </w:r>
      <w:r w:rsidRPr="00E9210E">
        <w:t>, Lübeck, 1930), « A.H.E.S. », t. III (1931), pp. 298-299.</w:t>
      </w:r>
    </w:p>
    <w:p w14:paraId="40AA7BD4" w14:textId="77777777" w:rsidR="00B9662D" w:rsidRPr="00E9210E" w:rsidRDefault="00B9662D" w:rsidP="00B9662D">
      <w:pPr>
        <w:spacing w:before="120" w:after="120"/>
        <w:jc w:val="both"/>
      </w:pPr>
      <w:r w:rsidRPr="00E9210E">
        <w:t xml:space="preserve">Le passé explication du présent. (Compte rendu : H. </w:t>
      </w:r>
      <w:r w:rsidRPr="00E9210E">
        <w:rPr>
          <w:rStyle w:val="Corpsdutexte27ptGras"/>
          <w:rFonts w:eastAsia="Courier New"/>
          <w:b w:val="0"/>
          <w:smallCaps/>
          <w:sz w:val="28"/>
        </w:rPr>
        <w:t>Hauser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origines hi</w:t>
      </w:r>
      <w:r w:rsidRPr="00E9210E">
        <w:rPr>
          <w:rStyle w:val="Corpsdutexte28ptItalique"/>
          <w:rFonts w:eastAsia="Courier New"/>
          <w:sz w:val="28"/>
        </w:rPr>
        <w:t>s</w:t>
      </w:r>
      <w:r w:rsidRPr="00E9210E">
        <w:rPr>
          <w:rStyle w:val="Corpsdutexte28ptItalique"/>
          <w:rFonts w:eastAsia="Courier New"/>
          <w:sz w:val="28"/>
        </w:rPr>
        <w:t>toriques des problèmes économiques actuels</w:t>
      </w:r>
      <w:r w:rsidRPr="00E9210E">
        <w:t>, Paris, 1930), « A.H.E.S. », t. III (1931), pp. 311-312.</w:t>
      </w:r>
    </w:p>
    <w:p w14:paraId="675D49A8" w14:textId="77777777" w:rsidR="00B9662D" w:rsidRPr="00E9210E" w:rsidRDefault="00B9662D" w:rsidP="00B9662D">
      <w:pPr>
        <w:spacing w:before="120" w:after="120"/>
        <w:jc w:val="both"/>
      </w:pPr>
      <w:r w:rsidRPr="00E9210E">
        <w:t>Encore un répertoire de bibliographie historique courante. (</w:t>
      </w:r>
      <w:r w:rsidRPr="00E9210E">
        <w:rPr>
          <w:rStyle w:val="Corpsdutexte28ptItalique"/>
          <w:rFonts w:eastAsia="Courier New"/>
          <w:sz w:val="28"/>
        </w:rPr>
        <w:t>Inte</w:t>
      </w:r>
      <w:r w:rsidRPr="00E9210E">
        <w:rPr>
          <w:rStyle w:val="Corpsdutexte28ptItalique"/>
          <w:rFonts w:eastAsia="Courier New"/>
          <w:sz w:val="28"/>
        </w:rPr>
        <w:t>r</w:t>
      </w:r>
      <w:r w:rsidRPr="00E9210E">
        <w:rPr>
          <w:rStyle w:val="Corpsdutexte28ptItalique"/>
          <w:rFonts w:eastAsia="Courier New"/>
          <w:sz w:val="28"/>
        </w:rPr>
        <w:t>national bibliography of historical sciences</w:t>
      </w:r>
      <w:r w:rsidRPr="00E9210E">
        <w:t>, Paris, 1930), « A.H.E.S. », t. III (1931), pp. 390-391.</w:t>
      </w:r>
    </w:p>
    <w:p w14:paraId="00DFA37A" w14:textId="77777777" w:rsidR="00B9662D" w:rsidRPr="00E9210E" w:rsidRDefault="00B9662D" w:rsidP="00B9662D">
      <w:pPr>
        <w:spacing w:before="120" w:after="120"/>
        <w:jc w:val="both"/>
      </w:pPr>
      <w:r w:rsidRPr="00E9210E">
        <w:t xml:space="preserve">Une source de sciences sociales. (Compte rendu : </w:t>
      </w:r>
      <w:r w:rsidRPr="00E9210E">
        <w:rPr>
          <w:rStyle w:val="Corpsdutexte28ptItalique"/>
          <w:rFonts w:eastAsia="Courier New"/>
          <w:sz w:val="28"/>
        </w:rPr>
        <w:t>Encyclopedia of the social Sciences</w:t>
      </w:r>
      <w:r w:rsidRPr="00E9210E">
        <w:rPr>
          <w:rStyle w:val="Corpsdutexte28ptGraschelle120"/>
          <w:rFonts w:eastAsia="Courier New"/>
          <w:sz w:val="28"/>
        </w:rPr>
        <w:t xml:space="preserve">, </w:t>
      </w:r>
      <w:r w:rsidRPr="00E9210E">
        <w:t xml:space="preserve">t. I, New York, 1930 ; articles : </w:t>
      </w:r>
      <w:r w:rsidRPr="00E9210E">
        <w:rPr>
          <w:rStyle w:val="Corpsdutexte28ptItalique"/>
          <w:rFonts w:eastAsia="Courier New"/>
          <w:sz w:val="28"/>
        </w:rPr>
        <w:t>aaronson-allegiance</w:t>
      </w:r>
      <w:r w:rsidRPr="00E9210E">
        <w:t>), « A.H.E.S. », t. III (1931), pp. 391-392.</w:t>
      </w:r>
    </w:p>
    <w:p w14:paraId="1E8F32F3" w14:textId="77777777" w:rsidR="00B9662D" w:rsidRPr="00E9210E" w:rsidRDefault="00B9662D" w:rsidP="00B9662D">
      <w:pPr>
        <w:spacing w:before="120" w:after="120"/>
        <w:jc w:val="both"/>
      </w:pPr>
      <w:r w:rsidRPr="00E9210E">
        <w:t xml:space="preserve">Les classifications économiques à la lumière des faits suédois. (Comptes rendus : </w:t>
      </w:r>
      <w:r w:rsidRPr="00E9210E">
        <w:rPr>
          <w:rStyle w:val="Corpsdutexte27ptGras"/>
          <w:rFonts w:eastAsia="Courier New"/>
          <w:b w:val="0"/>
          <w:smallCaps/>
          <w:sz w:val="28"/>
        </w:rPr>
        <w:t>Heckscher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Natural und Geldwirtschaft in der Geschichte</w:t>
      </w:r>
      <w:r w:rsidRPr="00E9210E">
        <w:t xml:space="preserve">, dans </w:t>
      </w:r>
      <w:r w:rsidRPr="00E9210E">
        <w:rPr>
          <w:rStyle w:val="Corpsdutexte28ptItalique"/>
          <w:rFonts w:eastAsia="Courier New"/>
          <w:sz w:val="28"/>
        </w:rPr>
        <w:t>Vierteljahrschrift für Sozial- und Wirtschaftsge</w:t>
      </w:r>
      <w:r w:rsidRPr="00E9210E">
        <w:rPr>
          <w:rStyle w:val="Corpsdutexte28ptItalique"/>
          <w:rFonts w:eastAsia="Courier New"/>
          <w:sz w:val="28"/>
        </w:rPr>
        <w:t>s</w:t>
      </w:r>
      <w:r w:rsidRPr="00E9210E">
        <w:rPr>
          <w:rStyle w:val="Corpsdutexte28ptItalique"/>
          <w:rFonts w:eastAsia="Courier New"/>
          <w:sz w:val="28"/>
        </w:rPr>
        <w:t>chichte</w:t>
      </w:r>
      <w:r w:rsidRPr="00E9210E">
        <w:t xml:space="preserve">, 1930, pp. 454-467, et </w:t>
      </w:r>
      <w:r w:rsidRPr="00E9210E">
        <w:rPr>
          <w:rStyle w:val="Corpsdutexte28ptItalique"/>
          <w:rFonts w:eastAsia="Courier New"/>
          <w:sz w:val="28"/>
        </w:rPr>
        <w:t>Natural and Money Economy,</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Journal of Economic and Business History</w:t>
      </w:r>
      <w:r w:rsidRPr="00E9210E">
        <w:t>, t. III (1930-1931), pp. 1-29), « A.H.E.S. », t. III (1931), pp. 435-440.</w:t>
      </w:r>
    </w:p>
    <w:p w14:paraId="76A24D85" w14:textId="77777777" w:rsidR="00B9662D" w:rsidRPr="00E9210E" w:rsidRDefault="00B9662D" w:rsidP="00B9662D">
      <w:pPr>
        <w:spacing w:before="120" w:after="120"/>
        <w:jc w:val="both"/>
      </w:pPr>
      <w:r w:rsidRPr="00E9210E">
        <w:t>Notes des directeurs (à propos d’</w:t>
      </w:r>
      <w:r w:rsidRPr="00E9210E">
        <w:rPr>
          <w:rStyle w:val="Corpsdutexte28ptItalique"/>
          <w:rFonts w:eastAsia="Courier New"/>
          <w:sz w:val="28"/>
        </w:rPr>
        <w:t>Économie japonaise</w:t>
      </w:r>
      <w:r w:rsidRPr="00E9210E">
        <w:t>), « A.H.E.S. », t. III (1931), p. 454.</w:t>
      </w:r>
    </w:p>
    <w:p w14:paraId="4B84EA54" w14:textId="77777777" w:rsidR="00B9662D" w:rsidRPr="00E9210E" w:rsidRDefault="00B9662D" w:rsidP="00B9662D">
      <w:pPr>
        <w:spacing w:before="120" w:after="120"/>
        <w:jc w:val="both"/>
      </w:pPr>
      <w:r w:rsidRPr="00E9210E">
        <w:t xml:space="preserve">Une grande ordonnance domaniale de l’époque franque. (Compte rendu : </w:t>
      </w:r>
      <w:r w:rsidRPr="00E9210E">
        <w:rPr>
          <w:rStyle w:val="Corpsdutexte27ptGras"/>
          <w:rFonts w:eastAsia="Courier New"/>
          <w:b w:val="0"/>
          <w:sz w:val="28"/>
        </w:rPr>
        <w:t xml:space="preserve">W. </w:t>
      </w:r>
      <w:r w:rsidRPr="00E9210E">
        <w:rPr>
          <w:rStyle w:val="Corpsdutexte27ptGras"/>
          <w:rFonts w:eastAsia="Courier New"/>
          <w:b w:val="0"/>
          <w:smallCaps/>
          <w:sz w:val="28"/>
        </w:rPr>
        <w:t>Elsner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Zur Entstehung des capitulare de Villis,</w:t>
      </w:r>
      <w:r w:rsidRPr="00E9210E">
        <w:rPr>
          <w:rStyle w:val="Corpsdutexte28ptGraschelle120"/>
          <w:rFonts w:eastAsia="Courier New"/>
          <w:sz w:val="28"/>
        </w:rPr>
        <w:t xml:space="preserve"> </w:t>
      </w:r>
      <w:r w:rsidRPr="00E9210E">
        <w:t>Kiel, 1929), « A.H.E.S. », t. III (1931), pp. 460-463.</w:t>
      </w:r>
    </w:p>
    <w:p w14:paraId="451E761A" w14:textId="77777777" w:rsidR="00B9662D" w:rsidRPr="00E9210E" w:rsidRDefault="00B9662D" w:rsidP="00B9662D">
      <w:pPr>
        <w:spacing w:before="120" w:after="120"/>
        <w:jc w:val="both"/>
      </w:pPr>
      <w:r w:rsidRPr="00E9210E">
        <w:t xml:space="preserve">Les domaines des Carolingiens. (Compte rendu : O. </w:t>
      </w:r>
      <w:r w:rsidRPr="00E9210E">
        <w:rPr>
          <w:rStyle w:val="Corpsdutexte27ptGras"/>
          <w:rFonts w:eastAsia="Courier New"/>
          <w:b w:val="0"/>
          <w:smallCaps/>
          <w:sz w:val="28"/>
        </w:rPr>
        <w:t>Baldauf</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karolingi</w:t>
      </w:r>
      <w:r w:rsidRPr="00E9210E">
        <w:rPr>
          <w:rStyle w:val="Corpsdutexte28ptItalique"/>
          <w:rFonts w:eastAsia="Courier New"/>
          <w:sz w:val="28"/>
        </w:rPr>
        <w:t>s</w:t>
      </w:r>
      <w:r w:rsidRPr="00E9210E">
        <w:rPr>
          <w:rStyle w:val="Corpsdutexte28ptItalique"/>
          <w:rFonts w:eastAsia="Courier New"/>
          <w:sz w:val="28"/>
        </w:rPr>
        <w:t>che Reichsgut in Unterrätien,</w:t>
      </w:r>
      <w:r w:rsidRPr="00E9210E">
        <w:rPr>
          <w:rStyle w:val="Corpsdutexte28ptGraschelle120"/>
          <w:rFonts w:eastAsia="Courier New"/>
          <w:sz w:val="28"/>
        </w:rPr>
        <w:t xml:space="preserve"> </w:t>
      </w:r>
      <w:r w:rsidRPr="00E9210E">
        <w:t>Innsbruck, 1930), « A.H.E.S. », t. III (1931), p. 463.</w:t>
      </w:r>
    </w:p>
    <w:p w14:paraId="3CA59844" w14:textId="77777777" w:rsidR="00B9662D" w:rsidRPr="00E9210E" w:rsidRDefault="00B9662D" w:rsidP="00B9662D">
      <w:pPr>
        <w:spacing w:before="120" w:after="120"/>
        <w:jc w:val="both"/>
      </w:pPr>
      <w:r w:rsidRPr="00E9210E">
        <w:t xml:space="preserve">Une ancienne unité agraire. (Compte rendu : L. </w:t>
      </w:r>
      <w:r w:rsidRPr="00E9210E">
        <w:rPr>
          <w:rStyle w:val="Corpsdutexte27ptGras"/>
          <w:rFonts w:eastAsia="Courier New"/>
          <w:b w:val="0"/>
          <w:smallCaps/>
          <w:sz w:val="28"/>
        </w:rPr>
        <w:t>Hauptmann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w:t>
      </w:r>
      <w:r w:rsidRPr="00E9210E">
        <w:rPr>
          <w:rStyle w:val="Corpsdutexte28ptItalique"/>
          <w:rFonts w:eastAsia="Courier New"/>
          <w:sz w:val="28"/>
        </w:rPr>
        <w:t>u</w:t>
      </w:r>
      <w:r w:rsidRPr="00E9210E">
        <w:rPr>
          <w:rStyle w:val="Corpsdutexte28ptItalique"/>
          <w:rFonts w:eastAsia="Courier New"/>
          <w:sz w:val="28"/>
        </w:rPr>
        <w:t>fengrössen im bayrischen Stammes und Kolonialgebiete,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Vierte</w:t>
      </w:r>
      <w:r w:rsidRPr="00E9210E">
        <w:rPr>
          <w:rStyle w:val="Corpsdutexte28ptItalique"/>
          <w:rFonts w:eastAsia="Courier New"/>
          <w:sz w:val="28"/>
        </w:rPr>
        <w:t>l</w:t>
      </w:r>
      <w:r w:rsidRPr="00E9210E">
        <w:rPr>
          <w:rStyle w:val="Corpsdutexte28ptItalique"/>
          <w:rFonts w:eastAsia="Courier New"/>
          <w:sz w:val="28"/>
        </w:rPr>
        <w:t>jahrschrift für Sozial- und Wirtschaftsgeschichte</w:t>
      </w:r>
      <w:r w:rsidRPr="00E9210E">
        <w:t>, t. XXI (1928), p. 386-413), « A.H.E.S. », t. III (1931), pp. 463-464.</w:t>
      </w:r>
    </w:p>
    <w:p w14:paraId="37CF33DB" w14:textId="77777777" w:rsidR="00B9662D" w:rsidRPr="00E9210E" w:rsidRDefault="00B9662D" w:rsidP="00B9662D">
      <w:pPr>
        <w:spacing w:before="120" w:after="120"/>
        <w:jc w:val="both"/>
      </w:pPr>
      <w:r w:rsidRPr="00E9210E">
        <w:rPr>
          <w:rStyle w:val="Corpsdutexte385ptNonItalique"/>
          <w:rFonts w:eastAsia="Courier New"/>
          <w:i w:val="0"/>
          <w:iCs w:val="0"/>
          <w:sz w:val="28"/>
        </w:rPr>
        <w:t>La crise rurale du XV</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 rendu : Ch. H. </w:t>
      </w:r>
      <w:r w:rsidRPr="00E9210E">
        <w:rPr>
          <w:rStyle w:val="Corpsdutexte37ptGrasNonItalique"/>
          <w:rFonts w:eastAsia="Courier New"/>
          <w:b w:val="0"/>
          <w:i w:val="0"/>
          <w:iCs w:val="0"/>
          <w:smallCaps/>
          <w:sz w:val="28"/>
        </w:rPr>
        <w:t>Waddington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dépopulation des ca</w:t>
      </w:r>
      <w:r w:rsidRPr="00E9210E">
        <w:rPr>
          <w:i/>
        </w:rPr>
        <w:t>m</w:t>
      </w:r>
      <w:r w:rsidRPr="00E9210E">
        <w:rPr>
          <w:i/>
        </w:rPr>
        <w:t>pagnes gâtinaises pendant la guerre de Cent Ans et leur reconstitution économique</w:t>
      </w:r>
      <w:r w:rsidRPr="00E9210E">
        <w:rPr>
          <w:rStyle w:val="Corpsdutexte385ptNonItalique"/>
          <w:rFonts w:eastAsia="Courier New"/>
          <w:i w:val="0"/>
          <w:iCs w:val="0"/>
          <w:sz w:val="28"/>
        </w:rPr>
        <w:t xml:space="preserve">, dans </w:t>
      </w:r>
      <w:r w:rsidRPr="00E9210E">
        <w:rPr>
          <w:i/>
        </w:rPr>
        <w:t>Annales de la Société historique et archéologique du Gâtinais</w:t>
      </w:r>
      <w:r w:rsidRPr="00E9210E">
        <w:rPr>
          <w:rStyle w:val="Corpsdutexte385ptNonItalique"/>
          <w:rFonts w:eastAsia="Courier New"/>
          <w:i w:val="0"/>
          <w:iCs w:val="0"/>
          <w:sz w:val="28"/>
        </w:rPr>
        <w:t>, t. XXXIX (1930), pp. 164-178), « A.H.E.S. », t. III (1931), p. 466.</w:t>
      </w:r>
    </w:p>
    <w:p w14:paraId="23053985" w14:textId="77777777" w:rsidR="00B9662D" w:rsidRPr="00E9210E" w:rsidRDefault="00B9662D" w:rsidP="00B9662D">
      <w:pPr>
        <w:spacing w:before="120" w:after="120"/>
        <w:jc w:val="both"/>
      </w:pPr>
      <w:r w:rsidRPr="00E9210E">
        <w:t xml:space="preserve">L’histoire d’une forêt. (Compte rendu : R. de </w:t>
      </w:r>
      <w:r w:rsidRPr="00E9210E">
        <w:rPr>
          <w:rStyle w:val="Corpsdutexte27ptGras"/>
          <w:rFonts w:eastAsia="Courier New"/>
          <w:b w:val="0"/>
          <w:smallCaps/>
          <w:sz w:val="28"/>
        </w:rPr>
        <w:t>Courcel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forêt de Sénart. Étude historique</w:t>
      </w:r>
      <w:r w:rsidRPr="00E9210E">
        <w:t>, Paris, 1930), « A.H.E.S. », t. III (1931), pp. 466-467.</w:t>
      </w:r>
    </w:p>
    <w:p w14:paraId="1A7C5871" w14:textId="77777777" w:rsidR="00B9662D" w:rsidRPr="00E9210E" w:rsidRDefault="00B9662D" w:rsidP="00B9662D">
      <w:pPr>
        <w:spacing w:before="120" w:after="120"/>
        <w:jc w:val="both"/>
      </w:pPr>
      <w:r w:rsidRPr="00E9210E">
        <w:t xml:space="preserve">L’exploitation pastorale de la Savoie. (Compte rendu : F. </w:t>
      </w:r>
      <w:r w:rsidRPr="00E9210E">
        <w:rPr>
          <w:rStyle w:val="Corpsdutexte27ptGras"/>
          <w:rFonts w:eastAsia="Courier New"/>
          <w:b w:val="0"/>
          <w:smallCaps/>
          <w:sz w:val="28"/>
        </w:rPr>
        <w:t>Rey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L'exploit</w:t>
      </w:r>
      <w:r w:rsidRPr="00E9210E">
        <w:rPr>
          <w:rStyle w:val="Corpsdutexte28ptItalique"/>
          <w:rFonts w:eastAsia="Courier New"/>
          <w:sz w:val="28"/>
        </w:rPr>
        <w:t>a</w:t>
      </w:r>
      <w:r w:rsidRPr="00E9210E">
        <w:rPr>
          <w:rStyle w:val="Corpsdutexte28ptItalique"/>
          <w:rFonts w:eastAsia="Courier New"/>
          <w:sz w:val="28"/>
        </w:rPr>
        <w:t>tion pastorale dans le département de la Savoie</w:t>
      </w:r>
      <w:r w:rsidRPr="00E9210E">
        <w:t>, Chambéry, 1930), « A.H.E.S. », t. III (1931), p. 468.</w:t>
      </w:r>
    </w:p>
    <w:p w14:paraId="2F59B893" w14:textId="77777777" w:rsidR="00B9662D" w:rsidRPr="00E9210E" w:rsidRDefault="00B9662D" w:rsidP="00B9662D">
      <w:pPr>
        <w:spacing w:before="120" w:after="120"/>
        <w:jc w:val="both"/>
      </w:pPr>
      <w:r w:rsidRPr="00E9210E">
        <w:t>[1051]</w:t>
      </w:r>
    </w:p>
    <w:p w14:paraId="200AAADB" w14:textId="77777777" w:rsidR="00B9662D" w:rsidRPr="00E9210E" w:rsidRDefault="00B9662D" w:rsidP="00B9662D">
      <w:pPr>
        <w:spacing w:before="120" w:after="120"/>
        <w:jc w:val="both"/>
      </w:pPr>
      <w:r w:rsidRPr="00E9210E">
        <w:t xml:space="preserve">Vues de Beauce. (Compte rendu : M. </w:t>
      </w:r>
      <w:r w:rsidRPr="00E9210E">
        <w:rPr>
          <w:rStyle w:val="Corpsdutexte27ptGras"/>
          <w:rFonts w:eastAsia="Courier New"/>
          <w:b w:val="0"/>
          <w:sz w:val="28"/>
        </w:rPr>
        <w:t>Robillard,</w:t>
      </w:r>
      <w:r w:rsidRPr="00E9210E">
        <w:rPr>
          <w:rStyle w:val="Corpsdutexte27ptGras"/>
          <w:rFonts w:eastAsia="Courier New"/>
          <w:sz w:val="28"/>
        </w:rPr>
        <w:t xml:space="preserve"> </w:t>
      </w:r>
      <w:r w:rsidRPr="00E9210E">
        <w:rPr>
          <w:rFonts w:eastAsia="Courier New"/>
          <w:i/>
        </w:rPr>
        <w:t>Chartres et la Beauce chartraine</w:t>
      </w:r>
      <w:r w:rsidRPr="00E9210E">
        <w:rPr>
          <w:rStyle w:val="Corpsdutexte28ptGraschelle120"/>
          <w:rFonts w:eastAsia="Courier New"/>
          <w:sz w:val="28"/>
        </w:rPr>
        <w:t xml:space="preserve">, </w:t>
      </w:r>
      <w:r w:rsidRPr="00E9210E">
        <w:t>Grenoble, 1929), « A.H.E.S. », t. III (1931), p. 468.</w:t>
      </w:r>
    </w:p>
    <w:p w14:paraId="54496A06" w14:textId="77777777" w:rsidR="00B9662D" w:rsidRPr="00E9210E" w:rsidRDefault="00B9662D" w:rsidP="00B9662D">
      <w:pPr>
        <w:spacing w:before="120" w:after="120"/>
        <w:jc w:val="both"/>
      </w:pPr>
      <w:r w:rsidRPr="00E9210E">
        <w:t xml:space="preserve">Des morceaux choisis. (Compte rendu : </w:t>
      </w:r>
      <w:r w:rsidRPr="00E9210E">
        <w:rPr>
          <w:rFonts w:eastAsia="Courier New"/>
          <w:i/>
        </w:rPr>
        <w:t>Les voyages en France d’Arthur Young</w:t>
      </w:r>
      <w:r w:rsidRPr="00E9210E">
        <w:rPr>
          <w:rFonts w:eastAsia="Courier New"/>
        </w:rPr>
        <w:t>,</w:t>
      </w:r>
      <w:r w:rsidRPr="00E9210E">
        <w:rPr>
          <w:rStyle w:val="Corpsdutexte28ptGraschelle120"/>
          <w:rFonts w:eastAsia="Courier New"/>
          <w:sz w:val="28"/>
        </w:rPr>
        <w:t xml:space="preserve"> </w:t>
      </w:r>
      <w:r w:rsidRPr="00E9210E">
        <w:t>Paris, 1930, publiés par la collection « Ailleurs »), « A.H.E.S. », t. III (1931), p. 468.</w:t>
      </w:r>
    </w:p>
    <w:p w14:paraId="1F75598C" w14:textId="77777777" w:rsidR="00B9662D" w:rsidRPr="00E9210E" w:rsidRDefault="00B9662D" w:rsidP="00B9662D">
      <w:pPr>
        <w:spacing w:before="120" w:after="120"/>
        <w:jc w:val="both"/>
      </w:pPr>
      <w:r w:rsidRPr="00E9210E">
        <w:t>L’agriculture dans les départements de l’Est (</w:t>
      </w:r>
      <w:r w:rsidRPr="00E9210E">
        <w:rPr>
          <w:rFonts w:eastAsia="Courier New"/>
          <w:i/>
        </w:rPr>
        <w:t>Bulletins de l’Office agricole régional de l’Est</w:t>
      </w:r>
      <w:r w:rsidRPr="00E9210E">
        <w:t>, n° 17, n° 23, n° 28), « A.H.E.S. », t. III (1931), p. 468-471.</w:t>
      </w:r>
    </w:p>
    <w:p w14:paraId="73F922E1" w14:textId="77777777" w:rsidR="00B9662D" w:rsidRPr="00E9210E" w:rsidRDefault="00B9662D" w:rsidP="00B9662D">
      <w:pPr>
        <w:spacing w:before="120" w:after="120"/>
        <w:jc w:val="both"/>
      </w:pPr>
      <w:r w:rsidRPr="00E9210E">
        <w:t xml:space="preserve">Plans parcellaires allemands. (Compte rendu : </w:t>
      </w:r>
      <w:r w:rsidRPr="00E9210E">
        <w:rPr>
          <w:rStyle w:val="Corpsdutexte27ptGras"/>
          <w:rFonts w:eastAsia="Courier New"/>
          <w:b w:val="0"/>
          <w:sz w:val="28"/>
        </w:rPr>
        <w:t xml:space="preserve">K. </w:t>
      </w:r>
      <w:r w:rsidRPr="00E9210E">
        <w:rPr>
          <w:rStyle w:val="Corpsdutexte27ptGras"/>
          <w:rFonts w:eastAsia="Courier New"/>
          <w:b w:val="0"/>
          <w:smallCaps/>
          <w:sz w:val="28"/>
        </w:rPr>
        <w:t>Ketter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Der Versuch einer Katasterreform in Cleve unter Friedrich Wilhelm I</w:t>
      </w:r>
      <w:r w:rsidRPr="00E9210E">
        <w:t>, Bonn, 1929), « A.H.E.S. », t. III (1931), p. 471.</w:t>
      </w:r>
    </w:p>
    <w:p w14:paraId="37BBF578" w14:textId="77777777" w:rsidR="00B9662D" w:rsidRPr="00E9210E" w:rsidRDefault="00B9662D" w:rsidP="00B9662D">
      <w:pPr>
        <w:spacing w:before="120" w:after="120"/>
        <w:jc w:val="both"/>
      </w:pPr>
      <w:r w:rsidRPr="00E9210E">
        <w:t xml:space="preserve">Le régime du travail en Provence. (Compte rendu : J. </w:t>
      </w:r>
      <w:r w:rsidRPr="00E9210E">
        <w:rPr>
          <w:rStyle w:val="Corpsdutexte27ptGras"/>
          <w:rFonts w:eastAsia="Courier New"/>
          <w:b w:val="0"/>
          <w:smallCaps/>
          <w:sz w:val="28"/>
        </w:rPr>
        <w:t>Billioud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 la confrérie à la corporation </w:t>
      </w:r>
      <w:r w:rsidRPr="00E9210E">
        <w:rPr>
          <w:rFonts w:eastAsia="Courier New"/>
        </w:rPr>
        <w:t xml:space="preserve">: </w:t>
      </w:r>
      <w:r w:rsidRPr="00E9210E">
        <w:rPr>
          <w:rFonts w:eastAsia="Courier New"/>
          <w:i/>
        </w:rPr>
        <w:t>les classes industrielles en Prove</w:t>
      </w:r>
      <w:r w:rsidRPr="00E9210E">
        <w:rPr>
          <w:rFonts w:eastAsia="Courier New"/>
          <w:i/>
        </w:rPr>
        <w:t>n</w:t>
      </w:r>
      <w:r w:rsidRPr="00E9210E">
        <w:rPr>
          <w:rFonts w:eastAsia="Courier New"/>
          <w:i/>
        </w:rPr>
        <w:t>ce aux XIV</w:t>
      </w:r>
      <w:r w:rsidRPr="00E9210E">
        <w:rPr>
          <w:rStyle w:val="Corpsdutexte28ptGraschelle120"/>
          <w:rFonts w:eastAsia="Courier New"/>
          <w:i/>
          <w:sz w:val="28"/>
          <w:vertAlign w:val="superscript"/>
        </w:rPr>
        <w:t>e</w:t>
      </w:r>
      <w:r w:rsidRPr="00E9210E">
        <w:rPr>
          <w:rStyle w:val="Corpsdutexte28ptGraschelle120"/>
          <w:rFonts w:eastAsia="Courier New"/>
          <w:i/>
          <w:sz w:val="28"/>
        </w:rPr>
        <w:t xml:space="preserve">, </w:t>
      </w:r>
      <w:r w:rsidRPr="00E9210E">
        <w:rPr>
          <w:rFonts w:eastAsia="Courier New"/>
          <w:i/>
        </w:rPr>
        <w:t>XV</w:t>
      </w:r>
      <w:r w:rsidRPr="00E9210E">
        <w:rPr>
          <w:rFonts w:eastAsia="Courier New"/>
          <w:i/>
          <w:vertAlign w:val="superscript"/>
        </w:rPr>
        <w:t>e</w:t>
      </w:r>
      <w:r w:rsidRPr="00E9210E">
        <w:rPr>
          <w:rFonts w:eastAsia="Courier New"/>
          <w:i/>
        </w:rPr>
        <w:t xml:space="preserve"> et </w:t>
      </w:r>
      <w:r w:rsidRPr="00E9210E">
        <w:rPr>
          <w:rStyle w:val="Corpsdutexte2ItaliqueEspacement1pt"/>
          <w:rFonts w:eastAsia="Courier New"/>
          <w:sz w:val="28"/>
        </w:rPr>
        <w:t>XVI</w:t>
      </w:r>
      <w:r w:rsidRPr="00E9210E">
        <w:rPr>
          <w:rStyle w:val="Corpsdutexte2ItaliqueEspacement1pt"/>
          <w:rFonts w:eastAsia="Courier New"/>
          <w:sz w:val="28"/>
          <w:vertAlign w:val="superscript"/>
        </w:rPr>
        <w:t>e</w:t>
      </w:r>
      <w:r w:rsidRPr="00E9210E">
        <w:rPr>
          <w:rFonts w:eastAsia="Courier New"/>
          <w:i/>
        </w:rPr>
        <w:t xml:space="preserve"> siècles</w:t>
      </w:r>
      <w:r w:rsidRPr="00E9210E">
        <w:rPr>
          <w:rStyle w:val="Corpsdutexte28ptGraschelle120"/>
          <w:rFonts w:eastAsia="Courier New"/>
          <w:sz w:val="28"/>
        </w:rPr>
        <w:t xml:space="preserve">, </w:t>
      </w:r>
      <w:r w:rsidRPr="00E9210E">
        <w:t>Marseille, 1929), « A.H.E.S. », t. III (1931), pp. 471-472.</w:t>
      </w:r>
    </w:p>
    <w:p w14:paraId="40C4CD71" w14:textId="77777777" w:rsidR="00B9662D" w:rsidRPr="00E9210E" w:rsidRDefault="00B9662D" w:rsidP="00B9662D">
      <w:pPr>
        <w:spacing w:before="120" w:after="120"/>
        <w:jc w:val="both"/>
      </w:pPr>
      <w:r w:rsidRPr="00E9210E">
        <w:t>Les travailleurs de l’étain en pays balte. (Compte rendu : J. </w:t>
      </w:r>
      <w:r w:rsidRPr="00E9210E">
        <w:rPr>
          <w:rStyle w:val="Corpsdutexte27ptGras"/>
          <w:rFonts w:eastAsia="Courier New"/>
          <w:b w:val="0"/>
          <w:smallCaps/>
          <w:sz w:val="28"/>
        </w:rPr>
        <w:t>Gahlnbäck</w:t>
      </w:r>
      <w:r w:rsidRPr="00E9210E">
        <w:rPr>
          <w:rStyle w:val="Corpsdutexte27ptGras"/>
          <w:rFonts w:eastAsia="Courier New"/>
          <w:b w:val="0"/>
          <w:i/>
          <w:sz w:val="28"/>
        </w:rPr>
        <w:t>,</w:t>
      </w:r>
      <w:r w:rsidRPr="00E9210E">
        <w:rPr>
          <w:rStyle w:val="Corpsdutexte27ptGras"/>
          <w:rFonts w:eastAsia="Courier New"/>
          <w:i/>
          <w:sz w:val="28"/>
        </w:rPr>
        <w:t xml:space="preserve"> </w:t>
      </w:r>
      <w:r w:rsidRPr="00E9210E">
        <w:rPr>
          <w:rFonts w:eastAsia="Courier New"/>
          <w:i/>
        </w:rPr>
        <w:t>Zinn und Zinngiesser in Liv-, Est- und Kurland</w:t>
      </w:r>
      <w:r w:rsidRPr="00E9210E">
        <w:rPr>
          <w:rFonts w:eastAsia="Courier New"/>
        </w:rPr>
        <w:t>,</w:t>
      </w:r>
      <w:r w:rsidRPr="00E9210E">
        <w:rPr>
          <w:rStyle w:val="Corpsdutexte28ptGraschelle120"/>
          <w:rFonts w:eastAsia="Courier New"/>
          <w:sz w:val="28"/>
        </w:rPr>
        <w:t xml:space="preserve"> </w:t>
      </w:r>
      <w:r w:rsidRPr="00E9210E">
        <w:t>L</w:t>
      </w:r>
      <w:r w:rsidRPr="00E9210E">
        <w:t>ü</w:t>
      </w:r>
      <w:r w:rsidRPr="00E9210E">
        <w:t>beck, 1929), « A.H.E.S. », t. III (1931), p. 472.</w:t>
      </w:r>
    </w:p>
    <w:p w14:paraId="590A4184" w14:textId="77777777" w:rsidR="00B9662D" w:rsidRPr="00E9210E" w:rsidRDefault="00B9662D" w:rsidP="00B9662D">
      <w:pPr>
        <w:spacing w:before="120" w:after="120"/>
        <w:jc w:val="both"/>
      </w:pPr>
      <w:r w:rsidRPr="00E9210E">
        <w:t>Du Moyen Âge au XX</w:t>
      </w:r>
      <w:r w:rsidRPr="00E9210E">
        <w:rPr>
          <w:vertAlign w:val="superscript"/>
        </w:rPr>
        <w:t>e</w:t>
      </w:r>
      <w:r w:rsidRPr="00E9210E">
        <w:t xml:space="preserve"> siècle : la plus vieille des sociétés min</w:t>
      </w:r>
      <w:r w:rsidRPr="00E9210E">
        <w:t>i</w:t>
      </w:r>
      <w:r w:rsidRPr="00E9210E">
        <w:t xml:space="preserve">ères. (Compte rendu : H. M. </w:t>
      </w:r>
      <w:r w:rsidRPr="00E9210E">
        <w:rPr>
          <w:rStyle w:val="Corpsdutexte27ptGras"/>
          <w:rFonts w:eastAsia="Courier New"/>
          <w:b w:val="0"/>
          <w:smallCaps/>
          <w:sz w:val="28"/>
        </w:rPr>
        <w:t>Larson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 medieval Swedish mining comp</w:t>
      </w:r>
      <w:r w:rsidRPr="00E9210E">
        <w:rPr>
          <w:rFonts w:eastAsia="Courier New"/>
          <w:i/>
        </w:rPr>
        <w:t>a</w:t>
      </w:r>
      <w:r w:rsidRPr="00E9210E">
        <w:rPr>
          <w:rFonts w:eastAsia="Courier New"/>
          <w:i/>
        </w:rPr>
        <w:t>ny</w:t>
      </w:r>
      <w:r w:rsidRPr="00E9210E">
        <w:t xml:space="preserve">, dans </w:t>
      </w:r>
      <w:r w:rsidRPr="00E9210E">
        <w:rPr>
          <w:rFonts w:eastAsia="Courier New"/>
          <w:i/>
        </w:rPr>
        <w:t>Journal of economic and Business History</w:t>
      </w:r>
      <w:r w:rsidRPr="00E9210E">
        <w:t>, t. II (1930), p. 545-559), « A.H.E.S. », t. III (1931), p. 473.</w:t>
      </w:r>
    </w:p>
    <w:p w14:paraId="79803A25" w14:textId="77777777" w:rsidR="00B9662D" w:rsidRPr="00E9210E" w:rsidRDefault="00B9662D" w:rsidP="00B9662D">
      <w:pPr>
        <w:spacing w:before="120" w:after="120"/>
        <w:jc w:val="both"/>
      </w:pPr>
      <w:r w:rsidRPr="00E9210E">
        <w:t xml:space="preserve">Histoire d’un prix. (Compte rendu sur les chapitres de Paul </w:t>
      </w:r>
      <w:r w:rsidRPr="00E9210E">
        <w:rPr>
          <w:rStyle w:val="Corpsdutexte27ptGras"/>
          <w:rFonts w:eastAsia="Courier New"/>
          <w:b w:val="0"/>
          <w:smallCaps/>
          <w:sz w:val="28"/>
        </w:rPr>
        <w:t>R</w:t>
      </w:r>
      <w:r w:rsidRPr="00E9210E">
        <w:rPr>
          <w:rStyle w:val="Corpsdutexte27ptGras"/>
          <w:rFonts w:eastAsia="Courier New"/>
          <w:b w:val="0"/>
          <w:smallCaps/>
          <w:sz w:val="28"/>
        </w:rPr>
        <w:t>a</w:t>
      </w:r>
      <w:r w:rsidRPr="00E9210E">
        <w:rPr>
          <w:rStyle w:val="Corpsdutexte27ptGras"/>
          <w:rFonts w:eastAsia="Courier New"/>
          <w:b w:val="0"/>
          <w:smallCaps/>
          <w:sz w:val="28"/>
        </w:rPr>
        <w:t>veau</w:t>
      </w:r>
      <w:r w:rsidRPr="00E9210E">
        <w:rPr>
          <w:rStyle w:val="Corpsdutexte27ptGras"/>
          <w:rFonts w:eastAsia="Courier New"/>
          <w:sz w:val="28"/>
        </w:rPr>
        <w:t xml:space="preserve"> </w:t>
      </w:r>
      <w:r w:rsidRPr="00E9210E">
        <w:t>p</w:t>
      </w:r>
      <w:r w:rsidRPr="00E9210E">
        <w:t>a</w:t>
      </w:r>
      <w:r w:rsidRPr="00E9210E">
        <w:t xml:space="preserve">rus dans la </w:t>
      </w:r>
      <w:r w:rsidRPr="00E9210E">
        <w:rPr>
          <w:rFonts w:eastAsia="Courier New"/>
          <w:i/>
        </w:rPr>
        <w:t>Revue d’histoire économique et sociale</w:t>
      </w:r>
      <w:r w:rsidRPr="00E9210E">
        <w:t>, 1931 ; ces chap</w:t>
      </w:r>
      <w:r w:rsidRPr="00E9210E">
        <w:t>i</w:t>
      </w:r>
      <w:r w:rsidRPr="00E9210E">
        <w:t xml:space="preserve">tres faisaient partie de </w:t>
      </w:r>
      <w:r w:rsidRPr="00E9210E">
        <w:rPr>
          <w:rFonts w:eastAsia="Courier New"/>
        </w:rPr>
        <w:t>l’</w:t>
      </w:r>
      <w:r w:rsidRPr="00E9210E">
        <w:rPr>
          <w:rFonts w:eastAsia="Courier New"/>
          <w:i/>
        </w:rPr>
        <w:t>Essai sur la situation économique et l’état social en Poitou au XV</w:t>
      </w:r>
      <w:r w:rsidRPr="00E9210E">
        <w:rPr>
          <w:rFonts w:eastAsia="Courier New"/>
          <w:i/>
          <w:vertAlign w:val="superscript"/>
        </w:rPr>
        <w:t>e</w:t>
      </w:r>
      <w:r w:rsidRPr="00E9210E">
        <w:rPr>
          <w:rFonts w:eastAsia="Courier New"/>
          <w:i/>
        </w:rPr>
        <w:t xml:space="preserve"> siècle</w:t>
      </w:r>
      <w:r w:rsidRPr="00E9210E">
        <w:rPr>
          <w:rStyle w:val="Corpsdutexte28ptGraschelle120"/>
          <w:rFonts w:eastAsia="Courier New"/>
          <w:i/>
          <w:sz w:val="28"/>
        </w:rPr>
        <w:t xml:space="preserve"> </w:t>
      </w:r>
      <w:r w:rsidRPr="00E9210E">
        <w:t>que préparait P. Raveau peu avant sa mort), « A.H.E.S. », t. III (1931), p. 552.</w:t>
      </w:r>
    </w:p>
    <w:p w14:paraId="47438B70" w14:textId="77777777" w:rsidR="00B9662D" w:rsidRPr="00E9210E" w:rsidRDefault="00B9662D" w:rsidP="00B9662D">
      <w:pPr>
        <w:spacing w:before="120" w:after="120"/>
        <w:jc w:val="both"/>
      </w:pPr>
      <w:r w:rsidRPr="00E9210E">
        <w:rPr>
          <w:rFonts w:eastAsia="Courier New"/>
          <w:i/>
        </w:rPr>
        <w:t>L’art populaire en France</w:t>
      </w:r>
      <w:r w:rsidRPr="00E9210E">
        <w:rPr>
          <w:rStyle w:val="Corpsdutexte28ptGraschelle120"/>
          <w:rFonts w:eastAsia="Courier New"/>
          <w:sz w:val="28"/>
        </w:rPr>
        <w:t xml:space="preserve"> </w:t>
      </w:r>
      <w:r w:rsidRPr="00E9210E">
        <w:t>(compte rendu sur le 2</w:t>
      </w:r>
      <w:r w:rsidRPr="00E9210E">
        <w:rPr>
          <w:vertAlign w:val="superscript"/>
        </w:rPr>
        <w:t>e</w:t>
      </w:r>
      <w:r w:rsidRPr="00E9210E">
        <w:t xml:space="preserve"> volume de ce périodique), « A.H.E.S. », t. III (1931), p. 561-562.</w:t>
      </w:r>
    </w:p>
    <w:p w14:paraId="0549140B" w14:textId="77777777" w:rsidR="00B9662D" w:rsidRPr="00E9210E" w:rsidRDefault="00B9662D" w:rsidP="00B9662D">
      <w:pPr>
        <w:spacing w:before="120" w:after="120"/>
        <w:jc w:val="both"/>
      </w:pPr>
      <w:r w:rsidRPr="00E9210E">
        <w:t xml:space="preserve">Tourisme et culture historique. (Compte rendu : </w:t>
      </w:r>
      <w:r w:rsidRPr="00E9210E">
        <w:rPr>
          <w:rStyle w:val="Corpsdutexte27ptGras"/>
          <w:rFonts w:eastAsia="Courier New"/>
          <w:b w:val="0"/>
          <w:sz w:val="28"/>
        </w:rPr>
        <w:t xml:space="preserve">K. </w:t>
      </w:r>
      <w:r w:rsidRPr="00E9210E">
        <w:rPr>
          <w:rStyle w:val="Corpsdutexte27ptGras"/>
          <w:rFonts w:eastAsia="Courier New"/>
          <w:b w:val="0"/>
          <w:smallCaps/>
          <w:sz w:val="28"/>
        </w:rPr>
        <w:t>Schumacher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7ptGrasItaliquePetitesmajusculesEspacement0pt"/>
          <w:rFonts w:eastAsia="Courier New"/>
          <w:b w:val="0"/>
          <w:smallCaps w:val="0"/>
          <w:sz w:val="28"/>
        </w:rPr>
        <w:t>Aus</w:t>
      </w:r>
      <w:r w:rsidRPr="00E9210E">
        <w:rPr>
          <w:rStyle w:val="Corpsdutexte27ptGrasItaliquePetitesmajusculesEspacement0pt"/>
          <w:rFonts w:eastAsia="Courier New"/>
          <w:sz w:val="28"/>
        </w:rPr>
        <w:t xml:space="preserve"> </w:t>
      </w:r>
      <w:r w:rsidRPr="00E9210E">
        <w:rPr>
          <w:rFonts w:eastAsia="Courier New"/>
          <w:i/>
        </w:rPr>
        <w:t>Ode</w:t>
      </w:r>
      <w:r w:rsidRPr="00E9210E">
        <w:rPr>
          <w:rFonts w:eastAsia="Courier New"/>
          <w:i/>
        </w:rPr>
        <w:t>n</w:t>
      </w:r>
      <w:r w:rsidRPr="00E9210E">
        <w:rPr>
          <w:rFonts w:eastAsia="Courier New"/>
          <w:i/>
        </w:rPr>
        <w:t>wald und Frankenwald</w:t>
      </w:r>
      <w:r w:rsidRPr="00E9210E">
        <w:rPr>
          <w:rFonts w:eastAsia="Courier New"/>
        </w:rPr>
        <w:t>,</w:t>
      </w:r>
      <w:r w:rsidRPr="00E9210E">
        <w:rPr>
          <w:rStyle w:val="Corpsdutexte28ptGraschelle120"/>
          <w:rFonts w:eastAsia="Courier New"/>
          <w:sz w:val="28"/>
        </w:rPr>
        <w:t xml:space="preserve"> </w:t>
      </w:r>
      <w:r w:rsidRPr="00E9210E">
        <w:t>Darmstadt, 1929), « A.H.E.S. », t. III (1931), p. 562.</w:t>
      </w:r>
    </w:p>
    <w:p w14:paraId="5F92A0FE" w14:textId="77777777" w:rsidR="00B9662D" w:rsidRPr="00E9210E" w:rsidRDefault="00B9662D" w:rsidP="00B9662D">
      <w:pPr>
        <w:spacing w:before="120" w:after="120"/>
        <w:jc w:val="both"/>
      </w:pPr>
      <w:r w:rsidRPr="00E9210E">
        <w:t xml:space="preserve">Un musée régional. (Compte rendu : </w:t>
      </w:r>
      <w:r w:rsidRPr="00E9210E">
        <w:rPr>
          <w:rFonts w:eastAsia="Courier New"/>
          <w:i/>
        </w:rPr>
        <w:t>Le Musée savoisien d’histoire et d’archéologie de Chambéry</w:t>
      </w:r>
      <w:r w:rsidRPr="00E9210E">
        <w:t>, Chambéry, 1929), « A.H.E.S. », t. III (1931), p. 562.</w:t>
      </w:r>
    </w:p>
    <w:p w14:paraId="1737168E" w14:textId="77777777" w:rsidR="00B9662D" w:rsidRPr="00E9210E" w:rsidRDefault="00B9662D" w:rsidP="00B9662D">
      <w:pPr>
        <w:spacing w:before="120" w:after="120"/>
        <w:jc w:val="both"/>
      </w:pPr>
      <w:r w:rsidRPr="00E9210E">
        <w:t xml:space="preserve">Un symptôme social : le suicide. (Compte rendu : M. </w:t>
      </w:r>
      <w:r w:rsidRPr="00E9210E">
        <w:rPr>
          <w:rStyle w:val="Corpsdutexte27ptGras"/>
          <w:rFonts w:eastAsia="Courier New"/>
          <w:b w:val="0"/>
          <w:smallCaps/>
          <w:sz w:val="28"/>
        </w:rPr>
        <w:t>Halbwachs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causes du suicide</w:t>
      </w:r>
      <w:r w:rsidRPr="00E9210E">
        <w:rPr>
          <w:rStyle w:val="Corpsdutexte28ptGraschelle120"/>
          <w:rFonts w:eastAsia="Courier New"/>
          <w:sz w:val="28"/>
        </w:rPr>
        <w:t xml:space="preserve">, </w:t>
      </w:r>
      <w:r w:rsidRPr="00E9210E">
        <w:t>Paris, 1930), « A.H.E.S. », t. III (1931), p. 590-592.</w:t>
      </w:r>
    </w:p>
    <w:p w14:paraId="3768F6BD" w14:textId="77777777" w:rsidR="00B9662D" w:rsidRPr="00E9210E" w:rsidRDefault="00B9662D" w:rsidP="00B9662D">
      <w:pPr>
        <w:spacing w:before="120" w:after="120"/>
        <w:jc w:val="both"/>
      </w:pPr>
      <w:r w:rsidRPr="00E9210E">
        <w:t>Les vicissitudes d’une région de passage. (Compte rendu : F. </w:t>
      </w:r>
      <w:r w:rsidRPr="00E9210E">
        <w:rPr>
          <w:rStyle w:val="Corpsdutexte27ptGras"/>
          <w:rFonts w:eastAsia="Courier New"/>
          <w:b w:val="0"/>
          <w:smallCaps/>
          <w:sz w:val="28"/>
        </w:rPr>
        <w:t>Rousseau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Meuse et le pays mosan en Belgique. Leur impo</w:t>
      </w:r>
      <w:r w:rsidRPr="00E9210E">
        <w:rPr>
          <w:rFonts w:eastAsia="Courier New"/>
          <w:i/>
        </w:rPr>
        <w:t>r</w:t>
      </w:r>
      <w:r w:rsidRPr="00E9210E">
        <w:rPr>
          <w:rFonts w:eastAsia="Courier New"/>
          <w:i/>
        </w:rPr>
        <w:t xml:space="preserve">tance historique avant le </w:t>
      </w:r>
      <w:r w:rsidRPr="00E9210E">
        <w:rPr>
          <w:rStyle w:val="Corpsdutexte2ItaliqueEspacement1pt"/>
          <w:rFonts w:eastAsia="Courier New"/>
          <w:sz w:val="28"/>
        </w:rPr>
        <w:t>XIII</w:t>
      </w:r>
      <w:r w:rsidRPr="00E9210E">
        <w:rPr>
          <w:rStyle w:val="Corpsdutexte2ItaliqueEspacement1pt"/>
          <w:rFonts w:eastAsia="Courier New"/>
          <w:sz w:val="28"/>
          <w:vertAlign w:val="superscript"/>
        </w:rPr>
        <w:t>e</w:t>
      </w:r>
      <w:r w:rsidRPr="00E9210E">
        <w:rPr>
          <w:rFonts w:eastAsia="Courier New"/>
          <w:i/>
        </w:rPr>
        <w:t xml:space="preserve"> siècle</w:t>
      </w:r>
      <w:r w:rsidRPr="00E9210E">
        <w:rPr>
          <w:rStyle w:val="Corpsdutexte28ptGraschelle120"/>
          <w:rFonts w:eastAsia="Courier New"/>
          <w:sz w:val="28"/>
        </w:rPr>
        <w:t xml:space="preserve">, </w:t>
      </w:r>
      <w:r w:rsidRPr="00E9210E">
        <w:t>Namur, 1930), « A.H.E.S. », t. III (1931), p. 593-595.</w:t>
      </w:r>
    </w:p>
    <w:p w14:paraId="50CE907E" w14:textId="77777777" w:rsidR="00B9662D" w:rsidRPr="00E9210E" w:rsidRDefault="00B9662D" w:rsidP="00B9662D">
      <w:pPr>
        <w:spacing w:before="120" w:after="120"/>
        <w:jc w:val="both"/>
      </w:pPr>
      <w:r w:rsidRPr="00E9210E">
        <w:t xml:space="preserve">Nom de lieu et histoire sociale. (Compte rendu : A. </w:t>
      </w:r>
      <w:r w:rsidRPr="00E9210E">
        <w:rPr>
          <w:rStyle w:val="Corpsdutexte27ptGras"/>
          <w:rFonts w:eastAsia="Courier New"/>
          <w:b w:val="0"/>
          <w:smallCaps/>
          <w:sz w:val="28"/>
        </w:rPr>
        <w:t>Mawer</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F. M. </w:t>
      </w:r>
      <w:r w:rsidRPr="00E9210E">
        <w:rPr>
          <w:rStyle w:val="Corpsdutexte27ptGras"/>
          <w:rFonts w:eastAsia="Courier New"/>
          <w:b w:val="0"/>
          <w:smallCaps/>
          <w:sz w:val="28"/>
        </w:rPr>
        <w:t>Stenton</w:t>
      </w:r>
      <w:r w:rsidRPr="00E9210E">
        <w:rPr>
          <w:rStyle w:val="Corpsdutexte27ptGras"/>
          <w:rFonts w:eastAsia="Courier New"/>
          <w:sz w:val="28"/>
        </w:rPr>
        <w:t xml:space="preserve"> </w:t>
      </w:r>
      <w:r w:rsidRPr="00E9210E">
        <w:t xml:space="preserve">et J. E. B. </w:t>
      </w:r>
      <w:r w:rsidRPr="00E9210E">
        <w:rPr>
          <w:rStyle w:val="Corpsdutexte27ptGras"/>
          <w:rFonts w:eastAsia="Courier New"/>
          <w:b w:val="0"/>
          <w:smallCaps/>
          <w:sz w:val="28"/>
        </w:rPr>
        <w:t>Gover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Place-names of Sussex</w:t>
      </w:r>
      <w:r w:rsidRPr="00E9210E">
        <w:rPr>
          <w:rFonts w:eastAsia="Courier New"/>
        </w:rPr>
        <w:t>,</w:t>
      </w:r>
      <w:r w:rsidRPr="00E9210E">
        <w:rPr>
          <w:rStyle w:val="Corpsdutexte28ptGraschelle120"/>
          <w:rFonts w:eastAsia="Courier New"/>
          <w:sz w:val="28"/>
        </w:rPr>
        <w:t xml:space="preserve"> </w:t>
      </w:r>
      <w:r w:rsidRPr="00E9210E">
        <w:t>Cambridge, 1930), « A.H.E.S. », t. III (1931), p. 595-596.</w:t>
      </w:r>
    </w:p>
    <w:p w14:paraId="1F8A17D4" w14:textId="77777777" w:rsidR="00B9662D" w:rsidRPr="00E9210E" w:rsidRDefault="00B9662D" w:rsidP="00B9662D">
      <w:pPr>
        <w:spacing w:before="120" w:after="120"/>
        <w:jc w:val="both"/>
      </w:pPr>
      <w:r w:rsidRPr="00E9210E">
        <w:t xml:space="preserve">La topographie des saints. (Compte rendu : R. P. H. </w:t>
      </w:r>
      <w:r w:rsidRPr="00E9210E">
        <w:rPr>
          <w:rStyle w:val="Corpsdutexte27ptGras"/>
          <w:rFonts w:eastAsia="Courier New"/>
          <w:b w:val="0"/>
          <w:smallCaps/>
          <w:sz w:val="28"/>
        </w:rPr>
        <w:t>Delehaye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Loca sanctorum</w:t>
      </w:r>
      <w:r w:rsidRPr="00E9210E">
        <w:rPr>
          <w:rFonts w:eastAsia="Courier New"/>
        </w:rPr>
        <w:t xml:space="preserve">, </w:t>
      </w:r>
      <w:r w:rsidRPr="00E9210E">
        <w:t xml:space="preserve">dans </w:t>
      </w:r>
      <w:r w:rsidRPr="00E9210E">
        <w:rPr>
          <w:rFonts w:eastAsia="Courier New"/>
          <w:i/>
        </w:rPr>
        <w:t>Analecta Bollandiana</w:t>
      </w:r>
      <w:r w:rsidRPr="00E9210E">
        <w:rPr>
          <w:rFonts w:eastAsia="Courier New"/>
        </w:rPr>
        <w:t>,</w:t>
      </w:r>
      <w:r w:rsidRPr="00E9210E">
        <w:rPr>
          <w:rStyle w:val="Corpsdutexte28ptGraschelle120"/>
          <w:rFonts w:eastAsia="Courier New"/>
          <w:sz w:val="28"/>
        </w:rPr>
        <w:t xml:space="preserve"> </w:t>
      </w:r>
      <w:r w:rsidRPr="00E9210E">
        <w:t>t. XLVIII (1930), pp. 1-64), « A.H.E.S. », t. III (1931), p. 596.</w:t>
      </w:r>
    </w:p>
    <w:p w14:paraId="0FC0E2A1" w14:textId="77777777" w:rsidR="00B9662D" w:rsidRPr="00E9210E" w:rsidRDefault="00B9662D" w:rsidP="00B9662D">
      <w:pPr>
        <w:spacing w:before="120" w:after="120"/>
        <w:jc w:val="both"/>
      </w:pPr>
      <w:r w:rsidRPr="00E9210E">
        <w:t xml:space="preserve">Géographie historique. (Compte rendu : W. </w:t>
      </w:r>
      <w:r w:rsidRPr="00E9210E">
        <w:rPr>
          <w:rStyle w:val="Corpsdutexte27ptGras"/>
          <w:rFonts w:eastAsia="Courier New"/>
          <w:b w:val="0"/>
          <w:smallCaps/>
          <w:sz w:val="28"/>
        </w:rPr>
        <w:t>Vogel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Stand und Aufg</w:t>
      </w:r>
      <w:r w:rsidRPr="00E9210E">
        <w:rPr>
          <w:rFonts w:eastAsia="Courier New"/>
          <w:i/>
        </w:rPr>
        <w:t>a</w:t>
      </w:r>
      <w:r w:rsidRPr="00E9210E">
        <w:rPr>
          <w:rFonts w:eastAsia="Courier New"/>
          <w:i/>
        </w:rPr>
        <w:t>ben der historisch-geographischen Forschung in Deutschland</w:t>
      </w:r>
      <w:r w:rsidRPr="00E9210E">
        <w:t xml:space="preserve">, dans </w:t>
      </w:r>
      <w:r w:rsidRPr="00E9210E">
        <w:rPr>
          <w:rFonts w:eastAsia="Courier New"/>
          <w:i/>
        </w:rPr>
        <w:t>Petermanns’ Mitteilungen</w:t>
      </w:r>
      <w:r w:rsidRPr="00E9210E">
        <w:rPr>
          <w:rFonts w:eastAsia="Courier New"/>
        </w:rPr>
        <w:t>,</w:t>
      </w:r>
      <w:r w:rsidRPr="00E9210E">
        <w:rPr>
          <w:rStyle w:val="Corpsdutexte28ptGraschelle120"/>
          <w:rFonts w:eastAsia="Courier New"/>
          <w:sz w:val="28"/>
        </w:rPr>
        <w:t xml:space="preserve"> </w:t>
      </w:r>
      <w:r w:rsidRPr="00E9210E">
        <w:t>Ergänzungsheft 209 (1930), p. 346-360), « A.H.E.S. », t. III (1931), p. 597.</w:t>
      </w:r>
    </w:p>
    <w:p w14:paraId="75C30052" w14:textId="77777777" w:rsidR="00B9662D" w:rsidRPr="00E9210E" w:rsidRDefault="00B9662D" w:rsidP="00B9662D">
      <w:pPr>
        <w:spacing w:before="120" w:after="120"/>
        <w:jc w:val="both"/>
      </w:pPr>
      <w:r w:rsidRPr="00E9210E">
        <w:t xml:space="preserve">La population de la France au </w:t>
      </w:r>
      <w:r w:rsidRPr="00E9210E">
        <w:rPr>
          <w:caps/>
        </w:rPr>
        <w:t>xiv</w:t>
      </w:r>
      <w:r w:rsidRPr="00E9210E">
        <w:rPr>
          <w:vertAlign w:val="superscript"/>
        </w:rPr>
        <w:t>e</w:t>
      </w:r>
      <w:r w:rsidRPr="00E9210E">
        <w:t xml:space="preserve"> siècle : comment la connaître. (Compte rendu : F. </w:t>
      </w:r>
      <w:r w:rsidRPr="00E9210E">
        <w:rPr>
          <w:rStyle w:val="Corpsdutexte27ptGras"/>
          <w:rFonts w:eastAsia="Courier New"/>
          <w:b w:val="0"/>
          <w:smallCaps/>
          <w:sz w:val="28"/>
        </w:rPr>
        <w:t>Lot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L’état des paroisses et des feux de </w:t>
      </w:r>
      <w:r w:rsidRPr="00E9210E">
        <w:rPr>
          <w:rStyle w:val="Corpsdutexte28ptItalique"/>
          <w:rFonts w:eastAsia="Courier New"/>
          <w:sz w:val="28"/>
        </w:rPr>
        <w:t>1328</w:t>
      </w:r>
      <w:r w:rsidRPr="00E9210E">
        <w:t xml:space="preserve">, dans </w:t>
      </w:r>
      <w:r w:rsidRPr="00E9210E">
        <w:rPr>
          <w:rFonts w:eastAsia="Courier New"/>
        </w:rPr>
        <w:t xml:space="preserve">Bibl. </w:t>
      </w:r>
      <w:r w:rsidRPr="00E9210E">
        <w:rPr>
          <w:rFonts w:eastAsia="Courier New"/>
          <w:i/>
        </w:rPr>
        <w:t>Éc. des Chartes</w:t>
      </w:r>
      <w:r w:rsidRPr="00E9210E">
        <w:t>, t. XC (1929), pp. 51-107 et 256-315), « A.H.E.S. », t. III (1931), pp. 603-605.</w:t>
      </w:r>
    </w:p>
    <w:p w14:paraId="54F02EB7" w14:textId="77777777" w:rsidR="00B9662D" w:rsidRPr="00E9210E" w:rsidRDefault="00B9662D" w:rsidP="00B9662D">
      <w:pPr>
        <w:spacing w:before="120" w:after="120"/>
        <w:jc w:val="both"/>
      </w:pPr>
      <w:r w:rsidRPr="00E9210E">
        <w:t>Le mouvement de la population dans un département rural. (Com</w:t>
      </w:r>
      <w:r w:rsidRPr="00E9210E">
        <w:t>p</w:t>
      </w:r>
      <w:r w:rsidRPr="00E9210E">
        <w:t xml:space="preserve">te rendu : G. </w:t>
      </w:r>
      <w:r w:rsidRPr="00E9210E">
        <w:rPr>
          <w:rStyle w:val="Corpsdutexte27ptGras"/>
          <w:rFonts w:eastAsia="Courier New"/>
          <w:b w:val="0"/>
          <w:smallCaps/>
          <w:sz w:val="28"/>
        </w:rPr>
        <w:t>Gallon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mouvement de la population dans le dépa</w:t>
      </w:r>
      <w:r w:rsidRPr="00E9210E">
        <w:rPr>
          <w:rFonts w:eastAsia="Courier New"/>
          <w:i/>
        </w:rPr>
        <w:t>r</w:t>
      </w:r>
      <w:r w:rsidRPr="00E9210E">
        <w:rPr>
          <w:rFonts w:eastAsia="Courier New"/>
          <w:i/>
        </w:rPr>
        <w:t>tement de la Creuse au cours de</w:t>
      </w:r>
      <w:r>
        <w:rPr>
          <w:rFonts w:eastAsia="Courier New"/>
        </w:rPr>
        <w:t xml:space="preserve"> [</w:t>
      </w:r>
      <w:r w:rsidRPr="00E9210E">
        <w:t>1052]</w:t>
      </w:r>
      <w:r>
        <w:t xml:space="preserve"> </w:t>
      </w:r>
      <w:r w:rsidRPr="00E9210E">
        <w:rPr>
          <w:i/>
        </w:rPr>
        <w:t xml:space="preserve">la période </w:t>
      </w:r>
      <w:r w:rsidRPr="00E9210E">
        <w:rPr>
          <w:rFonts w:eastAsia="Courier New"/>
          <w:i/>
        </w:rPr>
        <w:t>1821-1920,</w:t>
      </w:r>
      <w:r w:rsidRPr="00E9210E">
        <w:rPr>
          <w:rFonts w:eastAsia="Courier New"/>
          <w:i/>
          <w:iCs/>
        </w:rPr>
        <w:t xml:space="preserve"> dans </w:t>
      </w:r>
      <w:r w:rsidRPr="00E9210E">
        <w:rPr>
          <w:i/>
        </w:rPr>
        <w:t>Mémoires de la Société des Sciences naturelles et archéologiques de la Creuse</w:t>
      </w:r>
      <w:r w:rsidRPr="00E9210E">
        <w:rPr>
          <w:rFonts w:eastAsia="Courier New"/>
        </w:rPr>
        <w:t>,</w:t>
      </w:r>
      <w:r w:rsidRPr="00E9210E">
        <w:rPr>
          <w:rFonts w:eastAsia="Courier New"/>
          <w:i/>
          <w:iCs/>
        </w:rPr>
        <w:t xml:space="preserve"> </w:t>
      </w:r>
      <w:r w:rsidRPr="00E9210E">
        <w:rPr>
          <w:rFonts w:eastAsia="Courier New"/>
          <w:iCs/>
        </w:rPr>
        <w:t>t. XXIV (1929), pp. 241-274), « A.H.E.S. », t. III (1931), p. 605.</w:t>
      </w:r>
    </w:p>
    <w:p w14:paraId="1D3D1619" w14:textId="77777777" w:rsidR="00B9662D" w:rsidRPr="00E9210E" w:rsidRDefault="00B9662D" w:rsidP="00B9662D">
      <w:pPr>
        <w:spacing w:before="120" w:after="120"/>
        <w:jc w:val="both"/>
      </w:pPr>
      <w:r w:rsidRPr="00E9210E">
        <w:t xml:space="preserve">La monnaie et les échanges dans la Gaule mérovingienne. (Compte rendu : Dr. F. </w:t>
      </w:r>
      <w:r w:rsidRPr="00E9210E">
        <w:rPr>
          <w:rStyle w:val="Corpsdutexte27ptGras"/>
          <w:rFonts w:eastAsia="Courier New"/>
          <w:b w:val="0"/>
          <w:smallCaps/>
          <w:sz w:val="28"/>
        </w:rPr>
        <w:t>Kloss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Goldvorrat und Geldverkehr im Merowinge</w:t>
      </w:r>
      <w:r w:rsidRPr="00E9210E">
        <w:rPr>
          <w:rFonts w:eastAsia="Courier New"/>
          <w:i/>
        </w:rPr>
        <w:t>r</w:t>
      </w:r>
      <w:r w:rsidRPr="00E9210E">
        <w:rPr>
          <w:rFonts w:eastAsia="Courier New"/>
          <w:i/>
        </w:rPr>
        <w:t>reich</w:t>
      </w:r>
      <w:r w:rsidRPr="00E9210E">
        <w:rPr>
          <w:rStyle w:val="Corpsdutexte2ItaliqueEspacement0pt"/>
          <w:rFonts w:eastAsia="Courier New"/>
          <w:sz w:val="28"/>
        </w:rPr>
        <w:t>,</w:t>
      </w:r>
      <w:r w:rsidRPr="00E9210E">
        <w:t xml:space="preserve"> Vienne, 1929), « A.H.E.S. », t. III (1931), p. 607.</w:t>
      </w:r>
    </w:p>
    <w:p w14:paraId="4B857AF9" w14:textId="77777777" w:rsidR="00B9662D" w:rsidRPr="00E9210E" w:rsidRDefault="00B9662D" w:rsidP="00B9662D">
      <w:pPr>
        <w:spacing w:before="120" w:after="120"/>
        <w:jc w:val="both"/>
      </w:pPr>
      <w:r w:rsidRPr="00E9210E">
        <w:t xml:space="preserve">La monnaie d’or au Moyen Âge. (Compte rendu : G. I. </w:t>
      </w:r>
      <w:r w:rsidRPr="00E9210E">
        <w:rPr>
          <w:rStyle w:val="Corpsdutexte27ptGras"/>
          <w:rFonts w:eastAsia="Courier New"/>
          <w:b w:val="0"/>
          <w:smallCaps/>
          <w:sz w:val="28"/>
        </w:rPr>
        <w:t>Bratianu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L’hyperpère byzantin et la monnaie d’or des républiques italiennes au </w:t>
      </w:r>
      <w:r w:rsidRPr="00E9210E">
        <w:rPr>
          <w:rStyle w:val="Corpsdutexte2ItaliqueEspacement1pt"/>
          <w:rFonts w:eastAsia="Courier New"/>
          <w:sz w:val="28"/>
        </w:rPr>
        <w:t>XIII</w:t>
      </w:r>
      <w:r w:rsidRPr="00E9210E">
        <w:rPr>
          <w:rStyle w:val="Corpsdutexte2ItaliqueEspacement1pt"/>
          <w:rFonts w:eastAsia="Courier New"/>
          <w:sz w:val="28"/>
          <w:vertAlign w:val="superscript"/>
        </w:rPr>
        <w:t>e</w:t>
      </w:r>
      <w:r w:rsidRPr="00E9210E">
        <w:rPr>
          <w:rFonts w:eastAsia="Courier New"/>
          <w:i/>
        </w:rPr>
        <w:t xml:space="preserve"> siècle</w:t>
      </w:r>
      <w:r w:rsidRPr="00E9210E">
        <w:t xml:space="preserve">, dans </w:t>
      </w:r>
      <w:r w:rsidRPr="00E9210E">
        <w:rPr>
          <w:rFonts w:eastAsia="Courier New"/>
          <w:i/>
        </w:rPr>
        <w:t>Mélanges Charles Diehl</w:t>
      </w:r>
      <w:r w:rsidRPr="00E9210E">
        <w:rPr>
          <w:rFonts w:eastAsia="Courier New"/>
        </w:rPr>
        <w:t>,</w:t>
      </w:r>
      <w:r w:rsidRPr="00E9210E">
        <w:rPr>
          <w:rStyle w:val="Corpsdutexte28ptGraschelle120"/>
          <w:rFonts w:eastAsia="Courier New"/>
          <w:sz w:val="28"/>
        </w:rPr>
        <w:t xml:space="preserve"> </w:t>
      </w:r>
      <w:r w:rsidRPr="00E9210E">
        <w:t xml:space="preserve">t. I : </w:t>
      </w:r>
      <w:r w:rsidRPr="00E9210E">
        <w:rPr>
          <w:rFonts w:eastAsia="Courier New"/>
        </w:rPr>
        <w:t>Histoire</w:t>
      </w:r>
      <w:r w:rsidRPr="00E9210E">
        <w:t>, Paris, 1930, pp. 37-48), « </w:t>
      </w:r>
      <w:r w:rsidRPr="00E9210E">
        <w:rPr>
          <w:i/>
        </w:rPr>
        <w:t>A.H.E.S</w:t>
      </w:r>
      <w:r w:rsidRPr="00E9210E">
        <w:t>. », t. III (1931), pp. 607-608.</w:t>
      </w:r>
    </w:p>
    <w:p w14:paraId="5ACB7DA5" w14:textId="77777777" w:rsidR="00B9662D" w:rsidRPr="00E9210E" w:rsidRDefault="00B9662D" w:rsidP="00B9662D">
      <w:pPr>
        <w:spacing w:before="120" w:after="120"/>
        <w:jc w:val="both"/>
      </w:pPr>
      <w:r w:rsidRPr="00E9210E">
        <w:rPr>
          <w:rStyle w:val="Corpsdutexte385ptNonItalique"/>
          <w:rFonts w:eastAsia="Courier New"/>
          <w:i w:val="0"/>
          <w:iCs w:val="0"/>
          <w:sz w:val="28"/>
        </w:rPr>
        <w:t>Marchands italiens dans la France médiévale. (Comptes rendus : L. </w:t>
      </w:r>
      <w:r w:rsidRPr="00E9210E">
        <w:rPr>
          <w:rStyle w:val="Corpsdutexte37ptGrasNonItalique"/>
          <w:rFonts w:eastAsia="Courier New"/>
          <w:b w:val="0"/>
          <w:i w:val="0"/>
          <w:iCs w:val="0"/>
          <w:smallCaps/>
          <w:sz w:val="28"/>
        </w:rPr>
        <w:t>Mirot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Lucquois en France au Moyen Age</w:t>
      </w:r>
      <w:r w:rsidRPr="00E9210E">
        <w:rPr>
          <w:rStyle w:val="Corpsdutexte385ptNonItalique"/>
          <w:rFonts w:eastAsia="Courier New"/>
          <w:i w:val="0"/>
          <w:iCs w:val="0"/>
          <w:sz w:val="28"/>
        </w:rPr>
        <w:t xml:space="preserve">, dans </w:t>
      </w:r>
      <w:r w:rsidRPr="00E9210E">
        <w:rPr>
          <w:i/>
        </w:rPr>
        <w:t xml:space="preserve">Atti della </w:t>
      </w:r>
      <w:r w:rsidRPr="00E9210E">
        <w:rPr>
          <w:rFonts w:eastAsia="Courier New"/>
          <w:i/>
        </w:rPr>
        <w:t xml:space="preserve">R. </w:t>
      </w:r>
      <w:r w:rsidRPr="00E9210E">
        <w:rPr>
          <w:i/>
        </w:rPr>
        <w:t xml:space="preserve">Accad. Lucchese di Scienze, Lettere </w:t>
      </w:r>
      <w:r w:rsidRPr="00E9210E">
        <w:rPr>
          <w:rFonts w:eastAsia="Courier New"/>
          <w:i/>
        </w:rPr>
        <w:t xml:space="preserve">ed </w:t>
      </w:r>
      <w:r w:rsidRPr="00E9210E">
        <w:rPr>
          <w:i/>
        </w:rPr>
        <w:t>Arti</w:t>
      </w:r>
      <w:r w:rsidRPr="00E9210E">
        <w:rPr>
          <w:rStyle w:val="Corpsdutexte385ptNonItalique"/>
          <w:rFonts w:eastAsia="Courier New"/>
          <w:i w:val="0"/>
          <w:iCs w:val="0"/>
          <w:sz w:val="28"/>
        </w:rPr>
        <w:t xml:space="preserve">, Nuova serie, </w:t>
      </w:r>
      <w:r w:rsidRPr="00E9210E">
        <w:rPr>
          <w:rStyle w:val="Corpsdutexte37ptGrasNonItalique"/>
          <w:rFonts w:eastAsia="Courier New"/>
          <w:b w:val="0"/>
          <w:i w:val="0"/>
          <w:iCs w:val="0"/>
          <w:sz w:val="28"/>
        </w:rPr>
        <w:t>t. I. — L. </w:t>
      </w:r>
      <w:r w:rsidRPr="00E9210E">
        <w:rPr>
          <w:rStyle w:val="Corpsdutexte37ptGrasNonItalique"/>
          <w:rFonts w:eastAsia="Courier New"/>
          <w:b w:val="0"/>
          <w:i w:val="0"/>
          <w:iCs w:val="0"/>
          <w:smallCaps/>
          <w:sz w:val="28"/>
        </w:rPr>
        <w:t>Mirot</w:t>
      </w:r>
      <w:r w:rsidRPr="00E9210E">
        <w:rPr>
          <w:rStyle w:val="Corpsdutexte37ptGrasNonItalique"/>
          <w:rFonts w:eastAsia="Courier New"/>
          <w:b w:val="0"/>
          <w:i w:val="0"/>
          <w:iCs w:val="0"/>
          <w:sz w:val="28"/>
        </w:rPr>
        <w:t xml:space="preserve"> </w:t>
      </w:r>
      <w:r w:rsidRPr="00E9210E">
        <w:rPr>
          <w:rStyle w:val="Corpsdutexte385ptNonItalique"/>
          <w:rFonts w:eastAsia="Courier New"/>
          <w:i w:val="0"/>
          <w:iCs w:val="0"/>
          <w:sz w:val="28"/>
        </w:rPr>
        <w:t xml:space="preserve">et E. </w:t>
      </w:r>
      <w:r w:rsidRPr="00E9210E">
        <w:rPr>
          <w:rStyle w:val="Corpsdutexte37ptGrasNonItalique"/>
          <w:rFonts w:eastAsia="Courier New"/>
          <w:b w:val="0"/>
          <w:i w:val="0"/>
          <w:iCs w:val="0"/>
          <w:smallCaps/>
          <w:sz w:val="28"/>
        </w:rPr>
        <w:t>Lazzareschi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Lettere di mercanti lucchesi de Bruges e da Parigi, 1407-1421</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Bollettino storico Lucchese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I (1929), pp. 166-199), « </w:t>
      </w:r>
      <w:r w:rsidRPr="00E9210E">
        <w:rPr>
          <w:rStyle w:val="Corpsdutexte385ptNonItalique"/>
          <w:rFonts w:eastAsia="Courier New"/>
          <w:iCs w:val="0"/>
          <w:sz w:val="28"/>
        </w:rPr>
        <w:t>A.H.E.S</w:t>
      </w:r>
      <w:r w:rsidRPr="00E9210E">
        <w:rPr>
          <w:rStyle w:val="Corpsdutexte385ptNonItalique"/>
          <w:rFonts w:eastAsia="Courier New"/>
          <w:i w:val="0"/>
          <w:iCs w:val="0"/>
          <w:sz w:val="28"/>
        </w:rPr>
        <w:t xml:space="preserve">. », </w:t>
      </w:r>
      <w:r w:rsidRPr="00E9210E">
        <w:rPr>
          <w:rStyle w:val="Corpsdutexte37ptGrasNonItalique"/>
          <w:rFonts w:eastAsia="Courier New"/>
          <w:b w:val="0"/>
          <w:i w:val="0"/>
          <w:iCs w:val="0"/>
          <w:sz w:val="28"/>
        </w:rPr>
        <w:t>t.</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III (1931), p. 611.</w:t>
      </w:r>
    </w:p>
    <w:p w14:paraId="4B9FFEF4" w14:textId="77777777" w:rsidR="00B9662D" w:rsidRPr="00E9210E" w:rsidRDefault="00B9662D" w:rsidP="00B9662D">
      <w:pPr>
        <w:spacing w:before="120" w:after="120"/>
        <w:jc w:val="both"/>
      </w:pPr>
      <w:r w:rsidRPr="00E9210E">
        <w:t>De Gênes à Novgorod : le rayonnement de la draperie et du co</w:t>
      </w:r>
      <w:r w:rsidRPr="00E9210E">
        <w:t>m</w:t>
      </w:r>
      <w:r w:rsidRPr="00E9210E">
        <w:t xml:space="preserve">merce des Pays-Bas. (Comptes rendus : R. L. </w:t>
      </w:r>
      <w:r w:rsidRPr="00E9210E">
        <w:rPr>
          <w:rStyle w:val="Corpsdutexte27ptGras"/>
          <w:rFonts w:eastAsia="Courier New"/>
          <w:b w:val="0"/>
          <w:smallCaps/>
          <w:sz w:val="28"/>
        </w:rPr>
        <w:t>Reynolds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Merchants of Arras and the overland trade with Genoa</w:t>
      </w:r>
      <w:r w:rsidRPr="00E9210E">
        <w:rPr>
          <w:rFonts w:eastAsia="Courier New"/>
        </w:rPr>
        <w:t>,</w:t>
      </w:r>
      <w:r w:rsidRPr="00E9210E">
        <w:rPr>
          <w:rStyle w:val="Corpsdutexte28ptGraschelle120"/>
          <w:rFonts w:eastAsia="Courier New"/>
          <w:sz w:val="28"/>
        </w:rPr>
        <w:t xml:space="preserve"> </w:t>
      </w:r>
      <w:r w:rsidRPr="00E9210E">
        <w:t xml:space="preserve">dans </w:t>
      </w:r>
      <w:r w:rsidRPr="00E9210E">
        <w:rPr>
          <w:rFonts w:eastAsia="Courier New"/>
          <w:i/>
        </w:rPr>
        <w:t>Revue belge de ph</w:t>
      </w:r>
      <w:r w:rsidRPr="00E9210E">
        <w:rPr>
          <w:rFonts w:eastAsia="Courier New"/>
          <w:i/>
        </w:rPr>
        <w:t>i</w:t>
      </w:r>
      <w:r w:rsidRPr="00E9210E">
        <w:rPr>
          <w:rFonts w:eastAsia="Courier New"/>
          <w:i/>
        </w:rPr>
        <w:t>lol</w:t>
      </w:r>
      <w:r w:rsidRPr="00E9210E">
        <w:rPr>
          <w:rFonts w:eastAsia="Courier New"/>
          <w:i/>
        </w:rPr>
        <w:t>o</w:t>
      </w:r>
      <w:r w:rsidRPr="00E9210E">
        <w:rPr>
          <w:rFonts w:eastAsia="Courier New"/>
          <w:i/>
        </w:rPr>
        <w:t>gie et d’histoire</w:t>
      </w:r>
      <w:r w:rsidRPr="00E9210E">
        <w:rPr>
          <w:rFonts w:eastAsia="Courier New"/>
        </w:rPr>
        <w:t>,</w:t>
      </w:r>
      <w:r w:rsidRPr="00E9210E">
        <w:rPr>
          <w:rStyle w:val="Corpsdutexte28ptGraschelle120"/>
          <w:rFonts w:eastAsia="Courier New"/>
          <w:sz w:val="28"/>
        </w:rPr>
        <w:t xml:space="preserve"> </w:t>
      </w:r>
      <w:r w:rsidRPr="00E9210E">
        <w:t>t. IX (1930), p. 495-534.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Draps d’Ypres à Novgorod au commencement du </w:t>
      </w:r>
      <w:r w:rsidRPr="00E9210E">
        <w:rPr>
          <w:rStyle w:val="Corpsdutexte2ItaliqueEspacement1pt"/>
          <w:rFonts w:eastAsia="Courier New"/>
          <w:sz w:val="28"/>
        </w:rPr>
        <w:t>XII</w:t>
      </w:r>
      <w:r w:rsidRPr="00E9210E">
        <w:rPr>
          <w:rStyle w:val="Corpsdutexte2ItaliqueEspacement1pt"/>
          <w:rFonts w:eastAsia="Courier New"/>
          <w:sz w:val="28"/>
          <w:vertAlign w:val="superscript"/>
        </w:rPr>
        <w:t>e</w:t>
      </w:r>
      <w:r w:rsidRPr="00E9210E">
        <w:rPr>
          <w:rFonts w:eastAsia="Courier New"/>
          <w:i/>
        </w:rPr>
        <w:t> siècle</w:t>
      </w:r>
      <w:r w:rsidRPr="00E9210E">
        <w:rPr>
          <w:rFonts w:eastAsia="Courier New"/>
        </w:rPr>
        <w:t xml:space="preserve">, </w:t>
      </w:r>
      <w:r w:rsidRPr="00E9210E">
        <w:t xml:space="preserve">dans </w:t>
      </w:r>
      <w:r w:rsidRPr="00E9210E">
        <w:rPr>
          <w:rFonts w:eastAsia="Courier New"/>
          <w:i/>
        </w:rPr>
        <w:t>Revue belge de ph</w:t>
      </w:r>
      <w:r w:rsidRPr="00E9210E">
        <w:rPr>
          <w:rFonts w:eastAsia="Courier New"/>
          <w:i/>
        </w:rPr>
        <w:t>i</w:t>
      </w:r>
      <w:r w:rsidRPr="00E9210E">
        <w:rPr>
          <w:rFonts w:eastAsia="Courier New"/>
          <w:i/>
        </w:rPr>
        <w:t>lologie et d’histoire</w:t>
      </w:r>
      <w:r w:rsidRPr="00E9210E">
        <w:rPr>
          <w:rFonts w:eastAsia="Courier New"/>
        </w:rPr>
        <w:t>,</w:t>
      </w:r>
      <w:r w:rsidRPr="00E9210E">
        <w:rPr>
          <w:rStyle w:val="Corpsdutexte28ptGraschelle120"/>
          <w:rFonts w:eastAsia="Courier New"/>
          <w:sz w:val="28"/>
        </w:rPr>
        <w:t xml:space="preserve"> </w:t>
      </w:r>
      <w:r w:rsidRPr="00E9210E">
        <w:t>t. IX (1930), pp. 563-566), « A.H.E,S. », t. III (1931), p. 612.</w:t>
      </w:r>
    </w:p>
    <w:p w14:paraId="5404B294" w14:textId="77777777" w:rsidR="00B9662D" w:rsidRPr="00E9210E" w:rsidRDefault="00B9662D" w:rsidP="00B9662D">
      <w:pPr>
        <w:spacing w:before="120" w:after="120"/>
        <w:jc w:val="both"/>
      </w:pPr>
      <w:r w:rsidRPr="00E9210E">
        <w:t xml:space="preserve">La Hanse et le monde hanséate. (Compte rendu : </w:t>
      </w:r>
      <w:r w:rsidRPr="00E9210E">
        <w:rPr>
          <w:rFonts w:eastAsia="Courier New"/>
          <w:i/>
        </w:rPr>
        <w:t>Hansische Ge</w:t>
      </w:r>
      <w:r w:rsidRPr="00E9210E">
        <w:rPr>
          <w:rFonts w:eastAsia="Courier New"/>
          <w:i/>
        </w:rPr>
        <w:t>s</w:t>
      </w:r>
      <w:r w:rsidRPr="00E9210E">
        <w:rPr>
          <w:rFonts w:eastAsia="Courier New"/>
          <w:i/>
        </w:rPr>
        <w:t>chichtsblätter</w:t>
      </w:r>
      <w:r w:rsidRPr="00E9210E">
        <w:rPr>
          <w:rFonts w:eastAsia="Courier New"/>
        </w:rPr>
        <w:t>,</w:t>
      </w:r>
      <w:r w:rsidRPr="00E9210E">
        <w:rPr>
          <w:rStyle w:val="Corpsdutexte28ptGraschelle120"/>
          <w:rFonts w:eastAsia="Courier New"/>
          <w:sz w:val="28"/>
        </w:rPr>
        <w:t xml:space="preserve"> </w:t>
      </w:r>
      <w:r w:rsidRPr="00E9210E">
        <w:t>54</w:t>
      </w:r>
      <w:r w:rsidRPr="00E9210E">
        <w:rPr>
          <w:vertAlign w:val="superscript"/>
        </w:rPr>
        <w:t>e</w:t>
      </w:r>
      <w:r w:rsidRPr="00E9210E">
        <w:t xml:space="preserve"> année, [1929]), « A.H.E.S. », t. III (1931), pp. 613-614.</w:t>
      </w:r>
    </w:p>
    <w:p w14:paraId="5343ACBC" w14:textId="77777777" w:rsidR="00B9662D" w:rsidRPr="00E9210E" w:rsidRDefault="00B9662D" w:rsidP="00B9662D">
      <w:pPr>
        <w:spacing w:before="120" w:after="120"/>
        <w:jc w:val="both"/>
      </w:pPr>
      <w:r w:rsidRPr="00E9210E">
        <w:t xml:space="preserve">Route des Alpes. (Compte rendu : J. </w:t>
      </w:r>
      <w:r w:rsidRPr="00E9210E">
        <w:rPr>
          <w:rStyle w:val="Corpsdutexte27ptGras"/>
          <w:rFonts w:eastAsia="Courier New"/>
          <w:b w:val="0"/>
          <w:sz w:val="28"/>
        </w:rPr>
        <w:t xml:space="preserve">E. </w:t>
      </w:r>
      <w:r w:rsidRPr="00E9210E">
        <w:rPr>
          <w:rStyle w:val="Corpsdutexte27ptGras"/>
          <w:rFonts w:eastAsia="Courier New"/>
          <w:b w:val="0"/>
          <w:smallCaps/>
          <w:sz w:val="28"/>
        </w:rPr>
        <w:t>Tyler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The alpine passes : the middle ages </w:t>
      </w:r>
      <w:r w:rsidRPr="00E9210E">
        <w:rPr>
          <w:rStyle w:val="Corpsdutexte28ptItalique"/>
          <w:rFonts w:eastAsia="Courier New"/>
          <w:i w:val="0"/>
          <w:sz w:val="28"/>
        </w:rPr>
        <w:t>(</w:t>
      </w:r>
      <w:r w:rsidRPr="00E9210E">
        <w:rPr>
          <w:rStyle w:val="Corpsdutexte28ptItalique"/>
          <w:rFonts w:eastAsia="Courier New"/>
          <w:sz w:val="28"/>
        </w:rPr>
        <w:t>926-1250),</w:t>
      </w:r>
      <w:r w:rsidRPr="00E9210E">
        <w:rPr>
          <w:rStyle w:val="Corpsdutexte28ptGraschelle120"/>
          <w:rFonts w:eastAsia="Courier New"/>
          <w:sz w:val="28"/>
        </w:rPr>
        <w:t xml:space="preserve"> </w:t>
      </w:r>
      <w:r w:rsidRPr="00E9210E">
        <w:t>Oxford, 1930), « A.H.E.S. », t. III (1931), p. 614.</w:t>
      </w:r>
    </w:p>
    <w:p w14:paraId="66468162" w14:textId="77777777" w:rsidR="00B9662D" w:rsidRPr="00E9210E" w:rsidRDefault="00B9662D" w:rsidP="00B9662D">
      <w:pPr>
        <w:spacing w:before="120" w:after="120"/>
        <w:jc w:val="both"/>
      </w:pPr>
      <w:r w:rsidRPr="00E9210E">
        <w:t xml:space="preserve">La France vue de l’étranger. (Conférences faites à la </w:t>
      </w:r>
      <w:r w:rsidRPr="00E9210E">
        <w:rPr>
          <w:rFonts w:eastAsia="Courier New"/>
          <w:i/>
        </w:rPr>
        <w:t>Technische Hochschule de Stuttgart</w:t>
      </w:r>
      <w:r w:rsidRPr="00E9210E">
        <w:rPr>
          <w:rStyle w:val="Corpsdutexte28ptGraschelle120"/>
          <w:rFonts w:eastAsia="Courier New"/>
          <w:sz w:val="28"/>
        </w:rPr>
        <w:t xml:space="preserve">, </w:t>
      </w:r>
      <w:r w:rsidRPr="00E9210E">
        <w:t>et publiées à Stuttgart, en 1930), « A.H.E.S. », t. III (1931), pp. 621-622.</w:t>
      </w:r>
    </w:p>
    <w:p w14:paraId="39DE8BAE" w14:textId="77777777" w:rsidR="00B9662D" w:rsidRPr="00E9210E" w:rsidRDefault="00B9662D" w:rsidP="00B9662D">
      <w:pPr>
        <w:spacing w:before="120" w:after="120"/>
        <w:jc w:val="both"/>
      </w:pPr>
      <w:r w:rsidRPr="00E9210E">
        <w:t>Routes et chômeurs au XVIII</w:t>
      </w:r>
      <w:r w:rsidRPr="00E9210E">
        <w:rPr>
          <w:vertAlign w:val="superscript"/>
        </w:rPr>
        <w:t>e</w:t>
      </w:r>
      <w:r w:rsidRPr="00E9210E">
        <w:t xml:space="preserve"> siècle. (Compte rendu : J. </w:t>
      </w:r>
      <w:r w:rsidRPr="00E9210E">
        <w:rPr>
          <w:rStyle w:val="Corpsdutexte27ptGras"/>
          <w:rFonts w:eastAsia="Courier New"/>
          <w:b w:val="0"/>
          <w:smallCaps/>
          <w:sz w:val="28"/>
        </w:rPr>
        <w:t>Levron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Les routes de la Haute-Marche et des pays circonvoisins au </w:t>
      </w:r>
      <w:r w:rsidRPr="00E9210E">
        <w:rPr>
          <w:rStyle w:val="Corpsdutexte2ItaliqueEspacement1pt"/>
          <w:rFonts w:eastAsia="Courier New"/>
          <w:sz w:val="28"/>
        </w:rPr>
        <w:t>XVIII</w:t>
      </w:r>
      <w:r w:rsidRPr="00E9210E">
        <w:rPr>
          <w:rStyle w:val="Corpsdutexte2ItaliqueEspacement1pt"/>
          <w:rFonts w:eastAsia="Courier New"/>
          <w:sz w:val="28"/>
          <w:vertAlign w:val="superscript"/>
        </w:rPr>
        <w:t>e</w:t>
      </w:r>
      <w:r w:rsidRPr="00E9210E">
        <w:rPr>
          <w:rFonts w:eastAsia="Courier New"/>
          <w:i/>
        </w:rPr>
        <w:t xml:space="preserve"> siècle</w:t>
      </w:r>
      <w:r w:rsidRPr="00E9210E">
        <w:rPr>
          <w:rFonts w:eastAsia="Courier New"/>
        </w:rPr>
        <w:t>,</w:t>
      </w:r>
      <w:r w:rsidRPr="00E9210E">
        <w:rPr>
          <w:rStyle w:val="Corpsdutexte28ptGraschelle120"/>
          <w:rFonts w:eastAsia="Courier New"/>
          <w:sz w:val="28"/>
        </w:rPr>
        <w:t xml:space="preserve"> </w:t>
      </w:r>
      <w:r w:rsidRPr="00E9210E">
        <w:t>Guéret, 1930), « A.H.E.S. », t. III (1931), pp. 622-623.</w:t>
      </w:r>
    </w:p>
    <w:p w14:paraId="29A16E73" w14:textId="77777777" w:rsidR="00B9662D" w:rsidRPr="00E9210E" w:rsidRDefault="00B9662D" w:rsidP="00B9662D">
      <w:pPr>
        <w:spacing w:before="120" w:after="120"/>
        <w:jc w:val="both"/>
      </w:pPr>
      <w:r w:rsidRPr="00E9210E">
        <w:t xml:space="preserve">Compte rendu : P. Ernst </w:t>
      </w:r>
      <w:r w:rsidRPr="00E9210E">
        <w:rPr>
          <w:rStyle w:val="Corpsdutexte27ptGras"/>
          <w:rFonts w:eastAsia="Courier New"/>
          <w:b w:val="0"/>
          <w:smallCaps/>
          <w:sz w:val="28"/>
        </w:rPr>
        <w:t>Schramm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Kaiser, Rom und Renovation</w:t>
      </w:r>
      <w:r w:rsidRPr="00E9210E">
        <w:rPr>
          <w:rFonts w:eastAsia="Courier New"/>
        </w:rPr>
        <w:t>,</w:t>
      </w:r>
      <w:r w:rsidRPr="00E9210E">
        <w:rPr>
          <w:rStyle w:val="Corpsdutexte28ptGraschelle120"/>
          <w:rFonts w:eastAsia="Courier New"/>
          <w:sz w:val="28"/>
        </w:rPr>
        <w:t xml:space="preserve"> </w:t>
      </w:r>
      <w:r w:rsidRPr="00E9210E">
        <w:t>Lei</w:t>
      </w:r>
      <w:r w:rsidRPr="00E9210E">
        <w:t>p</w:t>
      </w:r>
      <w:r w:rsidRPr="00E9210E">
        <w:t>zig, 1929, « R.C.H.L. », 1931, pp. 9-11.</w:t>
      </w:r>
    </w:p>
    <w:p w14:paraId="3116FC42" w14:textId="77777777" w:rsidR="00B9662D" w:rsidRPr="00E9210E" w:rsidRDefault="00B9662D" w:rsidP="00B9662D">
      <w:pPr>
        <w:spacing w:before="120" w:after="120"/>
        <w:jc w:val="both"/>
      </w:pPr>
      <w:r w:rsidRPr="00E9210E">
        <w:t xml:space="preserve">Compte rendu : L. </w:t>
      </w:r>
      <w:r w:rsidRPr="00E9210E">
        <w:rPr>
          <w:rStyle w:val="Corpsdutexte27ptGras"/>
          <w:rFonts w:eastAsia="Courier New"/>
          <w:b w:val="0"/>
          <w:smallCaps/>
          <w:sz w:val="28"/>
        </w:rPr>
        <w:t>Mirot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Études lucquoises</w:t>
      </w:r>
      <w:r w:rsidRPr="00E9210E">
        <w:rPr>
          <w:rFonts w:eastAsia="Courier New"/>
        </w:rPr>
        <w:t>,</w:t>
      </w:r>
      <w:r w:rsidRPr="00E9210E">
        <w:rPr>
          <w:rStyle w:val="Corpsdutexte28ptGraschelle120"/>
          <w:rFonts w:eastAsia="Courier New"/>
          <w:sz w:val="28"/>
        </w:rPr>
        <w:t xml:space="preserve"> </w:t>
      </w:r>
      <w:r w:rsidRPr="00E9210E">
        <w:t>Paris, 1930, « R.C.H.L. », 1931, pp. 250-252.</w:t>
      </w:r>
    </w:p>
    <w:p w14:paraId="59D83895" w14:textId="77777777" w:rsidR="00B9662D" w:rsidRPr="00E9210E" w:rsidRDefault="00B9662D" w:rsidP="00B9662D">
      <w:pPr>
        <w:spacing w:before="120" w:after="120"/>
        <w:jc w:val="both"/>
      </w:pPr>
      <w:r w:rsidRPr="00E9210E">
        <w:t xml:space="preserve">Compte rendu : G. </w:t>
      </w:r>
      <w:r w:rsidRPr="00E9210E">
        <w:rPr>
          <w:rStyle w:val="Corpsdutexte27ptGras"/>
          <w:rFonts w:eastAsia="Courier New"/>
          <w:b w:val="0"/>
          <w:smallCaps/>
          <w:sz w:val="28"/>
        </w:rPr>
        <w:t>Mengozzi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Città italiana nel alto medio evo :</w:t>
      </w:r>
      <w:r w:rsidRPr="00E9210E">
        <w:rPr>
          <w:rStyle w:val="Corpsdutexte2ItaliqueEspacement0pt"/>
          <w:rFonts w:eastAsia="Courier New"/>
          <w:i w:val="0"/>
          <w:sz w:val="28"/>
        </w:rPr>
        <w:t xml:space="preserve"> </w:t>
      </w:r>
      <w:r w:rsidRPr="00E9210E">
        <w:rPr>
          <w:rFonts w:eastAsia="Courier New"/>
          <w:i/>
        </w:rPr>
        <w:t>il periodo longobardo-franco</w:t>
      </w:r>
      <w:r w:rsidRPr="00E9210E">
        <w:rPr>
          <w:rStyle w:val="Corpsdutexte2ItaliqueEspacement0pt"/>
          <w:rFonts w:eastAsia="Courier New"/>
          <w:sz w:val="28"/>
        </w:rPr>
        <w:t>,</w:t>
      </w:r>
      <w:r w:rsidRPr="00E9210E">
        <w:t xml:space="preserve"> 2</w:t>
      </w:r>
      <w:r w:rsidRPr="00E9210E">
        <w:rPr>
          <w:vertAlign w:val="superscript"/>
        </w:rPr>
        <w:t>e</w:t>
      </w:r>
      <w:r w:rsidRPr="00E9210E">
        <w:t xml:space="preserve"> éd. revue par A. Solmi, Firenze (1931), « R.C.H.L. », 1931, p. 389.</w:t>
      </w:r>
    </w:p>
    <w:p w14:paraId="56FF8657" w14:textId="77777777" w:rsidR="00B9662D" w:rsidRPr="00E9210E" w:rsidRDefault="00B9662D" w:rsidP="00B9662D">
      <w:pPr>
        <w:spacing w:before="120" w:after="120"/>
        <w:jc w:val="both"/>
      </w:pPr>
      <w:r w:rsidRPr="00E9210E">
        <w:t xml:space="preserve">Compte rendu : </w:t>
      </w:r>
      <w:r w:rsidRPr="00E9210E">
        <w:rPr>
          <w:rStyle w:val="Corpsdutexte27ptGras"/>
          <w:rFonts w:eastAsia="Courier New"/>
          <w:b w:val="0"/>
          <w:sz w:val="28"/>
        </w:rPr>
        <w:t>E.</w:t>
      </w:r>
      <w:r w:rsidRPr="00E9210E">
        <w:rPr>
          <w:rStyle w:val="Corpsdutexte27ptGras"/>
          <w:rFonts w:eastAsia="Courier New"/>
          <w:sz w:val="28"/>
        </w:rPr>
        <w:t xml:space="preserve"> </w:t>
      </w:r>
      <w:r w:rsidRPr="00E9210E">
        <w:t xml:space="preserve">H. </w:t>
      </w:r>
      <w:r w:rsidRPr="00E9210E">
        <w:rPr>
          <w:rStyle w:val="Corpsdutexte27ptGras"/>
          <w:rFonts w:eastAsia="Courier New"/>
          <w:b w:val="0"/>
          <w:smallCaps/>
          <w:sz w:val="28"/>
        </w:rPr>
        <w:t>Byrne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Genoese Shipping in the twelfth and thi</w:t>
      </w:r>
      <w:r w:rsidRPr="00E9210E">
        <w:rPr>
          <w:rFonts w:eastAsia="Courier New"/>
          <w:i/>
        </w:rPr>
        <w:t>r</w:t>
      </w:r>
      <w:r w:rsidRPr="00E9210E">
        <w:rPr>
          <w:rFonts w:eastAsia="Courier New"/>
          <w:i/>
        </w:rPr>
        <w:t>teenth centuries</w:t>
      </w:r>
      <w:r w:rsidRPr="00E9210E">
        <w:rPr>
          <w:rFonts w:eastAsia="Courier New"/>
        </w:rPr>
        <w:t xml:space="preserve">, </w:t>
      </w:r>
      <w:r w:rsidRPr="00E9210E">
        <w:t>Cambridge, 1930, « R.C.H.L. », 1931, pp. 392-393.</w:t>
      </w:r>
    </w:p>
    <w:p w14:paraId="23D1AC1F" w14:textId="77777777" w:rsidR="00B9662D" w:rsidRPr="00E9210E" w:rsidRDefault="00B9662D" w:rsidP="00B9662D">
      <w:pPr>
        <w:spacing w:before="120" w:after="120"/>
        <w:jc w:val="both"/>
      </w:pPr>
      <w:r w:rsidRPr="00E9210E">
        <w:t xml:space="preserve">Compte rendu : K. </w:t>
      </w:r>
      <w:r w:rsidRPr="00E9210E">
        <w:rPr>
          <w:rStyle w:val="Corpsdutexte27ptGras"/>
          <w:rFonts w:eastAsia="Courier New"/>
          <w:b w:val="0"/>
          <w:smallCaps/>
          <w:sz w:val="28"/>
        </w:rPr>
        <w:t>Schünemann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Entstehung des Stadtew</w:t>
      </w:r>
      <w:r w:rsidRPr="00E9210E">
        <w:rPr>
          <w:rFonts w:eastAsia="Courier New"/>
          <w:i/>
        </w:rPr>
        <w:t>e</w:t>
      </w:r>
      <w:r w:rsidRPr="00E9210E">
        <w:rPr>
          <w:rFonts w:eastAsia="Courier New"/>
          <w:i/>
        </w:rPr>
        <w:t>sens in S</w:t>
      </w:r>
      <w:r w:rsidRPr="00E9210E">
        <w:rPr>
          <w:rFonts w:eastAsia="Courier New"/>
          <w:i/>
        </w:rPr>
        <w:t>ü</w:t>
      </w:r>
      <w:r w:rsidRPr="00E9210E">
        <w:rPr>
          <w:rFonts w:eastAsia="Courier New"/>
          <w:i/>
        </w:rPr>
        <w:t>dosteuropa</w:t>
      </w:r>
      <w:r w:rsidRPr="00E9210E">
        <w:rPr>
          <w:rFonts w:eastAsia="Courier New"/>
        </w:rPr>
        <w:t xml:space="preserve">, </w:t>
      </w:r>
      <w:r w:rsidRPr="00E9210E">
        <w:t>Bd. 1, Breslau, s.d., « </w:t>
      </w:r>
      <w:r w:rsidRPr="00E9210E">
        <w:rPr>
          <w:i/>
        </w:rPr>
        <w:t>Revue historique </w:t>
      </w:r>
      <w:r w:rsidRPr="00E9210E">
        <w:t>», t. 166 (1931), pp. 133-135.</w:t>
      </w:r>
    </w:p>
    <w:p w14:paraId="3DC4E60C" w14:textId="77777777" w:rsidR="00B9662D" w:rsidRPr="00E9210E" w:rsidRDefault="00B9662D" w:rsidP="00B9662D">
      <w:pPr>
        <w:spacing w:before="120" w:after="120"/>
        <w:jc w:val="both"/>
      </w:pPr>
      <w:r w:rsidRPr="00E9210E">
        <w:t xml:space="preserve">Compte rendu : Fr. </w:t>
      </w:r>
      <w:r w:rsidRPr="00E9210E">
        <w:rPr>
          <w:rStyle w:val="Corpsdutexte27ptGras"/>
          <w:rFonts w:eastAsia="Courier New"/>
          <w:b w:val="0"/>
          <w:smallCaps/>
          <w:sz w:val="28"/>
        </w:rPr>
        <w:t>Beyerle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Zur Typenfrage in der Stadtverfa</w:t>
      </w:r>
      <w:r w:rsidRPr="00E9210E">
        <w:rPr>
          <w:rFonts w:eastAsia="Courier New"/>
          <w:i/>
        </w:rPr>
        <w:t>s</w:t>
      </w:r>
      <w:r w:rsidRPr="00E9210E">
        <w:rPr>
          <w:rFonts w:eastAsia="Courier New"/>
          <w:i/>
        </w:rPr>
        <w:t>sung</w:t>
      </w:r>
      <w:r w:rsidRPr="00E9210E">
        <w:rPr>
          <w:rFonts w:eastAsia="Courier New"/>
        </w:rPr>
        <w:t>,</w:t>
      </w:r>
      <w:r w:rsidRPr="00E9210E">
        <w:rPr>
          <w:rStyle w:val="Corpsdutexte28ptGraschelle120"/>
          <w:rFonts w:eastAsia="Courier New"/>
          <w:sz w:val="28"/>
        </w:rPr>
        <w:t xml:space="preserve"> </w:t>
      </w:r>
      <w:r w:rsidRPr="00E9210E">
        <w:t>Weimar, 1930, « Revue historique », t. 166 (1931), p. 135.</w:t>
      </w:r>
    </w:p>
    <w:p w14:paraId="45BA2A75" w14:textId="77777777" w:rsidR="00B9662D" w:rsidRPr="00E9210E" w:rsidRDefault="00B9662D" w:rsidP="00B9662D">
      <w:pPr>
        <w:spacing w:before="120" w:after="120"/>
        <w:jc w:val="both"/>
      </w:pPr>
      <w:r w:rsidRPr="00E9210E">
        <w:t xml:space="preserve">Tradition ou littérature : les origines du cycle arthurien. (Compte rendu : E. </w:t>
      </w:r>
      <w:r w:rsidRPr="00E9210E">
        <w:rPr>
          <w:rStyle w:val="Corpsdutexte27ptGras"/>
          <w:rFonts w:eastAsia="Courier New"/>
          <w:b w:val="0"/>
          <w:smallCaps/>
          <w:sz w:val="28"/>
        </w:rPr>
        <w:t>Faral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légende arthurienne : études et documents</w:t>
      </w:r>
      <w:r w:rsidRPr="00E9210E">
        <w:rPr>
          <w:rStyle w:val="Corpsdutexte2ItaliqueEspacement0pt"/>
          <w:rFonts w:eastAsia="Courier New"/>
          <w:sz w:val="28"/>
        </w:rPr>
        <w:t>,</w:t>
      </w:r>
      <w:r w:rsidRPr="00E9210E">
        <w:t xml:space="preserve"> P</w:t>
      </w:r>
      <w:r w:rsidRPr="00E9210E">
        <w:t>a</w:t>
      </w:r>
      <w:r w:rsidRPr="00E9210E">
        <w:t>ris, 1929), « Rev. synt. hist. », t. 51 (1931), pp. 95-111.</w:t>
      </w:r>
    </w:p>
    <w:p w14:paraId="11FBAB04" w14:textId="77777777" w:rsidR="00B9662D" w:rsidRPr="00E9210E" w:rsidRDefault="00B9662D" w:rsidP="00B9662D">
      <w:pPr>
        <w:spacing w:before="120" w:after="120"/>
        <w:jc w:val="both"/>
      </w:pPr>
      <w:r w:rsidRPr="00E9210E">
        <w:t xml:space="preserve">Une analyse de la vie économique. (Compte rendu : Fr. </w:t>
      </w:r>
      <w:r w:rsidRPr="00E9210E">
        <w:rPr>
          <w:rStyle w:val="Corpsdutexte27ptGras"/>
          <w:rFonts w:eastAsia="Courier New"/>
          <w:b w:val="0"/>
          <w:smallCaps/>
          <w:sz w:val="28"/>
        </w:rPr>
        <w:t>Simiand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Cours d’économie politique</w:t>
      </w:r>
      <w:r w:rsidRPr="00E9210E">
        <w:rPr>
          <w:rFonts w:eastAsia="Courier New"/>
        </w:rPr>
        <w:t>,</w:t>
      </w:r>
      <w:r w:rsidRPr="00E9210E">
        <w:rPr>
          <w:rStyle w:val="Corpsdutexte28ptGraschelle120"/>
          <w:rFonts w:eastAsia="Courier New"/>
          <w:sz w:val="28"/>
        </w:rPr>
        <w:t xml:space="preserve"> </w:t>
      </w:r>
      <w:r w:rsidRPr="00E9210E">
        <w:t>2</w:t>
      </w:r>
      <w:r w:rsidRPr="00E9210E">
        <w:rPr>
          <w:vertAlign w:val="superscript"/>
        </w:rPr>
        <w:t>e</w:t>
      </w:r>
      <w:r w:rsidRPr="00E9210E">
        <w:t xml:space="preserve"> année, Paris, 1930), « Rev. synt. hist. », t. 51 (1931), pp. 253-256.</w:t>
      </w:r>
    </w:p>
    <w:p w14:paraId="7EDC6A21" w14:textId="77777777" w:rsidR="00B9662D" w:rsidRPr="00E9210E" w:rsidRDefault="00B9662D" w:rsidP="00B9662D">
      <w:pPr>
        <w:spacing w:before="120" w:after="120"/>
        <w:jc w:val="both"/>
      </w:pPr>
      <w:r w:rsidRPr="00E9210E">
        <w:t xml:space="preserve">Science auxiliaire ou instrument de connaissance historique. (Compte rendu : A. de </w:t>
      </w:r>
      <w:r w:rsidRPr="00E9210E">
        <w:rPr>
          <w:rStyle w:val="Corpsdutexte27ptGras"/>
          <w:rFonts w:eastAsia="Courier New"/>
          <w:b w:val="0"/>
          <w:smallCaps/>
          <w:sz w:val="28"/>
        </w:rPr>
        <w:t>Boüard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Manuel de diplomatique française et po</w:t>
      </w:r>
      <w:r w:rsidRPr="00E9210E">
        <w:rPr>
          <w:rFonts w:eastAsia="Courier New"/>
          <w:i/>
        </w:rPr>
        <w:t>n</w:t>
      </w:r>
      <w:r w:rsidRPr="00E9210E">
        <w:rPr>
          <w:rFonts w:eastAsia="Courier New"/>
          <w:i/>
        </w:rPr>
        <w:t>tificale</w:t>
      </w:r>
      <w:r w:rsidRPr="00E9210E">
        <w:rPr>
          <w:rFonts w:eastAsia="Courier New"/>
        </w:rPr>
        <w:t>.</w:t>
      </w:r>
      <w:r w:rsidRPr="00E9210E">
        <w:rPr>
          <w:rStyle w:val="Corpsdutexte28ptGraschelle120"/>
          <w:rFonts w:eastAsia="Courier New"/>
          <w:sz w:val="28"/>
        </w:rPr>
        <w:t xml:space="preserve"> </w:t>
      </w:r>
      <w:r w:rsidRPr="00E9210E">
        <w:t xml:space="preserve">Vol. I : </w:t>
      </w:r>
      <w:r w:rsidRPr="00E9210E">
        <w:rPr>
          <w:rFonts w:eastAsia="Courier New"/>
          <w:i/>
        </w:rPr>
        <w:t>Diplomatique générale</w:t>
      </w:r>
      <w:r w:rsidRPr="00E9210E">
        <w:rPr>
          <w:rFonts w:eastAsia="Courier New"/>
        </w:rPr>
        <w:t>,</w:t>
      </w:r>
      <w:r w:rsidRPr="00E9210E">
        <w:rPr>
          <w:rStyle w:val="Corpsdutexte28ptGraschelle120"/>
          <w:rFonts w:eastAsia="Courier New"/>
          <w:sz w:val="28"/>
        </w:rPr>
        <w:t xml:space="preserve"> </w:t>
      </w:r>
      <w:r w:rsidRPr="00E9210E">
        <w:t>Paris, 1929), « Rev. synt. hist. », t. 51 (1931), pp. 265-267.</w:t>
      </w:r>
    </w:p>
    <w:p w14:paraId="68E05E3C" w14:textId="77777777" w:rsidR="00B9662D" w:rsidRPr="00E9210E" w:rsidRDefault="00B9662D" w:rsidP="00B9662D">
      <w:pPr>
        <w:spacing w:before="120" w:after="120"/>
        <w:jc w:val="both"/>
      </w:pPr>
      <w:r w:rsidRPr="00E9210E">
        <w:t>[1053]</w:t>
      </w:r>
    </w:p>
    <w:p w14:paraId="028C135F" w14:textId="77777777" w:rsidR="00B9662D" w:rsidRPr="00E9210E" w:rsidRDefault="00B9662D" w:rsidP="00B9662D">
      <w:pPr>
        <w:spacing w:before="120" w:after="120"/>
        <w:jc w:val="both"/>
      </w:pPr>
    </w:p>
    <w:p w14:paraId="52CFC262" w14:textId="77777777" w:rsidR="00B9662D" w:rsidRPr="00E9210E" w:rsidRDefault="00B9662D" w:rsidP="00B9662D">
      <w:pPr>
        <w:spacing w:before="120" w:after="120"/>
        <w:jc w:val="center"/>
        <w:rPr>
          <w:b/>
        </w:rPr>
      </w:pPr>
      <w:r w:rsidRPr="00E9210E">
        <w:rPr>
          <w:b/>
        </w:rPr>
        <w:t>1932</w:t>
      </w:r>
    </w:p>
    <w:p w14:paraId="0760FD27" w14:textId="77777777" w:rsidR="00B9662D" w:rsidRPr="00E9210E" w:rsidRDefault="00B9662D" w:rsidP="00B9662D">
      <w:pPr>
        <w:spacing w:before="120" w:after="120"/>
        <w:jc w:val="both"/>
      </w:pPr>
    </w:p>
    <w:p w14:paraId="2EDC7997" w14:textId="77777777" w:rsidR="00B9662D" w:rsidRPr="00E9210E" w:rsidRDefault="00B9662D" w:rsidP="00B9662D">
      <w:pPr>
        <w:spacing w:before="120" w:after="120"/>
        <w:jc w:val="both"/>
      </w:pPr>
      <w:r w:rsidRPr="00E9210E">
        <w:t>« </w:t>
      </w:r>
      <w:r w:rsidRPr="00E9210E">
        <w:rPr>
          <w:b/>
        </w:rPr>
        <w:t>Une bonne nouvelle : l’enquête sur les plans cadastraux fra</w:t>
      </w:r>
      <w:r w:rsidRPr="00E9210E">
        <w:rPr>
          <w:b/>
        </w:rPr>
        <w:t>n</w:t>
      </w:r>
      <w:r w:rsidRPr="00E9210E">
        <w:rPr>
          <w:b/>
        </w:rPr>
        <w:t>çais </w:t>
      </w:r>
      <w:r w:rsidRPr="00E9210E">
        <w:t xml:space="preserve">», </w:t>
      </w:r>
      <w:r w:rsidRPr="00E9210E">
        <w:rPr>
          <w:rStyle w:val="Corpsdutexte8NonGrasItaliquechelle100"/>
          <w:rFonts w:eastAsia="Courier New"/>
          <w:b w:val="0"/>
          <w:bCs w:val="0"/>
          <w:sz w:val="28"/>
        </w:rPr>
        <w:t xml:space="preserve">A.H.E.S., </w:t>
      </w:r>
      <w:r w:rsidRPr="00E9210E">
        <w:rPr>
          <w:rStyle w:val="Corpsdutexte885ptNonGraschelle100"/>
          <w:rFonts w:eastAsia="Courier New"/>
          <w:b w:val="0"/>
          <w:bCs w:val="0"/>
          <w:sz w:val="28"/>
        </w:rPr>
        <w:t>t. IV (1932), pp. 370-371.</w:t>
      </w:r>
    </w:p>
    <w:p w14:paraId="5B316714"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Le prêt des manuscrits »</w:t>
      </w:r>
      <w:r w:rsidRPr="00E9210E">
        <w:t xml:space="preserve">, </w:t>
      </w:r>
      <w:r w:rsidRPr="00E9210E">
        <w:rPr>
          <w:rStyle w:val="Corpsdutexte28ptItalique"/>
          <w:rFonts w:eastAsia="Courier New"/>
          <w:sz w:val="28"/>
        </w:rPr>
        <w:t>A.H.E.S</w:t>
      </w:r>
      <w:r w:rsidRPr="00E9210E">
        <w:rPr>
          <w:rStyle w:val="Corpsdutexte2ItaliqueEspacement0pt"/>
          <w:rFonts w:eastAsia="Courier New"/>
          <w:sz w:val="28"/>
        </w:rPr>
        <w:t>.,</w:t>
      </w:r>
      <w:r w:rsidRPr="00E9210E">
        <w:t xml:space="preserve"> t. IV (1932), pp. 387-388.</w:t>
      </w:r>
    </w:p>
    <w:p w14:paraId="114C4036"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Henri Pirenne, historien de la Belgique </w:t>
      </w:r>
      <w:r w:rsidRPr="00E9210E">
        <w:t>»</w:t>
      </w:r>
      <w:r w:rsidRPr="00E9210E">
        <w:rPr>
          <w:rStyle w:val="Corpsdutexte885ptNonGraschelle100"/>
          <w:rFonts w:eastAsia="Courier New"/>
          <w:b w:val="0"/>
          <w:bCs w:val="0"/>
          <w:sz w:val="28"/>
        </w:rPr>
        <w:t xml:space="preserve">,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t. IV (1932), pp. 478-481.</w:t>
      </w:r>
    </w:p>
    <w:p w14:paraId="35481835"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Le prix du temps »</w:t>
      </w:r>
      <w:r w:rsidRPr="00E9210E">
        <w:t xml:space="preserve">, </w:t>
      </w:r>
      <w:r w:rsidRPr="00E9210E">
        <w:rPr>
          <w:rStyle w:val="Corpsdutexte28ptItalique"/>
          <w:rFonts w:eastAsia="Courier New"/>
          <w:sz w:val="28"/>
        </w:rPr>
        <w:t>A.H.E.S.,</w:t>
      </w:r>
      <w:r w:rsidRPr="00E9210E">
        <w:rPr>
          <w:rStyle w:val="Corpsdutexte28ptGraschelle120"/>
          <w:rFonts w:eastAsia="Courier New"/>
          <w:sz w:val="28"/>
        </w:rPr>
        <w:t xml:space="preserve"> </w:t>
      </w:r>
      <w:r w:rsidRPr="00E9210E">
        <w:t>t. IV (1932), pp. 579-580.</w:t>
      </w:r>
    </w:p>
    <w:p w14:paraId="29D572C3" w14:textId="77777777" w:rsidR="00B9662D" w:rsidRPr="00E9210E" w:rsidRDefault="00B9662D" w:rsidP="00B9662D">
      <w:pPr>
        <w:spacing w:before="120" w:after="120"/>
        <w:jc w:val="both"/>
      </w:pPr>
      <w:r w:rsidRPr="00E9210E">
        <w:rPr>
          <w:rStyle w:val="Corpsdutexte3GrasNonItaliquechelle120"/>
          <w:rFonts w:eastAsia="Courier New"/>
          <w:i w:val="0"/>
          <w:iCs w:val="0"/>
          <w:sz w:val="28"/>
        </w:rPr>
        <w:t xml:space="preserve">« Le problème des régimes agraires », </w:t>
      </w:r>
      <w:r w:rsidRPr="00E9210E">
        <w:rPr>
          <w:i/>
        </w:rPr>
        <w:t>Bulletin de VInst</w:t>
      </w:r>
      <w:r w:rsidRPr="00E9210E">
        <w:rPr>
          <w:i/>
        </w:rPr>
        <w:t>i</w:t>
      </w:r>
      <w:r w:rsidRPr="00E9210E">
        <w:rPr>
          <w:i/>
        </w:rPr>
        <w:t>tut français de sociologie</w:t>
      </w:r>
      <w:r w:rsidRPr="00E9210E">
        <w:t xml:space="preserve">, </w:t>
      </w:r>
      <w:r w:rsidRPr="00E9210E">
        <w:rPr>
          <w:rStyle w:val="Corpsdutexte385ptNonItalique"/>
          <w:rFonts w:eastAsia="Courier New"/>
          <w:i w:val="0"/>
          <w:iCs w:val="0"/>
          <w:sz w:val="28"/>
        </w:rPr>
        <w:t>1932 (séance du 12 mars 1932), pp. 45-92.</w:t>
      </w:r>
    </w:p>
    <w:p w14:paraId="7CA05D95" w14:textId="77777777" w:rsidR="00B9662D" w:rsidRPr="00E9210E" w:rsidRDefault="00B9662D" w:rsidP="00B9662D">
      <w:pPr>
        <w:spacing w:before="120" w:after="120"/>
        <w:jc w:val="both"/>
      </w:pPr>
      <w:r w:rsidRPr="00E9210E">
        <w:t>Not. nécrologique : Karl Bücher, « A.H.E.S. », t. IV (1932), pp. 64-65.</w:t>
      </w:r>
    </w:p>
    <w:p w14:paraId="2F33068E" w14:textId="77777777" w:rsidR="00B9662D" w:rsidRPr="00E9210E" w:rsidRDefault="00B9662D" w:rsidP="00B9662D">
      <w:pPr>
        <w:spacing w:before="120" w:after="120"/>
        <w:jc w:val="both"/>
      </w:pPr>
      <w:r w:rsidRPr="00E9210E">
        <w:rPr>
          <w:rStyle w:val="Corpsdutexte385ptNonItalique"/>
          <w:rFonts w:eastAsia="Courier New"/>
          <w:i w:val="0"/>
          <w:iCs w:val="0"/>
          <w:sz w:val="28"/>
        </w:rPr>
        <w:t>Noms de personnes et histoire sociale. (Compte rendu : K. </w:t>
      </w:r>
      <w:r w:rsidRPr="00E9210E">
        <w:rPr>
          <w:rStyle w:val="Corpsdutexte37ptGrasNonItalique"/>
          <w:rFonts w:eastAsia="Courier New"/>
          <w:b w:val="0"/>
          <w:i w:val="0"/>
          <w:iCs w:val="0"/>
          <w:smallCaps/>
          <w:sz w:val="28"/>
        </w:rPr>
        <w:t>Michaelsson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Études sur les noms de personnes français d’après les rôles de tailles parisiens (rôles de 1292, 1296, 1300, 1313)</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Up</w:t>
      </w:r>
      <w:r w:rsidRPr="00E9210E">
        <w:rPr>
          <w:rStyle w:val="Corpsdutexte385ptNonItalique"/>
          <w:rFonts w:eastAsia="Courier New"/>
          <w:i w:val="0"/>
          <w:iCs w:val="0"/>
          <w:sz w:val="28"/>
        </w:rPr>
        <w:t>p</w:t>
      </w:r>
      <w:r w:rsidRPr="00E9210E">
        <w:rPr>
          <w:rStyle w:val="Corpsdutexte385ptNonItalique"/>
          <w:rFonts w:eastAsia="Courier New"/>
          <w:i w:val="0"/>
          <w:iCs w:val="0"/>
          <w:sz w:val="28"/>
        </w:rPr>
        <w:t>sala, 1927), « A.H.E.S. », t. IV (1932), pp. 67-69.</w:t>
      </w:r>
    </w:p>
    <w:p w14:paraId="538F3EF1" w14:textId="77777777" w:rsidR="00B9662D" w:rsidRPr="00E9210E" w:rsidRDefault="00B9662D" w:rsidP="00B9662D">
      <w:pPr>
        <w:spacing w:before="120" w:after="120"/>
        <w:jc w:val="both"/>
      </w:pPr>
      <w:r w:rsidRPr="00E9210E">
        <w:t xml:space="preserve">A propos d’un essai d’histoire régionale. (Compte rendu : G. de </w:t>
      </w:r>
      <w:r w:rsidRPr="00E9210E">
        <w:rPr>
          <w:rStyle w:val="Corpsdutexte27ptGras"/>
          <w:rFonts w:eastAsia="Courier New"/>
          <w:b w:val="0"/>
          <w:smallCaps/>
          <w:sz w:val="28"/>
        </w:rPr>
        <w:t>Tournadre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Histoire du comté de Forcalquier </w:t>
      </w:r>
      <w:r w:rsidRPr="00E9210E">
        <w:rPr>
          <w:rStyle w:val="Corpsdutexte28ptItaliqueEspacement1pt"/>
          <w:rFonts w:eastAsia="Courier New"/>
          <w:sz w:val="28"/>
        </w:rPr>
        <w:t>(XII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ItaliqueEspacement0pt"/>
          <w:rFonts w:eastAsia="Courier New"/>
          <w:sz w:val="28"/>
        </w:rPr>
        <w:t>),</w:t>
      </w:r>
      <w:r w:rsidRPr="00E9210E">
        <w:t xml:space="preserve"> Paris [1930]), « A.H.E.S. », t. IV (1932), pp. 73-77.</w:t>
      </w:r>
    </w:p>
    <w:p w14:paraId="396E76B9" w14:textId="77777777" w:rsidR="00B9662D" w:rsidRPr="00E9210E" w:rsidRDefault="00B9662D" w:rsidP="00B9662D">
      <w:pPr>
        <w:spacing w:before="120" w:after="120"/>
        <w:jc w:val="both"/>
      </w:pPr>
      <w:r w:rsidRPr="00E9210E">
        <w:t xml:space="preserve">Un dépôt d’archives. (Compte rendu : </w:t>
      </w:r>
      <w:r w:rsidRPr="00E9210E">
        <w:rPr>
          <w:rStyle w:val="Corpsdutexte27ptGras"/>
          <w:rFonts w:eastAsia="Courier New"/>
          <w:b w:val="0"/>
          <w:sz w:val="28"/>
        </w:rPr>
        <w:t xml:space="preserve">P. </w:t>
      </w:r>
      <w:r w:rsidRPr="00E9210E">
        <w:rPr>
          <w:rStyle w:val="Corpsdutexte27ptGras"/>
          <w:rFonts w:eastAsia="Courier New"/>
          <w:b w:val="0"/>
          <w:smallCaps/>
          <w:sz w:val="28"/>
        </w:rPr>
        <w:t>Piétresson</w:t>
      </w:r>
      <w:r w:rsidRPr="00E9210E">
        <w:rPr>
          <w:rStyle w:val="Corpsdutexte27ptGras"/>
          <w:rFonts w:eastAsia="Courier New"/>
          <w:b w:val="0"/>
          <w:sz w:val="28"/>
        </w:rPr>
        <w:t xml:space="preserve"> de Saint-Aubin, </w:t>
      </w:r>
      <w:r w:rsidRPr="00E9210E">
        <w:rPr>
          <w:rStyle w:val="Corpsdutexte28ptItalique"/>
          <w:rFonts w:eastAsia="Courier New"/>
          <w:sz w:val="28"/>
        </w:rPr>
        <w:t>Les archives de l’Aube :</w:t>
      </w:r>
      <w:r w:rsidRPr="00E9210E">
        <w:rPr>
          <w:rStyle w:val="Corpsdutexte2ItaliqueEspacement0pt"/>
          <w:rFonts w:eastAsia="Courier New"/>
          <w:sz w:val="28"/>
        </w:rPr>
        <w:t xml:space="preserve"> </w:t>
      </w:r>
      <w:r w:rsidRPr="00E9210E">
        <w:rPr>
          <w:rStyle w:val="Corpsdutexte28ptItalique"/>
          <w:rFonts w:eastAsia="Courier New"/>
          <w:sz w:val="28"/>
        </w:rPr>
        <w:t>1790-1927,</w:t>
      </w:r>
      <w:r w:rsidRPr="00E9210E">
        <w:rPr>
          <w:rStyle w:val="Corpsdutexte28ptGraschelle120"/>
          <w:rFonts w:eastAsia="Courier New"/>
          <w:sz w:val="28"/>
        </w:rPr>
        <w:t xml:space="preserve"> </w:t>
      </w:r>
      <w:r w:rsidRPr="00E9210E">
        <w:t>Troyes, 1930), « A.H.E.S. », t. IV (1932), p. 189.</w:t>
      </w:r>
    </w:p>
    <w:p w14:paraId="5DCD6282" w14:textId="77777777" w:rsidR="00B9662D" w:rsidRPr="00E9210E" w:rsidRDefault="00B9662D" w:rsidP="00B9662D">
      <w:pPr>
        <w:spacing w:before="120" w:after="120"/>
        <w:jc w:val="both"/>
      </w:pPr>
      <w:r w:rsidRPr="00E9210E">
        <w:t xml:space="preserve">Une bibliographie de l’histoire du Moyen Âge. (Compte rendu : </w:t>
      </w:r>
      <w:r w:rsidRPr="00E9210E">
        <w:rPr>
          <w:rFonts w:eastAsia="Courier New"/>
        </w:rPr>
        <w:t xml:space="preserve">L. J. </w:t>
      </w:r>
      <w:r w:rsidRPr="00E9210E">
        <w:rPr>
          <w:rStyle w:val="Corpsdutexte27ptGras"/>
          <w:rFonts w:eastAsia="Courier New"/>
          <w:b w:val="0"/>
          <w:smallCaps/>
          <w:sz w:val="28"/>
        </w:rPr>
        <w:t>Paetow</w:t>
      </w:r>
      <w:r w:rsidRPr="00E9210E">
        <w:rPr>
          <w:rStyle w:val="Corpsdutexte27ptGras"/>
          <w:rFonts w:eastAsia="Courier New"/>
          <w:sz w:val="28"/>
        </w:rPr>
        <w:t xml:space="preserve"> </w:t>
      </w:r>
      <w:r w:rsidRPr="00E9210E">
        <w:t xml:space="preserve">et </w:t>
      </w:r>
      <w:r w:rsidRPr="00E9210E">
        <w:rPr>
          <w:rStyle w:val="Corpsdutexte28ptPetitesmajuscules"/>
          <w:rFonts w:eastAsia="Courier New"/>
          <w:sz w:val="28"/>
          <w:lang w:val="fr-CA"/>
        </w:rPr>
        <w:t xml:space="preserve">L. John, </w:t>
      </w:r>
      <w:r w:rsidRPr="00E9210E">
        <w:rPr>
          <w:rStyle w:val="Corpsdutexte28ptItalique"/>
          <w:rFonts w:eastAsia="Courier New"/>
          <w:sz w:val="28"/>
        </w:rPr>
        <w:t>A guide to the study of the medieval history : revised edition,</w:t>
      </w:r>
      <w:r w:rsidRPr="00E9210E">
        <w:rPr>
          <w:rStyle w:val="Corpsdutexte28ptGraschelle120"/>
          <w:rFonts w:eastAsia="Courier New"/>
          <w:sz w:val="28"/>
        </w:rPr>
        <w:t xml:space="preserve"> </w:t>
      </w:r>
      <w:r w:rsidRPr="00E9210E">
        <w:t>New York, 1931), « A.H.E.S. », t. IV (1932), pp. 191-192.</w:t>
      </w:r>
    </w:p>
    <w:p w14:paraId="2B49041F" w14:textId="77777777" w:rsidR="00B9662D" w:rsidRPr="00E9210E" w:rsidRDefault="00B9662D" w:rsidP="00B9662D">
      <w:pPr>
        <w:spacing w:before="120" w:after="120"/>
        <w:jc w:val="both"/>
      </w:pPr>
      <w:r w:rsidRPr="00E9210E">
        <w:t xml:space="preserve">Une décade d’histoire économique. (Compte rendu : V. </w:t>
      </w:r>
      <w:r w:rsidRPr="00E9210E">
        <w:rPr>
          <w:rStyle w:val="Corpsdutexte27ptGrasPetitesmajuscules"/>
          <w:rFonts w:eastAsia="Courier New"/>
          <w:b w:val="0"/>
          <w:sz w:val="28"/>
          <w:lang w:val="fr-CA"/>
        </w:rPr>
        <w:t>Porri,</w:t>
      </w:r>
      <w:r w:rsidRPr="00E9210E">
        <w:rPr>
          <w:rStyle w:val="Corpsdutexte27ptGrasPetitesmajuscules"/>
          <w:rFonts w:eastAsia="Courier New"/>
          <w:sz w:val="28"/>
          <w:lang w:val="fr-CA"/>
        </w:rPr>
        <w:t xml:space="preserve"> </w:t>
      </w:r>
      <w:r w:rsidRPr="00E9210E">
        <w:rPr>
          <w:rStyle w:val="Corpsdutexte28ptItalique"/>
          <w:rFonts w:eastAsia="Courier New"/>
          <w:sz w:val="28"/>
        </w:rPr>
        <w:t>La st</w:t>
      </w:r>
      <w:r w:rsidRPr="00E9210E">
        <w:rPr>
          <w:rStyle w:val="Corpsdutexte28ptItalique"/>
          <w:rFonts w:eastAsia="Courier New"/>
          <w:sz w:val="28"/>
        </w:rPr>
        <w:t>o</w:t>
      </w:r>
      <w:r w:rsidRPr="00E9210E">
        <w:rPr>
          <w:rStyle w:val="Corpsdutexte28ptItalique"/>
          <w:rFonts w:eastAsia="Courier New"/>
          <w:sz w:val="28"/>
        </w:rPr>
        <w:t>ria economica europea : età medioevale e moderna,</w:t>
      </w:r>
      <w:r w:rsidRPr="00E9210E">
        <w:rPr>
          <w:rStyle w:val="Corpsdutexte28ptGraschelle120"/>
          <w:rFonts w:eastAsia="Courier New"/>
          <w:sz w:val="28"/>
        </w:rPr>
        <w:t xml:space="preserve"> </w:t>
      </w:r>
      <w:r w:rsidRPr="00E9210E">
        <w:t>Pignerol, 1931), « A.H.E.S. », t. IV (1932), p. 193.</w:t>
      </w:r>
    </w:p>
    <w:p w14:paraId="2B2FEC82" w14:textId="77777777" w:rsidR="00B9662D" w:rsidRPr="00E9210E" w:rsidRDefault="00B9662D" w:rsidP="00B9662D">
      <w:pPr>
        <w:spacing w:before="120" w:after="120"/>
        <w:jc w:val="both"/>
      </w:pPr>
      <w:r w:rsidRPr="00E9210E">
        <w:t xml:space="preserve">Quelques grandes fortunes dans l’Angleterre anglo-saxonne. (Compte rendu : D. </w:t>
      </w:r>
      <w:r w:rsidRPr="00E9210E">
        <w:rPr>
          <w:rStyle w:val="Corpsdutexte27ptGrasPetitesmajuscules"/>
          <w:rFonts w:eastAsia="Courier New"/>
          <w:b w:val="0"/>
          <w:sz w:val="28"/>
          <w:lang w:val="fr-CA"/>
        </w:rPr>
        <w:t>Whitelock,</w:t>
      </w:r>
      <w:r w:rsidRPr="00E9210E">
        <w:rPr>
          <w:rStyle w:val="Corpsdutexte27ptGrasPetitesmajuscules"/>
          <w:rFonts w:eastAsia="Courier New"/>
          <w:sz w:val="28"/>
          <w:lang w:val="fr-CA"/>
        </w:rPr>
        <w:t xml:space="preserve"> </w:t>
      </w:r>
      <w:r w:rsidRPr="00E9210E">
        <w:rPr>
          <w:rStyle w:val="Corpsdutexte28ptItalique"/>
          <w:rFonts w:eastAsia="Courier New"/>
          <w:sz w:val="28"/>
        </w:rPr>
        <w:t>Anglo-Saxon Wills,</w:t>
      </w:r>
      <w:r w:rsidRPr="00E9210E">
        <w:rPr>
          <w:rStyle w:val="Corpsdutexte28ptGraschelle120"/>
          <w:rFonts w:eastAsia="Courier New"/>
          <w:sz w:val="28"/>
        </w:rPr>
        <w:t xml:space="preserve"> </w:t>
      </w:r>
      <w:r w:rsidRPr="00E9210E">
        <w:t>Cambridge, 1930), « A.H.E.S. », t. IV (1932), pp. 208-209.</w:t>
      </w:r>
    </w:p>
    <w:p w14:paraId="6891097F" w14:textId="77777777" w:rsidR="00B9662D" w:rsidRPr="00E9210E" w:rsidRDefault="00B9662D" w:rsidP="00B9662D">
      <w:pPr>
        <w:spacing w:before="120" w:after="120"/>
        <w:jc w:val="both"/>
      </w:pPr>
      <w:r w:rsidRPr="00E9210E">
        <w:t>Matériaux pour une histoire de la noblesse anglaise. (Compte re</w:t>
      </w:r>
      <w:r w:rsidRPr="00E9210E">
        <w:t>n</w:t>
      </w:r>
      <w:r w:rsidRPr="00E9210E">
        <w:t xml:space="preserve">du : J. H. </w:t>
      </w:r>
      <w:r w:rsidRPr="00E9210E">
        <w:rPr>
          <w:rStyle w:val="Corpsdutexte27ptGras"/>
          <w:rFonts w:eastAsia="Courier New"/>
          <w:b w:val="0"/>
          <w:smallCaps/>
          <w:sz w:val="28"/>
        </w:rPr>
        <w:t>Round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Family origin and other studies, edited with a m</w:t>
      </w:r>
      <w:r w:rsidRPr="00E9210E">
        <w:rPr>
          <w:rStyle w:val="Corpsdutexte28ptItalique"/>
          <w:rFonts w:eastAsia="Courier New"/>
          <w:sz w:val="28"/>
        </w:rPr>
        <w:t>e</w:t>
      </w:r>
      <w:r w:rsidRPr="00E9210E">
        <w:rPr>
          <w:rStyle w:val="Corpsdutexte28ptItalique"/>
          <w:rFonts w:eastAsia="Courier New"/>
          <w:sz w:val="28"/>
        </w:rPr>
        <w:t>moir and bibliography by William Page,</w:t>
      </w:r>
      <w:r w:rsidRPr="00E9210E">
        <w:rPr>
          <w:rStyle w:val="Corpsdutexte28ptGraschelle120"/>
          <w:rFonts w:eastAsia="Courier New"/>
          <w:sz w:val="28"/>
        </w:rPr>
        <w:t xml:space="preserve"> </w:t>
      </w:r>
      <w:r w:rsidRPr="00E9210E">
        <w:t>Londres, 1930), « A.H.E.S. », t. IV (1932), p. 209.</w:t>
      </w:r>
    </w:p>
    <w:p w14:paraId="1F2637E9" w14:textId="77777777" w:rsidR="00B9662D" w:rsidRPr="00E9210E" w:rsidRDefault="00B9662D" w:rsidP="00B9662D">
      <w:pPr>
        <w:spacing w:before="120" w:after="120"/>
        <w:jc w:val="both"/>
      </w:pPr>
      <w:r w:rsidRPr="00E9210E">
        <w:t xml:space="preserve">Deux villages anglais. (Comptes rendus : H. </w:t>
      </w:r>
      <w:r w:rsidRPr="00E9210E">
        <w:rPr>
          <w:rStyle w:val="Corpsdutexte27ptGras"/>
          <w:rFonts w:eastAsia="Courier New"/>
          <w:b w:val="0"/>
          <w:smallCaps/>
          <w:sz w:val="28"/>
        </w:rPr>
        <w:t>Brown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History of Bradwell on Sea, Essex, </w:t>
      </w:r>
      <w:r w:rsidRPr="00E9210E">
        <w:t xml:space="preserve">Chelmsford, 1929. — Fr. R. </w:t>
      </w:r>
      <w:r w:rsidRPr="00E9210E">
        <w:rPr>
          <w:rStyle w:val="Corpsdutexte27ptGras"/>
          <w:rFonts w:eastAsia="Courier New"/>
          <w:b w:val="0"/>
          <w:sz w:val="28"/>
        </w:rPr>
        <w:t>Williams,</w:t>
      </w:r>
      <w:r w:rsidRPr="00E9210E">
        <w:rPr>
          <w:rStyle w:val="Corpsdutexte27ptGras"/>
          <w:rFonts w:eastAsia="Courier New"/>
          <w:sz w:val="28"/>
        </w:rPr>
        <w:t xml:space="preserve"> </w:t>
      </w:r>
      <w:r w:rsidRPr="00E9210E">
        <w:rPr>
          <w:rStyle w:val="Corpsdutexte28ptItalique"/>
          <w:rFonts w:eastAsia="Courier New"/>
          <w:sz w:val="28"/>
        </w:rPr>
        <w:t>An</w:t>
      </w:r>
      <w:r w:rsidRPr="00E9210E">
        <w:rPr>
          <w:rStyle w:val="Corpsdutexte28ptItalique"/>
          <w:rFonts w:eastAsia="Courier New"/>
          <w:sz w:val="28"/>
        </w:rPr>
        <w:t>s</w:t>
      </w:r>
      <w:r w:rsidRPr="00E9210E">
        <w:rPr>
          <w:rStyle w:val="Corpsdutexte28ptItalique"/>
          <w:rFonts w:eastAsia="Courier New"/>
          <w:sz w:val="28"/>
        </w:rPr>
        <w:t>tey, a Hertfordshire parish,</w:t>
      </w:r>
      <w:r w:rsidRPr="00E9210E">
        <w:rPr>
          <w:rStyle w:val="Corpsdutexte28ptGraschelle120"/>
          <w:rFonts w:eastAsia="Courier New"/>
          <w:sz w:val="28"/>
        </w:rPr>
        <w:t xml:space="preserve"> </w:t>
      </w:r>
      <w:r w:rsidRPr="00E9210E">
        <w:t>Cambridge, 1929), « A.H.E.S. », t. IV (1932), p. 211.</w:t>
      </w:r>
    </w:p>
    <w:p w14:paraId="183BB944" w14:textId="77777777" w:rsidR="00B9662D" w:rsidRPr="00E9210E" w:rsidRDefault="00B9662D" w:rsidP="00B9662D">
      <w:pPr>
        <w:spacing w:before="120" w:after="120"/>
        <w:jc w:val="both"/>
      </w:pPr>
      <w:r w:rsidRPr="00E9210E">
        <w:t xml:space="preserve">A propos de la colonisation de l’Allemagne orientale : histoire d’un mot. (Compte rendu : R. </w:t>
      </w:r>
      <w:r w:rsidRPr="00E9210E">
        <w:rPr>
          <w:rStyle w:val="Corpsdutexte27ptGras"/>
          <w:rFonts w:eastAsia="Courier New"/>
          <w:b w:val="0"/>
          <w:smallCaps/>
          <w:sz w:val="28"/>
        </w:rPr>
        <w:t>Köbner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Locatio. Zur Begriffssprache und Geschichte der deutschen Kolonisation</w:t>
      </w:r>
      <w:r w:rsidRPr="00E9210E">
        <w:rPr>
          <w:rStyle w:val="Corpsdutexte2ItaliqueEspacement0pt"/>
          <w:rFonts w:eastAsia="Courier New"/>
          <w:sz w:val="28"/>
        </w:rPr>
        <w:t>,</w:t>
      </w:r>
      <w:r w:rsidRPr="00E9210E">
        <w:t xml:space="preserve"> Görlitz, 1929), « A.H.E.S. », t. IV (1932), pp. 223-224.</w:t>
      </w:r>
    </w:p>
    <w:p w14:paraId="463F3474" w14:textId="77777777" w:rsidR="00B9662D" w:rsidRPr="00E9210E" w:rsidRDefault="00B9662D" w:rsidP="00B9662D">
      <w:pPr>
        <w:spacing w:before="120" w:after="120"/>
        <w:jc w:val="both"/>
      </w:pPr>
      <w:r w:rsidRPr="00E9210E">
        <w:t xml:space="preserve">Une enquête permanente sur la vie agricole. </w:t>
      </w:r>
      <w:r w:rsidRPr="00E9210E">
        <w:rPr>
          <w:rStyle w:val="Corpsdutexte27ptGrasPetitesmajuscules"/>
          <w:rFonts w:eastAsia="Courier New"/>
          <w:b w:val="0"/>
          <w:sz w:val="28"/>
          <w:lang w:val="fr-CA"/>
        </w:rPr>
        <w:t>(</w:t>
      </w:r>
      <w:r w:rsidRPr="00E9210E">
        <w:rPr>
          <w:rStyle w:val="Corpsdutexte27ptGrasPetitesmajuscules"/>
          <w:rFonts w:eastAsia="Courier New"/>
          <w:b w:val="0"/>
          <w:smallCaps w:val="0"/>
          <w:sz w:val="28"/>
          <w:lang w:val="fr-CA"/>
        </w:rPr>
        <w:t>Institut international d’Agriculture</w:t>
      </w:r>
      <w:r w:rsidRPr="00E9210E">
        <w:rPr>
          <w:rStyle w:val="Corpsdutexte27ptGrasPetitesmajuscules"/>
          <w:rFonts w:eastAsia="Courier New"/>
          <w:b w:val="0"/>
          <w:sz w:val="28"/>
          <w:lang w:val="fr-CA"/>
        </w:rPr>
        <w:t xml:space="preserve">, </w:t>
      </w:r>
      <w:r w:rsidRPr="00E9210E">
        <w:rPr>
          <w:rStyle w:val="Corpsdutexte28ptItalique"/>
          <w:rFonts w:eastAsia="Courier New"/>
          <w:sz w:val="28"/>
        </w:rPr>
        <w:t>Revue internationale d’agriculture :</w:t>
      </w:r>
      <w:r w:rsidRPr="00E9210E">
        <w:t xml:space="preserve"> II</w:t>
      </w:r>
      <w:r w:rsidRPr="00E9210E">
        <w:rPr>
          <w:vertAlign w:val="superscript"/>
        </w:rPr>
        <w:t>e</w:t>
      </w:r>
      <w:r w:rsidRPr="00E9210E">
        <w:t xml:space="preserve"> partie, </w:t>
      </w:r>
      <w:r w:rsidRPr="00E9210E">
        <w:rPr>
          <w:rStyle w:val="Corpsdutexte28ptItalique"/>
          <w:rFonts w:eastAsia="Courier New"/>
          <w:sz w:val="28"/>
        </w:rPr>
        <w:t>Bulletin mensuel de renseignements économiques et sociaux,</w:t>
      </w:r>
      <w:r w:rsidRPr="00E9210E">
        <w:rPr>
          <w:rStyle w:val="Corpsdutexte28ptGraschelle120"/>
          <w:rFonts w:eastAsia="Courier New"/>
          <w:sz w:val="28"/>
        </w:rPr>
        <w:t xml:space="preserve"> </w:t>
      </w:r>
      <w:r w:rsidRPr="00E9210E">
        <w:t>Rome, novembre et décembre 1930), « A.H.E.S. », t. IV (1932), p. 301.</w:t>
      </w:r>
    </w:p>
    <w:p w14:paraId="01CC1C50" w14:textId="77777777" w:rsidR="00B9662D" w:rsidRPr="00E9210E" w:rsidRDefault="00B9662D" w:rsidP="00B9662D">
      <w:pPr>
        <w:spacing w:before="120" w:after="120"/>
        <w:jc w:val="both"/>
      </w:pPr>
      <w:r w:rsidRPr="00E9210E">
        <w:t xml:space="preserve">Bibliographie courante des études rurales. (Compte rendu : </w:t>
      </w:r>
      <w:r w:rsidRPr="00E9210E">
        <w:rPr>
          <w:rStyle w:val="Corpsdutexte27ptGrasPetitesmajuscules"/>
          <w:rFonts w:eastAsia="Courier New"/>
          <w:b w:val="0"/>
          <w:sz w:val="28"/>
          <w:lang w:val="fr-CA"/>
        </w:rPr>
        <w:t>Inst</w:t>
      </w:r>
      <w:r w:rsidRPr="00E9210E">
        <w:rPr>
          <w:rStyle w:val="Corpsdutexte27ptGrasPetitesmajuscules"/>
          <w:rFonts w:eastAsia="Courier New"/>
          <w:b w:val="0"/>
          <w:sz w:val="28"/>
          <w:lang w:val="fr-CA"/>
        </w:rPr>
        <w:t>i</w:t>
      </w:r>
      <w:r w:rsidRPr="00E9210E">
        <w:rPr>
          <w:rStyle w:val="Corpsdutexte27ptGrasPetitesmajuscules"/>
          <w:rFonts w:eastAsia="Courier New"/>
          <w:b w:val="0"/>
          <w:sz w:val="28"/>
          <w:lang w:val="fr-CA"/>
        </w:rPr>
        <w:t>tut agraire international </w:t>
      </w:r>
      <w:r w:rsidRPr="00E9210E">
        <w:rPr>
          <w:rStyle w:val="Corpsdutexte27ptGrasPetitesmajuscules"/>
          <w:rFonts w:eastAsia="Courier New"/>
          <w:b w:val="0"/>
          <w:smallCaps w:val="0"/>
          <w:sz w:val="28"/>
          <w:lang w:val="fr-CA"/>
        </w:rPr>
        <w:t>:</w:t>
      </w:r>
      <w:r w:rsidRPr="00E9210E">
        <w:t xml:space="preserve"> </w:t>
      </w:r>
      <w:r w:rsidRPr="00E9210E">
        <w:rPr>
          <w:rStyle w:val="Corpsdutexte28ptItalique"/>
          <w:rFonts w:eastAsia="Courier New"/>
          <w:sz w:val="28"/>
        </w:rPr>
        <w:t>Index bibliographique de la question agraire,</w:t>
      </w:r>
      <w:r w:rsidRPr="00E9210E">
        <w:rPr>
          <w:rStyle w:val="Corpsdutexte28ptGraschelle120"/>
          <w:rFonts w:eastAsia="Courier New"/>
          <w:sz w:val="28"/>
        </w:rPr>
        <w:t xml:space="preserve"> </w:t>
      </w:r>
      <w:r w:rsidRPr="00E9210E">
        <w:t>1929 ; 4 fascicules, Moscou, 1930), « A.H.E.S. », t. IV (1932), pp. 301-302.</w:t>
      </w:r>
    </w:p>
    <w:p w14:paraId="0E66D832" w14:textId="77777777" w:rsidR="00B9662D" w:rsidRPr="00E9210E" w:rsidRDefault="00B9662D" w:rsidP="00B9662D">
      <w:pPr>
        <w:spacing w:before="120" w:after="120"/>
        <w:jc w:val="both"/>
      </w:pPr>
      <w:r w:rsidRPr="00E9210E">
        <w:t xml:space="preserve">Une revue d’histoire rurale. </w:t>
      </w:r>
      <w:r w:rsidRPr="00E9210E">
        <w:rPr>
          <w:rStyle w:val="Corpsdutexte28ptItalique"/>
          <w:rFonts w:eastAsia="Courier New"/>
          <w:sz w:val="28"/>
        </w:rPr>
        <w:t>(Bulletin du Musée agricole tchécosl</w:t>
      </w:r>
      <w:r w:rsidRPr="00E9210E">
        <w:rPr>
          <w:rStyle w:val="Corpsdutexte28ptItalique"/>
          <w:rFonts w:eastAsia="Courier New"/>
          <w:sz w:val="28"/>
        </w:rPr>
        <w:t>o</w:t>
      </w:r>
      <w:r w:rsidRPr="00E9210E">
        <w:rPr>
          <w:rStyle w:val="Corpsdutexte28ptItalique"/>
          <w:rFonts w:eastAsia="Courier New"/>
          <w:sz w:val="28"/>
        </w:rPr>
        <w:t>vaque),</w:t>
      </w:r>
      <w:r w:rsidRPr="00E9210E">
        <w:rPr>
          <w:rStyle w:val="Corpsdutexte28ptGraschelle120"/>
          <w:rFonts w:eastAsia="Courier New"/>
          <w:sz w:val="28"/>
        </w:rPr>
        <w:t xml:space="preserve"> </w:t>
      </w:r>
      <w:r w:rsidRPr="00E9210E">
        <w:t>« A.H.E.S. », t. IV (1932), p. 302.</w:t>
      </w:r>
    </w:p>
    <w:p w14:paraId="1A80B34F" w14:textId="77777777" w:rsidR="00B9662D" w:rsidRPr="00E9210E" w:rsidRDefault="00B9662D" w:rsidP="00B9662D">
      <w:pPr>
        <w:spacing w:before="120" w:after="120"/>
        <w:jc w:val="both"/>
      </w:pPr>
      <w:r w:rsidRPr="00E9210E">
        <w:t xml:space="preserve">Arthur Young : </w:t>
      </w:r>
      <w:r w:rsidRPr="00E9210E">
        <w:rPr>
          <w:rStyle w:val="Corpsdutexte27ptGras"/>
          <w:rFonts w:eastAsia="Courier New"/>
          <w:b w:val="0"/>
          <w:sz w:val="28"/>
        </w:rPr>
        <w:t>sa</w:t>
      </w:r>
      <w:r w:rsidRPr="00E9210E">
        <w:rPr>
          <w:rStyle w:val="Corpsdutexte27ptGras"/>
          <w:rFonts w:eastAsia="Courier New"/>
          <w:sz w:val="28"/>
        </w:rPr>
        <w:t xml:space="preserve"> </w:t>
      </w:r>
      <w:r w:rsidRPr="00E9210E">
        <w:t xml:space="preserve">vie. (Compte rendu : C. S. </w:t>
      </w:r>
      <w:r w:rsidRPr="00E9210E">
        <w:rPr>
          <w:rStyle w:val="Corpsdutexte27ptGras"/>
          <w:rFonts w:eastAsia="Courier New"/>
          <w:b w:val="0"/>
          <w:smallCaps/>
          <w:sz w:val="28"/>
        </w:rPr>
        <w:t>Haslam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bi</w:t>
      </w:r>
      <w:r w:rsidRPr="00E9210E">
        <w:rPr>
          <w:rStyle w:val="Corpsdutexte28ptItalique"/>
          <w:rFonts w:eastAsia="Courier New"/>
          <w:sz w:val="28"/>
        </w:rPr>
        <w:t>o</w:t>
      </w:r>
      <w:r w:rsidRPr="00E9210E">
        <w:rPr>
          <w:rStyle w:val="Corpsdutexte28ptItalique"/>
          <w:rFonts w:eastAsia="Courier New"/>
          <w:sz w:val="28"/>
        </w:rPr>
        <w:t>graphy of Arthur Young, F.R.S. from his birth until 1787,</w:t>
      </w:r>
      <w:r w:rsidRPr="00E9210E">
        <w:rPr>
          <w:rStyle w:val="Corpsdutexte28ptGraschelle120"/>
          <w:rFonts w:eastAsia="Courier New"/>
          <w:sz w:val="28"/>
        </w:rPr>
        <w:t xml:space="preserve"> </w:t>
      </w:r>
      <w:r w:rsidRPr="00E9210E">
        <w:t>Rugby, 1930), « A.H.E.S. », t. IV (1932), pp. 314-315.</w:t>
      </w:r>
    </w:p>
    <w:p w14:paraId="566BB092" w14:textId="77777777" w:rsidR="00B9662D" w:rsidRPr="00E9210E" w:rsidRDefault="00B9662D" w:rsidP="00B9662D">
      <w:pPr>
        <w:spacing w:before="120" w:after="120"/>
        <w:jc w:val="both"/>
      </w:pPr>
      <w:r w:rsidRPr="00E9210E">
        <w:t>[1054]</w:t>
      </w:r>
    </w:p>
    <w:p w14:paraId="7C61A6D4" w14:textId="77777777" w:rsidR="00B9662D" w:rsidRPr="00E9210E" w:rsidRDefault="00B9662D" w:rsidP="00B9662D">
      <w:pPr>
        <w:spacing w:before="120" w:after="120"/>
        <w:jc w:val="both"/>
      </w:pPr>
      <w:r w:rsidRPr="00E9210E">
        <w:t xml:space="preserve">Fustel de Coulanges. (Compte rendu : </w:t>
      </w:r>
      <w:r w:rsidRPr="00E9210E">
        <w:rPr>
          <w:rStyle w:val="Corpsdutexte27ptGras"/>
          <w:rFonts w:eastAsia="Courier New"/>
          <w:b w:val="0"/>
          <w:sz w:val="28"/>
        </w:rPr>
        <w:t>J.</w:t>
      </w:r>
      <w:r w:rsidRPr="00E9210E">
        <w:rPr>
          <w:rStyle w:val="Corpsdutexte27ptGras"/>
          <w:rFonts w:eastAsia="Courier New"/>
          <w:sz w:val="28"/>
        </w:rPr>
        <w:t xml:space="preserve"> </w:t>
      </w:r>
      <w:r w:rsidRPr="00E9210E">
        <w:t xml:space="preserve">M. </w:t>
      </w:r>
      <w:r w:rsidRPr="00E9210E">
        <w:rPr>
          <w:rStyle w:val="Corpsdutexte27ptGras"/>
          <w:rFonts w:eastAsia="Courier New"/>
          <w:b w:val="0"/>
          <w:smallCaps/>
          <w:sz w:val="28"/>
        </w:rPr>
        <w:t>Tourneur-Aumont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Fustel de Coulanges</w:t>
      </w:r>
      <w:r w:rsidRPr="00E9210E">
        <w:rPr>
          <w:rFonts w:eastAsia="Courier New"/>
        </w:rPr>
        <w:t xml:space="preserve"> </w:t>
      </w:r>
      <w:r w:rsidRPr="00E9210E">
        <w:rPr>
          <w:rStyle w:val="Corpsdutexte2ItaliqueEspacement0pt"/>
          <w:rFonts w:eastAsia="Courier New"/>
          <w:sz w:val="28"/>
        </w:rPr>
        <w:t>(</w:t>
      </w:r>
      <w:r w:rsidRPr="00E9210E">
        <w:rPr>
          <w:rStyle w:val="Corpsdutexte28ptItalique"/>
          <w:rFonts w:eastAsia="Courier New"/>
          <w:sz w:val="28"/>
        </w:rPr>
        <w:t>1830-1889</w:t>
      </w:r>
      <w:r w:rsidRPr="00E9210E">
        <w:rPr>
          <w:rStyle w:val="Corpsdutexte2ItaliqueEspacement0pt"/>
          <w:rFonts w:eastAsia="Courier New"/>
          <w:sz w:val="28"/>
        </w:rPr>
        <w:t>),</w:t>
      </w:r>
      <w:r w:rsidRPr="00E9210E">
        <w:t xml:space="preserve"> Paris, 1931). « A.H.E.S. », t. IV (1932), p. 315.</w:t>
      </w:r>
    </w:p>
    <w:p w14:paraId="494A1265" w14:textId="77777777" w:rsidR="00B9662D" w:rsidRPr="00E9210E" w:rsidRDefault="00B9662D" w:rsidP="00B9662D">
      <w:pPr>
        <w:spacing w:before="120" w:after="120"/>
        <w:jc w:val="both"/>
      </w:pPr>
      <w:r w:rsidRPr="00E9210E">
        <w:t xml:space="preserve">Au seuil de notre histoire. (Compte rendu : C. </w:t>
      </w:r>
      <w:r w:rsidRPr="00E9210E">
        <w:rPr>
          <w:rStyle w:val="Corpsdutexte27ptGras"/>
          <w:rFonts w:eastAsia="Courier New"/>
          <w:b w:val="0"/>
          <w:smallCaps/>
          <w:sz w:val="28"/>
        </w:rPr>
        <w:t>Jullian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ItaliquePetitesmajuscules"/>
          <w:rFonts w:eastAsia="Courier New"/>
          <w:smallCaps w:val="0"/>
          <w:sz w:val="28"/>
        </w:rPr>
        <w:t>Au</w:t>
      </w:r>
      <w:r w:rsidRPr="00E9210E">
        <w:rPr>
          <w:rFonts w:eastAsia="Courier New"/>
        </w:rPr>
        <w:t xml:space="preserve"> </w:t>
      </w:r>
      <w:r w:rsidRPr="00E9210E">
        <w:rPr>
          <w:rFonts w:eastAsia="Courier New"/>
          <w:i/>
        </w:rPr>
        <w:t>seuil de notre histoire </w:t>
      </w:r>
      <w:r w:rsidRPr="00E9210E">
        <w:rPr>
          <w:rFonts w:eastAsia="Courier New"/>
        </w:rPr>
        <w:t>:</w:t>
      </w:r>
      <w:r w:rsidRPr="00E9210E">
        <w:t xml:space="preserve"> t. II et t. III, Paris, s.d. [1931]), « A.H.E.S. », t. IV (1932), pp. 315-316.</w:t>
      </w:r>
    </w:p>
    <w:p w14:paraId="39B07E70" w14:textId="77777777" w:rsidR="00B9662D" w:rsidRPr="00E9210E" w:rsidRDefault="00B9662D" w:rsidP="00B9662D">
      <w:pPr>
        <w:spacing w:before="120" w:after="120"/>
        <w:jc w:val="both"/>
      </w:pPr>
      <w:r w:rsidRPr="00E9210E">
        <w:t xml:space="preserve">Un monastère, une forêt. (Compte rendu : A. </w:t>
      </w:r>
      <w:r w:rsidRPr="00E9210E">
        <w:rPr>
          <w:rStyle w:val="Corpsdutexte27ptGras"/>
          <w:rFonts w:eastAsia="Courier New"/>
          <w:b w:val="0"/>
          <w:smallCaps/>
          <w:sz w:val="28"/>
        </w:rPr>
        <w:t>Pissier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L’abbaye Notre-Dame de Dilo au diocèse de Sens</w:t>
      </w:r>
      <w:r w:rsidRPr="00E9210E">
        <w:t>, Auxerre, 1930), « A.H.E.S. », t. IV (1932), p. 319.</w:t>
      </w:r>
    </w:p>
    <w:p w14:paraId="42EF6F0C" w14:textId="77777777" w:rsidR="00B9662D" w:rsidRPr="00E9210E" w:rsidRDefault="00B9662D" w:rsidP="00B9662D">
      <w:pPr>
        <w:spacing w:before="120" w:after="120"/>
        <w:jc w:val="both"/>
      </w:pPr>
      <w:r w:rsidRPr="00E9210E">
        <w:t xml:space="preserve">Une seigneurie. (Compte rendu : L. </w:t>
      </w:r>
      <w:r w:rsidRPr="00E9210E">
        <w:rPr>
          <w:rStyle w:val="Corpsdutexte27ptGras"/>
          <w:rFonts w:eastAsia="Courier New"/>
          <w:b w:val="0"/>
          <w:smallCaps/>
          <w:sz w:val="28"/>
        </w:rPr>
        <w:t>Mirot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Comptes de la châte</w:t>
      </w:r>
      <w:r w:rsidRPr="00E9210E">
        <w:rPr>
          <w:rStyle w:val="Corpsdutexte28ptItalique"/>
          <w:rFonts w:eastAsia="Courier New"/>
          <w:sz w:val="28"/>
        </w:rPr>
        <w:t>l</w:t>
      </w:r>
      <w:r w:rsidRPr="00E9210E">
        <w:rPr>
          <w:rStyle w:val="Corpsdutexte28ptItalique"/>
          <w:rFonts w:eastAsia="Courier New"/>
          <w:sz w:val="28"/>
        </w:rPr>
        <w:t>lenie et de la vicomté de Clameci de 1375 à 1404</w:t>
      </w:r>
      <w:r w:rsidRPr="00E9210E">
        <w:t>, Clamecy, 1930), « A.H.E.S. », t. IV (1932), p. 319.</w:t>
      </w:r>
    </w:p>
    <w:p w14:paraId="7683E976"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Histoires de villages. (Comptes rendus : J. </w:t>
      </w:r>
      <w:r w:rsidRPr="00E9210E">
        <w:rPr>
          <w:rStyle w:val="Corpsdutexte37ptGrasNonItalique"/>
          <w:rFonts w:eastAsia="Courier New"/>
          <w:b w:val="0"/>
          <w:i w:val="0"/>
          <w:iCs w:val="0"/>
          <w:smallCaps/>
          <w:sz w:val="28"/>
        </w:rPr>
        <w:t>Hoult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vill, manor and township of Knowsley</w:t>
      </w:r>
      <w:r w:rsidRPr="00E9210E">
        <w:rPr>
          <w:rStyle w:val="Corpsdutexte385ptNonItalique"/>
          <w:rFonts w:eastAsia="Courier New"/>
          <w:i w:val="0"/>
          <w:iCs w:val="0"/>
          <w:sz w:val="28"/>
        </w:rPr>
        <w:t xml:space="preserve">, Liverpool (1930). — C. </w:t>
      </w:r>
      <w:r w:rsidRPr="00E9210E">
        <w:rPr>
          <w:rStyle w:val="Corpsdutexte37ptGrasNonItalique"/>
          <w:rFonts w:eastAsia="Courier New"/>
          <w:b w:val="0"/>
          <w:i w:val="0"/>
          <w:iCs w:val="0"/>
          <w:smallCaps/>
          <w:sz w:val="28"/>
        </w:rPr>
        <w:t>Woods</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et P. </w:t>
      </w:r>
      <w:r w:rsidRPr="00E9210E">
        <w:rPr>
          <w:rStyle w:val="Corpsdutexte37ptGrasNonItalique"/>
          <w:rFonts w:eastAsia="Courier New"/>
          <w:b w:val="0"/>
          <w:i w:val="0"/>
          <w:iCs w:val="0"/>
          <w:smallCaps/>
          <w:sz w:val="28"/>
        </w:rPr>
        <w:t>Culverwell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rise and progress of Wa</w:t>
      </w:r>
      <w:r w:rsidRPr="00E9210E">
        <w:rPr>
          <w:i/>
        </w:rPr>
        <w:t>l</w:t>
      </w:r>
      <w:r w:rsidRPr="00E9210E">
        <w:rPr>
          <w:i/>
        </w:rPr>
        <w:t>lasey :</w:t>
      </w:r>
      <w:r w:rsidRPr="00E9210E">
        <w:rPr>
          <w:rStyle w:val="Corpsdutexte385ptEspacement0pt"/>
          <w:rFonts w:eastAsia="Courier New"/>
          <w:i w:val="0"/>
          <w:sz w:val="28"/>
        </w:rPr>
        <w:t xml:space="preserve"> </w:t>
      </w:r>
      <w:r w:rsidRPr="00E9210E">
        <w:rPr>
          <w:i/>
        </w:rPr>
        <w:t>a history of the borough</w:t>
      </w:r>
      <w:r w:rsidRPr="00E9210E">
        <w:rPr>
          <w:rStyle w:val="Corpsdutexte385ptNonItalique"/>
          <w:rFonts w:eastAsia="Courier New"/>
          <w:i w:val="0"/>
          <w:iCs w:val="0"/>
          <w:sz w:val="28"/>
        </w:rPr>
        <w:t xml:space="preserve">, Liverpool [1929]. — Cdt. H. </w:t>
      </w:r>
      <w:r w:rsidRPr="00E9210E">
        <w:rPr>
          <w:rStyle w:val="Corpsdutexte37ptGrasNonItalique"/>
          <w:rFonts w:eastAsia="Courier New"/>
          <w:b w:val="0"/>
          <w:i w:val="0"/>
          <w:iCs w:val="0"/>
          <w:smallCaps/>
          <w:sz w:val="28"/>
        </w:rPr>
        <w:t>Navel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Monographie de Fe</w:t>
      </w:r>
      <w:r w:rsidRPr="00E9210E">
        <w:rPr>
          <w:i/>
        </w:rPr>
        <w:t>u</w:t>
      </w:r>
      <w:r w:rsidRPr="00E9210E">
        <w:rPr>
          <w:i/>
        </w:rPr>
        <w:t>guerolles-sur-Orne (Calvados), des origines à la Révolution</w:t>
      </w:r>
      <w:r w:rsidRPr="00E9210E">
        <w:t xml:space="preserve">, </w:t>
      </w:r>
      <w:r w:rsidRPr="00E9210E">
        <w:rPr>
          <w:rStyle w:val="Corpsdutexte385ptNonItalique"/>
          <w:rFonts w:eastAsia="Courier New"/>
          <w:i w:val="0"/>
          <w:iCs w:val="0"/>
          <w:sz w:val="28"/>
        </w:rPr>
        <w:t>Caen, 1931), « A.H.E.S. », t. IV (1932), pp. 320-321.</w:t>
      </w:r>
    </w:p>
    <w:p w14:paraId="3DA0465C" w14:textId="77777777" w:rsidR="00B9662D" w:rsidRPr="00E9210E" w:rsidRDefault="00B9662D" w:rsidP="00B9662D">
      <w:pPr>
        <w:spacing w:before="120" w:after="120"/>
        <w:jc w:val="both"/>
      </w:pPr>
      <w:r w:rsidRPr="00E9210E">
        <w:t xml:space="preserve">Publications de textes. (Comptes rendus : P. </w:t>
      </w:r>
      <w:r w:rsidRPr="00E9210E">
        <w:rPr>
          <w:rStyle w:val="Corpsdutexte27ptGras"/>
          <w:rFonts w:eastAsia="Courier New"/>
          <w:b w:val="0"/>
          <w:smallCaps/>
          <w:sz w:val="28"/>
        </w:rPr>
        <w:t>Lefrancq</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cart</w:t>
      </w:r>
      <w:r w:rsidRPr="00E9210E">
        <w:rPr>
          <w:rFonts w:eastAsia="Courier New"/>
          <w:i/>
        </w:rPr>
        <w:t>u</w:t>
      </w:r>
      <w:r w:rsidRPr="00E9210E">
        <w:rPr>
          <w:rFonts w:eastAsia="Courier New"/>
          <w:i/>
        </w:rPr>
        <w:t xml:space="preserve">laire de Saint-Cybard. Les chartes antérieures </w:t>
      </w:r>
      <w:r w:rsidRPr="00E9210E">
        <w:rPr>
          <w:rStyle w:val="Corpsdutexte28ptItalique"/>
          <w:rFonts w:eastAsia="Courier New"/>
          <w:sz w:val="28"/>
        </w:rPr>
        <w:t>à</w:t>
      </w:r>
      <w:r w:rsidRPr="00E9210E">
        <w:rPr>
          <w:rStyle w:val="Corpsdutexte28ptItalique"/>
          <w:rFonts w:eastAsia="Courier New"/>
          <w:i w:val="0"/>
          <w:sz w:val="28"/>
        </w:rPr>
        <w:t xml:space="preserve"> </w:t>
      </w:r>
      <w:r w:rsidRPr="00E9210E">
        <w:rPr>
          <w:rFonts w:eastAsia="Courier New"/>
          <w:i/>
        </w:rPr>
        <w:t>l’abbatiat de Ra</w:t>
      </w:r>
      <w:r w:rsidRPr="00E9210E">
        <w:rPr>
          <w:rFonts w:eastAsia="Courier New"/>
          <w:i/>
        </w:rPr>
        <w:t>m</w:t>
      </w:r>
      <w:r w:rsidRPr="00E9210E">
        <w:rPr>
          <w:rFonts w:eastAsia="Courier New"/>
          <w:i/>
        </w:rPr>
        <w:t>noul I</w:t>
      </w:r>
      <w:r w:rsidRPr="00E9210E">
        <w:rPr>
          <w:rFonts w:eastAsia="Courier New"/>
        </w:rPr>
        <w:t xml:space="preserve"> </w:t>
      </w:r>
      <w:r w:rsidRPr="00E9210E">
        <w:rPr>
          <w:rStyle w:val="Corpsdutexte28ptItalique"/>
          <w:rFonts w:eastAsia="Courier New"/>
          <w:sz w:val="28"/>
        </w:rPr>
        <w:t>(1171-1218),</w:t>
      </w:r>
      <w:r w:rsidRPr="00E9210E">
        <w:rPr>
          <w:rStyle w:val="Corpsdutexte28ptGraschelle120"/>
          <w:rFonts w:eastAsia="Courier New"/>
          <w:sz w:val="28"/>
        </w:rPr>
        <w:t xml:space="preserve"> </w:t>
      </w:r>
      <w:r w:rsidRPr="00E9210E">
        <w:t xml:space="preserve">Angoulême, 1931. — J. </w:t>
      </w:r>
      <w:r w:rsidRPr="00E9210E">
        <w:rPr>
          <w:rStyle w:val="Corpsdutexte27ptGras"/>
          <w:rFonts w:eastAsia="Courier New"/>
          <w:b w:val="0"/>
          <w:smallCaps/>
          <w:sz w:val="28"/>
        </w:rPr>
        <w:t>Levron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Catalogue des Actes de Pierre de Dreux</w:t>
      </w:r>
      <w:r w:rsidRPr="00E9210E">
        <w:rPr>
          <w:rFonts w:eastAsia="Courier New"/>
        </w:rPr>
        <w:t>,</w:t>
      </w:r>
      <w:r w:rsidRPr="00E9210E">
        <w:rPr>
          <w:rStyle w:val="Corpsdutexte28ptGraschelle120"/>
          <w:rFonts w:eastAsia="Courier New"/>
          <w:sz w:val="28"/>
        </w:rPr>
        <w:t xml:space="preserve"> </w:t>
      </w:r>
      <w:r w:rsidRPr="00E9210E">
        <w:t>Rennes, 1931), « A.H.E.S. », t. IV (1932), pp. 321-322.</w:t>
      </w:r>
    </w:p>
    <w:p w14:paraId="48B7FFE1" w14:textId="77777777" w:rsidR="00B9662D" w:rsidRPr="00E9210E" w:rsidRDefault="00B9662D" w:rsidP="00B9662D">
      <w:pPr>
        <w:spacing w:before="120" w:after="120"/>
        <w:jc w:val="both"/>
      </w:pPr>
      <w:r w:rsidRPr="00E9210E">
        <w:t xml:space="preserve">Offices, usages féodaux et métiers dans une région française aux </w:t>
      </w:r>
      <w:r w:rsidRPr="00E9210E">
        <w:rPr>
          <w:caps/>
        </w:rPr>
        <w:t>xv</w:t>
      </w:r>
      <w:r w:rsidRPr="00E9210E">
        <w:rPr>
          <w:vertAlign w:val="superscript"/>
        </w:rPr>
        <w:t>e</w:t>
      </w:r>
      <w:r w:rsidRPr="00E9210E">
        <w:t xml:space="preserve"> et </w:t>
      </w:r>
      <w:r w:rsidRPr="00E9210E">
        <w:rPr>
          <w:caps/>
        </w:rPr>
        <w:t>xvi</w:t>
      </w:r>
      <w:r w:rsidRPr="00E9210E">
        <w:rPr>
          <w:vertAlign w:val="superscript"/>
        </w:rPr>
        <w:t>e</w:t>
      </w:r>
      <w:r w:rsidRPr="00E9210E">
        <w:t xml:space="preserve"> siècles. (Compte rendu : P. </w:t>
      </w:r>
      <w:r w:rsidRPr="00E9210E">
        <w:rPr>
          <w:rStyle w:val="Corpsdutexte27ptGras"/>
          <w:rFonts w:eastAsia="Courier New"/>
          <w:b w:val="0"/>
          <w:smallCaps/>
          <w:sz w:val="28"/>
        </w:rPr>
        <w:t>Dupieux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institutions royales au pays d’Étampes (Comté, puis Duché, 1478-1598),</w:t>
      </w:r>
      <w:r w:rsidRPr="00E9210E">
        <w:rPr>
          <w:rStyle w:val="Corpsdutexte28ptGraschelle120"/>
          <w:rFonts w:eastAsia="Courier New"/>
          <w:sz w:val="28"/>
        </w:rPr>
        <w:t xml:space="preserve"> </w:t>
      </w:r>
      <w:r w:rsidRPr="00E9210E">
        <w:t>Versai</w:t>
      </w:r>
      <w:r w:rsidRPr="00E9210E">
        <w:t>l</w:t>
      </w:r>
      <w:r w:rsidRPr="00E9210E">
        <w:t>les, 1931), « A.H.E.S. », t. IV (1932), p. 322.</w:t>
      </w:r>
    </w:p>
    <w:p w14:paraId="55E02704" w14:textId="77777777" w:rsidR="00B9662D" w:rsidRPr="00E9210E" w:rsidRDefault="00B9662D" w:rsidP="00B9662D">
      <w:pPr>
        <w:spacing w:before="120" w:after="120"/>
        <w:jc w:val="both"/>
      </w:pPr>
      <w:r w:rsidRPr="00E9210E">
        <w:t xml:space="preserve">Empereur et Khalife. (Compte rendu : F. W. </w:t>
      </w:r>
      <w:r w:rsidRPr="00E9210E">
        <w:rPr>
          <w:rStyle w:val="Corpsdutexte27ptGras"/>
          <w:rFonts w:eastAsia="Courier New"/>
          <w:b w:val="0"/>
          <w:smallCaps/>
          <w:sz w:val="28"/>
        </w:rPr>
        <w:t>Buckler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Harunu’l Rashid and Charles the Great</w:t>
      </w:r>
      <w:r w:rsidRPr="00E9210E">
        <w:rPr>
          <w:rStyle w:val="Corpsdutexte2ItaliqueEspacement0pt"/>
          <w:rFonts w:eastAsia="Courier New"/>
          <w:sz w:val="28"/>
        </w:rPr>
        <w:t>,</w:t>
      </w:r>
      <w:r w:rsidRPr="00E9210E">
        <w:t xml:space="preserve"> Cambridge, 1931), « A.H.E.S. », t. IV (1932), pp. 329-330.</w:t>
      </w:r>
    </w:p>
    <w:p w14:paraId="13459AD9" w14:textId="77777777" w:rsidR="00B9662D" w:rsidRPr="00E9210E" w:rsidRDefault="00B9662D" w:rsidP="00B9662D">
      <w:pPr>
        <w:spacing w:before="120" w:after="120"/>
        <w:jc w:val="both"/>
      </w:pPr>
      <w:r w:rsidRPr="00E9210E">
        <w:t>Une réunion d’historiens en Espagne. (</w:t>
      </w:r>
      <w:r w:rsidRPr="00E9210E">
        <w:rPr>
          <w:rFonts w:eastAsia="Courier New"/>
          <w:i/>
        </w:rPr>
        <w:t>Semaine d’histoire du Droit</w:t>
      </w:r>
      <w:r w:rsidRPr="00E9210E">
        <w:rPr>
          <w:rFonts w:eastAsia="Courier New"/>
        </w:rPr>
        <w:t>,</w:t>
      </w:r>
      <w:r w:rsidRPr="00E9210E">
        <w:rPr>
          <w:rStyle w:val="Corpsdutexte28ptGraschelle120"/>
          <w:rFonts w:eastAsia="Courier New"/>
          <w:sz w:val="28"/>
        </w:rPr>
        <w:t xml:space="preserve"> </w:t>
      </w:r>
      <w:r w:rsidRPr="00E9210E">
        <w:t>tenue à Madrid du 25 avril au 3 mai 1932), « A.H.E.S. », t. IV (1932), p. 385.</w:t>
      </w:r>
    </w:p>
    <w:p w14:paraId="70523AD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Note des directeurs. </w:t>
      </w:r>
      <w:r w:rsidRPr="00E9210E">
        <w:rPr>
          <w:i/>
        </w:rPr>
        <w:t>La crise britannique vue par Mr. Siegfried :</w:t>
      </w:r>
      <w:r w:rsidRPr="00E9210E">
        <w:rPr>
          <w:rStyle w:val="Corpsdutexte385ptEspacement0pt"/>
          <w:rFonts w:eastAsia="Courier New"/>
          <w:i w:val="0"/>
          <w:sz w:val="28"/>
        </w:rPr>
        <w:t xml:space="preserve"> </w:t>
      </w:r>
      <w:r w:rsidRPr="00E9210E">
        <w:rPr>
          <w:i/>
        </w:rPr>
        <w:t>une op</w:t>
      </w:r>
      <w:r w:rsidRPr="00E9210E">
        <w:rPr>
          <w:i/>
        </w:rPr>
        <w:t>i</w:t>
      </w:r>
      <w:r w:rsidRPr="00E9210E">
        <w:rPr>
          <w:i/>
        </w:rPr>
        <w:t>nion d’outre-Manche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A.H.E.S. », t. IV (1932), p. 394.</w:t>
      </w:r>
    </w:p>
    <w:p w14:paraId="1DA92DCB" w14:textId="77777777" w:rsidR="00B9662D" w:rsidRPr="00E9210E" w:rsidRDefault="00B9662D" w:rsidP="00B9662D">
      <w:pPr>
        <w:spacing w:before="120" w:after="120"/>
        <w:jc w:val="both"/>
      </w:pPr>
      <w:r w:rsidRPr="00E9210E">
        <w:t xml:space="preserve">Une plante comme témoin des relations commerciales. (Compte rendu : J. </w:t>
      </w:r>
      <w:r w:rsidRPr="00E9210E">
        <w:rPr>
          <w:rStyle w:val="Corpsdutexte27ptGras"/>
          <w:rFonts w:eastAsia="Courier New"/>
          <w:b w:val="0"/>
          <w:sz w:val="28"/>
        </w:rPr>
        <w:t xml:space="preserve">B. </w:t>
      </w:r>
      <w:r w:rsidRPr="00E9210E">
        <w:rPr>
          <w:rStyle w:val="Corpsdutexte27ptGras"/>
          <w:rFonts w:eastAsia="Courier New"/>
          <w:b w:val="0"/>
          <w:smallCaps/>
          <w:sz w:val="28"/>
        </w:rPr>
        <w:t>Hurry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Woad plant and its dye</w:t>
      </w:r>
      <w:r w:rsidRPr="00E9210E">
        <w:rPr>
          <w:rFonts w:eastAsia="Courier New"/>
        </w:rPr>
        <w:t>,</w:t>
      </w:r>
      <w:r w:rsidRPr="00E9210E">
        <w:rPr>
          <w:rStyle w:val="Corpsdutexte28ptGraschelle120"/>
          <w:rFonts w:eastAsia="Courier New"/>
          <w:sz w:val="28"/>
        </w:rPr>
        <w:t xml:space="preserve"> </w:t>
      </w:r>
      <w:r w:rsidRPr="00E9210E">
        <w:t>Oxford, 1930), « A.H.E.S. », t. IV (1932), pp. 407-408.</w:t>
      </w:r>
    </w:p>
    <w:p w14:paraId="7E4E81CF" w14:textId="77777777" w:rsidR="00B9662D" w:rsidRPr="00E9210E" w:rsidRDefault="00B9662D" w:rsidP="00B9662D">
      <w:pPr>
        <w:spacing w:before="120" w:after="120"/>
        <w:jc w:val="both"/>
      </w:pPr>
      <w:r w:rsidRPr="00E9210E">
        <w:t xml:space="preserve">Le ravitaillement d’une capitale d’Empire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travers les siècles. (Compte rendu : G. I. </w:t>
      </w:r>
      <w:r w:rsidRPr="00E9210E">
        <w:rPr>
          <w:rStyle w:val="Corpsdutexte27ptGras"/>
          <w:rFonts w:eastAsia="Courier New"/>
          <w:b w:val="0"/>
          <w:smallCaps/>
          <w:sz w:val="28"/>
        </w:rPr>
        <w:t>Bratianu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question de l’approvisionnement de Constantinople à l’époque byzantine et ottomane</w:t>
      </w:r>
      <w:r w:rsidRPr="00E9210E">
        <w:rPr>
          <w:rFonts w:eastAsia="Courier New"/>
        </w:rPr>
        <w:t>,</w:t>
      </w:r>
      <w:r w:rsidRPr="00E9210E">
        <w:rPr>
          <w:rStyle w:val="Corpsdutexte28ptGraschelle120"/>
          <w:rFonts w:eastAsia="Courier New"/>
          <w:sz w:val="28"/>
        </w:rPr>
        <w:t xml:space="preserve"> </w:t>
      </w:r>
      <w:r w:rsidRPr="00E9210E">
        <w:t xml:space="preserve">dans </w:t>
      </w:r>
      <w:r w:rsidRPr="00E9210E">
        <w:rPr>
          <w:rFonts w:eastAsia="Courier New"/>
          <w:i/>
        </w:rPr>
        <w:t>Byzantion</w:t>
      </w:r>
      <w:r w:rsidRPr="00E9210E">
        <w:rPr>
          <w:rFonts w:eastAsia="Courier New"/>
        </w:rPr>
        <w:t>,</w:t>
      </w:r>
      <w:r w:rsidRPr="00E9210E">
        <w:rPr>
          <w:rStyle w:val="Corpsdutexte28ptGraschelle120"/>
          <w:rFonts w:eastAsia="Courier New"/>
          <w:sz w:val="28"/>
        </w:rPr>
        <w:t xml:space="preserve"> </w:t>
      </w:r>
      <w:r w:rsidRPr="00E9210E">
        <w:t>t. V (1929-1930), pp. 83-107), « A.H.E.S. », t. IV (1932), p. 408.</w:t>
      </w:r>
    </w:p>
    <w:p w14:paraId="24D6E3D4" w14:textId="77777777" w:rsidR="00B9662D" w:rsidRPr="00E9210E" w:rsidRDefault="00B9662D" w:rsidP="00B9662D">
      <w:pPr>
        <w:spacing w:before="120" w:after="120"/>
        <w:jc w:val="both"/>
      </w:pPr>
      <w:r w:rsidRPr="00E9210E">
        <w:t>Les marchands allemands dans la Suède médiévale. (Compte re</w:t>
      </w:r>
      <w:r w:rsidRPr="00E9210E">
        <w:t>n</w:t>
      </w:r>
      <w:r w:rsidRPr="00E9210E">
        <w:t xml:space="preserve">du : A. </w:t>
      </w:r>
      <w:r w:rsidRPr="00E9210E">
        <w:rPr>
          <w:rStyle w:val="Corpsdutexte27ptGras"/>
          <w:rFonts w:eastAsia="Courier New"/>
          <w:b w:val="0"/>
          <w:smallCaps/>
          <w:sz w:val="28"/>
        </w:rPr>
        <w:t>Schück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deutsche Einwanderung in das mittelalterliche Schweden und ihre kommerziellen und sozialen Folgen,</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Hansi</w:t>
      </w:r>
      <w:r w:rsidRPr="00E9210E">
        <w:rPr>
          <w:rStyle w:val="Corpsdutexte28ptItalique"/>
          <w:rFonts w:eastAsia="Courier New"/>
          <w:sz w:val="28"/>
        </w:rPr>
        <w:t>s</w:t>
      </w:r>
      <w:r w:rsidRPr="00E9210E">
        <w:rPr>
          <w:rStyle w:val="Corpsdutexte28ptItalique"/>
          <w:rFonts w:eastAsia="Courier New"/>
          <w:sz w:val="28"/>
        </w:rPr>
        <w:t>che Geschichtsblätter,</w:t>
      </w:r>
      <w:r w:rsidRPr="00E9210E">
        <w:rPr>
          <w:rStyle w:val="Corpsdutexte28ptGraschelle120"/>
          <w:rFonts w:eastAsia="Courier New"/>
          <w:sz w:val="28"/>
        </w:rPr>
        <w:t xml:space="preserve"> </w:t>
      </w:r>
      <w:r w:rsidRPr="00E9210E">
        <w:t>t. LV (1930), pp. 67-89), « A.H.E.S. », t. IV (1932), pp. 408-409.</w:t>
      </w:r>
    </w:p>
    <w:p w14:paraId="62EEF8A1" w14:textId="77777777" w:rsidR="00B9662D" w:rsidRPr="00E9210E" w:rsidRDefault="00B9662D" w:rsidP="00B9662D">
      <w:pPr>
        <w:spacing w:before="120" w:after="120"/>
        <w:jc w:val="both"/>
      </w:pPr>
      <w:r w:rsidRPr="00E9210E">
        <w:t xml:space="preserve">Comment seigneurs et villes écoulaient leur vin. (Compte rendu : M. </w:t>
      </w:r>
      <w:r w:rsidRPr="00E9210E">
        <w:rPr>
          <w:rStyle w:val="Corpsdutexte27ptGras"/>
          <w:rFonts w:eastAsia="Courier New"/>
          <w:b w:val="0"/>
          <w:smallCaps/>
          <w:sz w:val="28"/>
        </w:rPr>
        <w:t>Moeder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droit de banvin à Mulhouse au Moyen Âge</w:t>
      </w:r>
      <w:r w:rsidRPr="00E9210E">
        <w:rPr>
          <w:rFonts w:eastAsia="Courier New"/>
        </w:rPr>
        <w:t>,</w:t>
      </w:r>
      <w:r w:rsidRPr="00E9210E">
        <w:rPr>
          <w:rStyle w:val="Corpsdutexte28ptGraschelle120"/>
          <w:rFonts w:eastAsia="Courier New"/>
          <w:sz w:val="28"/>
        </w:rPr>
        <w:t xml:space="preserve"> </w:t>
      </w:r>
      <w:r w:rsidRPr="00E9210E">
        <w:t>Mulho</w:t>
      </w:r>
      <w:r w:rsidRPr="00E9210E">
        <w:t>u</w:t>
      </w:r>
      <w:r w:rsidRPr="00E9210E">
        <w:t>se, 1928), « A.H.E.S. », t. IV (1932), pp. 409-410.</w:t>
      </w:r>
    </w:p>
    <w:p w14:paraId="04C536AC" w14:textId="77777777" w:rsidR="00B9662D" w:rsidRPr="00E9210E" w:rsidRDefault="00B9662D" w:rsidP="00B9662D">
      <w:pPr>
        <w:spacing w:before="120" w:after="120"/>
        <w:jc w:val="both"/>
      </w:pPr>
      <w:r w:rsidRPr="00E9210E">
        <w:t xml:space="preserve">Choses de Provence. (Compte rendu : R. </w:t>
      </w:r>
      <w:r w:rsidRPr="00E9210E">
        <w:rPr>
          <w:rStyle w:val="Corpsdutexte27ptGras"/>
          <w:rFonts w:eastAsia="Courier New"/>
          <w:b w:val="0"/>
          <w:smallCaps/>
          <w:sz w:val="28"/>
        </w:rPr>
        <w:t>Busquet</w:t>
      </w:r>
      <w:r w:rsidRPr="00E9210E">
        <w:rPr>
          <w:rStyle w:val="Corpsdutexte27ptGras"/>
          <w:rFonts w:eastAsia="Courier New"/>
          <w:b w:val="0"/>
          <w:i/>
          <w:sz w:val="28"/>
        </w:rPr>
        <w:t>,</w:t>
      </w:r>
      <w:r w:rsidRPr="00E9210E">
        <w:rPr>
          <w:rStyle w:val="Corpsdutexte27ptGras"/>
          <w:rFonts w:eastAsia="Courier New"/>
          <w:i/>
          <w:sz w:val="28"/>
        </w:rPr>
        <w:t xml:space="preserve"> </w:t>
      </w:r>
      <w:r w:rsidRPr="00E9210E">
        <w:rPr>
          <w:rFonts w:eastAsia="Courier New"/>
          <w:i/>
        </w:rPr>
        <w:t>Études</w:t>
      </w:r>
      <w:r w:rsidRPr="00E9210E">
        <w:rPr>
          <w:rFonts w:eastAsia="Courier New"/>
        </w:rPr>
        <w:t xml:space="preserve"> </w:t>
      </w:r>
      <w:r w:rsidRPr="00E9210E">
        <w:rPr>
          <w:rFonts w:eastAsia="Courier New"/>
          <w:i/>
        </w:rPr>
        <w:t>sur l’ancienne Provence :</w:t>
      </w:r>
      <w:r w:rsidRPr="00E9210E">
        <w:rPr>
          <w:rStyle w:val="Corpsdutexte2ItaliqueEspacement0pt"/>
          <w:rFonts w:eastAsia="Courier New"/>
          <w:i w:val="0"/>
          <w:sz w:val="28"/>
        </w:rPr>
        <w:t xml:space="preserve"> </w:t>
      </w:r>
      <w:r w:rsidRPr="00E9210E">
        <w:rPr>
          <w:rFonts w:eastAsia="Courier New"/>
          <w:i/>
        </w:rPr>
        <w:t>institutions et points d’histoire,</w:t>
      </w:r>
      <w:r w:rsidRPr="00E9210E">
        <w:rPr>
          <w:rStyle w:val="Corpsdutexte28ptGraschelle120"/>
          <w:rFonts w:eastAsia="Courier New"/>
          <w:sz w:val="28"/>
        </w:rPr>
        <w:t xml:space="preserve"> </w:t>
      </w:r>
      <w:r w:rsidRPr="00E9210E">
        <w:t>Paris, 1930), « A.H.E.S. », t. IV (1932), pp. 417-418.</w:t>
      </w:r>
    </w:p>
    <w:p w14:paraId="1CCF1378" w14:textId="77777777" w:rsidR="00B9662D" w:rsidRPr="00E9210E" w:rsidRDefault="00B9662D" w:rsidP="00B9662D">
      <w:pPr>
        <w:spacing w:before="120" w:after="120"/>
        <w:jc w:val="both"/>
      </w:pPr>
      <w:r w:rsidRPr="00E9210E">
        <w:t xml:space="preserve">Pour aider à connaître l’histoire régionale : un choix de documents. (Compte rendu : P. </w:t>
      </w:r>
      <w:r w:rsidRPr="00E9210E">
        <w:rPr>
          <w:rStyle w:val="Corpsdutexte27ptGras"/>
          <w:rFonts w:eastAsia="Courier New"/>
          <w:b w:val="0"/>
          <w:smallCaps/>
          <w:sz w:val="28"/>
        </w:rPr>
        <w:t>Thomas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Textes historiques sur Lille et le Nord de la France avant 1789,</w:t>
      </w:r>
      <w:r w:rsidRPr="00E9210E">
        <w:rPr>
          <w:rStyle w:val="Corpsdutexte28ptGraschelle120"/>
          <w:rFonts w:eastAsia="Courier New"/>
          <w:sz w:val="28"/>
        </w:rPr>
        <w:t xml:space="preserve"> </w:t>
      </w:r>
      <w:r w:rsidRPr="00E9210E">
        <w:t>Lille, 1931), « A.H.E.S. », t. IV (1932), p. 418.</w:t>
      </w:r>
    </w:p>
    <w:p w14:paraId="4F2A91C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bourgade médiévale. (Compte rendu : G. </w:t>
      </w:r>
      <w:r w:rsidRPr="00E9210E">
        <w:rPr>
          <w:rStyle w:val="Corpsdutexte37ptGrasNonItalique"/>
          <w:rFonts w:eastAsia="Courier New"/>
          <w:b w:val="0"/>
          <w:i w:val="0"/>
          <w:iCs w:val="0"/>
          <w:smallCaps/>
          <w:sz w:val="28"/>
        </w:rPr>
        <w:t>Estournet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origines historiques de N</w:t>
      </w:r>
      <w:r w:rsidRPr="00E9210E">
        <w:rPr>
          <w:i/>
        </w:rPr>
        <w:t>e</w:t>
      </w:r>
      <w:r w:rsidRPr="00E9210E">
        <w:rPr>
          <w:i/>
        </w:rPr>
        <w:t>mours et sa charte de franchise (1170)</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Annales de la Société hi</w:t>
      </w:r>
      <w:r w:rsidRPr="00E9210E">
        <w:rPr>
          <w:i/>
        </w:rPr>
        <w:t>s</w:t>
      </w:r>
      <w:r w:rsidRPr="00E9210E">
        <w:rPr>
          <w:i/>
        </w:rPr>
        <w:t>torique et archéologique du Gâtinais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XXXIX (1930), pp. 105-158 et 207-253), « A.H.E.S. », t. IV (1932), pp. 418-419.</w:t>
      </w:r>
    </w:p>
    <w:p w14:paraId="2F282995" w14:textId="77777777" w:rsidR="00B9662D" w:rsidRPr="00E9210E" w:rsidRDefault="00B9662D" w:rsidP="00B9662D">
      <w:pPr>
        <w:spacing w:before="120" w:after="120"/>
        <w:jc w:val="both"/>
      </w:pPr>
      <w:r w:rsidRPr="00E9210E">
        <w:t>[1055]</w:t>
      </w:r>
    </w:p>
    <w:p w14:paraId="32D0173D" w14:textId="77777777" w:rsidR="00B9662D" w:rsidRPr="00E9210E" w:rsidRDefault="00B9662D" w:rsidP="00B9662D">
      <w:pPr>
        <w:spacing w:before="120" w:after="120"/>
        <w:jc w:val="both"/>
      </w:pPr>
      <w:r w:rsidRPr="00E9210E">
        <w:t>La société médiévale au pays rémois. (Compte rendu : R. </w:t>
      </w:r>
      <w:r w:rsidRPr="00E9210E">
        <w:rPr>
          <w:rStyle w:val="Corpsdutexte27ptGras"/>
          <w:rFonts w:eastAsia="Courier New"/>
          <w:b w:val="0"/>
          <w:smallCaps/>
          <w:sz w:val="28"/>
        </w:rPr>
        <w:t>Debuisson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Étude sur la condition des personnes et des terres d'après les cout</w:t>
      </w:r>
      <w:r w:rsidRPr="00E9210E">
        <w:rPr>
          <w:rFonts w:eastAsia="Courier New"/>
          <w:i/>
        </w:rPr>
        <w:t>u</w:t>
      </w:r>
      <w:r w:rsidRPr="00E9210E">
        <w:rPr>
          <w:rFonts w:eastAsia="Courier New"/>
          <w:i/>
        </w:rPr>
        <w:t xml:space="preserve">mes de Reims du </w:t>
      </w:r>
      <w:r w:rsidRPr="00E9210E">
        <w:rPr>
          <w:rStyle w:val="Corpsdutexte2ItaliqueEspacement1pt"/>
          <w:rFonts w:eastAsia="Courier New"/>
          <w:sz w:val="28"/>
        </w:rPr>
        <w:t>XII</w:t>
      </w:r>
      <w:r w:rsidRPr="00E9210E">
        <w:rPr>
          <w:rStyle w:val="Corpsdutexte2ItaliqueEspacement1pt"/>
          <w:rFonts w:eastAsia="Courier New"/>
          <w:sz w:val="28"/>
          <w:vertAlign w:val="superscript"/>
        </w:rPr>
        <w:t>e</w:t>
      </w:r>
      <w:r w:rsidRPr="00E9210E">
        <w:rPr>
          <w:rFonts w:eastAsia="Courier New"/>
          <w:i/>
        </w:rPr>
        <w:t xml:space="preserve"> siècle au </w:t>
      </w:r>
      <w:r w:rsidRPr="00E9210E">
        <w:rPr>
          <w:rStyle w:val="Corpsdutexte2ItaliqueEspacement1pt"/>
          <w:rFonts w:eastAsia="Courier New"/>
          <w:sz w:val="28"/>
        </w:rPr>
        <w:t>XVI</w:t>
      </w:r>
      <w:r w:rsidRPr="00E9210E">
        <w:rPr>
          <w:rStyle w:val="Corpsdutexte2ItaliqueEspacement1pt"/>
          <w:rFonts w:eastAsia="Courier New"/>
          <w:sz w:val="28"/>
          <w:vertAlign w:val="superscript"/>
        </w:rPr>
        <w:t>e</w:t>
      </w:r>
      <w:r w:rsidRPr="00E9210E">
        <w:rPr>
          <w:rFonts w:eastAsia="Courier New"/>
          <w:i/>
        </w:rPr>
        <w:t xml:space="preserve"> siècle</w:t>
      </w:r>
      <w:r w:rsidRPr="00E9210E">
        <w:rPr>
          <w:rStyle w:val="Corpsdutexte2ItaliqueEspacement0pt"/>
          <w:rFonts w:eastAsia="Courier New"/>
          <w:sz w:val="28"/>
        </w:rPr>
        <w:t>,</w:t>
      </w:r>
      <w:r w:rsidRPr="00E9210E">
        <w:t xml:space="preserve"> Reims [1930]), « A.H.E.S. », t. IV (1932), pp. 419-420.</w:t>
      </w:r>
    </w:p>
    <w:p w14:paraId="74185E64" w14:textId="77777777" w:rsidR="00B9662D" w:rsidRPr="00E9210E" w:rsidRDefault="00B9662D" w:rsidP="00B9662D">
      <w:pPr>
        <w:spacing w:before="120" w:after="120"/>
        <w:jc w:val="both"/>
      </w:pPr>
      <w:r w:rsidRPr="00E9210E">
        <w:t xml:space="preserve">Affranchissements et transformations de la seigneurie. (Compte rendu : </w:t>
      </w:r>
      <w:r w:rsidRPr="00E9210E">
        <w:rPr>
          <w:rStyle w:val="Corpsdutexte27ptGras"/>
          <w:rFonts w:eastAsia="Courier New"/>
          <w:b w:val="0"/>
          <w:sz w:val="28"/>
        </w:rPr>
        <w:t xml:space="preserve">G. </w:t>
      </w:r>
      <w:r w:rsidRPr="00E9210E">
        <w:rPr>
          <w:rStyle w:val="Corpsdutexte27ptGras"/>
          <w:rFonts w:eastAsia="Courier New"/>
          <w:b w:val="0"/>
          <w:smallCaps/>
          <w:sz w:val="28"/>
        </w:rPr>
        <w:t>Robert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Affranchissements de serfs du prieuré de Novy</w:t>
      </w:r>
      <w:r w:rsidRPr="00E9210E">
        <w:t xml:space="preserve">, dans </w:t>
      </w:r>
      <w:r w:rsidRPr="00E9210E">
        <w:rPr>
          <w:rFonts w:eastAsia="Courier New"/>
          <w:i/>
        </w:rPr>
        <w:t>Nouvelle Revue de Champagne et de Brie</w:t>
      </w:r>
      <w:r w:rsidRPr="00E9210E">
        <w:t>, 1930, p. 217-237), « A.H.E.S. », t. IV (1932), p. 420.</w:t>
      </w:r>
    </w:p>
    <w:p w14:paraId="65EA1D5C" w14:textId="77777777" w:rsidR="00B9662D" w:rsidRPr="00E9210E" w:rsidRDefault="00B9662D" w:rsidP="00B9662D">
      <w:pPr>
        <w:spacing w:before="120" w:after="120"/>
        <w:jc w:val="both"/>
      </w:pPr>
      <w:r w:rsidRPr="00E9210E">
        <w:t xml:space="preserve">Les vicissitudes d’une fortune seigneuriale. (Compte rendu : L. J. </w:t>
      </w:r>
      <w:r w:rsidRPr="00E9210E">
        <w:rPr>
          <w:rStyle w:val="Corpsdutexte27ptGras"/>
          <w:rFonts w:eastAsia="Courier New"/>
          <w:b w:val="0"/>
          <w:smallCaps/>
          <w:sz w:val="28"/>
        </w:rPr>
        <w:t>Thomas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L'héritage de Guillaume de Nogaret</w:t>
      </w:r>
      <w:r w:rsidRPr="00E9210E">
        <w:t>, Montpellier, 1928), « A.H.E.S. », t. IV (1932), p. 421.</w:t>
      </w:r>
    </w:p>
    <w:p w14:paraId="61753600" w14:textId="77777777" w:rsidR="00B9662D" w:rsidRPr="00E9210E" w:rsidRDefault="00B9662D" w:rsidP="00B9662D">
      <w:pPr>
        <w:spacing w:before="120" w:after="120"/>
        <w:jc w:val="both"/>
      </w:pPr>
      <w:r w:rsidRPr="00E9210E">
        <w:t xml:space="preserve">Noblesse et terre noble. (Compte rendu : </w:t>
      </w:r>
      <w:r w:rsidRPr="00E9210E">
        <w:rPr>
          <w:rStyle w:val="Corpsdutexte27ptGras"/>
          <w:rFonts w:eastAsia="Courier New"/>
          <w:b w:val="0"/>
          <w:sz w:val="28"/>
        </w:rPr>
        <w:t>H.</w:t>
      </w:r>
      <w:r w:rsidRPr="00E9210E">
        <w:rPr>
          <w:rStyle w:val="Corpsdutexte27ptGras"/>
          <w:rFonts w:eastAsia="Courier New"/>
          <w:sz w:val="28"/>
        </w:rPr>
        <w:t xml:space="preserve"> </w:t>
      </w:r>
      <w:r w:rsidRPr="00E9210E">
        <w:t xml:space="preserve">du </w:t>
      </w:r>
      <w:r w:rsidRPr="00E9210E">
        <w:rPr>
          <w:rStyle w:val="Corpsdutexte27ptGras"/>
          <w:rFonts w:eastAsia="Courier New"/>
          <w:b w:val="0"/>
          <w:smallCaps/>
          <w:sz w:val="28"/>
        </w:rPr>
        <w:t>Halgouët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Div</w:t>
      </w:r>
      <w:r w:rsidRPr="00E9210E">
        <w:rPr>
          <w:rFonts w:eastAsia="Courier New"/>
          <w:i/>
        </w:rPr>
        <w:t>i</w:t>
      </w:r>
      <w:r w:rsidRPr="00E9210E">
        <w:rPr>
          <w:rFonts w:eastAsia="Courier New"/>
          <w:i/>
        </w:rPr>
        <w:t>sion de la propriété noble en Bretagne</w:t>
      </w:r>
      <w:r w:rsidRPr="00E9210E">
        <w:t xml:space="preserve">, dans </w:t>
      </w:r>
      <w:r w:rsidRPr="00E9210E">
        <w:rPr>
          <w:rFonts w:eastAsia="Courier New"/>
        </w:rPr>
        <w:t>Mém. de la Soc. d'histo</w:t>
      </w:r>
      <w:r w:rsidRPr="00E9210E">
        <w:rPr>
          <w:rFonts w:eastAsia="Courier New"/>
        </w:rPr>
        <w:t>i</w:t>
      </w:r>
      <w:r w:rsidRPr="00E9210E">
        <w:rPr>
          <w:rFonts w:eastAsia="Courier New"/>
        </w:rPr>
        <w:t>re et d'a</w:t>
      </w:r>
      <w:r w:rsidRPr="00E9210E">
        <w:rPr>
          <w:rFonts w:eastAsia="Courier New"/>
        </w:rPr>
        <w:t>r</w:t>
      </w:r>
      <w:r w:rsidRPr="00E9210E">
        <w:rPr>
          <w:rFonts w:eastAsia="Courier New"/>
        </w:rPr>
        <w:t>chéologie de Bretagne</w:t>
      </w:r>
      <w:r w:rsidRPr="00E9210E">
        <w:rPr>
          <w:rStyle w:val="Corpsdutexte2ItaliqueEspacement0pt"/>
          <w:rFonts w:eastAsia="Courier New"/>
          <w:sz w:val="28"/>
        </w:rPr>
        <w:t xml:space="preserve">, </w:t>
      </w:r>
      <w:r w:rsidRPr="00E9210E">
        <w:t>t. X (1929), pp. 27-44), « A.H.E.S. », t. IV (1932), p. 421-422.</w:t>
      </w:r>
    </w:p>
    <w:p w14:paraId="68A58732" w14:textId="77777777" w:rsidR="00B9662D" w:rsidRPr="00E9210E" w:rsidRDefault="00B9662D" w:rsidP="00B9662D">
      <w:pPr>
        <w:spacing w:before="120" w:after="120"/>
        <w:jc w:val="both"/>
      </w:pPr>
      <w:r w:rsidRPr="00E9210E">
        <w:rPr>
          <w:rFonts w:eastAsia="Courier New"/>
          <w:iCs/>
        </w:rPr>
        <w:t>Une seigneurie au XVII</w:t>
      </w:r>
      <w:r w:rsidRPr="00E9210E">
        <w:rPr>
          <w:rFonts w:eastAsia="Courier New"/>
          <w:iCs/>
          <w:vertAlign w:val="superscript"/>
        </w:rPr>
        <w:t>e</w:t>
      </w:r>
      <w:r w:rsidRPr="00E9210E">
        <w:rPr>
          <w:rFonts w:eastAsia="Courier New"/>
          <w:iCs/>
        </w:rPr>
        <w:t xml:space="preserve"> siècle. (Compte rendu : J. </w:t>
      </w:r>
      <w:r w:rsidRPr="00E9210E">
        <w:rPr>
          <w:rStyle w:val="Corpsdutexte107ptGrasNonItalique"/>
          <w:rFonts w:eastAsia="Courier New"/>
          <w:b w:val="0"/>
          <w:i w:val="0"/>
          <w:iCs w:val="0"/>
          <w:smallCaps/>
          <w:sz w:val="28"/>
        </w:rPr>
        <w:t>Lemoine</w:t>
      </w:r>
      <w:r w:rsidRPr="00E9210E">
        <w:rPr>
          <w:rStyle w:val="Corpsdutexte107ptGrasNonItalique"/>
          <w:rFonts w:eastAsia="Courier New"/>
          <w:iCs w:val="0"/>
          <w:sz w:val="28"/>
        </w:rPr>
        <w:t xml:space="preserve"> </w:t>
      </w:r>
      <w:r w:rsidRPr="00E9210E">
        <w:rPr>
          <w:rFonts w:eastAsia="Courier New"/>
          <w:iCs/>
        </w:rPr>
        <w:t>et H.</w:t>
      </w:r>
      <w:r w:rsidRPr="00E9210E">
        <w:rPr>
          <w:rFonts w:eastAsia="Courier New"/>
          <w:i/>
          <w:iCs/>
        </w:rPr>
        <w:t> </w:t>
      </w:r>
      <w:r w:rsidRPr="00E9210E">
        <w:rPr>
          <w:rStyle w:val="Corpsdutexte107ptGrasNonItalique"/>
          <w:rFonts w:eastAsia="Courier New"/>
          <w:b w:val="0"/>
          <w:i w:val="0"/>
          <w:iCs w:val="0"/>
          <w:smallCaps/>
          <w:sz w:val="28"/>
        </w:rPr>
        <w:t>Bourde de la Rogerie</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 xml:space="preserve">Madame de Sévigné aux Rochers : le livre de comptes de l'abbé Rahuel </w:t>
      </w:r>
      <w:r w:rsidRPr="00E9210E">
        <w:rPr>
          <w:rFonts w:eastAsia="Courier New"/>
          <w:i/>
        </w:rPr>
        <w:t>(1669-1676</w:t>
      </w:r>
      <w:r w:rsidRPr="00E9210E">
        <w:rPr>
          <w:rFonts w:eastAsia="Courier New"/>
        </w:rPr>
        <w:t>),</w:t>
      </w:r>
      <w:r w:rsidRPr="00E9210E">
        <w:rPr>
          <w:rFonts w:eastAsia="Courier New"/>
          <w:i/>
          <w:iCs/>
        </w:rPr>
        <w:t xml:space="preserve"> </w:t>
      </w:r>
      <w:r w:rsidRPr="00E9210E">
        <w:rPr>
          <w:rFonts w:eastAsia="Courier New"/>
          <w:iCs/>
        </w:rPr>
        <w:t>dans</w:t>
      </w:r>
      <w:r w:rsidRPr="00E9210E">
        <w:rPr>
          <w:rFonts w:eastAsia="Courier New"/>
          <w:i/>
          <w:iCs/>
        </w:rPr>
        <w:t xml:space="preserve"> </w:t>
      </w:r>
      <w:r w:rsidRPr="00E9210E">
        <w:rPr>
          <w:i/>
        </w:rPr>
        <w:t>Bulletin et Mémoires de la Société Archéologique du département d'Ille-et-Vilaine</w:t>
      </w:r>
      <w:r w:rsidRPr="00E9210E">
        <w:rPr>
          <w:rFonts w:eastAsia="Courier New"/>
          <w:iCs/>
        </w:rPr>
        <w:t>, t. LIII), « A.H.E.S. », t. IV (1932), pp. 422-423.</w:t>
      </w:r>
    </w:p>
    <w:p w14:paraId="31408A44" w14:textId="77777777" w:rsidR="00B9662D" w:rsidRPr="00E9210E" w:rsidRDefault="00B9662D" w:rsidP="00B9662D">
      <w:pPr>
        <w:spacing w:before="120" w:after="120"/>
        <w:jc w:val="both"/>
      </w:pPr>
      <w:r w:rsidRPr="00E9210E">
        <w:t xml:space="preserve">Une gentilhommière de l’Angoumois. (Compte rendu : P. </w:t>
      </w:r>
      <w:r w:rsidRPr="00E9210E">
        <w:rPr>
          <w:smallCaps/>
        </w:rPr>
        <w:t xml:space="preserve">du </w:t>
      </w:r>
      <w:r w:rsidRPr="00E9210E">
        <w:rPr>
          <w:rStyle w:val="Corpsdutexte27ptGras"/>
          <w:rFonts w:eastAsia="Courier New"/>
          <w:b w:val="0"/>
          <w:smallCaps/>
          <w:sz w:val="28"/>
        </w:rPr>
        <w:t>Chambon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rPr>
        <w:t>L</w:t>
      </w:r>
      <w:r w:rsidRPr="00E9210E">
        <w:rPr>
          <w:rFonts w:eastAsia="Courier New"/>
          <w:i/>
        </w:rPr>
        <w:t>a</w:t>
      </w:r>
      <w:r w:rsidRPr="00E9210E">
        <w:rPr>
          <w:rStyle w:val="Corpsdutexte28ptGraschelle120"/>
          <w:rFonts w:eastAsia="Courier New"/>
          <w:i/>
          <w:sz w:val="28"/>
        </w:rPr>
        <w:t xml:space="preserve"> </w:t>
      </w:r>
      <w:r w:rsidRPr="00E9210E">
        <w:rPr>
          <w:i/>
        </w:rPr>
        <w:t>« </w:t>
      </w:r>
      <w:r w:rsidRPr="00E9210E">
        <w:rPr>
          <w:rFonts w:eastAsia="Courier New"/>
          <w:i/>
        </w:rPr>
        <w:t>forteresse</w:t>
      </w:r>
      <w:r w:rsidRPr="00E9210E">
        <w:rPr>
          <w:rStyle w:val="Corpsdutexte28ptGraschelle120"/>
          <w:rFonts w:eastAsia="Courier New"/>
          <w:i/>
          <w:sz w:val="28"/>
        </w:rPr>
        <w:t> »</w:t>
      </w:r>
      <w:r w:rsidRPr="00E9210E">
        <w:rPr>
          <w:i/>
        </w:rPr>
        <w:t xml:space="preserve"> </w:t>
      </w:r>
      <w:r w:rsidRPr="00E9210E">
        <w:rPr>
          <w:rFonts w:eastAsia="Courier New"/>
          <w:i/>
        </w:rPr>
        <w:t>charentaise d'Alfred de Vigny (Le Ma</w:t>
      </w:r>
      <w:r w:rsidRPr="00E9210E">
        <w:rPr>
          <w:rFonts w:eastAsia="Courier New"/>
          <w:i/>
        </w:rPr>
        <w:t>i</w:t>
      </w:r>
      <w:r w:rsidRPr="00E9210E">
        <w:rPr>
          <w:rFonts w:eastAsia="Courier New"/>
          <w:i/>
        </w:rPr>
        <w:t>ne-Giraud),</w:t>
      </w:r>
      <w:r w:rsidRPr="00E9210E">
        <w:rPr>
          <w:rStyle w:val="Corpsdutexte28ptGraschelle120"/>
          <w:rFonts w:eastAsia="Courier New"/>
          <w:i/>
          <w:sz w:val="28"/>
        </w:rPr>
        <w:t xml:space="preserve"> </w:t>
      </w:r>
      <w:r w:rsidRPr="00E9210E">
        <w:rPr>
          <w:i/>
        </w:rPr>
        <w:t>Ruffec, 1931),</w:t>
      </w:r>
      <w:r w:rsidRPr="00E9210E">
        <w:t xml:space="preserve"> « A.H.E.S. », t. IV (1932), p. 423.</w:t>
      </w:r>
    </w:p>
    <w:p w14:paraId="14052B45" w14:textId="77777777" w:rsidR="00B9662D" w:rsidRPr="00E9210E" w:rsidRDefault="00B9662D" w:rsidP="00B9662D">
      <w:pPr>
        <w:spacing w:before="120" w:after="120"/>
        <w:jc w:val="both"/>
      </w:pPr>
      <w:r w:rsidRPr="00E9210E">
        <w:t xml:space="preserve">Les Lucquois en France. (Compte rendu : L. </w:t>
      </w:r>
      <w:r w:rsidRPr="00E9210E">
        <w:rPr>
          <w:rStyle w:val="Corpsdutexte27ptGras"/>
          <w:rFonts w:eastAsia="Courier New"/>
          <w:b w:val="0"/>
          <w:smallCaps/>
          <w:sz w:val="28"/>
        </w:rPr>
        <w:t>Mirot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Études lu</w:t>
      </w:r>
      <w:r w:rsidRPr="00E9210E">
        <w:rPr>
          <w:rFonts w:eastAsia="Courier New"/>
          <w:i/>
        </w:rPr>
        <w:t>c</w:t>
      </w:r>
      <w:r w:rsidRPr="00E9210E">
        <w:rPr>
          <w:rFonts w:eastAsia="Courier New"/>
          <w:i/>
        </w:rPr>
        <w:t>quo</w:t>
      </w:r>
      <w:r w:rsidRPr="00E9210E">
        <w:rPr>
          <w:rFonts w:eastAsia="Courier New"/>
          <w:i/>
        </w:rPr>
        <w:t>i</w:t>
      </w:r>
      <w:r w:rsidRPr="00E9210E">
        <w:rPr>
          <w:rFonts w:eastAsia="Courier New"/>
          <w:i/>
        </w:rPr>
        <w:t>ses</w:t>
      </w:r>
      <w:r w:rsidRPr="00E9210E">
        <w:rPr>
          <w:i/>
        </w:rPr>
        <w:t xml:space="preserve">, </w:t>
      </w:r>
      <w:r w:rsidRPr="00E9210E">
        <w:t>Paris, 1930), « A.H.E.S. », t. IV (1932), p. 424-425.</w:t>
      </w:r>
    </w:p>
    <w:p w14:paraId="2559C45E" w14:textId="77777777" w:rsidR="00B9662D" w:rsidRPr="00E9210E" w:rsidRDefault="00B9662D" w:rsidP="00B9662D">
      <w:pPr>
        <w:spacing w:before="120" w:after="120"/>
        <w:jc w:val="both"/>
      </w:pPr>
      <w:r w:rsidRPr="00E9210E">
        <w:t xml:space="preserve">Quelques régions rurales, dans le présent et le passé. (Quelques comptes rendus concernant les </w:t>
      </w:r>
      <w:r w:rsidRPr="00E9210E">
        <w:rPr>
          <w:rFonts w:eastAsia="Courier New"/>
          <w:i/>
        </w:rPr>
        <w:t>Annales de Géograp</w:t>
      </w:r>
      <w:r w:rsidRPr="00E9210E">
        <w:rPr>
          <w:rFonts w:eastAsia="Courier New"/>
        </w:rPr>
        <w:t>hie</w:t>
      </w:r>
      <w:r w:rsidRPr="00E9210E">
        <w:t>, numéro du 15 mai 1931), « A.H.E.S. », t. IV (1932), pp. 426-427.</w:t>
      </w:r>
    </w:p>
    <w:p w14:paraId="7FCF1CDE" w14:textId="77777777" w:rsidR="00B9662D" w:rsidRPr="00E9210E" w:rsidRDefault="00B9662D" w:rsidP="00B9662D">
      <w:pPr>
        <w:spacing w:before="120" w:after="120"/>
        <w:jc w:val="both"/>
      </w:pPr>
      <w:r w:rsidRPr="00E9210E">
        <w:t xml:space="preserve">Un coin du Bourbonnais. (Compte rendu : L. </w:t>
      </w:r>
      <w:r w:rsidRPr="00E9210E">
        <w:rPr>
          <w:rStyle w:val="Corpsdutexte27ptGras"/>
          <w:rFonts w:eastAsia="Courier New"/>
          <w:b w:val="0"/>
          <w:smallCaps/>
          <w:sz w:val="28"/>
        </w:rPr>
        <w:t>Guillot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Forte</w:t>
      </w:r>
      <w:r w:rsidRPr="00E9210E">
        <w:rPr>
          <w:rFonts w:eastAsia="Courier New"/>
          <w:i/>
        </w:rPr>
        <w:t>r</w:t>
      </w:r>
      <w:r w:rsidRPr="00E9210E">
        <w:rPr>
          <w:rFonts w:eastAsia="Courier New"/>
          <w:i/>
        </w:rPr>
        <w:t>re :</w:t>
      </w:r>
      <w:r w:rsidRPr="00E9210E">
        <w:rPr>
          <w:rStyle w:val="Corpsdutexte2ItaliqueEspacement0pt"/>
          <w:rFonts w:eastAsia="Courier New"/>
          <w:i w:val="0"/>
          <w:sz w:val="28"/>
        </w:rPr>
        <w:t xml:space="preserve"> </w:t>
      </w:r>
      <w:r w:rsidRPr="00E9210E">
        <w:rPr>
          <w:rFonts w:eastAsia="Courier New"/>
          <w:i/>
        </w:rPr>
        <w:t>son agriculture</w:t>
      </w:r>
      <w:r w:rsidRPr="00E9210E">
        <w:rPr>
          <w:rFonts w:eastAsia="Courier New"/>
        </w:rPr>
        <w:t xml:space="preserve">. </w:t>
      </w:r>
      <w:r w:rsidRPr="00E9210E">
        <w:t>Moulins, 1930), « A.H.E.S. », t. IV (1932), p. 428.</w:t>
      </w:r>
    </w:p>
    <w:p w14:paraId="47935EDE" w14:textId="77777777" w:rsidR="00B9662D" w:rsidRPr="00E9210E" w:rsidRDefault="00B9662D" w:rsidP="00B9662D">
      <w:pPr>
        <w:spacing w:before="120" w:after="120"/>
        <w:jc w:val="both"/>
      </w:pPr>
      <w:r w:rsidRPr="00E9210E">
        <w:rPr>
          <w:rFonts w:eastAsia="Courier New"/>
          <w:iCs/>
        </w:rPr>
        <w:t>Dans l’Italie médiévale : finances d’État et capitalisme. (Comptes rendus : B.</w:t>
      </w:r>
      <w:r w:rsidRPr="00E9210E">
        <w:rPr>
          <w:rFonts w:eastAsia="Courier New"/>
          <w:i/>
          <w:iCs/>
        </w:rPr>
        <w:t xml:space="preserve"> </w:t>
      </w:r>
      <w:r w:rsidRPr="00E9210E">
        <w:rPr>
          <w:rStyle w:val="Corpsdutexte107ptGrasNonItalique"/>
          <w:rFonts w:eastAsia="Courier New"/>
          <w:b w:val="0"/>
          <w:i w:val="0"/>
          <w:iCs w:val="0"/>
          <w:smallCaps/>
          <w:sz w:val="28"/>
        </w:rPr>
        <w:t>Barbadoro</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Le finanze della repubblica fiorentina : i</w:t>
      </w:r>
      <w:r w:rsidRPr="00E9210E">
        <w:rPr>
          <w:i/>
        </w:rPr>
        <w:t>m</w:t>
      </w:r>
      <w:r w:rsidRPr="00E9210E">
        <w:rPr>
          <w:i/>
        </w:rPr>
        <w:t>posta diretta e debito pubblico fino ail'istituzione del Monte</w:t>
      </w:r>
      <w:r w:rsidRPr="00E9210E">
        <w:t>,</w:t>
      </w:r>
      <w:r w:rsidRPr="00E9210E">
        <w:rPr>
          <w:rStyle w:val="Corpsdutexte108ptGrasNonItaliquechelle120"/>
          <w:rFonts w:eastAsia="Courier New"/>
          <w:i w:val="0"/>
          <w:iCs w:val="0"/>
          <w:sz w:val="28"/>
        </w:rPr>
        <w:t xml:space="preserve"> </w:t>
      </w:r>
      <w:r w:rsidRPr="00E9210E">
        <w:rPr>
          <w:rFonts w:eastAsia="Courier New"/>
          <w:iCs/>
        </w:rPr>
        <w:t>Flore</w:t>
      </w:r>
      <w:r w:rsidRPr="00E9210E">
        <w:rPr>
          <w:rFonts w:eastAsia="Courier New"/>
          <w:iCs/>
        </w:rPr>
        <w:t>n</w:t>
      </w:r>
      <w:r w:rsidRPr="00E9210E">
        <w:rPr>
          <w:rFonts w:eastAsia="Courier New"/>
          <w:iCs/>
        </w:rPr>
        <w:t>ce, 1929.</w:t>
      </w:r>
      <w:r w:rsidRPr="00E9210E">
        <w:rPr>
          <w:rFonts w:eastAsia="Courier New"/>
          <w:i/>
          <w:iCs/>
        </w:rPr>
        <w:t> — </w:t>
      </w:r>
      <w:r w:rsidRPr="00E9210E">
        <w:rPr>
          <w:rStyle w:val="Corpsdutexte107ptGrasNonItalique"/>
          <w:rFonts w:eastAsia="Courier New"/>
          <w:b w:val="0"/>
          <w:i w:val="0"/>
          <w:iCs w:val="0"/>
          <w:sz w:val="28"/>
        </w:rPr>
        <w:t xml:space="preserve">G. </w:t>
      </w:r>
      <w:r w:rsidRPr="00E9210E">
        <w:rPr>
          <w:rStyle w:val="Corpsdutexte107ptGrasNonItalique"/>
          <w:rFonts w:eastAsia="Courier New"/>
          <w:b w:val="0"/>
          <w:i w:val="0"/>
          <w:iCs w:val="0"/>
          <w:smallCaps/>
          <w:sz w:val="28"/>
        </w:rPr>
        <w:t>Luzzato</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 xml:space="preserve">Il debito pubblico nel sisteme finanziario veneziano del sec. </w:t>
      </w:r>
      <w:r w:rsidRPr="00E9210E">
        <w:rPr>
          <w:rFonts w:eastAsia="Courier New"/>
          <w:i/>
        </w:rPr>
        <w:t>XIII-XIV</w:t>
      </w:r>
      <w:r w:rsidRPr="00E9210E">
        <w:rPr>
          <w:rFonts w:eastAsia="Courier New"/>
        </w:rPr>
        <w:t>,</w:t>
      </w:r>
      <w:r w:rsidRPr="00E9210E">
        <w:rPr>
          <w:rStyle w:val="Corpsdutexte108ptGrasNonItaliquechelle120"/>
          <w:rFonts w:eastAsia="Courier New"/>
          <w:i w:val="0"/>
          <w:iCs w:val="0"/>
          <w:sz w:val="28"/>
        </w:rPr>
        <w:t xml:space="preserve"> </w:t>
      </w:r>
      <w:r w:rsidRPr="00E9210E">
        <w:rPr>
          <w:rFonts w:eastAsia="Courier New"/>
          <w:iCs/>
        </w:rPr>
        <w:t>dans</w:t>
      </w:r>
      <w:r w:rsidRPr="00E9210E">
        <w:rPr>
          <w:rFonts w:eastAsia="Courier New"/>
          <w:i/>
          <w:iCs/>
        </w:rPr>
        <w:t xml:space="preserve"> </w:t>
      </w:r>
      <w:r w:rsidRPr="00E9210E">
        <w:rPr>
          <w:i/>
        </w:rPr>
        <w:t>Nuova Rivista</w:t>
      </w:r>
      <w:r w:rsidRPr="00E9210E">
        <w:t xml:space="preserve"> storica, </w:t>
      </w:r>
      <w:r w:rsidRPr="00E9210E">
        <w:rPr>
          <w:rFonts w:eastAsia="Courier New"/>
          <w:iCs/>
        </w:rPr>
        <w:t>t. XIII (1929), p. 623-637</w:t>
      </w:r>
      <w:r w:rsidRPr="00E9210E">
        <w:rPr>
          <w:rFonts w:eastAsia="Courier New"/>
          <w:i/>
          <w:iCs/>
        </w:rPr>
        <w:t>. — </w:t>
      </w:r>
      <w:r w:rsidRPr="00E9210E">
        <w:rPr>
          <w:rStyle w:val="Corpsdutexte107ptGrasNonItalique"/>
          <w:rFonts w:eastAsia="Courier New"/>
          <w:b w:val="0"/>
          <w:i w:val="0"/>
          <w:iCs w:val="0"/>
          <w:sz w:val="28"/>
        </w:rPr>
        <w:t xml:space="preserve">G. </w:t>
      </w:r>
      <w:r w:rsidRPr="00E9210E">
        <w:rPr>
          <w:rStyle w:val="Corpsdutexte107ptGrasNonItalique"/>
          <w:rFonts w:eastAsia="Courier New"/>
          <w:b w:val="0"/>
          <w:i w:val="0"/>
          <w:iCs w:val="0"/>
          <w:smallCaps/>
          <w:sz w:val="28"/>
        </w:rPr>
        <w:t>Biscaro</w:t>
      </w:r>
      <w:r w:rsidRPr="00E9210E">
        <w:rPr>
          <w:rStyle w:val="Corpsdutexte107ptGrasNonItalique"/>
          <w:rFonts w:eastAsia="Courier New"/>
          <w:b w:val="0"/>
          <w:i w:val="0"/>
          <w:iCs w:val="0"/>
          <w:sz w:val="28"/>
        </w:rPr>
        <w:t xml:space="preserve">, </w:t>
      </w:r>
      <w:r w:rsidRPr="00E9210E">
        <w:rPr>
          <w:i/>
        </w:rPr>
        <w:t xml:space="preserve">Gli estimi del comune di Milano nel secolo </w:t>
      </w:r>
      <w:r w:rsidRPr="00E9210E">
        <w:rPr>
          <w:rFonts w:eastAsia="Courier New"/>
          <w:i/>
        </w:rPr>
        <w:t>XIII</w:t>
      </w:r>
      <w:r w:rsidRPr="00E9210E">
        <w:rPr>
          <w:rFonts w:eastAsia="Courier New"/>
          <w:i/>
          <w:iCs/>
        </w:rPr>
        <w:t xml:space="preserve">, </w:t>
      </w:r>
      <w:r w:rsidRPr="00E9210E">
        <w:rPr>
          <w:rFonts w:eastAsia="Courier New"/>
          <w:iCs/>
        </w:rPr>
        <w:t xml:space="preserve">dans </w:t>
      </w:r>
      <w:r w:rsidRPr="00E9210E">
        <w:rPr>
          <w:i/>
        </w:rPr>
        <w:t>Archivio storico lombardo</w:t>
      </w:r>
      <w:r w:rsidRPr="00E9210E">
        <w:t>,</w:t>
      </w:r>
      <w:r w:rsidRPr="00E9210E">
        <w:rPr>
          <w:rStyle w:val="Corpsdutexte108ptGrasNonItaliquechelle120"/>
          <w:rFonts w:eastAsia="Courier New"/>
          <w:i w:val="0"/>
          <w:iCs w:val="0"/>
          <w:sz w:val="28"/>
        </w:rPr>
        <w:t xml:space="preserve"> </w:t>
      </w:r>
      <w:r w:rsidRPr="00E9210E">
        <w:rPr>
          <w:rFonts w:eastAsia="Courier New"/>
          <w:iCs/>
        </w:rPr>
        <w:t>1928, p. 343-495), « A.H.E.S. », t. IV (1932), pp. 431-432.</w:t>
      </w:r>
    </w:p>
    <w:p w14:paraId="7BAB4BFA" w14:textId="77777777" w:rsidR="00B9662D" w:rsidRPr="00E9210E" w:rsidRDefault="00B9662D" w:rsidP="00B9662D">
      <w:pPr>
        <w:spacing w:before="120" w:after="120"/>
        <w:jc w:val="both"/>
      </w:pPr>
      <w:r w:rsidRPr="00E9210E">
        <w:t xml:space="preserve">Compte rendu : </w:t>
      </w:r>
      <w:r w:rsidRPr="00E9210E">
        <w:rPr>
          <w:rFonts w:eastAsia="Courier New"/>
          <w:i/>
        </w:rPr>
        <w:t>La statistique agricole annuelle</w:t>
      </w:r>
      <w:r w:rsidRPr="00E9210E">
        <w:rPr>
          <w:rStyle w:val="Corpsdutexte28ptGraschelle120"/>
          <w:rFonts w:eastAsia="Courier New"/>
          <w:sz w:val="28"/>
        </w:rPr>
        <w:t xml:space="preserve"> </w:t>
      </w:r>
      <w:r w:rsidRPr="00E9210E">
        <w:t>(année 1929), « A.H.E.S. », t. IV (1932), p. 470.</w:t>
      </w:r>
    </w:p>
    <w:p w14:paraId="758EB425" w14:textId="77777777" w:rsidR="00B9662D" w:rsidRPr="00E9210E" w:rsidRDefault="00B9662D" w:rsidP="00B9662D">
      <w:pPr>
        <w:spacing w:before="120" w:after="120"/>
        <w:jc w:val="both"/>
      </w:pPr>
      <w:r w:rsidRPr="00E9210E">
        <w:t xml:space="preserve">Deux siècles d’histoire médiévale. (Compte rendu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t>A. </w:t>
      </w:r>
      <w:r w:rsidRPr="00E9210E">
        <w:rPr>
          <w:rStyle w:val="Corpsdutexte27ptGras"/>
          <w:rFonts w:eastAsia="Courier New"/>
          <w:b w:val="0"/>
          <w:smallCaps/>
          <w:sz w:val="28"/>
        </w:rPr>
        <w:t>Renaudet</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E. </w:t>
      </w:r>
      <w:r w:rsidRPr="00E9210E">
        <w:rPr>
          <w:rStyle w:val="Corpsdutexte27ptGras"/>
          <w:rFonts w:eastAsia="Courier New"/>
          <w:b w:val="0"/>
          <w:smallCaps/>
          <w:sz w:val="28"/>
        </w:rPr>
        <w:t>Perroy</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M. </w:t>
      </w:r>
      <w:r w:rsidRPr="00E9210E">
        <w:rPr>
          <w:rStyle w:val="Corpsdutexte27ptGras"/>
          <w:rFonts w:eastAsia="Courier New"/>
          <w:b w:val="0"/>
          <w:smallCaps/>
          <w:sz w:val="28"/>
        </w:rPr>
        <w:t>Handelsman</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L. </w:t>
      </w:r>
      <w:r w:rsidRPr="00E9210E">
        <w:rPr>
          <w:rStyle w:val="Corpsdutexte27ptGras"/>
          <w:rFonts w:eastAsia="Courier New"/>
          <w:b w:val="0"/>
          <w:smallCaps/>
          <w:sz w:val="28"/>
        </w:rPr>
        <w:t>Halphen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fin du Moyen Age</w:t>
      </w:r>
      <w:r w:rsidRPr="00E9210E">
        <w:rPr>
          <w:rFonts w:eastAsia="Courier New"/>
        </w:rPr>
        <w:t>...,</w:t>
      </w:r>
      <w:r w:rsidRPr="00E9210E">
        <w:rPr>
          <w:rStyle w:val="Corpsdutexte28ptGraschelle120"/>
          <w:rFonts w:eastAsia="Courier New"/>
          <w:sz w:val="28"/>
        </w:rPr>
        <w:t xml:space="preserve"> </w:t>
      </w:r>
      <w:r w:rsidRPr="00E9210E">
        <w:t>2 vol., P</w:t>
      </w:r>
      <w:r w:rsidRPr="00E9210E">
        <w:t>a</w:t>
      </w:r>
      <w:r w:rsidRPr="00E9210E">
        <w:t>ris, 1931. — </w:t>
      </w:r>
      <w:r w:rsidRPr="00E9210E">
        <w:rPr>
          <w:rFonts w:eastAsia="Courier New"/>
          <w:i/>
        </w:rPr>
        <w:t>Peuples et civilisations</w:t>
      </w:r>
      <w:r w:rsidRPr="00E9210E">
        <w:rPr>
          <w:rFonts w:eastAsia="Courier New"/>
        </w:rPr>
        <w:t>...,</w:t>
      </w:r>
      <w:r w:rsidRPr="00E9210E">
        <w:rPr>
          <w:rStyle w:val="Corpsdutexte28ptGraschelle120"/>
          <w:rFonts w:eastAsia="Courier New"/>
          <w:sz w:val="28"/>
        </w:rPr>
        <w:t xml:space="preserve"> </w:t>
      </w:r>
      <w:r w:rsidRPr="00E9210E">
        <w:t xml:space="preserve">publ. sous la direction de L. </w:t>
      </w:r>
      <w:r w:rsidRPr="00E9210E">
        <w:rPr>
          <w:rStyle w:val="Corpsdutexte27ptGras"/>
          <w:rFonts w:eastAsia="Courier New"/>
          <w:b w:val="0"/>
          <w:smallCaps/>
          <w:sz w:val="28"/>
        </w:rPr>
        <w:t>Halphen</w:t>
      </w:r>
      <w:r w:rsidRPr="00E9210E">
        <w:rPr>
          <w:rStyle w:val="Corpsdutexte27ptGras"/>
          <w:rFonts w:eastAsia="Courier New"/>
          <w:sz w:val="28"/>
        </w:rPr>
        <w:t xml:space="preserve"> </w:t>
      </w:r>
      <w:r w:rsidRPr="00E9210E">
        <w:t xml:space="preserve">et Ph. </w:t>
      </w:r>
      <w:r w:rsidRPr="00E9210E">
        <w:rPr>
          <w:rStyle w:val="Corpsdutexte27ptGras"/>
          <w:rFonts w:eastAsia="Courier New"/>
          <w:b w:val="0"/>
          <w:smallCaps/>
          <w:sz w:val="28"/>
        </w:rPr>
        <w:t>Sagnac</w:t>
      </w:r>
      <w:r w:rsidRPr="00E9210E">
        <w:rPr>
          <w:rStyle w:val="Corpsdutexte27ptGras"/>
          <w:rFonts w:eastAsia="Courier New"/>
          <w:b w:val="0"/>
          <w:sz w:val="28"/>
        </w:rPr>
        <w:t>),</w:t>
      </w:r>
      <w:r w:rsidRPr="00E9210E">
        <w:rPr>
          <w:rStyle w:val="Corpsdutexte27ptGras"/>
          <w:rFonts w:eastAsia="Courier New"/>
          <w:sz w:val="28"/>
        </w:rPr>
        <w:t xml:space="preserve"> </w:t>
      </w:r>
      <w:r w:rsidRPr="00E9210E">
        <w:t>« A.H.E.S. », t. IV (1932), p. 471.</w:t>
      </w:r>
    </w:p>
    <w:p w14:paraId="7EA1F915" w14:textId="77777777" w:rsidR="00B9662D" w:rsidRPr="00E9210E" w:rsidRDefault="00B9662D" w:rsidP="00B9662D">
      <w:pPr>
        <w:spacing w:before="120" w:after="120"/>
        <w:jc w:val="both"/>
      </w:pPr>
      <w:r w:rsidRPr="00E9210E">
        <w:t xml:space="preserve">Deux synthèses : Islam et Russie. (Compte rendu : </w:t>
      </w:r>
      <w:r w:rsidRPr="00E9210E">
        <w:rPr>
          <w:rFonts w:eastAsia="Courier New"/>
          <w:i/>
        </w:rPr>
        <w:t>Le monde m</w:t>
      </w:r>
      <w:r w:rsidRPr="00E9210E">
        <w:rPr>
          <w:rFonts w:eastAsia="Courier New"/>
          <w:i/>
        </w:rPr>
        <w:t>u</w:t>
      </w:r>
      <w:r w:rsidRPr="00E9210E">
        <w:rPr>
          <w:rFonts w:eastAsia="Courier New"/>
          <w:i/>
        </w:rPr>
        <w:t>sulman et byzantin jusqu'aux croisades</w:t>
      </w:r>
      <w:r w:rsidRPr="00E9210E">
        <w:rPr>
          <w:rFonts w:eastAsia="Courier New"/>
        </w:rPr>
        <w:t>,</w:t>
      </w:r>
      <w:r w:rsidRPr="00E9210E">
        <w:rPr>
          <w:rStyle w:val="Corpsdutexte28ptGraschelle120"/>
          <w:rFonts w:eastAsia="Courier New"/>
          <w:sz w:val="28"/>
        </w:rPr>
        <w:t xml:space="preserve"> </w:t>
      </w:r>
      <w:r w:rsidRPr="00E9210E">
        <w:t xml:space="preserve">coll. </w:t>
      </w:r>
      <w:r w:rsidRPr="00E9210E">
        <w:rPr>
          <w:rFonts w:eastAsia="Courier New"/>
          <w:i/>
        </w:rPr>
        <w:t>Histoire du mond</w:t>
      </w:r>
      <w:r w:rsidRPr="00E9210E">
        <w:rPr>
          <w:rFonts w:eastAsia="Courier New"/>
        </w:rPr>
        <w:t>e,</w:t>
      </w:r>
      <w:r w:rsidRPr="00E9210E">
        <w:rPr>
          <w:rStyle w:val="Corpsdutexte28ptGraschelle120"/>
          <w:rFonts w:eastAsia="Courier New"/>
          <w:sz w:val="28"/>
        </w:rPr>
        <w:t xml:space="preserve"> </w:t>
      </w:r>
      <w:r w:rsidRPr="00E9210E">
        <w:t>t. VII</w:t>
      </w:r>
      <w:r w:rsidRPr="00E9210E">
        <w:rPr>
          <w:vertAlign w:val="superscript"/>
        </w:rPr>
        <w:t>1</w:t>
      </w:r>
      <w:r w:rsidRPr="00E9210E">
        <w:t xml:space="preserve">, publ. sous la direction de E. </w:t>
      </w:r>
      <w:r w:rsidRPr="00E9210E">
        <w:rPr>
          <w:rStyle w:val="Corpsdutexte27ptGras"/>
          <w:rFonts w:eastAsia="Courier New"/>
          <w:b w:val="0"/>
          <w:smallCaps/>
          <w:sz w:val="28"/>
        </w:rPr>
        <w:t>Cavaignac</w:t>
      </w:r>
      <w:r w:rsidRPr="00E9210E">
        <w:rPr>
          <w:rStyle w:val="Corpsdutexte27ptGras"/>
          <w:rFonts w:eastAsia="Courier New"/>
          <w:b w:val="0"/>
          <w:sz w:val="28"/>
        </w:rPr>
        <w:t>,</w:t>
      </w:r>
      <w:r w:rsidRPr="00E9210E">
        <w:rPr>
          <w:rStyle w:val="Corpsdutexte27ptGras"/>
          <w:rFonts w:eastAsia="Courier New"/>
          <w:sz w:val="28"/>
        </w:rPr>
        <w:t xml:space="preserve"> </w:t>
      </w:r>
      <w:r w:rsidRPr="00E9210E">
        <w:t>Paris, 1931), « A.H.E.S. », t. IV (1932), p. 471-473.</w:t>
      </w:r>
    </w:p>
    <w:p w14:paraId="26DD8E65" w14:textId="77777777" w:rsidR="00B9662D" w:rsidRPr="00E9210E" w:rsidRDefault="00B9662D" w:rsidP="00B9662D">
      <w:pPr>
        <w:spacing w:before="120" w:after="120"/>
        <w:jc w:val="both"/>
      </w:pPr>
      <w:r w:rsidRPr="00E9210E">
        <w:t xml:space="preserve">Compte rendu : Deux nouveaux volumes des </w:t>
      </w:r>
      <w:r w:rsidRPr="00E9210E">
        <w:rPr>
          <w:rFonts w:eastAsia="Courier New"/>
          <w:i/>
        </w:rPr>
        <w:t>Hansische Geschic</w:t>
      </w:r>
      <w:r w:rsidRPr="00E9210E">
        <w:rPr>
          <w:rFonts w:eastAsia="Courier New"/>
          <w:i/>
        </w:rPr>
        <w:t>h</w:t>
      </w:r>
      <w:r w:rsidRPr="00E9210E">
        <w:rPr>
          <w:rFonts w:eastAsia="Courier New"/>
          <w:i/>
        </w:rPr>
        <w:t>tsblätter</w:t>
      </w:r>
      <w:r w:rsidRPr="00E9210E">
        <w:rPr>
          <w:rStyle w:val="Corpsdutexte28ptGraschelle120"/>
          <w:rFonts w:eastAsia="Courier New"/>
          <w:sz w:val="28"/>
        </w:rPr>
        <w:t xml:space="preserve"> </w:t>
      </w:r>
      <w:r w:rsidRPr="00E9210E">
        <w:t>(t. 55 (1930) et t. 56 (1931), Lübeck, 1932), « A.H.E.S. », t. IV (1932), p. 473-474.</w:t>
      </w:r>
    </w:p>
    <w:p w14:paraId="1CAC8499" w14:textId="77777777" w:rsidR="00B9662D" w:rsidRPr="00E9210E" w:rsidRDefault="00B9662D" w:rsidP="00B9662D">
      <w:pPr>
        <w:spacing w:before="120" w:after="120"/>
        <w:jc w:val="both"/>
      </w:pPr>
      <w:r w:rsidRPr="00E9210E">
        <w:t xml:space="preserve">Une histoire d’Espagne. (Compte rendu : </w:t>
      </w:r>
      <w:r w:rsidRPr="00E9210E">
        <w:rPr>
          <w:rStyle w:val="Corpsdutexte27ptGras"/>
          <w:rFonts w:eastAsia="Courier New"/>
          <w:b w:val="0"/>
          <w:sz w:val="28"/>
        </w:rPr>
        <w:t xml:space="preserve">R. </w:t>
      </w:r>
      <w:r w:rsidRPr="00E9210E">
        <w:rPr>
          <w:rStyle w:val="Corpsdutexte27ptGras"/>
          <w:rFonts w:eastAsia="Courier New"/>
          <w:b w:val="0"/>
          <w:smallCaps/>
          <w:sz w:val="28"/>
        </w:rPr>
        <w:t>Altamira y Crevea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d'Espagne</w:t>
      </w:r>
      <w:r w:rsidRPr="00E9210E">
        <w:rPr>
          <w:rFonts w:eastAsia="Courier New"/>
        </w:rPr>
        <w:t xml:space="preserve">, </w:t>
      </w:r>
      <w:r w:rsidRPr="00E9210E">
        <w:t>Paris, 1931), « A.H.E.S. », t. IV (1932), p. 474.</w:t>
      </w:r>
    </w:p>
    <w:p w14:paraId="21679523" w14:textId="77777777" w:rsidR="00B9662D" w:rsidRPr="00E9210E" w:rsidRDefault="00B9662D" w:rsidP="00B9662D">
      <w:pPr>
        <w:spacing w:before="120" w:after="120"/>
        <w:jc w:val="both"/>
      </w:pPr>
      <w:r w:rsidRPr="00E9210E">
        <w:t xml:space="preserve">Les sociétés rurales. (Compte rendu : P. A. </w:t>
      </w:r>
      <w:r w:rsidRPr="00E9210E">
        <w:rPr>
          <w:rStyle w:val="Corpsdutexte27ptGras"/>
          <w:rFonts w:eastAsia="Courier New"/>
          <w:b w:val="0"/>
          <w:smallCaps/>
          <w:sz w:val="28"/>
        </w:rPr>
        <w:t>Sorokin</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C. C. </w:t>
      </w:r>
      <w:r w:rsidRPr="00E9210E">
        <w:rPr>
          <w:rStyle w:val="Corpsdutexte27ptGras"/>
          <w:rFonts w:eastAsia="Courier New"/>
          <w:b w:val="0"/>
          <w:smallCaps/>
          <w:sz w:val="28"/>
        </w:rPr>
        <w:t>Zi</w:t>
      </w:r>
      <w:r w:rsidRPr="00E9210E">
        <w:rPr>
          <w:rStyle w:val="Corpsdutexte27ptGras"/>
          <w:rFonts w:eastAsia="Courier New"/>
          <w:b w:val="0"/>
          <w:smallCaps/>
          <w:sz w:val="28"/>
        </w:rPr>
        <w:t>m</w:t>
      </w:r>
      <w:r w:rsidRPr="00E9210E">
        <w:rPr>
          <w:rStyle w:val="Corpsdutexte27ptGras"/>
          <w:rFonts w:eastAsia="Courier New"/>
          <w:b w:val="0"/>
          <w:smallCaps/>
          <w:sz w:val="28"/>
        </w:rPr>
        <w:t>mermann</w:t>
      </w:r>
      <w:r w:rsidRPr="00E9210E">
        <w:rPr>
          <w:rStyle w:val="Corpsdutexte27ptGras"/>
          <w:rFonts w:eastAsia="Courier New"/>
          <w:sz w:val="28"/>
        </w:rPr>
        <w:t xml:space="preserve"> </w:t>
      </w:r>
      <w:r w:rsidRPr="00E9210E">
        <w:t xml:space="preserve">et Ch. J. </w:t>
      </w:r>
      <w:r w:rsidRPr="00E9210E">
        <w:rPr>
          <w:rStyle w:val="Corpsdutexte27ptGras"/>
          <w:rFonts w:eastAsia="Courier New"/>
          <w:b w:val="0"/>
          <w:smallCaps/>
          <w:sz w:val="28"/>
        </w:rPr>
        <w:t>Galpin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 systematic</w:t>
      </w:r>
      <w:r w:rsidRPr="00E9210E">
        <w:rPr>
          <w:rFonts w:eastAsia="Courier New"/>
        </w:rPr>
        <w:t xml:space="preserve"> </w:t>
      </w:r>
      <w:r w:rsidRPr="00E9210E">
        <w:rPr>
          <w:rFonts w:eastAsia="Courier New"/>
          <w:i/>
        </w:rPr>
        <w:t>Source Book in rural soci</w:t>
      </w:r>
      <w:r w:rsidRPr="00E9210E">
        <w:rPr>
          <w:rFonts w:eastAsia="Courier New"/>
          <w:i/>
        </w:rPr>
        <w:t>o</w:t>
      </w:r>
      <w:r w:rsidRPr="00E9210E">
        <w:rPr>
          <w:rFonts w:eastAsia="Courier New"/>
          <w:i/>
        </w:rPr>
        <w:t>logy</w:t>
      </w:r>
      <w:r w:rsidRPr="00E9210E">
        <w:rPr>
          <w:rFonts w:eastAsia="Courier New"/>
        </w:rPr>
        <w:t>,</w:t>
      </w:r>
      <w:r w:rsidRPr="00E9210E">
        <w:rPr>
          <w:rStyle w:val="Corpsdutexte28ptGraschelle120"/>
          <w:rFonts w:eastAsia="Courier New"/>
          <w:sz w:val="28"/>
        </w:rPr>
        <w:t xml:space="preserve"> </w:t>
      </w:r>
      <w:r w:rsidRPr="00E9210E">
        <w:t>t. I, Minne</w:t>
      </w:r>
      <w:r w:rsidRPr="00E9210E">
        <w:t>a</w:t>
      </w:r>
      <w:r w:rsidRPr="00E9210E">
        <w:t>polis, 1930), « A.H.E.S. », t. IV (1932), p. 475.</w:t>
      </w:r>
    </w:p>
    <w:p w14:paraId="1DD111FF" w14:textId="77777777" w:rsidR="00B9662D" w:rsidRPr="00E9210E" w:rsidRDefault="00B9662D" w:rsidP="00B9662D">
      <w:pPr>
        <w:spacing w:before="120" w:after="120"/>
        <w:jc w:val="both"/>
      </w:pPr>
      <w:r>
        <w:br w:type="page"/>
      </w:r>
      <w:r w:rsidRPr="00E9210E">
        <w:t>[1056]</w:t>
      </w:r>
    </w:p>
    <w:p w14:paraId="78AC128A"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Fonts w:eastAsia="Courier New"/>
          <w:i/>
        </w:rPr>
        <w:t>La bibliographie lorraine</w:t>
      </w:r>
      <w:r w:rsidRPr="00E9210E">
        <w:rPr>
          <w:rFonts w:eastAsia="Courier New"/>
        </w:rPr>
        <w:t>,</w:t>
      </w:r>
      <w:r w:rsidRPr="00E9210E">
        <w:rPr>
          <w:rStyle w:val="Corpsdutexte28ptGraschelle120"/>
          <w:rFonts w:eastAsia="Courier New"/>
          <w:sz w:val="28"/>
        </w:rPr>
        <w:t xml:space="preserve"> </w:t>
      </w:r>
      <w:r w:rsidRPr="00E9210E">
        <w:t>t. IX (1</w:t>
      </w:r>
      <w:r w:rsidRPr="00E9210E">
        <w:rPr>
          <w:vertAlign w:val="superscript"/>
        </w:rPr>
        <w:t>er</w:t>
      </w:r>
      <w:r w:rsidRPr="00E9210E">
        <w:t xml:space="preserve"> janv. 1926-31 déc. 1927), Nancy, 1930, « A.H.E.S. », t. IV (1932), p. 477.</w:t>
      </w:r>
    </w:p>
    <w:p w14:paraId="7C502D18" w14:textId="77777777" w:rsidR="00B9662D" w:rsidRPr="00E9210E" w:rsidRDefault="00B9662D" w:rsidP="00B9662D">
      <w:pPr>
        <w:spacing w:before="120" w:after="120"/>
        <w:jc w:val="both"/>
      </w:pPr>
      <w:r w:rsidRPr="00E9210E">
        <w:rPr>
          <w:rFonts w:eastAsia="Courier New"/>
          <w:iCs/>
        </w:rPr>
        <w:t>Problèmes d’histoire des techniques. (Comptes rendus :</w:t>
      </w:r>
      <w:r w:rsidRPr="00E9210E">
        <w:rPr>
          <w:rStyle w:val="Corpsdutexte108ptGrasNonItaliquechelle120"/>
          <w:rFonts w:eastAsia="Courier New"/>
          <w:iCs w:val="0"/>
          <w:sz w:val="28"/>
        </w:rPr>
        <w:t xml:space="preserve"> </w:t>
      </w:r>
      <w:r w:rsidRPr="00E9210E">
        <w:rPr>
          <w:rFonts w:eastAsia="Courier New"/>
          <w:iCs/>
        </w:rPr>
        <w:t>Fr.</w:t>
      </w:r>
      <w:r w:rsidRPr="00E9210E">
        <w:rPr>
          <w:rFonts w:eastAsia="Courier New"/>
          <w:i/>
          <w:iCs/>
        </w:rPr>
        <w:t> </w:t>
      </w:r>
      <w:r w:rsidRPr="00E9210E">
        <w:rPr>
          <w:rStyle w:val="Corpsdutexte107ptGrasNonItalique"/>
          <w:rFonts w:eastAsia="Courier New"/>
          <w:b w:val="0"/>
          <w:i w:val="0"/>
          <w:iCs w:val="0"/>
          <w:smallCaps/>
          <w:sz w:val="28"/>
        </w:rPr>
        <w:t>Feldhaus</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Die Technik der Antike und des Mittelalters</w:t>
      </w:r>
      <w:r w:rsidRPr="00E9210E">
        <w:rPr>
          <w:rStyle w:val="Corpsdutexte108ptGrasNonItaliquechelle120"/>
          <w:rFonts w:eastAsia="Courier New"/>
          <w:i w:val="0"/>
          <w:iCs w:val="0"/>
          <w:sz w:val="28"/>
        </w:rPr>
        <w:t xml:space="preserve">, </w:t>
      </w:r>
      <w:r w:rsidRPr="00E9210E">
        <w:rPr>
          <w:rFonts w:eastAsia="Courier New"/>
          <w:iCs/>
        </w:rPr>
        <w:t>Potsdam, [1931]. — Cdt</w:t>
      </w:r>
      <w:r w:rsidRPr="00E9210E">
        <w:rPr>
          <w:rFonts w:eastAsia="Courier New"/>
          <w:i/>
          <w:iCs/>
        </w:rPr>
        <w:t xml:space="preserve"> </w:t>
      </w:r>
      <w:r w:rsidRPr="00E9210E">
        <w:rPr>
          <w:rStyle w:val="Corpsdutexte107ptGrasNonItalique"/>
          <w:rFonts w:eastAsia="Courier New"/>
          <w:b w:val="0"/>
          <w:i w:val="0"/>
          <w:iCs w:val="0"/>
          <w:smallCaps/>
          <w:sz w:val="28"/>
        </w:rPr>
        <w:t>Lefebvre des Noëttes</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L’attelage</w:t>
      </w:r>
      <w:r w:rsidRPr="00E9210E">
        <w:t xml:space="preserve">, </w:t>
      </w:r>
      <w:r w:rsidRPr="00E9210E">
        <w:rPr>
          <w:i/>
        </w:rPr>
        <w:t>le</w:t>
      </w:r>
      <w:r w:rsidRPr="00E9210E">
        <w:t xml:space="preserve"> </w:t>
      </w:r>
      <w:r w:rsidRPr="00E9210E">
        <w:rPr>
          <w:i/>
        </w:rPr>
        <w:t>cheval de selle à travers les âges</w:t>
      </w:r>
      <w:r w:rsidRPr="00E9210E">
        <w:rPr>
          <w:rStyle w:val="Corpsdutexte108ptGrasNonItaliquechelle120"/>
          <w:rFonts w:eastAsia="Courier New"/>
          <w:i w:val="0"/>
          <w:iCs w:val="0"/>
          <w:sz w:val="28"/>
        </w:rPr>
        <w:t xml:space="preserve">. </w:t>
      </w:r>
      <w:r w:rsidRPr="00E9210E">
        <w:rPr>
          <w:i/>
        </w:rPr>
        <w:t>Contrib</w:t>
      </w:r>
      <w:r w:rsidRPr="00E9210E">
        <w:rPr>
          <w:i/>
        </w:rPr>
        <w:t>u</w:t>
      </w:r>
      <w:r w:rsidRPr="00E9210E">
        <w:rPr>
          <w:i/>
        </w:rPr>
        <w:t>tion à l’histoire de l’esclavage</w:t>
      </w:r>
      <w:r w:rsidRPr="00E9210E">
        <w:t xml:space="preserve">, </w:t>
      </w:r>
      <w:r w:rsidRPr="00E9210E">
        <w:rPr>
          <w:rFonts w:eastAsia="Courier New"/>
          <w:iCs/>
        </w:rPr>
        <w:t>Paris, 1931.</w:t>
      </w:r>
      <w:r w:rsidRPr="00E9210E">
        <w:rPr>
          <w:rFonts w:eastAsia="Courier New"/>
          <w:i/>
          <w:iCs/>
        </w:rPr>
        <w:t> — </w:t>
      </w:r>
      <w:r w:rsidRPr="00E9210E">
        <w:rPr>
          <w:rFonts w:eastAsia="Courier New"/>
          <w:iCs/>
        </w:rPr>
        <w:t>D</w:t>
      </w:r>
      <w:r w:rsidRPr="00E9210E">
        <w:rPr>
          <w:rFonts w:eastAsia="Courier New"/>
          <w:iCs/>
          <w:vertAlign w:val="superscript"/>
        </w:rPr>
        <w:t>r</w:t>
      </w:r>
      <w:r w:rsidRPr="00E9210E">
        <w:rPr>
          <w:rFonts w:eastAsia="Courier New"/>
          <w:iCs/>
        </w:rPr>
        <w:t xml:space="preserve"> Ch. </w:t>
      </w:r>
      <w:r w:rsidRPr="00E9210E">
        <w:rPr>
          <w:rStyle w:val="Corpsdutexte107ptGrasNonItalique"/>
          <w:rFonts w:eastAsia="Courier New"/>
          <w:b w:val="0"/>
          <w:i w:val="0"/>
          <w:iCs w:val="0"/>
          <w:smallCaps/>
          <w:sz w:val="28"/>
        </w:rPr>
        <w:t>Blondel</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Fragments philosophiques sur l’homme et la connaissance</w:t>
      </w:r>
      <w:r w:rsidRPr="00E9210E">
        <w:rPr>
          <w:rStyle w:val="Corpsdutexte108ptGrasNonItaliquechelle120"/>
          <w:rFonts w:eastAsia="Courier New"/>
          <w:i w:val="0"/>
          <w:iCs w:val="0"/>
          <w:sz w:val="28"/>
        </w:rPr>
        <w:t xml:space="preserve">, </w:t>
      </w:r>
      <w:r w:rsidRPr="00E9210E">
        <w:rPr>
          <w:rFonts w:eastAsia="Courier New"/>
          <w:iCs/>
        </w:rPr>
        <w:t xml:space="preserve">Paris, 1931), </w:t>
      </w:r>
      <w:r w:rsidRPr="00E9210E">
        <w:rPr>
          <w:rStyle w:val="Corpsdutexte108ptGrasNonItaliquechelle120"/>
          <w:rFonts w:eastAsia="Courier New"/>
          <w:iCs w:val="0"/>
          <w:sz w:val="28"/>
        </w:rPr>
        <w:t>« </w:t>
      </w:r>
      <w:r w:rsidRPr="00E9210E">
        <w:rPr>
          <w:rFonts w:eastAsia="Courier New"/>
          <w:iCs/>
        </w:rPr>
        <w:t>A.H.E.S. »</w:t>
      </w:r>
      <w:r w:rsidRPr="00E9210E">
        <w:rPr>
          <w:rStyle w:val="Corpsdutexte108ptGrasNonItaliquechelle120"/>
          <w:rFonts w:eastAsia="Courier New"/>
          <w:iCs w:val="0"/>
          <w:sz w:val="28"/>
        </w:rPr>
        <w:t xml:space="preserve">, </w:t>
      </w:r>
      <w:r w:rsidRPr="00E9210E">
        <w:rPr>
          <w:rFonts w:eastAsia="Courier New"/>
          <w:iCs/>
        </w:rPr>
        <w:t>t. IV (1932), pp. 482-486.</w:t>
      </w:r>
    </w:p>
    <w:p w14:paraId="2ADEE064" w14:textId="77777777" w:rsidR="00B9662D" w:rsidRPr="00E9210E" w:rsidRDefault="00B9662D" w:rsidP="00B9662D">
      <w:pPr>
        <w:spacing w:before="120" w:after="120"/>
        <w:jc w:val="both"/>
      </w:pPr>
      <w:r w:rsidRPr="00E9210E">
        <w:rPr>
          <w:rFonts w:eastAsia="Courier New"/>
          <w:iCs/>
        </w:rPr>
        <w:t>Régions naturelles et groupes sociaux. (Comptes rendus :</w:t>
      </w:r>
      <w:r w:rsidRPr="00E9210E">
        <w:rPr>
          <w:rStyle w:val="Corpsdutexte107ptGrasNonItalique"/>
          <w:rFonts w:eastAsia="Courier New"/>
          <w:i w:val="0"/>
          <w:iCs w:val="0"/>
          <w:sz w:val="28"/>
        </w:rPr>
        <w:t xml:space="preserve"> </w:t>
      </w:r>
      <w:r w:rsidRPr="00E9210E">
        <w:rPr>
          <w:rStyle w:val="Corpsdutexte107ptGrasNonItalique"/>
          <w:rFonts w:eastAsia="Courier New"/>
          <w:b w:val="0"/>
          <w:i w:val="0"/>
          <w:iCs w:val="0"/>
          <w:smallCaps/>
          <w:sz w:val="28"/>
        </w:rPr>
        <w:t>Union géographique internationale,</w:t>
      </w:r>
      <w:r w:rsidRPr="00E9210E">
        <w:rPr>
          <w:rStyle w:val="Corpsdutexte107ptGrasNonItalique"/>
          <w:rFonts w:eastAsia="Courier New"/>
          <w:i w:val="0"/>
          <w:iCs w:val="0"/>
          <w:sz w:val="28"/>
        </w:rPr>
        <w:t xml:space="preserve"> </w:t>
      </w:r>
      <w:r w:rsidRPr="00E9210E">
        <w:rPr>
          <w:i/>
        </w:rPr>
        <w:t>Congrès international de géogr</w:t>
      </w:r>
      <w:r w:rsidRPr="00E9210E">
        <w:rPr>
          <w:i/>
        </w:rPr>
        <w:t>a</w:t>
      </w:r>
      <w:r w:rsidRPr="00E9210E">
        <w:rPr>
          <w:i/>
        </w:rPr>
        <w:t>phie</w:t>
      </w:r>
      <w:r w:rsidRPr="00E9210E">
        <w:rPr>
          <w:rStyle w:val="Corpsdutexte108ptGrasNonItaliquechelle120"/>
          <w:rFonts w:eastAsia="Courier New"/>
          <w:i w:val="0"/>
          <w:iCs w:val="0"/>
          <w:sz w:val="28"/>
        </w:rPr>
        <w:t xml:space="preserve">, </w:t>
      </w:r>
      <w:r w:rsidRPr="00E9210E">
        <w:rPr>
          <w:rFonts w:eastAsia="Courier New"/>
          <w:iCs/>
        </w:rPr>
        <w:t>Paris, septembre 1931 et</w:t>
      </w:r>
      <w:r w:rsidRPr="00E9210E">
        <w:rPr>
          <w:rFonts w:eastAsia="Courier New"/>
          <w:i/>
          <w:iCs/>
        </w:rPr>
        <w:t xml:space="preserve"> </w:t>
      </w:r>
      <w:r w:rsidRPr="00E9210E">
        <w:rPr>
          <w:i/>
        </w:rPr>
        <w:t>Troisième rapport de la commission de l’habitat rural prép</w:t>
      </w:r>
      <w:r w:rsidRPr="00E9210E">
        <w:rPr>
          <w:i/>
        </w:rPr>
        <w:t>a</w:t>
      </w:r>
      <w:r w:rsidRPr="00E9210E">
        <w:rPr>
          <w:i/>
        </w:rPr>
        <w:t>ré pour le congrès international de géographie</w:t>
      </w:r>
      <w:r w:rsidRPr="00E9210E">
        <w:rPr>
          <w:rStyle w:val="Corpsdutexte108ptGrasNonItaliquechelle120"/>
          <w:rFonts w:eastAsia="Courier New"/>
          <w:i w:val="0"/>
          <w:iCs w:val="0"/>
          <w:sz w:val="28"/>
        </w:rPr>
        <w:t xml:space="preserve">, </w:t>
      </w:r>
      <w:r w:rsidRPr="00E9210E">
        <w:rPr>
          <w:rFonts w:eastAsia="Courier New"/>
          <w:iCs/>
        </w:rPr>
        <w:t>par A.</w:t>
      </w:r>
      <w:r w:rsidRPr="00E9210E">
        <w:rPr>
          <w:rFonts w:eastAsia="Courier New"/>
          <w:i/>
          <w:iCs/>
        </w:rPr>
        <w:t xml:space="preserve"> </w:t>
      </w:r>
      <w:r w:rsidRPr="00E9210E">
        <w:rPr>
          <w:rStyle w:val="Corpsdutexte107ptGrasNonItalique"/>
          <w:rFonts w:eastAsia="Courier New"/>
          <w:b w:val="0"/>
          <w:i w:val="0"/>
          <w:iCs w:val="0"/>
          <w:smallCaps/>
          <w:sz w:val="28"/>
        </w:rPr>
        <w:t>Demangeon</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rFonts w:eastAsia="Courier New"/>
          <w:iCs/>
        </w:rPr>
        <w:t>Paris, 1931.</w:t>
      </w:r>
      <w:r w:rsidRPr="00E9210E">
        <w:rPr>
          <w:rFonts w:eastAsia="Courier New"/>
          <w:i/>
          <w:iCs/>
        </w:rPr>
        <w:t> — </w:t>
      </w:r>
      <w:r w:rsidRPr="00E9210E">
        <w:rPr>
          <w:rFonts w:eastAsia="Courier New"/>
          <w:iCs/>
        </w:rPr>
        <w:t>A</w:t>
      </w:r>
      <w:r w:rsidRPr="00E9210E">
        <w:rPr>
          <w:rFonts w:eastAsia="Courier New"/>
          <w:i/>
          <w:iCs/>
        </w:rPr>
        <w:t xml:space="preserve">. </w:t>
      </w:r>
      <w:r w:rsidRPr="00E9210E">
        <w:rPr>
          <w:rStyle w:val="Corpsdutexte107ptGrasNonItalique"/>
          <w:rFonts w:eastAsia="Courier New"/>
          <w:b w:val="0"/>
          <w:i w:val="0"/>
          <w:iCs w:val="0"/>
          <w:smallCaps/>
          <w:sz w:val="28"/>
        </w:rPr>
        <w:t>Meynier</w:t>
      </w:r>
      <w:r w:rsidRPr="00E9210E">
        <w:rPr>
          <w:rStyle w:val="Corpsdutexte107ptGrasNonItalique"/>
          <w:rFonts w:eastAsia="Courier New"/>
          <w:b w:val="0"/>
          <w:i w:val="0"/>
          <w:iCs w:val="0"/>
          <w:sz w:val="28"/>
        </w:rPr>
        <w:t xml:space="preserve">, </w:t>
      </w:r>
      <w:r w:rsidRPr="00E9210E">
        <w:rPr>
          <w:rFonts w:eastAsia="Courier New"/>
          <w:i/>
          <w:iCs/>
        </w:rPr>
        <w:t xml:space="preserve">À </w:t>
      </w:r>
      <w:r w:rsidRPr="00E9210E">
        <w:rPr>
          <w:i/>
        </w:rPr>
        <w:t>travers le Massif Central : Ségalas, Levézou, Ch</w:t>
      </w:r>
      <w:r w:rsidRPr="00E9210E">
        <w:rPr>
          <w:i/>
        </w:rPr>
        <w:t>â</w:t>
      </w:r>
      <w:r w:rsidRPr="00E9210E">
        <w:rPr>
          <w:i/>
        </w:rPr>
        <w:t>taigneraie</w:t>
      </w:r>
      <w:r w:rsidRPr="00E9210E">
        <w:rPr>
          <w:rStyle w:val="Corpsdutexte108ptGrasNonItaliquechelle120"/>
          <w:rFonts w:eastAsia="Courier New"/>
          <w:i w:val="0"/>
          <w:iCs w:val="0"/>
          <w:sz w:val="28"/>
        </w:rPr>
        <w:t xml:space="preserve">, </w:t>
      </w:r>
      <w:r w:rsidRPr="00E9210E">
        <w:rPr>
          <w:rFonts w:eastAsia="Courier New"/>
          <w:iCs/>
        </w:rPr>
        <w:t>Aurillac, 1931. — FI.</w:t>
      </w:r>
      <w:r w:rsidRPr="00E9210E">
        <w:rPr>
          <w:rFonts w:eastAsia="Courier New"/>
          <w:i/>
          <w:iCs/>
        </w:rPr>
        <w:t xml:space="preserve"> </w:t>
      </w:r>
      <w:r w:rsidRPr="00E9210E">
        <w:rPr>
          <w:rStyle w:val="Corpsdutexte107ptGrasNonItalique"/>
          <w:rFonts w:eastAsia="Courier New"/>
          <w:b w:val="0"/>
          <w:i w:val="0"/>
          <w:iCs w:val="0"/>
          <w:smallCaps/>
          <w:sz w:val="28"/>
        </w:rPr>
        <w:t>Cavaillès</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La vie pastorale et agricole dans les Pyrénées des Gaves, de l’Adour et des Nestes</w:t>
      </w:r>
      <w:r w:rsidRPr="00E9210E">
        <w:t>,</w:t>
      </w:r>
      <w:r w:rsidRPr="00E9210E">
        <w:rPr>
          <w:rStyle w:val="Corpsdutexte108ptGrasNonItaliquechelle120"/>
          <w:rFonts w:eastAsia="Courier New"/>
          <w:i w:val="0"/>
          <w:iCs w:val="0"/>
          <w:sz w:val="28"/>
        </w:rPr>
        <w:t xml:space="preserve"> </w:t>
      </w:r>
      <w:r w:rsidRPr="00E9210E">
        <w:rPr>
          <w:rFonts w:eastAsia="Courier New"/>
          <w:iCs/>
        </w:rPr>
        <w:t>Paris, 1931, et</w:t>
      </w:r>
      <w:r w:rsidRPr="00E9210E">
        <w:rPr>
          <w:rFonts w:eastAsia="Courier New"/>
          <w:i/>
          <w:iCs/>
        </w:rPr>
        <w:t xml:space="preserve"> </w:t>
      </w:r>
      <w:r w:rsidRPr="00E9210E">
        <w:rPr>
          <w:i/>
        </w:rPr>
        <w:t>La transhumance pyrénéenne et la circulation des troupeaux dans les plaines de Gascogne</w:t>
      </w:r>
      <w:r w:rsidRPr="00E9210E">
        <w:rPr>
          <w:rStyle w:val="Corpsdutexte108ptGrasNonItaliquechelle120"/>
          <w:rFonts w:eastAsia="Courier New"/>
          <w:i w:val="0"/>
          <w:iCs w:val="0"/>
          <w:sz w:val="28"/>
        </w:rPr>
        <w:t xml:space="preserve">, </w:t>
      </w:r>
      <w:r w:rsidRPr="00E9210E">
        <w:rPr>
          <w:rFonts w:eastAsia="Courier New"/>
          <w:iCs/>
        </w:rPr>
        <w:t>Paris, 1931</w:t>
      </w:r>
      <w:r w:rsidRPr="00E9210E">
        <w:rPr>
          <w:rFonts w:eastAsia="Courier New"/>
          <w:i/>
          <w:iCs/>
        </w:rPr>
        <w:t>. — </w:t>
      </w:r>
      <w:r w:rsidRPr="00E9210E">
        <w:rPr>
          <w:i/>
        </w:rPr>
        <w:t>L’agriculture dans le départ</w:t>
      </w:r>
      <w:r w:rsidRPr="00E9210E">
        <w:rPr>
          <w:i/>
        </w:rPr>
        <w:t>e</w:t>
      </w:r>
      <w:r w:rsidRPr="00E9210E">
        <w:rPr>
          <w:i/>
        </w:rPr>
        <w:t xml:space="preserve">ment de la Meuse en </w:t>
      </w:r>
      <w:r w:rsidRPr="00E9210E">
        <w:rPr>
          <w:rFonts w:eastAsia="Courier New"/>
          <w:i/>
        </w:rPr>
        <w:t>1931</w:t>
      </w:r>
      <w:r w:rsidRPr="00E9210E">
        <w:rPr>
          <w:rFonts w:eastAsia="Courier New"/>
          <w:i/>
          <w:iCs/>
        </w:rPr>
        <w:t xml:space="preserve">, </w:t>
      </w:r>
      <w:r w:rsidRPr="00E9210E">
        <w:rPr>
          <w:rFonts w:eastAsia="Courier New"/>
          <w:iCs/>
        </w:rPr>
        <w:t>Bull. n° 37</w:t>
      </w:r>
      <w:r w:rsidRPr="00E9210E">
        <w:rPr>
          <w:rFonts w:eastAsia="Courier New"/>
          <w:i/>
          <w:iCs/>
        </w:rPr>
        <w:t xml:space="preserve"> </w:t>
      </w:r>
      <w:r w:rsidRPr="00E9210E">
        <w:rPr>
          <w:rFonts w:eastAsia="Courier New"/>
          <w:iCs/>
        </w:rPr>
        <w:t>de</w:t>
      </w:r>
      <w:r w:rsidRPr="00E9210E">
        <w:rPr>
          <w:rFonts w:eastAsia="Courier New"/>
          <w:i/>
          <w:iCs/>
        </w:rPr>
        <w:t xml:space="preserve"> </w:t>
      </w:r>
      <w:r w:rsidRPr="00E9210E">
        <w:t>l’Office régional agricole de l’Est,</w:t>
      </w:r>
      <w:r w:rsidRPr="00E9210E">
        <w:rPr>
          <w:rStyle w:val="Corpsdutexte108ptGrasNonItaliquechelle120"/>
          <w:rFonts w:eastAsia="Courier New"/>
          <w:i w:val="0"/>
          <w:iCs w:val="0"/>
          <w:sz w:val="28"/>
        </w:rPr>
        <w:t xml:space="preserve"> </w:t>
      </w:r>
      <w:r w:rsidRPr="00E9210E">
        <w:rPr>
          <w:rFonts w:eastAsia="Courier New"/>
          <w:iCs/>
        </w:rPr>
        <w:t>Troyes, 1931. — </w:t>
      </w:r>
      <w:r w:rsidRPr="00E9210E">
        <w:rPr>
          <w:rStyle w:val="Corpsdutexte385ptNonItalique"/>
          <w:rFonts w:eastAsia="Courier New"/>
          <w:i w:val="0"/>
          <w:iCs w:val="0"/>
          <w:sz w:val="28"/>
        </w:rPr>
        <w:t xml:space="preserve">Ch. </w:t>
      </w:r>
      <w:r w:rsidRPr="00E9210E">
        <w:rPr>
          <w:rStyle w:val="Corpsdutexte37ptGrasNonItalique"/>
          <w:rFonts w:eastAsia="Courier New"/>
          <w:b w:val="0"/>
          <w:i w:val="0"/>
          <w:iCs w:val="0"/>
          <w:smallCaps/>
          <w:color w:val="008000"/>
          <w:sz w:val="28"/>
        </w:rPr>
        <w:t>Vezin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L’évolution de l’agriculture de la Ma</w:t>
      </w:r>
      <w:r w:rsidRPr="00E9210E">
        <w:rPr>
          <w:i/>
        </w:rPr>
        <w:t>n</w:t>
      </w:r>
      <w:r w:rsidRPr="00E9210E">
        <w:rPr>
          <w:i/>
        </w:rPr>
        <w:t>che en un siècle</w:t>
      </w:r>
      <w:r w:rsidRPr="00E9210E">
        <w:t xml:space="preserve">, 1830, </w:t>
      </w:r>
      <w:r w:rsidRPr="00E9210E">
        <w:rPr>
          <w:rStyle w:val="Corpsdutexte385ptNonItalique"/>
          <w:rFonts w:eastAsia="Courier New"/>
          <w:i w:val="0"/>
          <w:iCs w:val="0"/>
          <w:sz w:val="28"/>
        </w:rPr>
        <w:t>s.l., s.d. — Abbé M. </w:t>
      </w:r>
      <w:r w:rsidRPr="00E9210E">
        <w:rPr>
          <w:rStyle w:val="Corpsdutexte37ptGrasNonItalique"/>
          <w:rFonts w:eastAsia="Courier New"/>
          <w:b w:val="0"/>
          <w:i w:val="0"/>
          <w:iCs w:val="0"/>
          <w:smallCaps/>
          <w:sz w:val="28"/>
        </w:rPr>
        <w:t>Chaume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origines du duché de Bou</w:t>
      </w:r>
      <w:r w:rsidRPr="00E9210E">
        <w:rPr>
          <w:i/>
        </w:rPr>
        <w:t>r</w:t>
      </w:r>
      <w:r w:rsidRPr="00E9210E">
        <w:rPr>
          <w:i/>
        </w:rPr>
        <w:t>gogne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partie, Dijon, 1931. — E. </w:t>
      </w:r>
      <w:r w:rsidRPr="00E9210E">
        <w:rPr>
          <w:rStyle w:val="Corpsdutexte37ptGrasNonItalique"/>
          <w:rFonts w:eastAsia="Courier New"/>
          <w:b w:val="0"/>
          <w:i w:val="0"/>
          <w:iCs w:val="0"/>
          <w:smallCaps/>
          <w:sz w:val="28"/>
        </w:rPr>
        <w:t>Antoni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Studien zur Agrarge</w:t>
      </w:r>
      <w:r w:rsidRPr="00E9210E">
        <w:rPr>
          <w:i/>
        </w:rPr>
        <w:t>s</w:t>
      </w:r>
      <w:r w:rsidRPr="00E9210E">
        <w:rPr>
          <w:i/>
        </w:rPr>
        <w:t>chichte von Kurtrier</w:t>
      </w:r>
      <w:r w:rsidRPr="00E9210E">
        <w:rPr>
          <w:rStyle w:val="Corpsdutexte385ptEspacement0pt"/>
          <w:rFonts w:eastAsia="Courier New"/>
          <w:sz w:val="28"/>
        </w:rPr>
        <w:t>,</w:t>
      </w:r>
      <w:r w:rsidRPr="00E9210E">
        <w:rPr>
          <w:rStyle w:val="Corpsdutexte385ptNonItalique"/>
          <w:rFonts w:eastAsia="Courier New"/>
          <w:i w:val="0"/>
          <w:iCs w:val="0"/>
          <w:sz w:val="28"/>
        </w:rPr>
        <w:t xml:space="preserve"> Bonn, 1931. — </w:t>
      </w:r>
      <w:r w:rsidRPr="00E9210E">
        <w:rPr>
          <w:rFonts w:eastAsia="Courier New"/>
          <w:iCs/>
        </w:rPr>
        <w:t xml:space="preserve">Fr. </w:t>
      </w:r>
      <w:r w:rsidRPr="00E9210E">
        <w:rPr>
          <w:rStyle w:val="Corpsdutexte107ptGrasNonItalique"/>
          <w:rFonts w:eastAsia="Courier New"/>
          <w:b w:val="0"/>
          <w:i w:val="0"/>
          <w:iCs w:val="0"/>
          <w:smallCaps/>
          <w:sz w:val="28"/>
        </w:rPr>
        <w:t>Mager</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Entwicklungsge</w:t>
      </w:r>
      <w:r w:rsidRPr="00E9210E">
        <w:rPr>
          <w:i/>
        </w:rPr>
        <w:t>s</w:t>
      </w:r>
      <w:r w:rsidRPr="00E9210E">
        <w:rPr>
          <w:i/>
        </w:rPr>
        <w:t>chichte der Kulturlandschaft des Herzogtums Schleswig in histori</w:t>
      </w:r>
      <w:r w:rsidRPr="00E9210E">
        <w:rPr>
          <w:i/>
        </w:rPr>
        <w:t>s</w:t>
      </w:r>
      <w:r w:rsidRPr="00E9210E">
        <w:rPr>
          <w:i/>
        </w:rPr>
        <w:t>cher Seit</w:t>
      </w:r>
      <w:r w:rsidRPr="00E9210E">
        <w:t>,</w:t>
      </w:r>
      <w:r w:rsidRPr="00E9210E">
        <w:rPr>
          <w:rStyle w:val="Corpsdutexte108ptGrasNonItaliquechelle120"/>
          <w:rFonts w:eastAsia="Courier New"/>
          <w:i w:val="0"/>
          <w:iCs w:val="0"/>
          <w:sz w:val="28"/>
        </w:rPr>
        <w:t xml:space="preserve"> </w:t>
      </w:r>
      <w:r w:rsidRPr="00E9210E">
        <w:rPr>
          <w:rFonts w:eastAsia="Courier New"/>
          <w:iCs/>
        </w:rPr>
        <w:t>1. Band, Breslau, 1930.</w:t>
      </w:r>
      <w:r w:rsidRPr="00E9210E">
        <w:rPr>
          <w:rFonts w:eastAsia="Courier New"/>
          <w:i/>
          <w:iCs/>
        </w:rPr>
        <w:t> — </w:t>
      </w:r>
      <w:r w:rsidRPr="00E9210E">
        <w:rPr>
          <w:rFonts w:eastAsia="Courier New"/>
          <w:iCs/>
        </w:rPr>
        <w:t>D. N</w:t>
      </w:r>
      <w:r w:rsidRPr="00E9210E">
        <w:rPr>
          <w:rFonts w:eastAsia="Courier New"/>
          <w:i/>
          <w:iCs/>
        </w:rPr>
        <w:t xml:space="preserve">. </w:t>
      </w:r>
      <w:r w:rsidRPr="00E9210E">
        <w:rPr>
          <w:rStyle w:val="Corpsdutexte107ptGrasNonItalique"/>
          <w:rFonts w:eastAsia="Courier New"/>
          <w:b w:val="0"/>
          <w:i w:val="0"/>
          <w:iCs w:val="0"/>
          <w:smallCaps/>
          <w:sz w:val="28"/>
        </w:rPr>
        <w:t>Jegorov</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Die Kolonis</w:t>
      </w:r>
      <w:r w:rsidRPr="00E9210E">
        <w:rPr>
          <w:i/>
        </w:rPr>
        <w:t>a</w:t>
      </w:r>
      <w:r w:rsidRPr="00E9210E">
        <w:rPr>
          <w:i/>
        </w:rPr>
        <w:t xml:space="preserve">tion Mecklenburgs im </w:t>
      </w:r>
      <w:r w:rsidRPr="00E9210E">
        <w:rPr>
          <w:rFonts w:eastAsia="Courier New"/>
          <w:i/>
        </w:rPr>
        <w:t>13</w:t>
      </w:r>
      <w:r w:rsidRPr="00E9210E">
        <w:rPr>
          <w:rFonts w:eastAsia="Courier New"/>
        </w:rPr>
        <w:t xml:space="preserve">. </w:t>
      </w:r>
      <w:r w:rsidRPr="00E9210E">
        <w:t>J</w:t>
      </w:r>
      <w:r w:rsidRPr="00E9210E">
        <w:rPr>
          <w:i/>
        </w:rPr>
        <w:t>ahrhunder</w:t>
      </w:r>
      <w:r w:rsidRPr="00E9210E">
        <w:t>t,</w:t>
      </w:r>
      <w:r w:rsidRPr="00E9210E">
        <w:rPr>
          <w:rStyle w:val="Corpsdutexte108ptGrasNonItaliquechelle120"/>
          <w:rFonts w:eastAsia="Courier New"/>
          <w:i w:val="0"/>
          <w:iCs w:val="0"/>
          <w:sz w:val="28"/>
        </w:rPr>
        <w:t xml:space="preserve"> </w:t>
      </w:r>
      <w:r w:rsidRPr="00E9210E">
        <w:rPr>
          <w:rFonts w:eastAsia="Courier New"/>
          <w:iCs/>
        </w:rPr>
        <w:t xml:space="preserve">Breslau, 1930), </w:t>
      </w:r>
      <w:r w:rsidRPr="00E9210E">
        <w:rPr>
          <w:rStyle w:val="Corpsdutexte108ptGrasNonItaliquechelle120"/>
          <w:rFonts w:eastAsia="Courier New"/>
          <w:iCs w:val="0"/>
          <w:sz w:val="28"/>
        </w:rPr>
        <w:t>« </w:t>
      </w:r>
      <w:r w:rsidRPr="00E9210E">
        <w:rPr>
          <w:rFonts w:eastAsia="Courier New"/>
          <w:iCs/>
        </w:rPr>
        <w:t>A.H.E.S. »</w:t>
      </w:r>
      <w:r w:rsidRPr="00E9210E">
        <w:rPr>
          <w:rStyle w:val="Corpsdutexte108ptGrasNonItaliquechelle120"/>
          <w:rFonts w:eastAsia="Courier New"/>
          <w:iCs w:val="0"/>
          <w:sz w:val="28"/>
        </w:rPr>
        <w:t xml:space="preserve">, </w:t>
      </w:r>
      <w:r w:rsidRPr="00E9210E">
        <w:rPr>
          <w:rFonts w:eastAsia="Courier New"/>
          <w:iCs/>
        </w:rPr>
        <w:t>t. IV (1932), pp. 489-510.</w:t>
      </w:r>
    </w:p>
    <w:p w14:paraId="43531ABE" w14:textId="77777777" w:rsidR="00B9662D" w:rsidRPr="00E9210E" w:rsidRDefault="00B9662D" w:rsidP="00B9662D">
      <w:pPr>
        <w:spacing w:before="120" w:after="120"/>
        <w:jc w:val="both"/>
      </w:pPr>
      <w:r w:rsidRPr="00E9210E">
        <w:rPr>
          <w:rFonts w:eastAsia="Courier New"/>
          <w:iCs/>
        </w:rPr>
        <w:t>Les mutations monétaires. (Compte rendu :</w:t>
      </w:r>
      <w:r w:rsidRPr="00E9210E">
        <w:rPr>
          <w:rStyle w:val="Corpsdutexte108ptGrasNonItaliquechelle120"/>
          <w:rFonts w:eastAsia="Courier New"/>
          <w:i w:val="0"/>
          <w:iCs w:val="0"/>
          <w:sz w:val="28"/>
        </w:rPr>
        <w:t xml:space="preserve"> </w:t>
      </w:r>
      <w:r w:rsidRPr="00E9210E">
        <w:rPr>
          <w:rStyle w:val="Corpsdutexte108ptGrasNonItaliquechelle120"/>
          <w:rFonts w:eastAsia="Courier New"/>
          <w:b w:val="0"/>
          <w:i w:val="0"/>
          <w:iCs w:val="0"/>
          <w:sz w:val="28"/>
        </w:rPr>
        <w:t xml:space="preserve">W. </w:t>
      </w:r>
      <w:r w:rsidRPr="00E9210E">
        <w:rPr>
          <w:rStyle w:val="Corpsdutexte107ptGrasNonItalique"/>
          <w:rFonts w:eastAsia="Courier New"/>
          <w:b w:val="0"/>
          <w:i w:val="0"/>
          <w:iCs w:val="0"/>
          <w:smallCaps/>
          <w:sz w:val="28"/>
        </w:rPr>
        <w:t>Havernigk</w:t>
      </w:r>
      <w:r w:rsidRPr="00E9210E">
        <w:rPr>
          <w:rStyle w:val="Corpsdutexte107ptGrasNonItalique"/>
          <w:rFonts w:eastAsia="Courier New"/>
          <w:b w:val="0"/>
          <w:i w:val="0"/>
          <w:iCs w:val="0"/>
          <w:sz w:val="28"/>
        </w:rPr>
        <w:t xml:space="preserve">, </w:t>
      </w:r>
      <w:r w:rsidRPr="00E9210E">
        <w:rPr>
          <w:i/>
        </w:rPr>
        <w:t>Münzverr</w:t>
      </w:r>
      <w:r w:rsidRPr="00E9210E">
        <w:rPr>
          <w:i/>
        </w:rPr>
        <w:t>u</w:t>
      </w:r>
      <w:r w:rsidRPr="00E9210E">
        <w:rPr>
          <w:i/>
        </w:rPr>
        <w:t xml:space="preserve">fungen in Westdeutschland im </w:t>
      </w:r>
      <w:r w:rsidRPr="00E9210E">
        <w:rPr>
          <w:rFonts w:eastAsia="Courier New"/>
          <w:i/>
        </w:rPr>
        <w:t xml:space="preserve">12. </w:t>
      </w:r>
      <w:r w:rsidRPr="00E9210E">
        <w:rPr>
          <w:i/>
        </w:rPr>
        <w:t xml:space="preserve">und </w:t>
      </w:r>
      <w:r w:rsidRPr="00E9210E">
        <w:rPr>
          <w:rFonts w:eastAsia="Courier New"/>
          <w:i/>
        </w:rPr>
        <w:t xml:space="preserve">13. </w:t>
      </w:r>
      <w:r w:rsidRPr="00E9210E">
        <w:rPr>
          <w:i/>
        </w:rPr>
        <w:t>Jahrhundert,</w:t>
      </w:r>
      <w:r w:rsidRPr="00E9210E">
        <w:rPr>
          <w:rStyle w:val="Corpsdutexte108ptGrasNonItaliquechelle120"/>
          <w:rFonts w:eastAsia="Courier New"/>
          <w:i w:val="0"/>
          <w:iCs w:val="0"/>
          <w:sz w:val="28"/>
        </w:rPr>
        <w:t xml:space="preserve"> </w:t>
      </w:r>
      <w:r w:rsidRPr="00E9210E">
        <w:rPr>
          <w:rFonts w:eastAsia="Courier New"/>
          <w:i/>
          <w:iCs/>
        </w:rPr>
        <w:t xml:space="preserve">dans </w:t>
      </w:r>
      <w:r w:rsidRPr="00E9210E">
        <w:rPr>
          <w:i/>
        </w:rPr>
        <w:t>Vierte</w:t>
      </w:r>
      <w:r w:rsidRPr="00E9210E">
        <w:rPr>
          <w:i/>
        </w:rPr>
        <w:t>l</w:t>
      </w:r>
      <w:r w:rsidRPr="00E9210E">
        <w:rPr>
          <w:i/>
        </w:rPr>
        <w:t>jahrschrift für Sozial- und Wirtschaftsgeschichte</w:t>
      </w:r>
      <w:r w:rsidRPr="00E9210E">
        <w:t>,</w:t>
      </w:r>
      <w:r w:rsidRPr="00E9210E">
        <w:rPr>
          <w:rStyle w:val="Corpsdutexte108ptGrasNonItaliquechelle120"/>
          <w:rFonts w:eastAsia="Courier New"/>
          <w:i w:val="0"/>
          <w:iCs w:val="0"/>
          <w:sz w:val="28"/>
        </w:rPr>
        <w:t xml:space="preserve"> </w:t>
      </w:r>
      <w:r w:rsidRPr="00E9210E">
        <w:rPr>
          <w:rFonts w:eastAsia="Courier New"/>
          <w:iCs/>
        </w:rPr>
        <w:t xml:space="preserve">t. XXIV (1931), p. 129-141), </w:t>
      </w:r>
      <w:r w:rsidRPr="00E9210E">
        <w:rPr>
          <w:rStyle w:val="Corpsdutexte108ptGrasNonItaliquechelle120"/>
          <w:rFonts w:eastAsia="Courier New"/>
          <w:iCs w:val="0"/>
          <w:sz w:val="28"/>
        </w:rPr>
        <w:t>« </w:t>
      </w:r>
      <w:r w:rsidRPr="00E9210E">
        <w:rPr>
          <w:rFonts w:eastAsia="Courier New"/>
          <w:iCs/>
        </w:rPr>
        <w:t>A.H.E.S. »</w:t>
      </w:r>
      <w:r w:rsidRPr="00E9210E">
        <w:rPr>
          <w:rStyle w:val="Corpsdutexte108ptGrasNonItaliquechelle120"/>
          <w:rFonts w:eastAsia="Courier New"/>
          <w:iCs w:val="0"/>
          <w:sz w:val="28"/>
        </w:rPr>
        <w:t xml:space="preserve">, </w:t>
      </w:r>
      <w:r w:rsidRPr="00E9210E">
        <w:rPr>
          <w:rFonts w:eastAsia="Courier New"/>
          <w:iCs/>
        </w:rPr>
        <w:t>t. IV (1932), p. 511-512.</w:t>
      </w:r>
    </w:p>
    <w:p w14:paraId="6635D0A0" w14:textId="77777777" w:rsidR="00B9662D" w:rsidRPr="00E9210E" w:rsidRDefault="00B9662D" w:rsidP="00B9662D">
      <w:pPr>
        <w:spacing w:before="120" w:after="120"/>
        <w:jc w:val="both"/>
      </w:pPr>
      <w:r w:rsidRPr="00E9210E">
        <w:t>Questions agraires au temps de la Terreur. (Compte rendu :</w:t>
      </w:r>
      <w:r w:rsidRPr="00E9210E">
        <w:rPr>
          <w:rStyle w:val="Corpsdutexte28ptGraschelle120"/>
          <w:rFonts w:eastAsia="Courier New"/>
          <w:sz w:val="28"/>
        </w:rPr>
        <w:t xml:space="preserve"> </w:t>
      </w:r>
      <w:r w:rsidRPr="00E9210E">
        <w:t>G. </w:t>
      </w:r>
      <w:r w:rsidRPr="00E9210E">
        <w:rPr>
          <w:rStyle w:val="Corpsdutexte27ptGras"/>
          <w:rFonts w:eastAsia="Courier New"/>
          <w:b w:val="0"/>
          <w:smallCaps/>
          <w:sz w:val="28"/>
        </w:rPr>
        <w:t>Lefebvre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Questions agraires au temps de la Terreur</w:t>
      </w:r>
      <w:r w:rsidRPr="00E9210E">
        <w:rPr>
          <w:rFonts w:eastAsia="Courier New"/>
        </w:rPr>
        <w:t>,</w:t>
      </w:r>
      <w:r w:rsidRPr="00E9210E">
        <w:rPr>
          <w:rStyle w:val="Corpsdutexte28ptGraschelle120"/>
          <w:rFonts w:eastAsia="Courier New"/>
          <w:sz w:val="28"/>
        </w:rPr>
        <w:t xml:space="preserve"> </w:t>
      </w:r>
      <w:r w:rsidRPr="00E9210E">
        <w:t xml:space="preserve">Strasbourg, 1932),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pp. 519-521.</w:t>
      </w:r>
    </w:p>
    <w:p w14:paraId="39916FA7" w14:textId="77777777" w:rsidR="00B9662D" w:rsidRPr="00E9210E" w:rsidRDefault="00B9662D" w:rsidP="00B9662D">
      <w:pPr>
        <w:spacing w:before="120" w:after="120"/>
        <w:jc w:val="both"/>
      </w:pPr>
      <w:r w:rsidRPr="00E9210E">
        <w:t>Sémantique juridique. (Compte rendu :</w:t>
      </w:r>
      <w:r w:rsidRPr="00E9210E">
        <w:rPr>
          <w:rStyle w:val="Corpsdutexte28ptGraschelle120"/>
          <w:rFonts w:eastAsia="Courier New"/>
          <w:sz w:val="28"/>
        </w:rPr>
        <w:t xml:space="preserve"> </w:t>
      </w:r>
      <w:r w:rsidRPr="00E9210E">
        <w:rPr>
          <w:rFonts w:eastAsia="Courier New"/>
          <w:i/>
        </w:rPr>
        <w:t>Deutsche Rechtswörte</w:t>
      </w:r>
      <w:r w:rsidRPr="00E9210E">
        <w:rPr>
          <w:rFonts w:eastAsia="Courier New"/>
          <w:i/>
        </w:rPr>
        <w:t>r</w:t>
      </w:r>
      <w:r w:rsidRPr="00E9210E">
        <w:rPr>
          <w:rFonts w:eastAsia="Courier New"/>
          <w:i/>
        </w:rPr>
        <w:t>buch (Wörterbuch der älterendeutschen Rechtssprache</w:t>
      </w:r>
      <w:r w:rsidRPr="00E9210E">
        <w:rPr>
          <w:rFonts w:eastAsia="Courier New"/>
        </w:rPr>
        <w:t>)</w:t>
      </w:r>
      <w:r w:rsidRPr="00E9210E">
        <w:rPr>
          <w:rStyle w:val="Corpsdutexte2ItaliqueEspacement0pt"/>
          <w:rFonts w:eastAsia="Courier New"/>
          <w:sz w:val="28"/>
        </w:rPr>
        <w:t>,</w:t>
      </w:r>
      <w:r w:rsidRPr="00E9210E">
        <w:t xml:space="preserve"> Bd. I, H. 3, Berlin,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 592.</w:t>
      </w:r>
    </w:p>
    <w:p w14:paraId="1B75383B" w14:textId="77777777" w:rsidR="00B9662D" w:rsidRPr="00E9210E" w:rsidRDefault="00B9662D" w:rsidP="00B9662D">
      <w:pPr>
        <w:spacing w:before="120" w:after="120"/>
        <w:jc w:val="both"/>
      </w:pPr>
      <w:r w:rsidRPr="00E9210E">
        <w:t xml:space="preserve">L’esclavage européen. (Compte rendu : A. </w:t>
      </w:r>
      <w:r w:rsidRPr="00E9210E">
        <w:rPr>
          <w:rStyle w:val="Corpsdutexte27ptGras"/>
          <w:rFonts w:eastAsia="Courier New"/>
          <w:b w:val="0"/>
          <w:sz w:val="28"/>
        </w:rPr>
        <w:t>d’</w:t>
      </w:r>
      <w:r w:rsidRPr="00E9210E">
        <w:rPr>
          <w:rStyle w:val="Corpsdutexte27ptGras"/>
          <w:rFonts w:eastAsia="Courier New"/>
          <w:b w:val="0"/>
          <w:smallCaps/>
          <w:sz w:val="28"/>
        </w:rPr>
        <w:t>Amia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Schiavitù r</w:t>
      </w:r>
      <w:r w:rsidRPr="00E9210E">
        <w:rPr>
          <w:rFonts w:eastAsia="Courier New"/>
          <w:i/>
        </w:rPr>
        <w:t>o</w:t>
      </w:r>
      <w:r w:rsidRPr="00E9210E">
        <w:rPr>
          <w:rFonts w:eastAsia="Courier New"/>
          <w:i/>
        </w:rPr>
        <w:t>mana e servitù medievale : contributo di studi e documenti</w:t>
      </w:r>
      <w:r w:rsidRPr="00E9210E">
        <w:rPr>
          <w:rFonts w:eastAsia="Courier New"/>
        </w:rPr>
        <w:t>,</w:t>
      </w:r>
      <w:r w:rsidRPr="00E9210E">
        <w:rPr>
          <w:rStyle w:val="Corpsdutexte28ptGraschelle120"/>
          <w:rFonts w:eastAsia="Courier New"/>
          <w:sz w:val="28"/>
        </w:rPr>
        <w:t xml:space="preserve"> </w:t>
      </w:r>
      <w:r w:rsidRPr="00E9210E">
        <w:t xml:space="preserve">Milan, 1931),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pp. 597-598.</w:t>
      </w:r>
    </w:p>
    <w:p w14:paraId="7AFAEBBF" w14:textId="77777777" w:rsidR="00B9662D" w:rsidRPr="00E9210E" w:rsidRDefault="00B9662D" w:rsidP="00B9662D">
      <w:pPr>
        <w:spacing w:before="120" w:after="120"/>
        <w:jc w:val="both"/>
      </w:pPr>
      <w:r w:rsidRPr="00E9210E">
        <w:t xml:space="preserve">Une ville et son milieu. (Compte rendu : Ph. </w:t>
      </w:r>
      <w:r w:rsidRPr="00E9210E">
        <w:rPr>
          <w:rStyle w:val="Corpsdutexte27ptGras"/>
          <w:rFonts w:eastAsia="Courier New"/>
          <w:b w:val="0"/>
          <w:smallCaps/>
          <w:sz w:val="28"/>
        </w:rPr>
        <w:t>Arbos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Clermont-Ferrand :</w:t>
      </w:r>
      <w:r w:rsidRPr="00E9210E">
        <w:rPr>
          <w:rFonts w:eastAsia="Courier New"/>
        </w:rPr>
        <w:t xml:space="preserve"> </w:t>
      </w:r>
      <w:r w:rsidRPr="00E9210E">
        <w:rPr>
          <w:rFonts w:eastAsia="Courier New"/>
          <w:i/>
        </w:rPr>
        <w:t>Étude de géographie urbaine</w:t>
      </w:r>
      <w:r w:rsidRPr="00E9210E">
        <w:rPr>
          <w:rFonts w:eastAsia="Courier New"/>
        </w:rPr>
        <w:t>,</w:t>
      </w:r>
      <w:r w:rsidRPr="00E9210E">
        <w:rPr>
          <w:rStyle w:val="Corpsdutexte28ptGraschelle120"/>
          <w:rFonts w:eastAsia="Courier New"/>
          <w:sz w:val="28"/>
        </w:rPr>
        <w:t xml:space="preserve"> </w:t>
      </w:r>
      <w:r w:rsidRPr="00E9210E">
        <w:t xml:space="preserve">Clermont-Ferrand,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pp. 600- 601.</w:t>
      </w:r>
    </w:p>
    <w:p w14:paraId="0733070F" w14:textId="77777777" w:rsidR="00B9662D" w:rsidRPr="00E9210E" w:rsidRDefault="00B9662D" w:rsidP="00B9662D">
      <w:pPr>
        <w:spacing w:before="120" w:after="120"/>
        <w:jc w:val="both"/>
      </w:pPr>
      <w:r w:rsidRPr="00E9210E">
        <w:t>La bourgeoisie lyonnaise au milieu du XV</w:t>
      </w:r>
      <w:r w:rsidRPr="00E9210E">
        <w:rPr>
          <w:vertAlign w:val="superscript"/>
        </w:rPr>
        <w:t>e</w:t>
      </w:r>
      <w:r w:rsidRPr="00E9210E">
        <w:t xml:space="preserve"> siècle. (Compte rendu : J. </w:t>
      </w:r>
      <w:r w:rsidRPr="00E9210E">
        <w:rPr>
          <w:rStyle w:val="Corpsdutexte27ptGras"/>
          <w:rFonts w:eastAsia="Courier New"/>
          <w:b w:val="0"/>
          <w:smallCaps/>
          <w:sz w:val="28"/>
        </w:rPr>
        <w:t>Déniau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nommées des habitants de Lyon en</w:t>
      </w:r>
      <w:r w:rsidRPr="00E9210E">
        <w:rPr>
          <w:rFonts w:eastAsia="Courier New"/>
        </w:rPr>
        <w:t xml:space="preserve"> </w:t>
      </w:r>
      <w:r w:rsidRPr="00E9210E">
        <w:rPr>
          <w:rStyle w:val="Corpsdutexte28ptItalique"/>
          <w:rFonts w:eastAsia="Courier New"/>
          <w:sz w:val="28"/>
        </w:rPr>
        <w:t>1446,</w:t>
      </w:r>
      <w:r w:rsidRPr="00E9210E">
        <w:rPr>
          <w:rStyle w:val="Corpsdutexte28ptGraschelle120"/>
          <w:rFonts w:eastAsia="Courier New"/>
          <w:sz w:val="28"/>
        </w:rPr>
        <w:t xml:space="preserve"> </w:t>
      </w:r>
      <w:r w:rsidRPr="00E9210E">
        <w:t xml:space="preserve">Lyon,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pp. 601-602.</w:t>
      </w:r>
    </w:p>
    <w:p w14:paraId="4BA289EA" w14:textId="77777777" w:rsidR="00B9662D" w:rsidRPr="00E9210E" w:rsidRDefault="00B9662D" w:rsidP="00B9662D">
      <w:pPr>
        <w:spacing w:before="120" w:after="120"/>
        <w:jc w:val="both"/>
      </w:pPr>
      <w:r w:rsidRPr="00E9210E">
        <w:rPr>
          <w:rFonts w:eastAsia="Courier New"/>
          <w:iCs/>
        </w:rPr>
        <w:t>Une création urbaine. (Compte rendu :</w:t>
      </w:r>
      <w:r w:rsidRPr="00E9210E">
        <w:rPr>
          <w:rStyle w:val="Corpsdutexte108ptGrasNonItaliquechelle120"/>
          <w:rFonts w:eastAsia="Courier New"/>
          <w:iCs w:val="0"/>
          <w:sz w:val="28"/>
        </w:rPr>
        <w:t xml:space="preserve"> </w:t>
      </w:r>
      <w:r w:rsidRPr="00E9210E">
        <w:rPr>
          <w:rFonts w:eastAsia="Courier New"/>
          <w:iCs/>
        </w:rPr>
        <w:t>G.</w:t>
      </w:r>
      <w:r w:rsidRPr="00E9210E">
        <w:rPr>
          <w:rFonts w:eastAsia="Courier New"/>
          <w:i/>
          <w:iCs/>
        </w:rPr>
        <w:t xml:space="preserve"> </w:t>
      </w:r>
      <w:r w:rsidRPr="00E9210E">
        <w:rPr>
          <w:rStyle w:val="Corpsdutexte107ptGrasNonItalique"/>
          <w:rFonts w:eastAsia="Courier New"/>
          <w:b w:val="0"/>
          <w:i w:val="0"/>
          <w:iCs w:val="0"/>
          <w:smallCaps/>
          <w:sz w:val="28"/>
        </w:rPr>
        <w:t>Espinas</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La fondation d’une ville neuve dans la Flandre wallonne du XV</w:t>
      </w:r>
      <w:r w:rsidRPr="00E9210E">
        <w:rPr>
          <w:i/>
          <w:vertAlign w:val="superscript"/>
        </w:rPr>
        <w:t>e</w:t>
      </w:r>
      <w:r w:rsidRPr="00E9210E">
        <w:rPr>
          <w:i/>
        </w:rPr>
        <w:t xml:space="preserve"> siècle. Lannoy-du-Nord, </w:t>
      </w:r>
      <w:r w:rsidRPr="00E9210E">
        <w:rPr>
          <w:rFonts w:eastAsia="Courier New"/>
          <w:i/>
        </w:rPr>
        <w:t>1458-1462</w:t>
      </w:r>
      <w:r w:rsidRPr="00E9210E">
        <w:rPr>
          <w:rStyle w:val="Corpsdutexte108ptGrasNonItaliquechelle120"/>
          <w:rFonts w:eastAsia="Courier New"/>
          <w:i w:val="0"/>
          <w:iCs w:val="0"/>
          <w:sz w:val="28"/>
        </w:rPr>
        <w:t xml:space="preserve">, </w:t>
      </w:r>
      <w:r w:rsidRPr="00E9210E">
        <w:rPr>
          <w:rFonts w:eastAsia="Courier New"/>
          <w:iCs/>
        </w:rPr>
        <w:t>dans</w:t>
      </w:r>
      <w:r w:rsidRPr="00E9210E">
        <w:rPr>
          <w:rFonts w:eastAsia="Courier New"/>
          <w:i/>
          <w:iCs/>
        </w:rPr>
        <w:t xml:space="preserve"> </w:t>
      </w:r>
      <w:r w:rsidRPr="00E9210E">
        <w:rPr>
          <w:i/>
        </w:rPr>
        <w:t>Revue du Nord</w:t>
      </w:r>
      <w:r w:rsidRPr="00E9210E">
        <w:t>,</w:t>
      </w:r>
      <w:r w:rsidRPr="00E9210E">
        <w:rPr>
          <w:rStyle w:val="Corpsdutexte108ptGrasNonItaliquechelle120"/>
          <w:rFonts w:eastAsia="Courier New"/>
          <w:i w:val="0"/>
          <w:iCs w:val="0"/>
          <w:sz w:val="28"/>
        </w:rPr>
        <w:t xml:space="preserve"> </w:t>
      </w:r>
      <w:r w:rsidRPr="00E9210E">
        <w:rPr>
          <w:rFonts w:eastAsia="Courier New"/>
          <w:iCs/>
        </w:rPr>
        <w:t xml:space="preserve">1931, pp. 177-213), </w:t>
      </w:r>
      <w:r w:rsidRPr="00E9210E">
        <w:rPr>
          <w:rStyle w:val="Corpsdutexte108ptGrasNonItaliquechelle120"/>
          <w:rFonts w:eastAsia="Courier New"/>
          <w:iCs w:val="0"/>
          <w:sz w:val="28"/>
        </w:rPr>
        <w:t>« </w:t>
      </w:r>
      <w:r w:rsidRPr="00E9210E">
        <w:rPr>
          <w:rFonts w:eastAsia="Courier New"/>
          <w:iCs/>
        </w:rPr>
        <w:t>A.H.E.S. »</w:t>
      </w:r>
      <w:r w:rsidRPr="00E9210E">
        <w:rPr>
          <w:rStyle w:val="Corpsdutexte108ptGrasNonItaliquechelle120"/>
          <w:rFonts w:eastAsia="Courier New"/>
          <w:iCs w:val="0"/>
          <w:sz w:val="28"/>
        </w:rPr>
        <w:t xml:space="preserve">, </w:t>
      </w:r>
      <w:r w:rsidRPr="00E9210E">
        <w:rPr>
          <w:rFonts w:eastAsia="Courier New"/>
          <w:iCs/>
        </w:rPr>
        <w:t>t. IV (1932), p. 604.</w:t>
      </w:r>
    </w:p>
    <w:p w14:paraId="3591AA14" w14:textId="77777777" w:rsidR="00B9662D" w:rsidRPr="00E9210E" w:rsidRDefault="00B9662D" w:rsidP="00B9662D">
      <w:pPr>
        <w:spacing w:before="120" w:after="120"/>
        <w:jc w:val="both"/>
      </w:pPr>
      <w:r w:rsidRPr="00E9210E">
        <w:t>Évêques et villes dans l’Ombrie médiévale. (Compte rendu :</w:t>
      </w:r>
      <w:r w:rsidRPr="00E9210E">
        <w:rPr>
          <w:rStyle w:val="Corpsdutexte28ptGraschelle120"/>
          <w:rFonts w:eastAsia="Courier New"/>
          <w:sz w:val="28"/>
        </w:rPr>
        <w:t xml:space="preserve"> </w:t>
      </w:r>
      <w:r w:rsidRPr="00E9210E">
        <w:t xml:space="preserve">S. M. </w:t>
      </w:r>
      <w:r w:rsidRPr="00E9210E">
        <w:rPr>
          <w:rStyle w:val="Corpsdutexte27ptGras"/>
          <w:rFonts w:eastAsia="Courier New"/>
          <w:b w:val="0"/>
          <w:smallCaps/>
          <w:sz w:val="28"/>
        </w:rPr>
        <w:t>Onory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Ricerche sui poteri civili dei vescovi nelle città umbre dura</w:t>
      </w:r>
      <w:r w:rsidRPr="00E9210E">
        <w:rPr>
          <w:rFonts w:eastAsia="Courier New"/>
          <w:i/>
        </w:rPr>
        <w:t>n</w:t>
      </w:r>
      <w:r w:rsidRPr="00E9210E">
        <w:rPr>
          <w:rFonts w:eastAsia="Courier New"/>
          <w:i/>
        </w:rPr>
        <w:t>te l’alto medio evo</w:t>
      </w:r>
      <w:r w:rsidRPr="00E9210E">
        <w:rPr>
          <w:rFonts w:eastAsia="Courier New"/>
        </w:rPr>
        <w:t>,</w:t>
      </w:r>
      <w:r w:rsidRPr="00E9210E">
        <w:rPr>
          <w:rStyle w:val="Corpsdutexte28ptGraschelle120"/>
          <w:rFonts w:eastAsia="Courier New"/>
          <w:sz w:val="28"/>
        </w:rPr>
        <w:t xml:space="preserve"> </w:t>
      </w:r>
      <w:r w:rsidRPr="00E9210E">
        <w:t>Rome, 1930), « A.H.E.S. », t. IV (1932), pp. 604-605.</w:t>
      </w:r>
    </w:p>
    <w:p w14:paraId="30369377" w14:textId="77777777" w:rsidR="00B9662D" w:rsidRPr="00E9210E" w:rsidRDefault="00B9662D" w:rsidP="00B9662D">
      <w:pPr>
        <w:spacing w:before="120" w:after="120"/>
        <w:jc w:val="both"/>
      </w:pPr>
      <w:r w:rsidRPr="00E9210E">
        <w:rPr>
          <w:rFonts w:eastAsia="Courier New"/>
          <w:iCs/>
        </w:rPr>
        <w:t>Plans de villes. (Compte rendu </w:t>
      </w:r>
      <w:r w:rsidRPr="00E9210E">
        <w:rPr>
          <w:rFonts w:eastAsia="Courier New"/>
          <w:i/>
          <w:iCs/>
        </w:rPr>
        <w:t>:</w:t>
      </w:r>
      <w:r w:rsidRPr="00E9210E">
        <w:rPr>
          <w:rStyle w:val="Corpsdutexte108ptGrasNonItaliquechelle120"/>
          <w:rFonts w:eastAsia="Courier New"/>
          <w:i w:val="0"/>
          <w:iCs w:val="0"/>
          <w:sz w:val="28"/>
        </w:rPr>
        <w:t xml:space="preserve"> </w:t>
      </w:r>
      <w:r w:rsidRPr="00E9210E">
        <w:rPr>
          <w:rStyle w:val="Corpsdutexte107ptGrasNonItalique"/>
          <w:rFonts w:eastAsia="Courier New"/>
          <w:b w:val="0"/>
          <w:i w:val="0"/>
          <w:iCs w:val="0"/>
          <w:sz w:val="28"/>
        </w:rPr>
        <w:t xml:space="preserve">W. </w:t>
      </w:r>
      <w:r w:rsidRPr="00E9210E">
        <w:rPr>
          <w:rStyle w:val="Corpsdutexte107ptGrasNonItalique"/>
          <w:rFonts w:eastAsia="Courier New"/>
          <w:b w:val="0"/>
          <w:i w:val="0"/>
          <w:iCs w:val="0"/>
          <w:smallCaps/>
          <w:sz w:val="28"/>
        </w:rPr>
        <w:t>Uhlemann</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Stand und Aufg</w:t>
      </w:r>
      <w:r w:rsidRPr="00E9210E">
        <w:rPr>
          <w:i/>
        </w:rPr>
        <w:t>a</w:t>
      </w:r>
      <w:r w:rsidRPr="00E9210E">
        <w:rPr>
          <w:i/>
        </w:rPr>
        <w:t>ben der Stadtplanforschung,</w:t>
      </w:r>
      <w:r w:rsidRPr="00E9210E">
        <w:rPr>
          <w:rStyle w:val="Corpsdutexte108ptGrasNonItaliquechelle120"/>
          <w:rFonts w:eastAsia="Courier New"/>
          <w:i w:val="0"/>
          <w:iCs w:val="0"/>
          <w:sz w:val="28"/>
        </w:rPr>
        <w:t xml:space="preserve"> </w:t>
      </w:r>
      <w:r w:rsidRPr="00E9210E">
        <w:rPr>
          <w:rFonts w:eastAsia="Courier New"/>
          <w:i/>
          <w:iCs/>
        </w:rPr>
        <w:t xml:space="preserve">dans </w:t>
      </w:r>
      <w:r w:rsidRPr="00E9210E">
        <w:rPr>
          <w:i/>
        </w:rPr>
        <w:t>Vierteljahrschrift für Sozial- und Wir</w:t>
      </w:r>
      <w:r w:rsidRPr="00E9210E">
        <w:rPr>
          <w:i/>
        </w:rPr>
        <w:t>t</w:t>
      </w:r>
      <w:r w:rsidRPr="00E9210E">
        <w:rPr>
          <w:i/>
        </w:rPr>
        <w:t>schaftsgeschichte</w:t>
      </w:r>
      <w:r w:rsidRPr="00E9210E">
        <w:t>,</w:t>
      </w:r>
      <w:r w:rsidRPr="00E9210E">
        <w:rPr>
          <w:rStyle w:val="Corpsdutexte108ptGrasNonItaliquechelle120"/>
          <w:rFonts w:eastAsia="Courier New"/>
          <w:iCs w:val="0"/>
          <w:sz w:val="28"/>
        </w:rPr>
        <w:t xml:space="preserve"> </w:t>
      </w:r>
      <w:r w:rsidRPr="00E9210E">
        <w:rPr>
          <w:rFonts w:eastAsia="Courier New"/>
          <w:iCs/>
        </w:rPr>
        <w:t>t. XXIV (1931), p. 185-212), « A.H.E.S. », t. IV (1932), p. 605.</w:t>
      </w:r>
    </w:p>
    <w:p w14:paraId="38C3F9AC" w14:textId="77777777" w:rsidR="00B9662D" w:rsidRPr="00E9210E" w:rsidRDefault="00B9662D" w:rsidP="00B9662D">
      <w:pPr>
        <w:spacing w:before="120" w:after="120"/>
        <w:jc w:val="both"/>
      </w:pPr>
      <w:r w:rsidRPr="00E9210E">
        <w:t>[1057]</w:t>
      </w:r>
    </w:p>
    <w:p w14:paraId="514E133A" w14:textId="77777777" w:rsidR="00B9662D" w:rsidRPr="00E9210E" w:rsidRDefault="00B9662D" w:rsidP="00B9662D">
      <w:pPr>
        <w:spacing w:before="120" w:after="120"/>
        <w:jc w:val="both"/>
      </w:pPr>
      <w:r w:rsidRPr="00E9210E">
        <w:t xml:space="preserve">Les rapports d’une exploitation domaniale et d’un centre urbain. (Compte rendu : W. </w:t>
      </w:r>
      <w:r w:rsidRPr="00E9210E">
        <w:rPr>
          <w:rStyle w:val="Corpsdutexte27ptGras"/>
          <w:rFonts w:eastAsia="Courier New"/>
          <w:b w:val="0"/>
          <w:smallCaps/>
          <w:sz w:val="28"/>
        </w:rPr>
        <w:t>Kraft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Königshof in Nürnberg und seine Beziehnngen zur ältesten Stadtgeschichte,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Fränkische Monat</w:t>
      </w:r>
      <w:r w:rsidRPr="00E9210E">
        <w:rPr>
          <w:rStyle w:val="Corpsdutexte28ptItalique"/>
          <w:rFonts w:eastAsia="Courier New"/>
          <w:sz w:val="28"/>
        </w:rPr>
        <w:t>s</w:t>
      </w:r>
      <w:r w:rsidRPr="00E9210E">
        <w:rPr>
          <w:rStyle w:val="Corpsdutexte28ptItalique"/>
          <w:rFonts w:eastAsia="Courier New"/>
          <w:sz w:val="28"/>
        </w:rPr>
        <w:t>hefte für Kunst, Literatur und Heimat</w:t>
      </w:r>
      <w:r w:rsidRPr="00E9210E">
        <w:rPr>
          <w:rStyle w:val="Corpsdutexte28ptGraschelle120"/>
          <w:rFonts w:eastAsia="Courier New"/>
          <w:sz w:val="28"/>
        </w:rPr>
        <w:t xml:space="preserve">, </w:t>
      </w:r>
      <w:r w:rsidRPr="00E9210E">
        <w:t>1930, pp. 44-51, 72-80, 165-168), « A.H.E.S. », t. IV (1932), pp. 605-606.</w:t>
      </w:r>
    </w:p>
    <w:p w14:paraId="3B446672" w14:textId="77777777" w:rsidR="00B9662D" w:rsidRPr="00E9210E" w:rsidRDefault="00B9662D" w:rsidP="00B9662D">
      <w:pPr>
        <w:spacing w:before="120" w:after="120"/>
        <w:jc w:val="both"/>
      </w:pPr>
      <w:r w:rsidRPr="00E9210E">
        <w:t xml:space="preserve">Deux fondations seigneuriales : Goslar et Brunswick. (Compte rendu : K. </w:t>
      </w:r>
      <w:r w:rsidRPr="00E9210E">
        <w:rPr>
          <w:rStyle w:val="Corpsdutexte27ptGras"/>
          <w:rFonts w:eastAsia="Courier New"/>
          <w:b w:val="0"/>
          <w:smallCaps/>
          <w:sz w:val="28"/>
        </w:rPr>
        <w:t>Woltereck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Zur Gründung von Goslar und Braun</w:t>
      </w:r>
      <w:r w:rsidRPr="00E9210E">
        <w:rPr>
          <w:rStyle w:val="Corpsdutexte28ptItalique"/>
          <w:rFonts w:eastAsia="Courier New"/>
          <w:sz w:val="28"/>
        </w:rPr>
        <w:t>s</w:t>
      </w:r>
      <w:r w:rsidRPr="00E9210E">
        <w:rPr>
          <w:rStyle w:val="Corpsdutexte28ptItalique"/>
          <w:rFonts w:eastAsia="Courier New"/>
          <w:sz w:val="28"/>
        </w:rPr>
        <w:t>chweig,</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Vierteljahrschrift für Sozial- und Wirtschaftsgeschichte</w:t>
      </w:r>
      <w:r w:rsidRPr="00E9210E">
        <w:rPr>
          <w:rStyle w:val="Corpsdutexte28ptGraschelle120"/>
          <w:rFonts w:eastAsia="Courier New"/>
          <w:sz w:val="28"/>
        </w:rPr>
        <w:t xml:space="preserve">, </w:t>
      </w:r>
      <w:r w:rsidRPr="00E9210E">
        <w:t>t. XXIII (1929), pp. 23-44 et 177-213), « A.H.E.S. »</w:t>
      </w:r>
      <w:r w:rsidRPr="00E9210E">
        <w:rPr>
          <w:rStyle w:val="Corpsdutexte28ptGraschelle120"/>
          <w:rFonts w:eastAsia="Courier New"/>
          <w:sz w:val="28"/>
        </w:rPr>
        <w:t xml:space="preserve">, </w:t>
      </w:r>
      <w:r w:rsidRPr="00E9210E">
        <w:t>t. IV (1932), p. 606.</w:t>
      </w:r>
    </w:p>
    <w:p w14:paraId="4A1AFD1A" w14:textId="77777777" w:rsidR="00B9662D" w:rsidRPr="00E9210E" w:rsidRDefault="00B9662D" w:rsidP="00B9662D">
      <w:pPr>
        <w:spacing w:before="120" w:after="120"/>
        <w:jc w:val="both"/>
      </w:pPr>
      <w:r w:rsidRPr="00E9210E">
        <w:rPr>
          <w:rStyle w:val="Corpsdutexte385ptNonItalique"/>
          <w:rFonts w:eastAsia="Courier New"/>
          <w:i w:val="0"/>
          <w:iCs w:val="0"/>
          <w:sz w:val="28"/>
        </w:rPr>
        <w:t>Anciens types urbains du Nord. (Compte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W. </w:t>
      </w:r>
      <w:r w:rsidRPr="00E9210E">
        <w:rPr>
          <w:rStyle w:val="Corpsdutexte37ptGrasNonItalique"/>
          <w:rFonts w:eastAsia="Courier New"/>
          <w:b w:val="0"/>
          <w:i w:val="0"/>
          <w:iCs w:val="0"/>
          <w:smallCaps/>
          <w:sz w:val="28"/>
        </w:rPr>
        <w:t>Vogel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Ha</w:t>
      </w:r>
      <w:r w:rsidRPr="00E9210E">
        <w:rPr>
          <w:i/>
        </w:rPr>
        <w:t>n</w:t>
      </w:r>
      <w:r w:rsidRPr="00E9210E">
        <w:rPr>
          <w:i/>
        </w:rPr>
        <w:t>delsverkehr, Städtewesen und Staatenbildung in Nordeuropa im fr</w:t>
      </w:r>
      <w:r w:rsidRPr="00E9210E">
        <w:rPr>
          <w:i/>
        </w:rPr>
        <w:t>ü</w:t>
      </w:r>
      <w:r w:rsidRPr="00E9210E">
        <w:rPr>
          <w:i/>
        </w:rPr>
        <w:t>heren Mittelalter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Zeit</w:t>
      </w:r>
      <w:r w:rsidRPr="00E9210E">
        <w:rPr>
          <w:i/>
        </w:rPr>
        <w:t>s</w:t>
      </w:r>
      <w:r w:rsidRPr="00E9210E">
        <w:rPr>
          <w:i/>
        </w:rPr>
        <w:t>chrift der Gesellschaft für Erdkunde zu Berlin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1931, pp. 258-275), « A.H.E.S.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IV (1932), pp. 606-607.</w:t>
      </w:r>
    </w:p>
    <w:p w14:paraId="086CB88C" w14:textId="77777777" w:rsidR="00B9662D" w:rsidRPr="00E9210E" w:rsidRDefault="00B9662D" w:rsidP="00B9662D">
      <w:pPr>
        <w:spacing w:before="120" w:after="120"/>
        <w:jc w:val="both"/>
      </w:pPr>
      <w:r w:rsidRPr="00E9210E">
        <w:t xml:space="preserve">Les origines de la Suisse. (Compte rendu : Emil </w:t>
      </w:r>
      <w:r w:rsidRPr="00E9210E">
        <w:rPr>
          <w:rStyle w:val="Corpsdutexte27ptGras"/>
          <w:rFonts w:eastAsia="Courier New"/>
          <w:b w:val="0"/>
          <w:smallCaps/>
          <w:sz w:val="28"/>
        </w:rPr>
        <w:t>Dürr</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R. </w:t>
      </w:r>
      <w:r w:rsidRPr="00E9210E">
        <w:rPr>
          <w:rStyle w:val="Corpsdutexte27ptGras"/>
          <w:rFonts w:eastAsia="Courier New"/>
          <w:b w:val="0"/>
          <w:smallCaps/>
          <w:sz w:val="28"/>
        </w:rPr>
        <w:t>Feller</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L. </w:t>
      </w:r>
      <w:r w:rsidRPr="00E9210E">
        <w:rPr>
          <w:smallCaps/>
        </w:rPr>
        <w:t xml:space="preserve">von </w:t>
      </w:r>
      <w:r w:rsidRPr="00E9210E">
        <w:rPr>
          <w:rStyle w:val="Corpsdutexte27ptGras"/>
          <w:rFonts w:eastAsia="Courier New"/>
          <w:b w:val="0"/>
          <w:smallCaps/>
          <w:sz w:val="28"/>
        </w:rPr>
        <w:t>Muralt</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H. </w:t>
      </w:r>
      <w:r w:rsidRPr="00E9210E">
        <w:rPr>
          <w:rStyle w:val="Corpsdutexte27ptGras"/>
          <w:rFonts w:eastAsia="Courier New"/>
          <w:b w:val="0"/>
          <w:smallCaps/>
          <w:sz w:val="28"/>
        </w:rPr>
        <w:t>Nabholz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Geschichte der Schweiz</w:t>
      </w:r>
      <w:r w:rsidRPr="00E9210E">
        <w:rPr>
          <w:rStyle w:val="Corpsdutexte28ptGraschelle120"/>
          <w:rFonts w:eastAsia="Courier New"/>
          <w:sz w:val="28"/>
        </w:rPr>
        <w:t xml:space="preserve">, </w:t>
      </w:r>
      <w:r w:rsidRPr="00E9210E">
        <w:t>1. Buch, Z</w:t>
      </w:r>
      <w:r w:rsidRPr="00E9210E">
        <w:t>u</w:t>
      </w:r>
      <w:r w:rsidRPr="00E9210E">
        <w:t xml:space="preserve">rich,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 619.</w:t>
      </w:r>
    </w:p>
    <w:p w14:paraId="4DF08E21" w14:textId="77777777" w:rsidR="00B9662D" w:rsidRPr="00E9210E" w:rsidRDefault="00B9662D" w:rsidP="00B9662D">
      <w:pPr>
        <w:spacing w:before="120" w:after="120"/>
        <w:jc w:val="both"/>
      </w:pPr>
      <w:r w:rsidRPr="00E9210E">
        <w:t>Une foire. (Compte rendu :</w:t>
      </w:r>
      <w:r w:rsidRPr="00E9210E">
        <w:rPr>
          <w:rStyle w:val="Corpsdutexte28ptGraschelle120"/>
          <w:rFonts w:eastAsia="Courier New"/>
          <w:sz w:val="28"/>
        </w:rPr>
        <w:t xml:space="preserve"> </w:t>
      </w:r>
      <w:r w:rsidRPr="00E9210E">
        <w:t xml:space="preserve">H. </w:t>
      </w:r>
      <w:r w:rsidRPr="00E9210E">
        <w:rPr>
          <w:rStyle w:val="Corpsdutexte27ptGras"/>
          <w:rFonts w:eastAsia="Courier New"/>
          <w:b w:val="0"/>
          <w:smallCaps/>
          <w:sz w:val="28"/>
        </w:rPr>
        <w:t>Ammann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Neue Beiträge zur Ge</w:t>
      </w:r>
      <w:r w:rsidRPr="00E9210E">
        <w:rPr>
          <w:rStyle w:val="Corpsdutexte28ptItalique"/>
          <w:rFonts w:eastAsia="Courier New"/>
          <w:sz w:val="28"/>
        </w:rPr>
        <w:t>s</w:t>
      </w:r>
      <w:r w:rsidRPr="00E9210E">
        <w:rPr>
          <w:rStyle w:val="Corpsdutexte28ptItalique"/>
          <w:rFonts w:eastAsia="Courier New"/>
          <w:sz w:val="28"/>
        </w:rPr>
        <w:t>chichte der Zurzacher Messen,</w:t>
      </w:r>
      <w:r w:rsidRPr="00E9210E">
        <w:rPr>
          <w:rStyle w:val="Corpsdutexte28ptGraschelle120"/>
          <w:rFonts w:eastAsia="Courier New"/>
          <w:sz w:val="28"/>
        </w:rPr>
        <w:t xml:space="preserve"> </w:t>
      </w:r>
      <w:r w:rsidRPr="00E9210E">
        <w:t xml:space="preserve">Aarau,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pp. 619-620.</w:t>
      </w:r>
    </w:p>
    <w:p w14:paraId="20895577" w14:textId="77777777" w:rsidR="00B9662D" w:rsidRPr="00E9210E" w:rsidRDefault="00B9662D" w:rsidP="00B9662D">
      <w:pPr>
        <w:spacing w:before="120" w:after="120"/>
        <w:jc w:val="both"/>
      </w:pPr>
      <w:r w:rsidRPr="00E9210E">
        <w:t xml:space="preserve">Un grand monastère et ses sujets. (Compte rendu : K. H. </w:t>
      </w:r>
      <w:r w:rsidRPr="00E9210E">
        <w:rPr>
          <w:rStyle w:val="Corpsdutexte27ptGras"/>
          <w:rFonts w:eastAsia="Courier New"/>
          <w:b w:val="0"/>
          <w:smallCaps/>
          <w:sz w:val="28"/>
        </w:rPr>
        <w:t>Ganahl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Studien zur Verfassungsgeschichte der Klosterherrschaft St. Galien</w:t>
      </w:r>
      <w:r w:rsidRPr="00E9210E">
        <w:rPr>
          <w:rStyle w:val="Corpsdutexte28ptGraschelle120"/>
          <w:rFonts w:eastAsia="Courier New"/>
          <w:sz w:val="28"/>
        </w:rPr>
        <w:t xml:space="preserve">, </w:t>
      </w:r>
      <w:r w:rsidRPr="00E9210E">
        <w:t>Innsbruck, 1931), « A.H.E.S. »</w:t>
      </w:r>
      <w:r w:rsidRPr="00E9210E">
        <w:rPr>
          <w:vertAlign w:val="subscript"/>
        </w:rPr>
        <w:t xml:space="preserve">y </w:t>
      </w:r>
      <w:r w:rsidRPr="00E9210E">
        <w:t>t. IV (1932), pp. 621-622.</w:t>
      </w:r>
    </w:p>
    <w:p w14:paraId="4FA08907" w14:textId="77777777" w:rsidR="00B9662D" w:rsidRPr="00E9210E" w:rsidRDefault="00B9662D" w:rsidP="00B9662D">
      <w:pPr>
        <w:spacing w:before="120" w:after="120"/>
        <w:jc w:val="both"/>
      </w:pPr>
      <w:r w:rsidRPr="00E9210E">
        <w:t>Une lignée de petits seigneurs territoriaux. (Compte rendu :</w:t>
      </w:r>
      <w:r w:rsidRPr="00E9210E">
        <w:rPr>
          <w:rStyle w:val="Corpsdutexte28ptGraschelle120"/>
          <w:rFonts w:eastAsia="Courier New"/>
          <w:sz w:val="28"/>
        </w:rPr>
        <w:t xml:space="preserve"> </w:t>
      </w:r>
      <w:r w:rsidRPr="00E9210E">
        <w:t>L. </w:t>
      </w:r>
      <w:r w:rsidRPr="00E9210E">
        <w:rPr>
          <w:rStyle w:val="Corpsdutexte27ptGras"/>
          <w:rFonts w:eastAsia="Courier New"/>
          <w:b w:val="0"/>
          <w:smallCaps/>
          <w:sz w:val="28"/>
        </w:rPr>
        <w:t>Welti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Geschichte der Reichsgrafschaft Hohenems und des Reic</w:t>
      </w:r>
      <w:r w:rsidRPr="00E9210E">
        <w:rPr>
          <w:rStyle w:val="Corpsdutexte28ptItalique"/>
          <w:rFonts w:eastAsia="Courier New"/>
          <w:sz w:val="28"/>
        </w:rPr>
        <w:t>h</w:t>
      </w:r>
      <w:r w:rsidRPr="00E9210E">
        <w:rPr>
          <w:rStyle w:val="Corpsdutexte28ptItalique"/>
          <w:rFonts w:eastAsia="Courier New"/>
          <w:sz w:val="28"/>
        </w:rPr>
        <w:t>shofes Lustenau,</w:t>
      </w:r>
      <w:r w:rsidRPr="00E9210E">
        <w:rPr>
          <w:rStyle w:val="Corpsdutexte28ptGraschelle120"/>
          <w:rFonts w:eastAsia="Courier New"/>
          <w:sz w:val="28"/>
        </w:rPr>
        <w:t xml:space="preserve"> </w:t>
      </w:r>
      <w:r w:rsidRPr="00E9210E">
        <w:t>Innsbruck, 1930), « A.H.E.S. », t. IV (1932), pp. 623-624.</w:t>
      </w:r>
    </w:p>
    <w:p w14:paraId="5CB5A05E" w14:textId="77777777" w:rsidR="00B9662D" w:rsidRPr="00E9210E" w:rsidRDefault="00B9662D" w:rsidP="00B9662D">
      <w:pPr>
        <w:spacing w:before="120" w:after="120"/>
        <w:jc w:val="both"/>
      </w:pPr>
      <w:r w:rsidRPr="00E9210E">
        <w:t>Un carrefour d’influences :</w:t>
      </w:r>
      <w:r w:rsidRPr="00E9210E">
        <w:rPr>
          <w:rStyle w:val="Corpsdutexte28ptGraschelle120"/>
          <w:rFonts w:eastAsia="Courier New"/>
          <w:sz w:val="28"/>
        </w:rPr>
        <w:t xml:space="preserve"> </w:t>
      </w:r>
      <w:r w:rsidRPr="00E9210E">
        <w:t>la Petite Arménie. (Compte rendu : N. </w:t>
      </w:r>
      <w:r w:rsidRPr="00E9210E">
        <w:rPr>
          <w:rStyle w:val="Corpsdutexte27ptGras"/>
          <w:rFonts w:eastAsia="Courier New"/>
          <w:b w:val="0"/>
          <w:smallCaps/>
          <w:sz w:val="28"/>
        </w:rPr>
        <w:t>Iorga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Brève histoire de la Petite Arménie,</w:t>
      </w:r>
      <w:r w:rsidRPr="00E9210E">
        <w:rPr>
          <w:rStyle w:val="Corpsdutexte28ptGraschelle120"/>
          <w:rFonts w:eastAsia="Courier New"/>
          <w:sz w:val="28"/>
        </w:rPr>
        <w:t xml:space="preserve"> </w:t>
      </w:r>
      <w:r w:rsidRPr="00E9210E">
        <w:t xml:space="preserve">Paris,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IV (1932), p. 627.</w:t>
      </w:r>
    </w:p>
    <w:p w14:paraId="3ED61349" w14:textId="77777777" w:rsidR="00B9662D" w:rsidRPr="00E9210E" w:rsidRDefault="00B9662D" w:rsidP="00B9662D">
      <w:pPr>
        <w:spacing w:before="120" w:after="120"/>
        <w:jc w:val="both"/>
      </w:pPr>
      <w:r w:rsidRPr="00E9210E">
        <w:t>L’Islande. (Compte rendu :</w:t>
      </w:r>
      <w:r w:rsidRPr="00E9210E">
        <w:rPr>
          <w:rStyle w:val="Corpsdutexte28ptGraschelle120"/>
          <w:rFonts w:eastAsia="Courier New"/>
          <w:sz w:val="28"/>
        </w:rPr>
        <w:t xml:space="preserve"> </w:t>
      </w:r>
      <w:r w:rsidRPr="00E9210E">
        <w:rPr>
          <w:rStyle w:val="Corpsdutexte28ptItalique"/>
          <w:rFonts w:eastAsia="Courier New"/>
          <w:sz w:val="28"/>
        </w:rPr>
        <w:t>Deutsche Islandforschung,</w:t>
      </w:r>
      <w:r w:rsidRPr="00E9210E">
        <w:rPr>
          <w:rStyle w:val="Corpsdutexte28ptGraschelle120"/>
          <w:rFonts w:eastAsia="Courier New"/>
          <w:sz w:val="28"/>
        </w:rPr>
        <w:t xml:space="preserve"> </w:t>
      </w:r>
      <w:r w:rsidRPr="00E9210E">
        <w:t>t. I :</w:t>
      </w:r>
      <w:r w:rsidRPr="00E9210E">
        <w:rPr>
          <w:rStyle w:val="Corpsdutexte28ptGraschelle120"/>
          <w:rFonts w:eastAsia="Courier New"/>
          <w:sz w:val="28"/>
        </w:rPr>
        <w:t xml:space="preserve"> </w:t>
      </w:r>
      <w:r w:rsidRPr="00E9210E">
        <w:rPr>
          <w:rStyle w:val="Corpsdutexte28ptItalique"/>
          <w:rFonts w:eastAsia="Courier New"/>
          <w:sz w:val="28"/>
        </w:rPr>
        <w:t>Ku</w:t>
      </w:r>
      <w:r w:rsidRPr="00E9210E">
        <w:rPr>
          <w:rStyle w:val="Corpsdutexte28ptItalique"/>
          <w:rFonts w:eastAsia="Courier New"/>
          <w:sz w:val="28"/>
        </w:rPr>
        <w:t>l</w:t>
      </w:r>
      <w:r w:rsidRPr="00E9210E">
        <w:rPr>
          <w:rStyle w:val="Corpsdutexte28ptItalique"/>
          <w:rFonts w:eastAsia="Courier New"/>
          <w:sz w:val="28"/>
        </w:rPr>
        <w:t>tur ;</w:t>
      </w:r>
      <w:r w:rsidRPr="00E9210E">
        <w:rPr>
          <w:rStyle w:val="Corpsdutexte28ptGraschelle120"/>
          <w:rFonts w:eastAsia="Courier New"/>
          <w:sz w:val="28"/>
        </w:rPr>
        <w:t xml:space="preserve"> </w:t>
      </w:r>
      <w:r w:rsidRPr="00E9210E">
        <w:t>t. II :</w:t>
      </w:r>
      <w:r w:rsidRPr="00E9210E">
        <w:rPr>
          <w:rStyle w:val="Corpsdutexte28ptGraschelle120"/>
          <w:rFonts w:eastAsia="Courier New"/>
          <w:sz w:val="28"/>
        </w:rPr>
        <w:t xml:space="preserve"> </w:t>
      </w:r>
      <w:r w:rsidRPr="00E9210E">
        <w:rPr>
          <w:rStyle w:val="Corpsdutexte28ptItalique"/>
          <w:rFonts w:eastAsia="Courier New"/>
          <w:sz w:val="28"/>
        </w:rPr>
        <w:t>Natur,</w:t>
      </w:r>
      <w:r w:rsidRPr="00E9210E">
        <w:rPr>
          <w:rStyle w:val="Corpsdutexte28ptGraschelle120"/>
          <w:rFonts w:eastAsia="Courier New"/>
          <w:sz w:val="28"/>
        </w:rPr>
        <w:t xml:space="preserve"> </w:t>
      </w:r>
      <w:r w:rsidRPr="00E9210E">
        <w:t>Br</w:t>
      </w:r>
      <w:r w:rsidRPr="00E9210E">
        <w:t>e</w:t>
      </w:r>
      <w:r w:rsidRPr="00E9210E">
        <w:t>slau, 1930), « A.H.E.S. », t. IV (1932), pp. 627-628.</w:t>
      </w:r>
    </w:p>
    <w:p w14:paraId="35AEA8E5" w14:textId="77777777" w:rsidR="00B9662D" w:rsidRPr="00E9210E" w:rsidRDefault="00B9662D" w:rsidP="00B9662D">
      <w:pPr>
        <w:spacing w:before="120" w:after="120"/>
        <w:jc w:val="both"/>
      </w:pPr>
      <w:r w:rsidRPr="00E9210E">
        <w:t>Les Vikings en Amérique. (Compte rendu :</w:t>
      </w:r>
      <w:r w:rsidRPr="00E9210E">
        <w:rPr>
          <w:rStyle w:val="Corpsdutexte28ptGraschelle120"/>
          <w:rFonts w:eastAsia="Courier New"/>
          <w:sz w:val="28"/>
        </w:rPr>
        <w:t xml:space="preserve"> </w:t>
      </w:r>
      <w:r w:rsidRPr="00E9210E">
        <w:rPr>
          <w:rStyle w:val="Corpsdutexte28ptItalique"/>
          <w:rFonts w:eastAsia="Courier New"/>
          <w:sz w:val="28"/>
        </w:rPr>
        <w:t>The Vinland voyages,</w:t>
      </w:r>
      <w:r w:rsidRPr="00E9210E">
        <w:rPr>
          <w:rStyle w:val="Corpsdutexte28ptGraschelle120"/>
          <w:rFonts w:eastAsia="Courier New"/>
          <w:sz w:val="28"/>
        </w:rPr>
        <w:t xml:space="preserve"> </w:t>
      </w:r>
      <w:r w:rsidRPr="00E9210E">
        <w:t xml:space="preserve">trad. de M. </w:t>
      </w:r>
      <w:r w:rsidRPr="00E9210E">
        <w:rPr>
          <w:smallCaps/>
        </w:rPr>
        <w:t>Thordarson</w:t>
      </w:r>
      <w:r w:rsidRPr="00E9210E">
        <w:t>, New York, 1930), « A.H.E.S. », t. IV (1932), p. 628.</w:t>
      </w:r>
    </w:p>
    <w:p w14:paraId="089216B6"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J. </w:t>
      </w:r>
      <w:r w:rsidRPr="00E9210E">
        <w:rPr>
          <w:rStyle w:val="Corpsdutexte3NonItaliquePetitesmajuscules"/>
          <w:rFonts w:eastAsia="Courier New"/>
          <w:i w:val="0"/>
          <w:iCs w:val="0"/>
          <w:sz w:val="28"/>
        </w:rPr>
        <w:t xml:space="preserve">Lyna, </w:t>
      </w:r>
      <w:r w:rsidRPr="00E9210E">
        <w:rPr>
          <w:i/>
        </w:rPr>
        <w:t>Aperçu historique sur les origines urba</w:t>
      </w:r>
      <w:r w:rsidRPr="00E9210E">
        <w:rPr>
          <w:i/>
        </w:rPr>
        <w:t>i</w:t>
      </w:r>
      <w:r w:rsidRPr="00E9210E">
        <w:rPr>
          <w:i/>
        </w:rPr>
        <w:t>nes dans le comté de Looz et subsidiairement dans la vallée de la Meuse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Tongres, 1931,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Le Moyen Âge », 3</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série, t. 2 (1932), pp. 290-293.</w:t>
      </w:r>
    </w:p>
    <w:p w14:paraId="677DFC76"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 </w:t>
      </w:r>
      <w:r w:rsidRPr="00E9210E">
        <w:rPr>
          <w:rStyle w:val="Corpsdutexte37ptGrasNonItalique"/>
          <w:rFonts w:eastAsia="Courier New"/>
          <w:b w:val="0"/>
          <w:i w:val="0"/>
          <w:iCs w:val="0"/>
          <w:smallCaps/>
          <w:sz w:val="28"/>
        </w:rPr>
        <w:t>Raveau</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Essai sur la situation économique et l’état social en Poitou au </w:t>
      </w:r>
      <w:r w:rsidRPr="00E9210E">
        <w:rPr>
          <w:rFonts w:eastAsia="Courier New"/>
          <w:i/>
        </w:rPr>
        <w:t>XVI</w:t>
      </w:r>
      <w:r w:rsidRPr="00E9210E">
        <w:rPr>
          <w:rFonts w:eastAsia="Courier New"/>
          <w:i/>
          <w:vertAlign w:val="superscript"/>
        </w:rPr>
        <w:t>e</w:t>
      </w:r>
      <w:r w:rsidRPr="00E9210E">
        <w:rPr>
          <w:i/>
        </w:rPr>
        <w:t xml:space="preserve"> siècle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1931, « R.C.H.L. », 1932, pp. 53-55.</w:t>
      </w:r>
    </w:p>
    <w:p w14:paraId="674B2B7B"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A. </w:t>
      </w:r>
      <w:r w:rsidRPr="00E9210E">
        <w:rPr>
          <w:rStyle w:val="Corpsdutexte37ptGrasNonItalique"/>
          <w:rFonts w:eastAsia="Courier New"/>
          <w:b w:val="0"/>
          <w:i w:val="0"/>
          <w:iCs w:val="0"/>
          <w:smallCaps/>
          <w:sz w:val="28"/>
        </w:rPr>
        <w:t>Beardwood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Alien merchants in England, 1350 to 1377 : their legal and economic position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Cambridge, 1931, « R.C.H.L. », 1932, p. 389.</w:t>
      </w:r>
    </w:p>
    <w:p w14:paraId="49D00E1C"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8ptItalique"/>
          <w:rFonts w:eastAsia="Courier New"/>
          <w:sz w:val="28"/>
        </w:rPr>
        <w:t>Bulletin historique. Histoire d’Allemagne. Moyen Âge,</w:t>
      </w:r>
      <w:r w:rsidRPr="00E9210E">
        <w:rPr>
          <w:rStyle w:val="Corpsdutexte28ptGraschelle120"/>
          <w:rFonts w:eastAsia="Courier New"/>
          <w:sz w:val="28"/>
        </w:rPr>
        <w:t xml:space="preserve"> « </w:t>
      </w:r>
      <w:r w:rsidRPr="00E9210E">
        <w:t>Revue histor</w:t>
      </w:r>
      <w:r w:rsidRPr="00E9210E">
        <w:t>i</w:t>
      </w:r>
      <w:r w:rsidRPr="00E9210E">
        <w:t>que », t. 169 (1932), pp. 615-655.</w:t>
      </w:r>
    </w:p>
    <w:p w14:paraId="4DBA2EC0"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8ptItalique"/>
          <w:rFonts w:eastAsia="Courier New"/>
          <w:sz w:val="28"/>
        </w:rPr>
        <w:t>Bulletin historique. Histoire d’Allemagne. Moyen Âge,</w:t>
      </w:r>
      <w:r w:rsidRPr="00E9210E">
        <w:rPr>
          <w:rStyle w:val="Corpsdutexte28ptGraschelle120"/>
          <w:rFonts w:eastAsia="Courier New"/>
          <w:sz w:val="28"/>
        </w:rPr>
        <w:t xml:space="preserve"> « </w:t>
      </w:r>
      <w:r w:rsidRPr="00E9210E">
        <w:t>Revue histor</w:t>
      </w:r>
      <w:r w:rsidRPr="00E9210E">
        <w:t>i</w:t>
      </w:r>
      <w:r w:rsidRPr="00E9210E">
        <w:t>que », t. 170 (1932), p. 62-101.</w:t>
      </w:r>
    </w:p>
    <w:p w14:paraId="7AA048C6"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K. </w:t>
      </w:r>
      <w:r w:rsidRPr="00E9210E">
        <w:rPr>
          <w:rStyle w:val="Corpsdutexte27ptGras"/>
          <w:rFonts w:eastAsia="Courier New"/>
          <w:b w:val="0"/>
          <w:smallCaps/>
          <w:sz w:val="28"/>
        </w:rPr>
        <w:t>Meyer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Gründung der Eidgenossenschaft,</w:t>
      </w:r>
      <w:r w:rsidRPr="00E9210E">
        <w:rPr>
          <w:rStyle w:val="Corpsdutexte28ptGraschelle120"/>
          <w:rFonts w:eastAsia="Courier New"/>
          <w:sz w:val="28"/>
        </w:rPr>
        <w:t xml:space="preserve"> </w:t>
      </w:r>
      <w:r w:rsidRPr="00E9210E">
        <w:t xml:space="preserve">Zürich, 1930, et </w:t>
      </w:r>
      <w:r w:rsidRPr="00E9210E">
        <w:rPr>
          <w:rStyle w:val="Corpsdutexte28ptItalique"/>
          <w:rFonts w:eastAsia="Courier New"/>
          <w:sz w:val="28"/>
        </w:rPr>
        <w:t>Zur I</w:t>
      </w:r>
      <w:r w:rsidRPr="00E9210E">
        <w:rPr>
          <w:rStyle w:val="Corpsdutexte28ptItalique"/>
          <w:rFonts w:eastAsia="Courier New"/>
          <w:sz w:val="28"/>
        </w:rPr>
        <w:t>n</w:t>
      </w:r>
      <w:r w:rsidRPr="00E9210E">
        <w:rPr>
          <w:rStyle w:val="Corpsdutexte28ptItalique"/>
          <w:rFonts w:eastAsia="Courier New"/>
          <w:sz w:val="28"/>
        </w:rPr>
        <w:t>terpretation des Urschweizer Bundesbriefes von 1291,</w:t>
      </w:r>
      <w:r w:rsidRPr="00E9210E">
        <w:rPr>
          <w:rStyle w:val="Corpsdutexte28ptGraschelle120"/>
          <w:rFonts w:eastAsia="Courier New"/>
          <w:sz w:val="28"/>
        </w:rPr>
        <w:t xml:space="preserve"> </w:t>
      </w:r>
      <w:r w:rsidRPr="00E9210E">
        <w:t xml:space="preserve">Zürich, 1930, </w:t>
      </w:r>
      <w:r w:rsidRPr="00E9210E">
        <w:rPr>
          <w:rStyle w:val="Corpsdutexte28ptGraschelle120"/>
          <w:rFonts w:eastAsia="Courier New"/>
          <w:sz w:val="28"/>
        </w:rPr>
        <w:t>« </w:t>
      </w:r>
      <w:r w:rsidRPr="00E9210E">
        <w:t>Revue historique », t. 170 (1932), pp. 531-532.</w:t>
      </w:r>
    </w:p>
    <w:p w14:paraId="7214C9A4" w14:textId="77777777" w:rsidR="00B9662D" w:rsidRPr="00E9210E" w:rsidRDefault="00B9662D" w:rsidP="00B9662D">
      <w:pPr>
        <w:spacing w:before="120" w:after="120"/>
        <w:jc w:val="both"/>
      </w:pPr>
      <w:r w:rsidRPr="00E9210E">
        <w:rPr>
          <w:rStyle w:val="Corpsdutexte385ptNonItalique"/>
          <w:rFonts w:eastAsia="Courier New"/>
          <w:i w:val="0"/>
          <w:iCs w:val="0"/>
          <w:sz w:val="28"/>
        </w:rPr>
        <w:t>Quelques travaux d’histoire religieuse médiévale. (Comptes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dus : R. </w:t>
      </w:r>
      <w:r w:rsidRPr="00E9210E">
        <w:rPr>
          <w:rStyle w:val="Corpsdutexte37ptGrasNonItalique"/>
          <w:rFonts w:eastAsia="Courier New"/>
          <w:b w:val="0"/>
          <w:i w:val="0"/>
          <w:iCs w:val="0"/>
          <w:smallCaps/>
          <w:sz w:val="28"/>
        </w:rPr>
        <w:t>Macaigne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L’Église mér</w:t>
      </w:r>
      <w:r w:rsidRPr="00E9210E">
        <w:rPr>
          <w:i/>
        </w:rPr>
        <w:t>o</w:t>
      </w:r>
      <w:r w:rsidRPr="00E9210E">
        <w:rPr>
          <w:i/>
        </w:rPr>
        <w:t>vingienne et l’État pontifical</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1929. — J. </w:t>
      </w:r>
      <w:r w:rsidRPr="00E9210E">
        <w:rPr>
          <w:rStyle w:val="Corpsdutexte37ptGrasNonItalique"/>
          <w:rFonts w:eastAsia="Courier New"/>
          <w:b w:val="0"/>
          <w:i w:val="0"/>
          <w:iCs w:val="0"/>
          <w:smallCaps/>
          <w:sz w:val="28"/>
        </w:rPr>
        <w:t>Reviron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idées politico-religieuses d’un évêque du IX</w:t>
      </w:r>
      <w:r w:rsidRPr="00E9210E">
        <w:rPr>
          <w:i/>
          <w:vertAlign w:val="superscript"/>
        </w:rPr>
        <w:t>e</w:t>
      </w:r>
      <w:r w:rsidRPr="00E9210E">
        <w:rPr>
          <w:i/>
        </w:rPr>
        <w:t xml:space="preserve"> s. : Jonas d’Orléans et son</w:t>
      </w:r>
      <w:r w:rsidRPr="00E9210E">
        <w:rPr>
          <w:rStyle w:val="Corpsdutexte3GrasNonItaliquechelle120"/>
          <w:rFonts w:eastAsia="Courier New"/>
          <w:i w:val="0"/>
          <w:iCs w:val="0"/>
          <w:sz w:val="28"/>
        </w:rPr>
        <w:t xml:space="preserve"> « </w:t>
      </w:r>
      <w:r w:rsidRPr="00E9210E">
        <w:rPr>
          <w:i/>
        </w:rPr>
        <w:t>De inst</w:t>
      </w:r>
      <w:r w:rsidRPr="00E9210E">
        <w:rPr>
          <w:i/>
        </w:rPr>
        <w:t>i</w:t>
      </w:r>
      <w:r w:rsidRPr="00E9210E">
        <w:rPr>
          <w:i/>
        </w:rPr>
        <w:t>tutione regia</w:t>
      </w:r>
      <w:r w:rsidRPr="00E9210E">
        <w:rPr>
          <w:rStyle w:val="Corpsdutexte3GrasNonItaliquechelle120"/>
          <w:rFonts w:eastAsia="Courier New"/>
          <w:i w:val="0"/>
          <w:iCs w:val="0"/>
          <w:sz w:val="28"/>
        </w:rPr>
        <w:t xml:space="preserve"> » ; </w:t>
      </w:r>
      <w:r w:rsidRPr="00E9210E">
        <w:rPr>
          <w:i/>
        </w:rPr>
        <w:t>étude et texte critique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1930. — </w:t>
      </w:r>
      <w:r w:rsidRPr="00E9210E">
        <w:rPr>
          <w:rStyle w:val="Corpsdutexte37ptGrasNonItalique"/>
          <w:rFonts w:eastAsia="Courier New"/>
          <w:b w:val="0"/>
          <w:i w:val="0"/>
          <w:iCs w:val="0"/>
          <w:sz w:val="28"/>
        </w:rPr>
        <w:t xml:space="preserve">M. </w:t>
      </w:r>
      <w:r w:rsidRPr="00E9210E">
        <w:rPr>
          <w:rStyle w:val="Corpsdutexte37ptGrasNonItalique"/>
          <w:rFonts w:eastAsia="Courier New"/>
          <w:b w:val="0"/>
          <w:i w:val="0"/>
          <w:iCs w:val="0"/>
          <w:smallCaps/>
          <w:sz w:val="28"/>
        </w:rPr>
        <w:t>Aron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Un animateur de la jeunesse au </w:t>
      </w:r>
      <w:r w:rsidRPr="00E9210E">
        <w:rPr>
          <w:rFonts w:eastAsia="Courier New"/>
          <w:i/>
        </w:rPr>
        <w:t>XIII</w:t>
      </w:r>
      <w:r w:rsidRPr="00E9210E">
        <w:rPr>
          <w:rFonts w:eastAsia="Courier New"/>
          <w:i/>
          <w:vertAlign w:val="superscript"/>
        </w:rPr>
        <w:t>e</w:t>
      </w:r>
      <w:r w:rsidRPr="00E9210E">
        <w:rPr>
          <w:rFonts w:eastAsia="Courier New"/>
          <w:i/>
        </w:rPr>
        <w:t xml:space="preserve"> 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1930),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 synt. hist.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52 (1932), pp. 105-107.</w:t>
      </w:r>
    </w:p>
    <w:p w14:paraId="22888035" w14:textId="77777777" w:rsidR="00B9662D" w:rsidRPr="00E9210E" w:rsidRDefault="00B9662D" w:rsidP="00B9662D">
      <w:pPr>
        <w:spacing w:before="120" w:after="120"/>
        <w:jc w:val="both"/>
      </w:pPr>
      <w:r w:rsidRPr="00E9210E">
        <w:t>[1058]</w:t>
      </w:r>
    </w:p>
    <w:p w14:paraId="69AB2CD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P. </w:t>
      </w:r>
      <w:r w:rsidRPr="00E9210E">
        <w:rPr>
          <w:rStyle w:val="Corpsdutexte117ptGrasNonItaliquePetitesmajusculesEspacement0pt"/>
          <w:rFonts w:eastAsia="Courier New"/>
          <w:b w:val="0"/>
          <w:i w:val="0"/>
          <w:iCs w:val="0"/>
          <w:sz w:val="28"/>
          <w:lang w:val="fr-CA"/>
        </w:rPr>
        <w:t>Fournier,</w:t>
      </w:r>
      <w:r w:rsidRPr="00E9210E">
        <w:rPr>
          <w:rStyle w:val="Corpsdutexte117ptGrasNonItaliquePetitesmajusculesEspacement0pt"/>
          <w:rFonts w:eastAsia="Courier New"/>
          <w:i w:val="0"/>
          <w:iCs w:val="0"/>
          <w:sz w:val="28"/>
          <w:lang w:val="fr-CA"/>
        </w:rPr>
        <w:t xml:space="preserve"> </w:t>
      </w:r>
      <w:r w:rsidRPr="00E9210E">
        <w:rPr>
          <w:i/>
        </w:rPr>
        <w:t>Histoire des collections canoniques en Occident depuis les Fausses Décrétales jusqu'au Décret de Gr</w:t>
      </w:r>
      <w:r w:rsidRPr="00E9210E">
        <w:rPr>
          <w:i/>
        </w:rPr>
        <w:t>a</w:t>
      </w:r>
      <w:r w:rsidRPr="00E9210E">
        <w:rPr>
          <w:i/>
        </w:rPr>
        <w:t>tien</w:t>
      </w:r>
      <w:r w:rsidRPr="00E9210E">
        <w:t>,</w:t>
      </w:r>
      <w:r w:rsidRPr="00E9210E">
        <w:rPr>
          <w:rStyle w:val="Corpsdutexte11NonItaliqueEspacement0pt"/>
          <w:rFonts w:eastAsia="Courier New"/>
          <w:i w:val="0"/>
          <w:iCs w:val="0"/>
          <w:sz w:val="28"/>
          <w:lang w:val="fr-CA"/>
        </w:rPr>
        <w:t xml:space="preserve"> Paris, 1931-1932, « Rev. synt. hist. », t. 52 (1932), pp. 333-336.</w:t>
      </w:r>
    </w:p>
    <w:p w14:paraId="66E35DA3" w14:textId="77777777" w:rsidR="00B9662D" w:rsidRPr="00E9210E" w:rsidRDefault="00B9662D" w:rsidP="00B9662D">
      <w:pPr>
        <w:spacing w:before="120" w:after="120"/>
        <w:jc w:val="both"/>
      </w:pPr>
    </w:p>
    <w:p w14:paraId="3B8C1EE4" w14:textId="77777777" w:rsidR="00B9662D" w:rsidRPr="00E9210E" w:rsidRDefault="00B9662D" w:rsidP="00B9662D">
      <w:pPr>
        <w:spacing w:before="120" w:after="120"/>
        <w:jc w:val="center"/>
        <w:rPr>
          <w:b/>
        </w:rPr>
      </w:pPr>
      <w:r w:rsidRPr="00E9210E">
        <w:rPr>
          <w:b/>
        </w:rPr>
        <w:t>1933</w:t>
      </w:r>
    </w:p>
    <w:p w14:paraId="0989E128" w14:textId="77777777" w:rsidR="00B9662D" w:rsidRPr="00E9210E" w:rsidRDefault="00B9662D" w:rsidP="00B9662D">
      <w:pPr>
        <w:spacing w:before="120" w:after="120"/>
        <w:jc w:val="both"/>
        <w:rPr>
          <w:rStyle w:val="Corpsdutexte885ptNonGraschelle100"/>
          <w:rFonts w:eastAsia="Courier New"/>
          <w:b w:val="0"/>
          <w:bCs w:val="0"/>
          <w:sz w:val="28"/>
        </w:rPr>
      </w:pPr>
    </w:p>
    <w:p w14:paraId="098F6439"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Le problème de l’or au Moyen Âge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A.H.E.S.</w:t>
      </w:r>
      <w:r w:rsidRPr="00E9210E">
        <w:rPr>
          <w:rStyle w:val="Corpsdutexte885ptNonGraschelle100"/>
          <w:rFonts w:eastAsia="Courier New"/>
          <w:b w:val="0"/>
          <w:bCs w:val="0"/>
          <w:sz w:val="28"/>
        </w:rPr>
        <w:t>, t. V (1933), pp. 1-34.</w:t>
      </w:r>
    </w:p>
    <w:p w14:paraId="5D048405"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L’or dans le Massif Central »</w:t>
      </w:r>
      <w:r w:rsidRPr="00E9210E">
        <w:t xml:space="preserve">, </w:t>
      </w:r>
      <w:r w:rsidRPr="00E9210E">
        <w:rPr>
          <w:rFonts w:eastAsia="Courier New"/>
        </w:rPr>
        <w:t>A.H.E.S</w:t>
      </w:r>
      <w:r w:rsidRPr="00E9210E">
        <w:t>., t. V (1933), p. 487.</w:t>
      </w:r>
    </w:p>
    <w:p w14:paraId="11499F31" w14:textId="77777777" w:rsidR="00B9662D" w:rsidRPr="00E9210E" w:rsidRDefault="00B9662D" w:rsidP="00B9662D">
      <w:pPr>
        <w:spacing w:before="120" w:after="120"/>
        <w:jc w:val="both"/>
      </w:pPr>
      <w:r w:rsidRPr="00E9210E">
        <w:t>« </w:t>
      </w:r>
      <w:r w:rsidRPr="00E9210E">
        <w:rPr>
          <w:b/>
        </w:rPr>
        <w:t>Liberté et servitude personnelle au Moyen Âge, particuli</w:t>
      </w:r>
      <w:r w:rsidRPr="00E9210E">
        <w:rPr>
          <w:b/>
        </w:rPr>
        <w:t>è</w:t>
      </w:r>
      <w:r w:rsidRPr="00E9210E">
        <w:rPr>
          <w:b/>
        </w:rPr>
        <w:t>rement en France </w:t>
      </w:r>
      <w:r w:rsidRPr="00E9210E">
        <w:t xml:space="preserve">», </w:t>
      </w:r>
      <w:r w:rsidRPr="00E9210E">
        <w:rPr>
          <w:i/>
        </w:rPr>
        <w:t>Anuario de Historia del derecho espanol</w:t>
      </w:r>
      <w:r w:rsidRPr="00E9210E">
        <w:t>,</w:t>
      </w:r>
      <w:r w:rsidRPr="00E9210E">
        <w:rPr>
          <w:rStyle w:val="Corpsdutexte108ptGrasNonItaliquechelle120"/>
          <w:rFonts w:eastAsia="Courier New"/>
          <w:i w:val="0"/>
          <w:iCs w:val="0"/>
          <w:sz w:val="28"/>
        </w:rPr>
        <w:t xml:space="preserve"> </w:t>
      </w:r>
      <w:r w:rsidRPr="00E9210E">
        <w:rPr>
          <w:rFonts w:eastAsia="Courier New"/>
          <w:iCs/>
        </w:rPr>
        <w:t>t. X (1933), pp. 19-115.</w:t>
      </w:r>
    </w:p>
    <w:p w14:paraId="506CD971" w14:textId="77777777" w:rsidR="00B9662D" w:rsidRPr="00E9210E" w:rsidRDefault="00B9662D" w:rsidP="00B9662D">
      <w:pPr>
        <w:spacing w:before="120" w:after="120"/>
        <w:jc w:val="both"/>
      </w:pPr>
      <w:r w:rsidRPr="00E9210E">
        <w:t xml:space="preserve">« De </w:t>
      </w:r>
      <w:r w:rsidRPr="00E9210E">
        <w:rPr>
          <w:b/>
        </w:rPr>
        <w:t>la grande exploitation domaniale à la rente du sol : un problème et un projet d’enquête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Bulletin of the international committee of historical sciences</w:t>
      </w:r>
      <w:r w:rsidRPr="00E9210E">
        <w:rPr>
          <w:rStyle w:val="Corpsdutexte885ptNonGrasItaliqueEspacement0ptchelle100"/>
          <w:rFonts w:eastAsia="Courier New"/>
          <w:b w:val="0"/>
          <w:bCs w:val="0"/>
          <w:sz w:val="28"/>
          <w:lang w:val="fr-CA"/>
        </w:rPr>
        <w:t xml:space="preserve">, </w:t>
      </w:r>
      <w:r w:rsidRPr="00E9210E">
        <w:rPr>
          <w:rStyle w:val="Corpsdutexte885ptNonGraschelle100"/>
          <w:rFonts w:eastAsia="Courier New"/>
          <w:b w:val="0"/>
          <w:bCs w:val="0"/>
          <w:sz w:val="28"/>
        </w:rPr>
        <w:t>t. V (1933), pp. 122-126.</w:t>
      </w:r>
    </w:p>
    <w:p w14:paraId="7ADE9831"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Christian Pfister, 1857-1933, sa vie, ses œuvres »</w:t>
      </w:r>
      <w:r w:rsidRPr="00E9210E">
        <w:t xml:space="preserve"> (Marc Bloch est l’auteur du chapitre concernant les œuvres), </w:t>
      </w:r>
      <w:r w:rsidRPr="00E9210E">
        <w:rPr>
          <w:rFonts w:eastAsia="Courier New"/>
        </w:rPr>
        <w:t>Revue historique</w:t>
      </w:r>
      <w:r w:rsidRPr="00E9210E">
        <w:t>, t. 172 (1933), p. 548-570.</w:t>
      </w:r>
    </w:p>
    <w:p w14:paraId="48818F54" w14:textId="77777777" w:rsidR="00B9662D" w:rsidRPr="00E9210E" w:rsidRDefault="00B9662D" w:rsidP="00B9662D">
      <w:pPr>
        <w:spacing w:before="120" w:after="120"/>
        <w:jc w:val="both"/>
      </w:pPr>
      <w:r w:rsidRPr="00E9210E">
        <w:rPr>
          <w:rFonts w:eastAsia="Courier New"/>
          <w:iCs/>
        </w:rPr>
        <w:t>[</w:t>
      </w:r>
      <w:r w:rsidRPr="00E9210E">
        <w:rPr>
          <w:rFonts w:eastAsia="Courier New"/>
          <w:i/>
          <w:iCs/>
        </w:rPr>
        <w:t>« </w:t>
      </w:r>
      <w:r w:rsidRPr="00E9210E">
        <w:rPr>
          <w:rStyle w:val="Corpsdutexte108ptGrasNonItaliquechelle120"/>
          <w:rFonts w:eastAsia="Courier New"/>
          <w:i w:val="0"/>
          <w:iCs w:val="0"/>
          <w:sz w:val="28"/>
        </w:rPr>
        <w:t>Préface »</w:t>
      </w:r>
      <w:r w:rsidRPr="00E9210E">
        <w:rPr>
          <w:rFonts w:eastAsia="Courier New"/>
          <w:iCs/>
        </w:rPr>
        <w:t>].</w:t>
      </w:r>
      <w:r w:rsidRPr="00E9210E">
        <w:rPr>
          <w:rFonts w:eastAsia="Courier New"/>
          <w:i/>
          <w:iCs/>
        </w:rPr>
        <w:t xml:space="preserve"> </w:t>
      </w:r>
      <w:r w:rsidRPr="00E9210E">
        <w:rPr>
          <w:rStyle w:val="Corpsdutexte107ptGrasNonItalique"/>
          <w:rFonts w:eastAsia="Courier New"/>
          <w:b w:val="0"/>
          <w:i w:val="0"/>
          <w:iCs w:val="0"/>
          <w:smallCaps/>
          <w:sz w:val="28"/>
        </w:rPr>
        <w:t>Régné</w:t>
      </w:r>
      <w:r w:rsidRPr="00E9210E">
        <w:rPr>
          <w:rStyle w:val="Corpsdutexte107ptGrasNonItalique"/>
          <w:rFonts w:eastAsia="Courier New"/>
          <w:i w:val="0"/>
          <w:iCs w:val="0"/>
          <w:sz w:val="28"/>
        </w:rPr>
        <w:t xml:space="preserve"> </w:t>
      </w:r>
      <w:r w:rsidRPr="00E9210E">
        <w:rPr>
          <w:rFonts w:eastAsia="Courier New"/>
          <w:iCs/>
        </w:rPr>
        <w:t>(Jean),</w:t>
      </w:r>
      <w:r w:rsidRPr="00E9210E">
        <w:rPr>
          <w:rFonts w:eastAsia="Courier New"/>
          <w:i/>
          <w:iCs/>
        </w:rPr>
        <w:t xml:space="preserve"> </w:t>
      </w:r>
      <w:r w:rsidRPr="00E9210E">
        <w:rPr>
          <w:i/>
        </w:rPr>
        <w:t>Répertoire des plans cadastraux parcella</w:t>
      </w:r>
      <w:r w:rsidRPr="00E9210E">
        <w:rPr>
          <w:i/>
        </w:rPr>
        <w:t>i</w:t>
      </w:r>
      <w:r w:rsidRPr="00E9210E">
        <w:rPr>
          <w:i/>
        </w:rPr>
        <w:t>res de l’Ardèche</w:t>
      </w:r>
      <w:r w:rsidRPr="00E9210E">
        <w:t xml:space="preserve">, </w:t>
      </w:r>
      <w:r w:rsidRPr="00E9210E">
        <w:rPr>
          <w:rFonts w:eastAsia="Courier New"/>
          <w:iCs/>
        </w:rPr>
        <w:t>Annonay, 1933, in-4°, 71 p.</w:t>
      </w:r>
    </w:p>
    <w:p w14:paraId="2D646933" w14:textId="77777777" w:rsidR="00B9662D" w:rsidRPr="00E9210E" w:rsidRDefault="00B9662D" w:rsidP="00B9662D">
      <w:pPr>
        <w:spacing w:before="120" w:after="120"/>
        <w:jc w:val="both"/>
      </w:pPr>
      <w:r w:rsidRPr="00E9210E">
        <w:t xml:space="preserve">Manuels ou synthèses. (Comptes rendus : </w:t>
      </w:r>
      <w:r w:rsidRPr="00E9210E">
        <w:rPr>
          <w:rFonts w:eastAsia="Courier New"/>
          <w:i/>
        </w:rPr>
        <w:t>Cambridge Medieval History</w:t>
      </w:r>
      <w:r w:rsidRPr="00E9210E">
        <w:rPr>
          <w:rFonts w:eastAsia="Courier New"/>
        </w:rPr>
        <w:t>,</w:t>
      </w:r>
      <w:r w:rsidRPr="00E9210E">
        <w:rPr>
          <w:rStyle w:val="Corpsdutexte28ptGraschelle120"/>
          <w:rFonts w:eastAsia="Courier New"/>
          <w:sz w:val="28"/>
        </w:rPr>
        <w:t xml:space="preserve"> </w:t>
      </w:r>
      <w:r w:rsidRPr="00E9210E">
        <w:t xml:space="preserve">vol. VII, </w:t>
      </w:r>
      <w:r w:rsidRPr="00E9210E">
        <w:rPr>
          <w:rFonts w:eastAsia="Courier New"/>
          <w:i/>
        </w:rPr>
        <w:t>Decline of Empire and Papacy</w:t>
      </w:r>
      <w:r w:rsidRPr="00E9210E">
        <w:rPr>
          <w:rStyle w:val="Corpsdutexte28ptGraschelle120"/>
          <w:rFonts w:eastAsia="Courier New"/>
          <w:sz w:val="28"/>
        </w:rPr>
        <w:t xml:space="preserve">, </w:t>
      </w:r>
      <w:r w:rsidRPr="00E9210E">
        <w:t xml:space="preserve">Cambridge, 1932. — L. </w:t>
      </w:r>
      <w:r w:rsidRPr="00E9210E">
        <w:rPr>
          <w:rStyle w:val="Corpsdutexte27ptGras"/>
          <w:rFonts w:eastAsia="Courier New"/>
          <w:b w:val="0"/>
          <w:smallCaps/>
          <w:sz w:val="28"/>
        </w:rPr>
        <w:t>Halphen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Essor de l’Europe,</w:t>
      </w:r>
      <w:r w:rsidRPr="00E9210E">
        <w:rPr>
          <w:rFonts w:eastAsia="Courier New"/>
        </w:rPr>
        <w:t xml:space="preserve"> </w:t>
      </w:r>
      <w:r w:rsidRPr="00E9210E">
        <w:rPr>
          <w:rStyle w:val="Corpsdutexte2ItaliqueEspacement1pt"/>
          <w:rFonts w:eastAsia="Courier New"/>
          <w:sz w:val="28"/>
        </w:rPr>
        <w:t>XI</w:t>
      </w:r>
      <w:r w:rsidRPr="00E9210E">
        <w:rPr>
          <w:rStyle w:val="Corpsdutexte2ItaliqueEspacement1pt"/>
          <w:rFonts w:eastAsia="Courier New"/>
          <w:sz w:val="28"/>
          <w:vertAlign w:val="superscript"/>
        </w:rPr>
        <w:t>e</w:t>
      </w:r>
      <w:r w:rsidRPr="00E9210E">
        <w:rPr>
          <w:rStyle w:val="Corpsdutexte2ItaliqueEspacement1pt"/>
          <w:rFonts w:eastAsia="Courier New"/>
          <w:sz w:val="28"/>
        </w:rPr>
        <w:t>-XIII</w:t>
      </w:r>
      <w:r w:rsidRPr="00E9210E">
        <w:rPr>
          <w:rStyle w:val="Corpsdutexte2ItaliqueEspacement1pt"/>
          <w:rFonts w:eastAsia="Courier New"/>
          <w:sz w:val="28"/>
          <w:vertAlign w:val="superscript"/>
        </w:rPr>
        <w:t>e</w:t>
      </w:r>
      <w:r w:rsidRPr="00E9210E">
        <w:rPr>
          <w:rFonts w:eastAsia="Courier New"/>
        </w:rPr>
        <w:t xml:space="preserve"> </w:t>
      </w:r>
      <w:r w:rsidRPr="00E9210E">
        <w:rPr>
          <w:rFonts w:eastAsia="Courier New"/>
          <w:i/>
        </w:rPr>
        <w:t>siècle</w:t>
      </w:r>
      <w:r w:rsidRPr="00E9210E">
        <w:t>, Paris, 1932, « Peuples et Civilisations », vol. VI), « A.H.E.S. », t. V (1933), pp. 67-71.</w:t>
      </w:r>
    </w:p>
    <w:p w14:paraId="0024A1A6" w14:textId="77777777" w:rsidR="00B9662D" w:rsidRPr="00E9210E" w:rsidRDefault="00B9662D" w:rsidP="00B9662D">
      <w:pPr>
        <w:spacing w:before="120" w:after="120"/>
        <w:jc w:val="both"/>
      </w:pPr>
      <w:r w:rsidRPr="00E9210E">
        <w:t xml:space="preserve">La formation de la Russie moscovite. (Compte rendu : S. F. </w:t>
      </w:r>
      <w:r w:rsidRPr="00E9210E">
        <w:rPr>
          <w:rStyle w:val="Corpsdutexte27ptGras"/>
          <w:rFonts w:eastAsia="Courier New"/>
          <w:b w:val="0"/>
          <w:smallCaps/>
          <w:sz w:val="28"/>
        </w:rPr>
        <w:t>Pl</w:t>
      </w:r>
      <w:r w:rsidRPr="00E9210E">
        <w:rPr>
          <w:rStyle w:val="Corpsdutexte27ptGras"/>
          <w:rFonts w:eastAsia="Courier New"/>
          <w:b w:val="0"/>
          <w:smallCaps/>
          <w:sz w:val="28"/>
        </w:rPr>
        <w:t>a</w:t>
      </w:r>
      <w:r w:rsidRPr="00E9210E">
        <w:rPr>
          <w:rStyle w:val="Corpsdutexte27ptGras"/>
          <w:rFonts w:eastAsia="Courier New"/>
          <w:b w:val="0"/>
          <w:smallCaps/>
          <w:sz w:val="28"/>
        </w:rPr>
        <w:t>tonov</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Russie moscovite</w:t>
      </w:r>
      <w:r w:rsidRPr="00E9210E">
        <w:rPr>
          <w:rStyle w:val="Corpsdutexte28ptGraschelle120"/>
          <w:rFonts w:eastAsia="Courier New"/>
          <w:sz w:val="28"/>
        </w:rPr>
        <w:t xml:space="preserve"> </w:t>
      </w:r>
      <w:r w:rsidRPr="00E9210E">
        <w:t xml:space="preserve">(trad. du russe), Paris, 1932, </w:t>
      </w:r>
      <w:r w:rsidRPr="00E9210E">
        <w:rPr>
          <w:rFonts w:eastAsia="Courier New"/>
        </w:rPr>
        <w:t>Histoire du Monde,</w:t>
      </w:r>
      <w:r w:rsidRPr="00E9210E">
        <w:rPr>
          <w:rStyle w:val="Corpsdutexte28ptGraschelle120"/>
          <w:rFonts w:eastAsia="Courier New"/>
          <w:sz w:val="28"/>
        </w:rPr>
        <w:t xml:space="preserve"> </w:t>
      </w:r>
      <w:r w:rsidRPr="00E9210E">
        <w:t>t. VIII, 4), « A.H.E.S. », t. V (1933), p. 76.</w:t>
      </w:r>
    </w:p>
    <w:p w14:paraId="185A01CC" w14:textId="77777777" w:rsidR="00B9662D" w:rsidRPr="00E9210E" w:rsidRDefault="00B9662D" w:rsidP="00B9662D">
      <w:pPr>
        <w:spacing w:before="120" w:after="120"/>
        <w:jc w:val="both"/>
      </w:pPr>
      <w:r w:rsidRPr="00E9210E">
        <w:t xml:space="preserve">Compte rendu : </w:t>
      </w:r>
      <w:r w:rsidRPr="00E9210E">
        <w:rPr>
          <w:rFonts w:eastAsia="Courier New"/>
          <w:i/>
        </w:rPr>
        <w:t>L’art populaire en France</w:t>
      </w:r>
      <w:r w:rsidRPr="00E9210E">
        <w:rPr>
          <w:rStyle w:val="Corpsdutexte28ptGraschelle120"/>
          <w:rFonts w:eastAsia="Courier New"/>
          <w:sz w:val="28"/>
        </w:rPr>
        <w:t xml:space="preserve"> </w:t>
      </w:r>
      <w:r w:rsidRPr="00E9210E">
        <w:t>(3</w:t>
      </w:r>
      <w:r w:rsidRPr="00E9210E">
        <w:rPr>
          <w:vertAlign w:val="superscript"/>
        </w:rPr>
        <w:t>e</w:t>
      </w:r>
      <w:r w:rsidRPr="00E9210E">
        <w:t xml:space="preserve"> année, Strasbourg, 1931), « A.H.E.S. », t. V (1933), p. 77-78.</w:t>
      </w:r>
    </w:p>
    <w:p w14:paraId="5003B432" w14:textId="77777777" w:rsidR="00B9662D" w:rsidRPr="00E9210E" w:rsidRDefault="00B9662D" w:rsidP="00B9662D">
      <w:pPr>
        <w:spacing w:before="120" w:after="120"/>
        <w:jc w:val="both"/>
      </w:pPr>
      <w:r w:rsidRPr="00E9210E">
        <w:t xml:space="preserve">Le Rhin. (Compte rendu : </w:t>
      </w:r>
      <w:r w:rsidRPr="00E9210E">
        <w:rPr>
          <w:rFonts w:eastAsia="Courier New"/>
          <w:i/>
        </w:rPr>
        <w:t>Le Rhin</w:t>
      </w:r>
      <w:r w:rsidRPr="00E9210E">
        <w:rPr>
          <w:rFonts w:eastAsia="Courier New"/>
        </w:rPr>
        <w:t>,</w:t>
      </w:r>
      <w:r w:rsidRPr="00E9210E">
        <w:rPr>
          <w:rStyle w:val="Corpsdutexte28ptGraschelle120"/>
          <w:rFonts w:eastAsia="Courier New"/>
          <w:sz w:val="28"/>
        </w:rPr>
        <w:t xml:space="preserve"> </w:t>
      </w:r>
      <w:r w:rsidRPr="00E9210E">
        <w:t>édité pour le 50</w:t>
      </w:r>
      <w:r w:rsidRPr="00E9210E">
        <w:rPr>
          <w:vertAlign w:val="superscript"/>
        </w:rPr>
        <w:t>e</w:t>
      </w:r>
      <w:r w:rsidRPr="00E9210E">
        <w:t xml:space="preserve"> anniversaire de la Société générale alsacienne de Banque, </w:t>
      </w:r>
      <w:r w:rsidRPr="00E9210E">
        <w:rPr>
          <w:rStyle w:val="Corpsdutexte28ptGraschelle120"/>
          <w:rFonts w:eastAsia="Courier New"/>
          <w:b w:val="0"/>
          <w:sz w:val="28"/>
        </w:rPr>
        <w:t>l</w:t>
      </w:r>
      <w:r w:rsidRPr="00E9210E">
        <w:rPr>
          <w:rStyle w:val="Corpsdutexte28ptGraschelle120"/>
          <w:rFonts w:eastAsia="Courier New"/>
          <w:b w:val="0"/>
          <w:sz w:val="28"/>
          <w:vertAlign w:val="superscript"/>
        </w:rPr>
        <w:t>re</w:t>
      </w:r>
      <w:r w:rsidRPr="00E9210E">
        <w:rPr>
          <w:rStyle w:val="Corpsdutexte28ptGraschelle120"/>
          <w:rFonts w:eastAsia="Courier New"/>
          <w:sz w:val="28"/>
        </w:rPr>
        <w:t xml:space="preserve"> </w:t>
      </w:r>
      <w:r w:rsidRPr="00E9210E">
        <w:t xml:space="preserve">partie, par L. </w:t>
      </w:r>
      <w:r w:rsidRPr="00E9210E">
        <w:rPr>
          <w:rStyle w:val="Corpsdutexte27ptGras"/>
          <w:rFonts w:eastAsia="Courier New"/>
          <w:b w:val="0"/>
          <w:smallCaps/>
          <w:sz w:val="28"/>
        </w:rPr>
        <w:t>Fe</w:t>
      </w:r>
      <w:r w:rsidRPr="00E9210E">
        <w:rPr>
          <w:rStyle w:val="Corpsdutexte27ptGras"/>
          <w:rFonts w:eastAsia="Courier New"/>
          <w:b w:val="0"/>
          <w:smallCaps/>
          <w:sz w:val="28"/>
        </w:rPr>
        <w:t>b</w:t>
      </w:r>
      <w:r w:rsidRPr="00E9210E">
        <w:rPr>
          <w:rStyle w:val="Corpsdutexte27ptGras"/>
          <w:rFonts w:eastAsia="Courier New"/>
          <w:b w:val="0"/>
          <w:smallCaps/>
          <w:sz w:val="28"/>
        </w:rPr>
        <w:t>vre </w:t>
      </w:r>
      <w:r w:rsidRPr="00E9210E">
        <w:rPr>
          <w:rStyle w:val="Corpsdutexte27ptGras"/>
          <w:rFonts w:eastAsia="Courier New"/>
          <w:b w:val="0"/>
          <w:sz w:val="28"/>
        </w:rPr>
        <w:t>:</w:t>
      </w:r>
      <w:r w:rsidRPr="00E9210E">
        <w:rPr>
          <w:rStyle w:val="Corpsdutexte28ptGraschelle120"/>
          <w:rFonts w:eastAsia="Courier New"/>
          <w:sz w:val="28"/>
        </w:rPr>
        <w:t xml:space="preserve"> </w:t>
      </w:r>
      <w:r w:rsidRPr="00E9210E">
        <w:rPr>
          <w:rFonts w:eastAsia="Courier New"/>
          <w:i/>
        </w:rPr>
        <w:t>Le pr</w:t>
      </w:r>
      <w:r w:rsidRPr="00E9210E">
        <w:rPr>
          <w:rFonts w:eastAsia="Courier New"/>
          <w:i/>
        </w:rPr>
        <w:t>o</w:t>
      </w:r>
      <w:r w:rsidRPr="00E9210E">
        <w:rPr>
          <w:rFonts w:eastAsia="Courier New"/>
          <w:i/>
        </w:rPr>
        <w:t>blème historique du Rhin</w:t>
      </w:r>
      <w:r w:rsidRPr="00E9210E">
        <w:rPr>
          <w:rFonts w:eastAsia="Courier New"/>
        </w:rPr>
        <w:t>,</w:t>
      </w:r>
      <w:r w:rsidRPr="00E9210E">
        <w:rPr>
          <w:rStyle w:val="Corpsdutexte28ptGraschelle120"/>
          <w:rFonts w:eastAsia="Courier New"/>
          <w:sz w:val="28"/>
        </w:rPr>
        <w:t xml:space="preserve"> </w:t>
      </w:r>
      <w:r w:rsidRPr="00E9210E">
        <w:t>Strasbourg, 1931), « A.H.E.S. », t. V (1933), pp. 83-85.</w:t>
      </w:r>
    </w:p>
    <w:p w14:paraId="3924B624" w14:textId="77777777" w:rsidR="00B9662D" w:rsidRPr="00E9210E" w:rsidRDefault="00B9662D" w:rsidP="00B9662D">
      <w:pPr>
        <w:spacing w:before="120" w:after="120"/>
        <w:jc w:val="both"/>
      </w:pPr>
      <w:r w:rsidRPr="00E9210E">
        <w:t xml:space="preserve">Les Juifs à Leipzig. (Compte rendu : </w:t>
      </w:r>
      <w:r w:rsidRPr="00E9210E">
        <w:rPr>
          <w:rStyle w:val="Corpsdutexte28ptItalique"/>
          <w:rFonts w:eastAsia="Courier New"/>
          <w:sz w:val="28"/>
        </w:rPr>
        <w:t>Hundert Jahre Marcus Ha</w:t>
      </w:r>
      <w:r w:rsidRPr="00E9210E">
        <w:rPr>
          <w:rStyle w:val="Corpsdutexte28ptItalique"/>
          <w:rFonts w:eastAsia="Courier New"/>
          <w:sz w:val="28"/>
        </w:rPr>
        <w:t>r</w:t>
      </w:r>
      <w:r w:rsidRPr="00E9210E">
        <w:rPr>
          <w:rStyle w:val="Corpsdutexte28ptItalique"/>
          <w:rFonts w:eastAsia="Courier New"/>
          <w:sz w:val="28"/>
        </w:rPr>
        <w:t xml:space="preserve">melin, 1830-1930, </w:t>
      </w:r>
      <w:r w:rsidRPr="00E9210E">
        <w:t>Leipzig, 1930), « A.H.E.S. », t. V (1933), p. 99.</w:t>
      </w:r>
    </w:p>
    <w:p w14:paraId="506C562C" w14:textId="77777777" w:rsidR="00B9662D" w:rsidRPr="00E9210E" w:rsidRDefault="00B9662D" w:rsidP="00B9662D">
      <w:pPr>
        <w:spacing w:before="120" w:after="120"/>
        <w:jc w:val="both"/>
      </w:pPr>
      <w:r w:rsidRPr="00E9210E">
        <w:rPr>
          <w:rFonts w:eastAsia="Courier New"/>
          <w:iCs/>
        </w:rPr>
        <w:t>Loyer de l’argent et crédits. (Comptes rendus : W</w:t>
      </w:r>
      <w:r w:rsidRPr="00E9210E">
        <w:rPr>
          <w:rFonts w:eastAsia="Courier New"/>
          <w:i/>
          <w:iCs/>
        </w:rPr>
        <w:t xml:space="preserve">. </w:t>
      </w:r>
      <w:r w:rsidRPr="00E9210E">
        <w:rPr>
          <w:rStyle w:val="Corpsdutexte107ptGrasNonItalique"/>
          <w:rFonts w:eastAsia="Courier New"/>
          <w:b w:val="0"/>
          <w:i w:val="0"/>
          <w:iCs w:val="0"/>
          <w:smallCaps/>
          <w:sz w:val="28"/>
        </w:rPr>
        <w:t>Scheidtmann</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Die Verhältnisse am deutschen Kapitalmarkt unter besonderer B</w:t>
      </w:r>
      <w:r w:rsidRPr="00E9210E">
        <w:rPr>
          <w:i/>
        </w:rPr>
        <w:t>e</w:t>
      </w:r>
      <w:r w:rsidRPr="00E9210E">
        <w:rPr>
          <w:i/>
        </w:rPr>
        <w:t xml:space="preserve">rüchsichtigung der Entwicklung der Zinsfusses während der Jahre </w:t>
      </w:r>
      <w:r w:rsidRPr="00E9210E">
        <w:rPr>
          <w:rFonts w:eastAsia="Courier New"/>
          <w:i/>
        </w:rPr>
        <w:t>1924-1927</w:t>
      </w:r>
      <w:r w:rsidRPr="00E9210E">
        <w:rPr>
          <w:rFonts w:eastAsia="Courier New"/>
        </w:rPr>
        <w:t>,</w:t>
      </w:r>
      <w:r w:rsidRPr="00E9210E">
        <w:rPr>
          <w:rFonts w:eastAsia="Courier New"/>
          <w:i/>
          <w:iCs/>
        </w:rPr>
        <w:t xml:space="preserve"> </w:t>
      </w:r>
      <w:r w:rsidRPr="00E9210E">
        <w:rPr>
          <w:rFonts w:eastAsia="Courier New"/>
          <w:iCs/>
        </w:rPr>
        <w:t>Bottrop, 1930. — Fr</w:t>
      </w:r>
      <w:r w:rsidRPr="00E9210E">
        <w:rPr>
          <w:rFonts w:eastAsia="Courier New"/>
          <w:i/>
          <w:iCs/>
        </w:rPr>
        <w:t xml:space="preserve">. </w:t>
      </w:r>
      <w:r w:rsidRPr="00E9210E">
        <w:rPr>
          <w:rStyle w:val="Corpsdutexte107ptGrasNonItalique"/>
          <w:rFonts w:eastAsia="Courier New"/>
          <w:b w:val="0"/>
          <w:i w:val="0"/>
          <w:iCs w:val="0"/>
          <w:smallCaps/>
          <w:sz w:val="28"/>
        </w:rPr>
        <w:t>Köppler</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Die inflatorische Wirkung der von Deutschland seit der Annahme des Dawesplanes im Auslande aufg</w:t>
      </w:r>
      <w:r w:rsidRPr="00E9210E">
        <w:rPr>
          <w:i/>
        </w:rPr>
        <w:t>e</w:t>
      </w:r>
      <w:r w:rsidRPr="00E9210E">
        <w:rPr>
          <w:i/>
        </w:rPr>
        <w:t>nommenen Kredite</w:t>
      </w:r>
      <w:r w:rsidRPr="00E9210E">
        <w:t>,</w:t>
      </w:r>
      <w:r w:rsidRPr="00E9210E">
        <w:rPr>
          <w:rStyle w:val="Corpsdutexte108ptGrasNonItaliquechelle120"/>
          <w:rFonts w:eastAsia="Courier New"/>
          <w:i w:val="0"/>
          <w:iCs w:val="0"/>
          <w:sz w:val="28"/>
        </w:rPr>
        <w:t xml:space="preserve"> </w:t>
      </w:r>
      <w:r w:rsidRPr="00E9210E">
        <w:rPr>
          <w:rFonts w:eastAsia="Courier New"/>
          <w:iCs/>
        </w:rPr>
        <w:t>Greifswald, 1929), « A.H.E.S. », t. V (1933)</w:t>
      </w:r>
      <w:r w:rsidRPr="00E9210E">
        <w:t>, p. 100.</w:t>
      </w:r>
    </w:p>
    <w:p w14:paraId="6732C0AE" w14:textId="77777777" w:rsidR="00B9662D" w:rsidRPr="00E9210E" w:rsidRDefault="00B9662D" w:rsidP="00B9662D">
      <w:pPr>
        <w:spacing w:before="120" w:after="120"/>
        <w:jc w:val="both"/>
      </w:pPr>
      <w:r w:rsidRPr="00E9210E">
        <w:t xml:space="preserve">Assurance et épargne. (Compte rendu : Fr. </w:t>
      </w:r>
      <w:r w:rsidRPr="00E9210E">
        <w:rPr>
          <w:rStyle w:val="Corpsdutexte27ptGras"/>
          <w:rFonts w:eastAsia="Courier New"/>
          <w:b w:val="0"/>
          <w:smallCaps/>
          <w:sz w:val="28"/>
        </w:rPr>
        <w:t>Meyer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Kapitala</w:t>
      </w:r>
      <w:r w:rsidRPr="00E9210E">
        <w:rPr>
          <w:rFonts w:eastAsia="Courier New"/>
          <w:i/>
        </w:rPr>
        <w:t>n</w:t>
      </w:r>
      <w:r w:rsidRPr="00E9210E">
        <w:rPr>
          <w:rFonts w:eastAsia="Courier New"/>
          <w:i/>
        </w:rPr>
        <w:t>lagen europäischer und amerikanischer Lebensversicherungsgesel</w:t>
      </w:r>
      <w:r w:rsidRPr="00E9210E">
        <w:rPr>
          <w:rFonts w:eastAsia="Courier New"/>
          <w:i/>
        </w:rPr>
        <w:t>l</w:t>
      </w:r>
      <w:r w:rsidRPr="00E9210E">
        <w:rPr>
          <w:rFonts w:eastAsia="Courier New"/>
          <w:i/>
        </w:rPr>
        <w:t>scha</w:t>
      </w:r>
      <w:r w:rsidRPr="00E9210E">
        <w:rPr>
          <w:rFonts w:eastAsia="Courier New"/>
          <w:i/>
        </w:rPr>
        <w:t>f</w:t>
      </w:r>
      <w:r w:rsidRPr="00E9210E">
        <w:rPr>
          <w:rFonts w:eastAsia="Courier New"/>
          <w:i/>
        </w:rPr>
        <w:t>ten</w:t>
      </w:r>
      <w:r w:rsidRPr="00E9210E">
        <w:rPr>
          <w:rFonts w:eastAsia="Courier New"/>
        </w:rPr>
        <w:t>...,</w:t>
      </w:r>
      <w:r w:rsidRPr="00E9210E">
        <w:rPr>
          <w:rStyle w:val="Corpsdutexte28ptGraschelle120"/>
          <w:rFonts w:eastAsia="Courier New"/>
          <w:sz w:val="28"/>
        </w:rPr>
        <w:t xml:space="preserve"> </w:t>
      </w:r>
      <w:r w:rsidRPr="00E9210E">
        <w:t>Leipzig, 1930), « A.H.E.S. », t. V (1933), p. 100-101.</w:t>
      </w:r>
    </w:p>
    <w:p w14:paraId="2116C63A" w14:textId="77777777" w:rsidR="00B9662D" w:rsidRPr="00E9210E" w:rsidRDefault="00B9662D" w:rsidP="00B9662D">
      <w:pPr>
        <w:spacing w:before="120" w:after="120"/>
        <w:jc w:val="both"/>
      </w:pPr>
      <w:r w:rsidRPr="00E9210E">
        <w:t xml:space="preserve">L’histoire d’une grande banque. (Compte rendu : W. </w:t>
      </w:r>
      <w:r w:rsidRPr="00E9210E">
        <w:rPr>
          <w:rStyle w:val="Corpsdutexte27ptGras"/>
          <w:rFonts w:eastAsia="Courier New"/>
          <w:b w:val="0"/>
          <w:smallCaps/>
          <w:sz w:val="28"/>
        </w:rPr>
        <w:t>Däbritz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Grü</w:t>
      </w:r>
      <w:r w:rsidRPr="00E9210E">
        <w:rPr>
          <w:rFonts w:eastAsia="Courier New"/>
          <w:i/>
        </w:rPr>
        <w:t>n</w:t>
      </w:r>
      <w:r w:rsidRPr="00E9210E">
        <w:rPr>
          <w:rFonts w:eastAsia="Courier New"/>
          <w:i/>
        </w:rPr>
        <w:t>dung und Anfänge der Disconto-Gesellschaft</w:t>
      </w:r>
      <w:r w:rsidRPr="00E9210E">
        <w:rPr>
          <w:rFonts w:eastAsia="Courier New"/>
        </w:rPr>
        <w:t xml:space="preserve"> Berlin,</w:t>
      </w:r>
      <w:r w:rsidRPr="00E9210E">
        <w:rPr>
          <w:rStyle w:val="Corpsdutexte28ptGraschelle120"/>
          <w:rFonts w:eastAsia="Courier New"/>
          <w:sz w:val="28"/>
        </w:rPr>
        <w:t xml:space="preserve"> </w:t>
      </w:r>
      <w:r w:rsidRPr="00E9210E">
        <w:t>München-Leipzig, 1931), « A.H.E.S. », t. V (1933), p. 101.</w:t>
      </w:r>
    </w:p>
    <w:p w14:paraId="01BF71F2" w14:textId="77777777" w:rsidR="00B9662D" w:rsidRPr="00E9210E" w:rsidRDefault="00B9662D" w:rsidP="00B9662D">
      <w:pPr>
        <w:spacing w:before="120" w:after="120"/>
        <w:jc w:val="both"/>
      </w:pPr>
      <w:r w:rsidRPr="00E9210E">
        <w:t xml:space="preserve">Hambourg : le port. (Compte rendu : R. </w:t>
      </w:r>
      <w:r w:rsidRPr="00E9210E">
        <w:rPr>
          <w:rStyle w:val="Corpsdutexte27ptGras"/>
          <w:rFonts w:eastAsia="Courier New"/>
          <w:b w:val="0"/>
          <w:smallCaps/>
          <w:sz w:val="28"/>
        </w:rPr>
        <w:t>Maggi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Il porto di Ambu</w:t>
      </w:r>
      <w:r w:rsidRPr="00E9210E">
        <w:rPr>
          <w:rFonts w:eastAsia="Courier New"/>
          <w:i/>
        </w:rPr>
        <w:t>r</w:t>
      </w:r>
      <w:r w:rsidRPr="00E9210E">
        <w:rPr>
          <w:rFonts w:eastAsia="Courier New"/>
          <w:i/>
        </w:rPr>
        <w:t>go</w:t>
      </w:r>
      <w:r w:rsidRPr="00E9210E">
        <w:t>, Pavie, 1930), « A.H.E.S. », t. V (1933), p. 101.</w:t>
      </w:r>
    </w:p>
    <w:p w14:paraId="28830058" w14:textId="77777777" w:rsidR="00B9662D" w:rsidRPr="00E9210E" w:rsidRDefault="00B9662D" w:rsidP="00B9662D">
      <w:pPr>
        <w:spacing w:before="120" w:after="120"/>
        <w:jc w:val="both"/>
      </w:pPr>
      <w:r w:rsidRPr="00E9210E">
        <w:t xml:space="preserve">Les grandes associations d’intérêt dans la métallurgie. (Compte rendu : A. </w:t>
      </w:r>
      <w:r w:rsidRPr="00E9210E">
        <w:rPr>
          <w:rStyle w:val="Corpsdutexte27ptGras"/>
          <w:rFonts w:eastAsia="Courier New"/>
          <w:b w:val="0"/>
          <w:smallCaps/>
          <w:sz w:val="28"/>
        </w:rPr>
        <w:t>Marcus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grossen Eisen- und Metallkonzerne</w:t>
      </w:r>
      <w:r w:rsidRPr="00E9210E">
        <w:rPr>
          <w:rFonts w:eastAsia="Courier New"/>
        </w:rPr>
        <w:t>,</w:t>
      </w:r>
      <w:r w:rsidRPr="00E9210E">
        <w:rPr>
          <w:rStyle w:val="Corpsdutexte28ptGraschelle120"/>
          <w:rFonts w:eastAsia="Courier New"/>
          <w:sz w:val="28"/>
        </w:rPr>
        <w:t xml:space="preserve"> </w:t>
      </w:r>
      <w:r w:rsidRPr="00E9210E">
        <w:t>Leipzig, 1929), « A.H.E.S. », t. V (1933), p. 101-102.</w:t>
      </w:r>
    </w:p>
    <w:p w14:paraId="44B108FC" w14:textId="77777777" w:rsidR="00B9662D" w:rsidRPr="00E9210E" w:rsidRDefault="00B9662D" w:rsidP="00B9662D">
      <w:pPr>
        <w:spacing w:before="120" w:after="120"/>
        <w:jc w:val="both"/>
      </w:pPr>
      <w:r w:rsidRPr="00E9210E">
        <w:t>[1059]</w:t>
      </w:r>
    </w:p>
    <w:p w14:paraId="56B2944C" w14:textId="77777777" w:rsidR="00B9662D" w:rsidRPr="00E9210E" w:rsidRDefault="00B9662D" w:rsidP="00B9662D">
      <w:pPr>
        <w:spacing w:before="120" w:after="120"/>
        <w:jc w:val="both"/>
      </w:pPr>
      <w:r w:rsidRPr="00E9210E">
        <w:t xml:space="preserve">L’aluminium. (Compte rendu : G. </w:t>
      </w:r>
      <w:r w:rsidRPr="00E9210E">
        <w:rPr>
          <w:rStyle w:val="Corpsdutexte27ptGras"/>
          <w:rFonts w:eastAsia="Courier New"/>
          <w:b w:val="0"/>
          <w:smallCaps/>
          <w:sz w:val="28"/>
        </w:rPr>
        <w:t>Günther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deutsche Rohc</w:t>
      </w:r>
      <w:r w:rsidRPr="00E9210E">
        <w:rPr>
          <w:rFonts w:eastAsia="Courier New"/>
          <w:i/>
        </w:rPr>
        <w:t>i</w:t>
      </w:r>
      <w:r w:rsidRPr="00E9210E">
        <w:rPr>
          <w:rFonts w:eastAsia="Courier New"/>
          <w:i/>
        </w:rPr>
        <w:t>lum</w:t>
      </w:r>
      <w:r w:rsidRPr="00E9210E">
        <w:rPr>
          <w:rFonts w:eastAsia="Courier New"/>
          <w:i/>
        </w:rPr>
        <w:t>i</w:t>
      </w:r>
      <w:r w:rsidRPr="00E9210E">
        <w:rPr>
          <w:rFonts w:eastAsia="Courier New"/>
          <w:i/>
        </w:rPr>
        <w:t>nium Industrie</w:t>
      </w:r>
      <w:r w:rsidRPr="00E9210E">
        <w:rPr>
          <w:rFonts w:eastAsia="Courier New"/>
        </w:rPr>
        <w:t xml:space="preserve">, </w:t>
      </w:r>
      <w:r w:rsidRPr="00E9210E">
        <w:t>Leipzig, 1930), « A.H.E.S. », t. V (1933), p. 102.</w:t>
      </w:r>
    </w:p>
    <w:p w14:paraId="1BEFFEE7" w14:textId="77777777" w:rsidR="00B9662D" w:rsidRPr="00E9210E" w:rsidRDefault="00B9662D" w:rsidP="00B9662D">
      <w:pPr>
        <w:spacing w:before="120" w:after="120"/>
        <w:jc w:val="both"/>
      </w:pPr>
      <w:r w:rsidRPr="00E9210E">
        <w:t xml:space="preserve">La presse </w:t>
      </w:r>
      <w:r w:rsidRPr="00E9210E">
        <w:rPr>
          <w:rStyle w:val="Corpsdutexte27ptGras"/>
          <w:rFonts w:eastAsia="Courier New"/>
          <w:sz w:val="28"/>
        </w:rPr>
        <w:t xml:space="preserve">à </w:t>
      </w:r>
      <w:r w:rsidRPr="00E9210E">
        <w:t xml:space="preserve">Hambourg. (Compte rendu : E. </w:t>
      </w:r>
      <w:r w:rsidRPr="00E9210E">
        <w:rPr>
          <w:rStyle w:val="Corpsdutexte27ptGras"/>
          <w:rFonts w:eastAsia="Courier New"/>
          <w:b w:val="0"/>
          <w:smallCaps/>
          <w:sz w:val="28"/>
        </w:rPr>
        <w:t>Baasch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Geschichte des Hamburgischen Zeitungswesens von den Anfängen bis</w:t>
      </w:r>
      <w:r w:rsidRPr="00E9210E">
        <w:rPr>
          <w:rFonts w:eastAsia="Courier New"/>
        </w:rPr>
        <w:t xml:space="preserve"> </w:t>
      </w:r>
      <w:r w:rsidRPr="00E9210E">
        <w:rPr>
          <w:rStyle w:val="Corpsdutexte28ptItalique"/>
          <w:rFonts w:eastAsia="Courier New"/>
          <w:sz w:val="28"/>
        </w:rPr>
        <w:t>1914</w:t>
      </w:r>
      <w:r w:rsidRPr="00E9210E">
        <w:t>, Hambourg, 1930, « A.H.E.S. », t. V (1933), p. 102.</w:t>
      </w:r>
    </w:p>
    <w:p w14:paraId="6112AED8" w14:textId="77777777" w:rsidR="00B9662D" w:rsidRPr="00E9210E" w:rsidRDefault="00B9662D" w:rsidP="00B9662D">
      <w:pPr>
        <w:spacing w:before="120" w:after="120"/>
        <w:jc w:val="both"/>
      </w:pPr>
      <w:r w:rsidRPr="00E9210E">
        <w:t xml:space="preserve">Le chômage. (Compte rendu : J. </w:t>
      </w:r>
      <w:r w:rsidRPr="00E9210E">
        <w:rPr>
          <w:rStyle w:val="Corpsdutexte27ptGrasPetitesmajuscules"/>
          <w:rFonts w:eastAsia="Courier New"/>
          <w:b w:val="0"/>
          <w:sz w:val="28"/>
          <w:lang w:val="fr-CA"/>
        </w:rPr>
        <w:t>Dierkes,</w:t>
      </w:r>
      <w:r w:rsidRPr="00E9210E">
        <w:rPr>
          <w:rStyle w:val="Corpsdutexte27ptGrasPetitesmajuscules"/>
          <w:rFonts w:eastAsia="Courier New"/>
          <w:sz w:val="28"/>
          <w:lang w:val="fr-CA"/>
        </w:rPr>
        <w:t xml:space="preserve"> </w:t>
      </w:r>
      <w:r w:rsidRPr="00E9210E">
        <w:rPr>
          <w:rFonts w:eastAsia="Courier New"/>
          <w:i/>
        </w:rPr>
        <w:t>Die Organisation des Arbeitsmarktes</w:t>
      </w:r>
      <w:r w:rsidRPr="00E9210E">
        <w:t>, Breslau, 1929, « A.H.E.S. », t. V (1933), p. 103.</w:t>
      </w:r>
    </w:p>
    <w:p w14:paraId="24CA86E3" w14:textId="77777777" w:rsidR="00B9662D" w:rsidRPr="00E9210E" w:rsidRDefault="00B9662D" w:rsidP="00B9662D">
      <w:pPr>
        <w:spacing w:before="120" w:after="120"/>
        <w:jc w:val="both"/>
      </w:pPr>
      <w:r w:rsidRPr="00E9210E">
        <w:t xml:space="preserve">Compte rendu : </w:t>
      </w:r>
      <w:r w:rsidRPr="00E9210E">
        <w:rPr>
          <w:rFonts w:eastAsia="Courier New"/>
          <w:i/>
        </w:rPr>
        <w:t>Le cadastre par nature de cultures</w:t>
      </w:r>
      <w:r w:rsidRPr="00E9210E">
        <w:t>, « A.H.E.S. », t. V (1933), p. 152.</w:t>
      </w:r>
    </w:p>
    <w:p w14:paraId="08A573F5" w14:textId="77777777" w:rsidR="00B9662D" w:rsidRPr="00E9210E" w:rsidRDefault="00B9662D" w:rsidP="00B9662D">
      <w:pPr>
        <w:spacing w:before="120" w:after="120"/>
        <w:jc w:val="both"/>
      </w:pPr>
      <w:r w:rsidRPr="00E9210E">
        <w:t xml:space="preserve">Un guide de bibliographie historique. (Compte rendu : W. H. </w:t>
      </w:r>
      <w:r w:rsidRPr="00E9210E">
        <w:rPr>
          <w:rStyle w:val="Corpsdutexte27ptGras"/>
          <w:rFonts w:eastAsia="Courier New"/>
          <w:b w:val="0"/>
          <w:smallCaps/>
          <w:sz w:val="28"/>
        </w:rPr>
        <w:t>A</w:t>
      </w:r>
      <w:r w:rsidRPr="00E9210E">
        <w:rPr>
          <w:rStyle w:val="Corpsdutexte27ptGras"/>
          <w:rFonts w:eastAsia="Courier New"/>
          <w:b w:val="0"/>
          <w:smallCaps/>
          <w:sz w:val="28"/>
        </w:rPr>
        <w:t>l</w:t>
      </w:r>
      <w:r w:rsidRPr="00E9210E">
        <w:rPr>
          <w:rStyle w:val="Corpsdutexte27ptGras"/>
          <w:rFonts w:eastAsia="Courier New"/>
          <w:b w:val="0"/>
          <w:smallCaps/>
          <w:sz w:val="28"/>
        </w:rPr>
        <w:t>lison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i/>
        </w:rPr>
        <w:t xml:space="preserve">A </w:t>
      </w:r>
      <w:r w:rsidRPr="00E9210E">
        <w:rPr>
          <w:rFonts w:eastAsia="Courier New"/>
          <w:i/>
        </w:rPr>
        <w:t>guide to historical literature</w:t>
      </w:r>
      <w:r w:rsidRPr="00E9210E">
        <w:rPr>
          <w:rFonts w:eastAsia="Courier New"/>
        </w:rPr>
        <w:t>...,</w:t>
      </w:r>
      <w:r w:rsidRPr="00E9210E">
        <w:rPr>
          <w:rStyle w:val="Corpsdutexte28ptGraschelle120"/>
          <w:rFonts w:eastAsia="Courier New"/>
          <w:sz w:val="28"/>
        </w:rPr>
        <w:t xml:space="preserve"> </w:t>
      </w:r>
      <w:r w:rsidRPr="00E9210E">
        <w:t>New York, 1931), « A.H.E.S. », t. V (1933), p. 154.</w:t>
      </w:r>
    </w:p>
    <w:p w14:paraId="4E5E280A" w14:textId="77777777" w:rsidR="00B9662D" w:rsidRPr="00E9210E" w:rsidRDefault="00B9662D" w:rsidP="00B9662D">
      <w:pPr>
        <w:spacing w:before="120" w:after="120"/>
        <w:jc w:val="both"/>
      </w:pPr>
      <w:r w:rsidRPr="00E9210E">
        <w:t xml:space="preserve">Compte rendu : </w:t>
      </w:r>
      <w:r w:rsidRPr="00E9210E">
        <w:rPr>
          <w:rFonts w:eastAsia="Courier New"/>
          <w:i/>
        </w:rPr>
        <w:t>International bibliography of historical sciences</w:t>
      </w:r>
      <w:r w:rsidRPr="00E9210E">
        <w:rPr>
          <w:rFonts w:eastAsia="Courier New"/>
        </w:rPr>
        <w:t>.</w:t>
      </w:r>
      <w:r w:rsidRPr="00E9210E">
        <w:rPr>
          <w:rStyle w:val="Corpsdutexte28ptGraschelle120"/>
          <w:rFonts w:eastAsia="Courier New"/>
          <w:sz w:val="28"/>
        </w:rPr>
        <w:t xml:space="preserve"> </w:t>
      </w:r>
      <w:r w:rsidRPr="00E9210E">
        <w:t>Second Year, 1927, Paris, 1932, « A.H.E.S. », t. V (1933), pp. 154-155.</w:t>
      </w:r>
    </w:p>
    <w:p w14:paraId="0D32DDA7" w14:textId="77777777" w:rsidR="00B9662D" w:rsidRPr="00E9210E" w:rsidRDefault="00B9662D" w:rsidP="00B9662D">
      <w:pPr>
        <w:spacing w:before="120" w:after="120"/>
        <w:jc w:val="both"/>
      </w:pPr>
      <w:r w:rsidRPr="00E9210E">
        <w:t xml:space="preserve">Un dictionnaire de biographie provinciale. (Compte rendu : </w:t>
      </w:r>
      <w:r w:rsidRPr="00E9210E">
        <w:rPr>
          <w:rFonts w:eastAsia="Courier New"/>
          <w:i/>
        </w:rPr>
        <w:t>Les Bouches-du-Rhône. Encyclopédie départementale</w:t>
      </w:r>
      <w:r w:rsidRPr="00E9210E">
        <w:rPr>
          <w:rStyle w:val="Corpsdutexte28ptGraschelle120"/>
          <w:rFonts w:eastAsia="Courier New"/>
          <w:sz w:val="28"/>
        </w:rPr>
        <w:t xml:space="preserve">, </w:t>
      </w:r>
      <w:r w:rsidRPr="00E9210E">
        <w:rPr>
          <w:rStyle w:val="Corpsdutexte28ptGraschelle120"/>
          <w:rFonts w:eastAsia="Courier New"/>
          <w:b w:val="0"/>
          <w:sz w:val="28"/>
        </w:rPr>
        <w:t>1</w:t>
      </w:r>
      <w:r w:rsidRPr="00E9210E">
        <w:rPr>
          <w:rStyle w:val="Corpsdutexte27ptGras"/>
          <w:rFonts w:eastAsia="Courier New"/>
          <w:b w:val="0"/>
          <w:sz w:val="28"/>
          <w:vertAlign w:val="superscript"/>
        </w:rPr>
        <w:t>re</w:t>
      </w:r>
      <w:r w:rsidRPr="00E9210E">
        <w:rPr>
          <w:rStyle w:val="Corpsdutexte27ptGras"/>
          <w:rFonts w:eastAsia="Courier New"/>
          <w:sz w:val="28"/>
        </w:rPr>
        <w:t xml:space="preserve"> </w:t>
      </w:r>
      <w:r w:rsidRPr="00E9210E">
        <w:t xml:space="preserve">partie, t. IV, </w:t>
      </w:r>
      <w:r w:rsidRPr="00E9210E">
        <w:rPr>
          <w:rStyle w:val="Corpsdutexte27ptGras"/>
          <w:rFonts w:eastAsia="Courier New"/>
          <w:b w:val="0"/>
          <w:sz w:val="28"/>
        </w:rPr>
        <w:t>2</w:t>
      </w:r>
      <w:r w:rsidRPr="00E9210E">
        <w:rPr>
          <w:rStyle w:val="Corpsdutexte27ptGras"/>
          <w:rFonts w:eastAsia="Courier New"/>
          <w:b w:val="0"/>
          <w:sz w:val="28"/>
          <w:vertAlign w:val="superscript"/>
        </w:rPr>
        <w:t>e</w:t>
      </w:r>
      <w:r w:rsidRPr="00E9210E">
        <w:rPr>
          <w:rStyle w:val="Corpsdutexte27ptGras"/>
          <w:rFonts w:eastAsia="Courier New"/>
          <w:b w:val="0"/>
          <w:sz w:val="28"/>
        </w:rPr>
        <w:t> </w:t>
      </w:r>
      <w:r w:rsidRPr="00E9210E">
        <w:t xml:space="preserve">vol., sous la direction de P. </w:t>
      </w:r>
      <w:r w:rsidRPr="00E9210E">
        <w:rPr>
          <w:rStyle w:val="Corpsdutexte27ptGras"/>
          <w:rFonts w:eastAsia="Courier New"/>
          <w:b w:val="0"/>
          <w:sz w:val="28"/>
        </w:rPr>
        <w:t>Masson,</w:t>
      </w:r>
      <w:r w:rsidRPr="00E9210E">
        <w:rPr>
          <w:rStyle w:val="Corpsdutexte27ptGras"/>
          <w:rFonts w:eastAsia="Courier New"/>
          <w:sz w:val="28"/>
        </w:rPr>
        <w:t xml:space="preserve"> </w:t>
      </w:r>
      <w:r w:rsidRPr="00E9210E">
        <w:t>Paris, 1931), « A.H.E.S. », t. V (1933), p. 155.</w:t>
      </w:r>
    </w:p>
    <w:p w14:paraId="736E1739" w14:textId="77777777" w:rsidR="00B9662D" w:rsidRPr="00E9210E" w:rsidRDefault="00B9662D" w:rsidP="00B9662D">
      <w:pPr>
        <w:spacing w:before="120" w:after="120"/>
        <w:jc w:val="both"/>
      </w:pPr>
      <w:r w:rsidRPr="00E9210E">
        <w:t>Anciens comptes royaux. (Compte rendu :</w:t>
      </w:r>
      <w:r w:rsidRPr="00E9210E">
        <w:rPr>
          <w:rStyle w:val="Corpsdutexte28ptGraschelle120"/>
          <w:rFonts w:eastAsia="Courier New"/>
          <w:sz w:val="28"/>
        </w:rPr>
        <w:t xml:space="preserve"> </w:t>
      </w:r>
      <w:r w:rsidRPr="00E9210E">
        <w:t xml:space="preserve">R. </w:t>
      </w:r>
      <w:r w:rsidRPr="00E9210E">
        <w:rPr>
          <w:rStyle w:val="Corpsdutexte27ptGras"/>
          <w:rFonts w:eastAsia="Courier New"/>
          <w:b w:val="0"/>
          <w:smallCaps/>
          <w:sz w:val="28"/>
        </w:rPr>
        <w:t>Fawtier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Comptes du tr</w:t>
      </w:r>
      <w:r w:rsidRPr="00E9210E">
        <w:rPr>
          <w:rFonts w:eastAsia="Courier New"/>
          <w:i/>
        </w:rPr>
        <w:t>é</w:t>
      </w:r>
      <w:r w:rsidRPr="00E9210E">
        <w:rPr>
          <w:rFonts w:eastAsia="Courier New"/>
          <w:i/>
        </w:rPr>
        <w:t>sor</w:t>
      </w:r>
      <w:r w:rsidRPr="00E9210E">
        <w:rPr>
          <w:rFonts w:eastAsia="Courier New"/>
        </w:rPr>
        <w:t xml:space="preserve"> </w:t>
      </w:r>
      <w:r w:rsidRPr="00E9210E">
        <w:rPr>
          <w:rStyle w:val="Corpsdutexte28ptItalique"/>
          <w:rFonts w:eastAsia="Courier New"/>
          <w:sz w:val="28"/>
        </w:rPr>
        <w:t>(1296, 1316- 1384</w:t>
      </w:r>
      <w:r w:rsidRPr="00E9210E">
        <w:rPr>
          <w:rStyle w:val="Corpsdutexte2ItaliqueEspacement0pt"/>
          <w:rFonts w:eastAsia="Courier New"/>
          <w:sz w:val="28"/>
        </w:rPr>
        <w:t xml:space="preserve">, </w:t>
      </w:r>
      <w:r w:rsidRPr="00E9210E">
        <w:rPr>
          <w:rStyle w:val="Corpsdutexte28ptItalique"/>
          <w:rFonts w:eastAsia="Courier New"/>
          <w:sz w:val="28"/>
        </w:rPr>
        <w:t>1477),</w:t>
      </w:r>
      <w:r w:rsidRPr="00E9210E">
        <w:rPr>
          <w:rStyle w:val="Corpsdutexte28ptGraschelle120"/>
          <w:rFonts w:eastAsia="Courier New"/>
          <w:sz w:val="28"/>
        </w:rPr>
        <w:t xml:space="preserve"> </w:t>
      </w:r>
      <w:r w:rsidRPr="00E9210E">
        <w:t>Paris, 1930), « A.H.E.S. », t. V (1933), p. 179.</w:t>
      </w:r>
    </w:p>
    <w:p w14:paraId="617DD174" w14:textId="77777777" w:rsidR="00B9662D" w:rsidRPr="00E9210E" w:rsidRDefault="00B9662D" w:rsidP="00B9662D">
      <w:pPr>
        <w:spacing w:before="120" w:after="120"/>
        <w:jc w:val="both"/>
      </w:pPr>
      <w:r w:rsidRPr="00E9210E">
        <w:t xml:space="preserve">Comptes d’impôts au Moyen Âge. (Compte rendu : D. D. </w:t>
      </w:r>
      <w:r w:rsidRPr="00E9210E">
        <w:rPr>
          <w:rStyle w:val="Corpsdutexte27ptGras"/>
          <w:rFonts w:eastAsia="Courier New"/>
          <w:b w:val="0"/>
          <w:smallCaps/>
          <w:sz w:val="28"/>
        </w:rPr>
        <w:t>Bro</w:t>
      </w:r>
      <w:r w:rsidRPr="00E9210E">
        <w:rPr>
          <w:rStyle w:val="Corpsdutexte27ptGras"/>
          <w:rFonts w:eastAsia="Courier New"/>
          <w:b w:val="0"/>
          <w:smallCaps/>
          <w:sz w:val="28"/>
        </w:rPr>
        <w:t>u</w:t>
      </w:r>
      <w:r w:rsidRPr="00E9210E">
        <w:rPr>
          <w:rStyle w:val="Corpsdutexte27ptGras"/>
          <w:rFonts w:eastAsia="Courier New"/>
          <w:b w:val="0"/>
          <w:smallCaps/>
          <w:sz w:val="28"/>
        </w:rPr>
        <w:t>wers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w:t>
      </w:r>
      <w:r w:rsidRPr="00E9210E">
        <w:rPr>
          <w:rStyle w:val="Corpsdutexte28ptGraschelle120"/>
          <w:rFonts w:eastAsia="Courier New"/>
          <w:i/>
          <w:sz w:val="28"/>
        </w:rPr>
        <w:t xml:space="preserve"> « </w:t>
      </w:r>
      <w:r w:rsidRPr="00E9210E">
        <w:rPr>
          <w:rFonts w:eastAsia="Courier New"/>
          <w:i/>
        </w:rPr>
        <w:t>aides</w:t>
      </w:r>
      <w:r w:rsidRPr="00E9210E">
        <w:rPr>
          <w:rStyle w:val="Corpsdutexte28ptGraschelle120"/>
          <w:rFonts w:eastAsia="Courier New"/>
          <w:i/>
          <w:sz w:val="28"/>
        </w:rPr>
        <w:t xml:space="preserve"> » </w:t>
      </w:r>
      <w:r w:rsidRPr="00E9210E">
        <w:rPr>
          <w:rFonts w:eastAsia="Courier New"/>
          <w:i/>
        </w:rPr>
        <w:t>dans le comté de Namur au XV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28ptGraschelle120"/>
          <w:rFonts w:eastAsia="Courier New"/>
          <w:sz w:val="28"/>
        </w:rPr>
        <w:t xml:space="preserve"> </w:t>
      </w:r>
      <w:r w:rsidRPr="00E9210E">
        <w:t>Namur, 1929), « A.H.E.S. », t. V (1933), p. 180.</w:t>
      </w:r>
    </w:p>
    <w:p w14:paraId="32D930A0" w14:textId="77777777" w:rsidR="00B9662D" w:rsidRPr="00E9210E" w:rsidRDefault="00B9662D" w:rsidP="00B9662D">
      <w:pPr>
        <w:spacing w:before="120" w:after="120"/>
        <w:jc w:val="both"/>
      </w:pPr>
      <w:r w:rsidRPr="00E9210E">
        <w:rPr>
          <w:rFonts w:eastAsia="Courier New"/>
          <w:iCs/>
        </w:rPr>
        <w:t xml:space="preserve">Une fortune princière au </w:t>
      </w:r>
      <w:r w:rsidRPr="00E9210E">
        <w:rPr>
          <w:rFonts w:eastAsia="Courier New"/>
          <w:iCs/>
          <w:caps/>
        </w:rPr>
        <w:t>xiv</w:t>
      </w:r>
      <w:r w:rsidRPr="00E9210E">
        <w:rPr>
          <w:rFonts w:eastAsia="Courier New"/>
          <w:iCs/>
          <w:vertAlign w:val="superscript"/>
        </w:rPr>
        <w:t>e</w:t>
      </w:r>
      <w:r w:rsidRPr="00E9210E">
        <w:rPr>
          <w:rFonts w:eastAsia="Courier New"/>
          <w:iCs/>
        </w:rPr>
        <w:t xml:space="preserve"> siècle. (Compte rendu </w:t>
      </w:r>
      <w:r w:rsidRPr="00E9210E">
        <w:rPr>
          <w:rFonts w:eastAsia="Courier New"/>
          <w:i/>
          <w:iCs/>
        </w:rPr>
        <w:t xml:space="preserve">: </w:t>
      </w:r>
      <w:r w:rsidRPr="00E9210E">
        <w:rPr>
          <w:i/>
        </w:rPr>
        <w:t>Register of Edward the black Prince preserved in the Public Record Office</w:t>
      </w:r>
      <w:r w:rsidRPr="00E9210E">
        <w:t>.</w:t>
      </w:r>
      <w:r w:rsidRPr="00E9210E">
        <w:rPr>
          <w:rStyle w:val="Corpsdutexte108ptGrasNonItaliquechelle120"/>
          <w:rFonts w:eastAsia="Courier New"/>
          <w:i w:val="0"/>
          <w:iCs w:val="0"/>
          <w:sz w:val="28"/>
        </w:rPr>
        <w:t xml:space="preserve"> </w:t>
      </w:r>
      <w:r w:rsidRPr="00E9210E">
        <w:rPr>
          <w:rFonts w:eastAsia="Courier New"/>
          <w:iCs/>
        </w:rPr>
        <w:t xml:space="preserve">Part. I, </w:t>
      </w:r>
      <w:r w:rsidRPr="00E9210E">
        <w:t xml:space="preserve">A.D. </w:t>
      </w:r>
      <w:r w:rsidRPr="00E9210E">
        <w:rPr>
          <w:rFonts w:eastAsia="Courier New"/>
        </w:rPr>
        <w:t>1346-1348,</w:t>
      </w:r>
      <w:r w:rsidRPr="00E9210E">
        <w:rPr>
          <w:rFonts w:eastAsia="Courier New"/>
          <w:i/>
          <w:iCs/>
        </w:rPr>
        <w:t xml:space="preserve"> </w:t>
      </w:r>
      <w:r w:rsidRPr="00E9210E">
        <w:rPr>
          <w:rFonts w:eastAsia="Courier New"/>
          <w:iCs/>
        </w:rPr>
        <w:t>Londres, 1930)</w:t>
      </w:r>
      <w:r w:rsidRPr="00E9210E">
        <w:t>, « A.H.E.S. », t. V (1933), pp. 182-183.</w:t>
      </w:r>
    </w:p>
    <w:p w14:paraId="512B29AA" w14:textId="77777777" w:rsidR="00B9662D" w:rsidRPr="00E9210E" w:rsidRDefault="00B9662D" w:rsidP="00B9662D">
      <w:pPr>
        <w:spacing w:before="120" w:after="120"/>
        <w:jc w:val="both"/>
      </w:pPr>
      <w:r w:rsidRPr="00E9210E">
        <w:t xml:space="preserve">La Bretagne. (Compte rendu : A. </w:t>
      </w:r>
      <w:r w:rsidRPr="00E9210E">
        <w:rPr>
          <w:rStyle w:val="Corpsdutexte27ptGras"/>
          <w:rFonts w:eastAsia="Courier New"/>
          <w:b w:val="0"/>
          <w:smallCaps/>
          <w:sz w:val="28"/>
        </w:rPr>
        <w:t>Dupouy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Bretagne</w:t>
      </w:r>
      <w:r w:rsidRPr="00E9210E">
        <w:rPr>
          <w:rFonts w:eastAsia="Courier New"/>
        </w:rPr>
        <w:t>,</w:t>
      </w:r>
      <w:r w:rsidRPr="00E9210E">
        <w:rPr>
          <w:rStyle w:val="Corpsdutexte28ptGraschelle120"/>
          <w:rFonts w:eastAsia="Courier New"/>
          <w:sz w:val="28"/>
        </w:rPr>
        <w:t xml:space="preserve"> </w:t>
      </w:r>
      <w:r w:rsidRPr="00E9210E">
        <w:t>Paris, s.d. [1932]), « A.H.E.S. », t. V (1933), p. 187.</w:t>
      </w:r>
    </w:p>
    <w:p w14:paraId="7FEA39CB" w14:textId="77777777" w:rsidR="00B9662D" w:rsidRPr="00E9210E" w:rsidRDefault="00B9662D" w:rsidP="00B9662D">
      <w:pPr>
        <w:spacing w:before="120" w:after="120"/>
        <w:jc w:val="both"/>
      </w:pPr>
      <w:r w:rsidRPr="00E9210E">
        <w:t>Un grand seigneur de robe en sa maison des champs. (Compte re</w:t>
      </w:r>
      <w:r w:rsidRPr="00E9210E">
        <w:t>n</w:t>
      </w:r>
      <w:r w:rsidRPr="00E9210E">
        <w:t xml:space="preserve">du : M. </w:t>
      </w:r>
      <w:r w:rsidRPr="00E9210E">
        <w:rPr>
          <w:rStyle w:val="Corpsdutexte27ptGras"/>
          <w:rFonts w:eastAsia="Courier New"/>
          <w:b w:val="0"/>
          <w:smallCaps/>
          <w:sz w:val="28"/>
        </w:rPr>
        <w:t>Bocate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Monsieur de Malesherbes en son domaine</w:t>
      </w:r>
      <w:r w:rsidRPr="00E9210E">
        <w:rPr>
          <w:rStyle w:val="Corpsdutexte2ItaliqueEspacement0pt"/>
          <w:rFonts w:eastAsia="Courier New"/>
          <w:sz w:val="28"/>
        </w:rPr>
        <w:t>,</w:t>
      </w:r>
      <w:r w:rsidRPr="00E9210E">
        <w:t xml:space="preserve"> Bo</w:t>
      </w:r>
      <w:r w:rsidRPr="00E9210E">
        <w:t>r</w:t>
      </w:r>
      <w:r w:rsidRPr="00E9210E">
        <w:t>deaux et Paris, 1930), « A.H.E.S. », t. V (1933), p. 190-191.</w:t>
      </w:r>
    </w:p>
    <w:p w14:paraId="57B8152F" w14:textId="77777777" w:rsidR="00B9662D" w:rsidRPr="00E9210E" w:rsidRDefault="00B9662D" w:rsidP="00B9662D">
      <w:pPr>
        <w:spacing w:before="120" w:after="120"/>
        <w:jc w:val="both"/>
      </w:pPr>
      <w:r w:rsidRPr="00E9210E">
        <w:t>Une communauté familiale classique. (Compte rendu :</w:t>
      </w:r>
      <w:r w:rsidRPr="00E9210E">
        <w:rPr>
          <w:rStyle w:val="Corpsdutexte28ptGraschelle120"/>
          <w:rFonts w:eastAsia="Courier New"/>
          <w:sz w:val="28"/>
        </w:rPr>
        <w:t xml:space="preserve"> </w:t>
      </w:r>
      <w:r w:rsidRPr="00E9210E">
        <w:t>Ch. </w:t>
      </w:r>
      <w:r w:rsidRPr="00E9210E">
        <w:rPr>
          <w:rStyle w:val="Corpsdutexte27ptGras"/>
          <w:rFonts w:eastAsia="Courier New"/>
          <w:b w:val="0"/>
          <w:smallCaps/>
          <w:sz w:val="28"/>
        </w:rPr>
        <w:t>Prieuret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Une association agricole en Nivernais. Histoire de la grande communauté des Jault (1580-1847), </w:t>
      </w:r>
      <w:r w:rsidRPr="00E9210E">
        <w:t>Nevers, 1930), « A.H.E.S. », t. V (1933), p. 191.</w:t>
      </w:r>
    </w:p>
    <w:p w14:paraId="4C119041" w14:textId="77777777" w:rsidR="00B9662D" w:rsidRPr="00E9210E" w:rsidRDefault="00B9662D" w:rsidP="00B9662D">
      <w:pPr>
        <w:spacing w:before="120" w:after="120"/>
        <w:jc w:val="both"/>
      </w:pPr>
      <w:r w:rsidRPr="00E9210E">
        <w:t xml:space="preserve">Deux travaux sur l’histoire économique de l’Italie médiévale. (Comptes rendus : </w:t>
      </w:r>
      <w:r w:rsidRPr="00E9210E">
        <w:rPr>
          <w:rStyle w:val="Corpsdutexte27ptGras"/>
          <w:rFonts w:eastAsia="Courier New"/>
          <w:b w:val="0"/>
          <w:sz w:val="28"/>
        </w:rPr>
        <w:t xml:space="preserve">K. </w:t>
      </w:r>
      <w:r w:rsidRPr="00E9210E">
        <w:rPr>
          <w:rStyle w:val="Corpsdutexte27ptGras"/>
          <w:rFonts w:eastAsia="Courier New"/>
          <w:b w:val="0"/>
          <w:smallCaps/>
          <w:sz w:val="28"/>
        </w:rPr>
        <w:t>Schrod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Reichsstrassen und Reichsverwaltung im Königreich Italien</w:t>
      </w:r>
      <w:r w:rsidRPr="00E9210E">
        <w:rPr>
          <w:rFonts w:eastAsia="Courier New"/>
        </w:rPr>
        <w:t xml:space="preserve"> </w:t>
      </w:r>
      <w:r w:rsidRPr="00E9210E">
        <w:rPr>
          <w:rStyle w:val="Corpsdutexte28ptItalique"/>
          <w:rFonts w:eastAsia="Courier New"/>
          <w:sz w:val="28"/>
        </w:rPr>
        <w:t>(754-1197),</w:t>
      </w:r>
      <w:r w:rsidRPr="00E9210E">
        <w:rPr>
          <w:rStyle w:val="Corpsdutexte28ptGraschelle120"/>
          <w:rFonts w:eastAsia="Courier New"/>
          <w:sz w:val="28"/>
        </w:rPr>
        <w:t xml:space="preserve"> </w:t>
      </w:r>
      <w:r w:rsidRPr="00E9210E">
        <w:t xml:space="preserve">Stuttgart, 1931. — A. </w:t>
      </w:r>
      <w:r w:rsidRPr="00E9210E">
        <w:rPr>
          <w:rStyle w:val="Corpsdutexte27ptGras"/>
          <w:rFonts w:eastAsia="Courier New"/>
          <w:b w:val="0"/>
          <w:sz w:val="28"/>
        </w:rPr>
        <w:t xml:space="preserve">Solmi, </w:t>
      </w:r>
      <w:r w:rsidRPr="00E9210E">
        <w:rPr>
          <w:rFonts w:eastAsia="Courier New"/>
          <w:i/>
        </w:rPr>
        <w:t>L’amministrazione finanziaria del regno italico nell’alto medio evo</w:t>
      </w:r>
      <w:r w:rsidRPr="00E9210E">
        <w:rPr>
          <w:rFonts w:eastAsia="Courier New"/>
        </w:rPr>
        <w:t>,</w:t>
      </w:r>
      <w:r w:rsidRPr="00E9210E">
        <w:rPr>
          <w:rStyle w:val="Corpsdutexte28ptGraschelle120"/>
          <w:rFonts w:eastAsia="Courier New"/>
          <w:sz w:val="28"/>
        </w:rPr>
        <w:t xml:space="preserve"> </w:t>
      </w:r>
      <w:r w:rsidRPr="00E9210E">
        <w:t>Pavie, 1932), « A.H.E.S. », t. V (1933), pp. 193-194.</w:t>
      </w:r>
    </w:p>
    <w:p w14:paraId="58D7E1D5" w14:textId="77777777" w:rsidR="00B9662D" w:rsidRPr="00E9210E" w:rsidRDefault="00B9662D" w:rsidP="00B9662D">
      <w:pPr>
        <w:spacing w:before="120" w:after="120"/>
        <w:jc w:val="both"/>
      </w:pPr>
      <w:r w:rsidRPr="00E9210E">
        <w:t xml:space="preserve">Le passé de l’Italie méridionale. (Compte rendu : G. M. </w:t>
      </w:r>
      <w:r w:rsidRPr="00E9210E">
        <w:rPr>
          <w:rStyle w:val="Corpsdutexte27ptGras"/>
          <w:rFonts w:eastAsia="Courier New"/>
          <w:b w:val="0"/>
          <w:smallCaps/>
          <w:sz w:val="28"/>
        </w:rPr>
        <w:t>Monti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Il me</w:t>
      </w:r>
      <w:r w:rsidRPr="00E9210E">
        <w:rPr>
          <w:rFonts w:eastAsia="Courier New"/>
          <w:i/>
        </w:rPr>
        <w:t>z</w:t>
      </w:r>
      <w:r w:rsidRPr="00E9210E">
        <w:rPr>
          <w:rFonts w:eastAsia="Courier New"/>
          <w:i/>
        </w:rPr>
        <w:t>zogiorno d’Italia nel medio evo :</w:t>
      </w:r>
      <w:r w:rsidRPr="00E9210E">
        <w:rPr>
          <w:rStyle w:val="Corpsdutexte2ItaliqueEspacement0pt"/>
          <w:rFonts w:eastAsia="Courier New"/>
          <w:i w:val="0"/>
          <w:sz w:val="28"/>
        </w:rPr>
        <w:t xml:space="preserve"> </w:t>
      </w:r>
      <w:r w:rsidRPr="00E9210E">
        <w:rPr>
          <w:rFonts w:eastAsia="Courier New"/>
          <w:i/>
        </w:rPr>
        <w:t>studi storia</w:t>
      </w:r>
      <w:r w:rsidRPr="00E9210E">
        <w:rPr>
          <w:rFonts w:eastAsia="Courier New"/>
        </w:rPr>
        <w:t>,</w:t>
      </w:r>
      <w:r w:rsidRPr="00E9210E">
        <w:rPr>
          <w:rStyle w:val="Corpsdutexte28ptGraschelle120"/>
          <w:rFonts w:eastAsia="Courier New"/>
          <w:sz w:val="28"/>
        </w:rPr>
        <w:t xml:space="preserve"> </w:t>
      </w:r>
      <w:r w:rsidRPr="00E9210E">
        <w:t>Bari, 1930), « A.H.E.S. », t. V (1933), p. 194-195.</w:t>
      </w:r>
    </w:p>
    <w:p w14:paraId="6CFF8882" w14:textId="77777777" w:rsidR="00B9662D" w:rsidRPr="00E9210E" w:rsidRDefault="00B9662D" w:rsidP="00B9662D">
      <w:pPr>
        <w:spacing w:before="120" w:after="120"/>
        <w:jc w:val="both"/>
      </w:pPr>
      <w:r w:rsidRPr="00E9210E">
        <w:rPr>
          <w:rFonts w:eastAsia="Courier New"/>
          <w:iCs/>
        </w:rPr>
        <w:t>Un monastère italien. (Compte rendu : R.</w:t>
      </w:r>
      <w:r w:rsidRPr="00E9210E">
        <w:rPr>
          <w:rFonts w:eastAsia="Courier New"/>
          <w:i/>
          <w:iCs/>
        </w:rPr>
        <w:t xml:space="preserve"> </w:t>
      </w:r>
      <w:r w:rsidRPr="00E9210E">
        <w:rPr>
          <w:rStyle w:val="Corpsdutexte107ptGrasNonItalique"/>
          <w:rFonts w:eastAsia="Courier New"/>
          <w:b w:val="0"/>
          <w:i w:val="0"/>
          <w:iCs w:val="0"/>
          <w:smallCaps/>
          <w:sz w:val="28"/>
        </w:rPr>
        <w:t>Morghen</w:t>
      </w:r>
      <w:r w:rsidRPr="00E9210E">
        <w:rPr>
          <w:rStyle w:val="Corpsdutexte107ptGrasNonItalique"/>
          <w:rFonts w:eastAsia="Courier New"/>
          <w:b w:val="0"/>
          <w:i w:val="0"/>
          <w:iCs w:val="0"/>
          <w:sz w:val="28"/>
        </w:rPr>
        <w:t>,</w:t>
      </w:r>
      <w:r w:rsidRPr="00E9210E">
        <w:rPr>
          <w:rStyle w:val="Corpsdutexte107ptGrasNonItalique"/>
          <w:rFonts w:eastAsia="Courier New"/>
          <w:i w:val="0"/>
          <w:iCs w:val="0"/>
          <w:sz w:val="28"/>
        </w:rPr>
        <w:t xml:space="preserve"> </w:t>
      </w:r>
      <w:r w:rsidRPr="00E9210E">
        <w:rPr>
          <w:i/>
        </w:rPr>
        <w:t>Le relazioni del monasterio sublacense col papato, la feudalità e il comune nell’alto medio evo</w:t>
      </w:r>
      <w:r w:rsidRPr="00E9210E">
        <w:t>,</w:t>
      </w:r>
      <w:r w:rsidRPr="00E9210E">
        <w:rPr>
          <w:rStyle w:val="Corpsdutexte108ptGrasNonItaliquechelle120"/>
          <w:rFonts w:eastAsia="Courier New"/>
          <w:i w:val="0"/>
          <w:iCs w:val="0"/>
          <w:sz w:val="28"/>
        </w:rPr>
        <w:t xml:space="preserve"> </w:t>
      </w:r>
      <w:r w:rsidRPr="00E9210E">
        <w:rPr>
          <w:rFonts w:eastAsia="Courier New"/>
          <w:iCs/>
        </w:rPr>
        <w:t>dans</w:t>
      </w:r>
      <w:r w:rsidRPr="00E9210E">
        <w:rPr>
          <w:rFonts w:eastAsia="Courier New"/>
          <w:i/>
          <w:iCs/>
        </w:rPr>
        <w:t xml:space="preserve"> </w:t>
      </w:r>
      <w:r w:rsidRPr="00E9210E">
        <w:rPr>
          <w:i/>
        </w:rPr>
        <w:t xml:space="preserve">Archivio della </w:t>
      </w:r>
      <w:r w:rsidRPr="00E9210E">
        <w:rPr>
          <w:rFonts w:eastAsia="Courier New"/>
          <w:i/>
        </w:rPr>
        <w:t>R. Società di Storia Patria</w:t>
      </w:r>
      <w:r w:rsidRPr="00E9210E">
        <w:rPr>
          <w:rFonts w:eastAsia="Courier New"/>
        </w:rPr>
        <w:t>,</w:t>
      </w:r>
      <w:r w:rsidRPr="00E9210E">
        <w:rPr>
          <w:rStyle w:val="Corpsdutexte28ptGraschelle120"/>
          <w:rFonts w:eastAsia="Courier New"/>
          <w:sz w:val="28"/>
        </w:rPr>
        <w:t xml:space="preserve"> </w:t>
      </w:r>
      <w:r w:rsidRPr="00E9210E">
        <w:t>t. LI (1928), pp. 181-262), « A.H.E.S. », t. V (1933), p. 195.</w:t>
      </w:r>
    </w:p>
    <w:p w14:paraId="2224E528" w14:textId="77777777" w:rsidR="00B9662D" w:rsidRPr="00E9210E" w:rsidRDefault="00B9662D" w:rsidP="00B9662D">
      <w:pPr>
        <w:spacing w:before="120" w:after="120"/>
        <w:jc w:val="both"/>
      </w:pPr>
      <w:r w:rsidRPr="00E9210E">
        <w:t xml:space="preserve">L’ancienne Germanie : problèmes de liaisons. (Compte rendu : T. E. </w:t>
      </w:r>
      <w:r w:rsidRPr="00E9210E">
        <w:rPr>
          <w:rStyle w:val="Corpsdutexte27ptGras"/>
          <w:rFonts w:eastAsia="Courier New"/>
          <w:b w:val="0"/>
          <w:smallCaps/>
          <w:sz w:val="28"/>
        </w:rPr>
        <w:t>Karsten</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traduit par F. </w:t>
      </w:r>
      <w:r w:rsidRPr="00E9210E">
        <w:rPr>
          <w:rStyle w:val="Corpsdutexte27ptGras"/>
          <w:rFonts w:eastAsia="Courier New"/>
          <w:b w:val="0"/>
          <w:sz w:val="28"/>
        </w:rPr>
        <w:t>Mossé,</w:t>
      </w:r>
      <w:r w:rsidRPr="00E9210E">
        <w:rPr>
          <w:rStyle w:val="Corpsdutexte27ptGras"/>
          <w:rFonts w:eastAsia="Courier New"/>
          <w:sz w:val="28"/>
        </w:rPr>
        <w:t xml:space="preserve"> </w:t>
      </w:r>
      <w:r w:rsidRPr="00E9210E">
        <w:rPr>
          <w:rFonts w:eastAsia="Courier New"/>
          <w:i/>
        </w:rPr>
        <w:t>Les anciens Germains :</w:t>
      </w:r>
      <w:r w:rsidRPr="00E9210E">
        <w:rPr>
          <w:rStyle w:val="Corpsdutexte2ItaliqueEspacement0pt"/>
          <w:rFonts w:eastAsia="Courier New"/>
          <w:i w:val="0"/>
          <w:sz w:val="28"/>
        </w:rPr>
        <w:t xml:space="preserve"> </w:t>
      </w:r>
      <w:r w:rsidRPr="00E9210E">
        <w:rPr>
          <w:rFonts w:eastAsia="Courier New"/>
          <w:i/>
        </w:rPr>
        <w:t>intr</w:t>
      </w:r>
      <w:r w:rsidRPr="00E9210E">
        <w:rPr>
          <w:rFonts w:eastAsia="Courier New"/>
          <w:i/>
        </w:rPr>
        <w:t>o</w:t>
      </w:r>
      <w:r w:rsidRPr="00E9210E">
        <w:rPr>
          <w:rFonts w:eastAsia="Courier New"/>
          <w:i/>
        </w:rPr>
        <w:t>duction à l’étude des langues et des civilisations germaniques</w:t>
      </w:r>
      <w:r w:rsidRPr="00E9210E">
        <w:rPr>
          <w:rStyle w:val="Corpsdutexte2ItaliqueEspacement0pt"/>
          <w:rFonts w:eastAsia="Courier New"/>
          <w:sz w:val="28"/>
        </w:rPr>
        <w:t>,</w:t>
      </w:r>
      <w:r w:rsidRPr="00E9210E">
        <w:t xml:space="preserve"> Paris, 1931), « A.H.E.S. », t. V (1933), pp. 201-202.</w:t>
      </w:r>
    </w:p>
    <w:p w14:paraId="7C77E1A8" w14:textId="77777777" w:rsidR="00B9662D" w:rsidRPr="00E9210E" w:rsidRDefault="00B9662D" w:rsidP="00B9662D">
      <w:pPr>
        <w:spacing w:before="120" w:after="120"/>
        <w:jc w:val="both"/>
      </w:pPr>
      <w:r w:rsidRPr="00E9210E">
        <w:t>La civilisation économique des Germains. (Compte rendu : A. </w:t>
      </w:r>
      <w:r w:rsidRPr="00E9210E">
        <w:rPr>
          <w:rStyle w:val="Corpsdutexte27ptGrasPetitesmajuscules"/>
          <w:rFonts w:eastAsia="Courier New"/>
          <w:b w:val="0"/>
          <w:sz w:val="28"/>
          <w:lang w:val="fr-CA"/>
        </w:rPr>
        <w:t>Helbok,</w:t>
      </w:r>
      <w:r w:rsidRPr="00E9210E">
        <w:rPr>
          <w:rStyle w:val="Corpsdutexte27ptGrasPetitesmajuscules"/>
          <w:rFonts w:eastAsia="Courier New"/>
          <w:sz w:val="28"/>
          <w:lang w:val="fr-CA"/>
        </w:rPr>
        <w:t xml:space="preserve"> </w:t>
      </w:r>
      <w:r w:rsidRPr="00E9210E">
        <w:rPr>
          <w:rFonts w:eastAsia="Courier New"/>
          <w:i/>
        </w:rPr>
        <w:t>Zur Frage der germanischen Wirtschaftskultur</w:t>
      </w:r>
      <w:r w:rsidRPr="00E9210E">
        <w:rPr>
          <w:rFonts w:eastAsia="Courier New"/>
        </w:rPr>
        <w:t>,</w:t>
      </w:r>
      <w:r w:rsidRPr="00E9210E">
        <w:rPr>
          <w:rStyle w:val="Corpsdutexte28ptGraschelle120"/>
          <w:rFonts w:eastAsia="Courier New"/>
          <w:sz w:val="28"/>
        </w:rPr>
        <w:t xml:space="preserve"> </w:t>
      </w:r>
      <w:r w:rsidRPr="00E9210E">
        <w:t xml:space="preserve">dans </w:t>
      </w:r>
      <w:r w:rsidRPr="00E9210E">
        <w:rPr>
          <w:rFonts w:eastAsia="Courier New"/>
          <w:i/>
        </w:rPr>
        <w:t>Vierteljahrschrift für Sozial- und Wirtschaftsgeschichte</w:t>
      </w:r>
      <w:r w:rsidRPr="00E9210E">
        <w:rPr>
          <w:rStyle w:val="Corpsdutexte2ItaliqueEspacement0pt"/>
          <w:rFonts w:eastAsia="Courier New"/>
          <w:i w:val="0"/>
          <w:sz w:val="28"/>
        </w:rPr>
        <w:t>,</w:t>
      </w:r>
      <w:r w:rsidRPr="00E9210E">
        <w:rPr>
          <w:i/>
        </w:rPr>
        <w:t xml:space="preserve"> </w:t>
      </w:r>
      <w:r w:rsidRPr="00E9210E">
        <w:t>t. XXII (1930), pp. 257-288), « A.H.E.S. », t. V (1933), pp. 202-203.</w:t>
      </w:r>
    </w:p>
    <w:p w14:paraId="1E18D7BB" w14:textId="77777777" w:rsidR="00B9662D" w:rsidRPr="00E9210E" w:rsidRDefault="00B9662D" w:rsidP="00B9662D">
      <w:pPr>
        <w:spacing w:before="120" w:after="120"/>
        <w:jc w:val="both"/>
      </w:pPr>
      <w:r>
        <w:rPr>
          <w:rFonts w:eastAsia="Courier New"/>
        </w:rPr>
        <w:br w:type="page"/>
      </w:r>
      <w:r w:rsidRPr="00E9210E">
        <w:rPr>
          <w:rFonts w:eastAsia="Courier New"/>
        </w:rPr>
        <w:t>[1060]</w:t>
      </w:r>
    </w:p>
    <w:p w14:paraId="3A18D16A" w14:textId="77777777" w:rsidR="00B9662D" w:rsidRPr="00E9210E" w:rsidRDefault="00B9662D" w:rsidP="00B9662D">
      <w:pPr>
        <w:spacing w:before="120" w:after="120"/>
        <w:jc w:val="both"/>
      </w:pPr>
      <w:r w:rsidRPr="00E9210E">
        <w:t>Lübeck, Francfort, Nüremberg et le commerce allemand à la fin du xv</w:t>
      </w:r>
      <w:r w:rsidRPr="00E9210E">
        <w:rPr>
          <w:vertAlign w:val="superscript"/>
        </w:rPr>
        <w:t>e</w:t>
      </w:r>
      <w:r w:rsidRPr="00E9210E">
        <w:t xml:space="preserve"> siècle. (Compte rendu : Fr. </w:t>
      </w:r>
      <w:r w:rsidRPr="00E9210E">
        <w:rPr>
          <w:rStyle w:val="Corpsdutexte27ptGras"/>
          <w:rFonts w:eastAsia="Courier New"/>
          <w:b w:val="0"/>
          <w:smallCaps/>
          <w:sz w:val="28"/>
        </w:rPr>
        <w:t>Rörig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Einkaufbüchlein der Nii</w:t>
      </w:r>
      <w:r w:rsidRPr="00E9210E">
        <w:rPr>
          <w:rStyle w:val="Corpsdutexte28ptItalique"/>
          <w:rFonts w:eastAsia="Courier New"/>
          <w:sz w:val="28"/>
        </w:rPr>
        <w:t>m</w:t>
      </w:r>
      <w:r w:rsidRPr="00E9210E">
        <w:rPr>
          <w:rStyle w:val="Corpsdutexte28ptItalique"/>
          <w:rFonts w:eastAsia="Courier New"/>
          <w:sz w:val="28"/>
        </w:rPr>
        <w:t>berg-Lübecker Mülich’s auf der Frankfurtermesse des Jahres 1495</w:t>
      </w:r>
      <w:r w:rsidRPr="00E9210E">
        <w:t>, Breslau, 1931), « A.H.E.S. », t. V (1933), p. 207.</w:t>
      </w:r>
    </w:p>
    <w:p w14:paraId="652696FD" w14:textId="77777777" w:rsidR="00B9662D" w:rsidRPr="00E9210E" w:rsidRDefault="00B9662D" w:rsidP="00B9662D">
      <w:pPr>
        <w:spacing w:before="120" w:after="120"/>
        <w:jc w:val="both"/>
      </w:pPr>
      <w:r w:rsidRPr="00E9210E">
        <w:t xml:space="preserve">Corporations provinciales : les chaudronniers allemands. (Compte rendu : Fr. </w:t>
      </w:r>
      <w:r w:rsidRPr="00E9210E">
        <w:rPr>
          <w:rStyle w:val="Corpsdutexte27ptGras"/>
          <w:rFonts w:eastAsia="Courier New"/>
          <w:b w:val="0"/>
          <w:smallCaps/>
          <w:sz w:val="28"/>
        </w:rPr>
        <w:t>Hornschuch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Aufbau und Geschichte der interritorialen Kesslerkreise in Deutschland, </w:t>
      </w:r>
      <w:r w:rsidRPr="00E9210E">
        <w:t>Stuttgart, 1930), « A.H.E.S. », t. V (1933), pp. 207-209.</w:t>
      </w:r>
    </w:p>
    <w:p w14:paraId="147B4CB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famille de haute bourgeoisie. (Compte rendu : A. </w:t>
      </w:r>
      <w:r w:rsidRPr="00E9210E">
        <w:rPr>
          <w:rStyle w:val="Corpsdutexte37ptGrasNonItalique"/>
          <w:rFonts w:eastAsia="Courier New"/>
          <w:b w:val="0"/>
          <w:i w:val="0"/>
          <w:iCs w:val="0"/>
          <w:smallCaps/>
          <w:sz w:val="28"/>
        </w:rPr>
        <w:t>Meini</w:t>
      </w:r>
      <w:r w:rsidRPr="00E9210E">
        <w:rPr>
          <w:rStyle w:val="Corpsdutexte37ptGrasNonItalique"/>
          <w:rFonts w:eastAsia="Courier New"/>
          <w:b w:val="0"/>
          <w:i w:val="0"/>
          <w:iCs w:val="0"/>
          <w:smallCaps/>
          <w:sz w:val="28"/>
        </w:rPr>
        <w:t>g</w:t>
      </w:r>
      <w:r w:rsidRPr="00E9210E">
        <w:rPr>
          <w:rStyle w:val="Corpsdutexte37ptGrasNonItalique"/>
          <w:rFonts w:eastAsia="Courier New"/>
          <w:b w:val="0"/>
          <w:i w:val="0"/>
          <w:iCs w:val="0"/>
          <w:smallCaps/>
          <w:sz w:val="28"/>
        </w:rPr>
        <w:t>haus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Dortmunder Patri</w:t>
      </w:r>
      <w:r w:rsidRPr="00E9210E">
        <w:rPr>
          <w:i/>
        </w:rPr>
        <w:t>e</w:t>
      </w:r>
      <w:r w:rsidRPr="00E9210E">
        <w:rPr>
          <w:i/>
        </w:rPr>
        <w:t>ziergeschlecht von Hengstenberg. Eine Regestensammlung mit Stammtafel</w:t>
      </w:r>
      <w:r w:rsidRPr="00E9210E">
        <w:rPr>
          <w:rStyle w:val="Corpsdutexte3GrasNonItaliquechelle120"/>
          <w:rFonts w:eastAsia="Courier New"/>
          <w:i w:val="0"/>
          <w:iCs w:val="0"/>
          <w:sz w:val="28"/>
        </w:rPr>
        <w:t xml:space="preserve">, </w:t>
      </w:r>
      <w:r w:rsidRPr="00E9210E">
        <w:rPr>
          <w:i/>
        </w:rPr>
        <w:t>Wappen- und Siegeltafel</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Dor</w:t>
      </w:r>
      <w:r w:rsidRPr="00E9210E">
        <w:rPr>
          <w:rStyle w:val="Corpsdutexte385ptNonItalique"/>
          <w:rFonts w:eastAsia="Courier New"/>
          <w:i w:val="0"/>
          <w:iCs w:val="0"/>
          <w:sz w:val="28"/>
        </w:rPr>
        <w:t>t</w:t>
      </w:r>
      <w:r w:rsidRPr="00E9210E">
        <w:rPr>
          <w:rStyle w:val="Corpsdutexte385ptNonItalique"/>
          <w:rFonts w:eastAsia="Courier New"/>
          <w:i w:val="0"/>
          <w:iCs w:val="0"/>
          <w:sz w:val="28"/>
        </w:rPr>
        <w:t>mund, 1930), « A.H.E.S. », t. V (1933), p. 209.</w:t>
      </w:r>
    </w:p>
    <w:p w14:paraId="5939E18A" w14:textId="77777777" w:rsidR="00B9662D" w:rsidRPr="00E9210E" w:rsidRDefault="00B9662D" w:rsidP="00B9662D">
      <w:pPr>
        <w:spacing w:before="120" w:after="120"/>
        <w:jc w:val="both"/>
      </w:pPr>
      <w:r w:rsidRPr="00E9210E">
        <w:t>La Prusse orientale : problèmes économiques. (Compte rendu : W. </w:t>
      </w:r>
      <w:r w:rsidRPr="00E9210E">
        <w:rPr>
          <w:rStyle w:val="Corpsdutexte27ptGras"/>
          <w:rFonts w:eastAsia="Courier New"/>
          <w:b w:val="0"/>
          <w:smallCaps/>
          <w:sz w:val="28"/>
        </w:rPr>
        <w:t>Volz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Ostdeutsche Wirtschaft</w:t>
      </w:r>
      <w:r w:rsidRPr="00E9210E">
        <w:t>, Berlin, 1930), « A.H.E.S. », t. V (1933), pp. 210-211.</w:t>
      </w:r>
    </w:p>
    <w:p w14:paraId="1C8E50AA" w14:textId="77777777" w:rsidR="00B9662D" w:rsidRPr="00E9210E" w:rsidRDefault="00B9662D" w:rsidP="00B9662D">
      <w:pPr>
        <w:spacing w:before="120" w:after="120"/>
        <w:jc w:val="both"/>
      </w:pPr>
      <w:r w:rsidRPr="00E9210E">
        <w:t xml:space="preserve">L’expérience monétaire allemande. (Comptes rendus : Fr. D. </w:t>
      </w:r>
      <w:r w:rsidRPr="00E9210E">
        <w:rPr>
          <w:rStyle w:val="Corpsdutexte27ptGras"/>
          <w:rFonts w:eastAsia="Courier New"/>
          <w:b w:val="0"/>
          <w:smallCaps/>
          <w:sz w:val="28"/>
        </w:rPr>
        <w:t>Gr</w:t>
      </w:r>
      <w:r w:rsidRPr="00E9210E">
        <w:rPr>
          <w:rStyle w:val="Corpsdutexte27ptGras"/>
          <w:rFonts w:eastAsia="Courier New"/>
          <w:b w:val="0"/>
          <w:smallCaps/>
          <w:sz w:val="28"/>
        </w:rPr>
        <w:t>a</w:t>
      </w:r>
      <w:r w:rsidRPr="00E9210E">
        <w:rPr>
          <w:rStyle w:val="Corpsdutexte27ptGras"/>
          <w:rFonts w:eastAsia="Courier New"/>
          <w:b w:val="0"/>
          <w:smallCaps/>
          <w:sz w:val="28"/>
        </w:rPr>
        <w:t>ham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Échange</w:t>
      </w:r>
      <w:r w:rsidRPr="00E9210E">
        <w:rPr>
          <w:rStyle w:val="Corpsdutexte28ptGraschelle120"/>
          <w:rFonts w:eastAsia="Courier New"/>
          <w:sz w:val="28"/>
        </w:rPr>
        <w:t xml:space="preserve">, </w:t>
      </w:r>
      <w:r w:rsidRPr="00E9210E">
        <w:rPr>
          <w:rStyle w:val="Corpsdutexte28ptItalique"/>
          <w:rFonts w:eastAsia="Courier New"/>
          <w:sz w:val="28"/>
        </w:rPr>
        <w:t>priées and production in hyper-inflation :</w:t>
      </w:r>
      <w:r w:rsidRPr="00E9210E">
        <w:rPr>
          <w:rFonts w:eastAsia="Courier New"/>
        </w:rPr>
        <w:t xml:space="preserve"> </w:t>
      </w:r>
      <w:r w:rsidRPr="00E9210E">
        <w:rPr>
          <w:rStyle w:val="Corpsdutexte28ptItalique"/>
          <w:rFonts w:eastAsia="Courier New"/>
          <w:sz w:val="28"/>
        </w:rPr>
        <w:t>Germany 1920-1923</w:t>
      </w:r>
      <w:r w:rsidRPr="00E9210E">
        <w:t xml:space="preserve">, Princeton, 1930. — C. </w:t>
      </w:r>
      <w:r w:rsidRPr="00E9210E">
        <w:rPr>
          <w:rStyle w:val="Corpsdutexte27ptGras"/>
          <w:rFonts w:eastAsia="Courier New"/>
          <w:b w:val="0"/>
          <w:smallCaps/>
          <w:sz w:val="28"/>
        </w:rPr>
        <w:t>Bre</w:t>
      </w:r>
      <w:r w:rsidRPr="00E9210E">
        <w:rPr>
          <w:rStyle w:val="Corpsdutexte27ptGras"/>
          <w:rFonts w:eastAsia="Courier New"/>
          <w:b w:val="0"/>
          <w:smallCaps/>
          <w:sz w:val="28"/>
        </w:rPr>
        <w:t>s</w:t>
      </w:r>
      <w:r w:rsidRPr="00E9210E">
        <w:rPr>
          <w:rStyle w:val="Corpsdutexte27ptGras"/>
          <w:rFonts w:eastAsia="Courier New"/>
          <w:b w:val="0"/>
          <w:smallCaps/>
          <w:sz w:val="28"/>
        </w:rPr>
        <w:t>ciani-Turroni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vicende del marco tedesco,</w:t>
      </w:r>
      <w:r w:rsidRPr="00E9210E">
        <w:rPr>
          <w:rStyle w:val="Corpsdutexte28ptGraschelle120"/>
          <w:rFonts w:eastAsia="Courier New"/>
          <w:sz w:val="28"/>
        </w:rPr>
        <w:t xml:space="preserve"> </w:t>
      </w:r>
      <w:r w:rsidRPr="00E9210E">
        <w:t>Milan, 1931), « A.H.E.S. », t. V (1933), p. 211.</w:t>
      </w:r>
    </w:p>
    <w:p w14:paraId="1AB941F5" w14:textId="77777777" w:rsidR="00B9662D" w:rsidRPr="00E9210E" w:rsidRDefault="00B9662D" w:rsidP="00B9662D">
      <w:pPr>
        <w:spacing w:before="120" w:after="120"/>
        <w:jc w:val="both"/>
      </w:pPr>
      <w:r w:rsidRPr="00E9210E">
        <w:t xml:space="preserve">La morale économique, le droit et la pratique : actions et réactions. (Comptes rendus : </w:t>
      </w:r>
      <w:r w:rsidRPr="00E9210E">
        <w:rPr>
          <w:rStyle w:val="Corpsdutexte385ptNonItalique"/>
          <w:rFonts w:eastAsia="Courier New"/>
          <w:i w:val="0"/>
          <w:iCs w:val="0"/>
          <w:sz w:val="28"/>
        </w:rPr>
        <w:t xml:space="preserve">S. </w:t>
      </w:r>
      <w:r w:rsidRPr="00E9210E">
        <w:rPr>
          <w:rStyle w:val="Corpsdutexte37ptGrasNonItalique"/>
          <w:rFonts w:eastAsia="Courier New"/>
          <w:b w:val="0"/>
          <w:i w:val="0"/>
          <w:iCs w:val="0"/>
          <w:smallCaps/>
          <w:sz w:val="28"/>
        </w:rPr>
        <w:t>Hagenauer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w:t>
      </w:r>
      <w:r w:rsidRPr="00E9210E">
        <w:rPr>
          <w:i/>
        </w:rPr>
        <w:t>justum pretium</w:t>
      </w:r>
      <w:r w:rsidRPr="00E9210E">
        <w:rPr>
          <w:rStyle w:val="Corpsdutexte3GrasNonItaliquechelle120"/>
          <w:rFonts w:eastAsia="Courier New"/>
          <w:i w:val="0"/>
          <w:iCs w:val="0"/>
          <w:sz w:val="28"/>
        </w:rPr>
        <w:t xml:space="preserve"> » </w:t>
      </w:r>
      <w:r w:rsidRPr="00E9210E">
        <w:rPr>
          <w:i/>
        </w:rPr>
        <w:t>bei Th</w:t>
      </w:r>
      <w:r w:rsidRPr="00E9210E">
        <w:rPr>
          <w:i/>
        </w:rPr>
        <w:t>o</w:t>
      </w:r>
      <w:r w:rsidRPr="00E9210E">
        <w:rPr>
          <w:i/>
        </w:rPr>
        <w:t>mas von Aquino :</w:t>
      </w:r>
      <w:r w:rsidRPr="00E9210E">
        <w:rPr>
          <w:rFonts w:eastAsia="Courier New"/>
          <w:i/>
        </w:rPr>
        <w:t xml:space="preserve"> </w:t>
      </w:r>
      <w:r w:rsidRPr="00E9210E">
        <w:rPr>
          <w:i/>
        </w:rPr>
        <w:t>ein Beitrag zur Geschichte der objectiven Wertthe</w:t>
      </w:r>
      <w:r w:rsidRPr="00E9210E">
        <w:rPr>
          <w:i/>
        </w:rPr>
        <w:t>o</w:t>
      </w:r>
      <w:r w:rsidRPr="00E9210E">
        <w:rPr>
          <w:i/>
        </w:rPr>
        <w:t>rie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Stuttgart, 1931. — A. </w:t>
      </w:r>
      <w:r w:rsidRPr="00E9210E">
        <w:rPr>
          <w:rStyle w:val="Corpsdutexte37ptGrasNonItalique"/>
          <w:rFonts w:eastAsia="Courier New"/>
          <w:b w:val="0"/>
          <w:i w:val="0"/>
          <w:iCs w:val="0"/>
          <w:smallCaps/>
          <w:sz w:val="28"/>
        </w:rPr>
        <w:t>Sapori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Il giusto prezzo nella dottrina di San Tommaso e nella pratica del suo tempo</w:t>
      </w:r>
      <w:r w:rsidRPr="00E9210E">
        <w:rPr>
          <w:rStyle w:val="Corpsdutexte385ptNonItalique"/>
          <w:rFonts w:eastAsia="Courier New"/>
          <w:i w:val="0"/>
          <w:iCs w:val="0"/>
          <w:sz w:val="28"/>
        </w:rPr>
        <w:t xml:space="preserve">, dans </w:t>
      </w:r>
      <w:r w:rsidRPr="00E9210E">
        <w:rPr>
          <w:i/>
        </w:rPr>
        <w:t>Archivio storico italiano</w:t>
      </w:r>
      <w:r w:rsidRPr="00E9210E">
        <w:rPr>
          <w:rStyle w:val="Corpsdutexte385ptNonItalique"/>
          <w:rFonts w:eastAsia="Courier New"/>
          <w:i w:val="0"/>
          <w:iCs w:val="0"/>
          <w:sz w:val="28"/>
        </w:rPr>
        <w:t>, série VII, vol. XVIII (1932), pp. 3-56), « A.H.E.S. », t. V (1933), pp. 295-299.</w:t>
      </w:r>
    </w:p>
    <w:p w14:paraId="50241052" w14:textId="77777777" w:rsidR="00B9662D" w:rsidRPr="00E9210E" w:rsidRDefault="00B9662D" w:rsidP="00B9662D">
      <w:pPr>
        <w:spacing w:before="120" w:after="120"/>
        <w:jc w:val="both"/>
      </w:pPr>
      <w:r w:rsidRPr="00E9210E">
        <w:t xml:space="preserve">L’erreur collective de la « grande peur » comme symptôme d’un état social. (Compte rendu : G. </w:t>
      </w:r>
      <w:r w:rsidRPr="00E9210E">
        <w:rPr>
          <w:rStyle w:val="Corpsdutexte27ptGras"/>
          <w:rFonts w:eastAsia="Courier New"/>
          <w:b w:val="0"/>
          <w:smallCaps/>
          <w:sz w:val="28"/>
        </w:rPr>
        <w:t>Lefebvre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La grande peur de </w:t>
      </w:r>
      <w:r w:rsidRPr="00E9210E">
        <w:rPr>
          <w:rFonts w:eastAsia="Courier New"/>
        </w:rPr>
        <w:t>1789</w:t>
      </w:r>
      <w:r w:rsidRPr="00E9210E">
        <w:t>, Paris, 1932), « A.H.E.S. », t. V (1933), pp. 301-304.</w:t>
      </w:r>
    </w:p>
    <w:p w14:paraId="1292FC19" w14:textId="77777777" w:rsidR="00B9662D" w:rsidRPr="00E9210E" w:rsidRDefault="00B9662D" w:rsidP="00B9662D">
      <w:pPr>
        <w:spacing w:before="120" w:after="120"/>
        <w:jc w:val="both"/>
      </w:pPr>
      <w:r w:rsidRPr="00E9210E">
        <w:t>Témoignages littéraires dans la société médiévale. (Comptes re</w:t>
      </w:r>
      <w:r w:rsidRPr="00E9210E">
        <w:t>n</w:t>
      </w:r>
      <w:r w:rsidRPr="00E9210E">
        <w:t xml:space="preserve">dus : O. </w:t>
      </w:r>
      <w:r w:rsidRPr="00E9210E">
        <w:rPr>
          <w:rStyle w:val="Corpsdutexte27ptGras"/>
          <w:rFonts w:eastAsia="Courier New"/>
          <w:b w:val="0"/>
          <w:smallCaps/>
          <w:sz w:val="28"/>
        </w:rPr>
        <w:t>Dobiache-Rojdesvensky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poésies des Goliards gro</w:t>
      </w:r>
      <w:r w:rsidRPr="00E9210E">
        <w:rPr>
          <w:rStyle w:val="Corpsdutexte28ptItalique"/>
          <w:rFonts w:eastAsia="Courier New"/>
          <w:sz w:val="28"/>
        </w:rPr>
        <w:t>u</w:t>
      </w:r>
      <w:r w:rsidRPr="00E9210E">
        <w:rPr>
          <w:rStyle w:val="Corpsdutexte28ptItalique"/>
          <w:rFonts w:eastAsia="Courier New"/>
          <w:sz w:val="28"/>
        </w:rPr>
        <w:t>pées et traduites avec le texte latin en regard</w:t>
      </w:r>
      <w:r w:rsidRPr="00E9210E">
        <w:t>, P</w:t>
      </w:r>
      <w:r w:rsidRPr="00E9210E">
        <w:t>a</w:t>
      </w:r>
      <w:r w:rsidRPr="00E9210E">
        <w:t>ris, 1931. — G. </w:t>
      </w:r>
      <w:r w:rsidRPr="00E9210E">
        <w:rPr>
          <w:rStyle w:val="Corpsdutexte27ptGras"/>
          <w:rFonts w:eastAsia="Courier New"/>
          <w:b w:val="0"/>
          <w:smallCaps/>
          <w:sz w:val="28"/>
        </w:rPr>
        <w:t>Cohen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w:t>
      </w:r>
      <w:r w:rsidRPr="00E9210E">
        <w:rPr>
          <w:rStyle w:val="Corpsdutexte28ptGraschelle120"/>
          <w:rFonts w:eastAsia="Courier New"/>
          <w:sz w:val="28"/>
        </w:rPr>
        <w:t xml:space="preserve"> </w:t>
      </w:r>
      <w:r w:rsidRPr="00E9210E">
        <w:t>« </w:t>
      </w:r>
      <w:r w:rsidRPr="00E9210E">
        <w:rPr>
          <w:rStyle w:val="Corpsdutexte28ptItalique"/>
          <w:rFonts w:eastAsia="Courier New"/>
          <w:sz w:val="28"/>
        </w:rPr>
        <w:t>Comédie</w:t>
      </w:r>
      <w:r w:rsidRPr="00E9210E">
        <w:rPr>
          <w:rStyle w:val="Corpsdutexte28ptGraschelle120"/>
          <w:rFonts w:eastAsia="Courier New"/>
          <w:sz w:val="28"/>
        </w:rPr>
        <w:t> »</w:t>
      </w:r>
      <w:r w:rsidRPr="00E9210E">
        <w:t xml:space="preserve"> </w:t>
      </w:r>
      <w:r w:rsidRPr="00E9210E">
        <w:rPr>
          <w:rStyle w:val="Corpsdutexte28ptItalique"/>
          <w:rFonts w:eastAsia="Courier New"/>
          <w:sz w:val="28"/>
        </w:rPr>
        <w:t xml:space="preserve">latine en France au </w:t>
      </w:r>
      <w:r w:rsidRPr="00E9210E">
        <w:rPr>
          <w:rFonts w:eastAsia="Courier New"/>
          <w:i/>
        </w:rPr>
        <w:t>XII</w:t>
      </w:r>
      <w:r w:rsidRPr="00E9210E">
        <w:rPr>
          <w:rFonts w:eastAsia="Courier New"/>
          <w:i/>
          <w:vertAlign w:val="superscript"/>
        </w:rPr>
        <w:t>e</w:t>
      </w:r>
      <w:r w:rsidRPr="00E9210E">
        <w:rPr>
          <w:rFonts w:eastAsia="Courier New"/>
          <w:i/>
        </w:rPr>
        <w:t xml:space="preserve"> </w:t>
      </w:r>
      <w:r w:rsidRPr="00E9210E">
        <w:rPr>
          <w:rStyle w:val="Corpsdutexte28ptItalique"/>
          <w:rFonts w:eastAsia="Courier New"/>
          <w:sz w:val="28"/>
        </w:rPr>
        <w:t>siècle</w:t>
      </w:r>
      <w:r w:rsidRPr="00E9210E">
        <w:t>, Paris, 1931), « A.H.E.S. », t. V (1933), pp. 313-314.</w:t>
      </w:r>
    </w:p>
    <w:p w14:paraId="2BDE0A8C" w14:textId="77777777" w:rsidR="00B9662D" w:rsidRPr="00E9210E" w:rsidRDefault="00B9662D" w:rsidP="00B9662D">
      <w:pPr>
        <w:spacing w:before="120" w:after="120"/>
        <w:jc w:val="both"/>
      </w:pPr>
      <w:r w:rsidRPr="00E9210E">
        <w:t xml:space="preserve">La vie du droit d’après les documents littéraires. (Compte rendu : H. </w:t>
      </w:r>
      <w:r w:rsidRPr="00E9210E">
        <w:rPr>
          <w:rStyle w:val="Corpsdutexte27ptGras"/>
          <w:rFonts w:eastAsia="Courier New"/>
          <w:b w:val="0"/>
          <w:smallCaps/>
          <w:sz w:val="28"/>
        </w:rPr>
        <w:t>Fehr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Recht in der Dichtung,</w:t>
      </w:r>
      <w:r w:rsidRPr="00E9210E">
        <w:rPr>
          <w:rStyle w:val="Corpsdutexte28ptGraschelle120"/>
          <w:rFonts w:eastAsia="Courier New"/>
          <w:sz w:val="28"/>
        </w:rPr>
        <w:t xml:space="preserve"> </w:t>
      </w:r>
      <w:r w:rsidRPr="00E9210E">
        <w:t>Berne, s.d.), « A.H.E.S. », t. V (1933), pp. 314-315.</w:t>
      </w:r>
    </w:p>
    <w:p w14:paraId="004770EF" w14:textId="77777777" w:rsidR="00B9662D" w:rsidRPr="00E9210E" w:rsidRDefault="00B9662D" w:rsidP="00B9662D">
      <w:pPr>
        <w:spacing w:before="120" w:after="120"/>
        <w:jc w:val="both"/>
      </w:pPr>
      <w:r w:rsidRPr="00E9210E">
        <w:t xml:space="preserve">L’Auvergne. (Compte rendu : Ph. </w:t>
      </w:r>
      <w:r w:rsidRPr="00E9210E">
        <w:rPr>
          <w:rStyle w:val="Corpsdutexte27ptGras"/>
          <w:rFonts w:eastAsia="Courier New"/>
          <w:b w:val="0"/>
          <w:smallCaps/>
          <w:sz w:val="28"/>
        </w:rPr>
        <w:t>Arbos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w:t>
      </w:r>
      <w:r w:rsidRPr="00E9210E">
        <w:rPr>
          <w:rStyle w:val="Corpsdutexte28ptItalique"/>
          <w:rFonts w:eastAsia="Courier New"/>
          <w:sz w:val="28"/>
        </w:rPr>
        <w:t>Auvergne</w:t>
      </w:r>
      <w:r w:rsidRPr="00E9210E">
        <w:t>, Paris, 1932), « A.H.E.S. », t. V (1933), pp. 317-318.</w:t>
      </w:r>
    </w:p>
    <w:p w14:paraId="4FC42CA8" w14:textId="77777777" w:rsidR="00B9662D" w:rsidRPr="00E9210E" w:rsidRDefault="00B9662D" w:rsidP="00B9662D">
      <w:pPr>
        <w:spacing w:before="120" w:after="120"/>
        <w:jc w:val="both"/>
      </w:pPr>
      <w:r w:rsidRPr="00E9210E">
        <w:t>Une région frontière : le pays niçois. (Compte rendu : R. </w:t>
      </w:r>
      <w:r w:rsidRPr="00E9210E">
        <w:rPr>
          <w:rStyle w:val="Corpsdutexte27ptGras"/>
          <w:rFonts w:eastAsia="Courier New"/>
          <w:b w:val="0"/>
          <w:smallCaps/>
          <w:sz w:val="28"/>
        </w:rPr>
        <w:t>Latouche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w:t>
      </w:r>
      <w:r w:rsidRPr="00E9210E">
        <w:rPr>
          <w:rStyle w:val="Corpsdutexte28ptItalique"/>
          <w:rFonts w:eastAsia="Courier New"/>
          <w:sz w:val="28"/>
        </w:rPr>
        <w:t>i</w:t>
      </w:r>
      <w:r w:rsidRPr="00E9210E">
        <w:rPr>
          <w:rStyle w:val="Corpsdutexte28ptItalique"/>
          <w:rFonts w:eastAsia="Courier New"/>
          <w:sz w:val="28"/>
        </w:rPr>
        <w:t>re du comté de Nice</w:t>
      </w:r>
      <w:r w:rsidRPr="00E9210E">
        <w:t>, Paris [1932]), « A.H.E.S. », t. V (1933), pp. 318-319.</w:t>
      </w:r>
    </w:p>
    <w:p w14:paraId="33F20CD7" w14:textId="77777777" w:rsidR="00B9662D" w:rsidRPr="00E9210E" w:rsidRDefault="00B9662D" w:rsidP="00B9662D">
      <w:pPr>
        <w:spacing w:before="120" w:after="120"/>
        <w:jc w:val="both"/>
      </w:pPr>
      <w:r w:rsidRPr="00E9210E">
        <w:t xml:space="preserve">Défrichement et habitat. (Compte rendu : G. </w:t>
      </w:r>
      <w:r w:rsidRPr="00E9210E">
        <w:rPr>
          <w:rStyle w:val="Corpsdutexte27ptGras"/>
          <w:rFonts w:eastAsia="Courier New"/>
          <w:b w:val="0"/>
          <w:smallCaps/>
          <w:sz w:val="28"/>
        </w:rPr>
        <w:t>Robert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fondation de Draize,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Nouvelle revue de Champagne et de Brie</w:t>
      </w:r>
      <w:r w:rsidRPr="00E9210E">
        <w:t xml:space="preserve">, 1932, p. 197-204, et </w:t>
      </w:r>
      <w:r w:rsidRPr="00E9210E">
        <w:rPr>
          <w:rStyle w:val="Corpsdutexte28ptItalique"/>
          <w:rFonts w:eastAsia="Courier New"/>
          <w:sz w:val="28"/>
        </w:rPr>
        <w:t>Les serfs de Saint-Memmie à Dompremy et Favresse</w:t>
      </w:r>
      <w:r w:rsidRPr="00E9210E">
        <w:rPr>
          <w:rStyle w:val="Corpsdutexte28ptGraschelle120"/>
          <w:rFonts w:eastAsia="Courier New"/>
          <w:sz w:val="28"/>
        </w:rPr>
        <w:t xml:space="preserve">, </w:t>
      </w:r>
      <w:r w:rsidRPr="00E9210E">
        <w:rPr>
          <w:rStyle w:val="Corpsdutexte28ptItalique"/>
          <w:rFonts w:eastAsia="Courier New"/>
          <w:sz w:val="28"/>
        </w:rPr>
        <w:t>ibid.,</w:t>
      </w:r>
      <w:r w:rsidRPr="00E9210E">
        <w:rPr>
          <w:rStyle w:val="Corpsdutexte28ptGraschelle120"/>
          <w:rFonts w:eastAsia="Courier New"/>
          <w:sz w:val="28"/>
        </w:rPr>
        <w:t xml:space="preserve"> </w:t>
      </w:r>
      <w:r w:rsidRPr="00E9210E">
        <w:t>p. 226-229), « A.H.E.S. », t. V (1933), pp. 319-320.</w:t>
      </w:r>
    </w:p>
    <w:p w14:paraId="67E353D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village français de l’après-guerre. (Compte rendu : P. </w:t>
      </w:r>
      <w:r w:rsidRPr="00E9210E">
        <w:rPr>
          <w:rStyle w:val="Corpsdutexte37ptGrasNonItalique"/>
          <w:rFonts w:eastAsia="Courier New"/>
          <w:b w:val="0"/>
          <w:i w:val="0"/>
          <w:iCs w:val="0"/>
          <w:smallCaps/>
          <w:sz w:val="28"/>
        </w:rPr>
        <w:t>Courtin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Transformation de l’économie et de la vie dans une commune rurale de la Limagne (Saulzet) depuis 1914</w:t>
      </w:r>
      <w:r w:rsidRPr="00E9210E">
        <w:rPr>
          <w:rStyle w:val="Corpsdutexte385ptNonItalique"/>
          <w:rFonts w:eastAsia="Courier New"/>
          <w:i w:val="0"/>
          <w:iCs w:val="0"/>
          <w:sz w:val="28"/>
        </w:rPr>
        <w:t xml:space="preserve">, dans </w:t>
      </w:r>
      <w:r w:rsidRPr="00E9210E">
        <w:rPr>
          <w:i/>
        </w:rPr>
        <w:t>Bulletin des sciences éc</w:t>
      </w:r>
      <w:r w:rsidRPr="00E9210E">
        <w:rPr>
          <w:i/>
        </w:rPr>
        <w:t>o</w:t>
      </w:r>
      <w:r w:rsidRPr="00E9210E">
        <w:rPr>
          <w:i/>
        </w:rPr>
        <w:t>nomiques et soci</w:t>
      </w:r>
      <w:r w:rsidRPr="00E9210E">
        <w:rPr>
          <w:i/>
        </w:rPr>
        <w:t>a</w:t>
      </w:r>
      <w:r w:rsidRPr="00E9210E">
        <w:rPr>
          <w:i/>
        </w:rPr>
        <w:t>les du comité des Travaux historiques</w:t>
      </w:r>
      <w:r w:rsidRPr="00E9210E">
        <w:rPr>
          <w:rStyle w:val="Corpsdutexte385ptNonItalique"/>
          <w:rFonts w:eastAsia="Courier New"/>
          <w:i w:val="0"/>
          <w:iCs w:val="0"/>
          <w:sz w:val="28"/>
        </w:rPr>
        <w:t>, 1931, p. 155-172), « A.H.E.S. », t. V (1933), p. 321.</w:t>
      </w:r>
    </w:p>
    <w:p w14:paraId="17155B98" w14:textId="77777777" w:rsidR="00B9662D" w:rsidRPr="00E9210E" w:rsidRDefault="00B9662D" w:rsidP="00B9662D">
      <w:pPr>
        <w:spacing w:before="120" w:after="120"/>
        <w:jc w:val="both"/>
      </w:pPr>
      <w:r w:rsidRPr="00E9210E">
        <w:t>Du monopole à la société anonyme : un groupe de producteurs r</w:t>
      </w:r>
      <w:r w:rsidRPr="00E9210E">
        <w:t>u</w:t>
      </w:r>
      <w:r w:rsidRPr="00E9210E">
        <w:t xml:space="preserve">raux. (Compte rendu : </w:t>
      </w:r>
      <w:r w:rsidRPr="00E9210E">
        <w:rPr>
          <w:rStyle w:val="Corpsdutexte27ptGras"/>
          <w:rFonts w:eastAsia="Courier New"/>
          <w:b w:val="0"/>
          <w:smallCaps/>
          <w:sz w:val="28"/>
        </w:rPr>
        <w:t>Chobaut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L’industrie des fourches de Sauve</w:t>
      </w:r>
      <w:r w:rsidRPr="00E9210E">
        <w:t xml:space="preserve">, dans </w:t>
      </w:r>
      <w:r w:rsidRPr="00E9210E">
        <w:rPr>
          <w:rStyle w:val="Corpsdutexte28ptItalique"/>
          <w:rFonts w:eastAsia="Courier New"/>
          <w:sz w:val="28"/>
        </w:rPr>
        <w:t>Mémoires de l’Académie de Nîmes</w:t>
      </w:r>
      <w:r w:rsidRPr="00E9210E">
        <w:t>, VIR série, t. XXXIII (1926 et 1927), pp. 109-121), « A.H.E.S. », t. V (1933), p. 322.</w:t>
      </w:r>
    </w:p>
    <w:p w14:paraId="296797E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bibliographie d’histoire galloise. (Compte rendu : </w:t>
      </w:r>
      <w:r w:rsidRPr="00E9210E">
        <w:rPr>
          <w:i/>
        </w:rPr>
        <w:t>A bibli</w:t>
      </w:r>
      <w:r w:rsidRPr="00E9210E">
        <w:rPr>
          <w:i/>
        </w:rPr>
        <w:t>o</w:t>
      </w:r>
      <w:r w:rsidRPr="00E9210E">
        <w:rPr>
          <w:i/>
        </w:rPr>
        <w:t>graphy of the history of Wales compiled for the Guild of Graduates of the University of Wales by the Welsch</w:t>
      </w:r>
      <w:r>
        <w:t xml:space="preserve"> </w:t>
      </w:r>
      <w:r w:rsidRPr="00E9210E">
        <w:t>[1061]</w:t>
      </w:r>
      <w:r>
        <w:t xml:space="preserve"> </w:t>
      </w:r>
      <w:r w:rsidRPr="00E9210E">
        <w:rPr>
          <w:i/>
        </w:rPr>
        <w:t>History Section of the Guild and edited by R. T. Jenkins and Wi</w:t>
      </w:r>
      <w:r w:rsidRPr="00E9210E">
        <w:rPr>
          <w:i/>
        </w:rPr>
        <w:t>l</w:t>
      </w:r>
      <w:r w:rsidRPr="00E9210E">
        <w:rPr>
          <w:i/>
        </w:rPr>
        <w:t>liam Rees</w:t>
      </w:r>
      <w:r w:rsidRPr="00E9210E">
        <w:t xml:space="preserve">, </w:t>
      </w:r>
      <w:r w:rsidRPr="00E9210E">
        <w:rPr>
          <w:rStyle w:val="Corpsdutexte385ptNonItalique"/>
          <w:rFonts w:eastAsia="Courier New"/>
          <w:i w:val="0"/>
          <w:iCs w:val="0"/>
          <w:sz w:val="28"/>
        </w:rPr>
        <w:t>Cardiff, 1931), « A.H.E.S. », t. V (1933), p. 326.</w:t>
      </w:r>
    </w:p>
    <w:p w14:paraId="063C6AC5" w14:textId="77777777" w:rsidR="00B9662D" w:rsidRPr="00E9210E" w:rsidRDefault="00B9662D" w:rsidP="00B9662D">
      <w:pPr>
        <w:spacing w:before="120" w:after="120"/>
        <w:jc w:val="both"/>
      </w:pPr>
      <w:r w:rsidRPr="00E9210E">
        <w:t>Compte rendu : Plans parcellaires. — En France : le travail qui se fait, « A.H.E.S. », t. V (1933), pp. 374-375.</w:t>
      </w:r>
    </w:p>
    <w:p w14:paraId="56D8AADB" w14:textId="77777777" w:rsidR="00B9662D" w:rsidRPr="00E9210E" w:rsidRDefault="00B9662D" w:rsidP="00B9662D">
      <w:pPr>
        <w:spacing w:before="120" w:after="120"/>
        <w:jc w:val="both"/>
      </w:pPr>
      <w:r w:rsidRPr="00E9210E">
        <w:t xml:space="preserve">Sur l’ancienne Espagne. (Compte rendu : </w:t>
      </w:r>
      <w:r w:rsidRPr="00E9210E">
        <w:rPr>
          <w:rStyle w:val="Corpsdutexte28ptItalique"/>
          <w:rFonts w:eastAsia="Courier New"/>
          <w:sz w:val="28"/>
        </w:rPr>
        <w:t>Anuario de historia del derecho espanol</w:t>
      </w:r>
      <w:r w:rsidRPr="00E9210E">
        <w:t>, t. VI (1929), t. VII (1930), t. VIII (1931), « A.H.E.S. », t. V (1933), pp. 384-385.</w:t>
      </w:r>
    </w:p>
    <w:p w14:paraId="511F829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atlas historique provincial. (Compte rendu : </w:t>
      </w:r>
      <w:r w:rsidRPr="00E9210E">
        <w:rPr>
          <w:i/>
        </w:rPr>
        <w:t>Elsass-Lothringischer Atlas :</w:t>
      </w:r>
      <w:r w:rsidRPr="00E9210E">
        <w:rPr>
          <w:rFonts w:eastAsia="Courier New"/>
          <w:i/>
        </w:rPr>
        <w:t xml:space="preserve"> </w:t>
      </w:r>
      <w:r w:rsidRPr="00E9210E">
        <w:rPr>
          <w:i/>
        </w:rPr>
        <w:t>Landeskunde, Geschichte, Kultur und Wir</w:t>
      </w:r>
      <w:r w:rsidRPr="00E9210E">
        <w:rPr>
          <w:i/>
        </w:rPr>
        <w:t>t</w:t>
      </w:r>
      <w:r w:rsidRPr="00E9210E">
        <w:rPr>
          <w:i/>
        </w:rPr>
        <w:t>schaft Elsass-Lothringens, darge</w:t>
      </w:r>
      <w:r w:rsidRPr="00E9210E">
        <w:rPr>
          <w:i/>
        </w:rPr>
        <w:t>s</w:t>
      </w:r>
      <w:r w:rsidRPr="00E9210E">
        <w:rPr>
          <w:i/>
        </w:rPr>
        <w:t>tellt auf 45 Kartenblättern mit 115 Haupt- und Nebenkarten hgg. von G. Wolfram und W. Gley</w:t>
      </w:r>
      <w:r w:rsidRPr="00E9210E">
        <w:rPr>
          <w:rStyle w:val="Corpsdutexte385ptNonItalique"/>
          <w:rFonts w:eastAsia="Courier New"/>
          <w:i w:val="0"/>
          <w:iCs w:val="0"/>
          <w:sz w:val="28"/>
        </w:rPr>
        <w:t>, Fran</w:t>
      </w:r>
      <w:r w:rsidRPr="00E9210E">
        <w:rPr>
          <w:rStyle w:val="Corpsdutexte385ptNonItalique"/>
          <w:rFonts w:eastAsia="Courier New"/>
          <w:i w:val="0"/>
          <w:iCs w:val="0"/>
          <w:sz w:val="28"/>
        </w:rPr>
        <w:t>c</w:t>
      </w:r>
      <w:r w:rsidRPr="00E9210E">
        <w:rPr>
          <w:rStyle w:val="Corpsdutexte385ptNonItalique"/>
          <w:rFonts w:eastAsia="Courier New"/>
          <w:i w:val="0"/>
          <w:iCs w:val="0"/>
          <w:sz w:val="28"/>
        </w:rPr>
        <w:t>fort-sur-le-Main, 1931), « A.H.E.S. », t. V (1933), pp. 388-392.</w:t>
      </w:r>
    </w:p>
    <w:p w14:paraId="40E22F21" w14:textId="77777777" w:rsidR="00B9662D" w:rsidRPr="00E9210E" w:rsidRDefault="00B9662D" w:rsidP="00B9662D">
      <w:pPr>
        <w:spacing w:before="120" w:after="120"/>
        <w:jc w:val="both"/>
      </w:pPr>
      <w:r w:rsidRPr="00E9210E">
        <w:t>L’Afrique occidentale : problèmes de pratique et expériences hist</w:t>
      </w:r>
      <w:r w:rsidRPr="00E9210E">
        <w:t>o</w:t>
      </w:r>
      <w:r w:rsidRPr="00E9210E">
        <w:t xml:space="preserve">riques. (Compte rendu : H. </w:t>
      </w:r>
      <w:r w:rsidRPr="00E9210E">
        <w:rPr>
          <w:rStyle w:val="Corpsdutexte27ptGras"/>
          <w:rFonts w:eastAsia="Courier New"/>
          <w:b w:val="0"/>
          <w:smallCaps/>
          <w:sz w:val="28"/>
        </w:rPr>
        <w:t>Labouret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À la recherche d’une politique indigène dans l’Ouest Africain, </w:t>
      </w:r>
      <w:r w:rsidRPr="00E9210E">
        <w:t>Paris, 1931), « A.H.E.S. », t. V (1933), pp. 397-398.</w:t>
      </w:r>
    </w:p>
    <w:p w14:paraId="4036CF05" w14:textId="77777777" w:rsidR="00B9662D" w:rsidRPr="00E9210E" w:rsidRDefault="00B9662D" w:rsidP="00B9662D">
      <w:pPr>
        <w:spacing w:before="120" w:after="120"/>
        <w:jc w:val="both"/>
      </w:pPr>
      <w:r w:rsidRPr="00E9210E">
        <w:t xml:space="preserve">Une solution de continuité : invasions germaniques ou Islam ? (Compte rendu : E. </w:t>
      </w:r>
      <w:r w:rsidRPr="00E9210E">
        <w:rPr>
          <w:rStyle w:val="Corpsdutexte27ptGras"/>
          <w:rFonts w:eastAsia="Courier New"/>
          <w:b w:val="0"/>
          <w:smallCaps/>
          <w:sz w:val="28"/>
        </w:rPr>
        <w:t>Patzelt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fränkische Kultur und der Islam</w:t>
      </w:r>
      <w:r w:rsidRPr="00E9210E">
        <w:t>, Baden et Vienne, 1932), « A.H.E.S. », t. V (1933), pp. 399-400.</w:t>
      </w:r>
    </w:p>
    <w:p w14:paraId="11B0B7FA" w14:textId="77777777" w:rsidR="00B9662D" w:rsidRPr="00E9210E" w:rsidRDefault="00B9662D" w:rsidP="00B9662D">
      <w:pPr>
        <w:spacing w:before="120" w:after="120"/>
        <w:jc w:val="both"/>
      </w:pPr>
      <w:r w:rsidRPr="00E9210E">
        <w:t>L’Angleterre médiévale : une tentative d’interprétation psychol</w:t>
      </w:r>
      <w:r w:rsidRPr="00E9210E">
        <w:t>o</w:t>
      </w:r>
      <w:r w:rsidRPr="00E9210E">
        <w:t xml:space="preserve">gique. (Compte rendu : G. </w:t>
      </w:r>
      <w:r w:rsidRPr="00E9210E">
        <w:rPr>
          <w:rStyle w:val="Corpsdutexte27ptGras"/>
          <w:rFonts w:eastAsia="Courier New"/>
          <w:b w:val="0"/>
          <w:smallCaps/>
          <w:sz w:val="28"/>
        </w:rPr>
        <w:t>Hübener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England und die Gesittun</w:t>
      </w:r>
      <w:r w:rsidRPr="00E9210E">
        <w:rPr>
          <w:rStyle w:val="Corpsdutexte28ptItalique"/>
          <w:rFonts w:eastAsia="Courier New"/>
          <w:sz w:val="28"/>
        </w:rPr>
        <w:t>g</w:t>
      </w:r>
      <w:r w:rsidRPr="00E9210E">
        <w:rPr>
          <w:rStyle w:val="Corpsdutexte28ptItalique"/>
          <w:rFonts w:eastAsia="Courier New"/>
          <w:sz w:val="28"/>
        </w:rPr>
        <w:t>sgrundlage der Europäischen Frühgeschichte. Studien zur Engla</w:t>
      </w:r>
      <w:r w:rsidRPr="00E9210E">
        <w:rPr>
          <w:rStyle w:val="Corpsdutexte28ptItalique"/>
          <w:rFonts w:eastAsia="Courier New"/>
          <w:sz w:val="28"/>
        </w:rPr>
        <w:t>n</w:t>
      </w:r>
      <w:r w:rsidRPr="00E9210E">
        <w:rPr>
          <w:rStyle w:val="Corpsdutexte28ptItalique"/>
          <w:rFonts w:eastAsia="Courier New"/>
          <w:sz w:val="28"/>
        </w:rPr>
        <w:t>kunde,</w:t>
      </w:r>
      <w:r w:rsidRPr="00E9210E">
        <w:rPr>
          <w:rStyle w:val="Corpsdutexte28ptGraschelle120"/>
          <w:rFonts w:eastAsia="Courier New"/>
          <w:sz w:val="28"/>
        </w:rPr>
        <w:t xml:space="preserve"> </w:t>
      </w:r>
      <w:r w:rsidRPr="00E9210E">
        <w:t>Frankfurt a. M., 1930), « A.H.E.S. », t. V (1933), pp. 417-418.</w:t>
      </w:r>
    </w:p>
    <w:p w14:paraId="438EBE66" w14:textId="77777777" w:rsidR="00B9662D" w:rsidRPr="00E9210E" w:rsidRDefault="00B9662D" w:rsidP="00B9662D">
      <w:pPr>
        <w:spacing w:before="120" w:after="120"/>
        <w:jc w:val="both"/>
      </w:pPr>
      <w:r w:rsidRPr="00E9210E">
        <w:t xml:space="preserve">L’évolution de l’Angleterre au Moyen Âge. (Compte rendu : F. M. </w:t>
      </w:r>
      <w:r w:rsidRPr="00E9210E">
        <w:rPr>
          <w:rStyle w:val="Corpsdutexte27ptGras"/>
          <w:rFonts w:eastAsia="Courier New"/>
          <w:b w:val="0"/>
          <w:smallCaps/>
          <w:sz w:val="28"/>
        </w:rPr>
        <w:t>Powicke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Medieval England 1066-1485</w:t>
      </w:r>
      <w:r w:rsidRPr="00E9210E">
        <w:t>, Londres, 1931), « A.H.E.S. », t. V (1933), pp. 418-419.</w:t>
      </w:r>
    </w:p>
    <w:p w14:paraId="562B1AF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Villes anglaises. (Comptes rendus : </w:t>
      </w:r>
      <w:r w:rsidRPr="00E9210E">
        <w:rPr>
          <w:i/>
        </w:rPr>
        <w:t>Cambridge Borough Doc</w:t>
      </w:r>
      <w:r w:rsidRPr="00E9210E">
        <w:rPr>
          <w:i/>
        </w:rPr>
        <w:t>u</w:t>
      </w:r>
      <w:r w:rsidRPr="00E9210E">
        <w:rPr>
          <w:i/>
        </w:rPr>
        <w:t>ments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vol. I </w:t>
      </w:r>
      <w:r w:rsidRPr="00E9210E">
        <w:rPr>
          <w:i/>
        </w:rPr>
        <w:t>edited by W. M. Palmer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Cambridge, 1931. — </w:t>
      </w:r>
      <w:r w:rsidRPr="00E9210E">
        <w:rPr>
          <w:rStyle w:val="Corpsdutexte37ptGrasNonItalique"/>
          <w:rFonts w:eastAsia="Courier New"/>
          <w:b w:val="0"/>
          <w:i w:val="0"/>
          <w:iCs w:val="0"/>
          <w:sz w:val="28"/>
        </w:rPr>
        <w:t xml:space="preserve">R. C. </w:t>
      </w:r>
      <w:r w:rsidRPr="00E9210E">
        <w:rPr>
          <w:rStyle w:val="Corpsdutexte37ptGrasNonItalique"/>
          <w:rFonts w:eastAsia="Courier New"/>
          <w:b w:val="0"/>
          <w:i w:val="0"/>
          <w:iCs w:val="0"/>
          <w:smallCaps/>
          <w:sz w:val="28"/>
        </w:rPr>
        <w:t>Easterling</w:t>
      </w:r>
      <w:r w:rsidRPr="00E9210E">
        <w:rPr>
          <w:rStyle w:val="Corpsdutexte37ptGrasNonItalique"/>
          <w:rFonts w:eastAsia="Courier New"/>
          <w:b w:val="0"/>
          <w:i w:val="0"/>
          <w:iCs w:val="0"/>
          <w:sz w:val="28"/>
        </w:rPr>
        <w:t xml:space="preserve"> </w:t>
      </w:r>
      <w:r w:rsidRPr="00E9210E">
        <w:rPr>
          <w:rStyle w:val="Corpsdutexte385ptNonItalique"/>
          <w:rFonts w:eastAsia="Courier New"/>
          <w:i w:val="0"/>
          <w:iCs w:val="0"/>
          <w:sz w:val="28"/>
        </w:rPr>
        <w:t xml:space="preserve">et </w:t>
      </w:r>
      <w:r w:rsidRPr="00E9210E">
        <w:rPr>
          <w:rStyle w:val="Corpsdutexte37ptGrasNonItalique"/>
          <w:rFonts w:eastAsia="Courier New"/>
          <w:b w:val="0"/>
          <w:i w:val="0"/>
          <w:iCs w:val="0"/>
          <w:sz w:val="28"/>
        </w:rPr>
        <w:t xml:space="preserve">B. </w:t>
      </w:r>
      <w:r w:rsidRPr="00E9210E">
        <w:rPr>
          <w:rStyle w:val="Corpsdutexte37ptGrasNonItalique"/>
          <w:rFonts w:eastAsia="Courier New"/>
          <w:b w:val="0"/>
          <w:i w:val="0"/>
          <w:iCs w:val="0"/>
          <w:smallCaps/>
          <w:sz w:val="28"/>
        </w:rPr>
        <w:t>Wilkinson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medieval Council of Exeter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Ma</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chester [1931]. — M. E. </w:t>
      </w:r>
      <w:r w:rsidRPr="00E9210E">
        <w:rPr>
          <w:rStyle w:val="Corpsdutexte37ptGrasNonItalique"/>
          <w:rFonts w:eastAsia="Courier New"/>
          <w:b w:val="0"/>
          <w:i w:val="0"/>
          <w:iCs w:val="0"/>
          <w:smallCaps/>
          <w:sz w:val="28"/>
        </w:rPr>
        <w:t>Curtis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Some disputes between the city and cathedral authoritie of Exeter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Manchester, 1932. — K. </w:t>
      </w:r>
      <w:r w:rsidRPr="00E9210E">
        <w:rPr>
          <w:rStyle w:val="Corpsdutexte37ptGrasNonItalique"/>
          <w:rFonts w:eastAsia="Courier New"/>
          <w:b w:val="0"/>
          <w:i w:val="0"/>
          <w:iCs w:val="0"/>
          <w:smallCaps/>
          <w:sz w:val="28"/>
        </w:rPr>
        <w:t>Knoll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Lo</w:t>
      </w:r>
      <w:r w:rsidRPr="00E9210E">
        <w:rPr>
          <w:i/>
        </w:rPr>
        <w:t>n</w:t>
      </w:r>
      <w:r w:rsidRPr="00E9210E">
        <w:rPr>
          <w:i/>
        </w:rPr>
        <w:t>don in Mittelalter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Vienne, 1932. — C. W. </w:t>
      </w:r>
      <w:r w:rsidRPr="00E9210E">
        <w:rPr>
          <w:rStyle w:val="Corpsdutexte37ptGrasNonItalique"/>
          <w:rFonts w:eastAsia="Courier New"/>
          <w:b w:val="0"/>
          <w:i w:val="0"/>
          <w:iCs w:val="0"/>
          <w:smallCaps/>
          <w:sz w:val="28"/>
        </w:rPr>
        <w:t>Bracken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rStyle w:val="Corpsdutexte385ptNonItalique"/>
          <w:rFonts w:eastAsia="Courier New"/>
          <w:iCs w:val="0"/>
          <w:sz w:val="28"/>
        </w:rPr>
        <w:t xml:space="preserve">A </w:t>
      </w:r>
      <w:r w:rsidRPr="00E9210E">
        <w:rPr>
          <w:i/>
        </w:rPr>
        <w:t>history of Plymouth and her Neig</w:t>
      </w:r>
      <w:r w:rsidRPr="00E9210E">
        <w:rPr>
          <w:i/>
        </w:rPr>
        <w:t>h</w:t>
      </w:r>
      <w:r w:rsidRPr="00E9210E">
        <w:rPr>
          <w:i/>
        </w:rPr>
        <w:t>bours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Plymouth, 1931), « A.H.E.S. », t. V (1933), pp. 419-421.</w:t>
      </w:r>
    </w:p>
    <w:p w14:paraId="4EB602EB" w14:textId="77777777" w:rsidR="00B9662D" w:rsidRPr="00E9210E" w:rsidRDefault="00B9662D" w:rsidP="00B9662D">
      <w:pPr>
        <w:spacing w:before="120" w:after="120"/>
        <w:jc w:val="both"/>
      </w:pPr>
      <w:r w:rsidRPr="00E9210E">
        <w:t xml:space="preserve">Le commerce anglais au Moyen Âge. (Compte rendu : L. F. </w:t>
      </w:r>
      <w:r w:rsidRPr="00E9210E">
        <w:rPr>
          <w:rStyle w:val="Corpsdutexte27ptGras"/>
          <w:rFonts w:eastAsia="Courier New"/>
          <w:b w:val="0"/>
          <w:smallCaps/>
          <w:sz w:val="28"/>
        </w:rPr>
        <w:t>Sal</w:t>
      </w:r>
      <w:r w:rsidRPr="00E9210E">
        <w:rPr>
          <w:rStyle w:val="Corpsdutexte27ptGras"/>
          <w:rFonts w:eastAsia="Courier New"/>
          <w:b w:val="0"/>
          <w:smallCaps/>
          <w:sz w:val="28"/>
        </w:rPr>
        <w:t>z</w:t>
      </w:r>
      <w:r w:rsidRPr="00E9210E">
        <w:rPr>
          <w:rStyle w:val="Corpsdutexte27ptGras"/>
          <w:rFonts w:eastAsia="Courier New"/>
          <w:b w:val="0"/>
          <w:smallCaps/>
          <w:sz w:val="28"/>
        </w:rPr>
        <w:t>man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English trade in the middle ages,</w:t>
      </w:r>
      <w:r w:rsidRPr="00E9210E">
        <w:rPr>
          <w:rStyle w:val="Corpsdutexte28ptGraschelle120"/>
          <w:rFonts w:eastAsia="Courier New"/>
          <w:sz w:val="28"/>
        </w:rPr>
        <w:t xml:space="preserve"> </w:t>
      </w:r>
      <w:r w:rsidRPr="00E9210E">
        <w:t>Oxford, 1931), « A.H.E.S. », t. V (1933), p. 421.</w:t>
      </w:r>
    </w:p>
    <w:p w14:paraId="379ACA0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peuple, une crise. (Compte rendu : E. </w:t>
      </w:r>
      <w:r w:rsidRPr="00E9210E">
        <w:rPr>
          <w:rStyle w:val="Corpsdutexte37ptGrasNonItalique"/>
          <w:rFonts w:eastAsia="Courier New"/>
          <w:b w:val="0"/>
          <w:i w:val="0"/>
          <w:iCs w:val="0"/>
          <w:smallCaps/>
          <w:sz w:val="28"/>
        </w:rPr>
        <w:t>Halévy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Histoire du peuple anglais au </w:t>
      </w:r>
      <w:r w:rsidRPr="00E9210E">
        <w:rPr>
          <w:rFonts w:eastAsia="Courier New"/>
          <w:i/>
        </w:rPr>
        <w:t>XIX</w:t>
      </w:r>
      <w:r w:rsidRPr="00E9210E">
        <w:rPr>
          <w:rFonts w:eastAsia="Courier New"/>
          <w:i/>
          <w:vertAlign w:val="superscript"/>
        </w:rPr>
        <w:t>e</w:t>
      </w:r>
      <w:r w:rsidRPr="00E9210E">
        <w:rPr>
          <w:i/>
        </w:rPr>
        <w:t xml:space="preserve"> siècle. Épilogue (1895-1914) ;</w:t>
      </w:r>
      <w:r w:rsidRPr="00E9210E">
        <w:rPr>
          <w:rStyle w:val="Corpsdutexte385ptNonItalique"/>
          <w:rFonts w:eastAsia="Courier New"/>
          <w:i w:val="0"/>
          <w:iCs w:val="0"/>
          <w:sz w:val="28"/>
        </w:rPr>
        <w:t xml:space="preserve"> II. </w:t>
      </w:r>
      <w:r w:rsidRPr="00E9210E">
        <w:rPr>
          <w:i/>
        </w:rPr>
        <w:t>Vers la d</w:t>
      </w:r>
      <w:r w:rsidRPr="00E9210E">
        <w:rPr>
          <w:i/>
        </w:rPr>
        <w:t>é</w:t>
      </w:r>
      <w:r w:rsidRPr="00E9210E">
        <w:rPr>
          <w:i/>
        </w:rPr>
        <w:t>mocratie sociale et vers la guerre (1905-1914),</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1932), « A.H.E.S. », t. V (1933), pp. 430-431.</w:t>
      </w:r>
    </w:p>
    <w:p w14:paraId="4844AA5C" w14:textId="77777777" w:rsidR="00B9662D" w:rsidRPr="00E9210E" w:rsidRDefault="00B9662D" w:rsidP="00B9662D">
      <w:pPr>
        <w:spacing w:before="120" w:after="120"/>
        <w:jc w:val="both"/>
      </w:pPr>
      <w:r w:rsidRPr="00E9210E">
        <w:t xml:space="preserve">Les secrets d’une société financière. (Compte rendu : G. </w:t>
      </w:r>
      <w:r w:rsidRPr="00E9210E">
        <w:rPr>
          <w:rStyle w:val="Corpsdutexte27ptGras"/>
          <w:rFonts w:eastAsia="Courier New"/>
          <w:b w:val="0"/>
          <w:smallCaps/>
          <w:sz w:val="28"/>
        </w:rPr>
        <w:t>Sayles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w:t>
      </w:r>
      <w:r w:rsidRPr="00E9210E">
        <w:rPr>
          <w:rStyle w:val="Corpsdutexte28ptGraschelle120"/>
          <w:rFonts w:eastAsia="Courier New"/>
          <w:sz w:val="28"/>
        </w:rPr>
        <w:t xml:space="preserve"> </w:t>
      </w:r>
      <w:r w:rsidRPr="00E9210E">
        <w:t>« </w:t>
      </w:r>
      <w:r w:rsidRPr="00E9210E">
        <w:rPr>
          <w:rStyle w:val="Corpsdutexte28ptItalique"/>
          <w:rFonts w:eastAsia="Courier New"/>
          <w:sz w:val="28"/>
        </w:rPr>
        <w:t>English Company</w:t>
      </w:r>
      <w:r w:rsidRPr="00E9210E">
        <w:rPr>
          <w:rStyle w:val="Corpsdutexte28ptGraschelle120"/>
          <w:rFonts w:eastAsia="Courier New"/>
          <w:sz w:val="28"/>
        </w:rPr>
        <w:t> »</w:t>
      </w:r>
      <w:r w:rsidRPr="00E9210E">
        <w:t xml:space="preserve"> </w:t>
      </w:r>
      <w:r w:rsidRPr="00E9210E">
        <w:rPr>
          <w:rStyle w:val="Corpsdutexte28ptItalique"/>
          <w:rFonts w:eastAsia="Courier New"/>
          <w:sz w:val="28"/>
        </w:rPr>
        <w:t>of 1343,</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Speculum, a journal of m</w:t>
      </w:r>
      <w:r w:rsidRPr="00E9210E">
        <w:rPr>
          <w:rStyle w:val="Corpsdutexte28ptItalique"/>
          <w:rFonts w:eastAsia="Courier New"/>
          <w:sz w:val="28"/>
        </w:rPr>
        <w:t>e</w:t>
      </w:r>
      <w:r w:rsidRPr="00E9210E">
        <w:rPr>
          <w:rStyle w:val="Corpsdutexte28ptItalique"/>
          <w:rFonts w:eastAsia="Courier New"/>
          <w:sz w:val="28"/>
        </w:rPr>
        <w:t>diaeval studies,</w:t>
      </w:r>
      <w:r w:rsidRPr="00E9210E">
        <w:rPr>
          <w:rStyle w:val="Corpsdutexte28ptGraschelle120"/>
          <w:rFonts w:eastAsia="Courier New"/>
          <w:sz w:val="28"/>
        </w:rPr>
        <w:t xml:space="preserve"> </w:t>
      </w:r>
      <w:r w:rsidRPr="00E9210E">
        <w:t>t. VI (1931), p. 177-205), « A.H.E.S. », t. V (1933), pp. 422-423.</w:t>
      </w:r>
    </w:p>
    <w:p w14:paraId="0D485A06" w14:textId="77777777" w:rsidR="00B9662D" w:rsidRPr="00E9210E" w:rsidRDefault="00B9662D" w:rsidP="00B9662D">
      <w:pPr>
        <w:spacing w:before="120" w:after="120"/>
        <w:jc w:val="both"/>
      </w:pPr>
      <w:r w:rsidRPr="00E9210E">
        <w:t xml:space="preserve">Du commerce du vin aux ambassades : les débuts d’une grande famille. (Compte rendu : G. S. </w:t>
      </w:r>
      <w:r w:rsidRPr="00E9210E">
        <w:rPr>
          <w:rStyle w:val="Corpsdutexte27ptGras"/>
          <w:rFonts w:eastAsia="Courier New"/>
          <w:b w:val="0"/>
          <w:smallCaps/>
          <w:sz w:val="28"/>
        </w:rPr>
        <w:t>Thompson</w:t>
      </w:r>
      <w:r w:rsidRPr="00E9210E">
        <w:rPr>
          <w:rStyle w:val="Corpsdutexte27ptGras"/>
          <w:rFonts w:eastAsia="Courier New"/>
          <w:b w:val="0"/>
          <w:sz w:val="28"/>
        </w:rPr>
        <w:t xml:space="preserve">, </w:t>
      </w:r>
      <w:r w:rsidRPr="00E9210E">
        <w:rPr>
          <w:rStyle w:val="Corpsdutexte27ptGrasItaliquePetitesmajuscules"/>
          <w:rFonts w:eastAsia="Courier New"/>
          <w:b w:val="0"/>
          <w:smallCaps w:val="0"/>
          <w:sz w:val="28"/>
          <w:lang w:val="fr-CA"/>
        </w:rPr>
        <w:t>Two</w:t>
      </w:r>
      <w:r w:rsidRPr="00E9210E">
        <w:rPr>
          <w:rStyle w:val="Corpsdutexte27ptGrasItaliquePetitesmajuscules"/>
          <w:rFonts w:eastAsia="Courier New"/>
          <w:sz w:val="28"/>
          <w:lang w:val="fr-CA"/>
        </w:rPr>
        <w:t xml:space="preserve"> </w:t>
      </w:r>
      <w:r w:rsidRPr="00E9210E">
        <w:rPr>
          <w:rStyle w:val="Corpsdutexte28ptItalique"/>
          <w:rFonts w:eastAsia="Courier New"/>
          <w:sz w:val="28"/>
        </w:rPr>
        <w:t>centuries of family history :</w:t>
      </w:r>
      <w:r w:rsidRPr="00E9210E">
        <w:rPr>
          <w:rFonts w:eastAsia="Courier New"/>
        </w:rPr>
        <w:t xml:space="preserve"> </w:t>
      </w:r>
      <w:r w:rsidRPr="00E9210E">
        <w:rPr>
          <w:rStyle w:val="Corpsdutexte28ptItalique"/>
          <w:rFonts w:eastAsia="Courier New"/>
          <w:sz w:val="28"/>
        </w:rPr>
        <w:t xml:space="preserve">a st udy in social development </w:t>
      </w:r>
      <w:r w:rsidRPr="00E9210E">
        <w:t>Londres, 1930), « A.H.E.S. », t. V (1933), pp. 423-424.</w:t>
      </w:r>
    </w:p>
    <w:p w14:paraId="2BB2606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Sur quelques histoires de villages. (Comptes rendus : </w:t>
      </w:r>
      <w:r w:rsidRPr="00E9210E">
        <w:rPr>
          <w:rStyle w:val="Corpsdutexte37ptGrasNonItalique"/>
          <w:rFonts w:eastAsia="Courier New"/>
          <w:b w:val="0"/>
          <w:i w:val="0"/>
          <w:iCs w:val="0"/>
          <w:sz w:val="28"/>
        </w:rPr>
        <w:t>N.</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S. </w:t>
      </w:r>
      <w:r w:rsidRPr="00E9210E">
        <w:rPr>
          <w:rStyle w:val="Corpsdutexte37ptGrasNonItalique"/>
          <w:rFonts w:eastAsia="Courier New"/>
          <w:b w:val="0"/>
          <w:i w:val="0"/>
          <w:iCs w:val="0"/>
          <w:sz w:val="28"/>
        </w:rPr>
        <w:t xml:space="preserve">B. </w:t>
      </w:r>
      <w:r w:rsidRPr="00E9210E">
        <w:rPr>
          <w:rStyle w:val="Corpsdutexte37ptGrasNonItalique"/>
          <w:rFonts w:eastAsia="Courier New"/>
          <w:b w:val="0"/>
          <w:i w:val="0"/>
          <w:iCs w:val="0"/>
          <w:smallCaps/>
          <w:sz w:val="28"/>
        </w:rPr>
        <w:t>Gras</w:t>
      </w:r>
      <w:r w:rsidRPr="00E9210E">
        <w:rPr>
          <w:rStyle w:val="Corpsdutexte37ptGrasNonItalique"/>
          <w:rFonts w:eastAsia="Courier New"/>
          <w:b w:val="0"/>
          <w:i w:val="0"/>
          <w:iCs w:val="0"/>
          <w:sz w:val="28"/>
        </w:rPr>
        <w:t xml:space="preserve"> </w:t>
      </w:r>
      <w:r w:rsidRPr="00E9210E">
        <w:rPr>
          <w:rStyle w:val="Corpsdutexte385ptNonItalique"/>
          <w:rFonts w:eastAsia="Courier New"/>
          <w:i w:val="0"/>
          <w:iCs w:val="0"/>
          <w:sz w:val="28"/>
        </w:rPr>
        <w:t xml:space="preserve">et E. C. </w:t>
      </w:r>
      <w:r w:rsidRPr="00E9210E">
        <w:rPr>
          <w:rStyle w:val="Corpsdutexte37ptGrasNonItalique"/>
          <w:rFonts w:eastAsia="Courier New"/>
          <w:b w:val="0"/>
          <w:i w:val="0"/>
          <w:iCs w:val="0"/>
          <w:smallCaps/>
          <w:sz w:val="28"/>
        </w:rPr>
        <w:t>Gras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economic and social history of an english village</w:t>
      </w:r>
      <w:r w:rsidRPr="00E9210E">
        <w:t xml:space="preserve"> </w:t>
      </w:r>
      <w:r w:rsidRPr="00E9210E">
        <w:rPr>
          <w:i/>
        </w:rPr>
        <w:t>(Crawley, Hampshire) A.D. 909-1928</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Cambridge, 1930. — Th. </w:t>
      </w:r>
      <w:r w:rsidRPr="00E9210E">
        <w:rPr>
          <w:rStyle w:val="Corpsdutexte37ptGrasNonItalique"/>
          <w:rFonts w:eastAsia="Courier New"/>
          <w:b w:val="0"/>
          <w:i w:val="0"/>
          <w:iCs w:val="0"/>
          <w:smallCaps/>
          <w:sz w:val="28"/>
        </w:rPr>
        <w:t>Chalmel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Saint-Père-Marc-en-Poulet</w:t>
      </w:r>
      <w:r w:rsidRPr="00E9210E">
        <w:t xml:space="preserve">, </w:t>
      </w:r>
      <w:r w:rsidRPr="00E9210E">
        <w:rPr>
          <w:rStyle w:val="Corpsdutexte385ptNonItalique"/>
          <w:rFonts w:eastAsia="Courier New"/>
          <w:i w:val="0"/>
          <w:iCs w:val="0"/>
          <w:sz w:val="28"/>
        </w:rPr>
        <w:t>Rennes, 1931. — P. </w:t>
      </w:r>
      <w:r w:rsidRPr="00E9210E">
        <w:rPr>
          <w:rStyle w:val="Corpsdutexte37ptGrasNonItalique"/>
          <w:rFonts w:eastAsia="Courier New"/>
          <w:b w:val="0"/>
          <w:i w:val="0"/>
          <w:iCs w:val="0"/>
          <w:smallCaps/>
          <w:sz w:val="28"/>
        </w:rPr>
        <w:t>Espeut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Une seigneurie ecclésiastique :</w:t>
      </w:r>
      <w:r w:rsidRPr="00E9210E">
        <w:rPr>
          <w:rFonts w:eastAsia="Courier New"/>
          <w:i/>
        </w:rPr>
        <w:t xml:space="preserve"> </w:t>
      </w:r>
      <w:r w:rsidRPr="00E9210E">
        <w:rPr>
          <w:i/>
        </w:rPr>
        <w:t>Allauch des origines à 1595 d’après des documents inédits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Marseille, 1932. — E. T. </w:t>
      </w:r>
      <w:r w:rsidRPr="00E9210E">
        <w:rPr>
          <w:rStyle w:val="Corpsdutexte37ptGrasNonItalique"/>
          <w:rFonts w:eastAsia="Courier New"/>
          <w:b w:val="0"/>
          <w:i w:val="0"/>
          <w:iCs w:val="0"/>
          <w:smallCaps/>
          <w:sz w:val="28"/>
        </w:rPr>
        <w:t>Nico</w:t>
      </w:r>
      <w:r w:rsidRPr="00E9210E">
        <w:rPr>
          <w:rStyle w:val="Corpsdutexte37ptGrasNonItalique"/>
          <w:rFonts w:eastAsia="Courier New"/>
          <w:b w:val="0"/>
          <w:i w:val="0"/>
          <w:iCs w:val="0"/>
          <w:smallCaps/>
          <w:sz w:val="28"/>
        </w:rPr>
        <w:t>l</w:t>
      </w:r>
      <w:r w:rsidRPr="00E9210E">
        <w:rPr>
          <w:rStyle w:val="Corpsdutexte37ptGrasNonItalique"/>
          <w:rFonts w:eastAsia="Courier New"/>
          <w:b w:val="0"/>
          <w:i w:val="0"/>
          <w:iCs w:val="0"/>
          <w:smallCaps/>
          <w:sz w:val="28"/>
        </w:rPr>
        <w:t>le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town of Saint-Hélier : its rise and development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Jersey [1931]. — E. </w:t>
      </w:r>
      <w:r w:rsidRPr="00E9210E">
        <w:rPr>
          <w:rStyle w:val="Corpsdutexte37ptGrasNonItalique"/>
          <w:rFonts w:eastAsia="Courier New"/>
          <w:b w:val="0"/>
          <w:i w:val="0"/>
          <w:iCs w:val="0"/>
          <w:smallCaps/>
          <w:sz w:val="28"/>
        </w:rPr>
        <w:t>Morand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domaine des Célestins de Lyon à Millery</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Lyon, 1932), « A.H.E.S. », t. V (1933), pp. 471-478.</w:t>
      </w:r>
    </w:p>
    <w:p w14:paraId="752979E0" w14:textId="77777777" w:rsidR="00B9662D" w:rsidRPr="00E9210E" w:rsidRDefault="00B9662D" w:rsidP="00B9662D">
      <w:pPr>
        <w:spacing w:before="120" w:after="120"/>
        <w:jc w:val="both"/>
      </w:pPr>
      <w:r w:rsidRPr="00E9210E">
        <w:t xml:space="preserve">Compte rendu : </w:t>
      </w:r>
      <w:r w:rsidRPr="00E9210E">
        <w:rPr>
          <w:rStyle w:val="Corpsdutexte28ptItalique"/>
          <w:rFonts w:eastAsia="Courier New"/>
          <w:sz w:val="28"/>
        </w:rPr>
        <w:t>La Gazette des archives</w:t>
      </w:r>
      <w:r w:rsidRPr="00E9210E">
        <w:rPr>
          <w:rStyle w:val="Corpsdutexte28ptGraschelle120"/>
          <w:rFonts w:eastAsia="Courier New"/>
          <w:sz w:val="28"/>
        </w:rPr>
        <w:t xml:space="preserve"> </w:t>
      </w:r>
      <w:r w:rsidRPr="00E9210E">
        <w:t>(1</w:t>
      </w:r>
      <w:r w:rsidRPr="00E9210E">
        <w:rPr>
          <w:vertAlign w:val="superscript"/>
        </w:rPr>
        <w:t>er</w:t>
      </w:r>
      <w:r w:rsidRPr="00E9210E">
        <w:t xml:space="preserve"> numéro, janvier 1933), « A.H.E.S. », t. V (1933), p. 479.</w:t>
      </w:r>
    </w:p>
    <w:p w14:paraId="53358F7E" w14:textId="77777777" w:rsidR="00B9662D" w:rsidRPr="00E9210E" w:rsidRDefault="00B9662D" w:rsidP="00B9662D">
      <w:pPr>
        <w:spacing w:before="120" w:after="120"/>
        <w:jc w:val="both"/>
      </w:pPr>
      <w:r w:rsidRPr="00E9210E">
        <w:rPr>
          <w:rFonts w:eastAsia="Courier New"/>
        </w:rPr>
        <w:t>[1062]</w:t>
      </w:r>
    </w:p>
    <w:p w14:paraId="48CEBE0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Aux </w:t>
      </w:r>
      <w:r w:rsidRPr="00E9210E">
        <w:rPr>
          <w:rStyle w:val="Corpsdutexte39ptNonItalique"/>
          <w:rFonts w:eastAsia="Courier New"/>
          <w:i w:val="0"/>
          <w:iCs w:val="0"/>
          <w:sz w:val="28"/>
          <w:lang w:val="fr-CA"/>
        </w:rPr>
        <w:t>archives de l'Ardèche. (Compte rendu :</w:t>
      </w:r>
      <w:r w:rsidRPr="00E9210E">
        <w:rPr>
          <w:rStyle w:val="Corpsdutexte385ptNonItalique"/>
          <w:rFonts w:eastAsia="Courier New"/>
          <w:i w:val="0"/>
          <w:iCs w:val="0"/>
          <w:sz w:val="28"/>
        </w:rPr>
        <w:t xml:space="preserve"> J. </w:t>
      </w:r>
      <w:r w:rsidRPr="00E9210E">
        <w:rPr>
          <w:rStyle w:val="Corpsdutexte39ptNonItaliquePetitesmajuscules"/>
          <w:rFonts w:eastAsia="Courier New"/>
          <w:i w:val="0"/>
          <w:iCs w:val="0"/>
          <w:sz w:val="28"/>
          <w:lang w:val="fr-CA"/>
        </w:rPr>
        <w:t xml:space="preserve">Régné, </w:t>
      </w:r>
      <w:r w:rsidRPr="00E9210E">
        <w:rPr>
          <w:i/>
        </w:rPr>
        <w:t>Répertoire alphabétique des anciens inventaires manuscrits conservés aux arch</w:t>
      </w:r>
      <w:r w:rsidRPr="00E9210E">
        <w:rPr>
          <w:i/>
        </w:rPr>
        <w:t>i</w:t>
      </w:r>
      <w:r w:rsidRPr="00E9210E">
        <w:rPr>
          <w:i/>
        </w:rPr>
        <w:t>ves de l’Ardèche, précédé d’une introduction sur les nouvelles acqu</w:t>
      </w:r>
      <w:r w:rsidRPr="00E9210E">
        <w:rPr>
          <w:i/>
        </w:rPr>
        <w:t>i</w:t>
      </w:r>
      <w:r w:rsidRPr="00E9210E">
        <w:rPr>
          <w:i/>
        </w:rPr>
        <w:t>sitions... au 1</w:t>
      </w:r>
      <w:r w:rsidRPr="00E9210E">
        <w:rPr>
          <w:i/>
          <w:vertAlign w:val="superscript"/>
        </w:rPr>
        <w:t>er</w:t>
      </w:r>
      <w:r w:rsidRPr="00E9210E">
        <w:rPr>
          <w:i/>
        </w:rPr>
        <w:t xml:space="preserve"> juillet 1931</w:t>
      </w:r>
      <w:r w:rsidRPr="00E9210E">
        <w:rPr>
          <w:rStyle w:val="Corpsdutexte3GrasNonItaliquechelle120"/>
          <w:rFonts w:eastAsia="Courier New"/>
          <w:i w:val="0"/>
          <w:iCs w:val="0"/>
          <w:sz w:val="28"/>
        </w:rPr>
        <w:t xml:space="preserve">, </w:t>
      </w:r>
      <w:r w:rsidRPr="00E9210E">
        <w:rPr>
          <w:rStyle w:val="Corpsdutexte39ptNonItalique"/>
          <w:rFonts w:eastAsia="Courier New"/>
          <w:i w:val="0"/>
          <w:iCs w:val="0"/>
          <w:sz w:val="28"/>
          <w:lang w:val="fr-CA"/>
        </w:rPr>
        <w:t xml:space="preserve">Annonay, </w:t>
      </w:r>
      <w:r w:rsidRPr="00E9210E">
        <w:rPr>
          <w:rStyle w:val="Corpsdutexte385ptNonItalique"/>
          <w:rFonts w:eastAsia="Courier New"/>
          <w:i w:val="0"/>
          <w:iCs w:val="0"/>
          <w:sz w:val="28"/>
        </w:rPr>
        <w:t>1932), « A.H.E.S. », t. V(1933), p. 479.</w:t>
      </w:r>
    </w:p>
    <w:p w14:paraId="3E5DB411" w14:textId="77777777" w:rsidR="00B9662D" w:rsidRPr="00E9210E" w:rsidRDefault="00B9662D" w:rsidP="00B9662D">
      <w:pPr>
        <w:spacing w:before="120" w:after="120"/>
        <w:jc w:val="both"/>
      </w:pPr>
      <w:r w:rsidRPr="00E9210E">
        <w:t xml:space="preserve">Les sources d’une grande histoire parlementaire. (Compte rendu : </w:t>
      </w:r>
      <w:r w:rsidRPr="00E9210E">
        <w:rPr>
          <w:rStyle w:val="Corpsdutexte28ptItalique"/>
          <w:rFonts w:eastAsia="Courier New"/>
          <w:sz w:val="28"/>
        </w:rPr>
        <w:t>Interim Report of the Committee on House of Commons Personnel and Politics 1264-1832</w:t>
      </w:r>
      <w:r w:rsidRPr="00E9210E">
        <w:t>, Londres, 1932), « A.H.E.S. », t. V (1933), pp. 479-480.</w:t>
      </w:r>
    </w:p>
    <w:p w14:paraId="2BD1C49F" w14:textId="77777777" w:rsidR="00B9662D" w:rsidRPr="00E9210E" w:rsidRDefault="00B9662D" w:rsidP="00B9662D">
      <w:pPr>
        <w:spacing w:before="120" w:after="120"/>
        <w:jc w:val="both"/>
      </w:pPr>
      <w:r w:rsidRPr="00E9210E">
        <w:t xml:space="preserve">En Angleterre : un inventaire analytique. (Compte rendu : </w:t>
      </w:r>
      <w:r w:rsidRPr="00E9210E">
        <w:rPr>
          <w:rStyle w:val="Corpsdutexte28ptItalique"/>
          <w:rFonts w:eastAsia="Courier New"/>
          <w:sz w:val="28"/>
        </w:rPr>
        <w:t>Register of Edward the Black Prince.</w:t>
      </w:r>
      <w:r w:rsidRPr="00E9210E">
        <w:rPr>
          <w:rStyle w:val="Corpsdutexte28ptGraschelle120"/>
          <w:rFonts w:eastAsia="Courier New"/>
          <w:sz w:val="28"/>
        </w:rPr>
        <w:t xml:space="preserve"> </w:t>
      </w:r>
      <w:r w:rsidRPr="00E9210E">
        <w:t xml:space="preserve">Part II, </w:t>
      </w:r>
      <w:r w:rsidRPr="00E9210E">
        <w:rPr>
          <w:rStyle w:val="Corpsdutexte28ptItalique"/>
          <w:rFonts w:eastAsia="Courier New"/>
          <w:sz w:val="28"/>
        </w:rPr>
        <w:t>Duchy of Cornwall, 1351-1365.</w:t>
      </w:r>
      <w:r w:rsidRPr="00E9210E">
        <w:rPr>
          <w:rStyle w:val="Corpsdutexte28ptGraschelle120"/>
          <w:rFonts w:eastAsia="Courier New"/>
          <w:sz w:val="28"/>
        </w:rPr>
        <w:t xml:space="preserve"> </w:t>
      </w:r>
      <w:r w:rsidRPr="00E9210E">
        <w:t xml:space="preserve">Part III, </w:t>
      </w:r>
      <w:r w:rsidRPr="00E9210E">
        <w:rPr>
          <w:rStyle w:val="Corpsdutexte28ptItalique"/>
          <w:rFonts w:eastAsia="Courier New"/>
          <w:sz w:val="28"/>
        </w:rPr>
        <w:t>Palatinate of Chester, 1351-1365.</w:t>
      </w:r>
      <w:r w:rsidRPr="00E9210E">
        <w:rPr>
          <w:rStyle w:val="Corpsdutexte28ptGraschelle120"/>
          <w:rFonts w:eastAsia="Courier New"/>
          <w:sz w:val="28"/>
        </w:rPr>
        <w:t> — </w:t>
      </w:r>
      <w:r w:rsidRPr="00E9210E">
        <w:t xml:space="preserve">Part IV. </w:t>
      </w:r>
      <w:r w:rsidRPr="00E9210E">
        <w:rPr>
          <w:rStyle w:val="Corpsdutexte28ptItalique"/>
          <w:rFonts w:eastAsia="Courier New"/>
          <w:sz w:val="28"/>
        </w:rPr>
        <w:t>England, 1351-1365,</w:t>
      </w:r>
      <w:r w:rsidRPr="00E9210E">
        <w:rPr>
          <w:rStyle w:val="Corpsdutexte28ptGraschelle120"/>
          <w:rFonts w:eastAsia="Courier New"/>
          <w:sz w:val="28"/>
        </w:rPr>
        <w:t xml:space="preserve"> </w:t>
      </w:r>
      <w:r w:rsidRPr="00E9210E">
        <w:t>Londres, 1931-1933), « A.H.E.S. », t. V (1933), p. 480.</w:t>
      </w:r>
    </w:p>
    <w:p w14:paraId="2970D670" w14:textId="77777777" w:rsidR="00B9662D" w:rsidRPr="00E9210E" w:rsidRDefault="00B9662D" w:rsidP="00B9662D">
      <w:pPr>
        <w:spacing w:before="120" w:after="120"/>
        <w:jc w:val="both"/>
      </w:pPr>
      <w:r w:rsidRPr="00E9210E">
        <w:t xml:space="preserve">Histoire rurale et statistique : à propos d’une étude sur la Côte-d’Or. (Compte rendu : R. </w:t>
      </w:r>
      <w:r w:rsidRPr="00E9210E">
        <w:rPr>
          <w:rStyle w:val="Corpsdutexte27ptGras"/>
          <w:rFonts w:eastAsia="Courier New"/>
          <w:b w:val="0"/>
          <w:smallCaps/>
          <w:sz w:val="28"/>
        </w:rPr>
        <w:t>Laurent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L’agriculture en Côte-d’Or pe</w:t>
      </w:r>
      <w:r w:rsidRPr="00E9210E">
        <w:rPr>
          <w:rStyle w:val="Corpsdutexte28ptItalique"/>
          <w:rFonts w:eastAsia="Courier New"/>
          <w:sz w:val="28"/>
        </w:rPr>
        <w:t>n</w:t>
      </w:r>
      <w:r w:rsidRPr="00E9210E">
        <w:rPr>
          <w:rStyle w:val="Corpsdutexte28ptItalique"/>
          <w:rFonts w:eastAsia="Courier New"/>
          <w:sz w:val="28"/>
        </w:rPr>
        <w:t xml:space="preserve">dant la première moitié du </w:t>
      </w:r>
      <w:r w:rsidRPr="00E9210E">
        <w:rPr>
          <w:rStyle w:val="Corpsdutexte28ptItaliqueEspacement1pt"/>
          <w:rFonts w:eastAsia="Courier New"/>
          <w:sz w:val="28"/>
        </w:rPr>
        <w:t>XIX</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 </w:t>
      </w:r>
      <w:r w:rsidRPr="00E9210E">
        <w:t>Dijon, 1931), « A.H.E.S. », t. V (1933), pp. 492-494.</w:t>
      </w:r>
    </w:p>
    <w:p w14:paraId="68DF55E2" w14:textId="77777777" w:rsidR="00B9662D" w:rsidRPr="00E9210E" w:rsidRDefault="00B9662D" w:rsidP="00B9662D">
      <w:pPr>
        <w:spacing w:before="120" w:after="120"/>
        <w:jc w:val="both"/>
      </w:pPr>
      <w:r w:rsidRPr="00E9210E">
        <w:t xml:space="preserve">Forêt et occupation </w:t>
      </w:r>
      <w:r w:rsidRPr="00E9210E">
        <w:rPr>
          <w:rStyle w:val="Corpsdutexte27ptGras"/>
          <w:rFonts w:eastAsia="Courier New"/>
          <w:b w:val="0"/>
          <w:sz w:val="28"/>
        </w:rPr>
        <w:t>du</w:t>
      </w:r>
      <w:r w:rsidRPr="00E9210E">
        <w:rPr>
          <w:rStyle w:val="Corpsdutexte27ptGras"/>
          <w:rFonts w:eastAsia="Courier New"/>
          <w:sz w:val="28"/>
        </w:rPr>
        <w:t xml:space="preserve"> </w:t>
      </w:r>
      <w:r w:rsidRPr="00E9210E">
        <w:t xml:space="preserve">sol. (Compte rendu : P. </w:t>
      </w:r>
      <w:r w:rsidRPr="00E9210E">
        <w:rPr>
          <w:rStyle w:val="Corpsdutexte27ptGras"/>
          <w:rFonts w:eastAsia="Courier New"/>
          <w:b w:val="0"/>
          <w:smallCaps/>
          <w:sz w:val="28"/>
        </w:rPr>
        <w:t>Deffontaines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forestière en Sl</w:t>
      </w:r>
      <w:r w:rsidRPr="00E9210E">
        <w:rPr>
          <w:rStyle w:val="Corpsdutexte28ptItalique"/>
          <w:rFonts w:eastAsia="Courier New"/>
          <w:sz w:val="28"/>
        </w:rPr>
        <w:t>o</w:t>
      </w:r>
      <w:r w:rsidRPr="00E9210E">
        <w:rPr>
          <w:rStyle w:val="Corpsdutexte28ptItalique"/>
          <w:rFonts w:eastAsia="Courier New"/>
          <w:sz w:val="28"/>
        </w:rPr>
        <w:t>vaquie,</w:t>
      </w:r>
      <w:r w:rsidRPr="00E9210E">
        <w:rPr>
          <w:rStyle w:val="Corpsdutexte28ptGraschelle120"/>
          <w:rFonts w:eastAsia="Courier New"/>
          <w:sz w:val="28"/>
        </w:rPr>
        <w:t xml:space="preserve"> </w:t>
      </w:r>
      <w:r w:rsidRPr="00E9210E">
        <w:t>Paris, 1932), « A.H.E.S. », t. V (1933), p. 495-496.</w:t>
      </w:r>
    </w:p>
    <w:p w14:paraId="5AEEBF14"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Croisades et mouvements des capitaux. (Compte rendu : A. E. </w:t>
      </w:r>
      <w:r w:rsidRPr="00E9210E">
        <w:rPr>
          <w:rStyle w:val="Corpsdutexte37ptGrasNonItalique"/>
          <w:rFonts w:eastAsia="Courier New"/>
          <w:b w:val="0"/>
          <w:i w:val="0"/>
          <w:iCs w:val="0"/>
          <w:smallCaps/>
          <w:sz w:val="28"/>
        </w:rPr>
        <w:t>Sayous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mandats de saint Louis sur son trésor et le mouvement international des capitaux pe</w:t>
      </w:r>
      <w:r w:rsidRPr="00E9210E">
        <w:rPr>
          <w:i/>
        </w:rPr>
        <w:t>n</w:t>
      </w:r>
      <w:r w:rsidRPr="00E9210E">
        <w:rPr>
          <w:i/>
        </w:rPr>
        <w:t>dant la septième croisade (1248-1254),</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historique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CLXYII (1931), pp. 254-305), « A.H.E.S. », t. V (1933), p. 498.</w:t>
      </w:r>
    </w:p>
    <w:p w14:paraId="14254566" w14:textId="77777777" w:rsidR="00B9662D" w:rsidRPr="00E9210E" w:rsidRDefault="00B9662D" w:rsidP="00B9662D">
      <w:pPr>
        <w:spacing w:before="120" w:after="120"/>
        <w:jc w:val="both"/>
      </w:pPr>
      <w:r w:rsidRPr="00E9210E">
        <w:t>Une enquête sur les origines de notre droit commercial : à Barc</w:t>
      </w:r>
      <w:r w:rsidRPr="00E9210E">
        <w:t>e</w:t>
      </w:r>
      <w:r w:rsidRPr="00E9210E">
        <w:t xml:space="preserve">lone. (Compte rendu : A. E. </w:t>
      </w:r>
      <w:r w:rsidRPr="00E9210E">
        <w:rPr>
          <w:rStyle w:val="Corpsdutexte27ptGras"/>
          <w:rFonts w:eastAsia="Courier New"/>
          <w:b w:val="0"/>
          <w:smallCaps/>
          <w:sz w:val="28"/>
        </w:rPr>
        <w:t>Sayous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Les méthodes commerciales de Barcelone au </w:t>
      </w:r>
      <w:r w:rsidRPr="00E9210E">
        <w:rPr>
          <w:rStyle w:val="Corpsdutexte28ptItaliqueEspacement1pt"/>
          <w:rFonts w:eastAsia="Courier New"/>
          <w:sz w:val="28"/>
        </w:rPr>
        <w:t>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 d’après des documents inédits des archives de sa cathédrale,</w:t>
      </w:r>
      <w:r w:rsidRPr="00E9210E">
        <w:rPr>
          <w:rStyle w:val="Corpsdutexte28ptGraschelle120"/>
          <w:rFonts w:eastAsia="Courier New"/>
          <w:sz w:val="28"/>
        </w:rPr>
        <w:t xml:space="preserve"> </w:t>
      </w:r>
      <w:r w:rsidRPr="00E9210E">
        <w:t xml:space="preserve">extr. de </w:t>
      </w:r>
      <w:r w:rsidRPr="00E9210E">
        <w:rPr>
          <w:rStyle w:val="Corpsdutexte28ptItalique"/>
          <w:rFonts w:eastAsia="Courier New"/>
          <w:sz w:val="28"/>
        </w:rPr>
        <w:t>Estudis Universitaris catalans,</w:t>
      </w:r>
      <w:r w:rsidRPr="00E9210E">
        <w:rPr>
          <w:rStyle w:val="Corpsdutexte28ptGraschelle120"/>
          <w:rFonts w:eastAsia="Courier New"/>
          <w:sz w:val="28"/>
        </w:rPr>
        <w:t xml:space="preserve"> </w:t>
      </w:r>
      <w:r w:rsidRPr="00E9210E">
        <w:t>t. XVI), « A.H.E.S. », t. V (1933), pp. 499-500.</w:t>
      </w:r>
    </w:p>
    <w:p w14:paraId="74E41971" w14:textId="77777777" w:rsidR="00B9662D" w:rsidRPr="00E9210E" w:rsidRDefault="00B9662D" w:rsidP="00B9662D">
      <w:pPr>
        <w:spacing w:before="120" w:after="120"/>
        <w:jc w:val="both"/>
      </w:pPr>
      <w:r w:rsidRPr="00E9210E">
        <w:t xml:space="preserve">Une province belge : 1830-1930. </w:t>
      </w:r>
      <w:r w:rsidRPr="00E9210E">
        <w:rPr>
          <w:rStyle w:val="Corpsdutexte28ptItalique"/>
          <w:rFonts w:eastAsia="Courier New"/>
          <w:sz w:val="28"/>
        </w:rPr>
        <w:t>(La province de Namur : 1830-1930,</w:t>
      </w:r>
      <w:r w:rsidRPr="00E9210E">
        <w:rPr>
          <w:rStyle w:val="Corpsdutexte28ptGraschelle120"/>
          <w:rFonts w:eastAsia="Courier New"/>
          <w:sz w:val="28"/>
        </w:rPr>
        <w:t xml:space="preserve"> </w:t>
      </w:r>
      <w:r w:rsidRPr="00E9210E">
        <w:t>Namur, 1930), « A.H.E.S. », t. V (1933), p. 513.</w:t>
      </w:r>
    </w:p>
    <w:p w14:paraId="6DB0F783" w14:textId="77777777" w:rsidR="00B9662D" w:rsidRPr="00E9210E" w:rsidRDefault="00B9662D" w:rsidP="00B9662D">
      <w:pPr>
        <w:spacing w:before="120" w:after="120"/>
        <w:jc w:val="both"/>
      </w:pPr>
      <w:r w:rsidRPr="00E9210E">
        <w:t>Une technique de publication : les chartes du Forez. (Compte re</w:t>
      </w:r>
      <w:r w:rsidRPr="00E9210E">
        <w:t>n</w:t>
      </w:r>
      <w:r w:rsidRPr="00E9210E">
        <w:t xml:space="preserve">du : </w:t>
      </w:r>
      <w:r w:rsidRPr="00E9210E">
        <w:rPr>
          <w:rStyle w:val="Corpsdutexte28ptItalique"/>
          <w:rFonts w:eastAsia="Courier New"/>
          <w:sz w:val="28"/>
        </w:rPr>
        <w:t xml:space="preserve">Chartrier forézien. </w:t>
      </w:r>
      <w:r w:rsidRPr="00E9210E">
        <w:rPr>
          <w:rStyle w:val="Corpsdutexte28ptItalique"/>
          <w:rFonts w:eastAsia="Courier New"/>
          <w:i w:val="0"/>
          <w:sz w:val="28"/>
        </w:rPr>
        <w:t>1</w:t>
      </w:r>
      <w:r w:rsidRPr="00E9210E">
        <w:rPr>
          <w:vertAlign w:val="superscript"/>
        </w:rPr>
        <w:t>re</w:t>
      </w:r>
      <w:r w:rsidRPr="00E9210E">
        <w:t xml:space="preserve"> partie : </w:t>
      </w:r>
      <w:r w:rsidRPr="00E9210E">
        <w:rPr>
          <w:rStyle w:val="Corpsdutexte28ptItalique"/>
          <w:rFonts w:eastAsia="Courier New"/>
          <w:sz w:val="28"/>
        </w:rPr>
        <w:t>Textes antérieurs à l’an 1301,</w:t>
      </w:r>
      <w:r w:rsidRPr="00E9210E">
        <w:rPr>
          <w:rStyle w:val="Corpsdutexte28ptGraschelle120"/>
          <w:rFonts w:eastAsia="Courier New"/>
          <w:sz w:val="28"/>
        </w:rPr>
        <w:t xml:space="preserve"> </w:t>
      </w:r>
      <w:r w:rsidRPr="00E9210E">
        <w:t xml:space="preserve">Montbrison, 1929 </w:t>
      </w:r>
      <w:r w:rsidRPr="00E9210E">
        <w:rPr>
          <w:rStyle w:val="Corpsdutexte28ptItalique"/>
          <w:rFonts w:eastAsia="Courier New"/>
          <w:sz w:val="28"/>
        </w:rPr>
        <w:t>(Recueil de mémoires et documents sur le Forez publiés par la Société de la Diana]),</w:t>
      </w:r>
      <w:r w:rsidRPr="00E9210E">
        <w:rPr>
          <w:rStyle w:val="Corpsdutexte28ptGraschelle120"/>
          <w:rFonts w:eastAsia="Courier New"/>
          <w:sz w:val="28"/>
        </w:rPr>
        <w:t xml:space="preserve"> </w:t>
      </w:r>
      <w:r w:rsidRPr="00E9210E">
        <w:t>« A.H.E.S. », t. V (1933), pp. 579-580.</w:t>
      </w:r>
    </w:p>
    <w:p w14:paraId="39145959" w14:textId="77777777" w:rsidR="00B9662D" w:rsidRPr="00E9210E" w:rsidRDefault="00B9662D" w:rsidP="00B9662D">
      <w:pPr>
        <w:spacing w:before="120" w:after="120"/>
        <w:jc w:val="both"/>
      </w:pPr>
      <w:r w:rsidRPr="00E9210E">
        <w:t xml:space="preserve">Chartes de franchise. (Compte rendu : Ch. </w:t>
      </w:r>
      <w:r w:rsidRPr="00E9210E">
        <w:rPr>
          <w:rStyle w:val="Corpsdutexte27ptGras"/>
          <w:rFonts w:eastAsia="Courier New"/>
          <w:b w:val="0"/>
          <w:smallCaps/>
          <w:sz w:val="28"/>
        </w:rPr>
        <w:t>Porée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Catalogue des chartes de franchise des communautés d’habitants de l’Yonne,</w:t>
      </w:r>
      <w:r w:rsidRPr="00E9210E">
        <w:rPr>
          <w:rStyle w:val="Corpsdutexte28ptGraschelle120"/>
          <w:rFonts w:eastAsia="Courier New"/>
          <w:sz w:val="28"/>
        </w:rPr>
        <w:t xml:space="preserve"> </w:t>
      </w:r>
      <w:r w:rsidRPr="00E9210E">
        <w:t>Auxe</w:t>
      </w:r>
      <w:r w:rsidRPr="00E9210E">
        <w:t>r</w:t>
      </w:r>
      <w:r w:rsidRPr="00E9210E">
        <w:t>re, 1932), « A.H.E.S. », t. V (1933), p. 580.</w:t>
      </w:r>
    </w:p>
    <w:p w14:paraId="5CB46F71" w14:textId="77777777" w:rsidR="00B9662D" w:rsidRPr="00E9210E" w:rsidRDefault="00B9662D" w:rsidP="00B9662D">
      <w:pPr>
        <w:spacing w:before="120" w:after="120"/>
        <w:jc w:val="both"/>
      </w:pPr>
      <w:r w:rsidRPr="00E9210E">
        <w:t xml:space="preserve">Autour de la Hanse. (Compte rendu : </w:t>
      </w:r>
      <w:r w:rsidRPr="00E9210E">
        <w:rPr>
          <w:rStyle w:val="Corpsdutexte28ptItalique"/>
          <w:rFonts w:eastAsia="Courier New"/>
          <w:sz w:val="28"/>
        </w:rPr>
        <w:t>Hansische Geschichtsblätter,</w:t>
      </w:r>
      <w:r w:rsidRPr="00E9210E">
        <w:rPr>
          <w:rStyle w:val="Corpsdutexte28ptGraschelle120"/>
          <w:rFonts w:eastAsia="Courier New"/>
          <w:sz w:val="28"/>
        </w:rPr>
        <w:t xml:space="preserve"> </w:t>
      </w:r>
      <w:r w:rsidRPr="00E9210E">
        <w:t>1932), « A.H.E.S. », t. V (1933), p. 581.</w:t>
      </w:r>
    </w:p>
    <w:p w14:paraId="1124202A" w14:textId="77777777" w:rsidR="00B9662D" w:rsidRPr="00E9210E" w:rsidRDefault="00B9662D" w:rsidP="00B9662D">
      <w:pPr>
        <w:spacing w:before="120" w:after="120"/>
        <w:jc w:val="both"/>
      </w:pPr>
      <w:r w:rsidRPr="00E9210E">
        <w:t>Les « usages locaux », documents historiques. (Compte rendu : M. </w:t>
      </w:r>
      <w:r w:rsidRPr="00E9210E">
        <w:rPr>
          <w:rStyle w:val="Corpsdutexte27ptGras"/>
          <w:rFonts w:eastAsia="Courier New"/>
          <w:b w:val="0"/>
          <w:smallCaps/>
          <w:sz w:val="28"/>
        </w:rPr>
        <w:t>Duhail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Recueil des usages locaux du département de l’Indre,</w:t>
      </w:r>
      <w:r w:rsidRPr="00E9210E">
        <w:rPr>
          <w:rStyle w:val="Corpsdutexte28ptGraschelle120"/>
          <w:rFonts w:eastAsia="Courier New"/>
          <w:sz w:val="28"/>
        </w:rPr>
        <w:t xml:space="preserve"> </w:t>
      </w:r>
      <w:r w:rsidRPr="00E9210E">
        <w:t>Châteauroux, 1932), « A.H.E.S. », t. V (1933), pp. 584-585.</w:t>
      </w:r>
    </w:p>
    <w:p w14:paraId="31F2A421" w14:textId="77777777" w:rsidR="00B9662D" w:rsidRPr="00E9210E" w:rsidRDefault="00B9662D" w:rsidP="00B9662D">
      <w:pPr>
        <w:spacing w:before="120" w:after="120"/>
        <w:jc w:val="both"/>
      </w:pPr>
      <w:r w:rsidRPr="00E9210E">
        <w:t xml:space="preserve">Féodalité et vassalité japonaise. (Compte rendu : K. </w:t>
      </w:r>
      <w:r w:rsidRPr="00E9210E">
        <w:rPr>
          <w:rStyle w:val="Corpsdutexte27ptGras"/>
          <w:rFonts w:eastAsia="Courier New"/>
          <w:b w:val="0"/>
          <w:smallCaps/>
          <w:sz w:val="28"/>
        </w:rPr>
        <w:t>Asakawa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i/>
        </w:rPr>
        <w:t>Féodal</w:t>
      </w:r>
      <w:r w:rsidRPr="00E9210E">
        <w:rPr>
          <w:i/>
        </w:rPr>
        <w:t>i</w:t>
      </w:r>
      <w:r w:rsidRPr="00E9210E">
        <w:rPr>
          <w:i/>
        </w:rPr>
        <w:t>té japonaise</w:t>
      </w:r>
      <w:r w:rsidRPr="00E9210E">
        <w:t xml:space="preserve"> dans l’article « </w:t>
      </w:r>
      <w:r w:rsidRPr="00E9210E">
        <w:rPr>
          <w:rStyle w:val="Corpsdutexte28ptItalique"/>
          <w:rFonts w:eastAsia="Courier New"/>
          <w:sz w:val="28"/>
        </w:rPr>
        <w:t>Feudalism</w:t>
      </w:r>
      <w:r w:rsidRPr="00E9210E">
        <w:rPr>
          <w:rStyle w:val="Corpsdutexte28ptGraschelle120"/>
          <w:rFonts w:eastAsia="Courier New"/>
          <w:sz w:val="28"/>
        </w:rPr>
        <w:t> »</w:t>
      </w:r>
      <w:r w:rsidRPr="00E9210E">
        <w:t xml:space="preserve"> de </w:t>
      </w:r>
      <w:r w:rsidRPr="00E9210E">
        <w:rPr>
          <w:rStyle w:val="Corpsdutexte28ptItalique"/>
          <w:rFonts w:eastAsia="Courier New"/>
          <w:sz w:val="28"/>
        </w:rPr>
        <w:t>l’Encyclopaedia of the social sciences,</w:t>
      </w:r>
      <w:r w:rsidRPr="00E9210E">
        <w:rPr>
          <w:rStyle w:val="Corpsdutexte28ptGraschelle120"/>
          <w:rFonts w:eastAsia="Courier New"/>
          <w:sz w:val="28"/>
        </w:rPr>
        <w:t xml:space="preserve"> </w:t>
      </w:r>
      <w:r w:rsidRPr="00E9210E">
        <w:t>t. VI, pp. 214- 220), « A.H.E.S. », t. V (1933), p. 598.</w:t>
      </w:r>
    </w:p>
    <w:p w14:paraId="448F5AA8" w14:textId="77777777" w:rsidR="00B9662D" w:rsidRPr="00E9210E" w:rsidRDefault="00B9662D" w:rsidP="00B9662D">
      <w:pPr>
        <w:spacing w:before="120" w:after="120"/>
        <w:jc w:val="both"/>
      </w:pPr>
      <w:r w:rsidRPr="00E9210E">
        <w:t xml:space="preserve">L’hommage lige. (Compte rendu : </w:t>
      </w:r>
      <w:r w:rsidRPr="00E9210E">
        <w:rPr>
          <w:rStyle w:val="Corpsdutexte27ptGras"/>
          <w:rFonts w:eastAsia="Courier New"/>
          <w:sz w:val="28"/>
        </w:rPr>
        <w:t xml:space="preserve">C. </w:t>
      </w:r>
      <w:r w:rsidRPr="00E9210E">
        <w:rPr>
          <w:rStyle w:val="Corpsdutexte27ptGras"/>
          <w:rFonts w:eastAsia="Courier New"/>
          <w:b w:val="0"/>
          <w:smallCaps/>
          <w:sz w:val="28"/>
        </w:rPr>
        <w:t>Pöhlmann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ligische L</w:t>
      </w:r>
      <w:r w:rsidRPr="00E9210E">
        <w:rPr>
          <w:rStyle w:val="Corpsdutexte28ptItalique"/>
          <w:rFonts w:eastAsia="Courier New"/>
          <w:sz w:val="28"/>
        </w:rPr>
        <w:t>e</w:t>
      </w:r>
      <w:r w:rsidRPr="00E9210E">
        <w:rPr>
          <w:rStyle w:val="Corpsdutexte28ptItalique"/>
          <w:rFonts w:eastAsia="Courier New"/>
          <w:sz w:val="28"/>
        </w:rPr>
        <w:t>bensverhältnis,</w:t>
      </w:r>
      <w:r w:rsidRPr="00E9210E">
        <w:rPr>
          <w:rStyle w:val="Corpsdutexte28ptGraschelle120"/>
          <w:rFonts w:eastAsia="Courier New"/>
          <w:sz w:val="28"/>
        </w:rPr>
        <w:t xml:space="preserve"> </w:t>
      </w:r>
      <w:r w:rsidRPr="00E9210E">
        <w:t>He</w:t>
      </w:r>
      <w:r w:rsidRPr="00E9210E">
        <w:t>i</w:t>
      </w:r>
      <w:r w:rsidRPr="00E9210E">
        <w:t>delberg, 1931), « A.H.E.S. », t. V (1933), pp. 598-599.</w:t>
      </w:r>
    </w:p>
    <w:p w14:paraId="4A95C29C" w14:textId="77777777" w:rsidR="00B9662D" w:rsidRPr="00E9210E" w:rsidRDefault="00B9662D" w:rsidP="00B9662D">
      <w:pPr>
        <w:spacing w:before="120" w:after="120"/>
        <w:jc w:val="both"/>
      </w:pPr>
      <w:r w:rsidRPr="00E9210E">
        <w:t xml:space="preserve">En Angleterre : relations féodales autochtones et système féodal d’importation. (Compte rendu : F. M. </w:t>
      </w:r>
      <w:r w:rsidRPr="00E9210E">
        <w:rPr>
          <w:rStyle w:val="Corpsdutexte27ptGras"/>
          <w:rFonts w:eastAsia="Courier New"/>
          <w:b w:val="0"/>
          <w:smallCaps/>
          <w:sz w:val="28"/>
        </w:rPr>
        <w:t>Stenton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first century of english feudalism : 1066-1166,</w:t>
      </w:r>
      <w:r w:rsidRPr="00E9210E">
        <w:rPr>
          <w:rStyle w:val="Corpsdutexte28ptGraschelle120"/>
          <w:rFonts w:eastAsia="Courier New"/>
          <w:sz w:val="28"/>
        </w:rPr>
        <w:t xml:space="preserve"> </w:t>
      </w:r>
      <w:r w:rsidRPr="00E9210E">
        <w:t>Oxford, 1932), « A.H.E.S. », t. V (1933), p. 599.</w:t>
      </w:r>
    </w:p>
    <w:p w14:paraId="6E57C3DE" w14:textId="77777777" w:rsidR="00B9662D" w:rsidRPr="00E9210E" w:rsidRDefault="00B9662D" w:rsidP="00B9662D">
      <w:pPr>
        <w:spacing w:before="120" w:after="120"/>
        <w:jc w:val="both"/>
      </w:pPr>
      <w:r w:rsidRPr="00E9210E">
        <w:t xml:space="preserve">Justices et sociétés. (Compte rendu : Fr. L. </w:t>
      </w:r>
      <w:r w:rsidRPr="00E9210E">
        <w:rPr>
          <w:rStyle w:val="Corpsdutexte27ptGras"/>
          <w:rFonts w:eastAsia="Courier New"/>
          <w:b w:val="0"/>
          <w:smallCaps/>
          <w:sz w:val="28"/>
        </w:rPr>
        <w:t>Ganshof</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Recherches sur les tribunaux de châtellenie en Flandre avant le milieu du </w:t>
      </w:r>
      <w:r w:rsidRPr="00E9210E">
        <w:rPr>
          <w:rStyle w:val="Corpsdutexte28ptItaliqueEspacement1pt"/>
          <w:rFonts w:eastAsia="Courier New"/>
          <w:sz w:val="28"/>
        </w:rPr>
        <w:t>XIII</w:t>
      </w:r>
      <w:r w:rsidRPr="00E9210E">
        <w:rPr>
          <w:rStyle w:val="Corpsdutexte28ptItaliqueEspacement1pt"/>
          <w:rFonts w:eastAsia="Courier New"/>
          <w:sz w:val="28"/>
          <w:vertAlign w:val="superscript"/>
        </w:rPr>
        <w:t>e</w:t>
      </w:r>
      <w:r w:rsidRPr="00E9210E">
        <w:rPr>
          <w:rStyle w:val="Corpsdutexte28ptItalique"/>
          <w:rFonts w:eastAsia="Courier New"/>
          <w:sz w:val="28"/>
        </w:rPr>
        <w:t> siècle,</w:t>
      </w:r>
      <w:r w:rsidRPr="00E9210E">
        <w:rPr>
          <w:rStyle w:val="Corpsdutexte28ptGraschelle120"/>
          <w:rFonts w:eastAsia="Courier New"/>
          <w:sz w:val="28"/>
        </w:rPr>
        <w:t xml:space="preserve"> </w:t>
      </w:r>
      <w:r w:rsidRPr="00E9210E">
        <w:t>Paris, 1932), « A.H.E.S. », t. V (1933), p. 600.</w:t>
      </w:r>
    </w:p>
    <w:p w14:paraId="38021CC0" w14:textId="77777777" w:rsidR="00B9662D" w:rsidRPr="00E9210E" w:rsidRDefault="00B9662D" w:rsidP="00B9662D">
      <w:pPr>
        <w:spacing w:before="120" w:after="120"/>
        <w:jc w:val="both"/>
      </w:pPr>
      <w:r>
        <w:rPr>
          <w:rFonts w:eastAsia="Courier New"/>
        </w:rPr>
        <w:t>[1063]</w:t>
      </w:r>
    </w:p>
    <w:p w14:paraId="4415CA64" w14:textId="77777777" w:rsidR="00B9662D" w:rsidRPr="00E9210E" w:rsidRDefault="00B9662D" w:rsidP="00B9662D">
      <w:pPr>
        <w:spacing w:before="120" w:after="120"/>
        <w:jc w:val="both"/>
      </w:pPr>
      <w:r w:rsidRPr="00E9210E">
        <w:t>Les desservants de paroisse. (Compte rendu :</w:t>
      </w:r>
      <w:r w:rsidRPr="00E9210E">
        <w:rPr>
          <w:rStyle w:val="Corpsdutexte28ptGraschelle120"/>
          <w:rFonts w:eastAsia="Courier New"/>
          <w:sz w:val="28"/>
        </w:rPr>
        <w:t xml:space="preserve"> </w:t>
      </w:r>
      <w:r w:rsidRPr="00E9210E">
        <w:t xml:space="preserve">R. A. R. </w:t>
      </w:r>
      <w:r w:rsidRPr="00E9210E">
        <w:rPr>
          <w:rStyle w:val="Corpsdutexte27ptGras"/>
          <w:rFonts w:eastAsia="Courier New"/>
          <w:b w:val="0"/>
          <w:smallCaps/>
          <w:sz w:val="28"/>
        </w:rPr>
        <w:t>Hartridge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 history of vicarages in the middle ages</w:t>
      </w:r>
      <w:r w:rsidRPr="00E9210E">
        <w:rPr>
          <w:rStyle w:val="Corpsdutexte28ptGraschelle120"/>
          <w:rFonts w:eastAsia="Courier New"/>
          <w:sz w:val="28"/>
        </w:rPr>
        <w:t xml:space="preserve">, </w:t>
      </w:r>
      <w:r w:rsidRPr="00E9210E">
        <w:t xml:space="preserve">Cambridge, 1930),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 (1933), p. 602-603.</w:t>
      </w:r>
    </w:p>
    <w:p w14:paraId="13023399" w14:textId="77777777" w:rsidR="00B9662D" w:rsidRPr="00E9210E" w:rsidRDefault="00B9662D" w:rsidP="00B9662D">
      <w:pPr>
        <w:spacing w:before="120" w:after="120"/>
        <w:jc w:val="both"/>
      </w:pPr>
      <w:r w:rsidRPr="00E9210E">
        <w:t>Une abbaye et un développement urbain. (Compte rendu :</w:t>
      </w:r>
      <w:r w:rsidRPr="00E9210E">
        <w:rPr>
          <w:rStyle w:val="Corpsdutexte28ptGraschelle120"/>
          <w:rFonts w:eastAsia="Courier New"/>
          <w:sz w:val="28"/>
        </w:rPr>
        <w:t xml:space="preserve"> </w:t>
      </w:r>
      <w:r w:rsidRPr="00E9210E">
        <w:t>M. </w:t>
      </w:r>
      <w:r w:rsidRPr="00E9210E">
        <w:rPr>
          <w:rStyle w:val="Corpsdutexte27ptGras"/>
          <w:rFonts w:eastAsia="Courier New"/>
          <w:b w:val="0"/>
          <w:smallCaps/>
          <w:sz w:val="28"/>
        </w:rPr>
        <w:t>Dumoulin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Note sur l’abbaye de Montmartre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Bulletin de la Société de l’histoire de Paris et de l’Ile-de-France</w:t>
      </w:r>
      <w:r w:rsidRPr="00E9210E">
        <w:rPr>
          <w:rStyle w:val="Corpsdutexte28ptGraschelle120"/>
          <w:rFonts w:eastAsia="Courier New"/>
          <w:sz w:val="28"/>
        </w:rPr>
        <w:t xml:space="preserve">, </w:t>
      </w:r>
      <w:r w:rsidRPr="00E9210E">
        <w:t xml:space="preserve">t. LVIII (1931), p. 145-238 et 244-324),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 (1933), p. 603.</w:t>
      </w:r>
    </w:p>
    <w:p w14:paraId="5682432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Dans les monastères. (Comptes rendus : Dom U. </w:t>
      </w:r>
      <w:r w:rsidRPr="00E9210E">
        <w:rPr>
          <w:rStyle w:val="Corpsdutexte37ptGrasNonItalique"/>
          <w:rFonts w:eastAsia="Courier New"/>
          <w:b w:val="0"/>
          <w:i w:val="0"/>
          <w:iCs w:val="0"/>
          <w:smallCaps/>
          <w:sz w:val="28"/>
        </w:rPr>
        <w:t>Berlière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f</w:t>
      </w:r>
      <w:r w:rsidRPr="00E9210E">
        <w:rPr>
          <w:i/>
        </w:rPr>
        <w:t>a</w:t>
      </w:r>
      <w:r w:rsidRPr="00E9210E">
        <w:rPr>
          <w:i/>
        </w:rPr>
        <w:t>milia dans les monastères bénédictins du Moyen Âge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Mémoires publiés par l’Académie royale de Belgique, classe des Lettres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coll. in-8°, 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série, t. XXIX (1931). — K. </w:t>
      </w:r>
      <w:r w:rsidRPr="00E9210E">
        <w:rPr>
          <w:rStyle w:val="Corpsdutexte37ptGrasNonItalique"/>
          <w:rFonts w:eastAsia="Courier New"/>
          <w:b w:val="0"/>
          <w:i w:val="0"/>
          <w:iCs w:val="0"/>
          <w:smallCaps/>
          <w:sz w:val="28"/>
        </w:rPr>
        <w:t>Loppens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de Coxyde et de l’abbaye des Dunes</w:t>
      </w:r>
      <w:r w:rsidRPr="00E9210E">
        <w:rPr>
          <w:rStyle w:val="Corpsdutexte385ptNonItalique"/>
          <w:rFonts w:eastAsia="Courier New"/>
          <w:i w:val="0"/>
          <w:iCs w:val="0"/>
          <w:sz w:val="28"/>
        </w:rPr>
        <w:t>, Coxyde, 1930), « A.H.E.S. », t. V (1933), p. 603-604.</w:t>
      </w:r>
    </w:p>
    <w:p w14:paraId="5E582A4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Quelques aspects de l’histoire sociale du monachisme. (Comptes rendus : </w:t>
      </w:r>
      <w:r w:rsidRPr="00E9210E">
        <w:rPr>
          <w:rStyle w:val="Corpsdutexte37ptGrasNonItalique"/>
          <w:rFonts w:eastAsia="Courier New"/>
          <w:b w:val="0"/>
          <w:i w:val="0"/>
          <w:iCs w:val="0"/>
          <w:sz w:val="28"/>
        </w:rPr>
        <w:t xml:space="preserve">G. G. </w:t>
      </w:r>
      <w:r w:rsidRPr="00E9210E">
        <w:rPr>
          <w:rStyle w:val="Corpsdutexte37ptGrasNonItalique"/>
          <w:rFonts w:eastAsia="Courier New"/>
          <w:b w:val="0"/>
          <w:i w:val="0"/>
          <w:iCs w:val="0"/>
          <w:smallCaps/>
          <w:sz w:val="28"/>
        </w:rPr>
        <w:t>Coulton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Scottish a</w:t>
      </w:r>
      <w:r w:rsidRPr="00E9210E">
        <w:rPr>
          <w:i/>
        </w:rPr>
        <w:t>b</w:t>
      </w:r>
      <w:r w:rsidRPr="00E9210E">
        <w:rPr>
          <w:i/>
        </w:rPr>
        <w:t>beys and social life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Cambridge, 1933. — R. E. </w:t>
      </w:r>
      <w:r w:rsidRPr="00E9210E">
        <w:rPr>
          <w:rStyle w:val="Corpsdutexte37ptGrasNonItalique"/>
          <w:rFonts w:eastAsia="Courier New"/>
          <w:b w:val="0"/>
          <w:i w:val="0"/>
          <w:iCs w:val="0"/>
          <w:smallCaps/>
          <w:sz w:val="28"/>
        </w:rPr>
        <w:t>Swarthout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monastic craftsman : an inquiry into the services of monks to the art in Britain and in Eur</w:t>
      </w:r>
      <w:r w:rsidRPr="00E9210E">
        <w:rPr>
          <w:i/>
        </w:rPr>
        <w:t>o</w:t>
      </w:r>
      <w:r w:rsidRPr="00E9210E">
        <w:rPr>
          <w:i/>
        </w:rPr>
        <w:t>pe North of the Alps during the middle ages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Cambridge, 1932. — A. </w:t>
      </w:r>
      <w:r w:rsidRPr="00E9210E">
        <w:rPr>
          <w:rStyle w:val="Corpsdutexte37ptGrasNonItalique"/>
          <w:rFonts w:eastAsia="Courier New"/>
          <w:b w:val="0"/>
          <w:i w:val="0"/>
          <w:iCs w:val="0"/>
          <w:smallCaps/>
          <w:sz w:val="28"/>
        </w:rPr>
        <w:t>Goodwin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abbey of S’Edmundsbury</w:t>
      </w:r>
      <w:r w:rsidRPr="00E9210E">
        <w:rPr>
          <w:rStyle w:val="Corpsdutexte3GrasNonItaliquechelle120"/>
          <w:rFonts w:eastAsia="Courier New"/>
          <w:b w:val="0"/>
          <w:i w:val="0"/>
          <w:iCs w:val="0"/>
          <w:sz w:val="28"/>
        </w:rPr>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Oxford, 1931), « A.H.E.S. », t. V (1933)</w:t>
      </w:r>
      <w:r w:rsidRPr="00E9210E">
        <w:t>, pp. 604-606.</w:t>
      </w:r>
    </w:p>
    <w:p w14:paraId="775BD01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L’étalon d’or dans l’Italie angevine. (Compte rendu : </w:t>
      </w:r>
      <w:r w:rsidRPr="00E9210E">
        <w:rPr>
          <w:rStyle w:val="Corpsdutexte37ptGrasNonItalique"/>
          <w:rFonts w:eastAsia="Courier New"/>
          <w:b w:val="0"/>
          <w:i w:val="0"/>
          <w:iCs w:val="0"/>
          <w:sz w:val="28"/>
        </w:rPr>
        <w:t>A.</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mallCaps/>
          <w:sz w:val="28"/>
        </w:rPr>
        <w:t>de</w:t>
      </w:r>
      <w:r w:rsidRPr="00E9210E">
        <w:rPr>
          <w:rStyle w:val="Corpsdutexte385ptNonItalique"/>
          <w:rFonts w:eastAsia="Courier New"/>
          <w:i w:val="0"/>
          <w:iCs w:val="0"/>
          <w:sz w:val="28"/>
        </w:rPr>
        <w:t xml:space="preserve"> </w:t>
      </w:r>
      <w:r w:rsidRPr="00E9210E">
        <w:rPr>
          <w:rStyle w:val="Corpsdutexte37ptGrasNonItalique"/>
          <w:rFonts w:eastAsia="Courier New"/>
          <w:b w:val="0"/>
          <w:i w:val="0"/>
          <w:iCs w:val="0"/>
          <w:smallCaps/>
          <w:sz w:val="28"/>
        </w:rPr>
        <w:t>Boüard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Documents en français des archives angevines de Naples (règne de Charles I</w:t>
      </w:r>
      <w:r w:rsidRPr="00E9210E">
        <w:rPr>
          <w:i/>
          <w:vertAlign w:val="superscript"/>
        </w:rPr>
        <w:t>er</w:t>
      </w:r>
      <w:r w:rsidRPr="00E9210E">
        <w:rPr>
          <w:i/>
        </w:rPr>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 </w:t>
      </w:r>
      <w:r w:rsidRPr="00E9210E">
        <w:rPr>
          <w:i/>
        </w:rPr>
        <w:t>Les ma</w:t>
      </w:r>
      <w:r w:rsidRPr="00E9210E">
        <w:rPr>
          <w:i/>
        </w:rPr>
        <w:t>n</w:t>
      </w:r>
      <w:r w:rsidRPr="00E9210E">
        <w:rPr>
          <w:i/>
        </w:rPr>
        <w:t>dements aux trésoriers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1933). « A.H.E.S. », t. V (1933), p. 606.</w:t>
      </w:r>
    </w:p>
    <w:p w14:paraId="184A254C" w14:textId="77777777" w:rsidR="00B9662D" w:rsidRPr="00E9210E" w:rsidRDefault="00B9662D" w:rsidP="00B9662D">
      <w:pPr>
        <w:spacing w:before="120" w:after="120"/>
        <w:jc w:val="both"/>
      </w:pPr>
      <w:r w:rsidRPr="00E9210E">
        <w:t xml:space="preserve">Un épisode de la crise monétaire à la fin du Moyen Âge. (Compte rendu : H. </w:t>
      </w:r>
      <w:r w:rsidRPr="00E9210E">
        <w:rPr>
          <w:rStyle w:val="Corpsdutexte27ptGras"/>
          <w:rFonts w:eastAsia="Courier New"/>
          <w:b w:val="0"/>
          <w:smallCaps/>
          <w:sz w:val="28"/>
        </w:rPr>
        <w:t>Laurent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La loi de Gresham au Moyen Âge : essai sur la circulation monétaire entre la Flandre et le Brabant à la fin du </w:t>
      </w:r>
      <w:r w:rsidRPr="00E9210E">
        <w:rPr>
          <w:rStyle w:val="Corpsdutexte28ptItaliqueEspacement1pt"/>
          <w:rFonts w:eastAsia="Courier New"/>
          <w:sz w:val="28"/>
        </w:rPr>
        <w:t>X</w:t>
      </w:r>
      <w:r w:rsidRPr="00E9210E">
        <w:rPr>
          <w:rStyle w:val="Corpsdutexte28ptItaliqueEspacement1pt"/>
          <w:rFonts w:eastAsia="Courier New"/>
          <w:sz w:val="28"/>
        </w:rPr>
        <w:t>I</w:t>
      </w:r>
      <w:r w:rsidRPr="00E9210E">
        <w:rPr>
          <w:rStyle w:val="Corpsdutexte28ptItaliqueEspacement1pt"/>
          <w:rFonts w:eastAsia="Courier New"/>
          <w:sz w:val="28"/>
        </w:rPr>
        <w:t>V</w:t>
      </w:r>
      <w:r w:rsidRPr="00E9210E">
        <w:rPr>
          <w:rStyle w:val="Corpsdutexte28ptItaliqueEspacement1pt"/>
          <w:rFonts w:eastAsia="Courier New"/>
          <w:sz w:val="28"/>
          <w:vertAlign w:val="superscript"/>
        </w:rPr>
        <w:t>e</w:t>
      </w:r>
      <w:r w:rsidRPr="00E9210E">
        <w:rPr>
          <w:rStyle w:val="Corpsdutexte28ptItalique"/>
          <w:rFonts w:eastAsia="Courier New"/>
          <w:sz w:val="28"/>
        </w:rPr>
        <w:t> siècle</w:t>
      </w:r>
      <w:r w:rsidRPr="00E9210E">
        <w:rPr>
          <w:rStyle w:val="Corpsdutexte28ptGraschelle120"/>
          <w:rFonts w:eastAsia="Courier New"/>
          <w:sz w:val="28"/>
        </w:rPr>
        <w:t xml:space="preserve">, </w:t>
      </w:r>
      <w:r w:rsidRPr="00E9210E">
        <w:t>Bruxelles, 1933), « A.H.E.S. », t. V (1933), pp. 607-609.</w:t>
      </w:r>
    </w:p>
    <w:p w14:paraId="6F859785" w14:textId="77777777" w:rsidR="00B9662D" w:rsidRPr="00E9210E" w:rsidRDefault="00B9662D" w:rsidP="00B9662D">
      <w:pPr>
        <w:spacing w:before="120" w:after="120"/>
        <w:jc w:val="both"/>
      </w:pPr>
      <w:r w:rsidRPr="00E9210E">
        <w:t xml:space="preserve">Les principautés féodales dans l’Italie du Nord. (Compte rendu : G. M. </w:t>
      </w:r>
      <w:r w:rsidRPr="00E9210E">
        <w:rPr>
          <w:rStyle w:val="Corpsdutexte27ptGras"/>
          <w:rFonts w:eastAsia="Courier New"/>
          <w:b w:val="0"/>
          <w:smallCaps/>
          <w:sz w:val="28"/>
        </w:rPr>
        <w:t>Monti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Ancora sulla feudalità e i grandi domani feudali del regno di Sicilia e sul principato di Taranto,</w:t>
      </w:r>
      <w:r w:rsidRPr="00E9210E">
        <w:rPr>
          <w:rStyle w:val="Corpsdutexte28ptGraschelle120"/>
          <w:rFonts w:eastAsia="Courier New"/>
          <w:sz w:val="28"/>
        </w:rPr>
        <w:t xml:space="preserve"> </w:t>
      </w:r>
      <w:r w:rsidRPr="00E9210E">
        <w:t xml:space="preserve">extr. de la </w:t>
      </w:r>
      <w:r w:rsidRPr="00E9210E">
        <w:rPr>
          <w:rStyle w:val="Corpsdutexte28ptItalique"/>
          <w:rFonts w:eastAsia="Courier New"/>
          <w:sz w:val="28"/>
        </w:rPr>
        <w:t>Rivista di st</w:t>
      </w:r>
      <w:r w:rsidRPr="00E9210E">
        <w:rPr>
          <w:rStyle w:val="Corpsdutexte28ptItalique"/>
          <w:rFonts w:eastAsia="Courier New"/>
          <w:sz w:val="28"/>
        </w:rPr>
        <w:t>o</w:t>
      </w:r>
      <w:r w:rsidRPr="00E9210E">
        <w:rPr>
          <w:rStyle w:val="Corpsdutexte28ptItalique"/>
          <w:rFonts w:eastAsia="Courier New"/>
          <w:sz w:val="28"/>
        </w:rPr>
        <w:t>ria del diritto italiano</w:t>
      </w:r>
      <w:r w:rsidRPr="00E9210E">
        <w:rPr>
          <w:rStyle w:val="Corpsdutexte28ptGraschelle120"/>
          <w:rFonts w:eastAsia="Courier New"/>
          <w:sz w:val="28"/>
        </w:rPr>
        <w:t xml:space="preserve">, </w:t>
      </w:r>
      <w:r w:rsidRPr="00E9210E">
        <w:t>t. IV [1931], 48 p.), « A.H.E.S. », t. V (1933), p. 615.</w:t>
      </w:r>
    </w:p>
    <w:p w14:paraId="7312AB05" w14:textId="77777777" w:rsidR="00B9662D" w:rsidRPr="00E9210E" w:rsidRDefault="00B9662D" w:rsidP="00B9662D">
      <w:pPr>
        <w:spacing w:before="120" w:after="120"/>
        <w:jc w:val="both"/>
      </w:pPr>
      <w:r w:rsidRPr="00E9210E">
        <w:rPr>
          <w:rStyle w:val="Corpsdutexte385ptNonItalique"/>
          <w:rFonts w:eastAsia="Courier New"/>
          <w:i w:val="0"/>
          <w:iCs w:val="0"/>
          <w:sz w:val="28"/>
        </w:rPr>
        <w:t>L’esclavage au pays napolitain. (Compte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G. M. </w:t>
      </w:r>
      <w:r w:rsidRPr="00E9210E">
        <w:rPr>
          <w:rStyle w:val="Corpsdutexte37ptGrasNonItalique"/>
          <w:rFonts w:eastAsia="Courier New"/>
          <w:b w:val="0"/>
          <w:i w:val="0"/>
          <w:iCs w:val="0"/>
          <w:smallCaps/>
          <w:sz w:val="28"/>
        </w:rPr>
        <w:t>Monti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Sulla schiavitù domestica nel regno di Napoli dagli Aragonesi agli Austriaci,</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extr. de </w:t>
      </w:r>
      <w:r w:rsidRPr="00E9210E">
        <w:t>l’Archivio scie</w:t>
      </w:r>
      <w:r w:rsidRPr="00E9210E">
        <w:t>n</w:t>
      </w:r>
      <w:r w:rsidRPr="00E9210E">
        <w:t>tifico del R. Ist. Sup. di Sc. econ. e comm. di Bari,</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VI (1931-1932), 31 p.),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A.H.E.S.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V (1933), pp. 615-616.</w:t>
      </w:r>
    </w:p>
    <w:p w14:paraId="2E37D9A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Comptes rendus : P. </w:t>
      </w:r>
      <w:r w:rsidRPr="00E9210E">
        <w:rPr>
          <w:rStyle w:val="Corpsdutexte37ptGrasNonItalique"/>
          <w:rFonts w:eastAsia="Courier New"/>
          <w:b w:val="0"/>
          <w:i w:val="0"/>
          <w:iCs w:val="0"/>
          <w:smallCaps/>
          <w:sz w:val="28"/>
        </w:rPr>
        <w:t>Espent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Une seigneurie ecclésiastique. A</w:t>
      </w:r>
      <w:r w:rsidRPr="00E9210E">
        <w:rPr>
          <w:i/>
        </w:rPr>
        <w:t>l</w:t>
      </w:r>
      <w:r w:rsidRPr="00E9210E">
        <w:rPr>
          <w:i/>
        </w:rPr>
        <w:t>lauch des orig</w:t>
      </w:r>
      <w:r w:rsidRPr="00E9210E">
        <w:rPr>
          <w:i/>
        </w:rPr>
        <w:t>i</w:t>
      </w:r>
      <w:r w:rsidRPr="00E9210E">
        <w:rPr>
          <w:i/>
        </w:rPr>
        <w:t>nes à 1595, d’après des documents inédits</w:t>
      </w:r>
      <w:r w:rsidRPr="00E9210E">
        <w:rPr>
          <w:rStyle w:val="Corpsdutexte385ptNonItalique"/>
          <w:rFonts w:eastAsia="Courier New"/>
          <w:i w:val="0"/>
          <w:iCs w:val="0"/>
          <w:sz w:val="28"/>
        </w:rPr>
        <w:t xml:space="preserve">, Marseille, 1932. — J. </w:t>
      </w:r>
      <w:r w:rsidRPr="00E9210E">
        <w:rPr>
          <w:rStyle w:val="Corpsdutexte37ptGrasNonItalique"/>
          <w:rFonts w:eastAsia="Courier New"/>
          <w:b w:val="0"/>
          <w:i w:val="0"/>
          <w:iCs w:val="0"/>
          <w:smallCaps/>
          <w:sz w:val="28"/>
        </w:rPr>
        <w:t>Akar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Bois-Jérôme : histoire d’un village français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1933, « R.C.H.L. », 67</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année (1933), p. 302.</w:t>
      </w:r>
    </w:p>
    <w:p w14:paraId="2FA49DE0"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Comptes rendus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G. </w:t>
      </w:r>
      <w:r w:rsidRPr="00E9210E">
        <w:rPr>
          <w:rStyle w:val="Corpsdutexte37ptGrasNonItalique"/>
          <w:rFonts w:eastAsia="Courier New"/>
          <w:b w:val="0"/>
          <w:i w:val="0"/>
          <w:iCs w:val="0"/>
          <w:smallCaps/>
          <w:sz w:val="28"/>
        </w:rPr>
        <w:t>Dupont-Ferrier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Nouvelles études sur les institutions fina</w:t>
      </w:r>
      <w:r w:rsidRPr="00E9210E">
        <w:rPr>
          <w:i/>
        </w:rPr>
        <w:t>n</w:t>
      </w:r>
      <w:r w:rsidRPr="00E9210E">
        <w:rPr>
          <w:i/>
        </w:rPr>
        <w:t>cières de la France à la fin du Moyen Âge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1933. — H. </w:t>
      </w:r>
      <w:r w:rsidRPr="00E9210E">
        <w:rPr>
          <w:rStyle w:val="Corpsdutexte37ptGrasNonItalique"/>
          <w:rFonts w:eastAsia="Courier New"/>
          <w:b w:val="0"/>
          <w:i w:val="0"/>
          <w:iCs w:val="0"/>
          <w:smallCaps/>
          <w:sz w:val="28"/>
        </w:rPr>
        <w:t>Jassemin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Chambre des comptes de Paris au XV</w:t>
      </w:r>
      <w:r w:rsidRPr="00E9210E">
        <w:rPr>
          <w:i/>
          <w:vertAlign w:val="superscript"/>
        </w:rPr>
        <w:t>e</w:t>
      </w:r>
      <w:r w:rsidRPr="00E9210E">
        <w:rPr>
          <w:i/>
        </w:rPr>
        <w:t> siècle, précédé d’une étude sur ses origines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1933, « R.C.H.L. », 1933, pp. 303-305.</w:t>
      </w:r>
    </w:p>
    <w:p w14:paraId="5949708B"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H. </w:t>
      </w:r>
      <w:r w:rsidRPr="00E9210E">
        <w:rPr>
          <w:rStyle w:val="Corpsdutexte37ptGrasNonItalique"/>
          <w:rFonts w:eastAsia="Courier New"/>
          <w:b w:val="0"/>
          <w:i w:val="0"/>
          <w:iCs w:val="0"/>
          <w:smallCaps/>
          <w:sz w:val="28"/>
        </w:rPr>
        <w:t>Jassemin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Un document financier du </w:t>
      </w:r>
      <w:r w:rsidRPr="00E9210E">
        <w:rPr>
          <w:rFonts w:eastAsia="Courier New"/>
          <w:i/>
        </w:rPr>
        <w:t>XIII</w:t>
      </w:r>
      <w:r w:rsidRPr="00E9210E">
        <w:rPr>
          <w:rFonts w:eastAsia="Courier New"/>
          <w:i/>
          <w:vertAlign w:val="superscript"/>
        </w:rPr>
        <w:t>e</w:t>
      </w:r>
      <w:r w:rsidRPr="00E9210E">
        <w:rPr>
          <w:i/>
        </w:rPr>
        <w:t> siècle : le mém</w:t>
      </w:r>
      <w:r w:rsidRPr="00E9210E">
        <w:rPr>
          <w:i/>
        </w:rPr>
        <w:t>o</w:t>
      </w:r>
      <w:r w:rsidRPr="00E9210E">
        <w:rPr>
          <w:i/>
        </w:rPr>
        <w:t>rial de Robert II, duc de Bourgogne (1273-1285),</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1933),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R.C.H.L.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1933, p. 305.</w:t>
      </w:r>
    </w:p>
    <w:p w14:paraId="716F59FD"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H. </w:t>
      </w:r>
      <w:r w:rsidRPr="00E9210E">
        <w:rPr>
          <w:rStyle w:val="Corpsdutexte27ptGras"/>
          <w:rFonts w:eastAsia="Courier New"/>
          <w:b w:val="0"/>
          <w:smallCaps/>
          <w:sz w:val="28"/>
        </w:rPr>
        <w:t>Bresslau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Handbuch der Urkundenlehre für Deutschland und Italien, </w:t>
      </w:r>
      <w:r w:rsidRPr="00E9210E">
        <w:t>t. II, 2</w:t>
      </w:r>
      <w:r w:rsidRPr="00E9210E">
        <w:rPr>
          <w:vertAlign w:val="superscript"/>
        </w:rPr>
        <w:t>e</w:t>
      </w:r>
      <w:r w:rsidRPr="00E9210E">
        <w:t xml:space="preserve"> éd., Berlin, 1931, « Revue histor</w:t>
      </w:r>
      <w:r w:rsidRPr="00E9210E">
        <w:t>i</w:t>
      </w:r>
      <w:r w:rsidRPr="00E9210E">
        <w:t>que », t. 171 (1933), pp. 388-389.</w:t>
      </w:r>
    </w:p>
    <w:p w14:paraId="57DC226A"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G. de </w:t>
      </w:r>
      <w:r w:rsidRPr="00E9210E">
        <w:rPr>
          <w:rStyle w:val="Corpsdutexte27ptGras"/>
          <w:rFonts w:eastAsia="Courier New"/>
          <w:b w:val="0"/>
          <w:smallCaps/>
          <w:sz w:val="28"/>
        </w:rPr>
        <w:t>Tervarent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légende de sainte Ursule,</w:t>
      </w:r>
      <w:r w:rsidRPr="00E9210E">
        <w:rPr>
          <w:rStyle w:val="Corpsdutexte28ptGraschelle120"/>
          <w:rFonts w:eastAsia="Courier New"/>
          <w:sz w:val="28"/>
        </w:rPr>
        <w:t xml:space="preserve"> </w:t>
      </w:r>
      <w:r w:rsidRPr="00E9210E">
        <w:t xml:space="preserve">Paris, 1931, </w:t>
      </w:r>
      <w:r w:rsidRPr="00E9210E">
        <w:rPr>
          <w:rStyle w:val="Corpsdutexte28ptGraschelle120"/>
          <w:rFonts w:eastAsia="Courier New"/>
          <w:sz w:val="28"/>
        </w:rPr>
        <w:t>« </w:t>
      </w:r>
      <w:r w:rsidRPr="00E9210E">
        <w:t>Revue historique », t. 171 (1933), pp. 626-627.</w:t>
      </w:r>
    </w:p>
    <w:p w14:paraId="33211EBD"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Z. </w:t>
      </w:r>
      <w:r w:rsidRPr="00E9210E">
        <w:rPr>
          <w:rStyle w:val="Corpsdutexte27ptGras"/>
          <w:rFonts w:eastAsia="Courier New"/>
          <w:b w:val="0"/>
          <w:smallCaps/>
          <w:sz w:val="28"/>
        </w:rPr>
        <w:t>Wojciechowski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Ritterrecht in Polen vor den Statuten Kasimirs des Grossen,</w:t>
      </w:r>
      <w:r w:rsidRPr="00E9210E">
        <w:rPr>
          <w:rStyle w:val="Corpsdutexte28ptGraschelle120"/>
          <w:rFonts w:eastAsia="Courier New"/>
          <w:sz w:val="28"/>
        </w:rPr>
        <w:t xml:space="preserve"> </w:t>
      </w:r>
      <w:r w:rsidRPr="00E9210E">
        <w:t xml:space="preserve">Breslau, 1930), </w:t>
      </w:r>
      <w:r w:rsidRPr="00E9210E">
        <w:rPr>
          <w:rStyle w:val="Corpsdutexte28ptGraschelle120"/>
          <w:rFonts w:eastAsia="Courier New"/>
          <w:sz w:val="28"/>
        </w:rPr>
        <w:t>« </w:t>
      </w:r>
      <w:r w:rsidRPr="00E9210E">
        <w:t>Revue histor</w:t>
      </w:r>
      <w:r w:rsidRPr="00E9210E">
        <w:t>i</w:t>
      </w:r>
      <w:r w:rsidRPr="00E9210E">
        <w:t>que »</w:t>
      </w:r>
      <w:r w:rsidRPr="00E9210E">
        <w:rPr>
          <w:rStyle w:val="Corpsdutexte28ptGraschelle120"/>
          <w:rFonts w:eastAsia="Courier New"/>
          <w:b w:val="0"/>
          <w:sz w:val="28"/>
        </w:rPr>
        <w:t xml:space="preserve">, </w:t>
      </w:r>
      <w:r w:rsidRPr="00E9210E">
        <w:t>t. 172 (1933), pp. 524-525.</w:t>
      </w:r>
    </w:p>
    <w:p w14:paraId="18A51786"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rPr>
          <w:rStyle w:val="Corpsdutexte27ptGras"/>
          <w:rFonts w:eastAsia="Courier New"/>
          <w:b w:val="0"/>
          <w:sz w:val="28"/>
        </w:rPr>
        <w:t xml:space="preserve">O. </w:t>
      </w:r>
      <w:r w:rsidRPr="00E9210E">
        <w:rPr>
          <w:rStyle w:val="Corpsdutexte27ptGras"/>
          <w:rFonts w:eastAsia="Courier New"/>
          <w:b w:val="0"/>
          <w:smallCaps/>
          <w:sz w:val="28"/>
        </w:rPr>
        <w:t>Forst de Battaglia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Geheimnis des Bl</w:t>
      </w:r>
      <w:r w:rsidRPr="00E9210E">
        <w:rPr>
          <w:rStyle w:val="Corpsdutexte28ptItalique"/>
          <w:rFonts w:eastAsia="Courier New"/>
          <w:sz w:val="28"/>
        </w:rPr>
        <w:t>u</w:t>
      </w:r>
      <w:r w:rsidRPr="00E9210E">
        <w:rPr>
          <w:rStyle w:val="Corpsdutexte28ptItalique"/>
          <w:rFonts w:eastAsia="Courier New"/>
          <w:sz w:val="28"/>
        </w:rPr>
        <w:t>tes,</w:t>
      </w:r>
      <w:r w:rsidRPr="00E9210E">
        <w:rPr>
          <w:rStyle w:val="Corpsdutexte28ptGraschelle120"/>
          <w:rFonts w:eastAsia="Courier New"/>
          <w:sz w:val="28"/>
        </w:rPr>
        <w:t xml:space="preserve"> </w:t>
      </w:r>
      <w:r w:rsidRPr="00E9210E">
        <w:t>2</w:t>
      </w:r>
      <w:r w:rsidRPr="00E9210E">
        <w:rPr>
          <w:vertAlign w:val="superscript"/>
        </w:rPr>
        <w:t>e</w:t>
      </w:r>
      <w:r w:rsidRPr="00E9210E">
        <w:t xml:space="preserve"> éd., Vienne, 1932, « Revue historique », t. 172 (1933), pp. 525-526.</w:t>
      </w:r>
    </w:p>
    <w:p w14:paraId="10842183" w14:textId="77777777" w:rsidR="00B9662D" w:rsidRPr="00E9210E" w:rsidRDefault="00B9662D" w:rsidP="00B9662D">
      <w:pPr>
        <w:spacing w:before="120" w:after="120"/>
        <w:jc w:val="both"/>
      </w:pPr>
      <w:r w:rsidRPr="00E9210E">
        <w:br w:type="page"/>
        <w:t>[1064]</w:t>
      </w:r>
    </w:p>
    <w:p w14:paraId="38064A0D" w14:textId="77777777" w:rsidR="00B9662D" w:rsidRPr="00E9210E" w:rsidRDefault="00B9662D" w:rsidP="00B9662D">
      <w:pPr>
        <w:spacing w:before="120" w:after="120"/>
        <w:jc w:val="both"/>
      </w:pPr>
      <w:r w:rsidRPr="00E9210E">
        <w:t xml:space="preserve">Un carrefour : </w:t>
      </w:r>
      <w:r w:rsidRPr="00E9210E">
        <w:rPr>
          <w:rStyle w:val="Corpsdutexte27ptGras"/>
          <w:rFonts w:eastAsia="Courier New"/>
          <w:b w:val="0"/>
          <w:sz w:val="28"/>
        </w:rPr>
        <w:t>la</w:t>
      </w:r>
      <w:r w:rsidRPr="00E9210E">
        <w:rPr>
          <w:rStyle w:val="Corpsdutexte27ptGras"/>
          <w:rFonts w:eastAsia="Courier New"/>
          <w:sz w:val="28"/>
        </w:rPr>
        <w:t xml:space="preserve"> </w:t>
      </w:r>
      <w:r w:rsidRPr="00E9210E">
        <w:t>porte de Bourgogne. (Compte rendu : A. </w:t>
      </w:r>
      <w:r w:rsidRPr="00E9210E">
        <w:rPr>
          <w:rStyle w:val="Corpsdutexte27ptGras"/>
          <w:rFonts w:eastAsia="Courier New"/>
          <w:b w:val="0"/>
          <w:smallCaps/>
          <w:sz w:val="28"/>
        </w:rPr>
        <w:t>Gilbert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Porte de Bourgogne et d’Alsace (Trouée de Belfort</w:t>
      </w:r>
      <w:r w:rsidRPr="00E9210E">
        <w:rPr>
          <w:rFonts w:eastAsia="Courier New"/>
        </w:rPr>
        <w:t>),</w:t>
      </w:r>
      <w:r w:rsidRPr="00E9210E">
        <w:t xml:space="preserve"> Paris, [1931]), « Rev. synt. hist. », t. 53 (1933), pp. 83-84.</w:t>
      </w:r>
    </w:p>
    <w:p w14:paraId="645395AF" w14:textId="77777777" w:rsidR="00B9662D" w:rsidRPr="00E9210E" w:rsidRDefault="00B9662D" w:rsidP="00B9662D">
      <w:pPr>
        <w:spacing w:before="120" w:after="120"/>
        <w:jc w:val="both"/>
      </w:pPr>
      <w:r w:rsidRPr="00E9210E">
        <w:t xml:space="preserve">Les Institutions financières de la France à la fin du Moyen Âge d'après un ouvrage récent. (Compte rendu : C. </w:t>
      </w:r>
      <w:r w:rsidRPr="00E9210E">
        <w:rPr>
          <w:rStyle w:val="Corpsdutexte27ptGras"/>
          <w:rFonts w:eastAsia="Courier New"/>
          <w:b w:val="0"/>
          <w:smallCaps/>
          <w:sz w:val="28"/>
        </w:rPr>
        <w:t>Dupont-Ferrier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Ét</w:t>
      </w:r>
      <w:r w:rsidRPr="00E9210E">
        <w:rPr>
          <w:rStyle w:val="Corpsdutexte28ptItalique"/>
          <w:rFonts w:eastAsia="Courier New"/>
          <w:sz w:val="28"/>
        </w:rPr>
        <w:t>u</w:t>
      </w:r>
      <w:r w:rsidRPr="00E9210E">
        <w:rPr>
          <w:rStyle w:val="Corpsdutexte28ptItalique"/>
          <w:rFonts w:eastAsia="Courier New"/>
          <w:sz w:val="28"/>
        </w:rPr>
        <w:t>des sur les instit</w:t>
      </w:r>
      <w:r w:rsidRPr="00E9210E">
        <w:rPr>
          <w:rStyle w:val="Corpsdutexte28ptItalique"/>
          <w:rFonts w:eastAsia="Courier New"/>
          <w:sz w:val="28"/>
        </w:rPr>
        <w:t>u</w:t>
      </w:r>
      <w:r w:rsidRPr="00E9210E">
        <w:rPr>
          <w:rStyle w:val="Corpsdutexte28ptItalique"/>
          <w:rFonts w:eastAsia="Courier New"/>
          <w:sz w:val="28"/>
        </w:rPr>
        <w:t>tions financières de la France à la fin du Moyen Âge.</w:t>
      </w:r>
      <w:r w:rsidRPr="00E9210E">
        <w:rPr>
          <w:rStyle w:val="Corpsdutexte28ptGraschelle120"/>
          <w:rFonts w:eastAsia="Courier New"/>
          <w:sz w:val="28"/>
        </w:rPr>
        <w:t xml:space="preserve"> </w:t>
      </w:r>
      <w:r w:rsidRPr="00E9210E">
        <w:t xml:space="preserve">T. I, </w:t>
      </w:r>
      <w:r w:rsidRPr="00E9210E">
        <w:rPr>
          <w:rStyle w:val="Corpsdutexte28ptItalique"/>
          <w:rFonts w:eastAsia="Courier New"/>
          <w:sz w:val="28"/>
        </w:rPr>
        <w:t>Les élections et leur personnel.</w:t>
      </w:r>
      <w:r w:rsidRPr="00E9210E">
        <w:rPr>
          <w:rStyle w:val="Corpsdutexte28ptGraschelle120"/>
          <w:rFonts w:eastAsia="Courier New"/>
          <w:sz w:val="28"/>
        </w:rPr>
        <w:t> — </w:t>
      </w:r>
      <w:r w:rsidRPr="00E9210E">
        <w:t xml:space="preserve">T. II, </w:t>
      </w:r>
      <w:r w:rsidRPr="00E9210E">
        <w:rPr>
          <w:rStyle w:val="Corpsdutexte28ptItalique"/>
          <w:rFonts w:eastAsia="Courier New"/>
          <w:sz w:val="28"/>
        </w:rPr>
        <w:t>Les finances extraordinaires et leur mécanisme</w:t>
      </w:r>
      <w:r w:rsidRPr="00E9210E">
        <w:t>, Paris, 1930-1932), « Rev. synt. hist. », t. 53 (1933), pp. 161-162.</w:t>
      </w:r>
    </w:p>
    <w:p w14:paraId="75A246EB" w14:textId="77777777" w:rsidR="00B9662D" w:rsidRPr="00E9210E" w:rsidRDefault="00B9662D" w:rsidP="00B9662D">
      <w:pPr>
        <w:spacing w:before="120" w:after="120"/>
        <w:jc w:val="both"/>
      </w:pPr>
      <w:r w:rsidRPr="00E9210E">
        <w:rPr>
          <w:rStyle w:val="Corpsdutexte385ptNonItalique"/>
          <w:rFonts w:eastAsia="Courier New"/>
          <w:i w:val="0"/>
          <w:iCs w:val="0"/>
          <w:sz w:val="28"/>
        </w:rPr>
        <w:t>L’histoire urbaine : problèmes et documents. (Comptes rendus : Fr. </w:t>
      </w:r>
      <w:r w:rsidRPr="00E9210E">
        <w:rPr>
          <w:rStyle w:val="Corpsdutexte37ptGrasNonItalique"/>
          <w:rFonts w:eastAsia="Courier New"/>
          <w:b w:val="0"/>
          <w:i w:val="0"/>
          <w:iCs w:val="0"/>
          <w:smallCaps/>
          <w:sz w:val="28"/>
        </w:rPr>
        <w:t>Rörig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Europaische Stadt,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Propyläen-Weltgeschichte</w:t>
      </w:r>
      <w:r w:rsidRPr="00E9210E">
        <w:rPr>
          <w:rStyle w:val="Corpsdutexte385ptNonItalique"/>
          <w:rFonts w:eastAsia="Courier New"/>
          <w:i w:val="0"/>
          <w:iCs w:val="0"/>
          <w:sz w:val="28"/>
        </w:rPr>
        <w:t xml:space="preserve">, t. IV. — C. </w:t>
      </w:r>
      <w:r w:rsidRPr="00E9210E">
        <w:rPr>
          <w:rStyle w:val="Corpsdutexte37ptGrasNonItalique"/>
          <w:rFonts w:eastAsia="Courier New"/>
          <w:b w:val="0"/>
          <w:i w:val="0"/>
          <w:iCs w:val="0"/>
          <w:smallCaps/>
          <w:sz w:val="28"/>
        </w:rPr>
        <w:t>Stephenson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Borough, and town : a study of urban or</w:t>
      </w:r>
      <w:r w:rsidRPr="00E9210E">
        <w:rPr>
          <w:i/>
        </w:rPr>
        <w:t>i</w:t>
      </w:r>
      <w:r w:rsidRPr="00E9210E">
        <w:rPr>
          <w:i/>
        </w:rPr>
        <w:t>gins in England</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Cambridge, 1933. — R. </w:t>
      </w:r>
      <w:r w:rsidRPr="00E9210E">
        <w:rPr>
          <w:rStyle w:val="Corpsdutexte37ptGrasNonItalique"/>
          <w:rFonts w:eastAsia="Courier New"/>
          <w:b w:val="0"/>
          <w:i w:val="0"/>
          <w:iCs w:val="0"/>
          <w:smallCaps/>
          <w:sz w:val="28"/>
        </w:rPr>
        <w:t>Monier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l</w:t>
      </w:r>
      <w:r w:rsidRPr="00E9210E">
        <w:rPr>
          <w:i/>
        </w:rPr>
        <w:t>i</w:t>
      </w:r>
      <w:r w:rsidRPr="00E9210E">
        <w:rPr>
          <w:i/>
        </w:rPr>
        <w:t xml:space="preserve">vre Roisin, coutumier lillois de la fin du </w:t>
      </w:r>
      <w:r w:rsidRPr="00E9210E">
        <w:rPr>
          <w:rFonts w:eastAsia="Courier New"/>
          <w:i/>
        </w:rPr>
        <w:t>XIII</w:t>
      </w:r>
      <w:r w:rsidRPr="00E9210E">
        <w:rPr>
          <w:rFonts w:eastAsia="Courier New"/>
          <w:i/>
          <w:vertAlign w:val="superscript"/>
        </w:rPr>
        <w:t>e</w:t>
      </w:r>
      <w:r w:rsidRPr="00E9210E">
        <w:rPr>
          <w:i/>
        </w:rPr>
        <w:t xml:space="preserve"> s</w:t>
      </w:r>
      <w:r w:rsidRPr="00E9210E">
        <w:t>., publié avec une i</w:t>
      </w:r>
      <w:r w:rsidRPr="00E9210E">
        <w:t>n</w:t>
      </w:r>
      <w:r w:rsidRPr="00E9210E">
        <w:t>troduction et un glossaire,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1932), « Rev. synt. hist. », t. 53 (1933), pp. 275-279.</w:t>
      </w:r>
    </w:p>
    <w:p w14:paraId="6D87983C" w14:textId="77777777" w:rsidR="00B9662D" w:rsidRDefault="00B9662D" w:rsidP="00B9662D">
      <w:pPr>
        <w:spacing w:before="120" w:after="120"/>
        <w:jc w:val="both"/>
      </w:pPr>
      <w:r w:rsidRPr="00E9210E">
        <w:t>Un voyage à travers l’histoire comparée. (</w:t>
      </w:r>
      <w:r w:rsidRPr="00E9210E">
        <w:rPr>
          <w:i/>
        </w:rPr>
        <w:t>À propos d’études de</w:t>
      </w:r>
      <w:r w:rsidRPr="00E9210E">
        <w:t xml:space="preserve"> </w:t>
      </w:r>
      <w:r w:rsidRPr="00E9210E">
        <w:rPr>
          <w:rStyle w:val="Corpsdutexte28ptItalique"/>
          <w:rFonts w:eastAsia="Courier New"/>
          <w:sz w:val="28"/>
        </w:rPr>
        <w:t>Sociologie et ethnologie juridiques,</w:t>
      </w:r>
      <w:r w:rsidRPr="00E9210E">
        <w:rPr>
          <w:rStyle w:val="Corpsdutexte28ptGraschelle120"/>
          <w:rFonts w:eastAsia="Courier New"/>
          <w:sz w:val="28"/>
        </w:rPr>
        <w:t xml:space="preserve"> </w:t>
      </w:r>
      <w:r w:rsidRPr="00E9210E">
        <w:t xml:space="preserve">publiées sous la direction de R. </w:t>
      </w:r>
      <w:r w:rsidRPr="00E9210E">
        <w:rPr>
          <w:rStyle w:val="Corpsdutexte27ptGras"/>
          <w:rFonts w:eastAsia="Courier New"/>
          <w:b w:val="0"/>
          <w:sz w:val="28"/>
        </w:rPr>
        <w:t>Maunier),</w:t>
      </w:r>
      <w:r w:rsidRPr="00E9210E">
        <w:rPr>
          <w:rStyle w:val="Corpsdutexte27ptGras"/>
          <w:rFonts w:eastAsia="Courier New"/>
          <w:sz w:val="28"/>
        </w:rPr>
        <w:t xml:space="preserve"> </w:t>
      </w:r>
      <w:r w:rsidRPr="00E9210E">
        <w:t>« Rev. synt. hist. », t. 53 (1933), pp. 324-325.</w:t>
      </w:r>
    </w:p>
    <w:p w14:paraId="05E8212C" w14:textId="77777777" w:rsidR="00B9662D" w:rsidRPr="00E9210E" w:rsidRDefault="00B9662D" w:rsidP="00B9662D">
      <w:pPr>
        <w:spacing w:before="120" w:after="120"/>
        <w:jc w:val="both"/>
      </w:pPr>
    </w:p>
    <w:p w14:paraId="354D53B3" w14:textId="77777777" w:rsidR="00B9662D" w:rsidRPr="00E9210E" w:rsidRDefault="00B9662D" w:rsidP="00B9662D">
      <w:pPr>
        <w:spacing w:before="120" w:after="120"/>
        <w:jc w:val="center"/>
        <w:rPr>
          <w:b/>
        </w:rPr>
      </w:pPr>
      <w:r w:rsidRPr="00E9210E">
        <w:rPr>
          <w:b/>
        </w:rPr>
        <w:t>1934</w:t>
      </w:r>
    </w:p>
    <w:p w14:paraId="7290D523" w14:textId="77777777" w:rsidR="00B9662D" w:rsidRPr="00E9210E" w:rsidRDefault="00B9662D" w:rsidP="00B9662D">
      <w:pPr>
        <w:spacing w:before="120" w:after="120"/>
        <w:jc w:val="both"/>
      </w:pPr>
    </w:p>
    <w:p w14:paraId="394D9B1F" w14:textId="77777777" w:rsidR="00B9662D" w:rsidRPr="00E9210E" w:rsidRDefault="00B9662D" w:rsidP="00B9662D">
      <w:pPr>
        <w:spacing w:before="120" w:after="120"/>
        <w:jc w:val="both"/>
      </w:pPr>
      <w:r w:rsidRPr="00E9210E">
        <w:t>« </w:t>
      </w:r>
      <w:r w:rsidRPr="00E9210E">
        <w:rPr>
          <w:b/>
        </w:rPr>
        <w:t>Le cadastre aux archives </w:t>
      </w:r>
      <w:r w:rsidRPr="00E9210E">
        <w:t xml:space="preserve">», </w:t>
      </w:r>
      <w:r w:rsidRPr="00E9210E">
        <w:rPr>
          <w:rStyle w:val="Corpsdutexte885ptNonGrasItaliquechelle100"/>
          <w:rFonts w:eastAsia="Courier New"/>
          <w:b w:val="0"/>
          <w:bCs w:val="0"/>
          <w:sz w:val="28"/>
        </w:rPr>
        <w:t>A.H.E.S.,</w:t>
      </w:r>
      <w:r w:rsidRPr="00E9210E">
        <w:rPr>
          <w:rStyle w:val="Corpsdutexte885ptNonGraschelle100"/>
          <w:rFonts w:eastAsia="Courier New"/>
          <w:b w:val="0"/>
          <w:bCs w:val="0"/>
          <w:sz w:val="28"/>
        </w:rPr>
        <w:t xml:space="preserve"> t. VI (1934), p. 74.</w:t>
      </w:r>
    </w:p>
    <w:p w14:paraId="7144D464"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La technique des affaires :</w:t>
      </w:r>
      <w:r w:rsidRPr="00E9210E">
        <w:t xml:space="preserve"> </w:t>
      </w:r>
      <w:r w:rsidRPr="00E9210E">
        <w:rPr>
          <w:rStyle w:val="Corpsdutexte28ptGraschelle120"/>
          <w:rFonts w:eastAsia="Courier New"/>
          <w:sz w:val="28"/>
        </w:rPr>
        <w:t>sa genèse »</w:t>
      </w:r>
      <w:r w:rsidRPr="00E9210E">
        <w:t xml:space="preserve">, </w:t>
      </w:r>
      <w:r w:rsidRPr="00E9210E">
        <w:rPr>
          <w:rFonts w:eastAsia="Courier New"/>
          <w:i/>
        </w:rPr>
        <w:t>A.H.E.S</w:t>
      </w:r>
      <w:r w:rsidRPr="00E9210E">
        <w:rPr>
          <w:rFonts w:eastAsia="Courier New"/>
        </w:rPr>
        <w:t>.,</w:t>
      </w:r>
      <w:r w:rsidRPr="00E9210E">
        <w:t xml:space="preserve"> t. VI (1934), p. 133 (note des Directeurs).</w:t>
      </w:r>
    </w:p>
    <w:p w14:paraId="78950240" w14:textId="77777777" w:rsidR="00B9662D" w:rsidRPr="00E9210E" w:rsidRDefault="00B9662D" w:rsidP="00B9662D">
      <w:pPr>
        <w:spacing w:before="120" w:after="120"/>
        <w:jc w:val="both"/>
      </w:pPr>
      <w:r w:rsidRPr="00E9210E">
        <w:t xml:space="preserve">« À </w:t>
      </w:r>
      <w:r w:rsidRPr="00E9210E">
        <w:rPr>
          <w:rStyle w:val="Corpsdutexte28ptGraschelle120"/>
          <w:rFonts w:eastAsia="Courier New"/>
          <w:sz w:val="28"/>
        </w:rPr>
        <w:t>propos d'un concours »</w:t>
      </w:r>
      <w:r w:rsidRPr="00E9210E">
        <w:t xml:space="preserve">, </w:t>
      </w:r>
      <w:r w:rsidRPr="00E9210E">
        <w:rPr>
          <w:rFonts w:eastAsia="Courier New"/>
          <w:i/>
        </w:rPr>
        <w:t>A.H.E.S</w:t>
      </w:r>
      <w:r w:rsidRPr="00E9210E">
        <w:rPr>
          <w:rFonts w:eastAsia="Courier New"/>
        </w:rPr>
        <w:t>.,</w:t>
      </w:r>
      <w:r w:rsidRPr="00E9210E">
        <w:t xml:space="preserve"> t. VI (1934), pp. 265-266 (note des Directeurs).</w:t>
      </w:r>
    </w:p>
    <w:p w14:paraId="0784501B"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Le salaire et les fluctuations économiques à longue période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 xml:space="preserve">Revue historique, </w:t>
      </w:r>
      <w:r w:rsidRPr="00E9210E">
        <w:rPr>
          <w:rStyle w:val="Corpsdutexte885ptNonGraschelle100"/>
          <w:rFonts w:eastAsia="Courier New"/>
          <w:b w:val="0"/>
          <w:bCs w:val="0"/>
          <w:sz w:val="28"/>
        </w:rPr>
        <w:t>t. 173 (1934), pp. 1-31.</w:t>
      </w:r>
    </w:p>
    <w:p w14:paraId="7A01E336"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Note des directeurs »</w:t>
      </w:r>
      <w:r w:rsidRPr="00E9210E">
        <w:t xml:space="preserve">, </w:t>
      </w:r>
      <w:r w:rsidRPr="00E9210E">
        <w:rPr>
          <w:rFonts w:eastAsia="Courier New"/>
          <w:i/>
        </w:rPr>
        <w:t>A.H.E.S.,</w:t>
      </w:r>
      <w:r w:rsidRPr="00E9210E">
        <w:t xml:space="preserve"> t. VI (1934), pp. 332-333.</w:t>
      </w:r>
    </w:p>
    <w:p w14:paraId="357692CB" w14:textId="77777777" w:rsidR="00B9662D" w:rsidRPr="00E9210E" w:rsidRDefault="00B9662D" w:rsidP="00B9662D">
      <w:pPr>
        <w:spacing w:before="120" w:after="120"/>
        <w:jc w:val="both"/>
      </w:pPr>
      <w:r w:rsidRPr="00E9210E">
        <w:t>Une étude régionale : géographie ou histoire. (Compte rendu : P. </w:t>
      </w:r>
      <w:r w:rsidRPr="00E9210E">
        <w:rPr>
          <w:rStyle w:val="Corpsdutexte27ptGras"/>
          <w:rFonts w:eastAsia="Courier New"/>
          <w:b w:val="0"/>
          <w:smallCaps/>
          <w:sz w:val="28"/>
        </w:rPr>
        <w:t>Deffontaines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hommes et leurs travaux dans les pays de la moyenne Garonne (Agenais - Bas-Quercy)</w:t>
      </w:r>
      <w:r w:rsidRPr="00E9210E">
        <w:rPr>
          <w:rFonts w:eastAsia="Courier New"/>
        </w:rPr>
        <w:t>,</w:t>
      </w:r>
      <w:r w:rsidRPr="00E9210E">
        <w:t xml:space="preserve"> Lille, 1932), « A.H.E.S. », t. VI (1934), pp. 81-85.</w:t>
      </w:r>
    </w:p>
    <w:p w14:paraId="20EA391C" w14:textId="77777777" w:rsidR="00B9662D" w:rsidRPr="00E9210E" w:rsidRDefault="00B9662D" w:rsidP="00B9662D">
      <w:pPr>
        <w:spacing w:before="120" w:after="120"/>
        <w:jc w:val="both"/>
      </w:pPr>
      <w:r w:rsidRPr="00E9210E">
        <w:t xml:space="preserve">Un problème d’évolution : l’économie nature sous le Bas-Empire et depuis. (Compte rendu : H. </w:t>
      </w:r>
      <w:r w:rsidRPr="00E9210E">
        <w:rPr>
          <w:rStyle w:val="Corpsdutexte27ptGras"/>
          <w:rFonts w:eastAsia="Courier New"/>
          <w:b w:val="0"/>
          <w:smallCaps/>
          <w:sz w:val="28"/>
        </w:rPr>
        <w:t>Geiss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Geld- und naturalwirtschaftliche Erscheinungsformen im staatlichen Aufbau Italiens während der G</w:t>
      </w:r>
      <w:r w:rsidRPr="00E9210E">
        <w:rPr>
          <w:rFonts w:eastAsia="Courier New"/>
          <w:i/>
        </w:rPr>
        <w:t>o</w:t>
      </w:r>
      <w:r w:rsidRPr="00E9210E">
        <w:rPr>
          <w:rFonts w:eastAsia="Courier New"/>
          <w:i/>
        </w:rPr>
        <w:t>tenzeit</w:t>
      </w:r>
      <w:r w:rsidRPr="00E9210E">
        <w:rPr>
          <w:rFonts w:eastAsia="Courier New"/>
        </w:rPr>
        <w:t>,</w:t>
      </w:r>
      <w:r w:rsidRPr="00E9210E">
        <w:t xml:space="preserve"> Stuttgart, 1931), « A.H.E.S. », t. VI (1934), p. 106.</w:t>
      </w:r>
    </w:p>
    <w:p w14:paraId="549DA5F6" w14:textId="77777777" w:rsidR="00B9662D" w:rsidRPr="00E9210E" w:rsidRDefault="00B9662D" w:rsidP="00B9662D">
      <w:pPr>
        <w:spacing w:before="120" w:after="120"/>
        <w:jc w:val="both"/>
      </w:pPr>
      <w:r w:rsidRPr="00E9210E">
        <w:t xml:space="preserve">Paysans de naguère, vus par un homme d’aujourd’hui. (Compte rendu : W. zur </w:t>
      </w:r>
      <w:r w:rsidRPr="00E9210E">
        <w:rPr>
          <w:rStyle w:val="Corpsdutexte27ptGras"/>
          <w:rFonts w:eastAsia="Courier New"/>
          <w:b w:val="0"/>
          <w:smallCaps/>
          <w:sz w:val="28"/>
        </w:rPr>
        <w:t>Ungnad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Deutsche Freibauern, Kölmer und Koloni</w:t>
      </w:r>
      <w:r w:rsidRPr="00E9210E">
        <w:rPr>
          <w:rFonts w:eastAsia="Courier New"/>
          <w:i/>
        </w:rPr>
        <w:t>s</w:t>
      </w:r>
      <w:r w:rsidRPr="00E9210E">
        <w:rPr>
          <w:rFonts w:eastAsia="Courier New"/>
          <w:i/>
        </w:rPr>
        <w:t>ten</w:t>
      </w:r>
      <w:r w:rsidRPr="00E9210E">
        <w:rPr>
          <w:rFonts w:eastAsia="Courier New"/>
        </w:rPr>
        <w:t>,</w:t>
      </w:r>
      <w:r w:rsidRPr="00E9210E">
        <w:t xml:space="preserve"> Hambourg [1932]), « A.H.E.S. », t. VI (1934), p. 110.</w:t>
      </w:r>
    </w:p>
    <w:p w14:paraId="3EF4B073" w14:textId="77777777" w:rsidR="00B9662D" w:rsidRPr="00E9210E" w:rsidRDefault="00B9662D" w:rsidP="00B9662D">
      <w:pPr>
        <w:spacing w:before="120" w:after="120"/>
        <w:jc w:val="both"/>
      </w:pPr>
      <w:r w:rsidRPr="00E9210E">
        <w:t xml:space="preserve">La politique économique des princes allemands. (Compte rendu : H. </w:t>
      </w:r>
      <w:r w:rsidRPr="00E9210E">
        <w:rPr>
          <w:rStyle w:val="Corpsdutexte27ptGras"/>
          <w:rFonts w:eastAsia="Courier New"/>
          <w:b w:val="0"/>
          <w:smallCaps/>
          <w:sz w:val="28"/>
        </w:rPr>
        <w:t>Stangenberg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Territorialwirtschaft und Stadtwirtschaft</w:t>
      </w:r>
      <w:r w:rsidRPr="00E9210E">
        <w:rPr>
          <w:rFonts w:eastAsia="Courier New"/>
        </w:rPr>
        <w:t>,</w:t>
      </w:r>
      <w:r w:rsidRPr="00E9210E">
        <w:t xml:space="preserve"> Munich, 1932), « A.H.E.S. », t. VI (1934), pp. 110-111.</w:t>
      </w:r>
    </w:p>
    <w:p w14:paraId="4C21FCB3" w14:textId="77777777" w:rsidR="00B9662D" w:rsidRPr="00E9210E" w:rsidRDefault="00B9662D" w:rsidP="00B9662D">
      <w:pPr>
        <w:spacing w:before="120" w:after="120"/>
        <w:jc w:val="both"/>
      </w:pPr>
      <w:r w:rsidRPr="00E9210E">
        <w:t>Toujours l’exposition de Varsovie : un procès-verbal inexact, « A.H.E.S. », t. VI (1934), pp. 155-157.</w:t>
      </w:r>
    </w:p>
    <w:p w14:paraId="4EE83F76" w14:textId="77777777" w:rsidR="00B9662D" w:rsidRPr="00E9210E" w:rsidRDefault="00B9662D" w:rsidP="00B9662D">
      <w:pPr>
        <w:spacing w:before="120" w:after="120"/>
        <w:jc w:val="both"/>
      </w:pPr>
      <w:r w:rsidRPr="00E9210E">
        <w:t xml:space="preserve">Le mercantilisme : un état d’esprit. (Compte rendu : E. F. </w:t>
      </w:r>
      <w:r w:rsidRPr="00E9210E">
        <w:rPr>
          <w:rStyle w:val="Corpsdutexte27ptGras"/>
          <w:rFonts w:eastAsia="Courier New"/>
          <w:b w:val="0"/>
          <w:smallCaps/>
          <w:sz w:val="28"/>
        </w:rPr>
        <w:t>Hec</w:t>
      </w:r>
      <w:r w:rsidRPr="00E9210E">
        <w:rPr>
          <w:rStyle w:val="Corpsdutexte27ptGras"/>
          <w:rFonts w:eastAsia="Courier New"/>
          <w:b w:val="0"/>
          <w:smallCaps/>
          <w:sz w:val="28"/>
        </w:rPr>
        <w:t>k</w:t>
      </w:r>
      <w:r w:rsidRPr="00E9210E">
        <w:rPr>
          <w:rStyle w:val="Corpsdutexte27ptGras"/>
          <w:rFonts w:eastAsia="Courier New"/>
          <w:b w:val="0"/>
          <w:smallCaps/>
          <w:sz w:val="28"/>
        </w:rPr>
        <w:t>scher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Der Merkantilismus</w:t>
      </w:r>
      <w:r w:rsidRPr="00E9210E">
        <w:rPr>
          <w:rFonts w:eastAsia="Courier New"/>
        </w:rPr>
        <w:t>,</w:t>
      </w:r>
      <w:r w:rsidRPr="00E9210E">
        <w:t xml:space="preserve"> Iéna, 1932), « A.H.E.S. », t. VI (1934), pp. 160-163.</w:t>
      </w:r>
    </w:p>
    <w:p w14:paraId="3ED762F1" w14:textId="77777777" w:rsidR="00B9662D" w:rsidRPr="00E9210E" w:rsidRDefault="00B9662D" w:rsidP="00B9662D">
      <w:pPr>
        <w:spacing w:before="120" w:after="120"/>
        <w:jc w:val="both"/>
      </w:pPr>
      <w:r w:rsidRPr="00E9210E">
        <w:t xml:space="preserve">Histoires des provinces. (Comptes rendus : H. </w:t>
      </w:r>
      <w:r w:rsidRPr="00E9210E">
        <w:rPr>
          <w:rStyle w:val="Corpsdutexte27ptGras"/>
          <w:rFonts w:eastAsia="Courier New"/>
          <w:b w:val="0"/>
          <w:smallCaps/>
          <w:sz w:val="28"/>
        </w:rPr>
        <w:t>Menabrea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w:t>
      </w:r>
      <w:r w:rsidRPr="00E9210E">
        <w:rPr>
          <w:rFonts w:eastAsia="Courier New"/>
          <w:i/>
        </w:rPr>
        <w:t>i</w:t>
      </w:r>
      <w:r w:rsidRPr="00E9210E">
        <w:rPr>
          <w:rFonts w:eastAsia="Courier New"/>
          <w:i/>
        </w:rPr>
        <w:t>re de Savoie</w:t>
      </w:r>
      <w:r w:rsidRPr="00E9210E">
        <w:rPr>
          <w:rFonts w:eastAsia="Courier New"/>
        </w:rPr>
        <w:t>,</w:t>
      </w:r>
      <w:r w:rsidRPr="00E9210E">
        <w:t xml:space="preserve"> 4</w:t>
      </w:r>
      <w:r w:rsidRPr="00E9210E">
        <w:rPr>
          <w:vertAlign w:val="superscript"/>
        </w:rPr>
        <w:t>e</w:t>
      </w:r>
      <w:r w:rsidRPr="00E9210E">
        <w:t xml:space="preserve"> éd., Paris, 1933. — R. </w:t>
      </w:r>
      <w:r w:rsidRPr="00E9210E">
        <w:rPr>
          <w:rStyle w:val="Corpsdutexte27ptGras"/>
          <w:rFonts w:eastAsia="Courier New"/>
          <w:b w:val="0"/>
          <w:smallCaps/>
          <w:sz w:val="28"/>
        </w:rPr>
        <w:t>Crozet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Champ</w:t>
      </w:r>
      <w:r w:rsidRPr="00E9210E">
        <w:rPr>
          <w:rFonts w:eastAsia="Courier New"/>
          <w:i/>
        </w:rPr>
        <w:t>a</w:t>
      </w:r>
      <w:r w:rsidRPr="00E9210E">
        <w:rPr>
          <w:rFonts w:eastAsia="Courier New"/>
          <w:i/>
        </w:rPr>
        <w:t>gne</w:t>
      </w:r>
      <w:r w:rsidRPr="00E9210E">
        <w:rPr>
          <w:rFonts w:eastAsia="Courier New"/>
        </w:rPr>
        <w:t>,</w:t>
      </w:r>
      <w:r w:rsidRPr="00E9210E">
        <w:t xml:space="preserve"> 2</w:t>
      </w:r>
      <w:r w:rsidRPr="00E9210E">
        <w:rPr>
          <w:vertAlign w:val="superscript"/>
        </w:rPr>
        <w:t>e</w:t>
      </w:r>
      <w:r w:rsidRPr="00E9210E">
        <w:t xml:space="preserve"> éd., Paris, 1933. — M. </w:t>
      </w:r>
      <w:r w:rsidRPr="00E9210E">
        <w:rPr>
          <w:rStyle w:val="Corpsdutexte27ptGras"/>
          <w:rFonts w:eastAsia="Courier New"/>
          <w:b w:val="0"/>
          <w:smallCaps/>
          <w:sz w:val="28"/>
        </w:rPr>
        <w:t>Marion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du Berry et du Bou</w:t>
      </w:r>
      <w:r w:rsidRPr="00E9210E">
        <w:rPr>
          <w:rFonts w:eastAsia="Courier New"/>
          <w:i/>
        </w:rPr>
        <w:t>r</w:t>
      </w:r>
      <w:r w:rsidRPr="00E9210E">
        <w:rPr>
          <w:rFonts w:eastAsia="Courier New"/>
          <w:i/>
        </w:rPr>
        <w:t>bonnais</w:t>
      </w:r>
      <w:r w:rsidRPr="00E9210E">
        <w:rPr>
          <w:rFonts w:eastAsia="Courier New"/>
        </w:rPr>
        <w:t>,</w:t>
      </w:r>
      <w:r w:rsidRPr="00E9210E">
        <w:t xml:space="preserve"> Paris, 1933), « A.H.E.S. », t. VI (1934), pp. 178-181.</w:t>
      </w:r>
    </w:p>
    <w:p w14:paraId="67FB7F8E" w14:textId="77777777" w:rsidR="00B9662D" w:rsidRPr="00E9210E" w:rsidRDefault="00B9662D" w:rsidP="00B9662D">
      <w:pPr>
        <w:spacing w:before="120" w:after="120"/>
        <w:jc w:val="both"/>
      </w:pPr>
      <w:r w:rsidRPr="00E9210E">
        <w:rPr>
          <w:rFonts w:eastAsia="Courier New"/>
        </w:rPr>
        <w:t>[1065]</w:t>
      </w:r>
    </w:p>
    <w:p w14:paraId="365959C8" w14:textId="77777777" w:rsidR="00B9662D" w:rsidRPr="00E9210E" w:rsidRDefault="00B9662D" w:rsidP="00B9662D">
      <w:pPr>
        <w:spacing w:before="120" w:after="120"/>
        <w:jc w:val="both"/>
      </w:pPr>
      <w:r w:rsidRPr="00E9210E">
        <w:t xml:space="preserve">Du Danube au Dniepr et </w:t>
      </w:r>
      <w:r w:rsidRPr="00E9210E">
        <w:rPr>
          <w:rStyle w:val="Corpsdutexte27ptGras"/>
          <w:rFonts w:eastAsia="Courier New"/>
          <w:sz w:val="28"/>
        </w:rPr>
        <w:t xml:space="preserve">à </w:t>
      </w:r>
      <w:r w:rsidRPr="00E9210E">
        <w:t xml:space="preserve">l’Asie. (Compte rendu : J. </w:t>
      </w:r>
      <w:r w:rsidRPr="00E9210E">
        <w:rPr>
          <w:rStyle w:val="Corpsdutexte27ptGras"/>
          <w:rFonts w:eastAsia="Courier New"/>
          <w:b w:val="0"/>
          <w:smallCaps/>
          <w:sz w:val="28"/>
        </w:rPr>
        <w:t>Brutzkus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Der Handel der Westeuropäischen Juden mit dem alten Kiev</w:t>
      </w:r>
      <w:r w:rsidRPr="00E9210E">
        <w:rPr>
          <w:rFonts w:eastAsia="Courier New"/>
        </w:rPr>
        <w:t>,</w:t>
      </w:r>
      <w:r w:rsidRPr="00E9210E">
        <w:t xml:space="preserve"> dans </w:t>
      </w:r>
      <w:r w:rsidRPr="00E9210E">
        <w:rPr>
          <w:rStyle w:val="Corpsdutexte28ptItalique"/>
          <w:rFonts w:eastAsia="Courier New"/>
          <w:sz w:val="28"/>
        </w:rPr>
        <w:t>Zeitschrift für die Geschichte der Juden in Deutschland</w:t>
      </w:r>
      <w:r w:rsidRPr="00E9210E">
        <w:rPr>
          <w:rFonts w:eastAsia="Courier New"/>
        </w:rPr>
        <w:t>,</w:t>
      </w:r>
      <w:r w:rsidRPr="00E9210E">
        <w:t xml:space="preserve"> t. III (1931), pp. 97-110), « A.H.E.S. », t. VI (1934), p. 183.</w:t>
      </w:r>
    </w:p>
    <w:p w14:paraId="1CD6166A" w14:textId="77777777" w:rsidR="00B9662D" w:rsidRPr="00E9210E" w:rsidRDefault="00B9662D" w:rsidP="00B9662D">
      <w:pPr>
        <w:spacing w:before="120" w:after="120"/>
        <w:jc w:val="both"/>
      </w:pPr>
      <w:r w:rsidRPr="00E9210E">
        <w:t xml:space="preserve">Trafic et courants de civilisation : de la Bohême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l’Allemagne du Nord. (Compte rendu : H. </w:t>
      </w:r>
      <w:r w:rsidRPr="00E9210E">
        <w:rPr>
          <w:rStyle w:val="Corpsdutexte27ptGras"/>
          <w:rFonts w:eastAsia="Courier New"/>
          <w:b w:val="0"/>
          <w:smallCaps/>
          <w:sz w:val="28"/>
        </w:rPr>
        <w:t>Reincke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Kaiser Karl IV, unddie deutsche Hanse,</w:t>
      </w:r>
      <w:r w:rsidRPr="00E9210E">
        <w:rPr>
          <w:rStyle w:val="Corpsdutexte28ptGraschelle120"/>
          <w:rFonts w:eastAsia="Courier New"/>
          <w:sz w:val="28"/>
        </w:rPr>
        <w:t xml:space="preserve"> </w:t>
      </w:r>
      <w:r w:rsidRPr="00E9210E">
        <w:t>Lübeck, 1931), « A.H.E.S. », t. VI (1934), pp. 183-184.</w:t>
      </w:r>
    </w:p>
    <w:p w14:paraId="5C26A24B" w14:textId="77777777" w:rsidR="00B9662D" w:rsidRPr="00E9210E" w:rsidRDefault="00B9662D" w:rsidP="00B9662D">
      <w:pPr>
        <w:spacing w:before="120" w:after="120"/>
        <w:jc w:val="both"/>
      </w:pPr>
      <w:r w:rsidRPr="00E9210E">
        <w:t>Un épisode de l’histoire humaine des rivières. (Compte rendu : L. </w:t>
      </w:r>
      <w:r w:rsidRPr="00E9210E">
        <w:rPr>
          <w:rStyle w:val="Corpsdutexte27ptGras"/>
          <w:rFonts w:eastAsia="Courier New"/>
          <w:b w:val="0"/>
          <w:smallCaps/>
          <w:sz w:val="28"/>
        </w:rPr>
        <w:t>Lacrocq</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flottage des bois sur la Vienne, le Taurion et leurs affluents,</w:t>
      </w:r>
      <w:r w:rsidRPr="00E9210E">
        <w:rPr>
          <w:rStyle w:val="Corpsdutexte28ptGraschelle120"/>
          <w:rFonts w:eastAsia="Courier New"/>
          <w:sz w:val="28"/>
        </w:rPr>
        <w:t xml:space="preserve"> </w:t>
      </w:r>
      <w:r w:rsidRPr="00E9210E">
        <w:t>Limoges, 1933), « A.H.E.S. », t. VI (1934), pp. 184-185.</w:t>
      </w:r>
    </w:p>
    <w:p w14:paraId="512D0384" w14:textId="77777777" w:rsidR="00B9662D" w:rsidRPr="00E9210E" w:rsidRDefault="00B9662D" w:rsidP="00B9662D">
      <w:pPr>
        <w:spacing w:before="120" w:after="120"/>
        <w:jc w:val="both"/>
      </w:pPr>
      <w:r w:rsidRPr="00E9210E">
        <w:t xml:space="preserve">Vieilles et nouvelles routes du Massif Central. (Comptes rendus : A. </w:t>
      </w:r>
      <w:r w:rsidRPr="00E9210E">
        <w:rPr>
          <w:rStyle w:val="Corpsdutexte27ptGras"/>
          <w:rFonts w:eastAsia="Courier New"/>
          <w:b w:val="0"/>
          <w:smallCaps/>
          <w:sz w:val="28"/>
        </w:rPr>
        <w:t>Meynier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routes entre Aurillac et Mauriac,</w:t>
      </w:r>
      <w:r w:rsidRPr="00E9210E">
        <w:rPr>
          <w:rStyle w:val="Corpsdutexte28ptGraschelle120"/>
          <w:rFonts w:eastAsia="Courier New"/>
          <w:sz w:val="28"/>
        </w:rPr>
        <w:t xml:space="preserve"> </w:t>
      </w:r>
      <w:r w:rsidRPr="00E9210E">
        <w:t xml:space="preserve">Aurillac, 1933. — F. </w:t>
      </w:r>
      <w:r w:rsidRPr="00E9210E">
        <w:rPr>
          <w:rStyle w:val="Corpsdutexte27ptGras"/>
          <w:rFonts w:eastAsia="Courier New"/>
          <w:b w:val="0"/>
          <w:smallCaps/>
          <w:sz w:val="28"/>
        </w:rPr>
        <w:t>Imberdis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Remarques sur les routes d’Auvergne antérieurement au </w:t>
      </w:r>
      <w:r w:rsidRPr="00E9210E">
        <w:rPr>
          <w:rStyle w:val="Corpsdutexte28ptItaliqueEspacement1pt"/>
          <w:rFonts w:eastAsia="Courier New"/>
          <w:sz w:val="28"/>
        </w:rPr>
        <w:t>XVIII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Soc. de Géographie,</w:t>
      </w:r>
      <w:r w:rsidRPr="00E9210E">
        <w:rPr>
          <w:rStyle w:val="Corpsdutexte28ptGraschelle120"/>
          <w:rFonts w:eastAsia="Courier New"/>
          <w:sz w:val="28"/>
        </w:rPr>
        <w:t xml:space="preserve"> </w:t>
      </w:r>
      <w:r w:rsidRPr="00E9210E">
        <w:t>1931, pp. 139-152), « A.H.E.S. », t. VI (1934), pp. 185-186.</w:t>
      </w:r>
    </w:p>
    <w:p w14:paraId="46ECCADA" w14:textId="77777777" w:rsidR="00B9662D" w:rsidRPr="00E9210E" w:rsidRDefault="00B9662D" w:rsidP="00B9662D">
      <w:pPr>
        <w:spacing w:before="120" w:after="120"/>
        <w:jc w:val="both"/>
      </w:pPr>
      <w:r w:rsidRPr="00E9210E">
        <w:t xml:space="preserve">Routes et formation nationale. (Compte rendu : A. </w:t>
      </w:r>
      <w:r w:rsidRPr="00E9210E">
        <w:rPr>
          <w:rStyle w:val="Corpsdutexte27ptGras"/>
          <w:rFonts w:eastAsia="Courier New"/>
          <w:b w:val="0"/>
          <w:smallCaps/>
          <w:sz w:val="28"/>
        </w:rPr>
        <w:t>Rostand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voies de communication dans le Clos du Cotentin sous l'Ancien Rég</w:t>
      </w:r>
      <w:r w:rsidRPr="00E9210E">
        <w:rPr>
          <w:rStyle w:val="Corpsdutexte28ptItalique"/>
          <w:rFonts w:eastAsia="Courier New"/>
          <w:sz w:val="28"/>
        </w:rPr>
        <w:t>i</w:t>
      </w:r>
      <w:r w:rsidRPr="00E9210E">
        <w:rPr>
          <w:rStyle w:val="Corpsdutexte28ptItalique"/>
          <w:rFonts w:eastAsia="Courier New"/>
          <w:sz w:val="28"/>
        </w:rPr>
        <w:t>me</w:t>
      </w:r>
      <w:r w:rsidRPr="00E9210E">
        <w:rPr>
          <w:rFonts w:eastAsia="Courier New"/>
        </w:rPr>
        <w:t>,</w:t>
      </w:r>
      <w:r w:rsidRPr="00E9210E">
        <w:t xml:space="preserve"> dans </w:t>
      </w:r>
      <w:r w:rsidRPr="00E9210E">
        <w:rPr>
          <w:rStyle w:val="Corpsdutexte28ptItalique"/>
          <w:rFonts w:eastAsia="Courier New"/>
          <w:sz w:val="28"/>
        </w:rPr>
        <w:t>Normannia,</w:t>
      </w:r>
      <w:r w:rsidRPr="00E9210E">
        <w:rPr>
          <w:rStyle w:val="Corpsdutexte28ptGraschelle120"/>
          <w:rFonts w:eastAsia="Courier New"/>
          <w:sz w:val="28"/>
        </w:rPr>
        <w:t xml:space="preserve"> </w:t>
      </w:r>
      <w:r w:rsidRPr="00E9210E">
        <w:t>t. V, 1932), « A.H.E.S. », t. VI (1934), p. 187.</w:t>
      </w:r>
    </w:p>
    <w:p w14:paraId="052ED641" w14:textId="77777777" w:rsidR="00B9662D" w:rsidRPr="00E9210E" w:rsidRDefault="00B9662D" w:rsidP="00B9662D">
      <w:pPr>
        <w:spacing w:before="120" w:after="120"/>
        <w:jc w:val="both"/>
      </w:pPr>
      <w:r w:rsidRPr="00E9210E">
        <w:t xml:space="preserve">Le problème du commerce méditerranéen </w:t>
      </w:r>
      <w:r w:rsidRPr="00E9210E">
        <w:rPr>
          <w:rStyle w:val="Corpsdutexte27ptGras"/>
          <w:rFonts w:eastAsia="Courier New"/>
          <w:sz w:val="28"/>
        </w:rPr>
        <w:t xml:space="preserve">à </w:t>
      </w:r>
      <w:r w:rsidRPr="00E9210E">
        <w:t xml:space="preserve">l’époque franque. (Compte rendu : R. </w:t>
      </w:r>
      <w:r w:rsidRPr="00E9210E">
        <w:rPr>
          <w:rStyle w:val="Corpsdutexte27ptGras"/>
          <w:rFonts w:eastAsia="Courier New"/>
          <w:b w:val="0"/>
          <w:smallCaps/>
          <w:sz w:val="28"/>
        </w:rPr>
        <w:t>Buchner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Provence in merowingischer Zeit - Verfassung-Wirtschaft-Kultur,</w:t>
      </w:r>
      <w:r w:rsidRPr="00E9210E">
        <w:rPr>
          <w:rStyle w:val="Corpsdutexte28ptGraschelle120"/>
          <w:rFonts w:eastAsia="Courier New"/>
          <w:sz w:val="28"/>
        </w:rPr>
        <w:t xml:space="preserve"> </w:t>
      </w:r>
      <w:r w:rsidRPr="00E9210E">
        <w:t>Stuttgart, 1933), « A.H.E.S. », t. VI (1934), pp. 188-189.</w:t>
      </w:r>
    </w:p>
    <w:p w14:paraId="70DE32E8" w14:textId="77777777" w:rsidR="00B9662D" w:rsidRPr="00E9210E" w:rsidRDefault="00B9662D" w:rsidP="00B9662D">
      <w:pPr>
        <w:spacing w:before="120" w:after="120"/>
        <w:jc w:val="both"/>
      </w:pPr>
      <w:r w:rsidRPr="00E9210E">
        <w:t xml:space="preserve">Le commerce des vins en France au Moyen Âge. (Compte rendu : H. van </w:t>
      </w:r>
      <w:r w:rsidRPr="00E9210E">
        <w:rPr>
          <w:rStyle w:val="Corpsdutexte27ptGras"/>
          <w:rFonts w:eastAsia="Courier New"/>
          <w:b w:val="0"/>
          <w:smallCaps/>
          <w:sz w:val="28"/>
        </w:rPr>
        <w:t>Werveke,</w:t>
      </w:r>
      <w:r w:rsidRPr="00E9210E">
        <w:rPr>
          <w:rStyle w:val="Corpsdutexte27ptGras"/>
          <w:rFonts w:eastAsia="Courier New"/>
          <w:sz w:val="28"/>
        </w:rPr>
        <w:t xml:space="preserve"> </w:t>
      </w:r>
      <w:r w:rsidRPr="00E9210E">
        <w:rPr>
          <w:rStyle w:val="Corpsdutexte28ptItalique"/>
          <w:rFonts w:eastAsia="Courier New"/>
          <w:sz w:val="28"/>
        </w:rPr>
        <w:t>Le commerce des vins français au Moyen Âge,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belge de philologie et d'histoire,</w:t>
      </w:r>
      <w:r w:rsidRPr="00E9210E">
        <w:rPr>
          <w:rStyle w:val="Corpsdutexte28ptGraschelle120"/>
          <w:rFonts w:eastAsia="Courier New"/>
          <w:sz w:val="28"/>
        </w:rPr>
        <w:t xml:space="preserve"> </w:t>
      </w:r>
      <w:r w:rsidRPr="00E9210E">
        <w:t>t. XII (1933), p. 1096-1101), « A.H.E.S. », t. VI (1934), pp. 189-190.</w:t>
      </w:r>
    </w:p>
    <w:p w14:paraId="1753F06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matière première au Moyen Âge : la pierre de taille. (Compte rendu : P. </w:t>
      </w:r>
      <w:r w:rsidRPr="00E9210E">
        <w:rPr>
          <w:rStyle w:val="Corpsdutexte37ptGrasNonItalique"/>
          <w:rFonts w:eastAsia="Courier New"/>
          <w:b w:val="0"/>
          <w:i w:val="0"/>
          <w:iCs w:val="0"/>
          <w:smallCaps/>
          <w:sz w:val="28"/>
        </w:rPr>
        <w:t>Piétresson de Saint-Aubin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fourniture de la pierre sur les grands chantiers troyens du Moyen Âge et de la Renaissance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t>Bulletin archéologique 1928-1929</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[1932]), « A.H.E.S. », t. VI (1934), p. 190.</w:t>
      </w:r>
    </w:p>
    <w:p w14:paraId="0A3B996F" w14:textId="77777777" w:rsidR="00B9662D" w:rsidRPr="00E9210E" w:rsidRDefault="00B9662D" w:rsidP="00B9662D">
      <w:pPr>
        <w:spacing w:before="120" w:after="120"/>
        <w:jc w:val="both"/>
      </w:pPr>
      <w:r w:rsidRPr="00E9210E">
        <w:rPr>
          <w:rStyle w:val="Corpsdutexte385ptNonItalique"/>
          <w:rFonts w:eastAsia="Courier New"/>
          <w:i w:val="0"/>
          <w:iCs w:val="0"/>
          <w:sz w:val="28"/>
        </w:rPr>
        <w:t>Droit commercial, vie économique, structure sociale. (Compte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 : A. E. </w:t>
      </w:r>
      <w:r w:rsidRPr="00E9210E">
        <w:rPr>
          <w:rStyle w:val="Corpsdutexte37ptGrasNonItalique"/>
          <w:rFonts w:eastAsia="Courier New"/>
          <w:b w:val="0"/>
          <w:i w:val="0"/>
          <w:iCs w:val="0"/>
          <w:smallCaps/>
          <w:sz w:val="28"/>
        </w:rPr>
        <w:t>Sayous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L'origine de la lettre de change : les procédés de crédit et de paiement dans les pays chrétiens de la Méditerranée O</w:t>
      </w:r>
      <w:r w:rsidRPr="00E9210E">
        <w:rPr>
          <w:i/>
        </w:rPr>
        <w:t>c</w:t>
      </w:r>
      <w:r w:rsidRPr="00E9210E">
        <w:rPr>
          <w:i/>
        </w:rPr>
        <w:t xml:space="preserve">cidentale entre le milieu du </w:t>
      </w:r>
      <w:r w:rsidRPr="00E9210E">
        <w:rPr>
          <w:rFonts w:eastAsia="Courier New"/>
          <w:i/>
        </w:rPr>
        <w:t>XII</w:t>
      </w:r>
      <w:r w:rsidRPr="00E9210E">
        <w:rPr>
          <w:rFonts w:eastAsia="Courier New"/>
          <w:i/>
          <w:vertAlign w:val="superscript"/>
        </w:rPr>
        <w:t>e</w:t>
      </w:r>
      <w:r w:rsidRPr="00E9210E">
        <w:rPr>
          <w:i/>
        </w:rPr>
        <w:t xml:space="preserve"> et celui du </w:t>
      </w:r>
      <w:r w:rsidRPr="00E9210E">
        <w:rPr>
          <w:rFonts w:eastAsia="Courier New"/>
          <w:i/>
        </w:rPr>
        <w:t>XIII</w:t>
      </w:r>
      <w:r w:rsidRPr="00E9210E">
        <w:rPr>
          <w:rFonts w:eastAsia="Courier New"/>
          <w:i/>
          <w:vertAlign w:val="superscript"/>
        </w:rPr>
        <w:t>e</w:t>
      </w:r>
      <w:r w:rsidRPr="00E9210E">
        <w:rPr>
          <w:rFonts w:eastAsia="Courier New"/>
        </w:rPr>
        <w:t xml:space="preserve">, </w:t>
      </w:r>
      <w:r w:rsidRPr="00E9210E">
        <w:rPr>
          <w:rStyle w:val="Corpsdutexte385ptNonItalique"/>
          <w:rFonts w:eastAsia="Courier New"/>
          <w:i w:val="0"/>
          <w:iCs w:val="0"/>
          <w:sz w:val="28"/>
        </w:rPr>
        <w:t xml:space="preserve">dans </w:t>
      </w:r>
      <w:r w:rsidRPr="00E9210E">
        <w:rPr>
          <w:i/>
        </w:rPr>
        <w:t>Revue histor</w:t>
      </w:r>
      <w:r w:rsidRPr="00E9210E">
        <w:rPr>
          <w:i/>
        </w:rPr>
        <w:t>i</w:t>
      </w:r>
      <w:r w:rsidRPr="00E9210E">
        <w:rPr>
          <w:i/>
        </w:rPr>
        <w:t>que de droit français et étranger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1933), « A.H.E.S. », t. VI (1934), pp. 190-191.</w:t>
      </w:r>
    </w:p>
    <w:p w14:paraId="2B79F943" w14:textId="77777777" w:rsidR="00B9662D" w:rsidRPr="00E9210E" w:rsidRDefault="00B9662D" w:rsidP="00B9662D">
      <w:pPr>
        <w:spacing w:before="120" w:after="120"/>
        <w:jc w:val="both"/>
      </w:pPr>
      <w:r w:rsidRPr="00E9210E">
        <w:t xml:space="preserve">Études provinciales. (Compte rendu : </w:t>
      </w:r>
      <w:r w:rsidRPr="00E9210E">
        <w:rPr>
          <w:rStyle w:val="Corpsdutexte28ptItalique"/>
          <w:rFonts w:eastAsia="Courier New"/>
          <w:sz w:val="28"/>
        </w:rPr>
        <w:t>Société des Sciences nature</w:t>
      </w:r>
      <w:r w:rsidRPr="00E9210E">
        <w:rPr>
          <w:rStyle w:val="Corpsdutexte28ptItalique"/>
          <w:rFonts w:eastAsia="Courier New"/>
          <w:sz w:val="28"/>
        </w:rPr>
        <w:t>l</w:t>
      </w:r>
      <w:r w:rsidRPr="00E9210E">
        <w:rPr>
          <w:rStyle w:val="Corpsdutexte28ptItalique"/>
          <w:rFonts w:eastAsia="Courier New"/>
          <w:sz w:val="28"/>
        </w:rPr>
        <w:t>les et archéologiques de la Creuse. Centenaire : 1832-1932,</w:t>
      </w:r>
      <w:r w:rsidRPr="00E9210E">
        <w:rPr>
          <w:rStyle w:val="Corpsdutexte28ptGraschelle120"/>
          <w:rFonts w:eastAsia="Courier New"/>
          <w:sz w:val="28"/>
        </w:rPr>
        <w:t xml:space="preserve"> </w:t>
      </w:r>
      <w:r w:rsidRPr="00E9210E">
        <w:t>Guéret, 1932), « A.H.E.S. », t. VI (1934), p. 196.</w:t>
      </w:r>
    </w:p>
    <w:p w14:paraId="015C5330" w14:textId="77777777" w:rsidR="00B9662D" w:rsidRPr="00E9210E" w:rsidRDefault="00B9662D" w:rsidP="00B9662D">
      <w:pPr>
        <w:spacing w:before="120" w:after="120"/>
        <w:jc w:val="both"/>
      </w:pPr>
      <w:r w:rsidRPr="00E9210E">
        <w:t xml:space="preserve">La Normandie sous saint Louis. (Compte rendu : J. R. </w:t>
      </w:r>
      <w:r w:rsidRPr="00E9210E">
        <w:rPr>
          <w:rStyle w:val="Corpsdutexte27ptGras"/>
          <w:rFonts w:eastAsia="Courier New"/>
          <w:b w:val="0"/>
          <w:smallCaps/>
          <w:sz w:val="28"/>
        </w:rPr>
        <w:t>Strayer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admini</w:t>
      </w:r>
      <w:r w:rsidRPr="00E9210E">
        <w:rPr>
          <w:rStyle w:val="Corpsdutexte28ptItalique"/>
          <w:rFonts w:eastAsia="Courier New"/>
          <w:sz w:val="28"/>
        </w:rPr>
        <w:t>s</w:t>
      </w:r>
      <w:r w:rsidRPr="00E9210E">
        <w:rPr>
          <w:rStyle w:val="Corpsdutexte28ptItalique"/>
          <w:rFonts w:eastAsia="Courier New"/>
          <w:sz w:val="28"/>
        </w:rPr>
        <w:t>tration of Normandy under saint Louis,</w:t>
      </w:r>
      <w:r w:rsidRPr="00E9210E">
        <w:rPr>
          <w:rStyle w:val="Corpsdutexte28ptGraschelle120"/>
          <w:rFonts w:eastAsia="Courier New"/>
          <w:sz w:val="28"/>
        </w:rPr>
        <w:t xml:space="preserve"> </w:t>
      </w:r>
      <w:r w:rsidRPr="00E9210E">
        <w:t>Cambridge, 1932), « A.H.E.S. », t. VI (1934), pp. 196-197.</w:t>
      </w:r>
    </w:p>
    <w:p w14:paraId="4DF015BA" w14:textId="77777777" w:rsidR="00B9662D" w:rsidRPr="00E9210E" w:rsidRDefault="00B9662D" w:rsidP="00B9662D">
      <w:pPr>
        <w:spacing w:before="120" w:after="120"/>
        <w:jc w:val="both"/>
      </w:pPr>
      <w:r w:rsidRPr="00E9210E">
        <w:t xml:space="preserve">Une abbaye languedocienne. (Compte rendu : P. </w:t>
      </w:r>
      <w:r w:rsidRPr="00E9210E">
        <w:rPr>
          <w:rStyle w:val="Corpsdutexte27ptGras"/>
          <w:rFonts w:eastAsia="Courier New"/>
          <w:b w:val="0"/>
          <w:smallCaps/>
          <w:sz w:val="28"/>
        </w:rPr>
        <w:t>Tisset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L'abbaye de Gellone au diocèse de Lodève des origines au </w:t>
      </w:r>
      <w:r w:rsidRPr="00E9210E">
        <w:rPr>
          <w:rStyle w:val="Corpsdutexte28ptItaliqueEspacement1pt"/>
          <w:rFonts w:eastAsia="Courier New"/>
          <w:sz w:val="28"/>
        </w:rPr>
        <w:t>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Paris, 1933), « A.H.E.S. », t. VI (1934), p. 197.</w:t>
      </w:r>
    </w:p>
    <w:p w14:paraId="0E7E70BE" w14:textId="77777777" w:rsidR="00B9662D" w:rsidRPr="00E9210E" w:rsidRDefault="00B9662D" w:rsidP="00B9662D">
      <w:pPr>
        <w:spacing w:before="120" w:after="120"/>
        <w:jc w:val="both"/>
      </w:pPr>
      <w:r w:rsidRPr="00E9210E">
        <w:t xml:space="preserve">Un gentilhomme du Dauphiné. (Compte rendu : G. de </w:t>
      </w:r>
      <w:r w:rsidRPr="00E9210E">
        <w:rPr>
          <w:rStyle w:val="Corpsdutexte27ptGras"/>
          <w:rFonts w:eastAsia="Courier New"/>
          <w:b w:val="0"/>
          <w:smallCaps/>
          <w:sz w:val="28"/>
        </w:rPr>
        <w:t>Manteyer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livre-journal tenu par Fazy de Rame en langage embrunais (6 juin 1471-10 juillet 1507).</w:t>
      </w:r>
      <w:r w:rsidRPr="00E9210E">
        <w:rPr>
          <w:rStyle w:val="Corpsdutexte28ptGraschelle120"/>
          <w:rFonts w:eastAsia="Courier New"/>
          <w:sz w:val="28"/>
        </w:rPr>
        <w:t xml:space="preserve"> </w:t>
      </w:r>
      <w:r w:rsidRPr="00E9210E">
        <w:t xml:space="preserve">T. I. </w:t>
      </w:r>
      <w:r w:rsidRPr="00E9210E">
        <w:rPr>
          <w:rStyle w:val="Corpsdutexte28ptItalique"/>
          <w:rFonts w:eastAsia="Courier New"/>
          <w:sz w:val="28"/>
        </w:rPr>
        <w:t>Introduction.</w:t>
      </w:r>
      <w:r w:rsidRPr="00E9210E">
        <w:rPr>
          <w:rStyle w:val="Corpsdutexte28ptGraschelle120"/>
          <w:rFonts w:eastAsia="Courier New"/>
          <w:sz w:val="28"/>
        </w:rPr>
        <w:t> — </w:t>
      </w:r>
      <w:r w:rsidRPr="00E9210E">
        <w:t xml:space="preserve">T. II, </w:t>
      </w:r>
      <w:r w:rsidRPr="00E9210E">
        <w:rPr>
          <w:rStyle w:val="Corpsdutexte28ptItalique"/>
          <w:rFonts w:eastAsia="Courier New"/>
          <w:sz w:val="28"/>
        </w:rPr>
        <w:t>Texte,</w:t>
      </w:r>
      <w:r w:rsidRPr="00E9210E">
        <w:rPr>
          <w:rStyle w:val="Corpsdutexte28ptGraschelle120"/>
          <w:rFonts w:eastAsia="Courier New"/>
          <w:sz w:val="28"/>
        </w:rPr>
        <w:t xml:space="preserve"> </w:t>
      </w:r>
      <w:r w:rsidRPr="00E9210E">
        <w:t>Gap, 1932), « A.H.E.S. », t. VI (1934), p. 198.</w:t>
      </w:r>
    </w:p>
    <w:p w14:paraId="23B7E4BE"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Regards sur la société provençale. (Compte rendu : R. </w:t>
      </w:r>
      <w:r w:rsidRPr="00E9210E">
        <w:rPr>
          <w:rStyle w:val="Corpsdutexte37ptGrasNonItalique"/>
          <w:rFonts w:eastAsia="Courier New"/>
          <w:b w:val="0"/>
          <w:i w:val="0"/>
          <w:iCs w:val="0"/>
          <w:smallCaps/>
          <w:sz w:val="28"/>
        </w:rPr>
        <w:t>Aubenas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Étude sur le notariat provençal au Moyen Age et sous l'Ancien Rég</w:t>
      </w:r>
      <w:r w:rsidRPr="00E9210E">
        <w:rPr>
          <w:i/>
        </w:rPr>
        <w:t>i</w:t>
      </w:r>
      <w:r w:rsidRPr="00E9210E">
        <w:rPr>
          <w:i/>
        </w:rPr>
        <w:t>me</w:t>
      </w:r>
      <w:r w:rsidRPr="00E9210E">
        <w:rPr>
          <w:rFonts w:eastAsia="Courier New"/>
        </w:rPr>
        <w:t>,</w:t>
      </w:r>
      <w:r w:rsidRPr="00E9210E">
        <w:rPr>
          <w:rStyle w:val="Corpsdutexte385ptNonItalique"/>
          <w:rFonts w:eastAsia="Courier New"/>
          <w:i w:val="0"/>
          <w:iCs w:val="0"/>
          <w:sz w:val="28"/>
        </w:rPr>
        <w:t xml:space="preserve"> Aix-en-Provence, 1931. — </w:t>
      </w:r>
      <w:r w:rsidRPr="00E9210E">
        <w:rPr>
          <w:i/>
        </w:rPr>
        <w:t>Note sur la</w:t>
      </w:r>
      <w:r w:rsidRPr="00E9210E">
        <w:rPr>
          <w:rStyle w:val="Corpsdutexte3GrasNonItaliquechelle120"/>
          <w:rFonts w:eastAsia="Courier New"/>
          <w:i w:val="0"/>
          <w:iCs w:val="0"/>
          <w:sz w:val="28"/>
        </w:rPr>
        <w:t xml:space="preserve"> « </w:t>
      </w:r>
      <w:r w:rsidRPr="00E9210E">
        <w:rPr>
          <w:i/>
        </w:rPr>
        <w:t>dedicatio personalis</w:t>
      </w:r>
      <w:r w:rsidRPr="00E9210E">
        <w:rPr>
          <w:rStyle w:val="Corpsdutexte3GrasNonItaliquechelle120"/>
          <w:rFonts w:eastAsia="Courier New"/>
          <w:i w:val="0"/>
          <w:iCs w:val="0"/>
          <w:sz w:val="28"/>
        </w:rPr>
        <w:t xml:space="preserve"> » </w:t>
      </w:r>
      <w:r w:rsidRPr="00E9210E">
        <w:rPr>
          <w:i/>
        </w:rPr>
        <w:t xml:space="preserve">au profit de laïques en Provence aux </w:t>
      </w:r>
      <w:r w:rsidRPr="00E9210E">
        <w:rPr>
          <w:rFonts w:eastAsia="Courier New"/>
          <w:i/>
        </w:rPr>
        <w:t>XV</w:t>
      </w:r>
      <w:r w:rsidRPr="00E9210E">
        <w:rPr>
          <w:rFonts w:eastAsia="Courier New"/>
          <w:i/>
          <w:vertAlign w:val="superscript"/>
        </w:rPr>
        <w:t>e</w:t>
      </w:r>
      <w:r w:rsidRPr="00E9210E">
        <w:rPr>
          <w:rFonts w:eastAsia="Courier New"/>
          <w:i/>
        </w:rPr>
        <w:t>-XVI</w:t>
      </w:r>
      <w:r w:rsidRPr="00E9210E">
        <w:rPr>
          <w:rFonts w:eastAsia="Courier New"/>
          <w:i/>
          <w:vertAlign w:val="superscript"/>
        </w:rPr>
        <w:t>e</w:t>
      </w:r>
      <w:r w:rsidRPr="00E9210E">
        <w:rPr>
          <w:i/>
        </w:rPr>
        <w:t xml:space="preserve"> siècles,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Provi</w:t>
      </w:r>
      <w:r w:rsidRPr="00E9210E">
        <w:rPr>
          <w:i/>
        </w:rPr>
        <w:t>n</w:t>
      </w:r>
      <w:r w:rsidRPr="00E9210E">
        <w:rPr>
          <w:i/>
        </w:rPr>
        <w:t>cia,</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XII (1932), pp. 30-44. — </w:t>
      </w:r>
      <w:r w:rsidRPr="00E9210E">
        <w:rPr>
          <w:i/>
        </w:rPr>
        <w:t>Le contrat d’</w:t>
      </w:r>
      <w:r w:rsidRPr="00E9210E">
        <w:rPr>
          <w:rStyle w:val="Corpsdutexte385ptNonItalique"/>
          <w:rFonts w:eastAsia="Courier New"/>
          <w:i w:val="0"/>
          <w:iCs w:val="0"/>
          <w:sz w:val="28"/>
        </w:rPr>
        <w:t>« </w:t>
      </w:r>
      <w:r w:rsidRPr="00E9210E">
        <w:rPr>
          <w:i/>
        </w:rPr>
        <w:t>affrairamentum</w:t>
      </w:r>
      <w:r w:rsidRPr="00E9210E">
        <w:rPr>
          <w:rStyle w:val="Corpsdutexte3GrasNonItaliquechelle120"/>
          <w:rFonts w:eastAsia="Courier New"/>
          <w:i w:val="0"/>
          <w:iCs w:val="0"/>
          <w:sz w:val="28"/>
        </w:rPr>
        <w:t xml:space="preserve"> » </w:t>
      </w:r>
      <w:r w:rsidRPr="00E9210E">
        <w:rPr>
          <w:i/>
        </w:rPr>
        <w:t>dans le droit provençal du Moyen Âge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w:t>
      </w:r>
      <w:r w:rsidRPr="00E9210E">
        <w:rPr>
          <w:i/>
        </w:rPr>
        <w:t>e</w:t>
      </w:r>
      <w:r w:rsidRPr="00E9210E">
        <w:rPr>
          <w:i/>
        </w:rPr>
        <w:t>vue historique de droit français et étranger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1933, pp. 478-524), « A.H.E.S. », t. VI (1934), pp. 198-200.</w:t>
      </w:r>
    </w:p>
    <w:p w14:paraId="60CF1DF2" w14:textId="77777777" w:rsidR="00B9662D" w:rsidRPr="00E9210E" w:rsidRDefault="00B9662D" w:rsidP="00B9662D">
      <w:pPr>
        <w:spacing w:before="120" w:after="120"/>
        <w:jc w:val="both"/>
      </w:pPr>
      <w:r w:rsidRPr="00E9210E">
        <w:rPr>
          <w:rFonts w:eastAsia="Courier New"/>
        </w:rPr>
        <w:t>[1066]</w:t>
      </w:r>
    </w:p>
    <w:p w14:paraId="04BCAD5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Andegaviana. (Compte rendu : V. </w:t>
      </w:r>
      <w:r w:rsidRPr="00E9210E">
        <w:rPr>
          <w:rStyle w:val="Corpsdutexte37ptGrasNonItalique"/>
          <w:rFonts w:eastAsia="Courier New"/>
          <w:b w:val="0"/>
          <w:i w:val="0"/>
          <w:iCs w:val="0"/>
          <w:sz w:val="28"/>
        </w:rPr>
        <w:t>Dauphin,</w:t>
      </w:r>
      <w:r w:rsidRPr="00E9210E">
        <w:rPr>
          <w:rStyle w:val="Corpsdutexte37ptGrasNonItalique"/>
          <w:rFonts w:eastAsia="Courier New"/>
          <w:i w:val="0"/>
          <w:iCs w:val="0"/>
          <w:sz w:val="28"/>
        </w:rPr>
        <w:t xml:space="preserve"> </w:t>
      </w:r>
      <w:r w:rsidRPr="00E9210E">
        <w:rPr>
          <w:i/>
        </w:rPr>
        <w:t>Angers il y a deux cents ans (1730) : Étude économique et sociale d’après le registre de la capitation</w:t>
      </w:r>
      <w:r w:rsidRPr="00E9210E">
        <w:rPr>
          <w:rFonts w:eastAsia="Courier New"/>
        </w:rPr>
        <w:t>,</w:t>
      </w:r>
      <w:r w:rsidRPr="00E9210E">
        <w:rPr>
          <w:rStyle w:val="Corpsdutexte385ptNonItalique"/>
          <w:rFonts w:eastAsia="Courier New"/>
          <w:i w:val="0"/>
          <w:iCs w:val="0"/>
          <w:sz w:val="28"/>
        </w:rPr>
        <w:t xml:space="preserve"> Angers, 1931), « A.H.E.S. », t. VI (1934), pp. 201-203.</w:t>
      </w:r>
    </w:p>
    <w:p w14:paraId="55530067" w14:textId="77777777" w:rsidR="00B9662D" w:rsidRPr="00E9210E" w:rsidRDefault="00B9662D" w:rsidP="00B9662D">
      <w:pPr>
        <w:spacing w:before="120" w:after="120"/>
        <w:jc w:val="both"/>
      </w:pPr>
      <w:r w:rsidRPr="00E9210E">
        <w:t>Une histoire du droit espagnol. (Compte rendu :</w:t>
      </w:r>
      <w:r w:rsidRPr="00E9210E">
        <w:rPr>
          <w:rStyle w:val="Corpsdutexte28ptGraschelle120"/>
          <w:rFonts w:eastAsia="Courier New"/>
          <w:sz w:val="28"/>
        </w:rPr>
        <w:t xml:space="preserve"> </w:t>
      </w:r>
      <w:r w:rsidRPr="00E9210E">
        <w:t xml:space="preserve">M. </w:t>
      </w:r>
      <w:r w:rsidRPr="00E9210E">
        <w:rPr>
          <w:rStyle w:val="Corpsdutexte27ptGras"/>
          <w:rFonts w:eastAsia="Courier New"/>
          <w:b w:val="0"/>
          <w:smallCaps/>
          <w:sz w:val="28"/>
        </w:rPr>
        <w:t>Torrès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w:t>
      </w:r>
      <w:r w:rsidRPr="00E9210E">
        <w:rPr>
          <w:rStyle w:val="Corpsdutexte28ptItalique"/>
          <w:rFonts w:eastAsia="Courier New"/>
          <w:sz w:val="28"/>
        </w:rPr>
        <w:t>c</w:t>
      </w:r>
      <w:r w:rsidRPr="00E9210E">
        <w:rPr>
          <w:rStyle w:val="Corpsdutexte28ptItalique"/>
          <w:rFonts w:eastAsia="Courier New"/>
          <w:sz w:val="28"/>
        </w:rPr>
        <w:t>ciones de hist</w:t>
      </w:r>
      <w:r w:rsidRPr="00E9210E">
        <w:rPr>
          <w:rStyle w:val="Corpsdutexte28ptItalique"/>
          <w:rFonts w:eastAsia="Courier New"/>
          <w:sz w:val="28"/>
        </w:rPr>
        <w:t>o</w:t>
      </w:r>
      <w:r w:rsidRPr="00E9210E">
        <w:rPr>
          <w:rStyle w:val="Corpsdutexte28ptItalique"/>
          <w:rFonts w:eastAsia="Courier New"/>
          <w:sz w:val="28"/>
        </w:rPr>
        <w:t>ria del derecho español,</w:t>
      </w:r>
      <w:r w:rsidRPr="00E9210E">
        <w:rPr>
          <w:rStyle w:val="Corpsdutexte28ptGraschelle120"/>
          <w:rFonts w:eastAsia="Courier New"/>
          <w:sz w:val="28"/>
        </w:rPr>
        <w:t xml:space="preserve"> </w:t>
      </w:r>
      <w:r w:rsidRPr="00E9210E">
        <w:t xml:space="preserve">vol. I, Salamanca, 1933),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VI (1934), pp. 203- 204.</w:t>
      </w:r>
    </w:p>
    <w:p w14:paraId="6C435DC9" w14:textId="77777777" w:rsidR="00B9662D" w:rsidRPr="00E9210E" w:rsidRDefault="00B9662D" w:rsidP="00B9662D">
      <w:pPr>
        <w:spacing w:before="120" w:after="120"/>
        <w:jc w:val="both"/>
      </w:pPr>
      <w:r w:rsidRPr="00E9210E">
        <w:t>En Aragon et Catalogne. (Compte rendu :</w:t>
      </w:r>
      <w:r w:rsidRPr="00E9210E">
        <w:rPr>
          <w:rStyle w:val="Corpsdutexte28ptGraschelle120"/>
          <w:rFonts w:eastAsia="Courier New"/>
          <w:sz w:val="28"/>
        </w:rPr>
        <w:t xml:space="preserve"> </w:t>
      </w:r>
      <w:r w:rsidRPr="00E9210E">
        <w:t xml:space="preserve">H. J. </w:t>
      </w:r>
      <w:r w:rsidRPr="00E9210E">
        <w:rPr>
          <w:rStyle w:val="Corpsdutexte27ptGras"/>
          <w:rFonts w:eastAsia="Courier New"/>
          <w:b w:val="0"/>
          <w:smallCaps/>
          <w:sz w:val="28"/>
        </w:rPr>
        <w:t>Chaytor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 hist</w:t>
      </w:r>
      <w:r w:rsidRPr="00E9210E">
        <w:rPr>
          <w:rStyle w:val="Corpsdutexte28ptItalique"/>
          <w:rFonts w:eastAsia="Courier New"/>
          <w:sz w:val="28"/>
        </w:rPr>
        <w:t>o</w:t>
      </w:r>
      <w:r w:rsidRPr="00E9210E">
        <w:rPr>
          <w:rStyle w:val="Corpsdutexte28ptItalique"/>
          <w:rFonts w:eastAsia="Courier New"/>
          <w:sz w:val="28"/>
        </w:rPr>
        <w:t>ry of Aragon and Catalonia,</w:t>
      </w:r>
      <w:r w:rsidRPr="00E9210E">
        <w:rPr>
          <w:rStyle w:val="Corpsdutexte28ptGraschelle120"/>
          <w:rFonts w:eastAsia="Courier New"/>
          <w:sz w:val="28"/>
        </w:rPr>
        <w:t xml:space="preserve"> </w:t>
      </w:r>
      <w:r w:rsidRPr="00E9210E">
        <w:t xml:space="preserve">Londres, 1933),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VI (1934), p. 204.</w:t>
      </w:r>
    </w:p>
    <w:p w14:paraId="6F71D736" w14:textId="77777777" w:rsidR="00B9662D" w:rsidRPr="00E9210E" w:rsidRDefault="00B9662D" w:rsidP="00B9662D">
      <w:pPr>
        <w:spacing w:before="120" w:after="120"/>
        <w:jc w:val="both"/>
      </w:pPr>
      <w:r w:rsidRPr="00E9210E">
        <w:t xml:space="preserve">Marchés et villes en pays léonais et castillan. (Compte rendu : L. G. de </w:t>
      </w:r>
      <w:r w:rsidRPr="00E9210E">
        <w:rPr>
          <w:rStyle w:val="Corpsdutexte27ptGras"/>
          <w:rFonts w:eastAsia="Courier New"/>
          <w:b w:val="0"/>
          <w:smallCaps/>
          <w:sz w:val="28"/>
        </w:rPr>
        <w:t>Valdeavellano</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El mercado : apuntes para su estadio en León y Castilla durante la Edad media, </w:t>
      </w:r>
      <w:r w:rsidRPr="00E9210E">
        <w:t xml:space="preserve">dans </w:t>
      </w:r>
      <w:r w:rsidRPr="00E9210E">
        <w:rPr>
          <w:rStyle w:val="Corpsdutexte28ptItalique"/>
          <w:rFonts w:eastAsia="Courier New"/>
          <w:sz w:val="28"/>
        </w:rPr>
        <w:t>Anuario de historia del derecho español</w:t>
      </w:r>
      <w:r w:rsidRPr="00E9210E">
        <w:rPr>
          <w:rStyle w:val="Corpsdutexte28ptGraschelle120"/>
          <w:rFonts w:eastAsia="Courier New"/>
          <w:sz w:val="28"/>
        </w:rPr>
        <w:t xml:space="preserve">, </w:t>
      </w:r>
      <w:r w:rsidRPr="00E9210E">
        <w:t>t. VIII (1931), pp. 201-405), « A.H.E.S. », t. VI (1934), p. 204-205.</w:t>
      </w:r>
    </w:p>
    <w:p w14:paraId="7D5A21B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Réflexions d’un historien sur quelques problèmes de toponymie. (Comptes rendus : J. </w:t>
      </w:r>
      <w:r w:rsidRPr="00E9210E">
        <w:rPr>
          <w:rStyle w:val="Corpsdutexte37ptGrasNonItalique"/>
          <w:rFonts w:eastAsia="Courier New"/>
          <w:b w:val="0"/>
          <w:i w:val="0"/>
          <w:iCs w:val="0"/>
          <w:smallCaps/>
          <w:sz w:val="28"/>
        </w:rPr>
        <w:t>Soyer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Reche</w:t>
      </w:r>
      <w:r w:rsidRPr="00E9210E">
        <w:rPr>
          <w:i/>
        </w:rPr>
        <w:t>r</w:t>
      </w:r>
      <w:r w:rsidRPr="00E9210E">
        <w:rPr>
          <w:i/>
        </w:rPr>
        <w:t>ches sur l’origine et la formation des noms de lieux du département du Loiret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 dans </w:t>
      </w:r>
      <w:r w:rsidRPr="00E9210E">
        <w:rPr>
          <w:i/>
        </w:rPr>
        <w:t>Bull, de la Soc. archéologique et historique du Loiret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XXXII, n° 231. — G. </w:t>
      </w:r>
      <w:r w:rsidRPr="00E9210E">
        <w:rPr>
          <w:rStyle w:val="Corpsdutexte37ptGrasNonItalique"/>
          <w:rFonts w:eastAsia="Courier New"/>
          <w:b w:val="0"/>
          <w:i w:val="0"/>
          <w:iCs w:val="0"/>
          <w:smallCaps/>
          <w:sz w:val="28"/>
        </w:rPr>
        <w:t>Sachs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germanischen Ortsnamen in Spanien und Portugal</w:t>
      </w:r>
      <w:r w:rsidRPr="00E9210E">
        <w:t xml:space="preserve">, </w:t>
      </w:r>
      <w:r w:rsidRPr="00E9210E">
        <w:rPr>
          <w:rStyle w:val="Corpsdutexte385ptNonItalique"/>
          <w:rFonts w:eastAsia="Courier New"/>
          <w:i w:val="0"/>
          <w:iCs w:val="0"/>
          <w:sz w:val="28"/>
        </w:rPr>
        <w:t>Iéna et Lei</w:t>
      </w:r>
      <w:r w:rsidRPr="00E9210E">
        <w:rPr>
          <w:rStyle w:val="Corpsdutexte385ptNonItalique"/>
          <w:rFonts w:eastAsia="Courier New"/>
          <w:i w:val="0"/>
          <w:iCs w:val="0"/>
          <w:sz w:val="28"/>
        </w:rPr>
        <w:t>p</w:t>
      </w:r>
      <w:r w:rsidRPr="00E9210E">
        <w:rPr>
          <w:rStyle w:val="Corpsdutexte385ptNonItalique"/>
          <w:rFonts w:eastAsia="Courier New"/>
          <w:i w:val="0"/>
          <w:iCs w:val="0"/>
          <w:sz w:val="28"/>
        </w:rPr>
        <w:t xml:space="preserve">zig, 1932. — L. </w:t>
      </w:r>
      <w:r w:rsidRPr="00E9210E">
        <w:rPr>
          <w:rStyle w:val="Corpsdutexte37ptGrasNonItalique"/>
          <w:rFonts w:eastAsia="Courier New"/>
          <w:b w:val="0"/>
          <w:i w:val="0"/>
          <w:iCs w:val="0"/>
          <w:smallCaps/>
          <w:sz w:val="28"/>
        </w:rPr>
        <w:t>Risch</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Beiträge zur romanischen Ortsnamenku</w:t>
      </w:r>
      <w:r w:rsidRPr="00E9210E">
        <w:rPr>
          <w:i/>
        </w:rPr>
        <w:t>n</w:t>
      </w:r>
      <w:r w:rsidRPr="00E9210E">
        <w:rPr>
          <w:i/>
        </w:rPr>
        <w:t>de des Oberelsass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Iéna et Leipzig, 1932. — G. </w:t>
      </w:r>
      <w:r w:rsidRPr="00E9210E">
        <w:rPr>
          <w:rStyle w:val="Corpsdutexte37ptGrasNonItalique"/>
          <w:rFonts w:eastAsia="Courier New"/>
          <w:b w:val="0"/>
          <w:i w:val="0"/>
          <w:iCs w:val="0"/>
          <w:smallCaps/>
          <w:sz w:val="28"/>
        </w:rPr>
        <w:t>Serra</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Contributo top</w:t>
      </w:r>
      <w:r w:rsidRPr="00E9210E">
        <w:rPr>
          <w:i/>
        </w:rPr>
        <w:t>o</w:t>
      </w:r>
      <w:r w:rsidRPr="00E9210E">
        <w:rPr>
          <w:i/>
        </w:rPr>
        <w:t>nomastico alla teoria délia continuità nel medioevo delle comunità rurali rom</w:t>
      </w:r>
      <w:r w:rsidRPr="00E9210E">
        <w:rPr>
          <w:i/>
        </w:rPr>
        <w:t>a</w:t>
      </w:r>
      <w:r w:rsidRPr="00E9210E">
        <w:rPr>
          <w:i/>
        </w:rPr>
        <w:t>ne e preromane dell’Italia superiore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Cluj, 1931. — F. </w:t>
      </w:r>
      <w:r w:rsidRPr="00E9210E">
        <w:rPr>
          <w:rStyle w:val="Corpsdutexte37ptGrasNonItalique"/>
          <w:rFonts w:eastAsia="Courier New"/>
          <w:b w:val="0"/>
          <w:i w:val="0"/>
          <w:iCs w:val="0"/>
          <w:sz w:val="28"/>
        </w:rPr>
        <w:t>Lot,</w:t>
      </w:r>
      <w:r w:rsidRPr="00E9210E">
        <w:rPr>
          <w:rStyle w:val="Corpsdutexte37ptGrasNonItalique"/>
          <w:rFonts w:eastAsia="Courier New"/>
          <w:i w:val="0"/>
          <w:iCs w:val="0"/>
          <w:sz w:val="28"/>
        </w:rPr>
        <w:t xml:space="preserve"> </w:t>
      </w:r>
      <w:r w:rsidRPr="00E9210E">
        <w:rPr>
          <w:i/>
        </w:rPr>
        <w:t>De l’origine et de la signification historique et linguistique des noms de lieux en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w:t>
      </w:r>
      <w:r w:rsidRPr="00E9210E">
        <w:rPr>
          <w:i/>
        </w:rPr>
        <w:t>ville et en -court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Romania</w:t>
      </w:r>
      <w:r w:rsidRPr="00E9210E">
        <w:t xml:space="preserve">, </w:t>
      </w:r>
      <w:r w:rsidRPr="00E9210E">
        <w:rPr>
          <w:rStyle w:val="Corpsdutexte385ptNonItalique"/>
          <w:rFonts w:eastAsia="Courier New"/>
          <w:i w:val="0"/>
          <w:iCs w:val="0"/>
          <w:sz w:val="28"/>
        </w:rPr>
        <w:t>t. LIX (1933), p. 199-246), « A.H.E.S. », t. VI (1934), pp. 252-260.</w:t>
      </w:r>
    </w:p>
    <w:p w14:paraId="05CD1187" w14:textId="77777777" w:rsidR="00B9662D" w:rsidRPr="00E9210E" w:rsidRDefault="00B9662D" w:rsidP="00B9662D">
      <w:pPr>
        <w:spacing w:before="120" w:after="120"/>
        <w:jc w:val="both"/>
      </w:pPr>
      <w:r w:rsidRPr="00E9210E">
        <w:t>Le témoignage des mesures agraires. (Compte rendu : Cdt H. </w:t>
      </w:r>
      <w:r w:rsidRPr="00E9210E">
        <w:rPr>
          <w:rStyle w:val="Corpsdutexte27ptGras"/>
          <w:rFonts w:eastAsia="Courier New"/>
          <w:b w:val="0"/>
          <w:smallCaps/>
          <w:sz w:val="28"/>
        </w:rPr>
        <w:t>Navel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Recherches sur les anciennes mesures agraires norma</w:t>
      </w:r>
      <w:r w:rsidRPr="00E9210E">
        <w:rPr>
          <w:rStyle w:val="Corpsdutexte28ptItalique"/>
          <w:rFonts w:eastAsia="Courier New"/>
          <w:sz w:val="28"/>
        </w:rPr>
        <w:t>n</w:t>
      </w:r>
      <w:r w:rsidRPr="00E9210E">
        <w:rPr>
          <w:rStyle w:val="Corpsdutexte28ptItalique"/>
          <w:rFonts w:eastAsia="Courier New"/>
          <w:sz w:val="28"/>
        </w:rPr>
        <w:t>des : acres, vergées et perches</w:t>
      </w:r>
      <w:r w:rsidRPr="00E9210E">
        <w:rPr>
          <w:rStyle w:val="Corpsdutexte28ptGraschelle120"/>
          <w:rFonts w:eastAsia="Courier New"/>
          <w:sz w:val="28"/>
        </w:rPr>
        <w:t xml:space="preserve">, </w:t>
      </w:r>
      <w:r w:rsidRPr="00E9210E">
        <w:t>Caen, 1932), « A.H.E.S. », t. VI (1934), pp. 280-282.</w:t>
      </w:r>
    </w:p>
    <w:p w14:paraId="27260EA2" w14:textId="77777777" w:rsidR="00B9662D" w:rsidRPr="00E9210E" w:rsidRDefault="00B9662D" w:rsidP="00B9662D">
      <w:pPr>
        <w:spacing w:before="120" w:after="120"/>
        <w:jc w:val="both"/>
      </w:pPr>
      <w:r w:rsidRPr="00E9210E">
        <w:t>Encore les cartes de frontières. (Compte rendu :</w:t>
      </w:r>
      <w:r w:rsidRPr="00E9210E">
        <w:rPr>
          <w:rStyle w:val="Corpsdutexte28ptGraschelle120"/>
          <w:rFonts w:eastAsia="Courier New"/>
          <w:sz w:val="28"/>
        </w:rPr>
        <w:t xml:space="preserve"> </w:t>
      </w:r>
      <w:r w:rsidRPr="00E9210E">
        <w:rPr>
          <w:rStyle w:val="Corpsdutexte28ptItalique"/>
          <w:rFonts w:eastAsia="Courier New"/>
          <w:sz w:val="28"/>
        </w:rPr>
        <w:t>Atlas de géogr</w:t>
      </w:r>
      <w:r w:rsidRPr="00E9210E">
        <w:rPr>
          <w:rStyle w:val="Corpsdutexte28ptItalique"/>
          <w:rFonts w:eastAsia="Courier New"/>
          <w:sz w:val="28"/>
        </w:rPr>
        <w:t>a</w:t>
      </w:r>
      <w:r w:rsidRPr="00E9210E">
        <w:rPr>
          <w:rStyle w:val="Corpsdutexte28ptItalique"/>
          <w:rFonts w:eastAsia="Courier New"/>
          <w:sz w:val="28"/>
        </w:rPr>
        <w:t>phie historique de la Belgique, sous la direction de L. van der Essen, carte III</w:t>
      </w:r>
      <w:r w:rsidRPr="00E9210E">
        <w:rPr>
          <w:rStyle w:val="Corpsdutexte28ptGraschelle120"/>
          <w:rFonts w:eastAsia="Courier New"/>
          <w:sz w:val="28"/>
        </w:rPr>
        <w:t xml:space="preserve">, </w:t>
      </w:r>
      <w:r w:rsidRPr="00E9210E">
        <w:t>Bruxelles et Paris, 1932), « A.H.E.S. », t. VI (1934), pp. 290-291.</w:t>
      </w:r>
    </w:p>
    <w:p w14:paraId="7A0C253B" w14:textId="77777777" w:rsidR="00B9662D" w:rsidRPr="00E9210E" w:rsidRDefault="00B9662D" w:rsidP="00B9662D">
      <w:pPr>
        <w:spacing w:before="120" w:after="120"/>
        <w:jc w:val="both"/>
      </w:pPr>
      <w:r w:rsidRPr="00E9210E">
        <w:t>Les saints des églises. (Compte rendu :</w:t>
      </w:r>
      <w:r w:rsidRPr="00E9210E">
        <w:rPr>
          <w:rStyle w:val="Corpsdutexte28ptGraschelle120"/>
          <w:rFonts w:eastAsia="Courier New"/>
          <w:sz w:val="28"/>
        </w:rPr>
        <w:t xml:space="preserve"> </w:t>
      </w:r>
      <w:r w:rsidRPr="00E9210E">
        <w:t xml:space="preserve">G. </w:t>
      </w:r>
      <w:r w:rsidRPr="00E9210E">
        <w:rPr>
          <w:rStyle w:val="Corpsdutexte27ptGras"/>
          <w:rFonts w:eastAsia="Courier New"/>
          <w:b w:val="0"/>
          <w:smallCaps/>
          <w:sz w:val="28"/>
        </w:rPr>
        <w:t>Hoffmann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Kirchenhe</w:t>
      </w:r>
      <w:r w:rsidRPr="00E9210E">
        <w:rPr>
          <w:rStyle w:val="Corpsdutexte28ptItalique"/>
          <w:rFonts w:eastAsia="Courier New"/>
          <w:sz w:val="28"/>
        </w:rPr>
        <w:t>i</w:t>
      </w:r>
      <w:r w:rsidRPr="00E9210E">
        <w:rPr>
          <w:rStyle w:val="Corpsdutexte28ptItalique"/>
          <w:rFonts w:eastAsia="Courier New"/>
          <w:sz w:val="28"/>
        </w:rPr>
        <w:t xml:space="preserve">lige in Würtenberg, </w:t>
      </w:r>
      <w:r w:rsidRPr="00E9210E">
        <w:t>Stuttgart, 1932), « A.H.E.S. », t. VI (1934), p. 292.</w:t>
      </w:r>
    </w:p>
    <w:p w14:paraId="3EFD341B" w14:textId="77777777" w:rsidR="00B9662D" w:rsidRPr="00E9210E" w:rsidRDefault="00B9662D" w:rsidP="00B9662D">
      <w:pPr>
        <w:spacing w:before="120" w:after="120"/>
        <w:jc w:val="both"/>
      </w:pPr>
      <w:r w:rsidRPr="00E9210E">
        <w:rPr>
          <w:rStyle w:val="Corpsdutexte385ptNonItalique"/>
          <w:rFonts w:eastAsia="Courier New"/>
          <w:i w:val="0"/>
          <w:iCs w:val="0"/>
          <w:sz w:val="28"/>
        </w:rPr>
        <w:t>Juridiction commerciale et faillites. (Compte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J. </w:t>
      </w:r>
      <w:r w:rsidRPr="00E9210E">
        <w:rPr>
          <w:rStyle w:val="Corpsdutexte37ptGrasNonItalique"/>
          <w:rFonts w:eastAsia="Courier New"/>
          <w:b w:val="0"/>
          <w:i w:val="0"/>
          <w:iCs w:val="0"/>
          <w:smallCaps/>
          <w:sz w:val="28"/>
        </w:rPr>
        <w:t>Levron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Archives départementales de Maine-et-Loire. Répertoire numérique de la série VI B : Juridi</w:t>
      </w:r>
      <w:r w:rsidRPr="00E9210E">
        <w:rPr>
          <w:i/>
        </w:rPr>
        <w:t>c</w:t>
      </w:r>
      <w:r w:rsidRPr="00E9210E">
        <w:rPr>
          <w:i/>
        </w:rPr>
        <w:t>tion consulaire d’Angers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Angers, 1933),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A.H.E.S.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VI (1934), pp. 296-297.</w:t>
      </w:r>
    </w:p>
    <w:p w14:paraId="12C4CA66" w14:textId="77777777" w:rsidR="00B9662D" w:rsidRPr="00E9210E" w:rsidRDefault="00B9662D" w:rsidP="00B9662D">
      <w:pPr>
        <w:spacing w:before="120" w:after="120"/>
        <w:jc w:val="both"/>
      </w:pPr>
      <w:r w:rsidRPr="00E9210E">
        <w:t>Le monde politique selon Dante. (Compte rendu :</w:t>
      </w:r>
      <w:r w:rsidRPr="00E9210E">
        <w:rPr>
          <w:rStyle w:val="Corpsdutexte28ptGraschelle120"/>
          <w:rFonts w:eastAsia="Courier New"/>
          <w:sz w:val="28"/>
        </w:rPr>
        <w:t xml:space="preserve"> </w:t>
      </w:r>
      <w:r w:rsidRPr="00E9210E">
        <w:rPr>
          <w:rStyle w:val="Corpsdutexte28ptItalique"/>
          <w:rFonts w:eastAsia="Courier New"/>
          <w:sz w:val="28"/>
        </w:rPr>
        <w:t>Dante, De la Monarchie. I</w:t>
      </w:r>
      <w:r w:rsidRPr="00E9210E">
        <w:rPr>
          <w:rStyle w:val="Corpsdutexte28ptItalique"/>
          <w:rFonts w:eastAsia="Courier New"/>
          <w:sz w:val="28"/>
        </w:rPr>
        <w:t>n</w:t>
      </w:r>
      <w:r w:rsidRPr="00E9210E">
        <w:rPr>
          <w:rStyle w:val="Corpsdutexte28ptItalique"/>
          <w:rFonts w:eastAsia="Courier New"/>
          <w:sz w:val="28"/>
        </w:rPr>
        <w:t>troduction et traduction de B. Landry,</w:t>
      </w:r>
      <w:r w:rsidRPr="00E9210E">
        <w:rPr>
          <w:rStyle w:val="Corpsdutexte28ptGraschelle120"/>
          <w:rFonts w:eastAsia="Courier New"/>
          <w:sz w:val="28"/>
        </w:rPr>
        <w:t xml:space="preserve"> </w:t>
      </w:r>
      <w:r w:rsidRPr="00E9210E">
        <w:t xml:space="preserve">Paris, 1933),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VI (1934), p. 301.</w:t>
      </w:r>
    </w:p>
    <w:p w14:paraId="229575AF" w14:textId="77777777" w:rsidR="00B9662D" w:rsidRPr="00E9210E" w:rsidRDefault="00B9662D" w:rsidP="00B9662D">
      <w:pPr>
        <w:spacing w:before="120" w:after="120"/>
        <w:jc w:val="both"/>
      </w:pPr>
      <w:r w:rsidRPr="00E9210E">
        <w:t>La France au XIII</w:t>
      </w:r>
      <w:r w:rsidRPr="00E9210E">
        <w:rPr>
          <w:rStyle w:val="Corpsdutexte27ptGras"/>
          <w:rFonts w:eastAsia="Courier New"/>
          <w:b w:val="0"/>
          <w:sz w:val="28"/>
          <w:vertAlign w:val="superscript"/>
        </w:rPr>
        <w:t>e</w:t>
      </w:r>
      <w:r w:rsidRPr="00E9210E">
        <w:rPr>
          <w:rStyle w:val="Corpsdutexte27ptGras"/>
          <w:rFonts w:eastAsia="Courier New"/>
          <w:sz w:val="28"/>
        </w:rPr>
        <w:t xml:space="preserve"> </w:t>
      </w:r>
      <w:r w:rsidRPr="00E9210E">
        <w:t>siècle. (Compte rendu :</w:t>
      </w:r>
      <w:r w:rsidRPr="00E9210E">
        <w:rPr>
          <w:rStyle w:val="Corpsdutexte28ptGraschelle120"/>
          <w:rFonts w:eastAsia="Courier New"/>
          <w:sz w:val="28"/>
        </w:rPr>
        <w:t xml:space="preserve"> </w:t>
      </w:r>
      <w:r w:rsidRPr="00E9210E">
        <w:t xml:space="preserve">W. </w:t>
      </w:r>
      <w:r w:rsidRPr="00E9210E">
        <w:rPr>
          <w:rStyle w:val="Corpsdutexte27ptGras"/>
          <w:rFonts w:eastAsia="Courier New"/>
          <w:b w:val="0"/>
          <w:smallCaps/>
          <w:sz w:val="28"/>
        </w:rPr>
        <w:t>Kienast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Der fra</w:t>
      </w:r>
      <w:r w:rsidRPr="00E9210E">
        <w:rPr>
          <w:rStyle w:val="Corpsdutexte28ptItalique"/>
          <w:rFonts w:eastAsia="Courier New"/>
          <w:sz w:val="28"/>
        </w:rPr>
        <w:t>n</w:t>
      </w:r>
      <w:r w:rsidRPr="00E9210E">
        <w:rPr>
          <w:rStyle w:val="Corpsdutexte28ptItalique"/>
          <w:rFonts w:eastAsia="Courier New"/>
          <w:sz w:val="28"/>
        </w:rPr>
        <w:t>zösische Staat im dreizehnten Jahrhundert,</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Historische Zeit</w:t>
      </w:r>
      <w:r w:rsidRPr="00E9210E">
        <w:rPr>
          <w:rStyle w:val="Corpsdutexte28ptItalique"/>
          <w:rFonts w:eastAsia="Courier New"/>
          <w:sz w:val="28"/>
        </w:rPr>
        <w:t>s</w:t>
      </w:r>
      <w:r w:rsidRPr="00E9210E">
        <w:rPr>
          <w:rStyle w:val="Corpsdutexte28ptItalique"/>
          <w:rFonts w:eastAsia="Courier New"/>
          <w:sz w:val="28"/>
        </w:rPr>
        <w:t>chrift,</w:t>
      </w:r>
      <w:r w:rsidRPr="00E9210E">
        <w:rPr>
          <w:rStyle w:val="Corpsdutexte28ptGraschelle120"/>
          <w:rFonts w:eastAsia="Courier New"/>
          <w:sz w:val="28"/>
        </w:rPr>
        <w:t xml:space="preserve"> </w:t>
      </w:r>
      <w:r w:rsidRPr="00E9210E">
        <w:t>t. CXLVIII (1933), pp. 457-519), « A.H.E.S. », t. VI (1934), p. 307.</w:t>
      </w:r>
    </w:p>
    <w:p w14:paraId="5AD0911D" w14:textId="77777777" w:rsidR="00B9662D" w:rsidRPr="00E9210E" w:rsidRDefault="00B9662D" w:rsidP="00B9662D">
      <w:pPr>
        <w:spacing w:before="120" w:after="120"/>
        <w:jc w:val="both"/>
      </w:pPr>
      <w:r w:rsidRPr="00E9210E">
        <w:t>Les ressources financières de la monarchie française sous Philippe-Auguste. (Compte rendu :</w:t>
      </w:r>
      <w:r w:rsidRPr="00E9210E">
        <w:rPr>
          <w:rStyle w:val="Corpsdutexte28ptGraschelle120"/>
          <w:rFonts w:eastAsia="Courier New"/>
          <w:sz w:val="28"/>
        </w:rPr>
        <w:t xml:space="preserve"> </w:t>
      </w:r>
      <w:r w:rsidRPr="00E9210E">
        <w:t xml:space="preserve">F. </w:t>
      </w:r>
      <w:r w:rsidRPr="00E9210E">
        <w:rPr>
          <w:rStyle w:val="Corpsdutexte27ptGras"/>
          <w:rFonts w:eastAsia="Courier New"/>
          <w:b w:val="0"/>
          <w:smallCaps/>
          <w:sz w:val="28"/>
        </w:rPr>
        <w:t>Lot</w:t>
      </w:r>
      <w:r w:rsidRPr="00E9210E">
        <w:rPr>
          <w:rStyle w:val="Corpsdutexte27ptGras"/>
          <w:rFonts w:eastAsia="Courier New"/>
          <w:sz w:val="28"/>
        </w:rPr>
        <w:t xml:space="preserve"> </w:t>
      </w:r>
      <w:r w:rsidRPr="00E9210E">
        <w:t xml:space="preserve">et R. </w:t>
      </w:r>
      <w:r w:rsidRPr="00E9210E">
        <w:rPr>
          <w:rStyle w:val="Corpsdutexte27ptGras"/>
          <w:rFonts w:eastAsia="Courier New"/>
          <w:b w:val="0"/>
          <w:smallCaps/>
          <w:sz w:val="28"/>
        </w:rPr>
        <w:t>Fawtier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premier budget de la monarchie française : le compte général de 1202-1203,</w:t>
      </w:r>
      <w:r w:rsidRPr="00E9210E">
        <w:rPr>
          <w:rStyle w:val="Corpsdutexte28ptGraschelle120"/>
          <w:rFonts w:eastAsia="Courier New"/>
          <w:sz w:val="28"/>
        </w:rPr>
        <w:t xml:space="preserve"> </w:t>
      </w:r>
      <w:r w:rsidRPr="00E9210E">
        <w:t xml:space="preserve">Paris, 1932),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VI (1934), p. 308.</w:t>
      </w:r>
    </w:p>
    <w:p w14:paraId="0E5BFDE0" w14:textId="77777777" w:rsidR="00B9662D" w:rsidRPr="00E9210E" w:rsidRDefault="00B9662D" w:rsidP="00B9662D">
      <w:pPr>
        <w:spacing w:before="120" w:after="120"/>
        <w:jc w:val="both"/>
      </w:pPr>
      <w:r w:rsidRPr="00E9210E">
        <w:t xml:space="preserve">Les Juifs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Paris au XVIII</w:t>
      </w:r>
      <w:r w:rsidRPr="00E9210E">
        <w:rPr>
          <w:vertAlign w:val="superscript"/>
        </w:rPr>
        <w:t>e</w:t>
      </w:r>
      <w:r w:rsidRPr="00E9210E">
        <w:t xml:space="preserve"> siècle. (Compte rendu : R. </w:t>
      </w:r>
      <w:r w:rsidRPr="00E9210E">
        <w:rPr>
          <w:rStyle w:val="Corpsdutexte27ptGras"/>
          <w:rFonts w:eastAsia="Courier New"/>
          <w:b w:val="0"/>
          <w:smallCaps/>
          <w:sz w:val="28"/>
        </w:rPr>
        <w:t>Anchel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Les </w:t>
      </w:r>
      <w:r w:rsidRPr="00E9210E">
        <w:rPr>
          <w:rStyle w:val="Corpsdutexte28ptItaliqueEspacement1pt"/>
          <w:rFonts w:eastAsia="Courier New"/>
          <w:sz w:val="28"/>
        </w:rPr>
        <w:t>Juifs</w:t>
      </w:r>
      <w:r w:rsidRPr="00E9210E">
        <w:rPr>
          <w:rStyle w:val="Corpsdutexte28ptItalique"/>
          <w:rFonts w:eastAsia="Courier New"/>
          <w:sz w:val="28"/>
        </w:rPr>
        <w:t xml:space="preserve"> à Paris au </w:t>
      </w:r>
      <w:r w:rsidRPr="00E9210E">
        <w:rPr>
          <w:rStyle w:val="Corpsdutexte28ptItaliqueEspacement1pt"/>
          <w:rFonts w:eastAsia="Courier New"/>
          <w:sz w:val="28"/>
        </w:rPr>
        <w:t>XVIII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 xml:space="preserve">Bull, de la Soc. de l’histoire de Paris et de l’Ile-de-France, </w:t>
      </w:r>
      <w:r w:rsidRPr="00E9210E">
        <w:t>t. LIX, 1932, pp. 9-23), « A.H.E.S. », t. VI (1934), pp. 309-310.</w:t>
      </w:r>
    </w:p>
    <w:p w14:paraId="7A2722E8" w14:textId="77777777" w:rsidR="00B9662D" w:rsidRPr="00E9210E" w:rsidRDefault="00B9662D" w:rsidP="00B9662D">
      <w:pPr>
        <w:spacing w:before="120" w:after="120"/>
        <w:jc w:val="both"/>
      </w:pPr>
      <w:r w:rsidRPr="00E9210E">
        <w:t>La vie d’un droit. (Compte rendu :</w:t>
      </w:r>
      <w:r w:rsidRPr="00E9210E">
        <w:rPr>
          <w:rStyle w:val="Corpsdutexte28ptGraschelle120"/>
          <w:rFonts w:eastAsia="Courier New"/>
          <w:sz w:val="28"/>
        </w:rPr>
        <w:t xml:space="preserve"> </w:t>
      </w:r>
      <w:r w:rsidRPr="00E9210E">
        <w:t xml:space="preserve">C. H. S. </w:t>
      </w:r>
      <w:r w:rsidRPr="00E9210E">
        <w:rPr>
          <w:rStyle w:val="Corpsdutexte27ptGras"/>
          <w:rFonts w:eastAsia="Courier New"/>
          <w:b w:val="0"/>
          <w:smallCaps/>
          <w:sz w:val="28"/>
        </w:rPr>
        <w:t>Fifoot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English Law and its background, </w:t>
      </w:r>
      <w:r w:rsidRPr="00E9210E">
        <w:t>Londres, 1932), « A.H.E.S. », t. VI (1934), pp. 312-313.</w:t>
      </w:r>
    </w:p>
    <w:p w14:paraId="4A7328C0" w14:textId="77777777" w:rsidR="00B9662D" w:rsidRPr="00E9210E" w:rsidRDefault="00B9662D" w:rsidP="00B9662D">
      <w:pPr>
        <w:spacing w:before="120" w:after="120"/>
        <w:jc w:val="both"/>
      </w:pPr>
      <w:r w:rsidRPr="00E9210E">
        <w:t>Les grands coutumiers anglais. (Compte rendu :</w:t>
      </w:r>
      <w:r w:rsidRPr="00E9210E">
        <w:rPr>
          <w:rStyle w:val="Corpsdutexte28ptGraschelle120"/>
          <w:rFonts w:eastAsia="Courier New"/>
          <w:sz w:val="28"/>
        </w:rPr>
        <w:t xml:space="preserve"> </w:t>
      </w:r>
      <w:r w:rsidRPr="00E9210E">
        <w:rPr>
          <w:rStyle w:val="Corpsdutexte28ptItalique"/>
          <w:rFonts w:eastAsia="Courier New"/>
          <w:sz w:val="28"/>
        </w:rPr>
        <w:t>Glanvill. De leg</w:t>
      </w:r>
      <w:r w:rsidRPr="00E9210E">
        <w:rPr>
          <w:rStyle w:val="Corpsdutexte28ptItalique"/>
          <w:rFonts w:eastAsia="Courier New"/>
          <w:sz w:val="28"/>
        </w:rPr>
        <w:t>i</w:t>
      </w:r>
      <w:r w:rsidRPr="00E9210E">
        <w:rPr>
          <w:rStyle w:val="Corpsdutexte28ptItalique"/>
          <w:rFonts w:eastAsia="Courier New"/>
          <w:sz w:val="28"/>
        </w:rPr>
        <w:t>bus et consuet</w:t>
      </w:r>
      <w:r w:rsidRPr="00E9210E">
        <w:rPr>
          <w:rStyle w:val="Corpsdutexte28ptItalique"/>
          <w:rFonts w:eastAsia="Courier New"/>
          <w:sz w:val="28"/>
        </w:rPr>
        <w:t>u</w:t>
      </w:r>
      <w:r w:rsidRPr="00E9210E">
        <w:rPr>
          <w:rStyle w:val="Corpsdutexte28ptItalique"/>
          <w:rFonts w:eastAsia="Courier New"/>
          <w:sz w:val="28"/>
        </w:rPr>
        <w:t>dinibus Angliae, edited by George E. Woodbine,</w:t>
      </w:r>
      <w:r w:rsidRPr="00E9210E">
        <w:rPr>
          <w:rStyle w:val="Corpsdutexte28ptGraschelle120"/>
          <w:rFonts w:eastAsia="Courier New"/>
          <w:sz w:val="28"/>
        </w:rPr>
        <w:t xml:space="preserve"> </w:t>
      </w:r>
      <w:r w:rsidRPr="00E9210E">
        <w:t xml:space="preserve">New Haven, 1932), </w:t>
      </w:r>
      <w:r w:rsidRPr="00E9210E">
        <w:rPr>
          <w:rStyle w:val="Corpsdutexte28ptGraschelle120"/>
          <w:rFonts w:eastAsia="Courier New"/>
          <w:sz w:val="28"/>
        </w:rPr>
        <w:t>« </w:t>
      </w:r>
      <w:r w:rsidRPr="00E9210E">
        <w:t>A.H.E.S. »</w:t>
      </w:r>
      <w:r w:rsidRPr="00E9210E">
        <w:rPr>
          <w:rStyle w:val="Corpsdutexte28ptGraschelle120"/>
          <w:rFonts w:eastAsia="Courier New"/>
          <w:sz w:val="28"/>
        </w:rPr>
        <w:t xml:space="preserve">, </w:t>
      </w:r>
      <w:r w:rsidRPr="00E9210E">
        <w:t>t. VI (1934), p. 313.</w:t>
      </w:r>
    </w:p>
    <w:p w14:paraId="3EEF1B00" w14:textId="77777777" w:rsidR="00B9662D" w:rsidRPr="00E9210E" w:rsidRDefault="00B9662D" w:rsidP="00B9662D">
      <w:pPr>
        <w:spacing w:before="120" w:after="120"/>
        <w:jc w:val="both"/>
      </w:pPr>
      <w:r w:rsidRPr="00E9210E">
        <w:t>[1067]</w:t>
      </w:r>
    </w:p>
    <w:p w14:paraId="75EBB340" w14:textId="77777777" w:rsidR="00B9662D" w:rsidRPr="00E9210E" w:rsidRDefault="00B9662D" w:rsidP="00B9662D">
      <w:pPr>
        <w:spacing w:before="120" w:after="120"/>
        <w:jc w:val="both"/>
      </w:pPr>
      <w:r w:rsidRPr="00E9210E">
        <w:t xml:space="preserve">La vie d’un baron. (Compte rendu : S. </w:t>
      </w:r>
      <w:r w:rsidRPr="00E9210E">
        <w:rPr>
          <w:rStyle w:val="Corpsdutexte27ptGras"/>
          <w:rFonts w:eastAsia="Courier New"/>
          <w:b w:val="0"/>
          <w:smallCaps/>
          <w:sz w:val="28"/>
        </w:rPr>
        <w:t>Painter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William Marshal, knight-errant baron and regent of England</w:t>
      </w:r>
      <w:r w:rsidRPr="00E9210E">
        <w:rPr>
          <w:rFonts w:eastAsia="Courier New"/>
        </w:rPr>
        <w:t>,</w:t>
      </w:r>
      <w:r w:rsidRPr="00E9210E">
        <w:t xml:space="preserve"> Baltimore, 1933), « A.H.E.S. », t. VI (1934), pp. 313-314.</w:t>
      </w:r>
    </w:p>
    <w:p w14:paraId="6E489FC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Sur </w:t>
      </w:r>
      <w:r w:rsidRPr="00E9210E">
        <w:rPr>
          <w:rStyle w:val="Corpsdutexte39ptNonItalique"/>
          <w:rFonts w:eastAsia="Courier New"/>
          <w:i w:val="0"/>
          <w:iCs w:val="0"/>
          <w:sz w:val="28"/>
          <w:lang w:val="fr-CA"/>
        </w:rPr>
        <w:t xml:space="preserve">l’histoire de la société anglaise. </w:t>
      </w:r>
      <w:r w:rsidRPr="00E9210E">
        <w:rPr>
          <w:rStyle w:val="Corpsdutexte3GrasNonItaliquechelle120"/>
          <w:rFonts w:eastAsia="Courier New"/>
          <w:i w:val="0"/>
          <w:iCs w:val="0"/>
          <w:sz w:val="28"/>
        </w:rPr>
        <w:t>(</w:t>
      </w:r>
      <w:r w:rsidRPr="00E9210E">
        <w:rPr>
          <w:i/>
        </w:rPr>
        <w:t>Historical essays in honour of James Tait</w:t>
      </w:r>
      <w:r w:rsidRPr="00E9210E">
        <w:t xml:space="preserve">, edited by J. </w:t>
      </w:r>
      <w:r w:rsidRPr="00E9210E">
        <w:rPr>
          <w:rFonts w:eastAsia="Courier New"/>
        </w:rPr>
        <w:t xml:space="preserve">G. </w:t>
      </w:r>
      <w:r w:rsidRPr="00E9210E">
        <w:rPr>
          <w:smallCaps/>
        </w:rPr>
        <w:t>Edwards</w:t>
      </w:r>
      <w:r w:rsidRPr="00E9210E">
        <w:t xml:space="preserve">, W. H. </w:t>
      </w:r>
      <w:r w:rsidRPr="00E9210E">
        <w:rPr>
          <w:smallCaps/>
        </w:rPr>
        <w:t>Galbraith</w:t>
      </w:r>
      <w:r w:rsidRPr="00E9210E">
        <w:t xml:space="preserve">, E. F. </w:t>
      </w:r>
      <w:r w:rsidRPr="00E9210E">
        <w:rPr>
          <w:smallCaps/>
        </w:rPr>
        <w:t>J</w:t>
      </w:r>
      <w:r w:rsidRPr="00E9210E">
        <w:rPr>
          <w:smallCaps/>
        </w:rPr>
        <w:t>a</w:t>
      </w:r>
      <w:r w:rsidRPr="00E9210E">
        <w:rPr>
          <w:smallCaps/>
        </w:rPr>
        <w:t>cob</w:t>
      </w:r>
      <w:r w:rsidRPr="00E9210E">
        <w:rPr>
          <w:rStyle w:val="Corpsdutexte3GrasNonItaliquechelle120"/>
          <w:rFonts w:eastAsia="Courier New"/>
          <w:i w:val="0"/>
          <w:iCs w:val="0"/>
          <w:sz w:val="28"/>
        </w:rPr>
        <w:t xml:space="preserve">, </w:t>
      </w:r>
      <w:r w:rsidRPr="00E9210E">
        <w:rPr>
          <w:rStyle w:val="Corpsdutexte39ptNonItalique"/>
          <w:rFonts w:eastAsia="Courier New"/>
          <w:i w:val="0"/>
          <w:iCs w:val="0"/>
          <w:sz w:val="28"/>
          <w:lang w:val="fr-CA"/>
        </w:rPr>
        <w:t xml:space="preserve">Manschester), </w:t>
      </w:r>
      <w:r w:rsidRPr="00E9210E">
        <w:rPr>
          <w:rStyle w:val="Corpsdutexte385ptNonItalique"/>
          <w:rFonts w:eastAsia="Courier New"/>
          <w:i w:val="0"/>
          <w:iCs w:val="0"/>
          <w:sz w:val="28"/>
        </w:rPr>
        <w:t>« A.H.E.S. », t. VI (1934), pp. 314-315.</w:t>
      </w:r>
    </w:p>
    <w:p w14:paraId="7327578F" w14:textId="77777777" w:rsidR="00B9662D" w:rsidRPr="00E9210E" w:rsidRDefault="00B9662D" w:rsidP="00B9662D">
      <w:pPr>
        <w:spacing w:before="120" w:after="120"/>
        <w:jc w:val="both"/>
      </w:pPr>
      <w:r w:rsidRPr="00E9210E">
        <w:t xml:space="preserve">Londres, les rois et les marchands. (Compte rendu : M. </w:t>
      </w:r>
      <w:r w:rsidRPr="00E9210E">
        <w:rPr>
          <w:smallCaps/>
        </w:rPr>
        <w:t>Wei</w:t>
      </w:r>
      <w:r w:rsidRPr="00E9210E">
        <w:rPr>
          <w:smallCaps/>
        </w:rPr>
        <w:t>n</w:t>
      </w:r>
      <w:r w:rsidRPr="00E9210E">
        <w:rPr>
          <w:smallCaps/>
        </w:rPr>
        <w:t>baum</w:t>
      </w:r>
      <w:r w:rsidRPr="00E9210E">
        <w:t xml:space="preserve">, </w:t>
      </w:r>
      <w:r w:rsidRPr="00E9210E">
        <w:rPr>
          <w:rFonts w:eastAsia="Courier New"/>
          <w:i/>
        </w:rPr>
        <w:t>London tinter Eduard I. and II</w:t>
      </w:r>
      <w:r w:rsidRPr="00E9210E">
        <w:rPr>
          <w:rFonts w:eastAsia="Courier New"/>
        </w:rPr>
        <w:t>,</w:t>
      </w:r>
      <w:r w:rsidRPr="00E9210E">
        <w:t xml:space="preserve"> Stuttgart, 1933), « A.H.E.S. », t. VI (1934), pp. 315-316.</w:t>
      </w:r>
    </w:p>
    <w:p w14:paraId="4756EBEE" w14:textId="77777777" w:rsidR="00B9662D" w:rsidRPr="00E9210E" w:rsidRDefault="00B9662D" w:rsidP="00B9662D">
      <w:pPr>
        <w:spacing w:before="120" w:after="120"/>
        <w:jc w:val="both"/>
      </w:pPr>
      <w:r w:rsidRPr="00E9210E">
        <w:t xml:space="preserve">Études sur le commerce anglais au </w:t>
      </w:r>
      <w:r w:rsidRPr="00E9210E">
        <w:rPr>
          <w:rStyle w:val="Corpsdutexte27ptGras"/>
          <w:rFonts w:eastAsia="Courier New"/>
          <w:b w:val="0"/>
          <w:sz w:val="28"/>
        </w:rPr>
        <w:t>XV</w:t>
      </w:r>
      <w:r w:rsidRPr="00E9210E">
        <w:rPr>
          <w:rStyle w:val="Corpsdutexte27ptGras"/>
          <w:rFonts w:eastAsia="Courier New"/>
          <w:b w:val="0"/>
          <w:sz w:val="28"/>
          <w:vertAlign w:val="superscript"/>
        </w:rPr>
        <w:t>e</w:t>
      </w:r>
      <w:r w:rsidRPr="00E9210E">
        <w:rPr>
          <w:rStyle w:val="Corpsdutexte27ptGras"/>
          <w:rFonts w:eastAsia="Courier New"/>
          <w:sz w:val="28"/>
        </w:rPr>
        <w:t xml:space="preserve"> </w:t>
      </w:r>
      <w:r w:rsidRPr="00E9210E">
        <w:t>siècle. (Compte rendu : E. </w:t>
      </w:r>
      <w:r w:rsidRPr="00E9210E">
        <w:rPr>
          <w:rStyle w:val="Corpsdutexte27ptGras"/>
          <w:rFonts w:eastAsia="Courier New"/>
          <w:b w:val="0"/>
          <w:smallCaps/>
          <w:sz w:val="28"/>
        </w:rPr>
        <w:t>Power</w:t>
      </w:r>
      <w:r w:rsidRPr="00E9210E">
        <w:rPr>
          <w:rStyle w:val="Corpsdutexte27ptGras"/>
          <w:rFonts w:eastAsia="Courier New"/>
          <w:sz w:val="28"/>
        </w:rPr>
        <w:t xml:space="preserve"> </w:t>
      </w:r>
      <w:r w:rsidRPr="00E9210E">
        <w:t xml:space="preserve">et M. </w:t>
      </w:r>
      <w:r w:rsidRPr="00E9210E">
        <w:rPr>
          <w:rStyle w:val="Corpsdutexte27ptGras"/>
          <w:rFonts w:eastAsia="Courier New"/>
          <w:b w:val="0"/>
          <w:smallCaps/>
          <w:sz w:val="28"/>
        </w:rPr>
        <w:t>Postan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Studies in english trade in the fifteenth ce</w:t>
      </w:r>
      <w:r w:rsidRPr="00E9210E">
        <w:rPr>
          <w:rStyle w:val="Corpsdutexte28ptItalique"/>
          <w:rFonts w:eastAsia="Courier New"/>
          <w:sz w:val="28"/>
        </w:rPr>
        <w:t>n</w:t>
      </w:r>
      <w:r w:rsidRPr="00E9210E">
        <w:rPr>
          <w:rStyle w:val="Corpsdutexte28ptItalique"/>
          <w:rFonts w:eastAsia="Courier New"/>
          <w:sz w:val="28"/>
        </w:rPr>
        <w:t>tury,</w:t>
      </w:r>
      <w:r w:rsidRPr="00E9210E">
        <w:rPr>
          <w:rStyle w:val="Corpsdutexte28ptGraschelle120"/>
          <w:rFonts w:eastAsia="Courier New"/>
          <w:sz w:val="28"/>
        </w:rPr>
        <w:t xml:space="preserve"> </w:t>
      </w:r>
      <w:r w:rsidRPr="00E9210E">
        <w:t>Londres, 1933), « A.H.E.S. », t. VI (1934), pp. 316-318.</w:t>
      </w:r>
    </w:p>
    <w:p w14:paraId="6CA5E159" w14:textId="77777777" w:rsidR="00B9662D" w:rsidRPr="00E9210E" w:rsidRDefault="00B9662D" w:rsidP="00B9662D">
      <w:pPr>
        <w:spacing w:before="120" w:after="120"/>
        <w:jc w:val="both"/>
      </w:pPr>
      <w:r w:rsidRPr="00E9210E">
        <w:t xml:space="preserve">Compte rendu : </w:t>
      </w:r>
      <w:r w:rsidRPr="00E9210E">
        <w:rPr>
          <w:rStyle w:val="Corpsdutexte28ptItalique"/>
          <w:rFonts w:eastAsia="Courier New"/>
          <w:sz w:val="28"/>
        </w:rPr>
        <w:t>Chartes du Forez</w:t>
      </w:r>
      <w:r w:rsidRPr="00E9210E">
        <w:t>, 3</w:t>
      </w:r>
      <w:r w:rsidRPr="00E9210E">
        <w:rPr>
          <w:vertAlign w:val="superscript"/>
        </w:rPr>
        <w:t>e</w:t>
      </w:r>
      <w:r w:rsidRPr="00E9210E">
        <w:t xml:space="preserve"> vol., Mâcon, 1934, « A.H.E.S. », t. VI (1934), p. 376.</w:t>
      </w:r>
    </w:p>
    <w:p w14:paraId="32C31602" w14:textId="77777777" w:rsidR="00B9662D" w:rsidRPr="00E9210E" w:rsidRDefault="00B9662D" w:rsidP="00B9662D">
      <w:pPr>
        <w:spacing w:before="120" w:after="120"/>
        <w:jc w:val="both"/>
      </w:pPr>
      <w:r w:rsidRPr="00E9210E">
        <w:t>Le cadastre en dehors des archives. (Compte rendu : communic</w:t>
      </w:r>
      <w:r w:rsidRPr="00E9210E">
        <w:t>a</w:t>
      </w:r>
      <w:r w:rsidRPr="00E9210E">
        <w:t xml:space="preserve">tion de Th. </w:t>
      </w:r>
      <w:r w:rsidRPr="00E9210E">
        <w:rPr>
          <w:rStyle w:val="Corpsdutexte27ptGras"/>
          <w:rFonts w:eastAsia="Courier New"/>
          <w:b w:val="0"/>
          <w:smallCaps/>
          <w:sz w:val="28"/>
        </w:rPr>
        <w:t>Dreux</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dans </w:t>
      </w:r>
      <w:r w:rsidRPr="00E9210E">
        <w:rPr>
          <w:rStyle w:val="Corpsdutexte28ptItalique"/>
          <w:rFonts w:eastAsia="Courier New"/>
          <w:sz w:val="28"/>
        </w:rPr>
        <w:t>Gazette des archives</w:t>
      </w:r>
      <w:r w:rsidRPr="00E9210E">
        <w:t>, juillet 1933), « A.H.E.S. », t. VI (1934), pp. 376-377.</w:t>
      </w:r>
    </w:p>
    <w:p w14:paraId="01301C2E" w14:textId="77777777" w:rsidR="00B9662D" w:rsidRPr="00E9210E" w:rsidRDefault="00B9662D" w:rsidP="00B9662D">
      <w:pPr>
        <w:spacing w:before="120" w:after="120"/>
        <w:jc w:val="both"/>
      </w:pPr>
      <w:r w:rsidRPr="00E9210E">
        <w:t xml:space="preserve">Note sur </w:t>
      </w:r>
      <w:r w:rsidRPr="00E9210E">
        <w:rPr>
          <w:rStyle w:val="Corpsdutexte28ptItalique"/>
          <w:rFonts w:eastAsia="Courier New"/>
          <w:sz w:val="28"/>
        </w:rPr>
        <w:t>La Gazette des archives</w:t>
      </w:r>
      <w:r w:rsidRPr="00E9210E">
        <w:rPr>
          <w:rStyle w:val="Corpsdutexte28ptGraschelle120"/>
          <w:rFonts w:eastAsia="Courier New"/>
          <w:sz w:val="28"/>
        </w:rPr>
        <w:t xml:space="preserve"> </w:t>
      </w:r>
      <w:r w:rsidRPr="00E9210E">
        <w:t>(numéro d’avril 1934), « A.H.E.S. », t. VI (1934), p. 377.</w:t>
      </w:r>
    </w:p>
    <w:p w14:paraId="2DB5AED5" w14:textId="77777777" w:rsidR="00B9662D" w:rsidRPr="00E9210E" w:rsidRDefault="00B9662D" w:rsidP="00B9662D">
      <w:pPr>
        <w:spacing w:before="120" w:after="120"/>
        <w:jc w:val="both"/>
      </w:pPr>
      <w:r w:rsidRPr="00E9210E">
        <w:t xml:space="preserve">Clio. (Compte rendu : J. </w:t>
      </w:r>
      <w:r w:rsidRPr="00E9210E">
        <w:rPr>
          <w:rStyle w:val="Corpsdutexte27ptGras"/>
          <w:rFonts w:eastAsia="Courier New"/>
          <w:b w:val="0"/>
          <w:smallCaps/>
          <w:sz w:val="28"/>
        </w:rPr>
        <w:t>Calmette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monde féodal</w:t>
      </w:r>
      <w:r w:rsidRPr="00E9210E">
        <w:t>, Paris, 1934), « A.H.E.S. », t. VI (1934), pp. 378-380.</w:t>
      </w:r>
    </w:p>
    <w:p w14:paraId="2E00FBF8" w14:textId="77777777" w:rsidR="00B9662D" w:rsidRPr="00E9210E" w:rsidRDefault="00B9662D" w:rsidP="00B9662D">
      <w:pPr>
        <w:spacing w:before="120" w:after="120"/>
        <w:jc w:val="both"/>
      </w:pPr>
      <w:r w:rsidRPr="00E9210E">
        <w:t>Un siècle d’histoire moderne. (Compte rendu :</w:t>
      </w:r>
      <w:r w:rsidRPr="00E9210E">
        <w:rPr>
          <w:rStyle w:val="Corpsdutexte158ptGraschelle120"/>
          <w:rFonts w:eastAsia="Courier New"/>
          <w:sz w:val="28"/>
          <w:lang w:val="fr-CA"/>
        </w:rPr>
        <w:t xml:space="preserve"> </w:t>
      </w:r>
      <w:r w:rsidRPr="00E9210E">
        <w:rPr>
          <w:rFonts w:eastAsia="Courier New"/>
        </w:rPr>
        <w:t xml:space="preserve">H. </w:t>
      </w:r>
      <w:r w:rsidRPr="00E9210E">
        <w:rPr>
          <w:rFonts w:eastAsia="Courier New"/>
          <w:smallCaps/>
        </w:rPr>
        <w:t>Hauser</w:t>
      </w:r>
      <w:r w:rsidRPr="00E9210E">
        <w:rPr>
          <w:rFonts w:eastAsia="Courier New"/>
        </w:rPr>
        <w:t xml:space="preserve">, </w:t>
      </w:r>
      <w:r w:rsidRPr="00E9210E">
        <w:rPr>
          <w:rStyle w:val="Corpsdutexte158ptItalique"/>
          <w:rFonts w:eastAsia="Courier New"/>
          <w:sz w:val="28"/>
          <w:lang w:val="fr-CA"/>
        </w:rPr>
        <w:t>La prépondérance espagnole (1559-1660</w:t>
      </w:r>
      <w:r w:rsidRPr="00E9210E">
        <w:rPr>
          <w:rStyle w:val="Corpsdutexte1585ptItalique"/>
          <w:rFonts w:eastAsia="Courier New"/>
          <w:sz w:val="28"/>
          <w:lang w:val="fr-CA"/>
        </w:rPr>
        <w:t>),</w:t>
      </w:r>
      <w:r w:rsidRPr="00E9210E">
        <w:rPr>
          <w:rFonts w:eastAsia="Courier New"/>
        </w:rPr>
        <w:t xml:space="preserve"> </w:t>
      </w:r>
      <w:r w:rsidRPr="00E9210E">
        <w:t xml:space="preserve">Paris, </w:t>
      </w:r>
      <w:r w:rsidRPr="00E9210E">
        <w:rPr>
          <w:rFonts w:eastAsia="Courier New"/>
        </w:rPr>
        <w:t xml:space="preserve">1933. </w:t>
      </w:r>
      <w:r w:rsidRPr="00E9210E">
        <w:rPr>
          <w:rStyle w:val="Corpsdutexte158ptItalique"/>
          <w:rFonts w:eastAsia="Courier New"/>
          <w:sz w:val="28"/>
          <w:lang w:val="fr-CA"/>
        </w:rPr>
        <w:t>Peuples et civil</w:t>
      </w:r>
      <w:r w:rsidRPr="00E9210E">
        <w:rPr>
          <w:rStyle w:val="Corpsdutexte158ptItalique"/>
          <w:rFonts w:eastAsia="Courier New"/>
          <w:sz w:val="28"/>
          <w:lang w:val="fr-CA"/>
        </w:rPr>
        <w:t>i</w:t>
      </w:r>
      <w:r w:rsidRPr="00E9210E">
        <w:rPr>
          <w:rStyle w:val="Corpsdutexte158ptItalique"/>
          <w:rFonts w:eastAsia="Courier New"/>
          <w:sz w:val="28"/>
          <w:lang w:val="fr-CA"/>
        </w:rPr>
        <w:t>sations</w:t>
      </w:r>
      <w:r w:rsidRPr="00E9210E">
        <w:rPr>
          <w:rStyle w:val="Corpsdutexte158ptGraschelle120"/>
          <w:rFonts w:eastAsia="Courier New"/>
          <w:sz w:val="28"/>
          <w:lang w:val="fr-CA"/>
        </w:rPr>
        <w:t xml:space="preserve">, </w:t>
      </w:r>
      <w:r w:rsidRPr="00E9210E">
        <w:t xml:space="preserve">vol. </w:t>
      </w:r>
      <w:r w:rsidRPr="00E9210E">
        <w:rPr>
          <w:rFonts w:eastAsia="Courier New"/>
        </w:rPr>
        <w:t>IX), « </w:t>
      </w:r>
      <w:r w:rsidRPr="00E9210E">
        <w:t>A.H.E.S. »</w:t>
      </w:r>
      <w:r w:rsidRPr="00E9210E">
        <w:rPr>
          <w:rFonts w:eastAsia="Courier New"/>
        </w:rPr>
        <w:t>, t. VI (1934)</w:t>
      </w:r>
      <w:r w:rsidRPr="00E9210E">
        <w:t>, pp. 380-381.</w:t>
      </w:r>
    </w:p>
    <w:p w14:paraId="76CF2F39" w14:textId="77777777" w:rsidR="00B9662D" w:rsidRPr="00E9210E" w:rsidRDefault="00B9662D" w:rsidP="00B9662D">
      <w:pPr>
        <w:spacing w:before="120" w:after="120"/>
        <w:jc w:val="both"/>
      </w:pPr>
      <w:r w:rsidRPr="00E9210E">
        <w:t xml:space="preserve">Un inventaire périodique du travail historique. (Compte rendu : </w:t>
      </w:r>
      <w:r w:rsidRPr="00E9210E">
        <w:rPr>
          <w:rStyle w:val="Corpsdutexte28ptItalique"/>
          <w:rFonts w:eastAsia="Courier New"/>
          <w:sz w:val="28"/>
        </w:rPr>
        <w:t>I</w:t>
      </w:r>
      <w:r w:rsidRPr="00E9210E">
        <w:rPr>
          <w:rStyle w:val="Corpsdutexte28ptItalique"/>
          <w:rFonts w:eastAsia="Courier New"/>
          <w:sz w:val="28"/>
        </w:rPr>
        <w:t>n</w:t>
      </w:r>
      <w:r w:rsidRPr="00E9210E">
        <w:rPr>
          <w:rStyle w:val="Corpsdutexte28ptItalique"/>
          <w:rFonts w:eastAsia="Courier New"/>
          <w:sz w:val="28"/>
        </w:rPr>
        <w:t>ternational bibliography of historical sciences</w:t>
      </w:r>
      <w:r w:rsidRPr="00E9210E">
        <w:t>, t. III (1928) ; t. IV (1929), Paris, 1933), « A.H.E.S. », t. VI (1934), p. 382.</w:t>
      </w:r>
    </w:p>
    <w:p w14:paraId="055382E7" w14:textId="77777777" w:rsidR="00B9662D" w:rsidRPr="00E9210E" w:rsidRDefault="00B9662D" w:rsidP="00B9662D">
      <w:pPr>
        <w:spacing w:before="120" w:after="120"/>
        <w:jc w:val="both"/>
      </w:pPr>
      <w:r w:rsidRPr="00E9210E">
        <w:t>Les mutations monétaires et les dettes. (Comptes rendus : E. </w:t>
      </w:r>
      <w:r w:rsidRPr="00E9210E">
        <w:rPr>
          <w:rStyle w:val="Corpsdutexte27ptGras"/>
          <w:rFonts w:eastAsia="Courier New"/>
          <w:b w:val="0"/>
          <w:smallCaps/>
          <w:sz w:val="28"/>
        </w:rPr>
        <w:t>Stampe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Zahlkraftrecht in den Königsgesetzen Frankreichs von 1306 bis 1547</w:t>
      </w:r>
      <w:r w:rsidRPr="00E9210E">
        <w:t xml:space="preserve">, Berlin, 1930. — W. </w:t>
      </w:r>
      <w:r w:rsidRPr="00E9210E">
        <w:rPr>
          <w:rStyle w:val="Corpsdutexte27ptGras"/>
          <w:rFonts w:eastAsia="Courier New"/>
          <w:b w:val="0"/>
          <w:smallCaps/>
          <w:sz w:val="28"/>
        </w:rPr>
        <w:t>Taueber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Geld und Kredit im Mittelalter</w:t>
      </w:r>
      <w:r w:rsidRPr="00E9210E">
        <w:t>, Berlin, 1933), « A.H.E.S. », t. VI (1934), pp. 383-387.</w:t>
      </w:r>
    </w:p>
    <w:p w14:paraId="6FD183E6" w14:textId="77777777" w:rsidR="00B9662D" w:rsidRPr="00E9210E" w:rsidRDefault="00B9662D" w:rsidP="00B9662D">
      <w:pPr>
        <w:spacing w:before="120" w:after="120"/>
        <w:jc w:val="both"/>
      </w:pPr>
      <w:r w:rsidRPr="00E9210E">
        <w:t>Déboisements et défrichements. (Compte rendu :</w:t>
      </w:r>
      <w:r w:rsidRPr="00E9210E">
        <w:rPr>
          <w:rStyle w:val="Corpsdutexte28ptGraschelle120"/>
          <w:rFonts w:eastAsia="Courier New"/>
          <w:sz w:val="28"/>
        </w:rPr>
        <w:t xml:space="preserve"> </w:t>
      </w:r>
      <w:r w:rsidRPr="00E9210E">
        <w:t xml:space="preserve">Th. </w:t>
      </w:r>
      <w:r w:rsidRPr="00E9210E">
        <w:rPr>
          <w:rStyle w:val="Corpsdutexte27ptGras"/>
          <w:rFonts w:eastAsia="Courier New"/>
          <w:b w:val="0"/>
          <w:smallCaps/>
          <w:sz w:val="28"/>
        </w:rPr>
        <w:t>Sclafert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 propos du déboisement dans les Alpes du Sud</w:t>
      </w:r>
      <w:r w:rsidRPr="00E9210E">
        <w:t xml:space="preserve">, dans </w:t>
      </w:r>
      <w:r w:rsidRPr="00E9210E">
        <w:rPr>
          <w:rStyle w:val="Corpsdutexte28ptItalique"/>
          <w:rFonts w:eastAsia="Courier New"/>
          <w:sz w:val="28"/>
        </w:rPr>
        <w:t>Annales de Gé</w:t>
      </w:r>
      <w:r w:rsidRPr="00E9210E">
        <w:rPr>
          <w:rStyle w:val="Corpsdutexte28ptItalique"/>
          <w:rFonts w:eastAsia="Courier New"/>
          <w:sz w:val="28"/>
        </w:rPr>
        <w:t>o</w:t>
      </w:r>
      <w:r w:rsidRPr="00E9210E">
        <w:rPr>
          <w:rStyle w:val="Corpsdutexte28ptItalique"/>
          <w:rFonts w:eastAsia="Courier New"/>
          <w:sz w:val="28"/>
        </w:rPr>
        <w:t>graphie,</w:t>
      </w:r>
      <w:r w:rsidRPr="00E9210E">
        <w:rPr>
          <w:rStyle w:val="Corpsdutexte28ptGraschelle120"/>
          <w:rFonts w:eastAsia="Courier New"/>
          <w:sz w:val="28"/>
        </w:rPr>
        <w:t xml:space="preserve"> </w:t>
      </w:r>
      <w:r w:rsidRPr="00E9210E">
        <w:t>1933, pp. 266-277 et 350-360), « A.H.E.S. », t. VI (1934), pp. 405-406.</w:t>
      </w:r>
    </w:p>
    <w:p w14:paraId="53BE004C" w14:textId="77777777" w:rsidR="00B9662D" w:rsidRPr="00E9210E" w:rsidRDefault="00B9662D" w:rsidP="00B9662D">
      <w:pPr>
        <w:spacing w:before="120" w:after="120"/>
        <w:jc w:val="both"/>
      </w:pPr>
      <w:r w:rsidRPr="00E9210E">
        <w:t xml:space="preserve">Au cœur des Alpes, depuis les populations pré-celtiques jusqu’aux invasions barbares. (Compte rendu : R. </w:t>
      </w:r>
      <w:r w:rsidRPr="00E9210E">
        <w:rPr>
          <w:rStyle w:val="Corpsdutexte27ptGras"/>
          <w:rFonts w:eastAsia="Courier New"/>
          <w:b w:val="0"/>
          <w:smallCaps/>
          <w:sz w:val="28"/>
        </w:rPr>
        <w:t>Heuberger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Rätien im Alte</w:t>
      </w:r>
      <w:r w:rsidRPr="00E9210E">
        <w:rPr>
          <w:rStyle w:val="Corpsdutexte28ptItalique"/>
          <w:rFonts w:eastAsia="Courier New"/>
          <w:sz w:val="28"/>
        </w:rPr>
        <w:t>r</w:t>
      </w:r>
      <w:r w:rsidRPr="00E9210E">
        <w:rPr>
          <w:rStyle w:val="Corpsdutexte28ptItalique"/>
          <w:rFonts w:eastAsia="Courier New"/>
          <w:sz w:val="28"/>
        </w:rPr>
        <w:t>tum und Frühmittelalter : Forschungen und Darstellungen</w:t>
      </w:r>
      <w:r w:rsidRPr="00E9210E">
        <w:t>, Bd. I, In</w:t>
      </w:r>
      <w:r w:rsidRPr="00E9210E">
        <w:t>n</w:t>
      </w:r>
      <w:r w:rsidRPr="00E9210E">
        <w:t>sbruck, 1932), « A.H.E.S. », t. VI (1934), pp. 407-408.</w:t>
      </w:r>
    </w:p>
    <w:p w14:paraId="3B1E331C" w14:textId="77777777" w:rsidR="00B9662D" w:rsidRPr="00E9210E" w:rsidRDefault="00B9662D" w:rsidP="00B9662D">
      <w:pPr>
        <w:spacing w:before="120" w:after="120"/>
        <w:jc w:val="both"/>
      </w:pPr>
      <w:r w:rsidRPr="00E9210E">
        <w:rPr>
          <w:rStyle w:val="Corpsdutexte385ptNonItalique"/>
          <w:rFonts w:eastAsia="Courier New"/>
          <w:i w:val="0"/>
          <w:iCs w:val="0"/>
          <w:sz w:val="28"/>
        </w:rPr>
        <w:t>Les institutions urbaines de l’Italie du Sud au Moyen Âge. (Com</w:t>
      </w:r>
      <w:r w:rsidRPr="00E9210E">
        <w:rPr>
          <w:rStyle w:val="Corpsdutexte385ptNonItalique"/>
          <w:rFonts w:eastAsia="Courier New"/>
          <w:i w:val="0"/>
          <w:iCs w:val="0"/>
          <w:sz w:val="28"/>
        </w:rPr>
        <w:t>p</w:t>
      </w:r>
      <w:r w:rsidRPr="00E9210E">
        <w:rPr>
          <w:rStyle w:val="Corpsdutexte385ptNonItalique"/>
          <w:rFonts w:eastAsia="Courier New"/>
          <w:i w:val="0"/>
          <w:iCs w:val="0"/>
          <w:sz w:val="28"/>
        </w:rPr>
        <w:t xml:space="preserve">te rendu : Fr. </w:t>
      </w:r>
      <w:r w:rsidRPr="00E9210E">
        <w:rPr>
          <w:rStyle w:val="Corpsdutexte37ptGrasNonItalique"/>
          <w:rFonts w:eastAsia="Courier New"/>
          <w:b w:val="0"/>
          <w:i w:val="0"/>
          <w:iCs w:val="0"/>
          <w:smallCaps/>
          <w:sz w:val="28"/>
        </w:rPr>
        <w:t>Calasso</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legislazione statuaria dell’Italia méridi</w:t>
      </w:r>
      <w:r w:rsidRPr="00E9210E">
        <w:rPr>
          <w:i/>
        </w:rPr>
        <w:t>o</w:t>
      </w:r>
      <w:r w:rsidRPr="00E9210E">
        <w:rPr>
          <w:i/>
        </w:rPr>
        <w:t>nale. Parte prima : le basi storiche ; le libertinà cittadine dalla fond</w:t>
      </w:r>
      <w:r w:rsidRPr="00E9210E">
        <w:rPr>
          <w:i/>
        </w:rPr>
        <w:t>a</w:t>
      </w:r>
      <w:r w:rsidRPr="00E9210E">
        <w:rPr>
          <w:i/>
        </w:rPr>
        <w:t>zione del regno ail epoca degli stat</w:t>
      </w:r>
      <w:r w:rsidRPr="00E9210E">
        <w:rPr>
          <w:i/>
        </w:rPr>
        <w:t>u</w:t>
      </w:r>
      <w:r w:rsidRPr="00E9210E">
        <w:rPr>
          <w:i/>
        </w:rPr>
        <w:t>ti</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Rome, 1929), « A.H.E.S. », t. VI (1934), pp. 408-409.</w:t>
      </w:r>
    </w:p>
    <w:p w14:paraId="109B884D" w14:textId="77777777" w:rsidR="00B9662D" w:rsidRPr="00E9210E" w:rsidRDefault="00B9662D" w:rsidP="00B9662D">
      <w:pPr>
        <w:spacing w:before="120" w:after="120"/>
        <w:jc w:val="both"/>
      </w:pPr>
      <w:r w:rsidRPr="00E9210E">
        <w:t>Village minier et ville marché : Goslar. (Compte rendu : K. </w:t>
      </w:r>
      <w:r w:rsidRPr="00E9210E">
        <w:rPr>
          <w:rStyle w:val="Corpsdutexte27ptGras"/>
          <w:rFonts w:eastAsia="Courier New"/>
          <w:b w:val="0"/>
          <w:sz w:val="28"/>
        </w:rPr>
        <w:t>Fröhlich,</w:t>
      </w:r>
      <w:r w:rsidRPr="00E9210E">
        <w:rPr>
          <w:rStyle w:val="Corpsdutexte27ptGras"/>
          <w:rFonts w:eastAsia="Courier New"/>
          <w:sz w:val="28"/>
        </w:rPr>
        <w:t xml:space="preserve"> </w:t>
      </w:r>
      <w:r w:rsidRPr="00E9210E">
        <w:rPr>
          <w:rStyle w:val="Corpsdutexte28ptItalique"/>
          <w:rFonts w:eastAsia="Courier New"/>
          <w:sz w:val="28"/>
        </w:rPr>
        <w:t>Zur Vor- und Friihgeschichte von Goslar</w:t>
      </w:r>
      <w:r w:rsidRPr="00E9210E">
        <w:t xml:space="preserve">, dans </w:t>
      </w:r>
      <w:r w:rsidRPr="00E9210E">
        <w:rPr>
          <w:rStyle w:val="Corpsdutexte28ptItalique"/>
          <w:rFonts w:eastAsia="Courier New"/>
          <w:sz w:val="28"/>
        </w:rPr>
        <w:t>Niede</w:t>
      </w:r>
      <w:r w:rsidRPr="00E9210E">
        <w:rPr>
          <w:rStyle w:val="Corpsdutexte28ptItalique"/>
          <w:rFonts w:eastAsia="Courier New"/>
          <w:sz w:val="28"/>
        </w:rPr>
        <w:t>r</w:t>
      </w:r>
      <w:r w:rsidRPr="00E9210E">
        <w:rPr>
          <w:rStyle w:val="Corpsdutexte28ptItalique"/>
          <w:rFonts w:eastAsia="Courier New"/>
          <w:sz w:val="28"/>
        </w:rPr>
        <w:t>sächsisches Jahrbuch,</w:t>
      </w:r>
      <w:r w:rsidRPr="00E9210E">
        <w:rPr>
          <w:rStyle w:val="Corpsdutexte28ptGraschelle120"/>
          <w:rFonts w:eastAsia="Courier New"/>
          <w:sz w:val="28"/>
        </w:rPr>
        <w:t xml:space="preserve"> </w:t>
      </w:r>
      <w:r w:rsidRPr="00E9210E">
        <w:t>t. VI (1929), pp. 224-264, t. VII (1930), p. 265-320 et t. IX (1932), pp. 1-51), « A.H.E.S. », t. VI (1934), p. 409.</w:t>
      </w:r>
    </w:p>
    <w:p w14:paraId="39C89E42" w14:textId="77777777" w:rsidR="00B9662D" w:rsidRPr="00E9210E" w:rsidRDefault="00B9662D" w:rsidP="00B9662D">
      <w:pPr>
        <w:spacing w:before="120" w:after="120"/>
        <w:jc w:val="both"/>
      </w:pPr>
      <w:r w:rsidRPr="00E9210E">
        <w:t xml:space="preserve">Une ville du sel. (Compte rendu : H. </w:t>
      </w:r>
      <w:r w:rsidRPr="00E9210E">
        <w:rPr>
          <w:rStyle w:val="Corpsdutexte27ptGras"/>
          <w:rFonts w:eastAsia="Courier New"/>
          <w:b w:val="0"/>
          <w:smallCaps/>
          <w:sz w:val="28"/>
        </w:rPr>
        <w:t>Freydank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hallesche Pfânnerschaft :</w:t>
      </w:r>
      <w:r w:rsidRPr="00E9210E">
        <w:rPr>
          <w:rFonts w:eastAsia="Courier New"/>
        </w:rPr>
        <w:t xml:space="preserve"> </w:t>
      </w:r>
      <w:r w:rsidRPr="00E9210E">
        <w:rPr>
          <w:rStyle w:val="Corpsdutexte28ptItalique"/>
          <w:rFonts w:eastAsia="Courier New"/>
          <w:sz w:val="28"/>
        </w:rPr>
        <w:t>1500- 1926</w:t>
      </w:r>
      <w:r w:rsidRPr="00E9210E">
        <w:t>, Halle, 1930), « A.H.E.S. », t. VI (1934), p. 410.</w:t>
      </w:r>
    </w:p>
    <w:p w14:paraId="606C0ADD" w14:textId="77777777" w:rsidR="00B9662D" w:rsidRPr="00E9210E" w:rsidRDefault="00B9662D" w:rsidP="00B9662D">
      <w:pPr>
        <w:spacing w:before="120" w:after="120"/>
        <w:jc w:val="both"/>
      </w:pPr>
      <w:r w:rsidRPr="00E9210E">
        <w:t xml:space="preserve">La formation d’un centre urbain dans une région de contact. (Compte rendu : M. </w:t>
      </w:r>
      <w:r w:rsidRPr="00E9210E">
        <w:rPr>
          <w:rStyle w:val="Corpsdutexte27ptGras"/>
          <w:rFonts w:eastAsia="Courier New"/>
          <w:b w:val="0"/>
          <w:smallCaps/>
          <w:sz w:val="28"/>
        </w:rPr>
        <w:t>Moeder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Études sur l’histoire de Mulhouse aux </w:t>
      </w:r>
      <w:r w:rsidRPr="00E9210E">
        <w:rPr>
          <w:rStyle w:val="Corpsdutexte28ptItaliqueEspacement1pt"/>
          <w:rFonts w:eastAsia="Courier New"/>
          <w:sz w:val="28"/>
        </w:rPr>
        <w:t>XII</w:t>
      </w:r>
      <w:r w:rsidRPr="00E9210E">
        <w:rPr>
          <w:rStyle w:val="Corpsdutexte28ptItaliqueEspacement1pt"/>
          <w:rFonts w:eastAsia="Courier New"/>
          <w:sz w:val="28"/>
          <w:vertAlign w:val="superscript"/>
        </w:rPr>
        <w:t>e</w:t>
      </w:r>
      <w:r w:rsidRPr="00E9210E">
        <w:rPr>
          <w:rStyle w:val="Corpsdutexte28ptItaliqueEspacement1pt"/>
          <w:rFonts w:eastAsia="Courier New"/>
          <w:sz w:val="28"/>
        </w:rPr>
        <w:t xml:space="preserve"> et 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siècles,</w:t>
      </w:r>
      <w:r w:rsidRPr="00E9210E">
        <w:rPr>
          <w:rStyle w:val="Corpsdutexte28ptGraschelle120"/>
          <w:rFonts w:eastAsia="Courier New"/>
          <w:sz w:val="28"/>
        </w:rPr>
        <w:t xml:space="preserve"> </w:t>
      </w:r>
      <w:r w:rsidRPr="00E9210E">
        <w:t xml:space="preserve">I, extr. du </w:t>
      </w:r>
      <w:r w:rsidRPr="00E9210E">
        <w:rPr>
          <w:rStyle w:val="Corpsdutexte28ptItalique"/>
          <w:rFonts w:eastAsia="Courier New"/>
          <w:sz w:val="28"/>
        </w:rPr>
        <w:t>Bull, du Musée historique de Mu</w:t>
      </w:r>
      <w:r w:rsidRPr="00E9210E">
        <w:rPr>
          <w:rStyle w:val="Corpsdutexte28ptItalique"/>
          <w:rFonts w:eastAsia="Courier New"/>
          <w:sz w:val="28"/>
        </w:rPr>
        <w:t>l</w:t>
      </w:r>
      <w:r w:rsidRPr="00E9210E">
        <w:rPr>
          <w:rStyle w:val="Corpsdutexte28ptItalique"/>
          <w:rFonts w:eastAsia="Courier New"/>
          <w:sz w:val="28"/>
        </w:rPr>
        <w:t>house,</w:t>
      </w:r>
      <w:r w:rsidRPr="00E9210E">
        <w:rPr>
          <w:rStyle w:val="Corpsdutexte28ptGraschelle120"/>
          <w:rFonts w:eastAsia="Courier New"/>
          <w:sz w:val="28"/>
        </w:rPr>
        <w:t xml:space="preserve"> </w:t>
      </w:r>
      <w:r w:rsidRPr="00E9210E">
        <w:t>t. LU, 1932), « A.H.E.S. », t. VI (1934), pp. 410- 411.</w:t>
      </w:r>
    </w:p>
    <w:p w14:paraId="2BE9A5AA" w14:textId="77777777" w:rsidR="00B9662D" w:rsidRPr="00E9210E" w:rsidRDefault="00B9662D" w:rsidP="00B9662D">
      <w:pPr>
        <w:spacing w:before="120" w:after="120"/>
        <w:jc w:val="both"/>
      </w:pPr>
      <w:r w:rsidRPr="00E9210E">
        <w:t>[1068]</w:t>
      </w:r>
    </w:p>
    <w:p w14:paraId="3D853B62" w14:textId="77777777" w:rsidR="00B9662D" w:rsidRPr="00E9210E" w:rsidRDefault="00B9662D" w:rsidP="00B9662D">
      <w:pPr>
        <w:spacing w:before="120" w:after="120"/>
        <w:jc w:val="both"/>
      </w:pPr>
      <w:r w:rsidRPr="00E9210E">
        <w:t xml:space="preserve">Autun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travers les âges. (Compte rendu : E. </w:t>
      </w:r>
      <w:r w:rsidRPr="00E9210E">
        <w:rPr>
          <w:rStyle w:val="Corpsdutexte27ptGras"/>
          <w:rFonts w:eastAsia="Courier New"/>
          <w:b w:val="0"/>
          <w:smallCaps/>
          <w:sz w:val="28"/>
        </w:rPr>
        <w:t>Thévenot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Autun, c</w:t>
      </w:r>
      <w:r w:rsidRPr="00E9210E">
        <w:rPr>
          <w:rStyle w:val="Corpsdutexte28ptItalique"/>
          <w:rFonts w:eastAsia="Courier New"/>
          <w:sz w:val="28"/>
        </w:rPr>
        <w:t>i</w:t>
      </w:r>
      <w:r w:rsidRPr="00E9210E">
        <w:rPr>
          <w:rStyle w:val="Corpsdutexte28ptItalique"/>
          <w:rFonts w:eastAsia="Courier New"/>
          <w:sz w:val="28"/>
        </w:rPr>
        <w:t>té romaine et chr</w:t>
      </w:r>
      <w:r w:rsidRPr="00E9210E">
        <w:rPr>
          <w:rStyle w:val="Corpsdutexte28ptItalique"/>
          <w:rFonts w:eastAsia="Courier New"/>
          <w:sz w:val="28"/>
        </w:rPr>
        <w:t>é</w:t>
      </w:r>
      <w:r w:rsidRPr="00E9210E">
        <w:rPr>
          <w:rStyle w:val="Corpsdutexte28ptItalique"/>
          <w:rFonts w:eastAsia="Courier New"/>
          <w:sz w:val="28"/>
        </w:rPr>
        <w:t>tienne. Histoire. Monuments. Sites,</w:t>
      </w:r>
      <w:r w:rsidRPr="00E9210E">
        <w:rPr>
          <w:rStyle w:val="Corpsdutexte28ptGraschelle120"/>
          <w:rFonts w:eastAsia="Courier New"/>
          <w:sz w:val="28"/>
        </w:rPr>
        <w:t xml:space="preserve"> </w:t>
      </w:r>
      <w:r w:rsidRPr="00E9210E">
        <w:t>Autun, 1932), « A.H.E.S. », t. VI (1934), p. 411.</w:t>
      </w:r>
    </w:p>
    <w:p w14:paraId="3B43E329" w14:textId="77777777" w:rsidR="00B9662D" w:rsidRPr="00E9210E" w:rsidRDefault="00B9662D" w:rsidP="00B9662D">
      <w:pPr>
        <w:spacing w:before="120" w:after="120"/>
        <w:jc w:val="both"/>
      </w:pPr>
      <w:r w:rsidRPr="00E9210E">
        <w:t>Compte rendu : Un siècle d’agriculture belge, « A.H.E.S. », t. VI (1934), p. 415.</w:t>
      </w:r>
    </w:p>
    <w:p w14:paraId="366E7D74" w14:textId="77777777" w:rsidR="00B9662D" w:rsidRPr="00E9210E" w:rsidRDefault="00B9662D" w:rsidP="00B9662D">
      <w:pPr>
        <w:spacing w:before="120" w:after="120"/>
        <w:jc w:val="both"/>
      </w:pPr>
      <w:r w:rsidRPr="00E9210E">
        <w:t xml:space="preserve">L’électricité aux champs. (Compte rendu : </w:t>
      </w:r>
      <w:r w:rsidRPr="00E9210E">
        <w:rPr>
          <w:rStyle w:val="Corpsdutexte27ptGras"/>
          <w:rFonts w:eastAsia="Courier New"/>
          <w:b w:val="0"/>
          <w:smallCaps/>
          <w:sz w:val="28"/>
        </w:rPr>
        <w:t>Ministère de l’Agriculture</w:t>
      </w:r>
      <w:r w:rsidRPr="00E9210E">
        <w:rPr>
          <w:rStyle w:val="Corpsdutexte27ptGras"/>
          <w:rFonts w:eastAsia="Courier New"/>
          <w:b w:val="0"/>
          <w:sz w:val="28"/>
        </w:rPr>
        <w:t xml:space="preserve">, </w:t>
      </w:r>
      <w:r w:rsidRPr="00E9210E">
        <w:rPr>
          <w:rStyle w:val="Corpsdutexte28ptItalique"/>
          <w:rFonts w:eastAsia="Courier New"/>
          <w:sz w:val="28"/>
        </w:rPr>
        <w:t>Direction des Eaux et du Génie rural. Notes et d</w:t>
      </w:r>
      <w:r w:rsidRPr="00E9210E">
        <w:rPr>
          <w:rStyle w:val="Corpsdutexte28ptItalique"/>
          <w:rFonts w:eastAsia="Courier New"/>
          <w:sz w:val="28"/>
        </w:rPr>
        <w:t>o</w:t>
      </w:r>
      <w:r w:rsidRPr="00E9210E">
        <w:rPr>
          <w:rStyle w:val="Corpsdutexte28ptItalique"/>
          <w:rFonts w:eastAsia="Courier New"/>
          <w:sz w:val="28"/>
        </w:rPr>
        <w:t>cuments statistiques sur l’électrification rurale</w:t>
      </w:r>
      <w:r w:rsidRPr="00E9210E">
        <w:t xml:space="preserve">, Paris, 1932, extr. des </w:t>
      </w:r>
      <w:r w:rsidRPr="00E9210E">
        <w:rPr>
          <w:rStyle w:val="Corpsdutexte28ptItalique"/>
          <w:rFonts w:eastAsia="Courier New"/>
          <w:sz w:val="28"/>
        </w:rPr>
        <w:t>Annales</w:t>
      </w:r>
      <w:r w:rsidRPr="00E9210E">
        <w:rPr>
          <w:rStyle w:val="Corpsdutexte28ptGraschelle120"/>
          <w:rFonts w:eastAsia="Courier New"/>
          <w:sz w:val="28"/>
        </w:rPr>
        <w:t xml:space="preserve">, </w:t>
      </w:r>
      <w:r w:rsidRPr="00E9210E">
        <w:t>fasc. 62), « A.H.E.S. », t. VI (1934), pp. 415-416.</w:t>
      </w:r>
    </w:p>
    <w:p w14:paraId="47CF91A6" w14:textId="77777777" w:rsidR="00B9662D" w:rsidRPr="00E9210E" w:rsidRDefault="00B9662D" w:rsidP="00B9662D">
      <w:pPr>
        <w:spacing w:before="120" w:after="120"/>
        <w:jc w:val="both"/>
      </w:pPr>
      <w:r w:rsidRPr="00E9210E">
        <w:t xml:space="preserve">Le régime seigneurial dans l’Égypte byzantine. (Compte rendu : E. R. </w:t>
      </w:r>
      <w:r w:rsidRPr="00E9210E">
        <w:rPr>
          <w:rStyle w:val="Corpsdutexte27ptGras"/>
          <w:rFonts w:eastAsia="Courier New"/>
          <w:b w:val="0"/>
          <w:smallCaps/>
          <w:sz w:val="28"/>
        </w:rPr>
        <w:t>Hardy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large estates of byzantine Egypt</w:t>
      </w:r>
      <w:r w:rsidRPr="00E9210E">
        <w:rPr>
          <w:rFonts w:eastAsia="Courier New"/>
        </w:rPr>
        <w:t>,</w:t>
      </w:r>
      <w:r w:rsidRPr="00E9210E">
        <w:t xml:space="preserve"> New York, 1931), « A.H.E.S. », t. VI (1934), pp. 425-426.</w:t>
      </w:r>
    </w:p>
    <w:p w14:paraId="0113643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 congrès méditerranéen. </w:t>
      </w:r>
      <w:r w:rsidRPr="00E9210E">
        <w:rPr>
          <w:rStyle w:val="Corpsdutexte3GrasNonItaliquechelle120"/>
          <w:rFonts w:eastAsia="Courier New"/>
          <w:b w:val="0"/>
          <w:i w:val="0"/>
          <w:iCs w:val="0"/>
          <w:sz w:val="28"/>
        </w:rPr>
        <w:t>(</w:t>
      </w:r>
      <w:r w:rsidRPr="00E9210E">
        <w:rPr>
          <w:i/>
        </w:rPr>
        <w:t>Deuxième congrès national des Scie</w:t>
      </w:r>
      <w:r w:rsidRPr="00E9210E">
        <w:rPr>
          <w:i/>
        </w:rPr>
        <w:t>n</w:t>
      </w:r>
      <w:r w:rsidRPr="00E9210E">
        <w:rPr>
          <w:i/>
        </w:rPr>
        <w:t>ces histor</w:t>
      </w:r>
      <w:r w:rsidRPr="00E9210E">
        <w:rPr>
          <w:i/>
        </w:rPr>
        <w:t>i</w:t>
      </w:r>
      <w:r w:rsidRPr="00E9210E">
        <w:rPr>
          <w:i/>
        </w:rPr>
        <w:t>ques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Alger, 1932)</w:t>
      </w:r>
      <w:r w:rsidRPr="00E9210E">
        <w:t>, « A.H.E.S. », t. VI (1934), p. 427.</w:t>
      </w:r>
    </w:p>
    <w:p w14:paraId="5FF8AD28"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Champs et villages. (Comptes rendus : L’Institut pour l’étude comparée des civilisations d’Oslo, I, </w:t>
      </w:r>
      <w:r w:rsidRPr="00E9210E">
        <w:rPr>
          <w:i/>
        </w:rPr>
        <w:t>L'agr</w:t>
      </w:r>
      <w:r w:rsidRPr="00E9210E">
        <w:rPr>
          <w:i/>
        </w:rPr>
        <w:t>i</w:t>
      </w:r>
      <w:r w:rsidRPr="00E9210E">
        <w:rPr>
          <w:i/>
        </w:rPr>
        <w:t>culture et les occupations du paysan </w:t>
      </w:r>
      <w:r w:rsidRPr="00E9210E">
        <w:t>;</w:t>
      </w:r>
      <w:r w:rsidRPr="00E9210E">
        <w:rPr>
          <w:rStyle w:val="Corpsdutexte385ptNonItalique"/>
          <w:rFonts w:eastAsia="Courier New"/>
          <w:i w:val="0"/>
          <w:iCs w:val="0"/>
          <w:sz w:val="28"/>
        </w:rPr>
        <w:t xml:space="preserve"> II, </w:t>
      </w:r>
      <w:r w:rsidRPr="00E9210E">
        <w:rPr>
          <w:i/>
        </w:rPr>
        <w:t>Établissements humains et courants de civilisations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Oslo et Paris, 1933. — G. </w:t>
      </w:r>
      <w:r w:rsidRPr="00E9210E">
        <w:rPr>
          <w:rStyle w:val="Corpsdutexte37ptGrasNonItalique"/>
          <w:rFonts w:eastAsia="Courier New"/>
          <w:b w:val="0"/>
          <w:i w:val="0"/>
          <w:iCs w:val="0"/>
          <w:smallCaps/>
          <w:sz w:val="28"/>
        </w:rPr>
        <w:t>Bernhard</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nördliche Rhei</w:t>
      </w:r>
      <w:r w:rsidRPr="00E9210E">
        <w:rPr>
          <w:i/>
        </w:rPr>
        <w:t>n</w:t>
      </w:r>
      <w:r w:rsidRPr="00E9210E">
        <w:rPr>
          <w:i/>
        </w:rPr>
        <w:t>hessen : Wechselbeziehungen zwischen Mensch und Landschaft in historischen Querschnitten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Giessen, 1931. — </w:t>
      </w:r>
      <w:r w:rsidRPr="00E9210E">
        <w:rPr>
          <w:i/>
        </w:rPr>
        <w:t>Les populations rurales du Puy-de-Dôme</w:t>
      </w:r>
      <w:r w:rsidRPr="00E9210E">
        <w:rPr>
          <w:rStyle w:val="Corpsdutexte3GrasNonItaliquechelle120"/>
          <w:rFonts w:eastAsia="Courier New"/>
          <w:i w:val="0"/>
          <w:iCs w:val="0"/>
          <w:sz w:val="28"/>
        </w:rPr>
        <w:t xml:space="preserve"> </w:t>
      </w:r>
      <w:r w:rsidRPr="00E9210E">
        <w:t>(</w:t>
      </w:r>
      <w:r w:rsidRPr="00E9210E">
        <w:rPr>
          <w:i/>
        </w:rPr>
        <w:t>Mémoires de l'Académie des Sciences, B elles-Lettres et Arts de Clermont-Ferrand,</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XXIII), Clermont-Ferrand, 1933. — </w:t>
      </w:r>
      <w:r w:rsidRPr="00E9210E">
        <w:rPr>
          <w:i/>
        </w:rPr>
        <w:t>Revue géogr</w:t>
      </w:r>
      <w:r w:rsidRPr="00E9210E">
        <w:rPr>
          <w:i/>
        </w:rPr>
        <w:t>a</w:t>
      </w:r>
      <w:r w:rsidRPr="00E9210E">
        <w:rPr>
          <w:i/>
        </w:rPr>
        <w:t>phique des Pyrénées et du Sud-Ouest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fondée en 1930. — Th. </w:t>
      </w:r>
      <w:r w:rsidRPr="00E9210E">
        <w:rPr>
          <w:rStyle w:val="Corpsdutexte37ptGrasNonItalique"/>
          <w:rFonts w:eastAsia="Courier New"/>
          <w:b w:val="0"/>
          <w:i w:val="0"/>
          <w:iCs w:val="0"/>
          <w:smallCaps/>
          <w:sz w:val="28"/>
        </w:rPr>
        <w:t>Lefebvre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modes de vie dans les Pyrénées atlantiques orie</w:t>
      </w:r>
      <w:r w:rsidRPr="00E9210E">
        <w:rPr>
          <w:i/>
        </w:rPr>
        <w:t>n</w:t>
      </w:r>
      <w:r w:rsidRPr="00E9210E">
        <w:rPr>
          <w:i/>
        </w:rPr>
        <w:t>tales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1933. — R. </w:t>
      </w:r>
      <w:r w:rsidRPr="00E9210E">
        <w:rPr>
          <w:rStyle w:val="Corpsdutexte37ptGrasNonItalique"/>
          <w:rFonts w:eastAsia="Courier New"/>
          <w:b w:val="0"/>
          <w:i w:val="0"/>
          <w:iCs w:val="0"/>
          <w:smallCaps/>
          <w:sz w:val="28"/>
        </w:rPr>
        <w:t>Dion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Val de Loire : étude de géographie régionale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Tours, 1934. — B. </w:t>
      </w:r>
      <w:r w:rsidRPr="00E9210E">
        <w:rPr>
          <w:rStyle w:val="Corpsdutexte37ptGrasNonItalique"/>
          <w:rFonts w:eastAsia="Courier New"/>
          <w:b w:val="0"/>
          <w:i w:val="0"/>
          <w:iCs w:val="0"/>
          <w:smallCaps/>
          <w:sz w:val="28"/>
        </w:rPr>
        <w:t>Zaborski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Ueber Dorfformen in Polen und ihre Verbreitung</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Breslau, 1930...), « A.H.E.S. », t. VI (1934), pp. 467-489.</w:t>
      </w:r>
    </w:p>
    <w:p w14:paraId="6217B830" w14:textId="77777777" w:rsidR="00B9662D" w:rsidRPr="00E9210E" w:rsidRDefault="00B9662D" w:rsidP="00B9662D">
      <w:pPr>
        <w:spacing w:before="120" w:after="120"/>
        <w:jc w:val="both"/>
      </w:pPr>
      <w:r w:rsidRPr="00E9210E">
        <w:t xml:space="preserve">Problèmes de statistique historique. (Compte rendu : M. </w:t>
      </w:r>
      <w:r w:rsidRPr="00E9210E">
        <w:rPr>
          <w:rStyle w:val="Corpsdutexte27ptGras"/>
          <w:rFonts w:eastAsia="Courier New"/>
          <w:b w:val="0"/>
          <w:smallCaps/>
          <w:sz w:val="28"/>
        </w:rPr>
        <w:t>Esmonin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Données statistiques sur le règne de Louis </w:t>
      </w:r>
      <w:r w:rsidRPr="00E9210E">
        <w:rPr>
          <w:rStyle w:val="Corpsdutexte28ptItaliqueEspacement1pt"/>
          <w:rFonts w:eastAsia="Courier New"/>
          <w:sz w:val="28"/>
        </w:rPr>
        <w:t>XIV,</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w:t>
      </w:r>
      <w:r w:rsidRPr="00E9210E">
        <w:rPr>
          <w:rStyle w:val="Corpsdutexte28ptItalique"/>
          <w:rFonts w:eastAsia="Courier New"/>
          <w:sz w:val="28"/>
        </w:rPr>
        <w:t>o</w:t>
      </w:r>
      <w:r w:rsidRPr="00E9210E">
        <w:rPr>
          <w:rStyle w:val="Corpsdutexte28ptItalique"/>
          <w:rFonts w:eastAsia="Courier New"/>
          <w:sz w:val="28"/>
        </w:rPr>
        <w:t>ciété d'histoire moderne,</w:t>
      </w:r>
      <w:r w:rsidRPr="00E9210E">
        <w:rPr>
          <w:rStyle w:val="Corpsdutexte28ptGraschelle120"/>
          <w:rFonts w:eastAsia="Courier New"/>
          <w:sz w:val="28"/>
        </w:rPr>
        <w:t xml:space="preserve"> </w:t>
      </w:r>
      <w:r w:rsidRPr="00E9210E">
        <w:t>déc. 1933- janv. 1934, pp. 64-67), « A.H.E.S. », t. VI (1934), p. 492.</w:t>
      </w:r>
    </w:p>
    <w:p w14:paraId="4301FAE1" w14:textId="77777777" w:rsidR="00B9662D" w:rsidRPr="00E9210E" w:rsidRDefault="00B9662D" w:rsidP="00B9662D">
      <w:pPr>
        <w:spacing w:before="120" w:after="120"/>
        <w:jc w:val="both"/>
      </w:pPr>
      <w:r w:rsidRPr="00E9210E">
        <w:t xml:space="preserve">Réflexions sur un atlas historique scolaire. (Compte rendu : </w:t>
      </w:r>
      <w:r w:rsidRPr="00E9210E">
        <w:rPr>
          <w:rStyle w:val="Corpsdutexte28ptItalique"/>
          <w:rFonts w:eastAsia="Courier New"/>
          <w:sz w:val="28"/>
        </w:rPr>
        <w:t>Phil</w:t>
      </w:r>
      <w:r w:rsidRPr="00E9210E">
        <w:rPr>
          <w:rStyle w:val="Corpsdutexte28ptItalique"/>
          <w:rFonts w:eastAsia="Courier New"/>
          <w:sz w:val="28"/>
        </w:rPr>
        <w:t>i</w:t>
      </w:r>
      <w:r w:rsidRPr="00E9210E">
        <w:rPr>
          <w:rStyle w:val="Corpsdutexte28ptItalique"/>
          <w:rFonts w:eastAsia="Courier New"/>
          <w:sz w:val="28"/>
        </w:rPr>
        <w:t>p's hi</w:t>
      </w:r>
      <w:r w:rsidRPr="00E9210E">
        <w:rPr>
          <w:rStyle w:val="Corpsdutexte28ptItalique"/>
          <w:rFonts w:eastAsia="Courier New"/>
          <w:sz w:val="28"/>
        </w:rPr>
        <w:t>s</w:t>
      </w:r>
      <w:r w:rsidRPr="00E9210E">
        <w:rPr>
          <w:rStyle w:val="Corpsdutexte28ptItalique"/>
          <w:rFonts w:eastAsia="Courier New"/>
          <w:sz w:val="28"/>
        </w:rPr>
        <w:t>torical Atlas, médiéval and modem,</w:t>
      </w:r>
      <w:r w:rsidRPr="00E9210E">
        <w:rPr>
          <w:rStyle w:val="Corpsdutexte28ptGraschelle120"/>
          <w:rFonts w:eastAsia="Courier New"/>
          <w:sz w:val="28"/>
        </w:rPr>
        <w:t xml:space="preserve"> </w:t>
      </w:r>
      <w:r w:rsidRPr="00E9210E">
        <w:t>6</w:t>
      </w:r>
      <w:r w:rsidRPr="00E9210E">
        <w:rPr>
          <w:vertAlign w:val="superscript"/>
        </w:rPr>
        <w:t>e</w:t>
      </w:r>
      <w:r w:rsidRPr="00E9210E">
        <w:t xml:space="preserve"> éd., Londres, 1927), « A.H.E.S. », t. VI (1934), pp. 495-497.</w:t>
      </w:r>
    </w:p>
    <w:p w14:paraId="3E0263BA" w14:textId="77777777" w:rsidR="00B9662D" w:rsidRPr="00E9210E" w:rsidRDefault="00B9662D" w:rsidP="00B9662D">
      <w:pPr>
        <w:spacing w:before="120" w:after="120"/>
        <w:jc w:val="both"/>
      </w:pPr>
      <w:r w:rsidRPr="00E9210E">
        <w:t>Histoire, doctrine économique, sociologie. (Compte rendu : E. </w:t>
      </w:r>
      <w:r w:rsidRPr="00E9210E">
        <w:rPr>
          <w:rStyle w:val="Corpsdutexte27ptGras"/>
          <w:rFonts w:eastAsia="Courier New"/>
          <w:b w:val="0"/>
          <w:smallCaps/>
          <w:sz w:val="28"/>
        </w:rPr>
        <w:t>Power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On medieval history as a social study,</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Economica,</w:t>
      </w:r>
      <w:r w:rsidRPr="00E9210E">
        <w:rPr>
          <w:rStyle w:val="Corpsdutexte28ptGraschelle120"/>
          <w:rFonts w:eastAsia="Courier New"/>
          <w:sz w:val="28"/>
        </w:rPr>
        <w:t xml:space="preserve"> </w:t>
      </w:r>
      <w:r w:rsidRPr="00E9210E">
        <w:t>févr. 1934, p. 13-29), « A.H.E.S. », t. VI (1934), p. 510.</w:t>
      </w:r>
    </w:p>
    <w:p w14:paraId="7CB8B62D" w14:textId="77777777" w:rsidR="00B9662D" w:rsidRPr="00E9210E" w:rsidRDefault="00B9662D" w:rsidP="00B9662D">
      <w:pPr>
        <w:spacing w:before="120" w:after="120"/>
        <w:jc w:val="both"/>
      </w:pPr>
      <w:r w:rsidRPr="00E9210E">
        <w:t xml:space="preserve">Une biographie. (Compte rendu : A. </w:t>
      </w:r>
      <w:r w:rsidRPr="00E9210E">
        <w:rPr>
          <w:rStyle w:val="Corpsdutexte27ptGras"/>
          <w:rFonts w:eastAsia="Courier New"/>
          <w:b w:val="0"/>
          <w:smallCaps/>
          <w:sz w:val="28"/>
        </w:rPr>
        <w:t>Kleinclausz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Charlemagne,</w:t>
      </w:r>
      <w:r w:rsidRPr="00E9210E">
        <w:rPr>
          <w:rStyle w:val="Corpsdutexte28ptGraschelle120"/>
          <w:rFonts w:eastAsia="Courier New"/>
          <w:sz w:val="28"/>
        </w:rPr>
        <w:t xml:space="preserve"> </w:t>
      </w:r>
      <w:r w:rsidRPr="00E9210E">
        <w:t>Paris, 1934), « A.H.E.S. », t. VI (1934), p. 510-511.</w:t>
      </w:r>
    </w:p>
    <w:p w14:paraId="5531D3DB" w14:textId="77777777" w:rsidR="00B9662D" w:rsidRPr="00E9210E" w:rsidRDefault="00B9662D" w:rsidP="00B9662D">
      <w:pPr>
        <w:spacing w:before="120" w:after="120"/>
        <w:jc w:val="both"/>
      </w:pPr>
      <w:r w:rsidRPr="00E9210E">
        <w:t xml:space="preserve">L’économie d’échanges, du </w:t>
      </w:r>
      <w:r w:rsidRPr="00E9210E">
        <w:rPr>
          <w:smallCaps/>
        </w:rPr>
        <w:t>xiii</w:t>
      </w:r>
      <w:r w:rsidRPr="00E9210E">
        <w:rPr>
          <w:vertAlign w:val="superscript"/>
        </w:rPr>
        <w:t>e</w:t>
      </w:r>
      <w:r w:rsidRPr="00E9210E">
        <w:t xml:space="preserve"> au </w:t>
      </w:r>
      <w:r w:rsidRPr="00E9210E">
        <w:rPr>
          <w:smallCaps/>
        </w:rPr>
        <w:t>xv</w:t>
      </w:r>
      <w:r w:rsidRPr="00E9210E">
        <w:rPr>
          <w:vertAlign w:val="superscript"/>
        </w:rPr>
        <w:t>e</w:t>
      </w:r>
      <w:r w:rsidRPr="00E9210E">
        <w:t xml:space="preserve"> siècle. (Compte rendu : Fr. </w:t>
      </w:r>
      <w:r w:rsidRPr="00E9210E">
        <w:rPr>
          <w:rStyle w:val="Corpsdutexte29ptPetitesmajuscules"/>
          <w:rFonts w:eastAsia="Courier New"/>
          <w:sz w:val="28"/>
          <w:lang w:val="fr-CA"/>
        </w:rPr>
        <w:t xml:space="preserve">Rörig, </w:t>
      </w:r>
      <w:r w:rsidRPr="00E9210E">
        <w:rPr>
          <w:rStyle w:val="Corpsdutexte28ptItalique"/>
          <w:rFonts w:eastAsia="Courier New"/>
          <w:sz w:val="28"/>
        </w:rPr>
        <w:t>Mittelalterliche Weltwirtschaft :</w:t>
      </w:r>
      <w:r w:rsidRPr="00E9210E">
        <w:rPr>
          <w:rFonts w:eastAsia="Courier New"/>
        </w:rPr>
        <w:t xml:space="preserve"> </w:t>
      </w:r>
      <w:r w:rsidRPr="00E9210E">
        <w:rPr>
          <w:rStyle w:val="Corpsdutexte28ptItalique"/>
          <w:rFonts w:eastAsia="Courier New"/>
          <w:sz w:val="28"/>
        </w:rPr>
        <w:t>Blute und Ende einer Weltwirtschaftsperiode,</w:t>
      </w:r>
      <w:r w:rsidRPr="00E9210E">
        <w:rPr>
          <w:rStyle w:val="Corpsdutexte28ptGraschelle120"/>
          <w:rFonts w:eastAsia="Courier New"/>
          <w:sz w:val="28"/>
        </w:rPr>
        <w:t xml:space="preserve"> </w:t>
      </w:r>
      <w:r w:rsidRPr="00E9210E">
        <w:t>Iéna, 1933), « A.H.E.S. », t. VI (1934), pp. 511-512.</w:t>
      </w:r>
    </w:p>
    <w:p w14:paraId="73996DF8" w14:textId="77777777" w:rsidR="00B9662D" w:rsidRPr="00E9210E" w:rsidRDefault="00B9662D" w:rsidP="00B9662D">
      <w:pPr>
        <w:spacing w:before="120" w:after="120"/>
        <w:jc w:val="both"/>
      </w:pPr>
      <w:r w:rsidRPr="00E9210E">
        <w:t>La « Renaissance » : rupture ou continuité. (Compte rendu : J. </w:t>
      </w:r>
      <w:r w:rsidRPr="00E9210E">
        <w:rPr>
          <w:rStyle w:val="Corpsdutexte27ptGras"/>
          <w:rFonts w:eastAsia="Courier New"/>
          <w:b w:val="0"/>
          <w:smallCaps/>
          <w:sz w:val="28"/>
        </w:rPr>
        <w:t>Nordstrom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Moyen Âge et Renaissance : essai historique,</w:t>
      </w:r>
      <w:r w:rsidRPr="00E9210E">
        <w:rPr>
          <w:rStyle w:val="Corpsdutexte28ptGraschelle120"/>
          <w:rFonts w:eastAsia="Courier New"/>
          <w:sz w:val="28"/>
        </w:rPr>
        <w:t xml:space="preserve"> </w:t>
      </w:r>
      <w:r w:rsidRPr="00E9210E">
        <w:t>Paris, 1933), « A.H.E.S. », t. VI (1934), pp. 513-514.</w:t>
      </w:r>
    </w:p>
    <w:p w14:paraId="601CB522"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L’argent dans la vie économique et politique du Namurois au </w:t>
      </w:r>
      <w:r w:rsidRPr="00E9210E">
        <w:rPr>
          <w:rStyle w:val="Corpsdutexte385ptNonItalique"/>
          <w:rFonts w:eastAsia="Courier New"/>
          <w:i w:val="0"/>
          <w:iCs w:val="0"/>
          <w:caps/>
          <w:sz w:val="28"/>
        </w:rPr>
        <w:t>xiv</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(Comptes rendus : J. </w:t>
      </w:r>
      <w:r w:rsidRPr="00E9210E">
        <w:rPr>
          <w:rStyle w:val="Corpsdutexte37ptGrasNonItalique"/>
          <w:rFonts w:eastAsia="Courier New"/>
          <w:b w:val="0"/>
          <w:i w:val="0"/>
          <w:iCs w:val="0"/>
          <w:smallCaps/>
          <w:sz w:val="28"/>
        </w:rPr>
        <w:t>Balon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 train sanitaire namurois d</w:t>
      </w:r>
      <w:r w:rsidRPr="00E9210E">
        <w:rPr>
          <w:i/>
        </w:rPr>
        <w:t>u</w:t>
      </w:r>
      <w:r w:rsidRPr="00E9210E">
        <w:rPr>
          <w:i/>
        </w:rPr>
        <w:t>rant le siège de Calais en 1347</w:t>
      </w:r>
      <w:r w:rsidRPr="00E9210E">
        <w:t xml:space="preserve">, </w:t>
      </w:r>
      <w:r w:rsidRPr="00E9210E">
        <w:rPr>
          <w:rStyle w:val="Corpsdutexte385ptNonItalique"/>
          <w:rFonts w:eastAsia="Courier New"/>
          <w:i w:val="0"/>
          <w:iCs w:val="0"/>
          <w:sz w:val="28"/>
        </w:rPr>
        <w:t xml:space="preserve">dans </w:t>
      </w:r>
      <w:r w:rsidRPr="00E9210E">
        <w:rPr>
          <w:i/>
        </w:rPr>
        <w:t>Ann. de la Soc. archéol. de N</w:t>
      </w:r>
      <w:r w:rsidRPr="00E9210E">
        <w:rPr>
          <w:i/>
        </w:rPr>
        <w:t>a</w:t>
      </w:r>
      <w:r w:rsidRPr="00E9210E">
        <w:rPr>
          <w:i/>
        </w:rPr>
        <w:t>mur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XXXIX, 1931, pp. 269-299. — Du même, </w:t>
      </w:r>
      <w:r w:rsidRPr="00E9210E">
        <w:rPr>
          <w:i/>
        </w:rPr>
        <w:t>L'organisation mil</w:t>
      </w:r>
      <w:r w:rsidRPr="00E9210E">
        <w:rPr>
          <w:i/>
        </w:rPr>
        <w:t>i</w:t>
      </w:r>
      <w:r w:rsidRPr="00E9210E">
        <w:rPr>
          <w:i/>
        </w:rPr>
        <w:t xml:space="preserve">taire des Namurois au </w:t>
      </w:r>
      <w:r w:rsidRPr="00E9210E">
        <w:rPr>
          <w:rFonts w:eastAsia="Courier New"/>
          <w:i/>
        </w:rPr>
        <w:t>XIV</w:t>
      </w:r>
      <w:r w:rsidRPr="00E9210E">
        <w:rPr>
          <w:rFonts w:eastAsia="Courier New"/>
          <w:i/>
          <w:vertAlign w:val="superscript"/>
        </w:rPr>
        <w:t>e</w:t>
      </w:r>
      <w:r w:rsidRPr="00E9210E">
        <w:rPr>
          <w:i/>
        </w:rPr>
        <w:t xml:space="preserve"> siècle</w:t>
      </w:r>
      <w:r w:rsidRPr="00E9210E">
        <w:t>, ibid.,</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1932. — Du même, </w:t>
      </w:r>
      <w:r w:rsidRPr="00E9210E">
        <w:rPr>
          <w:i/>
        </w:rPr>
        <w:t xml:space="preserve">Le contrepan-lansage dans le droit namurois du </w:t>
      </w:r>
      <w:r w:rsidRPr="00E9210E">
        <w:rPr>
          <w:rFonts w:eastAsia="Courier New"/>
          <w:i/>
        </w:rPr>
        <w:t>XIV</w:t>
      </w:r>
      <w:r w:rsidRPr="00E9210E">
        <w:rPr>
          <w:rFonts w:eastAsia="Courier New"/>
          <w:i/>
          <w:vertAlign w:val="superscript"/>
        </w:rPr>
        <w:t>e</w:t>
      </w:r>
      <w:r w:rsidRPr="00E9210E">
        <w:rPr>
          <w:i/>
        </w:rPr>
        <w:t xml:space="preserve"> siècle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historique du droit français et étranger</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1933, pp. 41-65), « A.H.E.S. », t. VI (1934), pp. 516-518.</w:t>
      </w:r>
    </w:p>
    <w:p w14:paraId="485DC4B9" w14:textId="77777777" w:rsidR="00B9662D" w:rsidRPr="00E9210E" w:rsidRDefault="00B9662D" w:rsidP="00B9662D">
      <w:pPr>
        <w:spacing w:before="120" w:after="120"/>
        <w:jc w:val="both"/>
      </w:pPr>
      <w:r w:rsidRPr="00E9210E">
        <w:t>L’élément étranger dans la formation du capitalisme. (Compte re</w:t>
      </w:r>
      <w:r w:rsidRPr="00E9210E">
        <w:t>n</w:t>
      </w:r>
      <w:r w:rsidRPr="00E9210E">
        <w:t xml:space="preserve">du : R. J. </w:t>
      </w:r>
      <w:r w:rsidRPr="00E9210E">
        <w:rPr>
          <w:rStyle w:val="Corpsdutexte27ptGras"/>
          <w:rFonts w:eastAsia="Courier New"/>
          <w:b w:val="0"/>
          <w:smallCaps/>
          <w:sz w:val="28"/>
        </w:rPr>
        <w:t>Lemoine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étrangers et la formation du capitalisme en Belgique,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d'histoire économique et sociale,</w:t>
      </w:r>
      <w:r w:rsidRPr="00E9210E">
        <w:rPr>
          <w:rStyle w:val="Corpsdutexte28ptGraschelle120"/>
          <w:rFonts w:eastAsia="Courier New"/>
          <w:sz w:val="28"/>
        </w:rPr>
        <w:t xml:space="preserve"> </w:t>
      </w:r>
      <w:r w:rsidRPr="00E9210E">
        <w:t>1933, pp. 252-336), « A.H.E.S. », t. VI (1934), pp. 520-521.</w:t>
      </w:r>
    </w:p>
    <w:p w14:paraId="5050D236" w14:textId="77777777" w:rsidR="00B9662D" w:rsidRPr="00E9210E" w:rsidRDefault="00B9662D" w:rsidP="00B9662D">
      <w:pPr>
        <w:spacing w:before="120" w:after="120"/>
        <w:jc w:val="both"/>
      </w:pPr>
      <w:r w:rsidRPr="00E9210E">
        <w:rPr>
          <w:rFonts w:eastAsia="Courier New"/>
        </w:rPr>
        <w:t>[1069]</w:t>
      </w:r>
    </w:p>
    <w:p w14:paraId="479D35C3" w14:textId="77777777" w:rsidR="00B9662D" w:rsidRPr="00E9210E" w:rsidRDefault="00B9662D" w:rsidP="00B9662D">
      <w:pPr>
        <w:spacing w:before="120" w:after="120"/>
        <w:jc w:val="both"/>
      </w:pPr>
      <w:r w:rsidRPr="00E9210E">
        <w:t xml:space="preserve">Réalités régionales ou frontières administratives. (Compte rendu : P. </w:t>
      </w:r>
      <w:r w:rsidRPr="00E9210E">
        <w:rPr>
          <w:rStyle w:val="Corpsdutexte27ptGras"/>
          <w:rFonts w:eastAsia="Courier New"/>
          <w:b w:val="0"/>
          <w:smallCaps/>
          <w:sz w:val="28"/>
        </w:rPr>
        <w:t>Bernus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de l’Île-de-France,</w:t>
      </w:r>
      <w:r w:rsidRPr="00E9210E">
        <w:rPr>
          <w:rStyle w:val="Corpsdutexte28ptGraschelle120"/>
          <w:rFonts w:eastAsia="Courier New"/>
          <w:sz w:val="28"/>
        </w:rPr>
        <w:t xml:space="preserve"> </w:t>
      </w:r>
      <w:r w:rsidRPr="00E9210E">
        <w:t>Paris, s.d.), « A.H.E.S. », t. VI (1934), pp. 521-522.</w:t>
      </w:r>
    </w:p>
    <w:p w14:paraId="75245300"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En Brie. (Compte rendu : </w:t>
      </w:r>
      <w:r w:rsidRPr="00E9210E">
        <w:rPr>
          <w:rStyle w:val="Corpsdutexte37ptGrasNonItalique"/>
          <w:rFonts w:eastAsia="Courier New"/>
          <w:b w:val="0"/>
          <w:i w:val="0"/>
          <w:iCs w:val="0"/>
          <w:sz w:val="28"/>
        </w:rPr>
        <w:t xml:space="preserve">Ch. </w:t>
      </w:r>
      <w:r w:rsidRPr="00E9210E">
        <w:rPr>
          <w:rStyle w:val="Corpsdutexte37ptGrasNonItalique"/>
          <w:rFonts w:eastAsia="Courier New"/>
          <w:b w:val="0"/>
          <w:i w:val="0"/>
          <w:iCs w:val="0"/>
          <w:smallCaps/>
          <w:sz w:val="28"/>
        </w:rPr>
        <w:t>Cochet-Coche</w:t>
      </w:r>
      <w:r w:rsidRPr="00E9210E">
        <w:rPr>
          <w:rStyle w:val="Corpsdutexte37ptGrasNonItalique"/>
          <w:rFonts w:eastAsia="Courier New"/>
          <w:b w:val="0"/>
          <w:i w:val="0"/>
          <w:iCs w:val="0"/>
          <w:sz w:val="28"/>
        </w:rPr>
        <w:t>t,</w:t>
      </w:r>
      <w:r w:rsidRPr="00E9210E">
        <w:rPr>
          <w:rStyle w:val="Corpsdutexte37ptGrasNonItalique"/>
          <w:rFonts w:eastAsia="Courier New"/>
          <w:i w:val="0"/>
          <w:iCs w:val="0"/>
          <w:sz w:val="28"/>
        </w:rPr>
        <w:t xml:space="preserve"> </w:t>
      </w:r>
      <w:r w:rsidRPr="00E9210E">
        <w:rPr>
          <w:i/>
        </w:rPr>
        <w:t>Notes historiques sur la Brie ancienne :</w:t>
      </w:r>
      <w:r w:rsidRPr="00E9210E">
        <w:rPr>
          <w:rFonts w:eastAsia="Courier New"/>
          <w:i/>
        </w:rPr>
        <w:t xml:space="preserve"> </w:t>
      </w:r>
      <w:r w:rsidRPr="00E9210E">
        <w:rPr>
          <w:i/>
        </w:rPr>
        <w:t>ses terres, ses villages, ses cultures, ses mo</w:t>
      </w:r>
      <w:r w:rsidRPr="00E9210E">
        <w:rPr>
          <w:i/>
        </w:rPr>
        <w:t>n</w:t>
      </w:r>
      <w:r w:rsidRPr="00E9210E">
        <w:rPr>
          <w:i/>
        </w:rPr>
        <w:t>naies, ses mesures, ses prix et ses salaires, son administration</w:t>
      </w:r>
      <w:r w:rsidRPr="00E9210E">
        <w:rPr>
          <w:rFonts w:eastAsia="Courier New"/>
          <w:i/>
        </w:rPr>
        <w:t xml:space="preserve">, </w:t>
      </w:r>
      <w:r w:rsidRPr="00E9210E">
        <w:rPr>
          <w:i/>
        </w:rPr>
        <w:t>sa vie</w:t>
      </w:r>
      <w:r w:rsidRPr="00E9210E">
        <w:rPr>
          <w:rFonts w:eastAsia="Courier New"/>
          <w:i/>
        </w:rPr>
        <w:t xml:space="preserve">, </w:t>
      </w:r>
      <w:r w:rsidRPr="00E9210E">
        <w:rPr>
          <w:i/>
        </w:rPr>
        <w:t>ses mœurs et ses co</w:t>
      </w:r>
      <w:r w:rsidRPr="00E9210E">
        <w:rPr>
          <w:i/>
        </w:rPr>
        <w:t>u</w:t>
      </w:r>
      <w:r w:rsidRPr="00E9210E">
        <w:rPr>
          <w:i/>
        </w:rPr>
        <w:t>tumes</w:t>
      </w:r>
      <w:r w:rsidRPr="00E9210E">
        <w:rPr>
          <w:rStyle w:val="Corpsdutexte385ptNonItalique"/>
          <w:rFonts w:eastAsia="Courier New"/>
          <w:i w:val="0"/>
          <w:iCs w:val="0"/>
          <w:sz w:val="28"/>
        </w:rPr>
        <w:t>, Melun, 1933), « A.H.E.S. », t. VI (1934), p. 522.</w:t>
      </w:r>
    </w:p>
    <w:p w14:paraId="0D912D0D" w14:textId="77777777" w:rsidR="00B9662D" w:rsidRPr="00E9210E" w:rsidRDefault="00B9662D" w:rsidP="00B9662D">
      <w:pPr>
        <w:spacing w:before="120" w:after="120"/>
        <w:jc w:val="both"/>
      </w:pPr>
      <w:r w:rsidRPr="00E9210E">
        <w:t xml:space="preserve">Un département et ses régions. (Compte rendu : </w:t>
      </w:r>
      <w:r w:rsidRPr="00E9210E">
        <w:rPr>
          <w:rStyle w:val="Corpsdutexte27ptGras"/>
          <w:rFonts w:eastAsia="Courier New"/>
          <w:b w:val="0"/>
          <w:sz w:val="28"/>
        </w:rPr>
        <w:t>D</w:t>
      </w:r>
      <w:r w:rsidRPr="00E9210E">
        <w:rPr>
          <w:rStyle w:val="Corpsdutexte27ptGras"/>
          <w:rFonts w:eastAsia="Courier New"/>
          <w:b w:val="0"/>
          <w:sz w:val="28"/>
          <w:vertAlign w:val="superscript"/>
        </w:rPr>
        <w:t>r</w:t>
      </w:r>
      <w:r w:rsidRPr="00E9210E">
        <w:rPr>
          <w:rStyle w:val="Corpsdutexte27ptGras"/>
          <w:rFonts w:eastAsia="Courier New"/>
          <w:b w:val="0"/>
          <w:sz w:val="28"/>
        </w:rPr>
        <w:t xml:space="preserve"> </w:t>
      </w:r>
      <w:r w:rsidRPr="00E9210E">
        <w:t xml:space="preserve">P. </w:t>
      </w:r>
      <w:r w:rsidRPr="00E9210E">
        <w:rPr>
          <w:rStyle w:val="Corpsdutexte27ptGras"/>
          <w:rFonts w:eastAsia="Courier New"/>
          <w:b w:val="0"/>
          <w:smallCaps/>
          <w:sz w:val="28"/>
        </w:rPr>
        <w:t>Delaunay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régions naturelles, géographiques, géologiques et agricoles de la Sarthe,</w:t>
      </w:r>
      <w:r w:rsidRPr="00E9210E">
        <w:rPr>
          <w:rStyle w:val="Corpsdutexte28ptGraschelle120"/>
          <w:rFonts w:eastAsia="Courier New"/>
          <w:sz w:val="28"/>
        </w:rPr>
        <w:t xml:space="preserve"> </w:t>
      </w:r>
      <w:r w:rsidRPr="00E9210E">
        <w:t>Le Mans, 1933), « A.H.E.S. », t. VI (1934), p. 527.</w:t>
      </w:r>
    </w:p>
    <w:p w14:paraId="1579FD8E" w14:textId="77777777" w:rsidR="00B9662D" w:rsidRPr="00E9210E" w:rsidRDefault="00B9662D" w:rsidP="00B9662D">
      <w:pPr>
        <w:spacing w:before="120" w:after="120"/>
        <w:jc w:val="both"/>
      </w:pPr>
      <w:r w:rsidRPr="00E9210E">
        <w:t xml:space="preserve">En Saintonge et Aunis. (Compte rendu : L. </w:t>
      </w:r>
      <w:r w:rsidRPr="00E9210E">
        <w:rPr>
          <w:rStyle w:val="Corpsdutexte27ptGras"/>
          <w:rFonts w:eastAsia="Courier New"/>
          <w:b w:val="0"/>
          <w:smallCaps/>
          <w:sz w:val="28"/>
        </w:rPr>
        <w:t>Canet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L'Aunis et la Saintonge.</w:t>
      </w:r>
      <w:r w:rsidRPr="00E9210E">
        <w:rPr>
          <w:rStyle w:val="Corpsdutexte28ptGraschelle120"/>
          <w:rFonts w:eastAsia="Courier New"/>
          <w:sz w:val="28"/>
        </w:rPr>
        <w:t xml:space="preserve"> </w:t>
      </w:r>
      <w:r w:rsidRPr="00E9210E">
        <w:t xml:space="preserve">I. </w:t>
      </w:r>
      <w:r w:rsidRPr="00E9210E">
        <w:rPr>
          <w:rStyle w:val="Corpsdutexte28ptItalique"/>
          <w:rFonts w:eastAsia="Courier New"/>
          <w:sz w:val="28"/>
        </w:rPr>
        <w:t>Des origines à la guerre de Cent Ans,</w:t>
      </w:r>
      <w:r w:rsidRPr="00E9210E">
        <w:rPr>
          <w:rStyle w:val="Corpsdutexte28ptGraschelle120"/>
          <w:rFonts w:eastAsia="Courier New"/>
          <w:sz w:val="28"/>
        </w:rPr>
        <w:t xml:space="preserve"> </w:t>
      </w:r>
      <w:r w:rsidRPr="00E9210E">
        <w:t>La Rochelle, 1933), « A.H.E.S. », t. VI (1934), p. 527.</w:t>
      </w:r>
    </w:p>
    <w:p w14:paraId="0400DC0C" w14:textId="77777777" w:rsidR="00B9662D" w:rsidRPr="00E9210E" w:rsidRDefault="00B9662D" w:rsidP="00B9662D">
      <w:pPr>
        <w:spacing w:before="120" w:after="120"/>
        <w:jc w:val="both"/>
      </w:pPr>
      <w:r w:rsidRPr="00E9210E">
        <w:t xml:space="preserve">Une abbaye auvergnate. (Compte rendu : E. </w:t>
      </w:r>
      <w:r w:rsidRPr="00E9210E">
        <w:rPr>
          <w:rStyle w:val="Corpsdutexte27ptGras"/>
          <w:rFonts w:eastAsia="Courier New"/>
          <w:b w:val="0"/>
          <w:smallCaps/>
          <w:sz w:val="28"/>
        </w:rPr>
        <w:t>Morand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L'abbaye de Saint-Amable de Riom,</w:t>
      </w:r>
      <w:r w:rsidRPr="00E9210E">
        <w:rPr>
          <w:rStyle w:val="Corpsdutexte28ptGraschelle120"/>
          <w:rFonts w:eastAsia="Courier New"/>
          <w:sz w:val="28"/>
        </w:rPr>
        <w:t xml:space="preserve"> </w:t>
      </w:r>
      <w:r w:rsidRPr="00E9210E">
        <w:t>Clermont-Ferrand, 1930), « A.H.E.S. », t. VI (1934), pp. 527-528.</w:t>
      </w:r>
    </w:p>
    <w:p w14:paraId="3006795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petite ville normande. (Compte rendu : P. </w:t>
      </w:r>
      <w:r w:rsidRPr="00E9210E">
        <w:rPr>
          <w:rStyle w:val="Corpsdutexte37ptGrasNonItalique"/>
          <w:rFonts w:eastAsia="Courier New"/>
          <w:b w:val="0"/>
          <w:i w:val="0"/>
          <w:iCs w:val="0"/>
          <w:smallCaps/>
          <w:sz w:val="28"/>
        </w:rPr>
        <w:t>Dardel</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et Dom J. </w:t>
      </w:r>
      <w:r w:rsidRPr="00E9210E">
        <w:rPr>
          <w:rStyle w:val="Corpsdutexte37ptGrasNonItalique"/>
          <w:rFonts w:eastAsia="Courier New"/>
          <w:b w:val="0"/>
          <w:i w:val="0"/>
          <w:iCs w:val="0"/>
          <w:smallCaps/>
          <w:sz w:val="28"/>
        </w:rPr>
        <w:t>Duchauchix</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de Bolbec des origines à la Révolution. Son prieuré, ses luttes religieuses, ses seigneurs, sa manufacture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I, Rouen, 1933), « A.H.E.S. », t. VI (1934), p. 528.</w:t>
      </w:r>
    </w:p>
    <w:p w14:paraId="03692B24" w14:textId="77777777" w:rsidR="00B9662D" w:rsidRPr="00E9210E" w:rsidRDefault="00B9662D" w:rsidP="00B9662D">
      <w:pPr>
        <w:spacing w:before="120" w:after="120"/>
        <w:jc w:val="both"/>
      </w:pPr>
      <w:r w:rsidRPr="00E9210E">
        <w:t xml:space="preserve">Une carte historique. (Compte rendu : </w:t>
      </w:r>
      <w:r w:rsidRPr="00E9210E">
        <w:rPr>
          <w:rStyle w:val="Corpsdutexte27ptGras"/>
          <w:rFonts w:eastAsia="Courier New"/>
          <w:b w:val="0"/>
          <w:sz w:val="28"/>
        </w:rPr>
        <w:t xml:space="preserve">W. </w:t>
      </w:r>
      <w:r w:rsidRPr="00E9210E">
        <w:rPr>
          <w:rStyle w:val="Corpsdutexte27ptGras"/>
          <w:rFonts w:eastAsia="Courier New"/>
          <w:b w:val="0"/>
          <w:smallCaps/>
          <w:sz w:val="28"/>
        </w:rPr>
        <w:t>Rees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South Wales and the Border in the fou</w:t>
      </w:r>
      <w:r w:rsidRPr="00E9210E">
        <w:rPr>
          <w:rStyle w:val="Corpsdutexte28ptItalique"/>
          <w:rFonts w:eastAsia="Courier New"/>
          <w:sz w:val="28"/>
        </w:rPr>
        <w:t>r</w:t>
      </w:r>
      <w:r w:rsidRPr="00E9210E">
        <w:rPr>
          <w:rStyle w:val="Corpsdutexte28ptItalique"/>
          <w:rFonts w:eastAsia="Courier New"/>
          <w:sz w:val="28"/>
        </w:rPr>
        <w:t>teenth century,</w:t>
      </w:r>
      <w:r w:rsidRPr="00E9210E">
        <w:rPr>
          <w:rStyle w:val="Corpsdutexte28ptGraschelle120"/>
          <w:rFonts w:eastAsia="Courier New"/>
          <w:sz w:val="28"/>
        </w:rPr>
        <w:t xml:space="preserve"> </w:t>
      </w:r>
      <w:r w:rsidRPr="00E9210E">
        <w:t>Cardiff, 1933), « A.H.E.S. », t. VI (1934), pp. 582-584.</w:t>
      </w:r>
    </w:p>
    <w:p w14:paraId="74A8AA37" w14:textId="77777777" w:rsidR="00B9662D" w:rsidRPr="00E9210E" w:rsidRDefault="00B9662D" w:rsidP="00B9662D">
      <w:pPr>
        <w:spacing w:before="120" w:after="120"/>
        <w:jc w:val="both"/>
      </w:pPr>
      <w:r w:rsidRPr="00E9210E">
        <w:t xml:space="preserve">L’activité d’une grande société érudite. (Compte rendu : </w:t>
      </w:r>
      <w:r w:rsidRPr="00E9210E">
        <w:rPr>
          <w:rStyle w:val="Corpsdutexte28ptItalique"/>
          <w:rFonts w:eastAsia="Courier New"/>
          <w:sz w:val="28"/>
        </w:rPr>
        <w:t>Transa</w:t>
      </w:r>
      <w:r w:rsidRPr="00E9210E">
        <w:rPr>
          <w:rStyle w:val="Corpsdutexte28ptItalique"/>
          <w:rFonts w:eastAsia="Courier New"/>
          <w:sz w:val="28"/>
        </w:rPr>
        <w:t>c</w:t>
      </w:r>
      <w:r w:rsidRPr="00E9210E">
        <w:rPr>
          <w:rStyle w:val="Corpsdutexte28ptItalique"/>
          <w:rFonts w:eastAsia="Courier New"/>
          <w:sz w:val="28"/>
        </w:rPr>
        <w:t>tions of the Royal Historical Society. Fourth series,</w:t>
      </w:r>
      <w:r w:rsidRPr="00E9210E">
        <w:rPr>
          <w:rStyle w:val="Corpsdutexte28ptGraschelle120"/>
          <w:rFonts w:eastAsia="Courier New"/>
          <w:sz w:val="28"/>
        </w:rPr>
        <w:t xml:space="preserve"> </w:t>
      </w:r>
      <w:r w:rsidRPr="00E9210E">
        <w:t>vol. XVI, 1933), « A.H.E.S. », t. VI (1934), p. 585.</w:t>
      </w:r>
    </w:p>
    <w:p w14:paraId="0596EB48" w14:textId="77777777" w:rsidR="00B9662D" w:rsidRPr="00E9210E" w:rsidRDefault="00B9662D" w:rsidP="00B9662D">
      <w:pPr>
        <w:spacing w:before="120" w:after="120"/>
        <w:jc w:val="both"/>
      </w:pPr>
      <w:r w:rsidRPr="00E9210E">
        <w:t xml:space="preserve">Une bibliographie annuelle. (Compte rendu : </w:t>
      </w:r>
      <w:r w:rsidRPr="00E9210E">
        <w:rPr>
          <w:rStyle w:val="Corpsdutexte28ptItalique"/>
          <w:rFonts w:eastAsia="Courier New"/>
          <w:sz w:val="28"/>
        </w:rPr>
        <w:t>Annual bulletin of historical literat</w:t>
      </w:r>
      <w:r w:rsidRPr="00E9210E">
        <w:rPr>
          <w:rStyle w:val="Corpsdutexte28ptItalique"/>
          <w:rFonts w:eastAsia="Courier New"/>
          <w:sz w:val="28"/>
        </w:rPr>
        <w:t>u</w:t>
      </w:r>
      <w:r w:rsidRPr="00E9210E">
        <w:rPr>
          <w:rStyle w:val="Corpsdutexte28ptItalique"/>
          <w:rFonts w:eastAsia="Courier New"/>
          <w:sz w:val="28"/>
        </w:rPr>
        <w:t xml:space="preserve">re, </w:t>
      </w:r>
      <w:r w:rsidRPr="00E9210E">
        <w:t>fasc. XXII, Londres, 1933), « A.H.E.S. », t. VI (1934), p. 585.</w:t>
      </w:r>
    </w:p>
    <w:p w14:paraId="09CCE0D5" w14:textId="77777777" w:rsidR="00B9662D" w:rsidRPr="00E9210E" w:rsidRDefault="00B9662D" w:rsidP="00B9662D">
      <w:pPr>
        <w:spacing w:before="120" w:after="120"/>
        <w:jc w:val="both"/>
      </w:pPr>
      <w:r w:rsidRPr="00E9210E">
        <w:t xml:space="preserve">Une société, un champ d’études. (Compte rendu : </w:t>
      </w:r>
      <w:r w:rsidRPr="00E9210E">
        <w:rPr>
          <w:rStyle w:val="Corpsdutexte28ptItalique"/>
          <w:rFonts w:eastAsia="Courier New"/>
          <w:sz w:val="28"/>
        </w:rPr>
        <w:t>Société pour l'histoire du droit et des institutions des anciens pays bourguignons, comtois et romands. Mémoires,</w:t>
      </w:r>
      <w:r w:rsidRPr="00E9210E">
        <w:rPr>
          <w:rStyle w:val="Corpsdutexte28ptGraschelle120"/>
          <w:rFonts w:eastAsia="Courier New"/>
          <w:sz w:val="28"/>
        </w:rPr>
        <w:t xml:space="preserve"> </w:t>
      </w:r>
      <w:r w:rsidRPr="00E9210E">
        <w:t>1</w:t>
      </w:r>
      <w:r w:rsidRPr="00E9210E">
        <w:rPr>
          <w:vertAlign w:val="superscript"/>
        </w:rPr>
        <w:t>er</w:t>
      </w:r>
      <w:r w:rsidRPr="00E9210E">
        <w:t xml:space="preserve"> fasc. : comm</w:t>
      </w:r>
      <w:r w:rsidRPr="00E9210E">
        <w:t>u</w:t>
      </w:r>
      <w:r w:rsidRPr="00E9210E">
        <w:t>nications du congrès d’Avallon tenu en 1933), « A.H.E.S. », t. VI (1934), pp. 586-587.</w:t>
      </w:r>
    </w:p>
    <w:p w14:paraId="13D9FD49" w14:textId="77777777" w:rsidR="00B9662D" w:rsidRPr="00E9210E" w:rsidRDefault="00B9662D" w:rsidP="00B9662D">
      <w:pPr>
        <w:spacing w:before="120" w:after="120"/>
        <w:jc w:val="both"/>
      </w:pPr>
      <w:r w:rsidRPr="00E9210E">
        <w:t>Un problème de contact social : la colonisation allemande en Pol</w:t>
      </w:r>
      <w:r w:rsidRPr="00E9210E">
        <w:t>o</w:t>
      </w:r>
      <w:r w:rsidRPr="00E9210E">
        <w:t>gne. « A.H.E.S. », t. VI (1934), pp. 593-598.</w:t>
      </w:r>
    </w:p>
    <w:p w14:paraId="2CD68BF3" w14:textId="77777777" w:rsidR="00B9662D" w:rsidRPr="00E9210E" w:rsidRDefault="00B9662D" w:rsidP="00B9662D">
      <w:pPr>
        <w:spacing w:before="120" w:after="120"/>
        <w:jc w:val="both"/>
      </w:pPr>
      <w:r w:rsidRPr="00E9210E">
        <w:t xml:space="preserve">Les marchands et la terre. (Compte rendu : </w:t>
      </w:r>
      <w:r w:rsidRPr="00E9210E">
        <w:rPr>
          <w:rStyle w:val="Corpsdutexte27ptGras"/>
          <w:rFonts w:eastAsia="Courier New"/>
          <w:b w:val="0"/>
          <w:sz w:val="28"/>
        </w:rPr>
        <w:t xml:space="preserve">M. </w:t>
      </w:r>
      <w:r w:rsidRPr="00E9210E">
        <w:rPr>
          <w:rStyle w:val="Corpsdutexte27ptGras"/>
          <w:rFonts w:eastAsia="Courier New"/>
          <w:b w:val="0"/>
          <w:smallCaps/>
          <w:sz w:val="28"/>
        </w:rPr>
        <w:t>Albertson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Lo</w:t>
      </w:r>
      <w:r w:rsidRPr="00E9210E">
        <w:rPr>
          <w:rStyle w:val="Corpsdutexte28ptItalique"/>
          <w:rFonts w:eastAsia="Courier New"/>
          <w:sz w:val="28"/>
        </w:rPr>
        <w:t>n</w:t>
      </w:r>
      <w:r w:rsidRPr="00E9210E">
        <w:rPr>
          <w:rStyle w:val="Corpsdutexte28ptItalique"/>
          <w:rFonts w:eastAsia="Courier New"/>
          <w:sz w:val="28"/>
        </w:rPr>
        <w:t>don merchants and their landed property during the reigns of the Yo</w:t>
      </w:r>
      <w:r w:rsidRPr="00E9210E">
        <w:rPr>
          <w:rStyle w:val="Corpsdutexte28ptItalique"/>
          <w:rFonts w:eastAsia="Courier New"/>
          <w:sz w:val="28"/>
        </w:rPr>
        <w:t>r</w:t>
      </w:r>
      <w:r w:rsidRPr="00E9210E">
        <w:rPr>
          <w:rStyle w:val="Corpsdutexte28ptItalique"/>
          <w:rFonts w:eastAsia="Courier New"/>
          <w:sz w:val="28"/>
        </w:rPr>
        <w:t>kists,</w:t>
      </w:r>
      <w:r w:rsidRPr="00E9210E">
        <w:rPr>
          <w:rStyle w:val="Corpsdutexte28ptGraschelle120"/>
          <w:rFonts w:eastAsia="Courier New"/>
          <w:sz w:val="28"/>
        </w:rPr>
        <w:t xml:space="preserve"> </w:t>
      </w:r>
      <w:r w:rsidRPr="00E9210E">
        <w:t>s.l., 1932), « A.H.E.S. », t. VI (1934), p. 609.</w:t>
      </w:r>
    </w:p>
    <w:p w14:paraId="3DC3A61F" w14:textId="77777777" w:rsidR="00B9662D" w:rsidRPr="00E9210E" w:rsidRDefault="00B9662D" w:rsidP="00B9662D">
      <w:pPr>
        <w:spacing w:before="120" w:after="120"/>
        <w:jc w:val="both"/>
      </w:pPr>
      <w:r w:rsidRPr="00E9210E">
        <w:t xml:space="preserve">Les historiens espagnols au travail. (Compte rendu : </w:t>
      </w:r>
      <w:r w:rsidRPr="00E9210E">
        <w:rPr>
          <w:rStyle w:val="Corpsdutexte28ptItalique"/>
          <w:rFonts w:eastAsia="Courier New"/>
          <w:sz w:val="28"/>
        </w:rPr>
        <w:t>Anuario de historia del derecho espanol,</w:t>
      </w:r>
      <w:r w:rsidRPr="00E9210E">
        <w:rPr>
          <w:rStyle w:val="Corpsdutexte28ptGraschelle120"/>
          <w:rFonts w:eastAsia="Courier New"/>
          <w:sz w:val="28"/>
        </w:rPr>
        <w:t xml:space="preserve"> </w:t>
      </w:r>
      <w:r w:rsidRPr="00E9210E">
        <w:t>t. IX, 1932), « A.H.E.S. », t. VI (1934), pp. 612-613.</w:t>
      </w:r>
    </w:p>
    <w:p w14:paraId="15C8B99F" w14:textId="77777777" w:rsidR="00B9662D" w:rsidRPr="00E9210E" w:rsidRDefault="00B9662D" w:rsidP="00B9662D">
      <w:pPr>
        <w:spacing w:before="120" w:after="120"/>
        <w:jc w:val="both"/>
      </w:pPr>
      <w:r w:rsidRPr="00E9210E">
        <w:t xml:space="preserve">L’État et la société wisigothique. (Compte rendu : M. </w:t>
      </w:r>
      <w:r w:rsidRPr="00E9210E">
        <w:rPr>
          <w:rStyle w:val="Corpsdutexte27ptGras"/>
          <w:rFonts w:eastAsia="Courier New"/>
          <w:b w:val="0"/>
          <w:smallCaps/>
          <w:sz w:val="28"/>
        </w:rPr>
        <w:t>Torrès</w:t>
      </w:r>
      <w:r w:rsidRPr="00E9210E">
        <w:rPr>
          <w:rStyle w:val="Corpsdutexte27ptGras"/>
          <w:rFonts w:eastAsia="Courier New"/>
          <w:b w:val="0"/>
          <w:sz w:val="28"/>
        </w:rPr>
        <w:t xml:space="preserve">, </w:t>
      </w:r>
      <w:r w:rsidRPr="00E9210E">
        <w:rPr>
          <w:rStyle w:val="Corpsdutexte28ptItalique"/>
          <w:rFonts w:eastAsia="Courier New"/>
          <w:sz w:val="28"/>
        </w:rPr>
        <w:t>Lecciones de historia del derecho español :</w:t>
      </w:r>
      <w:r w:rsidRPr="00E9210E">
        <w:t xml:space="preserve"> vol. II, </w:t>
      </w:r>
      <w:r w:rsidRPr="00E9210E">
        <w:rPr>
          <w:i/>
        </w:rPr>
        <w:t>Salamanque</w:t>
      </w:r>
      <w:r w:rsidRPr="00E9210E">
        <w:t>, 1934), « A.H.E.S. », t. VI (1934), p. 614.</w:t>
      </w:r>
    </w:p>
    <w:p w14:paraId="5085D1BE" w14:textId="77777777" w:rsidR="00B9662D" w:rsidRPr="00E9210E" w:rsidRDefault="00B9662D" w:rsidP="00B9662D">
      <w:pPr>
        <w:spacing w:before="120" w:after="120"/>
        <w:jc w:val="both"/>
      </w:pPr>
      <w:r w:rsidRPr="00E9210E">
        <w:t>Dans l’Espagne chrétienne, au X</w:t>
      </w:r>
      <w:r w:rsidRPr="00E9210E">
        <w:rPr>
          <w:vertAlign w:val="superscript"/>
        </w:rPr>
        <w:t>e</w:t>
      </w:r>
      <w:r w:rsidRPr="00E9210E">
        <w:t xml:space="preserve"> siècle. (Compte rendu : Cl. S. </w:t>
      </w:r>
      <w:r w:rsidRPr="00E9210E">
        <w:rPr>
          <w:rStyle w:val="Corpsdutexte27ptGras"/>
          <w:rFonts w:eastAsia="Courier New"/>
          <w:b w:val="0"/>
          <w:smallCaps/>
          <w:sz w:val="28"/>
        </w:rPr>
        <w:t>Albornoz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Estampas de la vida en León hace mile ahos,</w:t>
      </w:r>
      <w:r w:rsidRPr="00E9210E">
        <w:rPr>
          <w:rStyle w:val="Corpsdutexte28ptGraschelle120"/>
          <w:rFonts w:eastAsia="Courier New"/>
          <w:sz w:val="28"/>
        </w:rPr>
        <w:t xml:space="preserve"> </w:t>
      </w:r>
      <w:r w:rsidRPr="00E9210E">
        <w:t>Madrid, 1934), « A.H.E.S. », t. VI (1934), pp. 614-615.</w:t>
      </w:r>
    </w:p>
    <w:p w14:paraId="38CC3CB7" w14:textId="77777777" w:rsidR="00B9662D" w:rsidRPr="00E9210E" w:rsidRDefault="00B9662D" w:rsidP="00B9662D">
      <w:pPr>
        <w:spacing w:before="120" w:after="120"/>
        <w:jc w:val="both"/>
      </w:pPr>
      <w:r w:rsidRPr="00E9210E">
        <w:t xml:space="preserve">Une seigneurie espagnole au </w:t>
      </w:r>
      <w:r w:rsidRPr="00E9210E">
        <w:rPr>
          <w:smallCaps/>
        </w:rPr>
        <w:t>xvi</w:t>
      </w:r>
      <w:r w:rsidRPr="00E9210E">
        <w:rPr>
          <w:vertAlign w:val="superscript"/>
        </w:rPr>
        <w:t>e</w:t>
      </w:r>
      <w:r w:rsidRPr="00E9210E">
        <w:t xml:space="preserve"> siècle. (Compte rendu : M. </w:t>
      </w:r>
      <w:r w:rsidRPr="00E9210E">
        <w:rPr>
          <w:rStyle w:val="Corpsdutexte27ptGras"/>
          <w:rFonts w:eastAsia="Courier New"/>
          <w:b w:val="0"/>
          <w:sz w:val="28"/>
        </w:rPr>
        <w:t>T.</w:t>
      </w:r>
      <w:r w:rsidRPr="00E9210E">
        <w:rPr>
          <w:rStyle w:val="Corpsdutexte27ptGras"/>
          <w:rFonts w:eastAsia="Courier New"/>
          <w:sz w:val="28"/>
        </w:rPr>
        <w:t xml:space="preserve"> </w:t>
      </w:r>
      <w:r w:rsidRPr="00E9210E">
        <w:rPr>
          <w:rStyle w:val="Corpsdutexte27ptGras"/>
          <w:rFonts w:eastAsia="Courier New"/>
          <w:b w:val="0"/>
          <w:smallCaps/>
          <w:sz w:val="28"/>
        </w:rPr>
        <w:t>Lόpez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El origen del Senorio solariego de Benameji y sua cartapu</w:t>
      </w:r>
      <w:r w:rsidRPr="00E9210E">
        <w:rPr>
          <w:rStyle w:val="Corpsdutexte28ptItalique"/>
          <w:rFonts w:eastAsia="Courier New"/>
          <w:sz w:val="28"/>
        </w:rPr>
        <w:t>e</w:t>
      </w:r>
      <w:r w:rsidRPr="00E9210E">
        <w:rPr>
          <w:rStyle w:val="Corpsdutexte28ptItalique"/>
          <w:rFonts w:eastAsia="Courier New"/>
          <w:sz w:val="28"/>
        </w:rPr>
        <w:t>bla de 1549,</w:t>
      </w:r>
      <w:r w:rsidRPr="00E9210E">
        <w:rPr>
          <w:rStyle w:val="Corpsdutexte28ptGraschelle120"/>
          <w:rFonts w:eastAsia="Courier New"/>
          <w:sz w:val="28"/>
        </w:rPr>
        <w:t xml:space="preserve"> </w:t>
      </w:r>
      <w:r w:rsidRPr="00E9210E">
        <w:t xml:space="preserve">extr. du </w:t>
      </w:r>
      <w:r w:rsidRPr="00E9210E">
        <w:rPr>
          <w:rStyle w:val="Corpsdutexte28ptItalique"/>
          <w:rFonts w:eastAsia="Courier New"/>
          <w:sz w:val="28"/>
        </w:rPr>
        <w:t>Boletin de la Universidad de Gr</w:t>
      </w:r>
      <w:r w:rsidRPr="00E9210E">
        <w:rPr>
          <w:rStyle w:val="Corpsdutexte28ptItalique"/>
          <w:rFonts w:eastAsia="Courier New"/>
          <w:sz w:val="28"/>
        </w:rPr>
        <w:t>a</w:t>
      </w:r>
      <w:r w:rsidRPr="00E9210E">
        <w:rPr>
          <w:rStyle w:val="Corpsdutexte28ptItalique"/>
          <w:rFonts w:eastAsia="Courier New"/>
          <w:sz w:val="28"/>
        </w:rPr>
        <w:t>nada,</w:t>
      </w:r>
      <w:r w:rsidRPr="00E9210E">
        <w:rPr>
          <w:rStyle w:val="Corpsdutexte28ptGraschelle120"/>
          <w:rFonts w:eastAsia="Courier New"/>
          <w:sz w:val="28"/>
        </w:rPr>
        <w:t xml:space="preserve"> </w:t>
      </w:r>
      <w:r w:rsidRPr="00E9210E">
        <w:t>n° 21, 1932), « A.H.E.S. », t. VI (1934), p. 615.</w:t>
      </w:r>
    </w:p>
    <w:p w14:paraId="0E421864" w14:textId="77777777" w:rsidR="00B9662D" w:rsidRPr="00E9210E" w:rsidRDefault="00B9662D" w:rsidP="00B9662D">
      <w:pPr>
        <w:spacing w:before="120" w:after="120"/>
        <w:jc w:val="both"/>
      </w:pPr>
      <w:r w:rsidRPr="00E9210E">
        <w:t xml:space="preserve">Autour de l’histoire de la société espagnole. (Compte rendu : </w:t>
      </w:r>
      <w:r w:rsidRPr="00E9210E">
        <w:rPr>
          <w:rStyle w:val="Corpsdutexte28ptItalique"/>
          <w:rFonts w:eastAsia="Courier New"/>
          <w:sz w:val="28"/>
        </w:rPr>
        <w:t>G</w:t>
      </w:r>
      <w:r w:rsidRPr="00E9210E">
        <w:rPr>
          <w:rStyle w:val="Corpsdutexte28ptItalique"/>
          <w:rFonts w:eastAsia="Courier New"/>
          <w:sz w:val="28"/>
        </w:rPr>
        <w:t>e</w:t>
      </w:r>
      <w:r w:rsidRPr="00E9210E">
        <w:rPr>
          <w:rStyle w:val="Corpsdutexte28ptItalique"/>
          <w:rFonts w:eastAsia="Courier New"/>
          <w:sz w:val="28"/>
        </w:rPr>
        <w:t>sammelte Aufsätze zur Kulturgeschichte Spaniens. Bd. III... herausg</w:t>
      </w:r>
      <w:r w:rsidRPr="00E9210E">
        <w:rPr>
          <w:rStyle w:val="Corpsdutexte28ptItalique"/>
          <w:rFonts w:eastAsia="Courier New"/>
          <w:sz w:val="28"/>
        </w:rPr>
        <w:t>e</w:t>
      </w:r>
      <w:r w:rsidRPr="00E9210E">
        <w:rPr>
          <w:rStyle w:val="Corpsdutexte28ptItalique"/>
          <w:rFonts w:eastAsia="Courier New"/>
          <w:sz w:val="28"/>
        </w:rPr>
        <w:t>geben von H. Finke,</w:t>
      </w:r>
      <w:r w:rsidRPr="00E9210E">
        <w:rPr>
          <w:rStyle w:val="Corpsdutexte28ptGraschelle120"/>
          <w:rFonts w:eastAsia="Courier New"/>
          <w:sz w:val="28"/>
        </w:rPr>
        <w:t xml:space="preserve"> </w:t>
      </w:r>
      <w:r w:rsidRPr="00E9210E">
        <w:t>Munster, 1931), « A.H.E.S. », t. VI (1934), p. 616.</w:t>
      </w:r>
    </w:p>
    <w:p w14:paraId="18AE7AFD" w14:textId="77777777" w:rsidR="00B9662D" w:rsidRPr="00E9210E" w:rsidRDefault="00B9662D" w:rsidP="00B9662D">
      <w:pPr>
        <w:spacing w:before="120" w:after="120"/>
        <w:jc w:val="both"/>
      </w:pPr>
      <w:r w:rsidRPr="00E9210E">
        <w:t xml:space="preserve">Aux origines de Venise. (Compte rendu : R. </w:t>
      </w:r>
      <w:r w:rsidRPr="00E9210E">
        <w:rPr>
          <w:rStyle w:val="Corpsdutexte27ptGras"/>
          <w:rFonts w:eastAsia="Courier New"/>
          <w:b w:val="0"/>
          <w:smallCaps/>
          <w:sz w:val="28"/>
        </w:rPr>
        <w:t>Cessi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Origo civit</w:t>
      </w:r>
      <w:r w:rsidRPr="00E9210E">
        <w:rPr>
          <w:rStyle w:val="Corpsdutexte28ptItalique"/>
          <w:rFonts w:eastAsia="Courier New"/>
          <w:sz w:val="28"/>
        </w:rPr>
        <w:t>a</w:t>
      </w:r>
      <w:r w:rsidRPr="00E9210E">
        <w:rPr>
          <w:rStyle w:val="Corpsdutexte28ptItalique"/>
          <w:rFonts w:eastAsia="Courier New"/>
          <w:sz w:val="28"/>
        </w:rPr>
        <w:t>tum Italiae seu Venetiarum (Chronicon Altinate et Chronicon Gr</w:t>
      </w:r>
      <w:r w:rsidRPr="00E9210E">
        <w:rPr>
          <w:rStyle w:val="Corpsdutexte28ptItalique"/>
          <w:rFonts w:eastAsia="Courier New"/>
          <w:sz w:val="28"/>
        </w:rPr>
        <w:t>a</w:t>
      </w:r>
      <w:r w:rsidRPr="00E9210E">
        <w:rPr>
          <w:rStyle w:val="Corpsdutexte28ptItalique"/>
          <w:rFonts w:eastAsia="Courier New"/>
          <w:sz w:val="28"/>
        </w:rPr>
        <w:t>dense)</w:t>
      </w:r>
      <w:r w:rsidRPr="00E9210E">
        <w:rPr>
          <w:rFonts w:eastAsia="Courier New"/>
        </w:rPr>
        <w:t>,</w:t>
      </w:r>
      <w:r w:rsidRPr="00E9210E">
        <w:t xml:space="preserve"> Rome, 1933), « A.H.E.S. », t. VI (1934), pp. 616-617.</w:t>
      </w:r>
    </w:p>
    <w:p w14:paraId="78B0FA66" w14:textId="77777777" w:rsidR="00B9662D" w:rsidRPr="00E9210E" w:rsidRDefault="00B9662D" w:rsidP="00B9662D">
      <w:pPr>
        <w:spacing w:before="120" w:after="120"/>
        <w:jc w:val="both"/>
      </w:pPr>
      <w:r w:rsidRPr="00E9210E">
        <w:rPr>
          <w:rFonts w:eastAsia="Courier New"/>
        </w:rPr>
        <w:t>[1070]</w:t>
      </w:r>
    </w:p>
    <w:p w14:paraId="388307A0" w14:textId="77777777" w:rsidR="00B9662D" w:rsidRPr="00E9210E" w:rsidRDefault="00B9662D" w:rsidP="00B9662D">
      <w:pPr>
        <w:spacing w:before="120" w:after="120"/>
        <w:jc w:val="both"/>
      </w:pPr>
      <w:r w:rsidRPr="00E9210E">
        <w:t xml:space="preserve">Dans l’Italie du Sud. (Compte rendu : G. M. </w:t>
      </w:r>
      <w:r w:rsidRPr="00E9210E">
        <w:rPr>
          <w:smallCaps/>
        </w:rPr>
        <w:t>Monti</w:t>
      </w:r>
      <w:r w:rsidRPr="00E9210E">
        <w:t xml:space="preserve">, </w:t>
      </w:r>
      <w:r w:rsidRPr="00E9210E">
        <w:rPr>
          <w:rStyle w:val="Corpsdutexte178ptItaliquePetitesmajuscules"/>
          <w:rFonts w:eastAsia="Courier New"/>
          <w:smallCaps w:val="0"/>
          <w:sz w:val="28"/>
          <w:lang w:val="fr-CA"/>
        </w:rPr>
        <w:t>Lo</w:t>
      </w:r>
      <w:r w:rsidRPr="00E9210E">
        <w:rPr>
          <w:rStyle w:val="Corpsdutexte178ptItaliquePetitesmajuscules"/>
          <w:rFonts w:eastAsia="Courier New"/>
          <w:sz w:val="28"/>
          <w:lang w:val="fr-CA"/>
        </w:rPr>
        <w:t xml:space="preserve"> </w:t>
      </w:r>
      <w:r w:rsidRPr="00E9210E">
        <w:rPr>
          <w:rFonts w:eastAsia="Courier New"/>
          <w:i/>
        </w:rPr>
        <w:t>stato no</w:t>
      </w:r>
      <w:r w:rsidRPr="00E9210E">
        <w:rPr>
          <w:rFonts w:eastAsia="Courier New"/>
          <w:i/>
        </w:rPr>
        <w:t>r</w:t>
      </w:r>
      <w:r w:rsidRPr="00E9210E">
        <w:rPr>
          <w:rFonts w:eastAsia="Courier New"/>
          <w:i/>
        </w:rPr>
        <w:t>manno suevo :</w:t>
      </w:r>
      <w:r w:rsidRPr="00E9210E">
        <w:rPr>
          <w:rStyle w:val="Corpsdutexte178ptItalique"/>
          <w:rFonts w:eastAsia="Courier New"/>
          <w:i w:val="0"/>
          <w:sz w:val="28"/>
          <w:lang w:val="fr-CA"/>
        </w:rPr>
        <w:t xml:space="preserve"> </w:t>
      </w:r>
      <w:r w:rsidRPr="00E9210E">
        <w:rPr>
          <w:rFonts w:eastAsia="Courier New"/>
          <w:i/>
        </w:rPr>
        <w:t>lineamenti e ricerche</w:t>
      </w:r>
      <w:r w:rsidRPr="00E9210E">
        <w:rPr>
          <w:rFonts w:eastAsia="Courier New"/>
        </w:rPr>
        <w:t>,</w:t>
      </w:r>
      <w:r w:rsidRPr="00E9210E">
        <w:t xml:space="preserve"> Naples, 1934), « A.H.E.S. », t. VI (1934), p. 617.</w:t>
      </w:r>
    </w:p>
    <w:p w14:paraId="15C8669C" w14:textId="77777777" w:rsidR="00B9662D" w:rsidRPr="00E9210E" w:rsidRDefault="00B9662D" w:rsidP="00B9662D">
      <w:pPr>
        <w:spacing w:before="120" w:after="120"/>
        <w:jc w:val="both"/>
      </w:pPr>
      <w:r w:rsidRPr="00E9210E">
        <w:t xml:space="preserve">Dans l’Italie seigneuriale et paysanne, au Moyen Âge. (Compte rendu : P. </w:t>
      </w:r>
      <w:r w:rsidRPr="00E9210E">
        <w:rPr>
          <w:rFonts w:eastAsia="Courier New"/>
          <w:smallCaps/>
        </w:rPr>
        <w:t>Torelli</w:t>
      </w:r>
      <w:r w:rsidRPr="00E9210E">
        <w:rPr>
          <w:rFonts w:eastAsia="Courier New"/>
        </w:rPr>
        <w:t xml:space="preserve">, </w:t>
      </w:r>
      <w:r w:rsidRPr="00E9210E">
        <w:rPr>
          <w:rFonts w:eastAsia="Courier New"/>
          <w:i/>
        </w:rPr>
        <w:t>Un comirne cittadino in territorio ad economia agricola.</w:t>
      </w:r>
      <w:r w:rsidRPr="00E9210E">
        <w:rPr>
          <w:i/>
        </w:rPr>
        <w:t xml:space="preserve"> I, </w:t>
      </w:r>
      <w:r w:rsidRPr="00E9210E">
        <w:rPr>
          <w:rFonts w:eastAsia="Courier New"/>
          <w:i/>
        </w:rPr>
        <w:t>Distribuzione della proprietà</w:t>
      </w:r>
      <w:r w:rsidRPr="00E9210E">
        <w:rPr>
          <w:rFonts w:eastAsia="Courier New"/>
        </w:rPr>
        <w:t xml:space="preserve">. </w:t>
      </w:r>
      <w:r w:rsidRPr="00E9210E">
        <w:rPr>
          <w:rFonts w:eastAsia="Courier New"/>
          <w:i/>
        </w:rPr>
        <w:t>Sviluppo agricolo. Contratti agrari,</w:t>
      </w:r>
      <w:r w:rsidRPr="00E9210E">
        <w:rPr>
          <w:i/>
        </w:rPr>
        <w:t xml:space="preserve"> Mantoue</w:t>
      </w:r>
      <w:r w:rsidRPr="00E9210E">
        <w:t>, 1930), « A.H.E.S. », t. VI (1934), pp. 617-618.</w:t>
      </w:r>
    </w:p>
    <w:p w14:paraId="44152E36" w14:textId="77777777" w:rsidR="00B9662D" w:rsidRPr="00E9210E" w:rsidRDefault="00B9662D" w:rsidP="00B9662D">
      <w:pPr>
        <w:spacing w:before="120" w:after="120"/>
        <w:jc w:val="both"/>
      </w:pPr>
      <w:r w:rsidRPr="00E9210E">
        <w:t xml:space="preserve">L’armature juridique des sociétés italiennes. (Compte rendu : G. M. </w:t>
      </w:r>
      <w:r w:rsidRPr="00E9210E">
        <w:rPr>
          <w:rFonts w:eastAsia="Courier New"/>
          <w:smallCaps/>
        </w:rPr>
        <w:t>Monti</w:t>
      </w:r>
      <w:r w:rsidRPr="00E9210E">
        <w:rPr>
          <w:rFonts w:eastAsia="Courier New"/>
        </w:rPr>
        <w:t xml:space="preserve">, </w:t>
      </w:r>
      <w:r w:rsidRPr="00E9210E">
        <w:rPr>
          <w:rFonts w:eastAsia="Courier New"/>
          <w:i/>
        </w:rPr>
        <w:t xml:space="preserve">Il diritto pubblico e le fonti del diritto en Italia, dal </w:t>
      </w:r>
      <w:r w:rsidRPr="00E9210E">
        <w:rPr>
          <w:rStyle w:val="Corpsdutexte178ptItalique"/>
          <w:rFonts w:eastAsia="Courier New"/>
          <w:i w:val="0"/>
          <w:sz w:val="28"/>
          <w:lang w:val="fr-CA"/>
        </w:rPr>
        <w:t xml:space="preserve">467 </w:t>
      </w:r>
      <w:r w:rsidRPr="00E9210E">
        <w:rPr>
          <w:rFonts w:eastAsia="Courier New"/>
          <w:i/>
        </w:rPr>
        <w:t xml:space="preserve">al </w:t>
      </w:r>
      <w:r w:rsidRPr="00E9210E">
        <w:rPr>
          <w:rStyle w:val="Corpsdutexte178ptItalique"/>
          <w:rFonts w:eastAsia="Courier New"/>
          <w:i w:val="0"/>
          <w:sz w:val="28"/>
          <w:lang w:val="fr-CA"/>
        </w:rPr>
        <w:t>1870</w:t>
      </w:r>
      <w:r w:rsidRPr="00E9210E">
        <w:t>, vol. I, Bari, 1933), « A.H.E.S. », t. VI (1934), pp. 618-619.</w:t>
      </w:r>
    </w:p>
    <w:p w14:paraId="7B9AA8A7" w14:textId="77777777" w:rsidR="00B9662D" w:rsidRPr="00E9210E" w:rsidRDefault="00B9662D" w:rsidP="00B9662D">
      <w:pPr>
        <w:spacing w:before="120" w:after="120"/>
        <w:jc w:val="both"/>
      </w:pPr>
      <w:r w:rsidRPr="00E9210E">
        <w:t>Fiscalité et économie dans l’Italie du XI</w:t>
      </w:r>
      <w:r w:rsidRPr="00E9210E">
        <w:rPr>
          <w:vertAlign w:val="superscript"/>
        </w:rPr>
        <w:t>e</w:t>
      </w:r>
      <w:r w:rsidRPr="00E9210E">
        <w:t xml:space="preserve"> siècle. (Compte rendu : </w:t>
      </w:r>
      <w:r w:rsidRPr="00E9210E">
        <w:rPr>
          <w:rFonts w:eastAsia="Courier New"/>
          <w:i/>
        </w:rPr>
        <w:t>Instituta regalia et ministeria camerae regum Longobardorum et h</w:t>
      </w:r>
      <w:r w:rsidRPr="00E9210E">
        <w:rPr>
          <w:rFonts w:eastAsia="Courier New"/>
          <w:i/>
        </w:rPr>
        <w:t>o</w:t>
      </w:r>
      <w:r w:rsidRPr="00E9210E">
        <w:rPr>
          <w:rFonts w:eastAsia="Courier New"/>
          <w:i/>
        </w:rPr>
        <w:t>norantiae civitatis Papiae</w:t>
      </w:r>
      <w:r w:rsidRPr="00E9210E">
        <w:rPr>
          <w:rFonts w:eastAsia="Courier New"/>
        </w:rPr>
        <w:t>,</w:t>
      </w:r>
      <w:r w:rsidRPr="00E9210E">
        <w:t xml:space="preserve"> Leipzig, 1933. </w:t>
      </w:r>
      <w:r w:rsidRPr="00E9210E">
        <w:rPr>
          <w:rFonts w:eastAsia="Courier New"/>
        </w:rPr>
        <w:t>Mon. Germ. Hist., Script.,</w:t>
      </w:r>
      <w:r w:rsidRPr="00E9210E">
        <w:t xml:space="preserve"> t. XXX, part. II, fasc. 3), « A.H.E.S. », t. VI (1934), p. 619.</w:t>
      </w:r>
    </w:p>
    <w:p w14:paraId="7745031A"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P. </w:t>
      </w:r>
      <w:r w:rsidRPr="00E9210E">
        <w:rPr>
          <w:rStyle w:val="Corpsdutexte11NonItaliquePetitesmajusculesEspacement0pt"/>
          <w:rFonts w:eastAsia="Courier New"/>
          <w:i w:val="0"/>
          <w:iCs w:val="0"/>
          <w:sz w:val="28"/>
          <w:lang w:val="fr-CA"/>
        </w:rPr>
        <w:t xml:space="preserve">Rolland, </w:t>
      </w:r>
      <w:r w:rsidRPr="00E9210E">
        <w:rPr>
          <w:rFonts w:eastAsia="Courier New"/>
          <w:i/>
        </w:rPr>
        <w:t>Les origines de la commune de Tou</w:t>
      </w:r>
      <w:r w:rsidRPr="00E9210E">
        <w:rPr>
          <w:rFonts w:eastAsia="Courier New"/>
          <w:i/>
        </w:rPr>
        <w:t>r</w:t>
      </w:r>
      <w:r w:rsidRPr="00E9210E">
        <w:rPr>
          <w:rFonts w:eastAsia="Courier New"/>
          <w:i/>
        </w:rPr>
        <w:t>nai : histoire interne de la seigneurie épiscopale tournaisienne</w:t>
      </w:r>
      <w:r w:rsidRPr="00E9210E">
        <w:rPr>
          <w:rFonts w:eastAsia="Courier New"/>
        </w:rPr>
        <w:t>,</w:t>
      </w:r>
      <w:r w:rsidRPr="00E9210E">
        <w:rPr>
          <w:rStyle w:val="Corpsdutexte11NonItaliqueEspacement0pt"/>
          <w:rFonts w:eastAsia="Courier New"/>
          <w:i w:val="0"/>
          <w:iCs w:val="0"/>
          <w:sz w:val="28"/>
          <w:lang w:val="fr-CA"/>
        </w:rPr>
        <w:t xml:space="preserve"> Bruxelles, 1931, « Le Moyen Âge », 3</w:t>
      </w:r>
      <w:r w:rsidRPr="00E9210E">
        <w:rPr>
          <w:rStyle w:val="Corpsdutexte11NonItaliqueEspacement0pt"/>
          <w:rFonts w:eastAsia="Courier New"/>
          <w:i w:val="0"/>
          <w:iCs w:val="0"/>
          <w:sz w:val="28"/>
          <w:vertAlign w:val="superscript"/>
          <w:lang w:val="fr-CA"/>
        </w:rPr>
        <w:t>me</w:t>
      </w:r>
      <w:r w:rsidRPr="00E9210E">
        <w:rPr>
          <w:rStyle w:val="Corpsdutexte11NonItaliqueEspacement0pt"/>
          <w:rFonts w:eastAsia="Courier New"/>
          <w:i w:val="0"/>
          <w:iCs w:val="0"/>
          <w:sz w:val="28"/>
          <w:lang w:val="fr-CA"/>
        </w:rPr>
        <w:t xml:space="preserve"> série, t. 4 (1934), pp. 62-69.</w:t>
      </w:r>
    </w:p>
    <w:p w14:paraId="2D9506F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Comptes rendus : R. </w:t>
      </w:r>
      <w:r w:rsidRPr="00E9210E">
        <w:rPr>
          <w:rStyle w:val="Corpsdutexte385ptNonItaliquePetitesmajuscules"/>
          <w:rFonts w:eastAsia="Courier New"/>
          <w:i w:val="0"/>
          <w:iCs w:val="0"/>
          <w:sz w:val="28"/>
        </w:rPr>
        <w:t xml:space="preserve">Limouzin-Lamothe, </w:t>
      </w:r>
      <w:r w:rsidRPr="00E9210E">
        <w:rPr>
          <w:rFonts w:eastAsia="Courier New"/>
          <w:i/>
        </w:rPr>
        <w:t xml:space="preserve">La </w:t>
      </w:r>
      <w:r w:rsidRPr="00E9210E">
        <w:rPr>
          <w:i/>
        </w:rPr>
        <w:t>commune de Toulo</w:t>
      </w:r>
      <w:r w:rsidRPr="00E9210E">
        <w:rPr>
          <w:i/>
        </w:rPr>
        <w:t>u</w:t>
      </w:r>
      <w:r w:rsidRPr="00E9210E">
        <w:rPr>
          <w:i/>
        </w:rPr>
        <w:t>se : étude hist</w:t>
      </w:r>
      <w:r w:rsidRPr="00E9210E">
        <w:rPr>
          <w:i/>
        </w:rPr>
        <w:t>o</w:t>
      </w:r>
      <w:r w:rsidRPr="00E9210E">
        <w:rPr>
          <w:i/>
        </w:rPr>
        <w:t>rique et critique suivie de l'édition du cartulaire du</w:t>
      </w:r>
      <w:r w:rsidRPr="00E9210E">
        <w:t xml:space="preserve"> Consulat,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Toulouse, 1932. — </w:t>
      </w:r>
      <w:r w:rsidRPr="00E9210E">
        <w:rPr>
          <w:i/>
        </w:rPr>
        <w:t>Bibliographie critique de l'histoire de Toulouse des origines à 1789</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Toulouse, 1932), « Le Moyen Âge », 3</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série, t. 4 (1934), pp. 203-211.</w:t>
      </w:r>
    </w:p>
    <w:p w14:paraId="4939EC34" w14:textId="77777777" w:rsidR="00B9662D" w:rsidRPr="00E9210E" w:rsidRDefault="00B9662D" w:rsidP="00B9662D">
      <w:pPr>
        <w:spacing w:before="120" w:after="120"/>
        <w:jc w:val="both"/>
      </w:pPr>
      <w:r w:rsidRPr="00E9210E">
        <w:t xml:space="preserve">Compte rendu : E. </w:t>
      </w:r>
      <w:r w:rsidRPr="00E9210E">
        <w:rPr>
          <w:rFonts w:eastAsia="Courier New"/>
          <w:smallCaps/>
        </w:rPr>
        <w:t>Habel</w:t>
      </w:r>
      <w:r w:rsidRPr="00E9210E">
        <w:t xml:space="preserve"> et F. </w:t>
      </w:r>
      <w:r w:rsidRPr="00E9210E">
        <w:rPr>
          <w:rFonts w:eastAsia="Courier New"/>
          <w:smallCaps/>
        </w:rPr>
        <w:t>Grobel</w:t>
      </w:r>
      <w:r w:rsidRPr="00E9210E">
        <w:rPr>
          <w:rFonts w:eastAsia="Courier New"/>
        </w:rPr>
        <w:t xml:space="preserve">, </w:t>
      </w:r>
      <w:r w:rsidRPr="00E9210E">
        <w:rPr>
          <w:rFonts w:eastAsia="Courier New"/>
          <w:i/>
        </w:rPr>
        <w:t>Mittellateinisches Glo</w:t>
      </w:r>
      <w:r w:rsidRPr="00E9210E">
        <w:rPr>
          <w:rFonts w:eastAsia="Courier New"/>
          <w:i/>
        </w:rPr>
        <w:t>s</w:t>
      </w:r>
      <w:r w:rsidRPr="00E9210E">
        <w:rPr>
          <w:rFonts w:eastAsia="Courier New"/>
          <w:i/>
        </w:rPr>
        <w:t>sar</w:t>
      </w:r>
      <w:r w:rsidRPr="00E9210E">
        <w:rPr>
          <w:rFonts w:eastAsia="Courier New"/>
        </w:rPr>
        <w:t>,</w:t>
      </w:r>
      <w:r w:rsidRPr="00E9210E">
        <w:t xml:space="preserve"> Paderborn, 1931, « Revue historique », t. 173 (1934), pp. 167-168.</w:t>
      </w:r>
    </w:p>
    <w:p w14:paraId="4E276DFE"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J. </w:t>
      </w:r>
      <w:r w:rsidRPr="00E9210E">
        <w:rPr>
          <w:rStyle w:val="Corpsdutexte11NonItaliquePetitesmajusculesEspacement0pt"/>
          <w:rFonts w:eastAsia="Courier New"/>
          <w:i w:val="0"/>
          <w:iCs w:val="0"/>
          <w:sz w:val="28"/>
          <w:lang w:val="fr-CA"/>
        </w:rPr>
        <w:t xml:space="preserve">Spörl, </w:t>
      </w:r>
      <w:r w:rsidRPr="00E9210E">
        <w:rPr>
          <w:rFonts w:eastAsia="Courier New"/>
          <w:i/>
        </w:rPr>
        <w:t>Das Alte und das Neue im Mittelalter. Studien zum Problem des Mittelalterlichen Forschrittbewusstseins</w:t>
      </w:r>
      <w:r w:rsidRPr="00E9210E">
        <w:rPr>
          <w:rFonts w:eastAsia="Courier New"/>
        </w:rPr>
        <w:t>,</w:t>
      </w:r>
      <w:r w:rsidRPr="00E9210E">
        <w:rPr>
          <w:rStyle w:val="Corpsdutexte11NonItaliqueEspacement0pt"/>
          <w:rFonts w:eastAsia="Courier New"/>
          <w:i w:val="0"/>
          <w:iCs w:val="0"/>
          <w:sz w:val="28"/>
          <w:lang w:val="fr-CA"/>
        </w:rPr>
        <w:t xml:space="preserve"> Munich, 1930, « Revue historique », t. 173 (1934), pp. 589-590.</w:t>
      </w:r>
    </w:p>
    <w:p w14:paraId="59B380B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Trangott </w:t>
      </w:r>
      <w:r w:rsidRPr="00E9210E">
        <w:rPr>
          <w:rStyle w:val="Corpsdutexte11NonItaliquePetitesmajusculesEspacement0pt"/>
          <w:rFonts w:eastAsia="Courier New"/>
          <w:i w:val="0"/>
          <w:iCs w:val="0"/>
          <w:sz w:val="28"/>
          <w:lang w:val="fr-CA"/>
        </w:rPr>
        <w:t xml:space="preserve">Schiess, </w:t>
      </w:r>
      <w:r w:rsidRPr="00E9210E">
        <w:rPr>
          <w:rFonts w:eastAsia="Courier New"/>
          <w:i/>
        </w:rPr>
        <w:t>Quellenwerk zur Entstehung der Schweizerischen Eidgenossenschaft</w:t>
      </w:r>
      <w:r w:rsidRPr="00E9210E">
        <w:rPr>
          <w:rFonts w:eastAsia="Courier New"/>
        </w:rPr>
        <w:t xml:space="preserve">. </w:t>
      </w:r>
      <w:r w:rsidRPr="00E9210E">
        <w:rPr>
          <w:rFonts w:eastAsia="Courier New"/>
          <w:i/>
        </w:rPr>
        <w:t>Abteilung I, Urkunden</w:t>
      </w:r>
      <w:r w:rsidRPr="00E9210E">
        <w:rPr>
          <w:rFonts w:eastAsia="Courier New"/>
        </w:rPr>
        <w:t>,</w:t>
      </w:r>
      <w:r w:rsidRPr="00E9210E">
        <w:rPr>
          <w:rStyle w:val="Corpsdutexte11NonItaliqueEspacement0pt"/>
          <w:rFonts w:eastAsia="Courier New"/>
          <w:i w:val="0"/>
          <w:iCs w:val="0"/>
          <w:sz w:val="28"/>
          <w:lang w:val="fr-CA"/>
        </w:rPr>
        <w:t xml:space="preserve"> Bd. I, </w:t>
      </w:r>
      <w:r w:rsidRPr="00E9210E">
        <w:rPr>
          <w:rFonts w:eastAsia="Courier New"/>
          <w:i/>
        </w:rPr>
        <w:t xml:space="preserve">von den Anfängen bis Ende </w:t>
      </w:r>
      <w:r w:rsidRPr="00E9210E">
        <w:rPr>
          <w:rStyle w:val="Corpsdutexte118ptEspacement0pt"/>
          <w:rFonts w:eastAsia="Courier New"/>
          <w:sz w:val="28"/>
          <w:lang w:val="fr-CA"/>
        </w:rPr>
        <w:t>1291,</w:t>
      </w:r>
      <w:r w:rsidRPr="00E9210E">
        <w:rPr>
          <w:rStyle w:val="Corpsdutexte118ptGrasNonItaliqueEspacement0ptchelle120"/>
          <w:rFonts w:eastAsia="Courier New"/>
          <w:i w:val="0"/>
          <w:iCs w:val="0"/>
          <w:sz w:val="28"/>
          <w:lang w:val="fr-CA"/>
        </w:rPr>
        <w:t xml:space="preserve"> </w:t>
      </w:r>
      <w:r w:rsidRPr="00E9210E">
        <w:rPr>
          <w:rStyle w:val="Corpsdutexte11NonItaliqueEspacement0pt"/>
          <w:rFonts w:eastAsia="Courier New"/>
          <w:i w:val="0"/>
          <w:iCs w:val="0"/>
          <w:sz w:val="28"/>
          <w:lang w:val="fr-CA"/>
        </w:rPr>
        <w:t>Aarau, 1933, « Revue historique », t. 174 (1934), p. 81.</w:t>
      </w:r>
    </w:p>
    <w:p w14:paraId="565DC558" w14:textId="77777777" w:rsidR="00B9662D" w:rsidRPr="00E9210E" w:rsidRDefault="00B9662D" w:rsidP="00B9662D">
      <w:pPr>
        <w:spacing w:before="120" w:after="120"/>
        <w:jc w:val="both"/>
      </w:pPr>
      <w:r w:rsidRPr="00E9210E">
        <w:t xml:space="preserve">Dans un atelier d’études franciscaines. (Compte rendu : </w:t>
      </w:r>
      <w:r w:rsidRPr="00E9210E">
        <w:rPr>
          <w:rFonts w:eastAsia="Courier New"/>
          <w:i/>
        </w:rPr>
        <w:t>Études inédites sur saint François d'Assise</w:t>
      </w:r>
      <w:r w:rsidRPr="00E9210E">
        <w:rPr>
          <w:rFonts w:eastAsia="Courier New"/>
        </w:rPr>
        <w:t>.</w:t>
      </w:r>
      <w:r w:rsidRPr="00E9210E">
        <w:t xml:space="preserve"> Notes de P. </w:t>
      </w:r>
      <w:r w:rsidRPr="00E9210E">
        <w:rPr>
          <w:rFonts w:eastAsia="Courier New"/>
          <w:smallCaps/>
        </w:rPr>
        <w:t>Sabatier</w:t>
      </w:r>
      <w:r w:rsidRPr="00E9210E">
        <w:t xml:space="preserve"> rasse</w:t>
      </w:r>
      <w:r w:rsidRPr="00E9210E">
        <w:t>m</w:t>
      </w:r>
      <w:r w:rsidRPr="00E9210E">
        <w:t xml:space="preserve">blées par A. </w:t>
      </w:r>
      <w:r w:rsidRPr="00E9210E">
        <w:rPr>
          <w:rFonts w:eastAsia="Courier New"/>
          <w:smallCaps/>
        </w:rPr>
        <w:t>Goffin</w:t>
      </w:r>
      <w:r w:rsidRPr="00E9210E">
        <w:rPr>
          <w:rFonts w:eastAsia="Courier New"/>
        </w:rPr>
        <w:t>,</w:t>
      </w:r>
      <w:r w:rsidRPr="00E9210E">
        <w:t xml:space="preserve"> Paris, 1932), « Rev. synt. hist. », t. 54 (1934), pp. 80-81.</w:t>
      </w:r>
    </w:p>
    <w:p w14:paraId="6668AB24" w14:textId="77777777" w:rsidR="00B9662D" w:rsidRPr="00E9210E" w:rsidRDefault="00B9662D" w:rsidP="00B9662D">
      <w:pPr>
        <w:spacing w:before="120" w:after="120"/>
        <w:jc w:val="both"/>
      </w:pPr>
      <w:r w:rsidRPr="00E9210E">
        <w:t xml:space="preserve">Une biographie. (Compte rendu : P. </w:t>
      </w:r>
      <w:r w:rsidRPr="00E9210E">
        <w:rPr>
          <w:rFonts w:eastAsia="Courier New"/>
          <w:smallCaps/>
        </w:rPr>
        <w:t>Piur</w:t>
      </w:r>
      <w:r w:rsidRPr="00E9210E">
        <w:rPr>
          <w:rFonts w:eastAsia="Courier New"/>
        </w:rPr>
        <w:t xml:space="preserve">, </w:t>
      </w:r>
      <w:r w:rsidRPr="00E9210E">
        <w:rPr>
          <w:rFonts w:eastAsia="Courier New"/>
          <w:i/>
        </w:rPr>
        <w:t>Cola di Rienzo,</w:t>
      </w:r>
      <w:r w:rsidRPr="00E9210E">
        <w:rPr>
          <w:rFonts w:eastAsia="Courier New"/>
        </w:rPr>
        <w:t xml:space="preserve"> </w:t>
      </w:r>
      <w:r w:rsidRPr="00E9210E">
        <w:rPr>
          <w:rFonts w:eastAsia="Courier New"/>
          <w:i/>
        </w:rPr>
        <w:t>Darste</w:t>
      </w:r>
      <w:r w:rsidRPr="00E9210E">
        <w:rPr>
          <w:rFonts w:eastAsia="Courier New"/>
          <w:i/>
        </w:rPr>
        <w:t>l</w:t>
      </w:r>
      <w:r w:rsidRPr="00E9210E">
        <w:rPr>
          <w:rFonts w:eastAsia="Courier New"/>
          <w:i/>
        </w:rPr>
        <w:t>lung seines Lebens und seines Geistes</w:t>
      </w:r>
      <w:r w:rsidRPr="00E9210E">
        <w:rPr>
          <w:rFonts w:eastAsia="Courier New"/>
        </w:rPr>
        <w:t>,</w:t>
      </w:r>
      <w:r w:rsidRPr="00E9210E">
        <w:t xml:space="preserve"> Vienne, 1931), « Rev. synt. hist. », t. 54 (1934), p. 145.</w:t>
      </w:r>
    </w:p>
    <w:p w14:paraId="587A6CAD" w14:textId="77777777" w:rsidR="00B9662D" w:rsidRPr="00E9210E" w:rsidRDefault="00B9662D" w:rsidP="00B9662D">
      <w:pPr>
        <w:spacing w:before="120" w:after="120"/>
        <w:jc w:val="both"/>
      </w:pPr>
      <w:r w:rsidRPr="00E9210E">
        <w:t>Ce qu’enseigne l’histoire d’un grand saint. (Compte rendu : K. </w:t>
      </w:r>
      <w:r w:rsidRPr="00E9210E">
        <w:rPr>
          <w:rFonts w:eastAsia="Courier New"/>
          <w:smallCaps/>
        </w:rPr>
        <w:t>Meisen</w:t>
      </w:r>
      <w:r w:rsidRPr="00E9210E">
        <w:rPr>
          <w:rFonts w:eastAsia="Courier New"/>
        </w:rPr>
        <w:t xml:space="preserve">, </w:t>
      </w:r>
      <w:r w:rsidRPr="00E9210E">
        <w:rPr>
          <w:rFonts w:eastAsia="Courier New"/>
          <w:i/>
        </w:rPr>
        <w:t>Nicolauskult und Nicolausbrauch im Abendlande : eine Kultur-geographisch-volkskundliche Untersuchung</w:t>
      </w:r>
      <w:r w:rsidRPr="00E9210E">
        <w:rPr>
          <w:rFonts w:eastAsia="Courier New"/>
        </w:rPr>
        <w:t>,</w:t>
      </w:r>
      <w:r w:rsidRPr="00E9210E">
        <w:t xml:space="preserve"> Düsseldorf, 1931), « Rev. synt. hist. », t. 54 (1934), pp. 211-216.</w:t>
      </w:r>
    </w:p>
    <w:p w14:paraId="6BA81890" w14:textId="77777777" w:rsidR="00B9662D" w:rsidRPr="00E9210E" w:rsidRDefault="00B9662D" w:rsidP="00B9662D">
      <w:pPr>
        <w:spacing w:before="120" w:after="120"/>
        <w:jc w:val="both"/>
      </w:pPr>
      <w:r w:rsidRPr="00E9210E">
        <w:t xml:space="preserve">Compte rendu : J. </w:t>
      </w:r>
      <w:r w:rsidRPr="00E9210E">
        <w:rPr>
          <w:rStyle w:val="Corpsdutexte177ptGras"/>
          <w:rFonts w:eastAsia="Courier New"/>
          <w:b w:val="0"/>
          <w:smallCaps/>
          <w:sz w:val="28"/>
          <w:lang w:val="fr-CA"/>
        </w:rPr>
        <w:t>Sion</w:t>
      </w:r>
      <w:r w:rsidRPr="00E9210E">
        <w:rPr>
          <w:rStyle w:val="Corpsdutexte177ptGras"/>
          <w:rFonts w:eastAsia="Courier New"/>
          <w:b w:val="0"/>
          <w:sz w:val="28"/>
          <w:lang w:val="fr-CA"/>
        </w:rPr>
        <w:t>,</w:t>
      </w:r>
      <w:r w:rsidRPr="00E9210E">
        <w:rPr>
          <w:rStyle w:val="Corpsdutexte177ptGras"/>
          <w:rFonts w:eastAsia="Courier New"/>
          <w:sz w:val="28"/>
          <w:lang w:val="fr-CA"/>
        </w:rPr>
        <w:t xml:space="preserve"> </w:t>
      </w:r>
      <w:r w:rsidRPr="00E9210E">
        <w:rPr>
          <w:rFonts w:eastAsia="Courier New"/>
          <w:i/>
        </w:rPr>
        <w:t>La France méditerranéenne</w:t>
      </w:r>
      <w:r w:rsidRPr="00E9210E">
        <w:rPr>
          <w:rFonts w:eastAsia="Courier New"/>
        </w:rPr>
        <w:t>,</w:t>
      </w:r>
      <w:r w:rsidRPr="00E9210E">
        <w:t xml:space="preserve"> Paris, 1934, « Rev. synt. hist. », t. 54 (1934), pp. 269-270.</w:t>
      </w:r>
    </w:p>
    <w:p w14:paraId="2AC345D9"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 sermon, force historique. (Compte rendu : G. R. </w:t>
      </w:r>
      <w:r w:rsidRPr="00E9210E">
        <w:rPr>
          <w:rStyle w:val="Corpsdutexte11NonItaliquePetitesmajusculesEspacement0pt"/>
          <w:rFonts w:eastAsia="Courier New"/>
          <w:i w:val="0"/>
          <w:iCs w:val="0"/>
          <w:sz w:val="28"/>
          <w:lang w:val="fr-CA"/>
        </w:rPr>
        <w:t xml:space="preserve">Owst, </w:t>
      </w:r>
      <w:r w:rsidRPr="00E9210E">
        <w:rPr>
          <w:rFonts w:eastAsia="Courier New"/>
          <w:i/>
        </w:rPr>
        <w:t>Liter</w:t>
      </w:r>
      <w:r w:rsidRPr="00E9210E">
        <w:rPr>
          <w:rFonts w:eastAsia="Courier New"/>
          <w:i/>
        </w:rPr>
        <w:t>a</w:t>
      </w:r>
      <w:r w:rsidRPr="00E9210E">
        <w:rPr>
          <w:rFonts w:eastAsia="Courier New"/>
          <w:i/>
        </w:rPr>
        <w:t>ture and pulpit in mediaeval England : a neglected chapter in the hi</w:t>
      </w:r>
      <w:r w:rsidRPr="00E9210E">
        <w:rPr>
          <w:rFonts w:eastAsia="Courier New"/>
          <w:i/>
        </w:rPr>
        <w:t>s</w:t>
      </w:r>
      <w:r w:rsidRPr="00E9210E">
        <w:rPr>
          <w:rFonts w:eastAsia="Courier New"/>
          <w:i/>
        </w:rPr>
        <w:t>tory of English letters and of the English pulpit</w:t>
      </w:r>
      <w:r w:rsidRPr="00E9210E">
        <w:rPr>
          <w:rFonts w:eastAsia="Courier New"/>
        </w:rPr>
        <w:t>,</w:t>
      </w:r>
      <w:r w:rsidRPr="00E9210E">
        <w:rPr>
          <w:rStyle w:val="Corpsdutexte11NonItaliqueEspacement0pt"/>
          <w:rFonts w:eastAsia="Courier New"/>
          <w:i w:val="0"/>
          <w:iCs w:val="0"/>
          <w:sz w:val="28"/>
          <w:lang w:val="fr-CA"/>
        </w:rPr>
        <w:t xml:space="preserve"> Cambridge, 1933), « Rev. synt. hist. », t. 54 (1934), p. 273-274.</w:t>
      </w:r>
    </w:p>
    <w:p w14:paraId="205B6123" w14:textId="77777777" w:rsidR="00B9662D" w:rsidRPr="00E9210E" w:rsidRDefault="00B9662D" w:rsidP="00B9662D">
      <w:pPr>
        <w:spacing w:before="120" w:after="120"/>
        <w:jc w:val="both"/>
      </w:pPr>
    </w:p>
    <w:p w14:paraId="6CAA443E" w14:textId="77777777" w:rsidR="00B9662D" w:rsidRPr="00E9210E" w:rsidRDefault="00B9662D" w:rsidP="00B9662D">
      <w:pPr>
        <w:spacing w:before="120" w:after="120"/>
        <w:jc w:val="center"/>
        <w:rPr>
          <w:b/>
        </w:rPr>
      </w:pPr>
      <w:r w:rsidRPr="00E9210E">
        <w:rPr>
          <w:b/>
        </w:rPr>
        <w:t>1935</w:t>
      </w:r>
    </w:p>
    <w:p w14:paraId="5B08F821" w14:textId="77777777" w:rsidR="00B9662D" w:rsidRPr="00E9210E" w:rsidRDefault="00B9662D" w:rsidP="00B9662D">
      <w:pPr>
        <w:spacing w:before="120" w:after="120"/>
        <w:jc w:val="both"/>
      </w:pPr>
    </w:p>
    <w:p w14:paraId="022402B4" w14:textId="77777777" w:rsidR="00B9662D" w:rsidRPr="00E9210E" w:rsidRDefault="00B9662D" w:rsidP="00B9662D">
      <w:pPr>
        <w:spacing w:before="120" w:after="120"/>
        <w:jc w:val="both"/>
      </w:pPr>
      <w:r w:rsidRPr="00E9210E">
        <w:t>« </w:t>
      </w:r>
      <w:r w:rsidRPr="00E9210E">
        <w:rPr>
          <w:b/>
        </w:rPr>
        <w:t>Les plans parcellaires — les terroirs du Nord au lendemain de la Révolution </w:t>
      </w:r>
      <w:r w:rsidRPr="00E9210E">
        <w:t xml:space="preserve">», </w:t>
      </w:r>
      <w:r w:rsidRPr="00E9210E">
        <w:rPr>
          <w:rStyle w:val="Corpsdutexte2ItaliqueEspacement0pt"/>
          <w:rFonts w:eastAsia="Courier New"/>
          <w:sz w:val="28"/>
        </w:rPr>
        <w:t>A.H.E.S.,</w:t>
      </w:r>
      <w:r w:rsidRPr="00E9210E">
        <w:rPr>
          <w:rStyle w:val="Corpsdutexte28ptGraschelle120"/>
          <w:rFonts w:eastAsia="Courier New"/>
          <w:sz w:val="28"/>
        </w:rPr>
        <w:t xml:space="preserve"> </w:t>
      </w:r>
      <w:r w:rsidRPr="00E9210E">
        <w:t>t. VII (1935), p. 39-40.</w:t>
      </w:r>
    </w:p>
    <w:p w14:paraId="3A885868" w14:textId="77777777" w:rsidR="00B9662D" w:rsidRPr="00E9210E" w:rsidRDefault="00B9662D" w:rsidP="00B9662D">
      <w:pPr>
        <w:spacing w:before="120" w:after="120"/>
        <w:jc w:val="both"/>
      </w:pPr>
      <w:r w:rsidRPr="00E9210E">
        <w:t>« </w:t>
      </w:r>
      <w:r w:rsidRPr="00E9210E">
        <w:rPr>
          <w:b/>
        </w:rPr>
        <w:t>Une nouvelle image de nos terroirs : la mise à jour du cada</w:t>
      </w:r>
      <w:r w:rsidRPr="00E9210E">
        <w:rPr>
          <w:b/>
        </w:rPr>
        <w:t>s</w:t>
      </w:r>
      <w:r w:rsidRPr="00E9210E">
        <w:rPr>
          <w:b/>
        </w:rPr>
        <w:t>tre </w:t>
      </w:r>
      <w:r w:rsidRPr="00E9210E">
        <w:t xml:space="preserve">», </w:t>
      </w:r>
      <w:r w:rsidRPr="00E9210E">
        <w:rPr>
          <w:rStyle w:val="Corpsdutexte885ptNonGrasItaliqueEspacement0ptchelle100"/>
          <w:rFonts w:eastAsia="Courier New"/>
          <w:b w:val="0"/>
          <w:bCs w:val="0"/>
          <w:sz w:val="28"/>
          <w:lang w:val="fr-CA"/>
        </w:rPr>
        <w:t xml:space="preserve">A.H.E.S., </w:t>
      </w:r>
      <w:r w:rsidRPr="00E9210E">
        <w:rPr>
          <w:rStyle w:val="Corpsdutexte885ptNonGraschelle100"/>
          <w:rFonts w:eastAsia="Courier New"/>
          <w:b w:val="0"/>
          <w:bCs w:val="0"/>
          <w:sz w:val="28"/>
        </w:rPr>
        <w:t>t. VII (1935), p. 156-159.</w:t>
      </w:r>
    </w:p>
    <w:p w14:paraId="1BB45D49" w14:textId="77777777" w:rsidR="00B9662D" w:rsidRPr="00E9210E" w:rsidRDefault="00B9662D" w:rsidP="00B9662D">
      <w:pPr>
        <w:spacing w:before="120" w:after="120"/>
        <w:jc w:val="both"/>
      </w:pPr>
      <w:r w:rsidRPr="00E9210E">
        <w:br w:type="page"/>
      </w:r>
      <w:r w:rsidRPr="00E9210E">
        <w:rPr>
          <w:rFonts w:eastAsia="Courier New"/>
        </w:rPr>
        <w:t>[1071]</w:t>
      </w:r>
    </w:p>
    <w:p w14:paraId="716B7948"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Note des Directeurs »</w:t>
      </w:r>
      <w:r w:rsidRPr="00E9210E">
        <w:t xml:space="preserve">, </w:t>
      </w:r>
      <w:r w:rsidRPr="00E9210E">
        <w:rPr>
          <w:rFonts w:eastAsia="Courier New"/>
          <w:i/>
        </w:rPr>
        <w:t>A.H.E.S.,</w:t>
      </w:r>
      <w:r w:rsidRPr="00E9210E">
        <w:t xml:space="preserve"> t. VII (1935), p. 433.</w:t>
      </w:r>
    </w:p>
    <w:p w14:paraId="4318AF19"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 xml:space="preserve">Avènement et conquêtes du moulin </w:t>
      </w:r>
      <w:r w:rsidRPr="00E9210E">
        <w:rPr>
          <w:rStyle w:val="Corpsdutexte885ptNonGraschelle100"/>
          <w:rFonts w:eastAsia="Courier New"/>
          <w:b w:val="0"/>
          <w:bCs w:val="0"/>
          <w:sz w:val="28"/>
        </w:rPr>
        <w:t xml:space="preserve">à </w:t>
      </w:r>
      <w:r w:rsidRPr="00E9210E">
        <w:rPr>
          <w:b/>
        </w:rPr>
        <w:t>eau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A.H.E.S.,</w:t>
      </w:r>
      <w:r w:rsidRPr="00E9210E">
        <w:rPr>
          <w:rStyle w:val="Corpsdutexte885ptNonGraschelle100"/>
          <w:rFonts w:eastAsia="Courier New"/>
          <w:b w:val="0"/>
          <w:bCs w:val="0"/>
          <w:sz w:val="28"/>
        </w:rPr>
        <w:t xml:space="preserve"> t. VII (1935), pp. 538-563.</w:t>
      </w:r>
    </w:p>
    <w:p w14:paraId="25023A29"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Les ‘Inventions’</w:t>
      </w:r>
      <w:r w:rsidRPr="00E9210E">
        <w:t xml:space="preserve"> </w:t>
      </w:r>
      <w:r w:rsidRPr="00E9210E">
        <w:rPr>
          <w:rStyle w:val="Corpsdutexte28ptGraschelle120"/>
          <w:rFonts w:eastAsia="Courier New"/>
          <w:sz w:val="28"/>
        </w:rPr>
        <w:t>médiévales »</w:t>
      </w:r>
      <w:r w:rsidRPr="00E9210E">
        <w:t xml:space="preserve">, </w:t>
      </w:r>
      <w:r w:rsidRPr="00E9210E">
        <w:rPr>
          <w:rFonts w:eastAsia="Courier New"/>
        </w:rPr>
        <w:t>A.H.E.S.,</w:t>
      </w:r>
      <w:r w:rsidRPr="00E9210E">
        <w:t xml:space="preserve"> t. VII (1935), pp. 634-643.</w:t>
      </w:r>
    </w:p>
    <w:p w14:paraId="617DF5D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En Seine-et-Oise. (Compte rendu : H. </w:t>
      </w:r>
      <w:r w:rsidRPr="00E9210E">
        <w:rPr>
          <w:rStyle w:val="Corpsdutexte37ptGrasNonItalique"/>
          <w:rFonts w:eastAsia="Courier New"/>
          <w:b w:val="0"/>
          <w:i w:val="0"/>
          <w:iCs w:val="0"/>
          <w:smallCaps/>
          <w:sz w:val="28"/>
        </w:rPr>
        <w:t>Lemoine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plans parce</w:t>
      </w:r>
      <w:r w:rsidRPr="00E9210E">
        <w:rPr>
          <w:i/>
        </w:rPr>
        <w:t>l</w:t>
      </w:r>
      <w:r w:rsidRPr="00E9210E">
        <w:rPr>
          <w:i/>
        </w:rPr>
        <w:t>laires de l’Ancien R</w:t>
      </w:r>
      <w:r w:rsidRPr="00E9210E">
        <w:rPr>
          <w:i/>
        </w:rPr>
        <w:t>é</w:t>
      </w:r>
      <w:r w:rsidRPr="00E9210E">
        <w:rPr>
          <w:i/>
        </w:rPr>
        <w:t>gime et les plans cadastraux en Seine-et-Oise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Arch. dép. de Seine-et-Oise, 1933)</w:t>
      </w:r>
      <w:r w:rsidRPr="00E9210E">
        <w:t>, « A.H.E.S. », t. VII (1935), pp. 40-41.</w:t>
      </w:r>
    </w:p>
    <w:p w14:paraId="384CDC66" w14:textId="77777777" w:rsidR="00B9662D" w:rsidRPr="00E9210E" w:rsidRDefault="00B9662D" w:rsidP="00B9662D">
      <w:pPr>
        <w:spacing w:before="120" w:after="120"/>
        <w:jc w:val="both"/>
      </w:pPr>
      <w:r w:rsidRPr="00E9210E">
        <w:t xml:space="preserve">Un excellent outil. (Compte rendu : J. </w:t>
      </w:r>
      <w:r w:rsidRPr="00E9210E">
        <w:rPr>
          <w:rStyle w:val="Corpsdutexte27ptGras"/>
          <w:rFonts w:eastAsia="Courier New"/>
          <w:b w:val="0"/>
          <w:smallCaps/>
          <w:sz w:val="28"/>
        </w:rPr>
        <w:t>Calmette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L’élaboration du monde moderne </w:t>
      </w:r>
      <w:r w:rsidRPr="00E9210E">
        <w:t>(coll. « Clio »), Paris, 1934), « </w:t>
      </w:r>
      <w:r w:rsidRPr="00E9210E">
        <w:rPr>
          <w:rFonts w:eastAsia="Courier New"/>
        </w:rPr>
        <w:t>A.H.E.S.</w:t>
      </w:r>
      <w:r w:rsidRPr="00E9210E">
        <w:t> », t. VII (1935), pp. 71-72.</w:t>
      </w:r>
    </w:p>
    <w:p w14:paraId="77AFFDBB" w14:textId="77777777" w:rsidR="00B9662D" w:rsidRPr="00E9210E" w:rsidRDefault="00B9662D" w:rsidP="00B9662D">
      <w:pPr>
        <w:spacing w:before="120" w:after="120"/>
        <w:jc w:val="both"/>
      </w:pPr>
      <w:r w:rsidRPr="00E9210E">
        <w:t xml:space="preserve">Compte rendu : </w:t>
      </w:r>
      <w:r w:rsidRPr="00E9210E">
        <w:rPr>
          <w:rFonts w:eastAsia="Courier New"/>
          <w:i/>
        </w:rPr>
        <w:t>Documentation économique</w:t>
      </w:r>
      <w:r w:rsidRPr="00E9210E">
        <w:rPr>
          <w:i/>
        </w:rPr>
        <w:t xml:space="preserve"> (paraissant depuis mai 1934, sous la direction de R. Mossé</w:t>
      </w:r>
      <w:r w:rsidRPr="00E9210E">
        <w:t>), « A.H.E.S. », t. VII (1935), p. 73.</w:t>
      </w:r>
    </w:p>
    <w:p w14:paraId="35A5F67B" w14:textId="77777777" w:rsidR="00B9662D" w:rsidRPr="00E9210E" w:rsidRDefault="00B9662D" w:rsidP="00B9662D">
      <w:pPr>
        <w:spacing w:before="120" w:after="120"/>
        <w:jc w:val="both"/>
      </w:pPr>
      <w:r w:rsidRPr="00E9210E">
        <w:t xml:space="preserve">Une synthèse de l’histoire économique médiévale. (Compte rendu : </w:t>
      </w:r>
      <w:r w:rsidRPr="00E9210E">
        <w:rPr>
          <w:rFonts w:eastAsia="Courier New"/>
          <w:i/>
        </w:rPr>
        <w:t>La civilisation occidentale au Moyen Âge du XI</w:t>
      </w:r>
      <w:r w:rsidRPr="00E9210E">
        <w:rPr>
          <w:rFonts w:eastAsia="Courier New"/>
          <w:i/>
          <w:vertAlign w:val="superscript"/>
        </w:rPr>
        <w:t>e</w:t>
      </w:r>
      <w:r w:rsidRPr="00E9210E">
        <w:rPr>
          <w:rFonts w:eastAsia="Courier New"/>
          <w:i/>
        </w:rPr>
        <w:t xml:space="preserve"> siècle au milieu du XV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t xml:space="preserve"> Paris, 1933. Coll. </w:t>
      </w:r>
      <w:r w:rsidRPr="00E9210E">
        <w:rPr>
          <w:rFonts w:eastAsia="Courier New"/>
        </w:rPr>
        <w:t>Histoire générale</w:t>
      </w:r>
      <w:r w:rsidRPr="00E9210E">
        <w:t xml:space="preserve"> publiée sous la dire</w:t>
      </w:r>
      <w:r w:rsidRPr="00E9210E">
        <w:t>c</w:t>
      </w:r>
      <w:r w:rsidRPr="00E9210E">
        <w:t>tion de G. Glotz, t. VIII), « A.H.E.S. », t. VII (1935), pp. 78-80.</w:t>
      </w:r>
    </w:p>
    <w:p w14:paraId="3AED96CA" w14:textId="77777777" w:rsidR="00B9662D" w:rsidRPr="00E9210E" w:rsidRDefault="00B9662D" w:rsidP="00B9662D">
      <w:pPr>
        <w:spacing w:before="120" w:after="120"/>
        <w:jc w:val="both"/>
      </w:pPr>
      <w:r w:rsidRPr="00E9210E">
        <w:t xml:space="preserve">La répartition des dépenses comme caractère de classe. (Compte rendu : M. </w:t>
      </w:r>
      <w:r w:rsidRPr="00E9210E">
        <w:rPr>
          <w:rStyle w:val="Corpsdutexte27ptGras"/>
          <w:rFonts w:eastAsia="Courier New"/>
          <w:b w:val="0"/>
          <w:smallCaps/>
          <w:sz w:val="28"/>
        </w:rPr>
        <w:t>Halbwachs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L’évolution des besoins dans les classes o</w:t>
      </w:r>
      <w:r w:rsidRPr="00E9210E">
        <w:rPr>
          <w:rStyle w:val="Corpsdutexte28ptItalique"/>
          <w:rFonts w:eastAsia="Courier New"/>
          <w:sz w:val="28"/>
        </w:rPr>
        <w:t>u</w:t>
      </w:r>
      <w:r w:rsidRPr="00E9210E">
        <w:rPr>
          <w:rStyle w:val="Corpsdutexte28ptItalique"/>
          <w:rFonts w:eastAsia="Courier New"/>
          <w:sz w:val="28"/>
        </w:rPr>
        <w:t>vrières,</w:t>
      </w:r>
      <w:r w:rsidRPr="00E9210E">
        <w:rPr>
          <w:rStyle w:val="Corpsdutexte28ptGraschelle120"/>
          <w:rFonts w:eastAsia="Courier New"/>
          <w:sz w:val="28"/>
        </w:rPr>
        <w:t xml:space="preserve"> </w:t>
      </w:r>
      <w:r w:rsidRPr="00E9210E">
        <w:t>Paris, 1933), « A.H.E.S. », t. VII (1935), pp. 83-86.</w:t>
      </w:r>
    </w:p>
    <w:p w14:paraId="47BE8F83" w14:textId="77777777" w:rsidR="00B9662D" w:rsidRPr="00E9210E" w:rsidRDefault="00B9662D" w:rsidP="00B9662D">
      <w:pPr>
        <w:spacing w:before="120" w:after="120"/>
        <w:jc w:val="both"/>
      </w:pPr>
      <w:r w:rsidRPr="00E9210E">
        <w:t xml:space="preserve">Encore les origines de </w:t>
      </w:r>
      <w:r w:rsidRPr="00E9210E">
        <w:rPr>
          <w:rFonts w:eastAsia="Courier New"/>
        </w:rPr>
        <w:t>l’</w:t>
      </w:r>
      <w:r w:rsidRPr="00E9210E">
        <w:t>« esprit capitaliste ». (Compte rendu : A. </w:t>
      </w:r>
      <w:r w:rsidRPr="00E9210E">
        <w:rPr>
          <w:rStyle w:val="Corpsdutexte27ptGras"/>
          <w:rFonts w:eastAsia="Courier New"/>
          <w:b w:val="0"/>
          <w:smallCaps/>
          <w:sz w:val="28"/>
        </w:rPr>
        <w:t>Fanfani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origini dello spirito capitalistico in Italia,</w:t>
      </w:r>
      <w:r w:rsidRPr="00E9210E">
        <w:rPr>
          <w:i/>
        </w:rPr>
        <w:t xml:space="preserve"> Milan</w:t>
      </w:r>
      <w:r w:rsidRPr="00E9210E">
        <w:t>, 1933), « A.H.E.S. », t. VII (1935), pp. 92-94.</w:t>
      </w:r>
    </w:p>
    <w:p w14:paraId="74945D0B" w14:textId="77777777" w:rsidR="00B9662D" w:rsidRPr="00E9210E" w:rsidRDefault="00B9662D" w:rsidP="00B9662D">
      <w:pPr>
        <w:spacing w:before="120" w:after="120"/>
        <w:jc w:val="both"/>
      </w:pPr>
      <w:r w:rsidRPr="00E9210E">
        <w:rPr>
          <w:rStyle w:val="Corpsdutexte385ptNonItalique"/>
          <w:rFonts w:eastAsia="Courier New"/>
          <w:i w:val="0"/>
          <w:iCs w:val="0"/>
          <w:sz w:val="28"/>
        </w:rPr>
        <w:t>Un grand bourgeois du XIII</w:t>
      </w:r>
      <w:r w:rsidRPr="00E9210E">
        <w:rPr>
          <w:rStyle w:val="Corpsdutexte37ptGrasNonItalique"/>
          <w:rFonts w:eastAsia="Courier New"/>
          <w:i w:val="0"/>
          <w:iCs w:val="0"/>
          <w:sz w:val="28"/>
          <w:vertAlign w:val="superscript"/>
        </w:rPr>
        <w:t>e</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siècle. (Compte rendu : G. </w:t>
      </w:r>
      <w:r w:rsidRPr="00E9210E">
        <w:rPr>
          <w:rStyle w:val="Corpsdutexte37ptGrasNonItalique"/>
          <w:rFonts w:eastAsia="Courier New"/>
          <w:b w:val="0"/>
          <w:i w:val="0"/>
          <w:iCs w:val="0"/>
          <w:smallCaps/>
          <w:sz w:val="28"/>
        </w:rPr>
        <w:t>Espinas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origines du capitalisme</w:t>
      </w:r>
      <w:r w:rsidRPr="00E9210E">
        <w:t>.</w:t>
      </w:r>
      <w:r w:rsidRPr="00E9210E">
        <w:rPr>
          <w:rStyle w:val="Corpsdutexte3GrasNonItaliquechelle120"/>
          <w:rFonts w:eastAsia="Courier New"/>
          <w:i w:val="0"/>
          <w:iCs w:val="0"/>
          <w:sz w:val="28"/>
        </w:rPr>
        <w:t xml:space="preserve"> </w:t>
      </w:r>
      <w:r w:rsidRPr="00E9210E">
        <w:rPr>
          <w:rStyle w:val="Corpsdutexte3GrasNonItaliquechelle120"/>
          <w:rFonts w:eastAsia="Courier New"/>
          <w:b w:val="0"/>
          <w:i w:val="0"/>
          <w:iCs w:val="0"/>
          <w:sz w:val="28"/>
        </w:rPr>
        <w:t>1,</w:t>
      </w:r>
      <w:r w:rsidRPr="00E9210E">
        <w:rPr>
          <w:rStyle w:val="Corpsdutexte3GrasNonItaliquechelle120"/>
          <w:rFonts w:eastAsia="Courier New"/>
          <w:i w:val="0"/>
          <w:iCs w:val="0"/>
          <w:sz w:val="28"/>
        </w:rPr>
        <w:t xml:space="preserve"> </w:t>
      </w:r>
      <w:r w:rsidRPr="00E9210E">
        <w:rPr>
          <w:i/>
        </w:rPr>
        <w:t>Sire Jehan Boinebroke, patricien et drapier douaisien (7-1286 e</w:t>
      </w:r>
      <w:r w:rsidRPr="00E9210E">
        <w:rPr>
          <w:i/>
        </w:rPr>
        <w:t>n</w:t>
      </w:r>
      <w:r w:rsidRPr="00E9210E">
        <w:rPr>
          <w:i/>
        </w:rPr>
        <w:t>viron)</w:t>
      </w:r>
      <w:r w:rsidRPr="00E9210E">
        <w:t xml:space="preserve">, </w:t>
      </w:r>
      <w:r w:rsidRPr="00E9210E">
        <w:rPr>
          <w:rStyle w:val="Corpsdutexte385ptNonItalique"/>
          <w:rFonts w:eastAsia="Courier New"/>
          <w:i w:val="0"/>
          <w:iCs w:val="0"/>
          <w:sz w:val="28"/>
        </w:rPr>
        <w:t>Lille, 1933), « A.H.E.S. », t. VII (1935), pp. 95-96.</w:t>
      </w:r>
    </w:p>
    <w:p w14:paraId="7AC261A2"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Aux origines </w:t>
      </w:r>
      <w:r w:rsidRPr="00E9210E">
        <w:rPr>
          <w:rStyle w:val="Corpsdutexte37ptGrasNonItalique"/>
          <w:rFonts w:eastAsia="Courier New"/>
          <w:b w:val="0"/>
          <w:i w:val="0"/>
          <w:iCs w:val="0"/>
          <w:sz w:val="28"/>
        </w:rPr>
        <w:t>du</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capitalisme vénitien. (Compte rendu : A. E. </w:t>
      </w:r>
      <w:r w:rsidRPr="00E9210E">
        <w:rPr>
          <w:rStyle w:val="Corpsdutexte37ptGrasNonItalique"/>
          <w:rFonts w:eastAsia="Courier New"/>
          <w:b w:val="0"/>
          <w:i w:val="0"/>
          <w:iCs w:val="0"/>
          <w:smallCaps/>
          <w:sz w:val="28"/>
        </w:rPr>
        <w:t>Sayous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rôle du capital dans la vie locale et le commerce ext</w:t>
      </w:r>
      <w:r w:rsidRPr="00E9210E">
        <w:rPr>
          <w:i/>
        </w:rPr>
        <w:t>é</w:t>
      </w:r>
      <w:r w:rsidRPr="00E9210E">
        <w:rPr>
          <w:i/>
        </w:rPr>
        <w:t>rieur de Venise entre 1050 et 1150</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belge de philologie et d’histoire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XIII (1934), pp. 657-696), « A.H.E.S. », t. VII (1935)</w:t>
      </w:r>
      <w:r w:rsidRPr="00E9210E">
        <w:t>, p. 96.</w:t>
      </w:r>
    </w:p>
    <w:p w14:paraId="0E28809C" w14:textId="77777777" w:rsidR="00B9662D" w:rsidRPr="00E9210E" w:rsidRDefault="00B9662D" w:rsidP="00B9662D">
      <w:pPr>
        <w:spacing w:before="120" w:after="120"/>
        <w:jc w:val="both"/>
      </w:pPr>
      <w:r w:rsidRPr="00E9210E">
        <w:t xml:space="preserve">La toponymie sur le terrain. (Compte rendu : A. </w:t>
      </w:r>
      <w:r w:rsidRPr="00E9210E">
        <w:rPr>
          <w:rStyle w:val="Corpsdutexte27ptGras"/>
          <w:rFonts w:eastAsia="Courier New"/>
          <w:b w:val="0"/>
          <w:smallCaps/>
          <w:sz w:val="28"/>
        </w:rPr>
        <w:t>Pierret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Essai d’explication historique des noms de lieux composés en -han,</w:t>
      </w:r>
      <w:r w:rsidRPr="00E9210E">
        <w:rPr>
          <w:i/>
        </w:rPr>
        <w:t xml:space="preserve"> dans </w:t>
      </w:r>
      <w:r w:rsidRPr="00E9210E">
        <w:rPr>
          <w:rFonts w:eastAsia="Courier New"/>
          <w:i/>
        </w:rPr>
        <w:t>Revue belge de philologie et d’histoire</w:t>
      </w:r>
      <w:r w:rsidRPr="00E9210E">
        <w:rPr>
          <w:rFonts w:eastAsia="Courier New"/>
        </w:rPr>
        <w:t xml:space="preserve">, </w:t>
      </w:r>
      <w:r w:rsidRPr="00E9210E">
        <w:t>t. XIII (1934), pp. 629-640), « A.H.E.S. », t. VII (1935), pp. 99-100.</w:t>
      </w:r>
    </w:p>
    <w:p w14:paraId="42DAA4C8"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 « fermeture » de la Méditerranée. (Compte rendu : H. </w:t>
      </w:r>
      <w:r w:rsidRPr="00E9210E">
        <w:rPr>
          <w:rStyle w:val="Corpsdutexte37ptGrasNonItalique"/>
          <w:rFonts w:eastAsia="Courier New"/>
          <w:b w:val="0"/>
          <w:i w:val="0"/>
          <w:iCs w:val="0"/>
          <w:smallCaps/>
          <w:sz w:val="28"/>
        </w:rPr>
        <w:t>Pirenne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fin du commerce des Syriens en Occident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Annuaire de l’Institut de philologie et d’histoire orientales,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II (1933-1934), </w:t>
      </w:r>
      <w:r w:rsidRPr="00E9210E">
        <w:t>(M</w:t>
      </w:r>
      <w:r w:rsidRPr="00E9210E">
        <w:t>é</w:t>
      </w:r>
      <w:r w:rsidRPr="00E9210E">
        <w:t>langes Bidez),</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pp. 677-687), « A.H.E.S. », t. VII (1935)</w:t>
      </w:r>
      <w:r w:rsidRPr="00E9210E">
        <w:t>, p. 100.</w:t>
      </w:r>
    </w:p>
    <w:p w14:paraId="58F06AC4" w14:textId="77777777" w:rsidR="00B9662D" w:rsidRPr="00E9210E" w:rsidRDefault="00B9662D" w:rsidP="00B9662D">
      <w:pPr>
        <w:spacing w:before="120" w:after="120"/>
        <w:jc w:val="both"/>
      </w:pPr>
      <w:r w:rsidRPr="00E9210E">
        <w:t xml:space="preserve">Sur la structure de Tancienne société germanique. (Compte rendu : K. H. </w:t>
      </w:r>
      <w:r w:rsidRPr="00E9210E">
        <w:rPr>
          <w:rStyle w:val="Corpsdutexte27ptGras"/>
          <w:rFonts w:eastAsia="Courier New"/>
          <w:b w:val="0"/>
          <w:smallCaps/>
          <w:sz w:val="28"/>
        </w:rPr>
        <w:t>Ganahl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Hufe und Wergeld,</w:t>
      </w:r>
      <w:r w:rsidRPr="00E9210E">
        <w:rPr>
          <w:i/>
        </w:rPr>
        <w:t xml:space="preserve"> dans </w:t>
      </w:r>
      <w:r w:rsidRPr="00E9210E">
        <w:rPr>
          <w:rFonts w:eastAsia="Courier New"/>
          <w:i/>
        </w:rPr>
        <w:t>Zeitschrift der Savigny-Stiftung für Rechtsgeschichte</w:t>
      </w:r>
      <w:r w:rsidRPr="00E9210E">
        <w:rPr>
          <w:rFonts w:eastAsia="Courier New"/>
        </w:rPr>
        <w:t>, Germ. Abt.,</w:t>
      </w:r>
      <w:r w:rsidRPr="00E9210E">
        <w:t xml:space="preserve"> t. LIII (1933), pp. 208-246), « A.H.E.S. », t. VII (1935), pp. 100-</w:t>
      </w:r>
      <w:r w:rsidRPr="00E9210E">
        <w:rPr>
          <w:rStyle w:val="Corpsdutexte275ptGras"/>
          <w:rFonts w:eastAsia="Courier New"/>
          <w:b w:val="0"/>
          <w:sz w:val="28"/>
          <w:lang w:val="fr-CA"/>
        </w:rPr>
        <w:t>101</w:t>
      </w:r>
      <w:r w:rsidRPr="00E9210E">
        <w:rPr>
          <w:rStyle w:val="Corpsdutexte26ptGras"/>
          <w:rFonts w:eastAsia="Courier New"/>
          <w:b w:val="0"/>
          <w:sz w:val="28"/>
          <w:lang w:val="fr-CA"/>
        </w:rPr>
        <w:t>.</w:t>
      </w:r>
    </w:p>
    <w:p w14:paraId="1A3CC071" w14:textId="77777777" w:rsidR="00B9662D" w:rsidRPr="00E9210E" w:rsidRDefault="00B9662D" w:rsidP="00B9662D">
      <w:pPr>
        <w:spacing w:before="120" w:after="120"/>
        <w:jc w:val="both"/>
      </w:pPr>
      <w:r w:rsidRPr="00E9210E">
        <w:t>Problèmes d’histoire économique franque. (Compte rendu : Ch. </w:t>
      </w:r>
      <w:r w:rsidRPr="00E9210E">
        <w:rPr>
          <w:rStyle w:val="Corpsdutexte27ptGras"/>
          <w:rFonts w:eastAsia="Courier New"/>
          <w:b w:val="0"/>
          <w:smallCaps/>
          <w:sz w:val="28"/>
        </w:rPr>
        <w:t>Verlinden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Problèmes d’histoire économique franque</w:t>
      </w:r>
      <w:r w:rsidRPr="00E9210E">
        <w:rPr>
          <w:rFonts w:eastAsia="Courier New"/>
        </w:rPr>
        <w:t>,</w:t>
      </w:r>
      <w:r w:rsidRPr="00E9210E">
        <w:t xml:space="preserve"> dans </w:t>
      </w:r>
      <w:r w:rsidRPr="00E9210E">
        <w:rPr>
          <w:rFonts w:eastAsia="Courier New"/>
          <w:i/>
        </w:rPr>
        <w:t>R</w:t>
      </w:r>
      <w:r w:rsidRPr="00E9210E">
        <w:rPr>
          <w:rFonts w:eastAsia="Courier New"/>
          <w:i/>
        </w:rPr>
        <w:t>e</w:t>
      </w:r>
      <w:r w:rsidRPr="00E9210E">
        <w:rPr>
          <w:rFonts w:eastAsia="Courier New"/>
          <w:i/>
        </w:rPr>
        <w:t>vue be</w:t>
      </w:r>
      <w:r w:rsidRPr="00E9210E">
        <w:rPr>
          <w:rFonts w:eastAsia="Courier New"/>
          <w:i/>
        </w:rPr>
        <w:t>l</w:t>
      </w:r>
      <w:r w:rsidRPr="00E9210E">
        <w:rPr>
          <w:rFonts w:eastAsia="Courier New"/>
          <w:i/>
        </w:rPr>
        <w:t>ge de philologie et d’histoire</w:t>
      </w:r>
      <w:r w:rsidRPr="00E9210E">
        <w:rPr>
          <w:rFonts w:eastAsia="Courier New"/>
        </w:rPr>
        <w:t>,</w:t>
      </w:r>
      <w:r w:rsidRPr="00E9210E">
        <w:t xml:space="preserve"> t. XII (1933), pp. 1090-1095 et t. XIII (1934), pp. 166-176), « A.H.E.S. », t. VII (1935), p. 101.</w:t>
      </w:r>
    </w:p>
    <w:p w14:paraId="27AF5D5C" w14:textId="77777777" w:rsidR="00B9662D" w:rsidRPr="00E9210E" w:rsidRDefault="00B9662D" w:rsidP="00B9662D">
      <w:pPr>
        <w:spacing w:before="120" w:after="120"/>
        <w:jc w:val="both"/>
      </w:pPr>
      <w:r w:rsidRPr="00E9210E">
        <w:t xml:space="preserve">Le christianisme et l’esclavage. (Compte rendu : M. </w:t>
      </w:r>
      <w:r w:rsidRPr="00E9210E">
        <w:rPr>
          <w:rStyle w:val="Corpsdutexte27ptGras"/>
          <w:rFonts w:eastAsia="Courier New"/>
          <w:b w:val="0"/>
          <w:smallCaps/>
          <w:sz w:val="28"/>
        </w:rPr>
        <w:t>Roberti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lettera di s. Paolo a Filemone e la condizione giuridica dello schiavo fuggit</w:t>
      </w:r>
      <w:r w:rsidRPr="00E9210E">
        <w:rPr>
          <w:rFonts w:eastAsia="Courier New"/>
          <w:i/>
        </w:rPr>
        <w:t>i</w:t>
      </w:r>
      <w:r w:rsidRPr="00E9210E">
        <w:rPr>
          <w:rFonts w:eastAsia="Courier New"/>
          <w:i/>
        </w:rPr>
        <w:t>vo</w:t>
      </w:r>
      <w:r w:rsidRPr="00E9210E">
        <w:rPr>
          <w:rFonts w:eastAsia="Courier New"/>
        </w:rPr>
        <w:t>,</w:t>
      </w:r>
      <w:r w:rsidRPr="00E9210E">
        <w:t xml:space="preserve"> Milan, 1933), « A.H.E.S. », t. VII (1935), pp. 101-102.</w:t>
      </w:r>
    </w:p>
    <w:p w14:paraId="0D9D4FA4" w14:textId="77777777" w:rsidR="00B9662D" w:rsidRPr="00E9210E" w:rsidRDefault="00B9662D" w:rsidP="00B9662D">
      <w:pPr>
        <w:spacing w:before="120" w:after="120"/>
        <w:jc w:val="both"/>
      </w:pPr>
      <w:r w:rsidRPr="00E9210E">
        <w:t xml:space="preserve">Aux origines du Moyen Âge. (Compte rendu : A. </w:t>
      </w:r>
      <w:r w:rsidRPr="00E9210E">
        <w:rPr>
          <w:rStyle w:val="Corpsdutexte27ptGras"/>
          <w:rFonts w:eastAsia="Courier New"/>
          <w:b w:val="0"/>
          <w:smallCaps/>
          <w:sz w:val="28"/>
        </w:rPr>
        <w:t>Dopsch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Wir</w:t>
      </w:r>
      <w:r w:rsidRPr="00E9210E">
        <w:rPr>
          <w:rFonts w:eastAsia="Courier New"/>
          <w:i/>
        </w:rPr>
        <w:t>t</w:t>
      </w:r>
      <w:r w:rsidRPr="00E9210E">
        <w:rPr>
          <w:rFonts w:eastAsia="Courier New"/>
          <w:i/>
        </w:rPr>
        <w:t>schaft und Gesellschaft im friihen Mittelalter,</w:t>
      </w:r>
      <w:r w:rsidRPr="00E9210E">
        <w:rPr>
          <w:i/>
        </w:rPr>
        <w:t xml:space="preserve"> dans </w:t>
      </w:r>
      <w:r w:rsidRPr="00E9210E">
        <w:rPr>
          <w:rFonts w:eastAsia="Courier New"/>
          <w:i/>
        </w:rPr>
        <w:t>Tijdschrift voor Rec</w:t>
      </w:r>
      <w:r w:rsidRPr="00E9210E">
        <w:rPr>
          <w:rFonts w:eastAsia="Courier New"/>
          <w:i/>
        </w:rPr>
        <w:t>h</w:t>
      </w:r>
      <w:r w:rsidRPr="00E9210E">
        <w:rPr>
          <w:rFonts w:eastAsia="Courier New"/>
          <w:i/>
        </w:rPr>
        <w:t>tsgeschiedenis</w:t>
      </w:r>
      <w:r w:rsidRPr="00E9210E">
        <w:rPr>
          <w:rFonts w:eastAsia="Courier New"/>
        </w:rPr>
        <w:t>,</w:t>
      </w:r>
      <w:r w:rsidRPr="00E9210E">
        <w:t xml:space="preserve"> t. XI, pp. 359-434), « A.H.E.S. », t. VII (1935), p. 102.</w:t>
      </w:r>
    </w:p>
    <w:p w14:paraId="67050969" w14:textId="77777777" w:rsidR="00B9662D" w:rsidRPr="00E9210E" w:rsidRDefault="00B9662D" w:rsidP="00B9662D">
      <w:pPr>
        <w:spacing w:before="120" w:after="120"/>
        <w:jc w:val="both"/>
      </w:pPr>
      <w:r w:rsidRPr="00E9210E">
        <w:rPr>
          <w:rFonts w:eastAsia="Courier New"/>
        </w:rPr>
        <w:t>[1072]</w:t>
      </w:r>
    </w:p>
    <w:p w14:paraId="4747023F" w14:textId="77777777" w:rsidR="00B9662D" w:rsidRPr="00E9210E" w:rsidRDefault="00B9662D" w:rsidP="00B9662D">
      <w:pPr>
        <w:spacing w:before="120" w:after="120"/>
        <w:jc w:val="both"/>
      </w:pPr>
      <w:r w:rsidRPr="00E9210E">
        <w:t xml:space="preserve">Types de marchands à l’époque du ralentissement commercial. (Compte rendu : E. </w:t>
      </w:r>
      <w:r w:rsidRPr="00E9210E">
        <w:rPr>
          <w:smallCaps/>
        </w:rPr>
        <w:t>S</w:t>
      </w:r>
      <w:r w:rsidRPr="00E9210E">
        <w:rPr>
          <w:rStyle w:val="Corpsdutexte27ptGras"/>
          <w:rFonts w:eastAsia="Courier New"/>
          <w:b w:val="0"/>
          <w:smallCaps/>
          <w:sz w:val="28"/>
        </w:rPr>
        <w:t>abbe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Quelques types de marchands des IX</w:t>
      </w:r>
      <w:r w:rsidRPr="00E9210E">
        <w:rPr>
          <w:rFonts w:eastAsia="Courier New"/>
          <w:i/>
          <w:vertAlign w:val="superscript"/>
        </w:rPr>
        <w:t>e</w:t>
      </w:r>
      <w:r w:rsidRPr="00E9210E">
        <w:rPr>
          <w:rFonts w:eastAsia="Courier New"/>
          <w:i/>
        </w:rPr>
        <w:t xml:space="preserve"> et X</w:t>
      </w:r>
      <w:r w:rsidRPr="00E9210E">
        <w:rPr>
          <w:rFonts w:eastAsia="Courier New"/>
          <w:i/>
          <w:vertAlign w:val="superscript"/>
        </w:rPr>
        <w:t>e</w:t>
      </w:r>
      <w:r w:rsidRPr="00E9210E">
        <w:rPr>
          <w:rFonts w:eastAsia="Courier New"/>
          <w:i/>
        </w:rPr>
        <w:t> siècles</w:t>
      </w:r>
      <w:r w:rsidRPr="00E9210E">
        <w:rPr>
          <w:rFonts w:eastAsia="Courier New"/>
        </w:rPr>
        <w:t>,</w:t>
      </w:r>
      <w:r w:rsidRPr="00E9210E">
        <w:t xml:space="preserve"> dans </w:t>
      </w:r>
      <w:r w:rsidRPr="00E9210E">
        <w:rPr>
          <w:rFonts w:eastAsia="Courier New"/>
          <w:i/>
        </w:rPr>
        <w:t>Revue belge de philologie et d’histoire</w:t>
      </w:r>
      <w:r w:rsidRPr="00E9210E">
        <w:rPr>
          <w:rFonts w:eastAsia="Courier New"/>
        </w:rPr>
        <w:t>,</w:t>
      </w:r>
      <w:r w:rsidRPr="00E9210E">
        <w:t xml:space="preserve"> t. XIII (1934), p. 166-187), « A.H.E.S. », t. VII (1935), pp. 102-103.</w:t>
      </w:r>
    </w:p>
    <w:p w14:paraId="0A2E0375" w14:textId="77777777" w:rsidR="00B9662D" w:rsidRPr="00E9210E" w:rsidRDefault="00B9662D" w:rsidP="00B9662D">
      <w:pPr>
        <w:spacing w:before="120" w:after="120"/>
        <w:jc w:val="both"/>
      </w:pPr>
      <w:r w:rsidRPr="00E9210E">
        <w:t xml:space="preserve">Une galerie de rois. (Compte rendu : G. </w:t>
      </w:r>
      <w:r w:rsidRPr="00E9210E">
        <w:rPr>
          <w:rStyle w:val="Corpsdutexte27ptGras"/>
          <w:rFonts w:eastAsia="Courier New"/>
          <w:b w:val="0"/>
          <w:smallCaps/>
          <w:sz w:val="28"/>
        </w:rPr>
        <w:t>Dodu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Valois : histo</w:t>
      </w:r>
      <w:r w:rsidRPr="00E9210E">
        <w:rPr>
          <w:rFonts w:eastAsia="Courier New"/>
          <w:i/>
        </w:rPr>
        <w:t>i</w:t>
      </w:r>
      <w:r w:rsidRPr="00E9210E">
        <w:rPr>
          <w:rFonts w:eastAsia="Courier New"/>
          <w:i/>
        </w:rPr>
        <w:t>re d’une maison royale</w:t>
      </w:r>
      <w:r w:rsidRPr="00E9210E">
        <w:rPr>
          <w:rFonts w:eastAsia="Courier New"/>
        </w:rPr>
        <w:t xml:space="preserve">, </w:t>
      </w:r>
      <w:r w:rsidRPr="00E9210E">
        <w:t>Paris, 1934), « A.H.E.S. », t. VII (1935), p. 103-104.</w:t>
      </w:r>
    </w:p>
    <w:p w14:paraId="22474771"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Châtellenies et châteaux. (Compte rendu : A. </w:t>
      </w:r>
      <w:r w:rsidRPr="00E9210E">
        <w:rPr>
          <w:rStyle w:val="Corpsdutexte117ptGrasNonItaliqueEspacement0pt"/>
          <w:rFonts w:eastAsia="Courier New"/>
          <w:b w:val="0"/>
          <w:i w:val="0"/>
          <w:iCs w:val="0"/>
          <w:smallCaps/>
          <w:sz w:val="28"/>
          <w:lang w:val="fr-CA"/>
        </w:rPr>
        <w:t>Deléage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orig</w:t>
      </w:r>
      <w:r w:rsidRPr="00E9210E">
        <w:rPr>
          <w:rFonts w:eastAsia="Courier New"/>
          <w:i/>
        </w:rPr>
        <w:t>i</w:t>
      </w:r>
      <w:r w:rsidRPr="00E9210E">
        <w:rPr>
          <w:rFonts w:eastAsia="Courier New"/>
          <w:i/>
        </w:rPr>
        <w:t>nes des châtellenies du Charolais,</w:t>
      </w:r>
      <w:r w:rsidRPr="00E9210E">
        <w:rPr>
          <w:rStyle w:val="Corpsdutexte11NonItaliqueEspacement0pt"/>
          <w:rFonts w:eastAsia="Courier New"/>
          <w:i w:val="0"/>
          <w:iCs w:val="0"/>
          <w:sz w:val="28"/>
          <w:lang w:val="fr-CA"/>
        </w:rPr>
        <w:t xml:space="preserve"> dans </w:t>
      </w:r>
      <w:r w:rsidRPr="00E9210E">
        <w:rPr>
          <w:rFonts w:eastAsia="Courier New"/>
          <w:i/>
        </w:rPr>
        <w:t>Revue périodique de vulgar</w:t>
      </w:r>
      <w:r w:rsidRPr="00E9210E">
        <w:rPr>
          <w:rFonts w:eastAsia="Courier New"/>
          <w:i/>
        </w:rPr>
        <w:t>i</w:t>
      </w:r>
      <w:r w:rsidRPr="00E9210E">
        <w:rPr>
          <w:rFonts w:eastAsia="Courier New"/>
          <w:i/>
        </w:rPr>
        <w:t>sation des sciences naturelles et préhistoriques de Montceau-les-Mines</w:t>
      </w:r>
      <w:r w:rsidRPr="00E9210E">
        <w:rPr>
          <w:rFonts w:eastAsia="Courier New"/>
        </w:rPr>
        <w:t>,</w:t>
      </w:r>
      <w:r w:rsidRPr="00E9210E">
        <w:rPr>
          <w:rStyle w:val="Corpsdutexte11NonItaliqueEspacement0pt"/>
          <w:rFonts w:eastAsia="Courier New"/>
          <w:i w:val="0"/>
          <w:iCs w:val="0"/>
          <w:sz w:val="28"/>
          <w:lang w:val="fr-CA"/>
        </w:rPr>
        <w:t xml:space="preserve"> 1934, p. 55-74), « A.H.E.S. », t. VII (1935), pp. 104-105.</w:t>
      </w:r>
    </w:p>
    <w:p w14:paraId="238C8CC6"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Comptes et monnaies. (Compte rendu : R. </w:t>
      </w:r>
      <w:r w:rsidRPr="00E9210E">
        <w:rPr>
          <w:rStyle w:val="Corpsdutexte37ptGrasNonItalique"/>
          <w:rFonts w:eastAsia="Courier New"/>
          <w:b w:val="0"/>
          <w:i w:val="0"/>
          <w:iCs w:val="0"/>
          <w:smallCaps/>
          <w:sz w:val="28"/>
        </w:rPr>
        <w:t>Fawtier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 fragment de compte de l’hôtel du prince Louis de France pour le terme de la purification de 1213</w:t>
      </w:r>
      <w:r w:rsidRPr="00E9210E">
        <w:rPr>
          <w:rStyle w:val="Corpsdutexte385ptNonItalique"/>
          <w:rFonts w:eastAsia="Courier New"/>
          <w:i w:val="0"/>
          <w:iCs w:val="0"/>
          <w:sz w:val="28"/>
        </w:rPr>
        <w:t xml:space="preserve">, dans </w:t>
      </w:r>
      <w:r w:rsidRPr="00E9210E">
        <w:rPr>
          <w:i/>
        </w:rPr>
        <w:t>Le Moyen Âge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1933, pp. 225-250), « A.H.E.S. », t. VII (1935), pp. 105-106.</w:t>
      </w:r>
    </w:p>
    <w:p w14:paraId="62014FC9"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La corporation médiévale : exemples et problèmes. (Compte re</w:t>
      </w:r>
      <w:r w:rsidRPr="00E9210E">
        <w:rPr>
          <w:rStyle w:val="Corpsdutexte11NonItaliqueEspacement0pt"/>
          <w:rFonts w:eastAsia="Courier New"/>
          <w:i w:val="0"/>
          <w:iCs w:val="0"/>
          <w:sz w:val="28"/>
          <w:lang w:val="fr-CA"/>
        </w:rPr>
        <w:t>n</w:t>
      </w:r>
      <w:r w:rsidRPr="00E9210E">
        <w:rPr>
          <w:rStyle w:val="Corpsdutexte11NonItaliqueEspacement0pt"/>
          <w:rFonts w:eastAsia="Courier New"/>
          <w:i w:val="0"/>
          <w:iCs w:val="0"/>
          <w:sz w:val="28"/>
          <w:lang w:val="fr-CA"/>
        </w:rPr>
        <w:t xml:space="preserve">du : G. </w:t>
      </w:r>
      <w:r w:rsidRPr="00E9210E">
        <w:rPr>
          <w:rStyle w:val="Corpsdutexte11NonItaliqueEspacement0pt"/>
          <w:rFonts w:eastAsia="Courier New"/>
          <w:i w:val="0"/>
          <w:iCs w:val="0"/>
          <w:smallCaps/>
          <w:sz w:val="28"/>
          <w:lang w:val="fr-CA"/>
        </w:rPr>
        <w:t>Espinas</w:t>
      </w:r>
      <w:r w:rsidRPr="00E9210E">
        <w:rPr>
          <w:rStyle w:val="Corpsdutexte11NonItaliqueEspacement0pt"/>
          <w:rFonts w:eastAsia="Courier New"/>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L’organisation corporative des métiers de la drap</w:t>
      </w:r>
      <w:r w:rsidRPr="00E9210E">
        <w:rPr>
          <w:rFonts w:eastAsia="Courier New"/>
          <w:i/>
        </w:rPr>
        <w:t>e</w:t>
      </w:r>
      <w:r w:rsidRPr="00E9210E">
        <w:rPr>
          <w:rFonts w:eastAsia="Courier New"/>
          <w:i/>
        </w:rPr>
        <w:t>rie à Valencienne dans la seconde moitié du XIV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extr. des </w:t>
      </w:r>
      <w:r w:rsidRPr="00E9210E">
        <w:rPr>
          <w:rFonts w:eastAsia="Courier New"/>
          <w:i/>
        </w:rPr>
        <w:t>A</w:t>
      </w:r>
      <w:r w:rsidRPr="00E9210E">
        <w:rPr>
          <w:rFonts w:eastAsia="Courier New"/>
          <w:i/>
        </w:rPr>
        <w:t>n</w:t>
      </w:r>
      <w:r w:rsidRPr="00E9210E">
        <w:rPr>
          <w:rFonts w:eastAsia="Courier New"/>
          <w:i/>
        </w:rPr>
        <w:t>nales de la Société scientifique de Bruxelles</w:t>
      </w:r>
      <w:r w:rsidRPr="00E9210E">
        <w:rPr>
          <w:rFonts w:eastAsia="Courier New"/>
        </w:rPr>
        <w:t xml:space="preserve">, </w:t>
      </w:r>
      <w:r w:rsidRPr="00E9210E">
        <w:rPr>
          <w:rStyle w:val="Corpsdutexte11NonItaliqueEspacement0pt"/>
          <w:rFonts w:eastAsia="Courier New"/>
          <w:i w:val="0"/>
          <w:iCs w:val="0"/>
          <w:sz w:val="28"/>
          <w:lang w:val="fr-CA"/>
        </w:rPr>
        <w:t>Paris, 1932), « A.H.E.S. », t. VII (1935), pp. 106-107.</w:t>
      </w:r>
    </w:p>
    <w:p w14:paraId="675EB346" w14:textId="77777777" w:rsidR="00B9662D" w:rsidRPr="00E9210E" w:rsidRDefault="00B9662D" w:rsidP="00B9662D">
      <w:pPr>
        <w:spacing w:before="120" w:after="120"/>
        <w:jc w:val="both"/>
      </w:pPr>
      <w:r w:rsidRPr="00E9210E">
        <w:t>Témoignages littéraires sur l’économie médiévale. (Compte re</w:t>
      </w:r>
      <w:r w:rsidRPr="00E9210E">
        <w:t>n</w:t>
      </w:r>
      <w:r w:rsidRPr="00E9210E">
        <w:t xml:space="preserve">du : G. </w:t>
      </w:r>
      <w:r w:rsidRPr="00E9210E">
        <w:rPr>
          <w:rStyle w:val="Corpsdutexte27ptGras"/>
          <w:rFonts w:eastAsia="Courier New"/>
          <w:b w:val="0"/>
          <w:smallCaps/>
          <w:sz w:val="28"/>
        </w:rPr>
        <w:t>Schilperoort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commerçant dans la littérature française du Moyen Âge (caractère, vie, position sociale)</w:t>
      </w:r>
      <w:r w:rsidRPr="00E9210E">
        <w:rPr>
          <w:rFonts w:eastAsia="Courier New"/>
        </w:rPr>
        <w:t>,</w:t>
      </w:r>
      <w:r w:rsidRPr="00E9210E">
        <w:t xml:space="preserve"> Groningue, 1933), « A.H.E.S. », t. VII (1935), p. 107.</w:t>
      </w:r>
    </w:p>
    <w:p w14:paraId="37107BCB" w14:textId="77777777" w:rsidR="00B9662D" w:rsidRPr="00E9210E" w:rsidRDefault="00B9662D" w:rsidP="00B9662D">
      <w:pPr>
        <w:spacing w:before="120" w:after="120"/>
        <w:jc w:val="both"/>
      </w:pPr>
      <w:r w:rsidRPr="00E9210E">
        <w:t>La crise des campagnes françaises au XV</w:t>
      </w:r>
      <w:r w:rsidRPr="00E9210E">
        <w:rPr>
          <w:vertAlign w:val="superscript"/>
        </w:rPr>
        <w:t>e</w:t>
      </w:r>
      <w:r w:rsidRPr="00E9210E">
        <w:t xml:space="preserve"> siècle et la reconstru</w:t>
      </w:r>
      <w:r w:rsidRPr="00E9210E">
        <w:t>c</w:t>
      </w:r>
      <w:r w:rsidRPr="00E9210E">
        <w:t xml:space="preserve">tion. (Compte rendu : A. </w:t>
      </w:r>
      <w:r w:rsidRPr="00E9210E">
        <w:rPr>
          <w:rStyle w:val="Corpsdutexte27ptGras"/>
          <w:rFonts w:eastAsia="Courier New"/>
          <w:b w:val="0"/>
          <w:smallCaps/>
          <w:sz w:val="28"/>
        </w:rPr>
        <w:t>Lesort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reconstitution des églises après la guerre de Cent Ans</w:t>
      </w:r>
      <w:r w:rsidRPr="00E9210E">
        <w:rPr>
          <w:rFonts w:eastAsia="Courier New"/>
        </w:rPr>
        <w:t>,</w:t>
      </w:r>
      <w:r w:rsidRPr="00E9210E">
        <w:t xml:space="preserve"> dans </w:t>
      </w:r>
      <w:r w:rsidRPr="00E9210E">
        <w:rPr>
          <w:rFonts w:eastAsia="Courier New"/>
          <w:i/>
        </w:rPr>
        <w:t>Revue d’histoire de l’Église de France</w:t>
      </w:r>
      <w:r w:rsidRPr="00E9210E">
        <w:rPr>
          <w:rFonts w:eastAsia="Courier New"/>
        </w:rPr>
        <w:t>,</w:t>
      </w:r>
      <w:r w:rsidRPr="00E9210E">
        <w:t xml:space="preserve"> t. XX (1934), pp. 177-215), « A.H.E.S. », t. VII (1935), p. 108.</w:t>
      </w:r>
    </w:p>
    <w:p w14:paraId="0E69DBCA" w14:textId="77777777" w:rsidR="00B9662D" w:rsidRPr="00E9210E" w:rsidRDefault="00B9662D" w:rsidP="00B9662D">
      <w:pPr>
        <w:spacing w:before="120" w:after="120"/>
        <w:jc w:val="both"/>
      </w:pPr>
      <w:r w:rsidRPr="00E9210E">
        <w:t xml:space="preserve">Une seigneurie bourbonnaise. (Compte rendu : A. </w:t>
      </w:r>
      <w:r w:rsidRPr="00E9210E">
        <w:rPr>
          <w:rStyle w:val="Corpsdutexte27ptGras"/>
          <w:rFonts w:eastAsia="Courier New"/>
          <w:b w:val="0"/>
          <w:smallCaps/>
          <w:sz w:val="28"/>
        </w:rPr>
        <w:t>Grellet-Dumazeau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château et les seigneurs de Montaigu-le-Blin,</w:t>
      </w:r>
      <w:r w:rsidRPr="00E9210E">
        <w:rPr>
          <w:i/>
        </w:rPr>
        <w:t xml:space="preserve"> Mo</w:t>
      </w:r>
      <w:r w:rsidRPr="00E9210E">
        <w:rPr>
          <w:i/>
        </w:rPr>
        <w:t>u</w:t>
      </w:r>
      <w:r w:rsidRPr="00E9210E">
        <w:rPr>
          <w:i/>
        </w:rPr>
        <w:t>lins</w:t>
      </w:r>
      <w:r w:rsidRPr="00E9210E">
        <w:t>, 1933), « A.H.E.S. », t. VII (1935), (1935), p. 108.</w:t>
      </w:r>
    </w:p>
    <w:p w14:paraId="0E217AF9" w14:textId="77777777" w:rsidR="00B9662D" w:rsidRPr="00E9210E" w:rsidRDefault="00B9662D" w:rsidP="00B9662D">
      <w:pPr>
        <w:spacing w:before="120" w:after="120"/>
        <w:jc w:val="both"/>
      </w:pPr>
      <w:r w:rsidRPr="00E9210E">
        <w:t xml:space="preserve">Un chartrier. (Compte rendu : Abbé G. </w:t>
      </w:r>
      <w:r w:rsidRPr="00E9210E">
        <w:rPr>
          <w:rStyle w:val="Corpsdutexte27ptGras"/>
          <w:rFonts w:eastAsia="Courier New"/>
          <w:b w:val="0"/>
          <w:smallCaps/>
          <w:sz w:val="28"/>
        </w:rPr>
        <w:t>Barbotin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Échillais et ses se</w:t>
      </w:r>
      <w:r w:rsidRPr="00E9210E">
        <w:rPr>
          <w:rFonts w:eastAsia="Courier New"/>
          <w:i/>
        </w:rPr>
        <w:t>i</w:t>
      </w:r>
      <w:r w:rsidRPr="00E9210E">
        <w:rPr>
          <w:rFonts w:eastAsia="Courier New"/>
          <w:i/>
        </w:rPr>
        <w:t>gneurs</w:t>
      </w:r>
      <w:r w:rsidRPr="00E9210E">
        <w:rPr>
          <w:rFonts w:eastAsia="Courier New"/>
        </w:rPr>
        <w:t>,</w:t>
      </w:r>
      <w:r w:rsidRPr="00E9210E">
        <w:t xml:space="preserve"> Saintes, 1933), « A.H.E.S. », t. VII (1935), p. 109.</w:t>
      </w:r>
    </w:p>
    <w:p w14:paraId="35776AD7" w14:textId="77777777" w:rsidR="00B9662D" w:rsidRPr="00E9210E" w:rsidRDefault="00B9662D" w:rsidP="00B9662D">
      <w:pPr>
        <w:spacing w:before="120" w:after="120"/>
        <w:jc w:val="both"/>
      </w:pPr>
      <w:r w:rsidRPr="00E9210E">
        <w:t xml:space="preserve">Le sel marin et son commerce. (Compte rendu : L. </w:t>
      </w:r>
      <w:r w:rsidRPr="00E9210E">
        <w:rPr>
          <w:rStyle w:val="Corpsdutexte27ptGras"/>
          <w:rFonts w:eastAsia="Courier New"/>
          <w:b w:val="0"/>
          <w:smallCaps/>
          <w:sz w:val="28"/>
        </w:rPr>
        <w:t>Papy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m</w:t>
      </w:r>
      <w:r w:rsidRPr="00E9210E">
        <w:rPr>
          <w:rFonts w:eastAsia="Courier New"/>
          <w:i/>
        </w:rPr>
        <w:t>a</w:t>
      </w:r>
      <w:r w:rsidRPr="00E9210E">
        <w:rPr>
          <w:rFonts w:eastAsia="Courier New"/>
          <w:i/>
        </w:rPr>
        <w:t>rais salants de l’Ouest : étude de géographie humaine</w:t>
      </w:r>
      <w:r w:rsidRPr="00E9210E">
        <w:rPr>
          <w:rFonts w:eastAsia="Courier New"/>
        </w:rPr>
        <w:t>,</w:t>
      </w:r>
      <w:r w:rsidRPr="00E9210E">
        <w:t xml:space="preserve"> dans </w:t>
      </w:r>
      <w:r w:rsidRPr="00E9210E">
        <w:rPr>
          <w:rFonts w:eastAsia="Courier New"/>
          <w:i/>
        </w:rPr>
        <w:t>Revue gé</w:t>
      </w:r>
      <w:r w:rsidRPr="00E9210E">
        <w:rPr>
          <w:rFonts w:eastAsia="Courier New"/>
          <w:i/>
        </w:rPr>
        <w:t>o</w:t>
      </w:r>
      <w:r w:rsidRPr="00E9210E">
        <w:rPr>
          <w:rFonts w:eastAsia="Courier New"/>
          <w:i/>
        </w:rPr>
        <w:t>graphique des Pyrénées et du Sud-Ouest</w:t>
      </w:r>
      <w:r w:rsidRPr="00E9210E">
        <w:rPr>
          <w:rFonts w:eastAsia="Courier New"/>
        </w:rPr>
        <w:t>,</w:t>
      </w:r>
      <w:r w:rsidRPr="00E9210E">
        <w:t xml:space="preserve"> t. II (1931), pp. 121-161), « A.H.E.S. », t. VII (1935), p. 109.</w:t>
      </w:r>
    </w:p>
    <w:p w14:paraId="414A7F6A"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Prix normands. (Comptes rendus : R. </w:t>
      </w:r>
      <w:r w:rsidRPr="00E9210E">
        <w:rPr>
          <w:rStyle w:val="Corpsdutexte117ptGrasNonItaliqueEspacement0pt"/>
          <w:rFonts w:eastAsia="Courier New"/>
          <w:b w:val="0"/>
          <w:i w:val="0"/>
          <w:iCs w:val="0"/>
          <w:smallCaps/>
          <w:sz w:val="28"/>
          <w:lang w:val="fr-CA"/>
        </w:rPr>
        <w:t>Jouanne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monographies normandes et l’histoire des prix</w:t>
      </w:r>
      <w:r w:rsidRPr="00E9210E">
        <w:rPr>
          <w:rFonts w:eastAsia="Courier New"/>
        </w:rPr>
        <w:t>,</w:t>
      </w:r>
      <w:r w:rsidRPr="00E9210E">
        <w:rPr>
          <w:rStyle w:val="Corpsdutexte11NonItaliqueEspacement0pt"/>
          <w:rFonts w:eastAsia="Courier New"/>
          <w:i w:val="0"/>
          <w:iCs w:val="0"/>
          <w:sz w:val="28"/>
          <w:lang w:val="fr-CA"/>
        </w:rPr>
        <w:t xml:space="preserve"> Caen, 1931, extr. de </w:t>
      </w:r>
      <w:r w:rsidRPr="00E9210E">
        <w:rPr>
          <w:rFonts w:eastAsia="Courier New"/>
          <w:i/>
        </w:rPr>
        <w:t>Normannia</w:t>
      </w:r>
      <w:r w:rsidRPr="00E9210E">
        <w:rPr>
          <w:rFonts w:eastAsia="Courier New"/>
        </w:rPr>
        <w:t>,</w:t>
      </w:r>
      <w:r w:rsidRPr="00E9210E">
        <w:rPr>
          <w:rStyle w:val="Corpsdutexte11NonItaliqueEspacement0pt"/>
          <w:rFonts w:eastAsia="Courier New"/>
          <w:i w:val="0"/>
          <w:iCs w:val="0"/>
          <w:sz w:val="28"/>
          <w:lang w:val="fr-CA"/>
        </w:rPr>
        <w:t xml:space="preserve"> sept. 1931. — </w:t>
      </w:r>
      <w:r w:rsidRPr="00E9210E">
        <w:rPr>
          <w:rFonts w:eastAsia="Courier New"/>
          <w:i/>
        </w:rPr>
        <w:t>Études et notes d’histoire économique : la Basse-Normandie au temps de Jeanne d’Arc et d’Ambroise de Loré</w:t>
      </w:r>
      <w:r w:rsidRPr="00E9210E">
        <w:rPr>
          <w:rFonts w:eastAsia="Courier New"/>
        </w:rPr>
        <w:t>.</w:t>
      </w:r>
      <w:r w:rsidRPr="00E9210E">
        <w:rPr>
          <w:rStyle w:val="Corpsdutexte11NonItaliqueEspacement0pt"/>
          <w:rFonts w:eastAsia="Courier New"/>
          <w:i w:val="0"/>
          <w:iCs w:val="0"/>
          <w:sz w:val="28"/>
          <w:lang w:val="fr-CA"/>
        </w:rPr>
        <w:t> — </w:t>
      </w:r>
      <w:r w:rsidRPr="00E9210E">
        <w:rPr>
          <w:rFonts w:eastAsia="Courier New"/>
          <w:i/>
        </w:rPr>
        <w:t>À propos des mesures normandes : le prix des bœufs de Basse-Normandie au milieu du XVIII</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extraits du </w:t>
      </w:r>
      <w:r w:rsidRPr="00E9210E">
        <w:rPr>
          <w:rFonts w:eastAsia="Courier New"/>
          <w:i/>
        </w:rPr>
        <w:t>Bull, de la Soc. hi</w:t>
      </w:r>
      <w:r w:rsidRPr="00E9210E">
        <w:rPr>
          <w:rFonts w:eastAsia="Courier New"/>
          <w:i/>
        </w:rPr>
        <w:t>s</w:t>
      </w:r>
      <w:r w:rsidRPr="00E9210E">
        <w:rPr>
          <w:rFonts w:eastAsia="Courier New"/>
          <w:i/>
        </w:rPr>
        <w:t>torique et archéologique de l’Orne</w:t>
      </w:r>
      <w:r w:rsidRPr="00E9210E">
        <w:rPr>
          <w:rFonts w:eastAsia="Courier New"/>
        </w:rPr>
        <w:t>,</w:t>
      </w:r>
      <w:r w:rsidRPr="00E9210E">
        <w:rPr>
          <w:rStyle w:val="Corpsdutexte11NonItaliqueEspacement0pt"/>
          <w:rFonts w:eastAsia="Courier New"/>
          <w:i w:val="0"/>
          <w:iCs w:val="0"/>
          <w:sz w:val="28"/>
          <w:lang w:val="fr-CA"/>
        </w:rPr>
        <w:t xml:space="preserve"> juillet et octobre 1931), « A.H.E.S. », t. VII (1935), pp. 109-110.</w:t>
      </w:r>
    </w:p>
    <w:p w14:paraId="6206E005" w14:textId="77777777" w:rsidR="00B9662D" w:rsidRPr="00E9210E" w:rsidRDefault="00B9662D" w:rsidP="00B9662D">
      <w:pPr>
        <w:spacing w:before="120" w:after="120"/>
        <w:jc w:val="both"/>
      </w:pPr>
      <w:r w:rsidRPr="00E9210E">
        <w:t>Pour se mieux connaître. (Note sur deux répertoires, l’un de péri</w:t>
      </w:r>
      <w:r w:rsidRPr="00E9210E">
        <w:t>o</w:t>
      </w:r>
      <w:r w:rsidRPr="00E9210E">
        <w:t xml:space="preserve">diques français, l’autre de périodiques étrangers, publiés par </w:t>
      </w:r>
      <w:r w:rsidRPr="00E9210E">
        <w:rPr>
          <w:i/>
        </w:rPr>
        <w:t>l’</w:t>
      </w:r>
      <w:r w:rsidRPr="00E9210E">
        <w:rPr>
          <w:rFonts w:eastAsia="Courier New"/>
          <w:i/>
        </w:rPr>
        <w:t>Office des échanges de travaux scientifiques : Histoire et disciplines a</w:t>
      </w:r>
      <w:r w:rsidRPr="00E9210E">
        <w:rPr>
          <w:rFonts w:eastAsia="Courier New"/>
          <w:i/>
        </w:rPr>
        <w:t>n</w:t>
      </w:r>
      <w:r w:rsidRPr="00E9210E">
        <w:rPr>
          <w:rFonts w:eastAsia="Courier New"/>
          <w:i/>
        </w:rPr>
        <w:t>nexes</w:t>
      </w:r>
      <w:r w:rsidRPr="00E9210E">
        <w:rPr>
          <w:rFonts w:eastAsia="Courier New"/>
        </w:rPr>
        <w:t>),</w:t>
      </w:r>
      <w:r w:rsidRPr="00E9210E">
        <w:t xml:space="preserve"> « A.H.E.S. », t. VII (1935), p. 183.</w:t>
      </w:r>
    </w:p>
    <w:p w14:paraId="3CCD09D7" w14:textId="77777777" w:rsidR="00B9662D" w:rsidRPr="00E9210E" w:rsidRDefault="00B9662D" w:rsidP="00B9662D">
      <w:pPr>
        <w:spacing w:before="120" w:after="120"/>
        <w:jc w:val="both"/>
      </w:pPr>
      <w:r w:rsidRPr="00E9210E">
        <w:t>Sur l’étude des classes, au Moyen Âge. (Compte rendu : F. </w:t>
      </w:r>
      <w:r w:rsidRPr="00E9210E">
        <w:rPr>
          <w:rStyle w:val="Corpsdutexte27ptGras"/>
          <w:rFonts w:eastAsia="Courier New"/>
          <w:b w:val="0"/>
          <w:smallCaps/>
          <w:sz w:val="28"/>
        </w:rPr>
        <w:t>Thibault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condition des personnes en France du IX</w:t>
      </w:r>
      <w:r w:rsidRPr="00E9210E">
        <w:rPr>
          <w:rFonts w:eastAsia="Courier New"/>
          <w:i/>
          <w:vertAlign w:val="superscript"/>
        </w:rPr>
        <w:t>e</w:t>
      </w:r>
      <w:r w:rsidRPr="00E9210E">
        <w:rPr>
          <w:rFonts w:eastAsia="Courier New"/>
          <w:i/>
        </w:rPr>
        <w:t xml:space="preserve"> s. au mo</w:t>
      </w:r>
      <w:r w:rsidRPr="00E9210E">
        <w:rPr>
          <w:rFonts w:eastAsia="Courier New"/>
          <w:i/>
        </w:rPr>
        <w:t>u</w:t>
      </w:r>
      <w:r w:rsidRPr="00E9210E">
        <w:rPr>
          <w:rFonts w:eastAsia="Courier New"/>
          <w:i/>
        </w:rPr>
        <w:t>vement co</w:t>
      </w:r>
      <w:r w:rsidRPr="00E9210E">
        <w:rPr>
          <w:rFonts w:eastAsia="Courier New"/>
          <w:i/>
        </w:rPr>
        <w:t>m</w:t>
      </w:r>
      <w:r w:rsidRPr="00E9210E">
        <w:rPr>
          <w:rFonts w:eastAsia="Courier New"/>
          <w:i/>
        </w:rPr>
        <w:t>munal</w:t>
      </w:r>
      <w:r w:rsidRPr="00E9210E">
        <w:rPr>
          <w:rFonts w:eastAsia="Courier New"/>
        </w:rPr>
        <w:t>,</w:t>
      </w:r>
      <w:r w:rsidRPr="00E9210E">
        <w:t xml:space="preserve"> Paris, 1933), « A.H.E.S. », t. VII (1935), pp. 213-215.</w:t>
      </w:r>
    </w:p>
    <w:p w14:paraId="20FF57C5" w14:textId="77777777" w:rsidR="00B9662D" w:rsidRPr="00E9210E" w:rsidRDefault="00B9662D" w:rsidP="00B9662D">
      <w:pPr>
        <w:spacing w:before="120" w:after="120"/>
        <w:jc w:val="both"/>
      </w:pPr>
      <w:r w:rsidRPr="00E9210E">
        <w:t>Le maçon médiéval : problèmes de salariat. (Compte rendu : D. </w:t>
      </w:r>
      <w:r w:rsidRPr="00E9210E">
        <w:rPr>
          <w:rStyle w:val="Corpsdutexte27ptGras"/>
          <w:rFonts w:eastAsia="Courier New"/>
          <w:b w:val="0"/>
          <w:smallCaps/>
          <w:sz w:val="28"/>
        </w:rPr>
        <w:t>Knoop</w:t>
      </w:r>
      <w:r w:rsidRPr="00E9210E">
        <w:rPr>
          <w:rStyle w:val="Corpsdutexte27ptGras"/>
          <w:rFonts w:eastAsia="Courier New"/>
          <w:sz w:val="28"/>
        </w:rPr>
        <w:t xml:space="preserve"> </w:t>
      </w:r>
      <w:r w:rsidRPr="00E9210E">
        <w:t xml:space="preserve">et G. P. </w:t>
      </w:r>
      <w:r w:rsidRPr="00E9210E">
        <w:rPr>
          <w:rStyle w:val="Corpsdutexte27ptGras"/>
          <w:rFonts w:eastAsia="Courier New"/>
          <w:b w:val="0"/>
          <w:smallCaps/>
          <w:sz w:val="28"/>
        </w:rPr>
        <w:t>Jones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mediaeval mason : an economic history of E</w:t>
      </w:r>
      <w:r w:rsidRPr="00E9210E">
        <w:rPr>
          <w:rFonts w:eastAsia="Courier New"/>
          <w:i/>
        </w:rPr>
        <w:t>n</w:t>
      </w:r>
      <w:r w:rsidRPr="00E9210E">
        <w:rPr>
          <w:rFonts w:eastAsia="Courier New"/>
          <w:i/>
        </w:rPr>
        <w:t>glish stone building in the latter middle ages and early modern times</w:t>
      </w:r>
      <w:r w:rsidRPr="00E9210E">
        <w:rPr>
          <w:rFonts w:eastAsia="Courier New"/>
        </w:rPr>
        <w:t>,</w:t>
      </w:r>
      <w:r w:rsidRPr="00E9210E">
        <w:t xml:space="preserve"> Manchester, 1933), « A.H.E.S. », t. VII (1935), pp. 216-217.</w:t>
      </w:r>
    </w:p>
    <w:p w14:paraId="7ED6F229" w14:textId="77777777" w:rsidR="00B9662D" w:rsidRPr="00E9210E" w:rsidRDefault="00B9662D" w:rsidP="00B9662D">
      <w:pPr>
        <w:spacing w:before="120" w:after="120"/>
        <w:jc w:val="both"/>
      </w:pPr>
      <w:r w:rsidRPr="00E9210E">
        <w:t>[1073]</w:t>
      </w:r>
    </w:p>
    <w:p w14:paraId="171507AF" w14:textId="77777777" w:rsidR="00B9662D" w:rsidRPr="00E9210E" w:rsidRDefault="00B9662D" w:rsidP="00B9662D">
      <w:pPr>
        <w:spacing w:before="120" w:after="120"/>
        <w:jc w:val="both"/>
      </w:pPr>
    </w:p>
    <w:p w14:paraId="1CD4708F" w14:textId="77777777" w:rsidR="00B9662D" w:rsidRPr="00E9210E" w:rsidRDefault="00B9662D" w:rsidP="00B9662D">
      <w:pPr>
        <w:spacing w:before="120" w:after="120"/>
        <w:jc w:val="both"/>
      </w:pPr>
      <w:r w:rsidRPr="00E9210E">
        <w:t xml:space="preserve">Un ouvrage sur la Rome médiévale. (Compte rendu : L. </w:t>
      </w:r>
      <w:r w:rsidRPr="00E9210E">
        <w:rPr>
          <w:smallCaps/>
        </w:rPr>
        <w:t>Homo</w:t>
      </w:r>
      <w:r w:rsidRPr="00E9210E">
        <w:t xml:space="preserve">, </w:t>
      </w:r>
      <w:r w:rsidRPr="00E9210E">
        <w:rPr>
          <w:rStyle w:val="Corpsdutexte28ptItalique"/>
          <w:rFonts w:eastAsia="Courier New"/>
          <w:sz w:val="28"/>
        </w:rPr>
        <w:t xml:space="preserve">Rome médiévale : </w:t>
      </w:r>
      <w:r w:rsidRPr="00E9210E">
        <w:rPr>
          <w:rFonts w:eastAsia="Courier New"/>
        </w:rPr>
        <w:t>476-</w:t>
      </w:r>
      <w:r w:rsidRPr="00E9210E">
        <w:rPr>
          <w:rStyle w:val="Corpsdutexte28ptItalique"/>
          <w:rFonts w:eastAsia="Courier New"/>
          <w:sz w:val="28"/>
        </w:rPr>
        <w:t>1420. Histoire. Civilisation. Vestiges</w:t>
      </w:r>
      <w:r w:rsidRPr="00E9210E">
        <w:rPr>
          <w:rFonts w:eastAsia="Courier New"/>
        </w:rPr>
        <w:t>,</w:t>
      </w:r>
      <w:r w:rsidRPr="00E9210E">
        <w:t xml:space="preserve"> Paris, 1934), « A.H.E.S. », t. VII (1935), pp. 217-218.</w:t>
      </w:r>
    </w:p>
    <w:p w14:paraId="1CEEE954"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Problèmes d’histoire urbaine. (Comptes rendus : K. </w:t>
      </w:r>
      <w:r w:rsidRPr="00E9210E">
        <w:rPr>
          <w:rStyle w:val="Corpsdutexte37ptGrasNonItalique"/>
          <w:rFonts w:eastAsia="Courier New"/>
          <w:b w:val="0"/>
          <w:i w:val="0"/>
          <w:iCs w:val="0"/>
          <w:smallCaps/>
          <w:sz w:val="28"/>
        </w:rPr>
        <w:t>Frölich</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Ki</w:t>
      </w:r>
      <w:r w:rsidRPr="00E9210E">
        <w:rPr>
          <w:i/>
        </w:rPr>
        <w:t>r</w:t>
      </w:r>
      <w:r w:rsidRPr="00E9210E">
        <w:rPr>
          <w:i/>
        </w:rPr>
        <w:t>ches und städtisches Ve</w:t>
      </w:r>
      <w:r w:rsidRPr="00E9210E">
        <w:rPr>
          <w:i/>
        </w:rPr>
        <w:t>r</w:t>
      </w:r>
      <w:r w:rsidRPr="00E9210E">
        <w:rPr>
          <w:i/>
        </w:rPr>
        <w:t>fassungsleben im Mittelalter</w:t>
      </w:r>
      <w:r w:rsidRPr="00E9210E">
        <w:rPr>
          <w:rStyle w:val="Corpsdutexte385ptNonItalique"/>
          <w:rFonts w:eastAsia="Courier New"/>
          <w:i w:val="0"/>
          <w:iCs w:val="0"/>
          <w:sz w:val="28"/>
        </w:rPr>
        <w:t xml:space="preserve">, dans </w:t>
      </w:r>
      <w:r w:rsidRPr="00E9210E">
        <w:rPr>
          <w:i/>
        </w:rPr>
        <w:t>Zeitschrift der Savigny Stiftung für Rechtsgeschichte</w:t>
      </w:r>
      <w:r w:rsidRPr="00E9210E">
        <w:rPr>
          <w:rStyle w:val="Corpsdutexte385ptNonItalique"/>
          <w:rFonts w:eastAsia="Courier New"/>
          <w:i w:val="0"/>
          <w:iCs w:val="0"/>
          <w:sz w:val="28"/>
        </w:rPr>
        <w:t xml:space="preserve">, t. LIII, </w:t>
      </w:r>
      <w:r w:rsidRPr="00E9210E">
        <w:rPr>
          <w:i/>
        </w:rPr>
        <w:t>Kan. Abt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XXII (1933), p. 188-287. — </w:t>
      </w:r>
      <w:r w:rsidRPr="00E9210E">
        <w:rPr>
          <w:i/>
        </w:rPr>
        <w:t>Kanfmannsgilden und Stadtverfassung im Mi</w:t>
      </w:r>
      <w:r w:rsidRPr="00E9210E">
        <w:rPr>
          <w:i/>
        </w:rPr>
        <w:t>t</w:t>
      </w:r>
      <w:r w:rsidRPr="00E9210E">
        <w:rPr>
          <w:i/>
        </w:rPr>
        <w:t>telalter</w:t>
      </w:r>
      <w:r w:rsidRPr="00E9210E">
        <w:rPr>
          <w:rStyle w:val="Corpsdutexte385ptNonItalique"/>
          <w:rFonts w:eastAsia="Courier New"/>
          <w:i w:val="0"/>
          <w:iCs w:val="0"/>
          <w:sz w:val="28"/>
        </w:rPr>
        <w:t xml:space="preserve">, dans </w:t>
      </w:r>
      <w:r w:rsidRPr="00E9210E">
        <w:rPr>
          <w:i/>
        </w:rPr>
        <w:t>Alfred Schulze-Festschrift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We</w:t>
      </w:r>
      <w:r w:rsidRPr="00E9210E">
        <w:rPr>
          <w:rStyle w:val="Corpsdutexte385ptNonItalique"/>
          <w:rFonts w:eastAsia="Courier New"/>
          <w:i w:val="0"/>
          <w:iCs w:val="0"/>
          <w:sz w:val="28"/>
        </w:rPr>
        <w:t>i</w:t>
      </w:r>
      <w:r w:rsidRPr="00E9210E">
        <w:rPr>
          <w:rStyle w:val="Corpsdutexte385ptNonItalique"/>
          <w:rFonts w:eastAsia="Courier New"/>
          <w:i w:val="0"/>
          <w:iCs w:val="0"/>
          <w:sz w:val="28"/>
        </w:rPr>
        <w:t>mar, 1934)</w:t>
      </w:r>
      <w:r w:rsidRPr="00E9210E">
        <w:t>, « A.H.E.S. », t. VII (1935), pp. 218-219.</w:t>
      </w:r>
    </w:p>
    <w:p w14:paraId="147A0B04" w14:textId="77777777" w:rsidR="00B9662D" w:rsidRPr="00E9210E" w:rsidRDefault="00B9662D" w:rsidP="00B9662D">
      <w:pPr>
        <w:spacing w:before="120" w:after="120"/>
        <w:jc w:val="both"/>
      </w:pPr>
      <w:r w:rsidRPr="00E9210E">
        <w:t>Un groupe d’études révolutionnaires. (Note sur le 12</w:t>
      </w:r>
      <w:r w:rsidRPr="00E9210E">
        <w:rPr>
          <w:vertAlign w:val="superscript"/>
        </w:rPr>
        <w:t>e</w:t>
      </w:r>
      <w:r w:rsidRPr="00E9210E">
        <w:t xml:space="preserve"> fasc. du </w:t>
      </w:r>
      <w:r w:rsidRPr="00E9210E">
        <w:rPr>
          <w:rStyle w:val="Corpsdutexte28ptItalique"/>
          <w:rFonts w:eastAsia="Courier New"/>
          <w:sz w:val="28"/>
        </w:rPr>
        <w:t>Bu</w:t>
      </w:r>
      <w:r w:rsidRPr="00E9210E">
        <w:rPr>
          <w:rStyle w:val="Corpsdutexte28ptItalique"/>
          <w:rFonts w:eastAsia="Courier New"/>
          <w:sz w:val="28"/>
        </w:rPr>
        <w:t>l</w:t>
      </w:r>
      <w:r w:rsidRPr="00E9210E">
        <w:rPr>
          <w:rStyle w:val="Corpsdutexte28ptItalique"/>
          <w:rFonts w:eastAsia="Courier New"/>
          <w:sz w:val="28"/>
        </w:rPr>
        <w:t>letin publié par le Comité départemental de Seine-et-Oise,</w:t>
      </w:r>
      <w:r w:rsidRPr="00E9210E">
        <w:rPr>
          <w:rStyle w:val="Corpsdutexte28ptGraschelle120"/>
          <w:rFonts w:eastAsia="Courier New"/>
          <w:sz w:val="28"/>
        </w:rPr>
        <w:t xml:space="preserve"> </w:t>
      </w:r>
      <w:r w:rsidRPr="00E9210E">
        <w:t>rattaché à la grande Commission pour la recherche et la publication des doc</w:t>
      </w:r>
      <w:r w:rsidRPr="00E9210E">
        <w:t>u</w:t>
      </w:r>
      <w:r w:rsidRPr="00E9210E">
        <w:t>ments relatifs à la vie économ</w:t>
      </w:r>
      <w:r w:rsidRPr="00E9210E">
        <w:t>i</w:t>
      </w:r>
      <w:r w:rsidRPr="00E9210E">
        <w:t>que de la Révolution), « A.H.E.S. », t. VII (1935), p. 219.</w:t>
      </w:r>
    </w:p>
    <w:p w14:paraId="29056794" w14:textId="77777777" w:rsidR="00B9662D" w:rsidRPr="00E9210E" w:rsidRDefault="00B9662D" w:rsidP="00B9662D">
      <w:pPr>
        <w:spacing w:before="120" w:after="120"/>
        <w:jc w:val="both"/>
      </w:pPr>
      <w:r w:rsidRPr="00E9210E">
        <w:t>Études hanséatiques. (Compte rendu : 58</w:t>
      </w:r>
      <w:r w:rsidRPr="00E9210E">
        <w:rPr>
          <w:vertAlign w:val="superscript"/>
        </w:rPr>
        <w:t>e</w:t>
      </w:r>
      <w:r w:rsidRPr="00E9210E">
        <w:t xml:space="preserve"> volume des </w:t>
      </w:r>
      <w:r w:rsidRPr="00E9210E">
        <w:rPr>
          <w:rStyle w:val="Corpsdutexte28ptItalique"/>
          <w:rFonts w:eastAsia="Courier New"/>
          <w:sz w:val="28"/>
        </w:rPr>
        <w:t>Hansische Geschic</w:t>
      </w:r>
      <w:r w:rsidRPr="00E9210E">
        <w:rPr>
          <w:rStyle w:val="Corpsdutexte28ptItalique"/>
          <w:rFonts w:eastAsia="Courier New"/>
          <w:sz w:val="28"/>
        </w:rPr>
        <w:t>h</w:t>
      </w:r>
      <w:r w:rsidRPr="00E9210E">
        <w:rPr>
          <w:rStyle w:val="Corpsdutexte28ptItalique"/>
          <w:rFonts w:eastAsia="Courier New"/>
          <w:sz w:val="28"/>
        </w:rPr>
        <w:t>tsblätter</w:t>
      </w:r>
      <w:r w:rsidRPr="00E9210E">
        <w:rPr>
          <w:rStyle w:val="Corpsdutexte28ptGraschelle120"/>
          <w:rFonts w:eastAsia="Courier New"/>
          <w:b w:val="0"/>
          <w:sz w:val="28"/>
        </w:rPr>
        <w:t>, 1933)</w:t>
      </w:r>
      <w:r w:rsidRPr="00E9210E">
        <w:t>, « A.H.E.S. », t. VII (1935), p. 224.</w:t>
      </w:r>
    </w:p>
    <w:p w14:paraId="4F636B69" w14:textId="77777777" w:rsidR="00B9662D" w:rsidRPr="00E9210E" w:rsidRDefault="00B9662D" w:rsidP="00B9662D">
      <w:pPr>
        <w:spacing w:before="120" w:after="120"/>
        <w:jc w:val="both"/>
      </w:pPr>
      <w:r w:rsidRPr="00E9210E">
        <w:t xml:space="preserve">En Angleterre, rien qu’en Angleterre. (Compte rendu : </w:t>
      </w:r>
      <w:r w:rsidRPr="00E9210E">
        <w:rPr>
          <w:rStyle w:val="Corpsdutexte29ptPetitesmajuscules"/>
          <w:rFonts w:eastAsia="Courier New"/>
          <w:sz w:val="28"/>
          <w:lang w:val="fr-CA"/>
        </w:rPr>
        <w:t xml:space="preserve">F. M. Page, </w:t>
      </w:r>
      <w:r w:rsidRPr="00E9210E">
        <w:rPr>
          <w:rStyle w:val="Corpsdutexte28ptItalique"/>
          <w:rFonts w:eastAsia="Courier New"/>
          <w:sz w:val="28"/>
        </w:rPr>
        <w:t>The Estates of Crowland Abbey : a study in manorial organisation</w:t>
      </w:r>
      <w:r w:rsidRPr="00E9210E">
        <w:t>, Cambridge, 1934), « A.H.E.S. », t. VII (1935), pp. 320-323.</w:t>
      </w:r>
    </w:p>
    <w:p w14:paraId="341C8266" w14:textId="77777777" w:rsidR="00B9662D" w:rsidRPr="00E9210E" w:rsidRDefault="00B9662D" w:rsidP="00B9662D">
      <w:pPr>
        <w:spacing w:before="120" w:after="120"/>
        <w:jc w:val="both"/>
      </w:pPr>
      <w:r w:rsidRPr="00E9210E">
        <w:t xml:space="preserve">La monnaie de compte. (Compte rendu : H. van </w:t>
      </w:r>
      <w:r w:rsidRPr="00E9210E">
        <w:rPr>
          <w:rStyle w:val="Corpsdutexte27ptGras"/>
          <w:rFonts w:eastAsia="Courier New"/>
          <w:b w:val="0"/>
          <w:smallCaps/>
          <w:sz w:val="28"/>
        </w:rPr>
        <w:t>Werveke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Mo</w:t>
      </w:r>
      <w:r w:rsidRPr="00E9210E">
        <w:rPr>
          <w:rStyle w:val="Corpsdutexte28ptItalique"/>
          <w:rFonts w:eastAsia="Courier New"/>
          <w:sz w:val="28"/>
        </w:rPr>
        <w:t>n</w:t>
      </w:r>
      <w:r w:rsidRPr="00E9210E">
        <w:rPr>
          <w:rStyle w:val="Corpsdutexte28ptItalique"/>
          <w:rFonts w:eastAsia="Courier New"/>
          <w:sz w:val="28"/>
        </w:rPr>
        <w:t>naie de compte et monnaie réelle</w:t>
      </w:r>
      <w:r w:rsidRPr="00E9210E">
        <w:t xml:space="preserve">, dans </w:t>
      </w:r>
      <w:r w:rsidRPr="00E9210E">
        <w:rPr>
          <w:rStyle w:val="Corpsdutexte28ptItalique"/>
          <w:rFonts w:eastAsia="Courier New"/>
          <w:sz w:val="28"/>
        </w:rPr>
        <w:t>Revue belge de philologie et d'histoire</w:t>
      </w:r>
      <w:r w:rsidRPr="00E9210E">
        <w:t>, t. XIII (1934), pp. 123-152), « A.H.E.S. », t. VII (1935), pp. 323-325.</w:t>
      </w:r>
    </w:p>
    <w:p w14:paraId="44C34212" w14:textId="77777777" w:rsidR="00B9662D" w:rsidRPr="00E9210E" w:rsidRDefault="00B9662D" w:rsidP="00B9662D">
      <w:pPr>
        <w:spacing w:before="120" w:after="120"/>
        <w:jc w:val="both"/>
      </w:pPr>
      <w:r w:rsidRPr="00E9210E">
        <w:t xml:space="preserve">Vie économique et structure familiale dans un coin d’Auvergne. (Comptes rendus : G. </w:t>
      </w:r>
      <w:r w:rsidRPr="00E9210E">
        <w:rPr>
          <w:rStyle w:val="Corpsdutexte27ptGras"/>
          <w:rFonts w:eastAsia="Courier New"/>
          <w:b w:val="0"/>
          <w:smallCaps/>
          <w:sz w:val="28"/>
        </w:rPr>
        <w:t>Segret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Blesle. Essais de statistique et d’histoire</w:t>
      </w:r>
      <w:r w:rsidRPr="00E9210E">
        <w:t xml:space="preserve">, trois extr. de la </w:t>
      </w:r>
      <w:r w:rsidRPr="00E9210E">
        <w:rPr>
          <w:rStyle w:val="Corpsdutexte28ptItalique"/>
          <w:rFonts w:eastAsia="Courier New"/>
          <w:sz w:val="28"/>
        </w:rPr>
        <w:t>Revue d’Auvergne,</w:t>
      </w:r>
      <w:r w:rsidRPr="00E9210E">
        <w:rPr>
          <w:rStyle w:val="Corpsdutexte28ptGraschelle120"/>
          <w:rFonts w:eastAsia="Courier New"/>
          <w:sz w:val="28"/>
        </w:rPr>
        <w:t xml:space="preserve"> </w:t>
      </w:r>
      <w:r w:rsidRPr="00E9210E">
        <w:t>1922 et 1923 et de l’</w:t>
      </w:r>
      <w:r w:rsidRPr="00E9210E">
        <w:rPr>
          <w:rStyle w:val="Corpsdutexte28ptItalique"/>
          <w:rFonts w:eastAsia="Courier New"/>
          <w:sz w:val="28"/>
        </w:rPr>
        <w:t>Almanach de Brioude</w:t>
      </w:r>
      <w:r w:rsidRPr="00E9210E">
        <w:t>, 1924 et 1925. — </w:t>
      </w:r>
      <w:r w:rsidRPr="00E9210E">
        <w:rPr>
          <w:rStyle w:val="Corpsdutexte28ptItalique"/>
          <w:rFonts w:eastAsia="Courier New"/>
          <w:sz w:val="28"/>
        </w:rPr>
        <w:t>La maison paysa</w:t>
      </w:r>
      <w:r w:rsidRPr="00E9210E">
        <w:rPr>
          <w:rStyle w:val="Corpsdutexte28ptItalique"/>
          <w:rFonts w:eastAsia="Courier New"/>
          <w:sz w:val="28"/>
        </w:rPr>
        <w:t>n</w:t>
      </w:r>
      <w:r w:rsidRPr="00E9210E">
        <w:rPr>
          <w:rStyle w:val="Corpsdutexte28ptItalique"/>
          <w:rFonts w:eastAsia="Courier New"/>
          <w:sz w:val="28"/>
        </w:rPr>
        <w:t xml:space="preserve">ne dans la région de Blesle </w:t>
      </w:r>
      <w:r w:rsidRPr="00E9210E">
        <w:rPr>
          <w:rFonts w:eastAsia="Courier New"/>
        </w:rPr>
        <w:t>(</w:t>
      </w:r>
      <w:r w:rsidRPr="00E9210E">
        <w:rPr>
          <w:rStyle w:val="Corpsdutexte28ptItalique"/>
          <w:rFonts w:eastAsia="Courier New"/>
          <w:sz w:val="28"/>
        </w:rPr>
        <w:t>Haute-Loire</w:t>
      </w:r>
      <w:r w:rsidRPr="00E9210E">
        <w:rPr>
          <w:rFonts w:eastAsia="Courier New"/>
        </w:rPr>
        <w:t>),</w:t>
      </w:r>
      <w:r w:rsidRPr="00E9210E">
        <w:t xml:space="preserve"> extr. de l’</w:t>
      </w:r>
      <w:r w:rsidRPr="00E9210E">
        <w:rPr>
          <w:rStyle w:val="Corpsdutexte28ptItalique"/>
          <w:rFonts w:eastAsia="Courier New"/>
          <w:sz w:val="28"/>
        </w:rPr>
        <w:t>Almanach de Brioude</w:t>
      </w:r>
      <w:r w:rsidRPr="00E9210E">
        <w:rPr>
          <w:rStyle w:val="Corpsdutexte28ptGraschelle120"/>
          <w:rFonts w:eastAsia="Courier New"/>
          <w:sz w:val="28"/>
        </w:rPr>
        <w:t xml:space="preserve"> </w:t>
      </w:r>
      <w:r w:rsidRPr="00E9210E">
        <w:t>(1934). — </w:t>
      </w:r>
      <w:r w:rsidRPr="00E9210E">
        <w:rPr>
          <w:rStyle w:val="Corpsdutexte28ptItalique"/>
          <w:rFonts w:eastAsia="Courier New"/>
          <w:sz w:val="28"/>
        </w:rPr>
        <w:t xml:space="preserve">Le mobilier du château de Blesle au </w:t>
      </w:r>
      <w:r w:rsidRPr="00E9210E">
        <w:rPr>
          <w:rStyle w:val="Corpsdutexte28ptItaliqueEspacement1pt"/>
          <w:rFonts w:eastAsia="Courier New"/>
          <w:sz w:val="28"/>
        </w:rPr>
        <w:t>XVIII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t>, édité par la Société de l’</w:t>
      </w:r>
      <w:r w:rsidRPr="00E9210E">
        <w:rPr>
          <w:rStyle w:val="Corpsdutexte28ptItalique"/>
          <w:rFonts w:eastAsia="Courier New"/>
          <w:sz w:val="28"/>
        </w:rPr>
        <w:t>Almanach de Brioude</w:t>
      </w:r>
      <w:r w:rsidRPr="00E9210E">
        <w:t>), « A.H.E.S. », t. VII (1935), p. 330-332.</w:t>
      </w:r>
    </w:p>
    <w:p w14:paraId="11CA7D2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exploitation agricole au </w:t>
      </w:r>
      <w:r w:rsidRPr="00E9210E">
        <w:rPr>
          <w:rStyle w:val="Corpsdutexte385ptNonItalique"/>
          <w:rFonts w:eastAsia="Courier New"/>
          <w:i w:val="0"/>
          <w:iCs w:val="0"/>
          <w:smallCaps/>
          <w:sz w:val="28"/>
        </w:rPr>
        <w:t>xviii</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 rendu : Ch. </w:t>
      </w:r>
      <w:r w:rsidRPr="00E9210E">
        <w:rPr>
          <w:rStyle w:val="Corpsdutexte37ptGrasNonItalique"/>
          <w:rFonts w:eastAsia="Courier New"/>
          <w:b w:val="0"/>
          <w:i w:val="0"/>
          <w:iCs w:val="0"/>
          <w:smallCaps/>
          <w:sz w:val="28"/>
        </w:rPr>
        <w:t>Leroy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Notes sur une exploit</w:t>
      </w:r>
      <w:r w:rsidRPr="00E9210E">
        <w:rPr>
          <w:i/>
        </w:rPr>
        <w:t>a</w:t>
      </w:r>
      <w:r w:rsidRPr="00E9210E">
        <w:rPr>
          <w:i/>
        </w:rPr>
        <w:t xml:space="preserve">tion agricole en Normandie dans le Roumois au </w:t>
      </w:r>
      <w:r w:rsidRPr="00E9210E">
        <w:rPr>
          <w:rFonts w:eastAsia="Courier New"/>
          <w:i/>
        </w:rPr>
        <w:t>XVIII</w:t>
      </w:r>
      <w:r w:rsidRPr="00E9210E">
        <w:rPr>
          <w:rFonts w:eastAsia="Courier New"/>
          <w:i/>
          <w:vertAlign w:val="superscript"/>
        </w:rPr>
        <w:t>e</w:t>
      </w:r>
      <w:r w:rsidRPr="00E9210E">
        <w:rPr>
          <w:i/>
        </w:rPr>
        <w:t xml:space="preserve"> siècle</w:t>
      </w:r>
      <w:r w:rsidRPr="00E9210E">
        <w:rPr>
          <w:rStyle w:val="Corpsdutexte385ptNonItalique"/>
          <w:rFonts w:eastAsia="Courier New"/>
          <w:i w:val="0"/>
          <w:iCs w:val="0"/>
          <w:sz w:val="28"/>
        </w:rPr>
        <w:t>, Rouen, (1934)</w:t>
      </w:r>
      <w:r w:rsidRPr="00E9210E">
        <w:t>, « A.H.E.S. », t. VII (1935), pp. 332-333.</w:t>
      </w:r>
    </w:p>
    <w:p w14:paraId="203078D2" w14:textId="77777777" w:rsidR="00B9662D" w:rsidRPr="00E9210E" w:rsidRDefault="00B9662D" w:rsidP="00B9662D">
      <w:pPr>
        <w:spacing w:before="120" w:after="120"/>
        <w:jc w:val="both"/>
      </w:pPr>
      <w:r w:rsidRPr="00E9210E">
        <w:t xml:space="preserve">Enquêtes régionales. (Compte rendu : </w:t>
      </w:r>
      <w:r w:rsidRPr="00E9210E">
        <w:rPr>
          <w:rStyle w:val="Corpsdutexte28ptItalique"/>
          <w:rFonts w:eastAsia="Courier New"/>
          <w:sz w:val="28"/>
        </w:rPr>
        <w:t>Mém. de la Soc. des Scie</w:t>
      </w:r>
      <w:r w:rsidRPr="00E9210E">
        <w:rPr>
          <w:rStyle w:val="Corpsdutexte28ptItalique"/>
          <w:rFonts w:eastAsia="Courier New"/>
          <w:sz w:val="28"/>
        </w:rPr>
        <w:t>n</w:t>
      </w:r>
      <w:r w:rsidRPr="00E9210E">
        <w:rPr>
          <w:rStyle w:val="Corpsdutexte28ptItalique"/>
          <w:rFonts w:eastAsia="Courier New"/>
          <w:sz w:val="28"/>
        </w:rPr>
        <w:t>ces naturelles et arché</w:t>
      </w:r>
      <w:r w:rsidRPr="00E9210E">
        <w:rPr>
          <w:rStyle w:val="Corpsdutexte28ptItalique"/>
          <w:rFonts w:eastAsia="Courier New"/>
          <w:sz w:val="28"/>
        </w:rPr>
        <w:t>o</w:t>
      </w:r>
      <w:r w:rsidRPr="00E9210E">
        <w:rPr>
          <w:rStyle w:val="Corpsdutexte28ptItalique"/>
          <w:rFonts w:eastAsia="Courier New"/>
          <w:sz w:val="28"/>
        </w:rPr>
        <w:t>logiques de la Creuse</w:t>
      </w:r>
      <w:r w:rsidRPr="00E9210E">
        <w:t xml:space="preserve">, t. XXV, </w:t>
      </w:r>
      <w:r w:rsidRPr="00E9210E">
        <w:rPr>
          <w:rStyle w:val="Corpsdutexte28ptItalique"/>
          <w:rFonts w:eastAsia="Courier New"/>
          <w:sz w:val="28"/>
        </w:rPr>
        <w:t>2</w:t>
      </w:r>
      <w:r w:rsidRPr="00E9210E">
        <w:rPr>
          <w:rStyle w:val="Corpsdutexte28ptItalique"/>
          <w:rFonts w:eastAsia="Courier New"/>
          <w:sz w:val="28"/>
          <w:vertAlign w:val="superscript"/>
        </w:rPr>
        <w:t>e</w:t>
      </w:r>
      <w:r w:rsidRPr="00E9210E">
        <w:rPr>
          <w:rStyle w:val="Corpsdutexte28ptGraschelle120"/>
          <w:rFonts w:eastAsia="Courier New"/>
          <w:sz w:val="28"/>
        </w:rPr>
        <w:t xml:space="preserve"> </w:t>
      </w:r>
      <w:r w:rsidRPr="00E9210E">
        <w:t>fasc., 1932-1933), « A.H.E.S. », t. VII (1935), p. 333.</w:t>
      </w:r>
    </w:p>
    <w:p w14:paraId="7E97CB7B" w14:textId="77777777" w:rsidR="00B9662D" w:rsidRPr="00E9210E" w:rsidRDefault="00B9662D" w:rsidP="00B9662D">
      <w:pPr>
        <w:spacing w:before="120" w:after="120"/>
        <w:jc w:val="both"/>
      </w:pPr>
      <w:r w:rsidRPr="00E9210E">
        <w:t>Note sur :</w:t>
      </w:r>
      <w:r w:rsidRPr="00E9210E">
        <w:rPr>
          <w:rStyle w:val="Corpsdutexte28ptGraschelle120"/>
          <w:rFonts w:eastAsia="Courier New"/>
          <w:sz w:val="28"/>
        </w:rPr>
        <w:t xml:space="preserve"> </w:t>
      </w:r>
      <w:r w:rsidRPr="00E9210E">
        <w:rPr>
          <w:rStyle w:val="Corpsdutexte28ptItalique"/>
          <w:rFonts w:eastAsia="Courier New"/>
          <w:sz w:val="28"/>
        </w:rPr>
        <w:t>Les Annales sociologique,</w:t>
      </w:r>
      <w:r w:rsidRPr="00E9210E">
        <w:rPr>
          <w:rStyle w:val="Corpsdutexte28ptGraschelle120"/>
          <w:rFonts w:eastAsia="Courier New"/>
          <w:sz w:val="28"/>
        </w:rPr>
        <w:t xml:space="preserve"> </w:t>
      </w:r>
      <w:r w:rsidRPr="00E9210E">
        <w:t>(périodique qui fait suite à l’</w:t>
      </w:r>
      <w:r w:rsidRPr="00E9210E">
        <w:rPr>
          <w:rStyle w:val="Corpsdutexte28ptItalique"/>
          <w:rFonts w:eastAsia="Courier New"/>
          <w:sz w:val="28"/>
        </w:rPr>
        <w:t>Année,</w:t>
      </w:r>
      <w:r w:rsidRPr="00E9210E">
        <w:rPr>
          <w:rStyle w:val="Corpsdutexte28ptGraschelle120"/>
          <w:rFonts w:eastAsia="Courier New"/>
          <w:sz w:val="28"/>
        </w:rPr>
        <w:t xml:space="preserve"> </w:t>
      </w:r>
      <w:r w:rsidRPr="00E9210E">
        <w:t>fondée par Durkheim, Paris, 1934), « A.H.E.S. », t. VII (1935), p. 393.</w:t>
      </w:r>
    </w:p>
    <w:p w14:paraId="20661A8F" w14:textId="77777777" w:rsidR="00B9662D" w:rsidRPr="00E9210E" w:rsidRDefault="00B9662D" w:rsidP="00B9662D">
      <w:pPr>
        <w:spacing w:before="120" w:after="120"/>
        <w:jc w:val="both"/>
      </w:pPr>
      <w:r w:rsidRPr="00E9210E">
        <w:t>Un « vade-mecum » d’histoire locale. (Compte rendu : V. </w:t>
      </w:r>
      <w:r w:rsidRPr="00E9210E">
        <w:rPr>
          <w:rStyle w:val="Corpsdutexte27ptGras"/>
          <w:rFonts w:eastAsia="Courier New"/>
          <w:b w:val="0"/>
          <w:smallCaps/>
          <w:sz w:val="28"/>
        </w:rPr>
        <w:t>Carrière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I</w:t>
      </w:r>
      <w:r w:rsidRPr="00E9210E">
        <w:rPr>
          <w:rStyle w:val="Corpsdutexte28ptItalique"/>
          <w:rFonts w:eastAsia="Courier New"/>
          <w:sz w:val="28"/>
        </w:rPr>
        <w:t>n</w:t>
      </w:r>
      <w:r w:rsidRPr="00E9210E">
        <w:rPr>
          <w:rStyle w:val="Corpsdutexte28ptItalique"/>
          <w:rFonts w:eastAsia="Courier New"/>
          <w:sz w:val="28"/>
        </w:rPr>
        <w:t>troduction aux études d’histoire ecclésiastique locale,</w:t>
      </w:r>
      <w:r w:rsidRPr="00E9210E">
        <w:rPr>
          <w:rStyle w:val="Corpsdutexte28ptGraschelle120"/>
          <w:rFonts w:eastAsia="Courier New"/>
          <w:sz w:val="28"/>
        </w:rPr>
        <w:t xml:space="preserve"> </w:t>
      </w:r>
      <w:r w:rsidRPr="00E9210E">
        <w:t xml:space="preserve">t. II : </w:t>
      </w:r>
      <w:r w:rsidRPr="00E9210E">
        <w:rPr>
          <w:rStyle w:val="Corpsdutexte28ptItalique"/>
          <w:rFonts w:eastAsia="Courier New"/>
          <w:sz w:val="28"/>
        </w:rPr>
        <w:t xml:space="preserve">L’histoire locale à travers les âges, </w:t>
      </w:r>
      <w:r w:rsidRPr="00E9210E">
        <w:t>Paris, 1934), « A.H.E.S. », t. VII (1935), pp. 401-403.</w:t>
      </w:r>
    </w:p>
    <w:p w14:paraId="08159095" w14:textId="77777777" w:rsidR="00B9662D" w:rsidRPr="00E9210E" w:rsidRDefault="00B9662D" w:rsidP="00B9662D">
      <w:pPr>
        <w:spacing w:before="120" w:after="120"/>
        <w:jc w:val="both"/>
      </w:pPr>
      <w:r w:rsidRPr="00E9210E">
        <w:t xml:space="preserve">Les institutions féodales. (Compte rendu : H. </w:t>
      </w:r>
      <w:r w:rsidRPr="00E9210E">
        <w:rPr>
          <w:rStyle w:val="Corpsdutexte27ptGras"/>
          <w:rFonts w:eastAsia="Courier New"/>
          <w:b w:val="0"/>
          <w:smallCaps/>
          <w:sz w:val="28"/>
        </w:rPr>
        <w:t>Mitteis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Lehnrecht und Staatsgewalt :</w:t>
      </w:r>
      <w:r w:rsidRPr="00E9210E">
        <w:rPr>
          <w:rFonts w:eastAsia="Courier New"/>
        </w:rPr>
        <w:t xml:space="preserve"> </w:t>
      </w:r>
      <w:r w:rsidRPr="00E9210E">
        <w:rPr>
          <w:rStyle w:val="Corpsdutexte28ptItalique"/>
          <w:rFonts w:eastAsia="Courier New"/>
          <w:sz w:val="28"/>
        </w:rPr>
        <w:t>Untersuchungen zur mittelalterlichen Verfassun</w:t>
      </w:r>
      <w:r w:rsidRPr="00E9210E">
        <w:rPr>
          <w:rStyle w:val="Corpsdutexte28ptItalique"/>
          <w:rFonts w:eastAsia="Courier New"/>
          <w:sz w:val="28"/>
        </w:rPr>
        <w:t>g</w:t>
      </w:r>
      <w:r w:rsidRPr="00E9210E">
        <w:rPr>
          <w:rStyle w:val="Corpsdutexte28ptItalique"/>
          <w:rFonts w:eastAsia="Courier New"/>
          <w:sz w:val="28"/>
        </w:rPr>
        <w:t>sgeschichte,</w:t>
      </w:r>
      <w:r w:rsidRPr="00E9210E">
        <w:rPr>
          <w:rStyle w:val="Corpsdutexte28ptGraschelle120"/>
          <w:rFonts w:eastAsia="Courier New"/>
          <w:sz w:val="28"/>
        </w:rPr>
        <w:t xml:space="preserve"> </w:t>
      </w:r>
      <w:r w:rsidRPr="00E9210E">
        <w:t>Weimar, 1933), « A.H.E.S. », t. VII (1935), pp. 406-408.</w:t>
      </w:r>
    </w:p>
    <w:p w14:paraId="3E58532F" w14:textId="77777777" w:rsidR="00B9662D" w:rsidRPr="00E9210E" w:rsidRDefault="00B9662D" w:rsidP="00B9662D">
      <w:pPr>
        <w:spacing w:before="120" w:after="120"/>
        <w:jc w:val="both"/>
      </w:pPr>
      <w:r w:rsidRPr="00E9210E">
        <w:t xml:space="preserve">Un pays sans seigneurs. (Compte rendu : B. E. </w:t>
      </w:r>
      <w:r w:rsidRPr="00E9210E">
        <w:rPr>
          <w:rStyle w:val="Corpsdutexte27ptGras"/>
          <w:rFonts w:eastAsia="Courier New"/>
          <w:b w:val="0"/>
          <w:smallCaps/>
          <w:sz w:val="28"/>
        </w:rPr>
        <w:t>Siebx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Grundlagen und Aufbau der altfriesischen Verfassung,</w:t>
      </w:r>
      <w:r w:rsidRPr="00E9210E">
        <w:rPr>
          <w:rStyle w:val="Corpsdutexte28ptGraschelle120"/>
          <w:rFonts w:eastAsia="Courier New"/>
          <w:sz w:val="28"/>
        </w:rPr>
        <w:t xml:space="preserve"> </w:t>
      </w:r>
      <w:r w:rsidRPr="00E9210E">
        <w:t>Breslau, 1933), « A.H.E.S. », t. VII (1935), pp. 408-409.</w:t>
      </w:r>
    </w:p>
    <w:p w14:paraId="5D7C0E9C" w14:textId="77777777" w:rsidR="00B9662D" w:rsidRPr="00E9210E" w:rsidRDefault="00B9662D" w:rsidP="00B9662D">
      <w:pPr>
        <w:spacing w:before="120" w:after="120"/>
        <w:jc w:val="both"/>
      </w:pPr>
      <w:r w:rsidRPr="00E9210E">
        <w:rPr>
          <w:rStyle w:val="Corpsdutexte385ptNonItalique"/>
          <w:rFonts w:eastAsia="Courier New"/>
          <w:i w:val="0"/>
          <w:iCs w:val="0"/>
          <w:sz w:val="28"/>
        </w:rPr>
        <w:t>Sur l’histoire rurale de l’Europe, au delà de l’Elbe. (Compte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 : J. </w:t>
      </w:r>
      <w:r w:rsidRPr="00E9210E">
        <w:rPr>
          <w:rStyle w:val="Corpsdutexte37ptGrasNonItalique"/>
          <w:rFonts w:eastAsia="Courier New"/>
          <w:b w:val="0"/>
          <w:i w:val="0"/>
          <w:iCs w:val="0"/>
          <w:smallCaps/>
          <w:sz w:val="28"/>
        </w:rPr>
        <w:t>Kulischer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Leibeigenschaft in Russland und die Agrarve</w:t>
      </w:r>
      <w:r w:rsidRPr="00E9210E">
        <w:rPr>
          <w:i/>
        </w:rPr>
        <w:t>r</w:t>
      </w:r>
      <w:r w:rsidRPr="00E9210E">
        <w:rPr>
          <w:i/>
        </w:rPr>
        <w:t>fassung Preussens im 18. Jahrhu</w:t>
      </w:r>
      <w:r w:rsidRPr="00E9210E">
        <w:rPr>
          <w:i/>
        </w:rPr>
        <w:t>n</w:t>
      </w:r>
      <w:r w:rsidRPr="00E9210E">
        <w:rPr>
          <w:i/>
        </w:rPr>
        <w:t>dert :</w:t>
      </w:r>
      <w:r w:rsidRPr="00E9210E">
        <w:rPr>
          <w:rFonts w:eastAsia="Courier New"/>
          <w:i/>
        </w:rPr>
        <w:t xml:space="preserve"> </w:t>
      </w:r>
      <w:r w:rsidRPr="00E9210E">
        <w:rPr>
          <w:i/>
        </w:rPr>
        <w:t>eine vergleichende Studie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extr. des </w:t>
      </w:r>
      <w:r w:rsidRPr="00E9210E">
        <w:t>Jahrbücher für Nationalokon</w:t>
      </w:r>
      <w:r w:rsidRPr="00E9210E">
        <w:t>o</w:t>
      </w:r>
      <w:r w:rsidRPr="00E9210E">
        <w:t xml:space="preserve">mie, </w:t>
      </w:r>
      <w:r w:rsidRPr="00E9210E">
        <w:rPr>
          <w:rStyle w:val="Corpsdutexte385ptNonItalique"/>
          <w:rFonts w:eastAsia="Courier New"/>
          <w:i w:val="0"/>
          <w:iCs w:val="0"/>
          <w:sz w:val="28"/>
        </w:rPr>
        <w:t>t. 137 [1932]), « A.H.E.S. », t. VII (1935), pp. 409-411.</w:t>
      </w:r>
    </w:p>
    <w:p w14:paraId="7B495D05" w14:textId="77777777" w:rsidR="00B9662D" w:rsidRPr="00E9210E" w:rsidRDefault="00B9662D" w:rsidP="00B9662D">
      <w:pPr>
        <w:spacing w:before="120" w:after="120"/>
        <w:jc w:val="both"/>
      </w:pPr>
      <w:r w:rsidRPr="00E9210E">
        <w:t xml:space="preserve">Un énigmatique document seigneurial. (Compte rendu : E. I. </w:t>
      </w:r>
      <w:r w:rsidRPr="00E9210E">
        <w:rPr>
          <w:rStyle w:val="Corpsdutexte27ptGras"/>
          <w:rFonts w:eastAsia="Courier New"/>
          <w:b w:val="0"/>
          <w:smallCaps/>
          <w:sz w:val="28"/>
        </w:rPr>
        <w:t>Strubbe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Een twaalfdeeuwsche lijst van vrijgewijden uit West-Vlaanderen,</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Annales de la Société d’émulation de Bruges,</w:t>
      </w:r>
      <w:r w:rsidRPr="00E9210E">
        <w:rPr>
          <w:rStyle w:val="Corpsdutexte28ptGraschelle120"/>
          <w:rFonts w:eastAsia="Courier New"/>
          <w:sz w:val="28"/>
        </w:rPr>
        <w:t xml:space="preserve"> </w:t>
      </w:r>
      <w:r w:rsidRPr="00E9210E">
        <w:t>t. LXXVI (1933), pp. 137-146), « A.H.E.S. », t. VII (1935), pp. 411-412.</w:t>
      </w:r>
    </w:p>
    <w:p w14:paraId="48828DAA" w14:textId="77777777" w:rsidR="00B9662D" w:rsidRPr="00E9210E" w:rsidRDefault="00B9662D" w:rsidP="00B9662D">
      <w:pPr>
        <w:spacing w:before="120" w:after="120"/>
        <w:jc w:val="both"/>
      </w:pPr>
      <w:r w:rsidRPr="00E9210E">
        <w:rPr>
          <w:rFonts w:eastAsia="Courier New"/>
        </w:rPr>
        <w:t>[1074]</w:t>
      </w:r>
    </w:p>
    <w:p w14:paraId="53818E8B"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Une enquête sur des droits seigneuriaux au </w:t>
      </w:r>
      <w:r w:rsidRPr="00E9210E">
        <w:rPr>
          <w:rStyle w:val="Corpsdutexte11NonItaliqueEspacement0pt"/>
          <w:rFonts w:eastAsia="Courier New"/>
          <w:i w:val="0"/>
          <w:iCs w:val="0"/>
          <w:caps/>
          <w:sz w:val="28"/>
          <w:lang w:val="fr-CA"/>
        </w:rPr>
        <w:t>xiv</w:t>
      </w:r>
      <w:r w:rsidRPr="00E9210E">
        <w:rPr>
          <w:rStyle w:val="Corpsdutexte11NonItaliqueEspacement0pt"/>
          <w:rFonts w:eastAsia="Courier New"/>
          <w:i w:val="0"/>
          <w:iCs w:val="0"/>
          <w:sz w:val="28"/>
          <w:vertAlign w:val="superscript"/>
          <w:lang w:val="fr-CA"/>
        </w:rPr>
        <w:t>e</w:t>
      </w:r>
      <w:r w:rsidRPr="00E9210E">
        <w:rPr>
          <w:rStyle w:val="Corpsdutexte11NonItaliqueEspacement0pt"/>
          <w:rFonts w:eastAsia="Courier New"/>
          <w:i w:val="0"/>
          <w:iCs w:val="0"/>
          <w:sz w:val="28"/>
          <w:lang w:val="fr-CA"/>
        </w:rPr>
        <w:t xml:space="preserve"> siècle. (Compte rendu : F. </w:t>
      </w:r>
      <w:r w:rsidRPr="00E9210E">
        <w:rPr>
          <w:rStyle w:val="Corpsdutexte117ptGrasNonItaliqueEspacement0pt"/>
          <w:rFonts w:eastAsia="Courier New"/>
          <w:b w:val="0"/>
          <w:i w:val="0"/>
          <w:iCs w:val="0"/>
          <w:smallCaps/>
          <w:sz w:val="28"/>
          <w:lang w:val="fr-CA"/>
        </w:rPr>
        <w:t>Quicke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Une enquête sur les droits et revenus du duc de Limbourg, seigneur de Dalhem et des pays d’Outre-Meuse</w:t>
      </w:r>
      <w:r w:rsidRPr="00E9210E">
        <w:rPr>
          <w:rFonts w:eastAsia="Courier New"/>
        </w:rPr>
        <w:t xml:space="preserve"> </w:t>
      </w:r>
      <w:r w:rsidRPr="00E9210E">
        <w:rPr>
          <w:rStyle w:val="Corpsdutexte118ptEspacement0pt"/>
          <w:rFonts w:eastAsia="Courier New"/>
          <w:sz w:val="28"/>
          <w:lang w:val="fr-CA"/>
        </w:rPr>
        <w:t>(1389-1393</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Bull, de la Commission royale d'histoire</w:t>
      </w:r>
      <w:r w:rsidRPr="00E9210E">
        <w:rPr>
          <w:rFonts w:eastAsia="Courier New"/>
        </w:rPr>
        <w:t>,</w:t>
      </w:r>
      <w:r w:rsidRPr="00E9210E">
        <w:rPr>
          <w:rStyle w:val="Corpsdutexte11NonItaliqueEspacement0pt"/>
          <w:rFonts w:eastAsia="Courier New"/>
          <w:i w:val="0"/>
          <w:iCs w:val="0"/>
          <w:sz w:val="28"/>
          <w:lang w:val="fr-CA"/>
        </w:rPr>
        <w:t xml:space="preserve"> t. XCVI (1932), pp. 347-416), « A.H.E.S. », t. VII (1935), p. 412.</w:t>
      </w:r>
    </w:p>
    <w:p w14:paraId="2C4657E5" w14:textId="77777777" w:rsidR="00B9662D" w:rsidRPr="00E9210E" w:rsidRDefault="00B9662D" w:rsidP="00B9662D">
      <w:pPr>
        <w:spacing w:before="120" w:after="120"/>
        <w:jc w:val="both"/>
      </w:pPr>
      <w:r w:rsidRPr="00E9210E">
        <w:t xml:space="preserve">À propos de mercenaires. (Compte rendu : P. </w:t>
      </w:r>
      <w:r w:rsidRPr="00E9210E">
        <w:rPr>
          <w:rStyle w:val="Corpsdutexte27ptGras"/>
          <w:rFonts w:eastAsia="Courier New"/>
          <w:b w:val="0"/>
          <w:smallCaps/>
          <w:sz w:val="28"/>
        </w:rPr>
        <w:t>Schmitthenner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Das Freie Söldnertum im abendländischen Imperium des Mittelalters</w:t>
      </w:r>
      <w:r w:rsidRPr="00E9210E">
        <w:rPr>
          <w:rFonts w:eastAsia="Courier New"/>
        </w:rPr>
        <w:t>,</w:t>
      </w:r>
      <w:r w:rsidRPr="00E9210E">
        <w:t xml:space="preserve"> Munich, 1934), « A.H.E.S. », t. VII (1935), p. 413.</w:t>
      </w:r>
    </w:p>
    <w:p w14:paraId="21A6A72A" w14:textId="77777777" w:rsidR="00B9662D" w:rsidRPr="00E9210E" w:rsidRDefault="00B9662D" w:rsidP="00B9662D">
      <w:pPr>
        <w:spacing w:before="120" w:after="120"/>
        <w:jc w:val="both"/>
      </w:pPr>
      <w:r w:rsidRPr="00E9210E">
        <w:t xml:space="preserve">Enquête historique ou index rerum. (Compte rendu : H. </w:t>
      </w:r>
      <w:r w:rsidRPr="00E9210E">
        <w:rPr>
          <w:rStyle w:val="Corpsdutexte27ptGras"/>
          <w:rFonts w:eastAsia="Courier New"/>
          <w:b w:val="0"/>
          <w:smallCaps/>
          <w:sz w:val="28"/>
        </w:rPr>
        <w:t>Wiessner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Sachinhalt und wirtschaftliche Bedeutung der Weistümer im deut</w:t>
      </w:r>
      <w:r w:rsidRPr="00E9210E">
        <w:rPr>
          <w:rFonts w:eastAsia="Courier New"/>
          <w:i/>
        </w:rPr>
        <w:t>s</w:t>
      </w:r>
      <w:r w:rsidRPr="00E9210E">
        <w:rPr>
          <w:rFonts w:eastAsia="Courier New"/>
          <w:i/>
        </w:rPr>
        <w:t>chen Kulturgebiet</w:t>
      </w:r>
      <w:r w:rsidRPr="00E9210E">
        <w:rPr>
          <w:rFonts w:eastAsia="Courier New"/>
        </w:rPr>
        <w:t>,</w:t>
      </w:r>
      <w:r w:rsidRPr="00E9210E">
        <w:t xml:space="preserve"> Baden bei Wien, 1934), « A.H.E.S. », t. VII (1935), pp. 422-424.</w:t>
      </w:r>
    </w:p>
    <w:p w14:paraId="1167A7DD" w14:textId="77777777" w:rsidR="00B9662D" w:rsidRPr="00E9210E" w:rsidRDefault="00B9662D" w:rsidP="00B9662D">
      <w:pPr>
        <w:spacing w:before="120" w:after="120"/>
        <w:jc w:val="both"/>
      </w:pPr>
      <w:r w:rsidRPr="00E9210E">
        <w:t xml:space="preserve">La Hanse en Westphalie. (Compte rendu : L. von </w:t>
      </w:r>
      <w:r w:rsidRPr="00E9210E">
        <w:rPr>
          <w:rStyle w:val="Corpsdutexte27ptGras"/>
          <w:rFonts w:eastAsia="Courier New"/>
          <w:b w:val="0"/>
          <w:smallCaps/>
          <w:sz w:val="28"/>
        </w:rPr>
        <w:t>Winterfeld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Dor</w:t>
      </w:r>
      <w:r w:rsidRPr="00E9210E">
        <w:rPr>
          <w:rFonts w:eastAsia="Courier New"/>
          <w:i/>
        </w:rPr>
        <w:t>t</w:t>
      </w:r>
      <w:r w:rsidRPr="00E9210E">
        <w:rPr>
          <w:rFonts w:eastAsia="Courier New"/>
          <w:i/>
        </w:rPr>
        <w:t>munds Stellung in der Hanse</w:t>
      </w:r>
      <w:r w:rsidRPr="00E9210E">
        <w:t>, Lübeck, 1932), « A.H.E.S. », t. VII (1935), p. 424.</w:t>
      </w:r>
    </w:p>
    <w:p w14:paraId="509F863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L’évolution des communautés locales allemandes. (Comptes re</w:t>
      </w:r>
      <w:r w:rsidRPr="00E9210E">
        <w:rPr>
          <w:rStyle w:val="Corpsdutexte11NonItaliqueEspacement0pt"/>
          <w:rFonts w:eastAsia="Courier New"/>
          <w:i w:val="0"/>
          <w:iCs w:val="0"/>
          <w:sz w:val="28"/>
          <w:lang w:val="fr-CA"/>
        </w:rPr>
        <w:t>n</w:t>
      </w:r>
      <w:r w:rsidRPr="00E9210E">
        <w:rPr>
          <w:rStyle w:val="Corpsdutexte11NonItaliqueEspacement0pt"/>
          <w:rFonts w:eastAsia="Courier New"/>
          <w:i w:val="0"/>
          <w:iCs w:val="0"/>
          <w:sz w:val="28"/>
          <w:lang w:val="fr-CA"/>
        </w:rPr>
        <w:t xml:space="preserve">dus : E. </w:t>
      </w:r>
      <w:r w:rsidRPr="00E9210E">
        <w:rPr>
          <w:rStyle w:val="Corpsdutexte117ptGrasNonItaliqueEspacement0pt"/>
          <w:rFonts w:eastAsia="Courier New"/>
          <w:b w:val="0"/>
          <w:i w:val="0"/>
          <w:iCs w:val="0"/>
          <w:smallCaps/>
          <w:sz w:val="28"/>
          <w:lang w:val="fr-CA"/>
        </w:rPr>
        <w:t>Becker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Verfassung und Verwaltung der Gemeinden des Rheingaus vom</w:t>
      </w:r>
      <w:r w:rsidRPr="00E9210E">
        <w:rPr>
          <w:rFonts w:eastAsia="Courier New"/>
        </w:rPr>
        <w:t xml:space="preserve"> </w:t>
      </w:r>
      <w:r w:rsidRPr="00E9210E">
        <w:rPr>
          <w:rStyle w:val="Corpsdutexte118ptEspacement0pt"/>
          <w:rFonts w:eastAsia="Courier New"/>
          <w:sz w:val="28"/>
          <w:lang w:val="fr-CA"/>
        </w:rPr>
        <w:t xml:space="preserve">16. </w:t>
      </w:r>
      <w:r w:rsidRPr="00E9210E">
        <w:rPr>
          <w:rFonts w:eastAsia="Courier New"/>
        </w:rPr>
        <w:t xml:space="preserve">bis zum </w:t>
      </w:r>
      <w:r w:rsidRPr="00E9210E">
        <w:rPr>
          <w:rStyle w:val="Corpsdutexte118ptEspacement0pt"/>
          <w:rFonts w:eastAsia="Courier New"/>
          <w:sz w:val="28"/>
          <w:lang w:val="fr-CA"/>
        </w:rPr>
        <w:t xml:space="preserve">18. </w:t>
      </w:r>
      <w:r w:rsidRPr="00E9210E">
        <w:rPr>
          <w:rFonts w:eastAsia="Courier New"/>
        </w:rPr>
        <w:t>Jahrhundert</w:t>
      </w:r>
      <w:r w:rsidRPr="00E9210E">
        <w:rPr>
          <w:rStyle w:val="Corpsdutexte11NonItaliqueEspacement0pt"/>
          <w:rFonts w:eastAsia="Courier New"/>
          <w:i w:val="0"/>
          <w:iCs w:val="0"/>
          <w:sz w:val="28"/>
          <w:lang w:val="fr-CA"/>
        </w:rPr>
        <w:t xml:space="preserve">, Bonn, 1930. — Fr. </w:t>
      </w:r>
      <w:r w:rsidRPr="00E9210E">
        <w:rPr>
          <w:rStyle w:val="Corpsdutexte117ptGrasNonItaliqueEspacement0pt"/>
          <w:rFonts w:eastAsia="Courier New"/>
          <w:b w:val="0"/>
          <w:i w:val="0"/>
          <w:iCs w:val="0"/>
          <w:smallCaps/>
          <w:sz w:val="28"/>
          <w:lang w:val="fr-CA"/>
        </w:rPr>
        <w:t>Steinbach</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et E. </w:t>
      </w:r>
      <w:r w:rsidRPr="00E9210E">
        <w:rPr>
          <w:rStyle w:val="Corpsdutexte117ptGrasNonItaliqueEspacement0pt"/>
          <w:rFonts w:eastAsia="Courier New"/>
          <w:b w:val="0"/>
          <w:i w:val="0"/>
          <w:iCs w:val="0"/>
          <w:smallCaps/>
          <w:sz w:val="28"/>
          <w:lang w:val="fr-CA"/>
        </w:rPr>
        <w:t>Becker</w:t>
      </w:r>
      <w:r w:rsidRPr="00E9210E">
        <w:rPr>
          <w:rStyle w:val="Corpsdutexte117ptGrasNonItaliqueEspacement0pt"/>
          <w:rFonts w:eastAsia="Courier New"/>
          <w:b w:val="0"/>
          <w:i w:val="0"/>
          <w:iCs w:val="0"/>
          <w:sz w:val="28"/>
          <w:lang w:val="fr-CA"/>
        </w:rPr>
        <w:t xml:space="preserve">, </w:t>
      </w:r>
      <w:r w:rsidRPr="00E9210E">
        <w:rPr>
          <w:rFonts w:eastAsia="Courier New"/>
          <w:i/>
        </w:rPr>
        <w:t>Geschichtliche Grundlagen der kommun</w:t>
      </w:r>
      <w:r w:rsidRPr="00E9210E">
        <w:rPr>
          <w:rFonts w:eastAsia="Courier New"/>
          <w:i/>
        </w:rPr>
        <w:t>a</w:t>
      </w:r>
      <w:r w:rsidRPr="00E9210E">
        <w:rPr>
          <w:rFonts w:eastAsia="Courier New"/>
          <w:i/>
        </w:rPr>
        <w:t>len Selbstverwaltung in Deutschland</w:t>
      </w:r>
      <w:r w:rsidRPr="00E9210E">
        <w:rPr>
          <w:rFonts w:eastAsia="Courier New"/>
        </w:rPr>
        <w:t>,</w:t>
      </w:r>
      <w:r w:rsidRPr="00E9210E">
        <w:rPr>
          <w:rStyle w:val="Corpsdutexte11NonItaliqueEspacement0pt"/>
          <w:rFonts w:eastAsia="Courier New"/>
          <w:i w:val="0"/>
          <w:iCs w:val="0"/>
          <w:sz w:val="28"/>
          <w:lang w:val="fr-CA"/>
        </w:rPr>
        <w:t xml:space="preserve"> Bonn, 1932), « A.H.E.S. », t. VII (1935), pp. 426-427.</w:t>
      </w:r>
    </w:p>
    <w:p w14:paraId="12EC4638" w14:textId="77777777" w:rsidR="00B9662D" w:rsidRPr="00E9210E" w:rsidRDefault="00B9662D" w:rsidP="00B9662D">
      <w:pPr>
        <w:spacing w:before="120" w:after="120"/>
        <w:jc w:val="both"/>
      </w:pPr>
      <w:r w:rsidRPr="00E9210E">
        <w:t xml:space="preserve">L’Espagne, ses historiens et ses hôtes. (Compte rendu : </w:t>
      </w:r>
      <w:r w:rsidRPr="00E9210E">
        <w:rPr>
          <w:rFonts w:eastAsia="Courier New"/>
          <w:i/>
        </w:rPr>
        <w:t>Anuario de historia del derecho español</w:t>
      </w:r>
      <w:r w:rsidRPr="00E9210E">
        <w:t>, t. X [1933]), « A.H.E.S. », t. VII (1935), pp. 431-432.</w:t>
      </w:r>
    </w:p>
    <w:p w14:paraId="0D4E973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La Seigneurie lorraine : critique des témoignages et problèmes d’évolution. (Compte rendu : Ch.-E. </w:t>
      </w:r>
      <w:r w:rsidRPr="00E9210E">
        <w:rPr>
          <w:rStyle w:val="Corpsdutexte117ptGrasNonItaliqueEspacement0pt"/>
          <w:rFonts w:eastAsia="Courier New"/>
          <w:b w:val="0"/>
          <w:i w:val="0"/>
          <w:iCs w:val="0"/>
          <w:smallCaps/>
          <w:sz w:val="28"/>
          <w:lang w:val="fr-CA"/>
        </w:rPr>
        <w:t>Perrin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Recherches sur la se</w:t>
      </w:r>
      <w:r w:rsidRPr="00E9210E">
        <w:rPr>
          <w:rFonts w:eastAsia="Courier New"/>
          <w:i/>
        </w:rPr>
        <w:t>i</w:t>
      </w:r>
      <w:r w:rsidRPr="00E9210E">
        <w:rPr>
          <w:rFonts w:eastAsia="Courier New"/>
          <w:i/>
        </w:rPr>
        <w:t>gneurie rurale en Lorraine d'après les plus anciens censiers (IX</w:t>
      </w:r>
      <w:r w:rsidRPr="00E9210E">
        <w:rPr>
          <w:rFonts w:eastAsia="Courier New"/>
          <w:i/>
          <w:vertAlign w:val="superscript"/>
        </w:rPr>
        <w:t>e</w:t>
      </w:r>
      <w:r w:rsidRPr="00E9210E">
        <w:rPr>
          <w:rFonts w:eastAsia="Courier New"/>
          <w:i/>
        </w:rPr>
        <w:t>-XII</w:t>
      </w:r>
      <w:r w:rsidRPr="00E9210E">
        <w:rPr>
          <w:rFonts w:eastAsia="Courier New"/>
          <w:i/>
          <w:vertAlign w:val="superscript"/>
        </w:rPr>
        <w:t>e</w:t>
      </w:r>
      <w:r w:rsidRPr="00E9210E">
        <w:rPr>
          <w:rFonts w:eastAsia="Courier New"/>
          <w:i/>
        </w:rPr>
        <w:t xml:space="preserve"> siècles)</w:t>
      </w:r>
      <w:r w:rsidRPr="00E9210E">
        <w:rPr>
          <w:rFonts w:eastAsia="Courier New"/>
        </w:rPr>
        <w:t>,</w:t>
      </w:r>
      <w:r w:rsidRPr="00E9210E">
        <w:rPr>
          <w:rStyle w:val="Corpsdutexte11NonItaliqueEspacement0pt"/>
          <w:rFonts w:eastAsia="Courier New"/>
          <w:i w:val="0"/>
          <w:iCs w:val="0"/>
          <w:sz w:val="28"/>
          <w:lang w:val="fr-CA"/>
        </w:rPr>
        <w:t xml:space="preserve"> Paris, 1935 et </w:t>
      </w:r>
      <w:r w:rsidRPr="00E9210E">
        <w:rPr>
          <w:rFonts w:eastAsia="Courier New"/>
          <w:i/>
        </w:rPr>
        <w:t>Essai sur la fortune immobilière de l'abbaye alsacienne de Marmoutier aux X</w:t>
      </w:r>
      <w:r w:rsidRPr="00E9210E">
        <w:rPr>
          <w:rFonts w:eastAsia="Courier New"/>
          <w:i/>
          <w:vertAlign w:val="superscript"/>
        </w:rPr>
        <w:t>e</w:t>
      </w:r>
      <w:r w:rsidRPr="00E9210E">
        <w:rPr>
          <w:rFonts w:eastAsia="Courier New"/>
          <w:i/>
        </w:rPr>
        <w:t xml:space="preserve"> et XI</w:t>
      </w:r>
      <w:r w:rsidRPr="00E9210E">
        <w:rPr>
          <w:rFonts w:eastAsia="Courier New"/>
          <w:i/>
          <w:vertAlign w:val="superscript"/>
        </w:rPr>
        <w:t>e</w:t>
      </w:r>
      <w:r w:rsidRPr="00E9210E">
        <w:rPr>
          <w:rFonts w:eastAsia="Courier New"/>
          <w:i/>
        </w:rPr>
        <w:t xml:space="preserve"> siècles</w:t>
      </w:r>
      <w:r w:rsidRPr="00E9210E">
        <w:rPr>
          <w:rFonts w:eastAsia="Courier New"/>
        </w:rPr>
        <w:t>,</w:t>
      </w:r>
      <w:r w:rsidRPr="00E9210E">
        <w:rPr>
          <w:rStyle w:val="Corpsdutexte11NonItaliqueEspacement0pt"/>
          <w:rFonts w:eastAsia="Courier New"/>
          <w:i w:val="0"/>
          <w:iCs w:val="0"/>
          <w:sz w:val="28"/>
          <w:lang w:val="fr-CA"/>
        </w:rPr>
        <w:t xml:space="preserve"> Strasbourg, 1935), « A.H.E.S. », t. VII (1935), pp. 451-459.</w:t>
      </w:r>
    </w:p>
    <w:p w14:paraId="1B0B7CF6" w14:textId="77777777" w:rsidR="00B9662D" w:rsidRPr="00E9210E" w:rsidRDefault="00B9662D" w:rsidP="00B9662D">
      <w:pPr>
        <w:spacing w:before="120" w:after="120"/>
        <w:jc w:val="both"/>
      </w:pPr>
      <w:r w:rsidRPr="00E9210E">
        <w:t xml:space="preserve">Problèmes d’Europe. (Compte rendu : </w:t>
      </w:r>
      <w:r w:rsidRPr="00E9210E">
        <w:rPr>
          <w:rFonts w:eastAsia="Courier New"/>
          <w:i/>
        </w:rPr>
        <w:t>Convegno di scienze morali et storiche</w:t>
      </w:r>
      <w:r w:rsidRPr="00E9210E">
        <w:rPr>
          <w:rFonts w:eastAsia="Courier New"/>
        </w:rPr>
        <w:t xml:space="preserve">. </w:t>
      </w:r>
      <w:r w:rsidRPr="00E9210E">
        <w:rPr>
          <w:rFonts w:eastAsia="Courier New"/>
          <w:i/>
        </w:rPr>
        <w:t>Tema : l'Europa</w:t>
      </w:r>
      <w:r w:rsidRPr="00E9210E">
        <w:rPr>
          <w:rFonts w:eastAsia="Courier New"/>
        </w:rPr>
        <w:t>,</w:t>
      </w:r>
      <w:r w:rsidRPr="00E9210E">
        <w:t xml:space="preserve"> Rome, 1933), « A.H.E.S. », t. VII (1935), pp. 471-479.</w:t>
      </w:r>
    </w:p>
    <w:p w14:paraId="22C59F6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Des titres. (Compte rendu : </w:t>
      </w:r>
      <w:r w:rsidRPr="00E9210E">
        <w:rPr>
          <w:i/>
        </w:rPr>
        <w:t xml:space="preserve">International bibliography of historical sciences. </w:t>
      </w:r>
      <w:r w:rsidRPr="00E9210E">
        <w:rPr>
          <w:rFonts w:eastAsia="Courier New"/>
          <w:i/>
        </w:rPr>
        <w:t>Fifth</w:t>
      </w:r>
      <w:r w:rsidRPr="00E9210E">
        <w:rPr>
          <w:i/>
        </w:rPr>
        <w:t xml:space="preserve"> year 1930</w:t>
      </w:r>
      <w:r w:rsidRPr="00E9210E">
        <w:t>. Edited for the International Committee of historical sciences,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1934), « A.H.E.S. », t. VII (1935), p. 483.</w:t>
      </w:r>
    </w:p>
    <w:p w14:paraId="128097BF" w14:textId="77777777" w:rsidR="00B9662D" w:rsidRPr="00E9210E" w:rsidRDefault="00B9662D" w:rsidP="00B9662D">
      <w:pPr>
        <w:spacing w:before="120" w:after="120"/>
        <w:jc w:val="both"/>
      </w:pPr>
      <w:r w:rsidRPr="00E9210E">
        <w:t xml:space="preserve">Une équipe de sociologues. (Compte rendu : </w:t>
      </w:r>
      <w:r w:rsidRPr="00E9210E">
        <w:rPr>
          <w:rFonts w:eastAsia="Courier New"/>
          <w:i/>
        </w:rPr>
        <w:t>Annales sociolog</w:t>
      </w:r>
      <w:r w:rsidRPr="00E9210E">
        <w:rPr>
          <w:rFonts w:eastAsia="Courier New"/>
          <w:i/>
        </w:rPr>
        <w:t>i</w:t>
      </w:r>
      <w:r w:rsidRPr="00E9210E">
        <w:rPr>
          <w:rFonts w:eastAsia="Courier New"/>
          <w:i/>
        </w:rPr>
        <w:t>ques</w:t>
      </w:r>
      <w:r w:rsidRPr="00E9210E">
        <w:rPr>
          <w:rFonts w:eastAsia="Courier New"/>
        </w:rPr>
        <w:t>,</w:t>
      </w:r>
      <w:r w:rsidRPr="00E9210E">
        <w:t xml:space="preserve"> série E, fasc. 1, Paris, 1935), « A.H.E.S. », t. VII (1935), p. 483.</w:t>
      </w:r>
    </w:p>
    <w:p w14:paraId="6A4A3ABF" w14:textId="77777777" w:rsidR="00B9662D" w:rsidRPr="00E9210E" w:rsidRDefault="00B9662D" w:rsidP="00B9662D">
      <w:pPr>
        <w:spacing w:before="120" w:after="120"/>
        <w:jc w:val="both"/>
      </w:pPr>
      <w:r w:rsidRPr="00E9210E">
        <w:t xml:space="preserve">Capitalistes italiens du « Trecento ». (Compte rendu : A. </w:t>
      </w:r>
      <w:r w:rsidRPr="00E9210E">
        <w:rPr>
          <w:rStyle w:val="Corpsdutexte27ptGras"/>
          <w:rFonts w:eastAsia="Courier New"/>
          <w:b w:val="0"/>
          <w:sz w:val="28"/>
        </w:rPr>
        <w:t>Sapori,</w:t>
      </w:r>
      <w:r w:rsidRPr="00E9210E">
        <w:rPr>
          <w:rStyle w:val="Corpsdutexte27ptGras"/>
          <w:rFonts w:eastAsia="Courier New"/>
          <w:sz w:val="28"/>
        </w:rPr>
        <w:t xml:space="preserve"> </w:t>
      </w:r>
      <w:r w:rsidRPr="00E9210E">
        <w:rPr>
          <w:rFonts w:eastAsia="Courier New"/>
          <w:i/>
        </w:rPr>
        <w:t>I libri di commercio di Peruzzi</w:t>
      </w:r>
      <w:r w:rsidRPr="00E9210E">
        <w:rPr>
          <w:rFonts w:eastAsia="Courier New"/>
        </w:rPr>
        <w:t>,</w:t>
      </w:r>
      <w:r w:rsidRPr="00E9210E">
        <w:t xml:space="preserve"> Milan, 1934), « A.H.E.S. », t. VII (1935), pp. 486-488.</w:t>
      </w:r>
    </w:p>
    <w:p w14:paraId="3CBCB2B7" w14:textId="77777777" w:rsidR="00B9662D" w:rsidRPr="00E9210E" w:rsidRDefault="00B9662D" w:rsidP="00B9662D">
      <w:pPr>
        <w:spacing w:before="120" w:after="120"/>
        <w:jc w:val="both"/>
      </w:pPr>
      <w:r w:rsidRPr="00E9210E">
        <w:t xml:space="preserve">Le dossier d’une province. (Compte rendu : </w:t>
      </w:r>
      <w:r w:rsidRPr="00E9210E">
        <w:rPr>
          <w:rFonts w:eastAsia="Courier New"/>
          <w:i/>
        </w:rPr>
        <w:t>Chartes du Forez, a</w:t>
      </w:r>
      <w:r w:rsidRPr="00E9210E">
        <w:rPr>
          <w:rFonts w:eastAsia="Courier New"/>
          <w:i/>
        </w:rPr>
        <w:t>n</w:t>
      </w:r>
      <w:r w:rsidRPr="00E9210E">
        <w:rPr>
          <w:rFonts w:eastAsia="Courier New"/>
          <w:i/>
        </w:rPr>
        <w:t>térieures au XIV</w:t>
      </w:r>
      <w:r w:rsidRPr="00E9210E">
        <w:rPr>
          <w:rFonts w:eastAsia="Courier New"/>
          <w:i/>
          <w:vertAlign w:val="superscript"/>
        </w:rPr>
        <w:t>e</w:t>
      </w:r>
      <w:r w:rsidRPr="00E9210E">
        <w:rPr>
          <w:rFonts w:eastAsia="Courier New"/>
          <w:i/>
        </w:rPr>
        <w:t xml:space="preserve"> siècle</w:t>
      </w:r>
      <w:r w:rsidRPr="00E9210E">
        <w:rPr>
          <w:rFonts w:eastAsia="Courier New"/>
        </w:rPr>
        <w:t xml:space="preserve">, </w:t>
      </w:r>
      <w:r w:rsidRPr="00E9210E">
        <w:rPr>
          <w:rFonts w:eastAsia="Courier New"/>
          <w:i/>
        </w:rPr>
        <w:t>publiées sous la direction de G. Guichard, comte de Neufbourg, Édouard Perroy, J. E. Dufour</w:t>
      </w:r>
      <w:r w:rsidRPr="00E9210E">
        <w:rPr>
          <w:rFonts w:eastAsia="Courier New"/>
        </w:rPr>
        <w:t>.</w:t>
      </w:r>
      <w:r w:rsidRPr="00E9210E">
        <w:t xml:space="preserve"> Pièces 451 à 600 et 1 fasc. de tables, Mâcon, 1934-1935), « A.H.E.S. » t. VII (1935), pp. 488-490.</w:t>
      </w:r>
    </w:p>
    <w:p w14:paraId="2E20DD97" w14:textId="77777777" w:rsidR="00B9662D" w:rsidRPr="00E9210E" w:rsidRDefault="00B9662D" w:rsidP="00B9662D">
      <w:pPr>
        <w:spacing w:before="120" w:after="120"/>
        <w:jc w:val="both"/>
      </w:pPr>
      <w:r w:rsidRPr="00E9210E">
        <w:t xml:space="preserve">Le Rhin. (Compte rendu : A. </w:t>
      </w:r>
      <w:r w:rsidRPr="00E9210E">
        <w:rPr>
          <w:rStyle w:val="Corpsdutexte27ptGras"/>
          <w:rFonts w:eastAsia="Courier New"/>
          <w:b w:val="0"/>
          <w:smallCaps/>
          <w:sz w:val="28"/>
        </w:rPr>
        <w:t>Demangeon</w:t>
      </w:r>
      <w:r w:rsidRPr="00E9210E">
        <w:rPr>
          <w:rStyle w:val="Corpsdutexte27ptGras"/>
          <w:rFonts w:eastAsia="Courier New"/>
          <w:sz w:val="28"/>
        </w:rPr>
        <w:t xml:space="preserve"> </w:t>
      </w:r>
      <w:r w:rsidRPr="00E9210E">
        <w:t xml:space="preserve">et L. </w:t>
      </w:r>
      <w:r w:rsidRPr="00E9210E">
        <w:rPr>
          <w:rStyle w:val="Corpsdutexte27ptGras"/>
          <w:rFonts w:eastAsia="Courier New"/>
          <w:b w:val="0"/>
          <w:smallCaps/>
          <w:sz w:val="28"/>
        </w:rPr>
        <w:t>Febvre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Rhin : problèmes d'histoire et d'économie</w:t>
      </w:r>
      <w:r w:rsidRPr="00E9210E">
        <w:rPr>
          <w:rFonts w:eastAsia="Courier New"/>
        </w:rPr>
        <w:t>,</w:t>
      </w:r>
      <w:r w:rsidRPr="00E9210E">
        <w:t xml:space="preserve"> Paris, 1935), « A.H.E.S. », t. VII (1935), pp. 505-506.</w:t>
      </w:r>
    </w:p>
    <w:p w14:paraId="3DE1ABCB" w14:textId="77777777" w:rsidR="00B9662D" w:rsidRPr="00E9210E" w:rsidRDefault="00B9662D" w:rsidP="00B9662D">
      <w:pPr>
        <w:spacing w:before="120" w:after="120"/>
        <w:jc w:val="both"/>
      </w:pPr>
      <w:r w:rsidRPr="00E9210E">
        <w:t>Justices seigneuriales d’Ancien Régime. (Compte rendu : P. </w:t>
      </w:r>
      <w:r w:rsidRPr="00E9210E">
        <w:rPr>
          <w:rStyle w:val="Corpsdutexte27ptGras"/>
          <w:rFonts w:eastAsia="Courier New"/>
          <w:b w:val="0"/>
          <w:smallCaps/>
          <w:sz w:val="28"/>
        </w:rPr>
        <w:t>Lemercier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justices seigneuriales de la région parisienne de 1580 à 1789,</w:t>
      </w:r>
      <w:r w:rsidRPr="00E9210E">
        <w:rPr>
          <w:rStyle w:val="Corpsdutexte28ptGraschelle120"/>
          <w:rFonts w:eastAsia="Courier New"/>
          <w:sz w:val="28"/>
        </w:rPr>
        <w:t xml:space="preserve"> </w:t>
      </w:r>
      <w:r w:rsidRPr="00E9210E">
        <w:t>Paris, 1933), « A.H.E.S. », t. VII (1935), p. 514.</w:t>
      </w:r>
    </w:p>
    <w:p w14:paraId="15885E98"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Administration ou administrateurs. (Compte rendu : </w:t>
      </w:r>
      <w:r w:rsidRPr="00E9210E">
        <w:rPr>
          <w:rStyle w:val="Corpsdutexte117ptGrasNonItaliqueEspacement0pt"/>
          <w:rFonts w:eastAsia="Courier New"/>
          <w:b w:val="0"/>
          <w:i w:val="0"/>
          <w:iCs w:val="0"/>
          <w:sz w:val="28"/>
          <w:lang w:val="fr-CA"/>
        </w:rPr>
        <w:t xml:space="preserve">G. </w:t>
      </w:r>
      <w:r w:rsidRPr="00E9210E">
        <w:rPr>
          <w:rStyle w:val="Corpsdutexte117ptGrasNonItaliqueEspacement0pt"/>
          <w:rFonts w:eastAsia="Courier New"/>
          <w:b w:val="0"/>
          <w:i w:val="0"/>
          <w:iCs w:val="0"/>
          <w:smallCaps/>
          <w:sz w:val="28"/>
          <w:lang w:val="fr-CA"/>
        </w:rPr>
        <w:t>Dupont-Ferrier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Nouvelles études sur les institutions financières de la France à la fin du Moyen Âge. Les origines et le premier siècle de la Cha</w:t>
      </w:r>
      <w:r w:rsidRPr="00E9210E">
        <w:rPr>
          <w:rFonts w:eastAsia="Courier New"/>
          <w:i/>
        </w:rPr>
        <w:t>m</w:t>
      </w:r>
      <w:r w:rsidRPr="00E9210E">
        <w:rPr>
          <w:rFonts w:eastAsia="Courier New"/>
          <w:i/>
        </w:rPr>
        <w:t>bre ou Cour des Aides de Paris</w:t>
      </w:r>
      <w:r w:rsidRPr="00E9210E">
        <w:rPr>
          <w:rFonts w:eastAsia="Courier New"/>
        </w:rPr>
        <w:t>,</w:t>
      </w:r>
      <w:r w:rsidRPr="00E9210E">
        <w:rPr>
          <w:rStyle w:val="Corpsdutexte11NonItaliqueEspacement0pt"/>
          <w:rFonts w:eastAsia="Courier New"/>
          <w:i w:val="0"/>
          <w:iCs w:val="0"/>
          <w:sz w:val="28"/>
          <w:lang w:val="fr-CA"/>
        </w:rPr>
        <w:t xml:space="preserve"> Paris, 1933), « A.H.E.S. », t. VII (1935), pp. 514-515.</w:t>
      </w:r>
    </w:p>
    <w:p w14:paraId="2BA1AA83" w14:textId="77777777" w:rsidR="00B9662D" w:rsidRPr="00E9210E" w:rsidRDefault="00B9662D" w:rsidP="00B9662D">
      <w:pPr>
        <w:spacing w:before="120" w:after="120"/>
        <w:jc w:val="both"/>
      </w:pPr>
      <w:r w:rsidRPr="00E9210E">
        <w:t>Madame de Maintenon et le chauffage économique. (Compte re</w:t>
      </w:r>
      <w:r w:rsidRPr="00E9210E">
        <w:t>n</w:t>
      </w:r>
      <w:r w:rsidRPr="00E9210E">
        <w:t xml:space="preserve">du : Ch. de </w:t>
      </w:r>
      <w:r w:rsidRPr="00E9210E">
        <w:rPr>
          <w:rStyle w:val="Corpsdutexte27ptGras"/>
          <w:rFonts w:eastAsia="Courier New"/>
          <w:b w:val="0"/>
          <w:smallCaps/>
          <w:sz w:val="28"/>
        </w:rPr>
        <w:t>Boom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Contrat passé par Madame de Maintenon</w:t>
      </w:r>
      <w:r w:rsidRPr="00E9210E">
        <w:rPr>
          <w:rFonts w:eastAsia="Courier New"/>
        </w:rPr>
        <w:t>,</w:t>
      </w:r>
      <w:r w:rsidRPr="00E9210E">
        <w:t xml:space="preserve"> dans </w:t>
      </w:r>
      <w:r w:rsidRPr="00E9210E">
        <w:rPr>
          <w:rFonts w:eastAsia="Courier New"/>
          <w:i/>
        </w:rPr>
        <w:t>Revue belge de philologie et d'histoire</w:t>
      </w:r>
      <w:r w:rsidRPr="00E9210E">
        <w:rPr>
          <w:rFonts w:eastAsia="Courier New"/>
        </w:rPr>
        <w:t>,</w:t>
      </w:r>
      <w:r w:rsidRPr="00E9210E">
        <w:t xml:space="preserve"> t. XIV (1935), pp. 456-460), « A.H.E.S. », t. VII (1935), p. 516.</w:t>
      </w:r>
    </w:p>
    <w:p w14:paraId="74172D64" w14:textId="77777777" w:rsidR="00B9662D" w:rsidRPr="00E9210E" w:rsidRDefault="00B9662D" w:rsidP="00B9662D">
      <w:pPr>
        <w:spacing w:before="120" w:after="120"/>
        <w:jc w:val="both"/>
      </w:pPr>
      <w:r w:rsidRPr="00E9210E">
        <w:rPr>
          <w:rFonts w:eastAsia="Courier New"/>
        </w:rPr>
        <w:t>[1075]</w:t>
      </w:r>
    </w:p>
    <w:p w14:paraId="3835524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 Caen sous Louis XIII et Louis XIV. (Compte rendu : J. </w:t>
      </w:r>
      <w:r w:rsidRPr="00E9210E">
        <w:rPr>
          <w:rStyle w:val="Corpsdutexte37ptGrasNonItalique"/>
          <w:rFonts w:eastAsia="Courier New"/>
          <w:b w:val="0"/>
          <w:i w:val="0"/>
          <w:iCs w:val="0"/>
          <w:smallCaps/>
          <w:sz w:val="28"/>
        </w:rPr>
        <w:t>Yver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ville de Caen, le gouve</w:t>
      </w:r>
      <w:r w:rsidRPr="00E9210E">
        <w:rPr>
          <w:i/>
        </w:rPr>
        <w:t>r</w:t>
      </w:r>
      <w:r w:rsidRPr="00E9210E">
        <w:rPr>
          <w:i/>
        </w:rPr>
        <w:t>neur et les premiers intendants de 1636 à 1679</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Mém. de l'Acad. des Sciences, Arts et Belles-Lettres de Caen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t. VII (1934), pp. 313-371),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A.H.E.S.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VII (1935), pp. 518-519.</w:t>
      </w:r>
    </w:p>
    <w:p w14:paraId="70A379A3" w14:textId="77777777" w:rsidR="00B9662D" w:rsidRPr="00E9210E" w:rsidRDefault="00B9662D" w:rsidP="00B9662D">
      <w:pPr>
        <w:spacing w:before="120" w:after="120"/>
        <w:jc w:val="both"/>
      </w:pPr>
      <w:r w:rsidRPr="00E9210E">
        <w:t xml:space="preserve">Comme au temps jadis. (Compte rendu : A. </w:t>
      </w:r>
      <w:r w:rsidRPr="00E9210E">
        <w:rPr>
          <w:rStyle w:val="Corpsdutexte27ptGras"/>
          <w:rFonts w:eastAsia="Courier New"/>
          <w:b w:val="0"/>
          <w:sz w:val="28"/>
        </w:rPr>
        <w:t>Mabille de Ponchevi</w:t>
      </w:r>
      <w:r w:rsidRPr="00E9210E">
        <w:rPr>
          <w:rStyle w:val="Corpsdutexte27ptGras"/>
          <w:rFonts w:eastAsia="Courier New"/>
          <w:b w:val="0"/>
          <w:sz w:val="28"/>
        </w:rPr>
        <w:t>l</w:t>
      </w:r>
      <w:r w:rsidRPr="00E9210E">
        <w:rPr>
          <w:rStyle w:val="Corpsdutexte27ptGras"/>
          <w:rFonts w:eastAsia="Courier New"/>
          <w:b w:val="0"/>
          <w:sz w:val="28"/>
        </w:rPr>
        <w:t xml:space="preserve">le, </w:t>
      </w:r>
      <w:r w:rsidRPr="00E9210E">
        <w:rPr>
          <w:rFonts w:eastAsia="Courier New"/>
          <w:i/>
        </w:rPr>
        <w:t>Histoire d'Artois</w:t>
      </w:r>
      <w:r w:rsidRPr="00E9210E">
        <w:rPr>
          <w:rFonts w:eastAsia="Courier New"/>
        </w:rPr>
        <w:t xml:space="preserve">, </w:t>
      </w:r>
      <w:r w:rsidRPr="00E9210E">
        <w:t>Paris, 1935), « A.H.E.S. », t. VII (1935), p. 519.</w:t>
      </w:r>
    </w:p>
    <w:p w14:paraId="4A7E535B" w14:textId="77777777" w:rsidR="00B9662D" w:rsidRPr="00E9210E" w:rsidRDefault="00B9662D" w:rsidP="00B9662D">
      <w:pPr>
        <w:spacing w:before="120" w:after="120"/>
        <w:jc w:val="both"/>
      </w:pPr>
      <w:r w:rsidRPr="00E9210E">
        <w:rPr>
          <w:rStyle w:val="Corpsdutexte385ptNonItalique"/>
          <w:rFonts w:eastAsia="Courier New"/>
          <w:i w:val="0"/>
          <w:iCs w:val="0"/>
          <w:sz w:val="28"/>
        </w:rPr>
        <w:t>Problèmes de géographie historique. (Compte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Fr. L. </w:t>
      </w:r>
      <w:r w:rsidRPr="00E9210E">
        <w:rPr>
          <w:rStyle w:val="Corpsdutexte37ptGrasNonItalique"/>
          <w:rFonts w:eastAsia="Courier New"/>
          <w:b w:val="0"/>
          <w:i w:val="0"/>
          <w:iCs w:val="0"/>
          <w:smallCaps/>
          <w:sz w:val="28"/>
        </w:rPr>
        <w:t>Ganshof</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Coup d'œil sur l’évolution territoriale comparée de la Flandre et du Brabant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extr. des </w:t>
      </w:r>
      <w:r w:rsidRPr="00E9210E">
        <w:rPr>
          <w:i/>
        </w:rPr>
        <w:t>Annales de la Société royale d'a</w:t>
      </w:r>
      <w:r w:rsidRPr="00E9210E">
        <w:rPr>
          <w:i/>
        </w:rPr>
        <w:t>r</w:t>
      </w:r>
      <w:r w:rsidRPr="00E9210E">
        <w:rPr>
          <w:i/>
        </w:rPr>
        <w:t>chéologie de Bruxelles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XXXVIII [1934]), « A.H.E.S. », t. VII (1935), p. 524.</w:t>
      </w:r>
    </w:p>
    <w:p w14:paraId="6B50AE89" w14:textId="77777777" w:rsidR="00B9662D" w:rsidRPr="00E9210E" w:rsidRDefault="00B9662D" w:rsidP="00B9662D">
      <w:pPr>
        <w:spacing w:before="120" w:after="120"/>
        <w:jc w:val="both"/>
      </w:pPr>
      <w:r w:rsidRPr="00E9210E">
        <w:t xml:space="preserve">Compte rendu : F. </w:t>
      </w:r>
      <w:r w:rsidRPr="00E9210E">
        <w:rPr>
          <w:rStyle w:val="Corpsdutexte27ptGras"/>
          <w:rFonts w:eastAsia="Courier New"/>
          <w:b w:val="0"/>
          <w:smallCaps/>
          <w:sz w:val="28"/>
        </w:rPr>
        <w:t>Vercauteren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Étude sur les Civitates de la Belgique Seconde</w:t>
      </w:r>
      <w:r w:rsidRPr="00E9210E">
        <w:rPr>
          <w:rFonts w:eastAsia="Courier New"/>
        </w:rPr>
        <w:t xml:space="preserve">, </w:t>
      </w:r>
      <w:r w:rsidRPr="00E9210E">
        <w:t>Bruxelles, 1934, « R.C.H.L. », 1935, pp. 76-83.</w:t>
      </w:r>
    </w:p>
    <w:p w14:paraId="1144ADDE" w14:textId="77777777" w:rsidR="00B9662D" w:rsidRPr="00E9210E" w:rsidRDefault="00B9662D" w:rsidP="00B9662D">
      <w:pPr>
        <w:spacing w:before="120" w:after="120"/>
        <w:jc w:val="both"/>
      </w:pPr>
      <w:r w:rsidRPr="00E9210E">
        <w:t>Compte rendu :</w:t>
      </w:r>
      <w:r w:rsidRPr="00E9210E">
        <w:rPr>
          <w:rStyle w:val="Corpsdutexte28ptGraschelle120"/>
          <w:rFonts w:eastAsia="Courier New"/>
          <w:sz w:val="28"/>
        </w:rPr>
        <w:t xml:space="preserve"> </w:t>
      </w:r>
      <w:r w:rsidRPr="00E9210E">
        <w:t xml:space="preserve">J. </w:t>
      </w:r>
      <w:r w:rsidRPr="00E9210E">
        <w:rPr>
          <w:rStyle w:val="Corpsdutexte27ptGras"/>
          <w:rFonts w:eastAsia="Courier New"/>
          <w:b w:val="0"/>
          <w:smallCaps/>
          <w:sz w:val="28"/>
        </w:rPr>
        <w:t>Haller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Tausend Jahre deutsch-französischer Beziehungen,</w:t>
      </w:r>
      <w:r w:rsidRPr="00E9210E">
        <w:rPr>
          <w:rStyle w:val="Corpsdutexte28ptGraschelle120"/>
          <w:rFonts w:eastAsia="Courier New"/>
          <w:sz w:val="28"/>
        </w:rPr>
        <w:t xml:space="preserve"> </w:t>
      </w:r>
      <w:r w:rsidRPr="00E9210E">
        <w:t>Stuttgart, 1930, « Revue historique », t. 175 (1935), p. 158.</w:t>
      </w:r>
    </w:p>
    <w:p w14:paraId="12CEC6F0"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St. </w:t>
      </w:r>
      <w:r w:rsidRPr="00E9210E">
        <w:rPr>
          <w:rStyle w:val="Corpsdutexte37ptGrasNonItalique"/>
          <w:rFonts w:eastAsia="Courier New"/>
          <w:b w:val="0"/>
          <w:i w:val="0"/>
          <w:iCs w:val="0"/>
          <w:smallCaps/>
          <w:sz w:val="28"/>
        </w:rPr>
        <w:t>Inglot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Essai sur la vie rurale et les colonges d'Alsace </w:t>
      </w:r>
      <w:r w:rsidRPr="00E9210E">
        <w:rPr>
          <w:rFonts w:eastAsia="Courier New"/>
          <w:i/>
        </w:rPr>
        <w:t>(XI</w:t>
      </w:r>
      <w:r w:rsidRPr="00E9210E">
        <w:rPr>
          <w:rFonts w:eastAsia="Courier New"/>
          <w:i/>
          <w:vertAlign w:val="superscript"/>
        </w:rPr>
        <w:t>e</w:t>
      </w:r>
      <w:r w:rsidRPr="00E9210E">
        <w:rPr>
          <w:rFonts w:eastAsia="Courier New"/>
          <w:i/>
        </w:rPr>
        <w:t>-XIII</w:t>
      </w:r>
      <w:r w:rsidRPr="00E9210E">
        <w:rPr>
          <w:rFonts w:eastAsia="Courier New"/>
          <w:i/>
          <w:vertAlign w:val="superscript"/>
        </w:rPr>
        <w:t>e</w:t>
      </w:r>
      <w:r w:rsidRPr="00E9210E">
        <w:rPr>
          <w:i/>
        </w:rPr>
        <w:t> s.)</w:t>
      </w:r>
      <w:r w:rsidRPr="00E9210E">
        <w:t xml:space="preserve">, </w:t>
      </w:r>
      <w:r w:rsidRPr="00E9210E">
        <w:rPr>
          <w:rStyle w:val="Corpsdutexte385ptNonItalique"/>
          <w:rFonts w:eastAsia="Courier New"/>
          <w:i w:val="0"/>
          <w:iCs w:val="0"/>
          <w:sz w:val="28"/>
        </w:rPr>
        <w:t xml:space="preserve">Strasbourg, 1932. </w:t>
      </w:r>
      <w:r w:rsidRPr="00E9210E">
        <w:rPr>
          <w:i/>
        </w:rPr>
        <w:t>Collection d’études sur l’histoire du droit et des institutions d'Alsace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VIII, </w:t>
      </w:r>
      <w:r w:rsidRPr="00E9210E">
        <w:rPr>
          <w:rStyle w:val="Corpsdutexte3GrasNonItaliquechelle120"/>
          <w:rFonts w:eastAsia="Courier New"/>
          <w:i w:val="0"/>
          <w:iCs w:val="0"/>
          <w:sz w:val="28"/>
        </w:rPr>
        <w:t>« </w:t>
      </w:r>
      <w:r w:rsidRPr="00E9210E">
        <w:rPr>
          <w:rStyle w:val="Corpsdutexte385ptNonItalique"/>
          <w:rFonts w:eastAsia="Courier New"/>
          <w:iCs w:val="0"/>
          <w:sz w:val="28"/>
        </w:rPr>
        <w:t>Revue histor</w:t>
      </w:r>
      <w:r w:rsidRPr="00E9210E">
        <w:rPr>
          <w:rStyle w:val="Corpsdutexte385ptNonItalique"/>
          <w:rFonts w:eastAsia="Courier New"/>
          <w:iCs w:val="0"/>
          <w:sz w:val="28"/>
        </w:rPr>
        <w:t>i</w:t>
      </w:r>
      <w:r w:rsidRPr="00E9210E">
        <w:rPr>
          <w:rStyle w:val="Corpsdutexte385ptNonItalique"/>
          <w:rFonts w:eastAsia="Courier New"/>
          <w:iCs w:val="0"/>
          <w:sz w:val="28"/>
        </w:rPr>
        <w:t>que </w:t>
      </w:r>
      <w:r w:rsidRPr="00E9210E">
        <w:rPr>
          <w:rStyle w:val="Corpsdutexte385ptNonItalique"/>
          <w:rFonts w:eastAsia="Courier New"/>
          <w:i w:val="0"/>
          <w:iCs w:val="0"/>
          <w:sz w:val="28"/>
        </w:rPr>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175 (1935), pp. 160-162.</w:t>
      </w:r>
    </w:p>
    <w:p w14:paraId="21B29BE3" w14:textId="77777777" w:rsidR="00B9662D" w:rsidRPr="00E9210E" w:rsidRDefault="00B9662D" w:rsidP="00B9662D">
      <w:pPr>
        <w:spacing w:before="120" w:after="120"/>
        <w:jc w:val="both"/>
      </w:pPr>
      <w:r w:rsidRPr="00E9210E">
        <w:rPr>
          <w:rStyle w:val="Corpsdutexte39ptNonItalique"/>
          <w:rFonts w:eastAsia="Courier New"/>
          <w:i w:val="0"/>
          <w:iCs w:val="0"/>
          <w:sz w:val="28"/>
          <w:lang w:val="fr-CA"/>
        </w:rPr>
        <w:t>Comptes rendus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W. </w:t>
      </w:r>
      <w:r w:rsidRPr="00E9210E">
        <w:rPr>
          <w:rStyle w:val="Corpsdutexte37ptGrasNonItalique"/>
          <w:rFonts w:eastAsia="Courier New"/>
          <w:b w:val="0"/>
          <w:i w:val="0"/>
          <w:iCs w:val="0"/>
          <w:smallCaps/>
          <w:sz w:val="28"/>
        </w:rPr>
        <w:t>Ehmer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Südwestdeutschland als Einheit und Wirtschaftsraum : eine geschichtliche Wirtschaftskunde Südwes</w:t>
      </w:r>
      <w:r w:rsidRPr="00E9210E">
        <w:rPr>
          <w:i/>
        </w:rPr>
        <w:t>t</w:t>
      </w:r>
      <w:r w:rsidRPr="00E9210E">
        <w:rPr>
          <w:i/>
        </w:rPr>
        <w:t>deutschlands</w:t>
      </w:r>
      <w:r w:rsidRPr="00E9210E">
        <w:t>,</w:t>
      </w:r>
      <w:r w:rsidRPr="00E9210E">
        <w:rPr>
          <w:rStyle w:val="Corpsdutexte3GrasNonItaliquechelle120"/>
          <w:rFonts w:eastAsia="Courier New"/>
          <w:i w:val="0"/>
          <w:iCs w:val="0"/>
          <w:sz w:val="28"/>
        </w:rPr>
        <w:t xml:space="preserve"> </w:t>
      </w:r>
      <w:r w:rsidRPr="00E9210E">
        <w:rPr>
          <w:rStyle w:val="Corpsdutexte39ptNonItalique"/>
          <w:rFonts w:eastAsia="Courier New"/>
          <w:i w:val="0"/>
          <w:iCs w:val="0"/>
          <w:sz w:val="28"/>
          <w:lang w:val="fr-CA"/>
        </w:rPr>
        <w:t xml:space="preserve">Stuttgart, </w:t>
      </w:r>
      <w:r w:rsidRPr="00E9210E">
        <w:rPr>
          <w:rStyle w:val="Corpsdutexte385ptNonItalique"/>
          <w:rFonts w:eastAsia="Courier New"/>
          <w:i w:val="0"/>
          <w:iCs w:val="0"/>
          <w:sz w:val="28"/>
        </w:rPr>
        <w:t>1930. — </w:t>
      </w:r>
      <w:r w:rsidRPr="00E9210E">
        <w:rPr>
          <w:i/>
        </w:rPr>
        <w:t>Niedersachsen im Rahmen der Ne</w:t>
      </w:r>
      <w:r w:rsidRPr="00E9210E">
        <w:rPr>
          <w:i/>
        </w:rPr>
        <w:t>u</w:t>
      </w:r>
      <w:r w:rsidRPr="00E9210E">
        <w:rPr>
          <w:i/>
        </w:rPr>
        <w:t>gliederung des Reiches : Denkschrift dem 64</w:t>
      </w:r>
      <w:r w:rsidRPr="00E9210E">
        <w:t xml:space="preserve">. </w:t>
      </w:r>
      <w:r w:rsidRPr="00E9210E">
        <w:rPr>
          <w:i/>
        </w:rPr>
        <w:t>Hanno- verschen Pr</w:t>
      </w:r>
      <w:r w:rsidRPr="00E9210E">
        <w:rPr>
          <w:i/>
        </w:rPr>
        <w:t>o</w:t>
      </w:r>
      <w:r w:rsidRPr="00E9210E">
        <w:rPr>
          <w:i/>
        </w:rPr>
        <w:t>vinzia</w:t>
      </w:r>
      <w:r w:rsidRPr="00E9210E">
        <w:rPr>
          <w:i/>
        </w:rPr>
        <w:t>l</w:t>
      </w:r>
      <w:r w:rsidRPr="00E9210E">
        <w:rPr>
          <w:i/>
        </w:rPr>
        <w:t>lantage..</w:t>
      </w:r>
      <w:r w:rsidRPr="00E9210E">
        <w:t>.,</w:t>
      </w:r>
      <w:r w:rsidRPr="00E9210E">
        <w:rPr>
          <w:rStyle w:val="Corpsdutexte3GrasNonItaliquechelle120"/>
          <w:rFonts w:eastAsia="Courier New"/>
          <w:i w:val="0"/>
          <w:iCs w:val="0"/>
          <w:sz w:val="28"/>
        </w:rPr>
        <w:t xml:space="preserve"> </w:t>
      </w:r>
      <w:r w:rsidRPr="00E9210E">
        <w:rPr>
          <w:rStyle w:val="Corpsdutexte39ptNonItalique"/>
          <w:rFonts w:eastAsia="Courier New"/>
          <w:i w:val="0"/>
          <w:iCs w:val="0"/>
          <w:sz w:val="28"/>
          <w:lang w:val="fr-CA"/>
        </w:rPr>
        <w:t xml:space="preserve">bearb. von Kurt Brüning. Bd. I, </w:t>
      </w:r>
      <w:r w:rsidRPr="00E9210E">
        <w:rPr>
          <w:rStyle w:val="Corpsdutexte385ptNonItalique"/>
          <w:rFonts w:eastAsia="Courier New"/>
          <w:i w:val="0"/>
          <w:iCs w:val="0"/>
          <w:sz w:val="28"/>
        </w:rPr>
        <w:t>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w:t>
      </w:r>
      <w:r w:rsidRPr="00E9210E">
        <w:rPr>
          <w:rStyle w:val="Corpsdutexte39ptNonItalique"/>
          <w:rFonts w:eastAsia="Courier New"/>
          <w:i w:val="0"/>
          <w:iCs w:val="0"/>
          <w:sz w:val="28"/>
          <w:lang w:val="fr-CA"/>
        </w:rPr>
        <w:t xml:space="preserve">éd., Hanovre, </w:t>
      </w:r>
      <w:r w:rsidRPr="00E9210E">
        <w:rPr>
          <w:rStyle w:val="Corpsdutexte385ptNonItalique"/>
          <w:rFonts w:eastAsia="Courier New"/>
          <w:i w:val="0"/>
          <w:iCs w:val="0"/>
          <w:sz w:val="28"/>
        </w:rPr>
        <w:t>1929, « </w:t>
      </w:r>
      <w:r w:rsidRPr="00E9210E">
        <w:rPr>
          <w:rStyle w:val="Corpsdutexte39ptNonItalique"/>
          <w:rFonts w:eastAsia="Courier New"/>
          <w:i w:val="0"/>
          <w:iCs w:val="0"/>
          <w:sz w:val="28"/>
          <w:lang w:val="fr-CA"/>
        </w:rPr>
        <w:t>Revue historique »</w:t>
      </w:r>
      <w:r w:rsidRPr="00E9210E">
        <w:rPr>
          <w:rStyle w:val="Corpsdutexte385ptNonItalique"/>
          <w:rFonts w:eastAsia="Courier New"/>
          <w:i w:val="0"/>
          <w:iCs w:val="0"/>
          <w:sz w:val="28"/>
        </w:rPr>
        <w:t xml:space="preserve">, </w:t>
      </w:r>
      <w:r w:rsidRPr="00E9210E">
        <w:rPr>
          <w:rStyle w:val="Corpsdutexte39ptNonItalique"/>
          <w:rFonts w:eastAsia="Courier New"/>
          <w:i w:val="0"/>
          <w:iCs w:val="0"/>
          <w:sz w:val="28"/>
          <w:lang w:val="fr-CA"/>
        </w:rPr>
        <w:t xml:space="preserve">t. </w:t>
      </w:r>
      <w:r w:rsidRPr="00E9210E">
        <w:rPr>
          <w:rStyle w:val="Corpsdutexte385ptNonItalique"/>
          <w:rFonts w:eastAsia="Courier New"/>
          <w:i w:val="0"/>
          <w:iCs w:val="0"/>
          <w:sz w:val="28"/>
        </w:rPr>
        <w:t xml:space="preserve">175 (1935), </w:t>
      </w:r>
      <w:r w:rsidRPr="00E9210E">
        <w:rPr>
          <w:rStyle w:val="Corpsdutexte39ptNonItalique"/>
          <w:rFonts w:eastAsia="Courier New"/>
          <w:i w:val="0"/>
          <w:iCs w:val="0"/>
          <w:sz w:val="28"/>
          <w:lang w:val="fr-CA"/>
        </w:rPr>
        <w:t xml:space="preserve">pp. </w:t>
      </w:r>
      <w:r w:rsidRPr="00E9210E">
        <w:rPr>
          <w:rStyle w:val="Corpsdutexte385ptNonItalique"/>
          <w:rFonts w:eastAsia="Courier New"/>
          <w:i w:val="0"/>
          <w:iCs w:val="0"/>
          <w:sz w:val="28"/>
        </w:rPr>
        <w:t>416-417.</w:t>
      </w:r>
    </w:p>
    <w:p w14:paraId="5C131DDE" w14:textId="77777777" w:rsidR="00B9662D" w:rsidRPr="00E9210E" w:rsidRDefault="00B9662D" w:rsidP="00B9662D">
      <w:pPr>
        <w:spacing w:before="120" w:after="120"/>
        <w:jc w:val="both"/>
      </w:pPr>
      <w:r w:rsidRPr="00E9210E">
        <w:rPr>
          <w:rStyle w:val="Corpsdutexte385ptNonItalique"/>
          <w:rFonts w:eastAsia="Courier New"/>
          <w:i w:val="0"/>
          <w:iCs w:val="0"/>
          <w:sz w:val="28"/>
        </w:rPr>
        <w:t>Compte rendu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A. </w:t>
      </w:r>
      <w:r w:rsidRPr="00E9210E">
        <w:rPr>
          <w:rStyle w:val="Corpsdutexte37ptGrasNonItalique"/>
          <w:rFonts w:eastAsia="Courier New"/>
          <w:b w:val="0"/>
          <w:i w:val="0"/>
          <w:iCs w:val="0"/>
          <w:smallCaps/>
          <w:sz w:val="28"/>
        </w:rPr>
        <w:t>Gasser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Territoriale Entwicklung der Schweizerischen Eidgenossenschaft</w:t>
      </w:r>
      <w:r w:rsidRPr="00E9210E">
        <w:t xml:space="preserve">, </w:t>
      </w:r>
      <w:r w:rsidRPr="00E9210E">
        <w:rPr>
          <w:i/>
        </w:rPr>
        <w:t>1291-1797</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Aarau, s.d.,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Revue historique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175 (1935), p. 417.</w:t>
      </w:r>
    </w:p>
    <w:p w14:paraId="646DB5A6" w14:textId="77777777" w:rsidR="00B9662D" w:rsidRPr="00E9210E" w:rsidRDefault="00B9662D" w:rsidP="00B9662D">
      <w:pPr>
        <w:spacing w:before="120" w:after="120"/>
        <w:jc w:val="both"/>
      </w:pPr>
      <w:r w:rsidRPr="00E9210E">
        <w:t xml:space="preserve">Compte rendu : </w:t>
      </w:r>
      <w:r w:rsidRPr="00E9210E">
        <w:rPr>
          <w:rFonts w:eastAsia="Courier New"/>
          <w:i/>
        </w:rPr>
        <w:t>Saxonis Gesta Danorum</w:t>
      </w:r>
      <w:r w:rsidRPr="00E9210E">
        <w:rPr>
          <w:rFonts w:eastAsia="Courier New"/>
        </w:rPr>
        <w:t>.</w:t>
      </w:r>
      <w:r w:rsidRPr="00E9210E">
        <w:t xml:space="preserve"> T. II, </w:t>
      </w:r>
      <w:r w:rsidRPr="00E9210E">
        <w:rPr>
          <w:rFonts w:eastAsia="Courier New"/>
          <w:i/>
        </w:rPr>
        <w:t>Index verborum</w:t>
      </w:r>
      <w:r w:rsidRPr="00E9210E">
        <w:rPr>
          <w:rFonts w:eastAsia="Courier New"/>
        </w:rPr>
        <w:t>,</w:t>
      </w:r>
      <w:r w:rsidRPr="00E9210E">
        <w:t xml:space="preserve"> fasc. 1, Copenhague, 1935, « </w:t>
      </w:r>
      <w:r w:rsidRPr="00E9210E">
        <w:rPr>
          <w:i/>
        </w:rPr>
        <w:t>Revue historique </w:t>
      </w:r>
      <w:r w:rsidRPr="00E9210E">
        <w:t>», t. 175 (1935), p. 576.</w:t>
      </w:r>
    </w:p>
    <w:p w14:paraId="5FDE7FA3" w14:textId="77777777" w:rsidR="00B9662D" w:rsidRPr="00E9210E" w:rsidRDefault="00B9662D" w:rsidP="00B9662D">
      <w:pPr>
        <w:spacing w:before="120" w:after="120"/>
        <w:jc w:val="both"/>
      </w:pPr>
      <w:r w:rsidRPr="00E9210E">
        <w:rPr>
          <w:rStyle w:val="Corpsdutexte385ptNonItalique"/>
          <w:rFonts w:eastAsia="Courier New"/>
          <w:i w:val="0"/>
          <w:iCs w:val="0"/>
          <w:sz w:val="28"/>
        </w:rPr>
        <w:t>Entre deux formes du capitalisme (Comptes rendus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 </w:t>
      </w:r>
      <w:r w:rsidRPr="00E9210E">
        <w:rPr>
          <w:rStyle w:val="Corpsdutexte37ptGrasNonItalique"/>
          <w:rFonts w:eastAsia="Courier New"/>
          <w:b w:val="0"/>
          <w:i w:val="0"/>
          <w:iCs w:val="0"/>
          <w:smallCaps/>
          <w:sz w:val="28"/>
        </w:rPr>
        <w:t>Harsin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Un économiste aux Pays-Bas au </w:t>
      </w:r>
      <w:r w:rsidRPr="00E9210E">
        <w:rPr>
          <w:rFonts w:eastAsia="Courier New"/>
          <w:i/>
        </w:rPr>
        <w:t>XVIII</w:t>
      </w:r>
      <w:r w:rsidRPr="00E9210E">
        <w:rPr>
          <w:rFonts w:eastAsia="Courier New"/>
          <w:i/>
          <w:vertAlign w:val="superscript"/>
        </w:rPr>
        <w:t>e</w:t>
      </w:r>
      <w:r w:rsidRPr="00E9210E">
        <w:rPr>
          <w:i/>
        </w:rPr>
        <w:t xml:space="preserve"> s. : l'abbé Mann,</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Louvain, 1933. — </w:t>
      </w:r>
      <w:r w:rsidRPr="00E9210E">
        <w:rPr>
          <w:i/>
        </w:rPr>
        <w:t xml:space="preserve">Crédit public et banque d’État en France du </w:t>
      </w:r>
      <w:r w:rsidRPr="00E9210E">
        <w:rPr>
          <w:rFonts w:eastAsia="Courier New"/>
          <w:i/>
        </w:rPr>
        <w:t>XVI</w:t>
      </w:r>
      <w:r w:rsidRPr="00E9210E">
        <w:rPr>
          <w:rFonts w:eastAsia="Courier New"/>
          <w:i/>
          <w:vertAlign w:val="superscript"/>
        </w:rPr>
        <w:t>e</w:t>
      </w:r>
      <w:r w:rsidRPr="00E9210E">
        <w:rPr>
          <w:rFonts w:eastAsia="Courier New"/>
          <w:i/>
        </w:rPr>
        <w:t xml:space="preserve"> au XVIII</w:t>
      </w:r>
      <w:r w:rsidRPr="00E9210E">
        <w:rPr>
          <w:rFonts w:eastAsia="Courier New"/>
          <w:i/>
          <w:vertAlign w:val="superscript"/>
        </w:rPr>
        <w:t>e</w:t>
      </w:r>
      <w:r w:rsidRPr="00E9210E">
        <w:rPr>
          <w:i/>
        </w:rPr>
        <w:t> 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1933. — </w:t>
      </w:r>
      <w:r w:rsidRPr="00E9210E">
        <w:rPr>
          <w:i/>
        </w:rPr>
        <w:t>La Banque et le sy</w:t>
      </w:r>
      <w:r w:rsidRPr="00E9210E">
        <w:rPr>
          <w:i/>
        </w:rPr>
        <w:t>s</w:t>
      </w:r>
      <w:r w:rsidRPr="00E9210E">
        <w:rPr>
          <w:i/>
        </w:rPr>
        <w:t>tème de Law</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extr. de </w:t>
      </w:r>
      <w:r w:rsidRPr="00E9210E">
        <w:rPr>
          <w:i/>
        </w:rPr>
        <w:t>History of the principal public banks... collected by J. G. van Dillen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La Haye, 1934. — </w:t>
      </w:r>
      <w:r w:rsidRPr="00E9210E">
        <w:t xml:space="preserve">John Law. </w:t>
      </w:r>
      <w:r w:rsidRPr="00E9210E">
        <w:rPr>
          <w:i/>
        </w:rPr>
        <w:t>Œuvres complètes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1934), </w:t>
      </w:r>
      <w:r w:rsidRPr="00E9210E">
        <w:rPr>
          <w:rStyle w:val="Corpsdutexte3GrasNonItaliquechelle120"/>
          <w:rFonts w:eastAsia="Courier New"/>
          <w:i w:val="0"/>
          <w:iCs w:val="0"/>
          <w:sz w:val="28"/>
        </w:rPr>
        <w:t>« </w:t>
      </w:r>
      <w:r w:rsidRPr="00E9210E">
        <w:rPr>
          <w:rStyle w:val="Corpsdutexte385ptNonItalique"/>
          <w:rFonts w:eastAsia="Courier New"/>
          <w:i w:val="0"/>
          <w:iCs w:val="0"/>
          <w:sz w:val="28"/>
        </w:rPr>
        <w:t>Rev. synt. hist. », t. 55 (1935), pp. 61-63.</w:t>
      </w:r>
    </w:p>
    <w:p w14:paraId="75D3845A" w14:textId="77777777" w:rsidR="00B9662D" w:rsidRPr="00E9210E" w:rsidRDefault="00B9662D" w:rsidP="00B9662D">
      <w:pPr>
        <w:spacing w:before="120" w:after="120"/>
        <w:jc w:val="both"/>
      </w:pPr>
      <w:r w:rsidRPr="00E9210E">
        <w:t xml:space="preserve">Connaissance de l’Est et de l’Ouest. (Compte rendu : </w:t>
      </w:r>
      <w:r w:rsidRPr="00E9210E">
        <w:rPr>
          <w:rStyle w:val="Corpsdutexte29ptPetitesmajuscules"/>
          <w:rFonts w:eastAsia="Courier New"/>
          <w:sz w:val="28"/>
          <w:lang w:val="fr-CA"/>
        </w:rPr>
        <w:t xml:space="preserve">A. Eck, </w:t>
      </w:r>
      <w:r w:rsidRPr="00E9210E">
        <w:rPr>
          <w:rFonts w:eastAsia="Courier New"/>
          <w:i/>
        </w:rPr>
        <w:t>Le Moyen Âge russe</w:t>
      </w:r>
      <w:r w:rsidRPr="00E9210E">
        <w:t>, Paris, 1933), « Rev. synt. hist. », t. 55 (1935), pp. 151-154.</w:t>
      </w:r>
    </w:p>
    <w:p w14:paraId="4E895F5D" w14:textId="77777777" w:rsidR="00B9662D" w:rsidRPr="00E9210E" w:rsidRDefault="00B9662D" w:rsidP="00B9662D">
      <w:pPr>
        <w:spacing w:before="120" w:after="120"/>
        <w:jc w:val="both"/>
      </w:pPr>
      <w:r w:rsidRPr="00E9210E">
        <w:rPr>
          <w:rStyle w:val="Corpsdutexte385ptNonItalique"/>
          <w:rFonts w:eastAsia="Courier New"/>
          <w:i w:val="0"/>
          <w:iCs w:val="0"/>
          <w:sz w:val="28"/>
        </w:rPr>
        <w:t>Anoblissements et anoblis. (Comptes rendus :</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 </w:t>
      </w:r>
      <w:r w:rsidRPr="00E9210E">
        <w:rPr>
          <w:rStyle w:val="Corpsdutexte37ptGrasNonItalique"/>
          <w:rFonts w:eastAsia="Courier New"/>
          <w:b w:val="0"/>
          <w:i w:val="0"/>
          <w:iCs w:val="0"/>
          <w:smallCaps/>
          <w:sz w:val="28"/>
        </w:rPr>
        <w:t>Thomas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Co</w:t>
      </w:r>
      <w:r w:rsidRPr="00E9210E">
        <w:rPr>
          <w:i/>
        </w:rPr>
        <w:t>m</w:t>
      </w:r>
      <w:r w:rsidRPr="00E9210E">
        <w:rPr>
          <w:i/>
        </w:rPr>
        <w:t xml:space="preserve">ment Guy de Dampierre, comte de Flandre, anoblissait les roturiers au </w:t>
      </w:r>
      <w:r w:rsidRPr="00E9210E">
        <w:rPr>
          <w:rFonts w:eastAsia="Courier New"/>
          <w:i/>
        </w:rPr>
        <w:t>XIII</w:t>
      </w:r>
      <w:r w:rsidRPr="00E9210E">
        <w:rPr>
          <w:rFonts w:eastAsia="Courier New"/>
          <w:i/>
          <w:vertAlign w:val="superscript"/>
        </w:rPr>
        <w:t>e</w:t>
      </w:r>
      <w:r w:rsidRPr="00E9210E">
        <w:rPr>
          <w:i/>
        </w:rPr>
        <w:t xml:space="preserve"> s</w:t>
      </w:r>
      <w:r w:rsidRPr="00E9210E">
        <w:t xml:space="preserve">. </w:t>
      </w:r>
      <w:r w:rsidRPr="00E9210E">
        <w:rPr>
          <w:i/>
        </w:rPr>
        <w:t>(1282),</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Lille, 1933. — J. R. </w:t>
      </w:r>
      <w:r w:rsidRPr="00E9210E">
        <w:rPr>
          <w:rStyle w:val="Corpsdutexte37ptGrasNonItalique"/>
          <w:rFonts w:eastAsia="Courier New"/>
          <w:b w:val="0"/>
          <w:i w:val="0"/>
          <w:iCs w:val="0"/>
          <w:smallCaps/>
          <w:sz w:val="28"/>
        </w:rPr>
        <w:t>Bloch</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L'anoblissement en France au temps de François I</w:t>
      </w:r>
      <w:r w:rsidRPr="00E9210E">
        <w:rPr>
          <w:i/>
          <w:vertAlign w:val="superscript"/>
        </w:rPr>
        <w:t>er</w:t>
      </w:r>
      <w:r w:rsidRPr="00E9210E">
        <w:rPr>
          <w:i/>
        </w:rPr>
        <w:t> : essai d'une définition de la cond</w:t>
      </w:r>
      <w:r w:rsidRPr="00E9210E">
        <w:rPr>
          <w:i/>
        </w:rPr>
        <w:t>i</w:t>
      </w:r>
      <w:r w:rsidRPr="00E9210E">
        <w:rPr>
          <w:i/>
        </w:rPr>
        <w:t>tion juridique et sociale de la noble</w:t>
      </w:r>
      <w:r w:rsidRPr="00E9210E">
        <w:rPr>
          <w:i/>
        </w:rPr>
        <w:t>s</w:t>
      </w:r>
      <w:r w:rsidRPr="00E9210E">
        <w:rPr>
          <w:i/>
        </w:rPr>
        <w:t xml:space="preserve">se au début du </w:t>
      </w:r>
      <w:r w:rsidRPr="00E9210E">
        <w:rPr>
          <w:rFonts w:eastAsia="Courier New"/>
          <w:i/>
        </w:rPr>
        <w:t>XVI</w:t>
      </w:r>
      <w:r w:rsidRPr="00E9210E">
        <w:rPr>
          <w:rFonts w:eastAsia="Courier New"/>
          <w:i/>
          <w:vertAlign w:val="superscript"/>
        </w:rPr>
        <w:t>e</w:t>
      </w:r>
      <w:r w:rsidRPr="00E9210E">
        <w:rPr>
          <w:rFonts w:eastAsia="Courier New"/>
          <w:i/>
        </w:rPr>
        <w:t xml:space="preserve"> s., </w:t>
      </w:r>
      <w:r w:rsidRPr="00E9210E">
        <w:rPr>
          <w:rStyle w:val="Corpsdutexte385ptNonItalique"/>
          <w:rFonts w:eastAsia="Courier New"/>
          <w:i w:val="0"/>
          <w:iCs w:val="0"/>
          <w:sz w:val="28"/>
        </w:rPr>
        <w:t>Paris, 1934), « Rev. synt. hist. », t. 55 (1935), pp. 155-158.</w:t>
      </w:r>
    </w:p>
    <w:p w14:paraId="071C5791" w14:textId="77777777" w:rsidR="00B9662D" w:rsidRPr="00E9210E" w:rsidRDefault="00B9662D" w:rsidP="00B9662D">
      <w:pPr>
        <w:spacing w:before="120" w:after="120"/>
        <w:jc w:val="both"/>
      </w:pPr>
      <w:r w:rsidRPr="00E9210E">
        <w:t xml:space="preserve">Histoire des idées et réalités humaines. (Compte rendu : </w:t>
      </w:r>
      <w:r w:rsidRPr="00E9210E">
        <w:rPr>
          <w:rStyle w:val="Corpsdutexte27ptGras"/>
          <w:rFonts w:eastAsia="Courier New"/>
          <w:b w:val="0"/>
          <w:sz w:val="28"/>
        </w:rPr>
        <w:t>G.</w:t>
      </w:r>
      <w:r w:rsidRPr="00E9210E">
        <w:rPr>
          <w:rStyle w:val="Corpsdutexte27ptGras"/>
          <w:rFonts w:eastAsia="Courier New"/>
          <w:sz w:val="28"/>
        </w:rPr>
        <w:t xml:space="preserve"> </w:t>
      </w:r>
      <w:r w:rsidRPr="00E9210E">
        <w:t xml:space="preserve">de </w:t>
      </w:r>
      <w:r w:rsidRPr="00E9210E">
        <w:rPr>
          <w:rStyle w:val="Corpsdutexte27ptGras"/>
          <w:rFonts w:eastAsia="Courier New"/>
          <w:b w:val="0"/>
          <w:smallCaps/>
          <w:sz w:val="28"/>
        </w:rPr>
        <w:t>L</w:t>
      </w:r>
      <w:r w:rsidRPr="00E9210E">
        <w:rPr>
          <w:rStyle w:val="Corpsdutexte27ptGras"/>
          <w:rFonts w:eastAsia="Courier New"/>
          <w:b w:val="0"/>
          <w:smallCaps/>
          <w:sz w:val="28"/>
        </w:rPr>
        <w:t>a</w:t>
      </w:r>
      <w:r w:rsidRPr="00E9210E">
        <w:rPr>
          <w:rStyle w:val="Corpsdutexte27ptGras"/>
          <w:rFonts w:eastAsia="Courier New"/>
          <w:b w:val="0"/>
          <w:smallCaps/>
          <w:sz w:val="28"/>
        </w:rPr>
        <w:t>garde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naissance de l'esprit laïque au déclin du Moyen Âge,</w:t>
      </w:r>
      <w:r w:rsidRPr="00E9210E">
        <w:rPr>
          <w:i/>
        </w:rPr>
        <w:t xml:space="preserve"> Saint-Paul-Trois-Châteaux, 1934),</w:t>
      </w:r>
      <w:r w:rsidRPr="00E9210E">
        <w:t xml:space="preserve"> « Rev. Synt. hist. », t. 55 (1935), pp. 233-236.</w:t>
      </w:r>
    </w:p>
    <w:p w14:paraId="655814EA" w14:textId="77777777" w:rsidR="00B9662D" w:rsidRPr="00E9210E" w:rsidRDefault="00B9662D" w:rsidP="00B9662D">
      <w:pPr>
        <w:spacing w:before="120" w:after="120"/>
        <w:jc w:val="both"/>
      </w:pPr>
    </w:p>
    <w:p w14:paraId="7F273A88" w14:textId="77777777" w:rsidR="00B9662D" w:rsidRPr="00E9210E" w:rsidRDefault="00B9662D" w:rsidP="00B9662D">
      <w:pPr>
        <w:spacing w:before="120" w:after="120"/>
        <w:jc w:val="center"/>
        <w:rPr>
          <w:b/>
        </w:rPr>
      </w:pPr>
      <w:r w:rsidRPr="00E9210E">
        <w:rPr>
          <w:b/>
        </w:rPr>
        <w:t>1936</w:t>
      </w:r>
    </w:p>
    <w:p w14:paraId="1EFD7855" w14:textId="77777777" w:rsidR="00B9662D" w:rsidRPr="00E9210E" w:rsidRDefault="00B9662D" w:rsidP="00B9662D">
      <w:pPr>
        <w:spacing w:before="120" w:after="120"/>
        <w:jc w:val="both"/>
      </w:pPr>
    </w:p>
    <w:p w14:paraId="7CFE1131" w14:textId="77777777" w:rsidR="00B9662D" w:rsidRPr="00E9210E" w:rsidRDefault="00B9662D" w:rsidP="00B9662D">
      <w:pPr>
        <w:spacing w:before="120" w:after="120"/>
        <w:jc w:val="both"/>
      </w:pPr>
      <w:r w:rsidRPr="00E9210E">
        <w:t>« </w:t>
      </w:r>
      <w:r w:rsidRPr="00E9210E">
        <w:rPr>
          <w:b/>
        </w:rPr>
        <w:t>Pour préparer le prochain Congrès international des Scie</w:t>
      </w:r>
      <w:r w:rsidRPr="00E9210E">
        <w:rPr>
          <w:b/>
        </w:rPr>
        <w:t>n</w:t>
      </w:r>
      <w:r w:rsidRPr="00E9210E">
        <w:rPr>
          <w:b/>
        </w:rPr>
        <w:t>ces historiques </w:t>
      </w:r>
      <w:r w:rsidRPr="00E9210E">
        <w:t xml:space="preserve">» (note des directeurs), </w:t>
      </w:r>
      <w:r w:rsidRPr="00E9210E">
        <w:rPr>
          <w:rStyle w:val="Corpsdutexte2ItaliqueEspacement0pt"/>
          <w:rFonts w:eastAsia="Courier New"/>
          <w:sz w:val="28"/>
        </w:rPr>
        <w:t>A.H.E.S.,</w:t>
      </w:r>
      <w:r w:rsidRPr="00E9210E">
        <w:rPr>
          <w:rStyle w:val="Corpsdutexte28ptGraschelle120"/>
          <w:rFonts w:eastAsia="Courier New"/>
          <w:sz w:val="28"/>
        </w:rPr>
        <w:t xml:space="preserve"> </w:t>
      </w:r>
      <w:r w:rsidRPr="00E9210E">
        <w:t>t. VIII (1936), pp. 44-48.</w:t>
      </w:r>
    </w:p>
    <w:p w14:paraId="39E68D78" w14:textId="77777777" w:rsidR="00B9662D" w:rsidRPr="00E9210E" w:rsidRDefault="00B9662D" w:rsidP="00B9662D">
      <w:pPr>
        <w:spacing w:before="120" w:after="120"/>
        <w:jc w:val="both"/>
      </w:pPr>
      <w:r w:rsidRPr="00E9210E">
        <w:rPr>
          <w:rStyle w:val="Corpsdutexte28ptGraschelle120"/>
          <w:rFonts w:eastAsia="Courier New"/>
          <w:sz w:val="28"/>
        </w:rPr>
        <w:t xml:space="preserve">« Archives et Bibliothèques » </w:t>
      </w:r>
      <w:r w:rsidRPr="00E9210E">
        <w:t xml:space="preserve">(note des directeurs), </w:t>
      </w:r>
      <w:r w:rsidRPr="00E9210E">
        <w:rPr>
          <w:rStyle w:val="Corpsdutexte2ItaliqueEspacement0pt"/>
          <w:rFonts w:eastAsia="Courier New"/>
          <w:sz w:val="28"/>
        </w:rPr>
        <w:t>A.H.E.S.,</w:t>
      </w:r>
      <w:r w:rsidRPr="00E9210E">
        <w:rPr>
          <w:rStyle w:val="Corpsdutexte28ptGraschelle120"/>
          <w:rFonts w:eastAsia="Courier New"/>
          <w:sz w:val="28"/>
        </w:rPr>
        <w:t xml:space="preserve"> </w:t>
      </w:r>
      <w:r w:rsidRPr="00E9210E">
        <w:t>t. VIII (1936), pp. 151- 152.</w:t>
      </w:r>
    </w:p>
    <w:p w14:paraId="5CCE1A6B" w14:textId="77777777" w:rsidR="00B9662D" w:rsidRPr="00E9210E" w:rsidRDefault="00B9662D" w:rsidP="00B9662D">
      <w:pPr>
        <w:spacing w:before="120" w:after="120"/>
        <w:jc w:val="both"/>
      </w:pPr>
      <w:r w:rsidRPr="00E9210E">
        <w:t>[1076]</w:t>
      </w:r>
    </w:p>
    <w:p w14:paraId="69D8754D"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Les Noblesses — Reconnaissance générale du te</w:t>
      </w:r>
      <w:r w:rsidRPr="00E9210E">
        <w:rPr>
          <w:rStyle w:val="Corpsdutexte28ptGraschelle120"/>
          <w:rFonts w:eastAsia="Courier New"/>
          <w:sz w:val="28"/>
        </w:rPr>
        <w:t>r</w:t>
      </w:r>
      <w:r w:rsidRPr="00E9210E">
        <w:rPr>
          <w:rStyle w:val="Corpsdutexte28ptGraschelle120"/>
          <w:rFonts w:eastAsia="Courier New"/>
          <w:sz w:val="28"/>
        </w:rPr>
        <w:t>rain »</w:t>
      </w:r>
      <w:r w:rsidRPr="00E9210E">
        <w:t xml:space="preserve"> (signé : les Directeurs), </w:t>
      </w:r>
      <w:r w:rsidRPr="00E9210E">
        <w:rPr>
          <w:rStyle w:val="Corpsdutexte28ptItalique"/>
          <w:rFonts w:eastAsia="Courier New"/>
          <w:sz w:val="28"/>
        </w:rPr>
        <w:t>A.H.E.S.,</w:t>
      </w:r>
      <w:r w:rsidRPr="00E9210E">
        <w:rPr>
          <w:rStyle w:val="Corpsdutexte28ptGraschelle120"/>
          <w:rFonts w:eastAsia="Courier New"/>
          <w:sz w:val="28"/>
        </w:rPr>
        <w:t xml:space="preserve"> </w:t>
      </w:r>
      <w:r w:rsidRPr="00E9210E">
        <w:t>t. VIII (1936), pp. 238-242.</w:t>
      </w:r>
    </w:p>
    <w:p w14:paraId="30190389" w14:textId="77777777" w:rsidR="00B9662D" w:rsidRPr="00E9210E" w:rsidRDefault="00B9662D" w:rsidP="00B9662D">
      <w:pPr>
        <w:spacing w:before="120" w:after="120"/>
        <w:jc w:val="both"/>
      </w:pPr>
      <w:r w:rsidRPr="00E9210E">
        <w:t>« </w:t>
      </w:r>
      <w:r w:rsidRPr="00E9210E">
        <w:rPr>
          <w:b/>
        </w:rPr>
        <w:t>Sur le passé de la noblesse française : quelques jalons de r</w:t>
      </w:r>
      <w:r w:rsidRPr="00E9210E">
        <w:rPr>
          <w:b/>
        </w:rPr>
        <w:t>e</w:t>
      </w:r>
      <w:r w:rsidRPr="00E9210E">
        <w:rPr>
          <w:b/>
        </w:rPr>
        <w:t>cherche </w:t>
      </w:r>
      <w:r w:rsidRPr="00E9210E">
        <w:t xml:space="preserve">», </w:t>
      </w:r>
      <w:r w:rsidRPr="00E9210E">
        <w:rPr>
          <w:rStyle w:val="Corpsdutexte8NonGrasItaliquechelle100"/>
          <w:rFonts w:eastAsia="Courier New"/>
          <w:b w:val="0"/>
          <w:bCs w:val="0"/>
          <w:sz w:val="28"/>
        </w:rPr>
        <w:t xml:space="preserve">A.H.E.S., </w:t>
      </w:r>
      <w:r w:rsidRPr="00E9210E">
        <w:rPr>
          <w:rStyle w:val="Corpsdutexte885ptNonGraschelle100"/>
          <w:rFonts w:eastAsia="Courier New"/>
          <w:b w:val="0"/>
          <w:bCs w:val="0"/>
          <w:sz w:val="28"/>
        </w:rPr>
        <w:t>t. VIII (1936), pp. 366-378.</w:t>
      </w:r>
    </w:p>
    <w:p w14:paraId="4AA95C36"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Pour mieux connaître les campagnes françaises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A.H.E.S.,</w:t>
      </w:r>
      <w:r w:rsidRPr="00E9210E">
        <w:rPr>
          <w:rStyle w:val="Corpsdutexte885ptNonGraschelle100"/>
          <w:rFonts w:eastAsia="Courier New"/>
          <w:b w:val="0"/>
          <w:bCs w:val="0"/>
          <w:sz w:val="28"/>
        </w:rPr>
        <w:t xml:space="preserve"> t. VIII (1936), p. 381.</w:t>
      </w:r>
    </w:p>
    <w:p w14:paraId="5E435B5B" w14:textId="77777777" w:rsidR="00B9662D" w:rsidRPr="00E9210E" w:rsidRDefault="00B9662D" w:rsidP="00B9662D">
      <w:pPr>
        <w:spacing w:before="120" w:after="120"/>
        <w:jc w:val="both"/>
      </w:pPr>
      <w:r w:rsidRPr="00E9210E">
        <w:t xml:space="preserve">Une introduction </w:t>
      </w:r>
      <w:r w:rsidRPr="00E9210E">
        <w:rPr>
          <w:rStyle w:val="Corpsdutexte27ptGras"/>
          <w:rFonts w:eastAsia="Courier New"/>
          <w:sz w:val="28"/>
        </w:rPr>
        <w:t xml:space="preserve">à </w:t>
      </w:r>
      <w:r w:rsidRPr="00E9210E">
        <w:t>la recherche historique. (Compte rendu : P. </w:t>
      </w:r>
      <w:r w:rsidRPr="00E9210E">
        <w:rPr>
          <w:rStyle w:val="Corpsdutexte27ptGras"/>
          <w:rFonts w:eastAsia="Courier New"/>
          <w:b w:val="0"/>
          <w:smallCaps/>
          <w:sz w:val="28"/>
        </w:rPr>
        <w:t>Harsin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Comment on écrit l’histoire</w:t>
      </w:r>
      <w:r w:rsidRPr="00E9210E">
        <w:rPr>
          <w:rFonts w:eastAsia="Courier New"/>
        </w:rPr>
        <w:t>,</w:t>
      </w:r>
      <w:r w:rsidRPr="00E9210E">
        <w:t xml:space="preserve"> Paris, 1935), « A.H.E.S. », t. VIII (1936), pp. 51-52.</w:t>
      </w:r>
    </w:p>
    <w:p w14:paraId="5914A6CC" w14:textId="77777777" w:rsidR="00B9662D" w:rsidRPr="00E9210E" w:rsidRDefault="00B9662D" w:rsidP="00B9662D">
      <w:pPr>
        <w:spacing w:before="120" w:after="120"/>
        <w:jc w:val="both"/>
      </w:pPr>
      <w:r w:rsidRPr="00E9210E">
        <w:t xml:space="preserve">La bibliographie internationale des sciences historiques. (Compte rendu : </w:t>
      </w:r>
      <w:r w:rsidRPr="00E9210E">
        <w:rPr>
          <w:rStyle w:val="Corpsdutexte28ptItalique"/>
          <w:rFonts w:eastAsia="Courier New"/>
          <w:sz w:val="28"/>
        </w:rPr>
        <w:t>International bibliography of historical sciences</w:t>
      </w:r>
      <w:r w:rsidRPr="00E9210E">
        <w:rPr>
          <w:rFonts w:eastAsia="Courier New"/>
        </w:rPr>
        <w:t xml:space="preserve">, </w:t>
      </w:r>
      <w:r w:rsidRPr="00E9210E">
        <w:rPr>
          <w:rStyle w:val="Corpsdutexte28ptItalique"/>
          <w:rFonts w:eastAsia="Courier New"/>
          <w:sz w:val="28"/>
        </w:rPr>
        <w:t>Eighth year, 1933</w:t>
      </w:r>
      <w:r w:rsidRPr="00E9210E">
        <w:t>, Paris, 1935), « A.H.E.S. », t. VIII (1936), p. 53.</w:t>
      </w:r>
    </w:p>
    <w:p w14:paraId="084FB9CD" w14:textId="77777777" w:rsidR="00B9662D" w:rsidRPr="00E9210E" w:rsidRDefault="00B9662D" w:rsidP="00B9662D">
      <w:pPr>
        <w:spacing w:before="120" w:after="120"/>
        <w:jc w:val="both"/>
      </w:pPr>
      <w:r w:rsidRPr="00E9210E">
        <w:t xml:space="preserve">Les communautés de l’Artois : un recueil documentaire. (Compte rendu : </w:t>
      </w:r>
      <w:r w:rsidRPr="00E9210E">
        <w:rPr>
          <w:rStyle w:val="Corpsdutexte28ptItalique"/>
          <w:rFonts w:eastAsia="Courier New"/>
          <w:sz w:val="28"/>
        </w:rPr>
        <w:t>Recueil de documents relatifs à l’histoire du droit municipal en France des origines à la Révolution.</w:t>
      </w:r>
      <w:r w:rsidRPr="00E9210E">
        <w:rPr>
          <w:rStyle w:val="Corpsdutexte28ptGraschelle120"/>
          <w:rFonts w:eastAsia="Courier New"/>
          <w:sz w:val="28"/>
        </w:rPr>
        <w:t xml:space="preserve"> </w:t>
      </w:r>
      <w:r w:rsidRPr="00E9210E">
        <w:t xml:space="preserve">Vol. I </w:t>
      </w:r>
      <w:r w:rsidRPr="00E9210E">
        <w:rPr>
          <w:rStyle w:val="Corpsdutexte28ptItalique"/>
          <w:rFonts w:eastAsia="Courier New"/>
          <w:sz w:val="28"/>
        </w:rPr>
        <w:t>(Artois),</w:t>
      </w:r>
      <w:r w:rsidRPr="00E9210E">
        <w:rPr>
          <w:rStyle w:val="Corpsdutexte28ptGraschelle120"/>
          <w:rFonts w:eastAsia="Courier New"/>
          <w:sz w:val="28"/>
        </w:rPr>
        <w:t xml:space="preserve"> </w:t>
      </w:r>
      <w:r w:rsidRPr="00E9210E">
        <w:t>par G. </w:t>
      </w:r>
      <w:r w:rsidRPr="00E9210E">
        <w:rPr>
          <w:rStyle w:val="Corpsdutexte27ptGras"/>
          <w:rFonts w:eastAsia="Courier New"/>
          <w:b w:val="0"/>
          <w:smallCaps/>
          <w:sz w:val="28"/>
        </w:rPr>
        <w:t>Espinas</w:t>
      </w:r>
      <w:r w:rsidRPr="00E9210E">
        <w:rPr>
          <w:rStyle w:val="Corpsdutexte27ptGras"/>
          <w:rFonts w:eastAsia="Courier New"/>
          <w:b w:val="0"/>
          <w:sz w:val="28"/>
        </w:rPr>
        <w:t>,</w:t>
      </w:r>
      <w:r w:rsidRPr="00E9210E">
        <w:rPr>
          <w:rStyle w:val="Corpsdutexte27ptGras"/>
          <w:rFonts w:eastAsia="Courier New"/>
          <w:sz w:val="28"/>
        </w:rPr>
        <w:t xml:space="preserve"> </w:t>
      </w:r>
      <w:r w:rsidRPr="00E9210E">
        <w:t>Paris, 1934), « A.H.E.S. », t. VIII (1936), pp. 84-86.</w:t>
      </w:r>
    </w:p>
    <w:p w14:paraId="7597B134" w14:textId="77777777" w:rsidR="00B9662D" w:rsidRPr="00E9210E" w:rsidRDefault="00B9662D" w:rsidP="00B9662D">
      <w:pPr>
        <w:spacing w:before="120" w:after="120"/>
        <w:jc w:val="both"/>
      </w:pPr>
      <w:r w:rsidRPr="00E9210E">
        <w:t xml:space="preserve">Urbanisme médiéval. (Compte rendu : T. F. </w:t>
      </w:r>
      <w:r w:rsidRPr="00E9210E">
        <w:rPr>
          <w:rStyle w:val="Corpsdutexte27ptGras"/>
          <w:rFonts w:eastAsia="Courier New"/>
          <w:b w:val="0"/>
          <w:smallCaps/>
          <w:sz w:val="28"/>
        </w:rPr>
        <w:t>Tout</w:t>
      </w:r>
      <w:r w:rsidRPr="00E9210E">
        <w:rPr>
          <w:rStyle w:val="Corpsdutexte27ptGras"/>
          <w:rFonts w:eastAsia="Courier New"/>
          <w:b w:val="0"/>
          <w:sz w:val="28"/>
        </w:rPr>
        <w:t xml:space="preserve">, </w:t>
      </w:r>
      <w:r w:rsidRPr="00E9210E">
        <w:rPr>
          <w:rStyle w:val="Corpsdutexte28ptItalique"/>
          <w:rFonts w:eastAsia="Courier New"/>
          <w:sz w:val="28"/>
        </w:rPr>
        <w:t>Mediaeval town planning,</w:t>
      </w:r>
      <w:r w:rsidRPr="00E9210E">
        <w:rPr>
          <w:rStyle w:val="Corpsdutexte28ptGraschelle120"/>
          <w:rFonts w:eastAsia="Courier New"/>
          <w:sz w:val="28"/>
        </w:rPr>
        <w:t xml:space="preserve"> </w:t>
      </w:r>
      <w:r w:rsidRPr="00E9210E">
        <w:t>Manchester, 1934), « A.H.E.S. », t. VIII (1936), p. 86.</w:t>
      </w:r>
    </w:p>
    <w:p w14:paraId="57761FE2" w14:textId="77777777" w:rsidR="00B9662D" w:rsidRPr="00E9210E" w:rsidRDefault="00B9662D" w:rsidP="00B9662D">
      <w:pPr>
        <w:spacing w:before="120" w:after="120"/>
        <w:jc w:val="both"/>
      </w:pPr>
      <w:r w:rsidRPr="00E9210E">
        <w:t xml:space="preserve">A Mulhouse : libertés urbaines et structure de la société. (Compte rendu : M. </w:t>
      </w:r>
      <w:r w:rsidRPr="00E9210E">
        <w:rPr>
          <w:rStyle w:val="Corpsdutexte27ptGras"/>
          <w:rFonts w:eastAsia="Courier New"/>
          <w:b w:val="0"/>
          <w:smallCaps/>
          <w:sz w:val="28"/>
        </w:rPr>
        <w:t>Moeder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La genèse d’une ville impériale ; études sur l’histoire de Mulhouse aux </w:t>
      </w:r>
      <w:r w:rsidRPr="00E9210E">
        <w:rPr>
          <w:rStyle w:val="Corpsdutexte28ptItaliqueEspacement1pt"/>
          <w:rFonts w:eastAsia="Courier New"/>
          <w:sz w:val="28"/>
        </w:rPr>
        <w:t>XII</w:t>
      </w:r>
      <w:r w:rsidRPr="00E9210E">
        <w:rPr>
          <w:rStyle w:val="Corpsdutexte28ptItaliqueEspacement1pt"/>
          <w:rFonts w:eastAsia="Courier New"/>
          <w:sz w:val="28"/>
          <w:vertAlign w:val="superscript"/>
        </w:rPr>
        <w:t>e</w:t>
      </w:r>
      <w:r w:rsidRPr="00E9210E">
        <w:rPr>
          <w:rStyle w:val="Corpsdutexte28ptItaliqueEspacement1pt"/>
          <w:rFonts w:eastAsia="Courier New"/>
          <w:sz w:val="28"/>
        </w:rPr>
        <w:t xml:space="preserve"> et 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siècles,</w:t>
      </w:r>
      <w:r w:rsidRPr="00E9210E">
        <w:rPr>
          <w:rStyle w:val="Corpsdutexte28ptGraschelle120"/>
          <w:rFonts w:eastAsia="Courier New"/>
          <w:sz w:val="28"/>
        </w:rPr>
        <w:t xml:space="preserve"> </w:t>
      </w:r>
      <w:r w:rsidRPr="00E9210E">
        <w:t xml:space="preserve">III, dans </w:t>
      </w:r>
      <w:r w:rsidRPr="00E9210E">
        <w:rPr>
          <w:rStyle w:val="Corpsdutexte28ptItalique"/>
          <w:rFonts w:eastAsia="Courier New"/>
          <w:sz w:val="28"/>
        </w:rPr>
        <w:t>Bull, du Musée historique de Mulhouse,</w:t>
      </w:r>
      <w:r w:rsidRPr="00E9210E">
        <w:rPr>
          <w:rStyle w:val="Corpsdutexte28ptGraschelle120"/>
          <w:rFonts w:eastAsia="Courier New"/>
          <w:sz w:val="28"/>
        </w:rPr>
        <w:t xml:space="preserve"> </w:t>
      </w:r>
      <w:r w:rsidRPr="00E9210E">
        <w:t>t. LIV (1934), pp. 23-90), « A.H.E.S. », t. VIII (1936), pp. 86-87.</w:t>
      </w:r>
    </w:p>
    <w:p w14:paraId="69B2150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ville, une bourgeoisie. (Compte rendu : J. </w:t>
      </w:r>
      <w:r w:rsidRPr="00E9210E">
        <w:rPr>
          <w:rStyle w:val="Corpsdutexte37ptGrasNonItalique"/>
          <w:rFonts w:eastAsia="Courier New"/>
          <w:b w:val="0"/>
          <w:i w:val="0"/>
          <w:iCs w:val="0"/>
          <w:smallCaps/>
          <w:sz w:val="28"/>
        </w:rPr>
        <w:t>Célérier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conditions géographiques du développement de Fès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Hesperis :</w:t>
      </w:r>
      <w:r w:rsidRPr="00E9210E">
        <w:rPr>
          <w:rFonts w:eastAsia="Courier New"/>
          <w:i/>
        </w:rPr>
        <w:t xml:space="preserve"> </w:t>
      </w:r>
      <w:r w:rsidRPr="00E9210E">
        <w:rPr>
          <w:i/>
        </w:rPr>
        <w:t>Archives berbères et Bull, de l’Institut des Hautes Études Marocaines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XIX (1934), 19 p.), « A.H.E.S. », t. VIII (1936), pp. 91-92.</w:t>
      </w:r>
    </w:p>
    <w:p w14:paraId="6FDD1437" w14:textId="77777777" w:rsidR="00B9662D" w:rsidRPr="00E9210E" w:rsidRDefault="00B9662D" w:rsidP="00B9662D">
      <w:pPr>
        <w:spacing w:before="120" w:after="120"/>
        <w:jc w:val="both"/>
      </w:pPr>
      <w:r w:rsidRPr="00E9210E">
        <w:t xml:space="preserve">D’un portrait et de quelques retouches. (Compte rendu : R. </w:t>
      </w:r>
      <w:r w:rsidRPr="00E9210E">
        <w:rPr>
          <w:rStyle w:val="Corpsdutexte27ptGras"/>
          <w:rFonts w:eastAsia="Courier New"/>
          <w:b w:val="0"/>
          <w:smallCaps/>
          <w:sz w:val="28"/>
        </w:rPr>
        <w:t>Wahl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Karl der Grosse :</w:t>
      </w:r>
      <w:r w:rsidRPr="00E9210E">
        <w:rPr>
          <w:rFonts w:eastAsia="Courier New"/>
        </w:rPr>
        <w:t xml:space="preserve"> </w:t>
      </w:r>
      <w:r w:rsidRPr="00E9210E">
        <w:rPr>
          <w:rStyle w:val="Corpsdutexte28ptItalique"/>
          <w:rFonts w:eastAsia="Courier New"/>
          <w:sz w:val="28"/>
        </w:rPr>
        <w:t>eine Historie,</w:t>
      </w:r>
      <w:r w:rsidRPr="00E9210E">
        <w:rPr>
          <w:rStyle w:val="Corpsdutexte28ptGraschelle120"/>
          <w:rFonts w:eastAsia="Courier New"/>
          <w:sz w:val="28"/>
        </w:rPr>
        <w:t xml:space="preserve"> </w:t>
      </w:r>
      <w:r w:rsidRPr="00E9210E">
        <w:t>Berlin, 1934), « A.H.E.S. », t. VIII (1936), p. 92.</w:t>
      </w:r>
    </w:p>
    <w:p w14:paraId="0F5D730D" w14:textId="77777777" w:rsidR="00B9662D" w:rsidRPr="00E9210E" w:rsidRDefault="00B9662D" w:rsidP="00B9662D">
      <w:pPr>
        <w:spacing w:before="120" w:after="120"/>
        <w:jc w:val="both"/>
      </w:pPr>
      <w:r w:rsidRPr="00E9210E">
        <w:t xml:space="preserve">Chartes médiévales. (Compte rendu : G. </w:t>
      </w:r>
      <w:r w:rsidRPr="00E9210E">
        <w:rPr>
          <w:rStyle w:val="Corpsdutexte27ptGras"/>
          <w:rFonts w:eastAsia="Courier New"/>
          <w:b w:val="0"/>
          <w:smallCaps/>
          <w:sz w:val="28"/>
        </w:rPr>
        <w:t>Thomas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Cartulaire des comtes de la Marche et d’Angoulême,</w:t>
      </w:r>
      <w:r w:rsidRPr="00E9210E">
        <w:rPr>
          <w:rStyle w:val="Corpsdutexte28ptGraschelle120"/>
          <w:rFonts w:eastAsia="Courier New"/>
          <w:sz w:val="28"/>
        </w:rPr>
        <w:t xml:space="preserve"> </w:t>
      </w:r>
      <w:r w:rsidRPr="00E9210E">
        <w:t>Angoulême, 1934), « A.H.E.S. », t. VIII (1936), p. 93.</w:t>
      </w:r>
    </w:p>
    <w:p w14:paraId="0F1370F3" w14:textId="77777777" w:rsidR="00B9662D" w:rsidRPr="00E9210E" w:rsidRDefault="00B9662D" w:rsidP="00B9662D">
      <w:pPr>
        <w:spacing w:before="120" w:after="120"/>
        <w:jc w:val="both"/>
      </w:pPr>
      <w:r w:rsidRPr="00E9210E">
        <w:t xml:space="preserve">Un budget d’abbaye. (Compte rendu : </w:t>
      </w:r>
      <w:r w:rsidRPr="00E9210E">
        <w:rPr>
          <w:rStyle w:val="Corpsdutexte27ptGras"/>
          <w:rFonts w:eastAsia="Courier New"/>
          <w:b w:val="0"/>
          <w:sz w:val="28"/>
        </w:rPr>
        <w:t xml:space="preserve">J. </w:t>
      </w:r>
      <w:r w:rsidRPr="00E9210E">
        <w:rPr>
          <w:rStyle w:val="Corpsdutexte27ptGras"/>
          <w:rFonts w:eastAsia="Courier New"/>
          <w:b w:val="0"/>
          <w:smallCaps/>
          <w:sz w:val="28"/>
        </w:rPr>
        <w:t>Donat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Une abbaye ci</w:t>
      </w:r>
      <w:r w:rsidRPr="00E9210E">
        <w:rPr>
          <w:rStyle w:val="Corpsdutexte28ptItalique"/>
          <w:rFonts w:eastAsia="Courier New"/>
          <w:sz w:val="28"/>
        </w:rPr>
        <w:t>s</w:t>
      </w:r>
      <w:r w:rsidRPr="00E9210E">
        <w:rPr>
          <w:rStyle w:val="Corpsdutexte28ptItalique"/>
          <w:rFonts w:eastAsia="Courier New"/>
          <w:sz w:val="28"/>
        </w:rPr>
        <w:t xml:space="preserve">tercienne et son budget au </w:t>
      </w:r>
      <w:r w:rsidRPr="00E9210E">
        <w:rPr>
          <w:rStyle w:val="Corpsdutexte28ptItaliqueEspacement1pt"/>
          <w:rFonts w:eastAsia="Courier New"/>
          <w:sz w:val="28"/>
        </w:rPr>
        <w:t>XVIII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Ann. du Midi,</w:t>
      </w:r>
      <w:r w:rsidRPr="00E9210E">
        <w:rPr>
          <w:rStyle w:val="Corpsdutexte28ptGraschelle120"/>
          <w:rFonts w:eastAsia="Courier New"/>
          <w:sz w:val="28"/>
        </w:rPr>
        <w:t xml:space="preserve"> </w:t>
      </w:r>
      <w:r w:rsidRPr="00E9210E">
        <w:t>t. XLV (1933), pp. 262-303 et 373-399 et t. XLVI (1934), pp. 5-36 et 219-255), « A.H.E.S. », t. VIII (1936), p. 94.</w:t>
      </w:r>
    </w:p>
    <w:p w14:paraId="77E0C8BB"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 signification du chevage. (Compte rendu : J. </w:t>
      </w:r>
      <w:r w:rsidRPr="00E9210E">
        <w:rPr>
          <w:rStyle w:val="Corpsdutexte37ptGrasNonItalique"/>
          <w:rFonts w:eastAsia="Courier New"/>
          <w:b w:val="0"/>
          <w:i w:val="0"/>
          <w:iCs w:val="0"/>
          <w:smallCaps/>
          <w:sz w:val="28"/>
        </w:rPr>
        <w:t>Massiet du Biest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La condition personnelle des habitants d’Arras aux XI</w:t>
      </w:r>
      <w:r w:rsidRPr="00E9210E">
        <w:rPr>
          <w:i/>
          <w:vertAlign w:val="superscript"/>
        </w:rPr>
        <w:t>e</w:t>
      </w:r>
      <w:r w:rsidRPr="00E9210E">
        <w:rPr>
          <w:i/>
        </w:rPr>
        <w:t xml:space="preserve"> et </w:t>
      </w:r>
      <w:r w:rsidRPr="00E9210E">
        <w:rPr>
          <w:rFonts w:eastAsia="Courier New"/>
          <w:i/>
        </w:rPr>
        <w:t>XII</w:t>
      </w:r>
      <w:r w:rsidRPr="00E9210E">
        <w:rPr>
          <w:rFonts w:eastAsia="Courier New"/>
          <w:i/>
          <w:vertAlign w:val="superscript"/>
        </w:rPr>
        <w:t>e</w:t>
      </w:r>
      <w:r w:rsidRPr="00E9210E">
        <w:rPr>
          <w:i/>
        </w:rPr>
        <w:t xml:space="preserve"> siècles, leur exemption du droit de tonlieu et la politique des comtes de Fla</w:t>
      </w:r>
      <w:r w:rsidRPr="00E9210E">
        <w:rPr>
          <w:i/>
        </w:rPr>
        <w:t>n</w:t>
      </w:r>
      <w:r w:rsidRPr="00E9210E">
        <w:rPr>
          <w:i/>
        </w:rPr>
        <w:t>dre dans cette ville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Fédération archéologique et historique de Belgique, Annales du congrès d’Anvers, 1930</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[1931], pp. 257-282), « A.H.E.S. », t. VIII (1936), p. 94.</w:t>
      </w:r>
    </w:p>
    <w:p w14:paraId="05819F74" w14:textId="77777777" w:rsidR="00B9662D" w:rsidRPr="00E9210E" w:rsidRDefault="00B9662D" w:rsidP="00B9662D">
      <w:pPr>
        <w:spacing w:before="120" w:after="120"/>
        <w:jc w:val="both"/>
      </w:pPr>
      <w:r w:rsidRPr="00E9210E">
        <w:t xml:space="preserve">Vendettas. (Compte rendu : J. </w:t>
      </w:r>
      <w:r w:rsidRPr="00E9210E">
        <w:rPr>
          <w:rStyle w:val="Corpsdutexte27ptGras"/>
          <w:rFonts w:eastAsia="Courier New"/>
          <w:b w:val="0"/>
          <w:smallCaps/>
          <w:sz w:val="28"/>
        </w:rPr>
        <w:t>Yver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solidarité familiale en m</w:t>
      </w:r>
      <w:r w:rsidRPr="00E9210E">
        <w:rPr>
          <w:rStyle w:val="Corpsdutexte28ptItalique"/>
          <w:rFonts w:eastAsia="Courier New"/>
          <w:sz w:val="28"/>
        </w:rPr>
        <w:t>a</w:t>
      </w:r>
      <w:r w:rsidRPr="00E9210E">
        <w:rPr>
          <w:rStyle w:val="Corpsdutexte28ptItalique"/>
          <w:rFonts w:eastAsia="Courier New"/>
          <w:sz w:val="28"/>
        </w:rPr>
        <w:t>tière criminelle dans l’ancien droit normand,</w:t>
      </w:r>
      <w:r w:rsidRPr="00E9210E">
        <w:rPr>
          <w:rStyle w:val="Corpsdutexte28ptGraschelle120"/>
          <w:rFonts w:eastAsia="Courier New"/>
          <w:sz w:val="28"/>
        </w:rPr>
        <w:t xml:space="preserve"> </w:t>
      </w:r>
      <w:r w:rsidRPr="00E9210E">
        <w:t xml:space="preserve">extr. de </w:t>
      </w:r>
      <w:r w:rsidRPr="00E9210E">
        <w:rPr>
          <w:rStyle w:val="Corpsdutexte28ptItalique"/>
          <w:rFonts w:eastAsia="Courier New"/>
          <w:sz w:val="28"/>
        </w:rPr>
        <w:t>Normannia</w:t>
      </w:r>
      <w:r w:rsidRPr="00E9210E">
        <w:rPr>
          <w:rFonts w:eastAsia="Courier New"/>
        </w:rPr>
        <w:t>,</w:t>
      </w:r>
      <w:r w:rsidRPr="00E9210E">
        <w:t xml:space="preserve"> 1934), « A.H.E.S. », t. VIII (1936), p. 95.</w:t>
      </w:r>
    </w:p>
    <w:p w14:paraId="58CEDFCF" w14:textId="77777777" w:rsidR="00B9662D" w:rsidRPr="00E9210E" w:rsidRDefault="00B9662D" w:rsidP="00B9662D">
      <w:pPr>
        <w:spacing w:before="120" w:after="120"/>
        <w:jc w:val="both"/>
      </w:pPr>
      <w:r w:rsidRPr="00E9210E">
        <w:t xml:space="preserve">Un duc de Bretagne. (Compte rendu : J. </w:t>
      </w:r>
      <w:r w:rsidRPr="00E9210E">
        <w:rPr>
          <w:rStyle w:val="Corpsdutexte27ptGras"/>
          <w:rFonts w:eastAsia="Courier New"/>
          <w:b w:val="0"/>
          <w:smallCaps/>
          <w:sz w:val="28"/>
        </w:rPr>
        <w:t>Levron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Pierre Mauclerc, duc de Bretagne</w:t>
      </w:r>
      <w:r w:rsidRPr="00E9210E">
        <w:rPr>
          <w:rStyle w:val="Corpsdutexte28ptGraschelle120"/>
          <w:rFonts w:eastAsia="Courier New"/>
          <w:sz w:val="28"/>
        </w:rPr>
        <w:t xml:space="preserve">, </w:t>
      </w:r>
      <w:r w:rsidRPr="00E9210E">
        <w:t>Paris, 1935), « A.H.E.S. », t. VIII (1936), p. 95.</w:t>
      </w:r>
    </w:p>
    <w:p w14:paraId="136CEAA8" w14:textId="77777777" w:rsidR="00B9662D" w:rsidRPr="00E9210E" w:rsidRDefault="00B9662D" w:rsidP="00B9662D">
      <w:pPr>
        <w:spacing w:before="120" w:after="120"/>
        <w:jc w:val="both"/>
      </w:pPr>
      <w:r w:rsidRPr="00E9210E">
        <w:t>Les pouvoirs d’un prince territorial au XIII</w:t>
      </w:r>
      <w:r w:rsidRPr="00E9210E">
        <w:rPr>
          <w:rStyle w:val="Corpsdutexte27ptGras"/>
          <w:rFonts w:eastAsia="Courier New"/>
          <w:sz w:val="28"/>
          <w:vertAlign w:val="superscript"/>
        </w:rPr>
        <w:t>e</w:t>
      </w:r>
      <w:r w:rsidRPr="00E9210E">
        <w:rPr>
          <w:rStyle w:val="Corpsdutexte27ptGras"/>
          <w:rFonts w:eastAsia="Courier New"/>
          <w:sz w:val="28"/>
        </w:rPr>
        <w:t xml:space="preserve"> </w:t>
      </w:r>
      <w:r w:rsidRPr="00E9210E">
        <w:t>siècle. (Compte re</w:t>
      </w:r>
      <w:r w:rsidRPr="00E9210E">
        <w:t>n</w:t>
      </w:r>
      <w:r w:rsidRPr="00E9210E">
        <w:t xml:space="preserve">du : P. </w:t>
      </w:r>
      <w:r w:rsidRPr="00E9210E">
        <w:rPr>
          <w:rStyle w:val="Corpsdutexte27ptGras"/>
          <w:rFonts w:eastAsia="Courier New"/>
          <w:b w:val="0"/>
          <w:smallCaps/>
          <w:sz w:val="28"/>
        </w:rPr>
        <w:t>Thomas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pouvoirs du comte de Flandre en 1318-1324,</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du Nord,</w:t>
      </w:r>
      <w:r w:rsidRPr="00E9210E">
        <w:rPr>
          <w:rStyle w:val="Corpsdutexte28ptGraschelle120"/>
          <w:rFonts w:eastAsia="Courier New"/>
          <w:sz w:val="28"/>
        </w:rPr>
        <w:t xml:space="preserve"> </w:t>
      </w:r>
      <w:r w:rsidRPr="00E9210E">
        <w:t>août 1935), « A.H.E.S. », t. VIII (1936), p. 96.</w:t>
      </w:r>
    </w:p>
    <w:p w14:paraId="5472FC6E" w14:textId="77777777" w:rsidR="00B9662D" w:rsidRPr="00E9210E" w:rsidRDefault="00B9662D" w:rsidP="00B9662D">
      <w:pPr>
        <w:spacing w:before="120" w:after="120"/>
        <w:jc w:val="both"/>
      </w:pPr>
      <w:r w:rsidRPr="00E9210E">
        <w:t xml:space="preserve">L’évolution rurale d’un « cercle » silésien. (Compte rendu : Fr. </w:t>
      </w:r>
      <w:r w:rsidRPr="00E9210E">
        <w:rPr>
          <w:rStyle w:val="Corpsdutexte27ptGras"/>
          <w:rFonts w:eastAsia="Courier New"/>
          <w:b w:val="0"/>
          <w:smallCaps/>
          <w:sz w:val="28"/>
        </w:rPr>
        <w:t>Stu</w:t>
      </w:r>
      <w:r w:rsidRPr="00E9210E">
        <w:rPr>
          <w:rStyle w:val="Corpsdutexte27ptGras"/>
          <w:rFonts w:eastAsia="Courier New"/>
          <w:b w:val="0"/>
          <w:smallCaps/>
          <w:sz w:val="28"/>
        </w:rPr>
        <w:t>m</w:t>
      </w:r>
      <w:r w:rsidRPr="00E9210E">
        <w:rPr>
          <w:rStyle w:val="Corpsdutexte27ptGras"/>
          <w:rFonts w:eastAsia="Courier New"/>
          <w:b w:val="0"/>
          <w:smallCaps/>
          <w:sz w:val="28"/>
        </w:rPr>
        <w:t>pe</w:t>
      </w:r>
      <w:r w:rsidRPr="00E9210E">
        <w:rPr>
          <w:rStyle w:val="Corpsdutexte27ptGras"/>
          <w:rFonts w:eastAsia="Courier New"/>
          <w:sz w:val="28"/>
        </w:rPr>
        <w:t xml:space="preserve"> </w:t>
      </w:r>
      <w:r w:rsidRPr="00E9210E">
        <w:t xml:space="preserve">et W. </w:t>
      </w:r>
      <w:r w:rsidRPr="00E9210E">
        <w:rPr>
          <w:rStyle w:val="Corpsdutexte27ptGras"/>
          <w:rFonts w:eastAsia="Courier New"/>
          <w:b w:val="0"/>
          <w:smallCaps/>
          <w:sz w:val="28"/>
        </w:rPr>
        <w:t>Krause</w:t>
      </w:r>
      <w:r w:rsidRPr="00E9210E">
        <w:rPr>
          <w:rStyle w:val="Corpsdutexte27ptGras"/>
          <w:rFonts w:eastAsia="Courier New"/>
          <w:sz w:val="28"/>
        </w:rPr>
        <w:t xml:space="preserve">, </w:t>
      </w:r>
      <w:r w:rsidRPr="00E9210E">
        <w:rPr>
          <w:rStyle w:val="Corpsdutexte28ptItalique"/>
          <w:rFonts w:eastAsia="Courier New"/>
          <w:sz w:val="28"/>
        </w:rPr>
        <w:t>Der Gang der Besiedlung im Kreise Oppeln,</w:t>
      </w:r>
      <w:r w:rsidRPr="00E9210E">
        <w:rPr>
          <w:rStyle w:val="Corpsdutexte28ptGraschelle120"/>
          <w:rFonts w:eastAsia="Courier New"/>
          <w:sz w:val="28"/>
        </w:rPr>
        <w:t xml:space="preserve"> </w:t>
      </w:r>
      <w:r w:rsidRPr="00E9210E">
        <w:t>Breslau, 1932), « A.H.E.S. », t. VIII (1936), pp. 97-98.</w:t>
      </w:r>
    </w:p>
    <w:p w14:paraId="5A4AFA26" w14:textId="77777777" w:rsidR="00B9662D" w:rsidRPr="00E9210E" w:rsidRDefault="00B9662D" w:rsidP="00B9662D">
      <w:pPr>
        <w:spacing w:before="120" w:after="120"/>
        <w:jc w:val="both"/>
      </w:pPr>
      <w:r w:rsidRPr="00E9210E">
        <w:t>[1077]</w:t>
      </w:r>
    </w:p>
    <w:p w14:paraId="096B7D1E" w14:textId="77777777" w:rsidR="00B9662D" w:rsidRPr="00E9210E" w:rsidRDefault="00B9662D" w:rsidP="00B9662D">
      <w:pPr>
        <w:spacing w:before="120" w:after="120"/>
        <w:jc w:val="both"/>
      </w:pPr>
      <w:r w:rsidRPr="00E9210E">
        <w:t xml:space="preserve">Sur les rives de la Mer Noire. (Compte rendu : G. </w:t>
      </w:r>
      <w:r w:rsidRPr="00E9210E">
        <w:rPr>
          <w:rStyle w:val="Corpsdutexte27ptGras"/>
          <w:rFonts w:eastAsia="Courier New"/>
          <w:b w:val="0"/>
          <w:sz w:val="28"/>
        </w:rPr>
        <w:t xml:space="preserve">I. </w:t>
      </w:r>
      <w:r w:rsidRPr="00E9210E">
        <w:rPr>
          <w:rStyle w:val="Corpsdutexte27ptGras"/>
          <w:rFonts w:eastAsia="Courier New"/>
          <w:b w:val="0"/>
          <w:smallCaps/>
          <w:sz w:val="28"/>
        </w:rPr>
        <w:t>Bratianu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Recherches sur</w:t>
      </w:r>
      <w:r w:rsidRPr="00E9210E">
        <w:rPr>
          <w:rStyle w:val="Corpsdutexte28ptGraschelle120"/>
          <w:rFonts w:eastAsia="Courier New"/>
          <w:sz w:val="28"/>
        </w:rPr>
        <w:t xml:space="preserve"> </w:t>
      </w:r>
      <w:r w:rsidRPr="00E9210E">
        <w:t>« </w:t>
      </w:r>
      <w:r w:rsidRPr="00E9210E">
        <w:rPr>
          <w:rStyle w:val="Corpsdutexte28ptItalique"/>
          <w:rFonts w:eastAsia="Courier New"/>
          <w:sz w:val="28"/>
        </w:rPr>
        <w:t>Vicina</w:t>
      </w:r>
      <w:r w:rsidRPr="00E9210E">
        <w:rPr>
          <w:rStyle w:val="Corpsdutexte28ptGraschelle120"/>
          <w:rFonts w:eastAsia="Courier New"/>
          <w:sz w:val="28"/>
        </w:rPr>
        <w:t> »</w:t>
      </w:r>
      <w:r w:rsidRPr="00E9210E">
        <w:t xml:space="preserve"> </w:t>
      </w:r>
      <w:r w:rsidRPr="00E9210E">
        <w:rPr>
          <w:rStyle w:val="Corpsdutexte28ptItalique"/>
          <w:rFonts w:eastAsia="Courier New"/>
          <w:sz w:val="28"/>
        </w:rPr>
        <w:t>et</w:t>
      </w:r>
      <w:r w:rsidRPr="00E9210E">
        <w:rPr>
          <w:rStyle w:val="Corpsdutexte28ptGraschelle120"/>
          <w:rFonts w:eastAsia="Courier New"/>
          <w:sz w:val="28"/>
        </w:rPr>
        <w:t xml:space="preserve"> </w:t>
      </w:r>
      <w:r w:rsidRPr="00E9210E">
        <w:t>« </w:t>
      </w:r>
      <w:r w:rsidRPr="00E9210E">
        <w:rPr>
          <w:rStyle w:val="Corpsdutexte28ptItalique"/>
          <w:rFonts w:eastAsia="Courier New"/>
          <w:sz w:val="28"/>
        </w:rPr>
        <w:t>Cetatea Alba</w:t>
      </w:r>
      <w:r w:rsidRPr="00E9210E">
        <w:rPr>
          <w:rStyle w:val="Corpsdutexte28ptGraschelle120"/>
          <w:rFonts w:eastAsia="Courier New"/>
          <w:sz w:val="28"/>
        </w:rPr>
        <w:t> »</w:t>
      </w:r>
      <w:r w:rsidRPr="00E9210E">
        <w:t>, Bucarest, 1935), « A.H.E.S. », t. VIII (1936), pp. 107-108.</w:t>
      </w:r>
    </w:p>
    <w:p w14:paraId="7BAB9E4B" w14:textId="77777777" w:rsidR="00B9662D" w:rsidRPr="00E9210E" w:rsidRDefault="00B9662D" w:rsidP="00B9662D">
      <w:pPr>
        <w:spacing w:before="120" w:after="120"/>
        <w:jc w:val="both"/>
      </w:pPr>
      <w:r w:rsidRPr="00E9210E">
        <w:rPr>
          <w:rStyle w:val="Corpsdutexte385ptNonItalique"/>
          <w:rFonts w:eastAsia="Courier New"/>
          <w:i w:val="0"/>
          <w:iCs w:val="0"/>
          <w:sz w:val="28"/>
        </w:rPr>
        <w:t>Capitalistes et commerçants à Venise. (Compte rendu : G. </w:t>
      </w:r>
      <w:r w:rsidRPr="00E9210E">
        <w:rPr>
          <w:rStyle w:val="Corpsdutexte37ptGrasNonItalique"/>
          <w:rFonts w:eastAsia="Courier New"/>
          <w:b w:val="0"/>
          <w:i w:val="0"/>
          <w:iCs w:val="0"/>
          <w:smallCaps/>
          <w:sz w:val="28"/>
        </w:rPr>
        <w:t>Luzzato</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La commenda nella vita economica dei secoli </w:t>
      </w:r>
      <w:r w:rsidRPr="00E9210E">
        <w:rPr>
          <w:rFonts w:eastAsia="Courier New"/>
          <w:i/>
        </w:rPr>
        <w:t xml:space="preserve">XIII </w:t>
      </w:r>
      <w:r w:rsidRPr="00E9210E">
        <w:rPr>
          <w:i/>
        </w:rPr>
        <w:t xml:space="preserve">e </w:t>
      </w:r>
      <w:r w:rsidRPr="00E9210E">
        <w:rPr>
          <w:rFonts w:eastAsia="Courier New"/>
          <w:i/>
        </w:rPr>
        <w:t>XIV</w:t>
      </w:r>
      <w:r w:rsidRPr="00E9210E">
        <w:rPr>
          <w:i/>
        </w:rPr>
        <w:t xml:space="preserve"> con particolare riguardo a Venezia</w:t>
      </w:r>
      <w:r w:rsidRPr="00E9210E">
        <w:rPr>
          <w:rStyle w:val="Corpsdutexte385ptNonItalique"/>
          <w:rFonts w:eastAsia="Courier New"/>
          <w:i w:val="0"/>
          <w:iCs w:val="0"/>
          <w:sz w:val="28"/>
        </w:rPr>
        <w:t>, Naples, 1934)</w:t>
      </w:r>
      <w:r w:rsidRPr="00E9210E">
        <w:t>, « A.H.E.S. », t. VIII (1936), pp. 110-111.</w:t>
      </w:r>
    </w:p>
    <w:p w14:paraId="01E49E82" w14:textId="77777777" w:rsidR="00B9662D" w:rsidRPr="00E9210E" w:rsidRDefault="00B9662D" w:rsidP="00B9662D">
      <w:pPr>
        <w:spacing w:before="120" w:after="120"/>
        <w:jc w:val="both"/>
      </w:pPr>
      <w:r w:rsidRPr="00E9210E">
        <w:rPr>
          <w:rStyle w:val="Corpsdutexte385ptNonItalique"/>
          <w:rFonts w:eastAsia="Courier New"/>
          <w:i w:val="0"/>
          <w:iCs w:val="0"/>
          <w:sz w:val="28"/>
        </w:rPr>
        <w:t>Le commerce d’Amiens au XIII</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 rendu : N. </w:t>
      </w:r>
      <w:r w:rsidRPr="00E9210E">
        <w:rPr>
          <w:rStyle w:val="Corpsdutexte37ptGrasNonItalique"/>
          <w:rFonts w:eastAsia="Courier New"/>
          <w:b w:val="0"/>
          <w:i w:val="0"/>
          <w:iCs w:val="0"/>
          <w:smallCaps/>
          <w:sz w:val="28"/>
        </w:rPr>
        <w:t>Dupire </w:t>
      </w:r>
      <w:r w:rsidRPr="00E9210E">
        <w:rPr>
          <w:rStyle w:val="Corpsdutexte37ptGrasNonItalique"/>
          <w:rFonts w:eastAsia="Courier New"/>
          <w:b w:val="0"/>
          <w:i w:val="0"/>
          <w:iCs w:val="0"/>
          <w:sz w:val="28"/>
        </w:rPr>
        <w:t>:</w:t>
      </w:r>
      <w:r w:rsidRPr="00E9210E">
        <w:rPr>
          <w:rStyle w:val="Corpsdutexte385ptNonItalique"/>
          <w:rFonts w:eastAsia="Courier New"/>
          <w:i w:val="0"/>
          <w:iCs w:val="0"/>
          <w:sz w:val="28"/>
        </w:rPr>
        <w:t xml:space="preserve"> communication faite aux </w:t>
      </w:r>
      <w:r w:rsidRPr="00E9210E">
        <w:rPr>
          <w:i/>
        </w:rPr>
        <w:t xml:space="preserve">Journées d'histoire régionale tenues à Amiens du 25 au 28 avril 1935, </w:t>
      </w:r>
      <w:r w:rsidRPr="00E9210E">
        <w:rPr>
          <w:rStyle w:val="Corpsdutexte385ptNonItalique"/>
          <w:rFonts w:eastAsia="Courier New"/>
          <w:i w:val="0"/>
          <w:iCs w:val="0"/>
          <w:sz w:val="28"/>
        </w:rPr>
        <w:t xml:space="preserve">par la </w:t>
      </w:r>
      <w:r w:rsidRPr="00E9210E">
        <w:rPr>
          <w:i/>
        </w:rPr>
        <w:t>S</w:t>
      </w:r>
      <w:r w:rsidRPr="00E9210E">
        <w:rPr>
          <w:i/>
        </w:rPr>
        <w:t>o</w:t>
      </w:r>
      <w:r w:rsidRPr="00E9210E">
        <w:rPr>
          <w:i/>
        </w:rPr>
        <w:t>ciété d'histoire du droit des pays flamands, picards et wallons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Lille, 1935)</w:t>
      </w:r>
      <w:r w:rsidRPr="00E9210E">
        <w:t>, « A.H.E.S. », t. VIII (1936), p. 111.</w:t>
      </w:r>
    </w:p>
    <w:p w14:paraId="3AA18D0F" w14:textId="77777777" w:rsidR="00B9662D" w:rsidRPr="00E9210E" w:rsidRDefault="00B9662D" w:rsidP="00B9662D">
      <w:pPr>
        <w:spacing w:before="120" w:after="120"/>
        <w:jc w:val="both"/>
      </w:pPr>
      <w:r w:rsidRPr="00E9210E">
        <w:t>Travail en commun ou côte à côte. (Compte rendu : Fr. </w:t>
      </w:r>
      <w:r w:rsidRPr="00E9210E">
        <w:rPr>
          <w:rStyle w:val="Corpsdutexte27ptGras"/>
          <w:rFonts w:eastAsia="Courier New"/>
          <w:b w:val="0"/>
          <w:smallCaps/>
          <w:sz w:val="28"/>
        </w:rPr>
        <w:t>Oppenheimer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Abriss einer Sozial- und Wirtschaftsgeschichte E</w:t>
      </w:r>
      <w:r w:rsidRPr="00E9210E">
        <w:rPr>
          <w:rStyle w:val="Corpsdutexte28ptItalique"/>
          <w:rFonts w:eastAsia="Courier New"/>
          <w:sz w:val="28"/>
        </w:rPr>
        <w:t>u</w:t>
      </w:r>
      <w:r w:rsidRPr="00E9210E">
        <w:rPr>
          <w:rStyle w:val="Corpsdutexte28ptItalique"/>
          <w:rFonts w:eastAsia="Courier New"/>
          <w:sz w:val="28"/>
        </w:rPr>
        <w:t>ropas von der Völkerwanderung bis zur Gegenwart,</w:t>
      </w:r>
      <w:r w:rsidRPr="00E9210E">
        <w:rPr>
          <w:rStyle w:val="Corpsdutexte28ptGraschelle120"/>
          <w:rFonts w:eastAsia="Courier New"/>
          <w:sz w:val="28"/>
        </w:rPr>
        <w:t xml:space="preserve"> </w:t>
      </w:r>
      <w:r w:rsidRPr="00E9210E">
        <w:t>Iéna, 1929, 1933 et 1935), « A.H.E.S. », t. VIII (1936), pp. 171-173.</w:t>
      </w:r>
    </w:p>
    <w:p w14:paraId="62AD5C4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Émigrants d’Auvergne. (Compte rendu : Ph. </w:t>
      </w:r>
      <w:r w:rsidRPr="00E9210E">
        <w:rPr>
          <w:rStyle w:val="Corpsdutexte37ptGrasNonItalique"/>
          <w:rFonts w:eastAsia="Courier New"/>
          <w:b w:val="0"/>
          <w:i w:val="0"/>
          <w:iCs w:val="0"/>
          <w:smallCaps/>
          <w:sz w:val="28"/>
        </w:rPr>
        <w:t>Arbos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Un rapport du préfet Ramond sur l'émigration saisonnière dans le département du Puy-de-Dôme (1808)</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Revue d'Auvergne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XLVIII (1934), pp. 89-102), « A.H.E.S. », t. VIII (1936), p. 178.</w:t>
      </w:r>
    </w:p>
    <w:p w14:paraId="2FB9185C" w14:textId="77777777" w:rsidR="00B9662D" w:rsidRPr="00E9210E" w:rsidRDefault="00B9662D" w:rsidP="00B9662D">
      <w:pPr>
        <w:spacing w:before="120" w:after="120"/>
        <w:jc w:val="both"/>
      </w:pPr>
      <w:r w:rsidRPr="00E9210E">
        <w:t xml:space="preserve">L’histoire du droit espagnol. (Compte rendu : M. </w:t>
      </w:r>
      <w:r w:rsidRPr="00E9210E">
        <w:rPr>
          <w:rStyle w:val="Corpsdutexte27ptGras"/>
          <w:rFonts w:eastAsia="Courier New"/>
          <w:b w:val="0"/>
          <w:sz w:val="28"/>
        </w:rPr>
        <w:t>Torres,</w:t>
      </w:r>
      <w:r w:rsidRPr="00E9210E">
        <w:rPr>
          <w:rStyle w:val="Corpsdutexte27ptGras"/>
          <w:rFonts w:eastAsia="Courier New"/>
          <w:sz w:val="28"/>
        </w:rPr>
        <w:t xml:space="preserve"> </w:t>
      </w:r>
      <w:r w:rsidRPr="00E9210E">
        <w:rPr>
          <w:rStyle w:val="Corpsdutexte28ptItalique"/>
          <w:rFonts w:eastAsia="Courier New"/>
          <w:sz w:val="28"/>
        </w:rPr>
        <w:t>Lecciones de historia del derecho espanol,</w:t>
      </w:r>
      <w:r w:rsidRPr="00E9210E">
        <w:rPr>
          <w:rStyle w:val="Corpsdutexte28ptGraschelle120"/>
          <w:rFonts w:eastAsia="Courier New"/>
          <w:sz w:val="28"/>
        </w:rPr>
        <w:t xml:space="preserve"> </w:t>
      </w:r>
      <w:r w:rsidRPr="00E9210E">
        <w:t>Salamanque, 1935), « A.H.E.S. », t. VIII (1936), p. 197.</w:t>
      </w:r>
    </w:p>
    <w:p w14:paraId="6AE846BA" w14:textId="77777777" w:rsidR="00B9662D" w:rsidRPr="00E9210E" w:rsidRDefault="00B9662D" w:rsidP="00B9662D">
      <w:pPr>
        <w:spacing w:before="120" w:after="120"/>
        <w:jc w:val="both"/>
      </w:pPr>
      <w:r w:rsidRPr="00E9210E">
        <w:t xml:space="preserve">L’évolution des sociétés espagnoles. (Compte rendu : R. </w:t>
      </w:r>
      <w:r w:rsidRPr="00E9210E">
        <w:rPr>
          <w:rStyle w:val="Corpsdutexte27ptGras"/>
          <w:rFonts w:eastAsia="Courier New"/>
          <w:b w:val="0"/>
          <w:smallCaps/>
          <w:sz w:val="28"/>
        </w:rPr>
        <w:t>Riaza</w:t>
      </w:r>
      <w:r w:rsidRPr="00E9210E">
        <w:rPr>
          <w:rStyle w:val="Corpsdutexte27ptGras"/>
          <w:rFonts w:eastAsia="Courier New"/>
          <w:sz w:val="28"/>
        </w:rPr>
        <w:t xml:space="preserve"> </w:t>
      </w:r>
      <w:r w:rsidRPr="00E9210E">
        <w:t xml:space="preserve">et A. </w:t>
      </w:r>
      <w:r w:rsidRPr="00E9210E">
        <w:rPr>
          <w:smallCaps/>
        </w:rPr>
        <w:t xml:space="preserve">Garcia </w:t>
      </w:r>
      <w:r w:rsidRPr="00E9210E">
        <w:rPr>
          <w:rStyle w:val="Corpsdutexte27ptGras"/>
          <w:rFonts w:eastAsia="Courier New"/>
          <w:b w:val="0"/>
          <w:smallCaps/>
          <w:sz w:val="28"/>
        </w:rPr>
        <w:t>Gallo</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Manual de historia del derecho espanol,</w:t>
      </w:r>
      <w:r w:rsidRPr="00E9210E">
        <w:rPr>
          <w:rStyle w:val="Corpsdutexte28ptGraschelle120"/>
          <w:rFonts w:eastAsia="Courier New"/>
          <w:sz w:val="28"/>
        </w:rPr>
        <w:t xml:space="preserve"> </w:t>
      </w:r>
      <w:r w:rsidRPr="00E9210E">
        <w:t>Madrid), « A.H.E.S. », t. VIII (1936), pp. 197-198.</w:t>
      </w:r>
    </w:p>
    <w:p w14:paraId="6BEE4E7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Les paysages agraires : essai de mise au point. (Comptes rendus : R. </w:t>
      </w:r>
      <w:r w:rsidRPr="00E9210E">
        <w:rPr>
          <w:rStyle w:val="Corpsdutexte117ptGrasNonItaliqueEspacement0pt"/>
          <w:rFonts w:eastAsia="Courier New"/>
          <w:b w:val="0"/>
          <w:i w:val="0"/>
          <w:iCs w:val="0"/>
          <w:smallCaps/>
          <w:sz w:val="28"/>
          <w:lang w:val="fr-CA"/>
        </w:rPr>
        <w:t>Dion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Essai sur la formation du paysage rural français</w:t>
      </w:r>
      <w:r w:rsidRPr="00E9210E">
        <w:rPr>
          <w:rFonts w:eastAsia="Courier New"/>
        </w:rPr>
        <w:t>,</w:t>
      </w:r>
      <w:r w:rsidRPr="00E9210E">
        <w:rPr>
          <w:rStyle w:val="Corpsdutexte11NonItaliqueEspacement0pt"/>
          <w:rFonts w:eastAsia="Courier New"/>
          <w:i w:val="0"/>
          <w:iCs w:val="0"/>
          <w:sz w:val="28"/>
          <w:lang w:val="fr-CA"/>
        </w:rPr>
        <w:t xml:space="preserve"> Tours, 1934. — O. </w:t>
      </w:r>
      <w:r w:rsidRPr="00E9210E">
        <w:rPr>
          <w:rStyle w:val="Corpsdutexte117ptGrasNonItaliqueEspacement0pt"/>
          <w:rFonts w:eastAsia="Courier New"/>
          <w:b w:val="0"/>
          <w:i w:val="0"/>
          <w:iCs w:val="0"/>
          <w:smallCaps/>
          <w:sz w:val="28"/>
          <w:lang w:val="fr-CA"/>
        </w:rPr>
        <w:t>Tulippe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L'habitat rural en Seine-et-Oise : essai de gé</w:t>
      </w:r>
      <w:r w:rsidRPr="00E9210E">
        <w:rPr>
          <w:rFonts w:eastAsia="Courier New"/>
          <w:i/>
        </w:rPr>
        <w:t>o</w:t>
      </w:r>
      <w:r w:rsidRPr="00E9210E">
        <w:rPr>
          <w:rFonts w:eastAsia="Courier New"/>
          <w:i/>
        </w:rPr>
        <w:t>graphie de peuplement</w:t>
      </w:r>
      <w:r w:rsidRPr="00E9210E">
        <w:rPr>
          <w:rFonts w:eastAsia="Courier New"/>
        </w:rPr>
        <w:t>,</w:t>
      </w:r>
      <w:r w:rsidRPr="00E9210E">
        <w:rPr>
          <w:rStyle w:val="Corpsdutexte11NonItaliqueEspacement0pt"/>
          <w:rFonts w:eastAsia="Courier New"/>
          <w:i w:val="0"/>
          <w:iCs w:val="0"/>
          <w:sz w:val="28"/>
          <w:lang w:val="fr-CA"/>
        </w:rPr>
        <w:t xml:space="preserve"> Liège, 1934. — G. </w:t>
      </w:r>
      <w:r w:rsidRPr="00E9210E">
        <w:rPr>
          <w:rStyle w:val="Corpsdutexte117ptGrasNonItaliqueEspacement0pt"/>
          <w:rFonts w:eastAsia="Courier New"/>
          <w:b w:val="0"/>
          <w:i w:val="0"/>
          <w:iCs w:val="0"/>
          <w:smallCaps/>
          <w:sz w:val="28"/>
          <w:lang w:val="fr-CA"/>
        </w:rPr>
        <w:t>Jeanton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 pays de M</w:t>
      </w:r>
      <w:r w:rsidRPr="00E9210E">
        <w:rPr>
          <w:rFonts w:eastAsia="Courier New"/>
          <w:i/>
        </w:rPr>
        <w:t>â</w:t>
      </w:r>
      <w:r w:rsidRPr="00E9210E">
        <w:rPr>
          <w:rFonts w:eastAsia="Courier New"/>
          <w:i/>
        </w:rPr>
        <w:t>con et de Chalon avant l'an mille</w:t>
      </w:r>
      <w:r w:rsidRPr="00E9210E">
        <w:rPr>
          <w:rFonts w:eastAsia="Courier New"/>
        </w:rPr>
        <w:t>,</w:t>
      </w:r>
      <w:r w:rsidRPr="00E9210E">
        <w:rPr>
          <w:rStyle w:val="Corpsdutexte11NonItaliqueEspacement0pt"/>
          <w:rFonts w:eastAsia="Courier New"/>
          <w:i w:val="0"/>
          <w:iCs w:val="0"/>
          <w:sz w:val="28"/>
          <w:lang w:val="fr-CA"/>
        </w:rPr>
        <w:t xml:space="preserve"> Dijon, 1934. — D. </w:t>
      </w:r>
      <w:r w:rsidRPr="00E9210E">
        <w:rPr>
          <w:rStyle w:val="Corpsdutexte117ptGrasNonItaliqueEspacement0pt"/>
          <w:rFonts w:eastAsia="Courier New"/>
          <w:b w:val="0"/>
          <w:i w:val="0"/>
          <w:iCs w:val="0"/>
          <w:smallCaps/>
          <w:sz w:val="28"/>
          <w:lang w:val="fr-CA"/>
        </w:rPr>
        <w:t>Faucher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Pol</w:t>
      </w:r>
      <w:r w:rsidRPr="00E9210E">
        <w:rPr>
          <w:rFonts w:eastAsia="Courier New"/>
          <w:i/>
        </w:rPr>
        <w:t>y</w:t>
      </w:r>
      <w:r w:rsidRPr="00E9210E">
        <w:rPr>
          <w:rFonts w:eastAsia="Courier New"/>
          <w:i/>
        </w:rPr>
        <w:t>culture ancienne et assolement biennal dans la France méridionale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 géographique des Pyrénées et du Sud-Ouest</w:t>
      </w:r>
      <w:r w:rsidRPr="00E9210E">
        <w:rPr>
          <w:rFonts w:eastAsia="Courier New"/>
        </w:rPr>
        <w:t>,</w:t>
      </w:r>
      <w:r w:rsidRPr="00E9210E">
        <w:rPr>
          <w:rStyle w:val="Corpsdutexte11NonItaliqueEspacement0pt"/>
          <w:rFonts w:eastAsia="Courier New"/>
          <w:i w:val="0"/>
          <w:iCs w:val="0"/>
          <w:sz w:val="28"/>
          <w:lang w:val="fr-CA"/>
        </w:rPr>
        <w:t xml:space="preserve"> t. V (1934). — G. </w:t>
      </w:r>
      <w:r w:rsidRPr="00E9210E">
        <w:rPr>
          <w:rStyle w:val="Corpsdutexte117ptGrasNonItaliqueEspacement0pt"/>
          <w:rFonts w:eastAsia="Courier New"/>
          <w:b w:val="0"/>
          <w:i w:val="0"/>
          <w:iCs w:val="0"/>
          <w:smallCaps/>
          <w:sz w:val="28"/>
          <w:lang w:val="fr-CA"/>
        </w:rPr>
        <w:t>Jeanton</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et A. </w:t>
      </w:r>
      <w:r w:rsidRPr="00E9210E">
        <w:rPr>
          <w:rStyle w:val="Corpsdutexte117ptGrasNonItaliqueEspacement0pt"/>
          <w:rFonts w:eastAsia="Courier New"/>
          <w:b w:val="0"/>
          <w:i w:val="0"/>
          <w:iCs w:val="0"/>
          <w:smallCaps/>
          <w:sz w:val="28"/>
          <w:lang w:val="fr-CA"/>
        </w:rPr>
        <w:t>Duraffour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L'habitation paysanne en Bresse</w:t>
      </w:r>
      <w:r w:rsidRPr="00E9210E">
        <w:rPr>
          <w:rFonts w:eastAsia="Courier New"/>
        </w:rPr>
        <w:t>,</w:t>
      </w:r>
      <w:r w:rsidRPr="00E9210E">
        <w:rPr>
          <w:rStyle w:val="Corpsdutexte11NonItaliqueEspacement0pt"/>
          <w:rFonts w:eastAsia="Courier New"/>
          <w:i w:val="0"/>
          <w:iCs w:val="0"/>
          <w:sz w:val="28"/>
          <w:lang w:val="fr-CA"/>
        </w:rPr>
        <w:t xml:space="preserve"> Tournus, 1935. — L. </w:t>
      </w:r>
      <w:r w:rsidRPr="00E9210E">
        <w:rPr>
          <w:rStyle w:val="Corpsdutexte117ptGrasNonItaliqueEspacement0pt"/>
          <w:rFonts w:eastAsia="Courier New"/>
          <w:b w:val="0"/>
          <w:i w:val="0"/>
          <w:iCs w:val="0"/>
          <w:smallCaps/>
          <w:sz w:val="28"/>
          <w:lang w:val="fr-CA"/>
        </w:rPr>
        <w:t>Aufrère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systèmes agraires dans les Iles Britanniques,</w:t>
      </w:r>
      <w:r w:rsidRPr="00E9210E">
        <w:rPr>
          <w:rStyle w:val="Corpsdutexte11NonItaliqueEspacement0pt"/>
          <w:rFonts w:eastAsia="Courier New"/>
          <w:i w:val="0"/>
          <w:iCs w:val="0"/>
          <w:sz w:val="28"/>
          <w:lang w:val="fr-CA"/>
        </w:rPr>
        <w:t xml:space="preserve"> dans </w:t>
      </w:r>
      <w:r w:rsidRPr="00E9210E">
        <w:rPr>
          <w:rFonts w:eastAsia="Courier New"/>
          <w:i/>
        </w:rPr>
        <w:t xml:space="preserve">Annales de Géographie, </w:t>
      </w:r>
      <w:r w:rsidRPr="00E9210E">
        <w:rPr>
          <w:rStyle w:val="Corpsdutexte11NonItaliqueEspacement0pt"/>
          <w:rFonts w:eastAsia="Courier New"/>
          <w:i w:val="0"/>
          <w:iCs w:val="0"/>
          <w:sz w:val="28"/>
          <w:lang w:val="fr-CA"/>
        </w:rPr>
        <w:t xml:space="preserve">1935, pp. 385-409. — T. A. M. </w:t>
      </w:r>
      <w:r w:rsidRPr="00E9210E">
        <w:rPr>
          <w:rStyle w:val="Corpsdutexte117ptGrasNonItaliqueEspacement0pt"/>
          <w:rFonts w:eastAsia="Courier New"/>
          <w:b w:val="0"/>
          <w:i w:val="0"/>
          <w:iCs w:val="0"/>
          <w:smallCaps/>
          <w:sz w:val="28"/>
          <w:lang w:val="fr-CA"/>
        </w:rPr>
        <w:t>Bishop</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Assarting and the growth of the openfields</w:t>
      </w:r>
      <w:r w:rsidRPr="00E9210E">
        <w:rPr>
          <w:rFonts w:eastAsia="Courier New"/>
        </w:rPr>
        <w:t xml:space="preserve">, </w:t>
      </w:r>
      <w:r w:rsidRPr="00E9210E">
        <w:rPr>
          <w:rStyle w:val="Corpsdutexte11NonItaliqueEspacement0pt"/>
          <w:rFonts w:eastAsia="Courier New"/>
          <w:i w:val="0"/>
          <w:iCs w:val="0"/>
          <w:sz w:val="28"/>
          <w:lang w:val="fr-CA"/>
        </w:rPr>
        <w:t xml:space="preserve">dans </w:t>
      </w:r>
      <w:r w:rsidRPr="00E9210E">
        <w:rPr>
          <w:rFonts w:eastAsia="Courier New"/>
          <w:i/>
        </w:rPr>
        <w:t>The économie history review</w:t>
      </w:r>
      <w:r w:rsidRPr="00E9210E">
        <w:rPr>
          <w:rFonts w:eastAsia="Courier New"/>
        </w:rPr>
        <w:t>,</w:t>
      </w:r>
      <w:r w:rsidRPr="00E9210E">
        <w:rPr>
          <w:rStyle w:val="Corpsdutexte11NonItaliqueEspacement0pt"/>
          <w:rFonts w:eastAsia="Courier New"/>
          <w:i w:val="0"/>
          <w:iCs w:val="0"/>
          <w:sz w:val="28"/>
          <w:lang w:val="fr-CA"/>
        </w:rPr>
        <w:t xml:space="preserve"> t. VI (1935), pp. 13-29. — </w:t>
      </w:r>
      <w:r w:rsidRPr="00E9210E">
        <w:rPr>
          <w:rStyle w:val="Corpsdutexte117ptGrasNonItaliqueEspacement0pt"/>
          <w:rFonts w:eastAsia="Courier New"/>
          <w:b w:val="0"/>
          <w:i w:val="0"/>
          <w:iCs w:val="0"/>
          <w:sz w:val="28"/>
          <w:lang w:val="fr-CA"/>
        </w:rPr>
        <w:t>J.</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 A. </w:t>
      </w:r>
      <w:r w:rsidRPr="00E9210E">
        <w:rPr>
          <w:rStyle w:val="Corpsdutexte117ptGrasNonItaliqueEspacement0pt"/>
          <w:rFonts w:eastAsia="Courier New"/>
          <w:b w:val="0"/>
          <w:i w:val="0"/>
          <w:iCs w:val="0"/>
          <w:smallCaps/>
          <w:sz w:val="28"/>
          <w:lang w:val="fr-CA"/>
        </w:rPr>
        <w:t>Joliffe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Prefeudal England : the Jutes</w:t>
      </w:r>
      <w:r w:rsidRPr="00E9210E">
        <w:rPr>
          <w:rFonts w:eastAsia="Courier New"/>
        </w:rPr>
        <w:t>,</w:t>
      </w:r>
      <w:r w:rsidRPr="00E9210E">
        <w:rPr>
          <w:rStyle w:val="Corpsdutexte11NonItaliqueEspacement0pt"/>
          <w:rFonts w:eastAsia="Courier New"/>
          <w:i w:val="0"/>
          <w:iCs w:val="0"/>
          <w:sz w:val="28"/>
          <w:lang w:val="fr-CA"/>
        </w:rPr>
        <w:t xml:space="preserve"> Oxford, 1933), « A.H.E.S. », t. VIII (1936), pp. 256-277.</w:t>
      </w:r>
    </w:p>
    <w:p w14:paraId="30445570" w14:textId="77777777" w:rsidR="00B9662D" w:rsidRPr="00E9210E" w:rsidRDefault="00B9662D" w:rsidP="00B9662D">
      <w:pPr>
        <w:spacing w:before="120" w:after="120"/>
        <w:jc w:val="both"/>
      </w:pPr>
      <w:r w:rsidRPr="00E9210E">
        <w:t xml:space="preserve">Dans l’Italie du </w:t>
      </w:r>
      <w:r w:rsidRPr="00E9210E">
        <w:rPr>
          <w:smallCaps/>
        </w:rPr>
        <w:t>xiv</w:t>
      </w:r>
      <w:r w:rsidRPr="00E9210E">
        <w:rPr>
          <w:vertAlign w:val="superscript"/>
        </w:rPr>
        <w:t>e</w:t>
      </w:r>
      <w:r w:rsidRPr="00E9210E">
        <w:t xml:space="preserve"> siècle : un marchand de petite ville et son de</w:t>
      </w:r>
      <w:r w:rsidRPr="00E9210E">
        <w:t>s</w:t>
      </w:r>
      <w:r w:rsidRPr="00E9210E">
        <w:t xml:space="preserve">tin. (Compte rendu : A. </w:t>
      </w:r>
      <w:r w:rsidRPr="00E9210E">
        <w:rPr>
          <w:rStyle w:val="Corpsdutexte27ptGras"/>
          <w:rFonts w:eastAsia="Courier New"/>
          <w:b w:val="0"/>
          <w:smallCaps/>
          <w:sz w:val="28"/>
        </w:rPr>
        <w:t>Fanfani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Un mercante del Trecento</w:t>
      </w:r>
      <w:r w:rsidRPr="00E9210E">
        <w:rPr>
          <w:rFonts w:eastAsia="Courier New"/>
        </w:rPr>
        <w:t>,</w:t>
      </w:r>
      <w:r w:rsidRPr="00E9210E">
        <w:t xml:space="preserve"> Milan, 1935), « A.H.E.S. », t. VIII (1936), pp. 284-285.</w:t>
      </w:r>
    </w:p>
    <w:p w14:paraId="488E846D" w14:textId="77777777" w:rsidR="00B9662D" w:rsidRPr="00E9210E" w:rsidRDefault="00B9662D" w:rsidP="00B9662D">
      <w:pPr>
        <w:spacing w:before="120" w:after="120"/>
        <w:jc w:val="both"/>
      </w:pPr>
      <w:r w:rsidRPr="00E9210E">
        <w:t xml:space="preserve">Élevage et force motrice. (Compte rendu : </w:t>
      </w:r>
      <w:r w:rsidRPr="00E9210E">
        <w:rPr>
          <w:rStyle w:val="Corpsdutexte27ptGras"/>
          <w:rFonts w:eastAsia="Courier New"/>
          <w:b w:val="0"/>
          <w:sz w:val="28"/>
        </w:rPr>
        <w:t>O.</w:t>
      </w:r>
      <w:r w:rsidRPr="00E9210E">
        <w:rPr>
          <w:rStyle w:val="Corpsdutexte27ptGras"/>
          <w:rFonts w:eastAsia="Courier New"/>
          <w:sz w:val="28"/>
        </w:rPr>
        <w:t xml:space="preserve"> </w:t>
      </w:r>
      <w:r w:rsidRPr="00E9210E">
        <w:rPr>
          <w:rStyle w:val="Corpsdutexte27ptGras"/>
          <w:rFonts w:eastAsia="Courier New"/>
          <w:b w:val="0"/>
          <w:smallCaps/>
          <w:sz w:val="28"/>
        </w:rPr>
        <w:t>Tulippe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L’élevage du cheval en Belg</w:t>
      </w:r>
      <w:r w:rsidRPr="00E9210E">
        <w:rPr>
          <w:rStyle w:val="Corpsdutexte28ptItalique"/>
          <w:rFonts w:eastAsia="Courier New"/>
          <w:sz w:val="28"/>
        </w:rPr>
        <w:t>i</w:t>
      </w:r>
      <w:r w:rsidRPr="00E9210E">
        <w:rPr>
          <w:rStyle w:val="Corpsdutexte28ptItalique"/>
          <w:rFonts w:eastAsia="Courier New"/>
          <w:sz w:val="28"/>
        </w:rPr>
        <w:t xml:space="preserve">que, </w:t>
      </w:r>
      <w:r w:rsidRPr="00E9210E">
        <w:t>Liège, 1932), « A.H.E.S. », t. VIII (1936), p. 298.</w:t>
      </w:r>
    </w:p>
    <w:p w14:paraId="1E7B222A" w14:textId="77777777" w:rsidR="00B9662D" w:rsidRPr="00E9210E" w:rsidRDefault="00B9662D" w:rsidP="00B9662D">
      <w:pPr>
        <w:spacing w:before="120" w:after="120"/>
        <w:jc w:val="both"/>
      </w:pPr>
      <w:r w:rsidRPr="00E9210E">
        <w:t xml:space="preserve">Les transformations du français. (Compte rendu : W. V. </w:t>
      </w:r>
      <w:r w:rsidRPr="00E9210E">
        <w:rPr>
          <w:rStyle w:val="Corpsdutexte27ptGras"/>
          <w:rFonts w:eastAsia="Courier New"/>
          <w:b w:val="0"/>
          <w:smallCaps/>
          <w:sz w:val="28"/>
        </w:rPr>
        <w:t>War</w:t>
      </w:r>
      <w:r w:rsidRPr="00E9210E">
        <w:rPr>
          <w:rStyle w:val="Corpsdutexte27ptGras"/>
          <w:rFonts w:eastAsia="Courier New"/>
          <w:b w:val="0"/>
          <w:smallCaps/>
          <w:sz w:val="28"/>
        </w:rPr>
        <w:t>t</w:t>
      </w:r>
      <w:r w:rsidRPr="00E9210E">
        <w:rPr>
          <w:rStyle w:val="Corpsdutexte27ptGras"/>
          <w:rFonts w:eastAsia="Courier New"/>
          <w:b w:val="0"/>
          <w:smallCaps/>
          <w:sz w:val="28"/>
        </w:rPr>
        <w:t>burg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Évol</w:t>
      </w:r>
      <w:r w:rsidRPr="00E9210E">
        <w:rPr>
          <w:rStyle w:val="Corpsdutexte28ptItalique"/>
          <w:rFonts w:eastAsia="Courier New"/>
          <w:sz w:val="28"/>
        </w:rPr>
        <w:t>u</w:t>
      </w:r>
      <w:r w:rsidRPr="00E9210E">
        <w:rPr>
          <w:rStyle w:val="Corpsdutexte28ptItalique"/>
          <w:rFonts w:eastAsia="Courier New"/>
          <w:sz w:val="28"/>
        </w:rPr>
        <w:t>tion et structure de la langue française,</w:t>
      </w:r>
      <w:r w:rsidRPr="00E9210E">
        <w:rPr>
          <w:rStyle w:val="Corpsdutexte28ptGraschelle120"/>
          <w:rFonts w:eastAsia="Courier New"/>
          <w:sz w:val="28"/>
        </w:rPr>
        <w:t xml:space="preserve"> </w:t>
      </w:r>
      <w:r w:rsidRPr="00E9210E">
        <w:t xml:space="preserve">Paris, 1934. — E. </w:t>
      </w:r>
      <w:r w:rsidRPr="00E9210E">
        <w:rPr>
          <w:rStyle w:val="Corpsdutexte27ptGras"/>
          <w:rFonts w:eastAsia="Courier New"/>
          <w:b w:val="0"/>
          <w:smallCaps/>
          <w:sz w:val="28"/>
        </w:rPr>
        <w:t>Huguet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L'évolution du sens des mots depuis le </w:t>
      </w:r>
      <w:r w:rsidRPr="00E9210E">
        <w:rPr>
          <w:rStyle w:val="Corpsdutexte28ptItaliqueEspacement1pt"/>
          <w:rFonts w:eastAsia="Courier New"/>
          <w:sz w:val="28"/>
        </w:rPr>
        <w:t>XVI</w:t>
      </w:r>
      <w:r w:rsidRPr="00E9210E">
        <w:rPr>
          <w:rStyle w:val="Corpsdutexte28ptItaliqueEspacement1pt"/>
          <w:rFonts w:eastAsia="Courier New"/>
          <w:sz w:val="28"/>
          <w:vertAlign w:val="superscript"/>
        </w:rPr>
        <w:t>e</w:t>
      </w:r>
      <w:r w:rsidRPr="00E9210E">
        <w:rPr>
          <w:rStyle w:val="Corpsdutexte28ptItalique"/>
          <w:rFonts w:eastAsia="Courier New"/>
          <w:sz w:val="28"/>
        </w:rPr>
        <w:t> siècle,</w:t>
      </w:r>
      <w:r w:rsidRPr="00E9210E">
        <w:rPr>
          <w:rStyle w:val="Corpsdutexte28ptGraschelle120"/>
          <w:rFonts w:eastAsia="Courier New"/>
          <w:sz w:val="28"/>
        </w:rPr>
        <w:t xml:space="preserve"> </w:t>
      </w:r>
      <w:r w:rsidRPr="00E9210E">
        <w:t>Paris, 1934), « A.H.E.S. », t. VIII (1936), p. 303.</w:t>
      </w:r>
    </w:p>
    <w:p w14:paraId="74DA738E" w14:textId="77777777" w:rsidR="00B9662D" w:rsidRPr="00E9210E" w:rsidRDefault="00B9662D" w:rsidP="00B9662D">
      <w:pPr>
        <w:spacing w:before="120" w:after="120"/>
        <w:jc w:val="both"/>
      </w:pPr>
      <w:r w:rsidRPr="00E9210E">
        <w:t>Monnaies et voies commerciales. (Compte rendu : Dr. R. </w:t>
      </w:r>
      <w:r w:rsidRPr="00E9210E">
        <w:rPr>
          <w:rStyle w:val="Corpsdutexte27ptGras"/>
          <w:rFonts w:eastAsia="Courier New"/>
          <w:b w:val="0"/>
          <w:smallCaps/>
          <w:sz w:val="28"/>
        </w:rPr>
        <w:t>Gaettens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Der </w:t>
      </w:r>
      <w:r w:rsidRPr="00E9210E">
        <w:rPr>
          <w:rFonts w:eastAsia="Courier New"/>
          <w:i/>
        </w:rPr>
        <w:t>F</w:t>
      </w:r>
      <w:r w:rsidRPr="00E9210E">
        <w:rPr>
          <w:rStyle w:val="Corpsdutexte28ptItalique"/>
          <w:rFonts w:eastAsia="Courier New"/>
          <w:sz w:val="28"/>
        </w:rPr>
        <w:t>und von Ludwiszcze, ein Schatz deutscher und skandinavischer Denare des 11. Jahrhunderts,</w:t>
      </w:r>
      <w:r w:rsidRPr="00E9210E">
        <w:rPr>
          <w:rStyle w:val="Corpsdutexte28ptGraschelle120"/>
          <w:rFonts w:eastAsia="Courier New"/>
          <w:sz w:val="28"/>
        </w:rPr>
        <w:t xml:space="preserve"> </w:t>
      </w:r>
      <w:r w:rsidRPr="00E9210E">
        <w:t>Halle, 1934), « A.H.E.S. », t. VIII (1936), p. 305.</w:t>
      </w:r>
    </w:p>
    <w:p w14:paraId="7B9007AB" w14:textId="77777777" w:rsidR="00B9662D" w:rsidRPr="00E9210E" w:rsidRDefault="00B9662D" w:rsidP="00B9662D">
      <w:pPr>
        <w:spacing w:before="120" w:after="120"/>
        <w:jc w:val="both"/>
      </w:pPr>
      <w:r w:rsidRPr="00E9210E">
        <w:t xml:space="preserve">La monnaie réalité sociale. (Compte rendu : Fr. </w:t>
      </w:r>
      <w:r w:rsidRPr="00E9210E">
        <w:rPr>
          <w:rStyle w:val="Corpsdutexte27ptGras"/>
          <w:rFonts w:eastAsia="Courier New"/>
          <w:b w:val="0"/>
          <w:smallCaps/>
          <w:sz w:val="28"/>
        </w:rPr>
        <w:t>Simiand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mo</w:t>
      </w:r>
      <w:r w:rsidRPr="00E9210E">
        <w:rPr>
          <w:rStyle w:val="Corpsdutexte28ptItalique"/>
          <w:rFonts w:eastAsia="Courier New"/>
          <w:sz w:val="28"/>
        </w:rPr>
        <w:t>n</w:t>
      </w:r>
      <w:r w:rsidRPr="00E9210E">
        <w:rPr>
          <w:rStyle w:val="Corpsdutexte28ptItalique"/>
          <w:rFonts w:eastAsia="Courier New"/>
          <w:sz w:val="28"/>
        </w:rPr>
        <w:t>naie, réalité s</w:t>
      </w:r>
      <w:r w:rsidRPr="00E9210E">
        <w:rPr>
          <w:rStyle w:val="Corpsdutexte28ptItalique"/>
          <w:rFonts w:eastAsia="Courier New"/>
          <w:sz w:val="28"/>
        </w:rPr>
        <w:t>o</w:t>
      </w:r>
      <w:r w:rsidRPr="00E9210E">
        <w:rPr>
          <w:rStyle w:val="Corpsdutexte28ptItalique"/>
          <w:rFonts w:eastAsia="Courier New"/>
          <w:sz w:val="28"/>
        </w:rPr>
        <w:t xml:space="preserve">ciale, </w:t>
      </w:r>
      <w:r w:rsidRPr="00E9210E">
        <w:t xml:space="preserve">dans </w:t>
      </w:r>
      <w:r w:rsidRPr="00E9210E">
        <w:rPr>
          <w:rStyle w:val="Corpsdutexte28ptItalique"/>
          <w:rFonts w:eastAsia="Courier New"/>
          <w:sz w:val="28"/>
        </w:rPr>
        <w:t>Annales sociologiques,</w:t>
      </w:r>
      <w:r w:rsidRPr="00E9210E">
        <w:rPr>
          <w:rStyle w:val="Corpsdutexte28ptGraschelle120"/>
          <w:rFonts w:eastAsia="Courier New"/>
          <w:sz w:val="28"/>
        </w:rPr>
        <w:t xml:space="preserve"> </w:t>
      </w:r>
      <w:r w:rsidRPr="00E9210E">
        <w:t>série D, Sociologie économique, fasc. 1, Paris, 1934), « A.H.E.S. », t. VIII (1936), pp. 306-307.</w:t>
      </w:r>
    </w:p>
    <w:p w14:paraId="5F831957" w14:textId="77777777" w:rsidR="00B9662D" w:rsidRPr="00E9210E" w:rsidRDefault="00B9662D" w:rsidP="00B9662D">
      <w:pPr>
        <w:spacing w:before="120" w:after="120"/>
        <w:jc w:val="both"/>
      </w:pPr>
      <w:r w:rsidRPr="00E9210E">
        <w:t xml:space="preserve">Aux origines d’une noblesse. (Compte rendu : K. </w:t>
      </w:r>
      <w:r w:rsidRPr="00E9210E">
        <w:rPr>
          <w:rStyle w:val="Corpsdutexte27ptGras"/>
          <w:rFonts w:eastAsia="Courier New"/>
          <w:b w:val="0"/>
          <w:smallCaps/>
          <w:sz w:val="28"/>
        </w:rPr>
        <w:t>Avizonis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Enstehung und Entwicklung des litauischen Adels bis zur litauisch-polnischen Union, 1385,</w:t>
      </w:r>
      <w:r w:rsidRPr="00E9210E">
        <w:rPr>
          <w:rStyle w:val="Corpsdutexte28ptGraschelle120"/>
          <w:rFonts w:eastAsia="Courier New"/>
          <w:sz w:val="28"/>
        </w:rPr>
        <w:t xml:space="preserve"> </w:t>
      </w:r>
      <w:r w:rsidRPr="00E9210E">
        <w:t>Berlin, 1932), « A.H.E.S. », t. VIII (1936), pp. 311-312.</w:t>
      </w:r>
    </w:p>
    <w:p w14:paraId="436FFFF0" w14:textId="77777777" w:rsidR="00B9662D" w:rsidRPr="00E9210E" w:rsidRDefault="00B9662D" w:rsidP="00B9662D">
      <w:pPr>
        <w:spacing w:before="120" w:after="120"/>
        <w:jc w:val="both"/>
      </w:pPr>
      <w:r w:rsidRPr="00E9210E">
        <w:t>[1078]</w:t>
      </w:r>
    </w:p>
    <w:p w14:paraId="3ABA7227" w14:textId="77777777" w:rsidR="00B9662D" w:rsidRPr="00E9210E" w:rsidRDefault="00B9662D" w:rsidP="00B9662D">
      <w:pPr>
        <w:spacing w:before="120" w:after="120"/>
        <w:jc w:val="both"/>
      </w:pPr>
      <w:r w:rsidRPr="00E9210E">
        <w:t xml:space="preserve">En Champagne, au début du </w:t>
      </w:r>
      <w:r w:rsidRPr="00E9210E">
        <w:rPr>
          <w:caps/>
        </w:rPr>
        <w:t>xix</w:t>
      </w:r>
      <w:r w:rsidRPr="00E9210E">
        <w:rPr>
          <w:vertAlign w:val="superscript"/>
        </w:rPr>
        <w:t>e</w:t>
      </w:r>
      <w:r w:rsidRPr="00E9210E">
        <w:t xml:space="preserve"> siècle. (Compte rendu : </w:t>
      </w:r>
      <w:r w:rsidRPr="00E9210E">
        <w:rPr>
          <w:rStyle w:val="Corpsdutexte27ptGras"/>
          <w:rFonts w:eastAsia="Courier New"/>
          <w:b w:val="0"/>
          <w:smallCaps/>
          <w:sz w:val="28"/>
        </w:rPr>
        <w:t>Pi</w:t>
      </w:r>
      <w:r w:rsidRPr="00E9210E">
        <w:rPr>
          <w:rStyle w:val="Corpsdutexte27ptGras"/>
          <w:rFonts w:eastAsia="Courier New"/>
          <w:b w:val="0"/>
          <w:smallCaps/>
          <w:sz w:val="28"/>
        </w:rPr>
        <w:t>e</w:t>
      </w:r>
      <w:r w:rsidRPr="00E9210E">
        <w:rPr>
          <w:rStyle w:val="Corpsdutexte27ptGras"/>
          <w:rFonts w:eastAsia="Courier New"/>
          <w:b w:val="0"/>
          <w:smallCaps/>
          <w:sz w:val="28"/>
        </w:rPr>
        <w:t>tresson de</w:t>
      </w:r>
      <w:r w:rsidRPr="00E9210E">
        <w:rPr>
          <w:rStyle w:val="Corpsdutexte27ptGrasPetitesmajuscules"/>
          <w:rFonts w:eastAsia="Courier New"/>
          <w:smallCaps w:val="0"/>
          <w:sz w:val="28"/>
          <w:lang w:val="fr-CA"/>
        </w:rPr>
        <w:t xml:space="preserve"> </w:t>
      </w:r>
      <w:r w:rsidRPr="00E9210E">
        <w:rPr>
          <w:rStyle w:val="Corpsdutexte27ptGras"/>
          <w:rFonts w:eastAsia="Courier New"/>
          <w:b w:val="0"/>
          <w:smallCaps/>
          <w:sz w:val="28"/>
        </w:rPr>
        <w:t>Saint-Aubin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L’arrondissement d’Arcis-sur-Aube au d</w:t>
      </w:r>
      <w:r w:rsidRPr="00E9210E">
        <w:rPr>
          <w:rStyle w:val="Corpsdutexte28ptItalique"/>
          <w:rFonts w:eastAsia="Courier New"/>
          <w:sz w:val="28"/>
        </w:rPr>
        <w:t>é</w:t>
      </w:r>
      <w:r w:rsidRPr="00E9210E">
        <w:rPr>
          <w:rStyle w:val="Corpsdutexte28ptItalique"/>
          <w:rFonts w:eastAsia="Courier New"/>
          <w:sz w:val="28"/>
        </w:rPr>
        <w:t xml:space="preserve">but du </w:t>
      </w:r>
      <w:r w:rsidRPr="00E9210E">
        <w:rPr>
          <w:rStyle w:val="Corpsdutexte28ptItaliqueEspacement1pt"/>
          <w:rFonts w:eastAsia="Courier New"/>
          <w:sz w:val="28"/>
        </w:rPr>
        <w:t>XIX</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t xml:space="preserve">, extr. de la </w:t>
      </w:r>
      <w:r w:rsidRPr="00E9210E">
        <w:rPr>
          <w:rStyle w:val="Corpsdutexte28ptItalique"/>
          <w:rFonts w:eastAsia="Courier New"/>
          <w:sz w:val="28"/>
        </w:rPr>
        <w:t>Nouvelle revue de Champ</w:t>
      </w:r>
      <w:r w:rsidRPr="00E9210E">
        <w:rPr>
          <w:rStyle w:val="Corpsdutexte28ptItalique"/>
          <w:rFonts w:eastAsia="Courier New"/>
          <w:sz w:val="28"/>
        </w:rPr>
        <w:t>a</w:t>
      </w:r>
      <w:r w:rsidRPr="00E9210E">
        <w:rPr>
          <w:rStyle w:val="Corpsdutexte28ptItalique"/>
          <w:rFonts w:eastAsia="Courier New"/>
          <w:sz w:val="28"/>
        </w:rPr>
        <w:t>gne et de Brie</w:t>
      </w:r>
      <w:r w:rsidRPr="00E9210E">
        <w:t>, janvier et avril 1934), « A.H.E.S. », t. VIII (1936), p. 315.</w:t>
      </w:r>
    </w:p>
    <w:p w14:paraId="1DBA2573" w14:textId="77777777" w:rsidR="00B9662D" w:rsidRPr="00E9210E" w:rsidRDefault="00B9662D" w:rsidP="00B9662D">
      <w:pPr>
        <w:spacing w:before="120" w:after="120"/>
        <w:jc w:val="both"/>
      </w:pPr>
      <w:r w:rsidRPr="00E9210E">
        <w:t xml:space="preserve">Dans la France </w:t>
      </w:r>
      <w:r w:rsidRPr="00E9210E">
        <w:rPr>
          <w:rStyle w:val="Corpsdutexte27ptGras"/>
          <w:rFonts w:eastAsia="Courier New"/>
          <w:b w:val="0"/>
          <w:sz w:val="28"/>
        </w:rPr>
        <w:t>du</w:t>
      </w:r>
      <w:r w:rsidRPr="00E9210E">
        <w:rPr>
          <w:rStyle w:val="Corpsdutexte27ptGras"/>
          <w:rFonts w:eastAsia="Courier New"/>
          <w:sz w:val="28"/>
        </w:rPr>
        <w:t xml:space="preserve"> </w:t>
      </w:r>
      <w:r w:rsidRPr="00E9210E">
        <w:t xml:space="preserve">Centre. (Compte rendu : A. </w:t>
      </w:r>
      <w:r w:rsidRPr="00E9210E">
        <w:rPr>
          <w:rStyle w:val="Corpsdutexte27ptGras"/>
          <w:rFonts w:eastAsia="Courier New"/>
          <w:b w:val="0"/>
          <w:smallCaps/>
          <w:sz w:val="28"/>
        </w:rPr>
        <w:t>Meynier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Géogr</w:t>
      </w:r>
      <w:r w:rsidRPr="00E9210E">
        <w:rPr>
          <w:rFonts w:eastAsia="Courier New"/>
          <w:i/>
        </w:rPr>
        <w:t>a</w:t>
      </w:r>
      <w:r w:rsidRPr="00E9210E">
        <w:rPr>
          <w:rFonts w:eastAsia="Courier New"/>
          <w:i/>
        </w:rPr>
        <w:t>phie du Massif Central</w:t>
      </w:r>
      <w:r w:rsidRPr="00E9210E">
        <w:rPr>
          <w:rFonts w:eastAsia="Courier New"/>
        </w:rPr>
        <w:t xml:space="preserve">, </w:t>
      </w:r>
      <w:r w:rsidRPr="00E9210E">
        <w:t>Paris, 1935), « A.H.E.S. », t. VIII (1936), pp. 318-319.</w:t>
      </w:r>
    </w:p>
    <w:p w14:paraId="093B7A1B" w14:textId="77777777" w:rsidR="00B9662D" w:rsidRPr="00E9210E" w:rsidRDefault="00B9662D" w:rsidP="00B9662D">
      <w:pPr>
        <w:spacing w:before="120" w:after="120"/>
        <w:jc w:val="both"/>
      </w:pPr>
      <w:r w:rsidRPr="00E9210E">
        <w:t xml:space="preserve">Une histoire de Touraine. (Compte rendu : E. </w:t>
      </w:r>
      <w:r w:rsidRPr="00E9210E">
        <w:rPr>
          <w:rStyle w:val="Corpsdutexte27ptGras"/>
          <w:rFonts w:eastAsia="Courier New"/>
          <w:b w:val="0"/>
          <w:smallCaps/>
          <w:sz w:val="28"/>
        </w:rPr>
        <w:t>Pépin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To</w:t>
      </w:r>
      <w:r w:rsidRPr="00E9210E">
        <w:rPr>
          <w:rFonts w:eastAsia="Courier New"/>
          <w:i/>
        </w:rPr>
        <w:t>u</w:t>
      </w:r>
      <w:r w:rsidRPr="00E9210E">
        <w:rPr>
          <w:rFonts w:eastAsia="Courier New"/>
          <w:i/>
        </w:rPr>
        <w:t>raine</w:t>
      </w:r>
      <w:r w:rsidRPr="00E9210E">
        <w:t>, Paris, 1935), « A.H.E.S. », t. VIII (1936), p. 319.</w:t>
      </w:r>
    </w:p>
    <w:p w14:paraId="49C822AB" w14:textId="77777777" w:rsidR="00B9662D" w:rsidRPr="00E9210E" w:rsidRDefault="00B9662D" w:rsidP="00B9662D">
      <w:pPr>
        <w:spacing w:before="120" w:after="120"/>
        <w:jc w:val="both"/>
      </w:pPr>
      <w:r w:rsidRPr="00E9210E">
        <w:t xml:space="preserve">La Bretagne. (Compte rendu : E. </w:t>
      </w:r>
      <w:r w:rsidRPr="00E9210E">
        <w:rPr>
          <w:rStyle w:val="Corpsdutexte27ptGras"/>
          <w:rFonts w:eastAsia="Courier New"/>
          <w:b w:val="0"/>
          <w:smallCaps/>
          <w:sz w:val="28"/>
        </w:rPr>
        <w:t>Durtelle de Saint-Sauveur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de Bretagne des orig</w:t>
      </w:r>
      <w:r w:rsidRPr="00E9210E">
        <w:rPr>
          <w:rStyle w:val="Corpsdutexte28ptItalique"/>
          <w:rFonts w:eastAsia="Courier New"/>
          <w:sz w:val="28"/>
        </w:rPr>
        <w:t>i</w:t>
      </w:r>
      <w:r w:rsidRPr="00E9210E">
        <w:rPr>
          <w:rStyle w:val="Corpsdutexte28ptItalique"/>
          <w:rFonts w:eastAsia="Courier New"/>
          <w:sz w:val="28"/>
        </w:rPr>
        <w:t xml:space="preserve">nes </w:t>
      </w:r>
      <w:r w:rsidRPr="00E9210E">
        <w:rPr>
          <w:rFonts w:eastAsia="Courier New"/>
        </w:rPr>
        <w:t xml:space="preserve">à </w:t>
      </w:r>
      <w:r w:rsidRPr="00E9210E">
        <w:rPr>
          <w:rStyle w:val="Corpsdutexte28ptItalique"/>
          <w:rFonts w:eastAsia="Courier New"/>
          <w:sz w:val="28"/>
        </w:rPr>
        <w:t>nos jours</w:t>
      </w:r>
      <w:r w:rsidRPr="00E9210E">
        <w:t>, Rennes et Paris, 1935), « A.H.E.S. », t. VIII (1936), pp. 319-320.</w:t>
      </w:r>
    </w:p>
    <w:p w14:paraId="1DE6D131" w14:textId="77777777" w:rsidR="00B9662D" w:rsidRPr="00E9210E" w:rsidRDefault="00B9662D" w:rsidP="00B9662D">
      <w:pPr>
        <w:spacing w:before="120" w:after="120"/>
        <w:jc w:val="both"/>
      </w:pPr>
      <w:r w:rsidRPr="00E9210E">
        <w:t xml:space="preserve">À travers les archives de l’Europe. (Compte rendu : </w:t>
      </w:r>
      <w:r w:rsidRPr="00E9210E">
        <w:rPr>
          <w:rStyle w:val="Corpsdutexte28ptItalique"/>
          <w:rFonts w:eastAsia="Courier New"/>
          <w:sz w:val="28"/>
        </w:rPr>
        <w:t>Guide intern</w:t>
      </w:r>
      <w:r w:rsidRPr="00E9210E">
        <w:rPr>
          <w:rStyle w:val="Corpsdutexte28ptItalique"/>
          <w:rFonts w:eastAsia="Courier New"/>
          <w:sz w:val="28"/>
        </w:rPr>
        <w:t>a</w:t>
      </w:r>
      <w:r w:rsidRPr="00E9210E">
        <w:rPr>
          <w:rStyle w:val="Corpsdutexte28ptItalique"/>
          <w:rFonts w:eastAsia="Courier New"/>
          <w:sz w:val="28"/>
        </w:rPr>
        <w:t xml:space="preserve">tional des archives, </w:t>
      </w:r>
      <w:r w:rsidRPr="00E9210E">
        <w:t>t. I, Paris et Rome, 1936), « A.H.E.S. », t. VIII (1936), p. 382.</w:t>
      </w:r>
    </w:p>
    <w:p w14:paraId="3AF3FAD3" w14:textId="77777777" w:rsidR="00B9662D" w:rsidRPr="00E9210E" w:rsidRDefault="00B9662D" w:rsidP="00B9662D">
      <w:pPr>
        <w:spacing w:before="120" w:after="120"/>
        <w:jc w:val="both"/>
      </w:pPr>
      <w:r w:rsidRPr="00E9210E">
        <w:t xml:space="preserve">Aux Archives nationales. (Compte rendu : </w:t>
      </w:r>
      <w:r w:rsidRPr="00E9210E">
        <w:rPr>
          <w:rStyle w:val="Corpsdutexte27ptGras"/>
          <w:rFonts w:eastAsia="Courier New"/>
          <w:b w:val="0"/>
          <w:sz w:val="28"/>
        </w:rPr>
        <w:t xml:space="preserve">G. </w:t>
      </w:r>
      <w:r w:rsidRPr="00E9210E">
        <w:rPr>
          <w:rStyle w:val="Corpsdutexte27ptGras"/>
          <w:rFonts w:eastAsia="Courier New"/>
          <w:b w:val="0"/>
          <w:smallCaps/>
          <w:sz w:val="28"/>
        </w:rPr>
        <w:t>Bourgin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Arch</w:t>
      </w:r>
      <w:r w:rsidRPr="00E9210E">
        <w:rPr>
          <w:rStyle w:val="Corpsdutexte28ptItalique"/>
          <w:rFonts w:eastAsia="Courier New"/>
          <w:sz w:val="28"/>
        </w:rPr>
        <w:t>i</w:t>
      </w:r>
      <w:r w:rsidRPr="00E9210E">
        <w:rPr>
          <w:rStyle w:val="Corpsdutexte28ptItalique"/>
          <w:rFonts w:eastAsia="Courier New"/>
          <w:sz w:val="28"/>
        </w:rPr>
        <w:t>ves nationales de France,</w:t>
      </w:r>
      <w:r w:rsidRPr="00E9210E">
        <w:rPr>
          <w:rStyle w:val="Corpsdutexte28ptGraschelle120"/>
          <w:rFonts w:eastAsia="Courier New"/>
          <w:sz w:val="28"/>
        </w:rPr>
        <w:t xml:space="preserve"> </w:t>
      </w:r>
      <w:r w:rsidRPr="00E9210E">
        <w:t>Rome, 1935), « A.H.E.S. », t. VIII (1936), pp. 382-383.</w:t>
      </w:r>
    </w:p>
    <w:p w14:paraId="3CEA4911" w14:textId="77777777" w:rsidR="00B9662D" w:rsidRPr="00E9210E" w:rsidRDefault="00B9662D" w:rsidP="00B9662D">
      <w:pPr>
        <w:spacing w:before="120" w:after="120"/>
        <w:jc w:val="both"/>
      </w:pPr>
      <w:r w:rsidRPr="00E9210E">
        <w:t xml:space="preserve">Nos terrains de chasse. (Compte rendu : </w:t>
      </w:r>
      <w:r w:rsidRPr="00E9210E">
        <w:rPr>
          <w:rFonts w:eastAsia="Courier New"/>
          <w:i/>
        </w:rPr>
        <w:t>Archives et bibliothèques</w:t>
      </w:r>
      <w:r w:rsidRPr="00E9210E">
        <w:t>, fasc. 1, Paris, 1935. — </w:t>
      </w:r>
      <w:r w:rsidRPr="00E9210E">
        <w:rPr>
          <w:rFonts w:eastAsia="Courier New"/>
          <w:i/>
        </w:rPr>
        <w:t>Gazette des Archives</w:t>
      </w:r>
      <w:r w:rsidRPr="00E9210E">
        <w:t>, juillet-octobre 1935), « A.H.E.S. », t. VIII (1936), p. 383.</w:t>
      </w:r>
    </w:p>
    <w:p w14:paraId="0301F7E8" w14:textId="77777777" w:rsidR="00B9662D" w:rsidRPr="00E9210E" w:rsidRDefault="00B9662D" w:rsidP="00B9662D">
      <w:pPr>
        <w:spacing w:before="120" w:after="120"/>
        <w:jc w:val="both"/>
      </w:pPr>
      <w:r w:rsidRPr="00E9210E">
        <w:t xml:space="preserve">Agriculture et problèmes sociaux. (Compte rendu : N. </w:t>
      </w:r>
      <w:r w:rsidRPr="00E9210E">
        <w:rPr>
          <w:rStyle w:val="Corpsdutexte27ptGras"/>
          <w:rFonts w:eastAsia="Courier New"/>
          <w:b w:val="0"/>
          <w:smallCaps/>
          <w:sz w:val="28"/>
        </w:rPr>
        <w:t>Drogat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Manuel social rural</w:t>
      </w:r>
      <w:r w:rsidRPr="00E9210E">
        <w:rPr>
          <w:rFonts w:eastAsia="Courier New"/>
        </w:rPr>
        <w:t xml:space="preserve">, </w:t>
      </w:r>
      <w:r w:rsidRPr="00E9210E">
        <w:t>Paris, 1933), « A.H.E.S. », t. VIII (1936), p. 398.</w:t>
      </w:r>
    </w:p>
    <w:p w14:paraId="7D9033E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Genre de vie nordique. (Compte rendu : H. </w:t>
      </w:r>
      <w:r w:rsidRPr="00E9210E">
        <w:rPr>
          <w:rStyle w:val="Corpsdutexte37ptGrasNonItalique"/>
          <w:rFonts w:eastAsia="Courier New"/>
          <w:b w:val="0"/>
          <w:i w:val="0"/>
          <w:iCs w:val="0"/>
          <w:smallCaps/>
          <w:sz w:val="28"/>
        </w:rPr>
        <w:t>Smeds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Malaxbygden bebyggelse och husällning i södra delen av Oesterbottens Sven</w:t>
      </w:r>
      <w:r w:rsidRPr="00E9210E">
        <w:rPr>
          <w:i/>
        </w:rPr>
        <w:t>k</w:t>
      </w:r>
      <w:r w:rsidRPr="00E9210E">
        <w:rPr>
          <w:i/>
        </w:rPr>
        <w:t>sbygd : en studie i människans och naringslivets geografi</w:t>
      </w:r>
      <w:r w:rsidRPr="00E9210E">
        <w:rPr>
          <w:rStyle w:val="Corpsdutexte385ptNonItalique"/>
          <w:rFonts w:eastAsia="Courier New"/>
          <w:i w:val="0"/>
          <w:iCs w:val="0"/>
          <w:sz w:val="28"/>
        </w:rPr>
        <w:t>, Helsin</w:t>
      </w:r>
      <w:r w:rsidRPr="00E9210E">
        <w:rPr>
          <w:rStyle w:val="Corpsdutexte385ptNonItalique"/>
          <w:rFonts w:eastAsia="Courier New"/>
          <w:i w:val="0"/>
          <w:iCs w:val="0"/>
          <w:sz w:val="28"/>
        </w:rPr>
        <w:t>g</w:t>
      </w:r>
      <w:r w:rsidRPr="00E9210E">
        <w:rPr>
          <w:rStyle w:val="Corpsdutexte385ptNonItalique"/>
          <w:rFonts w:eastAsia="Courier New"/>
          <w:i w:val="0"/>
          <w:iCs w:val="0"/>
          <w:sz w:val="28"/>
        </w:rPr>
        <w:t>fors, 1935), « A.H.E.S. », t. VIII (1936), pp. 399-401.</w:t>
      </w:r>
    </w:p>
    <w:p w14:paraId="20232C37" w14:textId="77777777" w:rsidR="00B9662D" w:rsidRPr="00E9210E" w:rsidRDefault="00B9662D" w:rsidP="00B9662D">
      <w:pPr>
        <w:spacing w:before="120" w:after="120"/>
        <w:jc w:val="both"/>
      </w:pPr>
      <w:r w:rsidRPr="00E9210E">
        <w:t xml:space="preserve">Dans les campagnes anglaises. (Compte rendu : </w:t>
      </w:r>
      <w:r w:rsidRPr="00E9210E">
        <w:rPr>
          <w:rStyle w:val="Corpsdutexte27ptGras"/>
          <w:rFonts w:eastAsia="Courier New"/>
          <w:b w:val="0"/>
          <w:sz w:val="28"/>
        </w:rPr>
        <w:t>J.</w:t>
      </w:r>
      <w:r w:rsidRPr="00E9210E">
        <w:rPr>
          <w:rStyle w:val="Corpsdutexte27ptGras"/>
          <w:rFonts w:eastAsia="Courier New"/>
          <w:sz w:val="28"/>
        </w:rPr>
        <w:t xml:space="preserve"> </w:t>
      </w:r>
      <w:r w:rsidRPr="00E9210E">
        <w:t xml:space="preserve">E. A. </w:t>
      </w:r>
      <w:r w:rsidRPr="00E9210E">
        <w:rPr>
          <w:rStyle w:val="Corpsdutexte27ptGras"/>
          <w:rFonts w:eastAsia="Courier New"/>
          <w:b w:val="0"/>
          <w:smallCaps/>
          <w:sz w:val="28"/>
        </w:rPr>
        <w:t>Joliffe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i/>
        </w:rPr>
        <w:t xml:space="preserve">A </w:t>
      </w:r>
      <w:r w:rsidRPr="00E9210E">
        <w:rPr>
          <w:rFonts w:eastAsia="Courier New"/>
          <w:i/>
        </w:rPr>
        <w:t>su</w:t>
      </w:r>
      <w:r w:rsidRPr="00E9210E">
        <w:rPr>
          <w:rFonts w:eastAsia="Courier New"/>
          <w:i/>
        </w:rPr>
        <w:t>r</w:t>
      </w:r>
      <w:r w:rsidRPr="00E9210E">
        <w:rPr>
          <w:rFonts w:eastAsia="Courier New"/>
          <w:i/>
        </w:rPr>
        <w:t>vey of fiscal tenements,</w:t>
      </w:r>
      <w:r w:rsidRPr="00E9210E">
        <w:rPr>
          <w:i/>
        </w:rPr>
        <w:t xml:space="preserve"> dans </w:t>
      </w:r>
      <w:r w:rsidRPr="00E9210E">
        <w:rPr>
          <w:rFonts w:eastAsia="Courier New"/>
          <w:i/>
        </w:rPr>
        <w:t>The economic history review</w:t>
      </w:r>
      <w:r w:rsidRPr="00E9210E">
        <w:rPr>
          <w:rFonts w:eastAsia="Courier New"/>
        </w:rPr>
        <w:t>,</w:t>
      </w:r>
      <w:r w:rsidRPr="00E9210E">
        <w:t xml:space="preserve"> t. VI (1936), p. 157-171), « A.H.E.S. », t. VIII (1936), pp. 401-402.</w:t>
      </w:r>
    </w:p>
    <w:p w14:paraId="0063EC90" w14:textId="77777777" w:rsidR="00B9662D" w:rsidRPr="00E9210E" w:rsidRDefault="00B9662D" w:rsidP="00B9662D">
      <w:pPr>
        <w:spacing w:before="120" w:after="120"/>
        <w:jc w:val="both"/>
      </w:pPr>
      <w:r w:rsidRPr="00E9210E">
        <w:t xml:space="preserve">Regards sur la France rurale. (Comptes rendus : </w:t>
      </w:r>
      <w:r w:rsidRPr="00E9210E">
        <w:rPr>
          <w:rStyle w:val="Corpsdutexte28ptItalique"/>
          <w:rFonts w:eastAsia="Courier New"/>
          <w:sz w:val="28"/>
        </w:rPr>
        <w:t>L’agriculture dans le départ</w:t>
      </w:r>
      <w:r w:rsidRPr="00E9210E">
        <w:rPr>
          <w:rStyle w:val="Corpsdutexte28ptItalique"/>
          <w:rFonts w:eastAsia="Courier New"/>
          <w:sz w:val="28"/>
        </w:rPr>
        <w:t>e</w:t>
      </w:r>
      <w:r w:rsidRPr="00E9210E">
        <w:rPr>
          <w:rStyle w:val="Corpsdutexte28ptItalique"/>
          <w:rFonts w:eastAsia="Courier New"/>
          <w:sz w:val="28"/>
        </w:rPr>
        <w:t>ment du Bas-Rhin en 1932,</w:t>
      </w:r>
      <w:r w:rsidRPr="00E9210E">
        <w:rPr>
          <w:rStyle w:val="Corpsdutexte28ptGraschelle120"/>
          <w:rFonts w:eastAsia="Courier New"/>
          <w:sz w:val="28"/>
        </w:rPr>
        <w:t xml:space="preserve"> </w:t>
      </w:r>
      <w:r w:rsidRPr="00E9210E">
        <w:t>Strasbourg, 1933, Bull. n° 48 de l’Off. agricole régi</w:t>
      </w:r>
      <w:r w:rsidRPr="00E9210E">
        <w:t>o</w:t>
      </w:r>
      <w:r w:rsidRPr="00E9210E">
        <w:t>nal de l’Est.</w:t>
      </w:r>
    </w:p>
    <w:p w14:paraId="1476F4BB" w14:textId="77777777" w:rsidR="00B9662D" w:rsidRPr="00E9210E" w:rsidRDefault="00B9662D" w:rsidP="00B9662D">
      <w:pPr>
        <w:spacing w:before="120" w:after="120"/>
        <w:jc w:val="both"/>
      </w:pPr>
      <w:r w:rsidRPr="00E9210E">
        <w:rPr>
          <w:rStyle w:val="Corpsdutexte28ptItalique"/>
          <w:rFonts w:eastAsia="Courier New"/>
          <w:sz w:val="28"/>
        </w:rPr>
        <w:t>— L’agriculture du département des Hautes-Alpes,</w:t>
      </w:r>
      <w:r w:rsidRPr="00E9210E">
        <w:rPr>
          <w:rStyle w:val="Corpsdutexte28ptGraschelle120"/>
          <w:rFonts w:eastAsia="Courier New"/>
          <w:sz w:val="28"/>
        </w:rPr>
        <w:t xml:space="preserve"> </w:t>
      </w:r>
      <w:r w:rsidRPr="00E9210E">
        <w:t>Dijon, 1933. Office régional agricole de l’Est-Central et Office départemental agr</w:t>
      </w:r>
      <w:r w:rsidRPr="00E9210E">
        <w:t>i</w:t>
      </w:r>
      <w:r w:rsidRPr="00E9210E">
        <w:t>cole des Hautes-Alpes), « A.H.E.S. », t. VIII (1936), pp. 402-403.</w:t>
      </w:r>
    </w:p>
    <w:p w14:paraId="3297680D" w14:textId="77777777" w:rsidR="00B9662D" w:rsidRPr="00E9210E" w:rsidRDefault="00B9662D" w:rsidP="00B9662D">
      <w:pPr>
        <w:spacing w:before="120" w:after="120"/>
        <w:jc w:val="both"/>
      </w:pPr>
      <w:r w:rsidRPr="00E9210E">
        <w:t>Un exemple de transformation agricole. (Compte rendu : P. </w:t>
      </w:r>
      <w:r w:rsidRPr="00E9210E">
        <w:rPr>
          <w:rStyle w:val="Corpsdutexte27ptGras"/>
          <w:rFonts w:eastAsia="Courier New"/>
          <w:b w:val="0"/>
          <w:smallCaps/>
          <w:sz w:val="28"/>
        </w:rPr>
        <w:t>Alsteen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L’évolution agricole du Luxembourg belge depuis cent ans,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Annales de Gembloux,</w:t>
      </w:r>
      <w:r w:rsidRPr="00E9210E">
        <w:rPr>
          <w:rStyle w:val="Corpsdutexte28ptGraschelle120"/>
          <w:rFonts w:eastAsia="Courier New"/>
          <w:sz w:val="28"/>
        </w:rPr>
        <w:t xml:space="preserve"> </w:t>
      </w:r>
      <w:r w:rsidRPr="00E9210E">
        <w:t>août 1934, pp. 285-313), « A.H.E.S. », t. VIII (1936), p. 403.</w:t>
      </w:r>
    </w:p>
    <w:p w14:paraId="757F92D1" w14:textId="77777777" w:rsidR="00B9662D" w:rsidRPr="00E9210E" w:rsidRDefault="00B9662D" w:rsidP="00B9662D">
      <w:pPr>
        <w:spacing w:before="120" w:after="120"/>
        <w:jc w:val="both"/>
      </w:pPr>
      <w:r w:rsidRPr="00E9210E">
        <w:t xml:space="preserve">Le Génie rural. (Compte rendu : M. </w:t>
      </w:r>
      <w:r w:rsidRPr="00E9210E">
        <w:rPr>
          <w:rStyle w:val="Corpsdutexte27ptGras"/>
          <w:rFonts w:eastAsia="Courier New"/>
          <w:b w:val="0"/>
          <w:smallCaps/>
          <w:sz w:val="28"/>
        </w:rPr>
        <w:t>Bourdier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service du G</w:t>
      </w:r>
      <w:r w:rsidRPr="00E9210E">
        <w:rPr>
          <w:rStyle w:val="Corpsdutexte28ptItalique"/>
          <w:rFonts w:eastAsia="Courier New"/>
          <w:sz w:val="28"/>
        </w:rPr>
        <w:t>é</w:t>
      </w:r>
      <w:r w:rsidRPr="00E9210E">
        <w:rPr>
          <w:rStyle w:val="Corpsdutexte28ptItalique"/>
          <w:rFonts w:eastAsia="Courier New"/>
          <w:sz w:val="28"/>
        </w:rPr>
        <w:t>nie rural,</w:t>
      </w:r>
      <w:r w:rsidRPr="00E9210E">
        <w:rPr>
          <w:rStyle w:val="Corpsdutexte28ptGraschelle120"/>
          <w:rFonts w:eastAsia="Courier New"/>
          <w:sz w:val="28"/>
        </w:rPr>
        <w:t xml:space="preserve"> </w:t>
      </w:r>
      <w:r w:rsidRPr="00E9210E">
        <w:t>Metz, 1934), « A.H.E.S. », t. VIII (1936), pp. 403-405.</w:t>
      </w:r>
    </w:p>
    <w:p w14:paraId="3A305503"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belle ambition. (Compte rendu : E. </w:t>
      </w:r>
      <w:r w:rsidRPr="00E9210E">
        <w:rPr>
          <w:rStyle w:val="Corpsdutexte37ptGrasNonItalique"/>
          <w:rFonts w:eastAsia="Courier New"/>
          <w:b w:val="0"/>
          <w:i w:val="0"/>
          <w:iCs w:val="0"/>
          <w:smallCaps/>
          <w:sz w:val="28"/>
        </w:rPr>
        <w:t>Savoy</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L’agriculture </w:t>
      </w:r>
      <w:r w:rsidRPr="00E9210E">
        <w:rPr>
          <w:rFonts w:eastAsia="Courier New"/>
          <w:i/>
        </w:rPr>
        <w:t xml:space="preserve">à </w:t>
      </w:r>
      <w:r w:rsidRPr="00E9210E">
        <w:rPr>
          <w:i/>
        </w:rPr>
        <w:t>travers les âges. Hi</w:t>
      </w:r>
      <w:r w:rsidRPr="00E9210E">
        <w:rPr>
          <w:i/>
        </w:rPr>
        <w:t>s</w:t>
      </w:r>
      <w:r w:rsidRPr="00E9210E">
        <w:rPr>
          <w:i/>
        </w:rPr>
        <w:t>toire des faits, des institutions, de la pensée et des doctrines économ</w:t>
      </w:r>
      <w:r w:rsidRPr="00E9210E">
        <w:rPr>
          <w:i/>
        </w:rPr>
        <w:t>i</w:t>
      </w:r>
      <w:r w:rsidRPr="00E9210E">
        <w:rPr>
          <w:i/>
        </w:rPr>
        <w:t>ques et sociales</w:t>
      </w:r>
      <w:r w:rsidRPr="00E9210E">
        <w:t xml:space="preserve">. </w:t>
      </w:r>
      <w:r w:rsidRPr="00E9210E">
        <w:rPr>
          <w:rStyle w:val="Corpsdutexte385ptNonItalique"/>
          <w:rFonts w:eastAsia="Courier New"/>
          <w:i w:val="0"/>
          <w:iCs w:val="0"/>
          <w:sz w:val="28"/>
        </w:rPr>
        <w:t xml:space="preserve">T. I, </w:t>
      </w:r>
      <w:r w:rsidRPr="00E9210E">
        <w:rPr>
          <w:i/>
        </w:rPr>
        <w:t>Quelques problèmes d’économie sociologique. Prolégomènes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1935), « A.H.E.S. », t. VIII (1936), p. 405.</w:t>
      </w:r>
    </w:p>
    <w:p w14:paraId="6B3A1BF2" w14:textId="77777777" w:rsidR="00B9662D" w:rsidRPr="00E9210E" w:rsidRDefault="00B9662D" w:rsidP="00B9662D">
      <w:pPr>
        <w:spacing w:before="120" w:after="120"/>
        <w:jc w:val="both"/>
      </w:pPr>
      <w:r w:rsidRPr="00E9210E">
        <w:t xml:space="preserve">Le mouvement de défrichements au </w:t>
      </w:r>
      <w:r w:rsidRPr="00E9210E">
        <w:rPr>
          <w:smallCaps/>
        </w:rPr>
        <w:t>xviii</w:t>
      </w:r>
      <w:r w:rsidRPr="00E9210E">
        <w:rPr>
          <w:vertAlign w:val="superscript"/>
        </w:rPr>
        <w:t>e</w:t>
      </w:r>
      <w:r w:rsidRPr="00E9210E">
        <w:t xml:space="preserve"> siècle. (Compte rendu : G. G. </w:t>
      </w:r>
      <w:r w:rsidRPr="00E9210E">
        <w:rPr>
          <w:rStyle w:val="Corpsdutexte27ptGras"/>
          <w:rFonts w:eastAsia="Courier New"/>
          <w:b w:val="0"/>
          <w:smallCaps/>
          <w:sz w:val="28"/>
        </w:rPr>
        <w:t>Dept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Notes sur le défrichement dans le comté de Flandre au </w:t>
      </w:r>
      <w:r w:rsidRPr="00E9210E">
        <w:rPr>
          <w:rStyle w:val="Corpsdutexte28ptItaliqueEspacement1pt"/>
          <w:rFonts w:eastAsia="Courier New"/>
          <w:sz w:val="28"/>
        </w:rPr>
        <w:t>XVIII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Soc. belge d’études géographiques,</w:t>
      </w:r>
      <w:r w:rsidRPr="00E9210E">
        <w:rPr>
          <w:rStyle w:val="Corpsdutexte28ptGraschelle120"/>
          <w:rFonts w:eastAsia="Courier New"/>
          <w:sz w:val="28"/>
        </w:rPr>
        <w:t xml:space="preserve"> </w:t>
      </w:r>
      <w:r w:rsidRPr="00E9210E">
        <w:t>1933, pp. 121-129), « A.H.E.S. », t. VIII (1936), p. 405.</w:t>
      </w:r>
    </w:p>
    <w:p w14:paraId="2F4EF42C" w14:textId="77777777" w:rsidR="00B9662D" w:rsidRPr="00E9210E" w:rsidRDefault="00B9662D" w:rsidP="00B9662D">
      <w:pPr>
        <w:spacing w:before="120" w:after="120"/>
        <w:jc w:val="both"/>
      </w:pPr>
      <w:r w:rsidRPr="00E9210E">
        <w:t xml:space="preserve">Aux pays de la Hanse. (Compte rendu : </w:t>
      </w:r>
      <w:r w:rsidRPr="00E9210E">
        <w:rPr>
          <w:rFonts w:eastAsia="Courier New"/>
          <w:i/>
        </w:rPr>
        <w:t>Hansische Geschichtsblä</w:t>
      </w:r>
      <w:r w:rsidRPr="00E9210E">
        <w:rPr>
          <w:rFonts w:eastAsia="Courier New"/>
          <w:i/>
        </w:rPr>
        <w:t>t</w:t>
      </w:r>
      <w:r w:rsidRPr="00E9210E">
        <w:rPr>
          <w:rFonts w:eastAsia="Courier New"/>
          <w:i/>
        </w:rPr>
        <w:t>ter</w:t>
      </w:r>
      <w:r w:rsidRPr="00E9210E">
        <w:rPr>
          <w:rFonts w:eastAsia="Courier New"/>
        </w:rPr>
        <w:t>,</w:t>
      </w:r>
      <w:r w:rsidRPr="00E9210E">
        <w:t xml:space="preserve"> t. LIX [1934]), « A.H.E.S. », t. VIII (1936), pp. 408-409.</w:t>
      </w:r>
    </w:p>
    <w:p w14:paraId="02FA0CF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Les Allemands aux foires de Lyon. (Compte rendu : K. </w:t>
      </w:r>
      <w:r w:rsidRPr="00E9210E">
        <w:rPr>
          <w:rStyle w:val="Corpsdutexte385ptNonItalique"/>
          <w:rFonts w:eastAsia="Courier New"/>
          <w:i w:val="0"/>
          <w:iCs w:val="0"/>
          <w:smallCaps/>
          <w:sz w:val="28"/>
        </w:rPr>
        <w:t xml:space="preserve">von </w:t>
      </w:r>
      <w:r w:rsidRPr="00E9210E">
        <w:rPr>
          <w:rStyle w:val="Corpsdutexte37ptGrasNonItalique"/>
          <w:rFonts w:eastAsia="Courier New"/>
          <w:b w:val="0"/>
          <w:i w:val="0"/>
          <w:iCs w:val="0"/>
          <w:smallCaps/>
          <w:sz w:val="28"/>
        </w:rPr>
        <w:t>Hees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oberdeutschen Kaufleute in Lyon imletzten Viertel des 16. Jah</w:t>
      </w:r>
      <w:r w:rsidRPr="00E9210E">
        <w:rPr>
          <w:i/>
        </w:rPr>
        <w:t>r</w:t>
      </w:r>
      <w:r w:rsidRPr="00E9210E">
        <w:rPr>
          <w:i/>
        </w:rPr>
        <w:t>hunderts</w:t>
      </w:r>
      <w:r w:rsidRPr="00E9210E">
        <w:rPr>
          <w:rFonts w:eastAsia="Courier New"/>
        </w:rPr>
        <w:t>,</w:t>
      </w:r>
      <w:r w:rsidRPr="00E9210E">
        <w:rPr>
          <w:rStyle w:val="Corpsdutexte385ptNonItalique"/>
          <w:rFonts w:eastAsia="Courier New"/>
          <w:i w:val="0"/>
          <w:iCs w:val="0"/>
          <w:sz w:val="28"/>
        </w:rPr>
        <w:t xml:space="preserve"> dans </w:t>
      </w:r>
      <w:r w:rsidRPr="00E9210E">
        <w:rPr>
          <w:i/>
        </w:rPr>
        <w:t>Vierteljahrschrift für Sozial- und Wirtschaftsgeschic</w:t>
      </w:r>
      <w:r w:rsidRPr="00E9210E">
        <w:rPr>
          <w:i/>
        </w:rPr>
        <w:t>h</w:t>
      </w:r>
      <w:r w:rsidRPr="00E9210E">
        <w:rPr>
          <w:i/>
        </w:rPr>
        <w:t>te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XXVII (1934), pp. 235-244), « A.H.E.S. », t. VIII (1936), p. 412.</w:t>
      </w:r>
    </w:p>
    <w:p w14:paraId="4DD0E096" w14:textId="77777777" w:rsidR="00B9662D" w:rsidRPr="00E9210E" w:rsidRDefault="00B9662D" w:rsidP="00B9662D">
      <w:pPr>
        <w:spacing w:before="120" w:after="120"/>
        <w:jc w:val="both"/>
      </w:pPr>
      <w:r w:rsidRPr="00E9210E">
        <w:t>[1079]</w:t>
      </w:r>
    </w:p>
    <w:p w14:paraId="6144A772" w14:textId="77777777" w:rsidR="00B9662D" w:rsidRPr="00E9210E" w:rsidRDefault="00B9662D" w:rsidP="00B9662D">
      <w:pPr>
        <w:spacing w:before="120" w:after="120"/>
        <w:jc w:val="both"/>
      </w:pPr>
      <w:r w:rsidRPr="00E9210E">
        <w:t>Problèmes économiques du Haut Moyen Âge italien. (Compte re</w:t>
      </w:r>
      <w:r w:rsidRPr="00E9210E">
        <w:t>n</w:t>
      </w:r>
      <w:r w:rsidRPr="00E9210E">
        <w:t xml:space="preserve">du : F. </w:t>
      </w:r>
      <w:r w:rsidRPr="00E9210E">
        <w:rPr>
          <w:rStyle w:val="Corpsdutexte27ptGras"/>
          <w:rFonts w:eastAsia="Courier New"/>
          <w:b w:val="0"/>
          <w:smallCaps/>
          <w:sz w:val="28"/>
        </w:rPr>
        <w:t>Carli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Storia del commercio italiano :</w:t>
      </w:r>
      <w:r w:rsidRPr="00E9210E">
        <w:rPr>
          <w:rFonts w:eastAsia="Courier New"/>
        </w:rPr>
        <w:t xml:space="preserve"> </w:t>
      </w:r>
      <w:r w:rsidRPr="00E9210E">
        <w:rPr>
          <w:rStyle w:val="Corpsdutexte28ptItalique"/>
          <w:rFonts w:eastAsia="Courier New"/>
          <w:sz w:val="28"/>
        </w:rPr>
        <w:t>il mercato nell’alto m</w:t>
      </w:r>
      <w:r w:rsidRPr="00E9210E">
        <w:rPr>
          <w:rStyle w:val="Corpsdutexte28ptItalique"/>
          <w:rFonts w:eastAsia="Courier New"/>
          <w:sz w:val="28"/>
        </w:rPr>
        <w:t>e</w:t>
      </w:r>
      <w:r w:rsidRPr="00E9210E">
        <w:rPr>
          <w:rStyle w:val="Corpsdutexte28ptItalique"/>
          <w:rFonts w:eastAsia="Courier New"/>
          <w:sz w:val="28"/>
        </w:rPr>
        <w:t>dio evo</w:t>
      </w:r>
      <w:r w:rsidRPr="00E9210E">
        <w:rPr>
          <w:rFonts w:eastAsia="Courier New"/>
        </w:rPr>
        <w:t>,</w:t>
      </w:r>
      <w:r w:rsidRPr="00E9210E">
        <w:t xml:space="preserve"> Padoue, 1934), « A.H.E.S. », t. VIII (1936), pp. 412-413.</w:t>
      </w:r>
    </w:p>
    <w:p w14:paraId="21D89FCD" w14:textId="77777777" w:rsidR="00B9662D" w:rsidRPr="00E9210E" w:rsidRDefault="00B9662D" w:rsidP="00B9662D">
      <w:pPr>
        <w:spacing w:before="120" w:after="120"/>
        <w:jc w:val="both"/>
      </w:pPr>
      <w:r w:rsidRPr="00E9210E">
        <w:t xml:space="preserve">De l’Égée </w:t>
      </w:r>
      <w:r w:rsidRPr="00E9210E">
        <w:rPr>
          <w:rStyle w:val="Corpsdutexte27ptGras"/>
          <w:rFonts w:eastAsia="Courier New"/>
          <w:sz w:val="28"/>
        </w:rPr>
        <w:t xml:space="preserve">à </w:t>
      </w:r>
      <w:r w:rsidRPr="00E9210E">
        <w:t xml:space="preserve">la Mer du Nord. (Compte rendu : Ch. </w:t>
      </w:r>
      <w:r w:rsidRPr="00E9210E">
        <w:rPr>
          <w:rStyle w:val="Corpsdutexte27ptGras"/>
          <w:rFonts w:eastAsia="Courier New"/>
          <w:b w:val="0"/>
          <w:smallCaps/>
          <w:sz w:val="28"/>
        </w:rPr>
        <w:t>Verlinden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Rapports économ</w:t>
      </w:r>
      <w:r w:rsidRPr="00E9210E">
        <w:rPr>
          <w:rStyle w:val="Corpsdutexte28ptItalique"/>
          <w:rFonts w:eastAsia="Courier New"/>
          <w:sz w:val="28"/>
        </w:rPr>
        <w:t>i</w:t>
      </w:r>
      <w:r w:rsidRPr="00E9210E">
        <w:rPr>
          <w:rStyle w:val="Corpsdutexte28ptItalique"/>
          <w:rFonts w:eastAsia="Courier New"/>
          <w:sz w:val="28"/>
        </w:rPr>
        <w:t>ques entre la Flandre et la Crète à la fin du Moyen Âge,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belge de philologie et d’histoire,</w:t>
      </w:r>
      <w:r w:rsidRPr="00E9210E">
        <w:rPr>
          <w:rStyle w:val="Corpsdutexte28ptGraschelle120"/>
          <w:rFonts w:eastAsia="Courier New"/>
          <w:sz w:val="28"/>
        </w:rPr>
        <w:t xml:space="preserve"> </w:t>
      </w:r>
      <w:r w:rsidRPr="00E9210E">
        <w:t>t. XIV (1935), pp. 448-456), « A.H.E.S. », t. VIII (1936), p. 414.</w:t>
      </w:r>
    </w:p>
    <w:p w14:paraId="0E7737B8" w14:textId="77777777" w:rsidR="00B9662D" w:rsidRPr="00E9210E" w:rsidRDefault="00B9662D" w:rsidP="00B9662D">
      <w:pPr>
        <w:spacing w:before="120" w:after="120"/>
        <w:jc w:val="both"/>
      </w:pPr>
      <w:r w:rsidRPr="00E9210E">
        <w:t>Ce qu’on peut trouver dans les archives notariales. (Compte re</w:t>
      </w:r>
      <w:r w:rsidRPr="00E9210E">
        <w:t>n</w:t>
      </w:r>
      <w:r w:rsidRPr="00E9210E">
        <w:t xml:space="preserve">du : E. </w:t>
      </w:r>
      <w:r w:rsidRPr="00E9210E">
        <w:rPr>
          <w:rStyle w:val="Corpsdutexte27ptGras"/>
          <w:rFonts w:eastAsia="Courier New"/>
          <w:b w:val="0"/>
          <w:smallCaps/>
          <w:sz w:val="28"/>
        </w:rPr>
        <w:t>Coyecque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Paris et un emprunt d’État sous François I</w:t>
      </w:r>
      <w:r w:rsidRPr="00E9210E">
        <w:rPr>
          <w:rStyle w:val="Corpsdutexte28ptItalique"/>
          <w:rFonts w:eastAsia="Courier New"/>
          <w:sz w:val="28"/>
          <w:vertAlign w:val="superscript"/>
        </w:rPr>
        <w:t>er</w:t>
      </w:r>
      <w:r w:rsidRPr="00E9210E">
        <w:rPr>
          <w:rStyle w:val="Corpsdutexte28ptItalique"/>
          <w:rFonts w:eastAsia="Courier New"/>
          <w:sz w:val="28"/>
        </w:rPr>
        <w:t>,</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Société de l’histoire de Paris et de l’Ile-de-France,</w:t>
      </w:r>
      <w:r w:rsidRPr="00E9210E">
        <w:rPr>
          <w:rStyle w:val="Corpsdutexte28ptGraschelle120"/>
          <w:rFonts w:eastAsia="Courier New"/>
          <w:sz w:val="28"/>
        </w:rPr>
        <w:t xml:space="preserve"> </w:t>
      </w:r>
      <w:r w:rsidRPr="00E9210E">
        <w:t>t. LXII (1935), pp. 22-25), « A.H.E.S. », t. VIII (1936), p. 454.</w:t>
      </w:r>
    </w:p>
    <w:p w14:paraId="0EA142D2" w14:textId="77777777" w:rsidR="00B9662D" w:rsidRPr="00E9210E" w:rsidRDefault="00B9662D" w:rsidP="00B9662D">
      <w:pPr>
        <w:spacing w:before="120" w:after="120"/>
        <w:jc w:val="both"/>
      </w:pPr>
      <w:r w:rsidRPr="00E9210E">
        <w:t>Autres notaires : un problème de publication. (Compte rendu : R. </w:t>
      </w:r>
      <w:r w:rsidRPr="00E9210E">
        <w:rPr>
          <w:rStyle w:val="Corpsdutexte27ptGras"/>
          <w:rFonts w:eastAsia="Courier New"/>
          <w:b w:val="0"/>
          <w:smallCaps/>
          <w:sz w:val="28"/>
        </w:rPr>
        <w:t>Aubenas</w:t>
      </w:r>
      <w:r w:rsidRPr="00E9210E">
        <w:rPr>
          <w:rStyle w:val="Corpsdutexte27ptGras"/>
          <w:rFonts w:eastAsia="Courier New"/>
          <w:sz w:val="28"/>
        </w:rPr>
        <w:t xml:space="preserve">, </w:t>
      </w:r>
      <w:r w:rsidRPr="00E9210E">
        <w:rPr>
          <w:rStyle w:val="Corpsdutexte28ptItalique"/>
          <w:rFonts w:eastAsia="Courier New"/>
          <w:sz w:val="28"/>
        </w:rPr>
        <w:t xml:space="preserve">Documents notariés provençaux du </w:t>
      </w:r>
      <w:r w:rsidRPr="00E9210E">
        <w:rPr>
          <w:rStyle w:val="Corpsdutexte28ptItaliqueEspacement1pt"/>
          <w:rFonts w:eastAsia="Courier New"/>
          <w:sz w:val="28"/>
        </w:rPr>
        <w:t>XIII</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siècle</w:t>
      </w:r>
      <w:r w:rsidRPr="00E9210E">
        <w:rPr>
          <w:rFonts w:eastAsia="Courier New"/>
        </w:rPr>
        <w:t>,</w:t>
      </w:r>
      <w:r w:rsidRPr="00E9210E">
        <w:t xml:space="preserve"> Aix-en-Provence, 1935), « A.H.E.S. », t. VIII (1936), pp. 454-455.</w:t>
      </w:r>
    </w:p>
    <w:p w14:paraId="5B8D35DF" w14:textId="77777777" w:rsidR="00B9662D" w:rsidRPr="00E9210E" w:rsidRDefault="00B9662D" w:rsidP="00B9662D">
      <w:pPr>
        <w:spacing w:before="120" w:after="120"/>
        <w:jc w:val="both"/>
      </w:pPr>
      <w:r w:rsidRPr="00E9210E">
        <w:rPr>
          <w:rStyle w:val="Corpsdutexte385ptNonItalique"/>
          <w:rFonts w:eastAsia="Courier New"/>
          <w:i w:val="0"/>
          <w:iCs w:val="0"/>
          <w:sz w:val="28"/>
        </w:rPr>
        <w:t>De quelques plans et de quelques noms de lieux-dits. (Compte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 : H. </w:t>
      </w:r>
      <w:r w:rsidRPr="00E9210E">
        <w:rPr>
          <w:rStyle w:val="Corpsdutexte37ptGrasNonItalique"/>
          <w:rFonts w:eastAsia="Courier New"/>
          <w:b w:val="0"/>
          <w:i w:val="0"/>
          <w:iCs w:val="0"/>
          <w:smallCaps/>
          <w:sz w:val="28"/>
        </w:rPr>
        <w:t>Lemoine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 cadastre r</w:t>
      </w:r>
      <w:r w:rsidRPr="00E9210E">
        <w:rPr>
          <w:i/>
        </w:rPr>
        <w:t>é</w:t>
      </w:r>
      <w:r w:rsidRPr="00E9210E">
        <w:rPr>
          <w:i/>
        </w:rPr>
        <w:t>volutionnaire en Seine-et-Oise,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Bull, du Comité départemental pour la recherche et publication des documents relatifs à la vie éc</w:t>
      </w:r>
      <w:r w:rsidRPr="00E9210E">
        <w:rPr>
          <w:i/>
        </w:rPr>
        <w:t>o</w:t>
      </w:r>
      <w:r w:rsidRPr="00E9210E">
        <w:rPr>
          <w:i/>
        </w:rPr>
        <w:t>nomique de la Révolution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13</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fasc. (1931-1934), pp. 64-71), « A.H.E.S. », t. VIII (1936), p. 455.</w:t>
      </w:r>
    </w:p>
    <w:p w14:paraId="5358A612" w14:textId="77777777" w:rsidR="00B9662D" w:rsidRPr="00E9210E" w:rsidRDefault="00B9662D" w:rsidP="00B9662D">
      <w:pPr>
        <w:spacing w:before="120" w:after="120"/>
        <w:jc w:val="both"/>
      </w:pPr>
      <w:r w:rsidRPr="00E9210E">
        <w:t xml:space="preserve">L’histoire de l’histoire. (Compte rendu : </w:t>
      </w:r>
      <w:r w:rsidRPr="00E9210E">
        <w:rPr>
          <w:rStyle w:val="Corpsdutexte28ptItalique"/>
          <w:rFonts w:eastAsia="Courier New"/>
          <w:sz w:val="28"/>
        </w:rPr>
        <w:t>Geschichte der neueren Historiographie von E. Fueter,</w:t>
      </w:r>
      <w:r w:rsidRPr="00E9210E">
        <w:rPr>
          <w:rStyle w:val="Corpsdutexte28ptGraschelle120"/>
          <w:rFonts w:eastAsia="Courier New"/>
          <w:sz w:val="28"/>
        </w:rPr>
        <w:t xml:space="preserve"> </w:t>
      </w:r>
      <w:r w:rsidRPr="00E9210E">
        <w:t>3</w:t>
      </w:r>
      <w:r w:rsidRPr="00E9210E">
        <w:rPr>
          <w:vertAlign w:val="superscript"/>
        </w:rPr>
        <w:t>e</w:t>
      </w:r>
      <w:r w:rsidRPr="00E9210E">
        <w:t xml:space="preserve"> éd. par D. </w:t>
      </w:r>
      <w:r w:rsidRPr="00E9210E">
        <w:rPr>
          <w:rStyle w:val="Corpsdutexte27ptGras"/>
          <w:rFonts w:eastAsia="Courier New"/>
          <w:b w:val="0"/>
          <w:smallCaps/>
          <w:sz w:val="28"/>
        </w:rPr>
        <w:t>Gerhard</w:t>
      </w:r>
      <w:r w:rsidRPr="00E9210E">
        <w:rPr>
          <w:rStyle w:val="Corpsdutexte27ptGras"/>
          <w:rFonts w:eastAsia="Courier New"/>
          <w:sz w:val="28"/>
        </w:rPr>
        <w:t xml:space="preserve"> </w:t>
      </w:r>
      <w:r w:rsidRPr="00E9210E">
        <w:t xml:space="preserve">et P. </w:t>
      </w:r>
      <w:r w:rsidRPr="00E9210E">
        <w:rPr>
          <w:rStyle w:val="Corpsdutexte27ptGras"/>
          <w:rFonts w:eastAsia="Courier New"/>
          <w:b w:val="0"/>
          <w:smallCaps/>
          <w:sz w:val="28"/>
        </w:rPr>
        <w:t>Sattler</w:t>
      </w:r>
      <w:r w:rsidRPr="00E9210E">
        <w:rPr>
          <w:rStyle w:val="Corpsdutexte27ptGras"/>
          <w:rFonts w:eastAsia="Courier New"/>
          <w:b w:val="0"/>
          <w:sz w:val="28"/>
        </w:rPr>
        <w:t>,</w:t>
      </w:r>
      <w:r w:rsidRPr="00E9210E">
        <w:rPr>
          <w:rStyle w:val="Corpsdutexte27ptGras"/>
          <w:rFonts w:eastAsia="Courier New"/>
          <w:sz w:val="28"/>
        </w:rPr>
        <w:t xml:space="preserve"> </w:t>
      </w:r>
      <w:r w:rsidRPr="00E9210E">
        <w:t>Munich, 1936), « A.H.E.S. », t. VIII (1936), p. 458.</w:t>
      </w:r>
    </w:p>
    <w:p w14:paraId="0AE7D643" w14:textId="77777777" w:rsidR="00B9662D" w:rsidRPr="00E9210E" w:rsidRDefault="00B9662D" w:rsidP="00B9662D">
      <w:pPr>
        <w:spacing w:before="120" w:after="120"/>
        <w:jc w:val="both"/>
      </w:pPr>
      <w:r w:rsidRPr="00E9210E">
        <w:t xml:space="preserve">La sociologie et le passé du droit. (Compte rendu : </w:t>
      </w:r>
      <w:r w:rsidRPr="00E9210E">
        <w:rPr>
          <w:rStyle w:val="Corpsdutexte28ptItalique"/>
          <w:rFonts w:eastAsia="Courier New"/>
          <w:sz w:val="28"/>
        </w:rPr>
        <w:t>Annales soci</w:t>
      </w:r>
      <w:r w:rsidRPr="00E9210E">
        <w:rPr>
          <w:rStyle w:val="Corpsdutexte28ptItalique"/>
          <w:rFonts w:eastAsia="Courier New"/>
          <w:sz w:val="28"/>
        </w:rPr>
        <w:t>o</w:t>
      </w:r>
      <w:r w:rsidRPr="00E9210E">
        <w:rPr>
          <w:rStyle w:val="Corpsdutexte28ptItalique"/>
          <w:rFonts w:eastAsia="Courier New"/>
          <w:sz w:val="28"/>
        </w:rPr>
        <w:t>logiques,</w:t>
      </w:r>
      <w:r w:rsidRPr="00E9210E">
        <w:rPr>
          <w:rStyle w:val="Corpsdutexte28ptGraschelle120"/>
          <w:rFonts w:eastAsia="Courier New"/>
          <w:sz w:val="28"/>
        </w:rPr>
        <w:t xml:space="preserve"> </w:t>
      </w:r>
      <w:r w:rsidRPr="00E9210E">
        <w:t>série C, 1</w:t>
      </w:r>
      <w:r w:rsidRPr="00E9210E">
        <w:rPr>
          <w:vertAlign w:val="superscript"/>
        </w:rPr>
        <w:t>er</w:t>
      </w:r>
      <w:r w:rsidRPr="00E9210E">
        <w:t xml:space="preserve"> fasc., « Sociologie juridique et morale », Paris, 1935), « A.H.E.S. », t. VIII (1936), p. 458.</w:t>
      </w:r>
    </w:p>
    <w:p w14:paraId="7B137405" w14:textId="77777777" w:rsidR="00B9662D" w:rsidRPr="00E9210E" w:rsidRDefault="00B9662D" w:rsidP="00B9662D">
      <w:pPr>
        <w:spacing w:before="120" w:after="120"/>
        <w:jc w:val="both"/>
      </w:pPr>
      <w:r w:rsidRPr="00E9210E">
        <w:t xml:space="preserve">Problèmes de mesures. (Compte rendu : A. </w:t>
      </w:r>
      <w:r w:rsidRPr="00E9210E">
        <w:rPr>
          <w:rStyle w:val="Corpsdutexte27ptGras"/>
          <w:rFonts w:eastAsia="Courier New"/>
          <w:b w:val="0"/>
          <w:smallCaps/>
          <w:sz w:val="28"/>
        </w:rPr>
        <w:t>Dernier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Boisseaux de Sainte-Radegonde, Vouillé et Poitiers,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Bull, de la Soc. des Ant</w:t>
      </w:r>
      <w:r w:rsidRPr="00E9210E">
        <w:rPr>
          <w:rStyle w:val="Corpsdutexte28ptItalique"/>
          <w:rFonts w:eastAsia="Courier New"/>
          <w:sz w:val="28"/>
        </w:rPr>
        <w:t>i</w:t>
      </w:r>
      <w:r w:rsidRPr="00E9210E">
        <w:rPr>
          <w:rStyle w:val="Corpsdutexte28ptItalique"/>
          <w:rFonts w:eastAsia="Courier New"/>
          <w:sz w:val="28"/>
        </w:rPr>
        <w:t>quaires de l’Ouest,</w:t>
      </w:r>
      <w:r w:rsidRPr="00E9210E">
        <w:rPr>
          <w:rStyle w:val="Corpsdutexte28ptGraschelle120"/>
          <w:rFonts w:eastAsia="Courier New"/>
          <w:sz w:val="28"/>
        </w:rPr>
        <w:t xml:space="preserve"> </w:t>
      </w:r>
      <w:r w:rsidRPr="00E9210E">
        <w:t>3</w:t>
      </w:r>
      <w:r w:rsidRPr="00E9210E">
        <w:rPr>
          <w:vertAlign w:val="superscript"/>
        </w:rPr>
        <w:t>e</w:t>
      </w:r>
      <w:r w:rsidRPr="00E9210E">
        <w:t xml:space="preserve"> série, t. X (4</w:t>
      </w:r>
      <w:r w:rsidRPr="00E9210E">
        <w:rPr>
          <w:vertAlign w:val="superscript"/>
        </w:rPr>
        <w:t>e</w:t>
      </w:r>
      <w:r w:rsidRPr="00E9210E">
        <w:t xml:space="preserve"> trim. 1935), pp. 693-699), « A.H.E.S. », t. VIII (1936), p. 460.</w:t>
      </w:r>
    </w:p>
    <w:p w14:paraId="3456E00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Deux grands bourgeois. (Compte rendu : G. </w:t>
      </w:r>
      <w:r w:rsidRPr="00E9210E">
        <w:rPr>
          <w:rStyle w:val="Corpsdutexte37ptGrasNonItalique"/>
          <w:rFonts w:eastAsia="Courier New"/>
          <w:b w:val="0"/>
          <w:i w:val="0"/>
          <w:iCs w:val="0"/>
          <w:smallCaps/>
          <w:sz w:val="28"/>
        </w:rPr>
        <w:t>Espinas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Les origines du capitalisme. </w:t>
      </w:r>
      <w:r w:rsidRPr="00E9210E">
        <w:rPr>
          <w:rStyle w:val="Corpsdutexte385ptNonItalique"/>
          <w:rFonts w:eastAsia="Courier New"/>
          <w:i w:val="0"/>
          <w:iCs w:val="0"/>
          <w:sz w:val="28"/>
        </w:rPr>
        <w:t xml:space="preserve">II </w:t>
      </w:r>
      <w:r w:rsidRPr="00E9210E">
        <w:rPr>
          <w:i/>
        </w:rPr>
        <w:t>Sire Jean de France, patricien et rentier douaisien. Sire Jacques le Blond, patricien et drapier douaisien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Lille, 1936), « A.H.E.S. », t. VIII (1936), pp. 467-468.</w:t>
      </w:r>
    </w:p>
    <w:p w14:paraId="03DE0C59" w14:textId="77777777" w:rsidR="00B9662D" w:rsidRPr="00E9210E" w:rsidRDefault="00B9662D" w:rsidP="00B9662D">
      <w:pPr>
        <w:spacing w:before="120" w:after="120"/>
        <w:jc w:val="both"/>
      </w:pPr>
      <w:r w:rsidRPr="00E9210E">
        <w:t xml:space="preserve">Aux origines de l’Europe. (Comptes rendus : </w:t>
      </w:r>
      <w:r w:rsidRPr="00E9210E">
        <w:rPr>
          <w:rStyle w:val="Corpsdutexte28ptItalique"/>
          <w:rFonts w:eastAsia="Courier New"/>
          <w:sz w:val="28"/>
        </w:rPr>
        <w:t>Les destinées de l’Empire en Occident de 395 à 888,</w:t>
      </w:r>
      <w:r w:rsidRPr="00E9210E">
        <w:rPr>
          <w:rStyle w:val="Corpsdutexte28ptGraschelle120"/>
          <w:rFonts w:eastAsia="Courier New"/>
          <w:sz w:val="28"/>
        </w:rPr>
        <w:t xml:space="preserve"> </w:t>
      </w:r>
      <w:r w:rsidRPr="00E9210E">
        <w:t xml:space="preserve">coll. </w:t>
      </w:r>
      <w:r w:rsidRPr="00E9210E">
        <w:rPr>
          <w:rStyle w:val="Corpsdutexte28ptItalique"/>
          <w:rFonts w:eastAsia="Courier New"/>
          <w:sz w:val="28"/>
        </w:rPr>
        <w:t>Histoire générale,</w:t>
      </w:r>
      <w:r w:rsidRPr="00E9210E">
        <w:rPr>
          <w:rStyle w:val="Corpsdutexte28ptGraschelle120"/>
          <w:rFonts w:eastAsia="Courier New"/>
          <w:sz w:val="28"/>
        </w:rPr>
        <w:t xml:space="preserve"> </w:t>
      </w:r>
      <w:r w:rsidRPr="00E9210E">
        <w:t xml:space="preserve">publiée sous la direction de </w:t>
      </w:r>
      <w:r w:rsidRPr="00E9210E">
        <w:rPr>
          <w:rStyle w:val="Corpsdutexte27ptGras"/>
          <w:rFonts w:eastAsia="Courier New"/>
          <w:b w:val="0"/>
          <w:sz w:val="28"/>
        </w:rPr>
        <w:t xml:space="preserve">G. </w:t>
      </w:r>
      <w:r w:rsidRPr="00E9210E">
        <w:rPr>
          <w:rStyle w:val="Corpsdutexte27ptGras"/>
          <w:rFonts w:eastAsia="Courier New"/>
          <w:b w:val="0"/>
          <w:smallCaps/>
          <w:sz w:val="28"/>
        </w:rPr>
        <w:t>Glotz</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Paris, 1928-1935. — F. </w:t>
      </w:r>
      <w:r w:rsidRPr="00E9210E">
        <w:rPr>
          <w:rStyle w:val="Corpsdutexte29ptPetitesmajuscules"/>
          <w:rFonts w:eastAsia="Courier New"/>
          <w:sz w:val="28"/>
          <w:lang w:val="fr-CA"/>
        </w:rPr>
        <w:t xml:space="preserve">Lot, </w:t>
      </w:r>
      <w:r w:rsidRPr="00E9210E">
        <w:rPr>
          <w:rStyle w:val="Corpsdutexte28ptItalique"/>
          <w:rFonts w:eastAsia="Courier New"/>
          <w:sz w:val="28"/>
        </w:rPr>
        <w:t>Les inv</w:t>
      </w:r>
      <w:r w:rsidRPr="00E9210E">
        <w:rPr>
          <w:rStyle w:val="Corpsdutexte28ptItalique"/>
          <w:rFonts w:eastAsia="Courier New"/>
          <w:sz w:val="28"/>
        </w:rPr>
        <w:t>a</w:t>
      </w:r>
      <w:r w:rsidRPr="00E9210E">
        <w:rPr>
          <w:rStyle w:val="Corpsdutexte28ptItalique"/>
          <w:rFonts w:eastAsia="Courier New"/>
          <w:sz w:val="28"/>
        </w:rPr>
        <w:t>sions germaniques :</w:t>
      </w:r>
      <w:r w:rsidRPr="00E9210E">
        <w:rPr>
          <w:rFonts w:eastAsia="Courier New"/>
        </w:rPr>
        <w:t xml:space="preserve"> </w:t>
      </w:r>
      <w:r w:rsidRPr="00E9210E">
        <w:rPr>
          <w:rStyle w:val="Corpsdutexte28ptItalique"/>
          <w:rFonts w:eastAsia="Courier New"/>
          <w:sz w:val="28"/>
        </w:rPr>
        <w:t>la pénétration mutuelle du monde barbare et du monde romain,</w:t>
      </w:r>
      <w:r w:rsidRPr="00E9210E">
        <w:rPr>
          <w:rStyle w:val="Corpsdutexte28ptGraschelle120"/>
          <w:rFonts w:eastAsia="Courier New"/>
          <w:sz w:val="28"/>
        </w:rPr>
        <w:t xml:space="preserve"> </w:t>
      </w:r>
      <w:r w:rsidRPr="00E9210E">
        <w:t>Paris, 1935), « A.H.E.S. », t. VIII (1936), pp. 476-478.</w:t>
      </w:r>
    </w:p>
    <w:p w14:paraId="788C599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L’Europe en Asie. (Compte rendu : R. </w:t>
      </w:r>
      <w:r w:rsidRPr="00E9210E">
        <w:rPr>
          <w:rStyle w:val="Corpsdutexte37ptGrasNonItalique"/>
          <w:rFonts w:eastAsia="Courier New"/>
          <w:b w:val="0"/>
          <w:i w:val="0"/>
          <w:iCs w:val="0"/>
          <w:smallCaps/>
          <w:sz w:val="28"/>
        </w:rPr>
        <w:t>Grousset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des croisades et du royaume franc de Jérusalem.</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 </w:t>
      </w:r>
      <w:r w:rsidRPr="00E9210E">
        <w:rPr>
          <w:i/>
        </w:rPr>
        <w:t>L’anarchie musulm</w:t>
      </w:r>
      <w:r w:rsidRPr="00E9210E">
        <w:rPr>
          <w:i/>
        </w:rPr>
        <w:t>a</w:t>
      </w:r>
      <w:r w:rsidRPr="00E9210E">
        <w:rPr>
          <w:i/>
        </w:rPr>
        <w:t>ne et la conquête franque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1934), « A.H.E.S. », t. VIII (1936), pp. 478-479.</w:t>
      </w:r>
    </w:p>
    <w:p w14:paraId="3B55FCF4" w14:textId="77777777" w:rsidR="00B9662D" w:rsidRPr="00E9210E" w:rsidRDefault="00B9662D" w:rsidP="00B9662D">
      <w:pPr>
        <w:spacing w:before="120" w:after="120"/>
        <w:jc w:val="both"/>
      </w:pPr>
      <w:r w:rsidRPr="00E9210E">
        <w:t xml:space="preserve">Sur le commerce extérieur de l’Occident durant le Moyen Âge. (Compte rendu : E. </w:t>
      </w:r>
      <w:r w:rsidRPr="00E9210E">
        <w:rPr>
          <w:rStyle w:val="Corpsdutexte27ptGras"/>
          <w:rFonts w:eastAsia="Courier New"/>
          <w:b w:val="0"/>
          <w:smallCaps/>
          <w:sz w:val="28"/>
        </w:rPr>
        <w:t>Sabbe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L’importation des tissus orientaux en E</w:t>
      </w:r>
      <w:r w:rsidRPr="00E9210E">
        <w:rPr>
          <w:rStyle w:val="Corpsdutexte28ptItalique"/>
          <w:rFonts w:eastAsia="Courier New"/>
          <w:sz w:val="28"/>
        </w:rPr>
        <w:t>u</w:t>
      </w:r>
      <w:r w:rsidRPr="00E9210E">
        <w:rPr>
          <w:rStyle w:val="Corpsdutexte28ptItalique"/>
          <w:rFonts w:eastAsia="Courier New"/>
          <w:sz w:val="28"/>
        </w:rPr>
        <w:t>rope occidentale au Haut Moyen Âge, IX</w:t>
      </w:r>
      <w:r w:rsidRPr="00E9210E">
        <w:rPr>
          <w:rStyle w:val="Corpsdutexte28ptItalique"/>
          <w:rFonts w:eastAsia="Courier New"/>
          <w:sz w:val="28"/>
          <w:vertAlign w:val="superscript"/>
        </w:rPr>
        <w:t>e</w:t>
      </w:r>
      <w:r w:rsidRPr="00E9210E">
        <w:rPr>
          <w:rStyle w:val="Corpsdutexte28ptItalique"/>
          <w:rFonts w:eastAsia="Courier New"/>
          <w:sz w:val="28"/>
        </w:rPr>
        <w:t xml:space="preserve"> et X</w:t>
      </w:r>
      <w:r w:rsidRPr="00E9210E">
        <w:rPr>
          <w:rStyle w:val="Corpsdutexte28ptItalique"/>
          <w:rFonts w:eastAsia="Courier New"/>
          <w:sz w:val="28"/>
          <w:vertAlign w:val="superscript"/>
        </w:rPr>
        <w:t>e</w:t>
      </w:r>
      <w:r w:rsidRPr="00E9210E">
        <w:rPr>
          <w:rStyle w:val="Corpsdutexte28ptItalique"/>
          <w:rFonts w:eastAsia="Courier New"/>
          <w:sz w:val="28"/>
        </w:rPr>
        <w:t xml:space="preserve"> siècles,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belge de philologie et d’histoire,</w:t>
      </w:r>
      <w:r w:rsidRPr="00E9210E">
        <w:rPr>
          <w:rStyle w:val="Corpsdutexte28ptGraschelle120"/>
          <w:rFonts w:eastAsia="Courier New"/>
          <w:sz w:val="28"/>
        </w:rPr>
        <w:t xml:space="preserve"> </w:t>
      </w:r>
      <w:r w:rsidRPr="00E9210E">
        <w:t>t. XIV, pp. 811-848 et 1261-1288), « A.H.E.S. », t. VIII (1936), pp. 480-481.</w:t>
      </w:r>
    </w:p>
    <w:p w14:paraId="6CD5E34C" w14:textId="77777777" w:rsidR="00B9662D" w:rsidRPr="00E9210E" w:rsidRDefault="00B9662D" w:rsidP="00B9662D">
      <w:pPr>
        <w:spacing w:before="120" w:after="120"/>
        <w:jc w:val="both"/>
      </w:pPr>
      <w:r w:rsidRPr="00E9210E">
        <w:t xml:space="preserve">Le droit de commandement seigneurial : mots et choses. (Compte rendu : H. </w:t>
      </w:r>
      <w:r w:rsidRPr="00E9210E">
        <w:rPr>
          <w:rStyle w:val="Corpsdutexte27ptGras"/>
          <w:rFonts w:eastAsia="Courier New"/>
          <w:b w:val="0"/>
          <w:smallCaps/>
          <w:sz w:val="28"/>
        </w:rPr>
        <w:t>Wiessner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Twing und Bann : eine Studie über Herkunft, Wesen und Wandlung der Zwing- und Bannrec</w:t>
      </w:r>
      <w:r w:rsidRPr="00E9210E">
        <w:rPr>
          <w:rStyle w:val="Corpsdutexte28ptItalique"/>
          <w:rFonts w:eastAsia="Courier New"/>
          <w:sz w:val="28"/>
        </w:rPr>
        <w:t>h</w:t>
      </w:r>
      <w:r w:rsidRPr="00E9210E">
        <w:rPr>
          <w:rStyle w:val="Corpsdutexte28ptItalique"/>
          <w:rFonts w:eastAsia="Courier New"/>
          <w:sz w:val="28"/>
        </w:rPr>
        <w:t>te,</w:t>
      </w:r>
      <w:r w:rsidRPr="00E9210E">
        <w:rPr>
          <w:rStyle w:val="Corpsdutexte28ptGraschelle120"/>
          <w:rFonts w:eastAsia="Courier New"/>
          <w:sz w:val="28"/>
        </w:rPr>
        <w:t xml:space="preserve"> </w:t>
      </w:r>
      <w:r w:rsidRPr="00E9210E">
        <w:t>Baden bei Wien, 1935), « A.H.E.S. », t. VIII (1936), pp. 486-487.</w:t>
      </w:r>
    </w:p>
    <w:p w14:paraId="647DBF76" w14:textId="77777777" w:rsidR="00B9662D" w:rsidRPr="00E9210E" w:rsidRDefault="00B9662D" w:rsidP="00B9662D">
      <w:pPr>
        <w:spacing w:before="120" w:after="120"/>
        <w:jc w:val="both"/>
      </w:pPr>
      <w:r w:rsidRPr="00E9210E">
        <w:t xml:space="preserve">De la proportion des redevances et des corvées dans la seigneurie anglaise au </w:t>
      </w:r>
      <w:r w:rsidRPr="00E9210E">
        <w:rPr>
          <w:smallCaps/>
        </w:rPr>
        <w:t>xiii</w:t>
      </w:r>
      <w:r w:rsidRPr="00E9210E">
        <w:rPr>
          <w:vertAlign w:val="superscript"/>
        </w:rPr>
        <w:t>e</w:t>
      </w:r>
      <w:r w:rsidRPr="00E9210E">
        <w:t xml:space="preserve"> siècle. (Compte rendu : E. A. </w:t>
      </w:r>
      <w:r w:rsidRPr="00E9210E">
        <w:rPr>
          <w:rStyle w:val="Corpsdutexte27ptGras"/>
          <w:rFonts w:eastAsia="Courier New"/>
          <w:b w:val="0"/>
          <w:smallCaps/>
          <w:sz w:val="28"/>
        </w:rPr>
        <w:t>Kosminsky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Service and money rents in the thirteenth century,</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The economic history review,</w:t>
      </w:r>
      <w:r w:rsidRPr="00E9210E">
        <w:rPr>
          <w:rStyle w:val="Corpsdutexte28ptGraschelle120"/>
          <w:rFonts w:eastAsia="Courier New"/>
          <w:sz w:val="28"/>
        </w:rPr>
        <w:t xml:space="preserve"> </w:t>
      </w:r>
      <w:r w:rsidRPr="00E9210E">
        <w:t>t. V (avril 1935), pp. 24-45), « A.H.E.S. », t. VIII (1936), pp. 487-488.</w:t>
      </w:r>
    </w:p>
    <w:p w14:paraId="4726FE70" w14:textId="77777777" w:rsidR="00B9662D" w:rsidRPr="00E9210E" w:rsidRDefault="00B9662D" w:rsidP="00B9662D">
      <w:pPr>
        <w:spacing w:before="120" w:after="120"/>
        <w:jc w:val="both"/>
      </w:pPr>
      <w:r w:rsidRPr="00E9210E">
        <w:t>[1080]</w:t>
      </w:r>
    </w:p>
    <w:p w14:paraId="3DFBF018" w14:textId="77777777" w:rsidR="00B9662D" w:rsidRPr="00E9210E" w:rsidRDefault="00B9662D" w:rsidP="00B9662D">
      <w:pPr>
        <w:spacing w:before="120" w:after="120"/>
        <w:jc w:val="both"/>
      </w:pPr>
      <w:r w:rsidRPr="00E9210E">
        <w:t>Un chapitre d’histoire seigneuriale languedocienne. (Compte re</w:t>
      </w:r>
      <w:r w:rsidRPr="00E9210E">
        <w:t>n</w:t>
      </w:r>
      <w:r w:rsidRPr="00E9210E">
        <w:t xml:space="preserve">du : H. </w:t>
      </w:r>
      <w:r w:rsidRPr="00E9210E">
        <w:rPr>
          <w:rStyle w:val="Corpsdutexte27ptGras"/>
          <w:rFonts w:eastAsia="Courier New"/>
          <w:b w:val="0"/>
          <w:smallCaps/>
          <w:sz w:val="28"/>
        </w:rPr>
        <w:t>Richardot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fief roturier de Toulouse aux</w:t>
      </w:r>
      <w:r w:rsidRPr="00E9210E">
        <w:rPr>
          <w:rFonts w:eastAsia="Courier New"/>
        </w:rPr>
        <w:t xml:space="preserve"> </w:t>
      </w:r>
      <w:r w:rsidRPr="00E9210E">
        <w:rPr>
          <w:rStyle w:val="Corpsdutexte2ItaliqueEspacement1pt"/>
          <w:rFonts w:eastAsia="Courier New"/>
          <w:sz w:val="28"/>
          <w:lang w:val="fr-CA"/>
        </w:rPr>
        <w:t>XII</w:t>
      </w:r>
      <w:r w:rsidRPr="00E9210E">
        <w:rPr>
          <w:rStyle w:val="Corpsdutexte2ItaliqueEspacement1pt"/>
          <w:rFonts w:eastAsia="Courier New"/>
          <w:sz w:val="28"/>
          <w:vertAlign w:val="superscript"/>
          <w:lang w:val="fr-CA"/>
        </w:rPr>
        <w:t>e</w:t>
      </w:r>
      <w:r w:rsidRPr="00E9210E">
        <w:rPr>
          <w:rStyle w:val="Corpsdutexte2ItaliqueEspacement1pt"/>
          <w:rFonts w:eastAsia="Courier New"/>
          <w:sz w:val="28"/>
          <w:lang w:val="fr-CA"/>
        </w:rPr>
        <w:t xml:space="preserve"> et XIII</w:t>
      </w:r>
      <w:r w:rsidRPr="00E9210E">
        <w:rPr>
          <w:rStyle w:val="Corpsdutexte2ItaliqueEspacement1pt"/>
          <w:rFonts w:eastAsia="Courier New"/>
          <w:sz w:val="28"/>
          <w:vertAlign w:val="superscript"/>
          <w:lang w:val="fr-CA"/>
        </w:rPr>
        <w:t>e</w:t>
      </w:r>
      <w:r w:rsidRPr="00E9210E">
        <w:rPr>
          <w:rFonts w:eastAsia="Courier New"/>
        </w:rPr>
        <w:t> </w:t>
      </w:r>
      <w:r w:rsidRPr="00E9210E">
        <w:rPr>
          <w:rFonts w:eastAsia="Courier New"/>
          <w:i/>
        </w:rPr>
        <w:t>siècles</w:t>
      </w:r>
      <w:r w:rsidRPr="00E9210E">
        <w:rPr>
          <w:rFonts w:eastAsia="Courier New"/>
        </w:rPr>
        <w:t>,</w:t>
      </w:r>
      <w:r w:rsidRPr="00E9210E">
        <w:t xml:space="preserve"> dans </w:t>
      </w:r>
      <w:r w:rsidRPr="00E9210E">
        <w:rPr>
          <w:rFonts w:eastAsia="Courier New"/>
          <w:i/>
        </w:rPr>
        <w:t>Revue</w:t>
      </w:r>
      <w:r w:rsidRPr="00E9210E">
        <w:rPr>
          <w:rFonts w:eastAsia="Courier New"/>
        </w:rPr>
        <w:t xml:space="preserve"> </w:t>
      </w:r>
      <w:r w:rsidRPr="00E9210E">
        <w:rPr>
          <w:rFonts w:eastAsia="Courier New"/>
          <w:i/>
        </w:rPr>
        <w:t>historique de droit français et étranger</w:t>
      </w:r>
      <w:r w:rsidRPr="00E9210E">
        <w:rPr>
          <w:rFonts w:eastAsia="Courier New"/>
        </w:rPr>
        <w:t>,</w:t>
      </w:r>
      <w:r w:rsidRPr="00E9210E">
        <w:t xml:space="preserve"> 1935, pp. 307-359 et 495-569), « A.H.E.S. », t. VIII (1936), pp. 488-489.</w:t>
      </w:r>
    </w:p>
    <w:p w14:paraId="0536A7A8"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Une seigneurie et ses dépendants. (Compte rendu : P. </w:t>
      </w:r>
      <w:r w:rsidRPr="00E9210E">
        <w:rPr>
          <w:rStyle w:val="Corpsdutexte117ptGrasNonItaliqueEspacement0pt"/>
          <w:rFonts w:eastAsia="Courier New"/>
          <w:b w:val="0"/>
          <w:i w:val="0"/>
          <w:iCs w:val="0"/>
          <w:smallCaps/>
          <w:sz w:val="28"/>
          <w:lang w:val="fr-CA"/>
        </w:rPr>
        <w:t>Bonenfant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notice de donation du domaine de Leeuw à l’Église de Cologne et le problème de la colonisation saxonne en Brabant</w:t>
      </w:r>
      <w:r w:rsidRPr="00E9210E">
        <w:rPr>
          <w:rStyle w:val="Corpsdutexte11NonItaliqueEspacement0pt"/>
          <w:rFonts w:eastAsia="Courier New"/>
          <w:i w:val="0"/>
          <w:iCs w:val="0"/>
          <w:sz w:val="28"/>
          <w:lang w:val="fr-CA"/>
        </w:rPr>
        <w:t xml:space="preserve">, dans </w:t>
      </w:r>
      <w:r w:rsidRPr="00E9210E">
        <w:rPr>
          <w:rFonts w:eastAsia="Courier New"/>
          <w:i/>
        </w:rPr>
        <w:t>Revue belge de philologie et d'histoire</w:t>
      </w:r>
      <w:r w:rsidRPr="00E9210E">
        <w:rPr>
          <w:rStyle w:val="Corpsdutexte11NonItaliqueEspacement0pt"/>
          <w:rFonts w:eastAsia="Courier New"/>
          <w:i w:val="0"/>
          <w:iCs w:val="0"/>
          <w:sz w:val="28"/>
          <w:lang w:val="fr-CA"/>
        </w:rPr>
        <w:t>, t. XIV (1935), p. 775-810), « A.H.E.S. », t. VIII (1936), pp. 489-490.</w:t>
      </w:r>
    </w:p>
    <w:p w14:paraId="1CCA90D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Deux seigneuries du Sud-Ouest. (Comptes rendus : </w:t>
      </w:r>
      <w:r w:rsidRPr="00E9210E">
        <w:rPr>
          <w:rStyle w:val="Corpsdutexte117ptGrasNonItaliqueEspacement0pt"/>
          <w:rFonts w:eastAsia="Courier New"/>
          <w:b w:val="0"/>
          <w:i w:val="0"/>
          <w:iCs w:val="0"/>
          <w:sz w:val="28"/>
          <w:lang w:val="fr-CA"/>
        </w:rPr>
        <w:t>L.</w:t>
      </w:r>
      <w:r w:rsidRPr="00E9210E">
        <w:rPr>
          <w:rStyle w:val="Corpsdutexte117ptGrasNonItaliqueEspacement0pt"/>
          <w:rFonts w:eastAsia="Courier New"/>
          <w:i w:val="0"/>
          <w:iCs w:val="0"/>
          <w:sz w:val="28"/>
          <w:lang w:val="fr-CA"/>
        </w:rPr>
        <w:t xml:space="preserve"> </w:t>
      </w:r>
      <w:r w:rsidRPr="00E9210E">
        <w:rPr>
          <w:rStyle w:val="Corpsdutexte117ptGrasNonItaliqueEspacement0pt"/>
          <w:rFonts w:eastAsia="Courier New"/>
          <w:b w:val="0"/>
          <w:i w:val="0"/>
          <w:iCs w:val="0"/>
          <w:smallCaps/>
          <w:sz w:val="28"/>
          <w:lang w:val="fr-CA"/>
        </w:rPr>
        <w:t>Lacrocq</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Une seigneurie de Haut-Quercy : Belcastel</w:t>
      </w:r>
      <w:r w:rsidRPr="00E9210E">
        <w:rPr>
          <w:rStyle w:val="Corpsdutexte11NonItaliqueEspacement0pt"/>
          <w:rFonts w:eastAsia="Courier New"/>
          <w:i w:val="0"/>
          <w:iCs w:val="0"/>
          <w:sz w:val="28"/>
          <w:lang w:val="fr-CA"/>
        </w:rPr>
        <w:t xml:space="preserve">, dans </w:t>
      </w:r>
      <w:r w:rsidRPr="00E9210E">
        <w:rPr>
          <w:rFonts w:eastAsia="Courier New"/>
          <w:i/>
        </w:rPr>
        <w:t>Bull. de la Soc. des Études littéraires, scientifiques et artistiques du Lot</w:t>
      </w:r>
      <w:r w:rsidRPr="00E9210E">
        <w:rPr>
          <w:rStyle w:val="Corpsdutexte11NonItaliqueEspacement0pt"/>
          <w:rFonts w:eastAsia="Courier New"/>
          <w:i w:val="0"/>
          <w:iCs w:val="0"/>
          <w:sz w:val="28"/>
          <w:lang w:val="fr-CA"/>
        </w:rPr>
        <w:t>, 2</w:t>
      </w:r>
      <w:r w:rsidRPr="00E9210E">
        <w:rPr>
          <w:rStyle w:val="Corpsdutexte11NonItaliqueEspacement0pt"/>
          <w:rFonts w:eastAsia="Courier New"/>
          <w:i w:val="0"/>
          <w:iCs w:val="0"/>
          <w:sz w:val="28"/>
          <w:vertAlign w:val="superscript"/>
          <w:lang w:val="fr-CA"/>
        </w:rPr>
        <w:t>e</w:t>
      </w:r>
      <w:r w:rsidRPr="00E9210E">
        <w:rPr>
          <w:rStyle w:val="Corpsdutexte11NonItaliqueEspacement0pt"/>
          <w:rFonts w:eastAsia="Courier New"/>
          <w:i w:val="0"/>
          <w:iCs w:val="0"/>
          <w:sz w:val="28"/>
          <w:lang w:val="fr-CA"/>
        </w:rPr>
        <w:t xml:space="preserve"> fasc. (avril-juin 1935). — Ch. </w:t>
      </w:r>
      <w:r w:rsidRPr="00E9210E">
        <w:rPr>
          <w:rStyle w:val="Corpsdutexte117ptGrasNonItaliqueEspacement0pt"/>
          <w:rFonts w:eastAsia="Courier New"/>
          <w:b w:val="0"/>
          <w:i w:val="0"/>
          <w:iCs w:val="0"/>
          <w:smallCaps/>
          <w:sz w:val="28"/>
          <w:lang w:val="fr-CA"/>
        </w:rPr>
        <w:t>Higounet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 régime seigneurial et la vie rurale dans la Commanderie du Burgaud</w:t>
      </w:r>
      <w:r w:rsidRPr="00E9210E">
        <w:rPr>
          <w:rStyle w:val="Corpsdutexte11NonItaliqueEspacement0pt"/>
          <w:rFonts w:eastAsia="Courier New"/>
          <w:i w:val="0"/>
          <w:iCs w:val="0"/>
          <w:sz w:val="28"/>
          <w:lang w:val="fr-CA"/>
        </w:rPr>
        <w:t xml:space="preserve">, dans </w:t>
      </w:r>
      <w:r w:rsidRPr="00E9210E">
        <w:rPr>
          <w:rFonts w:eastAsia="Courier New"/>
          <w:i/>
        </w:rPr>
        <w:t>Annales du Midi</w:t>
      </w:r>
      <w:r w:rsidRPr="00E9210E">
        <w:rPr>
          <w:rFonts w:eastAsia="Courier New"/>
        </w:rPr>
        <w:t xml:space="preserve">, </w:t>
      </w:r>
      <w:r w:rsidRPr="00E9210E">
        <w:rPr>
          <w:rStyle w:val="Corpsdutexte11NonItaliqueEspacement0pt"/>
          <w:rFonts w:eastAsia="Courier New"/>
          <w:i w:val="0"/>
          <w:iCs w:val="0"/>
          <w:sz w:val="28"/>
          <w:lang w:val="fr-CA"/>
        </w:rPr>
        <w:t>t. XLVI (1934), pp. 317-336), « A.H.E.S. », t. VIII (1936), pp. 490-491.</w:t>
      </w:r>
    </w:p>
    <w:p w14:paraId="2222E2B8"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Problèmes seigneuriaux dans l’Allemagne moderne. (Compte re</w:t>
      </w:r>
      <w:r w:rsidRPr="00E9210E">
        <w:rPr>
          <w:rStyle w:val="Corpsdutexte11NonItaliqueEspacement0pt"/>
          <w:rFonts w:eastAsia="Courier New"/>
          <w:i w:val="0"/>
          <w:iCs w:val="0"/>
          <w:sz w:val="28"/>
          <w:lang w:val="fr-CA"/>
        </w:rPr>
        <w:t>n</w:t>
      </w:r>
      <w:r w:rsidRPr="00E9210E">
        <w:rPr>
          <w:rStyle w:val="Corpsdutexte11NonItaliqueEspacement0pt"/>
          <w:rFonts w:eastAsia="Courier New"/>
          <w:i w:val="0"/>
          <w:iCs w:val="0"/>
          <w:sz w:val="28"/>
          <w:lang w:val="fr-CA"/>
        </w:rPr>
        <w:t xml:space="preserve">du : Fr. </w:t>
      </w:r>
      <w:r w:rsidRPr="00E9210E">
        <w:rPr>
          <w:rStyle w:val="Corpsdutexte117ptGrasNonItaliqueEspacement0pt"/>
          <w:rFonts w:eastAsia="Courier New"/>
          <w:b w:val="0"/>
          <w:i w:val="0"/>
          <w:iCs w:val="0"/>
          <w:smallCaps/>
          <w:sz w:val="28"/>
          <w:lang w:val="fr-CA"/>
        </w:rPr>
        <w:t>Lütge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Die mitteldeutsche Grundherrschaft : Untersuchungen iiber die bäuerlichen Verhaltnisse (Agrarverfassung) Mitteldeut</w:t>
      </w:r>
      <w:r w:rsidRPr="00E9210E">
        <w:rPr>
          <w:rFonts w:eastAsia="Courier New"/>
          <w:i/>
        </w:rPr>
        <w:t>s</w:t>
      </w:r>
      <w:r w:rsidRPr="00E9210E">
        <w:rPr>
          <w:rFonts w:eastAsia="Courier New"/>
          <w:i/>
        </w:rPr>
        <w:t>chlands im</w:t>
      </w:r>
      <w:r w:rsidRPr="00E9210E">
        <w:rPr>
          <w:rFonts w:eastAsia="Courier New"/>
        </w:rPr>
        <w:t xml:space="preserve"> </w:t>
      </w:r>
      <w:r w:rsidRPr="00E9210E">
        <w:rPr>
          <w:rStyle w:val="Corpsdutexte118ptEspacement0pt"/>
          <w:rFonts w:eastAsia="Courier New"/>
          <w:sz w:val="28"/>
          <w:lang w:val="fr-CA"/>
        </w:rPr>
        <w:t xml:space="preserve">16.-18. </w:t>
      </w:r>
      <w:r w:rsidRPr="00E9210E">
        <w:rPr>
          <w:rFonts w:eastAsia="Courier New"/>
          <w:i/>
        </w:rPr>
        <w:t>Jahrhundert,</w:t>
      </w:r>
      <w:r w:rsidRPr="00E9210E">
        <w:rPr>
          <w:rStyle w:val="Corpsdutexte11NonItaliqueEspacement0pt"/>
          <w:rFonts w:eastAsia="Courier New"/>
          <w:i w:val="0"/>
          <w:iCs w:val="0"/>
          <w:sz w:val="28"/>
          <w:lang w:val="fr-CA"/>
        </w:rPr>
        <w:t xml:space="preserve"> Iéna, 1934), « A.H.E.S. », t. VIII (1936), pp. 491-494.</w:t>
      </w:r>
    </w:p>
    <w:p w14:paraId="2F606E2F" w14:textId="77777777" w:rsidR="00B9662D" w:rsidRPr="00E9210E" w:rsidRDefault="00B9662D" w:rsidP="00B9662D">
      <w:pPr>
        <w:spacing w:before="120" w:after="120"/>
        <w:jc w:val="both"/>
      </w:pPr>
      <w:r w:rsidRPr="00E9210E">
        <w:t xml:space="preserve">La corporation : Antiquité et Moyen Âge. (Compte rendu : G. M. </w:t>
      </w:r>
      <w:r w:rsidRPr="00E9210E">
        <w:rPr>
          <w:rStyle w:val="Corpsdutexte27ptGras"/>
          <w:rFonts w:eastAsia="Courier New"/>
          <w:b w:val="0"/>
          <w:smallCaps/>
          <w:sz w:val="28"/>
        </w:rPr>
        <w:t>Monti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corporazioni nell’evo antico e nell’alto medio evo : line</w:t>
      </w:r>
      <w:r w:rsidRPr="00E9210E">
        <w:rPr>
          <w:rFonts w:eastAsia="Courier New"/>
          <w:i/>
        </w:rPr>
        <w:t>a</w:t>
      </w:r>
      <w:r w:rsidRPr="00E9210E">
        <w:rPr>
          <w:rFonts w:eastAsia="Courier New"/>
          <w:i/>
        </w:rPr>
        <w:t>menti e ricerche</w:t>
      </w:r>
      <w:r w:rsidRPr="00E9210E">
        <w:rPr>
          <w:rFonts w:eastAsia="Courier New"/>
        </w:rPr>
        <w:t>,</w:t>
      </w:r>
      <w:r w:rsidRPr="00E9210E">
        <w:t xml:space="preserve"> Bari, 1934), « A.H.E.S. », t. VIII (1936), pp. 494-495.</w:t>
      </w:r>
    </w:p>
    <w:p w14:paraId="216FC38A"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Cluny et les clunisiens. (Compte rendu : G. de </w:t>
      </w:r>
      <w:r w:rsidRPr="00E9210E">
        <w:rPr>
          <w:rStyle w:val="Corpsdutexte117ptGrasNonItaliqueEspacement0pt"/>
          <w:rFonts w:eastAsia="Courier New"/>
          <w:b w:val="0"/>
          <w:i w:val="0"/>
          <w:iCs w:val="0"/>
          <w:smallCaps/>
          <w:sz w:val="28"/>
          <w:lang w:val="fr-CA"/>
        </w:rPr>
        <w:t>Valous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 Mon</w:t>
      </w:r>
      <w:r w:rsidRPr="00E9210E">
        <w:rPr>
          <w:rFonts w:eastAsia="Courier New"/>
          <w:i/>
        </w:rPr>
        <w:t>a</w:t>
      </w:r>
      <w:r w:rsidRPr="00E9210E">
        <w:rPr>
          <w:rFonts w:eastAsia="Courier New"/>
          <w:i/>
        </w:rPr>
        <w:t>chisme clunisien des origines au XV</w:t>
      </w:r>
      <w:r w:rsidRPr="00E9210E">
        <w:rPr>
          <w:rFonts w:eastAsia="Courier New"/>
          <w:i/>
          <w:vertAlign w:val="superscript"/>
        </w:rPr>
        <w:t>e</w:t>
      </w:r>
      <w:r w:rsidRPr="00E9210E">
        <w:rPr>
          <w:rFonts w:eastAsia="Courier New"/>
          <w:i/>
        </w:rPr>
        <w:t xml:space="preserve"> siècle : vie intérieure des mona</w:t>
      </w:r>
      <w:r w:rsidRPr="00E9210E">
        <w:rPr>
          <w:rFonts w:eastAsia="Courier New"/>
          <w:i/>
        </w:rPr>
        <w:t>s</w:t>
      </w:r>
      <w:r w:rsidRPr="00E9210E">
        <w:rPr>
          <w:rFonts w:eastAsia="Courier New"/>
          <w:i/>
        </w:rPr>
        <w:t>tères et organisation de l’ordre</w:t>
      </w:r>
      <w:r w:rsidRPr="00E9210E">
        <w:rPr>
          <w:rFonts w:eastAsia="Courier New"/>
        </w:rPr>
        <w:t xml:space="preserve">. </w:t>
      </w:r>
      <w:r w:rsidRPr="00E9210E">
        <w:rPr>
          <w:rStyle w:val="Corpsdutexte11NonItaliqueEspacement0pt"/>
          <w:rFonts w:eastAsia="Courier New"/>
          <w:i w:val="0"/>
          <w:iCs w:val="0"/>
          <w:sz w:val="28"/>
          <w:lang w:val="fr-CA"/>
        </w:rPr>
        <w:t xml:space="preserve">T. I. </w:t>
      </w:r>
      <w:r w:rsidRPr="00E9210E">
        <w:rPr>
          <w:rFonts w:eastAsia="Courier New"/>
          <w:i/>
        </w:rPr>
        <w:t>L’abbaye de Cluny ; les mona</w:t>
      </w:r>
      <w:r w:rsidRPr="00E9210E">
        <w:rPr>
          <w:rFonts w:eastAsia="Courier New"/>
          <w:i/>
        </w:rPr>
        <w:t>s</w:t>
      </w:r>
      <w:r w:rsidRPr="00E9210E">
        <w:rPr>
          <w:rFonts w:eastAsia="Courier New"/>
          <w:i/>
        </w:rPr>
        <w:t>tères clunisiens</w:t>
      </w:r>
      <w:r w:rsidRPr="00E9210E">
        <w:rPr>
          <w:rFonts w:eastAsia="Courier New"/>
        </w:rPr>
        <w:t>.</w:t>
      </w:r>
      <w:r w:rsidRPr="00E9210E">
        <w:rPr>
          <w:rStyle w:val="Corpsdutexte11NonItaliqueEspacement0pt"/>
          <w:rFonts w:eastAsia="Courier New"/>
          <w:i w:val="0"/>
          <w:iCs w:val="0"/>
          <w:sz w:val="28"/>
          <w:lang w:val="fr-CA"/>
        </w:rPr>
        <w:t xml:space="preserve"> — T. II. </w:t>
      </w:r>
      <w:r w:rsidRPr="00E9210E">
        <w:rPr>
          <w:rFonts w:eastAsia="Courier New"/>
          <w:i/>
        </w:rPr>
        <w:t>L’ordre de Cluny</w:t>
      </w:r>
      <w:r w:rsidRPr="00E9210E">
        <w:rPr>
          <w:rFonts w:eastAsia="Courier New"/>
        </w:rPr>
        <w:t>.</w:t>
      </w:r>
      <w:r w:rsidRPr="00E9210E">
        <w:rPr>
          <w:rStyle w:val="Corpsdutexte11NonItaliqueEspacement0pt"/>
          <w:rFonts w:eastAsia="Courier New"/>
          <w:i w:val="0"/>
          <w:iCs w:val="0"/>
          <w:sz w:val="28"/>
          <w:lang w:val="fr-CA"/>
        </w:rPr>
        <w:t> — </w:t>
      </w:r>
      <w:r w:rsidRPr="00E9210E">
        <w:rPr>
          <w:rFonts w:eastAsia="Courier New"/>
          <w:i/>
        </w:rPr>
        <w:t>Le temporel et la situ</w:t>
      </w:r>
      <w:r w:rsidRPr="00E9210E">
        <w:rPr>
          <w:rFonts w:eastAsia="Courier New"/>
          <w:i/>
        </w:rPr>
        <w:t>a</w:t>
      </w:r>
      <w:r w:rsidRPr="00E9210E">
        <w:rPr>
          <w:rFonts w:eastAsia="Courier New"/>
          <w:i/>
        </w:rPr>
        <w:t>tion financière des établissements de l’ordre de Cluny du XII</w:t>
      </w:r>
      <w:r w:rsidRPr="00E9210E">
        <w:rPr>
          <w:rFonts w:eastAsia="Courier New"/>
          <w:i/>
          <w:vertAlign w:val="superscript"/>
        </w:rPr>
        <w:t>e</w:t>
      </w:r>
      <w:r w:rsidRPr="00E9210E">
        <w:rPr>
          <w:rFonts w:eastAsia="Courier New"/>
          <w:i/>
        </w:rPr>
        <w:t> au XIII</w:t>
      </w:r>
      <w:r w:rsidRPr="00E9210E">
        <w:rPr>
          <w:rFonts w:eastAsia="Courier New"/>
          <w:i/>
          <w:vertAlign w:val="superscript"/>
        </w:rPr>
        <w:t>e</w:t>
      </w:r>
      <w:r w:rsidRPr="00E9210E">
        <w:rPr>
          <w:rFonts w:eastAsia="Courier New"/>
          <w:i/>
        </w:rPr>
        <w:t xml:space="preserve"> siècle, particulièrement dans les provinces françaises</w:t>
      </w:r>
      <w:r w:rsidRPr="00E9210E">
        <w:rPr>
          <w:rFonts w:eastAsia="Courier New"/>
        </w:rPr>
        <w:t>,</w:t>
      </w:r>
      <w:r w:rsidRPr="00E9210E">
        <w:rPr>
          <w:rStyle w:val="Corpsdutexte11NonItaliqueEspacement0pt"/>
          <w:rFonts w:eastAsia="Courier New"/>
          <w:i w:val="0"/>
          <w:iCs w:val="0"/>
          <w:sz w:val="28"/>
          <w:lang w:val="fr-CA"/>
        </w:rPr>
        <w:t xml:space="preserve"> Ligugé et Paris, 1935), « A.H.E.S. », t. VIII (1936), pp. 499-501.</w:t>
      </w:r>
    </w:p>
    <w:p w14:paraId="57AD3D07" w14:textId="77777777" w:rsidR="00B9662D" w:rsidRPr="00E9210E" w:rsidRDefault="00B9662D" w:rsidP="00B9662D">
      <w:pPr>
        <w:spacing w:before="120" w:after="120"/>
        <w:jc w:val="both"/>
      </w:pPr>
      <w:r w:rsidRPr="00E9210E">
        <w:t xml:space="preserve">La vie d’un ordre monastique. (Compte rendu : Père J. M. </w:t>
      </w:r>
      <w:r w:rsidRPr="00E9210E">
        <w:rPr>
          <w:rStyle w:val="Corpsdutexte27ptGras"/>
          <w:rFonts w:eastAsia="Courier New"/>
          <w:b w:val="0"/>
          <w:smallCaps/>
          <w:sz w:val="28"/>
        </w:rPr>
        <w:t>Can</w:t>
      </w:r>
      <w:r w:rsidRPr="00E9210E">
        <w:rPr>
          <w:rStyle w:val="Corpsdutexte27ptGras"/>
          <w:rFonts w:eastAsia="Courier New"/>
          <w:b w:val="0"/>
          <w:smallCaps/>
          <w:sz w:val="28"/>
        </w:rPr>
        <w:t>i</w:t>
      </w:r>
      <w:r w:rsidRPr="00E9210E">
        <w:rPr>
          <w:rStyle w:val="Corpsdutexte27ptGras"/>
          <w:rFonts w:eastAsia="Courier New"/>
          <w:b w:val="0"/>
          <w:smallCaps/>
          <w:sz w:val="28"/>
        </w:rPr>
        <w:t>vez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Statuta capitulorum generalium ordinis cisterciensis ab anno</w:t>
      </w:r>
      <w:r w:rsidRPr="00E9210E">
        <w:rPr>
          <w:rFonts w:eastAsia="Courier New"/>
        </w:rPr>
        <w:t xml:space="preserve"> </w:t>
      </w:r>
      <w:r w:rsidRPr="00E9210E">
        <w:rPr>
          <w:rStyle w:val="Corpsdutexte28ptItalique"/>
          <w:rFonts w:eastAsia="Courier New"/>
          <w:sz w:val="28"/>
        </w:rPr>
        <w:t xml:space="preserve">1116 </w:t>
      </w:r>
      <w:r w:rsidRPr="00E9210E">
        <w:rPr>
          <w:rFonts w:eastAsia="Courier New"/>
          <w:i/>
        </w:rPr>
        <w:t>ad annum</w:t>
      </w:r>
      <w:r w:rsidRPr="00E9210E">
        <w:rPr>
          <w:rFonts w:eastAsia="Courier New"/>
        </w:rPr>
        <w:t xml:space="preserve"> </w:t>
      </w:r>
      <w:r w:rsidRPr="00E9210E">
        <w:rPr>
          <w:rStyle w:val="Corpsdutexte28ptItalique"/>
          <w:rFonts w:eastAsia="Courier New"/>
          <w:sz w:val="28"/>
        </w:rPr>
        <w:t>1786.</w:t>
      </w:r>
      <w:r w:rsidRPr="00E9210E">
        <w:rPr>
          <w:rStyle w:val="Corpsdutexte28ptGraschelle120"/>
          <w:rFonts w:eastAsia="Courier New"/>
          <w:sz w:val="28"/>
        </w:rPr>
        <w:t xml:space="preserve"> </w:t>
      </w:r>
      <w:r w:rsidRPr="00E9210E">
        <w:t xml:space="preserve">T. II, </w:t>
      </w:r>
      <w:r w:rsidRPr="00E9210E">
        <w:rPr>
          <w:rFonts w:eastAsia="Courier New"/>
          <w:i/>
        </w:rPr>
        <w:t xml:space="preserve">Ab anno </w:t>
      </w:r>
      <w:r w:rsidRPr="00E9210E">
        <w:rPr>
          <w:rStyle w:val="Corpsdutexte28ptItalique"/>
          <w:rFonts w:eastAsia="Courier New"/>
          <w:sz w:val="28"/>
        </w:rPr>
        <w:t xml:space="preserve">1221 </w:t>
      </w:r>
      <w:r w:rsidRPr="00E9210E">
        <w:rPr>
          <w:rFonts w:eastAsia="Courier New"/>
          <w:i/>
        </w:rPr>
        <w:t>ad annum</w:t>
      </w:r>
      <w:r w:rsidRPr="00E9210E">
        <w:rPr>
          <w:rFonts w:eastAsia="Courier New"/>
        </w:rPr>
        <w:t xml:space="preserve"> </w:t>
      </w:r>
      <w:r w:rsidRPr="00E9210E">
        <w:rPr>
          <w:rStyle w:val="Corpsdutexte28ptItalique"/>
          <w:rFonts w:eastAsia="Courier New"/>
          <w:sz w:val="28"/>
        </w:rPr>
        <w:t>1261,</w:t>
      </w:r>
      <w:r w:rsidRPr="00E9210E">
        <w:rPr>
          <w:rStyle w:val="Corpsdutexte28ptGraschelle120"/>
          <w:rFonts w:eastAsia="Courier New"/>
          <w:sz w:val="28"/>
        </w:rPr>
        <w:t xml:space="preserve"> </w:t>
      </w:r>
      <w:r w:rsidRPr="00E9210E">
        <w:t>Louvain, 1934), « A.H.E.S. », t. VIII (1936), pp. 501-502.</w:t>
      </w:r>
    </w:p>
    <w:p w14:paraId="2C0B22B7" w14:textId="77777777" w:rsidR="00B9662D" w:rsidRPr="00E9210E" w:rsidRDefault="00B9662D" w:rsidP="00B9662D">
      <w:pPr>
        <w:spacing w:before="120" w:after="120"/>
        <w:jc w:val="both"/>
      </w:pPr>
      <w:r w:rsidRPr="00E9210E">
        <w:t xml:space="preserve">Le droit des moines. (Compte rendu : T. P. </w:t>
      </w:r>
      <w:r w:rsidRPr="00E9210E">
        <w:rPr>
          <w:smallCaps/>
        </w:rPr>
        <w:t xml:space="preserve">Mc. </w:t>
      </w:r>
      <w:r w:rsidRPr="00E9210E">
        <w:rPr>
          <w:rStyle w:val="Corpsdutexte27ptGras"/>
          <w:rFonts w:eastAsia="Courier New"/>
          <w:b w:val="0"/>
          <w:smallCaps/>
          <w:sz w:val="28"/>
        </w:rPr>
        <w:t>Laughlin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très a</w:t>
      </w:r>
      <w:r w:rsidRPr="00E9210E">
        <w:rPr>
          <w:rFonts w:eastAsia="Courier New"/>
          <w:i/>
        </w:rPr>
        <w:t>n</w:t>
      </w:r>
      <w:r w:rsidRPr="00E9210E">
        <w:rPr>
          <w:rFonts w:eastAsia="Courier New"/>
          <w:i/>
        </w:rPr>
        <w:t>cien droit monastique de l’Occident</w:t>
      </w:r>
      <w:r w:rsidRPr="00E9210E">
        <w:rPr>
          <w:rFonts w:eastAsia="Courier New"/>
        </w:rPr>
        <w:t>,</w:t>
      </w:r>
      <w:r w:rsidRPr="00E9210E">
        <w:t xml:space="preserve"> Ligugé et Paris, 1935), « A.H.E.S. », t. VIII (1936), pp. 502- 503.</w:t>
      </w:r>
    </w:p>
    <w:p w14:paraId="423F92E8" w14:textId="77777777" w:rsidR="00B9662D" w:rsidRPr="00E9210E" w:rsidRDefault="00B9662D" w:rsidP="00B9662D">
      <w:pPr>
        <w:spacing w:before="120" w:after="120"/>
        <w:jc w:val="both"/>
      </w:pPr>
      <w:r w:rsidRPr="00E9210E">
        <w:t xml:space="preserve">Aux origines de nos monastères. (Compte rendu : Léo </w:t>
      </w:r>
      <w:r w:rsidRPr="00E9210E">
        <w:rPr>
          <w:rStyle w:val="Corpsdutexte27ptGras"/>
          <w:rFonts w:eastAsia="Courier New"/>
          <w:b w:val="0"/>
          <w:smallCaps/>
          <w:sz w:val="28"/>
        </w:rPr>
        <w:t>Ueding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Geschichte der Klostergründungen der frühen Merowingerzeit</w:t>
      </w:r>
      <w:r w:rsidRPr="00E9210E">
        <w:t>, Be</w:t>
      </w:r>
      <w:r w:rsidRPr="00E9210E">
        <w:t>r</w:t>
      </w:r>
      <w:r w:rsidRPr="00E9210E">
        <w:t>lin, 1935), « A.H.E.S. », t. VIII (1936), p. 503.</w:t>
      </w:r>
    </w:p>
    <w:p w14:paraId="1BF3B29D" w14:textId="77777777" w:rsidR="00B9662D" w:rsidRPr="00E9210E" w:rsidRDefault="00B9662D" w:rsidP="00B9662D">
      <w:pPr>
        <w:spacing w:before="120" w:after="120"/>
        <w:jc w:val="both"/>
      </w:pPr>
      <w:r w:rsidRPr="00E9210E">
        <w:t xml:space="preserve">Le monachisme anglais. (Compte rendu : F. H. </w:t>
      </w:r>
      <w:r w:rsidRPr="00E9210E">
        <w:rPr>
          <w:rStyle w:val="Corpsdutexte27ptGras"/>
          <w:rFonts w:eastAsia="Courier New"/>
          <w:b w:val="0"/>
          <w:smallCaps/>
          <w:sz w:val="28"/>
        </w:rPr>
        <w:t>Crossley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e</w:t>
      </w:r>
      <w:r w:rsidRPr="00E9210E">
        <w:rPr>
          <w:rFonts w:eastAsia="Courier New"/>
          <w:i/>
        </w:rPr>
        <w:t>n</w:t>
      </w:r>
      <w:r w:rsidRPr="00E9210E">
        <w:rPr>
          <w:rFonts w:eastAsia="Courier New"/>
          <w:i/>
        </w:rPr>
        <w:t xml:space="preserve">glish abbey : its </w:t>
      </w:r>
      <w:r w:rsidRPr="00E9210E">
        <w:rPr>
          <w:rStyle w:val="Corpsdutexte2ItaliqueEspacement1pt"/>
          <w:rFonts w:eastAsia="Courier New"/>
          <w:sz w:val="28"/>
          <w:lang w:val="fr-CA"/>
        </w:rPr>
        <w:t>life</w:t>
      </w:r>
      <w:r w:rsidRPr="00E9210E">
        <w:rPr>
          <w:rFonts w:eastAsia="Courier New"/>
          <w:i/>
        </w:rPr>
        <w:t xml:space="preserve"> and work in the middle ages</w:t>
      </w:r>
      <w:r w:rsidRPr="00E9210E">
        <w:t>, Londres [1935]), « A.H.E.S. », t. VIII (1936), p. 503.</w:t>
      </w:r>
    </w:p>
    <w:p w14:paraId="6F17ECD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À Marseille, au </w:t>
      </w:r>
      <w:r w:rsidRPr="00E9210E">
        <w:rPr>
          <w:rStyle w:val="Corpsdutexte117ptGrasNonItaliqueEspacement0pt"/>
          <w:rFonts w:eastAsia="Courier New"/>
          <w:b w:val="0"/>
          <w:i w:val="0"/>
          <w:iCs w:val="0"/>
          <w:caps/>
          <w:sz w:val="28"/>
          <w:lang w:val="fr-CA"/>
        </w:rPr>
        <w:t>xiv</w:t>
      </w:r>
      <w:r w:rsidRPr="00E9210E">
        <w:rPr>
          <w:rStyle w:val="Corpsdutexte117ptGrasNonItaliqueEspacement0pt"/>
          <w:rFonts w:eastAsia="Courier New"/>
          <w:b w:val="0"/>
          <w:i w:val="0"/>
          <w:iCs w:val="0"/>
          <w:sz w:val="28"/>
          <w:vertAlign w:val="superscript"/>
          <w:lang w:val="fr-CA"/>
        </w:rPr>
        <w:t>e</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siècle. (Compte rendu : A. E. </w:t>
      </w:r>
      <w:r w:rsidRPr="00E9210E">
        <w:rPr>
          <w:rStyle w:val="Corpsdutexte117ptGrasNonItaliqueEspacement0pt"/>
          <w:rFonts w:eastAsia="Courier New"/>
          <w:b w:val="0"/>
          <w:i w:val="0"/>
          <w:iCs w:val="0"/>
          <w:smallCaps/>
          <w:sz w:val="28"/>
          <w:lang w:val="fr-CA"/>
        </w:rPr>
        <w:t>Sayous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transferts de risques, les associations commerciales et la lettre de change à Marseille pendant le XIV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 historique de droit français et étranger</w:t>
      </w:r>
      <w:r w:rsidRPr="00E9210E">
        <w:rPr>
          <w:rFonts w:eastAsia="Courier New"/>
        </w:rPr>
        <w:t>,</w:t>
      </w:r>
      <w:r w:rsidRPr="00E9210E">
        <w:rPr>
          <w:rStyle w:val="Corpsdutexte11NonItaliqueEspacement0pt"/>
          <w:rFonts w:eastAsia="Courier New"/>
          <w:i w:val="0"/>
          <w:iCs w:val="0"/>
          <w:sz w:val="28"/>
          <w:lang w:val="fr-CA"/>
        </w:rPr>
        <w:t xml:space="preserve"> 1935, pp. 469-494), « A.H.E.S. », t. VIII (1936), pp. 504-505.</w:t>
      </w:r>
    </w:p>
    <w:p w14:paraId="03E558E9" w14:textId="77777777" w:rsidR="00B9662D" w:rsidRPr="00E9210E" w:rsidRDefault="00B9662D" w:rsidP="00B9662D">
      <w:pPr>
        <w:spacing w:before="120" w:after="120"/>
        <w:jc w:val="both"/>
      </w:pPr>
      <w:r w:rsidRPr="00E9210E">
        <w:t xml:space="preserve">De la forteresse </w:t>
      </w:r>
      <w:r w:rsidRPr="00E9210E">
        <w:rPr>
          <w:rStyle w:val="Corpsdutexte27ptGras"/>
          <w:rFonts w:eastAsia="Courier New"/>
          <w:b w:val="0"/>
          <w:sz w:val="28"/>
        </w:rPr>
        <w:t xml:space="preserve">à </w:t>
      </w:r>
      <w:r w:rsidRPr="00E9210E">
        <w:t xml:space="preserve">l’usine. (Compte rendu, J. H. M. </w:t>
      </w:r>
      <w:r w:rsidRPr="00E9210E">
        <w:rPr>
          <w:rStyle w:val="Corpsdutexte27ptGras"/>
          <w:rFonts w:eastAsia="Courier New"/>
          <w:b w:val="0"/>
          <w:smallCaps/>
          <w:sz w:val="28"/>
        </w:rPr>
        <w:t>Clément</w:t>
      </w:r>
      <w:r w:rsidRPr="00E9210E">
        <w:rPr>
          <w:rStyle w:val="Corpsdutexte27ptGras"/>
          <w:rFonts w:eastAsia="Courier New"/>
          <w:sz w:val="28"/>
        </w:rPr>
        <w:t xml:space="preserve"> </w:t>
      </w:r>
      <w:r w:rsidRPr="00E9210E">
        <w:t xml:space="preserve">et </w:t>
      </w:r>
      <w:r w:rsidRPr="00E9210E">
        <w:rPr>
          <w:rStyle w:val="Corpsdutexte27ptGras"/>
          <w:rFonts w:eastAsia="Courier New"/>
          <w:b w:val="0"/>
          <w:sz w:val="28"/>
        </w:rPr>
        <w:t>P. </w:t>
      </w:r>
      <w:r w:rsidRPr="00E9210E">
        <w:rPr>
          <w:rStyle w:val="Corpsdutexte27ptGras"/>
          <w:rFonts w:eastAsia="Courier New"/>
          <w:b w:val="0"/>
          <w:smallCaps/>
          <w:sz w:val="28"/>
        </w:rPr>
        <w:t>Pradel</w:t>
      </w:r>
      <w:r w:rsidRPr="00E9210E">
        <w:rPr>
          <w:rStyle w:val="Corpsdutexte27ptGras"/>
          <w:rFonts w:eastAsia="Courier New"/>
          <w:b w:val="0"/>
          <w:sz w:val="28"/>
        </w:rPr>
        <w:t xml:space="preserve">, </w:t>
      </w:r>
      <w:r w:rsidRPr="00E9210E">
        <w:rPr>
          <w:rFonts w:eastAsia="Courier New"/>
          <w:i/>
        </w:rPr>
        <w:t>Montluçon et ses richesses d’art</w:t>
      </w:r>
      <w:r w:rsidRPr="00E9210E">
        <w:rPr>
          <w:rFonts w:eastAsia="Courier New"/>
        </w:rPr>
        <w:t>,</w:t>
      </w:r>
      <w:r w:rsidRPr="00E9210E">
        <w:t xml:space="preserve"> Montluçon, 1932), « A.H.E.S. », t. VIII (1936), p. 505.</w:t>
      </w:r>
    </w:p>
    <w:p w14:paraId="109098A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Deux villes du Massif Central. (Comptes rendus : P. </w:t>
      </w:r>
      <w:r w:rsidRPr="00E9210E">
        <w:rPr>
          <w:rStyle w:val="Corpsdutexte117ptGrasNonItaliqueEspacement0pt"/>
          <w:rFonts w:eastAsia="Courier New"/>
          <w:b w:val="0"/>
          <w:i w:val="0"/>
          <w:iCs w:val="0"/>
          <w:smallCaps/>
          <w:sz w:val="28"/>
          <w:lang w:val="fr-CA"/>
        </w:rPr>
        <w:t>Rascol</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Albi, étude géographique</w:t>
      </w:r>
      <w:r w:rsidRPr="00E9210E">
        <w:rPr>
          <w:rStyle w:val="Corpsdutexte11NonItaliqueEspacement0pt"/>
          <w:rFonts w:eastAsia="Courier New"/>
          <w:i w:val="0"/>
          <w:iCs w:val="0"/>
          <w:sz w:val="28"/>
          <w:lang w:val="fr-CA"/>
        </w:rPr>
        <w:t xml:space="preserve">, dans </w:t>
      </w:r>
      <w:r w:rsidRPr="00E9210E">
        <w:rPr>
          <w:rFonts w:eastAsia="Courier New"/>
          <w:i/>
        </w:rPr>
        <w:t>Revue géographique des Pyrénées et du Sud-Ouest</w:t>
      </w:r>
      <w:r w:rsidRPr="00E9210E">
        <w:rPr>
          <w:rFonts w:eastAsia="Courier New"/>
        </w:rPr>
        <w:t>,</w:t>
      </w:r>
      <w:r w:rsidRPr="00E9210E">
        <w:rPr>
          <w:rStyle w:val="Corpsdutexte11NonItaliqueEspacement0pt"/>
          <w:rFonts w:eastAsia="Courier New"/>
          <w:i w:val="0"/>
          <w:iCs w:val="0"/>
          <w:sz w:val="28"/>
          <w:lang w:val="fr-CA"/>
        </w:rPr>
        <w:t xml:space="preserve"> t. IV (1933). — </w:t>
      </w:r>
      <w:r w:rsidRPr="00E9210E">
        <w:rPr>
          <w:rFonts w:eastAsia="Courier New"/>
          <w:i/>
        </w:rPr>
        <w:t>Brive-la-Gaillarde, étude de géographie humaine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 géographique des Pyrénées et du Sud-Ouest</w:t>
      </w:r>
      <w:r w:rsidRPr="00E9210E">
        <w:rPr>
          <w:rFonts w:eastAsia="Courier New"/>
        </w:rPr>
        <w:t>,</w:t>
      </w:r>
      <w:r w:rsidRPr="00E9210E">
        <w:rPr>
          <w:rStyle w:val="Corpsdutexte11NonItaliqueEspacement0pt"/>
          <w:rFonts w:eastAsia="Courier New"/>
          <w:i w:val="0"/>
          <w:iCs w:val="0"/>
          <w:sz w:val="28"/>
          <w:lang w:val="fr-CA"/>
        </w:rPr>
        <w:t xml:space="preserve"> t. V [1934]), « A.H.E.S. », t. VIII (1936), pp. 505-506.</w:t>
      </w:r>
    </w:p>
    <w:p w14:paraId="163DB08A" w14:textId="77777777" w:rsidR="00B9662D" w:rsidRPr="00E9210E" w:rsidRDefault="00B9662D" w:rsidP="00B9662D">
      <w:pPr>
        <w:spacing w:before="120" w:after="120"/>
        <w:jc w:val="both"/>
      </w:pPr>
      <w:r w:rsidRPr="00E9210E">
        <w:t>Aux origines d’un courant de pensée. (Compte rendu : M. </w:t>
      </w:r>
      <w:r w:rsidRPr="00E9210E">
        <w:rPr>
          <w:rStyle w:val="Corpsdutexte27ptGras"/>
          <w:rFonts w:eastAsia="Courier New"/>
          <w:b w:val="0"/>
          <w:smallCaps/>
          <w:sz w:val="28"/>
        </w:rPr>
        <w:t>Dommanget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Pages choisies de Babeuf</w:t>
      </w:r>
      <w:r w:rsidRPr="00E9210E">
        <w:rPr>
          <w:rFonts w:eastAsia="Courier New"/>
        </w:rPr>
        <w:t>,</w:t>
      </w:r>
      <w:r w:rsidRPr="00E9210E">
        <w:t xml:space="preserve"> Paris, 1935), « A.H.E.S. », t. VIII (1936), pp. 510-511.</w:t>
      </w:r>
    </w:p>
    <w:p w14:paraId="57AA5E7F" w14:textId="77777777" w:rsidR="00B9662D" w:rsidRPr="00E9210E" w:rsidRDefault="00B9662D" w:rsidP="00B9662D">
      <w:pPr>
        <w:spacing w:before="120" w:after="120"/>
        <w:jc w:val="both"/>
      </w:pPr>
      <w:r w:rsidRPr="00E9210E">
        <w:t>[1081]</w:t>
      </w:r>
    </w:p>
    <w:p w14:paraId="3DF8091A" w14:textId="77777777" w:rsidR="00B9662D" w:rsidRPr="00E9210E" w:rsidRDefault="00B9662D" w:rsidP="00B9662D">
      <w:pPr>
        <w:spacing w:before="120" w:after="120"/>
        <w:jc w:val="both"/>
      </w:pPr>
      <w:r w:rsidRPr="00E9210E">
        <w:t xml:space="preserve">Les techniques, l’histoire et la vie. Note sur un grand problème d’influences. (Introduit l’article de A. G. </w:t>
      </w:r>
      <w:r w:rsidRPr="00E9210E">
        <w:rPr>
          <w:rStyle w:val="Corpsdutexte27ptGras"/>
          <w:rFonts w:eastAsia="Courier New"/>
          <w:b w:val="0"/>
          <w:smallCaps/>
          <w:sz w:val="28"/>
        </w:rPr>
        <w:t>Haudricourt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 l’origine de l’attelage moderne</w:t>
      </w:r>
      <w:r w:rsidRPr="00E9210E">
        <w:rPr>
          <w:rFonts w:eastAsia="Courier New"/>
        </w:rPr>
        <w:t>,</w:t>
      </w:r>
      <w:r w:rsidRPr="00E9210E">
        <w:t xml:space="preserve"> dans </w:t>
      </w:r>
      <w:r w:rsidRPr="00E9210E">
        <w:rPr>
          <w:rStyle w:val="Corpsdutexte28ptItalique"/>
          <w:rFonts w:eastAsia="Courier New"/>
          <w:sz w:val="28"/>
        </w:rPr>
        <w:t>Annales d’histoire économique et sociale</w:t>
      </w:r>
      <w:r w:rsidRPr="00E9210E">
        <w:t>, t. VIII (1936), pp. 515-522), « A.H.E.S. », t. VIII (1936), pp. 513-515.</w:t>
      </w:r>
    </w:p>
    <w:p w14:paraId="6F81F18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Nord et Sud : une enquête. (Compte rendu : </w:t>
      </w:r>
      <w:r w:rsidRPr="00E9210E">
        <w:rPr>
          <w:i/>
        </w:rPr>
        <w:t>Enquête sur les limites des influences septentrionales et méditerranéennes en France, faite sous la direction de M. G. Jeanton, par l’Association bourguignonne des Sociétés s</w:t>
      </w:r>
      <w:r w:rsidRPr="00E9210E">
        <w:rPr>
          <w:i/>
        </w:rPr>
        <w:t>a</w:t>
      </w:r>
      <w:r w:rsidRPr="00E9210E">
        <w:rPr>
          <w:i/>
        </w:rPr>
        <w:t>vantes (Section d’histoire du droit)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Dijon, 1936), « A.H.E.S. », t. VIII (1936), pp. 574-576.</w:t>
      </w:r>
    </w:p>
    <w:p w14:paraId="671C9685" w14:textId="77777777" w:rsidR="00B9662D" w:rsidRPr="00E9210E" w:rsidRDefault="00B9662D" w:rsidP="00B9662D">
      <w:pPr>
        <w:spacing w:before="120" w:after="120"/>
        <w:jc w:val="both"/>
      </w:pPr>
      <w:r w:rsidRPr="00E9210E">
        <w:t xml:space="preserve">Quelques manuels. (Comptes rendus : H. </w:t>
      </w:r>
      <w:r w:rsidRPr="00E9210E">
        <w:rPr>
          <w:rStyle w:val="Corpsdutexte27ptGras"/>
          <w:rFonts w:eastAsia="Courier New"/>
          <w:b w:val="0"/>
          <w:smallCaps/>
          <w:sz w:val="28"/>
        </w:rPr>
        <w:t>Heaton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Economic hi</w:t>
      </w:r>
      <w:r w:rsidRPr="00E9210E">
        <w:rPr>
          <w:rStyle w:val="Corpsdutexte28ptItalique"/>
          <w:rFonts w:eastAsia="Courier New"/>
          <w:sz w:val="28"/>
        </w:rPr>
        <w:t>s</w:t>
      </w:r>
      <w:r w:rsidRPr="00E9210E">
        <w:rPr>
          <w:rStyle w:val="Corpsdutexte28ptItalique"/>
          <w:rFonts w:eastAsia="Courier New"/>
          <w:sz w:val="28"/>
        </w:rPr>
        <w:t>tory of Europe</w:t>
      </w:r>
      <w:r w:rsidRPr="00E9210E">
        <w:t xml:space="preserve">, New York et Londres, 1936. — H. </w:t>
      </w:r>
      <w:r w:rsidRPr="00E9210E">
        <w:rPr>
          <w:rStyle w:val="Corpsdutexte27ptGras"/>
          <w:rFonts w:eastAsia="Courier New"/>
          <w:b w:val="0"/>
          <w:smallCaps/>
          <w:sz w:val="28"/>
        </w:rPr>
        <w:t>Sieveking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Wir</w:t>
      </w:r>
      <w:r w:rsidRPr="00E9210E">
        <w:rPr>
          <w:rStyle w:val="Corpsdutexte28ptItalique"/>
          <w:rFonts w:eastAsia="Courier New"/>
          <w:sz w:val="28"/>
        </w:rPr>
        <w:t>t</w:t>
      </w:r>
      <w:r w:rsidRPr="00E9210E">
        <w:rPr>
          <w:rStyle w:val="Corpsdutexte28ptItalique"/>
          <w:rFonts w:eastAsia="Courier New"/>
          <w:sz w:val="28"/>
        </w:rPr>
        <w:t>schaftsgeschichte,</w:t>
      </w:r>
      <w:r w:rsidRPr="00E9210E">
        <w:rPr>
          <w:rStyle w:val="Corpsdutexte28ptGraschelle120"/>
          <w:rFonts w:eastAsia="Courier New"/>
          <w:sz w:val="28"/>
        </w:rPr>
        <w:t xml:space="preserve"> </w:t>
      </w:r>
      <w:r w:rsidRPr="00E9210E">
        <w:t xml:space="preserve">Berlin, 1935. — L. </w:t>
      </w:r>
      <w:r w:rsidRPr="00E9210E">
        <w:rPr>
          <w:rStyle w:val="Corpsdutexte27ptGras"/>
          <w:rFonts w:eastAsia="Courier New"/>
          <w:b w:val="0"/>
          <w:smallCaps/>
          <w:sz w:val="28"/>
        </w:rPr>
        <w:t>Dechesne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économ</w:t>
      </w:r>
      <w:r w:rsidRPr="00E9210E">
        <w:rPr>
          <w:rStyle w:val="Corpsdutexte28ptItalique"/>
          <w:rFonts w:eastAsia="Courier New"/>
          <w:sz w:val="28"/>
        </w:rPr>
        <w:t>i</w:t>
      </w:r>
      <w:r w:rsidRPr="00E9210E">
        <w:rPr>
          <w:rStyle w:val="Corpsdutexte28ptItalique"/>
          <w:rFonts w:eastAsia="Courier New"/>
          <w:sz w:val="28"/>
        </w:rPr>
        <w:t>que contemporaine</w:t>
      </w:r>
      <w:r w:rsidRPr="00E9210E">
        <w:t>, Paris, 1936), « A.H.E.S. », t. VIII (1936), pp. 582-583.</w:t>
      </w:r>
    </w:p>
    <w:p w14:paraId="4EC76686" w14:textId="77777777" w:rsidR="00B9662D" w:rsidRPr="00E9210E" w:rsidRDefault="00B9662D" w:rsidP="00B9662D">
      <w:pPr>
        <w:spacing w:before="120" w:after="120"/>
        <w:jc w:val="both"/>
      </w:pPr>
      <w:r w:rsidRPr="00E9210E">
        <w:t xml:space="preserve">Pour mieux comprendre le passé d’une partie du monde. (Compte rendu : G. </w:t>
      </w:r>
      <w:r w:rsidRPr="00E9210E">
        <w:rPr>
          <w:rStyle w:val="Corpsdutexte27ptGras"/>
          <w:rFonts w:eastAsia="Courier New"/>
          <w:b w:val="0"/>
          <w:smallCaps/>
          <w:sz w:val="28"/>
        </w:rPr>
        <w:t>East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An historical geography of Europe,</w:t>
      </w:r>
      <w:r w:rsidRPr="00E9210E">
        <w:rPr>
          <w:rStyle w:val="Corpsdutexte28ptGraschelle120"/>
          <w:rFonts w:eastAsia="Courier New"/>
          <w:sz w:val="28"/>
        </w:rPr>
        <w:t xml:space="preserve"> </w:t>
      </w:r>
      <w:r w:rsidRPr="00E9210E">
        <w:t>Londres, 1935), « A.H.E.S. », t. VIII (1936), pp. 583-584.</w:t>
      </w:r>
    </w:p>
    <w:p w14:paraId="52B50655" w14:textId="77777777" w:rsidR="00B9662D" w:rsidRPr="00E9210E" w:rsidRDefault="00B9662D" w:rsidP="00B9662D">
      <w:pPr>
        <w:spacing w:before="120" w:after="120"/>
        <w:jc w:val="both"/>
      </w:pPr>
      <w:r w:rsidRPr="00E9210E">
        <w:t xml:space="preserve">Un inventaire de crises. (Compte rendu : E. </w:t>
      </w:r>
      <w:r w:rsidRPr="00E9210E">
        <w:rPr>
          <w:rStyle w:val="Corpsdutexte27ptGras"/>
          <w:rFonts w:eastAsia="Courier New"/>
          <w:b w:val="0"/>
          <w:smallCaps/>
          <w:sz w:val="28"/>
        </w:rPr>
        <w:t>Halévy</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R. </w:t>
      </w:r>
      <w:r w:rsidRPr="00E9210E">
        <w:rPr>
          <w:rStyle w:val="Corpsdutexte27ptGras"/>
          <w:rFonts w:eastAsia="Courier New"/>
          <w:b w:val="0"/>
          <w:smallCaps/>
          <w:sz w:val="28"/>
        </w:rPr>
        <w:t>Aron</w:t>
      </w:r>
      <w:r w:rsidRPr="00E9210E">
        <w:rPr>
          <w:rStyle w:val="Corpsdutexte27ptGras"/>
          <w:rFonts w:eastAsia="Courier New"/>
          <w:b w:val="0"/>
          <w:sz w:val="28"/>
        </w:rPr>
        <w:t>,</w:t>
      </w:r>
      <w:r w:rsidRPr="00E9210E">
        <w:rPr>
          <w:rStyle w:val="Corpsdutexte27ptGras"/>
          <w:rFonts w:eastAsia="Courier New"/>
          <w:sz w:val="28"/>
        </w:rPr>
        <w:t xml:space="preserve"> </w:t>
      </w:r>
      <w:r w:rsidRPr="00E9210E">
        <w:t>G. </w:t>
      </w:r>
      <w:r w:rsidRPr="00E9210E">
        <w:rPr>
          <w:rStyle w:val="Corpsdutexte27ptGras"/>
          <w:rFonts w:eastAsia="Courier New"/>
          <w:b w:val="0"/>
          <w:smallCaps/>
          <w:sz w:val="28"/>
        </w:rPr>
        <w:t>Friedmann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E. </w:t>
      </w:r>
      <w:r w:rsidRPr="00E9210E">
        <w:rPr>
          <w:rStyle w:val="Corpsdutexte27ptGras"/>
          <w:rFonts w:eastAsia="Courier New"/>
          <w:b w:val="0"/>
          <w:smallCaps/>
          <w:sz w:val="28"/>
        </w:rPr>
        <w:t>Bernard</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R. </w:t>
      </w:r>
      <w:r w:rsidRPr="00E9210E">
        <w:rPr>
          <w:rStyle w:val="Corpsdutexte27ptGras"/>
          <w:rFonts w:eastAsia="Courier New"/>
          <w:b w:val="0"/>
          <w:smallCaps/>
          <w:sz w:val="28"/>
        </w:rPr>
        <w:t>Marjolin</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E. </w:t>
      </w:r>
      <w:r w:rsidRPr="00E9210E">
        <w:rPr>
          <w:rStyle w:val="Corpsdutexte27ptGras"/>
          <w:rFonts w:eastAsia="Courier New"/>
          <w:b w:val="0"/>
          <w:smallCaps/>
          <w:sz w:val="28"/>
        </w:rPr>
        <w:t>Dennery</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C. </w:t>
      </w:r>
      <w:r w:rsidRPr="00E9210E">
        <w:rPr>
          <w:rStyle w:val="Corpsdutexte27ptGras"/>
          <w:rFonts w:eastAsia="Courier New"/>
          <w:b w:val="0"/>
          <w:smallCaps/>
          <w:sz w:val="28"/>
        </w:rPr>
        <w:t>Bouglé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Inventaires :</w:t>
      </w:r>
      <w:r w:rsidRPr="00E9210E">
        <w:rPr>
          <w:rFonts w:eastAsia="Courier New"/>
        </w:rPr>
        <w:t xml:space="preserve"> </w:t>
      </w:r>
      <w:r w:rsidRPr="00E9210E">
        <w:rPr>
          <w:rStyle w:val="Corpsdutexte28ptItalique"/>
          <w:rFonts w:eastAsia="Courier New"/>
          <w:sz w:val="28"/>
        </w:rPr>
        <w:t>la crise sociale et les idéologies nationales,</w:t>
      </w:r>
      <w:r w:rsidRPr="00E9210E">
        <w:rPr>
          <w:rStyle w:val="Corpsdutexte28ptGraschelle120"/>
          <w:rFonts w:eastAsia="Courier New"/>
          <w:sz w:val="28"/>
        </w:rPr>
        <w:t xml:space="preserve"> </w:t>
      </w:r>
      <w:r w:rsidRPr="00E9210E">
        <w:t>Paris, 1936), « A.H.E.S. », t. VIII (1936), pp. 584-585.</w:t>
      </w:r>
    </w:p>
    <w:p w14:paraId="05C0DB0D" w14:textId="77777777" w:rsidR="00B9662D" w:rsidRPr="00E9210E" w:rsidRDefault="00B9662D" w:rsidP="00B9662D">
      <w:pPr>
        <w:spacing w:before="120" w:after="120"/>
        <w:jc w:val="both"/>
      </w:pPr>
      <w:r w:rsidRPr="00E9210E">
        <w:t xml:space="preserve">Aux origines du patriotisme français. (Compte rendu : H. </w:t>
      </w:r>
      <w:r w:rsidRPr="00E9210E">
        <w:rPr>
          <w:rStyle w:val="Corpsdutexte27ptGrasPetitesmajuscules"/>
          <w:rFonts w:eastAsia="Courier New"/>
          <w:b w:val="0"/>
          <w:sz w:val="28"/>
          <w:lang w:val="fr-CA"/>
        </w:rPr>
        <w:t>Kämpf,</w:t>
      </w:r>
      <w:r w:rsidRPr="00E9210E">
        <w:rPr>
          <w:rStyle w:val="Corpsdutexte27ptGrasPetitesmajuscules"/>
          <w:rFonts w:eastAsia="Courier New"/>
          <w:sz w:val="28"/>
          <w:lang w:val="fr-CA"/>
        </w:rPr>
        <w:t xml:space="preserve"> </w:t>
      </w:r>
      <w:r w:rsidRPr="00E9210E">
        <w:rPr>
          <w:rStyle w:val="Corpsdutexte28ptItalique"/>
          <w:rFonts w:eastAsia="Courier New"/>
          <w:sz w:val="28"/>
        </w:rPr>
        <w:t>Pierre Dubois und die geistlichen Grundlagen des französischen N</w:t>
      </w:r>
      <w:r w:rsidRPr="00E9210E">
        <w:rPr>
          <w:rStyle w:val="Corpsdutexte28ptItalique"/>
          <w:rFonts w:eastAsia="Courier New"/>
          <w:sz w:val="28"/>
        </w:rPr>
        <w:t>a</w:t>
      </w:r>
      <w:r w:rsidRPr="00E9210E">
        <w:rPr>
          <w:rStyle w:val="Corpsdutexte28ptItalique"/>
          <w:rFonts w:eastAsia="Courier New"/>
          <w:sz w:val="28"/>
        </w:rPr>
        <w:t xml:space="preserve">tionalbewusstseins um 1300, </w:t>
      </w:r>
      <w:r w:rsidRPr="00E9210E">
        <w:t>Leipzig, 1935), « A.H.E.S. », t. VIII (1936), p. 586.</w:t>
      </w:r>
    </w:p>
    <w:p w14:paraId="52A031FA" w14:textId="77777777" w:rsidR="00B9662D" w:rsidRPr="00E9210E" w:rsidRDefault="00B9662D" w:rsidP="00B9662D">
      <w:pPr>
        <w:spacing w:before="120" w:after="120"/>
        <w:jc w:val="both"/>
      </w:pPr>
      <w:r w:rsidRPr="00E9210E">
        <w:t>Propos sur le droit divin. (Compte rendu : H. von</w:t>
      </w:r>
      <w:r w:rsidRPr="00E9210E">
        <w:rPr>
          <w:smallCaps/>
        </w:rPr>
        <w:t xml:space="preserve"> </w:t>
      </w:r>
      <w:r w:rsidRPr="00E9210E">
        <w:rPr>
          <w:rStyle w:val="Corpsdutexte27ptGras"/>
          <w:rFonts w:eastAsia="Courier New"/>
          <w:b w:val="0"/>
          <w:smallCaps/>
          <w:sz w:val="28"/>
        </w:rPr>
        <w:t>Borch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Das Go</w:t>
      </w:r>
      <w:r w:rsidRPr="00E9210E">
        <w:rPr>
          <w:rStyle w:val="Corpsdutexte28ptItalique"/>
          <w:rFonts w:eastAsia="Courier New"/>
          <w:sz w:val="28"/>
        </w:rPr>
        <w:t>t</w:t>
      </w:r>
      <w:r w:rsidRPr="00E9210E">
        <w:rPr>
          <w:rStyle w:val="Corpsdutexte28ptItalique"/>
          <w:rFonts w:eastAsia="Courier New"/>
          <w:sz w:val="28"/>
        </w:rPr>
        <w:t>tesgnadentum :</w:t>
      </w:r>
      <w:r w:rsidRPr="00E9210E">
        <w:rPr>
          <w:rFonts w:eastAsia="Courier New"/>
        </w:rPr>
        <w:t xml:space="preserve"> </w:t>
      </w:r>
      <w:r w:rsidRPr="00E9210E">
        <w:rPr>
          <w:rStyle w:val="Corpsdutexte28ptItalique"/>
          <w:rFonts w:eastAsia="Courier New"/>
          <w:sz w:val="28"/>
        </w:rPr>
        <w:t>historisch-soziologischer Versuch über die religiôse HerrschaftslegHimation</w:t>
      </w:r>
      <w:r w:rsidRPr="00E9210E">
        <w:rPr>
          <w:rFonts w:eastAsia="Courier New"/>
        </w:rPr>
        <w:t>,</w:t>
      </w:r>
      <w:r w:rsidRPr="00E9210E">
        <w:t xml:space="preserve"> Berlin, 1934), « A.H.E.S. », t. VIII (1936), p. 587.</w:t>
      </w:r>
    </w:p>
    <w:p w14:paraId="66AA1CC2" w14:textId="77777777" w:rsidR="00B9662D" w:rsidRPr="00E9210E" w:rsidRDefault="00B9662D" w:rsidP="00B9662D">
      <w:pPr>
        <w:spacing w:before="120" w:after="120"/>
        <w:jc w:val="both"/>
      </w:pPr>
      <w:r w:rsidRPr="00E9210E">
        <w:t>De l’unité romaine au particularisme médiéval. (Compte rendu : P. </w:t>
      </w:r>
      <w:r w:rsidRPr="00E9210E">
        <w:rPr>
          <w:rStyle w:val="Corpsdutexte27ptGras"/>
          <w:rFonts w:eastAsia="Courier New"/>
          <w:b w:val="0"/>
          <w:smallCaps/>
          <w:sz w:val="28"/>
        </w:rPr>
        <w:t>Vaccari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 xml:space="preserve">Dall’unità romana al particolarismo giuridico del medio evo (Italia, Francia, Germania), </w:t>
      </w:r>
      <w:r w:rsidRPr="00E9210E">
        <w:t>Pavie et Trêves, 1936), « A.H.E.S. », t. VIII (1936), p. 588.</w:t>
      </w:r>
    </w:p>
    <w:p w14:paraId="271E2F9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Aux origines </w:t>
      </w:r>
      <w:r w:rsidRPr="00E9210E">
        <w:rPr>
          <w:rStyle w:val="Corpsdutexte37ptGrasNonItalique"/>
          <w:rFonts w:eastAsia="Courier New"/>
          <w:b w:val="0"/>
          <w:i w:val="0"/>
          <w:iCs w:val="0"/>
          <w:sz w:val="28"/>
        </w:rPr>
        <w:t>de</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la Flandre. (Compte rendu : H. </w:t>
      </w:r>
      <w:r w:rsidRPr="00E9210E">
        <w:rPr>
          <w:rStyle w:val="Corpsdutexte37ptGrasNonItalique"/>
          <w:rFonts w:eastAsia="Courier New"/>
          <w:b w:val="0"/>
          <w:i w:val="0"/>
          <w:iCs w:val="0"/>
          <w:smallCaps/>
          <w:sz w:val="28"/>
        </w:rPr>
        <w:t>Sproemberg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Die Entstehung der Grafschaft Flandern</w:t>
      </w:r>
      <w:r w:rsidRPr="00E9210E">
        <w:rPr>
          <w:rStyle w:val="Corpsdutexte385ptNonItalique"/>
          <w:rFonts w:eastAsia="Courier New"/>
          <w:i w:val="0"/>
          <w:iCs w:val="0"/>
          <w:sz w:val="28"/>
        </w:rPr>
        <w:t xml:space="preserve">. Teil I. </w:t>
      </w:r>
      <w:r w:rsidRPr="00E9210E">
        <w:rPr>
          <w:i/>
        </w:rPr>
        <w:t>Die ursprüngliche Graf</w:t>
      </w:r>
      <w:r w:rsidRPr="00E9210E">
        <w:rPr>
          <w:i/>
        </w:rPr>
        <w:t>s</w:t>
      </w:r>
      <w:r w:rsidRPr="00E9210E">
        <w:rPr>
          <w:i/>
        </w:rPr>
        <w:t>chaft Flandern (864-892),</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Berlin, 1935)</w:t>
      </w:r>
      <w:r w:rsidRPr="00E9210E">
        <w:t>, « A.H.E.S. », t. VIII (1936), pp. 588-590.</w:t>
      </w:r>
    </w:p>
    <w:p w14:paraId="4C15A4E0" w14:textId="77777777" w:rsidR="00B9662D" w:rsidRPr="00E9210E" w:rsidRDefault="00B9662D" w:rsidP="00B9662D">
      <w:pPr>
        <w:spacing w:before="120" w:after="120"/>
        <w:jc w:val="both"/>
      </w:pPr>
      <w:r w:rsidRPr="00E9210E">
        <w:t xml:space="preserve">Les « féodalités » : une enquête comparative. (Compte rendu : Université libre de Bruxelles, Institut de Sociologie Solvay, </w:t>
      </w:r>
      <w:r w:rsidRPr="00E9210E">
        <w:rPr>
          <w:rStyle w:val="Corpsdutexte28ptItalique"/>
          <w:rFonts w:eastAsia="Courier New"/>
          <w:sz w:val="28"/>
        </w:rPr>
        <w:t>Les liens de vassalité et les immunités,</w:t>
      </w:r>
      <w:r w:rsidRPr="00E9210E">
        <w:rPr>
          <w:rStyle w:val="Corpsdutexte28ptGraschelle120"/>
          <w:rFonts w:eastAsia="Courier New"/>
          <w:sz w:val="28"/>
        </w:rPr>
        <w:t xml:space="preserve"> </w:t>
      </w:r>
      <w:r w:rsidRPr="00E9210E">
        <w:t>Bruxelles, 1936), « A.H.E.S. », t. VIII (1936), pp. 590-591.</w:t>
      </w:r>
    </w:p>
    <w:p w14:paraId="75631577" w14:textId="77777777" w:rsidR="00B9662D" w:rsidRPr="00E9210E" w:rsidRDefault="00B9662D" w:rsidP="00B9662D">
      <w:pPr>
        <w:spacing w:before="120" w:after="120"/>
        <w:jc w:val="both"/>
      </w:pPr>
      <w:r w:rsidRPr="00E9210E">
        <w:t xml:space="preserve">Des invasions à l’établissement du régime féodal. (Compte rendu : U. </w:t>
      </w:r>
      <w:r w:rsidRPr="00E9210E">
        <w:rPr>
          <w:rStyle w:val="Corpsdutexte27ptGras"/>
          <w:rFonts w:eastAsia="Courier New"/>
          <w:b w:val="0"/>
          <w:smallCaps/>
          <w:sz w:val="28"/>
        </w:rPr>
        <w:t>Stutz</w:t>
      </w:r>
      <w:r w:rsidRPr="00E9210E">
        <w:rPr>
          <w:rStyle w:val="Corpsdutexte27ptGras"/>
          <w:rFonts w:eastAsia="Courier New"/>
          <w:b w:val="0"/>
          <w:sz w:val="28"/>
        </w:rPr>
        <w:t>,</w:t>
      </w:r>
      <w:r w:rsidRPr="00E9210E">
        <w:rPr>
          <w:rStyle w:val="Corpsdutexte27ptGras"/>
          <w:rFonts w:eastAsia="Courier New"/>
          <w:sz w:val="28"/>
        </w:rPr>
        <w:t xml:space="preserve"> </w:t>
      </w:r>
      <w:r w:rsidRPr="00E9210E">
        <w:t>« </w:t>
      </w:r>
      <w:r w:rsidRPr="00E9210E">
        <w:rPr>
          <w:rStyle w:val="Corpsdutexte28ptItalique"/>
          <w:rFonts w:eastAsia="Courier New"/>
          <w:sz w:val="28"/>
        </w:rPr>
        <w:t>Römerwergeld</w:t>
      </w:r>
      <w:r w:rsidRPr="00E9210E">
        <w:rPr>
          <w:rStyle w:val="Corpsdutexte28ptGraschelle120"/>
          <w:rFonts w:eastAsia="Courier New"/>
          <w:sz w:val="28"/>
        </w:rPr>
        <w:t xml:space="preserve"> » </w:t>
      </w:r>
      <w:r w:rsidRPr="00E9210E">
        <w:rPr>
          <w:rStyle w:val="Corpsdutexte28ptItalique"/>
          <w:rFonts w:eastAsia="Courier New"/>
          <w:sz w:val="28"/>
        </w:rPr>
        <w:t>und</w:t>
      </w:r>
      <w:r w:rsidRPr="00E9210E">
        <w:rPr>
          <w:rStyle w:val="Corpsdutexte28ptGraschelle120"/>
          <w:rFonts w:eastAsia="Courier New"/>
          <w:sz w:val="28"/>
        </w:rPr>
        <w:t xml:space="preserve"> « </w:t>
      </w:r>
      <w:r w:rsidRPr="00E9210E">
        <w:rPr>
          <w:rStyle w:val="Corpsdutexte28ptItalique"/>
          <w:rFonts w:eastAsia="Courier New"/>
          <w:sz w:val="28"/>
        </w:rPr>
        <w:t>Herrenfall</w:t>
      </w:r>
      <w:r w:rsidRPr="00E9210E">
        <w:rPr>
          <w:rStyle w:val="Corpsdutexte28ptGraschelle120"/>
          <w:rFonts w:eastAsia="Courier New"/>
          <w:sz w:val="28"/>
        </w:rPr>
        <w:t xml:space="preserve"> » : </w:t>
      </w:r>
      <w:r w:rsidRPr="00E9210E">
        <w:rPr>
          <w:rStyle w:val="Corpsdutexte28ptItalique"/>
          <w:rFonts w:eastAsia="Courier New"/>
          <w:sz w:val="28"/>
        </w:rPr>
        <w:t>zwei kritische Beitràge zur Rechts- und Verfassungsgeschichte der fränkischen Zeit,</w:t>
      </w:r>
      <w:r w:rsidRPr="00E9210E">
        <w:rPr>
          <w:rStyle w:val="Corpsdutexte28ptGraschelle120"/>
          <w:rFonts w:eastAsia="Courier New"/>
          <w:sz w:val="28"/>
        </w:rPr>
        <w:t xml:space="preserve"> </w:t>
      </w:r>
      <w:r w:rsidRPr="00E9210E">
        <w:t>Berlin, 1934), « A.H.E.S. », t. VIII (1936), pp. 591- 592.</w:t>
      </w:r>
    </w:p>
    <w:p w14:paraId="753B6C3D" w14:textId="77777777" w:rsidR="00B9662D" w:rsidRPr="00E9210E" w:rsidRDefault="00B9662D" w:rsidP="00B9662D">
      <w:pPr>
        <w:spacing w:before="120" w:after="120"/>
        <w:jc w:val="both"/>
      </w:pPr>
      <w:r w:rsidRPr="00E9210E">
        <w:t xml:space="preserve">L’œuvre d’un juriste médiéval. (Compte rendu : U. </w:t>
      </w:r>
      <w:r w:rsidRPr="00E9210E">
        <w:rPr>
          <w:rStyle w:val="Corpsdutexte27ptGras"/>
          <w:rFonts w:eastAsia="Courier New"/>
          <w:b w:val="0"/>
          <w:smallCaps/>
          <w:sz w:val="28"/>
        </w:rPr>
        <w:t>Nicolini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Tra</w:t>
      </w:r>
      <w:r w:rsidRPr="00E9210E">
        <w:rPr>
          <w:rStyle w:val="Corpsdutexte28ptItalique"/>
          <w:rFonts w:eastAsia="Courier New"/>
          <w:sz w:val="28"/>
        </w:rPr>
        <w:t>t</w:t>
      </w:r>
      <w:r w:rsidRPr="00E9210E">
        <w:rPr>
          <w:rStyle w:val="Corpsdutexte28ptItalique"/>
          <w:rFonts w:eastAsia="Courier New"/>
          <w:sz w:val="28"/>
        </w:rPr>
        <w:t>tati</w:t>
      </w:r>
      <w:r w:rsidRPr="00E9210E">
        <w:rPr>
          <w:rStyle w:val="Corpsdutexte28ptGraschelle120"/>
          <w:rFonts w:eastAsia="Courier New"/>
          <w:sz w:val="28"/>
        </w:rPr>
        <w:t xml:space="preserve"> </w:t>
      </w:r>
      <w:r w:rsidRPr="00E9210E">
        <w:t>« </w:t>
      </w:r>
      <w:r w:rsidRPr="00E9210E">
        <w:rPr>
          <w:rStyle w:val="Corpsdutexte28ptItalique"/>
          <w:rFonts w:eastAsia="Courier New"/>
          <w:sz w:val="28"/>
        </w:rPr>
        <w:t>de p</w:t>
      </w:r>
      <w:r w:rsidRPr="00E9210E">
        <w:rPr>
          <w:rStyle w:val="Corpsdutexte28ptItalique"/>
          <w:rFonts w:eastAsia="Courier New"/>
          <w:sz w:val="28"/>
        </w:rPr>
        <w:t>o</w:t>
      </w:r>
      <w:r w:rsidRPr="00E9210E">
        <w:rPr>
          <w:rStyle w:val="Corpsdutexte28ptItalique"/>
          <w:rFonts w:eastAsia="Courier New"/>
          <w:sz w:val="28"/>
        </w:rPr>
        <w:t>sitionibus</w:t>
      </w:r>
      <w:r w:rsidRPr="00E9210E">
        <w:rPr>
          <w:rStyle w:val="Corpsdutexte28ptGraschelle120"/>
          <w:rFonts w:eastAsia="Courier New"/>
          <w:sz w:val="28"/>
        </w:rPr>
        <w:t> »</w:t>
      </w:r>
      <w:r w:rsidRPr="00E9210E">
        <w:t xml:space="preserve"> </w:t>
      </w:r>
      <w:r w:rsidRPr="00E9210E">
        <w:rPr>
          <w:rStyle w:val="Corpsdutexte28ptItalique"/>
          <w:rFonts w:eastAsia="Courier New"/>
          <w:sz w:val="28"/>
        </w:rPr>
        <w:t>attributi a Martino da Fano,</w:t>
      </w:r>
      <w:r w:rsidRPr="00E9210E">
        <w:rPr>
          <w:rStyle w:val="Corpsdutexte28ptGraschelle120"/>
          <w:rFonts w:eastAsia="Courier New"/>
          <w:sz w:val="28"/>
        </w:rPr>
        <w:t xml:space="preserve"> </w:t>
      </w:r>
      <w:r w:rsidRPr="00E9210E">
        <w:t>Milan, 1935), « A.H.E.S. », t. VIII (1936), p. 592.</w:t>
      </w:r>
    </w:p>
    <w:p w14:paraId="03B463AA" w14:textId="77777777" w:rsidR="00B9662D" w:rsidRPr="00E9210E" w:rsidRDefault="00B9662D" w:rsidP="00B9662D">
      <w:pPr>
        <w:spacing w:before="120" w:after="120"/>
        <w:jc w:val="both"/>
      </w:pPr>
      <w:r w:rsidRPr="00E9210E">
        <w:t>Quelques monographies. (Comptes rendus : D</w:t>
      </w:r>
      <w:r w:rsidRPr="00E9210E">
        <w:rPr>
          <w:vertAlign w:val="superscript"/>
        </w:rPr>
        <w:t>r</w:t>
      </w:r>
      <w:r w:rsidRPr="00E9210E">
        <w:t xml:space="preserve"> de </w:t>
      </w:r>
      <w:r w:rsidRPr="00E9210E">
        <w:rPr>
          <w:rStyle w:val="Corpsdutexte27ptGras"/>
          <w:rFonts w:eastAsia="Courier New"/>
          <w:b w:val="0"/>
          <w:smallCaps/>
          <w:sz w:val="28"/>
        </w:rPr>
        <w:t>Brinon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Va</w:t>
      </w:r>
      <w:r w:rsidRPr="00E9210E">
        <w:rPr>
          <w:rStyle w:val="Corpsdutexte28ptItalique"/>
          <w:rFonts w:eastAsia="Courier New"/>
          <w:sz w:val="28"/>
        </w:rPr>
        <w:t>u</w:t>
      </w:r>
      <w:r w:rsidRPr="00E9210E">
        <w:rPr>
          <w:rStyle w:val="Corpsdutexte28ptItalique"/>
          <w:rFonts w:eastAsia="Courier New"/>
          <w:sz w:val="28"/>
        </w:rPr>
        <w:t>mas,</w:t>
      </w:r>
      <w:r w:rsidRPr="00E9210E">
        <w:rPr>
          <w:rStyle w:val="Corpsdutexte28ptGraschelle120"/>
          <w:rFonts w:eastAsia="Courier New"/>
          <w:sz w:val="28"/>
        </w:rPr>
        <w:t xml:space="preserve"> </w:t>
      </w:r>
      <w:r w:rsidRPr="00E9210E">
        <w:t>Mo</w:t>
      </w:r>
      <w:r w:rsidRPr="00E9210E">
        <w:t>u</w:t>
      </w:r>
      <w:r w:rsidRPr="00E9210E">
        <w:t xml:space="preserve">lins, 1935. — A. </w:t>
      </w:r>
      <w:r w:rsidRPr="00E9210E">
        <w:rPr>
          <w:rStyle w:val="Corpsdutexte27ptGras"/>
          <w:rFonts w:eastAsia="Courier New"/>
          <w:b w:val="0"/>
          <w:smallCaps/>
          <w:sz w:val="28"/>
        </w:rPr>
        <w:t>Morin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Saint-Pouange (Aube),</w:t>
      </w:r>
      <w:r w:rsidRPr="00E9210E">
        <w:rPr>
          <w:rStyle w:val="Corpsdutexte28ptGraschelle120"/>
          <w:rFonts w:eastAsia="Courier New"/>
          <w:sz w:val="28"/>
        </w:rPr>
        <w:t xml:space="preserve"> </w:t>
      </w:r>
      <w:r w:rsidRPr="00E9210E">
        <w:t xml:space="preserve">Troyes, 1935. — E. </w:t>
      </w:r>
      <w:r w:rsidRPr="00E9210E">
        <w:rPr>
          <w:rStyle w:val="Corpsdutexte27ptGras"/>
          <w:rFonts w:eastAsia="Courier New"/>
          <w:b w:val="0"/>
          <w:smallCaps/>
          <w:sz w:val="28"/>
        </w:rPr>
        <w:t>Garmy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du canton de Marcillat-d’Allier,</w:t>
      </w:r>
      <w:r w:rsidRPr="00E9210E">
        <w:rPr>
          <w:rStyle w:val="Corpsdutexte28ptGraschelle120"/>
          <w:rFonts w:eastAsia="Courier New"/>
          <w:sz w:val="28"/>
        </w:rPr>
        <w:t xml:space="preserve"> </w:t>
      </w:r>
      <w:r w:rsidRPr="00E9210E">
        <w:t>s.l., s.d.), « A.H.E.S. », t. VIII (1936), pp. 592-594.</w:t>
      </w:r>
    </w:p>
    <w:p w14:paraId="3A601BD8" w14:textId="77777777" w:rsidR="00B9662D" w:rsidRPr="00E9210E" w:rsidRDefault="00B9662D" w:rsidP="00B9662D">
      <w:pPr>
        <w:spacing w:before="120" w:after="120"/>
        <w:jc w:val="both"/>
      </w:pPr>
      <w:r w:rsidRPr="00E9210E">
        <w:t>Les transformations d’un village d’Alsace. (Compte rendu : C. </w:t>
      </w:r>
      <w:r w:rsidRPr="00E9210E">
        <w:rPr>
          <w:rStyle w:val="Corpsdutexte27ptGras"/>
          <w:rFonts w:eastAsia="Courier New"/>
          <w:b w:val="0"/>
          <w:smallCaps/>
          <w:sz w:val="28"/>
        </w:rPr>
        <w:t>Sittig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vie d’une commune alsacienne :</w:t>
      </w:r>
      <w:r w:rsidRPr="00E9210E">
        <w:rPr>
          <w:rFonts w:eastAsia="Courier New"/>
        </w:rPr>
        <w:t xml:space="preserve"> </w:t>
      </w:r>
      <w:r w:rsidRPr="00E9210E">
        <w:rPr>
          <w:rStyle w:val="Corpsdutexte28ptItalique"/>
          <w:rFonts w:eastAsia="Courier New"/>
          <w:sz w:val="28"/>
        </w:rPr>
        <w:t xml:space="preserve">Vendenheim depuis le début du </w:t>
      </w:r>
      <w:r w:rsidRPr="00E9210E">
        <w:rPr>
          <w:rStyle w:val="Corpsdutexte28ptItaliqueEspacement1pt"/>
          <w:rFonts w:eastAsia="Courier New"/>
          <w:sz w:val="28"/>
        </w:rPr>
        <w:t>XIX</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Revue d’Alsace,</w:t>
      </w:r>
      <w:r w:rsidRPr="00E9210E">
        <w:rPr>
          <w:rStyle w:val="Corpsdutexte28ptGraschelle120"/>
          <w:rFonts w:eastAsia="Courier New"/>
          <w:sz w:val="28"/>
        </w:rPr>
        <w:t xml:space="preserve"> </w:t>
      </w:r>
      <w:r w:rsidRPr="00E9210E">
        <w:t>t. LXXXI (1934), pp. 359-382), « A.H.E.S. », t. VIII (1936), pp. 594-595.</w:t>
      </w:r>
    </w:p>
    <w:p w14:paraId="1418F1F5" w14:textId="77777777" w:rsidR="00B9662D" w:rsidRPr="00E9210E" w:rsidRDefault="00B9662D" w:rsidP="00B9662D">
      <w:pPr>
        <w:spacing w:before="120" w:after="120"/>
        <w:jc w:val="both"/>
      </w:pPr>
      <w:r w:rsidRPr="00E9210E">
        <w:t xml:space="preserve">Un village breton. (Compte rendu : L. </w:t>
      </w:r>
      <w:r w:rsidRPr="00E9210E">
        <w:rPr>
          <w:rStyle w:val="Corpsdutexte27ptGras"/>
          <w:rFonts w:eastAsia="Courier New"/>
          <w:b w:val="0"/>
          <w:smallCaps/>
          <w:sz w:val="28"/>
        </w:rPr>
        <w:t>Fournier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Monographie géographique de la co</w:t>
      </w:r>
      <w:r w:rsidRPr="00E9210E">
        <w:rPr>
          <w:rStyle w:val="Corpsdutexte28ptItalique"/>
          <w:rFonts w:eastAsia="Courier New"/>
          <w:sz w:val="28"/>
        </w:rPr>
        <w:t>m</w:t>
      </w:r>
      <w:r w:rsidRPr="00E9210E">
        <w:rPr>
          <w:rStyle w:val="Corpsdutexte28ptItalique"/>
          <w:rFonts w:eastAsia="Courier New"/>
          <w:sz w:val="28"/>
        </w:rPr>
        <w:t>mune de Bulat-Pestivien,</w:t>
      </w:r>
      <w:r w:rsidRPr="00E9210E">
        <w:rPr>
          <w:rStyle w:val="Corpsdutexte28ptGraschelle120"/>
          <w:rFonts w:eastAsia="Courier New"/>
          <w:sz w:val="28"/>
        </w:rPr>
        <w:t xml:space="preserve"> </w:t>
      </w:r>
      <w:r w:rsidRPr="00E9210E">
        <w:t>Saint-Brieuc, 1934), « A.H.E.S. », t. VIII (1936), pp. 595-596.</w:t>
      </w:r>
    </w:p>
    <w:p w14:paraId="1C06F83B" w14:textId="77777777" w:rsidR="00B9662D" w:rsidRPr="00E9210E" w:rsidRDefault="00B9662D" w:rsidP="00B9662D">
      <w:pPr>
        <w:spacing w:before="120" w:after="120"/>
        <w:jc w:val="both"/>
      </w:pPr>
      <w:r w:rsidRPr="00E9210E">
        <w:t>[1082]</w:t>
      </w:r>
    </w:p>
    <w:p w14:paraId="526DBA10" w14:textId="77777777" w:rsidR="00B9662D" w:rsidRPr="00E9210E" w:rsidRDefault="00B9662D" w:rsidP="00B9662D">
      <w:pPr>
        <w:spacing w:before="120" w:after="120"/>
        <w:jc w:val="both"/>
      </w:pPr>
      <w:r w:rsidRPr="00E9210E">
        <w:t xml:space="preserve">Cent ans de la vie d'une colline. (Compte rendu : L. </w:t>
      </w:r>
      <w:r w:rsidRPr="00E9210E">
        <w:rPr>
          <w:rStyle w:val="Corpsdutexte27ptGras"/>
          <w:rFonts w:eastAsia="Courier New"/>
          <w:b w:val="0"/>
          <w:smallCaps/>
          <w:sz w:val="28"/>
        </w:rPr>
        <w:t>Gachon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Une ha</w:t>
      </w:r>
      <w:r w:rsidRPr="00E9210E">
        <w:rPr>
          <w:rFonts w:eastAsia="Courier New"/>
          <w:i/>
        </w:rPr>
        <w:t>u</w:t>
      </w:r>
      <w:r w:rsidRPr="00E9210E">
        <w:rPr>
          <w:rFonts w:eastAsia="Courier New"/>
          <w:i/>
        </w:rPr>
        <w:t>te colline du Livradois : son passé humain d'après son cadastre</w:t>
      </w:r>
      <w:r w:rsidRPr="00E9210E">
        <w:rPr>
          <w:rFonts w:eastAsia="Courier New"/>
        </w:rPr>
        <w:t>,</w:t>
      </w:r>
      <w:r w:rsidRPr="00E9210E">
        <w:t xml:space="preserve"> dans </w:t>
      </w:r>
      <w:r w:rsidRPr="00E9210E">
        <w:rPr>
          <w:rFonts w:eastAsia="Courier New"/>
          <w:i/>
        </w:rPr>
        <w:t>Revue de géographie alpine</w:t>
      </w:r>
      <w:r w:rsidRPr="00E9210E">
        <w:rPr>
          <w:rFonts w:eastAsia="Courier New"/>
        </w:rPr>
        <w:t>,</w:t>
      </w:r>
      <w:r w:rsidRPr="00E9210E">
        <w:t xml:space="preserve"> t. XXII (1934), pp. 745-806), « A.H.E.S. », t. VIII (1936), p. 596-598.</w:t>
      </w:r>
    </w:p>
    <w:p w14:paraId="5687CE5B" w14:textId="77777777" w:rsidR="00B9662D" w:rsidRPr="00E9210E" w:rsidRDefault="00B9662D" w:rsidP="00B9662D">
      <w:pPr>
        <w:spacing w:before="120" w:after="120"/>
        <w:jc w:val="both"/>
      </w:pPr>
      <w:r w:rsidRPr="00E9210E">
        <w:t xml:space="preserve">Un village traditionaliste. (Compte rendu : G. S. et C. S. </w:t>
      </w:r>
      <w:r w:rsidRPr="00E9210E">
        <w:rPr>
          <w:rStyle w:val="Corpsdutexte27ptGras"/>
          <w:rFonts w:eastAsia="Courier New"/>
          <w:b w:val="0"/>
          <w:smallCaps/>
          <w:sz w:val="28"/>
        </w:rPr>
        <w:t>Orwin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history of Laxton</w:t>
      </w:r>
      <w:r w:rsidRPr="00E9210E">
        <w:rPr>
          <w:rFonts w:eastAsia="Courier New"/>
        </w:rPr>
        <w:t xml:space="preserve">, </w:t>
      </w:r>
      <w:r w:rsidRPr="00E9210E">
        <w:t>Oxford, 1935), « A.H.E.S. », t. VIII (1936), p. 598.</w:t>
      </w:r>
    </w:p>
    <w:p w14:paraId="33044B08" w14:textId="77777777" w:rsidR="00B9662D" w:rsidRPr="00E9210E" w:rsidRDefault="00B9662D" w:rsidP="00B9662D">
      <w:pPr>
        <w:spacing w:before="120" w:after="120"/>
        <w:jc w:val="both"/>
      </w:pPr>
      <w:r w:rsidRPr="00E9210E">
        <w:t xml:space="preserve">Gens de l’Artois. (Compte rendu : </w:t>
      </w:r>
      <w:r w:rsidRPr="00E9210E">
        <w:rPr>
          <w:rStyle w:val="Corpsdutexte27ptGras"/>
          <w:rFonts w:eastAsia="Courier New"/>
          <w:b w:val="0"/>
          <w:sz w:val="28"/>
        </w:rPr>
        <w:t>M</w:t>
      </w:r>
      <w:r w:rsidRPr="00E9210E">
        <w:rPr>
          <w:rStyle w:val="Corpsdutexte27ptGras"/>
          <w:rFonts w:eastAsia="Courier New"/>
          <w:b w:val="0"/>
          <w:sz w:val="28"/>
          <w:vertAlign w:val="superscript"/>
        </w:rPr>
        <w:t>gr</w:t>
      </w:r>
      <w:r w:rsidRPr="00E9210E">
        <w:rPr>
          <w:rStyle w:val="Corpsdutexte27ptGras"/>
          <w:rFonts w:eastAsia="Courier New"/>
          <w:sz w:val="28"/>
        </w:rPr>
        <w:t xml:space="preserve"> </w:t>
      </w:r>
      <w:r w:rsidRPr="00E9210E">
        <w:t xml:space="preserve">A. </w:t>
      </w:r>
      <w:r w:rsidRPr="00E9210E">
        <w:rPr>
          <w:rStyle w:val="Corpsdutexte27ptGras"/>
          <w:rFonts w:eastAsia="Courier New"/>
          <w:b w:val="0"/>
          <w:smallCaps/>
          <w:sz w:val="28"/>
        </w:rPr>
        <w:t>Boisleux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famille Boisleux. Étude historique et généalogique</w:t>
      </w:r>
      <w:r w:rsidRPr="00E9210E">
        <w:t>, Arras, 1934), « A.H.E.S. », t. VIII (1936), pp. 598-599.</w:t>
      </w:r>
    </w:p>
    <w:p w14:paraId="46BF40CE" w14:textId="77777777" w:rsidR="00B9662D" w:rsidRPr="00E9210E" w:rsidRDefault="00B9662D" w:rsidP="00B9662D">
      <w:pPr>
        <w:spacing w:before="120" w:after="120"/>
        <w:jc w:val="both"/>
      </w:pPr>
      <w:r w:rsidRPr="00E9210E">
        <w:t xml:space="preserve">Pour servir à l’étude juridique d’une société provinciale. (Compte rendu : R. </w:t>
      </w:r>
      <w:r w:rsidRPr="00E9210E">
        <w:rPr>
          <w:rStyle w:val="Corpsdutexte27ptGras"/>
          <w:rFonts w:eastAsia="Courier New"/>
          <w:b w:val="0"/>
          <w:smallCaps/>
          <w:sz w:val="28"/>
        </w:rPr>
        <w:t>Besnier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coutume de Normandie : histoire externe</w:t>
      </w:r>
      <w:r w:rsidRPr="00E9210E">
        <w:t>, P</w:t>
      </w:r>
      <w:r w:rsidRPr="00E9210E">
        <w:t>a</w:t>
      </w:r>
      <w:r w:rsidRPr="00E9210E">
        <w:t>ris, 1935), « A.H.E.S. », t. VIII (1936), p. 600.</w:t>
      </w:r>
    </w:p>
    <w:p w14:paraId="322602F1" w14:textId="77777777" w:rsidR="00B9662D" w:rsidRPr="00E9210E" w:rsidRDefault="00B9662D" w:rsidP="00B9662D">
      <w:pPr>
        <w:spacing w:before="120" w:after="120"/>
        <w:jc w:val="both"/>
      </w:pPr>
      <w:r w:rsidRPr="00E9210E">
        <w:t xml:space="preserve">Maison des champs. (Compte rendu : K. </w:t>
      </w:r>
      <w:r w:rsidRPr="00E9210E">
        <w:rPr>
          <w:rStyle w:val="Corpsdutexte27ptGras"/>
          <w:rFonts w:eastAsia="Courier New"/>
          <w:b w:val="0"/>
          <w:smallCaps/>
          <w:sz w:val="28"/>
        </w:rPr>
        <w:t>Reille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Deux cents ch</w:t>
      </w:r>
      <w:r w:rsidRPr="00E9210E">
        <w:rPr>
          <w:rFonts w:eastAsia="Courier New"/>
          <w:i/>
        </w:rPr>
        <w:t>â</w:t>
      </w:r>
      <w:r w:rsidRPr="00E9210E">
        <w:rPr>
          <w:rFonts w:eastAsia="Courier New"/>
          <w:i/>
        </w:rPr>
        <w:t>teaux et gentilhommières d'Indre-et-Loire</w:t>
      </w:r>
      <w:r w:rsidRPr="00E9210E">
        <w:t>, Tours, 1934), « A.H.E.S. », t. VIII (1936), p. 602.</w:t>
      </w:r>
    </w:p>
    <w:p w14:paraId="774BA4CC" w14:textId="77777777" w:rsidR="00B9662D" w:rsidRPr="00E9210E" w:rsidRDefault="00B9662D" w:rsidP="00B9662D">
      <w:pPr>
        <w:spacing w:before="120" w:after="120"/>
        <w:jc w:val="both"/>
      </w:pPr>
      <w:r w:rsidRPr="00E9210E">
        <w:t xml:space="preserve">Chartes d’Auvergne. (Compte rendu : A. M. </w:t>
      </w:r>
      <w:r w:rsidRPr="00E9210E">
        <w:rPr>
          <w:rStyle w:val="Corpsdutexte27ptGras"/>
          <w:rFonts w:eastAsia="Courier New"/>
          <w:b w:val="0"/>
          <w:smallCaps/>
          <w:sz w:val="28"/>
        </w:rPr>
        <w:t>Baudot</w:t>
      </w:r>
      <w:r w:rsidRPr="00E9210E">
        <w:rPr>
          <w:rStyle w:val="Corpsdutexte27ptGras"/>
          <w:rFonts w:eastAsia="Courier New"/>
          <w:sz w:val="28"/>
        </w:rPr>
        <w:t xml:space="preserve"> </w:t>
      </w:r>
      <w:r w:rsidRPr="00E9210E">
        <w:t>et M. </w:t>
      </w:r>
      <w:r w:rsidRPr="00E9210E">
        <w:rPr>
          <w:rStyle w:val="Corpsdutexte27ptGras"/>
          <w:rFonts w:eastAsia="Courier New"/>
          <w:b w:val="0"/>
          <w:smallCaps/>
          <w:sz w:val="28"/>
        </w:rPr>
        <w:t>Baudot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Grand cartulaire du chapitre Saint-Julien de Brioude : essai de restitution</w:t>
      </w:r>
      <w:r w:rsidRPr="00E9210E">
        <w:t>, Clermont-Ferrand, 1935), « A.H.E.S. », t. VIII (1936), pp. 603-604.</w:t>
      </w:r>
    </w:p>
    <w:p w14:paraId="2BFE30BA" w14:textId="77777777" w:rsidR="00B9662D" w:rsidRPr="00E9210E" w:rsidRDefault="00B9662D" w:rsidP="00B9662D">
      <w:pPr>
        <w:spacing w:before="120" w:after="120"/>
        <w:jc w:val="both"/>
      </w:pPr>
      <w:r w:rsidRPr="00E9210E">
        <w:t xml:space="preserve">Les érudits du Centre au travail. (Comptes rendus : </w:t>
      </w:r>
      <w:r w:rsidRPr="00E9210E">
        <w:rPr>
          <w:rFonts w:eastAsia="Courier New"/>
          <w:i/>
        </w:rPr>
        <w:t>Mémoires de la Société des Sciences naturelles et archéologiques de la Creuse</w:t>
      </w:r>
      <w:r w:rsidRPr="00E9210E">
        <w:t>, t. XXVI, 1</w:t>
      </w:r>
      <w:r w:rsidRPr="00E9210E">
        <w:rPr>
          <w:vertAlign w:val="superscript"/>
        </w:rPr>
        <w:t>er</w:t>
      </w:r>
      <w:r w:rsidRPr="00E9210E">
        <w:t xml:space="preserve"> fasc. (1935). — </w:t>
      </w:r>
      <w:r w:rsidRPr="00E9210E">
        <w:rPr>
          <w:rFonts w:eastAsia="Courier New"/>
          <w:i/>
        </w:rPr>
        <w:t>Fédération des Sociétés savantes du Centre de la France</w:t>
      </w:r>
      <w:r w:rsidRPr="00E9210E">
        <w:t xml:space="preserve">, </w:t>
      </w:r>
      <w:r w:rsidRPr="00E9210E">
        <w:rPr>
          <w:i/>
        </w:rPr>
        <w:t>Bull</w:t>
      </w:r>
      <w:r w:rsidRPr="00E9210E">
        <w:t xml:space="preserve">. 1934 et </w:t>
      </w:r>
      <w:r w:rsidRPr="00E9210E">
        <w:rPr>
          <w:i/>
        </w:rPr>
        <w:t>Bull</w:t>
      </w:r>
      <w:r w:rsidRPr="00E9210E">
        <w:t>. 1935, Moulins, 1934 et 1935), « A.H.E.S. », t. VIII (1936), pp. 604-605.</w:t>
      </w:r>
    </w:p>
    <w:p w14:paraId="51A02AC2" w14:textId="77777777" w:rsidR="00B9662D" w:rsidRPr="00E9210E" w:rsidRDefault="00B9662D" w:rsidP="00B9662D">
      <w:pPr>
        <w:spacing w:before="120" w:after="120"/>
        <w:jc w:val="both"/>
      </w:pPr>
      <w:r w:rsidRPr="00E9210E">
        <w:t xml:space="preserve">Une abbaye poitevine. (Compte rendu : E. </w:t>
      </w:r>
      <w:r w:rsidRPr="00E9210E">
        <w:rPr>
          <w:rStyle w:val="Corpsdutexte27ptGras"/>
          <w:rFonts w:eastAsia="Courier New"/>
          <w:b w:val="0"/>
          <w:smallCaps/>
          <w:sz w:val="28"/>
        </w:rPr>
        <w:t>Raison</w:t>
      </w:r>
      <w:r w:rsidRPr="00E9210E">
        <w:rPr>
          <w:rStyle w:val="Corpsdutexte27ptGras"/>
          <w:rFonts w:eastAsia="Courier New"/>
          <w:sz w:val="28"/>
        </w:rPr>
        <w:t xml:space="preserve"> </w:t>
      </w:r>
      <w:r w:rsidRPr="00E9210E">
        <w:t xml:space="preserve">et M. </w:t>
      </w:r>
      <w:r w:rsidRPr="00E9210E">
        <w:rPr>
          <w:rStyle w:val="Corpsdutexte27ptGras"/>
          <w:rFonts w:eastAsia="Courier New"/>
          <w:b w:val="0"/>
          <w:smallCaps/>
          <w:sz w:val="28"/>
        </w:rPr>
        <w:t>Garaud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L'abbaye de l'Absie-en-Gâtine</w:t>
      </w:r>
      <w:r w:rsidRPr="00E9210E">
        <w:t>, Poitiers, 1936), « A.H.E.S. », t. VIII (1936), p. 605.</w:t>
      </w:r>
    </w:p>
    <w:p w14:paraId="0895307E" w14:textId="77777777" w:rsidR="00B9662D" w:rsidRPr="00E9210E" w:rsidRDefault="00B9662D" w:rsidP="00B9662D">
      <w:pPr>
        <w:spacing w:before="120" w:after="120"/>
        <w:jc w:val="both"/>
      </w:pPr>
      <w:r w:rsidRPr="00E9210E">
        <w:t xml:space="preserve">Du marais salant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l’herbage. (Compte rendu : L. </w:t>
      </w:r>
      <w:r w:rsidRPr="00E9210E">
        <w:rPr>
          <w:rStyle w:val="Corpsdutexte27ptGras"/>
          <w:rFonts w:eastAsia="Courier New"/>
          <w:b w:val="0"/>
          <w:smallCaps/>
          <w:sz w:val="28"/>
        </w:rPr>
        <w:t>Papy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Brouage et ses marais</w:t>
      </w:r>
      <w:r w:rsidRPr="00E9210E">
        <w:t xml:space="preserve">, extr. </w:t>
      </w:r>
      <w:r w:rsidRPr="00E9210E">
        <w:rPr>
          <w:rStyle w:val="Corpsdutexte27ptGras"/>
          <w:rFonts w:eastAsia="Courier New"/>
          <w:b w:val="0"/>
          <w:sz w:val="28"/>
        </w:rPr>
        <w:t>de</w:t>
      </w:r>
      <w:r w:rsidRPr="00E9210E">
        <w:rPr>
          <w:rStyle w:val="Corpsdutexte27ptGras"/>
          <w:rFonts w:eastAsia="Courier New"/>
          <w:sz w:val="28"/>
        </w:rPr>
        <w:t xml:space="preserve"> </w:t>
      </w:r>
      <w:r w:rsidRPr="00E9210E">
        <w:t xml:space="preserve">la </w:t>
      </w:r>
      <w:r w:rsidRPr="00E9210E">
        <w:rPr>
          <w:rFonts w:eastAsia="Courier New"/>
          <w:i/>
        </w:rPr>
        <w:t>Revue géographique des Pyrénées et du Sud-Ouest</w:t>
      </w:r>
      <w:r w:rsidRPr="00E9210E">
        <w:t>, t. VI (1935), p. 281-323), « A.H.E.S. », t. VIII (1936), pp. 605-606.</w:t>
      </w:r>
    </w:p>
    <w:p w14:paraId="5E720758"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Gens du Périgord. (Compte rendu : J. J. </w:t>
      </w:r>
      <w:r w:rsidRPr="00E9210E">
        <w:rPr>
          <w:rStyle w:val="Corpsdutexte117ptGrasNonItaliqueEspacement0pt"/>
          <w:rFonts w:eastAsia="Courier New"/>
          <w:b w:val="0"/>
          <w:i w:val="0"/>
          <w:iCs w:val="0"/>
          <w:smallCaps/>
          <w:sz w:val="28"/>
          <w:lang w:val="fr-CA"/>
        </w:rPr>
        <w:t>Escande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Histoire du P</w:t>
      </w:r>
      <w:r w:rsidRPr="00E9210E">
        <w:rPr>
          <w:rFonts w:eastAsia="Courier New"/>
          <w:i/>
        </w:rPr>
        <w:t>é</w:t>
      </w:r>
      <w:r w:rsidRPr="00E9210E">
        <w:rPr>
          <w:rFonts w:eastAsia="Courier New"/>
          <w:i/>
        </w:rPr>
        <w:t>rigord</w:t>
      </w:r>
      <w:r w:rsidRPr="00E9210E">
        <w:rPr>
          <w:rFonts w:eastAsia="Courier New"/>
        </w:rPr>
        <w:t>.</w:t>
      </w:r>
      <w:r w:rsidRPr="00E9210E">
        <w:rPr>
          <w:rStyle w:val="Corpsdutexte11NonItaliqueEspacement0pt"/>
          <w:rFonts w:eastAsia="Courier New"/>
          <w:i w:val="0"/>
          <w:iCs w:val="0"/>
          <w:sz w:val="28"/>
          <w:lang w:val="fr-CA"/>
        </w:rPr>
        <w:t xml:space="preserve"> T. I : </w:t>
      </w:r>
      <w:r w:rsidRPr="00E9210E">
        <w:rPr>
          <w:rFonts w:eastAsia="Courier New"/>
          <w:i/>
        </w:rPr>
        <w:t>Depuis les origines jusqu'au XVI</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T. II : </w:t>
      </w:r>
      <w:r w:rsidRPr="00E9210E">
        <w:rPr>
          <w:rFonts w:eastAsia="Courier New"/>
          <w:i/>
        </w:rPr>
        <w:t>Depuis le XVI</w:t>
      </w:r>
      <w:r w:rsidRPr="00E9210E">
        <w:rPr>
          <w:rFonts w:eastAsia="Courier New"/>
          <w:i/>
          <w:vertAlign w:val="superscript"/>
        </w:rPr>
        <w:t>e</w:t>
      </w:r>
      <w:r w:rsidRPr="00E9210E">
        <w:rPr>
          <w:rFonts w:eastAsia="Courier New"/>
          <w:i/>
        </w:rPr>
        <w:t xml:space="preserve"> siècle jusqu'à la formation du département de la Dordogne</w:t>
      </w:r>
      <w:r w:rsidRPr="00E9210E">
        <w:rPr>
          <w:rStyle w:val="Corpsdutexte11NonItaliqueEspacement0pt"/>
          <w:rFonts w:eastAsia="Courier New"/>
          <w:i w:val="0"/>
          <w:iCs w:val="0"/>
          <w:sz w:val="28"/>
          <w:lang w:val="fr-CA"/>
        </w:rPr>
        <w:t>, C</w:t>
      </w:r>
      <w:r w:rsidRPr="00E9210E">
        <w:rPr>
          <w:rStyle w:val="Corpsdutexte11NonItaliqueEspacement0pt"/>
          <w:rFonts w:eastAsia="Courier New"/>
          <w:i w:val="0"/>
          <w:iCs w:val="0"/>
          <w:sz w:val="28"/>
          <w:lang w:val="fr-CA"/>
        </w:rPr>
        <w:t>a</w:t>
      </w:r>
      <w:r w:rsidRPr="00E9210E">
        <w:rPr>
          <w:rStyle w:val="Corpsdutexte11NonItaliqueEspacement0pt"/>
          <w:rFonts w:eastAsia="Courier New"/>
          <w:i w:val="0"/>
          <w:iCs w:val="0"/>
          <w:sz w:val="28"/>
          <w:lang w:val="fr-CA"/>
        </w:rPr>
        <w:t>hors, 1934), « A.H.E.S. », t. VIII (1936), p. 606.</w:t>
      </w:r>
    </w:p>
    <w:p w14:paraId="5790B64D"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Dans les villages bressans. (Compte rendu : O. </w:t>
      </w:r>
      <w:r w:rsidRPr="00E9210E">
        <w:rPr>
          <w:rStyle w:val="Corpsdutexte37ptGrasNonItalique"/>
          <w:rFonts w:eastAsia="Courier New"/>
          <w:b w:val="0"/>
          <w:i w:val="0"/>
          <w:iCs w:val="0"/>
          <w:smallCaps/>
          <w:sz w:val="28"/>
        </w:rPr>
        <w:t>Morel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assises ou grands jours dans les justices seigneuriales de Bresse à la fin de l'Ancien Régime (1768-1787</w:t>
      </w:r>
      <w:r w:rsidRPr="00E9210E">
        <w:rPr>
          <w:rFonts w:eastAsia="Courier New"/>
          <w:i/>
        </w:rPr>
        <w:t>)</w:t>
      </w:r>
      <w:r w:rsidRPr="00E9210E">
        <w:rPr>
          <w:rFonts w:eastAsia="Courier New"/>
        </w:rPr>
        <w:t>,</w:t>
      </w:r>
      <w:r w:rsidRPr="00E9210E">
        <w:rPr>
          <w:rStyle w:val="Corpsdutexte385ptNonItalique"/>
          <w:rFonts w:eastAsia="Courier New"/>
          <w:i w:val="0"/>
          <w:iCs w:val="0"/>
          <w:sz w:val="28"/>
        </w:rPr>
        <w:t xml:space="preserve"> Bourg 1935), « A.H.E.S. », t. VIII (1936), pp. 609-610.</w:t>
      </w:r>
    </w:p>
    <w:p w14:paraId="65AE810F" w14:textId="77777777" w:rsidR="00B9662D" w:rsidRPr="00E9210E" w:rsidRDefault="00B9662D" w:rsidP="00B9662D">
      <w:pPr>
        <w:spacing w:before="120" w:after="120"/>
        <w:jc w:val="both"/>
      </w:pPr>
      <w:r w:rsidRPr="00E9210E">
        <w:t xml:space="preserve">En Corse. (Compte rendu : A. </w:t>
      </w:r>
      <w:r w:rsidRPr="00E9210E">
        <w:rPr>
          <w:rStyle w:val="Corpsdutexte27ptGras"/>
          <w:rFonts w:eastAsia="Courier New"/>
          <w:b w:val="0"/>
          <w:smallCaps/>
          <w:sz w:val="28"/>
        </w:rPr>
        <w:t>Albitreccia</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Corse. La géogr</w:t>
      </w:r>
      <w:r w:rsidRPr="00E9210E">
        <w:rPr>
          <w:rFonts w:eastAsia="Courier New"/>
          <w:i/>
        </w:rPr>
        <w:t>a</w:t>
      </w:r>
      <w:r w:rsidRPr="00E9210E">
        <w:rPr>
          <w:rFonts w:eastAsia="Courier New"/>
          <w:i/>
        </w:rPr>
        <w:t>phie. L'évolution historique. La vie actuelle</w:t>
      </w:r>
      <w:r w:rsidRPr="00E9210E">
        <w:rPr>
          <w:rFonts w:eastAsia="Courier New"/>
        </w:rPr>
        <w:t>,</w:t>
      </w:r>
      <w:r w:rsidRPr="00E9210E">
        <w:t xml:space="preserve"> Paris, 1934), « A.H.E.S. », t. VIII (1936), p. 611.</w:t>
      </w:r>
    </w:p>
    <w:p w14:paraId="729A1B86" w14:textId="77777777" w:rsidR="00B9662D" w:rsidRPr="00E9210E" w:rsidRDefault="00B9662D" w:rsidP="00B9662D">
      <w:pPr>
        <w:spacing w:before="120" w:after="120"/>
        <w:jc w:val="both"/>
      </w:pPr>
      <w:r w:rsidRPr="00E9210E">
        <w:t xml:space="preserve">L’histoire de Savoie à Turin. (Compte rendu : </w:t>
      </w:r>
      <w:r w:rsidRPr="00E9210E">
        <w:rPr>
          <w:rFonts w:eastAsia="Courier New"/>
          <w:i/>
        </w:rPr>
        <w:t>Répertoire des sou</w:t>
      </w:r>
      <w:r w:rsidRPr="00E9210E">
        <w:rPr>
          <w:rFonts w:eastAsia="Courier New"/>
          <w:i/>
        </w:rPr>
        <w:t>r</w:t>
      </w:r>
      <w:r w:rsidRPr="00E9210E">
        <w:rPr>
          <w:rFonts w:eastAsia="Courier New"/>
          <w:i/>
        </w:rPr>
        <w:t>ces de l'histoire de Savoie</w:t>
      </w:r>
      <w:r w:rsidRPr="00E9210E">
        <w:t>, Paris, 1935), « A.H.E.S. », t. VIII (1936), p. 611.</w:t>
      </w:r>
    </w:p>
    <w:p w14:paraId="1D1EE648" w14:textId="77777777" w:rsidR="00B9662D" w:rsidRPr="00E9210E" w:rsidRDefault="00B9662D" w:rsidP="00B9662D">
      <w:pPr>
        <w:spacing w:before="120" w:after="120"/>
        <w:jc w:val="both"/>
      </w:pPr>
      <w:r w:rsidRPr="00E9210E">
        <w:t xml:space="preserve">Un exemple à suivre. (Compte rendu : E. C. </w:t>
      </w:r>
      <w:r w:rsidRPr="00E9210E">
        <w:rPr>
          <w:rStyle w:val="Corpsdutexte27ptGras"/>
          <w:rFonts w:eastAsia="Courier New"/>
          <w:b w:val="0"/>
          <w:smallCaps/>
          <w:sz w:val="28"/>
        </w:rPr>
        <w:t>Lodge</w:t>
      </w:r>
      <w:r w:rsidRPr="00E9210E">
        <w:rPr>
          <w:rStyle w:val="Corpsdutexte27ptGras"/>
          <w:rFonts w:eastAsia="Courier New"/>
          <w:sz w:val="28"/>
        </w:rPr>
        <w:t xml:space="preserve"> </w:t>
      </w:r>
      <w:r w:rsidRPr="00E9210E">
        <w:t xml:space="preserve">et G. A. </w:t>
      </w:r>
      <w:r w:rsidRPr="00E9210E">
        <w:rPr>
          <w:rStyle w:val="Corpsdutexte27ptGras"/>
          <w:rFonts w:eastAsia="Courier New"/>
          <w:b w:val="0"/>
          <w:smallCaps/>
          <w:sz w:val="28"/>
        </w:rPr>
        <w:t>Thornton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English constitutional documents</w:t>
      </w:r>
      <w:r w:rsidRPr="00E9210E">
        <w:rPr>
          <w:rFonts w:eastAsia="Courier New"/>
        </w:rPr>
        <w:t xml:space="preserve"> </w:t>
      </w:r>
      <w:r w:rsidRPr="00E9210E">
        <w:rPr>
          <w:rStyle w:val="Corpsdutexte28ptItalique"/>
          <w:rFonts w:eastAsia="Courier New"/>
          <w:sz w:val="28"/>
        </w:rPr>
        <w:t>(1307-1485</w:t>
      </w:r>
      <w:r w:rsidRPr="00E9210E">
        <w:rPr>
          <w:rFonts w:eastAsia="Courier New"/>
        </w:rPr>
        <w:t>),</w:t>
      </w:r>
      <w:r w:rsidRPr="00E9210E">
        <w:t xml:space="preserve"> Cambri</w:t>
      </w:r>
      <w:r w:rsidRPr="00E9210E">
        <w:t>d</w:t>
      </w:r>
      <w:r w:rsidRPr="00E9210E">
        <w:t>ge, 1935), « A.H.E.S. », t. VIII (1936), p. 612.</w:t>
      </w:r>
    </w:p>
    <w:p w14:paraId="457522B6" w14:textId="77777777" w:rsidR="00B9662D" w:rsidRPr="00E9210E" w:rsidRDefault="00B9662D" w:rsidP="00B9662D">
      <w:pPr>
        <w:spacing w:before="120" w:after="120"/>
        <w:jc w:val="both"/>
      </w:pPr>
      <w:r w:rsidRPr="00E9210E">
        <w:t xml:space="preserve">Fiscalité et structure sociale. (Compte rendu : J. </w:t>
      </w:r>
      <w:r w:rsidRPr="00E9210E">
        <w:rPr>
          <w:rStyle w:val="Corpsdutexte27ptGras"/>
          <w:rFonts w:eastAsia="Courier New"/>
          <w:b w:val="0"/>
          <w:smallCaps/>
          <w:sz w:val="28"/>
        </w:rPr>
        <w:t>Field Willard</w:t>
      </w:r>
      <w:r w:rsidRPr="00E9210E">
        <w:rPr>
          <w:rStyle w:val="Corpsdutexte27ptGras"/>
          <w:rFonts w:eastAsia="Courier New"/>
          <w:sz w:val="28"/>
        </w:rPr>
        <w:t xml:space="preserve">, </w:t>
      </w:r>
      <w:r w:rsidRPr="00E9210E">
        <w:rPr>
          <w:rFonts w:eastAsia="Courier New"/>
          <w:i/>
        </w:rPr>
        <w:t>Parli</w:t>
      </w:r>
      <w:r w:rsidRPr="00E9210E">
        <w:rPr>
          <w:rFonts w:eastAsia="Courier New"/>
          <w:i/>
        </w:rPr>
        <w:t>a</w:t>
      </w:r>
      <w:r w:rsidRPr="00E9210E">
        <w:rPr>
          <w:rFonts w:eastAsia="Courier New"/>
          <w:i/>
        </w:rPr>
        <w:t>mentary taxes on personal property </w:t>
      </w:r>
      <w:r w:rsidRPr="00E9210E">
        <w:rPr>
          <w:rFonts w:eastAsia="Courier New"/>
        </w:rPr>
        <w:t xml:space="preserve">: </w:t>
      </w:r>
      <w:r w:rsidRPr="00E9210E">
        <w:rPr>
          <w:rStyle w:val="Corpsdutexte28ptItalique"/>
          <w:rFonts w:eastAsia="Courier New"/>
          <w:sz w:val="28"/>
        </w:rPr>
        <w:t xml:space="preserve">1290 </w:t>
      </w:r>
      <w:r w:rsidRPr="00E9210E">
        <w:rPr>
          <w:rFonts w:eastAsia="Courier New"/>
        </w:rPr>
        <w:t xml:space="preserve">to </w:t>
      </w:r>
      <w:r w:rsidRPr="00E9210E">
        <w:rPr>
          <w:rStyle w:val="Corpsdutexte28ptItalique"/>
          <w:rFonts w:eastAsia="Courier New"/>
          <w:sz w:val="28"/>
        </w:rPr>
        <w:t>1334 ;</w:t>
      </w:r>
      <w:r w:rsidRPr="00E9210E">
        <w:rPr>
          <w:rFonts w:eastAsia="Courier New"/>
        </w:rPr>
        <w:t xml:space="preserve"> </w:t>
      </w:r>
      <w:r w:rsidRPr="00E9210E">
        <w:rPr>
          <w:rFonts w:eastAsia="Courier New"/>
          <w:i/>
        </w:rPr>
        <w:t>a study in mediaeval english financial administration</w:t>
      </w:r>
      <w:r w:rsidRPr="00E9210E">
        <w:rPr>
          <w:rFonts w:eastAsia="Courier New"/>
        </w:rPr>
        <w:t>,</w:t>
      </w:r>
      <w:r w:rsidRPr="00E9210E">
        <w:t xml:space="preserve"> Cambridge, 1934), « A.H.E.S. », t. VIII (1936), pp. 612-614.</w:t>
      </w:r>
    </w:p>
    <w:p w14:paraId="39C16FB1" w14:textId="77777777" w:rsidR="00B9662D" w:rsidRPr="00E9210E" w:rsidRDefault="00B9662D" w:rsidP="00B9662D">
      <w:pPr>
        <w:spacing w:before="120" w:after="120"/>
        <w:jc w:val="both"/>
      </w:pPr>
      <w:r w:rsidRPr="00E9210E">
        <w:t xml:space="preserve">L’évolution de l’agriculture anglaise : une bibliographie. (Compte rendu : E. E. </w:t>
      </w:r>
      <w:r w:rsidRPr="00E9210E">
        <w:rPr>
          <w:rStyle w:val="Corpsdutexte27ptGras"/>
          <w:rFonts w:eastAsia="Courier New"/>
          <w:b w:val="0"/>
          <w:smallCaps/>
          <w:sz w:val="28"/>
        </w:rPr>
        <w:t>Edwards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Selected references on the history of english agr</w:t>
      </w:r>
      <w:r w:rsidRPr="00E9210E">
        <w:rPr>
          <w:rFonts w:eastAsia="Courier New"/>
          <w:i/>
        </w:rPr>
        <w:t>i</w:t>
      </w:r>
      <w:r w:rsidRPr="00E9210E">
        <w:rPr>
          <w:rFonts w:eastAsia="Courier New"/>
          <w:i/>
        </w:rPr>
        <w:t>culture</w:t>
      </w:r>
      <w:r w:rsidRPr="00E9210E">
        <w:rPr>
          <w:rFonts w:eastAsia="Courier New"/>
        </w:rPr>
        <w:t>,</w:t>
      </w:r>
      <w:r w:rsidRPr="00E9210E">
        <w:t xml:space="preserve"> Washington, juillet 1935), « A.H.E.S. », t. VIII (1936), p. 615.</w:t>
      </w:r>
    </w:p>
    <w:p w14:paraId="4CE6AF65" w14:textId="77777777" w:rsidR="00B9662D" w:rsidRPr="00E9210E" w:rsidRDefault="00B9662D" w:rsidP="00B9662D">
      <w:pPr>
        <w:spacing w:before="120" w:after="120"/>
        <w:jc w:val="both"/>
      </w:pPr>
      <w:r w:rsidRPr="00E9210E">
        <w:t xml:space="preserve">En Angleterre : marchands et agronomes. (Compte rendu : </w:t>
      </w:r>
      <w:r w:rsidRPr="00E9210E">
        <w:rPr>
          <w:rFonts w:eastAsia="Courier New"/>
          <w:i/>
        </w:rPr>
        <w:t>Tra</w:t>
      </w:r>
      <w:r w:rsidRPr="00E9210E">
        <w:rPr>
          <w:rFonts w:eastAsia="Courier New"/>
          <w:i/>
        </w:rPr>
        <w:t>n</w:t>
      </w:r>
      <w:r w:rsidRPr="00E9210E">
        <w:rPr>
          <w:rFonts w:eastAsia="Courier New"/>
          <w:i/>
        </w:rPr>
        <w:t>sactions of the Royal historical Society</w:t>
      </w:r>
      <w:r w:rsidRPr="00E9210E">
        <w:rPr>
          <w:rFonts w:eastAsia="Courier New"/>
        </w:rPr>
        <w:t>,</w:t>
      </w:r>
      <w:r w:rsidRPr="00E9210E">
        <w:t xml:space="preserve"> 4</w:t>
      </w:r>
      <w:r w:rsidRPr="00E9210E">
        <w:rPr>
          <w:vertAlign w:val="superscript"/>
        </w:rPr>
        <w:t>e</w:t>
      </w:r>
      <w:r w:rsidRPr="00E9210E">
        <w:t xml:space="preserve"> série, t. XVII [1934]), « A.H.E.S. », t. VIII (1936), p. 615.</w:t>
      </w:r>
    </w:p>
    <w:p w14:paraId="48E38437" w14:textId="77777777" w:rsidR="00B9662D" w:rsidRPr="00E9210E" w:rsidRDefault="00B9662D" w:rsidP="00B9662D">
      <w:pPr>
        <w:spacing w:before="120" w:after="120"/>
        <w:jc w:val="both"/>
      </w:pPr>
      <w:r w:rsidRPr="00E9210E">
        <w:t xml:space="preserve">Compte rendu : J. </w:t>
      </w:r>
      <w:r w:rsidRPr="00E9210E">
        <w:rPr>
          <w:rStyle w:val="Corpsdutexte27ptGras"/>
          <w:rFonts w:eastAsia="Courier New"/>
          <w:b w:val="0"/>
          <w:smallCaps/>
          <w:sz w:val="28"/>
        </w:rPr>
        <w:t>Plesner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L’émigration de la campagne à la ville l</w:t>
      </w:r>
      <w:r w:rsidRPr="00E9210E">
        <w:rPr>
          <w:rFonts w:eastAsia="Courier New"/>
          <w:i/>
        </w:rPr>
        <w:t>i</w:t>
      </w:r>
      <w:r w:rsidRPr="00E9210E">
        <w:rPr>
          <w:rFonts w:eastAsia="Courier New"/>
          <w:i/>
        </w:rPr>
        <w:t xml:space="preserve">bre de Florence au </w:t>
      </w:r>
      <w:r w:rsidRPr="00E9210E">
        <w:rPr>
          <w:rStyle w:val="Corpsdutexte2ItaliqueEspacement1pt"/>
          <w:rFonts w:eastAsia="Courier New"/>
          <w:i w:val="0"/>
          <w:sz w:val="28"/>
          <w:lang w:val="fr-CA"/>
        </w:rPr>
        <w:t>XIII</w:t>
      </w:r>
      <w:r w:rsidRPr="00E9210E">
        <w:rPr>
          <w:rStyle w:val="Corpsdutexte2ItaliqueEspacement1pt"/>
          <w:rFonts w:eastAsia="Courier New"/>
          <w:i w:val="0"/>
          <w:sz w:val="28"/>
          <w:vertAlign w:val="superscript"/>
          <w:lang w:val="fr-CA"/>
        </w:rPr>
        <w:t>e</w:t>
      </w:r>
      <w:r w:rsidRPr="00E9210E">
        <w:rPr>
          <w:rFonts w:eastAsia="Courier New"/>
          <w:i/>
        </w:rPr>
        <w:t xml:space="preserve"> siècle</w:t>
      </w:r>
      <w:r w:rsidRPr="00E9210E">
        <w:rPr>
          <w:rFonts w:eastAsia="Courier New"/>
        </w:rPr>
        <w:t>,</w:t>
      </w:r>
      <w:r w:rsidRPr="00E9210E">
        <w:t xml:space="preserve"> Copenhague, 1934), « Le Moyen Âge », 3</w:t>
      </w:r>
      <w:r w:rsidRPr="00E9210E">
        <w:rPr>
          <w:vertAlign w:val="superscript"/>
        </w:rPr>
        <w:t>e</w:t>
      </w:r>
      <w:r w:rsidRPr="00E9210E">
        <w:t xml:space="preserve"> série, t. 7 (1936), pp. 194-198.</w:t>
      </w:r>
    </w:p>
    <w:p w14:paraId="5B54199B" w14:textId="77777777" w:rsidR="00B9662D" w:rsidRPr="00E9210E" w:rsidRDefault="00B9662D" w:rsidP="00B9662D">
      <w:pPr>
        <w:spacing w:before="120" w:after="120"/>
        <w:jc w:val="both"/>
      </w:pPr>
      <w:r w:rsidRPr="00E9210E">
        <w:t>[1083]</w:t>
      </w:r>
    </w:p>
    <w:p w14:paraId="4467312A" w14:textId="77777777" w:rsidR="00B9662D" w:rsidRPr="00E9210E" w:rsidRDefault="00B9662D" w:rsidP="00B9662D">
      <w:pPr>
        <w:spacing w:before="120" w:after="120"/>
        <w:jc w:val="both"/>
      </w:pPr>
      <w:r w:rsidRPr="00E9210E">
        <w:t xml:space="preserve">Compte rendu : J. </w:t>
      </w:r>
      <w:r w:rsidRPr="00E9210E">
        <w:rPr>
          <w:rStyle w:val="Corpsdutexte27ptGras"/>
          <w:rFonts w:eastAsia="Courier New"/>
          <w:b w:val="0"/>
          <w:smallCaps/>
          <w:sz w:val="28"/>
        </w:rPr>
        <w:t>Cuvelier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La formation de la ville de Louvain, des origines à la fin du </w:t>
      </w:r>
      <w:r w:rsidRPr="00E9210E">
        <w:rPr>
          <w:rStyle w:val="Corpsdutexte2ItaliqueEspacement1pt"/>
          <w:rFonts w:eastAsia="Courier New"/>
          <w:sz w:val="28"/>
          <w:lang w:val="fr-CA"/>
        </w:rPr>
        <w:t>XIV</w:t>
      </w:r>
      <w:r w:rsidRPr="00E9210E">
        <w:rPr>
          <w:rStyle w:val="Corpsdutexte2ItaliqueEspacement1pt"/>
          <w:rFonts w:eastAsia="Courier New"/>
          <w:sz w:val="28"/>
          <w:vertAlign w:val="superscript"/>
          <w:lang w:val="fr-CA"/>
        </w:rPr>
        <w:t>e</w:t>
      </w:r>
      <w:r w:rsidRPr="00E9210E">
        <w:rPr>
          <w:rFonts w:eastAsia="Courier New"/>
          <w:i/>
        </w:rPr>
        <w:t xml:space="preserve"> siècle</w:t>
      </w:r>
      <w:r w:rsidRPr="00E9210E">
        <w:rPr>
          <w:rFonts w:eastAsia="Courier New"/>
        </w:rPr>
        <w:t>,</w:t>
      </w:r>
      <w:r w:rsidRPr="00E9210E">
        <w:t xml:space="preserve"> Bruxelles, 1935, « Le Moyen Âge », 3</w:t>
      </w:r>
      <w:r w:rsidRPr="00E9210E">
        <w:rPr>
          <w:vertAlign w:val="superscript"/>
        </w:rPr>
        <w:t>e</w:t>
      </w:r>
      <w:r w:rsidRPr="00E9210E">
        <w:t xml:space="preserve"> série, t. 7 (1936), pp. 206-208.</w:t>
      </w:r>
    </w:p>
    <w:p w14:paraId="45D5FAA3" w14:textId="77777777" w:rsidR="00B9662D" w:rsidRPr="00E9210E" w:rsidRDefault="00B9662D" w:rsidP="00B9662D">
      <w:pPr>
        <w:spacing w:before="120" w:after="120"/>
        <w:jc w:val="both"/>
      </w:pPr>
      <w:r w:rsidRPr="00E9210E">
        <w:t xml:space="preserve">Compte rendu : G. </w:t>
      </w:r>
      <w:r w:rsidRPr="00E9210E">
        <w:rPr>
          <w:rStyle w:val="Corpsdutexte27ptGras"/>
          <w:rFonts w:eastAsia="Courier New"/>
          <w:b w:val="0"/>
          <w:smallCaps/>
          <w:sz w:val="28"/>
        </w:rPr>
        <w:t>Mickwitz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Geld und Wirtschaft im römischen Reich des vierten Jahrhunderts n. Christ</w:t>
      </w:r>
      <w:r w:rsidRPr="00E9210E">
        <w:rPr>
          <w:rFonts w:eastAsia="Courier New"/>
        </w:rPr>
        <w:t>,</w:t>
      </w:r>
      <w:r w:rsidRPr="00E9210E">
        <w:t xml:space="preserve"> Helsingfors, 1932, « Le Moyen Âge », 3 </w:t>
      </w:r>
      <w:r w:rsidRPr="00E9210E">
        <w:rPr>
          <w:vertAlign w:val="superscript"/>
        </w:rPr>
        <w:t>e</w:t>
      </w:r>
      <w:r w:rsidRPr="00E9210E">
        <w:t xml:space="preserve"> série, t. 7 (1936), pp. 208-211.</w:t>
      </w:r>
    </w:p>
    <w:p w14:paraId="3CFD2C03" w14:textId="77777777" w:rsidR="00B9662D" w:rsidRPr="00E9210E" w:rsidRDefault="00B9662D" w:rsidP="00B9662D">
      <w:pPr>
        <w:spacing w:before="120" w:after="120"/>
        <w:jc w:val="both"/>
      </w:pPr>
      <w:r w:rsidRPr="00E9210E">
        <w:t>À propos d’une histoire de petite ville française. (Compte rendu : M</w:t>
      </w:r>
      <w:r w:rsidRPr="00E9210E">
        <w:rPr>
          <w:i/>
        </w:rPr>
        <w:t xml:space="preserve">. </w:t>
      </w:r>
      <w:r w:rsidRPr="00E9210E">
        <w:rPr>
          <w:rStyle w:val="Corpsdutexte27ptGras"/>
          <w:rFonts w:eastAsia="Courier New"/>
          <w:b w:val="0"/>
          <w:smallCaps/>
          <w:sz w:val="28"/>
        </w:rPr>
        <w:t>Gouron</w:t>
      </w:r>
      <w:r w:rsidRPr="00E9210E">
        <w:rPr>
          <w:rStyle w:val="Corpsdutexte27ptGras"/>
          <w:rFonts w:eastAsia="Courier New"/>
          <w:b w:val="0"/>
          <w:i/>
          <w:sz w:val="28"/>
        </w:rPr>
        <w:t>,</w:t>
      </w:r>
      <w:r w:rsidRPr="00E9210E">
        <w:rPr>
          <w:rStyle w:val="Corpsdutexte27ptGras"/>
          <w:rFonts w:eastAsia="Courier New"/>
          <w:i/>
          <w:sz w:val="28"/>
        </w:rPr>
        <w:t xml:space="preserve"> </w:t>
      </w:r>
      <w:r w:rsidRPr="00E9210E">
        <w:rPr>
          <w:rFonts w:eastAsia="Courier New"/>
          <w:i/>
        </w:rPr>
        <w:t>Histoire de la ville de Pont-Saint-Esprit</w:t>
      </w:r>
      <w:r w:rsidRPr="00E9210E">
        <w:rPr>
          <w:rFonts w:eastAsia="Courier New"/>
        </w:rPr>
        <w:t>,</w:t>
      </w:r>
      <w:r w:rsidRPr="00E9210E">
        <w:t xml:space="preserve"> Nîmes, 1934), « Rev. synt. hist. », t. 56 (1936), pp. 173-176.</w:t>
      </w:r>
    </w:p>
    <w:p w14:paraId="578E3F0A" w14:textId="77777777" w:rsidR="00B9662D" w:rsidRPr="00E9210E" w:rsidRDefault="00B9662D" w:rsidP="00B9662D">
      <w:pPr>
        <w:spacing w:before="120" w:after="120"/>
        <w:jc w:val="both"/>
      </w:pPr>
      <w:r w:rsidRPr="00E9210E">
        <w:t>Point de vue sur l’agriculture de l’Égypte ancienne. (Compte re</w:t>
      </w:r>
      <w:r w:rsidRPr="00E9210E">
        <w:t>n</w:t>
      </w:r>
      <w:r w:rsidRPr="00E9210E">
        <w:t xml:space="preserve">du : Ch. </w:t>
      </w:r>
      <w:r w:rsidRPr="00E9210E">
        <w:rPr>
          <w:rStyle w:val="Corpsdutexte27ptGras"/>
          <w:rFonts w:eastAsia="Courier New"/>
          <w:b w:val="0"/>
          <w:smallCaps/>
          <w:sz w:val="28"/>
        </w:rPr>
        <w:t>Parain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L’agriculture dans Vancienne Égypte</w:t>
      </w:r>
      <w:r w:rsidRPr="00E9210E">
        <w:rPr>
          <w:rFonts w:eastAsia="Courier New"/>
        </w:rPr>
        <w:t>,</w:t>
      </w:r>
      <w:r w:rsidRPr="00E9210E">
        <w:t xml:space="preserve"> dans </w:t>
      </w:r>
      <w:r w:rsidRPr="00E9210E">
        <w:rPr>
          <w:rFonts w:eastAsia="Courier New"/>
          <w:i/>
        </w:rPr>
        <w:t>Revue des Études sémitiques</w:t>
      </w:r>
      <w:r w:rsidRPr="00E9210E">
        <w:rPr>
          <w:rFonts w:eastAsia="Courier New"/>
        </w:rPr>
        <w:t>,</w:t>
      </w:r>
      <w:r w:rsidRPr="00E9210E">
        <w:t xml:space="preserve"> 1934, n° 2, p. </w:t>
      </w:r>
      <w:r w:rsidRPr="00E9210E">
        <w:rPr>
          <w:rStyle w:val="Corpsdutexte27ptGras"/>
          <w:rFonts w:eastAsia="Courier New"/>
          <w:b w:val="0"/>
          <w:smallCaps/>
          <w:sz w:val="28"/>
        </w:rPr>
        <w:t>i-xii</w:t>
      </w:r>
      <w:r w:rsidRPr="00E9210E">
        <w:rPr>
          <w:rStyle w:val="Corpsdutexte27ptGras"/>
          <w:rFonts w:eastAsia="Courier New"/>
          <w:b w:val="0"/>
          <w:sz w:val="28"/>
        </w:rPr>
        <w:t>),</w:t>
      </w:r>
      <w:r w:rsidRPr="00E9210E">
        <w:rPr>
          <w:rStyle w:val="Corpsdutexte27ptGras"/>
          <w:rFonts w:eastAsia="Courier New"/>
          <w:sz w:val="28"/>
        </w:rPr>
        <w:t xml:space="preserve"> </w:t>
      </w:r>
      <w:r w:rsidRPr="00E9210E">
        <w:t>« Rev. synt. hist. », t. 56 (1936), p. 196.</w:t>
      </w:r>
    </w:p>
    <w:p w14:paraId="07153535" w14:textId="77777777" w:rsidR="00B9662D" w:rsidRPr="00E9210E" w:rsidRDefault="00B9662D" w:rsidP="00B9662D">
      <w:pPr>
        <w:spacing w:before="120" w:after="120"/>
        <w:jc w:val="both"/>
      </w:pPr>
      <w:r w:rsidRPr="00E9210E">
        <w:t xml:space="preserve">La formation de Marseille. (Compte rendu : G. </w:t>
      </w:r>
      <w:r w:rsidRPr="00E9210E">
        <w:rPr>
          <w:rStyle w:val="Corpsdutexte27ptGras"/>
          <w:rFonts w:eastAsia="Courier New"/>
          <w:b w:val="0"/>
          <w:smallCaps/>
          <w:sz w:val="28"/>
        </w:rPr>
        <w:t>Rambert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Marsei</w:t>
      </w:r>
      <w:r w:rsidRPr="00E9210E">
        <w:rPr>
          <w:rFonts w:eastAsia="Courier New"/>
          <w:i/>
        </w:rPr>
        <w:t>l</w:t>
      </w:r>
      <w:r w:rsidRPr="00E9210E">
        <w:rPr>
          <w:rFonts w:eastAsia="Courier New"/>
          <w:i/>
        </w:rPr>
        <w:t>le, la formation d'une grande cité moderne. Étude de géographie u</w:t>
      </w:r>
      <w:r w:rsidRPr="00E9210E">
        <w:rPr>
          <w:rFonts w:eastAsia="Courier New"/>
          <w:i/>
        </w:rPr>
        <w:t>r</w:t>
      </w:r>
      <w:r w:rsidRPr="00E9210E">
        <w:rPr>
          <w:rFonts w:eastAsia="Courier New"/>
          <w:i/>
        </w:rPr>
        <w:t>baine</w:t>
      </w:r>
      <w:r w:rsidRPr="00E9210E">
        <w:rPr>
          <w:rFonts w:eastAsia="Courier New"/>
        </w:rPr>
        <w:t>,</w:t>
      </w:r>
      <w:r w:rsidRPr="00E9210E">
        <w:t xml:space="preserve"> Marseille, 1934), « Rev. synt. hist. », t. 56 (1936), pp. 197-198.</w:t>
      </w:r>
    </w:p>
    <w:p w14:paraId="53A6EC2C" w14:textId="77777777" w:rsidR="00B9662D" w:rsidRPr="00E9210E" w:rsidRDefault="00B9662D" w:rsidP="00B9662D">
      <w:pPr>
        <w:spacing w:before="120" w:after="120"/>
        <w:jc w:val="both"/>
      </w:pPr>
      <w:r w:rsidRPr="00E9210E">
        <w:t xml:space="preserve">Une famille de gentilshommes. (Compte rendu : P. de </w:t>
      </w:r>
      <w:r w:rsidRPr="00E9210E">
        <w:rPr>
          <w:rStyle w:val="Corpsdutexte27ptGras"/>
          <w:rFonts w:eastAsia="Courier New"/>
          <w:b w:val="0"/>
          <w:smallCaps/>
          <w:sz w:val="28"/>
        </w:rPr>
        <w:t>Rousier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Une famille de hobereaux pendant six siècles</w:t>
      </w:r>
      <w:r w:rsidRPr="00E9210E">
        <w:rPr>
          <w:rFonts w:eastAsia="Courier New"/>
        </w:rPr>
        <w:t>,</w:t>
      </w:r>
      <w:r w:rsidRPr="00E9210E">
        <w:t xml:space="preserve"> Paris, 1934), « Rev. synt. hist.</w:t>
      </w:r>
      <w:r w:rsidRPr="00E9210E">
        <w:rPr>
          <w:i/>
        </w:rPr>
        <w:t> </w:t>
      </w:r>
      <w:r w:rsidRPr="00E9210E">
        <w:t>», t. 56 (1936), p. 198.</w:t>
      </w:r>
    </w:p>
    <w:p w14:paraId="45BF3D7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À travers l’histoire des prix et des monnaies. (Comptes rendus : Sir W. T. </w:t>
      </w:r>
      <w:r w:rsidRPr="00E9210E">
        <w:rPr>
          <w:rStyle w:val="Corpsdutexte117ptGrasNonItaliqueEspacement0pt"/>
          <w:rFonts w:eastAsia="Courier New"/>
          <w:b w:val="0"/>
          <w:i w:val="0"/>
          <w:iCs w:val="0"/>
          <w:smallCaps/>
          <w:sz w:val="28"/>
          <w:lang w:val="fr-CA"/>
        </w:rPr>
        <w:t>Layton</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et G. </w:t>
      </w:r>
      <w:r w:rsidRPr="00E9210E">
        <w:rPr>
          <w:rStyle w:val="Corpsdutexte117ptGrasNonItaliqueEspacement0pt"/>
          <w:rFonts w:eastAsia="Courier New"/>
          <w:b w:val="0"/>
          <w:i w:val="0"/>
          <w:iCs w:val="0"/>
          <w:smallCaps/>
          <w:sz w:val="28"/>
          <w:lang w:val="fr-CA"/>
        </w:rPr>
        <w:t>Crowther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An introduction to the study of pr</w:t>
      </w:r>
      <w:r w:rsidRPr="00E9210E">
        <w:rPr>
          <w:rFonts w:eastAsia="Courier New"/>
          <w:i/>
        </w:rPr>
        <w:t>i</w:t>
      </w:r>
      <w:r w:rsidRPr="00E9210E">
        <w:rPr>
          <w:rFonts w:eastAsia="Courier New"/>
          <w:i/>
        </w:rPr>
        <w:t>ces</w:t>
      </w:r>
      <w:r w:rsidRPr="00E9210E">
        <w:rPr>
          <w:rFonts w:eastAsia="Courier New"/>
        </w:rPr>
        <w:t>,</w:t>
      </w:r>
      <w:r w:rsidRPr="00E9210E">
        <w:rPr>
          <w:rStyle w:val="Corpsdutexte11NonItaliqueEspacement0pt"/>
          <w:rFonts w:eastAsia="Courier New"/>
          <w:i w:val="0"/>
          <w:iCs w:val="0"/>
          <w:sz w:val="28"/>
          <w:lang w:val="fr-CA"/>
        </w:rPr>
        <w:t xml:space="preserve"> Londres, 1935. — Fr. </w:t>
      </w:r>
      <w:r w:rsidRPr="00E9210E">
        <w:rPr>
          <w:rStyle w:val="Corpsdutexte117ptGrasNonItaliqueEspacement0pt"/>
          <w:rFonts w:eastAsia="Courier New"/>
          <w:b w:val="0"/>
          <w:i w:val="0"/>
          <w:iCs w:val="0"/>
          <w:smallCaps/>
          <w:sz w:val="28"/>
          <w:lang w:val="fr-CA"/>
        </w:rPr>
        <w:t>Simiand</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Inflation et stabilisation alte</w:t>
      </w:r>
      <w:r w:rsidRPr="00E9210E">
        <w:rPr>
          <w:rFonts w:eastAsia="Courier New"/>
          <w:i/>
        </w:rPr>
        <w:t>r</w:t>
      </w:r>
      <w:r w:rsidRPr="00E9210E">
        <w:rPr>
          <w:rFonts w:eastAsia="Courier New"/>
          <w:i/>
        </w:rPr>
        <w:t>nées : le développement économique des États-Unis (des origines c</w:t>
      </w:r>
      <w:r w:rsidRPr="00E9210E">
        <w:rPr>
          <w:rFonts w:eastAsia="Courier New"/>
          <w:i/>
        </w:rPr>
        <w:t>o</w:t>
      </w:r>
      <w:r w:rsidRPr="00E9210E">
        <w:rPr>
          <w:rFonts w:eastAsia="Courier New"/>
          <w:i/>
        </w:rPr>
        <w:t>loniales au temps présent)</w:t>
      </w:r>
      <w:r w:rsidRPr="00E9210E">
        <w:rPr>
          <w:rFonts w:eastAsia="Courier New"/>
        </w:rPr>
        <w:t>,</w:t>
      </w:r>
      <w:r w:rsidRPr="00E9210E">
        <w:rPr>
          <w:rStyle w:val="Corpsdutexte11NonItaliqueEspacement0pt"/>
          <w:rFonts w:eastAsia="Courier New"/>
          <w:i w:val="0"/>
          <w:iCs w:val="0"/>
          <w:sz w:val="28"/>
          <w:lang w:val="fr-CA"/>
        </w:rPr>
        <w:t xml:space="preserve"> Paris, 1934. — J. Y. </w:t>
      </w:r>
      <w:r w:rsidRPr="00E9210E">
        <w:rPr>
          <w:rStyle w:val="Corpsdutexte117ptGrasNonItaliqueEspacement0pt"/>
          <w:rFonts w:eastAsia="Courier New"/>
          <w:b w:val="0"/>
          <w:i w:val="0"/>
          <w:iCs w:val="0"/>
          <w:smallCaps/>
          <w:sz w:val="28"/>
          <w:lang w:val="fr-CA"/>
        </w:rPr>
        <w:t>Le Branchu</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Écrits notables sur la monnaie (XVI</w:t>
      </w:r>
      <w:r w:rsidRPr="00E9210E">
        <w:rPr>
          <w:rFonts w:eastAsia="Courier New"/>
          <w:i/>
          <w:vertAlign w:val="superscript"/>
        </w:rPr>
        <w:t>e</w:t>
      </w:r>
      <w:r w:rsidRPr="00E9210E">
        <w:rPr>
          <w:rFonts w:eastAsia="Courier New"/>
          <w:i/>
        </w:rPr>
        <w:t xml:space="preserve"> s.) de Copernic à Davanzati</w:t>
      </w:r>
      <w:r w:rsidRPr="00E9210E">
        <w:rPr>
          <w:rFonts w:eastAsia="Courier New"/>
        </w:rPr>
        <w:t>,</w:t>
      </w:r>
      <w:r w:rsidRPr="00E9210E">
        <w:rPr>
          <w:rStyle w:val="Corpsdutexte11NonItaliqueEspacement0pt"/>
          <w:rFonts w:eastAsia="Courier New"/>
          <w:i w:val="0"/>
          <w:iCs w:val="0"/>
          <w:sz w:val="28"/>
          <w:lang w:val="fr-CA"/>
        </w:rPr>
        <w:t xml:space="preserve"> Paris, 1934. — P. </w:t>
      </w:r>
      <w:r w:rsidRPr="00E9210E">
        <w:rPr>
          <w:rStyle w:val="Corpsdutexte117ptGrasNonItaliqueEspacement0pt"/>
          <w:rFonts w:eastAsia="Courier New"/>
          <w:b w:val="0"/>
          <w:i w:val="0"/>
          <w:iCs w:val="0"/>
          <w:smallCaps/>
          <w:sz w:val="28"/>
          <w:lang w:val="fr-CA"/>
        </w:rPr>
        <w:t>Harsin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Dutot, réflexions politiques sur les finances et le commerce</w:t>
      </w:r>
      <w:r w:rsidRPr="00E9210E">
        <w:rPr>
          <w:rFonts w:eastAsia="Courier New"/>
        </w:rPr>
        <w:t>,</w:t>
      </w:r>
      <w:r w:rsidRPr="00E9210E">
        <w:rPr>
          <w:rStyle w:val="Corpsdutexte11NonItaliqueEspacement0pt"/>
          <w:rFonts w:eastAsia="Courier New"/>
          <w:i w:val="0"/>
          <w:iCs w:val="0"/>
          <w:sz w:val="28"/>
          <w:lang w:val="fr-CA"/>
        </w:rPr>
        <w:t xml:space="preserve"> Paris, (1935)</w:t>
      </w:r>
      <w:r w:rsidRPr="00E9210E">
        <w:t>, « Rev. synt. hist. », t. 56 (1936), pp. 233-237.</w:t>
      </w:r>
    </w:p>
    <w:p w14:paraId="54A68E4B" w14:textId="77777777" w:rsidR="00B9662D" w:rsidRPr="00E9210E" w:rsidRDefault="00B9662D" w:rsidP="00B9662D">
      <w:pPr>
        <w:spacing w:before="120" w:after="120"/>
        <w:jc w:val="both"/>
      </w:pPr>
      <w:r w:rsidRPr="00E9210E">
        <w:t xml:space="preserve">Géographie et politique. (Comptes rendus : J. </w:t>
      </w:r>
      <w:r w:rsidRPr="00E9210E">
        <w:rPr>
          <w:rStyle w:val="Corpsdutexte27ptGras"/>
          <w:rFonts w:eastAsia="Courier New"/>
          <w:b w:val="0"/>
          <w:sz w:val="28"/>
        </w:rPr>
        <w:t>Ancel,</w:t>
      </w:r>
      <w:r w:rsidRPr="00E9210E">
        <w:rPr>
          <w:rStyle w:val="Corpsdutexte27ptGras"/>
          <w:rFonts w:eastAsia="Courier New"/>
          <w:sz w:val="28"/>
        </w:rPr>
        <w:t xml:space="preserve"> </w:t>
      </w:r>
      <w:r w:rsidRPr="00E9210E">
        <w:rPr>
          <w:rFonts w:eastAsia="Courier New"/>
          <w:i/>
        </w:rPr>
        <w:t>Géopolitique</w:t>
      </w:r>
      <w:r w:rsidRPr="00E9210E">
        <w:rPr>
          <w:rFonts w:eastAsia="Courier New"/>
        </w:rPr>
        <w:t>,</w:t>
      </w:r>
      <w:r w:rsidRPr="00E9210E">
        <w:t xml:space="preserve"> P</w:t>
      </w:r>
      <w:r w:rsidRPr="00E9210E">
        <w:t>a</w:t>
      </w:r>
      <w:r w:rsidRPr="00E9210E">
        <w:t>ris, 1936. — </w:t>
      </w:r>
      <w:r w:rsidRPr="00E9210E">
        <w:rPr>
          <w:rFonts w:eastAsia="Courier New"/>
          <w:i/>
        </w:rPr>
        <w:t>Manuel géographique de politique européenne</w:t>
      </w:r>
      <w:r w:rsidRPr="00E9210E">
        <w:rPr>
          <w:rFonts w:eastAsia="Courier New"/>
        </w:rPr>
        <w:t>.</w:t>
      </w:r>
      <w:r w:rsidRPr="00E9210E">
        <w:t xml:space="preserve"> T. I : </w:t>
      </w:r>
      <w:r w:rsidRPr="00E9210E">
        <w:rPr>
          <w:rFonts w:eastAsia="Courier New"/>
          <w:i/>
        </w:rPr>
        <w:t>L'Europe centrale</w:t>
      </w:r>
      <w:r w:rsidRPr="00E9210E">
        <w:rPr>
          <w:rFonts w:eastAsia="Courier New"/>
        </w:rPr>
        <w:t>,</w:t>
      </w:r>
      <w:r w:rsidRPr="00E9210E">
        <w:t xml:space="preserve"> Paris, 1936), « Rev. synt. hist. », t. 56 (1936), pp. 267-268.</w:t>
      </w:r>
    </w:p>
    <w:p w14:paraId="14ADC1B2" w14:textId="77777777" w:rsidR="00B9662D" w:rsidRPr="00E9210E" w:rsidRDefault="00B9662D" w:rsidP="00B9662D">
      <w:pPr>
        <w:spacing w:before="120" w:after="120"/>
        <w:jc w:val="both"/>
      </w:pPr>
      <w:r w:rsidRPr="00E9210E">
        <w:t xml:space="preserve">Les nouveaux « moines d’Occident ». (Compte rendu : G. G. </w:t>
      </w:r>
      <w:r w:rsidRPr="00E9210E">
        <w:rPr>
          <w:rStyle w:val="Corpsdutexte27ptGras"/>
          <w:rFonts w:eastAsia="Courier New"/>
          <w:b w:val="0"/>
          <w:smallCaps/>
          <w:sz w:val="28"/>
        </w:rPr>
        <w:t>Coulton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Five centuries of Religion</w:t>
      </w:r>
      <w:r w:rsidRPr="00E9210E">
        <w:rPr>
          <w:rFonts w:eastAsia="Courier New"/>
        </w:rPr>
        <w:t>.</w:t>
      </w:r>
      <w:r w:rsidRPr="00E9210E">
        <w:t xml:space="preserve"> Vol. III : </w:t>
      </w:r>
      <w:r w:rsidRPr="00E9210E">
        <w:rPr>
          <w:rFonts w:eastAsia="Courier New"/>
          <w:i/>
        </w:rPr>
        <w:t>Getting and Spending</w:t>
      </w:r>
      <w:r w:rsidRPr="00E9210E">
        <w:rPr>
          <w:rFonts w:eastAsia="Courier New"/>
        </w:rPr>
        <w:t>,</w:t>
      </w:r>
      <w:r w:rsidRPr="00E9210E">
        <w:t xml:space="preserve"> Cambri</w:t>
      </w:r>
      <w:r w:rsidRPr="00E9210E">
        <w:t>d</w:t>
      </w:r>
      <w:r w:rsidRPr="00E9210E">
        <w:t>ge, 1936), « Rev. synt. hist. », t. 56 (1936), pp. 268-270.</w:t>
      </w:r>
    </w:p>
    <w:p w14:paraId="68EC7319" w14:textId="77777777" w:rsidR="00B9662D" w:rsidRPr="00E9210E" w:rsidRDefault="00B9662D" w:rsidP="00B9662D">
      <w:pPr>
        <w:spacing w:before="120" w:after="120"/>
        <w:jc w:val="both"/>
      </w:pPr>
    </w:p>
    <w:p w14:paraId="52087114" w14:textId="77777777" w:rsidR="00B9662D" w:rsidRPr="00E9210E" w:rsidRDefault="00B9662D" w:rsidP="00B9662D">
      <w:pPr>
        <w:spacing w:before="120" w:after="120"/>
        <w:jc w:val="center"/>
        <w:rPr>
          <w:b/>
        </w:rPr>
      </w:pPr>
      <w:r w:rsidRPr="00E9210E">
        <w:rPr>
          <w:b/>
        </w:rPr>
        <w:t>1937</w:t>
      </w:r>
    </w:p>
    <w:p w14:paraId="28E6F4CB" w14:textId="77777777" w:rsidR="00B9662D" w:rsidRPr="00E9210E" w:rsidRDefault="00B9662D" w:rsidP="00B9662D">
      <w:pPr>
        <w:spacing w:before="120" w:after="120"/>
        <w:jc w:val="both"/>
      </w:pPr>
    </w:p>
    <w:p w14:paraId="3F49D222" w14:textId="77777777" w:rsidR="00B9662D" w:rsidRPr="00E9210E" w:rsidRDefault="00B9662D" w:rsidP="00B9662D">
      <w:pPr>
        <w:spacing w:before="120" w:after="120"/>
        <w:jc w:val="both"/>
      </w:pPr>
      <w:r w:rsidRPr="00E9210E">
        <w:rPr>
          <w:rStyle w:val="Corpsdutexte28ptItalique"/>
          <w:rFonts w:eastAsia="Courier New"/>
          <w:sz w:val="28"/>
        </w:rPr>
        <w:t>« </w:t>
      </w:r>
      <w:r w:rsidRPr="00E9210E">
        <w:rPr>
          <w:rStyle w:val="Corpsdutexte28ptGraschelle120"/>
          <w:rFonts w:eastAsia="Courier New"/>
          <w:sz w:val="28"/>
        </w:rPr>
        <w:t xml:space="preserve">Sur les routes de l’entr’aide » </w:t>
      </w:r>
      <w:r w:rsidRPr="00E9210E">
        <w:t xml:space="preserve">(note des Directeurs), </w:t>
      </w:r>
      <w:r w:rsidRPr="00E9210E">
        <w:rPr>
          <w:rStyle w:val="Corpsdutexte28ptItalique"/>
          <w:rFonts w:eastAsia="Courier New"/>
          <w:sz w:val="28"/>
        </w:rPr>
        <w:t>A.H.E.S.,</w:t>
      </w:r>
      <w:r w:rsidRPr="00E9210E">
        <w:rPr>
          <w:rStyle w:val="Corpsdutexte28ptGraschelle120"/>
          <w:rFonts w:eastAsia="Courier New"/>
          <w:sz w:val="28"/>
        </w:rPr>
        <w:t xml:space="preserve"> </w:t>
      </w:r>
      <w:r w:rsidRPr="00E9210E">
        <w:t>t. IX (1937), pp. 75-76.</w:t>
      </w:r>
    </w:p>
    <w:p w14:paraId="0E0F39A5" w14:textId="77777777" w:rsidR="00B9662D" w:rsidRPr="00E9210E" w:rsidRDefault="00B9662D" w:rsidP="00B9662D">
      <w:pPr>
        <w:spacing w:before="120" w:after="120"/>
        <w:jc w:val="both"/>
      </w:pPr>
      <w:r w:rsidRPr="00E9210E">
        <w:t>« </w:t>
      </w:r>
      <w:r w:rsidRPr="00E9210E">
        <w:rPr>
          <w:b/>
        </w:rPr>
        <w:t>Pour le renouveau de l’enseignement historique : le problème de l’agrégation </w:t>
      </w:r>
      <w:r w:rsidRPr="00E9210E">
        <w:t xml:space="preserve">» </w:t>
      </w:r>
      <w:r w:rsidRPr="00E9210E">
        <w:rPr>
          <w:rStyle w:val="Corpsdutexte885ptNonGraschelle100"/>
          <w:rFonts w:eastAsia="Courier New"/>
          <w:b w:val="0"/>
          <w:bCs w:val="0"/>
          <w:sz w:val="28"/>
        </w:rPr>
        <w:t xml:space="preserve">(en collaboration avec Lucien Febvre),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t. IX (1937), pp. 113-129.</w:t>
      </w:r>
    </w:p>
    <w:p w14:paraId="792339DE" w14:textId="77777777" w:rsidR="00B9662D" w:rsidRPr="00E9210E" w:rsidRDefault="00B9662D" w:rsidP="00B9662D">
      <w:pPr>
        <w:spacing w:before="120" w:after="120"/>
        <w:jc w:val="both"/>
      </w:pPr>
      <w:r w:rsidRPr="00E9210E">
        <w:t>« </w:t>
      </w:r>
      <w:r w:rsidRPr="00E9210E">
        <w:rPr>
          <w:b/>
        </w:rPr>
        <w:t>Un nouvel institut d’histoire sociale </w:t>
      </w:r>
      <w:r w:rsidRPr="00E9210E">
        <w:t xml:space="preserve">» </w:t>
      </w:r>
      <w:r w:rsidRPr="00E9210E">
        <w:rPr>
          <w:rStyle w:val="Corpsdutexte885ptNonGraschelle100"/>
          <w:rFonts w:eastAsia="Courier New"/>
          <w:b w:val="0"/>
          <w:bCs w:val="0"/>
          <w:sz w:val="28"/>
        </w:rPr>
        <w:t xml:space="preserve">(signé : les Directeurs), </w:t>
      </w:r>
      <w:r w:rsidRPr="00E9210E">
        <w:rPr>
          <w:rStyle w:val="Corpsdutexte8NonGrasItaliquechelle100"/>
          <w:rFonts w:eastAsia="Courier New"/>
          <w:b w:val="0"/>
          <w:bCs w:val="0"/>
          <w:sz w:val="28"/>
        </w:rPr>
        <w:t>A.H.E.S.,</w:t>
      </w:r>
      <w:r w:rsidRPr="00E9210E">
        <w:t xml:space="preserve"> </w:t>
      </w:r>
      <w:r w:rsidRPr="00E9210E">
        <w:rPr>
          <w:rStyle w:val="Corpsdutexte885ptNonGraschelle100"/>
          <w:rFonts w:eastAsia="Courier New"/>
          <w:b w:val="0"/>
          <w:bCs w:val="0"/>
          <w:sz w:val="28"/>
        </w:rPr>
        <w:t>t. IX (1937)</w:t>
      </w:r>
      <w:r w:rsidRPr="00E9210E">
        <w:t>, p. 194.</w:t>
      </w:r>
    </w:p>
    <w:p w14:paraId="576FEC10" w14:textId="77777777" w:rsidR="00B9662D" w:rsidRPr="00E9210E" w:rsidRDefault="00B9662D" w:rsidP="00B9662D">
      <w:pPr>
        <w:spacing w:before="120" w:after="120"/>
        <w:jc w:val="both"/>
      </w:pPr>
      <w:r w:rsidRPr="00E9210E">
        <w:rPr>
          <w:rStyle w:val="Corpsdutexte3GrasNonItaliquechelle120"/>
          <w:rFonts w:eastAsia="Courier New"/>
          <w:i w:val="0"/>
          <w:iCs w:val="0"/>
          <w:sz w:val="28"/>
        </w:rPr>
        <w:t xml:space="preserve">« Que demander à l’histoire ? », </w:t>
      </w:r>
      <w:r w:rsidRPr="00E9210E">
        <w:rPr>
          <w:i/>
        </w:rPr>
        <w:t>Centre polytechnicien d'Études économiques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n° 34 (janvier 1937), pp. 15-22.</w:t>
      </w:r>
    </w:p>
    <w:p w14:paraId="7BC009B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Apologie pour le travail utile : à propos de deux livres sur Saint-Denis. (Compte rendu : G. </w:t>
      </w:r>
      <w:r w:rsidRPr="00E9210E">
        <w:rPr>
          <w:rStyle w:val="Corpsdutexte37ptGrasNonItalique"/>
          <w:rFonts w:eastAsia="Courier New"/>
          <w:b w:val="0"/>
          <w:i w:val="0"/>
          <w:iCs w:val="0"/>
          <w:smallCaps/>
          <w:sz w:val="28"/>
        </w:rPr>
        <w:t>Lebel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Histoire administrative, économ</w:t>
      </w:r>
      <w:r w:rsidRPr="00E9210E">
        <w:rPr>
          <w:i/>
        </w:rPr>
        <w:t>i</w:t>
      </w:r>
      <w:r w:rsidRPr="00E9210E">
        <w:rPr>
          <w:i/>
        </w:rPr>
        <w:t>que et financière de l'abbaye de Saint-Denis, étudiée spécialement dans la province ecclésiastique de Sens, de 1151 à 1346</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1935). — </w:t>
      </w:r>
      <w:r w:rsidRPr="00E9210E">
        <w:rPr>
          <w:i/>
        </w:rPr>
        <w:t>Catalogue des actes de l'abbaye de Saint-Denis relatifs à la province ecclésiastique de Sens, précédé d'une in</w:t>
      </w:r>
      <w:r w:rsidRPr="00E9210E">
        <w:rPr>
          <w:i/>
        </w:rPr>
        <w:t>s</w:t>
      </w:r>
      <w:r w:rsidRPr="00E9210E">
        <w:rPr>
          <w:i/>
        </w:rPr>
        <w:t>truction sur les sources de l'histoire san-dyonisienne, les privilèges spirituels de l'a</w:t>
      </w:r>
      <w:r w:rsidRPr="00E9210E">
        <w:rPr>
          <w:i/>
        </w:rPr>
        <w:t>b</w:t>
      </w:r>
      <w:r w:rsidRPr="00E9210E">
        <w:rPr>
          <w:i/>
        </w:rPr>
        <w:t>baye et la vie monastique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Paris, 1935), « A.H.E.S. », t. IX (1937), pp. 80-85.</w:t>
      </w:r>
    </w:p>
    <w:p w14:paraId="11426F08" w14:textId="77777777" w:rsidR="00B9662D" w:rsidRPr="00E9210E" w:rsidRDefault="00B9662D" w:rsidP="00B9662D">
      <w:pPr>
        <w:spacing w:before="120" w:after="120"/>
        <w:jc w:val="both"/>
      </w:pPr>
      <w:r w:rsidRPr="00E9210E">
        <w:t>[1084]</w:t>
      </w:r>
    </w:p>
    <w:p w14:paraId="3CAA3171" w14:textId="77777777" w:rsidR="00B9662D" w:rsidRPr="00E9210E" w:rsidRDefault="00B9662D" w:rsidP="00B9662D">
      <w:pPr>
        <w:spacing w:before="120" w:after="120"/>
        <w:jc w:val="both"/>
      </w:pPr>
      <w:r w:rsidRPr="00E9210E">
        <w:t xml:space="preserve">La monnaie </w:t>
      </w:r>
      <w:r w:rsidRPr="00E9210E">
        <w:rPr>
          <w:rStyle w:val="Corpsdutexte27ptGras"/>
          <w:rFonts w:eastAsia="Courier New"/>
          <w:sz w:val="28"/>
        </w:rPr>
        <w:t xml:space="preserve">à </w:t>
      </w:r>
      <w:r w:rsidRPr="00E9210E">
        <w:t>travers l’histoire et l’opinion. (Compte rendu : R. </w:t>
      </w:r>
      <w:r w:rsidRPr="00E9210E">
        <w:rPr>
          <w:rStyle w:val="Corpsdutexte27ptGras"/>
          <w:rFonts w:eastAsia="Courier New"/>
          <w:b w:val="0"/>
          <w:smallCaps/>
          <w:sz w:val="28"/>
        </w:rPr>
        <w:t>Gonnard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Histoire des doctrines monétaires dans ses rapports avec Vhistoire des monnaies</w:t>
      </w:r>
      <w:r w:rsidRPr="00E9210E">
        <w:rPr>
          <w:rFonts w:eastAsia="Courier New"/>
        </w:rPr>
        <w:t>,</w:t>
      </w:r>
      <w:r w:rsidRPr="00E9210E">
        <w:t xml:space="preserve"> Paris, 1935 et 1936), « A.H.E.S. », t. IX (1937), pp. 106-107.</w:t>
      </w:r>
    </w:p>
    <w:p w14:paraId="683783FB" w14:textId="77777777" w:rsidR="00B9662D" w:rsidRPr="00E9210E" w:rsidRDefault="00B9662D" w:rsidP="00B9662D">
      <w:pPr>
        <w:spacing w:before="120" w:after="120"/>
        <w:jc w:val="both"/>
      </w:pPr>
      <w:r w:rsidRPr="00E9210E">
        <w:t xml:space="preserve">Sur les sentiers de la numismatique. (Compte rendu : A. </w:t>
      </w:r>
      <w:r w:rsidRPr="00E9210E">
        <w:rPr>
          <w:rStyle w:val="Corpsdutexte27ptGras"/>
          <w:rFonts w:eastAsia="Courier New"/>
          <w:b w:val="0"/>
          <w:smallCaps/>
          <w:sz w:val="28"/>
        </w:rPr>
        <w:t>Blanchet</w:t>
      </w:r>
      <w:r w:rsidRPr="00E9210E">
        <w:rPr>
          <w:rStyle w:val="Corpsdutexte27ptGras"/>
          <w:rFonts w:eastAsia="Courier New"/>
          <w:sz w:val="28"/>
        </w:rPr>
        <w:t xml:space="preserve"> </w:t>
      </w:r>
      <w:r w:rsidRPr="00E9210E">
        <w:t xml:space="preserve">et A. </w:t>
      </w:r>
      <w:r w:rsidRPr="00E9210E">
        <w:rPr>
          <w:rStyle w:val="Corpsdutexte27ptGras"/>
          <w:rFonts w:eastAsia="Courier New"/>
          <w:b w:val="0"/>
          <w:smallCaps/>
          <w:sz w:val="28"/>
        </w:rPr>
        <w:t>Dieudonné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Manuel de numismatique française</w:t>
      </w:r>
      <w:r w:rsidRPr="00E9210E">
        <w:t xml:space="preserve">, t. IV : </w:t>
      </w:r>
      <w:r w:rsidRPr="00E9210E">
        <w:rPr>
          <w:rStyle w:val="Corpsdutexte28ptItalique"/>
          <w:rFonts w:eastAsia="Courier New"/>
          <w:sz w:val="28"/>
        </w:rPr>
        <w:t>Mo</w:t>
      </w:r>
      <w:r w:rsidRPr="00E9210E">
        <w:rPr>
          <w:rStyle w:val="Corpsdutexte28ptItalique"/>
          <w:rFonts w:eastAsia="Courier New"/>
          <w:sz w:val="28"/>
        </w:rPr>
        <w:t>n</w:t>
      </w:r>
      <w:r w:rsidRPr="00E9210E">
        <w:rPr>
          <w:rStyle w:val="Corpsdutexte28ptItalique"/>
          <w:rFonts w:eastAsia="Courier New"/>
          <w:sz w:val="28"/>
        </w:rPr>
        <w:t>naies féodales françaises</w:t>
      </w:r>
      <w:r w:rsidRPr="00E9210E">
        <w:t>, Paris, 1936), « A.H.E.S. », t. IX (1937), pp. 107-108.</w:t>
      </w:r>
    </w:p>
    <w:p w14:paraId="34CF1C69" w14:textId="77777777" w:rsidR="00B9662D" w:rsidRPr="00E9210E" w:rsidRDefault="00B9662D" w:rsidP="00B9662D">
      <w:pPr>
        <w:spacing w:before="120" w:after="120"/>
        <w:jc w:val="both"/>
      </w:pPr>
      <w:r w:rsidRPr="00E9210E">
        <w:t xml:space="preserve">Cascade de conjonctures. (Compte rendu : M. </w:t>
      </w:r>
      <w:r w:rsidRPr="00E9210E">
        <w:rPr>
          <w:rStyle w:val="Corpsdutexte27ptGras"/>
          <w:rFonts w:eastAsia="Courier New"/>
          <w:b w:val="0"/>
          <w:smallCaps/>
          <w:sz w:val="28"/>
        </w:rPr>
        <w:t>Bouvier-Ajam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Éléments d'économie monétaire</w:t>
      </w:r>
      <w:r w:rsidRPr="00E9210E">
        <w:t xml:space="preserve">, </w:t>
      </w:r>
      <w:r w:rsidRPr="00E9210E">
        <w:rPr>
          <w:rStyle w:val="Corpsdutexte28ptItalique"/>
          <w:rFonts w:eastAsia="Courier New"/>
          <w:sz w:val="28"/>
        </w:rPr>
        <w:t>aux temps gaulois</w:t>
      </w:r>
      <w:r w:rsidRPr="00E9210E">
        <w:rPr>
          <w:rFonts w:eastAsia="Courier New"/>
        </w:rPr>
        <w:t xml:space="preserve">, </w:t>
      </w:r>
      <w:r w:rsidRPr="00E9210E">
        <w:rPr>
          <w:rStyle w:val="Corpsdutexte28ptItalique"/>
          <w:rFonts w:eastAsia="Courier New"/>
          <w:sz w:val="28"/>
        </w:rPr>
        <w:t>gallo-romains et mérovingiens</w:t>
      </w:r>
      <w:r w:rsidRPr="00E9210E">
        <w:t>, Paris, 1936), « A.H.E.S. », t. IX (1937), p. 109.</w:t>
      </w:r>
    </w:p>
    <w:p w14:paraId="0881B506" w14:textId="77777777" w:rsidR="00B9662D" w:rsidRPr="00E9210E" w:rsidRDefault="00B9662D" w:rsidP="00B9662D">
      <w:pPr>
        <w:spacing w:before="120" w:after="120"/>
        <w:jc w:val="both"/>
      </w:pPr>
      <w:r w:rsidRPr="00E9210E">
        <w:t xml:space="preserve">Quelques comptes angevins : une publication incomplète. (Compte rendu : A. de </w:t>
      </w:r>
      <w:r w:rsidRPr="00E9210E">
        <w:rPr>
          <w:rStyle w:val="Corpsdutexte27ptGras"/>
          <w:rFonts w:eastAsia="Courier New"/>
          <w:b w:val="0"/>
          <w:smallCaps/>
          <w:sz w:val="28"/>
        </w:rPr>
        <w:t>Boüard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Documents en français des archives angevines de Naples (Règne de Charles </w:t>
      </w:r>
      <w:r w:rsidRPr="00E9210E">
        <w:rPr>
          <w:rStyle w:val="Corpsdutexte2ItaliqueEspacement0pt"/>
          <w:rFonts w:eastAsia="Courier New"/>
          <w:sz w:val="28"/>
        </w:rPr>
        <w:t>I</w:t>
      </w:r>
      <w:r w:rsidRPr="00E9210E">
        <w:rPr>
          <w:rStyle w:val="Corpsdutexte2ItaliqueEspacement0pt"/>
          <w:rFonts w:eastAsia="Courier New"/>
          <w:sz w:val="28"/>
          <w:vertAlign w:val="superscript"/>
        </w:rPr>
        <w:t>er</w:t>
      </w:r>
      <w:r w:rsidRPr="00E9210E">
        <w:rPr>
          <w:rStyle w:val="Corpsdutexte2ItaliqueEspacement0pt"/>
          <w:rFonts w:eastAsia="Courier New"/>
          <w:sz w:val="28"/>
        </w:rPr>
        <w:t>).</w:t>
      </w:r>
      <w:r w:rsidRPr="00E9210E">
        <w:rPr>
          <w:rStyle w:val="Corpsdutexte28ptGraschelle120"/>
          <w:rFonts w:eastAsia="Courier New"/>
          <w:sz w:val="28"/>
        </w:rPr>
        <w:t xml:space="preserve"> </w:t>
      </w:r>
      <w:r w:rsidRPr="00E9210E">
        <w:t xml:space="preserve">II : </w:t>
      </w:r>
      <w:r w:rsidRPr="00E9210E">
        <w:rPr>
          <w:rStyle w:val="Corpsdutexte28ptItalique"/>
          <w:rFonts w:eastAsia="Courier New"/>
          <w:sz w:val="28"/>
        </w:rPr>
        <w:t>Les comptes des trésoriers</w:t>
      </w:r>
      <w:r w:rsidRPr="00E9210E">
        <w:t>, P</w:t>
      </w:r>
      <w:r w:rsidRPr="00E9210E">
        <w:t>a</w:t>
      </w:r>
      <w:r w:rsidRPr="00E9210E">
        <w:t>ris, 1935), « A.H.E.S. », t. IX (1937), pp. 109-110.</w:t>
      </w:r>
    </w:p>
    <w:p w14:paraId="730A689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Documents sur les prix. (Compte rendu : R. </w:t>
      </w:r>
      <w:r w:rsidRPr="00E9210E">
        <w:rPr>
          <w:rStyle w:val="Corpsdutexte37ptGrasNonItalique"/>
          <w:rFonts w:eastAsia="Courier New"/>
          <w:b w:val="0"/>
          <w:i w:val="0"/>
          <w:iCs w:val="0"/>
          <w:smallCaps/>
          <w:sz w:val="28"/>
        </w:rPr>
        <w:t>Latouche</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Mélanges d'histoire dauphinoise</w:t>
      </w:r>
      <w:r w:rsidRPr="00E9210E">
        <w:t>.</w:t>
      </w:r>
      <w:r w:rsidRPr="00E9210E">
        <w:rPr>
          <w:rStyle w:val="Corpsdutexte3GrasNonItaliquechelle120"/>
          <w:rFonts w:eastAsia="Courier New"/>
          <w:i w:val="0"/>
          <w:iCs w:val="0"/>
          <w:sz w:val="28"/>
        </w:rPr>
        <w:t xml:space="preserve"> </w:t>
      </w:r>
      <w:r w:rsidRPr="00E9210E">
        <w:rPr>
          <w:rStyle w:val="Corpsdutexte3GrasNonItaliquechelle120"/>
          <w:rFonts w:eastAsia="Courier New"/>
          <w:b w:val="0"/>
          <w:i w:val="0"/>
          <w:iCs w:val="0"/>
          <w:sz w:val="28"/>
        </w:rPr>
        <w:t>I :</w:t>
      </w:r>
      <w:r w:rsidRPr="00E9210E">
        <w:rPr>
          <w:rStyle w:val="Corpsdutexte3GrasNonItaliquechelle120"/>
          <w:rFonts w:eastAsia="Courier New"/>
          <w:i w:val="0"/>
          <w:iCs w:val="0"/>
          <w:sz w:val="28"/>
        </w:rPr>
        <w:t xml:space="preserve"> </w:t>
      </w:r>
      <w:r w:rsidRPr="00E9210E">
        <w:t xml:space="preserve">Le </w:t>
      </w:r>
      <w:r w:rsidRPr="00E9210E">
        <w:rPr>
          <w:i/>
        </w:rPr>
        <w:t>mouvement des prix en Dauphiné sous l'Ancien Régime : étude méthodologique</w:t>
      </w:r>
      <w:r w:rsidRPr="00E9210E">
        <w:rPr>
          <w:rFonts w:eastAsia="Courier New"/>
        </w:rPr>
        <w:t>,</w:t>
      </w:r>
      <w:r w:rsidRPr="00E9210E">
        <w:rPr>
          <w:rStyle w:val="Corpsdutexte385ptNonItalique"/>
          <w:rFonts w:eastAsia="Courier New"/>
          <w:i w:val="0"/>
          <w:iCs w:val="0"/>
          <w:sz w:val="28"/>
        </w:rPr>
        <w:t xml:space="preserve"> dans </w:t>
      </w:r>
      <w:r w:rsidRPr="00E9210E">
        <w:rPr>
          <w:i/>
        </w:rPr>
        <w:t>Annales de l'Université de Grenoble</w:t>
      </w:r>
      <w:r w:rsidRPr="00E9210E">
        <w:rPr>
          <w:rFonts w:eastAsia="Courier New"/>
          <w:i/>
        </w:rPr>
        <w:t xml:space="preserve">, </w:t>
      </w:r>
      <w:r w:rsidRPr="00E9210E">
        <w:rPr>
          <w:i/>
        </w:rPr>
        <w:t>section Le</w:t>
      </w:r>
      <w:r w:rsidRPr="00E9210E">
        <w:rPr>
          <w:i/>
        </w:rPr>
        <w:t>t</w:t>
      </w:r>
      <w:r w:rsidRPr="00E9210E">
        <w:rPr>
          <w:i/>
        </w:rPr>
        <w:t>tres-Droit</w:t>
      </w:r>
      <w:r w:rsidRPr="00E9210E">
        <w:rPr>
          <w:rStyle w:val="Corpsdutexte385ptNonItalique"/>
          <w:rFonts w:eastAsia="Courier New"/>
          <w:i w:val="0"/>
          <w:iCs w:val="0"/>
          <w:sz w:val="28"/>
        </w:rPr>
        <w:t>, t. XI (1934), pp. 5-19), « A.H.E.S. », t. IX (1937), pp. 110-111.</w:t>
      </w:r>
    </w:p>
    <w:p w14:paraId="715B58A5" w14:textId="77777777" w:rsidR="00B9662D" w:rsidRPr="00E9210E" w:rsidRDefault="00B9662D" w:rsidP="00B9662D">
      <w:pPr>
        <w:spacing w:before="120" w:after="120"/>
        <w:jc w:val="both"/>
      </w:pPr>
      <w:r w:rsidRPr="00E9210E">
        <w:t xml:space="preserve">Sous saint Louis : le roi, ses seigneuries et ses champs. (Compte rendu : J. R. </w:t>
      </w:r>
      <w:r w:rsidRPr="00E9210E">
        <w:rPr>
          <w:rStyle w:val="Corpsdutexte27ptGras"/>
          <w:rFonts w:eastAsia="Courier New"/>
          <w:b w:val="0"/>
          <w:smallCaps/>
          <w:sz w:val="28"/>
        </w:rPr>
        <w:t>Strayer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royal domain in the bailliage of Rouen</w:t>
      </w:r>
      <w:r w:rsidRPr="00E9210E">
        <w:t>, Princeton, 1936), « A.H.E.S. », t. IX (1937), pp. 199-201.</w:t>
      </w:r>
    </w:p>
    <w:p w14:paraId="5864B271" w14:textId="77777777" w:rsidR="00B9662D" w:rsidRPr="00E9210E" w:rsidRDefault="00B9662D" w:rsidP="00B9662D">
      <w:pPr>
        <w:spacing w:before="120" w:after="120"/>
        <w:jc w:val="both"/>
      </w:pPr>
      <w:r w:rsidRPr="00E9210E">
        <w:t xml:space="preserve">En Angleterre : l’histoire et le terrain. (Comptes rendus : </w:t>
      </w:r>
      <w:r w:rsidRPr="00E9210E">
        <w:rPr>
          <w:rStyle w:val="Corpsdutexte28ptItalique"/>
          <w:rFonts w:eastAsia="Courier New"/>
          <w:sz w:val="28"/>
        </w:rPr>
        <w:t>An hist</w:t>
      </w:r>
      <w:r w:rsidRPr="00E9210E">
        <w:rPr>
          <w:rStyle w:val="Corpsdutexte28ptItalique"/>
          <w:rFonts w:eastAsia="Courier New"/>
          <w:sz w:val="28"/>
        </w:rPr>
        <w:t>o</w:t>
      </w:r>
      <w:r w:rsidRPr="00E9210E">
        <w:rPr>
          <w:rStyle w:val="Corpsdutexte28ptItalique"/>
          <w:rFonts w:eastAsia="Courier New"/>
          <w:sz w:val="28"/>
        </w:rPr>
        <w:t>rical geography of England before A.D. 1800, edited by H. C. Darby</w:t>
      </w:r>
      <w:r w:rsidRPr="00E9210E">
        <w:t xml:space="preserve">, Cambridge, 1936. — F. W. </w:t>
      </w:r>
      <w:r w:rsidRPr="00E9210E">
        <w:rPr>
          <w:rStyle w:val="Corpsdutexte27ptGras"/>
          <w:rFonts w:eastAsia="Courier New"/>
          <w:b w:val="0"/>
          <w:smallCaps/>
          <w:sz w:val="28"/>
        </w:rPr>
        <w:t>Tickner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London through the ages</w:t>
      </w:r>
      <w:r w:rsidRPr="00E9210E">
        <w:t>, Lo</w:t>
      </w:r>
      <w:r w:rsidRPr="00E9210E">
        <w:t>n</w:t>
      </w:r>
      <w:r w:rsidRPr="00E9210E">
        <w:t xml:space="preserve">dres (1931). — R. </w:t>
      </w:r>
      <w:r w:rsidRPr="00E9210E">
        <w:rPr>
          <w:rStyle w:val="Corpsdutexte27ptGras"/>
          <w:rFonts w:eastAsia="Courier New"/>
          <w:b w:val="0"/>
          <w:smallCaps/>
          <w:sz w:val="28"/>
        </w:rPr>
        <w:t>Dutton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english country house,</w:t>
      </w:r>
      <w:r w:rsidRPr="00E9210E">
        <w:rPr>
          <w:rStyle w:val="Corpsdutexte28ptGraschelle120"/>
          <w:rFonts w:eastAsia="Courier New"/>
          <w:sz w:val="28"/>
        </w:rPr>
        <w:t xml:space="preserve"> </w:t>
      </w:r>
      <w:r w:rsidRPr="00E9210E">
        <w:t>Londres [1935]), « A.H.E.S. », t. IX (1937), pp. 208-210.</w:t>
      </w:r>
    </w:p>
    <w:p w14:paraId="2A1E86A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La toponymie au service de l’histoire. (Compte rendu : J. </w:t>
      </w:r>
      <w:r w:rsidRPr="00E9210E">
        <w:rPr>
          <w:rStyle w:val="Corpsdutexte37ptGrasNonItalique"/>
          <w:rFonts w:eastAsia="Courier New"/>
          <w:b w:val="0"/>
          <w:i w:val="0"/>
          <w:iCs w:val="0"/>
          <w:smallCaps/>
          <w:sz w:val="28"/>
        </w:rPr>
        <w:t>Soyer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Recherches sur l'origine et la formation des noms de lieux du dépa</w:t>
      </w:r>
      <w:r w:rsidRPr="00E9210E">
        <w:rPr>
          <w:i/>
        </w:rPr>
        <w:t>r</w:t>
      </w:r>
      <w:r w:rsidRPr="00E9210E">
        <w:rPr>
          <w:i/>
        </w:rPr>
        <w:t>tement du Loiret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II, extr. du </w:t>
      </w:r>
      <w:r w:rsidRPr="00E9210E">
        <w:rPr>
          <w:i/>
        </w:rPr>
        <w:t>Bull, de la Société archéologique et hi</w:t>
      </w:r>
      <w:r w:rsidRPr="00E9210E">
        <w:rPr>
          <w:i/>
        </w:rPr>
        <w:t>s</w:t>
      </w:r>
      <w:r w:rsidRPr="00E9210E">
        <w:rPr>
          <w:i/>
        </w:rPr>
        <w:t>torique de l'Orléanais</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 XXII, n° 232), « A.H.E.S. », t. IX (1937), pp. 211-212.</w:t>
      </w:r>
    </w:p>
    <w:p w14:paraId="7021445B" w14:textId="77777777" w:rsidR="00B9662D" w:rsidRPr="00E9210E" w:rsidRDefault="00B9662D" w:rsidP="00B9662D">
      <w:pPr>
        <w:spacing w:before="120" w:after="120"/>
        <w:jc w:val="both"/>
      </w:pPr>
      <w:r w:rsidRPr="00E9210E">
        <w:t xml:space="preserve">Les merciers et leurs rois. (Compte rendu : L. </w:t>
      </w:r>
      <w:r w:rsidRPr="00E9210E">
        <w:rPr>
          <w:rStyle w:val="Corpsdutexte27ptGras"/>
          <w:rFonts w:eastAsia="Courier New"/>
          <w:b w:val="0"/>
          <w:smallCaps/>
          <w:sz w:val="28"/>
        </w:rPr>
        <w:t>Lempereur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chevaliers merciers et les foires en Rouergue,</w:t>
      </w:r>
      <w:r w:rsidRPr="00E9210E">
        <w:rPr>
          <w:rStyle w:val="Corpsdutexte28ptGraschelle120"/>
          <w:rFonts w:eastAsia="Courier New"/>
          <w:sz w:val="28"/>
        </w:rPr>
        <w:t xml:space="preserve"> </w:t>
      </w:r>
      <w:r w:rsidRPr="00E9210E">
        <w:t>Rodez, 1935), « A.H.E.S. », t. IX (1937), pp. 214-215.</w:t>
      </w:r>
    </w:p>
    <w:p w14:paraId="47484906" w14:textId="77777777" w:rsidR="00B9662D" w:rsidRPr="00E9210E" w:rsidRDefault="00B9662D" w:rsidP="00B9662D">
      <w:pPr>
        <w:spacing w:before="120" w:after="120"/>
        <w:jc w:val="both"/>
      </w:pPr>
      <w:r w:rsidRPr="00E9210E">
        <w:t xml:space="preserve">L’heure et l’horloge. (Compte rendu : L. </w:t>
      </w:r>
      <w:r w:rsidRPr="00E9210E">
        <w:rPr>
          <w:rStyle w:val="Corpsdutexte27ptGras"/>
          <w:rFonts w:eastAsia="Courier New"/>
          <w:b w:val="0"/>
          <w:smallCaps/>
          <w:sz w:val="28"/>
        </w:rPr>
        <w:t>Reverchon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Petite hi</w:t>
      </w:r>
      <w:r w:rsidRPr="00E9210E">
        <w:rPr>
          <w:rStyle w:val="Corpsdutexte28ptItalique"/>
          <w:rFonts w:eastAsia="Courier New"/>
          <w:sz w:val="28"/>
        </w:rPr>
        <w:t>s</w:t>
      </w:r>
      <w:r w:rsidRPr="00E9210E">
        <w:rPr>
          <w:rStyle w:val="Corpsdutexte28ptItalique"/>
          <w:rFonts w:eastAsia="Courier New"/>
          <w:sz w:val="28"/>
        </w:rPr>
        <w:t>toire de l’horlogerie</w:t>
      </w:r>
      <w:r w:rsidRPr="00E9210E">
        <w:rPr>
          <w:rStyle w:val="Corpsdutexte28ptGraschelle120"/>
          <w:rFonts w:eastAsia="Courier New"/>
          <w:sz w:val="28"/>
        </w:rPr>
        <w:t xml:space="preserve">, </w:t>
      </w:r>
      <w:r w:rsidRPr="00E9210E">
        <w:t>Besançon, s.d.), « A.H.E.S. », t. IX (1937), pp. 217-218.</w:t>
      </w:r>
    </w:p>
    <w:p w14:paraId="3B264FA9" w14:textId="77777777" w:rsidR="00B9662D" w:rsidRPr="00E9210E" w:rsidRDefault="00B9662D" w:rsidP="00B9662D">
      <w:pPr>
        <w:spacing w:before="120" w:after="120"/>
        <w:jc w:val="both"/>
      </w:pPr>
      <w:r w:rsidRPr="00E9210E">
        <w:t>La genèse de la seigneurie : idée d’une recherche comparée. (I</w:t>
      </w:r>
      <w:r w:rsidRPr="00E9210E">
        <w:t>n</w:t>
      </w:r>
      <w:r w:rsidRPr="00E9210E">
        <w:t xml:space="preserve">troduit l’article de J. </w:t>
      </w:r>
      <w:r w:rsidRPr="00E9210E">
        <w:rPr>
          <w:rStyle w:val="Corpsdutexte27ptGras"/>
          <w:rFonts w:eastAsia="Courier New"/>
          <w:b w:val="0"/>
          <w:smallCaps/>
          <w:sz w:val="28"/>
        </w:rPr>
        <w:t>Berque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Sur un coin de terre marocaine :</w:t>
      </w:r>
      <w:r w:rsidRPr="00E9210E">
        <w:rPr>
          <w:rFonts w:eastAsia="Courier New"/>
        </w:rPr>
        <w:t xml:space="preserve"> </w:t>
      </w:r>
      <w:r w:rsidRPr="00E9210E">
        <w:rPr>
          <w:rStyle w:val="Corpsdutexte28ptItalique"/>
          <w:rFonts w:eastAsia="Courier New"/>
          <w:sz w:val="28"/>
        </w:rPr>
        <w:t>se</w:t>
      </w:r>
      <w:r w:rsidRPr="00E9210E">
        <w:rPr>
          <w:rStyle w:val="Corpsdutexte28ptItalique"/>
          <w:rFonts w:eastAsia="Courier New"/>
          <w:sz w:val="28"/>
        </w:rPr>
        <w:t>i</w:t>
      </w:r>
      <w:r w:rsidRPr="00E9210E">
        <w:rPr>
          <w:rStyle w:val="Corpsdutexte28ptItalique"/>
          <w:rFonts w:eastAsia="Courier New"/>
          <w:sz w:val="28"/>
        </w:rPr>
        <w:t>gneur terrien et paysans,</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Annales d'histoire économique et s</w:t>
      </w:r>
      <w:r w:rsidRPr="00E9210E">
        <w:rPr>
          <w:rStyle w:val="Corpsdutexte28ptItalique"/>
          <w:rFonts w:eastAsia="Courier New"/>
          <w:sz w:val="28"/>
        </w:rPr>
        <w:t>o</w:t>
      </w:r>
      <w:r w:rsidRPr="00E9210E">
        <w:rPr>
          <w:rStyle w:val="Corpsdutexte28ptItalique"/>
          <w:rFonts w:eastAsia="Courier New"/>
          <w:sz w:val="28"/>
        </w:rPr>
        <w:t>ciale,</w:t>
      </w:r>
      <w:r w:rsidRPr="00E9210E">
        <w:rPr>
          <w:rStyle w:val="Corpsdutexte28ptGraschelle120"/>
          <w:rFonts w:eastAsia="Courier New"/>
          <w:sz w:val="28"/>
        </w:rPr>
        <w:t xml:space="preserve"> </w:t>
      </w:r>
      <w:r w:rsidRPr="00E9210E">
        <w:t>t. IX (1937), pp. 227-235), « A.H.E.S. », t. IX (1937), pp. 225-227.</w:t>
      </w:r>
    </w:p>
    <w:p w14:paraId="47CAD020" w14:textId="77777777" w:rsidR="00B9662D" w:rsidRPr="00E9210E" w:rsidRDefault="00B9662D" w:rsidP="00B9662D">
      <w:pPr>
        <w:spacing w:before="120" w:after="120"/>
        <w:jc w:val="both"/>
      </w:pPr>
      <w:r w:rsidRPr="00E9210E">
        <w:t>À propos d’une étude sur les liens seigneuriaux en Flandre : pr</w:t>
      </w:r>
      <w:r w:rsidRPr="00E9210E">
        <w:t>o</w:t>
      </w:r>
      <w:r w:rsidRPr="00E9210E">
        <w:t xml:space="preserve">blèmes de méthode. (Compte rendu : P. C. </w:t>
      </w:r>
      <w:r w:rsidRPr="00E9210E">
        <w:rPr>
          <w:rStyle w:val="Corpsdutexte27ptGras"/>
          <w:rFonts w:eastAsia="Courier New"/>
          <w:b w:val="0"/>
          <w:smallCaps/>
          <w:sz w:val="28"/>
        </w:rPr>
        <w:t>Boeren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Étude sur les tr</w:t>
      </w:r>
      <w:r w:rsidRPr="00E9210E">
        <w:rPr>
          <w:rStyle w:val="Corpsdutexte28ptItalique"/>
          <w:rFonts w:eastAsia="Courier New"/>
          <w:sz w:val="28"/>
        </w:rPr>
        <w:t>i</w:t>
      </w:r>
      <w:r w:rsidRPr="00E9210E">
        <w:rPr>
          <w:rStyle w:val="Corpsdutexte28ptItalique"/>
          <w:rFonts w:eastAsia="Courier New"/>
          <w:sz w:val="28"/>
        </w:rPr>
        <w:t xml:space="preserve">butaires d’église dans le comté de Flandre du </w:t>
      </w:r>
      <w:r w:rsidRPr="00E9210E">
        <w:rPr>
          <w:rFonts w:eastAsia="Courier New"/>
          <w:i/>
        </w:rPr>
        <w:t>IX</w:t>
      </w:r>
      <w:r w:rsidRPr="00E9210E">
        <w:rPr>
          <w:rFonts w:eastAsia="Courier New"/>
          <w:i/>
          <w:vertAlign w:val="superscript"/>
        </w:rPr>
        <w:t>e</w:t>
      </w:r>
      <w:r w:rsidRPr="00E9210E">
        <w:rPr>
          <w:rFonts w:eastAsia="Courier New"/>
        </w:rPr>
        <w:t xml:space="preserve"> </w:t>
      </w:r>
      <w:r w:rsidRPr="00E9210E">
        <w:rPr>
          <w:rStyle w:val="Corpsdutexte28ptItalique"/>
          <w:rFonts w:eastAsia="Courier New"/>
          <w:sz w:val="28"/>
        </w:rPr>
        <w:t xml:space="preserve">au </w:t>
      </w:r>
      <w:r w:rsidRPr="00E9210E">
        <w:rPr>
          <w:rFonts w:eastAsia="Courier New"/>
          <w:i/>
        </w:rPr>
        <w:t>XV</w:t>
      </w:r>
      <w:r w:rsidRPr="00E9210E">
        <w:rPr>
          <w:rFonts w:eastAsia="Courier New"/>
          <w:i/>
          <w:vertAlign w:val="superscript"/>
        </w:rPr>
        <w:t>e</w:t>
      </w:r>
      <w:r w:rsidRPr="00E9210E">
        <w:rPr>
          <w:rFonts w:eastAsia="Courier New"/>
        </w:rPr>
        <w:t xml:space="preserve"> </w:t>
      </w:r>
      <w:r w:rsidRPr="00E9210E">
        <w:rPr>
          <w:rStyle w:val="Corpsdutexte28ptItalique"/>
          <w:rFonts w:eastAsia="Courier New"/>
          <w:sz w:val="28"/>
        </w:rPr>
        <w:t>siècle,</w:t>
      </w:r>
      <w:r w:rsidRPr="00E9210E">
        <w:rPr>
          <w:rStyle w:val="Corpsdutexte28ptGraschelle120"/>
          <w:rFonts w:eastAsia="Courier New"/>
          <w:sz w:val="28"/>
        </w:rPr>
        <w:t xml:space="preserve"> </w:t>
      </w:r>
      <w:r w:rsidRPr="00E9210E">
        <w:t>Am</w:t>
      </w:r>
      <w:r w:rsidRPr="00E9210E">
        <w:t>s</w:t>
      </w:r>
      <w:r w:rsidRPr="00E9210E">
        <w:t>terdam, 1936), « A.H.E.S. », t. IX (1937), pp. 301-304.</w:t>
      </w:r>
    </w:p>
    <w:p w14:paraId="4A9F2B46" w14:textId="77777777" w:rsidR="00B9662D" w:rsidRPr="00E9210E" w:rsidRDefault="00B9662D" w:rsidP="00B9662D">
      <w:pPr>
        <w:spacing w:before="120" w:after="120"/>
        <w:jc w:val="both"/>
      </w:pPr>
      <w:r w:rsidRPr="00E9210E">
        <w:t xml:space="preserve">Le long des chaussées romaines. (Compte rendu : J. </w:t>
      </w:r>
      <w:r w:rsidRPr="00E9210E">
        <w:rPr>
          <w:rStyle w:val="Corpsdutexte27ptGras"/>
          <w:rFonts w:eastAsia="Courier New"/>
          <w:b w:val="0"/>
          <w:smallCaps/>
          <w:sz w:val="28"/>
        </w:rPr>
        <w:t>Soyer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Les voies antiques de l'Orléanais (civitas Aurelianorum),</w:t>
      </w:r>
      <w:r w:rsidRPr="00E9210E">
        <w:rPr>
          <w:rStyle w:val="Corpsdutexte28ptGraschelle120"/>
          <w:rFonts w:eastAsia="Courier New"/>
          <w:sz w:val="28"/>
        </w:rPr>
        <w:t xml:space="preserve"> </w:t>
      </w:r>
      <w:r w:rsidRPr="00E9210E">
        <w:t>Orléans, 1936), « A.H.E.S. », t. IX (1937), pp. 312- 313.</w:t>
      </w:r>
    </w:p>
    <w:p w14:paraId="574BF97D" w14:textId="77777777" w:rsidR="00B9662D" w:rsidRPr="00E9210E" w:rsidRDefault="00B9662D" w:rsidP="00B9662D">
      <w:pPr>
        <w:spacing w:before="120" w:after="120"/>
        <w:jc w:val="both"/>
      </w:pPr>
      <w:r w:rsidRPr="00E9210E">
        <w:t>Les biens nationaux au pays de Namur. (Compte rendu : I. </w:t>
      </w:r>
      <w:r w:rsidRPr="00E9210E">
        <w:rPr>
          <w:rStyle w:val="Corpsdutexte27ptGras"/>
          <w:rFonts w:eastAsia="Courier New"/>
          <w:b w:val="0"/>
          <w:smallCaps/>
          <w:sz w:val="28"/>
        </w:rPr>
        <w:t>Delatte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vente des biens nationaux dans l'arrondissement de Namur,</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Annales de la Soc. archéologique de Namur,</w:t>
      </w:r>
      <w:r w:rsidRPr="00E9210E">
        <w:rPr>
          <w:rStyle w:val="Corpsdutexte28ptGraschelle120"/>
          <w:rFonts w:eastAsia="Courier New"/>
          <w:sz w:val="28"/>
        </w:rPr>
        <w:t xml:space="preserve"> </w:t>
      </w:r>
      <w:r w:rsidRPr="00E9210E">
        <w:t>t. XL, pp. 189-339), « A.H.E.S. », t. IX (1937), pp. 314-315.</w:t>
      </w:r>
    </w:p>
    <w:p w14:paraId="18AF212E" w14:textId="77777777" w:rsidR="00B9662D" w:rsidRPr="00E9210E" w:rsidRDefault="00B9662D" w:rsidP="00B9662D">
      <w:pPr>
        <w:spacing w:before="120" w:after="120"/>
        <w:jc w:val="both"/>
      </w:pPr>
      <w:r w:rsidRPr="00E9210E">
        <w:t xml:space="preserve">Une erreur. (Compte rendu : </w:t>
      </w:r>
      <w:r w:rsidRPr="00E9210E">
        <w:rPr>
          <w:rStyle w:val="Corpsdutexte28ptItalique"/>
          <w:rFonts w:eastAsia="Courier New"/>
          <w:sz w:val="28"/>
        </w:rPr>
        <w:t>Atlas historique.</w:t>
      </w:r>
      <w:r w:rsidRPr="00E9210E">
        <w:rPr>
          <w:rStyle w:val="Corpsdutexte28ptGraschelle120"/>
          <w:rFonts w:eastAsia="Courier New"/>
          <w:sz w:val="28"/>
        </w:rPr>
        <w:t xml:space="preserve"> </w:t>
      </w:r>
      <w:r w:rsidRPr="00E9210E">
        <w:t>II :</w:t>
      </w:r>
      <w:r w:rsidRPr="00E9210E">
        <w:rPr>
          <w:rFonts w:eastAsia="Courier New"/>
        </w:rPr>
        <w:t xml:space="preserve"> </w:t>
      </w:r>
      <w:r w:rsidRPr="00E9210E">
        <w:rPr>
          <w:rStyle w:val="Corpsdutexte28ptItalique"/>
          <w:rFonts w:eastAsia="Courier New"/>
          <w:sz w:val="28"/>
        </w:rPr>
        <w:t>Le Moyen Âge,</w:t>
      </w:r>
      <w:r w:rsidRPr="00E9210E">
        <w:rPr>
          <w:rStyle w:val="Corpsdutexte28ptGraschelle120"/>
          <w:rFonts w:eastAsia="Courier New"/>
          <w:sz w:val="28"/>
        </w:rPr>
        <w:t xml:space="preserve"> </w:t>
      </w:r>
      <w:r w:rsidRPr="00E9210E">
        <w:t xml:space="preserve">par J. </w:t>
      </w:r>
      <w:r w:rsidRPr="00E9210E">
        <w:rPr>
          <w:rStyle w:val="Corpsdutexte27ptGras"/>
          <w:rFonts w:eastAsia="Courier New"/>
          <w:b w:val="0"/>
          <w:smallCaps/>
          <w:sz w:val="28"/>
        </w:rPr>
        <w:t>Calmette</w:t>
      </w:r>
      <w:r w:rsidRPr="00E9210E">
        <w:rPr>
          <w:rStyle w:val="Corpsdutexte27ptGras"/>
          <w:rFonts w:eastAsia="Courier New"/>
          <w:sz w:val="28"/>
        </w:rPr>
        <w:t xml:space="preserve"> </w:t>
      </w:r>
      <w:r w:rsidRPr="00E9210E">
        <w:t xml:space="preserve">avec la collaboration de R. </w:t>
      </w:r>
      <w:r w:rsidRPr="00E9210E">
        <w:rPr>
          <w:rStyle w:val="Corpsdutexte27ptGras"/>
          <w:rFonts w:eastAsia="Courier New"/>
          <w:b w:val="0"/>
          <w:smallCaps/>
          <w:sz w:val="28"/>
        </w:rPr>
        <w:t>Grousset</w:t>
      </w:r>
      <w:r w:rsidRPr="00E9210E">
        <w:rPr>
          <w:rStyle w:val="Corpsdutexte27ptGras"/>
          <w:rFonts w:eastAsia="Courier New"/>
          <w:sz w:val="28"/>
        </w:rPr>
        <w:t xml:space="preserve"> </w:t>
      </w:r>
      <w:r w:rsidRPr="00E9210E">
        <w:t xml:space="preserve">et J. J. </w:t>
      </w:r>
      <w:r w:rsidRPr="00E9210E">
        <w:rPr>
          <w:rStyle w:val="Corpsdutexte27ptGras"/>
          <w:rFonts w:eastAsia="Courier New"/>
          <w:b w:val="0"/>
          <w:smallCaps/>
          <w:sz w:val="28"/>
        </w:rPr>
        <w:t>Gr</w:t>
      </w:r>
      <w:r w:rsidRPr="00E9210E">
        <w:rPr>
          <w:rStyle w:val="Corpsdutexte27ptGras"/>
          <w:rFonts w:eastAsia="Courier New"/>
          <w:b w:val="0"/>
          <w:smallCaps/>
          <w:sz w:val="28"/>
        </w:rPr>
        <w:t>u</w:t>
      </w:r>
      <w:r w:rsidRPr="00E9210E">
        <w:rPr>
          <w:rStyle w:val="Corpsdutexte27ptGras"/>
          <w:rFonts w:eastAsia="Courier New"/>
          <w:b w:val="0"/>
          <w:smallCaps/>
          <w:sz w:val="28"/>
        </w:rPr>
        <w:t>ber</w:t>
      </w:r>
      <w:r w:rsidRPr="00E9210E">
        <w:rPr>
          <w:rStyle w:val="Corpsdutexte27ptGras"/>
          <w:rFonts w:eastAsia="Courier New"/>
          <w:b w:val="0"/>
          <w:sz w:val="28"/>
        </w:rPr>
        <w:t>,</w:t>
      </w:r>
      <w:r w:rsidRPr="00E9210E">
        <w:rPr>
          <w:rStyle w:val="Corpsdutexte27ptGras"/>
          <w:rFonts w:eastAsia="Courier New"/>
          <w:sz w:val="28"/>
        </w:rPr>
        <w:t xml:space="preserve"> </w:t>
      </w:r>
      <w:r w:rsidRPr="00E9210E">
        <w:t>Paris, 1936), « A.H.E.S. », t. IX (1937), pp. 384-385.</w:t>
      </w:r>
    </w:p>
    <w:p w14:paraId="1198A35A" w14:textId="77777777" w:rsidR="00B9662D" w:rsidRPr="00E9210E" w:rsidRDefault="00B9662D" w:rsidP="00B9662D">
      <w:pPr>
        <w:spacing w:before="120" w:after="120"/>
        <w:jc w:val="both"/>
      </w:pPr>
      <w:r w:rsidRPr="00E9210E">
        <w:rPr>
          <w:rFonts w:eastAsia="Courier New"/>
        </w:rPr>
        <w:t>[1085]</w:t>
      </w:r>
    </w:p>
    <w:p w14:paraId="27BF6BAB"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Bibliographie et classification. (Comptes rendus : </w:t>
      </w:r>
      <w:r w:rsidRPr="00E9210E">
        <w:rPr>
          <w:rFonts w:eastAsia="Courier New"/>
          <w:i/>
        </w:rPr>
        <w:t>International b</w:t>
      </w:r>
      <w:r w:rsidRPr="00E9210E">
        <w:rPr>
          <w:rFonts w:eastAsia="Courier New"/>
          <w:i/>
        </w:rPr>
        <w:t>i</w:t>
      </w:r>
      <w:r w:rsidRPr="00E9210E">
        <w:rPr>
          <w:rFonts w:eastAsia="Courier New"/>
          <w:i/>
        </w:rPr>
        <w:t>bliography of historical sciences</w:t>
      </w:r>
      <w:r w:rsidRPr="00E9210E">
        <w:rPr>
          <w:rStyle w:val="Corpsdutexte11NonItaliqueEspacement0pt"/>
          <w:rFonts w:eastAsia="Courier New"/>
          <w:i w:val="0"/>
          <w:iCs w:val="0"/>
          <w:sz w:val="28"/>
          <w:lang w:val="fr-CA"/>
        </w:rPr>
        <w:t xml:space="preserve">, </w:t>
      </w:r>
      <w:r w:rsidRPr="00E9210E">
        <w:rPr>
          <w:rFonts w:eastAsia="Courier New"/>
          <w:i/>
        </w:rPr>
        <w:t>sixth year</w:t>
      </w:r>
      <w:r w:rsidRPr="00E9210E">
        <w:rPr>
          <w:rStyle w:val="Corpsdutexte11NonItaliqueEspacement0pt"/>
          <w:rFonts w:eastAsia="Courier New"/>
          <w:i w:val="0"/>
          <w:iCs w:val="0"/>
          <w:sz w:val="28"/>
          <w:lang w:val="fr-CA"/>
        </w:rPr>
        <w:t xml:space="preserve">, </w:t>
      </w:r>
      <w:r w:rsidRPr="00E9210E">
        <w:rPr>
          <w:rStyle w:val="Corpsdutexte118ptEspacement0pt"/>
          <w:rFonts w:eastAsia="Courier New"/>
          <w:sz w:val="28"/>
          <w:lang w:val="fr-CA"/>
        </w:rPr>
        <w:t>1931</w:t>
      </w:r>
      <w:r w:rsidRPr="00E9210E">
        <w:rPr>
          <w:rStyle w:val="Corpsdutexte11NonItaliqueEspacement0pt"/>
          <w:rFonts w:eastAsia="Courier New"/>
          <w:i w:val="0"/>
          <w:iCs w:val="0"/>
          <w:sz w:val="28"/>
          <w:lang w:val="fr-CA"/>
        </w:rPr>
        <w:t xml:space="preserve">, Paris, 1936. — E. </w:t>
      </w:r>
      <w:r w:rsidRPr="00E9210E">
        <w:rPr>
          <w:rStyle w:val="Corpsdutexte117ptGrasNonItaliqueEspacement0pt"/>
          <w:rFonts w:eastAsia="Courier New"/>
          <w:b w:val="0"/>
          <w:i w:val="0"/>
          <w:iCs w:val="0"/>
          <w:smallCaps/>
          <w:sz w:val="28"/>
          <w:lang w:val="fr-CA"/>
        </w:rPr>
        <w:t>Saulnier</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et A. </w:t>
      </w:r>
      <w:r w:rsidRPr="00E9210E">
        <w:rPr>
          <w:rStyle w:val="Corpsdutexte117ptGrasNonItaliqueEspacement0pt"/>
          <w:rFonts w:eastAsia="Courier New"/>
          <w:b w:val="0"/>
          <w:i w:val="0"/>
          <w:iCs w:val="0"/>
          <w:smallCaps/>
          <w:sz w:val="28"/>
          <w:lang w:val="fr-CA"/>
        </w:rPr>
        <w:t>Martin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 xml:space="preserve">Bibliographie des travaux publiés de </w:t>
      </w:r>
      <w:r w:rsidRPr="00E9210E">
        <w:rPr>
          <w:rStyle w:val="Corpsdutexte118ptEspacement0pt"/>
          <w:rFonts w:eastAsia="Courier New"/>
          <w:sz w:val="28"/>
          <w:lang w:val="fr-CA"/>
        </w:rPr>
        <w:t>1866</w:t>
      </w:r>
      <w:r w:rsidRPr="00E9210E">
        <w:rPr>
          <w:rStyle w:val="Corpsdutexte118ptEspacement0pt"/>
          <w:rFonts w:eastAsia="Courier New"/>
          <w:i w:val="0"/>
          <w:sz w:val="28"/>
          <w:lang w:val="fr-CA"/>
        </w:rPr>
        <w:t xml:space="preserve"> </w:t>
      </w:r>
      <w:r w:rsidRPr="00E9210E">
        <w:rPr>
          <w:rFonts w:eastAsia="Courier New"/>
          <w:i/>
        </w:rPr>
        <w:t xml:space="preserve">à </w:t>
      </w:r>
      <w:r w:rsidRPr="00E9210E">
        <w:rPr>
          <w:rStyle w:val="Corpsdutexte118ptEspacement0pt"/>
          <w:rFonts w:eastAsia="Courier New"/>
          <w:i w:val="0"/>
          <w:sz w:val="28"/>
          <w:lang w:val="fr-CA"/>
        </w:rPr>
        <w:t xml:space="preserve">1897 </w:t>
      </w:r>
      <w:r w:rsidRPr="00E9210E">
        <w:rPr>
          <w:rFonts w:eastAsia="Courier New"/>
          <w:i/>
        </w:rPr>
        <w:t xml:space="preserve">sur l’histoire de France de </w:t>
      </w:r>
      <w:r w:rsidRPr="00E9210E">
        <w:rPr>
          <w:rStyle w:val="Corpsdutexte118ptEspacement0pt"/>
          <w:rFonts w:eastAsia="Courier New"/>
          <w:sz w:val="28"/>
          <w:lang w:val="fr-CA"/>
        </w:rPr>
        <w:t>1500</w:t>
      </w:r>
      <w:r w:rsidRPr="00E9210E">
        <w:rPr>
          <w:rStyle w:val="Corpsdutexte118ptEspacement0pt"/>
          <w:rFonts w:eastAsia="Courier New"/>
          <w:i w:val="0"/>
          <w:sz w:val="28"/>
          <w:lang w:val="fr-CA"/>
        </w:rPr>
        <w:t xml:space="preserve"> </w:t>
      </w:r>
      <w:r w:rsidRPr="00E9210E">
        <w:rPr>
          <w:rFonts w:eastAsia="Courier New"/>
          <w:i/>
        </w:rPr>
        <w:t xml:space="preserve">à </w:t>
      </w:r>
      <w:r w:rsidRPr="00E9210E">
        <w:rPr>
          <w:rStyle w:val="Corpsdutexte118ptEspacement0pt"/>
          <w:rFonts w:eastAsia="Courier New"/>
          <w:sz w:val="28"/>
          <w:lang w:val="fr-CA"/>
        </w:rPr>
        <w:t>1789.</w:t>
      </w:r>
      <w:r w:rsidRPr="00E9210E">
        <w:rPr>
          <w:rStyle w:val="Corpsdutexte118ptGrasNonItaliqueEspacement0ptchelle120"/>
          <w:rFonts w:eastAsia="Courier New"/>
          <w:i w:val="0"/>
          <w:iCs w:val="0"/>
          <w:sz w:val="28"/>
          <w:lang w:val="fr-CA"/>
        </w:rPr>
        <w:t xml:space="preserve"> </w:t>
      </w:r>
      <w:r w:rsidRPr="00E9210E">
        <w:rPr>
          <w:rStyle w:val="Corpsdutexte11NonItaliqueEspacement0pt"/>
          <w:rFonts w:eastAsia="Courier New"/>
          <w:i w:val="0"/>
          <w:iCs w:val="0"/>
          <w:sz w:val="28"/>
          <w:lang w:val="fr-CA"/>
        </w:rPr>
        <w:t>T. II, fasc. 1, Paris, 1936. — </w:t>
      </w:r>
      <w:r w:rsidRPr="00E9210E">
        <w:rPr>
          <w:rFonts w:eastAsia="Courier New"/>
          <w:i/>
        </w:rPr>
        <w:t>Bibliographie critique des principaux travaux parus sur l’histoire de</w:t>
      </w:r>
      <w:r w:rsidRPr="00E9210E">
        <w:rPr>
          <w:rFonts w:eastAsia="Courier New"/>
        </w:rPr>
        <w:t xml:space="preserve"> </w:t>
      </w:r>
      <w:r w:rsidRPr="00E9210E">
        <w:rPr>
          <w:rStyle w:val="Corpsdutexte118ptEspacement0pt"/>
          <w:rFonts w:eastAsia="Courier New"/>
          <w:sz w:val="28"/>
          <w:lang w:val="fr-CA"/>
        </w:rPr>
        <w:t xml:space="preserve">1600 </w:t>
      </w:r>
      <w:r w:rsidRPr="00E9210E">
        <w:rPr>
          <w:rFonts w:eastAsia="Courier New"/>
        </w:rPr>
        <w:t xml:space="preserve">à </w:t>
      </w:r>
      <w:r w:rsidRPr="00E9210E">
        <w:rPr>
          <w:rStyle w:val="Corpsdutexte118ptEspacement0pt"/>
          <w:rFonts w:eastAsia="Courier New"/>
          <w:i w:val="0"/>
          <w:sz w:val="28"/>
          <w:lang w:val="fr-CA"/>
        </w:rPr>
        <w:t xml:space="preserve">1914 </w:t>
      </w:r>
      <w:r w:rsidRPr="00E9210E">
        <w:rPr>
          <w:rFonts w:eastAsia="Courier New"/>
          <w:i/>
        </w:rPr>
        <w:t xml:space="preserve">(travaux de langue française ou relatifs à l’histoire de France). Année </w:t>
      </w:r>
      <w:r w:rsidRPr="00E9210E">
        <w:rPr>
          <w:rStyle w:val="Corpsdutexte118ptEspacement0pt"/>
          <w:rFonts w:eastAsia="Courier New"/>
          <w:sz w:val="28"/>
          <w:lang w:val="fr-CA"/>
        </w:rPr>
        <w:t>1934</w:t>
      </w:r>
      <w:r w:rsidRPr="00E9210E">
        <w:rPr>
          <w:rStyle w:val="Corpsdutexte11NonItaliqueEspacement0pt"/>
          <w:rFonts w:eastAsia="Courier New"/>
          <w:i w:val="0"/>
          <w:iCs w:val="0"/>
          <w:sz w:val="28"/>
          <w:lang w:val="fr-CA"/>
        </w:rPr>
        <w:t>, Paris, 1936), « A.H.E.S. », t. IX (1937), pp. 386-388.</w:t>
      </w:r>
    </w:p>
    <w:p w14:paraId="75924CE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Sine ira et studio. (Compte rendu : </w:t>
      </w:r>
      <w:r w:rsidRPr="00E9210E">
        <w:rPr>
          <w:rFonts w:eastAsia="Courier New"/>
          <w:i/>
        </w:rPr>
        <w:t>Introduction aux études d'hi</w:t>
      </w:r>
      <w:r w:rsidRPr="00E9210E">
        <w:rPr>
          <w:rFonts w:eastAsia="Courier New"/>
          <w:i/>
        </w:rPr>
        <w:t>s</w:t>
      </w:r>
      <w:r w:rsidRPr="00E9210E">
        <w:rPr>
          <w:rFonts w:eastAsia="Courier New"/>
          <w:i/>
        </w:rPr>
        <w:t>toire ecclésiastique locale</w:t>
      </w:r>
      <w:r w:rsidRPr="00E9210E">
        <w:rPr>
          <w:rFonts w:eastAsia="Courier New"/>
        </w:rPr>
        <w:t xml:space="preserve">. </w:t>
      </w:r>
      <w:r w:rsidRPr="00E9210E">
        <w:rPr>
          <w:rStyle w:val="Corpsdutexte11NonItaliqueEspacement0pt"/>
          <w:rFonts w:eastAsia="Courier New"/>
          <w:i w:val="0"/>
          <w:iCs w:val="0"/>
          <w:sz w:val="28"/>
          <w:lang w:val="fr-CA"/>
        </w:rPr>
        <w:t xml:space="preserve">T. III : </w:t>
      </w:r>
      <w:r w:rsidRPr="00E9210E">
        <w:rPr>
          <w:rFonts w:eastAsia="Courier New"/>
          <w:i/>
        </w:rPr>
        <w:t>Questions d'histoire générale à d</w:t>
      </w:r>
      <w:r w:rsidRPr="00E9210E">
        <w:rPr>
          <w:rFonts w:eastAsia="Courier New"/>
          <w:i/>
        </w:rPr>
        <w:t>é</w:t>
      </w:r>
      <w:r w:rsidRPr="00E9210E">
        <w:rPr>
          <w:rFonts w:eastAsia="Courier New"/>
          <w:i/>
        </w:rPr>
        <w:t>velopper dans le cadre régional ou diocésain</w:t>
      </w:r>
      <w:r w:rsidRPr="00E9210E">
        <w:rPr>
          <w:rStyle w:val="Corpsdutexte11NonItaliqueEspacement0pt"/>
          <w:rFonts w:eastAsia="Courier New"/>
          <w:i w:val="0"/>
          <w:iCs w:val="0"/>
          <w:sz w:val="28"/>
          <w:lang w:val="fr-CA"/>
        </w:rPr>
        <w:t>, Paris, 1936), « A.H.E.S. », t. IX (1937), pp. 389-390.</w:t>
      </w:r>
    </w:p>
    <w:p w14:paraId="089CDBDD" w14:textId="77777777" w:rsidR="00B9662D" w:rsidRPr="00E9210E" w:rsidRDefault="00B9662D" w:rsidP="00B9662D">
      <w:pPr>
        <w:spacing w:before="120" w:after="120"/>
        <w:jc w:val="both"/>
      </w:pPr>
      <w:r w:rsidRPr="00E9210E">
        <w:t xml:space="preserve">L'achèvement d’une grande collection. (Compte rendu : </w:t>
      </w:r>
      <w:r w:rsidRPr="00E9210E">
        <w:rPr>
          <w:rFonts w:eastAsia="Courier New"/>
          <w:i/>
        </w:rPr>
        <w:t>The Ca</w:t>
      </w:r>
      <w:r w:rsidRPr="00E9210E">
        <w:rPr>
          <w:rFonts w:eastAsia="Courier New"/>
          <w:i/>
        </w:rPr>
        <w:t>m</w:t>
      </w:r>
      <w:r w:rsidRPr="00E9210E">
        <w:rPr>
          <w:rFonts w:eastAsia="Courier New"/>
          <w:i/>
        </w:rPr>
        <w:t>bridge Mediaeval history, planned by J. B. Bury</w:t>
      </w:r>
      <w:r w:rsidRPr="00E9210E">
        <w:rPr>
          <w:i/>
        </w:rPr>
        <w:t xml:space="preserve">, </w:t>
      </w:r>
      <w:r w:rsidRPr="00E9210E">
        <w:rPr>
          <w:rFonts w:eastAsia="Courier New"/>
          <w:i/>
        </w:rPr>
        <w:t>edited by C. W. Pr</w:t>
      </w:r>
      <w:r w:rsidRPr="00E9210E">
        <w:rPr>
          <w:rFonts w:eastAsia="Courier New"/>
          <w:i/>
        </w:rPr>
        <w:t>e</w:t>
      </w:r>
      <w:r w:rsidRPr="00E9210E">
        <w:rPr>
          <w:rFonts w:eastAsia="Courier New"/>
          <w:i/>
        </w:rPr>
        <w:t>vité-Orton</w:t>
      </w:r>
      <w:r w:rsidRPr="00E9210E">
        <w:rPr>
          <w:i/>
        </w:rPr>
        <w:t xml:space="preserve">, </w:t>
      </w:r>
      <w:r w:rsidRPr="00E9210E">
        <w:rPr>
          <w:rFonts w:eastAsia="Courier New"/>
          <w:i/>
        </w:rPr>
        <w:t>Z. N. Brooke</w:t>
      </w:r>
      <w:r w:rsidRPr="00E9210E">
        <w:rPr>
          <w:rFonts w:eastAsia="Courier New"/>
        </w:rPr>
        <w:t xml:space="preserve">. </w:t>
      </w:r>
      <w:r w:rsidRPr="00E9210E">
        <w:t xml:space="preserve">Vol. VIII : </w:t>
      </w:r>
      <w:r w:rsidRPr="00E9210E">
        <w:rPr>
          <w:rFonts w:eastAsia="Courier New"/>
          <w:i/>
        </w:rPr>
        <w:t>The close of the middle ages</w:t>
      </w:r>
      <w:r w:rsidRPr="00E9210E">
        <w:t>, Cambridge, 1936), « A.H.E.S. », t. IX (1937), p. 390.</w:t>
      </w:r>
    </w:p>
    <w:p w14:paraId="04AB6BB4" w14:textId="77777777" w:rsidR="00B9662D" w:rsidRPr="00E9210E" w:rsidRDefault="00B9662D" w:rsidP="00B9662D">
      <w:pPr>
        <w:spacing w:before="120" w:after="120"/>
        <w:jc w:val="both"/>
      </w:pPr>
      <w:r w:rsidRPr="00E9210E">
        <w:t xml:space="preserve">Les paysans des Mauges avant la Révolution. (Compte rendu : R. H. </w:t>
      </w:r>
      <w:r w:rsidRPr="00E9210E">
        <w:rPr>
          <w:rStyle w:val="Corpsdutexte27ptGras"/>
          <w:rFonts w:eastAsia="Courier New"/>
          <w:b w:val="0"/>
          <w:smallCaps/>
          <w:sz w:val="28"/>
        </w:rPr>
        <w:t>Andrews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Les paysans des Mauges au </w:t>
      </w:r>
      <w:r w:rsidRPr="00E9210E">
        <w:rPr>
          <w:rStyle w:val="Corpsdutexte2ItaliqueEspacement1pt"/>
          <w:rFonts w:eastAsia="Courier New"/>
          <w:sz w:val="28"/>
          <w:lang w:val="fr-CA"/>
        </w:rPr>
        <w:t>XVIII</w:t>
      </w:r>
      <w:r w:rsidRPr="00E9210E">
        <w:rPr>
          <w:rStyle w:val="Corpsdutexte2ItaliqueEspacement1pt"/>
          <w:rFonts w:eastAsia="Courier New"/>
          <w:sz w:val="28"/>
          <w:vertAlign w:val="superscript"/>
          <w:lang w:val="fr-CA"/>
        </w:rPr>
        <w:t>e</w:t>
      </w:r>
      <w:r w:rsidRPr="00E9210E">
        <w:rPr>
          <w:rFonts w:eastAsia="Courier New"/>
          <w:i/>
        </w:rPr>
        <w:t xml:space="preserve"> siècle : étude sur la vie rurale dans une région de l'Anjou</w:t>
      </w:r>
      <w:r w:rsidRPr="00E9210E">
        <w:t>, Tours, 1935), « A.H.E.S. », t. IX (1937), pp. 393-396.</w:t>
      </w:r>
    </w:p>
    <w:p w14:paraId="3F4F97A1" w14:textId="77777777" w:rsidR="00B9662D" w:rsidRPr="00E9210E" w:rsidRDefault="00B9662D" w:rsidP="00B9662D">
      <w:pPr>
        <w:spacing w:before="120" w:after="120"/>
        <w:jc w:val="both"/>
      </w:pPr>
      <w:r w:rsidRPr="00E9210E">
        <w:t>Le milieu social, problème de cohérence. (Compte rendu : P. </w:t>
      </w:r>
      <w:r w:rsidRPr="00E9210E">
        <w:rPr>
          <w:rStyle w:val="Corpsdutexte27ptGras"/>
          <w:rFonts w:eastAsia="Courier New"/>
          <w:b w:val="0"/>
          <w:smallCaps/>
          <w:sz w:val="28"/>
        </w:rPr>
        <w:t>Daure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Réflexions sur l'évolution monétaire et l’application des lois des grands nombres aux phénomènes sociaux</w:t>
      </w:r>
      <w:r w:rsidRPr="00E9210E">
        <w:t>, Paris, 1936), « A.H.E.S. », t. IX (1937), pp. 404-405.</w:t>
      </w:r>
    </w:p>
    <w:p w14:paraId="6B78E104" w14:textId="77777777" w:rsidR="00B9662D" w:rsidRPr="00E9210E" w:rsidRDefault="00B9662D" w:rsidP="00B9662D">
      <w:pPr>
        <w:spacing w:before="120" w:after="120"/>
        <w:jc w:val="both"/>
      </w:pPr>
      <w:r w:rsidRPr="00E9210E">
        <w:t xml:space="preserve">Un essai d’histoire rurale anglaise. (Compte rendu : J. </w:t>
      </w:r>
      <w:r w:rsidRPr="00E9210E">
        <w:rPr>
          <w:rStyle w:val="Corpsdutexte27ptGras"/>
          <w:rFonts w:eastAsia="Courier New"/>
          <w:b w:val="0"/>
          <w:smallCaps/>
          <w:sz w:val="28"/>
        </w:rPr>
        <w:t>Locquin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Landlord Tenant System : essai sur la tenure du sol en Angleterre</w:t>
      </w:r>
      <w:r w:rsidRPr="00E9210E">
        <w:t>, Paris, 1936), « A.H.E.S. », t. IX (1937), p. 412.</w:t>
      </w:r>
    </w:p>
    <w:p w14:paraId="175D3504" w14:textId="77777777" w:rsidR="00B9662D" w:rsidRPr="00E9210E" w:rsidRDefault="00B9662D" w:rsidP="00B9662D">
      <w:pPr>
        <w:spacing w:before="120" w:after="120"/>
        <w:jc w:val="both"/>
      </w:pPr>
      <w:r w:rsidRPr="00E9210E">
        <w:t xml:space="preserve">Institutions de paix. (Compte rendu : R. </w:t>
      </w:r>
      <w:r w:rsidRPr="00E9210E">
        <w:rPr>
          <w:rStyle w:val="Corpsdutexte27ptGras"/>
          <w:rFonts w:eastAsia="Courier New"/>
          <w:b w:val="0"/>
          <w:smallCaps/>
          <w:sz w:val="28"/>
        </w:rPr>
        <w:t>Stewart Brown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serjeants of the peace in medieval England and Wales</w:t>
      </w:r>
      <w:r w:rsidRPr="00E9210E">
        <w:t>, Manchester, 1936), « A.H.E.S. », t. IX (1937), pp. 412-413.</w:t>
      </w:r>
    </w:p>
    <w:p w14:paraId="6DC796C5" w14:textId="77777777" w:rsidR="00B9662D" w:rsidRPr="00E9210E" w:rsidRDefault="00B9662D" w:rsidP="00B9662D">
      <w:pPr>
        <w:spacing w:before="120" w:after="120"/>
        <w:jc w:val="both"/>
      </w:pPr>
      <w:r w:rsidRPr="00E9210E">
        <w:t xml:space="preserve">Les rouleaux du Parlement et ce qu’on y trouve. (Compte rendu : H. G. </w:t>
      </w:r>
      <w:r w:rsidRPr="00E9210E">
        <w:rPr>
          <w:rStyle w:val="Corpsdutexte27ptGras"/>
          <w:rFonts w:eastAsia="Courier New"/>
          <w:b w:val="0"/>
          <w:smallCaps/>
          <w:sz w:val="28"/>
        </w:rPr>
        <w:t>Richardson</w:t>
      </w:r>
      <w:r w:rsidRPr="00E9210E">
        <w:rPr>
          <w:rStyle w:val="Corpsdutexte27ptGras"/>
          <w:rFonts w:eastAsia="Courier New"/>
          <w:sz w:val="28"/>
        </w:rPr>
        <w:t xml:space="preserve"> </w:t>
      </w:r>
      <w:r w:rsidRPr="00E9210E">
        <w:t xml:space="preserve">et George </w:t>
      </w:r>
      <w:r w:rsidRPr="00E9210E">
        <w:rPr>
          <w:rStyle w:val="Corpsdutexte27ptGras"/>
          <w:rFonts w:eastAsia="Courier New"/>
          <w:b w:val="0"/>
          <w:smallCaps/>
          <w:sz w:val="28"/>
        </w:rPr>
        <w:t>Sayles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Rotuli Parliamentorum Anglie hactenus inediti</w:t>
      </w:r>
      <w:r w:rsidRPr="00E9210E">
        <w:rPr>
          <w:rFonts w:eastAsia="Courier New"/>
        </w:rPr>
        <w:t xml:space="preserve">. </w:t>
      </w:r>
      <w:r w:rsidRPr="00E9210E">
        <w:rPr>
          <w:rStyle w:val="Corpsdutexte2ItaliqueEspacement1pt"/>
          <w:rFonts w:eastAsia="Courier New"/>
          <w:sz w:val="28"/>
          <w:lang w:val="fr-CA"/>
        </w:rPr>
        <w:t>MCCLXXIX-MCCCLXXIII</w:t>
      </w:r>
      <w:r w:rsidRPr="00E9210E">
        <w:t>, Londres, 1935), « A.H.E.S. », t. IX (1937), p. 413.</w:t>
      </w:r>
    </w:p>
    <w:p w14:paraId="1CEFE5E0" w14:textId="77777777" w:rsidR="00B9662D" w:rsidRPr="00E9210E" w:rsidRDefault="00B9662D" w:rsidP="00B9662D">
      <w:pPr>
        <w:spacing w:before="120" w:after="120"/>
        <w:jc w:val="both"/>
      </w:pPr>
      <w:r w:rsidRPr="00E9210E">
        <w:t xml:space="preserve">Problèmes d’enseignement. (Compte rendu : </w:t>
      </w:r>
      <w:r w:rsidRPr="00E9210E">
        <w:rPr>
          <w:rFonts w:eastAsia="Courier New"/>
          <w:i/>
        </w:rPr>
        <w:t>L'enseignement éc</w:t>
      </w:r>
      <w:r w:rsidRPr="00E9210E">
        <w:rPr>
          <w:rFonts w:eastAsia="Courier New"/>
          <w:i/>
        </w:rPr>
        <w:t>o</w:t>
      </w:r>
      <w:r w:rsidRPr="00E9210E">
        <w:rPr>
          <w:rFonts w:eastAsia="Courier New"/>
          <w:i/>
        </w:rPr>
        <w:t>nomique en France et à l'étranger</w:t>
      </w:r>
      <w:r w:rsidRPr="00E9210E">
        <w:rPr>
          <w:rFonts w:eastAsia="Courier New"/>
        </w:rPr>
        <w:t>.</w:t>
      </w:r>
      <w:r w:rsidRPr="00E9210E">
        <w:t xml:space="preserve"> Numéro spécial de la </w:t>
      </w:r>
      <w:r w:rsidRPr="00E9210E">
        <w:rPr>
          <w:rFonts w:eastAsia="Courier New"/>
          <w:i/>
        </w:rPr>
        <w:t>Revue d'éc</w:t>
      </w:r>
      <w:r w:rsidRPr="00E9210E">
        <w:rPr>
          <w:rFonts w:eastAsia="Courier New"/>
          <w:i/>
        </w:rPr>
        <w:t>o</w:t>
      </w:r>
      <w:r w:rsidRPr="00E9210E">
        <w:rPr>
          <w:rFonts w:eastAsia="Courier New"/>
          <w:i/>
        </w:rPr>
        <w:t>nomie politique</w:t>
      </w:r>
      <w:r w:rsidRPr="00E9210E">
        <w:rPr>
          <w:rFonts w:eastAsia="Courier New"/>
        </w:rPr>
        <w:t>,</w:t>
      </w:r>
      <w:r w:rsidRPr="00E9210E">
        <w:t xml:space="preserve"> pour son cinquantenaire, 1937), « A.H.E.S. », t. IX (1937), p. 491.</w:t>
      </w:r>
    </w:p>
    <w:p w14:paraId="3A5281D7" w14:textId="77777777" w:rsidR="00B9662D" w:rsidRPr="00E9210E" w:rsidRDefault="00B9662D" w:rsidP="00B9662D">
      <w:pPr>
        <w:spacing w:before="120" w:after="120"/>
        <w:jc w:val="both"/>
      </w:pPr>
      <w:r w:rsidRPr="00E9210E">
        <w:t>Villages et seigneuries : quelques observations de méthode à pr</w:t>
      </w:r>
      <w:r w:rsidRPr="00E9210E">
        <w:t>o</w:t>
      </w:r>
      <w:r w:rsidRPr="00E9210E">
        <w:t xml:space="preserve">pos d’une étude sur la Bourgogne. (Compte rendu : N. P. </w:t>
      </w:r>
      <w:r w:rsidRPr="00E9210E">
        <w:rPr>
          <w:rStyle w:val="Corpsdutexte27ptGras"/>
          <w:rFonts w:eastAsia="Courier New"/>
          <w:b w:val="0"/>
          <w:smallCaps/>
          <w:sz w:val="28"/>
        </w:rPr>
        <w:t>Gratsian</w:t>
      </w:r>
      <w:r w:rsidRPr="00E9210E">
        <w:rPr>
          <w:rStyle w:val="Corpsdutexte27ptGras"/>
          <w:rFonts w:eastAsia="Courier New"/>
          <w:b w:val="0"/>
          <w:smallCaps/>
          <w:sz w:val="28"/>
        </w:rPr>
        <w:t>s</w:t>
      </w:r>
      <w:r w:rsidRPr="00E9210E">
        <w:rPr>
          <w:rStyle w:val="Corpsdutexte27ptGras"/>
          <w:rFonts w:eastAsia="Courier New"/>
          <w:b w:val="0"/>
          <w:smallCaps/>
          <w:sz w:val="28"/>
        </w:rPr>
        <w:t>kii,</w:t>
      </w:r>
      <w:r w:rsidRPr="00E9210E">
        <w:rPr>
          <w:rStyle w:val="Corpsdutexte27ptGras"/>
          <w:rFonts w:eastAsia="Courier New"/>
          <w:i/>
          <w:sz w:val="28"/>
        </w:rPr>
        <w:t xml:space="preserve"> </w:t>
      </w:r>
      <w:r w:rsidRPr="00E9210E">
        <w:rPr>
          <w:rFonts w:eastAsia="Courier New"/>
          <w:i/>
        </w:rPr>
        <w:t>Bourgoundskaia derevna v</w:t>
      </w:r>
      <w:r w:rsidRPr="00E9210E">
        <w:rPr>
          <w:rFonts w:eastAsia="Courier New"/>
        </w:rPr>
        <w:t xml:space="preserve"> </w:t>
      </w:r>
      <w:r w:rsidRPr="00E9210E">
        <w:rPr>
          <w:rStyle w:val="Corpsdutexte2ItaliqueEspacement1pt"/>
          <w:rFonts w:eastAsia="Courier New"/>
          <w:sz w:val="28"/>
          <w:lang w:val="fr-CA"/>
        </w:rPr>
        <w:t>X-XII</w:t>
      </w:r>
      <w:r w:rsidRPr="00E9210E">
        <w:rPr>
          <w:rFonts w:eastAsia="Courier New"/>
        </w:rPr>
        <w:t xml:space="preserve"> </w:t>
      </w:r>
      <w:r w:rsidRPr="00E9210E">
        <w:rPr>
          <w:rFonts w:eastAsia="Courier New"/>
          <w:i/>
        </w:rPr>
        <w:t>ctoletniakh</w:t>
      </w:r>
      <w:r w:rsidRPr="00E9210E">
        <w:t>, Moscou-Léningrad, 1935), « A.H.E.S. », t. IX (1937), pp. 493-500.</w:t>
      </w:r>
    </w:p>
    <w:p w14:paraId="0A4BE92E"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Les deux Allemagnes rurales. (Comptes rendus : </w:t>
      </w:r>
      <w:r w:rsidRPr="00E9210E">
        <w:rPr>
          <w:rStyle w:val="Corpsdutexte117ptGrasNonItaliqueEspacement0pt"/>
          <w:rFonts w:eastAsia="Courier New"/>
          <w:b w:val="0"/>
          <w:i w:val="0"/>
          <w:iCs w:val="0"/>
          <w:sz w:val="28"/>
          <w:lang w:val="fr-CA"/>
        </w:rPr>
        <w:t xml:space="preserve">W. </w:t>
      </w:r>
      <w:r w:rsidRPr="00E9210E">
        <w:rPr>
          <w:rStyle w:val="Corpsdutexte117ptGrasNonItaliqueEspacement0pt"/>
          <w:rFonts w:eastAsia="Courier New"/>
          <w:b w:val="0"/>
          <w:i w:val="0"/>
          <w:iCs w:val="0"/>
          <w:smallCaps/>
          <w:sz w:val="28"/>
          <w:lang w:val="fr-CA"/>
        </w:rPr>
        <w:t>Müller Wi</w:t>
      </w:r>
      <w:r w:rsidRPr="00E9210E">
        <w:rPr>
          <w:rStyle w:val="Corpsdutexte117ptGrasNonItaliqueEspacement0pt"/>
          <w:rFonts w:eastAsia="Courier New"/>
          <w:b w:val="0"/>
          <w:i w:val="0"/>
          <w:iCs w:val="0"/>
          <w:smallCaps/>
          <w:sz w:val="28"/>
          <w:lang w:val="fr-CA"/>
        </w:rPr>
        <w:t>l</w:t>
      </w:r>
      <w:r w:rsidRPr="00E9210E">
        <w:rPr>
          <w:rStyle w:val="Corpsdutexte117ptGrasNonItaliqueEspacement0pt"/>
          <w:rFonts w:eastAsia="Courier New"/>
          <w:b w:val="0"/>
          <w:i w:val="0"/>
          <w:iCs w:val="0"/>
          <w:smallCaps/>
          <w:sz w:val="28"/>
          <w:lang w:val="fr-CA"/>
        </w:rPr>
        <w:t>le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 xml:space="preserve">Die Ackerfluren im Landesteil Birkenfeld und ihre Wandlungen seit dem </w:t>
      </w:r>
      <w:r w:rsidRPr="00E9210E">
        <w:rPr>
          <w:rStyle w:val="Corpsdutexte118ptEspacement0pt"/>
          <w:rFonts w:eastAsia="Courier New"/>
          <w:sz w:val="28"/>
          <w:lang w:val="fr-CA"/>
        </w:rPr>
        <w:t>17</w:t>
      </w:r>
      <w:r w:rsidRPr="00E9210E">
        <w:rPr>
          <w:rStyle w:val="Corpsdutexte118ptEspacement0pt"/>
          <w:rFonts w:eastAsia="Courier New"/>
          <w:i w:val="0"/>
          <w:sz w:val="28"/>
          <w:lang w:val="fr-CA"/>
        </w:rPr>
        <w:t xml:space="preserve">. </w:t>
      </w:r>
      <w:r w:rsidRPr="00E9210E">
        <w:rPr>
          <w:rFonts w:eastAsia="Courier New"/>
          <w:i/>
        </w:rPr>
        <w:t xml:space="preserve">und </w:t>
      </w:r>
      <w:r w:rsidRPr="00E9210E">
        <w:rPr>
          <w:rStyle w:val="Corpsdutexte118ptEspacement0pt"/>
          <w:rFonts w:eastAsia="Courier New"/>
          <w:i w:val="0"/>
          <w:sz w:val="28"/>
          <w:lang w:val="fr-CA"/>
        </w:rPr>
        <w:t xml:space="preserve">18. </w:t>
      </w:r>
      <w:r w:rsidRPr="00E9210E">
        <w:rPr>
          <w:rFonts w:eastAsia="Courier New"/>
          <w:i/>
        </w:rPr>
        <w:t>Jahrhundert</w:t>
      </w:r>
      <w:r w:rsidRPr="00E9210E">
        <w:rPr>
          <w:rFonts w:eastAsia="Courier New"/>
        </w:rPr>
        <w:t xml:space="preserve">, </w:t>
      </w:r>
      <w:r w:rsidRPr="00E9210E">
        <w:rPr>
          <w:rStyle w:val="Corpsdutexte11NonItaliqueEspacement0pt"/>
          <w:rFonts w:eastAsia="Courier New"/>
          <w:i w:val="0"/>
          <w:iCs w:val="0"/>
          <w:sz w:val="28"/>
          <w:lang w:val="fr-CA"/>
        </w:rPr>
        <w:t>Bonn, 1936. — M. </w:t>
      </w:r>
      <w:r w:rsidRPr="00E9210E">
        <w:rPr>
          <w:rStyle w:val="Corpsdutexte117ptGrasNonItaliqueEspacement0pt"/>
          <w:rFonts w:eastAsia="Courier New"/>
          <w:b w:val="0"/>
          <w:i w:val="0"/>
          <w:iCs w:val="0"/>
          <w:smallCaps/>
          <w:sz w:val="28"/>
          <w:lang w:val="fr-CA"/>
        </w:rPr>
        <w:t>Mecke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Bauer</w:t>
      </w:r>
      <w:r w:rsidRPr="00E9210E">
        <w:rPr>
          <w:rFonts w:eastAsia="Courier New"/>
          <w:i/>
        </w:rPr>
        <w:t>n</w:t>
      </w:r>
      <w:r w:rsidRPr="00E9210E">
        <w:rPr>
          <w:rFonts w:eastAsia="Courier New"/>
          <w:i/>
        </w:rPr>
        <w:t>tum und Grossgrundbesitz des Kreises Rammelsburg in sechs Jah</w:t>
      </w:r>
      <w:r w:rsidRPr="00E9210E">
        <w:rPr>
          <w:rFonts w:eastAsia="Courier New"/>
          <w:i/>
        </w:rPr>
        <w:t>r</w:t>
      </w:r>
      <w:r w:rsidRPr="00E9210E">
        <w:rPr>
          <w:rFonts w:eastAsia="Courier New"/>
          <w:i/>
        </w:rPr>
        <w:t>hunderten, eine Untersuchung über die Grundbesitzverteilung</w:t>
      </w:r>
      <w:r w:rsidRPr="00E9210E">
        <w:rPr>
          <w:rStyle w:val="Corpsdutexte11NonItaliqueEspacement0pt"/>
          <w:rFonts w:eastAsia="Courier New"/>
          <w:i w:val="0"/>
          <w:iCs w:val="0"/>
          <w:sz w:val="28"/>
          <w:lang w:val="fr-CA"/>
        </w:rPr>
        <w:t>, Berlin, s.d.), « A.H.E.S. », t. IX (1937), pp. 606-610.</w:t>
      </w:r>
    </w:p>
    <w:p w14:paraId="1D3D358C" w14:textId="77777777" w:rsidR="00B9662D" w:rsidRPr="00E9210E" w:rsidRDefault="00B9662D" w:rsidP="00B9662D">
      <w:pPr>
        <w:spacing w:before="120" w:after="120"/>
        <w:jc w:val="both"/>
      </w:pPr>
      <w:r w:rsidRPr="00E9210E">
        <w:t xml:space="preserve">Chevalerie européenne ou chevalerie allemande. (Compte rendu : H. </w:t>
      </w:r>
      <w:r w:rsidRPr="00E9210E">
        <w:rPr>
          <w:rStyle w:val="Corpsdutexte27ptGras"/>
          <w:rFonts w:eastAsia="Courier New"/>
          <w:b w:val="0"/>
          <w:smallCaps/>
          <w:sz w:val="28"/>
        </w:rPr>
        <w:t>Naumann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Der staufische Ritter</w:t>
      </w:r>
      <w:r w:rsidRPr="00E9210E">
        <w:t>, Leipzig, 1936), « A.H.E.S. », t. IX (1937), p. 615.</w:t>
      </w:r>
    </w:p>
    <w:p w14:paraId="503BF94D" w14:textId="77777777" w:rsidR="00B9662D" w:rsidRPr="00E9210E" w:rsidRDefault="00B9662D" w:rsidP="00B9662D">
      <w:pPr>
        <w:spacing w:before="120" w:after="120"/>
        <w:jc w:val="both"/>
      </w:pPr>
      <w:r w:rsidRPr="00E9210E">
        <w:t xml:space="preserve">Se promener ou comprendre. (Compte rendu : </w:t>
      </w:r>
      <w:r w:rsidRPr="00E9210E">
        <w:rPr>
          <w:rFonts w:eastAsia="Courier New"/>
        </w:rPr>
        <w:t xml:space="preserve">Allemagne. </w:t>
      </w:r>
      <w:r w:rsidRPr="00E9210E">
        <w:rPr>
          <w:rFonts w:eastAsia="Courier New"/>
          <w:i/>
        </w:rPr>
        <w:t>Le rail et la route</w:t>
      </w:r>
      <w:r w:rsidRPr="00E9210E">
        <w:rPr>
          <w:rFonts w:eastAsia="Courier New"/>
        </w:rPr>
        <w:t>.</w:t>
      </w:r>
      <w:r w:rsidRPr="00E9210E">
        <w:t xml:space="preserve"> Guide édité par Baedeker, 1936, 15</w:t>
      </w:r>
      <w:r w:rsidRPr="00E9210E">
        <w:rPr>
          <w:vertAlign w:val="superscript"/>
        </w:rPr>
        <w:t>e</w:t>
      </w:r>
      <w:r w:rsidRPr="00E9210E">
        <w:t xml:space="preserve"> éd.), « A.H.E.S. », t. IX (1937), p. 630.</w:t>
      </w:r>
    </w:p>
    <w:p w14:paraId="27D7D6B7" w14:textId="77777777" w:rsidR="00B9662D" w:rsidRPr="00E9210E" w:rsidRDefault="00B9662D" w:rsidP="00B9662D">
      <w:pPr>
        <w:spacing w:before="120" w:after="120"/>
        <w:jc w:val="both"/>
      </w:pPr>
      <w:r w:rsidRPr="00E9210E">
        <w:t xml:space="preserve">Compte rendu : E. </w:t>
      </w:r>
      <w:r w:rsidRPr="00E9210E">
        <w:rPr>
          <w:smallCaps/>
        </w:rPr>
        <w:t>Chapin</w:t>
      </w:r>
      <w:r w:rsidRPr="00E9210E">
        <w:t xml:space="preserve">, </w:t>
      </w:r>
      <w:r w:rsidRPr="00E9210E">
        <w:rPr>
          <w:rFonts w:eastAsia="Courier New"/>
          <w:i/>
        </w:rPr>
        <w:t xml:space="preserve">Les villes de foires de Champagne des origines au début du </w:t>
      </w:r>
      <w:r w:rsidRPr="00E9210E">
        <w:rPr>
          <w:rStyle w:val="Corpsdutexte2ItaliqueEspacement1pt"/>
          <w:rFonts w:eastAsia="Courier New"/>
          <w:sz w:val="28"/>
          <w:lang w:val="fr-CA"/>
        </w:rPr>
        <w:t>XIV</w:t>
      </w:r>
      <w:r w:rsidRPr="00E9210E">
        <w:rPr>
          <w:rStyle w:val="Corpsdutexte2ItaliqueEspacement1pt"/>
          <w:rFonts w:eastAsia="Courier New"/>
          <w:sz w:val="28"/>
          <w:vertAlign w:val="superscript"/>
          <w:lang w:val="fr-CA"/>
        </w:rPr>
        <w:t>e</w:t>
      </w:r>
      <w:r w:rsidRPr="00E9210E">
        <w:rPr>
          <w:rFonts w:eastAsia="Courier New"/>
          <w:i/>
        </w:rPr>
        <w:t xml:space="preserve"> siècle</w:t>
      </w:r>
      <w:r w:rsidRPr="00E9210E">
        <w:t>, Paris, 1937, « Le Moyen Âge », 3</w:t>
      </w:r>
      <w:r w:rsidRPr="00E9210E">
        <w:rPr>
          <w:vertAlign w:val="superscript"/>
        </w:rPr>
        <w:t>e</w:t>
      </w:r>
      <w:r w:rsidRPr="00E9210E">
        <w:t> série, t. 8 (1937), pp. 281-286.</w:t>
      </w:r>
    </w:p>
    <w:p w14:paraId="1E54F8DC" w14:textId="77777777" w:rsidR="00B9662D" w:rsidRPr="00E9210E" w:rsidRDefault="00B9662D" w:rsidP="00B9662D">
      <w:pPr>
        <w:spacing w:before="120" w:after="120"/>
        <w:jc w:val="both"/>
      </w:pPr>
      <w:r w:rsidRPr="00E9210E">
        <w:t xml:space="preserve">(En collaboration avec M. Ch.-E. Perrin) : </w:t>
      </w:r>
      <w:r w:rsidRPr="00E9210E">
        <w:rPr>
          <w:rFonts w:eastAsia="Courier New"/>
          <w:i/>
        </w:rPr>
        <w:t>Bulletin historique. Hi</w:t>
      </w:r>
      <w:r w:rsidRPr="00E9210E">
        <w:rPr>
          <w:rFonts w:eastAsia="Courier New"/>
          <w:i/>
        </w:rPr>
        <w:t>s</w:t>
      </w:r>
      <w:r w:rsidRPr="00E9210E">
        <w:rPr>
          <w:rFonts w:eastAsia="Courier New"/>
          <w:i/>
        </w:rPr>
        <w:t>toire d'Allemagne. Moyen Âge</w:t>
      </w:r>
      <w:r w:rsidRPr="00E9210E">
        <w:t>, « </w:t>
      </w:r>
      <w:r w:rsidRPr="00E9210E">
        <w:rPr>
          <w:i/>
        </w:rPr>
        <w:t>Revue historique </w:t>
      </w:r>
      <w:r w:rsidRPr="00E9210E">
        <w:t>», t. 181 (1937), pp. 405-458.</w:t>
      </w:r>
    </w:p>
    <w:p w14:paraId="3CDBC340" w14:textId="77777777" w:rsidR="00B9662D" w:rsidRPr="00E9210E" w:rsidRDefault="00B9662D" w:rsidP="00B9662D">
      <w:pPr>
        <w:spacing w:before="120" w:after="120"/>
        <w:jc w:val="both"/>
      </w:pPr>
      <w:r w:rsidRPr="00E9210E">
        <w:rPr>
          <w:rFonts w:eastAsia="Courier New"/>
        </w:rPr>
        <w:t>[1086]</w:t>
      </w:r>
    </w:p>
    <w:p w14:paraId="55DE31F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Le grand commerce au Moyen Âge. (Comptes rendus : H. </w:t>
      </w:r>
      <w:r w:rsidRPr="00E9210E">
        <w:rPr>
          <w:rStyle w:val="Corpsdutexte117ptGrasNonItaliqueEspacement0pt"/>
          <w:rFonts w:eastAsia="Courier New"/>
          <w:b w:val="0"/>
          <w:i w:val="0"/>
          <w:iCs w:val="0"/>
          <w:smallCaps/>
          <w:sz w:val="28"/>
          <w:lang w:val="fr-CA"/>
        </w:rPr>
        <w:t>Laurent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Un grand commerce d'exportation au Moyen Âge. La draperie des Pays-Bas en France et dans les pays méditerranéens (XII</w:t>
      </w:r>
      <w:r w:rsidRPr="00E9210E">
        <w:rPr>
          <w:rFonts w:eastAsia="Courier New"/>
          <w:i/>
          <w:vertAlign w:val="superscript"/>
        </w:rPr>
        <w:t>e</w:t>
      </w:r>
      <w:r w:rsidRPr="00E9210E">
        <w:rPr>
          <w:rFonts w:eastAsia="Courier New"/>
          <w:i/>
        </w:rPr>
        <w:t>-XV</w:t>
      </w:r>
      <w:r w:rsidRPr="00E9210E">
        <w:rPr>
          <w:rFonts w:eastAsia="Courier New"/>
          <w:i/>
          <w:vertAlign w:val="superscript"/>
        </w:rPr>
        <w:t>e</w:t>
      </w:r>
      <w:r w:rsidRPr="00E9210E">
        <w:rPr>
          <w:rFonts w:eastAsia="Courier New"/>
          <w:i/>
        </w:rPr>
        <w:t xml:space="preserve"> s.),</w:t>
      </w:r>
      <w:r w:rsidRPr="00E9210E">
        <w:rPr>
          <w:rStyle w:val="Corpsdutexte11NonItaliqueEspacement0pt"/>
          <w:rFonts w:eastAsia="Courier New"/>
          <w:i w:val="0"/>
          <w:iCs w:val="0"/>
          <w:sz w:val="28"/>
          <w:lang w:val="fr-CA"/>
        </w:rPr>
        <w:t xml:space="preserve"> Paris, 1935. — J. de </w:t>
      </w:r>
      <w:r w:rsidRPr="00E9210E">
        <w:rPr>
          <w:rStyle w:val="Corpsdutexte117ptGrasNonItaliqueEspacement0pt"/>
          <w:rFonts w:eastAsia="Courier New"/>
          <w:b w:val="0"/>
          <w:i w:val="0"/>
          <w:iCs w:val="0"/>
          <w:smallCaps/>
          <w:sz w:val="28"/>
          <w:lang w:val="fr-CA"/>
        </w:rPr>
        <w:t>Sturler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relations politiques et les échanges commerciaux entre le duché de Brabant et l’Angleterre au Moyen Âge : l'étape des laines anglaises en Brabant et les origines du développement du port d'Anvers</w:t>
      </w:r>
      <w:r w:rsidRPr="00E9210E">
        <w:rPr>
          <w:rStyle w:val="Corpsdutexte11NonItaliqueEspacement0pt"/>
          <w:rFonts w:eastAsia="Courier New"/>
          <w:i w:val="0"/>
          <w:iCs w:val="0"/>
          <w:sz w:val="28"/>
          <w:lang w:val="fr-CA"/>
        </w:rPr>
        <w:t>, Paris, 1936), « Rev. synt. hist. », t. 57 (1937), pp. 145-147.</w:t>
      </w:r>
    </w:p>
    <w:p w14:paraId="4830722E" w14:textId="77777777" w:rsidR="00B9662D" w:rsidRPr="00E9210E" w:rsidRDefault="00B9662D" w:rsidP="00B9662D">
      <w:pPr>
        <w:spacing w:before="120" w:after="120"/>
        <w:jc w:val="both"/>
      </w:pPr>
      <w:r w:rsidRPr="00E9210E">
        <w:t>Les luttes d’intérêt à la fin de l’Ancien Régime. (Compte rendu : L. </w:t>
      </w:r>
      <w:r w:rsidRPr="00E9210E">
        <w:rPr>
          <w:smallCaps/>
        </w:rPr>
        <w:t xml:space="preserve">Ph. </w:t>
      </w:r>
      <w:r w:rsidRPr="00E9210E">
        <w:rPr>
          <w:rStyle w:val="Corpsdutexte27ptGras"/>
          <w:rFonts w:eastAsia="Courier New"/>
          <w:b w:val="0"/>
          <w:smallCaps/>
          <w:sz w:val="28"/>
        </w:rPr>
        <w:t>May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L'Ancien régime devant le mur d'argent</w:t>
      </w:r>
      <w:r w:rsidRPr="00E9210E">
        <w:t>, Paris, 1935), « Rev. synt. hist. », t. 57 (1937), p. 237.</w:t>
      </w:r>
    </w:p>
    <w:p w14:paraId="05991C31" w14:textId="77777777" w:rsidR="00B9662D" w:rsidRPr="00E9210E" w:rsidRDefault="00B9662D" w:rsidP="00B9662D">
      <w:pPr>
        <w:spacing w:before="120" w:after="120"/>
        <w:jc w:val="both"/>
      </w:pPr>
      <w:r w:rsidRPr="00E9210E">
        <w:t xml:space="preserve">Choses et gens de la Méditerranée. (Compte rendu : Ch. </w:t>
      </w:r>
      <w:r w:rsidRPr="00E9210E">
        <w:rPr>
          <w:rStyle w:val="Corpsdutexte27ptGras"/>
          <w:rFonts w:eastAsia="Courier New"/>
          <w:b w:val="0"/>
          <w:smallCaps/>
          <w:sz w:val="28"/>
        </w:rPr>
        <w:t>Parain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Méditerranée, les hommes et leurs travaux</w:t>
      </w:r>
      <w:r w:rsidRPr="00E9210E">
        <w:rPr>
          <w:rFonts w:eastAsia="Courier New"/>
        </w:rPr>
        <w:t>.</w:t>
      </w:r>
      <w:r w:rsidRPr="00E9210E">
        <w:t xml:space="preserve"> Paris, s.d.), « Rev. synt. hist. », t. 57 (1937), pp. 238-239.</w:t>
      </w:r>
    </w:p>
    <w:p w14:paraId="5DDB303B" w14:textId="77777777" w:rsidR="00B9662D" w:rsidRPr="00E9210E" w:rsidRDefault="00B9662D" w:rsidP="00B9662D">
      <w:pPr>
        <w:spacing w:before="120" w:after="120"/>
        <w:jc w:val="both"/>
      </w:pPr>
    </w:p>
    <w:p w14:paraId="3CD63C9F" w14:textId="77777777" w:rsidR="00B9662D" w:rsidRPr="00E9210E" w:rsidRDefault="00B9662D" w:rsidP="00B9662D">
      <w:pPr>
        <w:spacing w:before="120" w:after="120"/>
        <w:jc w:val="center"/>
        <w:rPr>
          <w:b/>
        </w:rPr>
      </w:pPr>
      <w:r w:rsidRPr="00E9210E">
        <w:rPr>
          <w:b/>
        </w:rPr>
        <w:t>1938</w:t>
      </w:r>
    </w:p>
    <w:p w14:paraId="01E07CE7" w14:textId="77777777" w:rsidR="00B9662D" w:rsidRPr="00E9210E" w:rsidRDefault="00B9662D" w:rsidP="00B9662D">
      <w:pPr>
        <w:spacing w:before="120" w:after="120"/>
        <w:jc w:val="both"/>
      </w:pPr>
    </w:p>
    <w:p w14:paraId="1C2454EE" w14:textId="77777777" w:rsidR="00B9662D" w:rsidRPr="00E9210E" w:rsidRDefault="00B9662D" w:rsidP="00B9662D">
      <w:pPr>
        <w:spacing w:before="120" w:after="120"/>
        <w:jc w:val="both"/>
      </w:pPr>
      <w:r w:rsidRPr="00E9210E">
        <w:t>« </w:t>
      </w:r>
      <w:r w:rsidRPr="00E9210E">
        <w:rPr>
          <w:rStyle w:val="Corpsdutexte28ptGraschelle120"/>
          <w:rFonts w:eastAsia="Courier New"/>
          <w:sz w:val="28"/>
        </w:rPr>
        <w:t>Note des Directeurs »</w:t>
      </w:r>
      <w:r w:rsidRPr="00E9210E">
        <w:t xml:space="preserve">, </w:t>
      </w:r>
      <w:r w:rsidRPr="00E9210E">
        <w:rPr>
          <w:rFonts w:eastAsia="Courier New"/>
          <w:i/>
        </w:rPr>
        <w:t>A.H.E.S</w:t>
      </w:r>
      <w:r w:rsidRPr="00E9210E">
        <w:rPr>
          <w:rFonts w:eastAsia="Courier New"/>
        </w:rPr>
        <w:t>.</w:t>
      </w:r>
      <w:r w:rsidRPr="00E9210E">
        <w:t>, t. X (1938), pp. 481-482.</w:t>
      </w:r>
    </w:p>
    <w:p w14:paraId="38DAEBFB"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Technique et évolution sociale, réflexions d’un historien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Eur</w:t>
      </w:r>
      <w:r w:rsidRPr="00E9210E">
        <w:rPr>
          <w:rStyle w:val="Corpsdutexte885ptNonGrasItaliquechelle100"/>
          <w:rFonts w:eastAsia="Courier New"/>
          <w:b w:val="0"/>
          <w:bCs w:val="0"/>
          <w:sz w:val="28"/>
        </w:rPr>
        <w:t>o</w:t>
      </w:r>
      <w:r w:rsidRPr="00E9210E">
        <w:rPr>
          <w:rStyle w:val="Corpsdutexte885ptNonGrasItaliquechelle100"/>
          <w:rFonts w:eastAsia="Courier New"/>
          <w:b w:val="0"/>
          <w:bCs w:val="0"/>
          <w:sz w:val="28"/>
        </w:rPr>
        <w:t>pe</w:t>
      </w:r>
      <w:r w:rsidRPr="00E9210E">
        <w:rPr>
          <w:rStyle w:val="Corpsdutexte885ptNonGraschelle100"/>
          <w:rFonts w:eastAsia="Courier New"/>
          <w:b w:val="0"/>
          <w:bCs w:val="0"/>
          <w:sz w:val="28"/>
        </w:rPr>
        <w:t>, t. 47 (1938), n° 185, pp. 23-32.</w:t>
      </w:r>
    </w:p>
    <w:p w14:paraId="419BCB88" w14:textId="77777777" w:rsidR="00B9662D" w:rsidRPr="00E9210E" w:rsidRDefault="00B9662D" w:rsidP="00B9662D">
      <w:pPr>
        <w:spacing w:before="120" w:after="120"/>
        <w:jc w:val="both"/>
      </w:pPr>
      <w:r w:rsidRPr="00E9210E">
        <w:t>« </w:t>
      </w:r>
      <w:r w:rsidRPr="00E9210E">
        <w:rPr>
          <w:b/>
        </w:rPr>
        <w:t>De la cour royale à la cour de Rome : le procès des serfs de Rosny-sous-Bois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Studi di Storia e Diritto in onore di E. Besta,</w:t>
      </w:r>
      <w:r w:rsidRPr="00E9210E">
        <w:rPr>
          <w:rStyle w:val="Corpsdutexte885ptNonGraschelle100"/>
          <w:rFonts w:eastAsia="Courier New"/>
          <w:b w:val="0"/>
          <w:bCs w:val="0"/>
          <w:sz w:val="28"/>
        </w:rPr>
        <w:t xml:space="preserve"> M</w:t>
      </w:r>
      <w:r w:rsidRPr="00E9210E">
        <w:rPr>
          <w:rStyle w:val="Corpsdutexte885ptNonGraschelle100"/>
          <w:rFonts w:eastAsia="Courier New"/>
          <w:b w:val="0"/>
          <w:bCs w:val="0"/>
          <w:sz w:val="28"/>
        </w:rPr>
        <w:t>i</w:t>
      </w:r>
      <w:r w:rsidRPr="00E9210E">
        <w:rPr>
          <w:rStyle w:val="Corpsdutexte885ptNonGraschelle100"/>
          <w:rFonts w:eastAsia="Courier New"/>
          <w:b w:val="0"/>
          <w:bCs w:val="0"/>
          <w:sz w:val="28"/>
        </w:rPr>
        <w:t>lan, 1937-1939, t. II, pp. 149-164.</w:t>
      </w:r>
    </w:p>
    <w:p w14:paraId="10DC07F6"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Une expérience historique : La Sardaigne médiévale. (Comptes rendus : R. C. </w:t>
      </w:r>
      <w:r w:rsidRPr="00E9210E">
        <w:rPr>
          <w:rStyle w:val="Corpsdutexte117ptGrasNonItaliqueEspacement0pt"/>
          <w:rFonts w:eastAsia="Courier New"/>
          <w:b w:val="0"/>
          <w:i w:val="0"/>
          <w:iCs w:val="0"/>
          <w:smallCaps/>
          <w:sz w:val="28"/>
          <w:lang w:val="fr-CA"/>
        </w:rPr>
        <w:t>Raspi</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 xml:space="preserve">Mariano </w:t>
      </w:r>
      <w:r w:rsidRPr="00E9210E">
        <w:rPr>
          <w:rStyle w:val="Corpsdutexte118ptEspacement0pt"/>
          <w:rFonts w:eastAsia="Courier New"/>
          <w:sz w:val="28"/>
          <w:lang w:val="fr-CA"/>
        </w:rPr>
        <w:t>IV</w:t>
      </w:r>
      <w:r w:rsidRPr="00E9210E">
        <w:rPr>
          <w:rStyle w:val="Corpsdutexte118ptEspacement0pt"/>
          <w:rFonts w:eastAsia="Courier New"/>
          <w:i w:val="0"/>
          <w:sz w:val="28"/>
          <w:lang w:val="fr-CA"/>
        </w:rPr>
        <w:t xml:space="preserve">, </w:t>
      </w:r>
      <w:r w:rsidRPr="00E9210E">
        <w:rPr>
          <w:rFonts w:eastAsia="Courier New"/>
          <w:i/>
        </w:rPr>
        <w:t>conte del Goceano, visconte di Bas, giudice d'Arborea</w:t>
      </w:r>
      <w:r w:rsidRPr="00E9210E">
        <w:rPr>
          <w:rFonts w:eastAsia="Courier New"/>
        </w:rPr>
        <w:t>,</w:t>
      </w:r>
      <w:r w:rsidRPr="00E9210E">
        <w:rPr>
          <w:rStyle w:val="Corpsdutexte11NonItaliqueEspacement0pt"/>
          <w:rFonts w:eastAsia="Courier New"/>
          <w:i w:val="0"/>
          <w:iCs w:val="0"/>
          <w:sz w:val="28"/>
          <w:lang w:val="fr-CA"/>
        </w:rPr>
        <w:t xml:space="preserve"> Cagliari, s.d. [1934]. — </w:t>
      </w:r>
      <w:r w:rsidRPr="00E9210E">
        <w:rPr>
          <w:rFonts w:eastAsia="Courier New"/>
          <w:i/>
        </w:rPr>
        <w:t xml:space="preserve">Ugone </w:t>
      </w:r>
      <w:r w:rsidRPr="00E9210E">
        <w:rPr>
          <w:rStyle w:val="Corpsdutexte118ptEspacement0pt"/>
          <w:rFonts w:eastAsia="Courier New"/>
          <w:i w:val="0"/>
          <w:sz w:val="28"/>
          <w:lang w:val="fr-CA"/>
        </w:rPr>
        <w:t xml:space="preserve">III </w:t>
      </w:r>
      <w:r w:rsidRPr="00E9210E">
        <w:rPr>
          <w:rFonts w:eastAsia="Courier New"/>
          <w:i/>
        </w:rPr>
        <w:t xml:space="preserve">d'Arborea le due ambasciate di Luigi </w:t>
      </w:r>
      <w:r w:rsidRPr="00E9210E">
        <w:rPr>
          <w:rStyle w:val="Corpsdutexte118ptEspacement0pt"/>
          <w:rFonts w:eastAsia="Courier New"/>
          <w:sz w:val="28"/>
          <w:lang w:val="fr-CA"/>
        </w:rPr>
        <w:t>I</w:t>
      </w:r>
      <w:r w:rsidRPr="00E9210E">
        <w:rPr>
          <w:rStyle w:val="Corpsdutexte118ptEspacement0pt"/>
          <w:rFonts w:eastAsia="Courier New"/>
          <w:i w:val="0"/>
          <w:sz w:val="28"/>
          <w:lang w:val="fr-CA"/>
        </w:rPr>
        <w:t xml:space="preserve"> </w:t>
      </w:r>
      <w:r w:rsidRPr="00E9210E">
        <w:rPr>
          <w:rFonts w:eastAsia="Courier New"/>
          <w:i/>
        </w:rPr>
        <w:t>d'Anjou</w:t>
      </w:r>
      <w:r w:rsidRPr="00E9210E">
        <w:rPr>
          <w:rFonts w:eastAsia="Courier New"/>
        </w:rPr>
        <w:t>,</w:t>
      </w:r>
      <w:r w:rsidRPr="00E9210E">
        <w:rPr>
          <w:rStyle w:val="Corpsdutexte11NonItaliqueEspacement0pt"/>
          <w:rFonts w:eastAsia="Courier New"/>
          <w:i w:val="0"/>
          <w:iCs w:val="0"/>
          <w:sz w:val="28"/>
          <w:lang w:val="fr-CA"/>
        </w:rPr>
        <w:t xml:space="preserve"> Cagliari, </w:t>
      </w:r>
      <w:r w:rsidRPr="00E9210E">
        <w:t>s. d. [1936]. — </w:t>
      </w:r>
      <w:r w:rsidRPr="00E9210E">
        <w:rPr>
          <w:rFonts w:eastAsia="Courier New"/>
        </w:rPr>
        <w:t>Condaghe di S. Nicola di Trullas,</w:t>
      </w:r>
      <w:r w:rsidRPr="00E9210E">
        <w:t xml:space="preserve"> Cagliari, s.d. [1937]. — </w:t>
      </w:r>
      <w:r w:rsidRPr="00E9210E">
        <w:rPr>
          <w:rFonts w:eastAsia="Courier New"/>
          <w:i/>
        </w:rPr>
        <w:t>Condaghe di S. Maria di Bonarcado</w:t>
      </w:r>
      <w:r w:rsidRPr="00E9210E">
        <w:rPr>
          <w:rFonts w:eastAsia="Courier New"/>
        </w:rPr>
        <w:t>,</w:t>
      </w:r>
      <w:r w:rsidRPr="00E9210E">
        <w:t xml:space="preserve"> Cagliari, s.d. — </w:t>
      </w:r>
      <w:r w:rsidRPr="00E9210E">
        <w:rPr>
          <w:rFonts w:eastAsia="Courier New"/>
          <w:i/>
        </w:rPr>
        <w:t xml:space="preserve">Castelli medioevali di Sardegna, </w:t>
      </w:r>
      <w:r w:rsidRPr="00E9210E">
        <w:rPr>
          <w:i/>
        </w:rPr>
        <w:t>C</w:t>
      </w:r>
      <w:r w:rsidRPr="00E9210E">
        <w:rPr>
          <w:i/>
        </w:rPr>
        <w:t>a</w:t>
      </w:r>
      <w:r w:rsidRPr="00E9210E">
        <w:rPr>
          <w:i/>
        </w:rPr>
        <w:t>gliari</w:t>
      </w:r>
      <w:r w:rsidRPr="00E9210E">
        <w:t>, s.d. [1933]. — </w:t>
      </w:r>
      <w:r w:rsidRPr="00E9210E">
        <w:rPr>
          <w:rFonts w:eastAsia="Courier New"/>
          <w:i/>
        </w:rPr>
        <w:t>La Sardegna nell'alto medioevo</w:t>
      </w:r>
      <w:r w:rsidRPr="00E9210E">
        <w:rPr>
          <w:rFonts w:eastAsia="Courier New"/>
        </w:rPr>
        <w:t>,</w:t>
      </w:r>
      <w:r w:rsidRPr="00E9210E">
        <w:t xml:space="preserve"> Cagliari, s.d. [1935]), « A.H.E.S. », t. X (1938), pp. 50-52.</w:t>
      </w:r>
    </w:p>
    <w:p w14:paraId="642A1CE4" w14:textId="77777777" w:rsidR="00B9662D" w:rsidRPr="00E9210E" w:rsidRDefault="00B9662D" w:rsidP="00B9662D">
      <w:pPr>
        <w:spacing w:before="120" w:after="120"/>
        <w:jc w:val="both"/>
      </w:pPr>
      <w:r w:rsidRPr="00E9210E">
        <w:t xml:space="preserve">Une manifestation d’entr’aide. (Note sur le </w:t>
      </w:r>
      <w:r w:rsidRPr="00E9210E">
        <w:rPr>
          <w:rFonts w:eastAsia="Courier New"/>
          <w:i/>
        </w:rPr>
        <w:t>Congrès international de Folklore</w:t>
      </w:r>
      <w:r w:rsidRPr="00E9210E">
        <w:t xml:space="preserve"> tenu à Paris en août 1937), « A.H.E.S. », t. X (1938), p. 53.</w:t>
      </w:r>
    </w:p>
    <w:p w14:paraId="3EA33D55" w14:textId="77777777" w:rsidR="00B9662D" w:rsidRPr="00E9210E" w:rsidRDefault="00B9662D" w:rsidP="00B9662D">
      <w:pPr>
        <w:spacing w:before="120" w:after="120"/>
        <w:jc w:val="both"/>
      </w:pPr>
      <w:r w:rsidRPr="00E9210E">
        <w:t>À l’ombre de la Sorbonne. (Note sur l’</w:t>
      </w:r>
      <w:r w:rsidRPr="00E9210E">
        <w:rPr>
          <w:rFonts w:eastAsia="Courier New"/>
          <w:i/>
        </w:rPr>
        <w:t>Institut d'histoire économ</w:t>
      </w:r>
      <w:r w:rsidRPr="00E9210E">
        <w:rPr>
          <w:rFonts w:eastAsia="Courier New"/>
          <w:i/>
        </w:rPr>
        <w:t>i</w:t>
      </w:r>
      <w:r w:rsidRPr="00E9210E">
        <w:rPr>
          <w:rFonts w:eastAsia="Courier New"/>
          <w:i/>
        </w:rPr>
        <w:t>que et sociale</w:t>
      </w:r>
      <w:r w:rsidRPr="00E9210E">
        <w:t>), « A.H.E.S. », t. X (1938), p. 53.</w:t>
      </w:r>
    </w:p>
    <w:p w14:paraId="1774ABF1" w14:textId="77777777" w:rsidR="00B9662D" w:rsidRPr="00E9210E" w:rsidRDefault="00B9662D" w:rsidP="00B9662D">
      <w:pPr>
        <w:spacing w:before="120" w:after="120"/>
        <w:jc w:val="both"/>
      </w:pPr>
      <w:r w:rsidRPr="00E9210E">
        <w:t xml:space="preserve">La grande pitié des lecteurs. (Note sur la </w:t>
      </w:r>
      <w:r w:rsidRPr="00E9210E">
        <w:rPr>
          <w:rFonts w:eastAsia="Courier New"/>
          <w:i/>
        </w:rPr>
        <w:t>Bibliothèque Nationale</w:t>
      </w:r>
      <w:r w:rsidRPr="00E9210E">
        <w:t>), « A.H.E.S. », t. X (1938), pp. 54-55.</w:t>
      </w:r>
    </w:p>
    <w:p w14:paraId="71F4E9A8" w14:textId="77777777" w:rsidR="00B9662D" w:rsidRPr="00E9210E" w:rsidRDefault="00B9662D" w:rsidP="00B9662D">
      <w:pPr>
        <w:spacing w:before="120" w:after="120"/>
        <w:jc w:val="both"/>
      </w:pPr>
      <w:r w:rsidRPr="00E9210E">
        <w:t xml:space="preserve">Aux archives de l’Ardèche. (Compte rendu : J. </w:t>
      </w:r>
      <w:r w:rsidRPr="00E9210E">
        <w:rPr>
          <w:rStyle w:val="Corpsdutexte27ptGras"/>
          <w:rFonts w:eastAsia="Courier New"/>
          <w:b w:val="0"/>
          <w:sz w:val="28"/>
        </w:rPr>
        <w:t>Régné,</w:t>
      </w:r>
      <w:r w:rsidRPr="00E9210E">
        <w:rPr>
          <w:rStyle w:val="Corpsdutexte27ptGras"/>
          <w:rFonts w:eastAsia="Courier New"/>
          <w:sz w:val="28"/>
        </w:rPr>
        <w:t xml:space="preserve"> </w:t>
      </w:r>
      <w:r w:rsidRPr="00E9210E">
        <w:rPr>
          <w:rFonts w:eastAsia="Courier New"/>
          <w:i/>
        </w:rPr>
        <w:t>Bibliogr</w:t>
      </w:r>
      <w:r w:rsidRPr="00E9210E">
        <w:rPr>
          <w:rFonts w:eastAsia="Courier New"/>
          <w:i/>
        </w:rPr>
        <w:t>a</w:t>
      </w:r>
      <w:r w:rsidRPr="00E9210E">
        <w:rPr>
          <w:rFonts w:eastAsia="Courier New"/>
          <w:i/>
        </w:rPr>
        <w:t>phie vivaraise</w:t>
      </w:r>
      <w:r w:rsidRPr="00E9210E">
        <w:rPr>
          <w:rFonts w:eastAsia="Courier New"/>
        </w:rPr>
        <w:t xml:space="preserve"> 1934, </w:t>
      </w:r>
      <w:r w:rsidRPr="00E9210E">
        <w:t>Privas, 1935), « A.H.E.S. », t. X (1938), p. 55.</w:t>
      </w:r>
    </w:p>
    <w:p w14:paraId="5BB4B93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Pour mieux comprendre l’Europe d’aujourd’hui. (Compte rendu : F. </w:t>
      </w:r>
      <w:r w:rsidRPr="00E9210E">
        <w:rPr>
          <w:rStyle w:val="Corpsdutexte117ptGrasNonItaliqueEspacement0pt"/>
          <w:rFonts w:eastAsia="Courier New"/>
          <w:b w:val="0"/>
          <w:i w:val="0"/>
          <w:iCs w:val="0"/>
          <w:smallCaps/>
          <w:sz w:val="28"/>
          <w:lang w:val="fr-CA"/>
        </w:rPr>
        <w:t>Lot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invasions barbares et le peuplement de l'Europe : intr</w:t>
      </w:r>
      <w:r w:rsidRPr="00E9210E">
        <w:rPr>
          <w:rFonts w:eastAsia="Courier New"/>
          <w:i/>
        </w:rPr>
        <w:t>o</w:t>
      </w:r>
      <w:r w:rsidRPr="00E9210E">
        <w:rPr>
          <w:rFonts w:eastAsia="Courier New"/>
          <w:i/>
        </w:rPr>
        <w:t>duction à l'intelligence des derniers traités de paix</w:t>
      </w:r>
      <w:r w:rsidRPr="00E9210E">
        <w:rPr>
          <w:rFonts w:eastAsia="Courier New"/>
        </w:rPr>
        <w:t>.</w:t>
      </w:r>
      <w:r w:rsidRPr="00E9210E">
        <w:rPr>
          <w:rStyle w:val="Corpsdutexte11NonItaliqueEspacement0pt"/>
          <w:rFonts w:eastAsia="Courier New"/>
          <w:i w:val="0"/>
          <w:iCs w:val="0"/>
          <w:sz w:val="28"/>
          <w:lang w:val="fr-CA"/>
        </w:rPr>
        <w:t xml:space="preserve"> T. I : </w:t>
      </w:r>
      <w:r w:rsidRPr="00E9210E">
        <w:rPr>
          <w:rFonts w:eastAsia="Courier New"/>
          <w:i/>
        </w:rPr>
        <w:t>Arabes et Maures</w:t>
      </w:r>
      <w:r w:rsidRPr="00E9210E">
        <w:rPr>
          <w:rStyle w:val="Corpsdutexte11NonItaliqueEspacement0pt"/>
          <w:rFonts w:eastAsia="Courier New"/>
          <w:i w:val="0"/>
          <w:iCs w:val="0"/>
          <w:sz w:val="28"/>
          <w:lang w:val="fr-CA"/>
        </w:rPr>
        <w:t> — </w:t>
      </w:r>
      <w:r w:rsidRPr="00E9210E">
        <w:rPr>
          <w:rFonts w:eastAsia="Courier New"/>
          <w:i/>
        </w:rPr>
        <w:t>Scandinaves</w:t>
      </w:r>
      <w:r w:rsidRPr="00E9210E">
        <w:rPr>
          <w:rStyle w:val="Corpsdutexte11NonItaliqueEspacement0pt"/>
          <w:rFonts w:eastAsia="Courier New"/>
          <w:i w:val="0"/>
          <w:iCs w:val="0"/>
          <w:sz w:val="28"/>
          <w:lang w:val="fr-CA"/>
        </w:rPr>
        <w:t> — </w:t>
      </w:r>
      <w:r w:rsidRPr="00E9210E">
        <w:rPr>
          <w:rFonts w:eastAsia="Courier New"/>
          <w:i/>
        </w:rPr>
        <w:t>Slaves du Sud et du Centre</w:t>
      </w:r>
      <w:r w:rsidRPr="00E9210E">
        <w:rPr>
          <w:rFonts w:eastAsia="Courier New"/>
        </w:rPr>
        <w:t>.</w:t>
      </w:r>
      <w:r w:rsidRPr="00E9210E">
        <w:rPr>
          <w:rStyle w:val="Corpsdutexte11NonItaliqueEspacement0pt"/>
          <w:rFonts w:eastAsia="Courier New"/>
          <w:i w:val="0"/>
          <w:iCs w:val="0"/>
          <w:sz w:val="28"/>
          <w:lang w:val="fr-CA"/>
        </w:rPr>
        <w:t xml:space="preserve"> T. II : </w:t>
      </w:r>
      <w:r w:rsidRPr="00E9210E">
        <w:rPr>
          <w:rFonts w:eastAsia="Courier New"/>
          <w:i/>
        </w:rPr>
        <w:t>Slaves de l’Est. Finno-Ougriens. Turcs et Mongols. États issus de la déco</w:t>
      </w:r>
      <w:r w:rsidRPr="00E9210E">
        <w:rPr>
          <w:rFonts w:eastAsia="Courier New"/>
          <w:i/>
        </w:rPr>
        <w:t>m</w:t>
      </w:r>
      <w:r w:rsidRPr="00E9210E">
        <w:rPr>
          <w:rFonts w:eastAsia="Courier New"/>
          <w:i/>
        </w:rPr>
        <w:t>position des empires du Centre et de l'Est</w:t>
      </w:r>
      <w:r w:rsidRPr="00E9210E">
        <w:rPr>
          <w:rFonts w:eastAsia="Courier New"/>
        </w:rPr>
        <w:t>,</w:t>
      </w:r>
      <w:r w:rsidRPr="00E9210E">
        <w:rPr>
          <w:rStyle w:val="Corpsdutexte11NonItaliqueEspacement0pt"/>
          <w:rFonts w:eastAsia="Courier New"/>
          <w:i w:val="0"/>
          <w:iCs w:val="0"/>
          <w:sz w:val="28"/>
          <w:lang w:val="fr-CA"/>
        </w:rPr>
        <w:t xml:space="preserve"> Paris, 1937), « A.H.E.S. », </w:t>
      </w:r>
      <w:r w:rsidRPr="00E9210E">
        <w:t>t. X (1938), pp. 61-63.</w:t>
      </w:r>
    </w:p>
    <w:p w14:paraId="3F3204BD" w14:textId="77777777" w:rsidR="00B9662D" w:rsidRPr="00E9210E" w:rsidRDefault="00B9662D" w:rsidP="00B9662D">
      <w:pPr>
        <w:spacing w:before="120" w:after="120"/>
        <w:jc w:val="both"/>
      </w:pPr>
      <w:r w:rsidRPr="00E9210E">
        <w:t>L’esclavage dans l’Espagne médiévale. (Compte rendu : Ch. </w:t>
      </w:r>
      <w:r w:rsidRPr="00E9210E">
        <w:rPr>
          <w:rStyle w:val="Corpsdutexte27ptGras"/>
          <w:rFonts w:eastAsia="Courier New"/>
          <w:b w:val="0"/>
          <w:smallCaps/>
          <w:sz w:val="28"/>
        </w:rPr>
        <w:t>Verlinden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L'esclavage dans le monde ibérique médiéval</w:t>
      </w:r>
      <w:r w:rsidRPr="00E9210E">
        <w:rPr>
          <w:rFonts w:eastAsia="Courier New"/>
        </w:rPr>
        <w:t>,</w:t>
      </w:r>
      <w:r w:rsidRPr="00E9210E">
        <w:t xml:space="preserve"> dans </w:t>
      </w:r>
      <w:r w:rsidRPr="00E9210E">
        <w:rPr>
          <w:rFonts w:eastAsia="Courier New"/>
          <w:i/>
        </w:rPr>
        <w:t>Anuario de hist</w:t>
      </w:r>
      <w:r w:rsidRPr="00E9210E">
        <w:rPr>
          <w:rFonts w:eastAsia="Courier New"/>
          <w:i/>
        </w:rPr>
        <w:t>o</w:t>
      </w:r>
      <w:r w:rsidRPr="00E9210E">
        <w:rPr>
          <w:rFonts w:eastAsia="Courier New"/>
          <w:i/>
        </w:rPr>
        <w:t>ria del derecho espanol</w:t>
      </w:r>
      <w:r w:rsidRPr="00E9210E">
        <w:rPr>
          <w:rFonts w:eastAsia="Courier New"/>
        </w:rPr>
        <w:t xml:space="preserve">, </w:t>
      </w:r>
      <w:r w:rsidRPr="00E9210E">
        <w:t>t. XI (1934), pp. 283-488 et t. XII (1935), pp. 361-424), « A.H.E.S. », t. X (1938), pp. 64-68.</w:t>
      </w:r>
    </w:p>
    <w:p w14:paraId="7CECA25E" w14:textId="77777777" w:rsidR="00B9662D" w:rsidRPr="00E9210E" w:rsidRDefault="00B9662D" w:rsidP="00B9662D">
      <w:pPr>
        <w:spacing w:before="120" w:after="120"/>
        <w:jc w:val="both"/>
      </w:pPr>
      <w:r w:rsidRPr="00E9210E">
        <w:t xml:space="preserve">Un document psychologique : quelques nobles normands d’après leur correspondance. (Compte rendu : P. </w:t>
      </w:r>
      <w:r w:rsidRPr="00E9210E">
        <w:rPr>
          <w:rStyle w:val="Corpsdutexte27ptGras"/>
          <w:rFonts w:eastAsia="Courier New"/>
          <w:b w:val="0"/>
          <w:smallCaps/>
          <w:sz w:val="28"/>
        </w:rPr>
        <w:t>Le Cacheux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Correspo</w:t>
      </w:r>
      <w:r w:rsidRPr="00E9210E">
        <w:rPr>
          <w:rFonts w:eastAsia="Courier New"/>
          <w:i/>
        </w:rPr>
        <w:t>n</w:t>
      </w:r>
      <w:r w:rsidRPr="00E9210E">
        <w:rPr>
          <w:rFonts w:eastAsia="Courier New"/>
          <w:i/>
        </w:rPr>
        <w:t>dance de la famille d'Estouteville (1460-1535),</w:t>
      </w:r>
      <w:r w:rsidRPr="00E9210E">
        <w:t xml:space="preserve"> Paris, 1935), « A.H.E.S. », t. X (1938), pp. 68-70.</w:t>
      </w:r>
    </w:p>
    <w:p w14:paraId="1D1DFCF1" w14:textId="77777777" w:rsidR="00B9662D" w:rsidRPr="00E9210E" w:rsidRDefault="00B9662D" w:rsidP="00B9662D">
      <w:pPr>
        <w:spacing w:before="120" w:after="120"/>
        <w:jc w:val="both"/>
      </w:pPr>
      <w:r w:rsidRPr="00E9210E">
        <w:rPr>
          <w:rFonts w:eastAsia="Courier New"/>
        </w:rPr>
        <w:t>[1087]</w:t>
      </w:r>
    </w:p>
    <w:p w14:paraId="227D68B8" w14:textId="77777777" w:rsidR="00B9662D" w:rsidRPr="00E9210E" w:rsidRDefault="00B9662D" w:rsidP="00B9662D">
      <w:pPr>
        <w:spacing w:before="120" w:after="120"/>
        <w:jc w:val="both"/>
      </w:pPr>
      <w:r w:rsidRPr="00E9210E">
        <w:t xml:space="preserve">Dans les steppes du Proche-Orient. (Compte rendu : R. </w:t>
      </w:r>
      <w:r w:rsidRPr="00E9210E">
        <w:rPr>
          <w:rStyle w:val="Corpsdutexte27ptGras"/>
          <w:rFonts w:eastAsia="Courier New"/>
          <w:b w:val="0"/>
          <w:smallCaps/>
          <w:sz w:val="28"/>
        </w:rPr>
        <w:t>Gra</w:t>
      </w:r>
      <w:r w:rsidRPr="00E9210E">
        <w:rPr>
          <w:rStyle w:val="Corpsdutexte27ptGras"/>
          <w:rFonts w:eastAsia="Courier New"/>
          <w:b w:val="0"/>
          <w:smallCaps/>
          <w:sz w:val="28"/>
        </w:rPr>
        <w:t>d</w:t>
      </w:r>
      <w:r w:rsidRPr="00E9210E">
        <w:rPr>
          <w:rStyle w:val="Corpsdutexte27ptGras"/>
          <w:rFonts w:eastAsia="Courier New"/>
          <w:b w:val="0"/>
          <w:smallCaps/>
          <w:sz w:val="28"/>
        </w:rPr>
        <w:t>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Steppen des Morgenlandes in ihrer Bedeutung für die Geschichte der menschlichen Gesittung</w:t>
      </w:r>
      <w:r w:rsidRPr="00E9210E">
        <w:rPr>
          <w:rFonts w:eastAsia="Courier New"/>
        </w:rPr>
        <w:t xml:space="preserve">, </w:t>
      </w:r>
      <w:r w:rsidRPr="00E9210E">
        <w:t>Stuttgart, 1934), « A.H.E.S. », t. X (1938), pp. 77-78.</w:t>
      </w:r>
    </w:p>
    <w:p w14:paraId="4027130A" w14:textId="77777777" w:rsidR="00B9662D" w:rsidRPr="00E9210E" w:rsidRDefault="00B9662D" w:rsidP="00B9662D">
      <w:pPr>
        <w:spacing w:before="120" w:after="120"/>
        <w:jc w:val="both"/>
      </w:pPr>
      <w:r w:rsidRPr="00E9210E">
        <w:t>Archéologie botanique. (Note sur les travaux du D</w:t>
      </w:r>
      <w:r w:rsidRPr="00E9210E">
        <w:rPr>
          <w:vertAlign w:val="superscript"/>
        </w:rPr>
        <w:t>r</w:t>
      </w:r>
      <w:r w:rsidRPr="00E9210E">
        <w:t xml:space="preserve"> F. </w:t>
      </w:r>
      <w:r w:rsidRPr="00E9210E">
        <w:rPr>
          <w:rStyle w:val="Corpsdutexte27ptGras"/>
          <w:rFonts w:eastAsia="Courier New"/>
          <w:b w:val="0"/>
          <w:smallCaps/>
          <w:sz w:val="28"/>
        </w:rPr>
        <w:t>Gidon</w:t>
      </w:r>
      <w:r w:rsidRPr="00E9210E">
        <w:rPr>
          <w:rStyle w:val="Corpsdutexte27ptGras"/>
          <w:rFonts w:eastAsia="Courier New"/>
          <w:b w:val="0"/>
          <w:sz w:val="28"/>
        </w:rPr>
        <w:t>),</w:t>
      </w:r>
      <w:r w:rsidRPr="00E9210E">
        <w:rPr>
          <w:rStyle w:val="Corpsdutexte27ptGras"/>
          <w:rFonts w:eastAsia="Courier New"/>
          <w:sz w:val="28"/>
        </w:rPr>
        <w:t xml:space="preserve"> </w:t>
      </w:r>
      <w:r w:rsidRPr="00E9210E">
        <w:t>« A.H.E.S. », t. X (1938), pp. 78-80.</w:t>
      </w:r>
    </w:p>
    <w:p w14:paraId="36124950"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Romania Germanica. (Compte rendu : E. </w:t>
      </w:r>
      <w:r w:rsidRPr="00E9210E">
        <w:rPr>
          <w:rStyle w:val="Corpsdutexte117ptGrasNonItaliqueEspacement0pt"/>
          <w:rFonts w:eastAsia="Courier New"/>
          <w:b w:val="0"/>
          <w:i w:val="0"/>
          <w:iCs w:val="0"/>
          <w:smallCaps/>
          <w:sz w:val="28"/>
          <w:lang w:val="fr-CA"/>
        </w:rPr>
        <w:t>Gamillscheg</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Romania Germanica : Sprach- und Siedlungsgeschichte der Germanen auf dem Boden des alten Römerreichs</w:t>
      </w:r>
      <w:r w:rsidRPr="00E9210E">
        <w:rPr>
          <w:rStyle w:val="Corpsdutexte11NonItaliqueEspacement0pt"/>
          <w:rFonts w:eastAsia="Courier New"/>
          <w:i w:val="0"/>
          <w:iCs w:val="0"/>
          <w:sz w:val="28"/>
          <w:lang w:val="fr-CA"/>
        </w:rPr>
        <w:t>, Berlin, 1934-1936), « A.H.E.S. », t. X (1938), pp. 80-82.</w:t>
      </w:r>
    </w:p>
    <w:p w14:paraId="7693645E"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Pour un classement historique des données géographiques. (Com</w:t>
      </w:r>
      <w:r w:rsidRPr="00E9210E">
        <w:rPr>
          <w:rStyle w:val="Corpsdutexte11NonItaliqueEspacement0pt"/>
          <w:rFonts w:eastAsia="Courier New"/>
          <w:i w:val="0"/>
          <w:iCs w:val="0"/>
          <w:sz w:val="28"/>
          <w:lang w:val="fr-CA"/>
        </w:rPr>
        <w:t>p</w:t>
      </w:r>
      <w:r w:rsidRPr="00E9210E">
        <w:rPr>
          <w:rStyle w:val="Corpsdutexte11NonItaliqueEspacement0pt"/>
          <w:rFonts w:eastAsia="Courier New"/>
          <w:i w:val="0"/>
          <w:iCs w:val="0"/>
          <w:sz w:val="28"/>
          <w:lang w:val="fr-CA"/>
        </w:rPr>
        <w:t xml:space="preserve">te rendu : J. </w:t>
      </w:r>
      <w:r w:rsidRPr="00E9210E">
        <w:rPr>
          <w:rStyle w:val="Corpsdutexte117ptGrasNonItaliqueEspacement0pt"/>
          <w:rFonts w:eastAsia="Courier New"/>
          <w:b w:val="0"/>
          <w:i w:val="0"/>
          <w:iCs w:val="0"/>
          <w:smallCaps/>
          <w:sz w:val="28"/>
          <w:lang w:val="fr-CA"/>
        </w:rPr>
        <w:t>Soyer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Recherches sur l’origine et la formation des noms de lieux du département du Loiret</w:t>
      </w:r>
      <w:r w:rsidRPr="00E9210E">
        <w:rPr>
          <w:rFonts w:eastAsia="Courier New"/>
        </w:rPr>
        <w:t xml:space="preserve">, </w:t>
      </w:r>
      <w:r w:rsidRPr="00E9210E">
        <w:rPr>
          <w:rStyle w:val="Corpsdutexte11NonItaliqueEspacement0pt"/>
          <w:rFonts w:eastAsia="Courier New"/>
          <w:i w:val="0"/>
          <w:iCs w:val="0"/>
          <w:sz w:val="28"/>
          <w:lang w:val="fr-CA"/>
        </w:rPr>
        <w:t xml:space="preserve">dans </w:t>
      </w:r>
      <w:r w:rsidRPr="00E9210E">
        <w:rPr>
          <w:rFonts w:eastAsia="Courier New"/>
          <w:i/>
        </w:rPr>
        <w:t>Bulletin de la Société arché</w:t>
      </w:r>
      <w:r w:rsidRPr="00E9210E">
        <w:rPr>
          <w:rFonts w:eastAsia="Courier New"/>
          <w:i/>
        </w:rPr>
        <w:t>o</w:t>
      </w:r>
      <w:r w:rsidRPr="00E9210E">
        <w:rPr>
          <w:rFonts w:eastAsia="Courier New"/>
          <w:i/>
        </w:rPr>
        <w:t>logique et historique de l’Orléanais</w:t>
      </w:r>
      <w:r w:rsidRPr="00E9210E">
        <w:rPr>
          <w:rStyle w:val="Corpsdutexte11NonItaliqueEspacement0pt"/>
          <w:rFonts w:eastAsia="Courier New"/>
          <w:i w:val="0"/>
          <w:iCs w:val="0"/>
          <w:sz w:val="28"/>
          <w:lang w:val="fr-CA"/>
        </w:rPr>
        <w:t>, t. XXII [1936]), « A.H.E.S. », t. X (1938), p. 82.</w:t>
      </w:r>
    </w:p>
    <w:p w14:paraId="0F7E4FFB" w14:textId="77777777" w:rsidR="00B9662D" w:rsidRPr="00E9210E" w:rsidRDefault="00B9662D" w:rsidP="00B9662D">
      <w:pPr>
        <w:spacing w:before="120" w:after="120"/>
        <w:jc w:val="both"/>
      </w:pPr>
      <w:r w:rsidRPr="00E9210E">
        <w:t>Les croisades : politique et connaissance du monde. (Compte re</w:t>
      </w:r>
      <w:r w:rsidRPr="00E9210E">
        <w:t>n</w:t>
      </w:r>
      <w:r w:rsidRPr="00E9210E">
        <w:t xml:space="preserve">du : R. </w:t>
      </w:r>
      <w:r w:rsidRPr="00E9210E">
        <w:rPr>
          <w:rStyle w:val="Corpsdutexte27ptGras"/>
          <w:rFonts w:eastAsia="Courier New"/>
          <w:b w:val="0"/>
          <w:smallCaps/>
          <w:sz w:val="28"/>
        </w:rPr>
        <w:t>Grousset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des croisades et du royaume franc de J</w:t>
      </w:r>
      <w:r w:rsidRPr="00E9210E">
        <w:rPr>
          <w:rFonts w:eastAsia="Courier New"/>
          <w:i/>
        </w:rPr>
        <w:t>é</w:t>
      </w:r>
      <w:r w:rsidRPr="00E9210E">
        <w:rPr>
          <w:rFonts w:eastAsia="Courier New"/>
          <w:i/>
        </w:rPr>
        <w:t>rus</w:t>
      </w:r>
      <w:r w:rsidRPr="00E9210E">
        <w:rPr>
          <w:rFonts w:eastAsia="Courier New"/>
          <w:i/>
        </w:rPr>
        <w:t>a</w:t>
      </w:r>
      <w:r w:rsidRPr="00E9210E">
        <w:rPr>
          <w:rFonts w:eastAsia="Courier New"/>
          <w:i/>
        </w:rPr>
        <w:t>lem</w:t>
      </w:r>
      <w:r w:rsidRPr="00E9210E">
        <w:rPr>
          <w:rFonts w:eastAsia="Courier New"/>
        </w:rPr>
        <w:t>.</w:t>
      </w:r>
      <w:r w:rsidRPr="00E9210E">
        <w:t xml:space="preserve"> III : </w:t>
      </w:r>
      <w:r w:rsidRPr="00E9210E">
        <w:rPr>
          <w:rFonts w:eastAsia="Courier New"/>
          <w:i/>
        </w:rPr>
        <w:t>La monarchie musulmane</w:t>
      </w:r>
      <w:r w:rsidRPr="00E9210E">
        <w:t>, Paris, 1936), « A.H.E.S. », t. X (1938), pp. 84-85.</w:t>
      </w:r>
    </w:p>
    <w:p w14:paraId="7BCEFDF6" w14:textId="77777777" w:rsidR="00B9662D" w:rsidRPr="00E9210E" w:rsidRDefault="00B9662D" w:rsidP="00B9662D">
      <w:pPr>
        <w:spacing w:before="120" w:after="120"/>
        <w:jc w:val="both"/>
      </w:pPr>
      <w:r w:rsidRPr="00E9210E">
        <w:t xml:space="preserve">Villes de l’Occident et de l’Orient. (Compte rendu : G. I. </w:t>
      </w:r>
      <w:r w:rsidRPr="00E9210E">
        <w:rPr>
          <w:rStyle w:val="Corpsdutexte27ptGras"/>
          <w:rFonts w:eastAsia="Courier New"/>
          <w:b w:val="0"/>
          <w:smallCaps/>
          <w:sz w:val="28"/>
        </w:rPr>
        <w:t>Brati</w:t>
      </w:r>
      <w:r w:rsidRPr="00E9210E">
        <w:rPr>
          <w:rStyle w:val="Corpsdutexte27ptGras"/>
          <w:rFonts w:eastAsia="Courier New"/>
          <w:b w:val="0"/>
          <w:smallCaps/>
          <w:sz w:val="28"/>
        </w:rPr>
        <w:t>a</w:t>
      </w:r>
      <w:r w:rsidRPr="00E9210E">
        <w:rPr>
          <w:rStyle w:val="Corpsdutexte27ptGras"/>
          <w:rFonts w:eastAsia="Courier New"/>
          <w:b w:val="0"/>
          <w:smallCaps/>
          <w:sz w:val="28"/>
        </w:rPr>
        <w:t>nu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Privilèges et franchises municipales dans l’Empire byzantin</w:t>
      </w:r>
      <w:r w:rsidRPr="00E9210E">
        <w:t>, P</w:t>
      </w:r>
      <w:r w:rsidRPr="00E9210E">
        <w:t>a</w:t>
      </w:r>
      <w:r w:rsidRPr="00E9210E">
        <w:t>ris, 1936), « A.H.E.S. », t. X (1938), pp. 87-89.</w:t>
      </w:r>
    </w:p>
    <w:p w14:paraId="4EF1C5E5" w14:textId="77777777" w:rsidR="00B9662D" w:rsidRPr="00E9210E" w:rsidRDefault="00B9662D" w:rsidP="00B9662D">
      <w:pPr>
        <w:spacing w:before="120" w:after="120"/>
        <w:jc w:val="both"/>
      </w:pPr>
      <w:r w:rsidRPr="00E9210E">
        <w:t xml:space="preserve">Reliquiae. (Compte rendu : </w:t>
      </w:r>
      <w:r w:rsidRPr="00E9210E">
        <w:rPr>
          <w:rFonts w:eastAsia="Courier New"/>
          <w:i/>
        </w:rPr>
        <w:t>Études inédites de Guillaume des M</w:t>
      </w:r>
      <w:r w:rsidRPr="00E9210E">
        <w:rPr>
          <w:rFonts w:eastAsia="Courier New"/>
          <w:i/>
        </w:rPr>
        <w:t>a</w:t>
      </w:r>
      <w:r w:rsidRPr="00E9210E">
        <w:rPr>
          <w:rFonts w:eastAsia="Courier New"/>
          <w:i/>
        </w:rPr>
        <w:t>zez</w:t>
      </w:r>
      <w:r w:rsidRPr="00E9210E">
        <w:t>, Bruxelles, 1936), « A.H.E.S. », t. X (1938), pp. 89-90.</w:t>
      </w:r>
    </w:p>
    <w:p w14:paraId="2C41C1E0" w14:textId="77777777" w:rsidR="00B9662D" w:rsidRPr="00E9210E" w:rsidRDefault="00B9662D" w:rsidP="00B9662D">
      <w:pPr>
        <w:spacing w:before="120" w:after="120"/>
        <w:jc w:val="both"/>
      </w:pPr>
      <w:r w:rsidRPr="00E9210E">
        <w:t xml:space="preserve">Amiens, ville de la laine et du coton. (Compte rendu : P. </w:t>
      </w:r>
      <w:r w:rsidRPr="00E9210E">
        <w:rPr>
          <w:rStyle w:val="Corpsdutexte27ptGras"/>
          <w:rFonts w:eastAsia="Courier New"/>
          <w:b w:val="0"/>
          <w:sz w:val="28"/>
        </w:rPr>
        <w:t>Dubois,</w:t>
      </w:r>
      <w:r w:rsidRPr="00E9210E">
        <w:rPr>
          <w:rStyle w:val="Corpsdutexte27ptGras"/>
          <w:rFonts w:eastAsia="Courier New"/>
          <w:sz w:val="28"/>
        </w:rPr>
        <w:t xml:space="preserve"> </w:t>
      </w:r>
      <w:r w:rsidRPr="00E9210E">
        <w:rPr>
          <w:rFonts w:eastAsia="Courier New"/>
          <w:i/>
        </w:rPr>
        <w:t>Les industries amiénoises de la laine et du coton sous le règne de Louis XV</w:t>
      </w:r>
      <w:r w:rsidRPr="00E9210E">
        <w:rPr>
          <w:rFonts w:eastAsia="Courier New"/>
        </w:rPr>
        <w:t>,</w:t>
      </w:r>
      <w:r w:rsidRPr="00E9210E">
        <w:t xml:space="preserve"> Amiens, 1935), « A.H.E.S. », t. X (1938), p. 90.</w:t>
      </w:r>
    </w:p>
    <w:p w14:paraId="71B7867D"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Mulhouse : une ville sans routes. (Compte rendu : M. </w:t>
      </w:r>
      <w:r w:rsidRPr="00E9210E">
        <w:rPr>
          <w:rStyle w:val="Corpsdutexte117ptGrasNonItaliqueEspacement0pt"/>
          <w:rFonts w:eastAsia="Courier New"/>
          <w:b w:val="0"/>
          <w:i w:val="0"/>
          <w:iCs w:val="0"/>
          <w:smallCaps/>
          <w:sz w:val="28"/>
          <w:lang w:val="fr-CA"/>
        </w:rPr>
        <w:t>Moeder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genèse d’une ville impériale. Études sur l’histoire de Mulhouse aux XII</w:t>
      </w:r>
      <w:r w:rsidRPr="00E9210E">
        <w:rPr>
          <w:rFonts w:eastAsia="Courier New"/>
          <w:i/>
          <w:vertAlign w:val="superscript"/>
        </w:rPr>
        <w:t>e</w:t>
      </w:r>
      <w:r w:rsidRPr="00E9210E">
        <w:rPr>
          <w:rFonts w:eastAsia="Courier New"/>
          <w:i/>
        </w:rPr>
        <w:t xml:space="preserve"> et XIII</w:t>
      </w:r>
      <w:r w:rsidRPr="00E9210E">
        <w:rPr>
          <w:rFonts w:eastAsia="Courier New"/>
          <w:i/>
          <w:vertAlign w:val="superscript"/>
        </w:rPr>
        <w:t>e</w:t>
      </w:r>
      <w:r w:rsidRPr="00E9210E">
        <w:rPr>
          <w:rFonts w:eastAsia="Courier New"/>
          <w:i/>
        </w:rPr>
        <w:t xml:space="preserve"> siècles</w:t>
      </w:r>
      <w:r w:rsidRPr="00E9210E">
        <w:rPr>
          <w:rStyle w:val="Corpsdutexte11NonItaliqueEspacement0pt"/>
          <w:rFonts w:eastAsia="Courier New"/>
          <w:i w:val="0"/>
          <w:iCs w:val="0"/>
          <w:sz w:val="28"/>
          <w:lang w:val="fr-CA"/>
        </w:rPr>
        <w:t xml:space="preserve">, dans </w:t>
      </w:r>
      <w:r w:rsidRPr="00E9210E">
        <w:rPr>
          <w:rFonts w:eastAsia="Courier New"/>
          <w:i/>
        </w:rPr>
        <w:t>Bull. du Musée historique de Mulhouse</w:t>
      </w:r>
      <w:r w:rsidRPr="00E9210E">
        <w:rPr>
          <w:rStyle w:val="Corpsdutexte11NonItaliqueEspacement0pt"/>
          <w:rFonts w:eastAsia="Courier New"/>
          <w:i w:val="0"/>
          <w:iCs w:val="0"/>
          <w:sz w:val="28"/>
          <w:lang w:val="fr-CA"/>
        </w:rPr>
        <w:t>, t. LV (1935-1936), pp. 187-242), « A.H.E.S. », t. X (1938), p. 91.</w:t>
      </w:r>
    </w:p>
    <w:p w14:paraId="28AF5AA1" w14:textId="77777777" w:rsidR="00B9662D" w:rsidRPr="00E9210E" w:rsidRDefault="00B9662D" w:rsidP="00B9662D">
      <w:pPr>
        <w:spacing w:before="120" w:after="120"/>
        <w:jc w:val="both"/>
      </w:pPr>
      <w:r w:rsidRPr="00E9210E">
        <w:t xml:space="preserve">Une ville alsacienne. (Compte rendu : H. </w:t>
      </w:r>
      <w:r w:rsidRPr="00E9210E">
        <w:rPr>
          <w:rStyle w:val="Corpsdutexte27ptGras"/>
          <w:rFonts w:eastAsia="Courier New"/>
          <w:b w:val="0"/>
          <w:smallCaps/>
          <w:sz w:val="28"/>
        </w:rPr>
        <w:t>Gerlinger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Une page de l’histoire de l’Alsace : Molsheim</w:t>
      </w:r>
      <w:r w:rsidRPr="00E9210E">
        <w:t>, Strasbourg, 1935), « A.H.E.S. », t. X (1938), p. 91.</w:t>
      </w:r>
    </w:p>
    <w:p w14:paraId="6A3497A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Bordeaux et les colonies. (Compte rendu : G. </w:t>
      </w:r>
      <w:r w:rsidRPr="00E9210E">
        <w:rPr>
          <w:rStyle w:val="Corpsdutexte117ptGrasNonItaliqueEspacement0pt"/>
          <w:rFonts w:eastAsia="Courier New"/>
          <w:b w:val="0"/>
          <w:i w:val="0"/>
          <w:iCs w:val="0"/>
          <w:smallCaps/>
          <w:sz w:val="28"/>
          <w:lang w:val="fr-CA"/>
        </w:rPr>
        <w:t>Hubrecht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c</w:t>
      </w:r>
      <w:r w:rsidRPr="00E9210E">
        <w:rPr>
          <w:rFonts w:eastAsia="Courier New"/>
          <w:i/>
        </w:rPr>
        <w:t>o</w:t>
      </w:r>
      <w:r w:rsidRPr="00E9210E">
        <w:rPr>
          <w:rFonts w:eastAsia="Courier New"/>
          <w:i/>
        </w:rPr>
        <w:t>lonies et le port de Bordeaux au XVIII</w:t>
      </w:r>
      <w:r w:rsidRPr="00E9210E">
        <w:rPr>
          <w:rFonts w:eastAsia="Courier New"/>
          <w:i/>
          <w:vertAlign w:val="superscript"/>
        </w:rPr>
        <w:t>e</w:t>
      </w:r>
      <w:r w:rsidRPr="00E9210E">
        <w:rPr>
          <w:rFonts w:eastAsia="Courier New"/>
          <w:i/>
        </w:rPr>
        <w:t xml:space="preserve"> siècle</w:t>
      </w:r>
      <w:r w:rsidRPr="00E9210E">
        <w:rPr>
          <w:rStyle w:val="Corpsdutexte11NonItaliqueEspacement0pt"/>
          <w:rFonts w:eastAsia="Courier New"/>
          <w:i w:val="0"/>
          <w:iCs w:val="0"/>
          <w:sz w:val="28"/>
          <w:lang w:val="fr-CA"/>
        </w:rPr>
        <w:t xml:space="preserve">, dans </w:t>
      </w:r>
      <w:r w:rsidRPr="00E9210E">
        <w:rPr>
          <w:rFonts w:eastAsia="Courier New"/>
          <w:i/>
        </w:rPr>
        <w:t>Ann. du droit et des sciences sociales</w:t>
      </w:r>
      <w:r w:rsidRPr="00E9210E">
        <w:rPr>
          <w:rFonts w:eastAsia="Courier New"/>
        </w:rPr>
        <w:t>,</w:t>
      </w:r>
      <w:r w:rsidRPr="00E9210E">
        <w:rPr>
          <w:rStyle w:val="Corpsdutexte11NonItaliqueEspacement0pt"/>
          <w:rFonts w:eastAsia="Courier New"/>
          <w:i w:val="0"/>
          <w:iCs w:val="0"/>
          <w:sz w:val="28"/>
          <w:lang w:val="fr-CA"/>
        </w:rPr>
        <w:t xml:space="preserve"> t. IV, pp. 17-43), </w:t>
      </w:r>
      <w:r w:rsidRPr="00E9210E">
        <w:t>« A.H.E.S. », t. X (1938), p. 96.</w:t>
      </w:r>
    </w:p>
    <w:p w14:paraId="7EAA87E1" w14:textId="77777777" w:rsidR="00B9662D" w:rsidRPr="00E9210E" w:rsidRDefault="00B9662D" w:rsidP="00B9662D">
      <w:pPr>
        <w:spacing w:before="120" w:after="120"/>
        <w:jc w:val="both"/>
      </w:pPr>
      <w:r w:rsidRPr="00E9210E">
        <w:t xml:space="preserve">Henri Pirenne : in memoriam. (Compte rendu : J.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Henri P</w:t>
      </w:r>
      <w:r w:rsidRPr="00E9210E">
        <w:rPr>
          <w:rFonts w:eastAsia="Courier New"/>
          <w:i/>
        </w:rPr>
        <w:t>i</w:t>
      </w:r>
      <w:r w:rsidRPr="00E9210E">
        <w:rPr>
          <w:rFonts w:eastAsia="Courier New"/>
          <w:i/>
        </w:rPr>
        <w:t xml:space="preserve">renne : conférence faite à Bruxelles le </w:t>
      </w:r>
      <w:r w:rsidRPr="00E9210E">
        <w:rPr>
          <w:rStyle w:val="Corpsdutexte28ptItalique"/>
          <w:rFonts w:eastAsia="Courier New"/>
          <w:sz w:val="28"/>
        </w:rPr>
        <w:t>24</w:t>
      </w:r>
      <w:r w:rsidRPr="00E9210E">
        <w:rPr>
          <w:rStyle w:val="Corpsdutexte28ptItalique"/>
          <w:rFonts w:eastAsia="Courier New"/>
          <w:i w:val="0"/>
          <w:sz w:val="28"/>
        </w:rPr>
        <w:t xml:space="preserve"> </w:t>
      </w:r>
      <w:r w:rsidRPr="00E9210E">
        <w:rPr>
          <w:rFonts w:eastAsia="Courier New"/>
          <w:i/>
        </w:rPr>
        <w:t xml:space="preserve">nov. </w:t>
      </w:r>
      <w:r w:rsidRPr="00E9210E">
        <w:rPr>
          <w:rStyle w:val="Corpsdutexte28ptItalique"/>
          <w:rFonts w:eastAsia="Courier New"/>
          <w:i w:val="0"/>
          <w:sz w:val="28"/>
        </w:rPr>
        <w:t>1936</w:t>
      </w:r>
      <w:r w:rsidRPr="00E9210E">
        <w:rPr>
          <w:rStyle w:val="Corpsdutexte28ptItalique"/>
          <w:rFonts w:eastAsia="Courier New"/>
          <w:sz w:val="28"/>
        </w:rPr>
        <w:t>,</w:t>
      </w:r>
      <w:r w:rsidRPr="00E9210E">
        <w:rPr>
          <w:rStyle w:val="Corpsdutexte28ptGraschelle120"/>
          <w:rFonts w:eastAsia="Courier New"/>
          <w:sz w:val="28"/>
        </w:rPr>
        <w:t xml:space="preserve"> </w:t>
      </w:r>
      <w:r w:rsidRPr="00E9210E">
        <w:t>Bruxelles, 1936), « A.H.E.S. », t. X (1938), p. 138.</w:t>
      </w:r>
    </w:p>
    <w:p w14:paraId="6F2BB500" w14:textId="77777777" w:rsidR="00B9662D" w:rsidRPr="00E9210E" w:rsidRDefault="00B9662D" w:rsidP="00B9662D">
      <w:pPr>
        <w:spacing w:before="120" w:after="120"/>
        <w:jc w:val="both"/>
      </w:pPr>
      <w:r w:rsidRPr="00E9210E">
        <w:t xml:space="preserve">Un grand historien du droit. (Compte rendu : </w:t>
      </w:r>
      <w:r w:rsidRPr="00E9210E">
        <w:rPr>
          <w:rFonts w:eastAsia="Courier New"/>
          <w:i/>
        </w:rPr>
        <w:t>Maitland,</w:t>
      </w:r>
      <w:r w:rsidRPr="00E9210E">
        <w:rPr>
          <w:rFonts w:eastAsia="Courier New"/>
        </w:rPr>
        <w:t xml:space="preserve"> </w:t>
      </w:r>
      <w:r w:rsidRPr="00E9210E">
        <w:rPr>
          <w:rFonts w:eastAsia="Courier New"/>
          <w:i/>
        </w:rPr>
        <w:t>Selected Essays</w:t>
      </w:r>
      <w:r w:rsidRPr="00E9210E">
        <w:rPr>
          <w:rFonts w:eastAsia="Courier New"/>
        </w:rPr>
        <w:t>,</w:t>
      </w:r>
      <w:r w:rsidRPr="00E9210E">
        <w:t xml:space="preserve"> edited by H. D. </w:t>
      </w:r>
      <w:r w:rsidRPr="00E9210E">
        <w:rPr>
          <w:rStyle w:val="Corpsdutexte27ptGras"/>
          <w:rFonts w:eastAsia="Courier New"/>
          <w:b w:val="0"/>
          <w:smallCaps/>
          <w:sz w:val="28"/>
        </w:rPr>
        <w:t>Hazeltine</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G. </w:t>
      </w:r>
      <w:r w:rsidRPr="00E9210E">
        <w:rPr>
          <w:rStyle w:val="Corpsdutexte27ptGras"/>
          <w:rFonts w:eastAsia="Courier New"/>
          <w:b w:val="0"/>
          <w:smallCaps/>
          <w:sz w:val="28"/>
        </w:rPr>
        <w:t>Lapsley</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P. H. </w:t>
      </w:r>
      <w:r w:rsidRPr="00E9210E">
        <w:rPr>
          <w:rStyle w:val="Corpsdutexte27ptGras"/>
          <w:rFonts w:eastAsia="Courier New"/>
          <w:b w:val="0"/>
          <w:smallCaps/>
          <w:sz w:val="28"/>
        </w:rPr>
        <w:t>Winfield</w:t>
      </w:r>
      <w:r w:rsidRPr="00E9210E">
        <w:rPr>
          <w:rStyle w:val="Corpsdutexte27ptGras"/>
          <w:rFonts w:eastAsia="Courier New"/>
          <w:b w:val="0"/>
          <w:sz w:val="28"/>
        </w:rPr>
        <w:t>,</w:t>
      </w:r>
      <w:r w:rsidRPr="00E9210E">
        <w:rPr>
          <w:rStyle w:val="Corpsdutexte27ptGras"/>
          <w:rFonts w:eastAsia="Courier New"/>
          <w:sz w:val="28"/>
        </w:rPr>
        <w:t xml:space="preserve"> </w:t>
      </w:r>
      <w:r w:rsidRPr="00E9210E">
        <w:t>Cambridge, 1936), « A.H.E.S. », t. X (1938), pp. 138-139.</w:t>
      </w:r>
    </w:p>
    <w:p w14:paraId="7ACBC159" w14:textId="77777777" w:rsidR="00B9662D" w:rsidRPr="00E9210E" w:rsidRDefault="00B9662D" w:rsidP="00B9662D">
      <w:pPr>
        <w:spacing w:before="120" w:after="120"/>
        <w:jc w:val="both"/>
      </w:pPr>
      <w:r w:rsidRPr="00E9210E">
        <w:t xml:space="preserve">Choses et gens de la Hanse. (Compte rendu : </w:t>
      </w:r>
      <w:r w:rsidRPr="00E9210E">
        <w:rPr>
          <w:rFonts w:eastAsia="Courier New"/>
          <w:i/>
        </w:rPr>
        <w:t>Hansische Geschic</w:t>
      </w:r>
      <w:r w:rsidRPr="00E9210E">
        <w:rPr>
          <w:rFonts w:eastAsia="Courier New"/>
          <w:i/>
        </w:rPr>
        <w:t>h</w:t>
      </w:r>
      <w:r w:rsidRPr="00E9210E">
        <w:rPr>
          <w:rFonts w:eastAsia="Courier New"/>
          <w:i/>
        </w:rPr>
        <w:t>tsblätter</w:t>
      </w:r>
      <w:r w:rsidRPr="00E9210E">
        <w:rPr>
          <w:rFonts w:eastAsia="Courier New"/>
        </w:rPr>
        <w:t>,</w:t>
      </w:r>
      <w:r w:rsidRPr="00E9210E">
        <w:t xml:space="preserve"> t. LX (1935) et t. LXI (1936)), « A.H.E.S. », t. X (1938), p. 140.</w:t>
      </w:r>
    </w:p>
    <w:p w14:paraId="75C57960" w14:textId="77777777" w:rsidR="00B9662D" w:rsidRPr="00E9210E" w:rsidRDefault="00B9662D" w:rsidP="00B9662D">
      <w:pPr>
        <w:spacing w:before="120" w:after="120"/>
        <w:jc w:val="both"/>
      </w:pPr>
      <w:r w:rsidRPr="00E9210E">
        <w:t xml:space="preserve">Un classique. (Compte rendu : </w:t>
      </w:r>
      <w:r w:rsidRPr="00E9210E">
        <w:rPr>
          <w:rFonts w:eastAsia="Courier New"/>
        </w:rPr>
        <w:t xml:space="preserve">Fr. </w:t>
      </w:r>
      <w:r w:rsidRPr="00E9210E">
        <w:rPr>
          <w:rFonts w:eastAsia="Courier New"/>
          <w:smallCaps/>
        </w:rPr>
        <w:t>Balducci Pegolotti</w:t>
      </w:r>
      <w:r w:rsidRPr="00E9210E">
        <w:rPr>
          <w:rFonts w:eastAsia="Courier New"/>
        </w:rPr>
        <w:t xml:space="preserve">, </w:t>
      </w:r>
      <w:r w:rsidRPr="00E9210E">
        <w:rPr>
          <w:rFonts w:eastAsia="Courier New"/>
          <w:i/>
        </w:rPr>
        <w:t>La prat</w:t>
      </w:r>
      <w:r w:rsidRPr="00E9210E">
        <w:rPr>
          <w:rFonts w:eastAsia="Courier New"/>
          <w:i/>
        </w:rPr>
        <w:t>i</w:t>
      </w:r>
      <w:r w:rsidRPr="00E9210E">
        <w:rPr>
          <w:rFonts w:eastAsia="Courier New"/>
          <w:i/>
        </w:rPr>
        <w:t>ca della mercatura</w:t>
      </w:r>
      <w:r w:rsidRPr="00E9210E">
        <w:rPr>
          <w:rFonts w:eastAsia="Courier New"/>
        </w:rPr>
        <w:t xml:space="preserve">, </w:t>
      </w:r>
      <w:r w:rsidRPr="00E9210E">
        <w:rPr>
          <w:rFonts w:eastAsia="Courier New"/>
          <w:i/>
        </w:rPr>
        <w:t>edited by A. Evans</w:t>
      </w:r>
      <w:r w:rsidRPr="00E9210E">
        <w:rPr>
          <w:rFonts w:eastAsia="Courier New"/>
        </w:rPr>
        <w:t>,</w:t>
      </w:r>
      <w:r w:rsidRPr="00E9210E">
        <w:t xml:space="preserve"> Cambridge, 1936), « A.H.E.S. », t. X (1938), pp. 140-141.</w:t>
      </w:r>
    </w:p>
    <w:p w14:paraId="33CE566E"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Grandeur et déclin d’une colonie Scandinave. (Compte rendu : P. </w:t>
      </w:r>
      <w:r w:rsidRPr="00E9210E">
        <w:rPr>
          <w:rStyle w:val="Corpsdutexte117ptGrasNonItaliqueEspacement0pt"/>
          <w:rFonts w:eastAsia="Courier New"/>
          <w:b w:val="0"/>
          <w:i w:val="0"/>
          <w:iCs w:val="0"/>
          <w:smallCaps/>
          <w:sz w:val="28"/>
          <w:lang w:val="fr-CA"/>
        </w:rPr>
        <w:t>Norlund</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Viking Settlers in Greenland and their descendants d</w:t>
      </w:r>
      <w:r w:rsidRPr="00E9210E">
        <w:rPr>
          <w:rFonts w:eastAsia="Courier New"/>
          <w:i/>
        </w:rPr>
        <w:t>u</w:t>
      </w:r>
      <w:r w:rsidRPr="00E9210E">
        <w:rPr>
          <w:rFonts w:eastAsia="Courier New"/>
          <w:i/>
        </w:rPr>
        <w:t>ring five hundred years</w:t>
      </w:r>
      <w:r w:rsidRPr="00E9210E">
        <w:rPr>
          <w:rFonts w:eastAsia="Courier New"/>
        </w:rPr>
        <w:t>,</w:t>
      </w:r>
      <w:r w:rsidRPr="00E9210E">
        <w:rPr>
          <w:rStyle w:val="Corpsdutexte11NonItaliqueEspacement0pt"/>
          <w:rFonts w:eastAsia="Courier New"/>
          <w:i w:val="0"/>
          <w:iCs w:val="0"/>
          <w:sz w:val="28"/>
          <w:lang w:val="fr-CA"/>
        </w:rPr>
        <w:t xml:space="preserve"> Londres, 1936)</w:t>
      </w:r>
      <w:r w:rsidRPr="00E9210E">
        <w:t>, « A.H.E.S. », t. X (1938), pp. 143-145.</w:t>
      </w:r>
    </w:p>
    <w:p w14:paraId="0DD68BDC" w14:textId="77777777" w:rsidR="00B9662D" w:rsidRPr="00E9210E" w:rsidRDefault="00B9662D" w:rsidP="00B9662D">
      <w:pPr>
        <w:spacing w:before="120" w:after="120"/>
        <w:jc w:val="both"/>
      </w:pPr>
      <w:r w:rsidRPr="00E9210E">
        <w:t xml:space="preserve">La seigneurie anglaise du Moyen Âge : résultats et méthodes. (Compte rendu : H. S. </w:t>
      </w:r>
      <w:r w:rsidRPr="00E9210E">
        <w:rPr>
          <w:rStyle w:val="Corpsdutexte27ptGras"/>
          <w:rFonts w:eastAsia="Courier New"/>
          <w:b w:val="0"/>
          <w:smallCaps/>
          <w:sz w:val="28"/>
        </w:rPr>
        <w:t>Benett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ItaliqueEspacement1pt"/>
          <w:rFonts w:eastAsia="Courier New"/>
          <w:sz w:val="28"/>
          <w:lang w:val="fr-CA"/>
        </w:rPr>
        <w:t>Life</w:t>
      </w:r>
      <w:r w:rsidRPr="00E9210E">
        <w:rPr>
          <w:rFonts w:eastAsia="Courier New"/>
        </w:rPr>
        <w:t xml:space="preserve"> </w:t>
      </w:r>
      <w:r w:rsidRPr="00E9210E">
        <w:rPr>
          <w:rFonts w:eastAsia="Courier New"/>
          <w:i/>
        </w:rPr>
        <w:t>on the english manor : a study of pe</w:t>
      </w:r>
      <w:r w:rsidRPr="00E9210E">
        <w:rPr>
          <w:rFonts w:eastAsia="Courier New"/>
          <w:i/>
        </w:rPr>
        <w:t>a</w:t>
      </w:r>
      <w:r w:rsidRPr="00E9210E">
        <w:rPr>
          <w:rFonts w:eastAsia="Courier New"/>
          <w:i/>
        </w:rPr>
        <w:t>sant conditions</w:t>
      </w:r>
      <w:r w:rsidRPr="00E9210E">
        <w:rPr>
          <w:rFonts w:eastAsia="Courier New"/>
        </w:rPr>
        <w:t xml:space="preserve">, </w:t>
      </w:r>
      <w:r w:rsidRPr="00E9210E">
        <w:rPr>
          <w:rStyle w:val="Corpsdutexte28ptItalique"/>
          <w:rFonts w:eastAsia="Courier New"/>
          <w:sz w:val="28"/>
        </w:rPr>
        <w:t>1150- 1400,</w:t>
      </w:r>
      <w:r w:rsidRPr="00E9210E">
        <w:rPr>
          <w:rStyle w:val="Corpsdutexte28ptGraschelle120"/>
          <w:rFonts w:eastAsia="Courier New"/>
          <w:sz w:val="28"/>
        </w:rPr>
        <w:t xml:space="preserve"> </w:t>
      </w:r>
      <w:r w:rsidRPr="00E9210E">
        <w:t>Cambridge, 1937), « A.H.E.S. », t. X (1938), pp. 147-151.</w:t>
      </w:r>
    </w:p>
    <w:p w14:paraId="7AC03EDA" w14:textId="77777777" w:rsidR="00B9662D" w:rsidRPr="00E9210E" w:rsidRDefault="00B9662D" w:rsidP="00B9662D">
      <w:pPr>
        <w:spacing w:before="120" w:after="120"/>
        <w:jc w:val="both"/>
      </w:pPr>
      <w:r w:rsidRPr="00E9210E">
        <w:rPr>
          <w:rFonts w:eastAsia="Courier New"/>
        </w:rPr>
        <w:t>[1088]</w:t>
      </w:r>
    </w:p>
    <w:p w14:paraId="3C38196C"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Moines blancs et chevaliers moines. (Comptes rendus : Père J. M. </w:t>
      </w:r>
      <w:r w:rsidRPr="00E9210E">
        <w:rPr>
          <w:rStyle w:val="Corpsdutexte37ptGrasNonItalique"/>
          <w:rFonts w:eastAsia="Courier New"/>
          <w:b w:val="0"/>
          <w:i w:val="0"/>
          <w:iCs w:val="0"/>
          <w:sz w:val="28"/>
        </w:rPr>
        <w:t>Canivez,</w:t>
      </w:r>
      <w:r w:rsidRPr="00E9210E">
        <w:rPr>
          <w:rStyle w:val="Corpsdutexte37ptGrasNonItalique"/>
          <w:rFonts w:eastAsia="Courier New"/>
          <w:i w:val="0"/>
          <w:iCs w:val="0"/>
          <w:sz w:val="28"/>
        </w:rPr>
        <w:t xml:space="preserve"> </w:t>
      </w:r>
      <w:r w:rsidRPr="00E9210E">
        <w:rPr>
          <w:i/>
        </w:rPr>
        <w:t>Statuta capitulorum generalium ordinis Cisterciensis ab a</w:t>
      </w:r>
      <w:r w:rsidRPr="00E9210E">
        <w:rPr>
          <w:i/>
        </w:rPr>
        <w:t>n</w:t>
      </w:r>
      <w:r w:rsidRPr="00E9210E">
        <w:rPr>
          <w:i/>
        </w:rPr>
        <w:t>no 1116 ad annum 1786</w:t>
      </w:r>
      <w:r w:rsidRPr="00E9210E">
        <w:rPr>
          <w:rFonts w:eastAsia="Courier New"/>
        </w:rPr>
        <w:t>,</w:t>
      </w:r>
      <w:r w:rsidRPr="00E9210E">
        <w:rPr>
          <w:rStyle w:val="Corpsdutexte385ptNonItalique"/>
          <w:rFonts w:eastAsia="Courier New"/>
          <w:i w:val="0"/>
          <w:iCs w:val="0"/>
          <w:sz w:val="28"/>
        </w:rPr>
        <w:t xml:space="preserve"> t. III, Louvain, 1935. — E. J. </w:t>
      </w:r>
      <w:r w:rsidRPr="00E9210E">
        <w:rPr>
          <w:rStyle w:val="Corpsdutexte37ptGrasNonItalique"/>
          <w:rFonts w:eastAsia="Courier New"/>
          <w:b w:val="0"/>
          <w:i w:val="0"/>
          <w:iCs w:val="0"/>
          <w:smallCaps/>
          <w:sz w:val="28"/>
        </w:rPr>
        <w:t>King</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The raie, statutes and customs of the Hospitaliers (1099-1310), with intr</w:t>
      </w:r>
      <w:r w:rsidRPr="00E9210E">
        <w:rPr>
          <w:i/>
        </w:rPr>
        <w:t>o</w:t>
      </w:r>
      <w:r w:rsidRPr="00E9210E">
        <w:rPr>
          <w:i/>
        </w:rPr>
        <w:t>ductory chapters and notes</w:t>
      </w:r>
      <w:r w:rsidRPr="00E9210E">
        <w:rPr>
          <w:rStyle w:val="Corpsdutexte385ptNonItalique"/>
          <w:rFonts w:eastAsia="Courier New"/>
          <w:i w:val="0"/>
          <w:iCs w:val="0"/>
          <w:sz w:val="28"/>
        </w:rPr>
        <w:t>, Londres, 1934), « A.H.E.S. », t. X (1938), pp. 163-164.</w:t>
      </w:r>
    </w:p>
    <w:p w14:paraId="4F34112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Une monographie sur la dîme. (Compte rendu : W. </w:t>
      </w:r>
      <w:r w:rsidRPr="00E9210E">
        <w:rPr>
          <w:rStyle w:val="Corpsdutexte37ptGrasNonItalique"/>
          <w:rFonts w:eastAsia="Courier New"/>
          <w:b w:val="0"/>
          <w:i w:val="0"/>
          <w:iCs w:val="0"/>
          <w:smallCaps/>
          <w:sz w:val="28"/>
        </w:rPr>
        <w:t>Plöchl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Das kircliliche Zehentwesen in Niederösterreich : ein Beitrag zur mittela</w:t>
      </w:r>
      <w:r w:rsidRPr="00E9210E">
        <w:rPr>
          <w:i/>
        </w:rPr>
        <w:t>l</w:t>
      </w:r>
      <w:r w:rsidRPr="00E9210E">
        <w:rPr>
          <w:i/>
        </w:rPr>
        <w:t>terlichen kirchlichen Rechtsgeschichte und zur Geschichte Oeste</w:t>
      </w:r>
      <w:r w:rsidRPr="00E9210E">
        <w:rPr>
          <w:i/>
        </w:rPr>
        <w:t>r</w:t>
      </w:r>
      <w:r w:rsidRPr="00E9210E">
        <w:rPr>
          <w:i/>
        </w:rPr>
        <w:t>reichs</w:t>
      </w:r>
      <w:r w:rsidRPr="00E9210E">
        <w:rPr>
          <w:rStyle w:val="Corpsdutexte385ptNonItalique"/>
          <w:rFonts w:eastAsia="Courier New"/>
          <w:i w:val="0"/>
          <w:iCs w:val="0"/>
          <w:sz w:val="28"/>
        </w:rPr>
        <w:t>, Vienne, 1935), t. X (1938), pp. 164-165.</w:t>
      </w:r>
    </w:p>
    <w:p w14:paraId="1B8426D2" w14:textId="77777777" w:rsidR="00B9662D" w:rsidRPr="00E9210E" w:rsidRDefault="00B9662D" w:rsidP="00B9662D">
      <w:pPr>
        <w:spacing w:before="120" w:after="120"/>
        <w:jc w:val="both"/>
      </w:pPr>
      <w:r w:rsidRPr="00E9210E">
        <w:t xml:space="preserve">L’ancien dossier d’un prieuré normand. (Compte rendu : P. </w:t>
      </w:r>
      <w:r w:rsidRPr="00E9210E">
        <w:rPr>
          <w:rStyle w:val="Corpsdutexte27ptGras"/>
          <w:rFonts w:eastAsia="Courier New"/>
          <w:b w:val="0"/>
          <w:smallCaps/>
          <w:sz w:val="28"/>
        </w:rPr>
        <w:t>Le Cacheux</w:t>
      </w:r>
      <w:r w:rsidRPr="00E9210E">
        <w:rPr>
          <w:rStyle w:val="Corpsdutexte27ptGras"/>
          <w:rFonts w:eastAsia="Courier New"/>
          <w:b w:val="0"/>
          <w:sz w:val="28"/>
        </w:rPr>
        <w:t xml:space="preserve">, </w:t>
      </w:r>
      <w:r w:rsidRPr="00E9210E">
        <w:rPr>
          <w:rStyle w:val="Corpsdutexte28ptItalique"/>
          <w:rFonts w:eastAsia="Courier New"/>
          <w:sz w:val="28"/>
        </w:rPr>
        <w:t>Chartes du prieuré de Longueville de l’Ordre de Cluny au diocèse de Rouen antérieures à 1204</w:t>
      </w:r>
      <w:r w:rsidRPr="00E9210E">
        <w:rPr>
          <w:rStyle w:val="Corpsdutexte28ptGraschelle120"/>
          <w:rFonts w:eastAsia="Courier New"/>
          <w:sz w:val="28"/>
        </w:rPr>
        <w:t xml:space="preserve">, </w:t>
      </w:r>
      <w:r w:rsidRPr="00E9210E">
        <w:t>Paris, 1934), « A.H.E.S. », t. X (1938), pp. 165-166.</w:t>
      </w:r>
    </w:p>
    <w:p w14:paraId="37D20B99" w14:textId="77777777" w:rsidR="00B9662D" w:rsidRPr="00E9210E" w:rsidRDefault="00B9662D" w:rsidP="00B9662D">
      <w:pPr>
        <w:spacing w:before="120" w:after="120"/>
        <w:jc w:val="both"/>
      </w:pPr>
      <w:r w:rsidRPr="00E9210E">
        <w:t xml:space="preserve">Chez les prêtres de paroisse. (Compte rendu : P. </w:t>
      </w:r>
      <w:r w:rsidRPr="00E9210E">
        <w:rPr>
          <w:rStyle w:val="Corpsdutexte27ptGras"/>
          <w:rFonts w:eastAsia="Courier New"/>
          <w:b w:val="0"/>
          <w:smallCaps/>
          <w:sz w:val="28"/>
        </w:rPr>
        <w:t>Andrieu-Guitrancourt</w:t>
      </w:r>
      <w:r w:rsidRPr="00E9210E">
        <w:rPr>
          <w:rStyle w:val="Corpsdutexte27ptGras"/>
          <w:rFonts w:eastAsia="Courier New"/>
          <w:b w:val="0"/>
          <w:sz w:val="28"/>
        </w:rPr>
        <w:t xml:space="preserve">, </w:t>
      </w:r>
      <w:r w:rsidRPr="00E9210E">
        <w:rPr>
          <w:rFonts w:eastAsia="Courier New"/>
          <w:i/>
        </w:rPr>
        <w:t>E</w:t>
      </w:r>
      <w:r w:rsidRPr="00E9210E">
        <w:rPr>
          <w:rFonts w:eastAsia="Courier New"/>
          <w:i/>
        </w:rPr>
        <w:t>s</w:t>
      </w:r>
      <w:r w:rsidRPr="00E9210E">
        <w:rPr>
          <w:rFonts w:eastAsia="Courier New"/>
          <w:i/>
        </w:rPr>
        <w:t>sai</w:t>
      </w:r>
      <w:r w:rsidRPr="00E9210E">
        <w:rPr>
          <w:rFonts w:eastAsia="Courier New"/>
          <w:b/>
          <w:i/>
        </w:rPr>
        <w:t xml:space="preserve"> </w:t>
      </w:r>
      <w:r w:rsidRPr="00E9210E">
        <w:rPr>
          <w:rFonts w:eastAsia="Courier New"/>
          <w:i/>
        </w:rPr>
        <w:t>sur l’évolution du décanat rural en Angleterre d’après les conciles des</w:t>
      </w:r>
      <w:r w:rsidRPr="00E9210E">
        <w:rPr>
          <w:rFonts w:eastAsia="Courier New"/>
        </w:rPr>
        <w:t xml:space="preserve"> </w:t>
      </w:r>
      <w:r w:rsidRPr="00E9210E">
        <w:rPr>
          <w:rStyle w:val="Corpsdutexte28ptItaliqueEspacement1pt"/>
          <w:rFonts w:eastAsia="Courier New"/>
          <w:sz w:val="28"/>
        </w:rPr>
        <w:t>XII</w:t>
      </w:r>
      <w:r w:rsidRPr="00E9210E">
        <w:rPr>
          <w:rStyle w:val="Corpsdutexte28ptItaliqueEspacement1pt"/>
          <w:rFonts w:eastAsia="Courier New"/>
          <w:sz w:val="28"/>
          <w:vertAlign w:val="superscript"/>
        </w:rPr>
        <w:t>e</w:t>
      </w:r>
      <w:r w:rsidRPr="00E9210E">
        <w:rPr>
          <w:rStyle w:val="Corpsdutexte28ptItaliqueEspacement1pt"/>
          <w:rFonts w:eastAsia="Courier New"/>
          <w:sz w:val="28"/>
        </w:rPr>
        <w:t>, XIII</w:t>
      </w:r>
      <w:r w:rsidRPr="00E9210E">
        <w:rPr>
          <w:rStyle w:val="Corpsdutexte28ptItaliqueEspacement1pt"/>
          <w:rFonts w:eastAsia="Courier New"/>
          <w:sz w:val="28"/>
          <w:vertAlign w:val="superscript"/>
        </w:rPr>
        <w:t xml:space="preserve">e </w:t>
      </w:r>
      <w:r w:rsidRPr="00E9210E">
        <w:rPr>
          <w:rFonts w:eastAsia="Courier New"/>
        </w:rPr>
        <w:t xml:space="preserve">et </w:t>
      </w:r>
      <w:r w:rsidRPr="00E9210E">
        <w:rPr>
          <w:rStyle w:val="Corpsdutexte28ptItaliqueEspacement1pt"/>
          <w:rFonts w:eastAsia="Courier New"/>
          <w:sz w:val="28"/>
        </w:rPr>
        <w:t>XIV</w:t>
      </w:r>
      <w:r w:rsidRPr="00E9210E">
        <w:rPr>
          <w:rStyle w:val="Corpsdutexte28ptItaliqueEspacement1pt"/>
          <w:rFonts w:eastAsia="Courier New"/>
          <w:sz w:val="28"/>
          <w:vertAlign w:val="superscript"/>
        </w:rPr>
        <w:t>e</w:t>
      </w:r>
      <w:r w:rsidRPr="00E9210E">
        <w:rPr>
          <w:rStyle w:val="Corpsdutexte28ptItalique"/>
          <w:rFonts w:eastAsia="Courier New"/>
          <w:sz w:val="28"/>
        </w:rPr>
        <w:t xml:space="preserve"> </w:t>
      </w:r>
      <w:r w:rsidRPr="00E9210E">
        <w:rPr>
          <w:rFonts w:eastAsia="Courier New"/>
          <w:i/>
        </w:rPr>
        <w:t>siècles</w:t>
      </w:r>
      <w:r w:rsidRPr="00E9210E">
        <w:rPr>
          <w:rFonts w:eastAsia="Courier New"/>
        </w:rPr>
        <w:t>,</w:t>
      </w:r>
      <w:r w:rsidRPr="00E9210E">
        <w:t xml:space="preserve"> Paris, 1935), « A.H.E.S. », t. X (1938), p. 167.</w:t>
      </w:r>
    </w:p>
    <w:p w14:paraId="1013C719"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L’organisation ouvrière. (Compte rendu : A. </w:t>
      </w:r>
      <w:r w:rsidRPr="00E9210E">
        <w:rPr>
          <w:rStyle w:val="Corpsdutexte37ptGrasNonItalique"/>
          <w:rFonts w:eastAsia="Courier New"/>
          <w:b w:val="0"/>
          <w:i w:val="0"/>
          <w:iCs w:val="0"/>
          <w:smallCaps/>
          <w:sz w:val="28"/>
        </w:rPr>
        <w:t>Philip</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Trade-unionisme et syndicalisme. Le trade-unionisme en Grande-Bretagne et aux États-Unis. Le synd</w:t>
      </w:r>
      <w:r w:rsidRPr="00E9210E">
        <w:rPr>
          <w:i/>
        </w:rPr>
        <w:t>i</w:t>
      </w:r>
      <w:r w:rsidRPr="00E9210E">
        <w:rPr>
          <w:i/>
        </w:rPr>
        <w:t>calisme français. La C.G.T. et le mouvement syndical depuis sa sci</w:t>
      </w:r>
      <w:r w:rsidRPr="00E9210E">
        <w:rPr>
          <w:i/>
        </w:rPr>
        <w:t>s</w:t>
      </w:r>
      <w:r w:rsidRPr="00E9210E">
        <w:rPr>
          <w:i/>
        </w:rPr>
        <w:t>sion</w:t>
      </w:r>
      <w:r w:rsidRPr="00E9210E">
        <w:rPr>
          <w:rStyle w:val="Corpsdutexte385ptNonItalique"/>
          <w:rFonts w:eastAsia="Courier New"/>
          <w:i w:val="0"/>
          <w:iCs w:val="0"/>
          <w:sz w:val="28"/>
        </w:rPr>
        <w:t>, Paris, 1936), « A.H.E.S. », t. X (1938), p. 170.</w:t>
      </w:r>
    </w:p>
    <w:p w14:paraId="61C9CDBE" w14:textId="77777777" w:rsidR="00B9662D" w:rsidRPr="00E9210E" w:rsidRDefault="00B9662D" w:rsidP="00B9662D">
      <w:pPr>
        <w:spacing w:before="120" w:after="120"/>
        <w:jc w:val="both"/>
      </w:pPr>
      <w:r w:rsidRPr="00E9210E">
        <w:t xml:space="preserve">Une gageure. (Compte rendu : M. M. </w:t>
      </w:r>
      <w:r w:rsidRPr="00E9210E">
        <w:rPr>
          <w:rStyle w:val="Corpsdutexte27ptGras"/>
          <w:rFonts w:eastAsia="Courier New"/>
          <w:b w:val="0"/>
          <w:smallCaps/>
          <w:sz w:val="28"/>
        </w:rPr>
        <w:t>Gorce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Clovis</w:t>
      </w:r>
      <w:r w:rsidRPr="00E9210E">
        <w:rPr>
          <w:rFonts w:eastAsia="Courier New"/>
        </w:rPr>
        <w:t xml:space="preserve"> </w:t>
      </w:r>
      <w:r w:rsidRPr="00E9210E">
        <w:rPr>
          <w:rStyle w:val="Corpsdutexte28ptItalique"/>
          <w:rFonts w:eastAsia="Courier New"/>
          <w:sz w:val="28"/>
        </w:rPr>
        <w:t>(465-511</w:t>
      </w:r>
      <w:r w:rsidRPr="00E9210E">
        <w:rPr>
          <w:rFonts w:eastAsia="Courier New"/>
        </w:rPr>
        <w:t>),</w:t>
      </w:r>
      <w:r w:rsidRPr="00E9210E">
        <w:t xml:space="preserve"> Paris, 1935), « A.H.E.S. », t. X (1938), pp. 173-174.</w:t>
      </w:r>
    </w:p>
    <w:p w14:paraId="15E6CCB1"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Questions féodales. (Comptes rendus : H. </w:t>
      </w:r>
      <w:r w:rsidRPr="00E9210E">
        <w:rPr>
          <w:rStyle w:val="Corpsdutexte37ptGrasNonItalique"/>
          <w:rFonts w:eastAsia="Courier New"/>
          <w:b w:val="0"/>
          <w:i w:val="0"/>
          <w:iCs w:val="0"/>
          <w:smallCaps/>
          <w:sz w:val="28"/>
        </w:rPr>
        <w:t>Krawinkel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Zur Entst</w:t>
      </w:r>
      <w:r w:rsidRPr="00E9210E">
        <w:rPr>
          <w:i/>
        </w:rPr>
        <w:t>e</w:t>
      </w:r>
      <w:r w:rsidRPr="00E9210E">
        <w:rPr>
          <w:i/>
        </w:rPr>
        <w:t>hung des Lehnwesens</w:t>
      </w:r>
      <w:r w:rsidRPr="00E9210E">
        <w:t xml:space="preserve">, </w:t>
      </w:r>
      <w:r w:rsidRPr="00E9210E">
        <w:rPr>
          <w:rStyle w:val="Corpsdutexte385ptNonItalique"/>
          <w:rFonts w:eastAsia="Courier New"/>
          <w:i w:val="0"/>
          <w:iCs w:val="0"/>
          <w:sz w:val="28"/>
        </w:rPr>
        <w:t xml:space="preserve">Weimar, 1936). — Fr. L. </w:t>
      </w:r>
      <w:r w:rsidRPr="00E9210E">
        <w:rPr>
          <w:rStyle w:val="Corpsdutexte37ptGrasNonItalique"/>
          <w:rFonts w:eastAsia="Courier New"/>
          <w:b w:val="0"/>
          <w:i w:val="0"/>
          <w:iCs w:val="0"/>
          <w:smallCaps/>
          <w:sz w:val="28"/>
        </w:rPr>
        <w:t>Ganshof</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Notes sur les origines de l’union du bénéfice avec la vassalité</w:t>
      </w:r>
      <w:r w:rsidRPr="00E9210E">
        <w:rPr>
          <w:rStyle w:val="Corpsdutexte385ptNonItalique"/>
          <w:rFonts w:eastAsia="Courier New"/>
          <w:i w:val="0"/>
          <w:iCs w:val="0"/>
          <w:sz w:val="28"/>
        </w:rPr>
        <w:t xml:space="preserve">, dans </w:t>
      </w:r>
      <w:r w:rsidRPr="00E9210E">
        <w:rPr>
          <w:i/>
        </w:rPr>
        <w:t>Études d’histoire dédiées à la mémoire d’Henri Pirenne</w:t>
      </w:r>
      <w:r w:rsidRPr="00E9210E">
        <w:t xml:space="preserve">, </w:t>
      </w:r>
      <w:r w:rsidRPr="00E9210E">
        <w:rPr>
          <w:rStyle w:val="Corpsdutexte385ptNonItalique"/>
          <w:rFonts w:eastAsia="Courier New"/>
          <w:i w:val="0"/>
          <w:iCs w:val="0"/>
          <w:sz w:val="28"/>
        </w:rPr>
        <w:t>pp. 173-189, Bruxelles, 1937), « A.H.E.S. », t. X (1938), pp. 174-175.</w:t>
      </w:r>
    </w:p>
    <w:p w14:paraId="52474D89" w14:textId="77777777" w:rsidR="00B9662D" w:rsidRPr="00E9210E" w:rsidRDefault="00B9662D" w:rsidP="00B9662D">
      <w:pPr>
        <w:spacing w:before="120" w:after="120"/>
        <w:jc w:val="both"/>
      </w:pPr>
      <w:r w:rsidRPr="00E9210E">
        <w:t xml:space="preserve">Un essai de psychologie collective. (Compte rendu : J. </w:t>
      </w:r>
      <w:r w:rsidRPr="00E9210E">
        <w:rPr>
          <w:rStyle w:val="Corpsdutexte27ptGras"/>
          <w:rFonts w:eastAsia="Courier New"/>
          <w:b w:val="0"/>
          <w:smallCaps/>
          <w:sz w:val="28"/>
        </w:rPr>
        <w:t>Schultz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Wa</w:t>
      </w:r>
      <w:r w:rsidRPr="00E9210E">
        <w:rPr>
          <w:rFonts w:eastAsia="Courier New"/>
          <w:i/>
        </w:rPr>
        <w:t>n</w:t>
      </w:r>
      <w:r w:rsidRPr="00E9210E">
        <w:rPr>
          <w:rFonts w:eastAsia="Courier New"/>
          <w:i/>
        </w:rPr>
        <w:t>dlungen der Seele im Hochmittelalter.</w:t>
      </w:r>
      <w:r w:rsidRPr="00E9210E">
        <w:rPr>
          <w:i/>
        </w:rPr>
        <w:t xml:space="preserve"> Bd. I, </w:t>
      </w:r>
      <w:r w:rsidRPr="00E9210E">
        <w:rPr>
          <w:rFonts w:eastAsia="Courier New"/>
          <w:i/>
        </w:rPr>
        <w:t>Gesellschaft, Staat und Politik</w:t>
      </w:r>
      <w:r w:rsidRPr="00E9210E">
        <w:rPr>
          <w:i/>
        </w:rPr>
        <w:t xml:space="preserve">, Bd. II, </w:t>
      </w:r>
      <w:r w:rsidRPr="00E9210E">
        <w:rPr>
          <w:rFonts w:eastAsia="Courier New"/>
          <w:i/>
        </w:rPr>
        <w:t>Die Welt der Seele</w:t>
      </w:r>
      <w:r w:rsidRPr="00E9210E">
        <w:t>, Breslau, 1936), « A.H.E.S. », t. X (1938), pp. 175-176.</w:t>
      </w:r>
    </w:p>
    <w:p w14:paraId="14765332" w14:textId="77777777" w:rsidR="00B9662D" w:rsidRPr="00E9210E" w:rsidRDefault="00B9662D" w:rsidP="00B9662D">
      <w:pPr>
        <w:spacing w:before="120" w:after="120"/>
        <w:jc w:val="both"/>
      </w:pPr>
      <w:r w:rsidRPr="00E9210E">
        <w:t>La formation des grandes monarchies occidentales.</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(Compte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 : </w:t>
      </w:r>
      <w:r w:rsidRPr="00E9210E">
        <w:rPr>
          <w:i/>
        </w:rPr>
        <w:t>Hi</w:t>
      </w:r>
      <w:r w:rsidRPr="00E9210E">
        <w:rPr>
          <w:i/>
        </w:rPr>
        <w:t>s</w:t>
      </w:r>
      <w:r w:rsidRPr="00E9210E">
        <w:rPr>
          <w:i/>
        </w:rPr>
        <w:t>toire du Moyen Âge</w:t>
      </w:r>
      <w:r w:rsidRPr="00E9210E">
        <w:rPr>
          <w:rStyle w:val="Corpsdutexte385ptNonItalique"/>
          <w:rFonts w:eastAsia="Courier New"/>
          <w:i w:val="0"/>
          <w:iCs w:val="0"/>
          <w:sz w:val="28"/>
        </w:rPr>
        <w:t>, t. IV, 2</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partie : </w:t>
      </w:r>
      <w:r w:rsidRPr="00E9210E">
        <w:rPr>
          <w:i/>
        </w:rPr>
        <w:t>L’essor des États d’Occident (France</w:t>
      </w:r>
      <w:r w:rsidRPr="00E9210E">
        <w:rPr>
          <w:rFonts w:eastAsia="Courier New"/>
          <w:i/>
        </w:rPr>
        <w:t xml:space="preserve">, </w:t>
      </w:r>
      <w:r w:rsidRPr="00E9210E">
        <w:rPr>
          <w:i/>
        </w:rPr>
        <w:t>Angleterre</w:t>
      </w:r>
      <w:r w:rsidRPr="00E9210E">
        <w:rPr>
          <w:rFonts w:eastAsia="Courier New"/>
          <w:i/>
        </w:rPr>
        <w:t xml:space="preserve">, </w:t>
      </w:r>
      <w:r w:rsidRPr="00E9210E">
        <w:rPr>
          <w:i/>
        </w:rPr>
        <w:t>Péninsule Ibérique),</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Paris, 1937 [Coll. </w:t>
      </w:r>
      <w:r w:rsidRPr="00E9210E">
        <w:rPr>
          <w:i/>
        </w:rPr>
        <w:t>Histoire générale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sous la direction de G. </w:t>
      </w:r>
      <w:r w:rsidRPr="00E9210E">
        <w:rPr>
          <w:rStyle w:val="Corpsdutexte37ptGrasNonItalique"/>
          <w:rFonts w:eastAsia="Courier New"/>
          <w:b w:val="0"/>
          <w:i w:val="0"/>
          <w:iCs w:val="0"/>
          <w:smallCaps/>
          <w:sz w:val="28"/>
        </w:rPr>
        <w:t>Glotz</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A.H.E.S. », t. X (1938), pp. 176-178.</w:t>
      </w:r>
    </w:p>
    <w:p w14:paraId="1A625126" w14:textId="77777777" w:rsidR="00B9662D" w:rsidRPr="00E9210E" w:rsidRDefault="00B9662D" w:rsidP="00B9662D">
      <w:pPr>
        <w:spacing w:before="120" w:after="120"/>
        <w:jc w:val="both"/>
      </w:pPr>
      <w:r w:rsidRPr="00E9210E">
        <w:t xml:space="preserve">Notre Nord. (Compte rendu : P. </w:t>
      </w:r>
      <w:r w:rsidRPr="00E9210E">
        <w:rPr>
          <w:rStyle w:val="Corpsdutexte27ptGras"/>
          <w:rFonts w:eastAsia="Courier New"/>
          <w:b w:val="0"/>
          <w:smallCaps/>
          <w:sz w:val="28"/>
        </w:rPr>
        <w:t>Thomas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Textes historiques sur Lille et le Nord de la France avant 1789,</w:t>
      </w:r>
      <w:r w:rsidRPr="00E9210E">
        <w:rPr>
          <w:rStyle w:val="Corpsdutexte28ptGraschelle120"/>
          <w:rFonts w:eastAsia="Courier New"/>
          <w:sz w:val="28"/>
        </w:rPr>
        <w:t xml:space="preserve"> </w:t>
      </w:r>
      <w:r w:rsidRPr="00E9210E">
        <w:t>vol. 2, Paris, Lille, 1936), « A.H.E.S. », t. X (1938), p. 182.</w:t>
      </w:r>
    </w:p>
    <w:p w14:paraId="48CFEA2F" w14:textId="77777777" w:rsidR="00B9662D" w:rsidRPr="00E9210E" w:rsidRDefault="00B9662D" w:rsidP="00B9662D">
      <w:pPr>
        <w:spacing w:before="120" w:after="120"/>
        <w:jc w:val="both"/>
      </w:pPr>
      <w:r w:rsidRPr="00E9210E">
        <w:t xml:space="preserve">Comptes seigneuriaux. (Compte rendu : R. </w:t>
      </w:r>
      <w:r w:rsidRPr="00E9210E">
        <w:rPr>
          <w:rStyle w:val="Corpsdutexte27ptGras"/>
          <w:rFonts w:eastAsia="Courier New"/>
          <w:b w:val="0"/>
          <w:smallCaps/>
          <w:sz w:val="28"/>
        </w:rPr>
        <w:t>Dubois</w:t>
      </w:r>
      <w:r w:rsidRPr="00E9210E">
        <w:rPr>
          <w:rStyle w:val="Corpsdutexte27ptGras"/>
          <w:rFonts w:eastAsia="Courier New"/>
          <w:sz w:val="28"/>
        </w:rPr>
        <w:t xml:space="preserve"> </w:t>
      </w:r>
      <w:r w:rsidRPr="00E9210E">
        <w:t xml:space="preserve">et B. H. J. </w:t>
      </w:r>
      <w:r w:rsidRPr="00E9210E">
        <w:rPr>
          <w:rStyle w:val="Corpsdutexte27ptGras"/>
          <w:rFonts w:eastAsia="Courier New"/>
          <w:b w:val="0"/>
          <w:smallCaps/>
          <w:sz w:val="28"/>
        </w:rPr>
        <w:t>Weerenbeck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Comptes de la seigneurie de Lucheux (1427-1474).</w:t>
      </w:r>
      <w:r w:rsidRPr="00E9210E">
        <w:rPr>
          <w:rStyle w:val="Corpsdutexte28ptGraschelle120"/>
          <w:rFonts w:eastAsia="Courier New"/>
          <w:sz w:val="28"/>
        </w:rPr>
        <w:t xml:space="preserve"> </w:t>
      </w:r>
      <w:r w:rsidRPr="00E9210E">
        <w:t>I :</w:t>
      </w:r>
      <w:r w:rsidRPr="00E9210E">
        <w:rPr>
          <w:rStyle w:val="Corpsdutexte28ptGraschelle120"/>
          <w:rFonts w:eastAsia="Courier New"/>
          <w:sz w:val="28"/>
        </w:rPr>
        <w:t xml:space="preserve"> </w:t>
      </w:r>
      <w:r w:rsidRPr="00E9210E">
        <w:rPr>
          <w:rStyle w:val="Corpsdutexte28ptItalique"/>
          <w:rFonts w:eastAsia="Courier New"/>
          <w:sz w:val="28"/>
        </w:rPr>
        <w:t>Textes,</w:t>
      </w:r>
      <w:r w:rsidRPr="00E9210E">
        <w:rPr>
          <w:rStyle w:val="Corpsdutexte28ptGraschelle120"/>
          <w:rFonts w:eastAsia="Courier New"/>
          <w:sz w:val="28"/>
        </w:rPr>
        <w:t xml:space="preserve"> </w:t>
      </w:r>
      <w:r w:rsidRPr="00E9210E">
        <w:t>Lille, 1935), « A.H.E.S. », t. X (1938), p. 182.</w:t>
      </w:r>
    </w:p>
    <w:p w14:paraId="6B57DC92" w14:textId="77777777" w:rsidR="00B9662D" w:rsidRPr="00E9210E" w:rsidRDefault="00B9662D" w:rsidP="00B9662D">
      <w:pPr>
        <w:spacing w:before="120" w:after="120"/>
        <w:jc w:val="both"/>
      </w:pPr>
      <w:r w:rsidRPr="00E9210E">
        <w:t xml:space="preserve">La crise du textile en Champagne avant la Révolution. (Compte rendu : P. </w:t>
      </w:r>
      <w:r w:rsidRPr="00E9210E">
        <w:rPr>
          <w:rStyle w:val="Corpsdutexte27ptGras"/>
          <w:rFonts w:eastAsia="Courier New"/>
          <w:b w:val="0"/>
          <w:smallCaps/>
          <w:sz w:val="28"/>
        </w:rPr>
        <w:t>Dupieux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L’industrie textile en Champagne troyenne de 1764 à 1789,</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Nouvelle revue de Cha</w:t>
      </w:r>
      <w:r w:rsidRPr="00E9210E">
        <w:rPr>
          <w:rStyle w:val="Corpsdutexte28ptItalique"/>
          <w:rFonts w:eastAsia="Courier New"/>
          <w:sz w:val="28"/>
        </w:rPr>
        <w:t>m</w:t>
      </w:r>
      <w:r w:rsidRPr="00E9210E">
        <w:rPr>
          <w:rStyle w:val="Corpsdutexte28ptItalique"/>
          <w:rFonts w:eastAsia="Courier New"/>
          <w:sz w:val="28"/>
        </w:rPr>
        <w:t>pagne et de Brie,</w:t>
      </w:r>
      <w:r w:rsidRPr="00E9210E">
        <w:rPr>
          <w:rStyle w:val="Corpsdutexte28ptGraschelle120"/>
          <w:rFonts w:eastAsia="Courier New"/>
          <w:sz w:val="28"/>
        </w:rPr>
        <w:t xml:space="preserve"> </w:t>
      </w:r>
      <w:r w:rsidRPr="00E9210E">
        <w:t>juillet 1935), « A.H.E.S. », t. X (1938), p. 183.</w:t>
      </w:r>
    </w:p>
    <w:p w14:paraId="24B5C287" w14:textId="77777777" w:rsidR="00B9662D" w:rsidRPr="00E9210E" w:rsidRDefault="00B9662D" w:rsidP="00B9662D">
      <w:pPr>
        <w:spacing w:before="120" w:after="120"/>
        <w:jc w:val="both"/>
      </w:pPr>
      <w:r w:rsidRPr="00E9210E">
        <w:t xml:space="preserve">Le cadastre en Maine-et-Loire. (Compte rendu : </w:t>
      </w:r>
      <w:r w:rsidRPr="00E9210E">
        <w:rPr>
          <w:rStyle w:val="Corpsdutexte28ptItalique"/>
          <w:rFonts w:eastAsia="Courier New"/>
          <w:sz w:val="28"/>
        </w:rPr>
        <w:t>Archives départ</w:t>
      </w:r>
      <w:r w:rsidRPr="00E9210E">
        <w:rPr>
          <w:rStyle w:val="Corpsdutexte28ptItalique"/>
          <w:rFonts w:eastAsia="Courier New"/>
          <w:sz w:val="28"/>
        </w:rPr>
        <w:t>e</w:t>
      </w:r>
      <w:r w:rsidRPr="00E9210E">
        <w:rPr>
          <w:rStyle w:val="Corpsdutexte28ptItalique"/>
          <w:rFonts w:eastAsia="Courier New"/>
          <w:sz w:val="28"/>
        </w:rPr>
        <w:t>mentales de Maine-et-Loire. Répertoire numérique des séries IV, V, VI,</w:t>
      </w:r>
      <w:r w:rsidRPr="00E9210E">
        <w:rPr>
          <w:rStyle w:val="Corpsdutexte28ptGraschelle120"/>
          <w:rFonts w:eastAsia="Courier New"/>
          <w:sz w:val="28"/>
        </w:rPr>
        <w:t xml:space="preserve"> </w:t>
      </w:r>
      <w:r w:rsidRPr="00E9210E">
        <w:t xml:space="preserve">Angers, 1937. </w:t>
      </w:r>
      <w:r w:rsidRPr="00E9210E">
        <w:rPr>
          <w:rStyle w:val="Corpsdutexte28ptItalique"/>
          <w:rFonts w:eastAsia="Courier New"/>
          <w:sz w:val="28"/>
        </w:rPr>
        <w:t xml:space="preserve">Avant-propos </w:t>
      </w:r>
      <w:r w:rsidRPr="00E9210E">
        <w:t xml:space="preserve">de J. </w:t>
      </w:r>
      <w:r w:rsidRPr="00E9210E">
        <w:rPr>
          <w:rStyle w:val="Corpsdutexte27ptGras"/>
          <w:rFonts w:eastAsia="Courier New"/>
          <w:b w:val="0"/>
          <w:smallCaps/>
          <w:sz w:val="28"/>
        </w:rPr>
        <w:t>Levron</w:t>
      </w:r>
      <w:r w:rsidRPr="00E9210E">
        <w:rPr>
          <w:rStyle w:val="Corpsdutexte27ptGras"/>
          <w:rFonts w:eastAsia="Courier New"/>
          <w:b w:val="0"/>
          <w:sz w:val="28"/>
        </w:rPr>
        <w:t>),</w:t>
      </w:r>
      <w:r w:rsidRPr="00E9210E">
        <w:rPr>
          <w:rStyle w:val="Corpsdutexte27ptGras"/>
          <w:rFonts w:eastAsia="Courier New"/>
          <w:sz w:val="28"/>
        </w:rPr>
        <w:t xml:space="preserve"> </w:t>
      </w:r>
      <w:r w:rsidRPr="00E9210E">
        <w:t>« A.H.E.S. », t. X (1938), p. 183.</w:t>
      </w:r>
    </w:p>
    <w:p w14:paraId="6BF487B0" w14:textId="77777777" w:rsidR="00B9662D" w:rsidRPr="00E9210E" w:rsidRDefault="00B9662D" w:rsidP="00B9662D">
      <w:pPr>
        <w:spacing w:before="120" w:after="120"/>
        <w:jc w:val="both"/>
      </w:pPr>
      <w:r w:rsidRPr="00E9210E">
        <w:t xml:space="preserve">Une seigneurie, un problème. (Compte rendu : G. </w:t>
      </w:r>
      <w:r w:rsidRPr="00E9210E">
        <w:rPr>
          <w:rStyle w:val="Corpsdutexte27ptGras"/>
          <w:rFonts w:eastAsia="Courier New"/>
          <w:b w:val="0"/>
          <w:smallCaps/>
          <w:sz w:val="28"/>
        </w:rPr>
        <w:t>Debien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Notes sur le château et la seigneurie de La Groie</w:t>
      </w:r>
      <w:r w:rsidRPr="00E9210E">
        <w:rPr>
          <w:rFonts w:eastAsia="Courier New"/>
        </w:rPr>
        <w:t>,</w:t>
      </w:r>
      <w:r w:rsidRPr="00E9210E">
        <w:t xml:space="preserve"> dans </w:t>
      </w:r>
      <w:r w:rsidRPr="00E9210E">
        <w:rPr>
          <w:rFonts w:eastAsia="Courier New"/>
          <w:i/>
        </w:rPr>
        <w:t>Bull. Société des A</w:t>
      </w:r>
      <w:r w:rsidRPr="00E9210E">
        <w:rPr>
          <w:rFonts w:eastAsia="Courier New"/>
          <w:i/>
        </w:rPr>
        <w:t>n</w:t>
      </w:r>
      <w:r w:rsidRPr="00E9210E">
        <w:rPr>
          <w:rFonts w:eastAsia="Courier New"/>
          <w:i/>
        </w:rPr>
        <w:t>tiqua</w:t>
      </w:r>
      <w:r w:rsidRPr="00E9210E">
        <w:rPr>
          <w:rFonts w:eastAsia="Courier New"/>
          <w:i/>
        </w:rPr>
        <w:t>i</w:t>
      </w:r>
      <w:r w:rsidRPr="00E9210E">
        <w:rPr>
          <w:rFonts w:eastAsia="Courier New"/>
          <w:i/>
        </w:rPr>
        <w:t>res de l’Ouest</w:t>
      </w:r>
      <w:r w:rsidRPr="00E9210E">
        <w:t xml:space="preserve"> (3</w:t>
      </w:r>
      <w:r w:rsidRPr="00E9210E">
        <w:rPr>
          <w:vertAlign w:val="superscript"/>
        </w:rPr>
        <w:t>e</w:t>
      </w:r>
      <w:r w:rsidRPr="00E9210E">
        <w:t xml:space="preserve"> série), 1936, p. 184-225), « A.H.E.S. », t. X (1938), pp. 183-184.</w:t>
      </w:r>
    </w:p>
    <w:p w14:paraId="1F065231" w14:textId="77777777" w:rsidR="00B9662D" w:rsidRPr="00E9210E" w:rsidRDefault="00B9662D" w:rsidP="00B9662D">
      <w:pPr>
        <w:spacing w:before="120" w:after="120"/>
        <w:jc w:val="both"/>
      </w:pPr>
      <w:r w:rsidRPr="00E9210E">
        <w:t xml:space="preserve">Vie intérieure d’un apanage. (Compte rendu : R. </w:t>
      </w:r>
      <w:r w:rsidRPr="00E9210E">
        <w:rPr>
          <w:rStyle w:val="Corpsdutexte27ptGras"/>
          <w:rFonts w:eastAsia="Courier New"/>
          <w:b w:val="0"/>
          <w:smallCaps/>
          <w:sz w:val="28"/>
        </w:rPr>
        <w:t>Lacour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go</w:t>
      </w:r>
      <w:r w:rsidRPr="00E9210E">
        <w:rPr>
          <w:rFonts w:eastAsia="Courier New"/>
          <w:i/>
        </w:rPr>
        <w:t>u</w:t>
      </w:r>
      <w:r w:rsidRPr="00E9210E">
        <w:rPr>
          <w:rFonts w:eastAsia="Courier New"/>
          <w:i/>
        </w:rPr>
        <w:t>ve</w:t>
      </w:r>
      <w:r w:rsidRPr="00E9210E">
        <w:rPr>
          <w:rFonts w:eastAsia="Courier New"/>
          <w:i/>
        </w:rPr>
        <w:t>r</w:t>
      </w:r>
      <w:r w:rsidRPr="00E9210E">
        <w:rPr>
          <w:rFonts w:eastAsia="Courier New"/>
          <w:i/>
        </w:rPr>
        <w:t>nement de l’apanage de Jean, duc de Berry :</w:t>
      </w:r>
      <w:r w:rsidRPr="00E9210E">
        <w:rPr>
          <w:rStyle w:val="Corpsdutexte28ptItalique"/>
          <w:rFonts w:eastAsia="Courier New"/>
          <w:sz w:val="28"/>
        </w:rPr>
        <w:t xml:space="preserve"> 1360-1416</w:t>
      </w:r>
      <w:r w:rsidRPr="00E9210E">
        <w:rPr>
          <w:rFonts w:eastAsia="Courier New"/>
        </w:rPr>
        <w:t>,</w:t>
      </w:r>
      <w:r w:rsidRPr="00E9210E">
        <w:t xml:space="preserve"> Paris, 1934), « A.H.E.S. », t. X (1938), pp. 184-185.</w:t>
      </w:r>
    </w:p>
    <w:p w14:paraId="508BE0D1" w14:textId="77777777" w:rsidR="00B9662D" w:rsidRDefault="00B9662D" w:rsidP="00B9662D">
      <w:pPr>
        <w:spacing w:before="120" w:after="120"/>
        <w:jc w:val="both"/>
      </w:pPr>
      <w:r w:rsidRPr="00E9210E">
        <w:t xml:space="preserve">Une émeute rurale en 1848. (Compte rendu : J. </w:t>
      </w:r>
      <w:r w:rsidRPr="00E9210E">
        <w:rPr>
          <w:rStyle w:val="Corpsdutexte27ptGras"/>
          <w:rFonts w:eastAsia="Courier New"/>
          <w:b w:val="0"/>
          <w:smallCaps/>
          <w:sz w:val="28"/>
        </w:rPr>
        <w:t>Levron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Une r</w:t>
      </w:r>
      <w:r w:rsidRPr="00E9210E">
        <w:rPr>
          <w:rFonts w:eastAsia="Courier New"/>
          <w:i/>
        </w:rPr>
        <w:t>é</w:t>
      </w:r>
      <w:r w:rsidRPr="00E9210E">
        <w:rPr>
          <w:rFonts w:eastAsia="Courier New"/>
          <w:i/>
        </w:rPr>
        <w:t>volte de contribuables</w:t>
      </w:r>
      <w:r w:rsidRPr="00E9210E">
        <w:rPr>
          <w:rFonts w:eastAsia="Courier New"/>
        </w:rPr>
        <w:t xml:space="preserve"> </w:t>
      </w:r>
      <w:r w:rsidRPr="00E9210E">
        <w:rPr>
          <w:rStyle w:val="Corpsdutexte28ptItalique"/>
          <w:rFonts w:eastAsia="Courier New"/>
          <w:sz w:val="28"/>
        </w:rPr>
        <w:t>(1848),</w:t>
      </w:r>
      <w:r w:rsidRPr="00E9210E">
        <w:rPr>
          <w:rStyle w:val="Corpsdutexte28ptGraschelle120"/>
          <w:rFonts w:eastAsia="Courier New"/>
          <w:sz w:val="28"/>
        </w:rPr>
        <w:t xml:space="preserve"> </w:t>
      </w:r>
      <w:r w:rsidRPr="00E9210E">
        <w:t>Limoges, 1936), « A.H.E.S. », t. X (1938), pp. 185-186.</w:t>
      </w:r>
    </w:p>
    <w:p w14:paraId="213C828D" w14:textId="77777777" w:rsidR="00B9662D" w:rsidRPr="00E9210E" w:rsidRDefault="00B9662D" w:rsidP="00B9662D">
      <w:pPr>
        <w:spacing w:before="120" w:after="120"/>
        <w:jc w:val="both"/>
      </w:pPr>
      <w:r w:rsidRPr="00E9210E">
        <w:rPr>
          <w:rFonts w:eastAsia="Courier New"/>
        </w:rPr>
        <w:t>[1089]</w:t>
      </w:r>
    </w:p>
    <w:p w14:paraId="29691FC9" w14:textId="77777777" w:rsidR="00B9662D" w:rsidRPr="00E9210E" w:rsidRDefault="00B9662D" w:rsidP="00B9662D">
      <w:pPr>
        <w:spacing w:before="120" w:after="120"/>
        <w:jc w:val="both"/>
      </w:pPr>
      <w:r w:rsidRPr="00E9210E">
        <w:t xml:space="preserve">Sur quelques cheminements d'idées. (Compte rendu : J. </w:t>
      </w:r>
      <w:r w:rsidRPr="00E9210E">
        <w:rPr>
          <w:rStyle w:val="Corpsdutexte27ptGras"/>
          <w:rFonts w:eastAsia="Courier New"/>
          <w:b w:val="0"/>
          <w:smallCaps/>
          <w:sz w:val="28"/>
        </w:rPr>
        <w:t>Régné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pénétr</w:t>
      </w:r>
      <w:r w:rsidRPr="00E9210E">
        <w:rPr>
          <w:rStyle w:val="Corpsdutexte28ptItalique"/>
          <w:rFonts w:eastAsia="Courier New"/>
          <w:sz w:val="28"/>
        </w:rPr>
        <w:t>a</w:t>
      </w:r>
      <w:r w:rsidRPr="00E9210E">
        <w:rPr>
          <w:rStyle w:val="Corpsdutexte28ptItalique"/>
          <w:rFonts w:eastAsia="Courier New"/>
          <w:sz w:val="28"/>
        </w:rPr>
        <w:t>tion des idées nouvelles en Ardèche au début de la Monarchie de Juillet (1830-1836</w:t>
      </w:r>
      <w:r w:rsidRPr="00E9210E">
        <w:rPr>
          <w:rFonts w:eastAsia="Courier New"/>
        </w:rPr>
        <w:t>),</w:t>
      </w:r>
      <w:r w:rsidRPr="00E9210E">
        <w:t xml:space="preserve"> dans </w:t>
      </w:r>
      <w:r w:rsidRPr="00E9210E">
        <w:rPr>
          <w:rStyle w:val="Corpsdutexte28ptItalique"/>
          <w:rFonts w:eastAsia="Courier New"/>
          <w:sz w:val="28"/>
        </w:rPr>
        <w:t>Notices et documents du Comité des Tr</w:t>
      </w:r>
      <w:r w:rsidRPr="00E9210E">
        <w:rPr>
          <w:rStyle w:val="Corpsdutexte28ptItalique"/>
          <w:rFonts w:eastAsia="Courier New"/>
          <w:sz w:val="28"/>
        </w:rPr>
        <w:t>a</w:t>
      </w:r>
      <w:r w:rsidRPr="00E9210E">
        <w:rPr>
          <w:rStyle w:val="Corpsdutexte28ptItalique"/>
          <w:rFonts w:eastAsia="Courier New"/>
          <w:sz w:val="28"/>
        </w:rPr>
        <w:t>vaux historiques</w:t>
      </w:r>
      <w:r w:rsidRPr="00E9210E">
        <w:rPr>
          <w:rStyle w:val="Corpsdutexte28ptGraschelle120"/>
          <w:rFonts w:eastAsia="Courier New"/>
          <w:sz w:val="28"/>
        </w:rPr>
        <w:t xml:space="preserve"> </w:t>
      </w:r>
      <w:r w:rsidRPr="00E9210E">
        <w:t>(section d’histoire moderne et contemporaine), t. XXII [1935]), « A.H.E.S. », t. X (1938), p. 186.</w:t>
      </w:r>
    </w:p>
    <w:p w14:paraId="40F51D37" w14:textId="77777777" w:rsidR="00B9662D" w:rsidRPr="00E9210E" w:rsidRDefault="00B9662D" w:rsidP="00B9662D">
      <w:pPr>
        <w:spacing w:before="120" w:after="120"/>
        <w:jc w:val="both"/>
      </w:pPr>
      <w:r w:rsidRPr="00E9210E">
        <w:t xml:space="preserve">Une histoire d’Angleterre. (Compte rendu : A. </w:t>
      </w:r>
      <w:r w:rsidRPr="00E9210E">
        <w:rPr>
          <w:rStyle w:val="Corpsdutexte27ptGras"/>
          <w:rFonts w:eastAsia="Courier New"/>
          <w:b w:val="0"/>
          <w:smallCaps/>
          <w:sz w:val="28"/>
        </w:rPr>
        <w:t>Maurois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d’Angleterre</w:t>
      </w:r>
      <w:r w:rsidRPr="00E9210E">
        <w:rPr>
          <w:rFonts w:eastAsia="Courier New"/>
        </w:rPr>
        <w:t>,</w:t>
      </w:r>
      <w:r w:rsidRPr="00E9210E">
        <w:t xml:space="preserve"> Paris, 1937), « A.H.E.S. », t. X (1938), pp. 189-190.</w:t>
      </w:r>
    </w:p>
    <w:p w14:paraId="166E8D7E" w14:textId="77777777" w:rsidR="00B9662D" w:rsidRPr="00E9210E" w:rsidRDefault="00B9662D" w:rsidP="00B9662D">
      <w:pPr>
        <w:spacing w:before="120" w:after="120"/>
        <w:jc w:val="both"/>
      </w:pPr>
      <w:r w:rsidRPr="00E9210E">
        <w:t xml:space="preserve">L’État britannique. (Compte rendu : K. </w:t>
      </w:r>
      <w:r w:rsidRPr="00E9210E">
        <w:rPr>
          <w:rStyle w:val="Corpsdutexte27ptGras"/>
          <w:rFonts w:eastAsia="Courier New"/>
          <w:b w:val="0"/>
          <w:smallCaps/>
          <w:sz w:val="28"/>
        </w:rPr>
        <w:t>Derry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British institutions of to day,</w:t>
      </w:r>
      <w:r w:rsidRPr="00E9210E">
        <w:rPr>
          <w:rStyle w:val="Corpsdutexte28ptGraschelle120"/>
          <w:rFonts w:eastAsia="Courier New"/>
          <w:sz w:val="28"/>
        </w:rPr>
        <w:t xml:space="preserve"> </w:t>
      </w:r>
      <w:r w:rsidRPr="00E9210E">
        <w:t>Lo</w:t>
      </w:r>
      <w:r w:rsidRPr="00E9210E">
        <w:t>n</w:t>
      </w:r>
      <w:r w:rsidRPr="00E9210E">
        <w:t>don, 1937), « A.H.E.S. », t. X (1938), pp. 190-191.</w:t>
      </w:r>
    </w:p>
    <w:p w14:paraId="2A36CB54" w14:textId="77777777" w:rsidR="00B9662D" w:rsidRPr="00E9210E" w:rsidRDefault="00B9662D" w:rsidP="00B9662D">
      <w:pPr>
        <w:spacing w:before="120" w:after="120"/>
        <w:jc w:val="both"/>
      </w:pPr>
      <w:r w:rsidRPr="00E9210E">
        <w:t xml:space="preserve">Un comté anglais. (Compte rendu : </w:t>
      </w:r>
      <w:r w:rsidRPr="00E9210E">
        <w:rPr>
          <w:rStyle w:val="Corpsdutexte27ptGras"/>
          <w:rFonts w:eastAsia="Courier New"/>
          <w:b w:val="0"/>
          <w:sz w:val="28"/>
        </w:rPr>
        <w:t>J.</w:t>
      </w:r>
      <w:r w:rsidRPr="00E9210E">
        <w:rPr>
          <w:rStyle w:val="Corpsdutexte27ptGras"/>
          <w:rFonts w:eastAsia="Courier New"/>
          <w:sz w:val="28"/>
        </w:rPr>
        <w:t xml:space="preserve"> </w:t>
      </w:r>
      <w:r w:rsidRPr="00E9210E">
        <w:t xml:space="preserve">C. </w:t>
      </w:r>
      <w:r w:rsidRPr="00E9210E">
        <w:rPr>
          <w:rStyle w:val="Corpsdutexte27ptGras"/>
          <w:rFonts w:eastAsia="Courier New"/>
          <w:b w:val="0"/>
          <w:smallCaps/>
          <w:sz w:val="28"/>
        </w:rPr>
        <w:t>Hearnshaw</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place of Surrey in the history of England,</w:t>
      </w:r>
      <w:r w:rsidRPr="00E9210E">
        <w:rPr>
          <w:rStyle w:val="Corpsdutexte28ptGraschelle120"/>
          <w:rFonts w:eastAsia="Courier New"/>
          <w:sz w:val="28"/>
        </w:rPr>
        <w:t xml:space="preserve"> </w:t>
      </w:r>
      <w:r w:rsidRPr="00E9210E">
        <w:t>Londres, 1936), « A.H.E.S. », t. X (1938), p. 192.</w:t>
      </w:r>
    </w:p>
    <w:p w14:paraId="132323F8" w14:textId="77777777" w:rsidR="00B9662D" w:rsidRPr="00E9210E" w:rsidRDefault="00B9662D" w:rsidP="00B9662D">
      <w:pPr>
        <w:spacing w:before="120" w:after="120"/>
        <w:jc w:val="both"/>
      </w:pPr>
      <w:r w:rsidRPr="00E9210E">
        <w:t xml:space="preserve">Aux origines du capitalisme anglais. (Compte rendu : J. Y. </w:t>
      </w:r>
      <w:r w:rsidRPr="00E9210E">
        <w:rPr>
          <w:rStyle w:val="Corpsdutexte27ptGras"/>
          <w:rFonts w:eastAsia="Courier New"/>
          <w:b w:val="0"/>
          <w:smallCaps/>
          <w:sz w:val="28"/>
        </w:rPr>
        <w:t>Le Branchu,</w:t>
      </w:r>
      <w:r w:rsidRPr="00E9210E">
        <w:rPr>
          <w:rStyle w:val="Corpsdutexte27ptGras"/>
          <w:rFonts w:eastAsia="Courier New"/>
          <w:i/>
          <w:sz w:val="28"/>
        </w:rPr>
        <w:t xml:space="preserve"> </w:t>
      </w:r>
      <w:r w:rsidRPr="00E9210E">
        <w:rPr>
          <w:rFonts w:eastAsia="Courier New"/>
          <w:i/>
        </w:rPr>
        <w:t>Les origines du capitalisme en Angleterre</w:t>
      </w:r>
      <w:r w:rsidRPr="00E9210E">
        <w:rPr>
          <w:rFonts w:eastAsia="Courier New"/>
        </w:rPr>
        <w:t>,</w:t>
      </w:r>
      <w:r w:rsidRPr="00E9210E">
        <w:t xml:space="preserve"> Paris, 1935), « A.H.E.S. », t. X (1938), p. 192.</w:t>
      </w:r>
    </w:p>
    <w:p w14:paraId="46279B63" w14:textId="77777777" w:rsidR="00B9662D" w:rsidRPr="00E9210E" w:rsidRDefault="00B9662D" w:rsidP="00B9662D">
      <w:pPr>
        <w:spacing w:before="120" w:after="120"/>
        <w:jc w:val="both"/>
      </w:pPr>
      <w:r w:rsidRPr="00E9210E">
        <w:t xml:space="preserve">Statistiques annuelles. (Comptes rendus : </w:t>
      </w:r>
      <w:r w:rsidRPr="00E9210E">
        <w:rPr>
          <w:rStyle w:val="Corpsdutexte28ptItalique"/>
          <w:rFonts w:eastAsia="Courier New"/>
          <w:sz w:val="28"/>
        </w:rPr>
        <w:t>Annuaire statistique de la Société des N</w:t>
      </w:r>
      <w:r w:rsidRPr="00E9210E">
        <w:rPr>
          <w:rStyle w:val="Corpsdutexte28ptItalique"/>
          <w:rFonts w:eastAsia="Courier New"/>
          <w:sz w:val="28"/>
        </w:rPr>
        <w:t>a</w:t>
      </w:r>
      <w:r w:rsidRPr="00E9210E">
        <w:rPr>
          <w:rStyle w:val="Corpsdutexte28ptItalique"/>
          <w:rFonts w:eastAsia="Courier New"/>
          <w:sz w:val="28"/>
        </w:rPr>
        <w:t>tions, 1936-1937</w:t>
      </w:r>
      <w:r w:rsidRPr="00E9210E">
        <w:rPr>
          <w:rFonts w:eastAsia="Courier New"/>
        </w:rPr>
        <w:t>,</w:t>
      </w:r>
      <w:r w:rsidRPr="00E9210E">
        <w:t xml:space="preserve"> Genève, 1937. — Présidence du Conseil. Direction de la Statistique générale et de la Documentation, </w:t>
      </w:r>
      <w:r w:rsidRPr="00E9210E">
        <w:rPr>
          <w:rStyle w:val="Corpsdutexte28ptItalique"/>
          <w:rFonts w:eastAsia="Courier New"/>
          <w:sz w:val="28"/>
        </w:rPr>
        <w:t>Annuaire statistique,</w:t>
      </w:r>
      <w:r w:rsidRPr="00E9210E">
        <w:rPr>
          <w:rStyle w:val="Corpsdutexte28ptGraschelle120"/>
          <w:rFonts w:eastAsia="Courier New"/>
          <w:sz w:val="28"/>
        </w:rPr>
        <w:t xml:space="preserve"> </w:t>
      </w:r>
      <w:r w:rsidRPr="00E9210E">
        <w:t>t. LII (1936), Paris, 1937), « A.H.E.S. », t. X (1938), p. 258.</w:t>
      </w:r>
    </w:p>
    <w:p w14:paraId="78810AF0" w14:textId="77777777" w:rsidR="00B9662D" w:rsidRPr="00E9210E" w:rsidRDefault="00B9662D" w:rsidP="00B9662D">
      <w:pPr>
        <w:spacing w:before="120" w:after="120"/>
        <w:jc w:val="both"/>
      </w:pPr>
      <w:r w:rsidRPr="00E9210E">
        <w:t xml:space="preserve">À travers l’histoire du domaine royal. (Comptes rendus : J. W. </w:t>
      </w:r>
      <w:r w:rsidRPr="00E9210E">
        <w:rPr>
          <w:rStyle w:val="Corpsdutexte27ptGras"/>
          <w:rFonts w:eastAsia="Courier New"/>
          <w:b w:val="0"/>
          <w:smallCaps/>
          <w:sz w:val="28"/>
        </w:rPr>
        <w:t>Thompson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dissolution of the carolingian fisc in the ninth cent</w:t>
      </w:r>
      <w:r w:rsidRPr="00E9210E">
        <w:rPr>
          <w:rStyle w:val="Corpsdutexte28ptItalique"/>
          <w:rFonts w:eastAsia="Courier New"/>
          <w:sz w:val="28"/>
        </w:rPr>
        <w:t>u</w:t>
      </w:r>
      <w:r w:rsidRPr="00E9210E">
        <w:rPr>
          <w:rStyle w:val="Corpsdutexte28ptItalique"/>
          <w:rFonts w:eastAsia="Courier New"/>
          <w:sz w:val="28"/>
        </w:rPr>
        <w:t>ry,</w:t>
      </w:r>
      <w:r w:rsidRPr="00E9210E">
        <w:rPr>
          <w:rStyle w:val="Corpsdutexte28ptGraschelle120"/>
          <w:rFonts w:eastAsia="Courier New"/>
          <w:sz w:val="28"/>
        </w:rPr>
        <w:t xml:space="preserve"> </w:t>
      </w:r>
      <w:r w:rsidRPr="00E9210E">
        <w:t xml:space="preserve">Berkeley, 1935. — W. M. </w:t>
      </w:r>
      <w:r w:rsidRPr="00E9210E">
        <w:rPr>
          <w:rStyle w:val="Corpsdutexte27ptGras"/>
          <w:rFonts w:eastAsia="Courier New"/>
          <w:b w:val="0"/>
          <w:smallCaps/>
          <w:sz w:val="28"/>
        </w:rPr>
        <w:t>Newman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 domaine royal sous les premiers Capétiens (987-1180),</w:t>
      </w:r>
      <w:r w:rsidRPr="00E9210E">
        <w:rPr>
          <w:rStyle w:val="Corpsdutexte28ptGraschelle120"/>
          <w:rFonts w:eastAsia="Courier New"/>
          <w:sz w:val="28"/>
        </w:rPr>
        <w:t xml:space="preserve"> </w:t>
      </w:r>
      <w:r w:rsidRPr="00E9210E">
        <w:t>Paris, 1937), « A.H.E.S. », t. X (1938), pp. 259-261.</w:t>
      </w:r>
    </w:p>
    <w:p w14:paraId="098DA190" w14:textId="77777777" w:rsidR="00B9662D" w:rsidRPr="00E9210E" w:rsidRDefault="00B9662D" w:rsidP="00B9662D">
      <w:pPr>
        <w:spacing w:before="120" w:after="120"/>
        <w:jc w:val="both"/>
      </w:pPr>
      <w:r w:rsidRPr="00E9210E">
        <w:t xml:space="preserve">La pensée politique du </w:t>
      </w:r>
      <w:r w:rsidRPr="00E9210E">
        <w:rPr>
          <w:smallCaps/>
        </w:rPr>
        <w:t>xiv</w:t>
      </w:r>
      <w:r w:rsidRPr="00E9210E">
        <w:rPr>
          <w:vertAlign w:val="superscript"/>
        </w:rPr>
        <w:t>e</w:t>
      </w:r>
      <w:r w:rsidRPr="00E9210E">
        <w:t xml:space="preserve"> au </w:t>
      </w:r>
      <w:r w:rsidRPr="00E9210E">
        <w:rPr>
          <w:smallCaps/>
        </w:rPr>
        <w:t>xvi</w:t>
      </w:r>
      <w:r w:rsidRPr="00E9210E">
        <w:rPr>
          <w:vertAlign w:val="superscript"/>
        </w:rPr>
        <w:t>e</w:t>
      </w:r>
      <w:r w:rsidRPr="00E9210E">
        <w:t xml:space="preserve"> siècle. (Compte rendu : R. W. et A. J. </w:t>
      </w:r>
      <w:r w:rsidRPr="00E9210E">
        <w:rPr>
          <w:rStyle w:val="Corpsdutexte27ptGras"/>
          <w:rFonts w:eastAsia="Courier New"/>
          <w:b w:val="0"/>
          <w:smallCaps/>
          <w:sz w:val="28"/>
        </w:rPr>
        <w:t>Carlyle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A history of mrdirval political history in the West.</w:t>
      </w:r>
      <w:r w:rsidRPr="00E9210E">
        <w:rPr>
          <w:rStyle w:val="Corpsdutexte28ptGraschelle120"/>
          <w:rFonts w:eastAsia="Courier New"/>
          <w:sz w:val="28"/>
        </w:rPr>
        <w:t xml:space="preserve"> </w:t>
      </w:r>
      <w:r w:rsidRPr="00E9210E">
        <w:t xml:space="preserve">Vol. VI : </w:t>
      </w:r>
      <w:r w:rsidRPr="00E9210E">
        <w:rPr>
          <w:rStyle w:val="Corpsdutexte28ptItalique"/>
          <w:rFonts w:eastAsia="Courier New"/>
          <w:sz w:val="28"/>
        </w:rPr>
        <w:t>Political theory from 1300 to 1600,</w:t>
      </w:r>
      <w:r w:rsidRPr="00E9210E">
        <w:rPr>
          <w:rStyle w:val="Corpsdutexte28ptGraschelle120"/>
          <w:rFonts w:eastAsia="Courier New"/>
          <w:sz w:val="28"/>
        </w:rPr>
        <w:t xml:space="preserve"> </w:t>
      </w:r>
      <w:r w:rsidRPr="00E9210E">
        <w:t>Édimbourg, Londres, 1936), « A.H.E.S. », t. X (1938), p. 276.</w:t>
      </w:r>
    </w:p>
    <w:p w14:paraId="197BB4E8" w14:textId="77777777" w:rsidR="00B9662D" w:rsidRPr="00E9210E" w:rsidRDefault="00B9662D" w:rsidP="00B9662D">
      <w:pPr>
        <w:spacing w:before="120" w:after="120"/>
        <w:jc w:val="both"/>
      </w:pPr>
      <w:r w:rsidRPr="00E9210E">
        <w:t>Érasme et le monde économique de son temps. (Compte rendu : A. </w:t>
      </w:r>
      <w:r w:rsidRPr="00E9210E">
        <w:rPr>
          <w:rStyle w:val="Corpsdutexte27ptGras"/>
          <w:rFonts w:eastAsia="Courier New"/>
          <w:b w:val="0"/>
          <w:smallCaps/>
          <w:sz w:val="28"/>
        </w:rPr>
        <w:t>Renaudet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Érasme économiste,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Mélanges offerts à Abel L</w:t>
      </w:r>
      <w:r w:rsidRPr="00E9210E">
        <w:rPr>
          <w:rStyle w:val="Corpsdutexte28ptItalique"/>
          <w:rFonts w:eastAsia="Courier New"/>
          <w:sz w:val="28"/>
        </w:rPr>
        <w:t>e</w:t>
      </w:r>
      <w:r w:rsidRPr="00E9210E">
        <w:rPr>
          <w:rStyle w:val="Corpsdutexte28ptItalique"/>
          <w:rFonts w:eastAsia="Courier New"/>
          <w:sz w:val="28"/>
        </w:rPr>
        <w:t>franc,</w:t>
      </w:r>
      <w:r w:rsidRPr="00E9210E">
        <w:rPr>
          <w:rStyle w:val="Corpsdutexte28ptGraschelle120"/>
          <w:rFonts w:eastAsia="Courier New"/>
          <w:sz w:val="28"/>
        </w:rPr>
        <w:t xml:space="preserve"> </w:t>
      </w:r>
      <w:r w:rsidRPr="00E9210E">
        <w:t>pp. 130-141, Paris, 1936), « A.H.E.S. », t. X (1938), pp. 276-277.</w:t>
      </w:r>
    </w:p>
    <w:p w14:paraId="39D7E679" w14:textId="77777777" w:rsidR="00B9662D" w:rsidRPr="00E9210E" w:rsidRDefault="00B9662D" w:rsidP="00B9662D">
      <w:pPr>
        <w:spacing w:before="120" w:after="120"/>
        <w:jc w:val="both"/>
      </w:pPr>
      <w:r w:rsidRPr="00E9210E">
        <w:t xml:space="preserve">La dernière œuvre d’Henri Pirenne. (Compte rendu : </w:t>
      </w:r>
      <w:r w:rsidRPr="00E9210E">
        <w:rPr>
          <w:rFonts w:eastAsia="Courier New"/>
          <w:i/>
        </w:rPr>
        <w:t>Mahomet et Charlemagne</w:t>
      </w:r>
      <w:r w:rsidRPr="00E9210E">
        <w:rPr>
          <w:rFonts w:eastAsia="Courier New"/>
        </w:rPr>
        <w:t>,</w:t>
      </w:r>
      <w:r w:rsidRPr="00E9210E">
        <w:t xml:space="preserve"> Paris et Bruxelles, 1937), « A.H.E.S. », t. X (1938), pp. 325-330.</w:t>
      </w:r>
    </w:p>
    <w:p w14:paraId="2AB180A8" w14:textId="77777777" w:rsidR="00B9662D" w:rsidRPr="00E9210E" w:rsidRDefault="00B9662D" w:rsidP="00B9662D">
      <w:pPr>
        <w:spacing w:before="120" w:after="120"/>
        <w:jc w:val="both"/>
      </w:pPr>
      <w:r w:rsidRPr="00E9210E">
        <w:t>La deuxième phase de la guerre de Cent Ans. (Compte rendu : J. </w:t>
      </w:r>
      <w:r w:rsidRPr="00E9210E">
        <w:rPr>
          <w:rStyle w:val="Corpsdutexte27ptGras"/>
          <w:rFonts w:eastAsia="Courier New"/>
          <w:b w:val="0"/>
          <w:smallCaps/>
          <w:sz w:val="28"/>
        </w:rPr>
        <w:t>Calmette</w:t>
      </w:r>
      <w:r w:rsidRPr="00E9210E">
        <w:rPr>
          <w:rStyle w:val="Corpsdutexte27ptGras"/>
          <w:rFonts w:eastAsia="Courier New"/>
          <w:sz w:val="28"/>
        </w:rPr>
        <w:t xml:space="preserve"> </w:t>
      </w:r>
      <w:r w:rsidRPr="00E9210E">
        <w:t xml:space="preserve">et E. </w:t>
      </w:r>
      <w:r w:rsidRPr="00E9210E">
        <w:rPr>
          <w:rStyle w:val="Corpsdutexte27ptGras"/>
          <w:rFonts w:eastAsia="Courier New"/>
          <w:b w:val="0"/>
          <w:smallCaps/>
          <w:sz w:val="28"/>
        </w:rPr>
        <w:t>Déprez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L’Europe occidentale de la fin du </w:t>
      </w:r>
      <w:r w:rsidRPr="00E9210E">
        <w:rPr>
          <w:rStyle w:val="Corpsdutexte2ItaliqueEspacement1pt"/>
          <w:rFonts w:eastAsia="Courier New"/>
          <w:i w:val="0"/>
          <w:sz w:val="28"/>
          <w:lang w:val="fr-CA"/>
        </w:rPr>
        <w:t>X</w:t>
      </w:r>
      <w:r w:rsidRPr="00E9210E">
        <w:rPr>
          <w:rStyle w:val="Corpsdutexte2ItaliqueEspacement1pt"/>
          <w:rFonts w:eastAsia="Courier New"/>
          <w:i w:val="0"/>
          <w:sz w:val="28"/>
          <w:lang w:val="fr-CA"/>
        </w:rPr>
        <w:t>I</w:t>
      </w:r>
      <w:r w:rsidRPr="00E9210E">
        <w:rPr>
          <w:rStyle w:val="Corpsdutexte2ItaliqueEspacement1pt"/>
          <w:rFonts w:eastAsia="Courier New"/>
          <w:i w:val="0"/>
          <w:sz w:val="28"/>
          <w:lang w:val="fr-CA"/>
        </w:rPr>
        <w:t>V</w:t>
      </w:r>
      <w:r w:rsidRPr="00E9210E">
        <w:rPr>
          <w:rStyle w:val="Corpsdutexte2ItaliqueEspacement1pt"/>
          <w:rFonts w:eastAsia="Courier New"/>
          <w:i w:val="0"/>
          <w:sz w:val="28"/>
          <w:vertAlign w:val="superscript"/>
          <w:lang w:val="fr-CA"/>
        </w:rPr>
        <w:t>e</w:t>
      </w:r>
      <w:r w:rsidRPr="00E9210E">
        <w:rPr>
          <w:rFonts w:eastAsia="Courier New"/>
          <w:i/>
        </w:rPr>
        <w:t xml:space="preserve"> siècle aux guerres d’Italie </w:t>
      </w:r>
      <w:r w:rsidRPr="00E9210E">
        <w:rPr>
          <w:i/>
        </w:rPr>
        <w:t xml:space="preserve">I : </w:t>
      </w:r>
      <w:r w:rsidRPr="00E9210E">
        <w:rPr>
          <w:rFonts w:eastAsia="Courier New"/>
          <w:i/>
        </w:rPr>
        <w:t>La France et l’Angleterre en conflit</w:t>
      </w:r>
      <w:r w:rsidRPr="00E9210E">
        <w:rPr>
          <w:rFonts w:eastAsia="Courier New"/>
        </w:rPr>
        <w:t>,</w:t>
      </w:r>
      <w:r w:rsidRPr="00E9210E">
        <w:t xml:space="preserve"> Paris, 1937 [Coll. </w:t>
      </w:r>
      <w:r w:rsidRPr="00E9210E">
        <w:rPr>
          <w:rFonts w:eastAsia="Courier New"/>
        </w:rPr>
        <w:t>Histoire générale,</w:t>
      </w:r>
      <w:r w:rsidRPr="00E9210E">
        <w:t xml:space="preserve"> sous la direction de G. </w:t>
      </w:r>
      <w:r w:rsidRPr="00E9210E">
        <w:rPr>
          <w:rStyle w:val="Corpsdutexte27ptGras"/>
          <w:rFonts w:eastAsia="Courier New"/>
          <w:b w:val="0"/>
          <w:smallCaps/>
          <w:sz w:val="28"/>
        </w:rPr>
        <w:t>Glotz</w:t>
      </w:r>
      <w:r w:rsidRPr="00E9210E">
        <w:rPr>
          <w:rStyle w:val="Corpsdutexte27ptGras"/>
          <w:rFonts w:eastAsia="Courier New"/>
          <w:b w:val="0"/>
          <w:sz w:val="28"/>
        </w:rPr>
        <w:t>,</w:t>
      </w:r>
      <w:r w:rsidRPr="00E9210E">
        <w:rPr>
          <w:rStyle w:val="Corpsdutexte27ptGras"/>
          <w:rFonts w:eastAsia="Courier New"/>
          <w:sz w:val="28"/>
        </w:rPr>
        <w:t xml:space="preserve"> </w:t>
      </w:r>
      <w:r w:rsidRPr="00E9210E">
        <w:t>t. VII]), « A.H.E.S. », t. X (1938), pp. 347-348.</w:t>
      </w:r>
    </w:p>
    <w:p w14:paraId="76A1788E" w14:textId="77777777" w:rsidR="00B9662D" w:rsidRPr="00E9210E" w:rsidRDefault="00B9662D" w:rsidP="00B9662D">
      <w:pPr>
        <w:spacing w:before="120" w:after="120"/>
        <w:jc w:val="both"/>
      </w:pPr>
      <w:r w:rsidRPr="00E9210E">
        <w:t xml:space="preserve">Un beau problème. (Compte rendu : P. M. </w:t>
      </w:r>
      <w:r w:rsidRPr="00E9210E">
        <w:rPr>
          <w:rStyle w:val="Corpsdutexte27ptGras"/>
          <w:rFonts w:eastAsia="Courier New"/>
          <w:b w:val="0"/>
          <w:smallCaps/>
          <w:sz w:val="28"/>
        </w:rPr>
        <w:t>Schuhl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Machinisme et ph</w:t>
      </w:r>
      <w:r w:rsidRPr="00E9210E">
        <w:rPr>
          <w:rFonts w:eastAsia="Courier New"/>
          <w:i/>
        </w:rPr>
        <w:t>i</w:t>
      </w:r>
      <w:r w:rsidRPr="00E9210E">
        <w:rPr>
          <w:rFonts w:eastAsia="Courier New"/>
          <w:i/>
        </w:rPr>
        <w:t>losophie</w:t>
      </w:r>
      <w:r w:rsidRPr="00E9210E">
        <w:rPr>
          <w:rFonts w:eastAsia="Courier New"/>
        </w:rPr>
        <w:t>,</w:t>
      </w:r>
      <w:r w:rsidRPr="00E9210E">
        <w:t xml:space="preserve"> Paris, 1938, </w:t>
      </w:r>
      <w:r w:rsidRPr="00E9210E">
        <w:rPr>
          <w:rFonts w:eastAsia="Courier New"/>
          <w:i/>
        </w:rPr>
        <w:t>Nouvelle encyclopédie philosophique</w:t>
      </w:r>
      <w:r w:rsidRPr="00E9210E">
        <w:t>), « A.H.E.S. », t. X (1938), pp. 354-356.</w:t>
      </w:r>
    </w:p>
    <w:p w14:paraId="2B9AE363" w14:textId="77777777" w:rsidR="00B9662D" w:rsidRPr="00E9210E" w:rsidRDefault="00B9662D" w:rsidP="00B9662D">
      <w:pPr>
        <w:spacing w:before="120" w:after="120"/>
        <w:jc w:val="both"/>
      </w:pPr>
      <w:r w:rsidRPr="00E9210E">
        <w:t>Le problème de la monnaie de compte. (Compte rendu : L. </w:t>
      </w:r>
      <w:r w:rsidRPr="00E9210E">
        <w:rPr>
          <w:rStyle w:val="Corpsdutexte27ptGras"/>
          <w:rFonts w:eastAsia="Courier New"/>
          <w:b w:val="0"/>
          <w:smallCaps/>
          <w:sz w:val="28"/>
        </w:rPr>
        <w:t>Einaudi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Teoria della moneta immaginaria nel tempo da Carlom</w:t>
      </w:r>
      <w:r w:rsidRPr="00E9210E">
        <w:rPr>
          <w:rStyle w:val="Corpsdutexte28ptItalique"/>
          <w:rFonts w:eastAsia="Courier New"/>
          <w:sz w:val="28"/>
        </w:rPr>
        <w:t>a</w:t>
      </w:r>
      <w:r w:rsidRPr="00E9210E">
        <w:rPr>
          <w:rStyle w:val="Corpsdutexte28ptItalique"/>
          <w:rFonts w:eastAsia="Courier New"/>
          <w:sz w:val="28"/>
        </w:rPr>
        <w:t>gno alla revoluzione francese,</w:t>
      </w:r>
      <w:r w:rsidRPr="00E9210E">
        <w:rPr>
          <w:rStyle w:val="Corpsdutexte28ptGraschelle120"/>
          <w:rFonts w:eastAsia="Courier New"/>
          <w:sz w:val="28"/>
        </w:rPr>
        <w:t xml:space="preserve"> </w:t>
      </w:r>
      <w:r w:rsidRPr="00E9210E">
        <w:t xml:space="preserve">dans </w:t>
      </w:r>
      <w:r w:rsidRPr="00E9210E">
        <w:rPr>
          <w:rStyle w:val="Corpsdutexte28ptItalique"/>
          <w:rFonts w:eastAsia="Courier New"/>
          <w:sz w:val="28"/>
        </w:rPr>
        <w:t>Rivista di storia economica,</w:t>
      </w:r>
      <w:r w:rsidRPr="00E9210E">
        <w:rPr>
          <w:rStyle w:val="Corpsdutexte28ptGraschelle120"/>
          <w:rFonts w:eastAsia="Courier New"/>
          <w:sz w:val="28"/>
        </w:rPr>
        <w:t xml:space="preserve"> </w:t>
      </w:r>
      <w:r w:rsidRPr="00E9210E">
        <w:t>t. I (1936), pp. 1-35), « A.H.E.S. », t. X (1938), pp. 358-360.</w:t>
      </w:r>
    </w:p>
    <w:p w14:paraId="701213EB"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Écrits sur la monnaie. (Comptes rendus : E. </w:t>
      </w:r>
      <w:r w:rsidRPr="00E9210E">
        <w:rPr>
          <w:rStyle w:val="Corpsdutexte37ptGrasNonItalique"/>
          <w:rFonts w:eastAsia="Courier New"/>
          <w:b w:val="0"/>
          <w:i w:val="0"/>
          <w:iCs w:val="0"/>
          <w:smallCaps/>
          <w:sz w:val="28"/>
        </w:rPr>
        <w:t>Schorer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Nicolaus Oresme, Bischof von Lisieux (1325-1382). Traktat über Geldabwe</w:t>
      </w:r>
      <w:r w:rsidRPr="00E9210E">
        <w:rPr>
          <w:i/>
        </w:rPr>
        <w:t>r</w:t>
      </w:r>
      <w:r w:rsidRPr="00E9210E">
        <w:rPr>
          <w:i/>
        </w:rPr>
        <w:t>tungen</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 xml:space="preserve">Iéna, 1937. — L. </w:t>
      </w:r>
      <w:r w:rsidRPr="00E9210E">
        <w:rPr>
          <w:rStyle w:val="Corpsdutexte37ptGrasNonItalique"/>
          <w:rFonts w:eastAsia="Courier New"/>
          <w:b w:val="0"/>
          <w:i w:val="0"/>
          <w:iCs w:val="0"/>
          <w:smallCaps/>
          <w:sz w:val="28"/>
        </w:rPr>
        <w:t>Einaudi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Paradoxes inédits du Sieur de M</w:t>
      </w:r>
      <w:r w:rsidRPr="00E9210E">
        <w:rPr>
          <w:i/>
        </w:rPr>
        <w:t>a</w:t>
      </w:r>
      <w:r w:rsidRPr="00E9210E">
        <w:rPr>
          <w:i/>
        </w:rPr>
        <w:t>lestroit touchant les monnoyes avec la response du President de la Tourette</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Turin, 1937), « A.H.E.S. », t. X (1938), pp. 360- 362.</w:t>
      </w:r>
    </w:p>
    <w:p w14:paraId="00931F1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Les trouvailles de trésors monétaires. (Compte rendu : A. </w:t>
      </w:r>
      <w:r w:rsidRPr="00E9210E">
        <w:rPr>
          <w:rStyle w:val="Corpsdutexte37ptGrasNonItalique"/>
          <w:rFonts w:eastAsia="Courier New"/>
          <w:b w:val="0"/>
          <w:i w:val="0"/>
          <w:iCs w:val="0"/>
          <w:smallCaps/>
          <w:sz w:val="28"/>
        </w:rPr>
        <w:t>Bla</w:t>
      </w:r>
      <w:r w:rsidRPr="00E9210E">
        <w:rPr>
          <w:rStyle w:val="Corpsdutexte37ptGrasNonItalique"/>
          <w:rFonts w:eastAsia="Courier New"/>
          <w:b w:val="0"/>
          <w:i w:val="0"/>
          <w:iCs w:val="0"/>
          <w:smallCaps/>
          <w:sz w:val="28"/>
        </w:rPr>
        <w:t>n</w:t>
      </w:r>
      <w:r w:rsidRPr="00E9210E">
        <w:rPr>
          <w:rStyle w:val="Corpsdutexte37ptGrasNonItalique"/>
          <w:rFonts w:eastAsia="Courier New"/>
          <w:b w:val="0"/>
          <w:i w:val="0"/>
          <w:iCs w:val="0"/>
          <w:smallCaps/>
          <w:sz w:val="28"/>
        </w:rPr>
        <w:t>chet</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rapports entre les dépôts monétaires et les événements mil</w:t>
      </w:r>
      <w:r w:rsidRPr="00E9210E">
        <w:rPr>
          <w:i/>
        </w:rPr>
        <w:t>i</w:t>
      </w:r>
      <w:r w:rsidRPr="00E9210E">
        <w:rPr>
          <w:i/>
        </w:rPr>
        <w:t>taires, politiques et économiques. Quatre conférences faites au Coll</w:t>
      </w:r>
      <w:r w:rsidRPr="00E9210E">
        <w:rPr>
          <w:i/>
        </w:rPr>
        <w:t>è</w:t>
      </w:r>
      <w:r w:rsidRPr="00E9210E">
        <w:rPr>
          <w:i/>
        </w:rPr>
        <w:t>ge de France (Fondation G. Schlumberger),</w:t>
      </w:r>
      <w:r w:rsidRPr="00E9210E">
        <w:t xml:space="preserve"> </w:t>
      </w:r>
      <w:r w:rsidRPr="00E9210E">
        <w:rPr>
          <w:rStyle w:val="Corpsdutexte385ptNonItalique"/>
          <w:rFonts w:eastAsia="Courier New"/>
          <w:i w:val="0"/>
          <w:iCs w:val="0"/>
          <w:sz w:val="28"/>
        </w:rPr>
        <w:t>Paris, 1936), « A.H.E.S. », t. X (1938), pp. 362-363.</w:t>
      </w:r>
    </w:p>
    <w:p w14:paraId="271CDE2C" w14:textId="77777777" w:rsidR="00B9662D" w:rsidRPr="00E9210E" w:rsidRDefault="00B9662D" w:rsidP="00B9662D">
      <w:pPr>
        <w:spacing w:before="120" w:after="120"/>
        <w:jc w:val="both"/>
      </w:pPr>
      <w:r w:rsidRPr="00E9210E">
        <w:t>Sur l’histoire monétaire des Pays-Bas méridionaux. (Compte re</w:t>
      </w:r>
      <w:r w:rsidRPr="00E9210E">
        <w:t>n</w:t>
      </w:r>
      <w:r w:rsidRPr="00E9210E">
        <w:t xml:space="preserve">du : Abbé J. </w:t>
      </w:r>
      <w:r w:rsidRPr="00E9210E">
        <w:rPr>
          <w:rStyle w:val="Corpsdutexte27ptGras"/>
          <w:rFonts w:eastAsia="Courier New"/>
          <w:b w:val="0"/>
          <w:smallCaps/>
          <w:sz w:val="28"/>
        </w:rPr>
        <w:t>Nicolas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L’argent des principautés belges pendant le Moyen Âge et la période moderne</w:t>
      </w:r>
      <w:r w:rsidRPr="00E9210E">
        <w:rPr>
          <w:rFonts w:eastAsia="Courier New"/>
        </w:rPr>
        <w:t xml:space="preserve">, </w:t>
      </w:r>
      <w:r w:rsidRPr="00E9210E">
        <w:t>Namur, 1933), « A.H.E.S. », t. X (1938), p. 363.</w:t>
      </w:r>
    </w:p>
    <w:p w14:paraId="1983FA88" w14:textId="77777777" w:rsidR="00B9662D" w:rsidRPr="00E9210E" w:rsidRDefault="00B9662D" w:rsidP="00B9662D">
      <w:pPr>
        <w:spacing w:before="120" w:after="120"/>
        <w:jc w:val="both"/>
      </w:pPr>
      <w:r w:rsidRPr="00E9210E">
        <w:rPr>
          <w:rFonts w:eastAsia="Courier New"/>
        </w:rPr>
        <w:t>[1090]</w:t>
      </w:r>
    </w:p>
    <w:p w14:paraId="772EE96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Autour de la ville médiévale anglaise. (Compte rendu : Prof. </w:t>
      </w:r>
      <w:r w:rsidRPr="00E9210E">
        <w:rPr>
          <w:rStyle w:val="Corpsdutexte117ptGrasNonItaliqueEspacement0pt"/>
          <w:rFonts w:eastAsia="Courier New"/>
          <w:b w:val="0"/>
          <w:i w:val="0"/>
          <w:iCs w:val="0"/>
          <w:sz w:val="28"/>
          <w:lang w:val="fr-CA"/>
        </w:rPr>
        <w:t>J. </w:t>
      </w:r>
      <w:r w:rsidRPr="00E9210E">
        <w:rPr>
          <w:rStyle w:val="Corpsdutexte117ptGrasNonItaliqueEspacement0pt"/>
          <w:rFonts w:eastAsia="Courier New"/>
          <w:b w:val="0"/>
          <w:i w:val="0"/>
          <w:iCs w:val="0"/>
          <w:smallCaps/>
          <w:sz w:val="28"/>
          <w:lang w:val="fr-CA"/>
        </w:rPr>
        <w:t>Tait</w:t>
      </w:r>
      <w:r w:rsidRPr="00E9210E">
        <w:rPr>
          <w:rStyle w:val="Corpsdutexte117ptGrasNonItaliqueEspacement0pt"/>
          <w:rFonts w:eastAsia="Courier New"/>
          <w:b w:val="0"/>
          <w:i w:val="0"/>
          <w:iCs w:val="0"/>
          <w:sz w:val="28"/>
          <w:lang w:val="fr-CA"/>
        </w:rPr>
        <w:t xml:space="preserve">, </w:t>
      </w:r>
      <w:r w:rsidRPr="00E9210E">
        <w:rPr>
          <w:rFonts w:eastAsia="Courier New"/>
          <w:i/>
        </w:rPr>
        <w:t>The medieval english borough : studies on its origins and constitutional history</w:t>
      </w:r>
      <w:r w:rsidRPr="00E9210E">
        <w:rPr>
          <w:rFonts w:eastAsia="Courier New"/>
        </w:rPr>
        <w:t>,</w:t>
      </w:r>
      <w:r w:rsidRPr="00E9210E">
        <w:rPr>
          <w:rStyle w:val="Corpsdutexte11NonItaliqueEspacement0pt"/>
          <w:rFonts w:eastAsia="Courier New"/>
          <w:i w:val="0"/>
          <w:iCs w:val="0"/>
          <w:sz w:val="28"/>
          <w:lang w:val="fr-CA"/>
        </w:rPr>
        <w:t xml:space="preserve"> Manchester, 1936)</w:t>
      </w:r>
      <w:r w:rsidRPr="00E9210E">
        <w:t>, « A.H.E.S. », t. X (1938), pp. 373-375.</w:t>
      </w:r>
    </w:p>
    <w:p w14:paraId="5DBC8971" w14:textId="77777777" w:rsidR="00B9662D" w:rsidRPr="00E9210E" w:rsidRDefault="00B9662D" w:rsidP="00B9662D">
      <w:pPr>
        <w:spacing w:before="120" w:after="120"/>
        <w:jc w:val="both"/>
      </w:pPr>
      <w:r w:rsidRPr="00E9210E">
        <w:t xml:space="preserve">Du fait au droit. (Compte rendu : M. </w:t>
      </w:r>
      <w:r w:rsidRPr="00E9210E">
        <w:rPr>
          <w:rStyle w:val="Corpsdutexte27ptGras"/>
          <w:rFonts w:eastAsia="Courier New"/>
          <w:b w:val="0"/>
          <w:smallCaps/>
          <w:sz w:val="28"/>
        </w:rPr>
        <w:t>Weinbaum</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incorpor</w:t>
      </w:r>
      <w:r w:rsidRPr="00E9210E">
        <w:rPr>
          <w:rFonts w:eastAsia="Courier New"/>
          <w:i/>
        </w:rPr>
        <w:t>a</w:t>
      </w:r>
      <w:r w:rsidRPr="00E9210E">
        <w:rPr>
          <w:rFonts w:eastAsia="Courier New"/>
          <w:i/>
        </w:rPr>
        <w:t>tion of boroughs</w:t>
      </w:r>
      <w:r w:rsidRPr="00E9210E">
        <w:t>, Manchester, 1937), « A.H.E.S. », t. X (1938), pp. 375-376.</w:t>
      </w:r>
    </w:p>
    <w:p w14:paraId="24F189B2" w14:textId="77777777" w:rsidR="00B9662D" w:rsidRPr="00E9210E" w:rsidRDefault="00B9662D" w:rsidP="00B9662D">
      <w:pPr>
        <w:spacing w:before="120" w:after="120"/>
        <w:jc w:val="both"/>
      </w:pPr>
      <w:r w:rsidRPr="00E9210E">
        <w:t xml:space="preserve">Quelques phases du développement économique de Marseille. (Compte rendu : R. </w:t>
      </w:r>
      <w:r w:rsidRPr="00E9210E">
        <w:rPr>
          <w:rStyle w:val="Corpsdutexte27ptGras"/>
          <w:rFonts w:eastAsia="Courier New"/>
          <w:b w:val="0"/>
          <w:smallCaps/>
          <w:sz w:val="28"/>
        </w:rPr>
        <w:t>Pernoud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Essai sur l’histoire du port de Marsei</w:t>
      </w:r>
      <w:r w:rsidRPr="00E9210E">
        <w:rPr>
          <w:rFonts w:eastAsia="Courier New"/>
          <w:i/>
        </w:rPr>
        <w:t>l</w:t>
      </w:r>
      <w:r w:rsidRPr="00E9210E">
        <w:rPr>
          <w:rFonts w:eastAsia="Courier New"/>
          <w:i/>
        </w:rPr>
        <w:t xml:space="preserve">le des origines à la fin du </w:t>
      </w:r>
      <w:r w:rsidRPr="00E9210E">
        <w:rPr>
          <w:rStyle w:val="Corpsdutexte2ItaliqueEspacement1pt"/>
          <w:rFonts w:eastAsia="Courier New"/>
          <w:sz w:val="28"/>
          <w:lang w:val="fr-CA"/>
        </w:rPr>
        <w:t>XIII</w:t>
      </w:r>
      <w:r w:rsidRPr="00E9210E">
        <w:rPr>
          <w:rStyle w:val="Corpsdutexte2ItaliqueEspacement1pt"/>
          <w:rFonts w:eastAsia="Courier New"/>
          <w:sz w:val="28"/>
          <w:vertAlign w:val="superscript"/>
          <w:lang w:val="fr-CA"/>
        </w:rPr>
        <w:t>e</w:t>
      </w:r>
      <w:r w:rsidRPr="00E9210E">
        <w:rPr>
          <w:rFonts w:eastAsia="Courier New"/>
          <w:i/>
        </w:rPr>
        <w:t xml:space="preserve"> siècle</w:t>
      </w:r>
      <w:r w:rsidRPr="00E9210E">
        <w:rPr>
          <w:rFonts w:eastAsia="Courier New"/>
        </w:rPr>
        <w:t xml:space="preserve">, </w:t>
      </w:r>
      <w:r w:rsidRPr="00E9210E">
        <w:t>Marseille, 1935), « A.H.E.S. », t. X (1938), p. 376.</w:t>
      </w:r>
    </w:p>
    <w:p w14:paraId="613C3CBE" w14:textId="77777777" w:rsidR="00B9662D" w:rsidRPr="00E9210E" w:rsidRDefault="00B9662D" w:rsidP="00B9662D">
      <w:pPr>
        <w:spacing w:before="120" w:after="120"/>
        <w:jc w:val="both"/>
      </w:pPr>
      <w:r w:rsidRPr="00E9210E">
        <w:t xml:space="preserve">Historiens anglais au travail : de l’État médiéval et de l’aristocratie anglaise. (Compte rendu : </w:t>
      </w:r>
      <w:r w:rsidRPr="00E9210E">
        <w:rPr>
          <w:rFonts w:eastAsia="Courier New"/>
          <w:i/>
        </w:rPr>
        <w:t>Transactions of the Royal Historical Soci</w:t>
      </w:r>
      <w:r w:rsidRPr="00E9210E">
        <w:rPr>
          <w:rFonts w:eastAsia="Courier New"/>
          <w:i/>
        </w:rPr>
        <w:t>e</w:t>
      </w:r>
      <w:r w:rsidRPr="00E9210E">
        <w:rPr>
          <w:rFonts w:eastAsia="Courier New"/>
          <w:i/>
        </w:rPr>
        <w:t>ty</w:t>
      </w:r>
      <w:r w:rsidRPr="00E9210E">
        <w:rPr>
          <w:rFonts w:eastAsia="Courier New"/>
        </w:rPr>
        <w:t>,</w:t>
      </w:r>
      <w:r w:rsidRPr="00E9210E">
        <w:t xml:space="preserve"> Fourth series, vol. XIX [1936]), « A.H.E.S. », t. X (1938), pp. 380-381.</w:t>
      </w:r>
    </w:p>
    <w:p w14:paraId="5EF31F03" w14:textId="77777777" w:rsidR="00B9662D" w:rsidRPr="00E9210E" w:rsidRDefault="00B9662D" w:rsidP="00B9662D">
      <w:pPr>
        <w:spacing w:before="120" w:after="120"/>
        <w:jc w:val="both"/>
      </w:pPr>
      <w:r w:rsidRPr="00E9210E">
        <w:t xml:space="preserve">Une interprétation de l’évolution politique anglaise au Moyen Âge. (Compte rendu : </w:t>
      </w:r>
      <w:r w:rsidRPr="00E9210E">
        <w:rPr>
          <w:rStyle w:val="Corpsdutexte27ptGras"/>
          <w:rFonts w:eastAsia="Courier New"/>
          <w:b w:val="0"/>
          <w:sz w:val="28"/>
        </w:rPr>
        <w:t>J.</w:t>
      </w:r>
      <w:r w:rsidRPr="00E9210E">
        <w:rPr>
          <w:rStyle w:val="Corpsdutexte27ptGras"/>
          <w:rFonts w:eastAsia="Courier New"/>
          <w:sz w:val="28"/>
        </w:rPr>
        <w:t xml:space="preserve"> </w:t>
      </w:r>
      <w:r w:rsidRPr="00E9210E">
        <w:t xml:space="preserve">E. A. </w:t>
      </w:r>
      <w:r w:rsidRPr="00E9210E">
        <w:rPr>
          <w:rStyle w:val="Corpsdutexte27ptGras"/>
          <w:rFonts w:eastAsia="Courier New"/>
          <w:b w:val="0"/>
          <w:smallCaps/>
          <w:sz w:val="28"/>
        </w:rPr>
        <w:t>Jolliffe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The constitutional history of m</w:t>
      </w:r>
      <w:r w:rsidRPr="00E9210E">
        <w:rPr>
          <w:rStyle w:val="Corpsdutexte28ptItalique"/>
          <w:rFonts w:eastAsia="Courier New"/>
          <w:sz w:val="28"/>
        </w:rPr>
        <w:t>e</w:t>
      </w:r>
      <w:r w:rsidRPr="00E9210E">
        <w:rPr>
          <w:rStyle w:val="Corpsdutexte28ptItalique"/>
          <w:rFonts w:eastAsia="Courier New"/>
          <w:sz w:val="28"/>
        </w:rPr>
        <w:t>dieval England from the English seul</w:t>
      </w:r>
      <w:r w:rsidRPr="00E9210E">
        <w:rPr>
          <w:rStyle w:val="Corpsdutexte28ptItalique"/>
          <w:rFonts w:eastAsia="Courier New"/>
          <w:sz w:val="28"/>
        </w:rPr>
        <w:t>e</w:t>
      </w:r>
      <w:r w:rsidRPr="00E9210E">
        <w:rPr>
          <w:rStyle w:val="Corpsdutexte28ptItalique"/>
          <w:rFonts w:eastAsia="Courier New"/>
          <w:sz w:val="28"/>
        </w:rPr>
        <w:t xml:space="preserve">ment to </w:t>
      </w:r>
      <w:r w:rsidRPr="00E9210E">
        <w:rPr>
          <w:rFonts w:eastAsia="Courier New"/>
          <w:i/>
        </w:rPr>
        <w:t>1485</w:t>
      </w:r>
      <w:r w:rsidRPr="00E9210E">
        <w:rPr>
          <w:rFonts w:eastAsia="Courier New"/>
        </w:rPr>
        <w:t>,</w:t>
      </w:r>
      <w:r w:rsidRPr="00E9210E">
        <w:t xml:space="preserve"> Londres, 1937), « A.H.E.S. », t. X (1938), pp. 381-383.</w:t>
      </w:r>
    </w:p>
    <w:p w14:paraId="2FF995B3" w14:textId="77777777" w:rsidR="00B9662D" w:rsidRPr="00E9210E" w:rsidRDefault="00B9662D" w:rsidP="00B9662D">
      <w:pPr>
        <w:spacing w:before="120" w:after="120"/>
        <w:jc w:val="both"/>
      </w:pPr>
      <w:r w:rsidRPr="00E9210E">
        <w:t xml:space="preserve">Une étape de l’évolution politique anglaise : idées et forces sous-jacentes. (Compte rendu : S. B. </w:t>
      </w:r>
      <w:r w:rsidRPr="00E9210E">
        <w:rPr>
          <w:rStyle w:val="Corpsdutexte27ptGras"/>
          <w:rFonts w:eastAsia="Courier New"/>
          <w:b w:val="0"/>
          <w:smallCaps/>
          <w:sz w:val="28"/>
        </w:rPr>
        <w:t>Chrimes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English constitutional ideas in the fifteenth century</w:t>
      </w:r>
      <w:r w:rsidRPr="00E9210E">
        <w:rPr>
          <w:rFonts w:eastAsia="Courier New"/>
        </w:rPr>
        <w:t>,</w:t>
      </w:r>
      <w:r w:rsidRPr="00E9210E">
        <w:t xml:space="preserve"> Cambridge, 1936), « A.H.E.S. », t. X (1938), pp. 383-384.</w:t>
      </w:r>
    </w:p>
    <w:p w14:paraId="14F0C52D"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Pour mieux chercher. (Compte rendu : H. </w:t>
      </w:r>
      <w:r w:rsidRPr="00E9210E">
        <w:rPr>
          <w:rStyle w:val="Corpsdutexte117ptGrasNonItaliqueEspacement0pt"/>
          <w:rFonts w:eastAsia="Courier New"/>
          <w:b w:val="0"/>
          <w:i w:val="0"/>
          <w:iCs w:val="0"/>
          <w:smallCaps/>
          <w:sz w:val="28"/>
          <w:lang w:val="fr-CA"/>
        </w:rPr>
        <w:t>Forestier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Archives de l’Yonne (1790-1932),</w:t>
      </w:r>
      <w:r w:rsidRPr="00E9210E">
        <w:rPr>
          <w:rStyle w:val="Corpsdutexte11NonItaliqueEspacement0pt"/>
          <w:rFonts w:eastAsia="Courier New"/>
          <w:i w:val="0"/>
          <w:iCs w:val="0"/>
          <w:sz w:val="28"/>
          <w:lang w:val="fr-CA"/>
        </w:rPr>
        <w:t xml:space="preserve"> Auxerre, 1936. — R. </w:t>
      </w:r>
      <w:r w:rsidRPr="00E9210E">
        <w:rPr>
          <w:rStyle w:val="Corpsdutexte117ptGrasNonItaliqueEspacement0pt"/>
          <w:rFonts w:eastAsia="Courier New"/>
          <w:b w:val="0"/>
          <w:i w:val="0"/>
          <w:iCs w:val="0"/>
          <w:smallCaps/>
          <w:sz w:val="28"/>
          <w:lang w:val="fr-CA"/>
        </w:rPr>
        <w:t>Busquet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fonds des Archives départementales des Bouches-du-Rhône</w:t>
      </w:r>
      <w:r w:rsidRPr="00E9210E">
        <w:rPr>
          <w:rFonts w:eastAsia="Courier New"/>
        </w:rPr>
        <w:t xml:space="preserve"> (Archives ce</w:t>
      </w:r>
      <w:r w:rsidRPr="00E9210E">
        <w:rPr>
          <w:rFonts w:eastAsia="Courier New"/>
        </w:rPr>
        <w:t>n</w:t>
      </w:r>
      <w:r w:rsidRPr="00E9210E">
        <w:rPr>
          <w:rFonts w:eastAsia="Courier New"/>
        </w:rPr>
        <w:t>trales de Provence).</w:t>
      </w:r>
      <w:r w:rsidRPr="00E9210E">
        <w:rPr>
          <w:rStyle w:val="Corpsdutexte11NonItaliqueEspacement0pt"/>
          <w:rFonts w:eastAsia="Courier New"/>
          <w:i w:val="0"/>
          <w:iCs w:val="0"/>
          <w:sz w:val="28"/>
          <w:lang w:val="fr-CA"/>
        </w:rPr>
        <w:t xml:space="preserve"> T. I : </w:t>
      </w:r>
      <w:r w:rsidRPr="00E9210E">
        <w:rPr>
          <w:rFonts w:eastAsia="Courier New"/>
          <w:i/>
        </w:rPr>
        <w:t>Dépôt principal de Marseille. Séries a</w:t>
      </w:r>
      <w:r w:rsidRPr="00E9210E">
        <w:rPr>
          <w:rFonts w:eastAsia="Courier New"/>
          <w:i/>
        </w:rPr>
        <w:t>n</w:t>
      </w:r>
      <w:r w:rsidRPr="00E9210E">
        <w:rPr>
          <w:rFonts w:eastAsia="Courier New"/>
          <w:i/>
        </w:rPr>
        <w:t>ciennes A à F</w:t>
      </w:r>
      <w:r w:rsidRPr="00E9210E">
        <w:rPr>
          <w:rFonts w:eastAsia="Courier New"/>
        </w:rPr>
        <w:t>,</w:t>
      </w:r>
      <w:r w:rsidRPr="00E9210E">
        <w:rPr>
          <w:rStyle w:val="Corpsdutexte11NonItaliqueEspacement0pt"/>
          <w:rFonts w:eastAsia="Courier New"/>
          <w:i w:val="0"/>
          <w:iCs w:val="0"/>
          <w:sz w:val="28"/>
          <w:lang w:val="fr-CA"/>
        </w:rPr>
        <w:t xml:space="preserve"> Marseille, 1937), « A.H.E.S. », t. X (1938), pp. 429-430.</w:t>
      </w:r>
    </w:p>
    <w:p w14:paraId="73C91E5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La « Hufe ». (Comptes rendus : Fr. </w:t>
      </w:r>
      <w:r w:rsidRPr="00E9210E">
        <w:rPr>
          <w:rStyle w:val="Corpsdutexte117ptGrasNonItaliqueEspacement0pt"/>
          <w:rFonts w:eastAsia="Courier New"/>
          <w:b w:val="0"/>
          <w:i w:val="0"/>
          <w:iCs w:val="0"/>
          <w:smallCaps/>
          <w:sz w:val="28"/>
          <w:lang w:val="fr-CA"/>
        </w:rPr>
        <w:t>Lütge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Die Hufe in der thüri</w:t>
      </w:r>
      <w:r w:rsidRPr="00E9210E">
        <w:rPr>
          <w:rFonts w:eastAsia="Courier New"/>
          <w:i/>
        </w:rPr>
        <w:t>n</w:t>
      </w:r>
      <w:r w:rsidRPr="00E9210E">
        <w:rPr>
          <w:rFonts w:eastAsia="Courier New"/>
          <w:i/>
        </w:rPr>
        <w:t>gisch-hessischen Agrarverfassung der Karolingerzeit</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Schmö</w:t>
      </w:r>
      <w:r w:rsidRPr="00E9210E">
        <w:rPr>
          <w:rFonts w:eastAsia="Courier New"/>
          <w:i/>
        </w:rPr>
        <w:t>l</w:t>
      </w:r>
      <w:r w:rsidRPr="00E9210E">
        <w:rPr>
          <w:rFonts w:eastAsia="Courier New"/>
          <w:i/>
        </w:rPr>
        <w:t>ler’s Jahrbuch</w:t>
      </w:r>
      <w:r w:rsidRPr="00E9210E">
        <w:rPr>
          <w:rFonts w:eastAsia="Courier New"/>
        </w:rPr>
        <w:t>,</w:t>
      </w:r>
      <w:r w:rsidRPr="00E9210E">
        <w:rPr>
          <w:rStyle w:val="Corpsdutexte11NonItaliqueEspacement0pt"/>
          <w:rFonts w:eastAsia="Courier New"/>
          <w:i w:val="0"/>
          <w:iCs w:val="0"/>
          <w:sz w:val="28"/>
          <w:lang w:val="fr-CA"/>
        </w:rPr>
        <w:t xml:space="preserve"> t. LXI (1937). — </w:t>
      </w:r>
      <w:r w:rsidRPr="00E9210E">
        <w:rPr>
          <w:rFonts w:eastAsia="Courier New"/>
          <w:i/>
        </w:rPr>
        <w:t>Hufe und Mansus in den mitte</w:t>
      </w:r>
      <w:r w:rsidRPr="00E9210E">
        <w:rPr>
          <w:rFonts w:eastAsia="Courier New"/>
          <w:i/>
        </w:rPr>
        <w:t>l</w:t>
      </w:r>
      <w:r w:rsidRPr="00E9210E">
        <w:rPr>
          <w:rFonts w:eastAsia="Courier New"/>
          <w:i/>
        </w:rPr>
        <w:t>deutschen Quellen der Karolingerzeit, im besonderen in dem Brevi</w:t>
      </w:r>
      <w:r w:rsidRPr="00E9210E">
        <w:rPr>
          <w:rFonts w:eastAsia="Courier New"/>
          <w:i/>
        </w:rPr>
        <w:t>a</w:t>
      </w:r>
      <w:r w:rsidRPr="00E9210E">
        <w:rPr>
          <w:rFonts w:eastAsia="Courier New"/>
          <w:i/>
        </w:rPr>
        <w:t>rium St.</w:t>
      </w:r>
      <w:r w:rsidRPr="00E9210E">
        <w:rPr>
          <w:rFonts w:eastAsia="Courier New"/>
        </w:rPr>
        <w:t xml:space="preserve"> Lulli,</w:t>
      </w:r>
      <w:r w:rsidRPr="00E9210E">
        <w:rPr>
          <w:rStyle w:val="Corpsdutexte11NonItaliqueEspacement0pt"/>
          <w:rFonts w:eastAsia="Courier New"/>
          <w:i w:val="0"/>
          <w:iCs w:val="0"/>
          <w:sz w:val="28"/>
          <w:lang w:val="fr-CA"/>
        </w:rPr>
        <w:t xml:space="preserve"> dans </w:t>
      </w:r>
      <w:r w:rsidRPr="00E9210E">
        <w:rPr>
          <w:rFonts w:eastAsia="Courier New"/>
          <w:i/>
        </w:rPr>
        <w:t>Vierteljahrschrift fiir Sozial- und Wirtschaftsge</w:t>
      </w:r>
      <w:r w:rsidRPr="00E9210E">
        <w:rPr>
          <w:rFonts w:eastAsia="Courier New"/>
          <w:i/>
        </w:rPr>
        <w:t>s</w:t>
      </w:r>
      <w:r w:rsidRPr="00E9210E">
        <w:rPr>
          <w:rFonts w:eastAsia="Courier New"/>
          <w:i/>
        </w:rPr>
        <w:t>chichte</w:t>
      </w:r>
      <w:r w:rsidRPr="00E9210E">
        <w:rPr>
          <w:rStyle w:val="Corpsdutexte11NonItaliqueEspacement0pt"/>
          <w:rFonts w:eastAsia="Courier New"/>
          <w:i w:val="0"/>
          <w:iCs w:val="0"/>
          <w:sz w:val="28"/>
          <w:lang w:val="fr-CA"/>
        </w:rPr>
        <w:t>, t. XXX (1937), pp. 105-128), « A.H.E.S. », t. X (1938), pp. 453-455.</w:t>
      </w:r>
    </w:p>
    <w:p w14:paraId="059D1ADE" w14:textId="77777777" w:rsidR="00B9662D" w:rsidRPr="00E9210E" w:rsidRDefault="00B9662D" w:rsidP="00B9662D">
      <w:pPr>
        <w:spacing w:before="120" w:after="120"/>
        <w:jc w:val="both"/>
      </w:pPr>
      <w:r w:rsidRPr="00E9210E">
        <w:t xml:space="preserve">La toponymie des lieux-dits. (Comptes rendus : </w:t>
      </w:r>
      <w:r w:rsidRPr="00E9210E">
        <w:rPr>
          <w:rFonts w:eastAsia="Courier New"/>
          <w:i/>
        </w:rPr>
        <w:t>Die Flurnamen des Kreises Soest zusammengestellt von Hugo Schopman</w:t>
      </w:r>
      <w:r w:rsidRPr="00E9210E">
        <w:rPr>
          <w:rFonts w:eastAsia="Courier New"/>
        </w:rPr>
        <w:t>,</w:t>
      </w:r>
      <w:r w:rsidRPr="00E9210E">
        <w:t xml:space="preserve"> Soest, 1936. — E. von </w:t>
      </w:r>
      <w:r w:rsidRPr="00E9210E">
        <w:rPr>
          <w:rStyle w:val="Corpsdutexte27ptGras"/>
          <w:rFonts w:eastAsia="Courier New"/>
          <w:b w:val="0"/>
          <w:smallCaps/>
          <w:sz w:val="28"/>
        </w:rPr>
        <w:t>Künssberg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Flurnamen und Rechtsgeschichte</w:t>
      </w:r>
      <w:r w:rsidRPr="00E9210E">
        <w:rPr>
          <w:rFonts w:eastAsia="Courier New"/>
        </w:rPr>
        <w:t>,</w:t>
      </w:r>
      <w:r w:rsidRPr="00E9210E">
        <w:t xml:space="preserve"> Weimar, 1936), « A.H.E.S. », t. X (1938), pp. 455-456.</w:t>
      </w:r>
    </w:p>
    <w:p w14:paraId="771C597D" w14:textId="77777777" w:rsidR="00B9662D" w:rsidRPr="00E9210E" w:rsidRDefault="00B9662D" w:rsidP="00B9662D">
      <w:pPr>
        <w:spacing w:before="120" w:after="120"/>
        <w:jc w:val="both"/>
      </w:pPr>
      <w:r w:rsidRPr="00E9210E">
        <w:t xml:space="preserve">Toponymie française. (Compte rendu : A. </w:t>
      </w:r>
      <w:r w:rsidRPr="00E9210E">
        <w:rPr>
          <w:rStyle w:val="Corpsdutexte27ptGras"/>
          <w:rFonts w:eastAsia="Courier New"/>
          <w:b w:val="0"/>
          <w:smallCaps/>
          <w:sz w:val="28"/>
        </w:rPr>
        <w:t>Vincent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Toponymie de la France</w:t>
      </w:r>
      <w:r w:rsidRPr="00E9210E">
        <w:rPr>
          <w:rFonts w:eastAsia="Courier New"/>
        </w:rPr>
        <w:t>,</w:t>
      </w:r>
      <w:r w:rsidRPr="00E9210E">
        <w:t xml:space="preserve"> Bruxelles, 1937), « A.H.E.S. », t. X (1938), pp. 456-457.</w:t>
      </w:r>
    </w:p>
    <w:p w14:paraId="15A1FC03" w14:textId="77777777" w:rsidR="00B9662D" w:rsidRPr="00E9210E" w:rsidRDefault="00B9662D" w:rsidP="00B9662D">
      <w:pPr>
        <w:spacing w:before="120" w:after="120"/>
        <w:jc w:val="both"/>
      </w:pPr>
      <w:r w:rsidRPr="00E9210E">
        <w:t xml:space="preserve">Au pays d’Osnabrück. (Compte rendu : </w:t>
      </w:r>
      <w:r w:rsidRPr="00E9210E">
        <w:rPr>
          <w:rStyle w:val="Corpsdutexte27ptGras"/>
          <w:rFonts w:eastAsia="Courier New"/>
          <w:b w:val="0"/>
          <w:sz w:val="28"/>
        </w:rPr>
        <w:t xml:space="preserve">J. </w:t>
      </w:r>
      <w:r w:rsidRPr="00E9210E">
        <w:rPr>
          <w:rStyle w:val="Corpsdutexte27ptGras"/>
          <w:rFonts w:eastAsia="Courier New"/>
          <w:b w:val="0"/>
          <w:smallCaps/>
          <w:sz w:val="28"/>
        </w:rPr>
        <w:t>Prinz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Das Territorium des Bistums Osnabrück</w:t>
      </w:r>
      <w:r w:rsidRPr="00E9210E">
        <w:rPr>
          <w:rFonts w:eastAsia="Courier New"/>
        </w:rPr>
        <w:t>,</w:t>
      </w:r>
      <w:r w:rsidRPr="00E9210E">
        <w:t xml:space="preserve"> Göttingen, 1934), « A.H.E.S. », t. X (1938), p. 457.</w:t>
      </w:r>
    </w:p>
    <w:p w14:paraId="024DAC47" w14:textId="77777777" w:rsidR="00B9662D" w:rsidRPr="00E9210E" w:rsidRDefault="00B9662D" w:rsidP="00B9662D">
      <w:pPr>
        <w:spacing w:before="120" w:after="120"/>
        <w:jc w:val="both"/>
      </w:pPr>
      <w:r w:rsidRPr="00E9210E">
        <w:t xml:space="preserve">Propos sur la noblesse. (Compte rendu : Sœur M. P. </w:t>
      </w:r>
      <w:r w:rsidRPr="00E9210E">
        <w:rPr>
          <w:rStyle w:val="Corpsdutexte27ptGras"/>
          <w:rFonts w:eastAsia="Courier New"/>
          <w:b w:val="0"/>
          <w:smallCaps/>
          <w:sz w:val="28"/>
        </w:rPr>
        <w:t>Goetz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concept of nobility in the German didactic literature of the thirteenth century</w:t>
      </w:r>
      <w:r w:rsidRPr="00E9210E">
        <w:rPr>
          <w:rFonts w:eastAsia="Courier New"/>
        </w:rPr>
        <w:t>,</w:t>
      </w:r>
      <w:r w:rsidRPr="00E9210E">
        <w:t xml:space="preserve"> Washington, 1935), « A.H.E.S. », t. X (1938), p. 459.</w:t>
      </w:r>
    </w:p>
    <w:p w14:paraId="78D6C13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Noblesse et genre de vie. (Compte rendu : M. </w:t>
      </w:r>
      <w:r w:rsidRPr="00E9210E">
        <w:rPr>
          <w:rStyle w:val="Corpsdutexte117ptGrasNonItaliqueEspacement0pt"/>
          <w:rFonts w:eastAsia="Courier New"/>
          <w:b w:val="0"/>
          <w:i w:val="0"/>
          <w:iCs w:val="0"/>
          <w:smallCaps/>
          <w:sz w:val="28"/>
          <w:lang w:val="fr-CA"/>
        </w:rPr>
        <w:t>Szeftel</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règle de vie exemplaire des nobles et l’évolution sociale de la France de l’Ancien Régime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w:t>
      </w:r>
      <w:r w:rsidRPr="00E9210E">
        <w:rPr>
          <w:rFonts w:eastAsia="Courier New"/>
        </w:rPr>
        <w:t xml:space="preserve"> </w:t>
      </w:r>
      <w:r w:rsidRPr="00E9210E">
        <w:rPr>
          <w:rFonts w:eastAsia="Courier New"/>
          <w:i/>
        </w:rPr>
        <w:t>de l’Institut de Sociologie</w:t>
      </w:r>
      <w:r w:rsidRPr="00E9210E">
        <w:rPr>
          <w:rFonts w:eastAsia="Courier New"/>
        </w:rPr>
        <w:t>,</w:t>
      </w:r>
      <w:r w:rsidRPr="00E9210E">
        <w:rPr>
          <w:rStyle w:val="Corpsdutexte11NonItaliqueEspacement0pt"/>
          <w:rFonts w:eastAsia="Courier New"/>
          <w:i w:val="0"/>
          <w:iCs w:val="0"/>
          <w:sz w:val="28"/>
          <w:lang w:val="fr-CA"/>
        </w:rPr>
        <w:t xml:space="preserve"> t. XVI (1936), pp. 3-10), « A.H.E.S. », t. X (1938), p. 459.</w:t>
      </w:r>
    </w:p>
    <w:p w14:paraId="61BF0EE8" w14:textId="77777777" w:rsidR="00B9662D" w:rsidRPr="00E9210E" w:rsidRDefault="00B9662D" w:rsidP="00B9662D">
      <w:pPr>
        <w:spacing w:before="120" w:after="120"/>
        <w:jc w:val="both"/>
      </w:pPr>
      <w:r w:rsidRPr="00E9210E">
        <w:t xml:space="preserve">Une fortune </w:t>
      </w:r>
      <w:r w:rsidRPr="00E9210E">
        <w:rPr>
          <w:rStyle w:val="Corpsdutexte27ptGras"/>
          <w:rFonts w:eastAsia="Courier New"/>
          <w:sz w:val="28"/>
        </w:rPr>
        <w:t xml:space="preserve">à </w:t>
      </w:r>
      <w:r w:rsidRPr="00E9210E">
        <w:t xml:space="preserve">étudier. (Compte rendu : L. </w:t>
      </w:r>
      <w:r w:rsidRPr="00E9210E">
        <w:rPr>
          <w:rStyle w:val="Corpsdutexte27ptGras"/>
          <w:rFonts w:eastAsia="Courier New"/>
          <w:b w:val="0"/>
          <w:smallCaps/>
          <w:sz w:val="28"/>
        </w:rPr>
        <w:t>Battifol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Autour de R</w:t>
      </w:r>
      <w:r w:rsidRPr="00E9210E">
        <w:rPr>
          <w:rFonts w:eastAsia="Courier New"/>
          <w:i/>
        </w:rPr>
        <w:t>i</w:t>
      </w:r>
      <w:r w:rsidRPr="00E9210E">
        <w:rPr>
          <w:rFonts w:eastAsia="Courier New"/>
          <w:i/>
        </w:rPr>
        <w:t>ch</w:t>
      </w:r>
      <w:r w:rsidRPr="00E9210E">
        <w:rPr>
          <w:rFonts w:eastAsia="Courier New"/>
          <w:i/>
        </w:rPr>
        <w:t>e</w:t>
      </w:r>
      <w:r w:rsidRPr="00E9210E">
        <w:rPr>
          <w:rFonts w:eastAsia="Courier New"/>
          <w:i/>
        </w:rPr>
        <w:t>lieu</w:t>
      </w:r>
      <w:r w:rsidRPr="00E9210E">
        <w:rPr>
          <w:rFonts w:eastAsia="Courier New"/>
        </w:rPr>
        <w:t>,</w:t>
      </w:r>
      <w:r w:rsidRPr="00E9210E">
        <w:t xml:space="preserve"> Paris, 1937), « A.H.E.S. », t. X (1938), pp. 459-460.</w:t>
      </w:r>
    </w:p>
    <w:p w14:paraId="79ABC666" w14:textId="77777777" w:rsidR="00B9662D" w:rsidRPr="00E9210E" w:rsidRDefault="00B9662D" w:rsidP="00B9662D">
      <w:pPr>
        <w:spacing w:before="120" w:after="120"/>
        <w:jc w:val="both"/>
      </w:pPr>
      <w:r w:rsidRPr="00E9210E">
        <w:t xml:space="preserve">Un regard sur chez nous. (Compte rendu : R. </w:t>
      </w:r>
      <w:r w:rsidRPr="00E9210E">
        <w:rPr>
          <w:rStyle w:val="Corpsdutexte27ptGras"/>
          <w:rFonts w:eastAsia="Courier New"/>
          <w:b w:val="0"/>
          <w:smallCaps/>
          <w:sz w:val="28"/>
        </w:rPr>
        <w:t>Maunier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société fra</w:t>
      </w:r>
      <w:r w:rsidRPr="00E9210E">
        <w:rPr>
          <w:rFonts w:eastAsia="Courier New"/>
          <w:i/>
        </w:rPr>
        <w:t>n</w:t>
      </w:r>
      <w:r w:rsidRPr="00E9210E">
        <w:rPr>
          <w:rFonts w:eastAsia="Courier New"/>
          <w:i/>
        </w:rPr>
        <w:t>çaise et ses transformations</w:t>
      </w:r>
      <w:r w:rsidRPr="00E9210E">
        <w:rPr>
          <w:rFonts w:eastAsia="Courier New"/>
        </w:rPr>
        <w:t>,</w:t>
      </w:r>
      <w:r w:rsidRPr="00E9210E">
        <w:t xml:space="preserve"> dans </w:t>
      </w:r>
      <w:r w:rsidRPr="00E9210E">
        <w:rPr>
          <w:rFonts w:eastAsia="Courier New"/>
          <w:i/>
        </w:rPr>
        <w:t>The Rice Institute Pamphlet</w:t>
      </w:r>
      <w:r w:rsidRPr="00E9210E">
        <w:rPr>
          <w:rFonts w:eastAsia="Courier New"/>
        </w:rPr>
        <w:t>,</w:t>
      </w:r>
      <w:r w:rsidRPr="00E9210E">
        <w:t xml:space="preserve"> t. XXIV (1937), pp. 197-213), « A.H.E.S. », t. X (1938), pp. 460-461.</w:t>
      </w:r>
    </w:p>
    <w:p w14:paraId="4DE73B61" w14:textId="77777777" w:rsidR="00B9662D" w:rsidRPr="00E9210E" w:rsidRDefault="00B9662D" w:rsidP="00B9662D">
      <w:pPr>
        <w:spacing w:before="120" w:after="120"/>
        <w:jc w:val="both"/>
      </w:pPr>
      <w:r w:rsidRPr="00E9210E">
        <w:t>Une histoire rurale de l’Allemagne au Moyen Âge. (Compte re</w:t>
      </w:r>
      <w:r w:rsidRPr="00E9210E">
        <w:t>n</w:t>
      </w:r>
      <w:r w:rsidRPr="00E9210E">
        <w:t xml:space="preserve">du : G. von </w:t>
      </w:r>
      <w:r w:rsidRPr="00E9210E">
        <w:rPr>
          <w:rStyle w:val="Corpsdutexte27ptGras"/>
          <w:rFonts w:eastAsia="Courier New"/>
          <w:b w:val="0"/>
          <w:smallCaps/>
          <w:sz w:val="28"/>
        </w:rPr>
        <w:t>Below</w:t>
      </w:r>
      <w:r w:rsidRPr="00E9210E">
        <w:rPr>
          <w:rStyle w:val="Corpsdutexte27ptGras"/>
          <w:rFonts w:eastAsia="Courier New"/>
          <w:sz w:val="28"/>
        </w:rPr>
        <w:t xml:space="preserve"> </w:t>
      </w:r>
      <w:r w:rsidRPr="00E9210E">
        <w:t xml:space="preserve">et Fr. </w:t>
      </w:r>
      <w:r w:rsidRPr="00E9210E">
        <w:rPr>
          <w:rStyle w:val="Corpsdutexte27ptGras"/>
          <w:rFonts w:eastAsia="Courier New"/>
          <w:b w:val="0"/>
          <w:smallCaps/>
          <w:sz w:val="28"/>
        </w:rPr>
        <w:t>Lütge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Geschichte der deutschen Landwir</w:t>
      </w:r>
      <w:r w:rsidRPr="00E9210E">
        <w:rPr>
          <w:rFonts w:eastAsia="Courier New"/>
          <w:i/>
        </w:rPr>
        <w:t>t</w:t>
      </w:r>
      <w:r w:rsidRPr="00E9210E">
        <w:rPr>
          <w:rFonts w:eastAsia="Courier New"/>
          <w:i/>
        </w:rPr>
        <w:t>schaft des Mittelalters in ihren Grundzügen</w:t>
      </w:r>
      <w:r w:rsidRPr="00E9210E">
        <w:rPr>
          <w:rFonts w:eastAsia="Courier New"/>
        </w:rPr>
        <w:t>,</w:t>
      </w:r>
      <w:r w:rsidRPr="00E9210E">
        <w:t xml:space="preserve"> Iéna, 1937), « A.H.E.S. », t. X (1938), pp. 461-462.</w:t>
      </w:r>
    </w:p>
    <w:p w14:paraId="3ADDC989" w14:textId="77777777" w:rsidR="00B9662D" w:rsidRPr="00E9210E" w:rsidRDefault="00B9662D" w:rsidP="00B9662D">
      <w:pPr>
        <w:spacing w:before="120" w:after="120"/>
        <w:jc w:val="both"/>
      </w:pPr>
      <w:r w:rsidRPr="00E9210E">
        <w:rPr>
          <w:rFonts w:eastAsia="Courier New"/>
        </w:rPr>
        <w:t>[1091]</w:t>
      </w:r>
    </w:p>
    <w:p w14:paraId="698969AE" w14:textId="77777777" w:rsidR="00B9662D" w:rsidRPr="00E9210E" w:rsidRDefault="00B9662D" w:rsidP="00B9662D">
      <w:pPr>
        <w:spacing w:before="120" w:after="120"/>
        <w:jc w:val="both"/>
      </w:pPr>
      <w:r w:rsidRPr="00E9210E">
        <w:t xml:space="preserve">Aux origines de </w:t>
      </w:r>
      <w:r w:rsidRPr="00E9210E">
        <w:rPr>
          <w:rStyle w:val="Corpsdutexte27ptGras"/>
          <w:rFonts w:eastAsia="Courier New"/>
          <w:b w:val="0"/>
          <w:sz w:val="28"/>
        </w:rPr>
        <w:t>la</w:t>
      </w:r>
      <w:r w:rsidRPr="00E9210E">
        <w:rPr>
          <w:rStyle w:val="Corpsdutexte27ptGras"/>
          <w:rFonts w:eastAsia="Courier New"/>
          <w:sz w:val="28"/>
        </w:rPr>
        <w:t xml:space="preserve"> </w:t>
      </w:r>
      <w:r w:rsidRPr="00E9210E">
        <w:t xml:space="preserve">Pologne. (Compte rendu : Z. </w:t>
      </w:r>
      <w:r w:rsidRPr="00E9210E">
        <w:rPr>
          <w:rStyle w:val="Corpsdutexte27ptGras"/>
          <w:rFonts w:eastAsia="Courier New"/>
          <w:b w:val="0"/>
          <w:smallCaps/>
          <w:sz w:val="28"/>
        </w:rPr>
        <w:t>Wojciechowsky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Mieszko I and the rise of the Polish State</w:t>
      </w:r>
      <w:r w:rsidRPr="00E9210E">
        <w:rPr>
          <w:rFonts w:eastAsia="Courier New"/>
        </w:rPr>
        <w:t>,</w:t>
      </w:r>
      <w:r w:rsidRPr="00E9210E">
        <w:t xml:space="preserve"> Londres, 1936), « A.H.E.S. », t. X (1938), pp. 465-466.</w:t>
      </w:r>
    </w:p>
    <w:p w14:paraId="57A81B0A"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Dans la Pologne du </w:t>
      </w:r>
      <w:r w:rsidRPr="00E9210E">
        <w:rPr>
          <w:rStyle w:val="Corpsdutexte385ptNonItalique"/>
          <w:rFonts w:eastAsia="Courier New"/>
          <w:i w:val="0"/>
          <w:iCs w:val="0"/>
          <w:caps/>
          <w:sz w:val="28"/>
        </w:rPr>
        <w:t>xvi</w:t>
      </w:r>
      <w:r w:rsidRPr="00E9210E">
        <w:rPr>
          <w:rStyle w:val="Corpsdutexte385ptNonItalique"/>
          <w:rFonts w:eastAsia="Courier New"/>
          <w:i w:val="0"/>
          <w:iCs w:val="0"/>
          <w:sz w:val="28"/>
          <w:vertAlign w:val="superscript"/>
        </w:rPr>
        <w:t>e</w:t>
      </w:r>
      <w:r w:rsidRPr="00E9210E">
        <w:rPr>
          <w:rStyle w:val="Corpsdutexte385ptNonItalique"/>
          <w:rFonts w:eastAsia="Courier New"/>
          <w:i w:val="0"/>
          <w:iCs w:val="0"/>
          <w:sz w:val="28"/>
        </w:rPr>
        <w:t xml:space="preserve"> siècle. (Compte rendu : J. </w:t>
      </w:r>
      <w:r w:rsidRPr="00E9210E">
        <w:rPr>
          <w:rStyle w:val="Corpsdutexte37ptGrasNonItalique"/>
          <w:rFonts w:eastAsia="Courier New"/>
          <w:b w:val="0"/>
          <w:i w:val="0"/>
          <w:iCs w:val="0"/>
          <w:smallCaps/>
          <w:sz w:val="28"/>
        </w:rPr>
        <w:t>Rutkowski</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Les questions économiques et financières sous le règne d'Étienne</w:t>
      </w:r>
      <w:r w:rsidRPr="00E9210E">
        <w:t xml:space="preserve"> </w:t>
      </w:r>
      <w:r w:rsidRPr="00E9210E">
        <w:rPr>
          <w:i/>
        </w:rPr>
        <w:t>B</w:t>
      </w:r>
      <w:r w:rsidRPr="00E9210E">
        <w:rPr>
          <w:i/>
        </w:rPr>
        <w:t>a</w:t>
      </w:r>
      <w:r w:rsidRPr="00E9210E">
        <w:rPr>
          <w:i/>
        </w:rPr>
        <w:t>tory</w:t>
      </w:r>
      <w:r w:rsidRPr="00E9210E">
        <w:rPr>
          <w:rStyle w:val="Corpsdutexte385ptNonItalique"/>
          <w:rFonts w:eastAsia="Courier New"/>
          <w:i w:val="0"/>
          <w:iCs w:val="0"/>
          <w:sz w:val="28"/>
        </w:rPr>
        <w:t xml:space="preserve">, dans </w:t>
      </w:r>
      <w:r w:rsidRPr="00E9210E">
        <w:rPr>
          <w:i/>
        </w:rPr>
        <w:t>Académie polonaise des Sciences et des Lettres</w:t>
      </w:r>
      <w:r w:rsidRPr="00E9210E">
        <w:t xml:space="preserve">. </w:t>
      </w:r>
      <w:r w:rsidRPr="00E9210E">
        <w:rPr>
          <w:i/>
        </w:rPr>
        <w:t>Académie des Sciences hongroise</w:t>
      </w:r>
      <w:r w:rsidRPr="00E9210E">
        <w:t xml:space="preserve">, </w:t>
      </w:r>
      <w:r w:rsidRPr="00E9210E">
        <w:rPr>
          <w:i/>
        </w:rPr>
        <w:t>Étienne Batory, roi de Pologne, prince de Transylvanie</w:t>
      </w:r>
      <w:r w:rsidRPr="00E9210E">
        <w:rPr>
          <w:rStyle w:val="Corpsdutexte385ptNonItalique"/>
          <w:rFonts w:eastAsia="Courier New"/>
          <w:i w:val="0"/>
          <w:iCs w:val="0"/>
          <w:sz w:val="28"/>
        </w:rPr>
        <w:t>, Cracovie, 1935), « A.H.E.S. », t. X (1938), p. 466.</w:t>
      </w:r>
    </w:p>
    <w:p w14:paraId="67223EE0" w14:textId="77777777" w:rsidR="00B9662D" w:rsidRPr="00E9210E" w:rsidRDefault="00B9662D" w:rsidP="00B9662D">
      <w:pPr>
        <w:spacing w:before="120" w:after="120"/>
        <w:jc w:val="both"/>
      </w:pPr>
      <w:r w:rsidRPr="00E9210E">
        <w:t xml:space="preserve">Une apologie. (Compte rendu : </w:t>
      </w:r>
      <w:r w:rsidRPr="00E9210E">
        <w:rPr>
          <w:rStyle w:val="Corpsdutexte27ptGras"/>
          <w:rFonts w:eastAsia="Courier New"/>
          <w:b w:val="0"/>
          <w:sz w:val="28"/>
        </w:rPr>
        <w:t xml:space="preserve">H. </w:t>
      </w:r>
      <w:r w:rsidRPr="00E9210E">
        <w:rPr>
          <w:rStyle w:val="Corpsdutexte27ptGras"/>
          <w:rFonts w:eastAsia="Courier New"/>
          <w:b w:val="0"/>
          <w:smallCaps/>
          <w:sz w:val="28"/>
        </w:rPr>
        <w:t>Crépin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liberté du travail dans l'ancienne France</w:t>
      </w:r>
      <w:r w:rsidRPr="00E9210E">
        <w:t>, Vézelay, 1937), « A.H.E.S. », t. X (1938), p. 516.</w:t>
      </w:r>
    </w:p>
    <w:p w14:paraId="27D2F4F6" w14:textId="77777777" w:rsidR="00B9662D" w:rsidRPr="00E9210E" w:rsidRDefault="00B9662D" w:rsidP="00B9662D">
      <w:pPr>
        <w:spacing w:before="120" w:after="120"/>
        <w:jc w:val="both"/>
      </w:pPr>
      <w:r w:rsidRPr="00E9210E">
        <w:t xml:space="preserve">L'argent est-il le nerf de la guerre ? (Compte rendu : P. </w:t>
      </w:r>
      <w:r w:rsidRPr="00E9210E">
        <w:rPr>
          <w:rStyle w:val="Corpsdutexte27ptGras"/>
          <w:rFonts w:eastAsia="Courier New"/>
          <w:b w:val="0"/>
          <w:smallCaps/>
          <w:sz w:val="28"/>
        </w:rPr>
        <w:t>Harsin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L'argent est-il le nerf de la guerre ?</w:t>
      </w:r>
      <w:r w:rsidRPr="00E9210E">
        <w:t xml:space="preserve"> dans </w:t>
      </w:r>
      <w:r w:rsidRPr="00E9210E">
        <w:rPr>
          <w:rFonts w:eastAsia="Courier New"/>
          <w:i/>
        </w:rPr>
        <w:t>Revue des sciences polit</w:t>
      </w:r>
      <w:r w:rsidRPr="00E9210E">
        <w:rPr>
          <w:rFonts w:eastAsia="Courier New"/>
          <w:i/>
        </w:rPr>
        <w:t>i</w:t>
      </w:r>
      <w:r w:rsidRPr="00E9210E">
        <w:rPr>
          <w:rFonts w:eastAsia="Courier New"/>
          <w:i/>
        </w:rPr>
        <w:t>ques</w:t>
      </w:r>
      <w:r w:rsidRPr="00E9210E">
        <w:t>, t. LVIII (1935), p. 231-240), « A.H.E.S. », t. X (1938), p. 517.</w:t>
      </w:r>
    </w:p>
    <w:p w14:paraId="630C562F" w14:textId="77777777" w:rsidR="00B9662D" w:rsidRPr="00E9210E" w:rsidRDefault="00B9662D" w:rsidP="00B9662D">
      <w:pPr>
        <w:spacing w:before="120" w:after="120"/>
        <w:jc w:val="both"/>
      </w:pPr>
      <w:r w:rsidRPr="00E9210E">
        <w:t xml:space="preserve">Autour de la Loire. (Compte rendu : E. </w:t>
      </w:r>
      <w:r w:rsidRPr="00E9210E">
        <w:rPr>
          <w:rStyle w:val="Corpsdutexte27ptGras"/>
          <w:rFonts w:eastAsia="Courier New"/>
          <w:b w:val="0"/>
          <w:smallCaps/>
          <w:sz w:val="28"/>
        </w:rPr>
        <w:t>Bruley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Géographie des pays de la Loire</w:t>
      </w:r>
      <w:r w:rsidRPr="00E9210E">
        <w:rPr>
          <w:rFonts w:eastAsia="Courier New"/>
        </w:rPr>
        <w:t>,</w:t>
      </w:r>
      <w:r w:rsidRPr="00E9210E">
        <w:t xml:space="preserve"> Paris, 1937), « A.H.E.S. », t. X (1938), pp. 518-519.</w:t>
      </w:r>
    </w:p>
    <w:p w14:paraId="6B533A97" w14:textId="77777777" w:rsidR="00B9662D" w:rsidRPr="00E9210E" w:rsidRDefault="00B9662D" w:rsidP="00B9662D">
      <w:pPr>
        <w:spacing w:before="120" w:after="120"/>
        <w:jc w:val="both"/>
      </w:pPr>
      <w:r w:rsidRPr="00E9210E">
        <w:t xml:space="preserve">En Grésivaudan. (Compte rendu : G. </w:t>
      </w:r>
      <w:r w:rsidRPr="00E9210E">
        <w:rPr>
          <w:rStyle w:val="Corpsdutexte27ptGras"/>
          <w:rFonts w:eastAsia="Courier New"/>
          <w:b w:val="0"/>
          <w:smallCaps/>
          <w:sz w:val="28"/>
        </w:rPr>
        <w:t>Verner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L'agriculture du Grés</w:t>
      </w:r>
      <w:r w:rsidRPr="00E9210E">
        <w:rPr>
          <w:rFonts w:eastAsia="Courier New"/>
          <w:i/>
        </w:rPr>
        <w:t>i</w:t>
      </w:r>
      <w:r w:rsidRPr="00E9210E">
        <w:rPr>
          <w:rFonts w:eastAsia="Courier New"/>
          <w:i/>
        </w:rPr>
        <w:t>vaudan</w:t>
      </w:r>
      <w:r w:rsidRPr="00E9210E">
        <w:t xml:space="preserve">, dans </w:t>
      </w:r>
      <w:r w:rsidRPr="00E9210E">
        <w:rPr>
          <w:rFonts w:eastAsia="Courier New"/>
          <w:i/>
        </w:rPr>
        <w:t>Annales de l'Université de Grenoble</w:t>
      </w:r>
      <w:r w:rsidRPr="00E9210E">
        <w:t>, t. XIII (1936), pp. 89-162). « A.H.E.S. », t. X (1938), p. 520.</w:t>
      </w:r>
    </w:p>
    <w:p w14:paraId="72FB93CF" w14:textId="77777777" w:rsidR="00B9662D" w:rsidRPr="00E9210E" w:rsidRDefault="00B9662D" w:rsidP="00B9662D">
      <w:pPr>
        <w:spacing w:before="120" w:after="120"/>
        <w:jc w:val="both"/>
      </w:pPr>
      <w:r w:rsidRPr="00E9210E">
        <w:t xml:space="preserve">Compte rendu : L. </w:t>
      </w:r>
      <w:r w:rsidRPr="00E9210E">
        <w:rPr>
          <w:rStyle w:val="Corpsdutexte27ptGras"/>
          <w:rFonts w:eastAsia="Courier New"/>
          <w:b w:val="0"/>
          <w:smallCaps/>
          <w:sz w:val="28"/>
        </w:rPr>
        <w:t>Manz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Der Ordo-Gedanke : ein Beitrag zur Frage des mittelalterlichen Ständeg</w:t>
      </w:r>
      <w:r w:rsidRPr="00E9210E">
        <w:rPr>
          <w:rStyle w:val="Corpsdutexte28ptItalique"/>
          <w:rFonts w:eastAsia="Courier New"/>
          <w:sz w:val="28"/>
        </w:rPr>
        <w:t>e</w:t>
      </w:r>
      <w:r w:rsidRPr="00E9210E">
        <w:rPr>
          <w:rStyle w:val="Corpsdutexte28ptItalique"/>
          <w:rFonts w:eastAsia="Courier New"/>
          <w:sz w:val="28"/>
        </w:rPr>
        <w:t>dankens,</w:t>
      </w:r>
      <w:r w:rsidRPr="00E9210E">
        <w:rPr>
          <w:rStyle w:val="Corpsdutexte28ptGraschelle120"/>
          <w:rFonts w:eastAsia="Courier New"/>
          <w:sz w:val="28"/>
        </w:rPr>
        <w:t xml:space="preserve"> </w:t>
      </w:r>
      <w:r w:rsidRPr="00E9210E">
        <w:t>Stuttgart, 1937), « Le Moyen Âge », 3</w:t>
      </w:r>
      <w:r w:rsidRPr="00E9210E">
        <w:rPr>
          <w:vertAlign w:val="superscript"/>
        </w:rPr>
        <w:t>e</w:t>
      </w:r>
      <w:r w:rsidRPr="00E9210E">
        <w:t xml:space="preserve"> série, t. 9 (1938), p. 312.</w:t>
      </w:r>
    </w:p>
    <w:p w14:paraId="38626E0D"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Pirenne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l'Europe, des invasions au</w:t>
      </w:r>
      <w:r w:rsidRPr="00E9210E">
        <w:rPr>
          <w:rFonts w:eastAsia="Courier New"/>
        </w:rPr>
        <w:t xml:space="preserve"> </w:t>
      </w:r>
      <w:r w:rsidRPr="00E9210E">
        <w:rPr>
          <w:rStyle w:val="Corpsdutexte2ItaliqueEspacement1pt"/>
          <w:rFonts w:eastAsia="Courier New"/>
          <w:sz w:val="28"/>
          <w:lang w:val="fr-CA"/>
        </w:rPr>
        <w:t>XVI</w:t>
      </w:r>
      <w:r w:rsidRPr="00E9210E">
        <w:rPr>
          <w:rStyle w:val="Corpsdutexte2ItaliqueEspacement1pt"/>
          <w:rFonts w:eastAsia="Courier New"/>
          <w:sz w:val="28"/>
          <w:vertAlign w:val="superscript"/>
          <w:lang w:val="fr-CA"/>
        </w:rPr>
        <w:t>e</w:t>
      </w:r>
      <w:r w:rsidRPr="00E9210E">
        <w:rPr>
          <w:rStyle w:val="Corpsdutexte2ItaliqueEspacement1pt"/>
          <w:rFonts w:eastAsia="Courier New"/>
          <w:sz w:val="28"/>
          <w:lang w:val="fr-CA"/>
        </w:rPr>
        <w:t xml:space="preserve"> s.,</w:t>
      </w:r>
      <w:r w:rsidRPr="00E9210E">
        <w:t xml:space="preserve"> Paris, 1936, « </w:t>
      </w:r>
      <w:r w:rsidRPr="00E9210E">
        <w:rPr>
          <w:i/>
        </w:rPr>
        <w:t>Revue historique </w:t>
      </w:r>
      <w:r w:rsidRPr="00E9210E">
        <w:t>», t. 182 (1938), pp. 348-350.</w:t>
      </w:r>
    </w:p>
    <w:p w14:paraId="3324BA52" w14:textId="77777777" w:rsidR="00B9662D" w:rsidRPr="00E9210E" w:rsidRDefault="00B9662D" w:rsidP="00B9662D">
      <w:pPr>
        <w:spacing w:before="120" w:after="120"/>
        <w:jc w:val="both"/>
      </w:pPr>
      <w:r w:rsidRPr="00E9210E">
        <w:t xml:space="preserve">(En collaboration avec M. Ch.-E. </w:t>
      </w:r>
      <w:r w:rsidRPr="00E9210E">
        <w:rPr>
          <w:smallCaps/>
        </w:rPr>
        <w:t>Perrin</w:t>
      </w:r>
      <w:r w:rsidRPr="00E9210E">
        <w:t xml:space="preserve">) : </w:t>
      </w:r>
      <w:r w:rsidRPr="00E9210E">
        <w:rPr>
          <w:rStyle w:val="Corpsdutexte28ptItalique"/>
          <w:rFonts w:eastAsia="Courier New"/>
          <w:sz w:val="28"/>
        </w:rPr>
        <w:t>Bulletin historique. Histoire d'Allem</w:t>
      </w:r>
      <w:r w:rsidRPr="00E9210E">
        <w:rPr>
          <w:rStyle w:val="Corpsdutexte28ptItalique"/>
          <w:rFonts w:eastAsia="Courier New"/>
          <w:sz w:val="28"/>
        </w:rPr>
        <w:t>a</w:t>
      </w:r>
      <w:r w:rsidRPr="00E9210E">
        <w:rPr>
          <w:rStyle w:val="Corpsdutexte28ptItalique"/>
          <w:rFonts w:eastAsia="Courier New"/>
          <w:sz w:val="28"/>
        </w:rPr>
        <w:t>gne. Moyen Âge,</w:t>
      </w:r>
      <w:r w:rsidRPr="00E9210E">
        <w:rPr>
          <w:rStyle w:val="Corpsdutexte28ptGraschelle120"/>
          <w:rFonts w:eastAsia="Courier New"/>
          <w:sz w:val="28"/>
        </w:rPr>
        <w:t xml:space="preserve"> </w:t>
      </w:r>
      <w:r w:rsidRPr="00E9210E">
        <w:t>« Revue historique », t. 184 (1938), pp. 79-112 et 146-190.</w:t>
      </w:r>
    </w:p>
    <w:p w14:paraId="230CAE36"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Z. </w:t>
      </w:r>
      <w:r w:rsidRPr="00E9210E">
        <w:rPr>
          <w:rStyle w:val="Corpsdutexte37ptGrasNonItalique"/>
          <w:rFonts w:eastAsia="Courier New"/>
          <w:b w:val="0"/>
          <w:i w:val="0"/>
          <w:iCs w:val="0"/>
          <w:smallCaps/>
          <w:sz w:val="28"/>
        </w:rPr>
        <w:t>Ivinskis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Geschichte des Bauernstandes in L</w:t>
      </w:r>
      <w:r w:rsidRPr="00E9210E">
        <w:rPr>
          <w:i/>
        </w:rPr>
        <w:t>i</w:t>
      </w:r>
      <w:r w:rsidRPr="00E9210E">
        <w:rPr>
          <w:i/>
        </w:rPr>
        <w:t>tauen von den àltesten Zeiten bis zum Anfang des 16</w:t>
      </w:r>
      <w:r w:rsidRPr="00E9210E">
        <w:t xml:space="preserve">. </w:t>
      </w:r>
      <w:r w:rsidRPr="00E9210E">
        <w:rPr>
          <w:i/>
        </w:rPr>
        <w:t>Jahrhundert.</w:t>
      </w:r>
      <w:r w:rsidRPr="00E9210E">
        <w:t>..,</w:t>
      </w:r>
      <w:r w:rsidRPr="00E9210E">
        <w:rPr>
          <w:rStyle w:val="Corpsdutexte3GrasNonItaliquechelle120"/>
          <w:rFonts w:eastAsia="Courier New"/>
          <w:i w:val="0"/>
          <w:iCs w:val="0"/>
          <w:sz w:val="28"/>
        </w:rPr>
        <w:t xml:space="preserve"> </w:t>
      </w:r>
      <w:r w:rsidRPr="00E9210E">
        <w:rPr>
          <w:rStyle w:val="Corpsdutexte385ptNonItalique"/>
          <w:rFonts w:eastAsia="Courier New"/>
          <w:i w:val="0"/>
          <w:iCs w:val="0"/>
          <w:sz w:val="28"/>
        </w:rPr>
        <w:t>Berlin, 1933), « Rev. synt. hist. », t. 58 (1938), p. 70.</w:t>
      </w:r>
    </w:p>
    <w:p w14:paraId="38841FF7" w14:textId="77777777" w:rsidR="00B9662D" w:rsidRPr="00E9210E" w:rsidRDefault="00B9662D" w:rsidP="00B9662D">
      <w:pPr>
        <w:spacing w:before="120" w:after="120"/>
        <w:jc w:val="both"/>
      </w:pPr>
    </w:p>
    <w:p w14:paraId="3FCB121C" w14:textId="77777777" w:rsidR="00B9662D" w:rsidRPr="00E9210E" w:rsidRDefault="00B9662D" w:rsidP="00B9662D">
      <w:pPr>
        <w:spacing w:before="120" w:after="120"/>
        <w:jc w:val="center"/>
        <w:rPr>
          <w:b/>
        </w:rPr>
      </w:pPr>
      <w:r w:rsidRPr="00E9210E">
        <w:rPr>
          <w:b/>
        </w:rPr>
        <w:t>1939</w:t>
      </w:r>
    </w:p>
    <w:p w14:paraId="6C828BAB" w14:textId="77777777" w:rsidR="00B9662D" w:rsidRPr="00E9210E" w:rsidRDefault="00B9662D" w:rsidP="00B9662D">
      <w:pPr>
        <w:spacing w:before="120" w:after="120"/>
        <w:jc w:val="both"/>
      </w:pPr>
    </w:p>
    <w:p w14:paraId="6735149B" w14:textId="77777777" w:rsidR="00B9662D" w:rsidRPr="00E9210E" w:rsidRDefault="00B9662D" w:rsidP="00B9662D">
      <w:pPr>
        <w:spacing w:before="120" w:after="120"/>
        <w:jc w:val="both"/>
      </w:pPr>
      <w:r w:rsidRPr="00E9210E">
        <w:rPr>
          <w:rStyle w:val="Corpsdutexte28ptGraschelle120"/>
          <w:rFonts w:eastAsia="Courier New"/>
          <w:sz w:val="28"/>
        </w:rPr>
        <w:t>La société féodale : la formation des liens de dépe</w:t>
      </w:r>
      <w:r w:rsidRPr="00E9210E">
        <w:rPr>
          <w:rStyle w:val="Corpsdutexte28ptGraschelle120"/>
          <w:rFonts w:eastAsia="Courier New"/>
          <w:sz w:val="28"/>
        </w:rPr>
        <w:t>n</w:t>
      </w:r>
      <w:r w:rsidRPr="00E9210E">
        <w:rPr>
          <w:rStyle w:val="Corpsdutexte28ptGraschelle120"/>
          <w:rFonts w:eastAsia="Courier New"/>
          <w:sz w:val="28"/>
        </w:rPr>
        <w:t xml:space="preserve">dance, </w:t>
      </w:r>
      <w:r w:rsidRPr="00E9210E">
        <w:t xml:space="preserve">Paris, A. Michel, 1939, in-8°, xxvn-473p. </w:t>
      </w:r>
      <w:r w:rsidRPr="00E9210E">
        <w:rPr>
          <w:rFonts w:eastAsia="Courier New"/>
        </w:rPr>
        <w:t>(</w:t>
      </w:r>
      <w:r w:rsidRPr="00E9210E">
        <w:rPr>
          <w:rFonts w:eastAsia="Courier New"/>
          <w:i/>
        </w:rPr>
        <w:t>L'Évolution de l'humanité</w:t>
      </w:r>
      <w:r w:rsidRPr="00E9210E">
        <w:rPr>
          <w:rFonts w:eastAsia="Courier New"/>
        </w:rPr>
        <w:t xml:space="preserve">. </w:t>
      </w:r>
      <w:r w:rsidRPr="00E9210E">
        <w:rPr>
          <w:rFonts w:eastAsia="Courier New"/>
          <w:i/>
        </w:rPr>
        <w:t>Synthèse collective</w:t>
      </w:r>
      <w:r w:rsidRPr="00E9210E">
        <w:rPr>
          <w:rFonts w:eastAsia="Courier New"/>
        </w:rPr>
        <w:t>, n°</w:t>
      </w:r>
      <w:r w:rsidRPr="00E9210E">
        <w:t xml:space="preserve"> 34). 2</w:t>
      </w:r>
      <w:r w:rsidRPr="00E9210E">
        <w:rPr>
          <w:vertAlign w:val="superscript"/>
        </w:rPr>
        <w:t>e</w:t>
      </w:r>
      <w:r w:rsidRPr="00E9210E">
        <w:t xml:space="preserve"> éd. 1949.</w:t>
      </w:r>
    </w:p>
    <w:p w14:paraId="7A647751" w14:textId="77777777" w:rsidR="00B9662D" w:rsidRPr="00E9210E" w:rsidRDefault="00B9662D" w:rsidP="00B9662D">
      <w:pPr>
        <w:spacing w:before="120" w:after="120"/>
        <w:jc w:val="both"/>
      </w:pPr>
      <w:r w:rsidRPr="00E9210E">
        <w:rPr>
          <w:rStyle w:val="Corpsdutexte118ptGrasNonItaliqueEspacement0ptchelle120"/>
          <w:rFonts w:eastAsia="Courier New"/>
          <w:i w:val="0"/>
          <w:iCs w:val="0"/>
          <w:sz w:val="28"/>
          <w:lang w:val="fr-CA"/>
        </w:rPr>
        <w:t xml:space="preserve">Aspects économiques du règne de Louis XIV. </w:t>
      </w:r>
      <w:r w:rsidRPr="00E9210E">
        <w:rPr>
          <w:rStyle w:val="Corpsdutexte11NonItaliqueEspacement0pt"/>
          <w:rFonts w:eastAsia="Courier New"/>
          <w:i w:val="0"/>
          <w:iCs w:val="0"/>
          <w:sz w:val="28"/>
          <w:lang w:val="fr-CA"/>
        </w:rPr>
        <w:t>Cours recueilli par P. Heumann, Paris, 1939, 2 fasc. in-4°, 84 ff. dactylogr</w:t>
      </w:r>
      <w:r w:rsidRPr="00E9210E">
        <w:rPr>
          <w:rStyle w:val="Corpsdutexte11NonItaliqueEspacement0pt"/>
          <w:rFonts w:eastAsia="Courier New"/>
          <w:i w:val="0"/>
          <w:iCs w:val="0"/>
          <w:sz w:val="28"/>
          <w:lang w:val="fr-CA"/>
        </w:rPr>
        <w:t>a</w:t>
      </w:r>
      <w:r w:rsidRPr="00E9210E">
        <w:rPr>
          <w:rStyle w:val="Corpsdutexte11NonItaliqueEspacement0pt"/>
          <w:rFonts w:eastAsia="Courier New"/>
          <w:i w:val="0"/>
          <w:iCs w:val="0"/>
          <w:sz w:val="28"/>
          <w:lang w:val="fr-CA"/>
        </w:rPr>
        <w:t xml:space="preserve">phiées </w:t>
      </w:r>
      <w:r w:rsidRPr="00E9210E">
        <w:rPr>
          <w:rFonts w:eastAsia="Courier New"/>
        </w:rPr>
        <w:t>(</w:t>
      </w:r>
      <w:r w:rsidRPr="00E9210E">
        <w:rPr>
          <w:rFonts w:eastAsia="Courier New"/>
          <w:i/>
        </w:rPr>
        <w:t>Les cours de Sorbonne. Certificat d'Études supérieures d'hi</w:t>
      </w:r>
      <w:r w:rsidRPr="00E9210E">
        <w:rPr>
          <w:rFonts w:eastAsia="Courier New"/>
          <w:i/>
        </w:rPr>
        <w:t>s</w:t>
      </w:r>
      <w:r w:rsidRPr="00E9210E">
        <w:rPr>
          <w:rFonts w:eastAsia="Courier New"/>
          <w:i/>
        </w:rPr>
        <w:t>toire moderne et contemporaine</w:t>
      </w:r>
      <w:r w:rsidRPr="00E9210E">
        <w:rPr>
          <w:rFonts w:eastAsia="Courier New"/>
        </w:rPr>
        <w:t>).</w:t>
      </w:r>
    </w:p>
    <w:p w14:paraId="7B4245AC" w14:textId="77777777" w:rsidR="00B9662D" w:rsidRPr="00E9210E" w:rsidRDefault="00B9662D" w:rsidP="00B9662D">
      <w:pPr>
        <w:spacing w:before="120" w:after="120"/>
        <w:jc w:val="both"/>
      </w:pPr>
      <w:r w:rsidRPr="00E9210E">
        <w:rPr>
          <w:rStyle w:val="Corpsdutexte28ptGraschelle120"/>
          <w:rFonts w:eastAsia="Courier New"/>
          <w:sz w:val="28"/>
        </w:rPr>
        <w:t>« Au lecteur »</w:t>
      </w:r>
      <w:r w:rsidRPr="00E9210E">
        <w:t xml:space="preserve"> (les Directeurs), </w:t>
      </w:r>
      <w:r w:rsidRPr="00E9210E">
        <w:rPr>
          <w:rFonts w:eastAsia="Courier New"/>
        </w:rPr>
        <w:t>A.</w:t>
      </w:r>
      <w:r w:rsidRPr="00E9210E">
        <w:rPr>
          <w:rStyle w:val="Corpsdutexte2ItaliqueEspacement0pt"/>
          <w:rFonts w:eastAsia="Courier New"/>
          <w:sz w:val="28"/>
        </w:rPr>
        <w:t>H. S.,</w:t>
      </w:r>
      <w:r w:rsidRPr="00E9210E">
        <w:rPr>
          <w:rStyle w:val="Corpsdutexte28ptGraschelle120"/>
          <w:rFonts w:eastAsia="Courier New"/>
          <w:sz w:val="28"/>
        </w:rPr>
        <w:t xml:space="preserve"> </w:t>
      </w:r>
      <w:r w:rsidRPr="00E9210E">
        <w:t>t. I (1939), pp. 5-6.</w:t>
      </w:r>
    </w:p>
    <w:p w14:paraId="3877E33A"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Économie-nature ou économie-argent</w:t>
      </w:r>
      <w:r w:rsidRPr="00E9210E">
        <w:rPr>
          <w:rStyle w:val="Corpsdutexte885ptNonGraschelle100"/>
          <w:rFonts w:eastAsia="Courier New"/>
          <w:b w:val="0"/>
          <w:bCs w:val="0"/>
          <w:sz w:val="28"/>
        </w:rPr>
        <w:t xml:space="preserve">, </w:t>
      </w:r>
      <w:r w:rsidRPr="00E9210E">
        <w:rPr>
          <w:b/>
        </w:rPr>
        <w:t>un pseudo-dilemme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A.H.S.,</w:t>
      </w:r>
      <w:r w:rsidRPr="00E9210E">
        <w:rPr>
          <w:rStyle w:val="Corpsdutexte885ptNonGraschelle100"/>
          <w:rFonts w:eastAsia="Courier New"/>
          <w:b w:val="0"/>
          <w:bCs w:val="0"/>
          <w:sz w:val="28"/>
        </w:rPr>
        <w:t xml:space="preserve"> t. I (1939)</w:t>
      </w:r>
      <w:r w:rsidRPr="00E9210E">
        <w:t>, pp. 7-16.</w:t>
      </w:r>
    </w:p>
    <w:p w14:paraId="6A54F8C4" w14:textId="77777777" w:rsidR="00B9662D" w:rsidRPr="00E9210E" w:rsidRDefault="00B9662D" w:rsidP="00B9662D">
      <w:pPr>
        <w:spacing w:before="120" w:after="120"/>
        <w:jc w:val="both"/>
      </w:pPr>
      <w:r w:rsidRPr="00E9210E">
        <w:t>« </w:t>
      </w:r>
      <w:r w:rsidRPr="00E9210E">
        <w:rPr>
          <w:b/>
        </w:rPr>
        <w:t>Les journées de synthèse historique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A.H.S.,</w:t>
      </w:r>
      <w:r w:rsidRPr="00E9210E">
        <w:rPr>
          <w:rStyle w:val="Corpsdutexte885ptNonGraschelle100"/>
          <w:rFonts w:eastAsia="Courier New"/>
          <w:b w:val="0"/>
          <w:bCs w:val="0"/>
          <w:sz w:val="28"/>
        </w:rPr>
        <w:t xml:space="preserve"> t. I (1939), p. 441.</w:t>
      </w:r>
    </w:p>
    <w:p w14:paraId="58D86918" w14:textId="77777777" w:rsidR="00B9662D" w:rsidRPr="00E9210E" w:rsidRDefault="00B9662D" w:rsidP="00B9662D">
      <w:pPr>
        <w:spacing w:before="120" w:after="120"/>
        <w:jc w:val="both"/>
      </w:pPr>
      <w:r w:rsidRPr="00E9210E">
        <w:rPr>
          <w:rStyle w:val="Corpsdutexte28ptGraschelle120"/>
          <w:rFonts w:eastAsia="Courier New"/>
          <w:sz w:val="28"/>
        </w:rPr>
        <w:t>« Les problèmes du peuplement beauceron »</w:t>
      </w:r>
      <w:r w:rsidRPr="00E9210E">
        <w:t xml:space="preserve">, </w:t>
      </w:r>
      <w:r w:rsidRPr="00E9210E">
        <w:rPr>
          <w:rFonts w:eastAsia="Courier New"/>
          <w:i/>
        </w:rPr>
        <w:t>Rev. synt. hist</w:t>
      </w:r>
      <w:r w:rsidRPr="00E9210E">
        <w:rPr>
          <w:rFonts w:eastAsia="Courier New"/>
        </w:rPr>
        <w:t>.,</w:t>
      </w:r>
      <w:r w:rsidRPr="00E9210E">
        <w:t xml:space="preserve"> t. 59 (1939), pp. 62-73 ; discussion, pp. 73-77. Conférence faite le 23 juin à 15 h. au cours des Premières journées de synthèse historique (20-25 juin 1938).</w:t>
      </w:r>
    </w:p>
    <w:p w14:paraId="01449B29" w14:textId="77777777" w:rsidR="00B9662D" w:rsidRPr="00E9210E" w:rsidRDefault="00B9662D" w:rsidP="00B9662D">
      <w:pPr>
        <w:spacing w:before="120" w:after="120"/>
        <w:jc w:val="both"/>
      </w:pPr>
      <w:r w:rsidRPr="00E9210E">
        <w:rPr>
          <w:rStyle w:val="Corpsdutexte28ptGraschelle120"/>
          <w:rFonts w:eastAsia="Courier New"/>
          <w:sz w:val="28"/>
        </w:rPr>
        <w:t>« Aux visiteurs »</w:t>
      </w:r>
      <w:r w:rsidRPr="00E9210E">
        <w:t xml:space="preserve"> (Bibliothèque Nationale, </w:t>
      </w:r>
      <w:r w:rsidRPr="00E9210E">
        <w:rPr>
          <w:rFonts w:eastAsia="Courier New"/>
          <w:i/>
        </w:rPr>
        <w:t>Les travaux et les jours dans l'ancienne France</w:t>
      </w:r>
      <w:r w:rsidRPr="00E9210E">
        <w:rPr>
          <w:rFonts w:eastAsia="Courier New"/>
        </w:rPr>
        <w:t>,</w:t>
      </w:r>
      <w:r w:rsidRPr="00E9210E">
        <w:t xml:space="preserve"> exposition organisée de juin à septe</w:t>
      </w:r>
      <w:r w:rsidRPr="00E9210E">
        <w:t>m</w:t>
      </w:r>
      <w:r w:rsidRPr="00E9210E">
        <w:t>bre 1939... pour commémorer le IV</w:t>
      </w:r>
      <w:r w:rsidRPr="00E9210E">
        <w:rPr>
          <w:vertAlign w:val="superscript"/>
        </w:rPr>
        <w:t>e</w:t>
      </w:r>
      <w:r w:rsidRPr="00E9210E">
        <w:t xml:space="preserve"> centenaire d’Olivier de Serres), Paris, B</w:t>
      </w:r>
      <w:r w:rsidRPr="00E9210E">
        <w:t>i</w:t>
      </w:r>
      <w:r w:rsidRPr="00E9210E">
        <w:t>bliothèque Nationale, 1939, in-8°.</w:t>
      </w:r>
    </w:p>
    <w:p w14:paraId="4001146A" w14:textId="77777777" w:rsidR="00B9662D" w:rsidRPr="00E9210E" w:rsidRDefault="00B9662D" w:rsidP="00B9662D">
      <w:pPr>
        <w:spacing w:before="120" w:after="120"/>
        <w:jc w:val="both"/>
      </w:pPr>
      <w:r w:rsidRPr="00E9210E">
        <w:t>Féodalité et noblesse polonaises. (Compte rendu : Z.</w:t>
      </w:r>
      <w:r w:rsidRPr="00E9210E">
        <w:rPr>
          <w:b/>
        </w:rPr>
        <w:t> </w:t>
      </w:r>
      <w:r w:rsidRPr="00E9210E">
        <w:rPr>
          <w:rStyle w:val="Corpsdutexte27ptGrasPetitesmajuscules"/>
          <w:rFonts w:eastAsia="Courier New"/>
          <w:b w:val="0"/>
          <w:sz w:val="28"/>
          <w:lang w:val="fr-CA"/>
        </w:rPr>
        <w:t xml:space="preserve">Wojciechowski, </w:t>
      </w:r>
      <w:r w:rsidRPr="00E9210E">
        <w:rPr>
          <w:rFonts w:eastAsia="Courier New"/>
          <w:i/>
        </w:rPr>
        <w:t>La condition des nobles et le problème de la fé</w:t>
      </w:r>
      <w:r w:rsidRPr="00E9210E">
        <w:rPr>
          <w:rFonts w:eastAsia="Courier New"/>
          <w:i/>
        </w:rPr>
        <w:t>o</w:t>
      </w:r>
      <w:r w:rsidRPr="00E9210E">
        <w:rPr>
          <w:rFonts w:eastAsia="Courier New"/>
          <w:i/>
        </w:rPr>
        <w:t>dalité en Pologne au Moyen Âge</w:t>
      </w:r>
      <w:r w:rsidRPr="00E9210E">
        <w:rPr>
          <w:rFonts w:eastAsia="Courier New"/>
        </w:rPr>
        <w:t>,</w:t>
      </w:r>
      <w:r w:rsidRPr="00E9210E">
        <w:t xml:space="preserve"> dans </w:t>
      </w:r>
      <w:r w:rsidRPr="00E9210E">
        <w:rPr>
          <w:rFonts w:eastAsia="Courier New"/>
          <w:i/>
        </w:rPr>
        <w:t>Revue historique de droit fra</w:t>
      </w:r>
      <w:r w:rsidRPr="00E9210E">
        <w:rPr>
          <w:rFonts w:eastAsia="Courier New"/>
          <w:i/>
        </w:rPr>
        <w:t>n</w:t>
      </w:r>
      <w:r w:rsidRPr="00E9210E">
        <w:rPr>
          <w:rFonts w:eastAsia="Courier New"/>
          <w:i/>
        </w:rPr>
        <w:t>çais et étranger</w:t>
      </w:r>
      <w:r w:rsidRPr="00E9210E">
        <w:rPr>
          <w:rFonts w:eastAsia="Courier New"/>
        </w:rPr>
        <w:t>,</w:t>
      </w:r>
      <w:r w:rsidRPr="00E9210E">
        <w:t xml:space="preserve"> 1936, pp. 651-700 et 1937, pp. 20-76), « A.H.S. », t. I (1939), pp. 53-54.</w:t>
      </w:r>
    </w:p>
    <w:p w14:paraId="0478F9E8" w14:textId="77777777" w:rsidR="00B9662D" w:rsidRPr="00E9210E" w:rsidRDefault="00B9662D" w:rsidP="00B9662D">
      <w:pPr>
        <w:spacing w:before="120" w:after="120"/>
        <w:jc w:val="both"/>
      </w:pPr>
      <w:r w:rsidRPr="00E9210E">
        <w:rPr>
          <w:rFonts w:eastAsia="Courier New"/>
        </w:rPr>
        <w:t>[1092]</w:t>
      </w:r>
    </w:p>
    <w:p w14:paraId="3017FE9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w:t>
      </w:r>
      <w:r w:rsidRPr="00E9210E">
        <w:rPr>
          <w:rStyle w:val="Corpsdutexte119ptNonItaliqueEspacement0pt"/>
          <w:rFonts w:eastAsia="Courier New"/>
          <w:i w:val="0"/>
          <w:iCs w:val="0"/>
          <w:sz w:val="28"/>
        </w:rPr>
        <w:t>rendu :</w:t>
      </w:r>
      <w:r w:rsidRPr="00E9210E">
        <w:rPr>
          <w:rStyle w:val="Corpsdutexte11NonItaliqueEspacement0pt"/>
          <w:rFonts w:eastAsia="Courier New"/>
          <w:i w:val="0"/>
          <w:iCs w:val="0"/>
          <w:sz w:val="28"/>
          <w:lang w:val="fr-CA"/>
        </w:rPr>
        <w:t xml:space="preserve"> J. </w:t>
      </w:r>
      <w:r w:rsidRPr="00E9210E">
        <w:rPr>
          <w:rStyle w:val="Corpsdutexte119ptNonItaliqueEspacement0pt"/>
          <w:rFonts w:eastAsia="Courier New"/>
          <w:i w:val="0"/>
          <w:iCs w:val="0"/>
          <w:sz w:val="28"/>
        </w:rPr>
        <w:t xml:space="preserve">de </w:t>
      </w:r>
      <w:r w:rsidRPr="00E9210E">
        <w:rPr>
          <w:rStyle w:val="Corpsdutexte119ptNonItaliquePetitesmajusculesEspacement0pt"/>
          <w:rFonts w:eastAsia="Courier New"/>
          <w:i w:val="0"/>
          <w:iCs w:val="0"/>
          <w:sz w:val="28"/>
          <w:lang w:val="fr-CA"/>
        </w:rPr>
        <w:t xml:space="preserve">Croy, </w:t>
      </w:r>
      <w:r w:rsidRPr="00E9210E">
        <w:rPr>
          <w:rFonts w:eastAsia="Courier New"/>
          <w:i/>
        </w:rPr>
        <w:t>Notice historique sur les Archives de la chambre des comptes de Blois</w:t>
      </w:r>
      <w:r w:rsidRPr="00E9210E">
        <w:rPr>
          <w:rFonts w:eastAsia="Courier New"/>
        </w:rPr>
        <w:t>,</w:t>
      </w:r>
      <w:r w:rsidRPr="00E9210E">
        <w:rPr>
          <w:rStyle w:val="Corpsdutexte11NonItaliqueEspacement0pt"/>
          <w:rFonts w:eastAsia="Courier New"/>
          <w:i w:val="0"/>
          <w:iCs w:val="0"/>
          <w:sz w:val="28"/>
          <w:lang w:val="fr-CA"/>
        </w:rPr>
        <w:t xml:space="preserve"> </w:t>
      </w:r>
      <w:r w:rsidRPr="00E9210E">
        <w:rPr>
          <w:rStyle w:val="Corpsdutexte119ptNonItaliqueEspacement0pt"/>
          <w:rFonts w:eastAsia="Courier New"/>
          <w:i w:val="0"/>
          <w:iCs w:val="0"/>
          <w:sz w:val="28"/>
        </w:rPr>
        <w:t xml:space="preserve">dans </w:t>
      </w:r>
      <w:r w:rsidRPr="00E9210E">
        <w:rPr>
          <w:rFonts w:eastAsia="Courier New"/>
          <w:i/>
        </w:rPr>
        <w:t>Mémoires de la Société des Sciences et Lettres de Loir-et-Cher</w:t>
      </w:r>
      <w:r w:rsidRPr="00E9210E">
        <w:rPr>
          <w:rStyle w:val="Corpsdutexte11NonItaliqueEspacement0pt"/>
          <w:rFonts w:eastAsia="Courier New"/>
          <w:i w:val="0"/>
          <w:iCs w:val="0"/>
          <w:sz w:val="28"/>
          <w:lang w:val="fr-CA"/>
        </w:rPr>
        <w:t>, t. XXIX (1936), pp. 99-148, « A.H.S. », t. I (1939), pp. 71-72.</w:t>
      </w:r>
    </w:p>
    <w:p w14:paraId="238EC15F" w14:textId="77777777" w:rsidR="00B9662D" w:rsidRPr="00E9210E" w:rsidRDefault="00B9662D" w:rsidP="00B9662D">
      <w:pPr>
        <w:spacing w:before="120" w:after="120"/>
        <w:jc w:val="both"/>
      </w:pPr>
      <w:r w:rsidRPr="00E9210E">
        <w:t xml:space="preserve">De la donation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l’inféodation. (Compte rendu : D. von </w:t>
      </w:r>
      <w:r w:rsidRPr="00E9210E">
        <w:rPr>
          <w:rStyle w:val="Corpsdutexte27ptGras"/>
          <w:rFonts w:eastAsia="Courier New"/>
          <w:b w:val="0"/>
          <w:smallCaps/>
          <w:sz w:val="28"/>
        </w:rPr>
        <w:t>Gladiss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Die Sche</w:t>
      </w:r>
      <w:r w:rsidRPr="00E9210E">
        <w:rPr>
          <w:rStyle w:val="Corpsdutexte28ptItalique"/>
          <w:rFonts w:eastAsia="Courier New"/>
          <w:sz w:val="28"/>
        </w:rPr>
        <w:t>n</w:t>
      </w:r>
      <w:r w:rsidRPr="00E9210E">
        <w:rPr>
          <w:rStyle w:val="Corpsdutexte28ptItalique"/>
          <w:rFonts w:eastAsia="Courier New"/>
          <w:sz w:val="28"/>
        </w:rPr>
        <w:t>kungen der deutschen Könige zu privatem Eigen (800-1137</w:t>
      </w:r>
      <w:r w:rsidRPr="00E9210E">
        <w:rPr>
          <w:rFonts w:eastAsia="Courier New"/>
        </w:rPr>
        <w:t>),</w:t>
      </w:r>
      <w:r w:rsidRPr="00E9210E">
        <w:t xml:space="preserve"> dans </w:t>
      </w:r>
      <w:r w:rsidRPr="00E9210E">
        <w:rPr>
          <w:rStyle w:val="Corpsdutexte28ptItalique"/>
          <w:rFonts w:eastAsia="Courier New"/>
          <w:sz w:val="28"/>
        </w:rPr>
        <w:t>Deutsches Archiv fiir Geschichte des Mittelalters</w:t>
      </w:r>
      <w:r w:rsidRPr="00E9210E">
        <w:t>, t. I (1937), pp. 80-137), « A.H.S. », t. I (1939), pp. 84-85.</w:t>
      </w:r>
    </w:p>
    <w:p w14:paraId="369D1D2C" w14:textId="77777777" w:rsidR="00B9662D" w:rsidRPr="00E9210E" w:rsidRDefault="00B9662D" w:rsidP="00B9662D">
      <w:pPr>
        <w:spacing w:before="120" w:after="120"/>
        <w:jc w:val="both"/>
      </w:pPr>
      <w:r w:rsidRPr="00E9210E">
        <w:t xml:space="preserve">« Mercerie » et grand commerce. (Compte rendu : </w:t>
      </w:r>
      <w:r w:rsidRPr="00E9210E">
        <w:rPr>
          <w:rFonts w:eastAsia="Courier New"/>
          <w:i/>
        </w:rPr>
        <w:t>Acts of court of the Mercer’s Company,</w:t>
      </w:r>
      <w:r w:rsidRPr="00E9210E">
        <w:rPr>
          <w:rFonts w:eastAsia="Courier New"/>
        </w:rPr>
        <w:t xml:space="preserve"> </w:t>
      </w:r>
      <w:r w:rsidRPr="00E9210E">
        <w:rPr>
          <w:rStyle w:val="Corpsdutexte28ptItalique"/>
          <w:rFonts w:eastAsia="Courier New"/>
          <w:sz w:val="28"/>
        </w:rPr>
        <w:t>1453-1527.</w:t>
      </w:r>
      <w:r w:rsidRPr="00E9210E">
        <w:rPr>
          <w:rStyle w:val="Corpsdutexte28ptGrasEspacement1ptchelle120"/>
          <w:rFonts w:eastAsia="Courier New"/>
          <w:sz w:val="28"/>
        </w:rPr>
        <w:t xml:space="preserve"> </w:t>
      </w:r>
      <w:r w:rsidRPr="00E9210E">
        <w:t xml:space="preserve">With an introduction by </w:t>
      </w:r>
      <w:r w:rsidRPr="00E9210E">
        <w:rPr>
          <w:rStyle w:val="Corpsdutexte27ptGras"/>
          <w:rFonts w:eastAsia="Courier New"/>
          <w:b w:val="0"/>
          <w:sz w:val="28"/>
        </w:rPr>
        <w:t xml:space="preserve">L. </w:t>
      </w:r>
      <w:r w:rsidRPr="00E9210E">
        <w:rPr>
          <w:rStyle w:val="Corpsdutexte27ptGras"/>
          <w:rFonts w:eastAsia="Courier New"/>
          <w:b w:val="0"/>
          <w:smallCaps/>
          <w:sz w:val="28"/>
        </w:rPr>
        <w:t>Lyell</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assisted by Fr. D. </w:t>
      </w:r>
      <w:r w:rsidRPr="00E9210E">
        <w:rPr>
          <w:rStyle w:val="Corpsdutexte27ptGras"/>
          <w:rFonts w:eastAsia="Courier New"/>
          <w:b w:val="0"/>
          <w:smallCaps/>
          <w:sz w:val="28"/>
        </w:rPr>
        <w:t>Watney</w:t>
      </w:r>
      <w:r w:rsidRPr="00E9210E">
        <w:rPr>
          <w:rStyle w:val="Corpsdutexte27ptGras"/>
          <w:rFonts w:eastAsia="Courier New"/>
          <w:b w:val="0"/>
          <w:sz w:val="28"/>
        </w:rPr>
        <w:t>,</w:t>
      </w:r>
      <w:r w:rsidRPr="00E9210E">
        <w:rPr>
          <w:rStyle w:val="Corpsdutexte27ptGras"/>
          <w:rFonts w:eastAsia="Courier New"/>
          <w:sz w:val="28"/>
        </w:rPr>
        <w:t xml:space="preserve"> </w:t>
      </w:r>
      <w:r w:rsidRPr="00E9210E">
        <w:t>Cambridge, 1936), « A.H.S. », t. I (1939), p. 95.</w:t>
      </w:r>
    </w:p>
    <w:p w14:paraId="4474FBA6" w14:textId="77777777" w:rsidR="00B9662D" w:rsidRPr="00E9210E" w:rsidRDefault="00B9662D" w:rsidP="00B9662D">
      <w:pPr>
        <w:spacing w:before="120" w:after="120"/>
        <w:jc w:val="both"/>
      </w:pPr>
      <w:r w:rsidRPr="00E9210E">
        <w:t xml:space="preserve">Décadence et vicissitudes d’une association marchande. (Compte rendu : E. E. </w:t>
      </w:r>
      <w:r w:rsidRPr="00E9210E">
        <w:rPr>
          <w:rStyle w:val="Corpsdutexte27ptGras"/>
          <w:rFonts w:eastAsia="Courier New"/>
          <w:b w:val="0"/>
          <w:smallCaps/>
          <w:sz w:val="28"/>
        </w:rPr>
        <w:t>Rich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ordnance book of the merchants of the staple</w:t>
      </w:r>
      <w:r w:rsidRPr="00E9210E">
        <w:rPr>
          <w:rFonts w:eastAsia="Courier New"/>
        </w:rPr>
        <w:t>,</w:t>
      </w:r>
      <w:r w:rsidRPr="00E9210E">
        <w:t xml:space="preserve"> Cambridge, 1937), « A.H.S. », t. I (1939), p. 96.</w:t>
      </w:r>
    </w:p>
    <w:p w14:paraId="56E6E0E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 parlement anglais au </w:t>
      </w:r>
      <w:r w:rsidRPr="00E9210E">
        <w:rPr>
          <w:rStyle w:val="Corpsdutexte11NonItaliqueEspacement0pt"/>
          <w:rFonts w:eastAsia="Courier New"/>
          <w:i w:val="0"/>
          <w:iCs w:val="0"/>
          <w:caps/>
          <w:sz w:val="28"/>
          <w:lang w:val="fr-CA"/>
        </w:rPr>
        <w:t>xiv</w:t>
      </w:r>
      <w:r w:rsidRPr="00E9210E">
        <w:rPr>
          <w:rStyle w:val="Corpsdutexte11NonItaliqueEspacement0pt"/>
          <w:rFonts w:eastAsia="Courier New"/>
          <w:i w:val="0"/>
          <w:iCs w:val="0"/>
          <w:sz w:val="28"/>
          <w:vertAlign w:val="superscript"/>
          <w:lang w:val="fr-CA"/>
        </w:rPr>
        <w:t>e</w:t>
      </w:r>
      <w:r w:rsidRPr="00E9210E">
        <w:rPr>
          <w:rStyle w:val="Corpsdutexte11NonItaliqueEspacement0pt"/>
          <w:rFonts w:eastAsia="Courier New"/>
          <w:i w:val="0"/>
          <w:iCs w:val="0"/>
          <w:sz w:val="28"/>
          <w:lang w:val="fr-CA"/>
        </w:rPr>
        <w:t xml:space="preserve"> siècle : institutions et opinions. (Compte rendu : </w:t>
      </w:r>
      <w:r w:rsidRPr="00E9210E">
        <w:rPr>
          <w:rStyle w:val="Corpsdutexte117ptGrasNonItaliqueEspacement0pt"/>
          <w:rFonts w:eastAsia="Courier New"/>
          <w:b w:val="0"/>
          <w:i w:val="0"/>
          <w:iCs w:val="0"/>
          <w:sz w:val="28"/>
          <w:lang w:val="fr-CA"/>
        </w:rPr>
        <w:t xml:space="preserve">M. V. </w:t>
      </w:r>
      <w:r w:rsidRPr="00E9210E">
        <w:rPr>
          <w:rStyle w:val="Corpsdutexte117ptGrasNonItaliqueEspacement0pt"/>
          <w:rFonts w:eastAsia="Courier New"/>
          <w:b w:val="0"/>
          <w:i w:val="0"/>
          <w:iCs w:val="0"/>
          <w:smallCaps/>
          <w:sz w:val="28"/>
          <w:lang w:val="fr-CA"/>
        </w:rPr>
        <w:t>Clarke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Medieval Representation and Consent : a study of early Parliaments in England and Ireland, with special reference to the Modus tenendi Parliamentum</w:t>
      </w:r>
      <w:r w:rsidRPr="00E9210E">
        <w:rPr>
          <w:rFonts w:eastAsia="Courier New"/>
        </w:rPr>
        <w:t xml:space="preserve">, </w:t>
      </w:r>
      <w:r w:rsidRPr="00E9210E">
        <w:rPr>
          <w:rStyle w:val="Corpsdutexte11NonItaliqueEspacement0pt"/>
          <w:rFonts w:eastAsia="Courier New"/>
          <w:i w:val="0"/>
          <w:iCs w:val="0"/>
          <w:sz w:val="28"/>
          <w:lang w:val="fr-CA"/>
        </w:rPr>
        <w:t>Londres [1936]), « A.H.S. », t. I (1939), pp. 96-97.</w:t>
      </w:r>
    </w:p>
    <w:p w14:paraId="724ED056" w14:textId="77777777" w:rsidR="00B9662D" w:rsidRPr="00E9210E" w:rsidRDefault="00B9662D" w:rsidP="00B9662D">
      <w:pPr>
        <w:spacing w:before="120" w:after="120"/>
        <w:jc w:val="both"/>
      </w:pPr>
      <w:r w:rsidRPr="00E9210E">
        <w:t xml:space="preserve">La biographie au service de l’histoire sociale. (Compte rendu : J. C. </w:t>
      </w:r>
      <w:r w:rsidRPr="00E9210E">
        <w:rPr>
          <w:rStyle w:val="Corpsdutexte27ptGras"/>
          <w:rFonts w:eastAsia="Courier New"/>
          <w:b w:val="0"/>
          <w:smallCaps/>
          <w:sz w:val="28"/>
        </w:rPr>
        <w:t>Wedgwood</w:t>
      </w:r>
      <w:r w:rsidRPr="00E9210E">
        <w:rPr>
          <w:rStyle w:val="Corpsdutexte27ptGras"/>
          <w:rFonts w:eastAsia="Courier New"/>
          <w:sz w:val="28"/>
        </w:rPr>
        <w:t xml:space="preserve"> </w:t>
      </w:r>
      <w:r w:rsidRPr="00E9210E">
        <w:t xml:space="preserve">in collaboration with A. D. </w:t>
      </w:r>
      <w:r w:rsidRPr="00E9210E">
        <w:rPr>
          <w:rStyle w:val="Corpsdutexte27ptGras"/>
          <w:rFonts w:eastAsia="Courier New"/>
          <w:b w:val="0"/>
          <w:smallCaps/>
          <w:sz w:val="28"/>
        </w:rPr>
        <w:t>Holt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History of Pa</w:t>
      </w:r>
      <w:r w:rsidRPr="00E9210E">
        <w:rPr>
          <w:rFonts w:eastAsia="Courier New"/>
          <w:i/>
        </w:rPr>
        <w:t>r</w:t>
      </w:r>
      <w:r w:rsidRPr="00E9210E">
        <w:rPr>
          <w:rFonts w:eastAsia="Courier New"/>
          <w:i/>
        </w:rPr>
        <w:t>liament. Bi</w:t>
      </w:r>
      <w:r w:rsidRPr="00E9210E">
        <w:rPr>
          <w:rFonts w:eastAsia="Courier New"/>
          <w:i/>
        </w:rPr>
        <w:t>o</w:t>
      </w:r>
      <w:r w:rsidRPr="00E9210E">
        <w:rPr>
          <w:rFonts w:eastAsia="Courier New"/>
          <w:i/>
        </w:rPr>
        <w:t>graphies of the members of the Commons House :</w:t>
      </w:r>
      <w:r w:rsidRPr="00E9210E">
        <w:rPr>
          <w:rFonts w:eastAsia="Courier New"/>
        </w:rPr>
        <w:t xml:space="preserve"> </w:t>
      </w:r>
      <w:r w:rsidRPr="00E9210E">
        <w:rPr>
          <w:rStyle w:val="Corpsdutexte28ptItalique"/>
          <w:rFonts w:eastAsia="Courier New"/>
          <w:sz w:val="28"/>
        </w:rPr>
        <w:t>1439-1509,</w:t>
      </w:r>
      <w:r w:rsidRPr="00E9210E">
        <w:rPr>
          <w:rStyle w:val="Corpsdutexte28ptGrasEspacement1ptchelle120"/>
          <w:rFonts w:eastAsia="Courier New"/>
          <w:sz w:val="28"/>
        </w:rPr>
        <w:t xml:space="preserve"> </w:t>
      </w:r>
      <w:r w:rsidRPr="00E9210E">
        <w:t>Londres, 1936), « A.H.S. », t. I (1939), pp. 97-98.</w:t>
      </w:r>
    </w:p>
    <w:p w14:paraId="549B6BF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D. </w:t>
      </w:r>
      <w:r w:rsidRPr="00E9210E">
        <w:rPr>
          <w:rStyle w:val="Corpsdutexte117ptGrasNonItaliqueEspacement0pt"/>
          <w:rFonts w:eastAsia="Courier New"/>
          <w:b w:val="0"/>
          <w:i w:val="0"/>
          <w:iCs w:val="0"/>
          <w:smallCaps/>
          <w:sz w:val="28"/>
          <w:lang w:val="fr-CA"/>
        </w:rPr>
        <w:t>Sandberger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Studien über das Rittertum in England vornehmlich während des</w:t>
      </w:r>
      <w:r w:rsidRPr="00E9210E">
        <w:rPr>
          <w:rFonts w:eastAsia="Courier New"/>
        </w:rPr>
        <w:t xml:space="preserve"> </w:t>
      </w:r>
      <w:r w:rsidRPr="00E9210E">
        <w:rPr>
          <w:rStyle w:val="Corpsdutexte118ptEspacement0pt"/>
          <w:rFonts w:eastAsia="Courier New"/>
          <w:sz w:val="28"/>
          <w:lang w:val="fr-CA"/>
        </w:rPr>
        <w:t xml:space="preserve">14. </w:t>
      </w:r>
      <w:r w:rsidRPr="00E9210E">
        <w:rPr>
          <w:rFonts w:eastAsia="Courier New"/>
        </w:rPr>
        <w:t>Jahrhunderts,</w:t>
      </w:r>
      <w:r w:rsidRPr="00E9210E">
        <w:rPr>
          <w:rStyle w:val="Corpsdutexte11NonItaliqueEspacement0pt"/>
          <w:rFonts w:eastAsia="Courier New"/>
          <w:i w:val="0"/>
          <w:iCs w:val="0"/>
          <w:sz w:val="28"/>
          <w:lang w:val="fr-CA"/>
        </w:rPr>
        <w:t xml:space="preserve"> Berlin, 1937), « A.H.S. », t. I (1939), pp. 100-101.</w:t>
      </w:r>
    </w:p>
    <w:p w14:paraId="69893B1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Marchés et Vikings. (Compte rendu : W. </w:t>
      </w:r>
      <w:r w:rsidRPr="00E9210E">
        <w:rPr>
          <w:rStyle w:val="Corpsdutexte117ptGrasNonItaliqueEspacement0pt"/>
          <w:rFonts w:eastAsia="Courier New"/>
          <w:b w:val="0"/>
          <w:i w:val="0"/>
          <w:iCs w:val="0"/>
          <w:smallCaps/>
          <w:sz w:val="28"/>
          <w:lang w:val="fr-CA"/>
        </w:rPr>
        <w:t>Vogel</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Wik-Orte und Wikinger ; eine Studie zu den Anfängen des germanischen Städtew</w:t>
      </w:r>
      <w:r w:rsidRPr="00E9210E">
        <w:rPr>
          <w:rFonts w:eastAsia="Courier New"/>
          <w:i/>
        </w:rPr>
        <w:t>e</w:t>
      </w:r>
      <w:r w:rsidRPr="00E9210E">
        <w:rPr>
          <w:rFonts w:eastAsia="Courier New"/>
          <w:i/>
        </w:rPr>
        <w:t>sens,</w:t>
      </w:r>
      <w:r w:rsidRPr="00E9210E">
        <w:rPr>
          <w:rStyle w:val="Corpsdutexte11NonItaliqueEspacement0pt"/>
          <w:rFonts w:eastAsia="Courier New"/>
          <w:i w:val="0"/>
          <w:iCs w:val="0"/>
          <w:sz w:val="28"/>
          <w:lang w:val="fr-CA"/>
        </w:rPr>
        <w:t xml:space="preserve"> dans </w:t>
      </w:r>
      <w:r w:rsidRPr="00E9210E">
        <w:rPr>
          <w:rFonts w:eastAsia="Courier New"/>
          <w:i/>
        </w:rPr>
        <w:t>Hansische Geschichtsblätter</w:t>
      </w:r>
      <w:r w:rsidRPr="00E9210E">
        <w:rPr>
          <w:rFonts w:eastAsia="Courier New"/>
        </w:rPr>
        <w:t>,</w:t>
      </w:r>
      <w:r w:rsidRPr="00E9210E">
        <w:rPr>
          <w:rStyle w:val="Corpsdutexte11NonItaliqueEspacement0pt"/>
          <w:rFonts w:eastAsia="Courier New"/>
          <w:i w:val="0"/>
          <w:iCs w:val="0"/>
          <w:sz w:val="28"/>
          <w:lang w:val="fr-CA"/>
        </w:rPr>
        <w:t xml:space="preserve"> t. LX (1935), pp. 5-48), « A.H.S. », t. I (1939), p. 101.</w:t>
      </w:r>
    </w:p>
    <w:p w14:paraId="50ACDE2F" w14:textId="77777777" w:rsidR="00B9662D" w:rsidRPr="00E9210E" w:rsidRDefault="00B9662D" w:rsidP="00B9662D">
      <w:pPr>
        <w:spacing w:before="120" w:after="120"/>
        <w:jc w:val="both"/>
      </w:pPr>
      <w:r w:rsidRPr="00E9210E">
        <w:t xml:space="preserve">Les Yikings en Amérique. (Compte rendu : </w:t>
      </w:r>
      <w:r w:rsidRPr="00E9210E">
        <w:rPr>
          <w:rStyle w:val="Corpsdutexte27ptGras"/>
          <w:rFonts w:eastAsia="Courier New"/>
          <w:b w:val="0"/>
          <w:sz w:val="28"/>
        </w:rPr>
        <w:t xml:space="preserve">H. </w:t>
      </w:r>
      <w:r w:rsidRPr="00E9210E">
        <w:rPr>
          <w:rStyle w:val="Corpsdutexte27ptGras"/>
          <w:rFonts w:eastAsia="Courier New"/>
          <w:b w:val="0"/>
          <w:smallCaps/>
          <w:sz w:val="28"/>
        </w:rPr>
        <w:t>Hermannsson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problem of Wineland</w:t>
      </w:r>
      <w:r w:rsidRPr="00E9210E">
        <w:rPr>
          <w:rFonts w:eastAsia="Courier New"/>
        </w:rPr>
        <w:t xml:space="preserve">, </w:t>
      </w:r>
      <w:r w:rsidRPr="00E9210E">
        <w:t xml:space="preserve">dans </w:t>
      </w:r>
      <w:r w:rsidRPr="00E9210E">
        <w:rPr>
          <w:rFonts w:eastAsia="Courier New"/>
          <w:i/>
        </w:rPr>
        <w:t>Islandica</w:t>
      </w:r>
      <w:r w:rsidRPr="00E9210E">
        <w:t>, vol. XXV, 1936), « A.H.S. », t. I (1939), p. 102.</w:t>
      </w:r>
    </w:p>
    <w:p w14:paraId="12D4A272" w14:textId="77777777" w:rsidR="00B9662D" w:rsidRPr="00E9210E" w:rsidRDefault="00B9662D" w:rsidP="00B9662D">
      <w:pPr>
        <w:spacing w:before="120" w:after="120"/>
        <w:jc w:val="both"/>
      </w:pPr>
      <w:r w:rsidRPr="00E9210E">
        <w:t xml:space="preserve">Un témoignage juridique sur l’ancienne société norvégienne. (Compte rendu : R. </w:t>
      </w:r>
      <w:r w:rsidRPr="00E9210E">
        <w:rPr>
          <w:rStyle w:val="Corpsdutexte27ptGras"/>
          <w:rFonts w:eastAsia="Courier New"/>
          <w:b w:val="0"/>
          <w:smallCaps/>
          <w:sz w:val="28"/>
        </w:rPr>
        <w:t>Meissner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Norwegisches Recht. Das Rechtsbuch des Gulathings</w:t>
      </w:r>
      <w:r w:rsidRPr="00E9210E">
        <w:rPr>
          <w:rFonts w:eastAsia="Courier New"/>
        </w:rPr>
        <w:t>,</w:t>
      </w:r>
      <w:r w:rsidRPr="00E9210E">
        <w:t xml:space="preserve"> Weimar, 1935), « A.H.S. », t. I (1939), pp. 102-103.</w:t>
      </w:r>
    </w:p>
    <w:p w14:paraId="02689C13" w14:textId="77777777" w:rsidR="00B9662D" w:rsidRPr="00E9210E" w:rsidRDefault="00B9662D" w:rsidP="00B9662D">
      <w:pPr>
        <w:spacing w:before="120" w:after="120"/>
        <w:jc w:val="both"/>
      </w:pPr>
      <w:r w:rsidRPr="00E9210E">
        <w:t xml:space="preserve">Étude de mémoire collective. (Compte rendu : J. </w:t>
      </w:r>
      <w:r w:rsidRPr="00E9210E">
        <w:rPr>
          <w:rStyle w:val="Corpsdutexte27ptGras"/>
          <w:rFonts w:eastAsia="Courier New"/>
          <w:b w:val="0"/>
          <w:smallCaps/>
          <w:sz w:val="28"/>
        </w:rPr>
        <w:t>Spör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Grundfo</w:t>
      </w:r>
      <w:r w:rsidRPr="00E9210E">
        <w:rPr>
          <w:rFonts w:eastAsia="Courier New"/>
          <w:i/>
        </w:rPr>
        <w:t>r</w:t>
      </w:r>
      <w:r w:rsidRPr="00E9210E">
        <w:rPr>
          <w:rFonts w:eastAsia="Courier New"/>
          <w:i/>
        </w:rPr>
        <w:t>men hochmittelalterlicher Geschichtsanschauung</w:t>
      </w:r>
      <w:r w:rsidRPr="00E9210E">
        <w:rPr>
          <w:rFonts w:eastAsia="Courier New"/>
        </w:rPr>
        <w:t>,</w:t>
      </w:r>
      <w:r w:rsidRPr="00E9210E">
        <w:t xml:space="preserve"> Munich, 1935), « A.H.S. », t. I (1939), pp. 105-106.</w:t>
      </w:r>
    </w:p>
    <w:p w14:paraId="02384246" w14:textId="77777777" w:rsidR="00B9662D" w:rsidRPr="00E9210E" w:rsidRDefault="00B9662D" w:rsidP="00B9662D">
      <w:pPr>
        <w:spacing w:before="120" w:after="120"/>
        <w:jc w:val="both"/>
      </w:pPr>
      <w:r w:rsidRPr="00E9210E">
        <w:t xml:space="preserve">Compte rendu : A. van de </w:t>
      </w:r>
      <w:r w:rsidRPr="00E9210E">
        <w:rPr>
          <w:rStyle w:val="Corpsdutexte27ptGras"/>
          <w:rFonts w:eastAsia="Courier New"/>
          <w:b w:val="0"/>
          <w:smallCaps/>
          <w:sz w:val="28"/>
        </w:rPr>
        <w:t>Vyver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L’évolution scientifique du Haut Moyen Âge</w:t>
      </w:r>
      <w:r w:rsidRPr="00E9210E">
        <w:rPr>
          <w:rFonts w:eastAsia="Courier New"/>
        </w:rPr>
        <w:t>,</w:t>
      </w:r>
      <w:r w:rsidRPr="00E9210E">
        <w:t xml:space="preserve"> dans </w:t>
      </w:r>
      <w:r w:rsidRPr="00E9210E">
        <w:rPr>
          <w:rFonts w:eastAsia="Courier New"/>
          <w:i/>
        </w:rPr>
        <w:t>Archeion</w:t>
      </w:r>
      <w:r w:rsidRPr="00E9210E">
        <w:rPr>
          <w:rFonts w:eastAsia="Courier New"/>
        </w:rPr>
        <w:t>,</w:t>
      </w:r>
      <w:r w:rsidRPr="00E9210E">
        <w:t xml:space="preserve"> t. XIX (1937), p. 12-20), « A.H.S. », t. I (1939), p. 115.</w:t>
      </w:r>
    </w:p>
    <w:p w14:paraId="435321D7" w14:textId="77777777" w:rsidR="00B9662D" w:rsidRPr="00E9210E" w:rsidRDefault="00B9662D" w:rsidP="00B9662D">
      <w:pPr>
        <w:spacing w:before="120" w:after="120"/>
        <w:jc w:val="both"/>
      </w:pPr>
      <w:r w:rsidRPr="00E9210E">
        <w:rPr>
          <w:rStyle w:val="Corpsdutexte385ptNonItalique"/>
          <w:rFonts w:eastAsia="Courier New"/>
          <w:i w:val="0"/>
          <w:iCs w:val="0"/>
          <w:sz w:val="28"/>
        </w:rPr>
        <w:t>L’histoire des prix, quelques remarques critiques. (Comptes re</w:t>
      </w:r>
      <w:r w:rsidRPr="00E9210E">
        <w:rPr>
          <w:rStyle w:val="Corpsdutexte385ptNonItalique"/>
          <w:rFonts w:eastAsia="Courier New"/>
          <w:i w:val="0"/>
          <w:iCs w:val="0"/>
          <w:sz w:val="28"/>
        </w:rPr>
        <w:t>n</w:t>
      </w:r>
      <w:r w:rsidRPr="00E9210E">
        <w:rPr>
          <w:rStyle w:val="Corpsdutexte385ptNonItalique"/>
          <w:rFonts w:eastAsia="Courier New"/>
          <w:i w:val="0"/>
          <w:iCs w:val="0"/>
          <w:sz w:val="28"/>
        </w:rPr>
        <w:t xml:space="preserve">dus : H. </w:t>
      </w:r>
      <w:r w:rsidRPr="00E9210E">
        <w:rPr>
          <w:rStyle w:val="Corpsdutexte37ptGrasNonItalique"/>
          <w:rFonts w:eastAsia="Courier New"/>
          <w:b w:val="0"/>
          <w:i w:val="0"/>
          <w:iCs w:val="0"/>
          <w:smallCaps/>
          <w:sz w:val="28"/>
        </w:rPr>
        <w:t>Hauser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Recherches et d</w:t>
      </w:r>
      <w:r w:rsidRPr="00E9210E">
        <w:rPr>
          <w:i/>
        </w:rPr>
        <w:t>o</w:t>
      </w:r>
      <w:r w:rsidRPr="00E9210E">
        <w:rPr>
          <w:i/>
        </w:rPr>
        <w:t>cuments sur Vhistoire des prix en France de 1500 à 1800</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Paris, 1936. — M. J. </w:t>
      </w:r>
      <w:r w:rsidRPr="00E9210E">
        <w:rPr>
          <w:rStyle w:val="Corpsdutexte37ptGrasNonItalique"/>
          <w:rFonts w:eastAsia="Courier New"/>
          <w:b w:val="0"/>
          <w:i w:val="0"/>
          <w:iCs w:val="0"/>
          <w:smallCaps/>
          <w:sz w:val="28"/>
        </w:rPr>
        <w:t>Elsas</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 xml:space="preserve">Umriss einer Geschichte der Preise und Löhne in Deutschland vom ausgehenden Mittelalter bis zum Beginn des Neunzehnten </w:t>
      </w:r>
      <w:r w:rsidRPr="00E9210E">
        <w:rPr>
          <w:rFonts w:eastAsia="Courier New"/>
          <w:i/>
        </w:rPr>
        <w:t xml:space="preserve">J </w:t>
      </w:r>
      <w:r w:rsidRPr="00E9210E">
        <w:rPr>
          <w:i/>
        </w:rPr>
        <w:t>ahrhunderts</w:t>
      </w:r>
      <w:r w:rsidRPr="00E9210E">
        <w:t xml:space="preserve">, </w:t>
      </w:r>
      <w:r w:rsidRPr="00E9210E">
        <w:rPr>
          <w:rStyle w:val="Corpsdutexte385ptNonItalique"/>
          <w:rFonts w:eastAsia="Courier New"/>
          <w:i w:val="0"/>
          <w:iCs w:val="0"/>
          <w:sz w:val="28"/>
        </w:rPr>
        <w:t>t. I, Le</w:t>
      </w:r>
      <w:r w:rsidRPr="00E9210E">
        <w:rPr>
          <w:rStyle w:val="Corpsdutexte385ptNonItalique"/>
          <w:rFonts w:eastAsia="Courier New"/>
          <w:i w:val="0"/>
          <w:iCs w:val="0"/>
          <w:sz w:val="28"/>
        </w:rPr>
        <w:t>i</w:t>
      </w:r>
      <w:r w:rsidRPr="00E9210E">
        <w:rPr>
          <w:rStyle w:val="Corpsdutexte385ptNonItalique"/>
          <w:rFonts w:eastAsia="Courier New"/>
          <w:i w:val="0"/>
          <w:iCs w:val="0"/>
          <w:sz w:val="28"/>
        </w:rPr>
        <w:t xml:space="preserve">den, 1936. — E. J. </w:t>
      </w:r>
      <w:r w:rsidRPr="00E9210E">
        <w:rPr>
          <w:rStyle w:val="Corpsdutexte37ptGrasNonItalique"/>
          <w:rFonts w:eastAsia="Courier New"/>
          <w:b w:val="0"/>
          <w:i w:val="0"/>
          <w:iCs w:val="0"/>
          <w:smallCaps/>
          <w:sz w:val="28"/>
        </w:rPr>
        <w:t>Hamilton</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Money, prices and wages in Valencia</w:t>
      </w:r>
      <w:r w:rsidRPr="00E9210E">
        <w:rPr>
          <w:rStyle w:val="Corpsdutexte385ptNonItalique"/>
          <w:rFonts w:eastAsia="Courier New"/>
          <w:i w:val="0"/>
          <w:iCs w:val="0"/>
          <w:sz w:val="28"/>
        </w:rPr>
        <w:t xml:space="preserve">, </w:t>
      </w:r>
      <w:r w:rsidRPr="00E9210E">
        <w:rPr>
          <w:i/>
        </w:rPr>
        <w:t>Aragon and Navare 1301-1500</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Cambridge, 1936), « A.H.S. », t. I (1939), pp. 141-151.</w:t>
      </w:r>
    </w:p>
    <w:p w14:paraId="67461E99" w14:textId="77777777" w:rsidR="00B9662D" w:rsidRPr="00E9210E" w:rsidRDefault="00B9662D" w:rsidP="00B9662D">
      <w:pPr>
        <w:spacing w:before="120" w:after="120"/>
        <w:jc w:val="both"/>
      </w:pPr>
      <w:r w:rsidRPr="00E9210E">
        <w:t xml:space="preserve">Problèmes de civilisation intellectuelle. (Compte rendu : H. I. </w:t>
      </w:r>
      <w:r w:rsidRPr="00E9210E">
        <w:rPr>
          <w:rStyle w:val="Corpsdutexte27ptGras"/>
          <w:rFonts w:eastAsia="Courier New"/>
          <w:b w:val="0"/>
          <w:smallCaps/>
          <w:sz w:val="28"/>
        </w:rPr>
        <w:t>Marrou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Saint Augustin et la fin de la culture antique</w:t>
      </w:r>
      <w:r w:rsidRPr="00E9210E">
        <w:t>, Paris, 1938), « A.H.S. », t. I (1939), pp. 185-187.</w:t>
      </w:r>
    </w:p>
    <w:p w14:paraId="0810C28E" w14:textId="77777777" w:rsidR="00B9662D" w:rsidRPr="00E9210E" w:rsidRDefault="00B9662D" w:rsidP="00B9662D">
      <w:pPr>
        <w:spacing w:before="120" w:after="120"/>
        <w:jc w:val="both"/>
      </w:pPr>
      <w:r w:rsidRPr="00E9210E">
        <w:t xml:space="preserve">Histoire d’un mot. (Compte rendu : H. </w:t>
      </w:r>
      <w:r w:rsidRPr="00E9210E">
        <w:rPr>
          <w:rStyle w:val="Corpsdutexte27ptGras"/>
          <w:rFonts w:eastAsia="Courier New"/>
          <w:b w:val="0"/>
          <w:smallCaps/>
          <w:sz w:val="28"/>
        </w:rPr>
        <w:t>Krawinkel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Feudum,</w:t>
      </w:r>
      <w:r w:rsidRPr="00E9210E">
        <w:rPr>
          <w:i/>
        </w:rPr>
        <w:t xml:space="preserve"> Weimar</w:t>
      </w:r>
      <w:r w:rsidRPr="00E9210E">
        <w:t>, 1938), « A.H.S. », t. I (1939), pp. 187-190.</w:t>
      </w:r>
    </w:p>
    <w:p w14:paraId="06047571" w14:textId="77777777" w:rsidR="00B9662D" w:rsidRPr="00E9210E" w:rsidRDefault="00B9662D" w:rsidP="00B9662D">
      <w:pPr>
        <w:spacing w:before="120" w:after="120"/>
        <w:jc w:val="both"/>
      </w:pPr>
      <w:r w:rsidRPr="00E9210E">
        <w:t xml:space="preserve">Un manuel. (Compte rendu : P. </w:t>
      </w:r>
      <w:r w:rsidRPr="00E9210E">
        <w:rPr>
          <w:rStyle w:val="Corpsdutexte27ptGras"/>
          <w:rFonts w:eastAsia="Courier New"/>
          <w:b w:val="0"/>
          <w:smallCaps/>
          <w:sz w:val="28"/>
        </w:rPr>
        <w:t>Vignaux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pensée au Moyen Âge</w:t>
      </w:r>
      <w:r w:rsidRPr="00E9210E">
        <w:rPr>
          <w:rFonts w:eastAsia="Courier New"/>
        </w:rPr>
        <w:t>,</w:t>
      </w:r>
      <w:r w:rsidRPr="00E9210E">
        <w:t xml:space="preserve"> P</w:t>
      </w:r>
      <w:r w:rsidRPr="00E9210E">
        <w:t>a</w:t>
      </w:r>
      <w:r w:rsidRPr="00E9210E">
        <w:t>ris, 1938), « A.H.S. », t. I (1939), p. 200.</w:t>
      </w:r>
    </w:p>
    <w:p w14:paraId="741A17D6"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J. </w:t>
      </w:r>
      <w:r w:rsidRPr="00E9210E">
        <w:rPr>
          <w:rStyle w:val="Corpsdutexte37ptGrasNonItalique"/>
          <w:rFonts w:eastAsia="Courier New"/>
          <w:b w:val="0"/>
          <w:i w:val="0"/>
          <w:iCs w:val="0"/>
          <w:smallCaps/>
          <w:sz w:val="28"/>
        </w:rPr>
        <w:t>Calmette</w:t>
      </w:r>
      <w:r w:rsidRPr="00E9210E">
        <w:rPr>
          <w:rStyle w:val="Corpsdutexte37ptGrasNonItalique"/>
          <w:rFonts w:eastAsia="Courier New"/>
          <w:i w:val="0"/>
          <w:iCs w:val="0"/>
          <w:sz w:val="28"/>
        </w:rPr>
        <w:t xml:space="preserve"> </w:t>
      </w:r>
      <w:r w:rsidRPr="00E9210E">
        <w:rPr>
          <w:rStyle w:val="Corpsdutexte385ptNonItalique"/>
          <w:rFonts w:eastAsia="Courier New"/>
          <w:i w:val="0"/>
          <w:iCs w:val="0"/>
          <w:sz w:val="28"/>
        </w:rPr>
        <w:t xml:space="preserve">et J. J. </w:t>
      </w:r>
      <w:r w:rsidRPr="00E9210E">
        <w:rPr>
          <w:rStyle w:val="Corpsdutexte37ptGrasNonItalique"/>
          <w:rFonts w:eastAsia="Courier New"/>
          <w:b w:val="0"/>
          <w:i w:val="0"/>
          <w:iCs w:val="0"/>
          <w:smallCaps/>
          <w:sz w:val="28"/>
        </w:rPr>
        <w:t>Gruber</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Textes et documents d’histoire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II : </w:t>
      </w:r>
      <w:r w:rsidRPr="00E9210E">
        <w:rPr>
          <w:i/>
        </w:rPr>
        <w:t>Moyen Âge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Paris, 1937 (</w:t>
      </w:r>
      <w:r w:rsidRPr="00E9210E">
        <w:rPr>
          <w:i/>
        </w:rPr>
        <w:t>Clio</w:t>
      </w:r>
      <w:r w:rsidRPr="00E9210E">
        <w:t xml:space="preserve">, </w:t>
      </w:r>
      <w:r w:rsidRPr="00E9210E">
        <w:rPr>
          <w:i/>
        </w:rPr>
        <w:t>Introduction aux études historiques</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II), « A.H.S. », t. I (1939), p. 201.</w:t>
      </w:r>
    </w:p>
    <w:p w14:paraId="281157E4" w14:textId="77777777" w:rsidR="00B9662D" w:rsidRPr="00E9210E" w:rsidRDefault="00B9662D" w:rsidP="00B9662D">
      <w:pPr>
        <w:spacing w:before="120" w:after="120"/>
        <w:jc w:val="both"/>
      </w:pPr>
      <w:r w:rsidRPr="00E9210E">
        <w:rPr>
          <w:rFonts w:eastAsia="Courier New"/>
        </w:rPr>
        <w:t>[1093]</w:t>
      </w:r>
    </w:p>
    <w:p w14:paraId="3C6595ED" w14:textId="77777777" w:rsidR="00B9662D" w:rsidRPr="00E9210E" w:rsidRDefault="00B9662D" w:rsidP="00B9662D">
      <w:pPr>
        <w:spacing w:before="120" w:after="120"/>
        <w:jc w:val="both"/>
      </w:pPr>
      <w:r w:rsidRPr="00E9210E">
        <w:t xml:space="preserve">Dans l’Italie du Moyen Âge et de la Renaissance : vocabulaire et pratique des affaires. (Compte rendu : </w:t>
      </w:r>
      <w:r w:rsidRPr="00E9210E">
        <w:rPr>
          <w:rStyle w:val="Corpsdutexte27ptGras"/>
          <w:rFonts w:eastAsia="Courier New"/>
          <w:b w:val="0"/>
          <w:sz w:val="28"/>
        </w:rPr>
        <w:t xml:space="preserve">Fl. </w:t>
      </w:r>
      <w:r w:rsidRPr="00E9210E">
        <w:rPr>
          <w:rStyle w:val="Corpsdutexte27ptGras"/>
          <w:rFonts w:eastAsia="Courier New"/>
          <w:b w:val="0"/>
          <w:smallCaps/>
          <w:sz w:val="28"/>
        </w:rPr>
        <w:t>Edler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Glossary of media</w:t>
      </w:r>
      <w:r w:rsidRPr="00E9210E">
        <w:rPr>
          <w:rFonts w:eastAsia="Courier New"/>
          <w:i/>
        </w:rPr>
        <w:t>e</w:t>
      </w:r>
      <w:r w:rsidRPr="00E9210E">
        <w:rPr>
          <w:rFonts w:eastAsia="Courier New"/>
          <w:i/>
        </w:rPr>
        <w:t>val terms of business. Italian series </w:t>
      </w:r>
      <w:r w:rsidRPr="00E9210E">
        <w:rPr>
          <w:rFonts w:eastAsia="Courier New"/>
        </w:rPr>
        <w:t xml:space="preserve">: </w:t>
      </w:r>
      <w:r w:rsidRPr="00E9210E">
        <w:rPr>
          <w:rStyle w:val="Corpsdutexte28ptItalique"/>
          <w:rFonts w:eastAsia="Courier New"/>
          <w:sz w:val="28"/>
        </w:rPr>
        <w:t>1200-1600</w:t>
      </w:r>
      <w:r w:rsidRPr="00E9210E">
        <w:rPr>
          <w:rFonts w:eastAsia="Courier New"/>
        </w:rPr>
        <w:t>,</w:t>
      </w:r>
      <w:r w:rsidRPr="00E9210E">
        <w:t xml:space="preserve"> Cambridge, 1934), « A.H.S. », t. I (1939), p. 209.</w:t>
      </w:r>
    </w:p>
    <w:p w14:paraId="2035859C" w14:textId="77777777" w:rsidR="00B9662D" w:rsidRPr="00E9210E" w:rsidRDefault="00B9662D" w:rsidP="00B9662D">
      <w:pPr>
        <w:spacing w:before="120" w:after="120"/>
        <w:jc w:val="both"/>
      </w:pPr>
      <w:r w:rsidRPr="00E9210E">
        <w:t xml:space="preserve">Une phase du commerce flamand. (Compte rendu : H. van </w:t>
      </w:r>
      <w:r w:rsidRPr="00E9210E">
        <w:rPr>
          <w:rStyle w:val="Corpsdutexte27ptGras"/>
          <w:rFonts w:eastAsia="Courier New"/>
          <w:b w:val="0"/>
          <w:smallCaps/>
          <w:sz w:val="28"/>
        </w:rPr>
        <w:t>We</w:t>
      </w:r>
      <w:r w:rsidRPr="00E9210E">
        <w:rPr>
          <w:rStyle w:val="Corpsdutexte27ptGras"/>
          <w:rFonts w:eastAsia="Courier New"/>
          <w:b w:val="0"/>
          <w:smallCaps/>
          <w:sz w:val="28"/>
        </w:rPr>
        <w:t>r</w:t>
      </w:r>
      <w:r w:rsidRPr="00E9210E">
        <w:rPr>
          <w:rStyle w:val="Corpsdutexte27ptGras"/>
          <w:rFonts w:eastAsia="Courier New"/>
          <w:b w:val="0"/>
          <w:smallCaps/>
          <w:sz w:val="28"/>
        </w:rPr>
        <w:t>vecke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Der flandrische Eigenhandel im Mittelalter</w:t>
      </w:r>
      <w:r w:rsidRPr="00E9210E">
        <w:t xml:space="preserve">, dans </w:t>
      </w:r>
      <w:r w:rsidRPr="00E9210E">
        <w:rPr>
          <w:rFonts w:eastAsia="Courier New"/>
          <w:i/>
        </w:rPr>
        <w:t>Hansische Ge</w:t>
      </w:r>
      <w:r w:rsidRPr="00E9210E">
        <w:rPr>
          <w:rFonts w:eastAsia="Courier New"/>
          <w:i/>
        </w:rPr>
        <w:t>s</w:t>
      </w:r>
      <w:r w:rsidRPr="00E9210E">
        <w:rPr>
          <w:rFonts w:eastAsia="Courier New"/>
          <w:i/>
        </w:rPr>
        <w:t>chichtsblätter</w:t>
      </w:r>
      <w:r w:rsidRPr="00E9210E">
        <w:t>, t. LXI (1936), pp. 7-24), « A.H.S. », t. I (1939), p. 217.</w:t>
      </w:r>
    </w:p>
    <w:p w14:paraId="4053635A" w14:textId="77777777" w:rsidR="00B9662D" w:rsidRPr="00E9210E" w:rsidRDefault="00B9662D" w:rsidP="00B9662D">
      <w:pPr>
        <w:spacing w:before="120" w:after="120"/>
        <w:jc w:val="both"/>
      </w:pPr>
      <w:r w:rsidRPr="00E9210E">
        <w:t xml:space="preserve">Les dernières volontés d’un bourgeois de Liège. (Compte rendu : M. </w:t>
      </w:r>
      <w:r w:rsidRPr="00E9210E">
        <w:rPr>
          <w:rStyle w:val="Corpsdutexte27ptGras"/>
          <w:rFonts w:eastAsia="Courier New"/>
          <w:b w:val="0"/>
          <w:smallCaps/>
          <w:sz w:val="28"/>
        </w:rPr>
        <w:t>Yans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Un testament de bourgeois liégeois du</w:t>
      </w:r>
      <w:r w:rsidRPr="00E9210E">
        <w:rPr>
          <w:rFonts w:eastAsia="Courier New"/>
        </w:rPr>
        <w:t xml:space="preserve"> </w:t>
      </w:r>
      <w:r w:rsidRPr="00E9210E">
        <w:rPr>
          <w:rStyle w:val="Corpsdutexte2ItaliqueEspacement1pt"/>
          <w:rFonts w:eastAsia="Courier New"/>
          <w:sz w:val="28"/>
          <w:lang w:val="fr-CA"/>
        </w:rPr>
        <w:t>XIII</w:t>
      </w:r>
      <w:r w:rsidRPr="00E9210E">
        <w:rPr>
          <w:rStyle w:val="Corpsdutexte2ItaliqueEspacement1pt"/>
          <w:rFonts w:eastAsia="Courier New"/>
          <w:sz w:val="28"/>
          <w:vertAlign w:val="superscript"/>
          <w:lang w:val="fr-CA"/>
        </w:rPr>
        <w:t>e</w:t>
      </w:r>
      <w:r w:rsidRPr="00E9210E">
        <w:rPr>
          <w:rFonts w:eastAsia="Courier New"/>
        </w:rPr>
        <w:t xml:space="preserve"> </w:t>
      </w:r>
      <w:r w:rsidRPr="00E9210E">
        <w:rPr>
          <w:rFonts w:eastAsia="Courier New"/>
          <w:i/>
        </w:rPr>
        <w:t>siècle</w:t>
      </w:r>
      <w:r w:rsidRPr="00E9210E">
        <w:t xml:space="preserve">, dans </w:t>
      </w:r>
      <w:r w:rsidRPr="00E9210E">
        <w:rPr>
          <w:rFonts w:eastAsia="Courier New"/>
          <w:i/>
        </w:rPr>
        <w:t>Bull. de la Commission royale d’histoire</w:t>
      </w:r>
      <w:r w:rsidRPr="00E9210E">
        <w:rPr>
          <w:rFonts w:eastAsia="Courier New"/>
        </w:rPr>
        <w:t>,</w:t>
      </w:r>
      <w:r w:rsidRPr="00E9210E">
        <w:t xml:space="preserve"> t. CII (1937), pp. 1-31), « A.H.S. », t. I (1939), p. 217.</w:t>
      </w:r>
    </w:p>
    <w:p w14:paraId="5A17379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H. </w:t>
      </w:r>
      <w:r w:rsidRPr="00E9210E">
        <w:rPr>
          <w:rStyle w:val="Corpsdutexte117ptGrasNonItaliqueEspacement0pt"/>
          <w:rFonts w:eastAsia="Courier New"/>
          <w:b w:val="0"/>
          <w:i w:val="0"/>
          <w:iCs w:val="0"/>
          <w:smallCaps/>
          <w:sz w:val="28"/>
          <w:lang w:val="fr-CA"/>
        </w:rPr>
        <w:t>Feuger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Friesland und England im ihren kult</w:t>
      </w:r>
      <w:r w:rsidRPr="00E9210E">
        <w:rPr>
          <w:rFonts w:eastAsia="Courier New"/>
          <w:i/>
        </w:rPr>
        <w:t>u</w:t>
      </w:r>
      <w:r w:rsidRPr="00E9210E">
        <w:rPr>
          <w:rFonts w:eastAsia="Courier New"/>
          <w:i/>
        </w:rPr>
        <w:t>rellen und wirtschaftlichen Beziehungen</w:t>
      </w:r>
      <w:r w:rsidRPr="00E9210E">
        <w:rPr>
          <w:rFonts w:eastAsia="Courier New"/>
        </w:rPr>
        <w:t>,</w:t>
      </w:r>
      <w:r w:rsidRPr="00E9210E">
        <w:rPr>
          <w:rStyle w:val="Corpsdutexte11NonItaliqueEspacement0pt"/>
          <w:rFonts w:eastAsia="Courier New"/>
          <w:i w:val="0"/>
          <w:iCs w:val="0"/>
          <w:sz w:val="28"/>
          <w:lang w:val="fr-CA"/>
        </w:rPr>
        <w:t xml:space="preserve"> Bonn, 1935), « A.H.S. », t. I (1939), p. 219.</w:t>
      </w:r>
    </w:p>
    <w:p w14:paraId="47BC1855" w14:textId="77777777" w:rsidR="00B9662D" w:rsidRPr="00E9210E" w:rsidRDefault="00B9662D" w:rsidP="00B9662D">
      <w:pPr>
        <w:spacing w:before="120" w:after="120"/>
        <w:jc w:val="both"/>
      </w:pPr>
      <w:r w:rsidRPr="00E9210E">
        <w:t xml:space="preserve">Hors de France : deux instruments de travail. (Comptes rendus : W. </w:t>
      </w:r>
      <w:r w:rsidRPr="00E9210E">
        <w:rPr>
          <w:rStyle w:val="Corpsdutexte27ptGras"/>
          <w:rFonts w:eastAsia="Courier New"/>
          <w:b w:val="0"/>
          <w:smallCaps/>
          <w:sz w:val="28"/>
        </w:rPr>
        <w:t>Wattenbach</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Deutschlands Geschichtsquellen im Mittelalter. Deutsche Kaiserzeit</w:t>
      </w:r>
      <w:r w:rsidRPr="00E9210E">
        <w:rPr>
          <w:i/>
        </w:rPr>
        <w:t xml:space="preserve">, herg. von R. </w:t>
      </w:r>
      <w:r w:rsidRPr="00E9210E">
        <w:rPr>
          <w:rStyle w:val="Corpsdutexte27ptGras"/>
          <w:rFonts w:eastAsia="Courier New"/>
          <w:b w:val="0"/>
          <w:i/>
          <w:sz w:val="28"/>
        </w:rPr>
        <w:t>Holtzmann,</w:t>
      </w:r>
      <w:r w:rsidRPr="00E9210E">
        <w:rPr>
          <w:rStyle w:val="Corpsdutexte27ptGras"/>
          <w:rFonts w:eastAsia="Courier New"/>
          <w:i/>
          <w:sz w:val="28"/>
        </w:rPr>
        <w:t xml:space="preserve"> </w:t>
      </w:r>
      <w:r w:rsidRPr="00E9210E">
        <w:rPr>
          <w:i/>
        </w:rPr>
        <w:t>Bd. I, H. I</w:t>
      </w:r>
      <w:r w:rsidRPr="00E9210E">
        <w:t>, Berlin, 1938. — </w:t>
      </w:r>
      <w:r w:rsidRPr="00E9210E">
        <w:rPr>
          <w:rStyle w:val="Corpsdutexte27ptGras"/>
          <w:rFonts w:eastAsia="Courier New"/>
          <w:b w:val="0"/>
          <w:sz w:val="28"/>
        </w:rPr>
        <w:t xml:space="preserve">G. </w:t>
      </w:r>
      <w:r w:rsidRPr="00E9210E">
        <w:rPr>
          <w:rStyle w:val="Corpsdutexte27ptGras"/>
          <w:rFonts w:eastAsia="Courier New"/>
          <w:b w:val="0"/>
          <w:smallCaps/>
          <w:sz w:val="28"/>
        </w:rPr>
        <w:t>Franz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B</w:t>
      </w:r>
      <w:r w:rsidRPr="00E9210E">
        <w:rPr>
          <w:rFonts w:eastAsia="Courier New"/>
          <w:i/>
        </w:rPr>
        <w:t>ü</w:t>
      </w:r>
      <w:r w:rsidRPr="00E9210E">
        <w:rPr>
          <w:rFonts w:eastAsia="Courier New"/>
          <w:i/>
        </w:rPr>
        <w:t>cherkunde zur Geschichte des deutschen Bauerntums</w:t>
      </w:r>
      <w:r w:rsidRPr="00E9210E">
        <w:t>, Berlin, 1938), « A.H.S. », t. I (1939), pp. 311-312.</w:t>
      </w:r>
    </w:p>
    <w:p w14:paraId="15FE607B" w14:textId="77777777" w:rsidR="00B9662D" w:rsidRPr="00E9210E" w:rsidRDefault="00B9662D" w:rsidP="00B9662D">
      <w:pPr>
        <w:spacing w:before="120" w:after="120"/>
        <w:jc w:val="both"/>
      </w:pPr>
      <w:r w:rsidRPr="00E9210E">
        <w:t>Les formes matérielles de la vie sociale. (Compte rendu : M. </w:t>
      </w:r>
      <w:r w:rsidRPr="00E9210E">
        <w:rPr>
          <w:rStyle w:val="Corpsdutexte27ptGras"/>
          <w:rFonts w:eastAsia="Courier New"/>
          <w:b w:val="0"/>
          <w:smallCaps/>
          <w:sz w:val="28"/>
        </w:rPr>
        <w:t>Halbwachs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Morphologie sociale</w:t>
      </w:r>
      <w:r w:rsidRPr="00E9210E">
        <w:rPr>
          <w:rFonts w:eastAsia="Courier New"/>
        </w:rPr>
        <w:t>,</w:t>
      </w:r>
      <w:r w:rsidRPr="00E9210E">
        <w:t xml:space="preserve"> Paris, 1938), « A.H.S. », t. I (1939), pp. 315-316.</w:t>
      </w:r>
    </w:p>
    <w:p w14:paraId="5AC7FBDD" w14:textId="77777777" w:rsidR="00B9662D" w:rsidRPr="00E9210E" w:rsidRDefault="00B9662D" w:rsidP="00B9662D">
      <w:pPr>
        <w:spacing w:before="120" w:after="120"/>
        <w:jc w:val="both"/>
      </w:pPr>
      <w:hyperlink r:id="rId18" w:history="1">
        <w:r w:rsidRPr="00E9210E">
          <w:rPr>
            <w:rStyle w:val="Hyperlien"/>
            <w:rFonts w:eastAsia="MS Gothic"/>
          </w:rPr>
          <w:t>https://classiques.uqam.ca/classiques/Halbwachs_maurice/morphologie/morphologie.html</w:t>
        </w:r>
      </w:hyperlink>
      <w:r w:rsidRPr="00E9210E">
        <w:t xml:space="preserve"> </w:t>
      </w:r>
    </w:p>
    <w:p w14:paraId="45163B6E" w14:textId="77777777" w:rsidR="00B9662D" w:rsidRPr="00E9210E" w:rsidRDefault="00B9662D" w:rsidP="00B9662D">
      <w:pPr>
        <w:spacing w:before="120" w:after="120"/>
        <w:jc w:val="both"/>
      </w:pPr>
      <w:r w:rsidRPr="00E9210E">
        <w:t xml:space="preserve">Une critique de Ricardo. (Compte rendu : A. </w:t>
      </w:r>
      <w:r w:rsidRPr="00E9210E">
        <w:rPr>
          <w:rStyle w:val="Corpsdutexte27ptGras"/>
          <w:rFonts w:eastAsia="Courier New"/>
          <w:b w:val="0"/>
          <w:smallCaps/>
          <w:sz w:val="28"/>
        </w:rPr>
        <w:t>Graziadei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v</w:t>
      </w:r>
      <w:r w:rsidRPr="00E9210E">
        <w:rPr>
          <w:rFonts w:eastAsia="Courier New"/>
          <w:i/>
        </w:rPr>
        <w:t>a</w:t>
      </w:r>
      <w:r w:rsidRPr="00E9210E">
        <w:rPr>
          <w:rFonts w:eastAsia="Courier New"/>
          <w:i/>
        </w:rPr>
        <w:t>riations de la rente et la propriété de la terre</w:t>
      </w:r>
      <w:r w:rsidRPr="00E9210E">
        <w:rPr>
          <w:rFonts w:eastAsia="Courier New"/>
        </w:rPr>
        <w:t>,</w:t>
      </w:r>
      <w:r w:rsidRPr="00E9210E">
        <w:t xml:space="preserve"> Paris, s.d.), « A.H.S. », t. I (1939), p. 318.</w:t>
      </w:r>
    </w:p>
    <w:p w14:paraId="00F2C541" w14:textId="77777777" w:rsidR="00B9662D" w:rsidRPr="00E9210E" w:rsidRDefault="00B9662D" w:rsidP="00B9662D">
      <w:pPr>
        <w:spacing w:before="120" w:after="120"/>
        <w:jc w:val="both"/>
      </w:pPr>
      <w:r w:rsidRPr="00E9210E">
        <w:t xml:space="preserve">(Note faisant suite à l’article de F. </w:t>
      </w:r>
      <w:r w:rsidRPr="00E9210E">
        <w:rPr>
          <w:rStyle w:val="Corpsdutexte27ptGras"/>
          <w:rFonts w:eastAsia="Courier New"/>
          <w:b w:val="0"/>
          <w:smallCaps/>
          <w:sz w:val="28"/>
        </w:rPr>
        <w:t>Imberdis </w:t>
      </w:r>
      <w:r w:rsidRPr="00E9210E">
        <w:rPr>
          <w:rStyle w:val="Corpsdutexte27ptGras"/>
          <w:rFonts w:eastAsia="Courier New"/>
          <w:b w:val="0"/>
          <w:sz w:val="28"/>
        </w:rPr>
        <w:t>:</w:t>
      </w:r>
      <w:r w:rsidRPr="00E9210E">
        <w:t xml:space="preserve"> </w:t>
      </w:r>
      <w:r w:rsidRPr="00E9210E">
        <w:rPr>
          <w:rFonts w:eastAsia="Courier New"/>
          <w:i/>
        </w:rPr>
        <w:t>Les routes médiév</w:t>
      </w:r>
      <w:r w:rsidRPr="00E9210E">
        <w:rPr>
          <w:rFonts w:eastAsia="Courier New"/>
          <w:i/>
        </w:rPr>
        <w:t>a</w:t>
      </w:r>
      <w:r w:rsidRPr="00E9210E">
        <w:rPr>
          <w:rFonts w:eastAsia="Courier New"/>
          <w:i/>
        </w:rPr>
        <w:t>les : Mythes et réalités historiques</w:t>
      </w:r>
      <w:r w:rsidRPr="00E9210E">
        <w:rPr>
          <w:rFonts w:eastAsia="Courier New"/>
        </w:rPr>
        <w:t>,</w:t>
      </w:r>
      <w:r w:rsidRPr="00E9210E">
        <w:t xml:space="preserve"> dans </w:t>
      </w:r>
      <w:r w:rsidRPr="00E9210E">
        <w:rPr>
          <w:rFonts w:eastAsia="Courier New"/>
          <w:i/>
        </w:rPr>
        <w:t>Ann. d’histoire sociale</w:t>
      </w:r>
      <w:r w:rsidRPr="00E9210E">
        <w:rPr>
          <w:rFonts w:eastAsia="Courier New"/>
        </w:rPr>
        <w:t>,</w:t>
      </w:r>
      <w:r w:rsidRPr="00E9210E">
        <w:t xml:space="preserve"> t. I (1939), pp. 411-416), « A.H.S. », t. I (1939), p. 416.</w:t>
      </w:r>
    </w:p>
    <w:p w14:paraId="7C85FD5D" w14:textId="77777777" w:rsidR="00B9662D" w:rsidRPr="00E9210E" w:rsidRDefault="00B9662D" w:rsidP="00B9662D">
      <w:pPr>
        <w:spacing w:before="120" w:after="120"/>
        <w:jc w:val="both"/>
      </w:pPr>
      <w:r w:rsidRPr="00E9210E">
        <w:t>« Historisme » ou travail d’historien. (Compte rendu : Fr. </w:t>
      </w:r>
      <w:r w:rsidRPr="00E9210E">
        <w:rPr>
          <w:rStyle w:val="Corpsdutexte27ptGras"/>
          <w:rFonts w:eastAsia="Courier New"/>
          <w:b w:val="0"/>
          <w:smallCaps/>
          <w:sz w:val="28"/>
        </w:rPr>
        <w:t>Meinecke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Entstehung des Historismus</w:t>
      </w:r>
      <w:r w:rsidRPr="00E9210E">
        <w:rPr>
          <w:rFonts w:eastAsia="Courier New"/>
        </w:rPr>
        <w:t>,</w:t>
      </w:r>
      <w:r w:rsidRPr="00E9210E">
        <w:t xml:space="preserve"> Munich, 1936), « A.H.S. », t. I (1939), pp. 429-430.</w:t>
      </w:r>
    </w:p>
    <w:p w14:paraId="3B55E62D" w14:textId="77777777" w:rsidR="00B9662D" w:rsidRPr="00E9210E" w:rsidRDefault="00B9662D" w:rsidP="00B9662D">
      <w:pPr>
        <w:spacing w:before="120" w:after="120"/>
        <w:jc w:val="both"/>
      </w:pPr>
      <w:r w:rsidRPr="00E9210E">
        <w:t xml:space="preserve">La Roumanie au </w:t>
      </w:r>
      <w:r w:rsidRPr="00E9210E">
        <w:rPr>
          <w:caps/>
        </w:rPr>
        <w:t>xix</w:t>
      </w:r>
      <w:r w:rsidRPr="00E9210E">
        <w:rPr>
          <w:vertAlign w:val="superscript"/>
        </w:rPr>
        <w:t>e</w:t>
      </w:r>
      <w:r w:rsidRPr="00E9210E">
        <w:t xml:space="preserve"> siècle : vicissitudes d’un régime seigneurial. (Compte rendu : M. </w:t>
      </w:r>
      <w:r w:rsidRPr="00E9210E">
        <w:rPr>
          <w:rStyle w:val="Corpsdutexte27ptGras"/>
          <w:rFonts w:eastAsia="Courier New"/>
          <w:b w:val="0"/>
          <w:smallCaps/>
          <w:sz w:val="28"/>
        </w:rPr>
        <w:t>Emerit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paysans roumains depuis le traité d’Andrinople jusqu’à la libération des terres : étude d’histoire soci</w:t>
      </w:r>
      <w:r w:rsidRPr="00E9210E">
        <w:rPr>
          <w:rFonts w:eastAsia="Courier New"/>
          <w:i/>
        </w:rPr>
        <w:t>a</w:t>
      </w:r>
      <w:r w:rsidRPr="00E9210E">
        <w:rPr>
          <w:rFonts w:eastAsia="Courier New"/>
          <w:i/>
        </w:rPr>
        <w:t>le</w:t>
      </w:r>
      <w:r w:rsidRPr="00E9210E">
        <w:rPr>
          <w:rFonts w:eastAsia="Courier New"/>
        </w:rPr>
        <w:t>,</w:t>
      </w:r>
      <w:r w:rsidRPr="00E9210E">
        <w:t xml:space="preserve"> Paris, 1937), « A.H.S. », t. I (1939), pp. 432- 434.</w:t>
      </w:r>
    </w:p>
    <w:p w14:paraId="696C2848" w14:textId="77777777" w:rsidR="00B9662D" w:rsidRPr="00E9210E" w:rsidRDefault="00B9662D" w:rsidP="00B9662D">
      <w:pPr>
        <w:spacing w:before="120" w:after="120"/>
        <w:jc w:val="both"/>
      </w:pPr>
      <w:r w:rsidRPr="00E9210E">
        <w:t xml:space="preserve">Problèmes d’histoire comparée. (Comptes rendus : </w:t>
      </w:r>
      <w:r w:rsidRPr="00E9210E">
        <w:rPr>
          <w:rFonts w:eastAsia="Courier New"/>
          <w:i/>
        </w:rPr>
        <w:t>Le servage</w:t>
      </w:r>
      <w:r w:rsidRPr="00E9210E">
        <w:rPr>
          <w:rFonts w:eastAsia="Courier New"/>
        </w:rPr>
        <w:t>.</w:t>
      </w:r>
      <w:r w:rsidRPr="00E9210E">
        <w:t xml:space="preserve"> R</w:t>
      </w:r>
      <w:r w:rsidRPr="00E9210E">
        <w:t>e</w:t>
      </w:r>
      <w:r w:rsidRPr="00E9210E">
        <w:t>cueil, publié par la Société Jean Bodin, II, Bruxelles, 1937. — </w:t>
      </w:r>
      <w:r w:rsidRPr="00E9210E">
        <w:rPr>
          <w:rFonts w:eastAsia="Courier New"/>
          <w:i/>
        </w:rPr>
        <w:t>La t</w:t>
      </w:r>
      <w:r w:rsidRPr="00E9210E">
        <w:rPr>
          <w:rFonts w:eastAsia="Courier New"/>
          <w:i/>
        </w:rPr>
        <w:t>e</w:t>
      </w:r>
      <w:r w:rsidRPr="00E9210E">
        <w:rPr>
          <w:rFonts w:eastAsia="Courier New"/>
          <w:i/>
        </w:rPr>
        <w:t>nure</w:t>
      </w:r>
      <w:r w:rsidRPr="00E9210E">
        <w:rPr>
          <w:rFonts w:eastAsia="Courier New"/>
        </w:rPr>
        <w:t>.</w:t>
      </w:r>
      <w:r w:rsidRPr="00E9210E">
        <w:t xml:space="preserve"> Recueil publié par la Société Jean Bodin, III, Bruxelles), « A.H.S. », t. I (1939), pp. 438-440.</w:t>
      </w:r>
    </w:p>
    <w:p w14:paraId="75524D7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Nord et Sud. (Compte rendu : </w:t>
      </w:r>
      <w:r w:rsidRPr="00E9210E">
        <w:rPr>
          <w:rFonts w:eastAsia="Courier New"/>
          <w:i/>
        </w:rPr>
        <w:t>Enquête sur les limites des influe</w:t>
      </w:r>
      <w:r w:rsidRPr="00E9210E">
        <w:rPr>
          <w:rFonts w:eastAsia="Courier New"/>
          <w:i/>
        </w:rPr>
        <w:t>n</w:t>
      </w:r>
      <w:r w:rsidRPr="00E9210E">
        <w:rPr>
          <w:rFonts w:eastAsia="Courier New"/>
          <w:i/>
        </w:rPr>
        <w:t>ces septentrionales et méditerranéennes</w:t>
      </w:r>
      <w:r w:rsidRPr="00E9210E">
        <w:rPr>
          <w:rFonts w:eastAsia="Courier New"/>
        </w:rPr>
        <w:t>,</w:t>
      </w:r>
      <w:r w:rsidRPr="00E9210E">
        <w:rPr>
          <w:rStyle w:val="Corpsdutexte11NonItaliqueEspacement0pt"/>
          <w:rFonts w:eastAsia="Courier New"/>
          <w:i w:val="0"/>
          <w:iCs w:val="0"/>
          <w:sz w:val="28"/>
          <w:lang w:val="fr-CA"/>
        </w:rPr>
        <w:t xml:space="preserve"> 2</w:t>
      </w:r>
      <w:r w:rsidRPr="00E9210E">
        <w:rPr>
          <w:rStyle w:val="Corpsdutexte11NonItaliqueEspacement0pt"/>
          <w:rFonts w:eastAsia="Courier New"/>
          <w:i w:val="0"/>
          <w:iCs w:val="0"/>
          <w:sz w:val="28"/>
          <w:vertAlign w:val="superscript"/>
          <w:lang w:val="fr-CA"/>
        </w:rPr>
        <w:t>e</w:t>
      </w:r>
      <w:r w:rsidRPr="00E9210E">
        <w:rPr>
          <w:rStyle w:val="Corpsdutexte11NonItaliqueEspacement0pt"/>
          <w:rFonts w:eastAsia="Courier New"/>
          <w:i w:val="0"/>
          <w:iCs w:val="0"/>
          <w:sz w:val="28"/>
          <w:lang w:val="fr-CA"/>
        </w:rPr>
        <w:t xml:space="preserve"> rapport, dans </w:t>
      </w:r>
      <w:r w:rsidRPr="00E9210E">
        <w:rPr>
          <w:rFonts w:eastAsia="Courier New"/>
          <w:i/>
        </w:rPr>
        <w:t>Annales de Bourgogne</w:t>
      </w:r>
      <w:r w:rsidRPr="00E9210E">
        <w:rPr>
          <w:rFonts w:eastAsia="Courier New"/>
        </w:rPr>
        <w:t>,</w:t>
      </w:r>
      <w:r w:rsidRPr="00E9210E">
        <w:rPr>
          <w:rStyle w:val="Corpsdutexte11NonItaliqueEspacement0pt"/>
          <w:rFonts w:eastAsia="Courier New"/>
          <w:i w:val="0"/>
          <w:iCs w:val="0"/>
          <w:sz w:val="28"/>
          <w:lang w:val="fr-CA"/>
        </w:rPr>
        <w:t xml:space="preserve"> 1937), « A.H.S. », t. I (1939), pp. 446-447.</w:t>
      </w:r>
    </w:p>
    <w:p w14:paraId="71738D7F" w14:textId="77777777" w:rsidR="00B9662D" w:rsidRPr="00E9210E" w:rsidRDefault="00B9662D" w:rsidP="00B9662D">
      <w:pPr>
        <w:spacing w:before="120" w:after="120"/>
        <w:jc w:val="both"/>
      </w:pPr>
      <w:r w:rsidRPr="00E9210E">
        <w:rPr>
          <w:rFonts w:eastAsia="Courier New"/>
          <w:i/>
        </w:rPr>
        <w:t>Imago ruris</w:t>
      </w:r>
      <w:r w:rsidRPr="00E9210E">
        <w:rPr>
          <w:rFonts w:eastAsia="Courier New"/>
        </w:rPr>
        <w:t>.</w:t>
      </w:r>
      <w:r w:rsidRPr="00E9210E">
        <w:rPr>
          <w:rStyle w:val="Corpsdutexte11NonItaliqueEspacement0pt"/>
          <w:rFonts w:eastAsia="Courier New"/>
          <w:i w:val="0"/>
          <w:iCs w:val="0"/>
          <w:sz w:val="28"/>
          <w:lang w:val="fr-CA"/>
        </w:rPr>
        <w:t xml:space="preserve"> (Note sur le </w:t>
      </w:r>
      <w:r w:rsidRPr="00E9210E">
        <w:rPr>
          <w:rFonts w:eastAsia="Courier New"/>
        </w:rPr>
        <w:t>Catalogue de l’exposition faite à la B</w:t>
      </w:r>
      <w:r w:rsidRPr="00E9210E">
        <w:rPr>
          <w:rFonts w:eastAsia="Courier New"/>
        </w:rPr>
        <w:t>i</w:t>
      </w:r>
      <w:r w:rsidRPr="00E9210E">
        <w:rPr>
          <w:rFonts w:eastAsia="Courier New"/>
        </w:rPr>
        <w:t>bliothèque Nationale en l’honneur du 4</w:t>
      </w:r>
      <w:r w:rsidRPr="00E9210E">
        <w:rPr>
          <w:rFonts w:eastAsia="Courier New"/>
          <w:vertAlign w:val="superscript"/>
        </w:rPr>
        <w:t>e</w:t>
      </w:r>
      <w:r w:rsidRPr="00E9210E">
        <w:rPr>
          <w:rFonts w:eastAsia="Courier New"/>
        </w:rPr>
        <w:t xml:space="preserve"> centenaire d’Oliviers de Se</w:t>
      </w:r>
      <w:r w:rsidRPr="00E9210E">
        <w:rPr>
          <w:rFonts w:eastAsia="Courier New"/>
        </w:rPr>
        <w:t>r</w:t>
      </w:r>
      <w:r w:rsidRPr="00E9210E">
        <w:rPr>
          <w:rFonts w:eastAsia="Courier New"/>
        </w:rPr>
        <w:t>res),</w:t>
      </w:r>
      <w:r w:rsidRPr="00E9210E">
        <w:rPr>
          <w:rStyle w:val="Corpsdutexte11NonItaliqueEspacement0pt"/>
          <w:rFonts w:eastAsia="Courier New"/>
          <w:i w:val="0"/>
          <w:iCs w:val="0"/>
          <w:sz w:val="28"/>
          <w:lang w:val="fr-CA"/>
        </w:rPr>
        <w:t xml:space="preserve"> « A.H.S. », t. I (1939), pp. 447- 448.</w:t>
      </w:r>
    </w:p>
    <w:p w14:paraId="79084049" w14:textId="77777777" w:rsidR="00B9662D" w:rsidRPr="00E9210E" w:rsidRDefault="00B9662D" w:rsidP="00B9662D">
      <w:pPr>
        <w:spacing w:before="120" w:after="120"/>
        <w:jc w:val="both"/>
      </w:pPr>
      <w:r w:rsidRPr="00E9210E">
        <w:t xml:space="preserve">Techniques et traditions rurales. (Compte rendu : </w:t>
      </w:r>
      <w:r w:rsidRPr="00E9210E">
        <w:rPr>
          <w:rFonts w:eastAsia="Courier New"/>
          <w:i/>
        </w:rPr>
        <w:t>Mém. de la S</w:t>
      </w:r>
      <w:r w:rsidRPr="00E9210E">
        <w:rPr>
          <w:rFonts w:eastAsia="Courier New"/>
          <w:i/>
        </w:rPr>
        <w:t>o</w:t>
      </w:r>
      <w:r w:rsidRPr="00E9210E">
        <w:rPr>
          <w:rFonts w:eastAsia="Courier New"/>
          <w:i/>
        </w:rPr>
        <w:t>ciété des sciences naturelles et archéologiques de la Creuse</w:t>
      </w:r>
      <w:r w:rsidRPr="00E9210E">
        <w:rPr>
          <w:rFonts w:eastAsia="Courier New"/>
        </w:rPr>
        <w:t>,</w:t>
      </w:r>
      <w:r w:rsidRPr="00E9210E">
        <w:t xml:space="preserve"> t. XXVII, 1</w:t>
      </w:r>
      <w:r w:rsidRPr="00E9210E">
        <w:rPr>
          <w:vertAlign w:val="superscript"/>
        </w:rPr>
        <w:t>er</w:t>
      </w:r>
      <w:r w:rsidRPr="00E9210E">
        <w:t xml:space="preserve"> fasc., Guéret, 1938), « A.H.S. », t. I (1939), p. 448.</w:t>
      </w:r>
    </w:p>
    <w:p w14:paraId="4C973A2A" w14:textId="77777777" w:rsidR="00B9662D" w:rsidRPr="00E9210E" w:rsidRDefault="00B9662D" w:rsidP="00B9662D">
      <w:pPr>
        <w:spacing w:before="120" w:after="120"/>
        <w:jc w:val="both"/>
      </w:pPr>
      <w:r w:rsidRPr="00E9210E">
        <w:t xml:space="preserve">Les vicissitudes de l’Aquitaine. (Compte rendu : L. </w:t>
      </w:r>
      <w:r w:rsidRPr="00E9210E">
        <w:rPr>
          <w:rStyle w:val="Corpsdutexte27ptGras"/>
          <w:rFonts w:eastAsia="Courier New"/>
          <w:b w:val="0"/>
          <w:smallCaps/>
          <w:sz w:val="28"/>
        </w:rPr>
        <w:t>Auzias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L’Aquitaine carolingienne</w:t>
      </w:r>
      <w:r w:rsidRPr="00E9210E">
        <w:rPr>
          <w:rFonts w:eastAsia="Courier New"/>
        </w:rPr>
        <w:t xml:space="preserve"> </w:t>
      </w:r>
      <w:r w:rsidRPr="00E9210E">
        <w:rPr>
          <w:rStyle w:val="Corpsdutexte28ptItalique"/>
          <w:rFonts w:eastAsia="Courier New"/>
          <w:sz w:val="28"/>
        </w:rPr>
        <w:t>(778-987),</w:t>
      </w:r>
      <w:r w:rsidRPr="00E9210E">
        <w:rPr>
          <w:rStyle w:val="Corpsdutexte28ptGrasEspacement1ptchelle120"/>
          <w:rFonts w:eastAsia="Courier New"/>
          <w:sz w:val="28"/>
        </w:rPr>
        <w:t xml:space="preserve"> </w:t>
      </w:r>
      <w:r w:rsidRPr="00E9210E">
        <w:t>Paris, 1937), « A.H.S. », t. I (1939), p. 448.</w:t>
      </w:r>
    </w:p>
    <w:p w14:paraId="609F2AA8" w14:textId="77777777" w:rsidR="00B9662D" w:rsidRPr="00E9210E" w:rsidRDefault="00B9662D" w:rsidP="00B9662D">
      <w:pPr>
        <w:spacing w:before="120" w:after="120"/>
        <w:jc w:val="both"/>
      </w:pPr>
      <w:r w:rsidRPr="00E9210E">
        <w:t>Les sociétés royales d’agriculture au xvm</w:t>
      </w:r>
      <w:r w:rsidRPr="00E9210E">
        <w:rPr>
          <w:vertAlign w:val="superscript"/>
        </w:rPr>
        <w:t>e</w:t>
      </w:r>
      <w:r w:rsidRPr="00E9210E">
        <w:t xml:space="preserve"> siècle. (Compte rendu : </w:t>
      </w:r>
      <w:r w:rsidRPr="00E9210E">
        <w:rPr>
          <w:rStyle w:val="Corpsdutexte27ptGras"/>
          <w:rFonts w:eastAsia="Courier New"/>
          <w:b w:val="0"/>
          <w:sz w:val="28"/>
        </w:rPr>
        <w:t xml:space="preserve">E. </w:t>
      </w:r>
      <w:r w:rsidRPr="00E9210E">
        <w:rPr>
          <w:rStyle w:val="Corpsdutexte27ptGras"/>
          <w:rFonts w:eastAsia="Courier New"/>
          <w:b w:val="0"/>
          <w:smallCaps/>
          <w:sz w:val="28"/>
        </w:rPr>
        <w:t>Justin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sociétés royales d’agriculture au</w:t>
      </w:r>
      <w:r w:rsidRPr="00E9210E">
        <w:rPr>
          <w:rFonts w:eastAsia="Courier New"/>
        </w:rPr>
        <w:t xml:space="preserve"> </w:t>
      </w:r>
      <w:r w:rsidRPr="00E9210E">
        <w:rPr>
          <w:rStyle w:val="Corpsdutexte2ItaliqueEspacement1pt"/>
          <w:rFonts w:eastAsia="Courier New"/>
          <w:sz w:val="28"/>
          <w:lang w:val="fr-CA"/>
        </w:rPr>
        <w:t>XVIII</w:t>
      </w:r>
      <w:r w:rsidRPr="00E9210E">
        <w:rPr>
          <w:rStyle w:val="Corpsdutexte2ItaliqueEspacement1pt"/>
          <w:rFonts w:eastAsia="Courier New"/>
          <w:sz w:val="28"/>
          <w:vertAlign w:val="superscript"/>
          <w:lang w:val="fr-CA"/>
        </w:rPr>
        <w:t>e</w:t>
      </w:r>
      <w:r w:rsidRPr="00E9210E">
        <w:rPr>
          <w:rFonts w:eastAsia="Courier New"/>
        </w:rPr>
        <w:t xml:space="preserve"> </w:t>
      </w:r>
      <w:r w:rsidRPr="00E9210E">
        <w:rPr>
          <w:rFonts w:eastAsia="Courier New"/>
          <w:i/>
        </w:rPr>
        <w:t>siècle</w:t>
      </w:r>
      <w:r w:rsidRPr="00E9210E">
        <w:rPr>
          <w:rFonts w:eastAsia="Courier New"/>
        </w:rPr>
        <w:t>,</w:t>
      </w:r>
      <w:r w:rsidRPr="00E9210E">
        <w:t xml:space="preserve"> Saint-Lô, 1935), « A.H.S. », t. I (1939), p. 449.</w:t>
      </w:r>
    </w:p>
    <w:p w14:paraId="55346139" w14:textId="77777777" w:rsidR="00B9662D" w:rsidRPr="00E9210E" w:rsidRDefault="00B9662D" w:rsidP="00B9662D">
      <w:pPr>
        <w:spacing w:before="120" w:after="120"/>
        <w:jc w:val="both"/>
      </w:pPr>
      <w:r w:rsidRPr="00E9210E">
        <w:t xml:space="preserve">Histoire d’une terre. (Compte rendu : </w:t>
      </w:r>
      <w:r w:rsidRPr="00E9210E">
        <w:rPr>
          <w:rStyle w:val="Corpsdutexte27ptGras"/>
          <w:rFonts w:eastAsia="Courier New"/>
          <w:b w:val="0"/>
          <w:sz w:val="28"/>
        </w:rPr>
        <w:t>G</w:t>
      </w:r>
      <w:r w:rsidRPr="00E9210E">
        <w:rPr>
          <w:rStyle w:val="Corpsdutexte27ptGras"/>
          <w:rFonts w:eastAsia="Courier New"/>
          <w:b w:val="0"/>
          <w:sz w:val="28"/>
          <w:vertAlign w:val="superscript"/>
        </w:rPr>
        <w:t>al</w:t>
      </w:r>
      <w:r w:rsidRPr="00E9210E">
        <w:rPr>
          <w:rStyle w:val="Corpsdutexte27ptGras"/>
          <w:rFonts w:eastAsia="Courier New"/>
          <w:b w:val="0"/>
          <w:sz w:val="28"/>
        </w:rPr>
        <w:t xml:space="preserve"> </w:t>
      </w:r>
      <w:r w:rsidRPr="00E9210E">
        <w:t>de</w:t>
      </w:r>
      <w:r w:rsidRPr="00E9210E">
        <w:rPr>
          <w:b/>
        </w:rPr>
        <w:t xml:space="preserve"> </w:t>
      </w:r>
      <w:r w:rsidRPr="00E9210E">
        <w:rPr>
          <w:rStyle w:val="Corpsdutexte27ptGras"/>
          <w:rFonts w:eastAsia="Courier New"/>
          <w:b w:val="0"/>
          <w:smallCaps/>
          <w:sz w:val="28"/>
        </w:rPr>
        <w:t>Brantes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terre du Fresne en Vendômois :</w:t>
      </w:r>
      <w:r w:rsidRPr="00E9210E">
        <w:rPr>
          <w:rFonts w:eastAsia="Courier New"/>
        </w:rPr>
        <w:t xml:space="preserve"> </w:t>
      </w:r>
      <w:r w:rsidRPr="00E9210E">
        <w:rPr>
          <w:rStyle w:val="Corpsdutexte28ptItalique"/>
          <w:rFonts w:eastAsia="Courier New"/>
          <w:sz w:val="28"/>
        </w:rPr>
        <w:t>1283-1937</w:t>
      </w:r>
      <w:r w:rsidRPr="00E9210E">
        <w:rPr>
          <w:rStyle w:val="Corpsdutexte28ptGrasEspacement1ptchelle120"/>
          <w:rFonts w:eastAsia="Courier New"/>
          <w:sz w:val="28"/>
        </w:rPr>
        <w:t xml:space="preserve"> </w:t>
      </w:r>
      <w:r w:rsidRPr="00E9210E">
        <w:t>[Limoges], 1937), « A.H.S. », t. I (1939), p. 449.</w:t>
      </w:r>
    </w:p>
    <w:p w14:paraId="55829AA7" w14:textId="77777777" w:rsidR="00B9662D" w:rsidRPr="00E9210E" w:rsidRDefault="00B9662D" w:rsidP="00B9662D">
      <w:pPr>
        <w:spacing w:before="120" w:after="120"/>
        <w:jc w:val="both"/>
      </w:pPr>
      <w:r w:rsidRPr="00E9210E">
        <w:t>[1094]</w:t>
      </w:r>
    </w:p>
    <w:p w14:paraId="0E73D56F" w14:textId="77777777" w:rsidR="00B9662D" w:rsidRPr="00E9210E" w:rsidRDefault="00B9662D" w:rsidP="00B9662D">
      <w:pPr>
        <w:spacing w:before="120" w:after="120"/>
        <w:jc w:val="both"/>
      </w:pPr>
      <w:r w:rsidRPr="00E9210E">
        <w:t xml:space="preserve">Un témoignage judiciaire sur l’économie et la vie sociale. (Compte rendu : R. </w:t>
      </w:r>
      <w:r w:rsidRPr="00E9210E">
        <w:rPr>
          <w:rStyle w:val="Corpsdutexte27ptGrasPetitesmajuscules"/>
          <w:rFonts w:eastAsia="Courier New"/>
          <w:b w:val="0"/>
          <w:sz w:val="28"/>
          <w:lang w:val="fr-CA"/>
        </w:rPr>
        <w:t>Aubenas,</w:t>
      </w:r>
      <w:r w:rsidRPr="00E9210E">
        <w:rPr>
          <w:rStyle w:val="Corpsdutexte27ptGrasPetitesmajuscules"/>
          <w:rFonts w:eastAsia="Courier New"/>
          <w:sz w:val="28"/>
          <w:lang w:val="fr-CA"/>
        </w:rPr>
        <w:t xml:space="preserve"> </w:t>
      </w:r>
      <w:r w:rsidRPr="00E9210E">
        <w:rPr>
          <w:rFonts w:eastAsia="Courier New"/>
          <w:i/>
        </w:rPr>
        <w:t>Contribution à l’histoire des officialités au Moyen Âge. Recueil des Lettres des officialités de Marseille et d’Aix</w:t>
      </w:r>
      <w:r w:rsidRPr="00E9210E">
        <w:rPr>
          <w:rFonts w:eastAsia="Courier New"/>
        </w:rPr>
        <w:t>,</w:t>
      </w:r>
      <w:r w:rsidRPr="00E9210E">
        <w:t xml:space="preserve"> Paris, 1937 et 1938), « A.H.S. », t. I (1939), pp. 451-452.</w:t>
      </w:r>
    </w:p>
    <w:p w14:paraId="0CCFB1DC" w14:textId="77777777" w:rsidR="00B9662D" w:rsidRPr="00E9210E" w:rsidRDefault="00B9662D" w:rsidP="00B9662D">
      <w:pPr>
        <w:spacing w:before="120" w:after="120"/>
        <w:jc w:val="both"/>
      </w:pPr>
      <w:r w:rsidRPr="00E9210E">
        <w:t xml:space="preserve">Les paysans français d’aujourd’hui vus par un Anglais. (Compte rendu : N. </w:t>
      </w:r>
      <w:r w:rsidRPr="00E9210E">
        <w:rPr>
          <w:rStyle w:val="Corpsdutexte27ptGrasPetitesmajuscules"/>
          <w:rFonts w:eastAsia="Courier New"/>
          <w:b w:val="0"/>
          <w:sz w:val="28"/>
          <w:lang w:val="fr-CA"/>
        </w:rPr>
        <w:t>Hunter,</w:t>
      </w:r>
      <w:r w:rsidRPr="00E9210E">
        <w:rPr>
          <w:rStyle w:val="Corpsdutexte27ptGrasPetitesmajuscules"/>
          <w:rFonts w:eastAsia="Courier New"/>
          <w:sz w:val="28"/>
          <w:lang w:val="fr-CA"/>
        </w:rPr>
        <w:t xml:space="preserve"> </w:t>
      </w:r>
      <w:r w:rsidRPr="00E9210E">
        <w:rPr>
          <w:rFonts w:eastAsia="Courier New"/>
          <w:i/>
        </w:rPr>
        <w:t>Peasantry and Crisis in France</w:t>
      </w:r>
      <w:r w:rsidRPr="00E9210E">
        <w:t>, Londres, 1938), « A.H.S. », t. I (1939), pp. 452-453.</w:t>
      </w:r>
    </w:p>
    <w:p w14:paraId="16E6F0AF" w14:textId="77777777" w:rsidR="00B9662D" w:rsidRPr="00E9210E" w:rsidRDefault="00B9662D" w:rsidP="00B9662D">
      <w:pPr>
        <w:spacing w:before="120" w:after="120"/>
        <w:jc w:val="both"/>
      </w:pPr>
      <w:r w:rsidRPr="00E9210E">
        <w:t xml:space="preserve">Compte rendu : M. de </w:t>
      </w:r>
      <w:r w:rsidRPr="00E9210E">
        <w:rPr>
          <w:rStyle w:val="Corpsdutexte27ptGrasPetitesmajuscules"/>
          <w:rFonts w:eastAsia="Courier New"/>
          <w:b w:val="0"/>
          <w:sz w:val="28"/>
          <w:lang w:val="fr-CA"/>
        </w:rPr>
        <w:t>Dainville</w:t>
      </w:r>
      <w:r w:rsidRPr="00E9210E">
        <w:rPr>
          <w:rStyle w:val="Corpsdutexte27ptGrasPetitesmajuscules"/>
          <w:rFonts w:eastAsia="Courier New"/>
          <w:sz w:val="28"/>
          <w:lang w:val="fr-CA"/>
        </w:rPr>
        <w:t xml:space="preserve">, </w:t>
      </w:r>
      <w:r w:rsidRPr="00E9210E">
        <w:rPr>
          <w:rFonts w:eastAsia="Courier New"/>
          <w:i/>
        </w:rPr>
        <w:t>Remarques sur les compoix du Languedoc méditerranéen</w:t>
      </w:r>
      <w:r w:rsidRPr="00E9210E">
        <w:rPr>
          <w:rFonts w:eastAsia="Courier New"/>
        </w:rPr>
        <w:t>,</w:t>
      </w:r>
      <w:r w:rsidRPr="00E9210E">
        <w:t xml:space="preserve"> dans </w:t>
      </w:r>
      <w:r w:rsidRPr="00E9210E">
        <w:rPr>
          <w:rFonts w:eastAsia="Courier New"/>
          <w:i/>
        </w:rPr>
        <w:t>Folklore</w:t>
      </w:r>
      <w:r w:rsidRPr="00E9210E">
        <w:t>, revue mensuelle publiée par le Centre de Documentation et le Musée Audois des Arts et trad</w:t>
      </w:r>
      <w:r w:rsidRPr="00E9210E">
        <w:t>i</w:t>
      </w:r>
      <w:r w:rsidRPr="00E9210E">
        <w:t>tions populaires, Carcassonne, mai 1939), « A.H.S. », t. I (1939), p. 453.</w:t>
      </w:r>
    </w:p>
    <w:p w14:paraId="34AC200C" w14:textId="77777777" w:rsidR="00B9662D" w:rsidRPr="00E9210E" w:rsidRDefault="00B9662D" w:rsidP="00B9662D">
      <w:pPr>
        <w:spacing w:before="120" w:after="120"/>
        <w:jc w:val="both"/>
      </w:pPr>
      <w:r w:rsidRPr="00E9210E">
        <w:t xml:space="preserve">Compte rendu : E. </w:t>
      </w:r>
      <w:r w:rsidRPr="00E9210E">
        <w:rPr>
          <w:rStyle w:val="Corpsdutexte27ptGrasPetitesmajuscules"/>
          <w:rFonts w:eastAsia="Courier New"/>
          <w:b w:val="0"/>
          <w:sz w:val="28"/>
          <w:lang w:val="fr-CA"/>
        </w:rPr>
        <w:t>Appolis</w:t>
      </w:r>
      <w:r w:rsidRPr="00E9210E">
        <w:rPr>
          <w:rStyle w:val="Corpsdutexte27ptGrasPetitesmajuscules"/>
          <w:rFonts w:eastAsia="Courier New"/>
          <w:sz w:val="28"/>
          <w:lang w:val="fr-CA"/>
        </w:rPr>
        <w:t xml:space="preserve">, </w:t>
      </w:r>
      <w:r w:rsidRPr="00E9210E">
        <w:rPr>
          <w:rFonts w:eastAsia="Courier New"/>
          <w:i/>
        </w:rPr>
        <w:t>Lodève, étude de géographie urbaine</w:t>
      </w:r>
      <w:r w:rsidRPr="00E9210E">
        <w:t xml:space="preserve">, dans </w:t>
      </w:r>
      <w:r w:rsidRPr="00E9210E">
        <w:rPr>
          <w:rFonts w:eastAsia="Courier New"/>
          <w:i/>
        </w:rPr>
        <w:t>Cahiers d'histoire et d'archéologie</w:t>
      </w:r>
      <w:r w:rsidRPr="00E9210E">
        <w:t>, Nîmes, 1936, « A.H.S. », t. I (1939), pp. 453-454. 2</w:t>
      </w:r>
      <w:r w:rsidRPr="00E9210E">
        <w:rPr>
          <w:vertAlign w:val="superscript"/>
        </w:rPr>
        <w:t>e</w:t>
      </w:r>
      <w:r w:rsidRPr="00E9210E">
        <w:t xml:space="preserve"> éd. 1949.</w:t>
      </w:r>
    </w:p>
    <w:p w14:paraId="4A564839"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R. </w:t>
      </w:r>
      <w:r w:rsidRPr="00E9210E">
        <w:rPr>
          <w:rStyle w:val="Corpsdutexte117ptGrasNonItaliquePetitesmajusculesEspacement0pt"/>
          <w:rFonts w:eastAsia="Courier New"/>
          <w:b w:val="0"/>
          <w:i w:val="0"/>
          <w:iCs w:val="0"/>
          <w:sz w:val="28"/>
          <w:lang w:val="fr-CA"/>
        </w:rPr>
        <w:t>Aubenas,</w:t>
      </w:r>
      <w:r w:rsidRPr="00E9210E">
        <w:rPr>
          <w:rStyle w:val="Corpsdutexte117ptGrasNonItaliquePetitesmajusculesEspacement0pt"/>
          <w:rFonts w:eastAsia="Courier New"/>
          <w:i w:val="0"/>
          <w:iCs w:val="0"/>
          <w:sz w:val="28"/>
          <w:lang w:val="fr-CA"/>
        </w:rPr>
        <w:t xml:space="preserve"> </w:t>
      </w:r>
      <w:r w:rsidRPr="00E9210E">
        <w:rPr>
          <w:rFonts w:eastAsia="Courier New"/>
          <w:i/>
        </w:rPr>
        <w:t>Le servage à Castellane au X</w:t>
      </w:r>
      <w:r w:rsidRPr="00E9210E">
        <w:rPr>
          <w:rFonts w:eastAsia="Courier New"/>
          <w:i/>
        </w:rPr>
        <w:t>I</w:t>
      </w:r>
      <w:r w:rsidRPr="00E9210E">
        <w:rPr>
          <w:rFonts w:eastAsia="Courier New"/>
          <w:i/>
        </w:rPr>
        <w:t>V</w:t>
      </w:r>
      <w:r w:rsidRPr="00E9210E">
        <w:rPr>
          <w:rFonts w:eastAsia="Courier New"/>
          <w:i/>
          <w:vertAlign w:val="superscript"/>
        </w:rPr>
        <w:t>e</w:t>
      </w:r>
      <w:r w:rsidRPr="00E9210E">
        <w:rPr>
          <w:rFonts w:eastAsia="Courier New"/>
          <w:i/>
        </w:rPr>
        <w:t> siècle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 hisiorique de droit</w:t>
      </w:r>
      <w:r w:rsidRPr="00E9210E">
        <w:rPr>
          <w:rStyle w:val="Corpsdutexte11NonItaliqueEspacement0pt"/>
          <w:rFonts w:eastAsia="Courier New"/>
          <w:i w:val="0"/>
          <w:iCs w:val="0"/>
          <w:sz w:val="28"/>
          <w:lang w:val="fr-CA"/>
        </w:rPr>
        <w:t>, 1937, « A.H.S. », t. I (1939), p. 454.</w:t>
      </w:r>
    </w:p>
    <w:p w14:paraId="6B1D80B5" w14:textId="77777777" w:rsidR="00B9662D" w:rsidRPr="00E9210E" w:rsidRDefault="00B9662D" w:rsidP="00B9662D">
      <w:pPr>
        <w:spacing w:before="120" w:after="120"/>
        <w:jc w:val="both"/>
      </w:pPr>
      <w:r w:rsidRPr="00E9210E">
        <w:t xml:space="preserve">Compte rendu : A. </w:t>
      </w:r>
      <w:r w:rsidRPr="00E9210E">
        <w:rPr>
          <w:rStyle w:val="Corpsdutexte27ptGrasPetitesmajuscules"/>
          <w:rFonts w:eastAsia="Courier New"/>
          <w:b w:val="0"/>
          <w:sz w:val="28"/>
          <w:lang w:val="fr-CA"/>
        </w:rPr>
        <w:t>Coissac</w:t>
      </w:r>
      <w:r w:rsidRPr="00E9210E">
        <w:rPr>
          <w:rStyle w:val="Corpsdutexte27ptGrasPetitesmajuscules"/>
          <w:rFonts w:eastAsia="Courier New"/>
          <w:sz w:val="28"/>
          <w:lang w:val="fr-CA"/>
        </w:rPr>
        <w:t xml:space="preserve">, </w:t>
      </w:r>
      <w:r w:rsidRPr="00E9210E">
        <w:rPr>
          <w:rFonts w:eastAsia="Courier New"/>
          <w:i/>
        </w:rPr>
        <w:t xml:space="preserve">Le consulat à Limoges au </w:t>
      </w:r>
      <w:r w:rsidRPr="00E9210E">
        <w:rPr>
          <w:rStyle w:val="Corpsdutexte2ItaliqueEspacement1pt"/>
          <w:rFonts w:eastAsia="Courier New"/>
          <w:sz w:val="28"/>
          <w:lang w:val="fr-CA"/>
        </w:rPr>
        <w:t>XVI</w:t>
      </w:r>
      <w:r w:rsidRPr="00E9210E">
        <w:rPr>
          <w:rStyle w:val="Corpsdutexte2ItaliqueEspacement1pt"/>
          <w:rFonts w:eastAsia="Courier New"/>
          <w:sz w:val="28"/>
          <w:vertAlign w:val="superscript"/>
          <w:lang w:val="fr-CA"/>
        </w:rPr>
        <w:t>e</w:t>
      </w:r>
      <w:r w:rsidRPr="00E9210E">
        <w:rPr>
          <w:rFonts w:eastAsia="Courier New"/>
        </w:rPr>
        <w:t xml:space="preserve"> si</w:t>
      </w:r>
      <w:r w:rsidRPr="00E9210E">
        <w:rPr>
          <w:rFonts w:eastAsia="Courier New"/>
        </w:rPr>
        <w:t>è</w:t>
      </w:r>
      <w:r w:rsidRPr="00E9210E">
        <w:rPr>
          <w:rFonts w:eastAsia="Courier New"/>
        </w:rPr>
        <w:t>cle</w:t>
      </w:r>
      <w:r w:rsidRPr="00E9210E">
        <w:t>, Limoges, 1937, « A.H.S. », t. I (1939), p. 454.</w:t>
      </w:r>
    </w:p>
    <w:p w14:paraId="65DF7CF6" w14:textId="77777777" w:rsidR="00B9662D" w:rsidRPr="00E9210E" w:rsidRDefault="00B9662D" w:rsidP="00B9662D">
      <w:pPr>
        <w:spacing w:before="120" w:after="120"/>
        <w:jc w:val="both"/>
      </w:pPr>
    </w:p>
    <w:p w14:paraId="49C9E812" w14:textId="77777777" w:rsidR="00B9662D" w:rsidRPr="00E9210E" w:rsidRDefault="00B9662D" w:rsidP="00B9662D">
      <w:pPr>
        <w:spacing w:before="120" w:after="120"/>
        <w:jc w:val="center"/>
        <w:rPr>
          <w:b/>
        </w:rPr>
      </w:pPr>
      <w:r w:rsidRPr="00E9210E">
        <w:rPr>
          <w:b/>
        </w:rPr>
        <w:t>1940</w:t>
      </w:r>
    </w:p>
    <w:p w14:paraId="61D8DA4C" w14:textId="77777777" w:rsidR="00B9662D" w:rsidRPr="00E9210E" w:rsidRDefault="00B9662D" w:rsidP="00B9662D">
      <w:pPr>
        <w:spacing w:before="120" w:after="120"/>
        <w:jc w:val="both"/>
      </w:pPr>
    </w:p>
    <w:p w14:paraId="573B74B1" w14:textId="77777777" w:rsidR="00B9662D" w:rsidRPr="00E9210E" w:rsidRDefault="00B9662D" w:rsidP="00B9662D">
      <w:pPr>
        <w:spacing w:before="120" w:after="120"/>
        <w:jc w:val="both"/>
      </w:pPr>
      <w:r w:rsidRPr="00E9210E">
        <w:rPr>
          <w:b/>
        </w:rPr>
        <w:t>La société féodale : Les classes et le gouvernement des ho</w:t>
      </w:r>
      <w:r w:rsidRPr="00E9210E">
        <w:rPr>
          <w:b/>
        </w:rPr>
        <w:t>m</w:t>
      </w:r>
      <w:r w:rsidRPr="00E9210E">
        <w:rPr>
          <w:b/>
        </w:rPr>
        <w:t>mes</w:t>
      </w:r>
      <w:r w:rsidRPr="00E9210E">
        <w:rPr>
          <w:rStyle w:val="Corpsdutexte885ptNonGraschelle100"/>
          <w:rFonts w:eastAsia="Courier New"/>
          <w:b w:val="0"/>
          <w:bCs w:val="0"/>
          <w:sz w:val="28"/>
        </w:rPr>
        <w:t xml:space="preserve">, Paris, A. Michel, 1940 ; in-8°, </w:t>
      </w:r>
      <w:r w:rsidRPr="00E9210E">
        <w:rPr>
          <w:rStyle w:val="Corpsdutexte87ptchelle100"/>
          <w:rFonts w:eastAsia="Courier New"/>
          <w:b w:val="0"/>
          <w:sz w:val="28"/>
          <w:lang w:val="fr-CA"/>
        </w:rPr>
        <w:t>xvii-288</w:t>
      </w:r>
      <w:r w:rsidRPr="00E9210E">
        <w:rPr>
          <w:rStyle w:val="Corpsdutexte87ptchelle100"/>
          <w:rFonts w:eastAsia="Courier New"/>
          <w:sz w:val="28"/>
          <w:lang w:val="fr-CA"/>
        </w:rPr>
        <w:t xml:space="preserve"> </w:t>
      </w:r>
      <w:r w:rsidRPr="00E9210E">
        <w:rPr>
          <w:rStyle w:val="Corpsdutexte885ptNonGraschelle100"/>
          <w:rFonts w:eastAsia="Courier New"/>
          <w:b w:val="0"/>
          <w:bCs w:val="0"/>
          <w:sz w:val="28"/>
        </w:rPr>
        <w:t xml:space="preserve">p. </w:t>
      </w:r>
      <w:r w:rsidRPr="00E9210E">
        <w:rPr>
          <w:rStyle w:val="Corpsdutexte885ptNonGrasItaliquechelle100"/>
          <w:rFonts w:eastAsia="Courier New"/>
          <w:b w:val="0"/>
          <w:bCs w:val="0"/>
          <w:sz w:val="28"/>
        </w:rPr>
        <w:t>(L'Évolution de l'h</w:t>
      </w:r>
      <w:r w:rsidRPr="00E9210E">
        <w:rPr>
          <w:rStyle w:val="Corpsdutexte885ptNonGrasItaliquechelle100"/>
          <w:rFonts w:eastAsia="Courier New"/>
          <w:b w:val="0"/>
          <w:bCs w:val="0"/>
          <w:sz w:val="28"/>
        </w:rPr>
        <w:t>u</w:t>
      </w:r>
      <w:r w:rsidRPr="00E9210E">
        <w:rPr>
          <w:rStyle w:val="Corpsdutexte885ptNonGrasItaliquechelle100"/>
          <w:rFonts w:eastAsia="Courier New"/>
          <w:b w:val="0"/>
          <w:bCs w:val="0"/>
          <w:sz w:val="28"/>
        </w:rPr>
        <w:t>manité,</w:t>
      </w:r>
      <w:r w:rsidRPr="00E9210E">
        <w:rPr>
          <w:rStyle w:val="Corpsdutexte885ptNonGraschelle100"/>
          <w:rFonts w:eastAsia="Courier New"/>
          <w:b w:val="0"/>
          <w:bCs w:val="0"/>
          <w:sz w:val="28"/>
        </w:rPr>
        <w:t xml:space="preserve"> n° 34 </w:t>
      </w:r>
      <w:r w:rsidRPr="00E9210E">
        <w:rPr>
          <w:rStyle w:val="Corpsdutexte885ptNonGrasItaliquechelle100"/>
          <w:rFonts w:eastAsia="Courier New"/>
          <w:b w:val="0"/>
          <w:bCs w:val="0"/>
          <w:sz w:val="28"/>
        </w:rPr>
        <w:t>bis).</w:t>
      </w:r>
    </w:p>
    <w:p w14:paraId="1EF89766"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Culture de l’esprit et vie provinciale : Louis Lacrocq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A.H.S.,</w:t>
      </w:r>
      <w:r w:rsidRPr="00E9210E">
        <w:rPr>
          <w:rStyle w:val="Corpsdutexte885ptNonGraschelle100"/>
          <w:rFonts w:eastAsia="Courier New"/>
          <w:b w:val="0"/>
          <w:bCs w:val="0"/>
          <w:sz w:val="28"/>
        </w:rPr>
        <w:t xml:space="preserve"> t. II (1940), pp. 139-140.</w:t>
      </w:r>
    </w:p>
    <w:p w14:paraId="41D4E98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Les corporations de métier. Problèmes d’origine et de filiation. (Compte rendu : G. </w:t>
      </w:r>
      <w:r w:rsidRPr="00E9210E">
        <w:rPr>
          <w:rStyle w:val="Corpsdutexte119ptNonItaliqueEspacement0pt"/>
          <w:rFonts w:eastAsia="Courier New"/>
          <w:i w:val="0"/>
          <w:iCs w:val="0"/>
          <w:smallCaps/>
          <w:sz w:val="28"/>
        </w:rPr>
        <w:t>Mick</w:t>
      </w:r>
      <w:r w:rsidRPr="00E9210E">
        <w:rPr>
          <w:rStyle w:val="Corpsdutexte1165ptGrasNonItaliqueEspacement0pt"/>
          <w:rFonts w:eastAsia="Courier New"/>
          <w:b w:val="0"/>
          <w:i w:val="0"/>
          <w:iCs w:val="0"/>
          <w:smallCaps/>
          <w:sz w:val="28"/>
          <w:lang w:val="fr-CA"/>
        </w:rPr>
        <w:t>witz</w:t>
      </w:r>
      <w:r w:rsidRPr="00E9210E">
        <w:rPr>
          <w:rStyle w:val="Corpsdutexte1165ptGrasNonItaliqueEspacement0pt"/>
          <w:rFonts w:eastAsia="Courier New"/>
          <w:b w:val="0"/>
          <w:i w:val="0"/>
          <w:iCs w:val="0"/>
          <w:sz w:val="28"/>
          <w:lang w:val="fr-CA"/>
        </w:rPr>
        <w:t>,</w:t>
      </w:r>
      <w:r w:rsidRPr="00E9210E">
        <w:rPr>
          <w:rStyle w:val="Corpsdutexte1165ptGrasNonItaliqueEspacement0pt"/>
          <w:rFonts w:eastAsia="Courier New"/>
          <w:i w:val="0"/>
          <w:iCs w:val="0"/>
          <w:sz w:val="28"/>
          <w:lang w:val="fr-CA"/>
        </w:rPr>
        <w:t xml:space="preserve"> </w:t>
      </w:r>
      <w:r w:rsidRPr="00E9210E">
        <w:rPr>
          <w:rFonts w:eastAsia="Courier New"/>
          <w:i/>
        </w:rPr>
        <w:t>Die Kartellfunktionen der Ziinfte und ihre Bedeutung bei der Entstehung des Zunftwesens. Eine Studie in spätantiker und mittelalterlicher Wirtschaftsgeschichte</w:t>
      </w:r>
      <w:r w:rsidRPr="00E9210E">
        <w:rPr>
          <w:rFonts w:eastAsia="Courier New"/>
        </w:rPr>
        <w:t>,</w:t>
      </w:r>
      <w:r w:rsidRPr="00E9210E">
        <w:rPr>
          <w:rStyle w:val="Corpsdutexte11NonItaliqueEspacement0pt"/>
          <w:rFonts w:eastAsia="Courier New"/>
          <w:i w:val="0"/>
          <w:iCs w:val="0"/>
          <w:sz w:val="28"/>
          <w:lang w:val="fr-CA"/>
        </w:rPr>
        <w:t xml:space="preserve"> Helsingfors, 1936), « A.H.S. », t. II (1940), pp. 21-22.</w:t>
      </w:r>
    </w:p>
    <w:p w14:paraId="200F2F0B"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Toponymie et peuplement. (Comptes rendus : A. </w:t>
      </w:r>
      <w:r w:rsidRPr="00E9210E">
        <w:rPr>
          <w:rStyle w:val="Corpsdutexte117ptGrasNonItaliqueEspacement0pt"/>
          <w:rFonts w:eastAsia="Courier New"/>
          <w:b w:val="0"/>
          <w:i w:val="0"/>
          <w:iCs w:val="0"/>
          <w:smallCaps/>
          <w:sz w:val="28"/>
          <w:lang w:val="fr-CA"/>
        </w:rPr>
        <w:t>Dauzat</w:t>
      </w:r>
      <w:r w:rsidRPr="00E9210E">
        <w:rPr>
          <w:rFonts w:eastAsia="Courier New"/>
          <w:b/>
        </w:rPr>
        <w:t>,</w:t>
      </w:r>
      <w:r w:rsidRPr="00E9210E">
        <w:rPr>
          <w:rFonts w:eastAsia="Courier New"/>
        </w:rPr>
        <w:t xml:space="preserve"> </w:t>
      </w:r>
      <w:r w:rsidRPr="00E9210E">
        <w:rPr>
          <w:rFonts w:eastAsia="Courier New"/>
          <w:i/>
        </w:rPr>
        <w:t>La t</w:t>
      </w:r>
      <w:r w:rsidRPr="00E9210E">
        <w:rPr>
          <w:rFonts w:eastAsia="Courier New"/>
          <w:i/>
        </w:rPr>
        <w:t>o</w:t>
      </w:r>
      <w:r w:rsidRPr="00E9210E">
        <w:rPr>
          <w:rFonts w:eastAsia="Courier New"/>
          <w:i/>
        </w:rPr>
        <w:t>ponymie française</w:t>
      </w:r>
      <w:r w:rsidRPr="00E9210E">
        <w:rPr>
          <w:rFonts w:eastAsia="Courier New"/>
        </w:rPr>
        <w:t>,</w:t>
      </w:r>
      <w:r w:rsidRPr="00E9210E">
        <w:rPr>
          <w:rStyle w:val="Corpsdutexte11NonItaliqueEspacement0pt"/>
          <w:rFonts w:eastAsia="Courier New"/>
          <w:i w:val="0"/>
          <w:iCs w:val="0"/>
          <w:sz w:val="28"/>
          <w:lang w:val="fr-CA"/>
        </w:rPr>
        <w:t xml:space="preserve"> Paris, 1939. — M</w:t>
      </w:r>
      <w:r w:rsidRPr="00E9210E">
        <w:rPr>
          <w:rStyle w:val="Corpsdutexte11NonItaliqueEspacement0pt"/>
          <w:rFonts w:eastAsia="Courier New"/>
          <w:i w:val="0"/>
          <w:iCs w:val="0"/>
          <w:sz w:val="28"/>
          <w:vertAlign w:val="superscript"/>
          <w:lang w:val="fr-CA"/>
        </w:rPr>
        <w:t>me</w:t>
      </w:r>
      <w:r w:rsidRPr="00E9210E">
        <w:rPr>
          <w:rStyle w:val="Corpsdutexte11NonItaliqueEspacement0pt"/>
          <w:rFonts w:eastAsia="Courier New"/>
          <w:i w:val="0"/>
          <w:iCs w:val="0"/>
          <w:sz w:val="28"/>
          <w:lang w:val="fr-CA"/>
        </w:rPr>
        <w:t xml:space="preserve"> </w:t>
      </w:r>
      <w:r w:rsidRPr="00E9210E">
        <w:rPr>
          <w:rStyle w:val="Corpsdutexte117ptGrasNonItaliqueEspacement0pt"/>
          <w:rFonts w:eastAsia="Courier New"/>
          <w:b w:val="0"/>
          <w:i w:val="0"/>
          <w:iCs w:val="0"/>
          <w:smallCaps/>
          <w:sz w:val="28"/>
          <w:lang w:val="fr-CA"/>
        </w:rPr>
        <w:t>Houth-Baltus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Toponymie du pays de Gruye et du val de Galie</w:t>
      </w:r>
      <w:r w:rsidRPr="00E9210E">
        <w:rPr>
          <w:rFonts w:eastAsia="Courier New"/>
        </w:rPr>
        <w:t xml:space="preserve">, </w:t>
      </w:r>
      <w:r w:rsidRPr="00E9210E">
        <w:rPr>
          <w:rStyle w:val="Corpsdutexte11NonItaliqueEspacement0pt"/>
          <w:rFonts w:eastAsia="Courier New"/>
          <w:i w:val="0"/>
          <w:iCs w:val="0"/>
          <w:sz w:val="28"/>
          <w:lang w:val="fr-CA"/>
        </w:rPr>
        <w:t xml:space="preserve">dans </w:t>
      </w:r>
      <w:r w:rsidRPr="00E9210E">
        <w:rPr>
          <w:rFonts w:eastAsia="Courier New"/>
          <w:i/>
        </w:rPr>
        <w:t>Revue de l'histoire de Ve</w:t>
      </w:r>
      <w:r w:rsidRPr="00E9210E">
        <w:rPr>
          <w:rFonts w:eastAsia="Courier New"/>
          <w:i/>
        </w:rPr>
        <w:t>r</w:t>
      </w:r>
      <w:r w:rsidRPr="00E9210E">
        <w:rPr>
          <w:rFonts w:eastAsia="Courier New"/>
          <w:i/>
        </w:rPr>
        <w:t>sailles</w:t>
      </w:r>
      <w:r w:rsidRPr="00E9210E">
        <w:rPr>
          <w:rFonts w:eastAsia="Courier New"/>
        </w:rPr>
        <w:t>,</w:t>
      </w:r>
      <w:r w:rsidRPr="00E9210E">
        <w:rPr>
          <w:rStyle w:val="Corpsdutexte11NonItaliqueEspacement0pt"/>
          <w:rFonts w:eastAsia="Courier New"/>
          <w:i w:val="0"/>
          <w:iCs w:val="0"/>
          <w:sz w:val="28"/>
          <w:lang w:val="fr-CA"/>
        </w:rPr>
        <w:t xml:space="preserve"> 1938. — J. </w:t>
      </w:r>
      <w:r w:rsidRPr="00E9210E">
        <w:rPr>
          <w:rStyle w:val="Corpsdutexte117ptGrasNonItaliqueEspacement0pt"/>
          <w:rFonts w:eastAsia="Courier New"/>
          <w:b w:val="0"/>
          <w:i w:val="0"/>
          <w:iCs w:val="0"/>
          <w:smallCaps/>
          <w:sz w:val="28"/>
          <w:lang w:val="fr-CA"/>
        </w:rPr>
        <w:t>Soyer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Recherches sur l'origine et la formation des noms de lieux du département du Loiret</w:t>
      </w:r>
      <w:r w:rsidRPr="00E9210E">
        <w:rPr>
          <w:rFonts w:eastAsia="Courier New"/>
        </w:rPr>
        <w:t>,</w:t>
      </w:r>
      <w:r w:rsidRPr="00E9210E">
        <w:rPr>
          <w:rStyle w:val="Corpsdutexte11NonItaliqueEspacement0pt"/>
          <w:rFonts w:eastAsia="Courier New"/>
          <w:i w:val="0"/>
          <w:iCs w:val="0"/>
          <w:sz w:val="28"/>
          <w:lang w:val="fr-CA"/>
        </w:rPr>
        <w:t xml:space="preserve"> Orléans, 1938. — P. </w:t>
      </w:r>
      <w:r w:rsidRPr="00E9210E">
        <w:rPr>
          <w:rStyle w:val="Corpsdutexte117ptGrasNonItaliqueEspacement0pt"/>
          <w:rFonts w:eastAsia="Courier New"/>
          <w:b w:val="0"/>
          <w:i w:val="0"/>
          <w:iCs w:val="0"/>
          <w:sz w:val="28"/>
          <w:lang w:val="fr-CA"/>
        </w:rPr>
        <w:t>L</w:t>
      </w:r>
      <w:r w:rsidRPr="00E9210E">
        <w:rPr>
          <w:rStyle w:val="Corpsdutexte117ptGrasNonItaliqueEspacement0pt"/>
          <w:rFonts w:eastAsia="Courier New"/>
          <w:b w:val="0"/>
          <w:i w:val="0"/>
          <w:iCs w:val="0"/>
          <w:sz w:val="28"/>
          <w:lang w:val="fr-CA"/>
        </w:rPr>
        <w:t>e</w:t>
      </w:r>
      <w:r w:rsidRPr="00E9210E">
        <w:rPr>
          <w:rStyle w:val="Corpsdutexte117ptGrasNonItaliqueEspacement0pt"/>
          <w:rFonts w:eastAsia="Courier New"/>
          <w:b w:val="0"/>
          <w:i w:val="0"/>
          <w:iCs w:val="0"/>
          <w:sz w:val="28"/>
          <w:lang w:val="fr-CA"/>
        </w:rPr>
        <w:t>bel,</w:t>
      </w:r>
      <w:r w:rsidRPr="00E9210E">
        <w:rPr>
          <w:rStyle w:val="Corpsdutexte117ptGrasNonItaliqueEspacement0pt"/>
          <w:rFonts w:eastAsia="Courier New"/>
          <w:i w:val="0"/>
          <w:iCs w:val="0"/>
          <w:sz w:val="28"/>
          <w:lang w:val="fr-CA"/>
        </w:rPr>
        <w:t xml:space="preserve"> </w:t>
      </w:r>
      <w:r w:rsidRPr="00E9210E">
        <w:rPr>
          <w:rFonts w:eastAsia="Courier New"/>
          <w:i/>
        </w:rPr>
        <w:t>Problèmes toponymiques</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Annales de Bourgogne</w:t>
      </w:r>
      <w:r w:rsidRPr="00E9210E">
        <w:rPr>
          <w:rStyle w:val="Corpsdutexte11NonItaliqueEspacement0pt"/>
          <w:rFonts w:eastAsia="Courier New"/>
          <w:i w:val="0"/>
          <w:iCs w:val="0"/>
          <w:sz w:val="28"/>
          <w:lang w:val="fr-CA"/>
        </w:rPr>
        <w:t>), « A.H.S. », t. II (1940), pp. 43-45.</w:t>
      </w:r>
    </w:p>
    <w:p w14:paraId="018C746B" w14:textId="77777777" w:rsidR="00B9662D" w:rsidRPr="00E9210E" w:rsidRDefault="00B9662D" w:rsidP="00B9662D">
      <w:pPr>
        <w:spacing w:before="120" w:after="120"/>
        <w:jc w:val="both"/>
      </w:pPr>
      <w:r w:rsidRPr="00E9210E">
        <w:t>Regard sur des paysanneries de crise. (Comptes rendus : G. </w:t>
      </w:r>
      <w:r w:rsidRPr="00E9210E">
        <w:rPr>
          <w:rStyle w:val="Corpsdutexte27ptGras"/>
          <w:rFonts w:eastAsia="Courier New"/>
          <w:b w:val="0"/>
          <w:smallCaps/>
          <w:sz w:val="28"/>
        </w:rPr>
        <w:t>Duccorted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Servage ou indépendance du paysan suisse</w:t>
      </w:r>
      <w:r w:rsidRPr="00E9210E">
        <w:rPr>
          <w:rFonts w:eastAsia="Courier New"/>
        </w:rPr>
        <w:t>,</w:t>
      </w:r>
      <w:r w:rsidRPr="00E9210E">
        <w:t xml:space="preserve"> Fribourg, 1935. — Ch. </w:t>
      </w:r>
      <w:r w:rsidRPr="00E9210E">
        <w:rPr>
          <w:rStyle w:val="Corpsdutexte27ptGras"/>
          <w:rFonts w:eastAsia="Courier New"/>
          <w:b w:val="0"/>
          <w:sz w:val="28"/>
        </w:rPr>
        <w:t>Braibant,</w:t>
      </w:r>
      <w:r w:rsidRPr="00E9210E">
        <w:rPr>
          <w:rStyle w:val="Corpsdutexte27ptGras"/>
          <w:rFonts w:eastAsia="Courier New"/>
          <w:sz w:val="28"/>
        </w:rPr>
        <w:t xml:space="preserve"> </w:t>
      </w:r>
      <w:r w:rsidRPr="00E9210E">
        <w:rPr>
          <w:rFonts w:eastAsia="Courier New"/>
          <w:i/>
        </w:rPr>
        <w:t>La tragédie paysanne</w:t>
      </w:r>
      <w:r w:rsidRPr="00E9210E">
        <w:rPr>
          <w:rFonts w:eastAsia="Courier New"/>
        </w:rPr>
        <w:t>,</w:t>
      </w:r>
      <w:r w:rsidRPr="00E9210E">
        <w:t xml:space="preserve"> Paris, 1937. — </w:t>
      </w:r>
      <w:r w:rsidRPr="00E9210E">
        <w:rPr>
          <w:rFonts w:eastAsia="Courier New"/>
          <w:i/>
        </w:rPr>
        <w:t>Questions agricoles</w:t>
      </w:r>
      <w:r w:rsidRPr="00E9210E">
        <w:rPr>
          <w:rFonts w:eastAsia="Courier New"/>
        </w:rPr>
        <w:t>,</w:t>
      </w:r>
      <w:r w:rsidRPr="00E9210E">
        <w:t xml:space="preserve"> p</w:t>
      </w:r>
      <w:r w:rsidRPr="00E9210E">
        <w:t>u</w:t>
      </w:r>
      <w:r w:rsidRPr="00E9210E">
        <w:t xml:space="preserve">blié par le </w:t>
      </w:r>
      <w:r w:rsidRPr="00E9210E">
        <w:rPr>
          <w:rFonts w:eastAsia="Courier New"/>
        </w:rPr>
        <w:t>Centre polytechnicien d'études économiques,</w:t>
      </w:r>
      <w:r w:rsidRPr="00E9210E">
        <w:t xml:space="preserve"> Paris, 1937), « A.H.S. », t. II (1940), pp. 50-52.</w:t>
      </w:r>
    </w:p>
    <w:p w14:paraId="045AE1ED" w14:textId="77777777" w:rsidR="00B9662D" w:rsidRPr="00E9210E" w:rsidRDefault="00B9662D" w:rsidP="00B9662D">
      <w:pPr>
        <w:spacing w:before="120" w:after="120"/>
        <w:jc w:val="both"/>
      </w:pPr>
      <w:r w:rsidRPr="00E9210E">
        <w:t xml:space="preserve">Le souvenir de Henri Pirenne. (Compte rendu : </w:t>
      </w:r>
      <w:r w:rsidRPr="00E9210E">
        <w:rPr>
          <w:rFonts w:eastAsia="Courier New"/>
          <w:i/>
        </w:rPr>
        <w:t>Études d'histoire dédiées à la mémoire de Henri Pirenne par ses anciens élèves</w:t>
      </w:r>
      <w:r w:rsidRPr="00E9210E">
        <w:rPr>
          <w:rFonts w:eastAsia="Courier New"/>
        </w:rPr>
        <w:t>,</w:t>
      </w:r>
      <w:r w:rsidRPr="00E9210E">
        <w:t xml:space="preserve"> Bruxelles, 1937), « A.H.S. », t. II (1940), pp. 57-58.</w:t>
      </w:r>
    </w:p>
    <w:p w14:paraId="2D99E54A" w14:textId="77777777" w:rsidR="00B9662D" w:rsidRPr="00E9210E" w:rsidRDefault="00B9662D" w:rsidP="00B9662D">
      <w:pPr>
        <w:spacing w:before="120" w:after="120"/>
        <w:jc w:val="both"/>
      </w:pPr>
      <w:r w:rsidRPr="00E9210E">
        <w:t xml:space="preserve">Compte rendu : H. W. </w:t>
      </w:r>
      <w:r w:rsidRPr="00E9210E">
        <w:rPr>
          <w:rStyle w:val="Corpsdutexte27ptGras"/>
          <w:rFonts w:eastAsia="Courier New"/>
          <w:b w:val="0"/>
          <w:smallCaps/>
          <w:sz w:val="28"/>
        </w:rPr>
        <w:t>Meikle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i/>
        </w:rPr>
        <w:t xml:space="preserve">A </w:t>
      </w:r>
      <w:r w:rsidRPr="00E9210E">
        <w:rPr>
          <w:rFonts w:eastAsia="Courier New"/>
          <w:i/>
        </w:rPr>
        <w:t>brief bibliography of Scottish History for the use of teachers</w:t>
      </w:r>
      <w:r w:rsidRPr="00E9210E">
        <w:rPr>
          <w:rFonts w:eastAsia="Courier New"/>
        </w:rPr>
        <w:t>,</w:t>
      </w:r>
      <w:r w:rsidRPr="00E9210E">
        <w:t xml:space="preserve"> Londres, 1937, « A.H.S. », t. II (1940), p. 59.</w:t>
      </w:r>
    </w:p>
    <w:p w14:paraId="03FE22F6" w14:textId="77777777" w:rsidR="00B9662D" w:rsidRPr="00E9210E" w:rsidRDefault="00B9662D" w:rsidP="00B9662D">
      <w:pPr>
        <w:spacing w:before="120" w:after="120"/>
        <w:jc w:val="both"/>
      </w:pPr>
      <w:r w:rsidRPr="00E9210E">
        <w:t xml:space="preserve">Compte rendu : M. </w:t>
      </w:r>
      <w:r w:rsidRPr="00E9210E">
        <w:rPr>
          <w:rStyle w:val="Corpsdutexte27ptGras"/>
          <w:rFonts w:eastAsia="Courier New"/>
          <w:b w:val="0"/>
          <w:smallCaps/>
          <w:sz w:val="28"/>
        </w:rPr>
        <w:t>Humpert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Bibliographie der Kameralwissen</w:t>
      </w:r>
      <w:r w:rsidRPr="00E9210E">
        <w:rPr>
          <w:rFonts w:eastAsia="Courier New"/>
          <w:i/>
        </w:rPr>
        <w:t>s</w:t>
      </w:r>
      <w:r w:rsidRPr="00E9210E">
        <w:rPr>
          <w:rFonts w:eastAsia="Courier New"/>
          <w:i/>
        </w:rPr>
        <w:t>cha</w:t>
      </w:r>
      <w:r w:rsidRPr="00E9210E">
        <w:rPr>
          <w:rFonts w:eastAsia="Courier New"/>
          <w:i/>
        </w:rPr>
        <w:t>f</w:t>
      </w:r>
      <w:r w:rsidRPr="00E9210E">
        <w:rPr>
          <w:rFonts w:eastAsia="Courier New"/>
          <w:i/>
        </w:rPr>
        <w:t>ten</w:t>
      </w:r>
      <w:r w:rsidRPr="00E9210E">
        <w:rPr>
          <w:rFonts w:eastAsia="Courier New"/>
        </w:rPr>
        <w:t>,</w:t>
      </w:r>
      <w:r w:rsidRPr="00E9210E">
        <w:t xml:space="preserve"> Cologne, 1937), « A.H.S. », t. II (1940), p. 60.</w:t>
      </w:r>
    </w:p>
    <w:p w14:paraId="478FF5BF" w14:textId="77777777" w:rsidR="00B9662D" w:rsidRPr="00E9210E" w:rsidRDefault="00B9662D" w:rsidP="00B9662D">
      <w:pPr>
        <w:spacing w:before="120" w:after="120"/>
        <w:jc w:val="both"/>
      </w:pPr>
      <w:r w:rsidRPr="00E9210E">
        <w:t xml:space="preserve">L’Europe de Louis XI. (Compte rendu : </w:t>
      </w:r>
      <w:r w:rsidRPr="00E9210E">
        <w:rPr>
          <w:rStyle w:val="Corpsdutexte27ptGras"/>
          <w:rFonts w:eastAsia="Courier New"/>
          <w:b w:val="0"/>
          <w:sz w:val="28"/>
        </w:rPr>
        <w:t xml:space="preserve">J. </w:t>
      </w:r>
      <w:r w:rsidRPr="00E9210E">
        <w:rPr>
          <w:rStyle w:val="Corpsdutexte27ptGras"/>
          <w:rFonts w:eastAsia="Courier New"/>
          <w:b w:val="0"/>
          <w:smallCaps/>
          <w:sz w:val="28"/>
        </w:rPr>
        <w:t>Calmette</w:t>
      </w:r>
      <w:r w:rsidRPr="00E9210E">
        <w:rPr>
          <w:rStyle w:val="Corpsdutexte27ptGras"/>
          <w:rFonts w:eastAsia="Courier New"/>
          <w:sz w:val="28"/>
        </w:rPr>
        <w:t xml:space="preserve"> </w:t>
      </w:r>
      <w:r w:rsidRPr="00E9210E">
        <w:t>et E. </w:t>
      </w:r>
      <w:r w:rsidRPr="00E9210E">
        <w:rPr>
          <w:rStyle w:val="Corpsdutexte27ptGras"/>
          <w:rFonts w:eastAsia="Courier New"/>
          <w:b w:val="0"/>
          <w:smallCaps/>
          <w:sz w:val="28"/>
        </w:rPr>
        <w:t>Déprez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L'Europe occidentale de la fin du</w:t>
      </w:r>
      <w:r w:rsidRPr="00E9210E">
        <w:rPr>
          <w:rFonts w:eastAsia="Courier New"/>
        </w:rPr>
        <w:t xml:space="preserve"> </w:t>
      </w:r>
      <w:r w:rsidRPr="00E9210E">
        <w:rPr>
          <w:rStyle w:val="Corpsdutexte2ItaliqueEspacement1pt"/>
          <w:rFonts w:eastAsia="Courier New"/>
          <w:sz w:val="28"/>
          <w:lang w:val="fr-CA"/>
        </w:rPr>
        <w:t>XIV</w:t>
      </w:r>
      <w:r w:rsidRPr="00E9210E">
        <w:rPr>
          <w:rStyle w:val="Corpsdutexte2ItaliqueEspacement1pt"/>
          <w:rFonts w:eastAsia="Courier New"/>
          <w:sz w:val="28"/>
          <w:vertAlign w:val="superscript"/>
          <w:lang w:val="fr-CA"/>
        </w:rPr>
        <w:t>e</w:t>
      </w:r>
      <w:r w:rsidRPr="00E9210E">
        <w:rPr>
          <w:rFonts w:eastAsia="Courier New"/>
        </w:rPr>
        <w:t xml:space="preserve"> </w:t>
      </w:r>
      <w:r w:rsidRPr="00E9210E">
        <w:rPr>
          <w:rFonts w:eastAsia="Courier New"/>
          <w:i/>
        </w:rPr>
        <w:t>siècle aux guerres d'Italie</w:t>
      </w:r>
      <w:r w:rsidRPr="00E9210E">
        <w:rPr>
          <w:rFonts w:eastAsia="Courier New"/>
        </w:rPr>
        <w:t>,</w:t>
      </w:r>
      <w:r w:rsidRPr="00E9210E">
        <w:t xml:space="preserve"> Paris, 1939. </w:t>
      </w:r>
      <w:r w:rsidRPr="00E9210E">
        <w:rPr>
          <w:rFonts w:eastAsia="Courier New"/>
        </w:rPr>
        <w:t xml:space="preserve">Coll. Hist. générale, </w:t>
      </w:r>
      <w:r w:rsidRPr="00E9210E">
        <w:t xml:space="preserve">II : </w:t>
      </w:r>
      <w:r w:rsidRPr="00E9210E">
        <w:rPr>
          <w:rFonts w:eastAsia="Courier New"/>
          <w:i/>
        </w:rPr>
        <w:t>Histoire du Moyen Âge</w:t>
      </w:r>
      <w:r w:rsidRPr="00E9210E">
        <w:rPr>
          <w:rFonts w:eastAsia="Courier New"/>
        </w:rPr>
        <w:t>,</w:t>
      </w:r>
      <w:r w:rsidRPr="00E9210E">
        <w:t xml:space="preserve"> t. VII, </w:t>
      </w:r>
      <w:r w:rsidRPr="00E9210E">
        <w:rPr>
          <w:rStyle w:val="Corpsdutexte28ptItalique"/>
          <w:rFonts w:eastAsia="Courier New"/>
          <w:sz w:val="28"/>
        </w:rPr>
        <w:t>2</w:t>
      </w:r>
      <w:r w:rsidRPr="00E9210E">
        <w:rPr>
          <w:rStyle w:val="Corpsdutexte28ptItalique"/>
          <w:rFonts w:eastAsia="Courier New"/>
          <w:sz w:val="28"/>
          <w:vertAlign w:val="superscript"/>
        </w:rPr>
        <w:t>e</w:t>
      </w:r>
      <w:r w:rsidRPr="00E9210E">
        <w:rPr>
          <w:rStyle w:val="Corpsdutexte28ptGrasEspacement1ptchelle120"/>
          <w:rFonts w:eastAsia="Courier New"/>
          <w:sz w:val="28"/>
        </w:rPr>
        <w:t xml:space="preserve"> </w:t>
      </w:r>
      <w:r w:rsidRPr="00E9210E">
        <w:t>partie), « A.H.S. », t. II (1940), pp. 61-62.</w:t>
      </w:r>
    </w:p>
    <w:p w14:paraId="78D36F52" w14:textId="77777777" w:rsidR="00B9662D" w:rsidRPr="00E9210E" w:rsidRDefault="00B9662D" w:rsidP="00B9662D">
      <w:pPr>
        <w:spacing w:before="120" w:after="120"/>
        <w:jc w:val="both"/>
      </w:pPr>
      <w:r w:rsidRPr="00E9210E">
        <w:t xml:space="preserve">Une ville de foires. (Compte rendu : Z. W. </w:t>
      </w:r>
      <w:r w:rsidRPr="00E9210E">
        <w:rPr>
          <w:rStyle w:val="Corpsdutexte27ptGras"/>
          <w:rFonts w:eastAsia="Courier New"/>
          <w:b w:val="0"/>
          <w:smallCaps/>
          <w:sz w:val="28"/>
        </w:rPr>
        <w:t>Sneller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Deventer, die Stadt der Jahrmärkte</w:t>
      </w:r>
      <w:r w:rsidRPr="00E9210E">
        <w:t>, Weimar, 1936), « A.H.S. », t. II (1940), p. 66.</w:t>
      </w:r>
    </w:p>
    <w:p w14:paraId="62629798" w14:textId="77777777" w:rsidR="00B9662D" w:rsidRPr="00E9210E" w:rsidRDefault="00B9662D" w:rsidP="00B9662D">
      <w:pPr>
        <w:spacing w:before="120" w:after="120"/>
        <w:jc w:val="both"/>
      </w:pPr>
      <w:r w:rsidRPr="00E9210E">
        <w:t>[1095]</w:t>
      </w:r>
    </w:p>
    <w:p w14:paraId="7B5E975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Voie de mer contre voie de terre. (Compte rendu : R. </w:t>
      </w:r>
      <w:r w:rsidRPr="00E9210E">
        <w:rPr>
          <w:rStyle w:val="Corpsdutexte117ptGrasNonItaliqueEspacement0pt"/>
          <w:rFonts w:eastAsia="Courier New"/>
          <w:b w:val="0"/>
          <w:i w:val="0"/>
          <w:iCs w:val="0"/>
          <w:smallCaps/>
          <w:sz w:val="28"/>
          <w:lang w:val="fr-CA"/>
        </w:rPr>
        <w:t>Doehaerd</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galères génoises dans la Manche et la Mer du Nord à la fin du XIII</w:t>
      </w:r>
      <w:r w:rsidRPr="00E9210E">
        <w:rPr>
          <w:rFonts w:eastAsia="Courier New"/>
          <w:i/>
          <w:vertAlign w:val="superscript"/>
        </w:rPr>
        <w:t>e</w:t>
      </w:r>
      <w:r w:rsidRPr="00E9210E">
        <w:rPr>
          <w:rFonts w:eastAsia="Courier New"/>
          <w:i/>
        </w:rPr>
        <w:t xml:space="preserve"> siècle et au début du XIV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Bull. Histor. belge de R</w:t>
      </w:r>
      <w:r w:rsidRPr="00E9210E">
        <w:rPr>
          <w:rFonts w:eastAsia="Courier New"/>
          <w:i/>
        </w:rPr>
        <w:t>o</w:t>
      </w:r>
      <w:r w:rsidRPr="00E9210E">
        <w:rPr>
          <w:rFonts w:eastAsia="Courier New"/>
          <w:i/>
        </w:rPr>
        <w:t>me</w:t>
      </w:r>
      <w:r w:rsidRPr="00E9210E">
        <w:rPr>
          <w:rFonts w:eastAsia="Courier New"/>
        </w:rPr>
        <w:t>,</w:t>
      </w:r>
      <w:r w:rsidRPr="00E9210E">
        <w:rPr>
          <w:rStyle w:val="Corpsdutexte11NonItaliqueEspacement0pt"/>
          <w:rFonts w:eastAsia="Courier New"/>
          <w:i w:val="0"/>
          <w:iCs w:val="0"/>
          <w:sz w:val="28"/>
          <w:lang w:val="fr-CA"/>
        </w:rPr>
        <w:t xml:space="preserve"> t. XIX (1938), p. 5-76), « A.H.S. », t. II (1940)</w:t>
      </w:r>
      <w:r w:rsidRPr="00E9210E">
        <w:t>, pp. 67-68.</w:t>
      </w:r>
    </w:p>
    <w:p w14:paraId="76E06E0B" w14:textId="77777777" w:rsidR="00B9662D" w:rsidRPr="00E9210E" w:rsidRDefault="00B9662D" w:rsidP="00B9662D">
      <w:pPr>
        <w:spacing w:before="120" w:after="120"/>
        <w:jc w:val="both"/>
      </w:pPr>
      <w:r w:rsidRPr="00E9210E">
        <w:t xml:space="preserve">Destin d’un estuaire. (Compte rendu : A. de </w:t>
      </w:r>
      <w:r w:rsidRPr="00E9210E">
        <w:rPr>
          <w:rStyle w:val="Corpsdutexte27ptGras"/>
          <w:rFonts w:eastAsia="Courier New"/>
          <w:b w:val="0"/>
          <w:smallCaps/>
          <w:sz w:val="28"/>
        </w:rPr>
        <w:t>Smet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Zwyn</w:t>
      </w:r>
      <w:r w:rsidRPr="00E9210E">
        <w:rPr>
          <w:rFonts w:eastAsia="Courier New"/>
        </w:rPr>
        <w:t>),</w:t>
      </w:r>
      <w:r w:rsidRPr="00E9210E">
        <w:t xml:space="preserve"> « A.H.S. », t. II (1940), p. 68.</w:t>
      </w:r>
    </w:p>
    <w:p w14:paraId="1AEA97DB" w14:textId="77777777" w:rsidR="00B9662D" w:rsidRPr="00E9210E" w:rsidRDefault="00B9662D" w:rsidP="00B9662D">
      <w:pPr>
        <w:spacing w:before="120" w:after="120"/>
        <w:jc w:val="both"/>
      </w:pPr>
      <w:r w:rsidRPr="00E9210E">
        <w:t xml:space="preserve">Une institution, un port. (Compte rendu : M. </w:t>
      </w:r>
      <w:r w:rsidRPr="00E9210E">
        <w:rPr>
          <w:rStyle w:val="Corpsdutexte27ptGras"/>
          <w:rFonts w:eastAsia="Courier New"/>
          <w:b w:val="0"/>
          <w:smallCaps/>
          <w:sz w:val="28"/>
        </w:rPr>
        <w:t>Gouron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L’amirauté de Guienne depuis le premier amiral anglais en Guienne jusqu’à la R</w:t>
      </w:r>
      <w:r w:rsidRPr="00E9210E">
        <w:rPr>
          <w:rFonts w:eastAsia="Courier New"/>
          <w:i/>
        </w:rPr>
        <w:t>é</w:t>
      </w:r>
      <w:r w:rsidRPr="00E9210E">
        <w:rPr>
          <w:rFonts w:eastAsia="Courier New"/>
          <w:i/>
        </w:rPr>
        <w:t>volution</w:t>
      </w:r>
      <w:r w:rsidRPr="00E9210E">
        <w:rPr>
          <w:rFonts w:eastAsia="Courier New"/>
        </w:rPr>
        <w:t>,</w:t>
      </w:r>
      <w:r w:rsidRPr="00E9210E">
        <w:t xml:space="preserve"> Paris, 1938), « A.H.S. », t. II (1940), pp. 68-69.</w:t>
      </w:r>
    </w:p>
    <w:p w14:paraId="34D069C7" w14:textId="77777777" w:rsidR="00B9662D" w:rsidRPr="00E9210E" w:rsidRDefault="00B9662D" w:rsidP="00B9662D">
      <w:pPr>
        <w:spacing w:before="120" w:after="120"/>
        <w:jc w:val="both"/>
      </w:pPr>
      <w:r w:rsidRPr="00E9210E">
        <w:t xml:space="preserve">Compte rendu : R. </w:t>
      </w:r>
      <w:r w:rsidRPr="00E9210E">
        <w:rPr>
          <w:rStyle w:val="Corpsdutexte27ptGras"/>
          <w:rFonts w:eastAsia="Courier New"/>
          <w:b w:val="0"/>
          <w:smallCaps/>
          <w:sz w:val="28"/>
        </w:rPr>
        <w:t>Dion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Orléans et l’ancienne navigation de la Lo</w:t>
      </w:r>
      <w:r w:rsidRPr="00E9210E">
        <w:rPr>
          <w:rFonts w:eastAsia="Courier New"/>
          <w:i/>
        </w:rPr>
        <w:t>i</w:t>
      </w:r>
      <w:r w:rsidRPr="00E9210E">
        <w:rPr>
          <w:rFonts w:eastAsia="Courier New"/>
          <w:i/>
        </w:rPr>
        <w:t>re</w:t>
      </w:r>
      <w:r w:rsidRPr="00E9210E">
        <w:t xml:space="preserve">, dans </w:t>
      </w:r>
      <w:r w:rsidRPr="00E9210E">
        <w:rPr>
          <w:rFonts w:eastAsia="Courier New"/>
          <w:i/>
        </w:rPr>
        <w:t>Annales de Géographie</w:t>
      </w:r>
      <w:r w:rsidRPr="00E9210E">
        <w:rPr>
          <w:rFonts w:eastAsia="Courier New"/>
        </w:rPr>
        <w:t>,</w:t>
      </w:r>
      <w:r w:rsidRPr="00E9210E">
        <w:t xml:space="preserve"> 1938, p. 128-154, « A.H.S. », t. II (1940), p. 69.</w:t>
      </w:r>
    </w:p>
    <w:p w14:paraId="3A76BA21" w14:textId="77777777" w:rsidR="00B9662D" w:rsidRPr="00E9210E" w:rsidRDefault="00B9662D" w:rsidP="00B9662D">
      <w:pPr>
        <w:spacing w:before="120" w:after="120"/>
        <w:jc w:val="both"/>
      </w:pPr>
      <w:r w:rsidRPr="00E9210E">
        <w:t xml:space="preserve">Dans les milieux d’affaires internationaux au </w:t>
      </w:r>
      <w:r w:rsidRPr="00E9210E">
        <w:rPr>
          <w:smallCaps/>
        </w:rPr>
        <w:t>xviii</w:t>
      </w:r>
      <w:r w:rsidRPr="00E9210E">
        <w:rPr>
          <w:vertAlign w:val="superscript"/>
        </w:rPr>
        <w:t>e</w:t>
      </w:r>
      <w:r w:rsidRPr="00E9210E">
        <w:t xml:space="preserve"> siècle. (Com</w:t>
      </w:r>
      <w:r w:rsidRPr="00E9210E">
        <w:t>p</w:t>
      </w:r>
      <w:r w:rsidRPr="00E9210E">
        <w:t xml:space="preserve">te rendu : S. </w:t>
      </w:r>
      <w:r w:rsidRPr="00E9210E">
        <w:rPr>
          <w:rStyle w:val="Corpsdutexte27ptGras"/>
          <w:rFonts w:eastAsia="Courier New"/>
          <w:b w:val="0"/>
          <w:smallCaps/>
          <w:sz w:val="28"/>
        </w:rPr>
        <w:t>Tassier-Charlier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Édouard de Walckiers, promoteur de l’union des Belges et des Liégeois</w:t>
      </w:r>
      <w:r w:rsidRPr="00E9210E">
        <w:rPr>
          <w:rFonts w:eastAsia="Courier New"/>
        </w:rPr>
        <w:t xml:space="preserve"> </w:t>
      </w:r>
      <w:r w:rsidRPr="00E9210E">
        <w:rPr>
          <w:rStyle w:val="Corpsdutexte28ptItalique"/>
          <w:rFonts w:eastAsia="Courier New"/>
          <w:sz w:val="28"/>
        </w:rPr>
        <w:t>(1792),</w:t>
      </w:r>
      <w:r w:rsidRPr="00E9210E">
        <w:rPr>
          <w:rStyle w:val="Corpsdutexte28ptGrasEspacement1ptchelle120"/>
          <w:rFonts w:eastAsia="Courier New"/>
          <w:sz w:val="28"/>
        </w:rPr>
        <w:t xml:space="preserve"> </w:t>
      </w:r>
      <w:r w:rsidRPr="00E9210E">
        <w:t xml:space="preserve">dans </w:t>
      </w:r>
      <w:r w:rsidRPr="00E9210E">
        <w:rPr>
          <w:rFonts w:eastAsia="Courier New"/>
          <w:i/>
        </w:rPr>
        <w:t>Revue de l’Université de Bruxe</w:t>
      </w:r>
      <w:r w:rsidRPr="00E9210E">
        <w:rPr>
          <w:rFonts w:eastAsia="Courier New"/>
          <w:i/>
        </w:rPr>
        <w:t>l</w:t>
      </w:r>
      <w:r w:rsidRPr="00E9210E">
        <w:rPr>
          <w:rFonts w:eastAsia="Courier New"/>
          <w:i/>
        </w:rPr>
        <w:t>les</w:t>
      </w:r>
      <w:r w:rsidRPr="00E9210E">
        <w:rPr>
          <w:rFonts w:eastAsia="Courier New"/>
        </w:rPr>
        <w:t>,</w:t>
      </w:r>
      <w:r w:rsidRPr="00E9210E">
        <w:t xml:space="preserve"> 1938-1939, pp. 139-165), « A.H.S. », t. II (1940), p. 72.</w:t>
      </w:r>
    </w:p>
    <w:p w14:paraId="77CF5EB9" w14:textId="77777777" w:rsidR="00B9662D" w:rsidRPr="00E9210E" w:rsidRDefault="00B9662D" w:rsidP="00B9662D">
      <w:pPr>
        <w:spacing w:before="120" w:after="120"/>
        <w:jc w:val="both"/>
      </w:pPr>
      <w:r w:rsidRPr="00E9210E">
        <w:t xml:space="preserve">Du Rhin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la Meuse : une seigneurie d’église. (Compte rendu : P. E. </w:t>
      </w:r>
      <w:r w:rsidRPr="00E9210E">
        <w:rPr>
          <w:rStyle w:val="Corpsdutexte27ptGras"/>
          <w:rFonts w:eastAsia="Courier New"/>
          <w:b w:val="0"/>
          <w:smallCaps/>
          <w:sz w:val="28"/>
        </w:rPr>
        <w:t>Hubinger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weltlichen Beziehungen der Kirche von Verdun zu den Rheinlanden</w:t>
      </w:r>
      <w:r w:rsidRPr="00E9210E">
        <w:rPr>
          <w:rFonts w:eastAsia="Courier New"/>
        </w:rPr>
        <w:t>,</w:t>
      </w:r>
      <w:r w:rsidRPr="00E9210E">
        <w:t xml:space="preserve"> Bonn, 1935), « A.H.S. », t. II (1940), pp. 74-75.</w:t>
      </w:r>
    </w:p>
    <w:p w14:paraId="6971DE2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L’exemption monastique. (Compte rendu : </w:t>
      </w:r>
      <w:r w:rsidRPr="00E9210E">
        <w:rPr>
          <w:rStyle w:val="Corpsdutexte117ptGrasNonItaliqueEspacement0pt"/>
          <w:rFonts w:eastAsia="Courier New"/>
          <w:b w:val="0"/>
          <w:i w:val="0"/>
          <w:iCs w:val="0"/>
          <w:sz w:val="28"/>
          <w:lang w:val="fr-CA"/>
        </w:rPr>
        <w:t>J.</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F. </w:t>
      </w:r>
      <w:r w:rsidRPr="00E9210E">
        <w:rPr>
          <w:rStyle w:val="Corpsdutexte117ptGrasNonItaliqueEspacement0pt"/>
          <w:rFonts w:eastAsia="Courier New"/>
          <w:b w:val="0"/>
          <w:i w:val="0"/>
          <w:iCs w:val="0"/>
          <w:smallCaps/>
          <w:sz w:val="28"/>
          <w:lang w:val="fr-CA"/>
        </w:rPr>
        <w:t>Lemarignier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Étude sur les privilèges d’exemption et de juridiction ecclésiastique des abbayes normandes depuis les origines jusqu’en</w:t>
      </w:r>
      <w:r w:rsidRPr="00E9210E">
        <w:rPr>
          <w:rFonts w:eastAsia="Courier New"/>
        </w:rPr>
        <w:t xml:space="preserve"> </w:t>
      </w:r>
      <w:r w:rsidRPr="00E9210E">
        <w:rPr>
          <w:rStyle w:val="Corpsdutexte118ptEspacement0pt"/>
          <w:rFonts w:eastAsia="Courier New"/>
          <w:sz w:val="28"/>
          <w:lang w:val="fr-CA"/>
        </w:rPr>
        <w:t>1140,</w:t>
      </w:r>
      <w:r w:rsidRPr="00E9210E">
        <w:rPr>
          <w:rStyle w:val="Corpsdutexte118ptGrasNonItaliqueEspacement1ptchelle120"/>
          <w:rFonts w:eastAsia="Courier New"/>
          <w:i w:val="0"/>
          <w:iCs w:val="0"/>
          <w:spacing w:val="0"/>
          <w:sz w:val="28"/>
          <w:lang w:val="fr-CA"/>
        </w:rPr>
        <w:t xml:space="preserve"> </w:t>
      </w:r>
      <w:r w:rsidRPr="00E9210E">
        <w:rPr>
          <w:rStyle w:val="Corpsdutexte11NonItaliqueEspacement0pt"/>
          <w:rFonts w:eastAsia="Courier New"/>
          <w:i w:val="0"/>
          <w:iCs w:val="0"/>
          <w:sz w:val="28"/>
          <w:lang w:val="fr-CA"/>
        </w:rPr>
        <w:t>Paris, 1937), « A.H.S. », t. II (1940), pp. 75-76.</w:t>
      </w:r>
    </w:p>
    <w:p w14:paraId="5063B30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La reconstitution d’un patrimoine ecclésiastique. (Compte rendu : N. </w:t>
      </w:r>
      <w:r w:rsidRPr="00E9210E">
        <w:rPr>
          <w:rStyle w:val="Corpsdutexte117ptGrasNonItaliqueEspacement0pt"/>
          <w:rFonts w:eastAsia="Courier New"/>
          <w:b w:val="0"/>
          <w:i w:val="0"/>
          <w:iCs w:val="0"/>
          <w:smallCaps/>
          <w:sz w:val="28"/>
          <w:lang w:val="fr-CA"/>
        </w:rPr>
        <w:t>Didier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Étude sur le patrimoine de l’église cathédrale de Grenoble du X</w:t>
      </w:r>
      <w:r w:rsidRPr="00E9210E">
        <w:rPr>
          <w:rFonts w:eastAsia="Courier New"/>
          <w:i/>
          <w:vertAlign w:val="superscript"/>
        </w:rPr>
        <w:t>e</w:t>
      </w:r>
      <w:r w:rsidRPr="00E9210E">
        <w:rPr>
          <w:rFonts w:eastAsia="Courier New"/>
          <w:i/>
        </w:rPr>
        <w:t xml:space="preserve"> au milieu du XII</w:t>
      </w:r>
      <w:r w:rsidRPr="00E9210E">
        <w:rPr>
          <w:rFonts w:eastAsia="Courier New"/>
          <w:i/>
          <w:vertAlign w:val="superscript"/>
        </w:rPr>
        <w:t>e</w:t>
      </w:r>
      <w:r w:rsidRPr="00E9210E">
        <w:rPr>
          <w:rFonts w:eastAsia="Courier New"/>
          <w:i/>
        </w:rPr>
        <w:t xml:space="preserve"> siècle</w:t>
      </w:r>
      <w:r w:rsidRPr="00E9210E">
        <w:rPr>
          <w:rFonts w:eastAsia="Courier New"/>
        </w:rPr>
        <w:t xml:space="preserve">, </w:t>
      </w:r>
      <w:r w:rsidRPr="00E9210E">
        <w:rPr>
          <w:rStyle w:val="Corpsdutexte11NonItaliqueEspacement0pt"/>
          <w:rFonts w:eastAsia="Courier New"/>
          <w:i w:val="0"/>
          <w:iCs w:val="0"/>
          <w:sz w:val="28"/>
          <w:lang w:val="fr-CA"/>
        </w:rPr>
        <w:t xml:space="preserve">dans </w:t>
      </w:r>
      <w:r w:rsidRPr="00E9210E">
        <w:rPr>
          <w:rFonts w:eastAsia="Courier New"/>
          <w:i/>
        </w:rPr>
        <w:t>Annales de l’Université de Gren</w:t>
      </w:r>
      <w:r w:rsidRPr="00E9210E">
        <w:rPr>
          <w:rFonts w:eastAsia="Courier New"/>
          <w:i/>
        </w:rPr>
        <w:t>o</w:t>
      </w:r>
      <w:r w:rsidRPr="00E9210E">
        <w:rPr>
          <w:rFonts w:eastAsia="Courier New"/>
          <w:i/>
        </w:rPr>
        <w:t>ble</w:t>
      </w:r>
      <w:r w:rsidRPr="00E9210E">
        <w:rPr>
          <w:rFonts w:eastAsia="Courier New"/>
        </w:rPr>
        <w:t xml:space="preserve"> (Nouvelle Série), Section Lettres-Droit, </w:t>
      </w:r>
      <w:r w:rsidRPr="00E9210E">
        <w:rPr>
          <w:rStyle w:val="Corpsdutexte11NonItaliqueEspacement0pt"/>
          <w:rFonts w:eastAsia="Courier New"/>
          <w:i w:val="0"/>
          <w:iCs w:val="0"/>
          <w:sz w:val="28"/>
          <w:lang w:val="fr-CA"/>
        </w:rPr>
        <w:t>t. XIII (1936), p. 1-87), « A.H.S. », t. II (1940), pp. 76-77.</w:t>
      </w:r>
    </w:p>
    <w:p w14:paraId="1BD7732D"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Documents monastiques. (Comptes rendus : Ph. </w:t>
      </w:r>
      <w:r w:rsidRPr="00E9210E">
        <w:rPr>
          <w:rStyle w:val="Corpsdutexte117ptGrasNonItaliqueEspacement0pt"/>
          <w:rFonts w:eastAsia="Courier New"/>
          <w:b w:val="0"/>
          <w:i w:val="0"/>
          <w:iCs w:val="0"/>
          <w:smallCaps/>
          <w:sz w:val="28"/>
          <w:lang w:val="fr-CA"/>
        </w:rPr>
        <w:t>Grierson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Annales de Saint-Pierre de Gand et de Saint-Amand</w:t>
      </w:r>
      <w:r w:rsidRPr="00E9210E">
        <w:rPr>
          <w:rFonts w:eastAsia="Courier New"/>
        </w:rPr>
        <w:t>,</w:t>
      </w:r>
      <w:r w:rsidRPr="00E9210E">
        <w:rPr>
          <w:rStyle w:val="Corpsdutexte11NonItaliqueEspacement0pt"/>
          <w:rFonts w:eastAsia="Courier New"/>
          <w:i w:val="0"/>
          <w:iCs w:val="0"/>
          <w:sz w:val="28"/>
          <w:lang w:val="fr-CA"/>
        </w:rPr>
        <w:t xml:space="preserve"> Bruxelles, 1937. — Dom P. de </w:t>
      </w:r>
      <w:r w:rsidRPr="00E9210E">
        <w:rPr>
          <w:rStyle w:val="Corpsdutexte117ptGrasNonItaliqueEspacement0pt"/>
          <w:rFonts w:eastAsia="Courier New"/>
          <w:b w:val="0"/>
          <w:i w:val="0"/>
          <w:iCs w:val="0"/>
          <w:smallCaps/>
          <w:sz w:val="28"/>
          <w:lang w:val="fr-CA"/>
        </w:rPr>
        <w:t>Monsabert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Chartes de l’abbaye de Nouaillé de</w:t>
      </w:r>
      <w:r w:rsidRPr="00E9210E">
        <w:rPr>
          <w:rFonts w:eastAsia="Courier New"/>
        </w:rPr>
        <w:t xml:space="preserve"> </w:t>
      </w:r>
      <w:r w:rsidRPr="00E9210E">
        <w:rPr>
          <w:rStyle w:val="Corpsdutexte118ptEspacement0pt"/>
          <w:rFonts w:eastAsia="Courier New"/>
          <w:sz w:val="28"/>
          <w:lang w:val="fr-CA"/>
        </w:rPr>
        <w:t xml:space="preserve">678 </w:t>
      </w:r>
      <w:r w:rsidRPr="00E9210E">
        <w:rPr>
          <w:rFonts w:eastAsia="Courier New"/>
          <w:i/>
        </w:rPr>
        <w:t>à</w:t>
      </w:r>
      <w:r w:rsidRPr="00E9210E">
        <w:rPr>
          <w:rFonts w:eastAsia="Courier New"/>
        </w:rPr>
        <w:t xml:space="preserve"> </w:t>
      </w:r>
      <w:r w:rsidRPr="00E9210E">
        <w:rPr>
          <w:rStyle w:val="Corpsdutexte118ptEspacement0pt"/>
          <w:rFonts w:eastAsia="Courier New"/>
          <w:sz w:val="28"/>
          <w:lang w:val="fr-CA"/>
        </w:rPr>
        <w:t>1200,</w:t>
      </w:r>
      <w:r w:rsidRPr="00E9210E">
        <w:rPr>
          <w:rStyle w:val="Corpsdutexte118ptGrasNonItaliqueEspacement1ptchelle120"/>
          <w:rFonts w:eastAsia="Courier New"/>
          <w:i w:val="0"/>
          <w:iCs w:val="0"/>
          <w:spacing w:val="0"/>
          <w:sz w:val="28"/>
          <w:lang w:val="fr-CA"/>
        </w:rPr>
        <w:t xml:space="preserve"> </w:t>
      </w:r>
      <w:r w:rsidRPr="00E9210E">
        <w:rPr>
          <w:rStyle w:val="Corpsdutexte11NonItaliqueEspacement0pt"/>
          <w:rFonts w:eastAsia="Courier New"/>
          <w:i w:val="0"/>
          <w:iCs w:val="0"/>
          <w:sz w:val="28"/>
          <w:lang w:val="fr-CA"/>
        </w:rPr>
        <w:t xml:space="preserve">Poitiers, 1936. — A. </w:t>
      </w:r>
      <w:r w:rsidRPr="00E9210E">
        <w:rPr>
          <w:rStyle w:val="Corpsdutexte117ptGrasNonItaliqueEspacement0pt"/>
          <w:rFonts w:eastAsia="Courier New"/>
          <w:b w:val="0"/>
          <w:i w:val="0"/>
          <w:iCs w:val="0"/>
          <w:smallCaps/>
          <w:sz w:val="28"/>
          <w:lang w:val="fr-CA"/>
        </w:rPr>
        <w:t>Huchet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 chartrier ancien de Font-Morigny. Étude générale et catalogue des actes antérieurs au XIV</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Bourges, 1936), « A.H.S. », t. II (1940), pp. 77-78.</w:t>
      </w:r>
    </w:p>
    <w:p w14:paraId="336A4D34" w14:textId="77777777" w:rsidR="00B9662D" w:rsidRPr="00E9210E" w:rsidRDefault="00B9662D" w:rsidP="00B9662D">
      <w:pPr>
        <w:spacing w:before="120" w:after="120"/>
        <w:jc w:val="both"/>
      </w:pPr>
      <w:r w:rsidRPr="00E9210E">
        <w:t xml:space="preserve">L’Inquisition. (Comptes rendus : J. </w:t>
      </w:r>
      <w:r w:rsidRPr="00E9210E">
        <w:rPr>
          <w:rStyle w:val="Corpsdutexte27ptGras"/>
          <w:rFonts w:eastAsia="Courier New"/>
          <w:b w:val="0"/>
          <w:smallCaps/>
          <w:sz w:val="28"/>
        </w:rPr>
        <w:t>Guiraud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Histoire de VInquis</w:t>
      </w:r>
      <w:r w:rsidRPr="00E9210E">
        <w:rPr>
          <w:rFonts w:eastAsia="Courier New"/>
          <w:i/>
        </w:rPr>
        <w:t>i</w:t>
      </w:r>
      <w:r w:rsidRPr="00E9210E">
        <w:rPr>
          <w:rFonts w:eastAsia="Courier New"/>
          <w:i/>
        </w:rPr>
        <w:t>tion au Moyen Âge</w:t>
      </w:r>
      <w:r w:rsidRPr="00E9210E">
        <w:rPr>
          <w:rFonts w:eastAsia="Courier New"/>
        </w:rPr>
        <w:t xml:space="preserve">, </w:t>
      </w:r>
      <w:r w:rsidRPr="00E9210E">
        <w:t xml:space="preserve">t. II, Paris, 1938. — G. G. </w:t>
      </w:r>
      <w:r w:rsidRPr="00E9210E">
        <w:rPr>
          <w:rStyle w:val="Corpsdutexte27ptGras"/>
          <w:rFonts w:eastAsia="Courier New"/>
          <w:b w:val="0"/>
          <w:smallCaps/>
          <w:sz w:val="28"/>
        </w:rPr>
        <w:t>Coulton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Inquisition and Libe</w:t>
      </w:r>
      <w:r w:rsidRPr="00E9210E">
        <w:rPr>
          <w:rFonts w:eastAsia="Courier New"/>
          <w:i/>
        </w:rPr>
        <w:t>r</w:t>
      </w:r>
      <w:r w:rsidRPr="00E9210E">
        <w:rPr>
          <w:rFonts w:eastAsia="Courier New"/>
          <w:i/>
        </w:rPr>
        <w:t>ty</w:t>
      </w:r>
      <w:r w:rsidRPr="00E9210E">
        <w:rPr>
          <w:rFonts w:eastAsia="Courier New"/>
        </w:rPr>
        <w:t>,</w:t>
      </w:r>
      <w:r w:rsidRPr="00E9210E">
        <w:t xml:space="preserve"> Londres, 1938), « A.H.S. », t. II (1940), pp. 78-79.</w:t>
      </w:r>
    </w:p>
    <w:p w14:paraId="1020A527" w14:textId="77777777" w:rsidR="00B9662D" w:rsidRPr="00E9210E" w:rsidRDefault="00B9662D" w:rsidP="00B9662D">
      <w:pPr>
        <w:spacing w:before="120" w:after="120"/>
        <w:jc w:val="both"/>
      </w:pPr>
      <w:r w:rsidRPr="00E9210E">
        <w:t xml:space="preserve">Compte rendu : </w:t>
      </w:r>
      <w:r w:rsidRPr="00E9210E">
        <w:rPr>
          <w:rFonts w:eastAsia="Courier New"/>
          <w:i/>
        </w:rPr>
        <w:t>Le guide du pèlerin de Saint-Jacques de Compo</w:t>
      </w:r>
      <w:r w:rsidRPr="00E9210E">
        <w:rPr>
          <w:rFonts w:eastAsia="Courier New"/>
          <w:i/>
        </w:rPr>
        <w:t>s</w:t>
      </w:r>
      <w:r w:rsidRPr="00E9210E">
        <w:rPr>
          <w:rFonts w:eastAsia="Courier New"/>
          <w:i/>
        </w:rPr>
        <w:t>telle</w:t>
      </w:r>
      <w:r w:rsidRPr="00E9210E">
        <w:rPr>
          <w:rFonts w:eastAsia="Courier New"/>
        </w:rPr>
        <w:t>,</w:t>
      </w:r>
      <w:r w:rsidRPr="00E9210E">
        <w:t xml:space="preserve"> traduit et édité par J. </w:t>
      </w:r>
      <w:r w:rsidRPr="00E9210E">
        <w:rPr>
          <w:rStyle w:val="Corpsdutexte27ptGras"/>
          <w:rFonts w:eastAsia="Courier New"/>
          <w:b w:val="0"/>
          <w:smallCaps/>
          <w:sz w:val="28"/>
        </w:rPr>
        <w:t>Vielliard</w:t>
      </w:r>
      <w:r w:rsidRPr="00E9210E">
        <w:rPr>
          <w:rStyle w:val="Corpsdutexte27ptGras"/>
          <w:rFonts w:eastAsia="Courier New"/>
          <w:b w:val="0"/>
          <w:sz w:val="28"/>
        </w:rPr>
        <w:t>,</w:t>
      </w:r>
      <w:r w:rsidRPr="00E9210E">
        <w:rPr>
          <w:rStyle w:val="Corpsdutexte27ptGras"/>
          <w:rFonts w:eastAsia="Courier New"/>
          <w:sz w:val="28"/>
        </w:rPr>
        <w:t xml:space="preserve"> </w:t>
      </w:r>
      <w:r w:rsidRPr="00E9210E">
        <w:t>Mâcon, 1938, « A.H.S. », t. II (1940), p. 79.</w:t>
      </w:r>
    </w:p>
    <w:p w14:paraId="4F6C73CD" w14:textId="77777777" w:rsidR="00B9662D" w:rsidRPr="00E9210E" w:rsidRDefault="00B9662D" w:rsidP="00B9662D">
      <w:pPr>
        <w:spacing w:before="120" w:after="120"/>
        <w:jc w:val="both"/>
      </w:pPr>
      <w:r w:rsidRPr="00E9210E">
        <w:t xml:space="preserve">Un évêque. (Compte rendu : G. </w:t>
      </w:r>
      <w:r w:rsidRPr="00E9210E">
        <w:rPr>
          <w:rStyle w:val="Corpsdutexte27ptGras"/>
          <w:rFonts w:eastAsia="Courier New"/>
          <w:b w:val="0"/>
          <w:smallCaps/>
          <w:sz w:val="28"/>
        </w:rPr>
        <w:t>Monticelli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Raterio, vescovo di Verona</w:t>
      </w:r>
      <w:r w:rsidRPr="00E9210E">
        <w:rPr>
          <w:rFonts w:eastAsia="Courier New"/>
        </w:rPr>
        <w:t xml:space="preserve">, </w:t>
      </w:r>
      <w:r w:rsidRPr="00E9210E">
        <w:rPr>
          <w:rStyle w:val="Corpsdutexte28ptItalique"/>
          <w:rFonts w:eastAsia="Courier New"/>
          <w:sz w:val="28"/>
        </w:rPr>
        <w:t>890-947,</w:t>
      </w:r>
      <w:r w:rsidRPr="00E9210E">
        <w:rPr>
          <w:rStyle w:val="Corpsdutexte28ptGrasEspacement1ptchelle120"/>
          <w:rFonts w:eastAsia="Courier New"/>
          <w:sz w:val="28"/>
        </w:rPr>
        <w:t xml:space="preserve"> </w:t>
      </w:r>
      <w:r w:rsidRPr="00E9210E">
        <w:t>Milan, 1938), « A.H.S. », t. II (1940), p. 79.</w:t>
      </w:r>
    </w:p>
    <w:p w14:paraId="0EA366E1"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Compte rendu : M</w:t>
      </w:r>
      <w:r w:rsidRPr="00E9210E">
        <w:rPr>
          <w:rStyle w:val="Corpsdutexte11NonItaliqueEspacement0pt"/>
          <w:rFonts w:eastAsia="Courier New"/>
          <w:i w:val="0"/>
          <w:iCs w:val="0"/>
          <w:sz w:val="28"/>
          <w:vertAlign w:val="superscript"/>
          <w:lang w:val="fr-CA"/>
        </w:rPr>
        <w:t>gr</w:t>
      </w:r>
      <w:r w:rsidRPr="00E9210E">
        <w:rPr>
          <w:rStyle w:val="Corpsdutexte11NonItaliqueEspacement0pt"/>
          <w:rFonts w:eastAsia="Courier New"/>
          <w:i w:val="0"/>
          <w:iCs w:val="0"/>
          <w:sz w:val="28"/>
          <w:lang w:val="fr-CA"/>
        </w:rPr>
        <w:t xml:space="preserve"> E. </w:t>
      </w:r>
      <w:r w:rsidRPr="00E9210E">
        <w:rPr>
          <w:rStyle w:val="Corpsdutexte117ptGrasNonItaliqueEspacement0pt"/>
          <w:rFonts w:eastAsia="Courier New"/>
          <w:b w:val="0"/>
          <w:i w:val="0"/>
          <w:iCs w:val="0"/>
          <w:smallCaps/>
          <w:sz w:val="28"/>
          <w:lang w:val="fr-CA"/>
        </w:rPr>
        <w:t>Lesne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Histoire de la propriété ecclésiast</w:t>
      </w:r>
      <w:r w:rsidRPr="00E9210E">
        <w:rPr>
          <w:rFonts w:eastAsia="Courier New"/>
          <w:i/>
        </w:rPr>
        <w:t>i</w:t>
      </w:r>
      <w:r w:rsidRPr="00E9210E">
        <w:rPr>
          <w:rFonts w:eastAsia="Courier New"/>
          <w:i/>
        </w:rPr>
        <w:t>que en France</w:t>
      </w:r>
      <w:r w:rsidRPr="00E9210E">
        <w:rPr>
          <w:rFonts w:eastAsia="Courier New"/>
        </w:rPr>
        <w:t>.</w:t>
      </w:r>
      <w:r w:rsidRPr="00E9210E">
        <w:rPr>
          <w:rStyle w:val="Corpsdutexte11NonItaliqueEspacement0pt"/>
          <w:rFonts w:eastAsia="Courier New"/>
          <w:i w:val="0"/>
          <w:iCs w:val="0"/>
          <w:sz w:val="28"/>
          <w:lang w:val="fr-CA"/>
        </w:rPr>
        <w:t xml:space="preserve"> T. III : </w:t>
      </w:r>
      <w:r w:rsidRPr="00E9210E">
        <w:rPr>
          <w:rFonts w:eastAsia="Courier New"/>
          <w:i/>
        </w:rPr>
        <w:t>L’inventaire de la propriété. Églises et trésors des églises. Du commencement du VIII</w:t>
      </w:r>
      <w:r w:rsidRPr="00E9210E">
        <w:rPr>
          <w:rFonts w:eastAsia="Courier New"/>
          <w:i/>
          <w:vertAlign w:val="superscript"/>
        </w:rPr>
        <w:t>e</w:t>
      </w:r>
      <w:r w:rsidRPr="00E9210E">
        <w:rPr>
          <w:rFonts w:eastAsia="Courier New"/>
          <w:i/>
        </w:rPr>
        <w:t xml:space="preserve"> siècle à la fin du XI</w:t>
      </w:r>
      <w:r w:rsidRPr="00E9210E">
        <w:rPr>
          <w:rFonts w:eastAsia="Courier New"/>
          <w:i/>
          <w:vertAlign w:val="superscript"/>
        </w:rPr>
        <w:t>e</w:t>
      </w:r>
      <w:r w:rsidRPr="00E9210E">
        <w:rPr>
          <w:rFonts w:eastAsia="Courier New"/>
          <w:i/>
        </w:rPr>
        <w:t> siècle</w:t>
      </w:r>
      <w:r w:rsidRPr="00E9210E">
        <w:rPr>
          <w:rFonts w:eastAsia="Courier New"/>
        </w:rPr>
        <w:t>,</w:t>
      </w:r>
      <w:r w:rsidRPr="00E9210E">
        <w:rPr>
          <w:rStyle w:val="Corpsdutexte11NonItaliqueEspacement0pt"/>
          <w:rFonts w:eastAsia="Courier New"/>
          <w:i w:val="0"/>
          <w:iCs w:val="0"/>
          <w:sz w:val="28"/>
          <w:lang w:val="fr-CA"/>
        </w:rPr>
        <w:t xml:space="preserve"> Lille, 1936), « A.H.S. », t. II (1940), pp. 79-80.</w:t>
      </w:r>
    </w:p>
    <w:p w14:paraId="2DAE6C54" w14:textId="77777777" w:rsidR="00B9662D" w:rsidRPr="00E9210E" w:rsidRDefault="00B9662D" w:rsidP="00B9662D">
      <w:pPr>
        <w:spacing w:before="120" w:after="120"/>
        <w:jc w:val="both"/>
      </w:pPr>
      <w:r w:rsidRPr="00E9210E">
        <w:t xml:space="preserve">(Compte rendu : G. </w:t>
      </w:r>
      <w:r w:rsidRPr="00E9210E">
        <w:rPr>
          <w:smallCaps/>
        </w:rPr>
        <w:t>Ducos</w:t>
      </w:r>
      <w:r w:rsidRPr="00E9210E">
        <w:t xml:space="preserve">, </w:t>
      </w:r>
      <w:r w:rsidRPr="00E9210E">
        <w:rPr>
          <w:rFonts w:eastAsia="Courier New"/>
          <w:i/>
        </w:rPr>
        <w:t>Sainte Croix de Volvestre et son m</w:t>
      </w:r>
      <w:r w:rsidRPr="00E9210E">
        <w:rPr>
          <w:rFonts w:eastAsia="Courier New"/>
          <w:i/>
        </w:rPr>
        <w:t>o</w:t>
      </w:r>
      <w:r w:rsidRPr="00E9210E">
        <w:rPr>
          <w:rFonts w:eastAsia="Courier New"/>
          <w:i/>
        </w:rPr>
        <w:t>nastère des origines à la Révolution</w:t>
      </w:r>
      <w:r w:rsidRPr="00E9210E">
        <w:rPr>
          <w:rFonts w:eastAsia="Courier New"/>
        </w:rPr>
        <w:t xml:space="preserve"> </w:t>
      </w:r>
      <w:r w:rsidRPr="00E9210E">
        <w:rPr>
          <w:rStyle w:val="Corpsdutexte28ptItalique"/>
          <w:rFonts w:eastAsia="Courier New"/>
          <w:sz w:val="28"/>
        </w:rPr>
        <w:t>(1117-1789),</w:t>
      </w:r>
      <w:r w:rsidRPr="00E9210E">
        <w:rPr>
          <w:rStyle w:val="Corpsdutexte28ptGrasEspacement1ptchelle120"/>
          <w:rFonts w:eastAsia="Courier New"/>
          <w:sz w:val="28"/>
        </w:rPr>
        <w:t xml:space="preserve"> </w:t>
      </w:r>
      <w:r w:rsidRPr="00E9210E">
        <w:t>Toulouse, Paris, 1937), « A.H.S. », t. II (1940), p. 80.</w:t>
      </w:r>
    </w:p>
    <w:p w14:paraId="177E9AE6" w14:textId="77777777" w:rsidR="00B9662D" w:rsidRPr="00E9210E" w:rsidRDefault="00B9662D" w:rsidP="00B9662D">
      <w:pPr>
        <w:spacing w:before="120" w:after="120"/>
        <w:jc w:val="both"/>
      </w:pPr>
      <w:r w:rsidRPr="00E9210E">
        <w:t>Compte rendu : C</w:t>
      </w:r>
      <w:r w:rsidRPr="00E9210E">
        <w:rPr>
          <w:vertAlign w:val="superscript"/>
        </w:rPr>
        <w:t>dt</w:t>
      </w:r>
      <w:r w:rsidRPr="00E9210E">
        <w:t xml:space="preserve"> H. </w:t>
      </w:r>
      <w:r w:rsidRPr="00E9210E">
        <w:rPr>
          <w:rStyle w:val="Corpsdutexte27ptGras"/>
          <w:rFonts w:eastAsia="Courier New"/>
          <w:b w:val="0"/>
          <w:smallCaps/>
          <w:sz w:val="28"/>
        </w:rPr>
        <w:t>Navel</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L’enquête de 1133 sur les fiefs de l’évêché de Bayeux,</w:t>
      </w:r>
      <w:r w:rsidRPr="00E9210E">
        <w:rPr>
          <w:rStyle w:val="Corpsdutexte28ptGrasEspacement1ptchelle120"/>
          <w:rFonts w:eastAsia="Courier New"/>
          <w:sz w:val="28"/>
        </w:rPr>
        <w:t xml:space="preserve"> </w:t>
      </w:r>
      <w:r w:rsidRPr="00E9210E">
        <w:t>Caen, 1935, « A.H.S. », t. II (1940), p. 80.</w:t>
      </w:r>
    </w:p>
    <w:p w14:paraId="6F092EDC" w14:textId="77777777" w:rsidR="00B9662D" w:rsidRPr="00E9210E" w:rsidRDefault="00B9662D" w:rsidP="00B9662D">
      <w:pPr>
        <w:spacing w:before="120" w:after="120"/>
        <w:jc w:val="both"/>
      </w:pPr>
      <w:r w:rsidRPr="00E9210E">
        <w:t xml:space="preserve">Le parlementarisme britannique : faits et problèmes. (Comptes rendus : K. B. </w:t>
      </w:r>
      <w:r w:rsidRPr="00E9210E">
        <w:rPr>
          <w:rStyle w:val="Corpsdutexte27ptGras"/>
          <w:rFonts w:eastAsia="Courier New"/>
          <w:b w:val="0"/>
          <w:smallCaps/>
          <w:sz w:val="28"/>
        </w:rPr>
        <w:t>Smellie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 hundred years of English Government</w:t>
      </w:r>
      <w:r w:rsidRPr="00E9210E">
        <w:rPr>
          <w:rFonts w:eastAsia="Courier New"/>
        </w:rPr>
        <w:t>,</w:t>
      </w:r>
      <w:r w:rsidRPr="00E9210E">
        <w:t xml:space="preserve"> Londres, 1937. — H. J. </w:t>
      </w:r>
      <w:r w:rsidRPr="00E9210E">
        <w:rPr>
          <w:rStyle w:val="Corpsdutexte27ptGras"/>
          <w:rFonts w:eastAsia="Courier New"/>
          <w:b w:val="0"/>
          <w:smallCaps/>
          <w:sz w:val="28"/>
        </w:rPr>
        <w:t>Laski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Parliamentary Government in E</w:t>
      </w:r>
      <w:r w:rsidRPr="00E9210E">
        <w:rPr>
          <w:rFonts w:eastAsia="Courier New"/>
          <w:i/>
        </w:rPr>
        <w:t>n</w:t>
      </w:r>
      <w:r w:rsidRPr="00E9210E">
        <w:rPr>
          <w:rFonts w:eastAsia="Courier New"/>
          <w:i/>
        </w:rPr>
        <w:t>gland : a comme</w:t>
      </w:r>
      <w:r w:rsidRPr="00E9210E">
        <w:rPr>
          <w:rFonts w:eastAsia="Courier New"/>
          <w:i/>
        </w:rPr>
        <w:t>n</w:t>
      </w:r>
      <w:r w:rsidRPr="00E9210E">
        <w:rPr>
          <w:rFonts w:eastAsia="Courier New"/>
          <w:i/>
        </w:rPr>
        <w:t>tary</w:t>
      </w:r>
      <w:r w:rsidRPr="00E9210E">
        <w:rPr>
          <w:rFonts w:eastAsia="Courier New"/>
        </w:rPr>
        <w:t>,</w:t>
      </w:r>
      <w:r w:rsidRPr="00E9210E">
        <w:t xml:space="preserve"> Londres, 1938), « A.H.S. », t. II (1940), pp. 81-82.</w:t>
      </w:r>
    </w:p>
    <w:p w14:paraId="4E57AECC" w14:textId="77777777" w:rsidR="00B9662D" w:rsidRPr="00E9210E" w:rsidRDefault="00B9662D" w:rsidP="00B9662D">
      <w:pPr>
        <w:spacing w:before="120" w:after="120"/>
        <w:jc w:val="both"/>
      </w:pPr>
      <w:r w:rsidRPr="00E9210E">
        <w:rPr>
          <w:rFonts w:eastAsia="Courier New"/>
        </w:rPr>
        <w:t>[1096]</w:t>
      </w:r>
    </w:p>
    <w:p w14:paraId="14D9B223" w14:textId="77777777" w:rsidR="00B9662D" w:rsidRPr="00E9210E" w:rsidRDefault="00B9662D" w:rsidP="00B9662D">
      <w:pPr>
        <w:spacing w:before="120" w:after="120"/>
        <w:jc w:val="both"/>
      </w:pPr>
      <w:r w:rsidRPr="00E9210E">
        <w:t xml:space="preserve">Autour des royautés. (Comptes rendus : H. </w:t>
      </w:r>
      <w:r w:rsidRPr="00E9210E">
        <w:rPr>
          <w:smallCaps/>
        </w:rPr>
        <w:t>Mitteis</w:t>
      </w:r>
      <w:r w:rsidRPr="00E9210E">
        <w:t xml:space="preserve">, </w:t>
      </w:r>
      <w:r w:rsidRPr="00E9210E">
        <w:rPr>
          <w:rFonts w:eastAsia="Courier New"/>
          <w:i/>
        </w:rPr>
        <w:t>Die deutsche Kônigswahl :</w:t>
      </w:r>
      <w:r w:rsidRPr="00E9210E">
        <w:rPr>
          <w:rStyle w:val="Corpsdutexte178ptItalique"/>
          <w:rFonts w:eastAsia="Courier New"/>
          <w:i w:val="0"/>
          <w:sz w:val="28"/>
          <w:lang w:val="fr-CA"/>
        </w:rPr>
        <w:t xml:space="preserve"> </w:t>
      </w:r>
      <w:r w:rsidRPr="00E9210E">
        <w:rPr>
          <w:rFonts w:eastAsia="Courier New"/>
          <w:i/>
        </w:rPr>
        <w:t>ihre Rechtsgrundlagen bis zur goldenen Bulle</w:t>
      </w:r>
      <w:r w:rsidRPr="00E9210E">
        <w:t xml:space="preserve">, Baden bei Wien, [1938]. — P. </w:t>
      </w:r>
      <w:r w:rsidRPr="00E9210E">
        <w:rPr>
          <w:smallCaps/>
        </w:rPr>
        <w:t>Schramm</w:t>
      </w:r>
      <w:r w:rsidRPr="00E9210E">
        <w:t xml:space="preserve">, </w:t>
      </w:r>
      <w:r w:rsidRPr="00E9210E">
        <w:rPr>
          <w:rFonts w:eastAsia="Courier New"/>
          <w:i/>
        </w:rPr>
        <w:t>Geschichte des englischen Köni</w:t>
      </w:r>
      <w:r w:rsidRPr="00E9210E">
        <w:rPr>
          <w:rFonts w:eastAsia="Courier New"/>
          <w:i/>
        </w:rPr>
        <w:t>g</w:t>
      </w:r>
      <w:r w:rsidRPr="00E9210E">
        <w:rPr>
          <w:rFonts w:eastAsia="Courier New"/>
          <w:i/>
        </w:rPr>
        <w:t>tums im Lichte der Krönung</w:t>
      </w:r>
      <w:r w:rsidRPr="00E9210E">
        <w:rPr>
          <w:rStyle w:val="Corpsdutexte178ptItalique"/>
          <w:rFonts w:eastAsia="Courier New"/>
          <w:sz w:val="28"/>
          <w:lang w:val="fr-CA"/>
        </w:rPr>
        <w:t>,</w:t>
      </w:r>
      <w:r w:rsidRPr="00E9210E">
        <w:t xml:space="preserve"> Weimar, 1937), « A.H.S. », t. II (1940), pp. 143-145.</w:t>
      </w:r>
    </w:p>
    <w:p w14:paraId="7E939D03" w14:textId="77777777" w:rsidR="00B9662D" w:rsidRPr="00E9210E" w:rsidRDefault="00B9662D" w:rsidP="00B9662D">
      <w:pPr>
        <w:spacing w:before="120" w:after="120"/>
        <w:jc w:val="both"/>
      </w:pPr>
      <w:r w:rsidRPr="00E9210E">
        <w:t xml:space="preserve">À propos d’une étude d’histoire ouvrière. (Compte rendu : M. M. </w:t>
      </w:r>
      <w:r w:rsidRPr="00E9210E">
        <w:rPr>
          <w:rFonts w:eastAsia="Courier New"/>
          <w:smallCaps/>
        </w:rPr>
        <w:t>Kahan-Rabecq</w:t>
      </w:r>
      <w:r w:rsidRPr="00E9210E">
        <w:rPr>
          <w:rFonts w:eastAsia="Courier New"/>
        </w:rPr>
        <w:t xml:space="preserve">, </w:t>
      </w:r>
      <w:r w:rsidRPr="00E9210E">
        <w:rPr>
          <w:rFonts w:eastAsia="Courier New"/>
          <w:i/>
        </w:rPr>
        <w:t>La classe ouvrière en Alsace pendant la Monarchie de Juillet</w:t>
      </w:r>
      <w:r w:rsidRPr="00E9210E">
        <w:t>, Paris, 1939), « A.H.S. », t. II (1940), pp. 149-150.</w:t>
      </w:r>
    </w:p>
    <w:p w14:paraId="7FFB740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Pour mieux chercher. (Compte rendu : </w:t>
      </w:r>
      <w:r w:rsidRPr="00E9210E">
        <w:rPr>
          <w:rFonts w:eastAsia="Courier New"/>
          <w:i/>
        </w:rPr>
        <w:t>L’état des inventaires des archives nationales, départementales et hospitalières au</w:t>
      </w:r>
      <w:r w:rsidRPr="00E9210E">
        <w:rPr>
          <w:rFonts w:eastAsia="Courier New"/>
        </w:rPr>
        <w:t xml:space="preserve"> </w:t>
      </w:r>
      <w:r w:rsidRPr="00E9210E">
        <w:rPr>
          <w:rStyle w:val="Corpsdutexte118ptEspacement0pt"/>
          <w:rFonts w:eastAsia="Courier New"/>
          <w:sz w:val="28"/>
          <w:lang w:val="fr-CA"/>
        </w:rPr>
        <w:t>1</w:t>
      </w:r>
      <w:r w:rsidRPr="00E9210E">
        <w:rPr>
          <w:rStyle w:val="Corpsdutexte118ptEspacement0pt"/>
          <w:rFonts w:eastAsia="Courier New"/>
          <w:sz w:val="28"/>
          <w:vertAlign w:val="superscript"/>
          <w:lang w:val="fr-CA"/>
        </w:rPr>
        <w:t>er</w:t>
      </w:r>
      <w:r w:rsidRPr="00E9210E">
        <w:rPr>
          <w:rStyle w:val="Corpsdutexte118ptEspacement0pt"/>
          <w:rFonts w:eastAsia="Courier New"/>
          <w:sz w:val="28"/>
          <w:lang w:val="fr-CA"/>
        </w:rPr>
        <w:t xml:space="preserve"> </w:t>
      </w:r>
      <w:r w:rsidRPr="00E9210E">
        <w:rPr>
          <w:rFonts w:eastAsia="Courier New"/>
          <w:i/>
        </w:rPr>
        <w:t>janvier</w:t>
      </w:r>
      <w:r w:rsidRPr="00E9210E">
        <w:rPr>
          <w:rFonts w:eastAsia="Courier New"/>
        </w:rPr>
        <w:t xml:space="preserve"> </w:t>
      </w:r>
      <w:r w:rsidRPr="00E9210E">
        <w:rPr>
          <w:rStyle w:val="Corpsdutexte118ptEspacement0pt"/>
          <w:rFonts w:eastAsia="Courier New"/>
          <w:sz w:val="28"/>
          <w:lang w:val="fr-CA"/>
        </w:rPr>
        <w:t>1937</w:t>
      </w:r>
      <w:r w:rsidRPr="00E9210E">
        <w:rPr>
          <w:rStyle w:val="Corpsdutexte11NonItaliqueEspacement0pt"/>
          <w:rFonts w:eastAsia="Courier New"/>
          <w:i w:val="0"/>
          <w:iCs w:val="0"/>
          <w:sz w:val="28"/>
          <w:lang w:val="fr-CA"/>
        </w:rPr>
        <w:t>, Paris, 1938), « A.H.S. », t. II (1940), p. 155.</w:t>
      </w:r>
    </w:p>
    <w:p w14:paraId="6C9FE93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Annuaires. (Comptes rendus : </w:t>
      </w:r>
      <w:r w:rsidRPr="00E9210E">
        <w:rPr>
          <w:rFonts w:eastAsia="Courier New"/>
          <w:i/>
        </w:rPr>
        <w:t>Annuaires statistiques de la S.D.N.</w:t>
      </w:r>
      <w:r w:rsidRPr="00E9210E">
        <w:rPr>
          <w:rFonts w:eastAsia="Courier New"/>
        </w:rPr>
        <w:t xml:space="preserve"> </w:t>
      </w:r>
      <w:r w:rsidRPr="00E9210E">
        <w:rPr>
          <w:rStyle w:val="Corpsdutexte118ptEspacement0pt"/>
          <w:rFonts w:eastAsia="Courier New"/>
          <w:sz w:val="28"/>
          <w:lang w:val="fr-CA"/>
        </w:rPr>
        <w:t>(1937).</w:t>
      </w:r>
      <w:r w:rsidRPr="00E9210E">
        <w:rPr>
          <w:rStyle w:val="Corpsdutexte11NonItaliqueEspacement0pt"/>
          <w:rFonts w:eastAsia="Courier New"/>
          <w:i w:val="0"/>
          <w:iCs w:val="0"/>
          <w:sz w:val="28"/>
          <w:lang w:val="fr-CA"/>
        </w:rPr>
        <w:t> — </w:t>
      </w:r>
      <w:r w:rsidRPr="00E9210E">
        <w:rPr>
          <w:rFonts w:eastAsia="Courier New"/>
          <w:i/>
        </w:rPr>
        <w:t>Statistiques du commerce international</w:t>
      </w:r>
      <w:r w:rsidRPr="00E9210E">
        <w:rPr>
          <w:rFonts w:eastAsia="Courier New"/>
        </w:rPr>
        <w:t xml:space="preserve"> </w:t>
      </w:r>
      <w:r w:rsidRPr="00E9210E">
        <w:rPr>
          <w:rStyle w:val="Corpsdutexte118ptEspacement0pt"/>
          <w:rFonts w:eastAsia="Courier New"/>
          <w:sz w:val="28"/>
          <w:lang w:val="fr-CA"/>
        </w:rPr>
        <w:t>1937.</w:t>
      </w:r>
      <w:r w:rsidRPr="00E9210E">
        <w:rPr>
          <w:rStyle w:val="Corpsdutexte11NonItaliqueEspacement0pt"/>
          <w:rFonts w:eastAsia="Courier New"/>
          <w:i w:val="0"/>
          <w:iCs w:val="0"/>
          <w:sz w:val="28"/>
          <w:lang w:val="fr-CA"/>
        </w:rPr>
        <w:t> — </w:t>
      </w:r>
      <w:r w:rsidRPr="00E9210E">
        <w:rPr>
          <w:rFonts w:eastAsia="Courier New"/>
          <w:i/>
        </w:rPr>
        <w:t>Statistisches Handbuch der Weltwirtschaft. Monatszahlen</w:t>
      </w:r>
      <w:r w:rsidRPr="00E9210E">
        <w:rPr>
          <w:rFonts w:eastAsia="Courier New"/>
        </w:rPr>
        <w:t xml:space="preserve"> </w:t>
      </w:r>
      <w:r w:rsidRPr="00E9210E">
        <w:rPr>
          <w:rStyle w:val="Corpsdutexte118ptEspacement0pt"/>
          <w:rFonts w:eastAsia="Courier New"/>
          <w:sz w:val="28"/>
          <w:lang w:val="fr-CA"/>
        </w:rPr>
        <w:t>1932-1936.</w:t>
      </w:r>
      <w:r w:rsidRPr="00E9210E">
        <w:rPr>
          <w:rStyle w:val="Corpsdutexte11NonItaliqueEspacement0pt"/>
          <w:rFonts w:eastAsia="Courier New"/>
          <w:i w:val="0"/>
          <w:iCs w:val="0"/>
          <w:sz w:val="28"/>
          <w:lang w:val="fr-CA"/>
        </w:rPr>
        <w:t> — </w:t>
      </w:r>
      <w:r w:rsidRPr="00E9210E">
        <w:rPr>
          <w:rFonts w:eastAsia="Courier New"/>
          <w:i/>
        </w:rPr>
        <w:t>Annuaire statistique</w:t>
      </w:r>
      <w:r w:rsidRPr="00E9210E">
        <w:rPr>
          <w:rFonts w:eastAsia="Courier New"/>
        </w:rPr>
        <w:t xml:space="preserve"> </w:t>
      </w:r>
      <w:r w:rsidRPr="00E9210E">
        <w:rPr>
          <w:rStyle w:val="Corpsdutexte118ptEspacement0pt"/>
          <w:rFonts w:eastAsia="Courier New"/>
          <w:sz w:val="28"/>
          <w:lang w:val="fr-CA"/>
        </w:rPr>
        <w:t xml:space="preserve">1937 </w:t>
      </w:r>
      <w:r w:rsidRPr="00E9210E">
        <w:rPr>
          <w:rFonts w:eastAsia="Courier New"/>
          <w:i/>
        </w:rPr>
        <w:t>de la Statistique générale et de la Documentation</w:t>
      </w:r>
      <w:r w:rsidRPr="00E9210E">
        <w:rPr>
          <w:rFonts w:eastAsia="Courier New"/>
        </w:rPr>
        <w:t>),</w:t>
      </w:r>
      <w:r w:rsidRPr="00E9210E">
        <w:rPr>
          <w:rStyle w:val="Corpsdutexte11NonItaliqueEspacement0pt"/>
          <w:rFonts w:eastAsia="Courier New"/>
          <w:i w:val="0"/>
          <w:iCs w:val="0"/>
          <w:sz w:val="28"/>
          <w:lang w:val="fr-CA"/>
        </w:rPr>
        <w:t xml:space="preserve"> « A.H.S. », t. II (1940), p. 156.</w:t>
      </w:r>
    </w:p>
    <w:p w14:paraId="4DC2E2BC" w14:textId="77777777" w:rsidR="00B9662D" w:rsidRPr="00E9210E" w:rsidRDefault="00B9662D" w:rsidP="00B9662D">
      <w:pPr>
        <w:spacing w:before="120" w:after="120"/>
        <w:jc w:val="both"/>
      </w:pPr>
      <w:r w:rsidRPr="00E9210E">
        <w:t xml:space="preserve">Compte rendu : </w:t>
      </w:r>
      <w:r w:rsidRPr="00E9210E">
        <w:rPr>
          <w:rFonts w:eastAsia="Courier New"/>
          <w:i/>
        </w:rPr>
        <w:t>Folklore paysan</w:t>
      </w:r>
      <w:r w:rsidRPr="00E9210E">
        <w:t xml:space="preserve"> (1939), « A.H.S. », t. II (1940), p. 158.</w:t>
      </w:r>
    </w:p>
    <w:p w14:paraId="48811499" w14:textId="77777777" w:rsidR="00B9662D" w:rsidRPr="00E9210E" w:rsidRDefault="00B9662D" w:rsidP="00B9662D">
      <w:pPr>
        <w:spacing w:before="120" w:after="120"/>
        <w:jc w:val="both"/>
      </w:pPr>
      <w:r w:rsidRPr="00E9210E">
        <w:t xml:space="preserve">Compte rendu : </w:t>
      </w:r>
      <w:r w:rsidRPr="00E9210E">
        <w:rPr>
          <w:rFonts w:eastAsia="Courier New"/>
          <w:i/>
        </w:rPr>
        <w:t>Revue française d’héraldique et de sigillographie</w:t>
      </w:r>
      <w:r w:rsidRPr="00E9210E">
        <w:t>, l</w:t>
      </w:r>
      <w:r w:rsidRPr="00E9210E">
        <w:rPr>
          <w:vertAlign w:val="superscript"/>
        </w:rPr>
        <w:t>re</w:t>
      </w:r>
      <w:r w:rsidRPr="00E9210E">
        <w:t xml:space="preserve"> année 1938, « A.H.S. », t. II (1940), p. 158.</w:t>
      </w:r>
    </w:p>
    <w:p w14:paraId="1B00044E" w14:textId="77777777" w:rsidR="00B9662D" w:rsidRPr="00E9210E" w:rsidRDefault="00B9662D" w:rsidP="00B9662D">
      <w:pPr>
        <w:spacing w:before="120" w:after="120"/>
        <w:jc w:val="both"/>
      </w:pPr>
      <w:r w:rsidRPr="00E9210E">
        <w:t xml:space="preserve">Compte rendu : L. </w:t>
      </w:r>
      <w:r w:rsidRPr="00E9210E">
        <w:rPr>
          <w:rFonts w:eastAsia="Courier New"/>
          <w:smallCaps/>
        </w:rPr>
        <w:t>Baudin</w:t>
      </w:r>
      <w:r w:rsidRPr="00E9210E">
        <w:rPr>
          <w:rFonts w:eastAsia="Courier New"/>
        </w:rPr>
        <w:t xml:space="preserve">, </w:t>
      </w:r>
      <w:r w:rsidRPr="00E9210E">
        <w:rPr>
          <w:rFonts w:eastAsia="Courier New"/>
          <w:i/>
        </w:rPr>
        <w:t>La réforme du crédit</w:t>
      </w:r>
      <w:r w:rsidRPr="00E9210E">
        <w:rPr>
          <w:rFonts w:eastAsia="Courier New"/>
        </w:rPr>
        <w:t>.</w:t>
      </w:r>
      <w:r w:rsidRPr="00E9210E">
        <w:t xml:space="preserve"> (Coll, d’études économiques), Paris, 1938, « A.H.S. », t. II (1940), p. 161.</w:t>
      </w:r>
    </w:p>
    <w:p w14:paraId="6AB1EC31" w14:textId="77777777" w:rsidR="00B9662D" w:rsidRPr="00E9210E" w:rsidRDefault="00B9662D" w:rsidP="00B9662D">
      <w:pPr>
        <w:spacing w:before="120" w:after="120"/>
        <w:jc w:val="both"/>
      </w:pPr>
      <w:r w:rsidRPr="00E9210E">
        <w:t xml:space="preserve">Note sur la leçon inaugurale de M. </w:t>
      </w:r>
      <w:r w:rsidRPr="00E9210E">
        <w:rPr>
          <w:rFonts w:eastAsia="Courier New"/>
          <w:smallCaps/>
        </w:rPr>
        <w:t>Postan</w:t>
      </w:r>
      <w:r w:rsidRPr="00E9210E">
        <w:rPr>
          <w:rFonts w:eastAsia="Courier New"/>
        </w:rPr>
        <w:t>,</w:t>
      </w:r>
      <w:r w:rsidRPr="00E9210E">
        <w:t xml:space="preserve"> à Cambridge. — </w:t>
      </w:r>
      <w:r w:rsidRPr="00E9210E">
        <w:rPr>
          <w:i/>
        </w:rPr>
        <w:t xml:space="preserve">Chaire </w:t>
      </w:r>
      <w:r w:rsidRPr="00E9210E">
        <w:rPr>
          <w:rFonts w:eastAsia="Courier New"/>
          <w:i/>
        </w:rPr>
        <w:t>d’histoire économique</w:t>
      </w:r>
      <w:r w:rsidRPr="00E9210E">
        <w:rPr>
          <w:rFonts w:eastAsia="Courier New"/>
        </w:rPr>
        <w:t>,</w:t>
      </w:r>
      <w:r w:rsidRPr="00E9210E">
        <w:t xml:space="preserve"> « A.H.S. », t. II (1940), p. 161.</w:t>
      </w:r>
    </w:p>
    <w:p w14:paraId="46BEF50F"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Éleveurs provençaux et communautés montagnardes. (Compte rendu : Th. </w:t>
      </w:r>
      <w:r w:rsidRPr="00E9210E">
        <w:rPr>
          <w:rStyle w:val="Corpsdutexte11NonItaliquePetitesmajusculesEspacement0pt"/>
          <w:rFonts w:eastAsia="Courier New"/>
          <w:i w:val="0"/>
          <w:iCs w:val="0"/>
          <w:sz w:val="28"/>
          <w:lang w:val="fr-CA"/>
        </w:rPr>
        <w:t xml:space="preserve">Sclafert, </w:t>
      </w:r>
      <w:r w:rsidRPr="00E9210E">
        <w:rPr>
          <w:rFonts w:eastAsia="Courier New"/>
          <w:i/>
        </w:rPr>
        <w:t>Un aspect de la vie économique dans les hautes vallées des Alpes du Sud : la surcharge pastorale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Bull. de l’Association des géographes français</w:t>
      </w:r>
      <w:r w:rsidRPr="00E9210E">
        <w:rPr>
          <w:rFonts w:eastAsia="Courier New"/>
        </w:rPr>
        <w:t>,</w:t>
      </w:r>
      <w:r w:rsidRPr="00E9210E">
        <w:rPr>
          <w:rStyle w:val="Corpsdutexte11NonItaliqueEspacement0pt"/>
          <w:rFonts w:eastAsia="Courier New"/>
          <w:i w:val="0"/>
          <w:iCs w:val="0"/>
          <w:sz w:val="28"/>
          <w:lang w:val="fr-CA"/>
        </w:rPr>
        <w:t xml:space="preserve"> 1939), « A.H.S. », t. II (1940), pp. 164-165.</w:t>
      </w:r>
    </w:p>
    <w:p w14:paraId="26CC1173" w14:textId="77777777" w:rsidR="00B9662D" w:rsidRPr="00E9210E" w:rsidRDefault="00B9662D" w:rsidP="00B9662D">
      <w:pPr>
        <w:spacing w:before="120" w:after="120"/>
        <w:jc w:val="both"/>
      </w:pPr>
      <w:r w:rsidRPr="00E9210E">
        <w:t xml:space="preserve">La forêt et les champs. (Comptes rendus : R. </w:t>
      </w:r>
      <w:r w:rsidRPr="00E9210E">
        <w:rPr>
          <w:rFonts w:eastAsia="Courier New"/>
          <w:smallCaps/>
        </w:rPr>
        <w:t>Blais</w:t>
      </w:r>
      <w:r w:rsidRPr="00E9210E">
        <w:rPr>
          <w:rFonts w:eastAsia="Courier New"/>
        </w:rPr>
        <w:t xml:space="preserve">, </w:t>
      </w:r>
      <w:r w:rsidRPr="00E9210E">
        <w:rPr>
          <w:rFonts w:eastAsia="Courier New"/>
          <w:i/>
        </w:rPr>
        <w:t>La forêt</w:t>
      </w:r>
      <w:r w:rsidRPr="00E9210E">
        <w:rPr>
          <w:rFonts w:eastAsia="Courier New"/>
        </w:rPr>
        <w:t>,</w:t>
      </w:r>
      <w:r w:rsidRPr="00E9210E">
        <w:t xml:space="preserve"> Paris, 1939. — </w:t>
      </w:r>
      <w:r w:rsidRPr="00E9210E">
        <w:rPr>
          <w:rFonts w:eastAsia="Courier New"/>
          <w:i/>
        </w:rPr>
        <w:t>La campagne</w:t>
      </w:r>
      <w:r w:rsidRPr="00E9210E">
        <w:rPr>
          <w:rFonts w:eastAsia="Courier New"/>
        </w:rPr>
        <w:t>,</w:t>
      </w:r>
      <w:r w:rsidRPr="00E9210E">
        <w:t xml:space="preserve"> Paris, 1939), « A.H.S. », t. II (1940), pp. 165-166.</w:t>
      </w:r>
    </w:p>
    <w:p w14:paraId="7DC629D0" w14:textId="77777777" w:rsidR="00B9662D" w:rsidRPr="00E9210E" w:rsidRDefault="00B9662D" w:rsidP="00B9662D">
      <w:pPr>
        <w:spacing w:before="120" w:after="120"/>
        <w:jc w:val="both"/>
      </w:pPr>
      <w:r w:rsidRPr="00E9210E">
        <w:t xml:space="preserve">Forêt d’hier, forêt d’aujourd’hui. (Compte rendu : R. </w:t>
      </w:r>
      <w:r w:rsidRPr="00E9210E">
        <w:rPr>
          <w:rFonts w:eastAsia="Courier New"/>
          <w:smallCaps/>
        </w:rPr>
        <w:t>Blais</w:t>
      </w:r>
      <w:r w:rsidRPr="00E9210E">
        <w:rPr>
          <w:rFonts w:eastAsia="Courier New"/>
        </w:rPr>
        <w:t xml:space="preserve">, </w:t>
      </w:r>
      <w:r w:rsidRPr="00E9210E">
        <w:rPr>
          <w:rFonts w:eastAsia="Courier New"/>
          <w:i/>
        </w:rPr>
        <w:t>Une grande querelle forestière. La conversion</w:t>
      </w:r>
      <w:r w:rsidRPr="00E9210E">
        <w:rPr>
          <w:rFonts w:eastAsia="Courier New"/>
        </w:rPr>
        <w:t>,</w:t>
      </w:r>
      <w:r w:rsidRPr="00E9210E">
        <w:t xml:space="preserve"> Paris, 1936), « A.H.S. », t. II (1940), p. 166.</w:t>
      </w:r>
    </w:p>
    <w:p w14:paraId="363F03E1"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Projet de réforme pratique et analyse sociale. (Comptes rendus : E. </w:t>
      </w:r>
      <w:r w:rsidRPr="00E9210E">
        <w:rPr>
          <w:rStyle w:val="Corpsdutexte11NonItaliquePetitesmajusculesEspacement0pt"/>
          <w:rFonts w:eastAsia="Courier New"/>
          <w:i w:val="0"/>
          <w:iCs w:val="0"/>
          <w:sz w:val="28"/>
          <w:lang w:val="fr-CA"/>
        </w:rPr>
        <w:t xml:space="preserve">Vandervynckt, </w:t>
      </w:r>
      <w:r w:rsidRPr="00E9210E">
        <w:rPr>
          <w:rFonts w:eastAsia="Courier New"/>
          <w:i/>
        </w:rPr>
        <w:t>Le remembrement parmi les améliorations fo</w:t>
      </w:r>
      <w:r w:rsidRPr="00E9210E">
        <w:rPr>
          <w:rFonts w:eastAsia="Courier New"/>
          <w:i/>
        </w:rPr>
        <w:t>n</w:t>
      </w:r>
      <w:r w:rsidRPr="00E9210E">
        <w:rPr>
          <w:rFonts w:eastAsia="Courier New"/>
          <w:i/>
        </w:rPr>
        <w:t>cières rurales : étude critique de nos moyens actuels de réalisation</w:t>
      </w:r>
      <w:r w:rsidRPr="00E9210E">
        <w:rPr>
          <w:rFonts w:eastAsia="Courier New"/>
        </w:rPr>
        <w:t>,</w:t>
      </w:r>
      <w:r w:rsidRPr="00E9210E">
        <w:rPr>
          <w:rStyle w:val="Corpsdutexte11NonItaliqueEspacement0pt"/>
          <w:rFonts w:eastAsia="Courier New"/>
          <w:i w:val="0"/>
          <w:iCs w:val="0"/>
          <w:sz w:val="28"/>
          <w:lang w:val="fr-CA"/>
        </w:rPr>
        <w:t xml:space="preserve"> Paris, 1937. — R. </w:t>
      </w:r>
      <w:r w:rsidRPr="00E9210E">
        <w:rPr>
          <w:rStyle w:val="Corpsdutexte11NonItaliqueEspacement0pt"/>
          <w:rFonts w:eastAsia="Courier New"/>
          <w:i w:val="0"/>
          <w:iCs w:val="0"/>
          <w:smallCaps/>
          <w:sz w:val="28"/>
          <w:lang w:val="fr-CA"/>
        </w:rPr>
        <w:t>Louis</w:t>
      </w:r>
      <w:r w:rsidRPr="00E9210E">
        <w:rPr>
          <w:rStyle w:val="Corpsdutexte11NonItaliqueEspacement0pt"/>
          <w:rFonts w:eastAsia="Courier New"/>
          <w:i w:val="0"/>
          <w:iCs w:val="0"/>
          <w:sz w:val="28"/>
          <w:lang w:val="fr-CA"/>
        </w:rPr>
        <w:t xml:space="preserve">, </w:t>
      </w:r>
      <w:r w:rsidRPr="00E9210E">
        <w:rPr>
          <w:rFonts w:eastAsia="Courier New"/>
          <w:i/>
        </w:rPr>
        <w:t>Le remembrement de la propriété foncière en Lorraine</w:t>
      </w:r>
      <w:r w:rsidRPr="00E9210E">
        <w:rPr>
          <w:rFonts w:eastAsia="Courier New"/>
        </w:rPr>
        <w:t>,</w:t>
      </w:r>
      <w:r w:rsidRPr="00E9210E">
        <w:rPr>
          <w:rStyle w:val="Corpsdutexte11NonItaliqueEspacement0pt"/>
          <w:rFonts w:eastAsia="Courier New"/>
          <w:i w:val="0"/>
          <w:iCs w:val="0"/>
          <w:sz w:val="28"/>
          <w:lang w:val="fr-CA"/>
        </w:rPr>
        <w:t xml:space="preserve"> Nancy, 1936), « A.H.S. », t. II (1940), p. 167.</w:t>
      </w:r>
    </w:p>
    <w:p w14:paraId="2A849732" w14:textId="77777777" w:rsidR="00B9662D" w:rsidRPr="00E9210E" w:rsidRDefault="00B9662D" w:rsidP="00B9662D">
      <w:pPr>
        <w:spacing w:before="120" w:after="120"/>
        <w:jc w:val="both"/>
      </w:pPr>
      <w:r w:rsidRPr="00E9210E">
        <w:t xml:space="preserve">Compte rendu : A. </w:t>
      </w:r>
      <w:r w:rsidRPr="00E9210E">
        <w:rPr>
          <w:rFonts w:eastAsia="Courier New"/>
          <w:smallCaps/>
        </w:rPr>
        <w:t>Lavondés</w:t>
      </w:r>
      <w:r w:rsidRPr="00E9210E">
        <w:rPr>
          <w:rFonts w:eastAsia="Courier New"/>
        </w:rPr>
        <w:t xml:space="preserve">, </w:t>
      </w:r>
      <w:r w:rsidRPr="00E9210E">
        <w:rPr>
          <w:rFonts w:eastAsia="Courier New"/>
          <w:i/>
        </w:rPr>
        <w:t>Olivier de Serres, seigneur du Pr</w:t>
      </w:r>
      <w:r w:rsidRPr="00E9210E">
        <w:rPr>
          <w:rFonts w:eastAsia="Courier New"/>
          <w:i/>
        </w:rPr>
        <w:t>a</w:t>
      </w:r>
      <w:r w:rsidRPr="00E9210E">
        <w:rPr>
          <w:rFonts w:eastAsia="Courier New"/>
          <w:i/>
        </w:rPr>
        <w:t>del,</w:t>
      </w:r>
      <w:r w:rsidRPr="00E9210E">
        <w:rPr>
          <w:i/>
        </w:rPr>
        <w:t xml:space="preserve"> Carrières-sous-Poissy</w:t>
      </w:r>
      <w:r w:rsidRPr="00E9210E">
        <w:t xml:space="preserve"> [1936], « A.H.S. », t. II (1940), pp. 167-168.</w:t>
      </w:r>
    </w:p>
    <w:p w14:paraId="3BA92571" w14:textId="77777777" w:rsidR="00B9662D" w:rsidRPr="00E9210E" w:rsidRDefault="00B9662D" w:rsidP="00B9662D">
      <w:pPr>
        <w:spacing w:before="120" w:after="120"/>
        <w:jc w:val="both"/>
      </w:pPr>
      <w:r w:rsidRPr="00E9210E">
        <w:t xml:space="preserve">Compte rendu : </w:t>
      </w:r>
      <w:r w:rsidRPr="00E9210E">
        <w:rPr>
          <w:rFonts w:eastAsia="Courier New"/>
          <w:i/>
        </w:rPr>
        <w:t>Le visage agricole de la France</w:t>
      </w:r>
      <w:r w:rsidRPr="00E9210E">
        <w:rPr>
          <w:rFonts w:eastAsia="Courier New"/>
        </w:rPr>
        <w:t>,</w:t>
      </w:r>
      <w:r w:rsidRPr="00E9210E">
        <w:t xml:space="preserve"> sous la direction de R. </w:t>
      </w:r>
      <w:r w:rsidRPr="00E9210E">
        <w:rPr>
          <w:rFonts w:eastAsia="Courier New"/>
          <w:smallCaps/>
        </w:rPr>
        <w:t>Grand</w:t>
      </w:r>
      <w:r w:rsidRPr="00E9210E">
        <w:rPr>
          <w:rFonts w:eastAsia="Courier New"/>
        </w:rPr>
        <w:t>,</w:t>
      </w:r>
      <w:r w:rsidRPr="00E9210E">
        <w:t xml:space="preserve"> t. I, Paris, 1934, « A.H.S. », t. II (1940), p. 168.</w:t>
      </w:r>
    </w:p>
    <w:p w14:paraId="630E3671" w14:textId="77777777" w:rsidR="00B9662D" w:rsidRPr="00E9210E" w:rsidRDefault="00B9662D" w:rsidP="00B9662D">
      <w:pPr>
        <w:spacing w:before="120" w:after="120"/>
        <w:jc w:val="both"/>
      </w:pPr>
      <w:r w:rsidRPr="00E9210E">
        <w:t>À travers les anciens droits germaniques. (Comptes rendus : E. </w:t>
      </w:r>
      <w:r w:rsidRPr="00E9210E">
        <w:rPr>
          <w:smallCaps/>
        </w:rPr>
        <w:t>Wohlhaupter</w:t>
      </w:r>
      <w:r w:rsidRPr="00E9210E">
        <w:t xml:space="preserve">, </w:t>
      </w:r>
      <w:r w:rsidRPr="00E9210E">
        <w:rPr>
          <w:rFonts w:eastAsia="Courier New"/>
          <w:i/>
        </w:rPr>
        <w:t>Gesetze der Westgothen</w:t>
      </w:r>
      <w:r w:rsidRPr="00E9210E">
        <w:rPr>
          <w:rFonts w:eastAsia="Courier New"/>
        </w:rPr>
        <w:t>.</w:t>
      </w:r>
      <w:r w:rsidRPr="00E9210E">
        <w:t xml:space="preserve"> — Cl. von </w:t>
      </w:r>
      <w:r w:rsidRPr="00E9210E">
        <w:rPr>
          <w:smallCaps/>
        </w:rPr>
        <w:t>Schwerin</w:t>
      </w:r>
      <w:r w:rsidRPr="00E9210E">
        <w:t xml:space="preserve">, </w:t>
      </w:r>
      <w:r w:rsidRPr="00E9210E">
        <w:rPr>
          <w:rFonts w:eastAsia="Courier New"/>
          <w:i/>
        </w:rPr>
        <w:t>Schwedische Rechte</w:t>
      </w:r>
      <w:r w:rsidRPr="00E9210E">
        <w:rPr>
          <w:rFonts w:eastAsia="Courier New"/>
        </w:rPr>
        <w:t>.</w:t>
      </w:r>
      <w:r w:rsidRPr="00E9210E">
        <w:t xml:space="preserve"> — A. </w:t>
      </w:r>
      <w:r w:rsidRPr="00E9210E">
        <w:rPr>
          <w:smallCaps/>
        </w:rPr>
        <w:t>Heusler</w:t>
      </w:r>
      <w:r w:rsidRPr="00E9210E">
        <w:t xml:space="preserve">, </w:t>
      </w:r>
      <w:r w:rsidRPr="00E9210E">
        <w:rPr>
          <w:rFonts w:eastAsia="Courier New"/>
          <w:i/>
        </w:rPr>
        <w:t>Islandisches Recht</w:t>
      </w:r>
      <w:r w:rsidRPr="00E9210E">
        <w:rPr>
          <w:rStyle w:val="Corpsdutexte178ptItalique"/>
          <w:rFonts w:eastAsia="Courier New"/>
          <w:sz w:val="28"/>
          <w:lang w:val="fr-CA"/>
        </w:rPr>
        <w:t>.</w:t>
      </w:r>
      <w:r w:rsidRPr="00E9210E">
        <w:t> — 3 vol., Weimar, 1936, 1935, 1937), « A.H.S. », t. II (1940), pp. 247-248.</w:t>
      </w:r>
    </w:p>
    <w:p w14:paraId="334B7773" w14:textId="77777777" w:rsidR="00B9662D" w:rsidRPr="00E9210E" w:rsidRDefault="00B9662D" w:rsidP="00B9662D">
      <w:pPr>
        <w:spacing w:before="120" w:after="120"/>
        <w:jc w:val="both"/>
      </w:pPr>
      <w:r w:rsidRPr="00E9210E">
        <w:t xml:space="preserve">Une coupe d’histoire sociale. (Compte rendu : </w:t>
      </w:r>
      <w:r w:rsidRPr="00E9210E">
        <w:rPr>
          <w:rFonts w:eastAsia="Courier New"/>
          <w:i/>
        </w:rPr>
        <w:t>Mass Observ</w:t>
      </w:r>
      <w:r w:rsidRPr="00E9210E">
        <w:rPr>
          <w:rFonts w:eastAsia="Courier New"/>
          <w:i/>
        </w:rPr>
        <w:t>a</w:t>
      </w:r>
      <w:r w:rsidRPr="00E9210E">
        <w:rPr>
          <w:rFonts w:eastAsia="Courier New"/>
          <w:i/>
        </w:rPr>
        <w:t>tion</w:t>
      </w:r>
      <w:r w:rsidRPr="00E9210E">
        <w:rPr>
          <w:i/>
        </w:rPr>
        <w:t> — </w:t>
      </w:r>
      <w:r w:rsidRPr="00E9210E">
        <w:rPr>
          <w:rFonts w:eastAsia="Courier New"/>
          <w:i/>
        </w:rPr>
        <w:t>War begins at home</w:t>
      </w:r>
      <w:r w:rsidRPr="00E9210E">
        <w:rPr>
          <w:rFonts w:eastAsia="Courier New"/>
        </w:rPr>
        <w:t xml:space="preserve">, </w:t>
      </w:r>
      <w:r w:rsidRPr="00E9210E">
        <w:rPr>
          <w:rFonts w:eastAsia="Courier New"/>
          <w:i/>
        </w:rPr>
        <w:t>edited and arranged by T. Harrisson</w:t>
      </w:r>
      <w:r w:rsidRPr="00E9210E">
        <w:rPr>
          <w:rFonts w:eastAsia="Courier New"/>
        </w:rPr>
        <w:t>,</w:t>
      </w:r>
      <w:r w:rsidRPr="00E9210E">
        <w:t xml:space="preserve"> Londres, 1940), « A.H.S. », t. II (1940), pp. 265-267.</w:t>
      </w:r>
    </w:p>
    <w:p w14:paraId="71324DEB" w14:textId="77777777" w:rsidR="00B9662D" w:rsidRPr="00E9210E" w:rsidRDefault="00B9662D" w:rsidP="00B9662D">
      <w:pPr>
        <w:spacing w:before="120" w:after="120"/>
        <w:jc w:val="both"/>
      </w:pPr>
      <w:r w:rsidRPr="00E9210E">
        <w:t xml:space="preserve">D’une façon d’écrire l’histoire. (Compte rendu : Ch. </w:t>
      </w:r>
      <w:r w:rsidRPr="00E9210E">
        <w:rPr>
          <w:smallCaps/>
        </w:rPr>
        <w:t>Diehl</w:t>
      </w:r>
      <w:r w:rsidRPr="00E9210E">
        <w:t xml:space="preserve"> et G. </w:t>
      </w:r>
      <w:r w:rsidRPr="00E9210E">
        <w:rPr>
          <w:smallCaps/>
        </w:rPr>
        <w:t>Marçais</w:t>
      </w:r>
      <w:r w:rsidRPr="00E9210E">
        <w:t xml:space="preserve">, </w:t>
      </w:r>
      <w:r w:rsidRPr="00E9210E">
        <w:rPr>
          <w:rFonts w:eastAsia="Courier New"/>
          <w:i/>
        </w:rPr>
        <w:t>Le monde oriental de</w:t>
      </w:r>
      <w:r w:rsidRPr="00E9210E">
        <w:rPr>
          <w:rFonts w:eastAsia="Courier New"/>
        </w:rPr>
        <w:t xml:space="preserve"> </w:t>
      </w:r>
      <w:r w:rsidRPr="00E9210E">
        <w:rPr>
          <w:rStyle w:val="Corpsdutexte178ptItalique"/>
          <w:rFonts w:eastAsia="Courier New"/>
          <w:sz w:val="28"/>
          <w:lang w:val="fr-CA"/>
        </w:rPr>
        <w:t>395 à 1081,</w:t>
      </w:r>
      <w:r w:rsidRPr="00E9210E">
        <w:t xml:space="preserve"> Paris, 1936. Coll. </w:t>
      </w:r>
      <w:r w:rsidRPr="00E9210E">
        <w:rPr>
          <w:rFonts w:eastAsia="Courier New"/>
          <w:i/>
        </w:rPr>
        <w:t>Hi</w:t>
      </w:r>
      <w:r w:rsidRPr="00E9210E">
        <w:rPr>
          <w:rFonts w:eastAsia="Courier New"/>
          <w:i/>
        </w:rPr>
        <w:t>s</w:t>
      </w:r>
      <w:r w:rsidRPr="00E9210E">
        <w:rPr>
          <w:rFonts w:eastAsia="Courier New"/>
          <w:i/>
        </w:rPr>
        <w:t>toire générale</w:t>
      </w:r>
      <w:r w:rsidRPr="00E9210E">
        <w:rPr>
          <w:rFonts w:eastAsia="Courier New"/>
        </w:rPr>
        <w:t>,</w:t>
      </w:r>
      <w:r w:rsidRPr="00E9210E">
        <w:t xml:space="preserve"> dirigée par G. </w:t>
      </w:r>
      <w:r w:rsidRPr="00E9210E">
        <w:rPr>
          <w:smallCaps/>
        </w:rPr>
        <w:t>Glotz</w:t>
      </w:r>
      <w:r w:rsidRPr="00E9210E">
        <w:t>), « A.H.S. », t. II (1940), p. 277.</w:t>
      </w:r>
    </w:p>
    <w:p w14:paraId="31E413BA" w14:textId="77777777" w:rsidR="00B9662D" w:rsidRPr="00E9210E" w:rsidRDefault="00B9662D" w:rsidP="00B9662D">
      <w:pPr>
        <w:spacing w:before="120" w:after="120"/>
        <w:jc w:val="both"/>
      </w:pPr>
      <w:r w:rsidRPr="00E9210E">
        <w:t>[1097]</w:t>
      </w:r>
    </w:p>
    <w:p w14:paraId="15D59ADE" w14:textId="77777777" w:rsidR="00B9662D" w:rsidRPr="00E9210E" w:rsidRDefault="00B9662D" w:rsidP="00B9662D">
      <w:pPr>
        <w:spacing w:before="120" w:after="120"/>
        <w:jc w:val="both"/>
      </w:pPr>
      <w:r w:rsidRPr="00E9210E">
        <w:t xml:space="preserve">Note sur l’exposition organisée à Bruxelles au printemps 1939 par l’Institut national d’histoire sociale : </w:t>
      </w:r>
      <w:r w:rsidRPr="00E9210E">
        <w:rPr>
          <w:rStyle w:val="Corpsdutexte28ptItalique"/>
          <w:rFonts w:eastAsia="Courier New"/>
          <w:sz w:val="28"/>
        </w:rPr>
        <w:t>Gand, un siècle d’histoire soci</w:t>
      </w:r>
      <w:r w:rsidRPr="00E9210E">
        <w:rPr>
          <w:rStyle w:val="Corpsdutexte28ptItalique"/>
          <w:rFonts w:eastAsia="Courier New"/>
          <w:sz w:val="28"/>
        </w:rPr>
        <w:t>a</w:t>
      </w:r>
      <w:r w:rsidRPr="00E9210E">
        <w:rPr>
          <w:rStyle w:val="Corpsdutexte28ptItalique"/>
          <w:rFonts w:eastAsia="Courier New"/>
          <w:sz w:val="28"/>
        </w:rPr>
        <w:t>le. Début XIX</w:t>
      </w:r>
      <w:r w:rsidRPr="00E9210E">
        <w:rPr>
          <w:rStyle w:val="Corpsdutexte28ptItalique"/>
          <w:rFonts w:eastAsia="Courier New"/>
          <w:sz w:val="28"/>
          <w:vertAlign w:val="superscript"/>
        </w:rPr>
        <w:t>e</w:t>
      </w:r>
      <w:r w:rsidRPr="00E9210E">
        <w:rPr>
          <w:rStyle w:val="Corpsdutexte28ptItalique"/>
          <w:rFonts w:eastAsia="Courier New"/>
          <w:sz w:val="28"/>
        </w:rPr>
        <w:t>-début guerre 1914</w:t>
      </w:r>
      <w:r w:rsidRPr="00E9210E">
        <w:rPr>
          <w:rFonts w:eastAsia="Courier New"/>
        </w:rPr>
        <w:t>,</w:t>
      </w:r>
      <w:r w:rsidRPr="00E9210E">
        <w:t xml:space="preserve"> « A.H.S. », t. II (1940), p. 279.</w:t>
      </w:r>
    </w:p>
    <w:p w14:paraId="3EA2F763" w14:textId="77777777" w:rsidR="00B9662D" w:rsidRPr="00E9210E" w:rsidRDefault="00B9662D" w:rsidP="00B9662D">
      <w:pPr>
        <w:spacing w:before="120" w:after="120"/>
        <w:jc w:val="both"/>
      </w:pPr>
      <w:r w:rsidRPr="00E9210E">
        <w:t xml:space="preserve">Figures anglaises. (Comptes rendus : Miss G. S. </w:t>
      </w:r>
      <w:r w:rsidRPr="00E9210E">
        <w:rPr>
          <w:rStyle w:val="Corpsdutexte27ptGrasPetitesmajuscules"/>
          <w:rFonts w:eastAsia="Courier New"/>
          <w:b w:val="0"/>
          <w:sz w:val="28"/>
          <w:lang w:val="fr-CA"/>
        </w:rPr>
        <w:t>Thompson,</w:t>
      </w:r>
      <w:r w:rsidRPr="00E9210E">
        <w:rPr>
          <w:rStyle w:val="Corpsdutexte27ptGrasPetitesmajuscules"/>
          <w:rFonts w:eastAsia="Courier New"/>
          <w:sz w:val="28"/>
          <w:lang w:val="fr-CA"/>
        </w:rPr>
        <w:t xml:space="preserve"> </w:t>
      </w:r>
      <w:r w:rsidRPr="00E9210E">
        <w:rPr>
          <w:rStyle w:val="Corpsdutexte28ptItalique"/>
          <w:rFonts w:eastAsia="Courier New"/>
          <w:sz w:val="28"/>
        </w:rPr>
        <w:t>Life in a noble Household : 1641-1700.</w:t>
      </w:r>
      <w:r w:rsidRPr="00E9210E">
        <w:rPr>
          <w:rStyle w:val="Corpsdutexte28ptGrasEspacement1ptchelle120"/>
          <w:rFonts w:eastAsia="Courier New"/>
          <w:sz w:val="28"/>
        </w:rPr>
        <w:t> — </w:t>
      </w:r>
      <w:r w:rsidRPr="00E9210E">
        <w:rPr>
          <w:rStyle w:val="Corpsdutexte28ptItalique"/>
          <w:rFonts w:eastAsia="Courier New"/>
          <w:sz w:val="28"/>
        </w:rPr>
        <w:t>The Russells in Bloomsbury :</w:t>
      </w:r>
      <w:r w:rsidRPr="00E9210E">
        <w:rPr>
          <w:rFonts w:eastAsia="Courier New"/>
        </w:rPr>
        <w:t xml:space="preserve"> </w:t>
      </w:r>
      <w:r w:rsidRPr="00E9210E">
        <w:rPr>
          <w:rStyle w:val="Corpsdutexte28ptItalique"/>
          <w:rFonts w:eastAsia="Courier New"/>
          <w:sz w:val="28"/>
        </w:rPr>
        <w:t>1669-1771</w:t>
      </w:r>
      <w:r w:rsidRPr="00E9210E">
        <w:t xml:space="preserve">, 2 vol., Londres, 1937 et 1940. — S. </w:t>
      </w:r>
      <w:r w:rsidRPr="00E9210E">
        <w:rPr>
          <w:rStyle w:val="Corpsdutexte27ptGrasPetitesmajuscules"/>
          <w:rFonts w:eastAsia="Courier New"/>
          <w:b w:val="0"/>
          <w:smallCaps w:val="0"/>
          <w:sz w:val="28"/>
          <w:lang w:val="fr-CA"/>
        </w:rPr>
        <w:t xml:space="preserve">Reed </w:t>
      </w:r>
      <w:r w:rsidRPr="00E9210E">
        <w:rPr>
          <w:rStyle w:val="Corpsdutexte27ptGrasPetitesmajuscules"/>
          <w:rFonts w:eastAsia="Courier New"/>
          <w:b w:val="0"/>
          <w:sz w:val="28"/>
          <w:lang w:val="fr-CA"/>
        </w:rPr>
        <w:t>Brett</w:t>
      </w:r>
      <w:r w:rsidRPr="00E9210E">
        <w:rPr>
          <w:rStyle w:val="Corpsdutexte27ptGrasPetitesmajuscules"/>
          <w:rFonts w:eastAsia="Courier New"/>
          <w:b w:val="0"/>
          <w:smallCaps w:val="0"/>
          <w:sz w:val="28"/>
          <w:lang w:val="fr-CA"/>
        </w:rPr>
        <w:t>,</w:t>
      </w:r>
      <w:r w:rsidRPr="00E9210E">
        <w:rPr>
          <w:rStyle w:val="Corpsdutexte27ptGrasPetitesmajuscules"/>
          <w:rFonts w:eastAsia="Courier New"/>
          <w:sz w:val="28"/>
          <w:lang w:val="fr-CA"/>
        </w:rPr>
        <w:t xml:space="preserve"> </w:t>
      </w:r>
      <w:r w:rsidRPr="00E9210E">
        <w:rPr>
          <w:rStyle w:val="Corpsdutexte28ptItalique"/>
          <w:rFonts w:eastAsia="Courier New"/>
          <w:sz w:val="28"/>
        </w:rPr>
        <w:t>John Pym, 1583-1643. The Statesman of the Puritan Revolution</w:t>
      </w:r>
      <w:r w:rsidRPr="00E9210E">
        <w:t>, Lo</w:t>
      </w:r>
      <w:r w:rsidRPr="00E9210E">
        <w:t>n</w:t>
      </w:r>
      <w:r w:rsidRPr="00E9210E">
        <w:t>dres, 1940), « A.H.S. », t. II (1940), pp. 302-303.</w:t>
      </w:r>
    </w:p>
    <w:p w14:paraId="0CF96869" w14:textId="77777777" w:rsidR="00B9662D" w:rsidRPr="00E9210E" w:rsidRDefault="00B9662D" w:rsidP="00B9662D">
      <w:pPr>
        <w:spacing w:before="120" w:after="120"/>
        <w:jc w:val="both"/>
      </w:pPr>
      <w:r w:rsidRPr="00E9210E">
        <w:t xml:space="preserve">Compte rendu : G. </w:t>
      </w:r>
      <w:r w:rsidRPr="00E9210E">
        <w:rPr>
          <w:rStyle w:val="Corpsdutexte27ptGrasPetitesmajuscules"/>
          <w:rFonts w:eastAsia="Courier New"/>
          <w:b w:val="0"/>
          <w:sz w:val="28"/>
          <w:lang w:val="fr-CA"/>
        </w:rPr>
        <w:t>Dumézil</w:t>
      </w:r>
      <w:r w:rsidRPr="00E9210E">
        <w:rPr>
          <w:rStyle w:val="Corpsdutexte27ptGrasPetitesmajuscules"/>
          <w:rFonts w:eastAsia="Courier New"/>
          <w:b w:val="0"/>
          <w:smallCaps w:val="0"/>
          <w:sz w:val="28"/>
          <w:lang w:val="fr-CA"/>
        </w:rPr>
        <w:t>,</w:t>
      </w:r>
      <w:r w:rsidRPr="00E9210E">
        <w:rPr>
          <w:rStyle w:val="Corpsdutexte27ptGrasPetitesmajuscules"/>
          <w:rFonts w:eastAsia="Courier New"/>
          <w:sz w:val="28"/>
          <w:lang w:val="fr-CA"/>
        </w:rPr>
        <w:t xml:space="preserve"> </w:t>
      </w:r>
      <w:r w:rsidRPr="00E9210E">
        <w:rPr>
          <w:rStyle w:val="Corpsdutexte28ptItalique"/>
          <w:rFonts w:eastAsia="Courier New"/>
          <w:sz w:val="28"/>
        </w:rPr>
        <w:t>Mythes et Dieux des Germains,</w:t>
      </w:r>
      <w:r w:rsidRPr="00E9210E">
        <w:rPr>
          <w:rStyle w:val="Corpsdutexte28ptGrasEspacement1ptchelle120"/>
          <w:rFonts w:eastAsia="Courier New"/>
          <w:sz w:val="28"/>
        </w:rPr>
        <w:t xml:space="preserve"> </w:t>
      </w:r>
      <w:r w:rsidRPr="00E9210E">
        <w:t>Paris, 1939, « Revue historique », t. 188-189 (1940), pp. 274-275.</w:t>
      </w:r>
    </w:p>
    <w:p w14:paraId="572736A5" w14:textId="77777777" w:rsidR="00B9662D" w:rsidRPr="00E9210E" w:rsidRDefault="00B9662D" w:rsidP="00B9662D">
      <w:pPr>
        <w:spacing w:before="120" w:after="120"/>
        <w:jc w:val="both"/>
      </w:pPr>
    </w:p>
    <w:p w14:paraId="1668421E" w14:textId="77777777" w:rsidR="00B9662D" w:rsidRPr="00E9210E" w:rsidRDefault="00B9662D" w:rsidP="00B9662D">
      <w:pPr>
        <w:spacing w:before="120" w:after="120"/>
        <w:jc w:val="center"/>
        <w:rPr>
          <w:b/>
        </w:rPr>
      </w:pPr>
      <w:r w:rsidRPr="00E9210E">
        <w:rPr>
          <w:b/>
        </w:rPr>
        <w:t>1941</w:t>
      </w:r>
    </w:p>
    <w:p w14:paraId="38BD3B23" w14:textId="77777777" w:rsidR="00B9662D" w:rsidRPr="00E9210E" w:rsidRDefault="00B9662D" w:rsidP="00B9662D">
      <w:pPr>
        <w:spacing w:before="120" w:after="120"/>
        <w:jc w:val="both"/>
        <w:rPr>
          <w:rStyle w:val="Corpsdutexte885ptNonGraschelle100"/>
          <w:rFonts w:eastAsia="Courier New"/>
          <w:b w:val="0"/>
          <w:bCs w:val="0"/>
          <w:sz w:val="28"/>
        </w:rPr>
      </w:pPr>
    </w:p>
    <w:p w14:paraId="4E927712"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The Rise of Dependent Cultivation and Seigniorial Instit</w:t>
      </w:r>
      <w:r w:rsidRPr="00E9210E">
        <w:rPr>
          <w:b/>
        </w:rPr>
        <w:t>u</w:t>
      </w:r>
      <w:r w:rsidRPr="00E9210E">
        <w:rPr>
          <w:b/>
        </w:rPr>
        <w:t>tions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The Cambridge economic History of Europe</w:t>
      </w:r>
      <w:r w:rsidRPr="00E9210E">
        <w:rPr>
          <w:rStyle w:val="Corpsdutexte885ptNonGraschelle100"/>
          <w:rFonts w:eastAsia="Courier New"/>
          <w:b w:val="0"/>
          <w:bCs w:val="0"/>
          <w:sz w:val="28"/>
        </w:rPr>
        <w:t>, Cambridge, 1941, t. I, chap. VI, pp. 224-277.</w:t>
      </w:r>
    </w:p>
    <w:p w14:paraId="63EEC0B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En Auvergne. Les plaines et les monts. (Comptes rendus : L. </w:t>
      </w:r>
      <w:r w:rsidRPr="00E9210E">
        <w:rPr>
          <w:rStyle w:val="Corpsdutexte117ptGrasNonItaliqueEspacement0pt"/>
          <w:rFonts w:eastAsia="Courier New"/>
          <w:b w:val="0"/>
          <w:i w:val="0"/>
          <w:iCs w:val="0"/>
          <w:smallCaps/>
          <w:sz w:val="28"/>
          <w:lang w:val="fr-CA"/>
        </w:rPr>
        <w:t>Gachon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Limagnes du Sud et leurs bordures montagneuses : étude de géographie physique et humaine</w:t>
      </w:r>
      <w:r w:rsidRPr="00E9210E">
        <w:rPr>
          <w:rFonts w:eastAsia="Courier New"/>
        </w:rPr>
        <w:t xml:space="preserve">, </w:t>
      </w:r>
      <w:r w:rsidRPr="00E9210E">
        <w:rPr>
          <w:rStyle w:val="Corpsdutexte11NonItaliqueEspacement0pt"/>
          <w:rFonts w:eastAsia="Courier New"/>
          <w:i w:val="0"/>
          <w:iCs w:val="0"/>
          <w:sz w:val="28"/>
          <w:lang w:val="fr-CA"/>
        </w:rPr>
        <w:t>Tours, 1939. — </w:t>
      </w:r>
      <w:r w:rsidRPr="00E9210E">
        <w:rPr>
          <w:rFonts w:eastAsia="Courier New"/>
          <w:i/>
        </w:rPr>
        <w:t>Une co</w:t>
      </w:r>
      <w:r w:rsidRPr="00E9210E">
        <w:rPr>
          <w:rFonts w:eastAsia="Courier New"/>
          <w:i/>
        </w:rPr>
        <w:t>m</w:t>
      </w:r>
      <w:r w:rsidRPr="00E9210E">
        <w:rPr>
          <w:rFonts w:eastAsia="Courier New"/>
          <w:i/>
        </w:rPr>
        <w:t>mune rurale d’Auvergne du XVIII</w:t>
      </w:r>
      <w:r w:rsidRPr="00E9210E">
        <w:rPr>
          <w:rFonts w:eastAsia="Courier New"/>
          <w:i/>
          <w:vertAlign w:val="superscript"/>
        </w:rPr>
        <w:t>e</w:t>
      </w:r>
      <w:r w:rsidRPr="00E9210E">
        <w:rPr>
          <w:rFonts w:eastAsia="Courier New"/>
          <w:i/>
        </w:rPr>
        <w:t xml:space="preserve"> siècle au XX</w:t>
      </w:r>
      <w:r w:rsidRPr="00E9210E">
        <w:rPr>
          <w:rFonts w:eastAsia="Courier New"/>
          <w:i/>
          <w:vertAlign w:val="superscript"/>
        </w:rPr>
        <w:t>e</w:t>
      </w:r>
      <w:r w:rsidRPr="00E9210E">
        <w:rPr>
          <w:rFonts w:eastAsia="Courier New"/>
          <w:i/>
        </w:rPr>
        <w:t xml:space="preserve"> siècle : Brousse-Montboissier</w:t>
      </w:r>
      <w:r w:rsidRPr="00E9210E">
        <w:rPr>
          <w:rFonts w:eastAsia="Courier New"/>
        </w:rPr>
        <w:t>,</w:t>
      </w:r>
      <w:r w:rsidRPr="00E9210E">
        <w:rPr>
          <w:rStyle w:val="Corpsdutexte11NonItaliqueEspacement0pt"/>
          <w:rFonts w:eastAsia="Courier New"/>
          <w:i w:val="0"/>
          <w:iCs w:val="0"/>
          <w:sz w:val="28"/>
          <w:lang w:val="fr-CA"/>
        </w:rPr>
        <w:t xml:space="preserve"> Clermont-Ferrand [1939]), « A.H.S. », t. III (1941), pp. 31-34.</w:t>
      </w:r>
    </w:p>
    <w:p w14:paraId="5963D16B" w14:textId="77777777" w:rsidR="00B9662D" w:rsidRPr="00E9210E" w:rsidRDefault="00B9662D" w:rsidP="00B9662D">
      <w:pPr>
        <w:spacing w:before="120" w:after="120"/>
        <w:jc w:val="both"/>
      </w:pPr>
      <w:r w:rsidRPr="00E9210E">
        <w:t xml:space="preserve">Choses et gens du Sud-Ouest. (Compte rendu : P. </w:t>
      </w:r>
      <w:r w:rsidRPr="00E9210E">
        <w:rPr>
          <w:rStyle w:val="Corpsdutexte27ptGras"/>
          <w:rFonts w:eastAsia="Courier New"/>
          <w:b w:val="0"/>
          <w:smallCaps/>
          <w:sz w:val="28"/>
        </w:rPr>
        <w:t>Arqué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Géogr</w:t>
      </w:r>
      <w:r w:rsidRPr="00E9210E">
        <w:rPr>
          <w:rFonts w:eastAsia="Courier New"/>
          <w:i/>
        </w:rPr>
        <w:t>a</w:t>
      </w:r>
      <w:r w:rsidRPr="00E9210E">
        <w:rPr>
          <w:rFonts w:eastAsia="Courier New"/>
          <w:i/>
        </w:rPr>
        <w:t>phie du Midi aquitain</w:t>
      </w:r>
      <w:r w:rsidRPr="00E9210E">
        <w:t>, Paris, 1939), « A.H.S. », t. III (1941), p. 109.</w:t>
      </w:r>
    </w:p>
    <w:p w14:paraId="6565E4C3" w14:textId="77777777" w:rsidR="00B9662D" w:rsidRPr="00E9210E" w:rsidRDefault="00B9662D" w:rsidP="00B9662D">
      <w:pPr>
        <w:spacing w:before="120" w:after="120"/>
        <w:jc w:val="both"/>
      </w:pPr>
      <w:r w:rsidRPr="00E9210E">
        <w:t>Les servitudes collectives dans le Midi de la France. (Compte re</w:t>
      </w:r>
      <w:r w:rsidRPr="00E9210E">
        <w:t>n</w:t>
      </w:r>
      <w:r w:rsidRPr="00E9210E">
        <w:t xml:space="preserve">du : E. </w:t>
      </w:r>
      <w:r w:rsidRPr="00E9210E">
        <w:rPr>
          <w:rStyle w:val="Corpsdutexte27ptGras"/>
          <w:rFonts w:eastAsia="Courier New"/>
          <w:b w:val="0"/>
          <w:smallCaps/>
          <w:sz w:val="28"/>
        </w:rPr>
        <w:t>Appolis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La question de vaine pâture en Languedoc au </w:t>
      </w:r>
      <w:r w:rsidRPr="00E9210E">
        <w:rPr>
          <w:rStyle w:val="Corpsdutexte2ItaliqueEspacement1pt"/>
          <w:rFonts w:eastAsia="Courier New"/>
          <w:sz w:val="28"/>
          <w:lang w:val="fr-CA"/>
        </w:rPr>
        <w:t>XVIII</w:t>
      </w:r>
      <w:r w:rsidRPr="00E9210E">
        <w:rPr>
          <w:rStyle w:val="Corpsdutexte2ItaliqueEspacement1pt"/>
          <w:rFonts w:eastAsia="Courier New"/>
          <w:sz w:val="28"/>
          <w:vertAlign w:val="superscript"/>
          <w:lang w:val="fr-CA"/>
        </w:rPr>
        <w:t>e</w:t>
      </w:r>
      <w:r w:rsidRPr="00E9210E">
        <w:rPr>
          <w:rFonts w:eastAsia="Courier New"/>
          <w:i/>
        </w:rPr>
        <w:t xml:space="preserve"> si</w:t>
      </w:r>
      <w:r w:rsidRPr="00E9210E">
        <w:rPr>
          <w:rFonts w:eastAsia="Courier New"/>
          <w:i/>
        </w:rPr>
        <w:t>è</w:t>
      </w:r>
      <w:r w:rsidRPr="00E9210E">
        <w:rPr>
          <w:rFonts w:eastAsia="Courier New"/>
          <w:i/>
        </w:rPr>
        <w:t>cle</w:t>
      </w:r>
      <w:r w:rsidRPr="00E9210E">
        <w:rPr>
          <w:rFonts w:eastAsia="Courier New"/>
        </w:rPr>
        <w:t>,</w:t>
      </w:r>
      <w:r w:rsidRPr="00E9210E">
        <w:t xml:space="preserve"> dans </w:t>
      </w:r>
      <w:r w:rsidRPr="00E9210E">
        <w:rPr>
          <w:rFonts w:eastAsia="Courier New"/>
          <w:i/>
        </w:rPr>
        <w:t>Annales historiques de la Révolution française</w:t>
      </w:r>
      <w:r w:rsidRPr="00E9210E">
        <w:rPr>
          <w:rFonts w:eastAsia="Courier New"/>
        </w:rPr>
        <w:t>,</w:t>
      </w:r>
      <w:r w:rsidRPr="00E9210E">
        <w:t xml:space="preserve"> 1938), « A.H.S. », t. III (1941), pp. 109-110.</w:t>
      </w:r>
    </w:p>
    <w:p w14:paraId="11060674" w14:textId="77777777" w:rsidR="00B9662D" w:rsidRPr="00E9210E" w:rsidRDefault="00B9662D" w:rsidP="00B9662D">
      <w:pPr>
        <w:spacing w:before="120" w:after="120"/>
        <w:jc w:val="both"/>
      </w:pPr>
      <w:r w:rsidRPr="00E9210E">
        <w:t>En Velay : le passé d’une société provençale. (Compte rendu : E. </w:t>
      </w:r>
      <w:r w:rsidRPr="00E9210E">
        <w:rPr>
          <w:rStyle w:val="Corpsdutexte27ptGras"/>
          <w:rFonts w:eastAsia="Courier New"/>
          <w:b w:val="0"/>
          <w:smallCaps/>
          <w:sz w:val="28"/>
        </w:rPr>
        <w:t>Delcambre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États du Velay des origines à 1642. Contribution à l’histoire des États provinciaux</w:t>
      </w:r>
      <w:r w:rsidRPr="00E9210E">
        <w:rPr>
          <w:rFonts w:eastAsia="Courier New"/>
        </w:rPr>
        <w:t xml:space="preserve">, </w:t>
      </w:r>
      <w:r w:rsidRPr="00E9210E">
        <w:t>Saint-Étienne, 1938), « A.H.S. », t. III (1941), pp. 110-111.</w:t>
      </w:r>
    </w:p>
    <w:p w14:paraId="2F323C0D"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Comptes rendus : A. </w:t>
      </w:r>
      <w:r w:rsidRPr="00E9210E">
        <w:rPr>
          <w:rStyle w:val="Corpsdutexte117ptGrasNonItaliqueEspacement0pt"/>
          <w:rFonts w:eastAsia="Courier New"/>
          <w:b w:val="0"/>
          <w:i w:val="0"/>
          <w:iCs w:val="0"/>
          <w:smallCaps/>
          <w:sz w:val="28"/>
          <w:lang w:val="fr-CA"/>
        </w:rPr>
        <w:t>Ombret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vie agricole dans le Bas-Pays limousin</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Revue géographique des Pyrénées et du Sud-Ouest</w:t>
      </w:r>
      <w:r w:rsidRPr="00E9210E">
        <w:rPr>
          <w:rFonts w:eastAsia="Courier New"/>
        </w:rPr>
        <w:t>,</w:t>
      </w:r>
      <w:r w:rsidRPr="00E9210E">
        <w:rPr>
          <w:rStyle w:val="Corpsdutexte11NonItaliqueEspacement0pt"/>
          <w:rFonts w:eastAsia="Courier New"/>
          <w:i w:val="0"/>
          <w:iCs w:val="0"/>
          <w:sz w:val="28"/>
          <w:lang w:val="fr-CA"/>
        </w:rPr>
        <w:t xml:space="preserve"> t. VII (1936), pp. 169-200 et 238-295. — </w:t>
      </w:r>
      <w:r w:rsidRPr="00E9210E">
        <w:rPr>
          <w:rFonts w:eastAsia="Courier New"/>
          <w:i/>
        </w:rPr>
        <w:t>L’habitat rural en Bas-Pays limousin</w:t>
      </w:r>
      <w:r w:rsidRPr="00E9210E">
        <w:rPr>
          <w:rFonts w:eastAsia="Courier New"/>
        </w:rPr>
        <w:t>, ibid.,</w:t>
      </w:r>
      <w:r w:rsidRPr="00E9210E">
        <w:t xml:space="preserve"> t. VIII (1937), pp. 164-183, « A.H.S. », t. III (1941), pp. 111-112.</w:t>
      </w:r>
    </w:p>
    <w:p w14:paraId="3536832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P. </w:t>
      </w:r>
      <w:r w:rsidRPr="00E9210E">
        <w:rPr>
          <w:rStyle w:val="Corpsdutexte117ptGrasNonItaliqueEspacement0pt"/>
          <w:rFonts w:eastAsia="Courier New"/>
          <w:b w:val="0"/>
          <w:i w:val="0"/>
          <w:iCs w:val="0"/>
          <w:smallCaps/>
          <w:sz w:val="28"/>
          <w:lang w:val="fr-CA"/>
        </w:rPr>
        <w:t>Birot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Étude comparée de la vie rurale pyr</w:t>
      </w:r>
      <w:r w:rsidRPr="00E9210E">
        <w:rPr>
          <w:rFonts w:eastAsia="Courier New"/>
          <w:i/>
        </w:rPr>
        <w:t>é</w:t>
      </w:r>
      <w:r w:rsidRPr="00E9210E">
        <w:rPr>
          <w:rFonts w:eastAsia="Courier New"/>
          <w:i/>
        </w:rPr>
        <w:t>néenne dans les pays de Pallars (Espagne) et de Couserans (France),</w:t>
      </w:r>
      <w:r w:rsidRPr="00E9210E">
        <w:rPr>
          <w:rStyle w:val="Corpsdutexte11NonItaliqueEspacement0pt"/>
          <w:rFonts w:eastAsia="Courier New"/>
          <w:i w:val="0"/>
          <w:iCs w:val="0"/>
          <w:sz w:val="28"/>
          <w:lang w:val="fr-CA"/>
        </w:rPr>
        <w:t xml:space="preserve"> Paris, 1937, « A.H.S. », t. III (1941), </w:t>
      </w:r>
      <w:r w:rsidRPr="00E9210E">
        <w:t>p. 112.</w:t>
      </w:r>
    </w:p>
    <w:p w14:paraId="075182FA"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Les régimes agraires : quelques recherches convergentes. (Com</w:t>
      </w:r>
      <w:r w:rsidRPr="00E9210E">
        <w:rPr>
          <w:rStyle w:val="Corpsdutexte11NonItaliqueEspacement0pt"/>
          <w:rFonts w:eastAsia="Courier New"/>
          <w:i w:val="0"/>
          <w:iCs w:val="0"/>
          <w:sz w:val="28"/>
          <w:lang w:val="fr-CA"/>
        </w:rPr>
        <w:t>p</w:t>
      </w:r>
      <w:r w:rsidRPr="00E9210E">
        <w:rPr>
          <w:rStyle w:val="Corpsdutexte11NonItaliqueEspacement0pt"/>
          <w:rFonts w:eastAsia="Courier New"/>
          <w:i w:val="0"/>
          <w:iCs w:val="0"/>
          <w:sz w:val="28"/>
          <w:lang w:val="fr-CA"/>
        </w:rPr>
        <w:t>tes rendus : M. et M</w:t>
      </w:r>
      <w:r w:rsidRPr="00E9210E">
        <w:rPr>
          <w:rStyle w:val="Corpsdutexte11NonItaliqueEspacement0pt"/>
          <w:rFonts w:eastAsia="Courier New"/>
          <w:i w:val="0"/>
          <w:iCs w:val="0"/>
          <w:sz w:val="28"/>
          <w:vertAlign w:val="superscript"/>
          <w:lang w:val="fr-CA"/>
        </w:rPr>
        <w:t>me</w:t>
      </w:r>
      <w:r w:rsidRPr="00E9210E">
        <w:rPr>
          <w:rStyle w:val="Corpsdutexte11NonItaliqueEspacement0pt"/>
          <w:rFonts w:eastAsia="Courier New"/>
          <w:i w:val="0"/>
          <w:iCs w:val="0"/>
          <w:sz w:val="28"/>
          <w:lang w:val="fr-CA"/>
        </w:rPr>
        <w:t xml:space="preserve"> C. S. </w:t>
      </w:r>
      <w:r w:rsidRPr="00E9210E">
        <w:rPr>
          <w:rStyle w:val="Corpsdutexte117ptGrasNonItaliqueEspacement0pt"/>
          <w:rFonts w:eastAsia="Courier New"/>
          <w:b w:val="0"/>
          <w:i w:val="0"/>
          <w:iCs w:val="0"/>
          <w:smallCaps/>
          <w:sz w:val="28"/>
          <w:lang w:val="fr-CA"/>
        </w:rPr>
        <w:t>Orwin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The open-fields</w:t>
      </w:r>
      <w:r w:rsidRPr="00E9210E">
        <w:rPr>
          <w:rFonts w:eastAsia="Courier New"/>
        </w:rPr>
        <w:t>,</w:t>
      </w:r>
      <w:r w:rsidRPr="00E9210E">
        <w:rPr>
          <w:rStyle w:val="Corpsdutexte11NonItaliqueEspacement0pt"/>
          <w:rFonts w:eastAsia="Courier New"/>
          <w:i w:val="0"/>
          <w:iCs w:val="0"/>
          <w:sz w:val="28"/>
          <w:lang w:val="fr-CA"/>
        </w:rPr>
        <w:t xml:space="preserve"> Oxford, 1938. — F. G. </w:t>
      </w:r>
      <w:r w:rsidRPr="00E9210E">
        <w:rPr>
          <w:rStyle w:val="Corpsdutexte117ptGrasNonItaliqueEspacement0pt"/>
          <w:rFonts w:eastAsia="Courier New"/>
          <w:b w:val="0"/>
          <w:i w:val="0"/>
          <w:iCs w:val="0"/>
          <w:smallCaps/>
          <w:sz w:val="28"/>
          <w:lang w:val="fr-CA"/>
        </w:rPr>
        <w:t>Emmison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Types of open-field parishes in the Midlands</w:t>
      </w:r>
      <w:r w:rsidRPr="00E9210E">
        <w:rPr>
          <w:rFonts w:eastAsia="Courier New"/>
        </w:rPr>
        <w:t>,</w:t>
      </w:r>
      <w:r w:rsidRPr="00E9210E">
        <w:rPr>
          <w:rStyle w:val="Corpsdutexte11NonItaliqueEspacement0pt"/>
          <w:rFonts w:eastAsia="Courier New"/>
          <w:i w:val="0"/>
          <w:iCs w:val="0"/>
          <w:sz w:val="28"/>
          <w:lang w:val="fr-CA"/>
        </w:rPr>
        <w:t xml:space="preserve"> Lo</w:t>
      </w:r>
      <w:r w:rsidRPr="00E9210E">
        <w:rPr>
          <w:rStyle w:val="Corpsdutexte11NonItaliqueEspacement0pt"/>
          <w:rFonts w:eastAsia="Courier New"/>
          <w:i w:val="0"/>
          <w:iCs w:val="0"/>
          <w:sz w:val="28"/>
          <w:lang w:val="fr-CA"/>
        </w:rPr>
        <w:t>n</w:t>
      </w:r>
      <w:r w:rsidRPr="00E9210E">
        <w:rPr>
          <w:rStyle w:val="Corpsdutexte11NonItaliqueEspacement0pt"/>
          <w:rFonts w:eastAsia="Courier New"/>
          <w:i w:val="0"/>
          <w:iCs w:val="0"/>
          <w:sz w:val="28"/>
          <w:lang w:val="fr-CA"/>
        </w:rPr>
        <w:t xml:space="preserve">dres, 1937. — A. </w:t>
      </w:r>
      <w:r w:rsidRPr="00E9210E">
        <w:rPr>
          <w:rStyle w:val="Corpsdutexte117ptGrasNonItaliqueEspacement0pt"/>
          <w:rFonts w:eastAsia="Courier New"/>
          <w:b w:val="0"/>
          <w:i w:val="0"/>
          <w:iCs w:val="0"/>
          <w:smallCaps/>
          <w:sz w:val="28"/>
          <w:lang w:val="fr-CA"/>
        </w:rPr>
        <w:t>Homberg</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Die Entstehung der westdeutschen Flu</w:t>
      </w:r>
      <w:r w:rsidRPr="00E9210E">
        <w:rPr>
          <w:rFonts w:eastAsia="Courier New"/>
          <w:i/>
        </w:rPr>
        <w:t>r</w:t>
      </w:r>
      <w:r w:rsidRPr="00E9210E">
        <w:rPr>
          <w:rFonts w:eastAsia="Courier New"/>
          <w:i/>
        </w:rPr>
        <w:t>formen : Blockgemengflur-Streitenflur-Gewannflur</w:t>
      </w:r>
      <w:r w:rsidRPr="00E9210E">
        <w:rPr>
          <w:rFonts w:eastAsia="Courier New"/>
        </w:rPr>
        <w:t xml:space="preserve">, </w:t>
      </w:r>
      <w:r w:rsidRPr="00E9210E">
        <w:rPr>
          <w:rStyle w:val="Corpsdutexte11NonItaliqueEspacement0pt"/>
          <w:rFonts w:eastAsia="Courier New"/>
          <w:i w:val="0"/>
          <w:iCs w:val="0"/>
          <w:sz w:val="28"/>
          <w:lang w:val="fr-CA"/>
        </w:rPr>
        <w:t xml:space="preserve">Berlin, 1935. — A. </w:t>
      </w:r>
      <w:r w:rsidRPr="00E9210E">
        <w:rPr>
          <w:rStyle w:val="Corpsdutexte117ptGrasNonItaliqueEspacement0pt"/>
          <w:rFonts w:eastAsia="Courier New"/>
          <w:b w:val="0"/>
          <w:i w:val="0"/>
          <w:iCs w:val="0"/>
          <w:smallCaps/>
          <w:sz w:val="28"/>
          <w:lang w:val="fr-CA"/>
        </w:rPr>
        <w:t>Latron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vie rurale en Syrie et au Liban</w:t>
      </w:r>
      <w:r w:rsidRPr="00E9210E">
        <w:rPr>
          <w:rFonts w:eastAsia="Courier New"/>
        </w:rPr>
        <w:t>,</w:t>
      </w:r>
      <w:r w:rsidRPr="00E9210E">
        <w:rPr>
          <w:rStyle w:val="Corpsdutexte11NonItaliqueEspacement0pt"/>
          <w:rFonts w:eastAsia="Courier New"/>
          <w:i w:val="0"/>
          <w:iCs w:val="0"/>
          <w:sz w:val="28"/>
          <w:lang w:val="fr-CA"/>
        </w:rPr>
        <w:t xml:space="preserve"> Beyrouth, 1936. — R. </w:t>
      </w:r>
      <w:r w:rsidRPr="00E9210E">
        <w:rPr>
          <w:rStyle w:val="Corpsdutexte117ptGrasNonItaliqueEspacement0pt"/>
          <w:rFonts w:eastAsia="Courier New"/>
          <w:b w:val="0"/>
          <w:i w:val="0"/>
          <w:iCs w:val="0"/>
          <w:smallCaps/>
          <w:sz w:val="28"/>
          <w:lang w:val="fr-CA"/>
        </w:rPr>
        <w:t>Dion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Aperçus généraux sur le paysage rural de la France</w:t>
      </w:r>
      <w:r w:rsidRPr="00E9210E">
        <w:rPr>
          <w:rFonts w:eastAsia="Courier New"/>
        </w:rPr>
        <w:t>,</w:t>
      </w:r>
      <w:r w:rsidRPr="00E9210E">
        <w:rPr>
          <w:rStyle w:val="Corpsdutexte11NonItaliqueEspacement0pt"/>
          <w:rFonts w:eastAsia="Courier New"/>
          <w:i w:val="0"/>
          <w:iCs w:val="0"/>
          <w:sz w:val="28"/>
          <w:lang w:val="fr-CA"/>
        </w:rPr>
        <w:t xml:space="preserve"> </w:t>
      </w:r>
      <w:r w:rsidRPr="00E9210E">
        <w:rPr>
          <w:rStyle w:val="Corpsdutexte117ptGrasNonItaliqueEspacement0pt"/>
          <w:rFonts w:eastAsia="Courier New"/>
          <w:b w:val="0"/>
          <w:i w:val="0"/>
          <w:iCs w:val="0"/>
          <w:sz w:val="28"/>
          <w:lang w:val="fr-CA"/>
        </w:rPr>
        <w:t>dans</w:t>
      </w:r>
      <w:r w:rsidRPr="00E9210E">
        <w:rPr>
          <w:rStyle w:val="Corpsdutexte117ptGrasNonItaliqueEspacement0pt"/>
          <w:rFonts w:eastAsia="Courier New"/>
          <w:i w:val="0"/>
          <w:iCs w:val="0"/>
          <w:sz w:val="28"/>
          <w:lang w:val="fr-CA"/>
        </w:rPr>
        <w:t xml:space="preserve"> </w:t>
      </w:r>
      <w:r w:rsidRPr="00E9210E">
        <w:rPr>
          <w:rFonts w:eastAsia="Courier New"/>
          <w:i/>
        </w:rPr>
        <w:t>Bull. de la Société belge d’études géographiques</w:t>
      </w:r>
      <w:r w:rsidRPr="00E9210E">
        <w:rPr>
          <w:rFonts w:eastAsia="Courier New"/>
        </w:rPr>
        <w:t>,</w:t>
      </w:r>
      <w:r w:rsidRPr="00E9210E">
        <w:rPr>
          <w:rStyle w:val="Corpsdutexte11NonItaliqueEspacement0pt"/>
          <w:rFonts w:eastAsia="Courier New"/>
          <w:i w:val="0"/>
          <w:iCs w:val="0"/>
          <w:sz w:val="28"/>
          <w:lang w:val="fr-CA"/>
        </w:rPr>
        <w:t xml:space="preserve"> t. VI (1936), pp. 76-106), « A.H.S. », t. III (1941)</w:t>
      </w:r>
      <w:r w:rsidRPr="00E9210E">
        <w:t>, pp. 118-124.</w:t>
      </w:r>
    </w:p>
    <w:p w14:paraId="5D1A5935"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Paysages agraires du Nord. (Compte rendu : Fr. </w:t>
      </w:r>
      <w:r w:rsidRPr="00E9210E">
        <w:rPr>
          <w:rStyle w:val="Corpsdutexte117ptGrasNonItaliqueEspacement0pt"/>
          <w:rFonts w:eastAsia="Courier New"/>
          <w:b w:val="0"/>
          <w:i w:val="0"/>
          <w:iCs w:val="0"/>
          <w:smallCaps/>
          <w:sz w:val="28"/>
          <w:lang w:val="fr-CA"/>
        </w:rPr>
        <w:t>Mager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Entwi</w:t>
      </w:r>
      <w:r w:rsidRPr="00E9210E">
        <w:rPr>
          <w:rFonts w:eastAsia="Courier New"/>
          <w:i/>
        </w:rPr>
        <w:t>c</w:t>
      </w:r>
      <w:r w:rsidRPr="00E9210E">
        <w:rPr>
          <w:rFonts w:eastAsia="Courier New"/>
          <w:i/>
        </w:rPr>
        <w:t>klung der Kulturlandschaft des Herzogtums Schleswig in historischer Zeit,</w:t>
      </w:r>
      <w:r w:rsidRPr="00E9210E">
        <w:rPr>
          <w:rStyle w:val="Corpsdutexte11NonItaliqueEspacement0pt"/>
          <w:rFonts w:eastAsia="Courier New"/>
          <w:i w:val="0"/>
          <w:iCs w:val="0"/>
          <w:sz w:val="28"/>
          <w:lang w:val="fr-CA"/>
        </w:rPr>
        <w:t xml:space="preserve"> Bd. II, Kiel, 1937). — B. von </w:t>
      </w:r>
      <w:r w:rsidRPr="00E9210E">
        <w:rPr>
          <w:rStyle w:val="Corpsdutexte117ptGrasNonItaliqueEspacement0pt"/>
          <w:rFonts w:eastAsia="Courier New"/>
          <w:b w:val="0"/>
          <w:i w:val="0"/>
          <w:iCs w:val="0"/>
          <w:smallCaps/>
          <w:sz w:val="28"/>
          <w:lang w:val="fr-CA"/>
        </w:rPr>
        <w:t>Klinspor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Der Gang der ältesten Besiedlung Schwedens : eine geographisch-vorgeschichtliche Z</w:t>
      </w:r>
      <w:r w:rsidRPr="00E9210E">
        <w:rPr>
          <w:rFonts w:eastAsia="Courier New"/>
          <w:i/>
        </w:rPr>
        <w:t>u</w:t>
      </w:r>
      <w:r w:rsidRPr="00E9210E">
        <w:rPr>
          <w:rFonts w:eastAsia="Courier New"/>
          <w:i/>
        </w:rPr>
        <w:t>sammenstellung</w:t>
      </w:r>
      <w:r w:rsidRPr="00E9210E">
        <w:rPr>
          <w:rFonts w:eastAsia="Courier New"/>
        </w:rPr>
        <w:t>,</w:t>
      </w:r>
      <w:r w:rsidRPr="00E9210E">
        <w:rPr>
          <w:rStyle w:val="Corpsdutexte11NonItaliqueEspacement0pt"/>
          <w:rFonts w:eastAsia="Courier New"/>
          <w:i w:val="0"/>
          <w:iCs w:val="0"/>
          <w:sz w:val="28"/>
          <w:lang w:val="fr-CA"/>
        </w:rPr>
        <w:t xml:space="preserve"> Greifswald, 1934), « A.H.S. », t. III (1941), pp. 159-160.</w:t>
      </w:r>
    </w:p>
    <w:p w14:paraId="56DD1C6C" w14:textId="77777777" w:rsidR="00B9662D" w:rsidRPr="00E9210E" w:rsidRDefault="00B9662D" w:rsidP="00B9662D">
      <w:pPr>
        <w:spacing w:before="120" w:after="120"/>
        <w:jc w:val="both"/>
      </w:pPr>
      <w:r w:rsidRPr="00E9210E">
        <w:t xml:space="preserve">Nomadisme et vie sédentaire en Tunisie orientale. (Compte rendu : J. </w:t>
      </w:r>
      <w:r w:rsidRPr="00E9210E">
        <w:rPr>
          <w:rStyle w:val="Corpsdutexte27ptGras"/>
          <w:rFonts w:eastAsia="Courier New"/>
          <w:b w:val="0"/>
          <w:smallCaps/>
          <w:sz w:val="28"/>
        </w:rPr>
        <w:t>Despois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Tunisie orientale : Sahel et Basse Steppe. Étude gé</w:t>
      </w:r>
      <w:r w:rsidRPr="00E9210E">
        <w:rPr>
          <w:rFonts w:eastAsia="Courier New"/>
          <w:i/>
        </w:rPr>
        <w:t>o</w:t>
      </w:r>
      <w:r w:rsidRPr="00E9210E">
        <w:rPr>
          <w:rFonts w:eastAsia="Courier New"/>
          <w:i/>
        </w:rPr>
        <w:t>graph</w:t>
      </w:r>
      <w:r w:rsidRPr="00E9210E">
        <w:rPr>
          <w:rFonts w:eastAsia="Courier New"/>
          <w:i/>
        </w:rPr>
        <w:t>i</w:t>
      </w:r>
      <w:r w:rsidRPr="00E9210E">
        <w:rPr>
          <w:rFonts w:eastAsia="Courier New"/>
          <w:i/>
        </w:rPr>
        <w:t>que</w:t>
      </w:r>
      <w:r w:rsidRPr="00E9210E">
        <w:rPr>
          <w:rFonts w:eastAsia="Courier New"/>
        </w:rPr>
        <w:t>,</w:t>
      </w:r>
      <w:r w:rsidRPr="00E9210E">
        <w:t xml:space="preserve"> Paris, 1940), « A.H.S. », t. III (1941), pp. 162-166.</w:t>
      </w:r>
    </w:p>
    <w:p w14:paraId="7B9830B9" w14:textId="77777777" w:rsidR="00B9662D" w:rsidRPr="00E9210E" w:rsidRDefault="00B9662D" w:rsidP="00B9662D">
      <w:pPr>
        <w:spacing w:before="120" w:after="120"/>
        <w:jc w:val="both"/>
      </w:pPr>
      <w:r>
        <w:br w:type="page"/>
      </w:r>
      <w:r w:rsidRPr="00E9210E">
        <w:t>[1098]</w:t>
      </w:r>
    </w:p>
    <w:p w14:paraId="18923314" w14:textId="77777777" w:rsidR="00B9662D" w:rsidRPr="00E9210E" w:rsidRDefault="00B9662D" w:rsidP="00B9662D">
      <w:pPr>
        <w:spacing w:before="120" w:after="120"/>
        <w:jc w:val="both"/>
      </w:pPr>
      <w:r w:rsidRPr="00E9210E">
        <w:t xml:space="preserve">Des Hohenstaufen aux derniers Capétiens. (Comptes rendus : </w:t>
      </w:r>
      <w:r w:rsidRPr="00E9210E">
        <w:rPr>
          <w:rFonts w:eastAsia="Courier New"/>
          <w:i/>
        </w:rPr>
        <w:t>L’Allemagne et l’Italie aux</w:t>
      </w:r>
      <w:r w:rsidRPr="00E9210E">
        <w:rPr>
          <w:rFonts w:eastAsia="Courier New"/>
        </w:rPr>
        <w:t xml:space="preserve"> </w:t>
      </w:r>
      <w:r w:rsidRPr="00E9210E">
        <w:rPr>
          <w:rStyle w:val="Corpsdutexte2ItaliqueEspacement1pt"/>
          <w:rFonts w:eastAsia="Courier New"/>
          <w:sz w:val="28"/>
          <w:lang w:val="fr-CA"/>
        </w:rPr>
        <w:t>XII</w:t>
      </w:r>
      <w:r w:rsidRPr="00E9210E">
        <w:rPr>
          <w:rStyle w:val="Corpsdutexte2ItaliqueEspacement1pt"/>
          <w:rFonts w:eastAsia="Courier New"/>
          <w:sz w:val="28"/>
          <w:vertAlign w:val="superscript"/>
          <w:lang w:val="fr-CA"/>
        </w:rPr>
        <w:t>e</w:t>
      </w:r>
      <w:r w:rsidRPr="00E9210E">
        <w:rPr>
          <w:rStyle w:val="Corpsdutexte2ItaliqueEspacement1pt"/>
          <w:rFonts w:eastAsia="Courier New"/>
          <w:sz w:val="28"/>
          <w:lang w:val="fr-CA"/>
        </w:rPr>
        <w:t xml:space="preserve"> et XIII</w:t>
      </w:r>
      <w:r w:rsidRPr="00E9210E">
        <w:rPr>
          <w:rStyle w:val="Corpsdutexte2ItaliqueEspacement1pt"/>
          <w:rFonts w:eastAsia="Courier New"/>
          <w:sz w:val="28"/>
          <w:vertAlign w:val="superscript"/>
          <w:lang w:val="fr-CA"/>
        </w:rPr>
        <w:t>e</w:t>
      </w:r>
      <w:r w:rsidRPr="00E9210E">
        <w:rPr>
          <w:rFonts w:eastAsia="Courier New"/>
        </w:rPr>
        <w:t xml:space="preserve"> </w:t>
      </w:r>
      <w:r w:rsidRPr="00E9210E">
        <w:rPr>
          <w:rFonts w:eastAsia="Courier New"/>
          <w:i/>
        </w:rPr>
        <w:t>siècles</w:t>
      </w:r>
      <w:r w:rsidRPr="00E9210E">
        <w:rPr>
          <w:rFonts w:eastAsia="Courier New"/>
        </w:rPr>
        <w:t>,</w:t>
      </w:r>
      <w:r w:rsidRPr="00E9210E">
        <w:t xml:space="preserve"> Paris, 1940. — </w:t>
      </w:r>
      <w:r w:rsidRPr="00E9210E">
        <w:rPr>
          <w:rFonts w:eastAsia="Courier New"/>
          <w:i/>
        </w:rPr>
        <w:t>L’Europe occidentale de</w:t>
      </w:r>
      <w:r w:rsidRPr="00E9210E">
        <w:rPr>
          <w:rFonts w:eastAsia="Courier New"/>
        </w:rPr>
        <w:t xml:space="preserve"> </w:t>
      </w:r>
      <w:r w:rsidRPr="00E9210E">
        <w:rPr>
          <w:rStyle w:val="Corpsdutexte28ptItalique"/>
          <w:rFonts w:eastAsia="Courier New"/>
          <w:sz w:val="28"/>
        </w:rPr>
        <w:t xml:space="preserve">1270 à 1380, </w:t>
      </w:r>
      <w:r w:rsidRPr="00E9210E">
        <w:t>I</w:t>
      </w:r>
      <w:r w:rsidRPr="00E9210E">
        <w:rPr>
          <w:vertAlign w:val="superscript"/>
        </w:rPr>
        <w:t>re</w:t>
      </w:r>
      <w:r w:rsidRPr="00E9210E">
        <w:t xml:space="preserve"> partie : </w:t>
      </w:r>
      <w:r w:rsidRPr="00E9210E">
        <w:rPr>
          <w:rFonts w:eastAsia="Courier New"/>
          <w:i/>
        </w:rPr>
        <w:t>de</w:t>
      </w:r>
      <w:r w:rsidRPr="00E9210E">
        <w:rPr>
          <w:rFonts w:eastAsia="Courier New"/>
        </w:rPr>
        <w:t xml:space="preserve"> </w:t>
      </w:r>
      <w:r w:rsidRPr="00E9210E">
        <w:rPr>
          <w:rStyle w:val="Corpsdutexte28ptItalique"/>
          <w:rFonts w:eastAsia="Courier New"/>
          <w:sz w:val="28"/>
        </w:rPr>
        <w:t>1270 à 1328</w:t>
      </w:r>
      <w:r w:rsidRPr="00E9210E">
        <w:rPr>
          <w:rFonts w:eastAsia="Courier New"/>
        </w:rPr>
        <w:t>,</w:t>
      </w:r>
      <w:r w:rsidRPr="00E9210E">
        <w:t xml:space="preserve"> P</w:t>
      </w:r>
      <w:r w:rsidRPr="00E9210E">
        <w:t>a</w:t>
      </w:r>
      <w:r w:rsidRPr="00E9210E">
        <w:t xml:space="preserve">ris, 1940, </w:t>
      </w:r>
      <w:r w:rsidRPr="00E9210E">
        <w:rPr>
          <w:i/>
        </w:rPr>
        <w:t xml:space="preserve">Coll. </w:t>
      </w:r>
      <w:r w:rsidRPr="00E9210E">
        <w:rPr>
          <w:rFonts w:eastAsia="Courier New"/>
          <w:i/>
        </w:rPr>
        <w:t>Hist. générale</w:t>
      </w:r>
      <w:r w:rsidRPr="00E9210E">
        <w:rPr>
          <w:rFonts w:eastAsia="Courier New"/>
        </w:rPr>
        <w:t>,</w:t>
      </w:r>
      <w:r w:rsidRPr="00E9210E">
        <w:t xml:space="preserve"> sous la dir. de G. </w:t>
      </w:r>
      <w:r w:rsidRPr="00E9210E">
        <w:rPr>
          <w:rStyle w:val="Corpsdutexte27ptGras"/>
          <w:rFonts w:eastAsia="Courier New"/>
          <w:b w:val="0"/>
          <w:smallCaps/>
          <w:sz w:val="28"/>
        </w:rPr>
        <w:t>Glotz</w:t>
      </w:r>
      <w:r w:rsidRPr="00E9210E">
        <w:rPr>
          <w:rStyle w:val="Corpsdutexte27ptGras"/>
          <w:rFonts w:eastAsia="Courier New"/>
          <w:b w:val="0"/>
          <w:sz w:val="28"/>
        </w:rPr>
        <w:t>,</w:t>
      </w:r>
      <w:r w:rsidRPr="00E9210E">
        <w:rPr>
          <w:rStyle w:val="Corpsdutexte27ptGras"/>
          <w:rFonts w:eastAsia="Courier New"/>
          <w:sz w:val="28"/>
        </w:rPr>
        <w:t xml:space="preserve"> </w:t>
      </w:r>
      <w:r w:rsidRPr="00E9210E">
        <w:t>t. IV, 1 et t. VI,1), « A.H.S. », t. III (1941), pp. 174-175.</w:t>
      </w:r>
    </w:p>
    <w:p w14:paraId="3BBE4222" w14:textId="77777777" w:rsidR="00B9662D" w:rsidRPr="00E9210E" w:rsidRDefault="00B9662D" w:rsidP="00B9662D">
      <w:pPr>
        <w:spacing w:before="120" w:after="120"/>
        <w:jc w:val="both"/>
      </w:pPr>
      <w:r w:rsidRPr="00E9210E">
        <w:t xml:space="preserve">Compte rendu : P. </w:t>
      </w:r>
      <w:r w:rsidRPr="00E9210E">
        <w:rPr>
          <w:rStyle w:val="Corpsdutexte27ptGras"/>
          <w:rFonts w:eastAsia="Courier New"/>
          <w:b w:val="0"/>
          <w:smallCaps/>
          <w:sz w:val="28"/>
        </w:rPr>
        <w:t>Muret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La prépondérance anglaise (1715-1763),</w:t>
      </w:r>
      <w:r w:rsidRPr="00E9210E">
        <w:rPr>
          <w:rStyle w:val="Corpsdutexte28ptGrasEspacement1ptchelle120"/>
          <w:rFonts w:eastAsia="Courier New"/>
          <w:sz w:val="28"/>
        </w:rPr>
        <w:t xml:space="preserve"> </w:t>
      </w:r>
      <w:r w:rsidRPr="00E9210E">
        <w:t xml:space="preserve">avec la collab. de Ph. </w:t>
      </w:r>
      <w:r w:rsidRPr="00E9210E">
        <w:rPr>
          <w:rStyle w:val="Corpsdutexte27ptGras"/>
          <w:rFonts w:eastAsia="Courier New"/>
          <w:b w:val="0"/>
          <w:smallCaps/>
          <w:sz w:val="28"/>
        </w:rPr>
        <w:t>Sagnac</w:t>
      </w:r>
      <w:r w:rsidRPr="00E9210E">
        <w:rPr>
          <w:rStyle w:val="Corpsdutexte27ptGras"/>
          <w:rFonts w:eastAsia="Courier New"/>
          <w:b w:val="0"/>
          <w:sz w:val="28"/>
        </w:rPr>
        <w:t>,</w:t>
      </w:r>
      <w:r w:rsidRPr="00E9210E">
        <w:rPr>
          <w:rStyle w:val="Corpsdutexte27ptGras"/>
          <w:rFonts w:eastAsia="Courier New"/>
          <w:sz w:val="28"/>
        </w:rPr>
        <w:t xml:space="preserve"> </w:t>
      </w:r>
      <w:r w:rsidRPr="00E9210E">
        <w:t xml:space="preserve">Paris, 1937 </w:t>
      </w:r>
      <w:r w:rsidRPr="00E9210E">
        <w:rPr>
          <w:rStyle w:val="Corpsdutexte28ptItalique"/>
          <w:rFonts w:eastAsia="Courier New"/>
          <w:sz w:val="28"/>
        </w:rPr>
        <w:t>(Peuples et Civil</w:t>
      </w:r>
      <w:r w:rsidRPr="00E9210E">
        <w:rPr>
          <w:rStyle w:val="Corpsdutexte28ptItalique"/>
          <w:rFonts w:eastAsia="Courier New"/>
          <w:sz w:val="28"/>
        </w:rPr>
        <w:t>i</w:t>
      </w:r>
      <w:r w:rsidRPr="00E9210E">
        <w:rPr>
          <w:rStyle w:val="Corpsdutexte28ptItalique"/>
          <w:rFonts w:eastAsia="Courier New"/>
          <w:sz w:val="28"/>
        </w:rPr>
        <w:t>sations,</w:t>
      </w:r>
      <w:r w:rsidRPr="00E9210E">
        <w:rPr>
          <w:rStyle w:val="Corpsdutexte28ptGrasEspacement1ptchelle120"/>
          <w:rFonts w:eastAsia="Courier New"/>
          <w:sz w:val="28"/>
        </w:rPr>
        <w:t xml:space="preserve"> </w:t>
      </w:r>
      <w:r w:rsidRPr="00E9210E">
        <w:t>t. XI), « A.H.S. », t. III (1941), p. 175.</w:t>
      </w:r>
    </w:p>
    <w:p w14:paraId="0CFBF137" w14:textId="77777777" w:rsidR="00B9662D" w:rsidRPr="00E9210E" w:rsidRDefault="00B9662D" w:rsidP="00B9662D">
      <w:pPr>
        <w:spacing w:before="120" w:after="120"/>
        <w:jc w:val="both"/>
      </w:pPr>
      <w:r w:rsidRPr="00E9210E">
        <w:t xml:space="preserve">Compte rendu : L. </w:t>
      </w:r>
      <w:r w:rsidRPr="00E9210E">
        <w:rPr>
          <w:rStyle w:val="Corpsdutexte27ptGras"/>
          <w:rFonts w:eastAsia="Courier New"/>
          <w:b w:val="0"/>
          <w:smallCaps/>
          <w:sz w:val="28"/>
        </w:rPr>
        <w:t>Halphen</w:t>
      </w:r>
      <w:r w:rsidRPr="00E9210E">
        <w:rPr>
          <w:rStyle w:val="Corpsdutexte27ptGras"/>
          <w:rFonts w:eastAsia="Courier New"/>
          <w:sz w:val="28"/>
        </w:rPr>
        <w:t xml:space="preserve"> </w:t>
      </w:r>
      <w:r w:rsidRPr="00E9210E">
        <w:t xml:space="preserve">et J. </w:t>
      </w:r>
      <w:r w:rsidRPr="00E9210E">
        <w:rPr>
          <w:rStyle w:val="Corpsdutexte27ptGras"/>
          <w:rFonts w:eastAsia="Courier New"/>
          <w:b w:val="0"/>
          <w:smallCaps/>
          <w:sz w:val="28"/>
        </w:rPr>
        <w:t>Berthold-Mann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L’initiation aux études d’histoire médiévale,</w:t>
      </w:r>
      <w:r w:rsidRPr="00E9210E">
        <w:rPr>
          <w:rStyle w:val="Corpsdutexte28ptGrasEspacement1ptchelle120"/>
          <w:rFonts w:eastAsia="Courier New"/>
          <w:sz w:val="28"/>
        </w:rPr>
        <w:t xml:space="preserve"> </w:t>
      </w:r>
      <w:r w:rsidRPr="00E9210E">
        <w:t>Paris, 1940, « A.H.S. », t. III (1941), p. 177.</w:t>
      </w:r>
    </w:p>
    <w:p w14:paraId="38617CCF" w14:textId="77777777" w:rsidR="00B9662D" w:rsidRPr="00E9210E" w:rsidRDefault="00B9662D" w:rsidP="00B9662D">
      <w:pPr>
        <w:spacing w:before="120" w:after="120"/>
        <w:jc w:val="both"/>
      </w:pPr>
      <w:r w:rsidRPr="00E9210E">
        <w:t>La société villageoise : problèmes de classe. (Compte rendu : P. </w:t>
      </w:r>
      <w:r w:rsidRPr="00E9210E">
        <w:rPr>
          <w:rStyle w:val="Corpsdutexte27ptGras"/>
          <w:rFonts w:eastAsia="Courier New"/>
          <w:b w:val="0"/>
          <w:smallCaps/>
          <w:sz w:val="28"/>
        </w:rPr>
        <w:t>Recht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Quelques aperçus sur les classes rurales du Namurois à la fin du XVIII</w:t>
      </w:r>
      <w:r w:rsidRPr="00E9210E">
        <w:rPr>
          <w:rStyle w:val="Corpsdutexte28ptItalique"/>
          <w:rFonts w:eastAsia="Courier New"/>
          <w:sz w:val="28"/>
          <w:vertAlign w:val="superscript"/>
        </w:rPr>
        <w:t>e</w:t>
      </w:r>
      <w:r w:rsidRPr="00E9210E">
        <w:rPr>
          <w:rStyle w:val="Corpsdutexte28ptItalique"/>
          <w:rFonts w:eastAsia="Courier New"/>
          <w:sz w:val="28"/>
        </w:rPr>
        <w:t xml:space="preserve"> s.,</w:t>
      </w:r>
      <w:r w:rsidRPr="00E9210E">
        <w:rPr>
          <w:rStyle w:val="Corpsdutexte28ptGrasEspacement1ptchelle120"/>
          <w:rFonts w:eastAsia="Courier New"/>
          <w:sz w:val="28"/>
        </w:rPr>
        <w:t xml:space="preserve"> </w:t>
      </w:r>
      <w:r w:rsidRPr="00E9210E">
        <w:t xml:space="preserve">extr. des </w:t>
      </w:r>
      <w:r w:rsidRPr="00E9210E">
        <w:rPr>
          <w:rStyle w:val="Corpsdutexte28ptItalique"/>
          <w:rFonts w:eastAsia="Courier New"/>
          <w:sz w:val="28"/>
        </w:rPr>
        <w:t>Ann. de la Société archéologique de Namur</w:t>
      </w:r>
      <w:r w:rsidRPr="00E9210E">
        <w:rPr>
          <w:rFonts w:eastAsia="Courier New"/>
        </w:rPr>
        <w:t>,</w:t>
      </w:r>
      <w:r w:rsidRPr="00E9210E">
        <w:t xml:space="preserve"> t. XLII (1938)), « A.H.S. », t. III (1941), pp. 181-182.</w:t>
      </w:r>
    </w:p>
    <w:p w14:paraId="0EFDE306"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Seigneuries, villages, petites villes. (Comptes rendus : R. </w:t>
      </w:r>
      <w:r w:rsidRPr="00E9210E">
        <w:rPr>
          <w:rStyle w:val="Corpsdutexte11NonItaliqueEspacement0pt"/>
          <w:rFonts w:eastAsia="Courier New"/>
          <w:i w:val="0"/>
          <w:iCs w:val="0"/>
          <w:smallCaps/>
          <w:sz w:val="28"/>
          <w:lang w:val="fr-CA"/>
        </w:rPr>
        <w:t>Louis</w:t>
      </w:r>
      <w:r w:rsidRPr="00E9210E">
        <w:rPr>
          <w:rStyle w:val="Corpsdutexte11NonItaliqueEspacement0pt"/>
          <w:rFonts w:eastAsia="Courier New"/>
          <w:i w:val="0"/>
          <w:iCs w:val="0"/>
          <w:sz w:val="28"/>
          <w:lang w:val="fr-CA"/>
        </w:rPr>
        <w:t xml:space="preserve"> et Ch. </w:t>
      </w:r>
      <w:r w:rsidRPr="00E9210E">
        <w:rPr>
          <w:rStyle w:val="Corpsdutexte117ptGrasNonItaliqueEspacement0pt"/>
          <w:rFonts w:eastAsia="Courier New"/>
          <w:b w:val="0"/>
          <w:i w:val="0"/>
          <w:iCs w:val="0"/>
          <w:sz w:val="28"/>
          <w:lang w:val="fr-CA"/>
        </w:rPr>
        <w:t>Porée,</w:t>
      </w:r>
      <w:r w:rsidRPr="00E9210E">
        <w:rPr>
          <w:rStyle w:val="Corpsdutexte117ptGrasNonItaliqueEspacement0pt"/>
          <w:rFonts w:eastAsia="Courier New"/>
          <w:i w:val="0"/>
          <w:iCs w:val="0"/>
          <w:sz w:val="28"/>
          <w:lang w:val="fr-CA"/>
        </w:rPr>
        <w:t xml:space="preserve"> </w:t>
      </w:r>
      <w:r w:rsidRPr="00E9210E">
        <w:rPr>
          <w:rFonts w:eastAsia="Courier New"/>
          <w:i/>
        </w:rPr>
        <w:t>Le domaine de Régennes et Appoigny : histoire d’une se</w:t>
      </w:r>
      <w:r w:rsidRPr="00E9210E">
        <w:rPr>
          <w:rFonts w:eastAsia="Courier New"/>
          <w:i/>
        </w:rPr>
        <w:t>i</w:t>
      </w:r>
      <w:r w:rsidRPr="00E9210E">
        <w:rPr>
          <w:rFonts w:eastAsia="Courier New"/>
          <w:i/>
        </w:rPr>
        <w:t>gneurie des évêques d’Auxerre du V</w:t>
      </w:r>
      <w:r w:rsidRPr="00E9210E">
        <w:rPr>
          <w:rFonts w:eastAsia="Courier New"/>
          <w:i/>
          <w:vertAlign w:val="superscript"/>
        </w:rPr>
        <w:t>e</w:t>
      </w:r>
      <w:r w:rsidRPr="00E9210E">
        <w:rPr>
          <w:rFonts w:eastAsia="Courier New"/>
          <w:i/>
        </w:rPr>
        <w:t xml:space="preserve"> siècle à la Révolution</w:t>
      </w:r>
      <w:r w:rsidRPr="00E9210E">
        <w:rPr>
          <w:rFonts w:eastAsia="Courier New"/>
        </w:rPr>
        <w:t>,</w:t>
      </w:r>
      <w:r w:rsidRPr="00E9210E">
        <w:rPr>
          <w:rStyle w:val="Corpsdutexte11NonItaliqueEspacement0pt"/>
          <w:rFonts w:eastAsia="Courier New"/>
          <w:i w:val="0"/>
          <w:iCs w:val="0"/>
          <w:sz w:val="28"/>
          <w:lang w:val="fr-CA"/>
        </w:rPr>
        <w:t xml:space="preserve"> Paris, </w:t>
      </w:r>
      <w:r w:rsidRPr="00E9210E">
        <w:rPr>
          <w:rStyle w:val="Corpsdutexte117ptGrasNonItaliqueEspacement0pt"/>
          <w:rFonts w:eastAsia="Courier New"/>
          <w:b w:val="0"/>
          <w:i w:val="0"/>
          <w:iCs w:val="0"/>
          <w:sz w:val="28"/>
          <w:lang w:val="fr-CA"/>
        </w:rPr>
        <w:t>1939.</w:t>
      </w:r>
      <w:r w:rsidRPr="00E9210E">
        <w:rPr>
          <w:rStyle w:val="Corpsdutexte117ptGrasNonItaliqueEspacement0pt"/>
          <w:rFonts w:eastAsia="Courier New"/>
          <w:i w:val="0"/>
          <w:iCs w:val="0"/>
          <w:sz w:val="28"/>
          <w:lang w:val="fr-CA"/>
        </w:rPr>
        <w:t> — </w:t>
      </w:r>
      <w:r w:rsidRPr="00E9210E">
        <w:rPr>
          <w:rStyle w:val="Corpsdutexte11NonItaliqueEspacement0pt"/>
          <w:rFonts w:eastAsia="Courier New"/>
          <w:i w:val="0"/>
          <w:iCs w:val="0"/>
          <w:sz w:val="28"/>
          <w:lang w:val="fr-CA"/>
        </w:rPr>
        <w:t xml:space="preserve">J. </w:t>
      </w:r>
      <w:r w:rsidRPr="00E9210E">
        <w:rPr>
          <w:rStyle w:val="Corpsdutexte117ptGrasNonItaliqueEspacement0pt"/>
          <w:rFonts w:eastAsia="Courier New"/>
          <w:b w:val="0"/>
          <w:i w:val="0"/>
          <w:iCs w:val="0"/>
          <w:smallCaps/>
          <w:sz w:val="28"/>
          <w:lang w:val="fr-CA"/>
        </w:rPr>
        <w:t>Fichefet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Histoire de Jemeppe-sur-Sambre et Froidmont</w:t>
      </w:r>
      <w:r w:rsidRPr="00E9210E">
        <w:rPr>
          <w:rFonts w:eastAsia="Courier New"/>
        </w:rPr>
        <w:t>,</w:t>
      </w:r>
      <w:r w:rsidRPr="00E9210E">
        <w:rPr>
          <w:rStyle w:val="Corpsdutexte11NonItaliqueEspacement0pt"/>
          <w:rFonts w:eastAsia="Courier New"/>
          <w:i w:val="0"/>
          <w:iCs w:val="0"/>
          <w:sz w:val="28"/>
          <w:lang w:val="fr-CA"/>
        </w:rPr>
        <w:t xml:space="preserve"> Jemeppe, </w:t>
      </w:r>
      <w:r w:rsidRPr="00E9210E">
        <w:rPr>
          <w:rStyle w:val="Corpsdutexte117ptGrasNonItaliqueEspacement0pt"/>
          <w:rFonts w:eastAsia="Courier New"/>
          <w:b w:val="0"/>
          <w:i w:val="0"/>
          <w:iCs w:val="0"/>
          <w:sz w:val="28"/>
          <w:lang w:val="fr-CA"/>
        </w:rPr>
        <w:t>1938.</w:t>
      </w:r>
      <w:r w:rsidRPr="00E9210E">
        <w:rPr>
          <w:rStyle w:val="Corpsdutexte117ptGrasNonItaliqueEspacement0pt"/>
          <w:rFonts w:eastAsia="Courier New"/>
          <w:i w:val="0"/>
          <w:iCs w:val="0"/>
          <w:sz w:val="28"/>
          <w:lang w:val="fr-CA"/>
        </w:rPr>
        <w:t> — </w:t>
      </w:r>
      <w:r w:rsidRPr="00E9210E">
        <w:rPr>
          <w:rStyle w:val="Corpsdutexte11NonItaliqueEspacement0pt"/>
          <w:rFonts w:eastAsia="Courier New"/>
          <w:i w:val="0"/>
          <w:iCs w:val="0"/>
          <w:sz w:val="28"/>
          <w:lang w:val="fr-CA"/>
        </w:rPr>
        <w:t xml:space="preserve">J. </w:t>
      </w:r>
      <w:r w:rsidRPr="00E9210E">
        <w:rPr>
          <w:rStyle w:val="Corpsdutexte117ptGrasNonItaliqueEspacement0pt"/>
          <w:rFonts w:eastAsia="Courier New"/>
          <w:b w:val="0"/>
          <w:i w:val="0"/>
          <w:iCs w:val="0"/>
          <w:smallCaps/>
          <w:sz w:val="28"/>
          <w:lang w:val="fr-CA"/>
        </w:rPr>
        <w:t>Quercy</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Un village français et son évolution : 1900-1935</w:t>
      </w:r>
      <w:r w:rsidRPr="00E9210E">
        <w:rPr>
          <w:rFonts w:eastAsia="Courier New"/>
        </w:rPr>
        <w:t>,</w:t>
      </w:r>
      <w:r w:rsidRPr="00E9210E">
        <w:rPr>
          <w:rStyle w:val="Corpsdutexte11NonItaliqueEspacement0pt"/>
          <w:rFonts w:eastAsia="Courier New"/>
          <w:i w:val="0"/>
          <w:iCs w:val="0"/>
          <w:sz w:val="28"/>
          <w:lang w:val="fr-CA"/>
        </w:rPr>
        <w:t xml:space="preserve"> Paris, </w:t>
      </w:r>
      <w:r w:rsidRPr="00E9210E">
        <w:rPr>
          <w:rStyle w:val="Corpsdutexte117ptGrasNonItaliqueEspacement0pt"/>
          <w:rFonts w:eastAsia="Courier New"/>
          <w:b w:val="0"/>
          <w:i w:val="0"/>
          <w:iCs w:val="0"/>
          <w:sz w:val="28"/>
          <w:lang w:val="fr-CA"/>
        </w:rPr>
        <w:t>1936.</w:t>
      </w:r>
      <w:r w:rsidRPr="00E9210E">
        <w:rPr>
          <w:rStyle w:val="Corpsdutexte117ptGrasNonItaliqueEspacement0pt"/>
          <w:rFonts w:eastAsia="Courier New"/>
          <w:i w:val="0"/>
          <w:iCs w:val="0"/>
          <w:sz w:val="28"/>
          <w:lang w:val="fr-CA"/>
        </w:rPr>
        <w:t> — </w:t>
      </w:r>
      <w:r w:rsidRPr="00E9210E">
        <w:rPr>
          <w:rStyle w:val="Corpsdutexte117ptNonItaliqueEspacement0pt"/>
          <w:rFonts w:eastAsia="Courier New"/>
          <w:i w:val="0"/>
          <w:iCs w:val="0"/>
          <w:sz w:val="28"/>
          <w:lang w:val="fr-CA"/>
        </w:rPr>
        <w:t xml:space="preserve">Abbé A. </w:t>
      </w:r>
      <w:r w:rsidRPr="00E9210E">
        <w:rPr>
          <w:rStyle w:val="Corpsdutexte117ptGrasNonItaliqueEspacement0pt"/>
          <w:rFonts w:eastAsia="Courier New"/>
          <w:b w:val="0"/>
          <w:i w:val="0"/>
          <w:iCs w:val="0"/>
          <w:smallCaps/>
          <w:sz w:val="28"/>
          <w:lang w:val="fr-CA"/>
        </w:rPr>
        <w:t>Jarry</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Travaux sur l’histoire de la ville bretonne d’Antrain</w:t>
      </w:r>
      <w:r w:rsidRPr="00E9210E">
        <w:rPr>
          <w:rFonts w:eastAsia="Courier New"/>
        </w:rPr>
        <w:t>,</w:t>
      </w:r>
      <w:r w:rsidRPr="00E9210E">
        <w:rPr>
          <w:rStyle w:val="Corpsdutexte11NonItaliqueEspacement0pt"/>
          <w:rFonts w:eastAsia="Courier New"/>
          <w:i w:val="0"/>
          <w:iCs w:val="0"/>
          <w:sz w:val="28"/>
          <w:lang w:val="fr-CA"/>
        </w:rPr>
        <w:t xml:space="preserve"> parus à Fougères de </w:t>
      </w:r>
      <w:r w:rsidRPr="00E9210E">
        <w:rPr>
          <w:rStyle w:val="Corpsdutexte117ptGrasNonItaliqueEspacement0pt"/>
          <w:rFonts w:eastAsia="Courier New"/>
          <w:b w:val="0"/>
          <w:i w:val="0"/>
          <w:iCs w:val="0"/>
          <w:sz w:val="28"/>
          <w:lang w:val="fr-CA"/>
        </w:rPr>
        <w:t>1934</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à </w:t>
      </w:r>
      <w:r w:rsidRPr="00E9210E">
        <w:rPr>
          <w:rStyle w:val="Corpsdutexte117ptGrasNonItaliqueEspacement0pt"/>
          <w:rFonts w:eastAsia="Courier New"/>
          <w:b w:val="0"/>
          <w:i w:val="0"/>
          <w:iCs w:val="0"/>
          <w:sz w:val="28"/>
          <w:lang w:val="fr-CA"/>
        </w:rPr>
        <w:t>1938.</w:t>
      </w:r>
      <w:r w:rsidRPr="00E9210E">
        <w:rPr>
          <w:rStyle w:val="Corpsdutexte117ptGrasNonItaliqueEspacement0pt"/>
          <w:rFonts w:eastAsia="Courier New"/>
          <w:i w:val="0"/>
          <w:iCs w:val="0"/>
          <w:sz w:val="28"/>
          <w:lang w:val="fr-CA"/>
        </w:rPr>
        <w:t> — </w:t>
      </w:r>
      <w:r w:rsidRPr="00E9210E">
        <w:rPr>
          <w:rStyle w:val="Corpsdutexte11NonItaliqueEspacement0pt"/>
          <w:rFonts w:eastAsia="Courier New"/>
          <w:i w:val="0"/>
          <w:iCs w:val="0"/>
          <w:sz w:val="28"/>
          <w:lang w:val="fr-CA"/>
        </w:rPr>
        <w:t xml:space="preserve">J. </w:t>
      </w:r>
      <w:r w:rsidRPr="00E9210E">
        <w:rPr>
          <w:rStyle w:val="Corpsdutexte117ptNonItaliqueEspacement0pt"/>
          <w:rFonts w:eastAsia="Courier New"/>
          <w:i w:val="0"/>
          <w:iCs w:val="0"/>
          <w:sz w:val="28"/>
          <w:lang w:val="fr-CA"/>
        </w:rPr>
        <w:t xml:space="preserve">A. </w:t>
      </w:r>
      <w:r w:rsidRPr="00E9210E">
        <w:rPr>
          <w:rStyle w:val="Corpsdutexte117ptGrasNonItaliqueEspacement0pt"/>
          <w:rFonts w:eastAsia="Courier New"/>
          <w:b w:val="0"/>
          <w:i w:val="0"/>
          <w:iCs w:val="0"/>
          <w:smallCaps/>
          <w:sz w:val="28"/>
          <w:lang w:val="fr-CA"/>
        </w:rPr>
        <w:t>Durbec</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Monographie de Biot : Histoire et géographie humaine</w:t>
      </w:r>
      <w:r w:rsidRPr="00E9210E">
        <w:rPr>
          <w:rFonts w:eastAsia="Courier New"/>
        </w:rPr>
        <w:t>,</w:t>
      </w:r>
      <w:r w:rsidRPr="00E9210E">
        <w:rPr>
          <w:rStyle w:val="Corpsdutexte11NonItaliqueEspacement0pt"/>
          <w:rFonts w:eastAsia="Courier New"/>
          <w:i w:val="0"/>
          <w:iCs w:val="0"/>
          <w:sz w:val="28"/>
          <w:lang w:val="fr-CA"/>
        </w:rPr>
        <w:t xml:space="preserve"> </w:t>
      </w:r>
      <w:r w:rsidRPr="00E9210E">
        <w:rPr>
          <w:rStyle w:val="Corpsdutexte117ptGrasNonItaliqueEspacement0pt"/>
          <w:rFonts w:eastAsia="Courier New"/>
          <w:b w:val="0"/>
          <w:i w:val="0"/>
          <w:iCs w:val="0"/>
          <w:sz w:val="28"/>
          <w:lang w:val="fr-CA"/>
        </w:rPr>
        <w:t>2 </w:t>
      </w:r>
      <w:r w:rsidRPr="00E9210E">
        <w:rPr>
          <w:rStyle w:val="Corpsdutexte11NonItaliqueEspacement0pt"/>
          <w:rFonts w:eastAsia="Courier New"/>
          <w:i w:val="0"/>
          <w:iCs w:val="0"/>
          <w:sz w:val="28"/>
          <w:lang w:val="fr-CA"/>
        </w:rPr>
        <w:t xml:space="preserve">fasc., extr. des </w:t>
      </w:r>
      <w:r w:rsidRPr="00E9210E">
        <w:rPr>
          <w:rFonts w:eastAsia="Courier New"/>
          <w:i/>
        </w:rPr>
        <w:t>Annales de la Société scientifique et littéraire de Cannes et de l’arrondissement de Grasse</w:t>
      </w:r>
      <w:r w:rsidRPr="00E9210E">
        <w:rPr>
          <w:rFonts w:eastAsia="Courier New"/>
        </w:rPr>
        <w:t xml:space="preserve">, </w:t>
      </w:r>
      <w:r w:rsidRPr="00E9210E">
        <w:rPr>
          <w:rStyle w:val="Corpsdutexte11NonItaliqueEspacement0pt"/>
          <w:rFonts w:eastAsia="Courier New"/>
          <w:i w:val="0"/>
          <w:iCs w:val="0"/>
          <w:sz w:val="28"/>
          <w:lang w:val="fr-CA"/>
        </w:rPr>
        <w:t xml:space="preserve">t. VII </w:t>
      </w:r>
      <w:r w:rsidRPr="00E9210E">
        <w:rPr>
          <w:rStyle w:val="Corpsdutexte117ptGrasNonItaliqueEspacement0pt"/>
          <w:rFonts w:eastAsia="Courier New"/>
          <w:b w:val="0"/>
          <w:i w:val="0"/>
          <w:iCs w:val="0"/>
          <w:sz w:val="28"/>
          <w:lang w:val="fr-CA"/>
        </w:rPr>
        <w:t>(1935),</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et t. VIII), « A.H.S. », t. III </w:t>
      </w:r>
      <w:r w:rsidRPr="00E9210E">
        <w:rPr>
          <w:rStyle w:val="Corpsdutexte117ptGrasNonItaliqueEspacement0pt"/>
          <w:rFonts w:eastAsia="Courier New"/>
          <w:b w:val="0"/>
          <w:i w:val="0"/>
          <w:iCs w:val="0"/>
          <w:sz w:val="28"/>
          <w:lang w:val="fr-CA"/>
        </w:rPr>
        <w:t>(1941),</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pp. </w:t>
      </w:r>
      <w:r w:rsidRPr="00E9210E">
        <w:rPr>
          <w:rStyle w:val="Corpsdutexte117ptGrasNonItaliqueEspacement0pt"/>
          <w:rFonts w:eastAsia="Courier New"/>
          <w:b w:val="0"/>
          <w:i w:val="0"/>
          <w:iCs w:val="0"/>
          <w:sz w:val="28"/>
          <w:lang w:val="fr-CA"/>
        </w:rPr>
        <w:t>182-184.</w:t>
      </w:r>
    </w:p>
    <w:p w14:paraId="3CFB1E25"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w:t>
      </w:r>
      <w:r w:rsidRPr="00E9210E">
        <w:rPr>
          <w:rStyle w:val="Corpsdutexte37ptGrasNonItalique"/>
          <w:rFonts w:eastAsia="Courier New"/>
          <w:b w:val="0"/>
          <w:i w:val="0"/>
          <w:iCs w:val="0"/>
          <w:sz w:val="28"/>
        </w:rPr>
        <w:t>rendu :</w:t>
      </w:r>
      <w:r w:rsidRPr="00E9210E">
        <w:rPr>
          <w:rStyle w:val="Corpsdutexte385ptNonItalique"/>
          <w:rFonts w:eastAsia="Courier New"/>
          <w:i w:val="0"/>
          <w:iCs w:val="0"/>
          <w:sz w:val="28"/>
        </w:rPr>
        <w:t xml:space="preserve"> P. </w:t>
      </w:r>
      <w:r w:rsidRPr="00E9210E">
        <w:rPr>
          <w:rStyle w:val="Corpsdutexte37ptGrasNonItalique"/>
          <w:rFonts w:eastAsia="Courier New"/>
          <w:b w:val="0"/>
          <w:i w:val="0"/>
          <w:iCs w:val="0"/>
          <w:sz w:val="28"/>
        </w:rPr>
        <w:t xml:space="preserve">de </w:t>
      </w:r>
      <w:r w:rsidRPr="00E9210E">
        <w:rPr>
          <w:rStyle w:val="Corpsdutexte37ptGrasNonItalique"/>
          <w:rFonts w:eastAsia="Courier New"/>
          <w:b w:val="0"/>
          <w:i w:val="0"/>
          <w:iCs w:val="0"/>
          <w:smallCaps/>
          <w:sz w:val="28"/>
        </w:rPr>
        <w:t>Saint-Jacob</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Études sur l’ancienne co</w:t>
      </w:r>
      <w:r w:rsidRPr="00E9210E">
        <w:rPr>
          <w:i/>
        </w:rPr>
        <w:t>m</w:t>
      </w:r>
      <w:r w:rsidRPr="00E9210E">
        <w:rPr>
          <w:i/>
        </w:rPr>
        <w:t>munauté rurale en Bourgogne</w:t>
      </w:r>
      <w:r w:rsidRPr="00E9210E">
        <w:t>,</w:t>
      </w:r>
      <w:r w:rsidRPr="00E9210E">
        <w:rPr>
          <w:rStyle w:val="Corpsdutexte3GrasNonItaliqueEspacement1ptchelle120"/>
          <w:rFonts w:eastAsia="Courier New"/>
          <w:i w:val="0"/>
          <w:iCs w:val="0"/>
          <w:sz w:val="28"/>
        </w:rPr>
        <w:t xml:space="preserve"> </w:t>
      </w:r>
      <w:r w:rsidRPr="00E9210E">
        <w:rPr>
          <w:rStyle w:val="Corpsdutexte37ptGrasNonItalique"/>
          <w:rFonts w:eastAsia="Courier New"/>
          <w:b w:val="0"/>
          <w:i w:val="0"/>
          <w:iCs w:val="0"/>
          <w:sz w:val="28"/>
        </w:rPr>
        <w:t>dans</w:t>
      </w:r>
      <w:r w:rsidRPr="00E9210E">
        <w:rPr>
          <w:rStyle w:val="Corpsdutexte37ptGrasNonItalique"/>
          <w:rFonts w:eastAsia="Courier New"/>
          <w:i w:val="0"/>
          <w:iCs w:val="0"/>
          <w:sz w:val="28"/>
        </w:rPr>
        <w:t xml:space="preserve"> </w:t>
      </w:r>
      <w:r w:rsidRPr="00E9210E">
        <w:rPr>
          <w:i/>
        </w:rPr>
        <w:t>Annales de Bourgogne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t. XIII [1941]), « A.H.S. », t. III (1941), p. 184.</w:t>
      </w:r>
    </w:p>
    <w:p w14:paraId="08C0376E" w14:textId="77777777" w:rsidR="00B9662D" w:rsidRPr="00E9210E" w:rsidRDefault="00B9662D" w:rsidP="00B9662D">
      <w:pPr>
        <w:spacing w:before="120" w:after="120"/>
        <w:jc w:val="both"/>
      </w:pPr>
      <w:r w:rsidRPr="00E9210E">
        <w:t>Dans les campagnes du Brandebourg. (Compte rendu : Dr. </w:t>
      </w:r>
      <w:r w:rsidRPr="00E9210E">
        <w:rPr>
          <w:smallCaps/>
        </w:rPr>
        <w:t>St. </w:t>
      </w:r>
      <w:r w:rsidRPr="00E9210E">
        <w:rPr>
          <w:rStyle w:val="Corpsdutexte27ptGras"/>
          <w:rFonts w:eastAsia="Courier New"/>
          <w:b w:val="0"/>
          <w:smallCaps/>
          <w:sz w:val="28"/>
        </w:rPr>
        <w:t>Seeberg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Dorfgemeinschaft in dreihundert Jahren,</w:t>
      </w:r>
      <w:r w:rsidRPr="00E9210E">
        <w:rPr>
          <w:rStyle w:val="Corpsdutexte28ptGrasEspacement1ptchelle120"/>
          <w:rFonts w:eastAsia="Courier New"/>
          <w:sz w:val="28"/>
        </w:rPr>
        <w:t xml:space="preserve"> </w:t>
      </w:r>
      <w:r w:rsidRPr="00E9210E">
        <w:t>Berlin, 1938), « A.H.S. », t. III (1941), p. 189.</w:t>
      </w:r>
    </w:p>
    <w:p w14:paraId="511B1D19" w14:textId="77777777" w:rsidR="00B9662D" w:rsidRPr="00E9210E" w:rsidRDefault="00B9662D" w:rsidP="00B9662D">
      <w:pPr>
        <w:spacing w:before="120" w:after="120"/>
        <w:jc w:val="both"/>
      </w:pPr>
      <w:r>
        <w:br w:type="page"/>
      </w:r>
    </w:p>
    <w:p w14:paraId="18383362" w14:textId="77777777" w:rsidR="00B9662D" w:rsidRPr="00E9210E" w:rsidRDefault="00B9662D" w:rsidP="00B9662D">
      <w:pPr>
        <w:spacing w:before="120" w:after="120"/>
        <w:jc w:val="center"/>
        <w:rPr>
          <w:b/>
        </w:rPr>
      </w:pPr>
      <w:r w:rsidRPr="00E9210E">
        <w:rPr>
          <w:b/>
        </w:rPr>
        <w:t>1942</w:t>
      </w:r>
    </w:p>
    <w:p w14:paraId="3F17EE46" w14:textId="77777777" w:rsidR="00B9662D" w:rsidRPr="00E9210E" w:rsidRDefault="00B9662D" w:rsidP="00B9662D">
      <w:pPr>
        <w:spacing w:before="120" w:after="120"/>
        <w:jc w:val="both"/>
      </w:pPr>
    </w:p>
    <w:p w14:paraId="141CCBB3" w14:textId="77777777" w:rsidR="00B9662D" w:rsidRPr="00E9210E" w:rsidRDefault="00B9662D" w:rsidP="00B9662D">
      <w:pPr>
        <w:spacing w:before="120" w:after="120"/>
        <w:jc w:val="both"/>
      </w:pPr>
      <w:r w:rsidRPr="00E9210E">
        <w:rPr>
          <w:rFonts w:eastAsia="Courier New"/>
        </w:rPr>
        <w:t>Un problème de transfert.</w:t>
      </w:r>
      <w:r w:rsidRPr="00E9210E">
        <w:rPr>
          <w:rStyle w:val="Corpsdutexte11NonItaliqueEspacement0pt"/>
          <w:rFonts w:eastAsia="Courier New"/>
          <w:i w:val="0"/>
          <w:iCs w:val="0"/>
          <w:sz w:val="28"/>
          <w:lang w:val="fr-CA"/>
        </w:rPr>
        <w:t xml:space="preserve"> (Compte rendu : V. E. </w:t>
      </w:r>
      <w:r w:rsidRPr="00E9210E">
        <w:rPr>
          <w:rStyle w:val="Corpsdutexte11NonItaliquePetitesmajusculesEspacement0pt"/>
          <w:rFonts w:eastAsia="Courier New"/>
          <w:i w:val="0"/>
          <w:iCs w:val="0"/>
          <w:sz w:val="28"/>
          <w:lang w:val="fr-CA"/>
        </w:rPr>
        <w:t xml:space="preserve">Lunt, </w:t>
      </w:r>
      <w:r w:rsidRPr="00E9210E">
        <w:rPr>
          <w:rFonts w:eastAsia="Courier New"/>
          <w:i/>
        </w:rPr>
        <w:t>Financial relations of the papacy with England to 1327 (Studies in anglo-papal relations during the middle ages, 1),</w:t>
      </w:r>
      <w:r w:rsidRPr="00E9210E">
        <w:rPr>
          <w:rFonts w:eastAsia="Courier New"/>
        </w:rPr>
        <w:t xml:space="preserve"> </w:t>
      </w:r>
      <w:r w:rsidRPr="00E9210E">
        <w:rPr>
          <w:rStyle w:val="Corpsdutexte11NonItaliqueEspacement0pt"/>
          <w:rFonts w:eastAsia="Courier New"/>
          <w:i w:val="0"/>
          <w:iCs w:val="0"/>
          <w:sz w:val="28"/>
          <w:lang w:val="fr-CA"/>
        </w:rPr>
        <w:t xml:space="preserve">Cambridge, 1939), </w:t>
      </w:r>
      <w:r w:rsidRPr="00E9210E">
        <w:rPr>
          <w:rFonts w:eastAsia="Courier New"/>
        </w:rPr>
        <w:t>M.H.S.,</w:t>
      </w:r>
      <w:r w:rsidRPr="00E9210E">
        <w:rPr>
          <w:rStyle w:val="Corpsdutexte11NonItaliqueEspacement0pt"/>
          <w:rFonts w:eastAsia="Courier New"/>
          <w:i w:val="0"/>
          <w:iCs w:val="0"/>
          <w:sz w:val="28"/>
          <w:lang w:val="fr-CA"/>
        </w:rPr>
        <w:t xml:space="preserve"> 1942 (I), pp. 73-75.</w:t>
      </w:r>
    </w:p>
    <w:p w14:paraId="2FBF4475" w14:textId="77777777" w:rsidR="00B9662D" w:rsidRPr="00E9210E" w:rsidRDefault="00B9662D" w:rsidP="00B9662D">
      <w:pPr>
        <w:spacing w:before="120" w:after="120"/>
        <w:jc w:val="both"/>
      </w:pPr>
      <w:r w:rsidRPr="00E9210E">
        <w:t xml:space="preserve">Une grande expérience : la monnaie vénitienne. (Compte rendu : R. </w:t>
      </w:r>
      <w:r w:rsidRPr="00E9210E">
        <w:rPr>
          <w:rStyle w:val="Corpsdutexte27ptGrasPetitesmajuscules"/>
          <w:rFonts w:eastAsia="Courier New"/>
          <w:b w:val="0"/>
          <w:sz w:val="28"/>
          <w:lang w:val="fr-CA"/>
        </w:rPr>
        <w:t>Cessi,</w:t>
      </w:r>
      <w:r w:rsidRPr="00E9210E">
        <w:rPr>
          <w:rStyle w:val="Corpsdutexte27ptGrasPetitesmajuscules"/>
          <w:rFonts w:eastAsia="Courier New"/>
          <w:sz w:val="28"/>
          <w:lang w:val="fr-CA"/>
        </w:rPr>
        <w:t xml:space="preserve"> </w:t>
      </w:r>
      <w:r w:rsidRPr="00E9210E">
        <w:rPr>
          <w:rFonts w:eastAsia="Courier New"/>
          <w:i/>
        </w:rPr>
        <w:t>Problemi monetari veneziani</w:t>
      </w:r>
      <w:r w:rsidRPr="00E9210E">
        <w:rPr>
          <w:rFonts w:eastAsia="Courier New"/>
        </w:rPr>
        <w:t xml:space="preserve"> (</w:t>
      </w:r>
      <w:r w:rsidRPr="00E9210E">
        <w:rPr>
          <w:rFonts w:eastAsia="Courier New"/>
          <w:i/>
        </w:rPr>
        <w:t xml:space="preserve">fino a tutto il sec. </w:t>
      </w:r>
      <w:r w:rsidRPr="00E9210E">
        <w:rPr>
          <w:rStyle w:val="Corpsdutexte2ItaliqueEspacement1pt"/>
          <w:rFonts w:eastAsia="Courier New"/>
          <w:sz w:val="28"/>
          <w:lang w:val="fr-CA"/>
        </w:rPr>
        <w:t>XIV</w:t>
      </w:r>
      <w:r w:rsidRPr="00E9210E">
        <w:rPr>
          <w:rStyle w:val="Corpsdutexte2ItaliqueEspacement1pt"/>
          <w:rFonts w:eastAsia="Courier New"/>
          <w:i w:val="0"/>
          <w:sz w:val="28"/>
          <w:lang w:val="fr-CA"/>
        </w:rPr>
        <w:t>),</w:t>
      </w:r>
      <w:r w:rsidRPr="00E9210E">
        <w:t xml:space="preserve"> P</w:t>
      </w:r>
      <w:r w:rsidRPr="00E9210E">
        <w:t>a</w:t>
      </w:r>
      <w:r w:rsidRPr="00E9210E">
        <w:t>doue, 1937), « M.H.S. », 1942 (I), pp. 90-91.</w:t>
      </w:r>
    </w:p>
    <w:p w14:paraId="57B1F958"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Prix et morale religieuse. (Compte rendu : Fr. L. </w:t>
      </w:r>
      <w:r w:rsidRPr="00E9210E">
        <w:rPr>
          <w:rStyle w:val="Corpsdutexte117ptGrasNonItaliquePetitesmajusculesEspacement0pt"/>
          <w:rFonts w:eastAsia="Courier New"/>
          <w:b w:val="0"/>
          <w:i w:val="0"/>
          <w:iCs w:val="0"/>
          <w:sz w:val="28"/>
          <w:lang w:val="fr-CA"/>
        </w:rPr>
        <w:t>Ganshof</w:t>
      </w:r>
      <w:r w:rsidRPr="00E9210E">
        <w:rPr>
          <w:rStyle w:val="Corpsdutexte117ptGrasNonItaliquePetitesmajusculesEspacement0pt"/>
          <w:rFonts w:eastAsia="Courier New"/>
          <w:b w:val="0"/>
          <w:i w:val="0"/>
          <w:iCs w:val="0"/>
          <w:smallCaps w:val="0"/>
          <w:sz w:val="28"/>
          <w:lang w:val="fr-CA"/>
        </w:rPr>
        <w:t>,</w:t>
      </w:r>
      <w:r w:rsidRPr="00E9210E">
        <w:rPr>
          <w:rStyle w:val="Corpsdutexte117ptGrasNonItaliquePetitesmajusculesEspacement0pt"/>
          <w:rFonts w:eastAsia="Courier New"/>
          <w:i w:val="0"/>
          <w:iCs w:val="0"/>
          <w:sz w:val="28"/>
          <w:lang w:val="fr-CA"/>
        </w:rPr>
        <w:t xml:space="preserve"> </w:t>
      </w:r>
      <w:r w:rsidRPr="00E9210E">
        <w:rPr>
          <w:rFonts w:eastAsia="Courier New"/>
          <w:i/>
        </w:rPr>
        <w:t>Note sur un passage de la vie de saint Géraud d’Aurillac</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Mélanges d’histoire offerts à N. Jorga par ses amis de France et des pays de langue française</w:t>
      </w:r>
      <w:r w:rsidRPr="00E9210E">
        <w:rPr>
          <w:rFonts w:eastAsia="Courier New"/>
        </w:rPr>
        <w:t>,</w:t>
      </w:r>
      <w:r w:rsidRPr="00E9210E">
        <w:rPr>
          <w:rStyle w:val="Corpsdutexte11NonItaliqueEspacement0pt"/>
          <w:rFonts w:eastAsia="Courier New"/>
          <w:i w:val="0"/>
          <w:iCs w:val="0"/>
          <w:sz w:val="28"/>
          <w:lang w:val="fr-CA"/>
        </w:rPr>
        <w:t xml:space="preserve"> Paris, 1933), « M.H.S. », 1942 (I), pp. 91-92.</w:t>
      </w:r>
    </w:p>
    <w:p w14:paraId="61B791B0" w14:textId="77777777" w:rsidR="00B9662D" w:rsidRPr="00E9210E" w:rsidRDefault="00B9662D" w:rsidP="00B9662D">
      <w:pPr>
        <w:spacing w:before="120" w:after="120"/>
        <w:jc w:val="both"/>
      </w:pPr>
      <w:r w:rsidRPr="00E9210E">
        <w:t xml:space="preserve">La monnaie française. (Compte rendu : R. </w:t>
      </w:r>
      <w:r w:rsidRPr="00E9210E">
        <w:rPr>
          <w:rStyle w:val="Corpsdutexte27ptGrasPetitesmajuscules"/>
          <w:rFonts w:eastAsia="Courier New"/>
          <w:b w:val="0"/>
          <w:sz w:val="28"/>
          <w:lang w:val="fr-CA"/>
        </w:rPr>
        <w:t>Sédillot</w:t>
      </w:r>
      <w:r w:rsidRPr="00E9210E">
        <w:rPr>
          <w:rStyle w:val="Corpsdutexte27ptGrasPetitesmajuscules"/>
          <w:rFonts w:eastAsia="Courier New"/>
          <w:sz w:val="28"/>
          <w:lang w:val="fr-CA"/>
        </w:rPr>
        <w:t xml:space="preserve">, </w:t>
      </w:r>
      <w:r w:rsidRPr="00E9210E">
        <w:rPr>
          <w:rFonts w:eastAsia="Courier New"/>
          <w:i/>
        </w:rPr>
        <w:t>Histoire du franc</w:t>
      </w:r>
      <w:r w:rsidRPr="00E9210E">
        <w:rPr>
          <w:rFonts w:eastAsia="Courier New"/>
        </w:rPr>
        <w:t>,</w:t>
      </w:r>
      <w:r w:rsidRPr="00E9210E">
        <w:t xml:space="preserve"> Paris [1939]), « M.H.S. », 1942, (I), pp. 92-93.</w:t>
      </w:r>
    </w:p>
    <w:p w14:paraId="5A5CFC48" w14:textId="77777777" w:rsidR="00B9662D" w:rsidRPr="00E9210E" w:rsidRDefault="00B9662D" w:rsidP="00B9662D">
      <w:pPr>
        <w:spacing w:before="120" w:after="120"/>
        <w:jc w:val="both"/>
      </w:pPr>
      <w:r w:rsidRPr="00E9210E">
        <w:t xml:space="preserve">Le problème de l'argent. (Comptes rendus : D. H. </w:t>
      </w:r>
      <w:r w:rsidRPr="00E9210E">
        <w:rPr>
          <w:rStyle w:val="Corpsdutexte27ptGrasPetitesmajuscules"/>
          <w:rFonts w:eastAsia="Courier New"/>
          <w:b w:val="0"/>
          <w:sz w:val="28"/>
          <w:lang w:val="fr-CA"/>
        </w:rPr>
        <w:t>Leavens</w:t>
      </w:r>
      <w:r w:rsidRPr="00E9210E">
        <w:rPr>
          <w:rStyle w:val="Corpsdutexte27ptGrasPetitesmajuscules"/>
          <w:rFonts w:eastAsia="Courier New"/>
          <w:sz w:val="28"/>
          <w:lang w:val="fr-CA"/>
        </w:rPr>
        <w:t xml:space="preserve">, </w:t>
      </w:r>
      <w:r w:rsidRPr="00E9210E">
        <w:rPr>
          <w:rFonts w:eastAsia="Courier New"/>
          <w:i/>
        </w:rPr>
        <w:t>Silver Money</w:t>
      </w:r>
      <w:r w:rsidRPr="00E9210E">
        <w:rPr>
          <w:rFonts w:eastAsia="Courier New"/>
        </w:rPr>
        <w:t>,</w:t>
      </w:r>
      <w:r w:rsidRPr="00E9210E">
        <w:t xml:space="preserve"> Bloomington (Indiana), 1939. — G. U. </w:t>
      </w:r>
      <w:r w:rsidRPr="00E9210E">
        <w:rPr>
          <w:rStyle w:val="Corpsdutexte27ptGrasPetitesmajuscules"/>
          <w:rFonts w:eastAsia="Courier New"/>
          <w:b w:val="0"/>
          <w:sz w:val="28"/>
          <w:lang w:val="fr-CA"/>
        </w:rPr>
        <w:t>Löning</w:t>
      </w:r>
      <w:r w:rsidRPr="00E9210E">
        <w:rPr>
          <w:rStyle w:val="Corpsdutexte27ptGrasPetitesmajuscules"/>
          <w:rFonts w:eastAsia="Courier New"/>
          <w:sz w:val="28"/>
          <w:lang w:val="fr-CA"/>
        </w:rPr>
        <w:t xml:space="preserve">, </w:t>
      </w:r>
      <w:r w:rsidRPr="00E9210E">
        <w:rPr>
          <w:rFonts w:eastAsia="Courier New"/>
          <w:i/>
        </w:rPr>
        <w:t>Das Mü</w:t>
      </w:r>
      <w:r w:rsidRPr="00E9210E">
        <w:rPr>
          <w:rFonts w:eastAsia="Courier New"/>
          <w:i/>
        </w:rPr>
        <w:t>n</w:t>
      </w:r>
      <w:r w:rsidRPr="00E9210E">
        <w:rPr>
          <w:rFonts w:eastAsia="Courier New"/>
          <w:i/>
        </w:rPr>
        <w:t>zrecht im Erbistum Bremen</w:t>
      </w:r>
      <w:r w:rsidRPr="00E9210E">
        <w:rPr>
          <w:rFonts w:eastAsia="Courier New"/>
        </w:rPr>
        <w:t xml:space="preserve">, </w:t>
      </w:r>
      <w:r w:rsidRPr="00E9210E">
        <w:t>Weimar, 1937), « M.H.S. », 1942, (I), pp. 93-94.</w:t>
      </w:r>
    </w:p>
    <w:p w14:paraId="3C472CD9" w14:textId="77777777" w:rsidR="00B9662D" w:rsidRPr="00E9210E" w:rsidRDefault="00B9662D" w:rsidP="00B9662D">
      <w:pPr>
        <w:spacing w:before="120" w:after="120"/>
        <w:jc w:val="both"/>
      </w:pPr>
      <w:r w:rsidRPr="00E9210E">
        <w:t>Sur l’histoire des entreprises et des placements. (Compte rendu : H. </w:t>
      </w:r>
      <w:r w:rsidRPr="00E9210E">
        <w:rPr>
          <w:rStyle w:val="Corpsdutexte27ptGrasPetitesmajuscules"/>
          <w:rFonts w:eastAsia="Courier New"/>
          <w:b w:val="0"/>
          <w:sz w:val="28"/>
          <w:lang w:val="fr-CA"/>
        </w:rPr>
        <w:t>Lévy</w:t>
      </w:r>
      <w:r w:rsidRPr="00E9210E">
        <w:rPr>
          <w:rStyle w:val="Corpsdutexte27ptGrasPetitesmajuscules"/>
          <w:rFonts w:eastAsia="Courier New"/>
          <w:b w:val="0"/>
          <w:smallCaps w:val="0"/>
          <w:sz w:val="28"/>
          <w:lang w:val="fr-CA"/>
        </w:rPr>
        <w:t>-Brühl</w:t>
      </w:r>
      <w:r w:rsidRPr="00E9210E">
        <w:rPr>
          <w:rStyle w:val="Corpsdutexte27ptGrasPetitesmajuscules"/>
          <w:rFonts w:eastAsia="Courier New"/>
          <w:b w:val="0"/>
          <w:sz w:val="28"/>
          <w:lang w:val="fr-CA"/>
        </w:rPr>
        <w:t>,</w:t>
      </w:r>
      <w:r w:rsidRPr="00E9210E">
        <w:rPr>
          <w:rStyle w:val="Corpsdutexte27ptGrasPetitesmajuscules"/>
          <w:rFonts w:eastAsia="Courier New"/>
          <w:sz w:val="28"/>
          <w:lang w:val="fr-CA"/>
        </w:rPr>
        <w:t xml:space="preserve"> </w:t>
      </w:r>
      <w:r w:rsidRPr="00E9210E">
        <w:rPr>
          <w:rFonts w:eastAsia="Courier New"/>
          <w:i/>
        </w:rPr>
        <w:t>Histoire juridique des sociétés de commerce en Fra</w:t>
      </w:r>
      <w:r w:rsidRPr="00E9210E">
        <w:rPr>
          <w:rFonts w:eastAsia="Courier New"/>
          <w:i/>
        </w:rPr>
        <w:t>n</w:t>
      </w:r>
      <w:r w:rsidRPr="00E9210E">
        <w:rPr>
          <w:rFonts w:eastAsia="Courier New"/>
          <w:i/>
        </w:rPr>
        <w:t>ce aux</w:t>
      </w:r>
      <w:r w:rsidRPr="00E9210E">
        <w:rPr>
          <w:rFonts w:eastAsia="Courier New"/>
        </w:rPr>
        <w:t xml:space="preserve"> </w:t>
      </w:r>
      <w:r w:rsidRPr="00E9210E">
        <w:rPr>
          <w:rStyle w:val="Corpsdutexte2ItaliqueEspacement1pt"/>
          <w:rFonts w:eastAsia="Courier New"/>
          <w:sz w:val="28"/>
          <w:lang w:val="fr-CA"/>
        </w:rPr>
        <w:t>XVII</w:t>
      </w:r>
      <w:r w:rsidRPr="00E9210E">
        <w:rPr>
          <w:rStyle w:val="Corpsdutexte2ItaliqueEspacement1pt"/>
          <w:rFonts w:eastAsia="Courier New"/>
          <w:sz w:val="28"/>
          <w:vertAlign w:val="superscript"/>
          <w:lang w:val="fr-CA"/>
        </w:rPr>
        <w:t>e</w:t>
      </w:r>
      <w:r w:rsidRPr="00E9210E">
        <w:rPr>
          <w:rStyle w:val="Corpsdutexte2ItaliqueEspacement1pt"/>
          <w:rFonts w:eastAsia="Courier New"/>
          <w:sz w:val="28"/>
          <w:lang w:val="fr-CA"/>
        </w:rPr>
        <w:t xml:space="preserve"> et XVIII</w:t>
      </w:r>
      <w:r w:rsidRPr="00E9210E">
        <w:rPr>
          <w:rStyle w:val="Corpsdutexte2ItaliqueEspacement1pt"/>
          <w:rFonts w:eastAsia="Courier New"/>
          <w:sz w:val="28"/>
          <w:vertAlign w:val="superscript"/>
          <w:lang w:val="fr-CA"/>
        </w:rPr>
        <w:t>e</w:t>
      </w:r>
      <w:r w:rsidRPr="00E9210E">
        <w:rPr>
          <w:rFonts w:eastAsia="Courier New"/>
        </w:rPr>
        <w:t xml:space="preserve"> </w:t>
      </w:r>
      <w:r w:rsidRPr="00E9210E">
        <w:rPr>
          <w:rFonts w:eastAsia="Courier New"/>
          <w:i/>
        </w:rPr>
        <w:t>siècles</w:t>
      </w:r>
      <w:r w:rsidRPr="00E9210E">
        <w:rPr>
          <w:rFonts w:eastAsia="Courier New"/>
        </w:rPr>
        <w:t>,</w:t>
      </w:r>
      <w:r w:rsidRPr="00E9210E">
        <w:t xml:space="preserve"> Paris, 1938), « M.H.S. », 1942, (I), pp. 94-95.</w:t>
      </w:r>
    </w:p>
    <w:p w14:paraId="119060BE" w14:textId="77777777" w:rsidR="00B9662D" w:rsidRPr="00E9210E" w:rsidRDefault="00B9662D" w:rsidP="00B9662D">
      <w:pPr>
        <w:spacing w:before="120" w:after="120"/>
        <w:jc w:val="both"/>
      </w:pPr>
      <w:r w:rsidRPr="00E9210E">
        <w:t xml:space="preserve">En Suède. (Compte rendu : A. </w:t>
      </w:r>
      <w:r w:rsidRPr="00E9210E">
        <w:rPr>
          <w:rStyle w:val="Corpsdutexte27ptGrasPetitesmajuscules"/>
          <w:rFonts w:eastAsia="Courier New"/>
          <w:b w:val="0"/>
          <w:sz w:val="28"/>
          <w:lang w:val="fr-CA"/>
        </w:rPr>
        <w:t>Montgomery,</w:t>
      </w:r>
      <w:r w:rsidRPr="00E9210E">
        <w:rPr>
          <w:rStyle w:val="Corpsdutexte27ptGrasPetitesmajuscules"/>
          <w:rFonts w:eastAsia="Courier New"/>
          <w:sz w:val="28"/>
          <w:lang w:val="fr-CA"/>
        </w:rPr>
        <w:t xml:space="preserve"> </w:t>
      </w:r>
      <w:r w:rsidRPr="00E9210E">
        <w:rPr>
          <w:rFonts w:eastAsia="Courier New"/>
          <w:i/>
        </w:rPr>
        <w:t>The rise of modern industry in Sweden</w:t>
      </w:r>
      <w:r w:rsidRPr="00E9210E">
        <w:rPr>
          <w:rFonts w:eastAsia="Courier New"/>
        </w:rPr>
        <w:t xml:space="preserve">, </w:t>
      </w:r>
      <w:r w:rsidRPr="00E9210E">
        <w:t>Londres [1939]), « M.H.S. », 1942, (I), p. 95.</w:t>
      </w:r>
    </w:p>
    <w:p w14:paraId="6ADC1FAE" w14:textId="77777777" w:rsidR="00B9662D" w:rsidRPr="00E9210E" w:rsidRDefault="00B9662D" w:rsidP="00B9662D">
      <w:pPr>
        <w:spacing w:before="120" w:after="120"/>
        <w:jc w:val="both"/>
      </w:pPr>
      <w:r w:rsidRPr="00E9210E">
        <w:t>[1099]</w:t>
      </w:r>
    </w:p>
    <w:p w14:paraId="19B83B11" w14:textId="77777777" w:rsidR="00B9662D" w:rsidRPr="00E9210E" w:rsidRDefault="00B9662D" w:rsidP="00B9662D">
      <w:pPr>
        <w:spacing w:before="120" w:after="120"/>
        <w:jc w:val="both"/>
      </w:pPr>
      <w:r w:rsidRPr="00E9210E">
        <w:t xml:space="preserve">Les Saint-Simoniens en Algérie. (Compte rendu : M. </w:t>
      </w:r>
      <w:r w:rsidRPr="00E9210E">
        <w:rPr>
          <w:rStyle w:val="Corpsdutexte27ptGras"/>
          <w:rFonts w:eastAsia="Courier New"/>
          <w:b w:val="0"/>
          <w:smallCaps/>
          <w:sz w:val="28"/>
        </w:rPr>
        <w:t>Emerit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Saint-Simoniens en Algérie</w:t>
      </w:r>
      <w:r w:rsidRPr="00E9210E">
        <w:rPr>
          <w:rFonts w:eastAsia="Courier New"/>
        </w:rPr>
        <w:t>,</w:t>
      </w:r>
      <w:r w:rsidRPr="00E9210E">
        <w:t xml:space="preserve"> Paris, 1941), « M.H.S. », 1942, (I), p. 96.</w:t>
      </w:r>
    </w:p>
    <w:p w14:paraId="4BBEC162" w14:textId="77777777" w:rsidR="00B9662D" w:rsidRPr="00E9210E" w:rsidRDefault="00B9662D" w:rsidP="00B9662D">
      <w:pPr>
        <w:spacing w:before="120" w:after="120"/>
        <w:jc w:val="both"/>
      </w:pPr>
      <w:r w:rsidRPr="00E9210E">
        <w:t xml:space="preserve">Passé ou avenir. (Compte rendu : E. </w:t>
      </w:r>
      <w:r w:rsidRPr="00E9210E">
        <w:rPr>
          <w:rStyle w:val="Corpsdutexte27ptGras"/>
          <w:rFonts w:eastAsia="Courier New"/>
          <w:b w:val="0"/>
          <w:smallCaps/>
          <w:sz w:val="28"/>
        </w:rPr>
        <w:t>Dennery</w:t>
      </w:r>
      <w:r w:rsidRPr="00E9210E">
        <w:rPr>
          <w:rStyle w:val="Corpsdutexte27ptGras"/>
          <w:rFonts w:eastAsia="Courier New"/>
          <w:sz w:val="28"/>
        </w:rPr>
        <w:t xml:space="preserve"> </w:t>
      </w:r>
      <w:r w:rsidRPr="00E9210E">
        <w:t>et ses collabor</w:t>
      </w:r>
      <w:r w:rsidRPr="00E9210E">
        <w:t>a</w:t>
      </w:r>
      <w:r w:rsidRPr="00E9210E">
        <w:t xml:space="preserve">teurs, </w:t>
      </w:r>
      <w:r w:rsidRPr="00E9210E">
        <w:rPr>
          <w:rFonts w:eastAsia="Courier New"/>
          <w:i/>
        </w:rPr>
        <w:t>Le problème des matières premières</w:t>
      </w:r>
      <w:r w:rsidRPr="00E9210E">
        <w:t>, Paris, 1939), « M.H.S. », 1942, (I), p. 97.</w:t>
      </w:r>
    </w:p>
    <w:p w14:paraId="700DAE01" w14:textId="77777777" w:rsidR="00B9662D" w:rsidRPr="00E9210E" w:rsidRDefault="00B9662D" w:rsidP="00B9662D">
      <w:pPr>
        <w:spacing w:before="120" w:after="120"/>
        <w:jc w:val="both"/>
      </w:pPr>
      <w:r w:rsidRPr="00E9210E">
        <w:t xml:space="preserve">Compte rendu : R. </w:t>
      </w:r>
      <w:r w:rsidRPr="00E9210E">
        <w:rPr>
          <w:rStyle w:val="Corpsdutexte27ptGras"/>
          <w:rFonts w:eastAsia="Courier New"/>
          <w:b w:val="0"/>
          <w:smallCaps/>
          <w:sz w:val="28"/>
        </w:rPr>
        <w:t>Picard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Formes et méthodes nouvelles des e</w:t>
      </w:r>
      <w:r w:rsidRPr="00E9210E">
        <w:rPr>
          <w:rFonts w:eastAsia="Courier New"/>
          <w:i/>
        </w:rPr>
        <w:t>n</w:t>
      </w:r>
      <w:r w:rsidRPr="00E9210E">
        <w:rPr>
          <w:rFonts w:eastAsia="Courier New"/>
          <w:i/>
        </w:rPr>
        <w:t>trepr</w:t>
      </w:r>
      <w:r w:rsidRPr="00E9210E">
        <w:rPr>
          <w:rFonts w:eastAsia="Courier New"/>
          <w:i/>
        </w:rPr>
        <w:t>i</w:t>
      </w:r>
      <w:r w:rsidRPr="00E9210E">
        <w:rPr>
          <w:rFonts w:eastAsia="Courier New"/>
          <w:i/>
        </w:rPr>
        <w:t>ses commerciales</w:t>
      </w:r>
      <w:r w:rsidRPr="00E9210E">
        <w:rPr>
          <w:rFonts w:eastAsia="Courier New"/>
        </w:rPr>
        <w:t xml:space="preserve">, </w:t>
      </w:r>
      <w:r w:rsidRPr="00E9210E">
        <w:t>Paris, 1936, « M.H.S. », 1942, (I), p. 98.</w:t>
      </w:r>
    </w:p>
    <w:p w14:paraId="57D961A9" w14:textId="77777777" w:rsidR="00B9662D" w:rsidRPr="00E9210E" w:rsidRDefault="00B9662D" w:rsidP="00B9662D">
      <w:pPr>
        <w:spacing w:before="120" w:after="120"/>
        <w:jc w:val="both"/>
      </w:pPr>
      <w:r w:rsidRPr="00E9210E">
        <w:t xml:space="preserve">Moulins et meuniers. (Compte rendu : W. </w:t>
      </w:r>
      <w:r w:rsidRPr="00E9210E">
        <w:rPr>
          <w:rStyle w:val="Corpsdutexte27ptGras"/>
          <w:rFonts w:eastAsia="Courier New"/>
          <w:b w:val="0"/>
          <w:smallCaps/>
          <w:sz w:val="28"/>
        </w:rPr>
        <w:t>Peschke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Das Mühle</w:t>
      </w:r>
      <w:r w:rsidRPr="00E9210E">
        <w:rPr>
          <w:rFonts w:eastAsia="Courier New"/>
          <w:i/>
        </w:rPr>
        <w:t>n</w:t>
      </w:r>
      <w:r w:rsidRPr="00E9210E">
        <w:rPr>
          <w:rFonts w:eastAsia="Courier New"/>
          <w:i/>
        </w:rPr>
        <w:t>wesen der Mark Brandenburg von den Anfängen der Mark bis um</w:t>
      </w:r>
      <w:r w:rsidRPr="00E9210E">
        <w:rPr>
          <w:rFonts w:eastAsia="Courier New"/>
        </w:rPr>
        <w:t xml:space="preserve"> </w:t>
      </w:r>
      <w:r w:rsidRPr="00E9210E">
        <w:rPr>
          <w:rStyle w:val="Corpsdutexte28ptItalique"/>
          <w:rFonts w:eastAsia="Courier New"/>
          <w:sz w:val="28"/>
        </w:rPr>
        <w:t>1600</w:t>
      </w:r>
      <w:r w:rsidRPr="00E9210E">
        <w:t>, Be</w:t>
      </w:r>
      <w:r w:rsidRPr="00E9210E">
        <w:t>r</w:t>
      </w:r>
      <w:r w:rsidRPr="00E9210E">
        <w:t>lin, 1937), « M.H.S. », 1942, (I), p. 99.</w:t>
      </w:r>
    </w:p>
    <w:p w14:paraId="49846FA1"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S. </w:t>
      </w:r>
      <w:r w:rsidRPr="00E9210E">
        <w:rPr>
          <w:rStyle w:val="Corpsdutexte117ptGrasNonItaliqueEspacement0pt"/>
          <w:rFonts w:eastAsia="Courier New"/>
          <w:b w:val="0"/>
          <w:i w:val="0"/>
          <w:iCs w:val="0"/>
          <w:smallCaps/>
          <w:sz w:val="28"/>
          <w:lang w:val="fr-CA"/>
        </w:rPr>
        <w:t>Mews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Gotlands Handel und Verkehr bis zum Auftreten der Hansen</w:t>
      </w:r>
      <w:r w:rsidRPr="00E9210E">
        <w:rPr>
          <w:rFonts w:eastAsia="Courier New"/>
        </w:rPr>
        <w:t xml:space="preserve"> </w:t>
      </w:r>
      <w:r w:rsidRPr="00E9210E">
        <w:rPr>
          <w:rStyle w:val="Corpsdutexte118ptEspacement0pt"/>
          <w:rFonts w:eastAsia="Courier New"/>
          <w:sz w:val="28"/>
          <w:lang w:val="fr-CA"/>
        </w:rPr>
        <w:t xml:space="preserve">(12. </w:t>
      </w:r>
      <w:r w:rsidRPr="00E9210E">
        <w:rPr>
          <w:rFonts w:eastAsia="Courier New"/>
          <w:i/>
        </w:rPr>
        <w:t>Jahrhundert</w:t>
      </w:r>
      <w:r w:rsidRPr="00E9210E">
        <w:rPr>
          <w:rFonts w:eastAsia="Courier New"/>
        </w:rPr>
        <w:t>),</w:t>
      </w:r>
      <w:r w:rsidRPr="00E9210E">
        <w:rPr>
          <w:rStyle w:val="Corpsdutexte11NonItaliqueEspacement0pt"/>
          <w:rFonts w:eastAsia="Courier New"/>
          <w:i w:val="0"/>
          <w:iCs w:val="0"/>
          <w:sz w:val="28"/>
          <w:lang w:val="fr-CA"/>
        </w:rPr>
        <w:t xml:space="preserve"> Berlin, 1937, « M.H.S. », 1942, (I), p. 105.</w:t>
      </w:r>
    </w:p>
    <w:p w14:paraId="78BB4827"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w:t>
      </w:r>
      <w:r w:rsidRPr="00E9210E">
        <w:rPr>
          <w:rStyle w:val="Corpsdutexte117ptGrasNonItaliqueEspacement0pt"/>
          <w:rFonts w:eastAsia="Courier New"/>
          <w:b w:val="0"/>
          <w:i w:val="0"/>
          <w:iCs w:val="0"/>
          <w:sz w:val="28"/>
          <w:lang w:val="fr-CA"/>
        </w:rPr>
        <w:t xml:space="preserve">H. </w:t>
      </w:r>
      <w:r w:rsidRPr="00E9210E">
        <w:rPr>
          <w:rStyle w:val="Corpsdutexte117ptGrasNonItaliqueEspacement0pt"/>
          <w:rFonts w:eastAsia="Courier New"/>
          <w:b w:val="0"/>
          <w:i w:val="0"/>
          <w:iCs w:val="0"/>
          <w:smallCaps/>
          <w:sz w:val="28"/>
          <w:lang w:val="fr-CA"/>
        </w:rPr>
        <w:t>Hon-Firnberg</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Lohnarbeiter und freie Lo</w:t>
      </w:r>
      <w:r w:rsidRPr="00E9210E">
        <w:rPr>
          <w:rFonts w:eastAsia="Courier New"/>
          <w:i/>
        </w:rPr>
        <w:t>h</w:t>
      </w:r>
      <w:r w:rsidRPr="00E9210E">
        <w:rPr>
          <w:rFonts w:eastAsia="Courier New"/>
          <w:i/>
        </w:rPr>
        <w:t>narbeit im Mittelalter und zu Beginn der Neuzeit</w:t>
      </w:r>
      <w:r w:rsidRPr="00E9210E">
        <w:rPr>
          <w:rStyle w:val="Corpsdutexte11NonItaliqueEspacement0pt"/>
          <w:rFonts w:eastAsia="Courier New"/>
          <w:i w:val="0"/>
          <w:iCs w:val="0"/>
          <w:sz w:val="28"/>
          <w:lang w:val="fr-CA"/>
        </w:rPr>
        <w:t>, Baden-Wien, 1935, « M.H.S. », 1942, (I), pp. 105-106.</w:t>
      </w:r>
    </w:p>
    <w:p w14:paraId="43CC0A1C" w14:textId="77777777" w:rsidR="00B9662D" w:rsidRPr="00E9210E" w:rsidRDefault="00B9662D" w:rsidP="00B9662D">
      <w:pPr>
        <w:spacing w:before="120" w:after="120"/>
        <w:jc w:val="both"/>
      </w:pPr>
      <w:r w:rsidRPr="00E9210E">
        <w:t xml:space="preserve">Aux origines de la nation anglaise. (Compte rendu : R. </w:t>
      </w:r>
      <w:r w:rsidRPr="00E9210E">
        <w:rPr>
          <w:rStyle w:val="Corpsdutexte27ptGras"/>
          <w:rFonts w:eastAsia="Courier New"/>
          <w:b w:val="0"/>
          <w:smallCaps/>
          <w:sz w:val="28"/>
        </w:rPr>
        <w:t>Lennard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From Roman Britain to Anglo-Saxon England</w:t>
      </w:r>
      <w:r w:rsidRPr="00E9210E">
        <w:t xml:space="preserve">, dans </w:t>
      </w:r>
      <w:r w:rsidRPr="00E9210E">
        <w:rPr>
          <w:rFonts w:eastAsia="Courier New"/>
          <w:i/>
        </w:rPr>
        <w:t>Wirtschaft und Kultur : Festschrift zum</w:t>
      </w:r>
      <w:r w:rsidRPr="00E9210E">
        <w:rPr>
          <w:rFonts w:eastAsia="Courier New"/>
        </w:rPr>
        <w:t xml:space="preserve"> </w:t>
      </w:r>
      <w:r w:rsidRPr="00E9210E">
        <w:rPr>
          <w:rStyle w:val="Corpsdutexte28ptItalique"/>
          <w:rFonts w:eastAsia="Courier New"/>
          <w:sz w:val="28"/>
        </w:rPr>
        <w:t>70</w:t>
      </w:r>
      <w:r w:rsidRPr="00E9210E">
        <w:rPr>
          <w:rStyle w:val="Corpsdutexte28ptItalique"/>
          <w:rFonts w:eastAsia="Courier New"/>
          <w:i w:val="0"/>
          <w:sz w:val="28"/>
        </w:rPr>
        <w:t xml:space="preserve">. </w:t>
      </w:r>
      <w:r w:rsidRPr="00E9210E">
        <w:rPr>
          <w:rFonts w:eastAsia="Courier New"/>
          <w:i/>
        </w:rPr>
        <w:t>Geburtstag von Alfons Dopsch</w:t>
      </w:r>
      <w:r w:rsidRPr="00E9210E">
        <w:rPr>
          <w:rFonts w:eastAsia="Courier New"/>
        </w:rPr>
        <w:t>,</w:t>
      </w:r>
      <w:r w:rsidRPr="00E9210E">
        <w:t xml:space="preserve"> Baden bei Wien, pp. 34-73), « M.H.S. », 1942, (I), pp. 106- 107.</w:t>
      </w:r>
    </w:p>
    <w:p w14:paraId="05ACBD73" w14:textId="77777777" w:rsidR="00B9662D" w:rsidRPr="00E9210E" w:rsidRDefault="00B9662D" w:rsidP="00B9662D">
      <w:pPr>
        <w:spacing w:before="120" w:after="120"/>
        <w:jc w:val="both"/>
      </w:pPr>
      <w:r w:rsidRPr="00E9210E">
        <w:t>Dans les grandes baronnies anglaises. (Compte rendu : N. </w:t>
      </w:r>
      <w:r w:rsidRPr="00E9210E">
        <w:rPr>
          <w:rStyle w:val="Corpsdutexte27ptGras"/>
          <w:rFonts w:eastAsia="Courier New"/>
          <w:b w:val="0"/>
          <w:smallCaps/>
          <w:sz w:val="28"/>
        </w:rPr>
        <w:t>Denholm-Young</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Seigniorial administration in England</w:t>
      </w:r>
      <w:r w:rsidRPr="00E9210E">
        <w:rPr>
          <w:rFonts w:eastAsia="Courier New"/>
        </w:rPr>
        <w:t>,</w:t>
      </w:r>
      <w:r w:rsidRPr="00E9210E">
        <w:t xml:space="preserve"> Oxford, 1937), « M.H.S. », 1942, (I), pp. 107-108.</w:t>
      </w:r>
    </w:p>
    <w:p w14:paraId="4EECA01F" w14:textId="77777777" w:rsidR="00B9662D" w:rsidRPr="00E9210E" w:rsidRDefault="00B9662D" w:rsidP="00B9662D">
      <w:pPr>
        <w:spacing w:before="120" w:after="120"/>
        <w:jc w:val="both"/>
      </w:pPr>
      <w:r w:rsidRPr="00E9210E">
        <w:t xml:space="preserve">Sur les terres d’une grande abbaye anglaise. (Compte rendu : Miss A. E. </w:t>
      </w:r>
      <w:r w:rsidRPr="00E9210E">
        <w:rPr>
          <w:rStyle w:val="Corpsdutexte27ptGras"/>
          <w:rFonts w:eastAsia="Courier New"/>
          <w:b w:val="0"/>
          <w:smallCaps/>
          <w:sz w:val="28"/>
        </w:rPr>
        <w:t>Levett,</w:t>
      </w:r>
      <w:r w:rsidRPr="00E9210E">
        <w:rPr>
          <w:rStyle w:val="Corpsdutexte27ptGras"/>
          <w:rFonts w:eastAsia="Courier New"/>
          <w:sz w:val="28"/>
        </w:rPr>
        <w:t xml:space="preserve"> </w:t>
      </w:r>
      <w:r w:rsidRPr="00E9210E">
        <w:rPr>
          <w:i/>
        </w:rPr>
        <w:t xml:space="preserve">Miss H. M. </w:t>
      </w:r>
      <w:r w:rsidRPr="00E9210E">
        <w:rPr>
          <w:rStyle w:val="Corpsdutexte27ptGras"/>
          <w:rFonts w:eastAsia="Courier New"/>
          <w:b w:val="0"/>
          <w:i/>
          <w:sz w:val="28"/>
        </w:rPr>
        <w:t>Cam</w:t>
      </w:r>
      <w:r w:rsidRPr="00E9210E">
        <w:rPr>
          <w:rStyle w:val="Corpsdutexte27ptGras"/>
          <w:rFonts w:eastAsia="Courier New"/>
          <w:i/>
          <w:sz w:val="28"/>
        </w:rPr>
        <w:t xml:space="preserve"> </w:t>
      </w:r>
      <w:r w:rsidRPr="00E9210E">
        <w:rPr>
          <w:i/>
        </w:rPr>
        <w:t xml:space="preserve">et Miss L. S. </w:t>
      </w:r>
      <w:r w:rsidRPr="00E9210E">
        <w:rPr>
          <w:rStyle w:val="Corpsdutexte27ptGras"/>
          <w:rFonts w:eastAsia="Courier New"/>
          <w:b w:val="0"/>
          <w:i/>
          <w:sz w:val="28"/>
        </w:rPr>
        <w:t>Sutherland,</w:t>
      </w:r>
      <w:r w:rsidRPr="00E9210E">
        <w:rPr>
          <w:rStyle w:val="Corpsdutexte27ptGras"/>
          <w:rFonts w:eastAsia="Courier New"/>
          <w:i/>
          <w:sz w:val="28"/>
        </w:rPr>
        <w:t xml:space="preserve"> </w:t>
      </w:r>
      <w:r w:rsidRPr="00E9210E">
        <w:rPr>
          <w:rFonts w:eastAsia="Courier New"/>
          <w:i/>
        </w:rPr>
        <w:t>Studies in manorial Hist</w:t>
      </w:r>
      <w:r w:rsidRPr="00E9210E">
        <w:rPr>
          <w:rFonts w:eastAsia="Courier New"/>
          <w:i/>
        </w:rPr>
        <w:t>o</w:t>
      </w:r>
      <w:r w:rsidRPr="00E9210E">
        <w:rPr>
          <w:rFonts w:eastAsia="Courier New"/>
          <w:i/>
        </w:rPr>
        <w:t>ry</w:t>
      </w:r>
      <w:r w:rsidRPr="00E9210E">
        <w:rPr>
          <w:rFonts w:eastAsia="Courier New"/>
        </w:rPr>
        <w:t>,</w:t>
      </w:r>
      <w:r w:rsidRPr="00E9210E">
        <w:t xml:space="preserve"> Oxford, 1938), « M.H.S. », 1942, (I), p. 108.</w:t>
      </w:r>
    </w:p>
    <w:p w14:paraId="66C799B4" w14:textId="77777777" w:rsidR="00B9662D" w:rsidRPr="00E9210E" w:rsidRDefault="00B9662D" w:rsidP="00B9662D">
      <w:pPr>
        <w:spacing w:before="120" w:after="120"/>
        <w:jc w:val="both"/>
      </w:pPr>
      <w:r w:rsidRPr="00E9210E">
        <w:t xml:space="preserve">Un feudiste écossais. (Compte rendu : J. </w:t>
      </w:r>
      <w:r w:rsidRPr="00E9210E">
        <w:rPr>
          <w:rStyle w:val="Corpsdutexte27ptGras"/>
          <w:rFonts w:eastAsia="Courier New"/>
          <w:b w:val="0"/>
          <w:smallCaps/>
          <w:sz w:val="28"/>
        </w:rPr>
        <w:t>Avon</w:t>
      </w:r>
      <w:r w:rsidRPr="00E9210E">
        <w:rPr>
          <w:rStyle w:val="Corpsdutexte27ptGras"/>
          <w:rFonts w:eastAsia="Courier New"/>
          <w:b w:val="0"/>
          <w:sz w:val="28"/>
        </w:rPr>
        <w:t xml:space="preserve"> Clyde,</w:t>
      </w:r>
      <w:r w:rsidRPr="00E9210E">
        <w:rPr>
          <w:rStyle w:val="Corpsdutexte27ptGras"/>
          <w:rFonts w:eastAsia="Courier New"/>
          <w:sz w:val="28"/>
        </w:rPr>
        <w:t xml:space="preserve"> </w:t>
      </w:r>
      <w:r w:rsidRPr="00E9210E">
        <w:rPr>
          <w:rFonts w:eastAsia="Courier New"/>
          <w:i/>
        </w:rPr>
        <w:t>The Jus fe</w:t>
      </w:r>
      <w:r w:rsidRPr="00E9210E">
        <w:rPr>
          <w:rFonts w:eastAsia="Courier New"/>
          <w:i/>
        </w:rPr>
        <w:t>u</w:t>
      </w:r>
      <w:r w:rsidRPr="00E9210E">
        <w:rPr>
          <w:rFonts w:eastAsia="Courier New"/>
          <w:i/>
        </w:rPr>
        <w:t>dale</w:t>
      </w:r>
      <w:r w:rsidRPr="00E9210E">
        <w:rPr>
          <w:rFonts w:eastAsia="Courier New"/>
        </w:rPr>
        <w:t>,</w:t>
      </w:r>
      <w:r w:rsidRPr="00E9210E">
        <w:t xml:space="preserve"> Édimbourg et Londres, 1934), « M.H.S. », 1942, (I), p. 108-109.p</w:t>
      </w:r>
    </w:p>
    <w:p w14:paraId="1260836F" w14:textId="77777777" w:rsidR="00B9662D" w:rsidRPr="00E9210E" w:rsidRDefault="00B9662D" w:rsidP="00B9662D">
      <w:pPr>
        <w:spacing w:before="120" w:after="120"/>
        <w:jc w:val="both"/>
      </w:pPr>
      <w:r w:rsidRPr="00E9210E">
        <w:t xml:space="preserve">Sous la perruque du juge. (Compte rendu : R. M. </w:t>
      </w:r>
      <w:r w:rsidRPr="00E9210E">
        <w:rPr>
          <w:rStyle w:val="Corpsdutexte27ptGras"/>
          <w:rFonts w:eastAsia="Courier New"/>
          <w:b w:val="0"/>
          <w:smallCaps/>
          <w:sz w:val="28"/>
        </w:rPr>
        <w:t>Jackson</w:t>
      </w:r>
      <w:r w:rsidRPr="00E9210E">
        <w:rPr>
          <w:rStyle w:val="Corpsdutexte27ptGras"/>
          <w:rFonts w:eastAsia="Courier New"/>
          <w:b w:val="0"/>
          <w:sz w:val="28"/>
        </w:rPr>
        <w:t xml:space="preserve">, </w:t>
      </w:r>
      <w:r w:rsidRPr="00E9210E">
        <w:rPr>
          <w:rFonts w:eastAsia="Courier New"/>
          <w:i/>
        </w:rPr>
        <w:t>The mach</w:t>
      </w:r>
      <w:r w:rsidRPr="00E9210E">
        <w:rPr>
          <w:rFonts w:eastAsia="Courier New"/>
          <w:i/>
        </w:rPr>
        <w:t>i</w:t>
      </w:r>
      <w:r w:rsidRPr="00E9210E">
        <w:rPr>
          <w:rFonts w:eastAsia="Courier New"/>
          <w:i/>
        </w:rPr>
        <w:t>nery of justice in England</w:t>
      </w:r>
      <w:r w:rsidRPr="00E9210E">
        <w:rPr>
          <w:rFonts w:eastAsia="Courier New"/>
        </w:rPr>
        <w:t>,</w:t>
      </w:r>
      <w:r w:rsidRPr="00E9210E">
        <w:t xml:space="preserve"> Cambridge, 1940), « M.H.S. », 1942, (I), pp. 109-110.</w:t>
      </w:r>
    </w:p>
    <w:p w14:paraId="1B9EE22A" w14:textId="77777777" w:rsidR="00B9662D" w:rsidRPr="00E9210E" w:rsidRDefault="00B9662D" w:rsidP="00B9662D">
      <w:pPr>
        <w:spacing w:before="120" w:after="120"/>
        <w:jc w:val="both"/>
      </w:pPr>
      <w:r w:rsidRPr="00E9210E">
        <w:t>Une figure du XVII</w:t>
      </w:r>
      <w:r w:rsidRPr="00E9210E">
        <w:rPr>
          <w:vertAlign w:val="superscript"/>
        </w:rPr>
        <w:t>e</w:t>
      </w:r>
      <w:r w:rsidRPr="00E9210E">
        <w:t xml:space="preserve"> siècle. (Compte rendu : H. R. </w:t>
      </w:r>
      <w:r w:rsidRPr="00E9210E">
        <w:rPr>
          <w:rStyle w:val="Corpsdutexte27ptGras"/>
          <w:rFonts w:eastAsia="Courier New"/>
          <w:b w:val="0"/>
          <w:smallCaps/>
          <w:sz w:val="28"/>
        </w:rPr>
        <w:t>Trevor-Roper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w:t>
      </w:r>
      <w:r w:rsidRPr="00E9210E">
        <w:rPr>
          <w:rFonts w:eastAsia="Courier New"/>
          <w:i/>
        </w:rPr>
        <w:t>r</w:t>
      </w:r>
      <w:r w:rsidRPr="00E9210E">
        <w:rPr>
          <w:rFonts w:eastAsia="Courier New"/>
          <w:i/>
        </w:rPr>
        <w:t>chbishop Land :</w:t>
      </w:r>
      <w:r w:rsidRPr="00E9210E">
        <w:rPr>
          <w:rFonts w:eastAsia="Courier New"/>
        </w:rPr>
        <w:t xml:space="preserve"> </w:t>
      </w:r>
      <w:r w:rsidRPr="00E9210E">
        <w:rPr>
          <w:rStyle w:val="Corpsdutexte28ptItalique"/>
          <w:rFonts w:eastAsia="Courier New"/>
          <w:sz w:val="28"/>
        </w:rPr>
        <w:t>1573-1645</w:t>
      </w:r>
      <w:r w:rsidRPr="00E9210E">
        <w:rPr>
          <w:rFonts w:eastAsia="Courier New"/>
        </w:rPr>
        <w:t>,</w:t>
      </w:r>
      <w:r w:rsidRPr="00E9210E">
        <w:t xml:space="preserve"> Londres, 1940), « M.H.S. », 1942, (I), p. 110.</w:t>
      </w:r>
    </w:p>
    <w:p w14:paraId="39571882" w14:textId="77777777" w:rsidR="00B9662D" w:rsidRPr="00E9210E" w:rsidRDefault="00B9662D" w:rsidP="00B9662D">
      <w:pPr>
        <w:spacing w:before="120" w:after="120"/>
        <w:jc w:val="both"/>
      </w:pPr>
      <w:r w:rsidRPr="00E9210E">
        <w:t xml:space="preserve">Un mot dangereux. (Compte rendu : D. G. </w:t>
      </w:r>
      <w:r w:rsidRPr="00E9210E">
        <w:rPr>
          <w:rStyle w:val="Corpsdutexte27ptGras"/>
          <w:rFonts w:eastAsia="Courier New"/>
          <w:b w:val="0"/>
          <w:smallCaps/>
          <w:sz w:val="28"/>
        </w:rPr>
        <w:t>Douglas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Norman Conquest and English feudalism</w:t>
      </w:r>
      <w:r w:rsidRPr="00E9210E">
        <w:rPr>
          <w:rFonts w:eastAsia="Courier New"/>
        </w:rPr>
        <w:t>,</w:t>
      </w:r>
      <w:r w:rsidRPr="00E9210E">
        <w:t xml:space="preserve"> dans </w:t>
      </w:r>
      <w:r w:rsidRPr="00E9210E">
        <w:rPr>
          <w:rFonts w:eastAsia="Courier New"/>
          <w:i/>
        </w:rPr>
        <w:t>The Economic History Review</w:t>
      </w:r>
      <w:r w:rsidRPr="00E9210E">
        <w:rPr>
          <w:rFonts w:eastAsia="Courier New"/>
        </w:rPr>
        <w:t>,</w:t>
      </w:r>
      <w:r w:rsidRPr="00E9210E">
        <w:t xml:space="preserve"> t. IX (1939), pp. 128-143), « M.H.S. », 1942, (I), p. 111.</w:t>
      </w:r>
    </w:p>
    <w:p w14:paraId="5D54165B" w14:textId="77777777" w:rsidR="00B9662D" w:rsidRPr="00E9210E" w:rsidRDefault="00B9662D" w:rsidP="00B9662D">
      <w:pPr>
        <w:spacing w:before="120" w:after="120"/>
        <w:jc w:val="both"/>
      </w:pPr>
      <w:r w:rsidRPr="00E9210E">
        <w:t xml:space="preserve">Compte rendu : A. S. </w:t>
      </w:r>
      <w:r w:rsidRPr="00E9210E">
        <w:rPr>
          <w:rStyle w:val="Corpsdutexte27ptGras"/>
          <w:rFonts w:eastAsia="Courier New"/>
          <w:b w:val="0"/>
          <w:smallCaps/>
          <w:sz w:val="28"/>
        </w:rPr>
        <w:t>Tuberville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i/>
        </w:rPr>
        <w:t xml:space="preserve">A </w:t>
      </w:r>
      <w:r w:rsidRPr="00E9210E">
        <w:rPr>
          <w:rFonts w:eastAsia="Courier New"/>
          <w:i/>
        </w:rPr>
        <w:t>history of Welbeck Abbey and its pioners</w:t>
      </w:r>
      <w:r w:rsidRPr="00E9210E">
        <w:rPr>
          <w:rFonts w:eastAsia="Courier New"/>
        </w:rPr>
        <w:t>.</w:t>
      </w:r>
      <w:r w:rsidRPr="00E9210E">
        <w:t xml:space="preserve"> T. I : </w:t>
      </w:r>
      <w:r w:rsidRPr="00E9210E">
        <w:rPr>
          <w:rStyle w:val="Corpsdutexte28ptItalique"/>
          <w:rFonts w:eastAsia="Courier New"/>
          <w:sz w:val="28"/>
        </w:rPr>
        <w:t>1539-1775,</w:t>
      </w:r>
      <w:r w:rsidRPr="00E9210E">
        <w:rPr>
          <w:rStyle w:val="Corpsdutexte28ptGrasEspacement1ptchelle120"/>
          <w:rFonts w:eastAsia="Courier New"/>
          <w:sz w:val="28"/>
        </w:rPr>
        <w:t xml:space="preserve"> </w:t>
      </w:r>
      <w:r w:rsidRPr="00E9210E">
        <w:t>Londres, « M.H.S. », 1942, (I), pp. 111-112.</w:t>
      </w:r>
    </w:p>
    <w:p w14:paraId="7DEA86CF"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rendu : G. E. </w:t>
      </w:r>
      <w:r w:rsidRPr="00E9210E">
        <w:rPr>
          <w:rStyle w:val="Corpsdutexte37ptGrasNonItalique"/>
          <w:rFonts w:eastAsia="Courier New"/>
          <w:b w:val="0"/>
          <w:i w:val="0"/>
          <w:iCs w:val="0"/>
          <w:smallCaps/>
          <w:sz w:val="28"/>
        </w:rPr>
        <w:t>Fussel</w:t>
      </w:r>
      <w:r w:rsidRPr="00E9210E">
        <w:rPr>
          <w:rStyle w:val="Corpsdutexte37ptGrasNonItalique"/>
          <w:rFonts w:eastAsia="Courier New"/>
          <w:b w:val="0"/>
          <w:i w:val="0"/>
          <w:iCs w:val="0"/>
          <w:sz w:val="28"/>
        </w:rPr>
        <w:t>,</w:t>
      </w:r>
      <w:r w:rsidRPr="00E9210E">
        <w:rPr>
          <w:rStyle w:val="Corpsdutexte37ptGrasNonItalique"/>
          <w:rFonts w:eastAsia="Courier New"/>
          <w:i w:val="0"/>
          <w:iCs w:val="0"/>
          <w:sz w:val="28"/>
        </w:rPr>
        <w:t xml:space="preserve"> </w:t>
      </w:r>
      <w:r w:rsidRPr="00E9210E">
        <w:rPr>
          <w:i/>
        </w:rPr>
        <w:t>Robert Loder’s Farm Accounts (1610-1620</w:t>
      </w:r>
      <w:r w:rsidRPr="00E9210E">
        <w:rPr>
          <w:rFonts w:eastAsia="Courier New"/>
          <w:i/>
        </w:rPr>
        <w:t>),</w:t>
      </w:r>
      <w:r w:rsidRPr="00E9210E">
        <w:rPr>
          <w:rStyle w:val="Corpsdutexte385ptNonItalique"/>
          <w:rFonts w:eastAsia="Courier New"/>
          <w:i w:val="0"/>
          <w:iCs w:val="0"/>
          <w:sz w:val="28"/>
        </w:rPr>
        <w:t xml:space="preserve"> Lo</w:t>
      </w:r>
      <w:r w:rsidRPr="00E9210E">
        <w:rPr>
          <w:rStyle w:val="Corpsdutexte385ptNonItalique"/>
          <w:rFonts w:eastAsia="Courier New"/>
          <w:i w:val="0"/>
          <w:iCs w:val="0"/>
          <w:sz w:val="28"/>
        </w:rPr>
        <w:t>n</w:t>
      </w:r>
      <w:r w:rsidRPr="00E9210E">
        <w:rPr>
          <w:rStyle w:val="Corpsdutexte385ptNonItalique"/>
          <w:rFonts w:eastAsia="Courier New"/>
          <w:i w:val="0"/>
          <w:iCs w:val="0"/>
          <w:sz w:val="28"/>
        </w:rPr>
        <w:t>dres, 1936)</w:t>
      </w:r>
      <w:r w:rsidRPr="00E9210E">
        <w:t>, « M.H.S. », 1942, (I), p. 112.</w:t>
      </w:r>
    </w:p>
    <w:p w14:paraId="2942A6AA" w14:textId="77777777" w:rsidR="00B9662D" w:rsidRPr="00E9210E" w:rsidRDefault="00B9662D" w:rsidP="00B9662D">
      <w:pPr>
        <w:spacing w:before="120" w:after="120"/>
        <w:jc w:val="both"/>
      </w:pPr>
      <w:r w:rsidRPr="00E9210E">
        <w:t xml:space="preserve">Compte rendu : Miss N. </w:t>
      </w:r>
      <w:r w:rsidRPr="00E9210E">
        <w:rPr>
          <w:rStyle w:val="Corpsdutexte27ptGras"/>
          <w:rFonts w:eastAsia="Courier New"/>
          <w:b w:val="0"/>
          <w:smallCaps/>
          <w:sz w:val="28"/>
        </w:rPr>
        <w:t>Riches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agricultural revolution in No</w:t>
      </w:r>
      <w:r w:rsidRPr="00E9210E">
        <w:rPr>
          <w:rFonts w:eastAsia="Courier New"/>
          <w:i/>
        </w:rPr>
        <w:t>r</w:t>
      </w:r>
      <w:r w:rsidRPr="00E9210E">
        <w:rPr>
          <w:rFonts w:eastAsia="Courier New"/>
          <w:i/>
        </w:rPr>
        <w:t>folk</w:t>
      </w:r>
      <w:r w:rsidRPr="00E9210E">
        <w:rPr>
          <w:rFonts w:eastAsia="Courier New"/>
        </w:rPr>
        <w:t>,</w:t>
      </w:r>
      <w:r w:rsidRPr="00E9210E">
        <w:t xml:space="preserve"> Chapel Hill, 1937, « M.H.S. », 1942, (I), p. 112.</w:t>
      </w:r>
    </w:p>
    <w:p w14:paraId="7D009E26"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De Rome au Moyen Age : seigneurie et tenure en Italie. (Compte rendu : Br. </w:t>
      </w:r>
      <w:r w:rsidRPr="00E9210E">
        <w:rPr>
          <w:rStyle w:val="Corpsdutexte117ptGrasNonItaliqueEspacement0pt"/>
          <w:rFonts w:eastAsia="Courier New"/>
          <w:b w:val="0"/>
          <w:i w:val="0"/>
          <w:iCs w:val="0"/>
          <w:smallCaps/>
          <w:sz w:val="28"/>
          <w:lang w:val="fr-CA"/>
        </w:rPr>
        <w:t>Paradisi</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Cs w:val="0"/>
          <w:sz w:val="28"/>
          <w:lang w:val="fr-CA"/>
        </w:rPr>
        <w:t>« </w:t>
      </w:r>
      <w:r w:rsidRPr="00E9210E">
        <w:rPr>
          <w:rFonts w:eastAsia="Courier New"/>
          <w:i/>
        </w:rPr>
        <w:t>Massaricium</w:t>
      </w:r>
      <w:r w:rsidRPr="00E9210E">
        <w:rPr>
          <w:rStyle w:val="Corpsdutexte11NonItaliqueEspacement0pt"/>
          <w:rFonts w:eastAsia="Courier New"/>
          <w:i w:val="0"/>
          <w:iCs w:val="0"/>
          <w:sz w:val="28"/>
          <w:lang w:val="fr-CA"/>
        </w:rPr>
        <w:t xml:space="preserve"> » </w:t>
      </w:r>
      <w:r w:rsidRPr="00E9210E">
        <w:rPr>
          <w:rFonts w:eastAsia="Courier New"/>
          <w:i/>
        </w:rPr>
        <w:t>jus : studio sulle terre</w:t>
      </w:r>
      <w:r w:rsidRPr="00E9210E">
        <w:rPr>
          <w:rStyle w:val="Corpsdutexte11NonItaliqueEspacement0pt"/>
          <w:rFonts w:eastAsia="Courier New"/>
          <w:i w:val="0"/>
          <w:iCs w:val="0"/>
          <w:sz w:val="28"/>
          <w:lang w:val="fr-CA"/>
        </w:rPr>
        <w:t xml:space="preserve"> « </w:t>
      </w:r>
      <w:r w:rsidRPr="00E9210E">
        <w:rPr>
          <w:rFonts w:eastAsia="Courier New"/>
          <w:i/>
        </w:rPr>
        <w:t>contributariae</w:t>
      </w:r>
      <w:r w:rsidRPr="00E9210E">
        <w:rPr>
          <w:rStyle w:val="Corpsdutexte11NonItaliqueEspacement0pt"/>
          <w:rFonts w:eastAsia="Courier New"/>
          <w:i w:val="0"/>
          <w:iCs w:val="0"/>
          <w:sz w:val="28"/>
          <w:lang w:val="fr-CA"/>
        </w:rPr>
        <w:t xml:space="preserve"> » </w:t>
      </w:r>
      <w:r w:rsidRPr="00E9210E">
        <w:rPr>
          <w:rFonts w:eastAsia="Courier New"/>
          <w:i/>
        </w:rPr>
        <w:t>e« conservae</w:t>
      </w:r>
      <w:r w:rsidRPr="00E9210E">
        <w:rPr>
          <w:rStyle w:val="Corpsdutexte11NonItaliqueEspacement0pt"/>
          <w:rFonts w:eastAsia="Courier New"/>
          <w:i w:val="0"/>
          <w:iCs w:val="0"/>
          <w:sz w:val="28"/>
          <w:lang w:val="fr-CA"/>
        </w:rPr>
        <w:t xml:space="preserve"> » </w:t>
      </w:r>
      <w:r w:rsidRPr="00E9210E">
        <w:rPr>
          <w:rFonts w:eastAsia="Courier New"/>
          <w:i/>
        </w:rPr>
        <w:t>nel medio evo, con particulare r</w:t>
      </w:r>
      <w:r w:rsidRPr="00E9210E">
        <w:rPr>
          <w:rFonts w:eastAsia="Courier New"/>
          <w:i/>
        </w:rPr>
        <w:t>i</w:t>
      </w:r>
      <w:r w:rsidRPr="00E9210E">
        <w:rPr>
          <w:rFonts w:eastAsia="Courier New"/>
          <w:i/>
        </w:rPr>
        <w:t>guardo aile terre massaricie della Lombardia</w:t>
      </w:r>
      <w:r w:rsidRPr="00E9210E">
        <w:rPr>
          <w:rFonts w:eastAsia="Courier New"/>
        </w:rPr>
        <w:t>,</w:t>
      </w:r>
      <w:r w:rsidRPr="00E9210E">
        <w:rPr>
          <w:rStyle w:val="Corpsdutexte11NonItaliqueEspacement0pt"/>
          <w:rFonts w:eastAsia="Courier New"/>
          <w:i w:val="0"/>
          <w:iCs w:val="0"/>
          <w:sz w:val="28"/>
          <w:lang w:val="fr-CA"/>
        </w:rPr>
        <w:t xml:space="preserve"> Bologne, 1937)</w:t>
      </w:r>
      <w:r w:rsidRPr="00E9210E">
        <w:t>, « M.H.S. », 1942, (I), pp. 112-113.</w:t>
      </w:r>
    </w:p>
    <w:p w14:paraId="1BC00235" w14:textId="77777777" w:rsidR="00B9662D" w:rsidRPr="00E9210E" w:rsidRDefault="00B9662D" w:rsidP="00B9662D">
      <w:pPr>
        <w:spacing w:before="120" w:after="120"/>
        <w:jc w:val="both"/>
      </w:pPr>
      <w:r w:rsidRPr="00E9210E">
        <w:t xml:space="preserve">La draperie vénitienne. (Compte rendu : </w:t>
      </w:r>
      <w:r w:rsidRPr="00E9210E">
        <w:rPr>
          <w:rStyle w:val="Corpsdutexte27ptGras"/>
          <w:rFonts w:eastAsia="Courier New"/>
          <w:b w:val="0"/>
          <w:sz w:val="28"/>
        </w:rPr>
        <w:t>N.</w:t>
      </w:r>
      <w:r w:rsidRPr="00E9210E">
        <w:rPr>
          <w:rStyle w:val="Corpsdutexte27ptGras"/>
          <w:rFonts w:eastAsia="Courier New"/>
          <w:sz w:val="28"/>
        </w:rPr>
        <w:t xml:space="preserve"> </w:t>
      </w:r>
      <w:r w:rsidRPr="00E9210E">
        <w:rPr>
          <w:rStyle w:val="Corpsdutexte27ptGras"/>
          <w:rFonts w:eastAsia="Courier New"/>
          <w:b w:val="0"/>
          <w:smallCaps/>
          <w:sz w:val="28"/>
        </w:rPr>
        <w:t>Fano</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Ricerche sul’arte della lana à Venezia nel </w:t>
      </w:r>
      <w:r w:rsidRPr="00E9210E">
        <w:rPr>
          <w:rStyle w:val="Corpsdutexte2ItaliqueEspacement1pt"/>
          <w:rFonts w:eastAsia="Courier New"/>
          <w:sz w:val="28"/>
          <w:lang w:val="fr-CA"/>
        </w:rPr>
        <w:t>XIII</w:t>
      </w:r>
      <w:r w:rsidRPr="00E9210E">
        <w:rPr>
          <w:rFonts w:eastAsia="Courier New"/>
          <w:i/>
        </w:rPr>
        <w:t xml:space="preserve"> e </w:t>
      </w:r>
      <w:r w:rsidRPr="00E9210E">
        <w:rPr>
          <w:rStyle w:val="Corpsdutexte2ItaliqueEspacement1pt"/>
          <w:rFonts w:eastAsia="Courier New"/>
          <w:i w:val="0"/>
          <w:sz w:val="28"/>
          <w:lang w:val="fr-CA"/>
        </w:rPr>
        <w:t>XIV</w:t>
      </w:r>
      <w:r w:rsidRPr="00E9210E">
        <w:rPr>
          <w:rFonts w:eastAsia="Courier New"/>
          <w:i/>
        </w:rPr>
        <w:t xml:space="preserve"> secolo</w:t>
      </w:r>
      <w:r w:rsidRPr="00E9210E">
        <w:rPr>
          <w:rFonts w:eastAsia="Courier New"/>
        </w:rPr>
        <w:t>,</w:t>
      </w:r>
      <w:r w:rsidRPr="00E9210E">
        <w:t xml:space="preserve"> dans </w:t>
      </w:r>
      <w:r w:rsidRPr="00E9210E">
        <w:rPr>
          <w:rFonts w:eastAsia="Courier New"/>
          <w:i/>
        </w:rPr>
        <w:t>Archivio Veneto,</w:t>
      </w:r>
      <w:r w:rsidRPr="00E9210E">
        <w:t xml:space="preserve"> t. XVIII (1936), p. 74-213), « M.H.S. », 1942, (I), pp. 113-114.</w:t>
      </w:r>
    </w:p>
    <w:p w14:paraId="30215C09" w14:textId="77777777" w:rsidR="00B9662D" w:rsidRPr="00E9210E" w:rsidRDefault="00B9662D" w:rsidP="00B9662D">
      <w:pPr>
        <w:spacing w:before="120" w:after="120"/>
        <w:jc w:val="both"/>
      </w:pPr>
      <w:r w:rsidRPr="00E9210E">
        <w:t xml:space="preserve">Choses et gens de Gênes. (Compte rendu : R. </w:t>
      </w:r>
      <w:r w:rsidRPr="00E9210E">
        <w:rPr>
          <w:rStyle w:val="Corpsdutexte27ptGras"/>
          <w:rFonts w:eastAsia="Courier New"/>
          <w:b w:val="0"/>
          <w:smallCaps/>
          <w:sz w:val="28"/>
        </w:rPr>
        <w:t>Lopez</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Storie delle col</w:t>
      </w:r>
      <w:r w:rsidRPr="00E9210E">
        <w:rPr>
          <w:rFonts w:eastAsia="Courier New"/>
          <w:i/>
        </w:rPr>
        <w:t>o</w:t>
      </w:r>
      <w:r w:rsidRPr="00E9210E">
        <w:rPr>
          <w:rFonts w:eastAsia="Courier New"/>
          <w:i/>
        </w:rPr>
        <w:t>nie genovesi nel Mediterraneo</w:t>
      </w:r>
      <w:r w:rsidRPr="00E9210E">
        <w:rPr>
          <w:rFonts w:eastAsia="Courier New"/>
        </w:rPr>
        <w:t>,</w:t>
      </w:r>
      <w:r w:rsidRPr="00E9210E">
        <w:t xml:space="preserve"> Bologne, 1938), « M.H.S. », 1942, (I), pp. 114-115.</w:t>
      </w:r>
    </w:p>
    <w:p w14:paraId="0AD48244" w14:textId="77777777" w:rsidR="00B9662D" w:rsidRPr="00E9210E" w:rsidRDefault="00B9662D" w:rsidP="00B9662D">
      <w:pPr>
        <w:spacing w:before="120" w:after="120"/>
        <w:jc w:val="both"/>
      </w:pPr>
      <w:r w:rsidRPr="00E9210E">
        <w:t>[1100]</w:t>
      </w:r>
    </w:p>
    <w:p w14:paraId="159618A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Dr. P. </w:t>
      </w:r>
      <w:r w:rsidRPr="00E9210E">
        <w:rPr>
          <w:rStyle w:val="Corpsdutexte117ptGrasNonItaliqueEspacement0pt"/>
          <w:rFonts w:eastAsia="Courier New"/>
          <w:b w:val="0"/>
          <w:i w:val="0"/>
          <w:iCs w:val="0"/>
          <w:smallCaps/>
          <w:sz w:val="28"/>
          <w:lang w:val="fr-CA"/>
        </w:rPr>
        <w:t>Schmitz-Elsen,</w:t>
      </w:r>
      <w:r w:rsidRPr="00E9210E">
        <w:rPr>
          <w:rStyle w:val="Corpsdutexte117ptGrasNonItaliqueEspacement0pt"/>
          <w:rFonts w:eastAsia="Courier New"/>
          <w:i w:val="0"/>
          <w:iCs w:val="0"/>
          <w:sz w:val="28"/>
          <w:lang w:val="fr-CA"/>
        </w:rPr>
        <w:t xml:space="preserve"> </w:t>
      </w:r>
      <w:r w:rsidRPr="00E9210E">
        <w:rPr>
          <w:rFonts w:eastAsia="Courier New"/>
          <w:i/>
        </w:rPr>
        <w:t>Die Agrarlandschaft der italienischen Halbinsel in der Zeit vom</w:t>
      </w:r>
      <w:r w:rsidRPr="00E9210E">
        <w:rPr>
          <w:rFonts w:eastAsia="Courier New"/>
        </w:rPr>
        <w:t xml:space="preserve"> </w:t>
      </w:r>
      <w:r w:rsidRPr="00E9210E">
        <w:rPr>
          <w:rFonts w:eastAsia="Courier New"/>
          <w:i/>
        </w:rPr>
        <w:t>Ausgange der römischen R</w:t>
      </w:r>
      <w:r w:rsidRPr="00E9210E">
        <w:rPr>
          <w:rFonts w:eastAsia="Courier New"/>
          <w:i/>
        </w:rPr>
        <w:t>e</w:t>
      </w:r>
      <w:r w:rsidRPr="00E9210E">
        <w:rPr>
          <w:rFonts w:eastAsia="Courier New"/>
          <w:i/>
        </w:rPr>
        <w:t>publik bis zum Ende des ersten Jahrhunderts unserer Zeitrechnung</w:t>
      </w:r>
      <w:r w:rsidRPr="00E9210E">
        <w:rPr>
          <w:rFonts w:eastAsia="Courier New"/>
        </w:rPr>
        <w:t>,</w:t>
      </w:r>
      <w:r w:rsidRPr="00E9210E">
        <w:rPr>
          <w:rStyle w:val="Corpsdutexte11NonItaliqueEspacement0pt"/>
          <w:rFonts w:eastAsia="Courier New"/>
          <w:i w:val="0"/>
          <w:iCs w:val="0"/>
          <w:sz w:val="28"/>
          <w:lang w:val="fr-CA"/>
        </w:rPr>
        <w:t xml:space="preserve"> Berlin, 1938, « M.H.S. », 1942, (I), p. 116.</w:t>
      </w:r>
    </w:p>
    <w:p w14:paraId="3A3BE5F4" w14:textId="77777777" w:rsidR="00B9662D" w:rsidRPr="00E9210E" w:rsidRDefault="00B9662D" w:rsidP="00B9662D">
      <w:pPr>
        <w:spacing w:before="120" w:after="120"/>
        <w:jc w:val="both"/>
      </w:pPr>
      <w:r w:rsidRPr="00E9210E">
        <w:t xml:space="preserve">Compte rendu : F. </w:t>
      </w:r>
      <w:r w:rsidRPr="00E9210E">
        <w:rPr>
          <w:rStyle w:val="Corpsdutexte27ptGras"/>
          <w:rFonts w:eastAsia="Courier New"/>
          <w:b w:val="0"/>
          <w:smallCaps/>
          <w:sz w:val="28"/>
        </w:rPr>
        <w:t>Carli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rPr>
        <w:t xml:space="preserve">Il </w:t>
      </w:r>
      <w:r w:rsidRPr="00E9210E">
        <w:rPr>
          <w:rFonts w:eastAsia="Courier New"/>
          <w:i/>
        </w:rPr>
        <w:t>mercato nell’étà del comune. Storia del commercio italiano</w:t>
      </w:r>
      <w:r w:rsidRPr="00E9210E">
        <w:rPr>
          <w:rFonts w:eastAsia="Courier New"/>
        </w:rPr>
        <w:t xml:space="preserve">. </w:t>
      </w:r>
      <w:r w:rsidRPr="00E9210E">
        <w:t>II, Padoue, 1936, « M.H.S. », 1942, (I), pp. 116-117.</w:t>
      </w:r>
    </w:p>
    <w:p w14:paraId="26F19915" w14:textId="77777777" w:rsidR="00B9662D" w:rsidRPr="00E9210E" w:rsidRDefault="00B9662D" w:rsidP="00B9662D">
      <w:pPr>
        <w:spacing w:before="120" w:after="120"/>
        <w:jc w:val="both"/>
      </w:pPr>
      <w:r w:rsidRPr="00E9210E">
        <w:t xml:space="preserve">Compte rendu : A. </w:t>
      </w:r>
      <w:r w:rsidRPr="00E9210E">
        <w:rPr>
          <w:rStyle w:val="Corpsdutexte27ptGras"/>
          <w:rFonts w:eastAsia="Courier New"/>
          <w:b w:val="0"/>
          <w:smallCaps/>
          <w:sz w:val="28"/>
        </w:rPr>
        <w:t>Fanfani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ItaliqueEspacement1pt"/>
          <w:rFonts w:eastAsia="Courier New"/>
          <w:sz w:val="28"/>
          <w:lang w:val="fr-CA"/>
        </w:rPr>
        <w:t>Saggi</w:t>
      </w:r>
      <w:r w:rsidRPr="00E9210E">
        <w:rPr>
          <w:rFonts w:eastAsia="Courier New"/>
        </w:rPr>
        <w:t xml:space="preserve"> </w:t>
      </w:r>
      <w:r w:rsidRPr="00E9210E">
        <w:rPr>
          <w:rFonts w:eastAsia="Courier New"/>
          <w:i/>
        </w:rPr>
        <w:t>di storia economica italiana</w:t>
      </w:r>
      <w:r w:rsidRPr="00E9210E">
        <w:rPr>
          <w:rFonts w:eastAsia="Courier New"/>
        </w:rPr>
        <w:t>,</w:t>
      </w:r>
      <w:r w:rsidRPr="00E9210E">
        <w:t xml:space="preserve"> M</w:t>
      </w:r>
      <w:r w:rsidRPr="00E9210E">
        <w:t>i</w:t>
      </w:r>
      <w:r w:rsidRPr="00E9210E">
        <w:t>lan, 1936, « M.H.S. », 1942, (I), p. 117.</w:t>
      </w:r>
    </w:p>
    <w:p w14:paraId="1D8A937F" w14:textId="77777777" w:rsidR="00B9662D" w:rsidRPr="00E9210E" w:rsidRDefault="00B9662D" w:rsidP="00B9662D">
      <w:pPr>
        <w:spacing w:before="120" w:after="120"/>
        <w:jc w:val="both"/>
      </w:pPr>
      <w:r w:rsidRPr="00E9210E">
        <w:t xml:space="preserve">Compte rendu : Fr. </w:t>
      </w:r>
      <w:r w:rsidRPr="00E9210E">
        <w:rPr>
          <w:rStyle w:val="Corpsdutexte27ptGras"/>
          <w:rFonts w:eastAsia="Courier New"/>
          <w:b w:val="0"/>
          <w:smallCaps/>
          <w:sz w:val="28"/>
        </w:rPr>
        <w:t>Borlandi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El libro di mercatantie ed iisanze de’ paesi</w:t>
      </w:r>
      <w:r w:rsidRPr="00E9210E">
        <w:rPr>
          <w:rFonts w:eastAsia="Courier New"/>
        </w:rPr>
        <w:t>,</w:t>
      </w:r>
      <w:r w:rsidRPr="00E9210E">
        <w:t xml:space="preserve"> Turin, 1936, « M.H.S. », 1942, (I), p. 118.</w:t>
      </w:r>
    </w:p>
    <w:p w14:paraId="684932F2" w14:textId="77777777" w:rsidR="00B9662D" w:rsidRPr="00E9210E" w:rsidRDefault="00B9662D" w:rsidP="00B9662D">
      <w:pPr>
        <w:spacing w:before="120" w:after="120"/>
        <w:jc w:val="both"/>
      </w:pPr>
      <w:r w:rsidRPr="00E9210E">
        <w:t xml:space="preserve">Villages et terroirs de Bulgarie. (Compte rendu : H. </w:t>
      </w:r>
      <w:r w:rsidRPr="00E9210E">
        <w:rPr>
          <w:rStyle w:val="Corpsdutexte27ptGras"/>
          <w:rFonts w:eastAsia="Courier New"/>
          <w:b w:val="0"/>
          <w:smallCaps/>
          <w:sz w:val="28"/>
        </w:rPr>
        <w:t>Wilhelmy</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Hoc</w:t>
      </w:r>
      <w:r w:rsidRPr="00E9210E">
        <w:rPr>
          <w:rFonts w:eastAsia="Courier New"/>
          <w:i/>
        </w:rPr>
        <w:t>h</w:t>
      </w:r>
      <w:r w:rsidRPr="00E9210E">
        <w:rPr>
          <w:rFonts w:eastAsia="Courier New"/>
          <w:i/>
        </w:rPr>
        <w:t>bulgarien</w:t>
      </w:r>
      <w:r w:rsidRPr="00E9210E">
        <w:rPr>
          <w:rFonts w:eastAsia="Courier New"/>
        </w:rPr>
        <w:t>.</w:t>
      </w:r>
      <w:r w:rsidRPr="00E9210E">
        <w:t xml:space="preserve"> </w:t>
      </w:r>
      <w:r w:rsidRPr="00E9210E">
        <w:rPr>
          <w:rStyle w:val="Corpsdutexte27ptGras"/>
          <w:rFonts w:eastAsia="Courier New"/>
          <w:b w:val="0"/>
          <w:sz w:val="28"/>
        </w:rPr>
        <w:t>I :</w:t>
      </w:r>
      <w:r w:rsidRPr="00E9210E">
        <w:t xml:space="preserve"> </w:t>
      </w:r>
      <w:r w:rsidRPr="00E9210E">
        <w:rPr>
          <w:rFonts w:eastAsia="Courier New"/>
          <w:i/>
        </w:rPr>
        <w:t>Die ländlichen Siedlungen und die bauerliche Wirtschaft</w:t>
      </w:r>
      <w:r w:rsidRPr="00E9210E">
        <w:t>, Kiel, 1935), « M.H.S. », 1942, (I), pp. 118-119.</w:t>
      </w:r>
    </w:p>
    <w:p w14:paraId="5B345683" w14:textId="77777777" w:rsidR="00B9662D" w:rsidRPr="00E9210E" w:rsidRDefault="00B9662D" w:rsidP="00B9662D">
      <w:pPr>
        <w:spacing w:before="120" w:after="120"/>
        <w:jc w:val="both"/>
      </w:pPr>
      <w:r w:rsidRPr="00E9210E">
        <w:t xml:space="preserve">A travers les campagnes de la Yougoslavie. (Compte rendu : O. von </w:t>
      </w:r>
      <w:r w:rsidRPr="00E9210E">
        <w:rPr>
          <w:rStyle w:val="Corpsdutexte27ptGras"/>
          <w:rFonts w:eastAsia="Courier New"/>
          <w:b w:val="0"/>
          <w:smallCaps/>
          <w:sz w:val="28"/>
        </w:rPr>
        <w:t>Franges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sozialökonomische Struktur der jugoslawischen Landwirtschaft</w:t>
      </w:r>
      <w:r w:rsidRPr="00E9210E">
        <w:t>, Berlin, 1937), « M.H.S. », 1942, (I), pp. 119-120.</w:t>
      </w:r>
    </w:p>
    <w:p w14:paraId="01E7CF50"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R. </w:t>
      </w:r>
      <w:r w:rsidRPr="00E9210E">
        <w:rPr>
          <w:rStyle w:val="Corpsdutexte117ptGrasNonItaliqueEspacement0pt"/>
          <w:rFonts w:eastAsia="Courier New"/>
          <w:b w:val="0"/>
          <w:i w:val="0"/>
          <w:iCs w:val="0"/>
          <w:smallCaps/>
          <w:sz w:val="28"/>
          <w:lang w:val="fr-CA"/>
        </w:rPr>
        <w:t>Busch-Zantner</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Agrarverfassung</w:t>
      </w:r>
      <w:r w:rsidRPr="00E9210E">
        <w:rPr>
          <w:rStyle w:val="Corpsdutexte11NonItaliqueEspacement0pt"/>
          <w:rFonts w:eastAsia="Courier New"/>
          <w:i w:val="0"/>
          <w:iCs w:val="0"/>
          <w:sz w:val="28"/>
          <w:lang w:val="fr-CA"/>
        </w:rPr>
        <w:t xml:space="preserve">, </w:t>
      </w:r>
      <w:r w:rsidRPr="00E9210E">
        <w:rPr>
          <w:rFonts w:eastAsia="Courier New"/>
          <w:i/>
        </w:rPr>
        <w:t>Gesel</w:t>
      </w:r>
      <w:r w:rsidRPr="00E9210E">
        <w:rPr>
          <w:rFonts w:eastAsia="Courier New"/>
          <w:i/>
        </w:rPr>
        <w:t>l</w:t>
      </w:r>
      <w:r w:rsidRPr="00E9210E">
        <w:rPr>
          <w:rFonts w:eastAsia="Courier New"/>
          <w:i/>
        </w:rPr>
        <w:t>schaft und Siedlung in Südosteuropa</w:t>
      </w:r>
      <w:r w:rsidRPr="00E9210E">
        <w:rPr>
          <w:rStyle w:val="Corpsdutexte11NonItaliqueEspacement0pt"/>
          <w:rFonts w:eastAsia="Courier New"/>
          <w:i w:val="0"/>
          <w:iCs w:val="0"/>
          <w:sz w:val="28"/>
          <w:lang w:val="fr-CA"/>
        </w:rPr>
        <w:t xml:space="preserve">, </w:t>
      </w:r>
      <w:r w:rsidRPr="00E9210E">
        <w:rPr>
          <w:rFonts w:eastAsia="Courier New"/>
          <w:i/>
        </w:rPr>
        <w:t>unter besonderer Berücksicht</w:t>
      </w:r>
      <w:r w:rsidRPr="00E9210E">
        <w:rPr>
          <w:rFonts w:eastAsia="Courier New"/>
          <w:i/>
        </w:rPr>
        <w:t>i</w:t>
      </w:r>
      <w:r w:rsidRPr="00E9210E">
        <w:rPr>
          <w:rFonts w:eastAsia="Courier New"/>
          <w:i/>
        </w:rPr>
        <w:t>gung der Tiirkenzeit</w:t>
      </w:r>
      <w:r w:rsidRPr="00E9210E">
        <w:rPr>
          <w:rStyle w:val="Corpsdutexte11NonItaliqueEspacement0pt"/>
          <w:rFonts w:eastAsia="Courier New"/>
          <w:i w:val="0"/>
          <w:iCs w:val="0"/>
          <w:sz w:val="28"/>
          <w:lang w:val="fr-CA"/>
        </w:rPr>
        <w:t>, Leipzig, 1938), « M.H.S. », 1942, (I), p. 120.</w:t>
      </w:r>
    </w:p>
    <w:p w14:paraId="3508DCDF" w14:textId="77777777" w:rsidR="00B9662D" w:rsidRPr="00E9210E" w:rsidRDefault="00B9662D" w:rsidP="00B9662D">
      <w:pPr>
        <w:spacing w:before="120" w:after="120"/>
        <w:jc w:val="both"/>
      </w:pPr>
      <w:r w:rsidRPr="00E9210E">
        <w:t xml:space="preserve">Aux origines de notre société rurale. (Compte rendu : A. </w:t>
      </w:r>
      <w:r w:rsidRPr="00E9210E">
        <w:rPr>
          <w:rStyle w:val="Corpsdutexte27ptGras"/>
          <w:rFonts w:eastAsia="Courier New"/>
          <w:b w:val="0"/>
          <w:smallCaps/>
          <w:sz w:val="28"/>
        </w:rPr>
        <w:t>Deléage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vie rurale en Bourgogne jusqu’au début du XI</w:t>
      </w:r>
      <w:r w:rsidRPr="00E9210E">
        <w:rPr>
          <w:rFonts w:eastAsia="Courier New"/>
          <w:i/>
          <w:vertAlign w:val="superscript"/>
        </w:rPr>
        <w:t>e</w:t>
      </w:r>
      <w:r w:rsidRPr="00E9210E">
        <w:rPr>
          <w:rFonts w:eastAsia="Courier New"/>
          <w:i/>
        </w:rPr>
        <w:t xml:space="preserve"> siècle</w:t>
      </w:r>
      <w:r w:rsidRPr="00E9210E">
        <w:t>, Mâcon, 1941), « M.H.S. », 1942, (II), pp. 45-55.</w:t>
      </w:r>
    </w:p>
    <w:p w14:paraId="300E2251"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Problèmes de structure agraire et de méthode. (Comptes rendus : P. </w:t>
      </w:r>
      <w:r w:rsidRPr="00E9210E">
        <w:rPr>
          <w:rStyle w:val="Corpsdutexte117ptGrasNonItaliqueEspacement0pt"/>
          <w:rFonts w:eastAsia="Courier New"/>
          <w:b w:val="0"/>
          <w:i w:val="0"/>
          <w:iCs w:val="0"/>
          <w:smallCaps/>
          <w:sz w:val="28"/>
          <w:lang w:val="fr-CA"/>
        </w:rPr>
        <w:t>Fénelon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 structure des champs dans une commune du Pér</w:t>
      </w:r>
      <w:r w:rsidRPr="00E9210E">
        <w:rPr>
          <w:rFonts w:eastAsia="Courier New"/>
          <w:i/>
        </w:rPr>
        <w:t>i</w:t>
      </w:r>
      <w:r w:rsidRPr="00E9210E">
        <w:rPr>
          <w:rFonts w:eastAsia="Courier New"/>
          <w:i/>
        </w:rPr>
        <w:t>gord</w:t>
      </w:r>
      <w:r w:rsidRPr="00E9210E">
        <w:rPr>
          <w:rStyle w:val="Corpsdutexte11NonItaliqueEspacement0pt"/>
          <w:rFonts w:eastAsia="Courier New"/>
          <w:i w:val="0"/>
          <w:iCs w:val="0"/>
          <w:sz w:val="28"/>
          <w:lang w:val="fr-CA"/>
        </w:rPr>
        <w:t xml:space="preserve">, dans </w:t>
      </w:r>
      <w:r w:rsidRPr="00E9210E">
        <w:rPr>
          <w:rFonts w:eastAsia="Courier New"/>
          <w:i/>
        </w:rPr>
        <w:t>Revue de la Société de géographie commerciale de Bo</w:t>
      </w:r>
      <w:r w:rsidRPr="00E9210E">
        <w:rPr>
          <w:rFonts w:eastAsia="Courier New"/>
          <w:i/>
        </w:rPr>
        <w:t>r</w:t>
      </w:r>
      <w:r w:rsidRPr="00E9210E">
        <w:rPr>
          <w:rFonts w:eastAsia="Courier New"/>
          <w:i/>
        </w:rPr>
        <w:t>deaux</w:t>
      </w:r>
      <w:r w:rsidRPr="00E9210E">
        <w:rPr>
          <w:rStyle w:val="Corpsdutexte11NonItaliqueEspacement0pt"/>
          <w:rFonts w:eastAsia="Courier New"/>
          <w:i w:val="0"/>
          <w:iCs w:val="0"/>
          <w:sz w:val="28"/>
          <w:lang w:val="fr-CA"/>
        </w:rPr>
        <w:t xml:space="preserve">, 1937, pp. 11-22 et </w:t>
      </w:r>
      <w:r w:rsidRPr="00E9210E">
        <w:rPr>
          <w:rFonts w:eastAsia="Courier New"/>
          <w:i/>
        </w:rPr>
        <w:t>Structure des champs périgourdins</w:t>
      </w:r>
      <w:r w:rsidRPr="00E9210E">
        <w:rPr>
          <w:rStyle w:val="Corpsdutexte11NonItaliqueEspacement0pt"/>
          <w:rFonts w:eastAsia="Courier New"/>
          <w:i w:val="0"/>
          <w:iCs w:val="0"/>
          <w:sz w:val="28"/>
          <w:lang w:val="fr-CA"/>
        </w:rPr>
        <w:t xml:space="preserve">, dans </w:t>
      </w:r>
      <w:r w:rsidRPr="00E9210E">
        <w:rPr>
          <w:rFonts w:eastAsia="Courier New"/>
          <w:i/>
        </w:rPr>
        <w:t>Bull. de l’Association des géographes français</w:t>
      </w:r>
      <w:r w:rsidRPr="00E9210E">
        <w:rPr>
          <w:rStyle w:val="Corpsdutexte11NonItaliqueEspacement0pt"/>
          <w:rFonts w:eastAsia="Courier New"/>
          <w:i w:val="0"/>
          <w:iCs w:val="0"/>
          <w:sz w:val="28"/>
          <w:lang w:val="fr-CA"/>
        </w:rPr>
        <w:t>, 1939, pp. 154-162), « M.H.S. », 1942, (II), pp. 61-63.</w:t>
      </w:r>
    </w:p>
    <w:p w14:paraId="29475CF6" w14:textId="77777777" w:rsidR="00B9662D" w:rsidRPr="00E9210E" w:rsidRDefault="00B9662D" w:rsidP="00B9662D">
      <w:pPr>
        <w:spacing w:before="120" w:after="120"/>
        <w:jc w:val="both"/>
      </w:pPr>
      <w:r w:rsidRPr="00E9210E">
        <w:t xml:space="preserve">Images du Maroc rural. (Note sur les travaux de J. </w:t>
      </w:r>
      <w:r w:rsidRPr="00E9210E">
        <w:rPr>
          <w:rStyle w:val="Corpsdutexte27ptGras"/>
          <w:rFonts w:eastAsia="Courier New"/>
          <w:b w:val="0"/>
          <w:sz w:val="28"/>
        </w:rPr>
        <w:t>Berque),</w:t>
      </w:r>
      <w:r w:rsidRPr="00E9210E">
        <w:rPr>
          <w:rStyle w:val="Corpsdutexte27ptGras"/>
          <w:rFonts w:eastAsia="Courier New"/>
          <w:sz w:val="28"/>
        </w:rPr>
        <w:t xml:space="preserve"> </w:t>
      </w:r>
      <w:r w:rsidRPr="00E9210E">
        <w:t>« M.H.S. », 1942, (II), pp. 65-66.</w:t>
      </w:r>
    </w:p>
    <w:p w14:paraId="31C6138C"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Points de vue sur le Limousin. (Comptes rendus : A. </w:t>
      </w:r>
      <w:r w:rsidRPr="00E9210E">
        <w:rPr>
          <w:rStyle w:val="Corpsdutexte117ptGrasNonItaliqueEspacement0pt"/>
          <w:rFonts w:eastAsia="Courier New"/>
          <w:b w:val="0"/>
          <w:i w:val="0"/>
          <w:iCs w:val="0"/>
          <w:smallCaps/>
          <w:sz w:val="28"/>
          <w:lang w:val="fr-CA"/>
        </w:rPr>
        <w:t>Perpillou</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 Limousin : étude de géographie physique régionale</w:t>
      </w:r>
      <w:r w:rsidRPr="00E9210E">
        <w:rPr>
          <w:rStyle w:val="Corpsdutexte11NonItaliqueEspacement0pt"/>
          <w:rFonts w:eastAsia="Courier New"/>
          <w:i w:val="0"/>
          <w:iCs w:val="0"/>
          <w:sz w:val="28"/>
          <w:lang w:val="fr-CA"/>
        </w:rPr>
        <w:t>, Chartres. — </w:t>
      </w:r>
      <w:r w:rsidRPr="00E9210E">
        <w:rPr>
          <w:rFonts w:eastAsia="Courier New"/>
          <w:i/>
        </w:rPr>
        <w:t>Cartographie du paysage rural limousin : essai d’utilisation ratio</w:t>
      </w:r>
      <w:r w:rsidRPr="00E9210E">
        <w:rPr>
          <w:rFonts w:eastAsia="Courier New"/>
          <w:i/>
        </w:rPr>
        <w:t>n</w:t>
      </w:r>
      <w:r w:rsidRPr="00E9210E">
        <w:rPr>
          <w:rFonts w:eastAsia="Courier New"/>
          <w:i/>
        </w:rPr>
        <w:t>nelle des plans cadastraux</w:t>
      </w:r>
      <w:r w:rsidRPr="00E9210E">
        <w:rPr>
          <w:rFonts w:eastAsia="Courier New"/>
        </w:rPr>
        <w:t>.</w:t>
      </w:r>
      <w:r w:rsidRPr="00E9210E">
        <w:rPr>
          <w:rStyle w:val="Corpsdutexte11NonItaliqueEspacement0pt"/>
          <w:rFonts w:eastAsia="Courier New"/>
          <w:i w:val="0"/>
          <w:iCs w:val="0"/>
          <w:sz w:val="28"/>
          <w:lang w:val="fr-CA"/>
        </w:rPr>
        <w:t xml:space="preserve"> I : </w:t>
      </w:r>
      <w:r w:rsidRPr="00E9210E">
        <w:rPr>
          <w:rFonts w:eastAsia="Courier New"/>
          <w:i/>
        </w:rPr>
        <w:t>Commentaires</w:t>
      </w:r>
      <w:r w:rsidRPr="00E9210E">
        <w:rPr>
          <w:rFonts w:eastAsia="Courier New"/>
        </w:rPr>
        <w:t xml:space="preserve">. </w:t>
      </w:r>
      <w:r w:rsidRPr="00E9210E">
        <w:rPr>
          <w:rStyle w:val="Corpsdutexte11NonItaliqueEspacement0pt"/>
          <w:rFonts w:eastAsia="Courier New"/>
          <w:i w:val="0"/>
          <w:iCs w:val="0"/>
          <w:sz w:val="28"/>
          <w:lang w:val="fr-CA"/>
        </w:rPr>
        <w:t xml:space="preserve">II : </w:t>
      </w:r>
      <w:r w:rsidRPr="00E9210E">
        <w:rPr>
          <w:rFonts w:eastAsia="Courier New"/>
          <w:i/>
        </w:rPr>
        <w:t>Atlas</w:t>
      </w:r>
      <w:r w:rsidRPr="00E9210E">
        <w:rPr>
          <w:rStyle w:val="Corpsdutexte11NonItaliqueEspacement0pt"/>
          <w:rFonts w:eastAsia="Courier New"/>
          <w:i w:val="0"/>
          <w:iCs w:val="0"/>
          <w:sz w:val="28"/>
          <w:lang w:val="fr-CA"/>
        </w:rPr>
        <w:t>, Chartres, 1940), « M.H.S. », 1942, (II), pp. 77-81.</w:t>
      </w:r>
    </w:p>
    <w:p w14:paraId="16E8B4F5" w14:textId="77777777" w:rsidR="00B9662D" w:rsidRPr="00E9210E" w:rsidRDefault="00B9662D" w:rsidP="00B9662D">
      <w:pPr>
        <w:spacing w:before="120" w:after="120"/>
        <w:jc w:val="both"/>
      </w:pPr>
      <w:r w:rsidRPr="00E9210E">
        <w:t xml:space="preserve">Aux origines de l'histoire romantique. (Compte rendu : M. </w:t>
      </w:r>
      <w:r w:rsidRPr="00E9210E">
        <w:rPr>
          <w:rStyle w:val="Corpsdutexte27ptGras"/>
          <w:rFonts w:eastAsia="Courier New"/>
          <w:b w:val="0"/>
          <w:smallCaps/>
          <w:sz w:val="28"/>
        </w:rPr>
        <w:t>Ro</w:t>
      </w:r>
      <w:r w:rsidRPr="00E9210E">
        <w:rPr>
          <w:rStyle w:val="Corpsdutexte27ptGras"/>
          <w:rFonts w:eastAsia="Courier New"/>
          <w:b w:val="0"/>
          <w:smallCaps/>
          <w:sz w:val="28"/>
        </w:rPr>
        <w:t>u</w:t>
      </w:r>
      <w:r w:rsidRPr="00E9210E">
        <w:rPr>
          <w:rStyle w:val="Corpsdutexte27ptGras"/>
          <w:rFonts w:eastAsia="Courier New"/>
          <w:b w:val="0"/>
          <w:smallCaps/>
          <w:sz w:val="28"/>
        </w:rPr>
        <w:t>ché</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philosophie de l’histoire de Herder</w:t>
      </w:r>
      <w:r w:rsidRPr="00E9210E">
        <w:t>, Paris, 1940), « M.H.S. », 1942, (II), p. 87.</w:t>
      </w:r>
    </w:p>
    <w:p w14:paraId="7872DF56" w14:textId="77777777" w:rsidR="00B9662D" w:rsidRPr="00E9210E" w:rsidRDefault="00B9662D" w:rsidP="00B9662D">
      <w:pPr>
        <w:spacing w:before="120" w:after="120"/>
        <w:jc w:val="both"/>
      </w:pPr>
      <w:r w:rsidRPr="00E9210E">
        <w:t xml:space="preserve">Compte rendu : E. </w:t>
      </w:r>
      <w:r w:rsidRPr="00E9210E">
        <w:rPr>
          <w:rStyle w:val="Corpsdutexte27ptGras"/>
          <w:rFonts w:eastAsia="Courier New"/>
          <w:b w:val="0"/>
          <w:smallCaps/>
          <w:sz w:val="28"/>
        </w:rPr>
        <w:t>Shipley Duckett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gateway to the Middle Ages</w:t>
      </w:r>
      <w:r w:rsidRPr="00E9210E">
        <w:t>, New York, 1938, « M.H.S. », 1942, (II), pp. 87-88.</w:t>
      </w:r>
    </w:p>
    <w:p w14:paraId="69EED941" w14:textId="77777777" w:rsidR="00B9662D" w:rsidRPr="00E9210E" w:rsidRDefault="00B9662D" w:rsidP="00B9662D">
      <w:pPr>
        <w:spacing w:before="120" w:after="120"/>
        <w:jc w:val="both"/>
      </w:pPr>
      <w:r w:rsidRPr="00E9210E">
        <w:t xml:space="preserve">Compte rendu : H. J. </w:t>
      </w:r>
      <w:r w:rsidRPr="00E9210E">
        <w:rPr>
          <w:rStyle w:val="Corpsdutexte27ptGras"/>
          <w:rFonts w:eastAsia="Courier New"/>
          <w:b w:val="0"/>
          <w:smallCaps/>
          <w:sz w:val="28"/>
        </w:rPr>
        <w:t>Green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Anseys de Mes according to Mss. N (B</w:t>
      </w:r>
      <w:r w:rsidRPr="00E9210E">
        <w:rPr>
          <w:rFonts w:eastAsia="Courier New"/>
          <w:i/>
        </w:rPr>
        <w:t>i</w:t>
      </w:r>
      <w:r w:rsidRPr="00E9210E">
        <w:rPr>
          <w:rFonts w:eastAsia="Courier New"/>
          <w:i/>
        </w:rPr>
        <w:t>bliothèque de l’Arsenal</w:t>
      </w:r>
      <w:r w:rsidRPr="00E9210E">
        <w:rPr>
          <w:i/>
        </w:rPr>
        <w:t>,</w:t>
      </w:r>
      <w:r w:rsidRPr="00E9210E">
        <w:t xml:space="preserve"> </w:t>
      </w:r>
      <w:r w:rsidRPr="00E9210E">
        <w:rPr>
          <w:rStyle w:val="Corpsdutexte28ptItalique"/>
          <w:rFonts w:eastAsia="Courier New"/>
          <w:sz w:val="28"/>
        </w:rPr>
        <w:t>3143),</w:t>
      </w:r>
      <w:r w:rsidRPr="00E9210E">
        <w:t xml:space="preserve"> Paris, 1939, « M.H.S. », 1942, (II), p. 88.</w:t>
      </w:r>
    </w:p>
    <w:p w14:paraId="0B118BED" w14:textId="77777777" w:rsidR="00B9662D" w:rsidRPr="00E9210E" w:rsidRDefault="00B9662D" w:rsidP="00B9662D">
      <w:pPr>
        <w:spacing w:before="120" w:after="120"/>
        <w:jc w:val="both"/>
      </w:pPr>
      <w:r w:rsidRPr="00E9210E">
        <w:t xml:space="preserve">Marchands de la Hanse et marchands de l'Allemagne du Sud. (Compte rendu : Cl. </w:t>
      </w:r>
      <w:r w:rsidRPr="00E9210E">
        <w:rPr>
          <w:rStyle w:val="Corpsdutexte27ptGras"/>
          <w:rFonts w:eastAsia="Courier New"/>
          <w:b w:val="0"/>
          <w:smallCaps/>
          <w:sz w:val="28"/>
        </w:rPr>
        <w:t>Nordmann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Oberdeutschland und die deutsche Hanse</w:t>
      </w:r>
      <w:r w:rsidRPr="00E9210E">
        <w:t>, Weimar, 1939), « M.H.S. », 1942, (II), p. 89.</w:t>
      </w:r>
    </w:p>
    <w:p w14:paraId="3B31B97F" w14:textId="77777777" w:rsidR="00B9662D" w:rsidRPr="00E9210E" w:rsidRDefault="00B9662D" w:rsidP="00B9662D">
      <w:pPr>
        <w:spacing w:before="120" w:after="120"/>
        <w:jc w:val="both"/>
      </w:pPr>
      <w:r w:rsidRPr="00E9210E">
        <w:t xml:space="preserve">Un grand courant commercial : de Königsberg </w:t>
      </w:r>
      <w:r w:rsidRPr="00E9210E">
        <w:rPr>
          <w:rStyle w:val="Corpsdutexte27ptGras"/>
          <w:rFonts w:eastAsia="Courier New"/>
          <w:b w:val="0"/>
          <w:sz w:val="28"/>
        </w:rPr>
        <w:t>à</w:t>
      </w:r>
      <w:r w:rsidRPr="00E9210E">
        <w:rPr>
          <w:rStyle w:val="Corpsdutexte27ptGras"/>
          <w:rFonts w:eastAsia="Courier New"/>
          <w:sz w:val="28"/>
        </w:rPr>
        <w:t xml:space="preserve"> </w:t>
      </w:r>
      <w:r w:rsidRPr="00E9210E">
        <w:t xml:space="preserve">Bruges. (Compte rendu : Fr. </w:t>
      </w:r>
      <w:r w:rsidRPr="00E9210E">
        <w:rPr>
          <w:rStyle w:val="Corpsdutexte27ptGras"/>
          <w:rFonts w:eastAsia="Courier New"/>
          <w:b w:val="0"/>
          <w:smallCaps/>
          <w:sz w:val="28"/>
        </w:rPr>
        <w:t>Renken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Der Handel der Königsberger Grossschäferei des deutschen Ordens mit Flandern um</w:t>
      </w:r>
      <w:r w:rsidRPr="00E9210E">
        <w:rPr>
          <w:rFonts w:eastAsia="Courier New"/>
        </w:rPr>
        <w:t xml:space="preserve"> </w:t>
      </w:r>
      <w:r w:rsidRPr="00E9210E">
        <w:rPr>
          <w:rStyle w:val="Corpsdutexte28ptItalique"/>
          <w:rFonts w:eastAsia="Courier New"/>
          <w:sz w:val="28"/>
        </w:rPr>
        <w:t>1400</w:t>
      </w:r>
      <w:r w:rsidRPr="00E9210E">
        <w:t>, Weimar, 1937), « M.H.S. », 1942, (II), p. 90.</w:t>
      </w:r>
    </w:p>
    <w:p w14:paraId="7DA61207" w14:textId="77777777" w:rsidR="00B9662D" w:rsidRPr="00E9210E" w:rsidRDefault="00B9662D" w:rsidP="00B9662D">
      <w:pPr>
        <w:spacing w:before="120" w:after="120"/>
        <w:jc w:val="both"/>
      </w:pPr>
      <w:r w:rsidRPr="00E9210E">
        <w:t xml:space="preserve">Compte rendu : </w:t>
      </w:r>
      <w:r w:rsidRPr="00E9210E">
        <w:rPr>
          <w:rFonts w:eastAsia="Courier New"/>
          <w:i/>
        </w:rPr>
        <w:t>Hansische Geschichtsblätter</w:t>
      </w:r>
      <w:r w:rsidRPr="00E9210E">
        <w:t>, t. 63 (1938), « M.H.S. », 1942, (II), pp. 90-91.</w:t>
      </w:r>
    </w:p>
    <w:p w14:paraId="670E8F07" w14:textId="77777777" w:rsidR="00B9662D" w:rsidRPr="00E9210E" w:rsidRDefault="00B9662D" w:rsidP="00B9662D">
      <w:pPr>
        <w:spacing w:before="120" w:after="120"/>
        <w:jc w:val="both"/>
      </w:pPr>
      <w:r w:rsidRPr="00E9210E">
        <w:t>Aux origines de la confédération suisse. (Compte rendu : Br. </w:t>
      </w:r>
      <w:r w:rsidRPr="00E9210E">
        <w:rPr>
          <w:rStyle w:val="Corpsdutexte27ptGras"/>
          <w:rFonts w:eastAsia="Courier New"/>
          <w:b w:val="0"/>
          <w:smallCaps/>
          <w:sz w:val="28"/>
        </w:rPr>
        <w:t>Meyer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ältesten eidgenössischen Bunde</w:t>
      </w:r>
      <w:r w:rsidRPr="00E9210E">
        <w:t>, Erlenbach, Zürich, [1938]), « M.H.S. », 1942, (II), p. 93.</w:t>
      </w:r>
    </w:p>
    <w:p w14:paraId="3491DC61" w14:textId="77777777" w:rsidR="00B9662D" w:rsidRPr="00E9210E" w:rsidRDefault="00B9662D" w:rsidP="00B9662D">
      <w:pPr>
        <w:spacing w:before="120" w:after="120"/>
        <w:jc w:val="both"/>
      </w:pPr>
      <w:r w:rsidRPr="00E9210E">
        <w:t>[</w:t>
      </w:r>
      <w:r w:rsidRPr="00E9210E">
        <w:rPr>
          <w:rFonts w:eastAsia="Courier New"/>
          <w:bCs/>
        </w:rPr>
        <w:t>1101]</w:t>
      </w:r>
    </w:p>
    <w:p w14:paraId="5AC05119" w14:textId="77777777" w:rsidR="00B9662D" w:rsidRPr="00E9210E" w:rsidRDefault="00B9662D" w:rsidP="00B9662D">
      <w:pPr>
        <w:spacing w:before="120" w:after="120"/>
        <w:jc w:val="both"/>
      </w:pPr>
      <w:r w:rsidRPr="00E9210E">
        <w:t xml:space="preserve">Diagnostic et thérapeutique d’économiste. (R. </w:t>
      </w:r>
      <w:r w:rsidRPr="00E9210E">
        <w:rPr>
          <w:rStyle w:val="Corpsdutexte27ptGras"/>
          <w:rFonts w:eastAsia="Courier New"/>
          <w:b w:val="0"/>
          <w:smallCaps/>
          <w:sz w:val="28"/>
        </w:rPr>
        <w:t>Courtin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pr</w:t>
      </w:r>
      <w:r w:rsidRPr="00E9210E">
        <w:rPr>
          <w:rFonts w:eastAsia="Courier New"/>
          <w:i/>
        </w:rPr>
        <w:t>o</w:t>
      </w:r>
      <w:r w:rsidRPr="00E9210E">
        <w:rPr>
          <w:rFonts w:eastAsia="Courier New"/>
          <w:i/>
        </w:rPr>
        <w:t>blème de la civilisation économique au Brésil</w:t>
      </w:r>
      <w:r w:rsidRPr="00E9210E">
        <w:rPr>
          <w:rFonts w:eastAsia="Courier New"/>
        </w:rPr>
        <w:t>,</w:t>
      </w:r>
      <w:r w:rsidRPr="00E9210E">
        <w:t xml:space="preserve"> Paris, [1941]), « M.H.S. », 1942, (II), pp. 96-97.</w:t>
      </w:r>
    </w:p>
    <w:p w14:paraId="1EF4207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Le régime seigneurial en pays bocager. (Comptes rendus : R. </w:t>
      </w:r>
      <w:r w:rsidRPr="00E9210E">
        <w:rPr>
          <w:rStyle w:val="Corpsdutexte117ptGrasNonItaliqueEspacement0pt"/>
          <w:rFonts w:eastAsia="Courier New"/>
          <w:b w:val="0"/>
          <w:i w:val="0"/>
          <w:iCs w:val="0"/>
          <w:smallCaps/>
          <w:sz w:val="28"/>
          <w:lang w:val="fr-CA"/>
        </w:rPr>
        <w:t>Latouche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Agrarzustände im westlichen Frankreich während des Hochmittelalters</w:t>
      </w:r>
      <w:r w:rsidRPr="00E9210E">
        <w:rPr>
          <w:rStyle w:val="Corpsdutexte11NonItaliqueEspacement0pt"/>
          <w:rFonts w:eastAsia="Courier New"/>
          <w:i w:val="0"/>
          <w:iCs w:val="0"/>
          <w:sz w:val="28"/>
          <w:lang w:val="fr-CA"/>
        </w:rPr>
        <w:t xml:space="preserve">, dans </w:t>
      </w:r>
      <w:r w:rsidRPr="00E9210E">
        <w:rPr>
          <w:rFonts w:eastAsia="Courier New"/>
          <w:i/>
        </w:rPr>
        <w:t>Vierteljahrschrift für Sozial- und Wirtschaf</w:t>
      </w:r>
      <w:r w:rsidRPr="00E9210E">
        <w:rPr>
          <w:rFonts w:eastAsia="Courier New"/>
          <w:i/>
        </w:rPr>
        <w:t>t</w:t>
      </w:r>
      <w:r w:rsidRPr="00E9210E">
        <w:rPr>
          <w:rFonts w:eastAsia="Courier New"/>
          <w:i/>
        </w:rPr>
        <w:t>sgeschichte</w:t>
      </w:r>
      <w:r w:rsidRPr="00E9210E">
        <w:rPr>
          <w:rFonts w:eastAsia="Courier New"/>
        </w:rPr>
        <w:t>,</w:t>
      </w:r>
      <w:r w:rsidRPr="00E9210E">
        <w:rPr>
          <w:rStyle w:val="Corpsdutexte11NonItaliqueEspacement0pt"/>
          <w:rFonts w:eastAsia="Courier New"/>
          <w:i w:val="0"/>
          <w:iCs w:val="0"/>
          <w:sz w:val="28"/>
          <w:lang w:val="fr-CA"/>
        </w:rPr>
        <w:t xml:space="preserve"> t. XXIX. — </w:t>
      </w:r>
      <w:r w:rsidRPr="00E9210E">
        <w:rPr>
          <w:rFonts w:eastAsia="Courier New"/>
          <w:i/>
        </w:rPr>
        <w:t>Un aspect de la vie rurale dans le Maine au XI</w:t>
      </w:r>
      <w:r w:rsidRPr="00E9210E">
        <w:rPr>
          <w:rFonts w:eastAsia="Courier New"/>
          <w:i/>
          <w:vertAlign w:val="superscript"/>
        </w:rPr>
        <w:t>e</w:t>
      </w:r>
      <w:r w:rsidRPr="00E9210E">
        <w:rPr>
          <w:rFonts w:eastAsia="Courier New"/>
          <w:i/>
        </w:rPr>
        <w:t xml:space="preserve"> et au XII</w:t>
      </w:r>
      <w:r w:rsidRPr="00E9210E">
        <w:rPr>
          <w:rFonts w:eastAsia="Courier New"/>
          <w:i/>
          <w:vertAlign w:val="superscript"/>
        </w:rPr>
        <w:t>e</w:t>
      </w:r>
      <w:r w:rsidRPr="00E9210E">
        <w:rPr>
          <w:rFonts w:eastAsia="Courier New"/>
          <w:i/>
        </w:rPr>
        <w:t xml:space="preserve"> siècle : rétablissement des bourgs</w:t>
      </w:r>
      <w:r w:rsidRPr="00E9210E">
        <w:rPr>
          <w:rStyle w:val="Corpsdutexte11NonItaliqueEspacement0pt"/>
          <w:rFonts w:eastAsia="Courier New"/>
          <w:i w:val="0"/>
          <w:iCs w:val="0"/>
          <w:sz w:val="28"/>
          <w:lang w:val="fr-CA"/>
        </w:rPr>
        <w:t xml:space="preserve">, dans </w:t>
      </w:r>
      <w:r w:rsidRPr="00E9210E">
        <w:rPr>
          <w:rFonts w:eastAsia="Courier New"/>
          <w:i/>
        </w:rPr>
        <w:t>Le Moyen Age</w:t>
      </w:r>
      <w:r w:rsidRPr="00E9210E">
        <w:rPr>
          <w:rFonts w:eastAsia="Courier New"/>
        </w:rPr>
        <w:t>,</w:t>
      </w:r>
      <w:r w:rsidRPr="00E9210E">
        <w:rPr>
          <w:rStyle w:val="Corpsdutexte11NonItaliqueEspacement0pt"/>
          <w:rFonts w:eastAsia="Courier New"/>
          <w:i w:val="0"/>
          <w:iCs w:val="0"/>
          <w:sz w:val="28"/>
          <w:lang w:val="fr-CA"/>
        </w:rPr>
        <w:t xml:space="preserve"> 1937. — </w:t>
      </w:r>
      <w:r w:rsidRPr="00E9210E">
        <w:rPr>
          <w:rFonts w:eastAsia="Courier New"/>
          <w:i/>
        </w:rPr>
        <w:t>Économie agraire et peuplement des pays bocagers</w:t>
      </w:r>
      <w:r w:rsidRPr="00E9210E">
        <w:rPr>
          <w:rStyle w:val="Corpsdutexte11NonItaliqueEspacement0pt"/>
          <w:rFonts w:eastAsia="Courier New"/>
          <w:i w:val="0"/>
          <w:iCs w:val="0"/>
          <w:sz w:val="28"/>
          <w:lang w:val="fr-CA"/>
        </w:rPr>
        <w:t xml:space="preserve">, dans </w:t>
      </w:r>
      <w:r w:rsidRPr="00E9210E">
        <w:rPr>
          <w:rFonts w:eastAsia="Courier New"/>
          <w:i/>
        </w:rPr>
        <w:t>Revue de Synthèse</w:t>
      </w:r>
      <w:r w:rsidRPr="00E9210E">
        <w:rPr>
          <w:rStyle w:val="Corpsdutexte11NonItaliqueEspacement0pt"/>
          <w:rFonts w:eastAsia="Courier New"/>
          <w:i w:val="0"/>
          <w:iCs w:val="0"/>
          <w:sz w:val="28"/>
          <w:lang w:val="fr-CA"/>
        </w:rPr>
        <w:t>, t. XVII (1939), pp. 45-49), « M.H.S. », 1942, (II), pp. 101-102.</w:t>
      </w:r>
    </w:p>
    <w:p w14:paraId="168D92A1" w14:textId="77777777" w:rsidR="00B9662D" w:rsidRPr="00E9210E" w:rsidRDefault="00B9662D" w:rsidP="00B9662D">
      <w:pPr>
        <w:spacing w:before="120" w:after="120"/>
        <w:jc w:val="both"/>
      </w:pPr>
      <w:r w:rsidRPr="00E9210E">
        <w:t xml:space="preserve">Un type humain : le chevalier. (Compte rendu : S. </w:t>
      </w:r>
      <w:r w:rsidRPr="00E9210E">
        <w:rPr>
          <w:rStyle w:val="Corpsdutexte27ptGras"/>
          <w:rFonts w:eastAsia="Courier New"/>
          <w:b w:val="0"/>
          <w:smallCaps/>
          <w:sz w:val="28"/>
        </w:rPr>
        <w:t>Painter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French ch</w:t>
      </w:r>
      <w:r w:rsidRPr="00E9210E">
        <w:rPr>
          <w:rFonts w:eastAsia="Courier New"/>
          <w:i/>
        </w:rPr>
        <w:t>i</w:t>
      </w:r>
      <w:r w:rsidRPr="00E9210E">
        <w:rPr>
          <w:rFonts w:eastAsia="Courier New"/>
          <w:i/>
        </w:rPr>
        <w:t>valry : chivalric ideas and practices in mediaeval France</w:t>
      </w:r>
      <w:r w:rsidRPr="00E9210E">
        <w:t>, Baltimore, 1940), « M.H.S. », 1942, (II), p. 102.</w:t>
      </w:r>
    </w:p>
    <w:p w14:paraId="503EDC77" w14:textId="77777777" w:rsidR="00B9662D" w:rsidRPr="00E9210E" w:rsidRDefault="00B9662D" w:rsidP="00B9662D">
      <w:pPr>
        <w:spacing w:before="120" w:after="120"/>
        <w:jc w:val="both"/>
      </w:pPr>
      <w:r w:rsidRPr="00E9210E">
        <w:t xml:space="preserve">Compte rendu : G. </w:t>
      </w:r>
      <w:r w:rsidRPr="00E9210E">
        <w:rPr>
          <w:rStyle w:val="Corpsdutexte27ptGras"/>
          <w:rFonts w:eastAsia="Courier New"/>
          <w:b w:val="0"/>
          <w:smallCaps/>
          <w:sz w:val="28"/>
        </w:rPr>
        <w:t>Dupont-Ferrier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origines et le premier siècle de la Cour du trésor</w:t>
      </w:r>
      <w:r w:rsidRPr="00E9210E">
        <w:rPr>
          <w:rFonts w:eastAsia="Courier New"/>
        </w:rPr>
        <w:t xml:space="preserve">, </w:t>
      </w:r>
      <w:r w:rsidRPr="00E9210E">
        <w:t>Paris, 1936), « M.H.S. », 1942, (II), p. 103.</w:t>
      </w:r>
    </w:p>
    <w:p w14:paraId="169CA0FE" w14:textId="77777777" w:rsidR="00B9662D" w:rsidRPr="00E9210E" w:rsidRDefault="00B9662D" w:rsidP="00B9662D">
      <w:pPr>
        <w:spacing w:before="120" w:after="120"/>
        <w:jc w:val="both"/>
      </w:pPr>
      <w:r w:rsidRPr="00E9210E">
        <w:t xml:space="preserve">Compte rendu : H. </w:t>
      </w:r>
      <w:r w:rsidRPr="00E9210E">
        <w:rPr>
          <w:rStyle w:val="Corpsdutexte27ptGras"/>
          <w:rFonts w:eastAsia="Courier New"/>
          <w:b w:val="0"/>
          <w:smallCaps/>
          <w:sz w:val="28"/>
        </w:rPr>
        <w:t>Boulier</w:t>
      </w:r>
      <w:r w:rsidRPr="00E9210E">
        <w:rPr>
          <w:rStyle w:val="Corpsdutexte27ptGras"/>
          <w:rFonts w:eastAsia="Courier New"/>
          <w:b w:val="0"/>
          <w:sz w:val="28"/>
        </w:rPr>
        <w:t xml:space="preserve"> </w:t>
      </w:r>
      <w:r w:rsidRPr="00E9210E">
        <w:rPr>
          <w:rStyle w:val="Corpsdutexte27ptGras"/>
          <w:rFonts w:eastAsia="Courier New"/>
          <w:b w:val="0"/>
          <w:smallCaps/>
          <w:sz w:val="28"/>
        </w:rPr>
        <w:t>de Branche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Feuda Gabalarum</w:t>
      </w:r>
      <w:r w:rsidRPr="00E9210E">
        <w:rPr>
          <w:rFonts w:eastAsia="Courier New"/>
        </w:rPr>
        <w:t>.</w:t>
      </w:r>
      <w:r w:rsidRPr="00E9210E">
        <w:t xml:space="preserve"> I, Nîmes, 1938), « M.H.S. », 1942, (II), pp. 103-104.</w:t>
      </w:r>
    </w:p>
    <w:p w14:paraId="11D8E8FF"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w:t>
      </w:r>
      <w:r w:rsidRPr="00E9210E">
        <w:rPr>
          <w:rStyle w:val="Corpsdutexte117ptGrasNonItaliqueEspacement0pt"/>
          <w:rFonts w:eastAsia="Courier New"/>
          <w:b w:val="0"/>
          <w:i w:val="0"/>
          <w:iCs w:val="0"/>
          <w:sz w:val="28"/>
          <w:lang w:val="fr-CA"/>
        </w:rPr>
        <w:t>rendu :</w:t>
      </w:r>
      <w:r w:rsidRPr="00E9210E">
        <w:rPr>
          <w:rStyle w:val="Corpsdutexte11NonItaliqueEspacement0pt"/>
          <w:rFonts w:eastAsia="Courier New"/>
          <w:i w:val="0"/>
          <w:iCs w:val="0"/>
          <w:sz w:val="28"/>
          <w:lang w:val="fr-CA"/>
        </w:rPr>
        <w:t xml:space="preserve"> K. </w:t>
      </w:r>
      <w:r w:rsidRPr="00E9210E">
        <w:rPr>
          <w:rStyle w:val="Corpsdutexte117ptGrasNonItaliqueEspacement0pt"/>
          <w:rFonts w:eastAsia="Courier New"/>
          <w:b w:val="0"/>
          <w:i w:val="0"/>
          <w:iCs w:val="0"/>
          <w:smallCaps/>
          <w:sz w:val="28"/>
          <w:lang w:val="fr-CA"/>
        </w:rPr>
        <w:t>Michaëlson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Étude sur les noms de personnes français d’après les rôles de taille parisiens</w:t>
      </w:r>
      <w:r w:rsidRPr="00E9210E">
        <w:rPr>
          <w:rFonts w:eastAsia="Courier New"/>
        </w:rPr>
        <w:t>,</w:t>
      </w:r>
      <w:r w:rsidRPr="00E9210E">
        <w:rPr>
          <w:rStyle w:val="Corpsdutexte11NonItaliqueEspacement0pt"/>
          <w:rFonts w:eastAsia="Courier New"/>
          <w:i w:val="0"/>
          <w:iCs w:val="0"/>
          <w:sz w:val="28"/>
          <w:lang w:val="fr-CA"/>
        </w:rPr>
        <w:t xml:space="preserve"> 2</w:t>
      </w:r>
      <w:r w:rsidRPr="00E9210E">
        <w:rPr>
          <w:rStyle w:val="Corpsdutexte11NonItaliqueEspacement0pt"/>
          <w:rFonts w:eastAsia="Courier New"/>
          <w:i w:val="0"/>
          <w:iCs w:val="0"/>
          <w:sz w:val="28"/>
          <w:vertAlign w:val="superscript"/>
          <w:lang w:val="fr-CA"/>
        </w:rPr>
        <w:t>e</w:t>
      </w:r>
      <w:r w:rsidRPr="00E9210E">
        <w:rPr>
          <w:rStyle w:val="Corpsdutexte11NonItaliqueEspacement0pt"/>
          <w:rFonts w:eastAsia="Courier New"/>
          <w:i w:val="0"/>
          <w:iCs w:val="0"/>
          <w:sz w:val="28"/>
          <w:lang w:val="fr-CA"/>
        </w:rPr>
        <w:t xml:space="preserve"> fasc., Uppsala, 1936), « M.H.S. », 1942, (II), p. 104.</w:t>
      </w:r>
    </w:p>
    <w:p w14:paraId="496F455E"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Compte rendu : C</w:t>
      </w:r>
      <w:r w:rsidRPr="00E9210E">
        <w:rPr>
          <w:rStyle w:val="Corpsdutexte11NonItaliqueEspacement0pt"/>
          <w:rFonts w:eastAsia="Courier New"/>
          <w:i w:val="0"/>
          <w:iCs w:val="0"/>
          <w:sz w:val="28"/>
          <w:vertAlign w:val="superscript"/>
          <w:lang w:val="fr-CA"/>
        </w:rPr>
        <w:t>dt</w:t>
      </w:r>
      <w:r w:rsidRPr="00E9210E">
        <w:rPr>
          <w:rStyle w:val="Corpsdutexte11NonItaliqueEspacement0pt"/>
          <w:rFonts w:eastAsia="Courier New"/>
          <w:i w:val="0"/>
          <w:iCs w:val="0"/>
          <w:sz w:val="28"/>
          <w:lang w:val="fr-CA"/>
        </w:rPr>
        <w:t xml:space="preserve"> H. </w:t>
      </w:r>
      <w:r w:rsidRPr="00E9210E">
        <w:rPr>
          <w:rStyle w:val="Corpsdutexte117ptGrasNonItaliqueEspacement0pt"/>
          <w:rFonts w:eastAsia="Courier New"/>
          <w:b w:val="0"/>
          <w:i w:val="0"/>
          <w:iCs w:val="0"/>
          <w:smallCaps/>
          <w:sz w:val="28"/>
          <w:lang w:val="fr-CA"/>
        </w:rPr>
        <w:t>Navel</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vavassories du Mont-Saint-Michel à Bretteville-sur-Odon et Verson</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Bull. de la Soc. des A</w:t>
      </w:r>
      <w:r w:rsidRPr="00E9210E">
        <w:rPr>
          <w:rFonts w:eastAsia="Courier New"/>
          <w:i/>
        </w:rPr>
        <w:t>n</w:t>
      </w:r>
      <w:r w:rsidRPr="00E9210E">
        <w:rPr>
          <w:rFonts w:eastAsia="Courier New"/>
          <w:i/>
        </w:rPr>
        <w:t>tiquaires de Normandie</w:t>
      </w:r>
      <w:r w:rsidRPr="00E9210E">
        <w:rPr>
          <w:rFonts w:eastAsia="Courier New"/>
        </w:rPr>
        <w:t>,</w:t>
      </w:r>
      <w:r w:rsidRPr="00E9210E">
        <w:rPr>
          <w:rStyle w:val="Corpsdutexte11NonItaliqueEspacement0pt"/>
          <w:rFonts w:eastAsia="Courier New"/>
          <w:i w:val="0"/>
          <w:iCs w:val="0"/>
          <w:sz w:val="28"/>
          <w:lang w:val="fr-CA"/>
        </w:rPr>
        <w:t xml:space="preserve"> 1938), « M.H.S. », 1942, (II), p. 104.</w:t>
      </w:r>
    </w:p>
    <w:p w14:paraId="4CC512F8" w14:textId="77777777" w:rsidR="00B9662D" w:rsidRPr="00E9210E" w:rsidRDefault="00B9662D" w:rsidP="00B9662D">
      <w:pPr>
        <w:spacing w:before="120" w:after="120"/>
        <w:jc w:val="both"/>
      </w:pPr>
      <w:r w:rsidRPr="00E9210E">
        <w:t xml:space="preserve">Aux origines de l’impôt. (Compte rendu : J. R. </w:t>
      </w:r>
      <w:r w:rsidRPr="00E9210E">
        <w:rPr>
          <w:rStyle w:val="Corpsdutexte27ptGras"/>
          <w:rFonts w:eastAsia="Courier New"/>
          <w:b w:val="0"/>
          <w:smallCaps/>
          <w:sz w:val="28"/>
        </w:rPr>
        <w:t>Strayer</w:t>
      </w:r>
      <w:r w:rsidRPr="00E9210E">
        <w:rPr>
          <w:rStyle w:val="Corpsdutexte27ptGras"/>
          <w:rFonts w:eastAsia="Courier New"/>
          <w:sz w:val="28"/>
        </w:rPr>
        <w:t xml:space="preserve"> </w:t>
      </w:r>
      <w:r w:rsidRPr="00E9210E">
        <w:t xml:space="preserve">et Ch. H. </w:t>
      </w:r>
      <w:r w:rsidRPr="00E9210E">
        <w:rPr>
          <w:rStyle w:val="Corpsdutexte27ptGras"/>
          <w:rFonts w:eastAsia="Courier New"/>
          <w:b w:val="0"/>
          <w:smallCaps/>
          <w:sz w:val="28"/>
        </w:rPr>
        <w:t>Taylor</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Studies in early French taxations</w:t>
      </w:r>
      <w:r w:rsidRPr="00E9210E">
        <w:rPr>
          <w:rFonts w:eastAsia="Courier New"/>
        </w:rPr>
        <w:t>,</w:t>
      </w:r>
      <w:r w:rsidRPr="00E9210E">
        <w:t xml:space="preserve"> Cambridge, 1939), « M.H.S. », 1942, (II), p. 107.</w:t>
      </w:r>
    </w:p>
    <w:p w14:paraId="3F759C8B" w14:textId="77777777" w:rsidR="00B9662D" w:rsidRPr="00E9210E" w:rsidRDefault="00B9662D" w:rsidP="00B9662D">
      <w:pPr>
        <w:spacing w:before="120" w:after="120"/>
        <w:jc w:val="both"/>
      </w:pPr>
      <w:r w:rsidRPr="00E9210E">
        <w:t xml:space="preserve">Diriger, choisir. (Compte rendu : </w:t>
      </w:r>
      <w:r w:rsidRPr="00E9210E">
        <w:rPr>
          <w:rFonts w:eastAsia="Courier New"/>
          <w:i/>
        </w:rPr>
        <w:t>Mémoires et documents</w:t>
      </w:r>
      <w:r w:rsidRPr="00E9210E">
        <w:rPr>
          <w:rFonts w:eastAsia="Courier New"/>
        </w:rPr>
        <w:t>,</w:t>
      </w:r>
      <w:r w:rsidRPr="00E9210E">
        <w:t xml:space="preserve"> t. VIII, Paris, 1937), « M.H.S. », 1942, (II), pp. 109-110.</w:t>
      </w:r>
    </w:p>
    <w:p w14:paraId="1E036248" w14:textId="77777777" w:rsidR="00B9662D" w:rsidRPr="00E9210E" w:rsidRDefault="00B9662D" w:rsidP="00B9662D">
      <w:pPr>
        <w:spacing w:before="120" w:after="120"/>
        <w:jc w:val="both"/>
      </w:pPr>
      <w:r w:rsidRPr="00E9210E">
        <w:t xml:space="preserve">Un habile homme. (Compte rendu : Fr. </w:t>
      </w:r>
      <w:r w:rsidRPr="00E9210E">
        <w:rPr>
          <w:rStyle w:val="Corpsdutexte27ptGras"/>
          <w:rFonts w:eastAsia="Courier New"/>
          <w:b w:val="0"/>
          <w:smallCaps/>
          <w:sz w:val="28"/>
        </w:rPr>
        <w:t>Vermale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père de C</w:t>
      </w:r>
      <w:r w:rsidRPr="00E9210E">
        <w:rPr>
          <w:rFonts w:eastAsia="Courier New"/>
          <w:i/>
        </w:rPr>
        <w:t>a</w:t>
      </w:r>
      <w:r w:rsidRPr="00E9210E">
        <w:rPr>
          <w:rFonts w:eastAsia="Courier New"/>
          <w:i/>
        </w:rPr>
        <w:t>simir Périer</w:t>
      </w:r>
      <w:r w:rsidRPr="00E9210E">
        <w:rPr>
          <w:rFonts w:eastAsia="Courier New"/>
        </w:rPr>
        <w:t xml:space="preserve"> </w:t>
      </w:r>
      <w:r w:rsidRPr="00E9210E">
        <w:rPr>
          <w:rStyle w:val="Corpsdutexte28ptItalique"/>
          <w:rFonts w:eastAsia="Courier New"/>
          <w:sz w:val="28"/>
        </w:rPr>
        <w:t>(1743- 1801),</w:t>
      </w:r>
      <w:r w:rsidRPr="00E9210E">
        <w:t xml:space="preserve"> Grenoble, 1935), « M.H.S. », (1942), II p. 110.</w:t>
      </w:r>
    </w:p>
    <w:p w14:paraId="02DE1936"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J. </w:t>
      </w:r>
      <w:r w:rsidRPr="00E9210E">
        <w:rPr>
          <w:rStyle w:val="Corpsdutexte117ptGrasNonItaliqueEspacement0pt"/>
          <w:rFonts w:eastAsia="Courier New"/>
          <w:b w:val="0"/>
          <w:i w:val="0"/>
          <w:iCs w:val="0"/>
          <w:smallCaps/>
          <w:sz w:val="28"/>
          <w:lang w:val="fr-CA"/>
        </w:rPr>
        <w:t>Néraud</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L’administration de la généralité de Bourges sous l’intendant de Courteille</w:t>
      </w:r>
      <w:r w:rsidRPr="00E9210E">
        <w:rPr>
          <w:rFonts w:eastAsia="Courier New"/>
        </w:rPr>
        <w:t xml:space="preserve"> </w:t>
      </w:r>
      <w:r w:rsidRPr="00E9210E">
        <w:rPr>
          <w:rStyle w:val="Corpsdutexte118ptEspacement0pt"/>
          <w:rFonts w:eastAsia="Courier New"/>
          <w:sz w:val="28"/>
          <w:lang w:val="fr-CA"/>
        </w:rPr>
        <w:t>(1720-1728),</w:t>
      </w:r>
      <w:r w:rsidRPr="00E9210E">
        <w:rPr>
          <w:rStyle w:val="Corpsdutexte11NonItaliqueEspacement0pt"/>
          <w:rFonts w:eastAsia="Courier New"/>
          <w:i w:val="0"/>
          <w:iCs w:val="0"/>
          <w:sz w:val="28"/>
          <w:lang w:val="fr-CA"/>
        </w:rPr>
        <w:t xml:space="preserve"> Bourges, 1937, « M.H.S. », 1942, (II), p. 112.</w:t>
      </w:r>
    </w:p>
    <w:p w14:paraId="1D79D0CF" w14:textId="77777777" w:rsidR="00B9662D" w:rsidRPr="00E9210E" w:rsidRDefault="00B9662D" w:rsidP="00B9662D">
      <w:pPr>
        <w:spacing w:before="120" w:after="120"/>
        <w:jc w:val="both"/>
      </w:pPr>
    </w:p>
    <w:p w14:paraId="654C64C6" w14:textId="77777777" w:rsidR="00B9662D" w:rsidRPr="00E9210E" w:rsidRDefault="00B9662D" w:rsidP="00B9662D">
      <w:pPr>
        <w:spacing w:before="120" w:after="120"/>
        <w:jc w:val="center"/>
        <w:rPr>
          <w:b/>
          <w:smallCaps/>
        </w:rPr>
      </w:pPr>
      <w:r w:rsidRPr="00E9210E">
        <w:rPr>
          <w:b/>
          <w:smallCaps/>
        </w:rPr>
        <w:t>1943</w:t>
      </w:r>
    </w:p>
    <w:p w14:paraId="3EC2ED07" w14:textId="77777777" w:rsidR="00B9662D" w:rsidRPr="00E9210E" w:rsidRDefault="00B9662D" w:rsidP="00B9662D">
      <w:pPr>
        <w:spacing w:before="120" w:after="120"/>
        <w:jc w:val="both"/>
        <w:rPr>
          <w:rFonts w:eastAsia="Courier New"/>
        </w:rPr>
      </w:pPr>
    </w:p>
    <w:p w14:paraId="570BEB00" w14:textId="77777777" w:rsidR="00B9662D" w:rsidRPr="00E9210E" w:rsidRDefault="00B9662D" w:rsidP="00B9662D">
      <w:pPr>
        <w:spacing w:before="120" w:after="120"/>
        <w:jc w:val="both"/>
      </w:pPr>
      <w:r w:rsidRPr="00E9210E">
        <w:rPr>
          <w:rFonts w:eastAsia="Courier New"/>
        </w:rPr>
        <w:t>« </w:t>
      </w:r>
      <w:r w:rsidRPr="00E9210E">
        <w:rPr>
          <w:b/>
        </w:rPr>
        <w:t>Pourquoi je suis républicain ? Réponse d’un historien </w:t>
      </w:r>
      <w:r w:rsidRPr="00E9210E">
        <w:t>»</w:t>
      </w:r>
      <w:r w:rsidRPr="00E9210E">
        <w:rPr>
          <w:rFonts w:eastAsia="Courier New"/>
        </w:rPr>
        <w:t xml:space="preserve">, </w:t>
      </w:r>
      <w:r w:rsidRPr="00E9210E">
        <w:rPr>
          <w:rStyle w:val="Corpsdutexte8NonGrasItaliquechelle100"/>
          <w:rFonts w:eastAsia="Courier New"/>
          <w:b w:val="0"/>
          <w:bCs w:val="0"/>
          <w:sz w:val="28"/>
        </w:rPr>
        <w:t>C</w:t>
      </w:r>
      <w:r w:rsidRPr="00E9210E">
        <w:rPr>
          <w:rStyle w:val="Corpsdutexte8NonGrasItaliquechelle100"/>
          <w:rFonts w:eastAsia="Courier New"/>
          <w:b w:val="0"/>
          <w:bCs w:val="0"/>
          <w:sz w:val="28"/>
        </w:rPr>
        <w:t>a</w:t>
      </w:r>
      <w:r w:rsidRPr="00E9210E">
        <w:rPr>
          <w:rStyle w:val="Corpsdutexte8NonGrasItaliquechelle100"/>
          <w:rFonts w:eastAsia="Courier New"/>
          <w:b w:val="0"/>
          <w:bCs w:val="0"/>
          <w:sz w:val="28"/>
        </w:rPr>
        <w:t xml:space="preserve">hiers politiques, </w:t>
      </w:r>
      <w:r w:rsidRPr="00E9210E">
        <w:rPr>
          <w:rStyle w:val="Corpsdutexte885ptNonGraschelle100"/>
          <w:rFonts w:eastAsia="Courier New"/>
          <w:b w:val="0"/>
          <w:bCs w:val="0"/>
          <w:sz w:val="28"/>
        </w:rPr>
        <w:t>n° 2, juillet 1943, pp. 9-11.</w:t>
      </w:r>
    </w:p>
    <w:p w14:paraId="7F434772" w14:textId="77777777" w:rsidR="00B9662D" w:rsidRPr="00E9210E" w:rsidRDefault="00B9662D" w:rsidP="00B9662D">
      <w:pPr>
        <w:spacing w:before="120" w:after="120"/>
        <w:jc w:val="both"/>
      </w:pPr>
      <w:r w:rsidRPr="00E9210E">
        <w:rPr>
          <w:rFonts w:eastAsia="Courier New"/>
        </w:rPr>
        <w:t>« </w:t>
      </w:r>
      <w:r w:rsidRPr="00E9210E">
        <w:rPr>
          <w:b/>
        </w:rPr>
        <w:t>Notes pour une révolution de l’enseignement </w:t>
      </w:r>
      <w:r w:rsidRPr="00E9210E">
        <w:t>»</w:t>
      </w:r>
      <w:r w:rsidRPr="00E9210E">
        <w:rPr>
          <w:rFonts w:eastAsia="Courier New"/>
        </w:rPr>
        <w:t xml:space="preserve">, </w:t>
      </w:r>
      <w:r w:rsidRPr="00E9210E">
        <w:rPr>
          <w:rStyle w:val="Corpsdutexte8NonGrasItaliquechelle100"/>
          <w:rFonts w:eastAsia="Courier New"/>
          <w:b w:val="0"/>
          <w:bCs w:val="0"/>
          <w:sz w:val="28"/>
        </w:rPr>
        <w:t>Cahiers pol</w:t>
      </w:r>
      <w:r w:rsidRPr="00E9210E">
        <w:rPr>
          <w:rStyle w:val="Corpsdutexte8NonGrasItaliquechelle100"/>
          <w:rFonts w:eastAsia="Courier New"/>
          <w:b w:val="0"/>
          <w:bCs w:val="0"/>
          <w:sz w:val="28"/>
        </w:rPr>
        <w:t>i</w:t>
      </w:r>
      <w:r w:rsidRPr="00E9210E">
        <w:rPr>
          <w:rStyle w:val="Corpsdutexte8NonGrasItaliquechelle100"/>
          <w:rFonts w:eastAsia="Courier New"/>
          <w:b w:val="0"/>
          <w:bCs w:val="0"/>
          <w:sz w:val="28"/>
        </w:rPr>
        <w:t>tiques,</w:t>
      </w:r>
      <w:r w:rsidRPr="00E9210E">
        <w:rPr>
          <w:rFonts w:eastAsia="Courier New"/>
        </w:rPr>
        <w:t xml:space="preserve"> </w:t>
      </w:r>
      <w:r w:rsidRPr="00E9210E">
        <w:rPr>
          <w:rStyle w:val="Corpsdutexte885ptNonGraschelle100"/>
          <w:rFonts w:eastAsia="Courier New"/>
          <w:b w:val="0"/>
          <w:bCs w:val="0"/>
          <w:sz w:val="28"/>
        </w:rPr>
        <w:t>n° 3, août 1943.</w:t>
      </w:r>
    </w:p>
    <w:p w14:paraId="5318E88F" w14:textId="77777777" w:rsidR="00B9662D" w:rsidRPr="00E9210E" w:rsidRDefault="00B9662D" w:rsidP="00B9662D">
      <w:pPr>
        <w:spacing w:before="120" w:after="120"/>
        <w:jc w:val="both"/>
      </w:pPr>
      <w:r w:rsidRPr="00E9210E">
        <w:rPr>
          <w:rFonts w:eastAsia="Courier New"/>
        </w:rPr>
        <w:t>« </w:t>
      </w:r>
      <w:r w:rsidRPr="00E9210E">
        <w:rPr>
          <w:b/>
        </w:rPr>
        <w:t>Le D</w:t>
      </w:r>
      <w:r w:rsidRPr="00E9210E">
        <w:rPr>
          <w:b/>
          <w:vertAlign w:val="superscript"/>
        </w:rPr>
        <w:t>r</w:t>
      </w:r>
      <w:r w:rsidRPr="00E9210E">
        <w:rPr>
          <w:b/>
        </w:rPr>
        <w:t xml:space="preserve"> Goebbels analyse la psychologie du peuple allemand </w:t>
      </w:r>
      <w:r w:rsidRPr="00E9210E">
        <w:t>»</w:t>
      </w:r>
      <w:r w:rsidRPr="00E9210E">
        <w:rPr>
          <w:rFonts w:eastAsia="Courier New"/>
        </w:rPr>
        <w:t xml:space="preserve">, </w:t>
      </w:r>
      <w:r w:rsidRPr="00E9210E">
        <w:rPr>
          <w:rStyle w:val="Corpsdutexte8NonGrasItaliquechelle100"/>
          <w:rFonts w:eastAsia="Courier New"/>
          <w:b w:val="0"/>
          <w:bCs w:val="0"/>
          <w:sz w:val="28"/>
        </w:rPr>
        <w:t xml:space="preserve">Cahiers politiques, </w:t>
      </w:r>
      <w:r w:rsidRPr="00E9210E">
        <w:rPr>
          <w:rStyle w:val="Corpsdutexte885ptNonGraschelle100"/>
          <w:rFonts w:eastAsia="Courier New"/>
          <w:b w:val="0"/>
          <w:bCs w:val="0"/>
          <w:sz w:val="28"/>
        </w:rPr>
        <w:t>n° 4, nov. 1943, p. 26-27.</w:t>
      </w:r>
    </w:p>
    <w:p w14:paraId="7D9E916F" w14:textId="77777777" w:rsidR="00B9662D" w:rsidRPr="00E9210E" w:rsidRDefault="00B9662D" w:rsidP="00B9662D">
      <w:pPr>
        <w:spacing w:before="120" w:after="120"/>
        <w:jc w:val="both"/>
      </w:pPr>
      <w:r w:rsidRPr="00E9210E">
        <w:rPr>
          <w:rStyle w:val="Corpsdutexte28ptGrasEspacement1ptchelle120"/>
          <w:rFonts w:eastAsia="Courier New"/>
          <w:sz w:val="28"/>
        </w:rPr>
        <w:t>« </w:t>
      </w:r>
      <w:r w:rsidRPr="00E9210E">
        <w:rPr>
          <w:rStyle w:val="Corpsdutexte28ptGraschelle120"/>
          <w:rFonts w:eastAsia="Courier New"/>
          <w:sz w:val="28"/>
        </w:rPr>
        <w:t>La vraie saison des juges »</w:t>
      </w:r>
      <w:r w:rsidRPr="00E9210E">
        <w:rPr>
          <w:rStyle w:val="Corpsdutexte28ptGrasEspacement1ptchelle120"/>
          <w:rFonts w:eastAsia="Courier New"/>
          <w:sz w:val="28"/>
        </w:rPr>
        <w:t xml:space="preserve">, </w:t>
      </w:r>
      <w:r w:rsidRPr="00E9210E">
        <w:rPr>
          <w:rStyle w:val="Corpsdutexte28ptItalique"/>
          <w:rFonts w:eastAsia="Courier New"/>
          <w:sz w:val="28"/>
        </w:rPr>
        <w:t>Cahiers politiques,</w:t>
      </w:r>
      <w:r w:rsidRPr="00E9210E">
        <w:rPr>
          <w:rStyle w:val="Corpsdutexte28ptGrasEspacement1ptchelle120"/>
          <w:rFonts w:eastAsia="Courier New"/>
          <w:sz w:val="28"/>
        </w:rPr>
        <w:t xml:space="preserve"> </w:t>
      </w:r>
      <w:r w:rsidRPr="00E9210E">
        <w:t>n° 4, nov. 1943, pp. 28-30.</w:t>
      </w:r>
    </w:p>
    <w:p w14:paraId="473E4736" w14:textId="77777777" w:rsidR="00B9662D" w:rsidRPr="00E9210E" w:rsidRDefault="00B9662D" w:rsidP="00B9662D">
      <w:pPr>
        <w:spacing w:before="120" w:after="120"/>
        <w:jc w:val="both"/>
      </w:pPr>
      <w:r w:rsidRPr="00E9210E">
        <w:rPr>
          <w:rFonts w:eastAsia="Courier New"/>
        </w:rPr>
        <w:t>« </w:t>
      </w:r>
      <w:r w:rsidRPr="00E9210E">
        <w:rPr>
          <w:b/>
        </w:rPr>
        <w:t>Les plans cadastraux de l’Ancien Régime </w:t>
      </w:r>
      <w:r w:rsidRPr="00E9210E">
        <w:t>»</w:t>
      </w:r>
      <w:r w:rsidRPr="00E9210E">
        <w:rPr>
          <w:rFonts w:eastAsia="Courier New"/>
        </w:rPr>
        <w:t xml:space="preserve">, </w:t>
      </w:r>
      <w:r w:rsidRPr="00E9210E">
        <w:rPr>
          <w:rStyle w:val="Corpsdutexte8NonGrasItaliquechelle100"/>
          <w:rFonts w:eastAsia="Courier New"/>
          <w:b w:val="0"/>
          <w:bCs w:val="0"/>
          <w:sz w:val="28"/>
        </w:rPr>
        <w:t>M.H.S.,</w:t>
      </w:r>
      <w:r w:rsidRPr="00E9210E">
        <w:rPr>
          <w:rFonts w:eastAsia="Courier New"/>
        </w:rPr>
        <w:t xml:space="preserve"> t. </w:t>
      </w:r>
      <w:r w:rsidRPr="00E9210E">
        <w:rPr>
          <w:rStyle w:val="Corpsdutexte885ptNonGraschelle100"/>
          <w:rFonts w:eastAsia="Courier New"/>
          <w:b w:val="0"/>
          <w:bCs w:val="0"/>
          <w:sz w:val="28"/>
        </w:rPr>
        <w:t>1943, (III), pp. 55-70.</w:t>
      </w:r>
    </w:p>
    <w:p w14:paraId="3B3EAE12" w14:textId="77777777" w:rsidR="00B9662D" w:rsidRPr="00E9210E" w:rsidRDefault="00B9662D" w:rsidP="00B9662D">
      <w:pPr>
        <w:spacing w:before="120" w:after="120"/>
        <w:jc w:val="both"/>
      </w:pPr>
      <w:r w:rsidRPr="00E9210E">
        <w:t xml:space="preserve">Un </w:t>
      </w:r>
      <w:r w:rsidRPr="00E9210E">
        <w:rPr>
          <w:rStyle w:val="Corpsdutexte28ptGrasEspacement1ptchelle120"/>
          <w:rFonts w:eastAsia="Courier New"/>
          <w:sz w:val="28"/>
        </w:rPr>
        <w:t>« </w:t>
      </w:r>
      <w:r w:rsidRPr="00E9210E">
        <w:t>cas » d’histoire agraire : la Sardaigne. (Compte rendu :</w:t>
      </w:r>
      <w:r w:rsidRPr="00E9210E">
        <w:rPr>
          <w:rStyle w:val="Corpsdutexte28ptGrasEspacement1ptchelle120"/>
          <w:rFonts w:eastAsia="Courier New"/>
          <w:sz w:val="28"/>
        </w:rPr>
        <w:t xml:space="preserve"> </w:t>
      </w:r>
      <w:r w:rsidRPr="00E9210E">
        <w:t xml:space="preserve">M. </w:t>
      </w:r>
      <w:r w:rsidRPr="00E9210E">
        <w:rPr>
          <w:rStyle w:val="Corpsdutexte27ptGrasPetitesmajuscules"/>
          <w:rFonts w:eastAsia="Courier New"/>
          <w:b w:val="0"/>
          <w:smallCaps w:val="0"/>
          <w:sz w:val="28"/>
          <w:lang w:val="fr-CA"/>
        </w:rPr>
        <w:t>Le</w:t>
      </w:r>
      <w:r w:rsidRPr="00E9210E">
        <w:rPr>
          <w:rStyle w:val="Corpsdutexte27ptGrasPetitesmajuscules"/>
          <w:rFonts w:eastAsia="Courier New"/>
          <w:sz w:val="28"/>
          <w:lang w:val="fr-CA"/>
        </w:rPr>
        <w:t xml:space="preserve"> </w:t>
      </w:r>
      <w:r w:rsidRPr="00E9210E">
        <w:rPr>
          <w:rStyle w:val="Corpsdutexte27ptGrasPetitesmajuscules"/>
          <w:rFonts w:eastAsia="Courier New"/>
          <w:b w:val="0"/>
          <w:smallCaps w:val="0"/>
          <w:sz w:val="28"/>
          <w:lang w:val="fr-CA"/>
        </w:rPr>
        <w:t>Lannou,</w:t>
      </w:r>
      <w:r w:rsidRPr="00E9210E">
        <w:rPr>
          <w:rStyle w:val="Corpsdutexte27ptGrasPetitesmajuscules"/>
          <w:rFonts w:eastAsia="Courier New"/>
          <w:sz w:val="28"/>
          <w:lang w:val="fr-CA"/>
        </w:rPr>
        <w:t xml:space="preserve"> </w:t>
      </w:r>
      <w:r w:rsidRPr="00E9210E">
        <w:rPr>
          <w:rStyle w:val="Corpsdutexte28ptItalique"/>
          <w:rFonts w:eastAsia="Courier New"/>
          <w:sz w:val="28"/>
        </w:rPr>
        <w:t>Pâtres et paysans de la Sardaigne,</w:t>
      </w:r>
      <w:r w:rsidRPr="00E9210E">
        <w:rPr>
          <w:rStyle w:val="Corpsdutexte28ptGrasEspacement1ptchelle120"/>
          <w:rFonts w:eastAsia="Courier New"/>
          <w:sz w:val="28"/>
        </w:rPr>
        <w:t xml:space="preserve"> </w:t>
      </w:r>
      <w:r w:rsidRPr="00E9210E">
        <w:t xml:space="preserve">Tours, 1941), </w:t>
      </w:r>
      <w:r w:rsidRPr="00E9210E">
        <w:rPr>
          <w:rStyle w:val="Corpsdutexte28ptGrasEspacement1ptchelle120"/>
          <w:rFonts w:eastAsia="Courier New"/>
          <w:sz w:val="28"/>
        </w:rPr>
        <w:t>« </w:t>
      </w:r>
      <w:r w:rsidRPr="00E9210E">
        <w:t>M.H.S. »</w:t>
      </w:r>
      <w:r w:rsidRPr="00E9210E">
        <w:rPr>
          <w:rStyle w:val="Corpsdutexte28ptGrasEspacement1ptchelle120"/>
          <w:rFonts w:eastAsia="Courier New"/>
          <w:sz w:val="28"/>
        </w:rPr>
        <w:t xml:space="preserve">, </w:t>
      </w:r>
      <w:r w:rsidRPr="00E9210E">
        <w:t>1943, (III), p. 94-97.</w:t>
      </w:r>
    </w:p>
    <w:p w14:paraId="6EA8BF01" w14:textId="77777777" w:rsidR="00B9662D" w:rsidRPr="00E9210E" w:rsidRDefault="00B9662D" w:rsidP="00B9662D">
      <w:pPr>
        <w:spacing w:before="120" w:after="120"/>
        <w:jc w:val="both"/>
      </w:pPr>
      <w:r w:rsidRPr="00E9210E">
        <w:t>Une île. (Compte rendu :</w:t>
      </w:r>
      <w:r w:rsidRPr="00E9210E">
        <w:rPr>
          <w:rStyle w:val="Corpsdutexte28ptGrasEspacement1ptchelle120"/>
          <w:rFonts w:eastAsia="Courier New"/>
          <w:sz w:val="28"/>
        </w:rPr>
        <w:t xml:space="preserve"> </w:t>
      </w:r>
      <w:r w:rsidRPr="00E9210E">
        <w:t xml:space="preserve">R. </w:t>
      </w:r>
      <w:r w:rsidRPr="00E9210E">
        <w:rPr>
          <w:rStyle w:val="Corpsdutexte27ptGrasPetitesmajuscules"/>
          <w:rFonts w:eastAsia="Courier New"/>
          <w:b w:val="0"/>
          <w:sz w:val="28"/>
          <w:lang w:val="fr-CA"/>
        </w:rPr>
        <w:t>James</w:t>
      </w:r>
      <w:r w:rsidRPr="00E9210E">
        <w:rPr>
          <w:rStyle w:val="Corpsdutexte27ptGrasPetitesmajuscules"/>
          <w:rFonts w:eastAsia="Courier New"/>
          <w:b w:val="0"/>
          <w:smallCaps w:val="0"/>
          <w:sz w:val="28"/>
          <w:lang w:val="fr-CA"/>
        </w:rPr>
        <w:t>,</w:t>
      </w:r>
      <w:r w:rsidRPr="00E9210E">
        <w:rPr>
          <w:rStyle w:val="Corpsdutexte27ptGrasPetitesmajuscules"/>
          <w:rFonts w:eastAsia="Courier New"/>
          <w:sz w:val="28"/>
          <w:lang w:val="fr-CA"/>
        </w:rPr>
        <w:t xml:space="preserve"> </w:t>
      </w:r>
      <w:r w:rsidRPr="00E9210E">
        <w:rPr>
          <w:rStyle w:val="Corpsdutexte28ptItalique"/>
          <w:rFonts w:eastAsia="Courier New"/>
          <w:sz w:val="28"/>
        </w:rPr>
        <w:t>Chartes seigneuriales et priv</w:t>
      </w:r>
      <w:r w:rsidRPr="00E9210E">
        <w:rPr>
          <w:rStyle w:val="Corpsdutexte28ptItalique"/>
          <w:rFonts w:eastAsia="Courier New"/>
          <w:sz w:val="28"/>
        </w:rPr>
        <w:t>i</w:t>
      </w:r>
      <w:r w:rsidRPr="00E9210E">
        <w:rPr>
          <w:rStyle w:val="Corpsdutexte28ptItalique"/>
          <w:rFonts w:eastAsia="Courier New"/>
          <w:sz w:val="28"/>
        </w:rPr>
        <w:t>lèges royaux de l’île de Ré,</w:t>
      </w:r>
      <w:r w:rsidRPr="00E9210E">
        <w:rPr>
          <w:rStyle w:val="Corpsdutexte28ptGrasEspacement1ptchelle120"/>
          <w:rFonts w:eastAsia="Courier New"/>
          <w:sz w:val="28"/>
        </w:rPr>
        <w:t xml:space="preserve"> </w:t>
      </w:r>
      <w:r w:rsidRPr="00E9210E">
        <w:t xml:space="preserve">Paris, 1939), </w:t>
      </w:r>
      <w:r w:rsidRPr="00E9210E">
        <w:rPr>
          <w:rStyle w:val="Corpsdutexte28ptGrasEspacement1ptchelle120"/>
          <w:rFonts w:eastAsia="Courier New"/>
          <w:sz w:val="28"/>
        </w:rPr>
        <w:t>« </w:t>
      </w:r>
      <w:r w:rsidRPr="00E9210E">
        <w:t>M.H.S. »</w:t>
      </w:r>
      <w:r w:rsidRPr="00E9210E">
        <w:rPr>
          <w:rStyle w:val="Corpsdutexte28ptGrasEspacement1ptchelle120"/>
          <w:rFonts w:eastAsia="Courier New"/>
          <w:sz w:val="28"/>
        </w:rPr>
        <w:t xml:space="preserve">, </w:t>
      </w:r>
      <w:r w:rsidRPr="00E9210E">
        <w:t>1943, (III), pp. 106-107.</w:t>
      </w:r>
    </w:p>
    <w:p w14:paraId="5AB47ABA" w14:textId="77777777" w:rsidR="00B9662D" w:rsidRPr="00E9210E" w:rsidRDefault="00B9662D" w:rsidP="00B9662D">
      <w:pPr>
        <w:spacing w:before="120" w:after="120"/>
        <w:jc w:val="both"/>
      </w:pPr>
      <w:r w:rsidRPr="00E9210E">
        <w:rPr>
          <w:rStyle w:val="Corpsdutexte385ptNonItalique"/>
          <w:rFonts w:eastAsia="Courier New"/>
          <w:i w:val="0"/>
          <w:iCs w:val="0"/>
          <w:sz w:val="28"/>
        </w:rPr>
        <w:t>Un jeune bocage. (Compte rendu :</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A. </w:t>
      </w:r>
      <w:r w:rsidRPr="00E9210E">
        <w:rPr>
          <w:rStyle w:val="Corpsdutexte37ptGrasNonItaliquePetitesmajuscules"/>
          <w:rFonts w:eastAsia="Courier New"/>
          <w:b w:val="0"/>
          <w:i w:val="0"/>
          <w:iCs w:val="0"/>
          <w:sz w:val="28"/>
        </w:rPr>
        <w:t>Lequeux</w:t>
      </w:r>
      <w:r w:rsidRPr="00E9210E">
        <w:rPr>
          <w:rStyle w:val="Corpsdutexte37ptGrasNonItaliquePetitesmajuscules"/>
          <w:rFonts w:eastAsia="Courier New"/>
          <w:b w:val="0"/>
          <w:i w:val="0"/>
          <w:iCs w:val="0"/>
          <w:smallCaps w:val="0"/>
          <w:sz w:val="28"/>
        </w:rPr>
        <w:t>,</w:t>
      </w:r>
      <w:r w:rsidRPr="00E9210E">
        <w:rPr>
          <w:rStyle w:val="Corpsdutexte37ptGrasNonItaliquePetitesmajuscules"/>
          <w:rFonts w:eastAsia="Courier New"/>
          <w:i w:val="0"/>
          <w:iCs w:val="0"/>
          <w:sz w:val="28"/>
        </w:rPr>
        <w:t xml:space="preserve"> </w:t>
      </w:r>
      <w:r w:rsidRPr="00E9210E">
        <w:rPr>
          <w:i/>
        </w:rPr>
        <w:t xml:space="preserve">L’accourtillage en Thiérache aux </w:t>
      </w:r>
      <w:r w:rsidRPr="00E9210E">
        <w:rPr>
          <w:rFonts w:eastAsia="Courier New"/>
          <w:i/>
        </w:rPr>
        <w:t>XVII</w:t>
      </w:r>
      <w:r w:rsidRPr="00E9210E">
        <w:rPr>
          <w:rFonts w:eastAsia="Courier New"/>
          <w:i/>
          <w:vertAlign w:val="superscript"/>
        </w:rPr>
        <w:t>e</w:t>
      </w:r>
      <w:r w:rsidRPr="00E9210E">
        <w:rPr>
          <w:rFonts w:eastAsia="Courier New"/>
          <w:i/>
        </w:rPr>
        <w:t xml:space="preserve"> et XVIII</w:t>
      </w:r>
      <w:r w:rsidRPr="00E9210E">
        <w:rPr>
          <w:rFonts w:eastAsia="Courier New"/>
          <w:i/>
          <w:vertAlign w:val="superscript"/>
        </w:rPr>
        <w:t>e</w:t>
      </w:r>
      <w:r w:rsidRPr="00E9210E">
        <w:rPr>
          <w:i/>
        </w:rPr>
        <w:t xml:space="preserve"> siècles</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dans </w:t>
      </w:r>
      <w:r w:rsidRPr="00E9210E">
        <w:rPr>
          <w:i/>
        </w:rPr>
        <w:t>Mém. de la Société d’histoire du droit des pays flamands, picards et wallons</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 xml:space="preserve">t. II (1939), pp. 21-52), </w:t>
      </w:r>
      <w:r w:rsidRPr="00E9210E">
        <w:rPr>
          <w:rStyle w:val="Corpsdutexte3GrasNonItaliqueEspacement1ptchelle120"/>
          <w:rFonts w:eastAsia="Courier New"/>
          <w:i w:val="0"/>
          <w:iCs w:val="0"/>
          <w:sz w:val="28"/>
        </w:rPr>
        <w:t>« </w:t>
      </w:r>
      <w:r w:rsidRPr="00E9210E">
        <w:rPr>
          <w:rStyle w:val="Corpsdutexte385ptNonItalique"/>
          <w:rFonts w:eastAsia="Courier New"/>
          <w:i w:val="0"/>
          <w:iCs w:val="0"/>
          <w:sz w:val="28"/>
        </w:rPr>
        <w:t>M.H.S. »</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1943, (III), p. 107- 108.</w:t>
      </w:r>
    </w:p>
    <w:p w14:paraId="58D52B07" w14:textId="77777777" w:rsidR="00B9662D" w:rsidRPr="00E9210E" w:rsidRDefault="00B9662D" w:rsidP="00B9662D">
      <w:pPr>
        <w:spacing w:before="120" w:after="120"/>
        <w:jc w:val="both"/>
      </w:pPr>
      <w:r w:rsidRPr="00E9210E">
        <w:br w:type="page"/>
        <w:t>[1102|</w:t>
      </w:r>
    </w:p>
    <w:p w14:paraId="04E0963F" w14:textId="77777777" w:rsidR="00B9662D" w:rsidRPr="00E9210E" w:rsidRDefault="00B9662D" w:rsidP="00B9662D">
      <w:pPr>
        <w:spacing w:before="120" w:after="120"/>
        <w:jc w:val="both"/>
      </w:pPr>
      <w:r w:rsidRPr="00E9210E">
        <w:t xml:space="preserve">La forêt française. (Compte rendu : C. </w:t>
      </w:r>
      <w:r w:rsidRPr="00E9210E">
        <w:rPr>
          <w:rStyle w:val="Corpsdutexte27ptGras"/>
          <w:rFonts w:eastAsia="Courier New"/>
          <w:b w:val="0"/>
          <w:smallCaps/>
          <w:sz w:val="28"/>
        </w:rPr>
        <w:t>Vigouroux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coutume foresti</w:t>
      </w:r>
      <w:r w:rsidRPr="00E9210E">
        <w:rPr>
          <w:rFonts w:eastAsia="Courier New"/>
          <w:i/>
        </w:rPr>
        <w:t>è</w:t>
      </w:r>
      <w:r w:rsidRPr="00E9210E">
        <w:rPr>
          <w:rFonts w:eastAsia="Courier New"/>
          <w:i/>
        </w:rPr>
        <w:t>re française</w:t>
      </w:r>
      <w:r w:rsidRPr="00E9210E">
        <w:rPr>
          <w:rFonts w:eastAsia="Courier New"/>
        </w:rPr>
        <w:t xml:space="preserve">, </w:t>
      </w:r>
      <w:r w:rsidRPr="00E9210E">
        <w:t>Aurillac, 1942), « M.H.S. », 1943, (III), p. 108.</w:t>
      </w:r>
    </w:p>
    <w:p w14:paraId="36F0952D" w14:textId="77777777" w:rsidR="00B9662D" w:rsidRPr="00E9210E" w:rsidRDefault="00B9662D" w:rsidP="00B9662D">
      <w:pPr>
        <w:spacing w:before="120" w:after="120"/>
        <w:jc w:val="both"/>
      </w:pPr>
      <w:r w:rsidRPr="00E9210E">
        <w:t>Le régime rural de l’ancienne France. (Compte rendu : G. </w:t>
      </w:r>
      <w:r w:rsidRPr="00E9210E">
        <w:rPr>
          <w:rStyle w:val="Corpsdutexte27ptGras"/>
          <w:rFonts w:eastAsia="Courier New"/>
          <w:b w:val="0"/>
          <w:smallCaps/>
          <w:sz w:val="28"/>
        </w:rPr>
        <w:t>Lizerand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régime rural de l’ancienne France</w:t>
      </w:r>
      <w:r w:rsidRPr="00E9210E">
        <w:t>, Paris, 1942), « M.H.S. », 1943, (III), p. 108.</w:t>
      </w:r>
    </w:p>
    <w:p w14:paraId="4697B238" w14:textId="77777777" w:rsidR="00B9662D" w:rsidRPr="00E9210E" w:rsidRDefault="00B9662D" w:rsidP="00B9662D">
      <w:pPr>
        <w:spacing w:before="120" w:after="120"/>
        <w:jc w:val="both"/>
      </w:pPr>
      <w:r w:rsidRPr="00E9210E">
        <w:t xml:space="preserve">« Chartes de franchises ». (Compte rendu : R. </w:t>
      </w:r>
      <w:r w:rsidRPr="00E9210E">
        <w:rPr>
          <w:rStyle w:val="Corpsdutexte27ptGras"/>
          <w:rFonts w:eastAsia="Courier New"/>
          <w:b w:val="0"/>
          <w:smallCaps/>
          <w:sz w:val="28"/>
        </w:rPr>
        <w:t>Gandilhon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8ptItalique"/>
          <w:rFonts w:eastAsia="Courier New"/>
          <w:sz w:val="28"/>
        </w:rPr>
        <w:t>Cat</w:t>
      </w:r>
      <w:r w:rsidRPr="00E9210E">
        <w:rPr>
          <w:rStyle w:val="Corpsdutexte28ptItalique"/>
          <w:rFonts w:eastAsia="Courier New"/>
          <w:sz w:val="28"/>
        </w:rPr>
        <w:t>a</w:t>
      </w:r>
      <w:r w:rsidRPr="00E9210E">
        <w:rPr>
          <w:rStyle w:val="Corpsdutexte28ptItalique"/>
          <w:rFonts w:eastAsia="Courier New"/>
          <w:sz w:val="28"/>
        </w:rPr>
        <w:t>logue des chartes de franchises du Berry</w:t>
      </w:r>
      <w:r w:rsidRPr="00E9210E">
        <w:t>, Rennes, 1940), « M.H.S. », 1943, (III), pp. 109-110.</w:t>
      </w:r>
    </w:p>
    <w:p w14:paraId="449CE423" w14:textId="77777777" w:rsidR="00B9662D" w:rsidRPr="00E9210E" w:rsidRDefault="00B9662D" w:rsidP="00B9662D">
      <w:pPr>
        <w:spacing w:before="120" w:after="120"/>
        <w:jc w:val="both"/>
      </w:pPr>
      <w:r w:rsidRPr="00E9210E">
        <w:t xml:space="preserve">Paysans </w:t>
      </w:r>
      <w:r w:rsidRPr="00E9210E">
        <w:rPr>
          <w:rStyle w:val="Corpsdutexte27ptGras"/>
          <w:rFonts w:eastAsia="Courier New"/>
          <w:b w:val="0"/>
          <w:sz w:val="28"/>
        </w:rPr>
        <w:t>du</w:t>
      </w:r>
      <w:r w:rsidRPr="00E9210E">
        <w:rPr>
          <w:rStyle w:val="Corpsdutexte27ptGras"/>
          <w:rFonts w:eastAsia="Courier New"/>
          <w:sz w:val="28"/>
        </w:rPr>
        <w:t xml:space="preserve"> </w:t>
      </w:r>
      <w:r w:rsidRPr="00E9210E">
        <w:t xml:space="preserve">Berry. (Compte rendu : E. </w:t>
      </w:r>
      <w:r w:rsidRPr="00E9210E">
        <w:rPr>
          <w:rStyle w:val="Corpsdutexte27ptGras"/>
          <w:rFonts w:eastAsia="Courier New"/>
          <w:b w:val="0"/>
          <w:smallCaps/>
          <w:sz w:val="28"/>
        </w:rPr>
        <w:t>Salle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 xml:space="preserve">La condition paysanne au </w:t>
      </w:r>
      <w:r w:rsidRPr="00E9210E">
        <w:rPr>
          <w:rStyle w:val="Corpsdutexte2ItaliqueEspacement1pt"/>
          <w:rFonts w:eastAsia="Courier New"/>
          <w:i w:val="0"/>
          <w:sz w:val="28"/>
          <w:lang w:val="fr-CA"/>
        </w:rPr>
        <w:t>XVIII</w:t>
      </w:r>
      <w:r w:rsidRPr="00E9210E">
        <w:rPr>
          <w:rStyle w:val="Corpsdutexte2ItaliqueEspacement1pt"/>
          <w:rFonts w:eastAsia="Courier New"/>
          <w:i w:val="0"/>
          <w:sz w:val="28"/>
          <w:vertAlign w:val="superscript"/>
          <w:lang w:val="fr-CA"/>
        </w:rPr>
        <w:t>e</w:t>
      </w:r>
      <w:r w:rsidRPr="00E9210E">
        <w:rPr>
          <w:rFonts w:eastAsia="Courier New"/>
          <w:i/>
        </w:rPr>
        <w:t xml:space="preserve"> siècle dans la Champagne berrichonne</w:t>
      </w:r>
      <w:r w:rsidRPr="00E9210E">
        <w:t xml:space="preserve">, dans </w:t>
      </w:r>
      <w:r w:rsidRPr="00E9210E">
        <w:rPr>
          <w:rFonts w:eastAsia="Courier New"/>
          <w:i/>
        </w:rPr>
        <w:t>Revue de l’Académie du Centre</w:t>
      </w:r>
      <w:r w:rsidRPr="00E9210E">
        <w:t>, 65</w:t>
      </w:r>
      <w:r w:rsidRPr="00E9210E">
        <w:rPr>
          <w:vertAlign w:val="superscript"/>
        </w:rPr>
        <w:t>e</w:t>
      </w:r>
      <w:r w:rsidRPr="00E9210E">
        <w:t xml:space="preserve"> année, pp. 83-97), « M.H.S. », 1943, (III), p. 110.</w:t>
      </w:r>
    </w:p>
    <w:p w14:paraId="51E8EBBB"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Glaneurs et glaneuses. (Compte rendu : A. </w:t>
      </w:r>
      <w:r w:rsidRPr="00E9210E">
        <w:rPr>
          <w:rStyle w:val="Corpsdutexte117ptGrasNonItaliqueEspacement0pt"/>
          <w:rFonts w:eastAsia="Courier New"/>
          <w:b w:val="0"/>
          <w:i w:val="0"/>
          <w:iCs w:val="0"/>
          <w:smallCaps/>
          <w:sz w:val="28"/>
          <w:lang w:val="fr-CA"/>
        </w:rPr>
        <w:t>Dubuc</w:t>
      </w:r>
      <w:r w:rsidRPr="00E9210E">
        <w:rPr>
          <w:rStyle w:val="Corpsdutexte117ptGrasNonItaliqueEspacement0pt"/>
          <w:rFonts w:eastAsia="Courier New"/>
          <w:b w:val="0"/>
          <w:iCs w:val="0"/>
          <w:sz w:val="28"/>
          <w:lang w:val="fr-CA"/>
        </w:rPr>
        <w:t>,</w:t>
      </w:r>
      <w:r w:rsidRPr="00E9210E">
        <w:rPr>
          <w:rStyle w:val="Corpsdutexte117ptGrasNonItaliqueEspacement0pt"/>
          <w:rFonts w:eastAsia="Courier New"/>
          <w:iCs w:val="0"/>
          <w:sz w:val="28"/>
          <w:lang w:val="fr-CA"/>
        </w:rPr>
        <w:t xml:space="preserve"> </w:t>
      </w:r>
      <w:r w:rsidRPr="00E9210E">
        <w:rPr>
          <w:rFonts w:eastAsia="Courier New"/>
          <w:i/>
        </w:rPr>
        <w:t>À propos du glanage et de sa réglementation en Normandie</w:t>
      </w:r>
      <w:r w:rsidRPr="00E9210E">
        <w:rPr>
          <w:rStyle w:val="Corpsdutexte11NonItaliqueEspacement0pt"/>
          <w:rFonts w:eastAsia="Courier New"/>
          <w:i w:val="0"/>
          <w:iCs w:val="0"/>
          <w:sz w:val="28"/>
          <w:lang w:val="fr-CA"/>
        </w:rPr>
        <w:t xml:space="preserve">, dans </w:t>
      </w:r>
      <w:r w:rsidRPr="00E9210E">
        <w:rPr>
          <w:rFonts w:eastAsia="Courier New"/>
          <w:i/>
        </w:rPr>
        <w:t>Bulletin mai 1937-mai 1938 du Groupe de la Seine-Inférieure de la Société des Études locales dans l’enseignement public</w:t>
      </w:r>
      <w:r w:rsidRPr="00E9210E">
        <w:rPr>
          <w:rStyle w:val="Corpsdutexte11NonItaliqueEspacement0pt"/>
          <w:rFonts w:eastAsia="Courier New"/>
          <w:i w:val="0"/>
          <w:iCs w:val="0"/>
          <w:sz w:val="28"/>
          <w:lang w:val="fr-CA"/>
        </w:rPr>
        <w:t>, pp. 69-99), « M.H.S. », 1943, (III), pp. 110-111.</w:t>
      </w:r>
    </w:p>
    <w:p w14:paraId="6FA836AE" w14:textId="77777777" w:rsidR="00B9662D" w:rsidRPr="00E9210E" w:rsidRDefault="00B9662D" w:rsidP="00B9662D">
      <w:pPr>
        <w:spacing w:before="120" w:after="120"/>
        <w:jc w:val="both"/>
      </w:pPr>
      <w:r w:rsidRPr="00E9210E">
        <w:t xml:space="preserve">Compte rendu : F. </w:t>
      </w:r>
      <w:r w:rsidRPr="00E9210E">
        <w:rPr>
          <w:rStyle w:val="Corpsdutexte27ptGras"/>
          <w:rFonts w:eastAsia="Courier New"/>
          <w:b w:val="0"/>
          <w:smallCaps/>
          <w:sz w:val="28"/>
        </w:rPr>
        <w:t>Puyau</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L’agriculture dans les Landes en 1805</w:t>
      </w:r>
      <w:r w:rsidRPr="00E9210E">
        <w:t>, Dax, 1935), « M.H.S. », 1943, (III), p. 111.</w:t>
      </w:r>
    </w:p>
    <w:p w14:paraId="2346919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H. </w:t>
      </w:r>
      <w:r w:rsidRPr="00E9210E">
        <w:rPr>
          <w:rStyle w:val="Corpsdutexte117ptGrasNonItaliqueEspacement0pt"/>
          <w:rFonts w:eastAsia="Courier New"/>
          <w:b w:val="0"/>
          <w:i w:val="0"/>
          <w:iCs w:val="0"/>
          <w:smallCaps/>
          <w:sz w:val="28"/>
          <w:lang w:val="fr-CA"/>
        </w:rPr>
        <w:t>Chobaut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Origines de la sériciculture frança</w:t>
      </w:r>
      <w:r w:rsidRPr="00E9210E">
        <w:rPr>
          <w:rFonts w:eastAsia="Courier New"/>
          <w:i/>
        </w:rPr>
        <w:t>i</w:t>
      </w:r>
      <w:r w:rsidRPr="00E9210E">
        <w:rPr>
          <w:rFonts w:eastAsia="Courier New"/>
          <w:i/>
        </w:rPr>
        <w:t>se</w:t>
      </w:r>
      <w:r w:rsidRPr="00E9210E">
        <w:rPr>
          <w:rStyle w:val="Corpsdutexte11NonItaliqueEspacement0pt"/>
          <w:rFonts w:eastAsia="Courier New"/>
          <w:i w:val="0"/>
          <w:iCs w:val="0"/>
          <w:sz w:val="28"/>
          <w:lang w:val="fr-CA"/>
        </w:rPr>
        <w:t xml:space="preserve">, dans </w:t>
      </w:r>
      <w:r w:rsidRPr="00E9210E">
        <w:rPr>
          <w:rFonts w:eastAsia="Courier New"/>
          <w:i/>
        </w:rPr>
        <w:t>Mém. de l’Académie de Vaucluse</w:t>
      </w:r>
      <w:r w:rsidRPr="00E9210E">
        <w:rPr>
          <w:rStyle w:val="Corpsdutexte11NonItaliqueEspacement0pt"/>
          <w:rFonts w:eastAsia="Courier New"/>
          <w:i w:val="0"/>
          <w:iCs w:val="0"/>
          <w:sz w:val="28"/>
          <w:lang w:val="fr-CA"/>
        </w:rPr>
        <w:t>, 1940), « M.H.S. », 1943, (III), p. 111.</w:t>
      </w:r>
    </w:p>
    <w:p w14:paraId="654B5824"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Compte rendu : D</w:t>
      </w:r>
      <w:r w:rsidRPr="00E9210E">
        <w:rPr>
          <w:rStyle w:val="Corpsdutexte11NonItaliqueEspacement0pt"/>
          <w:rFonts w:eastAsia="Courier New"/>
          <w:i w:val="0"/>
          <w:iCs w:val="0"/>
          <w:sz w:val="28"/>
          <w:vertAlign w:val="superscript"/>
          <w:lang w:val="fr-CA"/>
        </w:rPr>
        <w:t>r</w:t>
      </w:r>
      <w:r w:rsidRPr="00E9210E">
        <w:rPr>
          <w:rStyle w:val="Corpsdutexte11NonItaliqueEspacement0pt"/>
          <w:rFonts w:eastAsia="Courier New"/>
          <w:i w:val="0"/>
          <w:iCs w:val="0"/>
          <w:sz w:val="28"/>
          <w:lang w:val="fr-CA"/>
        </w:rPr>
        <w:t xml:space="preserve"> P. </w:t>
      </w:r>
      <w:r w:rsidRPr="00E9210E">
        <w:rPr>
          <w:rStyle w:val="Corpsdutexte117ptGrasNonItaliqueEspacement0pt"/>
          <w:rFonts w:eastAsia="Courier New"/>
          <w:b w:val="0"/>
          <w:i w:val="0"/>
          <w:iCs w:val="0"/>
          <w:smallCaps/>
          <w:sz w:val="28"/>
          <w:lang w:val="fr-CA"/>
        </w:rPr>
        <w:t>Cayla</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Essai sur la vie des populations r</w:t>
      </w:r>
      <w:r w:rsidRPr="00E9210E">
        <w:rPr>
          <w:rFonts w:eastAsia="Courier New"/>
          <w:i/>
        </w:rPr>
        <w:t>u</w:t>
      </w:r>
      <w:r w:rsidRPr="00E9210E">
        <w:rPr>
          <w:rFonts w:eastAsia="Courier New"/>
          <w:i/>
        </w:rPr>
        <w:t>rales à Ginestas et dans ses environs au début du XVI</w:t>
      </w:r>
      <w:r w:rsidRPr="00E9210E">
        <w:rPr>
          <w:rFonts w:eastAsia="Courier New"/>
          <w:i/>
          <w:vertAlign w:val="superscript"/>
        </w:rPr>
        <w:t>e</w:t>
      </w:r>
      <w:r w:rsidRPr="00E9210E">
        <w:rPr>
          <w:rFonts w:eastAsia="Courier New"/>
          <w:i/>
        </w:rPr>
        <w:t xml:space="preserve"> siècle (1519-1536),</w:t>
      </w:r>
      <w:r w:rsidRPr="00E9210E">
        <w:rPr>
          <w:rStyle w:val="Corpsdutexte11NonItaliqueEspacement0pt"/>
          <w:rFonts w:eastAsia="Courier New"/>
          <w:i w:val="0"/>
          <w:iCs w:val="0"/>
          <w:sz w:val="28"/>
          <w:lang w:val="fr-CA"/>
        </w:rPr>
        <w:t xml:space="preserve"> Carcassonne, 1938, « M.H.S. », 1943, (III), pp. 111-112.</w:t>
      </w:r>
    </w:p>
    <w:p w14:paraId="16814F9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Abbé P. </w:t>
      </w:r>
      <w:r w:rsidRPr="00E9210E">
        <w:rPr>
          <w:rStyle w:val="Corpsdutexte117ptGrasNonItaliqueEspacement0pt"/>
          <w:rFonts w:eastAsia="Courier New"/>
          <w:b w:val="0"/>
          <w:i w:val="0"/>
          <w:iCs w:val="0"/>
          <w:smallCaps/>
          <w:sz w:val="28"/>
          <w:lang w:val="fr-CA"/>
        </w:rPr>
        <w:t>Guillaume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Un ménage malheureux en Sologne : la chasse et la culture divorceront-elles ?,</w:t>
      </w:r>
      <w:r w:rsidRPr="00E9210E">
        <w:rPr>
          <w:rStyle w:val="Corpsdutexte11NonItaliqueEspacement0pt"/>
          <w:rFonts w:eastAsia="Courier New"/>
          <w:i w:val="0"/>
          <w:iCs w:val="0"/>
          <w:sz w:val="28"/>
          <w:lang w:val="fr-CA"/>
        </w:rPr>
        <w:t xml:space="preserve"> Orléans, 1936, « M.H.S. », 1943, (III), p. 112.</w:t>
      </w:r>
    </w:p>
    <w:p w14:paraId="79D65C7E" w14:textId="77777777" w:rsidR="00B9662D" w:rsidRPr="00E9210E" w:rsidRDefault="00B9662D" w:rsidP="00B9662D">
      <w:pPr>
        <w:spacing w:before="120" w:after="120"/>
        <w:jc w:val="both"/>
      </w:pPr>
      <w:r w:rsidRPr="00E9210E">
        <w:rPr>
          <w:rStyle w:val="Corpsdutexte117ptGrasNonItaliqueEspacement0pt"/>
          <w:rFonts w:eastAsia="Courier New"/>
          <w:b w:val="0"/>
          <w:i w:val="0"/>
          <w:iCs w:val="0"/>
          <w:sz w:val="28"/>
          <w:lang w:val="fr-CA"/>
        </w:rPr>
        <w:t>Compte rendu :</w:t>
      </w:r>
      <w:r w:rsidRPr="00E9210E">
        <w:rPr>
          <w:rStyle w:val="Corpsdutexte11NonItaliqueEspacement0pt"/>
          <w:rFonts w:eastAsia="Courier New"/>
          <w:i w:val="0"/>
          <w:iCs w:val="0"/>
          <w:sz w:val="28"/>
          <w:lang w:val="fr-CA"/>
        </w:rPr>
        <w:t xml:space="preserve"> E. </w:t>
      </w:r>
      <w:r w:rsidRPr="00E9210E">
        <w:rPr>
          <w:rStyle w:val="Corpsdutexte117ptGrasNonItaliqueEspacement0pt"/>
          <w:rFonts w:eastAsia="Courier New"/>
          <w:b w:val="0"/>
          <w:i w:val="0"/>
          <w:iCs w:val="0"/>
          <w:smallCaps/>
          <w:sz w:val="28"/>
          <w:lang w:val="fr-CA"/>
        </w:rPr>
        <w:t>Millet</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L’élevage du mouton dans le départ</w:t>
      </w:r>
      <w:r w:rsidRPr="00E9210E">
        <w:rPr>
          <w:rFonts w:eastAsia="Courier New"/>
          <w:i/>
        </w:rPr>
        <w:t>e</w:t>
      </w:r>
      <w:r w:rsidRPr="00E9210E">
        <w:rPr>
          <w:rFonts w:eastAsia="Courier New"/>
          <w:i/>
        </w:rPr>
        <w:t>ment de la Meuse depuis le début du XIX</w:t>
      </w:r>
      <w:r w:rsidRPr="00E9210E">
        <w:rPr>
          <w:rFonts w:eastAsia="Courier New"/>
          <w:i/>
          <w:vertAlign w:val="superscript"/>
        </w:rPr>
        <w:t>e</w:t>
      </w:r>
      <w:r w:rsidRPr="00E9210E">
        <w:rPr>
          <w:rFonts w:eastAsia="Courier New"/>
          <w:i/>
        </w:rPr>
        <w:t xml:space="preserve"> siècle</w:t>
      </w:r>
      <w:r w:rsidRPr="00E9210E">
        <w:rPr>
          <w:rStyle w:val="Corpsdutexte11NonItaliqueEspacement0pt"/>
          <w:rFonts w:eastAsia="Courier New"/>
          <w:i w:val="0"/>
          <w:iCs w:val="0"/>
          <w:sz w:val="28"/>
          <w:lang w:val="fr-CA"/>
        </w:rPr>
        <w:t xml:space="preserve">, </w:t>
      </w:r>
      <w:r w:rsidRPr="00E9210E">
        <w:rPr>
          <w:rStyle w:val="Corpsdutexte117ptGrasNonItaliqueEspacement0pt"/>
          <w:rFonts w:eastAsia="Courier New"/>
          <w:b w:val="0"/>
          <w:i w:val="0"/>
          <w:iCs w:val="0"/>
          <w:sz w:val="28"/>
          <w:lang w:val="fr-CA"/>
        </w:rPr>
        <w:t>dans</w:t>
      </w:r>
      <w:r w:rsidRPr="00E9210E">
        <w:rPr>
          <w:rStyle w:val="Corpsdutexte117ptGrasNonItaliqueEspacement0pt"/>
          <w:rFonts w:eastAsia="Courier New"/>
          <w:i w:val="0"/>
          <w:iCs w:val="0"/>
          <w:sz w:val="28"/>
          <w:lang w:val="fr-CA"/>
        </w:rPr>
        <w:t xml:space="preserve"> </w:t>
      </w:r>
      <w:r w:rsidRPr="00E9210E">
        <w:rPr>
          <w:rFonts w:eastAsia="Courier New"/>
          <w:i/>
        </w:rPr>
        <w:t>Ann. de l’Est</w:t>
      </w:r>
      <w:r w:rsidRPr="00E9210E">
        <w:rPr>
          <w:rStyle w:val="Corpsdutexte11NonItaliqueEspacement0pt"/>
          <w:rFonts w:eastAsia="Courier New"/>
          <w:i w:val="0"/>
          <w:iCs w:val="0"/>
          <w:sz w:val="28"/>
          <w:lang w:val="fr-CA"/>
        </w:rPr>
        <w:t xml:space="preserve">, 1936, </w:t>
      </w:r>
      <w:r w:rsidRPr="00E9210E">
        <w:rPr>
          <w:rStyle w:val="Corpsdutexte117ptGrasNonItaliqueEspacement0pt"/>
          <w:rFonts w:eastAsia="Courier New"/>
          <w:b w:val="0"/>
          <w:i w:val="0"/>
          <w:iCs w:val="0"/>
          <w:sz w:val="28"/>
          <w:lang w:val="fr-CA"/>
        </w:rPr>
        <w:t>p.</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 xml:space="preserve">3-72, « M.H.S. », 1943, (III), </w:t>
      </w:r>
      <w:r w:rsidRPr="00E9210E">
        <w:t>p. 112.</w:t>
      </w:r>
    </w:p>
    <w:p w14:paraId="2FA7406A" w14:textId="77777777" w:rsidR="00B9662D" w:rsidRPr="00E9210E" w:rsidRDefault="00B9662D" w:rsidP="00B9662D">
      <w:pPr>
        <w:spacing w:before="120" w:after="120"/>
        <w:jc w:val="both"/>
      </w:pPr>
      <w:r w:rsidRPr="00E9210E">
        <w:t xml:space="preserve">Compte rendu : P. </w:t>
      </w:r>
      <w:r w:rsidRPr="00E9210E">
        <w:rPr>
          <w:rStyle w:val="Corpsdutexte27ptGras"/>
          <w:rFonts w:eastAsia="Courier New"/>
          <w:b w:val="0"/>
          <w:smallCaps/>
          <w:sz w:val="28"/>
        </w:rPr>
        <w:t>Rouveroux</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métayage : ce qu’il faut en s</w:t>
      </w:r>
      <w:r w:rsidRPr="00E9210E">
        <w:rPr>
          <w:rFonts w:eastAsia="Courier New"/>
          <w:i/>
        </w:rPr>
        <w:t>a</w:t>
      </w:r>
      <w:r w:rsidRPr="00E9210E">
        <w:rPr>
          <w:rFonts w:eastAsia="Courier New"/>
          <w:i/>
        </w:rPr>
        <w:t>voir</w:t>
      </w:r>
      <w:r w:rsidRPr="00E9210E">
        <w:t>, P</w:t>
      </w:r>
      <w:r w:rsidRPr="00E9210E">
        <w:t>a</w:t>
      </w:r>
      <w:r w:rsidRPr="00E9210E">
        <w:t>ris), « M.H.S. », 1943, (III), pp. 112-113.</w:t>
      </w:r>
    </w:p>
    <w:p w14:paraId="3E5EF8E7" w14:textId="77777777" w:rsidR="00B9662D" w:rsidRPr="00E9210E" w:rsidRDefault="00B9662D" w:rsidP="00B9662D">
      <w:pPr>
        <w:spacing w:before="120" w:after="120"/>
        <w:jc w:val="both"/>
      </w:pPr>
      <w:r w:rsidRPr="00E9210E">
        <w:t xml:space="preserve">Compte rendu : E. </w:t>
      </w:r>
      <w:r w:rsidRPr="00E9210E">
        <w:rPr>
          <w:rStyle w:val="Corpsdutexte27ptGras"/>
          <w:rFonts w:eastAsia="Courier New"/>
          <w:b w:val="0"/>
          <w:smallCaps/>
          <w:sz w:val="28"/>
        </w:rPr>
        <w:t>Kukuck</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Die Mundarten von Saint-Martin-de-la-Porte und Lanlesbourg</w:t>
      </w:r>
      <w:r w:rsidRPr="00E9210E">
        <w:t>, Iéna, Leipzig, 1936, « M.H.S. », 1943, (III), p. 113.</w:t>
      </w:r>
    </w:p>
    <w:p w14:paraId="5C7F79F4" w14:textId="77777777" w:rsidR="00B9662D" w:rsidRPr="00E9210E" w:rsidRDefault="00B9662D" w:rsidP="00B9662D">
      <w:pPr>
        <w:spacing w:before="120" w:after="120"/>
        <w:jc w:val="both"/>
      </w:pPr>
      <w:r w:rsidRPr="00E9210E">
        <w:t xml:space="preserve">Compte rendu : J. </w:t>
      </w:r>
      <w:r w:rsidRPr="00E9210E">
        <w:rPr>
          <w:rStyle w:val="Corpsdutexte27ptGras"/>
          <w:rFonts w:eastAsia="Courier New"/>
          <w:b w:val="0"/>
          <w:smallCaps/>
          <w:sz w:val="28"/>
        </w:rPr>
        <w:t>Page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droits féodaux à la fin du</w:t>
      </w:r>
      <w:r w:rsidRPr="00E9210E">
        <w:rPr>
          <w:rFonts w:eastAsia="Courier New"/>
        </w:rPr>
        <w:t xml:space="preserve"> </w:t>
      </w:r>
      <w:r w:rsidRPr="00E9210E">
        <w:rPr>
          <w:rStyle w:val="Corpsdutexte2ItaliqueEspacement1pt"/>
          <w:rFonts w:eastAsia="Courier New"/>
          <w:sz w:val="28"/>
          <w:lang w:val="fr-CA"/>
        </w:rPr>
        <w:t>XVIII</w:t>
      </w:r>
      <w:r w:rsidRPr="00E9210E">
        <w:rPr>
          <w:rStyle w:val="Corpsdutexte2ItaliqueEspacement1pt"/>
          <w:rFonts w:eastAsia="Courier New"/>
          <w:sz w:val="28"/>
          <w:vertAlign w:val="superscript"/>
          <w:lang w:val="fr-CA"/>
        </w:rPr>
        <w:t>e</w:t>
      </w:r>
      <w:r w:rsidRPr="00E9210E">
        <w:rPr>
          <w:rFonts w:eastAsia="Courier New"/>
        </w:rPr>
        <w:t xml:space="preserve"> siècle. </w:t>
      </w:r>
      <w:r w:rsidRPr="00E9210E">
        <w:rPr>
          <w:rFonts w:eastAsia="Courier New"/>
          <w:i/>
        </w:rPr>
        <w:t>Les cahiers des doléances dans le Rhône</w:t>
      </w:r>
      <w:r w:rsidRPr="00E9210E">
        <w:rPr>
          <w:rFonts w:eastAsia="Courier New"/>
        </w:rPr>
        <w:t>,</w:t>
      </w:r>
      <w:r w:rsidRPr="00E9210E">
        <w:t xml:space="preserve"> dans le n</w:t>
      </w:r>
      <w:r w:rsidRPr="00E9210E">
        <w:t>u</w:t>
      </w:r>
      <w:r w:rsidRPr="00E9210E">
        <w:t xml:space="preserve">méro du 20 févr. 1939 du </w:t>
      </w:r>
      <w:r w:rsidRPr="00E9210E">
        <w:rPr>
          <w:rFonts w:eastAsia="Courier New"/>
          <w:i/>
        </w:rPr>
        <w:t>Bulletin corporatif</w:t>
      </w:r>
      <w:r w:rsidRPr="00E9210E">
        <w:rPr>
          <w:rFonts w:eastAsia="Courier New"/>
        </w:rPr>
        <w:t xml:space="preserve">, </w:t>
      </w:r>
      <w:r w:rsidRPr="00E9210E">
        <w:t>revue bi-mensuelle du Syndicat de l’enseignement laïque du Rhône), « M.H.S. », 1943, (III), pp. 113-114.</w:t>
      </w:r>
    </w:p>
    <w:p w14:paraId="21765CC9" w14:textId="77777777" w:rsidR="00B9662D" w:rsidRPr="00E9210E" w:rsidRDefault="00B9662D" w:rsidP="00B9662D">
      <w:pPr>
        <w:spacing w:before="120" w:after="120"/>
        <w:jc w:val="both"/>
      </w:pPr>
      <w:r w:rsidRPr="00E9210E">
        <w:t xml:space="preserve">Compte rendu : A. </w:t>
      </w:r>
      <w:r w:rsidRPr="00E9210E">
        <w:rPr>
          <w:rStyle w:val="Corpsdutexte27ptGras"/>
          <w:rFonts w:eastAsia="Courier New"/>
          <w:b w:val="0"/>
          <w:smallCaps/>
          <w:sz w:val="28"/>
        </w:rPr>
        <w:t>Garrigou-Lagrange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Production agricole et économie rurale</w:t>
      </w:r>
      <w:r w:rsidRPr="00E9210E">
        <w:rPr>
          <w:rFonts w:eastAsia="Courier New"/>
        </w:rPr>
        <w:t>,</w:t>
      </w:r>
      <w:r w:rsidRPr="00E9210E">
        <w:t xml:space="preserve"> Paris, 1939, « M.H.S. », 1943, (III), pp. 114-115.</w:t>
      </w:r>
    </w:p>
    <w:p w14:paraId="54D24803"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Dans les chartriers. (Compte rendu : R. </w:t>
      </w:r>
      <w:r w:rsidRPr="00E9210E">
        <w:rPr>
          <w:rStyle w:val="Corpsdutexte117ptGrasNonItaliqueEspacement0pt"/>
          <w:rFonts w:eastAsia="Courier New"/>
          <w:b w:val="0"/>
          <w:i w:val="0"/>
          <w:iCs w:val="0"/>
          <w:smallCaps/>
          <w:sz w:val="28"/>
          <w:lang w:val="fr-CA"/>
        </w:rPr>
        <w:t>Dubois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Prieuré de L</w:t>
      </w:r>
      <w:r w:rsidRPr="00E9210E">
        <w:rPr>
          <w:rFonts w:eastAsia="Courier New"/>
          <w:i/>
        </w:rPr>
        <w:t>u</w:t>
      </w:r>
      <w:r w:rsidRPr="00E9210E">
        <w:rPr>
          <w:rFonts w:eastAsia="Courier New"/>
          <w:i/>
        </w:rPr>
        <w:t>cheux et prévôté de Gros-Tison : cartulaire factice</w:t>
      </w:r>
      <w:r w:rsidRPr="00E9210E">
        <w:rPr>
          <w:rFonts w:eastAsia="Courier New"/>
        </w:rPr>
        <w:t>,</w:t>
      </w:r>
      <w:r w:rsidRPr="00E9210E">
        <w:rPr>
          <w:rStyle w:val="Corpsdutexte11NonItaliqueEspacement0pt"/>
          <w:rFonts w:eastAsia="Courier New"/>
          <w:i w:val="0"/>
          <w:iCs w:val="0"/>
          <w:sz w:val="28"/>
          <w:lang w:val="fr-CA"/>
        </w:rPr>
        <w:t xml:space="preserve"> dans </w:t>
      </w:r>
      <w:r w:rsidRPr="00E9210E">
        <w:rPr>
          <w:rFonts w:eastAsia="Courier New"/>
          <w:i/>
        </w:rPr>
        <w:t>Mém. de la Société des antiquaires de Picardie</w:t>
      </w:r>
      <w:r w:rsidRPr="00E9210E">
        <w:rPr>
          <w:rFonts w:eastAsia="Courier New"/>
        </w:rPr>
        <w:t xml:space="preserve">, </w:t>
      </w:r>
      <w:r w:rsidRPr="00E9210E">
        <w:rPr>
          <w:rStyle w:val="Corpsdutexte11NonItaliqueEspacement0pt"/>
          <w:rFonts w:eastAsia="Courier New"/>
          <w:i w:val="0"/>
          <w:iCs w:val="0"/>
          <w:sz w:val="28"/>
          <w:lang w:val="fr-CA"/>
        </w:rPr>
        <w:t xml:space="preserve">t. XLYII (1937), pp. 111-519), « M.H.S. », 1943, (III), </w:t>
      </w:r>
      <w:r w:rsidRPr="00E9210E">
        <w:rPr>
          <w:rStyle w:val="Corpsdutexte117ptGrasNonItaliqueEspacement0pt"/>
          <w:rFonts w:eastAsia="Courier New"/>
          <w:b w:val="0"/>
          <w:i w:val="0"/>
          <w:iCs w:val="0"/>
          <w:sz w:val="28"/>
          <w:lang w:val="fr-CA"/>
        </w:rPr>
        <w:t>p.</w:t>
      </w:r>
      <w:r w:rsidRPr="00E9210E">
        <w:rPr>
          <w:rStyle w:val="Corpsdutexte117ptGrasNonItaliqueEspacement0pt"/>
          <w:rFonts w:eastAsia="Courier New"/>
          <w:i w:val="0"/>
          <w:iCs w:val="0"/>
          <w:sz w:val="28"/>
          <w:lang w:val="fr-CA"/>
        </w:rPr>
        <w:t xml:space="preserve"> </w:t>
      </w:r>
      <w:r w:rsidRPr="00E9210E">
        <w:rPr>
          <w:rStyle w:val="Corpsdutexte11NonItaliqueEspacement0pt"/>
          <w:rFonts w:eastAsia="Courier New"/>
          <w:i w:val="0"/>
          <w:iCs w:val="0"/>
          <w:sz w:val="28"/>
          <w:lang w:val="fr-CA"/>
        </w:rPr>
        <w:t>115.</w:t>
      </w:r>
    </w:p>
    <w:p w14:paraId="22216F63" w14:textId="77777777" w:rsidR="00B9662D" w:rsidRPr="00E9210E" w:rsidRDefault="00B9662D" w:rsidP="00B9662D">
      <w:pPr>
        <w:spacing w:before="120" w:after="120"/>
        <w:jc w:val="both"/>
      </w:pPr>
      <w:r w:rsidRPr="00E9210E">
        <w:t xml:space="preserve">Gens de Syrie. (Compte rendu : J. </w:t>
      </w:r>
      <w:r w:rsidRPr="00E9210E">
        <w:rPr>
          <w:rStyle w:val="Corpsdutexte27ptGras"/>
          <w:rFonts w:eastAsia="Courier New"/>
          <w:b w:val="0"/>
          <w:smallCaps/>
          <w:sz w:val="28"/>
        </w:rPr>
        <w:t>Weulersse</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pays des Alou</w:t>
      </w:r>
      <w:r w:rsidRPr="00E9210E">
        <w:rPr>
          <w:rFonts w:eastAsia="Courier New"/>
          <w:i/>
        </w:rPr>
        <w:t>i</w:t>
      </w:r>
      <w:r w:rsidRPr="00E9210E">
        <w:rPr>
          <w:rFonts w:eastAsia="Courier New"/>
          <w:i/>
        </w:rPr>
        <w:t>tes</w:t>
      </w:r>
      <w:r w:rsidRPr="00E9210E">
        <w:rPr>
          <w:rFonts w:eastAsia="Courier New"/>
        </w:rPr>
        <w:t>,</w:t>
      </w:r>
      <w:r w:rsidRPr="00E9210E">
        <w:t xml:space="preserve"> t. I, Tours, 1940, « M.H.S. », 1943, (III), pp. 116-117.</w:t>
      </w:r>
    </w:p>
    <w:p w14:paraId="77BAE9B3" w14:textId="77777777" w:rsidR="00B9662D" w:rsidRPr="00E9210E" w:rsidRDefault="00B9662D" w:rsidP="00B9662D">
      <w:pPr>
        <w:spacing w:before="120" w:after="120"/>
        <w:jc w:val="both"/>
      </w:pPr>
      <w:r w:rsidRPr="00E9210E">
        <w:t xml:space="preserve">Paysans de Syrie. (Compte rendu : S. </w:t>
      </w:r>
      <w:r w:rsidRPr="00E9210E">
        <w:rPr>
          <w:rStyle w:val="Corpsdutexte27ptGras"/>
          <w:rFonts w:eastAsia="Courier New"/>
          <w:b w:val="0"/>
          <w:sz w:val="28"/>
        </w:rPr>
        <w:t>Reich,</w:t>
      </w:r>
      <w:r w:rsidRPr="00E9210E">
        <w:rPr>
          <w:rStyle w:val="Corpsdutexte27ptGras"/>
          <w:rFonts w:eastAsia="Courier New"/>
          <w:sz w:val="28"/>
        </w:rPr>
        <w:t xml:space="preserve"> </w:t>
      </w:r>
      <w:r w:rsidRPr="00E9210E">
        <w:rPr>
          <w:rFonts w:eastAsia="Courier New"/>
          <w:i/>
        </w:rPr>
        <w:t>Étude sur les villages araméens de l’Anti-Liban</w:t>
      </w:r>
      <w:r w:rsidRPr="00E9210E">
        <w:rPr>
          <w:rFonts w:eastAsia="Courier New"/>
        </w:rPr>
        <w:t>,</w:t>
      </w:r>
      <w:r w:rsidRPr="00E9210E">
        <w:t xml:space="preserve"> Beyrouth, 1937), « M.H.S. », 1943, (III), p. 117.</w:t>
      </w:r>
    </w:p>
    <w:p w14:paraId="58A475D5" w14:textId="77777777" w:rsidR="00B9662D" w:rsidRPr="00E9210E" w:rsidRDefault="00B9662D" w:rsidP="00B9662D">
      <w:pPr>
        <w:spacing w:before="120" w:after="120"/>
        <w:jc w:val="both"/>
      </w:pPr>
      <w:r w:rsidRPr="00E9210E">
        <w:t xml:space="preserve">Les croisés en Syrie du Nord. (Compte rendu : Cl. </w:t>
      </w:r>
      <w:r w:rsidRPr="00E9210E">
        <w:rPr>
          <w:rStyle w:val="Corpsdutexte27ptGras"/>
          <w:rFonts w:eastAsia="Courier New"/>
          <w:b w:val="0"/>
          <w:smallCaps/>
          <w:sz w:val="28"/>
        </w:rPr>
        <w:t>Cahen</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La S</w:t>
      </w:r>
      <w:r w:rsidRPr="00E9210E">
        <w:rPr>
          <w:rFonts w:eastAsia="Courier New"/>
          <w:i/>
        </w:rPr>
        <w:t>y</w:t>
      </w:r>
      <w:r w:rsidRPr="00E9210E">
        <w:rPr>
          <w:rFonts w:eastAsia="Courier New"/>
          <w:i/>
        </w:rPr>
        <w:t>rie du Nord à l’époque des croisades et la principauté franque d’Antioche</w:t>
      </w:r>
      <w:r w:rsidRPr="00E9210E">
        <w:rPr>
          <w:rFonts w:eastAsia="Courier New"/>
        </w:rPr>
        <w:t>,</w:t>
      </w:r>
      <w:r w:rsidRPr="00E9210E">
        <w:t xml:space="preserve"> Paris, 1940), « M.H.S. », 1943, (III), pp. 117-118.</w:t>
      </w:r>
    </w:p>
    <w:p w14:paraId="3849455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G. de </w:t>
      </w:r>
      <w:r w:rsidRPr="00E9210E">
        <w:rPr>
          <w:rStyle w:val="Corpsdutexte117ptGrasNonItaliqueEspacement0pt"/>
          <w:rFonts w:eastAsia="Courier New"/>
          <w:b w:val="0"/>
          <w:i w:val="0"/>
          <w:iCs w:val="0"/>
          <w:smallCaps/>
          <w:sz w:val="28"/>
          <w:lang w:val="fr-CA"/>
        </w:rPr>
        <w:t>Lagarde</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L’idée de représentation</w:t>
      </w:r>
      <w:r w:rsidRPr="00E9210E">
        <w:rPr>
          <w:rFonts w:eastAsia="Courier New"/>
        </w:rPr>
        <w:t xml:space="preserve"> </w:t>
      </w:r>
      <w:r w:rsidRPr="00E9210E">
        <w:rPr>
          <w:rFonts w:eastAsia="Courier New"/>
          <w:i/>
        </w:rPr>
        <w:t>dans les œuvres de Guillaume d’Ockham</w:t>
      </w:r>
      <w:r w:rsidRPr="00E9210E">
        <w:rPr>
          <w:rFonts w:eastAsia="Courier New"/>
        </w:rPr>
        <w:t>,</w:t>
      </w:r>
      <w:r w:rsidRPr="00E9210E">
        <w:rPr>
          <w:rStyle w:val="Corpsdutexte11NonItaliqueEspacement0pt"/>
          <w:rFonts w:eastAsia="Courier New"/>
          <w:i w:val="0"/>
          <w:iCs w:val="0"/>
          <w:sz w:val="28"/>
          <w:lang w:val="fr-CA"/>
        </w:rPr>
        <w:t xml:space="preserve"> « M.H.S. », 1943, (III), p. 119.</w:t>
      </w:r>
    </w:p>
    <w:p w14:paraId="6DF52591" w14:textId="77777777" w:rsidR="00B9662D" w:rsidRPr="00E9210E" w:rsidRDefault="00B9662D" w:rsidP="00B9662D">
      <w:pPr>
        <w:spacing w:before="120" w:after="120"/>
        <w:jc w:val="both"/>
      </w:pPr>
      <w:r w:rsidRPr="00E9210E">
        <w:t>[1103]</w:t>
      </w:r>
    </w:p>
    <w:p w14:paraId="70AF1027" w14:textId="77777777" w:rsidR="00B9662D" w:rsidRPr="00E9210E" w:rsidRDefault="00B9662D" w:rsidP="00B9662D">
      <w:pPr>
        <w:spacing w:before="120" w:after="120"/>
        <w:jc w:val="both"/>
      </w:pPr>
      <w:r w:rsidRPr="00E9210E">
        <w:rPr>
          <w:rStyle w:val="Corpsdutexte385ptNonItalique"/>
          <w:rFonts w:eastAsia="Courier New"/>
          <w:i w:val="0"/>
          <w:iCs w:val="0"/>
          <w:sz w:val="28"/>
        </w:rPr>
        <w:t xml:space="preserve">Compte </w:t>
      </w:r>
      <w:r w:rsidRPr="00E9210E">
        <w:rPr>
          <w:rStyle w:val="Corpsdutexte37ptGrasNonItalique"/>
          <w:rFonts w:eastAsia="Courier New"/>
          <w:b w:val="0"/>
          <w:i w:val="0"/>
          <w:iCs w:val="0"/>
          <w:sz w:val="28"/>
        </w:rPr>
        <w:t>rendu :</w:t>
      </w:r>
      <w:r w:rsidRPr="00E9210E">
        <w:rPr>
          <w:rStyle w:val="Corpsdutexte385ptNonItalique"/>
          <w:rFonts w:eastAsia="Courier New"/>
          <w:b/>
          <w:i w:val="0"/>
          <w:iCs w:val="0"/>
          <w:sz w:val="28"/>
        </w:rPr>
        <w:t xml:space="preserve"> </w:t>
      </w:r>
      <w:r w:rsidRPr="00E9210E">
        <w:rPr>
          <w:rStyle w:val="Corpsdutexte385ptNonItalique"/>
          <w:rFonts w:eastAsia="Courier New"/>
          <w:i w:val="0"/>
          <w:iCs w:val="0"/>
          <w:sz w:val="28"/>
        </w:rPr>
        <w:t>P.</w:t>
      </w:r>
      <w:r w:rsidRPr="00E9210E">
        <w:rPr>
          <w:rStyle w:val="Corpsdutexte385ptNonItalique"/>
          <w:rFonts w:eastAsia="Courier New"/>
          <w:b/>
          <w:i w:val="0"/>
          <w:iCs w:val="0"/>
          <w:sz w:val="28"/>
        </w:rPr>
        <w:t xml:space="preserve"> </w:t>
      </w:r>
      <w:r w:rsidRPr="00E9210E">
        <w:rPr>
          <w:rStyle w:val="Corpsdutexte37ptGrasNonItaliquePetitesmajuscules"/>
          <w:rFonts w:eastAsia="Courier New"/>
          <w:b w:val="0"/>
          <w:i w:val="0"/>
          <w:iCs w:val="0"/>
          <w:sz w:val="28"/>
        </w:rPr>
        <w:t>Daudet,</w:t>
      </w:r>
      <w:r w:rsidRPr="00E9210E">
        <w:rPr>
          <w:rStyle w:val="Corpsdutexte37ptGrasNonItaliquePetitesmajuscules"/>
          <w:rFonts w:eastAsia="Courier New"/>
          <w:i w:val="0"/>
          <w:iCs w:val="0"/>
          <w:sz w:val="28"/>
        </w:rPr>
        <w:t xml:space="preserve"> </w:t>
      </w:r>
      <w:r w:rsidRPr="00E9210E">
        <w:rPr>
          <w:i/>
        </w:rPr>
        <w:t>L’établissement de la compétence de l’Église en matière de divorce et de consanguinité (France</w:t>
      </w:r>
      <w:r w:rsidRPr="00E9210E">
        <w:t xml:space="preserve"> </w:t>
      </w:r>
      <w:r w:rsidRPr="00E9210E">
        <w:rPr>
          <w:rStyle w:val="Corpsdutexte385ptEspacement1pt"/>
          <w:rFonts w:eastAsia="Courier New"/>
          <w:sz w:val="28"/>
        </w:rPr>
        <w:t>X</w:t>
      </w:r>
      <w:r w:rsidRPr="00E9210E">
        <w:rPr>
          <w:rStyle w:val="Corpsdutexte385ptEspacement1pt"/>
          <w:rFonts w:eastAsia="Courier New"/>
          <w:sz w:val="28"/>
          <w:vertAlign w:val="superscript"/>
        </w:rPr>
        <w:t>e</w:t>
      </w:r>
      <w:r w:rsidRPr="00E9210E">
        <w:rPr>
          <w:rStyle w:val="Corpsdutexte385ptEspacement1pt"/>
          <w:rFonts w:eastAsia="Courier New"/>
          <w:sz w:val="28"/>
        </w:rPr>
        <w:t>-XII</w:t>
      </w:r>
      <w:r w:rsidRPr="00E9210E">
        <w:rPr>
          <w:rStyle w:val="Corpsdutexte385ptEspacement1pt"/>
          <w:rFonts w:eastAsia="Courier New"/>
          <w:sz w:val="28"/>
          <w:vertAlign w:val="superscript"/>
        </w:rPr>
        <w:t>e</w:t>
      </w:r>
      <w:r w:rsidRPr="00E9210E">
        <w:rPr>
          <w:rFonts w:eastAsia="Courier New"/>
        </w:rPr>
        <w:t> </w:t>
      </w:r>
      <w:r w:rsidRPr="00E9210E">
        <w:rPr>
          <w:i/>
        </w:rPr>
        <w:t>siècle</w:t>
      </w:r>
      <w:r w:rsidRPr="00E9210E">
        <w:t>),</w:t>
      </w:r>
      <w:r w:rsidRPr="00E9210E">
        <w:rPr>
          <w:rStyle w:val="Corpsdutexte3GrasNonItaliqueEspacement1ptchelle120"/>
          <w:rFonts w:eastAsia="Courier New"/>
          <w:i w:val="0"/>
          <w:iCs w:val="0"/>
          <w:sz w:val="28"/>
        </w:rPr>
        <w:t xml:space="preserve"> </w:t>
      </w:r>
      <w:r w:rsidRPr="00E9210E">
        <w:rPr>
          <w:rStyle w:val="Corpsdutexte385ptNonItalique"/>
          <w:rFonts w:eastAsia="Courier New"/>
          <w:i w:val="0"/>
          <w:iCs w:val="0"/>
          <w:sz w:val="28"/>
        </w:rPr>
        <w:t>Paris, 1941), « M.H.S. », 1943, (III), pp. 119-120.</w:t>
      </w:r>
    </w:p>
    <w:p w14:paraId="070B9857" w14:textId="77777777" w:rsidR="00B9662D" w:rsidRPr="00E9210E" w:rsidRDefault="00B9662D" w:rsidP="00B9662D">
      <w:pPr>
        <w:spacing w:before="120" w:after="120"/>
        <w:jc w:val="both"/>
      </w:pPr>
      <w:r w:rsidRPr="00E9210E">
        <w:t>L'Italie normande. Importation ou substrat ? (Compte rendu, Cl. </w:t>
      </w:r>
      <w:r w:rsidRPr="00E9210E">
        <w:rPr>
          <w:rStyle w:val="Corpsdutexte27ptGrasPetitesmajuscules"/>
          <w:rFonts w:eastAsia="Courier New"/>
          <w:b w:val="0"/>
          <w:sz w:val="28"/>
          <w:lang w:val="fr-CA"/>
        </w:rPr>
        <w:t>Cahen</w:t>
      </w:r>
      <w:r w:rsidRPr="00E9210E">
        <w:rPr>
          <w:rStyle w:val="Corpsdutexte27ptGrasPetitesmajuscules"/>
          <w:rFonts w:eastAsia="Courier New"/>
          <w:sz w:val="28"/>
          <w:lang w:val="fr-CA"/>
        </w:rPr>
        <w:t xml:space="preserve">, </w:t>
      </w:r>
      <w:r w:rsidRPr="00E9210E">
        <w:rPr>
          <w:rStyle w:val="Corpsdutexte28ptItalique"/>
          <w:rFonts w:eastAsia="Courier New"/>
          <w:sz w:val="28"/>
        </w:rPr>
        <w:t>Le régime féodal de l’Italie normande</w:t>
      </w:r>
      <w:r w:rsidRPr="00E9210E">
        <w:t>, Paris, 1940), « M.H.S. », 1943, (IV), pp. 74-76.</w:t>
      </w:r>
    </w:p>
    <w:p w14:paraId="62DFF1EF" w14:textId="77777777" w:rsidR="00B9662D" w:rsidRPr="00E9210E" w:rsidRDefault="00B9662D" w:rsidP="00B9662D">
      <w:pPr>
        <w:spacing w:before="120" w:after="120"/>
        <w:jc w:val="both"/>
      </w:pPr>
      <w:r w:rsidRPr="00E9210E">
        <w:t>La papauté avignonnaise et ses banquiers. (Compte rendu : Y. </w:t>
      </w:r>
      <w:r w:rsidRPr="00E9210E">
        <w:rPr>
          <w:rStyle w:val="Corpsdutexte27ptGrasPetitesmajuscules"/>
          <w:rFonts w:eastAsia="Courier New"/>
          <w:b w:val="0"/>
          <w:sz w:val="28"/>
          <w:lang w:val="fr-CA"/>
        </w:rPr>
        <w:t>Renouard</w:t>
      </w:r>
      <w:r w:rsidRPr="00E9210E">
        <w:rPr>
          <w:rStyle w:val="Corpsdutexte27ptGrasPetitesmajuscules"/>
          <w:rFonts w:eastAsia="Courier New"/>
          <w:b w:val="0"/>
          <w:smallCaps w:val="0"/>
          <w:sz w:val="28"/>
          <w:lang w:val="fr-CA"/>
        </w:rPr>
        <w:t>,</w:t>
      </w:r>
      <w:r w:rsidRPr="00E9210E">
        <w:rPr>
          <w:rStyle w:val="Corpsdutexte27ptGrasPetitesmajuscules"/>
          <w:rFonts w:eastAsia="Courier New"/>
          <w:sz w:val="28"/>
          <w:lang w:val="fr-CA"/>
        </w:rPr>
        <w:t xml:space="preserve"> </w:t>
      </w:r>
      <w:r w:rsidRPr="00E9210E">
        <w:rPr>
          <w:rFonts w:eastAsia="Courier New"/>
          <w:i/>
        </w:rPr>
        <w:t>Les relations des papes d’Avignon et des compagnies commerciales et bancaires de 1316 à 1378</w:t>
      </w:r>
      <w:r w:rsidRPr="00E9210E">
        <w:rPr>
          <w:rFonts w:eastAsia="Courier New"/>
        </w:rPr>
        <w:t xml:space="preserve">, </w:t>
      </w:r>
      <w:r w:rsidRPr="00E9210E">
        <w:t>Paris, 1941), « M.H.S. », 1943, (IV), pp. 78-80.</w:t>
      </w:r>
    </w:p>
    <w:p w14:paraId="44513DBC" w14:textId="77777777" w:rsidR="00B9662D" w:rsidRPr="00E9210E" w:rsidRDefault="00B9662D" w:rsidP="00B9662D">
      <w:pPr>
        <w:spacing w:before="120" w:after="120"/>
        <w:jc w:val="both"/>
      </w:pPr>
      <w:r w:rsidRPr="00E9210E">
        <w:rPr>
          <w:rStyle w:val="Corpsdutexte385ptNonItalique"/>
          <w:rFonts w:eastAsia="Courier New"/>
          <w:i w:val="0"/>
          <w:iCs w:val="0"/>
          <w:sz w:val="28"/>
        </w:rPr>
        <w:t>Remembrement : histoire et plaidoyer. (Compte rendu : E. </w:t>
      </w:r>
      <w:r w:rsidRPr="00E9210E">
        <w:rPr>
          <w:rStyle w:val="Corpsdutexte37ptGrasNonItaliquePetitesmajuscules"/>
          <w:rFonts w:eastAsia="Courier New"/>
          <w:b w:val="0"/>
          <w:i w:val="0"/>
          <w:iCs w:val="0"/>
          <w:sz w:val="28"/>
        </w:rPr>
        <w:t>Vandervynckt</w:t>
      </w:r>
      <w:r w:rsidRPr="00E9210E">
        <w:rPr>
          <w:rStyle w:val="Corpsdutexte37ptGrasNonItaliquePetitesmajuscules"/>
          <w:rFonts w:eastAsia="Courier New"/>
          <w:b w:val="0"/>
          <w:i w:val="0"/>
          <w:iCs w:val="0"/>
          <w:smallCaps w:val="0"/>
          <w:sz w:val="28"/>
        </w:rPr>
        <w:t>,</w:t>
      </w:r>
      <w:r w:rsidRPr="00E9210E">
        <w:rPr>
          <w:rStyle w:val="Corpsdutexte37ptGrasNonItaliquePetitesmajuscules"/>
          <w:rFonts w:eastAsia="Courier New"/>
          <w:i w:val="0"/>
          <w:iCs w:val="0"/>
          <w:sz w:val="28"/>
        </w:rPr>
        <w:t xml:space="preserve"> </w:t>
      </w:r>
      <w:r w:rsidRPr="00E9210E">
        <w:rPr>
          <w:i/>
        </w:rPr>
        <w:t>Le remembrement parmi les améliorations fo</w:t>
      </w:r>
      <w:r w:rsidRPr="00E9210E">
        <w:rPr>
          <w:i/>
        </w:rPr>
        <w:t>n</w:t>
      </w:r>
      <w:r w:rsidRPr="00E9210E">
        <w:rPr>
          <w:i/>
        </w:rPr>
        <w:t>cières rurales : étude critique de nos moyens actuels de réalisation</w:t>
      </w:r>
      <w:r w:rsidRPr="00E9210E">
        <w:rPr>
          <w:rStyle w:val="Corpsdutexte385ptNonItalique"/>
          <w:rFonts w:eastAsia="Courier New"/>
          <w:i w:val="0"/>
          <w:iCs w:val="0"/>
          <w:sz w:val="28"/>
        </w:rPr>
        <w:t>, Paris, 1937), « M.H.S. », 1943, (IV), pp. 85-86.</w:t>
      </w:r>
    </w:p>
    <w:p w14:paraId="7BBA1BF3" w14:textId="77777777" w:rsidR="00B9662D" w:rsidRPr="00E9210E" w:rsidRDefault="00B9662D" w:rsidP="00B9662D">
      <w:pPr>
        <w:spacing w:before="120" w:after="120"/>
        <w:jc w:val="both"/>
      </w:pPr>
    </w:p>
    <w:p w14:paraId="2DCF447F" w14:textId="77777777" w:rsidR="00B9662D" w:rsidRPr="00E9210E" w:rsidRDefault="00B9662D" w:rsidP="00B9662D">
      <w:pPr>
        <w:spacing w:before="120" w:after="120"/>
        <w:jc w:val="center"/>
        <w:rPr>
          <w:b/>
        </w:rPr>
      </w:pPr>
      <w:r w:rsidRPr="00E9210E">
        <w:rPr>
          <w:b/>
        </w:rPr>
        <w:t>1944</w:t>
      </w:r>
    </w:p>
    <w:p w14:paraId="03838259" w14:textId="77777777" w:rsidR="00B9662D" w:rsidRPr="00E9210E" w:rsidRDefault="00B9662D" w:rsidP="00B9662D">
      <w:pPr>
        <w:spacing w:before="120" w:after="120"/>
        <w:jc w:val="both"/>
      </w:pPr>
    </w:p>
    <w:p w14:paraId="672C4B60" w14:textId="77777777" w:rsidR="00B9662D" w:rsidRPr="00E9210E" w:rsidRDefault="00B9662D" w:rsidP="00B9662D">
      <w:pPr>
        <w:spacing w:before="120" w:after="120"/>
        <w:jc w:val="both"/>
      </w:pPr>
      <w:r w:rsidRPr="00E9210E">
        <w:rPr>
          <w:rFonts w:eastAsia="Courier New"/>
          <w:b/>
        </w:rPr>
        <w:t xml:space="preserve">« À </w:t>
      </w:r>
      <w:r w:rsidRPr="00E9210E">
        <w:rPr>
          <w:b/>
        </w:rPr>
        <w:t>propos d’un livre trop peu connu : Général Chauvineau, Une invasion est- elle encore possible ? »</w:t>
      </w:r>
      <w:r w:rsidRPr="00E9210E">
        <w:rPr>
          <w:rStyle w:val="Corpsdutexte985ptNonGraschelle100"/>
          <w:rFonts w:eastAsia="Courier New"/>
          <w:b w:val="0"/>
          <w:bCs w:val="0"/>
          <w:sz w:val="28"/>
        </w:rPr>
        <w:t xml:space="preserve">, </w:t>
      </w:r>
      <w:r w:rsidRPr="00E9210E">
        <w:rPr>
          <w:rStyle w:val="Corpsdutexte985ptNonGrasItaliquechelle100"/>
          <w:rFonts w:eastAsia="Courier New"/>
          <w:b w:val="0"/>
          <w:bCs w:val="0"/>
          <w:sz w:val="28"/>
        </w:rPr>
        <w:t>Cahiers politiques</w:t>
      </w:r>
      <w:r w:rsidRPr="00E9210E">
        <w:rPr>
          <w:rStyle w:val="Corpsdutexte985ptNonGraschelle100"/>
          <w:rFonts w:eastAsia="Courier New"/>
          <w:b w:val="0"/>
          <w:bCs w:val="0"/>
          <w:sz w:val="28"/>
        </w:rPr>
        <w:t>, n° 8, avril 1944, pp. 22-25.</w:t>
      </w:r>
    </w:p>
    <w:p w14:paraId="295480D0"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Entr’aide et piété. Les associations urbaines au Moyen Âge. (Compte rendu : G. </w:t>
      </w:r>
      <w:r w:rsidRPr="00E9210E">
        <w:rPr>
          <w:rStyle w:val="Corpsdutexte117ptGrasNonItaliqueEspacement0pt"/>
          <w:rFonts w:eastAsia="Courier New"/>
          <w:b w:val="0"/>
          <w:i w:val="0"/>
          <w:iCs w:val="0"/>
          <w:smallCaps/>
          <w:sz w:val="28"/>
          <w:lang w:val="fr-CA"/>
        </w:rPr>
        <w:t>Espinas</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Les origines de l’association</w:t>
      </w:r>
      <w:r w:rsidRPr="00E9210E">
        <w:rPr>
          <w:rFonts w:eastAsia="Courier New"/>
        </w:rPr>
        <w:t>.</w:t>
      </w:r>
      <w:r w:rsidRPr="00E9210E">
        <w:rPr>
          <w:rStyle w:val="Corpsdutexte11NonItaliqueEspacement0pt"/>
          <w:rFonts w:eastAsia="Courier New"/>
          <w:i w:val="0"/>
          <w:iCs w:val="0"/>
          <w:sz w:val="28"/>
          <w:lang w:val="fr-CA"/>
        </w:rPr>
        <w:t xml:space="preserve"> </w:t>
      </w:r>
      <w:r w:rsidRPr="00E9210E">
        <w:rPr>
          <w:rStyle w:val="Corpsdutexte117ptGrasNonItaliqueEspacement0pt"/>
          <w:rFonts w:eastAsia="Courier New"/>
          <w:b w:val="0"/>
          <w:i w:val="0"/>
          <w:iCs w:val="0"/>
          <w:sz w:val="28"/>
          <w:lang w:val="fr-CA"/>
        </w:rPr>
        <w:t>I :</w:t>
      </w:r>
      <w:r w:rsidRPr="00E9210E">
        <w:rPr>
          <w:rStyle w:val="Corpsdutexte11NonItaliqueEspacement0pt"/>
          <w:rFonts w:eastAsia="Courier New"/>
          <w:i w:val="0"/>
          <w:iCs w:val="0"/>
          <w:sz w:val="28"/>
          <w:lang w:val="fr-CA"/>
        </w:rPr>
        <w:t xml:space="preserve"> </w:t>
      </w:r>
      <w:r w:rsidRPr="00E9210E">
        <w:rPr>
          <w:rFonts w:eastAsia="Courier New"/>
          <w:i/>
        </w:rPr>
        <w:t>Les origines du droit d’association dans les villes de l’Artois et de la Flandre française jusqu’au début du XVI</w:t>
      </w:r>
      <w:r w:rsidRPr="00E9210E">
        <w:rPr>
          <w:rFonts w:eastAsia="Courier New"/>
          <w:i/>
          <w:vertAlign w:val="superscript"/>
        </w:rPr>
        <w:t>e</w:t>
      </w:r>
      <w:r w:rsidRPr="00E9210E">
        <w:rPr>
          <w:rFonts w:eastAsia="Courier New"/>
          <w:i/>
        </w:rPr>
        <w:t xml:space="preserve"> siècle</w:t>
      </w:r>
      <w:r w:rsidRPr="00E9210E">
        <w:rPr>
          <w:rFonts w:eastAsia="Courier New"/>
        </w:rPr>
        <w:t>,</w:t>
      </w:r>
      <w:r w:rsidRPr="00E9210E">
        <w:rPr>
          <w:rStyle w:val="Corpsdutexte11NonItaliqueEspacement0pt"/>
          <w:rFonts w:eastAsia="Courier New"/>
          <w:i w:val="0"/>
          <w:iCs w:val="0"/>
          <w:sz w:val="28"/>
          <w:lang w:val="fr-CA"/>
        </w:rPr>
        <w:t xml:space="preserve"> Lille, 1942), « M.H.S. », 1944 (V), pp. 100-106.</w:t>
      </w:r>
    </w:p>
    <w:p w14:paraId="29DE645C" w14:textId="77777777" w:rsidR="00B9662D" w:rsidRPr="00E9210E" w:rsidRDefault="00B9662D" w:rsidP="00B9662D">
      <w:pPr>
        <w:spacing w:before="120" w:after="120"/>
        <w:jc w:val="both"/>
      </w:pPr>
      <w:r w:rsidRPr="00E9210E">
        <w:t xml:space="preserve">Compte rendu : R. </w:t>
      </w:r>
      <w:r w:rsidRPr="00E9210E">
        <w:rPr>
          <w:rStyle w:val="Corpsdutexte27ptGras"/>
          <w:rFonts w:eastAsia="Courier New"/>
          <w:b w:val="0"/>
          <w:smallCaps/>
          <w:sz w:val="28"/>
        </w:rPr>
        <w:t>Cessi</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 vicende politiche dell’Italia mediev</w:t>
      </w:r>
      <w:r w:rsidRPr="00E9210E">
        <w:rPr>
          <w:rFonts w:eastAsia="Courier New"/>
          <w:i/>
        </w:rPr>
        <w:t>a</w:t>
      </w:r>
      <w:r w:rsidRPr="00E9210E">
        <w:rPr>
          <w:rFonts w:eastAsia="Courier New"/>
          <w:i/>
        </w:rPr>
        <w:t>le</w:t>
      </w:r>
      <w:r w:rsidRPr="00E9210E">
        <w:rPr>
          <w:rFonts w:eastAsia="Courier New"/>
        </w:rPr>
        <w:t>.</w:t>
      </w:r>
      <w:r w:rsidRPr="00E9210E">
        <w:t xml:space="preserve"> I : </w:t>
      </w:r>
      <w:r w:rsidRPr="00E9210E">
        <w:rPr>
          <w:rFonts w:eastAsia="Courier New"/>
          <w:i/>
        </w:rPr>
        <w:t>La crisi imperiale</w:t>
      </w:r>
      <w:r w:rsidRPr="00E9210E">
        <w:rPr>
          <w:rFonts w:eastAsia="Courier New"/>
        </w:rPr>
        <w:t xml:space="preserve">, </w:t>
      </w:r>
      <w:r w:rsidRPr="00E9210E">
        <w:t>Padoue, 1938, « M.H.S. », 1944, (VI), p. 120.</w:t>
      </w:r>
    </w:p>
    <w:p w14:paraId="53BCEB1F" w14:textId="77777777" w:rsidR="00B9662D" w:rsidRPr="00E9210E" w:rsidRDefault="00B9662D" w:rsidP="00B9662D">
      <w:pPr>
        <w:spacing w:before="120" w:after="120"/>
        <w:jc w:val="both"/>
      </w:pPr>
      <w:r w:rsidRPr="00E9210E">
        <w:t xml:space="preserve">Compte rendu : W. B. </w:t>
      </w:r>
      <w:r w:rsidRPr="00E9210E">
        <w:rPr>
          <w:rStyle w:val="Corpsdutexte27ptGras"/>
          <w:rFonts w:eastAsia="Courier New"/>
          <w:b w:val="0"/>
          <w:smallCaps/>
          <w:sz w:val="28"/>
        </w:rPr>
        <w:t>Daniels</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The village at the end of the road</w:t>
      </w:r>
      <w:r w:rsidRPr="00E9210E">
        <w:rPr>
          <w:rFonts w:eastAsia="Courier New"/>
        </w:rPr>
        <w:t>,</w:t>
      </w:r>
      <w:r w:rsidRPr="00E9210E">
        <w:t xml:space="preserve"> I</w:t>
      </w:r>
      <w:r w:rsidRPr="00E9210E">
        <w:t>n</w:t>
      </w:r>
      <w:r w:rsidRPr="00E9210E">
        <w:t>dianapolis, 1938), « M.H.S. », 1944, (VI), pp. 121-122.</w:t>
      </w:r>
    </w:p>
    <w:p w14:paraId="1194EBF7" w14:textId="77777777" w:rsidR="00B9662D" w:rsidRPr="00E9210E" w:rsidRDefault="00B9662D" w:rsidP="00B9662D">
      <w:pPr>
        <w:spacing w:before="120" w:after="120"/>
        <w:jc w:val="both"/>
      </w:pPr>
      <w:r w:rsidRPr="00E9210E">
        <w:t xml:space="preserve">Sociétés secrètes d’aujourd’hui. (Compte rendu : P. </w:t>
      </w:r>
      <w:r w:rsidRPr="00E9210E">
        <w:rPr>
          <w:rStyle w:val="Corpsdutexte27ptGras"/>
          <w:rFonts w:eastAsia="Courier New"/>
          <w:b w:val="0"/>
          <w:smallCaps/>
          <w:sz w:val="28"/>
        </w:rPr>
        <w:t>Geyraud</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Fonts w:eastAsia="Courier New"/>
          <w:i/>
        </w:rPr>
        <w:t>Les s</w:t>
      </w:r>
      <w:r w:rsidRPr="00E9210E">
        <w:rPr>
          <w:rFonts w:eastAsia="Courier New"/>
          <w:i/>
        </w:rPr>
        <w:t>o</w:t>
      </w:r>
      <w:r w:rsidRPr="00E9210E">
        <w:rPr>
          <w:rFonts w:eastAsia="Courier New"/>
          <w:i/>
        </w:rPr>
        <w:t>ciétés secrètes de Paris</w:t>
      </w:r>
      <w:r w:rsidRPr="00E9210E">
        <w:rPr>
          <w:rFonts w:eastAsia="Courier New"/>
        </w:rPr>
        <w:t>,</w:t>
      </w:r>
      <w:r w:rsidRPr="00E9210E">
        <w:t xml:space="preserve"> Paris, 1938), « M.H.S. », 1944, (VI), p. 122.</w:t>
      </w:r>
    </w:p>
    <w:p w14:paraId="192D2532"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Fr. </w:t>
      </w:r>
      <w:r w:rsidRPr="00E9210E">
        <w:rPr>
          <w:rStyle w:val="Corpsdutexte117ptGrasNonItaliqueEspacement0pt"/>
          <w:rFonts w:eastAsia="Courier New"/>
          <w:b w:val="0"/>
          <w:i w:val="0"/>
          <w:iCs w:val="0"/>
          <w:sz w:val="28"/>
          <w:lang w:val="fr-CA"/>
        </w:rPr>
        <w:t>Ranzi,</w:t>
      </w:r>
      <w:r w:rsidRPr="00E9210E">
        <w:rPr>
          <w:rStyle w:val="Corpsdutexte117ptGrasNonItaliqueEspacement0pt"/>
          <w:rFonts w:eastAsia="Courier New"/>
          <w:i w:val="0"/>
          <w:iCs w:val="0"/>
          <w:sz w:val="28"/>
          <w:lang w:val="fr-CA"/>
        </w:rPr>
        <w:t xml:space="preserve"> </w:t>
      </w:r>
      <w:r w:rsidRPr="00E9210E">
        <w:rPr>
          <w:rFonts w:eastAsia="Courier New"/>
          <w:i/>
        </w:rPr>
        <w:t>Königsgut und Königsforst im Zeitalter der Karolinger und Ludolfinger und ihre Bedeutung für den Land</w:t>
      </w:r>
      <w:r w:rsidRPr="00E9210E">
        <w:rPr>
          <w:rFonts w:eastAsia="Courier New"/>
          <w:i/>
        </w:rPr>
        <w:t>e</w:t>
      </w:r>
      <w:r w:rsidRPr="00E9210E">
        <w:rPr>
          <w:rFonts w:eastAsia="Courier New"/>
          <w:i/>
        </w:rPr>
        <w:t>sausbau, ein Beitrag zur Entwicklungsgeschichte des gesamtdeut</w:t>
      </w:r>
      <w:r w:rsidRPr="00E9210E">
        <w:rPr>
          <w:rFonts w:eastAsia="Courier New"/>
          <w:i/>
        </w:rPr>
        <w:t>s</w:t>
      </w:r>
      <w:r w:rsidRPr="00E9210E">
        <w:rPr>
          <w:rFonts w:eastAsia="Courier New"/>
          <w:i/>
        </w:rPr>
        <w:t>chen Lebensraumes</w:t>
      </w:r>
      <w:r w:rsidRPr="00E9210E">
        <w:rPr>
          <w:rFonts w:eastAsia="Courier New"/>
        </w:rPr>
        <w:t>,</w:t>
      </w:r>
      <w:r w:rsidRPr="00E9210E">
        <w:rPr>
          <w:rStyle w:val="Corpsdutexte11NonItaliqueEspacement0pt"/>
          <w:rFonts w:eastAsia="Courier New"/>
          <w:i w:val="0"/>
          <w:iCs w:val="0"/>
          <w:sz w:val="28"/>
          <w:lang w:val="fr-CA"/>
        </w:rPr>
        <w:t xml:space="preserve"> Halle, 1939, « M.H.S. », 1944, (VI), p. 123.</w:t>
      </w:r>
    </w:p>
    <w:p w14:paraId="73F8A70F" w14:textId="77777777" w:rsidR="00B9662D" w:rsidRPr="00E9210E" w:rsidRDefault="00B9662D" w:rsidP="00B9662D">
      <w:pPr>
        <w:spacing w:before="120" w:after="120"/>
        <w:jc w:val="both"/>
      </w:pPr>
      <w:r w:rsidRPr="00E9210E">
        <w:rPr>
          <w:rStyle w:val="Corpsdutexte11NonItaliqueEspacement0pt"/>
          <w:rFonts w:eastAsia="Courier New"/>
          <w:i w:val="0"/>
          <w:iCs w:val="0"/>
          <w:sz w:val="28"/>
          <w:lang w:val="fr-CA"/>
        </w:rPr>
        <w:t xml:space="preserve">Compte rendu : Dr. Fr. </w:t>
      </w:r>
      <w:r w:rsidRPr="00E9210E">
        <w:rPr>
          <w:rStyle w:val="Corpsdutexte117ptGrasNonItaliqueEspacement0pt"/>
          <w:rFonts w:eastAsia="Courier New"/>
          <w:b w:val="0"/>
          <w:i w:val="0"/>
          <w:iCs w:val="0"/>
          <w:smallCaps/>
          <w:sz w:val="28"/>
          <w:lang w:val="fr-CA"/>
        </w:rPr>
        <w:t>Markmann</w:t>
      </w:r>
      <w:r w:rsidRPr="00E9210E">
        <w:rPr>
          <w:rStyle w:val="Corpsdutexte117ptGrasNonItaliqueEspacement0pt"/>
          <w:rFonts w:eastAsia="Courier New"/>
          <w:b w:val="0"/>
          <w:i w:val="0"/>
          <w:iCs w:val="0"/>
          <w:sz w:val="28"/>
          <w:lang w:val="fr-CA"/>
        </w:rPr>
        <w:t>,</w:t>
      </w:r>
      <w:r w:rsidRPr="00E9210E">
        <w:rPr>
          <w:rStyle w:val="Corpsdutexte117ptGrasNonItaliqueEspacement0pt"/>
          <w:rFonts w:eastAsia="Courier New"/>
          <w:i w:val="0"/>
          <w:iCs w:val="0"/>
          <w:sz w:val="28"/>
          <w:lang w:val="fr-CA"/>
        </w:rPr>
        <w:t xml:space="preserve"> </w:t>
      </w:r>
      <w:r w:rsidRPr="00E9210E">
        <w:rPr>
          <w:rFonts w:eastAsia="Courier New"/>
          <w:i/>
        </w:rPr>
        <w:t>Zur Geschichte des Magd</w:t>
      </w:r>
      <w:r w:rsidRPr="00E9210E">
        <w:rPr>
          <w:rFonts w:eastAsia="Courier New"/>
          <w:i/>
        </w:rPr>
        <w:t>e</w:t>
      </w:r>
      <w:r w:rsidRPr="00E9210E">
        <w:rPr>
          <w:rFonts w:eastAsia="Courier New"/>
          <w:i/>
        </w:rPr>
        <w:t>burger Rechtes</w:t>
      </w:r>
      <w:r w:rsidRPr="00E9210E">
        <w:rPr>
          <w:rFonts w:eastAsia="Courier New"/>
        </w:rPr>
        <w:t>,</w:t>
      </w:r>
      <w:r w:rsidRPr="00E9210E">
        <w:rPr>
          <w:rStyle w:val="Corpsdutexte11NonItaliqueEspacement0pt"/>
          <w:rFonts w:eastAsia="Courier New"/>
          <w:i w:val="0"/>
          <w:iCs w:val="0"/>
          <w:sz w:val="28"/>
          <w:lang w:val="fr-CA"/>
        </w:rPr>
        <w:t xml:space="preserve"> Stuttgart, 1933)</w:t>
      </w:r>
      <w:r w:rsidRPr="00E9210E">
        <w:t>, « M.H.S. », 1944, (VI), pp. 123-124.</w:t>
      </w:r>
    </w:p>
    <w:p w14:paraId="252DD79F" w14:textId="77777777" w:rsidR="00B9662D" w:rsidRPr="00E9210E" w:rsidRDefault="00B9662D" w:rsidP="00B9662D">
      <w:pPr>
        <w:spacing w:before="120" w:after="120"/>
        <w:jc w:val="both"/>
      </w:pPr>
      <w:r>
        <w:br w:type="page"/>
      </w:r>
    </w:p>
    <w:p w14:paraId="6AB5BB43" w14:textId="77777777" w:rsidR="00B9662D" w:rsidRPr="00E9210E" w:rsidRDefault="00B9662D" w:rsidP="00B9662D">
      <w:pPr>
        <w:spacing w:before="120" w:after="120"/>
        <w:jc w:val="center"/>
        <w:rPr>
          <w:b/>
        </w:rPr>
      </w:pPr>
      <w:r w:rsidRPr="00E9210E">
        <w:rPr>
          <w:b/>
        </w:rPr>
        <w:t>1945</w:t>
      </w:r>
    </w:p>
    <w:p w14:paraId="58DDE4A3" w14:textId="77777777" w:rsidR="00B9662D" w:rsidRPr="00E9210E" w:rsidRDefault="00B9662D" w:rsidP="00B9662D">
      <w:pPr>
        <w:spacing w:before="120" w:after="120"/>
        <w:jc w:val="both"/>
      </w:pPr>
    </w:p>
    <w:p w14:paraId="53991F40" w14:textId="77777777" w:rsidR="00B9662D" w:rsidRPr="00E9210E" w:rsidRDefault="00B9662D" w:rsidP="00B9662D">
      <w:pPr>
        <w:spacing w:before="120" w:after="120"/>
        <w:jc w:val="both"/>
      </w:pPr>
      <w:r w:rsidRPr="00E9210E">
        <w:t>« </w:t>
      </w:r>
      <w:r w:rsidRPr="00E9210E">
        <w:rPr>
          <w:b/>
        </w:rPr>
        <w:t>Sur les grandes invasions : quelques positions de probl</w:t>
      </w:r>
      <w:r w:rsidRPr="00E9210E">
        <w:rPr>
          <w:b/>
        </w:rPr>
        <w:t>è</w:t>
      </w:r>
      <w:r w:rsidRPr="00E9210E">
        <w:rPr>
          <w:b/>
        </w:rPr>
        <w:t>mes </w:t>
      </w:r>
      <w:r w:rsidRPr="00E9210E">
        <w:t xml:space="preserve">», </w:t>
      </w:r>
      <w:r w:rsidRPr="00E9210E">
        <w:rPr>
          <w:rStyle w:val="Corpsdutexte8NonGrasItaliquechelle100"/>
          <w:rFonts w:eastAsia="Courier New"/>
          <w:b w:val="0"/>
          <w:bCs w:val="0"/>
          <w:sz w:val="28"/>
        </w:rPr>
        <w:t xml:space="preserve">Rev. synt. hist., </w:t>
      </w:r>
      <w:r w:rsidRPr="00E9210E">
        <w:rPr>
          <w:rStyle w:val="Corpsdutexte885ptNonGraschelle100"/>
          <w:rFonts w:eastAsia="Courier New"/>
          <w:b w:val="0"/>
          <w:bCs w:val="0"/>
          <w:sz w:val="28"/>
        </w:rPr>
        <w:t>t. 60 (1945), pp. 55-81.</w:t>
      </w:r>
    </w:p>
    <w:p w14:paraId="3450B284" w14:textId="77777777" w:rsidR="00B9662D" w:rsidRPr="00E9210E" w:rsidRDefault="00B9662D" w:rsidP="00B9662D">
      <w:pPr>
        <w:spacing w:before="120" w:after="120"/>
        <w:jc w:val="both"/>
      </w:pPr>
      <w:r w:rsidRPr="00E9210E">
        <w:t>« </w:t>
      </w:r>
      <w:r w:rsidRPr="00E9210E">
        <w:rPr>
          <w:b/>
        </w:rPr>
        <w:t>Marc Bloch : Reliquiae. Les invasions : deux structures éc</w:t>
      </w:r>
      <w:r w:rsidRPr="00E9210E">
        <w:rPr>
          <w:b/>
        </w:rPr>
        <w:t>o</w:t>
      </w:r>
      <w:r w:rsidRPr="00E9210E">
        <w:rPr>
          <w:b/>
        </w:rPr>
        <w:t>nomiques </w:t>
      </w:r>
      <w:r w:rsidRPr="00E9210E">
        <w:t xml:space="preserve">», </w:t>
      </w:r>
      <w:r w:rsidRPr="00E9210E">
        <w:rPr>
          <w:rFonts w:eastAsia="Courier New"/>
          <w:i/>
        </w:rPr>
        <w:t>A.H.S</w:t>
      </w:r>
      <w:r w:rsidRPr="00E9210E">
        <w:rPr>
          <w:rFonts w:eastAsia="Courier New"/>
        </w:rPr>
        <w:t>.,</w:t>
      </w:r>
      <w:r w:rsidRPr="00E9210E">
        <w:t xml:space="preserve"> 1945, I, pp. 33-46.</w:t>
      </w:r>
    </w:p>
    <w:p w14:paraId="16DD4ABF" w14:textId="77777777" w:rsidR="00B9662D" w:rsidRPr="00E9210E" w:rsidRDefault="00B9662D" w:rsidP="00B9662D">
      <w:pPr>
        <w:spacing w:before="120" w:after="120"/>
        <w:jc w:val="both"/>
      </w:pPr>
      <w:r w:rsidRPr="00E9210E">
        <w:rPr>
          <w:rStyle w:val="Corpsdutexte885ptNonGraschelle100"/>
          <w:rFonts w:eastAsia="Courier New"/>
          <w:b w:val="0"/>
          <w:bCs w:val="0"/>
          <w:sz w:val="28"/>
        </w:rPr>
        <w:t>« </w:t>
      </w:r>
      <w:r w:rsidRPr="00E9210E">
        <w:rPr>
          <w:b/>
        </w:rPr>
        <w:t>Reliquiae : Les invasions : occupation du sol et peuplement </w:t>
      </w:r>
      <w:r w:rsidRPr="00E9210E">
        <w:t>»</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A.H.S.,</w:t>
      </w:r>
      <w:r w:rsidRPr="00E9210E">
        <w:rPr>
          <w:rStyle w:val="Corpsdutexte885ptNonGraschelle100"/>
          <w:rFonts w:eastAsia="Courier New"/>
          <w:b w:val="0"/>
          <w:bCs w:val="0"/>
          <w:sz w:val="28"/>
        </w:rPr>
        <w:t xml:space="preserve"> 1945, II, pp. 13-28.</w:t>
      </w:r>
    </w:p>
    <w:p w14:paraId="42893E3B" w14:textId="77777777" w:rsidR="00B9662D" w:rsidRPr="00E9210E" w:rsidRDefault="00B9662D" w:rsidP="00B9662D">
      <w:pPr>
        <w:spacing w:before="120" w:after="120"/>
        <w:jc w:val="both"/>
      </w:pPr>
    </w:p>
    <w:p w14:paraId="262523CB" w14:textId="77777777" w:rsidR="00B9662D" w:rsidRPr="00E9210E" w:rsidRDefault="00B9662D" w:rsidP="00B9662D">
      <w:pPr>
        <w:spacing w:before="120" w:after="120"/>
        <w:jc w:val="center"/>
        <w:rPr>
          <w:b/>
        </w:rPr>
      </w:pPr>
      <w:r w:rsidRPr="00E9210E">
        <w:rPr>
          <w:b/>
        </w:rPr>
        <w:t>1946</w:t>
      </w:r>
    </w:p>
    <w:p w14:paraId="79DAEBB9" w14:textId="77777777" w:rsidR="00B9662D" w:rsidRPr="00E9210E" w:rsidRDefault="00B9662D" w:rsidP="00B9662D">
      <w:pPr>
        <w:spacing w:before="120" w:after="120"/>
        <w:jc w:val="both"/>
      </w:pPr>
    </w:p>
    <w:p w14:paraId="5E921543" w14:textId="77777777" w:rsidR="00B9662D" w:rsidRPr="00E9210E" w:rsidRDefault="00B9662D" w:rsidP="00B9662D">
      <w:pPr>
        <w:spacing w:before="120" w:after="120"/>
        <w:jc w:val="both"/>
      </w:pPr>
      <w:r w:rsidRPr="00E9210E">
        <w:rPr>
          <w:rStyle w:val="Corpsdutexte28ptGraschelle120"/>
          <w:rFonts w:eastAsia="Courier New"/>
          <w:sz w:val="28"/>
        </w:rPr>
        <w:t xml:space="preserve">L’étrange défaite, témoignage écrit en 1940, </w:t>
      </w:r>
      <w:r w:rsidRPr="00E9210E">
        <w:t xml:space="preserve">avant-propos de Georges Altman, Paris, Société des Éditions « Franc-Tireur », 1946, in-16, </w:t>
      </w:r>
      <w:r w:rsidRPr="00E9210E">
        <w:rPr>
          <w:smallCaps/>
        </w:rPr>
        <w:t>xix</w:t>
      </w:r>
      <w:r w:rsidRPr="00E9210E">
        <w:t>-196 p.</w:t>
      </w:r>
    </w:p>
    <w:p w14:paraId="25468B53" w14:textId="77777777" w:rsidR="00B9662D" w:rsidRPr="00E9210E" w:rsidRDefault="00B9662D" w:rsidP="00B9662D">
      <w:pPr>
        <w:spacing w:before="120" w:after="120"/>
        <w:jc w:val="both"/>
        <w:rPr>
          <w:rFonts w:eastAsia="Courier New"/>
        </w:rPr>
      </w:pPr>
      <w:r w:rsidRPr="00E9210E">
        <w:rPr>
          <w:rFonts w:eastAsia="Courier New"/>
        </w:rPr>
        <w:t>[1104]</w:t>
      </w:r>
    </w:p>
    <w:p w14:paraId="1E5BBCC8" w14:textId="77777777" w:rsidR="00B9662D" w:rsidRPr="00E9210E" w:rsidRDefault="00B9662D" w:rsidP="00B9662D">
      <w:pPr>
        <w:spacing w:before="120" w:after="120"/>
        <w:jc w:val="both"/>
      </w:pPr>
    </w:p>
    <w:p w14:paraId="4065FF07" w14:textId="77777777" w:rsidR="00B9662D" w:rsidRPr="00E9210E" w:rsidRDefault="00B9662D" w:rsidP="00B9662D">
      <w:pPr>
        <w:spacing w:before="120" w:after="120"/>
        <w:jc w:val="center"/>
        <w:rPr>
          <w:b/>
        </w:rPr>
      </w:pPr>
      <w:r w:rsidRPr="00E9210E">
        <w:rPr>
          <w:b/>
        </w:rPr>
        <w:t>1948</w:t>
      </w:r>
    </w:p>
    <w:p w14:paraId="23F57621" w14:textId="77777777" w:rsidR="00B9662D" w:rsidRPr="00E9210E" w:rsidRDefault="00B9662D" w:rsidP="00B9662D">
      <w:pPr>
        <w:spacing w:before="120" w:after="120"/>
        <w:jc w:val="both"/>
      </w:pPr>
    </w:p>
    <w:p w14:paraId="1AC18783" w14:textId="77777777" w:rsidR="00B9662D" w:rsidRPr="00E9210E" w:rsidRDefault="00B9662D" w:rsidP="00B9662D">
      <w:pPr>
        <w:spacing w:before="120" w:after="120"/>
        <w:jc w:val="both"/>
      </w:pPr>
      <w:r w:rsidRPr="00E9210E">
        <w:rPr>
          <w:b/>
        </w:rPr>
        <w:t>« Les transformations des techniques comme problème de ps</w:t>
      </w:r>
      <w:r w:rsidRPr="00E9210E">
        <w:rPr>
          <w:b/>
        </w:rPr>
        <w:t>y</w:t>
      </w:r>
      <w:r w:rsidRPr="00E9210E">
        <w:rPr>
          <w:b/>
        </w:rPr>
        <w:t>chologie collective »</w:t>
      </w:r>
      <w:r w:rsidRPr="00E9210E">
        <w:rPr>
          <w:rStyle w:val="Corpsdutexte885ptNonGraschelle100"/>
          <w:rFonts w:eastAsia="Courier New"/>
          <w:b w:val="0"/>
          <w:bCs w:val="0"/>
          <w:sz w:val="28"/>
        </w:rPr>
        <w:t xml:space="preserve">, </w:t>
      </w:r>
      <w:r w:rsidRPr="00E9210E">
        <w:rPr>
          <w:rStyle w:val="Corpsdutexte885ptNonGrasItaliquechelle100"/>
          <w:rFonts w:eastAsia="Courier New"/>
          <w:b w:val="0"/>
          <w:bCs w:val="0"/>
          <w:sz w:val="28"/>
        </w:rPr>
        <w:t>Journal de Psychologie normale et patholog</w:t>
      </w:r>
      <w:r w:rsidRPr="00E9210E">
        <w:rPr>
          <w:rStyle w:val="Corpsdutexte885ptNonGrasItaliquechelle100"/>
          <w:rFonts w:eastAsia="Courier New"/>
          <w:b w:val="0"/>
          <w:bCs w:val="0"/>
          <w:sz w:val="28"/>
        </w:rPr>
        <w:t>i</w:t>
      </w:r>
      <w:r w:rsidRPr="00E9210E">
        <w:rPr>
          <w:rStyle w:val="Corpsdutexte885ptNonGrasItaliquechelle100"/>
          <w:rFonts w:eastAsia="Courier New"/>
          <w:b w:val="0"/>
          <w:bCs w:val="0"/>
          <w:sz w:val="28"/>
        </w:rPr>
        <w:t>que,</w:t>
      </w:r>
      <w:r w:rsidRPr="00E9210E">
        <w:rPr>
          <w:rStyle w:val="Corpsdutexte885ptNonGraschelle100"/>
          <w:rFonts w:eastAsia="Courier New"/>
          <w:b w:val="0"/>
          <w:bCs w:val="0"/>
          <w:sz w:val="28"/>
        </w:rPr>
        <w:t xml:space="preserve"> t. 41 (janvier-mars 1948), pp. 104-115.</w:t>
      </w:r>
    </w:p>
    <w:p w14:paraId="0D7876EC" w14:textId="77777777" w:rsidR="00B9662D" w:rsidRPr="00E9210E" w:rsidRDefault="00B9662D" w:rsidP="00B9662D">
      <w:pPr>
        <w:spacing w:before="120" w:after="120"/>
        <w:jc w:val="both"/>
      </w:pPr>
    </w:p>
    <w:p w14:paraId="6176F667" w14:textId="77777777" w:rsidR="00B9662D" w:rsidRPr="00E9210E" w:rsidRDefault="00B9662D" w:rsidP="00B9662D">
      <w:pPr>
        <w:spacing w:before="120" w:after="120"/>
        <w:jc w:val="center"/>
        <w:rPr>
          <w:b/>
        </w:rPr>
      </w:pPr>
      <w:r w:rsidRPr="00E9210E">
        <w:rPr>
          <w:b/>
        </w:rPr>
        <w:t>1949</w:t>
      </w:r>
    </w:p>
    <w:p w14:paraId="2BD7AFE0" w14:textId="77777777" w:rsidR="00B9662D" w:rsidRPr="00E9210E" w:rsidRDefault="00B9662D" w:rsidP="00B9662D">
      <w:pPr>
        <w:spacing w:before="120" w:after="120"/>
        <w:jc w:val="both"/>
      </w:pPr>
    </w:p>
    <w:p w14:paraId="0C82F1C8" w14:textId="77777777" w:rsidR="00B9662D" w:rsidRPr="00E9210E" w:rsidRDefault="00B9662D" w:rsidP="00B9662D">
      <w:pPr>
        <w:spacing w:before="120" w:after="120"/>
        <w:jc w:val="both"/>
      </w:pPr>
      <w:r w:rsidRPr="00E9210E">
        <w:rPr>
          <w:rStyle w:val="Corpsdutexte28ptGraschelle120"/>
          <w:rFonts w:eastAsia="Courier New"/>
          <w:sz w:val="28"/>
        </w:rPr>
        <w:t xml:space="preserve">Apologie pour l’histoire ou Métier d’historien, </w:t>
      </w:r>
      <w:r w:rsidRPr="00E9210E">
        <w:t xml:space="preserve">Paris, Colin, 1949, in-8°, </w:t>
      </w:r>
      <w:r w:rsidRPr="00E9210E">
        <w:rPr>
          <w:smallCaps/>
        </w:rPr>
        <w:t>xvii</w:t>
      </w:r>
      <w:r w:rsidRPr="00E9210E">
        <w:t>- 112 p. (</w:t>
      </w:r>
      <w:r w:rsidRPr="00E9210E">
        <w:rPr>
          <w:rFonts w:eastAsia="Courier New"/>
          <w:i/>
        </w:rPr>
        <w:t>Cahiers des Annales</w:t>
      </w:r>
      <w:r w:rsidRPr="00E9210E">
        <w:rPr>
          <w:rFonts w:eastAsia="Courier New"/>
        </w:rPr>
        <w:t>,</w:t>
      </w:r>
      <w:r w:rsidRPr="00E9210E">
        <w:t xml:space="preserve"> 3), 3</w:t>
      </w:r>
      <w:r w:rsidRPr="00E9210E">
        <w:rPr>
          <w:vertAlign w:val="superscript"/>
        </w:rPr>
        <w:t>e</w:t>
      </w:r>
      <w:r w:rsidRPr="00E9210E">
        <w:t xml:space="preserve"> éd. 1959.</w:t>
      </w:r>
    </w:p>
    <w:p w14:paraId="16822B20" w14:textId="77777777" w:rsidR="00B9662D" w:rsidRPr="00E9210E" w:rsidRDefault="00B9662D" w:rsidP="00B9662D">
      <w:pPr>
        <w:spacing w:before="120" w:after="120"/>
        <w:jc w:val="both"/>
      </w:pPr>
      <w:r>
        <w:br w:type="page"/>
      </w:r>
    </w:p>
    <w:p w14:paraId="1ABD1736" w14:textId="77777777" w:rsidR="00B9662D" w:rsidRPr="00E9210E" w:rsidRDefault="00B9662D" w:rsidP="00B9662D">
      <w:pPr>
        <w:spacing w:before="120" w:after="120"/>
        <w:jc w:val="center"/>
        <w:rPr>
          <w:b/>
        </w:rPr>
      </w:pPr>
      <w:r w:rsidRPr="00E9210E">
        <w:rPr>
          <w:b/>
        </w:rPr>
        <w:t>1952</w:t>
      </w:r>
    </w:p>
    <w:p w14:paraId="63302903" w14:textId="77777777" w:rsidR="00B9662D" w:rsidRPr="00E9210E" w:rsidRDefault="00B9662D" w:rsidP="00B9662D">
      <w:pPr>
        <w:spacing w:before="120" w:after="120"/>
        <w:jc w:val="both"/>
      </w:pPr>
    </w:p>
    <w:p w14:paraId="49A25359" w14:textId="77777777" w:rsidR="00B9662D" w:rsidRPr="00E9210E" w:rsidRDefault="00B9662D" w:rsidP="00B9662D">
      <w:pPr>
        <w:spacing w:before="120" w:after="120"/>
        <w:jc w:val="both"/>
      </w:pPr>
      <w:r w:rsidRPr="00E9210E">
        <w:rPr>
          <w:rStyle w:val="Corpsdutexte28ptGraschelle120"/>
          <w:rFonts w:eastAsia="Courier New"/>
          <w:sz w:val="28"/>
        </w:rPr>
        <w:t>Les caractères originaux de l’histoire rurale frança</w:t>
      </w:r>
      <w:r w:rsidRPr="00E9210E">
        <w:rPr>
          <w:rStyle w:val="Corpsdutexte28ptGraschelle120"/>
          <w:rFonts w:eastAsia="Courier New"/>
          <w:sz w:val="28"/>
        </w:rPr>
        <w:t>i</w:t>
      </w:r>
      <w:r w:rsidRPr="00E9210E">
        <w:rPr>
          <w:rStyle w:val="Corpsdutexte28ptGraschelle120"/>
          <w:rFonts w:eastAsia="Courier New"/>
          <w:sz w:val="28"/>
        </w:rPr>
        <w:t xml:space="preserve">se. Nouvelle édition. </w:t>
      </w:r>
      <w:r w:rsidRPr="00E9210E">
        <w:t>Avertissement au lecteur de Lucien Fe</w:t>
      </w:r>
      <w:r w:rsidRPr="00E9210E">
        <w:t>b</w:t>
      </w:r>
      <w:r w:rsidRPr="00E9210E">
        <w:t xml:space="preserve">vre... Paris, Colin, 1952, in-8°, </w:t>
      </w:r>
      <w:r w:rsidRPr="00E9210E">
        <w:rPr>
          <w:smallCaps/>
        </w:rPr>
        <w:t>xvi</w:t>
      </w:r>
      <w:r w:rsidRPr="00E9210E">
        <w:t xml:space="preserve"> n-266 p. cartes, plans </w:t>
      </w:r>
      <w:r w:rsidRPr="00E9210E">
        <w:rPr>
          <w:rFonts w:eastAsia="Courier New"/>
        </w:rPr>
        <w:t>(</w:t>
      </w:r>
      <w:r w:rsidRPr="00E9210E">
        <w:rPr>
          <w:rFonts w:eastAsia="Courier New"/>
          <w:i/>
        </w:rPr>
        <w:t>Économies, sociétés, civilisations</w:t>
      </w:r>
      <w:r w:rsidRPr="00E9210E">
        <w:rPr>
          <w:rFonts w:eastAsia="Courier New"/>
        </w:rPr>
        <w:t>)</w:t>
      </w:r>
      <w:r w:rsidRPr="00E9210E">
        <w:t>. Traduction russe : 1957.</w:t>
      </w:r>
    </w:p>
    <w:p w14:paraId="73644F73" w14:textId="77777777" w:rsidR="00B9662D" w:rsidRPr="00E9210E" w:rsidRDefault="00B9662D" w:rsidP="00B9662D">
      <w:pPr>
        <w:spacing w:before="120" w:after="120"/>
        <w:jc w:val="both"/>
      </w:pPr>
    </w:p>
    <w:p w14:paraId="6A48F1F9" w14:textId="77777777" w:rsidR="00B9662D" w:rsidRPr="00E9210E" w:rsidRDefault="00B9662D" w:rsidP="00B9662D">
      <w:pPr>
        <w:spacing w:before="120" w:after="120"/>
        <w:jc w:val="center"/>
        <w:rPr>
          <w:b/>
        </w:rPr>
      </w:pPr>
      <w:r w:rsidRPr="00E9210E">
        <w:rPr>
          <w:b/>
        </w:rPr>
        <w:t>1954</w:t>
      </w:r>
    </w:p>
    <w:p w14:paraId="0B77DFC3" w14:textId="77777777" w:rsidR="00B9662D" w:rsidRPr="00E9210E" w:rsidRDefault="00B9662D" w:rsidP="00B9662D">
      <w:pPr>
        <w:spacing w:before="120" w:after="120"/>
        <w:jc w:val="both"/>
      </w:pPr>
    </w:p>
    <w:p w14:paraId="10CFEA73" w14:textId="77777777" w:rsidR="00B9662D" w:rsidRPr="00E9210E" w:rsidRDefault="00B9662D" w:rsidP="00B9662D">
      <w:pPr>
        <w:spacing w:before="120" w:after="120"/>
        <w:jc w:val="both"/>
      </w:pPr>
      <w:r w:rsidRPr="00E9210E">
        <w:rPr>
          <w:rStyle w:val="Corpsdutexte28ptGraschelle120"/>
          <w:rFonts w:eastAsia="Courier New"/>
          <w:sz w:val="28"/>
        </w:rPr>
        <w:t xml:space="preserve">Esquisse d’une histoire monétaire de l’Europe. </w:t>
      </w:r>
      <w:r w:rsidRPr="00E9210E">
        <w:t xml:space="preserve">(Deux mots d’explication par Lucien Febvre ; Postface de Fernand Braudel), Paris, Colin, 1954, in-8°, 96 p. </w:t>
      </w:r>
      <w:r w:rsidRPr="00E9210E">
        <w:rPr>
          <w:rFonts w:eastAsia="Courier New"/>
        </w:rPr>
        <w:t>(</w:t>
      </w:r>
      <w:r w:rsidRPr="00E9210E">
        <w:rPr>
          <w:rFonts w:eastAsia="Courier New"/>
          <w:i/>
        </w:rPr>
        <w:t>Cahiers des Annales</w:t>
      </w:r>
      <w:r w:rsidRPr="00E9210E">
        <w:rPr>
          <w:rFonts w:eastAsia="Courier New"/>
        </w:rPr>
        <w:t>,</w:t>
      </w:r>
      <w:r w:rsidRPr="00E9210E">
        <w:t xml:space="preserve"> 9).</w:t>
      </w:r>
    </w:p>
    <w:p w14:paraId="1361F082" w14:textId="77777777" w:rsidR="00B9662D" w:rsidRPr="00E9210E" w:rsidRDefault="00B9662D" w:rsidP="00B9662D">
      <w:pPr>
        <w:spacing w:before="120" w:after="120"/>
        <w:jc w:val="both"/>
      </w:pPr>
    </w:p>
    <w:p w14:paraId="2F545D94" w14:textId="77777777" w:rsidR="00B9662D" w:rsidRPr="00E9210E" w:rsidRDefault="00B9662D" w:rsidP="00B9662D">
      <w:pPr>
        <w:spacing w:before="120" w:after="120"/>
        <w:jc w:val="center"/>
        <w:rPr>
          <w:b/>
        </w:rPr>
      </w:pPr>
      <w:r w:rsidRPr="00E9210E">
        <w:rPr>
          <w:b/>
        </w:rPr>
        <w:t>1956</w:t>
      </w:r>
    </w:p>
    <w:p w14:paraId="5296D300" w14:textId="77777777" w:rsidR="00B9662D" w:rsidRPr="00E9210E" w:rsidRDefault="00B9662D" w:rsidP="00B9662D">
      <w:pPr>
        <w:spacing w:before="120" w:after="120"/>
        <w:jc w:val="both"/>
      </w:pPr>
    </w:p>
    <w:p w14:paraId="7F2997D7" w14:textId="77777777" w:rsidR="00B9662D" w:rsidRPr="00E9210E" w:rsidRDefault="00B9662D" w:rsidP="00B9662D">
      <w:pPr>
        <w:spacing w:before="120" w:after="120"/>
        <w:jc w:val="both"/>
      </w:pPr>
      <w:r w:rsidRPr="00E9210E">
        <w:rPr>
          <w:b/>
        </w:rPr>
        <w:t>Les caractères originaux de l’histoire rurale française</w:t>
      </w:r>
      <w:r w:rsidRPr="00E9210E">
        <w:t xml:space="preserve">. II. </w:t>
      </w:r>
      <w:r w:rsidRPr="00E9210E">
        <w:rPr>
          <w:b/>
        </w:rPr>
        <w:t>Su</w:t>
      </w:r>
      <w:r w:rsidRPr="00E9210E">
        <w:rPr>
          <w:b/>
        </w:rPr>
        <w:t>p</w:t>
      </w:r>
      <w:r w:rsidRPr="00E9210E">
        <w:rPr>
          <w:b/>
        </w:rPr>
        <w:t>plément établi d’après les travaux de l’auteur (1931-1944),</w:t>
      </w:r>
      <w:r w:rsidRPr="00E9210E">
        <w:t xml:space="preserve"> </w:t>
      </w:r>
      <w:r w:rsidRPr="00E9210E">
        <w:rPr>
          <w:rStyle w:val="Corpsdutexte885ptNonGraschelle100"/>
          <w:rFonts w:eastAsia="Courier New"/>
          <w:b w:val="0"/>
          <w:bCs w:val="0"/>
          <w:sz w:val="28"/>
        </w:rPr>
        <w:t xml:space="preserve">par Robert Dauvergne, Paris, Colin, 1956, in-8°, </w:t>
      </w:r>
      <w:r w:rsidRPr="00E9210E">
        <w:rPr>
          <w:rStyle w:val="Corpsdutexte87ptchelle100"/>
          <w:rFonts w:eastAsia="Courier New"/>
          <w:sz w:val="28"/>
          <w:lang w:val="fr-CA"/>
        </w:rPr>
        <w:t xml:space="preserve">xliv-231 </w:t>
      </w:r>
      <w:r w:rsidRPr="00E9210E">
        <w:rPr>
          <w:rStyle w:val="Corpsdutexte885ptNonGraschelle100"/>
          <w:rFonts w:eastAsia="Courier New"/>
          <w:b w:val="0"/>
          <w:bCs w:val="0"/>
          <w:sz w:val="28"/>
        </w:rPr>
        <w:t xml:space="preserve">p. </w:t>
      </w:r>
      <w:r w:rsidRPr="00E9210E">
        <w:rPr>
          <w:rStyle w:val="Corpsdutexte885ptNonGrasItaliquechelle100"/>
          <w:rFonts w:eastAsia="Courier New"/>
          <w:b w:val="0"/>
          <w:bCs w:val="0"/>
          <w:sz w:val="28"/>
        </w:rPr>
        <w:t>(Économies, sociétés, civilisations).</w:t>
      </w:r>
    </w:p>
    <w:p w14:paraId="79B30212" w14:textId="77777777" w:rsidR="00B9662D" w:rsidRPr="00E9210E" w:rsidRDefault="00B9662D" w:rsidP="00B9662D">
      <w:pPr>
        <w:spacing w:before="120" w:after="120"/>
        <w:jc w:val="both"/>
      </w:pPr>
      <w:r w:rsidRPr="00E9210E">
        <w:t xml:space="preserve">[Lettre-Préface] dans A. </w:t>
      </w:r>
      <w:r w:rsidRPr="00E9210E">
        <w:rPr>
          <w:rStyle w:val="Corpsdutexte27ptGras"/>
          <w:rFonts w:eastAsia="Courier New"/>
          <w:b w:val="0"/>
          <w:sz w:val="28"/>
        </w:rPr>
        <w:t xml:space="preserve">V. </w:t>
      </w:r>
      <w:r w:rsidRPr="00E9210E">
        <w:rPr>
          <w:rStyle w:val="Corpsdutexte27ptGras"/>
          <w:rFonts w:eastAsia="Courier New"/>
          <w:b w:val="0"/>
          <w:smallCaps/>
          <w:sz w:val="28"/>
        </w:rPr>
        <w:t>Tacquet</w:t>
      </w:r>
      <w:r w:rsidRPr="00E9210E">
        <w:rPr>
          <w:rStyle w:val="Corpsdutexte27ptGras"/>
          <w:rFonts w:eastAsia="Courier New"/>
          <w:b w:val="0"/>
          <w:sz w:val="28"/>
        </w:rPr>
        <w:t>,</w:t>
      </w:r>
      <w:r w:rsidRPr="00E9210E">
        <w:rPr>
          <w:rStyle w:val="Corpsdutexte27ptGras"/>
          <w:rFonts w:eastAsia="Courier New"/>
          <w:sz w:val="28"/>
        </w:rPr>
        <w:t xml:space="preserve"> </w:t>
      </w:r>
      <w:r w:rsidRPr="00E9210E">
        <w:rPr>
          <w:rStyle w:val="Corpsdutexte2ItaliqueEspacement1pt"/>
          <w:rFonts w:eastAsia="Courier New"/>
          <w:sz w:val="28"/>
          <w:lang w:val="fr-CA"/>
        </w:rPr>
        <w:t>Refus</w:t>
      </w:r>
      <w:r w:rsidRPr="00E9210E">
        <w:rPr>
          <w:rFonts w:eastAsia="Courier New"/>
        </w:rPr>
        <w:t xml:space="preserve"> </w:t>
      </w:r>
      <w:r w:rsidRPr="00E9210E">
        <w:rPr>
          <w:rFonts w:eastAsia="Courier New"/>
          <w:i/>
        </w:rPr>
        <w:t>de parvenir</w:t>
      </w:r>
      <w:r w:rsidRPr="00E9210E">
        <w:rPr>
          <w:rFonts w:eastAsia="Courier New"/>
        </w:rPr>
        <w:t>,</w:t>
      </w:r>
      <w:r w:rsidRPr="00E9210E">
        <w:t xml:space="preserve"> Blainvi</w:t>
      </w:r>
      <w:r w:rsidRPr="00E9210E">
        <w:t>l</w:t>
      </w:r>
      <w:r w:rsidRPr="00E9210E">
        <w:t>le-sur-Mer, [1956].</w:t>
      </w:r>
    </w:p>
    <w:p w14:paraId="63636D30" w14:textId="77777777" w:rsidR="00B9662D" w:rsidRPr="00E9210E" w:rsidRDefault="00B9662D" w:rsidP="00B9662D">
      <w:pPr>
        <w:spacing w:before="120" w:after="120"/>
        <w:jc w:val="both"/>
      </w:pPr>
    </w:p>
    <w:p w14:paraId="7860C5FE" w14:textId="77777777" w:rsidR="00B9662D" w:rsidRPr="00E9210E" w:rsidRDefault="00B9662D" w:rsidP="00B9662D">
      <w:pPr>
        <w:spacing w:before="120" w:after="120"/>
        <w:jc w:val="center"/>
        <w:rPr>
          <w:b/>
          <w:smallCaps/>
        </w:rPr>
      </w:pPr>
      <w:r w:rsidRPr="00E9210E">
        <w:rPr>
          <w:b/>
          <w:smallCaps/>
        </w:rPr>
        <w:t>1957</w:t>
      </w:r>
    </w:p>
    <w:p w14:paraId="33988F45" w14:textId="77777777" w:rsidR="00B9662D" w:rsidRPr="00E9210E" w:rsidRDefault="00B9662D" w:rsidP="00B9662D">
      <w:pPr>
        <w:spacing w:before="120" w:after="120"/>
        <w:jc w:val="both"/>
      </w:pPr>
    </w:p>
    <w:p w14:paraId="7EBD166A" w14:textId="77777777" w:rsidR="00B9662D" w:rsidRPr="00E9210E" w:rsidRDefault="00B9662D" w:rsidP="00B9662D">
      <w:pPr>
        <w:spacing w:before="120" w:after="120"/>
        <w:jc w:val="both"/>
        <w:rPr>
          <w:rStyle w:val="Corpsdutexte885ptNonGraschelle100"/>
          <w:rFonts w:eastAsia="Courier New"/>
          <w:b w:val="0"/>
          <w:bCs w:val="0"/>
          <w:sz w:val="28"/>
        </w:rPr>
      </w:pPr>
      <w:r w:rsidRPr="00E9210E">
        <w:rPr>
          <w:b/>
        </w:rPr>
        <w:t>L’étrange défaite, témoignage écrit en 1940, suivi des écrits clandestins, 1942-1944</w:t>
      </w:r>
      <w:r w:rsidRPr="00E9210E">
        <w:t xml:space="preserve">. </w:t>
      </w:r>
      <w:r w:rsidRPr="00E9210E">
        <w:rPr>
          <w:rStyle w:val="Corpsdutexte885ptNonGraschelle100"/>
          <w:rFonts w:eastAsia="Courier New"/>
          <w:b w:val="0"/>
          <w:bCs w:val="0"/>
          <w:sz w:val="28"/>
        </w:rPr>
        <w:t>Avant-propos de Georges Altman, Paris, A. Michel, 1957, in-16, 267 p.</w:t>
      </w:r>
    </w:p>
    <w:p w14:paraId="3711E43C" w14:textId="77777777" w:rsidR="00B9662D" w:rsidRPr="00E9210E" w:rsidRDefault="00B9662D" w:rsidP="00B9662D">
      <w:pPr>
        <w:spacing w:before="120" w:after="120"/>
        <w:jc w:val="both"/>
      </w:pPr>
      <w:r>
        <w:br w:type="page"/>
      </w:r>
    </w:p>
    <w:p w14:paraId="446D91B6" w14:textId="77777777" w:rsidR="00B9662D" w:rsidRPr="00E9210E" w:rsidRDefault="00B9662D" w:rsidP="00B9662D">
      <w:pPr>
        <w:spacing w:before="120" w:after="120"/>
        <w:jc w:val="center"/>
        <w:rPr>
          <w:b/>
        </w:rPr>
      </w:pPr>
      <w:r w:rsidRPr="00E9210E">
        <w:rPr>
          <w:b/>
        </w:rPr>
        <w:t>1958</w:t>
      </w:r>
    </w:p>
    <w:p w14:paraId="3A7BCAA2" w14:textId="77777777" w:rsidR="00B9662D" w:rsidRPr="00E9210E" w:rsidRDefault="00B9662D" w:rsidP="00B9662D">
      <w:pPr>
        <w:spacing w:before="120" w:after="120"/>
        <w:jc w:val="both"/>
      </w:pPr>
    </w:p>
    <w:p w14:paraId="3A1988AF" w14:textId="77777777" w:rsidR="00B9662D" w:rsidRPr="00E9210E" w:rsidRDefault="00B9662D" w:rsidP="00B9662D">
      <w:pPr>
        <w:spacing w:before="120" w:after="120"/>
        <w:jc w:val="both"/>
      </w:pPr>
      <w:r w:rsidRPr="00E9210E">
        <w:rPr>
          <w:rStyle w:val="Corpsdutexte28ptGraschelle120"/>
          <w:rFonts w:eastAsia="Courier New"/>
          <w:sz w:val="28"/>
        </w:rPr>
        <w:t xml:space="preserve">La France sous les derniers Capétiens (1223-1328) </w:t>
      </w:r>
      <w:r w:rsidRPr="00E9210E">
        <w:t>(Note liminaire de Fernand Braudel), Paris, Colin, 1958, gr. in-8°, n-131 p. (</w:t>
      </w:r>
      <w:r w:rsidRPr="00E9210E">
        <w:rPr>
          <w:rFonts w:eastAsia="Courier New"/>
          <w:i/>
        </w:rPr>
        <w:t>Cahiers des Annales</w:t>
      </w:r>
      <w:r w:rsidRPr="00E9210E">
        <w:rPr>
          <w:rFonts w:eastAsia="Courier New"/>
        </w:rPr>
        <w:t>,</w:t>
      </w:r>
      <w:r w:rsidRPr="00E9210E">
        <w:t xml:space="preserve"> 13).</w:t>
      </w:r>
    </w:p>
    <w:p w14:paraId="009D87A1" w14:textId="77777777" w:rsidR="00B9662D" w:rsidRPr="00E9210E" w:rsidRDefault="00B9662D" w:rsidP="00B9662D">
      <w:pPr>
        <w:spacing w:before="120" w:after="120"/>
        <w:jc w:val="both"/>
      </w:pPr>
    </w:p>
    <w:p w14:paraId="3668EE1A" w14:textId="77777777" w:rsidR="00B9662D" w:rsidRPr="00E9210E" w:rsidRDefault="00B9662D" w:rsidP="00B9662D">
      <w:pPr>
        <w:spacing w:before="120" w:after="120"/>
        <w:jc w:val="center"/>
        <w:rPr>
          <w:b/>
        </w:rPr>
      </w:pPr>
      <w:r w:rsidRPr="00E9210E">
        <w:rPr>
          <w:b/>
        </w:rPr>
        <w:t>1960</w:t>
      </w:r>
    </w:p>
    <w:p w14:paraId="72832147" w14:textId="77777777" w:rsidR="00B9662D" w:rsidRPr="00E9210E" w:rsidRDefault="00B9662D" w:rsidP="00B9662D">
      <w:pPr>
        <w:spacing w:before="120" w:after="120"/>
        <w:jc w:val="both"/>
      </w:pPr>
    </w:p>
    <w:p w14:paraId="2BA09130" w14:textId="77777777" w:rsidR="00B9662D" w:rsidRPr="00E9210E" w:rsidRDefault="00B9662D" w:rsidP="00B9662D">
      <w:pPr>
        <w:spacing w:before="120" w:after="120"/>
        <w:jc w:val="both"/>
      </w:pPr>
      <w:r w:rsidRPr="00E9210E">
        <w:rPr>
          <w:rStyle w:val="Corpsdutexte28ptGraschelle120"/>
          <w:rFonts w:eastAsia="Courier New"/>
          <w:sz w:val="28"/>
        </w:rPr>
        <w:t xml:space="preserve">Seigneurie française et manoir anglais. </w:t>
      </w:r>
      <w:r w:rsidRPr="00E9210E">
        <w:t>Préface de Georges Duby, Paris, Ass. M. Bloch, 1960, in-8°, 159 p. (</w:t>
      </w:r>
      <w:r w:rsidRPr="00E9210E">
        <w:rPr>
          <w:rFonts w:eastAsia="Courier New"/>
          <w:i/>
        </w:rPr>
        <w:t>Cahiers des Annales</w:t>
      </w:r>
      <w:r w:rsidRPr="00E9210E">
        <w:rPr>
          <w:rFonts w:eastAsia="Courier New"/>
        </w:rPr>
        <w:t>,</w:t>
      </w:r>
      <w:r w:rsidRPr="00E9210E">
        <w:t xml:space="preserve"> 16).</w:t>
      </w:r>
    </w:p>
    <w:p w14:paraId="49EEA399" w14:textId="77777777" w:rsidR="00B9662D" w:rsidRPr="00E9210E" w:rsidRDefault="00B9662D" w:rsidP="00B9662D">
      <w:pPr>
        <w:spacing w:before="120" w:after="120"/>
        <w:jc w:val="both"/>
      </w:pPr>
      <w:r w:rsidRPr="00E9210E">
        <w:rPr>
          <w:rStyle w:val="Corpsdutexte28ptGraschelle120"/>
          <w:rFonts w:eastAsia="Courier New"/>
          <w:sz w:val="28"/>
        </w:rPr>
        <w:t xml:space="preserve">Projet d’un enseignement d’histoire comparée des sociétés européennes </w:t>
      </w:r>
      <w:r w:rsidRPr="00E9210E">
        <w:t xml:space="preserve">(suivi de : </w:t>
      </w:r>
      <w:r w:rsidRPr="00E9210E">
        <w:rPr>
          <w:rFonts w:eastAsia="Courier New"/>
          <w:i/>
        </w:rPr>
        <w:t>État des travaux de M. Marc Bloch</w:t>
      </w:r>
      <w:r w:rsidRPr="00E9210E">
        <w:t xml:space="preserve"> [p. 6-13] et </w:t>
      </w:r>
      <w:r w:rsidRPr="00E9210E">
        <w:rPr>
          <w:rFonts w:eastAsia="Courier New"/>
          <w:i/>
        </w:rPr>
        <w:t>État des services de M. Marc Bloch</w:t>
      </w:r>
      <w:r w:rsidRPr="00E9210E">
        <w:t xml:space="preserve"> [p. 16]). S.l.n.d., in-8°, 16 p. Cet opuscule composé par M. Bloch, lorsqu’il présenta sa candidature au Collège de France, en 1934, n’a reçu qu’une diffusion restreinte. Il figure à la Bibliothèque Nationale sous la cote 8°G. Pièce 2024.</w:t>
      </w:r>
    </w:p>
    <w:p w14:paraId="6306F128" w14:textId="77777777" w:rsidR="00B9662D" w:rsidRDefault="00B9662D" w:rsidP="00B9662D">
      <w:pPr>
        <w:spacing w:before="120" w:after="120"/>
        <w:ind w:firstLine="0"/>
        <w:jc w:val="both"/>
      </w:pPr>
      <w:r w:rsidRPr="00567DC5">
        <w:br w:type="page"/>
      </w:r>
      <w:r>
        <w:t>[1105]</w:t>
      </w:r>
    </w:p>
    <w:p w14:paraId="1C5E7DCD" w14:textId="77777777" w:rsidR="00B9662D" w:rsidRPr="00567DC5" w:rsidRDefault="00B9662D" w:rsidP="00B9662D">
      <w:pPr>
        <w:spacing w:before="120" w:after="120"/>
        <w:ind w:firstLine="0"/>
        <w:jc w:val="both"/>
      </w:pPr>
    </w:p>
    <w:p w14:paraId="700CD505" w14:textId="77777777" w:rsidR="00B9662D" w:rsidRDefault="00B9662D" w:rsidP="00B9662D">
      <w:pPr>
        <w:spacing w:before="120" w:after="120"/>
        <w:ind w:firstLine="0"/>
        <w:jc w:val="center"/>
        <w:rPr>
          <w:rFonts w:eastAsia="Courier New"/>
        </w:rPr>
      </w:pPr>
      <w:r w:rsidRPr="00567DC5">
        <w:rPr>
          <w:rFonts w:eastAsia="Courier New"/>
        </w:rPr>
        <w:t>TABLE DES MATIÈRES</w:t>
      </w:r>
    </w:p>
    <w:p w14:paraId="37551FD2" w14:textId="77777777" w:rsidR="00B9662D" w:rsidRDefault="00B9662D" w:rsidP="00B9662D">
      <w:pPr>
        <w:spacing w:before="120" w:after="120"/>
        <w:ind w:firstLine="0"/>
        <w:jc w:val="both"/>
        <w:rPr>
          <w:rFonts w:eastAsia="Courier New"/>
        </w:rPr>
      </w:pPr>
    </w:p>
    <w:p w14:paraId="57B290A2" w14:textId="77777777" w:rsidR="00B9662D" w:rsidRPr="004469CE" w:rsidRDefault="00B9662D" w:rsidP="00B9662D">
      <w:pPr>
        <w:spacing w:before="120" w:after="120"/>
        <w:ind w:firstLine="0"/>
        <w:jc w:val="both"/>
        <w:rPr>
          <w:rFonts w:eastAsia="Courier New"/>
        </w:rPr>
      </w:pPr>
    </w:p>
    <w:p w14:paraId="78636C6B" w14:textId="77777777" w:rsidR="00B9662D" w:rsidRPr="003B18D6" w:rsidRDefault="00B9662D" w:rsidP="00B9662D">
      <w:pPr>
        <w:spacing w:before="60" w:after="60"/>
        <w:ind w:firstLine="0"/>
        <w:jc w:val="center"/>
        <w:rPr>
          <w:rFonts w:eastAsia="Courier New"/>
          <w:b/>
          <w:color w:val="FF0000"/>
          <w:sz w:val="24"/>
        </w:rPr>
      </w:pPr>
      <w:r w:rsidRPr="003B18D6">
        <w:rPr>
          <w:rFonts w:eastAsia="Courier New"/>
          <w:b/>
          <w:color w:val="FF0000"/>
          <w:sz w:val="24"/>
        </w:rPr>
        <w:t>TOME I</w:t>
      </w:r>
    </w:p>
    <w:p w14:paraId="19432F59" w14:textId="77777777" w:rsidR="00B9662D" w:rsidRDefault="00B9662D" w:rsidP="00B9662D">
      <w:pPr>
        <w:spacing w:before="60" w:after="60"/>
        <w:ind w:firstLine="0"/>
        <w:jc w:val="both"/>
        <w:rPr>
          <w:rFonts w:eastAsia="Courier New"/>
          <w:sz w:val="24"/>
        </w:rPr>
      </w:pPr>
    </w:p>
    <w:p w14:paraId="417C2127" w14:textId="77777777" w:rsidR="00B9662D" w:rsidRPr="003B18D6" w:rsidRDefault="00B9662D" w:rsidP="00B9662D">
      <w:pPr>
        <w:spacing w:before="60" w:after="60"/>
        <w:ind w:firstLine="0"/>
        <w:jc w:val="both"/>
        <w:rPr>
          <w:rFonts w:eastAsia="Courier New"/>
          <w:sz w:val="24"/>
        </w:rPr>
      </w:pPr>
      <w:r w:rsidRPr="003B18D6">
        <w:rPr>
          <w:rFonts w:eastAsia="Courier New"/>
          <w:sz w:val="24"/>
        </w:rPr>
        <w:t>PRÉF</w:t>
      </w:r>
      <w:r>
        <w:rPr>
          <w:rFonts w:eastAsia="Courier New"/>
          <w:sz w:val="24"/>
        </w:rPr>
        <w:t>ACE de Charles-Edmond Perrin [vii]</w:t>
      </w:r>
    </w:p>
    <w:p w14:paraId="5210BB5F" w14:textId="77777777" w:rsidR="00B9662D" w:rsidRDefault="00B9662D" w:rsidP="00B9662D">
      <w:pPr>
        <w:spacing w:before="60" w:after="60"/>
        <w:ind w:firstLine="0"/>
        <w:jc w:val="both"/>
        <w:rPr>
          <w:rFonts w:eastAsia="Courier New"/>
          <w:sz w:val="24"/>
        </w:rPr>
      </w:pPr>
    </w:p>
    <w:p w14:paraId="66F0FC0F"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Première Partie</w:t>
      </w:r>
    </w:p>
    <w:p w14:paraId="4602AF67"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L’HISTOIRE ET LES HISTORIENS</w:t>
      </w:r>
      <w:r>
        <w:rPr>
          <w:rFonts w:eastAsia="Courier New"/>
          <w:sz w:val="24"/>
        </w:rPr>
        <w:t xml:space="preserve"> [1]</w:t>
      </w:r>
    </w:p>
    <w:p w14:paraId="700FE818" w14:textId="77777777" w:rsidR="00B9662D" w:rsidRDefault="00B9662D" w:rsidP="00B9662D">
      <w:pPr>
        <w:spacing w:before="60" w:after="60"/>
        <w:ind w:firstLine="0"/>
        <w:jc w:val="both"/>
        <w:rPr>
          <w:rFonts w:eastAsia="Courier New"/>
          <w:sz w:val="24"/>
        </w:rPr>
      </w:pPr>
    </w:p>
    <w:p w14:paraId="2D47CD37" w14:textId="77777777" w:rsidR="00B9662D" w:rsidRPr="003B18D6" w:rsidRDefault="00B9662D" w:rsidP="00B9662D">
      <w:pPr>
        <w:spacing w:before="60" w:after="60"/>
        <w:ind w:left="540" w:hanging="540"/>
        <w:jc w:val="both"/>
        <w:rPr>
          <w:rFonts w:eastAsia="Courier New"/>
          <w:sz w:val="24"/>
        </w:rPr>
      </w:pPr>
      <w:r>
        <w:rPr>
          <w:rFonts w:eastAsia="Courier New"/>
          <w:sz w:val="24"/>
        </w:rPr>
        <w:t>I.</w:t>
      </w:r>
      <w:r>
        <w:rPr>
          <w:rFonts w:eastAsia="Courier New"/>
          <w:sz w:val="24"/>
        </w:rPr>
        <w:tab/>
      </w:r>
      <w:r w:rsidRPr="003B18D6">
        <w:rPr>
          <w:rFonts w:eastAsia="Courier New"/>
          <w:sz w:val="24"/>
        </w:rPr>
        <w:t>Que demander à l’histoire ?</w:t>
      </w:r>
      <w:r>
        <w:rPr>
          <w:rFonts w:eastAsia="Courier New"/>
          <w:sz w:val="24"/>
        </w:rPr>
        <w:t xml:space="preserve"> [</w:t>
      </w:r>
      <w:r w:rsidRPr="003B18D6">
        <w:rPr>
          <w:rFonts w:eastAsia="Courier New"/>
          <w:sz w:val="24"/>
        </w:rPr>
        <w:t>3</w:t>
      </w:r>
      <w:r>
        <w:rPr>
          <w:rFonts w:eastAsia="Courier New"/>
          <w:sz w:val="24"/>
        </w:rPr>
        <w:t>]</w:t>
      </w:r>
    </w:p>
    <w:p w14:paraId="3698916B"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Pour une histoire comparée des sociétés européennes</w:t>
      </w:r>
      <w:r>
        <w:rPr>
          <w:rFonts w:eastAsia="Courier New"/>
          <w:sz w:val="24"/>
        </w:rPr>
        <w:t xml:space="preserve"> [</w:t>
      </w:r>
      <w:r w:rsidRPr="003B18D6">
        <w:rPr>
          <w:rFonts w:eastAsia="Courier New"/>
          <w:sz w:val="24"/>
        </w:rPr>
        <w:t>16</w:t>
      </w:r>
      <w:r>
        <w:rPr>
          <w:rFonts w:eastAsia="Courier New"/>
          <w:sz w:val="24"/>
        </w:rPr>
        <w:t>]</w:t>
      </w:r>
    </w:p>
    <w:p w14:paraId="160F98EE"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Réflexions d’un historien sur les fausses nouvelles de la</w:t>
      </w:r>
      <w:r>
        <w:rPr>
          <w:rFonts w:eastAsia="Courier New"/>
          <w:sz w:val="24"/>
        </w:rPr>
        <w:t xml:space="preserve"> </w:t>
      </w:r>
      <w:r w:rsidRPr="003B18D6">
        <w:rPr>
          <w:rFonts w:eastAsia="Courier New"/>
          <w:sz w:val="24"/>
        </w:rPr>
        <w:t>guerre</w:t>
      </w:r>
      <w:r>
        <w:rPr>
          <w:rFonts w:eastAsia="Courier New"/>
          <w:sz w:val="24"/>
        </w:rPr>
        <w:t xml:space="preserve"> [</w:t>
      </w:r>
      <w:r w:rsidRPr="003B18D6">
        <w:rPr>
          <w:rFonts w:eastAsia="Courier New"/>
          <w:sz w:val="24"/>
        </w:rPr>
        <w:t>41</w:t>
      </w:r>
      <w:r>
        <w:rPr>
          <w:rFonts w:eastAsia="Courier New"/>
          <w:sz w:val="24"/>
        </w:rPr>
        <w:t>]</w:t>
      </w:r>
    </w:p>
    <w:p w14:paraId="6F6A9AE1" w14:textId="77777777" w:rsidR="00B9662D" w:rsidRDefault="00B9662D" w:rsidP="00B9662D">
      <w:pPr>
        <w:spacing w:before="60" w:after="60"/>
        <w:ind w:firstLine="0"/>
        <w:jc w:val="both"/>
        <w:rPr>
          <w:rFonts w:eastAsia="Courier New"/>
          <w:sz w:val="24"/>
        </w:rPr>
      </w:pPr>
    </w:p>
    <w:p w14:paraId="67C4A152"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Deuxième Partie</w:t>
      </w:r>
    </w:p>
    <w:p w14:paraId="7D6DC317"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LES SOCIÉTÉS DU HAUT MOYEN AGE</w:t>
      </w:r>
      <w:r>
        <w:rPr>
          <w:rFonts w:eastAsia="Courier New"/>
          <w:sz w:val="24"/>
        </w:rPr>
        <w:t xml:space="preserve"> [59]</w:t>
      </w:r>
    </w:p>
    <w:p w14:paraId="76E256AB" w14:textId="77777777" w:rsidR="00B9662D" w:rsidRDefault="00B9662D" w:rsidP="00B9662D">
      <w:pPr>
        <w:spacing w:before="60" w:after="60"/>
        <w:ind w:firstLine="0"/>
        <w:jc w:val="both"/>
        <w:rPr>
          <w:rFonts w:eastAsia="Courier New"/>
          <w:sz w:val="24"/>
        </w:rPr>
      </w:pPr>
    </w:p>
    <w:p w14:paraId="6423CDFD" w14:textId="77777777" w:rsidR="00B9662D" w:rsidRPr="003B18D6" w:rsidRDefault="00B9662D" w:rsidP="00B9662D">
      <w:pPr>
        <w:spacing w:before="60" w:after="60"/>
        <w:ind w:left="540" w:hanging="540"/>
        <w:jc w:val="both"/>
        <w:rPr>
          <w:rFonts w:eastAsia="Courier New"/>
          <w:sz w:val="24"/>
        </w:rPr>
      </w:pPr>
      <w:r>
        <w:rPr>
          <w:rFonts w:eastAsia="Courier New"/>
          <w:sz w:val="24"/>
        </w:rPr>
        <w:t>I.</w:t>
      </w:r>
      <w:r>
        <w:rPr>
          <w:rFonts w:eastAsia="Courier New"/>
          <w:sz w:val="24"/>
        </w:rPr>
        <w:tab/>
      </w:r>
      <w:r w:rsidRPr="003B18D6">
        <w:rPr>
          <w:rFonts w:eastAsia="Courier New"/>
          <w:sz w:val="24"/>
        </w:rPr>
        <w:t xml:space="preserve">La société du Haut Moyen </w:t>
      </w:r>
      <w:r>
        <w:rPr>
          <w:rFonts w:eastAsia="Courier New"/>
          <w:sz w:val="24"/>
        </w:rPr>
        <w:t>Â</w:t>
      </w:r>
      <w:r w:rsidRPr="003B18D6">
        <w:rPr>
          <w:rFonts w:eastAsia="Courier New"/>
          <w:sz w:val="24"/>
        </w:rPr>
        <w:t>ge et ses origines</w:t>
      </w:r>
      <w:r>
        <w:rPr>
          <w:rFonts w:eastAsia="Courier New"/>
          <w:sz w:val="24"/>
        </w:rPr>
        <w:t xml:space="preserve"> [</w:t>
      </w:r>
      <w:r w:rsidRPr="003B18D6">
        <w:rPr>
          <w:rFonts w:eastAsia="Courier New"/>
          <w:sz w:val="24"/>
        </w:rPr>
        <w:t>61</w:t>
      </w:r>
      <w:r>
        <w:rPr>
          <w:rFonts w:eastAsia="Courier New"/>
          <w:sz w:val="24"/>
        </w:rPr>
        <w:t>]</w:t>
      </w:r>
    </w:p>
    <w:p w14:paraId="4CA24417"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Observations sur la conquête de la Gaule romaine par les rois</w:t>
      </w:r>
      <w:r>
        <w:rPr>
          <w:rFonts w:eastAsia="Courier New"/>
          <w:sz w:val="24"/>
        </w:rPr>
        <w:t xml:space="preserve"> francs [</w:t>
      </w:r>
      <w:r w:rsidRPr="003B18D6">
        <w:rPr>
          <w:rFonts w:eastAsia="Courier New"/>
          <w:sz w:val="24"/>
        </w:rPr>
        <w:t>75</w:t>
      </w:r>
      <w:r>
        <w:rPr>
          <w:rFonts w:eastAsia="Courier New"/>
          <w:sz w:val="24"/>
        </w:rPr>
        <w:t>]</w:t>
      </w:r>
    </w:p>
    <w:p w14:paraId="081B16C0"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 xml:space="preserve">Sur les grandes invasions, </w:t>
      </w:r>
      <w:r>
        <w:rPr>
          <w:rFonts w:eastAsia="Courier New"/>
          <w:sz w:val="24"/>
        </w:rPr>
        <w:t>quelques positions de problèmes [</w:t>
      </w:r>
      <w:r w:rsidRPr="003B18D6">
        <w:rPr>
          <w:rFonts w:eastAsia="Courier New"/>
          <w:sz w:val="24"/>
        </w:rPr>
        <w:t>90</w:t>
      </w:r>
      <w:r>
        <w:rPr>
          <w:rFonts w:eastAsia="Courier New"/>
          <w:sz w:val="24"/>
        </w:rPr>
        <w:t>]</w:t>
      </w:r>
    </w:p>
    <w:p w14:paraId="124488E9"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r w:rsidRPr="003B18D6">
        <w:rPr>
          <w:rFonts w:eastAsia="Courier New"/>
          <w:sz w:val="24"/>
        </w:rPr>
        <w:t>Une mise au point : les invasions :</w:t>
      </w:r>
    </w:p>
    <w:p w14:paraId="6A451F38" w14:textId="77777777" w:rsidR="00B9662D" w:rsidRPr="003B18D6" w:rsidRDefault="00B9662D" w:rsidP="00B9662D">
      <w:pPr>
        <w:spacing w:before="60" w:after="60"/>
        <w:ind w:left="900" w:hanging="360"/>
        <w:jc w:val="both"/>
        <w:rPr>
          <w:rFonts w:eastAsia="Courier New"/>
          <w:sz w:val="24"/>
        </w:rPr>
      </w:pPr>
      <w:r>
        <w:rPr>
          <w:rFonts w:eastAsia="Courier New"/>
          <w:sz w:val="24"/>
        </w:rPr>
        <w:t>A.</w:t>
      </w:r>
      <w:r>
        <w:rPr>
          <w:rFonts w:eastAsia="Courier New"/>
          <w:sz w:val="24"/>
        </w:rPr>
        <w:tab/>
      </w:r>
      <w:r w:rsidRPr="003B18D6">
        <w:rPr>
          <w:rFonts w:eastAsia="Courier New"/>
          <w:sz w:val="24"/>
        </w:rPr>
        <w:t>Deux structures économiques</w:t>
      </w:r>
      <w:r>
        <w:rPr>
          <w:rFonts w:eastAsia="Courier New"/>
          <w:sz w:val="24"/>
        </w:rPr>
        <w:t xml:space="preserve"> [</w:t>
      </w:r>
      <w:r w:rsidRPr="003B18D6">
        <w:rPr>
          <w:rFonts w:eastAsia="Courier New"/>
          <w:sz w:val="24"/>
        </w:rPr>
        <w:t>110</w:t>
      </w:r>
      <w:r>
        <w:rPr>
          <w:rFonts w:eastAsia="Courier New"/>
          <w:sz w:val="24"/>
        </w:rPr>
        <w:t>]</w:t>
      </w:r>
    </w:p>
    <w:p w14:paraId="78CB999B" w14:textId="77777777" w:rsidR="00B9662D" w:rsidRPr="003B18D6" w:rsidRDefault="00B9662D" w:rsidP="00B9662D">
      <w:pPr>
        <w:spacing w:before="60" w:after="60"/>
        <w:ind w:left="900" w:hanging="360"/>
        <w:jc w:val="both"/>
        <w:rPr>
          <w:rFonts w:eastAsia="Courier New"/>
          <w:sz w:val="24"/>
        </w:rPr>
      </w:pPr>
      <w:r>
        <w:rPr>
          <w:rFonts w:eastAsia="Courier New"/>
          <w:sz w:val="24"/>
        </w:rPr>
        <w:t>B.</w:t>
      </w:r>
      <w:r>
        <w:rPr>
          <w:rFonts w:eastAsia="Courier New"/>
          <w:sz w:val="24"/>
        </w:rPr>
        <w:tab/>
      </w:r>
      <w:r w:rsidRPr="003B18D6">
        <w:rPr>
          <w:rFonts w:eastAsia="Courier New"/>
          <w:sz w:val="24"/>
        </w:rPr>
        <w:t>Occupation du sol et peuplement</w:t>
      </w:r>
      <w:r>
        <w:rPr>
          <w:rFonts w:eastAsia="Courier New"/>
          <w:sz w:val="24"/>
        </w:rPr>
        <w:t xml:space="preserve"> [</w:t>
      </w:r>
      <w:r w:rsidRPr="003B18D6">
        <w:rPr>
          <w:rFonts w:eastAsia="Courier New"/>
          <w:sz w:val="24"/>
        </w:rPr>
        <w:t>124</w:t>
      </w:r>
      <w:r>
        <w:rPr>
          <w:rFonts w:eastAsia="Courier New"/>
          <w:sz w:val="24"/>
        </w:rPr>
        <w:t>]</w:t>
      </w:r>
    </w:p>
    <w:p w14:paraId="35D0CF96" w14:textId="77777777" w:rsidR="00B9662D" w:rsidRPr="003B18D6" w:rsidRDefault="00B9662D" w:rsidP="00B9662D">
      <w:pPr>
        <w:spacing w:before="60" w:after="60"/>
        <w:ind w:left="540" w:hanging="540"/>
        <w:jc w:val="both"/>
        <w:rPr>
          <w:rFonts w:eastAsia="Courier New"/>
          <w:sz w:val="24"/>
        </w:rPr>
      </w:pPr>
      <w:r>
        <w:rPr>
          <w:rFonts w:eastAsia="Courier New"/>
          <w:sz w:val="24"/>
        </w:rPr>
        <w:t>V.</w:t>
      </w:r>
      <w:r>
        <w:rPr>
          <w:rFonts w:eastAsia="Courier New"/>
          <w:sz w:val="24"/>
        </w:rPr>
        <w:tab/>
      </w:r>
      <w:r w:rsidRPr="003B18D6">
        <w:rPr>
          <w:rFonts w:eastAsia="Courier New"/>
          <w:sz w:val="24"/>
        </w:rPr>
        <w:t>L’origine et la date du Capitulaire de Villis</w:t>
      </w:r>
      <w:r>
        <w:rPr>
          <w:rFonts w:eastAsia="Courier New"/>
          <w:sz w:val="24"/>
        </w:rPr>
        <w:t xml:space="preserve"> [</w:t>
      </w:r>
      <w:r w:rsidRPr="003B18D6">
        <w:rPr>
          <w:rFonts w:eastAsia="Courier New"/>
          <w:sz w:val="24"/>
        </w:rPr>
        <w:t>142</w:t>
      </w:r>
      <w:r>
        <w:rPr>
          <w:rFonts w:eastAsia="Courier New"/>
          <w:sz w:val="24"/>
        </w:rPr>
        <w:t>]</w:t>
      </w:r>
    </w:p>
    <w:p w14:paraId="26B88622" w14:textId="77777777" w:rsidR="00B9662D" w:rsidRPr="003B18D6" w:rsidRDefault="00B9662D" w:rsidP="00B9662D">
      <w:pPr>
        <w:spacing w:before="60" w:after="60"/>
        <w:ind w:left="540" w:hanging="540"/>
        <w:jc w:val="both"/>
        <w:rPr>
          <w:rFonts w:eastAsia="Courier New"/>
          <w:sz w:val="24"/>
        </w:rPr>
      </w:pPr>
      <w:r>
        <w:rPr>
          <w:rFonts w:eastAsia="Courier New"/>
          <w:sz w:val="24"/>
        </w:rPr>
        <w:t>VI.</w:t>
      </w:r>
      <w:r>
        <w:rPr>
          <w:rFonts w:eastAsia="Courier New"/>
          <w:sz w:val="24"/>
        </w:rPr>
        <w:tab/>
      </w:r>
      <w:r w:rsidRPr="003B18D6">
        <w:rPr>
          <w:rFonts w:eastAsia="Courier New"/>
          <w:sz w:val="24"/>
        </w:rPr>
        <w:t>La organizaci</w:t>
      </w:r>
      <w:r>
        <w:rPr>
          <w:rFonts w:eastAsia="Courier New"/>
          <w:sz w:val="24"/>
        </w:rPr>
        <w:t>ό</w:t>
      </w:r>
      <w:r w:rsidRPr="003B18D6">
        <w:rPr>
          <w:rFonts w:eastAsia="Courier New"/>
          <w:sz w:val="24"/>
        </w:rPr>
        <w:t>n de los dominios reales Carolingios y las</w:t>
      </w:r>
      <w:r>
        <w:rPr>
          <w:rFonts w:eastAsia="Courier New"/>
          <w:sz w:val="24"/>
        </w:rPr>
        <w:t xml:space="preserve"> </w:t>
      </w:r>
      <w:r w:rsidRPr="003B18D6">
        <w:rPr>
          <w:rFonts w:eastAsia="Courier New"/>
          <w:sz w:val="24"/>
        </w:rPr>
        <w:t>teorias de Dopsch</w:t>
      </w:r>
      <w:r>
        <w:rPr>
          <w:rFonts w:eastAsia="Courier New"/>
          <w:sz w:val="24"/>
        </w:rPr>
        <w:t xml:space="preserve"> [</w:t>
      </w:r>
      <w:r w:rsidRPr="003B18D6">
        <w:rPr>
          <w:rFonts w:eastAsia="Courier New"/>
          <w:sz w:val="24"/>
        </w:rPr>
        <w:t>155</w:t>
      </w:r>
      <w:r>
        <w:rPr>
          <w:rFonts w:eastAsia="Courier New"/>
          <w:sz w:val="24"/>
        </w:rPr>
        <w:t>]</w:t>
      </w:r>
    </w:p>
    <w:p w14:paraId="0FFE9BA0" w14:textId="77777777" w:rsidR="00B9662D" w:rsidRPr="003B18D6" w:rsidRDefault="00B9662D" w:rsidP="00B9662D">
      <w:pPr>
        <w:spacing w:before="60" w:after="60"/>
        <w:ind w:firstLine="0"/>
        <w:jc w:val="both"/>
        <w:rPr>
          <w:rFonts w:eastAsia="Courier New"/>
          <w:sz w:val="24"/>
        </w:rPr>
      </w:pPr>
      <w:r w:rsidRPr="003B18D6">
        <w:rPr>
          <w:rFonts w:eastAsia="Courier New"/>
          <w:sz w:val="24"/>
        </w:rPr>
        <w:t xml:space="preserve"> </w:t>
      </w:r>
    </w:p>
    <w:p w14:paraId="35A4F15D"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Troisième Partie</w:t>
      </w:r>
    </w:p>
    <w:p w14:paraId="13CC4505"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LES INSTITUTIONS FÉODALES</w:t>
      </w:r>
      <w:r>
        <w:rPr>
          <w:rFonts w:eastAsia="Courier New"/>
          <w:sz w:val="24"/>
        </w:rPr>
        <w:t xml:space="preserve">  [175]</w:t>
      </w:r>
    </w:p>
    <w:p w14:paraId="1E808831" w14:textId="77777777" w:rsidR="00B9662D" w:rsidRDefault="00B9662D" w:rsidP="00B9662D">
      <w:pPr>
        <w:spacing w:before="60" w:after="60"/>
        <w:ind w:firstLine="0"/>
        <w:jc w:val="both"/>
        <w:rPr>
          <w:rFonts w:eastAsia="Courier New"/>
          <w:sz w:val="24"/>
        </w:rPr>
      </w:pPr>
    </w:p>
    <w:p w14:paraId="43F57C31" w14:textId="77777777" w:rsidR="00B9662D" w:rsidRPr="003B18D6" w:rsidRDefault="00B9662D" w:rsidP="00B9662D">
      <w:pPr>
        <w:spacing w:before="60" w:after="60"/>
        <w:ind w:left="540" w:hanging="540"/>
        <w:jc w:val="both"/>
        <w:rPr>
          <w:rFonts w:eastAsia="Courier New"/>
          <w:sz w:val="24"/>
        </w:rPr>
      </w:pPr>
      <w:r>
        <w:rPr>
          <w:rFonts w:eastAsia="Courier New"/>
          <w:sz w:val="24"/>
        </w:rPr>
        <w:t>I.</w:t>
      </w:r>
      <w:r>
        <w:rPr>
          <w:rFonts w:eastAsia="Courier New"/>
          <w:sz w:val="24"/>
        </w:rPr>
        <w:tab/>
      </w:r>
      <w:r w:rsidRPr="003B18D6">
        <w:rPr>
          <w:rFonts w:eastAsia="Courier New"/>
          <w:sz w:val="24"/>
        </w:rPr>
        <w:t>European feudalism</w:t>
      </w:r>
      <w:r>
        <w:rPr>
          <w:rFonts w:eastAsia="Courier New"/>
          <w:sz w:val="24"/>
        </w:rPr>
        <w:t xml:space="preserve"> [</w:t>
      </w:r>
      <w:r w:rsidRPr="003B18D6">
        <w:rPr>
          <w:rFonts w:eastAsia="Courier New"/>
          <w:sz w:val="24"/>
        </w:rPr>
        <w:t>177</w:t>
      </w:r>
      <w:r>
        <w:rPr>
          <w:rFonts w:eastAsia="Courier New"/>
          <w:sz w:val="24"/>
        </w:rPr>
        <w:t>]</w:t>
      </w:r>
    </w:p>
    <w:p w14:paraId="3BAA4D13"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Les formes de la rupture de l’hommage dans l’ancien droit</w:t>
      </w:r>
      <w:r>
        <w:rPr>
          <w:rFonts w:eastAsia="Courier New"/>
          <w:sz w:val="24"/>
        </w:rPr>
        <w:t xml:space="preserve"> </w:t>
      </w:r>
      <w:r w:rsidRPr="003B18D6">
        <w:rPr>
          <w:rFonts w:eastAsia="Courier New"/>
          <w:sz w:val="24"/>
        </w:rPr>
        <w:t>féodal</w:t>
      </w:r>
      <w:r>
        <w:rPr>
          <w:rFonts w:eastAsia="Courier New"/>
          <w:sz w:val="24"/>
        </w:rPr>
        <w:t xml:space="preserve"> [</w:t>
      </w:r>
      <w:r w:rsidRPr="003B18D6">
        <w:rPr>
          <w:rFonts w:eastAsia="Courier New"/>
          <w:sz w:val="24"/>
        </w:rPr>
        <w:t>189</w:t>
      </w:r>
      <w:r>
        <w:rPr>
          <w:rFonts w:eastAsia="Courier New"/>
          <w:sz w:val="24"/>
        </w:rPr>
        <w:t>]</w:t>
      </w:r>
    </w:p>
    <w:p w14:paraId="0F5BB39D"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The rise of dépendent cultivation and seigniorial institutions</w:t>
      </w:r>
      <w:r>
        <w:rPr>
          <w:rFonts w:eastAsia="Courier New"/>
          <w:sz w:val="24"/>
        </w:rPr>
        <w:t xml:space="preserve"> [</w:t>
      </w:r>
      <w:r w:rsidRPr="003B18D6">
        <w:rPr>
          <w:rFonts w:eastAsia="Courier New"/>
          <w:sz w:val="24"/>
        </w:rPr>
        <w:t>210</w:t>
      </w:r>
      <w:r>
        <w:rPr>
          <w:rFonts w:eastAsia="Courier New"/>
          <w:sz w:val="24"/>
        </w:rPr>
        <w:t>]</w:t>
      </w:r>
    </w:p>
    <w:p w14:paraId="4C063C1E" w14:textId="77777777" w:rsidR="00B9662D" w:rsidRDefault="00B9662D" w:rsidP="00B9662D">
      <w:pPr>
        <w:spacing w:before="60" w:after="60"/>
        <w:ind w:firstLine="0"/>
        <w:jc w:val="both"/>
        <w:rPr>
          <w:rFonts w:eastAsia="Courier New"/>
          <w:sz w:val="24"/>
        </w:rPr>
      </w:pPr>
    </w:p>
    <w:p w14:paraId="263D1993"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Quatrième Partie</w:t>
      </w:r>
    </w:p>
    <w:p w14:paraId="110AEB9B"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LE SERVAGE DANS LA SOCIÉTÉ EUROPÉENNE</w:t>
      </w:r>
      <w:r>
        <w:rPr>
          <w:rFonts w:eastAsia="Courier New"/>
          <w:sz w:val="24"/>
        </w:rPr>
        <w:t xml:space="preserve"> [259]</w:t>
      </w:r>
    </w:p>
    <w:p w14:paraId="6AFD4C8F" w14:textId="77777777" w:rsidR="00B9662D" w:rsidRDefault="00B9662D" w:rsidP="00B9662D">
      <w:pPr>
        <w:spacing w:before="60" w:after="60"/>
        <w:ind w:firstLine="0"/>
        <w:jc w:val="both"/>
        <w:rPr>
          <w:rFonts w:eastAsia="Courier New"/>
          <w:sz w:val="24"/>
        </w:rPr>
      </w:pPr>
    </w:p>
    <w:p w14:paraId="126EED15" w14:textId="77777777" w:rsidR="00B9662D" w:rsidRPr="003B18D6" w:rsidRDefault="00B9662D" w:rsidP="00B9662D">
      <w:pPr>
        <w:spacing w:before="60" w:after="60"/>
        <w:ind w:left="540" w:hanging="540"/>
        <w:jc w:val="both"/>
        <w:rPr>
          <w:rFonts w:eastAsia="Courier New"/>
          <w:sz w:val="24"/>
        </w:rPr>
      </w:pPr>
      <w:r>
        <w:rPr>
          <w:rFonts w:eastAsia="Courier New"/>
          <w:sz w:val="24"/>
        </w:rPr>
        <w:t>I.</w:t>
      </w:r>
      <w:r>
        <w:rPr>
          <w:rFonts w:eastAsia="Courier New"/>
          <w:sz w:val="24"/>
        </w:rPr>
        <w:tab/>
      </w:r>
      <w:r w:rsidRPr="003B18D6">
        <w:rPr>
          <w:rFonts w:eastAsia="Courier New"/>
          <w:sz w:val="24"/>
        </w:rPr>
        <w:t>Comment et pourquoi finit</w:t>
      </w:r>
      <w:r>
        <w:rPr>
          <w:rFonts w:eastAsia="Courier New"/>
          <w:sz w:val="24"/>
        </w:rPr>
        <w:t xml:space="preserve"> </w:t>
      </w:r>
      <w:r w:rsidRPr="003B18D6">
        <w:rPr>
          <w:rFonts w:eastAsia="Courier New"/>
          <w:sz w:val="24"/>
        </w:rPr>
        <w:t>l’esclavage antique</w:t>
      </w:r>
      <w:r>
        <w:rPr>
          <w:rFonts w:eastAsia="Courier New"/>
          <w:sz w:val="24"/>
        </w:rPr>
        <w:t xml:space="preserve"> [</w:t>
      </w:r>
      <w:r w:rsidRPr="003B18D6">
        <w:rPr>
          <w:rFonts w:eastAsia="Courier New"/>
          <w:sz w:val="24"/>
        </w:rPr>
        <w:t>261</w:t>
      </w:r>
      <w:r>
        <w:rPr>
          <w:rFonts w:eastAsia="Courier New"/>
          <w:sz w:val="24"/>
        </w:rPr>
        <w:t>]</w:t>
      </w:r>
    </w:p>
    <w:p w14:paraId="4489FE18"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 xml:space="preserve">Liberté et servitude personnelles au Moyen </w:t>
      </w:r>
      <w:r>
        <w:rPr>
          <w:rFonts w:eastAsia="Courier New"/>
          <w:sz w:val="24"/>
        </w:rPr>
        <w:t>Â</w:t>
      </w:r>
      <w:r w:rsidRPr="003B18D6">
        <w:rPr>
          <w:rFonts w:eastAsia="Courier New"/>
          <w:sz w:val="24"/>
        </w:rPr>
        <w:t>ge, particulièrement en France</w:t>
      </w:r>
      <w:r>
        <w:rPr>
          <w:rFonts w:eastAsia="Courier New"/>
          <w:sz w:val="24"/>
        </w:rPr>
        <w:t xml:space="preserve"> [</w:t>
      </w:r>
      <w:r w:rsidRPr="003B18D6">
        <w:rPr>
          <w:rFonts w:eastAsia="Courier New"/>
          <w:sz w:val="24"/>
        </w:rPr>
        <w:t>286</w:t>
      </w:r>
      <w:r>
        <w:rPr>
          <w:rFonts w:eastAsia="Courier New"/>
          <w:sz w:val="24"/>
        </w:rPr>
        <w:t>]</w:t>
      </w:r>
    </w:p>
    <w:p w14:paraId="7CE5B2C9"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Serf de la glèbe :</w:t>
      </w:r>
    </w:p>
    <w:p w14:paraId="1308C195" w14:textId="77777777" w:rsidR="00B9662D" w:rsidRPr="003B18D6" w:rsidRDefault="00B9662D" w:rsidP="00B9662D">
      <w:pPr>
        <w:spacing w:before="60" w:after="60"/>
        <w:ind w:left="900" w:hanging="360"/>
        <w:jc w:val="both"/>
        <w:rPr>
          <w:rFonts w:eastAsia="Courier New"/>
          <w:sz w:val="24"/>
        </w:rPr>
      </w:pPr>
      <w:r>
        <w:rPr>
          <w:rFonts w:eastAsia="Courier New"/>
          <w:sz w:val="24"/>
        </w:rPr>
        <w:t>A.</w:t>
      </w:r>
      <w:r>
        <w:rPr>
          <w:rFonts w:eastAsia="Courier New"/>
          <w:sz w:val="24"/>
        </w:rPr>
        <w:tab/>
      </w:r>
      <w:r w:rsidRPr="003B18D6">
        <w:rPr>
          <w:rFonts w:eastAsia="Courier New"/>
          <w:sz w:val="24"/>
        </w:rPr>
        <w:t>Histoi</w:t>
      </w:r>
      <w:r>
        <w:rPr>
          <w:rFonts w:eastAsia="Courier New"/>
          <w:sz w:val="24"/>
        </w:rPr>
        <w:t>re d’une expression toute faite [</w:t>
      </w:r>
      <w:r w:rsidRPr="003B18D6">
        <w:rPr>
          <w:rFonts w:eastAsia="Courier New"/>
          <w:sz w:val="24"/>
        </w:rPr>
        <w:t>356</w:t>
      </w:r>
      <w:r>
        <w:rPr>
          <w:rFonts w:eastAsia="Courier New"/>
          <w:sz w:val="24"/>
        </w:rPr>
        <w:t>]</w:t>
      </w:r>
    </w:p>
    <w:p w14:paraId="51F72EA5" w14:textId="77777777" w:rsidR="00B9662D" w:rsidRPr="003B18D6" w:rsidRDefault="00B9662D" w:rsidP="00B9662D">
      <w:pPr>
        <w:spacing w:before="60" w:after="60"/>
        <w:ind w:left="900" w:hanging="360"/>
        <w:jc w:val="both"/>
        <w:rPr>
          <w:rFonts w:eastAsia="Courier New"/>
          <w:sz w:val="24"/>
        </w:rPr>
      </w:pPr>
      <w:r>
        <w:rPr>
          <w:rFonts w:eastAsia="Courier New"/>
          <w:sz w:val="24"/>
        </w:rPr>
        <w:t>B.</w:t>
      </w:r>
      <w:r>
        <w:rPr>
          <w:rFonts w:eastAsia="Courier New"/>
          <w:sz w:val="24"/>
        </w:rPr>
        <w:tab/>
      </w:r>
      <w:r w:rsidRPr="003B18D6">
        <w:rPr>
          <w:rFonts w:eastAsia="Courier New"/>
          <w:sz w:val="24"/>
        </w:rPr>
        <w:t>Servus glebae</w:t>
      </w:r>
      <w:r>
        <w:rPr>
          <w:rFonts w:eastAsia="Courier New"/>
          <w:sz w:val="24"/>
        </w:rPr>
        <w:t xml:space="preserve"> [</w:t>
      </w:r>
      <w:r w:rsidRPr="003B18D6">
        <w:rPr>
          <w:rFonts w:eastAsia="Courier New"/>
          <w:sz w:val="24"/>
        </w:rPr>
        <w:t>373</w:t>
      </w:r>
      <w:r>
        <w:rPr>
          <w:rFonts w:eastAsia="Courier New"/>
          <w:sz w:val="24"/>
        </w:rPr>
        <w:t>]</w:t>
      </w:r>
    </w:p>
    <w:p w14:paraId="12C54EA7"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r w:rsidRPr="003B18D6">
        <w:rPr>
          <w:rFonts w:eastAsia="Courier New"/>
          <w:sz w:val="24"/>
        </w:rPr>
        <w:t>Collibertus ou Colibertus</w:t>
      </w:r>
      <w:r>
        <w:rPr>
          <w:rFonts w:eastAsia="Courier New"/>
          <w:sz w:val="24"/>
        </w:rPr>
        <w:t xml:space="preserve"> [</w:t>
      </w:r>
      <w:r w:rsidRPr="003B18D6">
        <w:rPr>
          <w:rFonts w:eastAsia="Courier New"/>
          <w:sz w:val="24"/>
        </w:rPr>
        <w:t>379</w:t>
      </w:r>
      <w:r>
        <w:rPr>
          <w:rFonts w:eastAsia="Courier New"/>
          <w:sz w:val="24"/>
        </w:rPr>
        <w:t>]</w:t>
      </w:r>
    </w:p>
    <w:p w14:paraId="366726EC" w14:textId="77777777" w:rsidR="00B9662D" w:rsidRPr="003B18D6" w:rsidRDefault="00B9662D" w:rsidP="00B9662D">
      <w:pPr>
        <w:spacing w:before="60" w:after="60"/>
        <w:ind w:left="540" w:hanging="540"/>
        <w:jc w:val="both"/>
        <w:rPr>
          <w:rFonts w:eastAsia="Courier New"/>
          <w:sz w:val="24"/>
        </w:rPr>
      </w:pPr>
      <w:r>
        <w:rPr>
          <w:rFonts w:eastAsia="Courier New"/>
          <w:sz w:val="24"/>
        </w:rPr>
        <w:t>V.</w:t>
      </w:r>
      <w:r>
        <w:rPr>
          <w:rFonts w:eastAsia="Courier New"/>
          <w:sz w:val="24"/>
        </w:rPr>
        <w:tab/>
      </w:r>
      <w:r w:rsidRPr="003B18D6">
        <w:rPr>
          <w:rFonts w:eastAsia="Courier New"/>
          <w:sz w:val="24"/>
        </w:rPr>
        <w:t>Les « colliberti » : étude sur</w:t>
      </w:r>
      <w:r>
        <w:rPr>
          <w:rFonts w:eastAsia="Courier New"/>
          <w:sz w:val="24"/>
        </w:rPr>
        <w:t xml:space="preserve"> </w:t>
      </w:r>
      <w:r w:rsidRPr="003B18D6">
        <w:rPr>
          <w:rFonts w:eastAsia="Courier New"/>
          <w:sz w:val="24"/>
        </w:rPr>
        <w:t xml:space="preserve">la </w:t>
      </w:r>
      <w:r>
        <w:rPr>
          <w:rFonts w:eastAsia="Courier New"/>
          <w:sz w:val="24"/>
        </w:rPr>
        <w:t>formation de la classe servile [</w:t>
      </w:r>
      <w:r w:rsidRPr="003B18D6">
        <w:rPr>
          <w:rFonts w:eastAsia="Courier New"/>
          <w:sz w:val="24"/>
        </w:rPr>
        <w:t>385</w:t>
      </w:r>
      <w:r>
        <w:rPr>
          <w:rFonts w:eastAsia="Courier New"/>
          <w:sz w:val="24"/>
        </w:rPr>
        <w:t>]</w:t>
      </w:r>
    </w:p>
    <w:p w14:paraId="2E4D05CD" w14:textId="77777777" w:rsidR="00B9662D" w:rsidRPr="003B18D6" w:rsidRDefault="00B9662D" w:rsidP="00B9662D">
      <w:pPr>
        <w:spacing w:before="60" w:after="60"/>
        <w:ind w:left="540" w:hanging="540"/>
        <w:jc w:val="both"/>
        <w:rPr>
          <w:rFonts w:eastAsia="Courier New"/>
          <w:sz w:val="24"/>
        </w:rPr>
      </w:pPr>
      <w:r>
        <w:rPr>
          <w:rFonts w:eastAsia="Courier New"/>
          <w:sz w:val="24"/>
        </w:rPr>
        <w:t>VI.</w:t>
      </w:r>
      <w:r>
        <w:rPr>
          <w:rFonts w:eastAsia="Courier New"/>
          <w:sz w:val="24"/>
        </w:rPr>
        <w:tab/>
      </w:r>
      <w:r w:rsidRPr="003B18D6">
        <w:rPr>
          <w:rFonts w:eastAsia="Courier New"/>
          <w:sz w:val="24"/>
        </w:rPr>
        <w:t>De la cour royale à la cour de Rome : le procès des serfs de</w:t>
      </w:r>
      <w:r>
        <w:rPr>
          <w:rFonts w:eastAsia="Courier New"/>
          <w:sz w:val="24"/>
        </w:rPr>
        <w:t xml:space="preserve"> </w:t>
      </w:r>
      <w:r w:rsidRPr="003B18D6">
        <w:rPr>
          <w:rFonts w:eastAsia="Courier New"/>
          <w:sz w:val="24"/>
        </w:rPr>
        <w:t>Rosny-sous-Bois</w:t>
      </w:r>
      <w:r>
        <w:rPr>
          <w:rFonts w:eastAsia="Courier New"/>
          <w:sz w:val="24"/>
        </w:rPr>
        <w:t xml:space="preserve"> [</w:t>
      </w:r>
      <w:r w:rsidRPr="003B18D6">
        <w:rPr>
          <w:rFonts w:eastAsia="Courier New"/>
          <w:sz w:val="24"/>
        </w:rPr>
        <w:t>452</w:t>
      </w:r>
      <w:r>
        <w:rPr>
          <w:rFonts w:eastAsia="Courier New"/>
          <w:sz w:val="24"/>
        </w:rPr>
        <w:t>V</w:t>
      </w:r>
    </w:p>
    <w:p w14:paraId="5BE449AF"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VI</w:t>
      </w:r>
      <w:r>
        <w:rPr>
          <w:rFonts w:eastAsia="Courier New"/>
          <w:sz w:val="24"/>
        </w:rPr>
        <w:t>I.</w:t>
      </w:r>
      <w:r>
        <w:rPr>
          <w:rFonts w:eastAsia="Courier New"/>
          <w:sz w:val="24"/>
        </w:rPr>
        <w:tab/>
      </w:r>
      <w:r w:rsidRPr="003B18D6">
        <w:rPr>
          <w:rFonts w:eastAsia="Courier New"/>
          <w:sz w:val="24"/>
        </w:rPr>
        <w:t>Blanche de Castille et</w:t>
      </w:r>
      <w:r>
        <w:rPr>
          <w:rFonts w:eastAsia="Courier New"/>
          <w:sz w:val="24"/>
        </w:rPr>
        <w:t xml:space="preserve"> les serfs du chapitre de Paris [</w:t>
      </w:r>
      <w:r w:rsidRPr="003B18D6">
        <w:rPr>
          <w:rFonts w:eastAsia="Courier New"/>
          <w:sz w:val="24"/>
        </w:rPr>
        <w:t>462</w:t>
      </w:r>
      <w:r>
        <w:rPr>
          <w:rFonts w:eastAsia="Courier New"/>
          <w:sz w:val="24"/>
        </w:rPr>
        <w:t>]</w:t>
      </w:r>
    </w:p>
    <w:p w14:paraId="5FEBB1F6"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VIII.</w:t>
      </w:r>
      <w:r>
        <w:rPr>
          <w:rFonts w:eastAsia="Courier New"/>
          <w:sz w:val="24"/>
        </w:rPr>
        <w:tab/>
      </w:r>
      <w:r w:rsidRPr="003B18D6">
        <w:rPr>
          <w:rFonts w:eastAsia="Courier New"/>
          <w:sz w:val="24"/>
        </w:rPr>
        <w:t xml:space="preserve">Les transformations du servage. </w:t>
      </w:r>
      <w:r>
        <w:rPr>
          <w:rFonts w:eastAsia="Courier New"/>
          <w:sz w:val="24"/>
        </w:rPr>
        <w:t>À</w:t>
      </w:r>
      <w:r w:rsidRPr="003B18D6">
        <w:rPr>
          <w:rFonts w:eastAsia="Courier New"/>
          <w:sz w:val="24"/>
        </w:rPr>
        <w:t xml:space="preserve"> propos de deux documents</w:t>
      </w:r>
      <w:r>
        <w:rPr>
          <w:rFonts w:eastAsia="Courier New"/>
          <w:sz w:val="24"/>
        </w:rPr>
        <w:t xml:space="preserve"> </w:t>
      </w:r>
      <w:r w:rsidRPr="003B18D6">
        <w:rPr>
          <w:rFonts w:eastAsia="Courier New"/>
          <w:sz w:val="24"/>
        </w:rPr>
        <w:t>du xme siècle relatifs à la région parisienne</w:t>
      </w:r>
      <w:r>
        <w:rPr>
          <w:rFonts w:eastAsia="Courier New"/>
          <w:sz w:val="24"/>
        </w:rPr>
        <w:t xml:space="preserve"> [</w:t>
      </w:r>
      <w:r w:rsidRPr="003B18D6">
        <w:rPr>
          <w:rFonts w:eastAsia="Courier New"/>
          <w:sz w:val="24"/>
        </w:rPr>
        <w:t>491</w:t>
      </w:r>
      <w:r>
        <w:rPr>
          <w:rFonts w:eastAsia="Courier New"/>
          <w:sz w:val="24"/>
        </w:rPr>
        <w:t>]</w:t>
      </w:r>
    </w:p>
    <w:p w14:paraId="70172014"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IX.</w:t>
      </w:r>
      <w:r>
        <w:rPr>
          <w:rFonts w:eastAsia="Courier New"/>
          <w:sz w:val="24"/>
        </w:rPr>
        <w:tab/>
      </w:r>
      <w:r w:rsidRPr="003B18D6">
        <w:rPr>
          <w:rFonts w:eastAsia="Courier New"/>
          <w:sz w:val="24"/>
        </w:rPr>
        <w:t>Un problème d’histoire comparée</w:t>
      </w:r>
      <w:r>
        <w:rPr>
          <w:rFonts w:eastAsia="Courier New"/>
          <w:sz w:val="24"/>
        </w:rPr>
        <w:t> </w:t>
      </w:r>
      <w:r w:rsidRPr="003B18D6">
        <w:rPr>
          <w:rFonts w:eastAsia="Courier New"/>
          <w:sz w:val="24"/>
        </w:rPr>
        <w:t xml:space="preserve">: la ministérialité en </w:t>
      </w:r>
      <w:r>
        <w:rPr>
          <w:rFonts w:eastAsia="Courier New"/>
          <w:sz w:val="24"/>
        </w:rPr>
        <w:t xml:space="preserve">France </w:t>
      </w:r>
      <w:r w:rsidRPr="003B18D6">
        <w:rPr>
          <w:rFonts w:eastAsia="Courier New"/>
          <w:sz w:val="24"/>
        </w:rPr>
        <w:t>et en Allem</w:t>
      </w:r>
      <w:r w:rsidRPr="003B18D6">
        <w:rPr>
          <w:rFonts w:eastAsia="Courier New"/>
          <w:sz w:val="24"/>
        </w:rPr>
        <w:t>a</w:t>
      </w:r>
      <w:r w:rsidRPr="003B18D6">
        <w:rPr>
          <w:rFonts w:eastAsia="Courier New"/>
          <w:sz w:val="24"/>
        </w:rPr>
        <w:t>gne</w:t>
      </w:r>
      <w:r>
        <w:rPr>
          <w:rFonts w:eastAsia="Courier New"/>
          <w:sz w:val="24"/>
        </w:rPr>
        <w:t xml:space="preserve"> [</w:t>
      </w:r>
      <w:r w:rsidRPr="003B18D6">
        <w:rPr>
          <w:rFonts w:eastAsia="Courier New"/>
          <w:sz w:val="24"/>
        </w:rPr>
        <w:t>503</w:t>
      </w:r>
      <w:r>
        <w:rPr>
          <w:rFonts w:eastAsia="Courier New"/>
          <w:sz w:val="24"/>
        </w:rPr>
        <w:t>]</w:t>
      </w:r>
    </w:p>
    <w:p w14:paraId="423686D1" w14:textId="77777777" w:rsidR="00B9662D" w:rsidRDefault="00B9662D" w:rsidP="00B9662D">
      <w:pPr>
        <w:spacing w:before="60" w:after="60"/>
        <w:ind w:firstLine="0"/>
        <w:jc w:val="both"/>
        <w:rPr>
          <w:rFonts w:eastAsia="Courier New"/>
          <w:sz w:val="24"/>
        </w:rPr>
      </w:pPr>
    </w:p>
    <w:p w14:paraId="40DEDAD0"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Cinquième Partie</w:t>
      </w:r>
    </w:p>
    <w:p w14:paraId="407D4411" w14:textId="77777777" w:rsidR="00B9662D" w:rsidRPr="003B18D6" w:rsidRDefault="00B9662D" w:rsidP="00B9662D">
      <w:pPr>
        <w:spacing w:before="60" w:after="60"/>
        <w:ind w:firstLine="0"/>
        <w:jc w:val="center"/>
        <w:rPr>
          <w:rFonts w:eastAsia="Courier New"/>
          <w:sz w:val="24"/>
        </w:rPr>
      </w:pPr>
      <w:r w:rsidRPr="00474DB8">
        <w:rPr>
          <w:rFonts w:eastAsia="Courier New"/>
          <w:b/>
          <w:sz w:val="24"/>
        </w:rPr>
        <w:t>L’ALLEMAGNE</w:t>
      </w:r>
      <w:r>
        <w:rPr>
          <w:rFonts w:eastAsia="Courier New"/>
          <w:b/>
          <w:sz w:val="24"/>
        </w:rPr>
        <w:br/>
      </w:r>
      <w:r w:rsidRPr="00474DB8">
        <w:rPr>
          <w:rFonts w:eastAsia="Courier New"/>
          <w:b/>
          <w:sz w:val="24"/>
        </w:rPr>
        <w:t>ET L’EMPIRE ROMAIN GERMANIQUE</w:t>
      </w:r>
      <w:r>
        <w:rPr>
          <w:rFonts w:eastAsia="Courier New"/>
          <w:sz w:val="24"/>
        </w:rPr>
        <w:t xml:space="preserve"> [561]</w:t>
      </w:r>
    </w:p>
    <w:p w14:paraId="20A9063C" w14:textId="77777777" w:rsidR="00B9662D" w:rsidRPr="003B18D6" w:rsidRDefault="00B9662D" w:rsidP="00B9662D">
      <w:pPr>
        <w:spacing w:before="60" w:after="60"/>
        <w:ind w:firstLine="0"/>
        <w:jc w:val="both"/>
        <w:rPr>
          <w:rFonts w:eastAsia="Courier New"/>
          <w:sz w:val="24"/>
        </w:rPr>
      </w:pPr>
      <w:r w:rsidRPr="003B18D6">
        <w:rPr>
          <w:rFonts w:eastAsia="Courier New"/>
          <w:sz w:val="24"/>
        </w:rPr>
        <w:t xml:space="preserve"> </w:t>
      </w:r>
    </w:p>
    <w:p w14:paraId="0F60FF45" w14:textId="77777777" w:rsidR="00B9662D" w:rsidRPr="003B18D6" w:rsidRDefault="00B9662D" w:rsidP="00B9662D">
      <w:pPr>
        <w:spacing w:before="60" w:after="60"/>
        <w:ind w:firstLine="0"/>
        <w:jc w:val="center"/>
        <w:rPr>
          <w:rFonts w:eastAsia="Courier New"/>
          <w:b/>
          <w:color w:val="FF0000"/>
          <w:sz w:val="24"/>
        </w:rPr>
      </w:pPr>
      <w:r w:rsidRPr="003B18D6">
        <w:rPr>
          <w:rFonts w:eastAsia="Courier New"/>
          <w:b/>
          <w:color w:val="FF0000"/>
          <w:sz w:val="24"/>
        </w:rPr>
        <w:t>TOME II</w:t>
      </w:r>
    </w:p>
    <w:p w14:paraId="172DBAE2" w14:textId="77777777" w:rsidR="00B9662D" w:rsidRDefault="00B9662D" w:rsidP="00B9662D">
      <w:pPr>
        <w:spacing w:before="60" w:after="60"/>
        <w:ind w:firstLine="0"/>
        <w:jc w:val="both"/>
        <w:rPr>
          <w:rFonts w:eastAsia="Courier New"/>
          <w:sz w:val="24"/>
        </w:rPr>
      </w:pPr>
    </w:p>
    <w:p w14:paraId="50672826"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Sixième Partie</w:t>
      </w:r>
    </w:p>
    <w:p w14:paraId="207C0E8D" w14:textId="77777777" w:rsidR="00B9662D" w:rsidRPr="00474DB8" w:rsidRDefault="00B9662D" w:rsidP="00B9662D">
      <w:pPr>
        <w:spacing w:before="60" w:after="60"/>
        <w:ind w:firstLine="0"/>
        <w:jc w:val="center"/>
        <w:rPr>
          <w:rFonts w:eastAsia="Courier New"/>
          <w:b/>
          <w:sz w:val="24"/>
        </w:rPr>
      </w:pPr>
      <w:r w:rsidRPr="00474DB8">
        <w:rPr>
          <w:rFonts w:eastAsia="Courier New"/>
          <w:sz w:val="24"/>
        </w:rPr>
        <w:t>VIE RURALE</w:t>
      </w:r>
      <w:r>
        <w:rPr>
          <w:rFonts w:eastAsia="Courier New"/>
          <w:sz w:val="24"/>
        </w:rPr>
        <w:t xml:space="preserve"> [563]</w:t>
      </w:r>
    </w:p>
    <w:p w14:paraId="5246FB68" w14:textId="77777777" w:rsidR="00B9662D" w:rsidRDefault="00B9662D" w:rsidP="00B9662D">
      <w:pPr>
        <w:spacing w:before="60" w:after="60"/>
        <w:ind w:left="540" w:hanging="540"/>
        <w:jc w:val="both"/>
        <w:rPr>
          <w:rFonts w:eastAsia="Courier New"/>
          <w:sz w:val="24"/>
        </w:rPr>
      </w:pPr>
    </w:p>
    <w:p w14:paraId="0827A9DD"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r w:rsidRPr="003B18D6">
        <w:rPr>
          <w:rFonts w:eastAsia="Courier New"/>
          <w:sz w:val="24"/>
        </w:rPr>
        <w:t>Les plans parcellaires en France</w:t>
      </w:r>
      <w:r>
        <w:rPr>
          <w:rFonts w:eastAsia="Courier New"/>
          <w:sz w:val="24"/>
        </w:rPr>
        <w:t xml:space="preserve"> [</w:t>
      </w:r>
      <w:r w:rsidRPr="003B18D6">
        <w:rPr>
          <w:rFonts w:eastAsia="Courier New"/>
          <w:sz w:val="24"/>
        </w:rPr>
        <w:t>565</w:t>
      </w:r>
      <w:r>
        <w:rPr>
          <w:rFonts w:eastAsia="Courier New"/>
          <w:sz w:val="24"/>
        </w:rPr>
        <w:t>]</w:t>
      </w:r>
    </w:p>
    <w:p w14:paraId="74AC3808"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Les plans cadastraux de l’Ancien Régime</w:t>
      </w:r>
      <w:r>
        <w:rPr>
          <w:rFonts w:eastAsia="Courier New"/>
          <w:sz w:val="24"/>
        </w:rPr>
        <w:t xml:space="preserve"> [</w:t>
      </w:r>
      <w:r w:rsidRPr="003B18D6">
        <w:rPr>
          <w:rFonts w:eastAsia="Courier New"/>
          <w:sz w:val="24"/>
        </w:rPr>
        <w:t>577</w:t>
      </w:r>
      <w:r>
        <w:rPr>
          <w:rFonts w:eastAsia="Courier New"/>
          <w:sz w:val="24"/>
        </w:rPr>
        <w:t>]</w:t>
      </w:r>
    </w:p>
    <w:p w14:paraId="0DEE8651"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La lutte pour l’individualisme agraire dans la France du</w:t>
      </w:r>
      <w:r>
        <w:rPr>
          <w:rFonts w:eastAsia="Courier New"/>
          <w:sz w:val="24"/>
        </w:rPr>
        <w:t xml:space="preserve"> XVIII</w:t>
      </w:r>
      <w:r w:rsidRPr="00FC4528">
        <w:rPr>
          <w:rFonts w:eastAsia="Courier New"/>
          <w:sz w:val="24"/>
          <w:vertAlign w:val="superscript"/>
        </w:rPr>
        <w:t>e</w:t>
      </w:r>
      <w:r w:rsidRPr="003B18D6">
        <w:rPr>
          <w:rFonts w:eastAsia="Courier New"/>
          <w:sz w:val="24"/>
        </w:rPr>
        <w:t xml:space="preserve"> siècle</w:t>
      </w:r>
      <w:r>
        <w:rPr>
          <w:rFonts w:eastAsia="Courier New"/>
          <w:sz w:val="24"/>
        </w:rPr>
        <w:t xml:space="preserve"> [593]</w:t>
      </w:r>
    </w:p>
    <w:p w14:paraId="12A38B33"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r w:rsidRPr="003B18D6">
        <w:rPr>
          <w:rFonts w:eastAsia="Courier New"/>
          <w:sz w:val="24"/>
        </w:rPr>
        <w:t>Les problèmes du peuplement beauceron</w:t>
      </w:r>
      <w:r>
        <w:rPr>
          <w:rFonts w:eastAsia="Courier New"/>
          <w:sz w:val="24"/>
        </w:rPr>
        <w:t xml:space="preserve"> [</w:t>
      </w:r>
      <w:r w:rsidRPr="003B18D6">
        <w:rPr>
          <w:rFonts w:eastAsia="Courier New"/>
          <w:sz w:val="24"/>
        </w:rPr>
        <w:t>638</w:t>
      </w:r>
      <w:r>
        <w:rPr>
          <w:rFonts w:eastAsia="Courier New"/>
          <w:sz w:val="24"/>
        </w:rPr>
        <w:t>]</w:t>
      </w:r>
    </w:p>
    <w:p w14:paraId="271FD8BA" w14:textId="77777777" w:rsidR="00B9662D" w:rsidRPr="003B18D6" w:rsidRDefault="00B9662D" w:rsidP="00B9662D">
      <w:pPr>
        <w:spacing w:before="60" w:after="60"/>
        <w:ind w:left="540" w:hanging="540"/>
        <w:jc w:val="both"/>
        <w:rPr>
          <w:rFonts w:eastAsia="Courier New"/>
          <w:sz w:val="24"/>
        </w:rPr>
      </w:pPr>
      <w:r>
        <w:rPr>
          <w:rFonts w:eastAsia="Courier New"/>
          <w:sz w:val="24"/>
        </w:rPr>
        <w:t>V.</w:t>
      </w:r>
      <w:r>
        <w:rPr>
          <w:rFonts w:eastAsia="Courier New"/>
          <w:sz w:val="24"/>
        </w:rPr>
        <w:tab/>
      </w:r>
      <w:r w:rsidRPr="003B18D6">
        <w:rPr>
          <w:rFonts w:eastAsia="Courier New"/>
          <w:sz w:val="24"/>
        </w:rPr>
        <w:t>Le prob</w:t>
      </w:r>
      <w:r>
        <w:rPr>
          <w:rFonts w:eastAsia="Courier New"/>
          <w:sz w:val="24"/>
        </w:rPr>
        <w:t>lème des régimes agraires [648]</w:t>
      </w:r>
    </w:p>
    <w:p w14:paraId="0BCA3010" w14:textId="77777777" w:rsidR="00B9662D" w:rsidRDefault="00B9662D" w:rsidP="00B9662D">
      <w:pPr>
        <w:spacing w:before="60" w:after="60"/>
        <w:ind w:left="540" w:hanging="540"/>
        <w:jc w:val="both"/>
        <w:rPr>
          <w:rFonts w:eastAsia="Courier New"/>
          <w:sz w:val="24"/>
        </w:rPr>
      </w:pPr>
      <w:r>
        <w:rPr>
          <w:rFonts w:eastAsia="Courier New"/>
          <w:sz w:val="24"/>
        </w:rPr>
        <w:t>VI.</w:t>
      </w:r>
      <w:r>
        <w:rPr>
          <w:rFonts w:eastAsia="Courier New"/>
          <w:sz w:val="24"/>
        </w:rPr>
        <w:tab/>
      </w:r>
      <w:r w:rsidRPr="003B18D6">
        <w:rPr>
          <w:rFonts w:eastAsia="Courier New"/>
          <w:sz w:val="24"/>
        </w:rPr>
        <w:t>De la grande exploitation domaniale à la rente du sol : un</w:t>
      </w:r>
      <w:r>
        <w:rPr>
          <w:rFonts w:eastAsia="Courier New"/>
          <w:sz w:val="24"/>
        </w:rPr>
        <w:t xml:space="preserve"> </w:t>
      </w:r>
      <w:r w:rsidRPr="003B18D6">
        <w:rPr>
          <w:rFonts w:eastAsia="Courier New"/>
          <w:sz w:val="24"/>
        </w:rPr>
        <w:t>problè</w:t>
      </w:r>
      <w:r>
        <w:rPr>
          <w:rFonts w:eastAsia="Courier New"/>
          <w:sz w:val="24"/>
        </w:rPr>
        <w:t>me et un projet d’enquête [670]</w:t>
      </w:r>
    </w:p>
    <w:p w14:paraId="66A29D24" w14:textId="77777777" w:rsidR="00B9662D" w:rsidRPr="003B18D6" w:rsidRDefault="00B9662D" w:rsidP="00B9662D">
      <w:pPr>
        <w:spacing w:before="60" w:after="60"/>
        <w:ind w:firstLine="0"/>
        <w:jc w:val="both"/>
        <w:rPr>
          <w:rFonts w:eastAsia="Courier New"/>
          <w:sz w:val="24"/>
        </w:rPr>
      </w:pPr>
      <w:r>
        <w:rPr>
          <w:rFonts w:eastAsia="Courier New"/>
          <w:sz w:val="24"/>
        </w:rPr>
        <w:br w:type="page"/>
      </w:r>
    </w:p>
    <w:p w14:paraId="07736B49" w14:textId="77777777" w:rsidR="00B9662D" w:rsidRPr="00474DB8" w:rsidRDefault="00B9662D" w:rsidP="00B9662D">
      <w:pPr>
        <w:spacing w:before="60" w:after="60"/>
        <w:ind w:firstLine="0"/>
        <w:jc w:val="center"/>
        <w:rPr>
          <w:rFonts w:eastAsia="Courier New"/>
          <w:b/>
          <w:sz w:val="24"/>
        </w:rPr>
      </w:pPr>
      <w:r w:rsidRPr="00474DB8">
        <w:rPr>
          <w:rFonts w:eastAsia="Courier New"/>
          <w:b/>
          <w:sz w:val="24"/>
        </w:rPr>
        <w:t>Septième Partie</w:t>
      </w:r>
    </w:p>
    <w:p w14:paraId="71E79700" w14:textId="77777777" w:rsidR="00B9662D" w:rsidRPr="003B18D6" w:rsidRDefault="00B9662D" w:rsidP="00B9662D">
      <w:pPr>
        <w:spacing w:before="60" w:after="60"/>
        <w:ind w:firstLine="0"/>
        <w:jc w:val="center"/>
        <w:rPr>
          <w:rFonts w:eastAsia="Courier New"/>
          <w:sz w:val="24"/>
        </w:rPr>
      </w:pPr>
      <w:r>
        <w:rPr>
          <w:rFonts w:eastAsia="Courier New"/>
          <w:sz w:val="24"/>
        </w:rPr>
        <w:t>GÉOGRAPHIE HISTORIQUE :</w:t>
      </w:r>
      <w:r>
        <w:rPr>
          <w:rFonts w:eastAsia="Courier New"/>
          <w:sz w:val="24"/>
        </w:rPr>
        <w:br/>
      </w:r>
      <w:r w:rsidRPr="003B18D6">
        <w:rPr>
          <w:rFonts w:eastAsia="Courier New"/>
          <w:sz w:val="24"/>
        </w:rPr>
        <w:t>L’ILE-DE-</w:t>
      </w:r>
      <w:r w:rsidRPr="00474DB8">
        <w:rPr>
          <w:rFonts w:eastAsia="Courier New"/>
          <w:caps/>
          <w:sz w:val="24"/>
        </w:rPr>
        <w:t>France</w:t>
      </w:r>
      <w:r>
        <w:rPr>
          <w:rFonts w:eastAsia="Courier New"/>
          <w:sz w:val="24"/>
        </w:rPr>
        <w:t xml:space="preserve"> [675]</w:t>
      </w:r>
    </w:p>
    <w:p w14:paraId="5C98BFC7" w14:textId="77777777" w:rsidR="00B9662D" w:rsidRDefault="00B9662D" w:rsidP="00B9662D">
      <w:pPr>
        <w:spacing w:before="60" w:after="60"/>
        <w:ind w:firstLine="0"/>
        <w:jc w:val="both"/>
        <w:rPr>
          <w:rFonts w:eastAsia="Courier New"/>
          <w:sz w:val="24"/>
        </w:rPr>
      </w:pPr>
    </w:p>
    <w:p w14:paraId="6B021AF8"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r w:rsidRPr="003B18D6">
        <w:rPr>
          <w:rFonts w:eastAsia="Courier New"/>
          <w:sz w:val="24"/>
        </w:rPr>
        <w:t>Notes sur les sources de l’histoire de l’Ile-de-France au</w:t>
      </w:r>
      <w:r>
        <w:rPr>
          <w:rFonts w:eastAsia="Courier New"/>
          <w:sz w:val="24"/>
        </w:rPr>
        <w:t xml:space="preserve"> </w:t>
      </w:r>
      <w:r w:rsidRPr="003B18D6">
        <w:rPr>
          <w:rFonts w:eastAsia="Courier New"/>
          <w:sz w:val="24"/>
        </w:rPr>
        <w:t xml:space="preserve">Moyen </w:t>
      </w:r>
      <w:r>
        <w:rPr>
          <w:rFonts w:eastAsia="Courier New"/>
          <w:sz w:val="24"/>
        </w:rPr>
        <w:t>Â</w:t>
      </w:r>
      <w:r w:rsidRPr="003B18D6">
        <w:rPr>
          <w:rFonts w:eastAsia="Courier New"/>
          <w:sz w:val="24"/>
        </w:rPr>
        <w:t>ge</w:t>
      </w:r>
      <w:r>
        <w:rPr>
          <w:rFonts w:eastAsia="Courier New"/>
          <w:sz w:val="24"/>
        </w:rPr>
        <w:t xml:space="preserve"> [</w:t>
      </w:r>
      <w:r w:rsidRPr="003B18D6">
        <w:rPr>
          <w:rFonts w:eastAsia="Courier New"/>
          <w:sz w:val="24"/>
        </w:rPr>
        <w:t>677</w:t>
      </w:r>
      <w:r>
        <w:rPr>
          <w:rFonts w:eastAsia="Courier New"/>
          <w:sz w:val="24"/>
        </w:rPr>
        <w:t>]</w:t>
      </w:r>
    </w:p>
    <w:p w14:paraId="4AD18897" w14:textId="77777777" w:rsidR="00B9662D"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L’Ile-de-France</w:t>
      </w:r>
      <w:r>
        <w:rPr>
          <w:rFonts w:eastAsia="Courier New"/>
          <w:sz w:val="24"/>
        </w:rPr>
        <w:t xml:space="preserve"> [</w:t>
      </w:r>
      <w:r w:rsidRPr="003B18D6">
        <w:rPr>
          <w:rFonts w:eastAsia="Courier New"/>
          <w:sz w:val="24"/>
        </w:rPr>
        <w:t>692</w:t>
      </w:r>
      <w:r>
        <w:rPr>
          <w:rFonts w:eastAsia="Courier New"/>
          <w:sz w:val="24"/>
        </w:rPr>
        <w:t>]</w:t>
      </w:r>
    </w:p>
    <w:p w14:paraId="6371E34B" w14:textId="77777777" w:rsidR="00B9662D" w:rsidRPr="003B18D6" w:rsidRDefault="00B9662D" w:rsidP="00B9662D">
      <w:pPr>
        <w:spacing w:before="60" w:after="60"/>
        <w:ind w:firstLine="0"/>
        <w:jc w:val="both"/>
        <w:rPr>
          <w:rFonts w:eastAsia="Courier New"/>
          <w:sz w:val="24"/>
        </w:rPr>
      </w:pPr>
    </w:p>
    <w:p w14:paraId="2329974E" w14:textId="77777777" w:rsidR="00B9662D" w:rsidRPr="00FC4528" w:rsidRDefault="00B9662D" w:rsidP="00B9662D">
      <w:pPr>
        <w:spacing w:before="60" w:after="60"/>
        <w:ind w:firstLine="0"/>
        <w:jc w:val="center"/>
        <w:rPr>
          <w:rFonts w:eastAsia="Courier New"/>
          <w:b/>
          <w:sz w:val="24"/>
        </w:rPr>
      </w:pPr>
      <w:r w:rsidRPr="00FC4528">
        <w:rPr>
          <w:rFonts w:eastAsia="Courier New"/>
          <w:b/>
          <w:sz w:val="24"/>
        </w:rPr>
        <w:t>Huitième Partie</w:t>
      </w:r>
    </w:p>
    <w:p w14:paraId="0D9E43C3"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HISTOIRE DE L’ÉCONOMIE ET DES TECHNIQUES</w:t>
      </w:r>
      <w:r>
        <w:rPr>
          <w:rFonts w:eastAsia="Courier New"/>
          <w:sz w:val="24"/>
        </w:rPr>
        <w:t xml:space="preserve"> [789]</w:t>
      </w:r>
    </w:p>
    <w:p w14:paraId="0B9A3AB4" w14:textId="77777777" w:rsidR="00B9662D" w:rsidRDefault="00B9662D" w:rsidP="00B9662D">
      <w:pPr>
        <w:spacing w:before="60" w:after="60"/>
        <w:ind w:firstLine="0"/>
        <w:jc w:val="both"/>
        <w:rPr>
          <w:rFonts w:eastAsia="Courier New"/>
          <w:sz w:val="24"/>
        </w:rPr>
      </w:pPr>
    </w:p>
    <w:p w14:paraId="36CABAF9"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r w:rsidRPr="003B18D6">
        <w:rPr>
          <w:rFonts w:eastAsia="Courier New"/>
          <w:sz w:val="24"/>
        </w:rPr>
        <w:t>Les transformations des techniques comme problème de</w:t>
      </w:r>
      <w:r>
        <w:rPr>
          <w:rFonts w:eastAsia="Courier New"/>
          <w:sz w:val="24"/>
        </w:rPr>
        <w:t xml:space="preserve"> </w:t>
      </w:r>
      <w:r w:rsidRPr="003B18D6">
        <w:rPr>
          <w:rFonts w:eastAsia="Courier New"/>
          <w:sz w:val="24"/>
        </w:rPr>
        <w:t>psychologie colle</w:t>
      </w:r>
      <w:r w:rsidRPr="003B18D6">
        <w:rPr>
          <w:rFonts w:eastAsia="Courier New"/>
          <w:sz w:val="24"/>
        </w:rPr>
        <w:t>c</w:t>
      </w:r>
      <w:r w:rsidRPr="003B18D6">
        <w:rPr>
          <w:rFonts w:eastAsia="Courier New"/>
          <w:sz w:val="24"/>
        </w:rPr>
        <w:t>tive</w:t>
      </w:r>
      <w:r>
        <w:rPr>
          <w:rFonts w:eastAsia="Courier New"/>
          <w:sz w:val="24"/>
        </w:rPr>
        <w:t xml:space="preserve"> [</w:t>
      </w:r>
      <w:r w:rsidRPr="003B18D6">
        <w:rPr>
          <w:rFonts w:eastAsia="Courier New"/>
          <w:sz w:val="24"/>
        </w:rPr>
        <w:t>791</w:t>
      </w:r>
      <w:r>
        <w:rPr>
          <w:rFonts w:eastAsia="Courier New"/>
          <w:sz w:val="24"/>
        </w:rPr>
        <w:t>]</w:t>
      </w:r>
    </w:p>
    <w:p w14:paraId="1A73A30C"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Avènement et conquêtes du moulin à eau</w:t>
      </w:r>
      <w:r>
        <w:rPr>
          <w:rFonts w:eastAsia="Courier New"/>
          <w:sz w:val="24"/>
        </w:rPr>
        <w:t xml:space="preserve"> [</w:t>
      </w:r>
      <w:r w:rsidRPr="003B18D6">
        <w:rPr>
          <w:rFonts w:eastAsia="Courier New"/>
          <w:sz w:val="24"/>
        </w:rPr>
        <w:t>800</w:t>
      </w:r>
      <w:r>
        <w:rPr>
          <w:rFonts w:eastAsia="Courier New"/>
          <w:sz w:val="24"/>
        </w:rPr>
        <w:t>]</w:t>
      </w:r>
    </w:p>
    <w:p w14:paraId="6142CCDD"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Les inventions médiévales</w:t>
      </w:r>
      <w:r>
        <w:rPr>
          <w:rFonts w:eastAsia="Courier New"/>
          <w:sz w:val="24"/>
        </w:rPr>
        <w:t xml:space="preserve"> [</w:t>
      </w:r>
      <w:r w:rsidRPr="003B18D6">
        <w:rPr>
          <w:rFonts w:eastAsia="Courier New"/>
          <w:sz w:val="24"/>
        </w:rPr>
        <w:t>822</w:t>
      </w:r>
      <w:r>
        <w:rPr>
          <w:rFonts w:eastAsia="Courier New"/>
          <w:sz w:val="24"/>
        </w:rPr>
        <w:t>]</w:t>
      </w:r>
    </w:p>
    <w:p w14:paraId="5ABA1B64"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r w:rsidRPr="003B18D6">
        <w:rPr>
          <w:rFonts w:eastAsia="Courier New"/>
          <w:sz w:val="24"/>
        </w:rPr>
        <w:t>Technique et évolution sociale : réflexions</w:t>
      </w:r>
      <w:r>
        <w:rPr>
          <w:rFonts w:eastAsia="Courier New"/>
          <w:sz w:val="24"/>
        </w:rPr>
        <w:t xml:space="preserve"> </w:t>
      </w:r>
      <w:r w:rsidRPr="003B18D6">
        <w:rPr>
          <w:rFonts w:eastAsia="Courier New"/>
          <w:sz w:val="24"/>
        </w:rPr>
        <w:t>d’un</w:t>
      </w:r>
      <w:r>
        <w:rPr>
          <w:rFonts w:eastAsia="Courier New"/>
          <w:sz w:val="24"/>
        </w:rPr>
        <w:t xml:space="preserve"> </w:t>
      </w:r>
      <w:r w:rsidRPr="003B18D6">
        <w:rPr>
          <w:rFonts w:eastAsia="Courier New"/>
          <w:sz w:val="24"/>
        </w:rPr>
        <w:t>historien</w:t>
      </w:r>
      <w:r>
        <w:rPr>
          <w:rFonts w:eastAsia="Courier New"/>
          <w:sz w:val="24"/>
        </w:rPr>
        <w:t xml:space="preserve"> [</w:t>
      </w:r>
      <w:r w:rsidRPr="003B18D6">
        <w:rPr>
          <w:rFonts w:eastAsia="Courier New"/>
          <w:sz w:val="24"/>
        </w:rPr>
        <w:t>833</w:t>
      </w:r>
      <w:r>
        <w:rPr>
          <w:rFonts w:eastAsia="Courier New"/>
          <w:sz w:val="24"/>
        </w:rPr>
        <w:t>]</w:t>
      </w:r>
    </w:p>
    <w:p w14:paraId="30B9B4C1" w14:textId="77777777" w:rsidR="00B9662D" w:rsidRPr="003B18D6" w:rsidRDefault="00B9662D" w:rsidP="00B9662D">
      <w:pPr>
        <w:spacing w:before="60" w:after="60"/>
        <w:ind w:left="540" w:hanging="540"/>
        <w:jc w:val="both"/>
        <w:rPr>
          <w:rFonts w:eastAsia="Courier New"/>
          <w:sz w:val="24"/>
        </w:rPr>
      </w:pPr>
      <w:r>
        <w:rPr>
          <w:rFonts w:eastAsia="Courier New"/>
          <w:sz w:val="24"/>
        </w:rPr>
        <w:t>V.</w:t>
      </w:r>
      <w:r>
        <w:rPr>
          <w:rFonts w:eastAsia="Courier New"/>
          <w:sz w:val="24"/>
        </w:rPr>
        <w:tab/>
      </w:r>
      <w:r w:rsidRPr="003B18D6">
        <w:rPr>
          <w:rFonts w:eastAsia="Courier New"/>
          <w:sz w:val="24"/>
        </w:rPr>
        <w:t xml:space="preserve">Le problème de l’or au Moyen </w:t>
      </w:r>
      <w:r>
        <w:rPr>
          <w:rFonts w:eastAsia="Courier New"/>
          <w:sz w:val="24"/>
        </w:rPr>
        <w:t>Â</w:t>
      </w:r>
      <w:r w:rsidRPr="003B18D6">
        <w:rPr>
          <w:rFonts w:eastAsia="Courier New"/>
          <w:sz w:val="24"/>
        </w:rPr>
        <w:t>ge</w:t>
      </w:r>
      <w:r>
        <w:rPr>
          <w:rFonts w:eastAsia="Courier New"/>
          <w:sz w:val="24"/>
        </w:rPr>
        <w:t xml:space="preserve"> [</w:t>
      </w:r>
      <w:r w:rsidRPr="003B18D6">
        <w:rPr>
          <w:rFonts w:eastAsia="Courier New"/>
          <w:sz w:val="24"/>
        </w:rPr>
        <w:t>839</w:t>
      </w:r>
      <w:r>
        <w:rPr>
          <w:rFonts w:eastAsia="Courier New"/>
          <w:sz w:val="24"/>
        </w:rPr>
        <w:t>]</w:t>
      </w:r>
    </w:p>
    <w:p w14:paraId="5F581964" w14:textId="77777777" w:rsidR="00B9662D" w:rsidRPr="003B18D6" w:rsidRDefault="00B9662D" w:rsidP="00B9662D">
      <w:pPr>
        <w:spacing w:before="60" w:after="60"/>
        <w:ind w:left="540" w:hanging="540"/>
        <w:jc w:val="both"/>
        <w:rPr>
          <w:rFonts w:eastAsia="Courier New"/>
          <w:sz w:val="24"/>
        </w:rPr>
      </w:pPr>
      <w:r>
        <w:rPr>
          <w:rFonts w:eastAsia="Courier New"/>
          <w:sz w:val="24"/>
        </w:rPr>
        <w:t>VI.</w:t>
      </w:r>
      <w:r>
        <w:rPr>
          <w:rFonts w:eastAsia="Courier New"/>
          <w:sz w:val="24"/>
        </w:rPr>
        <w:tab/>
      </w:r>
      <w:r w:rsidRPr="003B18D6">
        <w:rPr>
          <w:rFonts w:eastAsia="Courier New"/>
          <w:sz w:val="24"/>
        </w:rPr>
        <w:t>Économie-nature ou économie-argent</w:t>
      </w:r>
      <w:r>
        <w:rPr>
          <w:rFonts w:eastAsia="Courier New"/>
          <w:sz w:val="24"/>
        </w:rPr>
        <w:t xml:space="preserve"> [</w:t>
      </w:r>
      <w:r w:rsidRPr="003B18D6">
        <w:rPr>
          <w:rFonts w:eastAsia="Courier New"/>
          <w:sz w:val="24"/>
        </w:rPr>
        <w:t>868</w:t>
      </w:r>
      <w:r>
        <w:rPr>
          <w:rFonts w:eastAsia="Courier New"/>
          <w:sz w:val="24"/>
        </w:rPr>
        <w:t>]</w:t>
      </w:r>
    </w:p>
    <w:p w14:paraId="51D303E5" w14:textId="77777777" w:rsidR="00B9662D" w:rsidRPr="003B18D6" w:rsidRDefault="00B9662D" w:rsidP="00B9662D">
      <w:pPr>
        <w:spacing w:before="60" w:after="60"/>
        <w:ind w:left="540" w:hanging="540"/>
        <w:jc w:val="both"/>
        <w:rPr>
          <w:rFonts w:eastAsia="Courier New"/>
          <w:sz w:val="24"/>
        </w:rPr>
      </w:pPr>
      <w:r>
        <w:rPr>
          <w:rFonts w:eastAsia="Courier New"/>
          <w:sz w:val="24"/>
        </w:rPr>
        <w:t>VII.</w:t>
      </w:r>
      <w:r>
        <w:rPr>
          <w:rFonts w:eastAsia="Courier New"/>
          <w:sz w:val="24"/>
        </w:rPr>
        <w:tab/>
      </w:r>
      <w:r w:rsidRPr="003B18D6">
        <w:rPr>
          <w:rFonts w:eastAsia="Courier New"/>
          <w:sz w:val="24"/>
        </w:rPr>
        <w:t>L’histoire des prix : quelques remarques critiques</w:t>
      </w:r>
      <w:r>
        <w:rPr>
          <w:rFonts w:eastAsia="Courier New"/>
          <w:sz w:val="24"/>
        </w:rPr>
        <w:t xml:space="preserve"> [</w:t>
      </w:r>
      <w:r w:rsidRPr="003B18D6">
        <w:rPr>
          <w:rFonts w:eastAsia="Courier New"/>
          <w:sz w:val="24"/>
        </w:rPr>
        <w:t>878</w:t>
      </w:r>
      <w:r>
        <w:rPr>
          <w:rFonts w:eastAsia="Courier New"/>
          <w:sz w:val="24"/>
        </w:rPr>
        <w:t>]</w:t>
      </w:r>
    </w:p>
    <w:p w14:paraId="2749379E" w14:textId="77777777" w:rsidR="00B9662D" w:rsidRPr="003B18D6" w:rsidRDefault="00B9662D" w:rsidP="00B9662D">
      <w:pPr>
        <w:spacing w:before="60" w:after="60"/>
        <w:ind w:left="540" w:hanging="540"/>
        <w:jc w:val="both"/>
        <w:rPr>
          <w:rFonts w:eastAsia="Courier New"/>
          <w:sz w:val="24"/>
        </w:rPr>
      </w:pPr>
      <w:r>
        <w:rPr>
          <w:rFonts w:eastAsia="Courier New"/>
          <w:sz w:val="24"/>
        </w:rPr>
        <w:t>VIII.</w:t>
      </w:r>
      <w:r>
        <w:rPr>
          <w:rFonts w:eastAsia="Courier New"/>
          <w:sz w:val="24"/>
        </w:rPr>
        <w:tab/>
      </w:r>
      <w:r w:rsidRPr="003B18D6">
        <w:rPr>
          <w:rFonts w:eastAsia="Courier New"/>
          <w:sz w:val="24"/>
        </w:rPr>
        <w:t>Le salaire et les fluctuations économiques</w:t>
      </w:r>
      <w:r>
        <w:rPr>
          <w:rFonts w:eastAsia="Courier New"/>
          <w:sz w:val="24"/>
        </w:rPr>
        <w:t xml:space="preserve"> </w:t>
      </w:r>
      <w:r w:rsidRPr="003B18D6">
        <w:rPr>
          <w:rFonts w:eastAsia="Courier New"/>
          <w:sz w:val="24"/>
        </w:rPr>
        <w:t>à longue</w:t>
      </w:r>
      <w:r>
        <w:rPr>
          <w:rFonts w:eastAsia="Courier New"/>
          <w:sz w:val="24"/>
        </w:rPr>
        <w:t xml:space="preserve"> </w:t>
      </w:r>
      <w:r w:rsidRPr="003B18D6">
        <w:rPr>
          <w:rFonts w:eastAsia="Courier New"/>
          <w:sz w:val="24"/>
        </w:rPr>
        <w:t>période</w:t>
      </w:r>
      <w:r>
        <w:rPr>
          <w:rFonts w:eastAsia="Courier New"/>
          <w:sz w:val="24"/>
        </w:rPr>
        <w:t xml:space="preserve"> [</w:t>
      </w:r>
      <w:r w:rsidRPr="003B18D6">
        <w:rPr>
          <w:rFonts w:eastAsia="Courier New"/>
          <w:sz w:val="24"/>
        </w:rPr>
        <w:t>890</w:t>
      </w:r>
      <w:r>
        <w:rPr>
          <w:rFonts w:eastAsia="Courier New"/>
          <w:sz w:val="24"/>
        </w:rPr>
        <w:t>]</w:t>
      </w:r>
    </w:p>
    <w:p w14:paraId="3EE7708E" w14:textId="77777777" w:rsidR="00B9662D" w:rsidRPr="003B18D6" w:rsidRDefault="00B9662D" w:rsidP="00B9662D">
      <w:pPr>
        <w:spacing w:before="60" w:after="60"/>
        <w:ind w:firstLine="0"/>
        <w:jc w:val="both"/>
        <w:rPr>
          <w:rFonts w:eastAsia="Courier New"/>
          <w:sz w:val="24"/>
        </w:rPr>
      </w:pPr>
      <w:r w:rsidRPr="003B18D6">
        <w:rPr>
          <w:rFonts w:eastAsia="Courier New"/>
          <w:sz w:val="24"/>
        </w:rPr>
        <w:t xml:space="preserve"> </w:t>
      </w:r>
    </w:p>
    <w:p w14:paraId="4FD5CE5A" w14:textId="77777777" w:rsidR="00B9662D" w:rsidRPr="00FC4528" w:rsidRDefault="00B9662D" w:rsidP="00B9662D">
      <w:pPr>
        <w:spacing w:before="60" w:after="60"/>
        <w:ind w:firstLine="0"/>
        <w:jc w:val="center"/>
        <w:rPr>
          <w:rFonts w:eastAsia="Courier New"/>
          <w:b/>
          <w:sz w:val="24"/>
        </w:rPr>
      </w:pPr>
      <w:r w:rsidRPr="00FC4528">
        <w:rPr>
          <w:rFonts w:eastAsia="Courier New"/>
          <w:b/>
          <w:sz w:val="24"/>
        </w:rPr>
        <w:t>Neuvième Partie</w:t>
      </w:r>
    </w:p>
    <w:p w14:paraId="585A3992" w14:textId="77777777" w:rsidR="00B9662D" w:rsidRPr="003B18D6" w:rsidRDefault="00B9662D" w:rsidP="00B9662D">
      <w:pPr>
        <w:spacing w:before="60" w:after="60"/>
        <w:ind w:firstLine="0"/>
        <w:jc w:val="center"/>
        <w:rPr>
          <w:rFonts w:eastAsia="Courier New"/>
          <w:sz w:val="24"/>
        </w:rPr>
      </w:pPr>
      <w:r w:rsidRPr="003B18D6">
        <w:rPr>
          <w:rFonts w:eastAsia="Courier New"/>
          <w:sz w:val="24"/>
        </w:rPr>
        <w:t>ASPECTS DE LA MENTALITÉ MÉDIÉVALE</w:t>
      </w:r>
      <w:r>
        <w:rPr>
          <w:rFonts w:eastAsia="Courier New"/>
          <w:sz w:val="24"/>
        </w:rPr>
        <w:t xml:space="preserve"> [915]</w:t>
      </w:r>
    </w:p>
    <w:p w14:paraId="185F7EF1" w14:textId="77777777" w:rsidR="00B9662D" w:rsidRDefault="00B9662D" w:rsidP="00B9662D">
      <w:pPr>
        <w:spacing w:before="60" w:after="60"/>
        <w:ind w:firstLine="0"/>
        <w:jc w:val="both"/>
        <w:rPr>
          <w:rFonts w:eastAsia="Courier New"/>
          <w:sz w:val="24"/>
        </w:rPr>
      </w:pPr>
    </w:p>
    <w:p w14:paraId="2295A26B"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I.</w:t>
      </w:r>
      <w:r>
        <w:rPr>
          <w:rFonts w:eastAsia="Courier New"/>
          <w:sz w:val="24"/>
        </w:rPr>
        <w:tab/>
      </w:r>
      <w:r w:rsidRPr="003B18D6">
        <w:rPr>
          <w:rFonts w:eastAsia="Courier New"/>
          <w:sz w:val="24"/>
        </w:rPr>
        <w:t>Les vicissitudes d’une statue équestre</w:t>
      </w:r>
      <w:r>
        <w:rPr>
          <w:rFonts w:eastAsia="Courier New"/>
          <w:sz w:val="24"/>
        </w:rPr>
        <w:t xml:space="preserve"> [</w:t>
      </w:r>
      <w:r w:rsidRPr="003B18D6">
        <w:rPr>
          <w:rFonts w:eastAsia="Courier New"/>
          <w:sz w:val="24"/>
        </w:rPr>
        <w:t>917</w:t>
      </w:r>
      <w:r>
        <w:rPr>
          <w:rFonts w:eastAsia="Courier New"/>
          <w:sz w:val="24"/>
        </w:rPr>
        <w:t>]</w:t>
      </w:r>
    </w:p>
    <w:p w14:paraId="6184A58E" w14:textId="77777777" w:rsidR="00B9662D" w:rsidRPr="003B18D6" w:rsidRDefault="00B9662D" w:rsidP="00B9662D">
      <w:pPr>
        <w:spacing w:before="60" w:after="60"/>
        <w:ind w:left="540" w:hanging="540"/>
        <w:jc w:val="both"/>
        <w:rPr>
          <w:rFonts w:eastAsia="Courier New"/>
          <w:sz w:val="24"/>
        </w:rPr>
      </w:pPr>
      <w:r>
        <w:rPr>
          <w:rFonts w:eastAsia="Courier New"/>
          <w:sz w:val="24"/>
        </w:rPr>
        <w:t>II.</w:t>
      </w:r>
      <w:r>
        <w:rPr>
          <w:rFonts w:eastAsia="Courier New"/>
          <w:sz w:val="24"/>
        </w:rPr>
        <w:tab/>
      </w:r>
      <w:r w:rsidRPr="003B18D6">
        <w:rPr>
          <w:rFonts w:eastAsia="Courier New"/>
          <w:sz w:val="24"/>
        </w:rPr>
        <w:t>La vie d’outre-tombe du roi Salomon</w:t>
      </w:r>
      <w:r>
        <w:rPr>
          <w:rFonts w:eastAsia="Courier New"/>
          <w:sz w:val="24"/>
        </w:rPr>
        <w:t xml:space="preserve"> [</w:t>
      </w:r>
      <w:r w:rsidRPr="003B18D6">
        <w:rPr>
          <w:rFonts w:eastAsia="Courier New"/>
          <w:sz w:val="24"/>
        </w:rPr>
        <w:t>920</w:t>
      </w:r>
      <w:r>
        <w:rPr>
          <w:rFonts w:eastAsia="Courier New"/>
          <w:sz w:val="24"/>
        </w:rPr>
        <w:t>]</w:t>
      </w:r>
    </w:p>
    <w:p w14:paraId="38D02BC0" w14:textId="77777777" w:rsidR="00B9662D" w:rsidRPr="003B18D6" w:rsidRDefault="00B9662D" w:rsidP="00B9662D">
      <w:pPr>
        <w:spacing w:before="60" w:after="60"/>
        <w:ind w:left="540" w:hanging="540"/>
        <w:jc w:val="both"/>
        <w:rPr>
          <w:rFonts w:eastAsia="Courier New"/>
          <w:sz w:val="24"/>
        </w:rPr>
      </w:pPr>
      <w:r>
        <w:rPr>
          <w:rFonts w:eastAsia="Courier New"/>
          <w:sz w:val="24"/>
        </w:rPr>
        <w:t>III.</w:t>
      </w:r>
      <w:r>
        <w:rPr>
          <w:rFonts w:eastAsia="Courier New"/>
          <w:sz w:val="24"/>
        </w:rPr>
        <w:tab/>
      </w:r>
      <w:r w:rsidRPr="003B18D6">
        <w:rPr>
          <w:rFonts w:eastAsia="Courier New"/>
          <w:sz w:val="24"/>
        </w:rPr>
        <w:t>Saint Martin de T</w:t>
      </w:r>
      <w:r>
        <w:rPr>
          <w:rFonts w:eastAsia="Courier New"/>
          <w:sz w:val="24"/>
        </w:rPr>
        <w:t>ours : à propos d’une polémique [</w:t>
      </w:r>
      <w:r w:rsidRPr="003B18D6">
        <w:rPr>
          <w:rFonts w:eastAsia="Courier New"/>
          <w:sz w:val="24"/>
        </w:rPr>
        <w:t>939</w:t>
      </w:r>
      <w:r>
        <w:rPr>
          <w:rFonts w:eastAsia="Courier New"/>
          <w:sz w:val="24"/>
        </w:rPr>
        <w:t>]</w:t>
      </w:r>
    </w:p>
    <w:p w14:paraId="252B458F" w14:textId="77777777" w:rsidR="00B9662D" w:rsidRPr="003B18D6" w:rsidRDefault="00B9662D" w:rsidP="00B9662D">
      <w:pPr>
        <w:spacing w:before="60" w:after="60"/>
        <w:ind w:left="540" w:hanging="540"/>
        <w:jc w:val="both"/>
        <w:rPr>
          <w:rFonts w:eastAsia="Courier New"/>
          <w:sz w:val="24"/>
        </w:rPr>
      </w:pPr>
      <w:r>
        <w:rPr>
          <w:rFonts w:eastAsia="Courier New"/>
          <w:sz w:val="24"/>
        </w:rPr>
        <w:t>IV.</w:t>
      </w:r>
      <w:r>
        <w:rPr>
          <w:rFonts w:eastAsia="Courier New"/>
          <w:sz w:val="24"/>
        </w:rPr>
        <w:tab/>
      </w:r>
      <w:r w:rsidRPr="003B18D6">
        <w:rPr>
          <w:rFonts w:eastAsia="Courier New"/>
          <w:sz w:val="24"/>
        </w:rPr>
        <w:t>La vie de saint Édouard le Co</w:t>
      </w:r>
      <w:r>
        <w:rPr>
          <w:rFonts w:eastAsia="Courier New"/>
          <w:sz w:val="24"/>
        </w:rPr>
        <w:t>nfesseur, par Osbert de Clare [</w:t>
      </w:r>
      <w:r w:rsidRPr="003B18D6">
        <w:rPr>
          <w:rFonts w:eastAsia="Courier New"/>
          <w:sz w:val="24"/>
        </w:rPr>
        <w:t>948</w:t>
      </w:r>
      <w:r>
        <w:rPr>
          <w:rFonts w:eastAsia="Courier New"/>
          <w:sz w:val="24"/>
        </w:rPr>
        <w:t>]</w:t>
      </w:r>
    </w:p>
    <w:p w14:paraId="08184C81" w14:textId="77777777" w:rsidR="00B9662D" w:rsidRDefault="00B9662D" w:rsidP="00B9662D">
      <w:pPr>
        <w:spacing w:before="60" w:after="60"/>
        <w:ind w:left="540" w:hanging="540"/>
        <w:jc w:val="both"/>
        <w:rPr>
          <w:rFonts w:eastAsia="Courier New"/>
          <w:sz w:val="24"/>
        </w:rPr>
      </w:pPr>
    </w:p>
    <w:p w14:paraId="273BA444" w14:textId="77777777" w:rsidR="00B9662D" w:rsidRPr="003B18D6" w:rsidRDefault="00B9662D" w:rsidP="00B9662D">
      <w:pPr>
        <w:spacing w:before="60" w:after="60"/>
        <w:ind w:left="540" w:hanging="540"/>
        <w:jc w:val="both"/>
        <w:rPr>
          <w:rFonts w:eastAsia="Courier New"/>
          <w:sz w:val="24"/>
        </w:rPr>
      </w:pPr>
      <w:r w:rsidRPr="003B18D6">
        <w:rPr>
          <w:rFonts w:eastAsia="Courier New"/>
          <w:sz w:val="24"/>
        </w:rPr>
        <w:t>Bibliographie</w:t>
      </w:r>
      <w:r>
        <w:rPr>
          <w:rFonts w:eastAsia="Courier New"/>
          <w:sz w:val="24"/>
        </w:rPr>
        <w:t xml:space="preserve"> [</w:t>
      </w:r>
      <w:r w:rsidRPr="003B18D6">
        <w:rPr>
          <w:rFonts w:eastAsia="Courier New"/>
          <w:sz w:val="24"/>
        </w:rPr>
        <w:t>1031</w:t>
      </w:r>
      <w:r>
        <w:rPr>
          <w:rFonts w:eastAsia="Courier New"/>
          <w:sz w:val="24"/>
        </w:rPr>
        <w:t>]</w:t>
      </w:r>
    </w:p>
    <w:p w14:paraId="36198F68" w14:textId="77777777" w:rsidR="00B9662D" w:rsidRDefault="00B9662D" w:rsidP="00B9662D">
      <w:pPr>
        <w:spacing w:before="120" w:after="120"/>
        <w:ind w:firstLine="0"/>
        <w:jc w:val="both"/>
        <w:rPr>
          <w:rFonts w:eastAsia="Courier New"/>
        </w:rPr>
      </w:pPr>
    </w:p>
    <w:p w14:paraId="0D9F664C" w14:textId="77777777" w:rsidR="00B9662D" w:rsidRDefault="00B9662D" w:rsidP="00B9662D">
      <w:pPr>
        <w:spacing w:before="120" w:after="120"/>
        <w:jc w:val="both"/>
      </w:pPr>
      <w:r w:rsidRPr="00567DC5">
        <w:br w:type="page"/>
      </w:r>
    </w:p>
    <w:p w14:paraId="37241919" w14:textId="77777777" w:rsidR="00B9662D" w:rsidRDefault="00B9662D" w:rsidP="00B9662D">
      <w:pPr>
        <w:spacing w:before="120" w:after="120"/>
        <w:jc w:val="both"/>
      </w:pPr>
    </w:p>
    <w:p w14:paraId="7EE3A35A" w14:textId="77777777" w:rsidR="00B9662D" w:rsidRDefault="00B9662D" w:rsidP="00B9662D">
      <w:pPr>
        <w:spacing w:before="120" w:after="120"/>
        <w:jc w:val="both"/>
      </w:pPr>
    </w:p>
    <w:p w14:paraId="7DFEBAA3" w14:textId="77777777" w:rsidR="00B9662D" w:rsidRDefault="00B9662D" w:rsidP="00B9662D">
      <w:pPr>
        <w:spacing w:before="120" w:after="120"/>
        <w:jc w:val="both"/>
      </w:pPr>
    </w:p>
    <w:p w14:paraId="304B04AA" w14:textId="77777777" w:rsidR="00B9662D" w:rsidRDefault="00B9662D" w:rsidP="00B9662D">
      <w:pPr>
        <w:spacing w:before="120" w:after="120"/>
        <w:jc w:val="both"/>
      </w:pPr>
    </w:p>
    <w:p w14:paraId="48FEB491" w14:textId="77777777" w:rsidR="00B9662D" w:rsidRDefault="00B9662D" w:rsidP="00B9662D">
      <w:pPr>
        <w:spacing w:before="120" w:after="120"/>
        <w:jc w:val="both"/>
        <w:rPr>
          <w:rFonts w:eastAsia="Courier New"/>
        </w:rPr>
      </w:pPr>
    </w:p>
    <w:p w14:paraId="6E61EB1A" w14:textId="77777777" w:rsidR="00B9662D" w:rsidRPr="00E82DB1" w:rsidRDefault="00B9662D" w:rsidP="00B9662D">
      <w:pPr>
        <w:spacing w:before="120" w:after="120"/>
        <w:ind w:left="1260" w:right="1260" w:firstLine="0"/>
        <w:jc w:val="both"/>
        <w:rPr>
          <w:sz w:val="36"/>
        </w:rPr>
      </w:pPr>
      <w:r w:rsidRPr="00E82DB1">
        <w:rPr>
          <w:rFonts w:eastAsia="Courier New"/>
          <w:sz w:val="36"/>
        </w:rPr>
        <w:t xml:space="preserve">ACHEVÉ D’IMPRIMER SUR LES </w:t>
      </w:r>
      <w:r w:rsidRPr="00E82DB1">
        <w:rPr>
          <w:sz w:val="36"/>
        </w:rPr>
        <w:t xml:space="preserve">PRESSES DE L’IMPRIMERIE DARANTIÈRE </w:t>
      </w:r>
      <w:r>
        <w:rPr>
          <w:sz w:val="36"/>
        </w:rPr>
        <w:t>À DIJON, LE VINGT JUIN MCM</w:t>
      </w:r>
      <w:r w:rsidRPr="00E82DB1">
        <w:rPr>
          <w:sz w:val="36"/>
        </w:rPr>
        <w:t>LXIII</w:t>
      </w:r>
    </w:p>
    <w:p w14:paraId="3D8528C6" w14:textId="77777777" w:rsidR="00B9662D" w:rsidRDefault="00B9662D" w:rsidP="00B9662D">
      <w:pPr>
        <w:spacing w:before="120" w:after="120"/>
        <w:jc w:val="both"/>
        <w:rPr>
          <w:lang w:eastAsia="fr-FR" w:bidi="fr-FR"/>
        </w:rPr>
      </w:pPr>
    </w:p>
    <w:p w14:paraId="387A1629" w14:textId="77777777" w:rsidR="00B9662D" w:rsidRPr="007422C9" w:rsidRDefault="00B9662D" w:rsidP="00B9662D">
      <w:pPr>
        <w:spacing w:before="120" w:after="120"/>
        <w:jc w:val="both"/>
      </w:pPr>
    </w:p>
    <w:p w14:paraId="3EB101C1" w14:textId="77777777" w:rsidR="00B9662D" w:rsidRPr="000F765B" w:rsidRDefault="00B9662D" w:rsidP="00B9662D">
      <w:pPr>
        <w:spacing w:before="120" w:after="120"/>
        <w:jc w:val="both"/>
      </w:pPr>
    </w:p>
    <w:p w14:paraId="279D214E" w14:textId="77777777" w:rsidR="00B9662D" w:rsidRPr="00246AE4" w:rsidRDefault="00B9662D" w:rsidP="00B9662D">
      <w:pPr>
        <w:spacing w:before="120" w:after="120"/>
        <w:jc w:val="both"/>
      </w:pPr>
    </w:p>
    <w:p w14:paraId="52137F28" w14:textId="77777777" w:rsidR="00B9662D" w:rsidRPr="004F2805" w:rsidRDefault="00B9662D" w:rsidP="00B9662D">
      <w:pPr>
        <w:spacing w:before="120" w:after="120"/>
        <w:jc w:val="both"/>
      </w:pPr>
    </w:p>
    <w:p w14:paraId="510208DB" w14:textId="77777777" w:rsidR="00B9662D" w:rsidRPr="00001A26" w:rsidRDefault="00B9662D" w:rsidP="00B9662D"/>
    <w:sectPr w:rsidR="00B9662D" w:rsidRPr="00001A26" w:rsidSect="00B9662D">
      <w:headerReference w:type="default" r:id="rId19"/>
      <w:pgSz w:w="12240" w:h="15840"/>
      <w:pgMar w:top="1800" w:right="1440" w:bottom="1440" w:left="2160" w:header="720" w:footer="720" w:gutter="72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FC4CCD" w14:textId="77777777" w:rsidR="00B8094E" w:rsidRDefault="00B8094E">
      <w:r>
        <w:separator/>
      </w:r>
    </w:p>
  </w:endnote>
  <w:endnote w:type="continuationSeparator" w:id="0">
    <w:p w14:paraId="2359CC6C" w14:textId="77777777" w:rsidR="00B8094E" w:rsidRDefault="00B80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illSans">
    <w:panose1 w:val="020B0502020104020203"/>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B Times Bold">
    <w:panose1 w:val="020B060402020202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AppleGothic">
    <w:panose1 w:val="00000000000000000000"/>
    <w:charset w:val="81"/>
    <w:family w:val="auto"/>
    <w:pitch w:val="variable"/>
    <w:sig w:usb0="00000001" w:usb1="09060000" w:usb2="00000010" w:usb3="00000000" w:csb0="00280001" w:csb1="00000000"/>
  </w:font>
  <w:font w:name="Menlo Regular">
    <w:panose1 w:val="020B0609030804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A18F9" w14:textId="77777777" w:rsidR="00B8094E" w:rsidRDefault="00B8094E">
      <w:pPr>
        <w:ind w:firstLine="0"/>
      </w:pPr>
      <w:r>
        <w:separator/>
      </w:r>
    </w:p>
  </w:footnote>
  <w:footnote w:type="continuationSeparator" w:id="0">
    <w:p w14:paraId="7FBCA017" w14:textId="77777777" w:rsidR="00B8094E" w:rsidRDefault="00B8094E">
      <w:pPr>
        <w:ind w:firstLine="0"/>
      </w:pPr>
      <w:r>
        <w:separator/>
      </w:r>
    </w:p>
  </w:footnote>
  <w:footnote w:id="1">
    <w:p w14:paraId="1D72E826"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Cet article intitulé « Cerny ou Serin ? » a paru dans </w:t>
      </w:r>
      <w:r w:rsidRPr="003B3476">
        <w:rPr>
          <w:i/>
        </w:rPr>
        <w:t>A</w:t>
      </w:r>
      <w:r w:rsidRPr="003B3476">
        <w:rPr>
          <w:rFonts w:eastAsia="Courier New"/>
          <w:bCs/>
          <w:i/>
        </w:rPr>
        <w:t>nnales de la Société hi</w:t>
      </w:r>
      <w:r w:rsidRPr="003B3476">
        <w:rPr>
          <w:rFonts w:eastAsia="Courier New"/>
          <w:bCs/>
          <w:i/>
        </w:rPr>
        <w:t>s</w:t>
      </w:r>
      <w:r w:rsidRPr="003B3476">
        <w:rPr>
          <w:rFonts w:eastAsia="Courier New"/>
          <w:bCs/>
          <w:i/>
        </w:rPr>
        <w:t>torique et archéologique du Gâtinais</w:t>
      </w:r>
      <w:r w:rsidRPr="003B3476">
        <w:t>, XXV (1912), pp. 157-160.</w:t>
      </w:r>
    </w:p>
  </w:footnote>
  <w:footnote w:id="2">
    <w:p w14:paraId="5C40AFE7" w14:textId="77777777" w:rsidR="00B9662D" w:rsidRPr="003B3476" w:rsidRDefault="00B9662D" w:rsidP="00B9662D">
      <w:pPr>
        <w:pStyle w:val="Notedebasdepage"/>
      </w:pPr>
      <w:r w:rsidRPr="003B3476">
        <w:rPr>
          <w:rStyle w:val="Appelnotedebasdep"/>
        </w:rPr>
        <w:t>*</w:t>
      </w:r>
      <w:r w:rsidRPr="003B3476">
        <w:t xml:space="preserve"> </w:t>
      </w:r>
      <w:r w:rsidRPr="003B3476">
        <w:tab/>
        <w:t>Note des CSS : Livre disponible dans Les classiques des sciences sociales :</w:t>
      </w:r>
      <w:r w:rsidRPr="003B3476">
        <w:br/>
      </w:r>
      <w:hyperlink r:id="rId1" w:history="1">
        <w:r w:rsidRPr="003B3476">
          <w:rPr>
            <w:rStyle w:val="Hyperlien"/>
          </w:rPr>
          <w:t>https://classiques.uqam.ca/classiques/bloch_marc/rois_thaumaturges/rois_thaumaturges.html</w:t>
        </w:r>
      </w:hyperlink>
      <w:r w:rsidRPr="003B3476">
        <w:t xml:space="preserve"> </w:t>
      </w:r>
    </w:p>
  </w:footnote>
  <w:footnote w:id="3">
    <w:p w14:paraId="38A9104D" w14:textId="77777777" w:rsidR="00B9662D" w:rsidRPr="003B3476" w:rsidRDefault="00B9662D">
      <w:pPr>
        <w:pStyle w:val="Notedebasdepage"/>
      </w:pPr>
      <w:r w:rsidRPr="003B3476">
        <w:rPr>
          <w:rStyle w:val="Appelnotedebasdep"/>
        </w:rPr>
        <w:footnoteRef/>
      </w:r>
      <w:r w:rsidRPr="003B3476">
        <w:t xml:space="preserve"> </w:t>
      </w:r>
      <w:r w:rsidRPr="003B3476">
        <w:tab/>
      </w:r>
      <w:r w:rsidRPr="003B3476">
        <w:rPr>
          <w:i/>
        </w:rPr>
        <w:t>Annales d’Histoire Économique et Sociale</w:t>
      </w:r>
      <w:r w:rsidRPr="003B3476">
        <w:t>, 1929, pp. 60-70</w:t>
      </w:r>
    </w:p>
  </w:footnote>
  <w:footnote w:id="4">
    <w:p w14:paraId="48E33C9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Art. 130. </w:t>
      </w:r>
      <w:r w:rsidRPr="003B3476">
        <w:rPr>
          <w:bCs/>
          <w:i/>
        </w:rPr>
        <w:t>Cf.</w:t>
      </w:r>
      <w:r w:rsidRPr="003B3476">
        <w:rPr>
          <w:bCs/>
        </w:rPr>
        <w:t>,</w:t>
      </w:r>
      <w:r w:rsidRPr="003B3476">
        <w:rPr>
          <w:lang w:val="fr-FR" w:eastAsia="fr-FR" w:bidi="fr-FR"/>
        </w:rPr>
        <w:t xml:space="preserve"> pour des précisions de détail, les articles suivants. On remarqu</w:t>
      </w:r>
      <w:r w:rsidRPr="003B3476">
        <w:rPr>
          <w:lang w:val="fr-FR" w:eastAsia="fr-FR" w:bidi="fr-FR"/>
        </w:rPr>
        <w:t>e</w:t>
      </w:r>
      <w:r w:rsidRPr="003B3476">
        <w:rPr>
          <w:lang w:val="fr-FR" w:eastAsia="fr-FR" w:bidi="fr-FR"/>
        </w:rPr>
        <w:t xml:space="preserve">ra les mots : « canton, triage ou lieu-dit ». Par ces mots et par beaucoup d’autres (on en trouvera quelques-uns énumérés dans F.-H.-V. </w:t>
      </w:r>
      <w:r w:rsidRPr="003B3476">
        <w:rPr>
          <w:rStyle w:val="Notedebasdepage65ptNonGras"/>
          <w:b w:val="0"/>
          <w:bCs w:val="0"/>
          <w:smallCaps/>
          <w:sz w:val="24"/>
        </w:rPr>
        <w:t>Noizet</w:t>
      </w:r>
      <w:r w:rsidRPr="003B3476">
        <w:rPr>
          <w:rStyle w:val="Notedebasdepage65ptNonGras"/>
          <w:b w:val="0"/>
          <w:bCs w:val="0"/>
          <w:sz w:val="24"/>
        </w:rPr>
        <w:t xml:space="preserve">, </w:t>
      </w:r>
      <w:r w:rsidRPr="003B3476">
        <w:rPr>
          <w:rStyle w:val="Notedebasdepage65ptNonGrasItalique"/>
          <w:b w:val="0"/>
          <w:bCs w:val="0"/>
          <w:sz w:val="24"/>
        </w:rPr>
        <w:t xml:space="preserve">Du </w:t>
      </w:r>
      <w:r w:rsidRPr="003B3476">
        <w:rPr>
          <w:bCs/>
          <w:i/>
        </w:rPr>
        <w:t>cadastre</w:t>
      </w:r>
      <w:r w:rsidRPr="003B3476">
        <w:rPr>
          <w:bCs/>
          <w:i/>
          <w:vertAlign w:val="subscript"/>
        </w:rPr>
        <w:t>,</w:t>
      </w:r>
      <w:r w:rsidRPr="003B3476">
        <w:rPr>
          <w:lang w:val="fr-FR" w:eastAsia="fr-FR" w:bidi="fr-FR"/>
        </w:rPr>
        <w:t xml:space="preserve"> 2</w:t>
      </w:r>
      <w:r w:rsidRPr="003B3476">
        <w:rPr>
          <w:vertAlign w:val="superscript"/>
          <w:lang w:val="fr-FR" w:eastAsia="fr-FR" w:bidi="fr-FR"/>
        </w:rPr>
        <w:t>e</w:t>
      </w:r>
      <w:r w:rsidRPr="003B3476">
        <w:rPr>
          <w:lang w:val="fr-FR" w:eastAsia="fr-FR" w:bidi="fr-FR"/>
        </w:rPr>
        <w:t xml:space="preserve"> éd., 1863, p. 10, n. 2), la langue rurale, dont la terminologie varie à l’extrême, désigne des groupes de parcelles, formant unité agraire et caract</w:t>
      </w:r>
      <w:r w:rsidRPr="003B3476">
        <w:rPr>
          <w:lang w:val="fr-FR" w:eastAsia="fr-FR" w:bidi="fr-FR"/>
        </w:rPr>
        <w:t>é</w:t>
      </w:r>
      <w:r w:rsidRPr="003B3476">
        <w:rPr>
          <w:lang w:val="fr-FR" w:eastAsia="fr-FR" w:bidi="fr-FR"/>
        </w:rPr>
        <w:t>r</w:t>
      </w:r>
      <w:r w:rsidRPr="003B3476">
        <w:rPr>
          <w:lang w:val="fr-FR" w:eastAsia="fr-FR" w:bidi="fr-FR"/>
        </w:rPr>
        <w:t>i</w:t>
      </w:r>
      <w:r w:rsidRPr="003B3476">
        <w:rPr>
          <w:lang w:val="fr-FR" w:eastAsia="fr-FR" w:bidi="fr-FR"/>
        </w:rPr>
        <w:t xml:space="preserve">sés, dans les pays de « champs ouverts », par une même direction de sillons (c’est le </w:t>
      </w:r>
      <w:r w:rsidRPr="003B3476">
        <w:rPr>
          <w:bCs/>
          <w:i/>
        </w:rPr>
        <w:t>Gewann</w:t>
      </w:r>
      <w:r w:rsidRPr="003B3476">
        <w:rPr>
          <w:lang w:val="fr-FR" w:eastAsia="fr-FR" w:bidi="fr-FR"/>
        </w:rPr>
        <w:t xml:space="preserve"> des historiens allemands). Dans les « campagnes » de la France du Nord, deux terres labourées, contiguës sur une partie de leur surface et appartenant au même propriétaire, seront toujours traitées comme deux pa</w:t>
      </w:r>
      <w:r w:rsidRPr="003B3476">
        <w:rPr>
          <w:lang w:val="fr-FR" w:eastAsia="fr-FR" w:bidi="fr-FR"/>
        </w:rPr>
        <w:t>r</w:t>
      </w:r>
      <w:r w:rsidRPr="003B3476">
        <w:rPr>
          <w:lang w:val="fr-FR" w:eastAsia="fr-FR" w:bidi="fr-FR"/>
        </w:rPr>
        <w:t>celles distinctes, si l’orientation des sillons y est différente.</w:t>
      </w:r>
    </w:p>
  </w:footnote>
  <w:footnote w:id="5">
    <w:p w14:paraId="5097D5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Nous avons déjà entre les mains des notices, très précises, sur l’Allemagne (par le Professeur Walter Vogel, de Berlin) et l’Angleterre (par le Professeur R. H. Tawney et le D</w:t>
      </w:r>
      <w:r w:rsidRPr="003B3476">
        <w:rPr>
          <w:vertAlign w:val="superscript"/>
          <w:lang w:val="fr-FR" w:eastAsia="fr-FR" w:bidi="fr-FR"/>
        </w:rPr>
        <w:t>r</w:t>
      </w:r>
      <w:r w:rsidRPr="003B3476">
        <w:rPr>
          <w:lang w:val="fr-FR" w:eastAsia="fr-FR" w:bidi="fr-FR"/>
        </w:rPr>
        <w:t xml:space="preserve"> Hubert Hall, de Londres) ; nous sommes en outre ass</w:t>
      </w:r>
      <w:r w:rsidRPr="003B3476">
        <w:rPr>
          <w:lang w:val="fr-FR" w:eastAsia="fr-FR" w:bidi="fr-FR"/>
        </w:rPr>
        <w:t>u</w:t>
      </w:r>
      <w:r w:rsidRPr="003B3476">
        <w:rPr>
          <w:lang w:val="fr-FR" w:eastAsia="fr-FR" w:bidi="fr-FR"/>
        </w:rPr>
        <w:t>rés de la collaboration de M. V. Černy, pour la Tchécoslovaquie.</w:t>
      </w:r>
    </w:p>
  </w:footnote>
  <w:footnote w:id="6">
    <w:p w14:paraId="6BD730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plans ont été à plusieurs reprises utilisés pour l’étude de la disposition des maisons et des rues, dans les « villes neuves » ou « bastides », créées de toute pièce au moment des grands défrichements : </w:t>
      </w:r>
      <w:r w:rsidRPr="003B3476">
        <w:rPr>
          <w:bCs/>
          <w:i/>
        </w:rPr>
        <w:t>cf.</w:t>
      </w:r>
      <w:r w:rsidRPr="003B3476">
        <w:rPr>
          <w:lang w:val="fr-FR" w:eastAsia="fr-FR" w:bidi="fr-FR"/>
        </w:rPr>
        <w:t xml:space="preserve"> P. </w:t>
      </w:r>
      <w:r w:rsidRPr="003B3476">
        <w:rPr>
          <w:rStyle w:val="Notedebasdepage65ptNonGras"/>
          <w:b w:val="0"/>
          <w:bCs w:val="0"/>
          <w:smallCaps/>
          <w:sz w:val="24"/>
        </w:rPr>
        <w:t>Lavedan</w:t>
      </w:r>
      <w:r w:rsidRPr="003B3476">
        <w:rPr>
          <w:rStyle w:val="Notedebasdepage65ptNonGras"/>
          <w:b w:val="0"/>
          <w:bCs w:val="0"/>
          <w:sz w:val="24"/>
        </w:rPr>
        <w:t xml:space="preserve">, </w:t>
      </w:r>
      <w:r w:rsidRPr="003B3476">
        <w:rPr>
          <w:bCs/>
          <w:i/>
        </w:rPr>
        <w:t>Histoire de l’architecture urbaine</w:t>
      </w:r>
      <w:r w:rsidRPr="003B3476">
        <w:rPr>
          <w:lang w:val="fr-FR" w:eastAsia="fr-FR" w:bidi="fr-FR"/>
        </w:rPr>
        <w:t xml:space="preserve"> et </w:t>
      </w:r>
      <w:r w:rsidRPr="003B3476">
        <w:rPr>
          <w:bCs/>
          <w:i/>
        </w:rPr>
        <w:t>Qu'est-ce que l’urbanisme </w:t>
      </w:r>
      <w:r w:rsidRPr="003B3476">
        <w:rPr>
          <w:bCs/>
        </w:rPr>
        <w:t xml:space="preserve">? </w:t>
      </w:r>
      <w:r w:rsidRPr="003B3476">
        <w:rPr>
          <w:lang w:val="fr-FR" w:eastAsia="fr-FR" w:bidi="fr-FR"/>
        </w:rPr>
        <w:t>1926. Mais, en France du moins, on a généralement négligé de pousser l’analyse jusqu’aux terroirs ruraux des nouveaux centres de peuplement. Sur ce point aussi, le plan parce</w:t>
      </w:r>
      <w:r w:rsidRPr="003B3476">
        <w:rPr>
          <w:lang w:val="fr-FR" w:eastAsia="fr-FR" w:bidi="fr-FR"/>
        </w:rPr>
        <w:t>l</w:t>
      </w:r>
      <w:r w:rsidRPr="003B3476">
        <w:rPr>
          <w:lang w:val="fr-FR" w:eastAsia="fr-FR" w:bidi="fr-FR"/>
        </w:rPr>
        <w:t>laire aurait son mot à dire. Un des cas les plus curieux que révèle le plan c</w:t>
      </w:r>
      <w:r w:rsidRPr="003B3476">
        <w:rPr>
          <w:lang w:val="fr-FR" w:eastAsia="fr-FR" w:bidi="fr-FR"/>
        </w:rPr>
        <w:t>a</w:t>
      </w:r>
      <w:r w:rsidRPr="003B3476">
        <w:rPr>
          <w:lang w:val="fr-FR" w:eastAsia="fr-FR" w:bidi="fr-FR"/>
        </w:rPr>
        <w:t>dastral est celui de Sauveterre (Gironde, arr. La Réole), bastide fondée en 1281, qui n’a pas de terroir, la commune se limitant à la ville et tous les champs se trouvant situés dans les communes voisines.</w:t>
      </w:r>
    </w:p>
  </w:footnote>
  <w:footnote w:id="7">
    <w:p w14:paraId="396866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Archives de Seine-et-Oise, série D, fonds de Saint-Cyr : interprété à l’aide du terrier, et des renseignements sur les personnes fournis par Maxime </w:t>
      </w:r>
      <w:r w:rsidRPr="003B3476">
        <w:rPr>
          <w:rStyle w:val="Notedebasdepage65ptNonGras"/>
          <w:b w:val="0"/>
          <w:bCs w:val="0"/>
          <w:smallCaps/>
          <w:sz w:val="24"/>
        </w:rPr>
        <w:t>Legrand</w:t>
      </w:r>
      <w:r w:rsidRPr="003B3476">
        <w:rPr>
          <w:rStyle w:val="Notedebasdepage65ptNonGras"/>
          <w:b w:val="0"/>
          <w:bCs w:val="0"/>
          <w:sz w:val="24"/>
        </w:rPr>
        <w:t xml:space="preserve">, </w:t>
      </w:r>
      <w:r w:rsidRPr="003B3476">
        <w:rPr>
          <w:bCs/>
          <w:i/>
        </w:rPr>
        <w:t>Étampes pittoresques. L'arrondissement</w:t>
      </w:r>
      <w:r w:rsidRPr="003B3476">
        <w:rPr>
          <w:lang w:val="fr-FR" w:eastAsia="fr-FR" w:bidi="fr-FR"/>
        </w:rPr>
        <w:t>, t. I, 1902, p. 451. Monnerville, Se</w:t>
      </w:r>
      <w:r w:rsidRPr="003B3476">
        <w:rPr>
          <w:lang w:val="fr-FR" w:eastAsia="fr-FR" w:bidi="fr-FR"/>
        </w:rPr>
        <w:t>i</w:t>
      </w:r>
      <w:r w:rsidRPr="003B3476">
        <w:rPr>
          <w:lang w:val="fr-FR" w:eastAsia="fr-FR" w:bidi="fr-FR"/>
        </w:rPr>
        <w:t>ne-et-Oise, cant. Méréville. Mes recherches dans les Archives de Seine-et-Oise n’ont porté quelque fruit que grâce à l’amicale obligeance de l’archiviste, M. Lesort, et au dévouement de ses employés.</w:t>
      </w:r>
    </w:p>
  </w:footnote>
  <w:footnote w:id="8">
    <w:p w14:paraId="752CB9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Parmi les études de plans parcellaires anciens, celle que </w:t>
      </w:r>
      <w:r w:rsidRPr="003B3476">
        <w:rPr>
          <w:rStyle w:val="Notedebasdepage65ptNonGras"/>
          <w:b w:val="0"/>
          <w:bCs w:val="0"/>
          <w:sz w:val="24"/>
        </w:rPr>
        <w:t xml:space="preserve">M. </w:t>
      </w:r>
      <w:r w:rsidRPr="003B3476">
        <w:rPr>
          <w:lang w:val="fr-FR" w:eastAsia="fr-FR" w:bidi="fr-FR"/>
        </w:rPr>
        <w:t xml:space="preserve">G. </w:t>
      </w:r>
      <w:r w:rsidRPr="003B3476">
        <w:rPr>
          <w:rStyle w:val="Notedebasdepage65ptNonGras"/>
          <w:b w:val="0"/>
          <w:bCs w:val="0"/>
          <w:smallCaps/>
          <w:sz w:val="24"/>
        </w:rPr>
        <w:t>Des Marez</w:t>
      </w:r>
      <w:r w:rsidRPr="003B3476">
        <w:rPr>
          <w:rStyle w:val="Notedebasdepage65ptNonGras"/>
          <w:b w:val="0"/>
          <w:bCs w:val="0"/>
          <w:sz w:val="24"/>
        </w:rPr>
        <w:t xml:space="preserve">, </w:t>
      </w:r>
      <w:r w:rsidRPr="003B3476">
        <w:rPr>
          <w:lang w:val="fr-FR" w:eastAsia="fr-FR" w:bidi="fr-FR"/>
        </w:rPr>
        <w:t xml:space="preserve">dans son livre sur </w:t>
      </w:r>
      <w:r w:rsidRPr="003B3476">
        <w:rPr>
          <w:bCs/>
          <w:i/>
        </w:rPr>
        <w:t>Le problème de la colonisation franque et du régime dans la Basse-Belgique</w:t>
      </w:r>
      <w:r w:rsidRPr="003B3476">
        <w:rPr>
          <w:i/>
          <w:lang w:val="fr-FR" w:eastAsia="fr-FR" w:bidi="fr-FR"/>
        </w:rPr>
        <w:t xml:space="preserve"> </w:t>
      </w:r>
      <w:r w:rsidRPr="003B3476">
        <w:rPr>
          <w:lang w:val="fr-FR" w:eastAsia="fr-FR" w:bidi="fr-FR"/>
        </w:rPr>
        <w:t>(</w:t>
      </w:r>
      <w:r w:rsidRPr="003B3476">
        <w:rPr>
          <w:bCs/>
          <w:i/>
        </w:rPr>
        <w:t>Mém. Acad, royale de Belgique</w:t>
      </w:r>
      <w:r w:rsidRPr="003B3476">
        <w:rPr>
          <w:lang w:val="fr-FR" w:eastAsia="fr-FR" w:bidi="fr-FR"/>
        </w:rPr>
        <w:t>, in-4°, 2</w:t>
      </w:r>
      <w:r w:rsidRPr="003B3476">
        <w:rPr>
          <w:vertAlign w:val="superscript"/>
          <w:lang w:val="fr-FR" w:eastAsia="fr-FR" w:bidi="fr-FR"/>
        </w:rPr>
        <w:t>e</w:t>
      </w:r>
      <w:r w:rsidRPr="003B3476">
        <w:rPr>
          <w:lang w:val="fr-FR" w:eastAsia="fr-FR" w:bidi="fr-FR"/>
        </w:rPr>
        <w:t xml:space="preserve"> série, IX, 1926) a donnée du plan de Grimberghen (p. 135-150) doit être citée comme un modèle de soin et d’intelligence.</w:t>
      </w:r>
    </w:p>
  </w:footnote>
  <w:footnote w:id="9">
    <w:p w14:paraId="4FDF207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Esquisse de l’histoire du cadastre dans F.-H.-V. </w:t>
      </w:r>
      <w:r w:rsidRPr="003B3476">
        <w:rPr>
          <w:rStyle w:val="Notedebasdepage65ptNonGras"/>
          <w:b w:val="0"/>
          <w:bCs w:val="0"/>
          <w:smallCaps/>
          <w:sz w:val="24"/>
        </w:rPr>
        <w:t>Noizet</w:t>
      </w:r>
      <w:r w:rsidRPr="003B3476">
        <w:rPr>
          <w:rStyle w:val="Notedebasdepage65ptNonGras"/>
          <w:b w:val="0"/>
          <w:bCs w:val="0"/>
          <w:sz w:val="24"/>
        </w:rPr>
        <w:t xml:space="preserve">, </w:t>
      </w:r>
      <w:r w:rsidRPr="003B3476">
        <w:rPr>
          <w:rStyle w:val="Notedebasdepage65ptNonGras"/>
          <w:b w:val="0"/>
          <w:bCs w:val="0"/>
          <w:i/>
          <w:sz w:val="24"/>
        </w:rPr>
        <w:t>Du</w:t>
      </w:r>
      <w:r w:rsidRPr="003B3476">
        <w:rPr>
          <w:bCs/>
        </w:rPr>
        <w:t xml:space="preserve"> </w:t>
      </w:r>
      <w:r w:rsidRPr="003B3476">
        <w:rPr>
          <w:bCs/>
          <w:i/>
        </w:rPr>
        <w:t>cadastre et de la dél</w:t>
      </w:r>
      <w:r w:rsidRPr="003B3476">
        <w:rPr>
          <w:bCs/>
          <w:i/>
        </w:rPr>
        <w:t>i</w:t>
      </w:r>
      <w:r w:rsidRPr="003B3476">
        <w:rPr>
          <w:bCs/>
          <w:i/>
        </w:rPr>
        <w:t>mitation des héritages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1863.</w:t>
      </w:r>
    </w:p>
  </w:footnote>
  <w:footnote w:id="10">
    <w:p w14:paraId="3DEE538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Lorsque le nombre des parcelles dépasse cinq à l’hectare les échelles prescr</w:t>
      </w:r>
      <w:r w:rsidRPr="003B3476">
        <w:rPr>
          <w:lang w:val="fr-FR" w:eastAsia="fr-FR" w:bidi="fr-FR"/>
        </w:rPr>
        <w:t>i</w:t>
      </w:r>
      <w:r w:rsidRPr="003B3476">
        <w:rPr>
          <w:lang w:val="fr-FR" w:eastAsia="fr-FR" w:bidi="fr-FR"/>
        </w:rPr>
        <w:t>tes sont respectivement du 1 250</w:t>
      </w:r>
      <w:r w:rsidRPr="003B3476">
        <w:rPr>
          <w:vertAlign w:val="superscript"/>
          <w:lang w:val="fr-FR" w:eastAsia="fr-FR" w:bidi="fr-FR"/>
        </w:rPr>
        <w:t>e</w:t>
      </w:r>
      <w:r w:rsidRPr="003B3476">
        <w:rPr>
          <w:lang w:val="fr-FR" w:eastAsia="fr-FR" w:bidi="fr-FR"/>
        </w:rPr>
        <w:t xml:space="preserve"> et du 1 000</w:t>
      </w:r>
      <w:r w:rsidRPr="003B3476">
        <w:rPr>
          <w:vertAlign w:val="superscript"/>
          <w:lang w:val="fr-FR" w:eastAsia="fr-FR" w:bidi="fr-FR"/>
        </w:rPr>
        <w:t>e</w:t>
      </w:r>
      <w:r w:rsidRPr="003B3476">
        <w:rPr>
          <w:lang w:val="fr-FR" w:eastAsia="fr-FR" w:bidi="fr-FR"/>
        </w:rPr>
        <w:t>. Dans certaines régions, les plans cadastraux du Premier Empire sont, me dit-on, établis à échelle plus p</w:t>
      </w:r>
      <w:r w:rsidRPr="003B3476">
        <w:rPr>
          <w:lang w:val="fr-FR" w:eastAsia="fr-FR" w:bidi="fr-FR"/>
        </w:rPr>
        <w:t>e</w:t>
      </w:r>
      <w:r w:rsidRPr="003B3476">
        <w:rPr>
          <w:lang w:val="fr-FR" w:eastAsia="fr-FR" w:bidi="fr-FR"/>
        </w:rPr>
        <w:t>tite que le 2 500</w:t>
      </w:r>
      <w:r w:rsidRPr="003B3476">
        <w:rPr>
          <w:vertAlign w:val="superscript"/>
          <w:lang w:val="fr-FR" w:eastAsia="fr-FR" w:bidi="fr-FR"/>
        </w:rPr>
        <w:t>e</w:t>
      </w:r>
      <w:r w:rsidRPr="003B3476">
        <w:rPr>
          <w:lang w:val="fr-FR" w:eastAsia="fr-FR" w:bidi="fr-FR"/>
        </w:rPr>
        <w:t>.</w:t>
      </w:r>
    </w:p>
  </w:footnote>
  <w:footnote w:id="11">
    <w:p w14:paraId="7B06F5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Service Topographique de l’Armée a reçu, en principe, copie des tableaux d’assemblage ; il va de soi que ceux-ci ne donnent point les limites des parce</w:t>
      </w:r>
      <w:r w:rsidRPr="003B3476">
        <w:rPr>
          <w:lang w:val="fr-FR" w:eastAsia="fr-FR" w:bidi="fr-FR"/>
        </w:rPr>
        <w:t>l</w:t>
      </w:r>
      <w:r w:rsidRPr="003B3476">
        <w:rPr>
          <w:lang w:val="fr-FR" w:eastAsia="fr-FR" w:bidi="fr-FR"/>
        </w:rPr>
        <w:t>les.</w:t>
      </w:r>
    </w:p>
  </w:footnote>
  <w:footnote w:id="12">
    <w:p w14:paraId="550BB7F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En vertu de la loi du 1</w:t>
      </w:r>
      <w:r w:rsidRPr="003B3476">
        <w:rPr>
          <w:vertAlign w:val="superscript"/>
          <w:lang w:val="fr-FR" w:eastAsia="fr-FR" w:bidi="fr-FR"/>
        </w:rPr>
        <w:t>er</w:t>
      </w:r>
      <w:r w:rsidRPr="003B3476">
        <w:rPr>
          <w:lang w:val="fr-FR" w:eastAsia="fr-FR" w:bidi="fr-FR"/>
        </w:rPr>
        <w:t xml:space="preserve"> janvier 1915, de nouvelles matrices — prévues pour une durée de soixante ans — doivent être partout établies. Les anciennes d</w:t>
      </w:r>
      <w:r w:rsidRPr="003B3476">
        <w:rPr>
          <w:lang w:val="fr-FR" w:eastAsia="fr-FR" w:bidi="fr-FR"/>
        </w:rPr>
        <w:t>e</w:t>
      </w:r>
      <w:r w:rsidRPr="003B3476">
        <w:rPr>
          <w:lang w:val="fr-FR" w:eastAsia="fr-FR" w:bidi="fr-FR"/>
        </w:rPr>
        <w:t>viendront donc peu à peu inutiles aux administrations, mais elles demeureront des documents historiques précieux. Il sera bon de veiller à leur conservation.</w:t>
      </w:r>
    </w:p>
  </w:footnote>
  <w:footnote w:id="13">
    <w:p w14:paraId="3D9CD7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citerai, aux hasards des renseignements incomplets que j’ai pu recueillir : la Seine-et-Oise (par suite de circonstances exposées par l’Archiviste dans son </w:t>
      </w:r>
      <w:r w:rsidRPr="003B3476">
        <w:rPr>
          <w:bCs/>
          <w:i/>
        </w:rPr>
        <w:t>Rapport de 1912-1913</w:t>
      </w:r>
      <w:r w:rsidRPr="003B3476">
        <w:rPr>
          <w:bCs/>
        </w:rPr>
        <w:t>,</w:t>
      </w:r>
      <w:r w:rsidRPr="003B3476">
        <w:rPr>
          <w:bCs/>
          <w:vertAlign w:val="subscript"/>
        </w:rPr>
        <w:t xml:space="preserve"> </w:t>
      </w:r>
      <w:r w:rsidRPr="003B3476">
        <w:rPr>
          <w:lang w:val="fr-FR" w:eastAsia="fr-FR" w:bidi="fr-FR"/>
        </w:rPr>
        <w:t xml:space="preserve">p. 20) ; le Doubs ; et (selon P. </w:t>
      </w:r>
      <w:r w:rsidRPr="003B3476">
        <w:rPr>
          <w:rStyle w:val="Notedebasdepage65ptNonGras"/>
          <w:b w:val="0"/>
          <w:bCs w:val="0"/>
          <w:smallCaps/>
          <w:sz w:val="24"/>
        </w:rPr>
        <w:t>Lavedan</w:t>
      </w:r>
      <w:r w:rsidRPr="003B3476">
        <w:rPr>
          <w:rStyle w:val="Notedebasdepage65ptNonGras"/>
          <w:b w:val="0"/>
          <w:bCs w:val="0"/>
          <w:sz w:val="24"/>
        </w:rPr>
        <w:t xml:space="preserve">, </w:t>
      </w:r>
      <w:r w:rsidRPr="003B3476">
        <w:rPr>
          <w:bCs/>
          <w:i/>
        </w:rPr>
        <w:t>Qu'est-ce que l’urbanisme ?</w:t>
      </w:r>
      <w:r w:rsidRPr="003B3476">
        <w:rPr>
          <w:lang w:val="fr-FR" w:eastAsia="fr-FR" w:bidi="fr-FR"/>
        </w:rPr>
        <w:t xml:space="preserve"> 1926, p. 177, n. 1), la Haute-Garonne, le Lot, et partiell</w:t>
      </w:r>
      <w:r w:rsidRPr="003B3476">
        <w:rPr>
          <w:lang w:val="fr-FR" w:eastAsia="fr-FR" w:bidi="fr-FR"/>
        </w:rPr>
        <w:t>e</w:t>
      </w:r>
      <w:r w:rsidRPr="003B3476">
        <w:rPr>
          <w:lang w:val="fr-FR" w:eastAsia="fr-FR" w:bidi="fr-FR"/>
        </w:rPr>
        <w:t>ment le Tarn et l’Aude. L’instruction du 1</w:t>
      </w:r>
      <w:r w:rsidRPr="003B3476">
        <w:rPr>
          <w:vertAlign w:val="superscript"/>
          <w:lang w:val="fr-FR" w:eastAsia="fr-FR" w:bidi="fr-FR"/>
        </w:rPr>
        <w:t>er</w:t>
      </w:r>
      <w:r w:rsidRPr="003B3476">
        <w:rPr>
          <w:lang w:val="fr-FR" w:eastAsia="fr-FR" w:bidi="fr-FR"/>
        </w:rPr>
        <w:t xml:space="preserve"> décembre 1807 prévoyait que le plan pa</w:t>
      </w:r>
      <w:r w:rsidRPr="003B3476">
        <w:rPr>
          <w:lang w:val="fr-FR" w:eastAsia="fr-FR" w:bidi="fr-FR"/>
        </w:rPr>
        <w:t>r</w:t>
      </w:r>
      <w:r w:rsidRPr="003B3476">
        <w:rPr>
          <w:lang w:val="fr-FR" w:eastAsia="fr-FR" w:bidi="fr-FR"/>
        </w:rPr>
        <w:t>cellaire serait exécuté en trois exemplaires, sans préciser d’ailleurs la destin</w:t>
      </w:r>
      <w:r w:rsidRPr="003B3476">
        <w:rPr>
          <w:lang w:val="fr-FR" w:eastAsia="fr-FR" w:bidi="fr-FR"/>
        </w:rPr>
        <w:t>a</w:t>
      </w:r>
      <w:r w:rsidRPr="003B3476">
        <w:rPr>
          <w:lang w:val="fr-FR" w:eastAsia="fr-FR" w:bidi="fr-FR"/>
        </w:rPr>
        <w:t>tion du troisième, qui fut supprimé par la loi du 31 juillet 1821. Que sont d</w:t>
      </w:r>
      <w:r w:rsidRPr="003B3476">
        <w:rPr>
          <w:lang w:val="fr-FR" w:eastAsia="fr-FR" w:bidi="fr-FR"/>
        </w:rPr>
        <w:t>e</w:t>
      </w:r>
      <w:r w:rsidRPr="003B3476">
        <w:rPr>
          <w:lang w:val="fr-FR" w:eastAsia="fr-FR" w:bidi="fr-FR"/>
        </w:rPr>
        <w:t>venus les exemplaires supplémentaires des plans levés entre 1808 et 1822 ?</w:t>
      </w:r>
    </w:p>
  </w:footnote>
  <w:footnote w:id="14">
    <w:p w14:paraId="451148E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w:t>
      </w:r>
      <w:r w:rsidRPr="003B3476">
        <w:rPr>
          <w:rStyle w:val="Notedebasdepage65ptNonGras"/>
          <w:b w:val="0"/>
          <w:bCs w:val="0"/>
          <w:smallCaps/>
          <w:sz w:val="24"/>
        </w:rPr>
        <w:t>Noizet</w:t>
      </w:r>
      <w:r w:rsidRPr="003B3476">
        <w:rPr>
          <w:rStyle w:val="Notedebasdepage65ptNonGras"/>
          <w:b w:val="0"/>
          <w:bCs w:val="0"/>
          <w:sz w:val="24"/>
        </w:rPr>
        <w:t xml:space="preserve">, </w:t>
      </w:r>
      <w:r w:rsidRPr="003B3476">
        <w:rPr>
          <w:i/>
          <w:lang w:val="fr-FR" w:eastAsia="fr-FR" w:bidi="fr-FR"/>
        </w:rPr>
        <w:t xml:space="preserve">op. </w:t>
      </w:r>
      <w:r w:rsidRPr="003B3476">
        <w:rPr>
          <w:bCs/>
          <w:i/>
        </w:rPr>
        <w:t>cit</w:t>
      </w:r>
      <w:r w:rsidRPr="003B3476">
        <w:rPr>
          <w:bCs/>
        </w:rPr>
        <w:t>.,</w:t>
      </w:r>
      <w:r w:rsidRPr="003B3476">
        <w:rPr>
          <w:lang w:val="fr-FR" w:eastAsia="fr-FR" w:bidi="fr-FR"/>
        </w:rPr>
        <w:t xml:space="preserve"> notamment p. 34 ; et Président </w:t>
      </w:r>
      <w:r w:rsidRPr="003B3476">
        <w:rPr>
          <w:rStyle w:val="Notedebasdepage65ptNonGras"/>
          <w:b w:val="0"/>
          <w:bCs w:val="0"/>
          <w:smallCaps/>
          <w:sz w:val="24"/>
        </w:rPr>
        <w:t>Bonjean</w:t>
      </w:r>
      <w:r w:rsidRPr="003B3476">
        <w:rPr>
          <w:rStyle w:val="Notedebasdepage65ptNonGras"/>
          <w:b w:val="0"/>
          <w:bCs w:val="0"/>
          <w:sz w:val="24"/>
        </w:rPr>
        <w:t xml:space="preserve">, </w:t>
      </w:r>
      <w:r w:rsidRPr="003B3476">
        <w:rPr>
          <w:bCs/>
          <w:i/>
        </w:rPr>
        <w:t>Révision et conservation du cadastre</w:t>
      </w:r>
      <w:r w:rsidRPr="003B3476">
        <w:rPr>
          <w:lang w:val="fr-FR" w:eastAsia="fr-FR" w:bidi="fr-FR"/>
        </w:rPr>
        <w:t>, 2 vol., 1874.</w:t>
      </w:r>
    </w:p>
  </w:footnote>
  <w:footnote w:id="15">
    <w:p w14:paraId="4326415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Quantité non négligeable, cependant, dans les pays de champs étroits et allo</w:t>
      </w:r>
      <w:r w:rsidRPr="003B3476">
        <w:rPr>
          <w:lang w:val="fr-FR" w:eastAsia="fr-FR" w:bidi="fr-FR"/>
        </w:rPr>
        <w:t>n</w:t>
      </w:r>
      <w:r w:rsidRPr="003B3476">
        <w:rPr>
          <w:lang w:val="fr-FR" w:eastAsia="fr-FR" w:bidi="fr-FR"/>
        </w:rPr>
        <w:t>gés où tout déplacement de la limite, parallèlement à l’axe des sillons, entra</w:t>
      </w:r>
      <w:r w:rsidRPr="003B3476">
        <w:rPr>
          <w:lang w:val="fr-FR" w:eastAsia="fr-FR" w:bidi="fr-FR"/>
        </w:rPr>
        <w:t>î</w:t>
      </w:r>
      <w:r w:rsidRPr="003B3476">
        <w:rPr>
          <w:lang w:val="fr-FR" w:eastAsia="fr-FR" w:bidi="fr-FR"/>
        </w:rPr>
        <w:t>ne, même s’il est d’amplitude assez faible, une modification considérable dans la surface totale : aux « mangeurs de raies », un léger déportement de la cha</w:t>
      </w:r>
      <w:r w:rsidRPr="003B3476">
        <w:rPr>
          <w:lang w:val="fr-FR" w:eastAsia="fr-FR" w:bidi="fr-FR"/>
        </w:rPr>
        <w:t>r</w:t>
      </w:r>
      <w:r w:rsidRPr="003B3476">
        <w:rPr>
          <w:lang w:val="fr-FR" w:eastAsia="fr-FR" w:bidi="fr-FR"/>
        </w:rPr>
        <w:t>rue, à droite ou à gauche, suffisait souvent pour réaliser un gain sérieux.</w:t>
      </w:r>
    </w:p>
  </w:footnote>
  <w:footnote w:id="16">
    <w:p w14:paraId="2DA5CA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Customary acres and their historical importance</w:t>
      </w:r>
      <w:r w:rsidRPr="003B3476">
        <w:rPr>
          <w:lang w:val="fr-FR" w:eastAsia="fr-FR" w:bidi="fr-FR"/>
        </w:rPr>
        <w:t>, 1914, p. 118 et suiv.; notez, en face la page 123, le plan de Carnac. Le passage sur les haies, p. 123, mo</w:t>
      </w:r>
      <w:r w:rsidRPr="003B3476">
        <w:rPr>
          <w:lang w:val="fr-FR" w:eastAsia="fr-FR" w:bidi="fr-FR"/>
        </w:rPr>
        <w:t>n</w:t>
      </w:r>
      <w:r w:rsidRPr="003B3476">
        <w:rPr>
          <w:lang w:val="fr-FR" w:eastAsia="fr-FR" w:bidi="fr-FR"/>
        </w:rPr>
        <w:t>tre la source de l’erreur et indique en même temps que Seebohm n’a pas été très loin de l’apercevoir. Mais comment, en l’absence des servitudes collect</w:t>
      </w:r>
      <w:r w:rsidRPr="003B3476">
        <w:rPr>
          <w:lang w:val="fr-FR" w:eastAsia="fr-FR" w:bidi="fr-FR"/>
        </w:rPr>
        <w:t>i</w:t>
      </w:r>
      <w:r w:rsidRPr="003B3476">
        <w:rPr>
          <w:lang w:val="fr-FR" w:eastAsia="fr-FR" w:bidi="fr-FR"/>
        </w:rPr>
        <w:t>ves caractéristiques, a-t-il pu se laisser aller à parler de « the breton open-field System » ? Il n’est que juste de l’ajouter, le livre, posthume, est un recueil de « unfinished essays ».</w:t>
      </w:r>
    </w:p>
  </w:footnote>
  <w:footnote w:id="17">
    <w:p w14:paraId="4C4707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plans de Thiverval (Seine-et-Oise, cant. Poissy), exécutés au </w:t>
      </w:r>
      <w:r w:rsidRPr="003B3476">
        <w:rPr>
          <w:smallCaps/>
          <w:lang w:val="fr-FR" w:eastAsia="fr-FR" w:bidi="fr-FR"/>
        </w:rPr>
        <w:t>xviii</w:t>
      </w:r>
      <w:r w:rsidRPr="003B3476">
        <w:rPr>
          <w:vertAlign w:val="superscript"/>
          <w:lang w:val="fr-FR" w:eastAsia="fr-FR" w:bidi="fr-FR"/>
        </w:rPr>
        <w:t>e</w:t>
      </w:r>
      <w:r w:rsidRPr="003B3476">
        <w:rPr>
          <w:lang w:val="fr-FR" w:eastAsia="fr-FR" w:bidi="fr-FR"/>
        </w:rPr>
        <w:t xml:space="preserve"> siècle et conservés aujourd’hui aux Archives de Seine-et-Oise, dans le fonds des Chartreux de Paris, appartiennent vraisemblablement à la catégorie des plans dîmiers.</w:t>
      </w:r>
    </w:p>
  </w:footnote>
  <w:footnote w:id="18">
    <w:p w14:paraId="5C092A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Cadastre perpétuel</w:t>
      </w:r>
      <w:r w:rsidRPr="003B3476">
        <w:rPr>
          <w:lang w:val="fr-FR" w:eastAsia="fr-FR" w:bidi="fr-FR"/>
        </w:rPr>
        <w:t xml:space="preserve">, 1789, p. 54 et n. 1. </w:t>
      </w:r>
      <w:r w:rsidRPr="003B3476">
        <w:rPr>
          <w:bCs/>
          <w:i/>
        </w:rPr>
        <w:t>Cf.</w:t>
      </w:r>
      <w:r w:rsidRPr="003B3476">
        <w:rPr>
          <w:lang w:val="fr-FR" w:eastAsia="fr-FR" w:bidi="fr-FR"/>
        </w:rPr>
        <w:t xml:space="preserve"> E. de la </w:t>
      </w:r>
      <w:r w:rsidRPr="003B3476">
        <w:rPr>
          <w:smallCaps/>
          <w:lang w:val="fr-FR" w:eastAsia="fr-FR" w:bidi="fr-FR"/>
        </w:rPr>
        <w:t xml:space="preserve">Poix </w:t>
      </w:r>
      <w:r w:rsidRPr="003B3476">
        <w:rPr>
          <w:rStyle w:val="Notedebasdepage65ptNonGras"/>
          <w:b w:val="0"/>
          <w:bCs w:val="0"/>
          <w:smallCaps/>
          <w:sz w:val="24"/>
        </w:rPr>
        <w:t>de Fréminville</w:t>
      </w:r>
      <w:r w:rsidRPr="003B3476">
        <w:rPr>
          <w:rStyle w:val="Notedebasdepage65ptNonGras"/>
          <w:b w:val="0"/>
          <w:bCs w:val="0"/>
          <w:sz w:val="24"/>
        </w:rPr>
        <w:t xml:space="preserve">, </w:t>
      </w:r>
      <w:r w:rsidRPr="003B3476">
        <w:rPr>
          <w:bCs/>
          <w:i/>
        </w:rPr>
        <w:t>La pratique universelle pour la rénovation des terriers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1752, t. I, p. 106 : « Peut-on faire le renouvellement d’un terrier sans lever les plans d’une terre ? Cela est impossible » ; et, p. 102 et suiv., les revendications en faveur du « plan gé</w:t>
      </w:r>
      <w:r w:rsidRPr="003B3476">
        <w:rPr>
          <w:lang w:val="fr-FR" w:eastAsia="fr-FR" w:bidi="fr-FR"/>
        </w:rPr>
        <w:t>o</w:t>
      </w:r>
      <w:r w:rsidRPr="003B3476">
        <w:rPr>
          <w:lang w:val="fr-FR" w:eastAsia="fr-FR" w:bidi="fr-FR"/>
        </w:rPr>
        <w:t>métrique », bien préférable au « plan visuel ».</w:t>
      </w:r>
    </w:p>
  </w:footnote>
  <w:footnote w:id="19">
    <w:p w14:paraId="66BFC5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Robert </w:t>
      </w:r>
      <w:r w:rsidRPr="003B3476">
        <w:rPr>
          <w:rStyle w:val="Notedebasdepage65ptNonGras"/>
          <w:b w:val="0"/>
          <w:bCs w:val="0"/>
          <w:smallCaps/>
          <w:sz w:val="24"/>
        </w:rPr>
        <w:t>Dubois-Corneau</w:t>
      </w:r>
      <w:r w:rsidRPr="003B3476">
        <w:rPr>
          <w:rStyle w:val="Notedebasdepage65ptNonGras"/>
          <w:b w:val="0"/>
          <w:bCs w:val="0"/>
          <w:sz w:val="24"/>
        </w:rPr>
        <w:t xml:space="preserve">, </w:t>
      </w:r>
      <w:r w:rsidRPr="003B3476">
        <w:rPr>
          <w:bCs/>
          <w:i/>
        </w:rPr>
        <w:t>Paris de Montmartel</w:t>
      </w:r>
      <w:r w:rsidRPr="003B3476">
        <w:rPr>
          <w:lang w:val="fr-FR" w:eastAsia="fr-FR" w:bidi="fr-FR"/>
        </w:rPr>
        <w:t xml:space="preserve"> </w:t>
      </w:r>
      <w:r w:rsidRPr="003B3476">
        <w:rPr>
          <w:rStyle w:val="Notedebasdepage65ptNonGras"/>
          <w:b w:val="0"/>
          <w:bCs w:val="0"/>
          <w:sz w:val="24"/>
        </w:rPr>
        <w:t xml:space="preserve">[1917], </w:t>
      </w:r>
      <w:r w:rsidRPr="003B3476">
        <w:rPr>
          <w:lang w:val="fr-FR" w:eastAsia="fr-FR" w:bidi="fr-FR"/>
        </w:rPr>
        <w:t xml:space="preserve">p. </w:t>
      </w:r>
      <w:r w:rsidRPr="003B3476">
        <w:rPr>
          <w:rStyle w:val="Notedebasdepage65ptNonGras"/>
          <w:b w:val="0"/>
          <w:bCs w:val="0"/>
          <w:sz w:val="24"/>
        </w:rPr>
        <w:t xml:space="preserve">147, </w:t>
      </w:r>
      <w:r w:rsidRPr="003B3476">
        <w:rPr>
          <w:lang w:val="fr-FR" w:eastAsia="fr-FR" w:bidi="fr-FR"/>
        </w:rPr>
        <w:t xml:space="preserve">n. </w:t>
      </w:r>
      <w:r w:rsidRPr="003B3476">
        <w:rPr>
          <w:rStyle w:val="Notedebasdepage65ptNonGras"/>
          <w:b w:val="0"/>
          <w:bCs w:val="0"/>
          <w:sz w:val="24"/>
        </w:rPr>
        <w:t xml:space="preserve">8, </w:t>
      </w:r>
      <w:r w:rsidRPr="003B3476">
        <w:rPr>
          <w:lang w:val="fr-FR" w:eastAsia="fr-FR" w:bidi="fr-FR"/>
        </w:rPr>
        <w:t>signale des plans-terriers de Brunoy dans l’étude d’un notaire de cette localité. Il s’en rencontre égal</w:t>
      </w:r>
      <w:r w:rsidRPr="003B3476">
        <w:rPr>
          <w:lang w:val="fr-FR" w:eastAsia="fr-FR" w:bidi="fr-FR"/>
        </w:rPr>
        <w:t>e</w:t>
      </w:r>
      <w:r w:rsidRPr="003B3476">
        <w:rPr>
          <w:lang w:val="fr-FR" w:eastAsia="fr-FR" w:bidi="fr-FR"/>
        </w:rPr>
        <w:t>ment dans les papiers notariaux versés aux Archives du Bas-Rhin.</w:t>
      </w:r>
    </w:p>
  </w:footnote>
  <w:footnote w:id="20">
    <w:p w14:paraId="65FB057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Celui de Saint-Sulpice-de-Favières (cant. Dourdan) a été versé aux Archives départementales : E supplément. </w:t>
      </w:r>
      <w:r w:rsidRPr="003B3476">
        <w:rPr>
          <w:i/>
          <w:lang w:val="fr-FR" w:eastAsia="fr-FR" w:bidi="fr-FR"/>
        </w:rPr>
        <w:t>Cf</w:t>
      </w:r>
      <w:r w:rsidRPr="003B3476">
        <w:rPr>
          <w:lang w:val="fr-FR" w:eastAsia="fr-FR" w:bidi="fr-FR"/>
        </w:rPr>
        <w:t xml:space="preserve">., pour le Lot, P. </w:t>
      </w:r>
      <w:r w:rsidRPr="003B3476">
        <w:rPr>
          <w:rStyle w:val="Notedebasdepage65ptNonGras"/>
          <w:b w:val="0"/>
          <w:bCs w:val="0"/>
          <w:smallCaps/>
          <w:sz w:val="24"/>
        </w:rPr>
        <w:t>Lavedan</w:t>
      </w:r>
      <w:r w:rsidRPr="003B3476">
        <w:rPr>
          <w:rStyle w:val="Notedebasdepage65ptNonGras"/>
          <w:b w:val="0"/>
          <w:bCs w:val="0"/>
          <w:sz w:val="24"/>
        </w:rPr>
        <w:t xml:space="preserve">, </w:t>
      </w:r>
      <w:r w:rsidRPr="003B3476">
        <w:rPr>
          <w:bCs/>
          <w:i/>
        </w:rPr>
        <w:t>Qu’est-ce que l’urbanisme ?</w:t>
      </w:r>
      <w:r w:rsidRPr="003B3476">
        <w:rPr>
          <w:lang w:val="fr-FR" w:eastAsia="fr-FR" w:bidi="fr-FR"/>
        </w:rPr>
        <w:t xml:space="preserve"> 1926, p. 178, n. 1.</w:t>
      </w:r>
    </w:p>
  </w:footnote>
  <w:footnote w:id="21">
    <w:p w14:paraId="6A0E7F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rappelle que la </w:t>
      </w:r>
      <w:r w:rsidRPr="003B3476">
        <w:rPr>
          <w:bCs/>
          <w:i/>
        </w:rPr>
        <w:t>Chronique des Archives départementales</w:t>
      </w:r>
      <w:r w:rsidRPr="003B3476">
        <w:rPr>
          <w:lang w:val="fr-FR" w:eastAsia="fr-FR" w:bidi="fr-FR"/>
        </w:rPr>
        <w:t xml:space="preserve">, que M. </w:t>
      </w:r>
      <w:r w:rsidRPr="003B3476">
        <w:rPr>
          <w:rStyle w:val="Notedebasdepage65ptNonGras"/>
          <w:b w:val="0"/>
          <w:bCs w:val="0"/>
          <w:smallCaps/>
          <w:sz w:val="24"/>
        </w:rPr>
        <w:t>Vidier</w:t>
      </w:r>
      <w:r w:rsidRPr="003B3476">
        <w:rPr>
          <w:rStyle w:val="Notedebasdepage65ptNonGras"/>
          <w:b w:val="0"/>
          <w:bCs w:val="0"/>
          <w:sz w:val="24"/>
        </w:rPr>
        <w:t xml:space="preserve"> </w:t>
      </w:r>
      <w:r w:rsidRPr="003B3476">
        <w:rPr>
          <w:lang w:val="fr-FR" w:eastAsia="fr-FR" w:bidi="fr-FR"/>
        </w:rPr>
        <w:t xml:space="preserve">faisait paraître depuis </w:t>
      </w:r>
      <w:r w:rsidRPr="003B3476">
        <w:rPr>
          <w:rStyle w:val="Notedebasdepage65ptNonGras"/>
          <w:b w:val="0"/>
          <w:bCs w:val="0"/>
          <w:sz w:val="24"/>
        </w:rPr>
        <w:t xml:space="preserve">1923, </w:t>
      </w:r>
      <w:r w:rsidRPr="003B3476">
        <w:rPr>
          <w:lang w:val="fr-FR" w:eastAsia="fr-FR" w:bidi="fr-FR"/>
        </w:rPr>
        <w:t xml:space="preserve">dans le </w:t>
      </w:r>
      <w:r w:rsidRPr="003B3476">
        <w:rPr>
          <w:bCs/>
          <w:i/>
        </w:rPr>
        <w:t>Bulletin philologique et historique</w:t>
      </w:r>
      <w:r w:rsidRPr="003B3476">
        <w:rPr>
          <w:lang w:val="fr-FR" w:eastAsia="fr-FR" w:bidi="fr-FR"/>
        </w:rPr>
        <w:t>, rés</w:t>
      </w:r>
      <w:r w:rsidRPr="003B3476">
        <w:rPr>
          <w:lang w:val="fr-FR" w:eastAsia="fr-FR" w:bidi="fr-FR"/>
        </w:rPr>
        <w:t>u</w:t>
      </w:r>
      <w:r w:rsidRPr="003B3476">
        <w:rPr>
          <w:lang w:val="fr-FR" w:eastAsia="fr-FR" w:bidi="fr-FR"/>
        </w:rPr>
        <w:t>me les ra</w:t>
      </w:r>
      <w:r w:rsidRPr="003B3476">
        <w:rPr>
          <w:lang w:val="fr-FR" w:eastAsia="fr-FR" w:bidi="fr-FR"/>
        </w:rPr>
        <w:t>p</w:t>
      </w:r>
      <w:r w:rsidRPr="003B3476">
        <w:rPr>
          <w:lang w:val="fr-FR" w:eastAsia="fr-FR" w:bidi="fr-FR"/>
        </w:rPr>
        <w:t>ports annuels des archivistes ; souhaitons que cette utile publication soit continuée.</w:t>
      </w:r>
    </w:p>
  </w:footnote>
  <w:footnote w:id="22">
    <w:p w14:paraId="49410B3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Lucien </w:t>
      </w:r>
      <w:r w:rsidRPr="003B3476">
        <w:rPr>
          <w:rStyle w:val="Notedebasdepage265ptNonGrasNonItalique"/>
          <w:b w:val="0"/>
          <w:bCs w:val="0"/>
          <w:i w:val="0"/>
          <w:iCs w:val="0"/>
          <w:smallCaps/>
          <w:sz w:val="24"/>
        </w:rPr>
        <w:t>Febvre</w:t>
      </w:r>
      <w:r w:rsidRPr="003B3476">
        <w:rPr>
          <w:rStyle w:val="Notedebasdepage265ptNonGrasNonItalique"/>
          <w:b w:val="0"/>
          <w:bCs w:val="0"/>
          <w:i w:val="0"/>
          <w:iCs w:val="0"/>
          <w:sz w:val="24"/>
        </w:rPr>
        <w:t xml:space="preserve">, </w:t>
      </w:r>
      <w:r w:rsidRPr="003B3476">
        <w:rPr>
          <w:i/>
          <w:lang w:val="fr-FR" w:eastAsia="fr-FR" w:bidi="fr-FR"/>
        </w:rPr>
        <w:t>Instructions spéciales pour la documentation cartogr</w:t>
      </w:r>
      <w:r w:rsidRPr="003B3476">
        <w:rPr>
          <w:i/>
          <w:lang w:val="fr-FR" w:eastAsia="fr-FR" w:bidi="fr-FR"/>
        </w:rPr>
        <w:t>a</w:t>
      </w:r>
      <w:r w:rsidRPr="003B3476">
        <w:rPr>
          <w:i/>
          <w:lang w:val="fr-FR" w:eastAsia="fr-FR" w:bidi="fr-FR"/>
        </w:rPr>
        <w:t>phique du Répertoire de Synthèse historique</w:t>
      </w:r>
      <w:r w:rsidRPr="003B3476">
        <w:rPr>
          <w:bCs/>
        </w:rPr>
        <w:t xml:space="preserve">, dans </w:t>
      </w:r>
      <w:r w:rsidRPr="003B3476">
        <w:rPr>
          <w:i/>
          <w:lang w:val="fr-FR" w:eastAsia="fr-FR" w:bidi="fr-FR"/>
        </w:rPr>
        <w:t>Bulletin du Centre intern</w:t>
      </w:r>
      <w:r w:rsidRPr="003B3476">
        <w:rPr>
          <w:i/>
          <w:lang w:val="fr-FR" w:eastAsia="fr-FR" w:bidi="fr-FR"/>
        </w:rPr>
        <w:t>a</w:t>
      </w:r>
      <w:r w:rsidRPr="003B3476">
        <w:rPr>
          <w:i/>
          <w:lang w:val="fr-FR" w:eastAsia="fr-FR" w:bidi="fr-FR"/>
        </w:rPr>
        <w:t>tional de synthèse</w:t>
      </w:r>
      <w:r w:rsidRPr="003B3476">
        <w:rPr>
          <w:bCs/>
        </w:rPr>
        <w:t xml:space="preserve">, juin </w:t>
      </w:r>
      <w:r w:rsidRPr="003B3476">
        <w:rPr>
          <w:rStyle w:val="Notedebasdepage265ptNonGrasNonItalique"/>
          <w:b w:val="0"/>
          <w:bCs w:val="0"/>
          <w:i w:val="0"/>
          <w:iCs w:val="0"/>
          <w:sz w:val="24"/>
        </w:rPr>
        <w:t xml:space="preserve">1928, </w:t>
      </w:r>
      <w:r w:rsidRPr="003B3476">
        <w:rPr>
          <w:bCs/>
        </w:rPr>
        <w:t xml:space="preserve">notamment, p. </w:t>
      </w:r>
      <w:r w:rsidRPr="003B3476">
        <w:rPr>
          <w:rStyle w:val="Notedebasdepage265ptNonGrasNonItalique"/>
          <w:b w:val="0"/>
          <w:bCs w:val="0"/>
          <w:i w:val="0"/>
          <w:iCs w:val="0"/>
          <w:sz w:val="24"/>
        </w:rPr>
        <w:t>52.</w:t>
      </w:r>
    </w:p>
  </w:footnote>
  <w:footnote w:id="23">
    <w:p w14:paraId="5F57E4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Arch. de la Meuse, H </w:t>
      </w:r>
      <w:r w:rsidRPr="003B3476">
        <w:rPr>
          <w:rStyle w:val="Notedebasdepage65ptNonGras"/>
          <w:b w:val="0"/>
          <w:bCs w:val="0"/>
          <w:sz w:val="24"/>
        </w:rPr>
        <w:t xml:space="preserve">745-62. </w:t>
      </w:r>
      <w:r w:rsidRPr="003B3476">
        <w:rPr>
          <w:lang w:val="fr-FR" w:eastAsia="fr-FR" w:bidi="fr-FR"/>
        </w:rPr>
        <w:t>Terrier de Champs (commune Hagéville, Meu</w:t>
      </w:r>
      <w:r w:rsidRPr="003B3476">
        <w:rPr>
          <w:lang w:val="fr-FR" w:eastAsia="fr-FR" w:bidi="fr-FR"/>
        </w:rPr>
        <w:t>r</w:t>
      </w:r>
      <w:r w:rsidRPr="003B3476">
        <w:rPr>
          <w:lang w:val="fr-FR" w:eastAsia="fr-FR" w:bidi="fr-FR"/>
        </w:rPr>
        <w:t xml:space="preserve">the-et-Moselle, cant. Chambley) et Saint-Julien-lès-Gorze </w:t>
      </w:r>
      <w:r w:rsidRPr="003B3476">
        <w:rPr>
          <w:bCs/>
        </w:rPr>
        <w:t>(</w:t>
      </w:r>
      <w:r w:rsidRPr="003B3476">
        <w:rPr>
          <w:bCs/>
          <w:i/>
        </w:rPr>
        <w:t>id</w:t>
      </w:r>
      <w:r w:rsidRPr="003B3476">
        <w:rPr>
          <w:bCs/>
        </w:rPr>
        <w:t>.) :</w:t>
      </w:r>
      <w:r w:rsidRPr="003B3476">
        <w:rPr>
          <w:lang w:val="fr-FR" w:eastAsia="fr-FR" w:bidi="fr-FR"/>
        </w:rPr>
        <w:t xml:space="preserve"> H </w:t>
      </w:r>
      <w:r w:rsidRPr="003B3476">
        <w:rPr>
          <w:rStyle w:val="Notedebasdepage65ptNonGras"/>
          <w:b w:val="0"/>
          <w:bCs w:val="0"/>
          <w:sz w:val="24"/>
        </w:rPr>
        <w:t>747.</w:t>
      </w:r>
    </w:p>
  </w:footnote>
  <w:footnote w:id="24">
    <w:p w14:paraId="49D91F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Seine-et-Oise, D, fonds de Saint-Cyr. Échelle non indiquée. La Fl</w:t>
      </w:r>
      <w:r w:rsidRPr="003B3476">
        <w:rPr>
          <w:lang w:val="fr-FR" w:eastAsia="fr-FR" w:bidi="fr-FR"/>
        </w:rPr>
        <w:t>a</w:t>
      </w:r>
      <w:r w:rsidRPr="003B3476">
        <w:rPr>
          <w:lang w:val="fr-FR" w:eastAsia="fr-FR" w:bidi="fr-FR"/>
        </w:rPr>
        <w:t>mengrie, Aisne, cant. La Capelle.</w:t>
      </w:r>
    </w:p>
  </w:footnote>
  <w:footnote w:id="25">
    <w:p w14:paraId="2995E3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est mentionné dès 1550 : voir une liasse de procédure, de 1719, entre les habitants et les Dames. — Aujourd’hui Petit-Bois-Saint-Denis, commune La Fl.</w:t>
      </w:r>
    </w:p>
  </w:footnote>
  <w:footnote w:id="26">
    <w:p w14:paraId="764BF4A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 sont les </w:t>
      </w:r>
      <w:r w:rsidRPr="003B3476">
        <w:rPr>
          <w:bCs/>
          <w:i/>
        </w:rPr>
        <w:t>Waldhufen</w:t>
      </w:r>
      <w:r w:rsidRPr="003B3476">
        <w:rPr>
          <w:bCs/>
        </w:rPr>
        <w:t>.</w:t>
      </w:r>
      <w:r w:rsidRPr="003B3476">
        <w:rPr>
          <w:lang w:val="fr-FR" w:eastAsia="fr-FR" w:bidi="fr-FR"/>
        </w:rPr>
        <w:t xml:space="preserve"> Mais les savants allemands considèrent, en général, que les possessions des habitants étaient d’un seul tenant : je ne vois pas de raison de croire qu’il en ait jamais été ainsi à Bois-Saint-Denis.</w:t>
      </w:r>
    </w:p>
  </w:footnote>
  <w:footnote w:id="27">
    <w:p w14:paraId="5AF4B8B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Arch. de Seine-et-Oise, A 711 et 712. Échelles variables selon les feuilles. Brunoy, Seine-et-Oise, cant. Boissy-Saint-Léger. </w:t>
      </w:r>
      <w:r w:rsidRPr="003B3476">
        <w:rPr>
          <w:bCs/>
          <w:i/>
        </w:rPr>
        <w:t>Cf.</w:t>
      </w:r>
      <w:r w:rsidRPr="003B3476">
        <w:rPr>
          <w:lang w:val="fr-FR" w:eastAsia="fr-FR" w:bidi="fr-FR"/>
        </w:rPr>
        <w:t xml:space="preserve"> pour d’autres plans du même lieu, ou d’autres exemplaires des plans ci-dessus mentionnés, </w:t>
      </w:r>
      <w:r w:rsidRPr="003B3476">
        <w:rPr>
          <w:bCs/>
        </w:rPr>
        <w:t>supra</w:t>
      </w:r>
      <w:r w:rsidRPr="003B3476">
        <w:rPr>
          <w:lang w:val="fr-FR" w:eastAsia="fr-FR" w:bidi="fr-FR"/>
        </w:rPr>
        <w:t>, p. 572, n. 2.</w:t>
      </w:r>
    </w:p>
  </w:footnote>
  <w:footnote w:id="28">
    <w:p w14:paraId="795EA0B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Seine-et-Oise, D, fonds de Saint-Cyr. Tous deux (pour la partie commune) à l’échelle d’environ 1 : 1 670, Rueil, Seine-et-Oise, cant. Marly-le-Roi.</w:t>
      </w:r>
    </w:p>
  </w:footnote>
  <w:footnote w:id="29">
    <w:p w14:paraId="3E495A3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Seine-et-Oise, H, fonds de Morigny. Échelle non indiquée. Guille</w:t>
      </w:r>
      <w:r w:rsidRPr="003B3476">
        <w:rPr>
          <w:lang w:val="fr-FR" w:eastAsia="fr-FR" w:bidi="fr-FR"/>
        </w:rPr>
        <w:t>r</w:t>
      </w:r>
      <w:r w:rsidRPr="003B3476">
        <w:rPr>
          <w:lang w:val="fr-FR" w:eastAsia="fr-FR" w:bidi="fr-FR"/>
        </w:rPr>
        <w:t>ville, commune Sainte-Escobille, Seine-et-Oise, cant. Dourdan.</w:t>
      </w:r>
    </w:p>
  </w:footnote>
  <w:footnote w:id="30">
    <w:p w14:paraId="1F16A48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Meurthe-et-Moselle, B 11765-87 et 11971. Pour l’énumération des villages de la baronnie de Fénétrange, voir l’Inventaire. Vittersbourg, Moselle, cant. Albestroff.</w:t>
      </w:r>
    </w:p>
  </w:footnote>
  <w:footnote w:id="31">
    <w:p w14:paraId="42B1CF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Georges </w:t>
      </w:r>
      <w:r w:rsidRPr="003B3476">
        <w:rPr>
          <w:rStyle w:val="Notedebasdepage265ptNonGrasNonItalique"/>
          <w:b w:val="0"/>
          <w:bCs w:val="0"/>
          <w:i w:val="0"/>
          <w:iCs w:val="0"/>
          <w:smallCaps/>
          <w:sz w:val="24"/>
        </w:rPr>
        <w:t>Hottenger</w:t>
      </w:r>
      <w:r w:rsidRPr="003B3476">
        <w:rPr>
          <w:rStyle w:val="Notedebasdepage265ptNonGrasNonItalique"/>
          <w:b w:val="0"/>
          <w:bCs w:val="0"/>
          <w:i w:val="0"/>
          <w:iCs w:val="0"/>
          <w:sz w:val="24"/>
        </w:rPr>
        <w:t xml:space="preserve">, </w:t>
      </w:r>
      <w:r w:rsidRPr="003B3476">
        <w:rPr>
          <w:i/>
          <w:lang w:val="fr-FR" w:eastAsia="fr-FR" w:bidi="fr-FR"/>
        </w:rPr>
        <w:t>Les remembrements en Lorraine au XVIII</w:t>
      </w:r>
      <w:r w:rsidRPr="003B3476">
        <w:rPr>
          <w:i/>
          <w:vertAlign w:val="superscript"/>
          <w:lang w:val="fr-FR" w:eastAsia="fr-FR" w:bidi="fr-FR"/>
        </w:rPr>
        <w:t>e</w:t>
      </w:r>
      <w:r w:rsidRPr="003B3476">
        <w:rPr>
          <w:i/>
          <w:lang w:val="fr-FR" w:eastAsia="fr-FR" w:bidi="fr-FR"/>
        </w:rPr>
        <w:t xml:space="preserve"> siècle</w:t>
      </w:r>
      <w:r w:rsidRPr="003B3476">
        <w:rPr>
          <w:bCs/>
        </w:rPr>
        <w:t xml:space="preserve">, dans </w:t>
      </w:r>
      <w:r w:rsidRPr="003B3476">
        <w:rPr>
          <w:i/>
          <w:lang w:val="fr-FR" w:eastAsia="fr-FR" w:bidi="fr-FR"/>
        </w:rPr>
        <w:t>Mém. de la Société d’Archéologie lorraine</w:t>
      </w:r>
      <w:r w:rsidRPr="003B3476">
        <w:rPr>
          <w:bCs/>
        </w:rPr>
        <w:t>, t. LXIV (1919).</w:t>
      </w:r>
    </w:p>
  </w:footnote>
  <w:footnote w:id="32">
    <w:p w14:paraId="3A6D0F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Arch. Nat., N I, 1. </w:t>
      </w:r>
      <w:r w:rsidRPr="003B3476">
        <w:rPr>
          <w:bCs/>
          <w:i/>
        </w:rPr>
        <w:t>Cf.</w:t>
      </w:r>
      <w:r w:rsidRPr="003B3476">
        <w:rPr>
          <w:lang w:val="fr-FR" w:eastAsia="fr-FR" w:bidi="fr-FR"/>
        </w:rPr>
        <w:t xml:space="preserve"> le plan de Neuviller, reproduit, d’après un exemplaire conservé aux archives de la mairie, par G. </w:t>
      </w:r>
      <w:r w:rsidRPr="003B3476">
        <w:rPr>
          <w:rStyle w:val="Notedebasdepage65ptNonGras"/>
          <w:b w:val="0"/>
          <w:bCs w:val="0"/>
          <w:smallCaps/>
          <w:sz w:val="24"/>
        </w:rPr>
        <w:t>Hottenger</w:t>
      </w:r>
      <w:r w:rsidRPr="003B3476">
        <w:rPr>
          <w:rStyle w:val="Notedebasdepage65ptNonGras"/>
          <w:b w:val="0"/>
          <w:bCs w:val="0"/>
          <w:sz w:val="24"/>
        </w:rPr>
        <w:t xml:space="preserve">, </w:t>
      </w:r>
      <w:r w:rsidRPr="003B3476">
        <w:rPr>
          <w:bCs/>
          <w:i/>
        </w:rPr>
        <w:t>La propriété rurale en Lo</w:t>
      </w:r>
      <w:r w:rsidRPr="003B3476">
        <w:rPr>
          <w:bCs/>
          <w:i/>
        </w:rPr>
        <w:t>r</w:t>
      </w:r>
      <w:r w:rsidRPr="003B3476">
        <w:rPr>
          <w:bCs/>
          <w:i/>
        </w:rPr>
        <w:t>raine. Morcellement et remembrement</w:t>
      </w:r>
      <w:r w:rsidRPr="003B3476">
        <w:rPr>
          <w:lang w:val="fr-FR" w:eastAsia="fr-FR" w:bidi="fr-FR"/>
        </w:rPr>
        <w:t xml:space="preserve">, 1914 </w:t>
      </w:r>
      <w:r w:rsidRPr="003B3476">
        <w:rPr>
          <w:bCs/>
        </w:rPr>
        <w:t>(</w:t>
      </w:r>
      <w:r w:rsidRPr="003B3476">
        <w:rPr>
          <w:bCs/>
          <w:i/>
        </w:rPr>
        <w:t>Biblioth. du Musée social</w:t>
      </w:r>
      <w:r w:rsidRPr="003B3476">
        <w:rPr>
          <w:bCs/>
        </w:rPr>
        <w:t>),</w:t>
      </w:r>
      <w:r w:rsidRPr="003B3476">
        <w:rPr>
          <w:lang w:val="fr-FR" w:eastAsia="fr-FR" w:bidi="fr-FR"/>
        </w:rPr>
        <w:t xml:space="preserve"> p. 90. Neuviller-sur-Moselle et Roville, Meurthe-et-Moselle, cant. Haroué.</w:t>
      </w:r>
    </w:p>
  </w:footnote>
  <w:footnote w:id="33">
    <w:p w14:paraId="04ED37B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la Haute-Garonne, C 1580. Montgaillard, Haute-Garonne, cant. Vi</w:t>
      </w:r>
      <w:r w:rsidRPr="003B3476">
        <w:rPr>
          <w:lang w:val="fr-FR" w:eastAsia="fr-FR" w:bidi="fr-FR"/>
        </w:rPr>
        <w:t>l</w:t>
      </w:r>
      <w:r w:rsidRPr="003B3476">
        <w:rPr>
          <w:lang w:val="fr-FR" w:eastAsia="fr-FR" w:bidi="fr-FR"/>
        </w:rPr>
        <w:t>lefranche-de-Lauraguais.</w:t>
      </w:r>
    </w:p>
  </w:footnote>
  <w:footnote w:id="34">
    <w:p w14:paraId="1B7F9B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de Seine-et-Oise, A 326. Échelle environ 1 : 1 000. Langon, Gironde, arr. Bazas.</w:t>
      </w:r>
    </w:p>
  </w:footnote>
  <w:footnote w:id="35">
    <w:p w14:paraId="0978DD0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Annales d’Histoire sociale</w:t>
      </w:r>
      <w:r w:rsidRPr="003B3476">
        <w:rPr>
          <w:bCs/>
        </w:rPr>
        <w:t>, 1943, III, p. 55-70.</w:t>
      </w:r>
    </w:p>
  </w:footnote>
  <w:footnote w:id="36">
    <w:p w14:paraId="7CC390D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Supra</w:t>
      </w:r>
      <w:r w:rsidRPr="003B3476">
        <w:rPr>
          <w:lang w:val="fr-FR" w:eastAsia="fr-FR" w:bidi="fr-FR"/>
        </w:rPr>
        <w:t>, p. 565-576.</w:t>
      </w:r>
    </w:p>
  </w:footnote>
  <w:footnote w:id="37">
    <w:p w14:paraId="759825E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 Faucher, archiviste de la Haute-Garonne, prépare un répertoire des co</w:t>
      </w:r>
      <w:r w:rsidRPr="003B3476">
        <w:rPr>
          <w:lang w:val="fr-FR" w:eastAsia="fr-FR" w:bidi="fr-FR"/>
        </w:rPr>
        <w:t>m</w:t>
      </w:r>
      <w:r w:rsidRPr="003B3476">
        <w:rPr>
          <w:lang w:val="fr-FR" w:eastAsia="fr-FR" w:bidi="fr-FR"/>
        </w:rPr>
        <w:t xml:space="preserve">poix conservés dans son dépôt ; ce travail sera précédé d’une introduction, qui est appelée à rendre les plus grands services. Sur la Provence, on consultera un mémoire de M. Raoul </w:t>
      </w:r>
      <w:r w:rsidRPr="003B3476">
        <w:rPr>
          <w:rStyle w:val="Notedebasdepage65ptNonGras"/>
          <w:b w:val="0"/>
          <w:bCs w:val="0"/>
          <w:smallCaps/>
          <w:sz w:val="24"/>
        </w:rPr>
        <w:t>Busquet</w:t>
      </w:r>
      <w:r w:rsidRPr="003B3476">
        <w:rPr>
          <w:rStyle w:val="Notedebasdepage65ptNonGras"/>
          <w:b w:val="0"/>
          <w:bCs w:val="0"/>
          <w:sz w:val="24"/>
        </w:rPr>
        <w:t xml:space="preserve">, </w:t>
      </w:r>
      <w:r w:rsidRPr="003B3476">
        <w:rPr>
          <w:lang w:val="fr-FR" w:eastAsia="fr-FR" w:bidi="fr-FR"/>
        </w:rPr>
        <w:t xml:space="preserve">dans ses </w:t>
      </w:r>
      <w:r w:rsidRPr="003B3476">
        <w:rPr>
          <w:bCs/>
          <w:i/>
        </w:rPr>
        <w:t>Études sur l'ancienne Provence</w:t>
      </w:r>
      <w:r w:rsidRPr="003B3476">
        <w:rPr>
          <w:lang w:val="fr-FR" w:eastAsia="fr-FR" w:bidi="fr-FR"/>
        </w:rPr>
        <w:t xml:space="preserve"> (1930) ; sur le Vivarais, </w:t>
      </w:r>
      <w:r w:rsidRPr="003B3476">
        <w:rPr>
          <w:i/>
          <w:lang w:val="fr-FR" w:eastAsia="fr-FR" w:bidi="fr-FR"/>
        </w:rPr>
        <w:t xml:space="preserve">le </w:t>
      </w:r>
      <w:r w:rsidRPr="003B3476">
        <w:rPr>
          <w:bCs/>
          <w:i/>
        </w:rPr>
        <w:t>Répertoire des anciens compoix conservés dans les communes ou déposés aux Archives de l'Ardèche</w:t>
      </w:r>
      <w:r w:rsidRPr="003B3476">
        <w:rPr>
          <w:lang w:val="fr-FR" w:eastAsia="fr-FR" w:bidi="fr-FR"/>
        </w:rPr>
        <w:t xml:space="preserve">, publié en 1929, par M. Jean </w:t>
      </w:r>
      <w:r w:rsidRPr="003B3476">
        <w:rPr>
          <w:rStyle w:val="Notedebasdepage7ptPetitesmajuscules"/>
          <w:b w:val="0"/>
          <w:sz w:val="24"/>
        </w:rPr>
        <w:t xml:space="preserve">Régné. </w:t>
      </w:r>
      <w:r w:rsidRPr="003B3476">
        <w:rPr>
          <w:lang w:val="fr-FR" w:eastAsia="fr-FR" w:bidi="fr-FR"/>
        </w:rPr>
        <w:t xml:space="preserve">Je dois beaucoup aux indications que </w:t>
      </w:r>
      <w:r w:rsidRPr="003B3476">
        <w:rPr>
          <w:bCs/>
        </w:rPr>
        <w:t xml:space="preserve">M. </w:t>
      </w:r>
      <w:r w:rsidRPr="003B3476">
        <w:rPr>
          <w:lang w:val="fr-FR" w:eastAsia="fr-FR" w:bidi="fr-FR"/>
        </w:rPr>
        <w:t>de Dainville, archiviste de l’Hérault, a bien voulu me fournir. Voir aussi M. </w:t>
      </w:r>
      <w:r w:rsidRPr="003B3476">
        <w:rPr>
          <w:rStyle w:val="Notedebasdepage65ptNonGras"/>
          <w:b w:val="0"/>
          <w:bCs w:val="0"/>
          <w:smallCaps/>
          <w:sz w:val="24"/>
        </w:rPr>
        <w:t>Tudez</w:t>
      </w:r>
      <w:r w:rsidRPr="003B3476">
        <w:rPr>
          <w:rStyle w:val="Notedebasdepage65ptNonGras"/>
          <w:b w:val="0"/>
          <w:bCs w:val="0"/>
          <w:sz w:val="24"/>
        </w:rPr>
        <w:t xml:space="preserve">, </w:t>
      </w:r>
      <w:r w:rsidRPr="003B3476">
        <w:rPr>
          <w:bCs/>
          <w:i/>
        </w:rPr>
        <w:t>Le développement de la vigne dans la région de Montpellier</w:t>
      </w:r>
      <w:r w:rsidRPr="003B3476">
        <w:rPr>
          <w:i/>
          <w:lang w:val="fr-FR" w:eastAsia="fr-FR" w:bidi="fr-FR"/>
        </w:rPr>
        <w:t xml:space="preserve">, </w:t>
      </w:r>
      <w:r w:rsidRPr="003B3476">
        <w:rPr>
          <w:bCs/>
          <w:i/>
        </w:rPr>
        <w:t>du XVII</w:t>
      </w:r>
      <w:r w:rsidRPr="003B3476">
        <w:rPr>
          <w:bCs/>
          <w:i/>
          <w:vertAlign w:val="superscript"/>
        </w:rPr>
        <w:t>e</w:t>
      </w:r>
      <w:r w:rsidRPr="003B3476">
        <w:rPr>
          <w:bCs/>
          <w:i/>
        </w:rPr>
        <w:t> siècle à nos jours</w:t>
      </w:r>
      <w:r w:rsidRPr="003B3476">
        <w:rPr>
          <w:lang w:val="fr-FR" w:eastAsia="fr-FR" w:bidi="fr-FR"/>
        </w:rPr>
        <w:t xml:space="preserve"> (1934), à l’introduction.</w:t>
      </w:r>
    </w:p>
  </w:footnote>
  <w:footnote w:id="38">
    <w:p w14:paraId="68F3DA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Hérault, cant. Gastries ; Arch. de l’Hérault, E, non coté. Le plan devait co</w:t>
      </w:r>
      <w:r w:rsidRPr="003B3476">
        <w:rPr>
          <w:lang w:val="fr-FR" w:eastAsia="fr-FR" w:bidi="fr-FR"/>
        </w:rPr>
        <w:t>m</w:t>
      </w:r>
      <w:r w:rsidRPr="003B3476">
        <w:rPr>
          <w:lang w:val="fr-FR" w:eastAsia="fr-FR" w:bidi="fr-FR"/>
        </w:rPr>
        <w:t>prendre plusieurs feuilles. Une seule, semble-t-il, a été conservée. On la tro</w:t>
      </w:r>
      <w:r w:rsidRPr="003B3476">
        <w:rPr>
          <w:lang w:val="fr-FR" w:eastAsia="fr-FR" w:bidi="fr-FR"/>
        </w:rPr>
        <w:t>u</w:t>
      </w:r>
      <w:r w:rsidRPr="003B3476">
        <w:rPr>
          <w:lang w:val="fr-FR" w:eastAsia="fr-FR" w:bidi="fr-FR"/>
        </w:rPr>
        <w:t>vera insérée dans un des deux exemplaires du compoix, sans être reliée avec lui. Le plan ici est, d’ailleurs, plus complet et, d’un certain point de vue, plus instructif que le compoix. Celui-ci, en effet, parmi les biens-fonds appartenant au seigneur (le marquis de Castries), recense seulement un modeste pré. C’est que les autres étaient biens nobles et, par suite, soustraits à la taille. Le géom</w:t>
      </w:r>
      <w:r w:rsidRPr="003B3476">
        <w:rPr>
          <w:lang w:val="fr-FR" w:eastAsia="fr-FR" w:bidi="fr-FR"/>
        </w:rPr>
        <w:t>è</w:t>
      </w:r>
      <w:r w:rsidRPr="003B3476">
        <w:rPr>
          <w:lang w:val="fr-FR" w:eastAsia="fr-FR" w:bidi="fr-FR"/>
        </w:rPr>
        <w:t>tre, au contraire, les a tous compris dans son levé, comme il était à peu près inévitable, étant donné leur enchevêtrement avec les parcelles taillables. L’étendue de la propriété seigneuriale apparaît ainsi telle quelle était en réal</w:t>
      </w:r>
      <w:r w:rsidRPr="003B3476">
        <w:rPr>
          <w:lang w:val="fr-FR" w:eastAsia="fr-FR" w:bidi="fr-FR"/>
        </w:rPr>
        <w:t>i</w:t>
      </w:r>
      <w:r w:rsidRPr="003B3476">
        <w:rPr>
          <w:lang w:val="fr-FR" w:eastAsia="fr-FR" w:bidi="fr-FR"/>
        </w:rPr>
        <w:t>té : très considérable.</w:t>
      </w:r>
    </w:p>
  </w:footnote>
  <w:footnote w:id="39">
    <w:p w14:paraId="6E05CB8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Hérault, cant. de Lodève : Arch. de l’Hérault, E, non coté.</w:t>
      </w:r>
    </w:p>
  </w:footnote>
  <w:footnote w:id="40">
    <w:p w14:paraId="6F5E22C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taille « proportionnelle » ou « tarifée », il existe un ouvrage d’ensemble, un peu ancien : Christian </w:t>
      </w:r>
      <w:r w:rsidRPr="003B3476">
        <w:rPr>
          <w:rStyle w:val="Notedebasdepage65ptNonGras"/>
          <w:b w:val="0"/>
          <w:bCs w:val="0"/>
          <w:smallCaps/>
          <w:sz w:val="24"/>
        </w:rPr>
        <w:t>Paultre</w:t>
      </w:r>
      <w:r w:rsidRPr="003B3476">
        <w:rPr>
          <w:rStyle w:val="Notedebasdepage65ptNonGras"/>
          <w:b w:val="0"/>
          <w:bCs w:val="0"/>
          <w:sz w:val="24"/>
        </w:rPr>
        <w:t xml:space="preserve">, </w:t>
      </w:r>
      <w:r w:rsidRPr="003B3476">
        <w:rPr>
          <w:bCs/>
          <w:i/>
        </w:rPr>
        <w:t>La taille tarifée de l’abbé de Saint-Pierre et l’administration de la taille</w:t>
      </w:r>
      <w:r w:rsidRPr="003B3476">
        <w:rPr>
          <w:lang w:val="fr-FR" w:eastAsia="fr-FR" w:bidi="fr-FR"/>
        </w:rPr>
        <w:t xml:space="preserve"> (Thèse Droit, Paris), 1903 (la thèse de lettres de J. </w:t>
      </w:r>
      <w:r w:rsidRPr="003B3476">
        <w:rPr>
          <w:rStyle w:val="Notedebasdepage65ptNonGras"/>
          <w:b w:val="0"/>
          <w:bCs w:val="0"/>
          <w:smallCaps/>
          <w:sz w:val="24"/>
        </w:rPr>
        <w:t>Drouet</w:t>
      </w:r>
      <w:r w:rsidRPr="003B3476">
        <w:rPr>
          <w:rStyle w:val="Notedebasdepage65ptNonGras"/>
          <w:b w:val="0"/>
          <w:bCs w:val="0"/>
          <w:sz w:val="24"/>
        </w:rPr>
        <w:t xml:space="preserve">, </w:t>
      </w:r>
      <w:r w:rsidRPr="003B3476">
        <w:rPr>
          <w:bCs/>
          <w:i/>
        </w:rPr>
        <w:t>L’abbé de Saint-Pierre,</w:t>
      </w:r>
      <w:r w:rsidRPr="003B3476">
        <w:rPr>
          <w:lang w:val="fr-FR" w:eastAsia="fr-FR" w:bidi="fr-FR"/>
        </w:rPr>
        <w:t xml:space="preserve"> 1912, n’ajoute rien sur ce point au livre de Paultre) ; et trois monographies locales, qui sont, elles aussi, toutes trois des thèses de droit : Robert </w:t>
      </w:r>
      <w:r w:rsidRPr="003B3476">
        <w:rPr>
          <w:rStyle w:val="Notedebasdepage65ptNonGras"/>
          <w:b w:val="0"/>
          <w:bCs w:val="0"/>
          <w:smallCaps/>
          <w:sz w:val="24"/>
        </w:rPr>
        <w:t>Lentz</w:t>
      </w:r>
      <w:r w:rsidRPr="003B3476">
        <w:rPr>
          <w:rStyle w:val="Notedebasdepage65ptNonGras"/>
          <w:b w:val="0"/>
          <w:bCs w:val="0"/>
          <w:sz w:val="24"/>
        </w:rPr>
        <w:t xml:space="preserve">, </w:t>
      </w:r>
      <w:r w:rsidRPr="003B3476">
        <w:rPr>
          <w:bCs/>
          <w:i/>
        </w:rPr>
        <w:t>La taille tarifée en Champ</w:t>
      </w:r>
      <w:r w:rsidRPr="003B3476">
        <w:rPr>
          <w:bCs/>
          <w:i/>
        </w:rPr>
        <w:t>a</w:t>
      </w:r>
      <w:r w:rsidRPr="003B3476">
        <w:rPr>
          <w:bCs/>
          <w:i/>
        </w:rPr>
        <w:t>gne</w:t>
      </w:r>
      <w:r w:rsidRPr="003B3476">
        <w:rPr>
          <w:lang w:val="fr-FR" w:eastAsia="fr-FR" w:bidi="fr-FR"/>
        </w:rPr>
        <w:t xml:space="preserve">, 1928 (Th. Paris) ; </w:t>
      </w:r>
      <w:r w:rsidRPr="003B3476">
        <w:rPr>
          <w:rStyle w:val="Notedebasdepage65ptNonGras"/>
          <w:b w:val="0"/>
          <w:bCs w:val="0"/>
          <w:smallCaps/>
          <w:sz w:val="24"/>
        </w:rPr>
        <w:t>Sarrauste de Menthière</w:t>
      </w:r>
      <w:r w:rsidRPr="003B3476">
        <w:rPr>
          <w:rStyle w:val="Notedebasdepage65ptNonGras"/>
          <w:b w:val="0"/>
          <w:bCs w:val="0"/>
          <w:sz w:val="24"/>
        </w:rPr>
        <w:t xml:space="preserve">, </w:t>
      </w:r>
      <w:r w:rsidRPr="003B3476">
        <w:rPr>
          <w:bCs/>
          <w:i/>
        </w:rPr>
        <w:t>La taille tarifée en Auve</w:t>
      </w:r>
      <w:r w:rsidRPr="003B3476">
        <w:rPr>
          <w:bCs/>
          <w:i/>
        </w:rPr>
        <w:t>r</w:t>
      </w:r>
      <w:r w:rsidRPr="003B3476">
        <w:rPr>
          <w:bCs/>
          <w:i/>
        </w:rPr>
        <w:t>gne</w:t>
      </w:r>
      <w:r w:rsidRPr="003B3476">
        <w:rPr>
          <w:lang w:val="fr-FR" w:eastAsia="fr-FR" w:bidi="fr-FR"/>
        </w:rPr>
        <w:t xml:space="preserve">, 1928 (Th. Poitiers) ; Jean </w:t>
      </w:r>
      <w:r w:rsidRPr="003B3476">
        <w:rPr>
          <w:rStyle w:val="Notedebasdepage65ptNonGras"/>
          <w:b w:val="0"/>
          <w:bCs w:val="0"/>
          <w:smallCaps/>
          <w:sz w:val="24"/>
        </w:rPr>
        <w:t>Piel</w:t>
      </w:r>
      <w:r w:rsidRPr="003B3476">
        <w:rPr>
          <w:rStyle w:val="Notedebasdepage65ptNonGras"/>
          <w:b w:val="0"/>
          <w:bCs w:val="0"/>
          <w:sz w:val="24"/>
        </w:rPr>
        <w:t xml:space="preserve">, </w:t>
      </w:r>
      <w:r w:rsidRPr="003B3476">
        <w:rPr>
          <w:bCs/>
          <w:i/>
        </w:rPr>
        <w:t>La taille proportionnelle dans les génér</w:t>
      </w:r>
      <w:r w:rsidRPr="003B3476">
        <w:rPr>
          <w:bCs/>
          <w:i/>
        </w:rPr>
        <w:t>a</w:t>
      </w:r>
      <w:r w:rsidRPr="003B3476">
        <w:rPr>
          <w:bCs/>
          <w:i/>
        </w:rPr>
        <w:t>lités de Caen et d’Alençon</w:t>
      </w:r>
      <w:r w:rsidRPr="003B3476">
        <w:rPr>
          <w:lang w:val="fr-FR" w:eastAsia="fr-FR" w:bidi="fr-FR"/>
        </w:rPr>
        <w:t xml:space="preserve">, 1907 (Th. Caen). On se reportera naturellement aux ouvrages généraux, notamment au t. I de </w:t>
      </w:r>
      <w:r w:rsidRPr="003B3476">
        <w:rPr>
          <w:bCs/>
        </w:rPr>
        <w:t>l</w:t>
      </w:r>
      <w:r w:rsidRPr="003B3476">
        <w:rPr>
          <w:bCs/>
          <w:i/>
        </w:rPr>
        <w:t>’Histoire financière de la Fra</w:t>
      </w:r>
      <w:r w:rsidRPr="003B3476">
        <w:rPr>
          <w:bCs/>
          <w:i/>
        </w:rPr>
        <w:t>n</w:t>
      </w:r>
      <w:r w:rsidRPr="003B3476">
        <w:rPr>
          <w:bCs/>
          <w:i/>
        </w:rPr>
        <w:t>ce</w:t>
      </w:r>
      <w:r w:rsidRPr="003B3476">
        <w:rPr>
          <w:lang w:val="fr-FR" w:eastAsia="fr-FR" w:bidi="fr-FR"/>
        </w:rPr>
        <w:t xml:space="preserve"> de Marcel </w:t>
      </w:r>
      <w:r w:rsidRPr="003B3476">
        <w:rPr>
          <w:rStyle w:val="Notedebasdepage65ptNonGras"/>
          <w:b w:val="0"/>
          <w:bCs w:val="0"/>
          <w:smallCaps/>
          <w:sz w:val="24"/>
        </w:rPr>
        <w:t>Marion</w:t>
      </w:r>
      <w:r w:rsidRPr="003B3476">
        <w:rPr>
          <w:rStyle w:val="Notedebasdepage65ptNonGras"/>
          <w:b w:val="0"/>
          <w:bCs w:val="0"/>
          <w:sz w:val="24"/>
        </w:rPr>
        <w:t xml:space="preserve"> </w:t>
      </w:r>
      <w:r w:rsidRPr="003B3476">
        <w:rPr>
          <w:lang w:val="fr-FR" w:eastAsia="fr-FR" w:bidi="fr-FR"/>
        </w:rPr>
        <w:t>(dont l’information, sur les faits provinciaux, est déc</w:t>
      </w:r>
      <w:r w:rsidRPr="003B3476">
        <w:rPr>
          <w:lang w:val="fr-FR" w:eastAsia="fr-FR" w:bidi="fr-FR"/>
        </w:rPr>
        <w:t>i</w:t>
      </w:r>
      <w:r w:rsidRPr="003B3476">
        <w:rPr>
          <w:lang w:val="fr-FR" w:eastAsia="fr-FR" w:bidi="fr-FR"/>
        </w:rPr>
        <w:t>dément insuffisante). La litt</w:t>
      </w:r>
      <w:r w:rsidRPr="003B3476">
        <w:rPr>
          <w:lang w:val="fr-FR" w:eastAsia="fr-FR" w:bidi="fr-FR"/>
        </w:rPr>
        <w:t>é</w:t>
      </w:r>
      <w:r w:rsidRPr="003B3476">
        <w:rPr>
          <w:lang w:val="fr-FR" w:eastAsia="fr-FR" w:bidi="fr-FR"/>
        </w:rPr>
        <w:t>rature fiscale du XVIII</w:t>
      </w:r>
      <w:r w:rsidRPr="003B3476">
        <w:rPr>
          <w:vertAlign w:val="superscript"/>
          <w:lang w:val="fr-FR" w:eastAsia="fr-FR" w:bidi="fr-FR"/>
        </w:rPr>
        <w:t>e</w:t>
      </w:r>
      <w:r w:rsidRPr="003B3476">
        <w:rPr>
          <w:lang w:val="fr-FR" w:eastAsia="fr-FR" w:bidi="fr-FR"/>
        </w:rPr>
        <w:t> siècle abonde, comme à l’ordinaire, en renseign</w:t>
      </w:r>
      <w:r w:rsidRPr="003B3476">
        <w:rPr>
          <w:lang w:val="fr-FR" w:eastAsia="fr-FR" w:bidi="fr-FR"/>
        </w:rPr>
        <w:t>e</w:t>
      </w:r>
      <w:r w:rsidRPr="003B3476">
        <w:rPr>
          <w:lang w:val="fr-FR" w:eastAsia="fr-FR" w:bidi="fr-FR"/>
        </w:rPr>
        <w:t>ments d’un grand prix.</w:t>
      </w:r>
    </w:p>
  </w:footnote>
  <w:footnote w:id="41">
    <w:p w14:paraId="09692E9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w:t>
      </w:r>
      <w:r w:rsidRPr="003B3476">
        <w:rPr>
          <w:rStyle w:val="Notedebasdepage65ptNonGras"/>
          <w:b w:val="0"/>
          <w:bCs w:val="0"/>
          <w:sz w:val="24"/>
        </w:rPr>
        <w:t xml:space="preserve">E. </w:t>
      </w:r>
      <w:r w:rsidRPr="003B3476">
        <w:rPr>
          <w:rStyle w:val="Notedebasdepage65ptNonGras"/>
          <w:b w:val="0"/>
          <w:bCs w:val="0"/>
          <w:smallCaps/>
          <w:sz w:val="24"/>
        </w:rPr>
        <w:t>Esmonin</w:t>
      </w:r>
      <w:r w:rsidRPr="003B3476">
        <w:rPr>
          <w:rStyle w:val="Notedebasdepage65ptNonGras"/>
          <w:b w:val="0"/>
          <w:bCs w:val="0"/>
          <w:sz w:val="24"/>
        </w:rPr>
        <w:t xml:space="preserve">, </w:t>
      </w:r>
      <w:r w:rsidRPr="003B3476">
        <w:rPr>
          <w:bCs/>
          <w:i/>
        </w:rPr>
        <w:t>La taille en Normandie au temps de Colbert</w:t>
      </w:r>
      <w:r w:rsidRPr="003B3476">
        <w:rPr>
          <w:lang w:val="fr-FR" w:eastAsia="fr-FR" w:bidi="fr-FR"/>
        </w:rPr>
        <w:t xml:space="preserve"> (1913), p. 320, 321, 382 ; M. </w:t>
      </w:r>
      <w:r w:rsidRPr="003B3476">
        <w:rPr>
          <w:rStyle w:val="Notedebasdepage65ptNonGras"/>
          <w:b w:val="0"/>
          <w:bCs w:val="0"/>
          <w:smallCaps/>
          <w:sz w:val="24"/>
        </w:rPr>
        <w:t>Marion</w:t>
      </w:r>
      <w:r w:rsidRPr="003B3476">
        <w:rPr>
          <w:rStyle w:val="Notedebasdepage65ptNonGras"/>
          <w:b w:val="0"/>
          <w:bCs w:val="0"/>
          <w:sz w:val="24"/>
        </w:rPr>
        <w:t xml:space="preserve">, </w:t>
      </w:r>
      <w:r w:rsidRPr="003B3476">
        <w:rPr>
          <w:bCs/>
          <w:i/>
        </w:rPr>
        <w:t>L’impôt sur le revenu au XVIII</w:t>
      </w:r>
      <w:r w:rsidRPr="003B3476">
        <w:rPr>
          <w:bCs/>
          <w:i/>
          <w:vertAlign w:val="superscript"/>
        </w:rPr>
        <w:t>e</w:t>
      </w:r>
      <w:r w:rsidRPr="003B3476">
        <w:rPr>
          <w:bCs/>
          <w:i/>
        </w:rPr>
        <w:t xml:space="preserve"> siècle</w:t>
      </w:r>
      <w:r w:rsidRPr="003B3476">
        <w:rPr>
          <w:i/>
          <w:lang w:val="fr-FR" w:eastAsia="fr-FR" w:bidi="fr-FR"/>
        </w:rPr>
        <w:t xml:space="preserve">, </w:t>
      </w:r>
      <w:r w:rsidRPr="003B3476">
        <w:rPr>
          <w:bCs/>
          <w:i/>
        </w:rPr>
        <w:t>principalement en Guyenne</w:t>
      </w:r>
      <w:r w:rsidRPr="003B3476">
        <w:rPr>
          <w:i/>
          <w:lang w:val="fr-FR" w:eastAsia="fr-FR" w:bidi="fr-FR"/>
        </w:rPr>
        <w:t xml:space="preserve"> </w:t>
      </w:r>
      <w:r w:rsidRPr="003B3476">
        <w:rPr>
          <w:lang w:val="fr-FR" w:eastAsia="fr-FR" w:bidi="fr-FR"/>
        </w:rPr>
        <w:t>(1901), p. 47. Un bon exemple de ce type de document est fourni par un rôle de Volvic, du 2 juin 1688. Arch. du Puy-de-Dôme,  C 3300. La co</w:t>
      </w:r>
      <w:r w:rsidRPr="003B3476">
        <w:rPr>
          <w:lang w:val="fr-FR" w:eastAsia="fr-FR" w:bidi="fr-FR"/>
        </w:rPr>
        <w:t>m</w:t>
      </w:r>
      <w:r w:rsidRPr="003B3476">
        <w:rPr>
          <w:lang w:val="fr-FR" w:eastAsia="fr-FR" w:bidi="fr-FR"/>
        </w:rPr>
        <w:t>paraison avec le rôle de taille tarifée de 1740 ( C 3198) serait du plus vif int</w:t>
      </w:r>
      <w:r w:rsidRPr="003B3476">
        <w:rPr>
          <w:lang w:val="fr-FR" w:eastAsia="fr-FR" w:bidi="fr-FR"/>
        </w:rPr>
        <w:t>é</w:t>
      </w:r>
      <w:r w:rsidRPr="003B3476">
        <w:rPr>
          <w:lang w:val="fr-FR" w:eastAsia="fr-FR" w:bidi="fr-FR"/>
        </w:rPr>
        <w:t>rêt.</w:t>
      </w:r>
    </w:p>
  </w:footnote>
  <w:footnote w:id="42">
    <w:p w14:paraId="232D524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Outre la circulaire de Bertin, du 27 août 1763, avec questionnaire aux inte</w:t>
      </w:r>
      <w:r w:rsidRPr="003B3476">
        <w:rPr>
          <w:lang w:val="fr-FR" w:eastAsia="fr-FR" w:bidi="fr-FR"/>
        </w:rPr>
        <w:t>n</w:t>
      </w:r>
      <w:r w:rsidRPr="003B3476">
        <w:rPr>
          <w:lang w:val="fr-FR" w:eastAsia="fr-FR" w:bidi="fr-FR"/>
        </w:rPr>
        <w:t xml:space="preserve">dants, et la circulaire de rappel de Laverdy, du 23 février 1764 (nombreux exemplaires dans les Archives départementales, notamment ! Puy-de-Dôme, </w:t>
      </w:r>
      <w:r w:rsidRPr="003B3476">
        <w:rPr>
          <w:rStyle w:val="Notedebasdepage65ptNonGras"/>
          <w:b w:val="0"/>
          <w:bCs w:val="0"/>
          <w:sz w:val="24"/>
        </w:rPr>
        <w:t xml:space="preserve">C </w:t>
      </w:r>
      <w:r w:rsidRPr="003B3476">
        <w:rPr>
          <w:lang w:val="fr-FR" w:eastAsia="fr-FR" w:bidi="fr-FR"/>
        </w:rPr>
        <w:t xml:space="preserve">3283), voir le dossier publié par </w:t>
      </w:r>
      <w:r w:rsidRPr="003B3476">
        <w:rPr>
          <w:rStyle w:val="Notedebasdepage65ptNonGras"/>
          <w:b w:val="0"/>
          <w:bCs w:val="0"/>
          <w:smallCaps/>
          <w:sz w:val="24"/>
        </w:rPr>
        <w:t>Flammermont</w:t>
      </w:r>
      <w:r w:rsidRPr="003B3476">
        <w:rPr>
          <w:rStyle w:val="Notedebasdepage65ptNonGras"/>
          <w:b w:val="0"/>
          <w:bCs w:val="0"/>
          <w:sz w:val="24"/>
        </w:rPr>
        <w:t xml:space="preserve">, </w:t>
      </w:r>
      <w:r w:rsidRPr="003B3476">
        <w:rPr>
          <w:bCs/>
          <w:i/>
        </w:rPr>
        <w:t>Remontrances du Parlement de P</w:t>
      </w:r>
      <w:r w:rsidRPr="003B3476">
        <w:rPr>
          <w:bCs/>
          <w:i/>
        </w:rPr>
        <w:t>a</w:t>
      </w:r>
      <w:r w:rsidRPr="003B3476">
        <w:rPr>
          <w:bCs/>
          <w:i/>
        </w:rPr>
        <w:t>ris</w:t>
      </w:r>
      <w:r w:rsidRPr="003B3476">
        <w:rPr>
          <w:bCs/>
        </w:rPr>
        <w:t>,</w:t>
      </w:r>
      <w:r w:rsidRPr="003B3476">
        <w:rPr>
          <w:lang w:val="fr-FR" w:eastAsia="fr-FR" w:bidi="fr-FR"/>
        </w:rPr>
        <w:t xml:space="preserve"> t. II, p. 324 et suiv. ; </w:t>
      </w:r>
      <w:r w:rsidRPr="003B3476">
        <w:rPr>
          <w:rStyle w:val="Notedebasdepage65ptNonGras"/>
          <w:b w:val="0"/>
          <w:bCs w:val="0"/>
          <w:smallCaps/>
          <w:sz w:val="24"/>
        </w:rPr>
        <w:t>Marion</w:t>
      </w:r>
      <w:r w:rsidRPr="003B3476">
        <w:rPr>
          <w:rStyle w:val="Notedebasdepage65ptNonGras"/>
          <w:b w:val="0"/>
          <w:bCs w:val="0"/>
          <w:sz w:val="24"/>
        </w:rPr>
        <w:t xml:space="preserve">, </w:t>
      </w:r>
      <w:r w:rsidRPr="003B3476">
        <w:rPr>
          <w:bCs/>
          <w:i/>
        </w:rPr>
        <w:t>Les impôts directs</w:t>
      </w:r>
      <w:r w:rsidRPr="003B3476">
        <w:rPr>
          <w:lang w:val="fr-FR" w:eastAsia="fr-FR" w:bidi="fr-FR"/>
        </w:rPr>
        <w:t xml:space="preserve">, p. 215 (lettres de Lamoignon de Malesherbes, 1763, 2 sept.) et p. 311 (Déclaration, 21 nov.). </w:t>
      </w:r>
      <w:r w:rsidRPr="003B3476">
        <w:rPr>
          <w:i/>
          <w:lang w:val="fr-FR" w:eastAsia="fr-FR" w:bidi="fr-FR"/>
        </w:rPr>
        <w:t>Cf.</w:t>
      </w:r>
      <w:r w:rsidRPr="003B3476">
        <w:rPr>
          <w:lang w:val="fr-FR" w:eastAsia="fr-FR" w:bidi="fr-FR"/>
        </w:rPr>
        <w:t xml:space="preserve"> ci-dessous, p. 592, n. 3.</w:t>
      </w:r>
    </w:p>
  </w:footnote>
  <w:footnote w:id="43">
    <w:p w14:paraId="1CB9B46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w:t>
      </w:r>
      <w:r w:rsidRPr="003B3476">
        <w:rPr>
          <w:rStyle w:val="Notedebasdepage65ptNonGras"/>
          <w:b w:val="0"/>
          <w:bCs w:val="0"/>
          <w:smallCaps/>
          <w:sz w:val="24"/>
        </w:rPr>
        <w:t>Turgot</w:t>
      </w:r>
      <w:r w:rsidRPr="003B3476">
        <w:rPr>
          <w:rStyle w:val="Notedebasdepage65ptNonGras"/>
          <w:b w:val="0"/>
          <w:bCs w:val="0"/>
          <w:sz w:val="24"/>
        </w:rPr>
        <w:t xml:space="preserve">, </w:t>
      </w:r>
      <w:r w:rsidRPr="003B3476">
        <w:rPr>
          <w:bCs/>
          <w:i/>
        </w:rPr>
        <w:t>Matériaux pour le mémoire sur les impositions</w:t>
      </w:r>
      <w:r w:rsidRPr="003B3476">
        <w:rPr>
          <w:lang w:val="fr-FR" w:eastAsia="fr-FR" w:bidi="fr-FR"/>
        </w:rPr>
        <w:t xml:space="preserve"> </w:t>
      </w:r>
      <w:r w:rsidRPr="003B3476">
        <w:rPr>
          <w:rStyle w:val="Notedebasdepage65ptNonGras"/>
          <w:b w:val="0"/>
          <w:bCs w:val="0"/>
          <w:sz w:val="24"/>
        </w:rPr>
        <w:t xml:space="preserve">(1763), </w:t>
      </w:r>
      <w:r w:rsidRPr="003B3476">
        <w:rPr>
          <w:lang w:val="fr-FR" w:eastAsia="fr-FR" w:bidi="fr-FR"/>
        </w:rPr>
        <w:t xml:space="preserve">dans </w:t>
      </w:r>
      <w:r w:rsidRPr="003B3476">
        <w:rPr>
          <w:bCs/>
          <w:i/>
        </w:rPr>
        <w:t>Œ</w:t>
      </w:r>
      <w:r w:rsidRPr="003B3476">
        <w:rPr>
          <w:bCs/>
          <w:i/>
        </w:rPr>
        <w:t>u</w:t>
      </w:r>
      <w:r w:rsidRPr="003B3476">
        <w:rPr>
          <w:bCs/>
          <w:i/>
        </w:rPr>
        <w:t>vres</w:t>
      </w:r>
      <w:r w:rsidRPr="003B3476">
        <w:rPr>
          <w:lang w:val="fr-FR" w:eastAsia="fr-FR" w:bidi="fr-FR"/>
        </w:rPr>
        <w:t xml:space="preserve"> (éd. </w:t>
      </w:r>
      <w:r w:rsidRPr="003B3476">
        <w:rPr>
          <w:smallCaps/>
          <w:lang w:val="fr-FR" w:eastAsia="fr-FR" w:bidi="fr-FR"/>
        </w:rPr>
        <w:t>Schelle</w:t>
      </w:r>
      <w:r w:rsidRPr="003B3476">
        <w:rPr>
          <w:lang w:val="fr-FR" w:eastAsia="fr-FR" w:bidi="fr-FR"/>
        </w:rPr>
        <w:t xml:space="preserve">), t. II, p. </w:t>
      </w:r>
      <w:r w:rsidRPr="003B3476">
        <w:rPr>
          <w:rStyle w:val="Notedebasdepage65ptNonGras"/>
          <w:b w:val="0"/>
          <w:bCs w:val="0"/>
          <w:sz w:val="24"/>
        </w:rPr>
        <w:t>308 :</w:t>
      </w:r>
      <w:r w:rsidRPr="003B3476">
        <w:rPr>
          <w:lang w:val="fr-FR" w:eastAsia="fr-FR" w:bidi="fr-FR"/>
        </w:rPr>
        <w:t xml:space="preserve"> « II faut distinguer le </w:t>
      </w:r>
      <w:r w:rsidRPr="003B3476">
        <w:rPr>
          <w:bCs/>
          <w:i/>
        </w:rPr>
        <w:t>terrier</w:t>
      </w:r>
      <w:r w:rsidRPr="003B3476">
        <w:rPr>
          <w:lang w:val="fr-FR" w:eastAsia="fr-FR" w:bidi="fr-FR"/>
        </w:rPr>
        <w:t xml:space="preserve">, le </w:t>
      </w:r>
      <w:r w:rsidRPr="003B3476">
        <w:rPr>
          <w:bCs/>
        </w:rPr>
        <w:t>cadastre</w:t>
      </w:r>
      <w:r w:rsidRPr="003B3476">
        <w:rPr>
          <w:lang w:val="fr-FR" w:eastAsia="fr-FR" w:bidi="fr-FR"/>
        </w:rPr>
        <w:t xml:space="preserve"> et le </w:t>
      </w:r>
      <w:r w:rsidRPr="003B3476">
        <w:rPr>
          <w:bCs/>
        </w:rPr>
        <w:t>tarif.</w:t>
      </w:r>
      <w:r w:rsidRPr="003B3476">
        <w:rPr>
          <w:lang w:val="fr-FR" w:eastAsia="fr-FR" w:bidi="fr-FR"/>
        </w:rPr>
        <w:t xml:space="preserve"> Le </w:t>
      </w:r>
      <w:r w:rsidRPr="003B3476">
        <w:rPr>
          <w:bCs/>
        </w:rPr>
        <w:t>terrier</w:t>
      </w:r>
      <w:r w:rsidRPr="003B3476">
        <w:rPr>
          <w:lang w:val="fr-FR" w:eastAsia="fr-FR" w:bidi="fr-FR"/>
        </w:rPr>
        <w:t xml:space="preserve"> est le dénombrement exact des biens-fonds. Le </w:t>
      </w:r>
      <w:r w:rsidRPr="003B3476">
        <w:rPr>
          <w:bCs/>
          <w:i/>
        </w:rPr>
        <w:t>cadastre</w:t>
      </w:r>
      <w:r w:rsidRPr="003B3476">
        <w:rPr>
          <w:lang w:val="fr-FR" w:eastAsia="fr-FR" w:bidi="fr-FR"/>
        </w:rPr>
        <w:t xml:space="preserve"> est le tableau de comparaison de la valeur des biens-fonds. Le </w:t>
      </w:r>
      <w:r w:rsidRPr="003B3476">
        <w:rPr>
          <w:bCs/>
        </w:rPr>
        <w:t>tarif</w:t>
      </w:r>
      <w:r w:rsidRPr="003B3476">
        <w:rPr>
          <w:lang w:val="fr-FR" w:eastAsia="fr-FR" w:bidi="fr-FR"/>
        </w:rPr>
        <w:t xml:space="preserve"> est la proportion dans laquelle les différents fonds devront être taxés, suivant leur nature et su</w:t>
      </w:r>
      <w:r w:rsidRPr="003B3476">
        <w:rPr>
          <w:lang w:val="fr-FR" w:eastAsia="fr-FR" w:bidi="fr-FR"/>
        </w:rPr>
        <w:t>i</w:t>
      </w:r>
      <w:r w:rsidRPr="003B3476">
        <w:rPr>
          <w:lang w:val="fr-FR" w:eastAsia="fr-FR" w:bidi="fr-FR"/>
        </w:rPr>
        <w:t xml:space="preserve">vant les privilèges des possesseurs ». Définitions analogues du « cadastre » et du « tarif », dans la </w:t>
      </w:r>
      <w:r w:rsidRPr="003B3476">
        <w:rPr>
          <w:bCs/>
          <w:i/>
        </w:rPr>
        <w:t>Première circulaire aux commissaires des tailles</w:t>
      </w:r>
      <w:r w:rsidRPr="003B3476">
        <w:rPr>
          <w:lang w:val="fr-FR" w:eastAsia="fr-FR" w:bidi="fr-FR"/>
        </w:rPr>
        <w:t xml:space="preserve"> (</w:t>
      </w:r>
      <w:r w:rsidRPr="003B3476">
        <w:rPr>
          <w:bCs/>
          <w:i/>
        </w:rPr>
        <w:t>ibid</w:t>
      </w:r>
      <w:r w:rsidRPr="003B3476">
        <w:rPr>
          <w:lang w:val="fr-FR" w:eastAsia="fr-FR" w:bidi="fr-FR"/>
        </w:rPr>
        <w:t xml:space="preserve">., p. </w:t>
      </w:r>
      <w:r w:rsidRPr="003B3476">
        <w:rPr>
          <w:rStyle w:val="Notedebasdepage65ptNonGras"/>
          <w:b w:val="0"/>
          <w:bCs w:val="0"/>
          <w:sz w:val="24"/>
        </w:rPr>
        <w:t>150). — </w:t>
      </w:r>
      <w:r w:rsidRPr="003B3476">
        <w:rPr>
          <w:lang w:val="fr-FR" w:eastAsia="fr-FR" w:bidi="fr-FR"/>
        </w:rPr>
        <w:t>Bien entendu, entre le système de la taille tarifée et celui des co</w:t>
      </w:r>
      <w:r w:rsidRPr="003B3476">
        <w:rPr>
          <w:lang w:val="fr-FR" w:eastAsia="fr-FR" w:bidi="fr-FR"/>
        </w:rPr>
        <w:t>m</w:t>
      </w:r>
      <w:r w:rsidRPr="003B3476">
        <w:rPr>
          <w:lang w:val="fr-FR" w:eastAsia="fr-FR" w:bidi="fr-FR"/>
        </w:rPr>
        <w:t>poix, une grande différence subsistait. Rien ne rappelait, dans le premier, la méthode de 1’ « allivrement », selon laquelle dans les compoix, l’unité de s</w:t>
      </w:r>
      <w:r w:rsidRPr="003B3476">
        <w:rPr>
          <w:lang w:val="fr-FR" w:eastAsia="fr-FR" w:bidi="fr-FR"/>
        </w:rPr>
        <w:t>u</w:t>
      </w:r>
      <w:r w:rsidRPr="003B3476">
        <w:rPr>
          <w:lang w:val="fr-FR" w:eastAsia="fr-FR" w:bidi="fr-FR"/>
        </w:rPr>
        <w:t>perficie, à l’intérieur de chaque classe, était affectée d’une valeur fictive, ca</w:t>
      </w:r>
      <w:r w:rsidRPr="003B3476">
        <w:rPr>
          <w:lang w:val="fr-FR" w:eastAsia="fr-FR" w:bidi="fr-FR"/>
        </w:rPr>
        <w:t>l</w:t>
      </w:r>
      <w:r w:rsidRPr="003B3476">
        <w:rPr>
          <w:lang w:val="fr-FR" w:eastAsia="fr-FR" w:bidi="fr-FR"/>
        </w:rPr>
        <w:t>culée en livres, sous et deniers. La filiation même, que je suppose, du barème ou « table » des compoix au « tarif » de la taille proportionnelle, demeure, il faut l’avouer, purement conjecturale. Les textes, comme on le verra, mettent bien en lumière l’action exercée, sur les populations des pays de taille perso</w:t>
      </w:r>
      <w:r w:rsidRPr="003B3476">
        <w:rPr>
          <w:lang w:val="fr-FR" w:eastAsia="fr-FR" w:bidi="fr-FR"/>
        </w:rPr>
        <w:t>n</w:t>
      </w:r>
      <w:r w:rsidRPr="003B3476">
        <w:rPr>
          <w:lang w:val="fr-FR" w:eastAsia="fr-FR" w:bidi="fr-FR"/>
        </w:rPr>
        <w:t>nelle, par la connaissance des pratiques suivies dans les provinces limitrophes, de taille réelle. Je n’en connais pas qui témoignent d’une influence de même o</w:t>
      </w:r>
      <w:r w:rsidRPr="003B3476">
        <w:rPr>
          <w:lang w:val="fr-FR" w:eastAsia="fr-FR" w:bidi="fr-FR"/>
        </w:rPr>
        <w:t>r</w:t>
      </w:r>
      <w:r w:rsidRPr="003B3476">
        <w:rPr>
          <w:lang w:val="fr-FR" w:eastAsia="fr-FR" w:bidi="fr-FR"/>
        </w:rPr>
        <w:t>dre, dans les milieux administratifs. Cette influence me paraît probable. Mais le problème reste posé.</w:t>
      </w:r>
    </w:p>
  </w:footnote>
  <w:footnote w:id="44">
    <w:p w14:paraId="1B4A81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bCs/>
        </w:rPr>
        <w:t xml:space="preserve">P. </w:t>
      </w:r>
      <w:r w:rsidRPr="003B3476">
        <w:rPr>
          <w:rStyle w:val="Notedebasdepage265ptNonGrasNonItalique"/>
          <w:b w:val="0"/>
          <w:bCs w:val="0"/>
          <w:i w:val="0"/>
          <w:iCs w:val="0"/>
          <w:sz w:val="24"/>
        </w:rPr>
        <w:t>d’</w:t>
      </w:r>
      <w:r w:rsidRPr="003B3476">
        <w:rPr>
          <w:rStyle w:val="Notedebasdepage265ptNonGrasNonItalique"/>
          <w:b w:val="0"/>
          <w:bCs w:val="0"/>
          <w:i w:val="0"/>
          <w:iCs w:val="0"/>
          <w:smallCaps/>
          <w:sz w:val="24"/>
        </w:rPr>
        <w:t>Orgeval-Dubouchet</w:t>
      </w:r>
      <w:r w:rsidRPr="003B3476">
        <w:rPr>
          <w:rStyle w:val="Notedebasdepage265ptNonGrasNonItalique"/>
          <w:b w:val="0"/>
          <w:bCs w:val="0"/>
          <w:i w:val="0"/>
          <w:iCs w:val="0"/>
          <w:sz w:val="24"/>
        </w:rPr>
        <w:t xml:space="preserve">, </w:t>
      </w:r>
      <w:r w:rsidRPr="003B3476">
        <w:rPr>
          <w:i/>
          <w:lang w:val="fr-FR" w:eastAsia="fr-FR" w:bidi="fr-FR"/>
        </w:rPr>
        <w:t xml:space="preserve">La taille en Bourgogne au </w:t>
      </w:r>
      <w:r w:rsidRPr="003B3476">
        <w:rPr>
          <w:bCs/>
          <w:i/>
          <w:iCs/>
        </w:rPr>
        <w:t>XVIII</w:t>
      </w:r>
      <w:r w:rsidRPr="003B3476">
        <w:rPr>
          <w:bCs/>
          <w:i/>
          <w:iCs/>
          <w:vertAlign w:val="superscript"/>
        </w:rPr>
        <w:t>e</w:t>
      </w:r>
      <w:r w:rsidRPr="003B3476">
        <w:rPr>
          <w:i/>
          <w:lang w:val="fr-FR" w:eastAsia="fr-FR" w:bidi="fr-FR"/>
        </w:rPr>
        <w:t xml:space="preserve"> siècle</w:t>
      </w:r>
      <w:r w:rsidRPr="003B3476">
        <w:rPr>
          <w:bCs/>
        </w:rPr>
        <w:t xml:space="preserve">, </w:t>
      </w:r>
      <w:r w:rsidRPr="003B3476">
        <w:rPr>
          <w:rStyle w:val="Notedebasdepage265ptNonGrasNonItalique"/>
          <w:b w:val="0"/>
          <w:bCs w:val="0"/>
          <w:i w:val="0"/>
          <w:iCs w:val="0"/>
          <w:sz w:val="24"/>
        </w:rPr>
        <w:t>p. 90 et suiv.</w:t>
      </w:r>
    </w:p>
  </w:footnote>
  <w:footnote w:id="45">
    <w:p w14:paraId="145C99E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notamment </w:t>
      </w:r>
      <w:r w:rsidRPr="003B3476">
        <w:rPr>
          <w:rStyle w:val="Notedebasdepage65ptNonGras"/>
          <w:b w:val="0"/>
          <w:bCs w:val="0"/>
          <w:smallCaps/>
          <w:sz w:val="24"/>
        </w:rPr>
        <w:t>Turgot</w:t>
      </w:r>
      <w:r w:rsidRPr="003B3476">
        <w:rPr>
          <w:rStyle w:val="Notedebasdepage65ptNonGras"/>
          <w:b w:val="0"/>
          <w:bCs w:val="0"/>
          <w:sz w:val="24"/>
        </w:rPr>
        <w:t xml:space="preserve">, </w:t>
      </w:r>
      <w:r w:rsidRPr="003B3476">
        <w:rPr>
          <w:bCs/>
          <w:i/>
        </w:rPr>
        <w:t>Œuvres</w:t>
      </w:r>
      <w:r w:rsidRPr="003B3476">
        <w:rPr>
          <w:lang w:val="fr-FR" w:eastAsia="fr-FR" w:bidi="fr-FR"/>
        </w:rPr>
        <w:t xml:space="preserve"> (éd. </w:t>
      </w:r>
      <w:r w:rsidRPr="003B3476">
        <w:rPr>
          <w:rStyle w:val="Notedebasdepage65ptNonGras"/>
          <w:b w:val="0"/>
          <w:bCs w:val="0"/>
          <w:sz w:val="24"/>
        </w:rPr>
        <w:t xml:space="preserve">Schelle), </w:t>
      </w:r>
      <w:r w:rsidRPr="003B3476">
        <w:rPr>
          <w:lang w:val="fr-FR" w:eastAsia="fr-FR" w:bidi="fr-FR"/>
        </w:rPr>
        <w:t xml:space="preserve">t. Il, p. 138 et 615 ; et </w:t>
      </w:r>
      <w:r w:rsidRPr="003B3476">
        <w:rPr>
          <w:rStyle w:val="Notedebasdepage65ptNonGras"/>
          <w:b w:val="0"/>
          <w:bCs w:val="0"/>
          <w:smallCaps/>
          <w:sz w:val="24"/>
        </w:rPr>
        <w:t>M</w:t>
      </w:r>
      <w:r w:rsidRPr="003B3476">
        <w:rPr>
          <w:rStyle w:val="Notedebasdepage65ptNonGras"/>
          <w:b w:val="0"/>
          <w:bCs w:val="0"/>
          <w:smallCaps/>
          <w:sz w:val="24"/>
        </w:rPr>
        <w:t>u</w:t>
      </w:r>
      <w:r w:rsidRPr="003B3476">
        <w:rPr>
          <w:rStyle w:val="Notedebasdepage65ptNonGras"/>
          <w:b w:val="0"/>
          <w:bCs w:val="0"/>
          <w:smallCaps/>
          <w:sz w:val="24"/>
        </w:rPr>
        <w:t>nier</w:t>
      </w:r>
      <w:r w:rsidRPr="003B3476">
        <w:rPr>
          <w:rStyle w:val="Notedebasdepage65ptNonGras"/>
          <w:b w:val="0"/>
          <w:bCs w:val="0"/>
          <w:sz w:val="24"/>
        </w:rPr>
        <w:t xml:space="preserve">, </w:t>
      </w:r>
      <w:r w:rsidRPr="003B3476">
        <w:rPr>
          <w:bCs/>
          <w:i/>
        </w:rPr>
        <w:t>Essai d’une méthode générale propre à étendre les connaissances des voyageurs</w:t>
      </w:r>
      <w:r w:rsidRPr="003B3476">
        <w:rPr>
          <w:lang w:val="fr-FR" w:eastAsia="fr-FR" w:bidi="fr-FR"/>
        </w:rPr>
        <w:t xml:space="preserve"> (Paris, 1779), t. I, p. 167. Œuvre d’un inspecteur général des Ponts et Chau</w:t>
      </w:r>
      <w:r w:rsidRPr="003B3476">
        <w:rPr>
          <w:lang w:val="fr-FR" w:eastAsia="fr-FR" w:bidi="fr-FR"/>
        </w:rPr>
        <w:t>s</w:t>
      </w:r>
      <w:r w:rsidRPr="003B3476">
        <w:rPr>
          <w:lang w:val="fr-FR" w:eastAsia="fr-FR" w:bidi="fr-FR"/>
        </w:rPr>
        <w:t>sées, l’</w:t>
      </w:r>
      <w:r w:rsidRPr="003B3476">
        <w:rPr>
          <w:i/>
          <w:lang w:val="fr-FR" w:eastAsia="fr-FR" w:bidi="fr-FR"/>
        </w:rPr>
        <w:t>Essai</w:t>
      </w:r>
      <w:r w:rsidRPr="003B3476">
        <w:rPr>
          <w:lang w:val="fr-FR" w:eastAsia="fr-FR" w:bidi="fr-FR"/>
        </w:rPr>
        <w:t xml:space="preserve"> de Munier fournit beaucoup de renseignements précieux sur l’Angoumois (alors compris dans la généralité de Limoges). Mon attention a été attirée sur lui par M. Betgé-Brezetz, archiviste de la Haute-Vienne. J’ai plaisir à remercier M. Betgé-Brezetz ainsi que son confrère, M. de Dianous, archiviste de la Creuse, pour leur constante obligeance.</w:t>
      </w:r>
    </w:p>
  </w:footnote>
  <w:footnote w:id="46">
    <w:p w14:paraId="3F89935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lang w:val="fr-FR" w:eastAsia="fr-FR" w:bidi="fr-FR"/>
        </w:rPr>
        <w:t>Munier</w:t>
      </w:r>
      <w:r w:rsidRPr="003B3476">
        <w:rPr>
          <w:lang w:val="fr-FR" w:eastAsia="fr-FR" w:bidi="fr-FR"/>
        </w:rPr>
        <w:t xml:space="preserve">, </w:t>
      </w:r>
      <w:r w:rsidRPr="003B3476">
        <w:rPr>
          <w:rStyle w:val="Notedebasdepage375ptGrasItalique"/>
          <w:b w:val="0"/>
          <w:sz w:val="24"/>
        </w:rPr>
        <w:t>loc. cit.</w:t>
      </w:r>
    </w:p>
  </w:footnote>
  <w:footnote w:id="47">
    <w:p w14:paraId="1BE5D7E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Renseignement fourni par l’examen du </w:t>
      </w:r>
      <w:r w:rsidRPr="003B3476">
        <w:rPr>
          <w:bCs/>
          <w:i/>
        </w:rPr>
        <w:t>Registre des arpentements généraux</w:t>
      </w:r>
      <w:r w:rsidRPr="003B3476">
        <w:rPr>
          <w:lang w:val="fr-FR" w:eastAsia="fr-FR" w:bidi="fr-FR"/>
        </w:rPr>
        <w:t xml:space="preserve"> (Arch. Haute-Vienne, C 109).</w:t>
      </w:r>
    </w:p>
  </w:footnote>
  <w:footnote w:id="48">
    <w:p w14:paraId="5B97AED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Haute-Vienne, C 108. J’ai dépouillé les états généraux des fonds conservés aux archives de la Haute-Vienne et de la Creuse ; les feuilles d’abonnement conservées dans ce dernier dépôt. Il m’a été impossible d’étendre mes recherches aux archives des autres départements, autrefois compris dans la généralité de Limoges.</w:t>
      </w:r>
    </w:p>
  </w:footnote>
  <w:footnote w:id="49">
    <w:p w14:paraId="651AB7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bCs/>
        </w:rPr>
        <w:t xml:space="preserve">Sur Cornuau, voir la </w:t>
      </w:r>
      <w:r w:rsidRPr="003B3476">
        <w:rPr>
          <w:i/>
          <w:lang w:val="fr-FR" w:eastAsia="fr-FR" w:bidi="fr-FR"/>
        </w:rPr>
        <w:t>Notice nécrologique</w:t>
      </w:r>
      <w:r w:rsidRPr="003B3476">
        <w:rPr>
          <w:bCs/>
          <w:i/>
        </w:rPr>
        <w:t xml:space="preserve">, dans les </w:t>
      </w:r>
      <w:r w:rsidRPr="003B3476">
        <w:rPr>
          <w:i/>
          <w:lang w:val="fr-FR" w:eastAsia="fr-FR" w:bidi="fr-FR"/>
        </w:rPr>
        <w:t>Annales de la Haute-Vienne</w:t>
      </w:r>
      <w:r w:rsidRPr="003B3476">
        <w:rPr>
          <w:bCs/>
        </w:rPr>
        <w:t xml:space="preserve"> (31 mai 1822) ; A. </w:t>
      </w:r>
      <w:r w:rsidRPr="003B3476">
        <w:rPr>
          <w:rStyle w:val="Notedebasdepage265ptNonGrasNonItalique"/>
          <w:b w:val="0"/>
          <w:bCs w:val="0"/>
          <w:i w:val="0"/>
          <w:iCs w:val="0"/>
          <w:smallCaps/>
          <w:sz w:val="24"/>
        </w:rPr>
        <w:t>Fray-Fournier</w:t>
      </w:r>
      <w:r w:rsidRPr="003B3476">
        <w:rPr>
          <w:rStyle w:val="Notedebasdepage265ptNonGrasNonItalique"/>
          <w:b w:val="0"/>
          <w:bCs w:val="0"/>
          <w:i w:val="0"/>
          <w:iCs w:val="0"/>
          <w:sz w:val="24"/>
        </w:rPr>
        <w:t xml:space="preserve">, </w:t>
      </w:r>
      <w:r w:rsidRPr="003B3476">
        <w:rPr>
          <w:i/>
          <w:lang w:val="fr-FR" w:eastAsia="fr-FR" w:bidi="fr-FR"/>
        </w:rPr>
        <w:t>Le département de la Haute-Vienne... pendant la Révolution</w:t>
      </w:r>
      <w:r w:rsidRPr="003B3476">
        <w:rPr>
          <w:bCs/>
        </w:rPr>
        <w:t xml:space="preserve">, t. I, 1908, p. 81, et </w:t>
      </w:r>
      <w:r w:rsidRPr="003B3476">
        <w:rPr>
          <w:i/>
          <w:lang w:val="fr-FR" w:eastAsia="fr-FR" w:bidi="fr-FR"/>
        </w:rPr>
        <w:t>Bulletin de la Société A</w:t>
      </w:r>
      <w:r w:rsidRPr="003B3476">
        <w:rPr>
          <w:i/>
          <w:lang w:val="fr-FR" w:eastAsia="fr-FR" w:bidi="fr-FR"/>
        </w:rPr>
        <w:t>r</w:t>
      </w:r>
      <w:r w:rsidRPr="003B3476">
        <w:rPr>
          <w:i/>
          <w:lang w:val="fr-FR" w:eastAsia="fr-FR" w:bidi="fr-FR"/>
        </w:rPr>
        <w:t>chéolog</w:t>
      </w:r>
      <w:r w:rsidRPr="003B3476">
        <w:rPr>
          <w:i/>
          <w:lang w:val="fr-FR" w:eastAsia="fr-FR" w:bidi="fr-FR"/>
        </w:rPr>
        <w:t>i</w:t>
      </w:r>
      <w:r w:rsidRPr="003B3476">
        <w:rPr>
          <w:i/>
          <w:lang w:val="fr-FR" w:eastAsia="fr-FR" w:bidi="fr-FR"/>
        </w:rPr>
        <w:t>que... du Limousin</w:t>
      </w:r>
      <w:r w:rsidRPr="003B3476">
        <w:rPr>
          <w:bCs/>
        </w:rPr>
        <w:t xml:space="preserve">, t. XL, 1893 ; M. </w:t>
      </w:r>
      <w:r w:rsidRPr="003B3476">
        <w:rPr>
          <w:rStyle w:val="Notedebasdepage265ptNonGrasNonItalique"/>
          <w:b w:val="0"/>
          <w:bCs w:val="0"/>
          <w:i w:val="0"/>
          <w:iCs w:val="0"/>
          <w:smallCaps/>
          <w:sz w:val="24"/>
        </w:rPr>
        <w:t>Ardant</w:t>
      </w:r>
      <w:r w:rsidRPr="003B3476">
        <w:rPr>
          <w:rStyle w:val="Notedebasdepage265ptNonGrasNonItalique"/>
          <w:b w:val="0"/>
          <w:bCs w:val="0"/>
          <w:i w:val="0"/>
          <w:iCs w:val="0"/>
          <w:sz w:val="24"/>
        </w:rPr>
        <w:t xml:space="preserve">, </w:t>
      </w:r>
      <w:r w:rsidRPr="003B3476">
        <w:rPr>
          <w:i/>
          <w:lang w:val="fr-FR" w:eastAsia="fr-FR" w:bidi="fr-FR"/>
        </w:rPr>
        <w:t>ibid</w:t>
      </w:r>
      <w:r w:rsidRPr="003B3476">
        <w:rPr>
          <w:lang w:val="fr-FR" w:eastAsia="fr-FR" w:bidi="fr-FR"/>
        </w:rPr>
        <w:t>.</w:t>
      </w:r>
      <w:r w:rsidRPr="003B3476">
        <w:rPr>
          <w:bCs/>
        </w:rPr>
        <w:t xml:space="preserve"> (t. XI, 1861, p. 96) ; </w:t>
      </w:r>
      <w:r w:rsidRPr="003B3476">
        <w:rPr>
          <w:rStyle w:val="Notedebasdepage265ptNonGrasNonItalique"/>
          <w:b w:val="0"/>
          <w:bCs w:val="0"/>
          <w:i w:val="0"/>
          <w:iCs w:val="0"/>
          <w:smallCaps/>
          <w:sz w:val="24"/>
        </w:rPr>
        <w:t>Turgot</w:t>
      </w:r>
      <w:r w:rsidRPr="003B3476">
        <w:rPr>
          <w:rStyle w:val="Notedebasdepage265ptNonGrasNonItalique"/>
          <w:b w:val="0"/>
          <w:bCs w:val="0"/>
          <w:i w:val="0"/>
          <w:iCs w:val="0"/>
          <w:sz w:val="24"/>
        </w:rPr>
        <w:t xml:space="preserve">, </w:t>
      </w:r>
      <w:r w:rsidRPr="003B3476">
        <w:rPr>
          <w:i/>
          <w:lang w:val="fr-FR" w:eastAsia="fr-FR" w:bidi="fr-FR"/>
        </w:rPr>
        <w:t>Œ</w:t>
      </w:r>
      <w:r w:rsidRPr="003B3476">
        <w:rPr>
          <w:i/>
          <w:lang w:val="fr-FR" w:eastAsia="fr-FR" w:bidi="fr-FR"/>
        </w:rPr>
        <w:t>u</w:t>
      </w:r>
      <w:r w:rsidRPr="003B3476">
        <w:rPr>
          <w:i/>
          <w:lang w:val="fr-FR" w:eastAsia="fr-FR" w:bidi="fr-FR"/>
        </w:rPr>
        <w:t>vres</w:t>
      </w:r>
      <w:r w:rsidRPr="003B3476">
        <w:rPr>
          <w:bCs/>
        </w:rPr>
        <w:t>, t. II. p. 680, et t. III, p. 107.</w:t>
      </w:r>
    </w:p>
  </w:footnote>
  <w:footnote w:id="50">
    <w:p w14:paraId="4D00B9C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Haute-Vienne,  C 106. L’instruction n’est pas signée. Mais les annot</w:t>
      </w:r>
      <w:r w:rsidRPr="003B3476">
        <w:rPr>
          <w:lang w:val="fr-FR" w:eastAsia="fr-FR" w:bidi="fr-FR"/>
        </w:rPr>
        <w:t>a</w:t>
      </w:r>
      <w:r w:rsidRPr="003B3476">
        <w:rPr>
          <w:lang w:val="fr-FR" w:eastAsia="fr-FR" w:bidi="fr-FR"/>
        </w:rPr>
        <w:t>tions manuscrites sont certainement de la main de Cornuau. Elle n’est pas d</w:t>
      </w:r>
      <w:r w:rsidRPr="003B3476">
        <w:rPr>
          <w:lang w:val="fr-FR" w:eastAsia="fr-FR" w:bidi="fr-FR"/>
        </w:rPr>
        <w:t>a</w:t>
      </w:r>
      <w:r w:rsidRPr="003B3476">
        <w:rPr>
          <w:lang w:val="fr-FR" w:eastAsia="fr-FR" w:bidi="fr-FR"/>
        </w:rPr>
        <w:t xml:space="preserve">tée non plus. Mais on la trouve mentionnée dans une table des dossiers de Turgot, publiée par </w:t>
      </w:r>
      <w:r w:rsidRPr="003B3476">
        <w:rPr>
          <w:rStyle w:val="Notedebasdepage65ptNonGras"/>
          <w:b w:val="0"/>
          <w:bCs w:val="0"/>
          <w:smallCaps/>
          <w:sz w:val="24"/>
        </w:rPr>
        <w:t>Hugues</w:t>
      </w:r>
      <w:r w:rsidRPr="003B3476">
        <w:rPr>
          <w:rStyle w:val="Notedebasdepage65ptNonGras"/>
          <w:b w:val="0"/>
          <w:bCs w:val="0"/>
          <w:sz w:val="24"/>
        </w:rPr>
        <w:t xml:space="preserve">, </w:t>
      </w:r>
      <w:r w:rsidRPr="003B3476">
        <w:rPr>
          <w:bCs/>
          <w:i/>
        </w:rPr>
        <w:t>Essai sur l’administration de Turgot</w:t>
      </w:r>
      <w:r w:rsidRPr="003B3476">
        <w:rPr>
          <w:lang w:val="fr-FR" w:eastAsia="fr-FR" w:bidi="fr-FR"/>
        </w:rPr>
        <w:t xml:space="preserve"> (p. 69), et, d’après lui, dans les </w:t>
      </w:r>
      <w:r w:rsidRPr="003B3476">
        <w:rPr>
          <w:bCs/>
          <w:i/>
        </w:rPr>
        <w:t>Œuvres</w:t>
      </w:r>
      <w:r w:rsidRPr="003B3476">
        <w:rPr>
          <w:lang w:val="fr-FR" w:eastAsia="fr-FR" w:bidi="fr-FR"/>
        </w:rPr>
        <w:t xml:space="preserve"> (éd. </w:t>
      </w:r>
      <w:r w:rsidRPr="003B3476">
        <w:rPr>
          <w:rStyle w:val="Notedebasdepage65ptNonGras"/>
          <w:b w:val="0"/>
          <w:bCs w:val="0"/>
          <w:smallCaps/>
          <w:sz w:val="24"/>
        </w:rPr>
        <w:t>Schelle</w:t>
      </w:r>
      <w:r w:rsidRPr="003B3476">
        <w:rPr>
          <w:rStyle w:val="Notedebasdepage65ptNonGras"/>
          <w:b w:val="0"/>
          <w:bCs w:val="0"/>
          <w:sz w:val="24"/>
        </w:rPr>
        <w:t xml:space="preserve">), </w:t>
      </w:r>
      <w:r w:rsidRPr="003B3476">
        <w:rPr>
          <w:lang w:val="fr-FR" w:eastAsia="fr-FR" w:bidi="fr-FR"/>
        </w:rPr>
        <w:t>t. II, p. 14, n. 2.</w:t>
      </w:r>
    </w:p>
  </w:footnote>
  <w:footnote w:id="51">
    <w:p w14:paraId="2FE4A0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Nat., N IV, 1, 2 et 3 (Aujourd’hui Sainte-Glaire, comm. Limoges). Co</w:t>
      </w:r>
      <w:r w:rsidRPr="003B3476">
        <w:rPr>
          <w:lang w:val="fr-FR" w:eastAsia="fr-FR" w:bidi="fr-FR"/>
        </w:rPr>
        <w:t>r</w:t>
      </w:r>
      <w:r w:rsidRPr="003B3476">
        <w:rPr>
          <w:lang w:val="fr-FR" w:eastAsia="fr-FR" w:bidi="fr-FR"/>
        </w:rPr>
        <w:t xml:space="preserve">nuau, ainsi qu’en témoigne un de ses mémoires (Haute-Vienne,  C 106), avait personnellement collaboré à l’établissement du plan. Un premier état général des fonds avait été rédigé en 1741. Il fut trouvé inexact. </w:t>
      </w:r>
      <w:r w:rsidRPr="003B3476">
        <w:rPr>
          <w:bCs/>
          <w:i/>
        </w:rPr>
        <w:t>Cf.</w:t>
      </w:r>
      <w:r w:rsidRPr="003B3476">
        <w:rPr>
          <w:lang w:val="fr-FR" w:eastAsia="fr-FR" w:bidi="fr-FR"/>
        </w:rPr>
        <w:t xml:space="preserve"> la minute d’une ordonnance de Turgot, 1771, 30 juillet (</w:t>
      </w:r>
      <w:r w:rsidRPr="003B3476">
        <w:rPr>
          <w:bCs/>
          <w:i/>
        </w:rPr>
        <w:t>ibid</w:t>
      </w:r>
      <w:r w:rsidRPr="003B3476">
        <w:rPr>
          <w:lang w:val="fr-FR" w:eastAsia="fr-FR" w:bidi="fr-FR"/>
        </w:rPr>
        <w:t>., C 106).</w:t>
      </w:r>
    </w:p>
  </w:footnote>
  <w:footnote w:id="52">
    <w:p w14:paraId="70F0FC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 des mémoires de Cornuau est destiné à réfuter les objections que M. de Boisbedeuil, subdélégué d’Angoulême, avait élevées contre « l’entreprise d’un cadastre avec plans figurés ». Il n’est pas sans intérêt d’observer que Boisbedeuil figurait parmi les principaux propriétaires de la collecte de Ne</w:t>
      </w:r>
      <w:r w:rsidRPr="003B3476">
        <w:rPr>
          <w:lang w:val="fr-FR" w:eastAsia="fr-FR" w:bidi="fr-FR"/>
        </w:rPr>
        <w:t>r</w:t>
      </w:r>
      <w:r w:rsidRPr="003B3476">
        <w:rPr>
          <w:lang w:val="fr-FR" w:eastAsia="fr-FR" w:bidi="fr-FR"/>
        </w:rPr>
        <w:t>sac, dont le plan fut levé. Ce que nous verrons tout à l’heure de l’attitude, en Auvergne, des riches contribuables, et notamment des privilégiés, donne à penser que ses critiques n’étaient peut-être pas tout à fait désintéressées.</w:t>
      </w:r>
    </w:p>
  </w:footnote>
  <w:footnote w:id="53">
    <w:p w14:paraId="6817413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Archives de la Haute-Vienne renferment : sous la cote C 107 un plan en 5 feuilles de Nersac (Charente, cant. Angoulême) ; un plan en 8 feuilles, de Soyaux (cant. Angoulême) ; réunies sous un seul dossier, un grand nombre de feuilles détachées, relatives à la région avoisinant immédiatement Limoges (certaines semblent être de simples brouillons). Ajouter, aux Arch. Nat., le plan de Sainte-Claire-de-Soubrevas, et dans l’état des dossiers de Turgot, cité ci-dessus, p. 583, n. 2, la mention d’un plan d’Angeduc (Charente, cant. Ba</w:t>
      </w:r>
      <w:r w:rsidRPr="003B3476">
        <w:rPr>
          <w:lang w:val="fr-FR" w:eastAsia="fr-FR" w:bidi="fr-FR"/>
        </w:rPr>
        <w:t>r</w:t>
      </w:r>
      <w:r w:rsidRPr="003B3476">
        <w:rPr>
          <w:lang w:val="fr-FR" w:eastAsia="fr-FR" w:bidi="fr-FR"/>
        </w:rPr>
        <w:t>bezieux).</w:t>
      </w:r>
    </w:p>
  </w:footnote>
  <w:footnote w:id="54">
    <w:p w14:paraId="5F2DA75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 de l’intendant Ballainvilliers, 1767, 3 janvier, Arch. Puy-de-Dôme, C 3284. Je dois beaucoup, pour cette partie de mon étude, à la compétence et au zèle amical de M. P.-F. Fournier, archiviste du Puy-de-Dôme.</w:t>
      </w:r>
    </w:p>
  </w:footnote>
  <w:footnote w:id="55">
    <w:p w14:paraId="757945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Recueil de déclarations, sans tarif, Saint-Paulien (Haute-Loire, cant. Le Puy), 1749-51, Arch. Puy-de-Dôme, C 3188. Type mixte, généralement avec tarif, au moins partiel : Montsalvy (Cantal, arr. Aurillac), 1745-46 ; Parlan (Cantal, cant. Saint-Mamet-la-Salvetat), 1749 ; Reilhac (Cantal, cant. Aurillac), 1738-41 ; Roussy (Cantal, cant. Monsalvy), 1749 ; Vézac (cant. Aurillac), 1739 : Arch. Cantal, C 318 et 319.</w:t>
      </w:r>
    </w:p>
  </w:footnote>
  <w:footnote w:id="56">
    <w:p w14:paraId="48621B7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Tel fut le cas à Vollore (P.-de-D., cant. Couspière), en 1744 : Arch. Puy-de-Dôme,  C 3295, et, semble-t-il, à Tours-sur-Meymont (P.-de-D., cant. Saint-Dier), en 1743 : </w:t>
      </w:r>
      <w:r w:rsidRPr="003B3476">
        <w:rPr>
          <w:bCs/>
          <w:i/>
        </w:rPr>
        <w:t>ibid</w:t>
      </w:r>
      <w:r w:rsidRPr="003B3476">
        <w:rPr>
          <w:bCs/>
        </w:rPr>
        <w:t xml:space="preserve">., </w:t>
      </w:r>
      <w:r w:rsidRPr="003B3476">
        <w:rPr>
          <w:lang w:val="fr-FR" w:eastAsia="fr-FR" w:bidi="fr-FR"/>
        </w:rPr>
        <w:t xml:space="preserve"> C 3293. </w:t>
      </w:r>
      <w:r>
        <w:rPr>
          <w:lang w:val="fr-FR" w:eastAsia="fr-FR" w:bidi="fr-FR"/>
        </w:rPr>
        <w:t>À</w:t>
      </w:r>
      <w:r w:rsidRPr="003B3476">
        <w:rPr>
          <w:lang w:val="fr-FR" w:eastAsia="fr-FR" w:bidi="fr-FR"/>
        </w:rPr>
        <w:t xml:space="preserve"> en croire son successeur, Ballainvilliers, dans la lettre citée plus haut, p. 584, n. 3, Trudaine eût été coutumier du fait.</w:t>
      </w:r>
    </w:p>
  </w:footnote>
  <w:footnote w:id="57">
    <w:p w14:paraId="76C36F4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Parfois, une sorte d’état de sections était aussi établi ; du moins quand l’arpentement était accompagné d’un plan, auquel ce document servait, en somme de table. Exemple à Sayat (P.-de-D., cant. Clermont-Ferrand) et Fél</w:t>
      </w:r>
      <w:r w:rsidRPr="003B3476">
        <w:rPr>
          <w:lang w:val="fr-FR" w:eastAsia="fr-FR" w:bidi="fr-FR"/>
        </w:rPr>
        <w:t>i</w:t>
      </w:r>
      <w:r w:rsidRPr="003B3476">
        <w:rPr>
          <w:lang w:val="fr-FR" w:eastAsia="fr-FR" w:bidi="fr-FR"/>
        </w:rPr>
        <w:t>gonde (comm. Sayat) : Arch. Puy-de-Dôme., C 3297.</w:t>
      </w:r>
    </w:p>
  </w:footnote>
  <w:footnote w:id="58">
    <w:p w14:paraId="4290DD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Brousse-Montboissier (P.-de-D., cant. Gunlhat) : l’exemplaire est déposé « dans les archives et coffre du luminaire de ladite église de Brousse » : Arch. Puy-de-Dôme,  C 3285 ; procès-verbal du 29 août 1779.</w:t>
      </w:r>
    </w:p>
  </w:footnote>
  <w:footnote w:id="59">
    <w:p w14:paraId="4A91F2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Exceptionnellement, aux archives de l’Intendance : Arch. du Puy-de-Dôme, C 3293 (Blanzat, cant. Clermont-Ferrand). </w:t>
      </w:r>
      <w:r>
        <w:rPr>
          <w:lang w:val="fr-FR" w:eastAsia="fr-FR" w:bidi="fr-FR"/>
        </w:rPr>
        <w:t>À</w:t>
      </w:r>
      <w:r w:rsidRPr="003B3476">
        <w:rPr>
          <w:lang w:val="fr-FR" w:eastAsia="fr-FR" w:bidi="fr-FR"/>
        </w:rPr>
        <w:t xml:space="preserve"> Brousse-Montboissier et à Jullia</w:t>
      </w:r>
      <w:r w:rsidRPr="003B3476">
        <w:rPr>
          <w:lang w:val="fr-FR" w:eastAsia="fr-FR" w:bidi="fr-FR"/>
        </w:rPr>
        <w:t>n</w:t>
      </w:r>
      <w:r w:rsidRPr="003B3476">
        <w:rPr>
          <w:lang w:val="fr-FR" w:eastAsia="fr-FR" w:bidi="fr-FR"/>
        </w:rPr>
        <w:t xml:space="preserve">ges (Haute-Loire, cant. La Ghaise-Dieu), trois exemplaires furent établis : pour la communauté, l’Élection, l’Intendance : </w:t>
      </w:r>
      <w:r w:rsidRPr="003B3476">
        <w:rPr>
          <w:bCs/>
        </w:rPr>
        <w:t>ibid.,</w:t>
      </w:r>
      <w:r w:rsidRPr="003B3476">
        <w:rPr>
          <w:lang w:val="fr-FR" w:eastAsia="fr-FR" w:bidi="fr-FR"/>
        </w:rPr>
        <w:t xml:space="preserve">  C 3285 et 3287. Restait un grave problème : comment tenir compte des mutations qui survenaient après la confection de l’arpentement ? </w:t>
      </w:r>
      <w:r>
        <w:rPr>
          <w:lang w:val="fr-FR" w:eastAsia="fr-FR" w:bidi="fr-FR"/>
        </w:rPr>
        <w:t>À</w:t>
      </w:r>
      <w:r w:rsidRPr="003B3476">
        <w:rPr>
          <w:lang w:val="fr-FR" w:eastAsia="fr-FR" w:bidi="fr-FR"/>
        </w:rPr>
        <w:t xml:space="preserve"> Cébazat (cant. Clermont-Ferrand), on eut recours, en 1756, à l’arpenteur lui-même pour dresser un « état des cha</w:t>
      </w:r>
      <w:r w:rsidRPr="003B3476">
        <w:rPr>
          <w:lang w:val="fr-FR" w:eastAsia="fr-FR" w:bidi="fr-FR"/>
        </w:rPr>
        <w:t>n</w:t>
      </w:r>
      <w:r w:rsidRPr="003B3476">
        <w:rPr>
          <w:lang w:val="fr-FR" w:eastAsia="fr-FR" w:bidi="fr-FR"/>
        </w:rPr>
        <w:t xml:space="preserve">gements d’héritages arrivés... depuis l’arpentage général » (qui semble avoir eu lieu en 1750) : </w:t>
      </w:r>
      <w:r w:rsidRPr="003B3476">
        <w:rPr>
          <w:bCs/>
          <w:i/>
        </w:rPr>
        <w:t>ibid</w:t>
      </w:r>
      <w:r w:rsidRPr="003B3476">
        <w:rPr>
          <w:bCs/>
        </w:rPr>
        <w:t>.,</w:t>
      </w:r>
      <w:r w:rsidRPr="003B3476">
        <w:rPr>
          <w:lang w:val="fr-FR" w:eastAsia="fr-FR" w:bidi="fr-FR"/>
        </w:rPr>
        <w:t xml:space="preserve"> C 3286.</w:t>
      </w:r>
    </w:p>
  </w:footnote>
  <w:footnote w:id="60">
    <w:p w14:paraId="5C03852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Voir, notamment, l’amusant dossier d’Auzelles (P.-de-D., cant. Cunlhat, Arch. du Puy-de-Dôme,  C 3284) ; il y eut contre-expertise, qui, naturellement, ne rendit pas l’opération moins onéreuse pour la communauté.</w:t>
      </w:r>
    </w:p>
  </w:footnote>
  <w:footnote w:id="61">
    <w:p w14:paraId="0E1811D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l’attitude de Ballainvilliers, voir une lettre d’un fonctionnaire de l’Intendance, du 21 juillet 1750, Arch. du Puy-de-Dôme,  C 3293, n° 74. Sur celle de Chazerat, voir ses propres lettres, </w:t>
      </w:r>
      <w:r w:rsidRPr="003B3476">
        <w:rPr>
          <w:bCs/>
          <w:i/>
        </w:rPr>
        <w:t>ibid</w:t>
      </w:r>
      <w:r w:rsidRPr="003B3476">
        <w:rPr>
          <w:bCs/>
        </w:rPr>
        <w:t>.,</w:t>
      </w:r>
      <w:r w:rsidRPr="003B3476">
        <w:rPr>
          <w:lang w:val="fr-FR" w:eastAsia="fr-FR" w:bidi="fr-FR"/>
        </w:rPr>
        <w:t xml:space="preserve"> C 3288, n</w:t>
      </w:r>
      <w:r w:rsidRPr="003B3476">
        <w:rPr>
          <w:vertAlign w:val="superscript"/>
          <w:lang w:val="fr-FR" w:eastAsia="fr-FR" w:bidi="fr-FR"/>
        </w:rPr>
        <w:t>os</w:t>
      </w:r>
      <w:r w:rsidRPr="003B3476">
        <w:rPr>
          <w:lang w:val="fr-FR" w:eastAsia="fr-FR" w:bidi="fr-FR"/>
        </w:rPr>
        <w:t xml:space="preserve"> 78 et 85 ;  C 3292, n° 93 ; en résumé, dans un bordereau,  C 3286 (13 février 1781, à propos de l’arpentement de Coudes).</w:t>
      </w:r>
    </w:p>
  </w:footnote>
  <w:footnote w:id="62">
    <w:p w14:paraId="4C715B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du Puy-de-Dôme,  C 3293 (Tours), et 3285 (Bagnols, cant. de Latour-d’Auvergne).</w:t>
      </w:r>
    </w:p>
  </w:footnote>
  <w:footnote w:id="63">
    <w:p w14:paraId="33DB49C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C 3284 (Cantal, cant. Mausiac.</w:t>
      </w:r>
    </w:p>
  </w:footnote>
  <w:footnote w:id="64">
    <w:p w14:paraId="7EAAE2C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Haute-Loire, arr. Le Puy </w:t>
      </w:r>
      <w:r w:rsidRPr="003B3476">
        <w:rPr>
          <w:bCs/>
        </w:rPr>
        <w:t>(</w:t>
      </w:r>
      <w:r w:rsidRPr="003B3476">
        <w:rPr>
          <w:bCs/>
          <w:i/>
        </w:rPr>
        <w:t>ibid</w:t>
      </w:r>
      <w:r w:rsidRPr="003B3476">
        <w:rPr>
          <w:bCs/>
        </w:rPr>
        <w:t>.,</w:t>
      </w:r>
      <w:r w:rsidRPr="003B3476">
        <w:rPr>
          <w:lang w:val="fr-FR" w:eastAsia="fr-FR" w:bidi="fr-FR"/>
        </w:rPr>
        <w:t xml:space="preserve">  C 3292).</w:t>
      </w:r>
    </w:p>
  </w:footnote>
  <w:footnote w:id="65">
    <w:p w14:paraId="7CCB24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Accessoirement des difficultés étaient quelquefois opposées par les habitants des paroisses voisines, possessionnés dans la paroisse à arpenter : voir à ce s</w:t>
      </w:r>
      <w:r w:rsidRPr="003B3476">
        <w:rPr>
          <w:lang w:val="fr-FR" w:eastAsia="fr-FR" w:bidi="fr-FR"/>
        </w:rPr>
        <w:t>u</w:t>
      </w:r>
      <w:r w:rsidRPr="003B3476">
        <w:rPr>
          <w:lang w:val="fr-FR" w:eastAsia="fr-FR" w:bidi="fr-FR"/>
        </w:rPr>
        <w:t xml:space="preserve">jet le dossier de Cébazait, </w:t>
      </w:r>
      <w:r w:rsidRPr="003B3476">
        <w:rPr>
          <w:rStyle w:val="Notedebasdepage8ptItaliqueEspacement1pt"/>
          <w:b w:val="0"/>
          <w:sz w:val="24"/>
        </w:rPr>
        <w:t>ibid.,</w:t>
      </w:r>
      <w:r w:rsidRPr="003B3476">
        <w:rPr>
          <w:rStyle w:val="Notedebasdepage8ptNonGras"/>
          <w:b w:val="0"/>
          <w:bCs w:val="0"/>
          <w:sz w:val="24"/>
        </w:rPr>
        <w:t xml:space="preserve"> </w:t>
      </w:r>
      <w:r w:rsidRPr="003B3476">
        <w:rPr>
          <w:lang w:val="fr-FR" w:eastAsia="fr-FR" w:bidi="fr-FR"/>
        </w:rPr>
        <w:t xml:space="preserve"> C 3286.</w:t>
      </w:r>
    </w:p>
  </w:footnote>
  <w:footnote w:id="66">
    <w:p w14:paraId="183FF5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C 3286 (Puy-de-Dôme, cant. Latour-d’Auvergne).</w:t>
      </w:r>
    </w:p>
  </w:footnote>
  <w:footnote w:id="67">
    <w:p w14:paraId="68B671F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 3288, n. 27 (Puy-de-Dôme, canton Veyre-Mouton).</w:t>
      </w:r>
    </w:p>
  </w:footnote>
  <w:footnote w:id="68">
    <w:p w14:paraId="3A3F13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 3284 et 3293 (Aulzat, P.-de-D., cant. Issoire ; Trizac, Cantal, cant. Riom-és-Montagnes).</w:t>
      </w:r>
    </w:p>
  </w:footnote>
  <w:footnote w:id="69">
    <w:p w14:paraId="20CCCE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Influence qui, à vrai dire, devait être particulièrement sensible à Saint-Paulien. M. P.-F. Fournier veut bien m’écrire à ce sujet : « Saint-Paulien appartenait, en réalité, au Velay, et fit toujours partie du diocèse du Puy. On l’identifie avec Ruessio, l’ancienne capitale de la </w:t>
      </w:r>
      <w:r w:rsidRPr="003B3476">
        <w:rPr>
          <w:rStyle w:val="Notedebasdepage8ptItaliqueEspacement1pt"/>
          <w:b w:val="0"/>
          <w:sz w:val="24"/>
        </w:rPr>
        <w:t>Civitas Vellavorum.</w:t>
      </w:r>
      <w:r w:rsidRPr="003B3476">
        <w:rPr>
          <w:rStyle w:val="Notedebasdepage8ptNonGras"/>
          <w:b w:val="0"/>
          <w:bCs w:val="0"/>
          <w:sz w:val="24"/>
        </w:rPr>
        <w:t xml:space="preserve"> </w:t>
      </w:r>
      <w:r w:rsidRPr="003B3476">
        <w:rPr>
          <w:lang w:val="fr-FR" w:eastAsia="fr-FR" w:bidi="fr-FR"/>
        </w:rPr>
        <w:t>C’est par une bizarr</w:t>
      </w:r>
      <w:r w:rsidRPr="003B3476">
        <w:rPr>
          <w:lang w:val="fr-FR" w:eastAsia="fr-FR" w:bidi="fr-FR"/>
        </w:rPr>
        <w:t>e</w:t>
      </w:r>
      <w:r w:rsidRPr="003B3476">
        <w:rPr>
          <w:lang w:val="fr-FR" w:eastAsia="fr-FR" w:bidi="fr-FR"/>
        </w:rPr>
        <w:t>rie historique — due à quelque circonstance, jusqu’ici inexpliquée, des XIII</w:t>
      </w:r>
      <w:r w:rsidRPr="003B3476">
        <w:rPr>
          <w:vertAlign w:val="superscript"/>
          <w:lang w:val="fr-FR" w:eastAsia="fr-FR" w:bidi="fr-FR"/>
        </w:rPr>
        <w:t>e</w:t>
      </w:r>
      <w:r w:rsidRPr="003B3476">
        <w:rPr>
          <w:lang w:val="fr-FR" w:eastAsia="fr-FR" w:bidi="fr-FR"/>
        </w:rPr>
        <w:t xml:space="preserve"> ou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siècles — qu’il se trouva rattaché au bailliage d’Auvergne, puis à la généralité de Riom. Sa vie sociale et économique était tout entière orie</w:t>
      </w:r>
      <w:r w:rsidRPr="003B3476">
        <w:rPr>
          <w:lang w:val="fr-FR" w:eastAsia="fr-FR" w:bidi="fr-FR"/>
        </w:rPr>
        <w:t>n</w:t>
      </w:r>
      <w:r w:rsidRPr="003B3476">
        <w:rPr>
          <w:lang w:val="fr-FR" w:eastAsia="fr-FR" w:bidi="fr-FR"/>
        </w:rPr>
        <w:t>tée vers Le Puy ; la paroisse était limitrophe d’autres paroisses vellaves, re</w:t>
      </w:r>
      <w:r w:rsidRPr="003B3476">
        <w:rPr>
          <w:lang w:val="fr-FR" w:eastAsia="fr-FR" w:bidi="fr-FR"/>
        </w:rPr>
        <w:t>s</w:t>
      </w:r>
      <w:r w:rsidRPr="003B3476">
        <w:rPr>
          <w:lang w:val="fr-FR" w:eastAsia="fr-FR" w:bidi="fr-FR"/>
        </w:rPr>
        <w:t>tées, administrativement, en Velay. Or, le Velay était pays de taille réelle et de compoix ».</w:t>
      </w:r>
    </w:p>
  </w:footnote>
  <w:footnote w:id="70">
    <w:p w14:paraId="6C244A5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Lettre du </w:t>
      </w:r>
      <w:r w:rsidRPr="003B3476">
        <w:rPr>
          <w:rStyle w:val="Notedebasdepage375ptGras"/>
          <w:b w:val="0"/>
          <w:sz w:val="24"/>
        </w:rPr>
        <w:t xml:space="preserve">19 </w:t>
      </w:r>
      <w:r w:rsidRPr="003B3476">
        <w:rPr>
          <w:lang w:val="fr-FR" w:eastAsia="fr-FR" w:bidi="fr-FR"/>
        </w:rPr>
        <w:t xml:space="preserve">octobre </w:t>
      </w:r>
      <w:r w:rsidRPr="003B3476">
        <w:rPr>
          <w:rStyle w:val="Notedebasdepage375ptGras"/>
          <w:b w:val="0"/>
          <w:sz w:val="24"/>
        </w:rPr>
        <w:t xml:space="preserve">1761, </w:t>
      </w:r>
      <w:r w:rsidRPr="003B3476">
        <w:rPr>
          <w:lang w:val="fr-FR" w:eastAsia="fr-FR" w:bidi="fr-FR"/>
        </w:rPr>
        <w:t xml:space="preserve">dans </w:t>
      </w:r>
      <w:r w:rsidRPr="003B3476">
        <w:rPr>
          <w:smallCaps/>
          <w:lang w:val="fr-FR" w:eastAsia="fr-FR" w:bidi="fr-FR"/>
        </w:rPr>
        <w:t>Turgot</w:t>
      </w:r>
      <w:r w:rsidRPr="003B3476">
        <w:rPr>
          <w:lang w:val="fr-FR" w:eastAsia="fr-FR" w:bidi="fr-FR"/>
        </w:rPr>
        <w:t xml:space="preserve">, </w:t>
      </w:r>
      <w:r w:rsidRPr="003B3476">
        <w:rPr>
          <w:rStyle w:val="Notedebasdepage375ptGrasItalique"/>
          <w:b w:val="0"/>
          <w:sz w:val="24"/>
        </w:rPr>
        <w:t>Œuvres</w:t>
      </w:r>
      <w:r w:rsidRPr="003B3476">
        <w:rPr>
          <w:rStyle w:val="Notedebasdepage375ptGras"/>
          <w:b w:val="0"/>
          <w:sz w:val="24"/>
        </w:rPr>
        <w:t xml:space="preserve">, </w:t>
      </w:r>
      <w:r w:rsidRPr="003B3476">
        <w:rPr>
          <w:lang w:val="fr-FR" w:eastAsia="fr-FR" w:bidi="fr-FR"/>
        </w:rPr>
        <w:t xml:space="preserve">t. </w:t>
      </w:r>
      <w:r w:rsidRPr="003B3476">
        <w:rPr>
          <w:rStyle w:val="Notedebasdepage375ptGras"/>
          <w:b w:val="0"/>
          <w:sz w:val="24"/>
        </w:rPr>
        <w:t xml:space="preserve">II, </w:t>
      </w:r>
      <w:r w:rsidRPr="003B3476">
        <w:rPr>
          <w:lang w:val="fr-FR" w:eastAsia="fr-FR" w:bidi="fr-FR"/>
        </w:rPr>
        <w:t xml:space="preserve">p. </w:t>
      </w:r>
      <w:r w:rsidRPr="003B3476">
        <w:rPr>
          <w:rStyle w:val="Notedebasdepage375ptGras"/>
          <w:b w:val="0"/>
          <w:sz w:val="24"/>
        </w:rPr>
        <w:t>94.</w:t>
      </w:r>
    </w:p>
  </w:footnote>
  <w:footnote w:id="71">
    <w:p w14:paraId="47455E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du Puy-de-Dôme, C 3288 (24 février 1785). Même son de cloche dans la lettre de d’Ormesson, signalée plus haut, p. 587, n. 3 : « A présent, dit-il (c’est-à-dire depuis le tarif) il y a presqu’autant de difficultés que de cottes : c’est le sort des nouveaux établissements ». Le propos pouvait étonner dans la bouche d’un homme qui, en matière de clôtures, se montra si peu ennemi des « nouveaux établissements ». Visiblement, d’Ormesson ne cherchait, dans ce cas particulier, que son intérêt personnel. Mais l’argument auquel il avait r</w:t>
      </w:r>
      <w:r w:rsidRPr="003B3476">
        <w:rPr>
          <w:lang w:val="fr-FR" w:eastAsia="fr-FR" w:bidi="fr-FR"/>
        </w:rPr>
        <w:t>e</w:t>
      </w:r>
      <w:r w:rsidRPr="003B3476">
        <w:rPr>
          <w:lang w:val="fr-FR" w:eastAsia="fr-FR" w:bidi="fr-FR"/>
        </w:rPr>
        <w:t>cours ne lui semblait persuasif que parce qu’il était courant dans les milieux administratifs.</w:t>
      </w:r>
    </w:p>
  </w:footnote>
  <w:footnote w:id="72">
    <w:p w14:paraId="4B39B0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 de Mouton, canton et commune de Veyre-Monton (P.-de-D.) : pétition des habitants à l’Assemblée Provinciale (1788) : Arch. du Puy-de-Dôme, 4 C 135.</w:t>
      </w:r>
    </w:p>
  </w:footnote>
  <w:footnote w:id="73">
    <w:p w14:paraId="7F389A6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C 3283.</w:t>
      </w:r>
    </w:p>
  </w:footnote>
  <w:footnote w:id="74">
    <w:p w14:paraId="39890D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Comm. Neuvéglise (Cantal). Comme me le fait observer M. P.-F. Fournier, Neuvéglise était à 12 kilomètres de la frontière du Rouergue, à 13 de celle du Gévaudan. Dans l’émigration parisienne, les gens de la Planèze considéraient probablement (c’est encore le cas aujourd’hui), les gens des villages rouergats ou gévaudanais tout proches comme leurs « pays ».</w:t>
      </w:r>
    </w:p>
  </w:footnote>
  <w:footnote w:id="75">
    <w:p w14:paraId="59E9390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 plan est, par exemple, mentionné dans l’arpentement de Vic-sur-Cère, de 1768-1769 (Arch. du Puy-de-Dôme, C 3299, et Cantal, C 317). Il semble a</w:t>
      </w:r>
      <w:r w:rsidRPr="003B3476">
        <w:rPr>
          <w:lang w:val="fr-FR" w:eastAsia="fr-FR" w:bidi="fr-FR"/>
        </w:rPr>
        <w:t>u</w:t>
      </w:r>
      <w:r w:rsidRPr="003B3476">
        <w:rPr>
          <w:lang w:val="fr-FR" w:eastAsia="fr-FR" w:bidi="fr-FR"/>
        </w:rPr>
        <w:t>jourd’hui perdu. Parfois, on peut saisir la cause probable de la perte. Le plan de Vertaizon (Puy-de-Dôme, arr. Clermont-Ferrand), dont l’évêque de Cle</w:t>
      </w:r>
      <w:r w:rsidRPr="003B3476">
        <w:rPr>
          <w:lang w:val="fr-FR" w:eastAsia="fr-FR" w:bidi="fr-FR"/>
        </w:rPr>
        <w:t>r</w:t>
      </w:r>
      <w:r w:rsidRPr="003B3476">
        <w:rPr>
          <w:lang w:val="fr-FR" w:eastAsia="fr-FR" w:bidi="fr-FR"/>
        </w:rPr>
        <w:t xml:space="preserve">mont était seigneur, fut prêté par l’Intendance à l’Évêché, le 3 mars 1778 ; il ne se retrouve plus dans le fonds de l’Intendance : </w:t>
      </w:r>
      <w:r w:rsidRPr="003B3476">
        <w:rPr>
          <w:bCs/>
          <w:i/>
        </w:rPr>
        <w:t>ibid</w:t>
      </w:r>
      <w:r w:rsidRPr="003B3476">
        <w:rPr>
          <w:bCs/>
        </w:rPr>
        <w:t>.,</w:t>
      </w:r>
      <w:r w:rsidRPr="003B3476">
        <w:rPr>
          <w:lang w:val="fr-FR" w:eastAsia="fr-FR" w:bidi="fr-FR"/>
        </w:rPr>
        <w:t xml:space="preserve"> C 3294.</w:t>
      </w:r>
    </w:p>
  </w:footnote>
  <w:footnote w:id="76">
    <w:p w14:paraId="633ED21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Soumission, pour Durtot (Puy-de-Dôme, cant. Clermont-Ferrand, 2 sept. 1771, C 3287). L’habitude où certains arpenteurs étaient de ne pas fournir de plans ressort d’une lettre du subdélégué de Clermont, relative au Crest : C 3288, n° 32 (1744 ou 1745).</w:t>
      </w:r>
    </w:p>
  </w:footnote>
  <w:footnote w:id="77">
    <w:p w14:paraId="7C0F57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liste de ceux qui sont conservés aux Archives du Puy-de-Dôme a été do</w:t>
      </w:r>
      <w:r w:rsidRPr="003B3476">
        <w:rPr>
          <w:lang w:val="fr-FR" w:eastAsia="fr-FR" w:bidi="fr-FR"/>
        </w:rPr>
        <w:t>n</w:t>
      </w:r>
      <w:r w:rsidRPr="003B3476">
        <w:rPr>
          <w:lang w:val="fr-FR" w:eastAsia="fr-FR" w:bidi="fr-FR"/>
        </w:rPr>
        <w:t>née par M. P.-F. Fournier, au tome VII de l’Inventaire de la série C, p. 529, n. 1. Un plan est signalé aux Archives du Cantal, C 318. Je n’ai pas poussé plus loin mes recherches. Mais c’est le lieu d’indiquer que le morcellement des fonds a entraîné ici ses inconvénients habituels ; le procès-verbal de l’arpentement de Vic-sur-Cère figure aux Arch. du Puy-de-Dôme, le « cadastre », à celles du Cantal. D’autre part, des arpentements sont restés dans les archives communales (M. Fournier a bien voulu me signaler que tel est le cas à Saint-Rémy-sur-Durolle [Puy-de-Dôme, arr. Thiers]). Peut-être en est-il de même pour certains plans. Aussi bien, ceux-ci étaient-ils normal</w:t>
      </w:r>
      <w:r w:rsidRPr="003B3476">
        <w:rPr>
          <w:lang w:val="fr-FR" w:eastAsia="fr-FR" w:bidi="fr-FR"/>
        </w:rPr>
        <w:t>e</w:t>
      </w:r>
      <w:r w:rsidRPr="003B3476">
        <w:rPr>
          <w:lang w:val="fr-FR" w:eastAsia="fr-FR" w:bidi="fr-FR"/>
        </w:rPr>
        <w:t>ment, comme l’arpentement, fournis en deux exemplaires, destinés, respect</w:t>
      </w:r>
      <w:r w:rsidRPr="003B3476">
        <w:rPr>
          <w:lang w:val="fr-FR" w:eastAsia="fr-FR" w:bidi="fr-FR"/>
        </w:rPr>
        <w:t>i</w:t>
      </w:r>
      <w:r w:rsidRPr="003B3476">
        <w:rPr>
          <w:lang w:val="fr-FR" w:eastAsia="fr-FR" w:bidi="fr-FR"/>
        </w:rPr>
        <w:t>vement, à la communauté et à l’Élection (exceptionnellement, à Bagnols, l’Intendance prend la place de l’Élection : Arch. du Puy-de-Dôme, C 3285). A Jullianges, où trois exemplaires de l’arpentement étaient commandés, deux seulement étaient prévus pour le plan. À Brousse-Montboissier, par contre, aux trois exemplaires de l’arpentement devaient correspondre trois exempla</w:t>
      </w:r>
      <w:r w:rsidRPr="003B3476">
        <w:rPr>
          <w:lang w:val="fr-FR" w:eastAsia="fr-FR" w:bidi="fr-FR"/>
        </w:rPr>
        <w:t>i</w:t>
      </w:r>
      <w:r w:rsidRPr="003B3476">
        <w:rPr>
          <w:lang w:val="fr-FR" w:eastAsia="fr-FR" w:bidi="fr-FR"/>
        </w:rPr>
        <w:t xml:space="preserve">res du plan. </w:t>
      </w:r>
      <w:r w:rsidRPr="003B3476">
        <w:rPr>
          <w:i/>
          <w:lang w:val="fr-FR" w:eastAsia="fr-FR" w:bidi="fr-FR"/>
        </w:rPr>
        <w:t>Cf</w:t>
      </w:r>
      <w:r w:rsidRPr="003B3476">
        <w:rPr>
          <w:lang w:val="fr-FR" w:eastAsia="fr-FR" w:bidi="fr-FR"/>
        </w:rPr>
        <w:t>., ci-dessus, p. 585, n. 4. Rappelons, enfin, que l’arpentement et le plan de Brousse-Montboissier ont été très intelligemment commentés — et le plan partiellement reproduit — par M. Gachon, dans sa thèse compléme</w:t>
      </w:r>
      <w:r w:rsidRPr="003B3476">
        <w:rPr>
          <w:lang w:val="fr-FR" w:eastAsia="fr-FR" w:bidi="fr-FR"/>
        </w:rPr>
        <w:t>n</w:t>
      </w:r>
      <w:r w:rsidRPr="003B3476">
        <w:rPr>
          <w:lang w:val="fr-FR" w:eastAsia="fr-FR" w:bidi="fr-FR"/>
        </w:rPr>
        <w:t>taire.</w:t>
      </w:r>
    </w:p>
  </w:footnote>
  <w:footnote w:id="78">
    <w:p w14:paraId="73AE3F6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la distinction des deux types de plans, voir une lettre du « féodiste » Fay, du 15 février 1771, relative à Saint-Amant-Tallende (Puy-de-Dôme, arr. Clermont-Ferrand) : Arch. du Puy-de-Dôme, C 3291.</w:t>
      </w:r>
    </w:p>
  </w:footnote>
  <w:footnote w:id="79">
    <w:p w14:paraId="7EC30D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En mars 1790 encore, un certain nombre d’habitants de Billom (Puy-de-Dôme, arr. Clermont-Ferrand), se plaignant de « l’inégalité de la répartition de la taille », demandèrent l’arpentage. Le bureau intermédiaire de Clermont e</w:t>
      </w:r>
      <w:r w:rsidRPr="003B3476">
        <w:rPr>
          <w:lang w:val="fr-FR" w:eastAsia="fr-FR" w:bidi="fr-FR"/>
        </w:rPr>
        <w:t>s</w:t>
      </w:r>
      <w:r w:rsidRPr="003B3476">
        <w:rPr>
          <w:lang w:val="fr-FR" w:eastAsia="fr-FR" w:bidi="fr-FR"/>
        </w:rPr>
        <w:t>tima le moment mal choisi (Arch. du Puy-de-Dôme, 4 C 588).</w:t>
      </w:r>
    </w:p>
  </w:footnote>
  <w:footnote w:id="80">
    <w:p w14:paraId="1BE5670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Comme l’a montré M. P.-F. </w:t>
      </w:r>
      <w:r w:rsidRPr="003B3476">
        <w:rPr>
          <w:rStyle w:val="Notedebasdepage65ptNonGras"/>
          <w:b w:val="0"/>
          <w:bCs w:val="0"/>
          <w:smallCaps/>
          <w:sz w:val="24"/>
        </w:rPr>
        <w:t>Fournier</w:t>
      </w:r>
      <w:r w:rsidRPr="003B3476">
        <w:rPr>
          <w:rStyle w:val="Notedebasdepage65ptNonGras"/>
          <w:b w:val="0"/>
          <w:bCs w:val="0"/>
          <w:sz w:val="24"/>
        </w:rPr>
        <w:t xml:space="preserve">, </w:t>
      </w:r>
      <w:r w:rsidRPr="003B3476">
        <w:rPr>
          <w:lang w:val="fr-FR" w:eastAsia="fr-FR" w:bidi="fr-FR"/>
        </w:rPr>
        <w:t xml:space="preserve">dans sa note intitulée </w:t>
      </w:r>
      <w:r w:rsidRPr="003B3476">
        <w:rPr>
          <w:bCs/>
          <w:i/>
        </w:rPr>
        <w:t>Lieux-dits et cada</w:t>
      </w:r>
      <w:r w:rsidRPr="003B3476">
        <w:rPr>
          <w:bCs/>
          <w:i/>
        </w:rPr>
        <w:t>s</w:t>
      </w:r>
      <w:r w:rsidRPr="003B3476">
        <w:rPr>
          <w:bCs/>
          <w:i/>
        </w:rPr>
        <w:t>tres (Bulletin historique et scientifique de L’Auvergne</w:t>
      </w:r>
      <w:r w:rsidRPr="003B3476">
        <w:rPr>
          <w:bCs/>
        </w:rPr>
        <w:t>,</w:t>
      </w:r>
      <w:r w:rsidRPr="003B3476">
        <w:rPr>
          <w:lang w:val="fr-FR" w:eastAsia="fr-FR" w:bidi="fr-FR"/>
        </w:rPr>
        <w:t xml:space="preserve"> t. LXI, </w:t>
      </w:r>
      <w:r w:rsidRPr="003B3476">
        <w:rPr>
          <w:rStyle w:val="Notedebasdepage65ptNonGras"/>
          <w:b w:val="0"/>
          <w:bCs w:val="0"/>
          <w:sz w:val="24"/>
        </w:rPr>
        <w:t xml:space="preserve">1941, </w:t>
      </w:r>
      <w:r w:rsidRPr="003B3476">
        <w:rPr>
          <w:lang w:val="fr-FR" w:eastAsia="fr-FR" w:bidi="fr-FR"/>
        </w:rPr>
        <w:t>p. </w:t>
      </w:r>
      <w:r w:rsidRPr="003B3476">
        <w:rPr>
          <w:rStyle w:val="Notedebasdepage65ptNonGras"/>
          <w:b w:val="0"/>
          <w:bCs w:val="0"/>
          <w:sz w:val="24"/>
        </w:rPr>
        <w:t xml:space="preserve">126 </w:t>
      </w:r>
      <w:r w:rsidRPr="003B3476">
        <w:rPr>
          <w:lang w:val="fr-FR" w:eastAsia="fr-FR" w:bidi="fr-FR"/>
        </w:rPr>
        <w:t xml:space="preserve">et suiv.). Un « tableau », dressé probablement en l’an X, Arch. du Puy-de-Dôme, P </w:t>
      </w:r>
      <w:r w:rsidRPr="003B3476">
        <w:rPr>
          <w:rStyle w:val="Notedebasdepage65ptNonGras"/>
          <w:b w:val="0"/>
          <w:bCs w:val="0"/>
          <w:sz w:val="24"/>
        </w:rPr>
        <w:t xml:space="preserve">0632, </w:t>
      </w:r>
      <w:r w:rsidRPr="003B3476">
        <w:rPr>
          <w:lang w:val="fr-FR" w:eastAsia="fr-FR" w:bidi="fr-FR"/>
        </w:rPr>
        <w:t xml:space="preserve">donne les noms de </w:t>
      </w:r>
      <w:r w:rsidRPr="003B3476">
        <w:rPr>
          <w:rStyle w:val="Notedebasdepage65ptNonGras"/>
          <w:b w:val="0"/>
          <w:bCs w:val="0"/>
          <w:sz w:val="24"/>
        </w:rPr>
        <w:t xml:space="preserve">32 </w:t>
      </w:r>
      <w:r w:rsidRPr="003B3476">
        <w:rPr>
          <w:lang w:val="fr-FR" w:eastAsia="fr-FR" w:bidi="fr-FR"/>
        </w:rPr>
        <w:t xml:space="preserve">communes « qui ont été autorisées à faire procéder à l’arpentage général de leur territoire ». Mais il est incomplet. Il est curieux de constater que les administrations de districts semblent avoir parfois adopté envers ces « arpentages » la même attitude peu favorable qui avait été naguère celle de beaucoup de subdélégués ; voir Arch. du Puy-de-Dôme, L </w:t>
      </w:r>
      <w:r w:rsidRPr="003B3476">
        <w:rPr>
          <w:rStyle w:val="Notedebasdepage65ptNonGras"/>
          <w:b w:val="0"/>
          <w:bCs w:val="0"/>
          <w:sz w:val="24"/>
        </w:rPr>
        <w:t xml:space="preserve">1027, </w:t>
      </w:r>
      <w:r w:rsidRPr="003B3476">
        <w:rPr>
          <w:lang w:val="fr-FR" w:eastAsia="fr-FR" w:bidi="fr-FR"/>
        </w:rPr>
        <w:t>un ra</w:t>
      </w:r>
      <w:r w:rsidRPr="003B3476">
        <w:rPr>
          <w:lang w:val="fr-FR" w:eastAsia="fr-FR" w:bidi="fr-FR"/>
        </w:rPr>
        <w:t>p</w:t>
      </w:r>
      <w:r w:rsidRPr="003B3476">
        <w:rPr>
          <w:lang w:val="fr-FR" w:eastAsia="fr-FR" w:bidi="fr-FR"/>
        </w:rPr>
        <w:t xml:space="preserve">port du directoire du district d’Issoire, relatif à Anzat, en </w:t>
      </w:r>
      <w:r w:rsidRPr="003B3476">
        <w:rPr>
          <w:rStyle w:val="Notedebasdepage65ptNonGras"/>
          <w:b w:val="0"/>
          <w:bCs w:val="0"/>
          <w:sz w:val="24"/>
        </w:rPr>
        <w:t xml:space="preserve">1791. </w:t>
      </w:r>
      <w:r w:rsidRPr="003B3476">
        <w:rPr>
          <w:lang w:val="fr-FR" w:eastAsia="fr-FR" w:bidi="fr-FR"/>
        </w:rPr>
        <w:t>Un autre détail, qui n’est pas sans piquant, met en lumière cette persi</w:t>
      </w:r>
      <w:r w:rsidRPr="003B3476">
        <w:rPr>
          <w:lang w:val="fr-FR" w:eastAsia="fr-FR" w:bidi="fr-FR"/>
        </w:rPr>
        <w:t>s</w:t>
      </w:r>
      <w:r w:rsidRPr="003B3476">
        <w:rPr>
          <w:lang w:val="fr-FR" w:eastAsia="fr-FR" w:bidi="fr-FR"/>
        </w:rPr>
        <w:t>tance des traditions. Comme on sait, les terriers seigneuriaux et, quand ils po</w:t>
      </w:r>
      <w:r w:rsidRPr="003B3476">
        <w:rPr>
          <w:lang w:val="fr-FR" w:eastAsia="fr-FR" w:bidi="fr-FR"/>
        </w:rPr>
        <w:t>r</w:t>
      </w:r>
      <w:r w:rsidRPr="003B3476">
        <w:rPr>
          <w:lang w:val="fr-FR" w:eastAsia="fr-FR" w:bidi="fr-FR"/>
        </w:rPr>
        <w:t>taient sur les parce</w:t>
      </w:r>
      <w:r w:rsidRPr="003B3476">
        <w:rPr>
          <w:lang w:val="fr-FR" w:eastAsia="fr-FR" w:bidi="fr-FR"/>
        </w:rPr>
        <w:t>l</w:t>
      </w:r>
      <w:r w:rsidRPr="003B3476">
        <w:rPr>
          <w:lang w:val="fr-FR" w:eastAsia="fr-FR" w:bidi="fr-FR"/>
        </w:rPr>
        <w:t>les l’indication des propriétaires de celles-ci, les plans de même origine avaient coutume de réserver aux propriétaires bourgeois les h</w:t>
      </w:r>
      <w:r w:rsidRPr="003B3476">
        <w:rPr>
          <w:lang w:val="fr-FR" w:eastAsia="fr-FR" w:bidi="fr-FR"/>
        </w:rPr>
        <w:t>o</w:t>
      </w:r>
      <w:r w:rsidRPr="003B3476">
        <w:rPr>
          <w:lang w:val="fr-FR" w:eastAsia="fr-FR" w:bidi="fr-FR"/>
        </w:rPr>
        <w:t>norables qualificatifs de « Monsieur » ou de « Madame » ; les noms des vu</w:t>
      </w:r>
      <w:r w:rsidRPr="003B3476">
        <w:rPr>
          <w:lang w:val="fr-FR" w:eastAsia="fr-FR" w:bidi="fr-FR"/>
        </w:rPr>
        <w:t>l</w:t>
      </w:r>
      <w:r w:rsidRPr="003B3476">
        <w:rPr>
          <w:lang w:val="fr-FR" w:eastAsia="fr-FR" w:bidi="fr-FR"/>
        </w:rPr>
        <w:t>gaires manants y apparaissent régulièrement sans prédicat. Or, la même di</w:t>
      </w:r>
      <w:r w:rsidRPr="003B3476">
        <w:rPr>
          <w:lang w:val="fr-FR" w:eastAsia="fr-FR" w:bidi="fr-FR"/>
        </w:rPr>
        <w:t>s</w:t>
      </w:r>
      <w:r w:rsidRPr="003B3476">
        <w:rPr>
          <w:lang w:val="fr-FR" w:eastAsia="fr-FR" w:bidi="fr-FR"/>
        </w:rPr>
        <w:t>tinction est nett</w:t>
      </w:r>
      <w:r w:rsidRPr="003B3476">
        <w:rPr>
          <w:lang w:val="fr-FR" w:eastAsia="fr-FR" w:bidi="fr-FR"/>
        </w:rPr>
        <w:t>e</w:t>
      </w:r>
      <w:r w:rsidRPr="003B3476">
        <w:rPr>
          <w:lang w:val="fr-FR" w:eastAsia="fr-FR" w:bidi="fr-FR"/>
        </w:rPr>
        <w:t>ment marquée par les plans révolutionnaires de Mazel (Puy-de-Dôme, comm. Varennes-sur-Usson) et de Ravel-Salmeranges, dont la date est inconnue (Puy-de-Dôme, cant. Vertaizon) ; la seule différence est que les mots de « Monsieur » ou « Madame » sont remplacés par ceux de « Citoyen » ou « Citoyenne ».</w:t>
      </w:r>
    </w:p>
  </w:footnote>
  <w:footnote w:id="81">
    <w:p w14:paraId="4AAD7B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Arch. du Puy-de-Dôme, L 1027 (Puy-de-Dôme, cant. Lezoux).</w:t>
      </w:r>
    </w:p>
  </w:footnote>
  <w:footnote w:id="82">
    <w:p w14:paraId="7C6EDF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75ptGrasItalique"/>
          <w:b w:val="0"/>
          <w:sz w:val="24"/>
        </w:rPr>
        <w:t>Cf.</w:t>
      </w:r>
      <w:r w:rsidRPr="003B3476">
        <w:rPr>
          <w:rStyle w:val="Notedebasdepage375ptGras"/>
          <w:b w:val="0"/>
          <w:sz w:val="24"/>
        </w:rPr>
        <w:t xml:space="preserve"> </w:t>
      </w:r>
      <w:r w:rsidRPr="003B3476">
        <w:rPr>
          <w:rStyle w:val="Notedebasdepage37ptGras"/>
          <w:b w:val="0"/>
          <w:sz w:val="24"/>
        </w:rPr>
        <w:t xml:space="preserve">M. </w:t>
      </w:r>
      <w:r w:rsidRPr="003B3476">
        <w:rPr>
          <w:smallCaps/>
          <w:lang w:val="fr-FR" w:eastAsia="fr-FR" w:bidi="fr-FR"/>
        </w:rPr>
        <w:t>Marion</w:t>
      </w:r>
      <w:r w:rsidRPr="003B3476">
        <w:rPr>
          <w:lang w:val="fr-FR" w:eastAsia="fr-FR" w:bidi="fr-FR"/>
        </w:rPr>
        <w:t xml:space="preserve">, </w:t>
      </w:r>
      <w:r w:rsidRPr="003B3476">
        <w:rPr>
          <w:rStyle w:val="Notedebasdepage375ptGrasItalique"/>
          <w:b w:val="0"/>
          <w:sz w:val="24"/>
        </w:rPr>
        <w:t>Les impôts directs,</w:t>
      </w:r>
      <w:r w:rsidRPr="003B3476">
        <w:rPr>
          <w:rStyle w:val="Notedebasdepage375ptGras"/>
          <w:b w:val="0"/>
          <w:sz w:val="24"/>
        </w:rPr>
        <w:t xml:space="preserve"> </w:t>
      </w:r>
      <w:r w:rsidRPr="003B3476">
        <w:rPr>
          <w:lang w:val="fr-FR" w:eastAsia="fr-FR" w:bidi="fr-FR"/>
        </w:rPr>
        <w:t>p. 43 et suiv.</w:t>
      </w:r>
    </w:p>
  </w:footnote>
  <w:footnote w:id="83">
    <w:p w14:paraId="44721CA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t>, pour une liste de ces plans, conservés aujourd’hui aux Archives de l’Aube, de l’Oise, de la Seine-et-Marne, de la Seine-et-Oise et de l’Yonne, E. </w:t>
      </w:r>
      <w:r w:rsidRPr="003B3476">
        <w:rPr>
          <w:rStyle w:val="Notedebasdepage265ptNonGrasNonItalique"/>
          <w:b w:val="0"/>
          <w:bCs w:val="0"/>
          <w:i w:val="0"/>
          <w:iCs w:val="0"/>
          <w:smallCaps/>
          <w:sz w:val="24"/>
        </w:rPr>
        <w:t>Couard</w:t>
      </w:r>
      <w:r w:rsidRPr="003B3476">
        <w:rPr>
          <w:rStyle w:val="Notedebasdepage265ptNonGrasNonItalique"/>
          <w:b w:val="0"/>
          <w:bCs w:val="0"/>
          <w:i w:val="0"/>
          <w:iCs w:val="0"/>
          <w:sz w:val="24"/>
        </w:rPr>
        <w:t xml:space="preserve">, </w:t>
      </w:r>
      <w:r w:rsidRPr="003B3476">
        <w:rPr>
          <w:i/>
          <w:lang w:val="fr-FR" w:eastAsia="fr-FR" w:bidi="fr-FR"/>
        </w:rPr>
        <w:t>Catalogue spécial des plans dits Plans d'intendance conservés aux Archives de Seine-et-Oise</w:t>
      </w:r>
      <w:r w:rsidRPr="003B3476">
        <w:rPr>
          <w:i/>
        </w:rPr>
        <w:t xml:space="preserve"> </w:t>
      </w:r>
      <w:r w:rsidRPr="003B3476">
        <w:rPr>
          <w:i/>
          <w:lang w:val="fr-FR" w:eastAsia="fr-FR" w:bidi="fr-FR"/>
        </w:rPr>
        <w:t>(Annuaire du département de Seine-et-Oise</w:t>
      </w:r>
      <w:r w:rsidRPr="003B3476">
        <w:rPr>
          <w:lang w:val="fr-FR" w:eastAsia="fr-FR" w:bidi="fr-FR"/>
        </w:rPr>
        <w:t>,</w:t>
      </w:r>
      <w:r w:rsidRPr="003B3476">
        <w:t xml:space="preserve"> 1893 et 1894) ; </w:t>
      </w:r>
      <w:r w:rsidRPr="003B3476">
        <w:rPr>
          <w:rStyle w:val="Notedebasdepage265ptNonGrasNonItalique"/>
          <w:b w:val="0"/>
          <w:bCs w:val="0"/>
          <w:i w:val="0"/>
          <w:iCs w:val="0"/>
          <w:sz w:val="24"/>
        </w:rPr>
        <w:t xml:space="preserve">et E. </w:t>
      </w:r>
      <w:r w:rsidRPr="003B3476">
        <w:rPr>
          <w:rStyle w:val="Notedebasdepage265ptNonGrasNonItalique"/>
          <w:b w:val="0"/>
          <w:bCs w:val="0"/>
          <w:i w:val="0"/>
          <w:iCs w:val="0"/>
          <w:smallCaps/>
          <w:sz w:val="24"/>
        </w:rPr>
        <w:t>Lesort</w:t>
      </w:r>
      <w:r w:rsidRPr="003B3476">
        <w:rPr>
          <w:rStyle w:val="Notedebasdepage265ptNonGrasNonItalique"/>
          <w:b w:val="0"/>
          <w:bCs w:val="0"/>
          <w:i w:val="0"/>
          <w:iCs w:val="0"/>
          <w:sz w:val="24"/>
        </w:rPr>
        <w:t xml:space="preserve">, </w:t>
      </w:r>
      <w:r w:rsidRPr="003B3476">
        <w:rPr>
          <w:i/>
          <w:lang w:val="fr-FR" w:eastAsia="fr-FR" w:bidi="fr-FR"/>
        </w:rPr>
        <w:t>Archives de Seine-et-Oise, Série</w:t>
      </w:r>
      <w:r w:rsidRPr="003B3476">
        <w:rPr>
          <w:i/>
        </w:rPr>
        <w:t xml:space="preserve"> C, </w:t>
      </w:r>
      <w:r w:rsidRPr="003B3476">
        <w:rPr>
          <w:i/>
          <w:lang w:val="fr-FR" w:eastAsia="fr-FR" w:bidi="fr-FR"/>
        </w:rPr>
        <w:t>Répertoire numérique</w:t>
      </w:r>
      <w:r w:rsidRPr="003B3476">
        <w:rPr>
          <w:lang w:val="fr-FR" w:eastAsia="fr-FR" w:bidi="fr-FR"/>
        </w:rPr>
        <w:t>,</w:t>
      </w:r>
      <w:r w:rsidRPr="003B3476">
        <w:t xml:space="preserve"> p. 11.</w:t>
      </w:r>
    </w:p>
  </w:footnote>
  <w:footnote w:id="84">
    <w:p w14:paraId="68C1E04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75ptGrasItalique"/>
          <w:b w:val="0"/>
          <w:sz w:val="24"/>
        </w:rPr>
        <w:t>Cf.,</w:t>
      </w:r>
      <w:r w:rsidRPr="003B3476">
        <w:rPr>
          <w:rStyle w:val="Notedebasdepage375ptGras"/>
          <w:b w:val="0"/>
          <w:sz w:val="24"/>
        </w:rPr>
        <w:t xml:space="preserve"> </w:t>
      </w:r>
      <w:r w:rsidRPr="003B3476">
        <w:rPr>
          <w:smallCaps/>
          <w:lang w:val="fr-FR" w:eastAsia="fr-FR" w:bidi="fr-FR"/>
        </w:rPr>
        <w:t>Lesort</w:t>
      </w:r>
      <w:r w:rsidRPr="003B3476">
        <w:rPr>
          <w:lang w:val="fr-FR" w:eastAsia="fr-FR" w:bidi="fr-FR"/>
        </w:rPr>
        <w:t xml:space="preserve">, </w:t>
      </w:r>
      <w:r w:rsidRPr="003B3476">
        <w:rPr>
          <w:rStyle w:val="Notedebasdepage375ptGrasItalique"/>
          <w:b w:val="0"/>
          <w:sz w:val="24"/>
        </w:rPr>
        <w:t>loc. cit.,</w:t>
      </w:r>
      <w:r w:rsidRPr="003B3476">
        <w:rPr>
          <w:rStyle w:val="Notedebasdepage375ptGras"/>
          <w:b w:val="0"/>
          <w:sz w:val="24"/>
        </w:rPr>
        <w:t xml:space="preserve"> </w:t>
      </w:r>
      <w:r w:rsidRPr="003B3476">
        <w:rPr>
          <w:lang w:val="fr-FR" w:eastAsia="fr-FR" w:bidi="fr-FR"/>
        </w:rPr>
        <w:t>p. 1, n° 2.</w:t>
      </w:r>
    </w:p>
  </w:footnote>
  <w:footnote w:id="85">
    <w:p w14:paraId="70C6B5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Au sujet du projet de cadastre général, dont il a été question plus haut, p. 579, M. Pierre Gaxotte veut bien, durant la correction des épreuves, me commun</w:t>
      </w:r>
      <w:r w:rsidRPr="003B3476">
        <w:rPr>
          <w:lang w:val="fr-FR" w:eastAsia="fr-FR" w:bidi="fr-FR"/>
        </w:rPr>
        <w:t>i</w:t>
      </w:r>
      <w:r w:rsidRPr="003B3476">
        <w:rPr>
          <w:lang w:val="fr-FR" w:eastAsia="fr-FR" w:bidi="fr-FR"/>
        </w:rPr>
        <w:t>quer des renseignements nouveaux, extraits d’un dossier conservé aux Arch. Nat., sous la cote K 879. Le questionnaire avait d’abord été adressé par Bertin aux intendants du ressort du Parlement de Paris, puis à tous ceux des pays d’élection. Plus tard, Laverdy interrogea également les Premiers Présidents et les Procureurs Généraux, sauf à Rennes. En outre, il étendit l’enquête aux pays de taille réelle ; là, il demandait aux administrateurs comment on avait procédé dans leurs départements et comment on pourrait procéder ailleurs. « Tous les intendants », m’écrit M. Gaxotte, « se prononcèrent en faveur du cadastre. Plusieurs Procureurs Généraux, de même. Les Parlements se dérob</w:t>
      </w:r>
      <w:r w:rsidRPr="003B3476">
        <w:rPr>
          <w:lang w:val="fr-FR" w:eastAsia="fr-FR" w:bidi="fr-FR"/>
        </w:rPr>
        <w:t>è</w:t>
      </w:r>
      <w:r w:rsidRPr="003B3476">
        <w:rPr>
          <w:lang w:val="fr-FR" w:eastAsia="fr-FR" w:bidi="fr-FR"/>
        </w:rPr>
        <w:t>rent, en disant qu’ils enquêtaient, mais qu’une pareille matière exigeait bea</w:t>
      </w:r>
      <w:r w:rsidRPr="003B3476">
        <w:rPr>
          <w:lang w:val="fr-FR" w:eastAsia="fr-FR" w:bidi="fr-FR"/>
        </w:rPr>
        <w:t>u</w:t>
      </w:r>
      <w:r w:rsidRPr="003B3476">
        <w:rPr>
          <w:lang w:val="fr-FR" w:eastAsia="fr-FR" w:bidi="fr-FR"/>
        </w:rPr>
        <w:t>coup de temps ».</w:t>
      </w:r>
    </w:p>
  </w:footnote>
  <w:footnote w:id="86">
    <w:p w14:paraId="12224D7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Annales d’Histoire économique et sociale</w:t>
      </w:r>
      <w:r w:rsidRPr="003B3476">
        <w:rPr>
          <w:bCs/>
        </w:rPr>
        <w:t>, 1930, II, p. 329-381.</w:t>
      </w:r>
    </w:p>
  </w:footnote>
  <w:footnote w:id="87">
    <w:p w14:paraId="490232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75ptGras"/>
          <w:b w:val="0"/>
          <w:sz w:val="24"/>
        </w:rPr>
        <w:t xml:space="preserve">Gui </w:t>
      </w:r>
      <w:r w:rsidRPr="003B3476">
        <w:rPr>
          <w:smallCaps/>
          <w:lang w:val="fr-FR" w:eastAsia="fr-FR" w:bidi="fr-FR"/>
        </w:rPr>
        <w:t>Coquille</w:t>
      </w:r>
      <w:r w:rsidRPr="003B3476">
        <w:rPr>
          <w:lang w:val="fr-FR" w:eastAsia="fr-FR" w:bidi="fr-FR"/>
        </w:rPr>
        <w:t xml:space="preserve">, </w:t>
      </w:r>
      <w:r w:rsidRPr="003B3476">
        <w:rPr>
          <w:rStyle w:val="Notedebasdepage375ptGrasItalique"/>
          <w:b w:val="0"/>
          <w:sz w:val="24"/>
        </w:rPr>
        <w:t>Coutume du Nivernais</w:t>
      </w:r>
      <w:r w:rsidRPr="003B3476">
        <w:rPr>
          <w:rStyle w:val="Notedebasdepage375ptGras"/>
          <w:b w:val="0"/>
          <w:sz w:val="24"/>
        </w:rPr>
        <w:t xml:space="preserve">, </w:t>
      </w:r>
      <w:r w:rsidRPr="003B3476">
        <w:rPr>
          <w:lang w:val="fr-FR" w:eastAsia="fr-FR" w:bidi="fr-FR"/>
        </w:rPr>
        <w:t>éd. Dupin, 1864, p. 262 (sur le chap. </w:t>
      </w:r>
      <w:r w:rsidRPr="003B3476">
        <w:rPr>
          <w:smallCaps/>
          <w:lang w:val="fr-FR" w:eastAsia="fr-FR" w:bidi="fr-FR"/>
        </w:rPr>
        <w:t>xiv</w:t>
      </w:r>
      <w:r w:rsidRPr="003B3476">
        <w:rPr>
          <w:lang w:val="fr-FR" w:eastAsia="fr-FR" w:bidi="fr-FR"/>
        </w:rPr>
        <w:t>).</w:t>
      </w:r>
    </w:p>
  </w:footnote>
  <w:footnote w:id="88">
    <w:p w14:paraId="745B56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mot de vaine pâture servait parfois aussi à désigner le pacage sur les bois taillis ou l’herbe des futaies ; je ferai ici abstraction de ce droit, qui intéresse l’histoire des usages forestiers.</w:t>
      </w:r>
    </w:p>
  </w:footnote>
  <w:footnote w:id="89">
    <w:p w14:paraId="6F2538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Mémoire de l’avocat messin Vaultron sur le remembrement, cité par François de </w:t>
      </w:r>
      <w:r w:rsidRPr="003B3476">
        <w:rPr>
          <w:rStyle w:val="Notedebasdepage65ptNonGrasPetitesmajuscules"/>
          <w:b w:val="0"/>
          <w:bCs w:val="0"/>
          <w:sz w:val="24"/>
        </w:rPr>
        <w:t xml:space="preserve">Neuf-château, </w:t>
      </w:r>
      <w:r w:rsidRPr="003B3476">
        <w:rPr>
          <w:bCs/>
          <w:i/>
        </w:rPr>
        <w:t>Voyages agronomiques dans la sénatorerie de Dijon</w:t>
      </w:r>
      <w:r w:rsidRPr="003B3476">
        <w:rPr>
          <w:lang w:val="fr-FR" w:eastAsia="fr-FR" w:bidi="fr-FR"/>
        </w:rPr>
        <w:t>, 1806, p. 94.</w:t>
      </w:r>
    </w:p>
  </w:footnote>
  <w:footnote w:id="90">
    <w:p w14:paraId="01F3561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Gazette du commerce, de l’agriculture et des finances</w:t>
      </w:r>
      <w:r w:rsidRPr="003B3476">
        <w:rPr>
          <w:lang w:val="fr-FR" w:eastAsia="fr-FR" w:bidi="fr-FR"/>
        </w:rPr>
        <w:t>,</w:t>
      </w:r>
      <w:r w:rsidRPr="003B3476">
        <w:rPr>
          <w:bCs/>
        </w:rPr>
        <w:t xml:space="preserve"> 1</w:t>
      </w:r>
      <w:r w:rsidRPr="003B3476">
        <w:rPr>
          <w:bCs/>
          <w:vertAlign w:val="superscript"/>
        </w:rPr>
        <w:t>er</w:t>
      </w:r>
      <w:r w:rsidRPr="003B3476">
        <w:rPr>
          <w:bCs/>
        </w:rPr>
        <w:t xml:space="preserve"> et 5 oct. 1765.</w:t>
      </w:r>
    </w:p>
  </w:footnote>
  <w:footnote w:id="91">
    <w:p w14:paraId="6F3A80C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L’ouvrage eut l’honneur d’un </w:t>
      </w:r>
      <w:r w:rsidRPr="003B3476">
        <w:rPr>
          <w:bCs/>
          <w:i/>
        </w:rPr>
        <w:t>Extrait</w:t>
      </w:r>
      <w:r w:rsidRPr="003B3476">
        <w:rPr>
          <w:lang w:val="fr-FR" w:eastAsia="fr-FR" w:bidi="fr-FR"/>
        </w:rPr>
        <w:t xml:space="preserve"> dans le </w:t>
      </w:r>
      <w:r w:rsidRPr="003B3476">
        <w:rPr>
          <w:bCs/>
          <w:i/>
        </w:rPr>
        <w:t>Journal Oeconomique</w:t>
      </w:r>
      <w:r w:rsidRPr="003B3476">
        <w:rPr>
          <w:lang w:val="fr-FR" w:eastAsia="fr-FR" w:bidi="fr-FR"/>
        </w:rPr>
        <w:t>, 1769, p. 481.</w:t>
      </w:r>
    </w:p>
  </w:footnote>
  <w:footnote w:id="92">
    <w:p w14:paraId="326A422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w:t>
      </w:r>
      <w:r w:rsidRPr="003B3476">
        <w:rPr>
          <w:bCs/>
          <w:i/>
        </w:rPr>
        <w:t>Mémoire</w:t>
      </w:r>
      <w:r w:rsidRPr="003B3476">
        <w:rPr>
          <w:lang w:val="fr-FR" w:eastAsia="fr-FR" w:bidi="fr-FR"/>
        </w:rPr>
        <w:t xml:space="preserve"> fut imprimé (exemplaire aux Arch. du Doubs) et des extraits donnés par la </w:t>
      </w:r>
      <w:r w:rsidRPr="003B3476">
        <w:rPr>
          <w:bCs/>
        </w:rPr>
        <w:t>Gazette du Commerce.</w:t>
      </w:r>
      <w:r w:rsidRPr="003B3476">
        <w:rPr>
          <w:lang w:val="fr-FR" w:eastAsia="fr-FR" w:bidi="fr-FR"/>
        </w:rPr>
        <w:t xml:space="preserve"> Il fut en outre communiqué à Bertin (H 1505). </w:t>
      </w:r>
      <w:r w:rsidRPr="003B3476">
        <w:rPr>
          <w:bCs/>
          <w:i/>
        </w:rPr>
        <w:t>Cf.</w:t>
      </w:r>
      <w:r w:rsidRPr="003B3476">
        <w:rPr>
          <w:lang w:val="fr-FR" w:eastAsia="fr-FR" w:bidi="fr-FR"/>
        </w:rPr>
        <w:t xml:space="preserve"> François de </w:t>
      </w:r>
      <w:r w:rsidRPr="003B3476">
        <w:rPr>
          <w:rStyle w:val="Notedebasdepage65ptNonGrasPetitesmajuscules"/>
          <w:b w:val="0"/>
          <w:bCs w:val="0"/>
          <w:sz w:val="24"/>
        </w:rPr>
        <w:t xml:space="preserve">Neuf-château, </w:t>
      </w:r>
      <w:r w:rsidRPr="003B3476">
        <w:rPr>
          <w:bCs/>
          <w:i/>
        </w:rPr>
        <w:t>Voyages agronomiques</w:t>
      </w:r>
      <w:r w:rsidRPr="003B3476">
        <w:rPr>
          <w:lang w:val="fr-FR" w:eastAsia="fr-FR" w:bidi="fr-FR"/>
        </w:rPr>
        <w:t>, p. 89. La S</w:t>
      </w:r>
      <w:r w:rsidRPr="003B3476">
        <w:rPr>
          <w:lang w:val="fr-FR" w:eastAsia="fr-FR" w:bidi="fr-FR"/>
        </w:rPr>
        <w:t>o</w:t>
      </w:r>
      <w:r w:rsidRPr="003B3476">
        <w:rPr>
          <w:lang w:val="fr-FR" w:eastAsia="fr-FR" w:bidi="fr-FR"/>
        </w:rPr>
        <w:t xml:space="preserve">ciété d’agriculture de Rouen fit, en décembre 1765, des « représentations » sur le droit de parcours (note de </w:t>
      </w:r>
      <w:r w:rsidRPr="003B3476">
        <w:rPr>
          <w:rStyle w:val="Notedebasdepage65ptNonGrasPetitesmajuscules"/>
          <w:b w:val="0"/>
          <w:bCs w:val="0"/>
          <w:sz w:val="24"/>
        </w:rPr>
        <w:t xml:space="preserve">parent, </w:t>
      </w:r>
      <w:r w:rsidRPr="003B3476">
        <w:rPr>
          <w:lang w:val="fr-FR" w:eastAsia="fr-FR" w:bidi="fr-FR"/>
        </w:rPr>
        <w:t xml:space="preserve">du 24 avr. 1765, dans </w:t>
      </w:r>
      <w:r w:rsidRPr="003B3476">
        <w:rPr>
          <w:bCs/>
          <w:i/>
        </w:rPr>
        <w:t>Bulletin du Comité des travaux historiques</w:t>
      </w:r>
      <w:r w:rsidRPr="003B3476">
        <w:rPr>
          <w:i/>
          <w:lang w:val="fr-FR" w:eastAsia="fr-FR" w:bidi="fr-FR"/>
        </w:rPr>
        <w:t xml:space="preserve">, </w:t>
      </w:r>
      <w:r w:rsidRPr="003B3476">
        <w:rPr>
          <w:bCs/>
          <w:i/>
        </w:rPr>
        <w:t>Sc. économiques</w:t>
      </w:r>
      <w:r w:rsidRPr="003B3476">
        <w:rPr>
          <w:bCs/>
        </w:rPr>
        <w:t>,</w:t>
      </w:r>
      <w:r w:rsidRPr="003B3476">
        <w:rPr>
          <w:lang w:val="fr-FR" w:eastAsia="fr-FR" w:bidi="fr-FR"/>
        </w:rPr>
        <w:t xml:space="preserve"> 1909, p. 107).</w:t>
      </w:r>
    </w:p>
  </w:footnote>
  <w:footnote w:id="93">
    <w:p w14:paraId="3177F0D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Bibl. Nat., Joly de Fleury, 438, fol. 13 (20 août 1768).</w:t>
      </w:r>
    </w:p>
  </w:footnote>
  <w:footnote w:id="94">
    <w:p w14:paraId="615F1D7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Éd. de 1776, p. 10, n. 1.</w:t>
      </w:r>
    </w:p>
  </w:footnote>
  <w:footnote w:id="95">
    <w:p w14:paraId="18F9D19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Haute-Garonne,  C 2408, fol. 157 v°.</w:t>
      </w:r>
    </w:p>
  </w:footnote>
  <w:footnote w:id="96">
    <w:p w14:paraId="42E98D2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1487, n° 191. Requête d’autorisation de clôture (de prés) adressée à un i</w:t>
      </w:r>
      <w:r w:rsidRPr="003B3476">
        <w:rPr>
          <w:lang w:val="fr-FR" w:eastAsia="fr-FR" w:bidi="fr-FR"/>
        </w:rPr>
        <w:t>n</w:t>
      </w:r>
      <w:r w:rsidRPr="003B3476">
        <w:rPr>
          <w:lang w:val="fr-FR" w:eastAsia="fr-FR" w:bidi="fr-FR"/>
        </w:rPr>
        <w:t>tendant : Haut-Rhin, C 1634.</w:t>
      </w:r>
    </w:p>
  </w:footnote>
  <w:footnote w:id="97">
    <w:p w14:paraId="14D802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Requête de Jacques Saipoult, seigneur de Fay (élection de Joinville), 15 juin 1765 : H 1486, n° 280, </w:t>
      </w:r>
      <w:r w:rsidRPr="003B3476">
        <w:rPr>
          <w:i/>
          <w:lang w:val="fr-FR" w:eastAsia="fr-FR" w:bidi="fr-FR"/>
        </w:rPr>
        <w:t>cf</w:t>
      </w:r>
      <w:r w:rsidRPr="003B3476">
        <w:rPr>
          <w:lang w:val="fr-FR" w:eastAsia="fr-FR" w:bidi="fr-FR"/>
        </w:rPr>
        <w:t>. n° 279. Le résultat est inconnu. Quelques demandes de cette sorte signalées dans l’inventaire des papiers de d’Ormesson, H 1627, n° 96, p. 24 et suiv. ; mais la plupart paraissent se rapporter à des défrich</w:t>
      </w:r>
      <w:r w:rsidRPr="003B3476">
        <w:rPr>
          <w:lang w:val="fr-FR" w:eastAsia="fr-FR" w:bidi="fr-FR"/>
        </w:rPr>
        <w:t>e</w:t>
      </w:r>
      <w:r w:rsidRPr="003B3476">
        <w:rPr>
          <w:lang w:val="fr-FR" w:eastAsia="fr-FR" w:bidi="fr-FR"/>
        </w:rPr>
        <w:t>ments, au lieu que celle du seigneur de Fay avait expressément pour objet l’établissement, sur une ancienne terre arable, de prairies artificielles.</w:t>
      </w:r>
    </w:p>
  </w:footnote>
  <w:footnote w:id="98">
    <w:p w14:paraId="3DE7CE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Mémoire du conseiller Boutier sur </w:t>
      </w:r>
      <w:r w:rsidRPr="003B3476">
        <w:rPr>
          <w:bCs/>
          <w:i/>
        </w:rPr>
        <w:t>les obstacles qui s’opposent au progrès de l’agriculture dans la Lorraine et dans les Evechez</w:t>
      </w:r>
      <w:r w:rsidRPr="003B3476">
        <w:rPr>
          <w:lang w:val="fr-FR" w:eastAsia="fr-FR" w:bidi="fr-FR"/>
        </w:rPr>
        <w:t xml:space="preserve"> (1783) : H 1642, n° 92, p. 4 (à propos des délibérations des communautés permettant la mise en défens des prairies artificielles). « Des magistrats de première instance, par un zèle peu éclairé, menacent déjà d’arrêter ces améliorations ».</w:t>
      </w:r>
    </w:p>
  </w:footnote>
  <w:footnote w:id="99">
    <w:p w14:paraId="00EC729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Nord,  C Hainaut, 155.</w:t>
      </w:r>
    </w:p>
  </w:footnote>
  <w:footnote w:id="100">
    <w:p w14:paraId="09F58DA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Intéressante correspondance, à ce sujet, entre l’intendant Marie et Colbert (1678) : G7. Dans l’Est, il arrivait parfois que la communauté, pour se libérer de dettes contractées envers le seigneur, aliénât en sa faveur les regains d’une partie des prés ; exemples : M. </w:t>
      </w:r>
      <w:r w:rsidRPr="003B3476">
        <w:rPr>
          <w:rStyle w:val="Notedebasdepage65ptNonGras"/>
          <w:b w:val="0"/>
          <w:bCs w:val="0"/>
          <w:smallCaps/>
          <w:sz w:val="24"/>
        </w:rPr>
        <w:t>Goddard</w:t>
      </w:r>
      <w:r w:rsidRPr="003B3476">
        <w:rPr>
          <w:rStyle w:val="Notedebasdepage65ptNonGras"/>
          <w:b w:val="0"/>
          <w:bCs w:val="0"/>
          <w:sz w:val="24"/>
        </w:rPr>
        <w:t xml:space="preserve"> </w:t>
      </w:r>
      <w:r w:rsidRPr="003B3476">
        <w:rPr>
          <w:lang w:val="fr-FR" w:eastAsia="fr-FR" w:bidi="fr-FR"/>
        </w:rPr>
        <w:t xml:space="preserve">et L. </w:t>
      </w:r>
      <w:r w:rsidRPr="003B3476">
        <w:rPr>
          <w:rStyle w:val="Notedebasdepage65ptNonGras"/>
          <w:b w:val="0"/>
          <w:bCs w:val="0"/>
          <w:smallCaps/>
          <w:sz w:val="24"/>
        </w:rPr>
        <w:t>Abensour</w:t>
      </w:r>
      <w:r w:rsidRPr="003B3476">
        <w:rPr>
          <w:rStyle w:val="Notedebasdepage65ptNonGras"/>
          <w:b w:val="0"/>
          <w:bCs w:val="0"/>
          <w:sz w:val="24"/>
        </w:rPr>
        <w:t xml:space="preserve">, </w:t>
      </w:r>
      <w:r w:rsidRPr="003B3476">
        <w:rPr>
          <w:bCs/>
          <w:i/>
        </w:rPr>
        <w:t>Cahiers de d</w:t>
      </w:r>
      <w:r w:rsidRPr="003B3476">
        <w:rPr>
          <w:bCs/>
          <w:i/>
        </w:rPr>
        <w:t>o</w:t>
      </w:r>
      <w:r w:rsidRPr="003B3476">
        <w:rPr>
          <w:bCs/>
          <w:i/>
        </w:rPr>
        <w:t>léances du bai</w:t>
      </w:r>
      <w:r w:rsidRPr="003B3476">
        <w:rPr>
          <w:bCs/>
          <w:i/>
        </w:rPr>
        <w:t>l</w:t>
      </w:r>
      <w:r w:rsidRPr="003B3476">
        <w:rPr>
          <w:bCs/>
          <w:i/>
        </w:rPr>
        <w:t>liage d’Amont</w:t>
      </w:r>
      <w:r w:rsidRPr="003B3476">
        <w:rPr>
          <w:bCs/>
        </w:rPr>
        <w:t>,</w:t>
      </w:r>
      <w:r w:rsidRPr="003B3476">
        <w:rPr>
          <w:lang w:val="fr-FR" w:eastAsia="fr-FR" w:bidi="fr-FR"/>
        </w:rPr>
        <w:t xml:space="preserve"> Colombier, art. 1 et Villeparois, art. 2.</w:t>
      </w:r>
    </w:p>
  </w:footnote>
  <w:footnote w:id="101">
    <w:p w14:paraId="2C484E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N. </w:t>
      </w:r>
      <w:r w:rsidRPr="003B3476">
        <w:rPr>
          <w:rStyle w:val="Notedebasdepage265ptNonGrasNonItalique"/>
          <w:b w:val="0"/>
          <w:bCs w:val="0"/>
          <w:i w:val="0"/>
          <w:iCs w:val="0"/>
          <w:smallCaps/>
          <w:sz w:val="24"/>
        </w:rPr>
        <w:t>Dorvaux</w:t>
      </w:r>
      <w:r w:rsidRPr="003B3476">
        <w:rPr>
          <w:rStyle w:val="Notedebasdepage265ptNonGrasNonItalique"/>
          <w:b w:val="0"/>
          <w:bCs w:val="0"/>
          <w:i w:val="0"/>
          <w:iCs w:val="0"/>
          <w:sz w:val="24"/>
        </w:rPr>
        <w:t xml:space="preserve"> </w:t>
      </w:r>
      <w:r w:rsidRPr="003B3476">
        <w:rPr>
          <w:bCs/>
        </w:rPr>
        <w:t xml:space="preserve">et P. </w:t>
      </w:r>
      <w:r w:rsidRPr="003B3476">
        <w:rPr>
          <w:rStyle w:val="Notedebasdepage265ptNonGrasNonItalique"/>
          <w:b w:val="0"/>
          <w:bCs w:val="0"/>
          <w:i w:val="0"/>
          <w:iCs w:val="0"/>
          <w:smallCaps/>
          <w:sz w:val="24"/>
        </w:rPr>
        <w:t>Lesprand</w:t>
      </w:r>
      <w:r w:rsidRPr="003B3476">
        <w:rPr>
          <w:rStyle w:val="Notedebasdepage265ptNonGrasNonItalique"/>
          <w:b w:val="0"/>
          <w:bCs w:val="0"/>
          <w:i w:val="0"/>
          <w:iCs w:val="0"/>
          <w:sz w:val="24"/>
        </w:rPr>
        <w:t xml:space="preserve">, </w:t>
      </w:r>
      <w:r w:rsidRPr="003B3476">
        <w:rPr>
          <w:i/>
          <w:lang w:val="fr-FR" w:eastAsia="fr-FR" w:bidi="fr-FR"/>
        </w:rPr>
        <w:t>Cahiers de doléances des Communautés en 1789 : Bailliages de Boulay et de Bouzonville</w:t>
      </w:r>
      <w:r w:rsidRPr="003B3476">
        <w:rPr>
          <w:lang w:val="fr-FR" w:eastAsia="fr-FR" w:bidi="fr-FR"/>
        </w:rPr>
        <w:t>,</w:t>
      </w:r>
      <w:r w:rsidRPr="003B3476">
        <w:rPr>
          <w:bCs/>
        </w:rPr>
        <w:t xml:space="preserve"> dans </w:t>
      </w:r>
      <w:r w:rsidRPr="003B3476">
        <w:rPr>
          <w:i/>
          <w:lang w:val="fr-FR" w:eastAsia="fr-FR" w:bidi="fr-FR"/>
        </w:rPr>
        <w:t>Quellen zur lothringi</w:t>
      </w:r>
      <w:r w:rsidRPr="003B3476">
        <w:rPr>
          <w:i/>
          <w:lang w:val="fr-FR" w:eastAsia="fr-FR" w:bidi="fr-FR"/>
        </w:rPr>
        <w:t>s</w:t>
      </w:r>
      <w:r w:rsidRPr="003B3476">
        <w:rPr>
          <w:i/>
          <w:lang w:val="fr-FR" w:eastAsia="fr-FR" w:bidi="fr-FR"/>
        </w:rPr>
        <w:t>chen Geschic</w:t>
      </w:r>
      <w:r w:rsidRPr="003B3476">
        <w:rPr>
          <w:i/>
          <w:lang w:val="fr-FR" w:eastAsia="fr-FR" w:bidi="fr-FR"/>
        </w:rPr>
        <w:t>h</w:t>
      </w:r>
      <w:r w:rsidRPr="003B3476">
        <w:rPr>
          <w:i/>
          <w:lang w:val="fr-FR" w:eastAsia="fr-FR" w:bidi="fr-FR"/>
        </w:rPr>
        <w:t>te</w:t>
      </w:r>
      <w:r w:rsidRPr="003B3476">
        <w:rPr>
          <w:bCs/>
        </w:rPr>
        <w:t>, t. IX, p. 520 (Vaudreching, art. 7).</w:t>
      </w:r>
    </w:p>
  </w:footnote>
  <w:footnote w:id="102">
    <w:p w14:paraId="6D0051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L’hostilité que, de bonne heure, certains tribunaux, peut-être par solidarité d’intérêts, manifestèrent à la vaine pâture sur les regains, se traduit dans un a</w:t>
      </w:r>
      <w:r w:rsidRPr="003B3476">
        <w:rPr>
          <w:lang w:val="fr-FR" w:eastAsia="fr-FR" w:bidi="fr-FR"/>
        </w:rPr>
        <w:t>r</w:t>
      </w:r>
      <w:r w:rsidRPr="003B3476">
        <w:rPr>
          <w:lang w:val="fr-FR" w:eastAsia="fr-FR" w:bidi="fr-FR"/>
        </w:rPr>
        <w:t xml:space="preserve">rêt du 16 mars 1616 rapporté, sans indication de provenance, par </w:t>
      </w:r>
      <w:r w:rsidRPr="003B3476">
        <w:rPr>
          <w:rStyle w:val="Notedebasdepage65ptNonGrasPetitesmajuscules"/>
          <w:b w:val="0"/>
          <w:bCs w:val="0"/>
          <w:sz w:val="24"/>
        </w:rPr>
        <w:t xml:space="preserve">Salligny, </w:t>
      </w:r>
      <w:r w:rsidRPr="003B3476">
        <w:rPr>
          <w:bCs/>
          <w:i/>
        </w:rPr>
        <w:t>Co</w:t>
      </w:r>
      <w:r w:rsidRPr="003B3476">
        <w:rPr>
          <w:bCs/>
          <w:i/>
        </w:rPr>
        <w:t>u</w:t>
      </w:r>
      <w:r w:rsidRPr="003B3476">
        <w:rPr>
          <w:bCs/>
          <w:i/>
        </w:rPr>
        <w:t>tumes de Vitry-le-François</w:t>
      </w:r>
      <w:r w:rsidRPr="003B3476">
        <w:rPr>
          <w:lang w:val="fr-FR" w:eastAsia="fr-FR" w:bidi="fr-FR"/>
        </w:rPr>
        <w:t xml:space="preserve">, 1676, p. 292 : une fermeture de trois ans y était donnée comme suffisant à assurer au propriétaire — même une fois la clôture disparue — le droit au regain ; </w:t>
      </w:r>
      <w:r w:rsidRPr="003B3476">
        <w:rPr>
          <w:rStyle w:val="Notedebasdepage65ptNonGrasPetitesmajuscules"/>
          <w:b w:val="0"/>
          <w:bCs w:val="0"/>
          <w:sz w:val="24"/>
        </w:rPr>
        <w:t xml:space="preserve">Fréminville, </w:t>
      </w:r>
      <w:r w:rsidRPr="003B3476">
        <w:rPr>
          <w:bCs/>
          <w:i/>
        </w:rPr>
        <w:t>Traité général du go</w:t>
      </w:r>
      <w:r w:rsidRPr="003B3476">
        <w:rPr>
          <w:bCs/>
          <w:i/>
        </w:rPr>
        <w:t>u</w:t>
      </w:r>
      <w:r w:rsidRPr="003B3476">
        <w:rPr>
          <w:bCs/>
          <w:i/>
        </w:rPr>
        <w:t>vernement des communautés</w:t>
      </w:r>
      <w:r w:rsidRPr="003B3476">
        <w:rPr>
          <w:lang w:val="fr-FR" w:eastAsia="fr-FR" w:bidi="fr-FR"/>
        </w:rPr>
        <w:t>, p. 79, s’en indigne.</w:t>
      </w:r>
    </w:p>
  </w:footnote>
  <w:footnote w:id="103">
    <w:p w14:paraId="4046787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Côte-d’Or, C 3695.</w:t>
      </w:r>
    </w:p>
  </w:footnote>
  <w:footnote w:id="104">
    <w:p w14:paraId="6A88394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bCs/>
          <w:i/>
        </w:rPr>
        <w:t>Ibid</w:t>
      </w:r>
      <w:r w:rsidRPr="003B3476">
        <w:rPr>
          <w:bCs/>
        </w:rPr>
        <w:t>.</w:t>
      </w:r>
      <w:r w:rsidRPr="003B3476">
        <w:rPr>
          <w:lang w:val="fr-FR" w:eastAsia="fr-FR" w:bidi="fr-FR"/>
        </w:rPr>
        <w:t xml:space="preserve"> (15 juin).</w:t>
      </w:r>
    </w:p>
  </w:footnote>
  <w:footnote w:id="105">
    <w:p w14:paraId="070A670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 </w:t>
      </w:r>
      <w:r w:rsidRPr="003B3476">
        <w:rPr>
          <w:rStyle w:val="Notedebasdepage65ptNonGrasPetitesmajuscules"/>
          <w:b w:val="0"/>
          <w:bCs w:val="0"/>
          <w:sz w:val="24"/>
        </w:rPr>
        <w:t xml:space="preserve">Hoffmann, </w:t>
      </w:r>
      <w:r w:rsidRPr="003B3476">
        <w:rPr>
          <w:bCs/>
          <w:i/>
        </w:rPr>
        <w:t>L’Alsace au XVIII</w:t>
      </w:r>
      <w:r w:rsidRPr="003B3476">
        <w:rPr>
          <w:bCs/>
          <w:i/>
          <w:vertAlign w:val="superscript"/>
        </w:rPr>
        <w:t>e</w:t>
      </w:r>
      <w:r w:rsidRPr="003B3476">
        <w:rPr>
          <w:bCs/>
          <w:i/>
        </w:rPr>
        <w:t xml:space="preserve"> siècle</w:t>
      </w:r>
      <w:r w:rsidRPr="003B3476">
        <w:rPr>
          <w:lang w:val="fr-FR" w:eastAsia="fr-FR" w:bidi="fr-FR"/>
        </w:rPr>
        <w:t>, 1906, t. I. p. 335.</w:t>
      </w:r>
    </w:p>
  </w:footnote>
  <w:footnote w:id="106">
    <w:p w14:paraId="351E882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1486, n° 305 et Haut-Rhin, C 1363 (reproduit l’ordonnance de La Grange). Un mémoire de La Galaizière — H 1486, n° 275, p. 8 — met bien en lumière les raisons d’ordre militaire.</w:t>
      </w:r>
    </w:p>
  </w:footnote>
  <w:footnote w:id="107">
    <w:p w14:paraId="6F5909A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Bas-Rhin,  C 179, n° 60 (Pfatzweyer, dérogation partielle autorisée par l’intendant, en 1771) ; C 182, n° 28 (Bettwiller, exemption totale accordée par l’intendant, 1769), Haut-Rhin,  C 1363 (</w:t>
      </w:r>
      <w:r w:rsidRPr="003B3476">
        <w:rPr>
          <w:bCs/>
          <w:i/>
        </w:rPr>
        <w:t>Bied</w:t>
      </w:r>
      <w:r w:rsidRPr="003B3476">
        <w:rPr>
          <w:lang w:val="fr-FR" w:eastAsia="fr-FR" w:bidi="fr-FR"/>
        </w:rPr>
        <w:t xml:space="preserve"> de Colmar, exempté par arrêt du Conseil, 15 juillet 1768).</w:t>
      </w:r>
    </w:p>
  </w:footnote>
  <w:footnote w:id="108">
    <w:p w14:paraId="45D3C67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Bas-Rhin C 158, n° 126 (Epfig) ; C 177, n° 17 (Oberotterbach). </w:t>
      </w:r>
      <w:r w:rsidRPr="003B3476">
        <w:rPr>
          <w:bCs/>
          <w:i/>
        </w:rPr>
        <w:t>Cf.</w:t>
      </w:r>
      <w:r w:rsidRPr="003B3476">
        <w:rPr>
          <w:lang w:val="fr-FR" w:eastAsia="fr-FR" w:bidi="fr-FR"/>
        </w:rPr>
        <w:t> </w:t>
      </w:r>
      <w:r w:rsidRPr="003B3476">
        <w:rPr>
          <w:rStyle w:val="Notedebasdepage65ptNonGrasPetitesmajuscules"/>
          <w:b w:val="0"/>
          <w:bCs w:val="0"/>
          <w:sz w:val="24"/>
        </w:rPr>
        <w:t xml:space="preserve">Hoffmann, </w:t>
      </w:r>
      <w:r w:rsidRPr="003B3476">
        <w:rPr>
          <w:lang w:val="fr-FR" w:eastAsia="fr-FR" w:bidi="fr-FR"/>
        </w:rPr>
        <w:t>ouv. cité.</w:t>
      </w:r>
    </w:p>
  </w:footnote>
  <w:footnote w:id="109">
    <w:p w14:paraId="6872E1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Tel fut le cas en Champagne, depuis 1731 et de plus en plus fréquemment : Marne, C 453, et Aube,  C 1570. Les intendants procédèrent d’abord par m</w:t>
      </w:r>
      <w:r w:rsidRPr="003B3476">
        <w:rPr>
          <w:lang w:val="fr-FR" w:eastAsia="fr-FR" w:bidi="fr-FR"/>
        </w:rPr>
        <w:t>e</w:t>
      </w:r>
      <w:r w:rsidRPr="003B3476">
        <w:rPr>
          <w:lang w:val="fr-FR" w:eastAsia="fr-FR" w:bidi="fr-FR"/>
        </w:rPr>
        <w:t>sures générales ; puis, à partir de 1770, de préférence par ordonnances re</w:t>
      </w:r>
      <w:r w:rsidRPr="003B3476">
        <w:rPr>
          <w:lang w:val="fr-FR" w:eastAsia="fr-FR" w:bidi="fr-FR"/>
        </w:rPr>
        <w:t>n</w:t>
      </w:r>
      <w:r w:rsidRPr="003B3476">
        <w:rPr>
          <w:lang w:val="fr-FR" w:eastAsia="fr-FR" w:bidi="fr-FR"/>
        </w:rPr>
        <w:t>dues, communautés par communautés ; elles étaient parfois envoyées, en blanc, aux subdélégués. Autres exemples : généralités de Riom : Puy-de-Dôme, C 1842 ; Soissons : Aisne, C 37 ; Valenciennes : Nord, C Hainaut 8 et 1761.</w:t>
      </w:r>
    </w:p>
  </w:footnote>
  <w:footnote w:id="110">
    <w:p w14:paraId="1A535C7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Arrêt du bailliage de Châteauroux du 17 juin 1785, homologué par le Parl</w:t>
      </w:r>
      <w:r w:rsidRPr="003B3476">
        <w:rPr>
          <w:lang w:val="fr-FR" w:eastAsia="fr-FR" w:bidi="fr-FR"/>
        </w:rPr>
        <w:t>e</w:t>
      </w:r>
      <w:r w:rsidRPr="003B3476">
        <w:rPr>
          <w:lang w:val="fr-FR" w:eastAsia="fr-FR" w:bidi="fr-FR"/>
        </w:rPr>
        <w:t>ment de Paris le 23 : AD IV 1.</w:t>
      </w:r>
    </w:p>
  </w:footnote>
  <w:footnote w:id="111">
    <w:p w14:paraId="0B0EAFE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importe de noter que les arrêts des Parlements, relatifs à la police rurale, ne furent que très imparfaitement conservés ; lorsqu’ils l’ont été, c’est le plus souvent dans des dossiers à part ; j’ai pu constater que plusieurs de ceux que relatent les juristes du </w:t>
      </w:r>
      <w:r w:rsidRPr="003B3476">
        <w:rPr>
          <w:smallCaps/>
          <w:lang w:val="fr-FR" w:eastAsia="fr-FR" w:bidi="fr-FR"/>
        </w:rPr>
        <w:t>xviii</w:t>
      </w:r>
      <w:r w:rsidRPr="003B3476">
        <w:rPr>
          <w:vertAlign w:val="superscript"/>
          <w:lang w:val="fr-FR" w:eastAsia="fr-FR" w:bidi="fr-FR"/>
        </w:rPr>
        <w:t>e</w:t>
      </w:r>
      <w:r w:rsidRPr="003B3476">
        <w:rPr>
          <w:lang w:val="fr-FR" w:eastAsia="fr-FR" w:bidi="fr-FR"/>
        </w:rPr>
        <w:t xml:space="preserve"> siècle sont aujourd’hui introuvables.</w:t>
      </w:r>
    </w:p>
  </w:footnote>
  <w:footnote w:id="112">
    <w:p w14:paraId="4D7FCC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Exemples : Bibl. Pau, Ee 105,113 et 118 ; et </w:t>
      </w:r>
      <w:r w:rsidRPr="003B3476">
        <w:rPr>
          <w:bCs/>
          <w:i/>
        </w:rPr>
        <w:t>cf.</w:t>
      </w:r>
      <w:r w:rsidRPr="003B3476">
        <w:rPr>
          <w:lang w:val="fr-FR" w:eastAsia="fr-FR" w:bidi="fr-FR"/>
        </w:rPr>
        <w:t xml:space="preserve"> ci-dessous, p. 605, n. 1. En Languedoc, un arrêt du Parlement de Toulouse : B. de </w:t>
      </w:r>
      <w:r w:rsidRPr="003B3476">
        <w:rPr>
          <w:rStyle w:val="Notedebasdepage65ptNonGrasPetitesmajuscules"/>
          <w:b w:val="0"/>
          <w:bCs w:val="0"/>
          <w:sz w:val="24"/>
        </w:rPr>
        <w:t xml:space="preserve">La Roche-Flavin, </w:t>
      </w:r>
      <w:r w:rsidRPr="003B3476">
        <w:rPr>
          <w:bCs/>
          <w:i/>
        </w:rPr>
        <w:t>A</w:t>
      </w:r>
      <w:r w:rsidRPr="003B3476">
        <w:rPr>
          <w:bCs/>
          <w:i/>
        </w:rPr>
        <w:t>r</w:t>
      </w:r>
      <w:r w:rsidRPr="003B3476">
        <w:rPr>
          <w:bCs/>
          <w:i/>
        </w:rPr>
        <w:t>rests n</w:t>
      </w:r>
      <w:r w:rsidRPr="003B3476">
        <w:rPr>
          <w:bCs/>
          <w:i/>
        </w:rPr>
        <w:t>o</w:t>
      </w:r>
      <w:r w:rsidRPr="003B3476">
        <w:rPr>
          <w:bCs/>
          <w:i/>
        </w:rPr>
        <w:t>tables du Parlement de Toulouse</w:t>
      </w:r>
      <w:r w:rsidRPr="003B3476">
        <w:rPr>
          <w:lang w:val="fr-FR" w:eastAsia="fr-FR" w:bidi="fr-FR"/>
        </w:rPr>
        <w:t>, 1720, Livre troisième, p. 221.</w:t>
      </w:r>
    </w:p>
  </w:footnote>
  <w:footnote w:id="113">
    <w:p w14:paraId="3AC798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NonGrasPetitesmajuscules"/>
          <w:b w:val="0"/>
          <w:bCs w:val="0"/>
          <w:sz w:val="24"/>
        </w:rPr>
        <w:t xml:space="preserve">Fréminville, </w:t>
      </w:r>
      <w:r w:rsidRPr="003B3476">
        <w:rPr>
          <w:bCs/>
          <w:i/>
        </w:rPr>
        <w:t>La pratique universelle pour la rénovation des terriers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1752, t. III, p. 438. </w:t>
      </w:r>
      <w:r w:rsidRPr="003B3476">
        <w:rPr>
          <w:bCs/>
          <w:i/>
        </w:rPr>
        <w:t>Cf.</w:t>
      </w:r>
      <w:r w:rsidRPr="003B3476">
        <w:rPr>
          <w:bCs/>
        </w:rPr>
        <w:t xml:space="preserve"> </w:t>
      </w:r>
      <w:r w:rsidRPr="003B3476">
        <w:rPr>
          <w:bCs/>
          <w:i/>
        </w:rPr>
        <w:t>Recueil Sirey</w:t>
      </w:r>
      <w:r w:rsidRPr="003B3476">
        <w:rPr>
          <w:lang w:val="fr-FR" w:eastAsia="fr-FR" w:bidi="fr-FR"/>
        </w:rPr>
        <w:t>, 1899, t. II, p. 27, col. 1 ; et ci-dessous, p. 605, n. 2.</w:t>
      </w:r>
    </w:p>
  </w:footnote>
  <w:footnote w:id="114">
    <w:p w14:paraId="162CD10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Côte-d’Or, C 3695 ; </w:t>
      </w:r>
      <w:r w:rsidRPr="003B3476">
        <w:rPr>
          <w:rStyle w:val="Notedebasdepage65ptNonGrasPetitesmajuscules"/>
          <w:b w:val="0"/>
          <w:bCs w:val="0"/>
          <w:sz w:val="24"/>
        </w:rPr>
        <w:t xml:space="preserve">Taisand, </w:t>
      </w:r>
      <w:r w:rsidRPr="003B3476">
        <w:rPr>
          <w:i/>
        </w:rPr>
        <w:t>Coutume générale des pays et duché de Bou</w:t>
      </w:r>
      <w:r w:rsidRPr="003B3476">
        <w:rPr>
          <w:i/>
        </w:rPr>
        <w:t>r</w:t>
      </w:r>
      <w:r w:rsidRPr="003B3476">
        <w:rPr>
          <w:i/>
        </w:rPr>
        <w:t>gogne</w:t>
      </w:r>
      <w:r w:rsidRPr="003B3476">
        <w:rPr>
          <w:lang w:val="fr-FR" w:eastAsia="fr-FR" w:bidi="fr-FR"/>
        </w:rPr>
        <w:t xml:space="preserve">, 1698, p. 747 ; </w:t>
      </w:r>
      <w:r w:rsidRPr="003B3476">
        <w:rPr>
          <w:rStyle w:val="Notedebasdepage65ptNonGrasPetitesmajuscules"/>
          <w:b w:val="0"/>
          <w:bCs w:val="0"/>
          <w:sz w:val="24"/>
        </w:rPr>
        <w:t xml:space="preserve">Fréminville, </w:t>
      </w:r>
      <w:r w:rsidRPr="003B3476">
        <w:rPr>
          <w:i/>
        </w:rPr>
        <w:t>Traité général du gouvernement des biens et affaires des communautés d’habitants</w:t>
      </w:r>
      <w:r w:rsidRPr="003B3476">
        <w:t>,</w:t>
      </w:r>
      <w:r w:rsidRPr="003B3476">
        <w:rPr>
          <w:lang w:val="fr-FR" w:eastAsia="fr-FR" w:bidi="fr-FR"/>
        </w:rPr>
        <w:t xml:space="preserve"> 1760, p. 81 et 85 ; </w:t>
      </w:r>
      <w:r w:rsidRPr="003B3476">
        <w:rPr>
          <w:i/>
        </w:rPr>
        <w:t>La pratique des terriers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p. 443 (le plus ancien arrêt de 1567, 30 juin). Arrêts spéciaux à la Bresse (depuis 1664, 9 juin), Ain, C 913 ; plusieurs invoquent pour motif le séjour de la cavalerie.</w:t>
      </w:r>
    </w:p>
  </w:footnote>
  <w:footnote w:id="115">
    <w:p w14:paraId="505A9CB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Tout un dossier à ce sujet, très instructif, Bibl. Nat., Joly de Fleury, 281, fol. 136 et suiv.</w:t>
      </w:r>
    </w:p>
  </w:footnote>
  <w:footnote w:id="116">
    <w:p w14:paraId="3F3B807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 </w:t>
      </w:r>
      <w:r w:rsidRPr="003B3476">
        <w:rPr>
          <w:rStyle w:val="Notedebasdepage265ptNonGrasNonItalique"/>
          <w:b w:val="0"/>
          <w:bCs w:val="0"/>
          <w:i w:val="0"/>
          <w:iCs w:val="0"/>
          <w:sz w:val="24"/>
        </w:rPr>
        <w:t>R[</w:t>
      </w:r>
      <w:r w:rsidRPr="003B3476">
        <w:rPr>
          <w:rStyle w:val="Notedebasdepage265ptNonGrasNonItalique"/>
          <w:b w:val="0"/>
          <w:bCs w:val="0"/>
          <w:i w:val="0"/>
          <w:iCs w:val="0"/>
          <w:smallCaps/>
          <w:sz w:val="24"/>
        </w:rPr>
        <w:t>iston</w:t>
      </w:r>
      <w:r w:rsidRPr="003B3476">
        <w:rPr>
          <w:rStyle w:val="Notedebasdepage265ptNonGrasNonItalique"/>
          <w:b w:val="0"/>
          <w:bCs w:val="0"/>
          <w:i w:val="0"/>
          <w:iCs w:val="0"/>
          <w:sz w:val="24"/>
        </w:rPr>
        <w:t xml:space="preserve">], </w:t>
      </w:r>
      <w:r w:rsidRPr="003B3476">
        <w:rPr>
          <w:i/>
          <w:lang w:val="fr-FR" w:eastAsia="fr-FR" w:bidi="fr-FR"/>
        </w:rPr>
        <w:t>Table alphabétique ou abrégée du recueil des ordonnances... de Lo</w:t>
      </w:r>
      <w:r w:rsidRPr="003B3476">
        <w:rPr>
          <w:i/>
          <w:lang w:val="fr-FR" w:eastAsia="fr-FR" w:bidi="fr-FR"/>
        </w:rPr>
        <w:t>r</w:t>
      </w:r>
      <w:r w:rsidRPr="003B3476">
        <w:rPr>
          <w:i/>
          <w:lang w:val="fr-FR" w:eastAsia="fr-FR" w:bidi="fr-FR"/>
        </w:rPr>
        <w:t>raine jusqu’en 1773</w:t>
      </w:r>
      <w:r w:rsidRPr="003B3476">
        <w:rPr>
          <w:bCs/>
        </w:rPr>
        <w:t xml:space="preserve">, 1773, </w:t>
      </w:r>
      <w:r w:rsidRPr="003B3476">
        <w:rPr>
          <w:rStyle w:val="Notedebasdepage265ptNonGrasNonItalique"/>
          <w:b w:val="0"/>
          <w:bCs w:val="0"/>
          <w:i w:val="0"/>
          <w:iCs w:val="0"/>
          <w:sz w:val="24"/>
        </w:rPr>
        <w:t xml:space="preserve">art. </w:t>
      </w:r>
      <w:r w:rsidRPr="003B3476">
        <w:rPr>
          <w:i/>
          <w:lang w:val="fr-FR" w:eastAsia="fr-FR" w:bidi="fr-FR"/>
        </w:rPr>
        <w:t>Regains</w:t>
      </w:r>
      <w:r w:rsidRPr="003B3476">
        <w:rPr>
          <w:lang w:val="fr-FR" w:eastAsia="fr-FR" w:bidi="fr-FR"/>
        </w:rPr>
        <w:t>,</w:t>
      </w:r>
      <w:r w:rsidRPr="003B3476">
        <w:rPr>
          <w:bCs/>
        </w:rPr>
        <w:t xml:space="preserve"> V. </w:t>
      </w:r>
      <w:r w:rsidRPr="003B3476">
        <w:rPr>
          <w:rStyle w:val="Notedebasdepage265ptNonGrasNonItalique"/>
          <w:b w:val="0"/>
          <w:bCs w:val="0"/>
          <w:i w:val="0"/>
          <w:iCs w:val="0"/>
          <w:smallCaps/>
          <w:sz w:val="24"/>
        </w:rPr>
        <w:t>Riston</w:t>
      </w:r>
      <w:r w:rsidRPr="003B3476">
        <w:rPr>
          <w:rStyle w:val="Notedebasdepage265ptNonGrasNonItalique"/>
          <w:b w:val="0"/>
          <w:bCs w:val="0"/>
          <w:i w:val="0"/>
          <w:iCs w:val="0"/>
          <w:sz w:val="24"/>
        </w:rPr>
        <w:t xml:space="preserve">, </w:t>
      </w:r>
      <w:r w:rsidRPr="003B3476">
        <w:rPr>
          <w:i/>
          <w:lang w:val="fr-FR" w:eastAsia="fr-FR" w:bidi="fr-FR"/>
        </w:rPr>
        <w:t>Contribution à l’étude du droit coutumier lorrain. Des différentes formes de la propriété</w:t>
      </w:r>
      <w:r w:rsidRPr="003B3476">
        <w:rPr>
          <w:bCs/>
        </w:rPr>
        <w:t>, 1887, p. 286.</w:t>
      </w:r>
    </w:p>
  </w:footnote>
  <w:footnote w:id="117">
    <w:p w14:paraId="68BBF02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Meurthe-et-Moselle, Parlement, reg. 4934 (14, 23 et 28 juin) ; — Journal de Durival, Bibl. de Nancy, ms. 1314, fol. 187 v° ; — J. </w:t>
      </w:r>
      <w:r w:rsidRPr="003B3476">
        <w:rPr>
          <w:rStyle w:val="Notedebasdepage65ptNonGras"/>
          <w:b w:val="0"/>
          <w:bCs w:val="0"/>
          <w:sz w:val="24"/>
        </w:rPr>
        <w:t xml:space="preserve">Krug-Basse, </w:t>
      </w:r>
      <w:r w:rsidRPr="003B3476">
        <w:rPr>
          <w:bCs/>
          <w:i/>
        </w:rPr>
        <w:t>Histoire du Pa</w:t>
      </w:r>
      <w:r w:rsidRPr="003B3476">
        <w:rPr>
          <w:bCs/>
          <w:i/>
        </w:rPr>
        <w:t>r</w:t>
      </w:r>
      <w:r w:rsidRPr="003B3476">
        <w:rPr>
          <w:bCs/>
          <w:i/>
        </w:rPr>
        <w:t>lement de Lorraine et Barrois</w:t>
      </w:r>
      <w:r w:rsidRPr="003B3476">
        <w:rPr>
          <w:lang w:val="fr-FR" w:eastAsia="fr-FR" w:bidi="fr-FR"/>
        </w:rPr>
        <w:t>, 1879, p. 278-279.</w:t>
      </w:r>
    </w:p>
  </w:footnote>
  <w:footnote w:id="118">
    <w:p w14:paraId="0CF803D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Au moins depuis 1776 : Bibl. de Nancy, fonds lorrain 6381, portefeuille 17 ; </w:t>
      </w:r>
      <w:r w:rsidRPr="003B3476">
        <w:rPr>
          <w:bCs/>
          <w:i/>
        </w:rPr>
        <w:t>cf.</w:t>
      </w:r>
      <w:r w:rsidRPr="003B3476">
        <w:rPr>
          <w:lang w:val="fr-FR" w:eastAsia="fr-FR" w:bidi="fr-FR"/>
        </w:rPr>
        <w:t xml:space="preserve"> portefeuilles 19 (1779) et </w:t>
      </w:r>
      <w:r w:rsidRPr="003B3476">
        <w:rPr>
          <w:rStyle w:val="Notedebasdepage65ptNonGras"/>
          <w:b w:val="0"/>
          <w:bCs w:val="0"/>
          <w:sz w:val="24"/>
        </w:rPr>
        <w:t xml:space="preserve">22 </w:t>
      </w:r>
      <w:r w:rsidRPr="003B3476">
        <w:rPr>
          <w:lang w:val="fr-FR" w:eastAsia="fr-FR" w:bidi="fr-FR"/>
        </w:rPr>
        <w:t xml:space="preserve">(1784), et V. </w:t>
      </w:r>
      <w:r w:rsidRPr="003B3476">
        <w:rPr>
          <w:rStyle w:val="Notedebasdepage65ptNonGras"/>
          <w:b w:val="0"/>
          <w:bCs w:val="0"/>
          <w:smallCaps/>
          <w:sz w:val="24"/>
        </w:rPr>
        <w:t>Riston</w:t>
      </w:r>
      <w:r w:rsidRPr="003B3476">
        <w:rPr>
          <w:rStyle w:val="Notedebasdepage65ptNonGras"/>
          <w:b w:val="0"/>
          <w:bCs w:val="0"/>
          <w:sz w:val="24"/>
        </w:rPr>
        <w:t xml:space="preserve">, </w:t>
      </w:r>
      <w:r w:rsidRPr="003B3476">
        <w:rPr>
          <w:lang w:val="fr-FR" w:eastAsia="fr-FR" w:bidi="fr-FR"/>
        </w:rPr>
        <w:t xml:space="preserve">p. 286. En 1766, l’arrêt avait été rendu par le Conseil, </w:t>
      </w:r>
      <w:r w:rsidRPr="003B3476">
        <w:rPr>
          <w:bCs/>
          <w:i/>
        </w:rPr>
        <w:t>Recueil des ordonnances</w:t>
      </w:r>
      <w:r w:rsidRPr="003B3476">
        <w:rPr>
          <w:lang w:val="fr-FR" w:eastAsia="fr-FR" w:bidi="fr-FR"/>
        </w:rPr>
        <w:t>, t. XI, p. 78.</w:t>
      </w:r>
    </w:p>
  </w:footnote>
  <w:footnote w:id="119">
    <w:p w14:paraId="21B857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Circulaire du 29 juin 1731 ; Marne, C 453 ; Nord, C Hainaut, 8.</w:t>
      </w:r>
    </w:p>
  </w:footnote>
  <w:footnote w:id="120">
    <w:p w14:paraId="380F0CA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Contrôleur Général, représenté par Gravier de Vergennes, chargé alors des affaires agricoles, refusa, en 1785, une mesure de cette sorte aux intendants de Soissons (lettres du 19 et du 30 juin, Aisne, C 37) et de Tours (lettre de celui-ci, du 4 juillet, H 1626, n° 241) ; </w:t>
      </w:r>
      <w:r w:rsidRPr="003B3476">
        <w:rPr>
          <w:bCs/>
          <w:i/>
        </w:rPr>
        <w:t>cf.</w:t>
      </w:r>
      <w:r w:rsidRPr="003B3476">
        <w:rPr>
          <w:lang w:val="fr-FR" w:eastAsia="fr-FR" w:bidi="fr-FR"/>
        </w:rPr>
        <w:t xml:space="preserve"> l’inventaire des papiers concernant l’agriculture remis au Contrôle Général en janvier 1788, 2</w:t>
      </w:r>
      <w:r w:rsidRPr="003B3476">
        <w:rPr>
          <w:vertAlign w:val="superscript"/>
          <w:lang w:val="fr-FR" w:eastAsia="fr-FR" w:bidi="fr-FR"/>
        </w:rPr>
        <w:t>e</w:t>
      </w:r>
      <w:r w:rsidRPr="003B3476">
        <w:rPr>
          <w:lang w:val="fr-FR" w:eastAsia="fr-FR" w:bidi="fr-FR"/>
        </w:rPr>
        <w:t xml:space="preserve"> dossier, F</w:t>
      </w:r>
      <w:r w:rsidRPr="003B3476">
        <w:rPr>
          <w:vertAlign w:val="superscript"/>
          <w:lang w:val="fr-FR" w:eastAsia="fr-FR" w:bidi="fr-FR"/>
        </w:rPr>
        <w:t>10</w:t>
      </w:r>
      <w:r w:rsidRPr="003B3476">
        <w:rPr>
          <w:lang w:val="fr-FR" w:eastAsia="fr-FR" w:bidi="fr-FR"/>
        </w:rPr>
        <w:t xml:space="preserve"> 201.</w:t>
      </w:r>
    </w:p>
  </w:footnote>
  <w:footnote w:id="121">
    <w:p w14:paraId="34644C7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Exemple : troubles à Montiéramey, en 1731 : Aube, C 1570. La phrase relat</w:t>
      </w:r>
      <w:r w:rsidRPr="003B3476">
        <w:rPr>
          <w:lang w:val="fr-FR" w:eastAsia="fr-FR" w:bidi="fr-FR"/>
        </w:rPr>
        <w:t>i</w:t>
      </w:r>
      <w:r w:rsidRPr="003B3476">
        <w:rPr>
          <w:lang w:val="fr-FR" w:eastAsia="fr-FR" w:bidi="fr-FR"/>
        </w:rPr>
        <w:t>ve au « petit peuple » dans une lettre du subdélégué de Bavay, 10 juillet 1741, Nord, C Hainaut, 8.</w:t>
      </w:r>
    </w:p>
  </w:footnote>
  <w:footnote w:id="122">
    <w:p w14:paraId="06D537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Basses-Pyrénées, C 1446 (requête de la communauté d’Angais).</w:t>
      </w:r>
    </w:p>
  </w:footnote>
  <w:footnote w:id="123">
    <w:p w14:paraId="3CB5BF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arrêts, la lettre de l’intendant du 24 juin 1788, une lettre de Lamoignon relative cette affaire : H 1627.</w:t>
      </w:r>
    </w:p>
  </w:footnote>
  <w:footnote w:id="124">
    <w:p w14:paraId="237730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Ordonnance de Trudaine de Montigny, intendant de Riom, 20 juin 1741 ; Puy-de-Dôme, C 1842.</w:t>
      </w:r>
    </w:p>
  </w:footnote>
  <w:footnote w:id="125">
    <w:p w14:paraId="2E8B889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 à l’intendant, 24 juin : Aisne, C 37.</w:t>
      </w:r>
    </w:p>
  </w:footnote>
  <w:footnote w:id="126">
    <w:p w14:paraId="3A03111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à l’appendice, le tableau. Exemple concret de difficultés de répartition : Ch. </w:t>
      </w:r>
      <w:r w:rsidRPr="003B3476">
        <w:rPr>
          <w:rStyle w:val="Notedebasdepage65ptNonGrasPetitesmajuscules"/>
          <w:b w:val="0"/>
          <w:bCs w:val="0"/>
          <w:sz w:val="24"/>
        </w:rPr>
        <w:t xml:space="preserve">Étienne, </w:t>
      </w:r>
      <w:r w:rsidRPr="003B3476">
        <w:rPr>
          <w:bCs/>
          <w:i/>
        </w:rPr>
        <w:t>Cahiers du bailliage de Vie</w:t>
      </w:r>
      <w:r w:rsidRPr="003B3476">
        <w:rPr>
          <w:lang w:val="fr-FR" w:eastAsia="fr-FR" w:bidi="fr-FR"/>
        </w:rPr>
        <w:t>, 1907, p. 416.</w:t>
      </w:r>
    </w:p>
  </w:footnote>
  <w:footnote w:id="127">
    <w:p w14:paraId="22B4A2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lang w:val="fr-FR" w:eastAsia="fr-FR" w:bidi="fr-FR"/>
        </w:rPr>
        <w:t>., pour la Lorraine, divers mémoires, H 1486, n</w:t>
      </w:r>
      <w:r w:rsidRPr="003B3476">
        <w:rPr>
          <w:vertAlign w:val="superscript"/>
          <w:lang w:val="fr-FR" w:eastAsia="fr-FR" w:bidi="fr-FR"/>
        </w:rPr>
        <w:t>os</w:t>
      </w:r>
      <w:r w:rsidRPr="003B3476">
        <w:rPr>
          <w:lang w:val="fr-FR" w:eastAsia="fr-FR" w:bidi="fr-FR"/>
        </w:rPr>
        <w:t xml:space="preserve"> 158 et 93, et V. </w:t>
      </w:r>
      <w:r w:rsidRPr="003B3476">
        <w:rPr>
          <w:rStyle w:val="Notedebasdepage65ptNonGras"/>
          <w:b w:val="0"/>
          <w:bCs w:val="0"/>
          <w:smallCaps/>
          <w:sz w:val="24"/>
        </w:rPr>
        <w:t>Riston</w:t>
      </w:r>
      <w:r w:rsidRPr="003B3476">
        <w:rPr>
          <w:rStyle w:val="Notedebasdepage65ptNonGras"/>
          <w:b w:val="0"/>
          <w:bCs w:val="0"/>
          <w:sz w:val="24"/>
        </w:rPr>
        <w:t xml:space="preserve">, </w:t>
      </w:r>
      <w:r w:rsidRPr="003B3476">
        <w:rPr>
          <w:bCs/>
          <w:i/>
        </w:rPr>
        <w:t xml:space="preserve">Les </w:t>
      </w:r>
      <w:r w:rsidRPr="003B3476">
        <w:rPr>
          <w:rStyle w:val="NotedebasdepageItaliqueEspacement1pt"/>
          <w:b w:val="0"/>
          <w:sz w:val="24"/>
        </w:rPr>
        <w:t>diffé</w:t>
      </w:r>
      <w:r w:rsidRPr="003B3476">
        <w:rPr>
          <w:bCs/>
        </w:rPr>
        <w:t>rentes</w:t>
      </w:r>
      <w:r w:rsidRPr="003B3476">
        <w:rPr>
          <w:bCs/>
          <w:i/>
        </w:rPr>
        <w:t xml:space="preserve"> formes de la propriété</w:t>
      </w:r>
      <w:r w:rsidRPr="003B3476">
        <w:rPr>
          <w:lang w:val="fr-FR" w:eastAsia="fr-FR" w:bidi="fr-FR"/>
        </w:rPr>
        <w:t>, p. 287 et suiv. Dans le ressort du Pa</w:t>
      </w:r>
      <w:r w:rsidRPr="003B3476">
        <w:rPr>
          <w:lang w:val="fr-FR" w:eastAsia="fr-FR" w:bidi="fr-FR"/>
        </w:rPr>
        <w:t>r</w:t>
      </w:r>
      <w:r w:rsidRPr="003B3476">
        <w:rPr>
          <w:lang w:val="fr-FR" w:eastAsia="fr-FR" w:bidi="fr-FR"/>
        </w:rPr>
        <w:t xml:space="preserve">lement de Dijon, le premier arrêt qui soit explicite à ce sujet est du 8 juillet 1751 ; mais auparavant déjà, la jurisprudence était fixe ; </w:t>
      </w:r>
      <w:r w:rsidRPr="003B3476">
        <w:rPr>
          <w:i/>
          <w:lang w:val="fr-FR" w:eastAsia="fr-FR" w:bidi="fr-FR"/>
        </w:rPr>
        <w:t>cf</w:t>
      </w:r>
      <w:r w:rsidRPr="003B3476">
        <w:rPr>
          <w:lang w:val="fr-FR" w:eastAsia="fr-FR" w:bidi="fr-FR"/>
        </w:rPr>
        <w:t xml:space="preserve">. un procès relaté par </w:t>
      </w:r>
      <w:r w:rsidRPr="003B3476">
        <w:rPr>
          <w:rStyle w:val="Notedebasdepage65ptNonGras"/>
          <w:b w:val="0"/>
          <w:bCs w:val="0"/>
          <w:smallCaps/>
          <w:sz w:val="24"/>
        </w:rPr>
        <w:t>Frémi</w:t>
      </w:r>
      <w:r w:rsidRPr="003B3476">
        <w:rPr>
          <w:rStyle w:val="Notedebasdepage65ptNonGras"/>
          <w:b w:val="0"/>
          <w:bCs w:val="0"/>
          <w:smallCaps/>
          <w:sz w:val="24"/>
        </w:rPr>
        <w:t>n</w:t>
      </w:r>
      <w:r w:rsidRPr="003B3476">
        <w:rPr>
          <w:rStyle w:val="Notedebasdepage65ptNonGras"/>
          <w:b w:val="0"/>
          <w:bCs w:val="0"/>
          <w:smallCaps/>
          <w:sz w:val="24"/>
        </w:rPr>
        <w:t>ville</w:t>
      </w:r>
      <w:r w:rsidRPr="003B3476">
        <w:rPr>
          <w:rStyle w:val="Notedebasdepage65ptNonGras"/>
          <w:b w:val="0"/>
          <w:bCs w:val="0"/>
          <w:sz w:val="24"/>
        </w:rPr>
        <w:t xml:space="preserve">, </w:t>
      </w:r>
      <w:r w:rsidRPr="003B3476">
        <w:rPr>
          <w:bCs/>
          <w:i/>
        </w:rPr>
        <w:t>Pratique</w:t>
      </w:r>
      <w:r w:rsidRPr="003B3476">
        <w:rPr>
          <w:lang w:val="fr-FR" w:eastAsia="fr-FR" w:bidi="fr-FR"/>
        </w:rPr>
        <w:t xml:space="preserve">, </w:t>
      </w:r>
      <w:r w:rsidRPr="003B3476">
        <w:rPr>
          <w:rStyle w:val="Notedebasdepage65ptNonGras"/>
          <w:b w:val="0"/>
          <w:bCs w:val="0"/>
          <w:sz w:val="24"/>
        </w:rPr>
        <w:t>2</w:t>
      </w:r>
      <w:r w:rsidRPr="003B3476">
        <w:rPr>
          <w:rStyle w:val="Notedebasdepage65ptNonGras"/>
          <w:b w:val="0"/>
          <w:bCs w:val="0"/>
          <w:sz w:val="24"/>
          <w:vertAlign w:val="superscript"/>
        </w:rPr>
        <w:t>e</w:t>
      </w:r>
      <w:r w:rsidRPr="003B3476">
        <w:rPr>
          <w:rStyle w:val="Notedebasdepage65ptNonGras"/>
          <w:b w:val="0"/>
          <w:bCs w:val="0"/>
          <w:sz w:val="24"/>
        </w:rPr>
        <w:t xml:space="preserve"> </w:t>
      </w:r>
      <w:r w:rsidRPr="003B3476">
        <w:rPr>
          <w:lang w:val="fr-FR" w:eastAsia="fr-FR" w:bidi="fr-FR"/>
        </w:rPr>
        <w:t>éd., t. III, p. 440. Le contraste entre les divers systèmes (n</w:t>
      </w:r>
      <w:r w:rsidRPr="003B3476">
        <w:rPr>
          <w:lang w:val="fr-FR" w:eastAsia="fr-FR" w:bidi="fr-FR"/>
        </w:rPr>
        <w:t>o</w:t>
      </w:r>
      <w:r w:rsidRPr="003B3476">
        <w:rPr>
          <w:lang w:val="fr-FR" w:eastAsia="fr-FR" w:bidi="fr-FR"/>
        </w:rPr>
        <w:t>tamment entre ceux des deux Bourgognes) avait vivement frappé les conte</w:t>
      </w:r>
      <w:r w:rsidRPr="003B3476">
        <w:rPr>
          <w:lang w:val="fr-FR" w:eastAsia="fr-FR" w:bidi="fr-FR"/>
        </w:rPr>
        <w:t>m</w:t>
      </w:r>
      <w:r w:rsidRPr="003B3476">
        <w:rPr>
          <w:lang w:val="fr-FR" w:eastAsia="fr-FR" w:bidi="fr-FR"/>
        </w:rPr>
        <w:t xml:space="preserve">porains. </w:t>
      </w:r>
      <w:r w:rsidRPr="003B3476">
        <w:rPr>
          <w:bCs/>
          <w:i/>
        </w:rPr>
        <w:t>Cf.</w:t>
      </w:r>
      <w:r w:rsidRPr="003B3476">
        <w:rPr>
          <w:lang w:val="fr-FR" w:eastAsia="fr-FR" w:bidi="fr-FR"/>
        </w:rPr>
        <w:t xml:space="preserve"> </w:t>
      </w:r>
      <w:r w:rsidRPr="003B3476">
        <w:rPr>
          <w:rStyle w:val="Notedebasdepage65ptNonGras"/>
          <w:b w:val="0"/>
          <w:bCs w:val="0"/>
          <w:smallCaps/>
          <w:sz w:val="24"/>
        </w:rPr>
        <w:t>Merlin</w:t>
      </w:r>
      <w:r w:rsidRPr="003B3476">
        <w:rPr>
          <w:rStyle w:val="Notedebasdepage65ptNonGras"/>
          <w:b w:val="0"/>
          <w:bCs w:val="0"/>
          <w:sz w:val="24"/>
        </w:rPr>
        <w:t xml:space="preserve">, </w:t>
      </w:r>
      <w:r w:rsidRPr="003B3476">
        <w:rPr>
          <w:bCs/>
          <w:i/>
        </w:rPr>
        <w:t>Répertoire</w:t>
      </w:r>
      <w:r w:rsidRPr="003B3476">
        <w:rPr>
          <w:i/>
          <w:lang w:val="fr-FR" w:eastAsia="fr-FR" w:bidi="fr-FR"/>
        </w:rPr>
        <w:t xml:space="preserve">, art. </w:t>
      </w:r>
      <w:r w:rsidRPr="003B3476">
        <w:rPr>
          <w:bCs/>
          <w:i/>
        </w:rPr>
        <w:t>Regain</w:t>
      </w:r>
      <w:r w:rsidRPr="003B3476">
        <w:rPr>
          <w:lang w:val="fr-FR" w:eastAsia="fr-FR" w:bidi="fr-FR"/>
        </w:rPr>
        <w:t xml:space="preserve">, p. 370-371 ; </w:t>
      </w:r>
      <w:r w:rsidRPr="003B3476">
        <w:rPr>
          <w:rStyle w:val="Notedebasdepage65ptNonGras"/>
          <w:b w:val="0"/>
          <w:bCs w:val="0"/>
          <w:smallCaps/>
          <w:sz w:val="24"/>
        </w:rPr>
        <w:t>Dunod</w:t>
      </w:r>
      <w:r w:rsidRPr="003B3476">
        <w:rPr>
          <w:rStyle w:val="Notedebasdepage65ptNonGras"/>
          <w:b w:val="0"/>
          <w:bCs w:val="0"/>
          <w:sz w:val="24"/>
        </w:rPr>
        <w:t xml:space="preserve"> </w:t>
      </w:r>
      <w:r w:rsidRPr="003B3476">
        <w:rPr>
          <w:rStyle w:val="Notedebasdepage65ptNonGras"/>
          <w:b w:val="0"/>
          <w:bCs w:val="0"/>
          <w:smallCaps/>
          <w:sz w:val="24"/>
        </w:rPr>
        <w:t>de</w:t>
      </w:r>
      <w:r w:rsidRPr="003B3476">
        <w:rPr>
          <w:rStyle w:val="Notedebasdepage65ptNonGras"/>
          <w:b w:val="0"/>
          <w:bCs w:val="0"/>
          <w:sz w:val="24"/>
        </w:rPr>
        <w:t xml:space="preserve"> </w:t>
      </w:r>
      <w:r w:rsidRPr="003B3476">
        <w:rPr>
          <w:rStyle w:val="Notedebasdepage65ptNonGras"/>
          <w:b w:val="0"/>
          <w:bCs w:val="0"/>
          <w:smallCaps/>
          <w:sz w:val="24"/>
        </w:rPr>
        <w:t>Charnage</w:t>
      </w:r>
      <w:r w:rsidRPr="003B3476">
        <w:rPr>
          <w:rStyle w:val="Notedebasdepage65ptNonGras"/>
          <w:b w:val="0"/>
          <w:bCs w:val="0"/>
          <w:sz w:val="24"/>
        </w:rPr>
        <w:t xml:space="preserve">, </w:t>
      </w:r>
      <w:r w:rsidRPr="003B3476">
        <w:rPr>
          <w:bCs/>
          <w:i/>
        </w:rPr>
        <w:t>Traité des prescriptions</w:t>
      </w:r>
      <w:r w:rsidRPr="003B3476">
        <w:rPr>
          <w:lang w:val="fr-FR" w:eastAsia="fr-FR" w:bidi="fr-FR"/>
        </w:rPr>
        <w:t>, éd. de 1765, p. 81 ; cahier du bailli</w:t>
      </w:r>
      <w:r w:rsidRPr="003B3476">
        <w:rPr>
          <w:lang w:val="fr-FR" w:eastAsia="fr-FR" w:bidi="fr-FR"/>
        </w:rPr>
        <w:t>a</w:t>
      </w:r>
      <w:r w:rsidRPr="003B3476">
        <w:rPr>
          <w:lang w:val="fr-FR" w:eastAsia="fr-FR" w:bidi="fr-FR"/>
        </w:rPr>
        <w:t xml:space="preserve">ge de Dole, dans </w:t>
      </w:r>
      <w:r w:rsidRPr="003B3476">
        <w:rPr>
          <w:bCs/>
          <w:i/>
        </w:rPr>
        <w:t>Arch. Pa</w:t>
      </w:r>
      <w:r w:rsidRPr="003B3476">
        <w:rPr>
          <w:bCs/>
          <w:i/>
        </w:rPr>
        <w:t>r</w:t>
      </w:r>
      <w:r w:rsidRPr="003B3476">
        <w:rPr>
          <w:bCs/>
          <w:i/>
        </w:rPr>
        <w:t>lementaires</w:t>
      </w:r>
      <w:r w:rsidRPr="003B3476">
        <w:rPr>
          <w:lang w:val="fr-FR" w:eastAsia="fr-FR" w:bidi="fr-FR"/>
        </w:rPr>
        <w:t>, t. III, p. 167.</w:t>
      </w:r>
    </w:p>
  </w:footnote>
  <w:footnote w:id="128">
    <w:p w14:paraId="06BA047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Pyrénées-Orientales, C 1073 et 1074. Les motifs de la Cour d’après le réquis</w:t>
      </w:r>
      <w:r w:rsidRPr="003B3476">
        <w:rPr>
          <w:lang w:val="fr-FR" w:eastAsia="fr-FR" w:bidi="fr-FR"/>
        </w:rPr>
        <w:t>i</w:t>
      </w:r>
      <w:r w:rsidRPr="003B3476">
        <w:rPr>
          <w:lang w:val="fr-FR" w:eastAsia="fr-FR" w:bidi="fr-FR"/>
        </w:rPr>
        <w:t>toire du Procureur Général ; l’ordonnance de Bon, confirmant celle de son prédécesseur, est du 19 juin 1755 ; je n’ai pu en retrouver le texte, mais pl</w:t>
      </w:r>
      <w:r w:rsidRPr="003B3476">
        <w:rPr>
          <w:lang w:val="fr-FR" w:eastAsia="fr-FR" w:bidi="fr-FR"/>
        </w:rPr>
        <w:t>u</w:t>
      </w:r>
      <w:r w:rsidRPr="003B3476">
        <w:rPr>
          <w:lang w:val="fr-FR" w:eastAsia="fr-FR" w:bidi="fr-FR"/>
        </w:rPr>
        <w:t xml:space="preserve">sieurs procédures en font mention. </w:t>
      </w:r>
      <w:r w:rsidRPr="003B3476">
        <w:rPr>
          <w:bCs/>
          <w:i/>
        </w:rPr>
        <w:t>Cf.</w:t>
      </w:r>
      <w:r w:rsidRPr="003B3476">
        <w:rPr>
          <w:lang w:val="fr-FR" w:eastAsia="fr-FR" w:bidi="fr-FR"/>
        </w:rPr>
        <w:t xml:space="preserve"> le récit, par endroits un peu trop so</w:t>
      </w:r>
      <w:r w:rsidRPr="003B3476">
        <w:rPr>
          <w:lang w:val="fr-FR" w:eastAsia="fr-FR" w:bidi="fr-FR"/>
        </w:rPr>
        <w:t>m</w:t>
      </w:r>
      <w:r w:rsidRPr="003B3476">
        <w:rPr>
          <w:lang w:val="fr-FR" w:eastAsia="fr-FR" w:bidi="fr-FR"/>
        </w:rPr>
        <w:t xml:space="preserve">maire, de J.-A. </w:t>
      </w:r>
      <w:r w:rsidRPr="003B3476">
        <w:rPr>
          <w:rStyle w:val="Notedebasdepage65ptNonGrasPetitesmajuscules"/>
          <w:b w:val="0"/>
          <w:bCs w:val="0"/>
          <w:sz w:val="24"/>
        </w:rPr>
        <w:t xml:space="preserve">Brutails, </w:t>
      </w:r>
      <w:r w:rsidRPr="003B3476">
        <w:rPr>
          <w:bCs/>
          <w:i/>
        </w:rPr>
        <w:t>Notes sur l'économie rurale du Roussillon à la fin de l'ancien régime</w:t>
      </w:r>
      <w:r w:rsidRPr="003B3476">
        <w:rPr>
          <w:lang w:val="fr-FR" w:eastAsia="fr-FR" w:bidi="fr-FR"/>
        </w:rPr>
        <w:t xml:space="preserve">, dans </w:t>
      </w:r>
      <w:r w:rsidRPr="003B3476">
        <w:rPr>
          <w:bCs/>
          <w:i/>
        </w:rPr>
        <w:t>Mém. de la Soc. agricole et littéraire des Pyrénées-Orientales</w:t>
      </w:r>
      <w:r w:rsidRPr="003B3476">
        <w:rPr>
          <w:lang w:val="fr-FR" w:eastAsia="fr-FR" w:bidi="fr-FR"/>
        </w:rPr>
        <w:t>, t. XXX, 1889, p. 270. Sur les intérêts des parlementaires, mémoire de l’agronome Kennedy, H 1486, n° 244.</w:t>
      </w:r>
    </w:p>
  </w:footnote>
  <w:footnote w:id="129">
    <w:p w14:paraId="294971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Mémoire du conseiller Boutier sur </w:t>
      </w:r>
      <w:r w:rsidRPr="003B3476">
        <w:rPr>
          <w:bCs/>
          <w:i/>
        </w:rPr>
        <w:t>les obstacles qui s'opposent aux progrès de l'agriculture dans la Lorraine</w:t>
      </w:r>
      <w:r w:rsidRPr="003B3476">
        <w:rPr>
          <w:bCs/>
        </w:rPr>
        <w:t xml:space="preserve"> et dans les Euechez</w:t>
      </w:r>
      <w:r w:rsidRPr="003B3476">
        <w:rPr>
          <w:lang w:val="fr-FR" w:eastAsia="fr-FR" w:bidi="fr-FR"/>
        </w:rPr>
        <w:t xml:space="preserve"> (1783) : H 1624, n° 92, p. 4 ; sur l’auteur, dont nous rencontrerons </w:t>
      </w:r>
      <w:r w:rsidRPr="003B3476">
        <w:rPr>
          <w:rStyle w:val="Notedebasdepage65ptNonGras"/>
          <w:b w:val="0"/>
          <w:bCs w:val="0"/>
          <w:sz w:val="24"/>
        </w:rPr>
        <w:t xml:space="preserve">à </w:t>
      </w:r>
      <w:r w:rsidRPr="003B3476">
        <w:rPr>
          <w:lang w:val="fr-FR" w:eastAsia="fr-FR" w:bidi="fr-FR"/>
        </w:rPr>
        <w:t xml:space="preserve">plusieurs reprises le nom, voir E. </w:t>
      </w:r>
      <w:r w:rsidRPr="003B3476">
        <w:rPr>
          <w:rStyle w:val="Notedebasdepage65ptNonGrasPetitesmajuscules"/>
          <w:b w:val="0"/>
          <w:bCs w:val="0"/>
          <w:sz w:val="24"/>
        </w:rPr>
        <w:t>M</w:t>
      </w:r>
      <w:r w:rsidRPr="003B3476">
        <w:rPr>
          <w:rStyle w:val="Notedebasdepage65ptNonGrasPetitesmajuscules"/>
          <w:b w:val="0"/>
          <w:bCs w:val="0"/>
          <w:sz w:val="24"/>
        </w:rPr>
        <w:t>i</w:t>
      </w:r>
      <w:r w:rsidRPr="003B3476">
        <w:rPr>
          <w:rStyle w:val="Notedebasdepage65ptNonGrasPetitesmajuscules"/>
          <w:b w:val="0"/>
          <w:bCs w:val="0"/>
          <w:sz w:val="24"/>
        </w:rPr>
        <w:t xml:space="preserve">chel, </w:t>
      </w:r>
      <w:r w:rsidRPr="003B3476">
        <w:rPr>
          <w:bCs/>
          <w:i/>
        </w:rPr>
        <w:t>Biographie du Parlement de Metz</w:t>
      </w:r>
      <w:r w:rsidRPr="003B3476">
        <w:rPr>
          <w:lang w:val="fr-FR" w:eastAsia="fr-FR" w:bidi="fr-FR"/>
        </w:rPr>
        <w:t xml:space="preserve">, 1853, p. 54 ; infatigable rédacteur de mémoires, il en adressait encore </w:t>
      </w:r>
      <w:r w:rsidRPr="003B3476">
        <w:rPr>
          <w:rStyle w:val="Notedebasdepage65ptNonGras"/>
          <w:b w:val="0"/>
          <w:bCs w:val="0"/>
          <w:sz w:val="24"/>
        </w:rPr>
        <w:t xml:space="preserve">à </w:t>
      </w:r>
      <w:r w:rsidRPr="003B3476">
        <w:rPr>
          <w:lang w:val="fr-FR" w:eastAsia="fr-FR" w:bidi="fr-FR"/>
        </w:rPr>
        <w:t>la Convention : Metz, ms. de l’Académie, t. VII. Pour la Champagne, voir ci-dessous, p. 608, n. 2. En A</w:t>
      </w:r>
      <w:r w:rsidRPr="003B3476">
        <w:rPr>
          <w:lang w:val="fr-FR" w:eastAsia="fr-FR" w:bidi="fr-FR"/>
        </w:rPr>
        <w:t>u</w:t>
      </w:r>
      <w:r w:rsidRPr="003B3476">
        <w:rPr>
          <w:lang w:val="fr-FR" w:eastAsia="fr-FR" w:bidi="fr-FR"/>
        </w:rPr>
        <w:t xml:space="preserve">vergne, décision des habitants de la justice de Menton, avant 1769 : </w:t>
      </w:r>
      <w:r w:rsidRPr="003B3476">
        <w:rPr>
          <w:bCs/>
          <w:i/>
        </w:rPr>
        <w:t>Mémoire pour l'abolition du droit de parcours</w:t>
      </w:r>
      <w:r w:rsidRPr="003B3476">
        <w:rPr>
          <w:lang w:val="fr-FR" w:eastAsia="fr-FR" w:bidi="fr-FR"/>
        </w:rPr>
        <w:t>, Puy-de-Dôme, C 1841.</w:t>
      </w:r>
    </w:p>
  </w:footnote>
  <w:footnote w:id="130">
    <w:p w14:paraId="01A4EC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Dans la subdélégation de Sézanne, l’usage, sanctionné sans doute par la juri</w:t>
      </w:r>
      <w:r w:rsidRPr="003B3476">
        <w:rPr>
          <w:lang w:val="fr-FR" w:eastAsia="fr-FR" w:bidi="fr-FR"/>
        </w:rPr>
        <w:t>s</w:t>
      </w:r>
      <w:r w:rsidRPr="003B3476">
        <w:rPr>
          <w:lang w:val="fr-FR" w:eastAsia="fr-FR" w:bidi="fr-FR"/>
        </w:rPr>
        <w:t>prudence, protégeait les luzernes (lettre du subdélégué, août 1762, Marne, C 452) ; de même dans le Soissonnais et le Laonnais (avis des Soc. d’agriculture et lettre de l’intendant, 1</w:t>
      </w:r>
      <w:r w:rsidRPr="003B3476">
        <w:rPr>
          <w:vertAlign w:val="superscript"/>
          <w:lang w:val="fr-FR" w:eastAsia="fr-FR" w:bidi="fr-FR"/>
        </w:rPr>
        <w:t>er</w:t>
      </w:r>
      <w:r w:rsidRPr="003B3476">
        <w:rPr>
          <w:lang w:val="fr-FR" w:eastAsia="fr-FR" w:bidi="fr-FR"/>
        </w:rPr>
        <w:t xml:space="preserve"> et 12 août 1766 : Aisne, C 35 et H 1486, n</w:t>
      </w:r>
      <w:r w:rsidRPr="003B3476">
        <w:rPr>
          <w:vertAlign w:val="superscript"/>
          <w:lang w:val="fr-FR" w:eastAsia="fr-FR" w:bidi="fr-FR"/>
        </w:rPr>
        <w:t>os</w:t>
      </w:r>
      <w:r w:rsidRPr="003B3476">
        <w:rPr>
          <w:lang w:val="fr-FR" w:eastAsia="fr-FR" w:bidi="fr-FR"/>
        </w:rPr>
        <w:t xml:space="preserve"> 212 et 211). Dans la subdélégation de Bouchain, l’usage variait selon les lieux : t</w:t>
      </w:r>
      <w:r w:rsidRPr="003B3476">
        <w:rPr>
          <w:lang w:val="fr-FR" w:eastAsia="fr-FR" w:bidi="fr-FR"/>
        </w:rPr>
        <w:t>a</w:t>
      </w:r>
      <w:r w:rsidRPr="003B3476">
        <w:rPr>
          <w:lang w:val="fr-FR" w:eastAsia="fr-FR" w:bidi="fr-FR"/>
        </w:rPr>
        <w:t>bleau dressé par le subdélégué, 7 oct. 1768 : Nord, C Hainaut, 107 et 155. Dans le Cambrésis, les « bans politiques » publiés chaque année par les co</w:t>
      </w:r>
      <w:r w:rsidRPr="003B3476">
        <w:rPr>
          <w:lang w:val="fr-FR" w:eastAsia="fr-FR" w:bidi="fr-FR"/>
        </w:rPr>
        <w:t>m</w:t>
      </w:r>
      <w:r w:rsidRPr="003B3476">
        <w:rPr>
          <w:lang w:val="fr-FR" w:eastAsia="fr-FR" w:bidi="fr-FR"/>
        </w:rPr>
        <w:t>munautés mettaient en défens les prairies artificielles : avis du bureau d’agriculture de Cambrai, 25 juillet et 7 oct. 1766 ; Nord, C Hainaut, 155.</w:t>
      </w:r>
    </w:p>
  </w:footnote>
  <w:footnote w:id="131">
    <w:p w14:paraId="2F228A7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Une ordonnance mettant en défens les terres ensemencées en trèfle fut prise dans le comté de Bitche par le Lieutenant Général du Bailliage : requête des habitants de Bouquenom, du 14 avril 1780, H 1515, n° 85 (la date de l’ordonnance non indiquée).</w:t>
      </w:r>
    </w:p>
  </w:footnote>
  <w:footnote w:id="132">
    <w:p w14:paraId="5B275B9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Nord, C Hainaut, 8 (Lettre du subdélégué d’Avesnes du 5 déc. 1751). L’ordonnance, qui fut confirmée, le 28 sept. 1725, par Devatan, abolissait la pâture sur les trèfles et trianelles du 1</w:t>
      </w:r>
      <w:r w:rsidRPr="003B3476">
        <w:rPr>
          <w:vertAlign w:val="superscript"/>
          <w:lang w:val="fr-FR" w:eastAsia="fr-FR" w:bidi="fr-FR"/>
        </w:rPr>
        <w:t>er</w:t>
      </w:r>
      <w:r w:rsidRPr="003B3476">
        <w:rPr>
          <w:lang w:val="fr-FR" w:eastAsia="fr-FR" w:bidi="fr-FR"/>
        </w:rPr>
        <w:t xml:space="preserve"> mars au 1</w:t>
      </w:r>
      <w:r w:rsidRPr="003B3476">
        <w:rPr>
          <w:vertAlign w:val="superscript"/>
          <w:lang w:val="fr-FR" w:eastAsia="fr-FR" w:bidi="fr-FR"/>
        </w:rPr>
        <w:t>er</w:t>
      </w:r>
      <w:r w:rsidRPr="003B3476">
        <w:rPr>
          <w:lang w:val="fr-FR" w:eastAsia="fr-FR" w:bidi="fr-FR"/>
        </w:rPr>
        <w:t xml:space="preserve"> nov. (on supposait que ces fourrages seraient cultivés pendant l’année de jachère, normalement réservée </w:t>
      </w:r>
      <w:r w:rsidRPr="003B3476">
        <w:rPr>
          <w:rStyle w:val="Notedebasdepage65ptNonGras"/>
          <w:b w:val="0"/>
          <w:bCs w:val="0"/>
        </w:rPr>
        <w:t xml:space="preserve">à </w:t>
      </w:r>
      <w:r w:rsidRPr="003B3476">
        <w:rPr>
          <w:lang w:val="fr-FR" w:eastAsia="fr-FR" w:bidi="fr-FR"/>
        </w:rPr>
        <w:t>la vaine pâture) ; en outre les terres ainsi cultivées étaient, l’année durant, i</w:t>
      </w:r>
      <w:r w:rsidRPr="003B3476">
        <w:rPr>
          <w:lang w:val="fr-FR" w:eastAsia="fr-FR" w:bidi="fr-FR"/>
        </w:rPr>
        <w:t>n</w:t>
      </w:r>
      <w:r w:rsidRPr="003B3476">
        <w:rPr>
          <w:lang w:val="fr-FR" w:eastAsia="fr-FR" w:bidi="fr-FR"/>
        </w:rPr>
        <w:t>terdites aux moutons.</w:t>
      </w:r>
    </w:p>
  </w:footnote>
  <w:footnote w:id="133">
    <w:p w14:paraId="0FF26D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Marne,  C 452.</w:t>
      </w:r>
    </w:p>
  </w:footnote>
  <w:footnote w:id="134">
    <w:p w14:paraId="62630A0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Telle fut, notamment en Champagne, où les ordonnances n’avaient protégé que les sainfoins, la politique de Saint-Contest et de Rouillé d’Orfeuil : lettre de Rouillé d’Orfeuil, 8 juin 1767, H 1486, n° 214 ; quelques exemples : Ma</w:t>
      </w:r>
      <w:r w:rsidRPr="003B3476">
        <w:rPr>
          <w:lang w:val="fr-FR" w:eastAsia="fr-FR" w:bidi="fr-FR"/>
        </w:rPr>
        <w:t>r</w:t>
      </w:r>
      <w:r w:rsidRPr="003B3476">
        <w:rPr>
          <w:lang w:val="fr-FR" w:eastAsia="fr-FR" w:bidi="fr-FR"/>
        </w:rPr>
        <w:t>ne, C 452.</w:t>
      </w:r>
    </w:p>
  </w:footnote>
  <w:footnote w:id="135">
    <w:p w14:paraId="0C8496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 </w:t>
      </w:r>
      <w:r w:rsidRPr="003B3476">
        <w:rPr>
          <w:rStyle w:val="Notedebasdepage65ptNonGrasPetitesmajuscules"/>
          <w:b w:val="0"/>
          <w:bCs w:val="0"/>
          <w:sz w:val="24"/>
        </w:rPr>
        <w:t xml:space="preserve">Hoffmann, </w:t>
      </w:r>
      <w:r w:rsidRPr="003B3476">
        <w:rPr>
          <w:bCs/>
          <w:i/>
        </w:rPr>
        <w:t xml:space="preserve">L'Alsace au </w:t>
      </w:r>
      <w:r w:rsidRPr="003B3476">
        <w:rPr>
          <w:i/>
          <w:iCs/>
        </w:rPr>
        <w:t>XVIIIe</w:t>
      </w:r>
      <w:r w:rsidRPr="003B3476">
        <w:rPr>
          <w:bCs/>
          <w:i/>
        </w:rPr>
        <w:t xml:space="preserve"> siècle</w:t>
      </w:r>
      <w:r w:rsidRPr="003B3476">
        <w:rPr>
          <w:lang w:val="fr-FR" w:eastAsia="fr-FR" w:bidi="fr-FR"/>
        </w:rPr>
        <w:t>, t. I, p. 284-285.</w:t>
      </w:r>
    </w:p>
  </w:footnote>
  <w:footnote w:id="136">
    <w:p w14:paraId="557C11B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Mémoire pour l'abolition du parcours dans la Limagne d'Auvergne</w:t>
      </w:r>
      <w:r w:rsidRPr="003B3476">
        <w:rPr>
          <w:bCs/>
        </w:rPr>
        <w:t>, Puy-de-Dôme, C 1841 (1769, 30 juin).</w:t>
      </w:r>
    </w:p>
  </w:footnote>
  <w:footnote w:id="137">
    <w:p w14:paraId="13C143E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Arrêt du 22 août 1778, rapporté dans un arrêt du Parlement de Paris, du 14 août 1781, qui le casse ; X 1</w:t>
      </w:r>
      <w:r w:rsidRPr="003B3476">
        <w:rPr>
          <w:vertAlign w:val="superscript"/>
          <w:lang w:val="fr-FR" w:eastAsia="fr-FR" w:bidi="fr-FR"/>
        </w:rPr>
        <w:t>B</w:t>
      </w:r>
      <w:r w:rsidRPr="003B3476">
        <w:rPr>
          <w:lang w:val="fr-FR" w:eastAsia="fr-FR" w:bidi="fr-FR"/>
        </w:rPr>
        <w:t xml:space="preserve"> 4141 (minutes). La justice seigneuriale, en pr</w:t>
      </w:r>
      <w:r w:rsidRPr="003B3476">
        <w:rPr>
          <w:lang w:val="fr-FR" w:eastAsia="fr-FR" w:bidi="fr-FR"/>
        </w:rPr>
        <w:t>e</w:t>
      </w:r>
      <w:r w:rsidRPr="003B3476">
        <w:rPr>
          <w:lang w:val="fr-FR" w:eastAsia="fr-FR" w:bidi="fr-FR"/>
        </w:rPr>
        <w:t>mière instance, avait déjà interdit la pâture. Il est probable que les tribunaux seigneuriaux, placés sous la dépendance de riches propriétaires terriens, se montrèrent assez souvent plus favorables à la révolution agricole que les viei</w:t>
      </w:r>
      <w:r w:rsidRPr="003B3476">
        <w:rPr>
          <w:lang w:val="fr-FR" w:eastAsia="fr-FR" w:bidi="fr-FR"/>
        </w:rPr>
        <w:t>l</w:t>
      </w:r>
      <w:r w:rsidRPr="003B3476">
        <w:rPr>
          <w:lang w:val="fr-FR" w:eastAsia="fr-FR" w:bidi="fr-FR"/>
        </w:rPr>
        <w:t>les cours des bailliages ou sénéchaussées ; c’est sans doute sous l’inspiration du seigneur du lieu, le Procureur Général Joly de Fleury, que les offices des justices de Grigny et de Plessis-le Comte (Seine-et-Oise) limitèrent, en 1757, la vaine pâture sur les prairies artificielles : Ribl. Nat., Joly de Fleury, 284.</w:t>
      </w:r>
    </w:p>
  </w:footnote>
  <w:footnote w:id="138">
    <w:p w14:paraId="78577A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 </w:t>
      </w:r>
      <w:r w:rsidRPr="003B3476">
        <w:rPr>
          <w:lang w:val="fr-FR" w:eastAsia="fr-FR" w:bidi="fr-FR"/>
        </w:rPr>
        <w:t xml:space="preserve">Lepasquier, </w:t>
      </w:r>
      <w:r w:rsidRPr="003B3476">
        <w:rPr>
          <w:bCs/>
          <w:i/>
          <w:iCs/>
        </w:rPr>
        <w:t>Législation de la vaine pâture</w:t>
      </w:r>
      <w:r w:rsidRPr="003B3476">
        <w:rPr>
          <w:bCs/>
        </w:rPr>
        <w:t xml:space="preserve">, </w:t>
      </w:r>
      <w:r w:rsidRPr="003B3476">
        <w:rPr>
          <w:lang w:val="fr-FR" w:eastAsia="fr-FR" w:bidi="fr-FR"/>
        </w:rPr>
        <w:t>1824, p. 31 (27 mars).</w:t>
      </w:r>
    </w:p>
  </w:footnote>
  <w:footnote w:id="139">
    <w:p w14:paraId="4F0031D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Mémoire de l’agronome Kennedy, du 25 janv. 1767, H 1486, n° 244 ; </w:t>
      </w:r>
      <w:r w:rsidRPr="003B3476">
        <w:rPr>
          <w:bCs/>
          <w:i/>
        </w:rPr>
        <w:t>Mémo</w:t>
      </w:r>
      <w:r w:rsidRPr="003B3476">
        <w:rPr>
          <w:bCs/>
          <w:i/>
        </w:rPr>
        <w:t>i</w:t>
      </w:r>
      <w:r w:rsidRPr="003B3476">
        <w:rPr>
          <w:bCs/>
          <w:i/>
        </w:rPr>
        <w:t>re sur l'abolition du parcours</w:t>
      </w:r>
      <w:r w:rsidRPr="003B3476">
        <w:rPr>
          <w:lang w:val="fr-FR" w:eastAsia="fr-FR" w:bidi="fr-FR"/>
        </w:rPr>
        <w:t xml:space="preserve"> (nov. 1769), H 1486, n° 91, p. 21. Les dates des arrêts ne sont pas indiquées.</w:t>
      </w:r>
    </w:p>
  </w:footnote>
  <w:footnote w:id="140">
    <w:p w14:paraId="5585C0C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X 1</w:t>
      </w:r>
      <w:r w:rsidRPr="003B3476">
        <w:rPr>
          <w:vertAlign w:val="superscript"/>
          <w:lang w:val="fr-FR" w:eastAsia="fr-FR" w:bidi="fr-FR"/>
        </w:rPr>
        <w:t>B</w:t>
      </w:r>
      <w:r w:rsidRPr="003B3476">
        <w:rPr>
          <w:lang w:val="fr-FR" w:eastAsia="fr-FR" w:bidi="fr-FR"/>
        </w:rPr>
        <w:t xml:space="preserve"> 4641, fol. 383 (1769, 30 juin ; Brienon-1'Archevêque) ; et ci-dessus, n. 5.</w:t>
      </w:r>
    </w:p>
  </w:footnote>
  <w:footnote w:id="141">
    <w:p w14:paraId="074175C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Arrêts du 21 août 1720, 9 juillet 1728, 6 juillet 1740, mentionnés dans une délibération du Bureau d’Agriculture de Brive, 28 juillet 1766 (Arch. Brive) ; arrêt de 1743, mentionné par </w:t>
      </w:r>
      <w:r w:rsidRPr="003B3476">
        <w:rPr>
          <w:rStyle w:val="Notedebasdepage65ptNonGrasPetitesmajuscules"/>
          <w:b w:val="0"/>
          <w:bCs w:val="0"/>
          <w:sz w:val="24"/>
        </w:rPr>
        <w:t xml:space="preserve">Salviat, </w:t>
      </w:r>
      <w:r w:rsidRPr="003B3476">
        <w:rPr>
          <w:bCs/>
          <w:i/>
        </w:rPr>
        <w:t>La jurisprudence du Parlement de Bo</w:t>
      </w:r>
      <w:r w:rsidRPr="003B3476">
        <w:rPr>
          <w:bCs/>
          <w:i/>
        </w:rPr>
        <w:t>r</w:t>
      </w:r>
      <w:r w:rsidRPr="003B3476">
        <w:rPr>
          <w:bCs/>
          <w:i/>
        </w:rPr>
        <w:t>deaux</w:t>
      </w:r>
      <w:r w:rsidRPr="003B3476">
        <w:rPr>
          <w:lang w:val="fr-FR" w:eastAsia="fr-FR" w:bidi="fr-FR"/>
        </w:rPr>
        <w:t>, éd. de 1824, t. II, p. 234. Je n’ai pu retrouver aucun de ces textes. Qu’ils n’aient guère été suivis d’effet, c’est ce que constatait le Bureau de Brive (la vaine pâture persistait dans la région, jusque sur les vignes) et ce que prouvent, en outre, ies faits cités plus loin, p. 633 et suiv.</w:t>
      </w:r>
    </w:p>
  </w:footnote>
  <w:footnote w:id="142">
    <w:p w14:paraId="7550F5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 de </w:t>
      </w:r>
      <w:r w:rsidRPr="003B3476">
        <w:rPr>
          <w:rStyle w:val="Notedebasdepage65ptNonGrasPetitesmajuscules"/>
          <w:b w:val="0"/>
          <w:bCs w:val="0"/>
          <w:sz w:val="24"/>
        </w:rPr>
        <w:t xml:space="preserve">La Roche-Flavin, </w:t>
      </w:r>
      <w:r w:rsidRPr="003B3476">
        <w:rPr>
          <w:bCs/>
          <w:i/>
        </w:rPr>
        <w:t>Arrests notables du Parlement de Toulouse</w:t>
      </w:r>
      <w:r w:rsidRPr="003B3476">
        <w:rPr>
          <w:bCs/>
        </w:rPr>
        <w:t>,</w:t>
      </w:r>
      <w:r w:rsidRPr="003B3476">
        <w:rPr>
          <w:lang w:val="fr-FR" w:eastAsia="fr-FR" w:bidi="fr-FR"/>
        </w:rPr>
        <w:t xml:space="preserve"> 1720, Livre Tro</w:t>
      </w:r>
      <w:r w:rsidRPr="003B3476">
        <w:rPr>
          <w:lang w:val="fr-FR" w:eastAsia="fr-FR" w:bidi="fr-FR"/>
        </w:rPr>
        <w:t>i</w:t>
      </w:r>
      <w:r w:rsidRPr="003B3476">
        <w:rPr>
          <w:lang w:val="fr-FR" w:eastAsia="fr-FR" w:bidi="fr-FR"/>
        </w:rPr>
        <w:t xml:space="preserve">sième, p. 220 et suiv. ; </w:t>
      </w:r>
      <w:r w:rsidRPr="003B3476">
        <w:rPr>
          <w:bCs/>
          <w:i/>
        </w:rPr>
        <w:t>cf.</w:t>
      </w:r>
      <w:r w:rsidRPr="003B3476">
        <w:rPr>
          <w:lang w:val="fr-FR" w:eastAsia="fr-FR" w:bidi="fr-FR"/>
        </w:rPr>
        <w:t xml:space="preserve"> Haute-Garonne,  C 2277, fol. 533 v° et pour l’arrêt interprétatif donné en 1637 </w:t>
      </w:r>
      <w:r w:rsidRPr="003B3476">
        <w:rPr>
          <w:rStyle w:val="Notedebasdepage65ptNonGrasPetitesmajuscules"/>
          <w:b w:val="0"/>
          <w:bCs w:val="0"/>
          <w:sz w:val="24"/>
        </w:rPr>
        <w:t xml:space="preserve">(La Roche-Flavin, </w:t>
      </w:r>
      <w:r w:rsidRPr="003B3476">
        <w:rPr>
          <w:lang w:val="fr-FR" w:eastAsia="fr-FR" w:bidi="fr-FR"/>
        </w:rPr>
        <w:t>p. 233), C 2302, fol. 25.</w:t>
      </w:r>
    </w:p>
  </w:footnote>
  <w:footnote w:id="143">
    <w:p w14:paraId="3DE0E97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Recueil des édits, déclarations et ordonnances du</w:t>
      </w:r>
      <w:r w:rsidRPr="003B3476">
        <w:rPr>
          <w:i/>
          <w:lang w:val="fr-FR" w:eastAsia="fr-FR" w:bidi="fr-FR"/>
        </w:rPr>
        <w:t xml:space="preserve"> Roi</w:t>
      </w:r>
      <w:r w:rsidRPr="003B3476">
        <w:rPr>
          <w:lang w:val="fr-FR" w:eastAsia="fr-FR" w:bidi="fr-FR"/>
        </w:rPr>
        <w:t xml:space="preserve">..., t. IV, Toulouse, 1783, p. 512. </w:t>
      </w:r>
      <w:r w:rsidRPr="003B3476">
        <w:rPr>
          <w:bCs/>
          <w:i/>
        </w:rPr>
        <w:t>Cf.</w:t>
      </w:r>
      <w:r w:rsidRPr="003B3476">
        <w:rPr>
          <w:lang w:val="fr-FR" w:eastAsia="fr-FR" w:bidi="fr-FR"/>
        </w:rPr>
        <w:t xml:space="preserve"> une série d’arrêts relatifs à la fixation du nombre des bêtes, </w:t>
      </w:r>
      <w:r w:rsidRPr="003B3476">
        <w:rPr>
          <w:bCs/>
          <w:i/>
        </w:rPr>
        <w:t>ibid</w:t>
      </w:r>
      <w:r w:rsidRPr="003B3476">
        <w:rPr>
          <w:bCs/>
        </w:rPr>
        <w:t>.,</w:t>
      </w:r>
      <w:r w:rsidRPr="003B3476">
        <w:rPr>
          <w:lang w:val="fr-FR" w:eastAsia="fr-FR" w:bidi="fr-FR"/>
        </w:rPr>
        <w:t xml:space="preserve"> p. 531, 692 et t. V, p. 509. Sur l’histoire de la compascuité dans le La</w:t>
      </w:r>
      <w:r w:rsidRPr="003B3476">
        <w:rPr>
          <w:lang w:val="fr-FR" w:eastAsia="fr-FR" w:bidi="fr-FR"/>
        </w:rPr>
        <w:t>n</w:t>
      </w:r>
      <w:r w:rsidRPr="003B3476">
        <w:rPr>
          <w:lang w:val="fr-FR" w:eastAsia="fr-FR" w:bidi="fr-FR"/>
        </w:rPr>
        <w:t>guedoc, au XVIII</w:t>
      </w:r>
      <w:r w:rsidRPr="003B3476">
        <w:rPr>
          <w:vertAlign w:val="superscript"/>
          <w:lang w:val="fr-FR" w:eastAsia="fr-FR" w:bidi="fr-FR"/>
        </w:rPr>
        <w:t>e</w:t>
      </w:r>
      <w:r w:rsidRPr="003B3476">
        <w:rPr>
          <w:lang w:val="fr-FR" w:eastAsia="fr-FR" w:bidi="fr-FR"/>
        </w:rPr>
        <w:t xml:space="preserve"> siècle, voir L. </w:t>
      </w:r>
      <w:r w:rsidRPr="003B3476">
        <w:rPr>
          <w:rStyle w:val="Notedebasdepage65ptNonGrasPetitesmajuscules"/>
          <w:b w:val="0"/>
          <w:bCs w:val="0"/>
        </w:rPr>
        <w:t xml:space="preserve">Dutil, </w:t>
      </w:r>
      <w:r w:rsidRPr="003B3476">
        <w:rPr>
          <w:bCs/>
          <w:i/>
        </w:rPr>
        <w:t>L’état économique du Languedoc à la fin de l’ancien régime</w:t>
      </w:r>
      <w:r w:rsidRPr="003B3476">
        <w:rPr>
          <w:lang w:val="fr-FR" w:eastAsia="fr-FR" w:bidi="fr-FR"/>
        </w:rPr>
        <w:t>, 1911, p. 223 et suiv.</w:t>
      </w:r>
    </w:p>
  </w:footnote>
  <w:footnote w:id="144">
    <w:p w14:paraId="786952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Elle n’existait pas dans la subdélégation de Millau : réponse du subdélégué, 19 août 1768, Lot, C 237. Presque tous les autres subdélégués de la généralité de Montauban, dans la même enquête, signalent que la clôture est libre. Ol</w:t>
      </w:r>
      <w:r w:rsidRPr="003B3476">
        <w:rPr>
          <w:lang w:val="fr-FR" w:eastAsia="fr-FR" w:bidi="fr-FR"/>
        </w:rPr>
        <w:t>i</w:t>
      </w:r>
      <w:r w:rsidRPr="003B3476">
        <w:rPr>
          <w:lang w:val="fr-FR" w:eastAsia="fr-FR" w:bidi="fr-FR"/>
        </w:rPr>
        <w:t xml:space="preserve">vier de </w:t>
      </w:r>
      <w:r w:rsidRPr="003B3476">
        <w:rPr>
          <w:rStyle w:val="Notedebasdepage65ptNonGrasPetitesmajuscules"/>
          <w:b w:val="0"/>
          <w:bCs w:val="0"/>
          <w:sz w:val="24"/>
        </w:rPr>
        <w:t xml:space="preserve">Serres </w:t>
      </w:r>
      <w:r w:rsidRPr="003B3476">
        <w:rPr>
          <w:lang w:val="fr-FR" w:eastAsia="fr-FR" w:bidi="fr-FR"/>
        </w:rPr>
        <w:t xml:space="preserve">(Sixiesme lieu, chap. xxx, </w:t>
      </w:r>
      <w:r w:rsidRPr="003B3476">
        <w:rPr>
          <w:bCs/>
          <w:i/>
        </w:rPr>
        <w:t>cf.</w:t>
      </w:r>
      <w:r w:rsidRPr="003B3476">
        <w:rPr>
          <w:bCs/>
        </w:rPr>
        <w:t xml:space="preserve"> </w:t>
      </w:r>
      <w:r w:rsidRPr="003B3476">
        <w:rPr>
          <w:lang w:val="fr-FR" w:eastAsia="fr-FR" w:bidi="fr-FR"/>
        </w:rPr>
        <w:t>Quatrièsme lieu, chap. m) cons</w:t>
      </w:r>
      <w:r w:rsidRPr="003B3476">
        <w:rPr>
          <w:lang w:val="fr-FR" w:eastAsia="fr-FR" w:bidi="fr-FR"/>
        </w:rPr>
        <w:t>i</w:t>
      </w:r>
      <w:r w:rsidRPr="003B3476">
        <w:rPr>
          <w:lang w:val="fr-FR" w:eastAsia="fr-FR" w:bidi="fr-FR"/>
        </w:rPr>
        <w:t>dère visiblement cette liberté comme allant de soi.</w:t>
      </w:r>
    </w:p>
  </w:footnote>
  <w:footnote w:id="145">
    <w:p w14:paraId="7B8BCB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Toutefois le Parlement inclinait à reconnaître aux seigneurs le privilège d’échapper à la compascuité </w:t>
      </w:r>
      <w:r w:rsidRPr="003B3476">
        <w:rPr>
          <w:bCs/>
          <w:i/>
        </w:rPr>
        <w:t>Recueil des édits</w:t>
      </w:r>
      <w:r w:rsidRPr="003B3476">
        <w:rPr>
          <w:bCs/>
        </w:rPr>
        <w:t>...,</w:t>
      </w:r>
      <w:r w:rsidRPr="003B3476">
        <w:rPr>
          <w:lang w:val="fr-FR" w:eastAsia="fr-FR" w:bidi="fr-FR"/>
        </w:rPr>
        <w:t xml:space="preserve"> t. V, p. 716 (1747,10 juillet) ; t. VI, p. 142 (1751, 30 juillet) ; L. T., </w:t>
      </w:r>
      <w:r w:rsidRPr="003B3476">
        <w:rPr>
          <w:bCs/>
          <w:i/>
        </w:rPr>
        <w:t>Recueil de jurisprudence féodale à l’usage de la Provence et du Languedoc</w:t>
      </w:r>
      <w:r w:rsidRPr="003B3476">
        <w:rPr>
          <w:bCs/>
        </w:rPr>
        <w:t>,</w:t>
      </w:r>
      <w:r w:rsidRPr="003B3476">
        <w:rPr>
          <w:lang w:val="fr-FR" w:eastAsia="fr-FR" w:bidi="fr-FR"/>
        </w:rPr>
        <w:t xml:space="preserve"> t. II, 1765, p. 337 (1707, 30 août) : Haute-Garonne, B 1761, fol. 750 (1776, 29 août).</w:t>
      </w:r>
    </w:p>
  </w:footnote>
  <w:footnote w:id="146">
    <w:p w14:paraId="3CF9BF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Une nouvelle enquête fut décidée en 1767 : Haute-Garonne, C 2410, fol. 510. On trouvera ses résultats,  C 2411, fol. 250 et suiv. Finalement — d’accord avec la solution pour laquelle la Commission d’Agriculture avait marqué ses préférences, — l’ordonnance royale du 5 juillet 1770 sur le défrichement des terres incultes en Languedoc permit l’affermage, par les communautés, de tout ou partie des communaux : </w:t>
      </w:r>
      <w:r w:rsidRPr="003B3476">
        <w:rPr>
          <w:bCs/>
          <w:i/>
        </w:rPr>
        <w:t>Recueil des édits</w:t>
      </w:r>
      <w:r w:rsidRPr="003B3476">
        <w:rPr>
          <w:lang w:val="fr-FR" w:eastAsia="fr-FR" w:bidi="fr-FR"/>
        </w:rPr>
        <w:t xml:space="preserve">... » t. VI, 1784, p. 669, art. </w:t>
      </w:r>
      <w:r w:rsidRPr="003B3476">
        <w:rPr>
          <w:smallCaps/>
          <w:lang w:val="fr-FR" w:eastAsia="fr-FR" w:bidi="fr-FR"/>
        </w:rPr>
        <w:t>vii-x</w:t>
      </w:r>
      <w:r w:rsidRPr="003B3476">
        <w:rPr>
          <w:lang w:val="fr-FR" w:eastAsia="fr-FR" w:bidi="fr-FR"/>
        </w:rPr>
        <w:t>.</w:t>
      </w:r>
    </w:p>
  </w:footnote>
  <w:footnote w:id="147">
    <w:p w14:paraId="54310B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Origines de la commission d’agriculture : Haute-Garonne, C 2278, fol. 73 v° ;  C 2404, fol. 170 v°. Délibération du 7 janv. 1765 : </w:t>
      </w:r>
      <w:r w:rsidRPr="003B3476">
        <w:rPr>
          <w:bCs/>
          <w:i/>
        </w:rPr>
        <w:t>ibib</w:t>
      </w:r>
      <w:r w:rsidRPr="003B3476">
        <w:rPr>
          <w:lang w:val="fr-FR" w:eastAsia="fr-FR" w:bidi="fr-FR"/>
        </w:rPr>
        <w:t xml:space="preserve">., C 2407, fol. 218 v° et suiv. Mémoire résumant les résultats de l’enquête : Hérault, C 2432 (sur les communaux, Saint-Pons ne se prononce point ; la suppression de la limitation des bêtes à laine demandée seulement par Viviers, Narbonne et Saint-Pons). Délibération du 25 janv. 1766 : Haute-Garonne, C 2408, fol. 156 v° et suiv. Requête du Syndic général au Parlement : Hérault,  C 2845. Arrêt du 21 juin 1766 : </w:t>
      </w:r>
      <w:r w:rsidRPr="003B3476">
        <w:rPr>
          <w:bCs/>
          <w:i/>
        </w:rPr>
        <w:t>Recueil des édits</w:t>
      </w:r>
      <w:r w:rsidRPr="003B3476">
        <w:rPr>
          <w:bCs/>
        </w:rPr>
        <w:t>...,</w:t>
      </w:r>
      <w:r w:rsidRPr="003B3476">
        <w:rPr>
          <w:lang w:val="fr-FR" w:eastAsia="fr-FR" w:bidi="fr-FR"/>
        </w:rPr>
        <w:t xml:space="preserve"> t. IV, 1784, p. 509.</w:t>
      </w:r>
    </w:p>
  </w:footnote>
  <w:footnote w:id="148">
    <w:p w14:paraId="78958D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NonGras"/>
          <w:b w:val="0"/>
          <w:bCs w:val="0"/>
          <w:smallCaps/>
          <w:sz w:val="24"/>
        </w:rPr>
        <w:t>Dutil</w:t>
      </w:r>
      <w:r w:rsidRPr="003B3476">
        <w:rPr>
          <w:rStyle w:val="Notedebasdepage65ptNonGras"/>
          <w:b w:val="0"/>
          <w:bCs w:val="0"/>
          <w:sz w:val="24"/>
        </w:rPr>
        <w:t xml:space="preserve">, </w:t>
      </w:r>
      <w:r w:rsidRPr="003B3476">
        <w:rPr>
          <w:rStyle w:val="Notedebasdepage65ptNonGrasPetitesmajuscules"/>
          <w:b w:val="0"/>
          <w:bCs w:val="0"/>
          <w:smallCaps w:val="0"/>
          <w:sz w:val="24"/>
        </w:rPr>
        <w:t>ouv</w:t>
      </w:r>
      <w:r w:rsidRPr="003B3476">
        <w:rPr>
          <w:rStyle w:val="Notedebasdepage65ptNonGrasPetitesmajuscules"/>
          <w:b w:val="0"/>
          <w:bCs w:val="0"/>
          <w:sz w:val="24"/>
        </w:rPr>
        <w:t xml:space="preserve">. </w:t>
      </w:r>
      <w:r w:rsidRPr="003B3476">
        <w:rPr>
          <w:lang w:val="fr-FR" w:eastAsia="fr-FR" w:bidi="fr-FR"/>
        </w:rPr>
        <w:t xml:space="preserve">cité. </w:t>
      </w:r>
      <w:r w:rsidRPr="003B3476">
        <w:rPr>
          <w:bCs/>
          <w:i/>
        </w:rPr>
        <w:t>Cf.</w:t>
      </w:r>
      <w:r w:rsidRPr="003B3476">
        <w:rPr>
          <w:lang w:val="fr-FR" w:eastAsia="fr-FR" w:bidi="fr-FR"/>
        </w:rPr>
        <w:t xml:space="preserve"> pour Roquemaure, </w:t>
      </w:r>
      <w:r w:rsidRPr="003B3476">
        <w:rPr>
          <w:rStyle w:val="Notedebasdepage65ptNonGras"/>
          <w:b w:val="0"/>
          <w:bCs w:val="0"/>
          <w:smallCaps/>
          <w:sz w:val="24"/>
        </w:rPr>
        <w:t>Bligny-Bondurand</w:t>
      </w:r>
      <w:r w:rsidRPr="003B3476">
        <w:rPr>
          <w:rStyle w:val="Notedebasdepage65ptNonGras"/>
          <w:b w:val="0"/>
          <w:bCs w:val="0"/>
          <w:sz w:val="24"/>
        </w:rPr>
        <w:t xml:space="preserve">, </w:t>
      </w:r>
      <w:r w:rsidRPr="003B3476">
        <w:rPr>
          <w:bCs/>
          <w:i/>
        </w:rPr>
        <w:t>Cahiers de doléances de la s</w:t>
      </w:r>
      <w:r w:rsidRPr="003B3476">
        <w:rPr>
          <w:bCs/>
          <w:i/>
        </w:rPr>
        <w:t>é</w:t>
      </w:r>
      <w:r w:rsidRPr="003B3476">
        <w:rPr>
          <w:bCs/>
          <w:i/>
        </w:rPr>
        <w:t>néchaussée de Nîmes</w:t>
      </w:r>
      <w:r w:rsidRPr="003B3476">
        <w:rPr>
          <w:lang w:val="fr-FR" w:eastAsia="fr-FR" w:bidi="fr-FR"/>
        </w:rPr>
        <w:t>, t. II, p. 102. Il serait intéressant de dresser une liste et une carte de ces communautés.</w:t>
      </w:r>
    </w:p>
  </w:footnote>
  <w:footnote w:id="149">
    <w:p w14:paraId="1C54AB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GrasNonItalique"/>
          <w:b w:val="0"/>
          <w:bCs w:val="0"/>
          <w:i w:val="0"/>
          <w:iCs w:val="0"/>
          <w:sz w:val="24"/>
        </w:rPr>
        <w:t>[</w:t>
      </w:r>
      <w:r w:rsidRPr="003B3476">
        <w:rPr>
          <w:rStyle w:val="Notedebasdepage265ptNonGrasNonItalique"/>
          <w:b w:val="0"/>
          <w:bCs w:val="0"/>
          <w:i w:val="0"/>
          <w:iCs w:val="0"/>
          <w:smallCaps/>
          <w:sz w:val="24"/>
        </w:rPr>
        <w:t>Abeille</w:t>
      </w:r>
      <w:r w:rsidRPr="003B3476">
        <w:rPr>
          <w:rStyle w:val="Notedebasdepage265ptNonGrasNonItalique"/>
          <w:b w:val="0"/>
          <w:bCs w:val="0"/>
          <w:i w:val="0"/>
          <w:iCs w:val="0"/>
          <w:sz w:val="24"/>
        </w:rPr>
        <w:t xml:space="preserve">], </w:t>
      </w:r>
      <w:r w:rsidRPr="003B3476">
        <w:rPr>
          <w:i/>
          <w:lang w:val="fr-FR" w:eastAsia="fr-FR" w:bidi="fr-FR"/>
        </w:rPr>
        <w:t>Mémoire présenté par la Société royale d'agriculture</w:t>
      </w:r>
      <w:r w:rsidRPr="003B3476">
        <w:rPr>
          <w:bCs/>
        </w:rPr>
        <w:t>, 1789, p. 21.</w:t>
      </w:r>
    </w:p>
  </w:footnote>
  <w:footnote w:id="150">
    <w:p w14:paraId="7748AAE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i/>
          <w:lang w:val="fr-FR" w:eastAsia="fr-FR" w:bidi="fr-FR"/>
        </w:rPr>
        <w:t>Recueil des actes administratifs du département de la Haute-Garonne</w:t>
      </w:r>
      <w:r w:rsidRPr="003B3476">
        <w:rPr>
          <w:lang w:val="fr-FR" w:eastAsia="fr-FR" w:bidi="fr-FR"/>
        </w:rPr>
        <w:t>,</w:t>
      </w:r>
      <w:r w:rsidRPr="003B3476">
        <w:rPr>
          <w:bCs/>
        </w:rPr>
        <w:t xml:space="preserve"> t. XX, n° 446 (arrêtés du 13 vendémiaire VII et du 29 juillet 1822) ; V. et S. </w:t>
      </w:r>
      <w:r w:rsidRPr="003B3476">
        <w:rPr>
          <w:rStyle w:val="Notedebasdepage265ptNonGrasNonItaliquePetitesmajuscules"/>
          <w:b w:val="0"/>
          <w:bCs w:val="0"/>
          <w:i w:val="0"/>
          <w:iCs w:val="0"/>
          <w:sz w:val="24"/>
        </w:rPr>
        <w:t xml:space="preserve">Fons, </w:t>
      </w:r>
      <w:r w:rsidRPr="003B3476">
        <w:rPr>
          <w:i/>
          <w:lang w:val="fr-FR" w:eastAsia="fr-FR" w:bidi="fr-FR"/>
        </w:rPr>
        <w:t>R</w:t>
      </w:r>
      <w:r w:rsidRPr="003B3476">
        <w:rPr>
          <w:i/>
          <w:lang w:val="fr-FR" w:eastAsia="fr-FR" w:bidi="fr-FR"/>
        </w:rPr>
        <w:t>e</w:t>
      </w:r>
      <w:r w:rsidRPr="003B3476">
        <w:rPr>
          <w:i/>
          <w:lang w:val="fr-FR" w:eastAsia="fr-FR" w:bidi="fr-FR"/>
        </w:rPr>
        <w:t>cueil des usages locaux ayant force de loi dans le département de la Haute-Garonne</w:t>
      </w:r>
      <w:r w:rsidRPr="003B3476">
        <w:rPr>
          <w:lang w:val="fr-FR" w:eastAsia="fr-FR" w:bidi="fr-FR"/>
        </w:rPr>
        <w:t>,</w:t>
      </w:r>
      <w:r w:rsidRPr="003B3476">
        <w:rPr>
          <w:bCs/>
        </w:rPr>
        <w:t xml:space="preserve"> 6</w:t>
      </w:r>
      <w:r w:rsidRPr="003B3476">
        <w:rPr>
          <w:bCs/>
          <w:vertAlign w:val="superscript"/>
        </w:rPr>
        <w:t>e</w:t>
      </w:r>
      <w:r w:rsidRPr="003B3476">
        <w:rPr>
          <w:bCs/>
        </w:rPr>
        <w:t xml:space="preserve"> éd., Toulouse, 1910, p. 242 et suiv.</w:t>
      </w:r>
    </w:p>
  </w:footnote>
  <w:footnote w:id="151">
    <w:p w14:paraId="39D07B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la carrière de Bertin, sa famille et les origines de sa fortune, voir G. </w:t>
      </w:r>
      <w:r w:rsidRPr="003B3476">
        <w:rPr>
          <w:rStyle w:val="Notedebasdepage65ptNonGrasPetitesmajuscules"/>
          <w:b w:val="0"/>
          <w:bCs w:val="0"/>
          <w:sz w:val="24"/>
        </w:rPr>
        <w:t xml:space="preserve">Bussière, </w:t>
      </w:r>
      <w:r w:rsidRPr="003B3476">
        <w:rPr>
          <w:bCs/>
          <w:i/>
        </w:rPr>
        <w:t>Henri Bertin et sa famille,</w:t>
      </w:r>
      <w:r w:rsidRPr="003B3476">
        <w:rPr>
          <w:i/>
          <w:lang w:val="fr-FR" w:eastAsia="fr-FR" w:bidi="fr-FR"/>
        </w:rPr>
        <w:t xml:space="preserve"> dans </w:t>
      </w:r>
      <w:r w:rsidRPr="003B3476">
        <w:rPr>
          <w:bCs/>
          <w:i/>
        </w:rPr>
        <w:t>Bulletin de la Soc. historique et archéologique du Périgord</w:t>
      </w:r>
      <w:r w:rsidRPr="003B3476">
        <w:rPr>
          <w:bCs/>
        </w:rPr>
        <w:t>,</w:t>
      </w:r>
      <w:r w:rsidRPr="003B3476">
        <w:rPr>
          <w:lang w:val="fr-FR" w:eastAsia="fr-FR" w:bidi="fr-FR"/>
        </w:rPr>
        <w:t xml:space="preserve"> t. 32 à 36, 1905 à 1909.</w:t>
      </w:r>
    </w:p>
  </w:footnote>
  <w:footnote w:id="152">
    <w:p w14:paraId="0E2AC0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André </w:t>
      </w:r>
      <w:r w:rsidRPr="003B3476">
        <w:rPr>
          <w:rStyle w:val="Notedebasdepage265ptNonGrasNonItaliquePetitesmajuscules"/>
          <w:b w:val="0"/>
          <w:bCs w:val="0"/>
          <w:i w:val="0"/>
          <w:iCs w:val="0"/>
          <w:sz w:val="24"/>
        </w:rPr>
        <w:t xml:space="preserve">Chénier, </w:t>
      </w:r>
      <w:r w:rsidRPr="003B3476">
        <w:rPr>
          <w:i/>
          <w:lang w:val="fr-FR" w:eastAsia="fr-FR" w:bidi="fr-FR"/>
        </w:rPr>
        <w:t>Hymne à la France</w:t>
      </w:r>
      <w:r w:rsidRPr="003B3476">
        <w:rPr>
          <w:lang w:val="fr-FR" w:eastAsia="fr-FR" w:bidi="fr-FR"/>
        </w:rPr>
        <w:t>.</w:t>
      </w:r>
    </w:p>
  </w:footnote>
  <w:footnote w:id="153">
    <w:p w14:paraId="193A8F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F. </w:t>
      </w:r>
      <w:r w:rsidRPr="003B3476">
        <w:rPr>
          <w:rStyle w:val="Notedebasdepage265ptNonGrasNonItaliquePetitesmajuscules"/>
          <w:b w:val="0"/>
          <w:bCs w:val="0"/>
          <w:i w:val="0"/>
          <w:iCs w:val="0"/>
          <w:sz w:val="24"/>
        </w:rPr>
        <w:t xml:space="preserve">Dumas, </w:t>
      </w:r>
      <w:r w:rsidRPr="003B3476">
        <w:rPr>
          <w:i/>
          <w:lang w:val="fr-FR" w:eastAsia="fr-FR" w:bidi="fr-FR"/>
        </w:rPr>
        <w:t>La généralité de Tours au</w:t>
      </w:r>
      <w:r w:rsidRPr="003B3476">
        <w:rPr>
          <w:lang w:val="fr-FR" w:eastAsia="fr-FR" w:bidi="fr-FR"/>
        </w:rPr>
        <w:t xml:space="preserve"> </w:t>
      </w:r>
      <w:r w:rsidRPr="003B3476">
        <w:rPr>
          <w:bCs/>
          <w:i/>
          <w:iCs/>
        </w:rPr>
        <w:t>XVIII</w:t>
      </w:r>
      <w:r w:rsidRPr="003B3476">
        <w:rPr>
          <w:bCs/>
          <w:i/>
          <w:iCs/>
          <w:vertAlign w:val="superscript"/>
        </w:rPr>
        <w:t>e</w:t>
      </w:r>
      <w:r w:rsidRPr="003B3476">
        <w:rPr>
          <w:lang w:val="fr-FR" w:eastAsia="fr-FR" w:bidi="fr-FR"/>
        </w:rPr>
        <w:t xml:space="preserve"> </w:t>
      </w:r>
      <w:r w:rsidRPr="003B3476">
        <w:rPr>
          <w:i/>
          <w:lang w:val="fr-FR" w:eastAsia="fr-FR" w:bidi="fr-FR"/>
        </w:rPr>
        <w:t>siècle</w:t>
      </w:r>
      <w:r w:rsidRPr="003B3476">
        <w:rPr>
          <w:lang w:val="fr-FR" w:eastAsia="fr-FR" w:bidi="fr-FR"/>
        </w:rPr>
        <w:t>,</w:t>
      </w:r>
      <w:r w:rsidRPr="003B3476">
        <w:rPr>
          <w:bCs/>
        </w:rPr>
        <w:t xml:space="preserve"> 1894, </w:t>
      </w:r>
      <w:r w:rsidRPr="003B3476">
        <w:rPr>
          <w:rStyle w:val="Notedebasdepage265ptNonGrasNonItalique"/>
          <w:b w:val="0"/>
          <w:bCs w:val="0"/>
          <w:i w:val="0"/>
          <w:iCs w:val="0"/>
          <w:sz w:val="24"/>
        </w:rPr>
        <w:t xml:space="preserve">p. </w:t>
      </w:r>
      <w:r w:rsidRPr="003B3476">
        <w:rPr>
          <w:bCs/>
        </w:rPr>
        <w:t>310.</w:t>
      </w:r>
    </w:p>
  </w:footnote>
  <w:footnote w:id="154">
    <w:p w14:paraId="769ABA6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est fait allusion à la circulaire du Contrôleur Général dans une lettre de l’intendant de Valenciennes au subdélégué de Bouchain, 8 sept. 1760 : Nord, C Hainaut, 107. Réponse de l’intendant de Limoges, 12 oct. 1760, dans R. </w:t>
      </w:r>
      <w:r w:rsidRPr="003B3476">
        <w:rPr>
          <w:rStyle w:val="Notedebasdepage65ptNonGrasPetitesmajuscules"/>
          <w:b w:val="0"/>
          <w:bCs w:val="0"/>
          <w:sz w:val="24"/>
        </w:rPr>
        <w:t xml:space="preserve">Lafarge, </w:t>
      </w:r>
      <w:r w:rsidRPr="003B3476">
        <w:rPr>
          <w:bCs/>
          <w:i/>
        </w:rPr>
        <w:t>Bulletin de la Soc. scientif., histor. et archéol. de la Corrèze</w:t>
      </w:r>
      <w:r w:rsidRPr="003B3476">
        <w:rPr>
          <w:lang w:val="fr-FR" w:eastAsia="fr-FR" w:bidi="fr-FR"/>
        </w:rPr>
        <w:t>, t. XXVII, 1905, p. 397.</w:t>
      </w:r>
    </w:p>
  </w:footnote>
  <w:footnote w:id="155">
    <w:p w14:paraId="28ECDB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les mentions de service : H 1502, n</w:t>
      </w:r>
      <w:r w:rsidRPr="003B3476">
        <w:rPr>
          <w:vertAlign w:val="superscript"/>
          <w:lang w:val="fr-FR" w:eastAsia="fr-FR" w:bidi="fr-FR"/>
        </w:rPr>
        <w:t>os</w:t>
      </w:r>
      <w:r w:rsidRPr="003B3476">
        <w:rPr>
          <w:lang w:val="fr-FR" w:eastAsia="fr-FR" w:bidi="fr-FR"/>
        </w:rPr>
        <w:t xml:space="preserve"> 144, 223, 279 ; H 1505, n</w:t>
      </w:r>
      <w:r w:rsidRPr="003B3476">
        <w:rPr>
          <w:vertAlign w:val="superscript"/>
          <w:lang w:val="fr-FR" w:eastAsia="fr-FR" w:bidi="fr-FR"/>
        </w:rPr>
        <w:t>os</w:t>
      </w:r>
      <w:r w:rsidRPr="003B3476">
        <w:rPr>
          <w:lang w:val="fr-FR" w:eastAsia="fr-FR" w:bidi="fr-FR"/>
        </w:rPr>
        <w:t xml:space="preserve"> 29, 223 ; H 1510, n° 84 ; H 1511, n</w:t>
      </w:r>
      <w:r w:rsidRPr="003B3476">
        <w:rPr>
          <w:vertAlign w:val="superscript"/>
          <w:lang w:val="fr-FR" w:eastAsia="fr-FR" w:bidi="fr-FR"/>
        </w:rPr>
        <w:t>os</w:t>
      </w:r>
      <w:r w:rsidRPr="003B3476">
        <w:rPr>
          <w:lang w:val="fr-FR" w:eastAsia="fr-FR" w:bidi="fr-FR"/>
        </w:rPr>
        <w:t xml:space="preserve"> 36, 47, 108 ; et aussi le bordereau de la réponse de l’intendant de Bordeaux, Gironde, C 1328. Puis-je profiter de cette occasion pour signaler à l’attention ces mentions de service qui, comparables aux me</w:t>
      </w:r>
      <w:r w:rsidRPr="003B3476">
        <w:rPr>
          <w:lang w:val="fr-FR" w:eastAsia="fr-FR" w:bidi="fr-FR"/>
        </w:rPr>
        <w:t>n</w:t>
      </w:r>
      <w:r w:rsidRPr="003B3476">
        <w:rPr>
          <w:lang w:val="fr-FR" w:eastAsia="fr-FR" w:bidi="fr-FR"/>
        </w:rPr>
        <w:t>tions de chancellerie du Moyen Age, semblent susceptibles de jeter un jour très vif sur l’histoire du personnel administratif de l’ancien régime, et de l’action réellement exercée par ses divers membres ? — Lorsque, en 1757, la Société d’agriculture de Bretagne se fut constituée, elle décida d’écrire, pour lui demander son appui, en même temps qu’au Contrôleur Général, à Truda</w:t>
      </w:r>
      <w:r w:rsidRPr="003B3476">
        <w:rPr>
          <w:lang w:val="fr-FR" w:eastAsia="fr-FR" w:bidi="fr-FR"/>
        </w:rPr>
        <w:t>i</w:t>
      </w:r>
      <w:r w:rsidRPr="003B3476">
        <w:rPr>
          <w:lang w:val="fr-FR" w:eastAsia="fr-FR" w:bidi="fr-FR"/>
        </w:rPr>
        <w:t>ne : Ille-et-Vilaine,  C 1597.</w:t>
      </w:r>
    </w:p>
  </w:footnote>
  <w:footnote w:id="156">
    <w:p w14:paraId="21B45DC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L’histoire de ce Comité d’agriculture a été écrite, d’après les documents des Archives Nationales (la plupart </w:t>
      </w:r>
      <w:r w:rsidRPr="003B3476">
        <w:rPr>
          <w:rStyle w:val="Notedebasdepage65ptNonGras"/>
          <w:b w:val="0"/>
          <w:bCs w:val="0"/>
          <w:sz w:val="24"/>
        </w:rPr>
        <w:t>F</w:t>
      </w:r>
      <w:r w:rsidRPr="003B3476">
        <w:rPr>
          <w:rStyle w:val="Notedebasdepage65ptNonGrasEspacement0pt"/>
          <w:b w:val="0"/>
          <w:bCs w:val="0"/>
          <w:sz w:val="24"/>
          <w:vertAlign w:val="superscript"/>
        </w:rPr>
        <w:t>10</w:t>
      </w:r>
      <w:r w:rsidRPr="003B3476">
        <w:rPr>
          <w:rStyle w:val="Notedebasdepage65ptNonGras"/>
          <w:b w:val="0"/>
          <w:bCs w:val="0"/>
          <w:sz w:val="24"/>
        </w:rPr>
        <w:t xml:space="preserve"> </w:t>
      </w:r>
      <w:r w:rsidRPr="003B3476">
        <w:rPr>
          <w:lang w:val="fr-FR" w:eastAsia="fr-FR" w:bidi="fr-FR"/>
        </w:rPr>
        <w:t xml:space="preserve">258), par </w:t>
      </w:r>
      <w:r w:rsidRPr="003B3476">
        <w:t xml:space="preserve">G. </w:t>
      </w:r>
      <w:r w:rsidRPr="003B3476">
        <w:rPr>
          <w:lang w:val="fr-FR" w:eastAsia="fr-FR" w:bidi="fr-FR"/>
        </w:rPr>
        <w:t xml:space="preserve">de </w:t>
      </w:r>
      <w:r w:rsidRPr="003B3476">
        <w:t>La Fournière,</w:t>
      </w:r>
      <w:r w:rsidRPr="003B3476">
        <w:rPr>
          <w:rStyle w:val="Notedebasdepage65ptNonGras"/>
          <w:b w:val="0"/>
          <w:bCs w:val="0"/>
          <w:sz w:val="24"/>
        </w:rPr>
        <w:t xml:space="preserve"> </w:t>
      </w:r>
      <w:r w:rsidRPr="003B3476">
        <w:rPr>
          <w:bCs/>
          <w:i/>
        </w:rPr>
        <w:t>Les Com</w:t>
      </w:r>
      <w:r w:rsidRPr="003B3476">
        <w:rPr>
          <w:bCs/>
          <w:i/>
        </w:rPr>
        <w:t>i</w:t>
      </w:r>
      <w:r w:rsidRPr="003B3476">
        <w:rPr>
          <w:bCs/>
          <w:i/>
        </w:rPr>
        <w:t>tés d'agriculture de 1760 et de 1784</w:t>
      </w:r>
      <w:r w:rsidRPr="003B3476">
        <w:rPr>
          <w:bCs/>
        </w:rPr>
        <w:t>,</w:t>
      </w:r>
      <w:r w:rsidRPr="003B3476">
        <w:rPr>
          <w:lang w:val="fr-FR" w:eastAsia="fr-FR" w:bidi="fr-FR"/>
        </w:rPr>
        <w:t xml:space="preserve"> dans </w:t>
      </w:r>
      <w:r w:rsidRPr="003B3476">
        <w:rPr>
          <w:bCs/>
          <w:i/>
        </w:rPr>
        <w:t>Bulletin du Comité des Travaux hist</w:t>
      </w:r>
      <w:r w:rsidRPr="003B3476">
        <w:rPr>
          <w:bCs/>
          <w:i/>
        </w:rPr>
        <w:t>o</w:t>
      </w:r>
      <w:r w:rsidRPr="003B3476">
        <w:rPr>
          <w:bCs/>
          <w:i/>
        </w:rPr>
        <w:t>riques</w:t>
      </w:r>
      <w:r w:rsidRPr="003B3476">
        <w:rPr>
          <w:i/>
          <w:lang w:val="fr-FR" w:eastAsia="fr-FR" w:bidi="fr-FR"/>
        </w:rPr>
        <w:t xml:space="preserve">, </w:t>
      </w:r>
      <w:r w:rsidRPr="003B3476">
        <w:rPr>
          <w:bCs/>
          <w:i/>
        </w:rPr>
        <w:t>Section des Sciences économiques</w:t>
      </w:r>
      <w:r w:rsidRPr="003B3476">
        <w:rPr>
          <w:lang w:val="fr-FR" w:eastAsia="fr-FR" w:bidi="fr-FR"/>
        </w:rPr>
        <w:t xml:space="preserve">, 1909, et par Louis </w:t>
      </w:r>
      <w:r w:rsidRPr="003B3476">
        <w:rPr>
          <w:rStyle w:val="Notedebasdepage65ptNonGrasPetitesmajuscules"/>
          <w:b w:val="0"/>
          <w:bCs w:val="0"/>
          <w:sz w:val="24"/>
        </w:rPr>
        <w:t xml:space="preserve">Passy, </w:t>
      </w:r>
      <w:r w:rsidRPr="003B3476">
        <w:rPr>
          <w:bCs/>
          <w:i/>
        </w:rPr>
        <w:t>Histo</w:t>
      </w:r>
      <w:r w:rsidRPr="003B3476">
        <w:rPr>
          <w:bCs/>
          <w:i/>
        </w:rPr>
        <w:t>i</w:t>
      </w:r>
      <w:r w:rsidRPr="003B3476">
        <w:rPr>
          <w:bCs/>
          <w:i/>
        </w:rPr>
        <w:t>re de la S</w:t>
      </w:r>
      <w:r w:rsidRPr="003B3476">
        <w:rPr>
          <w:bCs/>
          <w:i/>
        </w:rPr>
        <w:t>o</w:t>
      </w:r>
      <w:r w:rsidRPr="003B3476">
        <w:rPr>
          <w:bCs/>
          <w:i/>
        </w:rPr>
        <w:t>ciété nationale d'agriculture</w:t>
      </w:r>
      <w:r w:rsidRPr="003B3476">
        <w:rPr>
          <w:lang w:val="fr-FR" w:eastAsia="fr-FR" w:bidi="fr-FR"/>
        </w:rPr>
        <w:t>, t. I, p. 28 et suiv. Malheureusement ces deux auteurs ont l’un et l’autre ignoré, entre autres documents, une très pr</w:t>
      </w:r>
      <w:r w:rsidRPr="003B3476">
        <w:rPr>
          <w:lang w:val="fr-FR" w:eastAsia="fr-FR" w:bidi="fr-FR"/>
        </w:rPr>
        <w:t>é</w:t>
      </w:r>
      <w:r w:rsidRPr="003B3476">
        <w:rPr>
          <w:lang w:val="fr-FR" w:eastAsia="fr-FR" w:bidi="fr-FR"/>
        </w:rPr>
        <w:t>cieuse lettre de Bertin au Contrôleur Général d’Invau du 31 mai 1769 (c</w:t>
      </w:r>
      <w:r w:rsidRPr="003B3476">
        <w:rPr>
          <w:lang w:val="fr-FR" w:eastAsia="fr-FR" w:bidi="fr-FR"/>
        </w:rPr>
        <w:t>o</w:t>
      </w:r>
      <w:r w:rsidRPr="003B3476">
        <w:rPr>
          <w:lang w:val="fr-FR" w:eastAsia="fr-FR" w:bidi="fr-FR"/>
        </w:rPr>
        <w:t xml:space="preserve">pie H 173, n° 15, extraits, H. </w:t>
      </w:r>
      <w:r w:rsidRPr="003B3476">
        <w:rPr>
          <w:rStyle w:val="Notedebasdepage65ptNonGrasPetitesmajuscules"/>
          <w:b w:val="0"/>
          <w:bCs w:val="0"/>
          <w:sz w:val="24"/>
        </w:rPr>
        <w:t xml:space="preserve">Sée, </w:t>
      </w:r>
      <w:r w:rsidRPr="003B3476">
        <w:rPr>
          <w:bCs/>
          <w:i/>
        </w:rPr>
        <w:t>Revue du dix-huitième siècle</w:t>
      </w:r>
      <w:r w:rsidRPr="003B3476">
        <w:rPr>
          <w:lang w:val="fr-FR" w:eastAsia="fr-FR" w:bidi="fr-FR"/>
        </w:rPr>
        <w:t xml:space="preserve">, 1913, p. 266, n. 1), qui nous donne sur l’activité du Comité et notamment sur ses derniers temps des renseignements qu’on chercherait vainement ailleurs. </w:t>
      </w:r>
      <w:r w:rsidRPr="003B3476">
        <w:rPr>
          <w:bCs/>
          <w:i/>
        </w:rPr>
        <w:t>Cf.</w:t>
      </w:r>
      <w:r w:rsidRPr="003B3476">
        <w:rPr>
          <w:lang w:val="fr-FR" w:eastAsia="fr-FR" w:bidi="fr-FR"/>
        </w:rPr>
        <w:t xml:space="preserve"> aussi une lettre de Parent à l’intendant de Rouen, du 20 déc. 1761 : Seine-Inférieure,  C 913 ; une lettre du marquis de Turbilly, du 15 février 1761, analysée, d’après l’original conservé dans les archives de la Société Économique de Berne, par </w:t>
      </w:r>
      <w:r w:rsidRPr="003B3476">
        <w:rPr>
          <w:smallCaps/>
          <w:lang w:val="fr-FR" w:eastAsia="fr-FR" w:bidi="fr-FR"/>
        </w:rPr>
        <w:t>Guill</w:t>
      </w:r>
      <w:r w:rsidRPr="003B3476">
        <w:rPr>
          <w:smallCaps/>
          <w:lang w:val="fr-FR" w:eastAsia="fr-FR" w:bidi="fr-FR"/>
        </w:rPr>
        <w:t>o</w:t>
      </w:r>
      <w:r w:rsidRPr="003B3476">
        <w:rPr>
          <w:smallCaps/>
          <w:lang w:val="fr-FR" w:eastAsia="fr-FR" w:bidi="fr-FR"/>
        </w:rPr>
        <w:t>ry</w:t>
      </w:r>
      <w:r w:rsidRPr="003B3476">
        <w:rPr>
          <w:lang w:val="fr-FR" w:eastAsia="fr-FR" w:bidi="fr-FR"/>
        </w:rPr>
        <w:t xml:space="preserve">, </w:t>
      </w:r>
      <w:r w:rsidRPr="003B3476">
        <w:rPr>
          <w:i/>
          <w:lang w:val="fr-FR" w:eastAsia="fr-FR" w:bidi="fr-FR"/>
        </w:rPr>
        <w:t>Le marquis de Turbilly</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p. 106. De Turbilly également émane, s</w:t>
      </w:r>
      <w:r w:rsidRPr="003B3476">
        <w:rPr>
          <w:lang w:val="fr-FR" w:eastAsia="fr-FR" w:bidi="fr-FR"/>
        </w:rPr>
        <w:t>e</w:t>
      </w:r>
      <w:r w:rsidRPr="003B3476">
        <w:rPr>
          <w:lang w:val="fr-FR" w:eastAsia="fr-FR" w:bidi="fr-FR"/>
        </w:rPr>
        <w:t xml:space="preserve">lon toute vraisemblance, un </w:t>
      </w:r>
      <w:r w:rsidRPr="003B3476">
        <w:rPr>
          <w:i/>
          <w:lang w:val="fr-FR" w:eastAsia="fr-FR" w:bidi="fr-FR"/>
        </w:rPr>
        <w:t>État des premiers objets sur lesquels on croit qu'il est à propos que le Comité d'Agriculture délibère dans le comme</w:t>
      </w:r>
      <w:r w:rsidRPr="003B3476">
        <w:rPr>
          <w:i/>
          <w:lang w:val="fr-FR" w:eastAsia="fr-FR" w:bidi="fr-FR"/>
        </w:rPr>
        <w:t>n</w:t>
      </w:r>
      <w:r w:rsidRPr="003B3476">
        <w:rPr>
          <w:i/>
          <w:lang w:val="fr-FR" w:eastAsia="fr-FR" w:bidi="fr-FR"/>
        </w:rPr>
        <w:t>cement de ses assemblées </w:t>
      </w:r>
      <w:r w:rsidRPr="003B3476">
        <w:rPr>
          <w:lang w:val="fr-FR" w:eastAsia="fr-FR" w:bidi="fr-FR"/>
        </w:rPr>
        <w:t>: H 1506, n° 45. La première réunion eut lieu, non le 11 ja</w:t>
      </w:r>
      <w:r w:rsidRPr="003B3476">
        <w:rPr>
          <w:lang w:val="fr-FR" w:eastAsia="fr-FR" w:bidi="fr-FR"/>
        </w:rPr>
        <w:t>n</w:t>
      </w:r>
      <w:r w:rsidRPr="003B3476">
        <w:rPr>
          <w:lang w:val="fr-FR" w:eastAsia="fr-FR" w:bidi="fr-FR"/>
        </w:rPr>
        <w:t>vier, comme sembleraient l’indiquer les lettres de convocation (F</w:t>
      </w:r>
      <w:r w:rsidRPr="003B3476">
        <w:rPr>
          <w:vertAlign w:val="superscript"/>
          <w:lang w:val="fr-FR" w:eastAsia="fr-FR" w:bidi="fr-FR"/>
        </w:rPr>
        <w:t>10</w:t>
      </w:r>
      <w:r w:rsidRPr="003B3476">
        <w:rPr>
          <w:lang w:val="fr-FR" w:eastAsia="fr-FR" w:bidi="fr-FR"/>
        </w:rPr>
        <w:t xml:space="preserve"> 258), mais le lundi 12 (lettre de Turbilly) ; le lundi resta le jour ordinaire des séances. Sur le mémoire dont est extrait le passage cité dans le texte, L. </w:t>
      </w:r>
      <w:r w:rsidRPr="003B3476">
        <w:rPr>
          <w:rStyle w:val="Notedebasdepage65ptNonGrasPetitesmajuscules"/>
          <w:b w:val="0"/>
          <w:bCs w:val="0"/>
          <w:sz w:val="24"/>
        </w:rPr>
        <w:t>Pa</w:t>
      </w:r>
      <w:r w:rsidRPr="003B3476">
        <w:rPr>
          <w:rStyle w:val="Notedebasdepage65ptNonGrasPetitesmajuscules"/>
          <w:b w:val="0"/>
          <w:bCs w:val="0"/>
          <w:sz w:val="24"/>
        </w:rPr>
        <w:t>s</w:t>
      </w:r>
      <w:r w:rsidRPr="003B3476">
        <w:rPr>
          <w:rStyle w:val="Notedebasdepage65ptNonGrasPetitesmajuscules"/>
          <w:b w:val="0"/>
          <w:bCs w:val="0"/>
          <w:sz w:val="24"/>
        </w:rPr>
        <w:t xml:space="preserve">sy, </w:t>
      </w:r>
      <w:r w:rsidRPr="003B3476">
        <w:rPr>
          <w:lang w:val="fr-FR" w:eastAsia="fr-FR" w:bidi="fr-FR"/>
        </w:rPr>
        <w:t xml:space="preserve">p. 29 ; de </w:t>
      </w:r>
      <w:r w:rsidRPr="003B3476">
        <w:rPr>
          <w:rStyle w:val="Notedebasdepage65ptNonGrasPetitesmajuscules"/>
          <w:b w:val="0"/>
          <w:bCs w:val="0"/>
          <w:sz w:val="24"/>
        </w:rPr>
        <w:t>la Fou</w:t>
      </w:r>
      <w:r w:rsidRPr="003B3476">
        <w:rPr>
          <w:rStyle w:val="Notedebasdepage65ptNonGrasPetitesmajuscules"/>
          <w:b w:val="0"/>
          <w:bCs w:val="0"/>
          <w:sz w:val="24"/>
        </w:rPr>
        <w:t>r</w:t>
      </w:r>
      <w:r w:rsidRPr="003B3476">
        <w:rPr>
          <w:rStyle w:val="Notedebasdepage65ptNonGrasPetitesmajuscules"/>
          <w:b w:val="0"/>
          <w:bCs w:val="0"/>
          <w:sz w:val="24"/>
        </w:rPr>
        <w:t xml:space="preserve">nière, </w:t>
      </w:r>
      <w:r w:rsidRPr="003B3476">
        <w:rPr>
          <w:lang w:val="fr-FR" w:eastAsia="fr-FR" w:bidi="fr-FR"/>
        </w:rPr>
        <w:t xml:space="preserve">p. 106. Sur Mignot de Montigny, voir son éloge, par </w:t>
      </w:r>
      <w:r w:rsidRPr="003B3476">
        <w:rPr>
          <w:rStyle w:val="Notedebasdepage65ptNonGrasPetitesmajuscules"/>
          <w:b w:val="0"/>
          <w:bCs w:val="0"/>
          <w:sz w:val="24"/>
        </w:rPr>
        <w:t xml:space="preserve">Condorcet, </w:t>
      </w:r>
      <w:r w:rsidRPr="003B3476">
        <w:rPr>
          <w:bCs/>
          <w:i/>
        </w:rPr>
        <w:t>Œuvres</w:t>
      </w:r>
      <w:r w:rsidRPr="003B3476">
        <w:rPr>
          <w:lang w:val="fr-FR" w:eastAsia="fr-FR" w:bidi="fr-FR"/>
        </w:rPr>
        <w:t xml:space="preserve">, 1847, t. II, p. 580 et H. </w:t>
      </w:r>
      <w:r w:rsidRPr="003B3476">
        <w:rPr>
          <w:rStyle w:val="Notedebasdepage65ptNonGrasPetitesmajuscules"/>
          <w:b w:val="0"/>
          <w:bCs w:val="0"/>
          <w:sz w:val="24"/>
        </w:rPr>
        <w:t xml:space="preserve">Bourde de la Rogerie, </w:t>
      </w:r>
      <w:r w:rsidRPr="003B3476">
        <w:rPr>
          <w:bCs/>
          <w:i/>
        </w:rPr>
        <w:t>Les voyageurs en Bretagne : le voyage de M</w:t>
      </w:r>
      <w:r w:rsidRPr="003B3476">
        <w:rPr>
          <w:bCs/>
          <w:i/>
        </w:rPr>
        <w:t>i</w:t>
      </w:r>
      <w:r w:rsidRPr="003B3476">
        <w:rPr>
          <w:bCs/>
          <w:i/>
        </w:rPr>
        <w:t>gnot de Montigny en Bretagne en 1752</w:t>
      </w:r>
      <w:r w:rsidRPr="003B3476">
        <w:rPr>
          <w:lang w:val="fr-FR" w:eastAsia="fr-FR" w:bidi="fr-FR"/>
        </w:rPr>
        <w:t xml:space="preserve">, dans </w:t>
      </w:r>
      <w:r w:rsidRPr="003B3476">
        <w:rPr>
          <w:bCs/>
          <w:i/>
        </w:rPr>
        <w:t>Mémoires de la Soc. d’histoire et d’archéologie de Bretagne</w:t>
      </w:r>
      <w:r w:rsidRPr="003B3476">
        <w:rPr>
          <w:lang w:val="fr-FR" w:eastAsia="fr-FR" w:bidi="fr-FR"/>
        </w:rPr>
        <w:t>, 1928, p. 225-301. Il a été parfois confondu avec Trudaine de Montigny, qui, à son tour, l’a été par M. </w:t>
      </w:r>
      <w:r w:rsidRPr="003B3476">
        <w:rPr>
          <w:rStyle w:val="Notedebasdepage65ptNonGrasPetitesmajuscules"/>
          <w:b w:val="0"/>
          <w:bCs w:val="0"/>
          <w:sz w:val="24"/>
        </w:rPr>
        <w:t xml:space="preserve">Weulersse, </w:t>
      </w:r>
      <w:r w:rsidRPr="003B3476">
        <w:rPr>
          <w:bCs/>
          <w:i/>
        </w:rPr>
        <w:t>Le mouvement physiocratique</w:t>
      </w:r>
      <w:r w:rsidRPr="003B3476">
        <w:rPr>
          <w:lang w:val="fr-FR" w:eastAsia="fr-FR" w:bidi="fr-FR"/>
        </w:rPr>
        <w:t>, t. II, p. 159, avec son père Daniel Trudaine.</w:t>
      </w:r>
    </w:p>
  </w:footnote>
  <w:footnote w:id="157">
    <w:p w14:paraId="1F7E84A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Bertin cite (H 173, n° 15 ; je rajoute les dates entre crochets) : « la liberté r</w:t>
      </w:r>
      <w:r w:rsidRPr="003B3476">
        <w:rPr>
          <w:lang w:val="fr-FR" w:eastAsia="fr-FR" w:bidi="fr-FR"/>
        </w:rPr>
        <w:t>é</w:t>
      </w:r>
      <w:r w:rsidRPr="003B3476">
        <w:rPr>
          <w:lang w:val="fr-FR" w:eastAsia="fr-FR" w:bidi="fr-FR"/>
        </w:rPr>
        <w:t>tablie dans la circulation des grains dans le Royaume en exemption de tous droits [25 mai 1763], la permission d’exploiter librement les farines [expo</w:t>
      </w:r>
      <w:r w:rsidRPr="003B3476">
        <w:rPr>
          <w:lang w:val="fr-FR" w:eastAsia="fr-FR" w:bidi="fr-FR"/>
        </w:rPr>
        <w:t>r</w:t>
      </w:r>
      <w:r w:rsidRPr="003B3476">
        <w:rPr>
          <w:lang w:val="fr-FR" w:eastAsia="fr-FR" w:bidi="fr-FR"/>
        </w:rPr>
        <w:t>ter ? : 21 nov. 1763], l’exemption des impositions sur les défrichements [16 août 1761], qui a été suivie d’une loy générale où l’exemption de la dixme a été ordonnée, après en avoir discuté la nécessité avec l’assemblée du clergé et toutes les chambres diocésaines du Royaume [13 août 1766], la libre export</w:t>
      </w:r>
      <w:r w:rsidRPr="003B3476">
        <w:rPr>
          <w:lang w:val="fr-FR" w:eastAsia="fr-FR" w:bidi="fr-FR"/>
        </w:rPr>
        <w:t>a</w:t>
      </w:r>
      <w:r w:rsidRPr="003B3476">
        <w:rPr>
          <w:lang w:val="fr-FR" w:eastAsia="fr-FR" w:bidi="fr-FR"/>
        </w:rPr>
        <w:t>tion du bétail à l’étranger... et l’importation de ce même bétail affranchie du droit excessif auquel elle étoit imposée précédemment [17 avril 1763], l’exemption du droit de 100</w:t>
      </w:r>
      <w:r w:rsidRPr="003B3476">
        <w:rPr>
          <w:vertAlign w:val="superscript"/>
          <w:lang w:val="fr-FR" w:eastAsia="fr-FR" w:bidi="fr-FR"/>
        </w:rPr>
        <w:t>e</w:t>
      </w:r>
      <w:r w:rsidRPr="003B3476">
        <w:rPr>
          <w:lang w:val="fr-FR" w:eastAsia="fr-FR" w:bidi="fr-FR"/>
        </w:rPr>
        <w:t xml:space="preserve"> denier sur les baux des biens de campagne au-dessus de 9 ans jusques à 17 [1</w:t>
      </w:r>
      <w:r w:rsidRPr="003B3476">
        <w:rPr>
          <w:vertAlign w:val="superscript"/>
          <w:lang w:val="fr-FR" w:eastAsia="fr-FR" w:bidi="fr-FR"/>
        </w:rPr>
        <w:t>er</w:t>
      </w:r>
      <w:r w:rsidRPr="003B3476">
        <w:rPr>
          <w:lang w:val="fr-FR" w:eastAsia="fr-FR" w:bidi="fr-FR"/>
        </w:rPr>
        <w:t xml:space="preserve"> oct. 1765 ?] ».</w:t>
      </w:r>
    </w:p>
  </w:footnote>
  <w:footnote w:id="158">
    <w:p w14:paraId="53B370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de l’Académie des Sciences</w:t>
      </w:r>
      <w:r w:rsidRPr="003B3476">
        <w:rPr>
          <w:bCs/>
        </w:rPr>
        <w:t xml:space="preserve">, 1769, p. 144 ; </w:t>
      </w:r>
      <w:r w:rsidRPr="003B3476">
        <w:rPr>
          <w:i/>
          <w:lang w:val="fr-FR" w:eastAsia="fr-FR" w:bidi="fr-FR"/>
        </w:rPr>
        <w:t>cf.</w:t>
      </w:r>
      <w:r w:rsidRPr="003B3476">
        <w:rPr>
          <w:bCs/>
        </w:rPr>
        <w:t xml:space="preserve"> p. 135, n. *.</w:t>
      </w:r>
    </w:p>
  </w:footnote>
  <w:footnote w:id="159">
    <w:p w14:paraId="25E63DF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1625, n° 206 (23 juin) ; Vergennes à Bertin, 8 juin : H 1625, n° 204. </w:t>
      </w:r>
      <w:r w:rsidRPr="003B3476">
        <w:rPr>
          <w:bCs/>
          <w:i/>
        </w:rPr>
        <w:t>Cf.</w:t>
      </w:r>
      <w:r w:rsidRPr="003B3476">
        <w:rPr>
          <w:lang w:val="fr-FR" w:eastAsia="fr-FR" w:bidi="fr-FR"/>
        </w:rPr>
        <w:t xml:space="preserve"> aussi H 1486, n° 144, une lettre de Bertin au comte de Raigecourt (11 sept. 1777), et, dès 1763, au sujet des droits féodaux, une lettre à la Société d’agriculture de Caen, de La </w:t>
      </w:r>
      <w:r w:rsidRPr="003B3476">
        <w:rPr>
          <w:rStyle w:val="Notedebasdepage65ptNonGrasPetitesmajuscules"/>
          <w:b w:val="0"/>
          <w:bCs w:val="0"/>
          <w:sz w:val="24"/>
        </w:rPr>
        <w:t xml:space="preserve">Fournière, </w:t>
      </w:r>
      <w:r w:rsidRPr="003B3476">
        <w:rPr>
          <w:lang w:val="fr-FR" w:eastAsia="fr-FR" w:bidi="fr-FR"/>
        </w:rPr>
        <w:t>p. 97, n° 1 ; enfin, ci-dessous, p. 619 et plus loin, dans la deuxième partie de ce travail, à propos de la question des manouvriers.</w:t>
      </w:r>
    </w:p>
  </w:footnote>
  <w:footnote w:id="160">
    <w:p w14:paraId="0CE2EF3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GrasNonItaliquePetitesmajuscules"/>
          <w:b w:val="0"/>
          <w:bCs w:val="0"/>
          <w:i w:val="0"/>
          <w:iCs w:val="0"/>
          <w:sz w:val="24"/>
        </w:rPr>
        <w:t xml:space="preserve">[Abeille], </w:t>
      </w:r>
      <w:r w:rsidRPr="003B3476">
        <w:rPr>
          <w:i/>
          <w:lang w:val="fr-FR" w:eastAsia="fr-FR" w:bidi="fr-FR"/>
        </w:rPr>
        <w:t>Mémoire présenté par la Société Royale d’Agriculture</w:t>
      </w:r>
      <w:r w:rsidRPr="003B3476">
        <w:rPr>
          <w:lang w:val="fr-FR" w:eastAsia="fr-FR" w:bidi="fr-FR"/>
        </w:rPr>
        <w:t>,</w:t>
      </w:r>
      <w:r w:rsidRPr="003B3476">
        <w:rPr>
          <w:bCs/>
        </w:rPr>
        <w:t xml:space="preserve"> 1789, p. 32.</w:t>
      </w:r>
    </w:p>
  </w:footnote>
  <w:footnote w:id="161">
    <w:p w14:paraId="7900C2D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Mémoire sur la question de savoir s’il est utile de supprimer la vaine pâture et les pâtures communes</w:t>
      </w:r>
      <w:r w:rsidRPr="003B3476">
        <w:rPr>
          <w:lang w:val="fr-FR" w:eastAsia="fr-FR" w:bidi="fr-FR"/>
        </w:rPr>
        <w:t>, lu le 26 juillet 1762 : Meurthe-et-Moselle, C 320, et ms. de l’Académie de Metz, t. VIII, p. 73 et suiv.</w:t>
      </w:r>
    </w:p>
  </w:footnote>
  <w:footnote w:id="162">
    <w:p w14:paraId="2D3F771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Lettres du duc de Nivernais, 18 nov. 1763 ; questionnaire avec réponses en face portant la mention de service, 9 nov. 1762, faute pour 1763 (la même e</w:t>
      </w:r>
      <w:r w:rsidRPr="003B3476">
        <w:rPr>
          <w:lang w:val="fr-FR" w:eastAsia="fr-FR" w:bidi="fr-FR"/>
        </w:rPr>
        <w:t>r</w:t>
      </w:r>
      <w:r w:rsidRPr="003B3476">
        <w:rPr>
          <w:lang w:val="fr-FR" w:eastAsia="fr-FR" w:bidi="fr-FR"/>
        </w:rPr>
        <w:t>reur a été commise dans la mention inscrite sur la lettre du duc) : H 1486, n</w:t>
      </w:r>
      <w:r w:rsidRPr="003B3476">
        <w:rPr>
          <w:vertAlign w:val="superscript"/>
          <w:lang w:val="fr-FR" w:eastAsia="fr-FR" w:bidi="fr-FR"/>
        </w:rPr>
        <w:t>os</w:t>
      </w:r>
      <w:r w:rsidRPr="003B3476">
        <w:rPr>
          <w:lang w:val="fr-FR" w:eastAsia="fr-FR" w:bidi="fr-FR"/>
        </w:rPr>
        <w:t> 198 et 199. Déjà, le 11 déc. 1762, un agent, chargé de renseigner le mini</w:t>
      </w:r>
      <w:r w:rsidRPr="003B3476">
        <w:rPr>
          <w:lang w:val="fr-FR" w:eastAsia="fr-FR" w:bidi="fr-FR"/>
        </w:rPr>
        <w:t>s</w:t>
      </w:r>
      <w:r w:rsidRPr="003B3476">
        <w:rPr>
          <w:lang w:val="fr-FR" w:eastAsia="fr-FR" w:bidi="fr-FR"/>
        </w:rPr>
        <w:t>tère sur les t nouvelles de Londres », lui communiquait quelques renseign</w:t>
      </w:r>
      <w:r w:rsidRPr="003B3476">
        <w:rPr>
          <w:lang w:val="fr-FR" w:eastAsia="fr-FR" w:bidi="fr-FR"/>
        </w:rPr>
        <w:t>e</w:t>
      </w:r>
      <w:r w:rsidRPr="003B3476">
        <w:rPr>
          <w:lang w:val="fr-FR" w:eastAsia="fr-FR" w:bidi="fr-FR"/>
        </w:rPr>
        <w:t>ments sur « les partages des communes et la clôture des terres » (Arch. Aff. Étrangères, Corresp. Polit., Angleterre 448, fol. 261).</w:t>
      </w:r>
    </w:p>
  </w:footnote>
  <w:footnote w:id="163">
    <w:p w14:paraId="76C9789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1495, n° 15 ; mention marginale : « M. Parent » (c’est le commis de Bertin chargé de l’agriculture) « remis par M. Déon, 11 mars 1763 ». Le mémoire a plus tard été imprimé par d’Éon, dans ses </w:t>
      </w:r>
      <w:r w:rsidRPr="003B3476">
        <w:rPr>
          <w:bCs/>
          <w:i/>
        </w:rPr>
        <w:t>Observations générales sur le Royaume d’Angleterre : Les loisirs du Chevalier d’Éon de Beaumont</w:t>
      </w:r>
      <w:r w:rsidRPr="003B3476">
        <w:rPr>
          <w:bCs/>
        </w:rPr>
        <w:t>,</w:t>
      </w:r>
      <w:r w:rsidRPr="003B3476">
        <w:rPr>
          <w:lang w:val="fr-FR" w:eastAsia="fr-FR" w:bidi="fr-FR"/>
        </w:rPr>
        <w:t xml:space="preserve"> t. VII, Amsterdam, 1775, p. 40 (depuis « Pour obtenir un acte du Parlement... ») à 45 (jusqu’à la fin du paragraphe).</w:t>
      </w:r>
    </w:p>
  </w:footnote>
  <w:footnote w:id="164">
    <w:p w14:paraId="2A24FA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1495, n° 9. Ce mémoire renferme la traduction de l’acte pour l’enclôture des </w:t>
      </w:r>
      <w:r w:rsidRPr="003B3476">
        <w:rPr>
          <w:bCs/>
        </w:rPr>
        <w:t>common fields</w:t>
      </w:r>
      <w:r w:rsidRPr="003B3476">
        <w:rPr>
          <w:lang w:val="fr-FR" w:eastAsia="fr-FR" w:bidi="fr-FR"/>
        </w:rPr>
        <w:t xml:space="preserve"> de Bishop’s Waltham, en 1759 (G. </w:t>
      </w:r>
      <w:r w:rsidRPr="003B3476">
        <w:rPr>
          <w:rStyle w:val="Notedebasdepage65ptNonGrasPetitesmajuscules"/>
          <w:b w:val="0"/>
          <w:bCs w:val="0"/>
          <w:sz w:val="24"/>
        </w:rPr>
        <w:t xml:space="preserve">Slater, </w:t>
      </w:r>
      <w:r w:rsidRPr="003B3476">
        <w:rPr>
          <w:bCs/>
          <w:i/>
        </w:rPr>
        <w:t>The english pe</w:t>
      </w:r>
      <w:r w:rsidRPr="003B3476">
        <w:rPr>
          <w:bCs/>
          <w:i/>
        </w:rPr>
        <w:t>a</w:t>
      </w:r>
      <w:r w:rsidRPr="003B3476">
        <w:rPr>
          <w:bCs/>
          <w:i/>
        </w:rPr>
        <w:t>santry and the inclosure of common fields</w:t>
      </w:r>
      <w:r w:rsidRPr="003B3476">
        <w:rPr>
          <w:lang w:val="fr-FR" w:eastAsia="fr-FR" w:bidi="fr-FR"/>
        </w:rPr>
        <w:t xml:space="preserve">, 1907, p. 278). Un mémoire de Guerrier, associé de la Société d’agriculture d’Alençon, sur la </w:t>
      </w:r>
      <w:r w:rsidRPr="003B3476">
        <w:rPr>
          <w:bCs/>
          <w:i/>
        </w:rPr>
        <w:t>Culture anglo</w:t>
      </w:r>
      <w:r w:rsidRPr="003B3476">
        <w:rPr>
          <w:bCs/>
          <w:i/>
        </w:rPr>
        <w:t>i</w:t>
      </w:r>
      <w:r w:rsidRPr="003B3476">
        <w:rPr>
          <w:bCs/>
          <w:i/>
        </w:rPr>
        <w:t>se</w:t>
      </w:r>
      <w:r w:rsidRPr="003B3476">
        <w:rPr>
          <w:lang w:val="fr-FR" w:eastAsia="fr-FR" w:bidi="fr-FR"/>
        </w:rPr>
        <w:t>, dont copie avait été envoyée à Bertin, le 4 mai 1766, fut résumé par les soins du Comité d’Agriculture (H 1505, n° 136).</w:t>
      </w:r>
    </w:p>
  </w:footnote>
  <w:footnote w:id="165">
    <w:p w14:paraId="679D58D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Minute : H 1510 (3), n° 58. </w:t>
      </w:r>
      <w:r w:rsidRPr="003B3476">
        <w:rPr>
          <w:bCs/>
          <w:i/>
        </w:rPr>
        <w:t>Cf.</w:t>
      </w:r>
      <w:r w:rsidRPr="003B3476">
        <w:rPr>
          <w:lang w:val="fr-FR" w:eastAsia="fr-FR" w:bidi="fr-FR"/>
        </w:rPr>
        <w:t xml:space="preserve"> liste d’envoi, H 1511, n° 135 ; accusés de r</w:t>
      </w:r>
      <w:r w:rsidRPr="003B3476">
        <w:rPr>
          <w:lang w:val="fr-FR" w:eastAsia="fr-FR" w:bidi="fr-FR"/>
        </w:rPr>
        <w:t>é</w:t>
      </w:r>
      <w:r w:rsidRPr="003B3476">
        <w:rPr>
          <w:lang w:val="fr-FR" w:eastAsia="fr-FR" w:bidi="fr-FR"/>
        </w:rPr>
        <w:t>ception des intendants à qui la circulaire avait été communiquée, H 1511, n</w:t>
      </w:r>
      <w:r w:rsidRPr="003B3476">
        <w:rPr>
          <w:vertAlign w:val="superscript"/>
          <w:lang w:val="fr-FR" w:eastAsia="fr-FR" w:bidi="fr-FR"/>
        </w:rPr>
        <w:t>os</w:t>
      </w:r>
      <w:r w:rsidRPr="003B3476">
        <w:rPr>
          <w:lang w:val="fr-FR" w:eastAsia="fr-FR" w:bidi="fr-FR"/>
        </w:rPr>
        <w:t xml:space="preserve"> 119 et suiv. ; exemplaire adressé à la Soc. de Valenciennes, Nord, C Hainaut, 695 </w:t>
      </w:r>
      <w:r w:rsidRPr="003B3476">
        <w:rPr>
          <w:bCs/>
        </w:rPr>
        <w:t xml:space="preserve">bis. </w:t>
      </w:r>
      <w:r w:rsidRPr="003B3476">
        <w:rPr>
          <w:bCs/>
          <w:i/>
        </w:rPr>
        <w:t>Cf.</w:t>
      </w:r>
      <w:r w:rsidRPr="003B3476">
        <w:rPr>
          <w:lang w:val="fr-FR" w:eastAsia="fr-FR" w:bidi="fr-FR"/>
        </w:rPr>
        <w:t xml:space="preserve"> A. </w:t>
      </w:r>
      <w:r w:rsidRPr="003B3476">
        <w:rPr>
          <w:rStyle w:val="Notedebasdepage65ptNonGrasPetitesmajuscules"/>
          <w:b w:val="0"/>
          <w:bCs w:val="0"/>
          <w:sz w:val="24"/>
        </w:rPr>
        <w:t xml:space="preserve">Rostand, </w:t>
      </w:r>
      <w:r w:rsidRPr="003B3476">
        <w:rPr>
          <w:bCs/>
          <w:i/>
        </w:rPr>
        <w:t>La Société d’agriculture de la généralité de Caen</w:t>
      </w:r>
      <w:r w:rsidRPr="003B3476">
        <w:rPr>
          <w:bCs/>
        </w:rPr>
        <w:t>,</w:t>
      </w:r>
      <w:r w:rsidRPr="003B3476">
        <w:rPr>
          <w:lang w:val="fr-FR" w:eastAsia="fr-FR" w:bidi="fr-FR"/>
        </w:rPr>
        <w:t xml:space="preserve"> dans </w:t>
      </w:r>
      <w:r w:rsidRPr="003B3476">
        <w:rPr>
          <w:bCs/>
          <w:i/>
        </w:rPr>
        <w:t>Bulletin de la Soc. des Antiquaires de Normandie</w:t>
      </w:r>
      <w:r w:rsidRPr="003B3476">
        <w:rPr>
          <w:lang w:val="fr-FR" w:eastAsia="fr-FR" w:bidi="fr-FR"/>
        </w:rPr>
        <w:t>, t. XXXVII, p. 27.</w:t>
      </w:r>
    </w:p>
  </w:footnote>
  <w:footnote w:id="166">
    <w:p w14:paraId="1A665CE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65ptNonGrasPetitesmajuscules"/>
          <w:b w:val="0"/>
          <w:bCs w:val="0"/>
          <w:sz w:val="24"/>
        </w:rPr>
        <w:t xml:space="preserve">Duhamel, </w:t>
      </w:r>
      <w:r w:rsidRPr="003B3476">
        <w:rPr>
          <w:bCs/>
          <w:i/>
        </w:rPr>
        <w:t>Éléments</w:t>
      </w:r>
      <w:r w:rsidRPr="003B3476">
        <w:rPr>
          <w:lang w:val="fr-FR" w:eastAsia="fr-FR" w:bidi="fr-FR"/>
        </w:rPr>
        <w:t>, Livre XII, art. m ;</w:t>
      </w:r>
      <w:r w:rsidRPr="003B3476">
        <w:rPr>
          <w:rStyle w:val="Notedebasdepage65ptNonGrasPetitesmajuscules"/>
          <w:b w:val="0"/>
          <w:bCs w:val="0"/>
          <w:sz w:val="24"/>
        </w:rPr>
        <w:t xml:space="preserve"> Dorival, </w:t>
      </w:r>
      <w:r w:rsidRPr="003B3476">
        <w:rPr>
          <w:lang w:val="fr-FR" w:eastAsia="fr-FR" w:bidi="fr-FR"/>
        </w:rPr>
        <w:t>p. 15 ; le Président Musac, Meurthe-et-Moselle, C 320. Pour la Bourgogne, ci-dessous, p. 630.</w:t>
      </w:r>
    </w:p>
  </w:footnote>
  <w:footnote w:id="167">
    <w:p w14:paraId="64066B6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Une première rédaction, assez longue et qui, notamment, interdisait aux mo</w:t>
      </w:r>
      <w:r w:rsidRPr="003B3476">
        <w:rPr>
          <w:lang w:val="fr-FR" w:eastAsia="fr-FR" w:bidi="fr-FR"/>
        </w:rPr>
        <w:t>u</w:t>
      </w:r>
      <w:r w:rsidRPr="003B3476">
        <w:rPr>
          <w:lang w:val="fr-FR" w:eastAsia="fr-FR" w:bidi="fr-FR"/>
        </w:rPr>
        <w:t>tons toutes les prairies artificielles avait d’abord été établie (H 1486, n° 302). On adopta finalement un texte beaucoup plus concis, dont on trouvera trois minutes dans ce même dossier, n</w:t>
      </w:r>
      <w:r w:rsidRPr="003B3476">
        <w:rPr>
          <w:vertAlign w:val="superscript"/>
          <w:lang w:val="fr-FR" w:eastAsia="fr-FR" w:bidi="fr-FR"/>
        </w:rPr>
        <w:t>os</w:t>
      </w:r>
      <w:r w:rsidRPr="003B3476">
        <w:rPr>
          <w:lang w:val="fr-FR" w:eastAsia="fr-FR" w:bidi="fr-FR"/>
        </w:rPr>
        <w:t xml:space="preserve"> 288, 274, 290 et plusieurs expéditions dans les Archives Départementales.</w:t>
      </w:r>
    </w:p>
  </w:footnote>
  <w:footnote w:id="168">
    <w:p w14:paraId="6553EA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Quelques-uns négligèrent de le faire : c’est ainsi que la Société de Bourges, dont nous possédons, pour la période 1762-1772, le registre des délibérations (Cher, C 314), visiblement ne pas fut consultée.</w:t>
      </w:r>
    </w:p>
  </w:footnote>
  <w:footnote w:id="169">
    <w:p w14:paraId="5F654DC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la fin du Comité, lettre de Bertin du 31 mai 1769, H 173, n° 15.</w:t>
      </w:r>
    </w:p>
  </w:footnote>
  <w:footnote w:id="170">
    <w:p w14:paraId="4C6618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Voir à ce sujet, outre la lettre de Parent, citée plus haut, p. 612, n. 3, des textes curieux H 1505, n° 106 (Alençon), H 1508, n</w:t>
      </w:r>
      <w:r w:rsidRPr="003B3476">
        <w:rPr>
          <w:vertAlign w:val="superscript"/>
          <w:lang w:val="fr-FR" w:eastAsia="fr-FR" w:bidi="fr-FR"/>
        </w:rPr>
        <w:t>os</w:t>
      </w:r>
      <w:r w:rsidRPr="003B3476">
        <w:rPr>
          <w:lang w:val="fr-FR" w:eastAsia="fr-FR" w:bidi="fr-FR"/>
        </w:rPr>
        <w:t xml:space="preserve"> 8 et suiv. (Auch).</w:t>
      </w:r>
    </w:p>
  </w:footnote>
  <w:footnote w:id="171">
    <w:p w14:paraId="03D033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correspondance échangée entre Bertin, Laverdy, d’Ormesson et Trudaine, au sujet de l’ordonnance sur les défrichements, du 13 avril 1766 — qui, il est vrai, comportant exemption d’impôts, intéressait forcément l’administration des finances — révèle une grande confusion d’attributions : H 1512.</w:t>
      </w:r>
    </w:p>
  </w:footnote>
  <w:footnote w:id="172">
    <w:p w14:paraId="65538B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173, n° 15.</w:t>
      </w:r>
    </w:p>
  </w:footnote>
  <w:footnote w:id="173">
    <w:p w14:paraId="51296E2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Bibl. Nat., Joly de Fleury 438, fol. 25 (31 mars 1769).</w:t>
      </w:r>
    </w:p>
  </w:footnote>
  <w:footnote w:id="174">
    <w:p w14:paraId="3D72E7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administrations locales, mal au courant de ces conflits ministériels, se trompaient parfois d’adresse dans leurs communications. Le 16 mars 1769, Calonne, intendant de Metz, considérait encore Bertin comme ayant les clôt</w:t>
      </w:r>
      <w:r w:rsidRPr="003B3476">
        <w:rPr>
          <w:lang w:val="fr-FR" w:eastAsia="fr-FR" w:bidi="fr-FR"/>
        </w:rPr>
        <w:t>u</w:t>
      </w:r>
      <w:r w:rsidRPr="003B3476">
        <w:rPr>
          <w:lang w:val="fr-FR" w:eastAsia="fr-FR" w:bidi="fr-FR"/>
        </w:rPr>
        <w:t>res dans son département (lettre à d’Ormesson, H 1515, n° 110).</w:t>
      </w:r>
    </w:p>
  </w:footnote>
  <w:footnote w:id="175">
    <w:p w14:paraId="7C34121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 de Pujoley d’Ogny à Mesnard de Conichard (18 mai 1769) ; note de service prescrivant d’écrire à Bertin ; lettre de Bertin à d’Invau (31 mai 1769) ; lettre du même au même (19 avril 1770) ; mémoire de Bertin sur le projet d’édit : H 173, n</w:t>
      </w:r>
      <w:r w:rsidRPr="003B3476">
        <w:rPr>
          <w:vertAlign w:val="superscript"/>
          <w:lang w:val="fr-FR" w:eastAsia="fr-FR" w:bidi="fr-FR"/>
        </w:rPr>
        <w:t>os</w:t>
      </w:r>
      <w:r w:rsidRPr="003B3476">
        <w:rPr>
          <w:lang w:val="fr-FR" w:eastAsia="fr-FR" w:bidi="fr-FR"/>
        </w:rPr>
        <w:t xml:space="preserve"> 18,17,15, 40, 9.</w:t>
      </w:r>
    </w:p>
  </w:footnote>
  <w:footnote w:id="176">
    <w:p w14:paraId="74A7F6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Voir ce qui sera dit, dans la deuxième partie de ce travail, à propos de l’attitude des magistrats.</w:t>
      </w:r>
    </w:p>
  </w:footnote>
  <w:footnote w:id="177">
    <w:p w14:paraId="6AB77B8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Lettres de Bertin au Contrôleur Général ; mémoire de d’Ormesson (oct. 1771) ; projet de rapport au roi, rédigé probablement en 1779 par d’Ailly, avec historique (« L’exécution des loix rendues pour encourager les dess</w:t>
      </w:r>
      <w:r w:rsidRPr="003B3476">
        <w:rPr>
          <w:lang w:val="fr-FR" w:eastAsia="fr-FR" w:bidi="fr-FR"/>
        </w:rPr>
        <w:t>é</w:t>
      </w:r>
      <w:r w:rsidRPr="003B3476">
        <w:rPr>
          <w:lang w:val="fr-FR" w:eastAsia="fr-FR" w:bidi="fr-FR"/>
        </w:rPr>
        <w:t xml:space="preserve">chemens et défrichemens, pour abolir le parcours et permettre le partage des communes a fait jusqu’au mois de décembre 1773 partie du département des finances. </w:t>
      </w:r>
      <w:r w:rsidRPr="003B3476">
        <w:rPr>
          <w:bCs/>
        </w:rPr>
        <w:t xml:space="preserve">M. </w:t>
      </w:r>
      <w:r w:rsidRPr="003B3476">
        <w:rPr>
          <w:lang w:val="fr-FR" w:eastAsia="fr-FR" w:bidi="fr-FR"/>
        </w:rPr>
        <w:t>Bertin avait désiré en 1771 de réunir ces difïérens objets au sien ; mais il s’étoit rendu aux réflexions qu’on lui présenta alors pour le convaincre de la nécessité de ne rien changer à l’état des choses ») : H 1495, n</w:t>
      </w:r>
      <w:r w:rsidRPr="003B3476">
        <w:rPr>
          <w:vertAlign w:val="superscript"/>
          <w:lang w:val="fr-FR" w:eastAsia="fr-FR" w:bidi="fr-FR"/>
        </w:rPr>
        <w:t>os</w:t>
      </w:r>
      <w:r w:rsidRPr="003B3476">
        <w:rPr>
          <w:lang w:val="fr-FR" w:eastAsia="fr-FR" w:bidi="fr-FR"/>
        </w:rPr>
        <w:t xml:space="preserve"> 65, 58, 56. On trouvera aussi des détails sur le conflit dans un mémoire (relatif à la Lorraine) de juin 1781 : H 1515, n° 64.</w:t>
      </w:r>
    </w:p>
  </w:footnote>
  <w:footnote w:id="178">
    <w:p w14:paraId="1C0B60E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Mémoire protestant contre les tentatives de Bertin pour se faire rendre le d</w:t>
      </w:r>
      <w:r w:rsidRPr="003B3476">
        <w:rPr>
          <w:lang w:val="fr-FR" w:eastAsia="fr-FR" w:bidi="fr-FR"/>
        </w:rPr>
        <w:t>é</w:t>
      </w:r>
      <w:r w:rsidRPr="003B3476">
        <w:rPr>
          <w:lang w:val="fr-FR" w:eastAsia="fr-FR" w:bidi="fr-FR"/>
        </w:rPr>
        <w:t>partement de l’agriculture (oct. 1771) : H 1495, n° 58. Sur la part prise par d’Ormesson à la préparation de l’édit sur le partage des communaux en Bou</w:t>
      </w:r>
      <w:r w:rsidRPr="003B3476">
        <w:rPr>
          <w:lang w:val="fr-FR" w:eastAsia="fr-FR" w:bidi="fr-FR"/>
        </w:rPr>
        <w:t>r</w:t>
      </w:r>
      <w:r w:rsidRPr="003B3476">
        <w:rPr>
          <w:lang w:val="fr-FR" w:eastAsia="fr-FR" w:bidi="fr-FR"/>
        </w:rPr>
        <w:t xml:space="preserve">gogne, </w:t>
      </w:r>
      <w:r w:rsidRPr="003B3476">
        <w:rPr>
          <w:bCs/>
          <w:i/>
        </w:rPr>
        <w:t>cf.</w:t>
      </w:r>
      <w:r w:rsidRPr="003B3476">
        <w:rPr>
          <w:lang w:val="fr-FR" w:eastAsia="fr-FR" w:bidi="fr-FR"/>
        </w:rPr>
        <w:t xml:space="preserve"> E. </w:t>
      </w:r>
      <w:r w:rsidRPr="003B3476">
        <w:rPr>
          <w:rStyle w:val="Notedebasdepage65ptNonGrasPetitesmajuscules"/>
          <w:b w:val="0"/>
          <w:bCs w:val="0"/>
          <w:sz w:val="24"/>
        </w:rPr>
        <w:t xml:space="preserve">Patoz, </w:t>
      </w:r>
      <w:r w:rsidRPr="003B3476">
        <w:rPr>
          <w:lang w:val="fr-FR" w:eastAsia="fr-FR" w:bidi="fr-FR"/>
        </w:rPr>
        <w:t xml:space="preserve">dans </w:t>
      </w:r>
      <w:r w:rsidRPr="003B3476">
        <w:rPr>
          <w:bCs/>
          <w:i/>
        </w:rPr>
        <w:t>Bulletin de la Soc. des sciences historiques... de Semur</w:t>
      </w:r>
      <w:r w:rsidRPr="003B3476">
        <w:rPr>
          <w:lang w:val="fr-FR" w:eastAsia="fr-FR" w:bidi="fr-FR"/>
        </w:rPr>
        <w:t xml:space="preserve">, t. XXXVI, 1908-1909, p. 99. L’histoire des démêlés de Bertin avec les bureaux du Contrôleur Général est généralement passée inaperçue ; elle a pourtant été entrevue par L. </w:t>
      </w:r>
      <w:r w:rsidRPr="003B3476">
        <w:rPr>
          <w:rStyle w:val="Notedebasdepage65ptNonGrasPetitesmajuscules"/>
          <w:b w:val="0"/>
          <w:bCs w:val="0"/>
          <w:sz w:val="24"/>
        </w:rPr>
        <w:t xml:space="preserve">Herpin, </w:t>
      </w:r>
      <w:r w:rsidRPr="003B3476">
        <w:rPr>
          <w:bCs/>
          <w:i/>
        </w:rPr>
        <w:t>La propriété et la gestion des comm</w:t>
      </w:r>
      <w:r w:rsidRPr="003B3476">
        <w:rPr>
          <w:bCs/>
          <w:i/>
        </w:rPr>
        <w:t>u</w:t>
      </w:r>
      <w:r w:rsidRPr="003B3476">
        <w:rPr>
          <w:bCs/>
          <w:i/>
        </w:rPr>
        <w:t>naux de Pouilly à la fin de l’ancien régime</w:t>
      </w:r>
      <w:r w:rsidRPr="003B3476">
        <w:rPr>
          <w:lang w:val="fr-FR" w:eastAsia="fr-FR" w:bidi="fr-FR"/>
        </w:rPr>
        <w:t>, 1911.</w:t>
      </w:r>
    </w:p>
  </w:footnote>
  <w:footnote w:id="179">
    <w:p w14:paraId="7B9277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w:t>
      </w:r>
      <w:r w:rsidRPr="003B3476">
        <w:rPr>
          <w:rStyle w:val="Notedebasdepage65ptNonGrasPetitesmajuscules"/>
          <w:b w:val="0"/>
          <w:bCs w:val="0"/>
          <w:sz w:val="24"/>
        </w:rPr>
        <w:t xml:space="preserve">Moréri, </w:t>
      </w:r>
      <w:r w:rsidRPr="003B3476">
        <w:rPr>
          <w:lang w:val="fr-FR" w:eastAsia="fr-FR" w:bidi="fr-FR"/>
        </w:rPr>
        <w:t xml:space="preserve">éd. de 1769, t. V, p. 130 et </w:t>
      </w:r>
      <w:r w:rsidRPr="003B3476">
        <w:rPr>
          <w:bCs/>
          <w:i/>
        </w:rPr>
        <w:t>Nouvelle Biographie Générale</w:t>
      </w:r>
      <w:r w:rsidRPr="003B3476">
        <w:rPr>
          <w:lang w:val="fr-FR" w:eastAsia="fr-FR" w:bidi="fr-FR"/>
        </w:rPr>
        <w:t xml:space="preserve">, t. XXXVIII, p. 851 (dans ce dernier article, une erreur : le Contrôleur Général de Louis XVI fut, en réalité, le fils de notre d’Ormesson). Appréciations d’un ennemi : Gabriel </w:t>
      </w:r>
      <w:r w:rsidRPr="003B3476">
        <w:rPr>
          <w:rStyle w:val="Notedebasdepage65ptNonGrasPetitesmajuscules"/>
          <w:b w:val="0"/>
          <w:bCs w:val="0"/>
          <w:sz w:val="24"/>
        </w:rPr>
        <w:t xml:space="preserve">Fleury, </w:t>
      </w:r>
      <w:r w:rsidRPr="003B3476">
        <w:rPr>
          <w:bCs/>
          <w:i/>
        </w:rPr>
        <w:t>François Véron de Forbonnais</w:t>
      </w:r>
      <w:r w:rsidRPr="003B3476">
        <w:rPr>
          <w:lang w:val="fr-FR" w:eastAsia="fr-FR" w:bidi="fr-FR"/>
        </w:rPr>
        <w:t>, 1915, p. 82 et 85. L’intendant des finances d’Ormesson qui, en 1735, suivait l’affaire des vignes du Béarn, dont il sera fait mention plus loin (Basses-Pyrénées, C 1442), était le père du nôtre, Henri-François.</w:t>
      </w:r>
    </w:p>
  </w:footnote>
  <w:footnote w:id="180">
    <w:p w14:paraId="3D072E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Même ton dans la circulaire du 28 juillet 1764 ; </w:t>
      </w:r>
      <w:r w:rsidRPr="003B3476">
        <w:rPr>
          <w:bCs/>
          <w:i/>
        </w:rPr>
        <w:t>cf.</w:t>
      </w:r>
      <w:r w:rsidRPr="003B3476">
        <w:rPr>
          <w:lang w:val="fr-FR" w:eastAsia="fr-FR" w:bidi="fr-FR"/>
        </w:rPr>
        <w:t xml:space="preserve"> aussi la lettre à Éthis, citée dans la seconde partie du présent travail.</w:t>
      </w:r>
    </w:p>
  </w:footnote>
  <w:footnote w:id="181">
    <w:p w14:paraId="5782481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Bibl. Nat., Joly de Fleury, 1131, fol. 25 (1765,11 nov.). Je dois communic</w:t>
      </w:r>
      <w:r w:rsidRPr="003B3476">
        <w:rPr>
          <w:lang w:val="fr-FR" w:eastAsia="fr-FR" w:bidi="fr-FR"/>
        </w:rPr>
        <w:t>a</w:t>
      </w:r>
      <w:r w:rsidRPr="003B3476">
        <w:rPr>
          <w:lang w:val="fr-FR" w:eastAsia="fr-FR" w:bidi="fr-FR"/>
        </w:rPr>
        <w:t>tion de ce texte, tout entier fort curieux, à l’obligeance de M. Léon Cahen.</w:t>
      </w:r>
    </w:p>
  </w:footnote>
  <w:footnote w:id="182">
    <w:p w14:paraId="3C145D7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 Sée paraît avoir confondu cette enquête avec celle de 1766, ce qu’explique le prodigieux désordre des cartons en provenance du Contrôle Général. En 1768, les intendants de Bayonne, Metz et Nancy, dont les généralités avaient déjà reçu des édits de clôture, et celui de Besançon, sur le point d’en obtenir un, ne furent pas consultés : </w:t>
      </w:r>
      <w:r w:rsidRPr="003B3476">
        <w:rPr>
          <w:i/>
          <w:lang w:val="fr-FR" w:eastAsia="fr-FR" w:bidi="fr-FR"/>
        </w:rPr>
        <w:t>cf.</w:t>
      </w:r>
      <w:r w:rsidRPr="003B3476">
        <w:rPr>
          <w:lang w:val="fr-FR" w:eastAsia="fr-FR" w:bidi="fr-FR"/>
        </w:rPr>
        <w:t xml:space="preserve"> la liste en marge de la minute de la circulaire, H 1486, n° 7.</w:t>
      </w:r>
    </w:p>
  </w:footnote>
  <w:footnote w:id="183">
    <w:p w14:paraId="74537B0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 exemple, en Béarn, d’Étigny, hostile aux édits, était remplacé par d’Aine, qui leur était favorable ; de même à Metz, Bernaige, également mal disposé, par Calonne, fort enthousiaste pour la politique nouvelle (lettre de Calonne, H 1515, n° 110).</w:t>
      </w:r>
    </w:p>
  </w:footnote>
  <w:footnote w:id="184">
    <w:p w14:paraId="41A35D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Subdélégués de Doullens, 2 août ; de Séez, 27 juillet ; Procureur Général de Rouen, 22 oct.</w:t>
      </w:r>
    </w:p>
  </w:footnote>
  <w:footnote w:id="185">
    <w:p w14:paraId="333DA3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Belbeuf reproduit presque textuellement les observations de la Société d’Agriculture de Rouen (H 1507, n° 235). Même son de cloche dans la répo</w:t>
      </w:r>
      <w:r w:rsidRPr="003B3476">
        <w:rPr>
          <w:lang w:val="fr-FR" w:eastAsia="fr-FR" w:bidi="fr-FR"/>
        </w:rPr>
        <w:t>n</w:t>
      </w:r>
      <w:r w:rsidRPr="003B3476">
        <w:rPr>
          <w:lang w:val="fr-FR" w:eastAsia="fr-FR" w:bidi="fr-FR"/>
        </w:rPr>
        <w:t xml:space="preserve">se du Procureur Général de Toulouse, qui laisse, en outre, transparaître une des raisons de l’hostilité manifestée par ces magistrats aux « loix générales » ; « il semble qu’il est plus convenable de laisser à chaque pays ses usages </w:t>
      </w:r>
      <w:r w:rsidRPr="003B3476">
        <w:rPr>
          <w:bCs/>
        </w:rPr>
        <w:t xml:space="preserve">et </w:t>
      </w:r>
      <w:r w:rsidRPr="003B3476">
        <w:rPr>
          <w:bCs/>
          <w:i/>
        </w:rPr>
        <w:t>le soin de se faire régler par le Parlement dont il ressort</w:t>
      </w:r>
      <w:r w:rsidRPr="003B3476">
        <w:rPr>
          <w:lang w:val="fr-FR" w:eastAsia="fr-FR" w:bidi="fr-FR"/>
        </w:rPr>
        <w:t>, plus à portée de connaître les interests du pays et de leur donner des règlements adaptés aux lieux et aux circonstances ».</w:t>
      </w:r>
    </w:p>
  </w:footnote>
  <w:footnote w:id="186">
    <w:p w14:paraId="5EA860B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Pour déjouer tout calcul de cette sorte, la Cour souveraine de Nancy, le 4 avril 1770, voyant que le parcours aboli dans les pays voisins subsistait en Lorraine et d’ailleurs fermement résolue à l’y maintenir, défendit aux communautés des Trois-Évêchés, de la Champagne et de la partie du Barrois dépendant du Pa</w:t>
      </w:r>
      <w:r w:rsidRPr="003B3476">
        <w:rPr>
          <w:lang w:val="fr-FR" w:eastAsia="fr-FR" w:bidi="fr-FR"/>
        </w:rPr>
        <w:t>r</w:t>
      </w:r>
      <w:r w:rsidRPr="003B3476">
        <w:rPr>
          <w:lang w:val="fr-FR" w:eastAsia="fr-FR" w:bidi="fr-FR"/>
        </w:rPr>
        <w:t>lement de Paris l’exercice du pâturage sur son ressort (H 1486, n° 158, p. 19). Mais cette mesure hardie, qui lésait les droits coutumiers de communautés étrangères au ressort, était-elle pleinement légale ? La réserve même introdu</w:t>
      </w:r>
      <w:r w:rsidRPr="003B3476">
        <w:rPr>
          <w:lang w:val="fr-FR" w:eastAsia="fr-FR" w:bidi="fr-FR"/>
        </w:rPr>
        <w:t>i</w:t>
      </w:r>
      <w:r w:rsidRPr="003B3476">
        <w:rPr>
          <w:lang w:val="fr-FR" w:eastAsia="fr-FR" w:bidi="fr-FR"/>
        </w:rPr>
        <w:t xml:space="preserve">te dans l’arrêt « jusqu’à ce qu’il pleut au Roy faire connoître ses intentions à cet égard » prouve qu’on n’en était pas très sûr. </w:t>
      </w:r>
      <w:r w:rsidRPr="003B3476">
        <w:rPr>
          <w:bCs/>
          <w:i/>
        </w:rPr>
        <w:t>Cf.</w:t>
      </w:r>
      <w:r w:rsidRPr="003B3476">
        <w:rPr>
          <w:lang w:val="fr-FR" w:eastAsia="fr-FR" w:bidi="fr-FR"/>
        </w:rPr>
        <w:t> également ci-dessous sur le même problème, p. 631, n. 6.</w:t>
      </w:r>
    </w:p>
  </w:footnote>
  <w:footnote w:id="187">
    <w:p w14:paraId="7C930EA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Cette politique est exposée dans une note de service (postérieure au mois de février 1770, antérieure au mois d’août) qui constate l’abandon du projet de « loi générale » pour tout le ressort du Parlement de Paris : « On est donc po</w:t>
      </w:r>
      <w:r w:rsidRPr="003B3476">
        <w:rPr>
          <w:lang w:val="fr-FR" w:eastAsia="fr-FR" w:bidi="fr-FR"/>
        </w:rPr>
        <w:t>r</w:t>
      </w:r>
      <w:r w:rsidRPr="003B3476">
        <w:rPr>
          <w:lang w:val="fr-FR" w:eastAsia="fr-FR" w:bidi="fr-FR"/>
        </w:rPr>
        <w:t>té à penser qu’il ne conviendroit pas de faire une loi pour toutes les provinces du ressort, mais pour une seule qu’on choisiroit parmi celles qui sont limitr</w:t>
      </w:r>
      <w:r w:rsidRPr="003B3476">
        <w:rPr>
          <w:lang w:val="fr-FR" w:eastAsia="fr-FR" w:bidi="fr-FR"/>
        </w:rPr>
        <w:t>o</w:t>
      </w:r>
      <w:r w:rsidRPr="003B3476">
        <w:rPr>
          <w:lang w:val="fr-FR" w:eastAsia="fr-FR" w:bidi="fr-FR"/>
        </w:rPr>
        <w:t>phes de la Champagne. Lorsqu’elle seroit rédigée, on la feroit passer à M. le Garde des Sceaux qui l’adresseroit au Parlement. Si cette cour l’enregistroit sans difficultés, on s’occuperoit ensuite de toutes les autres provinces succe</w:t>
      </w:r>
      <w:r w:rsidRPr="003B3476">
        <w:rPr>
          <w:lang w:val="fr-FR" w:eastAsia="fr-FR" w:bidi="fr-FR"/>
        </w:rPr>
        <w:t>s</w:t>
      </w:r>
      <w:r w:rsidRPr="003B3476">
        <w:rPr>
          <w:lang w:val="fr-FR" w:eastAsia="fr-FR" w:bidi="fr-FR"/>
        </w:rPr>
        <w:t>sivement... » : H 1485, n° 195.</w:t>
      </w:r>
    </w:p>
  </w:footnote>
  <w:footnote w:id="188">
    <w:p w14:paraId="30A5925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 de Terray à l’intendant de Bordeaux, 15 avril 1772 : « L’on étoit alors [en 1768] dans l’intention de rendre une loi générale pour abolir dans tout le royaume le parcours et la vaine pâture..., mais la diversité des coutumes et usages suivis dans cette matière aiant obligé de donner autant de lois partic</w:t>
      </w:r>
      <w:r w:rsidRPr="003B3476">
        <w:rPr>
          <w:lang w:val="fr-FR" w:eastAsia="fr-FR" w:bidi="fr-FR"/>
        </w:rPr>
        <w:t>u</w:t>
      </w:r>
      <w:r w:rsidRPr="003B3476">
        <w:rPr>
          <w:lang w:val="fr-FR" w:eastAsia="fr-FR" w:bidi="fr-FR"/>
        </w:rPr>
        <w:t>lières pour les différentes provinces où le parcours et la vaine pâture exi</w:t>
      </w:r>
      <w:r w:rsidRPr="003B3476">
        <w:rPr>
          <w:lang w:val="fr-FR" w:eastAsia="fr-FR" w:bidi="fr-FR"/>
        </w:rPr>
        <w:t>s</w:t>
      </w:r>
      <w:r w:rsidRPr="003B3476">
        <w:rPr>
          <w:lang w:val="fr-FR" w:eastAsia="fr-FR" w:bidi="fr-FR"/>
        </w:rPr>
        <w:t>toient, l’on a perdu de vue celle de Guyenne » : Gironde, C 61.</w:t>
      </w:r>
    </w:p>
  </w:footnote>
  <w:footnote w:id="189">
    <w:p w14:paraId="5AEB77C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1515, n° 95. Le dossier essentiel dans H 1486. Quelques pièces analysées dans un </w:t>
      </w:r>
      <w:r w:rsidRPr="003B3476">
        <w:rPr>
          <w:rStyle w:val="Notedebasdepage65ptItalique"/>
          <w:b w:val="0"/>
          <w:sz w:val="24"/>
        </w:rPr>
        <w:t>Mémoire sur les avantages et les inconvénients... :</w:t>
      </w:r>
      <w:r w:rsidRPr="003B3476">
        <w:rPr>
          <w:lang w:val="fr-FR" w:eastAsia="fr-FR" w:bidi="fr-FR"/>
        </w:rPr>
        <w:t xml:space="preserve"> Nord, C Hainaut, 695 </w:t>
      </w:r>
      <w:r w:rsidRPr="003B3476">
        <w:rPr>
          <w:rStyle w:val="Notedebasdepage65ptItalique"/>
          <w:b w:val="0"/>
          <w:sz w:val="24"/>
        </w:rPr>
        <w:t>bis.</w:t>
      </w:r>
    </w:p>
  </w:footnote>
  <w:footnote w:id="190">
    <w:p w14:paraId="16600B2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parlementaires raillaient les goûts agronomiques de l’intendant La Gala</w:t>
      </w:r>
      <w:r w:rsidRPr="003B3476">
        <w:rPr>
          <w:lang w:val="fr-FR" w:eastAsia="fr-FR" w:bidi="fr-FR"/>
        </w:rPr>
        <w:t>i</w:t>
      </w:r>
      <w:r w:rsidRPr="003B3476">
        <w:rPr>
          <w:lang w:val="fr-FR" w:eastAsia="fr-FR" w:bidi="fr-FR"/>
        </w:rPr>
        <w:t>zière : voir la lettre du comte de Raigecourt à Bertin, 15 sept. 1777, H 1486, n° 145. La Galaizière ripostait en accusant l’ignorance des magistrats. Un mémoire composé dans ses bureaux disait : « on ne mettra jamais au nombre des gens éclairés en agriculture et en vues générales d’administration du Royaume Nos Seigneurs du Parlement » : Meurthe-et-Moselle, C 320.</w:t>
      </w:r>
    </w:p>
  </w:footnote>
  <w:footnote w:id="191">
    <w:p w14:paraId="7D97BD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Délibération du 13 juillet 1771 : H 1486, n° 117.</w:t>
      </w:r>
    </w:p>
  </w:footnote>
  <w:footnote w:id="192">
    <w:p w14:paraId="413C107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Mémoire du conseiller Rogéville, 19 sept. 1785 : Meurthe-et-Moselle, C 320.</w:t>
      </w:r>
    </w:p>
  </w:footnote>
  <w:footnote w:id="193">
    <w:p w14:paraId="385135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Dossiers conservés, H 1486 et Meurthe-et-Moselle, C 320. Voir aussi les </w:t>
      </w:r>
      <w:r w:rsidRPr="003B3476">
        <w:rPr>
          <w:rStyle w:val="Notedebasdepage65ptItalique"/>
          <w:b w:val="0"/>
          <w:sz w:val="24"/>
        </w:rPr>
        <w:t>O</w:t>
      </w:r>
      <w:r w:rsidRPr="003B3476">
        <w:rPr>
          <w:rStyle w:val="Notedebasdepage65ptItalique"/>
          <w:b w:val="0"/>
          <w:sz w:val="24"/>
        </w:rPr>
        <w:t>b</w:t>
      </w:r>
      <w:r w:rsidRPr="003B3476">
        <w:rPr>
          <w:rStyle w:val="Notedebasdepage65ptItalique"/>
          <w:b w:val="0"/>
          <w:sz w:val="24"/>
        </w:rPr>
        <w:t>serv</w:t>
      </w:r>
      <w:r w:rsidRPr="003B3476">
        <w:rPr>
          <w:rStyle w:val="Notedebasdepage65ptItalique"/>
          <w:b w:val="0"/>
          <w:sz w:val="24"/>
        </w:rPr>
        <w:t>a</w:t>
      </w:r>
      <w:r w:rsidRPr="003B3476">
        <w:rPr>
          <w:rStyle w:val="Notedebasdepage65ptItalique"/>
          <w:b w:val="0"/>
          <w:sz w:val="24"/>
        </w:rPr>
        <w:t>tions sur l’édit de suppression du parcours</w:t>
      </w:r>
      <w:r w:rsidRPr="003B3476">
        <w:rPr>
          <w:lang w:val="fr-FR" w:eastAsia="fr-FR" w:bidi="fr-FR"/>
        </w:rPr>
        <w:t>, Bibl. de Nancy, ms. 1218, dont s’est visiblement in</w:t>
      </w:r>
      <w:r w:rsidRPr="003B3476">
        <w:rPr>
          <w:lang w:val="fr-FR" w:eastAsia="fr-FR" w:bidi="fr-FR"/>
        </w:rPr>
        <w:t>s</w:t>
      </w:r>
      <w:r w:rsidRPr="003B3476">
        <w:rPr>
          <w:lang w:val="fr-FR" w:eastAsia="fr-FR" w:bidi="fr-FR"/>
        </w:rPr>
        <w:t xml:space="preserve">piré le grand mémoire de la Cour, H 1486, n° 158, œuvre, selon </w:t>
      </w:r>
      <w:r w:rsidRPr="003B3476">
        <w:rPr>
          <w:rStyle w:val="Notedebasdepage65ptNonGras"/>
          <w:b w:val="0"/>
          <w:bCs w:val="0"/>
          <w:smallCaps/>
          <w:sz w:val="24"/>
        </w:rPr>
        <w:t>Krug-Basse</w:t>
      </w:r>
      <w:r w:rsidRPr="003B3476">
        <w:rPr>
          <w:rStyle w:val="Notedebasdepage65ptNonGras"/>
          <w:b w:val="0"/>
          <w:bCs w:val="0"/>
          <w:sz w:val="24"/>
        </w:rPr>
        <w:t xml:space="preserve">, </w:t>
      </w:r>
      <w:r w:rsidRPr="003B3476">
        <w:rPr>
          <w:rStyle w:val="Notedebasdepage65ptItalique"/>
          <w:b w:val="0"/>
          <w:sz w:val="24"/>
        </w:rPr>
        <w:t>Histoire du Parlement de Lorraine et Barrois</w:t>
      </w:r>
      <w:r w:rsidRPr="003B3476">
        <w:rPr>
          <w:lang w:val="fr-FR" w:eastAsia="fr-FR" w:bidi="fr-FR"/>
        </w:rPr>
        <w:t xml:space="preserve">, p. 310, du conseiller Millet de Chevers. Il semble ressortir des </w:t>
      </w:r>
      <w:r w:rsidRPr="003B3476">
        <w:rPr>
          <w:rStyle w:val="Notedebasdepage65ptItalique"/>
          <w:b w:val="0"/>
          <w:sz w:val="24"/>
        </w:rPr>
        <w:t xml:space="preserve">Observations </w:t>
      </w:r>
      <w:r w:rsidRPr="003B3476">
        <w:rPr>
          <w:lang w:val="fr-FR" w:eastAsia="fr-FR" w:bidi="fr-FR"/>
        </w:rPr>
        <w:t>(c. 77) que les réponses des bailliages avaient été de sens assez d</w:t>
      </w:r>
      <w:r w:rsidRPr="003B3476">
        <w:rPr>
          <w:lang w:val="fr-FR" w:eastAsia="fr-FR" w:bidi="fr-FR"/>
        </w:rPr>
        <w:t>i</w:t>
      </w:r>
      <w:r w:rsidRPr="003B3476">
        <w:rPr>
          <w:lang w:val="fr-FR" w:eastAsia="fr-FR" w:bidi="fr-FR"/>
        </w:rPr>
        <w:t>vers.</w:t>
      </w:r>
    </w:p>
  </w:footnote>
  <w:footnote w:id="194">
    <w:p w14:paraId="1E7C2C6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1486, n</w:t>
      </w:r>
      <w:r w:rsidRPr="003B3476">
        <w:rPr>
          <w:vertAlign w:val="superscript"/>
          <w:lang w:val="fr-FR" w:eastAsia="fr-FR" w:bidi="fr-FR"/>
        </w:rPr>
        <w:t>os</w:t>
      </w:r>
      <w:r w:rsidRPr="003B3476">
        <w:rPr>
          <w:lang w:val="fr-FR" w:eastAsia="fr-FR" w:bidi="fr-FR"/>
        </w:rPr>
        <w:t xml:space="preserve"> 129, 130, 132, 138 ; lettre de l’intendant de la Porte, 4 mai 1781 : H 1515, n° 73.</w:t>
      </w:r>
    </w:p>
  </w:footnote>
  <w:footnote w:id="195">
    <w:p w14:paraId="1CC165E2" w14:textId="77777777" w:rsidR="00B9662D" w:rsidRPr="003B3476" w:rsidRDefault="00B9662D" w:rsidP="00B9662D">
      <w:pPr>
        <w:pStyle w:val="Notedebasdepage"/>
        <w:rPr>
          <w:i/>
          <w:lang w:val="fr-FR"/>
        </w:rPr>
      </w:pPr>
      <w:r w:rsidRPr="003B3476">
        <w:rPr>
          <w:rStyle w:val="Appelnotedebasdep"/>
        </w:rPr>
        <w:footnoteRef/>
      </w:r>
      <w:r w:rsidRPr="003B3476">
        <w:t xml:space="preserve"> </w:t>
      </w:r>
      <w:r w:rsidRPr="003B3476">
        <w:rPr>
          <w:lang w:val="fr-FR"/>
        </w:rPr>
        <w:tab/>
      </w:r>
      <w:r w:rsidRPr="003B3476">
        <w:rPr>
          <w:lang w:val="fr-FR" w:eastAsia="fr-FR" w:bidi="fr-FR"/>
        </w:rPr>
        <w:t>Trois « mémoires » fournissent à la fois sur l’économie béarnaise et sur l’affaire des clôtures, en Béarn, les renseignements essentiels : deux d’entre eux rédigés dans les bureaux de d’Ormesson, l’un, H 1515, n° 133, consacré tout entier au Béarn, l’autre, H 1486, n° 91, à l’abolition du parcours en gén</w:t>
      </w:r>
      <w:r w:rsidRPr="003B3476">
        <w:rPr>
          <w:lang w:val="fr-FR" w:eastAsia="fr-FR" w:bidi="fr-FR"/>
        </w:rPr>
        <w:t>é</w:t>
      </w:r>
      <w:r w:rsidRPr="003B3476">
        <w:rPr>
          <w:lang w:val="fr-FR" w:eastAsia="fr-FR" w:bidi="fr-FR"/>
        </w:rPr>
        <w:t>ral (sur le Béarn, p. 3 et suiv.) ; le troisième émanant du Parlement de Pau, Basses-Pyrénées, C 281. Utiles renseignements, également, dans J. </w:t>
      </w:r>
      <w:r w:rsidRPr="003B3476">
        <w:rPr>
          <w:rStyle w:val="Notedebasdepage65ptNonGras"/>
          <w:b w:val="0"/>
          <w:bCs w:val="0"/>
          <w:smallCaps/>
          <w:sz w:val="24"/>
        </w:rPr>
        <w:t>Lafond</w:t>
      </w:r>
      <w:r w:rsidRPr="003B3476">
        <w:rPr>
          <w:rStyle w:val="Notedebasdepage65ptNonGras"/>
          <w:b w:val="0"/>
          <w:bCs w:val="0"/>
          <w:sz w:val="24"/>
        </w:rPr>
        <w:t xml:space="preserve">, </w:t>
      </w:r>
      <w:r w:rsidRPr="003B3476">
        <w:rPr>
          <w:rStyle w:val="Notedebasdepage65ptItalique"/>
          <w:b w:val="0"/>
          <w:sz w:val="24"/>
        </w:rPr>
        <w:t xml:space="preserve">Essai sur le Béarn pendant l’administration de d’Étigny (1751-1767), </w:t>
      </w:r>
      <w:r w:rsidRPr="003B3476">
        <w:rPr>
          <w:rStyle w:val="Notedebasdepage65ptItalique"/>
          <w:b w:val="0"/>
          <w:i w:val="0"/>
          <w:sz w:val="24"/>
        </w:rPr>
        <w:t>dans le</w:t>
      </w:r>
      <w:r w:rsidRPr="003B3476">
        <w:rPr>
          <w:rStyle w:val="Notedebasdepage65ptItalique"/>
          <w:b w:val="0"/>
          <w:sz w:val="24"/>
        </w:rPr>
        <w:t xml:space="preserve"> Bulletin de la Société des Sciences, Lettres et Arts de Pau, </w:t>
      </w:r>
      <w:r w:rsidRPr="003B3476">
        <w:rPr>
          <w:rStyle w:val="Notedebasdepage65ptItalique"/>
          <w:b w:val="0"/>
          <w:i w:val="0"/>
          <w:sz w:val="24"/>
        </w:rPr>
        <w:t>2</w:t>
      </w:r>
      <w:r w:rsidRPr="003B3476">
        <w:rPr>
          <w:rStyle w:val="Notedebasdepage65ptItalique"/>
          <w:b w:val="0"/>
          <w:i w:val="0"/>
          <w:sz w:val="24"/>
          <w:vertAlign w:val="superscript"/>
        </w:rPr>
        <w:t>e</w:t>
      </w:r>
      <w:r w:rsidRPr="003B3476">
        <w:rPr>
          <w:rStyle w:val="Notedebasdepage65ptItalique"/>
          <w:b w:val="0"/>
          <w:i w:val="0"/>
          <w:sz w:val="24"/>
        </w:rPr>
        <w:t xml:space="preserve"> série, t. </w:t>
      </w:r>
      <w:r w:rsidRPr="003B3476">
        <w:rPr>
          <w:rStyle w:val="Notedebasdepage65ptItalique"/>
          <w:b w:val="0"/>
          <w:i w:val="0"/>
          <w:smallCaps/>
          <w:sz w:val="24"/>
        </w:rPr>
        <w:t>xxxvii</w:t>
      </w:r>
      <w:r w:rsidRPr="003B3476">
        <w:rPr>
          <w:rStyle w:val="Notedebasdepage65ptItalique"/>
          <w:b w:val="0"/>
          <w:i w:val="0"/>
          <w:sz w:val="24"/>
        </w:rPr>
        <w:t xml:space="preserve">, 1910 et dans les notes des </w:t>
      </w:r>
      <w:r w:rsidRPr="003B3476">
        <w:rPr>
          <w:rStyle w:val="Notedebasdepage65ptItalique"/>
          <w:b w:val="0"/>
          <w:sz w:val="24"/>
        </w:rPr>
        <w:t xml:space="preserve"> Cahiers de griefs rédigés par les communautés de Béarn en 1789</w:t>
      </w:r>
      <w:r w:rsidRPr="003B3476">
        <w:rPr>
          <w:rStyle w:val="Notedebasdepage65ptItalique"/>
          <w:b w:val="0"/>
          <w:i w:val="0"/>
          <w:sz w:val="24"/>
        </w:rPr>
        <w:t xml:space="preserve">, même </w:t>
      </w:r>
      <w:r w:rsidRPr="003B3476">
        <w:rPr>
          <w:rStyle w:val="Notedebasdepage65ptItalique"/>
          <w:b w:val="0"/>
          <w:sz w:val="24"/>
        </w:rPr>
        <w:t>Bulletin</w:t>
      </w:r>
      <w:r w:rsidRPr="003B3476">
        <w:rPr>
          <w:rStyle w:val="Notedebasdepage65ptItalique"/>
          <w:b w:val="0"/>
          <w:i w:val="0"/>
          <w:sz w:val="24"/>
        </w:rPr>
        <w:t>, 2</w:t>
      </w:r>
      <w:r w:rsidRPr="003B3476">
        <w:rPr>
          <w:rStyle w:val="Notedebasdepage65ptItalique"/>
          <w:b w:val="0"/>
          <w:i w:val="0"/>
          <w:sz w:val="24"/>
          <w:vertAlign w:val="superscript"/>
        </w:rPr>
        <w:t xml:space="preserve">e </w:t>
      </w:r>
      <w:r w:rsidRPr="003B3476">
        <w:rPr>
          <w:rStyle w:val="Notedebasdepage65ptItalique"/>
          <w:b w:val="0"/>
          <w:i w:val="0"/>
          <w:sz w:val="24"/>
        </w:rPr>
        <w:t xml:space="preserve">série, t. </w:t>
      </w:r>
      <w:r w:rsidRPr="003B3476">
        <w:rPr>
          <w:rStyle w:val="Notedebasdepage65ptItalique"/>
          <w:b w:val="0"/>
          <w:i w:val="0"/>
          <w:smallCaps/>
          <w:sz w:val="24"/>
        </w:rPr>
        <w:t>xx</w:t>
      </w:r>
      <w:r w:rsidRPr="003B3476">
        <w:rPr>
          <w:rStyle w:val="Notedebasdepage65ptItalique"/>
          <w:b w:val="0"/>
          <w:i w:val="0"/>
          <w:sz w:val="24"/>
        </w:rPr>
        <w:t>, 1887, on notera que quelques textes relatifs à l’histoire agraire du Béarn ont été réunis dans une circulaire imprimée, adressée aux subdélégués de sa nouvelle provi</w:t>
      </w:r>
      <w:r w:rsidRPr="003B3476">
        <w:rPr>
          <w:rStyle w:val="Notedebasdepage65ptItalique"/>
          <w:b w:val="0"/>
          <w:i w:val="0"/>
          <w:sz w:val="24"/>
        </w:rPr>
        <w:t>n</w:t>
      </w:r>
      <w:r w:rsidRPr="003B3476">
        <w:rPr>
          <w:rStyle w:val="Notedebasdepage65ptItalique"/>
          <w:b w:val="0"/>
          <w:i w:val="0"/>
          <w:sz w:val="24"/>
        </w:rPr>
        <w:t>ce par l’intendant d’Aine, lors de son passage de la généralité d’Auch et de Pau à celle de Lim</w:t>
      </w:r>
      <w:r w:rsidRPr="003B3476">
        <w:rPr>
          <w:rStyle w:val="Notedebasdepage65ptItalique"/>
          <w:b w:val="0"/>
          <w:i w:val="0"/>
          <w:sz w:val="24"/>
        </w:rPr>
        <w:t>o</w:t>
      </w:r>
      <w:r w:rsidRPr="003B3476">
        <w:rPr>
          <w:rStyle w:val="Notedebasdepage65ptItalique"/>
          <w:b w:val="0"/>
          <w:i w:val="0"/>
          <w:sz w:val="24"/>
        </w:rPr>
        <w:t xml:space="preserve">ges, H 1508, n° 69. Il y a peu de chose à tirer d’un article anonyme, </w:t>
      </w:r>
      <w:r w:rsidRPr="003B3476">
        <w:rPr>
          <w:rStyle w:val="Notedebasdepage65ptItalique"/>
          <w:b w:val="0"/>
          <w:sz w:val="24"/>
        </w:rPr>
        <w:t>De l’agriculture, du commerce et de l’industrie du Béarn</w:t>
      </w:r>
      <w:r w:rsidRPr="003B3476">
        <w:rPr>
          <w:rStyle w:val="Notedebasdepage65ptItalique"/>
          <w:b w:val="0"/>
          <w:i w:val="0"/>
          <w:sz w:val="24"/>
        </w:rPr>
        <w:t xml:space="preserve">, dans </w:t>
      </w:r>
      <w:r w:rsidRPr="003B3476">
        <w:rPr>
          <w:rStyle w:val="Notedebasdepage65ptItalique"/>
          <w:b w:val="0"/>
          <w:sz w:val="24"/>
        </w:rPr>
        <w:t>Journal d’agriculture</w:t>
      </w:r>
      <w:r w:rsidRPr="003B3476">
        <w:rPr>
          <w:rStyle w:val="Notedebasdepage65ptItalique"/>
          <w:b w:val="0"/>
          <w:i w:val="0"/>
          <w:sz w:val="24"/>
        </w:rPr>
        <w:t xml:space="preserve">, 1774, t. I, p. 3-44, reproduit dans le </w:t>
      </w:r>
      <w:r w:rsidRPr="003B3476">
        <w:rPr>
          <w:rStyle w:val="Notedebasdepage65ptItalique"/>
          <w:b w:val="0"/>
          <w:sz w:val="24"/>
        </w:rPr>
        <w:t>Bulletin de la Société des Sciences, Lettres et Arts de Pau</w:t>
      </w:r>
      <w:r w:rsidRPr="003B3476">
        <w:rPr>
          <w:rStyle w:val="Notedebasdepage65ptItalique"/>
          <w:b w:val="0"/>
          <w:i w:val="0"/>
          <w:sz w:val="24"/>
        </w:rPr>
        <w:t>, 2</w:t>
      </w:r>
      <w:r w:rsidRPr="003B3476">
        <w:rPr>
          <w:rStyle w:val="Notedebasdepage65ptItalique"/>
          <w:b w:val="0"/>
          <w:i w:val="0"/>
          <w:sz w:val="24"/>
          <w:vertAlign w:val="superscript"/>
        </w:rPr>
        <w:t xml:space="preserve">e </w:t>
      </w:r>
      <w:r w:rsidRPr="003B3476">
        <w:rPr>
          <w:rStyle w:val="Notedebasdepage65ptItalique"/>
          <w:b w:val="0"/>
          <w:i w:val="0"/>
          <w:sz w:val="24"/>
        </w:rPr>
        <w:t>série, t.</w:t>
      </w:r>
      <w:r w:rsidRPr="003B3476">
        <w:rPr>
          <w:rStyle w:val="Notedebasdepage65ptItalique"/>
          <w:b w:val="0"/>
          <w:i w:val="0"/>
          <w:smallCaps/>
          <w:sz w:val="24"/>
        </w:rPr>
        <w:t xml:space="preserve"> xxxix, 1911, </w:t>
      </w:r>
      <w:r w:rsidRPr="003B3476">
        <w:rPr>
          <w:rStyle w:val="Notedebasdepage65ptItalique"/>
          <w:b w:val="0"/>
          <w:i w:val="0"/>
          <w:sz w:val="24"/>
        </w:rPr>
        <w:t>p.</w:t>
      </w:r>
      <w:r w:rsidRPr="003B3476">
        <w:rPr>
          <w:rStyle w:val="Notedebasdepage65ptItalique"/>
          <w:b w:val="0"/>
          <w:i w:val="0"/>
          <w:smallCaps/>
          <w:sz w:val="24"/>
        </w:rPr>
        <w:t xml:space="preserve"> 207-226.</w:t>
      </w:r>
      <w:r w:rsidRPr="003B3476">
        <w:rPr>
          <w:rStyle w:val="Notedebasdepage65ptItalique"/>
          <w:b w:val="0"/>
          <w:i w:val="0"/>
          <w:sz w:val="24"/>
        </w:rPr>
        <w:t xml:space="preserve"> Combien il est regrettable que nous ne possédions sur ce curieux pays aucune bonne monographie géographique !</w:t>
      </w:r>
    </w:p>
  </w:footnote>
  <w:footnote w:id="196">
    <w:p w14:paraId="426E547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rPr>
          <w:bCs/>
        </w:rPr>
        <w:t xml:space="preserve"> </w:t>
      </w:r>
      <w:r w:rsidRPr="003B3476">
        <w:rPr>
          <w:lang w:val="fr-FR" w:eastAsia="fr-FR" w:bidi="fr-FR"/>
        </w:rPr>
        <w:t>sur l’agriculture dans le pays de Soûle, l’excellent rapport de la commi</w:t>
      </w:r>
      <w:r w:rsidRPr="003B3476">
        <w:rPr>
          <w:lang w:val="fr-FR" w:eastAsia="fr-FR" w:bidi="fr-FR"/>
        </w:rPr>
        <w:t>s</w:t>
      </w:r>
      <w:r w:rsidRPr="003B3476">
        <w:rPr>
          <w:lang w:val="fr-FR" w:eastAsia="fr-FR" w:bidi="fr-FR"/>
        </w:rPr>
        <w:t xml:space="preserve">sion cantonale de Mauléon dans Ed. </w:t>
      </w:r>
      <w:r w:rsidRPr="003B3476">
        <w:rPr>
          <w:rStyle w:val="Notedebasdepage65ptNonGras"/>
          <w:b w:val="0"/>
          <w:bCs w:val="0"/>
          <w:smallCaps/>
          <w:sz w:val="24"/>
        </w:rPr>
        <w:t>Odcurto-Joany</w:t>
      </w:r>
      <w:r w:rsidRPr="003B3476">
        <w:rPr>
          <w:rStyle w:val="Notedebasdepage65ptNonGras"/>
          <w:b w:val="0"/>
          <w:bCs w:val="0"/>
          <w:sz w:val="24"/>
        </w:rPr>
        <w:t xml:space="preserve">, </w:t>
      </w:r>
      <w:r w:rsidRPr="003B3476">
        <w:rPr>
          <w:rStyle w:val="Notedebasdepage65ptItalique"/>
          <w:b w:val="0"/>
          <w:sz w:val="24"/>
        </w:rPr>
        <w:t>Recueil des usages l</w:t>
      </w:r>
      <w:r w:rsidRPr="003B3476">
        <w:rPr>
          <w:rStyle w:val="Notedebasdepage65ptItalique"/>
          <w:b w:val="0"/>
          <w:sz w:val="24"/>
        </w:rPr>
        <w:t>o</w:t>
      </w:r>
      <w:r w:rsidRPr="003B3476">
        <w:rPr>
          <w:rStyle w:val="Notedebasdepage65ptItalique"/>
          <w:b w:val="0"/>
          <w:sz w:val="24"/>
        </w:rPr>
        <w:t>caux constatés dans le département des Ba</w:t>
      </w:r>
      <w:r w:rsidRPr="003B3476">
        <w:rPr>
          <w:rStyle w:val="Notedebasdepage65ptItalique"/>
          <w:b w:val="0"/>
          <w:sz w:val="24"/>
        </w:rPr>
        <w:t>s</w:t>
      </w:r>
      <w:r w:rsidRPr="003B3476">
        <w:rPr>
          <w:rStyle w:val="Notedebasdepage65ptItalique"/>
          <w:b w:val="0"/>
          <w:sz w:val="24"/>
        </w:rPr>
        <w:t>ses-Pyrénées</w:t>
      </w:r>
      <w:r w:rsidRPr="003B3476">
        <w:rPr>
          <w:lang w:val="fr-FR" w:eastAsia="fr-FR" w:bidi="fr-FR"/>
        </w:rPr>
        <w:t>, 1868, p. 65.</w:t>
      </w:r>
    </w:p>
  </w:footnote>
  <w:footnote w:id="197">
    <w:p w14:paraId="1DABFA8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1515, n° 133, p. 4 (analyse). Exemple d’aveux : Basses-Pyrénées, B 652, fol. 34 v° (18 août 1674). — Dans certaines communautés pourtant, le droit d’appeler les bergers étrangers était revendiqué par tous les habitants. </w:t>
      </w:r>
      <w:r w:rsidRPr="003B3476">
        <w:rPr>
          <w:rStyle w:val="Notedebasdepage65ptItalique"/>
          <w:b w:val="0"/>
        </w:rPr>
        <w:t>Cf.</w:t>
      </w:r>
      <w:r w:rsidRPr="003B3476">
        <w:rPr>
          <w:bCs/>
        </w:rPr>
        <w:t> </w:t>
      </w:r>
      <w:r w:rsidRPr="003B3476">
        <w:rPr>
          <w:lang w:val="fr-FR" w:eastAsia="fr-FR" w:bidi="fr-FR"/>
        </w:rPr>
        <w:t>C 817, fol. 136 v° et 142 v° (1782), et les déclarations de la communauté de Lombia en 1682, B 651, fol. 55, contestées d’ailleurs par l’intendant, au nom du roi, qui était seigneur (fol. 58). Ce dernier texte montre que le roi amodiait ses droits d’herbes mortes à un « fermier des herbages de Béarn ».</w:t>
      </w:r>
    </w:p>
  </w:footnote>
  <w:footnote w:id="198">
    <w:p w14:paraId="69B6F2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Basses-Pyrénées, C 683, fol. 180 et </w:t>
      </w:r>
      <w:r w:rsidRPr="003B3476">
        <w:rPr>
          <w:rStyle w:val="Notedebasdepage65ptItalique"/>
          <w:b w:val="0"/>
          <w:sz w:val="24"/>
        </w:rPr>
        <w:t>Compilation d’auguns priviledges et r</w:t>
      </w:r>
      <w:r w:rsidRPr="003B3476">
        <w:rPr>
          <w:rStyle w:val="Notedebasdepage65ptItalique"/>
          <w:b w:val="0"/>
          <w:sz w:val="24"/>
        </w:rPr>
        <w:t>e</w:t>
      </w:r>
      <w:r w:rsidRPr="003B3476">
        <w:rPr>
          <w:rStyle w:val="Notedebasdepage65ptItalique"/>
          <w:b w:val="0"/>
          <w:sz w:val="24"/>
        </w:rPr>
        <w:t>glamens deu Pays de Béarn....</w:t>
      </w:r>
      <w:r w:rsidRPr="003B3476">
        <w:rPr>
          <w:bCs/>
        </w:rPr>
        <w:t xml:space="preserve"> </w:t>
      </w:r>
      <w:r w:rsidRPr="003B3476">
        <w:rPr>
          <w:lang w:val="fr-FR" w:eastAsia="fr-FR" w:bidi="fr-FR"/>
        </w:rPr>
        <w:t xml:space="preserve">Orthez, 1676, p. 257, Rubr. </w:t>
      </w:r>
      <w:r w:rsidRPr="003B3476">
        <w:rPr>
          <w:bCs/>
        </w:rPr>
        <w:t xml:space="preserve">XXX, </w:t>
      </w:r>
      <w:r w:rsidRPr="003B3476">
        <w:rPr>
          <w:lang w:val="fr-FR" w:eastAsia="fr-FR" w:bidi="fr-FR"/>
        </w:rPr>
        <w:t>art. 1. (9 mai). — C 717, fol. 211 (3 nov.).</w:t>
      </w:r>
    </w:p>
  </w:footnote>
  <w:footnote w:id="199">
    <w:p w14:paraId="2A9308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Basses-Pyrénées, C 767, fol. 68 et 104 ; 769, fol. 100 et suiv. (1727, 17 mai). </w:t>
      </w:r>
      <w:r w:rsidRPr="003B3476">
        <w:rPr>
          <w:rStyle w:val="Notedebasdepage65ptItalique"/>
          <w:b w:val="0"/>
          <w:sz w:val="24"/>
        </w:rPr>
        <w:t>Cf.</w:t>
      </w:r>
      <w:r w:rsidRPr="003B3476">
        <w:rPr>
          <w:bCs/>
        </w:rPr>
        <w:t xml:space="preserve"> </w:t>
      </w:r>
      <w:r w:rsidRPr="003B3476">
        <w:rPr>
          <w:lang w:val="fr-FR" w:eastAsia="fr-FR" w:bidi="fr-FR"/>
        </w:rPr>
        <w:t>C 1432 (1727, 22 juin. État des frais des commissaires nommés au sujet du « desracinement des vignes et hautins ». Les textes parlent toujours conjoi</w:t>
      </w:r>
      <w:r w:rsidRPr="003B3476">
        <w:rPr>
          <w:lang w:val="fr-FR" w:eastAsia="fr-FR" w:bidi="fr-FR"/>
        </w:rPr>
        <w:t>n</w:t>
      </w:r>
      <w:r w:rsidRPr="003B3476">
        <w:rPr>
          <w:lang w:val="fr-FR" w:eastAsia="fr-FR" w:bidi="fr-FR"/>
        </w:rPr>
        <w:t xml:space="preserve">tement de * vignes » et de « hautins », ces derniers étant des vignobles où la plante est poussée en hauteur. Déclaration royale : </w:t>
      </w:r>
      <w:r w:rsidRPr="003B3476">
        <w:rPr>
          <w:rStyle w:val="Notedebasdepage65ptItalique"/>
          <w:b w:val="0"/>
          <w:sz w:val="24"/>
        </w:rPr>
        <w:t>Collection d'édits</w:t>
      </w:r>
      <w:r w:rsidRPr="003B3476">
        <w:rPr>
          <w:lang w:val="fr-FR" w:eastAsia="fr-FR" w:bidi="fr-FR"/>
        </w:rPr>
        <w:t xml:space="preserve">, </w:t>
      </w:r>
      <w:r w:rsidRPr="003B3476">
        <w:rPr>
          <w:rStyle w:val="Notedebasdepage65ptItalique"/>
          <w:b w:val="0"/>
          <w:sz w:val="24"/>
        </w:rPr>
        <w:t>déclar</w:t>
      </w:r>
      <w:r w:rsidRPr="003B3476">
        <w:rPr>
          <w:rStyle w:val="Notedebasdepage65ptItalique"/>
          <w:b w:val="0"/>
          <w:sz w:val="24"/>
        </w:rPr>
        <w:t>a</w:t>
      </w:r>
      <w:r w:rsidRPr="003B3476">
        <w:rPr>
          <w:rStyle w:val="Notedebasdepage65ptItalique"/>
          <w:b w:val="0"/>
          <w:sz w:val="24"/>
        </w:rPr>
        <w:t>tions</w:t>
      </w:r>
      <w:r w:rsidRPr="003B3476">
        <w:rPr>
          <w:lang w:val="fr-FR" w:eastAsia="fr-FR" w:bidi="fr-FR"/>
        </w:rPr>
        <w:t xml:space="preserve">, </w:t>
      </w:r>
      <w:r w:rsidRPr="003B3476">
        <w:rPr>
          <w:rStyle w:val="Notedebasdepage65ptItalique"/>
          <w:b w:val="0"/>
          <w:sz w:val="24"/>
        </w:rPr>
        <w:t>ordonnances</w:t>
      </w:r>
      <w:r w:rsidRPr="003B3476">
        <w:rPr>
          <w:lang w:val="fr-FR" w:eastAsia="fr-FR" w:bidi="fr-FR"/>
        </w:rPr>
        <w:t xml:space="preserve">, </w:t>
      </w:r>
      <w:r w:rsidRPr="003B3476">
        <w:rPr>
          <w:rStyle w:val="Notedebasdepage65ptItalique"/>
          <w:b w:val="0"/>
          <w:sz w:val="24"/>
        </w:rPr>
        <w:t>etc., enregistrés au Parlement de Navarre</w:t>
      </w:r>
      <w:r w:rsidRPr="003B3476">
        <w:rPr>
          <w:lang w:val="fr-FR" w:eastAsia="fr-FR" w:bidi="fr-FR"/>
        </w:rPr>
        <w:t xml:space="preserve">, t. </w:t>
      </w:r>
      <w:r w:rsidRPr="003B3476">
        <w:rPr>
          <w:bCs/>
        </w:rPr>
        <w:t xml:space="preserve">II, </w:t>
      </w:r>
      <w:r w:rsidRPr="003B3476">
        <w:rPr>
          <w:lang w:val="fr-FR" w:eastAsia="fr-FR" w:bidi="fr-FR"/>
        </w:rPr>
        <w:t xml:space="preserve">Pau, 1786, p. 473 ; </w:t>
      </w:r>
      <w:r w:rsidRPr="003B3476">
        <w:rPr>
          <w:rStyle w:val="Notedebasdepage65ptItalique"/>
          <w:b w:val="0"/>
          <w:sz w:val="24"/>
        </w:rPr>
        <w:t>cf.</w:t>
      </w:r>
      <w:r w:rsidRPr="003B3476">
        <w:rPr>
          <w:bCs/>
        </w:rPr>
        <w:t xml:space="preserve"> </w:t>
      </w:r>
      <w:r w:rsidRPr="003B3476">
        <w:rPr>
          <w:lang w:val="fr-FR" w:eastAsia="fr-FR" w:bidi="fr-FR"/>
        </w:rPr>
        <w:t>Basses-Pyrénées, C 771, fol. 134 v°.</w:t>
      </w:r>
    </w:p>
  </w:footnote>
  <w:footnote w:id="200">
    <w:p w14:paraId="65CB46B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Enquête et délibérations : Basses-Pyrénées, C 1048 à 1057 ; 1446 (dans cette liasse, sous forme d’un rapport des commissaires aux « fermetures », du 18 juillet 1740, un très utile historique) ; 173, fol. 127 v° et 273 ; 1442 ; 771, fol. 134 et 186 v° ; 777, fol. 191 v° ; 774, fol. 230 v° et 244 ; 781, fol. 90 v°. Les jurats des communautés devaient, d’après un arrêt du Parlement du 20 juillet 1731 (B 4826, fol. 341 v°) remettre de trois mois en trois mois aux commi</w:t>
      </w:r>
      <w:r w:rsidRPr="003B3476">
        <w:rPr>
          <w:lang w:val="fr-FR" w:eastAsia="fr-FR" w:bidi="fr-FR"/>
        </w:rPr>
        <w:t>s</w:t>
      </w:r>
      <w:r w:rsidRPr="003B3476">
        <w:rPr>
          <w:lang w:val="fr-FR" w:eastAsia="fr-FR" w:bidi="fr-FR"/>
        </w:rPr>
        <w:t>saires des États un tableau relatif à l’exécution de la déclaration ; ils y ind</w:t>
      </w:r>
      <w:r w:rsidRPr="003B3476">
        <w:rPr>
          <w:lang w:val="fr-FR" w:eastAsia="fr-FR" w:bidi="fr-FR"/>
        </w:rPr>
        <w:t>i</w:t>
      </w:r>
      <w:r w:rsidRPr="003B3476">
        <w:rPr>
          <w:lang w:val="fr-FR" w:eastAsia="fr-FR" w:bidi="fr-FR"/>
        </w:rPr>
        <w:t>quaient les fermetures opérées par les particuliers. Les commissaires aposti</w:t>
      </w:r>
      <w:r w:rsidRPr="003B3476">
        <w:rPr>
          <w:lang w:val="fr-FR" w:eastAsia="fr-FR" w:bidi="fr-FR"/>
        </w:rPr>
        <w:t>l</w:t>
      </w:r>
      <w:r w:rsidRPr="003B3476">
        <w:rPr>
          <w:lang w:val="fr-FR" w:eastAsia="fr-FR" w:bidi="fr-FR"/>
        </w:rPr>
        <w:t>laient ces tableaux et décidaient des destructions. Nous avons conservé un grand nombre de ces documents. Mais dans bien des communautés ils ne f</w:t>
      </w:r>
      <w:r w:rsidRPr="003B3476">
        <w:rPr>
          <w:lang w:val="fr-FR" w:eastAsia="fr-FR" w:bidi="fr-FR"/>
        </w:rPr>
        <w:t>u</w:t>
      </w:r>
      <w:r w:rsidRPr="003B3476">
        <w:rPr>
          <w:lang w:val="fr-FR" w:eastAsia="fr-FR" w:bidi="fr-FR"/>
        </w:rPr>
        <w:t xml:space="preserve">rent qu’imparfaitement tenus en ordre. Même mauvaise volonté des jurats à propos des états relatifs </w:t>
      </w:r>
      <w:r w:rsidRPr="003B3476">
        <w:rPr>
          <w:bCs/>
        </w:rPr>
        <w:t xml:space="preserve">à </w:t>
      </w:r>
      <w:r w:rsidRPr="003B3476">
        <w:rPr>
          <w:lang w:val="fr-FR" w:eastAsia="fr-FR" w:bidi="fr-FR"/>
        </w:rPr>
        <w:t xml:space="preserve">la corvée : </w:t>
      </w:r>
      <w:r w:rsidRPr="003B3476">
        <w:rPr>
          <w:rStyle w:val="Notedebasdepage65ptNonGras"/>
          <w:b w:val="0"/>
          <w:bCs w:val="0"/>
          <w:sz w:val="24"/>
        </w:rPr>
        <w:t xml:space="preserve">Lafond, ouv. </w:t>
      </w:r>
      <w:r w:rsidRPr="003B3476">
        <w:rPr>
          <w:lang w:val="fr-FR" w:eastAsia="fr-FR" w:bidi="fr-FR"/>
        </w:rPr>
        <w:t>cité, p. 60.</w:t>
      </w:r>
    </w:p>
  </w:footnote>
  <w:footnote w:id="201">
    <w:p w14:paraId="4264BEA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l’intendant, </w:t>
      </w:r>
      <w:r w:rsidRPr="003B3476">
        <w:rPr>
          <w:rStyle w:val="Notedebasdepage65ptItalique"/>
          <w:b w:val="0"/>
          <w:sz w:val="24"/>
        </w:rPr>
        <w:t>cf.</w:t>
      </w:r>
      <w:r w:rsidRPr="003B3476">
        <w:rPr>
          <w:bCs/>
        </w:rPr>
        <w:t xml:space="preserve"> </w:t>
      </w:r>
      <w:r w:rsidRPr="003B3476">
        <w:rPr>
          <w:lang w:val="fr-FR" w:eastAsia="fr-FR" w:bidi="fr-FR"/>
        </w:rPr>
        <w:t>ci-dessus, p. 600, n. 1 ; pour la Cour, lettre de l’intendant d’Étigny au Contrôleur Général : Gers, C 3, fol. 58 (8 août 1752).</w:t>
      </w:r>
    </w:p>
  </w:footnote>
  <w:footnote w:id="202">
    <w:p w14:paraId="2DF32D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Voir les raisons données par la communauté de Bellocq pour justifier le r</w:t>
      </w:r>
      <w:r w:rsidRPr="003B3476">
        <w:rPr>
          <w:lang w:val="fr-FR" w:eastAsia="fr-FR" w:bidi="fr-FR"/>
        </w:rPr>
        <w:t>è</w:t>
      </w:r>
      <w:r w:rsidRPr="003B3476">
        <w:rPr>
          <w:lang w:val="fr-FR" w:eastAsia="fr-FR" w:bidi="fr-FR"/>
        </w:rPr>
        <w:t>glement par lequel elle avait autorisé la fermeture d’un douzième des fonds : Basses-Pyrénées, C 1048 (rapport des commissaires des États ; 1728, 23 juillet).</w:t>
      </w:r>
    </w:p>
  </w:footnote>
  <w:footnote w:id="203">
    <w:p w14:paraId="6529C0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en fut pourtant question encore aux États de 1741 ( C 783, fol. 183) et 1742 (C 785, fol. 158).</w:t>
      </w:r>
    </w:p>
  </w:footnote>
  <w:footnote w:id="204">
    <w:p w14:paraId="0DBE0D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Basses-Pyrénées,  C 795, fol. 374 ; procès-verbal d’une séance des commi</w:t>
      </w:r>
      <w:r w:rsidRPr="003B3476">
        <w:rPr>
          <w:lang w:val="fr-FR" w:eastAsia="fr-FR" w:bidi="fr-FR"/>
        </w:rPr>
        <w:t>s</w:t>
      </w:r>
      <w:r w:rsidRPr="003B3476">
        <w:rPr>
          <w:lang w:val="fr-FR" w:eastAsia="fr-FR" w:bidi="fr-FR"/>
        </w:rPr>
        <w:t>saires (14 mars 1754),  C 1463 ;  C 796, fol. 119 et 310 v° ;  C 1470 ;  C 1472. Des états, de nouveau, furent demandés aux communautés.</w:t>
      </w:r>
    </w:p>
  </w:footnote>
  <w:footnote w:id="205">
    <w:p w14:paraId="4F0C9C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 </w:t>
      </w:r>
      <w:r w:rsidRPr="003B3476">
        <w:rPr>
          <w:rStyle w:val="Notedebasdepage65ptNonGras"/>
          <w:b w:val="0"/>
          <w:bCs w:val="0"/>
          <w:smallCaps/>
          <w:sz w:val="24"/>
        </w:rPr>
        <w:t>Lafond</w:t>
      </w:r>
      <w:r w:rsidRPr="003B3476">
        <w:rPr>
          <w:rStyle w:val="Notedebasdepage65ptNonGras"/>
          <w:b w:val="0"/>
          <w:bCs w:val="0"/>
          <w:sz w:val="24"/>
        </w:rPr>
        <w:t xml:space="preserve">, </w:t>
      </w:r>
      <w:r w:rsidRPr="003B3476">
        <w:rPr>
          <w:bCs/>
          <w:i/>
        </w:rPr>
        <w:t>Essai sur le Béarn</w:t>
      </w:r>
      <w:r w:rsidRPr="003B3476">
        <w:rPr>
          <w:lang w:val="fr-FR" w:eastAsia="fr-FR" w:bidi="fr-FR"/>
        </w:rPr>
        <w:t xml:space="preserve">, p. 19-20 ; son collègue d’épée, le baron de Sus, n’avait, dit un texte de 1780, « qu’une représentation </w:t>
      </w:r>
      <w:r w:rsidRPr="003B3476">
        <w:rPr>
          <w:bCs/>
          <w:i/>
        </w:rPr>
        <w:t>ad honores</w:t>
      </w:r>
      <w:r w:rsidRPr="003B3476">
        <w:rPr>
          <w:i/>
          <w:lang w:val="fr-FR" w:eastAsia="fr-FR" w:bidi="fr-FR"/>
        </w:rPr>
        <w:t> </w:t>
      </w:r>
      <w:r w:rsidRPr="003B3476">
        <w:rPr>
          <w:lang w:val="fr-FR" w:eastAsia="fr-FR" w:bidi="fr-FR"/>
        </w:rPr>
        <w:t>».</w:t>
      </w:r>
    </w:p>
  </w:footnote>
  <w:footnote w:id="206">
    <w:p w14:paraId="31DF2E0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Mémoire du Parlement : Basses-Pyrénées, C 281, p. 3.</w:t>
      </w:r>
    </w:p>
  </w:footnote>
  <w:footnote w:id="207">
    <w:p w14:paraId="59F4D9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 797, fol. 116 et 137.</w:t>
      </w:r>
    </w:p>
  </w:footnote>
  <w:footnote w:id="208">
    <w:p w14:paraId="214B7D8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37ptGras"/>
          <w:b w:val="0"/>
          <w:sz w:val="24"/>
        </w:rPr>
        <w:t xml:space="preserve">J. </w:t>
      </w:r>
      <w:r w:rsidRPr="003B3476">
        <w:rPr>
          <w:smallCaps/>
          <w:lang w:val="fr-FR" w:eastAsia="fr-FR" w:bidi="fr-FR"/>
        </w:rPr>
        <w:t>Lafond</w:t>
      </w:r>
      <w:r w:rsidRPr="003B3476">
        <w:rPr>
          <w:lang w:val="fr-FR" w:eastAsia="fr-FR" w:bidi="fr-FR"/>
        </w:rPr>
        <w:t>, p. just. n° </w:t>
      </w:r>
      <w:r w:rsidRPr="003B3476">
        <w:rPr>
          <w:rStyle w:val="Notedebasdepage37ptGras"/>
          <w:b w:val="0"/>
          <w:sz w:val="24"/>
        </w:rPr>
        <w:t xml:space="preserve">XXXIII </w:t>
      </w:r>
      <w:r w:rsidRPr="003B3476">
        <w:rPr>
          <w:lang w:val="fr-FR" w:eastAsia="fr-FR" w:bidi="fr-FR"/>
        </w:rPr>
        <w:t>(1759, 23 juin).</w:t>
      </w:r>
    </w:p>
  </w:footnote>
  <w:footnote w:id="209">
    <w:p w14:paraId="681B3C1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Basses-Pyrénées,  C 798, fol. 75 v° ; 799, fol. 218 v° ; Arch. Nat., H 87, n</w:t>
      </w:r>
      <w:r w:rsidRPr="003B3476">
        <w:rPr>
          <w:vertAlign w:val="superscript"/>
          <w:lang w:val="fr-FR" w:eastAsia="fr-FR" w:bidi="fr-FR"/>
        </w:rPr>
        <w:t>os</w:t>
      </w:r>
      <w:r w:rsidRPr="003B3476">
        <w:rPr>
          <w:lang w:val="fr-FR" w:eastAsia="fr-FR" w:bidi="fr-FR"/>
        </w:rPr>
        <w:t> 2 et 3 ; Basses-Pyrénées, C 800, fol. 107 v° ; 801, fol. 290 ; 802, fol. 127 v°.</w:t>
      </w:r>
    </w:p>
  </w:footnote>
  <w:footnote w:id="210">
    <w:p w14:paraId="77DD4A5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27ptNonItalique"/>
          <w:b w:val="0"/>
          <w:i w:val="0"/>
          <w:iCs w:val="0"/>
          <w:sz w:val="24"/>
        </w:rPr>
        <w:t xml:space="preserve">J. </w:t>
      </w:r>
      <w:r w:rsidRPr="003B3476">
        <w:rPr>
          <w:rStyle w:val="Notedebasdepage265ptNonGrasNonItalique"/>
          <w:b w:val="0"/>
          <w:bCs w:val="0"/>
          <w:i w:val="0"/>
          <w:iCs w:val="0"/>
          <w:smallCaps/>
          <w:sz w:val="24"/>
        </w:rPr>
        <w:t>Lafond</w:t>
      </w:r>
      <w:r w:rsidRPr="003B3476">
        <w:rPr>
          <w:rStyle w:val="Notedebasdepage265ptNonGrasNonItalique"/>
          <w:b w:val="0"/>
          <w:bCs w:val="0"/>
          <w:i w:val="0"/>
          <w:iCs w:val="0"/>
          <w:sz w:val="24"/>
        </w:rPr>
        <w:t xml:space="preserve">, </w:t>
      </w:r>
      <w:r w:rsidRPr="003B3476">
        <w:rPr>
          <w:bCs/>
        </w:rPr>
        <w:t>p. just. n° </w:t>
      </w:r>
      <w:r w:rsidRPr="003B3476">
        <w:rPr>
          <w:rStyle w:val="Notedebasdepage27ptNonItalique"/>
          <w:b w:val="0"/>
          <w:i w:val="0"/>
          <w:iCs w:val="0"/>
          <w:sz w:val="24"/>
        </w:rPr>
        <w:t>XXXIV ;</w:t>
      </w:r>
      <w:r w:rsidRPr="003B3476">
        <w:rPr>
          <w:rStyle w:val="Notedebasdepage265ptNonGrasNonItalique"/>
          <w:b w:val="0"/>
          <w:bCs w:val="0"/>
          <w:i w:val="0"/>
          <w:iCs w:val="0"/>
          <w:sz w:val="24"/>
        </w:rPr>
        <w:t xml:space="preserve"> </w:t>
      </w:r>
      <w:r w:rsidRPr="003B3476">
        <w:rPr>
          <w:rStyle w:val="Notedebasdepage265ptNonGrasNonItalique"/>
          <w:b w:val="0"/>
          <w:bCs w:val="0"/>
          <w:i w:val="0"/>
          <w:iCs w:val="0"/>
          <w:smallCaps/>
          <w:sz w:val="24"/>
        </w:rPr>
        <w:t>Merlin</w:t>
      </w:r>
      <w:r w:rsidRPr="003B3476">
        <w:rPr>
          <w:rStyle w:val="Notedebasdepage265ptNonGrasNonItalique"/>
          <w:b w:val="0"/>
          <w:bCs w:val="0"/>
          <w:i w:val="0"/>
          <w:iCs w:val="0"/>
          <w:sz w:val="24"/>
        </w:rPr>
        <w:t xml:space="preserve">, </w:t>
      </w:r>
      <w:r w:rsidRPr="003B3476">
        <w:rPr>
          <w:i/>
          <w:lang w:val="fr-FR" w:eastAsia="fr-FR" w:bidi="fr-FR"/>
        </w:rPr>
        <w:t>Répertoire</w:t>
      </w:r>
      <w:r w:rsidRPr="003B3476">
        <w:rPr>
          <w:bCs/>
          <w:i/>
        </w:rPr>
        <w:t xml:space="preserve">, mot </w:t>
      </w:r>
      <w:r w:rsidRPr="003B3476">
        <w:rPr>
          <w:i/>
          <w:lang w:val="fr-FR" w:eastAsia="fr-FR" w:bidi="fr-FR"/>
        </w:rPr>
        <w:t>Parcours ; Journal Œconomique,</w:t>
      </w:r>
      <w:r w:rsidRPr="003B3476">
        <w:rPr>
          <w:bCs/>
        </w:rPr>
        <w:t xml:space="preserve"> 1769, p. 484.</w:t>
      </w:r>
    </w:p>
  </w:footnote>
  <w:footnote w:id="211">
    <w:p w14:paraId="7F79115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Les États manifestèrent leur approbation au sujet de la formule d’enregistrement : Basses-Pyrénées, C 805, fol. 131 (1768, 9 mai) ; mémoire du Parlement, avec annotations de l’intendant, en marge : Basses-Pyrénées, C 281.</w:t>
      </w:r>
    </w:p>
  </w:footnote>
  <w:footnote w:id="212">
    <w:p w14:paraId="629A2F0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Basses-Pyrénées, B 4599, fol. 93. L’enregistrement est du 2 avril ; </w:t>
      </w:r>
      <w:r w:rsidRPr="003B3476">
        <w:rPr>
          <w:bCs/>
          <w:i/>
        </w:rPr>
        <w:t>cf.</w:t>
      </w:r>
      <w:r w:rsidRPr="003B3476">
        <w:rPr>
          <w:lang w:val="fr-FR" w:eastAsia="fr-FR" w:bidi="fr-FR"/>
        </w:rPr>
        <w:t> correspondance, C 281.</w:t>
      </w:r>
    </w:p>
  </w:footnote>
  <w:footnote w:id="213">
    <w:p w14:paraId="500C3C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Délibérations du 29 avril, 1</w:t>
      </w:r>
      <w:r w:rsidRPr="003B3476">
        <w:rPr>
          <w:vertAlign w:val="superscript"/>
          <w:lang w:val="fr-FR" w:eastAsia="fr-FR" w:bidi="fr-FR"/>
        </w:rPr>
        <w:t>er</w:t>
      </w:r>
      <w:r w:rsidRPr="003B3476">
        <w:rPr>
          <w:lang w:val="fr-FR" w:eastAsia="fr-FR" w:bidi="fr-FR"/>
        </w:rPr>
        <w:t xml:space="preserve"> mai, 18 mai 1771 : Basses-Pyrénées, C 806, fol. 368, 381 v°, 499.</w:t>
      </w:r>
    </w:p>
  </w:footnote>
  <w:footnote w:id="214">
    <w:p w14:paraId="006D49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1485, n° 129 (25 février 1773) ; </w:t>
      </w:r>
      <w:r w:rsidRPr="003B3476">
        <w:rPr>
          <w:bCs/>
          <w:i/>
        </w:rPr>
        <w:t>Recueil des édits</w:t>
      </w:r>
      <w:r w:rsidRPr="003B3476">
        <w:rPr>
          <w:i/>
          <w:lang w:val="fr-FR" w:eastAsia="fr-FR" w:bidi="fr-FR"/>
        </w:rPr>
        <w:t xml:space="preserve">, </w:t>
      </w:r>
      <w:r w:rsidRPr="003B3476">
        <w:rPr>
          <w:bCs/>
          <w:i/>
        </w:rPr>
        <w:t>déclarations et ordo</w:t>
      </w:r>
      <w:r w:rsidRPr="003B3476">
        <w:rPr>
          <w:bCs/>
          <w:i/>
        </w:rPr>
        <w:t>n</w:t>
      </w:r>
      <w:r w:rsidRPr="003B3476">
        <w:rPr>
          <w:bCs/>
          <w:i/>
        </w:rPr>
        <w:t>nances du</w:t>
      </w:r>
      <w:r w:rsidRPr="003B3476">
        <w:rPr>
          <w:i/>
          <w:lang w:val="fr-FR" w:eastAsia="fr-FR" w:bidi="fr-FR"/>
        </w:rPr>
        <w:t xml:space="preserve"> roi...</w:t>
      </w:r>
      <w:r w:rsidRPr="003B3476">
        <w:rPr>
          <w:lang w:val="fr-FR" w:eastAsia="fr-FR" w:bidi="fr-FR"/>
        </w:rPr>
        <w:t>, t. VII, Toulouse, 1785, p. 61.</w:t>
      </w:r>
    </w:p>
  </w:footnote>
  <w:footnote w:id="215">
    <w:p w14:paraId="7B9BA5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Asson, le 20 mars 1777 ; </w:t>
      </w:r>
      <w:r w:rsidRPr="003B3476">
        <w:rPr>
          <w:bCs/>
        </w:rPr>
        <w:t>Routignon</w:t>
      </w:r>
      <w:r w:rsidRPr="003B3476">
        <w:rPr>
          <w:lang w:val="fr-FR" w:eastAsia="fr-FR" w:bidi="fr-FR"/>
        </w:rPr>
        <w:t xml:space="preserve">, Urost, Mazères et </w:t>
      </w:r>
      <w:r w:rsidRPr="003B3476">
        <w:rPr>
          <w:bCs/>
          <w:smallCaps/>
        </w:rPr>
        <w:t>Lespars</w:t>
      </w:r>
      <w:r w:rsidRPr="003B3476">
        <w:rPr>
          <w:lang w:val="fr-FR" w:eastAsia="fr-FR" w:bidi="fr-FR"/>
        </w:rPr>
        <w:t>, le 18 déc. 1779 ; Aussy sollicitait en 1785 : H 1485.</w:t>
      </w:r>
    </w:p>
  </w:footnote>
  <w:footnote w:id="216">
    <w:p w14:paraId="1D3454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Cahiers de griefs rédigés par les communautés de Béarn </w:t>
      </w:r>
      <w:r w:rsidRPr="003B3476">
        <w:rPr>
          <w:lang w:val="fr-FR" w:eastAsia="fr-FR" w:bidi="fr-FR"/>
        </w:rPr>
        <w:t>:</w:t>
      </w:r>
      <w:r w:rsidRPr="003B3476">
        <w:rPr>
          <w:bCs/>
        </w:rPr>
        <w:t xml:space="preserve"> Angais ; Aubertin ; Lons ; Castéra.</w:t>
      </w:r>
    </w:p>
  </w:footnote>
  <w:footnote w:id="217">
    <w:p w14:paraId="7B88A2E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565ptItalique"/>
          <w:b w:val="0"/>
          <w:sz w:val="24"/>
        </w:rPr>
        <w:t>Arch. Parlementaires</w:t>
      </w:r>
      <w:r w:rsidRPr="003B3476">
        <w:rPr>
          <w:lang w:val="fr-FR" w:eastAsia="fr-FR" w:bidi="fr-FR"/>
        </w:rPr>
        <w:t xml:space="preserve">, t. VII, p. </w:t>
      </w:r>
      <w:r w:rsidRPr="003B3476">
        <w:rPr>
          <w:rStyle w:val="Notedebasdepage565ptNonGras"/>
          <w:b w:val="0"/>
          <w:bCs w:val="0"/>
          <w:sz w:val="24"/>
        </w:rPr>
        <w:t xml:space="preserve">501, </w:t>
      </w:r>
      <w:r w:rsidRPr="003B3476">
        <w:rPr>
          <w:lang w:val="fr-FR" w:eastAsia="fr-FR" w:bidi="fr-FR"/>
        </w:rPr>
        <w:t xml:space="preserve">art. </w:t>
      </w:r>
      <w:r w:rsidRPr="003B3476">
        <w:rPr>
          <w:rStyle w:val="Notedebasdepage565ptNonGras"/>
          <w:b w:val="0"/>
          <w:bCs w:val="0"/>
          <w:sz w:val="24"/>
        </w:rPr>
        <w:t xml:space="preserve">17 ; </w:t>
      </w:r>
      <w:r w:rsidRPr="003B3476">
        <w:rPr>
          <w:rStyle w:val="Notedebasdepage565ptItalique"/>
          <w:b w:val="0"/>
          <w:sz w:val="24"/>
        </w:rPr>
        <w:t>Cahiers :</w:t>
      </w:r>
      <w:r w:rsidRPr="003B3476">
        <w:rPr>
          <w:lang w:val="fr-FR" w:eastAsia="fr-FR" w:bidi="fr-FR"/>
        </w:rPr>
        <w:t xml:space="preserve"> Aressy, Artigueloutan ; Coarraze ; Abos ; Anoye ; Auga ; Castelpagon ; Lucarré ; Lussaguet ; Lu</w:t>
      </w:r>
      <w:r w:rsidRPr="003B3476">
        <w:rPr>
          <w:lang w:val="fr-FR" w:eastAsia="fr-FR" w:bidi="fr-FR"/>
        </w:rPr>
        <w:t>s</w:t>
      </w:r>
      <w:r w:rsidRPr="003B3476">
        <w:rPr>
          <w:lang w:val="fr-FR" w:eastAsia="fr-FR" w:bidi="fr-FR"/>
        </w:rPr>
        <w:t xml:space="preserve">son ; Ussan ; Viven. Que les seigneurs n’acceptassent que de fort mauvais gré le rachat, c’est ce que prouve un mémoire qui embrasse leurs intérêts, adressé à Necker le </w:t>
      </w:r>
      <w:r w:rsidRPr="003B3476">
        <w:rPr>
          <w:rStyle w:val="Notedebasdepage565ptNonGras"/>
          <w:b w:val="0"/>
          <w:bCs w:val="0"/>
          <w:sz w:val="24"/>
        </w:rPr>
        <w:t xml:space="preserve">7 </w:t>
      </w:r>
      <w:r w:rsidRPr="003B3476">
        <w:rPr>
          <w:lang w:val="fr-FR" w:eastAsia="fr-FR" w:bidi="fr-FR"/>
        </w:rPr>
        <w:t>ja</w:t>
      </w:r>
      <w:r w:rsidRPr="003B3476">
        <w:rPr>
          <w:lang w:val="fr-FR" w:eastAsia="fr-FR" w:bidi="fr-FR"/>
        </w:rPr>
        <w:t>n</w:t>
      </w:r>
      <w:r w:rsidRPr="003B3476">
        <w:rPr>
          <w:lang w:val="fr-FR" w:eastAsia="fr-FR" w:bidi="fr-FR"/>
        </w:rPr>
        <w:t xml:space="preserve">vier </w:t>
      </w:r>
      <w:r w:rsidRPr="003B3476">
        <w:rPr>
          <w:rStyle w:val="Notedebasdepage565ptNonGras"/>
          <w:b w:val="0"/>
          <w:bCs w:val="0"/>
          <w:sz w:val="24"/>
        </w:rPr>
        <w:t>1779 :</w:t>
      </w:r>
      <w:r w:rsidRPr="003B3476">
        <w:rPr>
          <w:lang w:val="fr-FR" w:eastAsia="fr-FR" w:bidi="fr-FR"/>
        </w:rPr>
        <w:t xml:space="preserve"> C </w:t>
      </w:r>
      <w:r w:rsidRPr="003B3476">
        <w:rPr>
          <w:rStyle w:val="Notedebasdepage565ptNonGras"/>
          <w:b w:val="0"/>
          <w:bCs w:val="0"/>
          <w:sz w:val="24"/>
        </w:rPr>
        <w:t>921 ;</w:t>
      </w:r>
      <w:r w:rsidRPr="003B3476">
        <w:rPr>
          <w:lang w:val="fr-FR" w:eastAsia="fr-FR" w:bidi="fr-FR"/>
        </w:rPr>
        <w:t xml:space="preserve"> </w:t>
      </w:r>
      <w:r w:rsidRPr="003B3476">
        <w:rPr>
          <w:rStyle w:val="Notedebasdepage565ptItalique"/>
          <w:b w:val="0"/>
          <w:sz w:val="24"/>
        </w:rPr>
        <w:t>cf.</w:t>
      </w:r>
      <w:r w:rsidRPr="003B3476">
        <w:rPr>
          <w:bCs/>
        </w:rPr>
        <w:t xml:space="preserve"> </w:t>
      </w:r>
      <w:r w:rsidRPr="003B3476">
        <w:rPr>
          <w:lang w:val="fr-FR" w:eastAsia="fr-FR" w:bidi="fr-FR"/>
        </w:rPr>
        <w:t xml:space="preserve">C </w:t>
      </w:r>
      <w:r w:rsidRPr="003B3476">
        <w:rPr>
          <w:rStyle w:val="Notedebasdepage565ptNonGras"/>
          <w:b w:val="0"/>
          <w:bCs w:val="0"/>
          <w:sz w:val="24"/>
        </w:rPr>
        <w:t xml:space="preserve">814, </w:t>
      </w:r>
      <w:r w:rsidRPr="003B3476">
        <w:rPr>
          <w:lang w:val="fr-FR" w:eastAsia="fr-FR" w:bidi="fr-FR"/>
        </w:rPr>
        <w:t xml:space="preserve">fol. </w:t>
      </w:r>
      <w:r w:rsidRPr="003B3476">
        <w:rPr>
          <w:rStyle w:val="Notedebasdepage565ptNonGras"/>
          <w:b w:val="0"/>
          <w:bCs w:val="0"/>
          <w:sz w:val="24"/>
        </w:rPr>
        <w:t>226 ;</w:t>
      </w:r>
      <w:r w:rsidRPr="003B3476">
        <w:rPr>
          <w:bCs/>
        </w:rPr>
        <w:t xml:space="preserve"> </w:t>
      </w:r>
      <w:r w:rsidRPr="003B3476">
        <w:rPr>
          <w:rStyle w:val="Notedebasdepage565ptNonGras"/>
          <w:b w:val="0"/>
          <w:bCs w:val="0"/>
          <w:sz w:val="24"/>
        </w:rPr>
        <w:t xml:space="preserve">815, </w:t>
      </w:r>
      <w:r w:rsidRPr="003B3476">
        <w:rPr>
          <w:lang w:val="fr-FR" w:eastAsia="fr-FR" w:bidi="fr-FR"/>
        </w:rPr>
        <w:t xml:space="preserve">fol. </w:t>
      </w:r>
      <w:r w:rsidRPr="003B3476">
        <w:rPr>
          <w:rStyle w:val="Notedebasdepage565ptNonGras"/>
          <w:b w:val="0"/>
          <w:bCs w:val="0"/>
          <w:sz w:val="24"/>
        </w:rPr>
        <w:t>128.</w:t>
      </w:r>
    </w:p>
  </w:footnote>
  <w:footnote w:id="218">
    <w:p w14:paraId="43DD61C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Lettre du Premier Président, du 3 sept. 1767, analysée dans un </w:t>
      </w:r>
      <w:r w:rsidRPr="003B3476">
        <w:rPr>
          <w:rStyle w:val="Notedebasdepage65ptItalique"/>
          <w:b w:val="0"/>
          <w:sz w:val="24"/>
        </w:rPr>
        <w:t>Mémoire sur les avantages et les inconvénients....</w:t>
      </w:r>
      <w:r w:rsidRPr="003B3476">
        <w:rPr>
          <w:bCs/>
        </w:rPr>
        <w:t xml:space="preserve"> </w:t>
      </w:r>
      <w:r w:rsidRPr="003B3476">
        <w:rPr>
          <w:lang w:val="fr-FR" w:eastAsia="fr-FR" w:bidi="fr-FR"/>
        </w:rPr>
        <w:t xml:space="preserve">Nord, C Hainaut, 695 </w:t>
      </w:r>
      <w:r w:rsidRPr="003B3476">
        <w:rPr>
          <w:rStyle w:val="Notedebasdepage65ptItalique"/>
          <w:b w:val="0"/>
          <w:sz w:val="24"/>
        </w:rPr>
        <w:t>bis.</w:t>
      </w:r>
      <w:r w:rsidRPr="003B3476">
        <w:rPr>
          <w:bCs/>
        </w:rPr>
        <w:t xml:space="preserve"> </w:t>
      </w:r>
      <w:r w:rsidRPr="003B3476">
        <w:rPr>
          <w:lang w:val="fr-FR" w:eastAsia="fr-FR" w:bidi="fr-FR"/>
        </w:rPr>
        <w:t xml:space="preserve">Observations du Parlement, analysées dans un </w:t>
      </w:r>
      <w:r w:rsidRPr="003B3476">
        <w:rPr>
          <w:rStyle w:val="Notedebasdepage65ptItalique"/>
          <w:b w:val="0"/>
          <w:sz w:val="24"/>
        </w:rPr>
        <w:t>Mémoire</w:t>
      </w:r>
      <w:r w:rsidRPr="003B3476">
        <w:rPr>
          <w:bCs/>
        </w:rPr>
        <w:t xml:space="preserve"> </w:t>
      </w:r>
      <w:r w:rsidRPr="003B3476">
        <w:rPr>
          <w:lang w:val="fr-FR" w:eastAsia="fr-FR" w:bidi="fr-FR"/>
        </w:rPr>
        <w:t>de l’intendant Calonne, du 16 mars 1768 : H 1515, n° 124. Dans la cour, une minorité était nettement favorable aux réformes ; un conseiller, Boutier, avait proposé, en 1766, « un projet de loi pour supprimer les abus du vain pâturage », qui fut d’ailleurs repoussé à la pluralité des voix ; voir une lettre de lui, du 26 mai 1781 : H 1515, n° 80.</w:t>
      </w:r>
    </w:p>
  </w:footnote>
  <w:footnote w:id="219">
    <w:p w14:paraId="1EFC4F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Lettre de Choiseul du 25 nov. 1767 : H 1515, n° 105 ; brouillon de réponse du Contrôleur Général, 11 déc. : </w:t>
      </w:r>
      <w:r w:rsidRPr="003B3476">
        <w:rPr>
          <w:rStyle w:val="Notedebasdepage65ptItalique"/>
          <w:b w:val="0"/>
          <w:sz w:val="24"/>
        </w:rPr>
        <w:t>ibid.,</w:t>
      </w:r>
      <w:r w:rsidRPr="003B3476">
        <w:rPr>
          <w:bCs/>
        </w:rPr>
        <w:t xml:space="preserve"> </w:t>
      </w:r>
      <w:r w:rsidRPr="003B3476">
        <w:rPr>
          <w:lang w:val="fr-FR" w:eastAsia="fr-FR" w:bidi="fr-FR"/>
        </w:rPr>
        <w:t xml:space="preserve">n° 106. Minute d’une lettre (de d’Ormesson ?) à Calonne, nouvellement nommé à l’intendance de Metz, pour lui demander si l’édit a été enregistré, 11 mars 1769 : </w:t>
      </w:r>
      <w:r w:rsidRPr="003B3476">
        <w:rPr>
          <w:rStyle w:val="Notedebasdepage65ptItalique"/>
          <w:b w:val="0"/>
          <w:sz w:val="24"/>
        </w:rPr>
        <w:t>ibid.,</w:t>
      </w:r>
      <w:r w:rsidRPr="003B3476">
        <w:rPr>
          <w:rStyle w:val="Notedebasdepage65ptItalique"/>
          <w:b w:val="0"/>
          <w:sz w:val="24"/>
          <w:vertAlign w:val="subscript"/>
        </w:rPr>
        <w:t xml:space="preserve"> </w:t>
      </w:r>
      <w:r w:rsidRPr="003B3476">
        <w:rPr>
          <w:lang w:val="fr-FR" w:eastAsia="fr-FR" w:bidi="fr-FR"/>
        </w:rPr>
        <w:t>n° 107. Réponse de Calonne, 16 mars, n° 110.</w:t>
      </w:r>
    </w:p>
  </w:footnote>
  <w:footnote w:id="220">
    <w:p w14:paraId="507E186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1515, n° 104.</w:t>
      </w:r>
    </w:p>
  </w:footnote>
  <w:footnote w:id="221">
    <w:p w14:paraId="107AEAE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Délibération : H 1515, n° 109. </w:t>
      </w:r>
      <w:r w:rsidRPr="003B3476">
        <w:rPr>
          <w:rStyle w:val="Notedebasdepage65ptItalique"/>
          <w:b w:val="0"/>
          <w:sz w:val="24"/>
        </w:rPr>
        <w:t>Mémoire</w:t>
      </w:r>
      <w:r w:rsidRPr="003B3476">
        <w:rPr>
          <w:bCs/>
        </w:rPr>
        <w:t xml:space="preserve"> </w:t>
      </w:r>
      <w:r w:rsidRPr="003B3476">
        <w:rPr>
          <w:lang w:val="fr-FR" w:eastAsia="fr-FR" w:bidi="fr-FR"/>
        </w:rPr>
        <w:t xml:space="preserve">de Calonne, juin 1768 : H 1515, n° 117. Voir, au même dossier, la correspondance ; </w:t>
      </w:r>
      <w:r w:rsidRPr="003B3476">
        <w:rPr>
          <w:rStyle w:val="Notedebasdepage65ptItalique"/>
          <w:b w:val="0"/>
          <w:sz w:val="24"/>
        </w:rPr>
        <w:t>cf.</w:t>
      </w:r>
      <w:r w:rsidRPr="003B3476">
        <w:rPr>
          <w:bCs/>
        </w:rPr>
        <w:t xml:space="preserve"> </w:t>
      </w:r>
      <w:r w:rsidRPr="003B3476">
        <w:rPr>
          <w:lang w:val="fr-FR" w:eastAsia="fr-FR" w:bidi="fr-FR"/>
        </w:rPr>
        <w:t>le registre V</w:t>
      </w:r>
      <w:r w:rsidRPr="003B3476">
        <w:rPr>
          <w:vertAlign w:val="superscript"/>
          <w:lang w:val="fr-FR" w:eastAsia="fr-FR" w:bidi="fr-FR"/>
        </w:rPr>
        <w:t>1</w:t>
      </w:r>
      <w:r w:rsidRPr="003B3476">
        <w:rPr>
          <w:lang w:val="fr-FR" w:eastAsia="fr-FR" w:bidi="fr-FR"/>
        </w:rPr>
        <w:t xml:space="preserve"> 621, mot </w:t>
      </w:r>
      <w:r w:rsidRPr="003B3476">
        <w:rPr>
          <w:rStyle w:val="Notedebasdepage65ptItalique"/>
          <w:b w:val="0"/>
          <w:sz w:val="24"/>
        </w:rPr>
        <w:t>Clôture des hér</w:t>
      </w:r>
      <w:r w:rsidRPr="003B3476">
        <w:rPr>
          <w:rStyle w:val="Notedebasdepage65ptItalique"/>
          <w:b w:val="0"/>
          <w:sz w:val="24"/>
        </w:rPr>
        <w:t>i</w:t>
      </w:r>
      <w:r w:rsidRPr="003B3476">
        <w:rPr>
          <w:rStyle w:val="Notedebasdepage65ptItalique"/>
          <w:b w:val="0"/>
          <w:sz w:val="24"/>
        </w:rPr>
        <w:t>tages.</w:t>
      </w:r>
      <w:r w:rsidRPr="003B3476">
        <w:rPr>
          <w:bCs/>
        </w:rPr>
        <w:t xml:space="preserve"> </w:t>
      </w:r>
      <w:r w:rsidRPr="003B3476">
        <w:rPr>
          <w:lang w:val="fr-FR" w:eastAsia="fr-FR" w:bidi="fr-FR"/>
        </w:rPr>
        <w:t>Le Parlement de Metz fut d’ailleurs supprimé le 21 oct. 1771, rétabli en 1775 seulement. Dans l’affaire des communaux, il avait mieux su défendre les privilégiés : H 1515, n° 48.</w:t>
      </w:r>
    </w:p>
  </w:footnote>
  <w:footnote w:id="222">
    <w:p w14:paraId="569379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t xml:space="preserve"> </w:t>
      </w:r>
      <w:r w:rsidRPr="003B3476">
        <w:rPr>
          <w:lang w:val="fr-FR" w:eastAsia="fr-FR" w:bidi="fr-FR"/>
        </w:rPr>
        <w:t xml:space="preserve">M. </w:t>
      </w:r>
      <w:r w:rsidRPr="003B3476">
        <w:rPr>
          <w:rStyle w:val="Notedebasdepage65ptNonGras"/>
          <w:b w:val="0"/>
          <w:bCs w:val="0"/>
          <w:smallCaps/>
          <w:sz w:val="24"/>
        </w:rPr>
        <w:t>Lambert</w:t>
      </w:r>
      <w:r w:rsidRPr="003B3476">
        <w:rPr>
          <w:rStyle w:val="Notedebasdepage65ptNonGras"/>
          <w:b w:val="0"/>
          <w:bCs w:val="0"/>
          <w:sz w:val="24"/>
        </w:rPr>
        <w:t xml:space="preserve">, </w:t>
      </w:r>
      <w:r w:rsidRPr="003B3476">
        <w:rPr>
          <w:rStyle w:val="NotedebasdepageItaliquePetitesmajuscules"/>
          <w:b w:val="0"/>
          <w:sz w:val="24"/>
        </w:rPr>
        <w:t xml:space="preserve">Du </w:t>
      </w:r>
      <w:r w:rsidRPr="003B3476">
        <w:rPr>
          <w:rStyle w:val="Notedebasdepage65ptItalique"/>
          <w:b w:val="0"/>
          <w:sz w:val="24"/>
        </w:rPr>
        <w:t>vain pâturage en Franche-Comté</w:t>
      </w:r>
      <w:r w:rsidRPr="003B3476">
        <w:t xml:space="preserve">, </w:t>
      </w:r>
      <w:r w:rsidRPr="003B3476">
        <w:rPr>
          <w:lang w:val="fr-FR" w:eastAsia="fr-FR" w:bidi="fr-FR"/>
        </w:rPr>
        <w:t xml:space="preserve">dans </w:t>
      </w:r>
      <w:r w:rsidRPr="003B3476">
        <w:rPr>
          <w:rStyle w:val="Notedebasdepage65ptItalique"/>
          <w:b w:val="0"/>
          <w:sz w:val="24"/>
        </w:rPr>
        <w:t>Académie des Sciences</w:t>
      </w:r>
      <w:r w:rsidRPr="003B3476">
        <w:t xml:space="preserve">, </w:t>
      </w:r>
      <w:r w:rsidRPr="003B3476">
        <w:rPr>
          <w:rStyle w:val="Notedebasdepage65ptItalique"/>
          <w:b w:val="0"/>
          <w:sz w:val="24"/>
        </w:rPr>
        <w:t>Belles-Lettres et Arts de Besançon</w:t>
      </w:r>
      <w:r w:rsidRPr="003B3476">
        <w:rPr>
          <w:lang w:val="fr-FR" w:eastAsia="fr-FR" w:bidi="fr-FR"/>
        </w:rPr>
        <w:t xml:space="preserve">, 1890, dont il y a d’ailleurs fort peu de choses à tirer. Historique utile dans le </w:t>
      </w:r>
      <w:r w:rsidRPr="003B3476">
        <w:rPr>
          <w:rStyle w:val="Notedebasdepage65ptItalique"/>
          <w:b w:val="0"/>
          <w:sz w:val="24"/>
        </w:rPr>
        <w:t>Mém. sur l’abolition du pa</w:t>
      </w:r>
      <w:r w:rsidRPr="003B3476">
        <w:rPr>
          <w:rStyle w:val="Notedebasdepage65ptItalique"/>
          <w:b w:val="0"/>
          <w:sz w:val="24"/>
        </w:rPr>
        <w:t>r</w:t>
      </w:r>
      <w:r w:rsidRPr="003B3476">
        <w:rPr>
          <w:rStyle w:val="Notedebasdepage65ptItalique"/>
          <w:b w:val="0"/>
          <w:sz w:val="24"/>
        </w:rPr>
        <w:t>cours :</w:t>
      </w:r>
      <w:r w:rsidRPr="003B3476">
        <w:rPr>
          <w:lang w:val="fr-FR" w:eastAsia="fr-FR" w:bidi="fr-FR"/>
        </w:rPr>
        <w:t xml:space="preserve"> H 1486, n° 191, p. 13-14.</w:t>
      </w:r>
    </w:p>
  </w:footnote>
  <w:footnote w:id="223">
    <w:p w14:paraId="729D004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Recueil des édits et déclarations du Roi... vérifiés</w:t>
      </w:r>
      <w:r w:rsidRPr="003B3476">
        <w:rPr>
          <w:rStyle w:val="Notedebasdepage67ptNonItalique"/>
          <w:b w:val="0"/>
          <w:i w:val="0"/>
          <w:iCs w:val="0"/>
          <w:sz w:val="24"/>
        </w:rPr>
        <w:t xml:space="preserve">, </w:t>
      </w:r>
      <w:r w:rsidRPr="003B3476">
        <w:rPr>
          <w:i/>
          <w:lang w:val="fr-FR" w:eastAsia="fr-FR" w:bidi="fr-FR"/>
        </w:rPr>
        <w:t>publiés et registrés au Pa</w:t>
      </w:r>
      <w:r w:rsidRPr="003B3476">
        <w:rPr>
          <w:i/>
          <w:lang w:val="fr-FR" w:eastAsia="fr-FR" w:bidi="fr-FR"/>
        </w:rPr>
        <w:t>r</w:t>
      </w:r>
      <w:r w:rsidRPr="003B3476">
        <w:rPr>
          <w:i/>
          <w:lang w:val="fr-FR" w:eastAsia="fr-FR" w:bidi="fr-FR"/>
        </w:rPr>
        <w:t>lement séant à Besançon</w:t>
      </w:r>
      <w:r w:rsidRPr="003B3476">
        <w:rPr>
          <w:rStyle w:val="Notedebasdepage675ptNonItalique"/>
          <w:b w:val="0"/>
          <w:i w:val="0"/>
          <w:iCs w:val="0"/>
          <w:sz w:val="24"/>
        </w:rPr>
        <w:t>, t. IV, 1776, p. 536.</w:t>
      </w:r>
    </w:p>
  </w:footnote>
  <w:footnote w:id="224">
    <w:p w14:paraId="0C20757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Procès de quelques propriétaires de Saint-Hippolyte contre les habitants (1770-1778) : Doubs, C 93.</w:t>
      </w:r>
    </w:p>
  </w:footnote>
  <w:footnote w:id="225">
    <w:p w14:paraId="54472F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Note marginale à la table du </w:t>
      </w:r>
      <w:r w:rsidRPr="003B3476">
        <w:rPr>
          <w:rStyle w:val="Notedebasdepage65ptItalique"/>
          <w:b w:val="0"/>
          <w:sz w:val="24"/>
        </w:rPr>
        <w:t>Recueil</w:t>
      </w:r>
      <w:r w:rsidRPr="003B3476">
        <w:rPr>
          <w:lang w:val="fr-FR" w:eastAsia="fr-FR" w:bidi="fr-FR"/>
        </w:rPr>
        <w:t xml:space="preserve">, t. V, p. 67. Requête de la communauté de Quincy, 1795 : </w:t>
      </w:r>
      <w:r w:rsidRPr="003B3476">
        <w:rPr>
          <w:bCs/>
        </w:rPr>
        <w:t xml:space="preserve">E </w:t>
      </w:r>
      <w:r w:rsidRPr="003B3476">
        <w:rPr>
          <w:lang w:val="fr-FR" w:eastAsia="fr-FR" w:bidi="fr-FR"/>
        </w:rPr>
        <w:t>2661, n° 243. Plainte des habitants d’Arbois, mentionnée dans l’inventaire : H 1627, n° 93, p. 23.</w:t>
      </w:r>
    </w:p>
  </w:footnote>
  <w:footnote w:id="226">
    <w:p w14:paraId="49FAB4F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rPr>
          <w:bCs/>
        </w:rPr>
        <w:t xml:space="preserve"> </w:t>
      </w:r>
      <w:r w:rsidRPr="003B3476">
        <w:rPr>
          <w:lang w:val="fr-FR" w:eastAsia="fr-FR" w:bidi="fr-FR"/>
        </w:rPr>
        <w:t xml:space="preserve">lettres de La Coré, 2 mars 1772 : Doubs, C 93 ; et </w:t>
      </w:r>
      <w:r w:rsidRPr="003B3476">
        <w:rPr>
          <w:rStyle w:val="Notedebasdepage65ptItalique"/>
          <w:b w:val="0"/>
          <w:sz w:val="24"/>
        </w:rPr>
        <w:t>ibid</w:t>
      </w:r>
      <w:r w:rsidRPr="003B3476">
        <w:rPr>
          <w:lang w:val="fr-FR" w:eastAsia="fr-FR" w:bidi="fr-FR"/>
        </w:rPr>
        <w:t>., deux projets de décl</w:t>
      </w:r>
      <w:r w:rsidRPr="003B3476">
        <w:rPr>
          <w:lang w:val="fr-FR" w:eastAsia="fr-FR" w:bidi="fr-FR"/>
        </w:rPr>
        <w:t>a</w:t>
      </w:r>
      <w:r w:rsidRPr="003B3476">
        <w:rPr>
          <w:lang w:val="fr-FR" w:eastAsia="fr-FR" w:bidi="fr-FR"/>
        </w:rPr>
        <w:t>ration abolissant la vaine pâture et le parcours sur les terres ensemencées, ai</w:t>
      </w:r>
      <w:r w:rsidRPr="003B3476">
        <w:rPr>
          <w:lang w:val="fr-FR" w:eastAsia="fr-FR" w:bidi="fr-FR"/>
        </w:rPr>
        <w:t>n</w:t>
      </w:r>
      <w:r w:rsidRPr="003B3476">
        <w:rPr>
          <w:lang w:val="fr-FR" w:eastAsia="fr-FR" w:bidi="fr-FR"/>
        </w:rPr>
        <w:t>si que sur les prairies jusqu’au 25 oct. ; l’art. 7 reconnaît implicitement (sauf les cas ci-dessus indiqués), le maintien du parcours entre communautés.</w:t>
      </w:r>
    </w:p>
  </w:footnote>
  <w:footnote w:id="227">
    <w:p w14:paraId="31FE19A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ressort de l’examen des </w:t>
      </w:r>
      <w:r w:rsidRPr="003B3476">
        <w:rPr>
          <w:rStyle w:val="Notedebasdepage65ptItalique"/>
          <w:b w:val="0"/>
          <w:sz w:val="24"/>
        </w:rPr>
        <w:t>Cahiers de doléances du bailliage d’Amont,</w:t>
      </w:r>
      <w:r w:rsidRPr="003B3476">
        <w:rPr>
          <w:bCs/>
        </w:rPr>
        <w:t xml:space="preserve"> </w:t>
      </w:r>
      <w:r w:rsidRPr="003B3476">
        <w:rPr>
          <w:lang w:val="fr-FR" w:eastAsia="fr-FR" w:bidi="fr-FR"/>
        </w:rPr>
        <w:t xml:space="preserve">éd. M. </w:t>
      </w:r>
      <w:r w:rsidRPr="003B3476">
        <w:rPr>
          <w:rStyle w:val="Notedebasdepage65ptNonGras"/>
          <w:b w:val="0"/>
          <w:bCs w:val="0"/>
          <w:smallCaps/>
          <w:sz w:val="24"/>
        </w:rPr>
        <w:t>Godard</w:t>
      </w:r>
      <w:r w:rsidRPr="003B3476">
        <w:rPr>
          <w:rStyle w:val="Notedebasdepage65ptNonGras"/>
          <w:b w:val="0"/>
          <w:bCs w:val="0"/>
          <w:sz w:val="24"/>
        </w:rPr>
        <w:t xml:space="preserve"> </w:t>
      </w:r>
      <w:r w:rsidRPr="003B3476">
        <w:rPr>
          <w:lang w:val="fr-FR" w:eastAsia="fr-FR" w:bidi="fr-FR"/>
        </w:rPr>
        <w:t xml:space="preserve">et L. </w:t>
      </w:r>
      <w:r w:rsidRPr="003B3476">
        <w:rPr>
          <w:rStyle w:val="Notedebasdepage65ptNonGras"/>
          <w:b w:val="0"/>
          <w:bCs w:val="0"/>
          <w:smallCaps/>
          <w:sz w:val="24"/>
        </w:rPr>
        <w:t>Abensour</w:t>
      </w:r>
      <w:r w:rsidRPr="003B3476">
        <w:rPr>
          <w:rStyle w:val="Notedebasdepage65ptNonGras"/>
          <w:b w:val="0"/>
          <w:bCs w:val="0"/>
          <w:sz w:val="24"/>
        </w:rPr>
        <w:t xml:space="preserve">, </w:t>
      </w:r>
      <w:r w:rsidRPr="003B3476">
        <w:rPr>
          <w:lang w:val="fr-FR" w:eastAsia="fr-FR" w:bidi="fr-FR"/>
        </w:rPr>
        <w:t>que le parcours, en général maintenu (Alaincourt, art. 21 ; Belmont, art. 36 ; Saulnot, art. 22 ; Voisey, art. 11), fut exceptionne</w:t>
      </w:r>
      <w:r w:rsidRPr="003B3476">
        <w:rPr>
          <w:lang w:val="fr-FR" w:eastAsia="fr-FR" w:bidi="fr-FR"/>
        </w:rPr>
        <w:t>l</w:t>
      </w:r>
      <w:r w:rsidRPr="003B3476">
        <w:rPr>
          <w:lang w:val="fr-FR" w:eastAsia="fr-FR" w:bidi="fr-FR"/>
        </w:rPr>
        <w:t xml:space="preserve">lement aboli (Mignavillers, art. 23). La jurisprudence du </w:t>
      </w:r>
      <w:r w:rsidRPr="003B3476">
        <w:rPr>
          <w:smallCaps/>
          <w:lang w:val="fr-FR" w:eastAsia="fr-FR" w:bidi="fr-FR"/>
        </w:rPr>
        <w:t>xix</w:t>
      </w:r>
      <w:r w:rsidRPr="003B3476">
        <w:rPr>
          <w:vertAlign w:val="superscript"/>
          <w:lang w:val="fr-FR" w:eastAsia="fr-FR" w:bidi="fr-FR"/>
        </w:rPr>
        <w:t>e</w:t>
      </w:r>
      <w:r w:rsidRPr="003B3476">
        <w:rPr>
          <w:lang w:val="fr-FR" w:eastAsia="fr-FR" w:bidi="fr-FR"/>
        </w:rPr>
        <w:t> siècle paraît avoir considéré l’édit, en ce qui r</w:t>
      </w:r>
      <w:r w:rsidRPr="003B3476">
        <w:rPr>
          <w:lang w:val="fr-FR" w:eastAsia="fr-FR" w:bidi="fr-FR"/>
        </w:rPr>
        <w:t>e</w:t>
      </w:r>
      <w:r w:rsidRPr="003B3476">
        <w:rPr>
          <w:lang w:val="fr-FR" w:eastAsia="fr-FR" w:bidi="fr-FR"/>
        </w:rPr>
        <w:t xml:space="preserve">gardait le parcours, comme non exécutoire ; </w:t>
      </w:r>
      <w:r w:rsidRPr="003B3476">
        <w:rPr>
          <w:rStyle w:val="Notedebasdepage65ptItalique"/>
          <w:b w:val="0"/>
          <w:sz w:val="24"/>
        </w:rPr>
        <w:t>cf.</w:t>
      </w:r>
      <w:r w:rsidRPr="003B3476">
        <w:rPr>
          <w:bCs/>
        </w:rPr>
        <w:t xml:space="preserve"> </w:t>
      </w:r>
      <w:r w:rsidRPr="003B3476">
        <w:rPr>
          <w:lang w:val="fr-FR" w:eastAsia="fr-FR" w:bidi="fr-FR"/>
        </w:rPr>
        <w:t>F</w:t>
      </w:r>
      <w:r w:rsidRPr="003B3476">
        <w:rPr>
          <w:vertAlign w:val="superscript"/>
          <w:lang w:val="fr-FR" w:eastAsia="fr-FR" w:bidi="fr-FR"/>
        </w:rPr>
        <w:t>1e</w:t>
      </w:r>
      <w:r w:rsidRPr="003B3476">
        <w:rPr>
          <w:lang w:val="fr-FR" w:eastAsia="fr-FR" w:bidi="fr-FR"/>
        </w:rPr>
        <w:t xml:space="preserve"> 337 (an XI).</w:t>
      </w:r>
    </w:p>
  </w:footnote>
  <w:footnote w:id="228">
    <w:p w14:paraId="7C2B5AB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rPr>
          <w:bCs/>
        </w:rPr>
        <w:t xml:space="preserve"> E. </w:t>
      </w:r>
      <w:r w:rsidRPr="003B3476">
        <w:rPr>
          <w:rStyle w:val="Notedebasdepage65ptNonGras"/>
          <w:b w:val="0"/>
          <w:bCs w:val="0"/>
          <w:smallCaps/>
          <w:sz w:val="24"/>
        </w:rPr>
        <w:t>Prévost de Lavaud</w:t>
      </w:r>
      <w:r w:rsidRPr="003B3476">
        <w:rPr>
          <w:rStyle w:val="Notedebasdepage65ptNonGras"/>
          <w:b w:val="0"/>
          <w:bCs w:val="0"/>
          <w:sz w:val="24"/>
        </w:rPr>
        <w:t xml:space="preserve">, </w:t>
      </w:r>
      <w:r w:rsidRPr="003B3476">
        <w:rPr>
          <w:rStyle w:val="Notedebasdepage65ptItalique"/>
          <w:b w:val="0"/>
          <w:sz w:val="24"/>
        </w:rPr>
        <w:t>Les théories de l'intendant Rouillé d’Orfeuil</w:t>
      </w:r>
      <w:r w:rsidRPr="003B3476">
        <w:rPr>
          <w:lang w:val="fr-FR" w:eastAsia="fr-FR" w:bidi="fr-FR"/>
        </w:rPr>
        <w:t>, 1909 ; et de Rouillé d’Orfeuil lui-même, — dont le nom ne figure d’ailleurs pas sur le titre — </w:t>
      </w:r>
      <w:r w:rsidRPr="003B3476">
        <w:rPr>
          <w:rStyle w:val="Notedebasdepage65ptItalique"/>
          <w:b w:val="0"/>
          <w:sz w:val="24"/>
        </w:rPr>
        <w:t>L’Ami des François</w:t>
      </w:r>
      <w:r w:rsidRPr="003B3476">
        <w:rPr>
          <w:lang w:val="fr-FR" w:eastAsia="fr-FR" w:bidi="fr-FR"/>
        </w:rPr>
        <w:t>, Con</w:t>
      </w:r>
      <w:r w:rsidRPr="003B3476">
        <w:rPr>
          <w:lang w:val="fr-FR" w:eastAsia="fr-FR" w:bidi="fr-FR"/>
        </w:rPr>
        <w:t>s</w:t>
      </w:r>
      <w:r w:rsidRPr="003B3476">
        <w:rPr>
          <w:lang w:val="fr-FR" w:eastAsia="fr-FR" w:bidi="fr-FR"/>
        </w:rPr>
        <w:t>tantinople [sic], 1771, p. 520 et suiv.</w:t>
      </w:r>
    </w:p>
  </w:footnote>
  <w:footnote w:id="229">
    <w:p w14:paraId="2644BF2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Circulaire aux subdélégués, 25 mai 1769 : Marne, C 452.</w:t>
      </w:r>
    </w:p>
  </w:footnote>
  <w:footnote w:id="230">
    <w:p w14:paraId="36671C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Dossier sur ces négociations : Bibl. Nat., Joly de Fleury 438, fol. 8-40.</w:t>
      </w:r>
    </w:p>
  </w:footnote>
  <w:footnote w:id="231">
    <w:p w14:paraId="2CB5B8F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NonGrasNonItalique"/>
          <w:b w:val="0"/>
          <w:bCs w:val="0"/>
          <w:i w:val="0"/>
          <w:iCs w:val="0"/>
          <w:smallCaps/>
          <w:sz w:val="24"/>
        </w:rPr>
        <w:t>Merlin</w:t>
      </w:r>
      <w:r w:rsidRPr="003B3476">
        <w:rPr>
          <w:rStyle w:val="Notedebasdepage6NonGrasNonItalique"/>
          <w:b w:val="0"/>
          <w:bCs w:val="0"/>
          <w:i w:val="0"/>
          <w:iCs w:val="0"/>
          <w:sz w:val="24"/>
        </w:rPr>
        <w:t xml:space="preserve">, </w:t>
      </w:r>
      <w:r w:rsidRPr="003B3476">
        <w:rPr>
          <w:i/>
          <w:lang w:val="fr-FR" w:eastAsia="fr-FR" w:bidi="fr-FR"/>
        </w:rPr>
        <w:t>Répertoire</w:t>
      </w:r>
      <w:r w:rsidRPr="003B3476">
        <w:rPr>
          <w:rStyle w:val="Notedebasdepage675ptNonItalique"/>
          <w:b w:val="0"/>
          <w:i w:val="0"/>
          <w:iCs w:val="0"/>
          <w:sz w:val="24"/>
        </w:rPr>
        <w:t xml:space="preserve">, mot </w:t>
      </w:r>
      <w:r w:rsidRPr="003B3476">
        <w:rPr>
          <w:i/>
          <w:lang w:val="fr-FR" w:eastAsia="fr-FR" w:bidi="fr-FR"/>
        </w:rPr>
        <w:t>Parcours</w:t>
      </w:r>
      <w:r w:rsidRPr="003B3476">
        <w:rPr>
          <w:rStyle w:val="Notedebasdepage67ptNonItalique"/>
          <w:b w:val="0"/>
          <w:i w:val="0"/>
          <w:iCs w:val="0"/>
          <w:sz w:val="24"/>
        </w:rPr>
        <w:t xml:space="preserve"> ; </w:t>
      </w:r>
      <w:r w:rsidRPr="003B3476">
        <w:rPr>
          <w:rStyle w:val="Notedebasdepage6NonGrasNonItalique"/>
          <w:b w:val="0"/>
          <w:bCs w:val="0"/>
          <w:i w:val="0"/>
          <w:iCs w:val="0"/>
          <w:smallCaps/>
          <w:sz w:val="24"/>
        </w:rPr>
        <w:t>Isambert</w:t>
      </w:r>
      <w:r w:rsidRPr="003B3476">
        <w:rPr>
          <w:rStyle w:val="Notedebasdepage6NonGrasNonItalique"/>
          <w:b w:val="0"/>
          <w:bCs w:val="0"/>
          <w:i w:val="0"/>
          <w:iCs w:val="0"/>
          <w:sz w:val="24"/>
        </w:rPr>
        <w:t xml:space="preserve">, </w:t>
      </w:r>
      <w:r w:rsidRPr="003B3476">
        <w:rPr>
          <w:i/>
          <w:lang w:val="fr-FR" w:eastAsia="fr-FR" w:bidi="fr-FR"/>
        </w:rPr>
        <w:t>Anciennes Lois</w:t>
      </w:r>
      <w:r w:rsidRPr="003B3476">
        <w:rPr>
          <w:rStyle w:val="Notedebasdepage675ptNonItalique"/>
          <w:b w:val="0"/>
          <w:i w:val="0"/>
          <w:iCs w:val="0"/>
          <w:sz w:val="24"/>
        </w:rPr>
        <w:t>, t. XXII, p. 486.</w:t>
      </w:r>
    </w:p>
  </w:footnote>
  <w:footnote w:id="232">
    <w:p w14:paraId="5285093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Dossier dans Joly de Fleury 438, fol. 32 et suiv. Édit : H 173, n° 22 (enregistré le 31 août).</w:t>
      </w:r>
    </w:p>
  </w:footnote>
  <w:footnote w:id="233">
    <w:p w14:paraId="54C01D2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Journal Œconomique</w:t>
      </w:r>
      <w:r w:rsidRPr="003B3476">
        <w:rPr>
          <w:lang w:val="fr-FR" w:eastAsia="fr-FR" w:bidi="fr-FR"/>
        </w:rPr>
        <w:t>, 1769, p. 437 (partiellement). L’usage local qui autor</w:t>
      </w:r>
      <w:r w:rsidRPr="003B3476">
        <w:rPr>
          <w:lang w:val="fr-FR" w:eastAsia="fr-FR" w:bidi="fr-FR"/>
        </w:rPr>
        <w:t>i</w:t>
      </w:r>
      <w:r w:rsidRPr="003B3476">
        <w:rPr>
          <w:lang w:val="fr-FR" w:eastAsia="fr-FR" w:bidi="fr-FR"/>
        </w:rPr>
        <w:t>sait la clôt</w:t>
      </w:r>
      <w:r w:rsidRPr="003B3476">
        <w:rPr>
          <w:lang w:val="fr-FR" w:eastAsia="fr-FR" w:bidi="fr-FR"/>
        </w:rPr>
        <w:t>u</w:t>
      </w:r>
      <w:r w:rsidRPr="003B3476">
        <w:rPr>
          <w:lang w:val="fr-FR" w:eastAsia="fr-FR" w:bidi="fr-FR"/>
        </w:rPr>
        <w:t>re fictive au moyen de trois sillons tracés à l’entour du champ ne fut pas san</w:t>
      </w:r>
      <w:r w:rsidRPr="003B3476">
        <w:rPr>
          <w:lang w:val="fr-FR" w:eastAsia="fr-FR" w:bidi="fr-FR"/>
        </w:rPr>
        <w:t>c</w:t>
      </w:r>
      <w:r w:rsidRPr="003B3476">
        <w:rPr>
          <w:lang w:val="fr-FR" w:eastAsia="fr-FR" w:bidi="fr-FR"/>
        </w:rPr>
        <w:t xml:space="preserve">tionné par l’édit ; il devait l’être sous la Révolution par un arrêt du Directoire du Département, le 31 janv. 1792 : </w:t>
      </w:r>
      <w:r w:rsidRPr="003B3476">
        <w:rPr>
          <w:rStyle w:val="Notedebasdepage65ptNonGras"/>
          <w:b w:val="0"/>
          <w:bCs w:val="0"/>
          <w:smallCaps/>
          <w:sz w:val="24"/>
        </w:rPr>
        <w:t>Brutails</w:t>
      </w:r>
      <w:r w:rsidRPr="003B3476">
        <w:rPr>
          <w:rStyle w:val="Notedebasdepage65ptNonGras"/>
          <w:b w:val="0"/>
          <w:bCs w:val="0"/>
          <w:sz w:val="24"/>
        </w:rPr>
        <w:t xml:space="preserve"> </w:t>
      </w:r>
      <w:r w:rsidRPr="003B3476">
        <w:rPr>
          <w:lang w:val="fr-FR" w:eastAsia="fr-FR" w:bidi="fr-FR"/>
        </w:rPr>
        <w:t xml:space="preserve">dans </w:t>
      </w:r>
      <w:r w:rsidRPr="003B3476">
        <w:rPr>
          <w:rStyle w:val="Notedebasdepage65ptItalique"/>
          <w:b w:val="0"/>
          <w:sz w:val="24"/>
        </w:rPr>
        <w:t>Mém. Soc. agr</w:t>
      </w:r>
      <w:r w:rsidRPr="003B3476">
        <w:rPr>
          <w:rStyle w:val="Notedebasdepage65ptItalique"/>
          <w:b w:val="0"/>
          <w:sz w:val="24"/>
        </w:rPr>
        <w:t>i</w:t>
      </w:r>
      <w:r w:rsidRPr="003B3476">
        <w:rPr>
          <w:rStyle w:val="Notedebasdepage65ptItalique"/>
          <w:b w:val="0"/>
          <w:sz w:val="24"/>
        </w:rPr>
        <w:t>cole... des Pyrénées-Orientales</w:t>
      </w:r>
      <w:r w:rsidRPr="003B3476">
        <w:rPr>
          <w:lang w:val="fr-FR" w:eastAsia="fr-FR" w:bidi="fr-FR"/>
        </w:rPr>
        <w:t>, 1889, p. 254, n. 4.</w:t>
      </w:r>
    </w:p>
  </w:footnote>
  <w:footnote w:id="234">
    <w:p w14:paraId="692B89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Côte-d’Or, C 3006, fol. 398 (délibération du </w:t>
      </w:r>
      <w:r w:rsidRPr="003B3476">
        <w:rPr>
          <w:rStyle w:val="Notedebasdepage65ptNonGras"/>
          <w:b w:val="0"/>
          <w:bCs w:val="0"/>
          <w:sz w:val="24"/>
        </w:rPr>
        <w:t xml:space="preserve">5 </w:t>
      </w:r>
      <w:r w:rsidRPr="003B3476">
        <w:rPr>
          <w:lang w:val="fr-FR" w:eastAsia="fr-FR" w:bidi="fr-FR"/>
        </w:rPr>
        <w:t xml:space="preserve">déc.). Sur Varenne de Béost, Paul </w:t>
      </w:r>
      <w:r w:rsidRPr="003B3476">
        <w:rPr>
          <w:rStyle w:val="Notedebasdepage65ptNonGras"/>
          <w:b w:val="0"/>
          <w:bCs w:val="0"/>
          <w:sz w:val="24"/>
        </w:rPr>
        <w:t xml:space="preserve">Destray, </w:t>
      </w:r>
      <w:r w:rsidRPr="003B3476">
        <w:rPr>
          <w:rStyle w:val="Notedebasdepage65ptItalique"/>
          <w:b w:val="0"/>
          <w:sz w:val="24"/>
        </w:rPr>
        <w:t>L'état économique de la Bourgogne à la veille de la Révol</w:t>
      </w:r>
      <w:r w:rsidRPr="003B3476">
        <w:rPr>
          <w:rStyle w:val="Notedebasdepage65ptItalique"/>
          <w:b w:val="0"/>
          <w:sz w:val="24"/>
        </w:rPr>
        <w:t>u</w:t>
      </w:r>
      <w:r w:rsidRPr="003B3476">
        <w:rPr>
          <w:rStyle w:val="Notedebasdepage65ptItalique"/>
          <w:b w:val="0"/>
          <w:sz w:val="24"/>
        </w:rPr>
        <w:t>tion</w:t>
      </w:r>
      <w:r w:rsidRPr="003B3476">
        <w:rPr>
          <w:lang w:val="fr-FR" w:eastAsia="fr-FR" w:bidi="fr-FR"/>
        </w:rPr>
        <w:t xml:space="preserve">... » dans </w:t>
      </w:r>
      <w:r w:rsidRPr="003B3476">
        <w:rPr>
          <w:rStyle w:val="Notedebasdepage65ptItalique"/>
          <w:b w:val="0"/>
          <w:sz w:val="24"/>
        </w:rPr>
        <w:t>Enquêtes sur la Révolution en Côte-d'Or</w:t>
      </w:r>
      <w:r w:rsidRPr="003B3476">
        <w:rPr>
          <w:lang w:val="fr-FR" w:eastAsia="fr-FR" w:bidi="fr-FR"/>
        </w:rPr>
        <w:t xml:space="preserve">, fasc. 2,1911, p. 67, n. 2 ; on trouvera, </w:t>
      </w:r>
      <w:r w:rsidRPr="003B3476">
        <w:rPr>
          <w:rStyle w:val="Notedebasdepage65ptItalique"/>
          <w:b w:val="0"/>
          <w:sz w:val="24"/>
        </w:rPr>
        <w:t>ibid.,</w:t>
      </w:r>
      <w:r w:rsidRPr="003B3476">
        <w:rPr>
          <w:bCs/>
        </w:rPr>
        <w:t xml:space="preserve"> </w:t>
      </w:r>
      <w:r w:rsidRPr="003B3476">
        <w:rPr>
          <w:lang w:val="fr-FR" w:eastAsia="fr-FR" w:bidi="fr-FR"/>
        </w:rPr>
        <w:t>p. 70 et suiv., un remarquable mémoire présenté par V</w:t>
      </w:r>
      <w:r w:rsidRPr="003B3476">
        <w:rPr>
          <w:lang w:val="fr-FR" w:eastAsia="fr-FR" w:bidi="fr-FR"/>
        </w:rPr>
        <w:t>a</w:t>
      </w:r>
      <w:r w:rsidRPr="003B3476">
        <w:rPr>
          <w:lang w:val="fr-FR" w:eastAsia="fr-FR" w:bidi="fr-FR"/>
        </w:rPr>
        <w:t>renne aux États, le 8 juin 1761, et joint par eux au cahier de remontrances de 1761. Observation de l’intendant : H 173, n° 12 (1769, 27 mars).</w:t>
      </w:r>
    </w:p>
  </w:footnote>
  <w:footnote w:id="235">
    <w:p w14:paraId="465945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En 1764, 1767, 1769 : Côte-d’Or, C 3332 (1764, art. 4 ; 1767, art. 7) ; C 3308, fol. 57. Et encore en 1770 : C 3332, art. 9. </w:t>
      </w:r>
      <w:r w:rsidRPr="003B3476">
        <w:rPr>
          <w:rStyle w:val="Notedebasdepage65ptItalique"/>
          <w:b w:val="0"/>
          <w:sz w:val="24"/>
        </w:rPr>
        <w:t>Cf.</w:t>
      </w:r>
      <w:r w:rsidRPr="003B3476">
        <w:rPr>
          <w:bCs/>
        </w:rPr>
        <w:t xml:space="preserve"> </w:t>
      </w:r>
      <w:r w:rsidRPr="003B3476">
        <w:rPr>
          <w:lang w:val="fr-FR" w:eastAsia="fr-FR" w:bidi="fr-FR"/>
        </w:rPr>
        <w:t>tout un dossier, H 173, où l’on trouvera également le texte de l’édit ; j’y renvoie une fois pour toutes.</w:t>
      </w:r>
    </w:p>
  </w:footnote>
  <w:footnote w:id="236">
    <w:p w14:paraId="69BC54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1485, n° 270 ; enregistré aux Parlements de Paris et de Dijon (Côte-d’Or, C 3695).</w:t>
      </w:r>
    </w:p>
  </w:footnote>
  <w:footnote w:id="237">
    <w:p w14:paraId="78F7285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1485, n° 305.</w:t>
      </w:r>
    </w:p>
  </w:footnote>
  <w:footnote w:id="238">
    <w:p w14:paraId="3CD400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rPr>
        <w:t>Usages des pays de Besse, Bugey et Gex</w:t>
      </w:r>
      <w:r w:rsidRPr="003B3476">
        <w:rPr>
          <w:lang w:val="fr-FR"/>
        </w:rPr>
        <w:t>, t. II, 1775, p. 21.</w:t>
      </w:r>
    </w:p>
  </w:footnote>
  <w:footnote w:id="239">
    <w:p w14:paraId="2C1A855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Lettres d’Amelot, intendant de Dijon, aux Syndics du Tiers État de Gex, 13 mai 1771 : Ain, C 926.</w:t>
      </w:r>
    </w:p>
  </w:footnote>
  <w:footnote w:id="240">
    <w:p w14:paraId="10796E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rPr>
          <w:bCs/>
        </w:rPr>
        <w:t xml:space="preserve"> </w:t>
      </w:r>
      <w:r w:rsidRPr="003B3476">
        <w:rPr>
          <w:lang w:val="fr-FR" w:eastAsia="fr-FR" w:bidi="fr-FR"/>
        </w:rPr>
        <w:t xml:space="preserve">G. </w:t>
      </w:r>
      <w:r w:rsidRPr="003B3476">
        <w:rPr>
          <w:rStyle w:val="Notedebasdepage65ptNonGras"/>
          <w:b w:val="0"/>
          <w:bCs w:val="0"/>
          <w:smallCaps/>
          <w:sz w:val="24"/>
        </w:rPr>
        <w:t>Lefebvre</w:t>
      </w:r>
      <w:r w:rsidRPr="003B3476">
        <w:rPr>
          <w:rStyle w:val="Notedebasdepage65ptNonGras"/>
          <w:b w:val="0"/>
          <w:bCs w:val="0"/>
          <w:sz w:val="24"/>
        </w:rPr>
        <w:t xml:space="preserve">, </w:t>
      </w:r>
      <w:r w:rsidRPr="003B3476">
        <w:rPr>
          <w:rStyle w:val="Notedebasdepage65ptItalique"/>
          <w:b w:val="0"/>
          <w:sz w:val="24"/>
        </w:rPr>
        <w:t>Les paysans du Nord pendant la Révolution française</w:t>
      </w:r>
      <w:r w:rsidRPr="003B3476">
        <w:rPr>
          <w:lang w:val="fr-FR" w:eastAsia="fr-FR" w:bidi="fr-FR"/>
        </w:rPr>
        <w:t>, p. 87 et suiv.. auquel je dois bea</w:t>
      </w:r>
      <w:r w:rsidRPr="003B3476">
        <w:rPr>
          <w:lang w:val="fr-FR" w:eastAsia="fr-FR" w:bidi="fr-FR"/>
        </w:rPr>
        <w:t>u</w:t>
      </w:r>
      <w:r w:rsidRPr="003B3476">
        <w:rPr>
          <w:lang w:val="fr-FR" w:eastAsia="fr-FR" w:bidi="fr-FR"/>
        </w:rPr>
        <w:t xml:space="preserve">coup, mais dont j’ai pu compléter sur quelques points les renseignements. Indications utiles dans un </w:t>
      </w:r>
      <w:r w:rsidRPr="003B3476">
        <w:rPr>
          <w:rStyle w:val="Notedebasdepage65ptItalique"/>
          <w:b w:val="0"/>
          <w:sz w:val="24"/>
        </w:rPr>
        <w:t>Mémoire sur les avant</w:t>
      </w:r>
      <w:r w:rsidRPr="003B3476">
        <w:rPr>
          <w:rStyle w:val="Notedebasdepage65ptItalique"/>
          <w:b w:val="0"/>
          <w:sz w:val="24"/>
        </w:rPr>
        <w:t>a</w:t>
      </w:r>
      <w:r w:rsidRPr="003B3476">
        <w:rPr>
          <w:rStyle w:val="Notedebasdepage65ptItalique"/>
          <w:b w:val="0"/>
          <w:sz w:val="24"/>
        </w:rPr>
        <w:t>ges et les inconvénients résultant de l'exécution de l'édit du mois de may 1771... :</w:t>
      </w:r>
      <w:r w:rsidRPr="003B3476">
        <w:rPr>
          <w:lang w:val="fr-FR" w:eastAsia="fr-FR" w:bidi="fr-FR"/>
        </w:rPr>
        <w:t xml:space="preserve"> Nord, C Hainaut, 695 </w:t>
      </w:r>
      <w:r w:rsidRPr="003B3476">
        <w:rPr>
          <w:rStyle w:val="Notedebasdepage65ptItalique"/>
          <w:b w:val="0"/>
          <w:sz w:val="24"/>
        </w:rPr>
        <w:t>bis.</w:t>
      </w:r>
    </w:p>
  </w:footnote>
  <w:footnote w:id="241">
    <w:p w14:paraId="1D8201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Mémoire rédigé en avril 1771 : H 1515, n° 11 ; lettres de l’intendant Tabo</w:t>
      </w:r>
      <w:r w:rsidRPr="003B3476">
        <w:rPr>
          <w:lang w:val="fr-FR" w:eastAsia="fr-FR" w:bidi="fr-FR"/>
        </w:rPr>
        <w:t>u</w:t>
      </w:r>
      <w:r w:rsidRPr="003B3476">
        <w:rPr>
          <w:lang w:val="fr-FR" w:eastAsia="fr-FR" w:bidi="fr-FR"/>
        </w:rPr>
        <w:t xml:space="preserve">reau du 3 mars 1771 : </w:t>
      </w:r>
      <w:r w:rsidRPr="003B3476">
        <w:rPr>
          <w:rStyle w:val="Notedebasdepage65ptItalique"/>
          <w:b w:val="0"/>
          <w:sz w:val="24"/>
        </w:rPr>
        <w:t>ibid.,</w:t>
      </w:r>
      <w:r w:rsidRPr="003B3476">
        <w:rPr>
          <w:bCs/>
        </w:rPr>
        <w:t xml:space="preserve"> </w:t>
      </w:r>
      <w:r w:rsidRPr="003B3476">
        <w:rPr>
          <w:lang w:val="fr-FR" w:eastAsia="fr-FR" w:bidi="fr-FR"/>
        </w:rPr>
        <w:t>n° 6. Requêtes diverses : Nord, C Hainaut, 155.</w:t>
      </w:r>
    </w:p>
  </w:footnote>
  <w:footnote w:id="242">
    <w:p w14:paraId="1F7CFFC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NonGrasNonItaliquePetitesmajuscules"/>
          <w:b w:val="0"/>
          <w:bCs w:val="0"/>
          <w:i w:val="0"/>
          <w:iCs w:val="0"/>
          <w:sz w:val="24"/>
        </w:rPr>
        <w:t xml:space="preserve">Merlin, </w:t>
      </w:r>
      <w:r w:rsidRPr="003B3476">
        <w:rPr>
          <w:i/>
          <w:lang w:val="fr-FR" w:eastAsia="fr-FR" w:bidi="fr-FR"/>
        </w:rPr>
        <w:t>Répertoire</w:t>
      </w:r>
      <w:r w:rsidRPr="003B3476">
        <w:rPr>
          <w:lang w:val="fr-FR" w:eastAsia="fr-FR" w:bidi="fr-FR"/>
        </w:rPr>
        <w:t>,</w:t>
      </w:r>
      <w:r w:rsidRPr="003B3476">
        <w:rPr>
          <w:rStyle w:val="Notedebasdepage67ptNonItalique"/>
          <w:b w:val="0"/>
          <w:i w:val="0"/>
          <w:iCs w:val="0"/>
          <w:sz w:val="24"/>
        </w:rPr>
        <w:t xml:space="preserve"> </w:t>
      </w:r>
      <w:r w:rsidRPr="003B3476">
        <w:rPr>
          <w:rStyle w:val="Notedebasdepage6NonGrasNonItalique"/>
          <w:b w:val="0"/>
          <w:bCs w:val="0"/>
          <w:i w:val="0"/>
          <w:iCs w:val="0"/>
          <w:sz w:val="24"/>
        </w:rPr>
        <w:t xml:space="preserve">art. </w:t>
      </w:r>
      <w:r w:rsidRPr="003B3476">
        <w:rPr>
          <w:i/>
          <w:lang w:val="fr-FR" w:eastAsia="fr-FR" w:bidi="fr-FR"/>
        </w:rPr>
        <w:t>Vaine Pâture</w:t>
      </w:r>
      <w:r w:rsidRPr="003B3476">
        <w:rPr>
          <w:lang w:val="fr-FR" w:eastAsia="fr-FR" w:bidi="fr-FR"/>
        </w:rPr>
        <w:t>.</w:t>
      </w:r>
    </w:p>
  </w:footnote>
  <w:footnote w:id="243">
    <w:p w14:paraId="196E09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Basses-Pyrénées, B 4601, fol. 46 ; </w:t>
      </w:r>
      <w:r w:rsidRPr="003B3476">
        <w:rPr>
          <w:rStyle w:val="Notedebasdepage65ptItalique"/>
          <w:b w:val="0"/>
          <w:sz w:val="24"/>
        </w:rPr>
        <w:t>Recueil des édits</w:t>
      </w:r>
      <w:r w:rsidRPr="003B3476">
        <w:rPr>
          <w:lang w:val="fr-FR" w:eastAsia="fr-FR" w:bidi="fr-FR"/>
        </w:rPr>
        <w:t xml:space="preserve">, </w:t>
      </w:r>
      <w:r w:rsidRPr="003B3476">
        <w:rPr>
          <w:rStyle w:val="Notedebasdepage65ptItalique"/>
          <w:b w:val="0"/>
          <w:sz w:val="24"/>
        </w:rPr>
        <w:t>déclarations et ordo</w:t>
      </w:r>
      <w:r w:rsidRPr="003B3476">
        <w:rPr>
          <w:rStyle w:val="Notedebasdepage65ptItalique"/>
          <w:b w:val="0"/>
          <w:sz w:val="24"/>
        </w:rPr>
        <w:t>n</w:t>
      </w:r>
      <w:r w:rsidRPr="003B3476">
        <w:rPr>
          <w:rStyle w:val="Notedebasdepage65ptItalique"/>
          <w:b w:val="0"/>
          <w:sz w:val="24"/>
        </w:rPr>
        <w:t>nances du</w:t>
      </w:r>
      <w:r w:rsidRPr="003B3476">
        <w:rPr>
          <w:bCs/>
        </w:rPr>
        <w:t xml:space="preserve"> </w:t>
      </w:r>
      <w:r w:rsidRPr="003B3476">
        <w:rPr>
          <w:i/>
          <w:lang w:val="fr-FR" w:eastAsia="fr-FR" w:bidi="fr-FR"/>
        </w:rPr>
        <w:t>roi</w:t>
      </w:r>
      <w:r w:rsidRPr="003B3476">
        <w:rPr>
          <w:lang w:val="fr-FR" w:eastAsia="fr-FR" w:bidi="fr-FR"/>
        </w:rPr>
        <w:t>..., t. VI, Toulouse, 1784, p. 752. Enregistré au Parlement de Pau le 23 août, à celui de Toulouse, le 20 nov. 1771.</w:t>
      </w:r>
    </w:p>
  </w:footnote>
  <w:footnote w:id="244">
    <w:p w14:paraId="2D601C0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 de l’intendant d’Auch, 2 oct. 1772 : H 1485, n° 131. La Bigorre se div</w:t>
      </w:r>
      <w:r w:rsidRPr="003B3476">
        <w:rPr>
          <w:lang w:val="fr-FR" w:eastAsia="fr-FR" w:bidi="fr-FR"/>
        </w:rPr>
        <w:t>i</w:t>
      </w:r>
      <w:r w:rsidRPr="003B3476">
        <w:rPr>
          <w:lang w:val="fr-FR" w:eastAsia="fr-FR" w:bidi="fr-FR"/>
        </w:rPr>
        <w:t xml:space="preserve">sait en trois « quartiers » : Plaine, Montagne, Rustain (ce dernier au Nord-Est, autour de la vallée de l’Arros) ; </w:t>
      </w:r>
      <w:r w:rsidRPr="003B3476">
        <w:rPr>
          <w:rStyle w:val="Notedebasdepage65ptItalique"/>
          <w:b w:val="0"/>
          <w:sz w:val="24"/>
        </w:rPr>
        <w:t>cf.</w:t>
      </w:r>
      <w:r w:rsidRPr="003B3476">
        <w:rPr>
          <w:bCs/>
        </w:rPr>
        <w:t xml:space="preserve"> </w:t>
      </w:r>
      <w:r w:rsidRPr="003B3476">
        <w:rPr>
          <w:rStyle w:val="Notedebasdepage65ptNonGras"/>
          <w:b w:val="0"/>
          <w:bCs w:val="0"/>
          <w:sz w:val="24"/>
        </w:rPr>
        <w:t xml:space="preserve">G. </w:t>
      </w:r>
      <w:r w:rsidRPr="003B3476">
        <w:rPr>
          <w:rStyle w:val="Notedebasdepage65ptNonGras"/>
          <w:b w:val="0"/>
          <w:bCs w:val="0"/>
          <w:smallCaps/>
          <w:sz w:val="24"/>
        </w:rPr>
        <w:t>Balencie</w:t>
      </w:r>
      <w:r w:rsidRPr="003B3476">
        <w:rPr>
          <w:rStyle w:val="Notedebasdepage65ptNonGras"/>
          <w:b w:val="0"/>
          <w:bCs w:val="0"/>
          <w:sz w:val="24"/>
        </w:rPr>
        <w:t xml:space="preserve">, </w:t>
      </w:r>
      <w:r w:rsidRPr="003B3476">
        <w:rPr>
          <w:rStyle w:val="Notedebasdepage65ptItalique"/>
          <w:b w:val="0"/>
          <w:sz w:val="24"/>
        </w:rPr>
        <w:t>Cahiers de doléances de la sénéchaussée de Bigorre</w:t>
      </w:r>
      <w:r w:rsidRPr="003B3476">
        <w:rPr>
          <w:lang w:val="fr-FR" w:eastAsia="fr-FR" w:bidi="fr-FR"/>
        </w:rPr>
        <w:t>, p. 55, n. 1.</w:t>
      </w:r>
    </w:p>
  </w:footnote>
  <w:footnote w:id="245">
    <w:p w14:paraId="5B206D3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G. </w:t>
      </w:r>
      <w:r w:rsidRPr="003B3476">
        <w:rPr>
          <w:rStyle w:val="Notedebasdepage65ptNonGras"/>
          <w:b w:val="0"/>
          <w:bCs w:val="0"/>
          <w:smallCaps/>
          <w:sz w:val="24"/>
        </w:rPr>
        <w:t>Balencie</w:t>
      </w:r>
      <w:r w:rsidRPr="003B3476">
        <w:rPr>
          <w:rStyle w:val="Notedebasdepage65ptNonGras"/>
          <w:b w:val="0"/>
          <w:bCs w:val="0"/>
          <w:sz w:val="24"/>
        </w:rPr>
        <w:t xml:space="preserve">, </w:t>
      </w:r>
      <w:r w:rsidRPr="003B3476">
        <w:rPr>
          <w:rStyle w:val="Notedebasdepage65ptItalique"/>
          <w:b w:val="0"/>
          <w:sz w:val="24"/>
        </w:rPr>
        <w:t>Cahiers de doléances de la sénéchaussée de Bigorre</w:t>
      </w:r>
      <w:r w:rsidRPr="003B3476">
        <w:rPr>
          <w:lang w:val="fr-FR" w:eastAsia="fr-FR" w:bidi="fr-FR"/>
        </w:rPr>
        <w:t>, Adé (art. 8), Arbouix (art. 8), Aspin (art. 12), Caixon (p. 202), Gardères (art. 20), Julos et Lasgranges (art. 14), Lamarque près Pontacq (art. 4) ; sans doute aussi A</w:t>
      </w:r>
      <w:r w:rsidRPr="003B3476">
        <w:rPr>
          <w:lang w:val="fr-FR" w:eastAsia="fr-FR" w:bidi="fr-FR"/>
        </w:rPr>
        <w:t>r</w:t>
      </w:r>
      <w:r w:rsidRPr="003B3476">
        <w:rPr>
          <w:lang w:val="fr-FR" w:eastAsia="fr-FR" w:bidi="fr-FR"/>
        </w:rPr>
        <w:t>tagnan (art. 22).</w:t>
      </w:r>
    </w:p>
  </w:footnote>
  <w:footnote w:id="246">
    <w:p w14:paraId="0609EE8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Ibid.,</w:t>
      </w:r>
      <w:r w:rsidRPr="003B3476">
        <w:rPr>
          <w:lang w:val="fr-FR" w:eastAsia="fr-FR" w:bidi="fr-FR"/>
        </w:rPr>
        <w:t xml:space="preserve"> Gonnez, titre IV.</w:t>
      </w:r>
    </w:p>
  </w:footnote>
  <w:footnote w:id="247">
    <w:p w14:paraId="4610A9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Code Corse</w:t>
      </w:r>
      <w:r w:rsidRPr="003B3476">
        <w:rPr>
          <w:lang w:val="fr-FR" w:eastAsia="fr-FR" w:bidi="fr-FR"/>
        </w:rPr>
        <w:t xml:space="preserve">, 1778-1780, t. II, p. 372. </w:t>
      </w:r>
      <w:r w:rsidRPr="003B3476">
        <w:rPr>
          <w:rStyle w:val="Notedebasdepage65ptItalique"/>
          <w:b w:val="0"/>
          <w:sz w:val="24"/>
        </w:rPr>
        <w:t>Cf.</w:t>
      </w:r>
      <w:r w:rsidRPr="003B3476">
        <w:rPr>
          <w:bCs/>
        </w:rPr>
        <w:t xml:space="preserve"> </w:t>
      </w:r>
      <w:r w:rsidRPr="003B3476">
        <w:rPr>
          <w:lang w:val="fr-FR" w:eastAsia="fr-FR" w:bidi="fr-FR"/>
        </w:rPr>
        <w:t xml:space="preserve">L. </w:t>
      </w:r>
      <w:r w:rsidRPr="003B3476">
        <w:rPr>
          <w:rStyle w:val="Notedebasdepage65ptNonGras"/>
          <w:b w:val="0"/>
          <w:bCs w:val="0"/>
          <w:smallCaps/>
          <w:sz w:val="24"/>
        </w:rPr>
        <w:t>Villat</w:t>
      </w:r>
      <w:r w:rsidRPr="003B3476">
        <w:rPr>
          <w:rStyle w:val="Notedebasdepage65ptNonGras"/>
          <w:b w:val="0"/>
          <w:bCs w:val="0"/>
          <w:sz w:val="24"/>
        </w:rPr>
        <w:t xml:space="preserve">, </w:t>
      </w:r>
      <w:r w:rsidRPr="003B3476">
        <w:rPr>
          <w:rStyle w:val="Notedebasdepage65ptItalique"/>
          <w:b w:val="0"/>
          <w:sz w:val="24"/>
        </w:rPr>
        <w:t>La Corse de 1768 à 1789</w:t>
      </w:r>
      <w:r w:rsidRPr="003B3476">
        <w:rPr>
          <w:lang w:val="fr-FR" w:eastAsia="fr-FR" w:bidi="fr-FR"/>
        </w:rPr>
        <w:t>, 1925, t. I, p. 257 et t. II, p. 168-169.</w:t>
      </w:r>
    </w:p>
  </w:footnote>
  <w:footnote w:id="248">
    <w:p w14:paraId="083BDD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Mémoire sur l’abolition du parcours dans tout le ressort du Parlement de Paris par une loi générale</w:t>
      </w:r>
      <w:r w:rsidRPr="003B3476">
        <w:rPr>
          <w:lang w:val="fr-FR" w:eastAsia="fr-FR" w:bidi="fr-FR"/>
        </w:rPr>
        <w:t>, nov. 1769 (avec un projet d’édit, semblable à celui pour la Champagne), H 1486, n° 183. Lettre de Maupeou au Procureur Gén</w:t>
      </w:r>
      <w:r w:rsidRPr="003B3476">
        <w:rPr>
          <w:lang w:val="fr-FR" w:eastAsia="fr-FR" w:bidi="fr-FR"/>
        </w:rPr>
        <w:t>é</w:t>
      </w:r>
      <w:r w:rsidRPr="003B3476">
        <w:rPr>
          <w:lang w:val="fr-FR" w:eastAsia="fr-FR" w:bidi="fr-FR"/>
        </w:rPr>
        <w:t xml:space="preserve">ral : Bibl. Nat., Joly de Fleury 494, fol. 241. </w:t>
      </w:r>
      <w:r w:rsidRPr="003B3476">
        <w:rPr>
          <w:rStyle w:val="Notedebasdepage65ptItalique"/>
          <w:b w:val="0"/>
          <w:sz w:val="24"/>
        </w:rPr>
        <w:t>Cf.</w:t>
      </w:r>
      <w:r w:rsidRPr="003B3476">
        <w:rPr>
          <w:bCs/>
        </w:rPr>
        <w:t xml:space="preserve"> </w:t>
      </w:r>
      <w:r w:rsidRPr="003B3476">
        <w:rPr>
          <w:lang w:val="fr-FR" w:eastAsia="fr-FR" w:bidi="fr-FR"/>
        </w:rPr>
        <w:t>V</w:t>
      </w:r>
      <w:r w:rsidRPr="003B3476">
        <w:rPr>
          <w:vertAlign w:val="superscript"/>
          <w:lang w:val="fr-FR" w:eastAsia="fr-FR" w:bidi="fr-FR"/>
        </w:rPr>
        <w:t>1</w:t>
      </w:r>
      <w:r w:rsidRPr="003B3476">
        <w:rPr>
          <w:lang w:val="fr-FR" w:eastAsia="fr-FR" w:bidi="fr-FR"/>
        </w:rPr>
        <w:t xml:space="preserve"> 621, article </w:t>
      </w:r>
      <w:r w:rsidRPr="003B3476">
        <w:rPr>
          <w:rStyle w:val="Notedebasdepage65ptItalique"/>
          <w:b w:val="0"/>
          <w:sz w:val="24"/>
        </w:rPr>
        <w:t>Closture des héritages.</w:t>
      </w:r>
      <w:r w:rsidRPr="003B3476">
        <w:rPr>
          <w:bCs/>
        </w:rPr>
        <w:t xml:space="preserve"> </w:t>
      </w:r>
      <w:r w:rsidRPr="003B3476">
        <w:rPr>
          <w:lang w:val="fr-FR" w:eastAsia="fr-FR" w:bidi="fr-FR"/>
        </w:rPr>
        <w:t>Note de service (entre février et août 1770), const</w:t>
      </w:r>
      <w:r w:rsidRPr="003B3476">
        <w:rPr>
          <w:lang w:val="fr-FR" w:eastAsia="fr-FR" w:bidi="fr-FR"/>
        </w:rPr>
        <w:t>a</w:t>
      </w:r>
      <w:r w:rsidRPr="003B3476">
        <w:rPr>
          <w:lang w:val="fr-FR" w:eastAsia="fr-FR" w:bidi="fr-FR"/>
        </w:rPr>
        <w:t>tant l’abandon du projet : H 1486, n° 195.</w:t>
      </w:r>
    </w:p>
  </w:footnote>
  <w:footnote w:id="249">
    <w:p w14:paraId="7BA461E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L’envoi du projet d’édit à Choiseul est mentionné dans le </w:t>
      </w:r>
      <w:r w:rsidRPr="003B3476">
        <w:rPr>
          <w:rStyle w:val="Notedebasdepage65ptItalique"/>
          <w:b w:val="0"/>
          <w:sz w:val="24"/>
        </w:rPr>
        <w:t>Mémoire sur l’abolition du pa</w:t>
      </w:r>
      <w:r w:rsidRPr="003B3476">
        <w:rPr>
          <w:rStyle w:val="Notedebasdepage65ptItalique"/>
          <w:b w:val="0"/>
          <w:sz w:val="24"/>
        </w:rPr>
        <w:t>r</w:t>
      </w:r>
      <w:r w:rsidRPr="003B3476">
        <w:rPr>
          <w:rStyle w:val="Notedebasdepage65ptItalique"/>
          <w:b w:val="0"/>
          <w:sz w:val="24"/>
        </w:rPr>
        <w:t>cours :</w:t>
      </w:r>
      <w:r w:rsidRPr="003B3476">
        <w:rPr>
          <w:lang w:val="fr-FR" w:eastAsia="fr-FR" w:bidi="fr-FR"/>
        </w:rPr>
        <w:t xml:space="preserve"> H 1486, n° 191, p. 20. Une note marginale (p. 21) ajoute : « Les deux Édits envoyés par M. de Choiseul en Alsace et en Roussi</w:t>
      </w:r>
      <w:r w:rsidRPr="003B3476">
        <w:rPr>
          <w:lang w:val="fr-FR" w:eastAsia="fr-FR" w:bidi="fr-FR"/>
        </w:rPr>
        <w:t>l</w:t>
      </w:r>
      <w:r w:rsidRPr="003B3476">
        <w:rPr>
          <w:lang w:val="fr-FR" w:eastAsia="fr-FR" w:bidi="fr-FR"/>
        </w:rPr>
        <w:t>lon ont été enregi</w:t>
      </w:r>
      <w:r w:rsidRPr="003B3476">
        <w:rPr>
          <w:lang w:val="fr-FR" w:eastAsia="fr-FR" w:bidi="fr-FR"/>
        </w:rPr>
        <w:t>s</w:t>
      </w:r>
      <w:r w:rsidRPr="003B3476">
        <w:rPr>
          <w:lang w:val="fr-FR" w:eastAsia="fr-FR" w:bidi="fr-FR"/>
        </w:rPr>
        <w:t xml:space="preserve">trés purement et simplement dans les Conseils Souverains de Colmar et de Perpignan ». </w:t>
      </w:r>
      <w:r w:rsidRPr="003B3476">
        <w:rPr>
          <w:rStyle w:val="Notedebasdepage65ptItalique"/>
          <w:b w:val="0"/>
          <w:sz w:val="24"/>
        </w:rPr>
        <w:t>Cf.</w:t>
      </w:r>
      <w:r w:rsidRPr="003B3476">
        <w:rPr>
          <w:bCs/>
        </w:rPr>
        <w:t xml:space="preserve"> </w:t>
      </w:r>
      <w:r w:rsidRPr="003B3476">
        <w:rPr>
          <w:lang w:val="fr-FR" w:eastAsia="fr-FR" w:bidi="fr-FR"/>
        </w:rPr>
        <w:t>aussi une lettre de Terray, 15 avr. 1772 : G</w:t>
      </w:r>
      <w:r w:rsidRPr="003B3476">
        <w:rPr>
          <w:lang w:val="fr-FR" w:eastAsia="fr-FR" w:bidi="fr-FR"/>
        </w:rPr>
        <w:t>i</w:t>
      </w:r>
      <w:r w:rsidRPr="003B3476">
        <w:rPr>
          <w:lang w:val="fr-FR" w:eastAsia="fr-FR" w:bidi="fr-FR"/>
        </w:rPr>
        <w:t>ronde, C 61. Pl</w:t>
      </w:r>
      <w:r w:rsidRPr="003B3476">
        <w:rPr>
          <w:lang w:val="fr-FR" w:eastAsia="fr-FR" w:bidi="fr-FR"/>
        </w:rPr>
        <w:t>u</w:t>
      </w:r>
      <w:r w:rsidRPr="003B3476">
        <w:rPr>
          <w:lang w:val="fr-FR" w:eastAsia="fr-FR" w:bidi="fr-FR"/>
        </w:rPr>
        <w:t xml:space="preserve">sieurs témoignages et en particulier la correspondance relative à Haguenau (ci-dessous, p. 637) montrent cependant qu’aucun édit de clôture ne fut jamais publié en Alsace. Le projet d’édit « pour rendre à cette province [l’Alsace] la liberté d’enclore leurs héritages </w:t>
      </w:r>
      <w:r w:rsidRPr="003B3476">
        <w:rPr>
          <w:rStyle w:val="Notedebasdepage65ptItalique"/>
          <w:b w:val="0"/>
          <w:sz w:val="24"/>
        </w:rPr>
        <w:t>[sic]</w:t>
      </w:r>
      <w:r w:rsidRPr="003B3476">
        <w:rPr>
          <w:bCs/>
        </w:rPr>
        <w:t> »</w:t>
      </w:r>
      <w:r w:rsidRPr="003B3476">
        <w:rPr>
          <w:lang w:val="fr-FR" w:eastAsia="fr-FR" w:bidi="fr-FR"/>
        </w:rPr>
        <w:t xml:space="preserve"> figure parmi les papiers passés en 1774 par d’Ormesson à Bertin (inventaire : H 1627, n° 96), mais semble avoir depuis disparu des dossiers. On ne trouve aucune mention relat</w:t>
      </w:r>
      <w:r w:rsidRPr="003B3476">
        <w:rPr>
          <w:lang w:val="fr-FR" w:eastAsia="fr-FR" w:bidi="fr-FR"/>
        </w:rPr>
        <w:t>i</w:t>
      </w:r>
      <w:r w:rsidRPr="003B3476">
        <w:rPr>
          <w:lang w:val="fr-FR" w:eastAsia="fr-FR" w:bidi="fr-FR"/>
        </w:rPr>
        <w:t>ve à cette affaire dans les débris des archives du Conseil Souverain, conse</w:t>
      </w:r>
      <w:r w:rsidRPr="003B3476">
        <w:rPr>
          <w:lang w:val="fr-FR" w:eastAsia="fr-FR" w:bidi="fr-FR"/>
        </w:rPr>
        <w:t>r</w:t>
      </w:r>
      <w:r w:rsidRPr="003B3476">
        <w:rPr>
          <w:lang w:val="fr-FR" w:eastAsia="fr-FR" w:bidi="fr-FR"/>
        </w:rPr>
        <w:t>vées aux Arch. Dép. du Haut-Rhin, notamment dans le registre renfermant la correspondance avec la cour, ni dans les registres d’enregistrement. L’explication par une néglige</w:t>
      </w:r>
      <w:r w:rsidRPr="003B3476">
        <w:rPr>
          <w:lang w:val="fr-FR" w:eastAsia="fr-FR" w:bidi="fr-FR"/>
        </w:rPr>
        <w:t>n</w:t>
      </w:r>
      <w:r w:rsidRPr="003B3476">
        <w:rPr>
          <w:lang w:val="fr-FR" w:eastAsia="fr-FR" w:bidi="fr-FR"/>
        </w:rPr>
        <w:t>ce des bureaux de Choiseul n’est qu’une conjecture, mais que l’exemple des Trois-Évêchés rend infiniment vraise</w:t>
      </w:r>
      <w:r w:rsidRPr="003B3476">
        <w:rPr>
          <w:lang w:val="fr-FR" w:eastAsia="fr-FR" w:bidi="fr-FR"/>
        </w:rPr>
        <w:t>m</w:t>
      </w:r>
      <w:r w:rsidRPr="003B3476">
        <w:rPr>
          <w:lang w:val="fr-FR" w:eastAsia="fr-FR" w:bidi="fr-FR"/>
        </w:rPr>
        <w:t>blable.</w:t>
      </w:r>
    </w:p>
  </w:footnote>
  <w:footnote w:id="250">
    <w:p w14:paraId="6C4DB4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dossier de cette affaire se trouve dispersé entre les deux liasses, Gironde, C 61 et 3170.</w:t>
      </w:r>
    </w:p>
  </w:footnote>
  <w:footnote w:id="251">
    <w:p w14:paraId="7C0C2F0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Lettres de Terray à d’Ormesson, 7 déc. 1773 et 1</w:t>
      </w:r>
      <w:r w:rsidRPr="003B3476">
        <w:rPr>
          <w:vertAlign w:val="superscript"/>
          <w:lang w:val="fr-FR" w:eastAsia="fr-FR" w:bidi="fr-FR"/>
        </w:rPr>
        <w:t>er</w:t>
      </w:r>
      <w:r w:rsidRPr="003B3476">
        <w:rPr>
          <w:lang w:val="fr-FR" w:eastAsia="fr-FR" w:bidi="fr-FR"/>
        </w:rPr>
        <w:t xml:space="preserve"> février 1774 : H 1495, n</w:t>
      </w:r>
      <w:r w:rsidRPr="003B3476">
        <w:rPr>
          <w:vertAlign w:val="superscript"/>
          <w:lang w:val="fr-FR" w:eastAsia="fr-FR" w:bidi="fr-FR"/>
        </w:rPr>
        <w:t>os</w:t>
      </w:r>
      <w:r w:rsidRPr="003B3476">
        <w:rPr>
          <w:lang w:val="fr-FR" w:eastAsia="fr-FR" w:bidi="fr-FR"/>
        </w:rPr>
        <w:t xml:space="preserve"> 53 et 54 ; </w:t>
      </w:r>
      <w:r w:rsidRPr="003B3476">
        <w:rPr>
          <w:rStyle w:val="Notedebasdepage65ptItalique"/>
          <w:b w:val="0"/>
          <w:sz w:val="24"/>
        </w:rPr>
        <w:t>Inventaire des dossiers relatifs aux dessechemens</w:t>
      </w:r>
      <w:r w:rsidRPr="003B3476">
        <w:t xml:space="preserve">, </w:t>
      </w:r>
      <w:r w:rsidRPr="003B3476">
        <w:rPr>
          <w:rStyle w:val="Notedebasdepage65ptItalique"/>
          <w:b w:val="0"/>
          <w:sz w:val="24"/>
        </w:rPr>
        <w:t>defrichemens</w:t>
      </w:r>
      <w:r w:rsidRPr="003B3476">
        <w:t xml:space="preserve">, </w:t>
      </w:r>
      <w:r w:rsidRPr="003B3476">
        <w:rPr>
          <w:rStyle w:val="Notedebasdepage65ptItalique"/>
          <w:b w:val="0"/>
          <w:sz w:val="24"/>
        </w:rPr>
        <w:t xml:space="preserve">abolition du droit de parcours et partage des communaux qui étoient dans le département de </w:t>
      </w:r>
      <w:r w:rsidRPr="003B3476">
        <w:rPr>
          <w:i/>
        </w:rPr>
        <w:t>M.</w:t>
      </w:r>
      <w:r w:rsidRPr="003B3476">
        <w:t xml:space="preserve"> </w:t>
      </w:r>
      <w:r w:rsidRPr="003B3476">
        <w:rPr>
          <w:rStyle w:val="Notedebasdepage65ptItalique"/>
          <w:b w:val="0"/>
          <w:sz w:val="24"/>
        </w:rPr>
        <w:t>d’Ormesson,</w:t>
      </w:r>
      <w:r w:rsidRPr="003B3476">
        <w:t xml:space="preserve"> </w:t>
      </w:r>
      <w:r w:rsidRPr="003B3476">
        <w:rPr>
          <w:lang w:val="fr-FR" w:eastAsia="fr-FR" w:bidi="fr-FR"/>
        </w:rPr>
        <w:t>remis, le 22 mars 1774, au « Premier Co</w:t>
      </w:r>
      <w:r w:rsidRPr="003B3476">
        <w:rPr>
          <w:lang w:val="fr-FR" w:eastAsia="fr-FR" w:bidi="fr-FR"/>
        </w:rPr>
        <w:t>m</w:t>
      </w:r>
      <w:r w:rsidRPr="003B3476">
        <w:rPr>
          <w:lang w:val="fr-FR" w:eastAsia="fr-FR" w:bidi="fr-FR"/>
        </w:rPr>
        <w:t>mis du Controlle général » : H 1627, n° 96.</w:t>
      </w:r>
    </w:p>
  </w:footnote>
  <w:footnote w:id="252">
    <w:p w14:paraId="7A749C5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document essentiel est le mémoire du subdélégué de Boulogne du 31 janv. 1769 (réponse à l’enquête Laverdy) : Somme, C 136. Sur les règles agraires. </w:t>
      </w:r>
      <w:r w:rsidRPr="003B3476">
        <w:rPr>
          <w:rStyle w:val="Notedebasdepage65ptItalique"/>
          <w:b w:val="0"/>
          <w:sz w:val="24"/>
        </w:rPr>
        <w:t>Coutume</w:t>
      </w:r>
      <w:r w:rsidRPr="003B3476">
        <w:rPr>
          <w:lang w:val="fr-FR" w:eastAsia="fr-FR" w:bidi="fr-FR"/>
        </w:rPr>
        <w:t>, art. 131 et 133.</w:t>
      </w:r>
    </w:p>
  </w:footnote>
  <w:footnote w:id="253">
    <w:p w14:paraId="669DD6F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2 février 1769 : Somme, C 136. Le subdélégué, dans ses </w:t>
      </w:r>
      <w:r w:rsidRPr="003B3476">
        <w:rPr>
          <w:bCs/>
          <w:i/>
        </w:rPr>
        <w:t>Observations</w:t>
      </w:r>
      <w:r w:rsidRPr="003B3476">
        <w:rPr>
          <w:lang w:val="fr-FR" w:eastAsia="fr-FR" w:bidi="fr-FR"/>
        </w:rPr>
        <w:t xml:space="preserve"> en r</w:t>
      </w:r>
      <w:r w:rsidRPr="003B3476">
        <w:rPr>
          <w:lang w:val="fr-FR" w:eastAsia="fr-FR" w:bidi="fr-FR"/>
        </w:rPr>
        <w:t>é</w:t>
      </w:r>
      <w:r w:rsidRPr="003B3476">
        <w:rPr>
          <w:lang w:val="fr-FR" w:eastAsia="fr-FR" w:bidi="fr-FR"/>
        </w:rPr>
        <w:t xml:space="preserve">ponse à ce mémoire (23 février, </w:t>
      </w:r>
      <w:r w:rsidRPr="003B3476">
        <w:rPr>
          <w:bCs/>
          <w:i/>
        </w:rPr>
        <w:t>ibid</w:t>
      </w:r>
      <w:r w:rsidRPr="003B3476">
        <w:rPr>
          <w:lang w:val="fr-FR" w:eastAsia="fr-FR" w:bidi="fr-FR"/>
        </w:rPr>
        <w:t>.), indique comme son auteur probable « M. de Montgarin ».</w:t>
      </w:r>
    </w:p>
  </w:footnote>
  <w:footnote w:id="254">
    <w:p w14:paraId="504CD8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 1485, n° 272.</w:t>
      </w:r>
    </w:p>
  </w:footnote>
  <w:footnote w:id="255">
    <w:p w14:paraId="2F1CD87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n’y a lieu d’indiquer que pour mémoire l’édit du 11 mars 1780 étendant l’application de l’édit de mars 1769 relatif à la Champagne à deux paroisses de la Généralité de Paris, Villiers-sur-Seine et Noyen (AD IV, 1 ; </w:t>
      </w:r>
      <w:r w:rsidRPr="003B3476">
        <w:rPr>
          <w:bCs/>
          <w:i/>
        </w:rPr>
        <w:t>cf.</w:t>
      </w:r>
      <w:r w:rsidRPr="003B3476">
        <w:rPr>
          <w:lang w:val="fr-FR" w:eastAsia="fr-FR" w:bidi="fr-FR"/>
        </w:rPr>
        <w:t xml:space="preserve"> H 1487, dossier N et Bibl. Nat., Joly de Fleury 540, fol. 122-128). Mesure toute locale, destinée à faire cesser un criant abus : certaines communautés champenoises avaient continué à exercer leur droit de parcours sur les territoires de ces deux paroisses dont les habitants, en vertu de l’édit de 1769, ne pouvaient plus user de réciprocité. Les habitants de Villiers avaient d’ailleurs demandé un acte d’une portée plus générale : l’extension de l’édit à tout le bailliage de Pr</w:t>
      </w:r>
      <w:r w:rsidRPr="003B3476">
        <w:rPr>
          <w:lang w:val="fr-FR" w:eastAsia="fr-FR" w:bidi="fr-FR"/>
        </w:rPr>
        <w:t>o</w:t>
      </w:r>
      <w:r w:rsidRPr="003B3476">
        <w:rPr>
          <w:lang w:val="fr-FR" w:eastAsia="fr-FR" w:bidi="fr-FR"/>
        </w:rPr>
        <w:t>vins ; l’intendant de Paris fit rejeter ce projet ; la mode n’était plus aux gra</w:t>
      </w:r>
      <w:r w:rsidRPr="003B3476">
        <w:rPr>
          <w:lang w:val="fr-FR" w:eastAsia="fr-FR" w:bidi="fr-FR"/>
        </w:rPr>
        <w:t>n</w:t>
      </w:r>
      <w:r w:rsidRPr="003B3476">
        <w:rPr>
          <w:lang w:val="fr-FR" w:eastAsia="fr-FR" w:bidi="fr-FR"/>
        </w:rPr>
        <w:t>des ordonnances.</w:t>
      </w:r>
    </w:p>
  </w:footnote>
  <w:footnote w:id="256">
    <w:p w14:paraId="00A82F8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Note mise en marge d’un Mémoire rédigé sans doute par d’Ailly (H 1495, n° 32) et dont on a, sous les n</w:t>
      </w:r>
      <w:r w:rsidRPr="003B3476">
        <w:rPr>
          <w:vertAlign w:val="superscript"/>
          <w:lang w:val="fr-FR" w:eastAsia="fr-FR" w:bidi="fr-FR"/>
        </w:rPr>
        <w:t>os</w:t>
      </w:r>
      <w:r w:rsidRPr="003B3476">
        <w:rPr>
          <w:lang w:val="fr-FR" w:eastAsia="fr-FR" w:bidi="fr-FR"/>
        </w:rPr>
        <w:t xml:space="preserve"> 56 et 31, deux premières ébauches.</w:t>
      </w:r>
    </w:p>
  </w:footnote>
  <w:footnote w:id="257">
    <w:p w14:paraId="4F335A8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75ptNonItalique"/>
          <w:b w:val="0"/>
          <w:i w:val="0"/>
          <w:iCs w:val="0"/>
          <w:sz w:val="24"/>
        </w:rPr>
        <w:t xml:space="preserve">Procès-verbaux publiés par </w:t>
      </w:r>
      <w:r w:rsidRPr="003B3476">
        <w:rPr>
          <w:rStyle w:val="Notedebasdepage6NonGrasNonItalique"/>
          <w:b w:val="0"/>
          <w:bCs w:val="0"/>
          <w:i w:val="0"/>
          <w:iCs w:val="0"/>
          <w:smallCaps/>
          <w:sz w:val="24"/>
        </w:rPr>
        <w:t>Pigeonneau</w:t>
      </w:r>
      <w:r w:rsidRPr="003B3476">
        <w:rPr>
          <w:rStyle w:val="Notedebasdepage6NonGrasNonItalique"/>
          <w:b w:val="0"/>
          <w:bCs w:val="0"/>
          <w:i w:val="0"/>
          <w:iCs w:val="0"/>
          <w:sz w:val="24"/>
        </w:rPr>
        <w:t xml:space="preserve"> </w:t>
      </w:r>
      <w:r w:rsidRPr="003B3476">
        <w:rPr>
          <w:rStyle w:val="Notedebasdepage675ptNonItalique"/>
          <w:b w:val="0"/>
          <w:i w:val="0"/>
          <w:iCs w:val="0"/>
          <w:sz w:val="24"/>
        </w:rPr>
        <w:t xml:space="preserve">et de </w:t>
      </w:r>
      <w:r w:rsidRPr="003B3476">
        <w:rPr>
          <w:rStyle w:val="Notedebasdepage6NonGrasNonItalique"/>
          <w:b w:val="0"/>
          <w:bCs w:val="0"/>
          <w:i w:val="0"/>
          <w:iCs w:val="0"/>
          <w:smallCaps/>
          <w:sz w:val="24"/>
        </w:rPr>
        <w:t>Foville</w:t>
      </w:r>
      <w:r w:rsidRPr="003B3476">
        <w:rPr>
          <w:rStyle w:val="Notedebasdepage6NonGrasNonItalique"/>
          <w:b w:val="0"/>
          <w:bCs w:val="0"/>
          <w:i w:val="0"/>
          <w:iCs w:val="0"/>
          <w:sz w:val="24"/>
        </w:rPr>
        <w:t>, </w:t>
      </w:r>
      <w:r w:rsidRPr="003B3476">
        <w:rPr>
          <w:rStyle w:val="Notedebasdepage6NonGrasNonItalique"/>
          <w:b w:val="0"/>
          <w:bCs w:val="0"/>
          <w:iCs w:val="0"/>
          <w:sz w:val="24"/>
        </w:rPr>
        <w:t>L’</w:t>
      </w:r>
      <w:r w:rsidRPr="003B3476">
        <w:rPr>
          <w:lang w:val="fr-FR" w:eastAsia="fr-FR" w:bidi="fr-FR"/>
        </w:rPr>
        <w:t xml:space="preserve">administration </w:t>
      </w:r>
      <w:r w:rsidRPr="003B3476">
        <w:rPr>
          <w:i/>
          <w:lang w:val="fr-FR" w:eastAsia="fr-FR" w:bidi="fr-FR"/>
        </w:rPr>
        <w:t>de l’agriculture au Contrôle général des Finances </w:t>
      </w:r>
      <w:r w:rsidRPr="003B3476">
        <w:rPr>
          <w:lang w:val="fr-FR" w:eastAsia="fr-FR" w:bidi="fr-FR"/>
        </w:rPr>
        <w:t>;</w:t>
      </w:r>
      <w:r w:rsidRPr="003B3476">
        <w:rPr>
          <w:bCs/>
          <w:i/>
          <w:iCs/>
        </w:rPr>
        <w:t xml:space="preserve"> </w:t>
      </w:r>
      <w:r w:rsidRPr="003B3476">
        <w:rPr>
          <w:i/>
          <w:lang w:val="fr-FR" w:eastAsia="fr-FR" w:bidi="fr-FR"/>
        </w:rPr>
        <w:t>cf.</w:t>
      </w:r>
      <w:r w:rsidRPr="003B3476">
        <w:rPr>
          <w:rStyle w:val="Notedebasdepage67ptNonItalique"/>
          <w:b w:val="0"/>
          <w:i w:val="0"/>
          <w:iCs w:val="0"/>
          <w:sz w:val="24"/>
        </w:rPr>
        <w:t xml:space="preserve"> </w:t>
      </w:r>
      <w:r w:rsidRPr="003B3476">
        <w:rPr>
          <w:rStyle w:val="Notedebasdepage675ptNonItalique"/>
          <w:b w:val="0"/>
          <w:i w:val="0"/>
          <w:iCs w:val="0"/>
          <w:sz w:val="24"/>
        </w:rPr>
        <w:t xml:space="preserve">aussi G. de </w:t>
      </w:r>
      <w:r w:rsidRPr="003B3476">
        <w:rPr>
          <w:rStyle w:val="Notedebasdepage6NonGrasNonItalique"/>
          <w:b w:val="0"/>
          <w:bCs w:val="0"/>
          <w:i w:val="0"/>
          <w:iCs w:val="0"/>
          <w:smallCaps/>
          <w:sz w:val="24"/>
        </w:rPr>
        <w:t>La</w:t>
      </w:r>
      <w:r w:rsidRPr="003B3476">
        <w:rPr>
          <w:rStyle w:val="Notedebasdepage6NonGrasNonItalique"/>
          <w:b w:val="0"/>
          <w:bCs w:val="0"/>
          <w:i w:val="0"/>
          <w:iCs w:val="0"/>
          <w:sz w:val="24"/>
        </w:rPr>
        <w:t> </w:t>
      </w:r>
      <w:r w:rsidRPr="003B3476">
        <w:rPr>
          <w:rStyle w:val="Notedebasdepage6NonGrasNonItalique"/>
          <w:b w:val="0"/>
          <w:bCs w:val="0"/>
          <w:i w:val="0"/>
          <w:iCs w:val="0"/>
          <w:smallCaps/>
          <w:sz w:val="24"/>
        </w:rPr>
        <w:t>Fournière</w:t>
      </w:r>
      <w:r w:rsidRPr="003B3476">
        <w:rPr>
          <w:rStyle w:val="Notedebasdepage6NonGrasNonItalique"/>
          <w:b w:val="0"/>
          <w:bCs w:val="0"/>
          <w:i w:val="0"/>
          <w:iCs w:val="0"/>
          <w:sz w:val="24"/>
        </w:rPr>
        <w:t xml:space="preserve">, </w:t>
      </w:r>
      <w:r w:rsidRPr="003B3476">
        <w:rPr>
          <w:rStyle w:val="Notedebasdepage675ptNonItalique"/>
          <w:b w:val="0"/>
          <w:i w:val="0"/>
          <w:iCs w:val="0"/>
          <w:sz w:val="24"/>
        </w:rPr>
        <w:t xml:space="preserve">dans le </w:t>
      </w:r>
      <w:r w:rsidRPr="003B3476">
        <w:rPr>
          <w:lang w:val="fr-FR" w:eastAsia="fr-FR" w:bidi="fr-FR"/>
        </w:rPr>
        <w:t xml:space="preserve">Bulletin </w:t>
      </w:r>
      <w:r w:rsidRPr="003B3476">
        <w:rPr>
          <w:i/>
          <w:lang w:val="fr-FR" w:eastAsia="fr-FR" w:bidi="fr-FR"/>
        </w:rPr>
        <w:t>du Comité des Travaux historiques</w:t>
      </w:r>
      <w:r w:rsidRPr="003B3476">
        <w:rPr>
          <w:rStyle w:val="Notedebasdepage67ptNonItalique"/>
          <w:b w:val="0"/>
          <w:i w:val="0"/>
          <w:iCs w:val="0"/>
          <w:sz w:val="24"/>
        </w:rPr>
        <w:t xml:space="preserve">, </w:t>
      </w:r>
      <w:r w:rsidRPr="003B3476">
        <w:rPr>
          <w:i/>
          <w:lang w:val="fr-FR" w:eastAsia="fr-FR" w:bidi="fr-FR"/>
        </w:rPr>
        <w:t>Section des Sciences économiques</w:t>
      </w:r>
      <w:r w:rsidRPr="003B3476">
        <w:rPr>
          <w:rStyle w:val="Notedebasdepage675ptNonItalique"/>
          <w:b w:val="0"/>
          <w:i w:val="0"/>
          <w:iCs w:val="0"/>
          <w:sz w:val="24"/>
        </w:rPr>
        <w:t>, 1909.</w:t>
      </w:r>
    </w:p>
  </w:footnote>
  <w:footnote w:id="258">
    <w:p w14:paraId="0023DD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NonGras"/>
          <w:b w:val="0"/>
          <w:bCs w:val="0"/>
          <w:smallCaps/>
          <w:sz w:val="24"/>
        </w:rPr>
        <w:t>Pigeonneau</w:t>
      </w:r>
      <w:r w:rsidRPr="003B3476">
        <w:rPr>
          <w:rStyle w:val="Notedebasdepage65ptNonGras"/>
          <w:b w:val="0"/>
          <w:bCs w:val="0"/>
          <w:sz w:val="24"/>
        </w:rPr>
        <w:t xml:space="preserve"> et de </w:t>
      </w:r>
      <w:r w:rsidRPr="003B3476">
        <w:rPr>
          <w:rStyle w:val="Notedebasdepage65ptNonGras"/>
          <w:b w:val="0"/>
          <w:bCs w:val="0"/>
          <w:smallCaps/>
          <w:sz w:val="24"/>
        </w:rPr>
        <w:t>Foville</w:t>
      </w:r>
      <w:r w:rsidRPr="003B3476">
        <w:rPr>
          <w:rStyle w:val="Notedebasdepage65ptNonGras"/>
          <w:b w:val="0"/>
          <w:bCs w:val="0"/>
          <w:sz w:val="24"/>
        </w:rPr>
        <w:t xml:space="preserve">, </w:t>
      </w:r>
      <w:r w:rsidRPr="003B3476">
        <w:rPr>
          <w:lang w:val="fr-FR" w:eastAsia="fr-FR" w:bidi="fr-FR"/>
        </w:rPr>
        <w:t xml:space="preserve">p. 319 </w:t>
      </w:r>
      <w:r w:rsidRPr="003B3476">
        <w:rPr>
          <w:rStyle w:val="Notedebasdepage65ptNonGras"/>
          <w:b w:val="0"/>
          <w:bCs w:val="0"/>
          <w:sz w:val="24"/>
        </w:rPr>
        <w:t xml:space="preserve">et </w:t>
      </w:r>
      <w:r w:rsidRPr="003B3476">
        <w:rPr>
          <w:lang w:val="fr-FR" w:eastAsia="fr-FR" w:bidi="fr-FR"/>
        </w:rPr>
        <w:t xml:space="preserve">330. Pour l’opinion </w:t>
      </w:r>
      <w:r w:rsidRPr="003B3476">
        <w:rPr>
          <w:rStyle w:val="Notedebasdepage65ptNonGras"/>
          <w:b w:val="0"/>
          <w:bCs w:val="0"/>
          <w:sz w:val="24"/>
        </w:rPr>
        <w:t xml:space="preserve">de </w:t>
      </w:r>
      <w:r w:rsidRPr="003B3476">
        <w:rPr>
          <w:lang w:val="fr-FR" w:eastAsia="fr-FR" w:bidi="fr-FR"/>
        </w:rPr>
        <w:t xml:space="preserve">Lavoisier sur </w:t>
      </w:r>
      <w:r w:rsidRPr="003B3476">
        <w:rPr>
          <w:rStyle w:val="Notedebasdepage65ptNonGras"/>
          <w:b w:val="0"/>
          <w:bCs w:val="0"/>
          <w:sz w:val="24"/>
        </w:rPr>
        <w:t xml:space="preserve">le </w:t>
      </w:r>
      <w:r w:rsidRPr="003B3476">
        <w:rPr>
          <w:lang w:val="fr-FR" w:eastAsia="fr-FR" w:bidi="fr-FR"/>
        </w:rPr>
        <w:t xml:space="preserve">parcours, </w:t>
      </w:r>
      <w:r w:rsidRPr="003B3476">
        <w:rPr>
          <w:rStyle w:val="Notedebasdepage65ptItalique"/>
          <w:b w:val="0"/>
          <w:sz w:val="24"/>
        </w:rPr>
        <w:t>ibid.,</w:t>
      </w:r>
      <w:r w:rsidRPr="003B3476">
        <w:rPr>
          <w:bCs/>
        </w:rPr>
        <w:t xml:space="preserve"> </w:t>
      </w:r>
      <w:r w:rsidRPr="003B3476">
        <w:rPr>
          <w:lang w:val="fr-FR" w:eastAsia="fr-FR" w:bidi="fr-FR"/>
        </w:rPr>
        <w:t>p. 410-411.</w:t>
      </w:r>
    </w:p>
  </w:footnote>
  <w:footnote w:id="259">
    <w:p w14:paraId="7AEBFC7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est vrai qu’un nouveau Comité fut reconstitué en 1788 ; mais, composé de 8 membres choisis dan la </w:t>
      </w:r>
      <w:r w:rsidRPr="003B3476">
        <w:rPr>
          <w:rStyle w:val="Notedebasdepage65ptItalique"/>
          <w:b w:val="0"/>
          <w:sz w:val="24"/>
        </w:rPr>
        <w:t>Société royale d’Agriculture</w:t>
      </w:r>
      <w:r w:rsidRPr="003B3476">
        <w:rPr>
          <w:bCs/>
        </w:rPr>
        <w:t xml:space="preserve"> </w:t>
      </w:r>
      <w:r w:rsidRPr="003B3476">
        <w:rPr>
          <w:lang w:val="fr-FR" w:eastAsia="fr-FR" w:bidi="fr-FR"/>
        </w:rPr>
        <w:t xml:space="preserve">(ancienne </w:t>
      </w:r>
      <w:r w:rsidRPr="003B3476">
        <w:rPr>
          <w:rStyle w:val="Notedebasdepage65ptItalique"/>
          <w:b w:val="0"/>
          <w:sz w:val="24"/>
        </w:rPr>
        <w:t xml:space="preserve">Société d’Agriculture de la Généralité de Paris), </w:t>
      </w:r>
      <w:r w:rsidRPr="003B3476">
        <w:rPr>
          <w:lang w:val="fr-FR" w:eastAsia="fr-FR" w:bidi="fr-FR"/>
        </w:rPr>
        <w:t>il ne devait, dit un Mémoire appro</w:t>
      </w:r>
      <w:r w:rsidRPr="003B3476">
        <w:rPr>
          <w:lang w:val="fr-FR" w:eastAsia="fr-FR" w:bidi="fr-FR"/>
        </w:rPr>
        <w:t>u</w:t>
      </w:r>
      <w:r w:rsidRPr="003B3476">
        <w:rPr>
          <w:lang w:val="fr-FR" w:eastAsia="fr-FR" w:bidi="fr-FR"/>
        </w:rPr>
        <w:t>vé le 6 juillet 1788 (H 1505, n° 274), compter dans son sein « aucuns magi</w:t>
      </w:r>
      <w:r w:rsidRPr="003B3476">
        <w:rPr>
          <w:lang w:val="fr-FR" w:eastAsia="fr-FR" w:bidi="fr-FR"/>
        </w:rPr>
        <w:t>s</w:t>
      </w:r>
      <w:r w:rsidRPr="003B3476">
        <w:rPr>
          <w:lang w:val="fr-FR" w:eastAsia="fr-FR" w:bidi="fr-FR"/>
        </w:rPr>
        <w:t xml:space="preserve">trats du Conseil dont la présence paroistroit donner une espèce de sanctions à des travaux qui ne peuvent jamais être que des propositions ». </w:t>
      </w:r>
      <w:r w:rsidRPr="003B3476">
        <w:rPr>
          <w:rStyle w:val="Notedebasdepage65ptItalique"/>
          <w:b w:val="0"/>
          <w:sz w:val="24"/>
        </w:rPr>
        <w:t>Cf.</w:t>
      </w:r>
      <w:r w:rsidRPr="003B3476">
        <w:rPr>
          <w:bCs/>
        </w:rPr>
        <w:t> </w:t>
      </w:r>
      <w:r w:rsidRPr="003B3476">
        <w:rPr>
          <w:lang w:val="fr-FR" w:eastAsia="fr-FR" w:bidi="fr-FR"/>
        </w:rPr>
        <w:t>H 1516, n</w:t>
      </w:r>
      <w:r w:rsidRPr="003B3476">
        <w:rPr>
          <w:vertAlign w:val="superscript"/>
          <w:lang w:val="fr-FR" w:eastAsia="fr-FR" w:bidi="fr-FR"/>
        </w:rPr>
        <w:t>os</w:t>
      </w:r>
      <w:r w:rsidRPr="003B3476">
        <w:rPr>
          <w:lang w:val="fr-FR" w:eastAsia="fr-FR" w:bidi="fr-FR"/>
        </w:rPr>
        <w:t xml:space="preserve"> 10 et 13 ; H 1501, n</w:t>
      </w:r>
      <w:r w:rsidRPr="003B3476">
        <w:rPr>
          <w:vertAlign w:val="superscript"/>
          <w:lang w:val="fr-FR" w:eastAsia="fr-FR" w:bidi="fr-FR"/>
        </w:rPr>
        <w:t>os</w:t>
      </w:r>
      <w:r w:rsidRPr="003B3476">
        <w:rPr>
          <w:lang w:val="fr-FR" w:eastAsia="fr-FR" w:bidi="fr-FR"/>
        </w:rPr>
        <w:t xml:space="preserve"> 262 </w:t>
      </w:r>
      <w:r w:rsidRPr="003B3476">
        <w:rPr>
          <w:rStyle w:val="Notedebasdepage105ptNonGras"/>
          <w:b w:val="0"/>
          <w:bCs w:val="0"/>
          <w:sz w:val="24"/>
        </w:rPr>
        <w:t xml:space="preserve">à </w:t>
      </w:r>
      <w:r w:rsidRPr="003B3476">
        <w:rPr>
          <w:lang w:val="fr-FR" w:eastAsia="fr-FR" w:bidi="fr-FR"/>
        </w:rPr>
        <w:t xml:space="preserve">274 ; H 1522, fol. 21 v° et suiv. ; </w:t>
      </w:r>
      <w:r w:rsidRPr="003B3476">
        <w:rPr>
          <w:bCs/>
        </w:rPr>
        <w:t xml:space="preserve">G. </w:t>
      </w:r>
      <w:r w:rsidRPr="003B3476">
        <w:rPr>
          <w:lang w:val="fr-FR" w:eastAsia="fr-FR" w:bidi="fr-FR"/>
        </w:rPr>
        <w:t xml:space="preserve">de </w:t>
      </w:r>
      <w:r w:rsidRPr="003B3476">
        <w:rPr>
          <w:rStyle w:val="Notedebasdepage65ptNonGras"/>
          <w:b w:val="0"/>
          <w:bCs w:val="0"/>
          <w:smallCaps/>
          <w:sz w:val="24"/>
        </w:rPr>
        <w:t>La Fou</w:t>
      </w:r>
      <w:r w:rsidRPr="003B3476">
        <w:rPr>
          <w:rStyle w:val="Notedebasdepage65ptNonGras"/>
          <w:b w:val="0"/>
          <w:bCs w:val="0"/>
          <w:smallCaps/>
          <w:sz w:val="24"/>
        </w:rPr>
        <w:t>r</w:t>
      </w:r>
      <w:r w:rsidRPr="003B3476">
        <w:rPr>
          <w:rStyle w:val="Notedebasdepage65ptNonGras"/>
          <w:b w:val="0"/>
          <w:bCs w:val="0"/>
          <w:smallCaps/>
          <w:sz w:val="24"/>
        </w:rPr>
        <w:t>nière</w:t>
      </w:r>
      <w:r w:rsidRPr="003B3476">
        <w:rPr>
          <w:rStyle w:val="Notedebasdepage65ptNonGras"/>
          <w:b w:val="0"/>
          <w:bCs w:val="0"/>
          <w:sz w:val="24"/>
        </w:rPr>
        <w:t xml:space="preserve">, </w:t>
      </w:r>
      <w:r w:rsidRPr="003B3476">
        <w:rPr>
          <w:lang w:val="fr-FR" w:eastAsia="fr-FR" w:bidi="fr-FR"/>
        </w:rPr>
        <w:t xml:space="preserve">p. 103-104 ; Louis </w:t>
      </w:r>
      <w:r w:rsidRPr="003B3476">
        <w:rPr>
          <w:rStyle w:val="Notedebasdepage65ptNonGras"/>
          <w:b w:val="0"/>
          <w:bCs w:val="0"/>
          <w:smallCaps/>
          <w:sz w:val="24"/>
        </w:rPr>
        <w:t>Passy</w:t>
      </w:r>
      <w:r w:rsidRPr="003B3476">
        <w:rPr>
          <w:rStyle w:val="Notedebasdepage65ptNonGras"/>
          <w:b w:val="0"/>
          <w:bCs w:val="0"/>
          <w:sz w:val="24"/>
        </w:rPr>
        <w:t xml:space="preserve">, </w:t>
      </w:r>
      <w:r w:rsidRPr="003B3476">
        <w:rPr>
          <w:lang w:val="fr-FR" w:eastAsia="fr-FR" w:bidi="fr-FR"/>
        </w:rPr>
        <w:t xml:space="preserve">t. I, p. 182 et suiv. ; L. de </w:t>
      </w:r>
      <w:r w:rsidRPr="003B3476">
        <w:rPr>
          <w:rStyle w:val="Notedebasdepage65ptNonGras"/>
          <w:b w:val="0"/>
          <w:bCs w:val="0"/>
          <w:smallCaps/>
          <w:sz w:val="24"/>
        </w:rPr>
        <w:t>Lavergne</w:t>
      </w:r>
      <w:r w:rsidRPr="003B3476">
        <w:rPr>
          <w:rStyle w:val="Notedebasdepage65ptNonGras"/>
          <w:b w:val="0"/>
          <w:bCs w:val="0"/>
          <w:sz w:val="24"/>
        </w:rPr>
        <w:t xml:space="preserve">, </w:t>
      </w:r>
      <w:r w:rsidRPr="003B3476">
        <w:rPr>
          <w:rStyle w:val="Notedebasdepage65ptItalique"/>
          <w:b w:val="0"/>
          <w:sz w:val="24"/>
        </w:rPr>
        <w:t>Les Économistes français du dix-huitième siècle</w:t>
      </w:r>
      <w:r w:rsidRPr="003B3476">
        <w:rPr>
          <w:lang w:val="fr-FR" w:eastAsia="fr-FR" w:bidi="fr-FR"/>
        </w:rPr>
        <w:t>, 1870, p. 465.</w:t>
      </w:r>
    </w:p>
  </w:footnote>
  <w:footnote w:id="260">
    <w:p w14:paraId="4A41A3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Voir tout le dossier de l’affaire, H 1485.</w:t>
      </w:r>
    </w:p>
  </w:footnote>
  <w:footnote w:id="261">
    <w:p w14:paraId="53282D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Cf.</w:t>
      </w:r>
      <w:r w:rsidRPr="003B3476">
        <w:rPr>
          <w:bCs/>
        </w:rPr>
        <w:t xml:space="preserve"> </w:t>
      </w:r>
      <w:r w:rsidRPr="003B3476">
        <w:rPr>
          <w:rStyle w:val="Notedebasdepage65ptNonGras"/>
          <w:b w:val="0"/>
          <w:bCs w:val="0"/>
          <w:smallCaps/>
          <w:sz w:val="24"/>
        </w:rPr>
        <w:t>Laumond</w:t>
      </w:r>
      <w:r w:rsidRPr="003B3476">
        <w:rPr>
          <w:rStyle w:val="Notedebasdepage65ptNonGras"/>
          <w:b w:val="0"/>
          <w:bCs w:val="0"/>
          <w:sz w:val="24"/>
        </w:rPr>
        <w:t xml:space="preserve">, </w:t>
      </w:r>
      <w:r w:rsidRPr="003B3476">
        <w:rPr>
          <w:rStyle w:val="Notedebasdepage65ptItalique"/>
          <w:b w:val="0"/>
          <w:sz w:val="24"/>
        </w:rPr>
        <w:t>Statistique du département du Bas-Rhin,</w:t>
      </w:r>
      <w:r w:rsidRPr="003B3476">
        <w:rPr>
          <w:bCs/>
        </w:rPr>
        <w:t xml:space="preserve"> </w:t>
      </w:r>
      <w:r w:rsidRPr="003B3476">
        <w:rPr>
          <w:lang w:val="fr-FR" w:eastAsia="fr-FR" w:bidi="fr-FR"/>
        </w:rPr>
        <w:t>an X, p. 2 et suiv. ; et un curieux mémoire du Stattmeistre Hoffmann, Seine-Inférieure, C 2120.</w:t>
      </w:r>
    </w:p>
  </w:footnote>
  <w:footnote w:id="262">
    <w:p w14:paraId="476450D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En 1785, le Lieutenant du Roi dans le Pays de Soûle avait suspendu les « parcours », de sa propre autorité ; on le pria de retirer cette ordonnance ent</w:t>
      </w:r>
      <w:r w:rsidRPr="003B3476">
        <w:rPr>
          <w:lang w:val="fr-FR" w:eastAsia="fr-FR" w:bidi="fr-FR"/>
        </w:rPr>
        <w:t>a</w:t>
      </w:r>
      <w:r w:rsidRPr="003B3476">
        <w:rPr>
          <w:lang w:val="fr-FR" w:eastAsia="fr-FR" w:bidi="fr-FR"/>
        </w:rPr>
        <w:t>chée d’abus de pouvoir : H 1513, n</w:t>
      </w:r>
      <w:r w:rsidRPr="003B3476">
        <w:rPr>
          <w:vertAlign w:val="superscript"/>
          <w:lang w:val="fr-FR" w:eastAsia="fr-FR" w:bidi="fr-FR"/>
        </w:rPr>
        <w:t>os</w:t>
      </w:r>
      <w:r w:rsidRPr="003B3476">
        <w:rPr>
          <w:lang w:val="fr-FR" w:eastAsia="fr-FR" w:bidi="fr-FR"/>
        </w:rPr>
        <w:t xml:space="preserve"> 9 et 10.</w:t>
      </w:r>
    </w:p>
  </w:footnote>
  <w:footnote w:id="263">
    <w:p w14:paraId="6E7F486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65ptItalique"/>
          <w:b w:val="0"/>
          <w:sz w:val="24"/>
        </w:rPr>
        <w:t>Revue de Synthèse</w:t>
      </w:r>
      <w:r w:rsidRPr="003B3476">
        <w:rPr>
          <w:lang w:val="fr-FR" w:eastAsia="fr-FR" w:bidi="fr-FR"/>
        </w:rPr>
        <w:t>, 1939, p. 63-77. Intervention de Marc Bloch à une semaine de Sy</w:t>
      </w:r>
      <w:r w:rsidRPr="003B3476">
        <w:rPr>
          <w:lang w:val="fr-FR" w:eastAsia="fr-FR" w:bidi="fr-FR"/>
        </w:rPr>
        <w:t>n</w:t>
      </w:r>
      <w:r w:rsidRPr="003B3476">
        <w:rPr>
          <w:lang w:val="fr-FR" w:eastAsia="fr-FR" w:bidi="fr-FR"/>
        </w:rPr>
        <w:t>thèse, au cours d’une séance qu’il présidait.</w:t>
      </w:r>
    </w:p>
  </w:footnote>
  <w:footnote w:id="264">
    <w:p w14:paraId="2409D6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Quelques-unes des idées qu’on trouvera exposées ci-dessous avaient été e</w:t>
      </w:r>
      <w:r w:rsidRPr="003B3476">
        <w:rPr>
          <w:lang w:val="fr-FR" w:eastAsia="fr-FR" w:bidi="fr-FR"/>
        </w:rPr>
        <w:t>s</w:t>
      </w:r>
      <w:r w:rsidRPr="003B3476">
        <w:rPr>
          <w:lang w:val="fr-FR" w:eastAsia="fr-FR" w:bidi="fr-FR"/>
        </w:rPr>
        <w:t xml:space="preserve">quissées en 1913 dans un petit volume sur </w:t>
      </w:r>
      <w:r w:rsidRPr="003B3476">
        <w:rPr>
          <w:rStyle w:val="Notedebasdepage65ptItalique"/>
          <w:b w:val="0"/>
          <w:sz w:val="24"/>
        </w:rPr>
        <w:t>l’Île-de-France</w:t>
      </w:r>
      <w:r w:rsidRPr="003B3476">
        <w:rPr>
          <w:bCs/>
        </w:rPr>
        <w:t xml:space="preserve"> </w:t>
      </w:r>
      <w:r w:rsidRPr="003B3476">
        <w:rPr>
          <w:lang w:val="fr-FR" w:eastAsia="fr-FR" w:bidi="fr-FR"/>
        </w:rPr>
        <w:t xml:space="preserve">qui fait partie des </w:t>
      </w:r>
      <w:r w:rsidRPr="003B3476">
        <w:rPr>
          <w:rStyle w:val="Notedebasdepage65ptItalique"/>
          <w:b w:val="0"/>
          <w:sz w:val="24"/>
        </w:rPr>
        <w:t>Publications de la Revue de Synthèse historique</w:t>
      </w:r>
      <w:r w:rsidRPr="003B3476">
        <w:rPr>
          <w:lang w:val="fr-FR" w:eastAsia="fr-FR" w:bidi="fr-FR"/>
        </w:rPr>
        <w:t xml:space="preserve">, texte reproduit </w:t>
      </w:r>
      <w:r w:rsidRPr="003B3476">
        <w:rPr>
          <w:rStyle w:val="Notedebasdepage65ptItalique"/>
          <w:b w:val="0"/>
          <w:sz w:val="24"/>
        </w:rPr>
        <w:t>infra,</w:t>
      </w:r>
      <w:r w:rsidRPr="003B3476">
        <w:rPr>
          <w:bCs/>
        </w:rPr>
        <w:t xml:space="preserve"> </w:t>
      </w:r>
      <w:r w:rsidRPr="003B3476">
        <w:rPr>
          <w:lang w:val="fr-FR" w:eastAsia="fr-FR" w:bidi="fr-FR"/>
        </w:rPr>
        <w:t>p. 692-747.</w:t>
      </w:r>
    </w:p>
  </w:footnote>
  <w:footnote w:id="265">
    <w:p w14:paraId="2870743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Monumenta Germaniae. Auctores Antiquissimi,</w:t>
      </w:r>
      <w:r w:rsidRPr="003B3476">
        <w:rPr>
          <w:bCs/>
        </w:rPr>
        <w:t xml:space="preserve"> t. IV, 2, p. 22.</w:t>
      </w:r>
    </w:p>
  </w:footnote>
  <w:footnote w:id="266">
    <w:p w14:paraId="7D26323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Dans le même sens, l’archidiaconé de Châteaudun, au diocèse de Chartres, comprenait un doyenné a de Beauce ».</w:t>
      </w:r>
    </w:p>
  </w:footnote>
  <w:footnote w:id="267">
    <w:p w14:paraId="3D60A36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Éd</w:t>
      </w:r>
      <w:r w:rsidRPr="009E1A63">
        <w:rPr>
          <w:lang w:val="fr-FR" w:eastAsia="fr-FR" w:bidi="fr-FR"/>
        </w:rPr>
        <w:t xml:space="preserve">. Mario </w:t>
      </w:r>
      <w:r w:rsidRPr="009E1A63">
        <w:rPr>
          <w:rStyle w:val="Notedebasdepage65ptNonGras"/>
          <w:b w:val="0"/>
          <w:bCs w:val="0"/>
          <w:smallCaps/>
          <w:sz w:val="24"/>
        </w:rPr>
        <w:t>Roques</w:t>
      </w:r>
      <w:r w:rsidRPr="009E1A63">
        <w:rPr>
          <w:rStyle w:val="Notedebasdepage65ptNonGras"/>
          <w:b w:val="0"/>
          <w:bCs w:val="0"/>
          <w:sz w:val="24"/>
        </w:rPr>
        <w:t xml:space="preserve"> </w:t>
      </w:r>
      <w:r w:rsidRPr="009E1A63">
        <w:rPr>
          <w:bCs/>
        </w:rPr>
        <w:t>(</w:t>
      </w:r>
      <w:r w:rsidRPr="009E1A63">
        <w:rPr>
          <w:bCs/>
          <w:i/>
        </w:rPr>
        <w:t>Les Classiques français du Moyen Age</w:t>
      </w:r>
      <w:r w:rsidRPr="009E1A63">
        <w:rPr>
          <w:bCs/>
        </w:rPr>
        <w:t>),</w:t>
      </w:r>
      <w:r w:rsidRPr="009E1A63">
        <w:rPr>
          <w:lang w:val="fr-FR" w:eastAsia="fr-FR" w:bidi="fr-FR"/>
        </w:rPr>
        <w:t xml:space="preserve"> p. 171, v. 5617 et suiv. Honnie = unie, plate</w:t>
      </w:r>
      <w:r w:rsidRPr="003B3476">
        <w:rPr>
          <w:lang w:val="fr-FR" w:eastAsia="fr-FR" w:bidi="fr-FR"/>
        </w:rPr>
        <w:t>.</w:t>
      </w:r>
    </w:p>
  </w:footnote>
  <w:footnote w:id="268">
    <w:p w14:paraId="3F6A38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75ptNonItalique"/>
          <w:b w:val="0"/>
          <w:i w:val="0"/>
          <w:iCs w:val="0"/>
        </w:rPr>
        <w:t xml:space="preserve">Éd. </w:t>
      </w:r>
      <w:r w:rsidRPr="003B3476">
        <w:rPr>
          <w:rStyle w:val="Notedebasdepage6NonGrasNonItalique"/>
          <w:b w:val="0"/>
          <w:bCs w:val="0"/>
          <w:i w:val="0"/>
          <w:iCs w:val="0"/>
          <w:smallCaps/>
        </w:rPr>
        <w:t>Waquet</w:t>
      </w:r>
      <w:r w:rsidRPr="003B3476">
        <w:rPr>
          <w:rStyle w:val="Notedebasdepage6NonGrasNonItalique"/>
          <w:b w:val="0"/>
          <w:bCs w:val="0"/>
          <w:i w:val="0"/>
          <w:iCs w:val="0"/>
        </w:rPr>
        <w:t xml:space="preserve"> </w:t>
      </w:r>
      <w:r w:rsidRPr="003B3476">
        <w:rPr>
          <w:lang w:val="fr-FR" w:eastAsia="fr-FR" w:bidi="fr-FR"/>
        </w:rPr>
        <w:t>(</w:t>
      </w:r>
      <w:r w:rsidRPr="003B3476">
        <w:rPr>
          <w:i/>
          <w:lang w:val="fr-FR" w:eastAsia="fr-FR" w:bidi="fr-FR"/>
        </w:rPr>
        <w:t>Les classiques de l'Histoire de France au Moyen Age</w:t>
      </w:r>
      <w:r w:rsidRPr="003B3476">
        <w:rPr>
          <w:lang w:val="fr-FR" w:eastAsia="fr-FR" w:bidi="fr-FR"/>
        </w:rPr>
        <w:t>),</w:t>
      </w:r>
      <w:r w:rsidRPr="003B3476">
        <w:rPr>
          <w:rStyle w:val="Notedebasdepage67ptNonItalique"/>
          <w:b w:val="0"/>
          <w:i w:val="0"/>
          <w:iCs w:val="0"/>
        </w:rPr>
        <w:t xml:space="preserve"> </w:t>
      </w:r>
      <w:r w:rsidRPr="003B3476">
        <w:rPr>
          <w:rStyle w:val="Notedebasdepage675ptNonItalique"/>
          <w:b w:val="0"/>
          <w:i w:val="0"/>
          <w:iCs w:val="0"/>
        </w:rPr>
        <w:t>XXI, p. 154-156.</w:t>
      </w:r>
    </w:p>
  </w:footnote>
  <w:footnote w:id="269">
    <w:p w14:paraId="6903B7C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Éd. J. </w:t>
      </w:r>
      <w:r w:rsidRPr="003B3476">
        <w:rPr>
          <w:rStyle w:val="Notedebasdepage65ptNonGrasPetitesmajuscules"/>
          <w:b w:val="0"/>
          <w:bCs w:val="0"/>
          <w:sz w:val="24"/>
        </w:rPr>
        <w:t xml:space="preserve">Huemer, </w:t>
      </w:r>
      <w:r w:rsidRPr="003B3476">
        <w:rPr>
          <w:lang w:val="fr-FR" w:eastAsia="fr-FR" w:bidi="fr-FR"/>
        </w:rPr>
        <w:t>p. 20 : « Bellum autem nonnisi in belsa hoc est in campo ag</w:t>
      </w:r>
      <w:r w:rsidRPr="003B3476">
        <w:rPr>
          <w:lang w:val="fr-FR" w:eastAsia="fr-FR" w:bidi="fr-FR"/>
        </w:rPr>
        <w:t>i</w:t>
      </w:r>
      <w:r w:rsidRPr="003B3476">
        <w:rPr>
          <w:lang w:val="fr-FR" w:eastAsia="fr-FR" w:bidi="fr-FR"/>
        </w:rPr>
        <w:t>tur. Belsa enim hoc dicitur quia belsa plurima quae sunt gramina profert ».</w:t>
      </w:r>
    </w:p>
  </w:footnote>
  <w:footnote w:id="270">
    <w:p w14:paraId="4EADB1F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75ptNonItalique"/>
          <w:b w:val="0"/>
          <w:i w:val="0"/>
          <w:iCs w:val="0"/>
          <w:sz w:val="24"/>
        </w:rPr>
        <w:t xml:space="preserve">J. </w:t>
      </w:r>
      <w:r w:rsidRPr="003B3476">
        <w:rPr>
          <w:rStyle w:val="Notedebasdepage6NonGrasNonItalique"/>
          <w:b w:val="0"/>
          <w:bCs w:val="0"/>
          <w:i w:val="0"/>
          <w:iCs w:val="0"/>
          <w:smallCaps/>
          <w:sz w:val="24"/>
        </w:rPr>
        <w:t>Depoin</w:t>
      </w:r>
      <w:r w:rsidRPr="003B3476">
        <w:rPr>
          <w:rStyle w:val="Notedebasdepage6NonGrasNonItalique"/>
          <w:b w:val="0"/>
          <w:bCs w:val="0"/>
          <w:i w:val="0"/>
          <w:iCs w:val="0"/>
          <w:sz w:val="24"/>
        </w:rPr>
        <w:t xml:space="preserve">, </w:t>
      </w:r>
      <w:r w:rsidRPr="003B3476">
        <w:rPr>
          <w:i/>
          <w:lang w:val="fr-FR" w:eastAsia="fr-FR" w:bidi="fr-FR"/>
        </w:rPr>
        <w:t>Liber testamentorum S. Martini</w:t>
      </w:r>
      <w:r w:rsidRPr="003B3476">
        <w:rPr>
          <w:bCs/>
          <w:i/>
          <w:iCs/>
        </w:rPr>
        <w:t>,</w:t>
      </w:r>
      <w:r w:rsidRPr="003B3476">
        <w:rPr>
          <w:rStyle w:val="Notedebasdepage675ptNonItalique"/>
          <w:b w:val="0"/>
          <w:i w:val="0"/>
          <w:iCs w:val="0"/>
          <w:sz w:val="24"/>
        </w:rPr>
        <w:t xml:space="preserve"> n° 85. — </w:t>
      </w:r>
      <w:r w:rsidRPr="003B3476">
        <w:rPr>
          <w:i/>
          <w:lang w:val="fr-FR" w:eastAsia="fr-FR" w:bidi="fr-FR"/>
        </w:rPr>
        <w:t>Recueil des Histor. de France</w:t>
      </w:r>
      <w:r w:rsidRPr="003B3476">
        <w:rPr>
          <w:lang w:val="fr-FR" w:eastAsia="fr-FR" w:bidi="fr-FR"/>
        </w:rPr>
        <w:t xml:space="preserve">, </w:t>
      </w:r>
      <w:r w:rsidRPr="003B3476">
        <w:rPr>
          <w:rStyle w:val="Notedebasdepage675ptNonItalique"/>
          <w:b w:val="0"/>
          <w:i w:val="0"/>
          <w:iCs w:val="0"/>
          <w:sz w:val="24"/>
        </w:rPr>
        <w:t xml:space="preserve">t. X, p. 556, et J. </w:t>
      </w:r>
      <w:r w:rsidRPr="003B3476">
        <w:rPr>
          <w:rStyle w:val="Notedebasdepage6NonGrasNonItalique"/>
          <w:b w:val="0"/>
          <w:bCs w:val="0"/>
          <w:i w:val="0"/>
          <w:iCs w:val="0"/>
          <w:smallCaps/>
          <w:sz w:val="24"/>
        </w:rPr>
        <w:t>Thillier</w:t>
      </w:r>
      <w:r w:rsidRPr="003B3476">
        <w:rPr>
          <w:rStyle w:val="Notedebasdepage6NonGrasNonItalique"/>
          <w:b w:val="0"/>
          <w:bCs w:val="0"/>
          <w:i w:val="0"/>
          <w:iCs w:val="0"/>
          <w:sz w:val="24"/>
        </w:rPr>
        <w:t xml:space="preserve"> </w:t>
      </w:r>
      <w:r w:rsidRPr="003B3476">
        <w:rPr>
          <w:rStyle w:val="Notedebasdepage675ptNonItalique"/>
          <w:b w:val="0"/>
          <w:i w:val="0"/>
          <w:iCs w:val="0"/>
          <w:sz w:val="24"/>
        </w:rPr>
        <w:t xml:space="preserve">et E. </w:t>
      </w:r>
      <w:r w:rsidRPr="003B3476">
        <w:rPr>
          <w:rStyle w:val="Notedebasdepage6NonGrasNonItalique"/>
          <w:b w:val="0"/>
          <w:bCs w:val="0"/>
          <w:i w:val="0"/>
          <w:iCs w:val="0"/>
          <w:smallCaps/>
          <w:sz w:val="24"/>
        </w:rPr>
        <w:t>Jarry</w:t>
      </w:r>
      <w:r w:rsidRPr="003B3476">
        <w:rPr>
          <w:rStyle w:val="Notedebasdepage6NonGrasNonItalique"/>
          <w:b w:val="0"/>
          <w:bCs w:val="0"/>
          <w:i w:val="0"/>
          <w:iCs w:val="0"/>
          <w:sz w:val="24"/>
        </w:rPr>
        <w:t xml:space="preserve">, </w:t>
      </w:r>
      <w:r w:rsidRPr="003B3476">
        <w:rPr>
          <w:lang w:val="fr-FR" w:eastAsia="fr-FR" w:bidi="fr-FR"/>
        </w:rPr>
        <w:t xml:space="preserve">Cartulaire de l’église-cathédrale Sainte-Croix d’Orléans, </w:t>
      </w:r>
      <w:r w:rsidRPr="003B3476">
        <w:rPr>
          <w:rStyle w:val="Notedebasdepage675ptNonItalique"/>
          <w:b w:val="0"/>
          <w:i w:val="0"/>
          <w:iCs w:val="0"/>
          <w:sz w:val="24"/>
        </w:rPr>
        <w:t>n° XXXIX.</w:t>
      </w:r>
    </w:p>
  </w:footnote>
  <w:footnote w:id="271">
    <w:p w14:paraId="78905F4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Italique"/>
          <w:b w:val="0"/>
          <w:sz w:val="24"/>
        </w:rPr>
        <w:t>Chronique de Morigny,</w:t>
      </w:r>
      <w:r w:rsidRPr="003B3476">
        <w:rPr>
          <w:bCs/>
        </w:rPr>
        <w:t xml:space="preserve"> </w:t>
      </w:r>
      <w:r w:rsidRPr="003B3476">
        <w:rPr>
          <w:lang w:val="fr-FR" w:eastAsia="fr-FR" w:bidi="fr-FR"/>
        </w:rPr>
        <w:t xml:space="preserve">éd. L. </w:t>
      </w:r>
      <w:r w:rsidRPr="003B3476">
        <w:rPr>
          <w:rStyle w:val="Notedebasdepage65ptNonGras"/>
          <w:b w:val="0"/>
          <w:bCs w:val="0"/>
          <w:smallCaps/>
          <w:sz w:val="24"/>
        </w:rPr>
        <w:t>Mirot</w:t>
      </w:r>
      <w:r w:rsidRPr="003B3476">
        <w:rPr>
          <w:rStyle w:val="Notedebasdepage65ptNonGras"/>
          <w:b w:val="0"/>
          <w:bCs w:val="0"/>
          <w:sz w:val="24"/>
        </w:rPr>
        <w:t xml:space="preserve"> </w:t>
      </w:r>
      <w:r w:rsidRPr="003B3476">
        <w:rPr>
          <w:rStyle w:val="Notedebasdepage65ptItalique"/>
          <w:b w:val="0"/>
          <w:sz w:val="24"/>
        </w:rPr>
        <w:t>(Coll, de textes pour servir à l’étude et à l’enseignement de l’histoire,</w:t>
      </w:r>
      <w:r w:rsidRPr="003B3476">
        <w:rPr>
          <w:bCs/>
        </w:rPr>
        <w:t xml:space="preserve"> </w:t>
      </w:r>
      <w:r w:rsidRPr="003B3476">
        <w:rPr>
          <w:lang w:val="fr-FR" w:eastAsia="fr-FR" w:bidi="fr-FR"/>
        </w:rPr>
        <w:t>p. 5-6 « Locum diu incultum excoluit, vesperes et tribulos, filices et dumos et cetera rudera terre visceribus inherentia, nunc arratro, nune lingonibus, nunc ceteris ruric</w:t>
      </w:r>
      <w:r w:rsidRPr="003B3476">
        <w:rPr>
          <w:lang w:val="fr-FR" w:eastAsia="fr-FR" w:bidi="fr-FR"/>
        </w:rPr>
        <w:t>o</w:t>
      </w:r>
      <w:r w:rsidRPr="003B3476">
        <w:rPr>
          <w:lang w:val="fr-FR" w:eastAsia="fr-FR" w:bidi="fr-FR"/>
        </w:rPr>
        <w:t>larum armis, eradicavit ». « Vesperes » mis, sans doute, pour « vespices ».</w:t>
      </w:r>
    </w:p>
  </w:footnote>
  <w:footnote w:id="272">
    <w:p w14:paraId="55A4739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NonGras"/>
          <w:b w:val="0"/>
          <w:bCs w:val="0"/>
          <w:sz w:val="24"/>
        </w:rPr>
        <w:t xml:space="preserve">Suger, </w:t>
      </w:r>
      <w:r w:rsidRPr="003B3476">
        <w:rPr>
          <w:rStyle w:val="Notedebasdepage65ptItalique"/>
          <w:b w:val="0"/>
          <w:sz w:val="24"/>
        </w:rPr>
        <w:t>Vie de Louis VI,</w:t>
      </w:r>
      <w:r w:rsidRPr="003B3476">
        <w:rPr>
          <w:bCs/>
        </w:rPr>
        <w:t xml:space="preserve"> </w:t>
      </w:r>
      <w:r w:rsidRPr="003B3476">
        <w:rPr>
          <w:lang w:val="fr-FR" w:eastAsia="fr-FR" w:bidi="fr-FR"/>
        </w:rPr>
        <w:t xml:space="preserve">éd. </w:t>
      </w:r>
      <w:r w:rsidRPr="003B3476">
        <w:rPr>
          <w:rStyle w:val="Notedebasdepage65ptNonGras"/>
          <w:b w:val="0"/>
          <w:bCs w:val="0"/>
          <w:smallCaps/>
          <w:sz w:val="24"/>
        </w:rPr>
        <w:t>Waquet</w:t>
      </w:r>
      <w:r w:rsidRPr="003B3476">
        <w:rPr>
          <w:rStyle w:val="Notedebasdepage65ptNonGras"/>
          <w:b w:val="0"/>
          <w:bCs w:val="0"/>
          <w:sz w:val="24"/>
        </w:rPr>
        <w:t xml:space="preserve">, </w:t>
      </w:r>
      <w:r w:rsidRPr="003B3476">
        <w:rPr>
          <w:lang w:val="fr-FR" w:eastAsia="fr-FR" w:bidi="fr-FR"/>
        </w:rPr>
        <w:t xml:space="preserve">p. 134 et 136. </w:t>
      </w:r>
      <w:r w:rsidRPr="003B3476">
        <w:rPr>
          <w:smallCaps/>
          <w:lang w:val="fr-FR" w:eastAsia="fr-FR" w:bidi="fr-FR"/>
        </w:rPr>
        <w:t xml:space="preserve">Guillaume </w:t>
      </w:r>
      <w:r w:rsidRPr="003B3476">
        <w:rPr>
          <w:rStyle w:val="Notedebasdepage65ptNonGras"/>
          <w:b w:val="0"/>
          <w:bCs w:val="0"/>
          <w:smallCaps/>
          <w:sz w:val="24"/>
        </w:rPr>
        <w:t>le Breton</w:t>
      </w:r>
      <w:r w:rsidRPr="003B3476">
        <w:rPr>
          <w:rStyle w:val="Notedebasdepage65ptNonGras"/>
          <w:b w:val="0"/>
          <w:bCs w:val="0"/>
          <w:sz w:val="24"/>
        </w:rPr>
        <w:t xml:space="preserve">, </w:t>
      </w:r>
      <w:r w:rsidRPr="003B3476">
        <w:rPr>
          <w:rStyle w:val="Notedebasdepage65ptItalique"/>
          <w:b w:val="0"/>
          <w:sz w:val="24"/>
        </w:rPr>
        <w:t>Philippide,</w:t>
      </w:r>
      <w:r w:rsidRPr="003B3476">
        <w:rPr>
          <w:bCs/>
        </w:rPr>
        <w:t xml:space="preserve"> </w:t>
      </w:r>
      <w:r w:rsidRPr="003B3476">
        <w:rPr>
          <w:lang w:val="fr-FR" w:eastAsia="fr-FR" w:bidi="fr-FR"/>
        </w:rPr>
        <w:t xml:space="preserve">éd. H.-F. </w:t>
      </w:r>
      <w:r w:rsidRPr="003B3476">
        <w:rPr>
          <w:rStyle w:val="Notedebasdepage65ptNonGras"/>
          <w:b w:val="0"/>
          <w:bCs w:val="0"/>
          <w:smallCaps/>
          <w:sz w:val="24"/>
        </w:rPr>
        <w:t>Delaborde</w:t>
      </w:r>
      <w:r w:rsidRPr="003B3476">
        <w:rPr>
          <w:rStyle w:val="Notedebasdepage65ptNonGras"/>
          <w:b w:val="0"/>
          <w:bCs w:val="0"/>
          <w:sz w:val="24"/>
        </w:rPr>
        <w:t xml:space="preserve"> </w:t>
      </w:r>
      <w:r w:rsidRPr="003B3476">
        <w:rPr>
          <w:rStyle w:val="Notedebasdepage65ptNonGrasItalique"/>
          <w:b w:val="0"/>
          <w:bCs w:val="0"/>
          <w:sz w:val="24"/>
        </w:rPr>
        <w:t xml:space="preserve">(Soc. </w:t>
      </w:r>
      <w:r w:rsidRPr="003B3476">
        <w:rPr>
          <w:rStyle w:val="Notedebasdepage65ptItalique"/>
          <w:b w:val="0"/>
          <w:sz w:val="24"/>
        </w:rPr>
        <w:t>de l’Hist. de France),</w:t>
      </w:r>
      <w:r w:rsidRPr="003B3476">
        <w:rPr>
          <w:bCs/>
        </w:rPr>
        <w:t xml:space="preserve"> </w:t>
      </w:r>
      <w:r w:rsidRPr="003B3476">
        <w:rPr>
          <w:lang w:val="fr-FR" w:eastAsia="fr-FR" w:bidi="fr-FR"/>
        </w:rPr>
        <w:t>VI, v. 335.</w:t>
      </w:r>
    </w:p>
  </w:footnote>
  <w:footnote w:id="273">
    <w:p w14:paraId="20F292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75ptNonItalique"/>
          <w:b w:val="0"/>
          <w:i w:val="0"/>
          <w:iCs w:val="0"/>
          <w:sz w:val="24"/>
        </w:rPr>
        <w:t xml:space="preserve">Voir la carte, pl. II, de mes </w:t>
      </w:r>
      <w:r w:rsidRPr="003B3476">
        <w:rPr>
          <w:i/>
          <w:lang w:val="fr-FR" w:eastAsia="fr-FR" w:bidi="fr-FR"/>
        </w:rPr>
        <w:t>Caractères originaux de l’histoire rurale frança</w:t>
      </w:r>
      <w:r w:rsidRPr="003B3476">
        <w:rPr>
          <w:i/>
          <w:lang w:val="fr-FR" w:eastAsia="fr-FR" w:bidi="fr-FR"/>
        </w:rPr>
        <w:t>i</w:t>
      </w:r>
      <w:r w:rsidRPr="003B3476">
        <w:rPr>
          <w:i/>
          <w:lang w:val="fr-FR" w:eastAsia="fr-FR" w:bidi="fr-FR"/>
        </w:rPr>
        <w:t>se</w:t>
      </w:r>
      <w:r w:rsidRPr="003B3476">
        <w:rPr>
          <w:lang w:val="fr-FR" w:eastAsia="fr-FR" w:bidi="fr-FR"/>
        </w:rPr>
        <w:t>.</w:t>
      </w:r>
    </w:p>
  </w:footnote>
  <w:footnote w:id="274">
    <w:p w14:paraId="14E00A3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 </w:t>
      </w:r>
      <w:r w:rsidRPr="003B3476">
        <w:rPr>
          <w:rStyle w:val="Notedebasdepage65ptNonGras"/>
          <w:b w:val="0"/>
          <w:bCs w:val="0"/>
          <w:smallCaps/>
          <w:sz w:val="24"/>
        </w:rPr>
        <w:t>Hubert</w:t>
      </w:r>
      <w:r w:rsidRPr="003B3476">
        <w:rPr>
          <w:rStyle w:val="Notedebasdepage65ptNonGras"/>
          <w:b w:val="0"/>
          <w:bCs w:val="0"/>
          <w:sz w:val="24"/>
        </w:rPr>
        <w:t xml:space="preserve">, </w:t>
      </w:r>
      <w:r w:rsidRPr="003B3476">
        <w:rPr>
          <w:rStyle w:val="Notedebasdepage65ptItalique"/>
          <w:b w:val="0"/>
          <w:sz w:val="24"/>
        </w:rPr>
        <w:t>Antiquitez historiques de l’église royale Saint-Aignan d'Orléans</w:t>
      </w:r>
      <w:r w:rsidRPr="003B3476">
        <w:rPr>
          <w:lang w:val="fr-FR" w:eastAsia="fr-FR" w:bidi="fr-FR"/>
        </w:rPr>
        <w:t xml:space="preserve">, 1661, pr., p. 82 ; </w:t>
      </w:r>
      <w:r w:rsidRPr="003B3476">
        <w:rPr>
          <w:rStyle w:val="Notedebasdepage65ptItalique"/>
          <w:b w:val="0"/>
          <w:sz w:val="24"/>
        </w:rPr>
        <w:t>cf.</w:t>
      </w:r>
      <w:r w:rsidRPr="003B3476">
        <w:t xml:space="preserve"> </w:t>
      </w:r>
      <w:r w:rsidRPr="003B3476">
        <w:rPr>
          <w:rStyle w:val="Notedebasdepage65ptNonGras"/>
          <w:b w:val="0"/>
          <w:bCs w:val="0"/>
          <w:smallCaps/>
          <w:sz w:val="24"/>
        </w:rPr>
        <w:t>Luchaire</w:t>
      </w:r>
      <w:r w:rsidRPr="003B3476">
        <w:rPr>
          <w:rStyle w:val="Notedebasdepage65ptNonGras"/>
          <w:b w:val="0"/>
          <w:bCs w:val="0"/>
          <w:sz w:val="24"/>
        </w:rPr>
        <w:t xml:space="preserve">, </w:t>
      </w:r>
      <w:r w:rsidRPr="003B3476">
        <w:rPr>
          <w:rStyle w:val="Notedebasdepage65ptItalique"/>
          <w:b w:val="0"/>
          <w:sz w:val="24"/>
        </w:rPr>
        <w:t>Louis</w:t>
      </w:r>
      <w:r w:rsidRPr="003B3476">
        <w:t xml:space="preserve"> </w:t>
      </w:r>
      <w:r w:rsidRPr="003B3476">
        <w:rPr>
          <w:lang w:val="fr-FR" w:eastAsia="fr-FR" w:bidi="fr-FR"/>
        </w:rPr>
        <w:t xml:space="preserve">VJ, n° 200. </w:t>
      </w:r>
      <w:r w:rsidRPr="003B3476">
        <w:rPr>
          <w:rStyle w:val="Notedebasdepage65ptNonGras"/>
          <w:b w:val="0"/>
          <w:bCs w:val="0"/>
          <w:sz w:val="24"/>
        </w:rPr>
        <w:t xml:space="preserve">Suger, </w:t>
      </w:r>
      <w:r w:rsidRPr="003B3476">
        <w:rPr>
          <w:rStyle w:val="Notedebasdepage65ptItalique"/>
          <w:b w:val="0"/>
          <w:sz w:val="24"/>
        </w:rPr>
        <w:t>De rebus in admini</w:t>
      </w:r>
      <w:r w:rsidRPr="003B3476">
        <w:rPr>
          <w:rStyle w:val="Notedebasdepage65ptItalique"/>
          <w:b w:val="0"/>
          <w:sz w:val="24"/>
        </w:rPr>
        <w:t>s</w:t>
      </w:r>
      <w:r w:rsidRPr="003B3476">
        <w:rPr>
          <w:rStyle w:val="Notedebasdepage65ptItalique"/>
          <w:b w:val="0"/>
          <w:sz w:val="24"/>
        </w:rPr>
        <w:t>tratione sua gestis</w:t>
      </w:r>
      <w:r w:rsidRPr="003B3476">
        <w:rPr>
          <w:lang w:val="fr-FR" w:eastAsia="fr-FR" w:bidi="fr-FR"/>
        </w:rPr>
        <w:t xml:space="preserve">, dans </w:t>
      </w:r>
      <w:r w:rsidRPr="003B3476">
        <w:rPr>
          <w:rStyle w:val="Notedebasdepage65ptItalique"/>
          <w:b w:val="0"/>
          <w:sz w:val="24"/>
        </w:rPr>
        <w:t>Œuvres</w:t>
      </w:r>
      <w:r w:rsidRPr="003B3476">
        <w:rPr>
          <w:lang w:val="fr-FR" w:eastAsia="fr-FR" w:bidi="fr-FR"/>
        </w:rPr>
        <w:t xml:space="preserve">, éd. </w:t>
      </w:r>
      <w:r w:rsidRPr="003B3476">
        <w:rPr>
          <w:rStyle w:val="Notedebasdepage65ptNonGras"/>
          <w:b w:val="0"/>
          <w:bCs w:val="0"/>
          <w:smallCaps/>
          <w:sz w:val="24"/>
        </w:rPr>
        <w:t xml:space="preserve">Lecot </w:t>
      </w:r>
      <w:r w:rsidRPr="003B3476">
        <w:rPr>
          <w:smallCaps/>
          <w:lang w:val="fr-FR" w:eastAsia="fr-FR" w:bidi="fr-FR"/>
        </w:rPr>
        <w:t xml:space="preserve">de </w:t>
      </w:r>
      <w:r w:rsidRPr="003B3476">
        <w:rPr>
          <w:rStyle w:val="Notedebasdepage65ptNonGras"/>
          <w:b w:val="0"/>
          <w:bCs w:val="0"/>
          <w:smallCaps/>
          <w:sz w:val="24"/>
        </w:rPr>
        <w:t>La Marche</w:t>
      </w:r>
      <w:r w:rsidRPr="003B3476">
        <w:rPr>
          <w:rStyle w:val="Notedebasdepage65ptNonGras"/>
          <w:b w:val="0"/>
          <w:bCs w:val="0"/>
          <w:sz w:val="24"/>
        </w:rPr>
        <w:t xml:space="preserve"> </w:t>
      </w:r>
      <w:r w:rsidRPr="003B3476">
        <w:rPr>
          <w:rStyle w:val="Notedebasdepage5ptItaliquePetitesmajuscules"/>
          <w:b w:val="0"/>
          <w:sz w:val="24"/>
        </w:rPr>
        <w:t>(S</w:t>
      </w:r>
      <w:r w:rsidRPr="003B3476">
        <w:rPr>
          <w:rStyle w:val="Notedebasdepage5ptItaliquePetitesmajuscules"/>
          <w:b w:val="0"/>
          <w:smallCaps w:val="0"/>
          <w:sz w:val="24"/>
        </w:rPr>
        <w:t>oc</w:t>
      </w:r>
      <w:r w:rsidRPr="003B3476">
        <w:rPr>
          <w:rStyle w:val="Notedebasdepage5ptItaliquePetitesmajuscules"/>
          <w:b w:val="0"/>
          <w:sz w:val="24"/>
        </w:rPr>
        <w:t>. </w:t>
      </w:r>
      <w:r w:rsidRPr="003B3476">
        <w:rPr>
          <w:rStyle w:val="Notedebasdepage65ptItalique"/>
          <w:b w:val="0"/>
          <w:sz w:val="24"/>
        </w:rPr>
        <w:t>de l'hist. de France),</w:t>
      </w:r>
      <w:r w:rsidRPr="003B3476">
        <w:t xml:space="preserve"> </w:t>
      </w:r>
      <w:r w:rsidRPr="003B3476">
        <w:rPr>
          <w:lang w:val="fr-FR" w:eastAsia="fr-FR" w:bidi="fr-FR"/>
        </w:rPr>
        <w:t>p. 168 et 175. Suger attribue uniformément ces vides aux dépréd</w:t>
      </w:r>
      <w:r w:rsidRPr="003B3476">
        <w:rPr>
          <w:lang w:val="fr-FR" w:eastAsia="fr-FR" w:bidi="fr-FR"/>
        </w:rPr>
        <w:t>a</w:t>
      </w:r>
      <w:r w:rsidRPr="003B3476">
        <w:rPr>
          <w:lang w:val="fr-FR" w:eastAsia="fr-FR" w:bidi="fr-FR"/>
        </w:rPr>
        <w:t>tions des se</w:t>
      </w:r>
      <w:r w:rsidRPr="003B3476">
        <w:rPr>
          <w:lang w:val="fr-FR" w:eastAsia="fr-FR" w:bidi="fr-FR"/>
        </w:rPr>
        <w:t>i</w:t>
      </w:r>
      <w:r w:rsidRPr="003B3476">
        <w:rPr>
          <w:lang w:val="fr-FR" w:eastAsia="fr-FR" w:bidi="fr-FR"/>
        </w:rPr>
        <w:t>gneurs laïques, « avoués » de l’abbaye. Mais l’explication semble insuffisante et partiale ; aussi bien ne signale-t-il rien de tel ailleurs, bien que les mœurs de ces tyranneaux fussent, sans nul doute, partout pareilles.</w:t>
      </w:r>
    </w:p>
  </w:footnote>
  <w:footnote w:id="275">
    <w:p w14:paraId="71F4CFB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De rebus in administratione sua gestis</w:t>
      </w:r>
      <w:r w:rsidRPr="003B3476">
        <w:rPr>
          <w:rStyle w:val="Notedebasdepage675ptNonItalique"/>
          <w:b w:val="0"/>
          <w:i w:val="0"/>
          <w:iCs w:val="0"/>
        </w:rPr>
        <w:t>, p. 167.</w:t>
      </w:r>
    </w:p>
  </w:footnote>
  <w:footnote w:id="276">
    <w:p w14:paraId="57D0D93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NonGrasNonItaliquePetitesmajuscules"/>
          <w:b w:val="0"/>
          <w:bCs w:val="0"/>
          <w:i w:val="0"/>
          <w:iCs w:val="0"/>
          <w:sz w:val="24"/>
        </w:rPr>
        <w:t xml:space="preserve">Boutet, </w:t>
      </w:r>
      <w:r w:rsidRPr="003B3476">
        <w:rPr>
          <w:rStyle w:val="Notedebasdepage675ptNonItalique"/>
          <w:b w:val="0"/>
          <w:i w:val="0"/>
          <w:iCs w:val="0"/>
          <w:sz w:val="24"/>
        </w:rPr>
        <w:t xml:space="preserve">dans </w:t>
      </w:r>
      <w:r w:rsidRPr="003B3476">
        <w:rPr>
          <w:i/>
          <w:lang w:val="fr-FR" w:eastAsia="fr-FR" w:bidi="fr-FR"/>
        </w:rPr>
        <w:t>Mém. de la Soc. d’agriculture d’Orléans</w:t>
      </w:r>
      <w:r w:rsidRPr="003B3476">
        <w:rPr>
          <w:rStyle w:val="Notedebasdepage675ptNonItalique"/>
          <w:b w:val="0"/>
          <w:i w:val="0"/>
          <w:iCs w:val="0"/>
          <w:sz w:val="24"/>
        </w:rPr>
        <w:t>, t. VIII, 1864, p. 64.</w:t>
      </w:r>
    </w:p>
  </w:footnote>
  <w:footnote w:id="277">
    <w:p w14:paraId="022944D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Depuis que cette communication a été présentée, l’exposé de M. Dauzat a été repris dans un des chapitres de son intéressant ouvrage sur </w:t>
      </w:r>
      <w:r w:rsidRPr="003B3476">
        <w:rPr>
          <w:rStyle w:val="Notedebasdepage65ptItalique"/>
          <w:b w:val="0"/>
          <w:sz w:val="24"/>
        </w:rPr>
        <w:t>La toponymie fra</w:t>
      </w:r>
      <w:r w:rsidRPr="003B3476">
        <w:rPr>
          <w:rStyle w:val="Notedebasdepage65ptItalique"/>
          <w:b w:val="0"/>
          <w:sz w:val="24"/>
        </w:rPr>
        <w:t>n</w:t>
      </w:r>
      <w:r w:rsidRPr="003B3476">
        <w:rPr>
          <w:rStyle w:val="Notedebasdepage65ptItalique"/>
          <w:b w:val="0"/>
          <w:sz w:val="24"/>
        </w:rPr>
        <w:t>çaise.</w:t>
      </w:r>
      <w:r w:rsidRPr="003B3476">
        <w:rPr>
          <w:bCs/>
        </w:rPr>
        <w:t xml:space="preserve"> </w:t>
      </w:r>
      <w:r w:rsidRPr="003B3476">
        <w:rPr>
          <w:lang w:val="fr-FR" w:eastAsia="fr-FR" w:bidi="fr-FR"/>
        </w:rPr>
        <w:t>L’enquête toponymique, telle qu’il l’a conduite, conclut nettement à un peuplement tardif de la Beauce centrale ; l’occupation a été beaucoup plus a</w:t>
      </w:r>
      <w:r w:rsidRPr="003B3476">
        <w:rPr>
          <w:lang w:val="fr-FR" w:eastAsia="fr-FR" w:bidi="fr-FR"/>
        </w:rPr>
        <w:t>n</w:t>
      </w:r>
      <w:r w:rsidRPr="003B3476">
        <w:rPr>
          <w:lang w:val="fr-FR" w:eastAsia="fr-FR" w:bidi="fr-FR"/>
        </w:rPr>
        <w:t>cienne sur la périphérie du plateau ; elle a remonté le long des vallons et des routes. Mon seul désaccord avec M. Dauzat porterait sur l’existence de surf</w:t>
      </w:r>
      <w:r w:rsidRPr="003B3476">
        <w:rPr>
          <w:lang w:val="fr-FR" w:eastAsia="fr-FR" w:bidi="fr-FR"/>
        </w:rPr>
        <w:t>a</w:t>
      </w:r>
      <w:r w:rsidRPr="003B3476">
        <w:rPr>
          <w:lang w:val="fr-FR" w:eastAsia="fr-FR" w:bidi="fr-FR"/>
        </w:rPr>
        <w:t>ces boisées étendues ; leur l’existence, à l’époque historique, ne me paraît ni prouvée ni vraisemblable.</w:t>
      </w:r>
    </w:p>
  </w:footnote>
  <w:footnote w:id="278">
    <w:p w14:paraId="044267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n’en ai pas retrouvé non plus d’exemples, à cette date, dans le Gâtinais. Mais le matériel des chartes y est assez pauvre ; fort abondant, au contraire, en Beauce. Il convient d’ajouter qu’un acte de 1146 (B. </w:t>
      </w:r>
      <w:r w:rsidRPr="003B3476">
        <w:rPr>
          <w:rStyle w:val="Notedebasdepage65ptNonGrasPetitesmajuscules"/>
          <w:b w:val="0"/>
          <w:bCs w:val="0"/>
          <w:sz w:val="24"/>
        </w:rPr>
        <w:t xml:space="preserve">Guérard, </w:t>
      </w:r>
      <w:r w:rsidRPr="003B3476">
        <w:rPr>
          <w:bCs/>
          <w:i/>
        </w:rPr>
        <w:t>Cartulaire de l’abbaye de Saint-Père de Chartres</w:t>
      </w:r>
      <w:r w:rsidRPr="003B3476">
        <w:rPr>
          <w:lang w:val="fr-FR" w:eastAsia="fr-FR" w:bidi="fr-FR"/>
        </w:rPr>
        <w:t xml:space="preserve">, t. II, p. 390, n° 176) mentionne pourtant « unum terram bovatam... in Belsia » ; malheureusement l’endroit précis n’est pas indiqué et nous savons, par ailleurs, que le qualificatif « en Beauce » était quelquefois étendu aux lieux situés dans les ravins, beaucoup moins secs, qui entaillent les bords du plateau : ainsi, par Suger, à Guillerval. Naturellement, il ne faut tenir aucun compte des formules stéréotypées et souvent mal adaptées aux conditions locales qui énumèrent pêle-mêle, dans telle ou telle charte, tous les animaux de labour concevables : bœufs, chevaux et ânes, </w:t>
      </w:r>
      <w:r w:rsidRPr="003B3476">
        <w:rPr>
          <w:bCs/>
          <w:i/>
        </w:rPr>
        <w:t>cf.</w:t>
      </w:r>
      <w:r w:rsidRPr="003B3476">
        <w:rPr>
          <w:bCs/>
        </w:rPr>
        <w:t xml:space="preserve"> </w:t>
      </w:r>
      <w:r w:rsidRPr="003B3476">
        <w:rPr>
          <w:bCs/>
          <w:i/>
        </w:rPr>
        <w:t>infra</w:t>
      </w:r>
      <w:r w:rsidRPr="003B3476">
        <w:rPr>
          <w:lang w:val="fr-FR" w:eastAsia="fr-FR" w:bidi="fr-FR"/>
        </w:rPr>
        <w:t>, p. 706, n. 4.</w:t>
      </w:r>
    </w:p>
  </w:footnote>
  <w:footnote w:id="279">
    <w:p w14:paraId="029928E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Conférence de M. Bloch, à l’Institut français de Sociologie, 1932 (publiée dans le </w:t>
      </w:r>
      <w:r w:rsidRPr="003B3476">
        <w:rPr>
          <w:bCs/>
          <w:i/>
        </w:rPr>
        <w:t>Bulletin de l’Institut</w:t>
      </w:r>
      <w:r w:rsidRPr="003B3476">
        <w:rPr>
          <w:bCs/>
        </w:rPr>
        <w:t>),</w:t>
      </w:r>
      <w:r w:rsidRPr="003B3476">
        <w:rPr>
          <w:lang w:val="fr-FR" w:eastAsia="fr-FR" w:bidi="fr-FR"/>
        </w:rPr>
        <w:t xml:space="preserve"> p. 49-90.</w:t>
      </w:r>
    </w:p>
  </w:footnote>
  <w:footnote w:id="280">
    <w:p w14:paraId="48C29C1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Communication de </w:t>
      </w:r>
      <w:r w:rsidRPr="003B3476">
        <w:rPr>
          <w:rStyle w:val="Notedebasdepage65ptNonGrasPetitesmajuscules"/>
          <w:b w:val="0"/>
          <w:bCs w:val="0"/>
          <w:sz w:val="24"/>
        </w:rPr>
        <w:t>H. Hubert,</w:t>
      </w:r>
      <w:r w:rsidRPr="003B3476">
        <w:rPr>
          <w:rStyle w:val="Notedebasdepage65ptNonGras"/>
          <w:b w:val="0"/>
          <w:bCs w:val="0"/>
          <w:sz w:val="24"/>
        </w:rPr>
        <w:t xml:space="preserve"> à </w:t>
      </w:r>
      <w:r w:rsidRPr="003B3476">
        <w:rPr>
          <w:lang w:val="fr-FR" w:eastAsia="fr-FR" w:bidi="fr-FR"/>
        </w:rPr>
        <w:t>l’I.F.A. : « Les aspects régionaux de la civ</w:t>
      </w:r>
      <w:r w:rsidRPr="003B3476">
        <w:rPr>
          <w:lang w:val="fr-FR" w:eastAsia="fr-FR" w:bidi="fr-FR"/>
        </w:rPr>
        <w:t>i</w:t>
      </w:r>
      <w:r w:rsidRPr="003B3476">
        <w:rPr>
          <w:lang w:val="fr-FR" w:eastAsia="fr-FR" w:bidi="fr-FR"/>
        </w:rPr>
        <w:t xml:space="preserve">lisation de la France ». </w:t>
      </w:r>
      <w:r w:rsidRPr="003B3476">
        <w:rPr>
          <w:rStyle w:val="NotedebasdepageItaliqueEspacement0pt"/>
          <w:b w:val="0"/>
          <w:sz w:val="24"/>
        </w:rPr>
        <w:t>in L’Anthropologie</w:t>
      </w:r>
      <w:r w:rsidRPr="003B3476">
        <w:rPr>
          <w:lang w:val="fr-FR" w:eastAsia="fr-FR" w:bidi="fr-FR"/>
        </w:rPr>
        <w:t xml:space="preserve">, t. </w:t>
      </w:r>
      <w:r w:rsidRPr="003B3476">
        <w:rPr>
          <w:rStyle w:val="NotedebasdepageItaliqueEspacement0pt"/>
          <w:b w:val="0"/>
          <w:i w:val="0"/>
          <w:sz w:val="24"/>
        </w:rPr>
        <w:t>XXX</w:t>
      </w:r>
      <w:r w:rsidRPr="003B3476">
        <w:rPr>
          <w:lang w:val="fr-FR" w:eastAsia="fr-FR" w:bidi="fr-FR"/>
        </w:rPr>
        <w:t>, 1920, p. 398.</w:t>
      </w:r>
    </w:p>
  </w:footnote>
  <w:footnote w:id="281">
    <w:p w14:paraId="6CEB452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GrasNonItalique"/>
          <w:b w:val="0"/>
          <w:bCs w:val="0"/>
          <w:i w:val="0"/>
          <w:iCs w:val="0"/>
          <w:smallCaps/>
          <w:sz w:val="24"/>
        </w:rPr>
        <w:t>Olivier-Martin</w:t>
      </w:r>
      <w:r w:rsidRPr="003B3476">
        <w:rPr>
          <w:rStyle w:val="Notedebasdepage265ptNonGrasNonItalique"/>
          <w:b w:val="0"/>
          <w:bCs w:val="0"/>
          <w:i w:val="0"/>
          <w:iCs w:val="0"/>
          <w:sz w:val="24"/>
        </w:rPr>
        <w:t xml:space="preserve">, </w:t>
      </w:r>
      <w:r w:rsidRPr="003B3476">
        <w:rPr>
          <w:i/>
        </w:rPr>
        <w:t>Quelle est l'importance du grand coutumier dans l'Histoire du Droit français ?</w:t>
      </w:r>
      <w:r w:rsidRPr="003B3476">
        <w:t xml:space="preserve"> Paris, 1906, p. 12 et suiv.</w:t>
      </w:r>
    </w:p>
  </w:footnote>
  <w:footnote w:id="282">
    <w:p w14:paraId="18C923F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Bulletin of the international committee of the historical Sciences</w:t>
      </w:r>
      <w:r w:rsidRPr="003B3476">
        <w:rPr>
          <w:bCs/>
        </w:rPr>
        <w:t>, 1933, p</w:t>
      </w:r>
      <w:r>
        <w:rPr>
          <w:bCs/>
        </w:rPr>
        <w:t>p</w:t>
      </w:r>
      <w:r w:rsidRPr="003B3476">
        <w:rPr>
          <w:bCs/>
        </w:rPr>
        <w:t>. 122-125.</w:t>
      </w:r>
    </w:p>
  </w:footnote>
  <w:footnote w:id="283">
    <w:p w14:paraId="77758E1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Annales d’Histoire économique et sociale</w:t>
      </w:r>
      <w:r w:rsidRPr="003B3476">
        <w:rPr>
          <w:bCs/>
        </w:rPr>
        <w:t>, 1930, II, p. 329-381.</w:t>
      </w:r>
    </w:p>
  </w:footnote>
  <w:footnote w:id="284">
    <w:p w14:paraId="73DA41D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Chelles, Seine-et-Marne, canton de Lagny.</w:t>
      </w:r>
    </w:p>
  </w:footnote>
  <w:footnote w:id="285">
    <w:p w14:paraId="171C6A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sur </w:t>
      </w:r>
      <w:r w:rsidRPr="009E1A63">
        <w:rPr>
          <w:lang w:val="fr-FR" w:eastAsia="fr-FR" w:bidi="fr-FR"/>
        </w:rPr>
        <w:t xml:space="preserve">sainte Bathilde l’introduction mise par B. </w:t>
      </w:r>
      <w:r w:rsidRPr="009E1A63">
        <w:rPr>
          <w:rStyle w:val="Notedebasdepage65ptPetitesmajuscules"/>
          <w:b w:val="0"/>
          <w:sz w:val="24"/>
        </w:rPr>
        <w:t>Krusch</w:t>
      </w:r>
      <w:r w:rsidRPr="009E1A63">
        <w:rPr>
          <w:bCs/>
        </w:rPr>
        <w:t xml:space="preserve"> à </w:t>
      </w:r>
      <w:r w:rsidRPr="009E1A63">
        <w:rPr>
          <w:lang w:val="fr-FR" w:eastAsia="fr-FR" w:bidi="fr-FR"/>
        </w:rPr>
        <w:t xml:space="preserve">son édition de la </w:t>
      </w:r>
      <w:r w:rsidRPr="009E1A63">
        <w:rPr>
          <w:bCs/>
          <w:i/>
        </w:rPr>
        <w:t>Vita S. Bathildis Monum. Germ. Histor. Scriptor. rer. merov</w:t>
      </w:r>
      <w:r w:rsidRPr="009E1A63">
        <w:rPr>
          <w:bCs/>
        </w:rPr>
        <w:t>.,</w:t>
      </w:r>
      <w:r w:rsidRPr="009E1A63">
        <w:rPr>
          <w:lang w:val="fr-FR" w:eastAsia="fr-FR" w:bidi="fr-FR"/>
        </w:rPr>
        <w:t xml:space="preserve"> t. II, p. 475-477. Au XVIII</w:t>
      </w:r>
      <w:r w:rsidRPr="009E1A63">
        <w:rPr>
          <w:vertAlign w:val="superscript"/>
          <w:lang w:val="fr-FR" w:eastAsia="fr-FR" w:bidi="fr-FR"/>
        </w:rPr>
        <w:t>e</w:t>
      </w:r>
      <w:r w:rsidRPr="009E1A63">
        <w:rPr>
          <w:lang w:val="fr-FR" w:eastAsia="fr-FR" w:bidi="fr-FR"/>
        </w:rPr>
        <w:t xml:space="preserve"> siècle, en 1772, sans doute, un bénédictin, dom Racine, composa une histoire de l’abbaye de Chelles, qu’il dédia </w:t>
      </w:r>
      <w:r w:rsidRPr="009E1A63">
        <w:rPr>
          <w:bCs/>
        </w:rPr>
        <w:t xml:space="preserve">à </w:t>
      </w:r>
      <w:r w:rsidRPr="009E1A63">
        <w:rPr>
          <w:lang w:val="fr-FR" w:eastAsia="fr-FR" w:bidi="fr-FR"/>
        </w:rPr>
        <w:t>l’abbesse M</w:t>
      </w:r>
      <w:r w:rsidRPr="009E1A63">
        <w:rPr>
          <w:vertAlign w:val="superscript"/>
          <w:lang w:val="fr-FR" w:eastAsia="fr-FR" w:bidi="fr-FR"/>
        </w:rPr>
        <w:t>me</w:t>
      </w:r>
      <w:r w:rsidRPr="009E1A63">
        <w:rPr>
          <w:lang w:val="fr-FR" w:eastAsia="fr-FR" w:bidi="fr-FR"/>
        </w:rPr>
        <w:t xml:space="preserve"> de Clermont de Gessan. Cet ouvrage, resté manuscrit et conservé aujourd’hui </w:t>
      </w:r>
      <w:r w:rsidRPr="009E1A63">
        <w:rPr>
          <w:bCs/>
        </w:rPr>
        <w:t xml:space="preserve">à </w:t>
      </w:r>
      <w:r w:rsidRPr="009E1A63">
        <w:rPr>
          <w:lang w:val="fr-FR" w:eastAsia="fr-FR" w:bidi="fr-FR"/>
        </w:rPr>
        <w:t xml:space="preserve">la Mazarine (ms. </w:t>
      </w:r>
      <w:r w:rsidRPr="009E1A63">
        <w:rPr>
          <w:bCs/>
        </w:rPr>
        <w:t xml:space="preserve">3380), </w:t>
      </w:r>
      <w:r w:rsidRPr="009E1A63">
        <w:rPr>
          <w:lang w:val="fr-FR" w:eastAsia="fr-FR" w:bidi="fr-FR"/>
        </w:rPr>
        <w:t>n’a qu’une valeur médiocre ; dom Racine ne paraît guère avoir consulté les documents originaux ; il travailla surtout sur un « abrégé manu</w:t>
      </w:r>
      <w:r w:rsidRPr="009E1A63">
        <w:rPr>
          <w:lang w:val="fr-FR" w:eastAsia="fr-FR" w:bidi="fr-FR"/>
        </w:rPr>
        <w:t>s</w:t>
      </w:r>
      <w:r w:rsidRPr="009E1A63">
        <w:rPr>
          <w:lang w:val="fr-FR" w:eastAsia="fr-FR" w:bidi="fr-FR"/>
        </w:rPr>
        <w:t>crit » composé par un érudit, qu’il ne nomme point, d’après les quatre cart</w:t>
      </w:r>
      <w:r w:rsidRPr="009E1A63">
        <w:rPr>
          <w:lang w:val="fr-FR" w:eastAsia="fr-FR" w:bidi="fr-FR"/>
        </w:rPr>
        <w:t>u</w:t>
      </w:r>
      <w:r w:rsidRPr="009E1A63">
        <w:rPr>
          <w:lang w:val="fr-FR" w:eastAsia="fr-FR" w:bidi="fr-FR"/>
        </w:rPr>
        <w:t>laires du XVI</w:t>
      </w:r>
      <w:r w:rsidRPr="009E1A63">
        <w:rPr>
          <w:vertAlign w:val="superscript"/>
          <w:lang w:val="fr-FR" w:eastAsia="fr-FR" w:bidi="fr-FR"/>
        </w:rPr>
        <w:t>e</w:t>
      </w:r>
      <w:r w:rsidRPr="009E1A63">
        <w:rPr>
          <w:lang w:val="fr-FR" w:eastAsia="fr-FR" w:bidi="fr-FR"/>
        </w:rPr>
        <w:t xml:space="preserve"> siècle (p. v). Cet</w:t>
      </w:r>
      <w:r w:rsidRPr="009E1A63">
        <w:rPr>
          <w:lang w:eastAsia="fr-FR" w:bidi="fr-FR"/>
        </w:rPr>
        <w:t xml:space="preserve"> abrégé doit être vraisemblablement identifié avec le manuscrit suivant, dont l’existence </w:t>
      </w:r>
      <w:r w:rsidRPr="009E1A63">
        <w:t xml:space="preserve">à </w:t>
      </w:r>
      <w:r w:rsidRPr="009E1A63">
        <w:rPr>
          <w:lang w:eastAsia="fr-FR" w:bidi="fr-FR"/>
        </w:rPr>
        <w:t xml:space="preserve">la bibliothèque du séminaire de Meaux était signalée en 1906 par le </w:t>
      </w:r>
      <w:r w:rsidRPr="009E1A63">
        <w:rPr>
          <w:i/>
        </w:rPr>
        <w:t>Recueil général des archevêchés, évêchés</w:t>
      </w:r>
      <w:r w:rsidRPr="009E1A63">
        <w:rPr>
          <w:i/>
          <w:lang w:eastAsia="fr-FR" w:bidi="fr-FR"/>
        </w:rPr>
        <w:t xml:space="preserve">, </w:t>
      </w:r>
      <w:r w:rsidRPr="009E1A63">
        <w:rPr>
          <w:i/>
        </w:rPr>
        <w:t>abbayes et prieurés de France</w:t>
      </w:r>
      <w:r w:rsidRPr="009E1A63">
        <w:rPr>
          <w:lang w:eastAsia="fr-FR" w:bidi="fr-FR"/>
        </w:rPr>
        <w:t xml:space="preserve"> de dom </w:t>
      </w:r>
      <w:r w:rsidRPr="009E1A63">
        <w:rPr>
          <w:rStyle w:val="Corpsdutexte1065ptPetitesmajuscules"/>
          <w:b w:val="0"/>
          <w:sz w:val="24"/>
          <w:lang w:val="fr-CA"/>
        </w:rPr>
        <w:t>Beaunier,</w:t>
      </w:r>
      <w:r w:rsidRPr="009E1A63">
        <w:rPr>
          <w:rStyle w:val="Corpsdutexte1065ptPetitesmajuscules"/>
          <w:sz w:val="24"/>
          <w:lang w:val="fr-CA"/>
        </w:rPr>
        <w:t xml:space="preserve"> </w:t>
      </w:r>
      <w:r w:rsidRPr="009E1A63">
        <w:rPr>
          <w:lang w:eastAsia="fr-FR" w:bidi="fr-FR"/>
        </w:rPr>
        <w:t xml:space="preserve">édition des bénédictins de Ligugé, t. I, p. 70, mais dont les destinées ultérieures, après l’application de la loi de séparation, s’enveloppent d’un mystère que je n’ai pu percer : </w:t>
      </w:r>
      <w:r w:rsidRPr="009E1A63">
        <w:rPr>
          <w:i/>
        </w:rPr>
        <w:t>Abrégé de l’histoire de l’abbaye royale de Chelles</w:t>
      </w:r>
      <w:r w:rsidRPr="009E1A63">
        <w:rPr>
          <w:lang w:eastAsia="fr-FR" w:bidi="fr-FR"/>
        </w:rPr>
        <w:t xml:space="preserve">, par dom </w:t>
      </w:r>
      <w:r w:rsidRPr="009E1A63">
        <w:rPr>
          <w:rStyle w:val="Corpsdutexte1065ptPetitesmajuscules"/>
          <w:b w:val="0"/>
          <w:sz w:val="24"/>
          <w:lang w:val="fr-CA"/>
        </w:rPr>
        <w:t>Porcheron</w:t>
      </w:r>
      <w:r w:rsidRPr="009E1A63">
        <w:rPr>
          <w:rStyle w:val="Corpsdutexte1065ptPetitesmajuscules"/>
          <w:sz w:val="24"/>
          <w:lang w:val="fr-CA"/>
        </w:rPr>
        <w:t xml:space="preserve"> </w:t>
      </w:r>
      <w:r w:rsidRPr="009E1A63">
        <w:rPr>
          <w:lang w:eastAsia="fr-FR" w:bidi="fr-FR"/>
        </w:rPr>
        <w:t xml:space="preserve">(1707), </w:t>
      </w:r>
      <w:r w:rsidRPr="009E1A63">
        <w:t xml:space="preserve">3 </w:t>
      </w:r>
      <w:r w:rsidRPr="009E1A63">
        <w:rPr>
          <w:lang w:eastAsia="fr-FR" w:bidi="fr-FR"/>
        </w:rPr>
        <w:t>vol. manuscrits Le manuscrit 17020 du fonds latin de la Bibliothèque Nation</w:t>
      </w:r>
      <w:r w:rsidRPr="009E1A63">
        <w:rPr>
          <w:lang w:eastAsia="fr-FR" w:bidi="fr-FR"/>
        </w:rPr>
        <w:t>a</w:t>
      </w:r>
      <w:r w:rsidRPr="009E1A63">
        <w:rPr>
          <w:lang w:eastAsia="fr-FR" w:bidi="fr-FR"/>
        </w:rPr>
        <w:t xml:space="preserve">le renferme (fol. 154-161) des </w:t>
      </w:r>
      <w:r w:rsidRPr="009E1A63">
        <w:t>Mémoires pour servir à l’abbaye royale de Chelles</w:t>
      </w:r>
      <w:r w:rsidRPr="009E1A63">
        <w:rPr>
          <w:lang w:eastAsia="fr-FR" w:bidi="fr-FR"/>
        </w:rPr>
        <w:t>, au XVII</w:t>
      </w:r>
      <w:r w:rsidRPr="009E1A63">
        <w:rPr>
          <w:vertAlign w:val="superscript"/>
          <w:lang w:eastAsia="fr-FR" w:bidi="fr-FR"/>
        </w:rPr>
        <w:t>e</w:t>
      </w:r>
      <w:r w:rsidRPr="009E1A63">
        <w:rPr>
          <w:lang w:eastAsia="fr-FR" w:bidi="fr-FR"/>
        </w:rPr>
        <w:t xml:space="preserve"> siècle, où l’on trouvera transcrits quelques documents qui intéressent l’histoire de l’abbaye. Il y a assez peu de choses à tirer des ouvr</w:t>
      </w:r>
      <w:r w:rsidRPr="009E1A63">
        <w:rPr>
          <w:lang w:eastAsia="fr-FR" w:bidi="fr-FR"/>
        </w:rPr>
        <w:t>a</w:t>
      </w:r>
      <w:r w:rsidRPr="009E1A63">
        <w:rPr>
          <w:lang w:eastAsia="fr-FR" w:bidi="fr-FR"/>
        </w:rPr>
        <w:t xml:space="preserve">ges de l’abbé C. </w:t>
      </w:r>
      <w:r w:rsidRPr="009E1A63">
        <w:rPr>
          <w:rStyle w:val="Corpsdutexte1065ptPetitesmajuscules"/>
          <w:b w:val="0"/>
          <w:sz w:val="24"/>
          <w:lang w:val="fr-CA"/>
        </w:rPr>
        <w:t>Torchet,</w:t>
      </w:r>
      <w:r w:rsidRPr="009E1A63">
        <w:rPr>
          <w:rStyle w:val="Corpsdutexte1065ptPetitesmajuscules"/>
          <w:sz w:val="24"/>
          <w:lang w:val="fr-CA"/>
        </w:rPr>
        <w:t xml:space="preserve"> </w:t>
      </w:r>
      <w:r w:rsidRPr="009E1A63">
        <w:rPr>
          <w:i/>
        </w:rPr>
        <w:t>Histoire de l’abbaye royale de Notre-Dame de Chelles</w:t>
      </w:r>
      <w:r w:rsidRPr="009E1A63">
        <w:rPr>
          <w:lang w:eastAsia="fr-FR" w:bidi="fr-FR"/>
        </w:rPr>
        <w:t xml:space="preserve"> (2. vol. in-8° Paris, 1889), et de C.-H. </w:t>
      </w:r>
      <w:r w:rsidRPr="009E1A63">
        <w:rPr>
          <w:rStyle w:val="Corpsdutexte1065ptPetitesmajuscules"/>
          <w:b w:val="0"/>
          <w:sz w:val="24"/>
          <w:lang w:val="fr-CA"/>
        </w:rPr>
        <w:t>Bert</w:t>
      </w:r>
      <w:r w:rsidRPr="003B3476">
        <w:rPr>
          <w:rStyle w:val="Corpsdutexte1065ptPetitesmajuscules"/>
          <w:b w:val="0"/>
          <w:sz w:val="28"/>
          <w:lang w:val="fr-CA"/>
        </w:rPr>
        <w:t>hault,</w:t>
      </w:r>
      <w:r w:rsidRPr="003B3476">
        <w:rPr>
          <w:rStyle w:val="Corpsdutexte1065ptPetitesmajuscules"/>
          <w:sz w:val="28"/>
          <w:lang w:val="fr-CA"/>
        </w:rPr>
        <w:t xml:space="preserve"> </w:t>
      </w:r>
      <w:r w:rsidRPr="003B3476">
        <w:rPr>
          <w:i/>
        </w:rPr>
        <w:t>L'Abbaye de Chelles</w:t>
      </w:r>
      <w:r w:rsidRPr="003B3476">
        <w:rPr>
          <w:i/>
          <w:lang w:eastAsia="fr-FR" w:bidi="fr-FR"/>
        </w:rPr>
        <w:t xml:space="preserve">, </w:t>
      </w:r>
      <w:r w:rsidRPr="003B3476">
        <w:rPr>
          <w:i/>
        </w:rPr>
        <w:t>résumés chronologiques</w:t>
      </w:r>
      <w:r w:rsidRPr="003B3476">
        <w:rPr>
          <w:lang w:eastAsia="fr-FR" w:bidi="fr-FR"/>
        </w:rPr>
        <w:t xml:space="preserve"> (3 vol. in-8°, Meaux, 1889-1894).</w:t>
      </w:r>
    </w:p>
  </w:footnote>
  <w:footnote w:id="286">
    <w:p w14:paraId="383E41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Diplôme approuvant les serments et confédérations par quoi les hommes de Chelles s’étaient liés entre eux (c’est-à-dire la commune de Chelles) et les bonnes coutumes qu’ils observaient déjà du temps de Philippe I</w:t>
      </w:r>
      <w:r w:rsidRPr="003B3476">
        <w:rPr>
          <w:vertAlign w:val="superscript"/>
          <w:lang w:eastAsia="fr-FR" w:bidi="fr-FR"/>
        </w:rPr>
        <w:t>er</w:t>
      </w:r>
      <w:r w:rsidRPr="003B3476">
        <w:rPr>
          <w:lang w:eastAsia="fr-FR" w:bidi="fr-FR"/>
        </w:rPr>
        <w:t> ; formait la 242</w:t>
      </w:r>
      <w:r w:rsidRPr="003B3476">
        <w:rPr>
          <w:vertAlign w:val="superscript"/>
          <w:lang w:eastAsia="fr-FR" w:bidi="fr-FR"/>
        </w:rPr>
        <w:t>e</w:t>
      </w:r>
      <w:r w:rsidRPr="003B3476">
        <w:rPr>
          <w:lang w:eastAsia="fr-FR" w:bidi="fr-FR"/>
        </w:rPr>
        <w:t xml:space="preserve"> pièce du </w:t>
      </w:r>
      <w:r w:rsidRPr="003B3476">
        <w:rPr>
          <w:i/>
        </w:rPr>
        <w:t>Chartularium</w:t>
      </w:r>
      <w:r w:rsidRPr="003B3476">
        <w:t xml:space="preserve"> </w:t>
      </w:r>
      <w:r w:rsidRPr="003B3476">
        <w:rPr>
          <w:i/>
        </w:rPr>
        <w:t>Vetus</w:t>
      </w:r>
      <w:r w:rsidRPr="003B3476">
        <w:rPr>
          <w:lang w:eastAsia="fr-FR" w:bidi="fr-FR"/>
        </w:rPr>
        <w:t xml:space="preserve">, aujourd’hui perdu ; analysé d’après le </w:t>
      </w:r>
      <w:r w:rsidRPr="003B3476">
        <w:rPr>
          <w:i/>
        </w:rPr>
        <w:t>Chartularium Vetus</w:t>
      </w:r>
      <w:r w:rsidRPr="003B3476">
        <w:rPr>
          <w:lang w:eastAsia="fr-FR" w:bidi="fr-FR"/>
        </w:rPr>
        <w:t xml:space="preserve">, Bibl. Nat., ms. fr. 16188, fol. 48 v° ; édité « ex cartario Calensi », par dom </w:t>
      </w:r>
      <w:r w:rsidRPr="003B3476">
        <w:rPr>
          <w:rStyle w:val="Corpsdutexte1065ptPetitesmajuscules"/>
          <w:b w:val="0"/>
          <w:sz w:val="28"/>
          <w:lang w:val="fr-CA"/>
        </w:rPr>
        <w:t>Martène,</w:t>
      </w:r>
      <w:r w:rsidRPr="003B3476">
        <w:rPr>
          <w:rStyle w:val="Corpsdutexte1065ptPetitesmajuscules"/>
          <w:sz w:val="28"/>
          <w:lang w:val="fr-CA"/>
        </w:rPr>
        <w:t xml:space="preserve"> </w:t>
      </w:r>
      <w:r w:rsidRPr="003B3476">
        <w:rPr>
          <w:i/>
        </w:rPr>
        <w:t>Amplissima Collectio</w:t>
      </w:r>
      <w:r w:rsidRPr="003B3476">
        <w:t>,</w:t>
      </w:r>
      <w:r w:rsidRPr="003B3476">
        <w:rPr>
          <w:lang w:eastAsia="fr-FR" w:bidi="fr-FR"/>
        </w:rPr>
        <w:t xml:space="preserve"> I, col. 690 ; indiqué </w:t>
      </w:r>
      <w:r w:rsidRPr="003B3476">
        <w:rPr>
          <w:rStyle w:val="Corpsdutexte1065ptPetitesmajuscules"/>
          <w:b w:val="0"/>
          <w:sz w:val="28"/>
          <w:lang w:val="fr-CA"/>
        </w:rPr>
        <w:t>Luchaire,</w:t>
      </w:r>
      <w:r w:rsidRPr="003B3476">
        <w:rPr>
          <w:rStyle w:val="Corpsdutexte1065ptPetitesmajuscules"/>
          <w:sz w:val="28"/>
          <w:lang w:val="fr-CA"/>
        </w:rPr>
        <w:t xml:space="preserve"> </w:t>
      </w:r>
      <w:r w:rsidRPr="003B3476">
        <w:rPr>
          <w:i/>
        </w:rPr>
        <w:t>Louis VI</w:t>
      </w:r>
      <w:r w:rsidRPr="003B3476">
        <w:t>,</w:t>
      </w:r>
      <w:r w:rsidRPr="003B3476">
        <w:rPr>
          <w:lang w:eastAsia="fr-FR" w:bidi="fr-FR"/>
        </w:rPr>
        <w:t xml:space="preserve"> n° 422. </w:t>
      </w:r>
      <w:r w:rsidRPr="003B3476">
        <w:rPr>
          <w:i/>
        </w:rPr>
        <w:t>Cf</w:t>
      </w:r>
      <w:r w:rsidRPr="003B3476">
        <w:t xml:space="preserve">. </w:t>
      </w:r>
      <w:r w:rsidRPr="003B3476">
        <w:rPr>
          <w:i/>
        </w:rPr>
        <w:t>infra.</w:t>
      </w:r>
      <w:r w:rsidRPr="003B3476">
        <w:rPr>
          <w:lang w:eastAsia="fr-FR" w:bidi="fr-FR"/>
        </w:rPr>
        <w:t xml:space="preserve">, p. 689, et </w:t>
      </w:r>
      <w:r w:rsidRPr="003B3476">
        <w:t>l’Enquête sur les droits du roi à Chelles</w:t>
      </w:r>
      <w:r w:rsidRPr="003B3476">
        <w:rPr>
          <w:lang w:eastAsia="fr-FR" w:bidi="fr-FR"/>
        </w:rPr>
        <w:t xml:space="preserve">, </w:t>
      </w:r>
      <w:r w:rsidRPr="003B3476">
        <w:rPr>
          <w:i/>
        </w:rPr>
        <w:t>infra.</w:t>
      </w:r>
      <w:r w:rsidRPr="003B3476">
        <w:t xml:space="preserve">, </w:t>
      </w:r>
      <w:r w:rsidRPr="003B3476">
        <w:rPr>
          <w:lang w:eastAsia="fr-FR" w:bidi="fr-FR"/>
        </w:rPr>
        <w:t>p. 690.</w:t>
      </w:r>
    </w:p>
  </w:footnote>
  <w:footnote w:id="287">
    <w:p w14:paraId="4753DE0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Ce diplôme a été imprimé par </w:t>
      </w:r>
      <w:r w:rsidRPr="003B3476">
        <w:rPr>
          <w:rStyle w:val="Corpsdutexte1065ptPetitesmajuscules"/>
          <w:b w:val="0"/>
          <w:sz w:val="28"/>
          <w:lang w:val="fr-CA"/>
        </w:rPr>
        <w:t>Mabillon,</w:t>
      </w:r>
      <w:r w:rsidRPr="003B3476">
        <w:rPr>
          <w:rStyle w:val="Corpsdutexte1065ptPetitesmajuscules"/>
          <w:sz w:val="28"/>
          <w:lang w:val="fr-CA"/>
        </w:rPr>
        <w:t xml:space="preserve"> </w:t>
      </w:r>
      <w:r w:rsidRPr="003B3476">
        <w:rPr>
          <w:lang w:eastAsia="fr-FR" w:bidi="fr-FR"/>
        </w:rPr>
        <w:t xml:space="preserve">dans ses </w:t>
      </w:r>
      <w:r w:rsidRPr="003B3476">
        <w:rPr>
          <w:i/>
        </w:rPr>
        <w:t>Annales ordin. S. Benedicti</w:t>
      </w:r>
      <w:r w:rsidRPr="003B3476">
        <w:rPr>
          <w:lang w:eastAsia="fr-FR" w:bidi="fr-FR"/>
        </w:rPr>
        <w:t>, t. VI, app., p. 651, non pas comme l’affirme M. Luchaire « d’après l’original », mais d’après une mauvaise copie, qui, entre autres fa</w:t>
      </w:r>
      <w:r w:rsidRPr="003B3476">
        <w:rPr>
          <w:lang w:eastAsia="fr-FR" w:bidi="fr-FR"/>
        </w:rPr>
        <w:t>u</w:t>
      </w:r>
      <w:r w:rsidRPr="003B3476">
        <w:rPr>
          <w:lang w:eastAsia="fr-FR" w:bidi="fr-FR"/>
        </w:rPr>
        <w:t xml:space="preserve">tes, supprimait précisément le « dux Aquitanorum ». Nous en possédons trois copies manuscrites, dont aucune ne reproduit les leçons de Mabillon : 1° dans le </w:t>
      </w:r>
      <w:r w:rsidRPr="003B3476">
        <w:rPr>
          <w:i/>
        </w:rPr>
        <w:t>Cartulaire de Jacqueline Amignon</w:t>
      </w:r>
      <w:r w:rsidRPr="003B3476">
        <w:rPr>
          <w:lang w:eastAsia="fr-FR" w:bidi="fr-FR"/>
        </w:rPr>
        <w:t xml:space="preserve"> (Bibl. de Meaux, ms. 60), fol. 2 v° de la 5</w:t>
      </w:r>
      <w:r w:rsidRPr="003B3476">
        <w:rPr>
          <w:vertAlign w:val="superscript"/>
          <w:lang w:eastAsia="fr-FR" w:bidi="fr-FR"/>
        </w:rPr>
        <w:t>e</w:t>
      </w:r>
      <w:r w:rsidRPr="003B3476">
        <w:rPr>
          <w:lang w:eastAsia="fr-FR" w:bidi="fr-FR"/>
        </w:rPr>
        <w:t xml:space="preserve"> partie, d’après un extrait fait en 1515 du </w:t>
      </w:r>
      <w:r w:rsidRPr="003B3476">
        <w:rPr>
          <w:i/>
        </w:rPr>
        <w:t>Liber privillegiorum seu cartul</w:t>
      </w:r>
      <w:r w:rsidRPr="003B3476">
        <w:rPr>
          <w:i/>
        </w:rPr>
        <w:t>a</w:t>
      </w:r>
      <w:r w:rsidRPr="003B3476">
        <w:rPr>
          <w:i/>
        </w:rPr>
        <w:t>rum ecclesie d</w:t>
      </w:r>
      <w:r w:rsidRPr="003B3476">
        <w:t>e Kala</w:t>
      </w:r>
      <w:r w:rsidRPr="003B3476">
        <w:rPr>
          <w:lang w:eastAsia="fr-FR" w:bidi="fr-FR"/>
        </w:rPr>
        <w:t xml:space="preserve"> </w:t>
      </w:r>
      <w:r w:rsidRPr="003B3476">
        <w:t>(</w:t>
      </w:r>
      <w:r w:rsidRPr="003B3476">
        <w:rPr>
          <w:i/>
        </w:rPr>
        <w:t>cf. infra</w:t>
      </w:r>
      <w:r w:rsidRPr="003B3476">
        <w:t>,</w:t>
      </w:r>
      <w:r w:rsidRPr="003B3476">
        <w:rPr>
          <w:lang w:eastAsia="fr-FR" w:bidi="fr-FR"/>
        </w:rPr>
        <w:t xml:space="preserve"> p. 680, n. 3) ; 2° dans le </w:t>
      </w:r>
      <w:r w:rsidRPr="003B3476">
        <w:t>Cartulaire de Mad</w:t>
      </w:r>
      <w:r w:rsidRPr="003B3476">
        <w:t>e</w:t>
      </w:r>
      <w:r w:rsidRPr="003B3476">
        <w:t>leine de Chelles</w:t>
      </w:r>
      <w:r w:rsidRPr="003B3476">
        <w:rPr>
          <w:lang w:eastAsia="fr-FR" w:bidi="fr-FR"/>
        </w:rPr>
        <w:t xml:space="preserve"> (Bibl. de Meaux, ms. 59), fol. 1 delà 1</w:t>
      </w:r>
      <w:r w:rsidRPr="003B3476">
        <w:rPr>
          <w:vertAlign w:val="superscript"/>
          <w:lang w:eastAsia="fr-FR" w:bidi="fr-FR"/>
        </w:rPr>
        <w:t>re</w:t>
      </w:r>
      <w:r w:rsidRPr="003B3476">
        <w:rPr>
          <w:lang w:eastAsia="fr-FR" w:bidi="fr-FR"/>
        </w:rPr>
        <w:t xml:space="preserve"> partie, peut-être d’après le </w:t>
      </w:r>
      <w:r w:rsidRPr="003B3476">
        <w:rPr>
          <w:i/>
        </w:rPr>
        <w:t>Liber privillegiorum</w:t>
      </w:r>
      <w:r w:rsidRPr="003B3476">
        <w:rPr>
          <w:lang w:eastAsia="fr-FR" w:bidi="fr-FR"/>
        </w:rPr>
        <w:t xml:space="preserve"> </w:t>
      </w:r>
      <w:r w:rsidRPr="003B3476">
        <w:t>(</w:t>
      </w:r>
      <w:r w:rsidRPr="003B3476">
        <w:rPr>
          <w:i/>
        </w:rPr>
        <w:t>cf. infra</w:t>
      </w:r>
      <w:r w:rsidRPr="003B3476">
        <w:rPr>
          <w:lang w:eastAsia="fr-FR" w:bidi="fr-FR"/>
        </w:rPr>
        <w:t>, p. 681, n. 3) ;</w:t>
      </w:r>
      <w:r w:rsidRPr="003B3476">
        <w:t xml:space="preserve"> 3° </w:t>
      </w:r>
      <w:r w:rsidRPr="003B3476">
        <w:rPr>
          <w:lang w:eastAsia="fr-FR" w:bidi="fr-FR"/>
        </w:rPr>
        <w:t>dans le même m</w:t>
      </w:r>
      <w:r w:rsidRPr="003B3476">
        <w:rPr>
          <w:lang w:eastAsia="fr-FR" w:bidi="fr-FR"/>
        </w:rPr>
        <w:t>a</w:t>
      </w:r>
      <w:r w:rsidRPr="003B3476">
        <w:rPr>
          <w:lang w:eastAsia="fr-FR" w:bidi="fr-FR"/>
        </w:rPr>
        <w:t>nuscrit, fol. 187 de la 1</w:t>
      </w:r>
      <w:r w:rsidRPr="003B3476">
        <w:rPr>
          <w:vertAlign w:val="superscript"/>
          <w:lang w:eastAsia="fr-FR" w:bidi="fr-FR"/>
        </w:rPr>
        <w:t>re</w:t>
      </w:r>
      <w:r w:rsidRPr="003B3476">
        <w:rPr>
          <w:lang w:eastAsia="fr-FR" w:bidi="fr-FR"/>
        </w:rPr>
        <w:t xml:space="preserve"> partie, d’après un extrait fait le 14 décembre 1526 d’un registre des Requêtes de l’Hôtel, aujourd’hui perdu. Cette dernière copie est incomplète. En outre, nous possédons deux analyses de ce même texte : 1° dans le ms. 16188 du fonds français de la Bibl. Nat., fol. </w:t>
      </w:r>
      <w:r w:rsidRPr="003B3476">
        <w:t xml:space="preserve">3, </w:t>
      </w:r>
      <w:r w:rsidRPr="003B3476">
        <w:rPr>
          <w:lang w:eastAsia="fr-FR" w:bidi="fr-FR"/>
        </w:rPr>
        <w:t xml:space="preserve">d’après le </w:t>
      </w:r>
      <w:r w:rsidRPr="003B3476">
        <w:rPr>
          <w:i/>
        </w:rPr>
        <w:t>Cha</w:t>
      </w:r>
      <w:r w:rsidRPr="003B3476">
        <w:rPr>
          <w:i/>
        </w:rPr>
        <w:t>r</w:t>
      </w:r>
      <w:r w:rsidRPr="003B3476">
        <w:rPr>
          <w:i/>
        </w:rPr>
        <w:t>tularium Vetus Kalense</w:t>
      </w:r>
      <w:r w:rsidRPr="003B3476">
        <w:rPr>
          <w:i/>
          <w:lang w:eastAsia="fr-FR" w:bidi="fr-FR"/>
        </w:rPr>
        <w:t> </w:t>
      </w:r>
      <w:r w:rsidRPr="003B3476">
        <w:rPr>
          <w:lang w:eastAsia="fr-FR" w:bidi="fr-FR"/>
        </w:rPr>
        <w:t>; 2° dans un inventaire des archives de Chelles dressé au XVIII</w:t>
      </w:r>
      <w:r w:rsidRPr="003B3476">
        <w:rPr>
          <w:vertAlign w:val="superscript"/>
          <w:lang w:eastAsia="fr-FR" w:bidi="fr-FR"/>
        </w:rPr>
        <w:t>e</w:t>
      </w:r>
      <w:r w:rsidRPr="003B3476">
        <w:rPr>
          <w:lang w:eastAsia="fr-FR" w:bidi="fr-FR"/>
        </w:rPr>
        <w:t xml:space="preserve"> siècle et conservé aujourd’hui aux archives de Seine-et-Marne sous la cote H 409, fol. 117, d’après une copie, datée de 1521, « collationnée et signée Des Moulins », cotée A 8, i, 1. Le diplôme a été attr</w:t>
      </w:r>
      <w:r w:rsidRPr="003B3476">
        <w:rPr>
          <w:lang w:eastAsia="fr-FR" w:bidi="fr-FR"/>
        </w:rPr>
        <w:t>i</w:t>
      </w:r>
      <w:r w:rsidRPr="003B3476">
        <w:rPr>
          <w:lang w:eastAsia="fr-FR" w:bidi="fr-FR"/>
        </w:rPr>
        <w:t xml:space="preserve">bué </w:t>
      </w:r>
      <w:r w:rsidRPr="003B3476">
        <w:t xml:space="preserve">à </w:t>
      </w:r>
      <w:r w:rsidRPr="003B3476">
        <w:rPr>
          <w:lang w:eastAsia="fr-FR" w:bidi="fr-FR"/>
        </w:rPr>
        <w:t xml:space="preserve">Louis VI par M. </w:t>
      </w:r>
      <w:r w:rsidRPr="003B3476">
        <w:rPr>
          <w:rStyle w:val="Corpsdutexte1065ptPetitesmajuscules"/>
          <w:b w:val="0"/>
          <w:sz w:val="28"/>
          <w:lang w:val="fr-CA"/>
        </w:rPr>
        <w:t>Luchaire,</w:t>
      </w:r>
      <w:r w:rsidRPr="003B3476">
        <w:rPr>
          <w:rStyle w:val="Corpsdutexte1065ptPetitesmajuscules"/>
          <w:sz w:val="28"/>
          <w:lang w:val="fr-CA"/>
        </w:rPr>
        <w:t xml:space="preserve"> </w:t>
      </w:r>
      <w:r w:rsidRPr="003B3476">
        <w:rPr>
          <w:lang w:eastAsia="fr-FR" w:bidi="fr-FR"/>
        </w:rPr>
        <w:t xml:space="preserve">pour des raisons dont je pense démontrer un jour la fragilité. </w:t>
      </w:r>
      <w:r w:rsidRPr="003B3476">
        <w:rPr>
          <w:i/>
        </w:rPr>
        <w:t>Cf.</w:t>
      </w:r>
      <w:r w:rsidRPr="003B3476">
        <w:t xml:space="preserve"> </w:t>
      </w:r>
      <w:r w:rsidRPr="003B3476">
        <w:rPr>
          <w:i/>
        </w:rPr>
        <w:t>Louis VI</w:t>
      </w:r>
      <w:r w:rsidRPr="003B3476">
        <w:rPr>
          <w:lang w:eastAsia="fr-FR" w:bidi="fr-FR"/>
        </w:rPr>
        <w:t>, n° 421.</w:t>
      </w:r>
    </w:p>
  </w:footnote>
  <w:footnote w:id="288">
    <w:p w14:paraId="7779A8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Quarum humilem et justam petitionem libenter suscepimus quoniam in pr</w:t>
      </w:r>
      <w:r w:rsidRPr="003B3476">
        <w:rPr>
          <w:lang w:eastAsia="fr-FR" w:bidi="fr-FR"/>
        </w:rPr>
        <w:t>e</w:t>
      </w:r>
      <w:r w:rsidRPr="003B3476">
        <w:rPr>
          <w:lang w:eastAsia="fr-FR" w:bidi="fr-FR"/>
        </w:rPr>
        <w:t>ceptis predecessorum nostrorum Karoli, Ludovici, aliorumque regum hoc confirmatum comperimus. »</w:t>
      </w:r>
    </w:p>
  </w:footnote>
  <w:footnote w:id="289">
    <w:p w14:paraId="1132ED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est sans doute superflu de faire remarquer que Louis VII n’aurait pas dés</w:t>
      </w:r>
      <w:r w:rsidRPr="003B3476">
        <w:rPr>
          <w:lang w:val="fr-FR" w:eastAsia="fr-FR" w:bidi="fr-FR"/>
        </w:rPr>
        <w:t>i</w:t>
      </w:r>
      <w:r w:rsidRPr="003B3476">
        <w:rPr>
          <w:lang w:val="fr-FR" w:eastAsia="fr-FR" w:bidi="fr-FR"/>
        </w:rPr>
        <w:t>gné son père Louis VI (le seul souverain de la dynastie capétienne qui avant lui porta le nom de Louis) par le simple mot de « predecessor ».</w:t>
      </w:r>
    </w:p>
  </w:footnote>
  <w:footnote w:id="290">
    <w:p w14:paraId="69CB2B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Inventaire conservé aux archives de Seine-et-Marne, H 409, fol. 117, cité déjà par Luchaire. Chose curieuse, une bulle de Grégoire IX, du 17 août 1229 (16 kal. sept. 1229, indiction 2, date du pontificat et indication de lieu illisibles) copiée au fol. 91 v° de la première partie du </w:t>
      </w:r>
      <w:r w:rsidRPr="003B3476">
        <w:rPr>
          <w:bCs/>
          <w:i/>
        </w:rPr>
        <w:t>Cartulaire de Madeleine de Che</w:t>
      </w:r>
      <w:r w:rsidRPr="003B3476">
        <w:rPr>
          <w:bCs/>
          <w:i/>
        </w:rPr>
        <w:t>l</w:t>
      </w:r>
      <w:r w:rsidRPr="003B3476">
        <w:rPr>
          <w:bCs/>
          <w:i/>
        </w:rPr>
        <w:t>les</w:t>
      </w:r>
      <w:r w:rsidRPr="003B3476">
        <w:rPr>
          <w:lang w:val="fr-FR" w:eastAsia="fr-FR" w:bidi="fr-FR"/>
        </w:rPr>
        <w:t xml:space="preserve"> (Bibl. de Meaux, ms. 59) et (au XVII</w:t>
      </w:r>
      <w:r w:rsidRPr="003B3476">
        <w:rPr>
          <w:vertAlign w:val="superscript"/>
          <w:lang w:val="fr-FR" w:eastAsia="fr-FR" w:bidi="fr-FR"/>
        </w:rPr>
        <w:t>e</w:t>
      </w:r>
      <w:r w:rsidRPr="003B3476">
        <w:rPr>
          <w:lang w:val="fr-FR" w:eastAsia="fr-FR" w:bidi="fr-FR"/>
        </w:rPr>
        <w:t xml:space="preserve"> siècle) au fol. 155 V° du ms. 17020 du fonds latin de la Bibl. Nat., paraît s’inspirer de documents carolingiens.</w:t>
      </w:r>
    </w:p>
  </w:footnote>
  <w:footnote w:id="291">
    <w:p w14:paraId="324B748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Archives de Seine-et-Marne</w:t>
      </w:r>
      <w:r w:rsidRPr="003B3476">
        <w:rPr>
          <w:bCs/>
        </w:rPr>
        <w:t xml:space="preserve">, </w:t>
      </w:r>
      <w:r w:rsidRPr="003B3476">
        <w:rPr>
          <w:bCs/>
          <w:i/>
        </w:rPr>
        <w:t>Inventaires</w:t>
      </w:r>
      <w:r w:rsidRPr="003B3476">
        <w:rPr>
          <w:lang w:val="fr-FR" w:eastAsia="fr-FR" w:bidi="fr-FR"/>
        </w:rPr>
        <w:t xml:space="preserve">, t. II, p. 113-123, et t. IV, p. 18 à 20. Quelques débris des archives de Chelles, — statuts et terriers, — se trouvent aussi conservés à la Bibl. de Meaux, mss. 58, 61 et 62. </w:t>
      </w:r>
      <w:r w:rsidRPr="003B3476">
        <w:rPr>
          <w:bCs/>
          <w:i/>
        </w:rPr>
        <w:t>Cf.</w:t>
      </w:r>
      <w:r w:rsidRPr="003B3476">
        <w:rPr>
          <w:bCs/>
        </w:rPr>
        <w:t xml:space="preserve"> </w:t>
      </w:r>
      <w:r w:rsidRPr="003B3476">
        <w:rPr>
          <w:bCs/>
          <w:i/>
        </w:rPr>
        <w:t>Catalogue gén. des mss. Départements</w:t>
      </w:r>
      <w:r w:rsidRPr="003B3476">
        <w:rPr>
          <w:i/>
          <w:lang w:val="fr-FR" w:eastAsia="fr-FR" w:bidi="fr-FR"/>
        </w:rPr>
        <w:t>,</w:t>
      </w:r>
      <w:r w:rsidRPr="003B3476">
        <w:rPr>
          <w:lang w:val="fr-FR" w:eastAsia="fr-FR" w:bidi="fr-FR"/>
        </w:rPr>
        <w:t xml:space="preserve"> t. III, p. 343-345.</w:t>
      </w:r>
    </w:p>
  </w:footnote>
  <w:footnote w:id="292">
    <w:p w14:paraId="13C29F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Voici le titre exact inscrit au fol. 2 r° du ms. fr. 16188 : « Cecy est un extraict mis en françois d’un vieil Ghartulaire de l’abbaye de Chelles sur lequel est e</w:t>
      </w:r>
      <w:r w:rsidRPr="003B3476">
        <w:rPr>
          <w:lang w:val="fr-FR" w:eastAsia="fr-FR" w:bidi="fr-FR"/>
        </w:rPr>
        <w:t>s</w:t>
      </w:r>
      <w:r w:rsidRPr="003B3476">
        <w:rPr>
          <w:lang w:val="fr-FR" w:eastAsia="fr-FR" w:bidi="fr-FR"/>
        </w:rPr>
        <w:t>cript ce qui en suit Chartularium Vetus Kalense ». Le volume qui forme a</w:t>
      </w:r>
      <w:r w:rsidRPr="003B3476">
        <w:rPr>
          <w:lang w:val="fr-FR" w:eastAsia="fr-FR" w:bidi="fr-FR"/>
        </w:rPr>
        <w:t>u</w:t>
      </w:r>
      <w:r w:rsidRPr="003B3476">
        <w:rPr>
          <w:lang w:val="fr-FR" w:eastAsia="fr-FR" w:bidi="fr-FR"/>
        </w:rPr>
        <w:t>jourd’hui le ms. fr. 16188 a appartenu au chancelier Séguier.</w:t>
      </w:r>
    </w:p>
  </w:footnote>
  <w:footnote w:id="293">
    <w:p w14:paraId="2C63971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Transcrit sur le fol. 242 du </w:t>
      </w:r>
      <w:r w:rsidRPr="003B3476">
        <w:rPr>
          <w:bCs/>
          <w:i/>
        </w:rPr>
        <w:t>Chartularium Vetus</w:t>
      </w:r>
      <w:r w:rsidRPr="003B3476">
        <w:rPr>
          <w:lang w:val="fr-FR" w:eastAsia="fr-FR" w:bidi="fr-FR"/>
        </w:rPr>
        <w:t>, analysé au fol. 72 du ms. fr. 16188.</w:t>
      </w:r>
    </w:p>
  </w:footnote>
  <w:footnote w:id="294">
    <w:p w14:paraId="03A916F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procès-verbal de Guillaume du Tartre a été transcrit dans le </w:t>
      </w:r>
      <w:r w:rsidRPr="003B3476">
        <w:rPr>
          <w:bCs/>
          <w:i/>
        </w:rPr>
        <w:t>Cartulaire de Jacqueline Amignon</w:t>
      </w:r>
      <w:r w:rsidRPr="003B3476">
        <w:rPr>
          <w:lang w:val="fr-FR" w:eastAsia="fr-FR" w:bidi="fr-FR"/>
        </w:rPr>
        <w:t xml:space="preserve"> (Bibl. de Meaux, ms. 60), fol. 2 v° à 8 de la 5</w:t>
      </w:r>
      <w:r w:rsidRPr="003B3476">
        <w:rPr>
          <w:vertAlign w:val="superscript"/>
          <w:lang w:val="fr-FR" w:eastAsia="fr-FR" w:bidi="fr-FR"/>
        </w:rPr>
        <w:t>e</w:t>
      </w:r>
      <w:r w:rsidRPr="003B3476">
        <w:rPr>
          <w:lang w:val="fr-FR" w:eastAsia="fr-FR" w:bidi="fr-FR"/>
        </w:rPr>
        <w:t xml:space="preserve"> partie. Voici la partie de ce texte qui nous intéresse ; elle commence au fol. 2 v° ; on notera pour l’intelligence de ce qu’on va lire que maître Pierre Rossignol était le procureur des religieuses : « Je feis commandement de par le Roy nostre dict seigneur a seur Benoiste Saillant, deppositaire de ladicte abbaye, qu’elle montrast et exibast le cartulaire de la dic te abbaye, pour d’icelluy extraire et collationner certaines lettres dont ledit Rossignol ou dit nom se entendoit ayder au procès pendant entre lesdictes parties pardevant vous oudict Chaste</w:t>
      </w:r>
      <w:r w:rsidRPr="003B3476">
        <w:rPr>
          <w:lang w:val="fr-FR" w:eastAsia="fr-FR" w:bidi="fr-FR"/>
        </w:rPr>
        <w:t>l</w:t>
      </w:r>
      <w:r w:rsidRPr="003B3476">
        <w:rPr>
          <w:lang w:val="fr-FR" w:eastAsia="fr-FR" w:bidi="fr-FR"/>
        </w:rPr>
        <w:t>let : laquelle, ensuivant ledict commandement, me bailla ung gros livre en parchemin, contenant vingt cayers de parchemin, tant grans que petis, reliés et couvers d’une couverture de parchemin collée : Ledit cartulaire escript de le</w:t>
      </w:r>
      <w:r w:rsidRPr="003B3476">
        <w:rPr>
          <w:lang w:val="fr-FR" w:eastAsia="fr-FR" w:bidi="fr-FR"/>
        </w:rPr>
        <w:t>t</w:t>
      </w:r>
      <w:r w:rsidRPr="003B3476">
        <w:rPr>
          <w:lang w:val="fr-FR" w:eastAsia="fr-FR" w:bidi="fr-FR"/>
        </w:rPr>
        <w:t>tre ancienne et usée, non signé, contenant huict vingtz douze fueillets, dont les huict vingtz unze sont escriptz et le dernier rompu et escript d’un costé d’escripture non lisable ; et es sept premiers fueilletz d’icelluy est escript : « La table des lettres estans registrées en icelluy cartulaire », et au premier fueillet du second cayer dudit cartulaire apres ladicte table est escript comme s’ensuit : « Incipit « liber privillegiorum seu cartularum ecclesie de Kala, P</w:t>
      </w:r>
      <w:r w:rsidRPr="003B3476">
        <w:rPr>
          <w:lang w:val="fr-FR" w:eastAsia="fr-FR" w:bidi="fr-FR"/>
        </w:rPr>
        <w:t>a</w:t>
      </w:r>
      <w:r w:rsidRPr="003B3476">
        <w:rPr>
          <w:lang w:val="fr-FR" w:eastAsia="fr-FR" w:bidi="fr-FR"/>
        </w:rPr>
        <w:t>risiensis diocesis, ordinatus a religiosa « domina Adeluya, de [3 r°] Nantolio, abbatissa dicti loci, anno Domini millesimo II</w:t>
      </w:r>
      <w:r w:rsidRPr="003B3476">
        <w:rPr>
          <w:vertAlign w:val="superscript"/>
          <w:lang w:val="fr-FR" w:eastAsia="fr-FR" w:bidi="fr-FR"/>
        </w:rPr>
        <w:t>mo</w:t>
      </w:r>
      <w:r w:rsidRPr="003B3476">
        <w:rPr>
          <w:lang w:val="fr-FR" w:eastAsia="fr-FR" w:bidi="fr-FR"/>
        </w:rPr>
        <w:t xml:space="preserve"> nonagesimo secundo ; et inibi continentur redditus et hereditates tocius ecclesie et quibus et in « quibus re</w:t>
      </w:r>
      <w:r w:rsidRPr="003B3476">
        <w:rPr>
          <w:lang w:val="fr-FR" w:eastAsia="fr-FR" w:bidi="fr-FR"/>
        </w:rPr>
        <w:t>d</w:t>
      </w:r>
      <w:r w:rsidRPr="003B3476">
        <w:rPr>
          <w:lang w:val="fr-FR" w:eastAsia="fr-FR" w:bidi="fr-FR"/>
        </w:rPr>
        <w:t>ditibus annualibus ecclesia tenetur ».</w:t>
      </w:r>
    </w:p>
  </w:footnote>
  <w:footnote w:id="295">
    <w:p w14:paraId="08E2DCF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Voici le détail de ce travail de comparaison : 1° Deux pièces, copiées par Guillaume du Tartre, n’ont pu être retrouvées dans le ms. fr. 16188, dont les analyses, il importe de le noter, sont souvent dépourvues de précision. Ce sont : </w:t>
      </w:r>
      <w:r w:rsidRPr="003B3476">
        <w:t>a)</w:t>
      </w:r>
      <w:r w:rsidRPr="003B3476">
        <w:rPr>
          <w:lang w:eastAsia="fr-FR" w:bidi="fr-FR"/>
        </w:rPr>
        <w:t xml:space="preserve"> acte portant abandon par Philippe de Milly des droits qu’il pouvait avoir sur la terre des religieuses, </w:t>
      </w:r>
      <w:r w:rsidRPr="003B3476">
        <w:t xml:space="preserve">à </w:t>
      </w:r>
      <w:r w:rsidRPr="003B3476">
        <w:rPr>
          <w:lang w:eastAsia="fr-FR" w:bidi="fr-FR"/>
        </w:rPr>
        <w:t xml:space="preserve">Milly (Seine-et-Oise, arr. d’Étampes), juin 1241. </w:t>
      </w:r>
      <w:r w:rsidRPr="003B3476">
        <w:rPr>
          <w:i/>
        </w:rPr>
        <w:t>Liber privillegiorum</w:t>
      </w:r>
      <w:r w:rsidRPr="003B3476">
        <w:rPr>
          <w:lang w:eastAsia="fr-FR" w:bidi="fr-FR"/>
        </w:rPr>
        <w:t xml:space="preserve">, fol. 134, </w:t>
      </w:r>
      <w:r w:rsidRPr="003B3476">
        <w:rPr>
          <w:i/>
        </w:rPr>
        <w:t>Cartul. de J. Amignon</w:t>
      </w:r>
      <w:r w:rsidRPr="003B3476">
        <w:rPr>
          <w:lang w:eastAsia="fr-FR" w:bidi="fr-FR"/>
        </w:rPr>
        <w:t xml:space="preserve">, fol. 4 v° ; </w:t>
      </w:r>
      <w:r w:rsidRPr="003B3476">
        <w:t>b)</w:t>
      </w:r>
      <w:r w:rsidRPr="003B3476">
        <w:rPr>
          <w:lang w:eastAsia="fr-FR" w:bidi="fr-FR"/>
        </w:rPr>
        <w:t xml:space="preserve"> lettre de Jean Yvon de Grez </w:t>
      </w:r>
      <w:r w:rsidRPr="003B3476">
        <w:t xml:space="preserve">à </w:t>
      </w:r>
      <w:r w:rsidRPr="003B3476">
        <w:rPr>
          <w:lang w:eastAsia="fr-FR" w:bidi="fr-FR"/>
        </w:rPr>
        <w:t>Jean de Montigny, garde de la baillie de Sens, rappo</w:t>
      </w:r>
      <w:r w:rsidRPr="003B3476">
        <w:rPr>
          <w:lang w:eastAsia="fr-FR" w:bidi="fr-FR"/>
        </w:rPr>
        <w:t>r</w:t>
      </w:r>
      <w:r w:rsidRPr="003B3476">
        <w:rPr>
          <w:lang w:eastAsia="fr-FR" w:bidi="fr-FR"/>
        </w:rPr>
        <w:t xml:space="preserve">tant la vue faite par Jean Yvon d’une terre sise </w:t>
      </w:r>
      <w:r w:rsidRPr="003B3476">
        <w:t xml:space="preserve">à </w:t>
      </w:r>
      <w:r w:rsidRPr="003B3476">
        <w:rPr>
          <w:lang w:eastAsia="fr-FR" w:bidi="fr-FR"/>
        </w:rPr>
        <w:t>Noisy (Noisy-sur-Ëcole, Se</w:t>
      </w:r>
      <w:r w:rsidRPr="003B3476">
        <w:rPr>
          <w:lang w:eastAsia="fr-FR" w:bidi="fr-FR"/>
        </w:rPr>
        <w:t>i</w:t>
      </w:r>
      <w:r w:rsidRPr="003B3476">
        <w:rPr>
          <w:lang w:eastAsia="fr-FR" w:bidi="fr-FR"/>
        </w:rPr>
        <w:t xml:space="preserve">ne-et-Marne, cant. la Chapelle-la-Reine), 4 février 1299 nouv. st. ; cette lettre renferme un mandement de Jean de Montigny </w:t>
      </w:r>
      <w:r w:rsidRPr="003B3476">
        <w:t xml:space="preserve">à </w:t>
      </w:r>
      <w:r w:rsidRPr="003B3476">
        <w:rPr>
          <w:lang w:eastAsia="fr-FR" w:bidi="fr-FR"/>
        </w:rPr>
        <w:t xml:space="preserve">Jean Yvon du 22 janvier 1299 nouv. st., contenant lui-même un mandement de Philippe le Bel </w:t>
      </w:r>
      <w:r w:rsidRPr="003B3476">
        <w:t xml:space="preserve">à </w:t>
      </w:r>
      <w:r w:rsidRPr="003B3476">
        <w:rPr>
          <w:lang w:eastAsia="fr-FR" w:bidi="fr-FR"/>
        </w:rPr>
        <w:t xml:space="preserve">Jean de Montigny, du 17 janvier 1299 nouv. st. </w:t>
      </w:r>
      <w:r w:rsidRPr="003B3476">
        <w:rPr>
          <w:i/>
        </w:rPr>
        <w:t>Liber privillegiorum</w:t>
      </w:r>
      <w:r w:rsidRPr="003B3476">
        <w:rPr>
          <w:lang w:eastAsia="fr-FR" w:bidi="fr-FR"/>
        </w:rPr>
        <w:t xml:space="preserve">, fol. 140, </w:t>
      </w:r>
      <w:r w:rsidRPr="003B3476">
        <w:t>Cartul. de J. Amignon</w:t>
      </w:r>
      <w:r w:rsidRPr="003B3476">
        <w:rPr>
          <w:lang w:eastAsia="fr-FR" w:bidi="fr-FR"/>
        </w:rPr>
        <w:t xml:space="preserve">, fol. 5. 2° Trois pièces copiées par G. du Tartre se retrouvent dans l’analyse du </w:t>
      </w:r>
      <w:r w:rsidRPr="003B3476">
        <w:rPr>
          <w:i/>
        </w:rPr>
        <w:t>Chartularium Vetus</w:t>
      </w:r>
      <w:r w:rsidRPr="003B3476">
        <w:rPr>
          <w:lang w:eastAsia="fr-FR" w:bidi="fr-FR"/>
        </w:rPr>
        <w:t xml:space="preserve">, mais sont accompagnées dans cette analyse seulement de leur numéro d’ordre ; l’indication du feuillet fait défaut. Ce sont : a) accensement d’un marais entre Milly et la chaussée de Oncy fait </w:t>
      </w:r>
      <w:r w:rsidRPr="003B3476">
        <w:t xml:space="preserve">à </w:t>
      </w:r>
      <w:r w:rsidRPr="003B3476">
        <w:rPr>
          <w:lang w:eastAsia="fr-FR" w:bidi="fr-FR"/>
        </w:rPr>
        <w:t xml:space="preserve">Guillaume de Milly par les religieuses, 1208. </w:t>
      </w:r>
      <w:r w:rsidRPr="003B3476">
        <w:rPr>
          <w:i/>
        </w:rPr>
        <w:t>Liber privillegiorum</w:t>
      </w:r>
      <w:r w:rsidRPr="003B3476">
        <w:rPr>
          <w:lang w:eastAsia="fr-FR" w:bidi="fr-FR"/>
        </w:rPr>
        <w:t xml:space="preserve">, fol. 44, </w:t>
      </w:r>
      <w:r w:rsidRPr="003B3476">
        <w:t>Cartul. de J. Amignon</w:t>
      </w:r>
      <w:r w:rsidRPr="003B3476">
        <w:rPr>
          <w:lang w:eastAsia="fr-FR" w:bidi="fr-FR"/>
        </w:rPr>
        <w:t xml:space="preserve">, fol. 3 v°, </w:t>
      </w:r>
      <w:r w:rsidRPr="003B3476">
        <w:rPr>
          <w:i/>
        </w:rPr>
        <w:t>Chartularium Vetus</w:t>
      </w:r>
      <w:r w:rsidRPr="003B3476">
        <w:rPr>
          <w:lang w:eastAsia="fr-FR" w:bidi="fr-FR"/>
        </w:rPr>
        <w:t xml:space="preserve">, n° 123, ms. fr. 16188, fol. 27 v° ; </w:t>
      </w:r>
      <w:r w:rsidRPr="003B3476">
        <w:t>b)</w:t>
      </w:r>
      <w:r w:rsidRPr="003B3476">
        <w:rPr>
          <w:lang w:eastAsia="fr-FR" w:bidi="fr-FR"/>
        </w:rPr>
        <w:t> ; petitio » présentée au Parlement par Philippe de Milly, sous-doyen de Chartres, qui accusait les religieuses de Chelles de retenir injust</w:t>
      </w:r>
      <w:r w:rsidRPr="003B3476">
        <w:rPr>
          <w:lang w:eastAsia="fr-FR" w:bidi="fr-FR"/>
        </w:rPr>
        <w:t>e</w:t>
      </w:r>
      <w:r w:rsidRPr="003B3476">
        <w:rPr>
          <w:lang w:eastAsia="fr-FR" w:bidi="fr-FR"/>
        </w:rPr>
        <w:t xml:space="preserve">ment quatre paires de lettres scellées de son sceau, 29 mars 1256 nouv. st. </w:t>
      </w:r>
      <w:r w:rsidRPr="003B3476">
        <w:rPr>
          <w:i/>
        </w:rPr>
        <w:t>L</w:t>
      </w:r>
      <w:r w:rsidRPr="003B3476">
        <w:rPr>
          <w:i/>
        </w:rPr>
        <w:t>i</w:t>
      </w:r>
      <w:r w:rsidRPr="003B3476">
        <w:rPr>
          <w:i/>
        </w:rPr>
        <w:t>ber privillegiorum</w:t>
      </w:r>
      <w:r w:rsidRPr="003B3476">
        <w:rPr>
          <w:lang w:eastAsia="fr-FR" w:bidi="fr-FR"/>
        </w:rPr>
        <w:t xml:space="preserve">, fol. 47, </w:t>
      </w:r>
      <w:r w:rsidRPr="003B3476">
        <w:rPr>
          <w:i/>
        </w:rPr>
        <w:t>Cartul. de J. Amignon,</w:t>
      </w:r>
      <w:r w:rsidRPr="003B3476">
        <w:rPr>
          <w:lang w:eastAsia="fr-FR" w:bidi="fr-FR"/>
        </w:rPr>
        <w:t xml:space="preserve"> fol. 4, et sans doute </w:t>
      </w:r>
      <w:r w:rsidRPr="003B3476">
        <w:rPr>
          <w:i/>
        </w:rPr>
        <w:t>Cha</w:t>
      </w:r>
      <w:r w:rsidRPr="003B3476">
        <w:rPr>
          <w:i/>
        </w:rPr>
        <w:t>r</w:t>
      </w:r>
      <w:r w:rsidRPr="003B3476">
        <w:rPr>
          <w:i/>
        </w:rPr>
        <w:t>tularium Vetus</w:t>
      </w:r>
      <w:r w:rsidRPr="003B3476">
        <w:rPr>
          <w:lang w:eastAsia="fr-FR" w:bidi="fr-FR"/>
        </w:rPr>
        <w:t xml:space="preserve">, n° 143, ms. fr. 16188, fol. 29 v° ; c) sentence interlocutoire du Parlement repoussant la requête précédente, 17 mai 1256. </w:t>
      </w:r>
      <w:r w:rsidRPr="003B3476">
        <w:rPr>
          <w:i/>
        </w:rPr>
        <w:t>Liber privillegi</w:t>
      </w:r>
      <w:r w:rsidRPr="003B3476">
        <w:rPr>
          <w:i/>
        </w:rPr>
        <w:t>o</w:t>
      </w:r>
      <w:r w:rsidRPr="003B3476">
        <w:rPr>
          <w:i/>
        </w:rPr>
        <w:t>rum</w:t>
      </w:r>
      <w:r w:rsidRPr="003B3476">
        <w:rPr>
          <w:lang w:eastAsia="fr-FR" w:bidi="fr-FR"/>
        </w:rPr>
        <w:t xml:space="preserve">, fol. 49, </w:t>
      </w:r>
      <w:r w:rsidRPr="003B3476">
        <w:t>Cartul. de J. Amignon</w:t>
      </w:r>
      <w:r w:rsidRPr="003B3476">
        <w:rPr>
          <w:lang w:eastAsia="fr-FR" w:bidi="fr-FR"/>
        </w:rPr>
        <w:t xml:space="preserve">, fol. 4 v°, </w:t>
      </w:r>
      <w:r w:rsidRPr="003B3476">
        <w:rPr>
          <w:i/>
        </w:rPr>
        <w:t>Chartularium Vetus,</w:t>
      </w:r>
      <w:r w:rsidRPr="003B3476">
        <w:rPr>
          <w:lang w:eastAsia="fr-FR" w:bidi="fr-FR"/>
        </w:rPr>
        <w:t xml:space="preserve"> n° 140, ms. fr. 16188, fol. 30 v°. 3° Quatre pièces, copiées par Guillaume du Tartre, se r</w:t>
      </w:r>
      <w:r w:rsidRPr="003B3476">
        <w:rPr>
          <w:lang w:eastAsia="fr-FR" w:bidi="fr-FR"/>
        </w:rPr>
        <w:t>e</w:t>
      </w:r>
      <w:r w:rsidRPr="003B3476">
        <w:rPr>
          <w:lang w:eastAsia="fr-FR" w:bidi="fr-FR"/>
        </w:rPr>
        <w:t xml:space="preserve">trouvent dans l’analyse du </w:t>
      </w:r>
      <w:r w:rsidRPr="003B3476">
        <w:rPr>
          <w:i/>
        </w:rPr>
        <w:t>Chartularium Vetus</w:t>
      </w:r>
      <w:r w:rsidRPr="003B3476">
        <w:rPr>
          <w:lang w:eastAsia="fr-FR" w:bidi="fr-FR"/>
        </w:rPr>
        <w:t xml:space="preserve"> avec indications de foliotation. Ce sont : </w:t>
      </w:r>
      <w:r w:rsidRPr="003B3476">
        <w:t>a)</w:t>
      </w:r>
      <w:r w:rsidRPr="003B3476">
        <w:rPr>
          <w:lang w:eastAsia="fr-FR" w:bidi="fr-FR"/>
        </w:rPr>
        <w:t xml:space="preserve"> le diplôme de Louis, « roi de France et duc d’Aquitaine », dont il a été question plus haut ; le hasard, ou plutôt l’importance de ce diplôme ont fait que le </w:t>
      </w:r>
      <w:r w:rsidRPr="003B3476">
        <w:rPr>
          <w:i/>
        </w:rPr>
        <w:t>Liber privillegiorum</w:t>
      </w:r>
      <w:r w:rsidRPr="003B3476">
        <w:rPr>
          <w:lang w:eastAsia="fr-FR" w:bidi="fr-FR"/>
        </w:rPr>
        <w:t xml:space="preserve"> et le </w:t>
      </w:r>
      <w:r w:rsidRPr="003B3476">
        <w:rPr>
          <w:i/>
        </w:rPr>
        <w:t>Chartularium Vetus</w:t>
      </w:r>
      <w:r w:rsidRPr="003B3476">
        <w:rPr>
          <w:lang w:eastAsia="fr-FR" w:bidi="fr-FR"/>
        </w:rPr>
        <w:t xml:space="preserve"> l’inscrivirent tous deux sur leur premier folio ; </w:t>
      </w:r>
      <w:r w:rsidRPr="003B3476">
        <w:t>b)</w:t>
      </w:r>
      <w:r w:rsidRPr="003B3476">
        <w:rPr>
          <w:lang w:eastAsia="fr-FR" w:bidi="fr-FR"/>
        </w:rPr>
        <w:t xml:space="preserve"> mandement de Louis X </w:t>
      </w:r>
      <w:r w:rsidRPr="003B3476">
        <w:t xml:space="preserve">à </w:t>
      </w:r>
      <w:r w:rsidRPr="003B3476">
        <w:rPr>
          <w:lang w:eastAsia="fr-FR" w:bidi="fr-FR"/>
        </w:rPr>
        <w:t xml:space="preserve">un maître François de « Horreco », clerc, et Louis de Villepreux leur ordonnant de procéder </w:t>
      </w:r>
      <w:r w:rsidRPr="003B3476">
        <w:t xml:space="preserve">à </w:t>
      </w:r>
      <w:r w:rsidRPr="003B3476">
        <w:rPr>
          <w:lang w:eastAsia="fr-FR" w:bidi="fr-FR"/>
        </w:rPr>
        <w:t>une enquête afin de déterminer si les villes de Poisereau (comm. Noisy-sur-École), le Vaudoué (Seine-et-Marne, cant. la Chapelle-la-Reine), Auvers (comm. No</w:t>
      </w:r>
      <w:r w:rsidRPr="003B3476">
        <w:rPr>
          <w:lang w:eastAsia="fr-FR" w:bidi="fr-FR"/>
        </w:rPr>
        <w:t>i</w:t>
      </w:r>
      <w:r w:rsidRPr="003B3476">
        <w:rPr>
          <w:lang w:eastAsia="fr-FR" w:bidi="fr-FR"/>
        </w:rPr>
        <w:t>sy-sur-École) et Chambergeot (même comm.) dépendaient de la ville de No</w:t>
      </w:r>
      <w:r w:rsidRPr="003B3476">
        <w:rPr>
          <w:lang w:eastAsia="fr-FR" w:bidi="fr-FR"/>
        </w:rPr>
        <w:t>i</w:t>
      </w:r>
      <w:r w:rsidRPr="003B3476">
        <w:rPr>
          <w:lang w:eastAsia="fr-FR" w:bidi="fr-FR"/>
        </w:rPr>
        <w:t>sy, dans laquelle la saisine de la justice avait été attribuée aux religieuses par jugement du Parlement, 1</w:t>
      </w:r>
      <w:r w:rsidRPr="003B3476">
        <w:rPr>
          <w:vertAlign w:val="superscript"/>
          <w:lang w:eastAsia="fr-FR" w:bidi="fr-FR"/>
        </w:rPr>
        <w:t>er</w:t>
      </w:r>
      <w:r w:rsidRPr="003B3476">
        <w:rPr>
          <w:lang w:eastAsia="fr-FR" w:bidi="fr-FR"/>
        </w:rPr>
        <w:t xml:space="preserve"> mars 1315 nouv. st. </w:t>
      </w:r>
      <w:r w:rsidRPr="003B3476">
        <w:rPr>
          <w:i/>
        </w:rPr>
        <w:t>Liber privillegiorum</w:t>
      </w:r>
      <w:r w:rsidRPr="003B3476">
        <w:rPr>
          <w:i/>
          <w:vertAlign w:val="subscript"/>
        </w:rPr>
        <w:t>y</w:t>
      </w:r>
      <w:r w:rsidRPr="003B3476">
        <w:rPr>
          <w:lang w:eastAsia="fr-FR" w:bidi="fr-FR"/>
        </w:rPr>
        <w:t xml:space="preserve"> fol. 145, </w:t>
      </w:r>
      <w:r w:rsidRPr="003B3476">
        <w:rPr>
          <w:i/>
        </w:rPr>
        <w:t>Cartul. de J. Amignon</w:t>
      </w:r>
      <w:r w:rsidRPr="003B3476">
        <w:rPr>
          <w:lang w:eastAsia="fr-FR" w:bidi="fr-FR"/>
        </w:rPr>
        <w:t xml:space="preserve">, fol. 5 v°, </w:t>
      </w:r>
      <w:r w:rsidRPr="003B3476">
        <w:rPr>
          <w:i/>
        </w:rPr>
        <w:t>Chartularium Vetus,</w:t>
      </w:r>
      <w:r w:rsidRPr="003B3476">
        <w:rPr>
          <w:lang w:eastAsia="fr-FR" w:bidi="fr-FR"/>
        </w:rPr>
        <w:t xml:space="preserve"> fol. 207, ms. fr. 16188, fol. 65 ; c) arrêt du Parlement, déboutant le procureur du comte de Roucy d’une demande en annulation de l’enquête précédente, 10 février 1319 nouv. st. </w:t>
      </w:r>
      <w:r w:rsidRPr="003B3476">
        <w:rPr>
          <w:i/>
        </w:rPr>
        <w:t>Liber privillegiorum</w:t>
      </w:r>
      <w:r w:rsidRPr="003B3476">
        <w:rPr>
          <w:lang w:eastAsia="fr-FR" w:bidi="fr-FR"/>
        </w:rPr>
        <w:t xml:space="preserve">, fol. 149, </w:t>
      </w:r>
      <w:r w:rsidRPr="003B3476">
        <w:rPr>
          <w:i/>
        </w:rPr>
        <w:t>Cartul. de J. Amignon</w:t>
      </w:r>
      <w:r w:rsidRPr="003B3476">
        <w:rPr>
          <w:lang w:eastAsia="fr-FR" w:bidi="fr-FR"/>
        </w:rPr>
        <w:t xml:space="preserve">, fol. 6, </w:t>
      </w:r>
      <w:r w:rsidRPr="003B3476">
        <w:rPr>
          <w:i/>
        </w:rPr>
        <w:t>Chartularium Vetus</w:t>
      </w:r>
      <w:r w:rsidRPr="003B3476">
        <w:rPr>
          <w:lang w:eastAsia="fr-FR" w:bidi="fr-FR"/>
        </w:rPr>
        <w:t xml:space="preserve">, fol. 208, ms. fr. 16188, fol. 66 ; d) arrêt du Parlement déclarant que les quatre villes nommées plus haut dépendent de Noisy, 3 mai 1320. </w:t>
      </w:r>
      <w:r w:rsidRPr="003B3476">
        <w:rPr>
          <w:i/>
        </w:rPr>
        <w:t>Liber privi</w:t>
      </w:r>
      <w:r w:rsidRPr="003B3476">
        <w:rPr>
          <w:i/>
        </w:rPr>
        <w:t>l</w:t>
      </w:r>
      <w:r w:rsidRPr="003B3476">
        <w:rPr>
          <w:i/>
        </w:rPr>
        <w:t>legiorum</w:t>
      </w:r>
      <w:r w:rsidRPr="003B3476">
        <w:rPr>
          <w:lang w:eastAsia="fr-FR" w:bidi="fr-FR"/>
        </w:rPr>
        <w:t xml:space="preserve">, fol. 149, </w:t>
      </w:r>
      <w:r w:rsidRPr="003B3476">
        <w:rPr>
          <w:i/>
        </w:rPr>
        <w:t>Cartul. de J. Amignon</w:t>
      </w:r>
      <w:r w:rsidRPr="003B3476">
        <w:rPr>
          <w:vertAlign w:val="subscript"/>
        </w:rPr>
        <w:t>,</w:t>
      </w:r>
      <w:r w:rsidRPr="003B3476">
        <w:rPr>
          <w:lang w:eastAsia="fr-FR" w:bidi="fr-FR"/>
        </w:rPr>
        <w:t xml:space="preserve"> fol. 6 v°, </w:t>
      </w:r>
      <w:r w:rsidRPr="003B3476">
        <w:rPr>
          <w:i/>
        </w:rPr>
        <w:t>Chartularium Vetus</w:t>
      </w:r>
      <w:r w:rsidRPr="003B3476">
        <w:rPr>
          <w:lang w:eastAsia="fr-FR" w:bidi="fr-FR"/>
        </w:rPr>
        <w:t xml:space="preserve">, fol. 212, ms. fr. 16188, fol. 67. </w:t>
      </w:r>
      <w:r w:rsidRPr="003B3476">
        <w:rPr>
          <w:i/>
        </w:rPr>
        <w:t>Cf</w:t>
      </w:r>
      <w:r w:rsidRPr="003B3476">
        <w:t>.</w:t>
      </w:r>
      <w:r w:rsidRPr="003B3476">
        <w:rPr>
          <w:lang w:eastAsia="fr-FR" w:bidi="fr-FR"/>
        </w:rPr>
        <w:t> </w:t>
      </w:r>
      <w:r w:rsidRPr="003B3476">
        <w:rPr>
          <w:rStyle w:val="Corpsdutexte1065ptPetitesmajuscules"/>
          <w:b w:val="0"/>
          <w:sz w:val="28"/>
          <w:lang w:val="fr-CA"/>
        </w:rPr>
        <w:t>Boutaric,</w:t>
      </w:r>
      <w:r w:rsidRPr="003B3476">
        <w:rPr>
          <w:rStyle w:val="Corpsdutexte1065ptPetitesmajuscules"/>
          <w:sz w:val="28"/>
          <w:lang w:val="fr-CA"/>
        </w:rPr>
        <w:t xml:space="preserve"> </w:t>
      </w:r>
      <w:r w:rsidRPr="003B3476">
        <w:t>Actes du Parlement de Paris,</w:t>
      </w:r>
      <w:r w:rsidRPr="003B3476">
        <w:rPr>
          <w:lang w:eastAsia="fr-FR" w:bidi="fr-FR"/>
        </w:rPr>
        <w:t xml:space="preserve"> t. II, n° 6068. On voit que les indications de foliotation dans le </w:t>
      </w:r>
      <w:r w:rsidRPr="003B3476">
        <w:rPr>
          <w:i/>
        </w:rPr>
        <w:t>Liber privillegiorum</w:t>
      </w:r>
      <w:r w:rsidRPr="003B3476">
        <w:rPr>
          <w:lang w:eastAsia="fr-FR" w:bidi="fr-FR"/>
        </w:rPr>
        <w:t xml:space="preserve"> et dans le </w:t>
      </w:r>
      <w:r w:rsidRPr="003B3476">
        <w:rPr>
          <w:i/>
        </w:rPr>
        <w:t>Chartularium Vetus</w:t>
      </w:r>
      <w:r w:rsidRPr="003B3476">
        <w:t xml:space="preserve"> </w:t>
      </w:r>
      <w:r w:rsidRPr="003B3476">
        <w:rPr>
          <w:lang w:eastAsia="fr-FR" w:bidi="fr-FR"/>
        </w:rPr>
        <w:t>ne concordent point.</w:t>
      </w:r>
    </w:p>
  </w:footnote>
  <w:footnote w:id="296">
    <w:p w14:paraId="0244DF4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Dans les marges du premier volume (le seul que nous possédions) du cartula</w:t>
      </w:r>
      <w:r w:rsidRPr="003B3476">
        <w:rPr>
          <w:lang w:eastAsia="fr-FR" w:bidi="fr-FR"/>
        </w:rPr>
        <w:t>i</w:t>
      </w:r>
      <w:r w:rsidRPr="003B3476">
        <w:rPr>
          <w:lang w:eastAsia="fr-FR" w:bidi="fr-FR"/>
        </w:rPr>
        <w:t xml:space="preserve">re de 1530, ainsi que dans les marges du </w:t>
      </w:r>
      <w:r w:rsidRPr="003B3476">
        <w:rPr>
          <w:i/>
        </w:rPr>
        <w:t>Cartulaire de Jacqueline Amignon,</w:t>
      </w:r>
      <w:r w:rsidRPr="003B3476">
        <w:rPr>
          <w:lang w:eastAsia="fr-FR" w:bidi="fr-FR"/>
        </w:rPr>
        <w:t xml:space="preserve"> étudié plus bas, une main d’époque inconnue a ajouté la cote (par chapitres, layettes, liasses et pièces) des documents enregistrés dans le cartulaire.</w:t>
      </w:r>
    </w:p>
  </w:footnote>
  <w:footnote w:id="297">
    <w:p w14:paraId="273598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Voici le fait qui m’amène à cette supposition. Dans le </w:t>
      </w:r>
      <w:r w:rsidRPr="003B3476">
        <w:rPr>
          <w:i/>
        </w:rPr>
        <w:t>Liber privillegiorum,</w:t>
      </w:r>
      <w:r w:rsidRPr="003B3476">
        <w:rPr>
          <w:lang w:eastAsia="fr-FR" w:bidi="fr-FR"/>
        </w:rPr>
        <w:t xml:space="preserve"> à la suite du diplôme de Louis, « roi de France et duc d’Aquitaine », dont il a souvent été question, on lisait ces mots : « Transcriptum autem hujus littere habemus sigillatum sub sigillo curie Parisiensis et sub sigillo Droconis arch</w:t>
      </w:r>
      <w:r w:rsidRPr="003B3476">
        <w:rPr>
          <w:lang w:eastAsia="fr-FR" w:bidi="fr-FR"/>
        </w:rPr>
        <w:t>i</w:t>
      </w:r>
      <w:r w:rsidRPr="003B3476">
        <w:rPr>
          <w:lang w:eastAsia="fr-FR" w:bidi="fr-FR"/>
        </w:rPr>
        <w:t>diaconi Flandrie in ecclesia Morinensi » (</w:t>
      </w:r>
      <w:r w:rsidRPr="003B3476">
        <w:rPr>
          <w:i/>
        </w:rPr>
        <w:t>Cartul. de J. Amignon</w:t>
      </w:r>
      <w:r w:rsidRPr="003B3476">
        <w:rPr>
          <w:lang w:eastAsia="fr-FR" w:bidi="fr-FR"/>
        </w:rPr>
        <w:t>, 5</w:t>
      </w:r>
      <w:r w:rsidRPr="003B3476">
        <w:rPr>
          <w:vertAlign w:val="superscript"/>
          <w:lang w:eastAsia="fr-FR" w:bidi="fr-FR"/>
        </w:rPr>
        <w:t>e</w:t>
      </w:r>
      <w:r w:rsidRPr="003B3476">
        <w:rPr>
          <w:lang w:eastAsia="fr-FR" w:bidi="fr-FR"/>
        </w:rPr>
        <w:t> partie, fol. 3 v°). Prenons maintenant la copie de ce même diplôme au fol. 1 de la 1</w:t>
      </w:r>
      <w:r w:rsidRPr="003B3476">
        <w:rPr>
          <w:vertAlign w:val="superscript"/>
          <w:lang w:eastAsia="fr-FR" w:bidi="fr-FR"/>
        </w:rPr>
        <w:t>re</w:t>
      </w:r>
      <w:r w:rsidRPr="003B3476">
        <w:rPr>
          <w:lang w:eastAsia="fr-FR" w:bidi="fr-FR"/>
        </w:rPr>
        <w:t xml:space="preserve"> pa</w:t>
      </w:r>
      <w:r w:rsidRPr="003B3476">
        <w:rPr>
          <w:lang w:eastAsia="fr-FR" w:bidi="fr-FR"/>
        </w:rPr>
        <w:t>r</w:t>
      </w:r>
      <w:r w:rsidRPr="003B3476">
        <w:rPr>
          <w:lang w:eastAsia="fr-FR" w:bidi="fr-FR"/>
        </w:rPr>
        <w:t xml:space="preserve">tie du </w:t>
      </w:r>
      <w:r w:rsidRPr="003B3476">
        <w:rPr>
          <w:i/>
        </w:rPr>
        <w:t>Cartul. de Madeleine de Chelles</w:t>
      </w:r>
      <w:r w:rsidRPr="003B3476">
        <w:t>.</w:t>
      </w:r>
      <w:r w:rsidRPr="003B3476">
        <w:rPr>
          <w:lang w:eastAsia="fr-FR" w:bidi="fr-FR"/>
        </w:rPr>
        <w:t xml:space="preserve"> La copie s’arrêtait primitivement (fol. 2 r°) au mot « signa » annonçant la souscription des grands officiers. Après le mot signa, on lit d’une autre écriture que le corps du diplôme ce qui suit : « Et au dessoubz estoit escript ce qui s’ensuit... » Viennent alors, toujours de cette deuxième écriture, les noms des grands officiers, la souscription du chanc</w:t>
      </w:r>
      <w:r w:rsidRPr="003B3476">
        <w:rPr>
          <w:lang w:eastAsia="fr-FR" w:bidi="fr-FR"/>
        </w:rPr>
        <w:t>e</w:t>
      </w:r>
      <w:r w:rsidRPr="003B3476">
        <w:rPr>
          <w:lang w:eastAsia="fr-FR" w:bidi="fr-FR"/>
        </w:rPr>
        <w:t>lier, puis (partie à la suite, partie en marge) la phrase : « Transcriptum a</w:t>
      </w:r>
      <w:r w:rsidRPr="003B3476">
        <w:rPr>
          <w:lang w:eastAsia="fr-FR" w:bidi="fr-FR"/>
        </w:rPr>
        <w:t>u</w:t>
      </w:r>
      <w:r w:rsidRPr="003B3476">
        <w:rPr>
          <w:lang w:eastAsia="fr-FR" w:bidi="fr-FR"/>
        </w:rPr>
        <w:t xml:space="preserve">tem... ». Le copiste du </w:t>
      </w:r>
      <w:r w:rsidRPr="003B3476">
        <w:rPr>
          <w:caps/>
          <w:lang w:eastAsia="fr-FR" w:bidi="fr-FR"/>
        </w:rPr>
        <w:t>xvi</w:t>
      </w:r>
      <w:r w:rsidRPr="003B3476">
        <w:rPr>
          <w:vertAlign w:val="superscript"/>
          <w:lang w:eastAsia="fr-FR" w:bidi="fr-FR"/>
        </w:rPr>
        <w:t>e</w:t>
      </w:r>
      <w:r w:rsidRPr="003B3476">
        <w:rPr>
          <w:lang w:eastAsia="fr-FR" w:bidi="fr-FR"/>
        </w:rPr>
        <w:t xml:space="preserve"> siècle emprunta cette phrase soit au </w:t>
      </w:r>
      <w:r w:rsidRPr="003B3476">
        <w:rPr>
          <w:i/>
        </w:rPr>
        <w:t>Liber privi</w:t>
      </w:r>
      <w:r w:rsidRPr="003B3476">
        <w:rPr>
          <w:i/>
        </w:rPr>
        <w:t>l</w:t>
      </w:r>
      <w:r w:rsidRPr="003B3476">
        <w:rPr>
          <w:i/>
        </w:rPr>
        <w:t>legiorum</w:t>
      </w:r>
      <w:r w:rsidRPr="003B3476">
        <w:rPr>
          <w:lang w:eastAsia="fr-FR" w:bidi="fr-FR"/>
        </w:rPr>
        <w:t xml:space="preserve">, soit au </w:t>
      </w:r>
      <w:r w:rsidRPr="003B3476">
        <w:rPr>
          <w:i/>
        </w:rPr>
        <w:t>Chartularium Vetus</w:t>
      </w:r>
      <w:r w:rsidRPr="003B3476">
        <w:rPr>
          <w:lang w:eastAsia="fr-FR" w:bidi="fr-FR"/>
        </w:rPr>
        <w:t xml:space="preserve"> qui fut peut-être la source commune du </w:t>
      </w:r>
      <w:r w:rsidRPr="003B3476">
        <w:t>Liber</w:t>
      </w:r>
      <w:r w:rsidRPr="003B3476">
        <w:rPr>
          <w:lang w:eastAsia="fr-FR" w:bidi="fr-FR"/>
        </w:rPr>
        <w:t xml:space="preserve"> et du </w:t>
      </w:r>
      <w:r w:rsidRPr="003B3476">
        <w:t xml:space="preserve">Cartulaire de Madeleine de Chelles. </w:t>
      </w:r>
      <w:r w:rsidRPr="003B3476">
        <w:rPr>
          <w:lang w:eastAsia="fr-FR" w:bidi="fr-FR"/>
        </w:rPr>
        <w:t>Se borna-t-il à cet emprunt ? Ou bien était-ce déjà d’après un des anciens cartulaires qu’il avait transcrit le texte même du diplôme ? Nous ne savons.</w:t>
      </w:r>
    </w:p>
  </w:footnote>
  <w:footnote w:id="298">
    <w:p w14:paraId="4E2589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Catalogue des abbesses, Bibl. de Meaux, ms. 59, p. 11 de ce catalogue, à l’abbatiat de Madeleine de Chelles : « Item a faict escripre troys livres de ca</w:t>
      </w:r>
      <w:r w:rsidRPr="003B3476">
        <w:rPr>
          <w:lang w:eastAsia="fr-FR" w:bidi="fr-FR"/>
        </w:rPr>
        <w:t>r</w:t>
      </w:r>
      <w:r w:rsidRPr="003B3476">
        <w:rPr>
          <w:lang w:eastAsia="fr-FR" w:bidi="fr-FR"/>
        </w:rPr>
        <w:t xml:space="preserve">tulaires en parchemain collationné de deulx notaires qui ont cousté troys cent cinquante une 1. </w:t>
      </w:r>
      <w:r w:rsidRPr="003B3476">
        <w:rPr>
          <w:smallCaps/>
          <w:lang w:eastAsia="fr-FR" w:bidi="fr-FR"/>
        </w:rPr>
        <w:t>xii</w:t>
      </w:r>
      <w:r w:rsidRPr="003B3476">
        <w:rPr>
          <w:lang w:eastAsia="fr-FR" w:bidi="fr-FR"/>
        </w:rPr>
        <w:t xml:space="preserve"> s. t. »</w:t>
      </w:r>
    </w:p>
  </w:footnote>
  <w:footnote w:id="299">
    <w:p w14:paraId="111161E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Parchemin, 277 feuillets, 392 sur 296 mill. Le préambule même du volume nous apprend qu’il « a esté composé, faict et rédigé en l’an mil cinq cens et trente » (fol. 1). Au haut du fol. 1, une main du </w:t>
      </w:r>
      <w:r w:rsidRPr="003B3476">
        <w:rPr>
          <w:smallCaps/>
          <w:lang w:eastAsia="fr-FR" w:bidi="fr-FR"/>
        </w:rPr>
        <w:t>xvii</w:t>
      </w:r>
      <w:r w:rsidRPr="003B3476">
        <w:rPr>
          <w:vertAlign w:val="superscript"/>
          <w:lang w:eastAsia="fr-FR" w:bidi="fr-FR"/>
        </w:rPr>
        <w:t>e</w:t>
      </w:r>
      <w:r w:rsidRPr="003B3476">
        <w:rPr>
          <w:lang w:eastAsia="fr-FR" w:bidi="fr-FR"/>
        </w:rPr>
        <w:t xml:space="preserve"> siècle a écrit les mots « Premier Cartulaire ». L’acte le plus récent est du 30 mai 1542, fol. 200 v° de la l</w:t>
      </w:r>
      <w:r w:rsidRPr="003B3476">
        <w:rPr>
          <w:vertAlign w:val="superscript"/>
          <w:lang w:eastAsia="fr-FR" w:bidi="fr-FR"/>
        </w:rPr>
        <w:t>re</w:t>
      </w:r>
      <w:r w:rsidRPr="003B3476">
        <w:rPr>
          <w:lang w:eastAsia="fr-FR" w:bidi="fr-FR"/>
        </w:rPr>
        <w:t xml:space="preserve"> partie. Le plus ancien est le diplôme de Louis, roi de France et duc d’Aquitaine.</w:t>
      </w:r>
    </w:p>
  </w:footnote>
  <w:footnote w:id="300">
    <w:p w14:paraId="62E5E2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Montfermeil, Seine-et-Oise, canton du Raincy.</w:t>
      </w:r>
    </w:p>
  </w:footnote>
  <w:footnote w:id="301">
    <w:p w14:paraId="283658E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Ce catalogue commence au fol. 28 v° de la partie du volume concernant la terre de Montfermeil et se continue par 8 feuillets, paginés au crayon à une époque récente.</w:t>
      </w:r>
    </w:p>
  </w:footnote>
  <w:footnote w:id="302">
    <w:p w14:paraId="47FC42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Catalogue des abbesses dans le </w:t>
      </w:r>
      <w:r w:rsidRPr="003B3476">
        <w:rPr>
          <w:i/>
        </w:rPr>
        <w:t>Cartul. de Madeleine de Chelles</w:t>
      </w:r>
      <w:r w:rsidRPr="003B3476">
        <w:rPr>
          <w:lang w:eastAsia="fr-FR" w:bidi="fr-FR"/>
        </w:rPr>
        <w:t>, p. 17, au « gouvernement de Jacqueline Amignon » : « Item l’an V</w:t>
      </w:r>
      <w:r w:rsidRPr="003B3476">
        <w:rPr>
          <w:vertAlign w:val="superscript"/>
          <w:lang w:eastAsia="fr-FR" w:bidi="fr-FR"/>
        </w:rPr>
        <w:t>e</w:t>
      </w:r>
      <w:r w:rsidRPr="003B3476">
        <w:rPr>
          <w:lang w:eastAsia="fr-FR" w:bidi="fr-FR"/>
        </w:rPr>
        <w:t xml:space="preserve"> XLX VII a faict faire nostre sudicte bonne mere ung livre du Cartulaire passé et signé de deulx notaires ». Ces indications concordent avec celles qui sont inscrites au fol. 1 du ms. 60 de la Bibl. de Meaux, lequel nous apprend en outre que le cartulaire a été entrepris la 5</w:t>
      </w:r>
      <w:r w:rsidRPr="003B3476">
        <w:rPr>
          <w:vertAlign w:val="superscript"/>
          <w:lang w:eastAsia="fr-FR" w:bidi="fr-FR"/>
        </w:rPr>
        <w:t>e</w:t>
      </w:r>
      <w:r w:rsidRPr="003B3476">
        <w:rPr>
          <w:lang w:eastAsia="fr-FR" w:bidi="fr-FR"/>
        </w:rPr>
        <w:t xml:space="preserve"> année de sœur J. Amignon, c’est-à-dire après le 14 n</w:t>
      </w:r>
      <w:r w:rsidRPr="003B3476">
        <w:rPr>
          <w:lang w:eastAsia="fr-FR" w:bidi="fr-FR"/>
        </w:rPr>
        <w:t>o</w:t>
      </w:r>
      <w:r w:rsidRPr="003B3476">
        <w:rPr>
          <w:lang w:eastAsia="fr-FR" w:bidi="fr-FR"/>
        </w:rPr>
        <w:t>vembre.</w:t>
      </w:r>
    </w:p>
  </w:footnote>
  <w:footnote w:id="303">
    <w:p w14:paraId="33835F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La plus ancienne du 22 février 1510 nouv. st. (fol. 1 v° de la l</w:t>
      </w:r>
      <w:r w:rsidRPr="003B3476">
        <w:rPr>
          <w:vertAlign w:val="superscript"/>
          <w:lang w:eastAsia="fr-FR" w:bidi="fr-FR"/>
        </w:rPr>
        <w:t>re</w:t>
      </w:r>
      <w:r w:rsidRPr="003B3476">
        <w:rPr>
          <w:lang w:eastAsia="fr-FR" w:bidi="fr-FR"/>
        </w:rPr>
        <w:t xml:space="preserve"> partie). Le volume contient une pièce de 1298, mais c’est un extrait, fait sans doute au </w:t>
      </w:r>
      <w:r w:rsidRPr="003B3476">
        <w:rPr>
          <w:caps/>
          <w:lang w:eastAsia="fr-FR" w:bidi="fr-FR"/>
        </w:rPr>
        <w:t>xvi</w:t>
      </w:r>
      <w:r w:rsidRPr="003B3476">
        <w:rPr>
          <w:vertAlign w:val="superscript"/>
          <w:lang w:eastAsia="fr-FR" w:bidi="fr-FR"/>
        </w:rPr>
        <w:t>e</w:t>
      </w:r>
      <w:r w:rsidRPr="003B3476">
        <w:rPr>
          <w:lang w:eastAsia="fr-FR" w:bidi="fr-FR"/>
        </w:rPr>
        <w:t xml:space="preserve"> siècle, des registres du Parlement. De même le procès-verbal de Gui</w:t>
      </w:r>
      <w:r w:rsidRPr="003B3476">
        <w:rPr>
          <w:lang w:eastAsia="fr-FR" w:bidi="fr-FR"/>
        </w:rPr>
        <w:t>l</w:t>
      </w:r>
      <w:r w:rsidRPr="003B3476">
        <w:rPr>
          <w:lang w:eastAsia="fr-FR" w:bidi="fr-FR"/>
        </w:rPr>
        <w:t>laume du Tartre, plusieurs fois cité, et qui comprend la copie de pièces du VIII</w:t>
      </w:r>
      <w:r w:rsidRPr="003B3476">
        <w:rPr>
          <w:vertAlign w:val="superscript"/>
          <w:lang w:eastAsia="fr-FR" w:bidi="fr-FR"/>
        </w:rPr>
        <w:t>e</w:t>
      </w:r>
      <w:r w:rsidRPr="003B3476">
        <w:rPr>
          <w:lang w:eastAsia="fr-FR" w:bidi="fr-FR"/>
        </w:rPr>
        <w:t xml:space="preserve"> siècle, se trouve dans le </w:t>
      </w:r>
      <w:r w:rsidRPr="003B3476">
        <w:rPr>
          <w:i/>
        </w:rPr>
        <w:t>Cartulaire de J. Amignon</w:t>
      </w:r>
      <w:r w:rsidRPr="003B3476">
        <w:t>.</w:t>
      </w:r>
    </w:p>
  </w:footnote>
  <w:footnote w:id="304">
    <w:p w14:paraId="51FAA44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7</w:t>
      </w:r>
      <w:r w:rsidRPr="003B3476">
        <w:rPr>
          <w:vertAlign w:val="superscript"/>
          <w:lang w:eastAsia="fr-FR" w:bidi="fr-FR"/>
        </w:rPr>
        <w:t>e</w:t>
      </w:r>
      <w:r w:rsidRPr="003B3476">
        <w:rPr>
          <w:lang w:eastAsia="fr-FR" w:bidi="fr-FR"/>
        </w:rPr>
        <w:t xml:space="preserve"> partie, fol. 24 v°.</w:t>
      </w:r>
    </w:p>
  </w:footnote>
  <w:footnote w:id="305">
    <w:p w14:paraId="177CFA4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eastAsia="fr-FR" w:bidi="fr-FR"/>
        </w:rPr>
        <w:t>Parchemin, 237 feuillets, 395 sur 296 mill. La même main qui inscrivit « Premier Cartulaire » au fol. 1 du ms. 59 de la Bibl. de Meaux a inscrit à la même place sur le ms. 60 « Cartulaire 4</w:t>
      </w:r>
      <w:r w:rsidRPr="003B3476">
        <w:rPr>
          <w:vertAlign w:val="superscript"/>
          <w:lang w:eastAsia="fr-FR" w:bidi="fr-FR"/>
        </w:rPr>
        <w:t>e</w:t>
      </w:r>
      <w:r w:rsidRPr="003B3476">
        <w:rPr>
          <w:lang w:eastAsia="fr-FR" w:bidi="fr-FR"/>
        </w:rPr>
        <w:t> ». Le volume comprend sept div</w:t>
      </w:r>
      <w:r w:rsidRPr="003B3476">
        <w:rPr>
          <w:lang w:eastAsia="fr-FR" w:bidi="fr-FR"/>
        </w:rPr>
        <w:t>i</w:t>
      </w:r>
      <w:r w:rsidRPr="003B3476">
        <w:rPr>
          <w:lang w:eastAsia="fr-FR" w:bidi="fr-FR"/>
        </w:rPr>
        <w:t xml:space="preserve">sions qui ont l’intérêt de nous donner l’indication du mode de classement adopté dans les volumes perdus du Cartulaire de 1530. En effet, en tête de chacune des divisions, dans le </w:t>
      </w:r>
      <w:r w:rsidRPr="003B3476">
        <w:rPr>
          <w:i/>
        </w:rPr>
        <w:t>Cartulaire de J. Amignon</w:t>
      </w:r>
      <w:r w:rsidRPr="003B3476">
        <w:rPr>
          <w:lang w:eastAsia="fr-FR" w:bidi="fr-FR"/>
        </w:rPr>
        <w:t xml:space="preserve"> on lit les mots « second volume » ou « second livre », qui montrent nettement que ces div</w:t>
      </w:r>
      <w:r w:rsidRPr="003B3476">
        <w:rPr>
          <w:lang w:eastAsia="fr-FR" w:bidi="fr-FR"/>
        </w:rPr>
        <w:t>i</w:t>
      </w:r>
      <w:r w:rsidRPr="003B3476">
        <w:rPr>
          <w:lang w:eastAsia="fr-FR" w:bidi="fr-FR"/>
        </w:rPr>
        <w:t xml:space="preserve">sions ne doivent être considérées que comme les suppléments de divisions correspondantes existant dans le </w:t>
      </w:r>
      <w:r w:rsidRPr="003B3476">
        <w:rPr>
          <w:i/>
        </w:rPr>
        <w:t>Cartulaire de Madeleine</w:t>
      </w:r>
      <w:r w:rsidRPr="003B3476">
        <w:t xml:space="preserve"> </w:t>
      </w:r>
      <w:r w:rsidRPr="003B3476">
        <w:rPr>
          <w:i/>
        </w:rPr>
        <w:t>de Chelles</w:t>
      </w:r>
      <w:r w:rsidRPr="003B3476">
        <w:t>.</w:t>
      </w:r>
      <w:r w:rsidRPr="003B3476">
        <w:rPr>
          <w:lang w:eastAsia="fr-FR" w:bidi="fr-FR"/>
        </w:rPr>
        <w:t xml:space="preserve"> Chaque division a pour titre un nom de terre. Voici ces noms : Chelles ; Montfermeil ; Mitry (comm. Mitry-Mory, Seine-et-Marne, cant. Claye) ; Baron (Oise, cant. Nanteuil-le-Haudoin) ; Gâtinais ; Coulombs (Seine-et-Marne, cant. Lizy-sur-Ourcq) ; Clermont (Oise). Lorsque dom Martène et dom Durand, en route pour l’Allemagne et les Pays-Bas, passèrent </w:t>
      </w:r>
      <w:r w:rsidRPr="003B3476">
        <w:t xml:space="preserve">à </w:t>
      </w:r>
      <w:r w:rsidRPr="003B3476">
        <w:rPr>
          <w:lang w:eastAsia="fr-FR" w:bidi="fr-FR"/>
        </w:rPr>
        <w:t>Chelles le 30 mai 1718, ils y v</w:t>
      </w:r>
      <w:r w:rsidRPr="003B3476">
        <w:rPr>
          <w:lang w:eastAsia="fr-FR" w:bidi="fr-FR"/>
        </w:rPr>
        <w:t>i</w:t>
      </w:r>
      <w:r w:rsidRPr="003B3476">
        <w:rPr>
          <w:lang w:eastAsia="fr-FR" w:bidi="fr-FR"/>
        </w:rPr>
        <w:t>rent « quatre beaux cartulaires » (</w:t>
      </w:r>
      <w:r w:rsidRPr="003B3476">
        <w:rPr>
          <w:i/>
        </w:rPr>
        <w:t>Voyage littéraire de deux religieux bénédi</w:t>
      </w:r>
      <w:r w:rsidRPr="003B3476">
        <w:rPr>
          <w:i/>
        </w:rPr>
        <w:t>c</w:t>
      </w:r>
      <w:r w:rsidRPr="003B3476">
        <w:rPr>
          <w:i/>
        </w:rPr>
        <w:t>tins de la congrégation de Saint-Maur</w:t>
      </w:r>
      <w:r w:rsidRPr="003B3476">
        <w:t>,</w:t>
      </w:r>
      <w:r w:rsidRPr="003B3476">
        <w:rPr>
          <w:lang w:eastAsia="fr-FR" w:bidi="fr-FR"/>
        </w:rPr>
        <w:t xml:space="preserve"> t. II, in-4°, Paris, 1724, p. 4). Qu’étaient ces cartulaires ? Nous n’en savons rien ; et je soupçonne fortement dom Racine, qui prétend savoir, lui, et affirme, sans donner de preuves, que ces quatre cartulaires dataient de l’abbesse Mathilde IV (1220-1223) (ce s</w:t>
      </w:r>
      <w:r w:rsidRPr="003B3476">
        <w:rPr>
          <w:lang w:eastAsia="fr-FR" w:bidi="fr-FR"/>
        </w:rPr>
        <w:t>e</w:t>
      </w:r>
      <w:r w:rsidRPr="003B3476">
        <w:rPr>
          <w:lang w:eastAsia="fr-FR" w:bidi="fr-FR"/>
        </w:rPr>
        <w:t xml:space="preserve">raient par conséquent quatre nouveaux cartulaires </w:t>
      </w:r>
      <w:r w:rsidRPr="003B3476">
        <w:t xml:space="preserve">à </w:t>
      </w:r>
      <w:r w:rsidRPr="003B3476">
        <w:rPr>
          <w:lang w:eastAsia="fr-FR" w:bidi="fr-FR"/>
        </w:rPr>
        <w:t xml:space="preserve">ajouter </w:t>
      </w:r>
      <w:r w:rsidRPr="003B3476">
        <w:t xml:space="preserve">à </w:t>
      </w:r>
      <w:r w:rsidRPr="003B3476">
        <w:rPr>
          <w:lang w:eastAsia="fr-FR" w:bidi="fr-FR"/>
        </w:rPr>
        <w:t xml:space="preserve">notre liste), de n’avoir pas été mieux renseigné que nous (dom </w:t>
      </w:r>
      <w:r w:rsidRPr="003B3476">
        <w:rPr>
          <w:rStyle w:val="Corpsdutexte1065ptPetitesmajuscules"/>
          <w:b w:val="0"/>
          <w:sz w:val="28"/>
          <w:lang w:val="fr-CA"/>
        </w:rPr>
        <w:t>Racine,</w:t>
      </w:r>
      <w:r w:rsidRPr="003B3476">
        <w:rPr>
          <w:rStyle w:val="Corpsdutexte1065ptPetitesmajuscules"/>
          <w:sz w:val="28"/>
          <w:lang w:val="fr-CA"/>
        </w:rPr>
        <w:t xml:space="preserve"> </w:t>
      </w:r>
      <w:r w:rsidRPr="003B3476">
        <w:rPr>
          <w:lang w:eastAsia="fr-FR" w:bidi="fr-FR"/>
        </w:rPr>
        <w:t>p. 75). Dans l’un de ces cartulaires, les deux bénédictins relevèrent, disent-ils, « des règlemens faits il y a cinq cents ans ou environ pour la nourriture des Religieuses », et ils nous donnent l’analyse de ces règlements. Il est certain qu’aucun texte de ce</w:t>
      </w:r>
      <w:r w:rsidRPr="003B3476">
        <w:rPr>
          <w:lang w:eastAsia="fr-FR" w:bidi="fr-FR"/>
        </w:rPr>
        <w:t>t</w:t>
      </w:r>
      <w:r w:rsidRPr="003B3476">
        <w:rPr>
          <w:lang w:eastAsia="fr-FR" w:bidi="fr-FR"/>
        </w:rPr>
        <w:t xml:space="preserve">te espèce ne se trouve dans les deux cartulaires du </w:t>
      </w:r>
      <w:r w:rsidRPr="003B3476">
        <w:rPr>
          <w:caps/>
          <w:lang w:eastAsia="fr-FR" w:bidi="fr-FR"/>
        </w:rPr>
        <w:t>xvi</w:t>
      </w:r>
      <w:r w:rsidRPr="003B3476">
        <w:rPr>
          <w:vertAlign w:val="superscript"/>
          <w:lang w:eastAsia="fr-FR" w:bidi="fr-FR"/>
        </w:rPr>
        <w:t>e</w:t>
      </w:r>
      <w:r w:rsidRPr="003B3476">
        <w:rPr>
          <w:lang w:eastAsia="fr-FR" w:bidi="fr-FR"/>
        </w:rPr>
        <w:t xml:space="preserve"> siècle que nous po</w:t>
      </w:r>
      <w:r w:rsidRPr="003B3476">
        <w:rPr>
          <w:lang w:eastAsia="fr-FR" w:bidi="fr-FR"/>
        </w:rPr>
        <w:t>s</w:t>
      </w:r>
      <w:r w:rsidRPr="003B3476">
        <w:rPr>
          <w:lang w:eastAsia="fr-FR" w:bidi="fr-FR"/>
        </w:rPr>
        <w:t xml:space="preserve">sédons, ni dans l’analyse du </w:t>
      </w:r>
      <w:r w:rsidRPr="003B3476">
        <w:rPr>
          <w:i/>
        </w:rPr>
        <w:t>Chartularium Vetus</w:t>
      </w:r>
      <w:r w:rsidRPr="003B3476">
        <w:rPr>
          <w:i/>
          <w:lang w:eastAsia="fr-FR" w:bidi="fr-FR"/>
        </w:rPr>
        <w:t> </w:t>
      </w:r>
      <w:r w:rsidRPr="003B3476">
        <w:rPr>
          <w:lang w:eastAsia="fr-FR" w:bidi="fr-FR"/>
        </w:rPr>
        <w:t>; mais il pouvait se re</w:t>
      </w:r>
      <w:r w:rsidRPr="003B3476">
        <w:rPr>
          <w:lang w:eastAsia="fr-FR" w:bidi="fr-FR"/>
        </w:rPr>
        <w:t>n</w:t>
      </w:r>
      <w:r w:rsidRPr="003B3476">
        <w:rPr>
          <w:lang w:eastAsia="fr-FR" w:bidi="fr-FR"/>
        </w:rPr>
        <w:t xml:space="preserve">contrer, soit dans un des deux volumes perdus du Cartulaire de 1530, soit dans le </w:t>
      </w:r>
      <w:r w:rsidRPr="003B3476">
        <w:rPr>
          <w:i/>
        </w:rPr>
        <w:t>Liber privillegorium</w:t>
      </w:r>
      <w:r w:rsidRPr="003B3476">
        <w:rPr>
          <w:lang w:eastAsia="fr-FR" w:bidi="fr-FR"/>
        </w:rPr>
        <w:t>, soit enfin dans un cartulaire dont la trace serait pe</w:t>
      </w:r>
      <w:r w:rsidRPr="003B3476">
        <w:rPr>
          <w:lang w:eastAsia="fr-FR" w:bidi="fr-FR"/>
        </w:rPr>
        <w:t>r</w:t>
      </w:r>
      <w:r w:rsidRPr="003B3476">
        <w:rPr>
          <w:lang w:eastAsia="fr-FR" w:bidi="fr-FR"/>
        </w:rPr>
        <w:t xml:space="preserve">due, comme l’eût été, sans le procès-verbal de Guillaume du Tartre, celle du </w:t>
      </w:r>
      <w:r w:rsidRPr="003B3476">
        <w:rPr>
          <w:i/>
        </w:rPr>
        <w:t>Liber privillegiorum</w:t>
      </w:r>
      <w:r w:rsidRPr="003B3476">
        <w:t>.</w:t>
      </w:r>
    </w:p>
  </w:footnote>
  <w:footnote w:id="306">
    <w:p w14:paraId="30996DE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Fol. Paris, 1621, 726 + 286 p.</w:t>
      </w:r>
    </w:p>
  </w:footnote>
  <w:footnote w:id="307">
    <w:p w14:paraId="0918F1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Bouville, Seine-et-Oise, canton d’Étampes.</w:t>
      </w:r>
    </w:p>
  </w:footnote>
  <w:footnote w:id="308">
    <w:p w14:paraId="1CE9648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P. 465-470.</w:t>
      </w:r>
    </w:p>
  </w:footnote>
  <w:footnote w:id="309">
    <w:p w14:paraId="40C166D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Le bas du fol. 241 r° et le v° sont occupés par des notes généalogiques sur des familles nobles du Midi, écrites de la main de Duchesne, mais sans rapport avec les Bouville.</w:t>
      </w:r>
    </w:p>
  </w:footnote>
  <w:footnote w:id="310">
    <w:p w14:paraId="5692B5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 </w:t>
      </w:r>
      <w:r w:rsidRPr="003B3476">
        <w:rPr>
          <w:rStyle w:val="Notedebasdepage65ptPetitesmajuscules"/>
          <w:b w:val="0"/>
          <w:sz w:val="24"/>
        </w:rPr>
        <w:t xml:space="preserve">Paris, </w:t>
      </w:r>
      <w:r w:rsidRPr="003B3476">
        <w:rPr>
          <w:bCs/>
        </w:rPr>
        <w:t xml:space="preserve">Les Armoiries de Baluze. </w:t>
      </w:r>
      <w:r w:rsidRPr="003B3476">
        <w:rPr>
          <w:bCs/>
          <w:i/>
        </w:rPr>
        <w:t>Le Cabinet historique</w:t>
      </w:r>
      <w:r w:rsidRPr="003B3476">
        <w:rPr>
          <w:lang w:val="fr-FR" w:eastAsia="fr-FR" w:bidi="fr-FR"/>
        </w:rPr>
        <w:t>, t. X (2</w:t>
      </w:r>
      <w:r w:rsidRPr="003B3476">
        <w:rPr>
          <w:vertAlign w:val="superscript"/>
          <w:lang w:val="fr-FR" w:eastAsia="fr-FR" w:bidi="fr-FR"/>
        </w:rPr>
        <w:t>e</w:t>
      </w:r>
      <w:r w:rsidRPr="003B3476">
        <w:rPr>
          <w:lang w:val="fr-FR" w:eastAsia="fr-FR" w:bidi="fr-FR"/>
        </w:rPr>
        <w:t xml:space="preserve"> partie), 1864, p. 76, n</w:t>
      </w:r>
      <w:r w:rsidRPr="003B3476">
        <w:rPr>
          <w:vertAlign w:val="superscript"/>
          <w:lang w:val="fr-FR" w:eastAsia="fr-FR" w:bidi="fr-FR"/>
        </w:rPr>
        <w:t>os</w:t>
      </w:r>
      <w:r w:rsidRPr="003B3476">
        <w:rPr>
          <w:lang w:val="fr-FR" w:eastAsia="fr-FR" w:bidi="fr-FR"/>
        </w:rPr>
        <w:t xml:space="preserve"> 16 et 17. MM. les bibliothécaires du Département des manu</w:t>
      </w:r>
      <w:r w:rsidRPr="003B3476">
        <w:rPr>
          <w:lang w:val="fr-FR" w:eastAsia="fr-FR" w:bidi="fr-FR"/>
        </w:rPr>
        <w:t>s</w:t>
      </w:r>
      <w:r w:rsidRPr="003B3476">
        <w:rPr>
          <w:lang w:val="fr-FR" w:eastAsia="fr-FR" w:bidi="fr-FR"/>
        </w:rPr>
        <w:t>crits, à la Bibliothèque Nationale, ont eu l’obligeance de me communiquer le catalogue du fonds Baluze.</w:t>
      </w:r>
    </w:p>
  </w:footnote>
  <w:footnote w:id="311">
    <w:p w14:paraId="553D30E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bas du fol. 217 v° est occupé par des notes, de la main de Duchesne, concernant la généalogie des comtes de Toulouse et sans rapport avec les Bouville.</w:t>
      </w:r>
    </w:p>
  </w:footnote>
  <w:footnote w:id="312">
    <w:p w14:paraId="2788DD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Duchesne</w:t>
      </w:r>
      <w:r w:rsidRPr="003B3476">
        <w:t xml:space="preserve">, </w:t>
      </w:r>
      <w:r w:rsidRPr="003B3476">
        <w:rPr>
          <w:rStyle w:val="Notedebasdepage375ptItalique"/>
          <w:b w:val="0"/>
          <w:sz w:val="24"/>
        </w:rPr>
        <w:t>loc. cit.,</w:t>
      </w:r>
      <w:r w:rsidRPr="003B3476">
        <w:t xml:space="preserve"> </w:t>
      </w:r>
      <w:r w:rsidRPr="003B3476">
        <w:rPr>
          <w:lang w:val="fr-FR" w:eastAsia="fr-FR" w:bidi="fr-FR"/>
        </w:rPr>
        <w:t>dédicace.</w:t>
      </w:r>
    </w:p>
  </w:footnote>
  <w:footnote w:id="313">
    <w:p w14:paraId="48AD7A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Baluze 54, fol. 176 v°. Le diplôme indiqué par </w:t>
      </w:r>
      <w:r w:rsidRPr="003B3476">
        <w:rPr>
          <w:rStyle w:val="Notedebasdepage65ptPetitesmajuscules"/>
          <w:b w:val="0"/>
          <w:sz w:val="24"/>
        </w:rPr>
        <w:t xml:space="preserve">Luchaire, </w:t>
      </w:r>
      <w:r w:rsidRPr="003B3476">
        <w:rPr>
          <w:bCs/>
          <w:i/>
        </w:rPr>
        <w:t>Louis VII</w:t>
      </w:r>
      <w:r w:rsidRPr="003B3476">
        <w:rPr>
          <w:bCs/>
        </w:rPr>
        <w:t>,</w:t>
      </w:r>
      <w:r w:rsidRPr="003B3476">
        <w:rPr>
          <w:lang w:val="fr-FR" w:eastAsia="fr-FR" w:bidi="fr-FR"/>
        </w:rPr>
        <w:t xml:space="preserve"> n° 722, et p</w:t>
      </w:r>
      <w:r w:rsidRPr="003B3476">
        <w:rPr>
          <w:lang w:val="fr-FR" w:eastAsia="fr-FR" w:bidi="fr-FR"/>
        </w:rPr>
        <w:t>u</w:t>
      </w:r>
      <w:r w:rsidRPr="003B3476">
        <w:rPr>
          <w:lang w:val="fr-FR" w:eastAsia="fr-FR" w:bidi="fr-FR"/>
        </w:rPr>
        <w:t xml:space="preserve">blié dans les </w:t>
      </w:r>
      <w:r w:rsidRPr="003B3476">
        <w:rPr>
          <w:bCs/>
          <w:i/>
        </w:rPr>
        <w:t>Layettes du Trésor des chartes</w:t>
      </w:r>
      <w:r w:rsidRPr="003B3476">
        <w:rPr>
          <w:lang w:val="fr-FR" w:eastAsia="fr-FR" w:bidi="fr-FR"/>
        </w:rPr>
        <w:t>, t. I, n° 277, est différent.</w:t>
      </w:r>
    </w:p>
  </w:footnote>
  <w:footnote w:id="314">
    <w:p w14:paraId="423CEC7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Fol. 213 v°.</w:t>
      </w:r>
    </w:p>
  </w:footnote>
  <w:footnote w:id="315">
    <w:p w14:paraId="3647D2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On pourrait croire, au premier abord, que les extraits pris par Duchesne du fol. 170 au fol. 217 v° et du fol. 219 au fol. 228 v° se rapportent à un même cart</w:t>
      </w:r>
      <w:r w:rsidRPr="003B3476">
        <w:rPr>
          <w:lang w:val="fr-FR" w:eastAsia="fr-FR" w:bidi="fr-FR"/>
        </w:rPr>
        <w:t>u</w:t>
      </w:r>
      <w:r w:rsidRPr="003B3476">
        <w:rPr>
          <w:lang w:val="fr-FR" w:eastAsia="fr-FR" w:bidi="fr-FR"/>
        </w:rPr>
        <w:t>laire. En effet, les deux premières pièces notées par Duchesne dans la premi</w:t>
      </w:r>
      <w:r w:rsidRPr="003B3476">
        <w:rPr>
          <w:lang w:val="fr-FR" w:eastAsia="fr-FR" w:bidi="fr-FR"/>
        </w:rPr>
        <w:t>è</w:t>
      </w:r>
      <w:r w:rsidRPr="003B3476">
        <w:rPr>
          <w:lang w:val="fr-FR" w:eastAsia="fr-FR" w:bidi="fr-FR"/>
        </w:rPr>
        <w:t>re série d’extraits (fol. 170) sont numérotées ; ce sont les seules de cette série qui soient dans ce cas ; elles portent les n</w:t>
      </w:r>
      <w:r w:rsidRPr="003B3476">
        <w:rPr>
          <w:vertAlign w:val="superscript"/>
          <w:lang w:val="fr-FR" w:eastAsia="fr-FR" w:bidi="fr-FR"/>
        </w:rPr>
        <w:t>os</w:t>
      </w:r>
      <w:r w:rsidRPr="003B3476">
        <w:rPr>
          <w:lang w:val="fr-FR" w:eastAsia="fr-FR" w:bidi="fr-FR"/>
        </w:rPr>
        <w:t xml:space="preserve"> 27 et 29 ; or, les deux premières pièces de la seconde série d’extraits (fol. 219), sont accompagnées des mêmes chiffres et sont, par ailleurs, absolument identiques aux n</w:t>
      </w:r>
      <w:r w:rsidRPr="003B3476">
        <w:rPr>
          <w:vertAlign w:val="superscript"/>
          <w:lang w:val="fr-FR" w:eastAsia="fr-FR" w:bidi="fr-FR"/>
        </w:rPr>
        <w:t>os</w:t>
      </w:r>
      <w:r w:rsidRPr="003B3476">
        <w:rPr>
          <w:lang w:val="fr-FR" w:eastAsia="fr-FR" w:bidi="fr-FR"/>
        </w:rPr>
        <w:t xml:space="preserve"> 27 et 29 du fol. 170. Sans doute beaucoup de documents de la première série manquent dans la seconde et réciproquement. Mais cette observation ne saurait prouver que Duchesne ait eu sous les yeux deux registres différents, puisque (on l’a vu) ses extraits sont extrêmement incomplets. Pourtant il est, à mon sens, absolument certain que le </w:t>
      </w:r>
      <w:r w:rsidRPr="003B3476">
        <w:rPr>
          <w:bCs/>
          <w:i/>
        </w:rPr>
        <w:t>cartulaire A</w:t>
      </w:r>
      <w:r w:rsidRPr="003B3476">
        <w:rPr>
          <w:lang w:val="fr-FR" w:eastAsia="fr-FR" w:bidi="fr-FR"/>
        </w:rPr>
        <w:t xml:space="preserve"> et le </w:t>
      </w:r>
      <w:r w:rsidRPr="003B3476">
        <w:rPr>
          <w:bCs/>
          <w:i/>
        </w:rPr>
        <w:t>cartulaire B</w:t>
      </w:r>
      <w:r w:rsidRPr="003B3476">
        <w:rPr>
          <w:lang w:val="fr-FR" w:eastAsia="fr-FR" w:bidi="fr-FR"/>
        </w:rPr>
        <w:t xml:space="preserve"> formaient deux registres distincts. Voici pourquoi : si l’on relève les documents qui se rencontraient à la fois dans les deux cartulaires, on remarque qu’ils ne s’y trouvaient pas rangés dans le même ordre. Prenons par exemple, dans le </w:t>
      </w:r>
      <w:r w:rsidRPr="003B3476">
        <w:rPr>
          <w:bCs/>
          <w:i/>
        </w:rPr>
        <w:t>cartulaire B</w:t>
      </w:r>
      <w:r w:rsidRPr="003B3476">
        <w:rPr>
          <w:bCs/>
        </w:rPr>
        <w:t>,</w:t>
      </w:r>
      <w:r w:rsidRPr="003B3476">
        <w:rPr>
          <w:lang w:val="fr-FR" w:eastAsia="fr-FR" w:bidi="fr-FR"/>
        </w:rPr>
        <w:t xml:space="preserve"> les pièces n</w:t>
      </w:r>
      <w:r w:rsidRPr="003B3476">
        <w:rPr>
          <w:vertAlign w:val="superscript"/>
          <w:lang w:val="fr-FR" w:eastAsia="fr-FR" w:bidi="fr-FR"/>
        </w:rPr>
        <w:t>os</w:t>
      </w:r>
      <w:r w:rsidRPr="003B3476">
        <w:rPr>
          <w:lang w:val="fr-FR" w:eastAsia="fr-FR" w:bidi="fr-FR"/>
        </w:rPr>
        <w:t xml:space="preserve"> 89, 378 et 423. Nous les retrouvons, dans les extraits du </w:t>
      </w:r>
      <w:r w:rsidRPr="003B3476">
        <w:rPr>
          <w:bCs/>
          <w:i/>
        </w:rPr>
        <w:t>cartulaire A</w:t>
      </w:r>
      <w:r w:rsidRPr="003B3476">
        <w:rPr>
          <w:lang w:val="fr-FR" w:eastAsia="fr-FR" w:bidi="fr-FR"/>
        </w:rPr>
        <w:t>, aux fol. 182 v°, 176 v° et 196 v°.</w:t>
      </w:r>
    </w:p>
  </w:footnote>
  <w:footnote w:id="316">
    <w:p w14:paraId="7C5E2AC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Fol. 226 v°, n° 378.</w:t>
      </w:r>
    </w:p>
  </w:footnote>
  <w:footnote w:id="317">
    <w:p w14:paraId="439BEAD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Fol. 228 v°, n° 540.</w:t>
      </w:r>
    </w:p>
  </w:footnote>
  <w:footnote w:id="318">
    <w:p w14:paraId="4F8CE5C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Des recherches que fit Duchesne, sur les sires de Bouville, dans les archives du baron d’Argenton, ou, comme il dit lui-même, dans le « thrésor d’Argenton », il nous reste un autre témoignage que les notes conservées dans le ms. 54 du fonds Baluze. En février 1311, nouv. st. (Fontainebleau, an 26 du r.), Philippe le Bel, ayant ordonné la suppression d’un haras que les enfants de feu Hugues de Bouville, son chambellan, possédaient dans la forêt royale d’Orléans, accorda une indemnité à l’un d’eux, appelé aussi Hugues (le H</w:t>
      </w:r>
      <w:r w:rsidRPr="003B3476">
        <w:rPr>
          <w:lang w:val="fr-FR" w:eastAsia="fr-FR" w:bidi="fr-FR"/>
        </w:rPr>
        <w:t>u</w:t>
      </w:r>
      <w:r w:rsidRPr="003B3476">
        <w:rPr>
          <w:lang w:val="fr-FR" w:eastAsia="fr-FR" w:bidi="fr-FR"/>
        </w:rPr>
        <w:t>gues III de Duchesne) et également son chambellan. Transcrit sur un des r</w:t>
      </w:r>
      <w:r w:rsidRPr="003B3476">
        <w:rPr>
          <w:lang w:val="fr-FR" w:eastAsia="fr-FR" w:bidi="fr-FR"/>
        </w:rPr>
        <w:t>e</w:t>
      </w:r>
      <w:r w:rsidRPr="003B3476">
        <w:rPr>
          <w:lang w:val="fr-FR" w:eastAsia="fr-FR" w:bidi="fr-FR"/>
        </w:rPr>
        <w:t>gistres de la chancellerie royale (Arch. Nat., JJ 47, fol. 40, n° 60), le diplôme où cette décision royale était consignée fut naturellement conservé par la f</w:t>
      </w:r>
      <w:r w:rsidRPr="003B3476">
        <w:rPr>
          <w:lang w:val="fr-FR" w:eastAsia="fr-FR" w:bidi="fr-FR"/>
        </w:rPr>
        <w:t>a</w:t>
      </w:r>
      <w:r w:rsidRPr="003B3476">
        <w:rPr>
          <w:lang w:val="fr-FR" w:eastAsia="fr-FR" w:bidi="fr-FR"/>
        </w:rPr>
        <w:t xml:space="preserve">mille de Bouville. Il trouva place dans le </w:t>
      </w:r>
      <w:r w:rsidRPr="003B3476">
        <w:rPr>
          <w:bCs/>
          <w:i/>
        </w:rPr>
        <w:t>cartulaire B</w:t>
      </w:r>
      <w:r w:rsidRPr="003B3476">
        <w:rPr>
          <w:lang w:val="fr-FR" w:eastAsia="fr-FR" w:bidi="fr-FR"/>
        </w:rPr>
        <w:t xml:space="preserve"> sous le n° 435. Duche</w:t>
      </w:r>
      <w:r w:rsidRPr="003B3476">
        <w:rPr>
          <w:lang w:val="fr-FR" w:eastAsia="fr-FR" w:bidi="fr-FR"/>
        </w:rPr>
        <w:t>s</w:t>
      </w:r>
      <w:r w:rsidRPr="003B3476">
        <w:rPr>
          <w:lang w:val="fr-FR" w:eastAsia="fr-FR" w:bidi="fr-FR"/>
        </w:rPr>
        <w:t xml:space="preserve">ne, dans les extraits qu’il fit de ce cartulaire, le résuma (Baluze 54, fol. 228 ; </w:t>
      </w:r>
      <w:r w:rsidRPr="003B3476">
        <w:rPr>
          <w:bCs/>
        </w:rPr>
        <w:t>cf.</w:t>
      </w:r>
      <w:r w:rsidRPr="003B3476">
        <w:rPr>
          <w:lang w:val="fr-FR" w:eastAsia="fr-FR" w:bidi="fr-FR"/>
        </w:rPr>
        <w:t xml:space="preserve"> fr. 24132, p. 496). Reportons-nous maintenant au fonds Duchesne, du C</w:t>
      </w:r>
      <w:r w:rsidRPr="003B3476">
        <w:rPr>
          <w:lang w:val="fr-FR" w:eastAsia="fr-FR" w:bidi="fr-FR"/>
        </w:rPr>
        <w:t>a</w:t>
      </w:r>
      <w:r w:rsidRPr="003B3476">
        <w:rPr>
          <w:lang w:val="fr-FR" w:eastAsia="fr-FR" w:bidi="fr-FR"/>
        </w:rPr>
        <w:t>binet des manuscrits de la Bibl. Nat. ; prenons-y le ms. coté 77. Au fol. 74 de ce ms., nous trouverons une copie authentique, collationnée par trois notaires le 22 mars 1616, de ce même diplôme de Philippe le Bel. La note, mentio</w:t>
      </w:r>
      <w:r w:rsidRPr="003B3476">
        <w:rPr>
          <w:lang w:val="fr-FR" w:eastAsia="fr-FR" w:bidi="fr-FR"/>
        </w:rPr>
        <w:t>n</w:t>
      </w:r>
      <w:r w:rsidRPr="003B3476">
        <w:rPr>
          <w:lang w:val="fr-FR" w:eastAsia="fr-FR" w:bidi="fr-FR"/>
        </w:rPr>
        <w:t>nant la collation, indique que la copie fut faite sur un « vieil livre en parch</w:t>
      </w:r>
      <w:r w:rsidRPr="003B3476">
        <w:rPr>
          <w:lang w:val="fr-FR" w:eastAsia="fr-FR" w:bidi="fr-FR"/>
        </w:rPr>
        <w:t>e</w:t>
      </w:r>
      <w:r w:rsidRPr="003B3476">
        <w:rPr>
          <w:lang w:val="fr-FR" w:eastAsia="fr-FR" w:bidi="fr-FR"/>
        </w:rPr>
        <w:t>min d’ancienne escripture » ; la première pièce commençait par les mots : « C’est le nombre des terres gaignables de Monsieur de Boville appartenans à la maison de Vilblovein », et était datée des vendredi et samedi 9 et 10 mars d’une année dont les notaires ne purent déchiffrer la date ; le livre, — tel que le virent les notaires, — se terminait au fol. 322 au milieu d’une pièce relative à la justice de la paroisse de Sarcy ; il se trouvait entre les mains de l’un des trois notaires. Michel Morin, demeurant près la porte Saint-Michel.</w:t>
      </w:r>
    </w:p>
  </w:footnote>
  <w:footnote w:id="319">
    <w:p w14:paraId="6B584C4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ms. coté 24136, renfermant les tables, n’est pas de la main de Guillaume Laisné.</w:t>
      </w:r>
    </w:p>
  </w:footnote>
  <w:footnote w:id="320">
    <w:p w14:paraId="3572133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Ms. fr. 24132.</w:t>
      </w:r>
    </w:p>
  </w:footnote>
  <w:footnote w:id="321">
    <w:p w14:paraId="7458B27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L. </w:t>
      </w:r>
      <w:r w:rsidRPr="003B3476">
        <w:rPr>
          <w:rStyle w:val="Notedebasdepage265ptNonItaliquePetitesmajuscules"/>
          <w:b w:val="0"/>
          <w:i/>
          <w:iCs/>
        </w:rPr>
        <w:t xml:space="preserve">Meblet, </w:t>
      </w:r>
      <w:r w:rsidRPr="003B3476">
        <w:rPr>
          <w:i/>
          <w:lang w:val="fr-FR" w:eastAsia="fr-FR" w:bidi="fr-FR"/>
        </w:rPr>
        <w:t>Mém. Soc. archéol. d'Eure-et-Loir</w:t>
      </w:r>
      <w:r w:rsidRPr="003B3476">
        <w:rPr>
          <w:lang w:val="fr-FR" w:eastAsia="fr-FR" w:bidi="fr-FR"/>
        </w:rPr>
        <w:t>,</w:t>
      </w:r>
      <w:r w:rsidRPr="003B3476">
        <w:rPr>
          <w:bCs/>
        </w:rPr>
        <w:t xml:space="preserve"> t. I, p. 99-100.</w:t>
      </w:r>
    </w:p>
  </w:footnote>
  <w:footnote w:id="322">
    <w:p w14:paraId="09C499D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Oudart de Chambly, châtelain de Mantes, et sa femme Marie constituent une dot à leur fille Marie, « famé Hue de Boville, chambellan nostre chier sire messire Philippe le Jeune, fils le roy de France », samedi après les Brandons (13 mars) 1283, nouv. st. Baluze 54, fol. 183 v°, d’après le </w:t>
      </w:r>
      <w:r w:rsidRPr="003B3476">
        <w:rPr>
          <w:bCs/>
          <w:i/>
        </w:rPr>
        <w:t>cartulaire A.</w:t>
      </w:r>
      <w:r w:rsidRPr="003B3476">
        <w:rPr>
          <w:bCs/>
        </w:rPr>
        <w:t xml:space="preserve"> </w:t>
      </w:r>
      <w:r w:rsidRPr="003B3476">
        <w:rPr>
          <w:bCs/>
          <w:i/>
        </w:rPr>
        <w:t>Cf.</w:t>
      </w:r>
      <w:r w:rsidRPr="003B3476">
        <w:rPr>
          <w:bCs/>
        </w:rPr>
        <w:t> </w:t>
      </w:r>
      <w:r w:rsidRPr="003B3476">
        <w:rPr>
          <w:bCs/>
          <w:i/>
        </w:rPr>
        <w:t>infra.</w:t>
      </w:r>
      <w:r w:rsidRPr="003B3476">
        <w:rPr>
          <w:lang w:val="fr-FR" w:eastAsia="fr-FR" w:bidi="fr-FR"/>
        </w:rPr>
        <w:t>, le texte cité, p. 688, suite n. 6 de la présente page.</w:t>
      </w:r>
    </w:p>
  </w:footnote>
  <w:footnote w:id="323">
    <w:p w14:paraId="564E8F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beau-père de Hugues de Bouville s’appelait Oudart de Chambly. Voir note précédente.</w:t>
      </w:r>
    </w:p>
  </w:footnote>
  <w:footnote w:id="324">
    <w:p w14:paraId="1EE68BF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Historiens de France</w:t>
      </w:r>
      <w:r w:rsidRPr="003B3476">
        <w:rPr>
          <w:bCs/>
        </w:rPr>
        <w:t>,</w:t>
      </w:r>
      <w:r w:rsidRPr="003B3476">
        <w:rPr>
          <w:lang w:val="fr-FR" w:eastAsia="fr-FR" w:bidi="fr-FR"/>
        </w:rPr>
        <w:t xml:space="preserve"> t. XXII, p. 104, v. 1594. Sur Hugues, voir aussi </w:t>
      </w:r>
      <w:r w:rsidRPr="003B3476">
        <w:rPr>
          <w:bCs/>
          <w:i/>
        </w:rPr>
        <w:t>Ibid.</w:t>
      </w:r>
      <w:r w:rsidRPr="003B3476">
        <w:rPr>
          <w:bCs/>
        </w:rPr>
        <w:t>,</w:t>
      </w:r>
      <w:r w:rsidRPr="003B3476">
        <w:rPr>
          <w:lang w:val="fr-FR" w:eastAsia="fr-FR" w:bidi="fr-FR"/>
        </w:rPr>
        <w:t xml:space="preserve"> p. 150 </w:t>
      </w:r>
      <w:r w:rsidRPr="003B3476">
        <w:rPr>
          <w:bCs/>
        </w:rPr>
        <w:t>J.</w:t>
      </w:r>
    </w:p>
  </w:footnote>
  <w:footnote w:id="325">
    <w:p w14:paraId="0D933D0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Acte daté de Sarrebourg, 3 des ides de décembre 1299, indict. 13, règne 2 : « In nostrum familiarem et militem duximus assumendum ». Copie sans doute intégrale, d’après le </w:t>
      </w:r>
      <w:r w:rsidRPr="003B3476">
        <w:rPr>
          <w:bCs/>
          <w:i/>
        </w:rPr>
        <w:t>cartulaire A</w:t>
      </w:r>
      <w:r w:rsidRPr="003B3476">
        <w:rPr>
          <w:bCs/>
        </w:rPr>
        <w:t xml:space="preserve">, </w:t>
      </w:r>
      <w:r w:rsidRPr="003B3476">
        <w:rPr>
          <w:lang w:val="fr-FR" w:eastAsia="fr-FR" w:bidi="fr-FR"/>
        </w:rPr>
        <w:t xml:space="preserve">Baluze 54, fol. 196 v°. Indiqué d’après le </w:t>
      </w:r>
      <w:r w:rsidRPr="003B3476">
        <w:rPr>
          <w:bCs/>
          <w:i/>
        </w:rPr>
        <w:t>cartulaire B</w:t>
      </w:r>
      <w:r w:rsidRPr="003B3476">
        <w:rPr>
          <w:bCs/>
        </w:rPr>
        <w:t>,</w:t>
      </w:r>
      <w:r w:rsidRPr="003B3476">
        <w:rPr>
          <w:lang w:val="fr-FR" w:eastAsia="fr-FR" w:bidi="fr-FR"/>
        </w:rPr>
        <w:t xml:space="preserve"> pièce n° 423, </w:t>
      </w:r>
      <w:r w:rsidRPr="003B3476">
        <w:rPr>
          <w:bCs/>
          <w:i/>
        </w:rPr>
        <w:t>Ibid.</w:t>
      </w:r>
      <w:r w:rsidRPr="003B3476">
        <w:rPr>
          <w:bCs/>
        </w:rPr>
        <w:t>,</w:t>
      </w:r>
      <w:r w:rsidRPr="003B3476">
        <w:rPr>
          <w:lang w:val="fr-FR" w:eastAsia="fr-FR" w:bidi="fr-FR"/>
        </w:rPr>
        <w:t xml:space="preserve"> fol. 228 ; </w:t>
      </w:r>
      <w:r w:rsidRPr="003B3476">
        <w:rPr>
          <w:bCs/>
        </w:rPr>
        <w:t xml:space="preserve">cf. </w:t>
      </w:r>
      <w:r w:rsidRPr="003B3476">
        <w:rPr>
          <w:bCs/>
          <w:i/>
        </w:rPr>
        <w:t>Mém. de Mondonville</w:t>
      </w:r>
      <w:r w:rsidRPr="003B3476">
        <w:rPr>
          <w:bCs/>
        </w:rPr>
        <w:t>,</w:t>
      </w:r>
      <w:r w:rsidRPr="003B3476">
        <w:rPr>
          <w:lang w:val="fr-FR" w:eastAsia="fr-FR" w:bidi="fr-FR"/>
        </w:rPr>
        <w:t xml:space="preserve"> fr. 24132, p. 496. Il n’est fait mention de Hugues de Bouville dans aucun des ouvrages consacrés aux relations de Philippe IV et d’Albert d’Autriche : ni dans Alfred </w:t>
      </w:r>
      <w:r w:rsidRPr="003B3476">
        <w:rPr>
          <w:rStyle w:val="Notedebasdepage65ptPetitesmajuscules"/>
          <w:b w:val="0"/>
          <w:sz w:val="24"/>
        </w:rPr>
        <w:t xml:space="preserve">Leroux, </w:t>
      </w:r>
      <w:r w:rsidRPr="003B3476">
        <w:rPr>
          <w:bCs/>
          <w:i/>
        </w:rPr>
        <w:t>Recherches critiques sur les relations de la France et de l'A</w:t>
      </w:r>
      <w:r w:rsidRPr="003B3476">
        <w:rPr>
          <w:bCs/>
          <w:i/>
        </w:rPr>
        <w:t>l</w:t>
      </w:r>
      <w:r w:rsidRPr="003B3476">
        <w:rPr>
          <w:bCs/>
          <w:i/>
        </w:rPr>
        <w:t>lemagne de 1292 a 1378</w:t>
      </w:r>
      <w:r w:rsidRPr="003B3476">
        <w:rPr>
          <w:i/>
          <w:lang w:val="fr-FR" w:eastAsia="fr-FR" w:bidi="fr-FR"/>
        </w:rPr>
        <w:t xml:space="preserve"> (</w:t>
      </w:r>
      <w:r w:rsidRPr="003B3476">
        <w:rPr>
          <w:bCs/>
          <w:i/>
        </w:rPr>
        <w:t>Bibl. de l'Éc. des Hautes Études</w:t>
      </w:r>
      <w:r w:rsidRPr="003B3476">
        <w:rPr>
          <w:bCs/>
        </w:rPr>
        <w:t>,</w:t>
      </w:r>
      <w:r w:rsidRPr="003B3476">
        <w:rPr>
          <w:lang w:val="fr-FR" w:eastAsia="fr-FR" w:bidi="fr-FR"/>
        </w:rPr>
        <w:t xml:space="preserve"> fol. 50), in-8°, Paris, 1882 ; ni dans Herm. </w:t>
      </w:r>
      <w:r w:rsidRPr="003B3476">
        <w:rPr>
          <w:rStyle w:val="Notedebasdepage65ptPetitesmajuscules"/>
          <w:b w:val="0"/>
          <w:sz w:val="24"/>
        </w:rPr>
        <w:t xml:space="preserve">Henneberg, </w:t>
      </w:r>
      <w:r w:rsidRPr="003B3476">
        <w:rPr>
          <w:bCs/>
          <w:i/>
        </w:rPr>
        <w:t>Die politischen Beziehungen zwi</w:t>
      </w:r>
      <w:r w:rsidRPr="003B3476">
        <w:rPr>
          <w:bCs/>
          <w:i/>
        </w:rPr>
        <w:t>s</w:t>
      </w:r>
      <w:r w:rsidRPr="003B3476">
        <w:rPr>
          <w:bCs/>
          <w:i/>
        </w:rPr>
        <w:t>chen Deut</w:t>
      </w:r>
      <w:r w:rsidRPr="003B3476">
        <w:rPr>
          <w:bCs/>
          <w:i/>
        </w:rPr>
        <w:t>s</w:t>
      </w:r>
      <w:r w:rsidRPr="003B3476">
        <w:rPr>
          <w:bCs/>
          <w:i/>
        </w:rPr>
        <w:t>chland und Frankreich unter König Albrecht I. (1289-1308)</w:t>
      </w:r>
      <w:r w:rsidRPr="003B3476">
        <w:rPr>
          <w:bCs/>
        </w:rPr>
        <w:t>,</w:t>
      </w:r>
      <w:r w:rsidRPr="003B3476">
        <w:rPr>
          <w:lang w:val="fr-FR" w:eastAsia="fr-FR" w:bidi="fr-FR"/>
        </w:rPr>
        <w:t xml:space="preserve"> in-8°, Strasbourg, 1891 ; ni dans Fritz </w:t>
      </w:r>
      <w:r w:rsidRPr="003B3476">
        <w:rPr>
          <w:rStyle w:val="Notedebasdepage65ptPetitesmajuscules"/>
          <w:b w:val="0"/>
          <w:sz w:val="24"/>
        </w:rPr>
        <w:t xml:space="preserve">Kern, </w:t>
      </w:r>
      <w:r w:rsidRPr="003B3476">
        <w:rPr>
          <w:bCs/>
          <w:i/>
        </w:rPr>
        <w:t>Die Anfange der französischen Au</w:t>
      </w:r>
      <w:r w:rsidRPr="003B3476">
        <w:rPr>
          <w:bCs/>
          <w:i/>
        </w:rPr>
        <w:t>s</w:t>
      </w:r>
      <w:r w:rsidRPr="003B3476">
        <w:rPr>
          <w:bCs/>
          <w:i/>
        </w:rPr>
        <w:t>dehnun</w:t>
      </w:r>
      <w:r w:rsidRPr="003B3476">
        <w:rPr>
          <w:bCs/>
          <w:i/>
        </w:rPr>
        <w:t>g</w:t>
      </w:r>
      <w:r w:rsidRPr="003B3476">
        <w:rPr>
          <w:bCs/>
          <w:i/>
        </w:rPr>
        <w:t>spolitik bis zum Jahre 1308</w:t>
      </w:r>
      <w:r w:rsidRPr="003B3476">
        <w:rPr>
          <w:bCs/>
        </w:rPr>
        <w:t>,</w:t>
      </w:r>
      <w:r w:rsidRPr="003B3476">
        <w:rPr>
          <w:lang w:val="fr-FR" w:eastAsia="fr-FR" w:bidi="fr-FR"/>
        </w:rPr>
        <w:t xml:space="preserve"> in-8°, Tübingen, 1910. </w:t>
      </w:r>
      <w:r w:rsidRPr="003B3476">
        <w:rPr>
          <w:rStyle w:val="Notedebasdepage65ptPetitesmajuscules"/>
          <w:b w:val="0"/>
          <w:sz w:val="24"/>
        </w:rPr>
        <w:t xml:space="preserve">Duchesne, </w:t>
      </w:r>
      <w:r w:rsidRPr="003B3476">
        <w:rPr>
          <w:bCs/>
          <w:i/>
        </w:rPr>
        <w:t>Hist. de la maison de Chastillon</w:t>
      </w:r>
      <w:r w:rsidRPr="003B3476">
        <w:rPr>
          <w:bCs/>
        </w:rPr>
        <w:t>,</w:t>
      </w:r>
      <w:r w:rsidRPr="003B3476">
        <w:rPr>
          <w:lang w:val="fr-FR" w:eastAsia="fr-FR" w:bidi="fr-FR"/>
        </w:rPr>
        <w:t xml:space="preserve"> p. 466, mentionne l’acte d’Albert d’Autriche.</w:t>
      </w:r>
    </w:p>
  </w:footnote>
  <w:footnote w:id="326">
    <w:p w14:paraId="6497CF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Mandement de Philippe le Bel à Gui, comte de Saint-Paul, bouteiller de Fra</w:t>
      </w:r>
      <w:r w:rsidRPr="003B3476">
        <w:rPr>
          <w:lang w:val="fr-FR" w:eastAsia="fr-FR" w:bidi="fr-FR"/>
        </w:rPr>
        <w:t>n</w:t>
      </w:r>
      <w:r w:rsidRPr="003B3476">
        <w:rPr>
          <w:lang w:val="fr-FR" w:eastAsia="fr-FR" w:bidi="fr-FR"/>
        </w:rPr>
        <w:t xml:space="preserve">ce, lui ordonnant d’asseoir 500 livres parisis de rente sur le comté de Flandre pour Hugues de Bouville et de désigner à Hugues une bonne maison dans ce même comté. Asnières, nov. 1301. Copié par Duchesne, Baluze 54, fol. 188, d’après le </w:t>
      </w:r>
      <w:r w:rsidRPr="003B3476">
        <w:rPr>
          <w:bCs/>
          <w:i/>
        </w:rPr>
        <w:t>cartulaire A</w:t>
      </w:r>
      <w:r w:rsidRPr="003B3476">
        <w:rPr>
          <w:bCs/>
        </w:rPr>
        <w:t>.</w:t>
      </w:r>
      <w:r w:rsidRPr="003B3476">
        <w:rPr>
          <w:lang w:val="fr-FR" w:eastAsia="fr-FR" w:bidi="fr-FR"/>
        </w:rPr>
        <w:t xml:space="preserve"> Voici le préambule : « Nos, in terra nostra Flandrensi utilia serere semina cupientes, que fructum suo tempore afïerant gratiosum, ac grata fidelitatis obsequia que dilectus et fidelis miles et cambellanus noster Hugo de Bovilla, dominus Milliaci, nobis in acquisitionem ipsius terre non s</w:t>
      </w:r>
      <w:r w:rsidRPr="003B3476">
        <w:rPr>
          <w:lang w:val="fr-FR" w:eastAsia="fr-FR" w:bidi="fr-FR"/>
        </w:rPr>
        <w:t>i</w:t>
      </w:r>
      <w:r w:rsidRPr="003B3476">
        <w:rPr>
          <w:lang w:val="fr-FR" w:eastAsia="fr-FR" w:bidi="fr-FR"/>
        </w:rPr>
        <w:t>ne multis persone laboribus et profluis expensis, et aliunde a nostre primordio juventutis exhibuit, et exhibet incessanter... »</w:t>
      </w:r>
    </w:p>
  </w:footnote>
  <w:footnote w:id="327">
    <w:p w14:paraId="2EEF7D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
          <w:iCs/>
          <w:sz w:val="24"/>
        </w:rPr>
        <w:t xml:space="preserve">Duchesne, </w:t>
      </w:r>
      <w:r w:rsidRPr="003B3476">
        <w:rPr>
          <w:bCs/>
        </w:rPr>
        <w:t xml:space="preserve">p. 466 : </w:t>
      </w:r>
      <w:r w:rsidRPr="003B3476">
        <w:rPr>
          <w:i/>
          <w:lang w:val="fr-FR" w:eastAsia="fr-FR" w:bidi="fr-FR"/>
        </w:rPr>
        <w:t>cf. Continuation de Géraud de Frachet. Histor. de Fr</w:t>
      </w:r>
      <w:r w:rsidRPr="003B3476">
        <w:rPr>
          <w:lang w:val="fr-FR" w:eastAsia="fr-FR" w:bidi="fr-FR"/>
        </w:rPr>
        <w:t>.,</w:t>
      </w:r>
      <w:r w:rsidRPr="003B3476">
        <w:rPr>
          <w:bCs/>
        </w:rPr>
        <w:t xml:space="preserve"> t. XXI, p. 54 </w:t>
      </w:r>
      <w:r w:rsidRPr="003B3476">
        <w:rPr>
          <w:rStyle w:val="Notedebasdepage265ptNonItaliquePetitesmajuscules"/>
          <w:b w:val="0"/>
          <w:i/>
          <w:iCs/>
          <w:sz w:val="24"/>
        </w:rPr>
        <w:t>d ;</w:t>
      </w:r>
      <w:r w:rsidRPr="003B3476">
        <w:rPr>
          <w:bCs/>
        </w:rPr>
        <w:t xml:space="preserve"> </w:t>
      </w:r>
      <w:r w:rsidRPr="003B3476">
        <w:rPr>
          <w:i/>
          <w:lang w:val="fr-FR" w:eastAsia="fr-FR" w:bidi="fr-FR"/>
        </w:rPr>
        <w:t>Chronique anonyme finissant en 1308</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p. 136 </w:t>
      </w:r>
      <w:r w:rsidRPr="003B3476">
        <w:rPr>
          <w:rStyle w:val="Notedebasdepage265ptNonItalique"/>
          <w:b w:val="0"/>
          <w:i/>
          <w:iCs/>
          <w:sz w:val="24"/>
        </w:rPr>
        <w:t>H ;</w:t>
      </w:r>
      <w:r w:rsidRPr="003B3476">
        <w:rPr>
          <w:bCs/>
        </w:rPr>
        <w:t xml:space="preserve"> Jean de </w:t>
      </w:r>
      <w:r w:rsidRPr="003B3476">
        <w:rPr>
          <w:rStyle w:val="Notedebasdepage265ptNonItaliquePetitesmajuscules"/>
          <w:b w:val="0"/>
          <w:i/>
          <w:iCs/>
          <w:sz w:val="24"/>
        </w:rPr>
        <w:t xml:space="preserve">Saint-Victor, </w:t>
      </w:r>
      <w:r w:rsidRPr="003B3476">
        <w:rPr>
          <w:i/>
          <w:lang w:val="fr-FR" w:eastAsia="fr-FR" w:bidi="fr-FR"/>
        </w:rPr>
        <w:t>Memoriale</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p. 643 </w:t>
      </w:r>
      <w:r w:rsidRPr="003B3476">
        <w:rPr>
          <w:rStyle w:val="Notedebasdepage265ptNonItaliquePetitesmajuscules"/>
          <w:b w:val="0"/>
          <w:i/>
          <w:iCs/>
          <w:sz w:val="24"/>
        </w:rPr>
        <w:t>h ;</w:t>
      </w:r>
      <w:r w:rsidRPr="003B3476">
        <w:rPr>
          <w:bCs/>
        </w:rPr>
        <w:t xml:space="preserve"> Guill. </w:t>
      </w:r>
      <w:r w:rsidRPr="003B3476">
        <w:rPr>
          <w:rStyle w:val="Notedebasdepage265ptNonItaliquePetitesmajuscules"/>
          <w:b w:val="0"/>
          <w:i/>
          <w:iCs/>
          <w:sz w:val="24"/>
        </w:rPr>
        <w:t xml:space="preserve">Guiard, </w:t>
      </w:r>
      <w:r w:rsidRPr="003B3476">
        <w:rPr>
          <w:i/>
          <w:lang w:val="fr-FR" w:eastAsia="fr-FR" w:bidi="fr-FR"/>
        </w:rPr>
        <w:t>Branche des royaux lignages</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XXII, p. 298 c ; </w:t>
      </w:r>
      <w:r w:rsidRPr="003B3476">
        <w:rPr>
          <w:i/>
          <w:lang w:val="fr-FR" w:eastAsia="fr-FR" w:bidi="fr-FR"/>
        </w:rPr>
        <w:t>Chronique artésienne,</w:t>
      </w:r>
      <w:r w:rsidRPr="003B3476">
        <w:rPr>
          <w:bCs/>
        </w:rPr>
        <w:t xml:space="preserve"> éd. </w:t>
      </w:r>
      <w:r w:rsidRPr="003B3476">
        <w:rPr>
          <w:rStyle w:val="Notedebasdepage265ptNonItaliquePetitesmajuscules"/>
          <w:b w:val="0"/>
          <w:i/>
          <w:iCs/>
          <w:sz w:val="24"/>
        </w:rPr>
        <w:t xml:space="preserve">Funck-Brentano </w:t>
      </w:r>
      <w:r w:rsidRPr="003B3476">
        <w:rPr>
          <w:bCs/>
        </w:rPr>
        <w:t>(Coll, de textes pour se</w:t>
      </w:r>
      <w:r w:rsidRPr="003B3476">
        <w:rPr>
          <w:bCs/>
        </w:rPr>
        <w:t>r</w:t>
      </w:r>
      <w:r w:rsidRPr="003B3476">
        <w:rPr>
          <w:bCs/>
        </w:rPr>
        <w:t xml:space="preserve">vir </w:t>
      </w:r>
      <w:r w:rsidRPr="003B3476">
        <w:rPr>
          <w:rStyle w:val="Notedebasdepage265ptNonItalique"/>
          <w:b w:val="0"/>
          <w:i/>
          <w:iCs/>
          <w:sz w:val="24"/>
        </w:rPr>
        <w:t xml:space="preserve">à </w:t>
      </w:r>
      <w:r w:rsidRPr="003B3476">
        <w:rPr>
          <w:bCs/>
        </w:rPr>
        <w:t>l’étude de l’hist.), in-8°, Paris, 1899, p. 88.</w:t>
      </w:r>
    </w:p>
  </w:footnote>
  <w:footnote w:id="328">
    <w:p w14:paraId="34A0B03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Acte analysé par Duchesne, d’après le </w:t>
      </w:r>
      <w:r w:rsidRPr="003B3476">
        <w:rPr>
          <w:bCs/>
          <w:i/>
        </w:rPr>
        <w:t>cartulaire A</w:t>
      </w:r>
      <w:r w:rsidRPr="003B3476">
        <w:rPr>
          <w:bCs/>
        </w:rPr>
        <w:t>,</w:t>
      </w:r>
      <w:r w:rsidRPr="003B3476">
        <w:rPr>
          <w:lang w:val="fr-FR" w:eastAsia="fr-FR" w:bidi="fr-FR"/>
        </w:rPr>
        <w:t xml:space="preserve"> Baluze 54, fol. 177.</w:t>
      </w:r>
    </w:p>
  </w:footnote>
  <w:footnote w:id="329">
    <w:p w14:paraId="1395C5B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Voici cette note, très brève : « 176. Pierre li Jumiaux, garde de la pr. de Paris, l’an 1303. Maheut abbeesse de Chiele l’an 1271 » (Baluze 54, fol. 223). Le prieur de Mondonville n’en a retenu que la mention de Pierre le Jumeau et ajoute une autre donnée sur ce personnage, prise en un autre endroit des e</w:t>
      </w:r>
      <w:r w:rsidRPr="003B3476">
        <w:rPr>
          <w:lang w:val="fr-FR" w:eastAsia="fr-FR" w:bidi="fr-FR"/>
        </w:rPr>
        <w:t>x</w:t>
      </w:r>
      <w:r w:rsidRPr="003B3476">
        <w:rPr>
          <w:lang w:val="fr-FR" w:eastAsia="fr-FR" w:bidi="fr-FR"/>
        </w:rPr>
        <w:t>traits de Duchesne : « Pierre li Jumiaux, garde de la prévosté de Paris en 1303 et [1]302 » (fr. 24132, p. 491).</w:t>
      </w:r>
    </w:p>
  </w:footnote>
  <w:footnote w:id="330">
    <w:p w14:paraId="73CDCD3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commune de Chelles, consulter C.-H. </w:t>
      </w:r>
      <w:r w:rsidRPr="003B3476">
        <w:rPr>
          <w:rStyle w:val="Notedebasdepage65ptPetitesmajuscules"/>
          <w:b w:val="0"/>
          <w:sz w:val="24"/>
        </w:rPr>
        <w:t xml:space="preserve">Berthault, </w:t>
      </w:r>
      <w:r w:rsidRPr="003B3476">
        <w:rPr>
          <w:bCs/>
          <w:i/>
        </w:rPr>
        <w:t>L’Abbaye de Che</w:t>
      </w:r>
      <w:r w:rsidRPr="003B3476">
        <w:rPr>
          <w:bCs/>
          <w:i/>
        </w:rPr>
        <w:t>l</w:t>
      </w:r>
      <w:r w:rsidRPr="003B3476">
        <w:rPr>
          <w:bCs/>
          <w:i/>
        </w:rPr>
        <w:t>les</w:t>
      </w:r>
      <w:r w:rsidRPr="003B3476">
        <w:rPr>
          <w:lang w:val="fr-FR" w:eastAsia="fr-FR" w:bidi="fr-FR"/>
        </w:rPr>
        <w:t xml:space="preserve">, t. I, p. 74-82 et 111-121, et A. </w:t>
      </w:r>
      <w:r w:rsidRPr="003B3476">
        <w:rPr>
          <w:rStyle w:val="Notedebasdepage65ptPetitesmajuscules"/>
          <w:b w:val="0"/>
          <w:sz w:val="24"/>
        </w:rPr>
        <w:t xml:space="preserve">Luchaire, </w:t>
      </w:r>
      <w:r w:rsidRPr="003B3476">
        <w:rPr>
          <w:bCs/>
          <w:i/>
        </w:rPr>
        <w:t>Les Communes françaises</w:t>
      </w:r>
      <w:r w:rsidRPr="003B3476">
        <w:rPr>
          <w:lang w:val="fr-FR" w:eastAsia="fr-FR" w:bidi="fr-FR"/>
        </w:rPr>
        <w:t>, in-8°, Paris, 1911, p. 115.</w:t>
      </w:r>
    </w:p>
  </w:footnote>
  <w:footnote w:id="331">
    <w:p w14:paraId="3947E1B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 Et ont seel propre de commune, dont il et leurs devanciers ont usé </w:t>
      </w:r>
      <w:r w:rsidRPr="003B3476">
        <w:rPr>
          <w:bCs/>
          <w:i/>
        </w:rPr>
        <w:t>passé à neuf vinz anz</w:t>
      </w:r>
      <w:r w:rsidRPr="003B3476">
        <w:rPr>
          <w:i/>
          <w:lang w:val="fr-FR" w:eastAsia="fr-FR" w:bidi="fr-FR"/>
        </w:rPr>
        <w:t> </w:t>
      </w:r>
      <w:r w:rsidRPr="003B3476">
        <w:rPr>
          <w:lang w:val="fr-FR" w:eastAsia="fr-FR" w:bidi="fr-FR"/>
        </w:rPr>
        <w:t xml:space="preserve">», disent en 1303 les gens de Chelles. Voy </w:t>
      </w:r>
      <w:r w:rsidRPr="003B3476">
        <w:rPr>
          <w:bCs/>
          <w:i/>
        </w:rPr>
        <w:t>infra.</w:t>
      </w:r>
      <w:r w:rsidRPr="003B3476">
        <w:rPr>
          <w:lang w:val="fr-FR" w:eastAsia="fr-FR" w:bidi="fr-FR"/>
        </w:rPr>
        <w:t>, p. 690.</w:t>
      </w:r>
    </w:p>
  </w:footnote>
  <w:footnote w:id="332">
    <w:p w14:paraId="15AA54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678, n. 1.</w:t>
      </w:r>
    </w:p>
  </w:footnote>
  <w:footnote w:id="333">
    <w:p w14:paraId="427BE0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L’arrêt fut transcrit sur les registres du Parlement. </w:t>
      </w:r>
      <w:r w:rsidRPr="003B3476">
        <w:rPr>
          <w:bCs/>
        </w:rPr>
        <w:t>Olim</w:t>
      </w:r>
      <w:r w:rsidRPr="003B3476">
        <w:rPr>
          <w:bCs/>
          <w:vertAlign w:val="subscript"/>
        </w:rPr>
        <w:t>t</w:t>
      </w:r>
      <w:r w:rsidRPr="003B3476">
        <w:rPr>
          <w:lang w:val="fr-FR" w:eastAsia="fr-FR" w:bidi="fr-FR"/>
        </w:rPr>
        <w:t xml:space="preserve"> éd. </w:t>
      </w:r>
      <w:r w:rsidRPr="003B3476">
        <w:rPr>
          <w:rStyle w:val="Notedebasdepage65ptPetitesmajuscules"/>
          <w:b w:val="0"/>
          <w:sz w:val="24"/>
        </w:rPr>
        <w:t xml:space="preserve">Beugnot, </w:t>
      </w:r>
      <w:r w:rsidRPr="003B3476">
        <w:rPr>
          <w:lang w:val="fr-FR" w:eastAsia="fr-FR" w:bidi="fr-FR"/>
        </w:rPr>
        <w:t xml:space="preserve">t. II, p. 682, n° VI. </w:t>
      </w:r>
      <w:r w:rsidRPr="003B3476">
        <w:rPr>
          <w:bCs/>
          <w:i/>
        </w:rPr>
        <w:t>Cf.</w:t>
      </w:r>
      <w:r w:rsidRPr="003B3476">
        <w:rPr>
          <w:lang w:val="fr-FR" w:eastAsia="fr-FR" w:bidi="fr-FR"/>
        </w:rPr>
        <w:t xml:space="preserve"> </w:t>
      </w:r>
      <w:r w:rsidRPr="003B3476">
        <w:rPr>
          <w:rStyle w:val="Notedebasdepage65ptPetitesmajuscules"/>
          <w:b w:val="0"/>
          <w:sz w:val="24"/>
        </w:rPr>
        <w:t xml:space="preserve">Boutaric, </w:t>
      </w:r>
      <w:r w:rsidRPr="003B3476">
        <w:rPr>
          <w:bCs/>
          <w:i/>
        </w:rPr>
        <w:t>Actes du Parlement</w:t>
      </w:r>
      <w:r w:rsidRPr="003B3476">
        <w:rPr>
          <w:lang w:val="fr-FR" w:eastAsia="fr-FR" w:bidi="fr-FR"/>
        </w:rPr>
        <w:t>, t. II, n° 5783. L’expédition de l’arrêt trouva place dans les archives de l’abbaye (</w:t>
      </w:r>
      <w:r w:rsidRPr="003B3476">
        <w:rPr>
          <w:i/>
          <w:lang w:val="fr-FR" w:eastAsia="fr-FR" w:bidi="fr-FR"/>
        </w:rPr>
        <w:t>cf.</w:t>
      </w:r>
      <w:r w:rsidRPr="003B3476">
        <w:rPr>
          <w:lang w:val="fr-FR" w:eastAsia="fr-FR" w:bidi="fr-FR"/>
        </w:rPr>
        <w:t xml:space="preserve"> Arch. de Seine-et-Marne ; i</w:t>
      </w:r>
      <w:r w:rsidRPr="003B3476">
        <w:rPr>
          <w:lang w:val="fr-FR" w:eastAsia="fr-FR" w:bidi="fr-FR"/>
        </w:rPr>
        <w:t>n</w:t>
      </w:r>
      <w:r w:rsidRPr="003B3476">
        <w:rPr>
          <w:lang w:val="fr-FR" w:eastAsia="fr-FR" w:bidi="fr-FR"/>
        </w:rPr>
        <w:t xml:space="preserve">ventaire coté H 409, fol. 75 v° et fut copiée dans les cartulaires : </w:t>
      </w:r>
      <w:r w:rsidRPr="003B3476">
        <w:rPr>
          <w:bCs/>
          <w:i/>
        </w:rPr>
        <w:t>Chartularium Vetus</w:t>
      </w:r>
      <w:r w:rsidRPr="003B3476">
        <w:rPr>
          <w:lang w:val="fr-FR" w:eastAsia="fr-FR" w:bidi="fr-FR"/>
        </w:rPr>
        <w:t xml:space="preserve">, fol. 209, fr. 16188, fol. 66, et </w:t>
      </w:r>
      <w:r w:rsidRPr="003B3476">
        <w:rPr>
          <w:bCs/>
          <w:i/>
        </w:rPr>
        <w:t>Cartul. de Madeleine de Chelles</w:t>
      </w:r>
      <w:r w:rsidRPr="003B3476">
        <w:rPr>
          <w:lang w:val="fr-FR" w:eastAsia="fr-FR" w:bidi="fr-FR"/>
        </w:rPr>
        <w:t>, fol. 17 v°.</w:t>
      </w:r>
    </w:p>
  </w:footnote>
  <w:footnote w:id="334">
    <w:p w14:paraId="254F19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Sous le titre suivant : « Coustumes de la ville de Chelle. Extraites d’un regi</w:t>
      </w:r>
      <w:r w:rsidRPr="003B3476">
        <w:rPr>
          <w:lang w:val="fr-FR" w:eastAsia="fr-FR" w:bidi="fr-FR"/>
        </w:rPr>
        <w:t>s</w:t>
      </w:r>
      <w:r w:rsidRPr="003B3476">
        <w:rPr>
          <w:lang w:val="fr-FR" w:eastAsia="fr-FR" w:bidi="fr-FR"/>
        </w:rPr>
        <w:t>tre en parchemin contenant les tiltres de Milly en Gastinois, Boville et Fa</w:t>
      </w:r>
      <w:r w:rsidRPr="003B3476">
        <w:rPr>
          <w:lang w:val="fr-FR" w:eastAsia="fr-FR" w:bidi="fr-FR"/>
        </w:rPr>
        <w:t>r</w:t>
      </w:r>
      <w:r w:rsidRPr="003B3476">
        <w:rPr>
          <w:lang w:val="fr-FR" w:eastAsia="fr-FR" w:bidi="fr-FR"/>
        </w:rPr>
        <w:t>cheville. »</w:t>
      </w:r>
    </w:p>
  </w:footnote>
  <w:footnote w:id="335">
    <w:p w14:paraId="6687C35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Ms</w:t>
      </w:r>
      <w:r w:rsidRPr="003B3476">
        <w:rPr>
          <w:bCs/>
        </w:rPr>
        <w:t>. :</w:t>
      </w:r>
      <w:r w:rsidRPr="003B3476">
        <w:rPr>
          <w:lang w:val="fr-FR" w:eastAsia="fr-FR" w:bidi="fr-FR"/>
        </w:rPr>
        <w:t xml:space="preserve"> la prise.</w:t>
      </w:r>
    </w:p>
  </w:footnote>
  <w:footnote w:id="336">
    <w:p w14:paraId="015E22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w:t>
      </w:r>
      <w:r w:rsidRPr="003B3476">
        <w:rPr>
          <w:bCs/>
          <w:i/>
        </w:rPr>
        <w:t>Recueil des Historiens de France</w:t>
      </w:r>
      <w:r w:rsidRPr="003B3476">
        <w:rPr>
          <w:lang w:val="fr-FR" w:eastAsia="fr-FR" w:bidi="fr-FR"/>
        </w:rPr>
        <w:t xml:space="preserve">, t. XXIII, p. 722, reproduit, d’après les </w:t>
      </w:r>
      <w:r w:rsidRPr="003B3476">
        <w:rPr>
          <w:bCs/>
          <w:i/>
        </w:rPr>
        <w:t>cartulaires</w:t>
      </w:r>
      <w:r w:rsidRPr="003B3476">
        <w:rPr>
          <w:bCs/>
        </w:rPr>
        <w:t xml:space="preserve"> </w:t>
      </w:r>
      <w:r w:rsidRPr="003B3476">
        <w:rPr>
          <w:bCs/>
          <w:i/>
        </w:rPr>
        <w:t>A, B C</w:t>
      </w:r>
      <w:r w:rsidRPr="003B3476">
        <w:rPr>
          <w:i/>
          <w:lang w:val="fr-FR" w:eastAsia="fr-FR" w:bidi="fr-FR"/>
        </w:rPr>
        <w:t xml:space="preserve"> </w:t>
      </w:r>
      <w:r w:rsidRPr="003B3476">
        <w:rPr>
          <w:lang w:val="fr-FR" w:eastAsia="fr-FR" w:bidi="fr-FR"/>
        </w:rPr>
        <w:t xml:space="preserve">et </w:t>
      </w:r>
      <w:r w:rsidRPr="003B3476">
        <w:rPr>
          <w:bCs/>
          <w:i/>
        </w:rPr>
        <w:t>D</w:t>
      </w:r>
      <w:r w:rsidRPr="003B3476">
        <w:rPr>
          <w:lang w:val="fr-FR" w:eastAsia="fr-FR" w:bidi="fr-FR"/>
        </w:rPr>
        <w:t xml:space="preserve"> de Philippe-Auguste, une prisée des sergents, que M. </w:t>
      </w:r>
      <w:r w:rsidRPr="003B3476">
        <w:rPr>
          <w:rStyle w:val="Notedebasdepage65ptPetitesmajuscules"/>
          <w:b w:val="0"/>
          <w:sz w:val="24"/>
        </w:rPr>
        <w:t xml:space="preserve">Borrelli de Serres </w:t>
      </w:r>
      <w:r w:rsidRPr="003B3476">
        <w:rPr>
          <w:lang w:val="fr-FR" w:eastAsia="fr-FR" w:bidi="fr-FR"/>
        </w:rPr>
        <w:t>estime avoir été établie en 1194 ou en 1195 (</w:t>
      </w:r>
      <w:r w:rsidRPr="003B3476">
        <w:rPr>
          <w:bCs/>
          <w:i/>
        </w:rPr>
        <w:t>Reche</w:t>
      </w:r>
      <w:r w:rsidRPr="003B3476">
        <w:rPr>
          <w:bCs/>
          <w:i/>
        </w:rPr>
        <w:t>r</w:t>
      </w:r>
      <w:r w:rsidRPr="003B3476">
        <w:rPr>
          <w:bCs/>
          <w:i/>
        </w:rPr>
        <w:t>ches sur divers services publics,</w:t>
      </w:r>
      <w:r w:rsidRPr="003B3476">
        <w:rPr>
          <w:lang w:val="fr-FR" w:eastAsia="fr-FR" w:bidi="fr-FR"/>
        </w:rPr>
        <w:t xml:space="preserve"> t. I, in-8°, Paris, 1895, p. 471). Chelles y est nommée : « Kala, </w:t>
      </w:r>
      <w:r w:rsidRPr="003B3476">
        <w:rPr>
          <w:rStyle w:val="Notedebasdepage65ptPetitesmajuscules"/>
          <w:b w:val="0"/>
          <w:sz w:val="24"/>
        </w:rPr>
        <w:t xml:space="preserve">xl </w:t>
      </w:r>
      <w:r w:rsidRPr="003B3476">
        <w:rPr>
          <w:lang w:val="fr-FR" w:eastAsia="fr-FR" w:bidi="fr-FR"/>
        </w:rPr>
        <w:t>servientes et una quadriga » ; mais il semble bien que (comme le pensait M. Borrelli de Serres) cette mention concerne l’abbaye, non la co</w:t>
      </w:r>
      <w:r w:rsidRPr="003B3476">
        <w:rPr>
          <w:lang w:val="fr-FR" w:eastAsia="fr-FR" w:bidi="fr-FR"/>
        </w:rPr>
        <w:t>m</w:t>
      </w:r>
      <w:r w:rsidRPr="003B3476">
        <w:rPr>
          <w:lang w:val="fr-FR" w:eastAsia="fr-FR" w:bidi="fr-FR"/>
        </w:rPr>
        <w:t>mune.</w:t>
      </w:r>
    </w:p>
  </w:footnote>
  <w:footnote w:id="337">
    <w:p w14:paraId="1350C6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Ms</w:t>
      </w:r>
      <w:r w:rsidRPr="003B3476">
        <w:rPr>
          <w:bCs/>
        </w:rPr>
        <w:t>.</w:t>
      </w:r>
      <w:r w:rsidRPr="003B3476">
        <w:rPr>
          <w:lang w:val="fr-FR" w:eastAsia="fr-FR" w:bidi="fr-FR"/>
        </w:rPr>
        <w:t> : appeut.</w:t>
      </w:r>
    </w:p>
  </w:footnote>
  <w:footnote w:id="338">
    <w:p w14:paraId="1CCC93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Chelles est en effet mentionnée dans la liste des communes que renferment les </w:t>
      </w:r>
      <w:r w:rsidRPr="003B3476">
        <w:rPr>
          <w:bCs/>
          <w:i/>
        </w:rPr>
        <w:t>cartulaires A</w:t>
      </w:r>
      <w:r w:rsidRPr="003B3476">
        <w:rPr>
          <w:bCs/>
        </w:rPr>
        <w:t xml:space="preserve"> et </w:t>
      </w:r>
      <w:r w:rsidRPr="003B3476">
        <w:rPr>
          <w:bCs/>
          <w:i/>
        </w:rPr>
        <w:t>B</w:t>
      </w:r>
      <w:r w:rsidRPr="003B3476">
        <w:rPr>
          <w:bCs/>
        </w:rPr>
        <w:t xml:space="preserve"> de</w:t>
      </w:r>
      <w:r w:rsidRPr="003B3476">
        <w:rPr>
          <w:lang w:val="fr-FR" w:eastAsia="fr-FR" w:bidi="fr-FR"/>
        </w:rPr>
        <w:t xml:space="preserve"> Philippe-Auguste, </w:t>
      </w:r>
      <w:r w:rsidRPr="003B3476">
        <w:rPr>
          <w:bCs/>
          <w:i/>
        </w:rPr>
        <w:t>Hist. de Fr.,</w:t>
      </w:r>
      <w:r w:rsidRPr="003B3476">
        <w:rPr>
          <w:lang w:val="fr-FR" w:eastAsia="fr-FR" w:bidi="fr-FR"/>
        </w:rPr>
        <w:t xml:space="preserve"> t. XXIII, p. 684 c.</w:t>
      </w:r>
    </w:p>
  </w:footnote>
  <w:footnote w:id="339">
    <w:p w14:paraId="6F3293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sceau de la commune de Chelles ne nous est pas connu. Un des inventaires des archives de Chelles, rédigés au </w:t>
      </w:r>
      <w:r w:rsidRPr="003B3476">
        <w:rPr>
          <w:smallCaps/>
          <w:lang w:val="fr-FR" w:eastAsia="fr-FR" w:bidi="fr-FR"/>
        </w:rPr>
        <w:t>xviii</w:t>
      </w:r>
      <w:r w:rsidRPr="003B3476">
        <w:rPr>
          <w:vertAlign w:val="superscript"/>
          <w:lang w:val="fr-FR" w:eastAsia="fr-FR" w:bidi="fr-FR"/>
        </w:rPr>
        <w:t>e</w:t>
      </w:r>
      <w:r w:rsidRPr="003B3476">
        <w:rPr>
          <w:lang w:val="fr-FR" w:eastAsia="fr-FR" w:bidi="fr-FR"/>
        </w:rPr>
        <w:t xml:space="preserve"> siècle, le registre conservé aux a</w:t>
      </w:r>
      <w:r w:rsidRPr="003B3476">
        <w:rPr>
          <w:lang w:val="fr-FR" w:eastAsia="fr-FR" w:bidi="fr-FR"/>
        </w:rPr>
        <w:t>r</w:t>
      </w:r>
      <w:r w:rsidRPr="003B3476">
        <w:rPr>
          <w:lang w:val="fr-FR" w:eastAsia="fr-FR" w:bidi="fr-FR"/>
        </w:rPr>
        <w:t>chives de Seine-et-Marne sous la cote H 409, fol. 2 v°, signale un acte de 1240 t passé sous le sceau de la mairie et commune du bourg de Chelles ».</w:t>
      </w:r>
    </w:p>
  </w:footnote>
  <w:footnote w:id="340">
    <w:p w14:paraId="0262F69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s’agit de l’abbesse Mathilde V de Nanteuil. Cet accord de 1271 ne nous est pas connu. Mais les </w:t>
      </w:r>
      <w:r w:rsidRPr="003B3476">
        <w:rPr>
          <w:bCs/>
        </w:rPr>
        <w:t>Olim</w:t>
      </w:r>
      <w:r w:rsidRPr="003B3476">
        <w:rPr>
          <w:lang w:val="fr-FR" w:eastAsia="fr-FR" w:bidi="fr-FR"/>
        </w:rPr>
        <w:t xml:space="preserve"> ont enregistré, parmi les « enquêtes » de la session de la Chandeleur, 1272 (1271, anc. st.), un arrêt du Parlement tranchant, en faveur de la commune, un procès pendant entre l’abbaye et la commune de Chelles (</w:t>
      </w:r>
      <w:r w:rsidRPr="003B3476">
        <w:rPr>
          <w:i/>
          <w:lang w:val="fr-FR" w:eastAsia="fr-FR" w:bidi="fr-FR"/>
        </w:rPr>
        <w:t>Olim</w:t>
      </w:r>
      <w:r w:rsidRPr="003B3476">
        <w:rPr>
          <w:lang w:val="fr-FR" w:eastAsia="fr-FR" w:bidi="fr-FR"/>
        </w:rPr>
        <w:t xml:space="preserve">, éd. </w:t>
      </w:r>
      <w:r w:rsidRPr="003B3476">
        <w:rPr>
          <w:rStyle w:val="Notedebasdepage65ptPetitesmajuscules"/>
          <w:b w:val="0"/>
          <w:sz w:val="24"/>
        </w:rPr>
        <w:t xml:space="preserve">Beugnot, </w:t>
      </w:r>
      <w:r w:rsidRPr="003B3476">
        <w:rPr>
          <w:lang w:val="fr-FR" w:eastAsia="fr-FR" w:bidi="fr-FR"/>
        </w:rPr>
        <w:t xml:space="preserve">t. I, p. 367, n° X ; cf. </w:t>
      </w:r>
      <w:r w:rsidRPr="003B3476">
        <w:rPr>
          <w:rStyle w:val="Notedebasdepage65ptPetitesmajuscules"/>
          <w:b w:val="0"/>
          <w:sz w:val="24"/>
        </w:rPr>
        <w:t xml:space="preserve">Boutaric, </w:t>
      </w:r>
      <w:r w:rsidRPr="003B3476">
        <w:rPr>
          <w:bCs/>
          <w:i/>
        </w:rPr>
        <w:t>Actes du Pa</w:t>
      </w:r>
      <w:r w:rsidRPr="003B3476">
        <w:rPr>
          <w:bCs/>
          <w:i/>
        </w:rPr>
        <w:t>r</w:t>
      </w:r>
      <w:r w:rsidRPr="003B3476">
        <w:rPr>
          <w:bCs/>
          <w:i/>
        </w:rPr>
        <w:t>lement de Paris,</w:t>
      </w:r>
      <w:r w:rsidRPr="003B3476">
        <w:rPr>
          <w:lang w:val="fr-FR" w:eastAsia="fr-FR" w:bidi="fr-FR"/>
        </w:rPr>
        <w:t xml:space="preserve"> t. I, n° 1673, et L. </w:t>
      </w:r>
      <w:r w:rsidRPr="003B3476">
        <w:rPr>
          <w:rStyle w:val="Notedebasdepage65ptPetitesmajuscules"/>
          <w:b w:val="0"/>
          <w:sz w:val="24"/>
        </w:rPr>
        <w:t xml:space="preserve">Delisle, </w:t>
      </w:r>
      <w:r w:rsidRPr="003B3476">
        <w:rPr>
          <w:bCs/>
          <w:i/>
        </w:rPr>
        <w:t>Essai de restitution d'un volume perdu des Olim,</w:t>
      </w:r>
      <w:r w:rsidRPr="003B3476">
        <w:rPr>
          <w:lang w:val="fr-FR" w:eastAsia="fr-FR" w:bidi="fr-FR"/>
        </w:rPr>
        <w:t xml:space="preserve"> n° 76). D’autre part, nous savons, par un des inventaires des archives de Chelles, qu’au XVIII</w:t>
      </w:r>
      <w:r w:rsidRPr="003B3476">
        <w:rPr>
          <w:vertAlign w:val="superscript"/>
          <w:lang w:val="fr-FR" w:eastAsia="fr-FR" w:bidi="fr-FR"/>
        </w:rPr>
        <w:t>e</w:t>
      </w:r>
      <w:r w:rsidRPr="003B3476">
        <w:rPr>
          <w:lang w:val="fr-FR" w:eastAsia="fr-FR" w:bidi="fr-FR"/>
        </w:rPr>
        <w:t xml:space="preserve"> siècle l’abbaye conservait, dans la première liasse de la layette cotée A 5, huit « originaux concernant les différends qui etoient entre les Dames de Chelles, d’une part, et les Maires, Jurez, Esche vins et commune du bourg de Chelles, d’autre part, touchant la justice et autres droits seigne</w:t>
      </w:r>
      <w:r w:rsidRPr="003B3476">
        <w:rPr>
          <w:lang w:val="fr-FR" w:eastAsia="fr-FR" w:bidi="fr-FR"/>
        </w:rPr>
        <w:t>u</w:t>
      </w:r>
      <w:r w:rsidRPr="003B3476">
        <w:rPr>
          <w:lang w:val="fr-FR" w:eastAsia="fr-FR" w:bidi="fr-FR"/>
        </w:rPr>
        <w:t>riaux dans le bourg » ; parmi ces documents figurait une pièce de l’année 1271 qui doit être le texte dont les gens de Chelles parlèrent au prévôt de Paris (Arch. de Seine-et-Marne, H 409, fol. 75).</w:t>
      </w:r>
    </w:p>
  </w:footnote>
  <w:footnote w:id="341">
    <w:p w14:paraId="299B7D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 </w:t>
      </w:r>
      <w:r w:rsidRPr="003B3476">
        <w:rPr>
          <w:rStyle w:val="Notedebasdepage265ptNonItaliquePetitesmajuscules"/>
          <w:b w:val="0"/>
          <w:i/>
          <w:iCs/>
          <w:sz w:val="24"/>
        </w:rPr>
        <w:t xml:space="preserve">Delisle, </w:t>
      </w:r>
      <w:r w:rsidRPr="003B3476">
        <w:rPr>
          <w:i/>
          <w:lang w:val="fr-FR" w:eastAsia="fr-FR" w:bidi="fr-FR"/>
        </w:rPr>
        <w:t>Catalogue des actes de Philippe-Auguste</w:t>
      </w:r>
      <w:r w:rsidRPr="003B3476">
        <w:rPr>
          <w:lang w:val="fr-FR" w:eastAsia="fr-FR" w:bidi="fr-FR"/>
        </w:rPr>
        <w:t>,</w:t>
      </w:r>
      <w:r w:rsidRPr="003B3476">
        <w:rPr>
          <w:bCs/>
        </w:rPr>
        <w:t xml:space="preserve"> n° 249.</w:t>
      </w:r>
    </w:p>
  </w:footnote>
  <w:footnote w:id="342">
    <w:p w14:paraId="4D205A5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supra</w:t>
      </w:r>
      <w:r w:rsidRPr="003B3476">
        <w:rPr>
          <w:lang w:val="fr-FR" w:eastAsia="fr-FR" w:bidi="fr-FR"/>
        </w:rPr>
        <w:t>, p. 678 et n. 1.</w:t>
      </w:r>
    </w:p>
  </w:footnote>
  <w:footnote w:id="343">
    <w:p w14:paraId="6D36898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Les Régions de la France</w:t>
      </w:r>
      <w:r w:rsidRPr="003B3476">
        <w:rPr>
          <w:bCs/>
        </w:rPr>
        <w:t xml:space="preserve">, </w:t>
      </w:r>
      <w:r w:rsidRPr="003B3476">
        <w:rPr>
          <w:bCs/>
          <w:i/>
        </w:rPr>
        <w:t>IX, L’Île-de-France</w:t>
      </w:r>
      <w:r w:rsidRPr="003B3476">
        <w:rPr>
          <w:bCs/>
        </w:rPr>
        <w:t>,</w:t>
      </w:r>
      <w:r w:rsidRPr="003B3476">
        <w:rPr>
          <w:lang w:val="fr-FR" w:eastAsia="fr-FR" w:bidi="fr-FR"/>
        </w:rPr>
        <w:t xml:space="preserve"> « Bibliothèque de Synthèse historique », Paris, 1913, 136 p.</w:t>
      </w:r>
    </w:p>
  </w:footnote>
  <w:footnote w:id="344">
    <w:p w14:paraId="6046FCA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l’histoire des noms de France et d’Île-de-France, les travaux essentiels sont les trois mémoires suivants : Benjamin </w:t>
      </w:r>
      <w:r w:rsidRPr="003B3476">
        <w:rPr>
          <w:bCs/>
          <w:smallCaps/>
        </w:rPr>
        <w:t>Guérard</w:t>
      </w:r>
      <w:r w:rsidRPr="003B3476">
        <w:rPr>
          <w:bCs/>
        </w:rPr>
        <w:t xml:space="preserve">, </w:t>
      </w:r>
      <w:r w:rsidRPr="003B3476">
        <w:rPr>
          <w:rStyle w:val="Notedebasdepage65ptNonGrasItaliquePetitesmajuscules"/>
          <w:b w:val="0"/>
          <w:bCs w:val="0"/>
          <w:smallCaps w:val="0"/>
          <w:sz w:val="24"/>
        </w:rPr>
        <w:t xml:space="preserve">Du </w:t>
      </w:r>
      <w:r w:rsidRPr="003B3476">
        <w:rPr>
          <w:bCs/>
          <w:i/>
        </w:rPr>
        <w:t>nom de France et des différents pays auxquels il fut appliqué</w:t>
      </w:r>
      <w:r w:rsidRPr="003B3476">
        <w:rPr>
          <w:bCs/>
        </w:rPr>
        <w:t>,</w:t>
      </w:r>
      <w:r w:rsidRPr="003B3476">
        <w:rPr>
          <w:lang w:val="fr-FR" w:eastAsia="fr-FR" w:bidi="fr-FR"/>
        </w:rPr>
        <w:t xml:space="preserve"> dans </w:t>
      </w:r>
      <w:r w:rsidRPr="003B3476">
        <w:rPr>
          <w:bCs/>
          <w:i/>
        </w:rPr>
        <w:t>Annuaire de la Soc. de l’Hist. de France pour 1849</w:t>
      </w:r>
      <w:r w:rsidRPr="003B3476">
        <w:rPr>
          <w:lang w:val="fr-FR" w:eastAsia="fr-FR" w:bidi="fr-FR"/>
        </w:rPr>
        <w:t xml:space="preserve"> p. 152-168 ; Aug. </w:t>
      </w:r>
      <w:r w:rsidRPr="003B3476">
        <w:rPr>
          <w:bCs/>
          <w:smallCaps/>
        </w:rPr>
        <w:t>Longnon</w:t>
      </w:r>
      <w:r w:rsidRPr="003B3476">
        <w:rPr>
          <w:bCs/>
        </w:rPr>
        <w:t xml:space="preserve">, </w:t>
      </w:r>
      <w:r w:rsidRPr="003B3476">
        <w:rPr>
          <w:bCs/>
          <w:i/>
        </w:rPr>
        <w:t>L’Île-de-France, son origine, ses limites, ses gouverneurs</w:t>
      </w:r>
      <w:r w:rsidRPr="003B3476">
        <w:rPr>
          <w:bCs/>
        </w:rPr>
        <w:t>,</w:t>
      </w:r>
      <w:r w:rsidRPr="003B3476">
        <w:rPr>
          <w:lang w:val="fr-FR" w:eastAsia="fr-FR" w:bidi="fr-FR"/>
        </w:rPr>
        <w:t xml:space="preserve"> dans </w:t>
      </w:r>
      <w:r w:rsidRPr="003B3476">
        <w:rPr>
          <w:bCs/>
          <w:i/>
        </w:rPr>
        <w:t>Mém. de la Soc. de l’Hist. de Paris,</w:t>
      </w:r>
      <w:r w:rsidRPr="003B3476">
        <w:rPr>
          <w:bCs/>
        </w:rPr>
        <w:t xml:space="preserve"> </w:t>
      </w:r>
      <w:r w:rsidRPr="003B3476">
        <w:rPr>
          <w:lang w:val="fr-FR" w:eastAsia="fr-FR" w:bidi="fr-FR"/>
        </w:rPr>
        <w:t xml:space="preserve">t. 1,1875, p. 1-43, avec carte ; Lucien </w:t>
      </w:r>
      <w:r w:rsidRPr="003B3476">
        <w:rPr>
          <w:bCs/>
          <w:smallCaps/>
        </w:rPr>
        <w:t>Gallois</w:t>
      </w:r>
      <w:r w:rsidRPr="003B3476">
        <w:rPr>
          <w:bCs/>
        </w:rPr>
        <w:t xml:space="preserve">, </w:t>
      </w:r>
      <w:r w:rsidRPr="003B3476">
        <w:rPr>
          <w:bCs/>
          <w:i/>
        </w:rPr>
        <w:t>Une région naturelle française. Le Pays de France</w:t>
      </w:r>
      <w:r w:rsidRPr="003B3476">
        <w:rPr>
          <w:bCs/>
        </w:rPr>
        <w:t xml:space="preserve">, </w:t>
      </w:r>
      <w:r w:rsidRPr="003B3476">
        <w:rPr>
          <w:lang w:val="fr-FR" w:eastAsia="fr-FR" w:bidi="fr-FR"/>
        </w:rPr>
        <w:t xml:space="preserve">dans </w:t>
      </w:r>
      <w:r w:rsidRPr="003B3476">
        <w:rPr>
          <w:bCs/>
          <w:i/>
        </w:rPr>
        <w:t>Atti Cong. Intern. di Scienze Storiche</w:t>
      </w:r>
      <w:r w:rsidRPr="003B3476">
        <w:rPr>
          <w:bCs/>
        </w:rPr>
        <w:t>,</w:t>
      </w:r>
      <w:r w:rsidRPr="003B3476">
        <w:rPr>
          <w:lang w:val="fr-FR" w:eastAsia="fr-FR" w:bidi="fr-FR"/>
        </w:rPr>
        <w:t xml:space="preserve"> t. X, Rome, 1904, p. 19-24, article repris dans le livre du même auteur : </w:t>
      </w:r>
      <w:r w:rsidRPr="003B3476">
        <w:rPr>
          <w:bCs/>
          <w:i/>
        </w:rPr>
        <w:t>Régions naturelles et Noms de Pays. Étude sur la région parisienne</w:t>
      </w:r>
      <w:r w:rsidRPr="003B3476">
        <w:rPr>
          <w:bCs/>
        </w:rPr>
        <w:t>,</w:t>
      </w:r>
      <w:r w:rsidRPr="003B3476">
        <w:rPr>
          <w:lang w:val="fr-FR" w:eastAsia="fr-FR" w:bidi="fr-FR"/>
        </w:rPr>
        <w:t xml:space="preserve"> in-8°, Paris, 1908, p. 180-192, chap. </w:t>
      </w:r>
      <w:r w:rsidRPr="003B3476">
        <w:rPr>
          <w:smallCaps/>
          <w:lang w:val="fr-FR" w:eastAsia="fr-FR" w:bidi="fr-FR"/>
        </w:rPr>
        <w:t>ix </w:t>
      </w:r>
      <w:r w:rsidRPr="003B3476">
        <w:rPr>
          <w:lang w:val="fr-FR" w:eastAsia="fr-FR" w:bidi="fr-FR"/>
        </w:rPr>
        <w:t xml:space="preserve">: </w:t>
      </w:r>
      <w:r w:rsidRPr="003B3476">
        <w:rPr>
          <w:bCs/>
          <w:i/>
        </w:rPr>
        <w:t>La France. Le Parisis</w:t>
      </w:r>
      <w:r w:rsidRPr="003B3476">
        <w:rPr>
          <w:bCs/>
        </w:rPr>
        <w:t>.</w:t>
      </w:r>
      <w:r w:rsidRPr="003B3476">
        <w:rPr>
          <w:lang w:val="fr-FR" w:eastAsia="fr-FR" w:bidi="fr-FR"/>
        </w:rPr>
        <w:t xml:space="preserve"> On consultera également avec profit A. de </w:t>
      </w:r>
      <w:r w:rsidRPr="003B3476">
        <w:rPr>
          <w:bCs/>
          <w:smallCaps/>
        </w:rPr>
        <w:t>Valesio</w:t>
      </w:r>
      <w:r w:rsidRPr="003B3476">
        <w:rPr>
          <w:bCs/>
        </w:rPr>
        <w:t xml:space="preserve">, </w:t>
      </w:r>
      <w:r w:rsidRPr="003B3476">
        <w:rPr>
          <w:bCs/>
          <w:i/>
        </w:rPr>
        <w:t>Notitia Galliarum</w:t>
      </w:r>
      <w:r w:rsidRPr="003B3476">
        <w:rPr>
          <w:bCs/>
        </w:rPr>
        <w:t>,</w:t>
      </w:r>
      <w:r w:rsidRPr="003B3476">
        <w:rPr>
          <w:lang w:val="fr-FR" w:eastAsia="fr-FR" w:bidi="fr-FR"/>
        </w:rPr>
        <w:t xml:space="preserve"> in-folio, Paris, 1675, p. 200-208 ; Félix </w:t>
      </w:r>
      <w:r w:rsidRPr="003B3476">
        <w:rPr>
          <w:bCs/>
          <w:smallCaps/>
        </w:rPr>
        <w:t>Bourquelot</w:t>
      </w:r>
      <w:r w:rsidRPr="003B3476">
        <w:rPr>
          <w:bCs/>
        </w:rPr>
        <w:t xml:space="preserve">, </w:t>
      </w:r>
      <w:r w:rsidRPr="003B3476">
        <w:rPr>
          <w:bCs/>
          <w:i/>
        </w:rPr>
        <w:t>Sens des mots France et Neustrie sous le régime mér</w:t>
      </w:r>
      <w:r w:rsidRPr="003B3476">
        <w:rPr>
          <w:bCs/>
          <w:i/>
        </w:rPr>
        <w:t>o</w:t>
      </w:r>
      <w:r w:rsidRPr="003B3476">
        <w:rPr>
          <w:bCs/>
          <w:i/>
        </w:rPr>
        <w:t>vingien</w:t>
      </w:r>
      <w:r w:rsidRPr="003B3476">
        <w:rPr>
          <w:bCs/>
        </w:rPr>
        <w:t>,</w:t>
      </w:r>
      <w:r w:rsidRPr="003B3476">
        <w:rPr>
          <w:lang w:val="fr-FR" w:eastAsia="fr-FR" w:bidi="fr-FR"/>
        </w:rPr>
        <w:t xml:space="preserve"> dans </w:t>
      </w:r>
      <w:r w:rsidRPr="003B3476">
        <w:rPr>
          <w:bCs/>
          <w:i/>
        </w:rPr>
        <w:t>Bibl. de l’Éc. des Chartes</w:t>
      </w:r>
      <w:r w:rsidRPr="003B3476">
        <w:rPr>
          <w:bCs/>
        </w:rPr>
        <w:t>,</w:t>
      </w:r>
      <w:r w:rsidRPr="003B3476">
        <w:rPr>
          <w:lang w:val="fr-FR" w:eastAsia="fr-FR" w:bidi="fr-FR"/>
        </w:rPr>
        <w:t xml:space="preserve"> 6</w:t>
      </w:r>
      <w:r w:rsidRPr="003B3476">
        <w:rPr>
          <w:vertAlign w:val="superscript"/>
          <w:lang w:val="fr-FR" w:eastAsia="fr-FR" w:bidi="fr-FR"/>
        </w:rPr>
        <w:t>e</w:t>
      </w:r>
      <w:r w:rsidRPr="003B3476">
        <w:rPr>
          <w:lang w:val="fr-FR" w:eastAsia="fr-FR" w:bidi="fr-FR"/>
        </w:rPr>
        <w:t xml:space="preserve"> série, t. I, 26</w:t>
      </w:r>
      <w:r w:rsidRPr="003B3476">
        <w:rPr>
          <w:vertAlign w:val="superscript"/>
          <w:lang w:val="fr-FR" w:eastAsia="fr-FR" w:bidi="fr-FR"/>
        </w:rPr>
        <w:t>e</w:t>
      </w:r>
      <w:r w:rsidRPr="003B3476">
        <w:rPr>
          <w:lang w:val="fr-FR" w:eastAsia="fr-FR" w:bidi="fr-FR"/>
        </w:rPr>
        <w:t xml:space="preserve"> année, 1865, p. 566-574 ; Aug. </w:t>
      </w:r>
      <w:r w:rsidRPr="003B3476">
        <w:rPr>
          <w:bCs/>
          <w:smallCaps/>
        </w:rPr>
        <w:t>Longnon</w:t>
      </w:r>
      <w:r w:rsidRPr="003B3476">
        <w:rPr>
          <w:bCs/>
        </w:rPr>
        <w:t xml:space="preserve">, </w:t>
      </w:r>
      <w:r w:rsidRPr="003B3476">
        <w:rPr>
          <w:bCs/>
          <w:i/>
        </w:rPr>
        <w:t>Géographie de la Gaule au VI</w:t>
      </w:r>
      <w:r w:rsidRPr="003B3476">
        <w:rPr>
          <w:bCs/>
          <w:i/>
          <w:vertAlign w:val="superscript"/>
        </w:rPr>
        <w:t>e</w:t>
      </w:r>
      <w:r w:rsidRPr="003B3476">
        <w:rPr>
          <w:bCs/>
          <w:i/>
        </w:rPr>
        <w:t xml:space="preserve"> siècle</w:t>
      </w:r>
      <w:r w:rsidRPr="003B3476">
        <w:rPr>
          <w:bCs/>
        </w:rPr>
        <w:t>,</w:t>
      </w:r>
      <w:r w:rsidRPr="003B3476">
        <w:rPr>
          <w:lang w:val="fr-FR" w:eastAsia="fr-FR" w:bidi="fr-FR"/>
        </w:rPr>
        <w:t xml:space="preserve"> in-8°, Paris, 1878, p. 192-193, et </w:t>
      </w:r>
      <w:r w:rsidRPr="003B3476">
        <w:rPr>
          <w:bCs/>
          <w:i/>
        </w:rPr>
        <w:t>Atlas historique de la France, Texte explicatif</w:t>
      </w:r>
      <w:r w:rsidRPr="003B3476">
        <w:rPr>
          <w:bCs/>
        </w:rPr>
        <w:t>,</w:t>
      </w:r>
      <w:r w:rsidRPr="003B3476">
        <w:rPr>
          <w:lang w:val="fr-FR" w:eastAsia="fr-FR" w:bidi="fr-FR"/>
        </w:rPr>
        <w:t xml:space="preserve"> gr. in-8°, Paris, 1907, p. 48 ; </w:t>
      </w:r>
      <w:r w:rsidRPr="003B3476">
        <w:rPr>
          <w:bCs/>
          <w:smallCaps/>
        </w:rPr>
        <w:t>Pauly-Wissowa</w:t>
      </w:r>
      <w:r w:rsidRPr="003B3476">
        <w:rPr>
          <w:bCs/>
        </w:rPr>
        <w:t xml:space="preserve">, </w:t>
      </w:r>
      <w:r w:rsidRPr="003B3476">
        <w:rPr>
          <w:bCs/>
          <w:i/>
        </w:rPr>
        <w:t>Real-Encyclopädie der classischen A</w:t>
      </w:r>
      <w:r w:rsidRPr="003B3476">
        <w:rPr>
          <w:bCs/>
          <w:i/>
        </w:rPr>
        <w:t>l</w:t>
      </w:r>
      <w:r w:rsidRPr="003B3476">
        <w:rPr>
          <w:bCs/>
          <w:i/>
        </w:rPr>
        <w:t>tertumswissenschaft</w:t>
      </w:r>
      <w:r w:rsidRPr="003B3476">
        <w:rPr>
          <w:bCs/>
        </w:rPr>
        <w:t>,</w:t>
      </w:r>
      <w:r w:rsidRPr="003B3476">
        <w:rPr>
          <w:lang w:val="fr-FR" w:eastAsia="fr-FR" w:bidi="fr-FR"/>
        </w:rPr>
        <w:t xml:space="preserve"> au mot </w:t>
      </w:r>
      <w:r w:rsidRPr="003B3476">
        <w:rPr>
          <w:bCs/>
        </w:rPr>
        <w:t>Franci</w:t>
      </w:r>
      <w:r w:rsidRPr="003B3476">
        <w:rPr>
          <w:lang w:val="fr-FR" w:eastAsia="fr-FR" w:bidi="fr-FR"/>
        </w:rPr>
        <w:t xml:space="preserve"> (t. VII, p. 82-87) ; Louis </w:t>
      </w:r>
      <w:r w:rsidRPr="003B3476">
        <w:rPr>
          <w:bCs/>
          <w:smallCaps/>
        </w:rPr>
        <w:t>Halphen</w:t>
      </w:r>
      <w:r w:rsidRPr="003B3476">
        <w:rPr>
          <w:bCs/>
        </w:rPr>
        <w:t xml:space="preserve">, </w:t>
      </w:r>
      <w:r w:rsidRPr="003B3476">
        <w:rPr>
          <w:bCs/>
          <w:i/>
        </w:rPr>
        <w:t>La royauté française au XI</w:t>
      </w:r>
      <w:r w:rsidRPr="003B3476">
        <w:rPr>
          <w:bCs/>
          <w:i/>
          <w:vertAlign w:val="superscript"/>
        </w:rPr>
        <w:t>e</w:t>
      </w:r>
      <w:r w:rsidRPr="003B3476">
        <w:rPr>
          <w:bCs/>
          <w:i/>
        </w:rPr>
        <w:t xml:space="preserve"> siècle d'après un ouvrage récent</w:t>
      </w:r>
      <w:r w:rsidRPr="003B3476">
        <w:rPr>
          <w:bCs/>
        </w:rPr>
        <w:t>,</w:t>
      </w:r>
      <w:r w:rsidRPr="003B3476">
        <w:rPr>
          <w:lang w:val="fr-FR" w:eastAsia="fr-FR" w:bidi="fr-FR"/>
        </w:rPr>
        <w:t xml:space="preserve"> dans </w:t>
      </w:r>
      <w:r w:rsidRPr="003B3476">
        <w:rPr>
          <w:bCs/>
          <w:i/>
        </w:rPr>
        <w:t>Revue histor</w:t>
      </w:r>
      <w:r w:rsidRPr="003B3476">
        <w:rPr>
          <w:bCs/>
        </w:rPr>
        <w:t>.,</w:t>
      </w:r>
      <w:r w:rsidRPr="003B3476">
        <w:rPr>
          <w:lang w:val="fr-FR" w:eastAsia="fr-FR" w:bidi="fr-FR"/>
        </w:rPr>
        <w:t xml:space="preserve"> t. LXXXV, mai-août 1904, p. 275-287 ; </w:t>
      </w:r>
      <w:r w:rsidRPr="003B3476">
        <w:rPr>
          <w:bCs/>
          <w:i/>
        </w:rPr>
        <w:t>Œuvres de Froissard</w:t>
      </w:r>
      <w:r w:rsidRPr="003B3476">
        <w:rPr>
          <w:bCs/>
        </w:rPr>
        <w:t>,</w:t>
      </w:r>
      <w:r w:rsidRPr="003B3476">
        <w:rPr>
          <w:lang w:val="fr-FR" w:eastAsia="fr-FR" w:bidi="fr-FR"/>
        </w:rPr>
        <w:t xml:space="preserve"> éd. </w:t>
      </w:r>
      <w:r w:rsidRPr="003B3476">
        <w:rPr>
          <w:bCs/>
          <w:smallCaps/>
        </w:rPr>
        <w:t xml:space="preserve">Kervyn </w:t>
      </w:r>
      <w:r w:rsidRPr="003B3476">
        <w:rPr>
          <w:smallCaps/>
          <w:lang w:val="fr-FR" w:eastAsia="fr-FR" w:bidi="fr-FR"/>
        </w:rPr>
        <w:t xml:space="preserve">de </w:t>
      </w:r>
      <w:r w:rsidRPr="003B3476">
        <w:rPr>
          <w:bCs/>
          <w:smallCaps/>
        </w:rPr>
        <w:t>Lettenhove</w:t>
      </w:r>
      <w:r w:rsidRPr="003B3476">
        <w:rPr>
          <w:bCs/>
        </w:rPr>
        <w:t xml:space="preserve">, </w:t>
      </w:r>
      <w:r w:rsidRPr="003B3476">
        <w:rPr>
          <w:bCs/>
          <w:i/>
        </w:rPr>
        <w:t>Chroniques</w:t>
      </w:r>
      <w:r w:rsidRPr="003B3476">
        <w:rPr>
          <w:bCs/>
        </w:rPr>
        <w:t>,</w:t>
      </w:r>
      <w:r w:rsidRPr="003B3476">
        <w:rPr>
          <w:lang w:val="fr-FR" w:eastAsia="fr-FR" w:bidi="fr-FR"/>
        </w:rPr>
        <w:t xml:space="preserve"> t. XXIV, in-8°, Bruxelles, 1877, p. 319. On devra aussi consulter les travaux relatifs au problème du « duché de France », que l’on trouvera indiqués </w:t>
      </w:r>
      <w:r w:rsidRPr="003B3476">
        <w:rPr>
          <w:bCs/>
          <w:i/>
        </w:rPr>
        <w:t>infra.</w:t>
      </w:r>
      <w:r w:rsidRPr="003B3476">
        <w:rPr>
          <w:bCs/>
        </w:rPr>
        <w:t>,</w:t>
      </w:r>
      <w:r w:rsidRPr="003B3476">
        <w:rPr>
          <w:lang w:val="fr-FR" w:eastAsia="fr-FR" w:bidi="fr-FR"/>
        </w:rPr>
        <w:t xml:space="preserve"> p. 694, n. 1. Je me suis largement inspiré, dans mon étude sur </w:t>
      </w:r>
      <w:r w:rsidRPr="003B3476">
        <w:rPr>
          <w:bCs/>
          <w:i/>
        </w:rPr>
        <w:t>Le nom d'Île-de-France</w:t>
      </w:r>
      <w:r w:rsidRPr="003B3476">
        <w:rPr>
          <w:lang w:val="fr-FR" w:eastAsia="fr-FR" w:bidi="fr-FR"/>
        </w:rPr>
        <w:t xml:space="preserve"> des mémoires de M. Longnon et de M. Gallois, auxquels le lecteur est prié de se reporter, toutes les fois qu’il ne tro</w:t>
      </w:r>
      <w:r w:rsidRPr="003B3476">
        <w:rPr>
          <w:lang w:val="fr-FR" w:eastAsia="fr-FR" w:bidi="fr-FR"/>
        </w:rPr>
        <w:t>u</w:t>
      </w:r>
      <w:r w:rsidRPr="003B3476">
        <w:rPr>
          <w:lang w:val="fr-FR" w:eastAsia="fr-FR" w:bidi="fr-FR"/>
        </w:rPr>
        <w:t xml:space="preserve">vera pas de référence particulière indiquée au bas de la page. Toutefois j’ai cru devoir me séparer d’eux sur plusieurs points. Pour qui s’attacherait à élucider de façon définitive ce difficile problème de l’histoire du nom de France, le travail essentiel devrait être de relever et surtout de classer les textes du Moyen Age où ce nom paraît. </w:t>
      </w:r>
      <w:r w:rsidRPr="003B3476">
        <w:rPr>
          <w:i/>
          <w:lang w:val="fr-FR" w:eastAsia="fr-FR" w:bidi="fr-FR"/>
        </w:rPr>
        <w:t xml:space="preserve">La </w:t>
      </w:r>
      <w:r w:rsidRPr="003B3476">
        <w:rPr>
          <w:bCs/>
          <w:i/>
        </w:rPr>
        <w:t>Table des noms propres de toute nature compris dans les Chansons de Geste imprimées</w:t>
      </w:r>
      <w:r w:rsidRPr="003B3476">
        <w:rPr>
          <w:lang w:val="fr-FR" w:eastAsia="fr-FR" w:bidi="fr-FR"/>
        </w:rPr>
        <w:t xml:space="preserve"> qu’a dressée M. Ernest </w:t>
      </w:r>
      <w:r w:rsidRPr="003B3476">
        <w:rPr>
          <w:rStyle w:val="Notedebasdepage65ptPetitesmajuscules"/>
          <w:b w:val="0"/>
        </w:rPr>
        <w:t xml:space="preserve">Langlois </w:t>
      </w:r>
      <w:r w:rsidRPr="003B3476">
        <w:rPr>
          <w:lang w:val="fr-FR" w:eastAsia="fr-FR" w:bidi="fr-FR"/>
        </w:rPr>
        <w:t>(in-8°, Paris, 1904) rendrait de bien grands services à celui qui voudrait entr</w:t>
      </w:r>
      <w:r w:rsidRPr="003B3476">
        <w:rPr>
          <w:lang w:val="fr-FR" w:eastAsia="fr-FR" w:bidi="fr-FR"/>
        </w:rPr>
        <w:t>e</w:t>
      </w:r>
      <w:r w:rsidRPr="003B3476">
        <w:rPr>
          <w:lang w:val="fr-FR" w:eastAsia="fr-FR" w:bidi="fr-FR"/>
        </w:rPr>
        <w:t>prendre ce travail.</w:t>
      </w:r>
    </w:p>
  </w:footnote>
  <w:footnote w:id="345">
    <w:p w14:paraId="1E5748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Monachi Sangallensis de gestis Karoli imperatoris libri duo</w:t>
      </w:r>
      <w:r w:rsidRPr="003B3476">
        <w:rPr>
          <w:bCs/>
        </w:rPr>
        <w:t>.</w:t>
      </w:r>
      <w:r w:rsidRPr="003B3476">
        <w:rPr>
          <w:lang w:val="fr-FR" w:eastAsia="fr-FR" w:bidi="fr-FR"/>
        </w:rPr>
        <w:t xml:space="preserve"> </w:t>
      </w:r>
      <w:r w:rsidRPr="003B3476">
        <w:rPr>
          <w:rStyle w:val="Notedebasdepage65ptPetitesmajuscules"/>
          <w:b w:val="0"/>
          <w:sz w:val="24"/>
        </w:rPr>
        <w:t xml:space="preserve">Pertz, </w:t>
      </w:r>
      <w:r w:rsidRPr="003B3476">
        <w:rPr>
          <w:bCs/>
          <w:i/>
        </w:rPr>
        <w:t>Scriptor</w:t>
      </w:r>
      <w:r w:rsidRPr="003B3476">
        <w:rPr>
          <w:lang w:val="fr-FR" w:eastAsia="fr-FR" w:bidi="fr-FR"/>
        </w:rPr>
        <w:t xml:space="preserve">., II, </w:t>
      </w:r>
      <w:r w:rsidRPr="003B3476">
        <w:rPr>
          <w:bCs/>
        </w:rPr>
        <w:t xml:space="preserve">p. 735, </w:t>
      </w:r>
      <w:r w:rsidRPr="003B3476">
        <w:rPr>
          <w:lang w:val="fr-FR" w:eastAsia="fr-FR" w:bidi="fr-FR"/>
        </w:rPr>
        <w:t>11 : « Franciam vero interdum cum nominavero omnes cisalpinas pr</w:t>
      </w:r>
      <w:r w:rsidRPr="003B3476">
        <w:rPr>
          <w:lang w:val="fr-FR" w:eastAsia="fr-FR" w:bidi="fr-FR"/>
        </w:rPr>
        <w:t>o</w:t>
      </w:r>
      <w:r w:rsidRPr="003B3476">
        <w:rPr>
          <w:lang w:val="fr-FR" w:eastAsia="fr-FR" w:bidi="fr-FR"/>
        </w:rPr>
        <w:t>vincias significo. »</w:t>
      </w:r>
    </w:p>
  </w:footnote>
  <w:footnote w:id="346">
    <w:p w14:paraId="15924676" w14:textId="77777777" w:rsidR="00B9662D" w:rsidRPr="00F6777E" w:rsidRDefault="00B9662D" w:rsidP="00B9662D">
      <w:pPr>
        <w:pStyle w:val="Notedebasdepage"/>
        <w:rPr>
          <w:i/>
          <w:lang w:val="fr-FR"/>
        </w:rPr>
      </w:pPr>
      <w:r w:rsidRPr="003B3476">
        <w:rPr>
          <w:rStyle w:val="Appelnotedebasdep"/>
        </w:rPr>
        <w:footnoteRef/>
      </w:r>
      <w:r w:rsidRPr="003B3476">
        <w:t xml:space="preserve"> </w:t>
      </w:r>
      <w:r w:rsidRPr="003B3476">
        <w:rPr>
          <w:lang w:val="fr-FR"/>
        </w:rPr>
        <w:tab/>
      </w:r>
      <w:r w:rsidRPr="003B3476">
        <w:rPr>
          <w:i/>
          <w:lang w:val="fr-FR" w:eastAsia="fr-FR" w:bidi="fr-FR"/>
        </w:rPr>
        <w:t>In gloria confessorum</w:t>
      </w:r>
      <w:r w:rsidRPr="00F6777E">
        <w:rPr>
          <w:bCs/>
          <w:i/>
        </w:rPr>
        <w:t xml:space="preserve">, </w:t>
      </w:r>
      <w:r w:rsidRPr="00F6777E">
        <w:rPr>
          <w:rStyle w:val="Notedebasdepage265ptNonItalique"/>
          <w:b w:val="0"/>
          <w:i/>
          <w:iCs/>
          <w:sz w:val="24"/>
        </w:rPr>
        <w:t xml:space="preserve">c. 40, éd. </w:t>
      </w:r>
      <w:r w:rsidRPr="00F6777E">
        <w:rPr>
          <w:rStyle w:val="Notedebasdepage265ptNonItaliquePetitesmajuscules"/>
          <w:b w:val="0"/>
          <w:i/>
          <w:iCs/>
          <w:sz w:val="24"/>
        </w:rPr>
        <w:t xml:space="preserve">Arndt, </w:t>
      </w:r>
      <w:r w:rsidRPr="00F6777E">
        <w:rPr>
          <w:i/>
          <w:lang w:val="fr-FR" w:eastAsia="fr-FR" w:bidi="fr-FR"/>
        </w:rPr>
        <w:t>Mon. Germ. histor. Script, rer. germ.,</w:t>
      </w:r>
      <w:r w:rsidRPr="00F6777E">
        <w:rPr>
          <w:bCs/>
          <w:i/>
        </w:rPr>
        <w:t xml:space="preserve"> </w:t>
      </w:r>
      <w:r w:rsidRPr="00F6777E">
        <w:rPr>
          <w:rStyle w:val="Notedebasdepage265ptNonItalique"/>
          <w:b w:val="0"/>
          <w:i/>
          <w:iCs/>
          <w:sz w:val="24"/>
        </w:rPr>
        <w:t xml:space="preserve">t. I, </w:t>
      </w:r>
      <w:r w:rsidRPr="00F6777E">
        <w:rPr>
          <w:bCs/>
          <w:i/>
        </w:rPr>
        <w:t xml:space="preserve">p. </w:t>
      </w:r>
      <w:r w:rsidRPr="00F6777E">
        <w:rPr>
          <w:rStyle w:val="Notedebasdepage265ptNonItalique"/>
          <w:b w:val="0"/>
          <w:i/>
          <w:iCs/>
          <w:sz w:val="24"/>
        </w:rPr>
        <w:t>773.</w:t>
      </w:r>
    </w:p>
  </w:footnote>
  <w:footnote w:id="347">
    <w:p w14:paraId="27A5D4FE" w14:textId="77777777" w:rsidR="00B9662D" w:rsidRPr="003B3476" w:rsidRDefault="00B9662D" w:rsidP="00B9662D">
      <w:pPr>
        <w:pStyle w:val="Notedebasdepage"/>
        <w:rPr>
          <w:lang w:val="fr-FR"/>
        </w:rPr>
      </w:pPr>
      <w:r w:rsidRPr="003B3476">
        <w:rPr>
          <w:rStyle w:val="Appelnotedebasdep"/>
          <w:sz w:val="24"/>
        </w:rPr>
        <w:footnoteRef/>
      </w:r>
      <w:r w:rsidRPr="003B3476">
        <w:t xml:space="preserve"> </w:t>
      </w:r>
      <w:r w:rsidRPr="003B3476">
        <w:rPr>
          <w:lang w:val="fr-FR"/>
        </w:rPr>
        <w:tab/>
      </w:r>
      <w:r w:rsidRPr="003B3476">
        <w:rPr>
          <w:rStyle w:val="Notedebasdepage375ptItalique"/>
          <w:b w:val="0"/>
          <w:sz w:val="24"/>
        </w:rPr>
        <w:t>Hist. Francor.,</w:t>
      </w:r>
      <w:r w:rsidRPr="003B3476">
        <w:t xml:space="preserve"> </w:t>
      </w:r>
      <w:r w:rsidRPr="003B3476">
        <w:rPr>
          <w:lang w:val="fr-FR" w:eastAsia="fr-FR" w:bidi="fr-FR"/>
        </w:rPr>
        <w:t xml:space="preserve">1. </w:t>
      </w:r>
      <w:r w:rsidRPr="003B3476">
        <w:t xml:space="preserve">IV, </w:t>
      </w:r>
      <w:r w:rsidRPr="003B3476">
        <w:rPr>
          <w:lang w:val="fr-FR" w:eastAsia="fr-FR" w:bidi="fr-FR"/>
        </w:rPr>
        <w:t xml:space="preserve">c. 14, éd. </w:t>
      </w:r>
      <w:r w:rsidRPr="003B3476">
        <w:rPr>
          <w:smallCaps/>
        </w:rPr>
        <w:t>Arndt</w:t>
      </w:r>
      <w:r w:rsidRPr="003B3476">
        <w:t>,</w:t>
      </w:r>
      <w:r w:rsidRPr="003B3476">
        <w:rPr>
          <w:lang w:val="fr-FR" w:eastAsia="fr-FR" w:bidi="fr-FR"/>
        </w:rPr>
        <w:t xml:space="preserve"> p. 151.</w:t>
      </w:r>
    </w:p>
  </w:footnote>
  <w:footnote w:id="348">
    <w:p w14:paraId="1FE8C9A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On a pu supposer que la France (au sens restreint du mot) avait un moment, au X</w:t>
      </w:r>
      <w:r w:rsidRPr="003B3476">
        <w:rPr>
          <w:vertAlign w:val="superscript"/>
          <w:lang w:val="fr-FR" w:eastAsia="fr-FR" w:bidi="fr-FR"/>
        </w:rPr>
        <w:t>e</w:t>
      </w:r>
      <w:r w:rsidRPr="003B3476">
        <w:rPr>
          <w:lang w:val="fr-FR" w:eastAsia="fr-FR" w:bidi="fr-FR"/>
        </w:rPr>
        <w:t xml:space="preserve"> siècle, formé un duché territorial, analogue aux duchés de Bourgogne et d’Aquitaine et aux duchés allemands ; deux membres de la famille robertie</w:t>
      </w:r>
      <w:r w:rsidRPr="003B3476">
        <w:rPr>
          <w:lang w:val="fr-FR" w:eastAsia="fr-FR" w:bidi="fr-FR"/>
        </w:rPr>
        <w:t>n</w:t>
      </w:r>
      <w:r w:rsidRPr="003B3476">
        <w:rPr>
          <w:lang w:val="fr-FR" w:eastAsia="fr-FR" w:bidi="fr-FR"/>
        </w:rPr>
        <w:t>ne, Hugues le Grand et Hugues Capet, auraient été investis du duché de Fra</w:t>
      </w:r>
      <w:r w:rsidRPr="003B3476">
        <w:rPr>
          <w:lang w:val="fr-FR" w:eastAsia="fr-FR" w:bidi="fr-FR"/>
        </w:rPr>
        <w:t>n</w:t>
      </w:r>
      <w:r w:rsidRPr="003B3476">
        <w:rPr>
          <w:lang w:val="fr-FR" w:eastAsia="fr-FR" w:bidi="fr-FR"/>
        </w:rPr>
        <w:t>ce. Parmi les historiens modernes, le principal auteur qui ait défendu cette th</w:t>
      </w:r>
      <w:r w:rsidRPr="003B3476">
        <w:rPr>
          <w:lang w:val="fr-FR" w:eastAsia="fr-FR" w:bidi="fr-FR"/>
        </w:rPr>
        <w:t>è</w:t>
      </w:r>
      <w:r w:rsidRPr="003B3476">
        <w:rPr>
          <w:lang w:val="fr-FR" w:eastAsia="fr-FR" w:bidi="fr-FR"/>
        </w:rPr>
        <w:t xml:space="preserve">se est M. </w:t>
      </w:r>
      <w:r w:rsidRPr="003B3476">
        <w:rPr>
          <w:rStyle w:val="Notedebasdepage65ptPetitesmajuscules"/>
          <w:b w:val="0"/>
          <w:sz w:val="24"/>
        </w:rPr>
        <w:t xml:space="preserve">Pfister, </w:t>
      </w:r>
      <w:r w:rsidRPr="003B3476">
        <w:rPr>
          <w:lang w:val="fr-FR" w:eastAsia="fr-FR" w:bidi="fr-FR"/>
        </w:rPr>
        <w:t xml:space="preserve">dans ses </w:t>
      </w:r>
      <w:r w:rsidRPr="003B3476">
        <w:rPr>
          <w:bCs/>
          <w:i/>
        </w:rPr>
        <w:t>Études sur le règne de Robert le Pieux</w:t>
      </w:r>
      <w:r w:rsidRPr="003B3476">
        <w:rPr>
          <w:lang w:val="fr-FR" w:eastAsia="fr-FR" w:bidi="fr-FR"/>
        </w:rPr>
        <w:t>, in-8°, P</w:t>
      </w:r>
      <w:r w:rsidRPr="003B3476">
        <w:rPr>
          <w:lang w:val="fr-FR" w:eastAsia="fr-FR" w:bidi="fr-FR"/>
        </w:rPr>
        <w:t>a</w:t>
      </w:r>
      <w:r w:rsidRPr="003B3476">
        <w:rPr>
          <w:lang w:val="fr-FR" w:eastAsia="fr-FR" w:bidi="fr-FR"/>
        </w:rPr>
        <w:t>ris, 1885 (Biblioth. de l’Éc. des Hautes Études, fasc. 64), livre II, chap. </w:t>
      </w:r>
      <w:r w:rsidRPr="003B3476">
        <w:rPr>
          <w:smallCaps/>
          <w:lang w:val="fr-FR" w:eastAsia="fr-FR" w:bidi="fr-FR"/>
        </w:rPr>
        <w:t>ii </w:t>
      </w:r>
      <w:r w:rsidRPr="003B3476">
        <w:rPr>
          <w:lang w:val="fr-FR" w:eastAsia="fr-FR" w:bidi="fr-FR"/>
        </w:rPr>
        <w:t xml:space="preserve">: </w:t>
      </w:r>
      <w:r w:rsidRPr="003B3476">
        <w:rPr>
          <w:bCs/>
          <w:i/>
        </w:rPr>
        <w:t>Le duché de Francia</w:t>
      </w:r>
      <w:r w:rsidRPr="003B3476">
        <w:rPr>
          <w:bCs/>
        </w:rPr>
        <w:t>.</w:t>
      </w:r>
      <w:r w:rsidRPr="003B3476">
        <w:rPr>
          <w:lang w:val="fr-FR" w:eastAsia="fr-FR" w:bidi="fr-FR"/>
        </w:rPr>
        <w:t xml:space="preserve"> Mais plusieurs historiens donnent du titre de « dux Franc</w:t>
      </w:r>
      <w:r w:rsidRPr="003B3476">
        <w:rPr>
          <w:lang w:val="fr-FR" w:eastAsia="fr-FR" w:bidi="fr-FR"/>
        </w:rPr>
        <w:t>o</w:t>
      </w:r>
      <w:r w:rsidRPr="003B3476">
        <w:rPr>
          <w:lang w:val="fr-FR" w:eastAsia="fr-FR" w:bidi="fr-FR"/>
        </w:rPr>
        <w:t xml:space="preserve">rum » que certains textes attribuent à Hugues le Grand et à Hugues Capet une interprétation différente ; ils y voient l’expression d’une sorte de vice-royauté sur le royaume tout entier. Cette opinion a été soutenue notamment par A. de </w:t>
      </w:r>
      <w:r w:rsidRPr="003B3476">
        <w:rPr>
          <w:rStyle w:val="Notedebasdepage65ptPetitesmajuscules"/>
          <w:b w:val="0"/>
          <w:sz w:val="24"/>
        </w:rPr>
        <w:t xml:space="preserve">Barthélemy, </w:t>
      </w:r>
      <w:r w:rsidRPr="003B3476">
        <w:rPr>
          <w:bCs/>
          <w:i/>
        </w:rPr>
        <w:t>Les origines de la maison de France</w:t>
      </w:r>
      <w:r w:rsidRPr="003B3476">
        <w:rPr>
          <w:lang w:val="fr-FR" w:eastAsia="fr-FR" w:bidi="fr-FR"/>
        </w:rPr>
        <w:t xml:space="preserve">, dans </w:t>
      </w:r>
      <w:r w:rsidRPr="003B3476">
        <w:rPr>
          <w:bCs/>
          <w:i/>
        </w:rPr>
        <w:t>Rev. des quest. hi</w:t>
      </w:r>
      <w:r w:rsidRPr="003B3476">
        <w:rPr>
          <w:bCs/>
          <w:i/>
        </w:rPr>
        <w:t>s</w:t>
      </w:r>
      <w:r w:rsidRPr="003B3476">
        <w:rPr>
          <w:bCs/>
          <w:i/>
        </w:rPr>
        <w:t>tor</w:t>
      </w:r>
      <w:r w:rsidRPr="003B3476">
        <w:rPr>
          <w:lang w:val="fr-FR" w:eastAsia="fr-FR" w:bidi="fr-FR"/>
        </w:rPr>
        <w:t xml:space="preserve">., t. XIII, 1873, p. 108-144 ; par M. </w:t>
      </w:r>
      <w:r w:rsidRPr="003B3476">
        <w:rPr>
          <w:rStyle w:val="Notedebasdepage65ptPetitesmajuscules"/>
          <w:b w:val="0"/>
          <w:sz w:val="24"/>
        </w:rPr>
        <w:t xml:space="preserve">Luchaire, </w:t>
      </w:r>
      <w:r w:rsidRPr="003B3476">
        <w:rPr>
          <w:bCs/>
          <w:i/>
        </w:rPr>
        <w:t>Histoire des institutions monarchiques de la France sous les premiers Capétiens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in-8°, Paris, 1881, t. I, p. 13, et par M. F. </w:t>
      </w:r>
      <w:r w:rsidRPr="003B3476">
        <w:rPr>
          <w:rStyle w:val="Notedebasdepage65ptPetitesmajuscules"/>
          <w:b w:val="0"/>
          <w:sz w:val="24"/>
        </w:rPr>
        <w:t xml:space="preserve">Lot, </w:t>
      </w:r>
      <w:r w:rsidRPr="003B3476">
        <w:rPr>
          <w:bCs/>
          <w:i/>
        </w:rPr>
        <w:t>Les Derniers Carolingiens</w:t>
      </w:r>
      <w:r w:rsidRPr="003B3476">
        <w:rPr>
          <w:lang w:val="fr-FR" w:eastAsia="fr-FR" w:bidi="fr-FR"/>
        </w:rPr>
        <w:t xml:space="preserve">, in-8°, Paris, 1891 (Biblioth. de l’Éc. des Hautes Études, fasc. 87), p. 173, n. 4. La thèse exposée par M. J. </w:t>
      </w:r>
      <w:r w:rsidRPr="003B3476">
        <w:rPr>
          <w:rStyle w:val="Notedebasdepage65ptPetitesmajuscules"/>
          <w:b w:val="0"/>
          <w:sz w:val="24"/>
        </w:rPr>
        <w:t xml:space="preserve">Flach </w:t>
      </w:r>
      <w:r w:rsidRPr="003B3476">
        <w:rPr>
          <w:lang w:val="fr-FR" w:eastAsia="fr-FR" w:bidi="fr-FR"/>
        </w:rPr>
        <w:t xml:space="preserve">au tome III de ses </w:t>
      </w:r>
      <w:r w:rsidRPr="003B3476">
        <w:rPr>
          <w:bCs/>
          <w:i/>
        </w:rPr>
        <w:t>Origines de l’Ancienne France</w:t>
      </w:r>
      <w:r w:rsidRPr="003B3476">
        <w:rPr>
          <w:lang w:val="fr-FR" w:eastAsia="fr-FR" w:bidi="fr-FR"/>
        </w:rPr>
        <w:t xml:space="preserve"> (in-8°, Paris, 1904) est trop complexe pour que je puisse la résumer ici ; elle a été attaquée par M. </w:t>
      </w:r>
      <w:r w:rsidRPr="003B3476">
        <w:rPr>
          <w:rStyle w:val="Notedebasdepage65ptPetitesmajuscules"/>
          <w:b w:val="0"/>
          <w:sz w:val="24"/>
        </w:rPr>
        <w:t>Halphen</w:t>
      </w:r>
      <w:r w:rsidRPr="003B3476">
        <w:rPr>
          <w:rStyle w:val="Notedebasdepage65ptPetitesmajuscules"/>
          <w:b w:val="0"/>
        </w:rPr>
        <w:t xml:space="preserve"> </w:t>
      </w:r>
      <w:r w:rsidRPr="003B3476">
        <w:rPr>
          <w:lang w:val="fr-FR" w:eastAsia="fr-FR" w:bidi="fr-FR"/>
        </w:rPr>
        <w:t>dans l’article cité p. 692, n. 2.</w:t>
      </w:r>
    </w:p>
  </w:footnote>
  <w:footnote w:id="349">
    <w:p w14:paraId="408BBF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p>
  </w:footnote>
  <w:footnote w:id="350">
    <w:p w14:paraId="4C3279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Éd. de </w:t>
      </w:r>
      <w:r w:rsidRPr="003B3476">
        <w:rPr>
          <w:rStyle w:val="Notedebasdepage65ptPetitesmajuscules"/>
          <w:b w:val="0"/>
          <w:sz w:val="24"/>
        </w:rPr>
        <w:t xml:space="preserve">Certain </w:t>
      </w:r>
      <w:r w:rsidRPr="003B3476">
        <w:rPr>
          <w:lang w:val="fr-FR" w:eastAsia="fr-FR" w:bidi="fr-FR"/>
        </w:rPr>
        <w:t>(Public, de la Soc. de l’Hist. de France), in-8°, Paris, 1858, p. 148.</w:t>
      </w:r>
    </w:p>
  </w:footnote>
  <w:footnote w:id="351">
    <w:p w14:paraId="477AF7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i/>
          <w:lang w:val="fr-FR" w:eastAsia="fr-FR" w:bidi="fr-FR"/>
        </w:rPr>
        <w:t>Recueil des Actes de Philippe I</w:t>
      </w:r>
      <w:r w:rsidRPr="003B3476">
        <w:rPr>
          <w:i/>
          <w:vertAlign w:val="superscript"/>
          <w:lang w:val="fr-FR" w:eastAsia="fr-FR" w:bidi="fr-FR"/>
        </w:rPr>
        <w:t>er</w:t>
      </w:r>
      <w:r w:rsidRPr="003B3476">
        <w:rPr>
          <w:lang w:val="fr-FR" w:eastAsia="fr-FR" w:bidi="fr-FR"/>
        </w:rPr>
        <w:t xml:space="preserve"> (</w:t>
      </w:r>
      <w:r w:rsidRPr="003B3476">
        <w:rPr>
          <w:i/>
          <w:lang w:val="fr-FR" w:eastAsia="fr-FR" w:bidi="fr-FR"/>
        </w:rPr>
        <w:t>Hist. de France</w:t>
      </w:r>
      <w:r w:rsidRPr="003B3476">
        <w:rPr>
          <w:bCs/>
        </w:rPr>
        <w:t>, nouv. série), p. 410.</w:t>
      </w:r>
    </w:p>
  </w:footnote>
  <w:footnote w:id="352">
    <w:p w14:paraId="5372AA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La vie de saint Thomas le Martyr</w:t>
      </w:r>
      <w:r w:rsidRPr="003B3476">
        <w:rPr>
          <w:i/>
          <w:lang w:val="fr-FR" w:eastAsia="fr-FR" w:bidi="fr-FR"/>
        </w:rPr>
        <w:t xml:space="preserve">, </w:t>
      </w:r>
      <w:r w:rsidRPr="003B3476">
        <w:rPr>
          <w:bCs/>
          <w:i/>
        </w:rPr>
        <w:t>archevêque de Canterbury</w:t>
      </w:r>
      <w:r w:rsidRPr="003B3476">
        <w:rPr>
          <w:lang w:val="fr-FR" w:eastAsia="fr-FR" w:bidi="fr-FR"/>
        </w:rPr>
        <w:t xml:space="preserve">, éd. C. </w:t>
      </w:r>
      <w:r w:rsidRPr="003B3476">
        <w:rPr>
          <w:rStyle w:val="Notedebasdepage65ptPetitesmajuscules"/>
          <w:b w:val="0"/>
          <w:sz w:val="24"/>
        </w:rPr>
        <w:t xml:space="preserve">Hippeau, </w:t>
      </w:r>
      <w:r w:rsidRPr="003B3476">
        <w:rPr>
          <w:lang w:val="fr-FR" w:eastAsia="fr-FR" w:bidi="fr-FR"/>
        </w:rPr>
        <w:t>in-8°, 1859 (Collection des poètes français du Moyen Âge, I), p. 205, v. 5820.</w:t>
      </w:r>
    </w:p>
  </w:footnote>
  <w:footnote w:id="353">
    <w:p w14:paraId="710A6A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 de France</w:t>
      </w:r>
      <w:r w:rsidRPr="003B3476">
        <w:t xml:space="preserve">, </w:t>
      </w:r>
      <w:r w:rsidRPr="003B3476">
        <w:rPr>
          <w:rStyle w:val="Notedebasdepage265ptNonItalique"/>
          <w:b w:val="0"/>
          <w:i/>
          <w:iCs/>
        </w:rPr>
        <w:t xml:space="preserve">t. </w:t>
      </w:r>
      <w:r w:rsidRPr="003B3476">
        <w:t xml:space="preserve">XXII, p. 623-672. </w:t>
      </w:r>
      <w:r w:rsidRPr="003B3476">
        <w:rPr>
          <w:i/>
          <w:lang w:val="fr-FR" w:eastAsia="fr-FR" w:bidi="fr-FR"/>
        </w:rPr>
        <w:t>Cf.</w:t>
      </w:r>
      <w:r w:rsidRPr="003B3476">
        <w:t xml:space="preserve"> </w:t>
      </w:r>
      <w:r w:rsidRPr="003B3476">
        <w:rPr>
          <w:rStyle w:val="Notedebasdepage265ptNonItaliquePetitesmajuscules"/>
          <w:b w:val="0"/>
          <w:iCs/>
          <w:sz w:val="24"/>
        </w:rPr>
        <w:t>Borrelli</w:t>
      </w:r>
      <w:r w:rsidRPr="003B3476">
        <w:rPr>
          <w:rStyle w:val="Notedebasdepage265ptNonItalique"/>
          <w:b w:val="0"/>
          <w:iCs/>
          <w:sz w:val="24"/>
        </w:rPr>
        <w:t xml:space="preserve"> de </w:t>
      </w:r>
      <w:r w:rsidRPr="003B3476">
        <w:rPr>
          <w:rStyle w:val="Notedebasdepage265ptNonItaliquePetitesmajuscules"/>
          <w:b w:val="0"/>
          <w:iCs/>
          <w:sz w:val="24"/>
        </w:rPr>
        <w:t>Serres</w:t>
      </w:r>
      <w:r w:rsidRPr="003B3476">
        <w:rPr>
          <w:rStyle w:val="Notedebasdepage265ptNonItaliquePetitesmajuscules"/>
          <w:b w:val="0"/>
          <w:i/>
          <w:iCs/>
          <w:sz w:val="24"/>
        </w:rPr>
        <w:t xml:space="preserve">, </w:t>
      </w:r>
      <w:r w:rsidRPr="003B3476">
        <w:rPr>
          <w:i/>
          <w:lang w:val="fr-FR" w:eastAsia="fr-FR" w:bidi="fr-FR"/>
        </w:rPr>
        <w:t>Recherches sur divers se</w:t>
      </w:r>
      <w:r w:rsidRPr="003B3476">
        <w:rPr>
          <w:i/>
          <w:lang w:val="fr-FR" w:eastAsia="fr-FR" w:bidi="fr-FR"/>
        </w:rPr>
        <w:t>r</w:t>
      </w:r>
      <w:r w:rsidRPr="003B3476">
        <w:rPr>
          <w:i/>
          <w:lang w:val="fr-FR" w:eastAsia="fr-FR" w:bidi="fr-FR"/>
        </w:rPr>
        <w:t>vices publics</w:t>
      </w:r>
      <w:r w:rsidRPr="003B3476">
        <w:t>, in-8°, Paris, 1895, p. 26-29.</w:t>
      </w:r>
    </w:p>
  </w:footnote>
  <w:footnote w:id="354">
    <w:p w14:paraId="37A14D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Bien entendu, il arrive que le terme de coutume de France désigne la coutume juridique du royaume tout entier. C’est le contexte qui permet de reconnaître le sens, large, ou restreint, qu’il faut attribuer à l’expression.</w:t>
      </w:r>
    </w:p>
  </w:footnote>
  <w:footnote w:id="355">
    <w:p w14:paraId="4234B33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Éd. </w:t>
      </w:r>
      <w:r w:rsidRPr="003B3476">
        <w:rPr>
          <w:rStyle w:val="Notedebasdepage265ptNonItaliquePetitesmajuscules"/>
          <w:b w:val="0"/>
          <w:iCs/>
          <w:sz w:val="24"/>
        </w:rPr>
        <w:t>Salmon</w:t>
      </w:r>
      <w:r w:rsidRPr="003B3476">
        <w:rPr>
          <w:rStyle w:val="Notedebasdepage265ptNonItaliquePetitesmajuscules"/>
          <w:b w:val="0"/>
          <w:i/>
          <w:iCs/>
          <w:sz w:val="24"/>
        </w:rPr>
        <w:t xml:space="preserve">, </w:t>
      </w:r>
      <w:r w:rsidRPr="003B3476">
        <w:rPr>
          <w:bCs/>
        </w:rPr>
        <w:t>t. II (</w:t>
      </w:r>
      <w:r w:rsidRPr="003B3476">
        <w:rPr>
          <w:i/>
          <w:lang w:val="fr-FR" w:eastAsia="fr-FR" w:bidi="fr-FR"/>
        </w:rPr>
        <w:t>Collect</w:t>
      </w:r>
      <w:r w:rsidRPr="003B3476">
        <w:rPr>
          <w:bCs/>
          <w:i/>
        </w:rPr>
        <w:t xml:space="preserve">. </w:t>
      </w:r>
      <w:r w:rsidRPr="003B3476">
        <w:rPr>
          <w:i/>
          <w:lang w:val="fr-FR" w:eastAsia="fr-FR" w:bidi="fr-FR"/>
        </w:rPr>
        <w:t>de textes pour servir à renseignement de l’histoire</w:t>
      </w:r>
      <w:r w:rsidRPr="003B3476">
        <w:rPr>
          <w:lang w:val="fr-FR" w:eastAsia="fr-FR" w:bidi="fr-FR"/>
        </w:rPr>
        <w:t>),</w:t>
      </w:r>
      <w:r w:rsidRPr="003B3476">
        <w:rPr>
          <w:bCs/>
        </w:rPr>
        <w:t xml:space="preserve"> in-8°, Paris, 1900, § 1780, p. 403.</w:t>
      </w:r>
    </w:p>
  </w:footnote>
  <w:footnote w:id="356">
    <w:p w14:paraId="7ACCD51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 la </w:t>
      </w:r>
      <w:r w:rsidRPr="003B3476">
        <w:rPr>
          <w:i/>
          <w:lang w:val="fr-FR" w:eastAsia="fr-FR" w:bidi="fr-FR"/>
        </w:rPr>
        <w:t>Table alphabétique des lieux régis par la coutume de Paris</w:t>
      </w:r>
      <w:r w:rsidRPr="003B3476">
        <w:rPr>
          <w:bCs/>
          <w:i/>
        </w:rPr>
        <w:t xml:space="preserve">, </w:t>
      </w:r>
      <w:r w:rsidRPr="00F6777E">
        <w:rPr>
          <w:bCs/>
        </w:rPr>
        <w:t>dans le</w:t>
      </w:r>
      <w:r w:rsidRPr="003B3476">
        <w:rPr>
          <w:bCs/>
          <w:i/>
        </w:rPr>
        <w:t xml:space="preserve"> </w:t>
      </w:r>
      <w:r w:rsidRPr="003B3476">
        <w:rPr>
          <w:i/>
          <w:lang w:val="fr-FR" w:eastAsia="fr-FR" w:bidi="fr-FR"/>
        </w:rPr>
        <w:t>Nouveau Coutumier Général</w:t>
      </w:r>
      <w:r w:rsidRPr="003B3476">
        <w:rPr>
          <w:lang w:val="fr-FR" w:eastAsia="fr-FR" w:bidi="fr-FR"/>
        </w:rPr>
        <w:t xml:space="preserve"> de</w:t>
      </w:r>
      <w:r w:rsidRPr="003B3476">
        <w:rPr>
          <w:bCs/>
        </w:rPr>
        <w:t xml:space="preserve"> </w:t>
      </w:r>
      <w:r w:rsidRPr="00F6777E">
        <w:rPr>
          <w:rStyle w:val="Notedebasdepage265ptNonItaliquePetitesmajuscules"/>
          <w:b w:val="0"/>
          <w:iCs/>
          <w:sz w:val="24"/>
        </w:rPr>
        <w:t>Bourdot de Richebourg</w:t>
      </w:r>
      <w:r w:rsidRPr="003B3476">
        <w:rPr>
          <w:rStyle w:val="Notedebasdepage265ptNonItaliquePetitesmajuscules"/>
          <w:b w:val="0"/>
          <w:i/>
          <w:iCs/>
          <w:sz w:val="24"/>
        </w:rPr>
        <w:t xml:space="preserve">, </w:t>
      </w:r>
      <w:r w:rsidRPr="003B3476">
        <w:rPr>
          <w:bCs/>
        </w:rPr>
        <w:t>t. III, in-folio, P</w:t>
      </w:r>
      <w:r w:rsidRPr="003B3476">
        <w:rPr>
          <w:bCs/>
        </w:rPr>
        <w:t>a</w:t>
      </w:r>
      <w:r w:rsidRPr="003B3476">
        <w:rPr>
          <w:bCs/>
        </w:rPr>
        <w:t>ris, 1724, p. 88-92.</w:t>
      </w:r>
    </w:p>
  </w:footnote>
  <w:footnote w:id="357">
    <w:p w14:paraId="1F18D55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n’ai pu me procurer l’ouvrage de </w:t>
      </w:r>
      <w:r w:rsidRPr="003B3476">
        <w:rPr>
          <w:rStyle w:val="Notedebasdepage65ptPetitesmajuscules"/>
          <w:b w:val="0"/>
          <w:sz w:val="24"/>
        </w:rPr>
        <w:t xml:space="preserve">Servais, </w:t>
      </w:r>
      <w:r w:rsidRPr="003B3476">
        <w:rPr>
          <w:bCs/>
          <w:i/>
        </w:rPr>
        <w:t>La Neustrie sous les Mérovi</w:t>
      </w:r>
      <w:r w:rsidRPr="003B3476">
        <w:rPr>
          <w:bCs/>
          <w:i/>
        </w:rPr>
        <w:t>n</w:t>
      </w:r>
      <w:r w:rsidRPr="003B3476">
        <w:rPr>
          <w:bCs/>
          <w:i/>
        </w:rPr>
        <w:t>giens</w:t>
      </w:r>
      <w:r w:rsidRPr="003B3476">
        <w:rPr>
          <w:lang w:val="fr-FR" w:eastAsia="fr-FR" w:bidi="fr-FR"/>
        </w:rPr>
        <w:t>, Turin, 1889.</w:t>
      </w:r>
    </w:p>
  </w:footnote>
  <w:footnote w:id="358">
    <w:p w14:paraId="16BC29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ces mots de Hérupe et de Hurepoix, voir (outre le mémoire de M. </w:t>
      </w:r>
      <w:r w:rsidRPr="003B3476">
        <w:rPr>
          <w:rStyle w:val="Notedebasdepage65ptPetitesmajuscules"/>
          <w:b w:val="0"/>
          <w:sz w:val="24"/>
        </w:rPr>
        <w:t xml:space="preserve">Longnon, </w:t>
      </w:r>
      <w:r w:rsidRPr="003B3476">
        <w:rPr>
          <w:lang w:val="fr-FR" w:eastAsia="fr-FR" w:bidi="fr-FR"/>
        </w:rPr>
        <w:t xml:space="preserve">cité p. 692, n. 2, et la </w:t>
      </w:r>
      <w:r w:rsidRPr="003B3476">
        <w:rPr>
          <w:bCs/>
          <w:i/>
        </w:rPr>
        <w:t>Table des noms propres</w:t>
      </w:r>
      <w:r w:rsidRPr="003B3476">
        <w:rPr>
          <w:lang w:val="fr-FR" w:eastAsia="fr-FR" w:bidi="fr-FR"/>
        </w:rPr>
        <w:t xml:space="preserve"> de M. E. </w:t>
      </w:r>
      <w:r w:rsidRPr="003B3476">
        <w:rPr>
          <w:rStyle w:val="Notedebasdepage65ptPetitesmajuscules"/>
          <w:b w:val="0"/>
          <w:sz w:val="24"/>
        </w:rPr>
        <w:t>La</w:t>
      </w:r>
      <w:r w:rsidRPr="003B3476">
        <w:rPr>
          <w:rStyle w:val="Notedebasdepage65ptPetitesmajuscules"/>
          <w:b w:val="0"/>
          <w:sz w:val="24"/>
        </w:rPr>
        <w:t>n</w:t>
      </w:r>
      <w:r w:rsidRPr="003B3476">
        <w:rPr>
          <w:rStyle w:val="Notedebasdepage65ptPetitesmajuscules"/>
          <w:b w:val="0"/>
          <w:sz w:val="24"/>
        </w:rPr>
        <w:t xml:space="preserve">glois), </w:t>
      </w:r>
      <w:r w:rsidRPr="003B3476">
        <w:rPr>
          <w:lang w:val="fr-FR" w:eastAsia="fr-FR" w:bidi="fr-FR"/>
        </w:rPr>
        <w:t xml:space="preserve">L. </w:t>
      </w:r>
      <w:r w:rsidRPr="003B3476">
        <w:rPr>
          <w:rStyle w:val="Notedebasdepage65ptPetitesmajuscules"/>
          <w:b w:val="0"/>
          <w:sz w:val="24"/>
        </w:rPr>
        <w:t xml:space="preserve">Gallois, </w:t>
      </w:r>
      <w:r w:rsidRPr="003B3476">
        <w:rPr>
          <w:bCs/>
          <w:i/>
        </w:rPr>
        <w:t>Régions naturelles et Noms de Pays</w:t>
      </w:r>
      <w:r w:rsidRPr="003B3476">
        <w:rPr>
          <w:lang w:val="fr-FR" w:eastAsia="fr-FR" w:bidi="fr-FR"/>
        </w:rPr>
        <w:t xml:space="preserve">, chap. </w:t>
      </w:r>
      <w:r w:rsidRPr="003B3476">
        <w:rPr>
          <w:smallCaps/>
          <w:lang w:val="fr-FR" w:eastAsia="fr-FR" w:bidi="fr-FR"/>
        </w:rPr>
        <w:t>iv</w:t>
      </w:r>
      <w:r w:rsidRPr="003B3476">
        <w:rPr>
          <w:lang w:val="fr-FR" w:eastAsia="fr-FR" w:bidi="fr-FR"/>
        </w:rPr>
        <w:t xml:space="preserve">, p. 83-100, et Otto </w:t>
      </w:r>
      <w:r w:rsidRPr="003B3476">
        <w:rPr>
          <w:rStyle w:val="Notedebasdepage65ptPetitesmajuscules"/>
          <w:b w:val="0"/>
          <w:sz w:val="24"/>
        </w:rPr>
        <w:t xml:space="preserve">Rohnström, </w:t>
      </w:r>
      <w:r w:rsidRPr="003B3476">
        <w:rPr>
          <w:bCs/>
          <w:i/>
        </w:rPr>
        <w:t>Étude sur Jean Bodel</w:t>
      </w:r>
      <w:r w:rsidRPr="003B3476">
        <w:rPr>
          <w:lang w:val="fr-FR" w:eastAsia="fr-FR" w:bidi="fr-FR"/>
        </w:rPr>
        <w:t xml:space="preserve"> (th. Fac. Lettres Upsala), in-8°, Upsala, 1900, p. 111 et suiv.</w:t>
      </w:r>
    </w:p>
  </w:footnote>
  <w:footnote w:id="359">
    <w:p w14:paraId="4B9D02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Doublet, </w:t>
      </w:r>
      <w:r w:rsidRPr="003B3476">
        <w:rPr>
          <w:bCs/>
          <w:i/>
        </w:rPr>
        <w:t>Histoire de l’abbaye de S. Denys en France</w:t>
      </w:r>
      <w:r w:rsidRPr="003B3476">
        <w:rPr>
          <w:lang w:val="fr-FR" w:eastAsia="fr-FR" w:bidi="fr-FR"/>
        </w:rPr>
        <w:t>, in-4°, Paris, 1625, p. 901 (</w:t>
      </w:r>
      <w:r w:rsidRPr="003B3476">
        <w:rPr>
          <w:i/>
          <w:lang w:val="fr-FR" w:eastAsia="fr-FR" w:bidi="fr-FR"/>
        </w:rPr>
        <w:t>cf.</w:t>
      </w:r>
      <w:r w:rsidRPr="003B3476">
        <w:rPr>
          <w:lang w:val="fr-FR" w:eastAsia="fr-FR" w:bidi="fr-FR"/>
        </w:rPr>
        <w:t xml:space="preserve"> </w:t>
      </w:r>
      <w:r w:rsidRPr="003B3476">
        <w:rPr>
          <w:rStyle w:val="Notedebasdepage65ptPetitesmajuscules"/>
          <w:b w:val="0"/>
          <w:sz w:val="24"/>
        </w:rPr>
        <w:t xml:space="preserve">d’Arbois de Jubainville, </w:t>
      </w:r>
      <w:r w:rsidRPr="003B3476">
        <w:rPr>
          <w:bCs/>
          <w:i/>
        </w:rPr>
        <w:t>Histoire des ducs et comtes de Cha</w:t>
      </w:r>
      <w:r w:rsidRPr="003B3476">
        <w:rPr>
          <w:bCs/>
          <w:i/>
        </w:rPr>
        <w:t>m</w:t>
      </w:r>
      <w:r w:rsidRPr="003B3476">
        <w:rPr>
          <w:bCs/>
          <w:i/>
        </w:rPr>
        <w:t>pagne</w:t>
      </w:r>
      <w:r w:rsidRPr="003B3476">
        <w:rPr>
          <w:lang w:val="fr-FR" w:eastAsia="fr-FR" w:bidi="fr-FR"/>
        </w:rPr>
        <w:t>, t. V, in-8°, Paris, 1863, p. 230, n° 1711). Je dois avertir que mon d</w:t>
      </w:r>
      <w:r w:rsidRPr="003B3476">
        <w:rPr>
          <w:lang w:val="fr-FR" w:eastAsia="fr-FR" w:bidi="fr-FR"/>
        </w:rPr>
        <w:t>é</w:t>
      </w:r>
      <w:r w:rsidRPr="003B3476">
        <w:rPr>
          <w:lang w:val="fr-FR" w:eastAsia="fr-FR" w:bidi="fr-FR"/>
        </w:rPr>
        <w:t>pouillement n’a été fait que sur les textes imprimés ; il est par conséquent très incomplet.</w:t>
      </w:r>
    </w:p>
  </w:footnote>
  <w:footnote w:id="360">
    <w:p w14:paraId="618538C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Doublet,</w:t>
      </w:r>
      <w:r w:rsidRPr="003B3476">
        <w:rPr>
          <w:lang w:val="fr-FR" w:eastAsia="fr-FR" w:bidi="fr-FR"/>
        </w:rPr>
        <w:t xml:space="preserve"> p. 560.</w:t>
      </w:r>
    </w:p>
  </w:footnote>
  <w:footnote w:id="361">
    <w:p w14:paraId="4EE0E4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Doublet, </w:t>
      </w:r>
      <w:r w:rsidRPr="003B3476">
        <w:rPr>
          <w:lang w:val="fr-FR" w:eastAsia="fr-FR" w:bidi="fr-FR"/>
        </w:rPr>
        <w:t xml:space="preserve">p. 907. </w:t>
      </w:r>
      <w:r w:rsidRPr="003B3476">
        <w:rPr>
          <w:i/>
        </w:rPr>
        <w:t>Cf.</w:t>
      </w:r>
      <w:r w:rsidRPr="003B3476">
        <w:rPr>
          <w:lang w:val="fr-FR" w:eastAsia="fr-FR" w:bidi="fr-FR"/>
        </w:rPr>
        <w:t xml:space="preserve"> Jean </w:t>
      </w:r>
      <w:r w:rsidRPr="003B3476">
        <w:rPr>
          <w:rStyle w:val="Notedebasdepage65ptPetitesmajuscules"/>
          <w:b w:val="0"/>
          <w:sz w:val="24"/>
        </w:rPr>
        <w:t xml:space="preserve">Cordey, </w:t>
      </w:r>
      <w:r w:rsidRPr="003B3476">
        <w:rPr>
          <w:i/>
        </w:rPr>
        <w:t>Guillaume de Massouris</w:t>
      </w:r>
      <w:r w:rsidRPr="003B3476">
        <w:rPr>
          <w:i/>
          <w:lang w:val="fr-FR" w:eastAsia="fr-FR" w:bidi="fr-FR"/>
        </w:rPr>
        <w:t xml:space="preserve">, </w:t>
      </w:r>
      <w:r w:rsidRPr="003B3476">
        <w:rPr>
          <w:i/>
        </w:rPr>
        <w:t>abbé de Saint-Denis</w:t>
      </w:r>
      <w:r w:rsidRPr="003B3476">
        <w:rPr>
          <w:lang w:val="fr-FR" w:eastAsia="fr-FR" w:bidi="fr-FR"/>
        </w:rPr>
        <w:t xml:space="preserve">, dans </w:t>
      </w:r>
      <w:r w:rsidRPr="003B3476">
        <w:rPr>
          <w:i/>
        </w:rPr>
        <w:t>Troisièmes mélanges d’histoire du Moyen Âge publiés sous la d</w:t>
      </w:r>
      <w:r w:rsidRPr="003B3476">
        <w:rPr>
          <w:i/>
        </w:rPr>
        <w:t>i</w:t>
      </w:r>
      <w:r w:rsidRPr="003B3476">
        <w:rPr>
          <w:i/>
        </w:rPr>
        <w:t>rection de M. Luchaire</w:t>
      </w:r>
      <w:r w:rsidRPr="003B3476">
        <w:rPr>
          <w:lang w:val="fr-FR" w:eastAsia="fr-FR" w:bidi="fr-FR"/>
        </w:rPr>
        <w:t>, Biblioth. Fac. Lettres Paris, t. XVIII, in-8°, Paris, 1904, p. 237, n° 120. L’expression n’apparaît sur les sceaux des abbés que d</w:t>
      </w:r>
      <w:r w:rsidRPr="003B3476">
        <w:rPr>
          <w:lang w:val="fr-FR" w:eastAsia="fr-FR" w:bidi="fr-FR"/>
        </w:rPr>
        <w:t>e</w:t>
      </w:r>
      <w:r w:rsidRPr="003B3476">
        <w:rPr>
          <w:lang w:val="fr-FR" w:eastAsia="fr-FR" w:bidi="fr-FR"/>
        </w:rPr>
        <w:t>puis M</w:t>
      </w:r>
      <w:r w:rsidRPr="003B3476">
        <w:rPr>
          <w:lang w:val="fr-FR" w:eastAsia="fr-FR" w:bidi="fr-FR"/>
        </w:rPr>
        <w:t>a</w:t>
      </w:r>
      <w:r w:rsidRPr="003B3476">
        <w:rPr>
          <w:lang w:val="fr-FR" w:eastAsia="fr-FR" w:bidi="fr-FR"/>
        </w:rPr>
        <w:t>thieu de Vendôme, en 1275 (</w:t>
      </w:r>
      <w:r w:rsidRPr="003B3476">
        <w:rPr>
          <w:i/>
        </w:rPr>
        <w:t>Archives de l’Empire</w:t>
      </w:r>
      <w:r w:rsidRPr="003B3476">
        <w:t>.</w:t>
      </w:r>
      <w:r w:rsidRPr="003B3476">
        <w:rPr>
          <w:lang w:val="fr-FR" w:eastAsia="fr-FR" w:bidi="fr-FR"/>
        </w:rPr>
        <w:t xml:space="preserve"> Collection de Sceaux, par </w:t>
      </w:r>
      <w:r w:rsidRPr="003B3476">
        <w:rPr>
          <w:rStyle w:val="Notedebasdepage65ptPetitesmajuscules"/>
          <w:b w:val="0"/>
          <w:sz w:val="24"/>
        </w:rPr>
        <w:t xml:space="preserve">Douët d’Arcq, </w:t>
      </w:r>
      <w:r w:rsidRPr="003B3476">
        <w:rPr>
          <w:lang w:val="fr-FR" w:eastAsia="fr-FR" w:bidi="fr-FR"/>
        </w:rPr>
        <w:t>t. III, in-4°, Paris, 1868, p. 126, n° 9022).</w:t>
      </w:r>
    </w:p>
  </w:footnote>
  <w:footnote w:id="362">
    <w:p w14:paraId="24BDB9E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première opinion est celle de l’éditeur du poème, M. Ed. </w:t>
      </w:r>
      <w:r w:rsidRPr="003B3476">
        <w:rPr>
          <w:rStyle w:val="Notedebasdepage65ptPetitesmajuscules"/>
          <w:b w:val="0"/>
          <w:sz w:val="24"/>
        </w:rPr>
        <w:t xml:space="preserve">Koschwitz, </w:t>
      </w:r>
      <w:r w:rsidRPr="003B3476">
        <w:rPr>
          <w:bCs/>
          <w:i/>
        </w:rPr>
        <w:t>Karls des Grossen Reise nach Jérusalem und Constantinopel,</w:t>
      </w:r>
      <w:r w:rsidRPr="003B3476">
        <w:rPr>
          <w:lang w:val="fr-FR" w:eastAsia="fr-FR" w:bidi="fr-FR"/>
        </w:rPr>
        <w:t xml:space="preserve"> 3</w:t>
      </w:r>
      <w:r w:rsidRPr="003B3476">
        <w:rPr>
          <w:vertAlign w:val="superscript"/>
          <w:lang w:val="fr-FR" w:eastAsia="fr-FR" w:bidi="fr-FR"/>
        </w:rPr>
        <w:t>e</w:t>
      </w:r>
      <w:r w:rsidRPr="003B3476">
        <w:rPr>
          <w:lang w:val="fr-FR" w:eastAsia="fr-FR" w:bidi="fr-FR"/>
        </w:rPr>
        <w:t xml:space="preserve"> éd., in-12, Leipzig, 1895 ; c’était également celle de </w:t>
      </w:r>
      <w:r w:rsidRPr="003B3476">
        <w:rPr>
          <w:rStyle w:val="Notedebasdepage65ptPetitesmajuscules"/>
          <w:b w:val="0"/>
          <w:sz w:val="24"/>
        </w:rPr>
        <w:t xml:space="preserve">G. Paris. </w:t>
      </w:r>
      <w:r w:rsidRPr="003B3476">
        <w:rPr>
          <w:bCs/>
          <w:i/>
        </w:rPr>
        <w:t>La Poésie du Moyen Âge</w:t>
      </w:r>
      <w:r w:rsidRPr="003B3476">
        <w:rPr>
          <w:i/>
          <w:lang w:val="fr-FR" w:eastAsia="fr-FR" w:bidi="fr-FR"/>
        </w:rPr>
        <w:t xml:space="preserve">, </w:t>
      </w:r>
      <w:r w:rsidRPr="003B3476">
        <w:rPr>
          <w:bCs/>
          <w:i/>
        </w:rPr>
        <w:t>Prem. Série,</w:t>
      </w:r>
      <w:r w:rsidRPr="003B3476">
        <w:rPr>
          <w:lang w:val="fr-FR" w:eastAsia="fr-FR" w:bidi="fr-FR"/>
        </w:rPr>
        <w:t xml:space="preserve"> 6</w:t>
      </w:r>
      <w:r w:rsidRPr="003B3476">
        <w:rPr>
          <w:vertAlign w:val="superscript"/>
          <w:lang w:val="fr-FR" w:eastAsia="fr-FR" w:bidi="fr-FR"/>
        </w:rPr>
        <w:t>e</w:t>
      </w:r>
      <w:r w:rsidRPr="003B3476">
        <w:rPr>
          <w:lang w:val="fr-FR" w:eastAsia="fr-FR" w:bidi="fr-FR"/>
        </w:rPr>
        <w:t xml:space="preserve"> éd., in-16, Paris, 1906, p. 119 et suiv., et p. 257 ; et </w:t>
      </w:r>
      <w:r w:rsidRPr="003B3476">
        <w:rPr>
          <w:bCs/>
        </w:rPr>
        <w:t>Romania,</w:t>
      </w:r>
      <w:r w:rsidRPr="003B3476">
        <w:rPr>
          <w:lang w:val="fr-FR" w:eastAsia="fr-FR" w:bidi="fr-FR"/>
        </w:rPr>
        <w:t xml:space="preserve"> t. IX (1880), p. 50. La seconde théorie a été soutenue par M. J. </w:t>
      </w:r>
      <w:r w:rsidRPr="003B3476">
        <w:rPr>
          <w:rStyle w:val="Notedebasdepage65ptPetitesmajuscules"/>
          <w:b w:val="0"/>
          <w:sz w:val="24"/>
        </w:rPr>
        <w:t xml:space="preserve">Coulet, </w:t>
      </w:r>
      <w:r w:rsidRPr="003B3476">
        <w:rPr>
          <w:bCs/>
          <w:i/>
        </w:rPr>
        <w:t>Ét</w:t>
      </w:r>
      <w:r w:rsidRPr="003B3476">
        <w:rPr>
          <w:bCs/>
          <w:i/>
        </w:rPr>
        <w:t>u</w:t>
      </w:r>
      <w:r w:rsidRPr="003B3476">
        <w:rPr>
          <w:bCs/>
          <w:i/>
        </w:rPr>
        <w:t>des sur l’ancien poème français du voyage de Charlemagne en Orient</w:t>
      </w:r>
      <w:r w:rsidRPr="003B3476">
        <w:rPr>
          <w:lang w:val="fr-FR" w:eastAsia="fr-FR" w:bidi="fr-FR"/>
        </w:rPr>
        <w:t xml:space="preserve"> (thèse Fac. Lettres P</w:t>
      </w:r>
      <w:r w:rsidRPr="003B3476">
        <w:rPr>
          <w:lang w:val="fr-FR" w:eastAsia="fr-FR" w:bidi="fr-FR"/>
        </w:rPr>
        <w:t>a</w:t>
      </w:r>
      <w:r w:rsidRPr="003B3476">
        <w:rPr>
          <w:lang w:val="fr-FR" w:eastAsia="fr-FR" w:bidi="fr-FR"/>
        </w:rPr>
        <w:t>ris, in-8°, Montpellier, 1907)</w:t>
      </w:r>
    </w:p>
  </w:footnote>
  <w:footnote w:id="363">
    <w:p w14:paraId="1D92377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 86, p. 6, « Saint-Dynis de France » désigne également l’abbaye dans un petit poème connu sous le nom de </w:t>
      </w:r>
      <w:r w:rsidRPr="003B3476">
        <w:rPr>
          <w:bCs/>
          <w:i/>
        </w:rPr>
        <w:t>La Destruction de Rome</w:t>
      </w:r>
      <w:r w:rsidRPr="003B3476">
        <w:rPr>
          <w:bCs/>
        </w:rPr>
        <w:t>,</w:t>
      </w:r>
      <w:r w:rsidRPr="003B3476">
        <w:rPr>
          <w:lang w:val="fr-FR" w:eastAsia="fr-FR" w:bidi="fr-FR"/>
        </w:rPr>
        <w:t xml:space="preserve"> qui, vers la fin du XII</w:t>
      </w:r>
      <w:r w:rsidRPr="003B3476">
        <w:rPr>
          <w:vertAlign w:val="superscript"/>
          <w:lang w:val="fr-FR" w:eastAsia="fr-FR" w:bidi="fr-FR"/>
        </w:rPr>
        <w:t>e</w:t>
      </w:r>
      <w:r w:rsidRPr="003B3476">
        <w:rPr>
          <w:lang w:val="fr-FR" w:eastAsia="fr-FR" w:bidi="fr-FR"/>
        </w:rPr>
        <w:t xml:space="preserve"> siècle, a été ajouté en guise de prologue au poème plus long de </w:t>
      </w:r>
      <w:r w:rsidRPr="003B3476">
        <w:rPr>
          <w:bCs/>
          <w:i/>
        </w:rPr>
        <w:t>Fier</w:t>
      </w:r>
      <w:r w:rsidRPr="003B3476">
        <w:rPr>
          <w:bCs/>
          <w:i/>
        </w:rPr>
        <w:t>a</w:t>
      </w:r>
      <w:r w:rsidRPr="003B3476">
        <w:rPr>
          <w:bCs/>
          <w:i/>
        </w:rPr>
        <w:t>bras</w:t>
      </w:r>
      <w:r w:rsidRPr="003B3476">
        <w:rPr>
          <w:lang w:val="fr-FR" w:eastAsia="fr-FR" w:bidi="fr-FR"/>
        </w:rPr>
        <w:t xml:space="preserve">, éd. </w:t>
      </w:r>
      <w:r w:rsidRPr="003B3476">
        <w:rPr>
          <w:rStyle w:val="Notedebasdepage65ptPetitesmajuscules"/>
          <w:b w:val="0"/>
          <w:sz w:val="24"/>
        </w:rPr>
        <w:t xml:space="preserve">Groeber, </w:t>
      </w:r>
      <w:r w:rsidRPr="003B3476">
        <w:rPr>
          <w:bCs/>
          <w:i/>
        </w:rPr>
        <w:t>Romania</w:t>
      </w:r>
      <w:r w:rsidRPr="003B3476">
        <w:rPr>
          <w:lang w:val="fr-FR" w:eastAsia="fr-FR" w:bidi="fr-FR"/>
        </w:rPr>
        <w:t xml:space="preserve">, t. II, p. 6, v. 13. </w:t>
      </w:r>
      <w:r w:rsidRPr="003B3476">
        <w:rPr>
          <w:bCs/>
          <w:i/>
        </w:rPr>
        <w:t>Cf.</w:t>
      </w:r>
      <w:r w:rsidRPr="003B3476">
        <w:rPr>
          <w:lang w:val="fr-FR" w:eastAsia="fr-FR" w:bidi="fr-FR"/>
        </w:rPr>
        <w:t xml:space="preserve"> M. </w:t>
      </w:r>
      <w:r w:rsidRPr="003B3476">
        <w:rPr>
          <w:rStyle w:val="Notedebasdepage65ptPetitesmajuscules"/>
          <w:b w:val="0"/>
          <w:sz w:val="24"/>
        </w:rPr>
        <w:t xml:space="preserve">Roques, </w:t>
      </w:r>
      <w:r w:rsidRPr="003B3476">
        <w:rPr>
          <w:bCs/>
          <w:i/>
        </w:rPr>
        <w:t>L’élément hi</w:t>
      </w:r>
      <w:r w:rsidRPr="003B3476">
        <w:rPr>
          <w:bCs/>
          <w:i/>
        </w:rPr>
        <w:t>s</w:t>
      </w:r>
      <w:r w:rsidRPr="003B3476">
        <w:rPr>
          <w:bCs/>
          <w:i/>
        </w:rPr>
        <w:t>torique dans Fierabras,</w:t>
      </w:r>
      <w:r w:rsidRPr="003B3476">
        <w:rPr>
          <w:lang w:val="fr-FR" w:eastAsia="fr-FR" w:bidi="fr-FR"/>
        </w:rPr>
        <w:t xml:space="preserve"> dans </w:t>
      </w:r>
      <w:r w:rsidRPr="003B3476">
        <w:rPr>
          <w:bCs/>
          <w:i/>
        </w:rPr>
        <w:t>Romania</w:t>
      </w:r>
      <w:r w:rsidRPr="003B3476">
        <w:rPr>
          <w:lang w:val="fr-FR" w:eastAsia="fr-FR" w:bidi="fr-FR"/>
        </w:rPr>
        <w:t xml:space="preserve">, t. XXX, p. 161-175. On ne manquera pas d’observer que comme le </w:t>
      </w:r>
      <w:r w:rsidRPr="003B3476">
        <w:rPr>
          <w:bCs/>
          <w:i/>
        </w:rPr>
        <w:t>Voyage de Charlemagne</w:t>
      </w:r>
      <w:r w:rsidRPr="003B3476">
        <w:rPr>
          <w:lang w:val="fr-FR" w:eastAsia="fr-FR" w:bidi="fr-FR"/>
        </w:rPr>
        <w:t xml:space="preserve"> le </w:t>
      </w:r>
      <w:r w:rsidRPr="003B3476">
        <w:rPr>
          <w:bCs/>
          <w:i/>
        </w:rPr>
        <w:t>Fierabras</w:t>
      </w:r>
      <w:r w:rsidRPr="003B3476">
        <w:rPr>
          <w:lang w:val="fr-FR" w:eastAsia="fr-FR" w:bidi="fr-FR"/>
        </w:rPr>
        <w:t xml:space="preserve"> (dont la </w:t>
      </w:r>
      <w:r w:rsidRPr="003B3476">
        <w:rPr>
          <w:bCs/>
          <w:i/>
        </w:rPr>
        <w:t>De</w:t>
      </w:r>
      <w:r w:rsidRPr="003B3476">
        <w:rPr>
          <w:bCs/>
          <w:i/>
        </w:rPr>
        <w:t>s</w:t>
      </w:r>
      <w:r w:rsidRPr="003B3476">
        <w:rPr>
          <w:bCs/>
          <w:i/>
        </w:rPr>
        <w:t>truction de Rome</w:t>
      </w:r>
      <w:r w:rsidRPr="003B3476">
        <w:rPr>
          <w:lang w:val="fr-FR" w:eastAsia="fr-FR" w:bidi="fr-FR"/>
        </w:rPr>
        <w:t xml:space="preserve"> n’est, somme toute, qu’une partie) est un poème à la louange des reliques conservées dans l’abbaye.</w:t>
      </w:r>
    </w:p>
  </w:footnote>
  <w:footnote w:id="364">
    <w:p w14:paraId="0D6610C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Nombreux exemples dans la </w:t>
      </w:r>
      <w:r w:rsidRPr="003B3476">
        <w:rPr>
          <w:bCs/>
          <w:i/>
        </w:rPr>
        <w:t>Table des noms propres</w:t>
      </w:r>
      <w:r w:rsidRPr="003B3476">
        <w:rPr>
          <w:lang w:val="fr-FR" w:eastAsia="fr-FR" w:bidi="fr-FR"/>
        </w:rPr>
        <w:t xml:space="preserve"> de M. E. </w:t>
      </w:r>
      <w:r w:rsidRPr="003B3476">
        <w:rPr>
          <w:rStyle w:val="Notedebasdepage65ptPetitesmajuscules"/>
          <w:b w:val="0"/>
          <w:sz w:val="24"/>
        </w:rPr>
        <w:t>Langlois.</w:t>
      </w:r>
    </w:p>
  </w:footnote>
  <w:footnote w:id="365">
    <w:p w14:paraId="1F9E0ED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w:t>
      </w:r>
      <w:r w:rsidRPr="003B3476">
        <w:rPr>
          <w:bCs/>
        </w:rPr>
        <w:t>Table des noms propres</w:t>
      </w:r>
      <w:r w:rsidRPr="003B3476">
        <w:rPr>
          <w:lang w:val="fr-FR" w:eastAsia="fr-FR" w:bidi="fr-FR"/>
        </w:rPr>
        <w:t xml:space="preserve"> de M. E. </w:t>
      </w:r>
      <w:r w:rsidRPr="003B3476">
        <w:rPr>
          <w:bCs/>
          <w:smallCaps/>
        </w:rPr>
        <w:t>Langlois</w:t>
      </w:r>
      <w:r w:rsidRPr="003B3476">
        <w:rPr>
          <w:bCs/>
        </w:rPr>
        <w:t xml:space="preserve"> </w:t>
      </w:r>
      <w:r w:rsidRPr="003B3476">
        <w:rPr>
          <w:lang w:val="fr-FR" w:eastAsia="fr-FR" w:bidi="fr-FR"/>
        </w:rPr>
        <w:t xml:space="preserve">ne signale l’expression Saint-Denis en France que dans </w:t>
      </w:r>
      <w:r w:rsidRPr="003B3476">
        <w:rPr>
          <w:bCs/>
          <w:i/>
        </w:rPr>
        <w:t>Les Enfances Ogier</w:t>
      </w:r>
      <w:r w:rsidRPr="003B3476">
        <w:rPr>
          <w:bCs/>
        </w:rPr>
        <w:t>,</w:t>
      </w:r>
      <w:r w:rsidRPr="003B3476">
        <w:rPr>
          <w:lang w:val="fr-FR" w:eastAsia="fr-FR" w:bidi="fr-FR"/>
        </w:rPr>
        <w:t xml:space="preserve"> poème de la fin du XIII</w:t>
      </w:r>
      <w:r w:rsidRPr="003B3476">
        <w:rPr>
          <w:vertAlign w:val="superscript"/>
          <w:lang w:val="fr-FR" w:eastAsia="fr-FR" w:bidi="fr-FR"/>
        </w:rPr>
        <w:t>e</w:t>
      </w:r>
      <w:r w:rsidRPr="003B3476">
        <w:rPr>
          <w:lang w:val="fr-FR" w:eastAsia="fr-FR" w:bidi="fr-FR"/>
        </w:rPr>
        <w:t xml:space="preserve"> siècle (éd. A. </w:t>
      </w:r>
      <w:r w:rsidRPr="003B3476">
        <w:rPr>
          <w:bCs/>
          <w:smallCaps/>
        </w:rPr>
        <w:t>Scheler</w:t>
      </w:r>
      <w:r w:rsidRPr="003B3476">
        <w:rPr>
          <w:bCs/>
        </w:rPr>
        <w:t xml:space="preserve">, </w:t>
      </w:r>
      <w:r w:rsidRPr="003B3476">
        <w:rPr>
          <w:lang w:val="fr-FR" w:eastAsia="fr-FR" w:bidi="fr-FR"/>
        </w:rPr>
        <w:t>in-8°, Bruxelles, 1874, p. 2, v. 40) et dans une sorte de pr</w:t>
      </w:r>
      <w:r w:rsidRPr="003B3476">
        <w:rPr>
          <w:lang w:val="fr-FR" w:eastAsia="fr-FR" w:bidi="fr-FR"/>
        </w:rPr>
        <w:t>é</w:t>
      </w:r>
      <w:r w:rsidRPr="003B3476">
        <w:rPr>
          <w:lang w:val="fr-FR" w:eastAsia="fr-FR" w:bidi="fr-FR"/>
        </w:rPr>
        <w:t xml:space="preserve">ambule dont un manuscrit du </w:t>
      </w:r>
      <w:r w:rsidRPr="003B3476">
        <w:rPr>
          <w:caps/>
          <w:lang w:val="fr-FR" w:eastAsia="fr-FR" w:bidi="fr-FR"/>
        </w:rPr>
        <w:t>xv</w:t>
      </w:r>
      <w:r w:rsidRPr="003B3476">
        <w:rPr>
          <w:vertAlign w:val="superscript"/>
          <w:lang w:val="fr-FR" w:eastAsia="fr-FR" w:bidi="fr-FR"/>
        </w:rPr>
        <w:t>e</w:t>
      </w:r>
      <w:r w:rsidRPr="003B3476">
        <w:rPr>
          <w:lang w:val="fr-FR" w:eastAsia="fr-FR" w:bidi="fr-FR"/>
        </w:rPr>
        <w:t xml:space="preserve"> siècle a fait précéder le poème de </w:t>
      </w:r>
      <w:r w:rsidRPr="003B3476">
        <w:rPr>
          <w:bCs/>
          <w:i/>
        </w:rPr>
        <w:t>Doon de Mayence</w:t>
      </w:r>
      <w:r w:rsidRPr="003B3476">
        <w:rPr>
          <w:lang w:val="fr-FR" w:eastAsia="fr-FR" w:bidi="fr-FR"/>
        </w:rPr>
        <w:t xml:space="preserve"> (éd. </w:t>
      </w:r>
      <w:r w:rsidRPr="003B3476">
        <w:rPr>
          <w:rStyle w:val="Notedebasdepage65ptPetitesmajuscules"/>
          <w:b w:val="0"/>
          <w:sz w:val="24"/>
        </w:rPr>
        <w:t xml:space="preserve">A. Pey, </w:t>
      </w:r>
      <w:r w:rsidRPr="003B3476">
        <w:rPr>
          <w:lang w:val="fr-FR" w:eastAsia="fr-FR" w:bidi="fr-FR"/>
        </w:rPr>
        <w:t xml:space="preserve">dans la collect. </w:t>
      </w:r>
      <w:r w:rsidRPr="003B3476">
        <w:rPr>
          <w:bCs/>
          <w:i/>
        </w:rPr>
        <w:t>Les Anciens Poètes de la France</w:t>
      </w:r>
      <w:r w:rsidRPr="003B3476">
        <w:rPr>
          <w:lang w:val="fr-FR" w:eastAsia="fr-FR" w:bidi="fr-FR"/>
        </w:rPr>
        <w:t>, in-16, P</w:t>
      </w:r>
      <w:r w:rsidRPr="003B3476">
        <w:rPr>
          <w:lang w:val="fr-FR" w:eastAsia="fr-FR" w:bidi="fr-FR"/>
        </w:rPr>
        <w:t>a</w:t>
      </w:r>
      <w:r w:rsidRPr="003B3476">
        <w:rPr>
          <w:lang w:val="fr-FR" w:eastAsia="fr-FR" w:bidi="fr-FR"/>
        </w:rPr>
        <w:t xml:space="preserve">ris, 1859, p. 348). Or l’expression « Saint-Denis </w:t>
      </w:r>
      <w:r w:rsidRPr="003B3476">
        <w:rPr>
          <w:bCs/>
        </w:rPr>
        <w:t>en</w:t>
      </w:r>
      <w:r w:rsidRPr="003B3476">
        <w:rPr>
          <w:lang w:val="fr-FR" w:eastAsia="fr-FR" w:bidi="fr-FR"/>
        </w:rPr>
        <w:t xml:space="preserve"> France » se rencontre dans les textes suivants qui sont plus anciens : </w:t>
      </w:r>
      <w:r w:rsidRPr="003B3476">
        <w:rPr>
          <w:bCs/>
          <w:i/>
        </w:rPr>
        <w:t>Fierabras</w:t>
      </w:r>
      <w:r w:rsidRPr="003B3476">
        <w:rPr>
          <w:lang w:val="fr-FR" w:eastAsia="fr-FR" w:bidi="fr-FR"/>
        </w:rPr>
        <w:t xml:space="preserve">, poème rédigé vers 1170, vraisemblablement sous l’inspiration des moines de Saint-Denis, éd. A. </w:t>
      </w:r>
      <w:r w:rsidRPr="003B3476">
        <w:rPr>
          <w:bCs/>
          <w:smallCaps/>
        </w:rPr>
        <w:t>Kroeber</w:t>
      </w:r>
      <w:r w:rsidRPr="003B3476">
        <w:rPr>
          <w:bCs/>
        </w:rPr>
        <w:t xml:space="preserve"> </w:t>
      </w:r>
      <w:r w:rsidRPr="003B3476">
        <w:rPr>
          <w:lang w:val="fr-FR" w:eastAsia="fr-FR" w:bidi="fr-FR"/>
        </w:rPr>
        <w:t xml:space="preserve">et </w:t>
      </w:r>
      <w:r w:rsidRPr="003B3476">
        <w:rPr>
          <w:bCs/>
        </w:rPr>
        <w:t xml:space="preserve">G. </w:t>
      </w:r>
      <w:r w:rsidRPr="003B3476">
        <w:rPr>
          <w:bCs/>
          <w:smallCaps/>
        </w:rPr>
        <w:t>Servois</w:t>
      </w:r>
      <w:r w:rsidRPr="003B3476">
        <w:rPr>
          <w:bCs/>
        </w:rPr>
        <w:t xml:space="preserve"> (</w:t>
      </w:r>
      <w:r w:rsidRPr="003B3476">
        <w:rPr>
          <w:bCs/>
          <w:i/>
        </w:rPr>
        <w:t>Les anciens poètes de la France</w:t>
      </w:r>
      <w:r w:rsidRPr="003B3476">
        <w:rPr>
          <w:bCs/>
        </w:rPr>
        <w:t>),</w:t>
      </w:r>
      <w:r w:rsidRPr="003B3476">
        <w:rPr>
          <w:lang w:val="fr-FR" w:eastAsia="fr-FR" w:bidi="fr-FR"/>
        </w:rPr>
        <w:t xml:space="preserve"> in-12, Paris, 1860, p. 1, v. 4 (citation omise par M. E</w:t>
      </w:r>
      <w:r w:rsidRPr="003B3476">
        <w:rPr>
          <w:smallCaps/>
          <w:lang w:val="fr-FR" w:eastAsia="fr-FR" w:bidi="fr-FR"/>
        </w:rPr>
        <w:t xml:space="preserve">. </w:t>
      </w:r>
      <w:r w:rsidRPr="003B3476">
        <w:rPr>
          <w:bCs/>
          <w:smallCaps/>
        </w:rPr>
        <w:t>Langlois</w:t>
      </w:r>
      <w:r w:rsidRPr="003B3476">
        <w:rPr>
          <w:bCs/>
        </w:rPr>
        <w:t xml:space="preserve">, </w:t>
      </w:r>
      <w:r w:rsidRPr="003B3476">
        <w:rPr>
          <w:lang w:val="fr-FR" w:eastAsia="fr-FR" w:bidi="fr-FR"/>
        </w:rPr>
        <w:t xml:space="preserve">dans sa </w:t>
      </w:r>
      <w:r w:rsidRPr="003B3476">
        <w:rPr>
          <w:bCs/>
          <w:i/>
        </w:rPr>
        <w:t>Table des noms pr</w:t>
      </w:r>
      <w:r w:rsidRPr="003B3476">
        <w:rPr>
          <w:bCs/>
          <w:i/>
        </w:rPr>
        <w:t>o</w:t>
      </w:r>
      <w:r w:rsidRPr="003B3476">
        <w:rPr>
          <w:bCs/>
          <w:i/>
        </w:rPr>
        <w:t>pres</w:t>
      </w:r>
      <w:r w:rsidRPr="003B3476">
        <w:rPr>
          <w:lang w:val="fr-FR" w:eastAsia="fr-FR" w:bidi="fr-FR"/>
        </w:rPr>
        <w:t xml:space="preserve">) ; </w:t>
      </w:r>
      <w:r w:rsidRPr="003B3476">
        <w:rPr>
          <w:bCs/>
        </w:rPr>
        <w:t xml:space="preserve">les </w:t>
      </w:r>
      <w:r w:rsidRPr="003B3476">
        <w:rPr>
          <w:bCs/>
          <w:i/>
        </w:rPr>
        <w:t>Enfances Guillaume</w:t>
      </w:r>
      <w:r w:rsidRPr="003B3476">
        <w:rPr>
          <w:bCs/>
        </w:rPr>
        <w:t>,</w:t>
      </w:r>
      <w:r w:rsidRPr="003B3476">
        <w:rPr>
          <w:lang w:val="fr-FR" w:eastAsia="fr-FR" w:bidi="fr-FR"/>
        </w:rPr>
        <w:t xml:space="preserve"> poème inédit, qui, sous sa forme actuellement connue, semble remonter au début du XIII</w:t>
      </w:r>
      <w:r w:rsidRPr="003B3476">
        <w:rPr>
          <w:vertAlign w:val="superscript"/>
          <w:lang w:val="fr-FR" w:eastAsia="fr-FR" w:bidi="fr-FR"/>
        </w:rPr>
        <w:t>e</w:t>
      </w:r>
      <w:r w:rsidRPr="003B3476">
        <w:rPr>
          <w:lang w:val="fr-FR" w:eastAsia="fr-FR" w:bidi="fr-FR"/>
        </w:rPr>
        <w:t xml:space="preserve"> siècle, vers cité par Léon </w:t>
      </w:r>
      <w:r w:rsidRPr="003B3476">
        <w:rPr>
          <w:bCs/>
          <w:smallCaps/>
        </w:rPr>
        <w:t>Ga</w:t>
      </w:r>
      <w:r w:rsidRPr="003B3476">
        <w:rPr>
          <w:bCs/>
          <w:smallCaps/>
        </w:rPr>
        <w:t>u</w:t>
      </w:r>
      <w:r w:rsidRPr="003B3476">
        <w:rPr>
          <w:bCs/>
          <w:smallCaps/>
        </w:rPr>
        <w:t>tier</w:t>
      </w:r>
      <w:r w:rsidRPr="003B3476">
        <w:rPr>
          <w:bCs/>
        </w:rPr>
        <w:t xml:space="preserve">, </w:t>
      </w:r>
      <w:r w:rsidRPr="003B3476">
        <w:rPr>
          <w:bCs/>
          <w:i/>
        </w:rPr>
        <w:t>Les épopées françaises</w:t>
      </w:r>
      <w:r w:rsidRPr="003B3476">
        <w:rPr>
          <w:bCs/>
        </w:rPr>
        <w:t>,</w:t>
      </w:r>
      <w:r w:rsidRPr="003B3476">
        <w:rPr>
          <w:lang w:val="fr-FR" w:eastAsia="fr-FR" w:bidi="fr-FR"/>
        </w:rPr>
        <w:t xml:space="preserve"> 2</w:t>
      </w:r>
      <w:r w:rsidRPr="003B3476">
        <w:rPr>
          <w:vertAlign w:val="superscript"/>
          <w:lang w:val="fr-FR" w:eastAsia="fr-FR" w:bidi="fr-FR"/>
        </w:rPr>
        <w:t>e</w:t>
      </w:r>
      <w:r w:rsidRPr="003B3476">
        <w:rPr>
          <w:lang w:val="fr-FR" w:eastAsia="fr-FR" w:bidi="fr-FR"/>
        </w:rPr>
        <w:t xml:space="preserve"> éd., t. IV, p. 201, n. 1, et p. 276, n. 1 ; </w:t>
      </w:r>
      <w:r w:rsidRPr="003B3476">
        <w:rPr>
          <w:bCs/>
          <w:i/>
        </w:rPr>
        <w:t>Renaud de Montauban</w:t>
      </w:r>
      <w:r w:rsidRPr="003B3476">
        <w:rPr>
          <w:bCs/>
        </w:rPr>
        <w:t>,</w:t>
      </w:r>
      <w:r w:rsidRPr="003B3476">
        <w:rPr>
          <w:lang w:val="fr-FR" w:eastAsia="fr-FR" w:bidi="fr-FR"/>
        </w:rPr>
        <w:t xml:space="preserve"> version du ms. d’Oxford, Douce, 121, datant de la première moitié du XIII</w:t>
      </w:r>
      <w:r w:rsidRPr="003B3476">
        <w:rPr>
          <w:vertAlign w:val="superscript"/>
          <w:lang w:val="fr-FR" w:eastAsia="fr-FR" w:bidi="fr-FR"/>
        </w:rPr>
        <w:t>e</w:t>
      </w:r>
      <w:r w:rsidRPr="003B3476">
        <w:rPr>
          <w:lang w:val="fr-FR" w:eastAsia="fr-FR" w:bidi="fr-FR"/>
        </w:rPr>
        <w:t xml:space="preserve"> siècle, vers cité par J. </w:t>
      </w:r>
      <w:r w:rsidRPr="003B3476">
        <w:rPr>
          <w:bCs/>
          <w:smallCaps/>
        </w:rPr>
        <w:t>Bédier</w:t>
      </w:r>
      <w:r w:rsidRPr="003B3476">
        <w:rPr>
          <w:bCs/>
        </w:rPr>
        <w:t xml:space="preserve">, </w:t>
      </w:r>
      <w:r w:rsidRPr="003B3476">
        <w:rPr>
          <w:bCs/>
          <w:i/>
        </w:rPr>
        <w:t>Les légendes épiques,</w:t>
      </w:r>
      <w:r w:rsidRPr="003B3476">
        <w:rPr>
          <w:lang w:val="fr-FR" w:eastAsia="fr-FR" w:bidi="fr-FR"/>
        </w:rPr>
        <w:t xml:space="preserve"> t. IV, p. 167, n. 2 ; </w:t>
      </w:r>
      <w:r w:rsidRPr="003B3476">
        <w:rPr>
          <w:bCs/>
          <w:i/>
        </w:rPr>
        <w:t>Jehan de Lanson</w:t>
      </w:r>
      <w:r w:rsidRPr="003B3476">
        <w:rPr>
          <w:bCs/>
        </w:rPr>
        <w:t>,</w:t>
      </w:r>
      <w:r w:rsidRPr="003B3476">
        <w:rPr>
          <w:lang w:val="fr-FR" w:eastAsia="fr-FR" w:bidi="fr-FR"/>
        </w:rPr>
        <w:t xml:space="preserve"> poème inédit composé au XIII</w:t>
      </w:r>
      <w:r w:rsidRPr="003B3476">
        <w:rPr>
          <w:vertAlign w:val="superscript"/>
          <w:lang w:val="fr-FR" w:eastAsia="fr-FR" w:bidi="fr-FR"/>
        </w:rPr>
        <w:t>e</w:t>
      </w:r>
      <w:r w:rsidRPr="003B3476">
        <w:rPr>
          <w:lang w:val="fr-FR" w:eastAsia="fr-FR" w:bidi="fr-FR"/>
        </w:rPr>
        <w:t xml:space="preserve"> siècle, vers cité par L. </w:t>
      </w:r>
      <w:r w:rsidRPr="003B3476">
        <w:rPr>
          <w:bCs/>
          <w:smallCaps/>
        </w:rPr>
        <w:t>Gautier</w:t>
      </w:r>
      <w:r w:rsidRPr="003B3476">
        <w:rPr>
          <w:bCs/>
        </w:rPr>
        <w:t xml:space="preserve">, </w:t>
      </w:r>
      <w:r w:rsidRPr="003B3476">
        <w:rPr>
          <w:bCs/>
          <w:i/>
        </w:rPr>
        <w:t>op. cit.</w:t>
      </w:r>
      <w:r w:rsidRPr="003B3476">
        <w:rPr>
          <w:bCs/>
        </w:rPr>
        <w:t>,</w:t>
      </w:r>
      <w:r w:rsidRPr="003B3476">
        <w:rPr>
          <w:lang w:val="fr-FR" w:eastAsia="fr-FR" w:bidi="fr-FR"/>
        </w:rPr>
        <w:t xml:space="preserve"> t. IV, p. 276, n. 1. Philippe </w:t>
      </w:r>
      <w:r w:rsidRPr="003B3476">
        <w:rPr>
          <w:bCs/>
          <w:smallCaps/>
        </w:rPr>
        <w:t>Mouskes</w:t>
      </w:r>
      <w:r w:rsidRPr="003B3476">
        <w:rPr>
          <w:bCs/>
        </w:rPr>
        <w:t xml:space="preserve"> </w:t>
      </w:r>
      <w:r w:rsidRPr="003B3476">
        <w:rPr>
          <w:lang w:val="fr-FR" w:eastAsia="fr-FR" w:bidi="fr-FR"/>
        </w:rPr>
        <w:t xml:space="preserve">au contraire dans sa </w:t>
      </w:r>
      <w:r w:rsidRPr="003B3476">
        <w:rPr>
          <w:bCs/>
          <w:i/>
        </w:rPr>
        <w:t>Chronique rimée</w:t>
      </w:r>
      <w:r w:rsidRPr="003B3476">
        <w:rPr>
          <w:bCs/>
        </w:rPr>
        <w:t>,</w:t>
      </w:r>
      <w:r w:rsidRPr="003B3476">
        <w:rPr>
          <w:lang w:val="fr-FR" w:eastAsia="fr-FR" w:bidi="fr-FR"/>
        </w:rPr>
        <w:t xml:space="preserve"> rédigée dans la première moitié du XIII</w:t>
      </w:r>
      <w:r w:rsidRPr="003B3476">
        <w:rPr>
          <w:vertAlign w:val="superscript"/>
          <w:lang w:val="fr-FR" w:eastAsia="fr-FR" w:bidi="fr-FR"/>
        </w:rPr>
        <w:t>e</w:t>
      </w:r>
      <w:r w:rsidRPr="003B3476">
        <w:rPr>
          <w:lang w:val="fr-FR" w:eastAsia="fr-FR" w:bidi="fr-FR"/>
        </w:rPr>
        <w:t xml:space="preserve"> siècle et connue par un manuscrit du même siècle, écrit (v. 9-10) « saint Denise </w:t>
      </w:r>
      <w:r w:rsidRPr="003B3476">
        <w:rPr>
          <w:bCs/>
          <w:i/>
        </w:rPr>
        <w:t>de</w:t>
      </w:r>
      <w:r w:rsidRPr="003B3476">
        <w:rPr>
          <w:lang w:val="fr-FR" w:eastAsia="fr-FR" w:bidi="fr-FR"/>
        </w:rPr>
        <w:t xml:space="preserve"> France » : </w:t>
      </w:r>
      <w:r w:rsidRPr="003B3476">
        <w:rPr>
          <w:bCs/>
          <w:smallCaps/>
        </w:rPr>
        <w:t>Pertz</w:t>
      </w:r>
      <w:r w:rsidRPr="003B3476">
        <w:rPr>
          <w:bCs/>
        </w:rPr>
        <w:t xml:space="preserve">, </w:t>
      </w:r>
      <w:r w:rsidRPr="003B3476">
        <w:rPr>
          <w:bCs/>
          <w:i/>
        </w:rPr>
        <w:t>Scriptor</w:t>
      </w:r>
      <w:r w:rsidRPr="003B3476">
        <w:rPr>
          <w:bCs/>
        </w:rPr>
        <w:t>.,</w:t>
      </w:r>
      <w:r w:rsidRPr="003B3476">
        <w:rPr>
          <w:lang w:val="fr-FR" w:eastAsia="fr-FR" w:bidi="fr-FR"/>
        </w:rPr>
        <w:t xml:space="preserve"> t. XXVI, p. 721. Au reste, est-il possible de d</w:t>
      </w:r>
      <w:r w:rsidRPr="003B3476">
        <w:rPr>
          <w:lang w:val="fr-FR" w:eastAsia="fr-FR" w:bidi="fr-FR"/>
        </w:rPr>
        <w:t>é</w:t>
      </w:r>
      <w:r w:rsidRPr="003B3476">
        <w:rPr>
          <w:lang w:val="fr-FR" w:eastAsia="fr-FR" w:bidi="fr-FR"/>
        </w:rPr>
        <w:t xml:space="preserve">terminer de façon certaine laquelle des deux expressions, « Saint-Denis </w:t>
      </w:r>
      <w:r w:rsidRPr="003B3476">
        <w:rPr>
          <w:bCs/>
          <w:i/>
        </w:rPr>
        <w:t>de</w:t>
      </w:r>
      <w:r w:rsidRPr="003B3476">
        <w:rPr>
          <w:lang w:val="fr-FR" w:eastAsia="fr-FR" w:bidi="fr-FR"/>
        </w:rPr>
        <w:t xml:space="preserve"> France » ou « Saint-Denis </w:t>
      </w:r>
      <w:r w:rsidRPr="003B3476">
        <w:rPr>
          <w:bCs/>
          <w:i/>
        </w:rPr>
        <w:t>en</w:t>
      </w:r>
      <w:r w:rsidRPr="003B3476">
        <w:rPr>
          <w:lang w:val="fr-FR" w:eastAsia="fr-FR" w:bidi="fr-FR"/>
        </w:rPr>
        <w:t xml:space="preserve"> France », fut d’abord en usage ? je crains qu’il ne faille répondre non. Voici pourquoi. Il ne suffît pas de s’attacher à l’âge des poèmes épiques ; il faut aussi considérer l’âge des manuscrits qui nous en ont transmis le texte. En effet, de ce que nous lisons « </w:t>
      </w:r>
      <w:r w:rsidRPr="003B3476">
        <w:rPr>
          <w:bCs/>
        </w:rPr>
        <w:t>en</w:t>
      </w:r>
      <w:r w:rsidRPr="003B3476">
        <w:rPr>
          <w:lang w:val="fr-FR" w:eastAsia="fr-FR" w:bidi="fr-FR"/>
        </w:rPr>
        <w:t xml:space="preserve"> France » dans un m</w:t>
      </w:r>
      <w:r w:rsidRPr="003B3476">
        <w:rPr>
          <w:lang w:val="fr-FR" w:eastAsia="fr-FR" w:bidi="fr-FR"/>
        </w:rPr>
        <w:t>a</w:t>
      </w:r>
      <w:r w:rsidRPr="003B3476">
        <w:rPr>
          <w:lang w:val="fr-FR" w:eastAsia="fr-FR" w:bidi="fr-FR"/>
        </w:rPr>
        <w:t xml:space="preserve">nuscrit, nous ne devons pas conclure que l’original portait cette expression : le copiste a fort bien pu changer </w:t>
      </w:r>
      <w:r w:rsidRPr="003B3476">
        <w:rPr>
          <w:bCs/>
        </w:rPr>
        <w:t>de</w:t>
      </w:r>
      <w:r w:rsidRPr="003B3476">
        <w:rPr>
          <w:lang w:val="fr-FR" w:eastAsia="fr-FR" w:bidi="fr-FR"/>
        </w:rPr>
        <w:t xml:space="preserve"> en </w:t>
      </w:r>
      <w:r w:rsidRPr="003B3476">
        <w:rPr>
          <w:bCs/>
        </w:rPr>
        <w:t>en,</w:t>
      </w:r>
      <w:r w:rsidRPr="003B3476">
        <w:rPr>
          <w:lang w:val="fr-FR" w:eastAsia="fr-FR" w:bidi="fr-FR"/>
        </w:rPr>
        <w:t xml:space="preserve"> soit par simple inattention, soit parce qu’il rétablissait ainsi, consciemment ou non, à la place d’une forme désuète, la forme normalement employée de son temps. L’erreur inverse a pu égal</w:t>
      </w:r>
      <w:r w:rsidRPr="003B3476">
        <w:rPr>
          <w:lang w:val="fr-FR" w:eastAsia="fr-FR" w:bidi="fr-FR"/>
        </w:rPr>
        <w:t>e</w:t>
      </w:r>
      <w:r w:rsidRPr="003B3476">
        <w:rPr>
          <w:lang w:val="fr-FR" w:eastAsia="fr-FR" w:bidi="fr-FR"/>
        </w:rPr>
        <w:t>ment se produire. Nous ne serions en droit d’affirmer l’antériorité de l’expression « </w:t>
      </w:r>
      <w:r w:rsidRPr="003B3476">
        <w:rPr>
          <w:bCs/>
        </w:rPr>
        <w:t>de</w:t>
      </w:r>
      <w:r w:rsidRPr="003B3476">
        <w:rPr>
          <w:lang w:val="fr-FR" w:eastAsia="fr-FR" w:bidi="fr-FR"/>
        </w:rPr>
        <w:t xml:space="preserve"> France » sur l’expression « </w:t>
      </w:r>
      <w:r w:rsidRPr="003B3476">
        <w:rPr>
          <w:bCs/>
        </w:rPr>
        <w:t>en</w:t>
      </w:r>
      <w:r w:rsidRPr="003B3476">
        <w:rPr>
          <w:lang w:val="fr-FR" w:eastAsia="fr-FR" w:bidi="fr-FR"/>
        </w:rPr>
        <w:t xml:space="preserve"> France » que si la première nous était transmise à la fois par les plus anciens poèmes et par les plus a</w:t>
      </w:r>
      <w:r w:rsidRPr="003B3476">
        <w:rPr>
          <w:lang w:val="fr-FR" w:eastAsia="fr-FR" w:bidi="fr-FR"/>
        </w:rPr>
        <w:t>n</w:t>
      </w:r>
      <w:r w:rsidRPr="003B3476">
        <w:rPr>
          <w:lang w:val="fr-FR" w:eastAsia="fr-FR" w:bidi="fr-FR"/>
        </w:rPr>
        <w:t xml:space="preserve">ciens manuscrits. Or, il n’en est rien. Le manuscrit le moins récent du </w:t>
      </w:r>
      <w:r w:rsidRPr="003B3476">
        <w:rPr>
          <w:bCs/>
          <w:i/>
        </w:rPr>
        <w:t>Voyage de Charlemagne</w:t>
      </w:r>
      <w:r w:rsidRPr="003B3476">
        <w:rPr>
          <w:lang w:val="fr-FR" w:eastAsia="fr-FR" w:bidi="fr-FR"/>
        </w:rPr>
        <w:t xml:space="preserve"> (où on lit </w:t>
      </w:r>
      <w:r w:rsidRPr="003B3476">
        <w:rPr>
          <w:bCs/>
        </w:rPr>
        <w:t>de</w:t>
      </w:r>
      <w:r w:rsidRPr="003B3476">
        <w:rPr>
          <w:lang w:val="fr-FR" w:eastAsia="fr-FR" w:bidi="fr-FR"/>
        </w:rPr>
        <w:t xml:space="preserve"> France) ne remonte pas au-delà de la fin du XIII</w:t>
      </w:r>
      <w:r w:rsidRPr="003B3476">
        <w:rPr>
          <w:vertAlign w:val="superscript"/>
          <w:lang w:val="fr-FR" w:eastAsia="fr-FR" w:bidi="fr-FR"/>
        </w:rPr>
        <w:t>e</w:t>
      </w:r>
      <w:r w:rsidRPr="003B3476">
        <w:rPr>
          <w:lang w:val="fr-FR" w:eastAsia="fr-FR" w:bidi="fr-FR"/>
        </w:rPr>
        <w:t xml:space="preserve"> siècle, alors que, par exemple, le manuscrit d’Oxford de </w:t>
      </w:r>
      <w:r w:rsidRPr="003B3476">
        <w:rPr>
          <w:bCs/>
          <w:i/>
        </w:rPr>
        <w:t>Renaud de Montauban</w:t>
      </w:r>
      <w:r w:rsidRPr="003B3476">
        <w:rPr>
          <w:bCs/>
        </w:rPr>
        <w:t>,</w:t>
      </w:r>
      <w:r w:rsidRPr="003B3476">
        <w:rPr>
          <w:lang w:val="fr-FR" w:eastAsia="fr-FR" w:bidi="fr-FR"/>
        </w:rPr>
        <w:t xml:space="preserve"> où se rencontre la forme </w:t>
      </w:r>
      <w:r w:rsidRPr="003B3476">
        <w:rPr>
          <w:bCs/>
        </w:rPr>
        <w:t>en</w:t>
      </w:r>
      <w:r w:rsidRPr="003B3476">
        <w:rPr>
          <w:lang w:val="fr-FR" w:eastAsia="fr-FR" w:bidi="fr-FR"/>
        </w:rPr>
        <w:t xml:space="preserve"> France, date du début du même si</w:t>
      </w:r>
      <w:r w:rsidRPr="003B3476">
        <w:rPr>
          <w:lang w:val="fr-FR" w:eastAsia="fr-FR" w:bidi="fr-FR"/>
        </w:rPr>
        <w:t>è</w:t>
      </w:r>
      <w:r w:rsidRPr="003B3476">
        <w:rPr>
          <w:lang w:val="fr-FR" w:eastAsia="fr-FR" w:bidi="fr-FR"/>
        </w:rPr>
        <w:t xml:space="preserve">cle ; par ailleurs il n’est point douteux que la version de </w:t>
      </w:r>
      <w:r w:rsidRPr="003B3476">
        <w:rPr>
          <w:bCs/>
        </w:rPr>
        <w:t>Renaud</w:t>
      </w:r>
      <w:r w:rsidRPr="003B3476">
        <w:rPr>
          <w:lang w:val="fr-FR" w:eastAsia="fr-FR" w:bidi="fr-FR"/>
        </w:rPr>
        <w:t xml:space="preserve"> contenue dans ce manuscrit n’ait été rédigée bien après le </w:t>
      </w:r>
      <w:r w:rsidRPr="003B3476">
        <w:rPr>
          <w:bCs/>
          <w:i/>
        </w:rPr>
        <w:t>Voyage de Charlemagne</w:t>
      </w:r>
      <w:r w:rsidRPr="003B3476">
        <w:rPr>
          <w:bCs/>
        </w:rPr>
        <w:t>.</w:t>
      </w:r>
      <w:r w:rsidRPr="003B3476">
        <w:rPr>
          <w:lang w:val="fr-FR" w:eastAsia="fr-FR" w:bidi="fr-FR"/>
        </w:rPr>
        <w:t xml:space="preserve"> Dans l’état actuel de nos connaissances, le petit problème de toponymie posé par les expressions « Saint-Denis </w:t>
      </w:r>
      <w:r w:rsidRPr="003B3476">
        <w:rPr>
          <w:bCs/>
        </w:rPr>
        <w:t>de</w:t>
      </w:r>
      <w:r w:rsidRPr="003B3476">
        <w:rPr>
          <w:lang w:val="fr-FR" w:eastAsia="fr-FR" w:bidi="fr-FR"/>
        </w:rPr>
        <w:t xml:space="preserve"> France » et « Saint-Denis </w:t>
      </w:r>
      <w:r w:rsidRPr="003B3476">
        <w:rPr>
          <w:bCs/>
        </w:rPr>
        <w:t>en</w:t>
      </w:r>
      <w:r w:rsidRPr="003B3476">
        <w:rPr>
          <w:lang w:val="fr-FR" w:eastAsia="fr-FR" w:bidi="fr-FR"/>
        </w:rPr>
        <w:t xml:space="preserve"> France » demeure insoluble. Le mot de « France », au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siècle, s’appliquait encore quelqu</w:t>
      </w:r>
      <w:r w:rsidRPr="003B3476">
        <w:rPr>
          <w:lang w:val="fr-FR" w:eastAsia="fr-FR" w:bidi="fr-FR"/>
        </w:rPr>
        <w:t>e</w:t>
      </w:r>
      <w:r w:rsidRPr="003B3476">
        <w:rPr>
          <w:lang w:val="fr-FR" w:eastAsia="fr-FR" w:bidi="fr-FR"/>
        </w:rPr>
        <w:t>fois à la rive gauche de la Seine, comme en témoigne le texte relatif à Mo</w:t>
      </w:r>
      <w:r w:rsidRPr="003B3476">
        <w:rPr>
          <w:lang w:val="fr-FR" w:eastAsia="fr-FR" w:bidi="fr-FR"/>
        </w:rPr>
        <w:t>n</w:t>
      </w:r>
      <w:r w:rsidRPr="003B3476">
        <w:rPr>
          <w:lang w:val="fr-FR" w:eastAsia="fr-FR" w:bidi="fr-FR"/>
        </w:rPr>
        <w:t xml:space="preserve">tlhéry cité, </w:t>
      </w:r>
      <w:r w:rsidRPr="003B3476">
        <w:rPr>
          <w:bCs/>
          <w:i/>
        </w:rPr>
        <w:t>infra.</w:t>
      </w:r>
      <w:r w:rsidRPr="003B3476">
        <w:rPr>
          <w:bCs/>
        </w:rPr>
        <w:t xml:space="preserve">, </w:t>
      </w:r>
      <w:r w:rsidRPr="003B3476">
        <w:rPr>
          <w:lang w:val="fr-FR" w:eastAsia="fr-FR" w:bidi="fr-FR"/>
        </w:rPr>
        <w:t>p. 771, n. 1.</w:t>
      </w:r>
    </w:p>
  </w:footnote>
  <w:footnote w:id="366">
    <w:p w14:paraId="0DAB12B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Exemples cités par </w:t>
      </w:r>
      <w:r w:rsidRPr="003B3476">
        <w:rPr>
          <w:rStyle w:val="Notedebasdepage65ptPetitesmajuscules"/>
          <w:b w:val="0"/>
          <w:sz w:val="24"/>
        </w:rPr>
        <w:t xml:space="preserve">M. Longnon, </w:t>
      </w:r>
      <w:r w:rsidRPr="003B3476">
        <w:rPr>
          <w:bCs/>
          <w:i/>
        </w:rPr>
        <w:t>L’Île-de-France</w:t>
      </w:r>
      <w:r w:rsidRPr="003B3476">
        <w:rPr>
          <w:bCs/>
        </w:rPr>
        <w:t>,</w:t>
      </w:r>
      <w:r w:rsidRPr="003B3476">
        <w:rPr>
          <w:lang w:val="fr-FR" w:eastAsia="fr-FR" w:bidi="fr-FR"/>
        </w:rPr>
        <w:t xml:space="preserve"> p. 16.</w:t>
      </w:r>
    </w:p>
  </w:footnote>
  <w:footnote w:id="367">
    <w:p w14:paraId="76F99F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 τήνκαλουμέν νὴσον », </w:t>
      </w:r>
      <w:r w:rsidRPr="003B3476">
        <w:rPr>
          <w:rStyle w:val="Notedebasdepage65ptPetitesmajuscules"/>
          <w:b w:val="0"/>
          <w:sz w:val="24"/>
        </w:rPr>
        <w:t xml:space="preserve">Polybe, </w:t>
      </w:r>
      <w:r w:rsidRPr="003B3476">
        <w:rPr>
          <w:lang w:val="fr-FR" w:eastAsia="fr-FR" w:bidi="fr-FR"/>
        </w:rPr>
        <w:t xml:space="preserve">III, 49, 5-7. </w:t>
      </w:r>
      <w:r w:rsidRPr="003B3476">
        <w:rPr>
          <w:i/>
          <w:lang w:val="fr-FR" w:eastAsia="fr-FR" w:bidi="fr-FR"/>
        </w:rPr>
        <w:t>Cf.</w:t>
      </w:r>
      <w:r w:rsidRPr="003B3476">
        <w:rPr>
          <w:lang w:val="fr-FR" w:eastAsia="fr-FR" w:bidi="fr-FR"/>
        </w:rPr>
        <w:t xml:space="preserve"> </w:t>
      </w:r>
      <w:r w:rsidRPr="003B3476">
        <w:rPr>
          <w:rStyle w:val="Notedebasdepage65ptPetitesmajuscules"/>
          <w:b w:val="0"/>
          <w:sz w:val="24"/>
        </w:rPr>
        <w:t xml:space="preserve">Tite-Live, </w:t>
      </w:r>
      <w:r w:rsidRPr="003B3476">
        <w:rPr>
          <w:lang w:val="fr-FR" w:eastAsia="fr-FR" w:bidi="fr-FR"/>
        </w:rPr>
        <w:t>XXI, 31,4. On a quelqu</w:t>
      </w:r>
      <w:r w:rsidRPr="003B3476">
        <w:rPr>
          <w:lang w:val="fr-FR" w:eastAsia="fr-FR" w:bidi="fr-FR"/>
        </w:rPr>
        <w:t>e</w:t>
      </w:r>
      <w:r w:rsidRPr="003B3476">
        <w:rPr>
          <w:lang w:val="fr-FR" w:eastAsia="fr-FR" w:bidi="fr-FR"/>
        </w:rPr>
        <w:t>fois identifié cette « île » avec la pointe de terre qui sépare le Rhône et la Sa</w:t>
      </w:r>
      <w:r w:rsidRPr="003B3476">
        <w:rPr>
          <w:lang w:val="fr-FR" w:eastAsia="fr-FR" w:bidi="fr-FR"/>
        </w:rPr>
        <w:t>ô</w:t>
      </w:r>
      <w:r w:rsidRPr="003B3476">
        <w:rPr>
          <w:lang w:val="fr-FR" w:eastAsia="fr-FR" w:bidi="fr-FR"/>
        </w:rPr>
        <w:t xml:space="preserve">ne, en amont de leur confluent. Sur les théories qu’ont fait naître ces textes de Polybe et de Tite-Live, </w:t>
      </w:r>
      <w:r w:rsidRPr="003B3476">
        <w:rPr>
          <w:bCs/>
        </w:rPr>
        <w:t>cf.</w:t>
      </w:r>
      <w:r w:rsidRPr="003B3476">
        <w:rPr>
          <w:lang w:val="fr-FR" w:eastAsia="fr-FR" w:bidi="fr-FR"/>
        </w:rPr>
        <w:t xml:space="preserve"> </w:t>
      </w:r>
      <w:r w:rsidRPr="003B3476">
        <w:rPr>
          <w:rStyle w:val="Notedebasdepage65ptPetitesmajuscules"/>
          <w:b w:val="0"/>
          <w:sz w:val="24"/>
        </w:rPr>
        <w:t xml:space="preserve">Jullian, </w:t>
      </w:r>
      <w:r w:rsidRPr="003B3476">
        <w:rPr>
          <w:bCs/>
          <w:i/>
        </w:rPr>
        <w:t>Histoire de la Gaule</w:t>
      </w:r>
      <w:r w:rsidRPr="003B3476">
        <w:rPr>
          <w:lang w:val="fr-FR" w:eastAsia="fr-FR" w:bidi="fr-FR"/>
        </w:rPr>
        <w:t>, t. I, in-8°, Paris, 1908, p. 474, n° 3. Où que l’on place le territoire « appelé île », il paraît certain qu’il était ce que nous appelons aujourd’hui une presqu’île.</w:t>
      </w:r>
    </w:p>
  </w:footnote>
  <w:footnote w:id="368">
    <w:p w14:paraId="615920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Éd. </w:t>
      </w:r>
      <w:r w:rsidRPr="003B3476">
        <w:rPr>
          <w:rStyle w:val="Notedebasdepage65ptPetitesmajuscules"/>
          <w:b w:val="0"/>
          <w:sz w:val="24"/>
        </w:rPr>
        <w:t xml:space="preserve">Kervyn de Lettenhove, </w:t>
      </w:r>
      <w:r w:rsidRPr="003B3476">
        <w:rPr>
          <w:lang w:val="fr-FR" w:eastAsia="fr-FR" w:bidi="fr-FR"/>
        </w:rPr>
        <w:t>t. XII, in-8°, Bruxelles, 1871, p. 67.</w:t>
      </w:r>
    </w:p>
  </w:footnote>
  <w:footnote w:id="369">
    <w:p w14:paraId="333DE5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Cités par </w:t>
      </w:r>
      <w:r w:rsidRPr="003B3476">
        <w:rPr>
          <w:rStyle w:val="Notedebasdepage65ptPetitesmajuscules"/>
          <w:b w:val="0"/>
          <w:sz w:val="24"/>
        </w:rPr>
        <w:t xml:space="preserve">Monstrelet, </w:t>
      </w:r>
      <w:r w:rsidRPr="003B3476">
        <w:rPr>
          <w:lang w:val="fr-FR" w:eastAsia="fr-FR" w:bidi="fr-FR"/>
        </w:rPr>
        <w:t xml:space="preserve">éd. </w:t>
      </w:r>
      <w:r w:rsidRPr="003B3476">
        <w:rPr>
          <w:rStyle w:val="Notedebasdepage65ptPetitesmajuscules"/>
          <w:b w:val="0"/>
          <w:sz w:val="24"/>
        </w:rPr>
        <w:t xml:space="preserve">Douët d’Arcq (Soc. </w:t>
      </w:r>
      <w:r w:rsidRPr="003B3476">
        <w:rPr>
          <w:lang w:val="fr-FR" w:eastAsia="fr-FR" w:bidi="fr-FR"/>
        </w:rPr>
        <w:t xml:space="preserve">de l’histoire de France), t. IV, in-8°, Paris, 1860, p. 342. </w:t>
      </w:r>
      <w:r w:rsidRPr="003B3476">
        <w:rPr>
          <w:bCs/>
          <w:i/>
        </w:rPr>
        <w:t>Cf.</w:t>
      </w:r>
      <w:r w:rsidRPr="003B3476">
        <w:rPr>
          <w:lang w:val="fr-FR" w:eastAsia="fr-FR" w:bidi="fr-FR"/>
        </w:rPr>
        <w:t xml:space="preserve"> une lettre du duc de Guyenne de 1411, analysée par </w:t>
      </w:r>
      <w:r w:rsidRPr="003B3476">
        <w:rPr>
          <w:rStyle w:val="Notedebasdepage65ptPetitesmajuscules"/>
          <w:b w:val="0"/>
          <w:sz w:val="24"/>
        </w:rPr>
        <w:t xml:space="preserve">Monstrelet, </w:t>
      </w:r>
      <w:r w:rsidRPr="003B3476">
        <w:rPr>
          <w:lang w:val="fr-FR" w:eastAsia="fr-FR" w:bidi="fr-FR"/>
        </w:rPr>
        <w:t>t. II. 1858, p. 171.</w:t>
      </w:r>
    </w:p>
  </w:footnote>
  <w:footnote w:id="370">
    <w:p w14:paraId="688D67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Cité </w:t>
      </w:r>
      <w:r w:rsidRPr="003B3476">
        <w:rPr>
          <w:lang w:val="fr-FR" w:eastAsia="fr-FR" w:bidi="fr-FR"/>
        </w:rPr>
        <w:t xml:space="preserve">par </w:t>
      </w:r>
      <w:r w:rsidRPr="003B3476">
        <w:rPr>
          <w:smallCaps/>
        </w:rPr>
        <w:t>Longnon</w:t>
      </w:r>
      <w:r w:rsidRPr="003B3476">
        <w:t xml:space="preserve">, </w:t>
      </w:r>
      <w:r w:rsidRPr="003B3476">
        <w:rPr>
          <w:rStyle w:val="Notedebasdepage375ptItalique"/>
          <w:b w:val="0"/>
          <w:sz w:val="24"/>
        </w:rPr>
        <w:t>L’Île-de-France,</w:t>
      </w:r>
      <w:r w:rsidRPr="003B3476">
        <w:t xml:space="preserve"> </w:t>
      </w:r>
      <w:r w:rsidRPr="003B3476">
        <w:rPr>
          <w:lang w:val="fr-FR" w:eastAsia="fr-FR" w:bidi="fr-FR"/>
        </w:rPr>
        <w:t>p. 30.</w:t>
      </w:r>
    </w:p>
  </w:footnote>
  <w:footnote w:id="371">
    <w:p w14:paraId="13D610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 gouvernement de l’Île-de-France, on consultera </w:t>
      </w:r>
      <w:r w:rsidRPr="003B3476">
        <w:rPr>
          <w:rStyle w:val="Notedebasdepage65ptPetitesmajuscules"/>
          <w:b w:val="0"/>
          <w:sz w:val="24"/>
        </w:rPr>
        <w:t xml:space="preserve">Longnon, </w:t>
      </w:r>
      <w:r w:rsidRPr="003B3476">
        <w:rPr>
          <w:rStyle w:val="Notedebasdepage65ptPetitesmajuscules"/>
          <w:b w:val="0"/>
          <w:i/>
          <w:sz w:val="24"/>
        </w:rPr>
        <w:t>L’Î</w:t>
      </w:r>
      <w:r w:rsidRPr="003B3476">
        <w:rPr>
          <w:bCs/>
          <w:i/>
        </w:rPr>
        <w:t>le-de-France</w:t>
      </w:r>
      <w:r w:rsidRPr="003B3476">
        <w:rPr>
          <w:bCs/>
        </w:rPr>
        <w:t xml:space="preserve"> </w:t>
      </w:r>
      <w:r w:rsidRPr="003B3476">
        <w:rPr>
          <w:lang w:val="fr-FR" w:eastAsia="fr-FR" w:bidi="fr-FR"/>
        </w:rPr>
        <w:t xml:space="preserve">et Armand </w:t>
      </w:r>
      <w:r w:rsidRPr="003B3476">
        <w:rPr>
          <w:rStyle w:val="Notedebasdepage65ptPetitesmajuscules"/>
          <w:b w:val="0"/>
          <w:sz w:val="24"/>
        </w:rPr>
        <w:t xml:space="preserve">Brette, </w:t>
      </w:r>
      <w:r w:rsidRPr="003B3476">
        <w:rPr>
          <w:bCs/>
          <w:i/>
        </w:rPr>
        <w:t>Recueil de documents relatifs à la convocation des États gén</w:t>
      </w:r>
      <w:r w:rsidRPr="003B3476">
        <w:rPr>
          <w:bCs/>
          <w:i/>
        </w:rPr>
        <w:t>é</w:t>
      </w:r>
      <w:r w:rsidRPr="003B3476">
        <w:rPr>
          <w:bCs/>
          <w:i/>
        </w:rPr>
        <w:t xml:space="preserve">raux de 1789 </w:t>
      </w:r>
      <w:r w:rsidRPr="003B3476">
        <w:rPr>
          <w:lang w:val="fr-FR" w:eastAsia="fr-FR" w:bidi="fr-FR"/>
        </w:rPr>
        <w:t>(Collect. des Doc. inédits), t. I, in-4°, Paris, 1894, p. 378-381.</w:t>
      </w:r>
    </w:p>
  </w:footnote>
  <w:footnote w:id="372">
    <w:p w14:paraId="1634A3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Dans le mémoire déjà souvent cité.</w:t>
      </w:r>
    </w:p>
  </w:footnote>
  <w:footnote w:id="373">
    <w:p w14:paraId="7C74B2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limites de la Picardie, et les caractères de cette région, </w:t>
      </w:r>
      <w:r w:rsidRPr="003B3476">
        <w:t xml:space="preserve">cf., </w:t>
      </w:r>
      <w:r w:rsidRPr="003B3476">
        <w:rPr>
          <w:lang w:val="fr-FR" w:eastAsia="fr-FR" w:bidi="fr-FR"/>
        </w:rPr>
        <w:t xml:space="preserve">outre </w:t>
      </w:r>
      <w:r w:rsidRPr="003B3476">
        <w:rPr>
          <w:rStyle w:val="Notedebasdepage65ptPetitesmajuscules"/>
          <w:b w:val="0"/>
          <w:sz w:val="24"/>
        </w:rPr>
        <w:t>Lo</w:t>
      </w:r>
      <w:r w:rsidRPr="003B3476">
        <w:rPr>
          <w:rStyle w:val="Notedebasdepage65ptPetitesmajuscules"/>
          <w:b w:val="0"/>
          <w:sz w:val="24"/>
        </w:rPr>
        <w:t>n</w:t>
      </w:r>
      <w:r w:rsidRPr="003B3476">
        <w:rPr>
          <w:rStyle w:val="Notedebasdepage65ptPetitesmajuscules"/>
          <w:b w:val="0"/>
          <w:sz w:val="24"/>
        </w:rPr>
        <w:t xml:space="preserve">gnon, </w:t>
      </w:r>
      <w:r w:rsidRPr="003B3476">
        <w:rPr>
          <w:i/>
        </w:rPr>
        <w:t>L'Île-de-France</w:t>
      </w:r>
      <w:r w:rsidRPr="003B3476">
        <w:t>,</w:t>
      </w:r>
      <w:r w:rsidRPr="003B3476">
        <w:rPr>
          <w:lang w:val="fr-FR" w:eastAsia="fr-FR" w:bidi="fr-FR"/>
        </w:rPr>
        <w:t xml:space="preserve"> </w:t>
      </w:r>
      <w:r w:rsidRPr="003B3476">
        <w:rPr>
          <w:rStyle w:val="Notedebasdepage65ptPetitesmajuscules"/>
          <w:b w:val="0"/>
          <w:sz w:val="24"/>
        </w:rPr>
        <w:t xml:space="preserve">Vidal de la Blache, </w:t>
      </w:r>
      <w:r w:rsidRPr="003B3476">
        <w:rPr>
          <w:i/>
        </w:rPr>
        <w:t>Tableau de la géographie de la</w:t>
      </w:r>
      <w:r w:rsidRPr="003B3476">
        <w:t xml:space="preserve"> </w:t>
      </w:r>
      <w:r w:rsidRPr="003B3476">
        <w:rPr>
          <w:i/>
        </w:rPr>
        <w:t>France</w:t>
      </w:r>
      <w:r w:rsidRPr="003B3476">
        <w:rPr>
          <w:lang w:val="fr-FR" w:eastAsia="fr-FR" w:bidi="fr-FR"/>
        </w:rPr>
        <w:t xml:space="preserve"> </w:t>
      </w:r>
      <w:r w:rsidRPr="003B3476">
        <w:rPr>
          <w:rStyle w:val="Notedebasdepage65ptPetitesmajuscules"/>
          <w:b w:val="0"/>
          <w:sz w:val="24"/>
        </w:rPr>
        <w:t xml:space="preserve">(Lavisse, </w:t>
      </w:r>
      <w:r w:rsidRPr="003B3476">
        <w:rPr>
          <w:i/>
        </w:rPr>
        <w:t>Hist. de France</w:t>
      </w:r>
      <w:r w:rsidRPr="003B3476">
        <w:rPr>
          <w:lang w:val="fr-FR" w:eastAsia="fr-FR" w:bidi="fr-FR"/>
        </w:rPr>
        <w:t xml:space="preserve">, I,1), p. 98-99, et A. </w:t>
      </w:r>
      <w:r w:rsidRPr="003B3476">
        <w:rPr>
          <w:rStyle w:val="Notedebasdepage65ptPetitesmajuscules"/>
          <w:b w:val="0"/>
          <w:sz w:val="24"/>
        </w:rPr>
        <w:t xml:space="preserve">Demangeon, </w:t>
      </w:r>
      <w:r w:rsidRPr="003B3476">
        <w:rPr>
          <w:i/>
        </w:rPr>
        <w:t>La Pla</w:t>
      </w:r>
      <w:r w:rsidRPr="003B3476">
        <w:rPr>
          <w:i/>
        </w:rPr>
        <w:t>i</w:t>
      </w:r>
      <w:r w:rsidRPr="003B3476">
        <w:rPr>
          <w:i/>
        </w:rPr>
        <w:t>ne Picarde</w:t>
      </w:r>
      <w:r w:rsidRPr="003B3476">
        <w:t>,</w:t>
      </w:r>
      <w:r w:rsidRPr="003B3476">
        <w:rPr>
          <w:lang w:val="fr-FR" w:eastAsia="fr-FR" w:bidi="fr-FR"/>
        </w:rPr>
        <w:t xml:space="preserve"> thèse Fac. Le</w:t>
      </w:r>
      <w:r w:rsidRPr="003B3476">
        <w:rPr>
          <w:lang w:val="fr-FR" w:eastAsia="fr-FR" w:bidi="fr-FR"/>
        </w:rPr>
        <w:t>t</w:t>
      </w:r>
      <w:r w:rsidRPr="003B3476">
        <w:rPr>
          <w:lang w:val="fr-FR" w:eastAsia="fr-FR" w:bidi="fr-FR"/>
        </w:rPr>
        <w:t>tres Paris, in-8°, Paris, 1905, 496 p. Les diocèses de Beauvais, Noyon et Laon (non, il est vrai, celui de Senlis) étaient compris dans ce que l’on appelait à l’Université de Paris la « nation » picarde. On r</w:t>
      </w:r>
      <w:r w:rsidRPr="003B3476">
        <w:rPr>
          <w:lang w:val="fr-FR" w:eastAsia="fr-FR" w:bidi="fr-FR"/>
        </w:rPr>
        <w:t>e</w:t>
      </w:r>
      <w:r w:rsidRPr="003B3476">
        <w:rPr>
          <w:lang w:val="fr-FR" w:eastAsia="fr-FR" w:bidi="fr-FR"/>
        </w:rPr>
        <w:t>marquera qu’au XII</w:t>
      </w:r>
      <w:r w:rsidRPr="003B3476">
        <w:rPr>
          <w:vertAlign w:val="superscript"/>
          <w:lang w:val="fr-FR" w:eastAsia="fr-FR" w:bidi="fr-FR"/>
        </w:rPr>
        <w:t>e</w:t>
      </w:r>
      <w:r w:rsidRPr="003B3476">
        <w:rPr>
          <w:lang w:val="fr-FR" w:eastAsia="fr-FR" w:bidi="fr-FR"/>
        </w:rPr>
        <w:t xml:space="preserve"> siècle Garnier de Pont-Sainte-Maxence, né au Nord de Senlis, se considérait pou</w:t>
      </w:r>
      <w:r w:rsidRPr="003B3476">
        <w:rPr>
          <w:lang w:val="fr-FR" w:eastAsia="fr-FR" w:bidi="fr-FR"/>
        </w:rPr>
        <w:t>r</w:t>
      </w:r>
      <w:r w:rsidRPr="003B3476">
        <w:rPr>
          <w:lang w:val="fr-FR" w:eastAsia="fr-FR" w:bidi="fr-FR"/>
        </w:rPr>
        <w:t>tant comme né en « France ». En l’absence de toute étude sérieuse sur la gé</w:t>
      </w:r>
      <w:r w:rsidRPr="003B3476">
        <w:rPr>
          <w:lang w:val="fr-FR" w:eastAsia="fr-FR" w:bidi="fr-FR"/>
        </w:rPr>
        <w:t>o</w:t>
      </w:r>
      <w:r w:rsidRPr="003B3476">
        <w:rPr>
          <w:lang w:val="fr-FR" w:eastAsia="fr-FR" w:bidi="fr-FR"/>
        </w:rPr>
        <w:t>graphie linguistique de la Picardie et de l’Île-de-France cette anomalie reste inexplicable.</w:t>
      </w:r>
    </w:p>
  </w:footnote>
  <w:footnote w:id="374">
    <w:p w14:paraId="23E30A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Longnon, </w:t>
      </w:r>
      <w:r w:rsidRPr="003B3476">
        <w:rPr>
          <w:rStyle w:val="Notedebasdepage375ptItalique"/>
          <w:b w:val="0"/>
          <w:sz w:val="24"/>
        </w:rPr>
        <w:t>L’Île-de-France,</w:t>
      </w:r>
      <w:r w:rsidRPr="003B3476">
        <w:t xml:space="preserve"> </w:t>
      </w:r>
      <w:r w:rsidRPr="003B3476">
        <w:rPr>
          <w:lang w:val="fr-FR" w:eastAsia="fr-FR" w:bidi="fr-FR"/>
        </w:rPr>
        <w:t>p. 19, n. 3.</w:t>
      </w:r>
    </w:p>
  </w:footnote>
  <w:footnote w:id="375">
    <w:p w14:paraId="5818F6F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P. 447.</w:t>
      </w:r>
    </w:p>
  </w:footnote>
  <w:footnote w:id="376">
    <w:p w14:paraId="50C7A54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Et du Boulonnais, qui formait un gouvernement à part.</w:t>
      </w:r>
    </w:p>
  </w:footnote>
  <w:footnote w:id="377">
    <w:p w14:paraId="161D0B3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Bullet. Soc. hist. Paris</w:t>
      </w:r>
      <w:r w:rsidRPr="003B3476">
        <w:rPr>
          <w:lang w:val="fr-FR" w:eastAsia="fr-FR" w:bidi="fr-FR"/>
        </w:rPr>
        <w:t>,</w:t>
      </w:r>
      <w:r w:rsidRPr="003B3476">
        <w:rPr>
          <w:bCs/>
        </w:rPr>
        <w:t xml:space="preserve"> t. I, 1874, p. 36.</w:t>
      </w:r>
    </w:p>
  </w:footnote>
  <w:footnote w:id="378">
    <w:p w14:paraId="7344C0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Paris a souvent eu un gouverneur distinct de celui de l’Île-de-France ; mais a toujours été la capitale du gouvernement de l’Île-de-France.</w:t>
      </w:r>
    </w:p>
  </w:footnote>
  <w:footnote w:id="379">
    <w:p w14:paraId="2F8F83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w:t>
      </w:r>
      <w:r w:rsidRPr="003B3476">
        <w:rPr>
          <w:rStyle w:val="Notedebasdepage265ptNonItalique"/>
          <w:b w:val="0"/>
          <w:i/>
          <w:iCs/>
          <w:sz w:val="24"/>
        </w:rPr>
        <w:t xml:space="preserve">le </w:t>
      </w:r>
      <w:r w:rsidRPr="003B3476">
        <w:rPr>
          <w:i/>
          <w:lang w:val="fr-FR" w:eastAsia="fr-FR" w:bidi="fr-FR"/>
        </w:rPr>
        <w:t>Cahier du Tiers-État d'Auxerre</w:t>
      </w:r>
      <w:r w:rsidRPr="003B3476">
        <w:rPr>
          <w:lang w:val="fr-FR" w:eastAsia="fr-FR" w:bidi="fr-FR"/>
        </w:rPr>
        <w:t>,</w:t>
      </w:r>
      <w:r w:rsidRPr="003B3476">
        <w:rPr>
          <w:bCs/>
        </w:rPr>
        <w:t xml:space="preserve"> cité par Armand </w:t>
      </w:r>
      <w:r w:rsidRPr="003B3476">
        <w:rPr>
          <w:rStyle w:val="Notedebasdepage265ptNonItaliquePetitesmajuscules"/>
          <w:b w:val="0"/>
          <w:i/>
          <w:iCs/>
          <w:sz w:val="24"/>
        </w:rPr>
        <w:t xml:space="preserve">Brette, </w:t>
      </w:r>
      <w:r w:rsidRPr="003B3476">
        <w:rPr>
          <w:i/>
          <w:lang w:val="fr-FR" w:eastAsia="fr-FR" w:bidi="fr-FR"/>
        </w:rPr>
        <w:t>Atlas des bai</w:t>
      </w:r>
      <w:r w:rsidRPr="003B3476">
        <w:rPr>
          <w:i/>
          <w:lang w:val="fr-FR" w:eastAsia="fr-FR" w:bidi="fr-FR"/>
        </w:rPr>
        <w:t>l</w:t>
      </w:r>
      <w:r w:rsidRPr="003B3476">
        <w:rPr>
          <w:i/>
          <w:lang w:val="fr-FR" w:eastAsia="fr-FR" w:bidi="fr-FR"/>
        </w:rPr>
        <w:t>liages ou juridictions assimilées ayant formé unité électorale en 1789</w:t>
      </w:r>
      <w:r w:rsidRPr="003B3476">
        <w:rPr>
          <w:lang w:val="fr-FR" w:eastAsia="fr-FR" w:bidi="fr-FR"/>
        </w:rPr>
        <w:t>...,</w:t>
      </w:r>
      <w:r w:rsidRPr="003B3476">
        <w:rPr>
          <w:bCs/>
        </w:rPr>
        <w:t xml:space="preserve"> in-folio, 1904 (Doc. inédits), Introd., </w:t>
      </w:r>
      <w:r w:rsidRPr="003B3476">
        <w:rPr>
          <w:lang w:val="fr-FR" w:eastAsia="fr-FR" w:bidi="fr-FR"/>
        </w:rPr>
        <w:t>p. XVI.</w:t>
      </w:r>
    </w:p>
  </w:footnote>
  <w:footnote w:id="380">
    <w:p w14:paraId="2FB6BC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Cf.</w:t>
      </w:r>
      <w:r w:rsidRPr="003B3476">
        <w:rPr>
          <w:lang w:val="fr-FR" w:eastAsia="fr-FR" w:bidi="fr-FR"/>
        </w:rPr>
        <w:t xml:space="preserve"> les deux volumes intitulés : </w:t>
      </w:r>
      <w:r w:rsidRPr="003B3476">
        <w:rPr>
          <w:i/>
        </w:rPr>
        <w:t>Procès-verbal des séances de rassemblée pr</w:t>
      </w:r>
      <w:r w:rsidRPr="003B3476">
        <w:rPr>
          <w:i/>
        </w:rPr>
        <w:t>o</w:t>
      </w:r>
      <w:r w:rsidRPr="003B3476">
        <w:rPr>
          <w:i/>
        </w:rPr>
        <w:t xml:space="preserve">vinciale de l’Isle-de-France tenue à Melun dans le mois d’août </w:t>
      </w:r>
      <w:r w:rsidRPr="003B3476">
        <w:rPr>
          <w:rStyle w:val="Notedebasdepage65ptNonGrasItalique"/>
          <w:b w:val="0"/>
          <w:bCs w:val="0"/>
          <w:i w:val="0"/>
          <w:sz w:val="24"/>
        </w:rPr>
        <w:t>1787</w:t>
      </w:r>
      <w:r w:rsidRPr="003B3476">
        <w:rPr>
          <w:lang w:val="fr-FR" w:eastAsia="fr-FR" w:bidi="fr-FR"/>
        </w:rPr>
        <w:t>, in-4°, P</w:t>
      </w:r>
      <w:r w:rsidRPr="003B3476">
        <w:rPr>
          <w:lang w:val="fr-FR" w:eastAsia="fr-FR" w:bidi="fr-FR"/>
        </w:rPr>
        <w:t>a</w:t>
      </w:r>
      <w:r w:rsidRPr="003B3476">
        <w:rPr>
          <w:lang w:val="fr-FR" w:eastAsia="fr-FR" w:bidi="fr-FR"/>
        </w:rPr>
        <w:t xml:space="preserve">ris, Imprimerie Royale, </w:t>
      </w:r>
      <w:r w:rsidRPr="003B3476">
        <w:t xml:space="preserve">1787, </w:t>
      </w:r>
      <w:r w:rsidRPr="003B3476">
        <w:rPr>
          <w:lang w:val="fr-FR" w:eastAsia="fr-FR" w:bidi="fr-FR"/>
        </w:rPr>
        <w:t xml:space="preserve">67 p., et </w:t>
      </w:r>
      <w:r w:rsidRPr="003B3476">
        <w:rPr>
          <w:i/>
        </w:rPr>
        <w:t>Procès-verbal des séances de l’assemblée provinciale de l’Isle-de-France tenues à Melun en novembre et décembre</w:t>
      </w:r>
      <w:r w:rsidRPr="003B3476">
        <w:t xml:space="preserve"> </w:t>
      </w:r>
      <w:r w:rsidRPr="003B3476">
        <w:rPr>
          <w:rStyle w:val="Notedebasdepage65ptNonGrasItalique"/>
          <w:b w:val="0"/>
          <w:bCs w:val="0"/>
          <w:sz w:val="24"/>
        </w:rPr>
        <w:t>1787</w:t>
      </w:r>
      <w:r w:rsidRPr="003B3476">
        <w:rPr>
          <w:lang w:val="fr-FR" w:eastAsia="fr-FR" w:bidi="fr-FR"/>
        </w:rPr>
        <w:t xml:space="preserve">, in-4°. Sens et Paris, </w:t>
      </w:r>
      <w:r w:rsidRPr="003B3476">
        <w:t xml:space="preserve">1788, lxxxiv-452 </w:t>
      </w:r>
      <w:r w:rsidRPr="003B3476">
        <w:rPr>
          <w:lang w:val="fr-FR" w:eastAsia="fr-FR" w:bidi="fr-FR"/>
        </w:rPr>
        <w:t xml:space="preserve">p. Le volume indiqué en seconde ligne contient en même temps que les procès-verbaux des séances des mois de novembre et décembre, les procès-verbaux des séances du mois d’août, que donne seul le volume signalé en premier lieu. On trouvera le « Règlement fait par le roi » </w:t>
      </w:r>
      <w:r w:rsidRPr="003B3476">
        <w:t xml:space="preserve">(8 </w:t>
      </w:r>
      <w:r w:rsidRPr="003B3476">
        <w:rPr>
          <w:lang w:val="fr-FR" w:eastAsia="fr-FR" w:bidi="fr-FR"/>
        </w:rPr>
        <w:t xml:space="preserve">juillet </w:t>
      </w:r>
      <w:r w:rsidRPr="003B3476">
        <w:t xml:space="preserve">1787) </w:t>
      </w:r>
      <w:r w:rsidRPr="003B3476">
        <w:rPr>
          <w:lang w:val="fr-FR" w:eastAsia="fr-FR" w:bidi="fr-FR"/>
        </w:rPr>
        <w:t xml:space="preserve">à la page </w:t>
      </w:r>
      <w:r w:rsidRPr="003B3476">
        <w:rPr>
          <w:smallCaps/>
          <w:lang w:val="fr-FR" w:eastAsia="fr-FR" w:bidi="fr-FR"/>
        </w:rPr>
        <w:t>xvii</w:t>
      </w:r>
      <w:r w:rsidRPr="003B3476">
        <w:rPr>
          <w:lang w:val="fr-FR" w:eastAsia="fr-FR" w:bidi="fr-FR"/>
        </w:rPr>
        <w:t xml:space="preserve"> du volume édité en </w:t>
      </w:r>
      <w:r w:rsidRPr="003B3476">
        <w:t xml:space="preserve">1787. </w:t>
      </w:r>
      <w:r w:rsidRPr="003B3476">
        <w:rPr>
          <w:lang w:val="fr-FR" w:eastAsia="fr-FR" w:bidi="fr-FR"/>
        </w:rPr>
        <w:t xml:space="preserve">Sur l’emploi du mot « province » dans le sens de « généralité » on peut consulter : Jacques </w:t>
      </w:r>
      <w:r w:rsidRPr="003B3476">
        <w:rPr>
          <w:smallCaps/>
        </w:rPr>
        <w:t>Soyer</w:t>
      </w:r>
      <w:r w:rsidRPr="003B3476">
        <w:t xml:space="preserve">, </w:t>
      </w:r>
      <w:r w:rsidRPr="003B3476">
        <w:rPr>
          <w:i/>
        </w:rPr>
        <w:t>Le mot</w:t>
      </w:r>
      <w:r w:rsidRPr="003B3476">
        <w:rPr>
          <w:i/>
          <w:lang w:val="fr-FR" w:eastAsia="fr-FR" w:bidi="fr-FR"/>
        </w:rPr>
        <w:t xml:space="preserve"> « </w:t>
      </w:r>
      <w:r w:rsidRPr="003B3476">
        <w:rPr>
          <w:i/>
        </w:rPr>
        <w:t>province</w:t>
      </w:r>
      <w:r w:rsidRPr="003B3476">
        <w:rPr>
          <w:i/>
          <w:lang w:val="fr-FR" w:eastAsia="fr-FR" w:bidi="fr-FR"/>
        </w:rPr>
        <w:t xml:space="preserve"> » </w:t>
      </w:r>
      <w:r w:rsidRPr="003B3476">
        <w:rPr>
          <w:i/>
        </w:rPr>
        <w:t>employé comme synonyme de</w:t>
      </w:r>
      <w:r w:rsidRPr="003B3476">
        <w:rPr>
          <w:i/>
          <w:lang w:val="fr-FR" w:eastAsia="fr-FR" w:bidi="fr-FR"/>
        </w:rPr>
        <w:t xml:space="preserve"> « </w:t>
      </w:r>
      <w:r w:rsidRPr="003B3476">
        <w:rPr>
          <w:i/>
        </w:rPr>
        <w:t>généralité » au XVIII</w:t>
      </w:r>
      <w:r w:rsidRPr="003B3476">
        <w:rPr>
          <w:i/>
          <w:vertAlign w:val="superscript"/>
        </w:rPr>
        <w:t>e</w:t>
      </w:r>
      <w:r w:rsidRPr="003B3476">
        <w:rPr>
          <w:i/>
        </w:rPr>
        <w:t xml:space="preserve"> siècle</w:t>
      </w:r>
      <w:r w:rsidRPr="003B3476">
        <w:rPr>
          <w:i/>
          <w:lang w:val="fr-FR" w:eastAsia="fr-FR" w:bidi="fr-FR"/>
        </w:rPr>
        <w:t xml:space="preserve">, dans </w:t>
      </w:r>
      <w:r w:rsidRPr="003B3476">
        <w:rPr>
          <w:i/>
        </w:rPr>
        <w:t>Bull. soc. arch. de l’Orléanais</w:t>
      </w:r>
      <w:r w:rsidRPr="003B3476">
        <w:rPr>
          <w:lang w:val="fr-FR" w:eastAsia="fr-FR" w:bidi="fr-FR"/>
        </w:rPr>
        <w:t xml:space="preserve">, t. XV </w:t>
      </w:r>
      <w:r w:rsidRPr="003B3476">
        <w:t xml:space="preserve">(1908), </w:t>
      </w:r>
      <w:r w:rsidRPr="003B3476">
        <w:rPr>
          <w:lang w:val="fr-FR" w:eastAsia="fr-FR" w:bidi="fr-FR"/>
        </w:rPr>
        <w:t xml:space="preserve">p. </w:t>
      </w:r>
      <w:r w:rsidRPr="003B3476">
        <w:t>98-100.</w:t>
      </w:r>
    </w:p>
  </w:footnote>
  <w:footnote w:id="381">
    <w:p w14:paraId="106EF80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Ex. </w:t>
      </w:r>
      <w:r w:rsidRPr="003B3476">
        <w:rPr>
          <w:bCs/>
          <w:i/>
        </w:rPr>
        <w:t>Procès-verbal des séances</w:t>
      </w:r>
      <w:r w:rsidRPr="003B3476">
        <w:rPr>
          <w:lang w:val="fr-FR" w:eastAsia="fr-FR" w:bidi="fr-FR"/>
        </w:rPr>
        <w:t>, éd. de 1787, p. 12.</w:t>
      </w:r>
    </w:p>
  </w:footnote>
  <w:footnote w:id="382">
    <w:p w14:paraId="0C2DFD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Dans l’usage populaire du Moyen Âge, le mot d’Île-de-France a dû quelqu</w:t>
      </w:r>
      <w:r w:rsidRPr="003B3476">
        <w:rPr>
          <w:lang w:val="fr-FR" w:eastAsia="fr-FR" w:bidi="fr-FR"/>
        </w:rPr>
        <w:t>e</w:t>
      </w:r>
      <w:r w:rsidRPr="003B3476">
        <w:rPr>
          <w:lang w:val="fr-FR" w:eastAsia="fr-FR" w:bidi="fr-FR"/>
        </w:rPr>
        <w:t>fois avoir un sens linguistique ; on opposait sans doute sous le nom de France les pays de langue « française » aux pays de langues picarde ou normande. L’étude géographique du dialecte de l’Île-de-France est encore à faire (</w:t>
      </w:r>
      <w:r w:rsidRPr="003B3476">
        <w:rPr>
          <w:i/>
          <w:lang w:val="fr-FR" w:eastAsia="fr-FR" w:bidi="fr-FR"/>
        </w:rPr>
        <w:t>cf</w:t>
      </w:r>
      <w:r w:rsidRPr="003B3476">
        <w:rPr>
          <w:lang w:val="fr-FR" w:eastAsia="fr-FR" w:bidi="fr-FR"/>
        </w:rPr>
        <w:t>. p. 700, n° 3).</w:t>
      </w:r>
    </w:p>
  </w:footnote>
  <w:footnote w:id="383">
    <w:p w14:paraId="5B5C8915" w14:textId="77777777" w:rsidR="00B9662D" w:rsidRPr="003B3476" w:rsidRDefault="00B9662D" w:rsidP="00B9662D">
      <w:pPr>
        <w:pStyle w:val="Notedebasdepage"/>
      </w:pPr>
      <w:r w:rsidRPr="003B3476">
        <w:rPr>
          <w:rStyle w:val="Appelnotedebasdep"/>
          <w:sz w:val="24"/>
        </w:rPr>
        <w:footnoteRef/>
      </w:r>
      <w:r w:rsidRPr="003B3476">
        <w:t xml:space="preserve"> </w:t>
      </w:r>
      <w:r w:rsidRPr="003B3476">
        <w:tab/>
      </w:r>
      <w:r w:rsidRPr="003B3476">
        <w:rPr>
          <w:lang w:eastAsia="fr-FR" w:bidi="fr-FR"/>
        </w:rPr>
        <w:t xml:space="preserve">L’ouvrage le plus important sur la géologie de l’Île-de-France est aujourd’hui celui de M. Paul </w:t>
      </w:r>
      <w:r w:rsidRPr="003B3476">
        <w:rPr>
          <w:rStyle w:val="Notedebasdepage65ptPetitesmajuscules"/>
          <w:b w:val="0"/>
          <w:sz w:val="24"/>
        </w:rPr>
        <w:t>Lemoine,</w:t>
      </w:r>
      <w:r w:rsidRPr="003B3476">
        <w:rPr>
          <w:rStyle w:val="Notedebasdepage65ptPetitesmajuscules"/>
          <w:sz w:val="24"/>
        </w:rPr>
        <w:t xml:space="preserve"> </w:t>
      </w:r>
      <w:r w:rsidRPr="003B3476">
        <w:rPr>
          <w:i/>
        </w:rPr>
        <w:t>Géologie du Bassin de Paris</w:t>
      </w:r>
      <w:r w:rsidRPr="003B3476">
        <w:t>,</w:t>
      </w:r>
      <w:r w:rsidRPr="003B3476">
        <w:rPr>
          <w:lang w:eastAsia="fr-FR" w:bidi="fr-FR"/>
        </w:rPr>
        <w:t xml:space="preserve"> in-8°, Paris, 1911, </w:t>
      </w:r>
      <w:r w:rsidRPr="003B3476">
        <w:rPr>
          <w:smallCaps/>
          <w:lang w:eastAsia="fr-FR" w:bidi="fr-FR"/>
        </w:rPr>
        <w:t>ii</w:t>
      </w:r>
      <w:r w:rsidRPr="003B3476">
        <w:rPr>
          <w:rStyle w:val="Notedebasdepage65ptPetitesmajuscules"/>
          <w:sz w:val="24"/>
        </w:rPr>
        <w:t xml:space="preserve"> </w:t>
      </w:r>
      <w:r w:rsidRPr="003B3476">
        <w:rPr>
          <w:lang w:eastAsia="fr-FR" w:bidi="fr-FR"/>
        </w:rPr>
        <w:t>+ 408 p. C’est malheureusement un répertoire plutôt qu’un ouvrage de synth</w:t>
      </w:r>
      <w:r w:rsidRPr="003B3476">
        <w:rPr>
          <w:lang w:eastAsia="fr-FR" w:bidi="fr-FR"/>
        </w:rPr>
        <w:t>è</w:t>
      </w:r>
      <w:r w:rsidRPr="003B3476">
        <w:rPr>
          <w:lang w:eastAsia="fr-FR" w:bidi="fr-FR"/>
        </w:rPr>
        <w:t>se. On y trouvera une abondante bibliographie qui compte près de 800 num</w:t>
      </w:r>
      <w:r w:rsidRPr="003B3476">
        <w:rPr>
          <w:lang w:eastAsia="fr-FR" w:bidi="fr-FR"/>
        </w:rPr>
        <w:t>é</w:t>
      </w:r>
      <w:r w:rsidRPr="003B3476">
        <w:rPr>
          <w:lang w:eastAsia="fr-FR" w:bidi="fr-FR"/>
        </w:rPr>
        <w:t xml:space="preserve">ros (p. 349 à 377). Voir aussi St. </w:t>
      </w:r>
      <w:r w:rsidRPr="003B3476">
        <w:rPr>
          <w:rStyle w:val="Notedebasdepage65ptPetitesmajuscules"/>
          <w:b w:val="0"/>
          <w:sz w:val="24"/>
        </w:rPr>
        <w:t>Meunier,</w:t>
      </w:r>
      <w:r w:rsidRPr="003B3476">
        <w:rPr>
          <w:rStyle w:val="Notedebasdepage65ptPetitesmajuscules"/>
          <w:sz w:val="24"/>
        </w:rPr>
        <w:t xml:space="preserve"> </w:t>
      </w:r>
      <w:r w:rsidRPr="003B3476">
        <w:rPr>
          <w:i/>
        </w:rPr>
        <w:t>Géologie des</w:t>
      </w:r>
      <w:r w:rsidRPr="003B3476">
        <w:t xml:space="preserve"> </w:t>
      </w:r>
      <w:r w:rsidRPr="003B3476">
        <w:rPr>
          <w:i/>
        </w:rPr>
        <w:t>environs de Paris</w:t>
      </w:r>
      <w:r w:rsidRPr="003B3476">
        <w:rPr>
          <w:lang w:eastAsia="fr-FR" w:bidi="fr-FR"/>
        </w:rPr>
        <w:t xml:space="preserve">, in-8°, Paris, 1912, 540 p. Le livre de M. L. </w:t>
      </w:r>
      <w:r w:rsidRPr="003B3476">
        <w:rPr>
          <w:rStyle w:val="Notedebasdepage65ptPetitesmajuscules"/>
          <w:b w:val="0"/>
          <w:sz w:val="24"/>
        </w:rPr>
        <w:t>Gallois,</w:t>
      </w:r>
      <w:r w:rsidRPr="003B3476">
        <w:rPr>
          <w:rStyle w:val="Notedebasdepage65ptPetitesmajuscules"/>
          <w:sz w:val="24"/>
        </w:rPr>
        <w:t xml:space="preserve"> </w:t>
      </w:r>
      <w:r w:rsidRPr="003B3476">
        <w:rPr>
          <w:i/>
        </w:rPr>
        <w:t>Régions naturelles et Noms de Pays</w:t>
      </w:r>
      <w:r w:rsidRPr="003B3476">
        <w:rPr>
          <w:lang w:eastAsia="fr-FR" w:bidi="fr-FR"/>
        </w:rPr>
        <w:t>, cité p. 692, n. 2, est l’ouvrage essentiel que doit consulter qu</w:t>
      </w:r>
      <w:r w:rsidRPr="003B3476">
        <w:rPr>
          <w:lang w:eastAsia="fr-FR" w:bidi="fr-FR"/>
        </w:rPr>
        <w:t>i</w:t>
      </w:r>
      <w:r w:rsidRPr="003B3476">
        <w:rPr>
          <w:lang w:eastAsia="fr-FR" w:bidi="fr-FR"/>
        </w:rPr>
        <w:t>conque s’intéresse à la géographie de la région parisienne. Qu’il me soit pe</w:t>
      </w:r>
      <w:r w:rsidRPr="003B3476">
        <w:rPr>
          <w:lang w:eastAsia="fr-FR" w:bidi="fr-FR"/>
        </w:rPr>
        <w:t>r</w:t>
      </w:r>
      <w:r w:rsidRPr="003B3476">
        <w:rPr>
          <w:lang w:eastAsia="fr-FR" w:bidi="fr-FR"/>
        </w:rPr>
        <w:t>mis de dire ici tout ce que je dois à M. Gallois, à son livre et à son enseign</w:t>
      </w:r>
      <w:r w:rsidRPr="003B3476">
        <w:rPr>
          <w:lang w:eastAsia="fr-FR" w:bidi="fr-FR"/>
        </w:rPr>
        <w:t>e</w:t>
      </w:r>
      <w:r w:rsidRPr="003B3476">
        <w:rPr>
          <w:lang w:eastAsia="fr-FR" w:bidi="fr-FR"/>
        </w:rPr>
        <w:t>ment. On devra aussi se reporter aux pages que M. </w:t>
      </w:r>
      <w:r w:rsidRPr="003B3476">
        <w:rPr>
          <w:rStyle w:val="Notedebasdepage65ptPetitesmajuscules"/>
          <w:b w:val="0"/>
          <w:sz w:val="24"/>
        </w:rPr>
        <w:t>Vidal de la Blache</w:t>
      </w:r>
      <w:r w:rsidRPr="003B3476">
        <w:rPr>
          <w:rStyle w:val="Notedebasdepage65ptPetitesmajuscules"/>
          <w:sz w:val="24"/>
        </w:rPr>
        <w:t xml:space="preserve"> </w:t>
      </w:r>
      <w:r w:rsidRPr="003B3476">
        <w:rPr>
          <w:lang w:eastAsia="fr-FR" w:bidi="fr-FR"/>
        </w:rPr>
        <w:t xml:space="preserve">a consacrées à l’Île-de-France dans son </w:t>
      </w:r>
      <w:r w:rsidRPr="003B3476">
        <w:rPr>
          <w:i/>
        </w:rPr>
        <w:t>Tableau de la Géographie de la France</w:t>
      </w:r>
      <w:r w:rsidRPr="003B3476">
        <w:rPr>
          <w:lang w:eastAsia="fr-FR" w:bidi="fr-FR"/>
        </w:rPr>
        <w:t xml:space="preserve"> (p. 124 à 149). Le livre de A. de </w:t>
      </w:r>
      <w:r w:rsidRPr="003B3476">
        <w:rPr>
          <w:rStyle w:val="Notedebasdepage65ptPetitesmajuscules"/>
          <w:b w:val="0"/>
          <w:sz w:val="24"/>
        </w:rPr>
        <w:t>Lapp</w:t>
      </w:r>
      <w:r w:rsidRPr="003B3476">
        <w:rPr>
          <w:rStyle w:val="Notedebasdepage65ptPetitesmajuscules"/>
          <w:b w:val="0"/>
          <w:sz w:val="24"/>
        </w:rPr>
        <w:t>a</w:t>
      </w:r>
      <w:r w:rsidRPr="003B3476">
        <w:rPr>
          <w:rStyle w:val="Notedebasdepage65ptPetitesmajuscules"/>
          <w:b w:val="0"/>
          <w:sz w:val="24"/>
        </w:rPr>
        <w:t>rent,</w:t>
      </w:r>
      <w:r w:rsidRPr="003B3476">
        <w:rPr>
          <w:rStyle w:val="Notedebasdepage65ptPetitesmajuscules"/>
          <w:sz w:val="24"/>
        </w:rPr>
        <w:t xml:space="preserve"> </w:t>
      </w:r>
      <w:r w:rsidRPr="003B3476">
        <w:rPr>
          <w:i/>
        </w:rPr>
        <w:t>La géologie en chemin de fer. Description géologique du Bassin Parisien et des régions adjacentes</w:t>
      </w:r>
      <w:r w:rsidRPr="003B3476">
        <w:rPr>
          <w:lang w:eastAsia="fr-FR" w:bidi="fr-FR"/>
        </w:rPr>
        <w:t xml:space="preserve">, in-18, Paris, 1888, bien que vieilli, contient des descriptions qu’on peut encore lire avec profit. </w:t>
      </w:r>
      <w:r w:rsidRPr="003B3476">
        <w:rPr>
          <w:i/>
        </w:rPr>
        <w:t>Cf.</w:t>
      </w:r>
      <w:r w:rsidRPr="003B3476">
        <w:rPr>
          <w:lang w:eastAsia="fr-FR" w:bidi="fr-FR"/>
        </w:rPr>
        <w:t xml:space="preserve"> aussi </w:t>
      </w:r>
      <w:r w:rsidRPr="003B3476">
        <w:rPr>
          <w:rStyle w:val="Notedebasdepage65ptPetitesmajuscules"/>
          <w:b w:val="0"/>
          <w:sz w:val="24"/>
        </w:rPr>
        <w:t>Ardouin-Dumazet,</w:t>
      </w:r>
      <w:r w:rsidRPr="003B3476">
        <w:rPr>
          <w:rStyle w:val="Notedebasdepage65ptPetitesmajuscules"/>
          <w:sz w:val="24"/>
        </w:rPr>
        <w:t xml:space="preserve"> </w:t>
      </w:r>
      <w:r w:rsidRPr="003B3476">
        <w:rPr>
          <w:i/>
        </w:rPr>
        <w:t>Voyage en France</w:t>
      </w:r>
      <w:r w:rsidRPr="003B3476">
        <w:rPr>
          <w:lang w:eastAsia="fr-FR" w:bidi="fr-FR"/>
        </w:rPr>
        <w:t xml:space="preserve">, t. XLII, XLIII, XLIV, XLV, XLVI, XLVII, in-12, Paris, 1905-1907. Somme toute, l’Île-de-France, et les différents pays qui la composent n’ont jusqu’ici attiré que peu de géographes. L’historien et le géographe ont souvent intérêt à consulter les cartes anciennes des régions sur lesquelles ils travaillent. Ils trouveront dans le livre de M. Gallois une précieuse étude sur </w:t>
      </w:r>
      <w:r w:rsidRPr="003B3476">
        <w:rPr>
          <w:i/>
        </w:rPr>
        <w:t>Les Progrès de la cartographie de la région parisienne jusqu'à la carte Cassini</w:t>
      </w:r>
      <w:r w:rsidRPr="003B3476">
        <w:rPr>
          <w:lang w:eastAsia="fr-FR" w:bidi="fr-FR"/>
        </w:rPr>
        <w:t xml:space="preserve"> (p. 244-348 ; gravures). </w:t>
      </w:r>
      <w:r w:rsidRPr="003B3476">
        <w:rPr>
          <w:i/>
        </w:rPr>
        <w:t>Cf.</w:t>
      </w:r>
      <w:r w:rsidRPr="003B3476">
        <w:rPr>
          <w:lang w:eastAsia="fr-FR" w:bidi="fr-FR"/>
        </w:rPr>
        <w:t xml:space="preserve"> Léon </w:t>
      </w:r>
      <w:r w:rsidRPr="003B3476">
        <w:rPr>
          <w:rStyle w:val="Notedebasdepage65ptPetitesmajuscules"/>
          <w:b w:val="0"/>
          <w:sz w:val="24"/>
        </w:rPr>
        <w:t>Vallée,</w:t>
      </w:r>
      <w:r w:rsidRPr="003B3476">
        <w:rPr>
          <w:rStyle w:val="Notedebasdepage65ptPetitesmajuscules"/>
          <w:sz w:val="24"/>
        </w:rPr>
        <w:t xml:space="preserve"> </w:t>
      </w:r>
      <w:r w:rsidRPr="003B3476">
        <w:rPr>
          <w:i/>
        </w:rPr>
        <w:t>Bibliothèque Nationale. Catalogue des plans de Paris et des cartes de l’Île-de-France, de la généralité, de l'élection, de l'archevêché, de la v</w:t>
      </w:r>
      <w:r w:rsidRPr="003B3476">
        <w:rPr>
          <w:i/>
        </w:rPr>
        <w:t>i</w:t>
      </w:r>
      <w:r w:rsidRPr="003B3476">
        <w:rPr>
          <w:i/>
        </w:rPr>
        <w:t>comté, de l'université, du grenier à sel et de la cour des a</w:t>
      </w:r>
      <w:r w:rsidRPr="003B3476">
        <w:rPr>
          <w:i/>
        </w:rPr>
        <w:t>i</w:t>
      </w:r>
      <w:r w:rsidRPr="003B3476">
        <w:rPr>
          <w:i/>
        </w:rPr>
        <w:t>des de Paris conservés à la section des cartes et plans</w:t>
      </w:r>
      <w:r w:rsidRPr="003B3476">
        <w:t>,</w:t>
      </w:r>
      <w:r w:rsidRPr="003B3476">
        <w:rPr>
          <w:lang w:eastAsia="fr-FR" w:bidi="fr-FR"/>
        </w:rPr>
        <w:t xml:space="preserve"> et les notices suivantes : L. </w:t>
      </w:r>
      <w:r w:rsidRPr="003B3476">
        <w:rPr>
          <w:rStyle w:val="Notedebasdepage65ptPetitesmajuscules"/>
          <w:b w:val="0"/>
          <w:sz w:val="24"/>
        </w:rPr>
        <w:t>Pa</w:t>
      </w:r>
      <w:r w:rsidRPr="003B3476">
        <w:rPr>
          <w:rStyle w:val="Notedebasdepage65ptPetitesmajuscules"/>
          <w:b w:val="0"/>
          <w:sz w:val="24"/>
        </w:rPr>
        <w:t>n</w:t>
      </w:r>
      <w:r w:rsidRPr="003B3476">
        <w:rPr>
          <w:rStyle w:val="Notedebasdepage65ptPetitesmajuscules"/>
          <w:b w:val="0"/>
          <w:sz w:val="24"/>
        </w:rPr>
        <w:t>nier,</w:t>
      </w:r>
      <w:r w:rsidRPr="003B3476">
        <w:rPr>
          <w:rStyle w:val="Notedebasdepage65ptPetitesmajuscules"/>
          <w:sz w:val="24"/>
        </w:rPr>
        <w:t xml:space="preserve"> </w:t>
      </w:r>
      <w:r w:rsidRPr="003B3476">
        <w:rPr>
          <w:i/>
        </w:rPr>
        <w:t>Note sur les cartes et plans de Paris et de l'Île-de-France exposés dans la galerie Mazarine de la Bibliothèque Nationale, Bullet. Soc. hist. P</w:t>
      </w:r>
      <w:r w:rsidRPr="003B3476">
        <w:rPr>
          <w:i/>
        </w:rPr>
        <w:t>a</w:t>
      </w:r>
      <w:r w:rsidRPr="003B3476">
        <w:rPr>
          <w:i/>
        </w:rPr>
        <w:t>ris</w:t>
      </w:r>
      <w:r w:rsidRPr="003B3476">
        <w:t>,</w:t>
      </w:r>
      <w:r w:rsidRPr="003B3476">
        <w:rPr>
          <w:lang w:eastAsia="fr-FR" w:bidi="fr-FR"/>
        </w:rPr>
        <w:t xml:space="preserve"> t. II (1875), p. 118-127 ; baron J. </w:t>
      </w:r>
      <w:r w:rsidRPr="003B3476">
        <w:rPr>
          <w:rStyle w:val="Notedebasdepage65ptPetitesmajuscules"/>
          <w:b w:val="0"/>
          <w:sz w:val="24"/>
        </w:rPr>
        <w:t>Pichon,</w:t>
      </w:r>
      <w:r w:rsidRPr="003B3476">
        <w:rPr>
          <w:rStyle w:val="Notedebasdepage65ptPetitesmajuscules"/>
          <w:sz w:val="24"/>
        </w:rPr>
        <w:t xml:space="preserve"> </w:t>
      </w:r>
      <w:r w:rsidRPr="003B3476">
        <w:t>Note sur les anciennes cartes des env</w:t>
      </w:r>
      <w:r w:rsidRPr="003B3476">
        <w:t>i</w:t>
      </w:r>
      <w:r w:rsidRPr="003B3476">
        <w:t xml:space="preserve">rons de Paris, </w:t>
      </w:r>
      <w:r w:rsidRPr="003B3476">
        <w:rPr>
          <w:i/>
        </w:rPr>
        <w:t>Ibid.</w:t>
      </w:r>
      <w:r w:rsidRPr="003B3476">
        <w:t>,</w:t>
      </w:r>
      <w:r w:rsidRPr="003B3476">
        <w:rPr>
          <w:lang w:eastAsia="fr-FR" w:bidi="fr-FR"/>
        </w:rPr>
        <w:t xml:space="preserve"> p. 136-137 ; Aug. </w:t>
      </w:r>
      <w:r w:rsidRPr="003B3476">
        <w:rPr>
          <w:rStyle w:val="Notedebasdepage65ptPetitesmajuscules"/>
          <w:b w:val="0"/>
          <w:sz w:val="24"/>
        </w:rPr>
        <w:t xml:space="preserve">Longnon. </w:t>
      </w:r>
      <w:r w:rsidRPr="003B3476">
        <w:rPr>
          <w:i/>
        </w:rPr>
        <w:t>Catalogue des cartes et plans de Paris et de l'Île-de-France exposés au Palais des Tuileries à l'occ</w:t>
      </w:r>
      <w:r w:rsidRPr="003B3476">
        <w:rPr>
          <w:i/>
        </w:rPr>
        <w:t>a</w:t>
      </w:r>
      <w:r w:rsidRPr="003B3476">
        <w:rPr>
          <w:i/>
        </w:rPr>
        <w:t>sion du congrès international des sciences géographiques de 1875, Ibid.</w:t>
      </w:r>
      <w:r w:rsidRPr="003B3476">
        <w:t>,</w:t>
      </w:r>
      <w:r w:rsidRPr="003B3476">
        <w:rPr>
          <w:lang w:eastAsia="fr-FR" w:bidi="fr-FR"/>
        </w:rPr>
        <w:t xml:space="preserve"> p. 141-157 ; Ch. </w:t>
      </w:r>
      <w:r w:rsidRPr="003B3476">
        <w:rPr>
          <w:rStyle w:val="Notedebasdepage65ptPetitesmajuscules"/>
          <w:b w:val="0"/>
          <w:sz w:val="24"/>
        </w:rPr>
        <w:t>Constant,</w:t>
      </w:r>
      <w:r w:rsidRPr="003B3476">
        <w:rPr>
          <w:rStyle w:val="Notedebasdepage65ptPetitesmajuscules"/>
          <w:sz w:val="24"/>
        </w:rPr>
        <w:t xml:space="preserve"> </w:t>
      </w:r>
      <w:r w:rsidRPr="003B3476">
        <w:rPr>
          <w:i/>
        </w:rPr>
        <w:t>Souvenir du Congrès des sciences géographiques de Paris en 1875. Simple note sur les cartes et plans concernant l'arrondiss</w:t>
      </w:r>
      <w:r w:rsidRPr="003B3476">
        <w:rPr>
          <w:i/>
        </w:rPr>
        <w:t>e</w:t>
      </w:r>
      <w:r w:rsidRPr="003B3476">
        <w:rPr>
          <w:i/>
        </w:rPr>
        <w:t>ment de Fontain</w:t>
      </w:r>
      <w:r w:rsidRPr="003B3476">
        <w:rPr>
          <w:i/>
        </w:rPr>
        <w:t>e</w:t>
      </w:r>
      <w:r w:rsidRPr="003B3476">
        <w:rPr>
          <w:i/>
        </w:rPr>
        <w:t>bleau, Bullet. soc. archéol. Seine-et Marne</w:t>
      </w:r>
      <w:r w:rsidRPr="003B3476">
        <w:t>,</w:t>
      </w:r>
      <w:r w:rsidRPr="003B3476">
        <w:rPr>
          <w:lang w:eastAsia="fr-FR" w:bidi="fr-FR"/>
        </w:rPr>
        <w:t xml:space="preserve"> t. VIII (1875-1877), p. 105-109 ; Edg. </w:t>
      </w:r>
      <w:r w:rsidRPr="003B3476">
        <w:rPr>
          <w:rStyle w:val="Notedebasdepage65ptPetitesmajuscules"/>
          <w:b w:val="0"/>
          <w:sz w:val="24"/>
        </w:rPr>
        <w:t>Mareuse,</w:t>
      </w:r>
      <w:r w:rsidRPr="003B3476">
        <w:rPr>
          <w:rStyle w:val="Notedebasdepage65ptPetitesmajuscules"/>
          <w:sz w:val="24"/>
        </w:rPr>
        <w:t xml:space="preserve"> </w:t>
      </w:r>
      <w:r w:rsidRPr="003B3476">
        <w:rPr>
          <w:i/>
        </w:rPr>
        <w:t xml:space="preserve">Bibliographie des Cartes et documents </w:t>
      </w:r>
      <w:r w:rsidRPr="003B3476">
        <w:rPr>
          <w:i/>
          <w:lang w:val="fr-FR" w:eastAsia="fr-FR" w:bidi="fr-FR"/>
        </w:rPr>
        <w:t>cartographiques [du dép. de Seine-et-Oise]</w:t>
      </w:r>
      <w:r w:rsidRPr="003B3476">
        <w:rPr>
          <w:i/>
          <w:vertAlign w:val="subscript"/>
          <w:lang w:val="fr-FR" w:eastAsia="fr-FR" w:bidi="fr-FR"/>
        </w:rPr>
        <w:t>t</w:t>
      </w:r>
      <w:r w:rsidRPr="003B3476">
        <w:rPr>
          <w:i/>
          <w:lang w:val="fr-FR" w:eastAsia="fr-FR" w:bidi="fr-FR"/>
        </w:rPr>
        <w:t xml:space="preserve"> Confér. des Soc. sav. de Seine-et-Oise</w:t>
      </w:r>
      <w:r w:rsidRPr="003B3476">
        <w:rPr>
          <w:bCs/>
          <w:i/>
        </w:rPr>
        <w:t xml:space="preserve">, </w:t>
      </w:r>
      <w:r w:rsidRPr="003B3476">
        <w:rPr>
          <w:i/>
          <w:lang w:val="fr-FR" w:eastAsia="fr-FR" w:bidi="fr-FR"/>
        </w:rPr>
        <w:t>Prem. réunion</w:t>
      </w:r>
      <w:r w:rsidRPr="003B3476">
        <w:rPr>
          <w:lang w:val="fr-FR" w:eastAsia="fr-FR" w:bidi="fr-FR"/>
        </w:rPr>
        <w:t xml:space="preserve"> </w:t>
      </w:r>
      <w:r w:rsidRPr="003B3476">
        <w:rPr>
          <w:bCs/>
        </w:rPr>
        <w:t xml:space="preserve">(1902), in-8°, Versailles, 1903, </w:t>
      </w:r>
      <w:r w:rsidRPr="003B3476">
        <w:rPr>
          <w:rStyle w:val="Notedebasdepage265ptNonItalique"/>
          <w:b w:val="0"/>
          <w:i/>
          <w:iCs/>
          <w:sz w:val="24"/>
        </w:rPr>
        <w:t xml:space="preserve">p. </w:t>
      </w:r>
      <w:r w:rsidRPr="003B3476">
        <w:rPr>
          <w:bCs/>
        </w:rPr>
        <w:t xml:space="preserve">105-118 ; G. </w:t>
      </w:r>
      <w:r w:rsidRPr="00F6777E">
        <w:rPr>
          <w:rStyle w:val="Notedebasdepage265ptNonItaliquePetitesmajuscules"/>
          <w:b w:val="0"/>
          <w:iCs/>
          <w:sz w:val="24"/>
        </w:rPr>
        <w:t>Marcel</w:t>
      </w:r>
      <w:r w:rsidRPr="003B3476">
        <w:rPr>
          <w:rStyle w:val="Notedebasdepage265ptNonItaliquePetitesmajuscules"/>
          <w:b w:val="0"/>
          <w:i/>
          <w:iCs/>
          <w:sz w:val="24"/>
        </w:rPr>
        <w:t xml:space="preserve">, </w:t>
      </w:r>
      <w:r w:rsidRPr="003B3476">
        <w:rPr>
          <w:i/>
          <w:lang w:val="fr-FR" w:eastAsia="fr-FR" w:bidi="fr-FR"/>
        </w:rPr>
        <w:t>Un bénédictin géographe</w:t>
      </w:r>
      <w:r w:rsidRPr="003B3476">
        <w:rPr>
          <w:bCs/>
          <w:i/>
        </w:rPr>
        <w:t xml:space="preserve">, </w:t>
      </w:r>
      <w:r w:rsidRPr="003B3476">
        <w:rPr>
          <w:i/>
          <w:lang w:val="fr-FR" w:eastAsia="fr-FR" w:bidi="fr-FR"/>
        </w:rPr>
        <w:t>Dom Guillaume Coutans</w:t>
      </w:r>
      <w:r w:rsidRPr="003B3476">
        <w:rPr>
          <w:bCs/>
          <w:i/>
        </w:rPr>
        <w:t xml:space="preserve">, </w:t>
      </w:r>
      <w:r w:rsidRPr="003B3476">
        <w:rPr>
          <w:i/>
          <w:lang w:val="fr-FR" w:eastAsia="fr-FR" w:bidi="fr-FR"/>
        </w:rPr>
        <w:t>Bullet. géogr. hist. et descript</w:t>
      </w:r>
      <w:r w:rsidRPr="003B3476">
        <w:rPr>
          <w:lang w:val="fr-FR" w:eastAsia="fr-FR" w:bidi="fr-FR"/>
        </w:rPr>
        <w:t>.,</w:t>
      </w:r>
      <w:r w:rsidRPr="003B3476">
        <w:rPr>
          <w:bCs/>
        </w:rPr>
        <w:t xml:space="preserve"> 1888, </w:t>
      </w:r>
      <w:r w:rsidRPr="003B3476">
        <w:rPr>
          <w:rStyle w:val="Notedebasdepage265ptNonItalique"/>
          <w:b w:val="0"/>
          <w:i/>
          <w:iCs/>
          <w:sz w:val="24"/>
        </w:rPr>
        <w:t xml:space="preserve">p. </w:t>
      </w:r>
      <w:r w:rsidRPr="003B3476">
        <w:rPr>
          <w:bCs/>
        </w:rPr>
        <w:t>27-36 et 330-331.</w:t>
      </w:r>
    </w:p>
  </w:footnote>
  <w:footnote w:id="384">
    <w:p w14:paraId="0803D75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va de soi que je n’entends pas méconnaître l’influence qu’ont eue sur la topographie de la région parisienne les phénomènes tectoniques. </w:t>
      </w:r>
      <w:r w:rsidRPr="003B3476">
        <w:rPr>
          <w:bCs/>
          <w:i/>
        </w:rPr>
        <w:t>Cf.</w:t>
      </w:r>
      <w:r w:rsidRPr="003B3476">
        <w:rPr>
          <w:lang w:val="fr-FR" w:eastAsia="fr-FR" w:bidi="fr-FR"/>
        </w:rPr>
        <w:t xml:space="preserve"> </w:t>
      </w:r>
      <w:r w:rsidRPr="003B3476">
        <w:rPr>
          <w:rStyle w:val="Notedebasdepage65ptPetitesmajuscules"/>
          <w:b w:val="0"/>
          <w:sz w:val="24"/>
        </w:rPr>
        <w:t xml:space="preserve">Lemoine, </w:t>
      </w:r>
      <w:r w:rsidRPr="003B3476">
        <w:rPr>
          <w:bCs/>
          <w:i/>
        </w:rPr>
        <w:t>op. cit.</w:t>
      </w:r>
      <w:r w:rsidRPr="003B3476">
        <w:rPr>
          <w:bCs/>
        </w:rPr>
        <w:t>,</w:t>
      </w:r>
      <w:r w:rsidRPr="003B3476">
        <w:rPr>
          <w:lang w:val="fr-FR" w:eastAsia="fr-FR" w:bidi="fr-FR"/>
        </w:rPr>
        <w:t xml:space="preserve"> p. 32-49.</w:t>
      </w:r>
    </w:p>
  </w:footnote>
  <w:footnote w:id="385">
    <w:p w14:paraId="166960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l’hydrographie de la Beauce, consulter </w:t>
      </w:r>
      <w:r w:rsidRPr="003B3476">
        <w:rPr>
          <w:rStyle w:val="Notedebasdepage7ptPetitesmajuscules"/>
          <w:b w:val="0"/>
          <w:sz w:val="24"/>
        </w:rPr>
        <w:t xml:space="preserve">G.-F. Dolfus, </w:t>
      </w:r>
      <w:r w:rsidRPr="003B3476">
        <w:rPr>
          <w:rStyle w:val="Notedebasdepage7ptPetitesmajuscules"/>
          <w:b w:val="0"/>
          <w:i/>
          <w:sz w:val="24"/>
        </w:rPr>
        <w:t>L</w:t>
      </w:r>
      <w:r w:rsidRPr="003B3476">
        <w:rPr>
          <w:i/>
        </w:rPr>
        <w:t>’Eau en Beauce</w:t>
      </w:r>
      <w:r w:rsidRPr="003B3476">
        <w:rPr>
          <w:i/>
          <w:lang w:val="fr-FR" w:eastAsia="fr-FR" w:bidi="fr-FR"/>
        </w:rPr>
        <w:t xml:space="preserve">, </w:t>
      </w:r>
      <w:r w:rsidRPr="003B3476">
        <w:rPr>
          <w:i/>
        </w:rPr>
        <w:t>Bullet. des services de la carte géolog. de France</w:t>
      </w:r>
      <w:r w:rsidRPr="003B3476">
        <w:rPr>
          <w:lang w:val="fr-FR" w:eastAsia="fr-FR" w:bidi="fr-FR"/>
        </w:rPr>
        <w:t xml:space="preserve">, t. XVI (1904-1905), n° 107, 46 p. et Ernest </w:t>
      </w:r>
      <w:r w:rsidRPr="003B3476">
        <w:rPr>
          <w:smallCaps/>
        </w:rPr>
        <w:t>Cord</w:t>
      </w:r>
      <w:r w:rsidRPr="003B3476">
        <w:t xml:space="preserve">, </w:t>
      </w:r>
      <w:r w:rsidRPr="003B3476">
        <w:rPr>
          <w:i/>
        </w:rPr>
        <w:t>L'hydrologie en Beauce</w:t>
      </w:r>
      <w:r w:rsidRPr="003B3476">
        <w:rPr>
          <w:i/>
          <w:lang w:val="fr-FR" w:eastAsia="fr-FR" w:bidi="fr-FR"/>
        </w:rPr>
        <w:t xml:space="preserve">, </w:t>
      </w:r>
      <w:r w:rsidRPr="003B3476">
        <w:rPr>
          <w:i/>
        </w:rPr>
        <w:t>Confér. des Soc. sav. de Seine-et-Oise, Quatrième réunion</w:t>
      </w:r>
      <w:r w:rsidRPr="003B3476">
        <w:rPr>
          <w:lang w:val="fr-FR" w:eastAsia="fr-FR" w:bidi="fr-FR"/>
        </w:rPr>
        <w:t xml:space="preserve"> (1908), in-8°, Étampes, 1909, p. 192-195. La na</w:t>
      </w:r>
      <w:r w:rsidRPr="003B3476">
        <w:rPr>
          <w:lang w:val="fr-FR" w:eastAsia="fr-FR" w:bidi="fr-FR"/>
        </w:rPr>
        <w:t>p</w:t>
      </w:r>
      <w:r w:rsidRPr="003B3476">
        <w:rPr>
          <w:lang w:val="fr-FR" w:eastAsia="fr-FR" w:bidi="fr-FR"/>
        </w:rPr>
        <w:t>pe d’eau souterraine en Beauce paraît sujette à des oscillations.</w:t>
      </w:r>
    </w:p>
  </w:footnote>
  <w:footnote w:id="386">
    <w:p w14:paraId="63AEA38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présence du calcaire au-dessous du limon a un double avantage. En pr</w:t>
      </w:r>
      <w:r w:rsidRPr="003B3476">
        <w:rPr>
          <w:lang w:val="fr-FR" w:eastAsia="fr-FR" w:bidi="fr-FR"/>
        </w:rPr>
        <w:t>e</w:t>
      </w:r>
      <w:r w:rsidRPr="003B3476">
        <w:rPr>
          <w:lang w:val="fr-FR" w:eastAsia="fr-FR" w:bidi="fr-FR"/>
        </w:rPr>
        <w:t>mier lieu le calcaire, très perméable, draine en quelque sorte le limon. En s</w:t>
      </w:r>
      <w:r w:rsidRPr="003B3476">
        <w:rPr>
          <w:lang w:val="fr-FR" w:eastAsia="fr-FR" w:bidi="fr-FR"/>
        </w:rPr>
        <w:t>e</w:t>
      </w:r>
      <w:r w:rsidRPr="003B3476">
        <w:rPr>
          <w:lang w:val="fr-FR" w:eastAsia="fr-FR" w:bidi="fr-FR"/>
        </w:rPr>
        <w:t>cond lieu il fournit, sur place, de quoi amender le limon par le marnage.</w:t>
      </w:r>
    </w:p>
  </w:footnote>
  <w:footnote w:id="387">
    <w:p w14:paraId="3DC4C5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 Belsia graniparis », dit un contemporain de Philippe-Auguste, Guillaume le </w:t>
      </w:r>
      <w:r w:rsidRPr="003B3476">
        <w:rPr>
          <w:rStyle w:val="Notedebasdepage65ptPetitesmajuscules"/>
          <w:b w:val="0"/>
          <w:sz w:val="24"/>
        </w:rPr>
        <w:t xml:space="preserve">Breton, </w:t>
      </w:r>
      <w:r w:rsidRPr="003B3476">
        <w:rPr>
          <w:lang w:val="fr-FR" w:eastAsia="fr-FR" w:bidi="fr-FR"/>
        </w:rPr>
        <w:t xml:space="preserve">dans </w:t>
      </w:r>
      <w:r w:rsidRPr="003B3476">
        <w:rPr>
          <w:bCs/>
        </w:rPr>
        <w:t>sa Philippide</w:t>
      </w:r>
      <w:r w:rsidRPr="003B3476">
        <w:rPr>
          <w:lang w:val="fr-FR" w:eastAsia="fr-FR" w:bidi="fr-FR"/>
        </w:rPr>
        <w:t xml:space="preserve">, chant </w:t>
      </w:r>
      <w:r w:rsidRPr="003B3476">
        <w:rPr>
          <w:bCs/>
        </w:rPr>
        <w:t xml:space="preserve">vi, </w:t>
      </w:r>
      <w:r w:rsidRPr="003B3476">
        <w:rPr>
          <w:lang w:val="fr-FR" w:eastAsia="fr-FR" w:bidi="fr-FR"/>
        </w:rPr>
        <w:t xml:space="preserve">voir 330, p. 164 du tome II de l’édition </w:t>
      </w:r>
      <w:r w:rsidRPr="003B3476">
        <w:rPr>
          <w:rStyle w:val="Notedebasdepage65ptPetitesmajuscules"/>
          <w:b w:val="0"/>
          <w:sz w:val="24"/>
        </w:rPr>
        <w:t>Del</w:t>
      </w:r>
      <w:r w:rsidRPr="003B3476">
        <w:rPr>
          <w:rStyle w:val="Notedebasdepage65ptPetitesmajuscules"/>
          <w:b w:val="0"/>
          <w:sz w:val="24"/>
        </w:rPr>
        <w:t>a</w:t>
      </w:r>
      <w:r w:rsidRPr="003B3476">
        <w:rPr>
          <w:rStyle w:val="Notedebasdepage65ptPetitesmajuscules"/>
          <w:b w:val="0"/>
          <w:sz w:val="24"/>
        </w:rPr>
        <w:t xml:space="preserve">borde </w:t>
      </w:r>
      <w:r w:rsidRPr="003B3476">
        <w:rPr>
          <w:bCs/>
          <w:i/>
        </w:rPr>
        <w:t>(Œuvres de Rigord et Guill. le Breton</w:t>
      </w:r>
      <w:r w:rsidRPr="003B3476">
        <w:rPr>
          <w:i/>
          <w:lang w:val="fr-FR" w:eastAsia="fr-FR" w:bidi="fr-FR"/>
        </w:rPr>
        <w:t xml:space="preserve">, </w:t>
      </w:r>
      <w:r w:rsidRPr="003B3476">
        <w:rPr>
          <w:bCs/>
          <w:i/>
        </w:rPr>
        <w:t>Public, de la Soc. de l’Hist. de France)</w:t>
      </w:r>
      <w:r w:rsidRPr="003B3476">
        <w:rPr>
          <w:bCs/>
        </w:rPr>
        <w:t>,</w:t>
      </w:r>
      <w:r w:rsidRPr="003B3476">
        <w:rPr>
          <w:lang w:val="fr-FR" w:eastAsia="fr-FR" w:bidi="fr-FR"/>
        </w:rPr>
        <w:t xml:space="preserve"> in-8°, Paris, 1885.</w:t>
      </w:r>
    </w:p>
  </w:footnote>
  <w:footnote w:id="388">
    <w:p w14:paraId="40C7FD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Gargantua</w:t>
      </w:r>
      <w:r w:rsidRPr="003B3476">
        <w:rPr>
          <w:lang w:val="fr-FR" w:eastAsia="fr-FR" w:bidi="fr-FR"/>
        </w:rPr>
        <w:t xml:space="preserve">, chap. </w:t>
      </w:r>
      <w:r w:rsidRPr="003B3476">
        <w:rPr>
          <w:smallCaps/>
          <w:lang w:val="fr-FR" w:eastAsia="fr-FR" w:bidi="fr-FR"/>
        </w:rPr>
        <w:t>xvi</w:t>
      </w:r>
      <w:r w:rsidRPr="003B3476">
        <w:rPr>
          <w:lang w:val="fr-FR" w:eastAsia="fr-FR" w:bidi="fr-FR"/>
        </w:rPr>
        <w:t>.</w:t>
      </w:r>
    </w:p>
  </w:footnote>
  <w:footnote w:id="389">
    <w:p w14:paraId="535AD48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J. </w:t>
      </w:r>
      <w:r w:rsidRPr="003B3476">
        <w:rPr>
          <w:rStyle w:val="Notedebasdepage265ptNonItaliquePetitesmajuscules"/>
          <w:b w:val="0"/>
          <w:i/>
          <w:iCs/>
          <w:sz w:val="24"/>
        </w:rPr>
        <w:t xml:space="preserve">Devaux, </w:t>
      </w:r>
      <w:r w:rsidRPr="003B3476">
        <w:rPr>
          <w:i/>
          <w:lang w:val="fr-FR" w:eastAsia="fr-FR" w:bidi="fr-FR"/>
        </w:rPr>
        <w:t>Essai sur les premiers seigneurs de Pithiviers</w:t>
      </w:r>
      <w:r w:rsidRPr="003B3476">
        <w:rPr>
          <w:bCs/>
        </w:rPr>
        <w:t xml:space="preserve">, </w:t>
      </w:r>
      <w:r w:rsidRPr="003B3476">
        <w:rPr>
          <w:i/>
          <w:lang w:val="fr-FR" w:eastAsia="fr-FR" w:bidi="fr-FR"/>
        </w:rPr>
        <w:t>Annales Soc. histor. Gâtinais</w:t>
      </w:r>
      <w:r w:rsidRPr="003B3476">
        <w:rPr>
          <w:bCs/>
        </w:rPr>
        <w:t xml:space="preserve">, t. III (1885), p. 254-256, et F. </w:t>
      </w:r>
      <w:r w:rsidRPr="003B3476">
        <w:rPr>
          <w:rStyle w:val="Notedebasdepage265ptNonItaliquePetitesmajuscules"/>
          <w:b w:val="0"/>
          <w:i/>
          <w:iCs/>
          <w:sz w:val="24"/>
        </w:rPr>
        <w:t xml:space="preserve">Lot, </w:t>
      </w:r>
      <w:r w:rsidRPr="003B3476">
        <w:rPr>
          <w:i/>
          <w:lang w:val="fr-FR" w:eastAsia="fr-FR" w:bidi="fr-FR"/>
        </w:rPr>
        <w:t>Héloïse de Péviers</w:t>
      </w:r>
      <w:r w:rsidRPr="003B3476">
        <w:rPr>
          <w:bCs/>
          <w:i/>
        </w:rPr>
        <w:t xml:space="preserve">, </w:t>
      </w:r>
      <w:r w:rsidRPr="003B3476">
        <w:rPr>
          <w:i/>
          <w:lang w:val="fr-FR" w:eastAsia="fr-FR" w:bidi="fr-FR"/>
        </w:rPr>
        <w:t>sœur de Garin le Lorrain</w:t>
      </w:r>
      <w:r w:rsidRPr="003B3476">
        <w:rPr>
          <w:bCs/>
          <w:i/>
        </w:rPr>
        <w:t xml:space="preserve">, </w:t>
      </w:r>
      <w:r w:rsidRPr="003B3476">
        <w:rPr>
          <w:i/>
          <w:lang w:val="fr-FR" w:eastAsia="fr-FR" w:bidi="fr-FR"/>
        </w:rPr>
        <w:t>Romania</w:t>
      </w:r>
      <w:r w:rsidRPr="003B3476">
        <w:rPr>
          <w:lang w:val="fr-FR" w:eastAsia="fr-FR" w:bidi="fr-FR"/>
        </w:rPr>
        <w:t>,</w:t>
      </w:r>
      <w:r w:rsidRPr="003B3476">
        <w:rPr>
          <w:bCs/>
        </w:rPr>
        <w:t xml:space="preserve"> t. XXVIII (1899). p. 273-279.</w:t>
      </w:r>
    </w:p>
  </w:footnote>
  <w:footnote w:id="390">
    <w:p w14:paraId="5E97DEE3" w14:textId="77777777" w:rsidR="00B9662D" w:rsidRPr="003B3476" w:rsidRDefault="00B9662D" w:rsidP="00B9662D">
      <w:pPr>
        <w:pStyle w:val="Notedebasdepage"/>
      </w:pPr>
      <w:r w:rsidRPr="003B3476">
        <w:rPr>
          <w:rStyle w:val="Appelnotedebasdep"/>
        </w:rPr>
        <w:footnoteRef/>
      </w:r>
      <w:r w:rsidRPr="003B3476">
        <w:t xml:space="preserve"> </w:t>
      </w:r>
      <w:r w:rsidRPr="003B3476">
        <w:rPr>
          <w:lang w:val="fr-FR"/>
        </w:rPr>
        <w:tab/>
      </w:r>
      <w:r w:rsidRPr="003B3476">
        <w:rPr>
          <w:lang w:val="fr-FR"/>
        </w:rPr>
        <w:tab/>
      </w:r>
      <w:r w:rsidRPr="003B3476">
        <w:rPr>
          <w:lang w:val="fr-FR"/>
        </w:rPr>
        <w:tab/>
      </w:r>
      <w:r w:rsidRPr="003B3476">
        <w:rPr>
          <w:lang w:val="fr-FR" w:eastAsia="fr-FR" w:bidi="fr-FR"/>
        </w:rPr>
        <w:t>« Belsia triste solum, cui desunt bis tria solum :</w:t>
      </w:r>
    </w:p>
    <w:p w14:paraId="034E8BE0" w14:textId="77777777" w:rsidR="00B9662D" w:rsidRPr="003B3476" w:rsidRDefault="00B9662D" w:rsidP="00B9662D">
      <w:pPr>
        <w:pStyle w:val="Notedebasdepage"/>
      </w:pPr>
      <w:r w:rsidRPr="003B3476">
        <w:rPr>
          <w:lang w:val="fr-FR" w:eastAsia="fr-FR" w:bidi="fr-FR"/>
        </w:rPr>
        <w:tab/>
      </w:r>
      <w:r w:rsidRPr="003B3476">
        <w:rPr>
          <w:lang w:val="fr-FR" w:eastAsia="fr-FR" w:bidi="fr-FR"/>
        </w:rPr>
        <w:tab/>
      </w:r>
      <w:r w:rsidRPr="003B3476">
        <w:rPr>
          <w:lang w:val="fr-FR" w:eastAsia="fr-FR" w:bidi="fr-FR"/>
        </w:rPr>
        <w:tab/>
        <w:t>Fontes, prata, nemus, lapides, arbusta, racemus. »</w:t>
      </w:r>
    </w:p>
    <w:p w14:paraId="7758C8F1" w14:textId="77777777" w:rsidR="00B9662D" w:rsidRPr="003B3476" w:rsidRDefault="00B9662D" w:rsidP="00B9662D">
      <w:pPr>
        <w:pStyle w:val="Notedebasdepage"/>
        <w:rPr>
          <w:lang w:val="fr-FR"/>
        </w:rPr>
      </w:pPr>
      <w:r w:rsidRPr="003B3476">
        <w:rPr>
          <w:i/>
          <w:lang w:val="fr-FR" w:eastAsia="fr-FR" w:bidi="fr-FR"/>
        </w:rPr>
        <w:tab/>
      </w:r>
      <w:r w:rsidRPr="003B3476">
        <w:rPr>
          <w:i/>
          <w:lang w:val="fr-FR" w:eastAsia="fr-FR" w:bidi="fr-FR"/>
        </w:rPr>
        <w:tab/>
        <w:t xml:space="preserve">Le </w:t>
      </w:r>
      <w:r w:rsidRPr="003B3476">
        <w:rPr>
          <w:bCs/>
          <w:i/>
        </w:rPr>
        <w:t>Dictionnaire Joanne</w:t>
      </w:r>
      <w:r w:rsidRPr="003B3476">
        <w:rPr>
          <w:lang w:val="fr-FR" w:eastAsia="fr-FR" w:bidi="fr-FR"/>
        </w:rPr>
        <w:t xml:space="preserve"> attribue ces deux vers à Fortunat. Mais je n’ai pu les r</w:t>
      </w:r>
      <w:r w:rsidRPr="003B3476">
        <w:rPr>
          <w:lang w:val="fr-FR" w:eastAsia="fr-FR" w:bidi="fr-FR"/>
        </w:rPr>
        <w:t>e</w:t>
      </w:r>
      <w:r w:rsidRPr="003B3476">
        <w:rPr>
          <w:lang w:val="fr-FR" w:eastAsia="fr-FR" w:bidi="fr-FR"/>
        </w:rPr>
        <w:t>trouver dans l’œuvre de ce poète. C’est sans doute une confusion, qui s’explique facilement par le fait que Fortunat est le plus ancien auteur chez qui on rencontre le nom de Beauce (</w:t>
      </w:r>
      <w:r w:rsidRPr="003B3476">
        <w:rPr>
          <w:bCs/>
          <w:i/>
        </w:rPr>
        <w:t>Vita S. Germani</w:t>
      </w:r>
      <w:r w:rsidRPr="003B3476">
        <w:rPr>
          <w:lang w:val="fr-FR" w:eastAsia="fr-FR" w:bidi="fr-FR"/>
        </w:rPr>
        <w:t xml:space="preserve">, c. </w:t>
      </w:r>
      <w:r w:rsidRPr="003B3476">
        <w:rPr>
          <w:rStyle w:val="Notedebasdepage5ptPetitesmajuscules"/>
          <w:b w:val="0"/>
          <w:sz w:val="24"/>
        </w:rPr>
        <w:t xml:space="preserve">xlix, </w:t>
      </w:r>
      <w:r w:rsidRPr="003B3476">
        <w:rPr>
          <w:lang w:val="fr-FR" w:eastAsia="fr-FR" w:bidi="fr-FR"/>
        </w:rPr>
        <w:t xml:space="preserve">éd. B. </w:t>
      </w:r>
      <w:r w:rsidRPr="003B3476">
        <w:rPr>
          <w:bCs/>
          <w:smallCaps/>
        </w:rPr>
        <w:t>Krusch</w:t>
      </w:r>
      <w:r w:rsidRPr="003B3476">
        <w:rPr>
          <w:bCs/>
        </w:rPr>
        <w:t xml:space="preserve">, </w:t>
      </w:r>
      <w:r w:rsidRPr="003B3476">
        <w:rPr>
          <w:bCs/>
          <w:i/>
        </w:rPr>
        <w:t>Mon. Germ. histor. Auctor. Antiquissimi,</w:t>
      </w:r>
      <w:r w:rsidRPr="003B3476">
        <w:rPr>
          <w:lang w:val="fr-FR" w:eastAsia="fr-FR" w:bidi="fr-FR"/>
        </w:rPr>
        <w:t xml:space="preserve"> t. IV, 2, in-4°, Berlin, 1885, p. 22). La forme ancienne du nom de Beauce paraît du reste être </w:t>
      </w:r>
      <w:r w:rsidRPr="003B3476">
        <w:rPr>
          <w:bCs/>
          <w:i/>
        </w:rPr>
        <w:t>Belsa</w:t>
      </w:r>
      <w:r w:rsidRPr="003B3476">
        <w:rPr>
          <w:bCs/>
        </w:rPr>
        <w:t>,</w:t>
      </w:r>
      <w:r w:rsidRPr="003B3476">
        <w:rPr>
          <w:lang w:val="fr-FR" w:eastAsia="fr-FR" w:bidi="fr-FR"/>
        </w:rPr>
        <w:t xml:space="preserve"> non </w:t>
      </w:r>
      <w:r w:rsidRPr="003B3476">
        <w:rPr>
          <w:bCs/>
          <w:i/>
        </w:rPr>
        <w:t>Balsia</w:t>
      </w:r>
      <w:r w:rsidRPr="003B3476">
        <w:rPr>
          <w:bCs/>
          <w:i/>
          <w:vertAlign w:val="subscript"/>
        </w:rPr>
        <w:t>,</w:t>
      </w:r>
      <w:r w:rsidRPr="003B3476">
        <w:rPr>
          <w:lang w:val="fr-FR" w:eastAsia="fr-FR" w:bidi="fr-FR"/>
        </w:rPr>
        <w:t xml:space="preserve"> </w:t>
      </w:r>
      <w:r w:rsidRPr="003B3476">
        <w:rPr>
          <w:i/>
          <w:lang w:val="fr-FR" w:eastAsia="fr-FR" w:bidi="fr-FR"/>
        </w:rPr>
        <w:t>cf</w:t>
      </w:r>
      <w:r w:rsidRPr="003B3476">
        <w:rPr>
          <w:lang w:val="fr-FR" w:eastAsia="fr-FR" w:bidi="fr-FR"/>
        </w:rPr>
        <w:t>. </w:t>
      </w:r>
      <w:r w:rsidRPr="003B3476">
        <w:rPr>
          <w:bCs/>
          <w:i/>
        </w:rPr>
        <w:t>supra</w:t>
      </w:r>
      <w:r w:rsidRPr="003B3476">
        <w:rPr>
          <w:lang w:val="fr-FR" w:eastAsia="fr-FR" w:bidi="fr-FR"/>
        </w:rPr>
        <w:t>, p. 646, n. 1.</w:t>
      </w:r>
    </w:p>
  </w:footnote>
  <w:footnote w:id="391">
    <w:p w14:paraId="2421CB1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 </w:t>
      </w:r>
      <w:r w:rsidRPr="003B3476">
        <w:rPr>
          <w:rStyle w:val="Notedebasdepage65ptPetitesmajuscules"/>
          <w:b w:val="0"/>
          <w:sz w:val="24"/>
        </w:rPr>
        <w:t xml:space="preserve">Hôlder, </w:t>
      </w:r>
      <w:r w:rsidRPr="003B3476">
        <w:rPr>
          <w:i/>
        </w:rPr>
        <w:t>Altceltischer Sprachsatz</w:t>
      </w:r>
      <w:r w:rsidRPr="003B3476">
        <w:rPr>
          <w:lang w:val="fr-FR" w:eastAsia="fr-FR" w:bidi="fr-FR"/>
        </w:rPr>
        <w:t xml:space="preserve">, t. I, in-4°, Leipzig, 1896, p. 396. </w:t>
      </w:r>
      <w:r w:rsidRPr="003B3476">
        <w:rPr>
          <w:i/>
        </w:rPr>
        <w:t>Cf.</w:t>
      </w:r>
      <w:r w:rsidRPr="003B3476">
        <w:rPr>
          <w:lang w:val="fr-FR" w:eastAsia="fr-FR" w:bidi="fr-FR"/>
        </w:rPr>
        <w:t> </w:t>
      </w:r>
      <w:r w:rsidRPr="003B3476">
        <w:rPr>
          <w:rStyle w:val="Notedebasdepage65ptPetitesmajuscules"/>
          <w:b w:val="0"/>
          <w:sz w:val="24"/>
        </w:rPr>
        <w:t xml:space="preserve">Gallois, </w:t>
      </w:r>
      <w:r w:rsidRPr="003B3476">
        <w:rPr>
          <w:i/>
        </w:rPr>
        <w:t>op. cit.</w:t>
      </w:r>
      <w:r w:rsidRPr="003B3476">
        <w:t>,</w:t>
      </w:r>
      <w:r w:rsidRPr="003B3476">
        <w:rPr>
          <w:lang w:val="fr-FR" w:eastAsia="fr-FR" w:bidi="fr-FR"/>
        </w:rPr>
        <w:t xml:space="preserve"> p. 82, et </w:t>
      </w:r>
      <w:r w:rsidRPr="003B3476">
        <w:rPr>
          <w:rStyle w:val="Notedebasdepage65ptPetitesmajuscules"/>
          <w:b w:val="0"/>
          <w:sz w:val="24"/>
        </w:rPr>
        <w:t xml:space="preserve">Vidal de la Blache, </w:t>
      </w:r>
      <w:r w:rsidRPr="003B3476">
        <w:rPr>
          <w:i/>
        </w:rPr>
        <w:t>Séances et travaux de VAcadém. des Sciences Morales</w:t>
      </w:r>
      <w:r w:rsidRPr="003B3476">
        <w:rPr>
          <w:lang w:val="fr-FR" w:eastAsia="fr-FR" w:bidi="fr-FR"/>
        </w:rPr>
        <w:t xml:space="preserve">, 1910, I, p. 113, n. 1. Herm. </w:t>
      </w:r>
      <w:r w:rsidRPr="003B3476">
        <w:rPr>
          <w:rStyle w:val="Notedebasdepage65ptPetitesmajuscules"/>
          <w:b w:val="0"/>
          <w:sz w:val="24"/>
        </w:rPr>
        <w:t xml:space="preserve">Groehler, </w:t>
      </w:r>
      <w:r w:rsidRPr="003B3476">
        <w:rPr>
          <w:i/>
        </w:rPr>
        <w:t>U</w:t>
      </w:r>
      <w:r w:rsidRPr="003B3476">
        <w:rPr>
          <w:i/>
        </w:rPr>
        <w:t>e</w:t>
      </w:r>
      <w:r w:rsidRPr="003B3476">
        <w:rPr>
          <w:i/>
        </w:rPr>
        <w:t>ber Ursprung und Bedeutung der französischen Ortsnamen (Samml. romani</w:t>
      </w:r>
      <w:r w:rsidRPr="003B3476">
        <w:rPr>
          <w:i/>
        </w:rPr>
        <w:t>s</w:t>
      </w:r>
      <w:r w:rsidRPr="003B3476">
        <w:rPr>
          <w:i/>
        </w:rPr>
        <w:t>chen Elementar und Handb</w:t>
      </w:r>
      <w:r w:rsidRPr="003B3476">
        <w:rPr>
          <w:i/>
        </w:rPr>
        <w:t>ü</w:t>
      </w:r>
      <w:r w:rsidRPr="003B3476">
        <w:rPr>
          <w:i/>
        </w:rPr>
        <w:t>cher</w:t>
      </w:r>
      <w:r w:rsidRPr="003B3476">
        <w:rPr>
          <w:lang w:val="fr-FR" w:eastAsia="fr-FR" w:bidi="fr-FR"/>
        </w:rPr>
        <w:t xml:space="preserve">, t. I, in-12, Heidelberg, 1913, p. 167), refuse d’accepter l’étymologie </w:t>
      </w:r>
      <w:r w:rsidRPr="003B3476">
        <w:t>be</w:t>
      </w:r>
      <w:r w:rsidRPr="003B3476">
        <w:t>l</w:t>
      </w:r>
      <w:r w:rsidRPr="003B3476">
        <w:t>sa</w:t>
      </w:r>
      <w:r w:rsidRPr="003B3476">
        <w:rPr>
          <w:lang w:val="fr-FR" w:eastAsia="fr-FR" w:bidi="fr-FR"/>
        </w:rPr>
        <w:t xml:space="preserve"> = plaine herbeuse fournie par le grammairien gallo-romain Virgile (</w:t>
      </w:r>
      <w:r w:rsidRPr="003B3476">
        <w:rPr>
          <w:i/>
          <w:lang w:val="fr-FR" w:eastAsia="fr-FR" w:bidi="fr-FR"/>
        </w:rPr>
        <w:t>cf.</w:t>
      </w:r>
      <w:r w:rsidRPr="003B3476">
        <w:rPr>
          <w:lang w:val="fr-FR" w:eastAsia="fr-FR" w:bidi="fr-FR"/>
        </w:rPr>
        <w:t xml:space="preserve"> </w:t>
      </w:r>
      <w:r w:rsidRPr="003B3476">
        <w:rPr>
          <w:rStyle w:val="Notedebasdepage65ptPetitesmajuscules"/>
          <w:b w:val="0"/>
          <w:sz w:val="24"/>
        </w:rPr>
        <w:t xml:space="preserve">Hôlder, </w:t>
      </w:r>
      <w:r w:rsidRPr="003B3476">
        <w:rPr>
          <w:i/>
        </w:rPr>
        <w:t>loc. cit</w:t>
      </w:r>
      <w:r w:rsidRPr="003B3476">
        <w:t>.),</w:t>
      </w:r>
      <w:r w:rsidRPr="003B3476">
        <w:rPr>
          <w:lang w:val="fr-FR" w:eastAsia="fr-FR" w:bidi="fr-FR"/>
        </w:rPr>
        <w:t xml:space="preserve"> il croit que le mot </w:t>
      </w:r>
      <w:r w:rsidRPr="003B3476">
        <w:t>Belsa</w:t>
      </w:r>
      <w:r w:rsidRPr="003B3476">
        <w:rPr>
          <w:lang w:val="fr-FR" w:eastAsia="fr-FR" w:bidi="fr-FR"/>
        </w:rPr>
        <w:t xml:space="preserve"> désigna </w:t>
      </w:r>
      <w:r w:rsidRPr="003B3476">
        <w:t xml:space="preserve">à </w:t>
      </w:r>
      <w:r w:rsidRPr="003B3476">
        <w:rPr>
          <w:lang w:val="fr-FR" w:eastAsia="fr-FR" w:bidi="fr-FR"/>
        </w:rPr>
        <w:t>l’origine, non une région mais un lieu habité, son opinion me paraît dépourvue de preuves sérieuses.</w:t>
      </w:r>
    </w:p>
  </w:footnote>
  <w:footnote w:id="392">
    <w:p w14:paraId="3F787C8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
          <w:iCs/>
          <w:sz w:val="24"/>
        </w:rPr>
        <w:t xml:space="preserve">G. Fagniez, </w:t>
      </w:r>
      <w:r w:rsidRPr="003B3476">
        <w:rPr>
          <w:i/>
          <w:lang w:val="fr-FR" w:eastAsia="fr-FR" w:bidi="fr-FR"/>
        </w:rPr>
        <w:t>Études sur l’industrie et la classe industrielle à Paris au XIII</w:t>
      </w:r>
      <w:r w:rsidRPr="003B3476">
        <w:rPr>
          <w:i/>
          <w:vertAlign w:val="superscript"/>
          <w:lang w:val="fr-FR" w:eastAsia="fr-FR" w:bidi="fr-FR"/>
        </w:rPr>
        <w:t>e</w:t>
      </w:r>
      <w:r w:rsidRPr="003B3476">
        <w:rPr>
          <w:i/>
          <w:lang w:val="fr-FR" w:eastAsia="fr-FR" w:bidi="fr-FR"/>
        </w:rPr>
        <w:t> et au XIV</w:t>
      </w:r>
      <w:r w:rsidRPr="003B3476">
        <w:rPr>
          <w:i/>
          <w:vertAlign w:val="superscript"/>
          <w:lang w:val="fr-FR" w:eastAsia="fr-FR" w:bidi="fr-FR"/>
        </w:rPr>
        <w:t>e</w:t>
      </w:r>
      <w:r w:rsidRPr="003B3476">
        <w:rPr>
          <w:i/>
          <w:lang w:val="fr-FR" w:eastAsia="fr-FR" w:bidi="fr-FR"/>
        </w:rPr>
        <w:t xml:space="preserve"> siècle</w:t>
      </w:r>
      <w:r w:rsidRPr="003B3476">
        <w:rPr>
          <w:bCs/>
        </w:rPr>
        <w:t xml:space="preserve">, </w:t>
      </w:r>
      <w:r w:rsidRPr="003B3476">
        <w:rPr>
          <w:i/>
          <w:lang w:val="fr-FR" w:eastAsia="fr-FR" w:bidi="fr-FR"/>
        </w:rPr>
        <w:t>Bibl. Éc. des Hautes Études</w:t>
      </w:r>
      <w:r w:rsidRPr="003B3476">
        <w:rPr>
          <w:bCs/>
        </w:rPr>
        <w:t>, fasc. 33, in-8°, Paris, 1877, p. 154.</w:t>
      </w:r>
    </w:p>
  </w:footnote>
  <w:footnote w:id="393">
    <w:p w14:paraId="0C4E451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L’abbé Bordas, dans son </w:t>
      </w:r>
      <w:r w:rsidRPr="003B3476">
        <w:rPr>
          <w:bCs/>
          <w:i/>
        </w:rPr>
        <w:t>Histoire du Dunois</w:t>
      </w:r>
      <w:r w:rsidRPr="003B3476">
        <w:rPr>
          <w:lang w:val="fr-FR" w:eastAsia="fr-FR" w:bidi="fr-FR"/>
        </w:rPr>
        <w:t xml:space="preserve">, écrite au </w:t>
      </w:r>
      <w:r w:rsidRPr="003B3476">
        <w:rPr>
          <w:smallCaps/>
          <w:lang w:val="fr-FR" w:eastAsia="fr-FR" w:bidi="fr-FR"/>
        </w:rPr>
        <w:t>xviii</w:t>
      </w:r>
      <w:r w:rsidRPr="003B3476">
        <w:rPr>
          <w:vertAlign w:val="superscript"/>
          <w:lang w:val="fr-FR" w:eastAsia="fr-FR" w:bidi="fr-FR"/>
        </w:rPr>
        <w:t>e</w:t>
      </w:r>
      <w:r w:rsidRPr="003B3476">
        <w:rPr>
          <w:lang w:val="fr-FR" w:eastAsia="fr-FR" w:bidi="fr-FR"/>
        </w:rPr>
        <w:t xml:space="preserve"> siècle, parle de « la partie du Dunois que l’on dit située dans le Perche </w:t>
      </w:r>
      <w:r w:rsidRPr="003B3476">
        <w:rPr>
          <w:i/>
          <w:lang w:val="fr-FR" w:eastAsia="fr-FR" w:bidi="fr-FR"/>
        </w:rPr>
        <w:t xml:space="preserve">à </w:t>
      </w:r>
      <w:r w:rsidRPr="003B3476">
        <w:rPr>
          <w:bCs/>
          <w:i/>
        </w:rPr>
        <w:t>cause de ses champs entourés de hayes</w:t>
      </w:r>
      <w:r w:rsidRPr="003B3476">
        <w:rPr>
          <w:lang w:val="fr-FR" w:eastAsia="fr-FR" w:bidi="fr-FR"/>
        </w:rPr>
        <w:t xml:space="preserve"> ou plutôt de la forêt de ce nom qui s’étendait jusque dans cette partie » (éd. de la Soc. Dunoise, t. I, in-8°, Châteaudun, 1884, p. 2). Je remercie bien vivement mon ami M. René Musset qui a bien voulu me co</w:t>
      </w:r>
      <w:r w:rsidRPr="003B3476">
        <w:rPr>
          <w:lang w:val="fr-FR" w:eastAsia="fr-FR" w:bidi="fr-FR"/>
        </w:rPr>
        <w:t>m</w:t>
      </w:r>
      <w:r w:rsidRPr="003B3476">
        <w:rPr>
          <w:lang w:val="fr-FR" w:eastAsia="fr-FR" w:bidi="fr-FR"/>
        </w:rPr>
        <w:t>muniquer un mémoire manuscrit sur le Perche.</w:t>
      </w:r>
    </w:p>
  </w:footnote>
  <w:footnote w:id="394">
    <w:p w14:paraId="31BCB14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le sens qu’il faut donner à ce mot de forêt, ainsi employé par des textes anciens pour désigner un pays riche en arbres, voir plus loin, p. 709-710, ce qui est dit de la Brie.</w:t>
      </w:r>
    </w:p>
  </w:footnote>
  <w:footnote w:id="395">
    <w:p w14:paraId="2EEB018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Je prends ici le mot de Gâtinais dans le sens qu’il a pris dans le langage pop</w:t>
      </w:r>
      <w:r w:rsidRPr="003B3476">
        <w:rPr>
          <w:lang w:val="fr-FR" w:eastAsia="fr-FR" w:bidi="fr-FR"/>
        </w:rPr>
        <w:t>u</w:t>
      </w:r>
      <w:r w:rsidRPr="003B3476">
        <w:rPr>
          <w:lang w:val="fr-FR" w:eastAsia="fr-FR" w:bidi="fr-FR"/>
        </w:rPr>
        <w:t xml:space="preserve">laire, c’est-à-dire que je l’applique uniquement aux plateaux de la rive gauche du Loing. Son sens historique et politique était plus large. </w:t>
      </w:r>
      <w:r w:rsidRPr="003B3476">
        <w:rPr>
          <w:bCs/>
          <w:i/>
        </w:rPr>
        <w:t>Cf.</w:t>
      </w:r>
      <w:r w:rsidRPr="003B3476">
        <w:rPr>
          <w:lang w:val="fr-FR" w:eastAsia="fr-FR" w:bidi="fr-FR"/>
        </w:rPr>
        <w:t> </w:t>
      </w:r>
      <w:r w:rsidRPr="003B3476">
        <w:rPr>
          <w:rStyle w:val="Notedebasdepage65ptPetitesmajuscules"/>
          <w:b w:val="0"/>
          <w:sz w:val="24"/>
        </w:rPr>
        <w:t xml:space="preserve">Gallois, </w:t>
      </w:r>
      <w:r w:rsidRPr="003B3476">
        <w:rPr>
          <w:bCs/>
          <w:i/>
        </w:rPr>
        <w:t>op. cit.</w:t>
      </w:r>
      <w:r w:rsidRPr="003B3476">
        <w:rPr>
          <w:bCs/>
        </w:rPr>
        <w:t>,</w:t>
      </w:r>
      <w:r w:rsidRPr="003B3476">
        <w:rPr>
          <w:lang w:val="fr-FR" w:eastAsia="fr-FR" w:bidi="fr-FR"/>
        </w:rPr>
        <w:t xml:space="preserve"> p. 107. On trouvera une utile description du Gâtinais dans un article de J. </w:t>
      </w:r>
      <w:r w:rsidRPr="003B3476">
        <w:rPr>
          <w:rStyle w:val="Notedebasdepage65ptPetitesmajuscules"/>
          <w:b w:val="0"/>
          <w:sz w:val="24"/>
        </w:rPr>
        <w:t xml:space="preserve">Devaux, </w:t>
      </w:r>
      <w:r w:rsidRPr="003B3476">
        <w:rPr>
          <w:bCs/>
          <w:i/>
        </w:rPr>
        <w:t>Introduction à l'histoire du Pithiverais,</w:t>
      </w:r>
      <w:r w:rsidRPr="003B3476">
        <w:rPr>
          <w:bCs/>
          <w:i/>
          <w:vertAlign w:val="subscript"/>
        </w:rPr>
        <w:t xml:space="preserve"> </w:t>
      </w:r>
      <w:r w:rsidRPr="003B3476">
        <w:rPr>
          <w:bCs/>
          <w:i/>
        </w:rPr>
        <w:t>Annales Soc. histor. Gâtinais</w:t>
      </w:r>
      <w:r w:rsidRPr="003B3476">
        <w:rPr>
          <w:lang w:val="fr-FR" w:eastAsia="fr-FR" w:bidi="fr-FR"/>
        </w:rPr>
        <w:t>, t. XXIII (1905), p. 1-12.</w:t>
      </w:r>
    </w:p>
  </w:footnote>
  <w:footnote w:id="396">
    <w:p w14:paraId="08A5C1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Maxime </w:t>
      </w:r>
      <w:r w:rsidRPr="003B3476">
        <w:rPr>
          <w:rStyle w:val="Notedebasdepage265ptNonItaliquePetitesmajuscules"/>
          <w:b w:val="0"/>
          <w:iCs/>
          <w:sz w:val="24"/>
        </w:rPr>
        <w:t>Beauvilliers</w:t>
      </w:r>
      <w:r w:rsidRPr="003B3476">
        <w:rPr>
          <w:rStyle w:val="Notedebasdepage265ptNonItaliquePetitesmajuscules"/>
          <w:b w:val="0"/>
          <w:i/>
          <w:iCs/>
          <w:sz w:val="24"/>
        </w:rPr>
        <w:t xml:space="preserve">, </w:t>
      </w:r>
      <w:r w:rsidRPr="003B3476">
        <w:rPr>
          <w:i/>
          <w:lang w:val="fr-FR" w:eastAsia="fr-FR" w:bidi="fr-FR"/>
        </w:rPr>
        <w:t>Le Safran en Gâtinais,</w:t>
      </w:r>
      <w:r w:rsidRPr="003B3476">
        <w:rPr>
          <w:lang w:val="fr-FR" w:eastAsia="fr-FR" w:bidi="fr-FR"/>
        </w:rPr>
        <w:t xml:space="preserve"> </w:t>
      </w:r>
      <w:r w:rsidRPr="003B3476">
        <w:rPr>
          <w:i/>
          <w:lang w:val="fr-FR" w:eastAsia="fr-FR" w:bidi="fr-FR"/>
        </w:rPr>
        <w:t xml:space="preserve">Bullet. Soc. archéolog. Seine-et-Marne, </w:t>
      </w:r>
      <w:r w:rsidRPr="003B3476">
        <w:rPr>
          <w:vertAlign w:val="subscript"/>
          <w:lang w:val="fr-FR" w:eastAsia="fr-FR" w:bidi="fr-FR"/>
        </w:rPr>
        <w:t xml:space="preserve"> </w:t>
      </w:r>
      <w:r w:rsidRPr="003B3476">
        <w:rPr>
          <w:bCs/>
        </w:rPr>
        <w:t xml:space="preserve">t. VII </w:t>
      </w:r>
      <w:r w:rsidRPr="003B3476">
        <w:rPr>
          <w:rStyle w:val="Notedebasdepage265ptNonItalique"/>
          <w:b w:val="0"/>
          <w:i/>
          <w:iCs/>
          <w:sz w:val="24"/>
        </w:rPr>
        <w:t>(1873-1874), p. 303-332.</w:t>
      </w:r>
    </w:p>
  </w:footnote>
  <w:footnote w:id="397">
    <w:p w14:paraId="5A0E6C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Eug. </w:t>
      </w:r>
      <w:r w:rsidRPr="003B3476">
        <w:rPr>
          <w:rStyle w:val="Notedebasdepage265ptNonItaliquePetitesmajuscules"/>
          <w:b w:val="0"/>
          <w:iCs/>
          <w:sz w:val="24"/>
        </w:rPr>
        <w:t>Thoison</w:t>
      </w:r>
      <w:r w:rsidRPr="003B3476">
        <w:rPr>
          <w:rStyle w:val="Notedebasdepage265ptNonItaliquePetitesmajuscules"/>
          <w:b w:val="0"/>
          <w:i/>
          <w:iCs/>
          <w:sz w:val="24"/>
        </w:rPr>
        <w:t xml:space="preserve">, </w:t>
      </w:r>
      <w:r w:rsidRPr="003B3476">
        <w:rPr>
          <w:i/>
          <w:lang w:val="fr-FR" w:eastAsia="fr-FR" w:bidi="fr-FR"/>
        </w:rPr>
        <w:t>La viticulture en Gâtinais</w:t>
      </w:r>
      <w:r w:rsidRPr="003B3476">
        <w:rPr>
          <w:bCs/>
          <w:i/>
        </w:rPr>
        <w:t xml:space="preserve">, </w:t>
      </w:r>
      <w:r w:rsidRPr="003B3476">
        <w:rPr>
          <w:i/>
          <w:lang w:val="fr-FR" w:eastAsia="fr-FR" w:bidi="fr-FR"/>
        </w:rPr>
        <w:t>Étude historique et statistique</w:t>
      </w:r>
      <w:r w:rsidRPr="003B3476">
        <w:rPr>
          <w:bCs/>
          <w:i/>
        </w:rPr>
        <w:t xml:space="preserve">, </w:t>
      </w:r>
      <w:r w:rsidRPr="003B3476">
        <w:rPr>
          <w:i/>
          <w:lang w:val="fr-FR" w:eastAsia="fr-FR" w:bidi="fr-FR"/>
        </w:rPr>
        <w:t>Bu</w:t>
      </w:r>
      <w:r w:rsidRPr="003B3476">
        <w:rPr>
          <w:i/>
          <w:lang w:val="fr-FR" w:eastAsia="fr-FR" w:bidi="fr-FR"/>
        </w:rPr>
        <w:t>l</w:t>
      </w:r>
      <w:r w:rsidRPr="003B3476">
        <w:rPr>
          <w:i/>
          <w:lang w:val="fr-FR" w:eastAsia="fr-FR" w:bidi="fr-FR"/>
        </w:rPr>
        <w:t>let. Soc. agricult. arrond. Fontainebleau</w:t>
      </w:r>
      <w:r w:rsidRPr="003B3476">
        <w:rPr>
          <w:bCs/>
        </w:rPr>
        <w:t xml:space="preserve">, t. XIII (1890), p. 122-132, 165-175, 188-200, 215-226, 260-265, </w:t>
      </w:r>
      <w:r w:rsidRPr="003B3476">
        <w:rPr>
          <w:lang w:val="fr-FR" w:eastAsia="fr-FR" w:bidi="fr-FR"/>
        </w:rPr>
        <w:t>284-289, et t. XIV (1900), p. 14-21, 37-52, 65-75, 98-120, 138-148, 170-180, 199-204, 212-225, 247-259, 282-284, 301-306.</w:t>
      </w:r>
    </w:p>
  </w:footnote>
  <w:footnote w:id="398">
    <w:p w14:paraId="76629A0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la rive gauche de la Seine, le contact du calcaire de Brie, avec le calcaire de Beauce, qui le domine, est marqué par une petite côte dont les pentes, tou</w:t>
      </w:r>
      <w:r w:rsidRPr="003B3476">
        <w:rPr>
          <w:lang w:val="fr-FR" w:eastAsia="fr-FR" w:bidi="fr-FR"/>
        </w:rPr>
        <w:t>r</w:t>
      </w:r>
      <w:r w:rsidRPr="003B3476">
        <w:rPr>
          <w:lang w:val="fr-FR" w:eastAsia="fr-FR" w:bidi="fr-FR"/>
        </w:rPr>
        <w:t>nées vers l’Est, sont dans leurs parties supérieures constituées par les calcaires beaucerons, dans leurs parties inférieures formées de sables ou de grès de Fontainebleau. Cette côte se poursuit depuis la Ferté-Alais jusqu’aux environs immédiats de Paris. Une butte gréseuse, isolée, en avant d’elle, au-dessus de la vallée de l’Orge, porte la tour de Montlhéry.</w:t>
      </w:r>
    </w:p>
  </w:footnote>
  <w:footnote w:id="399">
    <w:p w14:paraId="3FBC68E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ces textes dans </w:t>
      </w:r>
      <w:r w:rsidRPr="003B3476">
        <w:rPr>
          <w:rStyle w:val="Notedebasdepage65ptPetitesmajuscules"/>
          <w:b w:val="0"/>
          <w:sz w:val="24"/>
        </w:rPr>
        <w:t xml:space="preserve">Gallois, </w:t>
      </w:r>
      <w:r w:rsidRPr="003B3476">
        <w:rPr>
          <w:bCs/>
          <w:i/>
        </w:rPr>
        <w:t>op. cit.</w:t>
      </w:r>
      <w:r w:rsidRPr="003B3476">
        <w:rPr>
          <w:bCs/>
        </w:rPr>
        <w:t>, p.</w:t>
      </w:r>
      <w:r w:rsidRPr="003B3476">
        <w:rPr>
          <w:lang w:val="fr-FR" w:eastAsia="fr-FR" w:bidi="fr-FR"/>
        </w:rPr>
        <w:t xml:space="preserve"> </w:t>
      </w:r>
      <w:r w:rsidRPr="003B3476">
        <w:rPr>
          <w:bCs/>
        </w:rPr>
        <w:t xml:space="preserve">130-131. </w:t>
      </w:r>
      <w:r w:rsidRPr="003B3476">
        <w:rPr>
          <w:lang w:val="fr-FR" w:eastAsia="fr-FR" w:bidi="fr-FR"/>
        </w:rPr>
        <w:t xml:space="preserve">Le nom de Brie apparaît au </w:t>
      </w:r>
      <w:r w:rsidRPr="003B3476">
        <w:rPr>
          <w:bCs/>
        </w:rPr>
        <w:t>VII</w:t>
      </w:r>
      <w:r w:rsidRPr="003B3476">
        <w:rPr>
          <w:bCs/>
          <w:vertAlign w:val="superscript"/>
        </w:rPr>
        <w:t>e</w:t>
      </w:r>
      <w:r w:rsidRPr="003B3476">
        <w:rPr>
          <w:bCs/>
        </w:rPr>
        <w:t xml:space="preserve"> </w:t>
      </w:r>
      <w:r w:rsidRPr="003B3476">
        <w:rPr>
          <w:lang w:val="fr-FR" w:eastAsia="fr-FR" w:bidi="fr-FR"/>
        </w:rPr>
        <w:t xml:space="preserve">siècle, </w:t>
      </w:r>
      <w:r w:rsidRPr="003B3476">
        <w:rPr>
          <w:bCs/>
        </w:rPr>
        <w:t xml:space="preserve">à </w:t>
      </w:r>
      <w:r w:rsidRPr="003B3476">
        <w:rPr>
          <w:lang w:val="fr-FR" w:eastAsia="fr-FR" w:bidi="fr-FR"/>
        </w:rPr>
        <w:t xml:space="preserve">peu près </w:t>
      </w:r>
      <w:r w:rsidRPr="003B3476">
        <w:rPr>
          <w:bCs/>
        </w:rPr>
        <w:t xml:space="preserve">à </w:t>
      </w:r>
      <w:r w:rsidRPr="003B3476">
        <w:rPr>
          <w:lang w:val="fr-FR" w:eastAsia="fr-FR" w:bidi="fr-FR"/>
        </w:rPr>
        <w:t xml:space="preserve">la même époque, par conséquent, que le nom de Beauce. </w:t>
      </w:r>
      <w:r w:rsidRPr="003B3476">
        <w:rPr>
          <w:bCs/>
          <w:i/>
        </w:rPr>
        <w:t>Cf.</w:t>
      </w:r>
      <w:r w:rsidRPr="003B3476">
        <w:rPr>
          <w:lang w:val="fr-FR" w:eastAsia="fr-FR" w:bidi="fr-FR"/>
        </w:rPr>
        <w:t xml:space="preserve"> </w:t>
      </w:r>
      <w:r w:rsidRPr="003B3476">
        <w:rPr>
          <w:rStyle w:val="Notedebasdepage65ptPetitesmajuscules"/>
          <w:b w:val="0"/>
          <w:sz w:val="24"/>
        </w:rPr>
        <w:t xml:space="preserve">Hölder, </w:t>
      </w:r>
      <w:r w:rsidRPr="003B3476">
        <w:rPr>
          <w:bCs/>
          <w:i/>
        </w:rPr>
        <w:t>Altceltischer Sprachschatz</w:t>
      </w:r>
      <w:r w:rsidRPr="003B3476">
        <w:rPr>
          <w:lang w:val="fr-FR" w:eastAsia="fr-FR" w:bidi="fr-FR"/>
        </w:rPr>
        <w:t xml:space="preserve">, t. </w:t>
      </w:r>
      <w:r w:rsidRPr="003B3476">
        <w:rPr>
          <w:bCs/>
        </w:rPr>
        <w:t>I, p. 531.</w:t>
      </w:r>
    </w:p>
  </w:footnote>
  <w:footnote w:id="400">
    <w:p w14:paraId="3A11DFC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Gallois</w:t>
      </w:r>
      <w:r w:rsidRPr="003B3476">
        <w:t>,</w:t>
      </w:r>
      <w:r w:rsidRPr="003B3476">
        <w:rPr>
          <w:lang w:val="fr-FR" w:eastAsia="fr-FR" w:bidi="fr-FR"/>
        </w:rPr>
        <w:t xml:space="preserve"> </w:t>
      </w:r>
      <w:r w:rsidRPr="003B3476">
        <w:rPr>
          <w:i/>
          <w:lang w:val="fr-FR" w:eastAsia="fr-FR" w:bidi="fr-FR"/>
        </w:rPr>
        <w:t>op. cit.</w:t>
      </w:r>
      <w:r w:rsidRPr="003B3476">
        <w:rPr>
          <w:rStyle w:val="Notedebasdepage375ptItalique"/>
          <w:b w:val="0"/>
        </w:rPr>
        <w:t>,</w:t>
      </w:r>
      <w:r w:rsidRPr="003B3476">
        <w:t xml:space="preserve"> </w:t>
      </w:r>
      <w:r w:rsidRPr="003B3476">
        <w:rPr>
          <w:lang w:val="fr-FR" w:eastAsia="fr-FR" w:bidi="fr-FR"/>
        </w:rPr>
        <w:t>p. 129.</w:t>
      </w:r>
    </w:p>
  </w:footnote>
  <w:footnote w:id="401">
    <w:p w14:paraId="5AC3B2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Quelques-unes des forêts de la Brie — la forêt de Senart entre autres — sont sur des cailloutis que les fleuves autrefois ont jetés sur le rebord du plateau.</w:t>
      </w:r>
    </w:p>
  </w:footnote>
  <w:footnote w:id="402">
    <w:p w14:paraId="20B35C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H. </w:t>
      </w:r>
      <w:r w:rsidRPr="003B3476">
        <w:rPr>
          <w:rStyle w:val="Notedebasdepage265ptNonItalique"/>
          <w:b w:val="0"/>
          <w:iCs/>
          <w:sz w:val="24"/>
        </w:rPr>
        <w:t>d’</w:t>
      </w:r>
      <w:r w:rsidRPr="003B3476">
        <w:rPr>
          <w:rStyle w:val="Notedebasdepage265ptNonItalique"/>
          <w:b w:val="0"/>
          <w:iCs/>
          <w:smallCaps/>
          <w:sz w:val="24"/>
        </w:rPr>
        <w:t>Arbois de Jubainville</w:t>
      </w:r>
      <w:r w:rsidRPr="003B3476">
        <w:rPr>
          <w:rStyle w:val="Notedebasdepage265ptNonItaliquePetitesmajuscules"/>
          <w:b w:val="0"/>
          <w:i/>
          <w:iCs/>
          <w:sz w:val="24"/>
        </w:rPr>
        <w:t xml:space="preserve">, </w:t>
      </w:r>
      <w:r w:rsidRPr="003B3476">
        <w:rPr>
          <w:i/>
          <w:lang w:val="fr-FR" w:eastAsia="fr-FR" w:bidi="fr-FR"/>
        </w:rPr>
        <w:t>Histoire des ducs et des comtes de Champagne</w:t>
      </w:r>
      <w:r w:rsidRPr="003B3476">
        <w:rPr>
          <w:i/>
        </w:rPr>
        <w:t xml:space="preserve">, </w:t>
      </w:r>
      <w:r w:rsidRPr="003B3476">
        <w:rPr>
          <w:rStyle w:val="Notedebasdepage265ptNonItalique"/>
          <w:b w:val="0"/>
          <w:i/>
          <w:iCs/>
          <w:sz w:val="24"/>
        </w:rPr>
        <w:t xml:space="preserve">t. </w:t>
      </w:r>
      <w:r w:rsidRPr="003B3476">
        <w:t xml:space="preserve">IV, </w:t>
      </w:r>
      <w:r w:rsidRPr="003B3476">
        <w:rPr>
          <w:rStyle w:val="Notedebasdepage265ptNonItalique"/>
          <w:b w:val="0"/>
          <w:iCs/>
          <w:sz w:val="24"/>
        </w:rPr>
        <w:t xml:space="preserve">deuxième partie, </w:t>
      </w:r>
      <w:r w:rsidRPr="003B3476">
        <w:t xml:space="preserve">in-8°, </w:t>
      </w:r>
      <w:r w:rsidRPr="003B3476">
        <w:rPr>
          <w:rStyle w:val="Notedebasdepage265ptNonItalique"/>
          <w:b w:val="0"/>
          <w:iCs/>
          <w:sz w:val="24"/>
        </w:rPr>
        <w:t xml:space="preserve">Paris. </w:t>
      </w:r>
      <w:r w:rsidRPr="003B3476">
        <w:t xml:space="preserve">1865, </w:t>
      </w:r>
      <w:r w:rsidRPr="003B3476">
        <w:rPr>
          <w:rStyle w:val="Notedebasdepage265ptNonItalique"/>
          <w:b w:val="0"/>
          <w:iCs/>
          <w:sz w:val="24"/>
        </w:rPr>
        <w:t>p</w:t>
      </w:r>
      <w:r w:rsidRPr="003B3476">
        <w:rPr>
          <w:rStyle w:val="Notedebasdepage265ptNonItalique"/>
          <w:b w:val="0"/>
          <w:i/>
          <w:iCs/>
          <w:sz w:val="24"/>
        </w:rPr>
        <w:t xml:space="preserve">. </w:t>
      </w:r>
      <w:r w:rsidRPr="003B3476">
        <w:t>864.</w:t>
      </w:r>
    </w:p>
  </w:footnote>
  <w:footnote w:id="403">
    <w:p w14:paraId="1BF63B8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w:t>
      </w:r>
      <w:r w:rsidRPr="003B3476">
        <w:rPr>
          <w:bCs/>
          <w:i/>
        </w:rPr>
        <w:t>supra</w:t>
      </w:r>
      <w:r w:rsidRPr="003B3476">
        <w:rPr>
          <w:lang w:val="fr-FR" w:eastAsia="fr-FR" w:bidi="fr-FR"/>
        </w:rPr>
        <w:t>, p. 698-700.</w:t>
      </w:r>
    </w:p>
  </w:footnote>
  <w:footnote w:id="404">
    <w:p w14:paraId="505566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L’évêché de Meaux — dont les frontières sont peut-être, dans leurs grandes lignes, identiques à celles de la cité gauloise des </w:t>
      </w:r>
      <w:r w:rsidRPr="003B3476">
        <w:rPr>
          <w:bCs/>
          <w:i/>
        </w:rPr>
        <w:t>Meldi</w:t>
      </w:r>
      <w:r w:rsidRPr="003B3476">
        <w:rPr>
          <w:i/>
          <w:lang w:val="fr-FR" w:eastAsia="fr-FR" w:bidi="fr-FR"/>
        </w:rPr>
        <w:t> </w:t>
      </w:r>
      <w:r w:rsidRPr="003B3476">
        <w:rPr>
          <w:lang w:val="fr-FR" w:eastAsia="fr-FR" w:bidi="fr-FR"/>
        </w:rPr>
        <w:t>— s’étendait des deux côtés de cette ligne de collines boisées.</w:t>
      </w:r>
    </w:p>
  </w:footnote>
  <w:footnote w:id="405">
    <w:p w14:paraId="7740B3C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J’expliquerai, au quatrième chapitre de ce travail, comment le Vexin s’est (par suite du traité de Saint-Clair-sur-Epte) trouvé divisé en Vexin français et Vexin normand.</w:t>
      </w:r>
    </w:p>
  </w:footnote>
  <w:footnote w:id="406">
    <w:p w14:paraId="083D2C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Jules </w:t>
      </w:r>
      <w:r w:rsidRPr="003B3476">
        <w:rPr>
          <w:rStyle w:val="Notedebasdepage65ptPetitesmajuscules"/>
          <w:b w:val="0"/>
        </w:rPr>
        <w:t xml:space="preserve">Sion, </w:t>
      </w:r>
      <w:r w:rsidRPr="003B3476">
        <w:rPr>
          <w:bCs/>
          <w:i/>
        </w:rPr>
        <w:t>Les Paysans de la Normandie Orientale</w:t>
      </w:r>
      <w:r w:rsidRPr="003B3476">
        <w:rPr>
          <w:lang w:val="fr-FR" w:eastAsia="fr-FR" w:bidi="fr-FR"/>
        </w:rPr>
        <w:t xml:space="preserve"> (thèse Fac. des Lettres de Paris), in-8°, Paris, 1908, p. 18.</w:t>
      </w:r>
    </w:p>
  </w:footnote>
  <w:footnote w:id="407">
    <w:p w14:paraId="2DD21A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J’emprunte cette expression </w:t>
      </w:r>
      <w:r w:rsidRPr="003B3476">
        <w:rPr>
          <w:bCs/>
        </w:rPr>
        <w:t xml:space="preserve">à </w:t>
      </w:r>
      <w:r w:rsidRPr="003B3476">
        <w:rPr>
          <w:lang w:val="fr-FR" w:eastAsia="fr-FR" w:bidi="fr-FR"/>
        </w:rPr>
        <w:t xml:space="preserve">la description que </w:t>
      </w:r>
      <w:r w:rsidRPr="003B3476">
        <w:rPr>
          <w:rStyle w:val="Notedebasdepage65ptPetitesmajuscules"/>
          <w:b w:val="0"/>
          <w:sz w:val="24"/>
        </w:rPr>
        <w:t xml:space="preserve">Boileau </w:t>
      </w:r>
      <w:r w:rsidRPr="003B3476">
        <w:rPr>
          <w:lang w:val="fr-FR" w:eastAsia="fr-FR" w:bidi="fr-FR"/>
        </w:rPr>
        <w:t xml:space="preserve">a donnée du petit village de Haute-Ile (entre Mantes et la Roche-Guyon) dans son </w:t>
      </w:r>
      <w:r w:rsidRPr="003B3476">
        <w:rPr>
          <w:bCs/>
          <w:i/>
        </w:rPr>
        <w:t>Épître</w:t>
      </w:r>
      <w:r w:rsidRPr="003B3476">
        <w:rPr>
          <w:i/>
          <w:lang w:val="fr-FR" w:eastAsia="fr-FR" w:bidi="fr-FR"/>
        </w:rPr>
        <w:t> VI</w:t>
      </w:r>
      <w:r w:rsidRPr="003B3476">
        <w:rPr>
          <w:lang w:val="fr-FR" w:eastAsia="fr-FR" w:bidi="fr-FR"/>
        </w:rPr>
        <w:t>, v. 5.</w:t>
      </w:r>
    </w:p>
  </w:footnote>
  <w:footnote w:id="408">
    <w:p w14:paraId="7041CD7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Sur les rivières de l’Île-de-France, les ouvrages essentiels sont encore les beaux livres de </w:t>
      </w:r>
      <w:r w:rsidRPr="003B3476">
        <w:rPr>
          <w:rStyle w:val="Notedebasdepage65ptPetitesmajuscules"/>
          <w:b w:val="0"/>
          <w:sz w:val="24"/>
        </w:rPr>
        <w:t xml:space="preserve">Belgrand, </w:t>
      </w:r>
      <w:r w:rsidRPr="003B3476">
        <w:rPr>
          <w:bCs/>
          <w:i/>
        </w:rPr>
        <w:t>La Seine, Le Bassin parisien aux âges anté-historiques (Collection de l'Histoire génér. de Paris),</w:t>
      </w:r>
      <w:r w:rsidRPr="003B3476">
        <w:rPr>
          <w:lang w:val="fr-FR" w:eastAsia="fr-FR" w:bidi="fr-FR"/>
        </w:rPr>
        <w:t xml:space="preserve"> </w:t>
      </w:r>
      <w:r w:rsidRPr="003B3476">
        <w:rPr>
          <w:smallCaps/>
          <w:lang w:val="fr-FR" w:eastAsia="fr-FR" w:bidi="fr-FR"/>
        </w:rPr>
        <w:t>cvi</w:t>
      </w:r>
      <w:r w:rsidRPr="003B3476">
        <w:rPr>
          <w:lang w:val="fr-FR" w:eastAsia="fr-FR" w:bidi="fr-FR"/>
        </w:rPr>
        <w:t xml:space="preserve"> + 288 + 25 p. et pl., in-4°, et atlas, Paris, 1869, et </w:t>
      </w:r>
      <w:r w:rsidRPr="003B3476">
        <w:rPr>
          <w:bCs/>
          <w:i/>
        </w:rPr>
        <w:t>La Seine, Études hydrologiques</w:t>
      </w:r>
      <w:r w:rsidRPr="003B3476">
        <w:rPr>
          <w:bCs/>
        </w:rPr>
        <w:t>,</w:t>
      </w:r>
      <w:r w:rsidRPr="003B3476">
        <w:rPr>
          <w:lang w:val="fr-FR" w:eastAsia="fr-FR" w:bidi="fr-FR"/>
        </w:rPr>
        <w:t xml:space="preserve"> in-8°, Paris, 1872, </w:t>
      </w:r>
      <w:r w:rsidRPr="003B3476">
        <w:rPr>
          <w:smallCaps/>
          <w:lang w:val="fr-FR" w:eastAsia="fr-FR" w:bidi="fr-FR"/>
        </w:rPr>
        <w:t>xi</w:t>
      </w:r>
      <w:r w:rsidRPr="003B3476">
        <w:rPr>
          <w:lang w:val="fr-FR" w:eastAsia="fr-FR" w:bidi="fr-FR"/>
        </w:rPr>
        <w:t xml:space="preserve"> + 623 p. et atlas — où l’on trouvera des renseignements qui intére</w:t>
      </w:r>
      <w:r w:rsidRPr="003B3476">
        <w:rPr>
          <w:lang w:val="fr-FR" w:eastAsia="fr-FR" w:bidi="fr-FR"/>
        </w:rPr>
        <w:t>s</w:t>
      </w:r>
      <w:r w:rsidRPr="003B3476">
        <w:rPr>
          <w:lang w:val="fr-FR" w:eastAsia="fr-FR" w:bidi="fr-FR"/>
        </w:rPr>
        <w:t>sent non seulement l’hydrographie mais même, de façon générale, la géogr</w:t>
      </w:r>
      <w:r w:rsidRPr="003B3476">
        <w:rPr>
          <w:lang w:val="fr-FR" w:eastAsia="fr-FR" w:bidi="fr-FR"/>
        </w:rPr>
        <w:t>a</w:t>
      </w:r>
      <w:r w:rsidRPr="003B3476">
        <w:rPr>
          <w:lang w:val="fr-FR" w:eastAsia="fr-FR" w:bidi="fr-FR"/>
        </w:rPr>
        <w:t xml:space="preserve">phie de la région parisienne. </w:t>
      </w:r>
      <w:r w:rsidRPr="003B3476">
        <w:rPr>
          <w:bCs/>
          <w:i/>
        </w:rPr>
        <w:t>Cf.</w:t>
      </w:r>
      <w:r w:rsidRPr="003B3476">
        <w:rPr>
          <w:lang w:val="fr-FR" w:eastAsia="fr-FR" w:bidi="fr-FR"/>
        </w:rPr>
        <w:t xml:space="preserve"> aussi : A. de </w:t>
      </w:r>
      <w:r w:rsidRPr="003B3476">
        <w:rPr>
          <w:rStyle w:val="Notedebasdepage65ptPetitesmajuscules"/>
          <w:b w:val="0"/>
          <w:sz w:val="24"/>
        </w:rPr>
        <w:t xml:space="preserve">Préaudeau, </w:t>
      </w:r>
      <w:r w:rsidRPr="003B3476">
        <w:rPr>
          <w:bCs/>
          <w:i/>
        </w:rPr>
        <w:t>Manuel hydrolog</w:t>
      </w:r>
      <w:r w:rsidRPr="003B3476">
        <w:rPr>
          <w:bCs/>
          <w:i/>
        </w:rPr>
        <w:t>i</w:t>
      </w:r>
      <w:r w:rsidRPr="003B3476">
        <w:rPr>
          <w:bCs/>
          <w:i/>
        </w:rPr>
        <w:t>que du Bassin de la Seine</w:t>
      </w:r>
      <w:r w:rsidRPr="003B3476">
        <w:rPr>
          <w:bCs/>
        </w:rPr>
        <w:t xml:space="preserve">, </w:t>
      </w:r>
      <w:r w:rsidRPr="003B3476">
        <w:rPr>
          <w:lang w:val="fr-FR" w:eastAsia="fr-FR" w:bidi="fr-FR"/>
        </w:rPr>
        <w:t xml:space="preserve">in-4°, Paris, 1884, iv -f 124 p., cartes et pl. ; Edm. </w:t>
      </w:r>
      <w:r w:rsidRPr="003B3476">
        <w:rPr>
          <w:rStyle w:val="Notedebasdepage65ptPetitesmajuscules"/>
          <w:b w:val="0"/>
          <w:sz w:val="24"/>
        </w:rPr>
        <w:t xml:space="preserve">Maillet, </w:t>
      </w:r>
      <w:r w:rsidRPr="003B3476">
        <w:rPr>
          <w:bCs/>
          <w:i/>
        </w:rPr>
        <w:t>Supplément au manuel hydrologique du Bassin de la Seine</w:t>
      </w:r>
      <w:r w:rsidRPr="003B3476">
        <w:rPr>
          <w:lang w:val="fr-FR" w:eastAsia="fr-FR" w:bidi="fr-FR"/>
        </w:rPr>
        <w:t xml:space="preserve">, in-4°, Paris, 1909, </w:t>
      </w:r>
      <w:r w:rsidRPr="003B3476">
        <w:rPr>
          <w:smallCaps/>
          <w:lang w:val="fr-FR" w:eastAsia="fr-FR" w:bidi="fr-FR"/>
        </w:rPr>
        <w:t>viii</w:t>
      </w:r>
      <w:r w:rsidRPr="003B3476">
        <w:rPr>
          <w:lang w:val="fr-FR" w:eastAsia="fr-FR" w:bidi="fr-FR"/>
        </w:rPr>
        <w:t xml:space="preserve"> + 56 p. et pi. ; </w:t>
      </w:r>
      <w:r w:rsidRPr="003B3476">
        <w:rPr>
          <w:rStyle w:val="Notedebasdepage65ptPetitesmajuscules"/>
          <w:b w:val="0"/>
          <w:sz w:val="24"/>
        </w:rPr>
        <w:t xml:space="preserve">Lemoine, </w:t>
      </w:r>
      <w:r w:rsidRPr="003B3476">
        <w:rPr>
          <w:bCs/>
          <w:i/>
        </w:rPr>
        <w:t>État actuel de nos connaissances sur l’Hydrométrie du bassin de la Seine, Annales de Géogr</w:t>
      </w:r>
      <w:r w:rsidRPr="003B3476">
        <w:rPr>
          <w:lang w:val="fr-FR" w:eastAsia="fr-FR" w:bidi="fr-FR"/>
        </w:rPr>
        <w:t xml:space="preserve">., t. II, p. 26-45 ; L. </w:t>
      </w:r>
      <w:r w:rsidRPr="003B3476">
        <w:rPr>
          <w:rStyle w:val="Notedebasdepage65ptPetitesmajuscules"/>
          <w:b w:val="0"/>
          <w:sz w:val="24"/>
        </w:rPr>
        <w:t xml:space="preserve">Gallois, </w:t>
      </w:r>
      <w:r w:rsidRPr="003B3476">
        <w:rPr>
          <w:bCs/>
          <w:i/>
        </w:rPr>
        <w:t>Sur la crue de la Seine de janvier 1910, Ann. de Géogr.</w:t>
      </w:r>
      <w:r w:rsidRPr="003B3476">
        <w:rPr>
          <w:bCs/>
        </w:rPr>
        <w:t>,</w:t>
      </w:r>
      <w:r w:rsidRPr="003B3476">
        <w:rPr>
          <w:lang w:val="fr-FR" w:eastAsia="fr-FR" w:bidi="fr-FR"/>
        </w:rPr>
        <w:t xml:space="preserve"> t. XX (1911), p. 112-121. Pour l’ensemble de la très abondante littérature relative à cette crue de 1910, je suis obligé de renvoyer aux indications des </w:t>
      </w:r>
      <w:r w:rsidRPr="003B3476">
        <w:rPr>
          <w:bCs/>
          <w:i/>
        </w:rPr>
        <w:t>Bibliogr</w:t>
      </w:r>
      <w:r w:rsidRPr="003B3476">
        <w:rPr>
          <w:bCs/>
          <w:i/>
        </w:rPr>
        <w:t>a</w:t>
      </w:r>
      <w:r w:rsidRPr="003B3476">
        <w:rPr>
          <w:bCs/>
          <w:i/>
        </w:rPr>
        <w:t>phies Annuelles</w:t>
      </w:r>
      <w:r w:rsidRPr="003B3476">
        <w:rPr>
          <w:i/>
          <w:lang w:val="fr-FR" w:eastAsia="fr-FR" w:bidi="fr-FR"/>
        </w:rPr>
        <w:t xml:space="preserve"> des </w:t>
      </w:r>
      <w:r w:rsidRPr="003B3476">
        <w:rPr>
          <w:bCs/>
          <w:i/>
        </w:rPr>
        <w:t>Ann. de Géogr</w:t>
      </w:r>
      <w:r w:rsidRPr="003B3476">
        <w:rPr>
          <w:bCs/>
        </w:rPr>
        <w:t>.,</w:t>
      </w:r>
      <w:r w:rsidRPr="003B3476">
        <w:rPr>
          <w:lang w:val="fr-FR" w:eastAsia="fr-FR" w:bidi="fr-FR"/>
        </w:rPr>
        <w:t xml:space="preserve"> a</w:t>
      </w:r>
      <w:r w:rsidRPr="003B3476">
        <w:rPr>
          <w:lang w:val="fr-FR" w:eastAsia="fr-FR" w:bidi="fr-FR"/>
        </w:rPr>
        <w:t>n</w:t>
      </w:r>
      <w:r w:rsidRPr="003B3476">
        <w:rPr>
          <w:lang w:val="fr-FR" w:eastAsia="fr-FR" w:bidi="fr-FR"/>
        </w:rPr>
        <w:t>nées 1910, n° 341, et 1911, n° 283 B. L’histoire de la constitution du réseau hydrographique de la région parisienne est loin d’être tout entière éclaircie. Il est remarquable que les rivières beauc</w:t>
      </w:r>
      <w:r w:rsidRPr="003B3476">
        <w:rPr>
          <w:lang w:val="fr-FR" w:eastAsia="fr-FR" w:bidi="fr-FR"/>
        </w:rPr>
        <w:t>e</w:t>
      </w:r>
      <w:r w:rsidRPr="003B3476">
        <w:rPr>
          <w:lang w:val="fr-FR" w:eastAsia="fr-FR" w:bidi="fr-FR"/>
        </w:rPr>
        <w:t>ronnes qui s’en vont vers la Seine coulent en sens inverse de la pente du pl</w:t>
      </w:r>
      <w:r w:rsidRPr="003B3476">
        <w:rPr>
          <w:lang w:val="fr-FR" w:eastAsia="fr-FR" w:bidi="fr-FR"/>
        </w:rPr>
        <w:t>a</w:t>
      </w:r>
      <w:r w:rsidRPr="003B3476">
        <w:rPr>
          <w:lang w:val="fr-FR" w:eastAsia="fr-FR" w:bidi="fr-FR"/>
        </w:rPr>
        <w:t xml:space="preserve">teau. Un épisode de cette histoire a été esquissé dans une trop courte notice de </w:t>
      </w:r>
      <w:r w:rsidRPr="003B3476">
        <w:rPr>
          <w:rStyle w:val="Notedebasdepage65ptPetitesmajuscules"/>
          <w:b w:val="0"/>
          <w:sz w:val="24"/>
        </w:rPr>
        <w:t xml:space="preserve">G. Ramond </w:t>
      </w:r>
      <w:r w:rsidRPr="003B3476">
        <w:rPr>
          <w:lang w:val="fr-FR" w:eastAsia="fr-FR" w:bidi="fr-FR"/>
        </w:rPr>
        <w:t xml:space="preserve">et Paul </w:t>
      </w:r>
      <w:r w:rsidRPr="003B3476">
        <w:rPr>
          <w:rStyle w:val="Notedebasdepage65ptPetitesmajuscules"/>
          <w:b w:val="0"/>
          <w:sz w:val="24"/>
        </w:rPr>
        <w:t xml:space="preserve">Combes </w:t>
      </w:r>
      <w:r w:rsidRPr="003B3476">
        <w:rPr>
          <w:lang w:val="fr-FR" w:eastAsia="fr-FR" w:bidi="fr-FR"/>
        </w:rPr>
        <w:t xml:space="preserve">fils. </w:t>
      </w:r>
      <w:r w:rsidRPr="003B3476">
        <w:rPr>
          <w:bCs/>
          <w:i/>
        </w:rPr>
        <w:t>Un intéressant phénomène de capture aux environs de Paris, La Bièvre, l’Yvette et l'Orge, Assoc. franç. pour l'avanc</w:t>
      </w:r>
      <w:r w:rsidRPr="003B3476">
        <w:rPr>
          <w:bCs/>
          <w:i/>
        </w:rPr>
        <w:t>e</w:t>
      </w:r>
      <w:r w:rsidRPr="003B3476">
        <w:rPr>
          <w:bCs/>
          <w:i/>
        </w:rPr>
        <w:t>ment des sciences, 35</w:t>
      </w:r>
      <w:r w:rsidRPr="003B3476">
        <w:rPr>
          <w:bCs/>
          <w:i/>
          <w:vertAlign w:val="superscript"/>
        </w:rPr>
        <w:t>e</w:t>
      </w:r>
      <w:r w:rsidRPr="003B3476">
        <w:rPr>
          <w:bCs/>
          <w:i/>
        </w:rPr>
        <w:t xml:space="preserve"> session</w:t>
      </w:r>
      <w:r w:rsidRPr="003B3476">
        <w:rPr>
          <w:bCs/>
        </w:rPr>
        <w:t>,</w:t>
      </w:r>
      <w:r w:rsidRPr="003B3476">
        <w:rPr>
          <w:lang w:val="fr-FR" w:eastAsia="fr-FR" w:bidi="fr-FR"/>
        </w:rPr>
        <w:t xml:space="preserve"> Lyon, 1906, </w:t>
      </w:r>
      <w:r w:rsidRPr="003B3476">
        <w:rPr>
          <w:bCs/>
        </w:rPr>
        <w:t>Notes et documents,</w:t>
      </w:r>
      <w:r w:rsidRPr="003B3476">
        <w:rPr>
          <w:lang w:val="fr-FR" w:eastAsia="fr-FR" w:bidi="fr-FR"/>
        </w:rPr>
        <w:t xml:space="preserve"> p. 1204-1206.</w:t>
      </w:r>
    </w:p>
  </w:footnote>
  <w:footnote w:id="409">
    <w:p w14:paraId="277427C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Lorsque l’on n’a ni le temps ni la compétence nécessaires pour mettre en œ</w:t>
      </w:r>
      <w:r w:rsidRPr="003B3476">
        <w:rPr>
          <w:lang w:val="fr-FR" w:eastAsia="fr-FR" w:bidi="fr-FR"/>
        </w:rPr>
        <w:t>u</w:t>
      </w:r>
      <w:r w:rsidRPr="003B3476">
        <w:rPr>
          <w:lang w:val="fr-FR" w:eastAsia="fr-FR" w:bidi="fr-FR"/>
        </w:rPr>
        <w:t xml:space="preserve">vre soi-même les documents fournis par les statistiques météorologiques, il est impossible de dire rien que de général et de vague sur le climat de l’Île-de-France. Car il n’existe pas de monographie sur ce climat. L’ouvrage de </w:t>
      </w:r>
      <w:r w:rsidRPr="003B3476">
        <w:rPr>
          <w:rStyle w:val="Notedebasdepage65ptPetitesmajuscules"/>
          <w:b w:val="0"/>
          <w:sz w:val="24"/>
        </w:rPr>
        <w:t xml:space="preserve">J. Jaubert, </w:t>
      </w:r>
      <w:r w:rsidRPr="003B3476">
        <w:rPr>
          <w:bCs/>
          <w:i/>
        </w:rPr>
        <w:t>Climatologie de la région de Paris</w:t>
      </w:r>
      <w:r w:rsidRPr="003B3476">
        <w:rPr>
          <w:lang w:val="fr-FR" w:eastAsia="fr-FR" w:bidi="fr-FR"/>
        </w:rPr>
        <w:t>, in-8°, Paris, 1898, ne conce</w:t>
      </w:r>
      <w:r w:rsidRPr="003B3476">
        <w:rPr>
          <w:lang w:val="fr-FR" w:eastAsia="fr-FR" w:bidi="fr-FR"/>
        </w:rPr>
        <w:t>r</w:t>
      </w:r>
      <w:r w:rsidRPr="003B3476">
        <w:rPr>
          <w:lang w:val="fr-FR" w:eastAsia="fr-FR" w:bidi="fr-FR"/>
        </w:rPr>
        <w:t>ne que Paris et sa banlieue. Ce sont encore les ouvrages sur l’hydrographie de la région, cités à la note précédente, qui fournissent, sur le climat, les indic</w:t>
      </w:r>
      <w:r w:rsidRPr="003B3476">
        <w:rPr>
          <w:lang w:val="fr-FR" w:eastAsia="fr-FR" w:bidi="fr-FR"/>
        </w:rPr>
        <w:t>a</w:t>
      </w:r>
      <w:r w:rsidRPr="003B3476">
        <w:rPr>
          <w:lang w:val="fr-FR" w:eastAsia="fr-FR" w:bidi="fr-FR"/>
        </w:rPr>
        <w:t>tions les plus utiles.</w:t>
      </w:r>
    </w:p>
  </w:footnote>
  <w:footnote w:id="410">
    <w:p w14:paraId="2E268CC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Cette phrase est prise à la fameuse description de Lutèce par l’empereur J</w:t>
      </w:r>
      <w:r w:rsidRPr="003B3476">
        <w:rPr>
          <w:lang w:val="fr-FR" w:eastAsia="fr-FR" w:bidi="fr-FR"/>
        </w:rPr>
        <w:t>u</w:t>
      </w:r>
      <w:r w:rsidRPr="003B3476">
        <w:rPr>
          <w:lang w:val="fr-FR" w:eastAsia="fr-FR" w:bidi="fr-FR"/>
        </w:rPr>
        <w:t xml:space="preserve">lien, </w:t>
      </w:r>
      <w:r w:rsidRPr="003B3476">
        <w:rPr>
          <w:bCs/>
          <w:i/>
        </w:rPr>
        <w:t>Misopogon</w:t>
      </w:r>
      <w:r w:rsidRPr="003B3476">
        <w:rPr>
          <w:lang w:val="fr-FR" w:eastAsia="fr-FR" w:bidi="fr-FR"/>
        </w:rPr>
        <w:t>, 341 B.</w:t>
      </w:r>
    </w:p>
  </w:footnote>
  <w:footnote w:id="411">
    <w:p w14:paraId="17F4855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Bonneval, Eure-et-Loir, arrondissement de Châteaudun.</w:t>
      </w:r>
    </w:p>
  </w:footnote>
  <w:footnote w:id="412">
    <w:p w14:paraId="1AAB3D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première partie de la </w:t>
      </w:r>
      <w:r w:rsidRPr="003B3476">
        <w:rPr>
          <w:bCs/>
        </w:rPr>
        <w:t>Chronique de Bonneval</w:t>
      </w:r>
      <w:r w:rsidRPr="003B3476">
        <w:rPr>
          <w:lang w:val="fr-FR" w:eastAsia="fr-FR" w:bidi="fr-FR"/>
        </w:rPr>
        <w:t xml:space="preserve"> a été publiée avec une utile introduction par </w:t>
      </w:r>
      <w:r w:rsidRPr="003B3476">
        <w:rPr>
          <w:bCs/>
        </w:rPr>
        <w:t xml:space="preserve">M. </w:t>
      </w:r>
      <w:r w:rsidRPr="003B3476">
        <w:rPr>
          <w:lang w:val="fr-FR" w:eastAsia="fr-FR" w:bidi="fr-FR"/>
        </w:rPr>
        <w:t xml:space="preserve">René </w:t>
      </w:r>
      <w:r w:rsidRPr="003B3476">
        <w:rPr>
          <w:rStyle w:val="Notedebasdepage65ptPetitesmajuscules"/>
          <w:b w:val="0"/>
          <w:sz w:val="24"/>
        </w:rPr>
        <w:t xml:space="preserve">Merlet, </w:t>
      </w:r>
      <w:r w:rsidRPr="003B3476">
        <w:rPr>
          <w:bCs/>
          <w:i/>
        </w:rPr>
        <w:t>Petite chronique de l’abbaye de Bonneval de 857 à 1050 environ</w:t>
      </w:r>
      <w:r w:rsidRPr="003B3476">
        <w:rPr>
          <w:lang w:val="fr-FR" w:eastAsia="fr-FR" w:bidi="fr-FR"/>
        </w:rPr>
        <w:t>, in-8°, Chartres, 1890, 30 p. Pour la seconde partie, réd</w:t>
      </w:r>
      <w:r w:rsidRPr="003B3476">
        <w:rPr>
          <w:lang w:val="fr-FR" w:eastAsia="fr-FR" w:bidi="fr-FR"/>
        </w:rPr>
        <w:t>i</w:t>
      </w:r>
      <w:r w:rsidRPr="003B3476">
        <w:rPr>
          <w:lang w:val="fr-FR" w:eastAsia="fr-FR" w:bidi="fr-FR"/>
        </w:rPr>
        <w:t>gée vers le milieu du XII</w:t>
      </w:r>
      <w:r w:rsidRPr="003B3476">
        <w:rPr>
          <w:vertAlign w:val="superscript"/>
          <w:lang w:val="fr-FR" w:eastAsia="fr-FR" w:bidi="fr-FR"/>
        </w:rPr>
        <w:t>e</w:t>
      </w:r>
      <w:r w:rsidRPr="003B3476">
        <w:rPr>
          <w:lang w:val="fr-FR" w:eastAsia="fr-FR" w:bidi="fr-FR"/>
        </w:rPr>
        <w:t xml:space="preserve"> siècle, il faut se reporter à l’édition donnée dans </w:t>
      </w:r>
      <w:r w:rsidRPr="003B3476">
        <w:rPr>
          <w:bCs/>
          <w:i/>
        </w:rPr>
        <w:t>l’Histoire abrégée de l’abbaye de Saint-Florentin de Bonneval</w:t>
      </w:r>
      <w:r w:rsidRPr="003B3476">
        <w:rPr>
          <w:bCs/>
        </w:rPr>
        <w:t xml:space="preserve"> </w:t>
      </w:r>
      <w:r w:rsidRPr="003B3476">
        <w:rPr>
          <w:lang w:val="fr-FR" w:eastAsia="fr-FR" w:bidi="fr-FR"/>
        </w:rPr>
        <w:t xml:space="preserve">des RR. PP. dom Jean </w:t>
      </w:r>
      <w:r w:rsidRPr="003B3476">
        <w:rPr>
          <w:rStyle w:val="Notedebasdepage65ptPetitesmajuscules"/>
          <w:b w:val="0"/>
          <w:sz w:val="24"/>
        </w:rPr>
        <w:t xml:space="preserve">Thiroux </w:t>
      </w:r>
      <w:r w:rsidRPr="003B3476">
        <w:rPr>
          <w:lang w:val="fr-FR" w:eastAsia="fr-FR" w:bidi="fr-FR"/>
        </w:rPr>
        <w:t xml:space="preserve">et dom </w:t>
      </w:r>
      <w:r w:rsidRPr="003B3476">
        <w:rPr>
          <w:rStyle w:val="Notedebasdepage65ptPetitesmajuscules"/>
          <w:b w:val="0"/>
          <w:sz w:val="24"/>
        </w:rPr>
        <w:t xml:space="preserve">Lambert, </w:t>
      </w:r>
      <w:r w:rsidRPr="003B3476">
        <w:rPr>
          <w:lang w:val="fr-FR" w:eastAsia="fr-FR" w:bidi="fr-FR"/>
        </w:rPr>
        <w:t xml:space="preserve">éd. </w:t>
      </w:r>
      <w:r w:rsidRPr="003B3476">
        <w:rPr>
          <w:bCs/>
        </w:rPr>
        <w:t xml:space="preserve">V. </w:t>
      </w:r>
      <w:r w:rsidRPr="003B3476">
        <w:rPr>
          <w:lang w:val="fr-FR" w:eastAsia="fr-FR" w:bidi="fr-FR"/>
        </w:rPr>
        <w:t>Bigot, in-8°, Châteaudun, 1875, p. LXVII-LXXVII.</w:t>
      </w:r>
    </w:p>
  </w:footnote>
  <w:footnote w:id="413">
    <w:p w14:paraId="3651361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Morigny, commune de Morigny-Champigny, Seine-et-Oise, canton d’Ëtampes. — On lira la chronique dans l’édition Léon </w:t>
      </w:r>
      <w:r w:rsidRPr="003B3476">
        <w:rPr>
          <w:rStyle w:val="Notedebasdepage65ptPetitesmajuscules"/>
          <w:b w:val="0"/>
          <w:sz w:val="24"/>
        </w:rPr>
        <w:t xml:space="preserve">Mirot </w:t>
      </w:r>
      <w:r w:rsidRPr="003B3476">
        <w:rPr>
          <w:bCs/>
          <w:i/>
        </w:rPr>
        <w:t>(Collect</w:t>
      </w:r>
      <w:r w:rsidRPr="003B3476">
        <w:rPr>
          <w:i/>
          <w:lang w:val="fr-FR" w:eastAsia="fr-FR" w:bidi="fr-FR"/>
        </w:rPr>
        <w:t xml:space="preserve">. </w:t>
      </w:r>
      <w:r w:rsidRPr="003B3476">
        <w:rPr>
          <w:bCs/>
          <w:i/>
        </w:rPr>
        <w:t>de textes pour servir à l’étude et renseignement de l’histoire)</w:t>
      </w:r>
      <w:r w:rsidRPr="003B3476">
        <w:rPr>
          <w:bCs/>
        </w:rPr>
        <w:t>,</w:t>
      </w:r>
      <w:r w:rsidRPr="003B3476">
        <w:rPr>
          <w:lang w:val="fr-FR" w:eastAsia="fr-FR" w:bidi="fr-FR"/>
        </w:rPr>
        <w:t xml:space="preserve"> in-8°, Paris, 1909, </w:t>
      </w:r>
      <w:r w:rsidRPr="003B3476">
        <w:rPr>
          <w:smallCaps/>
          <w:lang w:val="fr-FR" w:eastAsia="fr-FR" w:bidi="fr-FR"/>
        </w:rPr>
        <w:t>xix</w:t>
      </w:r>
      <w:r w:rsidRPr="003B3476">
        <w:rPr>
          <w:lang w:val="fr-FR" w:eastAsia="fr-FR" w:bidi="fr-FR"/>
        </w:rPr>
        <w:t xml:space="preserve"> + 98 p. Sur l’histoire de la rédaction de la chronique, consulter l’introduction de cette édition.</w:t>
      </w:r>
    </w:p>
  </w:footnote>
  <w:footnote w:id="414">
    <w:p w14:paraId="649611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1.</w:t>
      </w:r>
    </w:p>
  </w:footnote>
  <w:footnote w:id="415">
    <w:p w14:paraId="6C26D4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64.</w:t>
      </w:r>
    </w:p>
  </w:footnote>
  <w:footnote w:id="416">
    <w:p w14:paraId="28AB115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Rouen, 1587, 56 feuillets. L’ouvrage a été réédité : </w:t>
      </w:r>
      <w:r w:rsidRPr="003B3476">
        <w:rPr>
          <w:i/>
        </w:rPr>
        <w:t>Les Antiquitez et Singul</w:t>
      </w:r>
      <w:r w:rsidRPr="003B3476">
        <w:rPr>
          <w:i/>
        </w:rPr>
        <w:t>a</w:t>
      </w:r>
      <w:r w:rsidRPr="003B3476">
        <w:rPr>
          <w:i/>
        </w:rPr>
        <w:t>ritez de la ville de Pontoise, réimpression de l’ouvrage de Noël Taillepied, édition revue et annotée sur les manuscrits des Archives de</w:t>
      </w:r>
      <w:r w:rsidRPr="003B3476">
        <w:t xml:space="preserve"> </w:t>
      </w:r>
      <w:r w:rsidRPr="003B3476">
        <w:rPr>
          <w:i/>
        </w:rPr>
        <w:t>Pontoise, et coll</w:t>
      </w:r>
      <w:r w:rsidRPr="003B3476">
        <w:rPr>
          <w:i/>
        </w:rPr>
        <w:t>a</w:t>
      </w:r>
      <w:r w:rsidRPr="003B3476">
        <w:rPr>
          <w:i/>
        </w:rPr>
        <w:t>tionnée sur l’imprimé de 1587</w:t>
      </w:r>
      <w:r w:rsidRPr="003B3476">
        <w:t>,</w:t>
      </w:r>
      <w:r w:rsidRPr="003B3476">
        <w:rPr>
          <w:lang w:val="fr-FR" w:eastAsia="fr-FR" w:bidi="fr-FR"/>
        </w:rPr>
        <w:t xml:space="preserve"> par A. </w:t>
      </w:r>
      <w:r w:rsidRPr="003B3476">
        <w:rPr>
          <w:rStyle w:val="Notedebasdepage65ptPetitesmajuscules"/>
          <w:b w:val="0"/>
          <w:sz w:val="24"/>
        </w:rPr>
        <w:t xml:space="preserve">François, </w:t>
      </w:r>
      <w:r w:rsidRPr="003B3476">
        <w:rPr>
          <w:lang w:val="fr-FR" w:eastAsia="fr-FR" w:bidi="fr-FR"/>
        </w:rPr>
        <w:t xml:space="preserve">précédée d’une </w:t>
      </w:r>
      <w:r w:rsidRPr="003B3476">
        <w:rPr>
          <w:i/>
        </w:rPr>
        <w:t>Notice Bi</w:t>
      </w:r>
      <w:r w:rsidRPr="003B3476">
        <w:rPr>
          <w:i/>
        </w:rPr>
        <w:t>o</w:t>
      </w:r>
      <w:r w:rsidRPr="003B3476">
        <w:rPr>
          <w:i/>
        </w:rPr>
        <w:t>graph</w:t>
      </w:r>
      <w:r w:rsidRPr="003B3476">
        <w:rPr>
          <w:i/>
        </w:rPr>
        <w:t>i</w:t>
      </w:r>
      <w:r w:rsidRPr="003B3476">
        <w:rPr>
          <w:i/>
        </w:rPr>
        <w:t>que et Bibliographique sur l’Auteur</w:t>
      </w:r>
      <w:r w:rsidRPr="003B3476">
        <w:t>,</w:t>
      </w:r>
      <w:r w:rsidRPr="003B3476">
        <w:rPr>
          <w:lang w:val="fr-FR" w:eastAsia="fr-FR" w:bidi="fr-FR"/>
        </w:rPr>
        <w:t xml:space="preserve"> par Henri </w:t>
      </w:r>
      <w:r w:rsidRPr="003B3476">
        <w:rPr>
          <w:rStyle w:val="Notedebasdepage65ptPetitesmajuscules"/>
          <w:b w:val="0"/>
          <w:sz w:val="24"/>
        </w:rPr>
        <w:t xml:space="preserve">Le Charpentier, </w:t>
      </w:r>
      <w:r w:rsidRPr="003B3476">
        <w:rPr>
          <w:lang w:val="fr-FR" w:eastAsia="fr-FR" w:bidi="fr-FR"/>
        </w:rPr>
        <w:t>in-8°, Paris et Po</w:t>
      </w:r>
      <w:r w:rsidRPr="003B3476">
        <w:rPr>
          <w:lang w:val="fr-FR" w:eastAsia="fr-FR" w:bidi="fr-FR"/>
        </w:rPr>
        <w:t>n</w:t>
      </w:r>
      <w:r w:rsidRPr="003B3476">
        <w:rPr>
          <w:lang w:val="fr-FR" w:eastAsia="fr-FR" w:bidi="fr-FR"/>
        </w:rPr>
        <w:t>toise, 1876, iv + 141 p. Cette réimpression s’inspire de principes philologiques assez peu sûrs. Sur Taillepied — qui a écrit d’autres ouvr</w:t>
      </w:r>
      <w:r w:rsidRPr="003B3476">
        <w:rPr>
          <w:lang w:val="fr-FR" w:eastAsia="fr-FR" w:bidi="fr-FR"/>
        </w:rPr>
        <w:t>a</w:t>
      </w:r>
      <w:r w:rsidRPr="003B3476">
        <w:rPr>
          <w:lang w:val="fr-FR" w:eastAsia="fr-FR" w:bidi="fr-FR"/>
        </w:rPr>
        <w:t xml:space="preserve">ges — on peut consulter les articles de M. J. </w:t>
      </w:r>
      <w:r w:rsidRPr="003B3476">
        <w:rPr>
          <w:rStyle w:val="Notedebasdepage65ptPetitesmajuscules"/>
          <w:b w:val="0"/>
          <w:sz w:val="24"/>
        </w:rPr>
        <w:t>Depoin</w:t>
      </w:r>
      <w:r w:rsidRPr="003B3476">
        <w:rPr>
          <w:rStyle w:val="Notedebasdepage65ptPetitesmajuscules"/>
          <w:b w:val="0"/>
          <w:i/>
          <w:sz w:val="24"/>
        </w:rPr>
        <w:t xml:space="preserve">, </w:t>
      </w:r>
      <w:r w:rsidRPr="003B3476">
        <w:rPr>
          <w:i/>
        </w:rPr>
        <w:t>Les pionniers de l’histoire du Vexin, Mém. Soc. histor. Pontoise</w:t>
      </w:r>
      <w:r w:rsidRPr="003B3476">
        <w:t>,</w:t>
      </w:r>
      <w:r w:rsidRPr="003B3476">
        <w:rPr>
          <w:lang w:val="fr-FR" w:eastAsia="fr-FR" w:bidi="fr-FR"/>
        </w:rPr>
        <w:t xml:space="preserve"> t. I (1879), p. 12-18, et </w:t>
      </w:r>
      <w:r w:rsidRPr="003B3476">
        <w:rPr>
          <w:i/>
        </w:rPr>
        <w:t>Étude sur les historiens du Vexin, Bullet. Soc. histor. Pontoise</w:t>
      </w:r>
      <w:r w:rsidRPr="003B3476">
        <w:t>,</w:t>
      </w:r>
      <w:r w:rsidRPr="003B3476">
        <w:rPr>
          <w:lang w:val="fr-FR" w:eastAsia="fr-FR" w:bidi="fr-FR"/>
        </w:rPr>
        <w:t xml:space="preserve"> t. VII (1885), p. 77-80 On trouvera signalés dans ces deux articles quelques ouvrages anciens to</w:t>
      </w:r>
      <w:r w:rsidRPr="003B3476">
        <w:rPr>
          <w:lang w:val="fr-FR" w:eastAsia="fr-FR" w:bidi="fr-FR"/>
        </w:rPr>
        <w:t>u</w:t>
      </w:r>
      <w:r w:rsidRPr="003B3476">
        <w:rPr>
          <w:lang w:val="fr-FR" w:eastAsia="fr-FR" w:bidi="fr-FR"/>
        </w:rPr>
        <w:t>chant l’histoire de Pontoise ou celle du Vexin qui n’ont pu être indiqués ici. L’histoire ecclésia</w:t>
      </w:r>
      <w:r w:rsidRPr="003B3476">
        <w:rPr>
          <w:lang w:val="fr-FR" w:eastAsia="fr-FR" w:bidi="fr-FR"/>
        </w:rPr>
        <w:t>s</w:t>
      </w:r>
      <w:r w:rsidRPr="003B3476">
        <w:rPr>
          <w:lang w:val="fr-FR" w:eastAsia="fr-FR" w:bidi="fr-FR"/>
        </w:rPr>
        <w:t xml:space="preserve">tique du Vexin (qui faisait partie du diocèse de Rouen) touche de très près à celle de la Normandie, pour laquelle on se reportera à l’ouvrage de M. </w:t>
      </w:r>
      <w:r w:rsidRPr="003B3476">
        <w:rPr>
          <w:rStyle w:val="Notedebasdepage65ptPetitesmajuscules"/>
          <w:b w:val="0"/>
          <w:sz w:val="24"/>
        </w:rPr>
        <w:t xml:space="preserve">Prentout, </w:t>
      </w:r>
      <w:r w:rsidRPr="003B3476">
        <w:rPr>
          <w:i/>
        </w:rPr>
        <w:t>Les Bégions de la France, La Normandie</w:t>
      </w:r>
      <w:r w:rsidRPr="003B3476">
        <w:t xml:space="preserve"> </w:t>
      </w:r>
      <w:r w:rsidRPr="003B3476">
        <w:rPr>
          <w:lang w:val="fr-FR" w:eastAsia="fr-FR" w:bidi="fr-FR"/>
        </w:rPr>
        <w:t xml:space="preserve">in-8°, Paris, 1910 </w:t>
      </w:r>
      <w:r w:rsidRPr="003B3476">
        <w:t>(</w:t>
      </w:r>
      <w:r w:rsidRPr="003B3476">
        <w:rPr>
          <w:i/>
        </w:rPr>
        <w:t>Publication de la Bev. de Synthèse histor</w:t>
      </w:r>
      <w:r w:rsidRPr="003B3476">
        <w:t>.).</w:t>
      </w:r>
    </w:p>
  </w:footnote>
  <w:footnote w:id="417">
    <w:p w14:paraId="45C53D8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t>In-4°, Paris, 1628, 759 p.</w:t>
      </w:r>
    </w:p>
  </w:footnote>
  <w:footnote w:id="418">
    <w:p w14:paraId="3AD729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8.</w:t>
      </w:r>
    </w:p>
  </w:footnote>
  <w:footnote w:id="419">
    <w:p w14:paraId="6B55A2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Comme en témoigne le sonnet, adressé </w:t>
      </w:r>
      <w:r w:rsidRPr="003B3476">
        <w:rPr>
          <w:bCs/>
        </w:rPr>
        <w:t xml:space="preserve">à </w:t>
      </w:r>
      <w:r w:rsidRPr="003B3476">
        <w:rPr>
          <w:lang w:val="fr-FR" w:eastAsia="fr-FR" w:bidi="fr-FR"/>
        </w:rPr>
        <w:t xml:space="preserve">Rouillard par un certain Florent de </w:t>
      </w:r>
      <w:r w:rsidRPr="003B3476">
        <w:rPr>
          <w:rStyle w:val="Notedebasdepage65ptPetitesmajuscules"/>
          <w:b w:val="0"/>
          <w:sz w:val="24"/>
        </w:rPr>
        <w:t xml:space="preserve">Chouayne, </w:t>
      </w:r>
      <w:r w:rsidRPr="003B3476">
        <w:rPr>
          <w:lang w:val="fr-FR" w:eastAsia="fr-FR" w:bidi="fr-FR"/>
        </w:rPr>
        <w:t xml:space="preserve">que l’on peut lire au feuillet 6 r° de la première partie de la </w:t>
      </w:r>
      <w:r w:rsidRPr="003B3476">
        <w:rPr>
          <w:bCs/>
          <w:i/>
        </w:rPr>
        <w:t>Pa</w:t>
      </w:r>
      <w:r w:rsidRPr="003B3476">
        <w:rPr>
          <w:bCs/>
          <w:i/>
        </w:rPr>
        <w:t>r</w:t>
      </w:r>
      <w:r w:rsidRPr="003B3476">
        <w:rPr>
          <w:bCs/>
          <w:i/>
        </w:rPr>
        <w:t>thénie</w:t>
      </w:r>
      <w:r w:rsidRPr="003B3476">
        <w:rPr>
          <w:lang w:val="fr-FR" w:eastAsia="fr-FR" w:bidi="fr-FR"/>
        </w:rPr>
        <w:t xml:space="preserve"> (voir </w:t>
      </w:r>
      <w:r w:rsidRPr="003B3476">
        <w:rPr>
          <w:bCs/>
          <w:i/>
        </w:rPr>
        <w:t>infra.</w:t>
      </w:r>
      <w:r w:rsidRPr="003B3476">
        <w:rPr>
          <w:lang w:val="fr-FR" w:eastAsia="fr-FR" w:bidi="fr-FR"/>
        </w:rPr>
        <w:t>, p. 718).</w:t>
      </w:r>
    </w:p>
  </w:footnote>
  <w:footnote w:id="420">
    <w:p w14:paraId="4F4A37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trouvera un certain nombre d’ouvrages dus à Séb. Rouillard, énumérés dans </w:t>
      </w:r>
      <w:r w:rsidRPr="003B3476">
        <w:rPr>
          <w:bCs/>
          <w:i/>
        </w:rPr>
        <w:t>L’Intermédiaire des Chercheurs et des Curieux</w:t>
      </w:r>
      <w:r w:rsidRPr="003B3476">
        <w:rPr>
          <w:lang w:val="fr-FR" w:eastAsia="fr-FR" w:bidi="fr-FR"/>
        </w:rPr>
        <w:t>, t. LII (1905, 2</w:t>
      </w:r>
      <w:r w:rsidRPr="003B3476">
        <w:rPr>
          <w:vertAlign w:val="superscript"/>
          <w:lang w:val="fr-FR" w:eastAsia="fr-FR" w:bidi="fr-FR"/>
        </w:rPr>
        <w:t>e</w:t>
      </w:r>
      <w:r w:rsidRPr="003B3476">
        <w:rPr>
          <w:lang w:val="fr-FR" w:eastAsia="fr-FR" w:bidi="fr-FR"/>
        </w:rPr>
        <w:t xml:space="preserve"> sem.), col. 503, 706, 927.</w:t>
      </w:r>
    </w:p>
  </w:footnote>
  <w:footnote w:id="421">
    <w:p w14:paraId="6D4F0D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Antiquitez de la ville</w:t>
      </w:r>
      <w:r w:rsidRPr="003B3476">
        <w:rPr>
          <w:bCs/>
          <w:i/>
        </w:rPr>
        <w:t xml:space="preserve">, </w:t>
      </w:r>
      <w:r w:rsidRPr="003B3476">
        <w:rPr>
          <w:i/>
          <w:lang w:val="fr-FR" w:eastAsia="fr-FR" w:bidi="fr-FR"/>
        </w:rPr>
        <w:t>comté et chatelenie de Corbeil</w:t>
      </w:r>
      <w:r w:rsidRPr="003B3476">
        <w:rPr>
          <w:bCs/>
          <w:i/>
        </w:rPr>
        <w:t xml:space="preserve">, </w:t>
      </w:r>
      <w:r w:rsidRPr="003B3476">
        <w:rPr>
          <w:i/>
          <w:lang w:val="fr-FR" w:eastAsia="fr-FR" w:bidi="fr-FR"/>
        </w:rPr>
        <w:t>de la recherche de M</w:t>
      </w:r>
      <w:r w:rsidRPr="003B3476">
        <w:rPr>
          <w:i/>
          <w:vertAlign w:val="superscript"/>
          <w:lang w:val="fr-FR" w:eastAsia="fr-FR" w:bidi="fr-FR"/>
        </w:rPr>
        <w:t>e</w:t>
      </w:r>
      <w:r w:rsidRPr="003B3476">
        <w:rPr>
          <w:i/>
          <w:lang w:val="fr-FR" w:eastAsia="fr-FR" w:bidi="fr-FR"/>
        </w:rPr>
        <w:t xml:space="preserve"> Jean de la Barre</w:t>
      </w:r>
      <w:r w:rsidRPr="003B3476">
        <w:rPr>
          <w:bCs/>
          <w:i/>
        </w:rPr>
        <w:t xml:space="preserve">, </w:t>
      </w:r>
      <w:r w:rsidRPr="003B3476">
        <w:rPr>
          <w:i/>
          <w:lang w:val="fr-FR" w:eastAsia="fr-FR" w:bidi="fr-FR"/>
        </w:rPr>
        <w:t>cy-devant prévost de Corbeil</w:t>
      </w:r>
      <w:r w:rsidRPr="003B3476">
        <w:rPr>
          <w:bCs/>
        </w:rPr>
        <w:t xml:space="preserve">, in-4°, Paris, 1647, 280 p. On consultera sur La Barre, A. </w:t>
      </w:r>
      <w:r w:rsidRPr="003B3476">
        <w:rPr>
          <w:rStyle w:val="Notedebasdepage265ptNonItaliquePetitesmajuscules"/>
          <w:b w:val="0"/>
          <w:i/>
          <w:iCs/>
          <w:sz w:val="24"/>
        </w:rPr>
        <w:t xml:space="preserve">Dufour, </w:t>
      </w:r>
      <w:r w:rsidRPr="003B3476">
        <w:rPr>
          <w:i/>
          <w:lang w:val="fr-FR" w:eastAsia="fr-FR" w:bidi="fr-FR"/>
        </w:rPr>
        <w:t>Un mot sur Jehan de la Barre</w:t>
      </w:r>
      <w:r w:rsidRPr="003B3476">
        <w:rPr>
          <w:bCs/>
          <w:i/>
        </w:rPr>
        <w:t xml:space="preserve">, </w:t>
      </w:r>
      <w:r w:rsidRPr="003B3476">
        <w:rPr>
          <w:i/>
          <w:lang w:val="fr-FR" w:eastAsia="fr-FR" w:bidi="fr-FR"/>
        </w:rPr>
        <w:t>pr</w:t>
      </w:r>
      <w:r w:rsidRPr="003B3476">
        <w:rPr>
          <w:i/>
          <w:lang w:val="fr-FR" w:eastAsia="fr-FR" w:bidi="fr-FR"/>
        </w:rPr>
        <w:t>é</w:t>
      </w:r>
      <w:r w:rsidRPr="003B3476">
        <w:rPr>
          <w:i/>
          <w:lang w:val="fr-FR" w:eastAsia="fr-FR" w:bidi="fr-FR"/>
        </w:rPr>
        <w:t>vost et historien de la ville de Corbeil</w:t>
      </w:r>
      <w:r w:rsidRPr="003B3476">
        <w:rPr>
          <w:bCs/>
          <w:i/>
        </w:rPr>
        <w:t xml:space="preserve">, </w:t>
      </w:r>
      <w:r w:rsidRPr="003B3476">
        <w:rPr>
          <w:i/>
          <w:lang w:val="fr-FR" w:eastAsia="fr-FR" w:bidi="fr-FR"/>
        </w:rPr>
        <w:t>Bullet. Soc. histor. Corbeil</w:t>
      </w:r>
      <w:r w:rsidRPr="003B3476">
        <w:rPr>
          <w:bCs/>
        </w:rPr>
        <w:t xml:space="preserve">, t. XIII (1907), p. 140-143, et </w:t>
      </w:r>
      <w:r w:rsidRPr="003B3476">
        <w:rPr>
          <w:i/>
          <w:lang w:val="fr-FR" w:eastAsia="fr-FR" w:bidi="fr-FR"/>
        </w:rPr>
        <w:t>Notes sur Jehan de la Barre, prévôt de Corbeil (1607-1624), Confér. des Soc. sav. de Seine-et-Oise, Quatrième réunion,</w:t>
      </w:r>
      <w:r w:rsidRPr="003B3476">
        <w:rPr>
          <w:bCs/>
        </w:rPr>
        <w:t xml:space="preserve"> Paris, 1909, p. 94-97. La Bibl. Nat. possède sous le n° 4618 du fonds français un ms. des </w:t>
      </w:r>
      <w:r w:rsidRPr="003B3476">
        <w:rPr>
          <w:i/>
          <w:lang w:val="fr-FR" w:eastAsia="fr-FR" w:bidi="fr-FR"/>
        </w:rPr>
        <w:t>Ant</w:t>
      </w:r>
      <w:r w:rsidRPr="003B3476">
        <w:rPr>
          <w:i/>
          <w:lang w:val="fr-FR" w:eastAsia="fr-FR" w:bidi="fr-FR"/>
        </w:rPr>
        <w:t>i</w:t>
      </w:r>
      <w:r w:rsidRPr="003B3476">
        <w:rPr>
          <w:i/>
          <w:lang w:val="fr-FR" w:eastAsia="fr-FR" w:bidi="fr-FR"/>
        </w:rPr>
        <w:t>quités de Corbeil,</w:t>
      </w:r>
      <w:r w:rsidRPr="003B3476">
        <w:rPr>
          <w:bCs/>
        </w:rPr>
        <w:t xml:space="preserve"> qui diffère sur certains points du texte imprimé.</w:t>
      </w:r>
    </w:p>
  </w:footnote>
  <w:footnote w:id="422">
    <w:p w14:paraId="0CD53C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In-4°, Paris, 1683, 618 p. Dom </w:t>
      </w:r>
      <w:r w:rsidRPr="003B3476">
        <w:rPr>
          <w:rStyle w:val="Notedebasdepage65ptPetitesmajuscules"/>
          <w:b w:val="0"/>
          <w:sz w:val="24"/>
        </w:rPr>
        <w:t xml:space="preserve">Fleureau </w:t>
      </w:r>
      <w:r w:rsidRPr="003B3476">
        <w:rPr>
          <w:lang w:val="fr-FR" w:eastAsia="fr-FR" w:bidi="fr-FR"/>
        </w:rPr>
        <w:t xml:space="preserve">avait laissé en manuscrit une </w:t>
      </w:r>
      <w:r w:rsidRPr="003B3476">
        <w:rPr>
          <w:i/>
        </w:rPr>
        <w:t>Brie</w:t>
      </w:r>
      <w:r w:rsidRPr="003B3476">
        <w:rPr>
          <w:i/>
        </w:rPr>
        <w:t>f</w:t>
      </w:r>
      <w:r w:rsidRPr="003B3476">
        <w:rPr>
          <w:i/>
        </w:rPr>
        <w:t>ve histoire de l’abbaie Nostre-Dame la Royale de Villiers proche la Ville de La Ferté-Aales</w:t>
      </w:r>
      <w:r w:rsidRPr="003B3476">
        <w:rPr>
          <w:lang w:val="fr-FR" w:eastAsia="fr-FR" w:bidi="fr-FR"/>
        </w:rPr>
        <w:t xml:space="preserve"> qui a été imprimée en 1893 dans le tome XI des </w:t>
      </w:r>
      <w:r w:rsidRPr="003B3476">
        <w:rPr>
          <w:i/>
        </w:rPr>
        <w:t>Annales de la Soc. histor. du Gâtinais</w:t>
      </w:r>
      <w:r w:rsidRPr="003B3476">
        <w:rPr>
          <w:lang w:val="fr-FR" w:eastAsia="fr-FR" w:bidi="fr-FR"/>
        </w:rPr>
        <w:t xml:space="preserve">, p. 1-125, avec une préface rédigée par M. P. Pinson et des pièces justificatives réunies par le même érudit. On consultera sur dom Fleureau : A. </w:t>
      </w:r>
      <w:r w:rsidRPr="003B3476">
        <w:rPr>
          <w:rStyle w:val="Notedebasdepage65ptPetitesmajuscules"/>
          <w:b w:val="0"/>
          <w:sz w:val="24"/>
        </w:rPr>
        <w:t xml:space="preserve">Boulé, </w:t>
      </w:r>
      <w:r w:rsidRPr="003B3476">
        <w:rPr>
          <w:i/>
        </w:rPr>
        <w:t>Dom Fleureau, historien d’Étampes, Bullet. Soc. histor. Corbeil</w:t>
      </w:r>
      <w:r w:rsidRPr="003B3476">
        <w:t xml:space="preserve">, </w:t>
      </w:r>
      <w:r w:rsidRPr="003B3476">
        <w:rPr>
          <w:lang w:val="fr-FR" w:eastAsia="fr-FR" w:bidi="fr-FR"/>
        </w:rPr>
        <w:t xml:space="preserve">t. VII (1901), p. 134-141 et Ch. </w:t>
      </w:r>
      <w:r w:rsidRPr="003B3476">
        <w:rPr>
          <w:rStyle w:val="Notedebasdepage65ptPetitesmajuscules"/>
          <w:b w:val="0"/>
          <w:sz w:val="24"/>
        </w:rPr>
        <w:t xml:space="preserve">Forteau, </w:t>
      </w:r>
      <w:r w:rsidRPr="003B3476">
        <w:rPr>
          <w:i/>
        </w:rPr>
        <w:t>L'acte de baptême de dom Bas</w:t>
      </w:r>
      <w:r w:rsidRPr="003B3476">
        <w:rPr>
          <w:i/>
        </w:rPr>
        <w:t>i</w:t>
      </w:r>
      <w:r w:rsidRPr="003B3476">
        <w:rPr>
          <w:i/>
        </w:rPr>
        <w:t>le Fleureau</w:t>
      </w:r>
      <w:r w:rsidRPr="003B3476">
        <w:rPr>
          <w:i/>
          <w:lang w:val="fr-FR" w:eastAsia="fr-FR" w:bidi="fr-FR"/>
        </w:rPr>
        <w:t xml:space="preserve">, </w:t>
      </w:r>
      <w:r w:rsidRPr="003B3476">
        <w:rPr>
          <w:i/>
        </w:rPr>
        <w:t>Ibid.</w:t>
      </w:r>
      <w:r w:rsidRPr="003B3476">
        <w:t>,</w:t>
      </w:r>
      <w:r w:rsidRPr="003B3476">
        <w:rPr>
          <w:vertAlign w:val="subscript"/>
        </w:rPr>
        <w:t xml:space="preserve"> </w:t>
      </w:r>
      <w:r w:rsidRPr="003B3476">
        <w:t>p.</w:t>
      </w:r>
      <w:r w:rsidRPr="003B3476">
        <w:rPr>
          <w:lang w:val="fr-FR" w:eastAsia="fr-FR" w:bidi="fr-FR"/>
        </w:rPr>
        <w:t xml:space="preserve"> 141-145. Sur dom Fleureau on peut consulter aussi : E. </w:t>
      </w:r>
      <w:r w:rsidRPr="003B3476">
        <w:rPr>
          <w:rStyle w:val="Notedebasdepage65ptPetitesmajuscules"/>
          <w:b w:val="0"/>
          <w:sz w:val="24"/>
        </w:rPr>
        <w:t xml:space="preserve">Dramard, </w:t>
      </w:r>
      <w:r w:rsidRPr="003B3476">
        <w:rPr>
          <w:i/>
        </w:rPr>
        <w:t>Dom Basile Fleureau et ses Antiquités d’Étampes. Étude bi</w:t>
      </w:r>
      <w:r w:rsidRPr="003B3476">
        <w:rPr>
          <w:i/>
        </w:rPr>
        <w:t>o</w:t>
      </w:r>
      <w:r w:rsidRPr="003B3476">
        <w:rPr>
          <w:i/>
        </w:rPr>
        <w:t>graphique et bibliographique, Le Cabinet hist</w:t>
      </w:r>
      <w:r w:rsidRPr="003B3476">
        <w:t>.,</w:t>
      </w:r>
      <w:r w:rsidRPr="003B3476">
        <w:rPr>
          <w:lang w:val="fr-FR" w:eastAsia="fr-FR" w:bidi="fr-FR"/>
        </w:rPr>
        <w:t xml:space="preserve"> t. XIX, 1</w:t>
      </w:r>
      <w:r w:rsidRPr="003B3476">
        <w:rPr>
          <w:vertAlign w:val="superscript"/>
          <w:lang w:val="fr-FR" w:eastAsia="fr-FR" w:bidi="fr-FR"/>
        </w:rPr>
        <w:t>re</w:t>
      </w:r>
      <w:r w:rsidRPr="003B3476">
        <w:rPr>
          <w:lang w:val="fr-FR" w:eastAsia="fr-FR" w:bidi="fr-FR"/>
        </w:rPr>
        <w:t xml:space="preserve"> partie (1873), p. 305-323.</w:t>
      </w:r>
    </w:p>
  </w:footnote>
  <w:footnote w:id="423">
    <w:p w14:paraId="6B7420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In-4°, Paris, 1630. On consultera sur Dom Morin, outre la Notice intitulée : </w:t>
      </w:r>
      <w:r w:rsidRPr="003B3476">
        <w:rPr>
          <w:bCs/>
          <w:i/>
        </w:rPr>
        <w:t>Dom Morin</w:t>
      </w:r>
      <w:r w:rsidRPr="003B3476">
        <w:rPr>
          <w:i/>
          <w:lang w:val="fr-FR" w:eastAsia="fr-FR" w:bidi="fr-FR"/>
        </w:rPr>
        <w:t xml:space="preserve">, </w:t>
      </w:r>
      <w:r w:rsidRPr="003B3476">
        <w:rPr>
          <w:bCs/>
          <w:i/>
        </w:rPr>
        <w:t>sa vie et ses œuvres</w:t>
      </w:r>
      <w:r w:rsidRPr="003B3476">
        <w:rPr>
          <w:lang w:val="fr-FR" w:eastAsia="fr-FR" w:bidi="fr-FR"/>
        </w:rPr>
        <w:t xml:space="preserve">, insérée au t. III de l’éd. Laurent (voir note suivante), p. 1-52, et due </w:t>
      </w:r>
      <w:r w:rsidRPr="003B3476">
        <w:rPr>
          <w:bCs/>
        </w:rPr>
        <w:t xml:space="preserve">à </w:t>
      </w:r>
      <w:r w:rsidRPr="003B3476">
        <w:rPr>
          <w:lang w:val="fr-FR" w:eastAsia="fr-FR" w:bidi="fr-FR"/>
        </w:rPr>
        <w:t xml:space="preserve">M. l’abbé Th. </w:t>
      </w:r>
      <w:r w:rsidRPr="003B3476">
        <w:rPr>
          <w:rStyle w:val="Notedebasdepage65ptPetitesmajuscules"/>
          <w:b w:val="0"/>
          <w:sz w:val="24"/>
        </w:rPr>
        <w:t xml:space="preserve">Cochard, </w:t>
      </w:r>
      <w:r w:rsidRPr="003B3476">
        <w:rPr>
          <w:lang w:val="fr-FR" w:eastAsia="fr-FR" w:bidi="fr-FR"/>
        </w:rPr>
        <w:t xml:space="preserve">l’ouvrage de l’abbé Eug. </w:t>
      </w:r>
      <w:r w:rsidRPr="003B3476">
        <w:rPr>
          <w:rStyle w:val="Notedebasdepage65ptPetitesmajuscules"/>
          <w:b w:val="0"/>
          <w:sz w:val="24"/>
        </w:rPr>
        <w:t xml:space="preserve">Jarossay, </w:t>
      </w:r>
      <w:r w:rsidRPr="003B3476">
        <w:rPr>
          <w:bCs/>
          <w:i/>
        </w:rPr>
        <w:t>Histoire d'une abbaye à travers les siècles</w:t>
      </w:r>
      <w:r w:rsidRPr="003B3476">
        <w:rPr>
          <w:i/>
          <w:lang w:val="fr-FR" w:eastAsia="fr-FR" w:bidi="fr-FR"/>
        </w:rPr>
        <w:t xml:space="preserve">, </w:t>
      </w:r>
      <w:r w:rsidRPr="003B3476">
        <w:rPr>
          <w:bCs/>
          <w:i/>
        </w:rPr>
        <w:t>Ferrières en Gâtinais</w:t>
      </w:r>
      <w:r w:rsidRPr="003B3476">
        <w:rPr>
          <w:lang w:val="fr-FR" w:eastAsia="fr-FR" w:bidi="fr-FR"/>
        </w:rPr>
        <w:t>, in-8°, O</w:t>
      </w:r>
      <w:r w:rsidRPr="003B3476">
        <w:rPr>
          <w:lang w:val="fr-FR" w:eastAsia="fr-FR" w:bidi="fr-FR"/>
        </w:rPr>
        <w:t>r</w:t>
      </w:r>
      <w:r w:rsidRPr="003B3476">
        <w:rPr>
          <w:lang w:val="fr-FR" w:eastAsia="fr-FR" w:bidi="fr-FR"/>
        </w:rPr>
        <w:t xml:space="preserve">léans, 1901, p. 347-360. L’historien de l’Île-de-France pourra trouver profit </w:t>
      </w:r>
      <w:r w:rsidRPr="003B3476">
        <w:rPr>
          <w:bCs/>
        </w:rPr>
        <w:t xml:space="preserve">à </w:t>
      </w:r>
      <w:r w:rsidRPr="003B3476">
        <w:rPr>
          <w:lang w:val="fr-FR" w:eastAsia="fr-FR" w:bidi="fr-FR"/>
        </w:rPr>
        <w:t xml:space="preserve">consulter les histoires de l’Orléanais. Il faut signaler en première ligne </w:t>
      </w:r>
      <w:r w:rsidRPr="003B3476">
        <w:rPr>
          <w:bCs/>
          <w:i/>
        </w:rPr>
        <w:t>L'Hi</w:t>
      </w:r>
      <w:r w:rsidRPr="003B3476">
        <w:rPr>
          <w:bCs/>
          <w:i/>
        </w:rPr>
        <w:t>s</w:t>
      </w:r>
      <w:r w:rsidRPr="003B3476">
        <w:rPr>
          <w:bCs/>
          <w:i/>
        </w:rPr>
        <w:t>toire du pais orléannois</w:t>
      </w:r>
      <w:r w:rsidRPr="003B3476">
        <w:rPr>
          <w:lang w:val="fr-FR" w:eastAsia="fr-FR" w:bidi="fr-FR"/>
        </w:rPr>
        <w:t xml:space="preserve">, par le chanoine </w:t>
      </w:r>
      <w:r w:rsidRPr="003B3476">
        <w:rPr>
          <w:rStyle w:val="Notedebasdepage65ptPetitesmajuscules"/>
          <w:b w:val="0"/>
          <w:sz w:val="24"/>
        </w:rPr>
        <w:t xml:space="preserve">Hubert </w:t>
      </w:r>
      <w:r w:rsidRPr="003B3476">
        <w:rPr>
          <w:lang w:val="fr-FR" w:eastAsia="fr-FR" w:bidi="fr-FR"/>
        </w:rPr>
        <w:t>(1620 ?-1694) ; cet ouvrage, qui n’a pas été livré à l’impression forme les manuscrits n</w:t>
      </w:r>
      <w:r w:rsidRPr="003B3476">
        <w:rPr>
          <w:vertAlign w:val="superscript"/>
          <w:lang w:val="fr-FR" w:eastAsia="fr-FR" w:bidi="fr-FR"/>
        </w:rPr>
        <w:t>os</w:t>
      </w:r>
      <w:r w:rsidRPr="003B3476">
        <w:rPr>
          <w:lang w:val="fr-FR" w:eastAsia="fr-FR" w:bidi="fr-FR"/>
        </w:rPr>
        <w:t xml:space="preserve"> 560 et 561 de la B</w:t>
      </w:r>
      <w:r w:rsidRPr="003B3476">
        <w:rPr>
          <w:lang w:val="fr-FR" w:eastAsia="fr-FR" w:bidi="fr-FR"/>
        </w:rPr>
        <w:t>i</w:t>
      </w:r>
      <w:r w:rsidRPr="003B3476">
        <w:rPr>
          <w:lang w:val="fr-FR" w:eastAsia="fr-FR" w:bidi="fr-FR"/>
        </w:rPr>
        <w:t xml:space="preserve">bliothèque de la ville d’Orléans. </w:t>
      </w:r>
      <w:r w:rsidRPr="003B3476">
        <w:rPr>
          <w:bCs/>
          <w:i/>
        </w:rPr>
        <w:t>Cf.</w:t>
      </w:r>
      <w:r w:rsidRPr="003B3476">
        <w:rPr>
          <w:lang w:val="fr-FR" w:eastAsia="fr-FR" w:bidi="fr-FR"/>
        </w:rPr>
        <w:t> </w:t>
      </w:r>
      <w:r w:rsidRPr="003B3476">
        <w:rPr>
          <w:rStyle w:val="Notedebasdepage65ptPetitesmajuscules"/>
          <w:b w:val="0"/>
          <w:sz w:val="24"/>
        </w:rPr>
        <w:t xml:space="preserve">Loiseleur, </w:t>
      </w:r>
      <w:r w:rsidRPr="003B3476">
        <w:rPr>
          <w:bCs/>
          <w:i/>
        </w:rPr>
        <w:t>Manuscrits du chanoine Hubert acquis par la Bibliothèque</w:t>
      </w:r>
      <w:r w:rsidRPr="003B3476">
        <w:rPr>
          <w:bCs/>
        </w:rPr>
        <w:t xml:space="preserve"> </w:t>
      </w:r>
      <w:r w:rsidRPr="003B3476">
        <w:rPr>
          <w:bCs/>
          <w:i/>
        </w:rPr>
        <w:t>d'Orléans. Note sur Hubert et ses écrits</w:t>
      </w:r>
      <w:r w:rsidRPr="003B3476">
        <w:rPr>
          <w:i/>
          <w:lang w:val="fr-FR" w:eastAsia="fr-FR" w:bidi="fr-FR"/>
        </w:rPr>
        <w:t xml:space="preserve">, </w:t>
      </w:r>
      <w:r w:rsidRPr="003B3476">
        <w:rPr>
          <w:bCs/>
          <w:i/>
        </w:rPr>
        <w:t>Bullet. Soc. archéolog. Orléanais</w:t>
      </w:r>
      <w:r w:rsidRPr="003B3476">
        <w:rPr>
          <w:lang w:val="fr-FR" w:eastAsia="fr-FR" w:bidi="fr-FR"/>
        </w:rPr>
        <w:t xml:space="preserve">, t. III (1862), p. 73-80. </w:t>
      </w:r>
      <w:r w:rsidRPr="003B3476">
        <w:rPr>
          <w:bCs/>
          <w:i/>
        </w:rPr>
        <w:t>L'Histoire de l’Orléannois depuis l'an 703 de la Fondation de Rome jusqu'à nos jours</w:t>
      </w:r>
      <w:r w:rsidRPr="003B3476">
        <w:rPr>
          <w:bCs/>
        </w:rPr>
        <w:t>,</w:t>
      </w:r>
      <w:r w:rsidRPr="003B3476">
        <w:rPr>
          <w:lang w:val="fr-FR" w:eastAsia="fr-FR" w:bidi="fr-FR"/>
        </w:rPr>
        <w:t xml:space="preserve"> par le marquis de </w:t>
      </w:r>
      <w:r w:rsidRPr="003B3476">
        <w:rPr>
          <w:rStyle w:val="Notedebasdepage65ptPetitesmajuscules"/>
          <w:b w:val="0"/>
          <w:sz w:val="24"/>
        </w:rPr>
        <w:t xml:space="preserve">Luchet </w:t>
      </w:r>
      <w:r w:rsidRPr="003B3476">
        <w:rPr>
          <w:lang w:val="fr-FR" w:eastAsia="fr-FR" w:bidi="fr-FR"/>
        </w:rPr>
        <w:t>(in-4°, Amsterdam et Paris, xvi + 419 + 106 p.) paraît une médiocre co</w:t>
      </w:r>
      <w:r w:rsidRPr="003B3476">
        <w:rPr>
          <w:lang w:val="fr-FR" w:eastAsia="fr-FR" w:bidi="fr-FR"/>
        </w:rPr>
        <w:t>m</w:t>
      </w:r>
      <w:r w:rsidRPr="003B3476">
        <w:rPr>
          <w:lang w:val="fr-FR" w:eastAsia="fr-FR" w:bidi="fr-FR"/>
        </w:rPr>
        <w:t>pilation.</w:t>
      </w:r>
    </w:p>
  </w:footnote>
  <w:footnote w:id="424">
    <w:p w14:paraId="610A587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3 vol. in-4°, Pithiviers, Chartres, Paris, 1883-1889, [18] + 460 ; 477 (numér</w:t>
      </w:r>
      <w:r w:rsidRPr="003B3476">
        <w:rPr>
          <w:lang w:val="fr-FR" w:eastAsia="fr-FR" w:bidi="fr-FR"/>
        </w:rPr>
        <w:t>o</w:t>
      </w:r>
      <w:r w:rsidRPr="003B3476">
        <w:rPr>
          <w:lang w:val="fr-FR" w:eastAsia="fr-FR" w:bidi="fr-FR"/>
        </w:rPr>
        <w:t xml:space="preserve">tées de 461 </w:t>
      </w:r>
      <w:r w:rsidRPr="003B3476">
        <w:rPr>
          <w:bCs/>
        </w:rPr>
        <w:t xml:space="preserve">à </w:t>
      </w:r>
      <w:r w:rsidRPr="003B3476">
        <w:rPr>
          <w:lang w:val="fr-FR" w:eastAsia="fr-FR" w:bidi="fr-FR"/>
        </w:rPr>
        <w:t xml:space="preserve">838) + [18] ; </w:t>
      </w:r>
      <w:r w:rsidRPr="003B3476">
        <w:rPr>
          <w:rStyle w:val="Notedebasdepage65ptPetitesmajuscules"/>
          <w:b w:val="0"/>
          <w:sz w:val="24"/>
        </w:rPr>
        <w:t xml:space="preserve">viii </w:t>
      </w:r>
      <w:r w:rsidRPr="003B3476">
        <w:rPr>
          <w:lang w:val="fr-FR" w:eastAsia="fr-FR" w:bidi="fr-FR"/>
        </w:rPr>
        <w:t>+ 424 p., pl. et carte. Les tomes I et II renfe</w:t>
      </w:r>
      <w:r w:rsidRPr="003B3476">
        <w:rPr>
          <w:lang w:val="fr-FR" w:eastAsia="fr-FR" w:bidi="fr-FR"/>
        </w:rPr>
        <w:t>r</w:t>
      </w:r>
      <w:r w:rsidRPr="003B3476">
        <w:rPr>
          <w:lang w:val="fr-FR" w:eastAsia="fr-FR" w:bidi="fr-FR"/>
        </w:rPr>
        <w:t xml:space="preserve">ment la réimpression du texte de dom </w:t>
      </w:r>
      <w:r w:rsidRPr="003B3476">
        <w:rPr>
          <w:rStyle w:val="Notedebasdepage65ptPetitesmajuscules"/>
          <w:b w:val="0"/>
          <w:sz w:val="24"/>
        </w:rPr>
        <w:t xml:space="preserve">Morin. </w:t>
      </w:r>
      <w:r w:rsidRPr="003B3476">
        <w:rPr>
          <w:lang w:val="fr-FR" w:eastAsia="fr-FR" w:bidi="fr-FR"/>
        </w:rPr>
        <w:t xml:space="preserve">Le tome III contient la </w:t>
      </w:r>
      <w:r w:rsidRPr="003B3476">
        <w:rPr>
          <w:bCs/>
        </w:rPr>
        <w:t>Notice</w:t>
      </w:r>
      <w:r w:rsidRPr="003B3476">
        <w:rPr>
          <w:lang w:val="fr-FR" w:eastAsia="fr-FR" w:bidi="fr-FR"/>
        </w:rPr>
        <w:t xml:space="preserve"> de l’abbé </w:t>
      </w:r>
      <w:r w:rsidRPr="003B3476">
        <w:rPr>
          <w:rStyle w:val="Notedebasdepage65ptPetitesmajuscules"/>
          <w:b w:val="0"/>
          <w:sz w:val="24"/>
        </w:rPr>
        <w:t xml:space="preserve">Cochard </w:t>
      </w:r>
      <w:r w:rsidRPr="003B3476">
        <w:rPr>
          <w:lang w:val="fr-FR" w:eastAsia="fr-FR" w:bidi="fr-FR"/>
        </w:rPr>
        <w:t xml:space="preserve">citée p. 329, n. 1, des </w:t>
      </w:r>
      <w:r w:rsidRPr="003B3476">
        <w:rPr>
          <w:bCs/>
        </w:rPr>
        <w:t>Notes</w:t>
      </w:r>
      <w:r w:rsidRPr="003B3476">
        <w:rPr>
          <w:lang w:val="fr-FR" w:eastAsia="fr-FR" w:bidi="fr-FR"/>
        </w:rPr>
        <w:t xml:space="preserve">, un </w:t>
      </w:r>
      <w:r w:rsidRPr="003B3476">
        <w:rPr>
          <w:bCs/>
        </w:rPr>
        <w:t xml:space="preserve">Armorial de </w:t>
      </w:r>
      <w:r w:rsidRPr="003B3476">
        <w:rPr>
          <w:bCs/>
          <w:i/>
        </w:rPr>
        <w:t>l'Histoire du Gastinois</w:t>
      </w:r>
      <w:r w:rsidRPr="003B3476">
        <w:rPr>
          <w:lang w:val="fr-FR" w:eastAsia="fr-FR" w:bidi="fr-FR"/>
        </w:rPr>
        <w:t xml:space="preserve"> et une </w:t>
      </w:r>
      <w:r w:rsidRPr="003B3476">
        <w:rPr>
          <w:bCs/>
        </w:rPr>
        <w:t>Table</w:t>
      </w:r>
      <w:r w:rsidRPr="003B3476">
        <w:rPr>
          <w:lang w:val="fr-FR" w:eastAsia="fr-FR" w:bidi="fr-FR"/>
        </w:rPr>
        <w:t xml:space="preserve">, dus </w:t>
      </w:r>
      <w:r w:rsidRPr="003B3476">
        <w:rPr>
          <w:bCs/>
        </w:rPr>
        <w:t xml:space="preserve">à </w:t>
      </w:r>
      <w:r w:rsidRPr="003B3476">
        <w:rPr>
          <w:lang w:val="fr-FR" w:eastAsia="fr-FR" w:bidi="fr-FR"/>
        </w:rPr>
        <w:t xml:space="preserve">divers collaborateurs, dont le principal </w:t>
      </w:r>
      <w:r w:rsidRPr="003B3476">
        <w:rPr>
          <w:bCs/>
        </w:rPr>
        <w:t xml:space="preserve">a </w:t>
      </w:r>
      <w:r w:rsidRPr="003B3476">
        <w:rPr>
          <w:lang w:val="fr-FR" w:eastAsia="fr-FR" w:bidi="fr-FR"/>
        </w:rPr>
        <w:t xml:space="preserve">été </w:t>
      </w:r>
      <w:r w:rsidRPr="003B3476">
        <w:rPr>
          <w:bCs/>
        </w:rPr>
        <w:t xml:space="preserve">M. </w:t>
      </w:r>
      <w:r w:rsidRPr="003B3476">
        <w:rPr>
          <w:lang w:val="fr-FR" w:eastAsia="fr-FR" w:bidi="fr-FR"/>
        </w:rPr>
        <w:t xml:space="preserve">Paul </w:t>
      </w:r>
      <w:r w:rsidRPr="003B3476">
        <w:rPr>
          <w:rStyle w:val="Notedebasdepage65ptPetitesmajuscules"/>
          <w:b w:val="0"/>
          <w:sz w:val="24"/>
        </w:rPr>
        <w:t>Quesvers.</w:t>
      </w:r>
    </w:p>
  </w:footnote>
  <w:footnote w:id="425">
    <w:p w14:paraId="64F0AE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Adrien </w:t>
      </w:r>
      <w:r w:rsidRPr="003B3476">
        <w:rPr>
          <w:rStyle w:val="Notedebasdepage65ptPetitesmajuscules"/>
          <w:b w:val="0"/>
          <w:sz w:val="24"/>
        </w:rPr>
        <w:t xml:space="preserve">Dupont, </w:t>
      </w:r>
      <w:r w:rsidRPr="003B3476">
        <w:rPr>
          <w:bCs/>
          <w:i/>
        </w:rPr>
        <w:t>Curiosité bibliographique sur Dom Morin</w:t>
      </w:r>
      <w:r w:rsidRPr="003B3476">
        <w:rPr>
          <w:i/>
          <w:lang w:val="fr-FR" w:eastAsia="fr-FR" w:bidi="fr-FR"/>
        </w:rPr>
        <w:t xml:space="preserve">, </w:t>
      </w:r>
      <w:r w:rsidRPr="003B3476">
        <w:rPr>
          <w:bCs/>
          <w:i/>
        </w:rPr>
        <w:t>Annales Soc. hi</w:t>
      </w:r>
      <w:r w:rsidRPr="003B3476">
        <w:rPr>
          <w:bCs/>
          <w:i/>
        </w:rPr>
        <w:t>s</w:t>
      </w:r>
      <w:r w:rsidRPr="003B3476">
        <w:rPr>
          <w:bCs/>
          <w:i/>
        </w:rPr>
        <w:t>tor. Gâtinais</w:t>
      </w:r>
      <w:r w:rsidRPr="003B3476">
        <w:rPr>
          <w:lang w:val="fr-FR" w:eastAsia="fr-FR" w:bidi="fr-FR"/>
        </w:rPr>
        <w:t>, t. I (1883), p. 249-252. Le passage visé se trouve au tome I de l’éd. Laurent, p. 303. Il va de soi que la responsabilité de cette étrange ina</w:t>
      </w:r>
      <w:r w:rsidRPr="003B3476">
        <w:rPr>
          <w:lang w:val="fr-FR" w:eastAsia="fr-FR" w:bidi="fr-FR"/>
        </w:rPr>
        <w:t>d</w:t>
      </w:r>
      <w:r w:rsidRPr="003B3476">
        <w:rPr>
          <w:lang w:val="fr-FR" w:eastAsia="fr-FR" w:bidi="fr-FR"/>
        </w:rPr>
        <w:t>vertance pèse aussi bien sur les éditeurs de 1630 que sur dom Morin lui-même.</w:t>
      </w:r>
    </w:p>
  </w:footnote>
  <w:footnote w:id="426">
    <w:p w14:paraId="005FE28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In-8°, Paris, 1609, 250 + 291 feuillets. </w:t>
      </w:r>
      <w:r w:rsidRPr="003B3476">
        <w:rPr>
          <w:i/>
        </w:rPr>
        <w:t>Le Petit Traité, composé par Estienne Prévost, Official de Chartres, touchant la Fondacion et érection de l’Église nostre Dame et cité de Chartres</w:t>
      </w:r>
      <w:r w:rsidRPr="003B3476">
        <w:t xml:space="preserve">, </w:t>
      </w:r>
      <w:r w:rsidRPr="003B3476">
        <w:rPr>
          <w:lang w:val="fr-FR" w:eastAsia="fr-FR" w:bidi="fr-FR"/>
        </w:rPr>
        <w:t xml:space="preserve">paru à Chartres en 1558 (in-8°, 32 p.), n’est qu’un ouvrage d’édification. Le livre de « Radulphus Botereius », </w:t>
      </w:r>
      <w:r w:rsidRPr="003B3476">
        <w:rPr>
          <w:i/>
        </w:rPr>
        <w:t>Urbis ge</w:t>
      </w:r>
      <w:r w:rsidRPr="003B3476">
        <w:rPr>
          <w:i/>
        </w:rPr>
        <w:t>n</w:t>
      </w:r>
      <w:r w:rsidRPr="003B3476">
        <w:rPr>
          <w:i/>
        </w:rPr>
        <w:t>tisque Carnutum historia</w:t>
      </w:r>
      <w:r w:rsidRPr="003B3476">
        <w:rPr>
          <w:lang w:val="fr-FR" w:eastAsia="fr-FR" w:bidi="fr-FR"/>
        </w:rPr>
        <w:t>, in-8°, Paris, 1624, 83 p., a quelque valeur histor</w:t>
      </w:r>
      <w:r w:rsidRPr="003B3476">
        <w:rPr>
          <w:lang w:val="fr-FR" w:eastAsia="fr-FR" w:bidi="fr-FR"/>
        </w:rPr>
        <w:t>i</w:t>
      </w:r>
      <w:r w:rsidRPr="003B3476">
        <w:rPr>
          <w:lang w:val="fr-FR" w:eastAsia="fr-FR" w:bidi="fr-FR"/>
        </w:rPr>
        <w:t>que, mais il est trop court et ne saurait plus rendre aujourd’hui aucun service. L’histoire des Dominicains de Chartres a été écrite au XVII</w:t>
      </w:r>
      <w:r w:rsidRPr="003B3476">
        <w:rPr>
          <w:vertAlign w:val="superscript"/>
          <w:lang w:val="fr-FR" w:eastAsia="fr-FR" w:bidi="fr-FR"/>
        </w:rPr>
        <w:t>e</w:t>
      </w:r>
      <w:r w:rsidRPr="003B3476">
        <w:rPr>
          <w:lang w:val="fr-FR" w:eastAsia="fr-FR" w:bidi="fr-FR"/>
        </w:rPr>
        <w:t xml:space="preserve"> siècle, avec beaucoup de soin et de précision, par frère Nicolas </w:t>
      </w:r>
      <w:r w:rsidRPr="003B3476">
        <w:rPr>
          <w:rStyle w:val="Notedebasdepage65ptPetitesmajuscules"/>
          <w:b w:val="0"/>
          <w:sz w:val="24"/>
        </w:rPr>
        <w:t>Le Febvre :</w:t>
      </w:r>
      <w:r w:rsidRPr="003B3476">
        <w:rPr>
          <w:lang w:val="fr-FR" w:eastAsia="fr-FR" w:bidi="fr-FR"/>
        </w:rPr>
        <w:t xml:space="preserve"> </w:t>
      </w:r>
      <w:r w:rsidRPr="003B3476">
        <w:rPr>
          <w:i/>
        </w:rPr>
        <w:t>Praedicator Carnuteus, sive Institutio Conventus Carnutensis Ordinis Fratrum Praedic</w:t>
      </w:r>
      <w:r w:rsidRPr="003B3476">
        <w:rPr>
          <w:i/>
        </w:rPr>
        <w:t>a</w:t>
      </w:r>
      <w:r w:rsidRPr="003B3476">
        <w:rPr>
          <w:i/>
        </w:rPr>
        <w:t>torum</w:t>
      </w:r>
      <w:r w:rsidRPr="003B3476">
        <w:rPr>
          <w:lang w:val="fr-FR" w:eastAsia="fr-FR" w:bidi="fr-FR"/>
        </w:rPr>
        <w:t xml:space="preserve">, in-8°. Charters, 1637, 286 p. Un moine d’origine chartraine, Guillaume </w:t>
      </w:r>
      <w:r w:rsidRPr="003B3476">
        <w:rPr>
          <w:rStyle w:val="Notedebasdepage65ptPetitesmajuscules"/>
          <w:b w:val="0"/>
          <w:sz w:val="24"/>
        </w:rPr>
        <w:t xml:space="preserve">Laisné, </w:t>
      </w:r>
      <w:r w:rsidRPr="003B3476">
        <w:rPr>
          <w:lang w:val="fr-FR" w:eastAsia="fr-FR" w:bidi="fr-FR"/>
        </w:rPr>
        <w:t>qui fut prieur de Mondonville, et mourut en 1635, compila un recueil de d</w:t>
      </w:r>
      <w:r w:rsidRPr="003B3476">
        <w:rPr>
          <w:lang w:val="fr-FR" w:eastAsia="fr-FR" w:bidi="fr-FR"/>
        </w:rPr>
        <w:t>o</w:t>
      </w:r>
      <w:r w:rsidRPr="003B3476">
        <w:rPr>
          <w:lang w:val="fr-FR" w:eastAsia="fr-FR" w:bidi="fr-FR"/>
        </w:rPr>
        <w:t>cuments et de mémoires relatifs au pays chartrain. Les 14 volumes qui co</w:t>
      </w:r>
      <w:r w:rsidRPr="003B3476">
        <w:rPr>
          <w:lang w:val="fr-FR" w:eastAsia="fr-FR" w:bidi="fr-FR"/>
        </w:rPr>
        <w:t>m</w:t>
      </w:r>
      <w:r w:rsidRPr="003B3476">
        <w:rPr>
          <w:lang w:val="fr-FR" w:eastAsia="fr-FR" w:bidi="fr-FR"/>
        </w:rPr>
        <w:t>posent ce recueil (l’avant-dernier est occupé par des tables) ont passé du cabinet de Gaignières au département des manuscrits de la Bibliothèque N</w:t>
      </w:r>
      <w:r w:rsidRPr="003B3476">
        <w:rPr>
          <w:lang w:val="fr-FR" w:eastAsia="fr-FR" w:bidi="fr-FR"/>
        </w:rPr>
        <w:t>a</w:t>
      </w:r>
      <w:r w:rsidRPr="003B3476">
        <w:rPr>
          <w:lang w:val="fr-FR" w:eastAsia="fr-FR" w:bidi="fr-FR"/>
        </w:rPr>
        <w:t>tion</w:t>
      </w:r>
      <w:r w:rsidRPr="003B3476">
        <w:rPr>
          <w:lang w:val="fr-FR" w:eastAsia="fr-FR" w:bidi="fr-FR"/>
        </w:rPr>
        <w:t>a</w:t>
      </w:r>
      <w:r w:rsidRPr="003B3476">
        <w:rPr>
          <w:lang w:val="fr-FR" w:eastAsia="fr-FR" w:bidi="fr-FR"/>
        </w:rPr>
        <w:t xml:space="preserve">le, où ils figurent aujourd’hui sous les cotes 24124-24136 </w:t>
      </w:r>
      <w:r w:rsidRPr="003B3476">
        <w:t>bis</w:t>
      </w:r>
      <w:r w:rsidRPr="003B3476">
        <w:rPr>
          <w:lang w:val="fr-FR" w:eastAsia="fr-FR" w:bidi="fr-FR"/>
        </w:rPr>
        <w:t xml:space="preserve"> du fonds fra</w:t>
      </w:r>
      <w:r w:rsidRPr="003B3476">
        <w:rPr>
          <w:lang w:val="fr-FR" w:eastAsia="fr-FR" w:bidi="fr-FR"/>
        </w:rPr>
        <w:t>n</w:t>
      </w:r>
      <w:r w:rsidRPr="003B3476">
        <w:rPr>
          <w:lang w:val="fr-FR" w:eastAsia="fr-FR" w:bidi="fr-FR"/>
        </w:rPr>
        <w:t xml:space="preserve">çais. M. de </w:t>
      </w:r>
      <w:r w:rsidRPr="003B3476">
        <w:rPr>
          <w:rStyle w:val="Notedebasdepage65ptPetitesmajuscules"/>
          <w:b w:val="0"/>
          <w:sz w:val="24"/>
        </w:rPr>
        <w:t xml:space="preserve">I’Épinois </w:t>
      </w:r>
      <w:r w:rsidRPr="003B3476">
        <w:rPr>
          <w:lang w:val="fr-FR" w:eastAsia="fr-FR" w:bidi="fr-FR"/>
        </w:rPr>
        <w:t xml:space="preserve">a donné dans les </w:t>
      </w:r>
      <w:r w:rsidRPr="003B3476">
        <w:t xml:space="preserve">Mémoires de la </w:t>
      </w:r>
      <w:r w:rsidRPr="003B3476">
        <w:rPr>
          <w:i/>
        </w:rPr>
        <w:t>Soc. archéolog. d'Eure-et-Loir</w:t>
      </w:r>
      <w:r w:rsidRPr="003B3476">
        <w:rPr>
          <w:lang w:val="fr-FR" w:eastAsia="fr-FR" w:bidi="fr-FR"/>
        </w:rPr>
        <w:t xml:space="preserve"> l’analyse des quatre premiers volumes et un extrait du ci</w:t>
      </w:r>
      <w:r w:rsidRPr="003B3476">
        <w:rPr>
          <w:lang w:val="fr-FR" w:eastAsia="fr-FR" w:bidi="fr-FR"/>
        </w:rPr>
        <w:t>n</w:t>
      </w:r>
      <w:r w:rsidRPr="003B3476">
        <w:rPr>
          <w:lang w:val="fr-FR" w:eastAsia="fr-FR" w:bidi="fr-FR"/>
        </w:rPr>
        <w:t>quième (</w:t>
      </w:r>
      <w:r w:rsidRPr="003B3476">
        <w:rPr>
          <w:i/>
        </w:rPr>
        <w:t>Mém. Soc. arch. E.-et-Loir</w:t>
      </w:r>
      <w:r w:rsidRPr="003B3476">
        <w:t>,</w:t>
      </w:r>
      <w:r w:rsidRPr="003B3476">
        <w:rPr>
          <w:lang w:val="fr-FR" w:eastAsia="fr-FR" w:bidi="fr-FR"/>
        </w:rPr>
        <w:t xml:space="preserve"> t. I, p. 99-112 et 258-281 ; II, p. 96-113 et 209-264 ; III, p. 209-264 ; IV, p. 151-179 ; VI, p. 89-100).</w:t>
      </w:r>
    </w:p>
  </w:footnote>
  <w:footnote w:id="427">
    <w:p w14:paraId="79828D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J.-B. </w:t>
      </w:r>
      <w:r w:rsidRPr="003B3476">
        <w:rPr>
          <w:rStyle w:val="Notedebasdepage65ptPetitesmajuscules"/>
          <w:b w:val="0"/>
          <w:sz w:val="24"/>
        </w:rPr>
        <w:t xml:space="preserve">Souchet, </w:t>
      </w:r>
      <w:r w:rsidRPr="003B3476">
        <w:rPr>
          <w:i/>
        </w:rPr>
        <w:t xml:space="preserve">Histoire du diocèse et de la ville de </w:t>
      </w:r>
      <w:r w:rsidRPr="003B3476">
        <w:t>Chartres (Publications de la Soc. archéolog. d'E.-et-Loir),</w:t>
      </w:r>
      <w:r w:rsidRPr="003B3476">
        <w:rPr>
          <w:lang w:val="fr-FR" w:eastAsia="fr-FR" w:bidi="fr-FR"/>
        </w:rPr>
        <w:t xml:space="preserve"> 4 vol. in-8°, Chartres, 1866-1873, </w:t>
      </w:r>
      <w:r w:rsidRPr="003B3476">
        <w:rPr>
          <w:smallCaps/>
          <w:lang w:val="fr-FR" w:eastAsia="fr-FR" w:bidi="fr-FR"/>
        </w:rPr>
        <w:t>xlvij</w:t>
      </w:r>
      <w:r w:rsidRPr="003B3476">
        <w:rPr>
          <w:lang w:val="fr-FR" w:eastAsia="fr-FR" w:bidi="fr-FR"/>
        </w:rPr>
        <w:t xml:space="preserve"> + 570, 624, 602, 483 + 70 p. Cette édition est précédée d’une bonne </w:t>
      </w:r>
      <w:r w:rsidRPr="003B3476">
        <w:rPr>
          <w:i/>
        </w:rPr>
        <w:t>Notice Bi</w:t>
      </w:r>
      <w:r w:rsidRPr="003B3476">
        <w:rPr>
          <w:i/>
        </w:rPr>
        <w:t>o</w:t>
      </w:r>
      <w:r w:rsidRPr="003B3476">
        <w:rPr>
          <w:i/>
        </w:rPr>
        <w:t>gr</w:t>
      </w:r>
      <w:r w:rsidRPr="003B3476">
        <w:rPr>
          <w:i/>
        </w:rPr>
        <w:t>a</w:t>
      </w:r>
      <w:r w:rsidRPr="003B3476">
        <w:rPr>
          <w:i/>
        </w:rPr>
        <w:t>phique</w:t>
      </w:r>
      <w:r w:rsidRPr="003B3476">
        <w:rPr>
          <w:i/>
          <w:lang w:val="fr-FR" w:eastAsia="fr-FR" w:bidi="fr-FR"/>
        </w:rPr>
        <w:t xml:space="preserve"> </w:t>
      </w:r>
      <w:r w:rsidRPr="003B3476">
        <w:rPr>
          <w:lang w:val="fr-FR" w:eastAsia="fr-FR" w:bidi="fr-FR"/>
        </w:rPr>
        <w:t xml:space="preserve">due </w:t>
      </w:r>
      <w:r w:rsidRPr="003B3476">
        <w:t xml:space="preserve">à </w:t>
      </w:r>
      <w:r w:rsidRPr="003B3476">
        <w:rPr>
          <w:lang w:val="fr-FR" w:eastAsia="fr-FR" w:bidi="fr-FR"/>
        </w:rPr>
        <w:t xml:space="preserve">M. </w:t>
      </w:r>
      <w:r w:rsidRPr="003B3476">
        <w:rPr>
          <w:rStyle w:val="Notedebasdepage65ptPetitesmajuscules"/>
          <w:b w:val="0"/>
          <w:sz w:val="24"/>
        </w:rPr>
        <w:t xml:space="preserve">Lecoq. </w:t>
      </w:r>
      <w:r w:rsidRPr="003B3476">
        <w:rPr>
          <w:lang w:val="fr-FR" w:eastAsia="fr-FR" w:bidi="fr-FR"/>
        </w:rPr>
        <w:t>Les églises et diocèses de Sens et d’Orléans ont aussi eu leurs historiens, au XVII</w:t>
      </w:r>
      <w:r w:rsidRPr="003B3476">
        <w:rPr>
          <w:vertAlign w:val="superscript"/>
          <w:lang w:val="fr-FR" w:eastAsia="fr-FR" w:bidi="fr-FR"/>
        </w:rPr>
        <w:t>e</w:t>
      </w:r>
      <w:r w:rsidRPr="003B3476">
        <w:rPr>
          <w:lang w:val="fr-FR" w:eastAsia="fr-FR" w:bidi="fr-FR"/>
        </w:rPr>
        <w:t xml:space="preserve"> siècle ; il faut citer ici ces ouvrages, au</w:t>
      </w:r>
      <w:r w:rsidRPr="003B3476">
        <w:rPr>
          <w:lang w:val="fr-FR" w:eastAsia="fr-FR" w:bidi="fr-FR"/>
        </w:rPr>
        <w:t>x</w:t>
      </w:r>
      <w:r w:rsidRPr="003B3476">
        <w:rPr>
          <w:lang w:val="fr-FR" w:eastAsia="fr-FR" w:bidi="fr-FR"/>
        </w:rPr>
        <w:t xml:space="preserve">quels l’historien de l’Île-de-France aura l’occasion de se reporter : Jacques </w:t>
      </w:r>
      <w:r w:rsidRPr="003B3476">
        <w:rPr>
          <w:rStyle w:val="Notedebasdepage65ptPetitesmajuscules"/>
          <w:b w:val="0"/>
          <w:sz w:val="24"/>
        </w:rPr>
        <w:t xml:space="preserve">Taveau, </w:t>
      </w:r>
      <w:r w:rsidRPr="003B3476">
        <w:rPr>
          <w:i/>
        </w:rPr>
        <w:t>S</w:t>
      </w:r>
      <w:r w:rsidRPr="003B3476">
        <w:rPr>
          <w:i/>
        </w:rPr>
        <w:t>e</w:t>
      </w:r>
      <w:r w:rsidRPr="003B3476">
        <w:rPr>
          <w:i/>
        </w:rPr>
        <w:t>nonensium archiepiscoporum vitae actusque</w:t>
      </w:r>
      <w:r w:rsidRPr="003B3476">
        <w:rPr>
          <w:lang w:val="fr-FR" w:eastAsia="fr-FR" w:bidi="fr-FR"/>
        </w:rPr>
        <w:t xml:space="preserve">, in-4°. Sens, 1608, 7 + 146 p. (médiocre et peu utile) ; </w:t>
      </w:r>
      <w:r w:rsidRPr="003B3476">
        <w:rPr>
          <w:i/>
        </w:rPr>
        <w:t>Annales Ecclesiae Aurelianensis saeculis et libris sexdecim... auctore Carolo Sausseyo</w:t>
      </w:r>
      <w:r w:rsidRPr="003B3476">
        <w:t xml:space="preserve">, </w:t>
      </w:r>
      <w:r w:rsidRPr="003B3476">
        <w:rPr>
          <w:lang w:val="fr-FR" w:eastAsia="fr-FR" w:bidi="fr-FR"/>
        </w:rPr>
        <w:t>in-4°, Paris, 1615, [26] + 842 p.</w:t>
      </w:r>
    </w:p>
  </w:footnote>
  <w:footnote w:id="428">
    <w:p w14:paraId="207342D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F. Jacques </w:t>
      </w:r>
      <w:r w:rsidRPr="00841BE4">
        <w:rPr>
          <w:rStyle w:val="Notedebasdepage265ptNonItaliquePetitesmajuscules"/>
          <w:b w:val="0"/>
          <w:iCs/>
          <w:sz w:val="24"/>
        </w:rPr>
        <w:t>Doublet</w:t>
      </w:r>
      <w:r w:rsidRPr="003B3476">
        <w:rPr>
          <w:rStyle w:val="Notedebasdepage265ptNonItaliquePetitesmajuscules"/>
          <w:b w:val="0"/>
          <w:i/>
          <w:iCs/>
          <w:sz w:val="24"/>
        </w:rPr>
        <w:t xml:space="preserve">, </w:t>
      </w:r>
      <w:r w:rsidRPr="003B3476">
        <w:rPr>
          <w:i/>
          <w:lang w:val="fr-FR" w:eastAsia="fr-FR" w:bidi="fr-FR"/>
        </w:rPr>
        <w:t>Histoire de l'abbaye de S. Denys en France</w:t>
      </w:r>
      <w:r w:rsidRPr="003B3476">
        <w:rPr>
          <w:lang w:val="fr-FR" w:eastAsia="fr-FR" w:bidi="fr-FR"/>
        </w:rPr>
        <w:t xml:space="preserve">. </w:t>
      </w:r>
      <w:r w:rsidRPr="003B3476">
        <w:rPr>
          <w:i/>
          <w:lang w:val="fr-FR" w:eastAsia="fr-FR" w:bidi="fr-FR"/>
        </w:rPr>
        <w:t>Contenant les Antiquitéz d'icelle, les Fondations, Prérogatives et Privilèges, Ensemble les Tombeaux et Épitaphes des Rois, Reynes, Enfans de France et autres s</w:t>
      </w:r>
      <w:r w:rsidRPr="003B3476">
        <w:rPr>
          <w:i/>
          <w:lang w:val="fr-FR" w:eastAsia="fr-FR" w:bidi="fr-FR"/>
        </w:rPr>
        <w:t>i</w:t>
      </w:r>
      <w:r w:rsidRPr="003B3476">
        <w:rPr>
          <w:i/>
          <w:lang w:val="fr-FR" w:eastAsia="fr-FR" w:bidi="fr-FR"/>
        </w:rPr>
        <w:t xml:space="preserve">gnalez Personnages qui s'y trouvent isques à </w:t>
      </w:r>
      <w:r w:rsidRPr="003B3476">
        <w:rPr>
          <w:bCs/>
          <w:i/>
        </w:rPr>
        <w:t>present</w:t>
      </w:r>
      <w:r w:rsidRPr="003B3476">
        <w:rPr>
          <w:bCs/>
        </w:rPr>
        <w:t>,</w:t>
      </w:r>
      <w:r w:rsidRPr="003B3476">
        <w:rPr>
          <w:lang w:val="fr-FR" w:eastAsia="fr-FR" w:bidi="fr-FR"/>
        </w:rPr>
        <w:t xml:space="preserve"> 2 vol. in-4°, Paris, Nic</w:t>
      </w:r>
      <w:r w:rsidRPr="003B3476">
        <w:rPr>
          <w:lang w:val="fr-FR" w:eastAsia="fr-FR" w:bidi="fr-FR"/>
        </w:rPr>
        <w:t>o</w:t>
      </w:r>
      <w:r w:rsidRPr="003B3476">
        <w:rPr>
          <w:lang w:val="fr-FR" w:eastAsia="fr-FR" w:bidi="fr-FR"/>
        </w:rPr>
        <w:t>las Buon, 1625, pagination continue, 1-649 et 651-1377 p., et Jean de He</w:t>
      </w:r>
      <w:r w:rsidRPr="003B3476">
        <w:rPr>
          <w:lang w:val="fr-FR" w:eastAsia="fr-FR" w:bidi="fr-FR"/>
        </w:rPr>
        <w:t>u</w:t>
      </w:r>
      <w:r w:rsidRPr="003B3476">
        <w:rPr>
          <w:lang w:val="fr-FR" w:eastAsia="fr-FR" w:bidi="fr-FR"/>
        </w:rPr>
        <w:t>quevi</w:t>
      </w:r>
      <w:r w:rsidRPr="003B3476">
        <w:rPr>
          <w:lang w:val="fr-FR" w:eastAsia="fr-FR" w:bidi="fr-FR"/>
        </w:rPr>
        <w:t>l</w:t>
      </w:r>
      <w:r w:rsidRPr="003B3476">
        <w:rPr>
          <w:lang w:val="fr-FR" w:eastAsia="fr-FR" w:bidi="fr-FR"/>
        </w:rPr>
        <w:t xml:space="preserve">le, 1 vol. même date, même pagination. </w:t>
      </w:r>
      <w:r w:rsidRPr="003B3476">
        <w:rPr>
          <w:rStyle w:val="Notedebasdepage65ptPetitesmajuscules"/>
          <w:b w:val="0"/>
          <w:sz w:val="24"/>
        </w:rPr>
        <w:t xml:space="preserve">Grégoire de Tours, </w:t>
      </w:r>
      <w:r w:rsidRPr="003B3476">
        <w:rPr>
          <w:lang w:val="fr-FR" w:eastAsia="fr-FR" w:bidi="fr-FR"/>
        </w:rPr>
        <w:t>qui est le seul historien par qui nous ayons des renseignements un peu précis sur saint Denis, évêque de Paris, et patron de l’abbaye de Saint-Denis en France, r</w:t>
      </w:r>
      <w:r w:rsidRPr="003B3476">
        <w:rPr>
          <w:lang w:val="fr-FR" w:eastAsia="fr-FR" w:bidi="fr-FR"/>
        </w:rPr>
        <w:t>a</w:t>
      </w:r>
      <w:r w:rsidRPr="003B3476">
        <w:rPr>
          <w:lang w:val="fr-FR" w:eastAsia="fr-FR" w:bidi="fr-FR"/>
        </w:rPr>
        <w:t>conte que ce confe</w:t>
      </w:r>
      <w:r w:rsidRPr="003B3476">
        <w:rPr>
          <w:lang w:val="fr-FR" w:eastAsia="fr-FR" w:bidi="fr-FR"/>
        </w:rPr>
        <w:t>s</w:t>
      </w:r>
      <w:r w:rsidRPr="003B3476">
        <w:rPr>
          <w:lang w:val="fr-FR" w:eastAsia="fr-FR" w:bidi="fr-FR"/>
        </w:rPr>
        <w:t>seur de la foi « termina sa vie sous le glaive » au temps de l’empereur Dèce, c’est-à-dire dans la seconde moitié du III</w:t>
      </w:r>
      <w:r w:rsidRPr="003B3476">
        <w:rPr>
          <w:vertAlign w:val="superscript"/>
          <w:lang w:val="fr-FR" w:eastAsia="fr-FR" w:bidi="fr-FR"/>
        </w:rPr>
        <w:t>e</w:t>
      </w:r>
      <w:r w:rsidRPr="003B3476">
        <w:rPr>
          <w:lang w:val="fr-FR" w:eastAsia="fr-FR" w:bidi="fr-FR"/>
        </w:rPr>
        <w:t xml:space="preserve"> siècle (247-251) (</w:t>
      </w:r>
      <w:r w:rsidRPr="003B3476">
        <w:rPr>
          <w:bCs/>
          <w:i/>
        </w:rPr>
        <w:t>Histor. Francor</w:t>
      </w:r>
      <w:r w:rsidRPr="003B3476">
        <w:rPr>
          <w:bCs/>
        </w:rPr>
        <w:t>.,</w:t>
      </w:r>
      <w:r w:rsidRPr="003B3476">
        <w:rPr>
          <w:lang w:val="fr-FR" w:eastAsia="fr-FR" w:bidi="fr-FR"/>
        </w:rPr>
        <w:t xml:space="preserve"> I, c. 30, éd. Arndt, p. 48). Malgré ce témoignage, on a so</w:t>
      </w:r>
      <w:r w:rsidRPr="003B3476">
        <w:rPr>
          <w:lang w:val="fr-FR" w:eastAsia="fr-FR" w:bidi="fr-FR"/>
        </w:rPr>
        <w:t>u</w:t>
      </w:r>
      <w:r w:rsidRPr="003B3476">
        <w:rPr>
          <w:lang w:val="fr-FR" w:eastAsia="fr-FR" w:bidi="fr-FR"/>
        </w:rPr>
        <w:t>vent identifié saint Denis, évêque de Paris, avec ce juge de l’Aréopage, no</w:t>
      </w:r>
      <w:r w:rsidRPr="003B3476">
        <w:rPr>
          <w:lang w:val="fr-FR" w:eastAsia="fr-FR" w:bidi="fr-FR"/>
        </w:rPr>
        <w:t>m</w:t>
      </w:r>
      <w:r w:rsidRPr="003B3476">
        <w:rPr>
          <w:lang w:val="fr-FR" w:eastAsia="fr-FR" w:bidi="fr-FR"/>
        </w:rPr>
        <w:t>mé Denis qui, au dire des Actes des Apôtres (XVIII, 34), fut converti par saint Paul. Cette identif</w:t>
      </w:r>
      <w:r w:rsidRPr="003B3476">
        <w:rPr>
          <w:lang w:val="fr-FR" w:eastAsia="fr-FR" w:bidi="fr-FR"/>
        </w:rPr>
        <w:t>i</w:t>
      </w:r>
      <w:r w:rsidRPr="003B3476">
        <w:rPr>
          <w:lang w:val="fr-FR" w:eastAsia="fr-FR" w:bidi="fr-FR"/>
        </w:rPr>
        <w:t>cation a été acceptée et défendue par les uns, combattue par les autres ; elle a fait la matière d’une vive controverse et d’une abondante li</w:t>
      </w:r>
      <w:r w:rsidRPr="003B3476">
        <w:rPr>
          <w:lang w:val="fr-FR" w:eastAsia="fr-FR" w:bidi="fr-FR"/>
        </w:rPr>
        <w:t>t</w:t>
      </w:r>
      <w:r w:rsidRPr="003B3476">
        <w:rPr>
          <w:lang w:val="fr-FR" w:eastAsia="fr-FR" w:bidi="fr-FR"/>
        </w:rPr>
        <w:t xml:space="preserve">térature, depuis le </w:t>
      </w:r>
      <w:r w:rsidRPr="003B3476">
        <w:rPr>
          <w:caps/>
          <w:lang w:val="fr-FR" w:eastAsia="fr-FR" w:bidi="fr-FR"/>
        </w:rPr>
        <w:t>ix</w:t>
      </w:r>
      <w:r w:rsidRPr="003B3476">
        <w:rPr>
          <w:vertAlign w:val="superscript"/>
          <w:lang w:val="fr-FR" w:eastAsia="fr-FR" w:bidi="fr-FR"/>
        </w:rPr>
        <w:t>e</w:t>
      </w:r>
      <w:r w:rsidRPr="003B3476">
        <w:rPr>
          <w:lang w:val="fr-FR" w:eastAsia="fr-FR" w:bidi="fr-FR"/>
        </w:rPr>
        <w:t xml:space="preserve"> siècle jusqu’au XIX</w:t>
      </w:r>
      <w:r w:rsidRPr="003B3476">
        <w:rPr>
          <w:vertAlign w:val="superscript"/>
          <w:lang w:val="fr-FR" w:eastAsia="fr-FR" w:bidi="fr-FR"/>
        </w:rPr>
        <w:t>e</w:t>
      </w:r>
      <w:r w:rsidRPr="003B3476">
        <w:rPr>
          <w:lang w:val="fr-FR" w:eastAsia="fr-FR" w:bidi="fr-FR"/>
        </w:rPr>
        <w:t xml:space="preserve">. On en trouvera l’histoire dans le livre d’un prêtre acquis aux méthodes de la critique, l’abbé Eugène </w:t>
      </w:r>
      <w:r w:rsidRPr="003B3476">
        <w:rPr>
          <w:rStyle w:val="Notedebasdepage65ptPetitesmajuscules"/>
          <w:b w:val="0"/>
          <w:sz w:val="24"/>
        </w:rPr>
        <w:t xml:space="preserve">Bernard, </w:t>
      </w:r>
      <w:r w:rsidRPr="003B3476">
        <w:rPr>
          <w:bCs/>
          <w:i/>
        </w:rPr>
        <w:t>Les origines de l’église de Paris, Établissement du christianisme dans les Gaules, Saint Denys de Paris</w:t>
      </w:r>
      <w:r w:rsidRPr="003B3476">
        <w:rPr>
          <w:lang w:val="fr-FR" w:eastAsia="fr-FR" w:bidi="fr-FR"/>
        </w:rPr>
        <w:t xml:space="preserve">, in-8°, Paris, 1870, </w:t>
      </w:r>
      <w:r w:rsidRPr="003B3476">
        <w:rPr>
          <w:rStyle w:val="Notedebasdepage65ptPetitesmajuscules"/>
          <w:b w:val="0"/>
          <w:sz w:val="24"/>
        </w:rPr>
        <w:t xml:space="preserve">vii </w:t>
      </w:r>
      <w:r w:rsidRPr="003B3476">
        <w:rPr>
          <w:lang w:val="fr-FR" w:eastAsia="fr-FR" w:bidi="fr-FR"/>
        </w:rPr>
        <w:t xml:space="preserve">+ 557 p. Jacques </w:t>
      </w:r>
      <w:r w:rsidRPr="003B3476">
        <w:rPr>
          <w:rStyle w:val="Notedebasdepage65ptPetitesmajuscules"/>
          <w:b w:val="0"/>
          <w:sz w:val="24"/>
        </w:rPr>
        <w:t>Do</w:t>
      </w:r>
      <w:r w:rsidRPr="003B3476">
        <w:rPr>
          <w:rStyle w:val="Notedebasdepage65ptPetitesmajuscules"/>
          <w:b w:val="0"/>
          <w:sz w:val="24"/>
        </w:rPr>
        <w:t>u</w:t>
      </w:r>
      <w:r w:rsidRPr="003B3476">
        <w:rPr>
          <w:rStyle w:val="Notedebasdepage65ptPetitesmajuscules"/>
          <w:b w:val="0"/>
          <w:sz w:val="24"/>
        </w:rPr>
        <w:t xml:space="preserve">blet </w:t>
      </w:r>
      <w:r w:rsidRPr="003B3476">
        <w:rPr>
          <w:lang w:val="fr-FR" w:eastAsia="fr-FR" w:bidi="fr-FR"/>
        </w:rPr>
        <w:t xml:space="preserve">entra dans la lutte. Non seulement, dans son </w:t>
      </w:r>
      <w:r w:rsidRPr="003B3476">
        <w:rPr>
          <w:bCs/>
          <w:i/>
        </w:rPr>
        <w:t>Histoire de l’abbaye de Saint-Denis</w:t>
      </w:r>
      <w:r w:rsidRPr="003B3476">
        <w:rPr>
          <w:lang w:val="fr-FR" w:eastAsia="fr-FR" w:bidi="fr-FR"/>
        </w:rPr>
        <w:t xml:space="preserve"> il prit parti en faveur de l’identification des deux saints, mais e</w:t>
      </w:r>
      <w:r w:rsidRPr="003B3476">
        <w:rPr>
          <w:lang w:val="fr-FR" w:eastAsia="fr-FR" w:bidi="fr-FR"/>
        </w:rPr>
        <w:t>n</w:t>
      </w:r>
      <w:r w:rsidRPr="003B3476">
        <w:rPr>
          <w:lang w:val="fr-FR" w:eastAsia="fr-FR" w:bidi="fr-FR"/>
        </w:rPr>
        <w:t>core il publia sur ce sujet un ouvr</w:t>
      </w:r>
      <w:r w:rsidRPr="003B3476">
        <w:rPr>
          <w:lang w:val="fr-FR" w:eastAsia="fr-FR" w:bidi="fr-FR"/>
        </w:rPr>
        <w:t>a</w:t>
      </w:r>
      <w:r w:rsidRPr="003B3476">
        <w:rPr>
          <w:lang w:val="fr-FR" w:eastAsia="fr-FR" w:bidi="fr-FR"/>
        </w:rPr>
        <w:t xml:space="preserve">ge spécial : </w:t>
      </w:r>
      <w:r w:rsidRPr="003B3476">
        <w:rPr>
          <w:bCs/>
          <w:i/>
        </w:rPr>
        <w:t>Histoire chronologique pour la vérité de S. Denys Areopagite, apostre de France et premier évesque de Paris</w:t>
      </w:r>
      <w:r w:rsidRPr="003B3476">
        <w:rPr>
          <w:lang w:val="fr-FR" w:eastAsia="fr-FR" w:bidi="fr-FR"/>
        </w:rPr>
        <w:t xml:space="preserve">, in-4°, Paris, 1636, 633 p. </w:t>
      </w:r>
      <w:r w:rsidRPr="003B3476">
        <w:rPr>
          <w:bCs/>
          <w:i/>
        </w:rPr>
        <w:t>Cf.</w:t>
      </w:r>
      <w:r w:rsidRPr="003B3476">
        <w:rPr>
          <w:bCs/>
        </w:rPr>
        <w:t xml:space="preserve"> </w:t>
      </w:r>
      <w:r w:rsidRPr="003B3476">
        <w:rPr>
          <w:bCs/>
          <w:i/>
        </w:rPr>
        <w:t>infra.</w:t>
      </w:r>
      <w:r w:rsidRPr="003B3476">
        <w:rPr>
          <w:lang w:val="fr-FR" w:eastAsia="fr-FR" w:bidi="fr-FR"/>
        </w:rPr>
        <w:t xml:space="preserve">, ch. </w:t>
      </w:r>
      <w:r w:rsidRPr="003B3476">
        <w:rPr>
          <w:smallCaps/>
          <w:lang w:val="fr-FR" w:eastAsia="fr-FR" w:bidi="fr-FR"/>
        </w:rPr>
        <w:t>iv</w:t>
      </w:r>
      <w:r w:rsidRPr="003B3476">
        <w:rPr>
          <w:lang w:val="fr-FR" w:eastAsia="fr-FR" w:bidi="fr-FR"/>
        </w:rPr>
        <w:t>, § 3.</w:t>
      </w:r>
    </w:p>
  </w:footnote>
  <w:footnote w:id="429">
    <w:p w14:paraId="00D772F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Chronique manuscrite de Saint-Germain-de s-Prés, en latin. Il en existe 8 exemplaires à la Bibliothèque Nationale, fonds latin, n</w:t>
      </w:r>
      <w:r w:rsidRPr="003B3476">
        <w:rPr>
          <w:vertAlign w:val="superscript"/>
          <w:lang w:val="fr-FR" w:eastAsia="fr-FR" w:bidi="fr-FR"/>
        </w:rPr>
        <w:t>os</w:t>
      </w:r>
      <w:r w:rsidRPr="003B3476">
        <w:rPr>
          <w:lang w:val="fr-FR" w:eastAsia="fr-FR" w:bidi="fr-FR"/>
        </w:rPr>
        <w:t xml:space="preserve"> 12837 à 12844. </w:t>
      </w:r>
      <w:r w:rsidRPr="003B3476">
        <w:rPr>
          <w:bCs/>
          <w:i/>
        </w:rPr>
        <w:t>Cf.</w:t>
      </w:r>
      <w:r w:rsidRPr="003B3476">
        <w:rPr>
          <w:lang w:val="fr-FR" w:eastAsia="fr-FR" w:bidi="fr-FR"/>
        </w:rPr>
        <w:t xml:space="preserve"> J.-B. </w:t>
      </w:r>
      <w:r w:rsidRPr="003B3476">
        <w:rPr>
          <w:rStyle w:val="Notedebasdepage65ptPetitesmajuscules"/>
          <w:b w:val="0"/>
          <w:sz w:val="24"/>
        </w:rPr>
        <w:t xml:space="preserve">Vanel, </w:t>
      </w:r>
      <w:r w:rsidRPr="003B3476">
        <w:rPr>
          <w:bCs/>
          <w:i/>
        </w:rPr>
        <w:t>Les Bénédictins de Saint-Maur à Saint-Germain-des-Prés</w:t>
      </w:r>
      <w:r w:rsidRPr="003B3476">
        <w:rPr>
          <w:bCs/>
        </w:rPr>
        <w:t>,</w:t>
      </w:r>
      <w:r w:rsidRPr="003B3476">
        <w:rPr>
          <w:lang w:val="fr-FR" w:eastAsia="fr-FR" w:bidi="fr-FR"/>
        </w:rPr>
        <w:t xml:space="preserve"> in-4°, Paris, 1896, p. </w:t>
      </w:r>
      <w:r w:rsidRPr="003B3476">
        <w:rPr>
          <w:smallCaps/>
          <w:lang w:val="fr-FR" w:eastAsia="fr-FR" w:bidi="fr-FR"/>
        </w:rPr>
        <w:t>vii</w:t>
      </w:r>
      <w:r w:rsidRPr="003B3476">
        <w:rPr>
          <w:lang w:val="fr-FR" w:eastAsia="fr-FR" w:bidi="fr-FR"/>
        </w:rPr>
        <w:t xml:space="preserve">, n. 1. On trouvera d’autres ouvrages de dom du Breul qui intéressent aussi Saint-Germain-des-Prés indiqués </w:t>
      </w:r>
      <w:r w:rsidRPr="003B3476">
        <w:rPr>
          <w:bCs/>
          <w:i/>
        </w:rPr>
        <w:t>infra.</w:t>
      </w:r>
      <w:r w:rsidRPr="003B3476">
        <w:rPr>
          <w:bCs/>
        </w:rPr>
        <w:t xml:space="preserve">, n. </w:t>
      </w:r>
      <w:r w:rsidRPr="003B3476">
        <w:rPr>
          <w:lang w:val="fr-FR" w:eastAsia="fr-FR" w:bidi="fr-FR"/>
        </w:rPr>
        <w:t xml:space="preserve">5. Sur du Breul on consultera </w:t>
      </w:r>
      <w:r w:rsidRPr="003B3476">
        <w:rPr>
          <w:rStyle w:val="Notedebasdepage65ptPetitesmajuscules"/>
          <w:b w:val="0"/>
          <w:sz w:val="24"/>
        </w:rPr>
        <w:t xml:space="preserve">Le Roux de Lincy </w:t>
      </w:r>
      <w:r w:rsidRPr="003B3476">
        <w:rPr>
          <w:lang w:val="fr-FR" w:eastAsia="fr-FR" w:bidi="fr-FR"/>
        </w:rPr>
        <w:t xml:space="preserve">et </w:t>
      </w:r>
      <w:r w:rsidRPr="003B3476">
        <w:rPr>
          <w:rStyle w:val="Notedebasdepage65ptPetitesmajuscules"/>
          <w:b w:val="0"/>
          <w:sz w:val="24"/>
        </w:rPr>
        <w:t xml:space="preserve">Bruel, </w:t>
      </w:r>
      <w:r w:rsidRPr="003B3476">
        <w:rPr>
          <w:bCs/>
          <w:i/>
        </w:rPr>
        <w:t>Notice historique et critique sur dom Jacques du Breul, prieur de Saint-Germain-des-Prés</w:t>
      </w:r>
      <w:r w:rsidRPr="003B3476">
        <w:rPr>
          <w:lang w:val="fr-FR" w:eastAsia="fr-FR" w:bidi="fr-FR"/>
        </w:rPr>
        <w:t xml:space="preserve">, </w:t>
      </w:r>
      <w:r w:rsidRPr="003B3476">
        <w:rPr>
          <w:bCs/>
        </w:rPr>
        <w:t>Bibl. Éc. Cha</w:t>
      </w:r>
      <w:r w:rsidRPr="003B3476">
        <w:rPr>
          <w:bCs/>
        </w:rPr>
        <w:t>r</w:t>
      </w:r>
      <w:r w:rsidRPr="003B3476">
        <w:rPr>
          <w:bCs/>
        </w:rPr>
        <w:t>tes</w:t>
      </w:r>
      <w:r w:rsidRPr="003B3476">
        <w:rPr>
          <w:lang w:val="fr-FR" w:eastAsia="fr-FR" w:bidi="fr-FR"/>
        </w:rPr>
        <w:t>, t. XXIX (1868), p. 56-72 et 479-512.</w:t>
      </w:r>
    </w:p>
  </w:footnote>
  <w:footnote w:id="430">
    <w:p w14:paraId="64615CA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t xml:space="preserve">D. </w:t>
      </w:r>
      <w:r w:rsidRPr="003B3476">
        <w:rPr>
          <w:smallCaps/>
          <w:lang w:val="fr-FR"/>
        </w:rPr>
        <w:t>Marrier</w:t>
      </w:r>
      <w:r w:rsidRPr="003B3476">
        <w:rPr>
          <w:lang w:val="fr-FR"/>
        </w:rPr>
        <w:t xml:space="preserve"> a publié sur Saint-Martin-des-Champs, deux ouvrages : 1° un recueil de textes : </w:t>
      </w:r>
      <w:r w:rsidRPr="003B3476">
        <w:rPr>
          <w:i/>
          <w:lang w:val="fr-FR"/>
        </w:rPr>
        <w:t>Martiniana, id est litterae, tituli, cartae, privilegia et doc</w:t>
      </w:r>
      <w:r w:rsidRPr="003B3476">
        <w:rPr>
          <w:i/>
          <w:lang w:val="fr-FR"/>
        </w:rPr>
        <w:t>u</w:t>
      </w:r>
      <w:r w:rsidRPr="003B3476">
        <w:rPr>
          <w:i/>
          <w:lang w:val="fr-FR"/>
        </w:rPr>
        <w:t>menta</w:t>
      </w:r>
      <w:r w:rsidRPr="003B3476">
        <w:rPr>
          <w:lang w:val="fr-FR"/>
        </w:rPr>
        <w:t>…, in-8°, Paris, 1606, 183 feuillets ; 2° une “</w:t>
      </w:r>
      <w:r w:rsidRPr="003B3476">
        <w:rPr>
          <w:i/>
          <w:lang w:val="fr-FR"/>
        </w:rPr>
        <w:t>Monaterii regalis S. Marini de Campis paris, ordinis Cluiacensis historia</w:t>
      </w:r>
      <w:r w:rsidRPr="003B3476">
        <w:rPr>
          <w:lang w:val="fr-FR"/>
        </w:rPr>
        <w:t xml:space="preserve">”, in-4°, Paris, 1636, 576 p. Voir sur dom Marrier : </w:t>
      </w:r>
      <w:r w:rsidRPr="003B3476">
        <w:rPr>
          <w:smallCaps/>
          <w:lang w:val="fr-FR"/>
        </w:rPr>
        <w:t>Douët d’Arcq</w:t>
      </w:r>
      <w:r w:rsidRPr="003B3476">
        <w:rPr>
          <w:lang w:val="fr-FR"/>
        </w:rPr>
        <w:t xml:space="preserve">, </w:t>
      </w:r>
      <w:r w:rsidRPr="003B3476">
        <w:rPr>
          <w:i/>
          <w:lang w:val="fr-FR"/>
        </w:rPr>
        <w:t>Documents bibliographiques sur dom Marrier, Bibl.. Éc. Chartes</w:t>
      </w:r>
      <w:r w:rsidRPr="003B3476">
        <w:rPr>
          <w:lang w:val="fr-FR"/>
        </w:rPr>
        <w:t xml:space="preserve">, t. </w:t>
      </w:r>
      <w:r w:rsidRPr="003B3476">
        <w:rPr>
          <w:smallCaps/>
          <w:lang w:val="fr-FR"/>
        </w:rPr>
        <w:t>xvi</w:t>
      </w:r>
      <w:r w:rsidRPr="003B3476">
        <w:rPr>
          <w:lang w:val="fr-FR"/>
        </w:rPr>
        <w:t xml:space="preserve"> (1855), p. 322-358 ; </w:t>
      </w:r>
      <w:r w:rsidRPr="003B3476">
        <w:rPr>
          <w:i/>
          <w:lang w:val="fr-FR"/>
        </w:rPr>
        <w:t>cf. Ibid</w:t>
      </w:r>
      <w:r w:rsidRPr="003B3476">
        <w:rPr>
          <w:lang w:val="fr-FR"/>
        </w:rPr>
        <w:t xml:space="preserve">., p. 581. Certains exemplaires de la </w:t>
      </w:r>
      <w:r w:rsidRPr="003B3476">
        <w:rPr>
          <w:i/>
          <w:lang w:val="fr-FR"/>
        </w:rPr>
        <w:t>Monasterii regalis S. Martini… historia</w:t>
      </w:r>
      <w:r w:rsidRPr="003B3476">
        <w:rPr>
          <w:lang w:val="fr-FR"/>
        </w:rPr>
        <w:t>, portent pour date : 1637.</w:t>
      </w:r>
    </w:p>
  </w:footnote>
  <w:footnote w:id="431">
    <w:p w14:paraId="062CF32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Jean de Thoulouse fut prieur de Saint-Victor de 1636 à 1641 et mourut en 1659. Il joua un rôle de premier plan dans l’histoire, fort agitée à cette époque, de l’abbaye. </w:t>
      </w:r>
      <w:r w:rsidRPr="003B3476">
        <w:rPr>
          <w:bCs/>
          <w:i/>
        </w:rPr>
        <w:t>Cf.</w:t>
      </w:r>
      <w:r w:rsidRPr="003B3476">
        <w:rPr>
          <w:lang w:val="fr-FR" w:eastAsia="fr-FR" w:bidi="fr-FR"/>
        </w:rPr>
        <w:t xml:space="preserve"> </w:t>
      </w:r>
      <w:r w:rsidRPr="003B3476">
        <w:rPr>
          <w:rStyle w:val="Notedebasdepage65ptPetitesmajuscules"/>
          <w:b w:val="0"/>
          <w:sz w:val="24"/>
        </w:rPr>
        <w:t xml:space="preserve">Fourier-Bonnard, </w:t>
      </w:r>
      <w:r w:rsidRPr="003B3476">
        <w:rPr>
          <w:bCs/>
          <w:i/>
        </w:rPr>
        <w:t>Histoire de l’abbaye et de l’ordre des chanoines réguliers de Saint-Victor de Paris</w:t>
      </w:r>
      <w:r w:rsidRPr="003B3476">
        <w:rPr>
          <w:bCs/>
        </w:rPr>
        <w:t xml:space="preserve">, </w:t>
      </w:r>
      <w:r w:rsidRPr="003B3476">
        <w:rPr>
          <w:lang w:val="fr-FR" w:eastAsia="fr-FR" w:bidi="fr-FR"/>
        </w:rPr>
        <w:t xml:space="preserve">t. II, in-8°, s. d. [1907], chap. vu. Il publia en 1640 un </w:t>
      </w:r>
      <w:r w:rsidRPr="003B3476">
        <w:rPr>
          <w:bCs/>
          <w:i/>
        </w:rPr>
        <w:t>Abrégé de la fondation de l’abbaye de Saint-Victor lez Paris, su</w:t>
      </w:r>
      <w:r w:rsidRPr="003B3476">
        <w:rPr>
          <w:bCs/>
          <w:i/>
        </w:rPr>
        <w:t>c</w:t>
      </w:r>
      <w:r w:rsidRPr="003B3476">
        <w:rPr>
          <w:bCs/>
          <w:i/>
        </w:rPr>
        <w:t>cession des abbez, privilèges et singularitez d’icelle</w:t>
      </w:r>
      <w:r w:rsidRPr="003B3476">
        <w:rPr>
          <w:bCs/>
        </w:rPr>
        <w:t>,</w:t>
      </w:r>
      <w:r w:rsidRPr="003B3476">
        <w:rPr>
          <w:lang w:val="fr-FR" w:eastAsia="fr-FR" w:bidi="fr-FR"/>
        </w:rPr>
        <w:t xml:space="preserve"> in-4°, Paris, 78 p. qui se présente comme une « reveüe », c’est-à-dire une édition revue et corrigée de la notice consacrée à Saint-Victor dans le </w:t>
      </w:r>
      <w:r w:rsidRPr="003B3476">
        <w:rPr>
          <w:bCs/>
          <w:i/>
        </w:rPr>
        <w:t>Théâtre des Antiquitez</w:t>
      </w:r>
      <w:r w:rsidRPr="003B3476">
        <w:rPr>
          <w:i/>
          <w:lang w:val="fr-FR" w:eastAsia="fr-FR" w:bidi="fr-FR"/>
        </w:rPr>
        <w:t xml:space="preserve"> de du Breul</w:t>
      </w:r>
      <w:r w:rsidRPr="003B3476">
        <w:rPr>
          <w:lang w:val="fr-FR" w:eastAsia="fr-FR" w:bidi="fr-FR"/>
        </w:rPr>
        <w:t xml:space="preserve"> </w:t>
      </w:r>
      <w:r w:rsidRPr="003B3476">
        <w:rPr>
          <w:bCs/>
        </w:rPr>
        <w:t>(</w:t>
      </w:r>
      <w:r w:rsidRPr="003B3476">
        <w:rPr>
          <w:bCs/>
          <w:i/>
        </w:rPr>
        <w:t>cf</w:t>
      </w:r>
      <w:r w:rsidRPr="003B3476">
        <w:rPr>
          <w:bCs/>
        </w:rPr>
        <w:t xml:space="preserve">. </w:t>
      </w:r>
      <w:r w:rsidRPr="003B3476">
        <w:rPr>
          <w:bCs/>
          <w:i/>
        </w:rPr>
        <w:t>infra.</w:t>
      </w:r>
      <w:r w:rsidRPr="003B3476">
        <w:rPr>
          <w:bCs/>
        </w:rPr>
        <w:t>,</w:t>
      </w:r>
      <w:r w:rsidRPr="003B3476">
        <w:rPr>
          <w:lang w:val="fr-FR" w:eastAsia="fr-FR" w:bidi="fr-FR"/>
        </w:rPr>
        <w:t xml:space="preserve"> n. 5 et due au R. P. Jean Picard. Jean de Thoulouse a laissé, en o</w:t>
      </w:r>
      <w:r w:rsidRPr="003B3476">
        <w:rPr>
          <w:lang w:val="fr-FR" w:eastAsia="fr-FR" w:bidi="fr-FR"/>
        </w:rPr>
        <w:t>u</w:t>
      </w:r>
      <w:r w:rsidRPr="003B3476">
        <w:rPr>
          <w:lang w:val="fr-FR" w:eastAsia="fr-FR" w:bidi="fr-FR"/>
        </w:rPr>
        <w:t xml:space="preserve">tre, d’importants manuscrits concernant l’histoire de l’abbaye ; on en trouvera l’énumération dans </w:t>
      </w:r>
      <w:r w:rsidRPr="003B3476">
        <w:rPr>
          <w:rStyle w:val="Notedebasdepage65ptPetitesmajuscules"/>
          <w:b w:val="0"/>
          <w:sz w:val="24"/>
        </w:rPr>
        <w:t xml:space="preserve">Fourier-Bonnard, </w:t>
      </w:r>
      <w:r w:rsidRPr="003B3476">
        <w:rPr>
          <w:bCs/>
          <w:i/>
        </w:rPr>
        <w:t>Saint-Victor de Paris</w:t>
      </w:r>
      <w:r w:rsidRPr="003B3476">
        <w:rPr>
          <w:bCs/>
        </w:rPr>
        <w:t>,</w:t>
      </w:r>
      <w:r w:rsidRPr="003B3476">
        <w:rPr>
          <w:lang w:val="fr-FR" w:eastAsia="fr-FR" w:bidi="fr-FR"/>
        </w:rPr>
        <w:t xml:space="preserve"> t. I, [1904], p. </w:t>
      </w:r>
      <w:r w:rsidRPr="003B3476">
        <w:rPr>
          <w:rStyle w:val="Notedebasdepage65ptPetitesmajuscules"/>
          <w:b w:val="0"/>
          <w:sz w:val="24"/>
        </w:rPr>
        <w:t>xxvi-xxvii.</w:t>
      </w:r>
    </w:p>
  </w:footnote>
  <w:footnote w:id="432">
    <w:p w14:paraId="0578D4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Au livre second de son ouvrage intitulé : </w:t>
      </w:r>
      <w:r w:rsidRPr="003B3476">
        <w:rPr>
          <w:bCs/>
          <w:i/>
        </w:rPr>
        <w:t>La Vie et les Éminentes Vertus de Saint-Maur, abbé</w:t>
      </w:r>
      <w:r w:rsidRPr="003B3476">
        <w:rPr>
          <w:bCs/>
        </w:rPr>
        <w:t>,</w:t>
      </w:r>
      <w:r w:rsidRPr="003B3476">
        <w:rPr>
          <w:lang w:val="fr-FR" w:eastAsia="fr-FR" w:bidi="fr-FR"/>
        </w:rPr>
        <w:t xml:space="preserve"> in-8°, Paris, 1640, p. 291-474. Le Père Ignace de Jésus-Maria, de son vrai nom Jacques Sanson, appartenait à la famille des Sanson d’Abbeville, les célèbres géographes. Voir sur lui </w:t>
      </w:r>
      <w:r w:rsidRPr="003B3476">
        <w:rPr>
          <w:bCs/>
          <w:i/>
        </w:rPr>
        <w:t>Bibliotheca Carmelitana</w:t>
      </w:r>
      <w:r w:rsidRPr="003B3476">
        <w:rPr>
          <w:bCs/>
        </w:rPr>
        <w:t>,</w:t>
      </w:r>
      <w:r w:rsidRPr="003B3476">
        <w:rPr>
          <w:lang w:val="fr-FR" w:eastAsia="fr-FR" w:bidi="fr-FR"/>
        </w:rPr>
        <w:t xml:space="preserve"> </w:t>
      </w:r>
      <w:r w:rsidRPr="003B3476">
        <w:rPr>
          <w:bCs/>
        </w:rPr>
        <w:t>t. </w:t>
      </w:r>
      <w:r w:rsidRPr="003B3476">
        <w:rPr>
          <w:lang w:val="fr-FR" w:eastAsia="fr-FR" w:bidi="fr-FR"/>
        </w:rPr>
        <w:t xml:space="preserve">I, in-fol., Paris, 1752, col. 707 et dom </w:t>
      </w:r>
      <w:r w:rsidRPr="003B3476">
        <w:rPr>
          <w:rStyle w:val="Notedebasdepage65ptPetitesmajuscules"/>
          <w:b w:val="0"/>
          <w:sz w:val="24"/>
        </w:rPr>
        <w:t xml:space="preserve">Ansart, </w:t>
      </w:r>
      <w:r w:rsidRPr="003B3476">
        <w:rPr>
          <w:lang w:val="fr-FR" w:eastAsia="fr-FR" w:bidi="fr-FR"/>
        </w:rPr>
        <w:t xml:space="preserve">dans son </w:t>
      </w:r>
      <w:r w:rsidRPr="003B3476">
        <w:rPr>
          <w:bCs/>
          <w:i/>
        </w:rPr>
        <w:t>Histoire de Saint-Maur-des-Fossés</w:t>
      </w:r>
      <w:r w:rsidRPr="003B3476">
        <w:rPr>
          <w:bCs/>
        </w:rPr>
        <w:t>,</w:t>
      </w:r>
      <w:r w:rsidRPr="003B3476">
        <w:rPr>
          <w:lang w:val="fr-FR" w:eastAsia="fr-FR" w:bidi="fr-FR"/>
        </w:rPr>
        <w:t xml:space="preserve"> B. N., ms. fr. 18925, fol. 198.</w:t>
      </w:r>
    </w:p>
  </w:footnote>
  <w:footnote w:id="433">
    <w:p w14:paraId="078651F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devra consulter aussi les notices sur les monastères parisiens et sur les principaux monastères du diocèse insérées par dom Jacques du </w:t>
      </w:r>
      <w:r w:rsidRPr="003B3476">
        <w:rPr>
          <w:rStyle w:val="Notedebasdepage65ptPetitesmajuscules"/>
          <w:b w:val="0"/>
          <w:sz w:val="24"/>
        </w:rPr>
        <w:t xml:space="preserve">Breul </w:t>
      </w:r>
      <w:r w:rsidRPr="003B3476">
        <w:rPr>
          <w:lang w:val="fr-FR" w:eastAsia="fr-FR" w:bidi="fr-FR"/>
        </w:rPr>
        <w:t xml:space="preserve">dans son </w:t>
      </w:r>
      <w:r w:rsidRPr="003B3476">
        <w:rPr>
          <w:bCs/>
          <w:i/>
        </w:rPr>
        <w:t>Théâtre des antiquitez de Paris</w:t>
      </w:r>
      <w:r w:rsidRPr="003B3476">
        <w:rPr>
          <w:bCs/>
        </w:rPr>
        <w:t>,</w:t>
      </w:r>
      <w:r w:rsidRPr="003B3476">
        <w:rPr>
          <w:lang w:val="fr-FR" w:eastAsia="fr-FR" w:bidi="fr-FR"/>
        </w:rPr>
        <w:t xml:space="preserve"> in-4°, Paris, 1612 ; 2</w:t>
      </w:r>
      <w:r w:rsidRPr="003B3476">
        <w:rPr>
          <w:vertAlign w:val="superscript"/>
          <w:lang w:val="fr-FR" w:eastAsia="fr-FR" w:bidi="fr-FR"/>
        </w:rPr>
        <w:t>e</w:t>
      </w:r>
      <w:r w:rsidRPr="003B3476">
        <w:rPr>
          <w:lang w:val="fr-FR" w:eastAsia="fr-FR" w:bidi="fr-FR"/>
        </w:rPr>
        <w:t xml:space="preserve"> éd. 1639, livre IV. </w:t>
      </w:r>
      <w:r w:rsidRPr="003B3476">
        <w:rPr>
          <w:bCs/>
          <w:i/>
        </w:rPr>
        <w:t>Cf.</w:t>
      </w:r>
      <w:r w:rsidRPr="003B3476">
        <w:rPr>
          <w:lang w:val="fr-FR" w:eastAsia="fr-FR" w:bidi="fr-FR"/>
        </w:rPr>
        <w:t xml:space="preserve"> aussi pour Saint-Germain-des-Prés et Saint-Maur-des-Fossés le </w:t>
      </w:r>
      <w:r w:rsidRPr="003B3476">
        <w:rPr>
          <w:bCs/>
          <w:i/>
        </w:rPr>
        <w:t>Suppl</w:t>
      </w:r>
      <w:r w:rsidRPr="003B3476">
        <w:rPr>
          <w:bCs/>
          <w:i/>
        </w:rPr>
        <w:t>e</w:t>
      </w:r>
      <w:r w:rsidRPr="003B3476">
        <w:rPr>
          <w:bCs/>
          <w:i/>
        </w:rPr>
        <w:t>mentum antiquitatum urbis Parisiacae quoad Sanctorum Germani a Pratis et Mauri Fossatensis Coenobia</w:t>
      </w:r>
      <w:r w:rsidRPr="003B3476">
        <w:rPr>
          <w:bCs/>
        </w:rPr>
        <w:t>,</w:t>
      </w:r>
      <w:r w:rsidRPr="003B3476">
        <w:rPr>
          <w:lang w:val="fr-FR" w:eastAsia="fr-FR" w:bidi="fr-FR"/>
        </w:rPr>
        <w:t xml:space="preserve"> du même du </w:t>
      </w:r>
      <w:r w:rsidRPr="003B3476">
        <w:rPr>
          <w:rStyle w:val="Notedebasdepage65ptPetitesmajuscules"/>
          <w:b w:val="0"/>
          <w:sz w:val="24"/>
        </w:rPr>
        <w:t xml:space="preserve">Breul, </w:t>
      </w:r>
      <w:r w:rsidRPr="003B3476">
        <w:rPr>
          <w:lang w:val="fr-FR" w:eastAsia="fr-FR" w:bidi="fr-FR"/>
        </w:rPr>
        <w:t>in-4°, Paris, 1614, 205 p.</w:t>
      </w:r>
    </w:p>
  </w:footnote>
  <w:footnote w:id="434">
    <w:p w14:paraId="470456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2 vol. in-4°, Paris, 1690 et 1710, </w:t>
      </w:r>
      <w:r w:rsidRPr="003B3476">
        <w:rPr>
          <w:smallCaps/>
          <w:lang w:val="fr-FR" w:eastAsia="fr-FR" w:bidi="fr-FR"/>
        </w:rPr>
        <w:t>xlvij</w:t>
      </w:r>
      <w:r w:rsidRPr="003B3476">
        <w:rPr>
          <w:lang w:val="fr-FR" w:eastAsia="fr-FR" w:bidi="fr-FR"/>
        </w:rPr>
        <w:t xml:space="preserve"> + 824 et </w:t>
      </w:r>
      <w:r w:rsidRPr="003B3476">
        <w:rPr>
          <w:smallCaps/>
          <w:lang w:val="fr-FR" w:eastAsia="fr-FR" w:bidi="fr-FR"/>
        </w:rPr>
        <w:t>xij</w:t>
      </w:r>
      <w:r w:rsidRPr="003B3476">
        <w:rPr>
          <w:lang w:val="fr-FR" w:eastAsia="fr-FR" w:bidi="fr-FR"/>
        </w:rPr>
        <w:t xml:space="preserve"> -f 684 + </w:t>
      </w:r>
      <w:r w:rsidRPr="003B3476">
        <w:rPr>
          <w:smallCaps/>
          <w:lang w:val="fr-FR" w:eastAsia="fr-FR" w:bidi="fr-FR"/>
        </w:rPr>
        <w:t>xlviij</w:t>
      </w:r>
      <w:r w:rsidRPr="003B3476">
        <w:rPr>
          <w:lang w:val="fr-FR" w:eastAsia="fr-FR" w:bidi="fr-FR"/>
        </w:rPr>
        <w:t xml:space="preserve"> p. Le s</w:t>
      </w:r>
      <w:r w:rsidRPr="003B3476">
        <w:rPr>
          <w:lang w:val="fr-FR" w:eastAsia="fr-FR" w:bidi="fr-FR"/>
        </w:rPr>
        <w:t>e</w:t>
      </w:r>
      <w:r w:rsidRPr="003B3476">
        <w:rPr>
          <w:lang w:val="fr-FR" w:eastAsia="fr-FR" w:bidi="fr-FR"/>
        </w:rPr>
        <w:t>cond volume est posthume.</w:t>
      </w:r>
    </w:p>
  </w:footnote>
  <w:footnote w:id="435">
    <w:p w14:paraId="0C72068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A. Duchesne on consultera l’Introduction mise par M. René </w:t>
      </w:r>
      <w:r w:rsidRPr="003B3476">
        <w:rPr>
          <w:rStyle w:val="Notedebasdepage65ptPetitesmajuscules"/>
          <w:b w:val="0"/>
          <w:sz w:val="24"/>
        </w:rPr>
        <w:t>Poupardin</w:t>
      </w:r>
      <w:r w:rsidRPr="003B3476">
        <w:rPr>
          <w:bCs/>
        </w:rPr>
        <w:t xml:space="preserve"> à </w:t>
      </w:r>
      <w:r w:rsidRPr="003B3476">
        <w:rPr>
          <w:lang w:val="fr-FR" w:eastAsia="fr-FR" w:bidi="fr-FR"/>
        </w:rPr>
        <w:t xml:space="preserve">son </w:t>
      </w:r>
      <w:r w:rsidRPr="003B3476">
        <w:rPr>
          <w:bCs/>
          <w:i/>
        </w:rPr>
        <w:t>Catalogue des manuscrits des collections Duchesne et Bréquigny (Bibl. Nat.)</w:t>
      </w:r>
      <w:r w:rsidRPr="003B3476">
        <w:rPr>
          <w:bCs/>
        </w:rPr>
        <w:t>,</w:t>
      </w:r>
      <w:r w:rsidRPr="003B3476">
        <w:rPr>
          <w:lang w:val="fr-FR" w:eastAsia="fr-FR" w:bidi="fr-FR"/>
        </w:rPr>
        <w:t xml:space="preserve"> in-8°, Paris, 1905, p. 1 et suiv. M. Poupardin donne (p. 1, n. 1) l’indication des travaux antérieurs au sien.</w:t>
      </w:r>
    </w:p>
  </w:footnote>
  <w:footnote w:id="436">
    <w:p w14:paraId="0D7038B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Histoire généalogique de la maison de Montmorency et de Laval</w:t>
      </w:r>
      <w:r w:rsidRPr="003B3476">
        <w:rPr>
          <w:lang w:val="fr-FR" w:eastAsia="fr-FR" w:bidi="fr-FR"/>
        </w:rPr>
        <w:t>, in-fol., P</w:t>
      </w:r>
      <w:r w:rsidRPr="003B3476">
        <w:rPr>
          <w:lang w:val="fr-FR" w:eastAsia="fr-FR" w:bidi="fr-FR"/>
        </w:rPr>
        <w:t>a</w:t>
      </w:r>
      <w:r w:rsidRPr="003B3476">
        <w:rPr>
          <w:lang w:val="fr-FR" w:eastAsia="fr-FR" w:bidi="fr-FR"/>
        </w:rPr>
        <w:t xml:space="preserve">ris, </w:t>
      </w:r>
      <w:r w:rsidRPr="003B3476">
        <w:t xml:space="preserve">1624, 696 </w:t>
      </w:r>
      <w:r w:rsidRPr="003B3476">
        <w:rPr>
          <w:lang w:val="fr-FR" w:eastAsia="fr-FR" w:bidi="fr-FR"/>
        </w:rPr>
        <w:t xml:space="preserve">+ </w:t>
      </w:r>
      <w:r w:rsidRPr="003B3476">
        <w:t xml:space="preserve">419 </w:t>
      </w:r>
      <w:r w:rsidRPr="003B3476">
        <w:rPr>
          <w:lang w:val="fr-FR" w:eastAsia="fr-FR" w:bidi="fr-FR"/>
        </w:rPr>
        <w:t xml:space="preserve">p. Pour l’époque moderne, on complétera l’ouvrage de A. Duchesne à l’aide de celui de </w:t>
      </w:r>
      <w:r w:rsidRPr="003B3476">
        <w:rPr>
          <w:rStyle w:val="Notedebasdepage65ptPetitesmajuscules"/>
          <w:b w:val="0"/>
          <w:sz w:val="24"/>
        </w:rPr>
        <w:t xml:space="preserve">Désormeaux, </w:t>
      </w:r>
      <w:r w:rsidRPr="003B3476">
        <w:rPr>
          <w:i/>
        </w:rPr>
        <w:t>Histoire de la maison de Mon</w:t>
      </w:r>
      <w:r w:rsidRPr="003B3476">
        <w:rPr>
          <w:i/>
        </w:rPr>
        <w:t>t</w:t>
      </w:r>
      <w:r w:rsidRPr="003B3476">
        <w:rPr>
          <w:i/>
        </w:rPr>
        <w:t>morenci</w:t>
      </w:r>
      <w:r w:rsidRPr="003B3476">
        <w:t>,</w:t>
      </w:r>
      <w:r w:rsidRPr="003B3476">
        <w:rPr>
          <w:lang w:val="fr-FR" w:eastAsia="fr-FR" w:bidi="fr-FR"/>
        </w:rPr>
        <w:t xml:space="preserve"> </w:t>
      </w:r>
      <w:r w:rsidRPr="003B3476">
        <w:t>2</w:t>
      </w:r>
      <w:r w:rsidRPr="003B3476">
        <w:rPr>
          <w:vertAlign w:val="superscript"/>
        </w:rPr>
        <w:t>e</w:t>
      </w:r>
      <w:r w:rsidRPr="003B3476">
        <w:t xml:space="preserve"> </w:t>
      </w:r>
      <w:r w:rsidRPr="003B3476">
        <w:rPr>
          <w:lang w:val="fr-FR" w:eastAsia="fr-FR" w:bidi="fr-FR"/>
        </w:rPr>
        <w:t xml:space="preserve">éd., </w:t>
      </w:r>
      <w:r w:rsidRPr="003B3476">
        <w:t xml:space="preserve">5 </w:t>
      </w:r>
      <w:r w:rsidRPr="003B3476">
        <w:rPr>
          <w:lang w:val="fr-FR" w:eastAsia="fr-FR" w:bidi="fr-FR"/>
        </w:rPr>
        <w:t xml:space="preserve">vol. </w:t>
      </w:r>
      <w:r w:rsidRPr="003B3476">
        <w:t xml:space="preserve">in-12, </w:t>
      </w:r>
      <w:r w:rsidRPr="003B3476">
        <w:rPr>
          <w:lang w:val="fr-FR" w:eastAsia="fr-FR" w:bidi="fr-FR"/>
        </w:rPr>
        <w:t xml:space="preserve">Paris, </w:t>
      </w:r>
      <w:r w:rsidRPr="003B3476">
        <w:t>1768.</w:t>
      </w:r>
    </w:p>
  </w:footnote>
  <w:footnote w:id="437">
    <w:p w14:paraId="253D75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de la maison de Chastillon-sur-Marne</w:t>
      </w:r>
      <w:r w:rsidRPr="003B3476">
        <w:rPr>
          <w:lang w:val="fr-FR" w:eastAsia="fr-FR" w:bidi="fr-FR"/>
        </w:rPr>
        <w:t>,</w:t>
      </w:r>
      <w:r w:rsidRPr="003B3476">
        <w:rPr>
          <w:bCs/>
        </w:rPr>
        <w:t xml:space="preserve"> in-fol., Paris, 1621, 726 + 286 p.</w:t>
      </w:r>
    </w:p>
  </w:footnote>
  <w:footnote w:id="438">
    <w:p w14:paraId="41C3AE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généalogique de la maison royale de Dreux et de quelques autres familles illustres qui en sont descendues par femmes</w:t>
      </w:r>
      <w:r w:rsidRPr="003B3476">
        <w:rPr>
          <w:bCs/>
        </w:rPr>
        <w:t>, in-fol., Paris, 1631. La première partie du vol. (338 p.) est consacrée à la maison de Dreux.</w:t>
      </w:r>
    </w:p>
  </w:footnote>
  <w:footnote w:id="439">
    <w:p w14:paraId="0B1149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Histoire généalogique de la maison de Broyés et de Chasteauvillain</w:t>
      </w:r>
      <w:r w:rsidRPr="003B3476">
        <w:rPr>
          <w:bCs/>
        </w:rPr>
        <w:t>,</w:t>
      </w:r>
      <w:r w:rsidRPr="003B3476">
        <w:rPr>
          <w:lang w:val="fr-FR" w:eastAsia="fr-FR" w:bidi="fr-FR"/>
        </w:rPr>
        <w:t xml:space="preserve"> forme la sixième partie du volume indiqué à la note précédente (80 + 67 p.).</w:t>
      </w:r>
    </w:p>
  </w:footnote>
  <w:footnote w:id="440">
    <w:p w14:paraId="31489889" w14:textId="77777777" w:rsidR="00B9662D" w:rsidRPr="003B3476" w:rsidRDefault="00B9662D" w:rsidP="00B9662D">
      <w:pPr>
        <w:pStyle w:val="Notedebasdepage"/>
        <w:rPr>
          <w:lang w:val="fr-FR"/>
        </w:rPr>
      </w:pPr>
      <w:r w:rsidRPr="003B3476">
        <w:rPr>
          <w:rStyle w:val="Appelnotedebasdep"/>
          <w:sz w:val="24"/>
        </w:rPr>
        <w:footnoteRef/>
      </w:r>
      <w:r w:rsidRPr="003B3476">
        <w:t xml:space="preserve"> </w:t>
      </w:r>
      <w:r w:rsidRPr="003B3476">
        <w:rPr>
          <w:lang w:val="fr-FR"/>
        </w:rPr>
        <w:tab/>
      </w:r>
      <w:r w:rsidRPr="003B3476">
        <w:rPr>
          <w:i/>
          <w:lang w:val="fr-FR" w:eastAsia="fr-FR" w:bidi="fr-FR"/>
        </w:rPr>
        <w:t xml:space="preserve">Les </w:t>
      </w:r>
      <w:r w:rsidRPr="003B3476">
        <w:rPr>
          <w:bCs/>
          <w:i/>
        </w:rPr>
        <w:t>Généalogies Orléanoises</w:t>
      </w:r>
      <w:r w:rsidRPr="003B3476">
        <w:rPr>
          <w:lang w:val="fr-FR" w:eastAsia="fr-FR" w:bidi="fr-FR"/>
        </w:rPr>
        <w:t xml:space="preserve"> du chanoine </w:t>
      </w:r>
      <w:r w:rsidRPr="003B3476">
        <w:rPr>
          <w:rStyle w:val="Notedebasdepage65ptPetitesmajuscules"/>
          <w:b w:val="0"/>
          <w:sz w:val="24"/>
        </w:rPr>
        <w:t xml:space="preserve">Hubert </w:t>
      </w:r>
      <w:r w:rsidRPr="003B3476">
        <w:rPr>
          <w:lang w:val="fr-FR" w:eastAsia="fr-FR" w:bidi="fr-FR"/>
        </w:rPr>
        <w:t>pourront rendre des serv</w:t>
      </w:r>
      <w:r w:rsidRPr="003B3476">
        <w:rPr>
          <w:lang w:val="fr-FR" w:eastAsia="fr-FR" w:bidi="fr-FR"/>
        </w:rPr>
        <w:t>i</w:t>
      </w:r>
      <w:r w:rsidRPr="003B3476">
        <w:rPr>
          <w:lang w:val="fr-FR" w:eastAsia="fr-FR" w:bidi="fr-FR"/>
        </w:rPr>
        <w:t xml:space="preserve">ces à l’historien de l’Île-de-France. Sur le chanoine Hubert, voir </w:t>
      </w:r>
      <w:r w:rsidRPr="003B3476">
        <w:rPr>
          <w:bCs/>
          <w:i/>
        </w:rPr>
        <w:t>supra</w:t>
      </w:r>
      <w:r w:rsidRPr="003B3476">
        <w:rPr>
          <w:bCs/>
        </w:rPr>
        <w:t>,</w:t>
      </w:r>
      <w:r w:rsidRPr="003B3476">
        <w:rPr>
          <w:lang w:val="fr-FR" w:eastAsia="fr-FR" w:bidi="fr-FR"/>
        </w:rPr>
        <w:t xml:space="preserve"> p. 717, n. 1. Les </w:t>
      </w:r>
      <w:r w:rsidRPr="003B3476">
        <w:rPr>
          <w:bCs/>
          <w:i/>
        </w:rPr>
        <w:t xml:space="preserve">Généalogies </w:t>
      </w:r>
      <w:r w:rsidRPr="003B3476">
        <w:rPr>
          <w:lang w:val="fr-FR" w:eastAsia="fr-FR" w:bidi="fr-FR"/>
        </w:rPr>
        <w:t xml:space="preserve">forment huit volumes manuscrits conservés aujourd’hui à la Bibliothèque de la Ville d’Orléans sous les cotes 608 à 615. M. de </w:t>
      </w:r>
      <w:r w:rsidRPr="003B3476">
        <w:rPr>
          <w:rStyle w:val="Notedebasdepage65ptPetitesmajuscules"/>
          <w:b w:val="0"/>
          <w:sz w:val="24"/>
        </w:rPr>
        <w:t>Va</w:t>
      </w:r>
      <w:r w:rsidRPr="003B3476">
        <w:rPr>
          <w:rStyle w:val="Notedebasdepage65ptPetitesmajuscules"/>
          <w:b w:val="0"/>
          <w:sz w:val="24"/>
        </w:rPr>
        <w:t>s</w:t>
      </w:r>
      <w:r w:rsidRPr="003B3476">
        <w:rPr>
          <w:rStyle w:val="Notedebasdepage65ptPetitesmajuscules"/>
          <w:b w:val="0"/>
          <w:sz w:val="24"/>
        </w:rPr>
        <w:t xml:space="preserve">sal </w:t>
      </w:r>
      <w:r w:rsidRPr="003B3476">
        <w:rPr>
          <w:lang w:val="fr-FR" w:eastAsia="fr-FR" w:bidi="fr-FR"/>
        </w:rPr>
        <w:t xml:space="preserve">en a publié une table sous le titre de </w:t>
      </w:r>
      <w:r w:rsidRPr="003B3476">
        <w:rPr>
          <w:bCs/>
          <w:i/>
        </w:rPr>
        <w:t>Généalogies des principales familles de l'O</w:t>
      </w:r>
      <w:r w:rsidRPr="003B3476">
        <w:rPr>
          <w:bCs/>
          <w:i/>
        </w:rPr>
        <w:t>r</w:t>
      </w:r>
      <w:r w:rsidRPr="003B3476">
        <w:rPr>
          <w:bCs/>
          <w:i/>
        </w:rPr>
        <w:t>léanais. Table analytique des manuscrits d'Hubert</w:t>
      </w:r>
      <w:r w:rsidRPr="003B3476">
        <w:rPr>
          <w:bCs/>
        </w:rPr>
        <w:t>,</w:t>
      </w:r>
      <w:r w:rsidRPr="003B3476">
        <w:rPr>
          <w:lang w:val="fr-FR" w:eastAsia="fr-FR" w:bidi="fr-FR"/>
        </w:rPr>
        <w:t xml:space="preserve"> in-8°, Orléans, 1862, 452 p.</w:t>
      </w:r>
    </w:p>
  </w:footnote>
  <w:footnote w:id="441">
    <w:p w14:paraId="491084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littéraire de la Congrégation de Saint-Maur</w:t>
      </w:r>
      <w:r w:rsidRPr="003B3476">
        <w:rPr>
          <w:lang w:val="fr-FR" w:eastAsia="fr-FR" w:bidi="fr-FR"/>
        </w:rPr>
        <w:t>,</w:t>
      </w:r>
      <w:r w:rsidRPr="003B3476">
        <w:rPr>
          <w:bCs/>
        </w:rPr>
        <w:t xml:space="preserve"> in-4°, Paris, 1770, p. </w:t>
      </w:r>
      <w:r w:rsidRPr="003B3476">
        <w:rPr>
          <w:bCs/>
          <w:smallCaps/>
        </w:rPr>
        <w:t>xxj</w:t>
      </w:r>
      <w:r w:rsidRPr="003B3476">
        <w:rPr>
          <w:bCs/>
        </w:rPr>
        <w:t>.</w:t>
      </w:r>
    </w:p>
  </w:footnote>
  <w:footnote w:id="442">
    <w:p w14:paraId="19BA0B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i/>
          <w:lang w:val="fr-FR" w:eastAsia="fr-FR" w:bidi="fr-FR"/>
        </w:rPr>
        <w:t>Annales Ordinis Sancti Benedicti dd annum MCLVII</w:t>
      </w:r>
      <w:r w:rsidRPr="003B3476">
        <w:rPr>
          <w:lang w:val="fr-FR" w:eastAsia="fr-FR" w:bidi="fr-FR"/>
        </w:rPr>
        <w:t>,</w:t>
      </w:r>
      <w:r w:rsidRPr="003B3476">
        <w:rPr>
          <w:bCs/>
        </w:rPr>
        <w:t xml:space="preserve"> 6 vol. in-fol., Paris, 1703-1739.</w:t>
      </w:r>
    </w:p>
  </w:footnote>
  <w:footnote w:id="443">
    <w:p w14:paraId="115F191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volumes de la </w:t>
      </w:r>
      <w:r w:rsidRPr="003B3476">
        <w:rPr>
          <w:bCs/>
          <w:i/>
        </w:rPr>
        <w:t>Gallia</w:t>
      </w:r>
      <w:r w:rsidRPr="003B3476">
        <w:rPr>
          <w:lang w:val="fr-FR" w:eastAsia="fr-FR" w:bidi="fr-FR"/>
        </w:rPr>
        <w:t xml:space="preserve"> qui intéressent l’Île-de-France sont surtout le t. VII in-fol., Paris, 1744 (diocèse de Paris) et le t. VIII (évêchés suffragants de P</w:t>
      </w:r>
      <w:r w:rsidRPr="003B3476">
        <w:rPr>
          <w:lang w:val="fr-FR" w:eastAsia="fr-FR" w:bidi="fr-FR"/>
        </w:rPr>
        <w:t>a</w:t>
      </w:r>
      <w:r w:rsidRPr="003B3476">
        <w:rPr>
          <w:lang w:val="fr-FR" w:eastAsia="fr-FR" w:bidi="fr-FR"/>
        </w:rPr>
        <w:t xml:space="preserve">ris, même d.). Le t. VII était l’œuvre de dom Étienne </w:t>
      </w:r>
      <w:r w:rsidRPr="003B3476">
        <w:rPr>
          <w:rStyle w:val="Notedebasdepage65ptPetitesmajuscules"/>
          <w:b w:val="0"/>
          <w:sz w:val="24"/>
        </w:rPr>
        <w:t xml:space="preserve">Brice </w:t>
      </w:r>
      <w:r w:rsidRPr="003B3476">
        <w:rPr>
          <w:lang w:val="fr-FR" w:eastAsia="fr-FR" w:bidi="fr-FR"/>
        </w:rPr>
        <w:t xml:space="preserve">et dom Félix </w:t>
      </w:r>
      <w:r w:rsidRPr="003B3476">
        <w:rPr>
          <w:rStyle w:val="Notedebasdepage65ptPetitesmajuscules"/>
          <w:b w:val="0"/>
          <w:sz w:val="24"/>
        </w:rPr>
        <w:t>H</w:t>
      </w:r>
      <w:r w:rsidRPr="003B3476">
        <w:rPr>
          <w:rStyle w:val="Notedebasdepage65ptPetitesmajuscules"/>
          <w:b w:val="0"/>
          <w:sz w:val="24"/>
        </w:rPr>
        <w:t>o</w:t>
      </w:r>
      <w:r w:rsidRPr="003B3476">
        <w:rPr>
          <w:rStyle w:val="Notedebasdepage65ptPetitesmajuscules"/>
          <w:b w:val="0"/>
          <w:sz w:val="24"/>
        </w:rPr>
        <w:t>din :</w:t>
      </w:r>
      <w:r w:rsidRPr="003B3476">
        <w:rPr>
          <w:lang w:val="fr-FR" w:eastAsia="fr-FR" w:bidi="fr-FR"/>
        </w:rPr>
        <w:t xml:space="preserve"> le t. VIII des mêmes religieux et (pour les diocèses de Meaux et Cha</w:t>
      </w:r>
      <w:r w:rsidRPr="003B3476">
        <w:rPr>
          <w:lang w:val="fr-FR" w:eastAsia="fr-FR" w:bidi="fr-FR"/>
        </w:rPr>
        <w:t>r</w:t>
      </w:r>
      <w:r w:rsidRPr="003B3476">
        <w:rPr>
          <w:lang w:val="fr-FR" w:eastAsia="fr-FR" w:bidi="fr-FR"/>
        </w:rPr>
        <w:t xml:space="preserve">tres) de dom </w:t>
      </w:r>
      <w:r w:rsidRPr="003B3476">
        <w:rPr>
          <w:rStyle w:val="Notedebasdepage65ptPetitesmajuscules"/>
          <w:b w:val="0"/>
          <w:sz w:val="24"/>
        </w:rPr>
        <w:t xml:space="preserve">Toussaint-Duplessis. </w:t>
      </w:r>
      <w:r w:rsidRPr="003B3476">
        <w:rPr>
          <w:lang w:val="fr-FR" w:eastAsia="fr-FR" w:bidi="fr-FR"/>
        </w:rPr>
        <w:t>Le t. XI (province de Rouen) paru en 1759 et le t. XII (pr</w:t>
      </w:r>
      <w:r w:rsidRPr="003B3476">
        <w:rPr>
          <w:lang w:val="fr-FR" w:eastAsia="fr-FR" w:bidi="fr-FR"/>
        </w:rPr>
        <w:t>o</w:t>
      </w:r>
      <w:r w:rsidRPr="003B3476">
        <w:rPr>
          <w:lang w:val="fr-FR" w:eastAsia="fr-FR" w:bidi="fr-FR"/>
        </w:rPr>
        <w:t>vince de Sens) paru en 1770 concernent certaines parties de l’Île-de-France.</w:t>
      </w:r>
    </w:p>
  </w:footnote>
  <w:footnote w:id="444">
    <w:p w14:paraId="085212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sur cet ouvrage et ses différentes éditions A. </w:t>
      </w:r>
      <w:r w:rsidRPr="003B3476">
        <w:rPr>
          <w:smallCaps/>
          <w:lang w:val="fr-FR" w:eastAsia="fr-FR" w:bidi="fr-FR"/>
        </w:rPr>
        <w:t>Giry</w:t>
      </w:r>
      <w:r w:rsidRPr="003B3476">
        <w:rPr>
          <w:lang w:val="fr-FR" w:eastAsia="fr-FR" w:bidi="fr-FR"/>
        </w:rPr>
        <w:t xml:space="preserve">, </w:t>
      </w:r>
      <w:r w:rsidRPr="003B3476">
        <w:rPr>
          <w:bCs/>
          <w:i/>
        </w:rPr>
        <w:t>Manuel de Diplom</w:t>
      </w:r>
      <w:r w:rsidRPr="003B3476">
        <w:rPr>
          <w:bCs/>
          <w:i/>
        </w:rPr>
        <w:t>a</w:t>
      </w:r>
      <w:r w:rsidRPr="003B3476">
        <w:rPr>
          <w:bCs/>
          <w:i/>
        </w:rPr>
        <w:t>tique</w:t>
      </w:r>
      <w:r w:rsidRPr="003B3476">
        <w:rPr>
          <w:bCs/>
        </w:rPr>
        <w:t>,</w:t>
      </w:r>
      <w:r w:rsidRPr="003B3476">
        <w:rPr>
          <w:lang w:val="fr-FR" w:eastAsia="fr-FR" w:bidi="fr-FR"/>
        </w:rPr>
        <w:t xml:space="preserve"> p. 80.</w:t>
      </w:r>
    </w:p>
  </w:footnote>
  <w:footnote w:id="445">
    <w:p w14:paraId="4FA314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Les planches du </w:t>
      </w:r>
      <w:r w:rsidRPr="003B3476">
        <w:rPr>
          <w:bCs/>
          <w:i/>
        </w:rPr>
        <w:t>Monasticon Gallicanum</w:t>
      </w:r>
      <w:r w:rsidRPr="003B3476">
        <w:rPr>
          <w:lang w:val="fr-FR" w:eastAsia="fr-FR" w:bidi="fr-FR"/>
        </w:rPr>
        <w:t xml:space="preserve"> ont été éditées au </w:t>
      </w:r>
      <w:r w:rsidRPr="003B3476">
        <w:rPr>
          <w:bCs/>
          <w:caps/>
        </w:rPr>
        <w:t>xix</w:t>
      </w:r>
      <w:r w:rsidRPr="003B3476">
        <w:rPr>
          <w:bCs/>
          <w:vertAlign w:val="superscript"/>
        </w:rPr>
        <w:t>e</w:t>
      </w:r>
      <w:r w:rsidRPr="003B3476">
        <w:rPr>
          <w:bCs/>
        </w:rPr>
        <w:t xml:space="preserve"> </w:t>
      </w:r>
      <w:r w:rsidRPr="003B3476">
        <w:rPr>
          <w:lang w:val="fr-FR" w:eastAsia="fr-FR" w:bidi="fr-FR"/>
        </w:rPr>
        <w:t xml:space="preserve">siècle par </w:t>
      </w:r>
      <w:r w:rsidRPr="003B3476">
        <w:rPr>
          <w:rStyle w:val="Notedebasdepage65ptPetitesmajuscules"/>
          <w:b w:val="0"/>
          <w:sz w:val="24"/>
        </w:rPr>
        <w:t xml:space="preserve">M. Peigné Delacourt, </w:t>
      </w:r>
      <w:r w:rsidRPr="003B3476">
        <w:rPr>
          <w:lang w:val="fr-FR" w:eastAsia="fr-FR" w:bidi="fr-FR"/>
        </w:rPr>
        <w:t>2 vol. in-4°, Paris, 1871, l + 16 p. + 75 pl. et 94 pl. La Préface de cette édition, écrite par Léopold Delisle, contient une liste des not</w:t>
      </w:r>
      <w:r w:rsidRPr="003B3476">
        <w:rPr>
          <w:lang w:val="fr-FR" w:eastAsia="fr-FR" w:bidi="fr-FR"/>
        </w:rPr>
        <w:t>i</w:t>
      </w:r>
      <w:r w:rsidRPr="003B3476">
        <w:rPr>
          <w:lang w:val="fr-FR" w:eastAsia="fr-FR" w:bidi="fr-FR"/>
        </w:rPr>
        <w:t>ces historiques sur les monastères, rédigées par Dom Germain ou ses collab</w:t>
      </w:r>
      <w:r w:rsidRPr="003B3476">
        <w:rPr>
          <w:lang w:val="fr-FR" w:eastAsia="fr-FR" w:bidi="fr-FR"/>
        </w:rPr>
        <w:t>o</w:t>
      </w:r>
      <w:r w:rsidRPr="003B3476">
        <w:rPr>
          <w:lang w:val="fr-FR" w:eastAsia="fr-FR" w:bidi="fr-FR"/>
        </w:rPr>
        <w:t xml:space="preserve">rateurs. Voir aussi, L. </w:t>
      </w:r>
      <w:r w:rsidRPr="003B3476">
        <w:rPr>
          <w:rStyle w:val="Notedebasdepage65ptPetitesmajuscules"/>
          <w:b w:val="0"/>
          <w:sz w:val="24"/>
        </w:rPr>
        <w:t xml:space="preserve">Courajod, </w:t>
      </w:r>
      <w:r w:rsidRPr="003B3476">
        <w:rPr>
          <w:bCs/>
          <w:i/>
        </w:rPr>
        <w:t>Le Monasticon Gallicanum</w:t>
      </w:r>
      <w:r w:rsidRPr="003B3476">
        <w:rPr>
          <w:lang w:val="fr-FR" w:eastAsia="fr-FR" w:bidi="fr-FR"/>
        </w:rPr>
        <w:t>, in-fol., Paris, 1869, 28 p.</w:t>
      </w:r>
    </w:p>
  </w:footnote>
  <w:footnote w:id="446">
    <w:p w14:paraId="3E5149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i/>
          <w:lang w:val="fr-FR" w:eastAsia="fr-FR" w:bidi="fr-FR"/>
        </w:rPr>
        <w:t>Ouvrages posthumes de D. Jean Mabillon et de D. Thierri Ruinart</w:t>
      </w:r>
      <w:r w:rsidRPr="003B3476">
        <w:rPr>
          <w:bCs/>
        </w:rPr>
        <w:t>., t. II, in-4°, Paris, 1724, p. 91-95.</w:t>
      </w:r>
    </w:p>
  </w:footnote>
  <w:footnote w:id="447">
    <w:p w14:paraId="4F85DD1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t>P. vij.</w:t>
      </w:r>
    </w:p>
  </w:footnote>
  <w:footnote w:id="448">
    <w:p w14:paraId="5D7F1BC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dom </w:t>
      </w:r>
      <w:r w:rsidRPr="003B3476">
        <w:rPr>
          <w:rStyle w:val="Notedebasdepage65ptPetitesmajuscules"/>
          <w:b w:val="0"/>
          <w:sz w:val="24"/>
        </w:rPr>
        <w:t xml:space="preserve">Racine, </w:t>
      </w:r>
      <w:r w:rsidRPr="003B3476">
        <w:rPr>
          <w:lang w:val="fr-FR" w:eastAsia="fr-FR" w:bidi="fr-FR"/>
        </w:rPr>
        <w:t xml:space="preserve">Bibl. Mazarine, ms. 3380. La </w:t>
      </w:r>
      <w:r w:rsidRPr="003B3476">
        <w:rPr>
          <w:bCs/>
          <w:i/>
        </w:rPr>
        <w:t>France Monastique</w:t>
      </w:r>
      <w:r w:rsidRPr="003B3476">
        <w:rPr>
          <w:bCs/>
        </w:rPr>
        <w:t>,</w:t>
      </w:r>
      <w:r w:rsidRPr="003B3476">
        <w:rPr>
          <w:lang w:val="fr-FR" w:eastAsia="fr-FR" w:bidi="fr-FR"/>
        </w:rPr>
        <w:t xml:space="preserve"> de dom </w:t>
      </w:r>
      <w:r w:rsidRPr="003B3476">
        <w:rPr>
          <w:rStyle w:val="Notedebasdepage65ptPetitesmajuscules"/>
          <w:b w:val="0"/>
          <w:sz w:val="24"/>
        </w:rPr>
        <w:t xml:space="preserve">Beaunier, </w:t>
      </w:r>
      <w:r w:rsidRPr="003B3476">
        <w:rPr>
          <w:lang w:val="fr-FR" w:eastAsia="fr-FR" w:bidi="fr-FR"/>
        </w:rPr>
        <w:t xml:space="preserve">nouv. éd. t. I in-8°, Paris, 1905, indique (p. 70) un </w:t>
      </w:r>
      <w:r w:rsidRPr="003B3476">
        <w:rPr>
          <w:bCs/>
          <w:i/>
        </w:rPr>
        <w:t>Abrégé de l’histoire de l’abbaye royale de Chelles</w:t>
      </w:r>
      <w:r w:rsidRPr="003B3476">
        <w:rPr>
          <w:lang w:val="fr-FR" w:eastAsia="fr-FR" w:bidi="fr-FR"/>
        </w:rPr>
        <w:t xml:space="preserve"> par dom </w:t>
      </w:r>
      <w:r w:rsidRPr="003B3476">
        <w:rPr>
          <w:rStyle w:val="Notedebasdepage65ptPetitesmajuscules"/>
          <w:b w:val="0"/>
          <w:sz w:val="24"/>
        </w:rPr>
        <w:t xml:space="preserve">Porcheron, </w:t>
      </w:r>
      <w:r w:rsidRPr="003B3476">
        <w:rPr>
          <w:lang w:val="fr-FR" w:eastAsia="fr-FR" w:bidi="fr-FR"/>
        </w:rPr>
        <w:t>formant 3 vol. manuscrits conse</w:t>
      </w:r>
      <w:r w:rsidRPr="003B3476">
        <w:rPr>
          <w:lang w:val="fr-FR" w:eastAsia="fr-FR" w:bidi="fr-FR"/>
        </w:rPr>
        <w:t>r</w:t>
      </w:r>
      <w:r w:rsidRPr="003B3476">
        <w:rPr>
          <w:lang w:val="fr-FR" w:eastAsia="fr-FR" w:bidi="fr-FR"/>
        </w:rPr>
        <w:t xml:space="preserve">vés </w:t>
      </w:r>
      <w:r w:rsidRPr="003B3476">
        <w:rPr>
          <w:bCs/>
        </w:rPr>
        <w:t xml:space="preserve">à </w:t>
      </w:r>
      <w:r w:rsidRPr="003B3476">
        <w:rPr>
          <w:lang w:val="fr-FR" w:eastAsia="fr-FR" w:bidi="fr-FR"/>
        </w:rPr>
        <w:t>la Biblioth. du Séminaire de Meaux. Je n’ai pu, malgré quelques reche</w:t>
      </w:r>
      <w:r w:rsidRPr="003B3476">
        <w:rPr>
          <w:lang w:val="fr-FR" w:eastAsia="fr-FR" w:bidi="fr-FR"/>
        </w:rPr>
        <w:t>r</w:t>
      </w:r>
      <w:r w:rsidRPr="003B3476">
        <w:rPr>
          <w:lang w:val="fr-FR" w:eastAsia="fr-FR" w:bidi="fr-FR"/>
        </w:rPr>
        <w:t>ches, savoir où se trouve actuellement ce manuscrit.</w:t>
      </w:r>
    </w:p>
  </w:footnote>
  <w:footnote w:id="449">
    <w:p w14:paraId="705AC25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dom </w:t>
      </w:r>
      <w:r w:rsidRPr="003B3476">
        <w:rPr>
          <w:rStyle w:val="Notedebasdepage65ptPetitesmajuscules"/>
          <w:b w:val="0"/>
          <w:sz w:val="24"/>
        </w:rPr>
        <w:t xml:space="preserve">Estiennot, </w:t>
      </w:r>
      <w:r w:rsidRPr="003B3476">
        <w:rPr>
          <w:lang w:val="fr-FR" w:eastAsia="fr-FR" w:bidi="fr-FR"/>
        </w:rPr>
        <w:t xml:space="preserve">en 1671, Bibl. de la ville de Pontoise, mss. 22 et 25. Sur dom Estiennot et son œuvre historique, consulter J. </w:t>
      </w:r>
      <w:r w:rsidRPr="003B3476">
        <w:rPr>
          <w:rStyle w:val="Notedebasdepage65ptPetitesmajuscules"/>
          <w:b w:val="0"/>
          <w:sz w:val="24"/>
        </w:rPr>
        <w:t xml:space="preserve">Depoin, </w:t>
      </w:r>
      <w:r w:rsidRPr="003B3476">
        <w:rPr>
          <w:bCs/>
          <w:i/>
        </w:rPr>
        <w:t>Un historien du Vexin : Dom Claude Estiennot</w:t>
      </w:r>
      <w:r w:rsidRPr="003B3476">
        <w:rPr>
          <w:i/>
          <w:lang w:val="fr-FR" w:eastAsia="fr-FR" w:bidi="fr-FR"/>
        </w:rPr>
        <w:t xml:space="preserve">, </w:t>
      </w:r>
      <w:r w:rsidRPr="003B3476">
        <w:rPr>
          <w:bCs/>
          <w:i/>
        </w:rPr>
        <w:t>Mém. Soc. histor. Pontoise</w:t>
      </w:r>
      <w:r w:rsidRPr="003B3476">
        <w:rPr>
          <w:lang w:val="fr-FR" w:eastAsia="fr-FR" w:bidi="fr-FR"/>
        </w:rPr>
        <w:t xml:space="preserve">, t. XXVIII (1907), p. 183-190, et A. </w:t>
      </w:r>
      <w:r w:rsidRPr="003B3476">
        <w:rPr>
          <w:rStyle w:val="Notedebasdepage65ptPetitesmajuscules"/>
          <w:b w:val="0"/>
          <w:sz w:val="24"/>
        </w:rPr>
        <w:t xml:space="preserve">Vidire, </w:t>
      </w:r>
      <w:r w:rsidRPr="003B3476">
        <w:rPr>
          <w:bCs/>
          <w:i/>
        </w:rPr>
        <w:t>Un ami de Mabillon</w:t>
      </w:r>
      <w:r w:rsidRPr="003B3476">
        <w:rPr>
          <w:i/>
          <w:lang w:val="fr-FR" w:eastAsia="fr-FR" w:bidi="fr-FR"/>
        </w:rPr>
        <w:t xml:space="preserve">, </w:t>
      </w:r>
      <w:r w:rsidRPr="003B3476">
        <w:rPr>
          <w:bCs/>
          <w:i/>
        </w:rPr>
        <w:t>dom Claude Estiennot</w:t>
      </w:r>
      <w:r w:rsidRPr="003B3476">
        <w:rPr>
          <w:i/>
          <w:lang w:val="fr-FR" w:eastAsia="fr-FR" w:bidi="fr-FR"/>
        </w:rPr>
        <w:t xml:space="preserve">, </w:t>
      </w:r>
      <w:r w:rsidRPr="003B3476">
        <w:rPr>
          <w:bCs/>
          <w:i/>
        </w:rPr>
        <w:t>Méla</w:t>
      </w:r>
      <w:r w:rsidRPr="003B3476">
        <w:rPr>
          <w:bCs/>
          <w:i/>
        </w:rPr>
        <w:t>n</w:t>
      </w:r>
      <w:r w:rsidRPr="003B3476">
        <w:rPr>
          <w:bCs/>
          <w:i/>
        </w:rPr>
        <w:t>ges et D</w:t>
      </w:r>
      <w:r w:rsidRPr="003B3476">
        <w:rPr>
          <w:bCs/>
          <w:i/>
        </w:rPr>
        <w:t>o</w:t>
      </w:r>
      <w:r w:rsidRPr="003B3476">
        <w:rPr>
          <w:bCs/>
          <w:i/>
        </w:rPr>
        <w:t>cum. publiés à l’occasion du 2</w:t>
      </w:r>
      <w:r w:rsidRPr="003B3476">
        <w:rPr>
          <w:bCs/>
          <w:i/>
          <w:vertAlign w:val="superscript"/>
        </w:rPr>
        <w:t>e</w:t>
      </w:r>
      <w:r w:rsidRPr="003B3476">
        <w:rPr>
          <w:bCs/>
          <w:i/>
        </w:rPr>
        <w:t xml:space="preserve"> Centenaire de la mort de Mabillon</w:t>
      </w:r>
      <w:r w:rsidRPr="003B3476">
        <w:rPr>
          <w:bCs/>
        </w:rPr>
        <w:t>,</w:t>
      </w:r>
      <w:r w:rsidRPr="003B3476">
        <w:rPr>
          <w:lang w:val="fr-FR" w:eastAsia="fr-FR" w:bidi="fr-FR"/>
        </w:rPr>
        <w:t xml:space="preserve"> in-8°, L</w:t>
      </w:r>
      <w:r w:rsidRPr="003B3476">
        <w:rPr>
          <w:lang w:val="fr-FR" w:eastAsia="fr-FR" w:bidi="fr-FR"/>
        </w:rPr>
        <w:t>i</w:t>
      </w:r>
      <w:r w:rsidRPr="003B3476">
        <w:rPr>
          <w:lang w:val="fr-FR" w:eastAsia="fr-FR" w:bidi="fr-FR"/>
        </w:rPr>
        <w:t>gugé et Paris, 1908, p. 281-312.</w:t>
      </w:r>
    </w:p>
  </w:footnote>
  <w:footnote w:id="450">
    <w:p w14:paraId="64DE84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dom </w:t>
      </w:r>
      <w:r w:rsidRPr="003B3476">
        <w:rPr>
          <w:rStyle w:val="Notedebasdepage65ptPetitesmajuscules"/>
          <w:b w:val="0"/>
          <w:sz w:val="24"/>
        </w:rPr>
        <w:t xml:space="preserve">Estiennot, </w:t>
      </w:r>
      <w:r w:rsidRPr="003B3476">
        <w:rPr>
          <w:lang w:val="fr-FR" w:eastAsia="fr-FR" w:bidi="fr-FR"/>
        </w:rPr>
        <w:t xml:space="preserve">Bibl. de la ville de Pontoise, mss. </w:t>
      </w:r>
      <w:r w:rsidRPr="003B3476">
        <w:rPr>
          <w:bCs/>
        </w:rPr>
        <w:t xml:space="preserve">16,17 </w:t>
      </w:r>
      <w:r w:rsidRPr="003B3476">
        <w:rPr>
          <w:lang w:val="fr-FR" w:eastAsia="fr-FR" w:bidi="fr-FR"/>
        </w:rPr>
        <w:t xml:space="preserve">et </w:t>
      </w:r>
      <w:r w:rsidRPr="003B3476">
        <w:rPr>
          <w:bCs/>
        </w:rPr>
        <w:t xml:space="preserve">18, </w:t>
      </w:r>
      <w:r w:rsidRPr="003B3476">
        <w:rPr>
          <w:lang w:val="fr-FR" w:eastAsia="fr-FR" w:bidi="fr-FR"/>
        </w:rPr>
        <w:t xml:space="preserve">et par dom </w:t>
      </w:r>
      <w:r w:rsidRPr="003B3476">
        <w:rPr>
          <w:rStyle w:val="Notedebasdepage65ptPetitesmajuscules"/>
          <w:b w:val="0"/>
          <w:sz w:val="24"/>
        </w:rPr>
        <w:t xml:space="preserve">Racine, </w:t>
      </w:r>
      <w:r w:rsidRPr="003B3476">
        <w:rPr>
          <w:lang w:val="fr-FR" w:eastAsia="fr-FR" w:bidi="fr-FR"/>
        </w:rPr>
        <w:t xml:space="preserve">Bibl. Mazarine, ms. </w:t>
      </w:r>
      <w:r w:rsidRPr="003B3476">
        <w:rPr>
          <w:bCs/>
        </w:rPr>
        <w:t>3368.</w:t>
      </w:r>
    </w:p>
  </w:footnote>
  <w:footnote w:id="451">
    <w:p w14:paraId="4784AD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dom Victor </w:t>
      </w:r>
      <w:r w:rsidRPr="003B3476">
        <w:rPr>
          <w:rStyle w:val="Notedebasdepage65ptPetitesmajuscules"/>
          <w:b w:val="0"/>
          <w:sz w:val="24"/>
        </w:rPr>
        <w:t xml:space="preserve">Cotron. </w:t>
      </w:r>
      <w:r w:rsidRPr="003B3476">
        <w:rPr>
          <w:lang w:val="fr-FR" w:eastAsia="fr-FR" w:bidi="fr-FR"/>
        </w:rPr>
        <w:t>Archives de Seine-et-Oise ; série H.</w:t>
      </w:r>
    </w:p>
  </w:footnote>
  <w:footnote w:id="452">
    <w:p w14:paraId="47F438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L’histoire de Bonneval a été écrite par dom </w:t>
      </w:r>
      <w:r w:rsidRPr="003B3476">
        <w:rPr>
          <w:rStyle w:val="Notedebasdepage65ptPetitesmajuscules"/>
          <w:b w:val="0"/>
          <w:sz w:val="24"/>
        </w:rPr>
        <w:t xml:space="preserve">Thiroux, </w:t>
      </w:r>
      <w:r w:rsidRPr="003B3476">
        <w:rPr>
          <w:lang w:val="fr-FR" w:eastAsia="fr-FR" w:bidi="fr-FR"/>
        </w:rPr>
        <w:t xml:space="preserve">d’abord, puis continuée par dom </w:t>
      </w:r>
      <w:r w:rsidRPr="003B3476">
        <w:rPr>
          <w:rStyle w:val="Notedebasdepage65ptPetitesmajuscules"/>
          <w:b w:val="0"/>
          <w:sz w:val="24"/>
        </w:rPr>
        <w:t xml:space="preserve">Lambert. </w:t>
      </w:r>
      <w:r w:rsidRPr="003B3476">
        <w:rPr>
          <w:lang w:val="fr-FR" w:eastAsia="fr-FR" w:bidi="fr-FR"/>
        </w:rPr>
        <w:t xml:space="preserve">L’ouvrage des deux bénédictins a été imprimé au </w:t>
      </w:r>
      <w:r w:rsidRPr="003B3476">
        <w:rPr>
          <w:caps/>
          <w:lang w:val="fr-FR" w:eastAsia="fr-FR" w:bidi="fr-FR"/>
        </w:rPr>
        <w:t>xix</w:t>
      </w:r>
      <w:r w:rsidRPr="003B3476">
        <w:rPr>
          <w:vertAlign w:val="superscript"/>
          <w:lang w:val="fr-FR" w:eastAsia="fr-FR" w:bidi="fr-FR"/>
        </w:rPr>
        <w:t>e</w:t>
      </w:r>
      <w:r w:rsidRPr="003B3476">
        <w:rPr>
          <w:lang w:val="fr-FR" w:eastAsia="fr-FR" w:bidi="fr-FR"/>
        </w:rPr>
        <w:t xml:space="preserve"> siècle, avec des additions tirées d’autres mémoires manuscrits sur l’abbaye : </w:t>
      </w:r>
      <w:r w:rsidRPr="003B3476">
        <w:rPr>
          <w:bCs/>
          <w:i/>
        </w:rPr>
        <w:t>Histoire abrégée de Saint-Florentin de Bonneval des RR. PP. Dom Jean Th</w:t>
      </w:r>
      <w:r w:rsidRPr="003B3476">
        <w:rPr>
          <w:bCs/>
          <w:i/>
        </w:rPr>
        <w:t>i</w:t>
      </w:r>
      <w:r w:rsidRPr="003B3476">
        <w:rPr>
          <w:bCs/>
          <w:i/>
        </w:rPr>
        <w:t>roux et Dom Lambert</w:t>
      </w:r>
      <w:r w:rsidRPr="003B3476">
        <w:rPr>
          <w:i/>
          <w:lang w:val="fr-FR" w:eastAsia="fr-FR" w:bidi="fr-FR"/>
        </w:rPr>
        <w:t xml:space="preserve">, </w:t>
      </w:r>
      <w:r w:rsidRPr="003B3476">
        <w:rPr>
          <w:bCs/>
          <w:i/>
        </w:rPr>
        <w:t>continuée par l’abbé Beaupère et M. Lejeune</w:t>
      </w:r>
      <w:r w:rsidRPr="003B3476">
        <w:rPr>
          <w:i/>
          <w:lang w:val="fr-FR" w:eastAsia="fr-FR" w:bidi="fr-FR"/>
        </w:rPr>
        <w:t xml:space="preserve">, </w:t>
      </w:r>
      <w:r w:rsidRPr="003B3476">
        <w:rPr>
          <w:bCs/>
          <w:i/>
        </w:rPr>
        <w:t>publiée sous les auspices de la Société Dunoise</w:t>
      </w:r>
      <w:r w:rsidRPr="003B3476">
        <w:rPr>
          <w:bCs/>
        </w:rPr>
        <w:t>,</w:t>
      </w:r>
      <w:r w:rsidRPr="003B3476">
        <w:rPr>
          <w:lang w:val="fr-FR" w:eastAsia="fr-FR" w:bidi="fr-FR"/>
        </w:rPr>
        <w:t xml:space="preserve"> par le </w:t>
      </w:r>
      <w:r w:rsidRPr="003B3476">
        <w:rPr>
          <w:bCs/>
        </w:rPr>
        <w:t>D</w:t>
      </w:r>
      <w:r w:rsidRPr="003B3476">
        <w:rPr>
          <w:bCs/>
          <w:vertAlign w:val="superscript"/>
        </w:rPr>
        <w:t>r</w:t>
      </w:r>
      <w:r w:rsidRPr="003B3476">
        <w:rPr>
          <w:bCs/>
        </w:rPr>
        <w:t xml:space="preserve"> </w:t>
      </w:r>
      <w:r w:rsidRPr="003B3476">
        <w:rPr>
          <w:lang w:val="fr-FR" w:eastAsia="fr-FR" w:bidi="fr-FR"/>
        </w:rPr>
        <w:t xml:space="preserve">V. </w:t>
      </w:r>
      <w:r w:rsidRPr="003B3476">
        <w:rPr>
          <w:rStyle w:val="Notedebasdepage65ptPetitesmajuscules"/>
          <w:b w:val="0"/>
          <w:sz w:val="24"/>
        </w:rPr>
        <w:t xml:space="preserve">Bigot, </w:t>
      </w:r>
      <w:r w:rsidRPr="003B3476">
        <w:rPr>
          <w:lang w:val="fr-FR" w:eastAsia="fr-FR" w:bidi="fr-FR"/>
        </w:rPr>
        <w:t>in-8°, Châtea</w:t>
      </w:r>
      <w:r w:rsidRPr="003B3476">
        <w:rPr>
          <w:lang w:val="fr-FR" w:eastAsia="fr-FR" w:bidi="fr-FR"/>
        </w:rPr>
        <w:t>u</w:t>
      </w:r>
      <w:r w:rsidRPr="003B3476">
        <w:rPr>
          <w:lang w:val="fr-FR" w:eastAsia="fr-FR" w:bidi="fr-FR"/>
        </w:rPr>
        <w:t xml:space="preserve">dun, 1875, </w:t>
      </w:r>
      <w:r w:rsidRPr="003B3476">
        <w:rPr>
          <w:rStyle w:val="Notedebasdepage65ptPetitesmajuscules"/>
          <w:b w:val="0"/>
          <w:sz w:val="24"/>
        </w:rPr>
        <w:t xml:space="preserve">clxviii </w:t>
      </w:r>
      <w:r w:rsidRPr="003B3476">
        <w:rPr>
          <w:lang w:val="fr-FR" w:eastAsia="fr-FR" w:bidi="fr-FR"/>
        </w:rPr>
        <w:t xml:space="preserve">+ 258 p. Aux histoires de monastères composées par des bénédictins, qui ont été citées dans le texte, ajouter les ouvrages suivants, que je classe par monastère : </w:t>
      </w:r>
      <w:r w:rsidRPr="003B3476">
        <w:rPr>
          <w:bCs/>
          <w:i/>
        </w:rPr>
        <w:t>Bonneval,</w:t>
      </w:r>
      <w:r w:rsidRPr="003B3476">
        <w:rPr>
          <w:lang w:val="fr-FR" w:eastAsia="fr-FR" w:bidi="fr-FR"/>
        </w:rPr>
        <w:t xml:space="preserve"> par dom Jean </w:t>
      </w:r>
      <w:r w:rsidRPr="003B3476">
        <w:rPr>
          <w:rStyle w:val="Notedebasdepage65ptPetitesmajuscules"/>
          <w:b w:val="0"/>
          <w:sz w:val="24"/>
        </w:rPr>
        <w:t xml:space="preserve">Élie, </w:t>
      </w:r>
      <w:r w:rsidRPr="003B3476">
        <w:rPr>
          <w:lang w:val="fr-FR" w:eastAsia="fr-FR" w:bidi="fr-FR"/>
        </w:rPr>
        <w:t>copie Bibl. de Cha</w:t>
      </w:r>
      <w:r w:rsidRPr="003B3476">
        <w:rPr>
          <w:lang w:val="fr-FR" w:eastAsia="fr-FR" w:bidi="fr-FR"/>
        </w:rPr>
        <w:t>r</w:t>
      </w:r>
      <w:r w:rsidRPr="003B3476">
        <w:rPr>
          <w:lang w:val="fr-FR" w:eastAsia="fr-FR" w:bidi="fr-FR"/>
        </w:rPr>
        <w:t xml:space="preserve">tres, ms. 1112 ; </w:t>
      </w:r>
      <w:r w:rsidRPr="003B3476">
        <w:rPr>
          <w:bCs/>
          <w:i/>
        </w:rPr>
        <w:t>Saint-Père de Chartres</w:t>
      </w:r>
      <w:r w:rsidRPr="003B3476">
        <w:rPr>
          <w:lang w:val="fr-FR" w:eastAsia="fr-FR" w:bidi="fr-FR"/>
        </w:rPr>
        <w:t xml:space="preserve">, par dom F.-Ch. </w:t>
      </w:r>
      <w:r w:rsidRPr="003B3476">
        <w:rPr>
          <w:rStyle w:val="Notedebasdepage65ptPetitesmajuscules"/>
          <w:b w:val="0"/>
          <w:sz w:val="24"/>
        </w:rPr>
        <w:t xml:space="preserve">Dujardin, </w:t>
      </w:r>
      <w:r w:rsidRPr="003B3476">
        <w:rPr>
          <w:bCs/>
          <w:i/>
        </w:rPr>
        <w:t>ibid.</w:t>
      </w:r>
      <w:r w:rsidRPr="003B3476">
        <w:rPr>
          <w:lang w:val="fr-FR" w:eastAsia="fr-FR" w:bidi="fr-FR"/>
        </w:rPr>
        <w:t xml:space="preserve">, ms. 1515 et copie </w:t>
      </w:r>
      <w:r w:rsidRPr="003B3476">
        <w:rPr>
          <w:bCs/>
        </w:rPr>
        <w:t xml:space="preserve">à </w:t>
      </w:r>
      <w:r w:rsidRPr="003B3476">
        <w:rPr>
          <w:lang w:val="fr-FR" w:eastAsia="fr-FR" w:bidi="fr-FR"/>
        </w:rPr>
        <w:t xml:space="preserve">la Bibl. Nat., ms. franç. 22474 ; </w:t>
      </w:r>
      <w:r w:rsidRPr="003B3476">
        <w:rPr>
          <w:bCs/>
          <w:i/>
        </w:rPr>
        <w:t>Josaphat-les-Chartres</w:t>
      </w:r>
      <w:r w:rsidRPr="003B3476">
        <w:rPr>
          <w:lang w:val="fr-FR" w:eastAsia="fr-FR" w:bidi="fr-FR"/>
        </w:rPr>
        <w:t xml:space="preserve">, par dom Fabien </w:t>
      </w:r>
      <w:r w:rsidRPr="003B3476">
        <w:rPr>
          <w:rStyle w:val="Notedebasdepage65ptPetitesmajuscules"/>
          <w:b w:val="0"/>
          <w:sz w:val="24"/>
        </w:rPr>
        <w:t xml:space="preserve">Buttreux, </w:t>
      </w:r>
      <w:r w:rsidRPr="003B3476">
        <w:rPr>
          <w:lang w:val="fr-FR" w:eastAsia="fr-FR" w:bidi="fr-FR"/>
        </w:rPr>
        <w:t xml:space="preserve">Bibl. de Chartres, ms. 1163 </w:t>
      </w:r>
      <w:r w:rsidRPr="003B3476">
        <w:rPr>
          <w:bCs/>
          <w:i/>
        </w:rPr>
        <w:t>Saint-Pierre-de-Lagny</w:t>
      </w:r>
      <w:r w:rsidRPr="003B3476">
        <w:rPr>
          <w:bCs/>
        </w:rPr>
        <w:t>,</w:t>
      </w:r>
      <w:r w:rsidRPr="003B3476">
        <w:rPr>
          <w:lang w:val="fr-FR" w:eastAsia="fr-FR" w:bidi="fr-FR"/>
        </w:rPr>
        <w:t xml:space="preserve"> par dom J.-Ch. de </w:t>
      </w:r>
      <w:r w:rsidRPr="003B3476">
        <w:rPr>
          <w:rStyle w:val="Notedebasdepage65ptPetitesmajuscules"/>
          <w:b w:val="0"/>
          <w:sz w:val="24"/>
        </w:rPr>
        <w:t xml:space="preserve">Changy, </w:t>
      </w:r>
      <w:r w:rsidRPr="003B3476">
        <w:rPr>
          <w:lang w:val="fr-FR" w:eastAsia="fr-FR" w:bidi="fr-FR"/>
        </w:rPr>
        <w:t>deux c</w:t>
      </w:r>
      <w:r w:rsidRPr="003B3476">
        <w:rPr>
          <w:lang w:val="fr-FR" w:eastAsia="fr-FR" w:bidi="fr-FR"/>
        </w:rPr>
        <w:t>o</w:t>
      </w:r>
      <w:r w:rsidRPr="003B3476">
        <w:rPr>
          <w:lang w:val="fr-FR" w:eastAsia="fr-FR" w:bidi="fr-FR"/>
        </w:rPr>
        <w:t xml:space="preserve">pies Bibl. de Lagny, ms. 1 et 3 ; </w:t>
      </w:r>
      <w:r w:rsidRPr="003B3476">
        <w:rPr>
          <w:bCs/>
          <w:i/>
        </w:rPr>
        <w:t>Saint-Maur-des-Fossés</w:t>
      </w:r>
      <w:r w:rsidRPr="003B3476">
        <w:rPr>
          <w:lang w:val="fr-FR" w:eastAsia="fr-FR" w:bidi="fr-FR"/>
        </w:rPr>
        <w:t>, Bibl. Nat., mss. franç., 18924 et 18925, ce dernier ouvrage, d’ailleurs fort médiocre, est an</w:t>
      </w:r>
      <w:r w:rsidRPr="003B3476">
        <w:rPr>
          <w:lang w:val="fr-FR" w:eastAsia="fr-FR" w:bidi="fr-FR"/>
        </w:rPr>
        <w:t>o</w:t>
      </w:r>
      <w:r w:rsidRPr="003B3476">
        <w:rPr>
          <w:lang w:val="fr-FR" w:eastAsia="fr-FR" w:bidi="fr-FR"/>
        </w:rPr>
        <w:t xml:space="preserve">nyme ; il doit vraisemblablement être attribué </w:t>
      </w:r>
      <w:r w:rsidRPr="003B3476">
        <w:rPr>
          <w:bCs/>
        </w:rPr>
        <w:t xml:space="preserve">à </w:t>
      </w:r>
      <w:r w:rsidRPr="003B3476">
        <w:rPr>
          <w:lang w:val="fr-FR" w:eastAsia="fr-FR" w:bidi="fr-FR"/>
        </w:rPr>
        <w:t xml:space="preserve">dom André-Joseph </w:t>
      </w:r>
      <w:r w:rsidRPr="003B3476">
        <w:rPr>
          <w:rStyle w:val="Notedebasdepage65ptPetitesmajuscules"/>
          <w:b w:val="0"/>
          <w:sz w:val="24"/>
        </w:rPr>
        <w:t>Ansart (</w:t>
      </w:r>
      <w:r w:rsidRPr="003B3476">
        <w:rPr>
          <w:rStyle w:val="Notedebasdepage65ptPetitesmajuscules"/>
          <w:b w:val="0"/>
          <w:i/>
          <w:smallCaps w:val="0"/>
          <w:sz w:val="24"/>
        </w:rPr>
        <w:t>Cf.</w:t>
      </w:r>
      <w:r w:rsidRPr="003B3476">
        <w:rPr>
          <w:rStyle w:val="Notedebasdepage65ptPetitesmajuscules"/>
          <w:b w:val="0"/>
          <w:sz w:val="24"/>
        </w:rPr>
        <w:t xml:space="preserve"> </w:t>
      </w:r>
      <w:r w:rsidRPr="003B3476">
        <w:rPr>
          <w:bCs/>
          <w:i/>
        </w:rPr>
        <w:t>Bibl. Nat. Catal. Gén. des mss. franç. Ane. Saint-Germain franç</w:t>
      </w:r>
      <w:r w:rsidRPr="003B3476">
        <w:rPr>
          <w:bCs/>
        </w:rPr>
        <w:t>.</w:t>
      </w:r>
      <w:r w:rsidRPr="003B3476">
        <w:rPr>
          <w:lang w:val="fr-FR" w:eastAsia="fr-FR" w:bidi="fr-FR"/>
        </w:rPr>
        <w:t xml:space="preserve">, t. III, p. 124 et </w:t>
      </w:r>
      <w:r w:rsidRPr="003B3476">
        <w:rPr>
          <w:bCs/>
          <w:i/>
        </w:rPr>
        <w:t>Nouveau supplément à l’hist. littér. de la Congrég. de Saint-Maur. Notes de Henry Wilhelm</w:t>
      </w:r>
      <w:r w:rsidRPr="003B3476">
        <w:rPr>
          <w:i/>
          <w:lang w:val="fr-FR" w:eastAsia="fr-FR" w:bidi="fr-FR"/>
        </w:rPr>
        <w:t xml:space="preserve">, </w:t>
      </w:r>
      <w:r w:rsidRPr="003B3476">
        <w:rPr>
          <w:bCs/>
          <w:i/>
        </w:rPr>
        <w:t>publiées et complétées par dom Ursmer Berlière</w:t>
      </w:r>
      <w:r w:rsidRPr="003B3476">
        <w:rPr>
          <w:bCs/>
        </w:rPr>
        <w:t>,</w:t>
      </w:r>
      <w:r w:rsidRPr="003B3476">
        <w:rPr>
          <w:lang w:val="fr-FR" w:eastAsia="fr-FR" w:bidi="fr-FR"/>
        </w:rPr>
        <w:t xml:space="preserve"> t. I, in-8°, Paris, 1908, p. 14-16) ; il comprend une vie de Saint-Maur et une histoire de l’abbaye ; il était destiné </w:t>
      </w:r>
      <w:r w:rsidRPr="003B3476">
        <w:rPr>
          <w:bCs/>
        </w:rPr>
        <w:t xml:space="preserve">à </w:t>
      </w:r>
      <w:r w:rsidRPr="003B3476">
        <w:rPr>
          <w:lang w:val="fr-FR" w:eastAsia="fr-FR" w:bidi="fr-FR"/>
        </w:rPr>
        <w:t xml:space="preserve">l’impression </w:t>
      </w:r>
      <w:r w:rsidRPr="003B3476">
        <w:rPr>
          <w:bCs/>
        </w:rPr>
        <w:t xml:space="preserve">(cf. </w:t>
      </w:r>
      <w:r w:rsidRPr="003B3476">
        <w:rPr>
          <w:lang w:val="fr-FR" w:eastAsia="fr-FR" w:bidi="fr-FR"/>
        </w:rPr>
        <w:t xml:space="preserve">ms. fr. 18924, fol. 3 r°-5 v° et dom </w:t>
      </w:r>
      <w:r w:rsidRPr="003B3476">
        <w:rPr>
          <w:rStyle w:val="Notedebasdepage65ptPetitesmajuscules"/>
          <w:b w:val="0"/>
          <w:sz w:val="24"/>
        </w:rPr>
        <w:t xml:space="preserve">Tassin, </w:t>
      </w:r>
      <w:r w:rsidRPr="003B3476">
        <w:rPr>
          <w:lang w:val="fr-FR" w:eastAsia="fr-FR" w:bidi="fr-FR"/>
        </w:rPr>
        <w:t xml:space="preserve">p. 752, n. 1) ; </w:t>
      </w:r>
      <w:r w:rsidRPr="003B3476">
        <w:rPr>
          <w:rStyle w:val="Notedebasdepage65ptPetitesmajuscules"/>
          <w:b w:val="0"/>
          <w:sz w:val="24"/>
        </w:rPr>
        <w:t xml:space="preserve">Quérard, </w:t>
      </w:r>
      <w:r w:rsidRPr="003B3476">
        <w:rPr>
          <w:bCs/>
          <w:i/>
        </w:rPr>
        <w:t>La Fra</w:t>
      </w:r>
      <w:r w:rsidRPr="003B3476">
        <w:rPr>
          <w:bCs/>
          <w:i/>
        </w:rPr>
        <w:t>n</w:t>
      </w:r>
      <w:r w:rsidRPr="003B3476">
        <w:rPr>
          <w:bCs/>
          <w:i/>
        </w:rPr>
        <w:t>ce littéraire</w:t>
      </w:r>
      <w:r w:rsidRPr="003B3476">
        <w:rPr>
          <w:lang w:val="fr-FR" w:eastAsia="fr-FR" w:bidi="fr-FR"/>
        </w:rPr>
        <w:t xml:space="preserve">, t. I, p. 68, </w:t>
      </w:r>
      <w:r w:rsidRPr="003B3476">
        <w:rPr>
          <w:bCs/>
        </w:rPr>
        <w:t xml:space="preserve">à </w:t>
      </w:r>
      <w:r w:rsidRPr="003B3476">
        <w:rPr>
          <w:lang w:val="fr-FR" w:eastAsia="fr-FR" w:bidi="fr-FR"/>
        </w:rPr>
        <w:t>l’article dom Ansart, indique comme publiée une « </w:t>
      </w:r>
      <w:r w:rsidRPr="003B3476">
        <w:rPr>
          <w:bCs/>
          <w:i/>
        </w:rPr>
        <w:t>Histoire de Saint-Maur</w:t>
      </w:r>
      <w:r w:rsidRPr="003B3476">
        <w:rPr>
          <w:i/>
          <w:lang w:val="fr-FR" w:eastAsia="fr-FR" w:bidi="fr-FR"/>
        </w:rPr>
        <w:t xml:space="preserve">, </w:t>
      </w:r>
      <w:r w:rsidRPr="003B3476">
        <w:rPr>
          <w:bCs/>
          <w:i/>
        </w:rPr>
        <w:t>abbé de Glanfeuil</w:t>
      </w:r>
      <w:r w:rsidRPr="003B3476">
        <w:rPr>
          <w:i/>
          <w:lang w:val="fr-FR" w:eastAsia="fr-FR" w:bidi="fr-FR"/>
        </w:rPr>
        <w:t> </w:t>
      </w:r>
      <w:r w:rsidRPr="003B3476">
        <w:rPr>
          <w:lang w:val="fr-FR" w:eastAsia="fr-FR" w:bidi="fr-FR"/>
        </w:rPr>
        <w:t>», que ne possède point le dépa</w:t>
      </w:r>
      <w:r w:rsidRPr="003B3476">
        <w:rPr>
          <w:lang w:val="fr-FR" w:eastAsia="fr-FR" w:bidi="fr-FR"/>
        </w:rPr>
        <w:t>r</w:t>
      </w:r>
      <w:r w:rsidRPr="003B3476">
        <w:rPr>
          <w:lang w:val="fr-FR" w:eastAsia="fr-FR" w:bidi="fr-FR"/>
        </w:rPr>
        <w:t>tement des imprimés de la Bibl. Nat. En ce qui concerne l’histoire de Saint-Martin de Pontoise de dom Estiennot, il importe d’observer que les documents que dom Estiennot a transcrits et anal</w:t>
      </w:r>
      <w:r w:rsidRPr="003B3476">
        <w:rPr>
          <w:lang w:val="fr-FR" w:eastAsia="fr-FR" w:bidi="fr-FR"/>
        </w:rPr>
        <w:t>y</w:t>
      </w:r>
      <w:r w:rsidRPr="003B3476">
        <w:rPr>
          <w:lang w:val="fr-FR" w:eastAsia="fr-FR" w:bidi="fr-FR"/>
        </w:rPr>
        <w:t xml:space="preserve">sés sont reproduits par M. </w:t>
      </w:r>
      <w:r w:rsidRPr="003B3476">
        <w:rPr>
          <w:rStyle w:val="Notedebasdepage65ptPetitesmajuscules"/>
          <w:b w:val="0"/>
          <w:sz w:val="24"/>
        </w:rPr>
        <w:t xml:space="preserve">Depoin </w:t>
      </w:r>
      <w:r w:rsidRPr="003B3476">
        <w:rPr>
          <w:lang w:val="fr-FR" w:eastAsia="fr-FR" w:bidi="fr-FR"/>
        </w:rPr>
        <w:t xml:space="preserve">dans son </w:t>
      </w:r>
      <w:r w:rsidRPr="003B3476">
        <w:rPr>
          <w:bCs/>
          <w:i/>
        </w:rPr>
        <w:t>Cartulaire</w:t>
      </w:r>
      <w:r w:rsidRPr="003B3476">
        <w:rPr>
          <w:i/>
          <w:lang w:val="fr-FR" w:eastAsia="fr-FR" w:bidi="fr-FR"/>
        </w:rPr>
        <w:t xml:space="preserve"> et son </w:t>
      </w:r>
      <w:r w:rsidRPr="003B3476">
        <w:rPr>
          <w:bCs/>
          <w:i/>
        </w:rPr>
        <w:t>Chartrier de Saint-Martin de Pontoise</w:t>
      </w:r>
      <w:r w:rsidRPr="003B3476">
        <w:rPr>
          <w:lang w:val="fr-FR" w:eastAsia="fr-FR" w:bidi="fr-FR"/>
        </w:rPr>
        <w:t xml:space="preserve"> indiqués </w:t>
      </w:r>
      <w:r w:rsidRPr="003B3476">
        <w:rPr>
          <w:bCs/>
          <w:i/>
        </w:rPr>
        <w:t>infra.</w:t>
      </w:r>
      <w:r w:rsidRPr="003B3476">
        <w:rPr>
          <w:bCs/>
          <w:vertAlign w:val="subscript"/>
        </w:rPr>
        <w:t>y</w:t>
      </w:r>
      <w:r w:rsidRPr="003B3476">
        <w:rPr>
          <w:lang w:val="fr-FR" w:eastAsia="fr-FR" w:bidi="fr-FR"/>
        </w:rPr>
        <w:t xml:space="preserve"> p. 759-760, n. 2.</w:t>
      </w:r>
    </w:p>
  </w:footnote>
  <w:footnote w:id="453">
    <w:p w14:paraId="7F2CD1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Dom Jacques </w:t>
      </w:r>
      <w:r w:rsidRPr="003B3476">
        <w:rPr>
          <w:rStyle w:val="Notedebasdepage65ptPetitesmajuscules"/>
          <w:b w:val="0"/>
          <w:sz w:val="24"/>
        </w:rPr>
        <w:t xml:space="preserve">Bouillard, </w:t>
      </w:r>
      <w:r w:rsidRPr="003B3476">
        <w:rPr>
          <w:i/>
        </w:rPr>
        <w:t>Histoire de l’abbaye royale de Saint-Germain-des-Prez</w:t>
      </w:r>
      <w:r w:rsidRPr="003B3476">
        <w:t>,</w:t>
      </w:r>
      <w:r w:rsidRPr="003B3476">
        <w:rPr>
          <w:lang w:val="fr-FR" w:eastAsia="fr-FR" w:bidi="fr-FR"/>
        </w:rPr>
        <w:t xml:space="preserve"> in-fol., Paris, 1724, 328 -f-clxxxviij p., p</w:t>
      </w:r>
      <w:r w:rsidRPr="003B3476">
        <w:rPr>
          <w:smallCaps/>
          <w:lang w:val="fr-FR" w:eastAsia="fr-FR" w:bidi="fr-FR"/>
        </w:rPr>
        <w:t>1</w:t>
      </w:r>
      <w:r w:rsidRPr="003B3476">
        <w:rPr>
          <w:lang w:val="fr-FR" w:eastAsia="fr-FR" w:bidi="fr-FR"/>
        </w:rPr>
        <w:t>.</w:t>
      </w:r>
    </w:p>
  </w:footnote>
  <w:footnote w:id="454">
    <w:p w14:paraId="7577901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Dom Michel </w:t>
      </w:r>
      <w:r w:rsidRPr="003B3476">
        <w:rPr>
          <w:rStyle w:val="Notedebasdepage65ptPetitesmajuscules"/>
          <w:b w:val="0"/>
          <w:sz w:val="24"/>
        </w:rPr>
        <w:t xml:space="preserve">Félibien, </w:t>
      </w:r>
      <w:r w:rsidRPr="003B3476">
        <w:rPr>
          <w:i/>
        </w:rPr>
        <w:t>Histoire de l’abbaye royale de Saint-Denys en France</w:t>
      </w:r>
      <w:r w:rsidRPr="003B3476">
        <w:t>,</w:t>
      </w:r>
      <w:r w:rsidRPr="003B3476">
        <w:rPr>
          <w:lang w:val="fr-FR" w:eastAsia="fr-FR" w:bidi="fr-FR"/>
        </w:rPr>
        <w:t xml:space="preserve"> in-fol., Paris, 1716, 592 + ccxxiij p., p1.</w:t>
      </w:r>
    </w:p>
  </w:footnote>
  <w:footnote w:id="455">
    <w:p w14:paraId="06E0687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2 vol. in-4°, Paris, 1731, 782 et 669 p. Dom Du </w:t>
      </w:r>
      <w:r w:rsidRPr="003B3476">
        <w:rPr>
          <w:rStyle w:val="Notedebasdepage65ptPetitesmajuscules"/>
          <w:b w:val="0"/>
          <w:sz w:val="24"/>
        </w:rPr>
        <w:t xml:space="preserve">Plessis </w:t>
      </w:r>
      <w:r w:rsidRPr="003B3476">
        <w:rPr>
          <w:lang w:val="fr-FR" w:eastAsia="fr-FR" w:bidi="fr-FR"/>
        </w:rPr>
        <w:t>s’était servi d’ouvrages manuscrits sur l’histoire du diocèse de Meaux qu’il indique dans sa préface. On a déjà vu (p. 720, n. 10) qu’il rédigea la partie relative au di</w:t>
      </w:r>
      <w:r w:rsidRPr="003B3476">
        <w:rPr>
          <w:lang w:val="fr-FR" w:eastAsia="fr-FR" w:bidi="fr-FR"/>
        </w:rPr>
        <w:t>o</w:t>
      </w:r>
      <w:r w:rsidRPr="003B3476">
        <w:rPr>
          <w:lang w:val="fr-FR" w:eastAsia="fr-FR" w:bidi="fr-FR"/>
        </w:rPr>
        <w:t xml:space="preserve">cèse de Meaux dans la </w:t>
      </w:r>
      <w:r w:rsidRPr="003B3476">
        <w:rPr>
          <w:bCs/>
          <w:i/>
        </w:rPr>
        <w:t>Gallia Christiana</w:t>
      </w:r>
      <w:r w:rsidRPr="003B3476">
        <w:rPr>
          <w:bCs/>
        </w:rPr>
        <w:t>.</w:t>
      </w:r>
    </w:p>
  </w:footnote>
  <w:footnote w:id="456">
    <w:p w14:paraId="6A13DB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Sur ce prélat on pourra consulter J.-G. </w:t>
      </w:r>
      <w:r w:rsidRPr="003B3476">
        <w:rPr>
          <w:rStyle w:val="Notedebasdepage265ptNonItaliquePetitesmajuscules"/>
          <w:b w:val="0"/>
          <w:iCs/>
          <w:sz w:val="24"/>
        </w:rPr>
        <w:t xml:space="preserve">Gossel, </w:t>
      </w:r>
      <w:r w:rsidRPr="003B3476">
        <w:rPr>
          <w:i/>
          <w:lang w:val="fr-FR" w:eastAsia="fr-FR" w:bidi="fr-FR"/>
        </w:rPr>
        <w:t>Henry de Thiard, cardinal de Bi</w:t>
      </w:r>
      <w:r w:rsidRPr="003B3476">
        <w:rPr>
          <w:i/>
          <w:lang w:val="fr-FR" w:eastAsia="fr-FR" w:bidi="fr-FR"/>
        </w:rPr>
        <w:t>s</w:t>
      </w:r>
      <w:r w:rsidRPr="003B3476">
        <w:rPr>
          <w:i/>
          <w:lang w:val="fr-FR" w:eastAsia="fr-FR" w:bidi="fr-FR"/>
        </w:rPr>
        <w:t>sy, Un essai d’action commune de l’épiscopat français en 1735, Rev. de l’Hist. de l’Église de France</w:t>
      </w:r>
      <w:r w:rsidRPr="003B3476">
        <w:rPr>
          <w:lang w:val="fr-FR" w:eastAsia="fr-FR" w:bidi="fr-FR"/>
        </w:rPr>
        <w:t xml:space="preserve">, </w:t>
      </w:r>
      <w:r w:rsidRPr="003B3476">
        <w:rPr>
          <w:bCs/>
        </w:rPr>
        <w:t>t. II (1911), p. 539-553 et 679-701.</w:t>
      </w:r>
    </w:p>
  </w:footnote>
  <w:footnote w:id="457">
    <w:p w14:paraId="16D38B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Voir, outre dom </w:t>
      </w:r>
      <w:r w:rsidRPr="00841BE4">
        <w:rPr>
          <w:rStyle w:val="Notedebasdepage265ptNonItaliquePetitesmajuscules"/>
          <w:b w:val="0"/>
          <w:iCs/>
          <w:sz w:val="24"/>
        </w:rPr>
        <w:t>Tassin</w:t>
      </w:r>
      <w:r w:rsidRPr="003B3476">
        <w:rPr>
          <w:rStyle w:val="Notedebasdepage265ptNonItaliquePetitesmajuscules"/>
          <w:b w:val="0"/>
          <w:i/>
          <w:iCs/>
          <w:sz w:val="24"/>
        </w:rPr>
        <w:t>,</w:t>
      </w:r>
      <w:r w:rsidRPr="003B3476">
        <w:rPr>
          <w:rStyle w:val="Notedebasdepage265ptNonItalique"/>
          <w:b w:val="0"/>
          <w:i/>
          <w:iCs/>
          <w:sz w:val="24"/>
        </w:rPr>
        <w:t xml:space="preserve"> </w:t>
      </w:r>
      <w:r w:rsidRPr="00841BE4">
        <w:rPr>
          <w:rStyle w:val="Notedebasdepage265ptNonItalique"/>
          <w:b w:val="0"/>
          <w:iCs/>
          <w:sz w:val="24"/>
        </w:rPr>
        <w:t>p.</w:t>
      </w:r>
      <w:r w:rsidRPr="003B3476">
        <w:rPr>
          <w:rStyle w:val="Notedebasdepage265ptNonItalique"/>
          <w:b w:val="0"/>
          <w:i/>
          <w:iCs/>
          <w:sz w:val="24"/>
        </w:rPr>
        <w:t xml:space="preserve"> </w:t>
      </w:r>
      <w:r w:rsidRPr="003B3476">
        <w:rPr>
          <w:bCs/>
        </w:rPr>
        <w:t xml:space="preserve">756, Fernand </w:t>
      </w:r>
      <w:r w:rsidRPr="00841BE4">
        <w:rPr>
          <w:rStyle w:val="Notedebasdepage265ptNonItaliquePetitesmajuscules"/>
          <w:b w:val="0"/>
          <w:iCs/>
          <w:sz w:val="24"/>
        </w:rPr>
        <w:t>Labour</w:t>
      </w:r>
      <w:r w:rsidRPr="003B3476">
        <w:rPr>
          <w:rStyle w:val="Notedebasdepage265ptNonItaliquePetitesmajuscules"/>
          <w:b w:val="0"/>
          <w:i/>
          <w:iCs/>
          <w:sz w:val="24"/>
        </w:rPr>
        <w:t xml:space="preserve">, </w:t>
      </w:r>
      <w:r w:rsidRPr="003B3476">
        <w:rPr>
          <w:i/>
          <w:lang w:val="fr-FR" w:eastAsia="fr-FR" w:bidi="fr-FR"/>
        </w:rPr>
        <w:t>Dom Toussaint Duplessis et MM. du Chapitre de l’Église de Meaux, Rev. de Champagne et de Brie,</w:t>
      </w:r>
      <w:r w:rsidRPr="003B3476">
        <w:rPr>
          <w:bCs/>
          <w:i/>
        </w:rPr>
        <w:t xml:space="preserve"> t. XIV</w:t>
      </w:r>
      <w:r w:rsidRPr="003B3476">
        <w:rPr>
          <w:bCs/>
        </w:rPr>
        <w:t xml:space="preserve"> (1883, 2</w:t>
      </w:r>
      <w:r w:rsidRPr="003B3476">
        <w:rPr>
          <w:bCs/>
          <w:vertAlign w:val="superscript"/>
        </w:rPr>
        <w:t>e</w:t>
      </w:r>
      <w:r w:rsidRPr="003B3476">
        <w:rPr>
          <w:bCs/>
        </w:rPr>
        <w:t xml:space="preserve"> semestre), </w:t>
      </w:r>
      <w:r w:rsidRPr="003B3476">
        <w:rPr>
          <w:rStyle w:val="Notedebasdepage265ptNonItalique"/>
          <w:b w:val="0"/>
          <w:i/>
          <w:iCs/>
          <w:sz w:val="24"/>
        </w:rPr>
        <w:t xml:space="preserve">p. </w:t>
      </w:r>
      <w:r w:rsidRPr="003B3476">
        <w:rPr>
          <w:bCs/>
        </w:rPr>
        <w:t xml:space="preserve">125-130, et Maurice </w:t>
      </w:r>
      <w:r w:rsidRPr="003B3476">
        <w:rPr>
          <w:rStyle w:val="Notedebasdepage265ptNonItaliquePetitesmajuscules"/>
          <w:b w:val="0"/>
          <w:i/>
          <w:iCs/>
          <w:sz w:val="24"/>
        </w:rPr>
        <w:t xml:space="preserve">Lecomte, </w:t>
      </w:r>
      <w:r w:rsidRPr="003B3476">
        <w:rPr>
          <w:i/>
          <w:lang w:val="fr-FR" w:eastAsia="fr-FR" w:bidi="fr-FR"/>
        </w:rPr>
        <w:t>Observations sur l’histoire de Meaux de dom Toussaint Duplessis, Almanach histor. de Seine-et-Marne</w:t>
      </w:r>
      <w:r w:rsidRPr="003B3476">
        <w:rPr>
          <w:lang w:val="fr-FR" w:eastAsia="fr-FR" w:bidi="fr-FR"/>
        </w:rPr>
        <w:t>,</w:t>
      </w:r>
      <w:r w:rsidRPr="003B3476">
        <w:rPr>
          <w:bCs/>
        </w:rPr>
        <w:t xml:space="preserve"> 1906, </w:t>
      </w:r>
      <w:r w:rsidRPr="003B3476">
        <w:rPr>
          <w:rStyle w:val="Notedebasdepage265ptNonItalique"/>
          <w:b w:val="0"/>
          <w:i/>
          <w:iCs/>
          <w:sz w:val="24"/>
        </w:rPr>
        <w:t xml:space="preserve">p. </w:t>
      </w:r>
      <w:r w:rsidRPr="003B3476">
        <w:rPr>
          <w:bCs/>
        </w:rPr>
        <w:t xml:space="preserve">97-115. </w:t>
      </w:r>
      <w:r w:rsidRPr="003B3476">
        <w:rPr>
          <w:i/>
          <w:lang w:val="fr-FR" w:eastAsia="fr-FR" w:bidi="fr-FR"/>
        </w:rPr>
        <w:t>Cf.</w:t>
      </w:r>
      <w:r w:rsidRPr="003B3476">
        <w:rPr>
          <w:bCs/>
        </w:rPr>
        <w:t xml:space="preserve"> aussi </w:t>
      </w:r>
      <w:r w:rsidRPr="00841BE4">
        <w:rPr>
          <w:rStyle w:val="Notedebasdepage265ptNonItaliquePetitesmajuscules"/>
          <w:b w:val="0"/>
          <w:iCs/>
          <w:sz w:val="24"/>
        </w:rPr>
        <w:t>Lhuillier</w:t>
      </w:r>
      <w:r w:rsidRPr="003B3476">
        <w:rPr>
          <w:rStyle w:val="Notedebasdepage265ptNonItaliquePetitesmajuscules"/>
          <w:b w:val="0"/>
          <w:i/>
          <w:iCs/>
          <w:sz w:val="24"/>
        </w:rPr>
        <w:t xml:space="preserve">, </w:t>
      </w:r>
      <w:r w:rsidRPr="003B3476">
        <w:rPr>
          <w:i/>
          <w:lang w:val="fr-FR" w:eastAsia="fr-FR" w:bidi="fr-FR"/>
        </w:rPr>
        <w:t xml:space="preserve">Bibliographie de </w:t>
      </w:r>
      <w:r w:rsidRPr="003B3476">
        <w:rPr>
          <w:bCs/>
          <w:i/>
        </w:rPr>
        <w:t>Seine-et-Marne</w:t>
      </w:r>
      <w:r w:rsidRPr="003B3476">
        <w:rPr>
          <w:i/>
          <w:lang w:val="fr-FR" w:eastAsia="fr-FR" w:bidi="fr-FR"/>
        </w:rPr>
        <w:t xml:space="preserve"> </w:t>
      </w:r>
      <w:r w:rsidRPr="003B3476">
        <w:rPr>
          <w:lang w:val="fr-FR" w:eastAsia="fr-FR" w:bidi="fr-FR"/>
        </w:rPr>
        <w:t xml:space="preserve">(indiquée </w:t>
      </w:r>
      <w:r w:rsidRPr="003B3476">
        <w:rPr>
          <w:bCs/>
          <w:i/>
        </w:rPr>
        <w:t>infra.</w:t>
      </w:r>
      <w:r w:rsidRPr="003B3476">
        <w:rPr>
          <w:lang w:val="fr-FR" w:eastAsia="fr-FR" w:bidi="fr-FR"/>
        </w:rPr>
        <w:t xml:space="preserve">, p. 732, n. 4) Dom Du </w:t>
      </w:r>
      <w:r w:rsidRPr="003B3476">
        <w:rPr>
          <w:rStyle w:val="Notedebasdepage65ptPetitesmajuscules"/>
          <w:b w:val="0"/>
          <w:sz w:val="24"/>
        </w:rPr>
        <w:t xml:space="preserve">Plessis </w:t>
      </w:r>
      <w:r w:rsidRPr="003B3476">
        <w:rPr>
          <w:lang w:val="fr-FR" w:eastAsia="fr-FR" w:bidi="fr-FR"/>
        </w:rPr>
        <w:t>soutint également une polémique avec un membre de l’Académie des Inscriptions, Lancelot, à pr</w:t>
      </w:r>
      <w:r w:rsidRPr="003B3476">
        <w:rPr>
          <w:lang w:val="fr-FR" w:eastAsia="fr-FR" w:bidi="fr-FR"/>
        </w:rPr>
        <w:t>o</w:t>
      </w:r>
      <w:r w:rsidRPr="003B3476">
        <w:rPr>
          <w:lang w:val="fr-FR" w:eastAsia="fr-FR" w:bidi="fr-FR"/>
        </w:rPr>
        <w:t xml:space="preserve">pos d’un passage de </w:t>
      </w:r>
      <w:r w:rsidRPr="003B3476">
        <w:rPr>
          <w:bCs/>
        </w:rPr>
        <w:t>l’Histoire de l’Église de Meaux</w:t>
      </w:r>
      <w:r w:rsidRPr="003B3476">
        <w:rPr>
          <w:lang w:val="fr-FR" w:eastAsia="fr-FR" w:bidi="fr-FR"/>
        </w:rPr>
        <w:t>, dans lequel, dit dom Tassin, il posait « comme un principe quasi certain et indubitable que l’art de faire des faux suivant l’intérêt qu’on pouvoit avoir étoit un vice presque un</w:t>
      </w:r>
      <w:r w:rsidRPr="003B3476">
        <w:rPr>
          <w:lang w:val="fr-FR" w:eastAsia="fr-FR" w:bidi="fr-FR"/>
        </w:rPr>
        <w:t>i</w:t>
      </w:r>
      <w:r w:rsidRPr="003B3476">
        <w:rPr>
          <w:lang w:val="fr-FR" w:eastAsia="fr-FR" w:bidi="fr-FR"/>
        </w:rPr>
        <w:t>versel vers le onzième siècle ».</w:t>
      </w:r>
    </w:p>
  </w:footnote>
  <w:footnote w:id="458">
    <w:p w14:paraId="4CACCB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l’abbé Lebeuf, consulter </w:t>
      </w:r>
      <w:r w:rsidRPr="003B3476">
        <w:rPr>
          <w:bCs/>
        </w:rPr>
        <w:t>l’</w:t>
      </w:r>
      <w:r w:rsidRPr="003B3476">
        <w:rPr>
          <w:bCs/>
          <w:i/>
        </w:rPr>
        <w:t>Introduction</w:t>
      </w:r>
      <w:r w:rsidRPr="003B3476">
        <w:rPr>
          <w:lang w:val="fr-FR" w:eastAsia="fr-FR" w:bidi="fr-FR"/>
        </w:rPr>
        <w:t xml:space="preserve"> de l’éd. </w:t>
      </w:r>
      <w:r w:rsidRPr="003B3476">
        <w:rPr>
          <w:rStyle w:val="Notedebasdepage65ptPetitesmajuscules"/>
          <w:b w:val="0"/>
          <w:sz w:val="24"/>
        </w:rPr>
        <w:t>Cocheris (</w:t>
      </w:r>
      <w:r w:rsidRPr="003B3476">
        <w:rPr>
          <w:rStyle w:val="Notedebasdepage65ptPetitesmajuscules"/>
          <w:b w:val="0"/>
          <w:smallCaps w:val="0"/>
          <w:sz w:val="24"/>
        </w:rPr>
        <w:t>cf</w:t>
      </w:r>
      <w:r w:rsidRPr="003B3476">
        <w:rPr>
          <w:rStyle w:val="Notedebasdepage65ptPetitesmajuscules"/>
          <w:b w:val="0"/>
          <w:sz w:val="24"/>
        </w:rPr>
        <w:t xml:space="preserve">. </w:t>
      </w:r>
      <w:r w:rsidRPr="003B3476">
        <w:rPr>
          <w:bCs/>
          <w:i/>
        </w:rPr>
        <w:t>infra.</w:t>
      </w:r>
      <w:r w:rsidRPr="003B3476">
        <w:rPr>
          <w:lang w:val="fr-FR" w:eastAsia="fr-FR" w:bidi="fr-FR"/>
        </w:rPr>
        <w:t xml:space="preserve">, </w:t>
      </w:r>
      <w:r w:rsidRPr="003B3476">
        <w:rPr>
          <w:bCs/>
        </w:rPr>
        <w:t>n. 5).</w:t>
      </w:r>
    </w:p>
  </w:footnote>
  <w:footnote w:id="459">
    <w:p w14:paraId="1BFC999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Réflexions sur les trois premiers tomes de l’Histoire de la Ville et de tout le Diocèse de Paris</w:t>
      </w:r>
      <w:r w:rsidRPr="003B3476">
        <w:rPr>
          <w:bCs/>
          <w:i/>
        </w:rPr>
        <w:t xml:space="preserve">, </w:t>
      </w:r>
      <w:r w:rsidRPr="003B3476">
        <w:rPr>
          <w:i/>
          <w:lang w:val="fr-FR" w:eastAsia="fr-FR" w:bidi="fr-FR"/>
        </w:rPr>
        <w:t>par M. l’abbé Lebeuf</w:t>
      </w:r>
      <w:r w:rsidRPr="003B3476">
        <w:rPr>
          <w:bCs/>
          <w:i/>
        </w:rPr>
        <w:t xml:space="preserve">, </w:t>
      </w:r>
      <w:r w:rsidRPr="003B3476">
        <w:rPr>
          <w:i/>
          <w:lang w:val="fr-FR" w:eastAsia="fr-FR" w:bidi="fr-FR"/>
        </w:rPr>
        <w:t>de l’Académie Royale des Inscri</w:t>
      </w:r>
      <w:r w:rsidRPr="003B3476">
        <w:rPr>
          <w:i/>
          <w:lang w:val="fr-FR" w:eastAsia="fr-FR" w:bidi="fr-FR"/>
        </w:rPr>
        <w:t>p</w:t>
      </w:r>
      <w:r w:rsidRPr="003B3476">
        <w:rPr>
          <w:i/>
          <w:lang w:val="fr-FR" w:eastAsia="fr-FR" w:bidi="fr-FR"/>
        </w:rPr>
        <w:t>tions et Belles-Lettres ; pour servir d’éclaircissement et de supplément aux Nouvelles Annales de Paris</w:t>
      </w:r>
      <w:r w:rsidRPr="003B3476">
        <w:rPr>
          <w:bCs/>
          <w:i/>
        </w:rPr>
        <w:t xml:space="preserve">, </w:t>
      </w:r>
      <w:r w:rsidRPr="003B3476">
        <w:rPr>
          <w:i/>
          <w:lang w:val="fr-FR" w:eastAsia="fr-FR" w:bidi="fr-FR"/>
        </w:rPr>
        <w:t>par Dom Toussaint du Plessis</w:t>
      </w:r>
      <w:r w:rsidRPr="003B3476">
        <w:rPr>
          <w:bCs/>
          <w:i/>
        </w:rPr>
        <w:t xml:space="preserve">, </w:t>
      </w:r>
      <w:r w:rsidRPr="003B3476">
        <w:rPr>
          <w:i/>
          <w:lang w:val="fr-FR" w:eastAsia="fr-FR" w:bidi="fr-FR"/>
        </w:rPr>
        <w:t>Religieux Bén</w:t>
      </w:r>
      <w:r w:rsidRPr="003B3476">
        <w:rPr>
          <w:i/>
          <w:lang w:val="fr-FR" w:eastAsia="fr-FR" w:bidi="fr-FR"/>
        </w:rPr>
        <w:t>é</w:t>
      </w:r>
      <w:r w:rsidRPr="003B3476">
        <w:rPr>
          <w:i/>
          <w:lang w:val="fr-FR" w:eastAsia="fr-FR" w:bidi="fr-FR"/>
        </w:rPr>
        <w:t>dictin de la Congrégation de S. Maur</w:t>
      </w:r>
      <w:r w:rsidRPr="003B3476">
        <w:rPr>
          <w:bCs/>
          <w:i/>
        </w:rPr>
        <w:t xml:space="preserve">, </w:t>
      </w:r>
      <w:r w:rsidRPr="003B3476">
        <w:rPr>
          <w:i/>
          <w:lang w:val="fr-FR" w:eastAsia="fr-FR" w:bidi="fr-FR"/>
        </w:rPr>
        <w:t>Mercure de France</w:t>
      </w:r>
      <w:r w:rsidRPr="003B3476">
        <w:rPr>
          <w:bCs/>
        </w:rPr>
        <w:t xml:space="preserve">, juin (p. 99-108), juillet, I (p. 124-136), juillet, II (p. 107-121), septembre (p. 103-123), 1756. La rédaction du </w:t>
      </w:r>
      <w:r w:rsidRPr="003B3476">
        <w:rPr>
          <w:lang w:val="fr-FR" w:eastAsia="fr-FR" w:bidi="fr-FR"/>
        </w:rPr>
        <w:t xml:space="preserve">Mercure </w:t>
      </w:r>
      <w:r w:rsidRPr="003B3476">
        <w:rPr>
          <w:bCs/>
        </w:rPr>
        <w:t xml:space="preserve">abrégea les articles de dom Du </w:t>
      </w:r>
      <w:r w:rsidRPr="003B3476">
        <w:rPr>
          <w:rStyle w:val="Notedebasdepage265ptNonItaliquePetitesmajuscules"/>
          <w:b w:val="0"/>
          <w:i/>
          <w:iCs/>
          <w:sz w:val="24"/>
        </w:rPr>
        <w:t xml:space="preserve">Plessis </w:t>
      </w:r>
      <w:r w:rsidRPr="003B3476">
        <w:rPr>
          <w:bCs/>
        </w:rPr>
        <w:t>(août, p. 164). Un ami de Lebeuf répondit (septembre, p. 123-134).</w:t>
      </w:r>
    </w:p>
  </w:footnote>
  <w:footnote w:id="460">
    <w:p w14:paraId="449D91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In-4°, Paris, 1753, iv + 380 p.</w:t>
      </w:r>
    </w:p>
  </w:footnote>
  <w:footnote w:id="461">
    <w:p w14:paraId="6BE851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le factum intitulé : </w:t>
      </w:r>
      <w:r w:rsidRPr="003B3476">
        <w:rPr>
          <w:bCs/>
          <w:i/>
        </w:rPr>
        <w:t>Projet d’une histoire de la ville de Paris sur un plan nouveau</w:t>
      </w:r>
      <w:r w:rsidRPr="003B3476">
        <w:rPr>
          <w:lang w:val="fr-FR" w:eastAsia="fr-FR" w:bidi="fr-FR"/>
        </w:rPr>
        <w:t xml:space="preserve">, in-4°, Harlem, 1739, 49 p., qui a été composé après l’apparition, dans le </w:t>
      </w:r>
      <w:r w:rsidRPr="003B3476">
        <w:rPr>
          <w:bCs/>
          <w:i/>
        </w:rPr>
        <w:t>Mercure de France</w:t>
      </w:r>
      <w:r w:rsidRPr="003B3476">
        <w:rPr>
          <w:bCs/>
        </w:rPr>
        <w:t xml:space="preserve"> </w:t>
      </w:r>
      <w:r w:rsidRPr="003B3476">
        <w:rPr>
          <w:lang w:val="fr-FR" w:eastAsia="fr-FR" w:bidi="fr-FR"/>
        </w:rPr>
        <w:t xml:space="preserve">de déc. 1739, t. II (p. 3106-3110) du programme de </w:t>
      </w:r>
      <w:r w:rsidRPr="003B3476">
        <w:rPr>
          <w:rStyle w:val="Notedebasdepage65ptPetitesmajuscules"/>
          <w:b w:val="0"/>
          <w:sz w:val="24"/>
        </w:rPr>
        <w:t xml:space="preserve">Lebeuf, </w:t>
      </w:r>
      <w:r w:rsidRPr="003B3476">
        <w:rPr>
          <w:lang w:val="fr-FR" w:eastAsia="fr-FR" w:bidi="fr-FR"/>
        </w:rPr>
        <w:t xml:space="preserve">intitulé </w:t>
      </w:r>
      <w:r w:rsidRPr="003B3476">
        <w:rPr>
          <w:bCs/>
          <w:i/>
        </w:rPr>
        <w:t>Projet d’une description des Paroisses de la Campagne</w:t>
      </w:r>
      <w:r w:rsidRPr="003B3476">
        <w:rPr>
          <w:i/>
          <w:lang w:val="fr-FR" w:eastAsia="fr-FR" w:bidi="fr-FR"/>
        </w:rPr>
        <w:t xml:space="preserve">, </w:t>
      </w:r>
      <w:r w:rsidRPr="003B3476">
        <w:rPr>
          <w:bCs/>
          <w:i/>
        </w:rPr>
        <w:t>vois</w:t>
      </w:r>
      <w:r w:rsidRPr="003B3476">
        <w:rPr>
          <w:bCs/>
          <w:i/>
        </w:rPr>
        <w:t>i</w:t>
      </w:r>
      <w:r w:rsidRPr="003B3476">
        <w:rPr>
          <w:bCs/>
          <w:i/>
        </w:rPr>
        <w:t>nes de Paris</w:t>
      </w:r>
      <w:r w:rsidRPr="003B3476">
        <w:rPr>
          <w:i/>
          <w:lang w:val="fr-FR" w:eastAsia="fr-FR" w:bidi="fr-FR"/>
        </w:rPr>
        <w:t xml:space="preserve">, </w:t>
      </w:r>
      <w:r w:rsidRPr="003B3476">
        <w:rPr>
          <w:bCs/>
          <w:i/>
        </w:rPr>
        <w:t>situées dans le Diocèse de cette Capitale</w:t>
      </w:r>
      <w:r w:rsidRPr="003B3476">
        <w:rPr>
          <w:bCs/>
        </w:rPr>
        <w:t>.</w:t>
      </w:r>
      <w:r w:rsidRPr="003B3476">
        <w:rPr>
          <w:lang w:val="fr-FR" w:eastAsia="fr-FR" w:bidi="fr-FR"/>
        </w:rPr>
        <w:t xml:space="preserve"> Ce programme a été réédité dans l’édition </w:t>
      </w:r>
      <w:r w:rsidRPr="003B3476">
        <w:rPr>
          <w:rStyle w:val="Notedebasdepage65ptPetitesmajuscules"/>
          <w:b w:val="0"/>
          <w:sz w:val="24"/>
        </w:rPr>
        <w:t xml:space="preserve">Cocheris, </w:t>
      </w:r>
      <w:r w:rsidRPr="003B3476">
        <w:rPr>
          <w:lang w:val="fr-FR" w:eastAsia="fr-FR" w:bidi="fr-FR"/>
        </w:rPr>
        <w:t xml:space="preserve">t. I, p. 107-110. Lebeuf à ce moment ne comptait pas comprendre la ville de Paris dans son ouvrage. </w:t>
      </w:r>
      <w:r w:rsidRPr="003B3476">
        <w:rPr>
          <w:rStyle w:val="Notedebasdepage65ptPetitesmajuscules"/>
          <w:b w:val="0"/>
          <w:sz w:val="24"/>
        </w:rPr>
        <w:t xml:space="preserve">Lebeuf </w:t>
      </w:r>
      <w:r w:rsidRPr="003B3476">
        <w:rPr>
          <w:lang w:val="fr-FR" w:eastAsia="fr-FR" w:bidi="fr-FR"/>
        </w:rPr>
        <w:t>fit ég</w:t>
      </w:r>
      <w:r w:rsidRPr="003B3476">
        <w:rPr>
          <w:lang w:val="fr-FR" w:eastAsia="fr-FR" w:bidi="fr-FR"/>
        </w:rPr>
        <w:t>a</w:t>
      </w:r>
      <w:r w:rsidRPr="003B3476">
        <w:rPr>
          <w:lang w:val="fr-FR" w:eastAsia="fr-FR" w:bidi="fr-FR"/>
        </w:rPr>
        <w:t xml:space="preserve">lement paraître de 1739 à 1743 des </w:t>
      </w:r>
      <w:r w:rsidRPr="003B3476">
        <w:rPr>
          <w:bCs/>
          <w:i/>
        </w:rPr>
        <w:t>Dissertations sur l’Histoire ecclésiastique et civile de Paris</w:t>
      </w:r>
      <w:r w:rsidRPr="003B3476">
        <w:rPr>
          <w:i/>
          <w:lang w:val="fr-FR" w:eastAsia="fr-FR" w:bidi="fr-FR"/>
        </w:rPr>
        <w:t xml:space="preserve">, </w:t>
      </w:r>
      <w:r w:rsidRPr="003B3476">
        <w:rPr>
          <w:bCs/>
          <w:i/>
        </w:rPr>
        <w:t>suivies de plusieurs éclaircissements sur l’Histoire de Fra</w:t>
      </w:r>
      <w:r w:rsidRPr="003B3476">
        <w:rPr>
          <w:bCs/>
          <w:i/>
        </w:rPr>
        <w:t>n</w:t>
      </w:r>
      <w:r w:rsidRPr="003B3476">
        <w:rPr>
          <w:bCs/>
          <w:i/>
        </w:rPr>
        <w:t>ce</w:t>
      </w:r>
      <w:r w:rsidRPr="003B3476">
        <w:rPr>
          <w:lang w:val="fr-FR" w:eastAsia="fr-FR" w:bidi="fr-FR"/>
        </w:rPr>
        <w:t>, 3 vol. in-12, Paris. Quelques-unes des dissertations réunies dans ces vol</w:t>
      </w:r>
      <w:r w:rsidRPr="003B3476">
        <w:rPr>
          <w:lang w:val="fr-FR" w:eastAsia="fr-FR" w:bidi="fr-FR"/>
        </w:rPr>
        <w:t>u</w:t>
      </w:r>
      <w:r w:rsidRPr="003B3476">
        <w:rPr>
          <w:lang w:val="fr-FR" w:eastAsia="fr-FR" w:bidi="fr-FR"/>
        </w:rPr>
        <w:t>mes intére</w:t>
      </w:r>
      <w:r w:rsidRPr="003B3476">
        <w:rPr>
          <w:lang w:val="fr-FR" w:eastAsia="fr-FR" w:bidi="fr-FR"/>
        </w:rPr>
        <w:t>s</w:t>
      </w:r>
      <w:r w:rsidRPr="003B3476">
        <w:rPr>
          <w:lang w:val="fr-FR" w:eastAsia="fr-FR" w:bidi="fr-FR"/>
        </w:rPr>
        <w:t xml:space="preserve">sent l’histoire de l’Île-de-France. On trouvera la table des 3 vol. dans l’édition </w:t>
      </w:r>
      <w:r w:rsidRPr="003B3476">
        <w:rPr>
          <w:rStyle w:val="Notedebasdepage65ptPetitesmajuscules"/>
          <w:b w:val="0"/>
          <w:sz w:val="24"/>
        </w:rPr>
        <w:t xml:space="preserve">Cocheris, </w:t>
      </w:r>
      <w:r w:rsidRPr="003B3476">
        <w:rPr>
          <w:lang w:val="fr-FR" w:eastAsia="fr-FR" w:bidi="fr-FR"/>
        </w:rPr>
        <w:t>t. I, p. 90-92.</w:t>
      </w:r>
    </w:p>
  </w:footnote>
  <w:footnote w:id="462">
    <w:p w14:paraId="4A7B88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L’édition originale parut en 15 vol. à Paris, chez Prault père, de 1754 à 1758. Deux réimpressions ont été faites au </w:t>
      </w:r>
      <w:r w:rsidRPr="003B3476">
        <w:rPr>
          <w:smallCaps/>
          <w:lang w:val="fr-FR" w:eastAsia="fr-FR" w:bidi="fr-FR"/>
        </w:rPr>
        <w:t>xix</w:t>
      </w:r>
      <w:r w:rsidRPr="003B3476">
        <w:rPr>
          <w:smallCaps/>
          <w:vertAlign w:val="superscript"/>
          <w:lang w:val="fr-FR" w:eastAsia="fr-FR" w:bidi="fr-FR"/>
        </w:rPr>
        <w:t>e</w:t>
      </w:r>
      <w:r w:rsidRPr="003B3476">
        <w:rPr>
          <w:lang w:val="fr-FR" w:eastAsia="fr-FR" w:bidi="fr-FR"/>
        </w:rPr>
        <w:t xml:space="preserve"> siècle. La première, œuvre de M. </w:t>
      </w:r>
      <w:r w:rsidRPr="003B3476">
        <w:rPr>
          <w:rStyle w:val="Notedebasdepage65ptPetitesmajuscules"/>
          <w:b w:val="0"/>
          <w:sz w:val="24"/>
        </w:rPr>
        <w:t xml:space="preserve">Cocheris </w:t>
      </w:r>
      <w:r w:rsidRPr="003B3476">
        <w:rPr>
          <w:lang w:val="fr-FR" w:eastAsia="fr-FR" w:bidi="fr-FR"/>
        </w:rPr>
        <w:t>(4 vol. in-8°, Paris, 1863-1870) ne nous intéresse guère que par sa préface, car elle s’est arrêtée avant d’avoir dépassé la partie de l’ouvrage de Lebeuf qui est relative à la ville de Paris et à sa banlieue immédiate. La s</w:t>
      </w:r>
      <w:r w:rsidRPr="003B3476">
        <w:rPr>
          <w:lang w:val="fr-FR" w:eastAsia="fr-FR" w:bidi="fr-FR"/>
        </w:rPr>
        <w:t>e</w:t>
      </w:r>
      <w:r w:rsidRPr="003B3476">
        <w:rPr>
          <w:lang w:val="fr-FR" w:eastAsia="fr-FR" w:bidi="fr-FR"/>
        </w:rPr>
        <w:t xml:space="preserve">conde, qui est complète, a été entreprise par M. </w:t>
      </w:r>
      <w:r w:rsidRPr="003B3476">
        <w:rPr>
          <w:rStyle w:val="Notedebasdepage65ptPetitesmajuscules"/>
          <w:b w:val="0"/>
          <w:sz w:val="24"/>
        </w:rPr>
        <w:t xml:space="preserve">Augier. </w:t>
      </w:r>
      <w:r w:rsidRPr="003B3476">
        <w:rPr>
          <w:lang w:val="fr-FR" w:eastAsia="fr-FR" w:bidi="fr-FR"/>
        </w:rPr>
        <w:t xml:space="preserve">Elle compte 7 vol. de </w:t>
      </w:r>
      <w:r w:rsidRPr="003B3476">
        <w:rPr>
          <w:smallCaps/>
          <w:lang w:val="fr-FR" w:eastAsia="fr-FR" w:bidi="fr-FR"/>
        </w:rPr>
        <w:t>iij</w:t>
      </w:r>
      <w:r w:rsidRPr="003B3476">
        <w:rPr>
          <w:lang w:val="fr-FR" w:eastAsia="fr-FR" w:bidi="fr-FR"/>
        </w:rPr>
        <w:t xml:space="preserve"> + </w:t>
      </w:r>
      <w:r w:rsidRPr="003B3476">
        <w:rPr>
          <w:smallCaps/>
          <w:lang w:val="fr-FR" w:eastAsia="fr-FR" w:bidi="fr-FR"/>
        </w:rPr>
        <w:t>xxii</w:t>
      </w:r>
      <w:r w:rsidRPr="003B3476">
        <w:rPr>
          <w:lang w:val="fr-FR" w:eastAsia="fr-FR" w:bidi="fr-FR"/>
        </w:rPr>
        <w:t xml:space="preserve"> + 664, 666, 599, 651, 453, ix + 540, 548 p., in-8°, Paris, 1883-1893. Le t. VII re</w:t>
      </w:r>
      <w:r w:rsidRPr="003B3476">
        <w:rPr>
          <w:lang w:val="fr-FR" w:eastAsia="fr-FR" w:bidi="fr-FR"/>
        </w:rPr>
        <w:t>n</w:t>
      </w:r>
      <w:r w:rsidRPr="003B3476">
        <w:rPr>
          <w:lang w:val="fr-FR" w:eastAsia="fr-FR" w:bidi="fr-FR"/>
        </w:rPr>
        <w:t xml:space="preserve">ferme les tables ; le VI des </w:t>
      </w:r>
      <w:r w:rsidRPr="003B3476">
        <w:rPr>
          <w:bCs/>
          <w:i/>
        </w:rPr>
        <w:t>Rectifications et Additions</w:t>
      </w:r>
      <w:r w:rsidRPr="003B3476">
        <w:rPr>
          <w:lang w:val="fr-FR" w:eastAsia="fr-FR" w:bidi="fr-FR"/>
        </w:rPr>
        <w:t xml:space="preserve"> (par Fern. </w:t>
      </w:r>
      <w:r w:rsidRPr="003B3476">
        <w:rPr>
          <w:rStyle w:val="Notedebasdepage65ptPetitesmajuscules"/>
          <w:b w:val="0"/>
          <w:sz w:val="24"/>
        </w:rPr>
        <w:t>Bournon)</w:t>
      </w:r>
      <w:r w:rsidRPr="003B3476">
        <w:rPr>
          <w:rStyle w:val="Notedebasdepage65ptPetitesmajuscules"/>
          <w:b w:val="0"/>
        </w:rPr>
        <w:t xml:space="preserve"> </w:t>
      </w:r>
      <w:r w:rsidRPr="003B3476">
        <w:rPr>
          <w:lang w:val="fr-FR" w:eastAsia="fr-FR" w:bidi="fr-FR"/>
        </w:rPr>
        <w:t>qui ne concernent que la ville de Paris.</w:t>
      </w:r>
    </w:p>
  </w:footnote>
  <w:footnote w:id="463">
    <w:p w14:paraId="001ED9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le </w:t>
      </w:r>
      <w:r w:rsidRPr="003B3476">
        <w:rPr>
          <w:bCs/>
          <w:i/>
        </w:rPr>
        <w:t>Projet</w:t>
      </w:r>
      <w:r w:rsidRPr="003B3476">
        <w:rPr>
          <w:lang w:val="fr-FR" w:eastAsia="fr-FR" w:bidi="fr-FR"/>
        </w:rPr>
        <w:t xml:space="preserve"> cité plus haut, n. 4.</w:t>
      </w:r>
    </w:p>
  </w:footnote>
  <w:footnote w:id="464">
    <w:p w14:paraId="3A9466B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Publiée par la Soc. Dunoise, 2 vol. in 8°, Châteaudun, 1884, </w:t>
      </w:r>
      <w:r w:rsidRPr="003B3476">
        <w:rPr>
          <w:rStyle w:val="Notedebasdepage5ptPetitesmajuscules"/>
          <w:b w:val="0"/>
          <w:sz w:val="24"/>
        </w:rPr>
        <w:t xml:space="preserve">lxiii </w:t>
      </w:r>
      <w:r w:rsidRPr="003B3476">
        <w:rPr>
          <w:lang w:val="fr-FR" w:eastAsia="fr-FR" w:bidi="fr-FR"/>
        </w:rPr>
        <w:t>+ 406 et 372 p. Une édition abrégée avait paru en 1850-51. La préface mise par M. Bro</w:t>
      </w:r>
      <w:r w:rsidRPr="003B3476">
        <w:rPr>
          <w:lang w:val="fr-FR" w:eastAsia="fr-FR" w:bidi="fr-FR"/>
        </w:rPr>
        <w:t>s</w:t>
      </w:r>
      <w:r w:rsidRPr="003B3476">
        <w:rPr>
          <w:lang w:val="fr-FR" w:eastAsia="fr-FR" w:bidi="fr-FR"/>
        </w:rPr>
        <w:t>sier-Géray à l’édition de 1884 contient quelques renseignements sur l’historiographie dunoise.</w:t>
      </w:r>
    </w:p>
  </w:footnote>
  <w:footnote w:id="465">
    <w:p w14:paraId="6A35CE7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 p. 220.</w:t>
      </w:r>
    </w:p>
  </w:footnote>
  <w:footnote w:id="466">
    <w:p w14:paraId="2D3E1B0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2 vol., Chartres et Paris, xxxviij + [14] + 431 et 522 p.</w:t>
      </w:r>
    </w:p>
  </w:footnote>
  <w:footnote w:id="467">
    <w:p w14:paraId="42A06C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II, p. 358 et 359.</w:t>
      </w:r>
    </w:p>
  </w:footnote>
  <w:footnote w:id="468">
    <w:p w14:paraId="1F6406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w:t>
      </w:r>
      <w:r w:rsidRPr="003B3476">
        <w:rPr>
          <w:bCs/>
          <w:i/>
        </w:rPr>
        <w:t>Revue de Synthèse historique</w:t>
      </w:r>
      <w:r w:rsidRPr="003B3476">
        <w:rPr>
          <w:bCs/>
        </w:rPr>
        <w:t>,</w:t>
      </w:r>
      <w:r w:rsidRPr="003B3476">
        <w:rPr>
          <w:lang w:val="fr-FR" w:eastAsia="fr-FR" w:bidi="fr-FR"/>
        </w:rPr>
        <w:t xml:space="preserve"> t. XXV, p. 209 et </w:t>
      </w:r>
      <w:r w:rsidRPr="003B3476">
        <w:rPr>
          <w:bCs/>
          <w:i/>
        </w:rPr>
        <w:t>supra</w:t>
      </w:r>
      <w:r w:rsidRPr="003B3476">
        <w:rPr>
          <w:lang w:val="fr-FR" w:eastAsia="fr-FR" w:bidi="fr-FR"/>
        </w:rPr>
        <w:t>, p. 692.</w:t>
      </w:r>
    </w:p>
  </w:footnote>
  <w:footnote w:id="469">
    <w:p w14:paraId="5B6296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 travail d’histoire locale, au </w:t>
      </w:r>
      <w:r w:rsidRPr="003B3476">
        <w:rPr>
          <w:smallCaps/>
          <w:lang w:val="fr-FR" w:eastAsia="fr-FR" w:bidi="fr-FR"/>
        </w:rPr>
        <w:t>xix</w:t>
      </w:r>
      <w:r w:rsidRPr="003B3476">
        <w:rPr>
          <w:vertAlign w:val="superscript"/>
          <w:lang w:val="fr-FR" w:eastAsia="fr-FR" w:bidi="fr-FR"/>
        </w:rPr>
        <w:t>e</w:t>
      </w:r>
      <w:r w:rsidRPr="003B3476">
        <w:rPr>
          <w:lang w:val="fr-FR" w:eastAsia="fr-FR" w:bidi="fr-FR"/>
        </w:rPr>
        <w:t xml:space="preserve"> siècle, en Seine-et-Marne, on trouvera quelques renseignements dans un article de M. Maurice </w:t>
      </w:r>
      <w:r w:rsidRPr="003B3476">
        <w:rPr>
          <w:rStyle w:val="Notedebasdepage65ptPetitesmajuscules"/>
          <w:b w:val="0"/>
          <w:sz w:val="24"/>
        </w:rPr>
        <w:t xml:space="preserve">Lecomte, </w:t>
      </w:r>
      <w:r w:rsidRPr="003B3476">
        <w:rPr>
          <w:bCs/>
          <w:i/>
        </w:rPr>
        <w:t>De l’Histoire locale en Seine-et-Marne</w:t>
      </w:r>
      <w:r w:rsidRPr="003B3476">
        <w:rPr>
          <w:bCs/>
        </w:rPr>
        <w:t xml:space="preserve">, </w:t>
      </w:r>
      <w:r w:rsidRPr="003B3476">
        <w:rPr>
          <w:lang w:val="fr-FR" w:eastAsia="fr-FR" w:bidi="fr-FR"/>
        </w:rPr>
        <w:t xml:space="preserve">paru dans la revue </w:t>
      </w:r>
      <w:r w:rsidRPr="003B3476">
        <w:rPr>
          <w:bCs/>
          <w:i/>
        </w:rPr>
        <w:t>Brie et Gâtinais</w:t>
      </w:r>
      <w:r w:rsidRPr="003B3476">
        <w:rPr>
          <w:lang w:val="fr-FR" w:eastAsia="fr-FR" w:bidi="fr-FR"/>
        </w:rPr>
        <w:t xml:space="preserve">, t. 1,1909, p. 4-9. Le volume intitulé : </w:t>
      </w:r>
      <w:r w:rsidRPr="003B3476">
        <w:rPr>
          <w:bCs/>
          <w:i/>
        </w:rPr>
        <w:t>Conférence des sociétés savantes de Se</w:t>
      </w:r>
      <w:r w:rsidRPr="003B3476">
        <w:rPr>
          <w:bCs/>
          <w:i/>
        </w:rPr>
        <w:t>i</w:t>
      </w:r>
      <w:r w:rsidRPr="003B3476">
        <w:rPr>
          <w:bCs/>
          <w:i/>
        </w:rPr>
        <w:t>ne-et-Oise</w:t>
      </w:r>
      <w:r w:rsidRPr="003B3476">
        <w:rPr>
          <w:bCs/>
        </w:rPr>
        <w:t xml:space="preserve">. </w:t>
      </w:r>
      <w:r w:rsidRPr="003B3476">
        <w:rPr>
          <w:bCs/>
          <w:i/>
        </w:rPr>
        <w:t>Première réunion</w:t>
      </w:r>
      <w:r w:rsidRPr="003B3476">
        <w:rPr>
          <w:lang w:val="fr-FR" w:eastAsia="fr-FR" w:bidi="fr-FR"/>
        </w:rPr>
        <w:t xml:space="preserve"> (1902), in-8°, Paris, 1903, p. 4-28, contient une série de n</w:t>
      </w:r>
      <w:r w:rsidRPr="003B3476">
        <w:rPr>
          <w:lang w:val="fr-FR" w:eastAsia="fr-FR" w:bidi="fr-FR"/>
        </w:rPr>
        <w:t>o</w:t>
      </w:r>
      <w:r w:rsidRPr="003B3476">
        <w:rPr>
          <w:lang w:val="fr-FR" w:eastAsia="fr-FR" w:bidi="fr-FR"/>
        </w:rPr>
        <w:t>tices sur les diverses sociétés locales du département. L’historien de l’Île-de-France aura souvent occasion de se reporter aux publications des sociétés s</w:t>
      </w:r>
      <w:r w:rsidRPr="003B3476">
        <w:rPr>
          <w:lang w:val="fr-FR" w:eastAsia="fr-FR" w:bidi="fr-FR"/>
        </w:rPr>
        <w:t>a</w:t>
      </w:r>
      <w:r w:rsidRPr="003B3476">
        <w:rPr>
          <w:lang w:val="fr-FR" w:eastAsia="fr-FR" w:bidi="fr-FR"/>
        </w:rPr>
        <w:t>vantes orléanaises : la</w:t>
      </w:r>
      <w:r w:rsidRPr="003B3476">
        <w:rPr>
          <w:i/>
          <w:lang w:val="fr-FR" w:eastAsia="fr-FR" w:bidi="fr-FR"/>
        </w:rPr>
        <w:t xml:space="preserve"> </w:t>
      </w:r>
      <w:r w:rsidRPr="003B3476">
        <w:rPr>
          <w:bCs/>
          <w:i/>
        </w:rPr>
        <w:t xml:space="preserve">Société Archéologique et Historique de l’Orléanais, </w:t>
      </w:r>
      <w:r w:rsidRPr="003B3476">
        <w:rPr>
          <w:bCs/>
        </w:rPr>
        <w:t>l’</w:t>
      </w:r>
      <w:r w:rsidRPr="003B3476">
        <w:rPr>
          <w:bCs/>
          <w:i/>
        </w:rPr>
        <w:t>Académie de Sainte-Croix d’Orléans</w:t>
      </w:r>
      <w:r w:rsidRPr="003B3476">
        <w:rPr>
          <w:lang w:val="fr-FR" w:eastAsia="fr-FR" w:bidi="fr-FR"/>
        </w:rPr>
        <w:t xml:space="preserve">, la </w:t>
      </w:r>
      <w:r w:rsidRPr="003B3476">
        <w:rPr>
          <w:bCs/>
          <w:i/>
        </w:rPr>
        <w:t>Société d’Agriculture, Sciences, Belles-Lettres et Arts d’Orléans</w:t>
      </w:r>
      <w:r w:rsidRPr="003B3476">
        <w:rPr>
          <w:bCs/>
        </w:rPr>
        <w:t>.</w:t>
      </w:r>
      <w:r w:rsidRPr="003B3476">
        <w:rPr>
          <w:lang w:val="fr-FR" w:eastAsia="fr-FR" w:bidi="fr-FR"/>
        </w:rPr>
        <w:t xml:space="preserve"> On pourra consulter sur l’histoire de ces s</w:t>
      </w:r>
      <w:r w:rsidRPr="003B3476">
        <w:rPr>
          <w:lang w:val="fr-FR" w:eastAsia="fr-FR" w:bidi="fr-FR"/>
        </w:rPr>
        <w:t>o</w:t>
      </w:r>
      <w:r w:rsidRPr="003B3476">
        <w:rPr>
          <w:lang w:val="fr-FR" w:eastAsia="fr-FR" w:bidi="fr-FR"/>
        </w:rPr>
        <w:t xml:space="preserve">ciétés les travaux de J. </w:t>
      </w:r>
      <w:r w:rsidRPr="003B3476">
        <w:rPr>
          <w:rStyle w:val="Notedebasdepage65ptPetitesmajuscules"/>
          <w:b w:val="0"/>
          <w:sz w:val="24"/>
        </w:rPr>
        <w:t xml:space="preserve">Loiseleur, </w:t>
      </w:r>
      <w:r w:rsidRPr="003B3476">
        <w:rPr>
          <w:bCs/>
          <w:i/>
        </w:rPr>
        <w:t>Les Archives de l’Académie d’Orléans</w:t>
      </w:r>
      <w:r w:rsidRPr="003B3476">
        <w:rPr>
          <w:lang w:val="fr-FR" w:eastAsia="fr-FR" w:bidi="fr-FR"/>
        </w:rPr>
        <w:t xml:space="preserve">, dans </w:t>
      </w:r>
      <w:r w:rsidRPr="003B3476">
        <w:rPr>
          <w:bCs/>
          <w:i/>
        </w:rPr>
        <w:t>Mém. Soc. sciences Orléans</w:t>
      </w:r>
      <w:r w:rsidRPr="003B3476">
        <w:rPr>
          <w:bCs/>
        </w:rPr>
        <w:t>,</w:t>
      </w:r>
      <w:r w:rsidRPr="003B3476">
        <w:rPr>
          <w:lang w:val="fr-FR" w:eastAsia="fr-FR" w:bidi="fr-FR"/>
        </w:rPr>
        <w:t xml:space="preserve"> t. XIV de la 2</w:t>
      </w:r>
      <w:r w:rsidRPr="003B3476">
        <w:rPr>
          <w:vertAlign w:val="superscript"/>
          <w:lang w:val="fr-FR" w:eastAsia="fr-FR" w:bidi="fr-FR"/>
        </w:rPr>
        <w:t>e</w:t>
      </w:r>
      <w:r w:rsidRPr="003B3476">
        <w:rPr>
          <w:lang w:val="fr-FR" w:eastAsia="fr-FR" w:bidi="fr-FR"/>
        </w:rPr>
        <w:t xml:space="preserve"> série (1872 : t. XLV de la colle</w:t>
      </w:r>
      <w:r w:rsidRPr="003B3476">
        <w:rPr>
          <w:lang w:val="fr-FR" w:eastAsia="fr-FR" w:bidi="fr-FR"/>
        </w:rPr>
        <w:t>c</w:t>
      </w:r>
      <w:r w:rsidRPr="003B3476">
        <w:rPr>
          <w:lang w:val="fr-FR" w:eastAsia="fr-FR" w:bidi="fr-FR"/>
        </w:rPr>
        <w:t>tion complète), p. 39-82 (</w:t>
      </w:r>
      <w:r w:rsidRPr="003B3476">
        <w:rPr>
          <w:i/>
          <w:lang w:val="fr-FR" w:eastAsia="fr-FR" w:bidi="fr-FR"/>
        </w:rPr>
        <w:t>cf</w:t>
      </w:r>
      <w:r w:rsidRPr="003B3476">
        <w:rPr>
          <w:lang w:val="fr-FR" w:eastAsia="fr-FR" w:bidi="fr-FR"/>
        </w:rPr>
        <w:t xml:space="preserve">. </w:t>
      </w:r>
      <w:r w:rsidRPr="003B3476">
        <w:rPr>
          <w:bCs/>
          <w:i/>
        </w:rPr>
        <w:t>Ibid.</w:t>
      </w:r>
      <w:r w:rsidRPr="003B3476">
        <w:rPr>
          <w:bCs/>
        </w:rPr>
        <w:t>,</w:t>
      </w:r>
      <w:r w:rsidRPr="003B3476">
        <w:rPr>
          <w:lang w:val="fr-FR" w:eastAsia="fr-FR" w:bidi="fr-FR"/>
        </w:rPr>
        <w:t xml:space="preserve"> t. XV, 1873, p. 27 et suiv.) ; </w:t>
      </w:r>
      <w:r w:rsidRPr="003B3476">
        <w:rPr>
          <w:rStyle w:val="Notedebasdepage65ptPetitesmajuscules"/>
          <w:b w:val="0"/>
          <w:sz w:val="24"/>
        </w:rPr>
        <w:t xml:space="preserve">Guerrier, </w:t>
      </w:r>
      <w:r w:rsidRPr="003B3476">
        <w:rPr>
          <w:bCs/>
          <w:i/>
        </w:rPr>
        <w:t>Histoire de la Société d’agriculture</w:t>
      </w:r>
      <w:r w:rsidRPr="003B3476">
        <w:rPr>
          <w:i/>
          <w:lang w:val="fr-FR" w:eastAsia="fr-FR" w:bidi="fr-FR"/>
        </w:rPr>
        <w:t xml:space="preserve">, </w:t>
      </w:r>
      <w:r w:rsidRPr="003B3476">
        <w:rPr>
          <w:bCs/>
          <w:i/>
        </w:rPr>
        <w:t>sciences, belles-lettres et arts d’Orléans et de ses travaux</w:t>
      </w:r>
      <w:r w:rsidRPr="003B3476">
        <w:rPr>
          <w:bCs/>
        </w:rPr>
        <w:t>,</w:t>
      </w:r>
      <w:r w:rsidRPr="003B3476">
        <w:rPr>
          <w:lang w:val="fr-FR" w:eastAsia="fr-FR" w:bidi="fr-FR"/>
        </w:rPr>
        <w:t xml:space="preserve"> dans </w:t>
      </w:r>
      <w:r w:rsidRPr="003B3476">
        <w:rPr>
          <w:bCs/>
          <w:i/>
        </w:rPr>
        <w:t>Mém. Soc. agricult. Orléans</w:t>
      </w:r>
      <w:r w:rsidRPr="003B3476">
        <w:rPr>
          <w:bCs/>
        </w:rPr>
        <w:t>,</w:t>
      </w:r>
      <w:r w:rsidRPr="003B3476">
        <w:rPr>
          <w:lang w:val="fr-FR" w:eastAsia="fr-FR" w:bidi="fr-FR"/>
        </w:rPr>
        <w:t xml:space="preserve"> 4</w:t>
      </w:r>
      <w:r w:rsidRPr="003B3476">
        <w:rPr>
          <w:vertAlign w:val="superscript"/>
          <w:lang w:val="fr-FR" w:eastAsia="fr-FR" w:bidi="fr-FR"/>
        </w:rPr>
        <w:t>e</w:t>
      </w:r>
      <w:r w:rsidRPr="003B3476">
        <w:rPr>
          <w:lang w:val="fr-FR" w:eastAsia="fr-FR" w:bidi="fr-FR"/>
        </w:rPr>
        <w:t xml:space="preserve"> série, t. XXXVII (68</w:t>
      </w:r>
      <w:r w:rsidRPr="003B3476">
        <w:rPr>
          <w:vertAlign w:val="superscript"/>
          <w:lang w:val="fr-FR" w:eastAsia="fr-FR" w:bidi="fr-FR"/>
        </w:rPr>
        <w:t>e</w:t>
      </w:r>
      <w:r w:rsidRPr="003B3476">
        <w:rPr>
          <w:lang w:val="fr-FR" w:eastAsia="fr-FR" w:bidi="fr-FR"/>
        </w:rPr>
        <w:t xml:space="preserve"> v. de la Collection), p. 1-248 ; et </w:t>
      </w:r>
      <w:r w:rsidRPr="003B3476">
        <w:rPr>
          <w:rStyle w:val="Notedebasdepage65ptPetitesmajuscules"/>
          <w:b w:val="0"/>
          <w:sz w:val="24"/>
        </w:rPr>
        <w:t xml:space="preserve">Fauchon, </w:t>
      </w:r>
      <w:r w:rsidRPr="003B3476">
        <w:rPr>
          <w:bCs/>
          <w:i/>
        </w:rPr>
        <w:t>La Société d’agriculture</w:t>
      </w:r>
      <w:r w:rsidRPr="003B3476">
        <w:rPr>
          <w:i/>
          <w:lang w:val="fr-FR" w:eastAsia="fr-FR" w:bidi="fr-FR"/>
        </w:rPr>
        <w:t xml:space="preserve">, </w:t>
      </w:r>
      <w:r w:rsidRPr="003B3476">
        <w:rPr>
          <w:bCs/>
          <w:i/>
        </w:rPr>
        <w:t>sciences, belles-lettres et arts d’Orléans</w:t>
      </w:r>
      <w:r w:rsidRPr="003B3476">
        <w:rPr>
          <w:bCs/>
        </w:rPr>
        <w:t>, de 1809 à 1909,</w:t>
      </w:r>
      <w:r w:rsidRPr="003B3476">
        <w:rPr>
          <w:lang w:val="fr-FR" w:eastAsia="fr-FR" w:bidi="fr-FR"/>
        </w:rPr>
        <w:t xml:space="preserve"> dans </w:t>
      </w:r>
      <w:r w:rsidRPr="003B3476">
        <w:rPr>
          <w:bCs/>
          <w:i/>
        </w:rPr>
        <w:t>Mém. Soc. agricult. Orléans</w:t>
      </w:r>
      <w:r w:rsidRPr="003B3476">
        <w:rPr>
          <w:bCs/>
        </w:rPr>
        <w:t>,</w:t>
      </w:r>
      <w:r w:rsidRPr="003B3476">
        <w:rPr>
          <w:lang w:val="fr-FR" w:eastAsia="fr-FR" w:bidi="fr-FR"/>
        </w:rPr>
        <w:t xml:space="preserve"> 5</w:t>
      </w:r>
      <w:r w:rsidRPr="003B3476">
        <w:rPr>
          <w:vertAlign w:val="superscript"/>
          <w:lang w:val="fr-FR" w:eastAsia="fr-FR" w:bidi="fr-FR"/>
        </w:rPr>
        <w:t>e</w:t>
      </w:r>
      <w:r w:rsidRPr="003B3476">
        <w:rPr>
          <w:lang w:val="fr-FR" w:eastAsia="fr-FR" w:bidi="fr-FR"/>
        </w:rPr>
        <w:t xml:space="preserve"> série, t. IX, 1909, p. 255-288. Je rappelle que sur les publications des sociétés savantes nous sommes renseignés par la </w:t>
      </w:r>
      <w:r w:rsidRPr="003B3476">
        <w:rPr>
          <w:bCs/>
          <w:i/>
        </w:rPr>
        <w:t>B</w:t>
      </w:r>
      <w:r w:rsidRPr="003B3476">
        <w:rPr>
          <w:bCs/>
          <w:i/>
        </w:rPr>
        <w:t>i</w:t>
      </w:r>
      <w:r w:rsidRPr="003B3476">
        <w:rPr>
          <w:bCs/>
          <w:i/>
        </w:rPr>
        <w:t>bliographie Générale des travaux historiques et archéologiques publiés par les Sociétés savantes de la France</w:t>
      </w:r>
      <w:r w:rsidRPr="003B3476">
        <w:rPr>
          <w:bCs/>
        </w:rPr>
        <w:t>,</w:t>
      </w:r>
      <w:r w:rsidRPr="003B3476">
        <w:rPr>
          <w:lang w:val="fr-FR" w:eastAsia="fr-FR" w:bidi="fr-FR"/>
        </w:rPr>
        <w:t xml:space="preserve"> dressée par M. R. de </w:t>
      </w:r>
      <w:r w:rsidRPr="003B3476">
        <w:rPr>
          <w:rStyle w:val="Notedebasdepage65ptPetitesmajuscules"/>
          <w:b w:val="0"/>
          <w:sz w:val="24"/>
        </w:rPr>
        <w:t xml:space="preserve">Lasteyrie </w:t>
      </w:r>
      <w:r w:rsidRPr="003B3476">
        <w:rPr>
          <w:lang w:val="fr-FR" w:eastAsia="fr-FR" w:bidi="fr-FR"/>
        </w:rPr>
        <w:t>et ses co</w:t>
      </w:r>
      <w:r w:rsidRPr="003B3476">
        <w:rPr>
          <w:lang w:val="fr-FR" w:eastAsia="fr-FR" w:bidi="fr-FR"/>
        </w:rPr>
        <w:t>l</w:t>
      </w:r>
      <w:r w:rsidRPr="003B3476">
        <w:rPr>
          <w:lang w:val="fr-FR" w:eastAsia="fr-FR" w:bidi="fr-FR"/>
        </w:rPr>
        <w:t>laborateurs. Ce grand ouvrage comprend : 1° 4 vol. in-4° donnant le dépoui</w:t>
      </w:r>
      <w:r w:rsidRPr="003B3476">
        <w:rPr>
          <w:lang w:val="fr-FR" w:eastAsia="fr-FR" w:bidi="fr-FR"/>
        </w:rPr>
        <w:t>l</w:t>
      </w:r>
      <w:r w:rsidRPr="003B3476">
        <w:rPr>
          <w:lang w:val="fr-FR" w:eastAsia="fr-FR" w:bidi="fr-FR"/>
        </w:rPr>
        <w:t xml:space="preserve">lement jusqu’à la fin de l’année 1885 ; 2° un </w:t>
      </w:r>
      <w:r w:rsidRPr="003B3476">
        <w:rPr>
          <w:bCs/>
          <w:i/>
        </w:rPr>
        <w:t>Supplément</w:t>
      </w:r>
      <w:r w:rsidRPr="003B3476">
        <w:rPr>
          <w:bCs/>
        </w:rPr>
        <w:t xml:space="preserve">, </w:t>
      </w:r>
      <w:r w:rsidRPr="003B3476">
        <w:rPr>
          <w:lang w:val="fr-FR" w:eastAsia="fr-FR" w:bidi="fr-FR"/>
        </w:rPr>
        <w:t>allant de 1886 à 1900 ; un seul vol. a paru où l’on trouvera recensées les publications des s</w:t>
      </w:r>
      <w:r w:rsidRPr="003B3476">
        <w:rPr>
          <w:lang w:val="fr-FR" w:eastAsia="fr-FR" w:bidi="fr-FR"/>
        </w:rPr>
        <w:t>o</w:t>
      </w:r>
      <w:r w:rsidRPr="003B3476">
        <w:rPr>
          <w:lang w:val="fr-FR" w:eastAsia="fr-FR" w:bidi="fr-FR"/>
        </w:rPr>
        <w:t>ciétés de tous les départements, de l’Ain à la Haute-Savoie (ordre alphabét</w:t>
      </w:r>
      <w:r w:rsidRPr="003B3476">
        <w:rPr>
          <w:lang w:val="fr-FR" w:eastAsia="fr-FR" w:bidi="fr-FR"/>
        </w:rPr>
        <w:t>i</w:t>
      </w:r>
      <w:r w:rsidRPr="003B3476">
        <w:rPr>
          <w:lang w:val="fr-FR" w:eastAsia="fr-FR" w:bidi="fr-FR"/>
        </w:rPr>
        <w:t xml:space="preserve">que des départements) ; 3° des </w:t>
      </w:r>
      <w:r w:rsidRPr="003B3476">
        <w:rPr>
          <w:bCs/>
          <w:i/>
        </w:rPr>
        <w:t>Bibliographies annuelles</w:t>
      </w:r>
      <w:r w:rsidRPr="003B3476">
        <w:rPr>
          <w:bCs/>
        </w:rPr>
        <w:t> :</w:t>
      </w:r>
      <w:r w:rsidRPr="003B3476">
        <w:rPr>
          <w:lang w:val="fr-FR" w:eastAsia="fr-FR" w:bidi="fr-FR"/>
        </w:rPr>
        <w:t xml:space="preserve"> 9 fascicules (le de</w:t>
      </w:r>
      <w:r w:rsidRPr="003B3476">
        <w:rPr>
          <w:lang w:val="fr-FR" w:eastAsia="fr-FR" w:bidi="fr-FR"/>
        </w:rPr>
        <w:t>r</w:t>
      </w:r>
      <w:r w:rsidRPr="003B3476">
        <w:rPr>
          <w:lang w:val="fr-FR" w:eastAsia="fr-FR" w:bidi="fr-FR"/>
        </w:rPr>
        <w:t>nier paru en 1911) allant de 1901 à 1909.</w:t>
      </w:r>
    </w:p>
  </w:footnote>
  <w:footnote w:id="470">
    <w:p w14:paraId="7022C5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De 1837 à 1847 la Société avait fait paraître seulement quelques fascicules isolés contenant les comptes rendus de ses séances. Outre ses </w:t>
      </w:r>
      <w:r w:rsidRPr="003B3476">
        <w:rPr>
          <w:bCs/>
          <w:i/>
        </w:rPr>
        <w:t>Mémoires</w:t>
      </w:r>
      <w:r w:rsidRPr="003B3476">
        <w:rPr>
          <w:lang w:val="fr-FR" w:eastAsia="fr-FR" w:bidi="fr-FR"/>
        </w:rPr>
        <w:t xml:space="preserve">, elle publie depuis 1894 un </w:t>
      </w:r>
      <w:r w:rsidRPr="003B3476">
        <w:rPr>
          <w:bCs/>
          <w:i/>
        </w:rPr>
        <w:t>Bulletin</w:t>
      </w:r>
      <w:r w:rsidRPr="003B3476">
        <w:rPr>
          <w:bCs/>
        </w:rPr>
        <w:t xml:space="preserve"> </w:t>
      </w:r>
      <w:r w:rsidRPr="003B3476">
        <w:rPr>
          <w:lang w:val="fr-FR" w:eastAsia="fr-FR" w:bidi="fr-FR"/>
        </w:rPr>
        <w:t xml:space="preserve">et depuis 1899 une revue trimestrielle intitulée </w:t>
      </w:r>
      <w:r w:rsidRPr="003B3476">
        <w:rPr>
          <w:bCs/>
          <w:i/>
        </w:rPr>
        <w:t>Revue de l’Histoire de Versailles et de Seine-et-Oise</w:t>
      </w:r>
      <w:r w:rsidRPr="003B3476">
        <w:rPr>
          <w:bCs/>
        </w:rPr>
        <w:t>.</w:t>
      </w:r>
    </w:p>
  </w:footnote>
  <w:footnote w:id="471">
    <w:p w14:paraId="00F68E0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l’activité de cette société, à ses débuts, consulter une lettre de M. Moutié, insérée dans le tome X (1844) du </w:t>
      </w:r>
      <w:r w:rsidRPr="003B3476">
        <w:rPr>
          <w:bCs/>
          <w:i/>
        </w:rPr>
        <w:t>Bulletin Monumental</w:t>
      </w:r>
      <w:r w:rsidRPr="003B3476">
        <w:rPr>
          <w:lang w:val="fr-FR" w:eastAsia="fr-FR" w:bidi="fr-FR"/>
        </w:rPr>
        <w:t xml:space="preserve">, </w:t>
      </w:r>
      <w:r w:rsidRPr="003B3476">
        <w:rPr>
          <w:bCs/>
        </w:rPr>
        <w:t xml:space="preserve">p. </w:t>
      </w:r>
      <w:r w:rsidRPr="003B3476">
        <w:rPr>
          <w:lang w:val="fr-FR" w:eastAsia="fr-FR" w:bidi="fr-FR"/>
        </w:rPr>
        <w:t xml:space="preserve">304. </w:t>
      </w:r>
      <w:r w:rsidRPr="003B3476">
        <w:rPr>
          <w:bCs/>
          <w:i/>
        </w:rPr>
        <w:t>Cf.</w:t>
      </w:r>
      <w:r w:rsidRPr="003B3476">
        <w:rPr>
          <w:lang w:val="fr-FR" w:eastAsia="fr-FR" w:bidi="fr-FR"/>
        </w:rPr>
        <w:t xml:space="preserve"> A. de </w:t>
      </w:r>
      <w:r w:rsidRPr="003B3476">
        <w:rPr>
          <w:rStyle w:val="Notedebasdepage65ptPetitesmajuscules"/>
          <w:b w:val="0"/>
          <w:sz w:val="24"/>
        </w:rPr>
        <w:t xml:space="preserve">Dion, </w:t>
      </w:r>
      <w:r w:rsidRPr="003B3476">
        <w:rPr>
          <w:bCs/>
          <w:i/>
        </w:rPr>
        <w:t>Auguste Moutié et la Société Archéologique de Rambouillet</w:t>
      </w:r>
      <w:r w:rsidRPr="003B3476">
        <w:rPr>
          <w:lang w:val="fr-FR" w:eastAsia="fr-FR" w:bidi="fr-FR"/>
        </w:rPr>
        <w:t xml:space="preserve">, dans </w:t>
      </w:r>
      <w:r w:rsidRPr="003B3476">
        <w:rPr>
          <w:bCs/>
          <w:i/>
        </w:rPr>
        <w:t>Mém. Soc. archéol. Rambouillet</w:t>
      </w:r>
      <w:r w:rsidRPr="003B3476">
        <w:rPr>
          <w:lang w:val="fr-FR" w:eastAsia="fr-FR" w:bidi="fr-FR"/>
        </w:rPr>
        <w:t>, t. VIII, 1887-1888, p. 5-15.</w:t>
      </w:r>
    </w:p>
  </w:footnote>
  <w:footnote w:id="472">
    <w:p w14:paraId="0DB48C8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 xml:space="preserve">La </w:t>
      </w:r>
      <w:r w:rsidRPr="003B3476">
        <w:rPr>
          <w:bCs/>
          <w:i/>
        </w:rPr>
        <w:t>Société Archéologique de Rambouillet</w:t>
      </w:r>
      <w:r w:rsidRPr="003B3476">
        <w:rPr>
          <w:lang w:val="fr-FR" w:eastAsia="fr-FR" w:bidi="fr-FR"/>
        </w:rPr>
        <w:t xml:space="preserve"> publie (depuis 1870) des </w:t>
      </w:r>
      <w:r w:rsidRPr="003B3476">
        <w:rPr>
          <w:bCs/>
          <w:i/>
        </w:rPr>
        <w:t>Mémoires et Documents </w:t>
      </w:r>
      <w:r w:rsidRPr="003B3476">
        <w:rPr>
          <w:bCs/>
        </w:rPr>
        <w:t xml:space="preserve">; </w:t>
      </w:r>
      <w:r w:rsidRPr="003B3476">
        <w:rPr>
          <w:lang w:val="fr-FR" w:eastAsia="fr-FR" w:bidi="fr-FR"/>
        </w:rPr>
        <w:t>elle a subventionné diverses publications.</w:t>
      </w:r>
    </w:p>
  </w:footnote>
  <w:footnote w:id="473">
    <w:p w14:paraId="627FB7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Procès-verbaux de la Soc. archéol. Eure-et-Loir</w:t>
      </w:r>
      <w:r w:rsidRPr="003B3476">
        <w:rPr>
          <w:bCs/>
        </w:rPr>
        <w:t xml:space="preserve">, t. I, p. 10. </w:t>
      </w:r>
      <w:r w:rsidRPr="003B3476">
        <w:rPr>
          <w:i/>
          <w:lang w:val="fr-FR" w:eastAsia="fr-FR" w:bidi="fr-FR"/>
        </w:rPr>
        <w:t>Cf.</w:t>
      </w:r>
      <w:r w:rsidRPr="003B3476">
        <w:rPr>
          <w:bCs/>
        </w:rPr>
        <w:t xml:space="preserve"> abbé </w:t>
      </w:r>
      <w:r w:rsidRPr="003B3476">
        <w:rPr>
          <w:rStyle w:val="Notedebasdepage265ptNonItaliquePetitesmajuscules"/>
          <w:b w:val="0"/>
          <w:iCs/>
          <w:sz w:val="24"/>
        </w:rPr>
        <w:t>Sainsot</w:t>
      </w:r>
      <w:r w:rsidRPr="003B3476">
        <w:rPr>
          <w:rStyle w:val="Notedebasdepage265ptNonItaliquePetitesmajuscules"/>
          <w:b w:val="0"/>
          <w:i/>
          <w:iCs/>
          <w:sz w:val="24"/>
        </w:rPr>
        <w:t>,</w:t>
      </w:r>
      <w:r w:rsidRPr="003B3476">
        <w:rPr>
          <w:rStyle w:val="Notedebasdepage265ptNonItaliquePetitesmajuscules"/>
          <w:b w:val="0"/>
          <w:i/>
          <w:iCs/>
        </w:rPr>
        <w:t xml:space="preserve"> </w:t>
      </w:r>
      <w:r w:rsidRPr="003B3476">
        <w:rPr>
          <w:i/>
          <w:lang w:val="fr-FR" w:eastAsia="fr-FR" w:bidi="fr-FR"/>
        </w:rPr>
        <w:t>Historique de la Société Archéologique d'Eure-et-Loir</w:t>
      </w:r>
      <w:r w:rsidRPr="003B3476">
        <w:rPr>
          <w:bCs/>
        </w:rPr>
        <w:t xml:space="preserve">, dans </w:t>
      </w:r>
      <w:r w:rsidRPr="003B3476">
        <w:rPr>
          <w:i/>
          <w:lang w:val="fr-FR" w:eastAsia="fr-FR" w:bidi="fr-FR"/>
        </w:rPr>
        <w:t>Mém. Soc. a</w:t>
      </w:r>
      <w:r w:rsidRPr="003B3476">
        <w:rPr>
          <w:i/>
          <w:lang w:val="fr-FR" w:eastAsia="fr-FR" w:bidi="fr-FR"/>
        </w:rPr>
        <w:t>r</w:t>
      </w:r>
      <w:r w:rsidRPr="003B3476">
        <w:rPr>
          <w:i/>
          <w:lang w:val="fr-FR" w:eastAsia="fr-FR" w:bidi="fr-FR"/>
        </w:rPr>
        <w:t>chéol. Eure-et-Loir</w:t>
      </w:r>
      <w:r w:rsidRPr="003B3476">
        <w:rPr>
          <w:bCs/>
        </w:rPr>
        <w:t>, t. XII, 1901, p. 294-302.</w:t>
      </w:r>
    </w:p>
  </w:footnote>
  <w:footnote w:id="474">
    <w:p w14:paraId="58B1EE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 xml:space="preserve">La </w:t>
      </w:r>
      <w:r w:rsidRPr="003B3476">
        <w:rPr>
          <w:bCs/>
          <w:i/>
        </w:rPr>
        <w:t>Société archéolog. d'Eure-et-Loir </w:t>
      </w:r>
      <w:r w:rsidRPr="003B3476">
        <w:rPr>
          <w:bCs/>
        </w:rPr>
        <w:t>:</w:t>
      </w:r>
      <w:r w:rsidRPr="003B3476">
        <w:rPr>
          <w:lang w:val="fr-FR" w:eastAsia="fr-FR" w:bidi="fr-FR"/>
        </w:rPr>
        <w:t xml:space="preserve"> 1° publie des </w:t>
      </w:r>
      <w:r w:rsidRPr="003B3476">
        <w:rPr>
          <w:bCs/>
          <w:i/>
        </w:rPr>
        <w:t>Mémoires</w:t>
      </w:r>
      <w:r w:rsidRPr="003B3476">
        <w:rPr>
          <w:lang w:val="fr-FR" w:eastAsia="fr-FR" w:bidi="fr-FR"/>
        </w:rPr>
        <w:t xml:space="preserve"> (depuis 1858) ; 2° publie ses </w:t>
      </w:r>
      <w:r w:rsidRPr="003B3476">
        <w:rPr>
          <w:bCs/>
          <w:i/>
        </w:rPr>
        <w:t>Procès-Verbaux</w:t>
      </w:r>
      <w:r w:rsidRPr="003B3476">
        <w:rPr>
          <w:lang w:val="fr-FR" w:eastAsia="fr-FR" w:bidi="fr-FR"/>
        </w:rPr>
        <w:t xml:space="preserve"> (depuis 1861) ; 3° a subventionné divers ouvr</w:t>
      </w:r>
      <w:r w:rsidRPr="003B3476">
        <w:rPr>
          <w:lang w:val="fr-FR" w:eastAsia="fr-FR" w:bidi="fr-FR"/>
        </w:rPr>
        <w:t>a</w:t>
      </w:r>
      <w:r w:rsidRPr="003B3476">
        <w:rPr>
          <w:lang w:val="fr-FR" w:eastAsia="fr-FR" w:bidi="fr-FR"/>
        </w:rPr>
        <w:t>ges.</w:t>
      </w:r>
    </w:p>
  </w:footnote>
  <w:footnote w:id="475">
    <w:p w14:paraId="3D0C56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 xml:space="preserve">La </w:t>
      </w:r>
      <w:r w:rsidRPr="003B3476">
        <w:rPr>
          <w:bCs/>
          <w:i/>
        </w:rPr>
        <w:t>Société de l’Histoire de Paris</w:t>
      </w:r>
      <w:r w:rsidRPr="003B3476">
        <w:rPr>
          <w:lang w:val="fr-FR" w:eastAsia="fr-FR" w:bidi="fr-FR"/>
        </w:rPr>
        <w:t xml:space="preserve"> publie : 1° un </w:t>
      </w:r>
      <w:r w:rsidRPr="003B3476">
        <w:rPr>
          <w:bCs/>
          <w:i/>
        </w:rPr>
        <w:t>Bulletin</w:t>
      </w:r>
      <w:r w:rsidRPr="003B3476">
        <w:rPr>
          <w:i/>
          <w:lang w:val="fr-FR" w:eastAsia="fr-FR" w:bidi="fr-FR"/>
        </w:rPr>
        <w:t> </w:t>
      </w:r>
      <w:r w:rsidRPr="003B3476">
        <w:rPr>
          <w:lang w:val="fr-FR" w:eastAsia="fr-FR" w:bidi="fr-FR"/>
        </w:rPr>
        <w:t xml:space="preserve">; 2° des </w:t>
      </w:r>
      <w:r w:rsidRPr="003B3476">
        <w:rPr>
          <w:bCs/>
          <w:i/>
        </w:rPr>
        <w:t>Mémoires</w:t>
      </w:r>
      <w:r w:rsidRPr="003B3476">
        <w:rPr>
          <w:i/>
          <w:lang w:val="fr-FR" w:eastAsia="fr-FR" w:bidi="fr-FR"/>
        </w:rPr>
        <w:t> </w:t>
      </w:r>
      <w:r w:rsidRPr="003B3476">
        <w:rPr>
          <w:lang w:val="fr-FR" w:eastAsia="fr-FR" w:bidi="fr-FR"/>
        </w:rPr>
        <w:t xml:space="preserve">; 3° des </w:t>
      </w:r>
      <w:r w:rsidRPr="003B3476">
        <w:rPr>
          <w:bCs/>
          <w:i/>
        </w:rPr>
        <w:t>Documents</w:t>
      </w:r>
      <w:r w:rsidRPr="003B3476">
        <w:rPr>
          <w:bCs/>
        </w:rPr>
        <w:t>.</w:t>
      </w:r>
      <w:r w:rsidRPr="003B3476">
        <w:rPr>
          <w:lang w:val="fr-FR" w:eastAsia="fr-FR" w:bidi="fr-FR"/>
        </w:rPr>
        <w:t xml:space="preserve"> Il a paru trois tables décennales des publications de la Société, en 1885 (1874-1883), 1894 (1884-1893), 1909 (1894-1903).</w:t>
      </w:r>
    </w:p>
  </w:footnote>
  <w:footnote w:id="476">
    <w:p w14:paraId="1D51C3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Publie des </w:t>
      </w:r>
      <w:r w:rsidRPr="003B3476">
        <w:rPr>
          <w:bCs/>
          <w:i/>
        </w:rPr>
        <w:t>Mémoires</w:t>
      </w:r>
      <w:r w:rsidRPr="003B3476">
        <w:rPr>
          <w:lang w:val="fr-FR" w:eastAsia="fr-FR" w:bidi="fr-FR"/>
        </w:rPr>
        <w:t xml:space="preserve"> (table décennale pour les années 1879-1890) et des </w:t>
      </w:r>
      <w:r w:rsidRPr="003B3476">
        <w:rPr>
          <w:bCs/>
        </w:rPr>
        <w:t>D</w:t>
      </w:r>
      <w:r w:rsidRPr="003B3476">
        <w:rPr>
          <w:bCs/>
        </w:rPr>
        <w:t>o</w:t>
      </w:r>
      <w:r w:rsidRPr="003B3476">
        <w:rPr>
          <w:bCs/>
        </w:rPr>
        <w:t>cuments</w:t>
      </w:r>
      <w:r w:rsidRPr="003B3476">
        <w:rPr>
          <w:lang w:val="fr-FR" w:eastAsia="fr-FR" w:bidi="fr-FR"/>
        </w:rPr>
        <w:t> ; a subventionné diverses publications. C’est parmi les sociétés s</w:t>
      </w:r>
      <w:r w:rsidRPr="003B3476">
        <w:rPr>
          <w:lang w:val="fr-FR" w:eastAsia="fr-FR" w:bidi="fr-FR"/>
        </w:rPr>
        <w:t>a</w:t>
      </w:r>
      <w:r w:rsidRPr="003B3476">
        <w:rPr>
          <w:lang w:val="fr-FR" w:eastAsia="fr-FR" w:bidi="fr-FR"/>
        </w:rPr>
        <w:t>vantes de l’Île-de-France peut-être celle qui a le mieux compris que la mise au jour de documents inédits est une tâche qui incombe en première ligne aux s</w:t>
      </w:r>
      <w:r w:rsidRPr="003B3476">
        <w:rPr>
          <w:lang w:val="fr-FR" w:eastAsia="fr-FR" w:bidi="fr-FR"/>
        </w:rPr>
        <w:t>o</w:t>
      </w:r>
      <w:r w:rsidRPr="003B3476">
        <w:rPr>
          <w:lang w:val="fr-FR" w:eastAsia="fr-FR" w:bidi="fr-FR"/>
        </w:rPr>
        <w:t>ciétés locales. Malheureusement, ses publications ne sont pas à l’abri de toutes critiques : comment les érudits excellents qui la dirigent ont-ils pu oublier que publier des textes incomplets c’est ne rendre aux historiens qu’un médiocre service ?</w:t>
      </w:r>
    </w:p>
  </w:footnote>
  <w:footnote w:id="477">
    <w:p w14:paraId="64B49B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Cette société a pour but « l’étude des monuments, des coutumes et de l’histoire du pays Gâtinais, y compris l’Étampois, le Giennois et la Puisaye ». Elle publie des </w:t>
      </w:r>
      <w:r w:rsidRPr="003B3476">
        <w:rPr>
          <w:bCs/>
          <w:i/>
        </w:rPr>
        <w:t>Annales</w:t>
      </w:r>
      <w:r w:rsidRPr="003B3476">
        <w:rPr>
          <w:lang w:val="fr-FR" w:eastAsia="fr-FR" w:bidi="fr-FR"/>
        </w:rPr>
        <w:t xml:space="preserve">, qui forment une excellente revue d’histoire locale (table générale des quinze premiers volumes : 1885-1897, parue dans le tome XV, 1897, p. 293-351, et due à M. H. </w:t>
      </w:r>
      <w:r w:rsidRPr="003B3476">
        <w:rPr>
          <w:rStyle w:val="Notedebasdepage65ptPetitesmajuscules"/>
          <w:b w:val="0"/>
        </w:rPr>
        <w:t xml:space="preserve">Stein) </w:t>
      </w:r>
      <w:r w:rsidRPr="003B3476">
        <w:rPr>
          <w:lang w:val="fr-FR" w:eastAsia="fr-FR" w:bidi="fr-FR"/>
        </w:rPr>
        <w:t>et a subventionné diverses public</w:t>
      </w:r>
      <w:r w:rsidRPr="003B3476">
        <w:rPr>
          <w:lang w:val="fr-FR" w:eastAsia="fr-FR" w:bidi="fr-FR"/>
        </w:rPr>
        <w:t>a</w:t>
      </w:r>
      <w:r w:rsidRPr="003B3476">
        <w:rPr>
          <w:lang w:val="fr-FR" w:eastAsia="fr-FR" w:bidi="fr-FR"/>
        </w:rPr>
        <w:t>tions.</w:t>
      </w:r>
    </w:p>
  </w:footnote>
  <w:footnote w:id="478">
    <w:p w14:paraId="7FD14A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Publie un </w:t>
      </w:r>
      <w:r w:rsidRPr="003B3476">
        <w:rPr>
          <w:bCs/>
        </w:rPr>
        <w:t>Bulletin</w:t>
      </w:r>
      <w:r w:rsidRPr="003B3476">
        <w:rPr>
          <w:lang w:val="fr-FR" w:eastAsia="fr-FR" w:bidi="fr-FR"/>
        </w:rPr>
        <w:t xml:space="preserve"> et des </w:t>
      </w:r>
      <w:r w:rsidRPr="003B3476">
        <w:rPr>
          <w:bCs/>
        </w:rPr>
        <w:t>Mémoires et Documents.</w:t>
      </w:r>
      <w:r w:rsidRPr="003B3476">
        <w:rPr>
          <w:lang w:val="fr-FR" w:eastAsia="fr-FR" w:bidi="fr-FR"/>
        </w:rPr>
        <w:t xml:space="preserve"> Cette société, en outre, a fondé, à Corbeil, un musée (le Musée Saint-Jean), on peut citer encore la </w:t>
      </w:r>
      <w:r w:rsidRPr="003B3476">
        <w:rPr>
          <w:bCs/>
          <w:i/>
        </w:rPr>
        <w:t>S</w:t>
      </w:r>
      <w:r w:rsidRPr="003B3476">
        <w:rPr>
          <w:bCs/>
          <w:i/>
        </w:rPr>
        <w:t>o</w:t>
      </w:r>
      <w:r w:rsidRPr="003B3476">
        <w:rPr>
          <w:bCs/>
          <w:i/>
        </w:rPr>
        <w:t>ciété d’Histoire et d’Archéologie de Brie-Comte-Robert</w:t>
      </w:r>
      <w:r w:rsidRPr="003B3476">
        <w:rPr>
          <w:i/>
          <w:lang w:val="fr-FR" w:eastAsia="fr-FR" w:bidi="fr-FR"/>
        </w:rPr>
        <w:t xml:space="preserve">, </w:t>
      </w:r>
      <w:r w:rsidRPr="003B3476">
        <w:rPr>
          <w:bCs/>
          <w:i/>
        </w:rPr>
        <w:t>Mormant</w:t>
      </w:r>
      <w:r w:rsidRPr="003B3476">
        <w:rPr>
          <w:i/>
          <w:lang w:val="fr-FR" w:eastAsia="fr-FR" w:bidi="fr-FR"/>
        </w:rPr>
        <w:t xml:space="preserve">, </w:t>
      </w:r>
      <w:r w:rsidRPr="003B3476">
        <w:rPr>
          <w:bCs/>
          <w:i/>
        </w:rPr>
        <w:t>Tournan et la Vallée de l’Yères</w:t>
      </w:r>
      <w:r w:rsidRPr="003B3476">
        <w:rPr>
          <w:bCs/>
        </w:rPr>
        <w:t>,</w:t>
      </w:r>
      <w:r w:rsidRPr="003B3476">
        <w:rPr>
          <w:lang w:val="fr-FR" w:eastAsia="fr-FR" w:bidi="fr-FR"/>
        </w:rPr>
        <w:t xml:space="preserve"> fondée en 1898 ; elle publie un </w:t>
      </w:r>
      <w:r w:rsidRPr="003B3476">
        <w:rPr>
          <w:bCs/>
        </w:rPr>
        <w:t>Bulletin.</w:t>
      </w:r>
      <w:r w:rsidRPr="003B3476">
        <w:rPr>
          <w:lang w:val="fr-FR" w:eastAsia="fr-FR" w:bidi="fr-FR"/>
        </w:rPr>
        <w:t xml:space="preserve"> A Meaux, en 1893, s’était fondée une </w:t>
      </w:r>
      <w:r w:rsidRPr="003B3476">
        <w:rPr>
          <w:bCs/>
          <w:i/>
        </w:rPr>
        <w:t>Société Littéraire et Historique de la Brie</w:t>
      </w:r>
      <w:r w:rsidRPr="003B3476">
        <w:rPr>
          <w:lang w:val="fr-FR" w:eastAsia="fr-FR" w:bidi="fr-FR"/>
        </w:rPr>
        <w:t xml:space="preserve">, dont l’activité semble avoir été médiocre. La revue </w:t>
      </w:r>
      <w:r w:rsidRPr="003B3476">
        <w:rPr>
          <w:bCs/>
          <w:i/>
        </w:rPr>
        <w:t>Brie et Gâtinais</w:t>
      </w:r>
      <w:r w:rsidRPr="003B3476">
        <w:rPr>
          <w:lang w:val="fr-FR" w:eastAsia="fr-FR" w:bidi="fr-FR"/>
        </w:rPr>
        <w:t>, qui paraît à Meaux depuis 1909, est utile à consulter ; elle fournira à l’archéologue des photographies excellentes.</w:t>
      </w:r>
    </w:p>
  </w:footnote>
  <w:footnote w:id="479">
    <w:p w14:paraId="1B1281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Table pour les dix premiers volumes (par E. </w:t>
      </w:r>
      <w:r w:rsidRPr="003B3476">
        <w:rPr>
          <w:rStyle w:val="Notedebasdepage65ptPetitesmajuscules"/>
          <w:b w:val="0"/>
          <w:sz w:val="24"/>
        </w:rPr>
        <w:t>Perrier :</w:t>
      </w:r>
      <w:r w:rsidRPr="003B3476">
        <w:rPr>
          <w:lang w:val="fr-FR" w:eastAsia="fr-FR" w:bidi="fr-FR"/>
        </w:rPr>
        <w:t xml:space="preserve"> 1891) et pour les tomes XI à XXI (par J. </w:t>
      </w:r>
      <w:r w:rsidRPr="003B3476">
        <w:rPr>
          <w:rStyle w:val="Notedebasdepage65ptPetitesmajuscules"/>
          <w:b w:val="0"/>
          <w:sz w:val="24"/>
        </w:rPr>
        <w:t>Depoin :</w:t>
      </w:r>
      <w:r w:rsidRPr="003B3476">
        <w:rPr>
          <w:lang w:val="fr-FR" w:eastAsia="fr-FR" w:bidi="fr-FR"/>
        </w:rPr>
        <w:t xml:space="preserve"> 1905).</w:t>
      </w:r>
    </w:p>
  </w:footnote>
  <w:footnote w:id="480">
    <w:p w14:paraId="301148E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communications faites à chacune des conférences sont imprimées et r</w:t>
      </w:r>
      <w:r w:rsidRPr="003B3476">
        <w:rPr>
          <w:lang w:val="fr-FR" w:eastAsia="fr-FR" w:bidi="fr-FR"/>
        </w:rPr>
        <w:t>é</w:t>
      </w:r>
      <w:r w:rsidRPr="003B3476">
        <w:rPr>
          <w:lang w:val="fr-FR" w:eastAsia="fr-FR" w:bidi="fr-FR"/>
        </w:rPr>
        <w:t>unies chaque fois en un volume.</w:t>
      </w:r>
    </w:p>
  </w:footnote>
  <w:footnote w:id="481">
    <w:p w14:paraId="2227CE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 côté des publications des sociétés savantes, il faut citer ces publications à demi officielles que sont les annuaires départementaux. Ces annuaires contiennent souvent des articles d’histoire locale, qui parfois sont de premier ordre ; mais ils rendent aux historiens peu de services parce qu’ils manquent pour la plupart de tables suffisantes. En particulier, le meilleur des annuaires départementaux que nous ayons à signaler ici, </w:t>
      </w:r>
      <w:r w:rsidRPr="003B3476">
        <w:rPr>
          <w:bCs/>
        </w:rPr>
        <w:t>l’</w:t>
      </w:r>
      <w:r w:rsidRPr="003B3476">
        <w:rPr>
          <w:bCs/>
          <w:i/>
        </w:rPr>
        <w:t>Almanach Historique de Se</w:t>
      </w:r>
      <w:r w:rsidRPr="003B3476">
        <w:rPr>
          <w:bCs/>
          <w:i/>
        </w:rPr>
        <w:t>i</w:t>
      </w:r>
      <w:r w:rsidRPr="003B3476">
        <w:rPr>
          <w:bCs/>
          <w:i/>
        </w:rPr>
        <w:t>ne-et-Marne</w:t>
      </w:r>
      <w:r w:rsidRPr="003B3476">
        <w:rPr>
          <w:lang w:val="fr-FR" w:eastAsia="fr-FR" w:bidi="fr-FR"/>
        </w:rPr>
        <w:t xml:space="preserve"> (qui paraît depuis 1861) est tout à fait dépourvu de tables. </w:t>
      </w:r>
      <w:r w:rsidRPr="003B3476">
        <w:rPr>
          <w:bCs/>
        </w:rPr>
        <w:t>L’</w:t>
      </w:r>
      <w:r w:rsidRPr="003B3476">
        <w:rPr>
          <w:bCs/>
          <w:i/>
        </w:rPr>
        <w:t>Annuaire du Département de Seine-et-Oise</w:t>
      </w:r>
      <w:r w:rsidRPr="003B3476">
        <w:rPr>
          <w:lang w:val="fr-FR" w:eastAsia="fr-FR" w:bidi="fr-FR"/>
        </w:rPr>
        <w:t xml:space="preserve"> paraît depuis l’an X (1801-1802) ; mais il y a eu plusieurs interruptions dans le cours de la publication ; l’Annuaire pour 1883 (p. li) renferme des « </w:t>
      </w:r>
      <w:r w:rsidRPr="003B3476">
        <w:rPr>
          <w:bCs/>
          <w:i/>
        </w:rPr>
        <w:t>Tables générales des Annuaires de Seine-et-Oise</w:t>
      </w:r>
      <w:r w:rsidRPr="003B3476">
        <w:rPr>
          <w:i/>
          <w:lang w:val="fr-FR" w:eastAsia="fr-FR" w:bidi="fr-FR"/>
        </w:rPr>
        <w:t> </w:t>
      </w:r>
      <w:r w:rsidRPr="003B3476">
        <w:rPr>
          <w:lang w:val="fr-FR" w:eastAsia="fr-FR" w:bidi="fr-FR"/>
        </w:rPr>
        <w:t xml:space="preserve">» dressées par L. </w:t>
      </w:r>
      <w:r w:rsidRPr="003B3476">
        <w:rPr>
          <w:rStyle w:val="Notedebasdepage65ptPetitesmajuscules"/>
          <w:b w:val="0"/>
          <w:sz w:val="24"/>
        </w:rPr>
        <w:t xml:space="preserve">Thomas. </w:t>
      </w:r>
      <w:r w:rsidRPr="003B3476">
        <w:rPr>
          <w:bCs/>
        </w:rPr>
        <w:t>L’</w:t>
      </w:r>
      <w:r w:rsidRPr="003B3476">
        <w:rPr>
          <w:bCs/>
          <w:i/>
        </w:rPr>
        <w:t>Annuaire du Département d’Eure-et-Loir</w:t>
      </w:r>
      <w:r w:rsidRPr="003B3476">
        <w:rPr>
          <w:lang w:val="fr-FR" w:eastAsia="fr-FR" w:bidi="fr-FR"/>
        </w:rPr>
        <w:t xml:space="preserve"> paraît depuis 1839 ; on trouvera dans les annuaires pour 1906 et pour 1907 une </w:t>
      </w:r>
      <w:r w:rsidRPr="003B3476">
        <w:rPr>
          <w:bCs/>
          <w:i/>
        </w:rPr>
        <w:t>Table générale de la partie historique de l’Annuaire d’Eure-et-Loir</w:t>
      </w:r>
      <w:r w:rsidRPr="003B3476">
        <w:rPr>
          <w:lang w:val="fr-FR" w:eastAsia="fr-FR" w:bidi="fr-FR"/>
        </w:rPr>
        <w:t xml:space="preserve"> (1839-1905) due à M. G. </w:t>
      </w:r>
      <w:r w:rsidRPr="003B3476">
        <w:rPr>
          <w:rStyle w:val="Notedebasdepage65ptPetitesmajuscules"/>
          <w:b w:val="0"/>
          <w:sz w:val="24"/>
        </w:rPr>
        <w:t xml:space="preserve">Téton. </w:t>
      </w:r>
      <w:r w:rsidRPr="003B3476">
        <w:rPr>
          <w:bCs/>
        </w:rPr>
        <w:t>L’</w:t>
      </w:r>
      <w:r w:rsidRPr="003B3476">
        <w:rPr>
          <w:bCs/>
          <w:i/>
        </w:rPr>
        <w:t>Annuaire du Département du Lo</w:t>
      </w:r>
      <w:r w:rsidRPr="003B3476">
        <w:rPr>
          <w:bCs/>
          <w:i/>
        </w:rPr>
        <w:t>i</w:t>
      </w:r>
      <w:r w:rsidRPr="003B3476">
        <w:rPr>
          <w:bCs/>
          <w:i/>
        </w:rPr>
        <w:t>ret</w:t>
      </w:r>
      <w:r w:rsidRPr="003B3476">
        <w:rPr>
          <w:i/>
          <w:lang w:val="fr-FR" w:eastAsia="fr-FR" w:bidi="fr-FR"/>
        </w:rPr>
        <w:t xml:space="preserve"> </w:t>
      </w:r>
      <w:r w:rsidRPr="003B3476">
        <w:rPr>
          <w:lang w:val="fr-FR" w:eastAsia="fr-FR" w:bidi="fr-FR"/>
        </w:rPr>
        <w:t>paraît depuis 1806 ; on trouvera le récit des vicissitudes par où a passé ce</w:t>
      </w:r>
      <w:r w:rsidRPr="003B3476">
        <w:rPr>
          <w:lang w:val="fr-FR" w:eastAsia="fr-FR" w:bidi="fr-FR"/>
        </w:rPr>
        <w:t>t</w:t>
      </w:r>
      <w:r w:rsidRPr="003B3476">
        <w:rPr>
          <w:lang w:val="fr-FR" w:eastAsia="fr-FR" w:bidi="fr-FR"/>
        </w:rPr>
        <w:t>te public</w:t>
      </w:r>
      <w:r w:rsidRPr="003B3476">
        <w:rPr>
          <w:lang w:val="fr-FR" w:eastAsia="fr-FR" w:bidi="fr-FR"/>
        </w:rPr>
        <w:t>a</w:t>
      </w:r>
      <w:r w:rsidRPr="003B3476">
        <w:rPr>
          <w:lang w:val="fr-FR" w:eastAsia="fr-FR" w:bidi="fr-FR"/>
        </w:rPr>
        <w:t xml:space="preserve">tion dans une notice intitulée : </w:t>
      </w:r>
      <w:r w:rsidRPr="003B3476">
        <w:rPr>
          <w:bCs/>
        </w:rPr>
        <w:t>L’</w:t>
      </w:r>
      <w:r w:rsidRPr="003B3476">
        <w:rPr>
          <w:bCs/>
          <w:i/>
        </w:rPr>
        <w:t>Annuaire du Loiret</w:t>
      </w:r>
      <w:r w:rsidRPr="003B3476">
        <w:rPr>
          <w:lang w:val="fr-FR" w:eastAsia="fr-FR" w:bidi="fr-FR"/>
        </w:rPr>
        <w:t xml:space="preserve">, parue dans l’annuaire pour 1899, p. 28 ; l’annuaire pour 1912 contient (p. 25) une liste des </w:t>
      </w:r>
      <w:r w:rsidRPr="003B3476">
        <w:rPr>
          <w:bCs/>
          <w:i/>
        </w:rPr>
        <w:t>Notices historiques ou statistiques contenues dans nos précédents annua</w:t>
      </w:r>
      <w:r w:rsidRPr="003B3476">
        <w:rPr>
          <w:bCs/>
          <w:i/>
        </w:rPr>
        <w:t>i</w:t>
      </w:r>
      <w:r w:rsidRPr="003B3476">
        <w:rPr>
          <w:bCs/>
          <w:i/>
        </w:rPr>
        <w:t>res du dépa</w:t>
      </w:r>
      <w:r w:rsidRPr="003B3476">
        <w:rPr>
          <w:bCs/>
          <w:i/>
        </w:rPr>
        <w:t>r</w:t>
      </w:r>
      <w:r w:rsidRPr="003B3476">
        <w:rPr>
          <w:bCs/>
          <w:i/>
        </w:rPr>
        <w:t>tement</w:t>
      </w:r>
      <w:r w:rsidRPr="003B3476">
        <w:rPr>
          <w:bCs/>
        </w:rPr>
        <w:t>.</w:t>
      </w:r>
    </w:p>
  </w:footnote>
  <w:footnote w:id="482">
    <w:p w14:paraId="6C3CBBC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Gr. in-4°, Fontainebleau 1883, v + 335 p. Les articles intitulés : </w:t>
      </w:r>
      <w:r w:rsidRPr="003B3476">
        <w:rPr>
          <w:i/>
          <w:lang w:val="fr-FR" w:eastAsia="fr-FR" w:bidi="fr-FR"/>
        </w:rPr>
        <w:t>Inventaire des titres et pièces du Trésor des Chartes</w:t>
      </w:r>
      <w:r w:rsidRPr="003B3476">
        <w:rPr>
          <w:bCs/>
          <w:i/>
        </w:rPr>
        <w:t xml:space="preserve">, </w:t>
      </w:r>
      <w:r w:rsidRPr="003B3476">
        <w:rPr>
          <w:i/>
          <w:lang w:val="fr-FR" w:eastAsia="fr-FR" w:bidi="fr-FR"/>
        </w:rPr>
        <w:t>pour servir à l’histoire de l’Île-de-France et du pays de Paris en</w:t>
      </w:r>
      <w:r w:rsidRPr="003B3476">
        <w:rPr>
          <w:i/>
        </w:rPr>
        <w:t xml:space="preserve"> particulier</w:t>
      </w:r>
      <w:r w:rsidRPr="003B3476">
        <w:t>,</w:t>
      </w:r>
      <w:r w:rsidRPr="003B3476">
        <w:rPr>
          <w:lang w:eastAsia="fr-FR" w:bidi="fr-FR"/>
        </w:rPr>
        <w:t xml:space="preserve"> parus dans le </w:t>
      </w:r>
      <w:r w:rsidRPr="003B3476">
        <w:rPr>
          <w:i/>
        </w:rPr>
        <w:t>Cabinet Historique</w:t>
      </w:r>
      <w:r w:rsidRPr="003B3476">
        <w:t>,</w:t>
      </w:r>
      <w:r w:rsidRPr="003B3476">
        <w:rPr>
          <w:lang w:eastAsia="fr-FR" w:bidi="fr-FR"/>
        </w:rPr>
        <w:t xml:space="preserve"> t. III, 2</w:t>
      </w:r>
      <w:r w:rsidRPr="003B3476">
        <w:rPr>
          <w:vertAlign w:val="superscript"/>
          <w:lang w:eastAsia="fr-FR" w:bidi="fr-FR"/>
        </w:rPr>
        <w:t>e</w:t>
      </w:r>
      <w:r w:rsidRPr="003B3476">
        <w:rPr>
          <w:lang w:eastAsia="fr-FR" w:bidi="fr-FR"/>
        </w:rPr>
        <w:t xml:space="preserve"> partie, p. 199-215, 245-259, t. IV, 2</w:t>
      </w:r>
      <w:r w:rsidRPr="003B3476">
        <w:rPr>
          <w:vertAlign w:val="superscript"/>
          <w:lang w:eastAsia="fr-FR" w:bidi="fr-FR"/>
        </w:rPr>
        <w:t>e</w:t>
      </w:r>
      <w:r w:rsidRPr="003B3476">
        <w:rPr>
          <w:lang w:eastAsia="fr-FR" w:bidi="fr-FR"/>
        </w:rPr>
        <w:t xml:space="preserve"> partie, p. 42-48, t. V, 2</w:t>
      </w:r>
      <w:r w:rsidRPr="003B3476">
        <w:rPr>
          <w:vertAlign w:val="superscript"/>
          <w:lang w:eastAsia="fr-FR" w:bidi="fr-FR"/>
        </w:rPr>
        <w:t>e</w:t>
      </w:r>
      <w:r w:rsidRPr="003B3476">
        <w:rPr>
          <w:lang w:eastAsia="fr-FR" w:bidi="fr-FR"/>
        </w:rPr>
        <w:t xml:space="preserve"> partie, p. 208-219 et 245-252 constituent simplement un dépouillement de la partie relative à l’Île-de-France de l’Inventaire du Trésor des Chartes dressé au XVII</w:t>
      </w:r>
      <w:r w:rsidRPr="003B3476">
        <w:rPr>
          <w:vertAlign w:val="superscript"/>
          <w:lang w:eastAsia="fr-FR" w:bidi="fr-FR"/>
        </w:rPr>
        <w:t>e</w:t>
      </w:r>
      <w:r w:rsidRPr="003B3476">
        <w:rPr>
          <w:lang w:eastAsia="fr-FR" w:bidi="fr-FR"/>
        </w:rPr>
        <w:t xml:space="preserve"> siècle par Dupuy. On trouvera des indications utiles sur les documents d’archives concernant les communes du département de la Seine dans l’ouvrage de </w:t>
      </w:r>
      <w:r w:rsidRPr="003B3476">
        <w:t xml:space="preserve">M. </w:t>
      </w:r>
      <w:r w:rsidRPr="003B3476">
        <w:rPr>
          <w:smallCaps/>
        </w:rPr>
        <w:t>Mentienne</w:t>
      </w:r>
      <w:r w:rsidRPr="003B3476">
        <w:t xml:space="preserve">, </w:t>
      </w:r>
      <w:r w:rsidRPr="003B3476">
        <w:rPr>
          <w:i/>
        </w:rPr>
        <w:t>Mémorandum ou guide nécessaire à ceux qui voudront écrire les monographies des communes du département de la Seine</w:t>
      </w:r>
      <w:r w:rsidRPr="003B3476">
        <w:t>,</w:t>
      </w:r>
      <w:r w:rsidRPr="003B3476">
        <w:rPr>
          <w:lang w:eastAsia="fr-FR" w:bidi="fr-FR"/>
        </w:rPr>
        <w:t xml:space="preserve"> petit in-8°, Paris, 1899,142 p. Sur les sources de cette partie de l’Île-de-France qui est comprise aujourd’hui dans le département de Seine-et-Oise, on consu</w:t>
      </w:r>
      <w:r w:rsidRPr="003B3476">
        <w:rPr>
          <w:lang w:eastAsia="fr-FR" w:bidi="fr-FR"/>
        </w:rPr>
        <w:t>l</w:t>
      </w:r>
      <w:r w:rsidRPr="003B3476">
        <w:rPr>
          <w:lang w:eastAsia="fr-FR" w:bidi="fr-FR"/>
        </w:rPr>
        <w:t>tera avec profit les deux notices suivantes, parues l’une et l’autre dans le v</w:t>
      </w:r>
      <w:r w:rsidRPr="003B3476">
        <w:rPr>
          <w:lang w:eastAsia="fr-FR" w:bidi="fr-FR"/>
        </w:rPr>
        <w:t>o</w:t>
      </w:r>
      <w:r w:rsidRPr="003B3476">
        <w:rPr>
          <w:lang w:eastAsia="fr-FR" w:bidi="fr-FR"/>
        </w:rPr>
        <w:t xml:space="preserve">lume intitulé </w:t>
      </w:r>
      <w:r w:rsidRPr="003B3476">
        <w:rPr>
          <w:i/>
        </w:rPr>
        <w:t>Conférence des Sociétés savantes de Seine-et-Oise. Première r</w:t>
      </w:r>
      <w:r w:rsidRPr="003B3476">
        <w:rPr>
          <w:i/>
        </w:rPr>
        <w:t>é</w:t>
      </w:r>
      <w:r w:rsidRPr="003B3476">
        <w:rPr>
          <w:i/>
        </w:rPr>
        <w:t>union</w:t>
      </w:r>
      <w:r w:rsidRPr="003B3476">
        <w:rPr>
          <w:lang w:eastAsia="fr-FR" w:bidi="fr-FR"/>
        </w:rPr>
        <w:t xml:space="preserve"> (1902), in-8°, Versailles, 1903 : A.</w:t>
      </w:r>
      <w:r w:rsidRPr="003B3476">
        <w:rPr>
          <w:b/>
          <w:lang w:eastAsia="fr-FR" w:bidi="fr-FR"/>
        </w:rPr>
        <w:t xml:space="preserve"> </w:t>
      </w:r>
      <w:r w:rsidRPr="003B3476">
        <w:rPr>
          <w:rStyle w:val="Corpsdutexte1065ptPetitesmajuscules"/>
          <w:b w:val="0"/>
          <w:sz w:val="28"/>
          <w:lang w:val="fr-CA"/>
        </w:rPr>
        <w:t>Coüard,</w:t>
      </w:r>
      <w:r w:rsidRPr="003B3476">
        <w:rPr>
          <w:rStyle w:val="Corpsdutexte1065ptPetitesmajuscules"/>
          <w:sz w:val="28"/>
          <w:lang w:val="fr-CA"/>
        </w:rPr>
        <w:t xml:space="preserve"> </w:t>
      </w:r>
      <w:r w:rsidRPr="003B3476">
        <w:rPr>
          <w:i/>
        </w:rPr>
        <w:t>Les sources et instr</w:t>
      </w:r>
      <w:r w:rsidRPr="003B3476">
        <w:rPr>
          <w:i/>
        </w:rPr>
        <w:t>u</w:t>
      </w:r>
      <w:r w:rsidRPr="003B3476">
        <w:rPr>
          <w:i/>
        </w:rPr>
        <w:t>ments de travail applicables aux études historiques</w:t>
      </w:r>
      <w:r w:rsidRPr="003B3476">
        <w:rPr>
          <w:lang w:eastAsia="fr-FR" w:bidi="fr-FR"/>
        </w:rPr>
        <w:t xml:space="preserve"> (p. 74-83), et J. </w:t>
      </w:r>
      <w:r w:rsidRPr="003B3476">
        <w:rPr>
          <w:smallCaps/>
        </w:rPr>
        <w:t>Depoin</w:t>
      </w:r>
      <w:r w:rsidRPr="003B3476">
        <w:t xml:space="preserve">, </w:t>
      </w:r>
      <w:r w:rsidRPr="003B3476">
        <w:rPr>
          <w:i/>
        </w:rPr>
        <w:t>Cartulaires et inventaires civils ou ecclésiastiques du département de Seine-et-Oise</w:t>
      </w:r>
      <w:r w:rsidRPr="003B3476">
        <w:t>,</w:t>
      </w:r>
      <w:r w:rsidRPr="003B3476">
        <w:rPr>
          <w:lang w:eastAsia="fr-FR" w:bidi="fr-FR"/>
        </w:rPr>
        <w:t xml:space="preserve"> p. 83-104.</w:t>
      </w:r>
    </w:p>
  </w:footnote>
  <w:footnote w:id="483">
    <w:p w14:paraId="70FC31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Les archives de la Seine fourniront peu de choses à l’historien de l’Île-de-France. </w:t>
      </w:r>
      <w:r w:rsidRPr="003B3476">
        <w:t>Cf.</w:t>
      </w:r>
      <w:r w:rsidRPr="003B3476">
        <w:rPr>
          <w:lang w:eastAsia="fr-FR" w:bidi="fr-FR"/>
        </w:rPr>
        <w:t xml:space="preserve"> Marius </w:t>
      </w:r>
      <w:r w:rsidRPr="003B3476">
        <w:rPr>
          <w:rStyle w:val="Corpsdutexte1065ptPetitesmajuscules"/>
          <w:b w:val="0"/>
          <w:sz w:val="28"/>
          <w:lang w:val="fr-CA"/>
        </w:rPr>
        <w:t>Barroux,</w:t>
      </w:r>
      <w:r w:rsidRPr="003B3476">
        <w:rPr>
          <w:rStyle w:val="Corpsdutexte1065ptPetitesmajuscules"/>
          <w:sz w:val="28"/>
          <w:lang w:val="fr-CA"/>
        </w:rPr>
        <w:t xml:space="preserve"> </w:t>
      </w:r>
      <w:r w:rsidRPr="003B3476">
        <w:rPr>
          <w:i/>
        </w:rPr>
        <w:t>Les archives de la Seine en 1900 et leur hi</w:t>
      </w:r>
      <w:r w:rsidRPr="003B3476">
        <w:rPr>
          <w:i/>
        </w:rPr>
        <w:t>s</w:t>
      </w:r>
      <w:r w:rsidRPr="003B3476">
        <w:rPr>
          <w:i/>
        </w:rPr>
        <w:t>toire,</w:t>
      </w:r>
      <w:r w:rsidRPr="003B3476">
        <w:rPr>
          <w:i/>
          <w:lang w:eastAsia="fr-FR" w:bidi="fr-FR"/>
        </w:rPr>
        <w:t xml:space="preserve"> dans </w:t>
      </w:r>
      <w:r w:rsidRPr="003B3476">
        <w:rPr>
          <w:i/>
        </w:rPr>
        <w:t>Bullet. du bibliophile</w:t>
      </w:r>
      <w:r w:rsidRPr="003B3476">
        <w:t xml:space="preserve">, </w:t>
      </w:r>
      <w:r w:rsidRPr="003B3476">
        <w:rPr>
          <w:lang w:eastAsia="fr-FR" w:bidi="fr-FR"/>
        </w:rPr>
        <w:t xml:space="preserve">1900, p. 217-226, 291-304, 340-356, 405-410 et l’article intitulé : </w:t>
      </w:r>
      <w:r w:rsidRPr="003B3476">
        <w:t>Les Archives départementales de la Seine et les arch</w:t>
      </w:r>
      <w:r w:rsidRPr="003B3476">
        <w:t>i</w:t>
      </w:r>
      <w:r w:rsidRPr="003B3476">
        <w:t>ves communales de Paris,</w:t>
      </w:r>
      <w:r w:rsidRPr="003B3476">
        <w:rPr>
          <w:lang w:eastAsia="fr-FR" w:bidi="fr-FR"/>
        </w:rPr>
        <w:t xml:space="preserve"> dans </w:t>
      </w:r>
      <w:r w:rsidRPr="003B3476">
        <w:rPr>
          <w:i/>
        </w:rPr>
        <w:t>Révol. franc</w:t>
      </w:r>
      <w:r w:rsidRPr="003B3476">
        <w:t>.,</w:t>
      </w:r>
      <w:r w:rsidRPr="003B3476">
        <w:rPr>
          <w:lang w:eastAsia="fr-FR" w:bidi="fr-FR"/>
        </w:rPr>
        <w:t xml:space="preserve"> t. XLVII (1904, II), p. 183-186.</w:t>
      </w:r>
    </w:p>
  </w:footnote>
  <w:footnote w:id="484">
    <w:p w14:paraId="160BCEF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eastAsia="fr-FR" w:bidi="fr-FR"/>
        </w:rPr>
        <w:t xml:space="preserve">La </w:t>
      </w:r>
      <w:r w:rsidRPr="003B3476">
        <w:rPr>
          <w:i/>
        </w:rPr>
        <w:t>Collection du Vexin</w:t>
      </w:r>
      <w:r w:rsidRPr="003B3476">
        <w:rPr>
          <w:lang w:eastAsia="fr-FR" w:bidi="fr-FR"/>
        </w:rPr>
        <w:t xml:space="preserve"> a été inventoriée par </w:t>
      </w:r>
      <w:r w:rsidRPr="003B3476">
        <w:t xml:space="preserve">M. Ph. </w:t>
      </w:r>
      <w:r w:rsidRPr="00841BE4">
        <w:rPr>
          <w:bCs/>
          <w:smallCaps/>
        </w:rPr>
        <w:t>Lauer,</w:t>
      </w:r>
      <w:r w:rsidRPr="003B3476">
        <w:rPr>
          <w:rStyle w:val="Corpsdutexte1065ptPetitesmajuscules"/>
          <w:sz w:val="28"/>
          <w:lang w:val="fr-CA"/>
        </w:rPr>
        <w:t xml:space="preserve"> </w:t>
      </w:r>
      <w:r w:rsidRPr="003B3476">
        <w:rPr>
          <w:i/>
        </w:rPr>
        <w:t>Collections m</w:t>
      </w:r>
      <w:r w:rsidRPr="003B3476">
        <w:rPr>
          <w:i/>
        </w:rPr>
        <w:t>a</w:t>
      </w:r>
      <w:r w:rsidRPr="003B3476">
        <w:rPr>
          <w:i/>
        </w:rPr>
        <w:t>nuscrites sur l'histoire des provinces de France</w:t>
      </w:r>
      <w:r w:rsidRPr="003B3476">
        <w:t>,</w:t>
      </w:r>
      <w:r w:rsidRPr="003B3476">
        <w:rPr>
          <w:lang w:eastAsia="fr-FR" w:bidi="fr-FR"/>
        </w:rPr>
        <w:t xml:space="preserve"> t. II, in-8°, Paris, 1911, p. 319-364. </w:t>
      </w:r>
      <w:r w:rsidRPr="003B3476">
        <w:rPr>
          <w:i/>
        </w:rPr>
        <w:t>Cf</w:t>
      </w:r>
      <w:r w:rsidRPr="003B3476">
        <w:t>.</w:t>
      </w:r>
      <w:r w:rsidRPr="003B3476">
        <w:rPr>
          <w:lang w:eastAsia="fr-FR" w:bidi="fr-FR"/>
        </w:rPr>
        <w:t xml:space="preserve"> sur les origines de la collection </w:t>
      </w:r>
      <w:r w:rsidRPr="003B3476">
        <w:t>l'</w:t>
      </w:r>
      <w:r w:rsidRPr="003B3476">
        <w:rPr>
          <w:i/>
        </w:rPr>
        <w:t>Introduction</w:t>
      </w:r>
      <w:r w:rsidRPr="003B3476">
        <w:rPr>
          <w:lang w:eastAsia="fr-FR" w:bidi="fr-FR"/>
        </w:rPr>
        <w:t xml:space="preserve"> du tome I (Paris, 1905), p. </w:t>
      </w:r>
      <w:r w:rsidRPr="003B3476">
        <w:rPr>
          <w:smallCaps/>
          <w:lang w:eastAsia="fr-FR" w:bidi="fr-FR"/>
        </w:rPr>
        <w:t>xxxi</w:t>
      </w:r>
      <w:r w:rsidRPr="003B3476">
        <w:rPr>
          <w:lang w:eastAsia="fr-FR" w:bidi="fr-FR"/>
        </w:rPr>
        <w:t>. En ce qui concerne la Brie on pourra avoir intérêt à se reporter à la collection de pièces relatives à la Champagne formée au XVIII</w:t>
      </w:r>
      <w:r w:rsidRPr="003B3476">
        <w:rPr>
          <w:vertAlign w:val="superscript"/>
          <w:lang w:eastAsia="fr-FR" w:bidi="fr-FR"/>
        </w:rPr>
        <w:t>e</w:t>
      </w:r>
      <w:r w:rsidRPr="003B3476">
        <w:rPr>
          <w:lang w:eastAsia="fr-FR" w:bidi="fr-FR"/>
        </w:rPr>
        <w:t xml:space="preserve"> siècle par les Bénédictins et conservée maintenant à la Bibliothèque Nationale. Elle a été inventoriée par </w:t>
      </w:r>
      <w:r w:rsidRPr="003B3476">
        <w:rPr>
          <w:rStyle w:val="Corpsdutexte1065ptPetitesmajuscules"/>
          <w:b w:val="0"/>
          <w:sz w:val="28"/>
          <w:lang w:val="fr-CA"/>
        </w:rPr>
        <w:t>M. Lauer</w:t>
      </w:r>
      <w:r w:rsidRPr="003B3476">
        <w:rPr>
          <w:rStyle w:val="Corpsdutexte1065ptPetitesmajuscules"/>
          <w:sz w:val="28"/>
          <w:lang w:val="fr-CA"/>
        </w:rPr>
        <w:t xml:space="preserve"> </w:t>
      </w:r>
      <w:r w:rsidRPr="003B3476">
        <w:rPr>
          <w:lang w:eastAsia="fr-FR" w:bidi="fr-FR"/>
        </w:rPr>
        <w:t xml:space="preserve">au tome I des </w:t>
      </w:r>
      <w:r w:rsidRPr="003B3476">
        <w:rPr>
          <w:i/>
        </w:rPr>
        <w:t>Collections manuscrites sur l'histo</w:t>
      </w:r>
      <w:r w:rsidRPr="003B3476">
        <w:rPr>
          <w:i/>
        </w:rPr>
        <w:t>i</w:t>
      </w:r>
      <w:r w:rsidRPr="003B3476">
        <w:rPr>
          <w:i/>
        </w:rPr>
        <w:t>re des provinces de France</w:t>
      </w:r>
      <w:r w:rsidRPr="003B3476">
        <w:t>,</w:t>
      </w:r>
      <w:r w:rsidRPr="003B3476">
        <w:rPr>
          <w:lang w:eastAsia="fr-FR" w:bidi="fr-FR"/>
        </w:rPr>
        <w:t xml:space="preserve"> in-8°, Paris, 1905, p. 61-108.</w:t>
      </w:r>
    </w:p>
  </w:footnote>
  <w:footnote w:id="485">
    <w:p w14:paraId="5E10787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eastAsia="fr-FR" w:bidi="fr-FR"/>
        </w:rPr>
        <w:t xml:space="preserve">Inscriptions chrétiennes de la Gaule antérieures au </w:t>
      </w:r>
      <w:r w:rsidRPr="003B3476">
        <w:rPr>
          <w:i/>
          <w:iCs/>
        </w:rPr>
        <w:t>VIII</w:t>
      </w:r>
      <w:r w:rsidRPr="003B3476">
        <w:rPr>
          <w:i/>
          <w:iCs/>
          <w:vertAlign w:val="superscript"/>
        </w:rPr>
        <w:t>e</w:t>
      </w:r>
      <w:r w:rsidRPr="003B3476">
        <w:rPr>
          <w:i/>
          <w:lang w:eastAsia="fr-FR" w:bidi="fr-FR"/>
        </w:rPr>
        <w:t xml:space="preserve"> siècle</w:t>
      </w:r>
      <w:r w:rsidRPr="003B3476">
        <w:rPr>
          <w:lang w:eastAsia="fr-FR" w:bidi="fr-FR"/>
        </w:rPr>
        <w:t>,</w:t>
      </w:r>
      <w:r w:rsidRPr="003B3476">
        <w:t xml:space="preserve"> t. I, in-4°, Paris, 1856, et </w:t>
      </w:r>
      <w:r w:rsidRPr="003B3476">
        <w:rPr>
          <w:i/>
          <w:lang w:eastAsia="fr-FR" w:bidi="fr-FR"/>
        </w:rPr>
        <w:t>Nouveau Recueil des inscriptions chrétiennes de la Gaule ant</w:t>
      </w:r>
      <w:r w:rsidRPr="003B3476">
        <w:rPr>
          <w:i/>
          <w:lang w:eastAsia="fr-FR" w:bidi="fr-FR"/>
        </w:rPr>
        <w:t>é</w:t>
      </w:r>
      <w:r w:rsidRPr="003B3476">
        <w:rPr>
          <w:i/>
          <w:lang w:eastAsia="fr-FR" w:bidi="fr-FR"/>
        </w:rPr>
        <w:t xml:space="preserve">rieures au </w:t>
      </w:r>
      <w:r w:rsidRPr="003B3476">
        <w:rPr>
          <w:i/>
          <w:iCs/>
        </w:rPr>
        <w:t>VIII</w:t>
      </w:r>
      <w:r w:rsidRPr="003B3476">
        <w:rPr>
          <w:i/>
          <w:iCs/>
          <w:vertAlign w:val="superscript"/>
        </w:rPr>
        <w:t>e</w:t>
      </w:r>
      <w:r w:rsidRPr="003B3476">
        <w:rPr>
          <w:i/>
          <w:lang w:eastAsia="fr-FR" w:bidi="fr-FR"/>
        </w:rPr>
        <w:t xml:space="preserve"> siècle</w:t>
      </w:r>
      <w:r w:rsidRPr="003B3476">
        <w:t>, in-4°, Paris, 1892 (Doc. inédits).</w:t>
      </w:r>
    </w:p>
  </w:footnote>
  <w:footnote w:id="486">
    <w:p w14:paraId="38EAE5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t xml:space="preserve">F. de </w:t>
      </w:r>
      <w:r w:rsidRPr="00841BE4">
        <w:rPr>
          <w:rStyle w:val="Notedebasdepage265ptNonItaliquePetitesmajuscules"/>
          <w:b w:val="0"/>
          <w:iCs/>
          <w:sz w:val="24"/>
        </w:rPr>
        <w:t>Guilhermy</w:t>
      </w:r>
      <w:r w:rsidRPr="003B3476">
        <w:rPr>
          <w:rStyle w:val="Notedebasdepage265ptNonItaliquePetitesmajuscules"/>
          <w:b w:val="0"/>
          <w:i/>
          <w:iCs/>
          <w:sz w:val="24"/>
        </w:rPr>
        <w:t xml:space="preserve"> </w:t>
      </w:r>
      <w:r w:rsidRPr="003B3476">
        <w:t xml:space="preserve">et R. de </w:t>
      </w:r>
      <w:r w:rsidRPr="00841BE4">
        <w:rPr>
          <w:rStyle w:val="Notedebasdepage265ptNonItaliquePetitesmajuscules"/>
          <w:b w:val="0"/>
          <w:iCs/>
          <w:sz w:val="24"/>
        </w:rPr>
        <w:t>Lasteyrie</w:t>
      </w:r>
      <w:r w:rsidRPr="003B3476">
        <w:rPr>
          <w:rStyle w:val="Notedebasdepage265ptNonItaliquePetitesmajuscules"/>
          <w:b w:val="0"/>
          <w:i/>
          <w:iCs/>
          <w:sz w:val="24"/>
        </w:rPr>
        <w:t xml:space="preserve">, </w:t>
      </w:r>
      <w:r w:rsidRPr="003B3476">
        <w:rPr>
          <w:i/>
          <w:lang w:val="fr-FR" w:eastAsia="fr-FR" w:bidi="fr-FR"/>
        </w:rPr>
        <w:t>Inscriptions de la France du V</w:t>
      </w:r>
      <w:r w:rsidRPr="003B3476">
        <w:rPr>
          <w:i/>
          <w:vertAlign w:val="superscript"/>
          <w:lang w:val="fr-FR" w:eastAsia="fr-FR" w:bidi="fr-FR"/>
        </w:rPr>
        <w:t>e</w:t>
      </w:r>
      <w:r w:rsidRPr="003B3476">
        <w:rPr>
          <w:i/>
          <w:lang w:val="fr-FR" w:eastAsia="fr-FR" w:bidi="fr-FR"/>
        </w:rPr>
        <w:t xml:space="preserve"> siècle au </w:t>
      </w:r>
      <w:r w:rsidRPr="003B3476">
        <w:rPr>
          <w:i/>
          <w:iCs/>
        </w:rPr>
        <w:t>XVIII</w:t>
      </w:r>
      <w:r w:rsidRPr="003B3476">
        <w:rPr>
          <w:i/>
          <w:iCs/>
          <w:vertAlign w:val="superscript"/>
        </w:rPr>
        <w:t>e</w:t>
      </w:r>
      <w:r w:rsidRPr="003B3476">
        <w:rPr>
          <w:i/>
          <w:iCs/>
        </w:rPr>
        <w:t xml:space="preserve">. </w:t>
      </w:r>
      <w:r w:rsidRPr="003B3476">
        <w:rPr>
          <w:i/>
          <w:lang w:val="fr-FR" w:eastAsia="fr-FR" w:bidi="fr-FR"/>
        </w:rPr>
        <w:t>Ancien diocèse de Paris</w:t>
      </w:r>
      <w:r w:rsidRPr="003B3476">
        <w:rPr>
          <w:lang w:val="fr-FR" w:eastAsia="fr-FR" w:bidi="fr-FR"/>
        </w:rPr>
        <w:t>,</w:t>
      </w:r>
      <w:r w:rsidRPr="003B3476">
        <w:t xml:space="preserve"> 5 vol. in-4°, Paris, 1873-1883 (Doc. in</w:t>
      </w:r>
      <w:r w:rsidRPr="003B3476">
        <w:t>é</w:t>
      </w:r>
      <w:r w:rsidRPr="003B3476">
        <w:t>dits).</w:t>
      </w:r>
    </w:p>
  </w:footnote>
  <w:footnote w:id="487">
    <w:p w14:paraId="26805D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Paul </w:t>
      </w:r>
      <w:r w:rsidRPr="00841BE4">
        <w:rPr>
          <w:rStyle w:val="Notedebasdepage265ptNonItaliquePetitesmajuscules"/>
          <w:b w:val="0"/>
          <w:iCs/>
          <w:sz w:val="24"/>
        </w:rPr>
        <w:t>Quesvers</w:t>
      </w:r>
      <w:r w:rsidRPr="003B3476">
        <w:rPr>
          <w:rStyle w:val="Notedebasdepage265ptNonItaliquePetitesmajuscules"/>
          <w:b w:val="0"/>
          <w:i/>
          <w:iCs/>
          <w:sz w:val="24"/>
        </w:rPr>
        <w:t xml:space="preserve"> </w:t>
      </w:r>
      <w:r w:rsidRPr="003B3476">
        <w:rPr>
          <w:bCs/>
        </w:rPr>
        <w:t xml:space="preserve">et Henri </w:t>
      </w:r>
      <w:r w:rsidRPr="00841BE4">
        <w:rPr>
          <w:rStyle w:val="Notedebasdepage265ptNonItaliquePetitesmajuscules"/>
          <w:b w:val="0"/>
          <w:iCs/>
          <w:sz w:val="24"/>
        </w:rPr>
        <w:t>Stein</w:t>
      </w:r>
      <w:r w:rsidRPr="003B3476">
        <w:rPr>
          <w:rStyle w:val="Notedebasdepage265ptNonItaliquePetitesmajuscules"/>
          <w:b w:val="0"/>
          <w:i/>
          <w:iCs/>
          <w:sz w:val="24"/>
        </w:rPr>
        <w:t xml:space="preserve">, </w:t>
      </w:r>
      <w:r w:rsidRPr="003B3476">
        <w:rPr>
          <w:i/>
          <w:lang w:val="fr-FR" w:eastAsia="fr-FR" w:bidi="fr-FR"/>
        </w:rPr>
        <w:t>Inscriptions de l’ancien diocèse de Sens p</w:t>
      </w:r>
      <w:r w:rsidRPr="003B3476">
        <w:rPr>
          <w:i/>
          <w:lang w:val="fr-FR" w:eastAsia="fr-FR" w:bidi="fr-FR"/>
        </w:rPr>
        <w:t>u</w:t>
      </w:r>
      <w:r w:rsidRPr="003B3476">
        <w:rPr>
          <w:i/>
          <w:lang w:val="fr-FR" w:eastAsia="fr-FR" w:bidi="fr-FR"/>
        </w:rPr>
        <w:t>bliées d'après les estampes d’Edmond Michel</w:t>
      </w:r>
      <w:r w:rsidRPr="003B3476">
        <w:rPr>
          <w:bCs/>
        </w:rPr>
        <w:t xml:space="preserve">, tome IV. </w:t>
      </w:r>
      <w:r w:rsidRPr="003B3476">
        <w:rPr>
          <w:i/>
          <w:lang w:val="fr-FR" w:eastAsia="fr-FR" w:bidi="fr-FR"/>
        </w:rPr>
        <w:t xml:space="preserve">Inscriptions des doyennés de </w:t>
      </w:r>
      <w:r w:rsidRPr="003B3476">
        <w:rPr>
          <w:bCs/>
          <w:i/>
          <w:iCs/>
        </w:rPr>
        <w:t>Milly</w:t>
      </w:r>
      <w:r w:rsidRPr="003B3476">
        <w:rPr>
          <w:i/>
          <w:lang w:val="fr-FR" w:eastAsia="fr-FR" w:bidi="fr-FR"/>
        </w:rPr>
        <w:t xml:space="preserve"> et du Gâtinais</w:t>
      </w:r>
      <w:r w:rsidRPr="003B3476">
        <w:rPr>
          <w:bCs/>
          <w:i/>
        </w:rPr>
        <w:t>,</w:t>
      </w:r>
      <w:r w:rsidRPr="003B3476">
        <w:rPr>
          <w:bCs/>
        </w:rPr>
        <w:t xml:space="preserve"> in-4°, Paris, 1904, 762 p.</w:t>
      </w:r>
    </w:p>
  </w:footnote>
  <w:footnote w:id="488">
    <w:p w14:paraId="2583225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841BE4">
        <w:rPr>
          <w:rStyle w:val="Notedebasdepage265ptNonItaliquePetitesmajuscules"/>
          <w:b w:val="0"/>
          <w:iCs/>
          <w:sz w:val="24"/>
        </w:rPr>
        <w:t>M. Loisel</w:t>
      </w:r>
      <w:r w:rsidRPr="003B3476">
        <w:rPr>
          <w:rStyle w:val="Notedebasdepage265ptNonItaliquePetitesmajuscules"/>
          <w:b w:val="0"/>
          <w:i/>
          <w:iCs/>
          <w:sz w:val="24"/>
        </w:rPr>
        <w:t xml:space="preserve">, </w:t>
      </w:r>
      <w:r w:rsidRPr="003B3476">
        <w:rPr>
          <w:i/>
          <w:lang w:val="fr-FR" w:eastAsia="fr-FR" w:bidi="fr-FR"/>
        </w:rPr>
        <w:t>Épigraphie du canton de Montfort-l’Amaury (Seine-et-Oise)</w:t>
      </w:r>
      <w:r w:rsidRPr="003B3476">
        <w:rPr>
          <w:bCs/>
        </w:rPr>
        <w:t xml:space="preserve">, dans </w:t>
      </w:r>
      <w:r w:rsidRPr="003B3476">
        <w:rPr>
          <w:i/>
          <w:lang w:val="fr-FR" w:eastAsia="fr-FR" w:bidi="fr-FR"/>
        </w:rPr>
        <w:t>Mém. Soc. archéol. Rambouillet</w:t>
      </w:r>
      <w:r w:rsidRPr="003B3476">
        <w:rPr>
          <w:bCs/>
        </w:rPr>
        <w:t xml:space="preserve">, t. VII, 1882-83, p. 1-112 ; A. de </w:t>
      </w:r>
      <w:r w:rsidRPr="00841BE4">
        <w:rPr>
          <w:rStyle w:val="Notedebasdepage265ptNonItaliquePetitesmajuscules"/>
          <w:b w:val="0"/>
          <w:iCs/>
          <w:sz w:val="24"/>
        </w:rPr>
        <w:t>Dion</w:t>
      </w:r>
      <w:r w:rsidRPr="003B3476">
        <w:rPr>
          <w:rStyle w:val="Notedebasdepage265ptNonItaliquePetitesmajuscules"/>
          <w:b w:val="0"/>
          <w:i/>
          <w:iCs/>
          <w:sz w:val="24"/>
        </w:rPr>
        <w:t xml:space="preserve">, </w:t>
      </w:r>
      <w:r w:rsidRPr="003B3476">
        <w:rPr>
          <w:i/>
          <w:lang w:val="fr-FR" w:eastAsia="fr-FR" w:bidi="fr-FR"/>
        </w:rPr>
        <w:t>Su</w:t>
      </w:r>
      <w:r w:rsidRPr="003B3476">
        <w:rPr>
          <w:i/>
          <w:lang w:val="fr-FR" w:eastAsia="fr-FR" w:bidi="fr-FR"/>
        </w:rPr>
        <w:t>p</w:t>
      </w:r>
      <w:r w:rsidRPr="003B3476">
        <w:rPr>
          <w:i/>
          <w:lang w:val="fr-FR" w:eastAsia="fr-FR" w:bidi="fr-FR"/>
        </w:rPr>
        <w:t>plément à l’épigraphie du canton de Montfort-l’Amaury</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p. 303-306.</w:t>
      </w:r>
    </w:p>
  </w:footnote>
  <w:footnote w:id="489">
    <w:p w14:paraId="32C88C9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Je n’indiquerai pas ici les répertoires archéologiques qui ne concerneraient que les monuments d’une seule période. Sur l’histoire de l’archéologie dans l’Île-de-France et en particulier sur les musées constitués par les sociétés loc</w:t>
      </w:r>
      <w:r w:rsidRPr="003B3476">
        <w:rPr>
          <w:lang w:val="fr-FR" w:eastAsia="fr-FR" w:bidi="fr-FR"/>
        </w:rPr>
        <w:t>a</w:t>
      </w:r>
      <w:r w:rsidRPr="003B3476">
        <w:rPr>
          <w:lang w:val="fr-FR" w:eastAsia="fr-FR" w:bidi="fr-FR"/>
        </w:rPr>
        <w:t xml:space="preserve">les, on trouvera quelques renseignements dans les deux articles que voici : </w:t>
      </w:r>
      <w:r w:rsidRPr="003B3476">
        <w:rPr>
          <w:rStyle w:val="Notedebasdepage65ptPetitesmajuscules"/>
          <w:b w:val="0"/>
          <w:sz w:val="24"/>
        </w:rPr>
        <w:t>De</w:t>
      </w:r>
      <w:r w:rsidRPr="003B3476">
        <w:rPr>
          <w:rStyle w:val="Notedebasdepage65ptPetitesmajuscules"/>
          <w:b w:val="0"/>
          <w:sz w:val="24"/>
        </w:rPr>
        <w:t>s</w:t>
      </w:r>
      <w:r w:rsidRPr="003B3476">
        <w:rPr>
          <w:rStyle w:val="Notedebasdepage65ptPetitesmajuscules"/>
          <w:b w:val="0"/>
          <w:sz w:val="24"/>
        </w:rPr>
        <w:t xml:space="preserve">noyers, </w:t>
      </w:r>
      <w:r w:rsidRPr="003B3476">
        <w:rPr>
          <w:bCs/>
          <w:i/>
        </w:rPr>
        <w:t>État des études archéologiques dans le département du Loiret,</w:t>
      </w:r>
      <w:r w:rsidRPr="003B3476">
        <w:rPr>
          <w:i/>
          <w:lang w:val="fr-FR" w:eastAsia="fr-FR" w:bidi="fr-FR"/>
        </w:rPr>
        <w:t xml:space="preserve"> dans </w:t>
      </w:r>
      <w:r w:rsidRPr="003B3476">
        <w:rPr>
          <w:bCs/>
          <w:i/>
        </w:rPr>
        <w:t>Congrès archéol</w:t>
      </w:r>
      <w:r w:rsidRPr="003B3476">
        <w:rPr>
          <w:bCs/>
        </w:rPr>
        <w:t>.,</w:t>
      </w:r>
      <w:r w:rsidRPr="003B3476">
        <w:rPr>
          <w:lang w:val="fr-FR" w:eastAsia="fr-FR" w:bidi="fr-FR"/>
        </w:rPr>
        <w:t xml:space="preserve"> t. LIX, 1892, p. 139-153 ; abbé </w:t>
      </w:r>
      <w:r w:rsidRPr="003B3476">
        <w:rPr>
          <w:rStyle w:val="Notedebasdepage65ptPetitesmajuscules"/>
          <w:b w:val="0"/>
          <w:sz w:val="24"/>
        </w:rPr>
        <w:t xml:space="preserve">Sainsot, </w:t>
      </w:r>
      <w:r w:rsidRPr="003B3476">
        <w:rPr>
          <w:bCs/>
          <w:i/>
        </w:rPr>
        <w:t>Les études archéolog</w:t>
      </w:r>
      <w:r w:rsidRPr="003B3476">
        <w:rPr>
          <w:bCs/>
          <w:i/>
        </w:rPr>
        <w:t>i</w:t>
      </w:r>
      <w:r w:rsidRPr="003B3476">
        <w:rPr>
          <w:bCs/>
          <w:i/>
        </w:rPr>
        <w:t>ques dans le département d’Eure-et-Loir depuis cinquante ans</w:t>
      </w:r>
      <w:r w:rsidRPr="003B3476">
        <w:rPr>
          <w:bCs/>
        </w:rPr>
        <w:t xml:space="preserve">, </w:t>
      </w:r>
      <w:r w:rsidRPr="003B3476">
        <w:rPr>
          <w:bCs/>
          <w:i/>
        </w:rPr>
        <w:t>ibid.</w:t>
      </w:r>
      <w:r w:rsidRPr="003B3476">
        <w:rPr>
          <w:bCs/>
        </w:rPr>
        <w:t>,</w:t>
      </w:r>
      <w:r w:rsidRPr="003B3476">
        <w:rPr>
          <w:lang w:val="fr-FR" w:eastAsia="fr-FR" w:bidi="fr-FR"/>
        </w:rPr>
        <w:t xml:space="preserve"> t. LXVII, 1900, p. 85-95.</w:t>
      </w:r>
    </w:p>
  </w:footnote>
  <w:footnote w:id="490">
    <w:p w14:paraId="52C7414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In-8°, Chartres, 1911, 95 p. (Publicat. delà Soc. archéol. d’Eure-et-Loir). Pour la Seine-et-Oise les objets mobiliers classés ont été l’objet d’un travail anal</w:t>
      </w:r>
      <w:r w:rsidRPr="003B3476">
        <w:rPr>
          <w:lang w:val="fr-FR" w:eastAsia="fr-FR" w:bidi="fr-FR"/>
        </w:rPr>
        <w:t>o</w:t>
      </w:r>
      <w:r w:rsidRPr="003B3476">
        <w:rPr>
          <w:lang w:val="fr-FR" w:eastAsia="fr-FR" w:bidi="fr-FR"/>
        </w:rPr>
        <w:t xml:space="preserve">gue. </w:t>
      </w:r>
      <w:r w:rsidRPr="003B3476">
        <w:rPr>
          <w:bCs/>
          <w:i/>
        </w:rPr>
        <w:t>Liste des objets mobiliers classés de Seine-et-Oise à la date du 30 juin 1909</w:t>
      </w:r>
      <w:r w:rsidRPr="003B3476">
        <w:rPr>
          <w:bCs/>
        </w:rPr>
        <w:t>,</w:t>
      </w:r>
      <w:r w:rsidRPr="003B3476">
        <w:rPr>
          <w:lang w:val="fr-FR" w:eastAsia="fr-FR" w:bidi="fr-FR"/>
        </w:rPr>
        <w:t xml:space="preserve"> in-8°, Versailles, 1909 (Publicat. de la Commiss. des Antiqu. et des Arts). </w:t>
      </w:r>
      <w:r w:rsidRPr="003B3476">
        <w:rPr>
          <w:bCs/>
          <w:i/>
        </w:rPr>
        <w:t>Cf.</w:t>
      </w:r>
      <w:r w:rsidRPr="003B3476">
        <w:rPr>
          <w:bCs/>
        </w:rPr>
        <w:t xml:space="preserve"> </w:t>
      </w:r>
      <w:r w:rsidRPr="003B3476">
        <w:rPr>
          <w:bCs/>
          <w:i/>
        </w:rPr>
        <w:t>Album des objets mobiliers de Seine-et-Oise</w:t>
      </w:r>
      <w:r w:rsidRPr="003B3476">
        <w:rPr>
          <w:bCs/>
        </w:rPr>
        <w:t>,</w:t>
      </w:r>
      <w:r w:rsidRPr="003B3476">
        <w:rPr>
          <w:lang w:val="fr-FR" w:eastAsia="fr-FR" w:bidi="fr-FR"/>
        </w:rPr>
        <w:t xml:space="preserve"> dans </w:t>
      </w:r>
      <w:r w:rsidRPr="003B3476">
        <w:rPr>
          <w:bCs/>
          <w:i/>
        </w:rPr>
        <w:t>Mém. Soc. hist. Corbeil</w:t>
      </w:r>
      <w:r w:rsidRPr="003B3476">
        <w:rPr>
          <w:bCs/>
        </w:rPr>
        <w:t>,</w:t>
      </w:r>
      <w:r w:rsidRPr="003B3476">
        <w:rPr>
          <w:lang w:val="fr-FR" w:eastAsia="fr-FR" w:bidi="fr-FR"/>
        </w:rPr>
        <w:t xml:space="preserve"> t. X, 1910.</w:t>
      </w:r>
    </w:p>
  </w:footnote>
  <w:footnote w:id="491">
    <w:p w14:paraId="4120C7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Statistique monumentale du canton de Chaumont-en-Vexin</w:t>
      </w:r>
      <w:r w:rsidRPr="003B3476">
        <w:rPr>
          <w:bCs/>
        </w:rPr>
        <w:t>.</w:t>
      </w:r>
      <w:r w:rsidRPr="003B3476">
        <w:rPr>
          <w:lang w:val="fr-FR" w:eastAsia="fr-FR" w:bidi="fr-FR"/>
        </w:rPr>
        <w:t xml:space="preserve"> Huit fascicules in-8° ont paru entre 1891 et 1906. Le neuvième (Chaumont suite, Boissy-l’Aillerie, Saint-Brice) fait défaut.</w:t>
      </w:r>
    </w:p>
  </w:footnote>
  <w:footnote w:id="492">
    <w:p w14:paraId="218F204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Commission des Antiqu. et Arts de Seine-et-Oise</w:t>
      </w:r>
      <w:r w:rsidRPr="003B3476">
        <w:rPr>
          <w:lang w:val="fr-FR" w:eastAsia="fr-FR" w:bidi="fr-FR"/>
        </w:rPr>
        <w:t>,</w:t>
      </w:r>
      <w:r w:rsidRPr="003B3476">
        <w:rPr>
          <w:bCs/>
        </w:rPr>
        <w:t xml:space="preserve"> 3</w:t>
      </w:r>
      <w:r w:rsidRPr="003B3476">
        <w:rPr>
          <w:bCs/>
          <w:vertAlign w:val="superscript"/>
        </w:rPr>
        <w:t>e</w:t>
      </w:r>
      <w:r w:rsidRPr="003B3476">
        <w:rPr>
          <w:bCs/>
        </w:rPr>
        <w:t xml:space="preserve"> fasc., 1883, p. 91-103.</w:t>
      </w:r>
    </w:p>
  </w:footnote>
  <w:footnote w:id="493">
    <w:p w14:paraId="0AD6E7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monuments de Seine-et-Marne, description historique et archéologique, et reproduction des édifices religieux, militaires et civils du département</w:t>
      </w:r>
      <w:r w:rsidRPr="003B3476">
        <w:rPr>
          <w:lang w:val="fr-FR" w:eastAsia="fr-FR" w:bidi="fr-FR"/>
        </w:rPr>
        <w:t>,</w:t>
      </w:r>
      <w:r w:rsidRPr="003B3476">
        <w:rPr>
          <w:bCs/>
        </w:rPr>
        <w:t xml:space="preserve"> in-fol., Paris, 1858, 208 p.</w:t>
      </w:r>
    </w:p>
  </w:footnote>
  <w:footnote w:id="494">
    <w:p w14:paraId="718CC45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Monuments religieux, civils et militaires du Gâtinais (Dép. du Loiret et de Seine-et-Marne) depuis le XI</w:t>
      </w:r>
      <w:r w:rsidRPr="003B3476">
        <w:rPr>
          <w:i/>
          <w:vertAlign w:val="superscript"/>
          <w:lang w:val="fr-FR" w:eastAsia="fr-FR" w:bidi="fr-FR"/>
        </w:rPr>
        <w:t>e</w:t>
      </w:r>
      <w:r w:rsidRPr="003B3476">
        <w:rPr>
          <w:i/>
          <w:lang w:val="fr-FR" w:eastAsia="fr-FR" w:bidi="fr-FR"/>
        </w:rPr>
        <w:t xml:space="preserve"> jusqu’au </w:t>
      </w:r>
      <w:r w:rsidRPr="003B3476">
        <w:rPr>
          <w:i/>
          <w:iCs/>
        </w:rPr>
        <w:t>XVIII</w:t>
      </w:r>
      <w:r w:rsidRPr="003B3476">
        <w:rPr>
          <w:i/>
          <w:iCs/>
          <w:vertAlign w:val="superscript"/>
        </w:rPr>
        <w:t>e</w:t>
      </w:r>
      <w:r w:rsidRPr="003B3476">
        <w:rPr>
          <w:i/>
          <w:lang w:val="fr-FR" w:eastAsia="fr-FR" w:bidi="fr-FR"/>
        </w:rPr>
        <w:t xml:space="preserve"> siècle</w:t>
      </w:r>
      <w:r w:rsidRPr="003B3476">
        <w:rPr>
          <w:lang w:val="fr-FR" w:eastAsia="fr-FR" w:bidi="fr-FR"/>
        </w:rPr>
        <w:t>,</w:t>
      </w:r>
      <w:r w:rsidRPr="003B3476">
        <w:t xml:space="preserve"> in-4°, Lyon, Orléans et Paris, 358 p. et un atlas de 107 planches. Edm. </w:t>
      </w:r>
      <w:r w:rsidRPr="003B3476">
        <w:rPr>
          <w:rStyle w:val="Notedebasdepage265ptNonItaliquePetitesmajuscules"/>
          <w:b w:val="0"/>
          <w:i/>
          <w:iCs/>
          <w:sz w:val="24"/>
        </w:rPr>
        <w:t xml:space="preserve">Michel </w:t>
      </w:r>
      <w:r w:rsidRPr="003B3476">
        <w:t xml:space="preserve">est aussi l’auteur dans la collection des Richesses d’Art d’une notice sur </w:t>
      </w:r>
      <w:r w:rsidRPr="003B3476">
        <w:rPr>
          <w:i/>
          <w:lang w:val="fr-FR" w:eastAsia="fr-FR" w:bidi="fr-FR"/>
        </w:rPr>
        <w:t>Les églises du département du Loiret</w:t>
      </w:r>
      <w:r w:rsidRPr="003B3476">
        <w:t xml:space="preserve"> parue au tome I de </w:t>
      </w:r>
      <w:r w:rsidRPr="003B3476">
        <w:rPr>
          <w:lang w:val="fr-FR" w:eastAsia="fr-FR" w:bidi="fr-FR"/>
        </w:rPr>
        <w:t>l</w:t>
      </w:r>
      <w:r w:rsidRPr="003B3476">
        <w:rPr>
          <w:i/>
          <w:lang w:val="fr-FR" w:eastAsia="fr-FR" w:bidi="fr-FR"/>
        </w:rPr>
        <w:t>’Inventaire général des richesses d’art de la Fra</w:t>
      </w:r>
      <w:r w:rsidRPr="003B3476">
        <w:rPr>
          <w:i/>
          <w:lang w:val="fr-FR" w:eastAsia="fr-FR" w:bidi="fr-FR"/>
        </w:rPr>
        <w:t>n</w:t>
      </w:r>
      <w:r w:rsidRPr="003B3476">
        <w:rPr>
          <w:i/>
          <w:lang w:val="fr-FR" w:eastAsia="fr-FR" w:bidi="fr-FR"/>
        </w:rPr>
        <w:t>ce. Province. Monuments religieux</w:t>
      </w:r>
      <w:r w:rsidRPr="003B3476">
        <w:rPr>
          <w:lang w:val="fr-FR" w:eastAsia="fr-FR" w:bidi="fr-FR"/>
        </w:rPr>
        <w:t>,</w:t>
      </w:r>
      <w:r w:rsidRPr="003B3476">
        <w:t xml:space="preserve"> p. 183-359, et du volume : </w:t>
      </w:r>
      <w:r w:rsidRPr="003B3476">
        <w:rPr>
          <w:i/>
          <w:lang w:val="fr-FR" w:eastAsia="fr-FR" w:bidi="fr-FR"/>
        </w:rPr>
        <w:t>Inventaire des richesses d’art de la France : arrondissements de Gien et de Montargis</w:t>
      </w:r>
      <w:r w:rsidRPr="003B3476">
        <w:rPr>
          <w:lang w:val="fr-FR" w:eastAsia="fr-FR" w:bidi="fr-FR"/>
        </w:rPr>
        <w:t>,</w:t>
      </w:r>
      <w:r w:rsidRPr="003B3476">
        <w:t xml:space="preserve"> Paris, 1885. Sur les monuments religieux du diocèse de Chartres, on consult</w:t>
      </w:r>
      <w:r w:rsidRPr="003B3476">
        <w:t>e</w:t>
      </w:r>
      <w:r w:rsidRPr="003B3476">
        <w:t xml:space="preserve">ra </w:t>
      </w:r>
      <w:r w:rsidRPr="003B3476">
        <w:rPr>
          <w:i/>
          <w:lang w:eastAsia="fr-FR" w:bidi="fr-FR"/>
        </w:rPr>
        <w:t>Égl</w:t>
      </w:r>
      <w:r w:rsidRPr="003B3476">
        <w:rPr>
          <w:i/>
          <w:lang w:eastAsia="fr-FR" w:bidi="fr-FR"/>
        </w:rPr>
        <w:t>i</w:t>
      </w:r>
      <w:r w:rsidRPr="003B3476">
        <w:rPr>
          <w:i/>
          <w:lang w:eastAsia="fr-FR" w:bidi="fr-FR"/>
        </w:rPr>
        <w:t>ses et chapelles du diocèse de Chartres publiées par l'abbé Ch. Métais. Arch</w:t>
      </w:r>
      <w:r w:rsidRPr="003B3476">
        <w:rPr>
          <w:i/>
          <w:lang w:eastAsia="fr-FR" w:bidi="fr-FR"/>
        </w:rPr>
        <w:t>i</w:t>
      </w:r>
      <w:r w:rsidRPr="003B3476">
        <w:rPr>
          <w:i/>
          <w:lang w:eastAsia="fr-FR" w:bidi="fr-FR"/>
        </w:rPr>
        <w:t>ves du diocèse de Chartres</w:t>
      </w:r>
      <w:r w:rsidRPr="003B3476">
        <w:rPr>
          <w:lang w:eastAsia="fr-FR" w:bidi="fr-FR"/>
        </w:rPr>
        <w:t>,</w:t>
      </w:r>
      <w:r w:rsidRPr="003B3476">
        <w:t xml:space="preserve"> t. II, IV et IX, in-8°, Chartres.</w:t>
      </w:r>
    </w:p>
  </w:footnote>
  <w:footnote w:id="495">
    <w:p w14:paraId="40553B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In-4°, Paris, 1719, </w:t>
      </w:r>
      <w:r w:rsidRPr="003B3476">
        <w:rPr>
          <w:smallCaps/>
          <w:lang w:eastAsia="fr-FR" w:bidi="fr-FR"/>
        </w:rPr>
        <w:t>xxxvi</w:t>
      </w:r>
      <w:r w:rsidRPr="003B3476">
        <w:rPr>
          <w:lang w:eastAsia="fr-FR" w:bidi="fr-FR"/>
        </w:rPr>
        <w:t xml:space="preserve">+364 p. Par « ancien diocèse de Chartres », dom Liron entend le diocèse tel qu’il existait avant l’établissement </w:t>
      </w:r>
      <w:r w:rsidRPr="003B3476">
        <w:t xml:space="preserve">à </w:t>
      </w:r>
      <w:r w:rsidRPr="003B3476">
        <w:rPr>
          <w:lang w:eastAsia="fr-FR" w:bidi="fr-FR"/>
        </w:rPr>
        <w:t xml:space="preserve">Blois d’un évêché dont le territoire lut constitué par une portion de l’ancien diocèse de Chartres. Il existe </w:t>
      </w:r>
      <w:r w:rsidRPr="003B3476">
        <w:t xml:space="preserve">à </w:t>
      </w:r>
      <w:r w:rsidRPr="003B3476">
        <w:rPr>
          <w:lang w:eastAsia="fr-FR" w:bidi="fr-FR"/>
        </w:rPr>
        <w:t xml:space="preserve">la Bibliothèque de la ville d’Orléans (ms. n° 631) un exemplaire manuscrit, de la main de l’auteur, de l’ouvrage de dom Liron ; il semble que ce manuscrit ait été destiné </w:t>
      </w:r>
      <w:r w:rsidRPr="003B3476">
        <w:t xml:space="preserve">à </w:t>
      </w:r>
      <w:r w:rsidRPr="003B3476">
        <w:rPr>
          <w:lang w:eastAsia="fr-FR" w:bidi="fr-FR"/>
        </w:rPr>
        <w:t>la publication d’une nouvelle éd</w:t>
      </w:r>
      <w:r w:rsidRPr="003B3476">
        <w:rPr>
          <w:lang w:eastAsia="fr-FR" w:bidi="fr-FR"/>
        </w:rPr>
        <w:t>i</w:t>
      </w:r>
      <w:r w:rsidRPr="003B3476">
        <w:rPr>
          <w:lang w:eastAsia="fr-FR" w:bidi="fr-FR"/>
        </w:rPr>
        <w:t xml:space="preserve">tion, qui n’a jamais paru ; </w:t>
      </w:r>
      <w:r w:rsidRPr="003B3476">
        <w:t>cf.</w:t>
      </w:r>
      <w:r w:rsidRPr="003B3476">
        <w:rPr>
          <w:lang w:eastAsia="fr-FR" w:bidi="fr-FR"/>
        </w:rPr>
        <w:t xml:space="preserve"> aussi Bibl. Nat., fonds franç. ms. 17005 et 17006. La </w:t>
      </w:r>
      <w:r w:rsidRPr="003B3476">
        <w:rPr>
          <w:i/>
        </w:rPr>
        <w:t>Bibliothèque Chartraine</w:t>
      </w:r>
      <w:r w:rsidRPr="003B3476">
        <w:t xml:space="preserve"> </w:t>
      </w:r>
      <w:r w:rsidRPr="003B3476">
        <w:rPr>
          <w:lang w:eastAsia="fr-FR" w:bidi="fr-FR"/>
        </w:rPr>
        <w:t xml:space="preserve">fut l’objet de critiques assez vives. Voir </w:t>
      </w:r>
      <w:r w:rsidRPr="003B3476">
        <w:rPr>
          <w:i/>
        </w:rPr>
        <w:t>Lettre d'un conseiller de Blois à un chanoine de Chartres sur la Bibliothèque Chartraine</w:t>
      </w:r>
      <w:r w:rsidRPr="003B3476">
        <w:t>...,</w:t>
      </w:r>
      <w:r w:rsidRPr="003B3476">
        <w:rPr>
          <w:lang w:eastAsia="fr-FR" w:bidi="fr-FR"/>
        </w:rPr>
        <w:t xml:space="preserve"> in-16, s. 1., 1719, 20 p. ; si l’on en croit une note manuscrite de l’exemplaire de la Bibl. Nat. l’auteur de cette plaquette serait un certain Pe</w:t>
      </w:r>
      <w:r w:rsidRPr="003B3476">
        <w:rPr>
          <w:lang w:eastAsia="fr-FR" w:bidi="fr-FR"/>
        </w:rPr>
        <w:t>r</w:t>
      </w:r>
      <w:r w:rsidRPr="003B3476">
        <w:rPr>
          <w:lang w:eastAsia="fr-FR" w:bidi="fr-FR"/>
        </w:rPr>
        <w:t xml:space="preserve">doux de la Perrière. La Société des Bibliophiles Bretons commença en 1897 la publication de la </w:t>
      </w:r>
      <w:r w:rsidRPr="003B3476">
        <w:rPr>
          <w:i/>
        </w:rPr>
        <w:t>Bibliothèque d'Anjou</w:t>
      </w:r>
      <w:r w:rsidRPr="003B3476">
        <w:rPr>
          <w:lang w:eastAsia="fr-FR" w:bidi="fr-FR"/>
        </w:rPr>
        <w:t xml:space="preserve"> de dom Liron, in-4°, Nantes.</w:t>
      </w:r>
    </w:p>
  </w:footnote>
  <w:footnote w:id="496">
    <w:p w14:paraId="20E6435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Cf.</w:t>
      </w:r>
      <w:r w:rsidRPr="003B3476">
        <w:rPr>
          <w:lang w:eastAsia="fr-FR" w:bidi="fr-FR"/>
        </w:rPr>
        <w:t xml:space="preserve"> L. </w:t>
      </w:r>
      <w:r w:rsidRPr="003B3476">
        <w:rPr>
          <w:rStyle w:val="Corpsdutexte1065ptPetitesmajuscules"/>
          <w:b w:val="0"/>
          <w:sz w:val="28"/>
          <w:lang w:val="fr-CA"/>
        </w:rPr>
        <w:t>Jarry,</w:t>
      </w:r>
      <w:r w:rsidRPr="003B3476">
        <w:rPr>
          <w:rStyle w:val="Corpsdutexte1065ptPetitesmajuscules"/>
          <w:sz w:val="28"/>
          <w:lang w:val="fr-CA"/>
        </w:rPr>
        <w:t xml:space="preserve"> </w:t>
      </w:r>
      <w:r w:rsidRPr="003B3476">
        <w:rPr>
          <w:i/>
        </w:rPr>
        <w:t>Dom Gérou. Sa vie et ses travaux littéraires, d'après sa co</w:t>
      </w:r>
      <w:r w:rsidRPr="003B3476">
        <w:rPr>
          <w:i/>
        </w:rPr>
        <w:t>r</w:t>
      </w:r>
      <w:r w:rsidRPr="003B3476">
        <w:rPr>
          <w:i/>
        </w:rPr>
        <w:t>respondance inédite</w:t>
      </w:r>
      <w:r w:rsidRPr="003B3476">
        <w:t>,</w:t>
      </w:r>
      <w:r w:rsidRPr="003B3476">
        <w:rPr>
          <w:lang w:eastAsia="fr-FR" w:bidi="fr-FR"/>
        </w:rPr>
        <w:t xml:space="preserve"> dans </w:t>
      </w:r>
      <w:r w:rsidRPr="003B3476">
        <w:rPr>
          <w:i/>
        </w:rPr>
        <w:t>Académ. de Sainte-Croix d'Orléans. Lect. et mém</w:t>
      </w:r>
      <w:r w:rsidRPr="003B3476">
        <w:t>.,</w:t>
      </w:r>
      <w:r w:rsidRPr="003B3476">
        <w:rPr>
          <w:lang w:eastAsia="fr-FR" w:bidi="fr-FR"/>
        </w:rPr>
        <w:t xml:space="preserve"> t. IV, 1880, p. 137-188. L’ouvrage de dom Gérou forme les manuscrits 633-634 de la Bibliothèque de la Ville d’Orléans. </w:t>
      </w:r>
      <w:r w:rsidRPr="003B3476">
        <w:rPr>
          <w:i/>
        </w:rPr>
        <w:t>Cf</w:t>
      </w:r>
      <w:r w:rsidRPr="003B3476">
        <w:t>.</w:t>
      </w:r>
      <w:r w:rsidRPr="003B3476">
        <w:rPr>
          <w:lang w:eastAsia="fr-FR" w:bidi="fr-FR"/>
        </w:rPr>
        <w:t xml:space="preserve"> les manuscrits n</w:t>
      </w:r>
      <w:r w:rsidRPr="003B3476">
        <w:rPr>
          <w:vertAlign w:val="superscript"/>
          <w:lang w:eastAsia="fr-FR" w:bidi="fr-FR"/>
        </w:rPr>
        <w:t>os</w:t>
      </w:r>
      <w:r w:rsidRPr="003B3476">
        <w:rPr>
          <w:lang w:eastAsia="fr-FR" w:bidi="fr-FR"/>
        </w:rPr>
        <w:t xml:space="preserve"> 632, 635, 636, 637, 638, qui peuvent servir de complément au dom Gérou.</w:t>
      </w:r>
    </w:p>
  </w:footnote>
  <w:footnote w:id="497">
    <w:p w14:paraId="3CB106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eastAsia="fr-FR" w:bidi="fr-FR"/>
        </w:rPr>
        <w:t>Mém. Soc. archéol. de l'Orléanais</w:t>
      </w:r>
      <w:r w:rsidRPr="003B3476">
        <w:rPr>
          <w:lang w:eastAsia="fr-FR" w:bidi="fr-FR"/>
        </w:rPr>
        <w:t>,</w:t>
      </w:r>
      <w:r w:rsidRPr="003B3476">
        <w:t xml:space="preserve"> tome XIX, 1883, pp. 1-446. Indiquons ici deux autres bibliographies chartraines ; l’une forme le chapitre VII de l</w:t>
      </w:r>
      <w:r w:rsidRPr="003B3476">
        <w:rPr>
          <w:lang w:eastAsia="fr-FR" w:bidi="fr-FR"/>
        </w:rPr>
        <w:t>'</w:t>
      </w:r>
      <w:r w:rsidRPr="003B3476">
        <w:rPr>
          <w:i/>
          <w:lang w:eastAsia="fr-FR" w:bidi="fr-FR"/>
        </w:rPr>
        <w:t>Histo</w:t>
      </w:r>
      <w:r w:rsidRPr="003B3476">
        <w:rPr>
          <w:i/>
          <w:lang w:eastAsia="fr-FR" w:bidi="fr-FR"/>
        </w:rPr>
        <w:t>i</w:t>
      </w:r>
      <w:r w:rsidRPr="003B3476">
        <w:rPr>
          <w:i/>
          <w:lang w:eastAsia="fr-FR" w:bidi="fr-FR"/>
        </w:rPr>
        <w:t>re de Chartres</w:t>
      </w:r>
      <w:r w:rsidRPr="003B3476">
        <w:t xml:space="preserve"> de </w:t>
      </w:r>
      <w:r w:rsidRPr="003B3476">
        <w:rPr>
          <w:rStyle w:val="Corpsdutexte465ptNonItalique"/>
          <w:b w:val="0"/>
          <w:i w:val="0"/>
          <w:iCs w:val="0"/>
          <w:smallCaps/>
          <w:sz w:val="28"/>
          <w:lang w:val="fr-CA"/>
        </w:rPr>
        <w:t>Doyen</w:t>
      </w:r>
      <w:r w:rsidRPr="003B3476">
        <w:rPr>
          <w:rStyle w:val="Corpsdutexte465ptNonItalique"/>
          <w:b w:val="0"/>
          <w:i w:val="0"/>
          <w:iCs w:val="0"/>
          <w:sz w:val="28"/>
          <w:lang w:val="fr-CA"/>
        </w:rPr>
        <w:t>,</w:t>
      </w:r>
      <w:r w:rsidRPr="003B3476">
        <w:rPr>
          <w:rStyle w:val="Corpsdutexte465ptNonItalique"/>
          <w:i w:val="0"/>
          <w:iCs w:val="0"/>
          <w:sz w:val="28"/>
          <w:lang w:val="fr-CA"/>
        </w:rPr>
        <w:t xml:space="preserve"> </w:t>
      </w:r>
      <w:r w:rsidRPr="003B3476">
        <w:t>mentionnée plus haut, elle s’intitule : « </w:t>
      </w:r>
      <w:r w:rsidRPr="003B3476">
        <w:rPr>
          <w:i/>
          <w:lang w:eastAsia="fr-FR" w:bidi="fr-FR"/>
        </w:rPr>
        <w:t>Notice des auteurs et autres personnes nés au pays chartrain ou qui s'y sont distingués sans y avoir pris naissance, dont les noms ont mérité de passer à la postérité, à peu près par ordre chronologique</w:t>
      </w:r>
      <w:r w:rsidRPr="003B3476">
        <w:t xml:space="preserve"> (t. II, p. 380-482) ; l’autre, qui n’a pas le caractère d’une bio-bibliographie, se trouve contenue dans le tome II de </w:t>
      </w:r>
      <w:r w:rsidRPr="003B3476">
        <w:rPr>
          <w:lang w:eastAsia="fr-FR" w:bidi="fr-FR"/>
        </w:rPr>
        <w:t>l'</w:t>
      </w:r>
      <w:r w:rsidRPr="003B3476">
        <w:rPr>
          <w:i/>
          <w:lang w:eastAsia="fr-FR" w:bidi="fr-FR"/>
        </w:rPr>
        <w:t>Hi</w:t>
      </w:r>
      <w:r w:rsidRPr="003B3476">
        <w:rPr>
          <w:i/>
          <w:lang w:eastAsia="fr-FR" w:bidi="fr-FR"/>
        </w:rPr>
        <w:t>s</w:t>
      </w:r>
      <w:r w:rsidRPr="003B3476">
        <w:rPr>
          <w:i/>
          <w:lang w:eastAsia="fr-FR" w:bidi="fr-FR"/>
        </w:rPr>
        <w:t>toire générale, civile et religieuses de la cité des Carnutes et du pays cha</w:t>
      </w:r>
      <w:r w:rsidRPr="003B3476">
        <w:rPr>
          <w:i/>
          <w:lang w:eastAsia="fr-FR" w:bidi="fr-FR"/>
        </w:rPr>
        <w:t>r</w:t>
      </w:r>
      <w:r w:rsidRPr="003B3476">
        <w:rPr>
          <w:i/>
          <w:lang w:eastAsia="fr-FR" w:bidi="fr-FR"/>
        </w:rPr>
        <w:t>train, vulgairement appelé la Beauce</w:t>
      </w:r>
      <w:r w:rsidRPr="003B3476">
        <w:rPr>
          <w:lang w:eastAsia="fr-FR" w:bidi="fr-FR"/>
        </w:rPr>
        <w:t>,</w:t>
      </w:r>
      <w:r w:rsidRPr="003B3476">
        <w:t xml:space="preserve"> publié en 1836, </w:t>
      </w:r>
      <w:r w:rsidRPr="003B3476">
        <w:rPr>
          <w:b/>
          <w:bCs/>
        </w:rPr>
        <w:t xml:space="preserve">à </w:t>
      </w:r>
      <w:r w:rsidRPr="003B3476">
        <w:t xml:space="preserve">Chartres, par M. J.-E. </w:t>
      </w:r>
      <w:r w:rsidRPr="003B3476">
        <w:rPr>
          <w:rStyle w:val="Corpsdutexte465ptNonItalique"/>
          <w:b w:val="0"/>
          <w:i w:val="0"/>
          <w:iCs w:val="0"/>
          <w:sz w:val="28"/>
          <w:lang w:val="fr-CA"/>
        </w:rPr>
        <w:t>Ozeray</w:t>
      </w:r>
      <w:r w:rsidRPr="003B3476">
        <w:rPr>
          <w:rStyle w:val="Corpsdutexte465ptNonItalique"/>
          <w:i w:val="0"/>
          <w:iCs w:val="0"/>
          <w:sz w:val="28"/>
          <w:lang w:val="fr-CA"/>
        </w:rPr>
        <w:t xml:space="preserve"> </w:t>
      </w:r>
      <w:r w:rsidRPr="003B3476">
        <w:t xml:space="preserve">(in-8°) ; elle a pour titre : </w:t>
      </w:r>
      <w:r w:rsidRPr="003B3476">
        <w:rPr>
          <w:i/>
          <w:lang w:eastAsia="fr-FR" w:bidi="fr-FR"/>
        </w:rPr>
        <w:t>Notice de divers ouvrages manuscrits et imprimés relatifs à l'Histoire de Chartres, au pays chartrain et aux villes et pays environnants</w:t>
      </w:r>
      <w:r w:rsidRPr="003B3476">
        <w:t xml:space="preserve"> (p. 442-462).</w:t>
      </w:r>
    </w:p>
  </w:footnote>
  <w:footnote w:id="498">
    <w:p w14:paraId="6E446D4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T. </w:t>
      </w:r>
      <w:r w:rsidRPr="003B3476">
        <w:rPr>
          <w:rStyle w:val="Corpsdutexte1065ptPetitesmajuscules"/>
          <w:b w:val="0"/>
          <w:sz w:val="28"/>
          <w:lang w:val="fr-CA"/>
        </w:rPr>
        <w:t>Lhuillier,</w:t>
      </w:r>
      <w:r w:rsidRPr="003B3476">
        <w:rPr>
          <w:rStyle w:val="Corpsdutexte1065ptPetitesmajuscules"/>
          <w:sz w:val="28"/>
          <w:lang w:val="fr-CA"/>
        </w:rPr>
        <w:t xml:space="preserve"> </w:t>
      </w:r>
      <w:r w:rsidRPr="003B3476">
        <w:rPr>
          <w:i/>
        </w:rPr>
        <w:t>Seine-et-Marne : essai de bibliographie départementale</w:t>
      </w:r>
      <w:r w:rsidRPr="003B3476">
        <w:t>,</w:t>
      </w:r>
      <w:r w:rsidRPr="003B3476">
        <w:rPr>
          <w:lang w:eastAsia="fr-FR" w:bidi="fr-FR"/>
        </w:rPr>
        <w:t xml:space="preserve"> in-18, Meaux, 1857, iv-117 p. Le paragraphe le plus utile de l’ouvrage de Lhui</w:t>
      </w:r>
      <w:r w:rsidRPr="003B3476">
        <w:rPr>
          <w:lang w:eastAsia="fr-FR" w:bidi="fr-FR"/>
        </w:rPr>
        <w:t>l</w:t>
      </w:r>
      <w:r w:rsidRPr="003B3476">
        <w:rPr>
          <w:lang w:eastAsia="fr-FR" w:bidi="fr-FR"/>
        </w:rPr>
        <w:t xml:space="preserve">lier est sans doute celui qui est consacré aux journaux. La librairie Champion a publié le catalogue de la bibliothèque privée de Lhuillier. </w:t>
      </w:r>
      <w:r w:rsidRPr="003B3476">
        <w:rPr>
          <w:i/>
        </w:rPr>
        <w:t>Catalogue d'une bibliothèque spéciale sur le département de Seine-et-Marne, formée par M. Lhuillier, de Melun</w:t>
      </w:r>
      <w:r w:rsidRPr="003B3476">
        <w:t>,</w:t>
      </w:r>
      <w:r w:rsidRPr="003B3476">
        <w:rPr>
          <w:lang w:eastAsia="fr-FR" w:bidi="fr-FR"/>
        </w:rPr>
        <w:t xml:space="preserve"> in-8°, Paris, 1905, 60 p. L’historien qui s’occupe de la Brie doit consulter les livres d’Aug. </w:t>
      </w:r>
      <w:r w:rsidRPr="003B3476">
        <w:rPr>
          <w:rStyle w:val="Corpsdutexte1065ptPetitesmajuscules"/>
          <w:b w:val="0"/>
          <w:sz w:val="28"/>
          <w:lang w:val="fr-CA"/>
        </w:rPr>
        <w:t>Denis,</w:t>
      </w:r>
      <w:r w:rsidRPr="003B3476">
        <w:rPr>
          <w:rStyle w:val="Corpsdutexte1065ptPetitesmajuscules"/>
          <w:sz w:val="28"/>
          <w:lang w:val="fr-CA"/>
        </w:rPr>
        <w:t xml:space="preserve"> </w:t>
      </w:r>
      <w:r w:rsidRPr="003B3476">
        <w:rPr>
          <w:i/>
        </w:rPr>
        <w:t>Recherches bibliographiques en forme de dictionnaire sur les auteurs morts et vivants qui ont écrit sur l'a</w:t>
      </w:r>
      <w:r w:rsidRPr="003B3476">
        <w:rPr>
          <w:i/>
        </w:rPr>
        <w:t>n</w:t>
      </w:r>
      <w:r w:rsidRPr="003B3476">
        <w:rPr>
          <w:i/>
        </w:rPr>
        <w:t>cienne province de Champagne ou Essai d'un Manuel du Bibliophile champ</w:t>
      </w:r>
      <w:r w:rsidRPr="003B3476">
        <w:rPr>
          <w:i/>
        </w:rPr>
        <w:t>e</w:t>
      </w:r>
      <w:r w:rsidRPr="003B3476">
        <w:rPr>
          <w:i/>
        </w:rPr>
        <w:t>nois</w:t>
      </w:r>
      <w:r w:rsidRPr="003B3476">
        <w:t>,</w:t>
      </w:r>
      <w:r w:rsidRPr="003B3476">
        <w:rPr>
          <w:lang w:eastAsia="fr-FR" w:bidi="fr-FR"/>
        </w:rPr>
        <w:t xml:space="preserve"> in-8°, Châlons-sur-Marne et Paris, 1870, </w:t>
      </w:r>
      <w:r w:rsidRPr="003B3476">
        <w:rPr>
          <w:smallCaps/>
          <w:lang w:eastAsia="fr-FR" w:bidi="fr-FR"/>
        </w:rPr>
        <w:t>viii</w:t>
      </w:r>
      <w:r w:rsidRPr="003B3476">
        <w:rPr>
          <w:lang w:eastAsia="fr-FR" w:bidi="fr-FR"/>
        </w:rPr>
        <w:t xml:space="preserve"> + 190 p. et de L. </w:t>
      </w:r>
      <w:r w:rsidRPr="003B3476">
        <w:rPr>
          <w:rStyle w:val="Corpsdutexte1065ptPetitesmajuscules"/>
          <w:b w:val="0"/>
          <w:sz w:val="28"/>
          <w:lang w:val="fr-CA"/>
        </w:rPr>
        <w:t>Tech</w:t>
      </w:r>
      <w:r w:rsidRPr="003B3476">
        <w:rPr>
          <w:rStyle w:val="Corpsdutexte1065ptPetitesmajuscules"/>
          <w:b w:val="0"/>
          <w:sz w:val="28"/>
          <w:lang w:val="fr-CA"/>
        </w:rPr>
        <w:t>e</w:t>
      </w:r>
      <w:r w:rsidRPr="003B3476">
        <w:rPr>
          <w:rStyle w:val="Corpsdutexte1065ptPetitesmajuscules"/>
          <w:b w:val="0"/>
          <w:sz w:val="28"/>
          <w:lang w:val="fr-CA"/>
        </w:rPr>
        <w:t>ner,</w:t>
      </w:r>
      <w:r w:rsidRPr="003B3476">
        <w:rPr>
          <w:rStyle w:val="Corpsdutexte1065ptPetitesmajuscules"/>
          <w:sz w:val="28"/>
          <w:lang w:val="fr-CA"/>
        </w:rPr>
        <w:t xml:space="preserve"> </w:t>
      </w:r>
      <w:r w:rsidRPr="003B3476">
        <w:rPr>
          <w:i/>
        </w:rPr>
        <w:t>Bibliothèque champenoise</w:t>
      </w:r>
      <w:r w:rsidRPr="003B3476">
        <w:t>,</w:t>
      </w:r>
      <w:r w:rsidRPr="003B3476">
        <w:rPr>
          <w:lang w:eastAsia="fr-FR" w:bidi="fr-FR"/>
        </w:rPr>
        <w:t xml:space="preserve"> in-8°, Paris, 1886, </w:t>
      </w:r>
      <w:r w:rsidRPr="003B3476">
        <w:rPr>
          <w:smallCaps/>
          <w:lang w:eastAsia="fr-FR" w:bidi="fr-FR"/>
        </w:rPr>
        <w:t>xvii</w:t>
      </w:r>
      <w:r w:rsidRPr="003B3476">
        <w:rPr>
          <w:lang w:eastAsia="fr-FR" w:bidi="fr-FR"/>
        </w:rPr>
        <w:t xml:space="preserve"> + 580 p.</w:t>
      </w:r>
    </w:p>
  </w:footnote>
  <w:footnote w:id="499">
    <w:p w14:paraId="52207E4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Léon </w:t>
      </w:r>
      <w:r w:rsidRPr="003B3476">
        <w:rPr>
          <w:rStyle w:val="Corpsdutexte1065ptPetitesmajuscules"/>
          <w:b w:val="0"/>
          <w:sz w:val="28"/>
          <w:lang w:val="fr-CA"/>
        </w:rPr>
        <w:t>Thomas,</w:t>
      </w:r>
      <w:r w:rsidRPr="003B3476">
        <w:rPr>
          <w:rStyle w:val="Corpsdutexte1065ptPetitesmajuscules"/>
          <w:sz w:val="28"/>
          <w:lang w:val="fr-CA"/>
        </w:rPr>
        <w:t xml:space="preserve"> </w:t>
      </w:r>
      <w:r w:rsidRPr="003B3476">
        <w:rPr>
          <w:i/>
        </w:rPr>
        <w:t>Bibliographie de la ville et du canton de Pontoise</w:t>
      </w:r>
      <w:r w:rsidRPr="003B3476">
        <w:rPr>
          <w:i/>
          <w:lang w:eastAsia="fr-FR" w:bidi="fr-FR"/>
        </w:rPr>
        <w:t xml:space="preserve"> </w:t>
      </w:r>
      <w:r w:rsidRPr="003B3476">
        <w:rPr>
          <w:lang w:eastAsia="fr-FR" w:bidi="fr-FR"/>
        </w:rPr>
        <w:t xml:space="preserve">(Publicat. Soc. histor. et archéolog. de l’arr. de Pontoise), in-8°, Pontoise, 1883, </w:t>
      </w:r>
      <w:r w:rsidRPr="003B3476">
        <w:rPr>
          <w:rStyle w:val="Corpsdutexte1065ptPetitesmajuscules"/>
          <w:b w:val="0"/>
          <w:sz w:val="28"/>
          <w:lang w:val="fr-CA"/>
        </w:rPr>
        <w:t>viii</w:t>
      </w:r>
      <w:r w:rsidRPr="003B3476">
        <w:t xml:space="preserve"> + </w:t>
      </w:r>
      <w:r w:rsidRPr="003B3476">
        <w:rPr>
          <w:lang w:eastAsia="fr-FR" w:bidi="fr-FR"/>
        </w:rPr>
        <w:t xml:space="preserve">206 </w:t>
      </w:r>
      <w:r w:rsidRPr="003B3476">
        <w:t>p.</w:t>
      </w:r>
    </w:p>
  </w:footnote>
  <w:footnote w:id="500">
    <w:p w14:paraId="439A3D7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Alfred </w:t>
      </w:r>
      <w:r w:rsidRPr="003B3476">
        <w:rPr>
          <w:rStyle w:val="Notedebasdepage65ptPetitesmajuscules"/>
          <w:b w:val="0"/>
          <w:sz w:val="24"/>
        </w:rPr>
        <w:t xml:space="preserve">Potiquet, </w:t>
      </w:r>
      <w:r w:rsidRPr="003B3476">
        <w:rPr>
          <w:bCs/>
          <w:i/>
        </w:rPr>
        <w:t>Bibliographie du canton de Magny-en-Vexin</w:t>
      </w:r>
      <w:r w:rsidRPr="003B3476">
        <w:rPr>
          <w:bCs/>
        </w:rPr>
        <w:t>,</w:t>
      </w:r>
      <w:r w:rsidRPr="003B3476">
        <w:rPr>
          <w:lang w:val="fr-FR" w:eastAsia="fr-FR" w:bidi="fr-FR"/>
        </w:rPr>
        <w:t xml:space="preserve"> 2</w:t>
      </w:r>
      <w:r w:rsidRPr="003B3476">
        <w:rPr>
          <w:vertAlign w:val="superscript"/>
          <w:lang w:val="fr-FR" w:eastAsia="fr-FR" w:bidi="fr-FR"/>
        </w:rPr>
        <w:t>e</w:t>
      </w:r>
      <w:r w:rsidRPr="003B3476">
        <w:rPr>
          <w:lang w:val="fr-FR" w:eastAsia="fr-FR" w:bidi="fr-FR"/>
        </w:rPr>
        <w:t xml:space="preserve"> édit., in-8°, M</w:t>
      </w:r>
      <w:r w:rsidRPr="003B3476">
        <w:rPr>
          <w:lang w:val="fr-FR" w:eastAsia="fr-FR" w:bidi="fr-FR"/>
        </w:rPr>
        <w:t>a</w:t>
      </w:r>
      <w:r w:rsidRPr="003B3476">
        <w:rPr>
          <w:lang w:val="fr-FR" w:eastAsia="fr-FR" w:bidi="fr-FR"/>
        </w:rPr>
        <w:t xml:space="preserve">gny-en-Vexin, 1878, 67 p. Un </w:t>
      </w:r>
      <w:r w:rsidRPr="003B3476">
        <w:rPr>
          <w:bCs/>
          <w:smallCaps/>
        </w:rPr>
        <w:t>Supplément</w:t>
      </w:r>
      <w:r w:rsidRPr="003B3476">
        <w:rPr>
          <w:lang w:val="fr-FR" w:eastAsia="fr-FR" w:bidi="fr-FR"/>
        </w:rPr>
        <w:t xml:space="preserve"> a paru en 1881, in-8°, 58 p.</w:t>
      </w:r>
    </w:p>
  </w:footnote>
  <w:footnote w:id="501">
    <w:p w14:paraId="0F34005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Paul </w:t>
      </w:r>
      <w:r w:rsidRPr="003B3476">
        <w:rPr>
          <w:rStyle w:val="Notedebasdepage265ptNonItaliquePetitesmajuscules"/>
          <w:b w:val="0"/>
          <w:i/>
          <w:iCs/>
          <w:sz w:val="24"/>
        </w:rPr>
        <w:t xml:space="preserve">Pinson, </w:t>
      </w:r>
      <w:r w:rsidRPr="003B3476">
        <w:rPr>
          <w:i/>
          <w:lang w:val="fr-FR" w:eastAsia="fr-FR" w:bidi="fr-FR"/>
        </w:rPr>
        <w:t>Bibliographie d’Étampes et de l’arrondissement, ou catalogue par ordre alphabétique des noms d’auteurs et d’anonymes, des documents imprimés, cartes et plans relatifs aux villes, bourgs, villages, hameaux, a</w:t>
      </w:r>
      <w:r w:rsidRPr="003B3476">
        <w:rPr>
          <w:i/>
          <w:lang w:val="fr-FR" w:eastAsia="fr-FR" w:bidi="fr-FR"/>
        </w:rPr>
        <w:t>b</w:t>
      </w:r>
      <w:r w:rsidRPr="003B3476">
        <w:rPr>
          <w:i/>
          <w:lang w:val="fr-FR" w:eastAsia="fr-FR" w:bidi="fr-FR"/>
        </w:rPr>
        <w:t>bayes, châteaux, rivières, hommes remarquables, avec des notes bibliogr</w:t>
      </w:r>
      <w:r w:rsidRPr="003B3476">
        <w:rPr>
          <w:i/>
          <w:lang w:val="fr-FR" w:eastAsia="fr-FR" w:bidi="fr-FR"/>
        </w:rPr>
        <w:t>a</w:t>
      </w:r>
      <w:r w:rsidRPr="003B3476">
        <w:rPr>
          <w:i/>
          <w:lang w:val="fr-FR" w:eastAsia="fr-FR" w:bidi="fr-FR"/>
        </w:rPr>
        <w:t>phiques et littéraires</w:t>
      </w:r>
      <w:r w:rsidRPr="003B3476">
        <w:rPr>
          <w:bCs/>
        </w:rPr>
        <w:t xml:space="preserve">, Étampes et Paris, 1910, vi + 155 p. Un comité s’occupe de dresser sur le même plan une bibliographie du département de Seine-et-Oise. Je n’ai pu voir Fréd. </w:t>
      </w:r>
      <w:r w:rsidRPr="00841BE4">
        <w:rPr>
          <w:rStyle w:val="Notedebasdepage265ptNonItaliquePetitesmajuscules"/>
          <w:b w:val="0"/>
          <w:iCs/>
          <w:sz w:val="24"/>
        </w:rPr>
        <w:t>Chéron</w:t>
      </w:r>
      <w:r w:rsidRPr="003B3476">
        <w:rPr>
          <w:rStyle w:val="Notedebasdepage265ptNonItaliquePetitesmajuscules"/>
          <w:b w:val="0"/>
          <w:i/>
          <w:iCs/>
          <w:sz w:val="24"/>
        </w:rPr>
        <w:t xml:space="preserve">, </w:t>
      </w:r>
      <w:r w:rsidRPr="003B3476">
        <w:rPr>
          <w:i/>
          <w:lang w:val="fr-FR" w:eastAsia="fr-FR" w:bidi="fr-FR"/>
        </w:rPr>
        <w:t>Catalogue des livres relatifs à l’histoire de la partie sud du département de Seine-et-Oise</w:t>
      </w:r>
      <w:r w:rsidRPr="003B3476">
        <w:rPr>
          <w:lang w:val="fr-FR" w:eastAsia="fr-FR" w:bidi="fr-FR"/>
        </w:rPr>
        <w:t>,</w:t>
      </w:r>
      <w:r w:rsidRPr="003B3476">
        <w:rPr>
          <w:bCs/>
        </w:rPr>
        <w:t xml:space="preserve"> Étampes, 1903. L’historien de Versailles consultera avec profit [J.-A. </w:t>
      </w:r>
      <w:r w:rsidRPr="00841BE4">
        <w:rPr>
          <w:rStyle w:val="Notedebasdepage265ptNonItaliquePetitesmajuscules"/>
          <w:b w:val="0"/>
          <w:iCs/>
          <w:sz w:val="24"/>
        </w:rPr>
        <w:t>Le Roi],</w:t>
      </w:r>
      <w:r w:rsidRPr="003B3476">
        <w:rPr>
          <w:rStyle w:val="Notedebasdepage265ptNonItaliquePetitesmajuscules"/>
          <w:b w:val="0"/>
          <w:i/>
          <w:iCs/>
          <w:sz w:val="24"/>
        </w:rPr>
        <w:t xml:space="preserve"> </w:t>
      </w:r>
      <w:r w:rsidRPr="003B3476">
        <w:rPr>
          <w:i/>
          <w:lang w:val="fr-FR" w:eastAsia="fr-FR" w:bidi="fr-FR"/>
        </w:rPr>
        <w:t>Ville de Versailles ; cat</w:t>
      </w:r>
      <w:r w:rsidRPr="003B3476">
        <w:rPr>
          <w:i/>
          <w:lang w:val="fr-FR" w:eastAsia="fr-FR" w:bidi="fr-FR"/>
        </w:rPr>
        <w:t>a</w:t>
      </w:r>
      <w:r w:rsidRPr="003B3476">
        <w:rPr>
          <w:i/>
          <w:lang w:val="fr-FR" w:eastAsia="fr-FR" w:bidi="fr-FR"/>
        </w:rPr>
        <w:t>logue des livres de la Bibliothèque relatifs à l’histoire de la ville</w:t>
      </w:r>
      <w:r w:rsidRPr="003B3476">
        <w:rPr>
          <w:bCs/>
        </w:rPr>
        <w:t>, in-8°, Ve</w:t>
      </w:r>
      <w:r w:rsidRPr="003B3476">
        <w:rPr>
          <w:bCs/>
        </w:rPr>
        <w:t>r</w:t>
      </w:r>
      <w:r w:rsidRPr="003B3476">
        <w:rPr>
          <w:bCs/>
        </w:rPr>
        <w:t xml:space="preserve">sailles, 1875 ; celui de Melun, G. </w:t>
      </w:r>
      <w:r w:rsidRPr="00841BE4">
        <w:rPr>
          <w:rStyle w:val="Notedebasdepage265ptNonItaliquePetitesmajuscules"/>
          <w:b w:val="0"/>
          <w:iCs/>
          <w:sz w:val="24"/>
        </w:rPr>
        <w:t>Leroy</w:t>
      </w:r>
      <w:r w:rsidRPr="003B3476">
        <w:rPr>
          <w:rStyle w:val="Notedebasdepage265ptNonItaliquePetitesmajuscules"/>
          <w:b w:val="0"/>
          <w:i/>
          <w:iCs/>
          <w:sz w:val="24"/>
        </w:rPr>
        <w:t xml:space="preserve">, </w:t>
      </w:r>
      <w:r w:rsidRPr="003B3476">
        <w:rPr>
          <w:i/>
          <w:lang w:val="fr-FR" w:eastAsia="fr-FR" w:bidi="fr-FR"/>
        </w:rPr>
        <w:t>Recherches sur l’introduction de l’imprimerie à Melun</w:t>
      </w:r>
      <w:r w:rsidRPr="003B3476">
        <w:rPr>
          <w:bCs/>
        </w:rPr>
        <w:t xml:space="preserve">, dans </w:t>
      </w:r>
      <w:r w:rsidRPr="003B3476">
        <w:rPr>
          <w:i/>
          <w:lang w:val="fr-FR" w:eastAsia="fr-FR" w:bidi="fr-FR"/>
        </w:rPr>
        <w:t>Bullet. Soc. archéol. Melun</w:t>
      </w:r>
      <w:r w:rsidRPr="003B3476">
        <w:rPr>
          <w:bCs/>
        </w:rPr>
        <w:t>, t. VIII, 1875-77, p. 51 à 69.</w:t>
      </w:r>
    </w:p>
  </w:footnote>
  <w:footnote w:id="502">
    <w:p w14:paraId="58FE508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faut signaler ici deux précieuses bibliographies d’histoire parisienne, où naturellement se trouvent indiqués un grand nombre d’ouvrages qui intére</w:t>
      </w:r>
      <w:r w:rsidRPr="003B3476">
        <w:rPr>
          <w:lang w:val="fr-FR" w:eastAsia="fr-FR" w:bidi="fr-FR"/>
        </w:rPr>
        <w:t>s</w:t>
      </w:r>
      <w:r w:rsidRPr="003B3476">
        <w:rPr>
          <w:lang w:val="fr-FR" w:eastAsia="fr-FR" w:bidi="fr-FR"/>
        </w:rPr>
        <w:t xml:space="preserve">sent l’Île-de-France tout entière. Elles sont dues toutes deux </w:t>
      </w:r>
      <w:r w:rsidRPr="003B3476">
        <w:rPr>
          <w:bCs/>
        </w:rPr>
        <w:t xml:space="preserve">à </w:t>
      </w:r>
      <w:r w:rsidRPr="003B3476">
        <w:rPr>
          <w:lang w:val="fr-FR" w:eastAsia="fr-FR" w:bidi="fr-FR"/>
        </w:rPr>
        <w:t xml:space="preserve">M. Marius </w:t>
      </w:r>
      <w:r w:rsidRPr="003B3476">
        <w:rPr>
          <w:rStyle w:val="Notedebasdepage65ptPetitesmajuscules"/>
          <w:b w:val="0"/>
          <w:sz w:val="24"/>
        </w:rPr>
        <w:t xml:space="preserve">Barroux, </w:t>
      </w:r>
      <w:r w:rsidRPr="003B3476">
        <w:rPr>
          <w:bCs/>
          <w:i/>
        </w:rPr>
        <w:t>Essai de Bibliographie critique des généralités de l’histoire de P</w:t>
      </w:r>
      <w:r w:rsidRPr="003B3476">
        <w:rPr>
          <w:bCs/>
          <w:i/>
        </w:rPr>
        <w:t>a</w:t>
      </w:r>
      <w:r w:rsidRPr="003B3476">
        <w:rPr>
          <w:bCs/>
          <w:i/>
        </w:rPr>
        <w:t>ris</w:t>
      </w:r>
      <w:r w:rsidRPr="003B3476">
        <w:rPr>
          <w:lang w:val="fr-FR" w:eastAsia="fr-FR" w:bidi="fr-FR"/>
        </w:rPr>
        <w:t xml:space="preserve">, in-8°, Paris, 1908, </w:t>
      </w:r>
      <w:r w:rsidRPr="003B3476">
        <w:rPr>
          <w:smallCaps/>
          <w:lang w:val="fr-FR" w:eastAsia="fr-FR" w:bidi="fr-FR"/>
        </w:rPr>
        <w:t>vi</w:t>
      </w:r>
      <w:r w:rsidRPr="003B3476">
        <w:rPr>
          <w:lang w:val="fr-FR" w:eastAsia="fr-FR" w:bidi="fr-FR"/>
        </w:rPr>
        <w:t xml:space="preserve"> + 155 p. et </w:t>
      </w:r>
      <w:r w:rsidRPr="003B3476">
        <w:rPr>
          <w:bCs/>
          <w:i/>
        </w:rPr>
        <w:t>Le département de la Seine et la ville de Paris. Notions générales et bibliographiques pour en étudier l’histoire</w:t>
      </w:r>
      <w:r w:rsidRPr="003B3476">
        <w:rPr>
          <w:bCs/>
        </w:rPr>
        <w:t>,</w:t>
      </w:r>
      <w:r w:rsidRPr="003B3476">
        <w:rPr>
          <w:lang w:val="fr-FR" w:eastAsia="fr-FR" w:bidi="fr-FR"/>
        </w:rPr>
        <w:t xml:space="preserve"> in-8°, Paris, 1910, </w:t>
      </w:r>
      <w:r w:rsidRPr="003B3476">
        <w:rPr>
          <w:bCs/>
          <w:smallCaps/>
        </w:rPr>
        <w:t>xi</w:t>
      </w:r>
      <w:r w:rsidRPr="003B3476">
        <w:rPr>
          <w:bCs/>
        </w:rPr>
        <w:t xml:space="preserve"> </w:t>
      </w:r>
      <w:r w:rsidRPr="003B3476">
        <w:rPr>
          <w:lang w:val="fr-FR" w:eastAsia="fr-FR" w:bidi="fr-FR"/>
        </w:rPr>
        <w:t xml:space="preserve">+ </w:t>
      </w:r>
      <w:r w:rsidRPr="003B3476">
        <w:rPr>
          <w:bCs/>
        </w:rPr>
        <w:t xml:space="preserve">444 </w:t>
      </w:r>
      <w:r w:rsidRPr="003B3476">
        <w:rPr>
          <w:lang w:val="fr-FR" w:eastAsia="fr-FR" w:bidi="fr-FR"/>
        </w:rPr>
        <w:t xml:space="preserve">p. </w:t>
      </w:r>
      <w:r w:rsidRPr="003B3476">
        <w:rPr>
          <w:bCs/>
          <w:i/>
        </w:rPr>
        <w:t>Cf.</w:t>
      </w:r>
      <w:r w:rsidRPr="003B3476">
        <w:rPr>
          <w:lang w:val="fr-FR" w:eastAsia="fr-FR" w:bidi="fr-FR"/>
        </w:rPr>
        <w:t xml:space="preserve"> aussi l’ouvrage de </w:t>
      </w:r>
      <w:r w:rsidRPr="003B3476">
        <w:rPr>
          <w:rStyle w:val="Notedebasdepage65ptPetitesmajuscules"/>
          <w:b w:val="0"/>
          <w:sz w:val="24"/>
        </w:rPr>
        <w:t xml:space="preserve">Mentienne </w:t>
      </w:r>
      <w:r w:rsidRPr="003B3476">
        <w:rPr>
          <w:lang w:val="fr-FR" w:eastAsia="fr-FR" w:bidi="fr-FR"/>
        </w:rPr>
        <w:t>indiqué plus haut, p. 730, n° 3 de la p. 729.</w:t>
      </w:r>
    </w:p>
  </w:footnote>
  <w:footnote w:id="503">
    <w:p w14:paraId="2F64A1C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XII (1889), t. XIII (1890), t. XVIII (1896), t. XXI (1889). Les tomes XII, XIII, XIX (1897) et XXI contiennent en outre une bibliographie des autogr</w:t>
      </w:r>
      <w:r w:rsidRPr="003B3476">
        <w:rPr>
          <w:lang w:val="fr-FR" w:eastAsia="fr-FR" w:bidi="fr-FR"/>
        </w:rPr>
        <w:t>a</w:t>
      </w:r>
      <w:r w:rsidRPr="003B3476">
        <w:rPr>
          <w:lang w:val="fr-FR" w:eastAsia="fr-FR" w:bidi="fr-FR"/>
        </w:rPr>
        <w:t xml:space="preserve">phes et plaquettes rares concernant le Vexin et la Seine-et-Oise, due à M. J. </w:t>
      </w:r>
      <w:r w:rsidRPr="003B3476">
        <w:rPr>
          <w:rStyle w:val="Notedebasdepage65ptPetitesmajuscules"/>
          <w:b w:val="0"/>
          <w:sz w:val="24"/>
        </w:rPr>
        <w:t>D</w:t>
      </w:r>
      <w:r w:rsidRPr="003B3476">
        <w:rPr>
          <w:rStyle w:val="Notedebasdepage65ptPetitesmajuscules"/>
          <w:b w:val="0"/>
          <w:sz w:val="24"/>
        </w:rPr>
        <w:t>e</w:t>
      </w:r>
      <w:r w:rsidRPr="003B3476">
        <w:rPr>
          <w:rStyle w:val="Notedebasdepage65ptPetitesmajuscules"/>
          <w:b w:val="0"/>
          <w:sz w:val="24"/>
        </w:rPr>
        <w:t>poin.</w:t>
      </w:r>
    </w:p>
  </w:footnote>
  <w:footnote w:id="504">
    <w:p w14:paraId="429F8C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 XXV (1898), XXVI (1899), XXVII (1900), XXVIII (1901), XXIX (1902), XXX (1903) XXXI (1904), XXXII (1905), XXXIV (1907). Dans la première de ces bibliographies étaient inventoriés les ouvrages parus en 1876, et concernant la région qui correspond à l’ancien gouvernement militaire de l’Île-de-France. La bibliographie pour 1879 (parue comme celle pour 1896, dans le tome XXV), et toutes celles qui suivirent ont un cadre plus large : l’ensemble formé par les cinq départements de Seine, Seine-et-Oise, Seine-et-Marne, Oise et Aisne. Pour l’histoire ecclésiastique, on trouvera une bonne bibliographie courante dans la </w:t>
      </w:r>
      <w:r w:rsidRPr="003B3476">
        <w:rPr>
          <w:bCs/>
          <w:i/>
        </w:rPr>
        <w:t>Revue Mabillon </w:t>
      </w:r>
      <w:r w:rsidRPr="003B3476">
        <w:rPr>
          <w:bCs/>
        </w:rPr>
        <w:t>;</w:t>
      </w:r>
      <w:r w:rsidRPr="003B3476">
        <w:rPr>
          <w:lang w:val="fr-FR" w:eastAsia="fr-FR" w:bidi="fr-FR"/>
        </w:rPr>
        <w:t xml:space="preserve"> cette revue, qui paraît depuis 1904, publie une </w:t>
      </w:r>
      <w:r w:rsidRPr="003B3476">
        <w:rPr>
          <w:bCs/>
          <w:i/>
        </w:rPr>
        <w:t>Chronique Bibliographique</w:t>
      </w:r>
      <w:r w:rsidRPr="003B3476">
        <w:rPr>
          <w:lang w:val="fr-FR" w:eastAsia="fr-FR" w:bidi="fr-FR"/>
        </w:rPr>
        <w:t xml:space="preserve"> où les ouvrages qui intéressent l’histoire ecclésiastique locale sont classés par Provinces (ecclésiastiques) ; consulter la rubrique : </w:t>
      </w:r>
      <w:r w:rsidRPr="003B3476">
        <w:rPr>
          <w:bCs/>
          <w:i/>
        </w:rPr>
        <w:t>Provinces de Paris et de Sens</w:t>
      </w:r>
      <w:r w:rsidRPr="003B3476">
        <w:rPr>
          <w:lang w:val="fr-FR" w:eastAsia="fr-FR" w:bidi="fr-FR"/>
        </w:rPr>
        <w:t>, et (pour le Vexin fra</w:t>
      </w:r>
      <w:r w:rsidRPr="003B3476">
        <w:rPr>
          <w:lang w:val="fr-FR" w:eastAsia="fr-FR" w:bidi="fr-FR"/>
        </w:rPr>
        <w:t>n</w:t>
      </w:r>
      <w:r w:rsidRPr="003B3476">
        <w:rPr>
          <w:lang w:val="fr-FR" w:eastAsia="fr-FR" w:bidi="fr-FR"/>
        </w:rPr>
        <w:t xml:space="preserve">çais) la rubrique : </w:t>
      </w:r>
      <w:r w:rsidRPr="003B3476">
        <w:rPr>
          <w:bCs/>
          <w:i/>
        </w:rPr>
        <w:t>Province de Rouen</w:t>
      </w:r>
      <w:r w:rsidRPr="003B3476">
        <w:rPr>
          <w:bCs/>
        </w:rPr>
        <w:t>.</w:t>
      </w:r>
      <w:r w:rsidRPr="003B3476">
        <w:rPr>
          <w:lang w:val="fr-FR" w:eastAsia="fr-FR" w:bidi="fr-FR"/>
        </w:rPr>
        <w:t xml:space="preserve"> On pourra aussi trouver profit à se r</w:t>
      </w:r>
      <w:r w:rsidRPr="003B3476">
        <w:rPr>
          <w:lang w:val="fr-FR" w:eastAsia="fr-FR" w:bidi="fr-FR"/>
        </w:rPr>
        <w:t>e</w:t>
      </w:r>
      <w:r w:rsidRPr="003B3476">
        <w:rPr>
          <w:lang w:val="fr-FR" w:eastAsia="fr-FR" w:bidi="fr-FR"/>
        </w:rPr>
        <w:t xml:space="preserve">porter au dépouillement des publications des sociétés locales que publie, sous le nom de </w:t>
      </w:r>
      <w:r w:rsidRPr="003B3476">
        <w:rPr>
          <w:bCs/>
          <w:i/>
        </w:rPr>
        <w:t>Bulletins régionaux</w:t>
      </w:r>
      <w:r w:rsidRPr="003B3476">
        <w:rPr>
          <w:bCs/>
        </w:rPr>
        <w:t xml:space="preserve">, la </w:t>
      </w:r>
      <w:r w:rsidRPr="003B3476">
        <w:rPr>
          <w:bCs/>
          <w:i/>
        </w:rPr>
        <w:t>Revue d’Histoire de l’Église de France (Analecta Gallicana)</w:t>
      </w:r>
      <w:r w:rsidRPr="003B3476">
        <w:rPr>
          <w:i/>
          <w:lang w:val="fr-FR" w:eastAsia="fr-FR" w:bidi="fr-FR"/>
        </w:rPr>
        <w:t xml:space="preserve"> </w:t>
      </w:r>
      <w:r w:rsidRPr="003B3476">
        <w:rPr>
          <w:lang w:val="fr-FR" w:eastAsia="fr-FR" w:bidi="fr-FR"/>
        </w:rPr>
        <w:t>fondée en 1910.</w:t>
      </w:r>
    </w:p>
  </w:footnote>
  <w:footnote w:id="505">
    <w:p w14:paraId="7DD1E40D" w14:textId="77777777" w:rsidR="00B9662D" w:rsidRPr="00841BE4"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complétera les indications de </w:t>
      </w:r>
      <w:r w:rsidRPr="00841BE4">
        <w:rPr>
          <w:lang w:val="fr-FR" w:eastAsia="fr-FR" w:bidi="fr-FR"/>
        </w:rPr>
        <w:t xml:space="preserve">notre </w:t>
      </w:r>
      <w:r w:rsidRPr="00841BE4">
        <w:rPr>
          <w:bCs/>
        </w:rPr>
        <w:t>Appendice</w:t>
      </w:r>
      <w:r w:rsidRPr="00841BE4">
        <w:rPr>
          <w:lang w:val="fr-FR" w:eastAsia="fr-FR" w:bidi="fr-FR"/>
        </w:rPr>
        <w:t xml:space="preserve"> par celles que donne l’excellent </w:t>
      </w:r>
      <w:r w:rsidRPr="00841BE4">
        <w:rPr>
          <w:bCs/>
          <w:i/>
        </w:rPr>
        <w:t>Annuaire des Bibliothèques et des Archives</w:t>
      </w:r>
      <w:r w:rsidRPr="00841BE4">
        <w:rPr>
          <w:lang w:val="fr-FR" w:eastAsia="fr-FR" w:bidi="fr-FR"/>
        </w:rPr>
        <w:t xml:space="preserve"> de A. </w:t>
      </w:r>
      <w:r w:rsidRPr="00841BE4">
        <w:rPr>
          <w:rStyle w:val="Notedebasdepage65ptPetitesmajuscules"/>
          <w:b w:val="0"/>
          <w:sz w:val="24"/>
        </w:rPr>
        <w:t xml:space="preserve">Vidier, </w:t>
      </w:r>
      <w:r w:rsidRPr="00841BE4">
        <w:rPr>
          <w:lang w:val="fr-FR" w:eastAsia="fr-FR" w:bidi="fr-FR"/>
        </w:rPr>
        <w:t>in-8°, Paris, 1912. On se reportera aussi à cet ouvrage pour les renseignements concernant les archives communales et hospitalières, et les dépôts de manu</w:t>
      </w:r>
      <w:r w:rsidRPr="00841BE4">
        <w:rPr>
          <w:lang w:val="fr-FR" w:eastAsia="fr-FR" w:bidi="fr-FR"/>
        </w:rPr>
        <w:t>s</w:t>
      </w:r>
      <w:r w:rsidRPr="00841BE4">
        <w:rPr>
          <w:lang w:val="fr-FR" w:eastAsia="fr-FR" w:bidi="fr-FR"/>
        </w:rPr>
        <w:t xml:space="preserve">crits des bibliothèques municipales. La </w:t>
      </w:r>
      <w:r w:rsidRPr="00841BE4">
        <w:rPr>
          <w:bCs/>
          <w:i/>
        </w:rPr>
        <w:t>Bibliothèque de la Ville de Paris</w:t>
      </w:r>
      <w:r w:rsidRPr="00841BE4">
        <w:rPr>
          <w:bCs/>
        </w:rPr>
        <w:t xml:space="preserve"> </w:t>
      </w:r>
      <w:r w:rsidRPr="00841BE4">
        <w:rPr>
          <w:lang w:val="fr-FR" w:eastAsia="fr-FR" w:bidi="fr-FR"/>
        </w:rPr>
        <w:t>re</w:t>
      </w:r>
      <w:r w:rsidRPr="00841BE4">
        <w:rPr>
          <w:lang w:val="fr-FR" w:eastAsia="fr-FR" w:bidi="fr-FR"/>
        </w:rPr>
        <w:t>n</w:t>
      </w:r>
      <w:r w:rsidRPr="00841BE4">
        <w:rPr>
          <w:lang w:val="fr-FR" w:eastAsia="fr-FR" w:bidi="fr-FR"/>
        </w:rPr>
        <w:t xml:space="preserve">ferme des manuscrits (d’époque moderne) qui pourront intéresser l’historien de l’Île-de-France. </w:t>
      </w:r>
      <w:r w:rsidRPr="00841BE4">
        <w:rPr>
          <w:bCs/>
          <w:i/>
        </w:rPr>
        <w:t>Cf.</w:t>
      </w:r>
      <w:r w:rsidRPr="00841BE4">
        <w:rPr>
          <w:lang w:val="fr-FR" w:eastAsia="fr-FR" w:bidi="fr-FR"/>
        </w:rPr>
        <w:t xml:space="preserve"> A. </w:t>
      </w:r>
      <w:r w:rsidRPr="00841BE4">
        <w:rPr>
          <w:rStyle w:val="Notedebasdepage65ptPetitesmajuscules"/>
          <w:b w:val="0"/>
          <w:sz w:val="24"/>
        </w:rPr>
        <w:t>Vidier</w:t>
      </w:r>
      <w:r w:rsidRPr="00841BE4">
        <w:rPr>
          <w:rStyle w:val="Notedebasdepage65ptPetitesmajuscules"/>
          <w:b w:val="0"/>
          <w:i/>
          <w:sz w:val="24"/>
        </w:rPr>
        <w:t xml:space="preserve">, </w:t>
      </w:r>
      <w:r w:rsidRPr="00841BE4">
        <w:rPr>
          <w:bCs/>
          <w:i/>
        </w:rPr>
        <w:t>loc. cit</w:t>
      </w:r>
      <w:r w:rsidRPr="00841BE4">
        <w:rPr>
          <w:lang w:val="fr-FR" w:eastAsia="fr-FR" w:bidi="fr-FR"/>
        </w:rPr>
        <w:t>., p. 92.</w:t>
      </w:r>
    </w:p>
  </w:footnote>
  <w:footnote w:id="506">
    <w:p w14:paraId="7826C6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Ou, mais bien plus rarement, d’un territoire un peu plus vaste, d’un canton par exemple. Quant à l’histoire de l’Île-de-France dans son entier, elle n’a jamais été sérieusement traitée. L’ouvrage de Denis </w:t>
      </w:r>
      <w:r w:rsidRPr="003B3476">
        <w:rPr>
          <w:rStyle w:val="Notedebasdepage65ptPetitesmajuscules"/>
          <w:b w:val="0"/>
          <w:sz w:val="24"/>
        </w:rPr>
        <w:t xml:space="preserve">Lagarde, </w:t>
      </w:r>
      <w:r w:rsidRPr="003B3476">
        <w:rPr>
          <w:bCs/>
          <w:i/>
        </w:rPr>
        <w:t>Résumé de l’histoire de l’Île-de-France, de l’Orléanais et du Pays Chartrain</w:t>
      </w:r>
      <w:r w:rsidRPr="003B3476">
        <w:rPr>
          <w:lang w:val="fr-FR" w:eastAsia="fr-FR" w:bidi="fr-FR"/>
        </w:rPr>
        <w:t>, in-18, Paris, 1826, 416 p. est sans valeur. Je ne le cite que pour éviter au lecteur la peine, qu’il m’a fallu prendre, de le consulter.</w:t>
      </w:r>
    </w:p>
  </w:footnote>
  <w:footnote w:id="507">
    <w:p w14:paraId="0287C56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ces déplacements, au Haut Moyen Âge, des lieux habités — villes, et au</w:t>
      </w:r>
      <w:r w:rsidRPr="003B3476">
        <w:rPr>
          <w:lang w:val="fr-FR" w:eastAsia="fr-FR" w:bidi="fr-FR"/>
        </w:rPr>
        <w:t>s</w:t>
      </w:r>
      <w:r w:rsidRPr="003B3476">
        <w:rPr>
          <w:lang w:val="fr-FR" w:eastAsia="fr-FR" w:bidi="fr-FR"/>
        </w:rPr>
        <w:t>si simples villages, que je n’ai point mentionnés ici — je ne donnerai que quelques indications bibliographiques, me réservant de reprendre ailleurs cette étude plus en détail et en citant les textes. Sur Pithiviers, on consultera : J. </w:t>
      </w:r>
      <w:r w:rsidRPr="003B3476">
        <w:rPr>
          <w:rStyle w:val="Notedebasdepage65ptPetitesmajuscules"/>
          <w:b w:val="0"/>
          <w:sz w:val="24"/>
        </w:rPr>
        <w:t xml:space="preserve">Devaux, </w:t>
      </w:r>
      <w:r w:rsidRPr="003B3476">
        <w:rPr>
          <w:bCs/>
          <w:i/>
        </w:rPr>
        <w:t>Essai sur les premiers seigneurs de Pithiviers</w:t>
      </w:r>
      <w:r w:rsidRPr="003B3476">
        <w:rPr>
          <w:lang w:val="fr-FR" w:eastAsia="fr-FR" w:bidi="fr-FR"/>
        </w:rPr>
        <w:t xml:space="preserve">, dans </w:t>
      </w:r>
      <w:r w:rsidRPr="003B3476">
        <w:rPr>
          <w:bCs/>
          <w:i/>
        </w:rPr>
        <w:t>Ann. Soc. hist. Gâtinais</w:t>
      </w:r>
      <w:r w:rsidRPr="003B3476">
        <w:rPr>
          <w:bCs/>
        </w:rPr>
        <w:t>,</w:t>
      </w:r>
      <w:r w:rsidRPr="003B3476">
        <w:rPr>
          <w:lang w:val="fr-FR" w:eastAsia="fr-FR" w:bidi="fr-FR"/>
        </w:rPr>
        <w:t xml:space="preserve"> t. III, 1885, p. 168-178, 250-265, 290-321 et pour l’histoire des rel</w:t>
      </w:r>
      <w:r w:rsidRPr="003B3476">
        <w:rPr>
          <w:lang w:val="fr-FR" w:eastAsia="fr-FR" w:bidi="fr-FR"/>
        </w:rPr>
        <w:t>i</w:t>
      </w:r>
      <w:r w:rsidRPr="003B3476">
        <w:rPr>
          <w:lang w:val="fr-FR" w:eastAsia="fr-FR" w:bidi="fr-FR"/>
        </w:rPr>
        <w:t xml:space="preserve">ques de saint Salomon : Dom </w:t>
      </w:r>
      <w:r w:rsidRPr="003B3476">
        <w:rPr>
          <w:bCs/>
        </w:rPr>
        <w:t xml:space="preserve">Plaine, </w:t>
      </w:r>
      <w:r w:rsidRPr="003B3476">
        <w:rPr>
          <w:bCs/>
          <w:i/>
        </w:rPr>
        <w:t>Saint Salomon</w:t>
      </w:r>
      <w:r w:rsidRPr="003B3476">
        <w:rPr>
          <w:i/>
          <w:lang w:val="fr-FR" w:eastAsia="fr-FR" w:bidi="fr-FR"/>
        </w:rPr>
        <w:t xml:space="preserve">, </w:t>
      </w:r>
      <w:r w:rsidRPr="003B3476">
        <w:rPr>
          <w:bCs/>
          <w:i/>
        </w:rPr>
        <w:t>roi de Bretagne et ma</w:t>
      </w:r>
      <w:r w:rsidRPr="003B3476">
        <w:rPr>
          <w:bCs/>
          <w:i/>
        </w:rPr>
        <w:t>r</w:t>
      </w:r>
      <w:r w:rsidRPr="003B3476">
        <w:rPr>
          <w:bCs/>
          <w:i/>
        </w:rPr>
        <w:t>tyr</w:t>
      </w:r>
      <w:r w:rsidRPr="003B3476">
        <w:rPr>
          <w:lang w:val="fr-FR" w:eastAsia="fr-FR" w:bidi="fr-FR"/>
        </w:rPr>
        <w:t xml:space="preserve">, in-8° Vannes, 1895, p. 57 et suiv. Sur Corbeil : l’ouvrage de </w:t>
      </w:r>
      <w:r w:rsidRPr="003B3476">
        <w:rPr>
          <w:bCs/>
        </w:rPr>
        <w:t xml:space="preserve">La Barre </w:t>
      </w:r>
      <w:r w:rsidRPr="003B3476">
        <w:rPr>
          <w:lang w:val="fr-FR" w:eastAsia="fr-FR" w:bidi="fr-FR"/>
        </w:rPr>
        <w:t xml:space="preserve">cité plus haut, au chapitre </w:t>
      </w:r>
      <w:r w:rsidRPr="003B3476">
        <w:rPr>
          <w:bCs/>
        </w:rPr>
        <w:t xml:space="preserve">ii, </w:t>
      </w:r>
      <w:r w:rsidRPr="003B3476">
        <w:rPr>
          <w:lang w:val="fr-FR" w:eastAsia="fr-FR" w:bidi="fr-FR"/>
        </w:rPr>
        <w:t xml:space="preserve">et pour l’histoire des « corps saints », d’une part </w:t>
      </w:r>
      <w:r w:rsidRPr="003B3476">
        <w:rPr>
          <w:rStyle w:val="Notedebasdepage7ptPetitesmajuscules"/>
          <w:b w:val="0"/>
          <w:sz w:val="24"/>
        </w:rPr>
        <w:t xml:space="preserve">F. Lot, </w:t>
      </w:r>
      <w:r w:rsidRPr="003B3476">
        <w:rPr>
          <w:bCs/>
          <w:i/>
        </w:rPr>
        <w:t>Date de l’exode des corps saints hors de Bretagne</w:t>
      </w:r>
      <w:r w:rsidRPr="003B3476">
        <w:rPr>
          <w:i/>
          <w:lang w:val="fr-FR" w:eastAsia="fr-FR" w:bidi="fr-FR"/>
        </w:rPr>
        <w:t xml:space="preserve">, dans </w:t>
      </w:r>
      <w:r w:rsidRPr="003B3476">
        <w:rPr>
          <w:bCs/>
          <w:i/>
        </w:rPr>
        <w:t>Ann. de Bret</w:t>
      </w:r>
      <w:r w:rsidRPr="003B3476">
        <w:rPr>
          <w:bCs/>
          <w:i/>
        </w:rPr>
        <w:t>a</w:t>
      </w:r>
      <w:r w:rsidRPr="003B3476">
        <w:rPr>
          <w:bCs/>
          <w:i/>
        </w:rPr>
        <w:t>gne</w:t>
      </w:r>
      <w:r w:rsidRPr="003B3476">
        <w:rPr>
          <w:lang w:val="fr-FR" w:eastAsia="fr-FR" w:bidi="fr-FR"/>
        </w:rPr>
        <w:t>, t. XV, 1899-1900, p. 60-76 (où l’on trouvera l’indication des travaux a</w:t>
      </w:r>
      <w:r w:rsidRPr="003B3476">
        <w:rPr>
          <w:lang w:val="fr-FR" w:eastAsia="fr-FR" w:bidi="fr-FR"/>
        </w:rPr>
        <w:t>n</w:t>
      </w:r>
      <w:r w:rsidRPr="003B3476">
        <w:rPr>
          <w:lang w:val="fr-FR" w:eastAsia="fr-FR" w:bidi="fr-FR"/>
        </w:rPr>
        <w:t xml:space="preserve">térieurs), d’autre part J. </w:t>
      </w:r>
      <w:r w:rsidRPr="003B3476">
        <w:rPr>
          <w:bCs/>
        </w:rPr>
        <w:t xml:space="preserve">Lair, </w:t>
      </w:r>
      <w:r w:rsidRPr="003B3476">
        <w:rPr>
          <w:bCs/>
          <w:i/>
        </w:rPr>
        <w:t>Études sur les origines de l’évêché de Bayeux</w:t>
      </w:r>
      <w:r w:rsidRPr="003B3476">
        <w:rPr>
          <w:i/>
          <w:lang w:val="fr-FR" w:eastAsia="fr-FR" w:bidi="fr-FR"/>
        </w:rPr>
        <w:t>,</w:t>
      </w:r>
      <w:r w:rsidRPr="003B3476">
        <w:rPr>
          <w:lang w:val="fr-FR" w:eastAsia="fr-FR" w:bidi="fr-FR"/>
        </w:rPr>
        <w:t xml:space="preserve"> II, </w:t>
      </w:r>
      <w:r w:rsidRPr="003B3476">
        <w:rPr>
          <w:bCs/>
        </w:rPr>
        <w:t>Bibliothèque de l’École des Chartes</w:t>
      </w:r>
      <w:r w:rsidRPr="003B3476">
        <w:rPr>
          <w:lang w:val="fr-FR" w:eastAsia="fr-FR" w:bidi="fr-FR"/>
        </w:rPr>
        <w:t xml:space="preserve">, XXIV, 1863, p. 280-323, et </w:t>
      </w:r>
      <w:r w:rsidRPr="003B3476">
        <w:rPr>
          <w:bCs/>
          <w:i/>
        </w:rPr>
        <w:t>Acta Sanct</w:t>
      </w:r>
      <w:r w:rsidRPr="003B3476">
        <w:rPr>
          <w:bCs/>
          <w:i/>
        </w:rPr>
        <w:t>o</w:t>
      </w:r>
      <w:r w:rsidRPr="003B3476">
        <w:rPr>
          <w:bCs/>
          <w:i/>
        </w:rPr>
        <w:t>rum Augusti</w:t>
      </w:r>
      <w:r w:rsidRPr="003B3476">
        <w:rPr>
          <w:lang w:val="fr-FR" w:eastAsia="fr-FR" w:bidi="fr-FR"/>
        </w:rPr>
        <w:t>, I, p. 53-54. Sur Ëtampes, outre le livre de Dom </w:t>
      </w:r>
      <w:r w:rsidRPr="003B3476">
        <w:rPr>
          <w:bCs/>
        </w:rPr>
        <w:t xml:space="preserve">Fleureau, </w:t>
      </w:r>
      <w:r w:rsidRPr="003B3476">
        <w:rPr>
          <w:lang w:val="fr-FR" w:eastAsia="fr-FR" w:bidi="fr-FR"/>
        </w:rPr>
        <w:t xml:space="preserve">cité plus haut au chapitre n et les ouvrages indiqués </w:t>
      </w:r>
      <w:r w:rsidRPr="003B3476">
        <w:rPr>
          <w:bCs/>
          <w:i/>
        </w:rPr>
        <w:t>infra.</w:t>
      </w:r>
      <w:r w:rsidRPr="003B3476">
        <w:rPr>
          <w:lang w:val="fr-FR" w:eastAsia="fr-FR" w:bidi="fr-FR"/>
        </w:rPr>
        <w:t xml:space="preserve">, n. 6, E. </w:t>
      </w:r>
      <w:r w:rsidRPr="003B3476">
        <w:rPr>
          <w:bCs/>
        </w:rPr>
        <w:t xml:space="preserve">Dramard, </w:t>
      </w:r>
      <w:r w:rsidRPr="003B3476">
        <w:rPr>
          <w:bCs/>
          <w:i/>
        </w:rPr>
        <w:t>Not</w:t>
      </w:r>
      <w:r w:rsidRPr="003B3476">
        <w:rPr>
          <w:bCs/>
          <w:i/>
        </w:rPr>
        <w:t>i</w:t>
      </w:r>
      <w:r w:rsidRPr="003B3476">
        <w:rPr>
          <w:bCs/>
          <w:i/>
        </w:rPr>
        <w:t>ce hi</w:t>
      </w:r>
      <w:r w:rsidRPr="003B3476">
        <w:rPr>
          <w:bCs/>
          <w:i/>
        </w:rPr>
        <w:t>s</w:t>
      </w:r>
      <w:r w:rsidRPr="003B3476">
        <w:rPr>
          <w:bCs/>
          <w:i/>
        </w:rPr>
        <w:t>torique sur l’origine de la ville d’Étampes</w:t>
      </w:r>
      <w:r w:rsidRPr="003B3476">
        <w:rPr>
          <w:lang w:val="fr-FR" w:eastAsia="fr-FR" w:bidi="fr-FR"/>
        </w:rPr>
        <w:t>, in-8°, Paris, 1855, 61 p.</w:t>
      </w:r>
    </w:p>
  </w:footnote>
  <w:footnote w:id="508">
    <w:p w14:paraId="2DAC9F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 n’est là qu’une hypothèse, mais infiniment vraisemblable. M. L.-Eug. </w:t>
      </w:r>
      <w:r w:rsidRPr="003B3476">
        <w:rPr>
          <w:rStyle w:val="Notedebasdepage65ptPetitesmajuscules"/>
          <w:b w:val="0"/>
          <w:sz w:val="24"/>
        </w:rPr>
        <w:t>L</w:t>
      </w:r>
      <w:r w:rsidRPr="003B3476">
        <w:rPr>
          <w:rStyle w:val="Notedebasdepage65ptPetitesmajuscules"/>
          <w:b w:val="0"/>
          <w:sz w:val="24"/>
        </w:rPr>
        <w:t>e</w:t>
      </w:r>
      <w:r w:rsidRPr="003B3476">
        <w:rPr>
          <w:rStyle w:val="Notedebasdepage65ptPetitesmajuscules"/>
          <w:b w:val="0"/>
          <w:sz w:val="24"/>
        </w:rPr>
        <w:t>fe</w:t>
      </w:r>
      <w:r w:rsidRPr="003B3476">
        <w:rPr>
          <w:rStyle w:val="Notedebasdepage65ptPetitesmajuscules"/>
          <w:b w:val="0"/>
          <w:sz w:val="24"/>
        </w:rPr>
        <w:t>b</w:t>
      </w:r>
      <w:r w:rsidRPr="003B3476">
        <w:rPr>
          <w:rStyle w:val="Notedebasdepage65ptPetitesmajuscules"/>
          <w:b w:val="0"/>
          <w:sz w:val="24"/>
        </w:rPr>
        <w:t xml:space="preserve">vre </w:t>
      </w:r>
      <w:r w:rsidRPr="003B3476">
        <w:rPr>
          <w:lang w:val="fr-FR" w:eastAsia="fr-FR" w:bidi="fr-FR"/>
        </w:rPr>
        <w:t xml:space="preserve">l’a proposée dans un travail intitulé </w:t>
      </w:r>
      <w:r w:rsidRPr="003B3476">
        <w:rPr>
          <w:bCs/>
          <w:i/>
        </w:rPr>
        <w:t>La façade occidentale : portails et fortifications de l’église Notre-Dame d’Étampes</w:t>
      </w:r>
      <w:r w:rsidRPr="003B3476">
        <w:rPr>
          <w:lang w:val="fr-FR" w:eastAsia="fr-FR" w:bidi="fr-FR"/>
        </w:rPr>
        <w:t xml:space="preserve">, dans </w:t>
      </w:r>
      <w:r w:rsidRPr="003B3476">
        <w:rPr>
          <w:bCs/>
          <w:i/>
        </w:rPr>
        <w:t>Bullet. Soc. hist. Co</w:t>
      </w:r>
      <w:r w:rsidRPr="003B3476">
        <w:rPr>
          <w:bCs/>
          <w:i/>
        </w:rPr>
        <w:t>r</w:t>
      </w:r>
      <w:r w:rsidRPr="003B3476">
        <w:rPr>
          <w:bCs/>
          <w:i/>
        </w:rPr>
        <w:t>beil</w:t>
      </w:r>
      <w:r w:rsidRPr="003B3476">
        <w:rPr>
          <w:lang w:val="fr-FR" w:eastAsia="fr-FR" w:bidi="fr-FR"/>
        </w:rPr>
        <w:t xml:space="preserve">, t. XIII, 1907, p. 17-30. Les recherches de M. E. </w:t>
      </w:r>
      <w:r w:rsidRPr="003B3476">
        <w:rPr>
          <w:rStyle w:val="Notedebasdepage65ptPetitesmajuscules"/>
          <w:b w:val="0"/>
          <w:sz w:val="24"/>
        </w:rPr>
        <w:t xml:space="preserve">Lefèvre-Pontalis </w:t>
      </w:r>
      <w:r w:rsidRPr="003B3476">
        <w:rPr>
          <w:lang w:val="fr-FR" w:eastAsia="fr-FR" w:bidi="fr-FR"/>
        </w:rPr>
        <w:t xml:space="preserve">sur Notre-Dame d’Ëtampes n’ont fait que la confirmer. Cet archéologue rattache en effet à une campagne de construction qui se poursuivit « vers 1210 » (nous dirons, avec moins de précision et peut-être plus de prudence, au début du </w:t>
      </w:r>
      <w:r w:rsidRPr="003B3476">
        <w:rPr>
          <w:smallCaps/>
          <w:lang w:val="fr-FR" w:eastAsia="fr-FR" w:bidi="fr-FR"/>
        </w:rPr>
        <w:t>xiii</w:t>
      </w:r>
      <w:r w:rsidRPr="003B3476">
        <w:rPr>
          <w:vertAlign w:val="superscript"/>
          <w:lang w:val="fr-FR" w:eastAsia="fr-FR" w:bidi="fr-FR"/>
        </w:rPr>
        <w:t>e</w:t>
      </w:r>
      <w:r w:rsidRPr="003B3476">
        <w:rPr>
          <w:lang w:val="fr-FR" w:eastAsia="fr-FR" w:bidi="fr-FR"/>
        </w:rPr>
        <w:t xml:space="preserve"> siècle) la construction de la façade occidentale de l’église et du chemin de ronde crénelé qui couronne cette façade et se prolonge sur le côté sud et le chevet (</w:t>
      </w:r>
      <w:r w:rsidRPr="003B3476">
        <w:rPr>
          <w:bCs/>
          <w:i/>
        </w:rPr>
        <w:t>Les Campagnes de construction de Notre</w:t>
      </w:r>
      <w:r w:rsidRPr="003B3476">
        <w:rPr>
          <w:i/>
          <w:lang w:val="fr-FR" w:eastAsia="fr-FR" w:bidi="fr-FR"/>
        </w:rPr>
        <w:t>-</w:t>
      </w:r>
      <w:r w:rsidRPr="003B3476">
        <w:rPr>
          <w:bCs/>
          <w:i/>
        </w:rPr>
        <w:t>Dame d’Étampes,</w:t>
      </w:r>
      <w:r w:rsidRPr="003B3476">
        <w:rPr>
          <w:i/>
          <w:lang w:val="fr-FR" w:eastAsia="fr-FR" w:bidi="fr-FR"/>
        </w:rPr>
        <w:t xml:space="preserve"> dans </w:t>
      </w:r>
      <w:r w:rsidRPr="003B3476">
        <w:rPr>
          <w:bCs/>
          <w:i/>
        </w:rPr>
        <w:t>Bu</w:t>
      </w:r>
      <w:r w:rsidRPr="003B3476">
        <w:rPr>
          <w:bCs/>
          <w:i/>
        </w:rPr>
        <w:t>l</w:t>
      </w:r>
      <w:r w:rsidRPr="003B3476">
        <w:rPr>
          <w:bCs/>
          <w:i/>
        </w:rPr>
        <w:t>let. mon</w:t>
      </w:r>
      <w:r w:rsidRPr="003B3476">
        <w:rPr>
          <w:bCs/>
          <w:i/>
        </w:rPr>
        <w:t>u</w:t>
      </w:r>
      <w:r w:rsidRPr="003B3476">
        <w:rPr>
          <w:bCs/>
          <w:i/>
        </w:rPr>
        <w:t>ment</w:t>
      </w:r>
      <w:r w:rsidRPr="003B3476">
        <w:rPr>
          <w:lang w:val="fr-FR" w:eastAsia="fr-FR" w:bidi="fr-FR"/>
        </w:rPr>
        <w:t xml:space="preserve">., t. LXXIII, 1909, p. 7-31 et </w:t>
      </w:r>
      <w:r w:rsidRPr="003B3476">
        <w:rPr>
          <w:bCs/>
        </w:rPr>
        <w:t>Confér. des soc. savantes de Seine-et-Oise. Quatrième réunion</w:t>
      </w:r>
      <w:r w:rsidRPr="003B3476">
        <w:rPr>
          <w:lang w:val="fr-FR" w:eastAsia="fr-FR" w:bidi="fr-FR"/>
        </w:rPr>
        <w:t>, Paris, 1909, p. 208-236). Or, c’est entre le 1</w:t>
      </w:r>
      <w:r w:rsidRPr="003B3476">
        <w:rPr>
          <w:vertAlign w:val="superscript"/>
          <w:lang w:val="fr-FR" w:eastAsia="fr-FR" w:bidi="fr-FR"/>
        </w:rPr>
        <w:t>er</w:t>
      </w:r>
      <w:r w:rsidRPr="003B3476">
        <w:rPr>
          <w:lang w:val="fr-FR" w:eastAsia="fr-FR" w:bidi="fr-FR"/>
        </w:rPr>
        <w:t xml:space="preserve"> nov. 1199 et le 1</w:t>
      </w:r>
      <w:r w:rsidRPr="003B3476">
        <w:rPr>
          <w:vertAlign w:val="superscript"/>
          <w:lang w:val="fr-FR" w:eastAsia="fr-FR" w:bidi="fr-FR"/>
        </w:rPr>
        <w:t>er</w:t>
      </w:r>
      <w:r w:rsidRPr="003B3476">
        <w:rPr>
          <w:lang w:val="fr-FR" w:eastAsia="fr-FR" w:bidi="fr-FR"/>
        </w:rPr>
        <w:t xml:space="preserve"> avril 1200 que Philippe Auguste « cassa » la commune d’Étampes et concéda « tant aux églises qu’aux chevaliers qu’à Étampes, d</w:t>
      </w:r>
      <w:r w:rsidRPr="003B3476">
        <w:rPr>
          <w:lang w:val="fr-FR" w:eastAsia="fr-FR" w:bidi="fr-FR"/>
        </w:rPr>
        <w:t>é</w:t>
      </w:r>
      <w:r w:rsidRPr="003B3476">
        <w:rPr>
          <w:lang w:val="fr-FR" w:eastAsia="fr-FR" w:bidi="fr-FR"/>
        </w:rPr>
        <w:t xml:space="preserve">sormais, aucune commune ne serait ». </w:t>
      </w:r>
      <w:r w:rsidRPr="003B3476">
        <w:rPr>
          <w:bCs/>
          <w:i/>
        </w:rPr>
        <w:t>Cf.</w:t>
      </w:r>
      <w:r w:rsidRPr="003B3476">
        <w:rPr>
          <w:bCs/>
        </w:rPr>
        <w:t xml:space="preserve"> </w:t>
      </w:r>
      <w:r w:rsidRPr="003B3476">
        <w:rPr>
          <w:lang w:val="fr-FR" w:eastAsia="fr-FR" w:bidi="fr-FR"/>
        </w:rPr>
        <w:t xml:space="preserve">L. </w:t>
      </w:r>
      <w:r w:rsidRPr="003B3476">
        <w:rPr>
          <w:rStyle w:val="Notedebasdepage65ptPetitesmajuscules"/>
          <w:b w:val="0"/>
          <w:sz w:val="24"/>
        </w:rPr>
        <w:t xml:space="preserve">Delisle, </w:t>
      </w:r>
      <w:r w:rsidRPr="003B3476">
        <w:rPr>
          <w:bCs/>
          <w:i/>
        </w:rPr>
        <w:t>Catal. des actes de Ph. Auguste</w:t>
      </w:r>
      <w:r w:rsidRPr="003B3476">
        <w:rPr>
          <w:lang w:val="fr-FR" w:eastAsia="fr-FR" w:bidi="fr-FR"/>
        </w:rPr>
        <w:t>, in-8°, Paris, 1856, n° 571.</w:t>
      </w:r>
    </w:p>
  </w:footnote>
  <w:footnote w:id="509">
    <w:p w14:paraId="5264CD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2 vol., Chartres 1854 et 1858, j. v. + 568 et 664 p. On peut y ajouter pour l’époque contemporaine, A. </w:t>
      </w:r>
      <w:r w:rsidRPr="003B3476">
        <w:rPr>
          <w:rStyle w:val="Notedebasdepage65ptPetitesmajuscules"/>
          <w:b w:val="0"/>
          <w:sz w:val="24"/>
        </w:rPr>
        <w:t xml:space="preserve">Bethouart, </w:t>
      </w:r>
      <w:r w:rsidRPr="003B3476">
        <w:rPr>
          <w:bCs/>
          <w:i/>
        </w:rPr>
        <w:t>Histoire de Chartres (1789-1900)</w:t>
      </w:r>
      <w:r w:rsidRPr="003B3476">
        <w:rPr>
          <w:bCs/>
        </w:rPr>
        <w:t>,</w:t>
      </w:r>
      <w:r w:rsidRPr="003B3476">
        <w:rPr>
          <w:lang w:val="fr-FR" w:eastAsia="fr-FR" w:bidi="fr-FR"/>
        </w:rPr>
        <w:t xml:space="preserve"> 2 vol. in-8°, Chartres, 1903, </w:t>
      </w:r>
      <w:r w:rsidRPr="003B3476">
        <w:rPr>
          <w:smallCaps/>
          <w:lang w:val="fr-FR" w:eastAsia="fr-FR" w:bidi="fr-FR"/>
        </w:rPr>
        <w:t>iv</w:t>
      </w:r>
      <w:r w:rsidRPr="003B3476">
        <w:rPr>
          <w:lang w:val="fr-FR" w:eastAsia="fr-FR" w:bidi="fr-FR"/>
        </w:rPr>
        <w:t xml:space="preserve"> + 435 et 366 p.</w:t>
      </w:r>
    </w:p>
  </w:footnote>
  <w:footnote w:id="510">
    <w:p w14:paraId="002EC9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Histoire de Meaux et du pays meldois</w:t>
      </w:r>
      <w:r w:rsidRPr="003B3476">
        <w:rPr>
          <w:lang w:val="fr-FR" w:eastAsia="fr-FR" w:bidi="fr-FR"/>
        </w:rPr>
        <w:t>, in-8°, Meaux et Paris, 1865, 564 p.</w:t>
      </w:r>
    </w:p>
  </w:footnote>
  <w:footnote w:id="511">
    <w:p w14:paraId="1E02A7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de Melun</w:t>
      </w:r>
      <w:r w:rsidRPr="003B3476">
        <w:rPr>
          <w:bCs/>
          <w:i/>
        </w:rPr>
        <w:t xml:space="preserve">, </w:t>
      </w:r>
      <w:r w:rsidRPr="003B3476">
        <w:rPr>
          <w:i/>
          <w:lang w:val="fr-FR" w:eastAsia="fr-FR" w:bidi="fr-FR"/>
        </w:rPr>
        <w:t>depuis les temps les plus reculés jusqu’à nos jours</w:t>
      </w:r>
      <w:r w:rsidRPr="003B3476">
        <w:rPr>
          <w:lang w:val="fr-FR" w:eastAsia="fr-FR" w:bidi="fr-FR"/>
        </w:rPr>
        <w:t>,</w:t>
      </w:r>
      <w:r w:rsidRPr="003B3476">
        <w:rPr>
          <w:bCs/>
        </w:rPr>
        <w:t xml:space="preserve"> gr. in-8°, Melun, </w:t>
      </w:r>
      <w:r w:rsidRPr="003B3476">
        <w:rPr>
          <w:lang w:val="fr-FR" w:eastAsia="fr-FR" w:bidi="fr-FR"/>
        </w:rPr>
        <w:t xml:space="preserve">1887, 517 p. </w:t>
      </w:r>
      <w:r w:rsidRPr="003B3476">
        <w:rPr>
          <w:bCs/>
          <w:i/>
        </w:rPr>
        <w:t>Cf.</w:t>
      </w:r>
      <w:r w:rsidRPr="003B3476">
        <w:rPr>
          <w:lang w:val="fr-FR" w:eastAsia="fr-FR" w:bidi="fr-FR"/>
        </w:rPr>
        <w:t xml:space="preserve"> du même auteur, </w:t>
      </w:r>
      <w:r w:rsidRPr="003B3476">
        <w:rPr>
          <w:bCs/>
          <w:i/>
        </w:rPr>
        <w:t>Le vieux Melun</w:t>
      </w:r>
      <w:r w:rsidRPr="003B3476">
        <w:rPr>
          <w:i/>
          <w:lang w:val="fr-FR" w:eastAsia="fr-FR" w:bidi="fr-FR"/>
        </w:rPr>
        <w:t xml:space="preserve">, </w:t>
      </w:r>
      <w:r w:rsidRPr="003B3476">
        <w:rPr>
          <w:bCs/>
          <w:i/>
        </w:rPr>
        <w:t>supplément à l’histoire de la même ville</w:t>
      </w:r>
      <w:r w:rsidRPr="003B3476">
        <w:rPr>
          <w:lang w:val="fr-FR" w:eastAsia="fr-FR" w:bidi="fr-FR"/>
        </w:rPr>
        <w:t xml:space="preserve">, in-8°. Melun, 1904, </w:t>
      </w:r>
      <w:r w:rsidRPr="003B3476">
        <w:rPr>
          <w:smallCaps/>
          <w:lang w:val="fr-FR" w:eastAsia="fr-FR" w:bidi="fr-FR"/>
        </w:rPr>
        <w:t>xvi</w:t>
      </w:r>
      <w:r w:rsidRPr="003B3476">
        <w:rPr>
          <w:lang w:val="fr-FR" w:eastAsia="fr-FR" w:bidi="fr-FR"/>
        </w:rPr>
        <w:t xml:space="preserve"> + 533 p., et Maurice </w:t>
      </w:r>
      <w:r w:rsidRPr="003B3476">
        <w:rPr>
          <w:rStyle w:val="Notedebasdepage65ptPetitesmajuscules"/>
          <w:b w:val="0"/>
          <w:sz w:val="24"/>
        </w:rPr>
        <w:t>L</w:t>
      </w:r>
      <w:r w:rsidRPr="003B3476">
        <w:rPr>
          <w:rStyle w:val="Notedebasdepage65ptPetitesmajuscules"/>
          <w:b w:val="0"/>
          <w:sz w:val="24"/>
        </w:rPr>
        <w:t>e</w:t>
      </w:r>
      <w:r w:rsidRPr="003B3476">
        <w:rPr>
          <w:rStyle w:val="Notedebasdepage65ptPetitesmajuscules"/>
          <w:b w:val="0"/>
          <w:sz w:val="24"/>
        </w:rPr>
        <w:t xml:space="preserve">comte, </w:t>
      </w:r>
      <w:r w:rsidRPr="003B3476">
        <w:rPr>
          <w:bCs/>
          <w:i/>
        </w:rPr>
        <w:t>Histoire de Melun</w:t>
      </w:r>
      <w:r w:rsidRPr="003B3476">
        <w:rPr>
          <w:lang w:val="fr-FR" w:eastAsia="fr-FR" w:bidi="fr-FR"/>
        </w:rPr>
        <w:t xml:space="preserve">, in-8°, Melun, </w:t>
      </w:r>
      <w:r w:rsidRPr="003B3476">
        <w:rPr>
          <w:bCs/>
        </w:rPr>
        <w:t>1910.</w:t>
      </w:r>
    </w:p>
  </w:footnote>
  <w:footnote w:id="512">
    <w:p w14:paraId="66DD1A3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de la ville de Corbeil depuis l’origine de la ville jusqu’au 21 septembre 1792</w:t>
      </w:r>
      <w:r w:rsidRPr="003B3476">
        <w:rPr>
          <w:bCs/>
        </w:rPr>
        <w:t xml:space="preserve">, </w:t>
      </w:r>
      <w:r w:rsidRPr="003B3476">
        <w:rPr>
          <w:lang w:val="fr-FR" w:eastAsia="fr-FR" w:bidi="fr-FR"/>
        </w:rPr>
        <w:t>2 vol. in-8°, Lagny, 1901 et 1902, 542 et 557 p.</w:t>
      </w:r>
    </w:p>
  </w:footnote>
  <w:footnote w:id="513">
    <w:p w14:paraId="4B44C67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surtout : Léon </w:t>
      </w:r>
      <w:r w:rsidRPr="003B3476">
        <w:rPr>
          <w:rStyle w:val="Notedebasdepage265ptNonItaliquePetitesmajuscules"/>
          <w:b w:val="0"/>
          <w:i/>
          <w:iCs/>
          <w:sz w:val="24"/>
        </w:rPr>
        <w:t xml:space="preserve">Marquis, </w:t>
      </w:r>
      <w:r w:rsidRPr="003B3476">
        <w:rPr>
          <w:i/>
          <w:lang w:val="fr-FR" w:eastAsia="fr-FR" w:bidi="fr-FR"/>
        </w:rPr>
        <w:t>Les rues d’Étampes et ses monuments</w:t>
      </w:r>
      <w:r w:rsidRPr="003B3476">
        <w:rPr>
          <w:bCs/>
        </w:rPr>
        <w:t>, in-8°, P</w:t>
      </w:r>
      <w:r w:rsidRPr="003B3476">
        <w:rPr>
          <w:bCs/>
        </w:rPr>
        <w:t>a</w:t>
      </w:r>
      <w:r w:rsidRPr="003B3476">
        <w:rPr>
          <w:bCs/>
        </w:rPr>
        <w:t xml:space="preserve">ris, 1881, </w:t>
      </w:r>
      <w:r w:rsidRPr="003B3476">
        <w:rPr>
          <w:bCs/>
          <w:smallCaps/>
        </w:rPr>
        <w:t>vii</w:t>
      </w:r>
      <w:r w:rsidRPr="003B3476">
        <w:rPr>
          <w:bCs/>
        </w:rPr>
        <w:t xml:space="preserve"> + 434 p. et L.-Eug. </w:t>
      </w:r>
      <w:r w:rsidRPr="003B3476">
        <w:rPr>
          <w:rStyle w:val="Notedebasdepage265ptNonItaliquePetitesmajuscules"/>
          <w:b w:val="0"/>
          <w:i/>
          <w:iCs/>
          <w:sz w:val="24"/>
        </w:rPr>
        <w:t xml:space="preserve">Lefèvre, </w:t>
      </w:r>
      <w:r w:rsidRPr="003B3476">
        <w:rPr>
          <w:i/>
          <w:lang w:val="fr-FR" w:eastAsia="fr-FR" w:bidi="fr-FR"/>
        </w:rPr>
        <w:t>Étampes et ses monuments aux XI</w:t>
      </w:r>
      <w:r w:rsidRPr="003B3476">
        <w:rPr>
          <w:i/>
          <w:vertAlign w:val="superscript"/>
          <w:lang w:val="fr-FR" w:eastAsia="fr-FR" w:bidi="fr-FR"/>
        </w:rPr>
        <w:t>e</w:t>
      </w:r>
      <w:r w:rsidRPr="003B3476">
        <w:rPr>
          <w:i/>
          <w:lang w:val="fr-FR" w:eastAsia="fr-FR" w:bidi="fr-FR"/>
        </w:rPr>
        <w:t xml:space="preserve"> et XII</w:t>
      </w:r>
      <w:r w:rsidRPr="003B3476">
        <w:rPr>
          <w:i/>
          <w:vertAlign w:val="superscript"/>
          <w:lang w:val="fr-FR" w:eastAsia="fr-FR" w:bidi="fr-FR"/>
        </w:rPr>
        <w:t>e</w:t>
      </w:r>
      <w:r w:rsidRPr="003B3476">
        <w:rPr>
          <w:i/>
          <w:lang w:val="fr-FR" w:eastAsia="fr-FR" w:bidi="fr-FR"/>
        </w:rPr>
        <w:t xml:space="preserve"> siècles. Mémoire pour servir à l’étude archéologique des plus anciens mon</w:t>
      </w:r>
      <w:r w:rsidRPr="003B3476">
        <w:rPr>
          <w:i/>
          <w:lang w:val="fr-FR" w:eastAsia="fr-FR" w:bidi="fr-FR"/>
        </w:rPr>
        <w:t>u</w:t>
      </w:r>
      <w:r w:rsidRPr="003B3476">
        <w:rPr>
          <w:i/>
          <w:lang w:val="fr-FR" w:eastAsia="fr-FR" w:bidi="fr-FR"/>
        </w:rPr>
        <w:t>ments étampois</w:t>
      </w:r>
      <w:r w:rsidRPr="003B3476">
        <w:rPr>
          <w:bCs/>
        </w:rPr>
        <w:t xml:space="preserve">, dans </w:t>
      </w:r>
      <w:r w:rsidRPr="003B3476">
        <w:rPr>
          <w:i/>
          <w:lang w:val="fr-FR" w:eastAsia="fr-FR" w:bidi="fr-FR"/>
        </w:rPr>
        <w:t>Ann. Soc. histor</w:t>
      </w:r>
      <w:r w:rsidRPr="003B3476">
        <w:rPr>
          <w:lang w:val="fr-FR" w:eastAsia="fr-FR" w:bidi="fr-FR"/>
        </w:rPr>
        <w:t xml:space="preserve">. </w:t>
      </w:r>
      <w:r w:rsidRPr="003B3476">
        <w:rPr>
          <w:bCs/>
        </w:rPr>
        <w:t>Gâtinais,</w:t>
      </w:r>
      <w:r w:rsidRPr="003B3476">
        <w:rPr>
          <w:lang w:val="fr-FR" w:eastAsia="fr-FR" w:bidi="fr-FR"/>
        </w:rPr>
        <w:t xml:space="preserve"> t XXV, 1907, p. 145-248 et 289-436, — article qui sous un titre modeste est un travail d’ensemble sur l’histoire d’Étampes aux deux siècles considérés. </w:t>
      </w:r>
      <w:r w:rsidRPr="003B3476">
        <w:rPr>
          <w:bCs/>
          <w:i/>
        </w:rPr>
        <w:t>Cf.</w:t>
      </w:r>
      <w:r w:rsidRPr="003B3476">
        <w:rPr>
          <w:lang w:val="fr-FR" w:eastAsia="fr-FR" w:bidi="fr-FR"/>
        </w:rPr>
        <w:t xml:space="preserve"> aussi Maxime </w:t>
      </w:r>
      <w:r w:rsidRPr="003B3476">
        <w:rPr>
          <w:rStyle w:val="Notedebasdepage65ptPetitesmajuscules"/>
          <w:b w:val="0"/>
          <w:sz w:val="24"/>
        </w:rPr>
        <w:t>L</w:t>
      </w:r>
      <w:r w:rsidRPr="003B3476">
        <w:rPr>
          <w:rStyle w:val="Notedebasdepage65ptPetitesmajuscules"/>
          <w:b w:val="0"/>
          <w:sz w:val="24"/>
        </w:rPr>
        <w:t>e</w:t>
      </w:r>
      <w:r w:rsidRPr="003B3476">
        <w:rPr>
          <w:rStyle w:val="Notedebasdepage65ptPetitesmajuscules"/>
          <w:b w:val="0"/>
          <w:sz w:val="24"/>
        </w:rPr>
        <w:t xml:space="preserve">grand, </w:t>
      </w:r>
      <w:r w:rsidRPr="003B3476">
        <w:rPr>
          <w:bCs/>
          <w:i/>
        </w:rPr>
        <w:t>Étampes pittoresque, guide du promeneur dans la ville et l’arrondissement</w:t>
      </w:r>
      <w:r w:rsidRPr="003B3476">
        <w:rPr>
          <w:bCs/>
        </w:rPr>
        <w:t>,</w:t>
      </w:r>
      <w:r w:rsidRPr="003B3476">
        <w:rPr>
          <w:lang w:val="fr-FR" w:eastAsia="fr-FR" w:bidi="fr-FR"/>
        </w:rPr>
        <w:t xml:space="preserve"> 3 vol. in-8°, Étampes, 1897, 1906 et 1907.</w:t>
      </w:r>
    </w:p>
  </w:footnote>
  <w:footnote w:id="514">
    <w:p w14:paraId="287EAC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L’ouvrage de F. </w:t>
      </w:r>
      <w:r w:rsidRPr="003B3476">
        <w:rPr>
          <w:rStyle w:val="Notedebasdepage65ptPetitesmajuscules"/>
          <w:b w:val="0"/>
          <w:sz w:val="24"/>
        </w:rPr>
        <w:t xml:space="preserve">Bournon, </w:t>
      </w:r>
      <w:r w:rsidRPr="003B3476">
        <w:rPr>
          <w:bCs/>
          <w:i/>
        </w:rPr>
        <w:t>Histoire de la ville et du canton de Saint-Denis</w:t>
      </w:r>
      <w:r w:rsidRPr="003B3476">
        <w:rPr>
          <w:bCs/>
        </w:rPr>
        <w:t>,</w:t>
      </w:r>
      <w:r w:rsidRPr="003B3476">
        <w:rPr>
          <w:lang w:val="fr-FR" w:eastAsia="fr-FR" w:bidi="fr-FR"/>
        </w:rPr>
        <w:t xml:space="preserve"> in-12, Paris, 1892, 167 p., et la notice historique consacrée par le même érudit à Saint-Denis dans l’« </w:t>
      </w:r>
      <w:r w:rsidRPr="003B3476">
        <w:rPr>
          <w:bCs/>
        </w:rPr>
        <w:t>État des communes</w:t>
      </w:r>
      <w:r w:rsidRPr="003B3476">
        <w:rPr>
          <w:lang w:val="fr-FR" w:eastAsia="fr-FR" w:bidi="fr-FR"/>
        </w:rPr>
        <w:t> » du département de la Seine sont bien insuffisants.</w:t>
      </w:r>
    </w:p>
  </w:footnote>
  <w:footnote w:id="515">
    <w:p w14:paraId="1EA9D2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Ces notices, dues </w:t>
      </w:r>
      <w:r w:rsidRPr="003B3476">
        <w:rPr>
          <w:bCs/>
        </w:rPr>
        <w:t xml:space="preserve">à </w:t>
      </w:r>
      <w:r w:rsidRPr="003B3476">
        <w:rPr>
          <w:lang w:val="fr-FR" w:eastAsia="fr-FR" w:bidi="fr-FR"/>
        </w:rPr>
        <w:t xml:space="preserve">M. Ed. </w:t>
      </w:r>
      <w:r w:rsidRPr="003B3476">
        <w:rPr>
          <w:rStyle w:val="Notedebasdepage65ptPetitesmajuscules"/>
          <w:b w:val="0"/>
          <w:sz w:val="24"/>
        </w:rPr>
        <w:t xml:space="preserve">Lefèvre, </w:t>
      </w:r>
      <w:r w:rsidRPr="003B3476">
        <w:rPr>
          <w:lang w:val="fr-FR" w:eastAsia="fr-FR" w:bidi="fr-FR"/>
        </w:rPr>
        <w:t xml:space="preserve">concernaient les communes des cantons de Nogent-le-Roi, Auneau, Courville, Janville. Parues </w:t>
      </w:r>
      <w:r w:rsidRPr="003B3476">
        <w:rPr>
          <w:bCs/>
        </w:rPr>
        <w:t xml:space="preserve">à </w:t>
      </w:r>
      <w:r w:rsidRPr="003B3476">
        <w:rPr>
          <w:lang w:val="fr-FR" w:eastAsia="fr-FR" w:bidi="fr-FR"/>
        </w:rPr>
        <w:t>part, elles forment une série de volumes in-12, intitulés « </w:t>
      </w:r>
      <w:r w:rsidRPr="003B3476">
        <w:rPr>
          <w:bCs/>
          <w:i/>
        </w:rPr>
        <w:t>Documents historiques et statistiques sur les cantons d</w:t>
      </w:r>
      <w:r w:rsidRPr="003B3476">
        <w:rPr>
          <w:bCs/>
        </w:rPr>
        <w:t>e.</w:t>
      </w:r>
      <w:r w:rsidRPr="003B3476">
        <w:rPr>
          <w:lang w:val="fr-FR" w:eastAsia="fr-FR" w:bidi="fr-FR"/>
        </w:rPr>
        <w:t xml:space="preserve">.. », au nombre de 2 vol. par canton, et publiés entre 1866 et 1874, </w:t>
      </w:r>
      <w:r w:rsidRPr="003B3476">
        <w:rPr>
          <w:bCs/>
        </w:rPr>
        <w:t xml:space="preserve">à </w:t>
      </w:r>
      <w:r w:rsidRPr="003B3476">
        <w:rPr>
          <w:lang w:val="fr-FR" w:eastAsia="fr-FR" w:bidi="fr-FR"/>
        </w:rPr>
        <w:t>Chartres.</w:t>
      </w:r>
    </w:p>
  </w:footnote>
  <w:footnote w:id="516">
    <w:p w14:paraId="7404F5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Depuis 1862 — À l’exposition de 1900 ont figuré les monographies manuscr</w:t>
      </w:r>
      <w:r w:rsidRPr="003B3476">
        <w:rPr>
          <w:lang w:val="fr-FR" w:eastAsia="fr-FR" w:bidi="fr-FR"/>
        </w:rPr>
        <w:t>i</w:t>
      </w:r>
      <w:r w:rsidRPr="003B3476">
        <w:rPr>
          <w:lang w:val="fr-FR" w:eastAsia="fr-FR" w:bidi="fr-FR"/>
        </w:rPr>
        <w:t>tes d’environ 600 communes du département de Seine-et-Oise ; elles sont a</w:t>
      </w:r>
      <w:r w:rsidRPr="003B3476">
        <w:rPr>
          <w:lang w:val="fr-FR" w:eastAsia="fr-FR" w:bidi="fr-FR"/>
        </w:rPr>
        <w:t>u</w:t>
      </w:r>
      <w:r w:rsidRPr="003B3476">
        <w:rPr>
          <w:lang w:val="fr-FR" w:eastAsia="fr-FR" w:bidi="fr-FR"/>
        </w:rPr>
        <w:t xml:space="preserve">jourd’hui conservées </w:t>
      </w:r>
      <w:r w:rsidRPr="003B3476">
        <w:rPr>
          <w:bCs/>
        </w:rPr>
        <w:t xml:space="preserve">à </w:t>
      </w:r>
      <w:r w:rsidRPr="003B3476">
        <w:rPr>
          <w:lang w:val="fr-FR" w:eastAsia="fr-FR" w:bidi="fr-FR"/>
        </w:rPr>
        <w:t>Versailles, dans les bureaux de l’Inspection Académ</w:t>
      </w:r>
      <w:r w:rsidRPr="003B3476">
        <w:rPr>
          <w:lang w:val="fr-FR" w:eastAsia="fr-FR" w:bidi="fr-FR"/>
        </w:rPr>
        <w:t>i</w:t>
      </w:r>
      <w:r w:rsidRPr="003B3476">
        <w:rPr>
          <w:lang w:val="fr-FR" w:eastAsia="fr-FR" w:bidi="fr-FR"/>
        </w:rPr>
        <w:t xml:space="preserve">que. L’abbé F.-A. </w:t>
      </w:r>
      <w:r w:rsidRPr="003B3476">
        <w:rPr>
          <w:rStyle w:val="Notedebasdepage65ptPetitesmajuscules"/>
          <w:b w:val="0"/>
          <w:sz w:val="24"/>
        </w:rPr>
        <w:t xml:space="preserve">Denis </w:t>
      </w:r>
      <w:r w:rsidRPr="003B3476">
        <w:rPr>
          <w:lang w:val="fr-FR" w:eastAsia="fr-FR" w:bidi="fr-FR"/>
        </w:rPr>
        <w:t xml:space="preserve">a dressé, dans le </w:t>
      </w:r>
      <w:r w:rsidRPr="003B3476">
        <w:rPr>
          <w:bCs/>
          <w:i/>
        </w:rPr>
        <w:t>Bulletin de la conférence d’histoire du dioc. de Meaux</w:t>
      </w:r>
      <w:r w:rsidRPr="003B3476">
        <w:rPr>
          <w:lang w:val="fr-FR" w:eastAsia="fr-FR" w:bidi="fr-FR"/>
        </w:rPr>
        <w:t xml:space="preserve"> (juillet 1894. p. 8-12) un </w:t>
      </w:r>
      <w:r w:rsidRPr="003B3476">
        <w:rPr>
          <w:bCs/>
          <w:i/>
        </w:rPr>
        <w:t>Programme et questionnaire</w:t>
      </w:r>
      <w:r w:rsidRPr="003B3476">
        <w:rPr>
          <w:bCs/>
        </w:rPr>
        <w:t xml:space="preserve"> </w:t>
      </w:r>
      <w:r w:rsidRPr="003B3476">
        <w:rPr>
          <w:bCs/>
          <w:i/>
        </w:rPr>
        <w:t>pour l’étude d’une monographie communale et paroissiale</w:t>
      </w:r>
      <w:r w:rsidRPr="003B3476">
        <w:rPr>
          <w:lang w:val="fr-FR" w:eastAsia="fr-FR" w:bidi="fr-FR"/>
        </w:rPr>
        <w:t xml:space="preserve"> qui ne paraît pas devoir rendre de grands services. Les travailleurs qui voudraient rédiger une mon</w:t>
      </w:r>
      <w:r w:rsidRPr="003B3476">
        <w:rPr>
          <w:lang w:val="fr-FR" w:eastAsia="fr-FR" w:bidi="fr-FR"/>
        </w:rPr>
        <w:t>o</w:t>
      </w:r>
      <w:r w:rsidRPr="003B3476">
        <w:rPr>
          <w:lang w:val="fr-FR" w:eastAsia="fr-FR" w:bidi="fr-FR"/>
        </w:rPr>
        <w:t xml:space="preserve">graphie de village purement géographique auront avantage </w:t>
      </w:r>
      <w:r w:rsidRPr="003B3476">
        <w:rPr>
          <w:bCs/>
        </w:rPr>
        <w:t xml:space="preserve">à </w:t>
      </w:r>
      <w:r w:rsidRPr="003B3476">
        <w:rPr>
          <w:lang w:val="fr-FR" w:eastAsia="fr-FR" w:bidi="fr-FR"/>
        </w:rPr>
        <w:t xml:space="preserve">consulter l’article de C.-M. </w:t>
      </w:r>
      <w:r w:rsidRPr="003B3476">
        <w:rPr>
          <w:rStyle w:val="Notedebasdepage65ptPetitesmajuscules"/>
          <w:b w:val="0"/>
          <w:sz w:val="24"/>
        </w:rPr>
        <w:t xml:space="preserve">Jourdan, </w:t>
      </w:r>
      <w:r w:rsidRPr="003B3476">
        <w:rPr>
          <w:bCs/>
          <w:i/>
        </w:rPr>
        <w:t>Les Monographies de village</w:t>
      </w:r>
      <w:r w:rsidRPr="003B3476">
        <w:rPr>
          <w:bCs/>
        </w:rPr>
        <w:t xml:space="preserve">, </w:t>
      </w:r>
      <w:r w:rsidRPr="003B3476">
        <w:rPr>
          <w:lang w:val="fr-FR" w:eastAsia="fr-FR" w:bidi="fr-FR"/>
        </w:rPr>
        <w:t xml:space="preserve">paru dans le </w:t>
      </w:r>
      <w:r w:rsidRPr="003B3476">
        <w:rPr>
          <w:bCs/>
          <w:i/>
        </w:rPr>
        <w:t>Congrès nati</w:t>
      </w:r>
      <w:r w:rsidRPr="003B3476">
        <w:rPr>
          <w:bCs/>
          <w:i/>
        </w:rPr>
        <w:t>o</w:t>
      </w:r>
      <w:r w:rsidRPr="003B3476">
        <w:rPr>
          <w:bCs/>
          <w:i/>
        </w:rPr>
        <w:t>nal des soc. franç. de Géogr</w:t>
      </w:r>
      <w:r w:rsidRPr="003B3476">
        <w:rPr>
          <w:bCs/>
        </w:rPr>
        <w:t>. XXIV</w:t>
      </w:r>
      <w:r w:rsidRPr="003B3476">
        <w:rPr>
          <w:bCs/>
          <w:vertAlign w:val="superscript"/>
        </w:rPr>
        <w:t>e</w:t>
      </w:r>
      <w:r w:rsidRPr="003B3476">
        <w:rPr>
          <w:bCs/>
        </w:rPr>
        <w:t xml:space="preserve"> session</w:t>
      </w:r>
      <w:r w:rsidRPr="003B3476">
        <w:rPr>
          <w:lang w:val="fr-FR" w:eastAsia="fr-FR" w:bidi="fr-FR"/>
        </w:rPr>
        <w:t xml:space="preserve"> (1903). </w:t>
      </w:r>
      <w:r w:rsidRPr="003B3476">
        <w:rPr>
          <w:bCs/>
          <w:i/>
        </w:rPr>
        <w:t>Comptes rendus publiés par le bureau de la Soc. Normande de Géogr</w:t>
      </w:r>
      <w:r w:rsidRPr="003B3476">
        <w:rPr>
          <w:bCs/>
        </w:rPr>
        <w:t>.,</w:t>
      </w:r>
      <w:r w:rsidRPr="003B3476">
        <w:rPr>
          <w:lang w:val="fr-FR" w:eastAsia="fr-FR" w:bidi="fr-FR"/>
        </w:rPr>
        <w:t xml:space="preserve"> in-8°, Rouen, 1904, p. 198-209. Il faut pourtant faire </w:t>
      </w:r>
      <w:r w:rsidRPr="003B3476">
        <w:rPr>
          <w:bCs/>
        </w:rPr>
        <w:t xml:space="preserve">à </w:t>
      </w:r>
      <w:r w:rsidRPr="003B3476">
        <w:rPr>
          <w:lang w:val="fr-FR" w:eastAsia="fr-FR" w:bidi="fr-FR"/>
        </w:rPr>
        <w:t>M. Jourdan le reproche de ne pas avoir, dans le plan qu’il a établi, attaché suffisamment d’importance aux deux questions de la répart</w:t>
      </w:r>
      <w:r w:rsidRPr="003B3476">
        <w:rPr>
          <w:lang w:val="fr-FR" w:eastAsia="fr-FR" w:bidi="fr-FR"/>
        </w:rPr>
        <w:t>i</w:t>
      </w:r>
      <w:r w:rsidRPr="003B3476">
        <w:rPr>
          <w:lang w:val="fr-FR" w:eastAsia="fr-FR" w:bidi="fr-FR"/>
        </w:rPr>
        <w:t>tion de la propriété et de la forme des champs.</w:t>
      </w:r>
    </w:p>
  </w:footnote>
  <w:footnote w:id="517">
    <w:p w14:paraId="7D4E968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t xml:space="preserve"> L. </w:t>
      </w:r>
      <w:r w:rsidRPr="00841BE4">
        <w:rPr>
          <w:rStyle w:val="Notedebasdepage265ptNonItaliquePetitesmajuscules"/>
          <w:b w:val="0"/>
          <w:iCs/>
          <w:sz w:val="24"/>
        </w:rPr>
        <w:t>Serbat</w:t>
      </w:r>
      <w:r w:rsidRPr="003B3476">
        <w:rPr>
          <w:rStyle w:val="Notedebasdepage265ptNonItaliquePetitesmajuscules"/>
          <w:b w:val="0"/>
          <w:i/>
          <w:iCs/>
          <w:sz w:val="24"/>
        </w:rPr>
        <w:t xml:space="preserve">, </w:t>
      </w:r>
      <w:r w:rsidRPr="003B3476">
        <w:rPr>
          <w:i/>
          <w:lang w:val="fr-FR" w:eastAsia="fr-FR" w:bidi="fr-FR"/>
        </w:rPr>
        <w:t>Excursion à Larchant</w:t>
      </w:r>
      <w:r w:rsidRPr="003B3476">
        <w:t xml:space="preserve">, </w:t>
      </w:r>
      <w:r w:rsidRPr="003B3476">
        <w:rPr>
          <w:rStyle w:val="Notedebasdepage265ptNonItalique"/>
          <w:b w:val="0"/>
          <w:i/>
          <w:iCs/>
          <w:sz w:val="24"/>
        </w:rPr>
        <w:t xml:space="preserve">dans </w:t>
      </w:r>
      <w:r w:rsidRPr="003B3476">
        <w:rPr>
          <w:i/>
          <w:lang w:val="fr-FR" w:eastAsia="fr-FR" w:bidi="fr-FR"/>
        </w:rPr>
        <w:t>Bullet. monum</w:t>
      </w:r>
      <w:r w:rsidRPr="003B3476">
        <w:rPr>
          <w:rStyle w:val="Notedebasdepage265ptNonItalique"/>
          <w:b w:val="0"/>
          <w:i/>
          <w:iCs/>
          <w:sz w:val="24"/>
        </w:rPr>
        <w:t xml:space="preserve">t. </w:t>
      </w:r>
      <w:r w:rsidRPr="003B3476">
        <w:t xml:space="preserve">LXXV, 1911, </w:t>
      </w:r>
      <w:r w:rsidRPr="003B3476">
        <w:rPr>
          <w:rStyle w:val="Notedebasdepage265ptNonItalique"/>
          <w:b w:val="0"/>
          <w:i/>
          <w:iCs/>
          <w:sz w:val="24"/>
        </w:rPr>
        <w:t xml:space="preserve">p. </w:t>
      </w:r>
      <w:r w:rsidRPr="003B3476">
        <w:t>285-291.</w:t>
      </w:r>
    </w:p>
  </w:footnote>
  <w:footnote w:id="518">
    <w:p w14:paraId="4AF13F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Chelles, Seine-et-Marne, cant. de Lagny. Sur le gisement de Chelles </w:t>
      </w:r>
      <w:r w:rsidRPr="003B3476">
        <w:rPr>
          <w:bCs/>
          <w:i/>
        </w:rPr>
        <w:t>cf</w:t>
      </w:r>
      <w:r w:rsidRPr="003B3476">
        <w:rPr>
          <w:bCs/>
        </w:rPr>
        <w:t>.</w:t>
      </w:r>
      <w:r w:rsidRPr="003B3476">
        <w:rPr>
          <w:lang w:val="fr-FR" w:eastAsia="fr-FR" w:bidi="fr-FR"/>
        </w:rPr>
        <w:t> </w:t>
      </w:r>
      <w:r w:rsidRPr="003B3476">
        <w:rPr>
          <w:rStyle w:val="Notedebasdepage65ptPetitesmajuscules"/>
          <w:b w:val="0"/>
        </w:rPr>
        <w:t xml:space="preserve">J. Déchelette, </w:t>
      </w:r>
      <w:r w:rsidRPr="003B3476">
        <w:rPr>
          <w:bCs/>
          <w:i/>
        </w:rPr>
        <w:t>Manuel d'archéologie préhistorique</w:t>
      </w:r>
      <w:r w:rsidRPr="003B3476">
        <w:rPr>
          <w:lang w:val="fr-FR" w:eastAsia="fr-FR" w:bidi="fr-FR"/>
        </w:rPr>
        <w:t>, t. I, in-8°, Paris, 1908, p. 65-67, où l’on trouvera les indications bibliographiques.</w:t>
      </w:r>
    </w:p>
  </w:footnote>
  <w:footnote w:id="519">
    <w:p w14:paraId="240F0A7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w:t>
      </w:r>
      <w:r w:rsidRPr="003B3476">
        <w:rPr>
          <w:rStyle w:val="Notedebasdepage265ptNonItaliquePetitesmajuscules"/>
          <w:b w:val="0"/>
          <w:i/>
          <w:iCs/>
          <w:sz w:val="24"/>
        </w:rPr>
        <w:t xml:space="preserve">G. Courty, </w:t>
      </w:r>
      <w:r w:rsidRPr="003B3476">
        <w:rPr>
          <w:i/>
          <w:lang w:val="fr-FR" w:eastAsia="fr-FR" w:bidi="fr-FR"/>
        </w:rPr>
        <w:t>Sur les habitations préhistoriques de la Beauce</w:t>
      </w:r>
      <w:r w:rsidRPr="003B3476">
        <w:rPr>
          <w:lang w:val="fr-FR" w:eastAsia="fr-FR" w:bidi="fr-FR"/>
        </w:rPr>
        <w:t>,</w:t>
      </w:r>
      <w:r w:rsidRPr="003B3476">
        <w:rPr>
          <w:bCs/>
        </w:rPr>
        <w:t xml:space="preserve"> dans </w:t>
      </w:r>
      <w:r w:rsidRPr="003B3476">
        <w:rPr>
          <w:i/>
          <w:lang w:val="fr-FR" w:eastAsia="fr-FR" w:bidi="fr-FR"/>
        </w:rPr>
        <w:t>Congrès pr</w:t>
      </w:r>
      <w:r w:rsidRPr="003B3476">
        <w:rPr>
          <w:i/>
          <w:lang w:val="fr-FR" w:eastAsia="fr-FR" w:bidi="fr-FR"/>
        </w:rPr>
        <w:t>é</w:t>
      </w:r>
      <w:r w:rsidRPr="003B3476">
        <w:rPr>
          <w:i/>
          <w:lang w:val="fr-FR" w:eastAsia="fr-FR" w:bidi="fr-FR"/>
        </w:rPr>
        <w:t>histor. de France</w:t>
      </w:r>
      <w:r w:rsidRPr="003B3476">
        <w:rPr>
          <w:lang w:val="fr-FR" w:eastAsia="fr-FR" w:bidi="fr-FR"/>
        </w:rPr>
        <w:t>. 3</w:t>
      </w:r>
      <w:r w:rsidRPr="003B3476">
        <w:rPr>
          <w:vertAlign w:val="superscript"/>
          <w:lang w:val="fr-FR" w:eastAsia="fr-FR" w:bidi="fr-FR"/>
        </w:rPr>
        <w:t>e</w:t>
      </w:r>
      <w:r w:rsidRPr="003B3476">
        <w:rPr>
          <w:lang w:val="fr-FR" w:eastAsia="fr-FR" w:bidi="fr-FR"/>
        </w:rPr>
        <w:t xml:space="preserve"> session,</w:t>
      </w:r>
      <w:r w:rsidRPr="003B3476">
        <w:rPr>
          <w:bCs/>
        </w:rPr>
        <w:t xml:space="preserve"> 1907, in-8°, Paris, 1908, p. 256-257.</w:t>
      </w:r>
    </w:p>
  </w:footnote>
  <w:footnote w:id="520">
    <w:p w14:paraId="701028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va de soi que je n’ai point ici la prétention de dresser la bibliographie — qui pour être utile devrait être une bibliographie critique — des études dont la préhistoire, dans l’Île-de-France, a été l’objet. Je vais indiquer simplement quelques ouvrages qui constituent, pour tel ou tel des pays de l’Île-de-France, des synthèses provisoires. Quelques-uns de ces ouvrages intéressent, en même temps que la préhistoire proprement dite, les antiquités celtiques, ou même gallo-romaines. On trouvera quelques indications d’ensemble dans le livre de </w:t>
      </w:r>
      <w:r w:rsidRPr="003B3476">
        <w:rPr>
          <w:rStyle w:val="Notedebasdepage65ptPetitesmajuscules"/>
          <w:b w:val="0"/>
          <w:sz w:val="24"/>
        </w:rPr>
        <w:t xml:space="preserve">L. Belgrand, </w:t>
      </w:r>
      <w:r w:rsidRPr="003B3476">
        <w:rPr>
          <w:bCs/>
          <w:i/>
        </w:rPr>
        <w:t>Le bassin parisien</w:t>
      </w:r>
      <w:r w:rsidRPr="003B3476">
        <w:rPr>
          <w:i/>
          <w:lang w:val="fr-FR" w:eastAsia="fr-FR" w:bidi="fr-FR"/>
        </w:rPr>
        <w:t xml:space="preserve">. </w:t>
      </w:r>
      <w:r w:rsidRPr="003B3476">
        <w:rPr>
          <w:bCs/>
          <w:i/>
        </w:rPr>
        <w:t>La Seine</w:t>
      </w:r>
      <w:r w:rsidRPr="003B3476">
        <w:rPr>
          <w:i/>
          <w:lang w:val="fr-FR" w:eastAsia="fr-FR" w:bidi="fr-FR"/>
        </w:rPr>
        <w:t xml:space="preserve">, </w:t>
      </w:r>
      <w:r w:rsidRPr="003B3476">
        <w:rPr>
          <w:bCs/>
          <w:i/>
        </w:rPr>
        <w:t>aux âges anté-historiques</w:t>
      </w:r>
      <w:r w:rsidRPr="003B3476">
        <w:rPr>
          <w:bCs/>
        </w:rPr>
        <w:t>,</w:t>
      </w:r>
      <w:r w:rsidRPr="003B3476">
        <w:rPr>
          <w:lang w:val="fr-FR" w:eastAsia="fr-FR" w:bidi="fr-FR"/>
        </w:rPr>
        <w:t xml:space="preserve"> cité à la b</w:t>
      </w:r>
      <w:r w:rsidRPr="003B3476">
        <w:rPr>
          <w:lang w:val="fr-FR" w:eastAsia="fr-FR" w:bidi="fr-FR"/>
        </w:rPr>
        <w:t>i</w:t>
      </w:r>
      <w:r w:rsidRPr="003B3476">
        <w:rPr>
          <w:lang w:val="fr-FR" w:eastAsia="fr-FR" w:bidi="fr-FR"/>
        </w:rPr>
        <w:t xml:space="preserve">bliographie du chap. I § 2. Pour la Seine-et-Oise, on consultera surtout les trois études que voici : P. </w:t>
      </w:r>
      <w:r w:rsidRPr="003B3476">
        <w:rPr>
          <w:rStyle w:val="Notedebasdepage65ptPetitesmajuscules"/>
          <w:b w:val="0"/>
          <w:sz w:val="24"/>
        </w:rPr>
        <w:t xml:space="preserve">Guégan </w:t>
      </w:r>
      <w:r w:rsidRPr="003B3476">
        <w:rPr>
          <w:lang w:val="fr-FR" w:eastAsia="fr-FR" w:bidi="fr-FR"/>
        </w:rPr>
        <w:t xml:space="preserve">et A. </w:t>
      </w:r>
      <w:r w:rsidRPr="003B3476">
        <w:rPr>
          <w:rStyle w:val="Notedebasdepage65ptPetitesmajuscules"/>
          <w:b w:val="0"/>
          <w:sz w:val="24"/>
        </w:rPr>
        <w:t xml:space="preserve">Dutilleux, </w:t>
      </w:r>
      <w:r w:rsidRPr="003B3476">
        <w:rPr>
          <w:bCs/>
          <w:i/>
        </w:rPr>
        <w:t>Tableau et carte des m</w:t>
      </w:r>
      <w:r w:rsidRPr="003B3476">
        <w:rPr>
          <w:bCs/>
          <w:i/>
        </w:rPr>
        <w:t>o</w:t>
      </w:r>
      <w:r w:rsidRPr="003B3476">
        <w:rPr>
          <w:bCs/>
          <w:i/>
        </w:rPr>
        <w:t>numents et objets de l’âge de la pierre dans le département de Seine-et-Oise</w:t>
      </w:r>
      <w:r w:rsidRPr="003B3476">
        <w:rPr>
          <w:lang w:val="fr-FR" w:eastAsia="fr-FR" w:bidi="fr-FR"/>
        </w:rPr>
        <w:t xml:space="preserve">, dans </w:t>
      </w:r>
      <w:r w:rsidRPr="003B3476">
        <w:rPr>
          <w:bCs/>
          <w:i/>
        </w:rPr>
        <w:t>A</w:t>
      </w:r>
      <w:r w:rsidRPr="003B3476">
        <w:rPr>
          <w:bCs/>
          <w:i/>
        </w:rPr>
        <w:t>n</w:t>
      </w:r>
      <w:r w:rsidRPr="003B3476">
        <w:rPr>
          <w:bCs/>
          <w:i/>
        </w:rPr>
        <w:t>nuaire du dép. de Seine-et-Oise pour 1878</w:t>
      </w:r>
      <w:r w:rsidRPr="003B3476">
        <w:rPr>
          <w:lang w:val="fr-FR" w:eastAsia="fr-FR" w:bidi="fr-FR"/>
        </w:rPr>
        <w:t>, p. 483-490 et à part, in-8° Versai</w:t>
      </w:r>
      <w:r w:rsidRPr="003B3476">
        <w:rPr>
          <w:lang w:val="fr-FR" w:eastAsia="fr-FR" w:bidi="fr-FR"/>
        </w:rPr>
        <w:t>l</w:t>
      </w:r>
      <w:r w:rsidRPr="003B3476">
        <w:rPr>
          <w:lang w:val="fr-FR" w:eastAsia="fr-FR" w:bidi="fr-FR"/>
        </w:rPr>
        <w:t xml:space="preserve">les, 1878, 22 p. ; P. </w:t>
      </w:r>
      <w:r w:rsidRPr="003B3476">
        <w:rPr>
          <w:rStyle w:val="Notedebasdepage65ptPetitesmajuscules"/>
          <w:b w:val="0"/>
          <w:sz w:val="24"/>
        </w:rPr>
        <w:t xml:space="preserve">Géguan, </w:t>
      </w:r>
      <w:r w:rsidRPr="003B3476">
        <w:rPr>
          <w:bCs/>
          <w:i/>
        </w:rPr>
        <w:t>Étude rétrospective sur l’habitat de l’homme le long des rives de la Seine et de l’Oise, depuis les temps géolog</w:t>
      </w:r>
      <w:r w:rsidRPr="003B3476">
        <w:rPr>
          <w:bCs/>
          <w:i/>
        </w:rPr>
        <w:t>i</w:t>
      </w:r>
      <w:r w:rsidRPr="003B3476">
        <w:rPr>
          <w:bCs/>
          <w:i/>
        </w:rPr>
        <w:t>ques jusques et y compris la période Franque-Mérovingienne</w:t>
      </w:r>
      <w:r w:rsidRPr="003B3476">
        <w:rPr>
          <w:bCs/>
        </w:rPr>
        <w:t>,</w:t>
      </w:r>
      <w:r w:rsidRPr="003B3476">
        <w:rPr>
          <w:lang w:val="fr-FR" w:eastAsia="fr-FR" w:bidi="fr-FR"/>
        </w:rPr>
        <w:t xml:space="preserve"> dans </w:t>
      </w:r>
      <w:r w:rsidRPr="003B3476">
        <w:rPr>
          <w:bCs/>
          <w:i/>
        </w:rPr>
        <w:t>Commiss. des antiqu. et arts du dép. de Seine-et-Oise</w:t>
      </w:r>
      <w:r w:rsidRPr="003B3476">
        <w:rPr>
          <w:lang w:val="fr-FR" w:eastAsia="fr-FR" w:bidi="fr-FR"/>
        </w:rPr>
        <w:t>, t. XI, 1891, p. 115-130 (avec ca</w:t>
      </w:r>
      <w:r w:rsidRPr="003B3476">
        <w:rPr>
          <w:lang w:val="fr-FR" w:eastAsia="fr-FR" w:bidi="fr-FR"/>
        </w:rPr>
        <w:t>r</w:t>
      </w:r>
      <w:r w:rsidRPr="003B3476">
        <w:rPr>
          <w:lang w:val="fr-FR" w:eastAsia="fr-FR" w:bidi="fr-FR"/>
        </w:rPr>
        <w:t xml:space="preserve">te) ; E. </w:t>
      </w:r>
      <w:r w:rsidRPr="003B3476">
        <w:rPr>
          <w:rStyle w:val="Notedebasdepage65ptPetitesmajuscules"/>
          <w:b w:val="0"/>
          <w:sz w:val="24"/>
        </w:rPr>
        <w:t xml:space="preserve">Delessard, </w:t>
      </w:r>
      <w:r w:rsidRPr="003B3476">
        <w:rPr>
          <w:bCs/>
          <w:i/>
        </w:rPr>
        <w:t>Le préhistorique en Seine-et-Oise</w:t>
      </w:r>
      <w:r w:rsidRPr="003B3476">
        <w:rPr>
          <w:lang w:val="fr-FR" w:eastAsia="fr-FR" w:bidi="fr-FR"/>
        </w:rPr>
        <w:t xml:space="preserve">, dans </w:t>
      </w:r>
      <w:r w:rsidRPr="003B3476">
        <w:rPr>
          <w:bCs/>
          <w:i/>
        </w:rPr>
        <w:t>Bullet. Soc. hist. Corbeil</w:t>
      </w:r>
      <w:r w:rsidRPr="003B3476">
        <w:rPr>
          <w:bCs/>
        </w:rPr>
        <w:t xml:space="preserve">, </w:t>
      </w:r>
      <w:r w:rsidRPr="003B3476">
        <w:rPr>
          <w:lang w:val="fr-FR" w:eastAsia="fr-FR" w:bidi="fr-FR"/>
        </w:rPr>
        <w:t xml:space="preserve">t. IV, 1898, p. 55-74. Pour la Seine-et-Marne : Emmanuel </w:t>
      </w:r>
      <w:r w:rsidRPr="003B3476">
        <w:rPr>
          <w:rStyle w:val="Notedebasdepage65ptPetitesmajuscules"/>
          <w:b w:val="0"/>
          <w:sz w:val="24"/>
        </w:rPr>
        <w:t xml:space="preserve">Paty, </w:t>
      </w:r>
      <w:r w:rsidRPr="003B3476">
        <w:rPr>
          <w:bCs/>
          <w:i/>
        </w:rPr>
        <w:t>Mémoire sur les antiquités galliques et gallo-romaines de Seine-et-Marne</w:t>
      </w:r>
      <w:r w:rsidRPr="003B3476">
        <w:rPr>
          <w:lang w:val="fr-FR" w:eastAsia="fr-FR" w:bidi="fr-FR"/>
        </w:rPr>
        <w:t xml:space="preserve">, dans </w:t>
      </w:r>
      <w:r w:rsidRPr="003B3476">
        <w:rPr>
          <w:bCs/>
          <w:i/>
        </w:rPr>
        <w:t>Bullet. monument</w:t>
      </w:r>
      <w:r w:rsidRPr="003B3476">
        <w:rPr>
          <w:lang w:val="fr-FR" w:eastAsia="fr-FR" w:bidi="fr-FR"/>
        </w:rPr>
        <w:t xml:space="preserve">., t. XIV, 1848, p. 373-400. Pour l’Eure-et-Loir l’excellente </w:t>
      </w:r>
      <w:r w:rsidRPr="003B3476">
        <w:rPr>
          <w:bCs/>
          <w:i/>
        </w:rPr>
        <w:t>Statistique archéol</w:t>
      </w:r>
      <w:r w:rsidRPr="003B3476">
        <w:rPr>
          <w:bCs/>
          <w:i/>
        </w:rPr>
        <w:t>o</w:t>
      </w:r>
      <w:r w:rsidRPr="003B3476">
        <w:rPr>
          <w:bCs/>
          <w:i/>
        </w:rPr>
        <w:t>gique d’Eure-et-Loir</w:t>
      </w:r>
      <w:r w:rsidRPr="003B3476">
        <w:rPr>
          <w:lang w:val="fr-FR" w:eastAsia="fr-FR" w:bidi="fr-FR"/>
        </w:rPr>
        <w:t xml:space="preserve"> de M. de </w:t>
      </w:r>
      <w:r w:rsidRPr="003B3476">
        <w:rPr>
          <w:rStyle w:val="Notedebasdepage65ptPetitesmajuscules"/>
          <w:b w:val="0"/>
          <w:sz w:val="24"/>
        </w:rPr>
        <w:t xml:space="preserve">Boisvillette, </w:t>
      </w:r>
      <w:r w:rsidRPr="003B3476">
        <w:rPr>
          <w:lang w:val="fr-FR" w:eastAsia="fr-FR" w:bidi="fr-FR"/>
        </w:rPr>
        <w:t xml:space="preserve">in-8°, Chartres, 1864, </w:t>
      </w:r>
      <w:r w:rsidRPr="003B3476">
        <w:rPr>
          <w:smallCaps/>
          <w:lang w:val="fr-FR" w:eastAsia="fr-FR" w:bidi="fr-FR"/>
        </w:rPr>
        <w:t>xxxii</w:t>
      </w:r>
      <w:r w:rsidRPr="003B3476">
        <w:rPr>
          <w:lang w:val="fr-FR" w:eastAsia="fr-FR" w:bidi="fr-FR"/>
        </w:rPr>
        <w:t xml:space="preserve"> + cxi + 303 p., malheureusement arrêtée par la mort de l’auteur (à la deuxième partie du vol., concernant la </w:t>
      </w:r>
      <w:r w:rsidRPr="003B3476">
        <w:rPr>
          <w:bCs/>
          <w:i/>
        </w:rPr>
        <w:t>Gaule romaine</w:t>
      </w:r>
      <w:r w:rsidRPr="003B3476">
        <w:rPr>
          <w:lang w:val="fr-FR" w:eastAsia="fr-FR" w:bidi="fr-FR"/>
        </w:rPr>
        <w:t xml:space="preserve">, il manque la section </w:t>
      </w:r>
      <w:r w:rsidRPr="003B3476">
        <w:rPr>
          <w:bCs/>
        </w:rPr>
        <w:t>Monuments meubles</w:t>
      </w:r>
      <w:r w:rsidRPr="003B3476">
        <w:rPr>
          <w:lang w:val="fr-FR" w:eastAsia="fr-FR" w:bidi="fr-FR"/>
        </w:rPr>
        <w:t xml:space="preserve">) ; l’article de l’abbé </w:t>
      </w:r>
      <w:r w:rsidRPr="003B3476">
        <w:rPr>
          <w:rStyle w:val="Notedebasdepage65ptPetitesmajuscules"/>
          <w:b w:val="0"/>
          <w:sz w:val="24"/>
        </w:rPr>
        <w:t xml:space="preserve">Marquès, </w:t>
      </w:r>
      <w:r w:rsidRPr="003B3476">
        <w:rPr>
          <w:bCs/>
          <w:i/>
        </w:rPr>
        <w:t>M</w:t>
      </w:r>
      <w:r w:rsidRPr="003B3476">
        <w:rPr>
          <w:bCs/>
          <w:i/>
        </w:rPr>
        <w:t>o</w:t>
      </w:r>
      <w:r w:rsidRPr="003B3476">
        <w:rPr>
          <w:bCs/>
          <w:i/>
        </w:rPr>
        <w:t>numents celtiques du département d’Eure-et-Loir</w:t>
      </w:r>
      <w:r w:rsidRPr="003B3476">
        <w:rPr>
          <w:bCs/>
        </w:rPr>
        <w:t xml:space="preserve">, </w:t>
      </w:r>
      <w:r w:rsidRPr="003B3476">
        <w:rPr>
          <w:lang w:val="fr-FR" w:eastAsia="fr-FR" w:bidi="fr-FR"/>
        </w:rPr>
        <w:t xml:space="preserve">dans </w:t>
      </w:r>
      <w:r w:rsidRPr="003B3476">
        <w:rPr>
          <w:bCs/>
          <w:i/>
        </w:rPr>
        <w:t>Procès-verb. de la Soc. archéol. d’Eure-et-Loir</w:t>
      </w:r>
      <w:r w:rsidRPr="003B3476">
        <w:rPr>
          <w:bCs/>
        </w:rPr>
        <w:t>,</w:t>
      </w:r>
      <w:r w:rsidRPr="003B3476">
        <w:rPr>
          <w:lang w:val="fr-FR" w:eastAsia="fr-FR" w:bidi="fr-FR"/>
        </w:rPr>
        <w:t xml:space="preserve"> t. VI, 1876-1879, p. 190-196 est bien inférieur à l’ouvrage de Boisvillette. </w:t>
      </w:r>
      <w:r w:rsidRPr="003B3476">
        <w:rPr>
          <w:bCs/>
          <w:i/>
        </w:rPr>
        <w:t>Cf.</w:t>
      </w:r>
      <w:r w:rsidRPr="003B3476">
        <w:rPr>
          <w:lang w:val="fr-FR" w:eastAsia="fr-FR" w:bidi="fr-FR"/>
        </w:rPr>
        <w:t xml:space="preserve"> aussi A. </w:t>
      </w:r>
      <w:r w:rsidRPr="003B3476">
        <w:rPr>
          <w:rStyle w:val="Notedebasdepage65ptPetitesmajuscules"/>
          <w:b w:val="0"/>
          <w:sz w:val="24"/>
        </w:rPr>
        <w:t>Pe</w:t>
      </w:r>
      <w:r w:rsidRPr="003B3476">
        <w:rPr>
          <w:rStyle w:val="Notedebasdepage65ptPetitesmajuscules"/>
          <w:b w:val="0"/>
          <w:sz w:val="24"/>
        </w:rPr>
        <w:t>s</w:t>
      </w:r>
      <w:r w:rsidRPr="003B3476">
        <w:rPr>
          <w:rStyle w:val="Notedebasdepage65ptPetitesmajuscules"/>
          <w:b w:val="0"/>
          <w:sz w:val="24"/>
        </w:rPr>
        <w:t xml:space="preserve">chot, </w:t>
      </w:r>
      <w:r w:rsidRPr="003B3476">
        <w:rPr>
          <w:bCs/>
          <w:i/>
        </w:rPr>
        <w:t>L’âge de la pierre dans l’ancien Dunois, d’après les collections du musée historique de l’Orléanais</w:t>
      </w:r>
      <w:r w:rsidRPr="003B3476">
        <w:rPr>
          <w:lang w:val="fr-FR" w:eastAsia="fr-FR" w:bidi="fr-FR"/>
        </w:rPr>
        <w:t xml:space="preserve">, dans </w:t>
      </w:r>
      <w:r w:rsidRPr="003B3476">
        <w:rPr>
          <w:bCs/>
          <w:i/>
        </w:rPr>
        <w:t>Bullet. Soc. dunoise</w:t>
      </w:r>
      <w:r w:rsidRPr="003B3476">
        <w:rPr>
          <w:lang w:val="fr-FR" w:eastAsia="fr-FR" w:bidi="fr-FR"/>
        </w:rPr>
        <w:t xml:space="preserve">, t. XI, 1905-08, p. 123-127 et l’article peu utile, de </w:t>
      </w:r>
      <w:r w:rsidRPr="003B3476">
        <w:rPr>
          <w:rStyle w:val="Notedebasdepage65ptPetitesmajuscules"/>
          <w:b w:val="0"/>
          <w:sz w:val="24"/>
        </w:rPr>
        <w:t xml:space="preserve">Desnoyers, </w:t>
      </w:r>
      <w:r w:rsidRPr="003B3476">
        <w:rPr>
          <w:bCs/>
          <w:i/>
        </w:rPr>
        <w:t>Le Préhistorique dans l’Orléanais</w:t>
      </w:r>
      <w:r w:rsidRPr="003B3476">
        <w:rPr>
          <w:bCs/>
        </w:rPr>
        <w:t>,</w:t>
      </w:r>
      <w:r w:rsidRPr="003B3476">
        <w:rPr>
          <w:lang w:val="fr-FR" w:eastAsia="fr-FR" w:bidi="fr-FR"/>
        </w:rPr>
        <w:t xml:space="preserve"> dans </w:t>
      </w:r>
      <w:r w:rsidRPr="003B3476">
        <w:rPr>
          <w:bCs/>
          <w:i/>
        </w:rPr>
        <w:t>Congrès archéol</w:t>
      </w:r>
      <w:r w:rsidRPr="003B3476">
        <w:rPr>
          <w:bCs/>
        </w:rPr>
        <w:t>.,</w:t>
      </w:r>
      <w:r w:rsidRPr="003B3476">
        <w:rPr>
          <w:lang w:val="fr-FR" w:eastAsia="fr-FR" w:bidi="fr-FR"/>
        </w:rPr>
        <w:t xml:space="preserve"> t. LIX, 1892, p. 166-176.</w:t>
      </w:r>
    </w:p>
  </w:footnote>
  <w:footnote w:id="521">
    <w:p w14:paraId="36EBD1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les diocèses de l’Île-de-France, les listes complètes les plus anciennes sont des dates que voici : Paris, vers 1205 ; Rouen, vers 1240 ; Chartres, vers 1272 ; Sens, vers 1350 ; Meaux, 1353 ; Orléans, 1369. Les diocèses d’Orléans et de Sens possèdent chacun une liste, mais très fragmentaire, datant du </w:t>
      </w:r>
      <w:r w:rsidRPr="003B3476">
        <w:rPr>
          <w:smallCaps/>
          <w:lang w:val="fr-FR" w:eastAsia="fr-FR" w:bidi="fr-FR"/>
        </w:rPr>
        <w:t>xi</w:t>
      </w:r>
      <w:r w:rsidRPr="003B3476">
        <w:rPr>
          <w:vertAlign w:val="superscript"/>
          <w:lang w:val="fr-FR" w:eastAsia="fr-FR" w:bidi="fr-FR"/>
        </w:rPr>
        <w:t>e</w:t>
      </w:r>
      <w:r w:rsidRPr="003B3476">
        <w:rPr>
          <w:lang w:val="fr-FR" w:eastAsia="fr-FR" w:bidi="fr-FR"/>
        </w:rPr>
        <w:t> siècle. On sait que ces documents ont été réunis et étudiés dans la colle</w:t>
      </w:r>
      <w:r w:rsidRPr="003B3476">
        <w:rPr>
          <w:lang w:val="fr-FR" w:eastAsia="fr-FR" w:bidi="fr-FR"/>
        </w:rPr>
        <w:t>c</w:t>
      </w:r>
      <w:r w:rsidRPr="003B3476">
        <w:rPr>
          <w:lang w:val="fr-FR" w:eastAsia="fr-FR" w:bidi="fr-FR"/>
        </w:rPr>
        <w:t xml:space="preserve">tion des </w:t>
      </w:r>
      <w:r w:rsidRPr="003B3476">
        <w:rPr>
          <w:bCs/>
          <w:i/>
        </w:rPr>
        <w:t>Pouillés</w:t>
      </w:r>
      <w:r w:rsidRPr="003B3476">
        <w:rPr>
          <w:lang w:val="fr-FR" w:eastAsia="fr-FR" w:bidi="fr-FR"/>
        </w:rPr>
        <w:t xml:space="preserve"> qui fait partie de la nouvelle série (in-4°) du </w:t>
      </w:r>
      <w:r w:rsidRPr="003B3476">
        <w:rPr>
          <w:bCs/>
          <w:i/>
        </w:rPr>
        <w:t>Recueil des Hi</w:t>
      </w:r>
      <w:r w:rsidRPr="003B3476">
        <w:rPr>
          <w:bCs/>
          <w:i/>
        </w:rPr>
        <w:t>s</w:t>
      </w:r>
      <w:r w:rsidRPr="003B3476">
        <w:rPr>
          <w:bCs/>
          <w:i/>
        </w:rPr>
        <w:t>toriens de la France</w:t>
      </w:r>
      <w:r w:rsidRPr="003B3476">
        <w:rPr>
          <w:bCs/>
        </w:rPr>
        <w:t xml:space="preserve">. </w:t>
      </w:r>
      <w:r w:rsidRPr="003B3476">
        <w:rPr>
          <w:bCs/>
          <w:i/>
        </w:rPr>
        <w:t>Cf.</w:t>
      </w:r>
      <w:r w:rsidRPr="003B3476">
        <w:rPr>
          <w:lang w:val="fr-FR" w:eastAsia="fr-FR" w:bidi="fr-FR"/>
        </w:rPr>
        <w:t xml:space="preserve"> pour l’Île-de-France : </w:t>
      </w:r>
      <w:r w:rsidRPr="003B3476">
        <w:rPr>
          <w:bCs/>
          <w:i/>
        </w:rPr>
        <w:t>Pouillés de la province de Sens</w:t>
      </w:r>
      <w:r w:rsidRPr="003B3476">
        <w:rPr>
          <w:lang w:val="fr-FR" w:eastAsia="fr-FR" w:bidi="fr-FR"/>
        </w:rPr>
        <w:t xml:space="preserve"> publiés par Aug. </w:t>
      </w:r>
      <w:r w:rsidRPr="003B3476">
        <w:rPr>
          <w:bCs/>
          <w:smallCaps/>
        </w:rPr>
        <w:t>Longnon</w:t>
      </w:r>
      <w:r w:rsidRPr="003B3476">
        <w:rPr>
          <w:bCs/>
        </w:rPr>
        <w:t xml:space="preserve">, </w:t>
      </w:r>
      <w:r w:rsidRPr="003B3476">
        <w:rPr>
          <w:lang w:val="fr-FR" w:eastAsia="fr-FR" w:bidi="fr-FR"/>
        </w:rPr>
        <w:t xml:space="preserve">in-4°, Paris, 1904, </w:t>
      </w:r>
      <w:r w:rsidRPr="003B3476">
        <w:rPr>
          <w:bCs/>
        </w:rPr>
        <w:t>lxxxv</w:t>
      </w:r>
      <w:r w:rsidRPr="003B3476">
        <w:rPr>
          <w:rStyle w:val="Notedebasdepage65ptNonGras"/>
          <w:b w:val="0"/>
          <w:bCs w:val="0"/>
        </w:rPr>
        <w:t xml:space="preserve"> </w:t>
      </w:r>
      <w:r w:rsidRPr="003B3476">
        <w:rPr>
          <w:lang w:val="fr-FR" w:eastAsia="fr-FR" w:bidi="fr-FR"/>
        </w:rPr>
        <w:t xml:space="preserve">+ 790 p., et aussi </w:t>
      </w:r>
      <w:r w:rsidRPr="003B3476">
        <w:rPr>
          <w:bCs/>
          <w:i/>
        </w:rPr>
        <w:t>Poui</w:t>
      </w:r>
      <w:r w:rsidRPr="003B3476">
        <w:rPr>
          <w:bCs/>
          <w:i/>
        </w:rPr>
        <w:t>l</w:t>
      </w:r>
      <w:r w:rsidRPr="003B3476">
        <w:rPr>
          <w:bCs/>
          <w:i/>
        </w:rPr>
        <w:t>lés de la province de Rouen</w:t>
      </w:r>
      <w:r w:rsidRPr="003B3476">
        <w:rPr>
          <w:lang w:val="fr-FR" w:eastAsia="fr-FR" w:bidi="fr-FR"/>
        </w:rPr>
        <w:t>, par le même éditeur, in-4°, Paris, 1903.</w:t>
      </w:r>
    </w:p>
  </w:footnote>
  <w:footnote w:id="522">
    <w:p w14:paraId="0FC5E8F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Aug. </w:t>
      </w:r>
      <w:r w:rsidRPr="003B3476">
        <w:rPr>
          <w:rStyle w:val="Notedebasdepage265ptNonItaliquePetitesmajuscules"/>
          <w:b w:val="0"/>
          <w:iCs/>
          <w:sz w:val="24"/>
        </w:rPr>
        <w:t>Longnon</w:t>
      </w:r>
      <w:r w:rsidRPr="003B3476">
        <w:rPr>
          <w:rStyle w:val="Notedebasdepage265ptNonItaliquePetitesmajuscules"/>
          <w:b w:val="0"/>
          <w:i/>
          <w:iCs/>
          <w:sz w:val="24"/>
        </w:rPr>
        <w:t xml:space="preserve">, </w:t>
      </w:r>
      <w:r w:rsidRPr="003B3476">
        <w:rPr>
          <w:i/>
          <w:lang w:val="fr-FR" w:eastAsia="fr-FR" w:bidi="fr-FR"/>
        </w:rPr>
        <w:t>Introduction</w:t>
      </w:r>
      <w:r w:rsidRPr="003B3476">
        <w:rPr>
          <w:bCs/>
          <w:i/>
        </w:rPr>
        <w:t xml:space="preserve"> aux </w:t>
      </w:r>
      <w:r w:rsidRPr="003B3476">
        <w:rPr>
          <w:i/>
          <w:lang w:val="fr-FR" w:eastAsia="fr-FR" w:bidi="fr-FR"/>
        </w:rPr>
        <w:t>Pouillés de la province de Sens</w:t>
      </w:r>
      <w:r w:rsidRPr="003B3476">
        <w:rPr>
          <w:lang w:val="fr-FR" w:eastAsia="fr-FR" w:bidi="fr-FR"/>
        </w:rPr>
        <w:t>,</w:t>
      </w:r>
      <w:r w:rsidRPr="003B3476">
        <w:rPr>
          <w:bCs/>
        </w:rPr>
        <w:t xml:space="preserve"> p. </w:t>
      </w:r>
      <w:r w:rsidRPr="003B3476">
        <w:rPr>
          <w:bCs/>
          <w:smallCaps/>
        </w:rPr>
        <w:t>xxxvii</w:t>
      </w:r>
      <w:r w:rsidRPr="003B3476">
        <w:rPr>
          <w:bCs/>
        </w:rPr>
        <w:t>.</w:t>
      </w:r>
    </w:p>
  </w:footnote>
  <w:footnote w:id="523">
    <w:p w14:paraId="36866E1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Aug. </w:t>
      </w:r>
      <w:r w:rsidRPr="003B3476">
        <w:rPr>
          <w:rStyle w:val="Notedebasdepage265ptNonItalique"/>
          <w:b w:val="0"/>
          <w:iCs/>
          <w:smallCaps/>
          <w:sz w:val="24"/>
        </w:rPr>
        <w:t>Longnon</w:t>
      </w:r>
      <w:r w:rsidRPr="003B3476">
        <w:rPr>
          <w:rStyle w:val="Notedebasdepage265ptNonItalique"/>
          <w:b w:val="0"/>
          <w:i/>
          <w:iCs/>
          <w:sz w:val="24"/>
        </w:rPr>
        <w:t xml:space="preserve">, </w:t>
      </w:r>
      <w:r w:rsidRPr="003B3476">
        <w:rPr>
          <w:i/>
          <w:lang w:val="fr-FR" w:eastAsia="fr-FR" w:bidi="fr-FR"/>
        </w:rPr>
        <w:t>ibid.</w:t>
      </w:r>
      <w:r w:rsidRPr="003B3476">
        <w:rPr>
          <w:lang w:val="fr-FR" w:eastAsia="fr-FR" w:bidi="fr-FR"/>
        </w:rPr>
        <w:t>,</w:t>
      </w:r>
      <w:r w:rsidRPr="003B3476">
        <w:t xml:space="preserve"> p. </w:t>
      </w:r>
      <w:r w:rsidRPr="003B3476">
        <w:rPr>
          <w:rStyle w:val="Notedebasdepage265ptNonItalique"/>
          <w:b w:val="0"/>
          <w:i/>
          <w:iCs/>
          <w:sz w:val="24"/>
        </w:rPr>
        <w:t>liv</w:t>
      </w:r>
      <w:r w:rsidRPr="003B3476">
        <w:rPr>
          <w:rStyle w:val="Notedebasdepage265ptNonGrasNonItalique"/>
          <w:b w:val="0"/>
          <w:bCs w:val="0"/>
          <w:i w:val="0"/>
          <w:iCs w:val="0"/>
          <w:sz w:val="24"/>
        </w:rPr>
        <w:t xml:space="preserve"> </w:t>
      </w:r>
      <w:r w:rsidRPr="003B3476">
        <w:t xml:space="preserve">et </w:t>
      </w:r>
      <w:r w:rsidRPr="003B3476">
        <w:rPr>
          <w:i/>
          <w:lang w:val="fr-FR" w:eastAsia="fr-FR" w:bidi="fr-FR"/>
        </w:rPr>
        <w:t>Atlas Historique</w:t>
      </w:r>
      <w:r w:rsidRPr="003B3476">
        <w:rPr>
          <w:lang w:val="fr-FR" w:eastAsia="fr-FR" w:bidi="fr-FR"/>
        </w:rPr>
        <w:t xml:space="preserve">. </w:t>
      </w:r>
      <w:r w:rsidRPr="003B3476">
        <w:rPr>
          <w:i/>
          <w:lang w:val="fr-FR" w:eastAsia="fr-FR" w:bidi="fr-FR"/>
        </w:rPr>
        <w:t>Texte</w:t>
      </w:r>
      <w:r w:rsidRPr="003B3476">
        <w:t>, p. 107-109.</w:t>
      </w:r>
    </w:p>
  </w:footnote>
  <w:footnote w:id="524">
    <w:p w14:paraId="5E3980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Maurice </w:t>
      </w:r>
      <w:r w:rsidRPr="003B3476">
        <w:rPr>
          <w:rStyle w:val="Notedebasdepage265ptNonItaliquePetitesmajuscules"/>
          <w:b w:val="0"/>
          <w:iCs/>
          <w:sz w:val="24"/>
        </w:rPr>
        <w:t>Lecomte</w:t>
      </w:r>
      <w:r w:rsidRPr="003B3476">
        <w:rPr>
          <w:rStyle w:val="Notedebasdepage265ptNonItaliquePetitesmajuscules"/>
          <w:b w:val="0"/>
          <w:i/>
          <w:iCs/>
          <w:sz w:val="24"/>
        </w:rPr>
        <w:t xml:space="preserve">, </w:t>
      </w:r>
      <w:r w:rsidRPr="003B3476">
        <w:rPr>
          <w:lang w:val="fr-FR" w:eastAsia="fr-FR" w:bidi="fr-FR"/>
        </w:rPr>
        <w:t>L'exten</w:t>
      </w:r>
      <w:r w:rsidRPr="003B3476">
        <w:rPr>
          <w:i/>
          <w:lang w:val="fr-FR" w:eastAsia="fr-FR" w:bidi="fr-FR"/>
        </w:rPr>
        <w:t>sion Sud-Est du</w:t>
      </w:r>
      <w:r w:rsidRPr="003B3476">
        <w:rPr>
          <w:bCs/>
          <w:i/>
        </w:rPr>
        <w:t xml:space="preserve"> « </w:t>
      </w:r>
      <w:r w:rsidRPr="003B3476">
        <w:rPr>
          <w:i/>
          <w:lang w:val="fr-FR" w:eastAsia="fr-FR" w:bidi="fr-FR"/>
        </w:rPr>
        <w:t>Pagus Meldensis</w:t>
      </w:r>
      <w:r w:rsidRPr="003B3476">
        <w:rPr>
          <w:bCs/>
          <w:i/>
        </w:rPr>
        <w:t xml:space="preserve"> », </w:t>
      </w:r>
      <w:r w:rsidRPr="003B3476">
        <w:rPr>
          <w:i/>
          <w:lang w:val="fr-FR" w:eastAsia="fr-FR" w:bidi="fr-FR"/>
        </w:rPr>
        <w:t>ou</w:t>
      </w:r>
      <w:r w:rsidRPr="003B3476">
        <w:rPr>
          <w:bCs/>
          <w:i/>
        </w:rPr>
        <w:t xml:space="preserve"> « </w:t>
      </w:r>
      <w:r w:rsidRPr="003B3476">
        <w:rPr>
          <w:i/>
          <w:lang w:val="fr-FR" w:eastAsia="fr-FR" w:bidi="fr-FR"/>
        </w:rPr>
        <w:t>Civita Me</w:t>
      </w:r>
      <w:r w:rsidRPr="003B3476">
        <w:rPr>
          <w:i/>
          <w:lang w:val="fr-FR" w:eastAsia="fr-FR" w:bidi="fr-FR"/>
        </w:rPr>
        <w:t>l</w:t>
      </w:r>
      <w:r w:rsidRPr="003B3476">
        <w:rPr>
          <w:i/>
          <w:lang w:val="fr-FR" w:eastAsia="fr-FR" w:bidi="fr-FR"/>
        </w:rPr>
        <w:t>dorum</w:t>
      </w:r>
      <w:r w:rsidRPr="003B3476">
        <w:rPr>
          <w:bCs/>
          <w:i/>
        </w:rPr>
        <w:t xml:space="preserve"> » au </w:t>
      </w:r>
      <w:r w:rsidRPr="003B3476">
        <w:rPr>
          <w:i/>
          <w:lang w:val="fr-FR" w:eastAsia="fr-FR" w:bidi="fr-FR"/>
        </w:rPr>
        <w:t>VII</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w:t>
      </w:r>
      <w:r w:rsidRPr="003B3476">
        <w:rPr>
          <w:bCs/>
        </w:rPr>
        <w:t xml:space="preserve"> dans </w:t>
      </w:r>
      <w:r w:rsidRPr="003B3476">
        <w:rPr>
          <w:i/>
          <w:lang w:val="fr-FR" w:eastAsia="fr-FR" w:bidi="fr-FR"/>
        </w:rPr>
        <w:t>Le Moyen Âge</w:t>
      </w:r>
      <w:r w:rsidRPr="003B3476">
        <w:rPr>
          <w:bCs/>
        </w:rPr>
        <w:t>, t. VIII, 1895, p. 1-5.</w:t>
      </w:r>
    </w:p>
  </w:footnote>
  <w:footnote w:id="525">
    <w:p w14:paraId="5F00D8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Le très ingénieux article de M. Camille </w:t>
      </w:r>
      <w:r w:rsidRPr="003B3476">
        <w:rPr>
          <w:rStyle w:val="Notedebasdepage65ptPetitesmajuscules"/>
          <w:b w:val="0"/>
          <w:sz w:val="24"/>
        </w:rPr>
        <w:t xml:space="preserve">Jullian, </w:t>
      </w:r>
      <w:r w:rsidRPr="003B3476">
        <w:rPr>
          <w:bCs/>
          <w:i/>
        </w:rPr>
        <w:t>Notes gallo-romaines</w:t>
      </w:r>
      <w:r w:rsidRPr="003B3476">
        <w:rPr>
          <w:lang w:val="fr-FR" w:eastAsia="fr-FR" w:bidi="fr-FR"/>
        </w:rPr>
        <w:t xml:space="preserve">, LII. </w:t>
      </w:r>
      <w:r w:rsidRPr="003B3476">
        <w:rPr>
          <w:bCs/>
          <w:i/>
        </w:rPr>
        <w:t>Les Gaulois au confluent de l'Oise</w:t>
      </w:r>
      <w:r w:rsidRPr="003B3476">
        <w:rPr>
          <w:bCs/>
        </w:rPr>
        <w:t>,</w:t>
      </w:r>
      <w:r w:rsidRPr="003B3476">
        <w:rPr>
          <w:lang w:val="fr-FR" w:eastAsia="fr-FR" w:bidi="fr-FR"/>
        </w:rPr>
        <w:t xml:space="preserve"> dans </w:t>
      </w:r>
      <w:r w:rsidRPr="003B3476">
        <w:rPr>
          <w:bCs/>
          <w:i/>
        </w:rPr>
        <w:t>Rev. des Ét. anciennes</w:t>
      </w:r>
      <w:r w:rsidRPr="003B3476">
        <w:rPr>
          <w:lang w:val="fr-FR" w:eastAsia="fr-FR" w:bidi="fr-FR"/>
        </w:rPr>
        <w:t>, t. XIII, 1911, p. 424-425, et carte, — mais tenir compte des observations faites plus haut sur le caractère hypothétique de l’identification des frontières des dioc</w:t>
      </w:r>
      <w:r w:rsidRPr="003B3476">
        <w:rPr>
          <w:lang w:val="fr-FR" w:eastAsia="fr-FR" w:bidi="fr-FR"/>
        </w:rPr>
        <w:t>è</w:t>
      </w:r>
      <w:r w:rsidRPr="003B3476">
        <w:rPr>
          <w:lang w:val="fr-FR" w:eastAsia="fr-FR" w:bidi="fr-FR"/>
        </w:rPr>
        <w:t>ses avec les frontières des peuples gaulois.</w:t>
      </w:r>
    </w:p>
  </w:footnote>
  <w:footnote w:id="526">
    <w:p w14:paraId="3E75C6E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Cs/>
          <w:sz w:val="24"/>
        </w:rPr>
        <w:t>César,</w:t>
      </w:r>
      <w:r w:rsidRPr="003B3476">
        <w:rPr>
          <w:rStyle w:val="Notedebasdepage265ptNonItaliquePetitesmajuscules"/>
          <w:b w:val="0"/>
          <w:i/>
          <w:iCs/>
        </w:rPr>
        <w:t xml:space="preserve"> </w:t>
      </w:r>
      <w:r w:rsidRPr="003B3476">
        <w:rPr>
          <w:i/>
          <w:lang w:val="fr-FR" w:eastAsia="fr-FR" w:bidi="fr-FR"/>
        </w:rPr>
        <w:t>De bello gallico</w:t>
      </w:r>
      <w:r w:rsidRPr="003B3476">
        <w:t>, II, 4.</w:t>
      </w:r>
    </w:p>
  </w:footnote>
  <w:footnote w:id="527">
    <w:p w14:paraId="475B6A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Sur le nom </w:t>
      </w:r>
      <w:r w:rsidRPr="003B3476">
        <w:rPr>
          <w:bCs/>
          <w:i/>
        </w:rPr>
        <w:t>d’</w:t>
      </w:r>
      <w:r w:rsidRPr="003B3476">
        <w:rPr>
          <w:i/>
          <w:lang w:val="fr-FR" w:eastAsia="fr-FR" w:bidi="fr-FR"/>
        </w:rPr>
        <w:t>Aureliani</w:t>
      </w:r>
      <w:r w:rsidRPr="003B3476">
        <w:rPr>
          <w:lang w:val="fr-FR" w:eastAsia="fr-FR" w:bidi="fr-FR"/>
        </w:rPr>
        <w:t xml:space="preserve"> cf.</w:t>
      </w:r>
      <w:r w:rsidRPr="003B3476">
        <w:rPr>
          <w:bCs/>
        </w:rPr>
        <w:t xml:space="preserve"> Jacques </w:t>
      </w:r>
      <w:r w:rsidRPr="003B3476">
        <w:rPr>
          <w:bCs/>
          <w:smallCaps/>
        </w:rPr>
        <w:t>Soyer</w:t>
      </w:r>
      <w:r w:rsidRPr="003B3476">
        <w:rPr>
          <w:bCs/>
        </w:rPr>
        <w:t xml:space="preserve">, </w:t>
      </w:r>
      <w:r w:rsidRPr="003B3476">
        <w:rPr>
          <w:i/>
          <w:lang w:val="fr-FR" w:eastAsia="fr-FR" w:bidi="fr-FR"/>
        </w:rPr>
        <w:t>La légende de la fondation d'O</w:t>
      </w:r>
      <w:r w:rsidRPr="003B3476">
        <w:rPr>
          <w:i/>
          <w:lang w:val="fr-FR" w:eastAsia="fr-FR" w:bidi="fr-FR"/>
        </w:rPr>
        <w:t>r</w:t>
      </w:r>
      <w:r w:rsidRPr="003B3476">
        <w:rPr>
          <w:i/>
          <w:lang w:val="fr-FR" w:eastAsia="fr-FR" w:bidi="fr-FR"/>
        </w:rPr>
        <w:t>léans par l'empereur Aurélien</w:t>
      </w:r>
      <w:r w:rsidRPr="003B3476">
        <w:rPr>
          <w:bCs/>
        </w:rPr>
        <w:t xml:space="preserve">, dans </w:t>
      </w:r>
      <w:r w:rsidRPr="003B3476">
        <w:rPr>
          <w:i/>
          <w:lang w:val="fr-FR" w:eastAsia="fr-FR" w:bidi="fr-FR"/>
        </w:rPr>
        <w:t>Mém. Soc. agricult. Orléans</w:t>
      </w:r>
      <w:r w:rsidRPr="003B3476">
        <w:rPr>
          <w:bCs/>
        </w:rPr>
        <w:t>, 5</w:t>
      </w:r>
      <w:r w:rsidRPr="003B3476">
        <w:rPr>
          <w:bCs/>
          <w:vertAlign w:val="superscript"/>
        </w:rPr>
        <w:t>e</w:t>
      </w:r>
      <w:r w:rsidRPr="003B3476">
        <w:rPr>
          <w:bCs/>
        </w:rPr>
        <w:t xml:space="preserve"> série, t. X, 1910, p. 74-88.</w:t>
      </w:r>
    </w:p>
  </w:footnote>
  <w:footnote w:id="528">
    <w:p w14:paraId="1906E74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dans le livre d’Adrien </w:t>
      </w:r>
      <w:r w:rsidRPr="003B3476">
        <w:rPr>
          <w:rStyle w:val="Notedebasdepage65ptPetitesmajuscules"/>
          <w:b w:val="0"/>
          <w:sz w:val="24"/>
        </w:rPr>
        <w:t xml:space="preserve">Blanchet, </w:t>
      </w:r>
      <w:r w:rsidRPr="003B3476">
        <w:rPr>
          <w:bCs/>
          <w:i/>
        </w:rPr>
        <w:t>Les enceintes romaines de la Gaule</w:t>
      </w:r>
      <w:r w:rsidRPr="003B3476">
        <w:rPr>
          <w:bCs/>
        </w:rPr>
        <w:t>,</w:t>
      </w:r>
      <w:r w:rsidRPr="003B3476">
        <w:rPr>
          <w:lang w:val="fr-FR" w:eastAsia="fr-FR" w:bidi="fr-FR"/>
        </w:rPr>
        <w:t xml:space="preserve"> in-8°, Paris, 1907, sur Chartres, p. 67-68, — sur Melun et Meaux, p. 82-85. Pour Chartres </w:t>
      </w:r>
      <w:r w:rsidRPr="003B3476">
        <w:rPr>
          <w:bCs/>
        </w:rPr>
        <w:t>cf.</w:t>
      </w:r>
      <w:r w:rsidRPr="003B3476">
        <w:rPr>
          <w:lang w:val="fr-FR" w:eastAsia="fr-FR" w:bidi="fr-FR"/>
        </w:rPr>
        <w:t xml:space="preserve"> la note suivante.</w:t>
      </w:r>
    </w:p>
  </w:footnote>
  <w:footnote w:id="529">
    <w:p w14:paraId="38E419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Ce que nous savons sur Chartres gallo-romain</w:t>
      </w:r>
      <w:r w:rsidRPr="003B3476">
        <w:rPr>
          <w:bCs/>
        </w:rPr>
        <w:t xml:space="preserve">, dans </w:t>
      </w:r>
      <w:r w:rsidRPr="003B3476">
        <w:rPr>
          <w:i/>
          <w:lang w:val="fr-FR" w:eastAsia="fr-FR" w:bidi="fr-FR"/>
        </w:rPr>
        <w:t>Rev. des Ét. anc</w:t>
      </w:r>
      <w:r w:rsidRPr="003B3476">
        <w:rPr>
          <w:bCs/>
        </w:rPr>
        <w:t>., t. XV, 1913, p. 60-71.</w:t>
      </w:r>
    </w:p>
  </w:footnote>
  <w:footnote w:id="530">
    <w:p w14:paraId="21A90F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Paris à l'époque gallo-romaine. Étude faite à l'aide des papiers et des plans de Th. Vacquer</w:t>
      </w:r>
      <w:r w:rsidRPr="003B3476">
        <w:rPr>
          <w:lang w:val="fr-FR" w:eastAsia="fr-FR" w:bidi="fr-FR"/>
        </w:rPr>
        <w:t xml:space="preserve">. </w:t>
      </w:r>
      <w:r w:rsidRPr="003B3476">
        <w:rPr>
          <w:bCs/>
        </w:rPr>
        <w:t xml:space="preserve">(Collect. de l’Histoire générale de Paris), in-4°, Paris, 1912, </w:t>
      </w:r>
      <w:r w:rsidRPr="003B3476">
        <w:rPr>
          <w:rStyle w:val="Notedebasdepage265ptNonItaliquePetitesmajuscules"/>
          <w:b w:val="0"/>
          <w:i/>
          <w:iCs/>
        </w:rPr>
        <w:t>xlii</w:t>
      </w:r>
      <w:r w:rsidRPr="003B3476">
        <w:rPr>
          <w:rStyle w:val="Notedebasdepage265ptNonItalique"/>
          <w:b w:val="0"/>
          <w:i/>
          <w:iCs/>
        </w:rPr>
        <w:t xml:space="preserve"> -f-</w:t>
      </w:r>
      <w:r w:rsidRPr="003B3476">
        <w:rPr>
          <w:bCs/>
        </w:rPr>
        <w:t xml:space="preserve">192 p., planches et cartes. </w:t>
      </w:r>
      <w:r w:rsidRPr="003B3476">
        <w:rPr>
          <w:lang w:val="fr-FR" w:eastAsia="fr-FR" w:bidi="fr-FR"/>
        </w:rPr>
        <w:t>(</w:t>
      </w:r>
      <w:r w:rsidRPr="003B3476">
        <w:rPr>
          <w:i/>
          <w:lang w:val="fr-FR" w:eastAsia="fr-FR" w:bidi="fr-FR"/>
        </w:rPr>
        <w:t>Cf.</w:t>
      </w:r>
      <w:r w:rsidRPr="003B3476">
        <w:rPr>
          <w:bCs/>
        </w:rPr>
        <w:t xml:space="preserve"> C. </w:t>
      </w:r>
      <w:r w:rsidRPr="003B3476">
        <w:rPr>
          <w:rStyle w:val="Notedebasdepage265ptNonItaliquePetitesmajuscules"/>
          <w:b w:val="0"/>
          <w:iCs/>
          <w:sz w:val="24"/>
        </w:rPr>
        <w:t>Jullian</w:t>
      </w:r>
      <w:r w:rsidRPr="003B3476">
        <w:rPr>
          <w:rStyle w:val="Notedebasdepage265ptNonItaliquePetitesmajuscules"/>
          <w:b w:val="0"/>
          <w:i/>
          <w:iCs/>
          <w:sz w:val="24"/>
        </w:rPr>
        <w:t xml:space="preserve">, </w:t>
      </w:r>
      <w:r w:rsidRPr="003B3476">
        <w:rPr>
          <w:i/>
          <w:lang w:val="fr-FR" w:eastAsia="fr-FR" w:bidi="fr-FR"/>
        </w:rPr>
        <w:t>Les origines de Paris capitale</w:t>
      </w:r>
      <w:r w:rsidRPr="003B3476">
        <w:rPr>
          <w:lang w:val="fr-FR" w:eastAsia="fr-FR" w:bidi="fr-FR"/>
        </w:rPr>
        <w:t>,</w:t>
      </w:r>
      <w:r w:rsidRPr="003B3476">
        <w:rPr>
          <w:bCs/>
        </w:rPr>
        <w:t xml:space="preserve"> dans </w:t>
      </w:r>
      <w:r w:rsidRPr="003B3476">
        <w:rPr>
          <w:i/>
          <w:lang w:val="fr-FR" w:eastAsia="fr-FR" w:bidi="fr-FR"/>
        </w:rPr>
        <w:t>Rev. de Paris</w:t>
      </w:r>
      <w:r w:rsidRPr="003B3476">
        <w:rPr>
          <w:lang w:val="fr-FR" w:eastAsia="fr-FR" w:bidi="fr-FR"/>
        </w:rPr>
        <w:t>,</w:t>
      </w:r>
      <w:r w:rsidRPr="003B3476">
        <w:rPr>
          <w:bCs/>
        </w:rPr>
        <w:t xml:space="preserve"> 1912, t. VI, p. 549-569.)</w:t>
      </w:r>
    </w:p>
  </w:footnote>
  <w:footnote w:id="531">
    <w:p w14:paraId="6DCC3E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Thèse de la Fac. des Lettres de Bordeaux, in-8°, Paris, 1902,199 p. et carte, M. Dubuc, entendant par cité des Suessons le territoire du peuple suesson tel qu’il se présentait avant la conquête romaine, a compris dans son étude la cité des Meldes. </w:t>
      </w:r>
      <w:r w:rsidRPr="003B3476">
        <w:rPr>
          <w:bCs/>
          <w:i/>
        </w:rPr>
        <w:t>Cf.</w:t>
      </w:r>
      <w:r w:rsidRPr="003B3476">
        <w:rPr>
          <w:lang w:val="fr-FR" w:eastAsia="fr-FR" w:bidi="fr-FR"/>
        </w:rPr>
        <w:t xml:space="preserve"> C. </w:t>
      </w:r>
      <w:r w:rsidRPr="003B3476">
        <w:rPr>
          <w:rStyle w:val="Notedebasdepage65ptPetitesmajuscules"/>
          <w:b w:val="0"/>
          <w:sz w:val="24"/>
        </w:rPr>
        <w:t>Jullian,</w:t>
      </w:r>
      <w:r w:rsidRPr="003B3476">
        <w:rPr>
          <w:rStyle w:val="Notedebasdepage65ptPetitesmajuscules"/>
          <w:b w:val="0"/>
        </w:rPr>
        <w:t xml:space="preserve"> </w:t>
      </w:r>
      <w:r w:rsidRPr="003B3476">
        <w:rPr>
          <w:bCs/>
          <w:i/>
        </w:rPr>
        <w:t xml:space="preserve">À propos des </w:t>
      </w:r>
      <w:r w:rsidRPr="003B3476">
        <w:rPr>
          <w:i/>
          <w:lang w:val="fr-FR" w:eastAsia="fr-FR" w:bidi="fr-FR"/>
        </w:rPr>
        <w:t>« </w:t>
      </w:r>
      <w:r w:rsidRPr="003B3476">
        <w:rPr>
          <w:bCs/>
          <w:i/>
        </w:rPr>
        <w:t>Suessiones</w:t>
      </w:r>
      <w:r w:rsidRPr="003B3476">
        <w:rPr>
          <w:i/>
          <w:lang w:val="fr-FR" w:eastAsia="fr-FR" w:bidi="fr-FR"/>
        </w:rPr>
        <w:t> »,</w:t>
      </w:r>
      <w:r w:rsidRPr="003B3476">
        <w:rPr>
          <w:lang w:val="fr-FR" w:eastAsia="fr-FR" w:bidi="fr-FR"/>
        </w:rPr>
        <w:t xml:space="preserve"> dans </w:t>
      </w:r>
      <w:r w:rsidRPr="003B3476">
        <w:rPr>
          <w:bCs/>
          <w:i/>
        </w:rPr>
        <w:t>Rev. des Ét. anc</w:t>
      </w:r>
      <w:r w:rsidRPr="003B3476">
        <w:rPr>
          <w:bCs/>
        </w:rPr>
        <w:t>.,</w:t>
      </w:r>
      <w:r w:rsidRPr="003B3476">
        <w:rPr>
          <w:lang w:val="fr-FR" w:eastAsia="fr-FR" w:bidi="fr-FR"/>
        </w:rPr>
        <w:t xml:space="preserve"> t. V, 1903, p. 28-36.</w:t>
      </w:r>
    </w:p>
  </w:footnote>
  <w:footnote w:id="532">
    <w:p w14:paraId="4F8144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mentionne pour mémoire les deux ouvrages généraux essentiels : Nicolas </w:t>
      </w:r>
      <w:r w:rsidRPr="003B3476">
        <w:rPr>
          <w:rStyle w:val="Notedebasdepage65ptPetitesmajuscules"/>
          <w:b w:val="0"/>
          <w:sz w:val="24"/>
        </w:rPr>
        <w:t xml:space="preserve">Bergier, </w:t>
      </w:r>
      <w:r w:rsidRPr="003B3476">
        <w:rPr>
          <w:bCs/>
          <w:i/>
        </w:rPr>
        <w:t>Histoire des grands chemins de l'empire romain </w:t>
      </w:r>
      <w:r w:rsidRPr="003B3476">
        <w:rPr>
          <w:bCs/>
        </w:rPr>
        <w:t>:</w:t>
      </w:r>
      <w:r w:rsidRPr="003B3476">
        <w:rPr>
          <w:lang w:val="fr-FR" w:eastAsia="fr-FR" w:bidi="fr-FR"/>
        </w:rPr>
        <w:t xml:space="preserve"> la première éd</w:t>
      </w:r>
      <w:r w:rsidRPr="003B3476">
        <w:rPr>
          <w:lang w:val="fr-FR" w:eastAsia="fr-FR" w:bidi="fr-FR"/>
        </w:rPr>
        <w:t>i</w:t>
      </w:r>
      <w:r w:rsidRPr="003B3476">
        <w:rPr>
          <w:lang w:val="fr-FR" w:eastAsia="fr-FR" w:bidi="fr-FR"/>
        </w:rPr>
        <w:t xml:space="preserve">tion in-4°, 856 p., parut à Paris en 1632 ; la dernière est celle de Bruxelles, 2 vol. in-4° ; Alexis </w:t>
      </w:r>
      <w:r w:rsidRPr="003B3476">
        <w:rPr>
          <w:rStyle w:val="Notedebasdepage65ptPetitesmajuscules"/>
          <w:b w:val="0"/>
          <w:sz w:val="24"/>
        </w:rPr>
        <w:t xml:space="preserve">Bertrand, </w:t>
      </w:r>
      <w:r w:rsidRPr="003B3476">
        <w:rPr>
          <w:bCs/>
          <w:i/>
        </w:rPr>
        <w:t>Les voies romaines en Gaule, résumé du travail de la Co</w:t>
      </w:r>
      <w:r w:rsidRPr="003B3476">
        <w:rPr>
          <w:bCs/>
          <w:i/>
        </w:rPr>
        <w:t>m</w:t>
      </w:r>
      <w:r w:rsidRPr="003B3476">
        <w:rPr>
          <w:bCs/>
          <w:i/>
        </w:rPr>
        <w:t>mission de topographie des Gaules</w:t>
      </w:r>
      <w:r w:rsidRPr="003B3476">
        <w:rPr>
          <w:lang w:val="fr-FR" w:eastAsia="fr-FR" w:bidi="fr-FR"/>
        </w:rPr>
        <w:t xml:space="preserve">, dans </w:t>
      </w:r>
      <w:r w:rsidRPr="003B3476">
        <w:rPr>
          <w:bCs/>
          <w:i/>
        </w:rPr>
        <w:t>Rev. archéolog</w:t>
      </w:r>
      <w:r w:rsidRPr="003B3476">
        <w:rPr>
          <w:bCs/>
        </w:rPr>
        <w:t>.,</w:t>
      </w:r>
      <w:r w:rsidRPr="003B3476">
        <w:rPr>
          <w:lang w:val="fr-FR" w:eastAsia="fr-FR" w:bidi="fr-FR"/>
        </w:rPr>
        <w:t xml:space="preserve"> 1863, p. 406-412 et 1863, II, p. 62-79, 148-173, 342-350 et à part (avec le sous-titre, qui indique plus nettement la portée restreinte du travail : </w:t>
      </w:r>
      <w:r w:rsidRPr="003B3476">
        <w:rPr>
          <w:bCs/>
        </w:rPr>
        <w:t>Voies des itinéra</w:t>
      </w:r>
      <w:r w:rsidRPr="003B3476">
        <w:rPr>
          <w:bCs/>
        </w:rPr>
        <w:t>i</w:t>
      </w:r>
      <w:r w:rsidRPr="003B3476">
        <w:rPr>
          <w:bCs/>
        </w:rPr>
        <w:t>res</w:t>
      </w:r>
      <w:r w:rsidRPr="003B3476">
        <w:rPr>
          <w:lang w:val="fr-FR" w:eastAsia="fr-FR" w:bidi="fr-FR"/>
        </w:rPr>
        <w:t>), in-8°, P</w:t>
      </w:r>
      <w:r w:rsidRPr="003B3476">
        <w:rPr>
          <w:lang w:val="fr-FR" w:eastAsia="fr-FR" w:bidi="fr-FR"/>
        </w:rPr>
        <w:t>a</w:t>
      </w:r>
      <w:r w:rsidRPr="003B3476">
        <w:rPr>
          <w:lang w:val="fr-FR" w:eastAsia="fr-FR" w:bidi="fr-FR"/>
        </w:rPr>
        <w:t xml:space="preserve">ris, 1864, 61 p. On consultera aussi le chapitre </w:t>
      </w:r>
      <w:r w:rsidRPr="003B3476">
        <w:rPr>
          <w:bCs/>
        </w:rPr>
        <w:t xml:space="preserve">n </w:t>
      </w:r>
      <w:r w:rsidRPr="003B3476">
        <w:rPr>
          <w:lang w:val="fr-FR" w:eastAsia="fr-FR" w:bidi="fr-FR"/>
        </w:rPr>
        <w:t xml:space="preserve">(p. 21-34) du livre de </w:t>
      </w:r>
      <w:r w:rsidRPr="003B3476">
        <w:rPr>
          <w:bCs/>
        </w:rPr>
        <w:t xml:space="preserve">M. </w:t>
      </w:r>
      <w:r w:rsidRPr="003B3476">
        <w:rPr>
          <w:lang w:val="fr-FR" w:eastAsia="fr-FR" w:bidi="fr-FR"/>
        </w:rPr>
        <w:t xml:space="preserve">de </w:t>
      </w:r>
      <w:r w:rsidRPr="003B3476">
        <w:rPr>
          <w:rStyle w:val="Notedebasdepage65ptPetitesmajuscules"/>
          <w:b w:val="0"/>
          <w:sz w:val="24"/>
        </w:rPr>
        <w:t xml:space="preserve">Pachtère, </w:t>
      </w:r>
      <w:r w:rsidRPr="003B3476">
        <w:rPr>
          <w:lang w:val="fr-FR" w:eastAsia="fr-FR" w:bidi="fr-FR"/>
        </w:rPr>
        <w:t xml:space="preserve">cité p. 744, n. 3, chapitre intitulé </w:t>
      </w:r>
      <w:r w:rsidRPr="003B3476">
        <w:rPr>
          <w:bCs/>
          <w:i/>
        </w:rPr>
        <w:t>Lutèce et ses rel</w:t>
      </w:r>
      <w:r w:rsidRPr="003B3476">
        <w:rPr>
          <w:bCs/>
          <w:i/>
        </w:rPr>
        <w:t>a</w:t>
      </w:r>
      <w:r w:rsidRPr="003B3476">
        <w:rPr>
          <w:bCs/>
          <w:i/>
        </w:rPr>
        <w:t>tions routières à l'époque romaine</w:t>
      </w:r>
      <w:r w:rsidRPr="003B3476">
        <w:rPr>
          <w:i/>
          <w:lang w:val="fr-FR" w:eastAsia="fr-FR" w:bidi="fr-FR"/>
        </w:rPr>
        <w:t>,</w:t>
      </w:r>
      <w:r w:rsidRPr="003B3476">
        <w:rPr>
          <w:lang w:val="fr-FR" w:eastAsia="fr-FR" w:bidi="fr-FR"/>
        </w:rPr>
        <w:t xml:space="preserve"> et les livres de Boisvillette et de Dubuc i</w:t>
      </w:r>
      <w:r w:rsidRPr="003B3476">
        <w:rPr>
          <w:lang w:val="fr-FR" w:eastAsia="fr-FR" w:bidi="fr-FR"/>
        </w:rPr>
        <w:t>n</w:t>
      </w:r>
      <w:r w:rsidRPr="003B3476">
        <w:rPr>
          <w:lang w:val="fr-FR" w:eastAsia="fr-FR" w:bidi="fr-FR"/>
        </w:rPr>
        <w:t xml:space="preserve">diqués plus haut, p. 741, n° 1 et p. 744, n° 4. On se reportera, pour l’indication d’un certain nombre de mentions relatives aux voies romaines de l’Eure-et-Loir, à la </w:t>
      </w:r>
      <w:r w:rsidRPr="003B3476">
        <w:rPr>
          <w:bCs/>
          <w:i/>
        </w:rPr>
        <w:t xml:space="preserve">Table générale </w:t>
      </w:r>
      <w:r w:rsidRPr="003B3476">
        <w:rPr>
          <w:i/>
          <w:lang w:val="fr-FR" w:eastAsia="fr-FR" w:bidi="fr-FR"/>
        </w:rPr>
        <w:t xml:space="preserve">de </w:t>
      </w:r>
      <w:r w:rsidRPr="003B3476">
        <w:rPr>
          <w:bCs/>
          <w:i/>
        </w:rPr>
        <w:t>l'Annuaire du département d'Eure-et-Loir, A</w:t>
      </w:r>
      <w:r w:rsidRPr="003B3476">
        <w:rPr>
          <w:bCs/>
          <w:i/>
        </w:rPr>
        <w:t>n</w:t>
      </w:r>
      <w:r w:rsidRPr="003B3476">
        <w:rPr>
          <w:bCs/>
          <w:i/>
        </w:rPr>
        <w:t>nuaire pour 1907</w:t>
      </w:r>
      <w:r w:rsidRPr="003B3476">
        <w:rPr>
          <w:lang w:val="fr-FR" w:eastAsia="fr-FR" w:bidi="fr-FR"/>
        </w:rPr>
        <w:t xml:space="preserve">, p. 75 de la </w:t>
      </w:r>
      <w:r w:rsidRPr="003B3476">
        <w:rPr>
          <w:bCs/>
          <w:i/>
        </w:rPr>
        <w:t>Table</w:t>
      </w:r>
      <w:r w:rsidRPr="003B3476">
        <w:rPr>
          <w:bCs/>
        </w:rPr>
        <w:t>.</w:t>
      </w:r>
      <w:r w:rsidRPr="003B3476">
        <w:rPr>
          <w:lang w:val="fr-FR" w:eastAsia="fr-FR" w:bidi="fr-FR"/>
        </w:rPr>
        <w:t xml:space="preserve"> Voici maintenant quelques travaux où l’on trouvera groupés des renseignements sur les voies romaines de telle ou telle partie de l’Île-de-France : Alb. </w:t>
      </w:r>
      <w:r w:rsidRPr="003B3476">
        <w:rPr>
          <w:rStyle w:val="Notedebasdepage65ptPetitesmajuscules"/>
          <w:b w:val="0"/>
          <w:sz w:val="24"/>
        </w:rPr>
        <w:t xml:space="preserve">Melaye, </w:t>
      </w:r>
      <w:r w:rsidRPr="003B3476">
        <w:rPr>
          <w:bCs/>
          <w:i/>
        </w:rPr>
        <w:t>Carte des voies romaines dans les départements de Seine-et-Marne, Oise</w:t>
      </w:r>
      <w:r w:rsidRPr="003B3476">
        <w:rPr>
          <w:i/>
          <w:lang w:val="fr-FR" w:eastAsia="fr-FR" w:bidi="fr-FR"/>
        </w:rPr>
        <w:t xml:space="preserve">, </w:t>
      </w:r>
      <w:r w:rsidRPr="003B3476">
        <w:rPr>
          <w:bCs/>
          <w:i/>
        </w:rPr>
        <w:t>et les départements limitrophes</w:t>
      </w:r>
      <w:r w:rsidRPr="003B3476">
        <w:rPr>
          <w:i/>
          <w:lang w:val="fr-FR" w:eastAsia="fr-FR" w:bidi="fr-FR"/>
        </w:rPr>
        <w:t xml:space="preserve">, dans </w:t>
      </w:r>
      <w:r w:rsidRPr="003B3476">
        <w:rPr>
          <w:bCs/>
          <w:i/>
        </w:rPr>
        <w:t>Bulletin</w:t>
      </w:r>
      <w:r w:rsidRPr="003B3476">
        <w:rPr>
          <w:bCs/>
        </w:rPr>
        <w:t xml:space="preserve"> de la </w:t>
      </w:r>
      <w:r w:rsidRPr="003B3476">
        <w:rPr>
          <w:bCs/>
          <w:i/>
        </w:rPr>
        <w:t>Soc. littér. et liistor. de la Brie</w:t>
      </w:r>
      <w:r w:rsidRPr="003B3476">
        <w:rPr>
          <w:lang w:val="fr-FR" w:eastAsia="fr-FR" w:bidi="fr-FR"/>
        </w:rPr>
        <w:t>, t. III, fasc. 2, in-8°, 32 p. et carte (n’indique pas ses sou</w:t>
      </w:r>
      <w:r w:rsidRPr="003B3476">
        <w:rPr>
          <w:lang w:val="fr-FR" w:eastAsia="fr-FR" w:bidi="fr-FR"/>
        </w:rPr>
        <w:t>r</w:t>
      </w:r>
      <w:r w:rsidRPr="003B3476">
        <w:rPr>
          <w:lang w:val="fr-FR" w:eastAsia="fr-FR" w:bidi="fr-FR"/>
        </w:rPr>
        <w:t xml:space="preserve">ces) ; A. </w:t>
      </w:r>
      <w:r w:rsidRPr="003B3476">
        <w:rPr>
          <w:rStyle w:val="Notedebasdepage65ptPetitesmajuscules"/>
          <w:b w:val="0"/>
          <w:sz w:val="24"/>
        </w:rPr>
        <w:t xml:space="preserve">Hugues, </w:t>
      </w:r>
      <w:r w:rsidRPr="003B3476">
        <w:rPr>
          <w:bCs/>
          <w:i/>
        </w:rPr>
        <w:t>Les routes de Seine-et-Marne avant 1789</w:t>
      </w:r>
      <w:r w:rsidRPr="003B3476">
        <w:rPr>
          <w:lang w:val="fr-FR" w:eastAsia="fr-FR" w:bidi="fr-FR"/>
        </w:rPr>
        <w:t xml:space="preserve">, in-8°, Melun, 88 p. et carte ; </w:t>
      </w:r>
      <w:r w:rsidRPr="003B3476">
        <w:rPr>
          <w:rStyle w:val="Notedebasdepage65ptPetitesmajuscules"/>
          <w:b w:val="0"/>
          <w:sz w:val="24"/>
        </w:rPr>
        <w:t xml:space="preserve">[Graves], </w:t>
      </w:r>
      <w:r w:rsidRPr="003B3476">
        <w:rPr>
          <w:bCs/>
          <w:i/>
        </w:rPr>
        <w:t>Notice archéologique sur le département de l'Oise</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w:t>
      </w:r>
      <w:r w:rsidRPr="003B3476">
        <w:rPr>
          <w:bCs/>
          <w:i/>
        </w:rPr>
        <w:t>A</w:t>
      </w:r>
      <w:r w:rsidRPr="003B3476">
        <w:rPr>
          <w:bCs/>
          <w:i/>
        </w:rPr>
        <w:t>n</w:t>
      </w:r>
      <w:r w:rsidRPr="003B3476">
        <w:rPr>
          <w:bCs/>
          <w:i/>
        </w:rPr>
        <w:t>nuaire du département de l'Oise pour 1856</w:t>
      </w:r>
      <w:r w:rsidRPr="003B3476">
        <w:rPr>
          <w:i/>
          <w:lang w:val="fr-FR" w:eastAsia="fr-FR" w:bidi="fr-FR"/>
        </w:rPr>
        <w:t xml:space="preserve"> et à part</w:t>
      </w:r>
      <w:r w:rsidRPr="003B3476">
        <w:rPr>
          <w:lang w:val="fr-FR" w:eastAsia="fr-FR" w:bidi="fr-FR"/>
        </w:rPr>
        <w:t xml:space="preserve">, in-8°, Beauvais, 1856, p. 198-211 (pour les voies romaines au Nord de Paris, même en dehors du département de l’Oise) ; A. </w:t>
      </w:r>
      <w:r w:rsidRPr="003B3476">
        <w:rPr>
          <w:rStyle w:val="Notedebasdepage65ptPetitesmajuscules"/>
          <w:b w:val="0"/>
          <w:sz w:val="24"/>
        </w:rPr>
        <w:t xml:space="preserve">Dutilleux, </w:t>
      </w:r>
      <w:r w:rsidRPr="003B3476">
        <w:rPr>
          <w:bCs/>
          <w:i/>
        </w:rPr>
        <w:t>Reche</w:t>
      </w:r>
      <w:r w:rsidRPr="003B3476">
        <w:rPr>
          <w:bCs/>
          <w:i/>
        </w:rPr>
        <w:t>r</w:t>
      </w:r>
      <w:r w:rsidRPr="003B3476">
        <w:rPr>
          <w:bCs/>
          <w:i/>
        </w:rPr>
        <w:t>ches sur les routes anciennes dans le département de Seine-et-Oise</w:t>
      </w:r>
      <w:r w:rsidRPr="003B3476">
        <w:rPr>
          <w:bCs/>
        </w:rPr>
        <w:t>,</w:t>
      </w:r>
      <w:r w:rsidRPr="003B3476">
        <w:rPr>
          <w:lang w:val="fr-FR" w:eastAsia="fr-FR" w:bidi="fr-FR"/>
        </w:rPr>
        <w:t xml:space="preserve"> dans </w:t>
      </w:r>
      <w:r w:rsidRPr="003B3476">
        <w:rPr>
          <w:bCs/>
          <w:i/>
        </w:rPr>
        <w:t>A</w:t>
      </w:r>
      <w:r w:rsidRPr="003B3476">
        <w:rPr>
          <w:bCs/>
          <w:i/>
        </w:rPr>
        <w:t>n</w:t>
      </w:r>
      <w:r w:rsidRPr="003B3476">
        <w:rPr>
          <w:bCs/>
          <w:i/>
        </w:rPr>
        <w:t>nuaire du département de Seine-et-Oise pour 1881</w:t>
      </w:r>
      <w:r w:rsidRPr="003B3476">
        <w:rPr>
          <w:bCs/>
        </w:rPr>
        <w:t>,</w:t>
      </w:r>
      <w:r w:rsidRPr="003B3476">
        <w:rPr>
          <w:lang w:val="fr-FR" w:eastAsia="fr-FR" w:bidi="fr-FR"/>
        </w:rPr>
        <w:t xml:space="preserve"> p. 493-557 et à part in-8°, Versailles vii + 94, p. (utilise surtout des rapports d’agents-voyers) ; P. </w:t>
      </w:r>
      <w:r w:rsidRPr="003B3476">
        <w:rPr>
          <w:rStyle w:val="Notedebasdepage65ptPetitesmajuscules"/>
          <w:b w:val="0"/>
          <w:sz w:val="24"/>
        </w:rPr>
        <w:t xml:space="preserve">Le Roy, </w:t>
      </w:r>
      <w:r w:rsidRPr="003B3476">
        <w:rPr>
          <w:bCs/>
          <w:i/>
        </w:rPr>
        <w:t>Notes sur la topographie du Gastinois aux époques celtique et gallo-romaine, en ce qui concerne plus particulièrement l'arrondissement de Mo</w:t>
      </w:r>
      <w:r w:rsidRPr="003B3476">
        <w:rPr>
          <w:bCs/>
          <w:i/>
        </w:rPr>
        <w:t>n</w:t>
      </w:r>
      <w:r w:rsidRPr="003B3476">
        <w:rPr>
          <w:bCs/>
          <w:i/>
        </w:rPr>
        <w:t>targis</w:t>
      </w:r>
      <w:r w:rsidRPr="003B3476">
        <w:rPr>
          <w:bCs/>
        </w:rPr>
        <w:t>,</w:t>
      </w:r>
      <w:r w:rsidRPr="003B3476">
        <w:rPr>
          <w:lang w:val="fr-FR" w:eastAsia="fr-FR" w:bidi="fr-FR"/>
        </w:rPr>
        <w:t xml:space="preserve"> dans </w:t>
      </w:r>
      <w:r w:rsidRPr="003B3476">
        <w:rPr>
          <w:bCs/>
          <w:i/>
        </w:rPr>
        <w:t>Ann. Soc. histor. Gâtinais</w:t>
      </w:r>
      <w:r w:rsidRPr="003B3476">
        <w:rPr>
          <w:bCs/>
        </w:rPr>
        <w:t>,</w:t>
      </w:r>
      <w:r w:rsidRPr="003B3476">
        <w:rPr>
          <w:lang w:val="fr-FR" w:eastAsia="fr-FR" w:bidi="fr-FR"/>
        </w:rPr>
        <w:t xml:space="preserve"> t. I, 1883, p. 65-78 ; A. de </w:t>
      </w:r>
      <w:r w:rsidRPr="003B3476">
        <w:rPr>
          <w:rStyle w:val="Notedebasdepage65ptPetitesmajuscules"/>
          <w:b w:val="0"/>
          <w:sz w:val="24"/>
        </w:rPr>
        <w:t xml:space="preserve">Dion, </w:t>
      </w:r>
      <w:r w:rsidRPr="003B3476">
        <w:rPr>
          <w:bCs/>
          <w:i/>
        </w:rPr>
        <w:t>Les anciens chemins de l'Iveline et du comté de Montfort</w:t>
      </w:r>
      <w:r w:rsidRPr="003B3476">
        <w:rPr>
          <w:bCs/>
        </w:rPr>
        <w:t>,</w:t>
      </w:r>
      <w:r w:rsidRPr="003B3476">
        <w:rPr>
          <w:lang w:val="fr-FR" w:eastAsia="fr-FR" w:bidi="fr-FR"/>
        </w:rPr>
        <w:t xml:space="preserve"> dans </w:t>
      </w:r>
      <w:r w:rsidRPr="003B3476">
        <w:rPr>
          <w:bCs/>
        </w:rPr>
        <w:t>Mém</w:t>
      </w:r>
      <w:r w:rsidRPr="003B3476">
        <w:rPr>
          <w:bCs/>
          <w:i/>
        </w:rPr>
        <w:t>. Soc. a</w:t>
      </w:r>
      <w:r w:rsidRPr="003B3476">
        <w:rPr>
          <w:bCs/>
          <w:i/>
        </w:rPr>
        <w:t>r</w:t>
      </w:r>
      <w:r w:rsidRPr="003B3476">
        <w:rPr>
          <w:bCs/>
          <w:i/>
        </w:rPr>
        <w:t>chéol. Rambouillet</w:t>
      </w:r>
      <w:r w:rsidRPr="003B3476">
        <w:rPr>
          <w:bCs/>
        </w:rPr>
        <w:t>,</w:t>
      </w:r>
      <w:r w:rsidRPr="003B3476">
        <w:rPr>
          <w:lang w:val="fr-FR" w:eastAsia="fr-FR" w:bidi="fr-FR"/>
        </w:rPr>
        <w:t xml:space="preserve"> t. I, 1870-72, p. 217-228 et </w:t>
      </w:r>
      <w:r w:rsidRPr="003B3476">
        <w:rPr>
          <w:bCs/>
        </w:rPr>
        <w:t>Mém. Soc. archéol. Eure-et-Loir,</w:t>
      </w:r>
      <w:r w:rsidRPr="003B3476">
        <w:rPr>
          <w:lang w:val="fr-FR" w:eastAsia="fr-FR" w:bidi="fr-FR"/>
        </w:rPr>
        <w:t xml:space="preserve"> t. V, 1872, p. 269-277. Les travaux suivants traitent, non plus des voies romaines d’une région, mais chacun d’une voie romaine déterminée. Pour les voies Paris-Orléans et Chartres-Orléans : </w:t>
      </w:r>
      <w:r w:rsidRPr="003B3476">
        <w:rPr>
          <w:rStyle w:val="Notedebasdepage65ptPetitesmajuscules"/>
          <w:b w:val="0"/>
          <w:sz w:val="24"/>
        </w:rPr>
        <w:t xml:space="preserve">Lancelot, </w:t>
      </w:r>
      <w:r w:rsidRPr="003B3476">
        <w:rPr>
          <w:bCs/>
          <w:i/>
        </w:rPr>
        <w:t>Dissertation sur Gen</w:t>
      </w:r>
      <w:r w:rsidRPr="003B3476">
        <w:rPr>
          <w:bCs/>
          <w:i/>
        </w:rPr>
        <w:t>a</w:t>
      </w:r>
      <w:r w:rsidRPr="003B3476">
        <w:rPr>
          <w:bCs/>
          <w:i/>
        </w:rPr>
        <w:t>bum, ancienne ville du pays des Carnutes ou Chartrains</w:t>
      </w:r>
      <w:r w:rsidRPr="003B3476">
        <w:rPr>
          <w:bCs/>
        </w:rPr>
        <w:t>,</w:t>
      </w:r>
      <w:r w:rsidRPr="003B3476">
        <w:rPr>
          <w:lang w:val="fr-FR" w:eastAsia="fr-FR" w:bidi="fr-FR"/>
        </w:rPr>
        <w:t xml:space="preserve"> dans </w:t>
      </w:r>
      <w:r w:rsidRPr="003B3476">
        <w:rPr>
          <w:bCs/>
          <w:i/>
        </w:rPr>
        <w:t>Mém. Acad. Inscriptions</w:t>
      </w:r>
      <w:r w:rsidRPr="003B3476">
        <w:rPr>
          <w:bCs/>
        </w:rPr>
        <w:t>,</w:t>
      </w:r>
      <w:r w:rsidRPr="003B3476">
        <w:rPr>
          <w:lang w:val="fr-FR" w:eastAsia="fr-FR" w:bidi="fr-FR"/>
        </w:rPr>
        <w:t xml:space="preserve"> t. VIII, 1733, p. 450-464. Pour la voie Chartres-Orléans : Carolus </w:t>
      </w:r>
      <w:r w:rsidRPr="003B3476">
        <w:rPr>
          <w:rStyle w:val="Notedebasdepage65ptPetitesmajuscules"/>
          <w:b w:val="0"/>
          <w:sz w:val="24"/>
        </w:rPr>
        <w:t xml:space="preserve">Molinaeus </w:t>
      </w:r>
      <w:r w:rsidRPr="003B3476">
        <w:rPr>
          <w:lang w:val="fr-FR" w:eastAsia="fr-FR" w:bidi="fr-FR"/>
        </w:rPr>
        <w:t xml:space="preserve">(Charles du Moulin), </w:t>
      </w:r>
      <w:r w:rsidRPr="003B3476">
        <w:rPr>
          <w:bCs/>
          <w:i/>
        </w:rPr>
        <w:t>Commentarii in Consuetudines Parisienses</w:t>
      </w:r>
      <w:r w:rsidRPr="003B3476">
        <w:rPr>
          <w:bCs/>
        </w:rPr>
        <w:t>,</w:t>
      </w:r>
      <w:r w:rsidRPr="003B3476">
        <w:rPr>
          <w:lang w:val="fr-FR" w:eastAsia="fr-FR" w:bidi="fr-FR"/>
        </w:rPr>
        <w:t xml:space="preserve"> tit. I, gl. 3,30, éd. de 1526, t. I, in-fol., Paris, p. 41 ; de </w:t>
      </w:r>
      <w:r w:rsidRPr="003B3476">
        <w:rPr>
          <w:rStyle w:val="Notedebasdepage65ptPetitesmajuscules"/>
          <w:b w:val="0"/>
          <w:sz w:val="24"/>
        </w:rPr>
        <w:t xml:space="preserve">Caylus, </w:t>
      </w:r>
      <w:r w:rsidRPr="003B3476">
        <w:rPr>
          <w:bCs/>
          <w:i/>
        </w:rPr>
        <w:t>Recueil d'a</w:t>
      </w:r>
      <w:r w:rsidRPr="003B3476">
        <w:rPr>
          <w:bCs/>
          <w:i/>
        </w:rPr>
        <w:t>n</w:t>
      </w:r>
      <w:r w:rsidRPr="003B3476">
        <w:rPr>
          <w:bCs/>
          <w:i/>
        </w:rPr>
        <w:t>tiquités</w:t>
      </w:r>
      <w:r w:rsidRPr="003B3476">
        <w:rPr>
          <w:bCs/>
        </w:rPr>
        <w:t>,</w:t>
      </w:r>
      <w:r w:rsidRPr="003B3476">
        <w:rPr>
          <w:lang w:val="fr-FR" w:eastAsia="fr-FR" w:bidi="fr-FR"/>
        </w:rPr>
        <w:t xml:space="preserve"> t. IV, in-4°, Paris, 1761, p. 378-381 et pl. CXIV ; de </w:t>
      </w:r>
      <w:r w:rsidRPr="003B3476">
        <w:rPr>
          <w:rStyle w:val="Notedebasdepage65ptPetitesmajuscules"/>
          <w:b w:val="0"/>
          <w:sz w:val="24"/>
        </w:rPr>
        <w:t xml:space="preserve">Torquat, </w:t>
      </w:r>
      <w:r w:rsidRPr="003B3476">
        <w:rPr>
          <w:bCs/>
          <w:i/>
        </w:rPr>
        <w:t>Not</w:t>
      </w:r>
      <w:r w:rsidRPr="003B3476">
        <w:rPr>
          <w:bCs/>
          <w:i/>
        </w:rPr>
        <w:t>i</w:t>
      </w:r>
      <w:r w:rsidRPr="003B3476">
        <w:rPr>
          <w:bCs/>
          <w:i/>
        </w:rPr>
        <w:t>ce historique et archéologique sur la baronnie de Chevilly</w:t>
      </w:r>
      <w:r w:rsidRPr="003B3476">
        <w:rPr>
          <w:bCs/>
        </w:rPr>
        <w:t xml:space="preserve"> (Loiret),</w:t>
      </w:r>
      <w:r w:rsidRPr="003B3476">
        <w:rPr>
          <w:lang w:val="fr-FR" w:eastAsia="fr-FR" w:bidi="fr-FR"/>
        </w:rPr>
        <w:t xml:space="preserve"> dans </w:t>
      </w:r>
      <w:r w:rsidRPr="003B3476">
        <w:rPr>
          <w:bCs/>
          <w:i/>
        </w:rPr>
        <w:t>Mém. Soc. archéolog. Orléanais</w:t>
      </w:r>
      <w:r w:rsidRPr="003B3476">
        <w:rPr>
          <w:lang w:val="fr-FR" w:eastAsia="fr-FR" w:bidi="fr-FR"/>
        </w:rPr>
        <w:t xml:space="preserve">, t. XI, 1868, p. 372 ; de </w:t>
      </w:r>
      <w:r w:rsidRPr="003B3476">
        <w:rPr>
          <w:rStyle w:val="Notedebasdepage65ptPetitesmajuscules"/>
          <w:b w:val="0"/>
          <w:sz w:val="24"/>
        </w:rPr>
        <w:t xml:space="preserve">Torquat, </w:t>
      </w:r>
      <w:r w:rsidRPr="003B3476">
        <w:rPr>
          <w:bCs/>
          <w:i/>
        </w:rPr>
        <w:t>Découve</w:t>
      </w:r>
      <w:r w:rsidRPr="003B3476">
        <w:rPr>
          <w:bCs/>
          <w:i/>
        </w:rPr>
        <w:t>r</w:t>
      </w:r>
      <w:r w:rsidRPr="003B3476">
        <w:rPr>
          <w:bCs/>
          <w:i/>
        </w:rPr>
        <w:t>tes faites au chemin dit de César, entre la Croix-Briquet et Artenay</w:t>
      </w:r>
      <w:r w:rsidRPr="003B3476">
        <w:rPr>
          <w:bCs/>
        </w:rPr>
        <w:t>,</w:t>
      </w:r>
      <w:r w:rsidRPr="003B3476">
        <w:rPr>
          <w:lang w:val="fr-FR" w:eastAsia="fr-FR" w:bidi="fr-FR"/>
        </w:rPr>
        <w:t xml:space="preserve"> dans </w:t>
      </w:r>
      <w:r w:rsidRPr="003B3476">
        <w:rPr>
          <w:bCs/>
          <w:i/>
        </w:rPr>
        <w:t>Bu</w:t>
      </w:r>
      <w:r w:rsidRPr="003B3476">
        <w:rPr>
          <w:bCs/>
          <w:i/>
        </w:rPr>
        <w:t>l</w:t>
      </w:r>
      <w:r w:rsidRPr="003B3476">
        <w:rPr>
          <w:bCs/>
          <w:i/>
        </w:rPr>
        <w:t>let. Soc. archéol. Orléanais</w:t>
      </w:r>
      <w:r w:rsidRPr="003B3476">
        <w:rPr>
          <w:bCs/>
        </w:rPr>
        <w:t>,</w:t>
      </w:r>
      <w:r w:rsidRPr="003B3476">
        <w:rPr>
          <w:lang w:val="fr-FR" w:eastAsia="fr-FR" w:bidi="fr-FR"/>
        </w:rPr>
        <w:t xml:space="preserve"> t. XI, 1868-73, p. 310-314. Pour la voie Le Mans-Sens, </w:t>
      </w:r>
      <w:r w:rsidRPr="003B3476">
        <w:rPr>
          <w:rStyle w:val="Notedebasdepage65ptPetitesmajuscules"/>
          <w:b w:val="0"/>
          <w:sz w:val="24"/>
        </w:rPr>
        <w:t xml:space="preserve">Vergnaud-Romagnési, </w:t>
      </w:r>
      <w:r w:rsidRPr="003B3476">
        <w:rPr>
          <w:bCs/>
          <w:i/>
        </w:rPr>
        <w:t>Mémoire sur des monnaies gauloises trouvées près d'Art</w:t>
      </w:r>
      <w:r w:rsidRPr="003B3476">
        <w:rPr>
          <w:bCs/>
          <w:i/>
        </w:rPr>
        <w:t>e</w:t>
      </w:r>
      <w:r w:rsidRPr="003B3476">
        <w:rPr>
          <w:bCs/>
          <w:i/>
        </w:rPr>
        <w:t>nay (Loiret),</w:t>
      </w:r>
      <w:r w:rsidRPr="003B3476">
        <w:rPr>
          <w:lang w:val="fr-FR" w:eastAsia="fr-FR" w:bidi="fr-FR"/>
        </w:rPr>
        <w:t xml:space="preserve"> dans </w:t>
      </w:r>
      <w:r w:rsidRPr="003B3476">
        <w:rPr>
          <w:bCs/>
          <w:i/>
        </w:rPr>
        <w:t>Rev. numismatique</w:t>
      </w:r>
      <w:r w:rsidRPr="003B3476">
        <w:rPr>
          <w:bCs/>
        </w:rPr>
        <w:t>,</w:t>
      </w:r>
      <w:r w:rsidRPr="003B3476">
        <w:rPr>
          <w:lang w:val="fr-FR" w:eastAsia="fr-FR" w:bidi="fr-FR"/>
        </w:rPr>
        <w:t xml:space="preserve"> t. I, 1836, p. 384. Pour la voie Paris-Rouen par Pontoise : abbé </w:t>
      </w:r>
      <w:r w:rsidRPr="003B3476">
        <w:rPr>
          <w:rStyle w:val="Notedebasdepage65ptPetitesmajuscules"/>
          <w:b w:val="0"/>
          <w:sz w:val="24"/>
        </w:rPr>
        <w:t xml:space="preserve">Belley, </w:t>
      </w:r>
      <w:r w:rsidRPr="003B3476">
        <w:rPr>
          <w:bCs/>
          <w:i/>
        </w:rPr>
        <w:t>Mémoire sur une voie romaine qui conduisoit de l'embouchure de la Seine à Paris</w:t>
      </w:r>
      <w:r w:rsidRPr="003B3476">
        <w:rPr>
          <w:bCs/>
        </w:rPr>
        <w:t>,</w:t>
      </w:r>
      <w:r w:rsidRPr="003B3476">
        <w:rPr>
          <w:lang w:val="fr-FR" w:eastAsia="fr-FR" w:bidi="fr-FR"/>
        </w:rPr>
        <w:t xml:space="preserve"> dans </w:t>
      </w:r>
      <w:r w:rsidRPr="003B3476">
        <w:rPr>
          <w:bCs/>
          <w:i/>
        </w:rPr>
        <w:t>Mém. Acad. Inscri</w:t>
      </w:r>
      <w:r w:rsidRPr="003B3476">
        <w:rPr>
          <w:bCs/>
          <w:i/>
        </w:rPr>
        <w:t>p</w:t>
      </w:r>
      <w:r w:rsidRPr="003B3476">
        <w:rPr>
          <w:bCs/>
          <w:i/>
        </w:rPr>
        <w:t>tions</w:t>
      </w:r>
      <w:r w:rsidRPr="003B3476">
        <w:rPr>
          <w:bCs/>
        </w:rPr>
        <w:t>,</w:t>
      </w:r>
      <w:r w:rsidRPr="003B3476">
        <w:rPr>
          <w:lang w:val="fr-FR" w:eastAsia="fr-FR" w:bidi="fr-FR"/>
        </w:rPr>
        <w:t xml:space="preserve"> t. XIX, 1753, p. 648-671 ; Ch. </w:t>
      </w:r>
      <w:r w:rsidRPr="003B3476">
        <w:rPr>
          <w:rStyle w:val="Notedebasdepage65ptPetitesmajuscules"/>
          <w:b w:val="0"/>
          <w:sz w:val="24"/>
        </w:rPr>
        <w:t xml:space="preserve">Magne, </w:t>
      </w:r>
      <w:r w:rsidRPr="003B3476">
        <w:rPr>
          <w:bCs/>
          <w:i/>
        </w:rPr>
        <w:t>Note sur les fouilles de l'église d'Ermont</w:t>
      </w:r>
      <w:r w:rsidRPr="003B3476">
        <w:rPr>
          <w:bCs/>
        </w:rPr>
        <w:t>,</w:t>
      </w:r>
      <w:r w:rsidRPr="003B3476">
        <w:rPr>
          <w:lang w:val="fr-FR" w:eastAsia="fr-FR" w:bidi="fr-FR"/>
        </w:rPr>
        <w:t xml:space="preserve"> dans </w:t>
      </w:r>
      <w:r w:rsidRPr="003B3476">
        <w:rPr>
          <w:bCs/>
          <w:i/>
        </w:rPr>
        <w:t>Bullet. archéol. du Com. des trav. histor.,</w:t>
      </w:r>
      <w:r w:rsidRPr="003B3476">
        <w:rPr>
          <w:i/>
          <w:lang w:val="fr-FR" w:eastAsia="fr-FR" w:bidi="fr-FR"/>
        </w:rPr>
        <w:t xml:space="preserve"> 1886</w:t>
      </w:r>
      <w:r w:rsidRPr="003B3476">
        <w:rPr>
          <w:lang w:val="fr-FR" w:eastAsia="fr-FR" w:bidi="fr-FR"/>
        </w:rPr>
        <w:t xml:space="preserve">, p. 414-419 ; J. </w:t>
      </w:r>
      <w:r w:rsidRPr="003B3476">
        <w:rPr>
          <w:rStyle w:val="Notedebasdepage65ptPetitesmajuscules"/>
          <w:b w:val="0"/>
          <w:sz w:val="24"/>
        </w:rPr>
        <w:t xml:space="preserve">Depoin, </w:t>
      </w:r>
      <w:r w:rsidRPr="003B3476">
        <w:rPr>
          <w:bCs/>
          <w:i/>
        </w:rPr>
        <w:t>La Chaussée dite de Jules César et sa véritable origine,</w:t>
      </w:r>
      <w:r w:rsidRPr="003B3476">
        <w:rPr>
          <w:i/>
          <w:lang w:val="fr-FR" w:eastAsia="fr-FR" w:bidi="fr-FR"/>
        </w:rPr>
        <w:t xml:space="preserve"> dans </w:t>
      </w:r>
      <w:r w:rsidRPr="003B3476">
        <w:rPr>
          <w:bCs/>
          <w:i/>
        </w:rPr>
        <w:t>Co</w:t>
      </w:r>
      <w:r w:rsidRPr="003B3476">
        <w:rPr>
          <w:bCs/>
          <w:i/>
        </w:rPr>
        <w:t>m</w:t>
      </w:r>
      <w:r w:rsidRPr="003B3476">
        <w:rPr>
          <w:bCs/>
          <w:i/>
        </w:rPr>
        <w:t>miss. des antiquit. et arts de Seine-et-Oise</w:t>
      </w:r>
      <w:r w:rsidRPr="003B3476">
        <w:rPr>
          <w:bCs/>
        </w:rPr>
        <w:t xml:space="preserve">, </w:t>
      </w:r>
      <w:r w:rsidRPr="003B3476">
        <w:rPr>
          <w:lang w:val="fr-FR" w:eastAsia="fr-FR" w:bidi="fr-FR"/>
        </w:rPr>
        <w:t>t. XXIX, 1909, p. 100-120 (attr</w:t>
      </w:r>
      <w:r w:rsidRPr="003B3476">
        <w:rPr>
          <w:lang w:val="fr-FR" w:eastAsia="fr-FR" w:bidi="fr-FR"/>
        </w:rPr>
        <w:t>i</w:t>
      </w:r>
      <w:r w:rsidRPr="003B3476">
        <w:rPr>
          <w:lang w:val="fr-FR" w:eastAsia="fr-FR" w:bidi="fr-FR"/>
        </w:rPr>
        <w:t xml:space="preserve">bue assez bizarrement la construction de cette route à l’empereur Julien). Pour les communications de Paris avec le Nord : abbé </w:t>
      </w:r>
      <w:r w:rsidRPr="003B3476">
        <w:rPr>
          <w:rStyle w:val="Notedebasdepage65ptPetitesmajuscules"/>
          <w:b w:val="0"/>
          <w:sz w:val="24"/>
        </w:rPr>
        <w:t xml:space="preserve">Caudel, </w:t>
      </w:r>
      <w:r w:rsidRPr="003B3476">
        <w:rPr>
          <w:bCs/>
          <w:i/>
        </w:rPr>
        <w:t>Études sur les pri</w:t>
      </w:r>
      <w:r w:rsidRPr="003B3476">
        <w:rPr>
          <w:bCs/>
          <w:i/>
        </w:rPr>
        <w:t>n</w:t>
      </w:r>
      <w:r w:rsidRPr="003B3476">
        <w:rPr>
          <w:bCs/>
          <w:i/>
        </w:rPr>
        <w:t>cipales voies romaines et gallo-romaines partant de Senlis</w:t>
      </w:r>
      <w:r w:rsidRPr="003B3476">
        <w:rPr>
          <w:bCs/>
        </w:rPr>
        <w:t>,</w:t>
      </w:r>
      <w:r w:rsidRPr="003B3476">
        <w:rPr>
          <w:lang w:val="fr-FR" w:eastAsia="fr-FR" w:bidi="fr-FR"/>
        </w:rPr>
        <w:t xml:space="preserve"> dans </w:t>
      </w:r>
      <w:r w:rsidRPr="003B3476">
        <w:rPr>
          <w:bCs/>
          <w:i/>
        </w:rPr>
        <w:t>Congrès a</w:t>
      </w:r>
      <w:r w:rsidRPr="003B3476">
        <w:rPr>
          <w:bCs/>
          <w:i/>
        </w:rPr>
        <w:t>r</w:t>
      </w:r>
      <w:r w:rsidRPr="003B3476">
        <w:rPr>
          <w:bCs/>
          <w:i/>
        </w:rPr>
        <w:t>chéol</w:t>
      </w:r>
      <w:r w:rsidRPr="003B3476">
        <w:rPr>
          <w:bCs/>
        </w:rPr>
        <w:t>.,</w:t>
      </w:r>
      <w:r w:rsidRPr="003B3476">
        <w:rPr>
          <w:lang w:val="fr-FR" w:eastAsia="fr-FR" w:bidi="fr-FR"/>
        </w:rPr>
        <w:t xml:space="preserve"> t. XLIV, 1877, p. 396-432 ; A. </w:t>
      </w:r>
      <w:r w:rsidRPr="003B3476">
        <w:rPr>
          <w:rStyle w:val="Notedebasdepage65ptPetitesmajuscules"/>
          <w:b w:val="0"/>
          <w:sz w:val="24"/>
        </w:rPr>
        <w:t xml:space="preserve">Longnon, </w:t>
      </w:r>
      <w:r w:rsidRPr="003B3476">
        <w:rPr>
          <w:bCs/>
          <w:i/>
        </w:rPr>
        <w:t>Note sur les voies romaines de Paris à Reims</w:t>
      </w:r>
      <w:r w:rsidRPr="003B3476">
        <w:rPr>
          <w:bCs/>
        </w:rPr>
        <w:t>,</w:t>
      </w:r>
      <w:r w:rsidRPr="003B3476">
        <w:rPr>
          <w:lang w:val="fr-FR" w:eastAsia="fr-FR" w:bidi="fr-FR"/>
        </w:rPr>
        <w:t xml:space="preserve"> dans </w:t>
      </w:r>
      <w:r w:rsidRPr="003B3476">
        <w:rPr>
          <w:bCs/>
          <w:i/>
        </w:rPr>
        <w:t>Rev. archéol</w:t>
      </w:r>
      <w:r w:rsidRPr="003B3476">
        <w:rPr>
          <w:bCs/>
        </w:rPr>
        <w:t xml:space="preserve">., </w:t>
      </w:r>
      <w:r w:rsidRPr="003B3476">
        <w:rPr>
          <w:lang w:val="fr-FR" w:eastAsia="fr-FR" w:bidi="fr-FR"/>
        </w:rPr>
        <w:t xml:space="preserve">nouv. série, t. XXXIX, 1880, p. 301-304 et </w:t>
      </w:r>
      <w:r w:rsidRPr="003B3476">
        <w:rPr>
          <w:bCs/>
          <w:i/>
        </w:rPr>
        <w:t>Bullet. Soc. hist. Paris</w:t>
      </w:r>
      <w:r w:rsidRPr="003B3476">
        <w:rPr>
          <w:bCs/>
        </w:rPr>
        <w:t>,</w:t>
      </w:r>
      <w:r w:rsidRPr="003B3476">
        <w:rPr>
          <w:lang w:val="fr-FR" w:eastAsia="fr-FR" w:bidi="fr-FR"/>
        </w:rPr>
        <w:t xml:space="preserve"> t. VIII, 1881, p. 52-55, avec carte. Pour les voies partant de Meaux : abbé </w:t>
      </w:r>
      <w:r w:rsidRPr="003B3476">
        <w:rPr>
          <w:rStyle w:val="Notedebasdepage65ptPetitesmajuscules"/>
          <w:b w:val="0"/>
          <w:sz w:val="24"/>
        </w:rPr>
        <w:t xml:space="preserve">Caudel, </w:t>
      </w:r>
      <w:r w:rsidRPr="003B3476">
        <w:rPr>
          <w:bCs/>
          <w:i/>
        </w:rPr>
        <w:t>Voie romaine de Senlis à Meaux</w:t>
      </w:r>
      <w:r w:rsidRPr="003B3476">
        <w:rPr>
          <w:bCs/>
        </w:rPr>
        <w:t xml:space="preserve">, </w:t>
      </w:r>
      <w:r w:rsidRPr="003B3476">
        <w:rPr>
          <w:lang w:val="fr-FR" w:eastAsia="fr-FR" w:bidi="fr-FR"/>
        </w:rPr>
        <w:t xml:space="preserve">dans </w:t>
      </w:r>
      <w:r w:rsidRPr="003B3476">
        <w:rPr>
          <w:bCs/>
          <w:i/>
        </w:rPr>
        <w:t>Congrès archéol</w:t>
      </w:r>
      <w:r w:rsidRPr="003B3476">
        <w:rPr>
          <w:bCs/>
        </w:rPr>
        <w:t>.,</w:t>
      </w:r>
      <w:r w:rsidRPr="003B3476">
        <w:rPr>
          <w:lang w:val="fr-FR" w:eastAsia="fr-FR" w:bidi="fr-FR"/>
        </w:rPr>
        <w:t xml:space="preserve"> t. XLIV, 1877, p. 474-481 ; A. </w:t>
      </w:r>
      <w:r w:rsidRPr="003B3476">
        <w:rPr>
          <w:rStyle w:val="Notedebasdepage65ptPetitesmajuscules"/>
          <w:b w:val="0"/>
          <w:sz w:val="24"/>
        </w:rPr>
        <w:t xml:space="preserve">Héron de Villefosse, </w:t>
      </w:r>
      <w:r w:rsidRPr="003B3476">
        <w:rPr>
          <w:bCs/>
          <w:i/>
        </w:rPr>
        <w:t>Le chemin-paré de Troyes a Meaux</w:t>
      </w:r>
      <w:r w:rsidRPr="003B3476">
        <w:rPr>
          <w:bCs/>
        </w:rPr>
        <w:t>,</w:t>
      </w:r>
      <w:r w:rsidRPr="003B3476">
        <w:rPr>
          <w:lang w:val="fr-FR" w:eastAsia="fr-FR" w:bidi="fr-FR"/>
        </w:rPr>
        <w:t xml:space="preserve"> dans </w:t>
      </w:r>
      <w:r w:rsidRPr="003B3476">
        <w:rPr>
          <w:bCs/>
          <w:i/>
        </w:rPr>
        <w:t>Almanach histor. de Seine-et-Marne</w:t>
      </w:r>
      <w:r w:rsidRPr="003B3476">
        <w:rPr>
          <w:bCs/>
        </w:rPr>
        <w:t>,</w:t>
      </w:r>
      <w:r w:rsidRPr="003B3476">
        <w:rPr>
          <w:lang w:val="fr-FR" w:eastAsia="fr-FR" w:bidi="fr-FR"/>
        </w:rPr>
        <w:t xml:space="preserve"> 1905, p. 193-206.</w:t>
      </w:r>
    </w:p>
  </w:footnote>
  <w:footnote w:id="533">
    <w:p w14:paraId="2D34D1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 tombe Isoré » consulter J. </w:t>
      </w:r>
      <w:r w:rsidRPr="003B3476">
        <w:rPr>
          <w:rStyle w:val="Notedebasdepage65ptPetitesmajuscules"/>
          <w:b w:val="0"/>
          <w:sz w:val="24"/>
        </w:rPr>
        <w:t xml:space="preserve">Bédier, </w:t>
      </w:r>
      <w:r w:rsidRPr="003B3476">
        <w:rPr>
          <w:bCs/>
          <w:i/>
        </w:rPr>
        <w:t>Les légendes épiques</w:t>
      </w:r>
      <w:r w:rsidRPr="003B3476">
        <w:rPr>
          <w:lang w:val="fr-FR" w:eastAsia="fr-FR" w:bidi="fr-FR"/>
        </w:rPr>
        <w:t xml:space="preserve">, t. I, in-8°, Paris, 1908, p. 348-353 (avec indications bibliographiques) et de </w:t>
      </w:r>
      <w:r w:rsidRPr="003B3476">
        <w:rPr>
          <w:rStyle w:val="Notedebasdepage65ptPetitesmajuscules"/>
          <w:b w:val="0"/>
          <w:sz w:val="24"/>
        </w:rPr>
        <w:t xml:space="preserve">Pachtère, </w:t>
      </w:r>
      <w:r w:rsidRPr="003B3476">
        <w:rPr>
          <w:bCs/>
          <w:i/>
        </w:rPr>
        <w:t>op. cit.</w:t>
      </w:r>
      <w:r w:rsidRPr="003B3476">
        <w:rPr>
          <w:lang w:val="fr-FR" w:eastAsia="fr-FR" w:bidi="fr-FR"/>
        </w:rPr>
        <w:t xml:space="preserve"> p. 94.</w:t>
      </w:r>
    </w:p>
  </w:footnote>
  <w:footnote w:id="534">
    <w:p w14:paraId="5E5FAD5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Joachim </w:t>
      </w:r>
      <w:r w:rsidRPr="00841BE4">
        <w:rPr>
          <w:rStyle w:val="Notedebasdepage265ptNonItalique"/>
          <w:b w:val="0"/>
          <w:iCs/>
          <w:smallCaps/>
          <w:sz w:val="24"/>
        </w:rPr>
        <w:t>Lelewel</w:t>
      </w:r>
      <w:r w:rsidRPr="003B3476">
        <w:rPr>
          <w:rStyle w:val="Notedebasdepage265ptNonItalique"/>
          <w:b w:val="0"/>
          <w:i/>
          <w:iCs/>
          <w:sz w:val="24"/>
        </w:rPr>
        <w:t xml:space="preserve">, </w:t>
      </w:r>
      <w:r w:rsidRPr="003B3476">
        <w:rPr>
          <w:i/>
          <w:lang w:val="fr-FR" w:eastAsia="fr-FR" w:bidi="fr-FR"/>
        </w:rPr>
        <w:t>Géographie du Moyen Âge. Épilogue</w:t>
      </w:r>
      <w:r w:rsidRPr="003B3476">
        <w:rPr>
          <w:bCs/>
        </w:rPr>
        <w:t xml:space="preserve">, in-8°, Bruxelles, 1857, p. 293. </w:t>
      </w:r>
      <w:r w:rsidRPr="003B3476">
        <w:rPr>
          <w:i/>
          <w:lang w:val="fr-FR" w:eastAsia="fr-FR" w:bidi="fr-FR"/>
        </w:rPr>
        <w:t>Cf.</w:t>
      </w:r>
      <w:r w:rsidRPr="003B3476">
        <w:rPr>
          <w:bCs/>
        </w:rPr>
        <w:t xml:space="preserve"> l’étude consacrée par </w:t>
      </w:r>
      <w:r w:rsidRPr="003B3476">
        <w:rPr>
          <w:rStyle w:val="Notedebasdepage265ptNonItalique"/>
          <w:b w:val="0"/>
          <w:i/>
          <w:iCs/>
          <w:sz w:val="24"/>
        </w:rPr>
        <w:t xml:space="preserve">M. </w:t>
      </w:r>
      <w:r w:rsidRPr="003B3476">
        <w:rPr>
          <w:rStyle w:val="Notedebasdepage265ptNonItalique"/>
          <w:b w:val="0"/>
          <w:i/>
          <w:iCs/>
          <w:smallCaps/>
          <w:sz w:val="24"/>
        </w:rPr>
        <w:t>Karl</w:t>
      </w:r>
      <w:r w:rsidRPr="003B3476">
        <w:rPr>
          <w:rStyle w:val="Notedebasdepage265ptNonItalique"/>
          <w:b w:val="0"/>
          <w:i/>
          <w:iCs/>
          <w:sz w:val="24"/>
        </w:rPr>
        <w:t xml:space="preserve"> à </w:t>
      </w:r>
      <w:r w:rsidRPr="003B3476">
        <w:rPr>
          <w:i/>
          <w:lang w:val="fr-FR" w:eastAsia="fr-FR" w:bidi="fr-FR"/>
        </w:rPr>
        <w:t>Un Itinéraire de la France et de L’Italie</w:t>
      </w:r>
      <w:r w:rsidRPr="003B3476">
        <w:rPr>
          <w:lang w:val="fr-FR" w:eastAsia="fr-FR" w:bidi="fr-FR"/>
        </w:rPr>
        <w:t xml:space="preserve"> imprimé à la fin du XV</w:t>
      </w:r>
      <w:r w:rsidRPr="003B3476">
        <w:rPr>
          <w:vertAlign w:val="superscript"/>
          <w:lang w:val="fr-FR" w:eastAsia="fr-FR" w:bidi="fr-FR"/>
        </w:rPr>
        <w:t>e</w:t>
      </w:r>
      <w:r w:rsidRPr="003B3476">
        <w:rPr>
          <w:lang w:val="fr-FR" w:eastAsia="fr-FR" w:bidi="fr-FR"/>
        </w:rPr>
        <w:t xml:space="preserve"> siècle</w:t>
      </w:r>
      <w:r w:rsidRPr="003B3476">
        <w:rPr>
          <w:bCs/>
        </w:rPr>
        <w:t xml:space="preserve">, dans </w:t>
      </w:r>
      <w:r w:rsidRPr="003B3476">
        <w:rPr>
          <w:i/>
          <w:lang w:val="fr-FR" w:eastAsia="fr-FR" w:bidi="fr-FR"/>
        </w:rPr>
        <w:t>Rev. des langues romanes</w:t>
      </w:r>
      <w:r w:rsidRPr="003B3476">
        <w:rPr>
          <w:bCs/>
        </w:rPr>
        <w:t xml:space="preserve">, t. </w:t>
      </w:r>
      <w:r w:rsidRPr="003B3476">
        <w:rPr>
          <w:rStyle w:val="Notedebasdepage27ptNonItaliqueEspacement0pt"/>
          <w:b w:val="0"/>
          <w:i w:val="0"/>
          <w:iCs w:val="0"/>
          <w:sz w:val="24"/>
        </w:rPr>
        <w:t xml:space="preserve">LI </w:t>
      </w:r>
      <w:r w:rsidRPr="003B3476">
        <w:rPr>
          <w:bCs/>
        </w:rPr>
        <w:t xml:space="preserve">(t. </w:t>
      </w:r>
      <w:r w:rsidRPr="003B3476">
        <w:rPr>
          <w:rStyle w:val="Notedebasdepage27ptNonItaliqueEspacement0pt"/>
          <w:b w:val="0"/>
          <w:i w:val="0"/>
          <w:iCs w:val="0"/>
          <w:sz w:val="24"/>
        </w:rPr>
        <w:t xml:space="preserve">I </w:t>
      </w:r>
      <w:r w:rsidRPr="003B3476">
        <w:rPr>
          <w:bCs/>
        </w:rPr>
        <w:t>de la 4</w:t>
      </w:r>
      <w:r w:rsidRPr="003B3476">
        <w:rPr>
          <w:bCs/>
          <w:vertAlign w:val="superscript"/>
        </w:rPr>
        <w:t>e</w:t>
      </w:r>
      <w:r w:rsidRPr="003B3476">
        <w:rPr>
          <w:bCs/>
        </w:rPr>
        <w:t xml:space="preserve"> série : 1908), p. 551.</w:t>
      </w:r>
    </w:p>
  </w:footnote>
  <w:footnote w:id="535">
    <w:p w14:paraId="1789760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Suger, </w:t>
      </w:r>
      <w:r w:rsidRPr="003B3476">
        <w:rPr>
          <w:bCs/>
          <w:i/>
        </w:rPr>
        <w:t>De rebus in administratione sua gestis. Œuvres</w:t>
      </w:r>
      <w:r w:rsidRPr="003B3476">
        <w:rPr>
          <w:lang w:val="fr-FR" w:eastAsia="fr-FR" w:bidi="fr-FR"/>
        </w:rPr>
        <w:t xml:space="preserve">, éd. </w:t>
      </w:r>
      <w:r w:rsidRPr="003B3476">
        <w:rPr>
          <w:rStyle w:val="Notedebasdepage65ptPetitesmajuscules"/>
          <w:b w:val="0"/>
          <w:sz w:val="24"/>
        </w:rPr>
        <w:t xml:space="preserve">Lecoy de la Marche </w:t>
      </w:r>
      <w:r w:rsidRPr="003B3476">
        <w:rPr>
          <w:lang w:val="fr-FR" w:eastAsia="fr-FR" w:bidi="fr-FR"/>
        </w:rPr>
        <w:t>(Public, de la Soc. de l’hist. de France), in-8°, Paris, 1867, p. 171.</w:t>
      </w:r>
    </w:p>
  </w:footnote>
  <w:footnote w:id="536">
    <w:p w14:paraId="0F812CA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smallCaps/>
        </w:rPr>
        <w:t>Boisvillette</w:t>
      </w:r>
      <w:r w:rsidRPr="003B3476">
        <w:t xml:space="preserve">, </w:t>
      </w:r>
      <w:r w:rsidRPr="003B3476">
        <w:rPr>
          <w:rStyle w:val="Notedebasdepage375ptItalique"/>
          <w:b w:val="0"/>
          <w:sz w:val="24"/>
        </w:rPr>
        <w:t>Statistique archéologique</w:t>
      </w:r>
      <w:r w:rsidRPr="003B3476">
        <w:rPr>
          <w:lang w:val="fr-FR" w:eastAsia="fr-FR" w:bidi="fr-FR"/>
        </w:rPr>
        <w:t xml:space="preserve">, </w:t>
      </w:r>
      <w:r w:rsidRPr="003B3476">
        <w:t xml:space="preserve">p. </w:t>
      </w:r>
      <w:r w:rsidRPr="003B3476">
        <w:rPr>
          <w:lang w:val="fr-FR" w:eastAsia="fr-FR" w:bidi="fr-FR"/>
        </w:rPr>
        <w:t xml:space="preserve">188, et </w:t>
      </w:r>
      <w:r w:rsidRPr="003B3476">
        <w:t xml:space="preserve">Dutilleux, </w:t>
      </w:r>
      <w:r w:rsidRPr="003B3476">
        <w:rPr>
          <w:rStyle w:val="Notedebasdepage375ptItalique"/>
          <w:b w:val="0"/>
          <w:sz w:val="24"/>
        </w:rPr>
        <w:t>Ann. du dép. de Seine</w:t>
      </w:r>
      <w:r w:rsidRPr="003B3476">
        <w:rPr>
          <w:lang w:val="fr-FR" w:eastAsia="fr-FR" w:bidi="fr-FR"/>
        </w:rPr>
        <w:t>-</w:t>
      </w:r>
      <w:r w:rsidRPr="003B3476">
        <w:rPr>
          <w:rStyle w:val="Notedebasdepage375ptItalique"/>
          <w:b w:val="0"/>
          <w:sz w:val="24"/>
        </w:rPr>
        <w:t>et-Oise</w:t>
      </w:r>
      <w:r w:rsidRPr="003B3476">
        <w:rPr>
          <w:lang w:val="fr-FR" w:eastAsia="fr-FR" w:bidi="fr-FR"/>
        </w:rPr>
        <w:t>, 1881, p. 519 à 523.</w:t>
      </w:r>
    </w:p>
  </w:footnote>
  <w:footnote w:id="537">
    <w:p w14:paraId="699ADB2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In-4°, Paris, </w:t>
      </w:r>
      <w:r w:rsidRPr="003B3476">
        <w:rPr>
          <w:smallCaps/>
          <w:lang w:val="fr-FR" w:eastAsia="fr-FR" w:bidi="fr-FR"/>
        </w:rPr>
        <w:t>xxiv</w:t>
      </w:r>
      <w:r w:rsidRPr="003B3476">
        <w:rPr>
          <w:lang w:val="fr-FR" w:eastAsia="fr-FR" w:bidi="fr-FR"/>
        </w:rPr>
        <w:t xml:space="preserve"> + 254 p.</w:t>
      </w:r>
    </w:p>
  </w:footnote>
  <w:footnote w:id="538">
    <w:p w14:paraId="74D67B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Dictionnaire des anciens noms des communes du département de Seine-et-Oise</w:t>
      </w:r>
      <w:r w:rsidRPr="003B3476">
        <w:rPr>
          <w:bCs/>
          <w:i/>
        </w:rPr>
        <w:t xml:space="preserve">, </w:t>
      </w:r>
      <w:r w:rsidRPr="003B3476">
        <w:rPr>
          <w:i/>
          <w:lang w:val="fr-FR" w:eastAsia="fr-FR" w:bidi="fr-FR"/>
        </w:rPr>
        <w:t>précédé d'une notice sur l'origine des noms de lieux de l'arrondissement de Corbeil</w:t>
      </w:r>
      <w:r w:rsidRPr="003B3476">
        <w:rPr>
          <w:bCs/>
        </w:rPr>
        <w:t>, in-8°, Versailles, 1874, 56 p.</w:t>
      </w:r>
    </w:p>
  </w:footnote>
  <w:footnote w:id="539">
    <w:p w14:paraId="634236E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Dictionnaire historique</w:t>
      </w:r>
      <w:r w:rsidRPr="003B3476">
        <w:rPr>
          <w:bCs/>
          <w:i/>
        </w:rPr>
        <w:t xml:space="preserve">, </w:t>
      </w:r>
      <w:r w:rsidRPr="003B3476">
        <w:rPr>
          <w:i/>
          <w:lang w:val="fr-FR" w:eastAsia="fr-FR" w:bidi="fr-FR"/>
        </w:rPr>
        <w:t>archéologique et commercial des communes et des hameaux... du département du Loiret</w:t>
      </w:r>
      <w:r w:rsidRPr="003B3476">
        <w:rPr>
          <w:bCs/>
        </w:rPr>
        <w:t xml:space="preserve">, in-8°, Orléans, s. d., 112 + </w:t>
      </w:r>
      <w:r w:rsidRPr="003B3476">
        <w:rPr>
          <w:bCs/>
          <w:smallCaps/>
        </w:rPr>
        <w:t>viii</w:t>
      </w:r>
      <w:r w:rsidRPr="003B3476">
        <w:rPr>
          <w:bCs/>
        </w:rPr>
        <w:t xml:space="preserve"> p.</w:t>
      </w:r>
    </w:p>
  </w:footnote>
  <w:footnote w:id="540">
    <w:p w14:paraId="7E4176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les pouillés </w:t>
      </w:r>
      <w:r w:rsidRPr="003B3476">
        <w:rPr>
          <w:bCs/>
          <w:i/>
        </w:rPr>
        <w:t>cf</w:t>
      </w:r>
      <w:r w:rsidRPr="003B3476">
        <w:rPr>
          <w:bCs/>
        </w:rPr>
        <w:t xml:space="preserve">. </w:t>
      </w:r>
      <w:r w:rsidRPr="003B3476">
        <w:rPr>
          <w:bCs/>
          <w:i/>
        </w:rPr>
        <w:t>supra</w:t>
      </w:r>
      <w:r w:rsidRPr="003B3476">
        <w:rPr>
          <w:lang w:val="fr-FR" w:eastAsia="fr-FR" w:bidi="fr-FR"/>
        </w:rPr>
        <w:t xml:space="preserve">, p. 742, n° 1. Les </w:t>
      </w:r>
      <w:r w:rsidRPr="003B3476">
        <w:rPr>
          <w:bCs/>
          <w:i/>
        </w:rPr>
        <w:t>Obituaires de la province de Sens</w:t>
      </w:r>
      <w:r w:rsidRPr="003B3476">
        <w:rPr>
          <w:lang w:val="fr-FR" w:eastAsia="fr-FR" w:bidi="fr-FR"/>
        </w:rPr>
        <w:t xml:space="preserve"> forment 4 vol. in-4°, Paris, 1902, 1906, 1909, cix + 632 et 633 à 1380, </w:t>
      </w:r>
      <w:r w:rsidRPr="003B3476">
        <w:rPr>
          <w:smallCaps/>
          <w:lang w:val="fr-FR" w:eastAsia="fr-FR" w:bidi="fr-FR"/>
        </w:rPr>
        <w:t>xxviii</w:t>
      </w:r>
      <w:r w:rsidRPr="003B3476">
        <w:rPr>
          <w:lang w:val="fr-FR" w:eastAsia="fr-FR" w:bidi="fr-FR"/>
        </w:rPr>
        <w:t xml:space="preserve"> + 675, </w:t>
      </w:r>
      <w:r w:rsidRPr="003B3476">
        <w:rPr>
          <w:smallCaps/>
          <w:lang w:val="fr-FR" w:eastAsia="fr-FR" w:bidi="fr-FR"/>
        </w:rPr>
        <w:t>xxvii</w:t>
      </w:r>
      <w:r w:rsidRPr="003B3476">
        <w:rPr>
          <w:lang w:val="fr-FR" w:eastAsia="fr-FR" w:bidi="fr-FR"/>
        </w:rPr>
        <w:t xml:space="preserve"> + 641 p. Parmi les publications qui peuvent rendre le plus de services pour l’identification et l’étude des noms de lieux, il faut citer : les </w:t>
      </w:r>
      <w:r w:rsidRPr="003B3476">
        <w:rPr>
          <w:bCs/>
        </w:rPr>
        <w:t>Dictionnaires géographiques</w:t>
      </w:r>
      <w:r w:rsidRPr="003B3476">
        <w:rPr>
          <w:lang w:val="fr-FR" w:eastAsia="fr-FR" w:bidi="fr-FR"/>
        </w:rPr>
        <w:t xml:space="preserve"> mis par B. </w:t>
      </w:r>
      <w:r w:rsidRPr="003B3476">
        <w:rPr>
          <w:bCs/>
          <w:smallCaps/>
        </w:rPr>
        <w:t>Guérard</w:t>
      </w:r>
      <w:r w:rsidRPr="003B3476">
        <w:rPr>
          <w:bCs/>
        </w:rPr>
        <w:t xml:space="preserve"> </w:t>
      </w:r>
      <w:r w:rsidRPr="003B3476">
        <w:rPr>
          <w:lang w:val="fr-FR" w:eastAsia="fr-FR" w:bidi="fr-FR"/>
        </w:rPr>
        <w:t xml:space="preserve">en appendice à ses éditions des </w:t>
      </w:r>
      <w:r w:rsidRPr="003B3476">
        <w:rPr>
          <w:bCs/>
          <w:i/>
        </w:rPr>
        <w:t>Cartulaires</w:t>
      </w:r>
      <w:r w:rsidRPr="003B3476">
        <w:rPr>
          <w:i/>
          <w:lang w:val="fr-FR" w:eastAsia="fr-FR" w:bidi="fr-FR"/>
        </w:rPr>
        <w:t xml:space="preserve"> de </w:t>
      </w:r>
      <w:r w:rsidRPr="003B3476">
        <w:rPr>
          <w:bCs/>
          <w:i/>
        </w:rPr>
        <w:t>Notre-Dame de Paris</w:t>
      </w:r>
      <w:r w:rsidRPr="003B3476">
        <w:rPr>
          <w:bCs/>
        </w:rPr>
        <w:t>,</w:t>
      </w:r>
      <w:r w:rsidRPr="003B3476">
        <w:rPr>
          <w:lang w:val="fr-FR" w:eastAsia="fr-FR" w:bidi="fr-FR"/>
        </w:rPr>
        <w:t xml:space="preserve"> t. IV (Doc inéd.), in-4°, Paris, 1850, et de </w:t>
      </w:r>
      <w:r w:rsidRPr="003B3476">
        <w:rPr>
          <w:bCs/>
        </w:rPr>
        <w:t>Saint-Père de Chartres</w:t>
      </w:r>
      <w:r w:rsidRPr="003B3476">
        <w:rPr>
          <w:lang w:val="fr-FR" w:eastAsia="fr-FR" w:bidi="fr-FR"/>
        </w:rPr>
        <w:t xml:space="preserve">, t. II (Doc. inéd.), in-4°, Paris, </w:t>
      </w:r>
      <w:r w:rsidRPr="003B3476">
        <w:rPr>
          <w:i/>
          <w:lang w:val="fr-FR" w:eastAsia="fr-FR" w:bidi="fr-FR"/>
        </w:rPr>
        <w:t xml:space="preserve">1840, et le </w:t>
      </w:r>
      <w:r w:rsidRPr="003B3476">
        <w:rPr>
          <w:bCs/>
          <w:i/>
        </w:rPr>
        <w:t>Cart</w:t>
      </w:r>
      <w:r w:rsidRPr="003B3476">
        <w:rPr>
          <w:bCs/>
          <w:i/>
        </w:rPr>
        <w:t>u</w:t>
      </w:r>
      <w:r w:rsidRPr="003B3476">
        <w:rPr>
          <w:bCs/>
          <w:i/>
        </w:rPr>
        <w:t>laire de Sainte-Croix d'Orléans</w:t>
      </w:r>
      <w:r w:rsidRPr="003B3476">
        <w:rPr>
          <w:i/>
          <w:lang w:val="fr-FR" w:eastAsia="fr-FR" w:bidi="fr-FR"/>
        </w:rPr>
        <w:t xml:space="preserve">, </w:t>
      </w:r>
      <w:r w:rsidRPr="003B3476">
        <w:rPr>
          <w:lang w:val="fr-FR" w:eastAsia="fr-FR" w:bidi="fr-FR"/>
        </w:rPr>
        <w:t xml:space="preserve">p. p. </w:t>
      </w:r>
      <w:r w:rsidRPr="003B3476">
        <w:rPr>
          <w:bCs/>
          <w:smallCaps/>
        </w:rPr>
        <w:t>Thillier</w:t>
      </w:r>
      <w:r w:rsidRPr="003B3476">
        <w:rPr>
          <w:bCs/>
        </w:rPr>
        <w:t xml:space="preserve"> </w:t>
      </w:r>
      <w:r w:rsidRPr="003B3476">
        <w:rPr>
          <w:lang w:val="fr-FR" w:eastAsia="fr-FR" w:bidi="fr-FR"/>
        </w:rPr>
        <w:t xml:space="preserve">et </w:t>
      </w:r>
      <w:r w:rsidRPr="003B3476">
        <w:rPr>
          <w:bCs/>
          <w:smallCaps/>
        </w:rPr>
        <w:t>Jarry</w:t>
      </w:r>
      <w:r w:rsidRPr="003B3476">
        <w:rPr>
          <w:bCs/>
          <w:i/>
        </w:rPr>
        <w:t>, Mém. Soc. archéol. Orléanais</w:t>
      </w:r>
      <w:r w:rsidRPr="003B3476">
        <w:rPr>
          <w:lang w:val="fr-FR" w:eastAsia="fr-FR" w:bidi="fr-FR"/>
        </w:rPr>
        <w:t>, t. XXX, à l</w:t>
      </w:r>
      <w:r w:rsidRPr="003B3476">
        <w:rPr>
          <w:bCs/>
        </w:rPr>
        <w:t>'Introduction,</w:t>
      </w:r>
      <w:r w:rsidRPr="003B3476">
        <w:rPr>
          <w:lang w:val="fr-FR" w:eastAsia="fr-FR" w:bidi="fr-FR"/>
        </w:rPr>
        <w:t xml:space="preserve"> § intitulé : « </w:t>
      </w:r>
      <w:r w:rsidRPr="003B3476">
        <w:rPr>
          <w:bCs/>
          <w:i/>
        </w:rPr>
        <w:t>Les possessions de l'Église d'Orléans. Leur situation. Identification des noms de lieux</w:t>
      </w:r>
      <w:r w:rsidRPr="003B3476">
        <w:rPr>
          <w:i/>
          <w:lang w:val="fr-FR" w:eastAsia="fr-FR" w:bidi="fr-FR"/>
        </w:rPr>
        <w:t> </w:t>
      </w:r>
      <w:r w:rsidRPr="003B3476">
        <w:rPr>
          <w:lang w:val="fr-FR" w:eastAsia="fr-FR" w:bidi="fr-FR"/>
        </w:rPr>
        <w:t xml:space="preserve">», p. </w:t>
      </w:r>
      <w:r w:rsidRPr="003B3476">
        <w:rPr>
          <w:bCs/>
          <w:smallCaps/>
        </w:rPr>
        <w:t>xxvii</w:t>
      </w:r>
      <w:r w:rsidRPr="003B3476">
        <w:rPr>
          <w:bCs/>
        </w:rPr>
        <w:t>-</w:t>
      </w:r>
      <w:r w:rsidRPr="003B3476">
        <w:rPr>
          <w:bCs/>
          <w:smallCaps/>
        </w:rPr>
        <w:t>cix</w:t>
      </w:r>
      <w:r w:rsidRPr="003B3476">
        <w:rPr>
          <w:bCs/>
        </w:rPr>
        <w:t xml:space="preserve">. </w:t>
      </w:r>
      <w:r w:rsidRPr="003B3476">
        <w:rPr>
          <w:lang w:val="fr-FR" w:eastAsia="fr-FR" w:bidi="fr-FR"/>
        </w:rPr>
        <w:t xml:space="preserve">On consultera aussi : Aug. </w:t>
      </w:r>
      <w:r w:rsidRPr="003B3476">
        <w:rPr>
          <w:bCs/>
          <w:smallCaps/>
        </w:rPr>
        <w:t>Longnon</w:t>
      </w:r>
      <w:r w:rsidRPr="003B3476">
        <w:rPr>
          <w:bCs/>
        </w:rPr>
        <w:t xml:space="preserve">, </w:t>
      </w:r>
      <w:r w:rsidRPr="003B3476">
        <w:rPr>
          <w:bCs/>
          <w:i/>
        </w:rPr>
        <w:t xml:space="preserve">Examen géographique du tome </w:t>
      </w:r>
      <w:r w:rsidRPr="003B3476">
        <w:rPr>
          <w:rStyle w:val="Notedebasdepage65ptNonGrasItalique"/>
          <w:b w:val="0"/>
          <w:bCs w:val="0"/>
          <w:i w:val="0"/>
        </w:rPr>
        <w:t>1</w:t>
      </w:r>
      <w:r w:rsidRPr="003B3476">
        <w:rPr>
          <w:rStyle w:val="Notedebasdepage65ptNonGrasItalique"/>
          <w:b w:val="0"/>
          <w:bCs w:val="0"/>
          <w:i w:val="0"/>
          <w:vertAlign w:val="superscript"/>
        </w:rPr>
        <w:t xml:space="preserve">er </w:t>
      </w:r>
      <w:r w:rsidRPr="003B3476">
        <w:rPr>
          <w:bCs/>
          <w:i/>
        </w:rPr>
        <w:t>des D</w:t>
      </w:r>
      <w:r w:rsidRPr="003B3476">
        <w:rPr>
          <w:bCs/>
          <w:i/>
        </w:rPr>
        <w:t>i</w:t>
      </w:r>
      <w:r w:rsidRPr="003B3476">
        <w:rPr>
          <w:bCs/>
          <w:i/>
        </w:rPr>
        <w:t>plomata imperii (Monumenta Germaniae Histor.)</w:t>
      </w:r>
      <w:r w:rsidRPr="003B3476">
        <w:rPr>
          <w:i/>
          <w:lang w:val="fr-FR" w:eastAsia="fr-FR" w:bidi="fr-FR"/>
        </w:rPr>
        <w:t>,</w:t>
      </w:r>
      <w:r w:rsidRPr="003B3476">
        <w:rPr>
          <w:lang w:val="fr-FR" w:eastAsia="fr-FR" w:bidi="fr-FR"/>
        </w:rPr>
        <w:t xml:space="preserve"> recueil d’articles publiés dans la </w:t>
      </w:r>
      <w:r w:rsidRPr="003B3476">
        <w:rPr>
          <w:bCs/>
          <w:i/>
        </w:rPr>
        <w:t>Revue Critique</w:t>
      </w:r>
      <w:r w:rsidRPr="003B3476">
        <w:rPr>
          <w:lang w:val="fr-FR" w:eastAsia="fr-FR" w:bidi="fr-FR"/>
        </w:rPr>
        <w:t>, II, 1873, p. 74, 89, 107, 121 et réunis en 1 vol. gr. in-8° ; Paris, 1873 ; et avec précautions A. </w:t>
      </w:r>
      <w:r w:rsidRPr="003B3476">
        <w:rPr>
          <w:bCs/>
          <w:smallCaps/>
        </w:rPr>
        <w:t>Jacobs</w:t>
      </w:r>
      <w:r w:rsidRPr="003B3476">
        <w:rPr>
          <w:bCs/>
        </w:rPr>
        <w:t xml:space="preserve">, </w:t>
      </w:r>
      <w:r w:rsidRPr="003B3476">
        <w:rPr>
          <w:bCs/>
          <w:i/>
        </w:rPr>
        <w:t xml:space="preserve">Géographie des diplômes mérovingiens. Diplômes de l'abbaye de Saint-Denys, </w:t>
      </w:r>
      <w:r w:rsidRPr="003B3476">
        <w:rPr>
          <w:i/>
          <w:lang w:val="fr-FR" w:eastAsia="fr-FR" w:bidi="fr-FR"/>
        </w:rPr>
        <w:t xml:space="preserve">dans </w:t>
      </w:r>
      <w:r w:rsidRPr="003B3476">
        <w:rPr>
          <w:bCs/>
          <w:i/>
        </w:rPr>
        <w:t>Rév. des soc. s</w:t>
      </w:r>
      <w:r w:rsidRPr="003B3476">
        <w:rPr>
          <w:bCs/>
          <w:i/>
        </w:rPr>
        <w:t>a</w:t>
      </w:r>
      <w:r w:rsidRPr="003B3476">
        <w:rPr>
          <w:bCs/>
          <w:i/>
        </w:rPr>
        <w:t>vantes</w:t>
      </w:r>
      <w:r w:rsidRPr="003B3476">
        <w:rPr>
          <w:lang w:val="fr-FR" w:eastAsia="fr-FR" w:bidi="fr-FR"/>
        </w:rPr>
        <w:t>, 2</w:t>
      </w:r>
      <w:r w:rsidRPr="003B3476">
        <w:rPr>
          <w:vertAlign w:val="superscript"/>
          <w:lang w:val="fr-FR" w:eastAsia="fr-FR" w:bidi="fr-FR"/>
        </w:rPr>
        <w:t>e</w:t>
      </w:r>
      <w:r w:rsidRPr="003B3476">
        <w:rPr>
          <w:lang w:val="fr-FR" w:eastAsia="fr-FR" w:bidi="fr-FR"/>
        </w:rPr>
        <w:t xml:space="preserve"> série, t. VII (1862, i), p. 52-67, 162-168, 232-251. Pour la Seine-et-Marne, en attendant le dictionnaire topographique, on utilisera les </w:t>
      </w:r>
      <w:r w:rsidRPr="003B3476">
        <w:rPr>
          <w:bCs/>
          <w:i/>
        </w:rPr>
        <w:t>Recherches sur la topographie gâtinaise</w:t>
      </w:r>
      <w:r w:rsidRPr="003B3476">
        <w:rPr>
          <w:lang w:val="fr-FR" w:eastAsia="fr-FR" w:bidi="fr-FR"/>
        </w:rPr>
        <w:t xml:space="preserve"> que M. H. </w:t>
      </w:r>
      <w:r w:rsidRPr="003B3476">
        <w:rPr>
          <w:bCs/>
          <w:smallCaps/>
        </w:rPr>
        <w:t>Stein</w:t>
      </w:r>
      <w:r w:rsidRPr="003B3476">
        <w:rPr>
          <w:bCs/>
        </w:rPr>
        <w:t xml:space="preserve"> </w:t>
      </w:r>
      <w:r w:rsidRPr="003B3476">
        <w:rPr>
          <w:lang w:val="fr-FR" w:eastAsia="fr-FR" w:bidi="fr-FR"/>
        </w:rPr>
        <w:t xml:space="preserve">fait paraître dans les </w:t>
      </w:r>
      <w:r w:rsidRPr="003B3476">
        <w:rPr>
          <w:bCs/>
          <w:i/>
        </w:rPr>
        <w:t>Annales de la Soc. archéolog. du Gâtinais</w:t>
      </w:r>
      <w:r w:rsidRPr="003B3476">
        <w:rPr>
          <w:i/>
          <w:lang w:val="fr-FR" w:eastAsia="fr-FR" w:bidi="fr-FR"/>
        </w:rPr>
        <w:t xml:space="preserve"> depuis 1890</w:t>
      </w:r>
      <w:r w:rsidRPr="003B3476">
        <w:rPr>
          <w:lang w:val="fr-FR" w:eastAsia="fr-FR" w:bidi="fr-FR"/>
        </w:rPr>
        <w:t xml:space="preserve">. L’ouvrage de Frédéric </w:t>
      </w:r>
      <w:r w:rsidRPr="003B3476">
        <w:rPr>
          <w:bCs/>
          <w:smallCaps/>
        </w:rPr>
        <w:t>Chéron</w:t>
      </w:r>
      <w:r w:rsidRPr="003B3476">
        <w:rPr>
          <w:bCs/>
        </w:rPr>
        <w:t xml:space="preserve">, </w:t>
      </w:r>
      <w:r w:rsidRPr="003B3476">
        <w:rPr>
          <w:bCs/>
          <w:i/>
        </w:rPr>
        <w:t>Noms de lieux du canton de la Ferté-Alais</w:t>
      </w:r>
      <w:r w:rsidRPr="003B3476">
        <w:rPr>
          <w:lang w:val="fr-FR" w:eastAsia="fr-FR" w:bidi="fr-FR"/>
        </w:rPr>
        <w:t xml:space="preserve">, in-8°, Paris, 1898, 16 p., fournit, avec des étymologies fantaisistes, un relevé commode des formes anciennes. M. Alphonse </w:t>
      </w:r>
      <w:r w:rsidRPr="003B3476">
        <w:rPr>
          <w:bCs/>
          <w:smallCaps/>
        </w:rPr>
        <w:t>Boulé</w:t>
      </w:r>
      <w:r w:rsidRPr="003B3476">
        <w:rPr>
          <w:bCs/>
        </w:rPr>
        <w:t xml:space="preserve"> </w:t>
      </w:r>
      <w:r w:rsidRPr="003B3476">
        <w:rPr>
          <w:lang w:val="fr-FR" w:eastAsia="fr-FR" w:bidi="fr-FR"/>
        </w:rPr>
        <w:t xml:space="preserve">a étudié dans le </w:t>
      </w:r>
      <w:r w:rsidRPr="003B3476">
        <w:rPr>
          <w:bCs/>
          <w:i/>
        </w:rPr>
        <w:t>Bulletin de la Soc. de l'hist. de Paris</w:t>
      </w:r>
      <w:r w:rsidRPr="003B3476">
        <w:rPr>
          <w:lang w:val="fr-FR" w:eastAsia="fr-FR" w:bidi="fr-FR"/>
        </w:rPr>
        <w:t xml:space="preserve"> deux changements de noms de lieux : </w:t>
      </w:r>
      <w:r w:rsidRPr="003B3476">
        <w:rPr>
          <w:bCs/>
          <w:i/>
        </w:rPr>
        <w:t>Comment Lieux est devenu Vauréal</w:t>
      </w:r>
      <w:r w:rsidRPr="003B3476">
        <w:rPr>
          <w:lang w:val="fr-FR" w:eastAsia="fr-FR" w:bidi="fr-FR"/>
        </w:rPr>
        <w:t xml:space="preserve">, t. XX, 1893, p. 25-70. </w:t>
      </w:r>
      <w:r w:rsidRPr="003B3476">
        <w:rPr>
          <w:bCs/>
          <w:i/>
        </w:rPr>
        <w:t>Châtres sous Montlhéry... devenant Arpajon</w:t>
      </w:r>
      <w:r w:rsidRPr="003B3476">
        <w:rPr>
          <w:bCs/>
        </w:rPr>
        <w:t>,</w:t>
      </w:r>
      <w:r w:rsidRPr="003B3476">
        <w:rPr>
          <w:lang w:val="fr-FR" w:eastAsia="fr-FR" w:bidi="fr-FR"/>
        </w:rPr>
        <w:t xml:space="preserve"> t. XXIV, 1897, p. 185-190. </w:t>
      </w:r>
      <w:r w:rsidRPr="003B3476">
        <w:rPr>
          <w:bCs/>
          <w:i/>
        </w:rPr>
        <w:t>Cf.</w:t>
      </w:r>
      <w:r w:rsidRPr="003B3476">
        <w:rPr>
          <w:lang w:val="fr-FR" w:eastAsia="fr-FR" w:bidi="fr-FR"/>
        </w:rPr>
        <w:t xml:space="preserve"> sur le changement du nom de « Tour » en celui de </w:t>
      </w:r>
      <w:r w:rsidRPr="003B3476">
        <w:rPr>
          <w:bCs/>
        </w:rPr>
        <w:t>« </w:t>
      </w:r>
      <w:r w:rsidRPr="003B3476">
        <w:rPr>
          <w:lang w:val="fr-FR" w:eastAsia="fr-FR" w:bidi="fr-FR"/>
        </w:rPr>
        <w:t xml:space="preserve">Saint-Prix », deux articles de M. Aug. </w:t>
      </w:r>
      <w:r w:rsidRPr="003B3476">
        <w:rPr>
          <w:bCs/>
        </w:rPr>
        <w:t xml:space="preserve">Rey, </w:t>
      </w:r>
      <w:r w:rsidRPr="003B3476">
        <w:rPr>
          <w:bCs/>
          <w:smallCaps/>
        </w:rPr>
        <w:t>Bullet</w:t>
      </w:r>
      <w:r w:rsidRPr="003B3476">
        <w:rPr>
          <w:bCs/>
        </w:rPr>
        <w:t xml:space="preserve">. </w:t>
      </w:r>
      <w:r w:rsidRPr="003B3476">
        <w:rPr>
          <w:bCs/>
          <w:i/>
        </w:rPr>
        <w:t>Soc. hist. Paris</w:t>
      </w:r>
      <w:r w:rsidRPr="003B3476">
        <w:rPr>
          <w:lang w:val="fr-FR" w:eastAsia="fr-FR" w:bidi="fr-FR"/>
        </w:rPr>
        <w:t xml:space="preserve">, t. XXIX, 1902, p. 42-48, et </w:t>
      </w:r>
      <w:r w:rsidRPr="003B3476">
        <w:rPr>
          <w:bCs/>
        </w:rPr>
        <w:t>Mém. Soc. histor. Pontoise</w:t>
      </w:r>
      <w:r w:rsidRPr="003B3476">
        <w:rPr>
          <w:lang w:val="fr-FR" w:eastAsia="fr-FR" w:bidi="fr-FR"/>
        </w:rPr>
        <w:t xml:space="preserve">, t. XXIV, 1902, p. 55-65. </w:t>
      </w:r>
      <w:r w:rsidRPr="003B3476">
        <w:rPr>
          <w:bCs/>
          <w:i/>
        </w:rPr>
        <w:t>Cf.</w:t>
      </w:r>
      <w:r w:rsidRPr="003B3476">
        <w:rPr>
          <w:lang w:val="fr-FR" w:eastAsia="fr-FR" w:bidi="fr-FR"/>
        </w:rPr>
        <w:t xml:space="preserve"> aussi Je note suivante.</w:t>
      </w:r>
    </w:p>
  </w:footnote>
  <w:footnote w:id="541">
    <w:p w14:paraId="306E5E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Bullet. du Com. des trav. histor. Géogr. histor</w:t>
      </w:r>
      <w:r w:rsidRPr="003B3476">
        <w:rPr>
          <w:lang w:val="fr-FR" w:eastAsia="fr-FR" w:bidi="fr-FR"/>
        </w:rPr>
        <w:t>.,</w:t>
      </w:r>
      <w:r w:rsidRPr="003B3476">
        <w:t xml:space="preserve"> 1912, </w:t>
      </w:r>
      <w:r w:rsidRPr="003B3476">
        <w:rPr>
          <w:rStyle w:val="Notedebasdepage265ptNonItalique"/>
          <w:b w:val="0"/>
          <w:i/>
          <w:iCs/>
          <w:sz w:val="24"/>
        </w:rPr>
        <w:t xml:space="preserve">p. </w:t>
      </w:r>
      <w:r w:rsidRPr="003B3476">
        <w:t xml:space="preserve">56-74. </w:t>
      </w:r>
      <w:r w:rsidRPr="003B3476">
        <w:rPr>
          <w:rStyle w:val="Notedebasdepage265ptNonItaliquePetitesmajuscules"/>
          <w:b w:val="0"/>
          <w:i/>
          <w:iCs/>
          <w:sz w:val="24"/>
        </w:rPr>
        <w:t xml:space="preserve">M. Soyer </w:t>
      </w:r>
      <w:r w:rsidRPr="003B3476">
        <w:t>d</w:t>
      </w:r>
      <w:r w:rsidRPr="003B3476">
        <w:t>é</w:t>
      </w:r>
      <w:r w:rsidRPr="003B3476">
        <w:t xml:space="preserve">signe par « Orléanais » le territoire de l’ancien diocèse d’Orléans. </w:t>
      </w:r>
      <w:r w:rsidRPr="003B3476">
        <w:rPr>
          <w:i/>
          <w:lang w:val="fr-FR" w:eastAsia="fr-FR" w:bidi="fr-FR"/>
        </w:rPr>
        <w:t>Cf.</w:t>
      </w:r>
      <w:r w:rsidRPr="003B3476">
        <w:t xml:space="preserve"> aussi J. </w:t>
      </w:r>
      <w:r w:rsidRPr="003B3476">
        <w:rPr>
          <w:rStyle w:val="Notedebasdepage265ptNonItaliquePetitesmajuscules"/>
          <w:b w:val="0"/>
          <w:i/>
          <w:iCs/>
          <w:sz w:val="24"/>
        </w:rPr>
        <w:t xml:space="preserve">Vendryes, </w:t>
      </w:r>
      <w:r w:rsidRPr="003B3476">
        <w:rPr>
          <w:i/>
          <w:lang w:val="fr-FR" w:eastAsia="fr-FR" w:bidi="fr-FR"/>
        </w:rPr>
        <w:t>Le nom de la ville de Melun</w:t>
      </w:r>
      <w:r w:rsidRPr="003B3476">
        <w:rPr>
          <w:lang w:val="fr-FR" w:eastAsia="fr-FR" w:bidi="fr-FR"/>
        </w:rPr>
        <w:t>,</w:t>
      </w:r>
      <w:r w:rsidRPr="003B3476">
        <w:t xml:space="preserve"> dans </w:t>
      </w:r>
      <w:r w:rsidRPr="003B3476">
        <w:rPr>
          <w:i/>
          <w:lang w:val="fr-FR" w:eastAsia="fr-FR" w:bidi="fr-FR"/>
        </w:rPr>
        <w:t>Mém. Soc. linguistique de Paris</w:t>
      </w:r>
      <w:r w:rsidRPr="003B3476">
        <w:rPr>
          <w:lang w:val="fr-FR" w:eastAsia="fr-FR" w:bidi="fr-FR"/>
        </w:rPr>
        <w:t>,</w:t>
      </w:r>
      <w:r w:rsidRPr="003B3476">
        <w:t xml:space="preserve"> t. XIII, 1903-05, p. 225-230 ; E. </w:t>
      </w:r>
      <w:r w:rsidRPr="003B3476">
        <w:rPr>
          <w:rStyle w:val="Notedebasdepage265ptNonItaliquePetitesmajuscules"/>
          <w:b w:val="0"/>
          <w:i/>
          <w:iCs/>
          <w:sz w:val="24"/>
        </w:rPr>
        <w:t xml:space="preserve">Drouin, </w:t>
      </w:r>
      <w:r w:rsidRPr="003B3476">
        <w:rPr>
          <w:i/>
          <w:lang w:val="fr-FR" w:eastAsia="fr-FR" w:bidi="fr-FR"/>
        </w:rPr>
        <w:t>Notices philologiques sur quelques noms de lieux de la Brie</w:t>
      </w:r>
      <w:r w:rsidRPr="003B3476">
        <w:rPr>
          <w:lang w:val="fr-FR" w:eastAsia="fr-FR" w:bidi="fr-FR"/>
        </w:rPr>
        <w:t>,</w:t>
      </w:r>
      <w:r w:rsidRPr="003B3476">
        <w:t xml:space="preserve"> dans </w:t>
      </w:r>
      <w:r w:rsidRPr="003B3476">
        <w:rPr>
          <w:i/>
          <w:lang w:val="fr-FR" w:eastAsia="fr-FR" w:bidi="fr-FR"/>
        </w:rPr>
        <w:t>Bullet. Soc. archéol. Seine-et-Marne</w:t>
      </w:r>
      <w:r w:rsidRPr="003B3476">
        <w:rPr>
          <w:lang w:val="fr-FR" w:eastAsia="fr-FR" w:bidi="fr-FR"/>
        </w:rPr>
        <w:t xml:space="preserve"> </w:t>
      </w:r>
      <w:r w:rsidRPr="003B3476">
        <w:t xml:space="preserve">t. VII, 1873-74, </w:t>
      </w:r>
      <w:r w:rsidRPr="003B3476">
        <w:rPr>
          <w:rStyle w:val="Notedebasdepage265ptNonItalique"/>
          <w:b w:val="0"/>
          <w:i/>
          <w:iCs/>
          <w:sz w:val="24"/>
        </w:rPr>
        <w:t xml:space="preserve">p. </w:t>
      </w:r>
      <w:r w:rsidRPr="003B3476">
        <w:t xml:space="preserve">133-143 ; J.-A. </w:t>
      </w:r>
      <w:r w:rsidRPr="003B3476">
        <w:rPr>
          <w:rStyle w:val="Notedebasdepage265ptNonItaliquePetitesmajuscules"/>
          <w:b w:val="0"/>
          <w:i/>
          <w:iCs/>
          <w:sz w:val="24"/>
        </w:rPr>
        <w:t xml:space="preserve">Leriche, </w:t>
      </w:r>
      <w:r w:rsidRPr="003B3476">
        <w:rPr>
          <w:i/>
          <w:lang w:val="fr-FR" w:eastAsia="fr-FR" w:bidi="fr-FR"/>
        </w:rPr>
        <w:t>Origine du nom de Versailles</w:t>
      </w:r>
      <w:r w:rsidRPr="003B3476">
        <w:rPr>
          <w:lang w:val="fr-FR" w:eastAsia="fr-FR" w:bidi="fr-FR"/>
        </w:rPr>
        <w:t>,</w:t>
      </w:r>
      <w:r w:rsidRPr="003B3476">
        <w:t xml:space="preserve"> dans </w:t>
      </w:r>
      <w:r w:rsidRPr="003B3476">
        <w:rPr>
          <w:i/>
          <w:lang w:val="fr-FR" w:eastAsia="fr-FR" w:bidi="fr-FR"/>
        </w:rPr>
        <w:t>Rev. d'hist. de Ve</w:t>
      </w:r>
      <w:r w:rsidRPr="003B3476">
        <w:rPr>
          <w:i/>
          <w:lang w:val="fr-FR" w:eastAsia="fr-FR" w:bidi="fr-FR"/>
        </w:rPr>
        <w:t>r</w:t>
      </w:r>
      <w:r w:rsidRPr="003B3476">
        <w:rPr>
          <w:i/>
          <w:lang w:val="fr-FR" w:eastAsia="fr-FR" w:bidi="fr-FR"/>
        </w:rPr>
        <w:t>sailles</w:t>
      </w:r>
      <w:r w:rsidRPr="003B3476">
        <w:rPr>
          <w:lang w:val="fr-FR" w:eastAsia="fr-FR" w:bidi="fr-FR"/>
        </w:rPr>
        <w:t>,</w:t>
      </w:r>
      <w:r w:rsidRPr="003B3476">
        <w:t xml:space="preserve"> t. II, 1906, p. 150-157. Je n’ai pu me procurer l’ouvrage que voici : Alb. </w:t>
      </w:r>
      <w:r w:rsidRPr="003B3476">
        <w:rPr>
          <w:rStyle w:val="Notedebasdepage265ptNonItaliquePetitesmajuscules"/>
          <w:b w:val="0"/>
          <w:i/>
          <w:iCs/>
          <w:sz w:val="24"/>
        </w:rPr>
        <w:t xml:space="preserve">Melaye, </w:t>
      </w:r>
      <w:r w:rsidRPr="003B3476">
        <w:rPr>
          <w:i/>
          <w:lang w:val="fr-FR" w:eastAsia="fr-FR" w:bidi="fr-FR"/>
        </w:rPr>
        <w:t>Monographie étymologique : principaux lieux-dits de l'Île-de-France, Parisis, Brie, Goële, Picardie</w:t>
      </w:r>
      <w:r w:rsidRPr="003B3476">
        <w:rPr>
          <w:i/>
        </w:rPr>
        <w:t xml:space="preserve">, </w:t>
      </w:r>
      <w:r w:rsidRPr="003B3476">
        <w:rPr>
          <w:i/>
          <w:lang w:val="fr-FR" w:eastAsia="fr-FR" w:bidi="fr-FR"/>
        </w:rPr>
        <w:t>Valois, Senlisien, Champagne, etc</w:t>
      </w:r>
      <w:r w:rsidRPr="003B3476">
        <w:rPr>
          <w:lang w:val="fr-FR" w:eastAsia="fr-FR" w:bidi="fr-FR"/>
        </w:rPr>
        <w:t>.,</w:t>
      </w:r>
      <w:r w:rsidRPr="003B3476">
        <w:t xml:space="preserve"> in-8°, Dammartin, 26 p.</w:t>
      </w:r>
    </w:p>
  </w:footnote>
  <w:footnote w:id="542">
    <w:p w14:paraId="151B46E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Cette particularité de la toponymie beauceronne n’a été, </w:t>
      </w:r>
      <w:r w:rsidRPr="003B3476">
        <w:rPr>
          <w:bCs/>
        </w:rPr>
        <w:t xml:space="preserve">à </w:t>
      </w:r>
      <w:r w:rsidRPr="003B3476">
        <w:rPr>
          <w:lang w:val="fr-FR" w:eastAsia="fr-FR" w:bidi="fr-FR"/>
        </w:rPr>
        <w:t xml:space="preserve">ma connaissance, remarquée jusqu’ici que par le trop fantaisiste auteur d’un ouvrage, où il n’y a rien </w:t>
      </w:r>
      <w:r w:rsidRPr="003B3476">
        <w:rPr>
          <w:bCs/>
        </w:rPr>
        <w:t xml:space="preserve">à </w:t>
      </w:r>
      <w:r w:rsidRPr="003B3476">
        <w:rPr>
          <w:lang w:val="fr-FR" w:eastAsia="fr-FR" w:bidi="fr-FR"/>
        </w:rPr>
        <w:t xml:space="preserve">prendre que cette remarque : </w:t>
      </w:r>
      <w:r w:rsidRPr="003B3476">
        <w:rPr>
          <w:bCs/>
          <w:i/>
        </w:rPr>
        <w:t>Étymologie géographique de Seine-et-Oise</w:t>
      </w:r>
      <w:r w:rsidRPr="003B3476">
        <w:rPr>
          <w:bCs/>
        </w:rPr>
        <w:t>...,</w:t>
      </w:r>
      <w:r w:rsidRPr="003B3476">
        <w:rPr>
          <w:lang w:val="fr-FR" w:eastAsia="fr-FR" w:bidi="fr-FR"/>
        </w:rPr>
        <w:t xml:space="preserve"> par G..., in-8°, Paris, 1876, 56 p., p. 54.</w:t>
      </w:r>
    </w:p>
  </w:footnote>
  <w:footnote w:id="543">
    <w:p w14:paraId="527CFE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 Savinianum et Potentianum, sanctumque eorum imitatorem, Altinum ». </w:t>
      </w:r>
      <w:r w:rsidRPr="003B3476">
        <w:rPr>
          <w:bCs/>
          <w:i/>
        </w:rPr>
        <w:t>Vie de s. Savinien</w:t>
      </w:r>
      <w:r w:rsidRPr="003B3476">
        <w:rPr>
          <w:i/>
          <w:lang w:val="fr-FR" w:eastAsia="fr-FR" w:bidi="fr-FR"/>
        </w:rPr>
        <w:t xml:space="preserve">, </w:t>
      </w:r>
      <w:r w:rsidRPr="003B3476">
        <w:rPr>
          <w:bCs/>
          <w:i/>
        </w:rPr>
        <w:t>seconde rédaction</w:t>
      </w:r>
      <w:r w:rsidRPr="003B3476">
        <w:rPr>
          <w:i/>
          <w:lang w:val="fr-FR" w:eastAsia="fr-FR" w:bidi="fr-FR"/>
        </w:rPr>
        <w:t> </w:t>
      </w:r>
      <w:r w:rsidRPr="003B3476">
        <w:rPr>
          <w:lang w:val="fr-FR" w:eastAsia="fr-FR" w:bidi="fr-FR"/>
        </w:rPr>
        <w:t xml:space="preserve">; </w:t>
      </w:r>
      <w:r w:rsidRPr="003B3476">
        <w:rPr>
          <w:bCs/>
        </w:rPr>
        <w:t xml:space="preserve">éd. </w:t>
      </w:r>
      <w:r w:rsidRPr="003B3476">
        <w:rPr>
          <w:rStyle w:val="Notedebasdepage65ptPetitesmajuscules"/>
          <w:b w:val="0"/>
          <w:sz w:val="24"/>
        </w:rPr>
        <w:t xml:space="preserve">Fliche (v. </w:t>
      </w:r>
      <w:r w:rsidRPr="003B3476">
        <w:rPr>
          <w:lang w:val="fr-FR" w:eastAsia="fr-FR" w:bidi="fr-FR"/>
        </w:rPr>
        <w:t xml:space="preserve">note suivante), p. </w:t>
      </w:r>
      <w:r w:rsidRPr="003B3476">
        <w:rPr>
          <w:bCs/>
        </w:rPr>
        <w:t>76.</w:t>
      </w:r>
    </w:p>
  </w:footnote>
  <w:footnote w:id="544">
    <w:p w14:paraId="203710D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t>Sur les origines ecclésiastiques de l’Île-de-France, on consultera l’abord le bel ouvrage de M</w:t>
      </w:r>
      <w:r w:rsidRPr="003B3476">
        <w:rPr>
          <w:vertAlign w:val="superscript"/>
          <w:lang w:val="fr-FR"/>
        </w:rPr>
        <w:t>gr</w:t>
      </w:r>
      <w:r w:rsidRPr="003B3476">
        <w:rPr>
          <w:lang w:val="fr-FR"/>
        </w:rPr>
        <w:t xml:space="preserve"> de Duchesne, </w:t>
      </w:r>
      <w:r w:rsidRPr="003B3476">
        <w:rPr>
          <w:i/>
          <w:lang w:val="fr-FR"/>
        </w:rPr>
        <w:t>Fastes épiscopaux de l’ancienne Gaule</w:t>
      </w:r>
      <w:r w:rsidRPr="003B3476">
        <w:rPr>
          <w:lang w:val="fr-FR"/>
        </w:rPr>
        <w:t>, 2</w:t>
      </w:r>
      <w:r w:rsidRPr="003B3476">
        <w:rPr>
          <w:vertAlign w:val="superscript"/>
          <w:lang w:val="fr-FR"/>
        </w:rPr>
        <w:t>e</w:t>
      </w:r>
      <w:r w:rsidRPr="003B3476">
        <w:rPr>
          <w:lang w:val="fr-FR"/>
        </w:rPr>
        <w:t xml:space="preserve"> éd., t. I, in-8°, Paris, 1907, p. 11-12 et surtout t. II, 1910, p. 395-430, et 457-479. </w:t>
      </w:r>
      <w:r w:rsidRPr="003B3476">
        <w:rPr>
          <w:i/>
          <w:lang w:val="fr-FR"/>
        </w:rPr>
        <w:t>Cf</w:t>
      </w:r>
      <w:r w:rsidRPr="003B3476">
        <w:rPr>
          <w:lang w:val="fr-FR"/>
        </w:rPr>
        <w:t xml:space="preserve">. Ad. </w:t>
      </w:r>
      <w:r w:rsidRPr="003B3476">
        <w:rPr>
          <w:smallCaps/>
          <w:lang w:val="fr-FR"/>
        </w:rPr>
        <w:t>Harnack</w:t>
      </w:r>
      <w:r w:rsidRPr="003B3476">
        <w:rPr>
          <w:lang w:val="fr-FR"/>
        </w:rPr>
        <w:t xml:space="preserve">, </w:t>
      </w:r>
      <w:r w:rsidRPr="003B3476">
        <w:rPr>
          <w:i/>
          <w:lang w:val="fr-FR"/>
        </w:rPr>
        <w:t>Die Mission und Ausbreitung des Christentums in den resten drei Jahrhunderien</w:t>
      </w:r>
      <w:r w:rsidRPr="003B3476">
        <w:rPr>
          <w:lang w:val="fr-FR"/>
        </w:rPr>
        <w:t>, 2</w:t>
      </w:r>
      <w:r w:rsidRPr="003B3476">
        <w:rPr>
          <w:vertAlign w:val="superscript"/>
          <w:lang w:val="fr-FR"/>
        </w:rPr>
        <w:t>e</w:t>
      </w:r>
      <w:r w:rsidRPr="003B3476">
        <w:rPr>
          <w:lang w:val="fr-FR"/>
        </w:rPr>
        <w:t xml:space="preserve"> éd, t. II, in-8°, Leipzig, 1906, p. 227-228. Sur la pr</w:t>
      </w:r>
      <w:r w:rsidRPr="003B3476">
        <w:rPr>
          <w:lang w:val="fr-FR"/>
        </w:rPr>
        <w:t>é</w:t>
      </w:r>
      <w:r w:rsidRPr="003B3476">
        <w:rPr>
          <w:lang w:val="fr-FR"/>
        </w:rPr>
        <w:t>tendue mission des saints Savinien, Potentien, Altin et Edoald, nous poss</w:t>
      </w:r>
      <w:r w:rsidRPr="003B3476">
        <w:rPr>
          <w:lang w:val="fr-FR"/>
        </w:rPr>
        <w:t>é</w:t>
      </w:r>
      <w:r w:rsidRPr="003B3476">
        <w:rPr>
          <w:lang w:val="fr-FR"/>
        </w:rPr>
        <w:t xml:space="preserve">dons un excellent travail de M. Aug. </w:t>
      </w:r>
      <w:r w:rsidRPr="003B3476">
        <w:rPr>
          <w:i/>
          <w:lang w:val="fr-FR"/>
        </w:rPr>
        <w:t>Fliche</w:t>
      </w:r>
      <w:r w:rsidRPr="003B3476">
        <w:rPr>
          <w:lang w:val="fr-FR"/>
        </w:rPr>
        <w:t xml:space="preserve">, </w:t>
      </w:r>
      <w:r w:rsidRPr="003B3476">
        <w:rPr>
          <w:i/>
          <w:lang w:val="fr-FR"/>
        </w:rPr>
        <w:t>Les vies de saint Savinien, pr</w:t>
      </w:r>
      <w:r w:rsidRPr="003B3476">
        <w:rPr>
          <w:i/>
          <w:lang w:val="fr-FR"/>
        </w:rPr>
        <w:t>e</w:t>
      </w:r>
      <w:r w:rsidRPr="003B3476">
        <w:rPr>
          <w:i/>
          <w:lang w:val="fr-FR"/>
        </w:rPr>
        <w:t xml:space="preserve">mier évêque de Sens. Étude critique suivie d’une édition de la plus ancienne Vita </w:t>
      </w:r>
      <w:r w:rsidRPr="003B3476">
        <w:rPr>
          <w:lang w:val="fr-FR"/>
        </w:rPr>
        <w:t xml:space="preserve">(thèse Fac. Lettres, Paris), in-8°, Paris, 1912, II + 106 p. Pour l’église de Paris, cf. le livre de l’abbé Eug. </w:t>
      </w:r>
      <w:r w:rsidRPr="003B3476">
        <w:rPr>
          <w:smallCaps/>
          <w:lang w:val="fr-FR"/>
        </w:rPr>
        <w:t>Bernard</w:t>
      </w:r>
      <w:r w:rsidRPr="003B3476">
        <w:rPr>
          <w:lang w:val="fr-FR"/>
        </w:rPr>
        <w:t xml:space="preserve">, cité </w:t>
      </w:r>
      <w:r w:rsidRPr="003B3476">
        <w:rPr>
          <w:i/>
          <w:lang w:val="fr-FR"/>
        </w:rPr>
        <w:t>supra</w:t>
      </w:r>
      <w:r w:rsidRPr="003B3476">
        <w:rPr>
          <w:lang w:val="fr-FR"/>
        </w:rPr>
        <w:t xml:space="preserve">, t. XXV, p. 351, n. 3, et de </w:t>
      </w:r>
      <w:r w:rsidRPr="003B3476">
        <w:rPr>
          <w:smallCaps/>
          <w:lang w:val="fr-FR"/>
        </w:rPr>
        <w:t>Pachtère</w:t>
      </w:r>
      <w:r w:rsidRPr="003B3476">
        <w:rPr>
          <w:lang w:val="fr-FR"/>
        </w:rPr>
        <w:t xml:space="preserve">, </w:t>
      </w:r>
      <w:r w:rsidRPr="003B3476">
        <w:rPr>
          <w:i/>
          <w:lang w:val="fr-FR"/>
        </w:rPr>
        <w:t>Paris à l’époque gallo-romaine</w:t>
      </w:r>
      <w:r w:rsidRPr="003B3476">
        <w:rPr>
          <w:lang w:val="fr-FR"/>
        </w:rPr>
        <w:t>, chap. VI et app. III et IV. L’histoire de la controverse sur l’apostolicité des églises de Chartres et O</w:t>
      </w:r>
      <w:r w:rsidRPr="003B3476">
        <w:rPr>
          <w:lang w:val="fr-FR"/>
        </w:rPr>
        <w:t>r</w:t>
      </w:r>
      <w:r w:rsidRPr="003B3476">
        <w:rPr>
          <w:lang w:val="fr-FR"/>
        </w:rPr>
        <w:t xml:space="preserve">léans, au </w:t>
      </w:r>
      <w:r w:rsidRPr="003B3476">
        <w:rPr>
          <w:smallCaps/>
          <w:lang w:val="fr-FR"/>
        </w:rPr>
        <w:t>xix</w:t>
      </w:r>
      <w:r w:rsidRPr="003B3476">
        <w:rPr>
          <w:smallCaps/>
          <w:vertAlign w:val="superscript"/>
          <w:lang w:val="fr-FR"/>
        </w:rPr>
        <w:t>e</w:t>
      </w:r>
      <w:r w:rsidRPr="003B3476">
        <w:rPr>
          <w:lang w:val="fr-FR"/>
        </w:rPr>
        <w:t xml:space="preserve"> siècle, a été racontée par A. </w:t>
      </w:r>
      <w:r w:rsidRPr="003B3476">
        <w:rPr>
          <w:smallCaps/>
          <w:lang w:val="fr-FR"/>
        </w:rPr>
        <w:t>Houtin</w:t>
      </w:r>
      <w:r w:rsidRPr="003B3476">
        <w:rPr>
          <w:lang w:val="fr-FR"/>
        </w:rPr>
        <w:t xml:space="preserve">, </w:t>
      </w:r>
      <w:r w:rsidRPr="003B3476">
        <w:rPr>
          <w:i/>
          <w:lang w:val="fr-FR"/>
        </w:rPr>
        <w:t xml:space="preserve">La controverse sur l’apostolicité des églises de Chartres et Orléans, au </w:t>
      </w:r>
      <w:r w:rsidRPr="003B3476">
        <w:rPr>
          <w:i/>
          <w:smallCaps/>
          <w:lang w:val="fr-FR"/>
        </w:rPr>
        <w:t>xix</w:t>
      </w:r>
      <w:r w:rsidRPr="003B3476">
        <w:rPr>
          <w:i/>
          <w:vertAlign w:val="superscript"/>
          <w:lang w:val="fr-FR"/>
        </w:rPr>
        <w:t>e</w:t>
      </w:r>
      <w:r w:rsidRPr="003B3476">
        <w:rPr>
          <w:i/>
          <w:lang w:val="fr-FR"/>
        </w:rPr>
        <w:t> siècle</w:t>
      </w:r>
      <w:r w:rsidRPr="003B3476">
        <w:rPr>
          <w:lang w:val="fr-FR"/>
        </w:rPr>
        <w:t>, 2</w:t>
      </w:r>
      <w:r w:rsidRPr="003B3476">
        <w:rPr>
          <w:vertAlign w:val="superscript"/>
          <w:lang w:val="fr-FR"/>
        </w:rPr>
        <w:t>e</w:t>
      </w:r>
      <w:r w:rsidRPr="003B3476">
        <w:rPr>
          <w:lang w:val="fr-FR"/>
        </w:rPr>
        <w:t xml:space="preserve"> éd., in-8°, Paris et Laval, 1901, p. 87 et suiv. Pour Rouen, </w:t>
      </w:r>
      <w:r w:rsidRPr="003B3476">
        <w:rPr>
          <w:i/>
          <w:lang w:val="fr-FR"/>
        </w:rPr>
        <w:t>cf</w:t>
      </w:r>
      <w:r w:rsidRPr="003B3476">
        <w:rPr>
          <w:lang w:val="fr-FR"/>
        </w:rPr>
        <w:t>. H. </w:t>
      </w:r>
      <w:r w:rsidRPr="003B3476">
        <w:rPr>
          <w:smallCaps/>
          <w:lang w:val="fr-FR"/>
        </w:rPr>
        <w:t>Prentout</w:t>
      </w:r>
      <w:r w:rsidRPr="003B3476">
        <w:rPr>
          <w:lang w:val="fr-FR"/>
        </w:rPr>
        <w:t xml:space="preserve">, </w:t>
      </w:r>
      <w:r w:rsidRPr="003B3476">
        <w:rPr>
          <w:i/>
          <w:lang w:val="fr-FR"/>
        </w:rPr>
        <w:t>La Norma</w:t>
      </w:r>
      <w:r w:rsidRPr="003B3476">
        <w:rPr>
          <w:i/>
          <w:lang w:val="fr-FR"/>
        </w:rPr>
        <w:t>n</w:t>
      </w:r>
      <w:r w:rsidRPr="003B3476">
        <w:rPr>
          <w:i/>
          <w:lang w:val="fr-FR"/>
        </w:rPr>
        <w:t>die</w:t>
      </w:r>
      <w:r w:rsidRPr="003B3476">
        <w:rPr>
          <w:lang w:val="fr-FR"/>
        </w:rPr>
        <w:t>, p. 33.</w:t>
      </w:r>
    </w:p>
  </w:footnote>
  <w:footnote w:id="545">
    <w:p w14:paraId="7B8D3CB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Les actes de saint Sanctin, qui sont le texte le plus ancien où il soit fait me</w:t>
      </w:r>
      <w:r w:rsidRPr="003B3476">
        <w:rPr>
          <w:lang w:val="fr-FR" w:eastAsia="fr-FR" w:bidi="fr-FR"/>
        </w:rPr>
        <w:t>n</w:t>
      </w:r>
      <w:r w:rsidRPr="003B3476">
        <w:rPr>
          <w:lang w:val="fr-FR" w:eastAsia="fr-FR" w:bidi="fr-FR"/>
        </w:rPr>
        <w:t xml:space="preserve">tion de ce saint douteux, furent offerts, en 876, à Charles le Chauve, par Hincmar, archevêque de Reims, qui les avait composés. </w:t>
      </w:r>
      <w:r w:rsidRPr="003B3476">
        <w:rPr>
          <w:bCs/>
          <w:i/>
        </w:rPr>
        <w:t>Cf.</w:t>
      </w:r>
      <w:r w:rsidRPr="003B3476">
        <w:rPr>
          <w:lang w:val="fr-FR" w:eastAsia="fr-FR" w:bidi="fr-FR"/>
        </w:rPr>
        <w:t xml:space="preserve"> H. </w:t>
      </w:r>
      <w:r w:rsidRPr="003B3476">
        <w:rPr>
          <w:rStyle w:val="Notedebasdepage65ptPetitesmajuscules"/>
          <w:b w:val="0"/>
          <w:sz w:val="24"/>
        </w:rPr>
        <w:t xml:space="preserve">Schroers, </w:t>
      </w:r>
      <w:r w:rsidRPr="003B3476">
        <w:rPr>
          <w:bCs/>
          <w:i/>
        </w:rPr>
        <w:t>Hin</w:t>
      </w:r>
      <w:r w:rsidRPr="003B3476">
        <w:rPr>
          <w:bCs/>
          <w:i/>
        </w:rPr>
        <w:t>c</w:t>
      </w:r>
      <w:r w:rsidRPr="003B3476">
        <w:rPr>
          <w:bCs/>
          <w:i/>
        </w:rPr>
        <w:t>mar, Erzbischof von Reims</w:t>
      </w:r>
      <w:r w:rsidRPr="003B3476">
        <w:rPr>
          <w:bCs/>
        </w:rPr>
        <w:t>,</w:t>
      </w:r>
      <w:r w:rsidRPr="003B3476">
        <w:rPr>
          <w:lang w:val="fr-FR" w:eastAsia="fr-FR" w:bidi="fr-FR"/>
        </w:rPr>
        <w:t xml:space="preserve"> in-8°, Fribourg-en-Br., 1884, p. 454-455. </w:t>
      </w:r>
      <w:r w:rsidRPr="003B3476">
        <w:rPr>
          <w:bCs/>
          <w:i/>
        </w:rPr>
        <w:t>Cf.</w:t>
      </w:r>
      <w:r w:rsidRPr="003B3476">
        <w:rPr>
          <w:bCs/>
        </w:rPr>
        <w:t>, </w:t>
      </w:r>
      <w:r w:rsidRPr="003B3476">
        <w:rPr>
          <w:bCs/>
          <w:i/>
        </w:rPr>
        <w:t>Acta Sanctor</w:t>
      </w:r>
      <w:r w:rsidRPr="003B3476">
        <w:rPr>
          <w:bCs/>
        </w:rPr>
        <w:t>, octobr.,</w:t>
      </w:r>
      <w:r w:rsidRPr="003B3476">
        <w:rPr>
          <w:lang w:val="fr-FR" w:eastAsia="fr-FR" w:bidi="fr-FR"/>
        </w:rPr>
        <w:t xml:space="preserve"> V. p. 585-603 et Ch. </w:t>
      </w:r>
      <w:r w:rsidRPr="003B3476">
        <w:rPr>
          <w:rStyle w:val="Notedebasdepage65ptPetitesmajuscules"/>
          <w:b w:val="0"/>
          <w:sz w:val="24"/>
        </w:rPr>
        <w:t xml:space="preserve">Cuissard, </w:t>
      </w:r>
      <w:r w:rsidRPr="003B3476">
        <w:rPr>
          <w:bCs/>
          <w:i/>
        </w:rPr>
        <w:t>Les premiers év</w:t>
      </w:r>
      <w:r w:rsidRPr="003B3476">
        <w:rPr>
          <w:bCs/>
          <w:i/>
        </w:rPr>
        <w:t>ê</w:t>
      </w:r>
      <w:r w:rsidRPr="003B3476">
        <w:rPr>
          <w:bCs/>
          <w:i/>
        </w:rPr>
        <w:t>ques d’Orléans</w:t>
      </w:r>
      <w:r w:rsidRPr="003B3476">
        <w:rPr>
          <w:lang w:val="fr-FR" w:eastAsia="fr-FR" w:bidi="fr-FR"/>
        </w:rPr>
        <w:t xml:space="preserve">, dans </w:t>
      </w:r>
      <w:r w:rsidRPr="003B3476">
        <w:rPr>
          <w:bCs/>
          <w:i/>
        </w:rPr>
        <w:t>Mém. Soc. archéol. Orléanais</w:t>
      </w:r>
      <w:r w:rsidRPr="003B3476">
        <w:rPr>
          <w:lang w:val="fr-FR" w:eastAsia="fr-FR" w:bidi="fr-FR"/>
        </w:rPr>
        <w:t>, t. XX, 1886, p. 22-24.</w:t>
      </w:r>
    </w:p>
  </w:footnote>
  <w:footnote w:id="546">
    <w:p w14:paraId="745F8F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Aug. </w:t>
      </w:r>
      <w:r w:rsidRPr="00841BE4">
        <w:rPr>
          <w:rStyle w:val="Notedebasdepage265ptNonItaliquePetitesmajuscules"/>
          <w:b w:val="0"/>
          <w:iCs/>
          <w:sz w:val="24"/>
        </w:rPr>
        <w:t>Longnon</w:t>
      </w:r>
      <w:r w:rsidRPr="003B3476">
        <w:rPr>
          <w:rStyle w:val="Notedebasdepage265ptNonItaliquePetitesmajuscules"/>
          <w:b w:val="0"/>
          <w:i/>
          <w:iCs/>
          <w:sz w:val="24"/>
        </w:rPr>
        <w:t xml:space="preserve">, </w:t>
      </w:r>
      <w:r w:rsidRPr="003B3476">
        <w:rPr>
          <w:i/>
          <w:lang w:val="fr-FR" w:eastAsia="fr-FR" w:bidi="fr-FR"/>
        </w:rPr>
        <w:t>Géographie de la Gaule au VI</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w:t>
      </w:r>
      <w:r w:rsidRPr="003B3476">
        <w:rPr>
          <w:bCs/>
        </w:rPr>
        <w:t xml:space="preserve"> p. 5-6. </w:t>
      </w:r>
      <w:r w:rsidRPr="003B3476">
        <w:rPr>
          <w:rStyle w:val="Notedebasdepage265ptNonItaliquePetitesmajuscules"/>
          <w:b w:val="0"/>
          <w:i/>
          <w:iCs/>
          <w:sz w:val="24"/>
        </w:rPr>
        <w:t xml:space="preserve">Duchesne, </w:t>
      </w:r>
      <w:r w:rsidRPr="003B3476">
        <w:rPr>
          <w:i/>
          <w:lang w:val="fr-FR" w:eastAsia="fr-FR" w:bidi="fr-FR"/>
        </w:rPr>
        <w:t>Fastes épiscopaux</w:t>
      </w:r>
      <w:r w:rsidRPr="003B3476">
        <w:rPr>
          <w:lang w:val="fr-FR" w:eastAsia="fr-FR" w:bidi="fr-FR"/>
        </w:rPr>
        <w:t>,</w:t>
      </w:r>
      <w:r w:rsidRPr="003B3476">
        <w:rPr>
          <w:bCs/>
        </w:rPr>
        <w:t xml:space="preserve"> t. II, p. 394 et 395 ; E. </w:t>
      </w:r>
      <w:r w:rsidRPr="00841BE4">
        <w:rPr>
          <w:rStyle w:val="Notedebasdepage265ptNonItaliquePetitesmajuscules"/>
          <w:b w:val="0"/>
          <w:iCs/>
          <w:sz w:val="24"/>
        </w:rPr>
        <w:t>Lesne</w:t>
      </w:r>
      <w:r w:rsidRPr="003B3476">
        <w:rPr>
          <w:rStyle w:val="Notedebasdepage265ptNonItaliquePetitesmajuscules"/>
          <w:b w:val="0"/>
          <w:i/>
          <w:iCs/>
          <w:sz w:val="24"/>
        </w:rPr>
        <w:t xml:space="preserve">, </w:t>
      </w:r>
      <w:r w:rsidRPr="003B3476">
        <w:rPr>
          <w:i/>
          <w:lang w:val="fr-FR" w:eastAsia="fr-FR" w:bidi="fr-FR"/>
        </w:rPr>
        <w:t>La Hiérarchie épiscopale en Gaule et Germanie (742-882)</w:t>
      </w:r>
      <w:r w:rsidRPr="003B3476">
        <w:rPr>
          <w:lang w:val="fr-FR" w:eastAsia="fr-FR" w:bidi="fr-FR"/>
        </w:rPr>
        <w:t>,</w:t>
      </w:r>
      <w:r w:rsidRPr="003B3476">
        <w:rPr>
          <w:bCs/>
        </w:rPr>
        <w:t xml:space="preserve"> dans </w:t>
      </w:r>
      <w:r w:rsidRPr="003B3476">
        <w:rPr>
          <w:i/>
          <w:lang w:val="fr-FR" w:eastAsia="fr-FR" w:bidi="fr-FR"/>
        </w:rPr>
        <w:t>Mém. et travaux publiés par les profe</w:t>
      </w:r>
      <w:r w:rsidRPr="003B3476">
        <w:rPr>
          <w:i/>
          <w:lang w:val="fr-FR" w:eastAsia="fr-FR" w:bidi="fr-FR"/>
        </w:rPr>
        <w:t>s</w:t>
      </w:r>
      <w:r w:rsidRPr="003B3476">
        <w:rPr>
          <w:i/>
          <w:lang w:val="fr-FR" w:eastAsia="fr-FR" w:bidi="fr-FR"/>
        </w:rPr>
        <w:t>seurs des Facultés Catholiques de Lille</w:t>
      </w:r>
      <w:r w:rsidRPr="003B3476">
        <w:rPr>
          <w:lang w:val="fr-FR" w:eastAsia="fr-FR" w:bidi="fr-FR"/>
        </w:rPr>
        <w:t>, t.</w:t>
      </w:r>
      <w:r w:rsidRPr="003B3476">
        <w:rPr>
          <w:bCs/>
        </w:rPr>
        <w:t xml:space="preserve"> I, in-8°, Lille et Paris, 1905, p. 9.</w:t>
      </w:r>
    </w:p>
  </w:footnote>
  <w:footnote w:id="547">
    <w:p w14:paraId="111A8D0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w:t>
      </w:r>
      <w:r w:rsidRPr="003B3476">
        <w:rPr>
          <w:bCs/>
          <w:i/>
        </w:rPr>
        <w:t>pagi</w:t>
      </w:r>
      <w:r w:rsidRPr="003B3476">
        <w:rPr>
          <w:lang w:val="fr-FR" w:eastAsia="fr-FR" w:bidi="fr-FR"/>
        </w:rPr>
        <w:t xml:space="preserve"> de l’Île-de-France, consulter outre Aug. </w:t>
      </w:r>
      <w:r w:rsidRPr="003B3476">
        <w:rPr>
          <w:rStyle w:val="Notedebasdepage65ptPetitesmajuscules"/>
          <w:b w:val="0"/>
          <w:sz w:val="24"/>
        </w:rPr>
        <w:t xml:space="preserve">Longnon, </w:t>
      </w:r>
      <w:r w:rsidRPr="003B3476">
        <w:rPr>
          <w:bCs/>
          <w:i/>
        </w:rPr>
        <w:t>Atlas histor</w:t>
      </w:r>
      <w:r w:rsidRPr="003B3476">
        <w:rPr>
          <w:bCs/>
          <w:i/>
        </w:rPr>
        <w:t>i</w:t>
      </w:r>
      <w:r w:rsidRPr="003B3476">
        <w:rPr>
          <w:bCs/>
          <w:i/>
        </w:rPr>
        <w:t>que de la France. Texte explicatif</w:t>
      </w:r>
      <w:r w:rsidRPr="003B3476">
        <w:rPr>
          <w:bCs/>
        </w:rPr>
        <w:t>,</w:t>
      </w:r>
      <w:r w:rsidRPr="003B3476">
        <w:rPr>
          <w:lang w:val="fr-FR" w:eastAsia="fr-FR" w:bidi="fr-FR"/>
        </w:rPr>
        <w:t xml:space="preserve"> p. 98-99 et 107-113, B. </w:t>
      </w:r>
      <w:r w:rsidRPr="003B3476">
        <w:rPr>
          <w:rStyle w:val="Notedebasdepage65ptPetitesmajuscules"/>
          <w:b w:val="0"/>
          <w:sz w:val="24"/>
        </w:rPr>
        <w:t xml:space="preserve">Guérard, </w:t>
      </w:r>
      <w:r w:rsidRPr="003B3476">
        <w:rPr>
          <w:bCs/>
          <w:i/>
        </w:rPr>
        <w:t>Polypt</w:t>
      </w:r>
      <w:r w:rsidRPr="003B3476">
        <w:rPr>
          <w:bCs/>
          <w:i/>
        </w:rPr>
        <w:t>y</w:t>
      </w:r>
      <w:r w:rsidRPr="003B3476">
        <w:rPr>
          <w:bCs/>
          <w:i/>
        </w:rPr>
        <w:t>que de l'abbé Irminon</w:t>
      </w:r>
      <w:r w:rsidRPr="003B3476">
        <w:rPr>
          <w:bCs/>
        </w:rPr>
        <w:t>,</w:t>
      </w:r>
      <w:r w:rsidRPr="003B3476">
        <w:rPr>
          <w:lang w:val="fr-FR" w:eastAsia="fr-FR" w:bidi="fr-FR"/>
        </w:rPr>
        <w:t xml:space="preserve"> t. I, in-4°, Paris, 1844, p. 50-104.</w:t>
      </w:r>
    </w:p>
  </w:footnote>
  <w:footnote w:id="548">
    <w:p w14:paraId="42A1C6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Ch. </w:t>
      </w:r>
      <w:r w:rsidRPr="003B3476">
        <w:rPr>
          <w:rStyle w:val="Notedebasdepage265ptNonItaliquePetitesmajuscules"/>
          <w:b w:val="0"/>
          <w:i/>
          <w:iCs/>
          <w:sz w:val="24"/>
        </w:rPr>
        <w:t xml:space="preserve">Cuissard, </w:t>
      </w:r>
      <w:r w:rsidRPr="003B3476">
        <w:rPr>
          <w:i/>
          <w:lang w:val="fr-FR" w:eastAsia="fr-FR" w:bidi="fr-FR"/>
        </w:rPr>
        <w:t>Théodulfe, évêque d'Orléans</w:t>
      </w:r>
      <w:r w:rsidRPr="003B3476">
        <w:rPr>
          <w:lang w:val="fr-FR" w:eastAsia="fr-FR" w:bidi="fr-FR"/>
        </w:rPr>
        <w:t>,</w:t>
      </w:r>
      <w:r w:rsidRPr="003B3476">
        <w:rPr>
          <w:bCs/>
        </w:rPr>
        <w:t xml:space="preserve"> dans </w:t>
      </w:r>
      <w:r w:rsidRPr="003B3476">
        <w:rPr>
          <w:i/>
          <w:lang w:val="fr-FR" w:eastAsia="fr-FR" w:bidi="fr-FR"/>
        </w:rPr>
        <w:t>Mém. Soc. archéol. O</w:t>
      </w:r>
      <w:r w:rsidRPr="003B3476">
        <w:rPr>
          <w:i/>
          <w:lang w:val="fr-FR" w:eastAsia="fr-FR" w:bidi="fr-FR"/>
        </w:rPr>
        <w:t>r</w:t>
      </w:r>
      <w:r w:rsidRPr="003B3476">
        <w:rPr>
          <w:i/>
          <w:lang w:val="fr-FR" w:eastAsia="fr-FR" w:bidi="fr-FR"/>
        </w:rPr>
        <w:t>lé</w:t>
      </w:r>
      <w:r w:rsidRPr="003B3476">
        <w:rPr>
          <w:i/>
          <w:lang w:val="fr-FR" w:eastAsia="fr-FR" w:bidi="fr-FR"/>
        </w:rPr>
        <w:t>a</w:t>
      </w:r>
      <w:r w:rsidRPr="003B3476">
        <w:rPr>
          <w:i/>
          <w:lang w:val="fr-FR" w:eastAsia="fr-FR" w:bidi="fr-FR"/>
        </w:rPr>
        <w:t>nais</w:t>
      </w:r>
      <w:r w:rsidRPr="003B3476">
        <w:rPr>
          <w:lang w:val="fr-FR" w:eastAsia="fr-FR" w:bidi="fr-FR"/>
        </w:rPr>
        <w:t xml:space="preserve">. </w:t>
      </w:r>
      <w:r w:rsidRPr="003B3476">
        <w:rPr>
          <w:bCs/>
        </w:rPr>
        <w:t xml:space="preserve">t. XXIV (1892), ch. I : </w:t>
      </w:r>
      <w:r w:rsidRPr="003B3476">
        <w:rPr>
          <w:i/>
          <w:lang w:val="fr-FR" w:eastAsia="fr-FR" w:bidi="fr-FR"/>
        </w:rPr>
        <w:t>Topographie du diocèse d'Orléans</w:t>
      </w:r>
      <w:r w:rsidRPr="003B3476">
        <w:rPr>
          <w:lang w:val="fr-FR" w:eastAsia="fr-FR" w:bidi="fr-FR"/>
        </w:rPr>
        <w:t>,</w:t>
      </w:r>
      <w:r w:rsidRPr="003B3476">
        <w:rPr>
          <w:bCs/>
        </w:rPr>
        <w:t xml:space="preserve"> p. 7-40 et Et. </w:t>
      </w:r>
      <w:r w:rsidRPr="00841BE4">
        <w:rPr>
          <w:rStyle w:val="Notedebasdepage265ptNonItaliquePetitesmajuscules"/>
          <w:b w:val="0"/>
          <w:iCs/>
          <w:sz w:val="24"/>
        </w:rPr>
        <w:t>Fougeron</w:t>
      </w:r>
      <w:r w:rsidRPr="003B3476">
        <w:rPr>
          <w:rStyle w:val="Notedebasdepage265ptNonItaliquePetitesmajuscules"/>
          <w:b w:val="0"/>
          <w:i/>
          <w:iCs/>
          <w:sz w:val="24"/>
        </w:rPr>
        <w:t xml:space="preserve">, </w:t>
      </w:r>
      <w:r w:rsidRPr="003B3476">
        <w:rPr>
          <w:i/>
          <w:lang w:val="fr-FR" w:eastAsia="fr-FR" w:bidi="fr-FR"/>
        </w:rPr>
        <w:t>Condition juridique de l'Orléanais dans l'Ancien Droit</w:t>
      </w:r>
      <w:r w:rsidRPr="003B3476">
        <w:rPr>
          <w:bCs/>
        </w:rPr>
        <w:t xml:space="preserve"> (th. Fac. Droit, Paris), in-8°. Pairs, 1912, p. 6-15.</w:t>
      </w:r>
    </w:p>
  </w:footnote>
  <w:footnote w:id="549">
    <w:p w14:paraId="533C646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Mérey, Eure, cant. de Pacy-sur-Eure ; c’est l’hypothèse proposée par M. Longnon.</w:t>
      </w:r>
    </w:p>
  </w:footnote>
  <w:footnote w:id="550">
    <w:p w14:paraId="4EE44B6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Méré, Seine-et-Oise, cant. de Montfort-l’Amaury ; c’est l’hypothèse proposée par Guérard. </w:t>
      </w:r>
      <w:r w:rsidRPr="003B3476">
        <w:rPr>
          <w:bCs/>
          <w:i/>
        </w:rPr>
        <w:t>Cf.</w:t>
      </w:r>
      <w:r w:rsidRPr="003B3476">
        <w:rPr>
          <w:lang w:val="fr-FR" w:eastAsia="fr-FR" w:bidi="fr-FR"/>
        </w:rPr>
        <w:t xml:space="preserve"> encore sur le </w:t>
      </w:r>
      <w:r w:rsidRPr="003B3476">
        <w:rPr>
          <w:bCs/>
          <w:i/>
        </w:rPr>
        <w:t>p. Madriacensis</w:t>
      </w:r>
      <w:r w:rsidRPr="003B3476">
        <w:rPr>
          <w:lang w:val="fr-FR" w:eastAsia="fr-FR" w:bidi="fr-FR"/>
        </w:rPr>
        <w:t xml:space="preserve"> les articles suivants : A. de </w:t>
      </w:r>
      <w:r w:rsidRPr="003B3476">
        <w:rPr>
          <w:rStyle w:val="Notedebasdepage65ptPetitesmajuscules"/>
          <w:b w:val="0"/>
          <w:sz w:val="24"/>
        </w:rPr>
        <w:t xml:space="preserve">Dion, </w:t>
      </w:r>
      <w:r w:rsidRPr="003B3476">
        <w:rPr>
          <w:bCs/>
          <w:i/>
        </w:rPr>
        <w:t>Le Comté de Madrie</w:t>
      </w:r>
      <w:r w:rsidRPr="003B3476">
        <w:rPr>
          <w:bCs/>
        </w:rPr>
        <w:t xml:space="preserve">, </w:t>
      </w:r>
      <w:r w:rsidRPr="003B3476">
        <w:rPr>
          <w:lang w:val="fr-FR" w:eastAsia="fr-FR" w:bidi="fr-FR"/>
        </w:rPr>
        <w:t xml:space="preserve">dans </w:t>
      </w:r>
      <w:r w:rsidRPr="003B3476">
        <w:rPr>
          <w:bCs/>
          <w:i/>
        </w:rPr>
        <w:t>Mém. Soc. archéol. Rambouillet</w:t>
      </w:r>
      <w:r w:rsidRPr="003B3476">
        <w:rPr>
          <w:bCs/>
        </w:rPr>
        <w:t>,</w:t>
      </w:r>
      <w:r w:rsidRPr="003B3476">
        <w:rPr>
          <w:lang w:val="fr-FR" w:eastAsia="fr-FR" w:bidi="fr-FR"/>
        </w:rPr>
        <w:t xml:space="preserve"> t. I, 1870-1872, p. 1-11 (qui ne conclut pas nettement) et J. </w:t>
      </w:r>
      <w:r w:rsidRPr="003B3476">
        <w:rPr>
          <w:rStyle w:val="Notedebasdepage65ptPetitesmajuscules"/>
          <w:b w:val="0"/>
          <w:sz w:val="24"/>
        </w:rPr>
        <w:t xml:space="preserve">Béranger, </w:t>
      </w:r>
      <w:r w:rsidRPr="003B3476">
        <w:rPr>
          <w:bCs/>
          <w:i/>
        </w:rPr>
        <w:t>Le Pagus M</w:t>
      </w:r>
      <w:r w:rsidRPr="003B3476">
        <w:rPr>
          <w:bCs/>
          <w:i/>
        </w:rPr>
        <w:t>a</w:t>
      </w:r>
      <w:r w:rsidRPr="003B3476">
        <w:rPr>
          <w:bCs/>
          <w:i/>
        </w:rPr>
        <w:t>driacensis. Son origine, son histoire, ses comtes</w:t>
      </w:r>
      <w:r w:rsidRPr="003B3476">
        <w:rPr>
          <w:bCs/>
        </w:rPr>
        <w:t>,</w:t>
      </w:r>
      <w:r w:rsidRPr="003B3476">
        <w:rPr>
          <w:lang w:val="fr-FR" w:eastAsia="fr-FR" w:bidi="fr-FR"/>
        </w:rPr>
        <w:t xml:space="preserve"> </w:t>
      </w:r>
      <w:r w:rsidRPr="003B3476">
        <w:rPr>
          <w:i/>
          <w:lang w:val="fr-FR" w:eastAsia="fr-FR" w:bidi="fr-FR"/>
        </w:rPr>
        <w:t xml:space="preserve">dans </w:t>
      </w:r>
      <w:r w:rsidRPr="003B3476">
        <w:rPr>
          <w:bCs/>
          <w:i/>
        </w:rPr>
        <w:t>Rev. cathol. de No</w:t>
      </w:r>
      <w:r w:rsidRPr="003B3476">
        <w:rPr>
          <w:bCs/>
          <w:i/>
        </w:rPr>
        <w:t>r</w:t>
      </w:r>
      <w:r w:rsidRPr="003B3476">
        <w:rPr>
          <w:bCs/>
          <w:i/>
        </w:rPr>
        <w:t>mandie</w:t>
      </w:r>
      <w:r w:rsidRPr="003B3476">
        <w:rPr>
          <w:bCs/>
        </w:rPr>
        <w:t>,</w:t>
      </w:r>
      <w:r w:rsidRPr="003B3476">
        <w:rPr>
          <w:lang w:val="fr-FR" w:eastAsia="fr-FR" w:bidi="fr-FR"/>
        </w:rPr>
        <w:t xml:space="preserve"> t. XVI, 1906, p. 89-107 (qui, sans se prononcer sur l’étymologie du mot </w:t>
      </w:r>
      <w:r w:rsidRPr="003B3476">
        <w:rPr>
          <w:bCs/>
        </w:rPr>
        <w:t>Madriacensis,</w:t>
      </w:r>
      <w:r w:rsidRPr="003B3476">
        <w:rPr>
          <w:lang w:val="fr-FR" w:eastAsia="fr-FR" w:bidi="fr-FR"/>
        </w:rPr>
        <w:t xml:space="preserve"> donne l’Eure comme limite occidentale au pagus, repou</w:t>
      </w:r>
      <w:r w:rsidRPr="003B3476">
        <w:rPr>
          <w:lang w:val="fr-FR" w:eastAsia="fr-FR" w:bidi="fr-FR"/>
        </w:rPr>
        <w:t>s</w:t>
      </w:r>
      <w:r w:rsidRPr="003B3476">
        <w:rPr>
          <w:lang w:val="fr-FR" w:eastAsia="fr-FR" w:bidi="fr-FR"/>
        </w:rPr>
        <w:t>sant par là même la théorie de M. Longnon).</w:t>
      </w:r>
    </w:p>
  </w:footnote>
  <w:footnote w:id="551">
    <w:p w14:paraId="272ECBE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w:t>
      </w:r>
      <w:r w:rsidRPr="003B3476">
        <w:t xml:space="preserve"> </w:t>
      </w:r>
      <w:r w:rsidRPr="003B3476">
        <w:rPr>
          <w:i/>
        </w:rPr>
        <w:t>Vie de Bouchard le Vénérable</w:t>
      </w:r>
      <w:r w:rsidRPr="003B3476">
        <w:t xml:space="preserve">, par Eudes de </w:t>
      </w:r>
      <w:r w:rsidRPr="003B3476">
        <w:rPr>
          <w:smallCaps/>
        </w:rPr>
        <w:t>Saint-Maur</w:t>
      </w:r>
      <w:r w:rsidRPr="003B3476">
        <w:t>, éd. de la Ro</w:t>
      </w:r>
      <w:r w:rsidRPr="003B3476">
        <w:t>n</w:t>
      </w:r>
      <w:r w:rsidRPr="003B3476">
        <w:t>cière (Collect. de textes pour servir à l’ét. de l’hist.), in-8°, Paris, 1892, en pa</w:t>
      </w:r>
      <w:r w:rsidRPr="003B3476">
        <w:t>r</w:t>
      </w:r>
      <w:r w:rsidRPr="003B3476">
        <w:t xml:space="preserve">ticulier p. </w:t>
      </w:r>
      <w:r w:rsidRPr="003B3476">
        <w:rPr>
          <w:smallCaps/>
        </w:rPr>
        <w:t>xiii</w:t>
      </w:r>
      <w:r w:rsidRPr="003B3476">
        <w:t xml:space="preserve">, et Maurice </w:t>
      </w:r>
      <w:r w:rsidRPr="003B3476">
        <w:rPr>
          <w:smallCaps/>
        </w:rPr>
        <w:t>Prou</w:t>
      </w:r>
      <w:r w:rsidRPr="003B3476">
        <w:t xml:space="preserve">. </w:t>
      </w:r>
      <w:r w:rsidRPr="003B3476">
        <w:rPr>
          <w:i/>
        </w:rPr>
        <w:t>Les monnaies de Bouchard, comte de Paris</w:t>
      </w:r>
      <w:r w:rsidRPr="003B3476">
        <w:t xml:space="preserve">, dans </w:t>
      </w:r>
      <w:r w:rsidRPr="003B3476">
        <w:rPr>
          <w:i/>
        </w:rPr>
        <w:t>Annuaire Soc. numismatique</w:t>
      </w:r>
      <w:r w:rsidRPr="003B3476">
        <w:t>, t. XX, 1896, p. 279-286.</w:t>
      </w:r>
    </w:p>
  </w:footnote>
  <w:footnote w:id="552">
    <w:p w14:paraId="49500F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titre de comte d’Étampes fut relevé en 1327, en faveur de Charles d’Évreux qui possédait déjà, en apanage, la seigneurie de la ville, sans le titre comtal ; </w:t>
      </w:r>
      <w:r w:rsidRPr="003B3476">
        <w:rPr>
          <w:bCs/>
        </w:rPr>
        <w:t>cf.</w:t>
      </w:r>
      <w:r w:rsidRPr="003B3476">
        <w:rPr>
          <w:lang w:val="fr-FR" w:eastAsia="fr-FR" w:bidi="fr-FR"/>
        </w:rPr>
        <w:t xml:space="preserve"> dom </w:t>
      </w:r>
      <w:r w:rsidRPr="003B3476">
        <w:rPr>
          <w:rStyle w:val="Notedebasdepage65ptPetitesmajuscules"/>
          <w:b w:val="0"/>
          <w:sz w:val="24"/>
        </w:rPr>
        <w:t xml:space="preserve">Fleureau, </w:t>
      </w:r>
      <w:r w:rsidRPr="003B3476">
        <w:rPr>
          <w:bCs/>
          <w:i/>
        </w:rPr>
        <w:t>Histoire d’Étampes</w:t>
      </w:r>
      <w:r w:rsidRPr="003B3476">
        <w:rPr>
          <w:bCs/>
        </w:rPr>
        <w:t>,</w:t>
      </w:r>
      <w:r w:rsidRPr="003B3476">
        <w:rPr>
          <w:lang w:val="fr-FR" w:eastAsia="fr-FR" w:bidi="fr-FR"/>
        </w:rPr>
        <w:t xml:space="preserve"> p. 151. Je n’ai pu me proc</w:t>
      </w:r>
      <w:r w:rsidRPr="003B3476">
        <w:rPr>
          <w:lang w:val="fr-FR" w:eastAsia="fr-FR" w:bidi="fr-FR"/>
        </w:rPr>
        <w:t>u</w:t>
      </w:r>
      <w:r w:rsidRPr="003B3476">
        <w:rPr>
          <w:lang w:val="fr-FR" w:eastAsia="fr-FR" w:bidi="fr-FR"/>
        </w:rPr>
        <w:t xml:space="preserve">rer le livre de L. </w:t>
      </w:r>
      <w:r w:rsidRPr="003B3476">
        <w:rPr>
          <w:rStyle w:val="Notedebasdepage65ptPetitesmajuscules"/>
          <w:b w:val="0"/>
          <w:sz w:val="24"/>
        </w:rPr>
        <w:t xml:space="preserve">Marquis, </w:t>
      </w:r>
      <w:r w:rsidRPr="003B3476">
        <w:rPr>
          <w:bCs/>
          <w:i/>
        </w:rPr>
        <w:t>Les seigneurs d’Étampes</w:t>
      </w:r>
      <w:r w:rsidRPr="003B3476">
        <w:rPr>
          <w:i/>
          <w:lang w:val="fr-FR" w:eastAsia="fr-FR" w:bidi="fr-FR"/>
        </w:rPr>
        <w:t xml:space="preserve"> ; </w:t>
      </w:r>
      <w:r w:rsidRPr="003B3476">
        <w:rPr>
          <w:bCs/>
          <w:i/>
        </w:rPr>
        <w:t>chronologie des b</w:t>
      </w:r>
      <w:r w:rsidRPr="003B3476">
        <w:rPr>
          <w:bCs/>
          <w:i/>
        </w:rPr>
        <w:t>a</w:t>
      </w:r>
      <w:r w:rsidRPr="003B3476">
        <w:rPr>
          <w:bCs/>
          <w:i/>
        </w:rPr>
        <w:t>rons, comtes et ducs d’Étampes</w:t>
      </w:r>
      <w:r w:rsidRPr="003B3476">
        <w:rPr>
          <w:bCs/>
        </w:rPr>
        <w:t>,</w:t>
      </w:r>
      <w:r w:rsidRPr="003B3476">
        <w:rPr>
          <w:lang w:val="fr-FR" w:eastAsia="fr-FR" w:bidi="fr-FR"/>
        </w:rPr>
        <w:t xml:space="preserve"> in-8°, Étampes, 1901, iv + 35 p. </w:t>
      </w:r>
      <w:r w:rsidRPr="003B3476">
        <w:rPr>
          <w:bCs/>
          <w:i/>
        </w:rPr>
        <w:t>Cf.</w:t>
      </w:r>
      <w:r w:rsidRPr="003B3476">
        <w:rPr>
          <w:lang w:val="fr-FR" w:eastAsia="fr-FR" w:bidi="fr-FR"/>
        </w:rPr>
        <w:t xml:space="preserve"> sur cet ouvrage un com</w:t>
      </w:r>
      <w:r w:rsidRPr="003B3476">
        <w:rPr>
          <w:lang w:val="fr-FR" w:eastAsia="fr-FR" w:bidi="fr-FR"/>
        </w:rPr>
        <w:t>p</w:t>
      </w:r>
      <w:r w:rsidRPr="003B3476">
        <w:rPr>
          <w:lang w:val="fr-FR" w:eastAsia="fr-FR" w:bidi="fr-FR"/>
        </w:rPr>
        <w:t xml:space="preserve">te rendu (où sont signalées deux omissions) par Henri </w:t>
      </w:r>
      <w:r w:rsidRPr="003B3476">
        <w:rPr>
          <w:rStyle w:val="Notedebasdepage65ptPetitesmajuscules"/>
          <w:b w:val="0"/>
          <w:sz w:val="24"/>
        </w:rPr>
        <w:t xml:space="preserve">Stein, </w:t>
      </w:r>
      <w:r w:rsidRPr="003B3476">
        <w:rPr>
          <w:bCs/>
          <w:i/>
        </w:rPr>
        <w:t>Annales Soc. histor</w:t>
      </w:r>
      <w:r w:rsidRPr="003B3476">
        <w:rPr>
          <w:bCs/>
        </w:rPr>
        <w:t>. Gâtinais,</w:t>
      </w:r>
      <w:r w:rsidRPr="003B3476">
        <w:rPr>
          <w:lang w:val="fr-FR" w:eastAsia="fr-FR" w:bidi="fr-FR"/>
        </w:rPr>
        <w:t xml:space="preserve"> t. XXI, 1903, p. 254.</w:t>
      </w:r>
    </w:p>
  </w:footnote>
  <w:footnote w:id="553">
    <w:p w14:paraId="1F5FC07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 </w:t>
      </w:r>
      <w:r w:rsidRPr="003B3476">
        <w:rPr>
          <w:rStyle w:val="Notedebasdepage265ptNonItaliquePetitesmajuscules"/>
          <w:b w:val="0"/>
          <w:i/>
          <w:iCs/>
          <w:sz w:val="24"/>
        </w:rPr>
        <w:t xml:space="preserve">Mourin, </w:t>
      </w:r>
      <w:r w:rsidRPr="003B3476">
        <w:rPr>
          <w:i/>
          <w:lang w:val="fr-FR" w:eastAsia="fr-FR" w:bidi="fr-FR"/>
        </w:rPr>
        <w:t>Les comtes de Paris, histoire de l’avènement de la troisième race</w:t>
      </w:r>
      <w:r w:rsidRPr="003B3476">
        <w:rPr>
          <w:lang w:val="fr-FR" w:eastAsia="fr-FR" w:bidi="fr-FR"/>
        </w:rPr>
        <w:t>, 2</w:t>
      </w:r>
      <w:r w:rsidRPr="003B3476">
        <w:rPr>
          <w:vertAlign w:val="superscript"/>
          <w:lang w:val="fr-FR" w:eastAsia="fr-FR" w:bidi="fr-FR"/>
        </w:rPr>
        <w:t>e</w:t>
      </w:r>
      <w:r w:rsidRPr="003B3476">
        <w:rPr>
          <w:bCs/>
        </w:rPr>
        <w:t xml:space="preserve"> édit., in-8°, Paris 1872, </w:t>
      </w:r>
      <w:r w:rsidRPr="003B3476">
        <w:rPr>
          <w:bCs/>
          <w:smallCaps/>
        </w:rPr>
        <w:t>xxiii</w:t>
      </w:r>
      <w:r w:rsidRPr="003B3476">
        <w:rPr>
          <w:bCs/>
        </w:rPr>
        <w:t xml:space="preserve"> + 528 p.</w:t>
      </w:r>
    </w:p>
  </w:footnote>
  <w:footnote w:id="554">
    <w:p w14:paraId="376790A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Gabriel </w:t>
      </w:r>
      <w:r w:rsidRPr="003B3476">
        <w:rPr>
          <w:rStyle w:val="Notedebasdepage65ptPetitesmajuscules"/>
          <w:b w:val="0"/>
          <w:sz w:val="24"/>
        </w:rPr>
        <w:t xml:space="preserve">Monod, </w:t>
      </w:r>
      <w:r w:rsidRPr="003B3476">
        <w:rPr>
          <w:bCs/>
          <w:i/>
        </w:rPr>
        <w:t>Revue crit</w:t>
      </w:r>
      <w:r w:rsidRPr="003B3476">
        <w:rPr>
          <w:bCs/>
        </w:rPr>
        <w:t>.,</w:t>
      </w:r>
      <w:r w:rsidRPr="003B3476">
        <w:rPr>
          <w:lang w:val="fr-FR" w:eastAsia="fr-FR" w:bidi="fr-FR"/>
        </w:rPr>
        <w:t xml:space="preserve"> 1874, 2</w:t>
      </w:r>
      <w:r w:rsidRPr="003B3476">
        <w:rPr>
          <w:vertAlign w:val="superscript"/>
          <w:lang w:val="fr-FR" w:eastAsia="fr-FR" w:bidi="fr-FR"/>
        </w:rPr>
        <w:t>e</w:t>
      </w:r>
      <w:r w:rsidRPr="003B3476">
        <w:rPr>
          <w:lang w:val="fr-FR" w:eastAsia="fr-FR" w:bidi="fr-FR"/>
        </w:rPr>
        <w:t xml:space="preserve"> sem., p. 163-170.</w:t>
      </w:r>
    </w:p>
  </w:footnote>
  <w:footnote w:id="555">
    <w:p w14:paraId="1B249D4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Cf.</w:t>
      </w:r>
      <w:r w:rsidRPr="003B3476">
        <w:rPr>
          <w:lang w:val="fr-FR" w:eastAsia="fr-FR" w:bidi="fr-FR"/>
        </w:rPr>
        <w:t xml:space="preserve"> en particulier A. de </w:t>
      </w:r>
      <w:r w:rsidRPr="003B3476">
        <w:rPr>
          <w:smallCaps/>
        </w:rPr>
        <w:t>Barthélemy</w:t>
      </w:r>
      <w:r w:rsidRPr="003B3476">
        <w:t xml:space="preserve">, </w:t>
      </w:r>
      <w:r w:rsidRPr="003B3476">
        <w:rPr>
          <w:i/>
        </w:rPr>
        <w:t>Les origines de la maison de France</w:t>
      </w:r>
      <w:r w:rsidRPr="003B3476">
        <w:rPr>
          <w:lang w:val="fr-FR" w:eastAsia="fr-FR" w:bidi="fr-FR"/>
        </w:rPr>
        <w:t xml:space="preserve">, dans </w:t>
      </w:r>
      <w:r w:rsidRPr="003B3476">
        <w:rPr>
          <w:i/>
        </w:rPr>
        <w:t>Rev. des quest. hist</w:t>
      </w:r>
      <w:r w:rsidRPr="003B3476">
        <w:t>.,</w:t>
      </w:r>
      <w:r w:rsidRPr="003B3476">
        <w:rPr>
          <w:lang w:val="fr-FR" w:eastAsia="fr-FR" w:bidi="fr-FR"/>
        </w:rPr>
        <w:t xml:space="preserve"> </w:t>
      </w:r>
      <w:r w:rsidRPr="003B3476">
        <w:rPr>
          <w:rStyle w:val="Notedebasdepage5ptEspacement0pt"/>
          <w:b w:val="0"/>
          <w:sz w:val="24"/>
        </w:rPr>
        <w:t xml:space="preserve">t. </w:t>
      </w:r>
      <w:r w:rsidRPr="003B3476">
        <w:rPr>
          <w:lang w:val="fr-FR" w:eastAsia="fr-FR" w:bidi="fr-FR"/>
        </w:rPr>
        <w:t xml:space="preserve">XIII, 1873, p. 139-140. </w:t>
      </w:r>
      <w:r w:rsidRPr="003B3476">
        <w:t>(</w:t>
      </w:r>
      <w:r w:rsidRPr="003B3476">
        <w:rPr>
          <w:i/>
        </w:rPr>
        <w:t>Cf.</w:t>
      </w:r>
      <w:r w:rsidRPr="003B3476">
        <w:t xml:space="preserve"> </w:t>
      </w:r>
      <w:r w:rsidRPr="003B3476">
        <w:rPr>
          <w:i/>
        </w:rPr>
        <w:t>Rev. crit</w:t>
      </w:r>
      <w:r w:rsidRPr="003B3476">
        <w:t>.,</w:t>
      </w:r>
      <w:r w:rsidRPr="003B3476">
        <w:rPr>
          <w:lang w:val="fr-FR" w:eastAsia="fr-FR" w:bidi="fr-FR"/>
        </w:rPr>
        <w:t xml:space="preserve"> 1873, 2</w:t>
      </w:r>
      <w:r w:rsidRPr="003B3476">
        <w:rPr>
          <w:vertAlign w:val="superscript"/>
          <w:lang w:val="fr-FR" w:eastAsia="fr-FR" w:bidi="fr-FR"/>
        </w:rPr>
        <w:t>e</w:t>
      </w:r>
      <w:r w:rsidRPr="003B3476">
        <w:rPr>
          <w:lang w:val="fr-FR" w:eastAsia="fr-FR" w:bidi="fr-FR"/>
        </w:rPr>
        <w:t xml:space="preserve"> sem., p. 97-101).</w:t>
      </w:r>
    </w:p>
  </w:footnote>
  <w:footnote w:id="556">
    <w:p w14:paraId="66B25B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Mém. Soc. histor. Pontoise</w:t>
      </w:r>
      <w:r w:rsidRPr="003B3476">
        <w:rPr>
          <w:bCs/>
        </w:rPr>
        <w:t>,</w:t>
      </w:r>
      <w:r w:rsidRPr="003B3476">
        <w:rPr>
          <w:lang w:val="fr-FR" w:eastAsia="fr-FR" w:bidi="fr-FR"/>
        </w:rPr>
        <w:t xml:space="preserve"> t. XXXI 1912, p. 83-117.</w:t>
      </w:r>
    </w:p>
  </w:footnote>
  <w:footnote w:id="557">
    <w:p w14:paraId="635AD1C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bCs/>
        </w:rPr>
        <w:t xml:space="preserve">J. </w:t>
      </w:r>
      <w:r w:rsidRPr="00841BE4">
        <w:rPr>
          <w:rStyle w:val="Notedebasdepage265ptNonItaliquePetitesmajuscules"/>
          <w:b w:val="0"/>
          <w:iCs/>
          <w:sz w:val="24"/>
        </w:rPr>
        <w:t>Devaux</w:t>
      </w:r>
      <w:r w:rsidRPr="003B3476">
        <w:rPr>
          <w:rStyle w:val="Notedebasdepage265ptNonItaliquePetitesmajuscules"/>
          <w:b w:val="0"/>
          <w:i/>
          <w:iCs/>
          <w:sz w:val="24"/>
        </w:rPr>
        <w:t xml:space="preserve">, </w:t>
      </w:r>
      <w:r w:rsidRPr="003B3476">
        <w:rPr>
          <w:i/>
          <w:lang w:val="fr-FR" w:eastAsia="fr-FR" w:bidi="fr-FR"/>
        </w:rPr>
        <w:t>Étude chronologique sur les comtes du Gâtinais</w:t>
      </w:r>
      <w:r w:rsidRPr="003B3476">
        <w:rPr>
          <w:lang w:val="fr-FR" w:eastAsia="fr-FR" w:bidi="fr-FR"/>
        </w:rPr>
        <w:t>,</w:t>
      </w:r>
      <w:r w:rsidRPr="003B3476">
        <w:rPr>
          <w:bCs/>
        </w:rPr>
        <w:t xml:space="preserve"> dans </w:t>
      </w:r>
      <w:r w:rsidRPr="003B3476">
        <w:rPr>
          <w:i/>
          <w:lang w:val="fr-FR" w:eastAsia="fr-FR" w:bidi="fr-FR"/>
        </w:rPr>
        <w:t>Ann. Soc. histor. Gâtinais</w:t>
      </w:r>
      <w:r w:rsidRPr="003B3476">
        <w:rPr>
          <w:lang w:val="fr-FR" w:eastAsia="fr-FR" w:bidi="fr-FR"/>
        </w:rPr>
        <w:t>,</w:t>
      </w:r>
      <w:r w:rsidRPr="003B3476">
        <w:rPr>
          <w:bCs/>
        </w:rPr>
        <w:t xml:space="preserve"> </w:t>
      </w:r>
      <w:r w:rsidRPr="003B3476">
        <w:rPr>
          <w:rStyle w:val="Notedebasdepage265ptNonItalique"/>
          <w:b w:val="0"/>
          <w:i/>
          <w:iCs/>
          <w:sz w:val="24"/>
        </w:rPr>
        <w:t xml:space="preserve">t. </w:t>
      </w:r>
      <w:r w:rsidRPr="003B3476">
        <w:rPr>
          <w:bCs/>
        </w:rPr>
        <w:t xml:space="preserve">III, 1885, </w:t>
      </w:r>
      <w:r w:rsidRPr="003B3476">
        <w:rPr>
          <w:rStyle w:val="Notedebasdepage265ptNonItalique"/>
          <w:b w:val="0"/>
          <w:i/>
          <w:iCs/>
          <w:sz w:val="24"/>
        </w:rPr>
        <w:t xml:space="preserve">p. </w:t>
      </w:r>
      <w:r w:rsidRPr="003B3476">
        <w:rPr>
          <w:bCs/>
        </w:rPr>
        <w:t xml:space="preserve">55-83 ; </w:t>
      </w:r>
      <w:r w:rsidRPr="003B3476">
        <w:rPr>
          <w:rStyle w:val="Notedebasdepage265ptNonItaliquePetitesmajuscules"/>
          <w:b w:val="0"/>
          <w:i/>
          <w:iCs/>
          <w:sz w:val="24"/>
        </w:rPr>
        <w:t xml:space="preserve">C. </w:t>
      </w:r>
      <w:r w:rsidRPr="00841BE4">
        <w:rPr>
          <w:rStyle w:val="Notedebasdepage265ptNonItaliquePetitesmajuscules"/>
          <w:b w:val="0"/>
          <w:iCs/>
          <w:sz w:val="24"/>
        </w:rPr>
        <w:t>Ballu</w:t>
      </w:r>
      <w:r w:rsidRPr="003B3476">
        <w:rPr>
          <w:rStyle w:val="Notedebasdepage265ptNonItaliquePetitesmajuscules"/>
          <w:b w:val="0"/>
          <w:i/>
          <w:iCs/>
          <w:sz w:val="24"/>
        </w:rPr>
        <w:t xml:space="preserve">, </w:t>
      </w:r>
      <w:r w:rsidRPr="003B3476">
        <w:rPr>
          <w:i/>
          <w:lang w:val="fr-FR" w:eastAsia="fr-FR" w:bidi="fr-FR"/>
        </w:rPr>
        <w:t>De la suzeraineté des co</w:t>
      </w:r>
      <w:r w:rsidRPr="003B3476">
        <w:rPr>
          <w:i/>
          <w:lang w:val="fr-FR" w:eastAsia="fr-FR" w:bidi="fr-FR"/>
        </w:rPr>
        <w:t>m</w:t>
      </w:r>
      <w:r w:rsidRPr="003B3476">
        <w:rPr>
          <w:i/>
          <w:lang w:val="fr-FR" w:eastAsia="fr-FR" w:bidi="fr-FR"/>
        </w:rPr>
        <w:t>tes d’Anjou sur le Gâtinais</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VIII, 1890, </w:t>
      </w:r>
      <w:r w:rsidRPr="003B3476">
        <w:rPr>
          <w:rStyle w:val="Notedebasdepage265ptNonItalique"/>
          <w:b w:val="0"/>
          <w:i/>
          <w:iCs/>
          <w:sz w:val="24"/>
        </w:rPr>
        <w:t xml:space="preserve">p. </w:t>
      </w:r>
      <w:r w:rsidRPr="003B3476">
        <w:rPr>
          <w:bCs/>
        </w:rPr>
        <w:t xml:space="preserve">157-182 ; J. </w:t>
      </w:r>
      <w:r w:rsidRPr="00841BE4">
        <w:rPr>
          <w:rStyle w:val="Notedebasdepage265ptNonItaliquePetitesmajuscules"/>
          <w:b w:val="0"/>
          <w:iCs/>
          <w:sz w:val="24"/>
        </w:rPr>
        <w:t>Devaux</w:t>
      </w:r>
      <w:r w:rsidRPr="003B3476">
        <w:rPr>
          <w:rStyle w:val="Notedebasdepage265ptNonItaliquePetitesmajuscules"/>
          <w:b w:val="0"/>
          <w:i/>
          <w:iCs/>
          <w:sz w:val="24"/>
        </w:rPr>
        <w:t xml:space="preserve">, </w:t>
      </w:r>
      <w:r w:rsidRPr="003B3476">
        <w:rPr>
          <w:i/>
          <w:lang w:val="fr-FR" w:eastAsia="fr-FR" w:bidi="fr-FR"/>
        </w:rPr>
        <w:t>Or</w:t>
      </w:r>
      <w:r w:rsidRPr="003B3476">
        <w:rPr>
          <w:i/>
          <w:lang w:val="fr-FR" w:eastAsia="fr-FR" w:bidi="fr-FR"/>
        </w:rPr>
        <w:t>i</w:t>
      </w:r>
      <w:r w:rsidRPr="003B3476">
        <w:rPr>
          <w:i/>
          <w:lang w:val="fr-FR" w:eastAsia="fr-FR" w:bidi="fr-FR"/>
        </w:rPr>
        <w:t>gines gâtinaises</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X, 1892, </w:t>
      </w:r>
      <w:r w:rsidRPr="003B3476">
        <w:rPr>
          <w:rStyle w:val="Notedebasdepage265ptNonItalique"/>
          <w:b w:val="0"/>
          <w:i/>
          <w:iCs/>
          <w:sz w:val="24"/>
        </w:rPr>
        <w:t xml:space="preserve">p. </w:t>
      </w:r>
      <w:r w:rsidRPr="003B3476">
        <w:rPr>
          <w:bCs/>
        </w:rPr>
        <w:t xml:space="preserve">241-260 et t. XIV, 1896, </w:t>
      </w:r>
      <w:r w:rsidRPr="003B3476">
        <w:rPr>
          <w:rStyle w:val="Notedebasdepage265ptNonItalique"/>
          <w:b w:val="0"/>
          <w:i/>
          <w:iCs/>
          <w:sz w:val="24"/>
        </w:rPr>
        <w:t xml:space="preserve">p. </w:t>
      </w:r>
      <w:r w:rsidRPr="003B3476">
        <w:rPr>
          <w:bCs/>
        </w:rPr>
        <w:t xml:space="preserve">292-231 ; E. </w:t>
      </w:r>
      <w:r w:rsidRPr="00841BE4">
        <w:rPr>
          <w:rStyle w:val="Notedebasdepage265ptNonItaliquePetitesmajuscules"/>
          <w:b w:val="0"/>
          <w:iCs/>
          <w:sz w:val="24"/>
        </w:rPr>
        <w:t>Thoison</w:t>
      </w:r>
      <w:r w:rsidRPr="003B3476">
        <w:rPr>
          <w:rStyle w:val="Notedebasdepage265ptNonItaliquePetitesmajuscules"/>
          <w:b w:val="0"/>
          <w:i/>
          <w:iCs/>
          <w:sz w:val="24"/>
        </w:rPr>
        <w:t xml:space="preserve">, </w:t>
      </w:r>
      <w:r w:rsidRPr="003B3476">
        <w:rPr>
          <w:i/>
          <w:lang w:val="fr-FR" w:eastAsia="fr-FR" w:bidi="fr-FR"/>
        </w:rPr>
        <w:t>Lettre à M. Jules D</w:t>
      </w:r>
      <w:r w:rsidRPr="003B3476">
        <w:rPr>
          <w:i/>
          <w:lang w:val="fr-FR" w:eastAsia="fr-FR" w:bidi="fr-FR"/>
        </w:rPr>
        <w:t>e</w:t>
      </w:r>
      <w:r w:rsidRPr="003B3476">
        <w:rPr>
          <w:i/>
          <w:lang w:val="fr-FR" w:eastAsia="fr-FR" w:bidi="fr-FR"/>
        </w:rPr>
        <w:t>vaux</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XI, 1893, </w:t>
      </w:r>
      <w:r w:rsidRPr="003B3476">
        <w:rPr>
          <w:rStyle w:val="Notedebasdepage265ptNonItalique"/>
          <w:b w:val="0"/>
          <w:i/>
          <w:iCs/>
          <w:sz w:val="24"/>
        </w:rPr>
        <w:t xml:space="preserve">p. </w:t>
      </w:r>
      <w:r w:rsidRPr="003B3476">
        <w:rPr>
          <w:bCs/>
        </w:rPr>
        <w:t>126-128 ; P. </w:t>
      </w:r>
      <w:r w:rsidRPr="00841BE4">
        <w:rPr>
          <w:rStyle w:val="Notedebasdepage265ptNonItaliquePetitesmajuscules"/>
          <w:b w:val="0"/>
          <w:iCs/>
          <w:sz w:val="24"/>
        </w:rPr>
        <w:t>Quesvers</w:t>
      </w:r>
      <w:r w:rsidRPr="003B3476">
        <w:rPr>
          <w:rStyle w:val="Notedebasdepage265ptNonItaliquePetitesmajuscules"/>
          <w:b w:val="0"/>
          <w:i/>
          <w:iCs/>
          <w:sz w:val="24"/>
        </w:rPr>
        <w:t xml:space="preserve">, </w:t>
      </w:r>
      <w:r w:rsidRPr="003B3476">
        <w:rPr>
          <w:i/>
          <w:lang w:val="fr-FR" w:eastAsia="fr-FR" w:bidi="fr-FR"/>
        </w:rPr>
        <w:t>Gastins en Gâtinais ?</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XII, 1894, </w:t>
      </w:r>
      <w:r w:rsidRPr="003B3476">
        <w:rPr>
          <w:rStyle w:val="Notedebasdepage265ptNonItalique"/>
          <w:b w:val="0"/>
          <w:i/>
          <w:iCs/>
          <w:sz w:val="24"/>
        </w:rPr>
        <w:t xml:space="preserve">p. </w:t>
      </w:r>
      <w:r w:rsidRPr="003B3476">
        <w:rPr>
          <w:bCs/>
        </w:rPr>
        <w:t>1-27 ; G. </w:t>
      </w:r>
      <w:r w:rsidRPr="003B3476">
        <w:rPr>
          <w:rStyle w:val="Notedebasdepage265ptNonItalique"/>
          <w:b w:val="0"/>
          <w:i/>
          <w:iCs/>
          <w:smallCaps/>
          <w:sz w:val="24"/>
        </w:rPr>
        <w:t>d’Espinay</w:t>
      </w:r>
      <w:r w:rsidRPr="003B3476">
        <w:rPr>
          <w:rStyle w:val="Notedebasdepage265ptNonItalique"/>
          <w:b w:val="0"/>
          <w:i/>
          <w:iCs/>
          <w:sz w:val="24"/>
        </w:rPr>
        <w:t xml:space="preserve">, </w:t>
      </w:r>
      <w:r w:rsidRPr="003B3476">
        <w:rPr>
          <w:i/>
          <w:lang w:val="fr-FR" w:eastAsia="fr-FR" w:bidi="fr-FR"/>
        </w:rPr>
        <w:t>Les comtes du Gâtinais</w:t>
      </w:r>
      <w:r w:rsidRPr="003B3476">
        <w:rPr>
          <w:lang w:val="fr-FR" w:eastAsia="fr-FR" w:bidi="fr-FR"/>
        </w:rPr>
        <w:t>,</w:t>
      </w:r>
      <w:r w:rsidRPr="003B3476">
        <w:rPr>
          <w:bCs/>
        </w:rPr>
        <w:t xml:space="preserve"> dans </w:t>
      </w:r>
      <w:r w:rsidRPr="003B3476">
        <w:rPr>
          <w:i/>
          <w:lang w:val="fr-FR" w:eastAsia="fr-FR" w:bidi="fr-FR"/>
        </w:rPr>
        <w:t>Mém. Soc. agricult. d’Angers</w:t>
      </w:r>
      <w:r w:rsidRPr="003B3476">
        <w:rPr>
          <w:bCs/>
        </w:rPr>
        <w:t>, t. I de la 5</w:t>
      </w:r>
      <w:r w:rsidRPr="003B3476">
        <w:rPr>
          <w:bCs/>
          <w:vertAlign w:val="superscript"/>
        </w:rPr>
        <w:t>e</w:t>
      </w:r>
      <w:r w:rsidRPr="003B3476">
        <w:rPr>
          <w:bCs/>
        </w:rPr>
        <w:t xml:space="preserve"> série, 1898, </w:t>
      </w:r>
      <w:r w:rsidRPr="003B3476">
        <w:rPr>
          <w:rStyle w:val="Notedebasdepage265ptNonItalique"/>
          <w:b w:val="0"/>
          <w:i/>
          <w:iCs/>
          <w:sz w:val="24"/>
        </w:rPr>
        <w:t xml:space="preserve">p. </w:t>
      </w:r>
      <w:r w:rsidRPr="003B3476">
        <w:rPr>
          <w:bCs/>
        </w:rPr>
        <w:t xml:space="preserve">25-42 ; M. </w:t>
      </w:r>
      <w:r w:rsidRPr="00841BE4">
        <w:rPr>
          <w:rStyle w:val="Notedebasdepage265ptNonItaliquePetitesmajuscules"/>
          <w:b w:val="0"/>
          <w:iCs/>
          <w:sz w:val="24"/>
        </w:rPr>
        <w:t>Prou</w:t>
      </w:r>
      <w:r w:rsidRPr="003B3476">
        <w:rPr>
          <w:rStyle w:val="Notedebasdepage265ptNonItaliquePetitesmajuscules"/>
          <w:b w:val="0"/>
          <w:i/>
          <w:iCs/>
          <w:sz w:val="24"/>
        </w:rPr>
        <w:t xml:space="preserve">, </w:t>
      </w:r>
      <w:r w:rsidRPr="003B3476">
        <w:rPr>
          <w:i/>
          <w:lang w:val="fr-FR" w:eastAsia="fr-FR" w:bidi="fr-FR"/>
        </w:rPr>
        <w:t>L’acquisition du Gâtinais par Philippe I</w:t>
      </w:r>
      <w:r w:rsidRPr="003B3476">
        <w:rPr>
          <w:i/>
          <w:vertAlign w:val="superscript"/>
          <w:lang w:val="fr-FR" w:eastAsia="fr-FR" w:bidi="fr-FR"/>
        </w:rPr>
        <w:t>er</w:t>
      </w:r>
      <w:r w:rsidRPr="003B3476">
        <w:rPr>
          <w:lang w:val="fr-FR" w:eastAsia="fr-FR" w:bidi="fr-FR"/>
        </w:rPr>
        <w:t>,</w:t>
      </w:r>
      <w:r w:rsidRPr="003B3476">
        <w:rPr>
          <w:bCs/>
        </w:rPr>
        <w:t xml:space="preserve"> dans </w:t>
      </w:r>
      <w:r w:rsidRPr="003B3476">
        <w:rPr>
          <w:i/>
          <w:lang w:val="fr-FR" w:eastAsia="fr-FR" w:bidi="fr-FR"/>
        </w:rPr>
        <w:t>Ann. Soc. hi</w:t>
      </w:r>
      <w:r w:rsidRPr="003B3476">
        <w:rPr>
          <w:i/>
          <w:lang w:val="fr-FR" w:eastAsia="fr-FR" w:bidi="fr-FR"/>
        </w:rPr>
        <w:t>s</w:t>
      </w:r>
      <w:r w:rsidRPr="003B3476">
        <w:rPr>
          <w:i/>
          <w:lang w:val="fr-FR" w:eastAsia="fr-FR" w:bidi="fr-FR"/>
        </w:rPr>
        <w:t>tor. Gâtinais</w:t>
      </w:r>
      <w:r w:rsidRPr="003B3476">
        <w:rPr>
          <w:lang w:val="fr-FR" w:eastAsia="fr-FR" w:bidi="fr-FR"/>
        </w:rPr>
        <w:t>,</w:t>
      </w:r>
      <w:r w:rsidRPr="003B3476">
        <w:rPr>
          <w:bCs/>
        </w:rPr>
        <w:t xml:space="preserve"> t. XVI, 1898, </w:t>
      </w:r>
      <w:r w:rsidRPr="003B3476">
        <w:rPr>
          <w:rStyle w:val="Notedebasdepage265ptNonItalique"/>
          <w:b w:val="0"/>
          <w:i/>
          <w:iCs/>
          <w:sz w:val="24"/>
        </w:rPr>
        <w:t xml:space="preserve">p. </w:t>
      </w:r>
      <w:r w:rsidRPr="003B3476">
        <w:rPr>
          <w:bCs/>
        </w:rPr>
        <w:t xml:space="preserve">177-190 ; </w:t>
      </w:r>
      <w:r w:rsidRPr="003B3476">
        <w:rPr>
          <w:rStyle w:val="Notedebasdepage265ptNonItaliquePetitesmajuscules"/>
          <w:b w:val="0"/>
          <w:i/>
          <w:iCs/>
          <w:sz w:val="24"/>
        </w:rPr>
        <w:t>H. </w:t>
      </w:r>
      <w:r w:rsidRPr="00841BE4">
        <w:rPr>
          <w:rStyle w:val="Notedebasdepage265ptNonItaliquePetitesmajuscules"/>
          <w:b w:val="0"/>
          <w:iCs/>
          <w:sz w:val="24"/>
        </w:rPr>
        <w:t>Stein</w:t>
      </w:r>
      <w:r w:rsidRPr="003B3476">
        <w:rPr>
          <w:rStyle w:val="Notedebasdepage265ptNonItaliquePetitesmajuscules"/>
          <w:b w:val="0"/>
          <w:i/>
          <w:iCs/>
          <w:sz w:val="24"/>
        </w:rPr>
        <w:t xml:space="preserve">, </w:t>
      </w:r>
      <w:r w:rsidRPr="003B3476">
        <w:rPr>
          <w:i/>
          <w:lang w:val="fr-FR" w:eastAsia="fr-FR" w:bidi="fr-FR"/>
        </w:rPr>
        <w:t>Note sur un diplôme du roi Raoul,</w:t>
      </w:r>
      <w:r w:rsidRPr="003B3476">
        <w:rPr>
          <w:bCs/>
        </w:rPr>
        <w:t xml:space="preserve"> dans </w:t>
      </w:r>
      <w:r w:rsidRPr="003B3476">
        <w:rPr>
          <w:i/>
          <w:lang w:val="fr-FR" w:eastAsia="fr-FR" w:bidi="fr-FR"/>
        </w:rPr>
        <w:t>Le Moyen Âge</w:t>
      </w:r>
      <w:r w:rsidRPr="003B3476">
        <w:rPr>
          <w:lang w:val="fr-FR" w:eastAsia="fr-FR" w:bidi="fr-FR"/>
        </w:rPr>
        <w:t>,</w:t>
      </w:r>
      <w:r w:rsidRPr="003B3476">
        <w:rPr>
          <w:bCs/>
        </w:rPr>
        <w:t xml:space="preserve"> 1902, </w:t>
      </w:r>
      <w:r w:rsidRPr="003B3476">
        <w:rPr>
          <w:rStyle w:val="Notedebasdepage265ptNonItalique"/>
          <w:b w:val="0"/>
          <w:i/>
          <w:iCs/>
          <w:sz w:val="24"/>
        </w:rPr>
        <w:t>p. </w:t>
      </w:r>
      <w:r w:rsidRPr="003B3476">
        <w:rPr>
          <w:bCs/>
        </w:rPr>
        <w:t>326-332 ;</w:t>
      </w:r>
      <w:r w:rsidRPr="003B3476">
        <w:rPr>
          <w:rStyle w:val="Notedebasdepage265ptNonItaliquePetitesmajuscules"/>
          <w:b w:val="0"/>
          <w:i/>
          <w:iCs/>
          <w:sz w:val="24"/>
        </w:rPr>
        <w:t xml:space="preserve"> </w:t>
      </w:r>
      <w:r w:rsidRPr="00841BE4">
        <w:rPr>
          <w:rStyle w:val="Notedebasdepage265ptNonItaliquePetitesmajuscules"/>
          <w:b w:val="0"/>
          <w:iCs/>
          <w:sz w:val="24"/>
        </w:rPr>
        <w:t>L.</w:t>
      </w:r>
      <w:r w:rsidRPr="003B3476">
        <w:rPr>
          <w:rStyle w:val="Notedebasdepage265ptNonItaliquePetitesmajuscules"/>
          <w:b w:val="0"/>
          <w:i/>
          <w:iCs/>
          <w:sz w:val="24"/>
        </w:rPr>
        <w:t xml:space="preserve"> </w:t>
      </w:r>
      <w:r w:rsidRPr="00841BE4">
        <w:rPr>
          <w:rStyle w:val="Notedebasdepage265ptNonItaliquePetitesmajuscules"/>
          <w:b w:val="0"/>
          <w:iCs/>
          <w:sz w:val="24"/>
        </w:rPr>
        <w:t>Halphen</w:t>
      </w:r>
      <w:r w:rsidRPr="003B3476">
        <w:rPr>
          <w:rStyle w:val="Notedebasdepage265ptNonItaliquePetitesmajuscules"/>
          <w:b w:val="0"/>
          <w:i/>
          <w:iCs/>
          <w:sz w:val="24"/>
        </w:rPr>
        <w:t xml:space="preserve">, </w:t>
      </w:r>
      <w:r w:rsidRPr="003B3476">
        <w:rPr>
          <w:i/>
          <w:lang w:val="fr-FR" w:eastAsia="fr-FR" w:bidi="fr-FR"/>
        </w:rPr>
        <w:t>Le comté d’Anjou au XI</w:t>
      </w:r>
      <w:r w:rsidRPr="003B3476">
        <w:rPr>
          <w:i/>
          <w:vertAlign w:val="superscript"/>
          <w:lang w:val="fr-FR" w:eastAsia="fr-FR" w:bidi="fr-FR"/>
        </w:rPr>
        <w:t>e</w:t>
      </w:r>
      <w:r w:rsidRPr="003B3476">
        <w:rPr>
          <w:i/>
          <w:lang w:val="fr-FR" w:eastAsia="fr-FR" w:bidi="fr-FR"/>
        </w:rPr>
        <w:t xml:space="preserve"> siècle</w:t>
      </w:r>
      <w:r w:rsidRPr="003B3476">
        <w:rPr>
          <w:bCs/>
        </w:rPr>
        <w:t xml:space="preserve"> (th. Fac. Lettres, Paris), in-8°, Paris, 1906, </w:t>
      </w:r>
      <w:r w:rsidRPr="003B3476">
        <w:rPr>
          <w:rStyle w:val="Notedebasdepage265ptNonItalique"/>
          <w:b w:val="0"/>
          <w:i/>
          <w:iCs/>
          <w:sz w:val="24"/>
        </w:rPr>
        <w:t xml:space="preserve">p. </w:t>
      </w:r>
      <w:r w:rsidRPr="003B3476">
        <w:rPr>
          <w:bCs/>
        </w:rPr>
        <w:t xml:space="preserve">133, </w:t>
      </w:r>
      <w:r w:rsidRPr="003B3476">
        <w:rPr>
          <w:rStyle w:val="Notedebasdepage285ptNonItalique"/>
          <w:b w:val="0"/>
          <w:i w:val="0"/>
          <w:iCs w:val="0"/>
          <w:sz w:val="24"/>
        </w:rPr>
        <w:t xml:space="preserve">n. </w:t>
      </w:r>
      <w:r w:rsidRPr="003B3476">
        <w:rPr>
          <w:bCs/>
        </w:rPr>
        <w:t xml:space="preserve">2 et 150 ; Aug. </w:t>
      </w:r>
      <w:r w:rsidRPr="00841BE4">
        <w:rPr>
          <w:rStyle w:val="Notedebasdepage265ptNonItaliquePetitesmajuscules"/>
          <w:b w:val="0"/>
          <w:iCs/>
          <w:sz w:val="24"/>
        </w:rPr>
        <w:t>Fliche</w:t>
      </w:r>
      <w:r w:rsidRPr="003B3476">
        <w:rPr>
          <w:rStyle w:val="Notedebasdepage265ptNonItaliquePetitesmajuscules"/>
          <w:b w:val="0"/>
          <w:i/>
          <w:iCs/>
          <w:sz w:val="24"/>
        </w:rPr>
        <w:t xml:space="preserve">, </w:t>
      </w:r>
      <w:r w:rsidRPr="003B3476">
        <w:rPr>
          <w:i/>
          <w:lang w:val="fr-FR" w:eastAsia="fr-FR" w:bidi="fr-FR"/>
        </w:rPr>
        <w:t>Le règne de Philippe I</w:t>
      </w:r>
      <w:r w:rsidRPr="003B3476">
        <w:rPr>
          <w:i/>
          <w:vertAlign w:val="superscript"/>
          <w:lang w:val="fr-FR" w:eastAsia="fr-FR" w:bidi="fr-FR"/>
        </w:rPr>
        <w:t>er</w:t>
      </w:r>
      <w:r w:rsidRPr="003B3476">
        <w:rPr>
          <w:i/>
          <w:lang w:val="fr-FR" w:eastAsia="fr-FR" w:bidi="fr-FR"/>
        </w:rPr>
        <w:t xml:space="preserve"> roi de France</w:t>
      </w:r>
      <w:r w:rsidRPr="003B3476">
        <w:rPr>
          <w:bCs/>
        </w:rPr>
        <w:t xml:space="preserve"> (th. Fac. Le</w:t>
      </w:r>
      <w:r w:rsidRPr="003B3476">
        <w:rPr>
          <w:bCs/>
        </w:rPr>
        <w:t>t</w:t>
      </w:r>
      <w:r w:rsidRPr="003B3476">
        <w:rPr>
          <w:bCs/>
        </w:rPr>
        <w:t>tres, Paris), in-8°, Paris, 1912, p. 139-143.</w:t>
      </w:r>
      <w:r w:rsidRPr="003B3476">
        <w:rPr>
          <w:lang w:val="fr-FR"/>
        </w:rPr>
        <w:tab/>
      </w:r>
    </w:p>
  </w:footnote>
  <w:footnote w:id="558">
    <w:p w14:paraId="2E2F1F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Il va de soi que les ouvrages consacrés aux villes comtales : Chartres, Melun, Meaux, Corbeil, etc. — qui ont été signalés à la bibliographie des </w:t>
      </w:r>
      <w:r w:rsidRPr="003B3476">
        <w:rPr>
          <w:bCs/>
          <w:i/>
        </w:rPr>
        <w:t>monogr</w:t>
      </w:r>
      <w:r w:rsidRPr="003B3476">
        <w:rPr>
          <w:bCs/>
          <w:i/>
        </w:rPr>
        <w:t>a</w:t>
      </w:r>
      <w:r w:rsidRPr="003B3476">
        <w:rPr>
          <w:bCs/>
          <w:i/>
        </w:rPr>
        <w:t>phies locales</w:t>
      </w:r>
      <w:r w:rsidRPr="003B3476">
        <w:rPr>
          <w:lang w:val="fr-FR" w:eastAsia="fr-FR" w:bidi="fr-FR"/>
        </w:rPr>
        <w:t xml:space="preserve"> ou bien à celle de </w:t>
      </w:r>
      <w:r w:rsidRPr="003B3476">
        <w:rPr>
          <w:bCs/>
        </w:rPr>
        <w:t>l’</w:t>
      </w:r>
      <w:r w:rsidRPr="003B3476">
        <w:rPr>
          <w:bCs/>
          <w:i/>
        </w:rPr>
        <w:t>histoire locale avant le XIX</w:t>
      </w:r>
      <w:r w:rsidRPr="003B3476">
        <w:rPr>
          <w:bCs/>
          <w:i/>
          <w:vertAlign w:val="superscript"/>
        </w:rPr>
        <w:t>e</w:t>
      </w:r>
      <w:r w:rsidRPr="003B3476">
        <w:rPr>
          <w:bCs/>
          <w:i/>
        </w:rPr>
        <w:t> siècle </w:t>
      </w:r>
      <w:r w:rsidRPr="003B3476">
        <w:rPr>
          <w:lang w:val="fr-FR" w:eastAsia="fr-FR" w:bidi="fr-FR"/>
        </w:rPr>
        <w:t>— renferment des renseignements sur les comtes. Inutile de les indiquer à no</w:t>
      </w:r>
      <w:r w:rsidRPr="003B3476">
        <w:rPr>
          <w:lang w:val="fr-FR" w:eastAsia="fr-FR" w:bidi="fr-FR"/>
        </w:rPr>
        <w:t>u</w:t>
      </w:r>
      <w:r w:rsidRPr="003B3476">
        <w:rPr>
          <w:lang w:val="fr-FR" w:eastAsia="fr-FR" w:bidi="fr-FR"/>
        </w:rPr>
        <w:t xml:space="preserve">veau ici. Sur les comtes de Chartres, consulter B. </w:t>
      </w:r>
      <w:r w:rsidRPr="003B3476">
        <w:rPr>
          <w:rStyle w:val="Notedebasdepage65ptPetitesmajuscules"/>
          <w:b w:val="0"/>
          <w:sz w:val="24"/>
        </w:rPr>
        <w:t xml:space="preserve">Merlet, </w:t>
      </w:r>
      <w:r w:rsidRPr="003B3476">
        <w:rPr>
          <w:bCs/>
          <w:i/>
        </w:rPr>
        <w:t>Les comtes de Chartres, de Châteaudun et de Blois aux IX</w:t>
      </w:r>
      <w:r w:rsidRPr="003B3476">
        <w:rPr>
          <w:bCs/>
          <w:i/>
          <w:vertAlign w:val="superscript"/>
        </w:rPr>
        <w:t>e</w:t>
      </w:r>
      <w:r w:rsidRPr="003B3476">
        <w:rPr>
          <w:bCs/>
          <w:i/>
        </w:rPr>
        <w:t xml:space="preserve"> et X</w:t>
      </w:r>
      <w:r w:rsidRPr="003B3476">
        <w:rPr>
          <w:bCs/>
          <w:i/>
          <w:vertAlign w:val="superscript"/>
        </w:rPr>
        <w:t>e</w:t>
      </w:r>
      <w:r w:rsidRPr="003B3476">
        <w:rPr>
          <w:bCs/>
          <w:i/>
        </w:rPr>
        <w:t xml:space="preserve"> siècles</w:t>
      </w:r>
      <w:r w:rsidRPr="003B3476">
        <w:rPr>
          <w:bCs/>
        </w:rPr>
        <w:t>,</w:t>
      </w:r>
      <w:r w:rsidRPr="003B3476">
        <w:rPr>
          <w:lang w:val="fr-FR" w:eastAsia="fr-FR" w:bidi="fr-FR"/>
        </w:rPr>
        <w:t xml:space="preserve"> dans </w:t>
      </w:r>
      <w:r w:rsidRPr="003B3476">
        <w:rPr>
          <w:bCs/>
          <w:i/>
        </w:rPr>
        <w:t>Mém. Soc. a</w:t>
      </w:r>
      <w:r w:rsidRPr="003B3476">
        <w:rPr>
          <w:bCs/>
          <w:i/>
        </w:rPr>
        <w:t>r</w:t>
      </w:r>
      <w:r w:rsidRPr="003B3476">
        <w:rPr>
          <w:bCs/>
          <w:i/>
        </w:rPr>
        <w:t>chéol. Eure-et-Loir</w:t>
      </w:r>
      <w:r w:rsidRPr="003B3476">
        <w:rPr>
          <w:bCs/>
        </w:rPr>
        <w:t xml:space="preserve">, </w:t>
      </w:r>
      <w:r w:rsidRPr="003B3476">
        <w:rPr>
          <w:lang w:val="fr-FR" w:eastAsia="fr-FR" w:bidi="fr-FR"/>
        </w:rPr>
        <w:t xml:space="preserve">t. XII, 1901, p. 1-84. </w:t>
      </w:r>
      <w:r w:rsidRPr="003B3476">
        <w:rPr>
          <w:bCs/>
          <w:i/>
        </w:rPr>
        <w:t>Cf.</w:t>
      </w:r>
      <w:r w:rsidRPr="003B3476">
        <w:rPr>
          <w:lang w:val="fr-FR" w:eastAsia="fr-FR" w:bidi="fr-FR"/>
        </w:rPr>
        <w:t xml:space="preserve"> A. </w:t>
      </w:r>
      <w:r w:rsidRPr="003B3476">
        <w:rPr>
          <w:rStyle w:val="Notedebasdepage65ptPetitesmajuscules"/>
          <w:b w:val="0"/>
          <w:sz w:val="24"/>
        </w:rPr>
        <w:t xml:space="preserve">Dupré, </w:t>
      </w:r>
      <w:r w:rsidRPr="003B3476">
        <w:rPr>
          <w:bCs/>
          <w:i/>
        </w:rPr>
        <w:t>Les Comtesses de Chartres et de Blois. Étude histor</w:t>
      </w:r>
      <w:r w:rsidRPr="003B3476">
        <w:rPr>
          <w:bCs/>
        </w:rPr>
        <w:t>.,</w:t>
      </w:r>
      <w:r w:rsidRPr="003B3476">
        <w:rPr>
          <w:lang w:val="fr-FR" w:eastAsia="fr-FR" w:bidi="fr-FR"/>
        </w:rPr>
        <w:t xml:space="preserve"> dans </w:t>
      </w:r>
      <w:r w:rsidRPr="003B3476">
        <w:rPr>
          <w:bCs/>
          <w:i/>
        </w:rPr>
        <w:t>Mém. Soc. archéol. Eure-et-Loir</w:t>
      </w:r>
      <w:r w:rsidRPr="003B3476">
        <w:rPr>
          <w:bCs/>
        </w:rPr>
        <w:t>,</w:t>
      </w:r>
      <w:r w:rsidRPr="003B3476">
        <w:rPr>
          <w:lang w:val="fr-FR" w:eastAsia="fr-FR" w:bidi="fr-FR"/>
        </w:rPr>
        <w:t xml:space="preserve"> t. V, 1872, p. 198-236 et (l’histoire du comté de Chartres étant intimement m</w:t>
      </w:r>
      <w:r w:rsidRPr="003B3476">
        <w:rPr>
          <w:lang w:val="fr-FR" w:eastAsia="fr-FR" w:bidi="fr-FR"/>
        </w:rPr>
        <w:t>ê</w:t>
      </w:r>
      <w:r w:rsidRPr="003B3476">
        <w:rPr>
          <w:lang w:val="fr-FR" w:eastAsia="fr-FR" w:bidi="fr-FR"/>
        </w:rPr>
        <w:t xml:space="preserve">lée à celle de la dynastie de Blois-Champagne), H. d’Arbois </w:t>
      </w:r>
      <w:r w:rsidRPr="003B3476">
        <w:rPr>
          <w:rStyle w:val="Notedebasdepage65ptPetitesmajuscules"/>
          <w:b w:val="0"/>
          <w:sz w:val="24"/>
        </w:rPr>
        <w:t xml:space="preserve">de Jubainville, </w:t>
      </w:r>
      <w:r w:rsidRPr="003B3476">
        <w:rPr>
          <w:bCs/>
          <w:i/>
        </w:rPr>
        <w:t>Histoire des ducs et comtes de Champagne</w:t>
      </w:r>
      <w:r w:rsidRPr="003B3476">
        <w:rPr>
          <w:bCs/>
        </w:rPr>
        <w:t>,</w:t>
      </w:r>
      <w:r w:rsidRPr="003B3476">
        <w:rPr>
          <w:lang w:val="fr-FR" w:eastAsia="fr-FR" w:bidi="fr-FR"/>
        </w:rPr>
        <w:t xml:space="preserve"> 6 vol. in-8°, Paris, 1859-1866.</w:t>
      </w:r>
    </w:p>
  </w:footnote>
  <w:footnote w:id="559">
    <w:p w14:paraId="60E016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841BE4">
        <w:rPr>
          <w:rStyle w:val="Notedebasdepage265ptNonItaliquePetitesmajuscules"/>
          <w:b w:val="0"/>
          <w:iCs/>
          <w:sz w:val="24"/>
        </w:rPr>
        <w:t>Creuzet</w:t>
      </w:r>
      <w:r w:rsidRPr="003B3476">
        <w:rPr>
          <w:rStyle w:val="Notedebasdepage265ptNonItaliquePetitesmajuscules"/>
          <w:b w:val="0"/>
          <w:i/>
          <w:iCs/>
          <w:sz w:val="24"/>
        </w:rPr>
        <w:t xml:space="preserve">, </w:t>
      </w:r>
      <w:r w:rsidRPr="003B3476">
        <w:rPr>
          <w:i/>
          <w:lang w:val="fr-FR" w:eastAsia="fr-FR" w:bidi="fr-FR"/>
        </w:rPr>
        <w:t>Notes sur les comtes de Corbeil</w:t>
      </w:r>
      <w:r w:rsidRPr="003B3476">
        <w:rPr>
          <w:lang w:val="fr-FR" w:eastAsia="fr-FR" w:bidi="fr-FR"/>
        </w:rPr>
        <w:t>,</w:t>
      </w:r>
      <w:r w:rsidRPr="003B3476">
        <w:rPr>
          <w:bCs/>
        </w:rPr>
        <w:t xml:space="preserve"> dans </w:t>
      </w:r>
      <w:r w:rsidRPr="003B3476">
        <w:rPr>
          <w:i/>
          <w:lang w:val="fr-FR" w:eastAsia="fr-FR" w:bidi="fr-FR"/>
        </w:rPr>
        <w:t>Bullet. Soc. histor. Corbeil</w:t>
      </w:r>
      <w:r w:rsidRPr="003B3476">
        <w:rPr>
          <w:lang w:val="fr-FR" w:eastAsia="fr-FR" w:bidi="fr-FR"/>
        </w:rPr>
        <w:t>,</w:t>
      </w:r>
      <w:r w:rsidRPr="003B3476">
        <w:rPr>
          <w:bCs/>
        </w:rPr>
        <w:t xml:space="preserve"> t. X, 1904, p. 122-135.</w:t>
      </w:r>
    </w:p>
  </w:footnote>
  <w:footnote w:id="560">
    <w:p w14:paraId="0FD5C63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 </w:t>
      </w:r>
      <w:r w:rsidRPr="00841BE4">
        <w:rPr>
          <w:rStyle w:val="Notedebasdepage265ptNonItaliquePetitesmajuscules"/>
          <w:b w:val="0"/>
          <w:iCs/>
          <w:sz w:val="24"/>
        </w:rPr>
        <w:t>Depoin</w:t>
      </w:r>
      <w:r w:rsidRPr="003B3476">
        <w:rPr>
          <w:rStyle w:val="Notedebasdepage265ptNonItaliquePetitesmajuscules"/>
          <w:b w:val="0"/>
          <w:i/>
          <w:iCs/>
          <w:sz w:val="24"/>
        </w:rPr>
        <w:t xml:space="preserve">, </w:t>
      </w:r>
      <w:r w:rsidRPr="003B3476">
        <w:rPr>
          <w:i/>
          <w:lang w:val="fr-FR" w:eastAsia="fr-FR" w:bidi="fr-FR"/>
        </w:rPr>
        <w:t>Le problème de l’origine des comtes du Vexin</w:t>
      </w:r>
      <w:r w:rsidRPr="003B3476">
        <w:rPr>
          <w:lang w:val="fr-FR" w:eastAsia="fr-FR" w:bidi="fr-FR"/>
        </w:rPr>
        <w:t>,</w:t>
      </w:r>
      <w:r w:rsidRPr="003B3476">
        <w:rPr>
          <w:bCs/>
        </w:rPr>
        <w:t xml:space="preserve"> dans </w:t>
      </w:r>
      <w:r w:rsidRPr="003B3476">
        <w:rPr>
          <w:i/>
          <w:lang w:val="fr-FR" w:eastAsia="fr-FR" w:bidi="fr-FR"/>
        </w:rPr>
        <w:t>Rev. des études histor</w:t>
      </w:r>
      <w:r w:rsidRPr="003B3476">
        <w:rPr>
          <w:lang w:val="fr-FR" w:eastAsia="fr-FR" w:bidi="fr-FR"/>
        </w:rPr>
        <w:t xml:space="preserve">., </w:t>
      </w:r>
      <w:r w:rsidRPr="003B3476">
        <w:rPr>
          <w:bCs/>
        </w:rPr>
        <w:t>t. LXXIV, 1908, p. 473-482.</w:t>
      </w:r>
    </w:p>
  </w:footnote>
  <w:footnote w:id="561">
    <w:p w14:paraId="1721756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Un travail de cette sorte a été esquissé, pour la France entière et pour l’époque carolingienne, par M. René </w:t>
      </w:r>
      <w:r w:rsidRPr="003B3476">
        <w:rPr>
          <w:rStyle w:val="Notedebasdepage65ptPetitesmajuscules"/>
          <w:b w:val="0"/>
          <w:sz w:val="24"/>
        </w:rPr>
        <w:t xml:space="preserve">Poupardin, </w:t>
      </w:r>
      <w:r w:rsidRPr="003B3476">
        <w:rPr>
          <w:bCs/>
          <w:i/>
        </w:rPr>
        <w:t>Les grandes familles comtales à l’époque carolingienne</w:t>
      </w:r>
      <w:r w:rsidRPr="003B3476">
        <w:rPr>
          <w:bCs/>
        </w:rPr>
        <w:t>,</w:t>
      </w:r>
      <w:r w:rsidRPr="003B3476">
        <w:rPr>
          <w:lang w:val="fr-FR" w:eastAsia="fr-FR" w:bidi="fr-FR"/>
        </w:rPr>
        <w:t xml:space="preserve"> dans </w:t>
      </w:r>
      <w:r w:rsidRPr="003B3476">
        <w:rPr>
          <w:bCs/>
          <w:i/>
        </w:rPr>
        <w:t>Rev. Hist</w:t>
      </w:r>
      <w:r w:rsidRPr="003B3476">
        <w:rPr>
          <w:bCs/>
        </w:rPr>
        <w:t>.,</w:t>
      </w:r>
      <w:r w:rsidRPr="003B3476">
        <w:rPr>
          <w:lang w:val="fr-FR" w:eastAsia="fr-FR" w:bidi="fr-FR"/>
        </w:rPr>
        <w:t xml:space="preserve"> t. 72, 1900, p. 72-95.</w:t>
      </w:r>
    </w:p>
  </w:footnote>
  <w:footnote w:id="562">
    <w:p w14:paraId="79A2F4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 </w:t>
      </w:r>
      <w:r w:rsidRPr="003B3476">
        <w:rPr>
          <w:rStyle w:val="Notedebasdepage265ptNonItaliquePetitesmajuscules"/>
          <w:b w:val="0"/>
          <w:i/>
          <w:iCs/>
          <w:sz w:val="24"/>
        </w:rPr>
        <w:t xml:space="preserve">Depoin, </w:t>
      </w:r>
      <w:r w:rsidRPr="003B3476">
        <w:rPr>
          <w:i/>
          <w:lang w:val="fr-FR" w:eastAsia="fr-FR" w:bidi="fr-FR"/>
        </w:rPr>
        <w:t>Les vicomtes de Corbeil et les chevaliers d’Étampes au XI</w:t>
      </w:r>
      <w:r w:rsidRPr="003B3476">
        <w:rPr>
          <w:i/>
          <w:vertAlign w:val="superscript"/>
          <w:lang w:val="fr-FR" w:eastAsia="fr-FR" w:bidi="fr-FR"/>
        </w:rPr>
        <w:t>e</w:t>
      </w:r>
      <w:r w:rsidRPr="003B3476">
        <w:rPr>
          <w:i/>
          <w:lang w:val="fr-FR" w:eastAsia="fr-FR" w:bidi="fr-FR"/>
        </w:rPr>
        <w:t> siècle</w:t>
      </w:r>
      <w:r w:rsidRPr="003B3476">
        <w:rPr>
          <w:lang w:val="fr-FR" w:eastAsia="fr-FR" w:bidi="fr-FR"/>
        </w:rPr>
        <w:t>,</w:t>
      </w:r>
      <w:r w:rsidRPr="003B3476">
        <w:rPr>
          <w:bCs/>
        </w:rPr>
        <w:t xml:space="preserve"> dans </w:t>
      </w:r>
      <w:r w:rsidRPr="003B3476">
        <w:rPr>
          <w:i/>
          <w:lang w:val="fr-FR" w:eastAsia="fr-FR" w:bidi="fr-FR"/>
        </w:rPr>
        <w:t>Bullet. Soc. histor. Corbeil</w:t>
      </w:r>
      <w:r w:rsidRPr="003B3476">
        <w:rPr>
          <w:lang w:val="fr-FR" w:eastAsia="fr-FR" w:bidi="fr-FR"/>
        </w:rPr>
        <w:t>,</w:t>
      </w:r>
      <w:r w:rsidRPr="003B3476">
        <w:rPr>
          <w:bCs/>
        </w:rPr>
        <w:t xml:space="preserve"> t. V, 1899, p. 1-61 et </w:t>
      </w:r>
      <w:r w:rsidRPr="003B3476">
        <w:rPr>
          <w:i/>
          <w:lang w:val="fr-FR" w:eastAsia="fr-FR" w:bidi="fr-FR"/>
        </w:rPr>
        <w:t>Addition à la Notice sur les vicomtes de Corbeil</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p. 159-165.</w:t>
      </w:r>
    </w:p>
  </w:footnote>
  <w:footnote w:id="563">
    <w:p w14:paraId="7B7E15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 </w:t>
      </w:r>
      <w:r w:rsidRPr="003B3476">
        <w:rPr>
          <w:rStyle w:val="Notedebasdepage265ptNonItaliquePetitesmajuscules"/>
          <w:b w:val="0"/>
          <w:i/>
          <w:iCs/>
          <w:sz w:val="24"/>
        </w:rPr>
        <w:t xml:space="preserve">Depoin, </w:t>
      </w:r>
      <w:r w:rsidRPr="003B3476">
        <w:rPr>
          <w:i/>
          <w:lang w:val="fr-FR" w:eastAsia="fr-FR" w:bidi="fr-FR"/>
        </w:rPr>
        <w:t>La Chevalerie Étampoise</w:t>
      </w:r>
      <w:r w:rsidRPr="003B3476">
        <w:rPr>
          <w:lang w:val="fr-FR" w:eastAsia="fr-FR" w:bidi="fr-FR"/>
        </w:rPr>
        <w:t>.</w:t>
      </w:r>
      <w:r w:rsidRPr="003B3476">
        <w:rPr>
          <w:bCs/>
        </w:rPr>
        <w:t xml:space="preserve"> III. </w:t>
      </w:r>
      <w:r w:rsidRPr="003B3476">
        <w:rPr>
          <w:i/>
          <w:lang w:val="fr-FR" w:eastAsia="fr-FR" w:bidi="fr-FR"/>
        </w:rPr>
        <w:t>Les Vicomtes d’Étampes</w:t>
      </w:r>
      <w:r w:rsidRPr="003B3476">
        <w:rPr>
          <w:lang w:val="fr-FR" w:eastAsia="fr-FR" w:bidi="fr-FR"/>
        </w:rPr>
        <w:t>,</w:t>
      </w:r>
      <w:r w:rsidRPr="003B3476">
        <w:rPr>
          <w:bCs/>
        </w:rPr>
        <w:t xml:space="preserve"> </w:t>
      </w:r>
      <w:r w:rsidRPr="003B3476">
        <w:rPr>
          <w:rStyle w:val="Notedebasdepage265ptNonItalique"/>
          <w:b w:val="0"/>
          <w:i/>
          <w:iCs/>
          <w:sz w:val="24"/>
        </w:rPr>
        <w:t xml:space="preserve">dans </w:t>
      </w:r>
      <w:r w:rsidRPr="003B3476">
        <w:rPr>
          <w:i/>
          <w:lang w:val="fr-FR" w:eastAsia="fr-FR" w:bidi="fr-FR"/>
        </w:rPr>
        <w:t>Bu</w:t>
      </w:r>
      <w:r w:rsidRPr="003B3476">
        <w:rPr>
          <w:i/>
          <w:lang w:val="fr-FR" w:eastAsia="fr-FR" w:bidi="fr-FR"/>
        </w:rPr>
        <w:t>l</w:t>
      </w:r>
      <w:r w:rsidRPr="003B3476">
        <w:rPr>
          <w:i/>
          <w:lang w:val="fr-FR" w:eastAsia="fr-FR" w:bidi="fr-FR"/>
        </w:rPr>
        <w:t>let. Soc. histor. Corbeil</w:t>
      </w:r>
      <w:r w:rsidRPr="003B3476">
        <w:rPr>
          <w:lang w:val="fr-FR" w:eastAsia="fr-FR" w:bidi="fr-FR"/>
        </w:rPr>
        <w:t>,</w:t>
      </w:r>
      <w:r w:rsidRPr="003B3476">
        <w:rPr>
          <w:bCs/>
        </w:rPr>
        <w:t xml:space="preserve"> t. XV, 1909, p. 83-90. A. </w:t>
      </w:r>
      <w:r w:rsidRPr="003B3476">
        <w:rPr>
          <w:rStyle w:val="Notedebasdepage265ptNonItaliquePetitesmajuscules"/>
          <w:b w:val="0"/>
          <w:i/>
          <w:iCs/>
          <w:sz w:val="24"/>
        </w:rPr>
        <w:t xml:space="preserve">Duchalais, </w:t>
      </w:r>
      <w:r w:rsidRPr="003B3476">
        <w:rPr>
          <w:i/>
          <w:lang w:val="fr-FR" w:eastAsia="fr-FR" w:bidi="fr-FR"/>
        </w:rPr>
        <w:t>Charte inédite de l’an 1138 relative à l’histoire des vicomtes de Melun</w:t>
      </w:r>
      <w:r w:rsidRPr="003B3476">
        <w:rPr>
          <w:lang w:val="fr-FR" w:eastAsia="fr-FR" w:bidi="fr-FR"/>
        </w:rPr>
        <w:t xml:space="preserve">, dans </w:t>
      </w:r>
      <w:r w:rsidRPr="003B3476">
        <w:rPr>
          <w:i/>
          <w:lang w:val="fr-FR" w:eastAsia="fr-FR" w:bidi="fr-FR"/>
        </w:rPr>
        <w:t>Bibl. Éc. des Chartes</w:t>
      </w:r>
      <w:r w:rsidRPr="003B3476">
        <w:rPr>
          <w:lang w:val="fr-FR" w:eastAsia="fr-FR" w:bidi="fr-FR"/>
        </w:rPr>
        <w:t>,</w:t>
      </w:r>
      <w:r w:rsidRPr="003B3476">
        <w:rPr>
          <w:bCs/>
        </w:rPr>
        <w:t xml:space="preserve"> 2</w:t>
      </w:r>
      <w:r w:rsidRPr="003B3476">
        <w:rPr>
          <w:bCs/>
          <w:vertAlign w:val="superscript"/>
        </w:rPr>
        <w:t>e</w:t>
      </w:r>
      <w:r w:rsidRPr="003B3476">
        <w:rPr>
          <w:bCs/>
        </w:rPr>
        <w:t xml:space="preserve"> s</w:t>
      </w:r>
      <w:r w:rsidRPr="003B3476">
        <w:rPr>
          <w:bCs/>
        </w:rPr>
        <w:t>é</w:t>
      </w:r>
      <w:r w:rsidRPr="003B3476">
        <w:rPr>
          <w:bCs/>
        </w:rPr>
        <w:t>rie, t. I, 1844, p. 239-276.</w:t>
      </w:r>
    </w:p>
  </w:footnote>
  <w:footnote w:id="564">
    <w:p w14:paraId="2F09B1F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 </w:t>
      </w:r>
      <w:r w:rsidRPr="003B3476">
        <w:rPr>
          <w:rStyle w:val="Notedebasdepage65ptPetitesmajuscules"/>
          <w:b w:val="0"/>
          <w:sz w:val="24"/>
        </w:rPr>
        <w:t xml:space="preserve">Devaux, </w:t>
      </w:r>
      <w:r w:rsidRPr="003B3476">
        <w:rPr>
          <w:bCs/>
          <w:i/>
        </w:rPr>
        <w:t>Origines gâtinaises</w:t>
      </w:r>
      <w:r w:rsidRPr="003B3476">
        <w:rPr>
          <w:bCs/>
        </w:rPr>
        <w:t>,</w:t>
      </w:r>
      <w:r w:rsidRPr="003B3476">
        <w:rPr>
          <w:lang w:val="fr-FR" w:eastAsia="fr-FR" w:bidi="fr-FR"/>
        </w:rPr>
        <w:t xml:space="preserve"> dans </w:t>
      </w:r>
      <w:r w:rsidRPr="003B3476">
        <w:rPr>
          <w:bCs/>
          <w:i/>
        </w:rPr>
        <w:t>Ann. Soc. histor. Gâtinais</w:t>
      </w:r>
      <w:r w:rsidRPr="003B3476">
        <w:rPr>
          <w:bCs/>
        </w:rPr>
        <w:t>,</w:t>
      </w:r>
      <w:r w:rsidRPr="003B3476">
        <w:rPr>
          <w:lang w:val="fr-FR" w:eastAsia="fr-FR" w:bidi="fr-FR"/>
        </w:rPr>
        <w:t xml:space="preserve"> t. XII, p. 292 et suiv. ; H. </w:t>
      </w:r>
      <w:r w:rsidRPr="003B3476">
        <w:rPr>
          <w:rStyle w:val="Notedebasdepage65ptPetitesmajuscules"/>
          <w:b w:val="0"/>
          <w:sz w:val="24"/>
        </w:rPr>
        <w:t xml:space="preserve">Stein, </w:t>
      </w:r>
      <w:r w:rsidRPr="003B3476">
        <w:rPr>
          <w:bCs/>
          <w:i/>
        </w:rPr>
        <w:t>ibid.</w:t>
      </w:r>
      <w:r w:rsidRPr="003B3476">
        <w:rPr>
          <w:bCs/>
        </w:rPr>
        <w:t>,</w:t>
      </w:r>
      <w:r w:rsidRPr="003B3476">
        <w:rPr>
          <w:lang w:val="fr-FR" w:eastAsia="fr-FR" w:bidi="fr-FR"/>
        </w:rPr>
        <w:t xml:space="preserve"> t. XXVIII, 1910, p. 334-335 ; Em. </w:t>
      </w:r>
      <w:r w:rsidRPr="003B3476">
        <w:rPr>
          <w:rStyle w:val="Notedebasdepage65ptPetitesmajuscules"/>
          <w:b w:val="0"/>
          <w:sz w:val="24"/>
        </w:rPr>
        <w:t xml:space="preserve">Richemond, </w:t>
      </w:r>
      <w:r w:rsidRPr="003B3476">
        <w:rPr>
          <w:bCs/>
          <w:i/>
        </w:rPr>
        <w:t>R</w:t>
      </w:r>
      <w:r w:rsidRPr="003B3476">
        <w:rPr>
          <w:bCs/>
          <w:i/>
        </w:rPr>
        <w:t>e</w:t>
      </w:r>
      <w:r w:rsidRPr="003B3476">
        <w:rPr>
          <w:bCs/>
          <w:i/>
        </w:rPr>
        <w:t>cherches sur les seigneurs de Nemours</w:t>
      </w:r>
      <w:r w:rsidRPr="003B3476">
        <w:rPr>
          <w:lang w:val="fr-FR" w:eastAsia="fr-FR" w:bidi="fr-FR"/>
        </w:rPr>
        <w:t xml:space="preserve"> (ci-dessous p. 754, n° 4), t. I, p. 10 et suiv.</w:t>
      </w:r>
    </w:p>
  </w:footnote>
  <w:footnote w:id="565">
    <w:p w14:paraId="21FD652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
          <w:iCs/>
          <w:sz w:val="24"/>
        </w:rPr>
        <w:t xml:space="preserve">J. Depoin, </w:t>
      </w:r>
      <w:r w:rsidRPr="003B3476">
        <w:rPr>
          <w:i/>
          <w:lang w:val="fr-FR" w:eastAsia="fr-FR" w:bidi="fr-FR"/>
        </w:rPr>
        <w:t>Sur les comtes et vicomtes de Meulan. Carlul. de l’abbaye de Saint-Martin de Pontoise</w:t>
      </w:r>
      <w:r w:rsidRPr="003B3476">
        <w:t xml:space="preserve"> (Public. </w:t>
      </w:r>
      <w:r w:rsidRPr="003B3476">
        <w:rPr>
          <w:i/>
        </w:rPr>
        <w:t>Soc. histor. Pontoise</w:t>
      </w:r>
      <w:r w:rsidRPr="003B3476">
        <w:t>), fasc. 3, in-4°, Ponto</w:t>
      </w:r>
      <w:r w:rsidRPr="003B3476">
        <w:t>i</w:t>
      </w:r>
      <w:r w:rsidRPr="003B3476">
        <w:t>se, 1901, p. 306-329.</w:t>
      </w:r>
    </w:p>
  </w:footnote>
  <w:footnote w:id="566">
    <w:p w14:paraId="111ECF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l’histoire du titre de « comte de Montfort », </w:t>
      </w:r>
      <w:r w:rsidRPr="003B3476">
        <w:rPr>
          <w:bCs/>
        </w:rPr>
        <w:t>cf.</w:t>
      </w:r>
      <w:r w:rsidRPr="003B3476">
        <w:rPr>
          <w:lang w:val="fr-FR" w:eastAsia="fr-FR" w:bidi="fr-FR"/>
        </w:rPr>
        <w:t xml:space="preserve"> l’ouvrage d’A. </w:t>
      </w:r>
      <w:r w:rsidRPr="003B3476">
        <w:rPr>
          <w:rStyle w:val="Notedebasdepage65ptPetitesmajuscules"/>
          <w:b w:val="0"/>
        </w:rPr>
        <w:t xml:space="preserve">Rhein </w:t>
      </w:r>
      <w:r w:rsidRPr="003B3476">
        <w:rPr>
          <w:lang w:val="fr-FR" w:eastAsia="fr-FR" w:bidi="fr-FR"/>
        </w:rPr>
        <w:t>(cité ci-dessous n. 3), p. 250, n. 10. Il y a certainement eu, dans l’Île-de-France, des cas d’usurpation de titres de comte et vicomte bien antérieurs à l’usurpation des Montfort. Mais ils n’ont pas été étudiés.</w:t>
      </w:r>
    </w:p>
  </w:footnote>
  <w:footnote w:id="567">
    <w:p w14:paraId="660E3A0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 seigneurie de Montfort-en-lveline (X</w:t>
      </w:r>
      <w:r w:rsidRPr="003B3476">
        <w:rPr>
          <w:i/>
          <w:vertAlign w:val="superscript"/>
          <w:lang w:val="fr-FR" w:eastAsia="fr-FR" w:bidi="fr-FR"/>
        </w:rPr>
        <w:t>e</w:t>
      </w:r>
      <w:r w:rsidRPr="003B3476">
        <w:rPr>
          <w:i/>
          <w:lang w:val="fr-FR" w:eastAsia="fr-FR" w:bidi="fr-FR"/>
        </w:rPr>
        <w:t>-XIV</w:t>
      </w:r>
      <w:r w:rsidRPr="003B3476">
        <w:rPr>
          <w:i/>
          <w:vertAlign w:val="superscript"/>
          <w:lang w:val="fr-FR" w:eastAsia="fr-FR" w:bidi="fr-FR"/>
        </w:rPr>
        <w:t>e</w:t>
      </w:r>
      <w:r w:rsidRPr="003B3476">
        <w:rPr>
          <w:i/>
          <w:lang w:val="fr-FR" w:eastAsia="fr-FR" w:bidi="fr-FR"/>
        </w:rPr>
        <w:t xml:space="preserve"> siècles)</w:t>
      </w:r>
      <w:r w:rsidRPr="003B3476">
        <w:rPr>
          <w:bCs/>
        </w:rPr>
        <w:t xml:space="preserve">, dans </w:t>
      </w:r>
      <w:r w:rsidRPr="003B3476">
        <w:rPr>
          <w:i/>
          <w:lang w:val="fr-FR" w:eastAsia="fr-FR" w:bidi="fr-FR"/>
        </w:rPr>
        <w:t>Mém. Soc. a</w:t>
      </w:r>
      <w:r w:rsidRPr="003B3476">
        <w:rPr>
          <w:i/>
          <w:lang w:val="fr-FR" w:eastAsia="fr-FR" w:bidi="fr-FR"/>
        </w:rPr>
        <w:t>r</w:t>
      </w:r>
      <w:r w:rsidRPr="003B3476">
        <w:rPr>
          <w:i/>
          <w:lang w:val="fr-FR" w:eastAsia="fr-FR" w:bidi="fr-FR"/>
        </w:rPr>
        <w:t>chéol. Rambouillet</w:t>
      </w:r>
      <w:r w:rsidRPr="003B3476">
        <w:rPr>
          <w:bCs/>
        </w:rPr>
        <w:t xml:space="preserve">, t. XXI, 1910, p. 1-363. </w:t>
      </w:r>
      <w:r w:rsidRPr="003B3476">
        <w:rPr>
          <w:i/>
          <w:lang w:val="fr-FR" w:eastAsia="fr-FR" w:bidi="fr-FR"/>
        </w:rPr>
        <w:t>Cf.</w:t>
      </w:r>
      <w:r w:rsidRPr="003B3476">
        <w:rPr>
          <w:bCs/>
        </w:rPr>
        <w:t xml:space="preserve"> A. de </w:t>
      </w:r>
      <w:r w:rsidRPr="003B3476">
        <w:rPr>
          <w:rStyle w:val="Notedebasdepage265ptNonItaliquePetitesmajuscules"/>
          <w:b w:val="0"/>
          <w:i/>
          <w:iCs/>
          <w:sz w:val="24"/>
        </w:rPr>
        <w:t xml:space="preserve">Dion, </w:t>
      </w:r>
      <w:r w:rsidRPr="003B3476">
        <w:rPr>
          <w:i/>
          <w:lang w:val="fr-FR" w:eastAsia="fr-FR" w:bidi="fr-FR"/>
        </w:rPr>
        <w:t>Les fiefs du comté de Montfort-VAmaury</w:t>
      </w:r>
      <w:r w:rsidRPr="003B3476">
        <w:rPr>
          <w:bCs/>
        </w:rPr>
        <w:t xml:space="preserve">, </w:t>
      </w:r>
      <w:r w:rsidRPr="003B3476">
        <w:rPr>
          <w:i/>
          <w:lang w:val="fr-FR" w:eastAsia="fr-FR" w:bidi="fr-FR"/>
        </w:rPr>
        <w:t>ibid.</w:t>
      </w:r>
      <w:r w:rsidRPr="003B3476">
        <w:rPr>
          <w:lang w:val="fr-FR" w:eastAsia="fr-FR" w:bidi="fr-FR"/>
        </w:rPr>
        <w:t xml:space="preserve">, </w:t>
      </w:r>
      <w:r w:rsidRPr="003B3476">
        <w:rPr>
          <w:bCs/>
        </w:rPr>
        <w:t>t. I, 1870-72, p. 289-387.</w:t>
      </w:r>
    </w:p>
  </w:footnote>
  <w:footnote w:id="568">
    <w:p w14:paraId="4AD41F0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Recherches généalogiques sur les seigneurs de Nemours du XII</w:t>
      </w:r>
      <w:r w:rsidRPr="003B3476">
        <w:rPr>
          <w:i/>
          <w:vertAlign w:val="superscript"/>
        </w:rPr>
        <w:t>e</w:t>
      </w:r>
      <w:r w:rsidRPr="003B3476">
        <w:rPr>
          <w:i/>
        </w:rPr>
        <w:t xml:space="preserve"> au XIV</w:t>
      </w:r>
      <w:r w:rsidRPr="003B3476">
        <w:rPr>
          <w:i/>
          <w:vertAlign w:val="superscript"/>
        </w:rPr>
        <w:t>e</w:t>
      </w:r>
      <w:r w:rsidRPr="003B3476">
        <w:rPr>
          <w:i/>
        </w:rPr>
        <w:t xml:space="preserve"> si</w:t>
      </w:r>
      <w:r w:rsidRPr="003B3476">
        <w:rPr>
          <w:i/>
        </w:rPr>
        <w:t>è</w:t>
      </w:r>
      <w:r w:rsidRPr="003B3476">
        <w:rPr>
          <w:i/>
        </w:rPr>
        <w:t>cle</w:t>
      </w:r>
      <w:r w:rsidRPr="003B3476">
        <w:rPr>
          <w:lang w:val="fr-FR" w:eastAsia="fr-FR" w:bidi="fr-FR"/>
        </w:rPr>
        <w:t xml:space="preserve">, 2 vol. in-8°, Bourges, 1907 et 1908, </w:t>
      </w:r>
      <w:r w:rsidRPr="003B3476">
        <w:rPr>
          <w:smallCaps/>
          <w:lang w:val="fr-FR" w:eastAsia="fr-FR" w:bidi="fr-FR"/>
        </w:rPr>
        <w:t>vi</w:t>
      </w:r>
      <w:r w:rsidRPr="003B3476">
        <w:rPr>
          <w:lang w:val="fr-FR" w:eastAsia="fr-FR" w:bidi="fr-FR"/>
        </w:rPr>
        <w:t xml:space="preserve"> + 348 + </w:t>
      </w:r>
      <w:r w:rsidRPr="003B3476">
        <w:rPr>
          <w:smallCaps/>
          <w:lang w:val="fr-FR" w:eastAsia="fr-FR" w:bidi="fr-FR"/>
        </w:rPr>
        <w:t>cxxix</w:t>
      </w:r>
      <w:r w:rsidRPr="003B3476">
        <w:rPr>
          <w:lang w:val="fr-FR" w:eastAsia="fr-FR" w:bidi="fr-FR"/>
        </w:rPr>
        <w:t xml:space="preserve"> et </w:t>
      </w:r>
      <w:r w:rsidRPr="003B3476">
        <w:rPr>
          <w:smallCaps/>
          <w:lang w:val="fr-FR" w:eastAsia="fr-FR" w:bidi="fr-FR"/>
        </w:rPr>
        <w:t>x</w:t>
      </w:r>
      <w:r w:rsidRPr="003B3476">
        <w:rPr>
          <w:lang w:val="fr-FR" w:eastAsia="fr-FR" w:bidi="fr-FR"/>
        </w:rPr>
        <w:t xml:space="preserve"> + 276 + </w:t>
      </w:r>
      <w:r w:rsidRPr="003B3476">
        <w:rPr>
          <w:smallCaps/>
          <w:lang w:val="fr-FR" w:eastAsia="fr-FR" w:bidi="fr-FR"/>
        </w:rPr>
        <w:t>cxxv</w:t>
      </w:r>
      <w:r w:rsidRPr="003B3476">
        <w:rPr>
          <w:lang w:val="fr-FR" w:eastAsia="fr-FR" w:bidi="fr-FR"/>
        </w:rPr>
        <w:t xml:space="preserve"> p. </w:t>
      </w:r>
      <w:r w:rsidRPr="003B3476">
        <w:rPr>
          <w:i/>
        </w:rPr>
        <w:t>Cf.</w:t>
      </w:r>
      <w:r w:rsidRPr="003B3476">
        <w:rPr>
          <w:lang w:val="fr-FR" w:eastAsia="fr-FR" w:bidi="fr-FR"/>
        </w:rPr>
        <w:t xml:space="preserve"> pour la période postérieure A. de </w:t>
      </w:r>
      <w:r w:rsidRPr="003B3476">
        <w:rPr>
          <w:rStyle w:val="Notedebasdepage65ptPetitesmajuscules"/>
          <w:b w:val="0"/>
          <w:sz w:val="24"/>
        </w:rPr>
        <w:t xml:space="preserve">Maricourt, </w:t>
      </w:r>
      <w:r w:rsidRPr="003B3476">
        <w:rPr>
          <w:i/>
        </w:rPr>
        <w:t>Essai sur l'histoire du duché de Nemours</w:t>
      </w:r>
      <w:r w:rsidRPr="003B3476">
        <w:rPr>
          <w:i/>
          <w:lang w:val="fr-FR" w:eastAsia="fr-FR" w:bidi="fr-FR"/>
        </w:rPr>
        <w:t xml:space="preserve">, </w:t>
      </w:r>
      <w:r w:rsidRPr="003B3476">
        <w:rPr>
          <w:i/>
        </w:rPr>
        <w:t>de 1404 à 1666</w:t>
      </w:r>
      <w:r w:rsidRPr="003B3476">
        <w:rPr>
          <w:i/>
          <w:vertAlign w:val="subscript"/>
        </w:rPr>
        <w:t>y</w:t>
      </w:r>
      <w:r w:rsidRPr="003B3476">
        <w:rPr>
          <w:lang w:val="fr-FR" w:eastAsia="fr-FR" w:bidi="fr-FR"/>
        </w:rPr>
        <w:t xml:space="preserve"> dans </w:t>
      </w:r>
      <w:r w:rsidRPr="003B3476">
        <w:rPr>
          <w:i/>
        </w:rPr>
        <w:t>Ann. Soc. histor. Gâtinais</w:t>
      </w:r>
      <w:r w:rsidRPr="003B3476">
        <w:rPr>
          <w:lang w:val="fr-FR" w:eastAsia="fr-FR" w:bidi="fr-FR"/>
        </w:rPr>
        <w:t>, t. XXI, 1903, p. 1-72 et 257-298, t. XXIII, 1905, p. 51-87 et 295-364, t. XXIV, 1906, p. 168-267.</w:t>
      </w:r>
    </w:p>
  </w:footnote>
  <w:footnote w:id="569">
    <w:p w14:paraId="46B6B07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 </w:t>
      </w:r>
      <w:r w:rsidRPr="000C0A54">
        <w:rPr>
          <w:rStyle w:val="Notedebasdepage265ptNonItaliquePetitesmajuscules"/>
          <w:b w:val="0"/>
          <w:iCs/>
          <w:sz w:val="24"/>
        </w:rPr>
        <w:t>Estournet</w:t>
      </w:r>
      <w:r w:rsidRPr="003B3476">
        <w:rPr>
          <w:rStyle w:val="Notedebasdepage265ptNonItaliquePetitesmajuscules"/>
          <w:b w:val="0"/>
          <w:i/>
          <w:iCs/>
          <w:sz w:val="24"/>
        </w:rPr>
        <w:t xml:space="preserve">, </w:t>
      </w:r>
      <w:r w:rsidRPr="003B3476">
        <w:rPr>
          <w:i/>
          <w:lang w:val="fr-FR" w:eastAsia="fr-FR" w:bidi="fr-FR"/>
        </w:rPr>
        <w:t>Origines des seigneurs de Nemours</w:t>
      </w:r>
      <w:r w:rsidRPr="003B3476">
        <w:rPr>
          <w:lang w:val="fr-FR" w:eastAsia="fr-FR" w:bidi="fr-FR"/>
        </w:rPr>
        <w:t>,</w:t>
      </w:r>
      <w:r w:rsidRPr="003B3476">
        <w:rPr>
          <w:bCs/>
        </w:rPr>
        <w:t xml:space="preserve"> dans </w:t>
      </w:r>
      <w:r w:rsidRPr="003B3476">
        <w:rPr>
          <w:i/>
          <w:lang w:val="fr-FR" w:eastAsia="fr-FR" w:bidi="fr-FR"/>
        </w:rPr>
        <w:t>Ann. Soc. histor. Gâtinais</w:t>
      </w:r>
      <w:r w:rsidRPr="003B3476">
        <w:rPr>
          <w:bCs/>
        </w:rPr>
        <w:t>, t. XXX, 1912, p. 1-156.</w:t>
      </w:r>
    </w:p>
  </w:footnote>
  <w:footnote w:id="570">
    <w:p w14:paraId="699BF70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Essai sur les premiers seigneurs de Pithiviers</w:t>
      </w:r>
      <w:r w:rsidRPr="003B3476">
        <w:rPr>
          <w:lang w:val="fr-FR" w:eastAsia="fr-FR" w:bidi="fr-FR"/>
        </w:rPr>
        <w:t xml:space="preserve">, dans </w:t>
      </w:r>
      <w:r w:rsidRPr="003B3476">
        <w:rPr>
          <w:bCs/>
          <w:i/>
        </w:rPr>
        <w:t>Ann. Soc. histor. Gâtinais</w:t>
      </w:r>
      <w:r w:rsidRPr="003B3476">
        <w:rPr>
          <w:lang w:val="fr-FR" w:eastAsia="fr-FR" w:bidi="fr-FR"/>
        </w:rPr>
        <w:t>, t. III, 1885, p. 168-178, 250-265, et t. IV, 1886, p. 74-129, 290-321.</w:t>
      </w:r>
    </w:p>
  </w:footnote>
  <w:footnote w:id="571">
    <w:p w14:paraId="1F5FC94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A, de </w:t>
      </w:r>
      <w:r w:rsidRPr="000C0A54">
        <w:rPr>
          <w:rStyle w:val="Notedebasdepage265ptNonItaliquePetitesmajuscules"/>
          <w:b w:val="0"/>
          <w:iCs/>
          <w:sz w:val="24"/>
        </w:rPr>
        <w:t>Dion</w:t>
      </w:r>
      <w:r w:rsidRPr="003B3476">
        <w:rPr>
          <w:rStyle w:val="Notedebasdepage265ptNonItaliquePetitesmajuscules"/>
          <w:b w:val="0"/>
          <w:i/>
          <w:iCs/>
          <w:sz w:val="24"/>
        </w:rPr>
        <w:t xml:space="preserve">, </w:t>
      </w:r>
      <w:r w:rsidRPr="003B3476">
        <w:rPr>
          <w:i/>
          <w:lang w:val="fr-FR" w:eastAsia="fr-FR" w:bidi="fr-FR"/>
        </w:rPr>
        <w:t>Le Puiset aux XI</w:t>
      </w:r>
      <w:r w:rsidRPr="003B3476">
        <w:rPr>
          <w:i/>
          <w:vertAlign w:val="superscript"/>
          <w:lang w:val="fr-FR" w:eastAsia="fr-FR" w:bidi="fr-FR"/>
        </w:rPr>
        <w:t>e</w:t>
      </w:r>
      <w:r w:rsidRPr="003B3476">
        <w:rPr>
          <w:i/>
          <w:lang w:val="fr-FR" w:eastAsia="fr-FR" w:bidi="fr-FR"/>
        </w:rPr>
        <w:t xml:space="preserve"> et XII</w:t>
      </w:r>
      <w:r w:rsidRPr="003B3476">
        <w:rPr>
          <w:i/>
          <w:vertAlign w:val="superscript"/>
          <w:lang w:val="fr-FR" w:eastAsia="fr-FR" w:bidi="fr-FR"/>
        </w:rPr>
        <w:t>e</w:t>
      </w:r>
      <w:r w:rsidRPr="003B3476">
        <w:rPr>
          <w:i/>
          <w:lang w:val="fr-FR" w:eastAsia="fr-FR" w:bidi="fr-FR"/>
        </w:rPr>
        <w:t xml:space="preserve"> siècles</w:t>
      </w:r>
      <w:r w:rsidRPr="003B3476">
        <w:t xml:space="preserve">, dans </w:t>
      </w:r>
      <w:r w:rsidRPr="003B3476">
        <w:rPr>
          <w:i/>
          <w:lang w:val="fr-FR" w:eastAsia="fr-FR" w:bidi="fr-FR"/>
        </w:rPr>
        <w:t>Mém. Soc. archéol. Eure-et-Loir</w:t>
      </w:r>
      <w:r w:rsidRPr="003B3476">
        <w:rPr>
          <w:lang w:val="fr-FR" w:eastAsia="fr-FR" w:bidi="fr-FR"/>
        </w:rPr>
        <w:t xml:space="preserve">, </w:t>
      </w:r>
      <w:r w:rsidRPr="003B3476">
        <w:t xml:space="preserve">t. IX, 1889, p. 1-34 et 71-85. </w:t>
      </w:r>
      <w:r w:rsidRPr="003B3476">
        <w:rPr>
          <w:i/>
          <w:lang w:val="fr-FR" w:eastAsia="fr-FR" w:bidi="fr-FR"/>
        </w:rPr>
        <w:t>Cf.</w:t>
      </w:r>
      <w:r w:rsidRPr="003B3476">
        <w:t xml:space="preserve"> Ch. </w:t>
      </w:r>
      <w:r w:rsidRPr="000C0A54">
        <w:rPr>
          <w:rStyle w:val="Notedebasdepage265ptNonItaliquePetitesmajuscules"/>
          <w:b w:val="0"/>
          <w:iCs/>
          <w:sz w:val="24"/>
        </w:rPr>
        <w:t>Cuissard</w:t>
      </w:r>
      <w:r w:rsidRPr="003B3476">
        <w:rPr>
          <w:rStyle w:val="Notedebasdepage265ptNonItaliquePetitesmajuscules"/>
          <w:b w:val="0"/>
          <w:i/>
          <w:iCs/>
          <w:sz w:val="24"/>
        </w:rPr>
        <w:t xml:space="preserve">, </w:t>
      </w:r>
      <w:r w:rsidRPr="003B3476">
        <w:rPr>
          <w:i/>
          <w:lang w:val="fr-FR" w:eastAsia="fr-FR" w:bidi="fr-FR"/>
        </w:rPr>
        <w:t>Les seigneurs du Pu</w:t>
      </w:r>
      <w:r w:rsidRPr="003B3476">
        <w:rPr>
          <w:i/>
          <w:lang w:val="fr-FR" w:eastAsia="fr-FR" w:bidi="fr-FR"/>
        </w:rPr>
        <w:t>i</w:t>
      </w:r>
      <w:r w:rsidRPr="003B3476">
        <w:rPr>
          <w:i/>
          <w:lang w:val="fr-FR" w:eastAsia="fr-FR" w:bidi="fr-FR"/>
        </w:rPr>
        <w:t>set (980-1789)</w:t>
      </w:r>
      <w:r w:rsidRPr="003B3476">
        <w:t xml:space="preserve">, dans </w:t>
      </w:r>
      <w:r w:rsidRPr="003B3476">
        <w:rPr>
          <w:i/>
          <w:lang w:val="fr-FR" w:eastAsia="fr-FR" w:bidi="fr-FR"/>
        </w:rPr>
        <w:t>Bullet. Soc. dunoise</w:t>
      </w:r>
      <w:r w:rsidRPr="003B3476">
        <w:rPr>
          <w:lang w:val="fr-FR" w:eastAsia="fr-FR" w:bidi="fr-FR"/>
        </w:rPr>
        <w:t>,</w:t>
      </w:r>
      <w:r w:rsidRPr="003B3476">
        <w:t xml:space="preserve"> t. III, 1875-1880, p. 313-396 et les notes m</w:t>
      </w:r>
      <w:r w:rsidRPr="003B3476">
        <w:t>i</w:t>
      </w:r>
      <w:r w:rsidRPr="003B3476">
        <w:t xml:space="preserve">ses par J. </w:t>
      </w:r>
      <w:r w:rsidRPr="000C0A54">
        <w:rPr>
          <w:rStyle w:val="Notedebasdepage265ptNonItaliquePetitesmajuscules"/>
          <w:b w:val="0"/>
          <w:iCs/>
          <w:sz w:val="24"/>
        </w:rPr>
        <w:t>Depoin</w:t>
      </w:r>
      <w:r w:rsidRPr="003B3476">
        <w:rPr>
          <w:rStyle w:val="Notedebasdepage265ptNonItalique"/>
          <w:b w:val="0"/>
          <w:i/>
          <w:iCs/>
          <w:sz w:val="24"/>
        </w:rPr>
        <w:t xml:space="preserve"> à </w:t>
      </w:r>
      <w:r w:rsidRPr="003B3476">
        <w:t xml:space="preserve">son édition du </w:t>
      </w:r>
      <w:r w:rsidRPr="003B3476">
        <w:rPr>
          <w:i/>
          <w:lang w:val="fr-FR" w:eastAsia="fr-FR" w:bidi="fr-FR"/>
        </w:rPr>
        <w:t>Liber Testamentorum S. Martini de Campis</w:t>
      </w:r>
      <w:r w:rsidRPr="003B3476">
        <w:t>, in-8°, Paris, 1905.</w:t>
      </w:r>
    </w:p>
  </w:footnote>
  <w:footnote w:id="572">
    <w:p w14:paraId="38B9F34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Chevreuse. </w:t>
      </w:r>
      <w:r w:rsidRPr="003B3476">
        <w:rPr>
          <w:i/>
          <w:lang w:val="fr-FR" w:eastAsia="fr-FR" w:bidi="fr-FR"/>
        </w:rPr>
        <w:t>Recherches historiques, archéologiques et généalogiques</w:t>
      </w:r>
      <w:r w:rsidRPr="003B3476">
        <w:rPr>
          <w:lang w:val="fr-FR" w:eastAsia="fr-FR" w:bidi="fr-FR"/>
        </w:rPr>
        <w:t xml:space="preserve"> (</w:t>
      </w:r>
      <w:r w:rsidRPr="003B3476">
        <w:rPr>
          <w:i/>
          <w:lang w:val="fr-FR" w:eastAsia="fr-FR" w:bidi="fr-FR"/>
        </w:rPr>
        <w:t>Mém. et Doc. publiés par la Soc. Archéol., de Rambouillet</w:t>
      </w:r>
      <w:r w:rsidRPr="003B3476">
        <w:rPr>
          <w:bCs/>
        </w:rPr>
        <w:t xml:space="preserve">, t. II et II), 2 vol. in-8°, Rambouillet, 1874 et 1876, </w:t>
      </w:r>
      <w:r w:rsidRPr="003B3476">
        <w:rPr>
          <w:bCs/>
          <w:smallCaps/>
        </w:rPr>
        <w:t>xxii</w:t>
      </w:r>
      <w:r w:rsidRPr="003B3476">
        <w:rPr>
          <w:bCs/>
        </w:rPr>
        <w:t xml:space="preserve"> + 605 et 572 p.</w:t>
      </w:r>
    </w:p>
  </w:footnote>
  <w:footnote w:id="573">
    <w:p w14:paraId="50B5B0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articles que </w:t>
      </w:r>
      <w:r w:rsidRPr="003B3476">
        <w:rPr>
          <w:bCs/>
        </w:rPr>
        <w:t xml:space="preserve">M. </w:t>
      </w:r>
      <w:r w:rsidRPr="003B3476">
        <w:rPr>
          <w:lang w:val="fr-FR" w:eastAsia="fr-FR" w:bidi="fr-FR"/>
        </w:rPr>
        <w:t>J. Depoin a consacrés à ces questions sont si nombreux et si dispersés qu’il m’est impossible d’en donner ici la bibliographie. J’ai eu d</w:t>
      </w:r>
      <w:r w:rsidRPr="003B3476">
        <w:rPr>
          <w:lang w:val="fr-FR" w:eastAsia="fr-FR" w:bidi="fr-FR"/>
        </w:rPr>
        <w:t>é</w:t>
      </w:r>
      <w:r w:rsidRPr="003B3476">
        <w:rPr>
          <w:lang w:val="fr-FR" w:eastAsia="fr-FR" w:bidi="fr-FR"/>
        </w:rPr>
        <w:t>jà l’occasion d’en citer quelques-uns. On notera comme particulièrement i</w:t>
      </w:r>
      <w:r w:rsidRPr="003B3476">
        <w:rPr>
          <w:lang w:val="fr-FR" w:eastAsia="fr-FR" w:bidi="fr-FR"/>
        </w:rPr>
        <w:t>m</w:t>
      </w:r>
      <w:r w:rsidRPr="003B3476">
        <w:rPr>
          <w:lang w:val="fr-FR" w:eastAsia="fr-FR" w:bidi="fr-FR"/>
        </w:rPr>
        <w:t xml:space="preserve">portants les </w:t>
      </w:r>
      <w:r w:rsidRPr="003B3476">
        <w:rPr>
          <w:bCs/>
          <w:i/>
        </w:rPr>
        <w:t>Appendices</w:t>
      </w:r>
      <w:r w:rsidRPr="003B3476">
        <w:rPr>
          <w:lang w:val="fr-FR" w:eastAsia="fr-FR" w:bidi="fr-FR"/>
        </w:rPr>
        <w:t xml:space="preserve"> mis par </w:t>
      </w:r>
      <w:r w:rsidRPr="003B3476">
        <w:rPr>
          <w:rStyle w:val="Notedebasdepage65ptPetitesmajuscules"/>
          <w:b w:val="0"/>
          <w:sz w:val="24"/>
        </w:rPr>
        <w:t xml:space="preserve">M. Depoin </w:t>
      </w:r>
      <w:r w:rsidRPr="003B3476">
        <w:rPr>
          <w:lang w:val="fr-FR" w:eastAsia="fr-FR" w:bidi="fr-FR"/>
        </w:rPr>
        <w:t xml:space="preserve">à son édition du </w:t>
      </w:r>
      <w:r w:rsidRPr="003B3476">
        <w:rPr>
          <w:bCs/>
          <w:i/>
        </w:rPr>
        <w:t>Cartulaire de l’abbaye de Saint-Martin de Pontoise</w:t>
      </w:r>
      <w:r w:rsidRPr="003B3476">
        <w:rPr>
          <w:lang w:val="fr-FR" w:eastAsia="fr-FR" w:bidi="fr-FR"/>
        </w:rPr>
        <w:t xml:space="preserve">, in-4°, Pontoise, 1895-1909, fascicules 3 à 5, — et l’article sur </w:t>
      </w:r>
      <w:r w:rsidRPr="003B3476">
        <w:rPr>
          <w:bCs/>
          <w:i/>
        </w:rPr>
        <w:t>La légende des premiers Bouchards de Montmorency</w:t>
      </w:r>
      <w:r w:rsidRPr="003B3476">
        <w:rPr>
          <w:lang w:val="fr-FR" w:eastAsia="fr-FR" w:bidi="fr-FR"/>
        </w:rPr>
        <w:t xml:space="preserve">, dans </w:t>
      </w:r>
      <w:r w:rsidRPr="003B3476">
        <w:rPr>
          <w:bCs/>
          <w:i/>
        </w:rPr>
        <w:t>Dép. de Seine-et-Oise. Commis, des antiqu. et des arts</w:t>
      </w:r>
      <w:r w:rsidRPr="003B3476">
        <w:rPr>
          <w:lang w:val="fr-FR" w:eastAsia="fr-FR" w:bidi="fr-FR"/>
        </w:rPr>
        <w:t>, t. XXVII, 1907, p. 132-154.</w:t>
      </w:r>
    </w:p>
  </w:footnote>
  <w:footnote w:id="574">
    <w:p w14:paraId="653369B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Il existe aussi, pour diverses régions de l’Île-de-France, des travaux de géné</w:t>
      </w:r>
      <w:r w:rsidRPr="003B3476">
        <w:t>a</w:t>
      </w:r>
      <w:r w:rsidRPr="003B3476">
        <w:t xml:space="preserve">logistes où l’historien pourra trouver son profit : </w:t>
      </w:r>
      <w:r w:rsidRPr="003B3476">
        <w:rPr>
          <w:lang w:val="fr-FR" w:eastAsia="fr-FR" w:bidi="fr-FR"/>
        </w:rPr>
        <w:t>Table des fiefs du Vexin français, avec les noms de leurs possesseurs, relevée sur les manuscrits de P</w:t>
      </w:r>
      <w:r w:rsidRPr="003B3476">
        <w:rPr>
          <w:lang w:val="fr-FR" w:eastAsia="fr-FR" w:bidi="fr-FR"/>
        </w:rPr>
        <w:t>i</w:t>
      </w:r>
      <w:r w:rsidRPr="003B3476">
        <w:rPr>
          <w:lang w:val="fr-FR" w:eastAsia="fr-FR" w:bidi="fr-FR"/>
        </w:rPr>
        <w:t>han de la Forêt</w:t>
      </w:r>
      <w:r w:rsidRPr="003B3476">
        <w:t xml:space="preserve"> et publiée par Arthur de </w:t>
      </w:r>
      <w:r w:rsidRPr="003B3476">
        <w:rPr>
          <w:rStyle w:val="Notedebasdepage265ptNonItaliquePetitesmajuscules"/>
          <w:b w:val="0"/>
          <w:i/>
          <w:iCs/>
          <w:sz w:val="24"/>
        </w:rPr>
        <w:t xml:space="preserve">Marsy, </w:t>
      </w:r>
      <w:r w:rsidRPr="003B3476">
        <w:t xml:space="preserve">dans </w:t>
      </w:r>
      <w:r w:rsidRPr="003B3476">
        <w:rPr>
          <w:i/>
          <w:lang w:val="fr-FR" w:eastAsia="fr-FR" w:bidi="fr-FR"/>
        </w:rPr>
        <w:t>Rev. nobiliaire</w:t>
      </w:r>
      <w:r w:rsidRPr="003B3476">
        <w:t xml:space="preserve">, t. II, 1864, p. 287-305 ; Adrien </w:t>
      </w:r>
      <w:r w:rsidRPr="000C0A54">
        <w:rPr>
          <w:rStyle w:val="Notedebasdepage265ptNonItaliquePetitesmajuscules"/>
          <w:b w:val="0"/>
          <w:iCs/>
          <w:sz w:val="24"/>
        </w:rPr>
        <w:t>Maquet</w:t>
      </w:r>
      <w:r w:rsidRPr="003B3476">
        <w:rPr>
          <w:rStyle w:val="Notedebasdepage265ptNonItaliquePetitesmajuscules"/>
          <w:b w:val="0"/>
          <w:i/>
          <w:iCs/>
          <w:sz w:val="24"/>
        </w:rPr>
        <w:t xml:space="preserve"> </w:t>
      </w:r>
      <w:r w:rsidRPr="003B3476">
        <w:t xml:space="preserve">et Adolphe de </w:t>
      </w:r>
      <w:r w:rsidRPr="003B3476">
        <w:rPr>
          <w:rStyle w:val="Notedebasdepage265ptNonItaliquePetitesmajuscules"/>
          <w:b w:val="0"/>
          <w:i/>
          <w:iCs/>
          <w:sz w:val="24"/>
        </w:rPr>
        <w:t xml:space="preserve">Dion. </w:t>
      </w:r>
      <w:r w:rsidRPr="003B3476">
        <w:rPr>
          <w:i/>
          <w:lang w:val="fr-FR" w:eastAsia="fr-FR" w:bidi="fr-FR"/>
        </w:rPr>
        <w:t>Nobiliaire et arm</w:t>
      </w:r>
      <w:r w:rsidRPr="003B3476">
        <w:rPr>
          <w:i/>
          <w:lang w:val="fr-FR" w:eastAsia="fr-FR" w:bidi="fr-FR"/>
        </w:rPr>
        <w:t>o</w:t>
      </w:r>
      <w:r w:rsidRPr="003B3476">
        <w:rPr>
          <w:i/>
          <w:lang w:val="fr-FR" w:eastAsia="fr-FR" w:bidi="fr-FR"/>
        </w:rPr>
        <w:t>rial du comté de Montfort-l’Amaury</w:t>
      </w:r>
      <w:r w:rsidRPr="003B3476">
        <w:t xml:space="preserve">, dans </w:t>
      </w:r>
      <w:r w:rsidRPr="003B3476">
        <w:rPr>
          <w:i/>
          <w:lang w:val="fr-FR" w:eastAsia="fr-FR" w:bidi="fr-FR"/>
        </w:rPr>
        <w:t>Mém. Soc. archéol. Rambouillet</w:t>
      </w:r>
      <w:r w:rsidRPr="003B3476">
        <w:t xml:space="preserve">, t. V, 1879-1880, p. 49-516 ; E. </w:t>
      </w:r>
      <w:r w:rsidRPr="000C0A54">
        <w:rPr>
          <w:rStyle w:val="Notedebasdepage265ptNonItaliquePetitesmajuscules"/>
          <w:b w:val="0"/>
          <w:iCs/>
          <w:sz w:val="24"/>
        </w:rPr>
        <w:t>Grave</w:t>
      </w:r>
      <w:r w:rsidRPr="003B3476">
        <w:rPr>
          <w:rStyle w:val="Notedebasdepage265ptNonItaliquePetitesmajuscules"/>
          <w:b w:val="0"/>
          <w:i/>
          <w:iCs/>
          <w:sz w:val="24"/>
        </w:rPr>
        <w:t xml:space="preserve">, </w:t>
      </w:r>
      <w:r w:rsidRPr="003B3476">
        <w:rPr>
          <w:i/>
          <w:lang w:val="fr-FR" w:eastAsia="fr-FR" w:bidi="fr-FR"/>
        </w:rPr>
        <w:t>Supplément au nobiliaire et armorial du comté de Montfort-l’Amaury</w:t>
      </w:r>
      <w:r w:rsidRPr="003B3476">
        <w:rPr>
          <w:lang w:val="fr-FR" w:eastAsia="fr-FR" w:bidi="fr-FR"/>
        </w:rPr>
        <w:t>,</w:t>
      </w:r>
      <w:r w:rsidRPr="003B3476">
        <w:t xml:space="preserve"> dans </w:t>
      </w:r>
      <w:r w:rsidRPr="003B3476">
        <w:rPr>
          <w:i/>
          <w:lang w:val="fr-FR" w:eastAsia="fr-FR" w:bidi="fr-FR"/>
        </w:rPr>
        <w:t>Mém. Soc. archéol. Rambouillet</w:t>
      </w:r>
      <w:r w:rsidRPr="003B3476">
        <w:rPr>
          <w:lang w:val="fr-FR" w:eastAsia="fr-FR" w:bidi="fr-FR"/>
        </w:rPr>
        <w:t>,</w:t>
      </w:r>
      <w:r w:rsidRPr="003B3476">
        <w:t xml:space="preserve"> t. XIX, 1906, p. 1-260.</w:t>
      </w:r>
    </w:p>
  </w:footnote>
  <w:footnote w:id="575">
    <w:p w14:paraId="006C398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monnayage char train seul a fait l’objet d’assez nombreux travaux, dus surtout à </w:t>
      </w:r>
      <w:r w:rsidRPr="003B3476">
        <w:rPr>
          <w:rStyle w:val="Notedebasdepage65ptPetitesmajuscules"/>
          <w:b w:val="0"/>
          <w:sz w:val="24"/>
        </w:rPr>
        <w:t xml:space="preserve">E. Cartier. </w:t>
      </w:r>
      <w:r w:rsidRPr="003B3476">
        <w:rPr>
          <w:lang w:val="fr-FR" w:eastAsia="fr-FR" w:bidi="fr-FR"/>
        </w:rPr>
        <w:t xml:space="preserve">On les trouvera indiqués dans le </w:t>
      </w:r>
      <w:r w:rsidRPr="003B3476">
        <w:rPr>
          <w:bCs/>
        </w:rPr>
        <w:t>Répertoire des sources i</w:t>
      </w:r>
      <w:r w:rsidRPr="003B3476">
        <w:rPr>
          <w:bCs/>
        </w:rPr>
        <w:t>m</w:t>
      </w:r>
      <w:r w:rsidRPr="003B3476">
        <w:rPr>
          <w:bCs/>
        </w:rPr>
        <w:t>primées de la numismatique française</w:t>
      </w:r>
      <w:r w:rsidRPr="003B3476">
        <w:rPr>
          <w:lang w:val="fr-FR" w:eastAsia="fr-FR" w:bidi="fr-FR"/>
        </w:rPr>
        <w:t xml:space="preserve"> de A. </w:t>
      </w:r>
      <w:r w:rsidRPr="003B3476">
        <w:rPr>
          <w:rStyle w:val="Notedebasdepage65ptPetitesmajuscules"/>
          <w:b w:val="0"/>
          <w:sz w:val="24"/>
        </w:rPr>
        <w:t xml:space="preserve">Engel </w:t>
      </w:r>
      <w:r w:rsidRPr="003B3476">
        <w:rPr>
          <w:lang w:val="fr-FR" w:eastAsia="fr-FR" w:bidi="fr-FR"/>
        </w:rPr>
        <w:t xml:space="preserve">et </w:t>
      </w:r>
      <w:r w:rsidRPr="003B3476">
        <w:rPr>
          <w:rStyle w:val="Notedebasdepage65ptPetitesmajuscules"/>
          <w:b w:val="0"/>
          <w:sz w:val="24"/>
        </w:rPr>
        <w:t xml:space="preserve">R. Serrure, </w:t>
      </w:r>
      <w:r w:rsidRPr="003B3476">
        <w:rPr>
          <w:lang w:val="fr-FR" w:eastAsia="fr-FR" w:bidi="fr-FR"/>
        </w:rPr>
        <w:t xml:space="preserve">3 vol. in-8°, Paris, 1887-1889. </w:t>
      </w:r>
      <w:r w:rsidRPr="003B3476">
        <w:rPr>
          <w:bCs/>
          <w:i/>
        </w:rPr>
        <w:t>Cf.</w:t>
      </w:r>
      <w:r w:rsidRPr="003B3476">
        <w:rPr>
          <w:lang w:val="fr-FR" w:eastAsia="fr-FR" w:bidi="fr-FR"/>
        </w:rPr>
        <w:t xml:space="preserve"> aussi de </w:t>
      </w:r>
      <w:r w:rsidRPr="003B3476">
        <w:rPr>
          <w:rStyle w:val="Notedebasdepage65ptPetitesmajuscules"/>
          <w:b w:val="0"/>
          <w:sz w:val="24"/>
        </w:rPr>
        <w:t xml:space="preserve">Lépinois, </w:t>
      </w:r>
      <w:r w:rsidRPr="003B3476">
        <w:rPr>
          <w:bCs/>
          <w:i/>
        </w:rPr>
        <w:t>Histoire de Chartres</w:t>
      </w:r>
      <w:r w:rsidRPr="003B3476">
        <w:rPr>
          <w:bCs/>
        </w:rPr>
        <w:t>,</w:t>
      </w:r>
      <w:r w:rsidRPr="003B3476">
        <w:rPr>
          <w:lang w:val="fr-FR" w:eastAsia="fr-FR" w:bidi="fr-FR"/>
        </w:rPr>
        <w:t xml:space="preserve"> t. I, chap. </w:t>
      </w:r>
      <w:r w:rsidRPr="003B3476">
        <w:rPr>
          <w:smallCaps/>
          <w:lang w:val="fr-FR" w:eastAsia="fr-FR" w:bidi="fr-FR"/>
        </w:rPr>
        <w:t>xiii</w:t>
      </w:r>
      <w:r w:rsidRPr="003B3476">
        <w:rPr>
          <w:lang w:val="fr-FR" w:eastAsia="fr-FR" w:bidi="fr-FR"/>
        </w:rPr>
        <w:t>, p. 405-420.</w:t>
      </w:r>
    </w:p>
  </w:footnote>
  <w:footnote w:id="576">
    <w:p w14:paraId="52E796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J. </w:t>
      </w:r>
      <w:r w:rsidRPr="000C0A54">
        <w:rPr>
          <w:rStyle w:val="Notedebasdepage265ptNonItaliquePetitesmajuscules"/>
          <w:b w:val="0"/>
          <w:iCs/>
          <w:sz w:val="24"/>
        </w:rPr>
        <w:t>Roman</w:t>
      </w:r>
      <w:r w:rsidRPr="003B3476">
        <w:rPr>
          <w:rStyle w:val="Notedebasdepage265ptNonItaliquePetitesmajuscules"/>
          <w:b w:val="0"/>
          <w:i/>
          <w:iCs/>
          <w:sz w:val="24"/>
        </w:rPr>
        <w:t xml:space="preserve">, </w:t>
      </w:r>
      <w:r w:rsidRPr="003B3476">
        <w:rPr>
          <w:lang w:val="fr-FR" w:eastAsia="fr-FR" w:bidi="fr-FR"/>
        </w:rPr>
        <w:t>Manuel de sigillographie française,</w:t>
      </w:r>
      <w:r w:rsidRPr="003B3476">
        <w:rPr>
          <w:bCs/>
        </w:rPr>
        <w:t xml:space="preserve"> in-8°, Paris, 1912, p. 321-336 </w:t>
      </w:r>
      <w:r w:rsidRPr="003B3476">
        <w:rPr>
          <w:lang w:val="fr-FR" w:eastAsia="fr-FR" w:bidi="fr-FR"/>
        </w:rPr>
        <w:t>(Île-de-France)</w:t>
      </w:r>
      <w:r w:rsidRPr="003B3476">
        <w:rPr>
          <w:bCs/>
        </w:rPr>
        <w:t xml:space="preserve"> et 337-339 </w:t>
      </w:r>
      <w:r w:rsidRPr="003B3476">
        <w:rPr>
          <w:lang w:val="fr-FR" w:eastAsia="fr-FR" w:bidi="fr-FR"/>
        </w:rPr>
        <w:t>(Orléanais) ;</w:t>
      </w:r>
      <w:r w:rsidRPr="003B3476">
        <w:rPr>
          <w:bCs/>
        </w:rPr>
        <w:t xml:space="preserve"> Léop. </w:t>
      </w:r>
      <w:r w:rsidRPr="000C0A54">
        <w:rPr>
          <w:rStyle w:val="Notedebasdepage265ptNonItaliquePetitesmajuscules"/>
          <w:b w:val="0"/>
          <w:iCs/>
          <w:sz w:val="24"/>
        </w:rPr>
        <w:t>Delisle</w:t>
      </w:r>
      <w:r w:rsidRPr="003B3476">
        <w:rPr>
          <w:rStyle w:val="Notedebasdepage265ptNonItaliquePetitesmajuscules"/>
          <w:b w:val="0"/>
          <w:i/>
          <w:iCs/>
          <w:sz w:val="24"/>
        </w:rPr>
        <w:t xml:space="preserve">, </w:t>
      </w:r>
      <w:r w:rsidRPr="003B3476">
        <w:rPr>
          <w:i/>
          <w:lang w:val="fr-FR" w:eastAsia="fr-FR" w:bidi="fr-FR"/>
        </w:rPr>
        <w:t>Recherches sur les comtes de Dammartin au XIII</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w:t>
      </w:r>
      <w:r w:rsidRPr="003B3476">
        <w:rPr>
          <w:bCs/>
        </w:rPr>
        <w:t xml:space="preserve"> dans </w:t>
      </w:r>
      <w:r w:rsidRPr="003B3476">
        <w:rPr>
          <w:i/>
          <w:lang w:val="fr-FR" w:eastAsia="fr-FR" w:bidi="fr-FR"/>
        </w:rPr>
        <w:t>Mém. Soc. Antiquaires</w:t>
      </w:r>
      <w:r w:rsidRPr="003B3476">
        <w:rPr>
          <w:lang w:val="fr-FR" w:eastAsia="fr-FR" w:bidi="fr-FR"/>
        </w:rPr>
        <w:t>,</w:t>
      </w:r>
      <w:r w:rsidRPr="003B3476">
        <w:rPr>
          <w:bCs/>
        </w:rPr>
        <w:t xml:space="preserve"> 4</w:t>
      </w:r>
      <w:r w:rsidRPr="003B3476">
        <w:rPr>
          <w:bCs/>
          <w:vertAlign w:val="superscript"/>
        </w:rPr>
        <w:t>e</w:t>
      </w:r>
      <w:r w:rsidRPr="003B3476">
        <w:rPr>
          <w:bCs/>
        </w:rPr>
        <w:t xml:space="preserve"> s</w:t>
      </w:r>
      <w:r w:rsidRPr="003B3476">
        <w:rPr>
          <w:bCs/>
        </w:rPr>
        <w:t>é</w:t>
      </w:r>
      <w:r w:rsidRPr="003B3476">
        <w:rPr>
          <w:bCs/>
        </w:rPr>
        <w:t>rie, t. I (t. 31 de la collection, 1869), p. 189-258.</w:t>
      </w:r>
    </w:p>
  </w:footnote>
  <w:footnote w:id="577">
    <w:p w14:paraId="1987AD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Du moins l’enceinte subsistait-elle encore en 1886, lorsque M. M. </w:t>
      </w:r>
      <w:r w:rsidRPr="003B3476">
        <w:rPr>
          <w:rStyle w:val="Notedebasdepage65ptPetitesmajuscules"/>
          <w:b w:val="0"/>
          <w:sz w:val="24"/>
        </w:rPr>
        <w:t xml:space="preserve">Loisel </w:t>
      </w:r>
      <w:r w:rsidRPr="003B3476">
        <w:rPr>
          <w:lang w:val="fr-FR" w:eastAsia="fr-FR" w:bidi="fr-FR"/>
        </w:rPr>
        <w:t xml:space="preserve">faisait paraître son volume intitulé </w:t>
      </w:r>
      <w:r w:rsidRPr="000C0A54">
        <w:rPr>
          <w:bCs/>
          <w:i/>
        </w:rPr>
        <w:t>Boissy</w:t>
      </w:r>
      <w:r w:rsidRPr="003B3476">
        <w:rPr>
          <w:bCs/>
          <w:i/>
        </w:rPr>
        <w:t>-l'Aillerie</w:t>
      </w:r>
      <w:r w:rsidRPr="003B3476">
        <w:rPr>
          <w:bCs/>
        </w:rPr>
        <w:t>,</w:t>
      </w:r>
      <w:r w:rsidRPr="003B3476">
        <w:rPr>
          <w:lang w:val="fr-FR" w:eastAsia="fr-FR" w:bidi="fr-FR"/>
        </w:rPr>
        <w:t xml:space="preserve"> in-8°, Pontoise, 112 p. Il est question de l’enceinte à la page 17 de cet ouvrage. Je n’ai pu me rendre à Boissy-l’Aillerie.</w:t>
      </w:r>
    </w:p>
  </w:footnote>
  <w:footnote w:id="578">
    <w:p w14:paraId="05129D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 de </w:t>
      </w:r>
      <w:r w:rsidRPr="003B3476">
        <w:rPr>
          <w:rStyle w:val="Notedebasdepage65ptPetitesmajuscules"/>
          <w:b w:val="0"/>
          <w:sz w:val="24"/>
        </w:rPr>
        <w:t xml:space="preserve">Dion </w:t>
      </w:r>
      <w:r w:rsidRPr="003B3476">
        <w:rPr>
          <w:lang w:val="fr-FR" w:eastAsia="fr-FR" w:bidi="fr-FR"/>
        </w:rPr>
        <w:t>a esquissé très brièvement, mais intelligemment, l’histoire des ch</w:t>
      </w:r>
      <w:r w:rsidRPr="003B3476">
        <w:rPr>
          <w:lang w:val="fr-FR" w:eastAsia="fr-FR" w:bidi="fr-FR"/>
        </w:rPr>
        <w:t>â</w:t>
      </w:r>
      <w:r w:rsidRPr="003B3476">
        <w:rPr>
          <w:lang w:val="fr-FR" w:eastAsia="fr-FR" w:bidi="fr-FR"/>
        </w:rPr>
        <w:t xml:space="preserve">teaux de l’Île-de-France, dans un article intitulé </w:t>
      </w:r>
      <w:r w:rsidRPr="003B3476">
        <w:rPr>
          <w:bCs/>
          <w:i/>
        </w:rPr>
        <w:t>Notes sur les progrès de l'architecture militaire sous le règne de Philippe-Auguste</w:t>
      </w:r>
      <w:r w:rsidRPr="003B3476">
        <w:rPr>
          <w:bCs/>
        </w:rPr>
        <w:t>,</w:t>
      </w:r>
      <w:r w:rsidRPr="003B3476">
        <w:rPr>
          <w:lang w:val="fr-FR" w:eastAsia="fr-FR" w:bidi="fr-FR"/>
        </w:rPr>
        <w:t xml:space="preserve"> dans </w:t>
      </w:r>
      <w:r w:rsidRPr="003B3476">
        <w:rPr>
          <w:bCs/>
        </w:rPr>
        <w:t>Mém</w:t>
      </w:r>
      <w:r w:rsidRPr="003B3476">
        <w:rPr>
          <w:bCs/>
          <w:i/>
        </w:rPr>
        <w:t>. Soc. a</w:t>
      </w:r>
      <w:r w:rsidRPr="003B3476">
        <w:rPr>
          <w:bCs/>
          <w:i/>
        </w:rPr>
        <w:t>r</w:t>
      </w:r>
      <w:r w:rsidRPr="003B3476">
        <w:rPr>
          <w:bCs/>
          <w:i/>
        </w:rPr>
        <w:t>chéol. Rambouillet</w:t>
      </w:r>
      <w:r w:rsidRPr="003B3476">
        <w:rPr>
          <w:lang w:val="fr-FR" w:eastAsia="fr-FR" w:bidi="fr-FR"/>
        </w:rPr>
        <w:t xml:space="preserve">, t. I, 1870-72, p. 157-181, et dans une petite brochure : </w:t>
      </w:r>
      <w:r w:rsidRPr="003B3476">
        <w:rPr>
          <w:bCs/>
          <w:i/>
        </w:rPr>
        <w:t>Quelques notes sur l'architecture militaire du Moyen Âge à propos du château de Dourdan</w:t>
      </w:r>
      <w:r w:rsidRPr="003B3476">
        <w:rPr>
          <w:bCs/>
        </w:rPr>
        <w:t>,</w:t>
      </w:r>
      <w:r w:rsidRPr="003B3476">
        <w:rPr>
          <w:lang w:val="fr-FR" w:eastAsia="fr-FR" w:bidi="fr-FR"/>
        </w:rPr>
        <w:t xml:space="preserve"> in-8°, s. 1. n. d., 7 p.</w:t>
      </w:r>
    </w:p>
  </w:footnote>
  <w:footnote w:id="579">
    <w:p w14:paraId="3637EE5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F. </w:t>
      </w:r>
      <w:r w:rsidRPr="003B3476">
        <w:rPr>
          <w:rStyle w:val="Notedebasdepage65ptPetitesmajuscules"/>
          <w:b w:val="0"/>
          <w:sz w:val="24"/>
        </w:rPr>
        <w:t xml:space="preserve">Lot, </w:t>
      </w:r>
      <w:r w:rsidRPr="003B3476">
        <w:rPr>
          <w:bCs/>
          <w:i/>
        </w:rPr>
        <w:t>Le Pont de Pitres</w:t>
      </w:r>
      <w:r w:rsidRPr="003B3476">
        <w:rPr>
          <w:bCs/>
        </w:rPr>
        <w:t>,</w:t>
      </w:r>
      <w:r w:rsidRPr="003B3476">
        <w:rPr>
          <w:lang w:val="fr-FR" w:eastAsia="fr-FR" w:bidi="fr-FR"/>
        </w:rPr>
        <w:t xml:space="preserve"> dans </w:t>
      </w:r>
      <w:r w:rsidRPr="003B3476">
        <w:rPr>
          <w:bCs/>
          <w:i/>
        </w:rPr>
        <w:t>Le Moyen Âge</w:t>
      </w:r>
      <w:r w:rsidRPr="003B3476">
        <w:rPr>
          <w:bCs/>
        </w:rPr>
        <w:t>,</w:t>
      </w:r>
      <w:r w:rsidRPr="003B3476">
        <w:rPr>
          <w:lang w:val="fr-FR" w:eastAsia="fr-FR" w:bidi="fr-FR"/>
        </w:rPr>
        <w:t xml:space="preserve"> t. IX de la 2</w:t>
      </w:r>
      <w:r w:rsidRPr="003B3476">
        <w:rPr>
          <w:vertAlign w:val="superscript"/>
          <w:lang w:val="fr-FR" w:eastAsia="fr-FR" w:bidi="fr-FR"/>
        </w:rPr>
        <w:t>e</w:t>
      </w:r>
      <w:r w:rsidRPr="003B3476">
        <w:rPr>
          <w:lang w:val="fr-FR" w:eastAsia="fr-FR" w:bidi="fr-FR"/>
        </w:rPr>
        <w:t xml:space="preserve"> série (1905, XVIII de la collection), p. 6.</w:t>
      </w:r>
    </w:p>
  </w:footnote>
  <w:footnote w:id="580">
    <w:p w14:paraId="1ABF0F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pour l’Anjou, L. </w:t>
      </w:r>
      <w:r w:rsidRPr="003B3476">
        <w:rPr>
          <w:rStyle w:val="Notedebasdepage65ptPetitesmajuscules"/>
          <w:b w:val="0"/>
          <w:sz w:val="24"/>
        </w:rPr>
        <w:t xml:space="preserve">Halphen, </w:t>
      </w:r>
      <w:r w:rsidRPr="003B3476">
        <w:rPr>
          <w:bCs/>
          <w:i/>
        </w:rPr>
        <w:t>Le Comté d'Anjou au XI</w:t>
      </w:r>
      <w:r w:rsidRPr="003B3476">
        <w:rPr>
          <w:bCs/>
          <w:i/>
          <w:vertAlign w:val="superscript"/>
        </w:rPr>
        <w:t>e</w:t>
      </w:r>
      <w:r w:rsidRPr="003B3476">
        <w:rPr>
          <w:bCs/>
        </w:rPr>
        <w:t xml:space="preserve"> siècle</w:t>
      </w:r>
      <w:r w:rsidRPr="003B3476">
        <w:rPr>
          <w:lang w:val="fr-FR" w:eastAsia="fr-FR" w:bidi="fr-FR"/>
        </w:rPr>
        <w:t xml:space="preserve"> (thèse Fac. Lettres Paris), in-8°, Paris, 1906, p. 158 et suiv. et pour le Maine, R. </w:t>
      </w:r>
      <w:r w:rsidRPr="003B3476">
        <w:rPr>
          <w:rStyle w:val="Notedebasdepage65ptPetitesmajuscules"/>
          <w:b w:val="0"/>
          <w:sz w:val="24"/>
        </w:rPr>
        <w:t xml:space="preserve">Latouche, </w:t>
      </w:r>
      <w:r w:rsidRPr="003B3476">
        <w:rPr>
          <w:bCs/>
          <w:i/>
        </w:rPr>
        <w:t>Histoire du comté du Maine pendant le X</w:t>
      </w:r>
      <w:r w:rsidRPr="003B3476">
        <w:rPr>
          <w:bCs/>
          <w:i/>
          <w:vertAlign w:val="superscript"/>
        </w:rPr>
        <w:t>e</w:t>
      </w:r>
      <w:r w:rsidRPr="003B3476">
        <w:rPr>
          <w:bCs/>
          <w:i/>
        </w:rPr>
        <w:t xml:space="preserve"> et le XI</w:t>
      </w:r>
      <w:r w:rsidRPr="003B3476">
        <w:rPr>
          <w:bCs/>
          <w:i/>
          <w:vertAlign w:val="superscript"/>
        </w:rPr>
        <w:t>e</w:t>
      </w:r>
      <w:r w:rsidRPr="003B3476">
        <w:rPr>
          <w:bCs/>
          <w:i/>
        </w:rPr>
        <w:t xml:space="preserve"> siècle</w:t>
      </w:r>
      <w:r w:rsidRPr="003B3476">
        <w:rPr>
          <w:lang w:val="fr-FR" w:eastAsia="fr-FR" w:bidi="fr-FR"/>
        </w:rPr>
        <w:t xml:space="preserve"> (B</w:t>
      </w:r>
      <w:r w:rsidRPr="003B3476">
        <w:rPr>
          <w:lang w:val="fr-FR" w:eastAsia="fr-FR" w:bidi="fr-FR"/>
        </w:rPr>
        <w:t>i</w:t>
      </w:r>
      <w:r w:rsidRPr="003B3476">
        <w:rPr>
          <w:lang w:val="fr-FR" w:eastAsia="fr-FR" w:bidi="fr-FR"/>
        </w:rPr>
        <w:t>blioth. Ec. Hautes Études, f. 183), in-8°, Paris, 1910. p. 58 et suiv. Dans ces provinces, c’est des comtes qu’il s’agit et non des rois.</w:t>
      </w:r>
    </w:p>
  </w:footnote>
  <w:footnote w:id="581">
    <w:p w14:paraId="2ECABB5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 qui nous reste des châteaux du Vexin (par conséquent des châteaux de pierre) a été l’objet d’une étude d’ensemble : A. de </w:t>
      </w:r>
      <w:r w:rsidRPr="003B3476">
        <w:rPr>
          <w:bCs/>
          <w:smallCaps/>
        </w:rPr>
        <w:t>Dion</w:t>
      </w:r>
      <w:r w:rsidRPr="003B3476">
        <w:rPr>
          <w:bCs/>
        </w:rPr>
        <w:t xml:space="preserve">, </w:t>
      </w:r>
      <w:r w:rsidRPr="003B3476">
        <w:rPr>
          <w:rStyle w:val="Notedebasdepage375ptItalique"/>
          <w:b w:val="0"/>
          <w:sz w:val="24"/>
        </w:rPr>
        <w:t>Exploration des châteaux du Vexin,</w:t>
      </w:r>
      <w:r w:rsidRPr="003B3476">
        <w:rPr>
          <w:bCs/>
        </w:rPr>
        <w:t xml:space="preserve"> </w:t>
      </w:r>
      <w:r w:rsidRPr="003B3476">
        <w:rPr>
          <w:lang w:val="fr-FR" w:eastAsia="fr-FR" w:bidi="fr-FR"/>
        </w:rPr>
        <w:t xml:space="preserve">dans </w:t>
      </w:r>
      <w:r w:rsidRPr="003B3476">
        <w:rPr>
          <w:rStyle w:val="Notedebasdepage375ptItalique"/>
          <w:b w:val="0"/>
          <w:sz w:val="24"/>
        </w:rPr>
        <w:t>Bullet. monumental,</w:t>
      </w:r>
      <w:r w:rsidRPr="003B3476">
        <w:rPr>
          <w:bCs/>
        </w:rPr>
        <w:t xml:space="preserve"> </w:t>
      </w:r>
      <w:r w:rsidRPr="003B3476">
        <w:rPr>
          <w:lang w:val="fr-FR" w:eastAsia="fr-FR" w:bidi="fr-FR"/>
        </w:rPr>
        <w:t xml:space="preserve">t. </w:t>
      </w:r>
      <w:r w:rsidRPr="003B3476">
        <w:rPr>
          <w:bCs/>
        </w:rPr>
        <w:t xml:space="preserve">XXXIII, 1867, </w:t>
      </w:r>
      <w:r w:rsidRPr="003B3476">
        <w:rPr>
          <w:lang w:val="fr-FR" w:eastAsia="fr-FR" w:bidi="fr-FR"/>
        </w:rPr>
        <w:t xml:space="preserve">p. </w:t>
      </w:r>
      <w:r w:rsidRPr="003B3476">
        <w:rPr>
          <w:bCs/>
        </w:rPr>
        <w:t>330-366.</w:t>
      </w:r>
    </w:p>
  </w:footnote>
  <w:footnote w:id="582">
    <w:p w14:paraId="3281ECF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Victor </w:t>
      </w:r>
      <w:r w:rsidRPr="003B3476">
        <w:rPr>
          <w:rStyle w:val="Notedebasdepage265ptNonItaliquePetitesmajuscules"/>
          <w:b w:val="0"/>
          <w:i/>
          <w:iCs/>
          <w:sz w:val="24"/>
        </w:rPr>
        <w:t xml:space="preserve">Petit, </w:t>
      </w:r>
      <w:r w:rsidRPr="003B3476">
        <w:rPr>
          <w:i/>
          <w:lang w:val="fr-FR" w:eastAsia="fr-FR" w:bidi="fr-FR"/>
        </w:rPr>
        <w:t>Le donjon d’Étampes</w:t>
      </w:r>
      <w:r w:rsidRPr="003B3476">
        <w:rPr>
          <w:bCs/>
        </w:rPr>
        <w:t xml:space="preserve">, dans </w:t>
      </w:r>
      <w:r w:rsidRPr="003B3476">
        <w:rPr>
          <w:i/>
          <w:lang w:val="fr-FR" w:eastAsia="fr-FR" w:bidi="fr-FR"/>
        </w:rPr>
        <w:t>Bullet. monument</w:t>
      </w:r>
      <w:r w:rsidRPr="003B3476">
        <w:rPr>
          <w:lang w:val="fr-FR" w:eastAsia="fr-FR" w:bidi="fr-FR"/>
        </w:rPr>
        <w:t>.,</w:t>
      </w:r>
      <w:r w:rsidRPr="003B3476">
        <w:rPr>
          <w:bCs/>
        </w:rPr>
        <w:t xml:space="preserve"> t. XII, 1846, p. 488-501 ; L. </w:t>
      </w:r>
      <w:r w:rsidRPr="003B3476">
        <w:rPr>
          <w:rStyle w:val="Notedebasdepage265ptNonItaliquePetitesmajuscules"/>
          <w:b w:val="0"/>
          <w:i/>
          <w:iCs/>
          <w:sz w:val="24"/>
        </w:rPr>
        <w:t xml:space="preserve">Marquis, </w:t>
      </w:r>
      <w:r w:rsidRPr="003B3476">
        <w:rPr>
          <w:i/>
          <w:lang w:val="fr-FR" w:eastAsia="fr-FR" w:bidi="fr-FR"/>
        </w:rPr>
        <w:t>Notice historique sur le château d’Étampes</w:t>
      </w:r>
      <w:r w:rsidRPr="003B3476">
        <w:rPr>
          <w:lang w:val="fr-FR" w:eastAsia="fr-FR" w:bidi="fr-FR"/>
        </w:rPr>
        <w:t>,</w:t>
      </w:r>
      <w:r w:rsidRPr="003B3476">
        <w:rPr>
          <w:bCs/>
        </w:rPr>
        <w:t xml:space="preserve"> in-16, Éta</w:t>
      </w:r>
      <w:r w:rsidRPr="003B3476">
        <w:rPr>
          <w:bCs/>
        </w:rPr>
        <w:t>m</w:t>
      </w:r>
      <w:r w:rsidRPr="003B3476">
        <w:rPr>
          <w:bCs/>
        </w:rPr>
        <w:t xml:space="preserve">pes, 1885, 109 p. ; L. Eug. </w:t>
      </w:r>
      <w:r w:rsidRPr="003B3476">
        <w:rPr>
          <w:rStyle w:val="Notedebasdepage265ptNonItaliquePetitesmajuscules"/>
          <w:b w:val="0"/>
          <w:i/>
          <w:iCs/>
          <w:sz w:val="24"/>
        </w:rPr>
        <w:t xml:space="preserve">Lefèvre, </w:t>
      </w:r>
      <w:r w:rsidRPr="003B3476">
        <w:rPr>
          <w:i/>
          <w:lang w:val="fr-FR" w:eastAsia="fr-FR" w:bidi="fr-FR"/>
        </w:rPr>
        <w:t>Étampes et ses monuments</w:t>
      </w:r>
      <w:r w:rsidRPr="003B3476">
        <w:rPr>
          <w:bCs/>
        </w:rPr>
        <w:t xml:space="preserve">, dans </w:t>
      </w:r>
      <w:r w:rsidRPr="003B3476">
        <w:rPr>
          <w:i/>
          <w:lang w:val="fr-FR" w:eastAsia="fr-FR" w:bidi="fr-FR"/>
        </w:rPr>
        <w:t>Ann. Soc. hist. Gâtinais</w:t>
      </w:r>
      <w:r w:rsidRPr="003B3476">
        <w:rPr>
          <w:bCs/>
        </w:rPr>
        <w:t>, t. XXV, 1907, p. 313 et suiv.</w:t>
      </w:r>
    </w:p>
  </w:footnote>
  <w:footnote w:id="583">
    <w:p w14:paraId="3D6CC3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Éd. A. </w:t>
      </w:r>
      <w:r w:rsidRPr="003B3476">
        <w:rPr>
          <w:rStyle w:val="Notedebasdepage65ptPetitesmajuscules"/>
          <w:b w:val="0"/>
          <w:sz w:val="24"/>
        </w:rPr>
        <w:t xml:space="preserve">Leprevost </w:t>
      </w:r>
      <w:r w:rsidRPr="003B3476">
        <w:rPr>
          <w:lang w:val="fr-FR" w:eastAsia="fr-FR" w:bidi="fr-FR"/>
        </w:rPr>
        <w:t xml:space="preserve">et L. </w:t>
      </w:r>
      <w:r w:rsidRPr="003B3476">
        <w:rPr>
          <w:rStyle w:val="Notedebasdepage65ptPetitesmajuscules"/>
          <w:b w:val="0"/>
          <w:sz w:val="24"/>
        </w:rPr>
        <w:t xml:space="preserve">Delisle (Soc. </w:t>
      </w:r>
      <w:r w:rsidRPr="003B3476">
        <w:rPr>
          <w:lang w:val="fr-FR" w:eastAsia="fr-FR" w:bidi="fr-FR"/>
        </w:rPr>
        <w:t xml:space="preserve">de l’hist. de France), t. II, in-8°, Paris, 1840, p. 467. </w:t>
      </w:r>
      <w:r w:rsidRPr="003B3476">
        <w:rPr>
          <w:bCs/>
          <w:i/>
        </w:rPr>
        <w:t>Cf.</w:t>
      </w:r>
      <w:r w:rsidRPr="003B3476">
        <w:rPr>
          <w:lang w:val="fr-FR" w:eastAsia="fr-FR" w:bidi="fr-FR"/>
        </w:rPr>
        <w:t xml:space="preserve"> A. </w:t>
      </w:r>
      <w:r w:rsidRPr="003B3476">
        <w:rPr>
          <w:rStyle w:val="Notedebasdepage65ptPetitesmajuscules"/>
          <w:b w:val="0"/>
          <w:sz w:val="24"/>
        </w:rPr>
        <w:t xml:space="preserve">Luchaire, </w:t>
      </w:r>
      <w:r w:rsidRPr="003B3476">
        <w:rPr>
          <w:bCs/>
          <w:i/>
        </w:rPr>
        <w:t>Louis VI le Gros</w:t>
      </w:r>
      <w:r w:rsidRPr="003B3476">
        <w:rPr>
          <w:lang w:val="fr-FR" w:eastAsia="fr-FR" w:bidi="fr-FR"/>
        </w:rPr>
        <w:t>, in-8°, Paris, 1890, p. 168, n° 366.</w:t>
      </w:r>
    </w:p>
  </w:footnote>
  <w:footnote w:id="584">
    <w:p w14:paraId="108D5F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t xml:space="preserve">Le château de Dourdan a été étudié </w:t>
      </w:r>
      <w:r w:rsidRPr="003B3476">
        <w:rPr>
          <w:rStyle w:val="Notedebasdepage265ptNonItalique"/>
          <w:b w:val="0"/>
          <w:i/>
          <w:iCs/>
          <w:sz w:val="24"/>
        </w:rPr>
        <w:t xml:space="preserve">à </w:t>
      </w:r>
      <w:r w:rsidRPr="003B3476">
        <w:t xml:space="preserve">plusieurs reprises par </w:t>
      </w:r>
      <w:r w:rsidRPr="000C0A54">
        <w:rPr>
          <w:rStyle w:val="Notedebasdepage265ptNonItaliquePetitesmajuscules"/>
          <w:b w:val="0"/>
          <w:iCs/>
          <w:sz w:val="24"/>
        </w:rPr>
        <w:t>M. J. Guyot,</w:t>
      </w:r>
      <w:r w:rsidRPr="003B3476">
        <w:rPr>
          <w:rStyle w:val="Notedebasdepage265ptNonItaliquePetitesmajuscules"/>
          <w:b w:val="0"/>
          <w:i/>
          <w:iCs/>
          <w:sz w:val="24"/>
        </w:rPr>
        <w:t xml:space="preserve"> </w:t>
      </w:r>
      <w:r w:rsidRPr="003B3476">
        <w:rPr>
          <w:i/>
          <w:lang w:val="fr-FR" w:eastAsia="fr-FR" w:bidi="fr-FR"/>
        </w:rPr>
        <w:t>Chronique d'une ancienne ville royale, Dourdan</w:t>
      </w:r>
      <w:r w:rsidRPr="003B3476">
        <w:t xml:space="preserve">, in-8°, Paris, 1869, iv + 448, p. ; </w:t>
      </w:r>
      <w:r w:rsidRPr="003B3476">
        <w:rPr>
          <w:lang w:val="fr-FR" w:eastAsia="fr-FR" w:bidi="fr-FR"/>
        </w:rPr>
        <w:t>L’église et le château de Dourdan</w:t>
      </w:r>
      <w:r w:rsidRPr="003B3476">
        <w:t xml:space="preserve">, dans </w:t>
      </w:r>
      <w:r w:rsidRPr="003B3476">
        <w:rPr>
          <w:i/>
          <w:lang w:val="fr-FR" w:eastAsia="fr-FR" w:bidi="fr-FR"/>
        </w:rPr>
        <w:t>Bullet. monum</w:t>
      </w:r>
      <w:r w:rsidRPr="003B3476">
        <w:t xml:space="preserve">., t. XXXVIII, 1872, p. 613-633 ; </w:t>
      </w:r>
      <w:r w:rsidRPr="003B3476">
        <w:rPr>
          <w:lang w:val="fr-FR" w:eastAsia="fr-FR" w:bidi="fr-FR"/>
        </w:rPr>
        <w:t>Quelques fouilles récentes opérées au château de Dourdan</w:t>
      </w:r>
      <w:r w:rsidRPr="003B3476">
        <w:t xml:space="preserve">, dans </w:t>
      </w:r>
      <w:r w:rsidRPr="003B3476">
        <w:rPr>
          <w:i/>
          <w:lang w:val="fr-FR" w:eastAsia="fr-FR" w:bidi="fr-FR"/>
        </w:rPr>
        <w:t>Confér. des soc. sav. de Seine-et-Oise. Troisième réunion</w:t>
      </w:r>
      <w:r w:rsidRPr="003B3476">
        <w:rPr>
          <w:i/>
        </w:rPr>
        <w:t xml:space="preserve"> (1906)</w:t>
      </w:r>
      <w:r w:rsidRPr="003B3476">
        <w:t xml:space="preserve">, p. 72-77. </w:t>
      </w:r>
      <w:r w:rsidRPr="003B3476">
        <w:rPr>
          <w:i/>
          <w:lang w:val="fr-FR" w:eastAsia="fr-FR" w:bidi="fr-FR"/>
        </w:rPr>
        <w:t>Cf.</w:t>
      </w:r>
      <w:r w:rsidRPr="003B3476">
        <w:t xml:space="preserve"> une communication de </w:t>
      </w:r>
      <w:r w:rsidRPr="003B3476">
        <w:rPr>
          <w:rStyle w:val="Notedebasdepage265ptNonItalique"/>
          <w:b w:val="0"/>
          <w:i/>
          <w:iCs/>
          <w:sz w:val="24"/>
        </w:rPr>
        <w:t xml:space="preserve">M. </w:t>
      </w:r>
      <w:r w:rsidRPr="003B3476">
        <w:t xml:space="preserve">de </w:t>
      </w:r>
      <w:r w:rsidRPr="003B3476">
        <w:rPr>
          <w:rStyle w:val="Notedebasdepage265ptNonItaliquePetitesmajuscules"/>
          <w:b w:val="0"/>
          <w:i/>
          <w:iCs/>
          <w:sz w:val="24"/>
        </w:rPr>
        <w:t xml:space="preserve">Montaiglon </w:t>
      </w:r>
      <w:r w:rsidRPr="003B3476">
        <w:rPr>
          <w:i/>
          <w:lang w:val="fr-FR" w:eastAsia="fr-FR" w:bidi="fr-FR"/>
        </w:rPr>
        <w:t>Sur un plan du château de Dourdan</w:t>
      </w:r>
      <w:r w:rsidRPr="003B3476">
        <w:t xml:space="preserve">, dans </w:t>
      </w:r>
      <w:r w:rsidRPr="003B3476">
        <w:rPr>
          <w:i/>
          <w:lang w:val="fr-FR" w:eastAsia="fr-FR" w:bidi="fr-FR"/>
        </w:rPr>
        <w:t>Bullet. Soc. hist</w:t>
      </w:r>
      <w:r w:rsidRPr="003B3476">
        <w:rPr>
          <w:lang w:val="fr-FR" w:eastAsia="fr-FR" w:bidi="fr-FR"/>
        </w:rPr>
        <w:t>. Paris</w:t>
      </w:r>
      <w:r w:rsidRPr="003B3476">
        <w:t>, t. I, 1874, p. 67-68.</w:t>
      </w:r>
    </w:p>
  </w:footnote>
  <w:footnote w:id="585">
    <w:p w14:paraId="1A9C4F9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R. de </w:t>
      </w:r>
      <w:r w:rsidRPr="000C0A54">
        <w:rPr>
          <w:rStyle w:val="Notedebasdepage265ptNonItaliquePetitesmajuscules"/>
          <w:b w:val="0"/>
          <w:iCs/>
          <w:sz w:val="24"/>
        </w:rPr>
        <w:t>Lasteyrie</w:t>
      </w:r>
      <w:r w:rsidRPr="003B3476">
        <w:rPr>
          <w:rStyle w:val="Notedebasdepage265ptNonItaliquePetitesmajuscules"/>
          <w:b w:val="0"/>
          <w:i/>
          <w:iCs/>
          <w:sz w:val="24"/>
        </w:rPr>
        <w:t xml:space="preserve">, </w:t>
      </w:r>
      <w:r w:rsidRPr="003B3476">
        <w:rPr>
          <w:i/>
          <w:lang w:val="fr-FR" w:eastAsia="fr-FR" w:bidi="fr-FR"/>
        </w:rPr>
        <w:t>Quelques mots sur le château de Gisors</w:t>
      </w:r>
      <w:r w:rsidRPr="003B3476">
        <w:rPr>
          <w:bCs/>
        </w:rPr>
        <w:t xml:space="preserve">, dans </w:t>
      </w:r>
      <w:r w:rsidRPr="003B3476">
        <w:rPr>
          <w:i/>
          <w:lang w:val="fr-FR" w:eastAsia="fr-FR" w:bidi="fr-FR"/>
        </w:rPr>
        <w:t>Bullet. m</w:t>
      </w:r>
      <w:r w:rsidRPr="003B3476">
        <w:rPr>
          <w:i/>
          <w:lang w:val="fr-FR" w:eastAsia="fr-FR" w:bidi="fr-FR"/>
        </w:rPr>
        <w:t>o</w:t>
      </w:r>
      <w:r w:rsidRPr="003B3476">
        <w:rPr>
          <w:i/>
          <w:lang w:val="fr-FR" w:eastAsia="fr-FR" w:bidi="fr-FR"/>
        </w:rPr>
        <w:t>num</w:t>
      </w:r>
      <w:r w:rsidRPr="003B3476">
        <w:rPr>
          <w:lang w:val="fr-FR" w:eastAsia="fr-FR" w:bidi="fr-FR"/>
        </w:rPr>
        <w:t xml:space="preserve">., </w:t>
      </w:r>
      <w:r w:rsidRPr="003B3476">
        <w:rPr>
          <w:bCs/>
        </w:rPr>
        <w:t>t. LXV, 1901, p. 122-137.</w:t>
      </w:r>
    </w:p>
  </w:footnote>
  <w:footnote w:id="586">
    <w:p w14:paraId="79A6CC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le texte des marchés pour la construction des forteresses, publié d’après le </w:t>
      </w:r>
      <w:r w:rsidRPr="003B3476">
        <w:rPr>
          <w:bCs/>
          <w:i/>
        </w:rPr>
        <w:t>Registrum Veterius</w:t>
      </w:r>
      <w:r w:rsidRPr="003B3476">
        <w:rPr>
          <w:lang w:val="fr-FR" w:eastAsia="fr-FR" w:bidi="fr-FR"/>
        </w:rPr>
        <w:t xml:space="preserve"> de la Chancellerie de France, ou cartulaire </w:t>
      </w:r>
      <w:r w:rsidRPr="003B3476">
        <w:rPr>
          <w:bCs/>
        </w:rPr>
        <w:t>A</w:t>
      </w:r>
      <w:r w:rsidRPr="003B3476">
        <w:rPr>
          <w:lang w:val="fr-FR" w:eastAsia="fr-FR" w:bidi="fr-FR"/>
        </w:rPr>
        <w:t xml:space="preserve"> de Philippe-Auguste (Vatican, Ottoboni </w:t>
      </w:r>
      <w:r w:rsidRPr="003B3476">
        <w:rPr>
          <w:bCs/>
        </w:rPr>
        <w:t xml:space="preserve">2796) </w:t>
      </w:r>
      <w:r w:rsidRPr="003B3476">
        <w:rPr>
          <w:lang w:val="fr-FR" w:eastAsia="fr-FR" w:bidi="fr-FR"/>
        </w:rPr>
        <w:t xml:space="preserve">par A. </w:t>
      </w:r>
      <w:r w:rsidRPr="003B3476">
        <w:rPr>
          <w:rStyle w:val="Notedebasdepage65ptPetitesmajuscules"/>
          <w:b w:val="0"/>
          <w:sz w:val="24"/>
        </w:rPr>
        <w:t xml:space="preserve">Tuetey, </w:t>
      </w:r>
      <w:r w:rsidRPr="003B3476">
        <w:rPr>
          <w:bCs/>
          <w:i/>
        </w:rPr>
        <w:t>Arch. des Missions</w:t>
      </w:r>
      <w:r w:rsidRPr="003B3476">
        <w:rPr>
          <w:bCs/>
        </w:rPr>
        <w:t>,</w:t>
      </w:r>
      <w:r w:rsidRPr="003B3476">
        <w:rPr>
          <w:lang w:val="fr-FR" w:eastAsia="fr-FR" w:bidi="fr-FR"/>
        </w:rPr>
        <w:t xml:space="preserve"> </w:t>
      </w:r>
      <w:r w:rsidRPr="003B3476">
        <w:rPr>
          <w:bCs/>
        </w:rPr>
        <w:t>3</w:t>
      </w:r>
      <w:r w:rsidRPr="003B3476">
        <w:rPr>
          <w:bCs/>
          <w:vertAlign w:val="superscript"/>
        </w:rPr>
        <w:t>e</w:t>
      </w:r>
      <w:r w:rsidRPr="003B3476">
        <w:rPr>
          <w:bCs/>
        </w:rPr>
        <w:t xml:space="preserve"> </w:t>
      </w:r>
      <w:r w:rsidRPr="003B3476">
        <w:rPr>
          <w:lang w:val="fr-FR" w:eastAsia="fr-FR" w:bidi="fr-FR"/>
        </w:rPr>
        <w:t>s</w:t>
      </w:r>
      <w:r w:rsidRPr="003B3476">
        <w:rPr>
          <w:lang w:val="fr-FR" w:eastAsia="fr-FR" w:bidi="fr-FR"/>
        </w:rPr>
        <w:t>é</w:t>
      </w:r>
      <w:r w:rsidRPr="003B3476">
        <w:rPr>
          <w:lang w:val="fr-FR" w:eastAsia="fr-FR" w:bidi="fr-FR"/>
        </w:rPr>
        <w:t xml:space="preserve">rie, t. VI, </w:t>
      </w:r>
      <w:r w:rsidRPr="003B3476">
        <w:rPr>
          <w:bCs/>
        </w:rPr>
        <w:t xml:space="preserve">1880, </w:t>
      </w:r>
      <w:r w:rsidRPr="003B3476">
        <w:rPr>
          <w:lang w:val="fr-FR" w:eastAsia="fr-FR" w:bidi="fr-FR"/>
        </w:rPr>
        <w:t xml:space="preserve">p. </w:t>
      </w:r>
      <w:r w:rsidRPr="003B3476">
        <w:rPr>
          <w:bCs/>
        </w:rPr>
        <w:t>349-351.</w:t>
      </w:r>
    </w:p>
  </w:footnote>
  <w:footnote w:id="587">
    <w:p w14:paraId="0EFC05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l’information faite à ce sujet par le lieutenant du bailli de Meaux : 7 août 1415. Archives Nationales, S 371 B. Sur les ravages faits dans l’Île-de-France par la guerre de Cent Ans on trouve des renseignements importants dans le r</w:t>
      </w:r>
      <w:r w:rsidRPr="003B3476">
        <w:rPr>
          <w:lang w:val="fr-FR" w:eastAsia="fr-FR" w:bidi="fr-FR"/>
        </w:rPr>
        <w:t>e</w:t>
      </w:r>
      <w:r w:rsidRPr="003B3476">
        <w:rPr>
          <w:lang w:val="fr-FR" w:eastAsia="fr-FR" w:bidi="fr-FR"/>
        </w:rPr>
        <w:t xml:space="preserve">gistre des visites de Jean Mouchard, visiteur de l’archidiaconé de Josas, de 1458 à 1470, publié par l’abbé J.-M. </w:t>
      </w:r>
      <w:r w:rsidRPr="003B3476">
        <w:rPr>
          <w:rStyle w:val="Notedebasdepage65ptPetitesmajuscules"/>
          <w:b w:val="0"/>
          <w:sz w:val="24"/>
        </w:rPr>
        <w:t xml:space="preserve">Alliot, </w:t>
      </w:r>
      <w:r w:rsidRPr="003B3476">
        <w:rPr>
          <w:bCs/>
          <w:i/>
        </w:rPr>
        <w:t>Visites archidiaconales de J</w:t>
      </w:r>
      <w:r w:rsidRPr="003B3476">
        <w:rPr>
          <w:bCs/>
          <w:i/>
        </w:rPr>
        <w:t>o</w:t>
      </w:r>
      <w:r w:rsidRPr="003B3476">
        <w:rPr>
          <w:bCs/>
          <w:i/>
        </w:rPr>
        <w:t>sas</w:t>
      </w:r>
      <w:r w:rsidRPr="003B3476">
        <w:rPr>
          <w:lang w:val="fr-FR" w:eastAsia="fr-FR" w:bidi="fr-FR"/>
        </w:rPr>
        <w:t xml:space="preserve">, in-8°, Paris, 1902, </w:t>
      </w:r>
      <w:r w:rsidRPr="003B3476">
        <w:rPr>
          <w:smallCaps/>
          <w:lang w:val="fr-FR" w:eastAsia="fr-FR" w:bidi="fr-FR"/>
        </w:rPr>
        <w:t>xxxix</w:t>
      </w:r>
      <w:r w:rsidRPr="003B3476">
        <w:rPr>
          <w:lang w:val="fr-FR" w:eastAsia="fr-FR" w:bidi="fr-FR"/>
        </w:rPr>
        <w:t xml:space="preserve"> + 450 p. et commenté par M. </w:t>
      </w:r>
      <w:r w:rsidRPr="003B3476">
        <w:rPr>
          <w:rStyle w:val="Notedebasdepage65ptPetitesmajuscules"/>
          <w:b w:val="0"/>
          <w:sz w:val="24"/>
        </w:rPr>
        <w:t xml:space="preserve">Petit-Dutaillis, </w:t>
      </w:r>
      <w:r w:rsidRPr="003B3476">
        <w:rPr>
          <w:bCs/>
          <w:i/>
        </w:rPr>
        <w:t>Un nouveau document sur l’Église de France à la fin de la guerre de Cent</w:t>
      </w:r>
      <w:r w:rsidRPr="003B3476">
        <w:rPr>
          <w:i/>
          <w:lang w:val="fr-FR" w:eastAsia="fr-FR" w:bidi="fr-FR"/>
        </w:rPr>
        <w:t xml:space="preserve"> Ans</w:t>
      </w:r>
      <w:r w:rsidRPr="003B3476">
        <w:rPr>
          <w:lang w:val="fr-FR" w:eastAsia="fr-FR" w:bidi="fr-FR"/>
        </w:rPr>
        <w:t xml:space="preserve">, dans </w:t>
      </w:r>
      <w:r w:rsidRPr="003B3476">
        <w:rPr>
          <w:bCs/>
          <w:i/>
        </w:rPr>
        <w:t>Rev. Histor</w:t>
      </w:r>
      <w:r w:rsidRPr="003B3476">
        <w:rPr>
          <w:bCs/>
        </w:rPr>
        <w:t xml:space="preserve">., </w:t>
      </w:r>
      <w:r w:rsidRPr="003B3476">
        <w:rPr>
          <w:lang w:val="fr-FR" w:eastAsia="fr-FR" w:bidi="fr-FR"/>
        </w:rPr>
        <w:t xml:space="preserve">t. 88, 1905, p. 296-316. Pour la critique de l’édition, </w:t>
      </w:r>
      <w:r w:rsidRPr="003B3476">
        <w:rPr>
          <w:bCs/>
        </w:rPr>
        <w:t>cf.</w:t>
      </w:r>
      <w:r w:rsidRPr="003B3476">
        <w:rPr>
          <w:lang w:val="fr-FR" w:eastAsia="fr-FR" w:bidi="fr-FR"/>
        </w:rPr>
        <w:t xml:space="preserve"> un compte rendu dû également à M. </w:t>
      </w:r>
      <w:r w:rsidRPr="003B3476">
        <w:rPr>
          <w:rStyle w:val="Notedebasdepage65ptPetitesmajuscules"/>
          <w:b w:val="0"/>
          <w:sz w:val="24"/>
        </w:rPr>
        <w:t xml:space="preserve">Petit-Dutaillis, </w:t>
      </w:r>
      <w:r w:rsidRPr="003B3476">
        <w:rPr>
          <w:bCs/>
          <w:i/>
        </w:rPr>
        <w:t>Le Moyen Âge</w:t>
      </w:r>
      <w:r w:rsidRPr="003B3476">
        <w:rPr>
          <w:lang w:val="fr-FR" w:eastAsia="fr-FR" w:bidi="fr-FR"/>
        </w:rPr>
        <w:t>, t. IX de la 2</w:t>
      </w:r>
      <w:r w:rsidRPr="003B3476">
        <w:rPr>
          <w:vertAlign w:val="superscript"/>
          <w:lang w:val="fr-FR" w:eastAsia="fr-FR" w:bidi="fr-FR"/>
        </w:rPr>
        <w:t>e</w:t>
      </w:r>
      <w:r w:rsidRPr="003B3476">
        <w:rPr>
          <w:lang w:val="fr-FR" w:eastAsia="fr-FR" w:bidi="fr-FR"/>
        </w:rPr>
        <w:t xml:space="preserve"> série (XVIII de la collection : 1905), p. 36-41.</w:t>
      </w:r>
    </w:p>
  </w:footnote>
  <w:footnote w:id="588">
    <w:p w14:paraId="7568EC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 tours de Gannes », </w:t>
      </w:r>
      <w:r w:rsidRPr="003B3476">
        <w:t>cf.</w:t>
      </w:r>
      <w:r w:rsidRPr="003B3476">
        <w:rPr>
          <w:lang w:val="fr-FR" w:eastAsia="fr-FR" w:bidi="fr-FR"/>
        </w:rPr>
        <w:t xml:space="preserve"> dom G. </w:t>
      </w:r>
      <w:r w:rsidRPr="003B3476">
        <w:rPr>
          <w:rStyle w:val="Notedebasdepage65ptPetitesmajuscules"/>
          <w:b w:val="0"/>
          <w:sz w:val="24"/>
        </w:rPr>
        <w:t xml:space="preserve">Morin, </w:t>
      </w:r>
      <w:r w:rsidRPr="003B3476">
        <w:rPr>
          <w:i/>
        </w:rPr>
        <w:t>Histoire du Gastinois</w:t>
      </w:r>
      <w:r w:rsidRPr="003B3476">
        <w:t>,</w:t>
      </w:r>
      <w:r w:rsidRPr="003B3476">
        <w:rPr>
          <w:lang w:val="fr-FR" w:eastAsia="fr-FR" w:bidi="fr-FR"/>
        </w:rPr>
        <w:t xml:space="preserve"> éd. </w:t>
      </w:r>
      <w:r w:rsidRPr="003B3476">
        <w:rPr>
          <w:rStyle w:val="Notedebasdepage65ptPetitesmajuscules"/>
          <w:b w:val="0"/>
          <w:sz w:val="24"/>
        </w:rPr>
        <w:t xml:space="preserve">Laurent, </w:t>
      </w:r>
      <w:r w:rsidRPr="003B3476">
        <w:rPr>
          <w:lang w:val="fr-FR" w:eastAsia="fr-FR" w:bidi="fr-FR"/>
        </w:rPr>
        <w:t xml:space="preserve">t. III, p. 119 ; [A. </w:t>
      </w:r>
      <w:r w:rsidRPr="003B3476">
        <w:rPr>
          <w:rStyle w:val="Notedebasdepage65ptPetitesmajuscules"/>
          <w:b w:val="0"/>
          <w:sz w:val="24"/>
        </w:rPr>
        <w:t xml:space="preserve">Duchalais], </w:t>
      </w:r>
      <w:r w:rsidRPr="003B3476">
        <w:rPr>
          <w:i/>
        </w:rPr>
        <w:t>Mémoire archéologique sur la tour de Montlhéry</w:t>
      </w:r>
      <w:r w:rsidRPr="003B3476">
        <w:rPr>
          <w:lang w:val="fr-FR" w:eastAsia="fr-FR" w:bidi="fr-FR"/>
        </w:rPr>
        <w:t xml:space="preserve">, in-8°, s. 1. n. d., p. 4, et surtout J. </w:t>
      </w:r>
      <w:r w:rsidRPr="003B3476">
        <w:rPr>
          <w:rStyle w:val="Notedebasdepage65ptPetitesmajuscules"/>
          <w:b w:val="0"/>
          <w:sz w:val="24"/>
        </w:rPr>
        <w:t xml:space="preserve">Quicherat, </w:t>
      </w:r>
      <w:r w:rsidRPr="003B3476">
        <w:rPr>
          <w:i/>
        </w:rPr>
        <w:t>La rue et le ch</w:t>
      </w:r>
      <w:r w:rsidRPr="003B3476">
        <w:rPr>
          <w:i/>
        </w:rPr>
        <w:t>â</w:t>
      </w:r>
      <w:r w:rsidRPr="003B3476">
        <w:rPr>
          <w:i/>
        </w:rPr>
        <w:t>teau Hautefeuille à P</w:t>
      </w:r>
      <w:r w:rsidRPr="003B3476">
        <w:rPr>
          <w:i/>
        </w:rPr>
        <w:t>a</w:t>
      </w:r>
      <w:r w:rsidRPr="003B3476">
        <w:rPr>
          <w:i/>
        </w:rPr>
        <w:t>ris</w:t>
      </w:r>
      <w:r w:rsidRPr="003B3476">
        <w:rPr>
          <w:lang w:val="fr-FR" w:eastAsia="fr-FR" w:bidi="fr-FR"/>
        </w:rPr>
        <w:t xml:space="preserve">, dans </w:t>
      </w:r>
      <w:r w:rsidRPr="003B3476">
        <w:rPr>
          <w:i/>
        </w:rPr>
        <w:t>Mém. Soc. antiquaire</w:t>
      </w:r>
      <w:r w:rsidRPr="003B3476">
        <w:rPr>
          <w:lang w:val="fr-FR" w:eastAsia="fr-FR" w:bidi="fr-FR"/>
        </w:rPr>
        <w:t>, t. XLII, 1881, p. 17-18.</w:t>
      </w:r>
    </w:p>
  </w:footnote>
  <w:footnote w:id="589">
    <w:p w14:paraId="5534BD8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ne serait pas sans intérêt d’entreprendre pour les censiers et livres de com</w:t>
      </w:r>
      <w:r w:rsidRPr="003B3476">
        <w:rPr>
          <w:lang w:val="fr-FR" w:eastAsia="fr-FR" w:bidi="fr-FR"/>
        </w:rPr>
        <w:t>p</w:t>
      </w:r>
      <w:r w:rsidRPr="003B3476">
        <w:rPr>
          <w:lang w:val="fr-FR" w:eastAsia="fr-FR" w:bidi="fr-FR"/>
        </w:rPr>
        <w:t>tes un travail analogue à celui que M. Stein a accompli sur les cartulaires. Trop souvent les inventaires d’archives confondent sous le nom de censiers des documents en réalité fort différents les uns des autres. On notera, comme particulièrement importants, les comptes de Sainte-Geneviève (Bibl. Sainte-Geneviève, ms. n</w:t>
      </w:r>
      <w:r w:rsidRPr="003B3476">
        <w:rPr>
          <w:vertAlign w:val="superscript"/>
          <w:lang w:val="fr-FR" w:eastAsia="fr-FR" w:bidi="fr-FR"/>
        </w:rPr>
        <w:t>os</w:t>
      </w:r>
      <w:r w:rsidRPr="003B3476">
        <w:rPr>
          <w:lang w:val="fr-FR" w:eastAsia="fr-FR" w:bidi="fr-FR"/>
        </w:rPr>
        <w:t xml:space="preserve"> 351 et 579) et de la commanderie de Saint-Denis (Arch. Nat., LL 1240 et suiv.). Ces derniers ont été exploités par divers érudits, n</w:t>
      </w:r>
      <w:r w:rsidRPr="003B3476">
        <w:rPr>
          <w:lang w:val="fr-FR" w:eastAsia="fr-FR" w:bidi="fr-FR"/>
        </w:rPr>
        <w:t>o</w:t>
      </w:r>
      <w:r w:rsidRPr="003B3476">
        <w:rPr>
          <w:lang w:val="fr-FR" w:eastAsia="fr-FR" w:bidi="fr-FR"/>
        </w:rPr>
        <w:t xml:space="preserve">tamment par M. H. F. </w:t>
      </w:r>
      <w:r w:rsidRPr="003B3476">
        <w:rPr>
          <w:rStyle w:val="Notedebasdepage65ptPetitesmajuscules"/>
          <w:b w:val="0"/>
          <w:sz w:val="24"/>
        </w:rPr>
        <w:t xml:space="preserve">Delaborde, </w:t>
      </w:r>
      <w:r w:rsidRPr="003B3476">
        <w:rPr>
          <w:bCs/>
          <w:i/>
        </w:rPr>
        <w:t>Note sur Guillaume de Nangis</w:t>
      </w:r>
      <w:r w:rsidRPr="003B3476">
        <w:rPr>
          <w:bCs/>
        </w:rPr>
        <w:t>,</w:t>
      </w:r>
      <w:r w:rsidRPr="003B3476">
        <w:rPr>
          <w:lang w:val="fr-FR" w:eastAsia="fr-FR" w:bidi="fr-FR"/>
        </w:rPr>
        <w:t xml:space="preserve"> dans </w:t>
      </w:r>
      <w:r w:rsidRPr="003B3476">
        <w:rPr>
          <w:bCs/>
          <w:i/>
        </w:rPr>
        <w:t>Bibl. Éc. Chartes</w:t>
      </w:r>
      <w:r w:rsidRPr="003B3476">
        <w:rPr>
          <w:bCs/>
        </w:rPr>
        <w:t>,</w:t>
      </w:r>
      <w:r w:rsidRPr="003B3476">
        <w:rPr>
          <w:lang w:val="fr-FR" w:eastAsia="fr-FR" w:bidi="fr-FR"/>
        </w:rPr>
        <w:t xml:space="preserve"> t. XLIV, 1883, p. 192-201 et par M. </w:t>
      </w:r>
      <w:r w:rsidRPr="003B3476">
        <w:rPr>
          <w:rStyle w:val="Notedebasdepage65ptPetitesmajuscules"/>
          <w:b w:val="0"/>
          <w:sz w:val="24"/>
        </w:rPr>
        <w:t>Borrelli de Serres</w:t>
      </w:r>
      <w:r w:rsidRPr="003B3476">
        <w:rPr>
          <w:rStyle w:val="Notedebasdepage65ptPetitesmajuscules"/>
          <w:b w:val="0"/>
          <w:i/>
          <w:sz w:val="24"/>
        </w:rPr>
        <w:t xml:space="preserve">, </w:t>
      </w:r>
      <w:r w:rsidRPr="003B3476">
        <w:rPr>
          <w:bCs/>
          <w:i/>
        </w:rPr>
        <w:t>Les variations mon</w:t>
      </w:r>
      <w:r w:rsidRPr="003B3476">
        <w:rPr>
          <w:bCs/>
          <w:i/>
        </w:rPr>
        <w:t>é</w:t>
      </w:r>
      <w:r w:rsidRPr="003B3476">
        <w:rPr>
          <w:bCs/>
          <w:i/>
        </w:rPr>
        <w:t>taires d'après les comptes de la commanderie de Saint-Denis</w:t>
      </w:r>
      <w:r w:rsidRPr="003B3476">
        <w:rPr>
          <w:bCs/>
        </w:rPr>
        <w:t>,</w:t>
      </w:r>
      <w:r w:rsidRPr="003B3476">
        <w:rPr>
          <w:lang w:val="fr-FR" w:eastAsia="fr-FR" w:bidi="fr-FR"/>
        </w:rPr>
        <w:t xml:space="preserve"> dans </w:t>
      </w:r>
      <w:r w:rsidRPr="003B3476">
        <w:rPr>
          <w:bCs/>
          <w:i/>
        </w:rPr>
        <w:t>Rev. numismat</w:t>
      </w:r>
      <w:r w:rsidRPr="003B3476">
        <w:rPr>
          <w:lang w:val="fr-FR" w:eastAsia="fr-FR" w:bidi="fr-FR"/>
        </w:rPr>
        <w:t>., 4</w:t>
      </w:r>
      <w:r w:rsidRPr="003B3476">
        <w:rPr>
          <w:vertAlign w:val="superscript"/>
          <w:lang w:val="fr-FR" w:eastAsia="fr-FR" w:bidi="fr-FR"/>
        </w:rPr>
        <w:t>e</w:t>
      </w:r>
      <w:r w:rsidRPr="003B3476">
        <w:rPr>
          <w:lang w:val="fr-FR" w:eastAsia="fr-FR" w:bidi="fr-FR"/>
        </w:rPr>
        <w:t xml:space="preserve"> série, t. VIII, 1904, p. 430-437. Les archives de Se</w:t>
      </w:r>
      <w:r w:rsidRPr="003B3476">
        <w:rPr>
          <w:lang w:val="fr-FR" w:eastAsia="fr-FR" w:bidi="fr-FR"/>
        </w:rPr>
        <w:t>i</w:t>
      </w:r>
      <w:r w:rsidRPr="003B3476">
        <w:rPr>
          <w:lang w:val="fr-FR" w:eastAsia="fr-FR" w:bidi="fr-FR"/>
        </w:rPr>
        <w:t>ne-et-Oise po</w:t>
      </w:r>
      <w:r w:rsidRPr="003B3476">
        <w:rPr>
          <w:lang w:val="fr-FR" w:eastAsia="fr-FR" w:bidi="fr-FR"/>
        </w:rPr>
        <w:t>s</w:t>
      </w:r>
      <w:r w:rsidRPr="003B3476">
        <w:rPr>
          <w:lang w:val="fr-FR" w:eastAsia="fr-FR" w:bidi="fr-FR"/>
        </w:rPr>
        <w:t>sèdent deux livres de compte d’un grand intérêt ; l’un, qui vient de Maubui</w:t>
      </w:r>
      <w:r w:rsidRPr="003B3476">
        <w:rPr>
          <w:lang w:val="fr-FR" w:eastAsia="fr-FR" w:bidi="fr-FR"/>
        </w:rPr>
        <w:t>s</w:t>
      </w:r>
      <w:r w:rsidRPr="003B3476">
        <w:rPr>
          <w:lang w:val="fr-FR" w:eastAsia="fr-FR" w:bidi="fr-FR"/>
        </w:rPr>
        <w:t xml:space="preserve">son (1236-1242), a été publié incomplètement et sans exactitude par Henri de </w:t>
      </w:r>
      <w:r w:rsidRPr="003B3476">
        <w:rPr>
          <w:rStyle w:val="Notedebasdepage65ptPetitesmajuscules"/>
          <w:b w:val="0"/>
          <w:sz w:val="24"/>
        </w:rPr>
        <w:t>I’Ëpinois</w:t>
      </w:r>
      <w:r w:rsidRPr="003B3476">
        <w:rPr>
          <w:rStyle w:val="Notedebasdepage65ptPetitesmajuscules"/>
          <w:b w:val="0"/>
          <w:i/>
          <w:sz w:val="24"/>
        </w:rPr>
        <w:t xml:space="preserve">, </w:t>
      </w:r>
      <w:r w:rsidRPr="003B3476">
        <w:rPr>
          <w:bCs/>
          <w:i/>
        </w:rPr>
        <w:t>Comptes relatifs à la fondation de l'abbaye de Ma</w:t>
      </w:r>
      <w:r w:rsidRPr="003B3476">
        <w:rPr>
          <w:bCs/>
          <w:i/>
        </w:rPr>
        <w:t>u</w:t>
      </w:r>
      <w:r w:rsidRPr="003B3476">
        <w:rPr>
          <w:bCs/>
          <w:i/>
        </w:rPr>
        <w:t>buisson</w:t>
      </w:r>
      <w:r w:rsidRPr="003B3476">
        <w:rPr>
          <w:bCs/>
        </w:rPr>
        <w:t>,</w:t>
      </w:r>
      <w:r w:rsidRPr="003B3476">
        <w:rPr>
          <w:lang w:val="fr-FR" w:eastAsia="fr-FR" w:bidi="fr-FR"/>
        </w:rPr>
        <w:t xml:space="preserve"> dans </w:t>
      </w:r>
      <w:r w:rsidRPr="003B3476">
        <w:rPr>
          <w:bCs/>
          <w:i/>
        </w:rPr>
        <w:t>Bibl. Éc. Chartes</w:t>
      </w:r>
      <w:r w:rsidRPr="003B3476">
        <w:rPr>
          <w:bCs/>
        </w:rPr>
        <w:t>,</w:t>
      </w:r>
      <w:r w:rsidRPr="003B3476">
        <w:rPr>
          <w:lang w:val="fr-FR" w:eastAsia="fr-FR" w:bidi="fr-FR"/>
        </w:rPr>
        <w:t xml:space="preserve"> t. XIX, 1858, p. 550-567 ; l’autre, des </w:t>
      </w:r>
      <w:r w:rsidRPr="003B3476">
        <w:rPr>
          <w:smallCaps/>
          <w:lang w:val="fr-FR" w:eastAsia="fr-FR" w:bidi="fr-FR"/>
        </w:rPr>
        <w:t>xiv</w:t>
      </w:r>
      <w:r w:rsidRPr="003B3476">
        <w:rPr>
          <w:vertAlign w:val="superscript"/>
          <w:lang w:val="fr-FR" w:eastAsia="fr-FR" w:bidi="fr-FR"/>
        </w:rPr>
        <w:t>e</w:t>
      </w:r>
      <w:r w:rsidRPr="003B3476">
        <w:rPr>
          <w:lang w:val="fr-FR" w:eastAsia="fr-FR" w:bidi="fr-FR"/>
        </w:rPr>
        <w:t xml:space="preserve"> et </w:t>
      </w:r>
      <w:r w:rsidRPr="003B3476">
        <w:rPr>
          <w:smallCaps/>
          <w:lang w:val="fr-FR" w:eastAsia="fr-FR" w:bidi="fr-FR"/>
        </w:rPr>
        <w:t>xv</w:t>
      </w:r>
      <w:r w:rsidRPr="003B3476">
        <w:rPr>
          <w:vertAlign w:val="superscript"/>
          <w:lang w:val="fr-FR" w:eastAsia="fr-FR" w:bidi="fr-FR"/>
        </w:rPr>
        <w:t>e</w:t>
      </w:r>
      <w:r w:rsidRPr="003B3476">
        <w:rPr>
          <w:lang w:val="fr-FR" w:eastAsia="fr-FR" w:bidi="fr-FR"/>
        </w:rPr>
        <w:t xml:space="preserve"> siècles (avec additions d’époques postérieures), vient de Saint-Martin de Pontoise ; M. J. </w:t>
      </w:r>
      <w:r w:rsidRPr="003B3476">
        <w:rPr>
          <w:rStyle w:val="Notedebasdepage65ptPetitesmajuscules"/>
          <w:b w:val="0"/>
          <w:sz w:val="24"/>
        </w:rPr>
        <w:t xml:space="preserve">Depoin </w:t>
      </w:r>
      <w:r w:rsidRPr="003B3476">
        <w:rPr>
          <w:lang w:val="fr-FR" w:eastAsia="fr-FR" w:bidi="fr-FR"/>
        </w:rPr>
        <w:t xml:space="preserve">l’a étudié et en a publié des extraits : </w:t>
      </w:r>
      <w:r w:rsidRPr="003B3476">
        <w:rPr>
          <w:bCs/>
          <w:i/>
        </w:rPr>
        <w:t>Le Livre de ra</w:t>
      </w:r>
      <w:r w:rsidRPr="003B3476">
        <w:rPr>
          <w:bCs/>
          <w:i/>
        </w:rPr>
        <w:t>i</w:t>
      </w:r>
      <w:r w:rsidRPr="003B3476">
        <w:rPr>
          <w:bCs/>
          <w:i/>
        </w:rPr>
        <w:t xml:space="preserve">son de Saint-Martin de Pontoise </w:t>
      </w:r>
      <w:r w:rsidRPr="003B3476">
        <w:rPr>
          <w:i/>
          <w:lang w:val="fr-FR" w:eastAsia="fr-FR" w:bidi="fr-FR"/>
        </w:rPr>
        <w:t>(</w:t>
      </w:r>
      <w:r w:rsidRPr="003B3476">
        <w:rPr>
          <w:bCs/>
          <w:i/>
        </w:rPr>
        <w:t>XIV</w:t>
      </w:r>
      <w:r w:rsidRPr="003B3476">
        <w:rPr>
          <w:bCs/>
          <w:i/>
          <w:vertAlign w:val="superscript"/>
        </w:rPr>
        <w:t>e</w:t>
      </w:r>
      <w:r w:rsidRPr="003B3476">
        <w:rPr>
          <w:bCs/>
          <w:i/>
        </w:rPr>
        <w:t xml:space="preserve"> et XV</w:t>
      </w:r>
      <w:r w:rsidRPr="003B3476">
        <w:rPr>
          <w:bCs/>
          <w:i/>
          <w:vertAlign w:val="superscript"/>
        </w:rPr>
        <w:t>e</w:t>
      </w:r>
      <w:r w:rsidRPr="003B3476">
        <w:rPr>
          <w:bCs/>
          <w:i/>
        </w:rPr>
        <w:t xml:space="preserve"> siècles</w:t>
      </w:r>
      <w:r w:rsidRPr="003B3476">
        <w:rPr>
          <w:i/>
          <w:lang w:val="fr-FR" w:eastAsia="fr-FR" w:bidi="fr-FR"/>
        </w:rPr>
        <w:t>)</w:t>
      </w:r>
      <w:r w:rsidRPr="003B3476">
        <w:rPr>
          <w:lang w:val="fr-FR" w:eastAsia="fr-FR" w:bidi="fr-FR"/>
        </w:rPr>
        <w:t xml:space="preserve"> (Public. Soc. histor. Pontoise), in-8°, Pontoise, 1900, 240 p.</w:t>
      </w:r>
    </w:p>
  </w:footnote>
  <w:footnote w:id="590">
    <w:p w14:paraId="6358128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On remarquera surtout la belle série des registres capitulaires du chapitre N</w:t>
      </w:r>
      <w:r w:rsidRPr="003B3476">
        <w:rPr>
          <w:lang w:val="fr-FR" w:eastAsia="fr-FR" w:bidi="fr-FR"/>
        </w:rPr>
        <w:t>o</w:t>
      </w:r>
      <w:r w:rsidRPr="003B3476">
        <w:rPr>
          <w:lang w:val="fr-FR" w:eastAsia="fr-FR" w:bidi="fr-FR"/>
        </w:rPr>
        <w:t xml:space="preserve">tre-Dame de Chartres, qui commence en 1298, </w:t>
      </w:r>
      <w:r w:rsidRPr="000C0A54">
        <w:rPr>
          <w:lang w:val="fr-FR" w:eastAsia="fr-FR" w:bidi="fr-FR"/>
        </w:rPr>
        <w:t>mais présente malheureus</w:t>
      </w:r>
      <w:r w:rsidRPr="000C0A54">
        <w:rPr>
          <w:lang w:val="fr-FR" w:eastAsia="fr-FR" w:bidi="fr-FR"/>
        </w:rPr>
        <w:t>e</w:t>
      </w:r>
      <w:r w:rsidRPr="000C0A54">
        <w:rPr>
          <w:lang w:val="fr-FR" w:eastAsia="fr-FR" w:bidi="fr-FR"/>
        </w:rPr>
        <w:t>ment des lacunes (Biblioth. de Chartres, ms. n</w:t>
      </w:r>
      <w:r w:rsidRPr="000C0A54">
        <w:rPr>
          <w:vertAlign w:val="superscript"/>
          <w:lang w:val="fr-FR" w:eastAsia="fr-FR" w:bidi="fr-FR"/>
        </w:rPr>
        <w:t>os</w:t>
      </w:r>
      <w:r w:rsidRPr="000C0A54">
        <w:rPr>
          <w:lang w:val="fr-FR" w:eastAsia="fr-FR" w:bidi="fr-FR"/>
        </w:rPr>
        <w:t xml:space="preserve"> 1007-1010) et les registres de Notre-Dame de Paris (Arch. Nationales, LL 1240 et suiv.). Ces derniers ont été dépouillés par un érudit du </w:t>
      </w:r>
      <w:r w:rsidRPr="000C0A54">
        <w:rPr>
          <w:smallCaps/>
          <w:lang w:val="fr-FR" w:eastAsia="fr-FR" w:bidi="fr-FR"/>
        </w:rPr>
        <w:t>xvii</w:t>
      </w:r>
      <w:r w:rsidRPr="000C0A54">
        <w:rPr>
          <w:vertAlign w:val="superscript"/>
          <w:lang w:val="fr-FR" w:eastAsia="fr-FR" w:bidi="fr-FR"/>
        </w:rPr>
        <w:t>e</w:t>
      </w:r>
      <w:r w:rsidRPr="000C0A54">
        <w:rPr>
          <w:lang w:val="fr-FR" w:eastAsia="fr-FR" w:bidi="fr-FR"/>
        </w:rPr>
        <w:t xml:space="preserve"> siècle, Claude Sarrasin. </w:t>
      </w:r>
      <w:r w:rsidRPr="000C0A54">
        <w:rPr>
          <w:bCs/>
          <w:i/>
        </w:rPr>
        <w:t>Cf.</w:t>
      </w:r>
      <w:r w:rsidRPr="000C0A54">
        <w:rPr>
          <w:lang w:val="fr-FR" w:eastAsia="fr-FR" w:bidi="fr-FR"/>
        </w:rPr>
        <w:t xml:space="preserve"> Léon </w:t>
      </w:r>
      <w:r w:rsidRPr="000C0A54">
        <w:rPr>
          <w:rStyle w:val="Notedebasdepage65ptPetitesmajuscules"/>
          <w:b w:val="0"/>
          <w:sz w:val="24"/>
        </w:rPr>
        <w:t>L</w:t>
      </w:r>
      <w:r w:rsidRPr="000C0A54">
        <w:rPr>
          <w:rStyle w:val="Notedebasdepage65ptPetitesmajuscules"/>
          <w:b w:val="0"/>
          <w:sz w:val="24"/>
        </w:rPr>
        <w:t>e</w:t>
      </w:r>
      <w:r w:rsidRPr="000C0A54">
        <w:rPr>
          <w:rStyle w:val="Notedebasdepage65ptPetitesmajuscules"/>
          <w:b w:val="0"/>
          <w:sz w:val="24"/>
        </w:rPr>
        <w:t xml:space="preserve">grand, </w:t>
      </w:r>
      <w:r w:rsidRPr="000C0A54">
        <w:rPr>
          <w:bCs/>
          <w:i/>
        </w:rPr>
        <w:t>Claude Sarrasin, intendant des archives du chapitre de Notre-Dame de Paris et sa collection d'extraits des registres capitulaires de Notre-Dame</w:t>
      </w:r>
      <w:r w:rsidRPr="000C0A54">
        <w:rPr>
          <w:bCs/>
        </w:rPr>
        <w:t>,</w:t>
      </w:r>
      <w:r w:rsidRPr="003B3476">
        <w:rPr>
          <w:lang w:val="fr-FR" w:eastAsia="fr-FR" w:bidi="fr-FR"/>
        </w:rPr>
        <w:t xml:space="preserve"> dans </w:t>
      </w:r>
      <w:r w:rsidRPr="003B3476">
        <w:rPr>
          <w:bCs/>
          <w:i/>
        </w:rPr>
        <w:t>La Bibliogr. moderne</w:t>
      </w:r>
      <w:r w:rsidRPr="003B3476">
        <w:rPr>
          <w:bCs/>
        </w:rPr>
        <w:t>,</w:t>
      </w:r>
      <w:r w:rsidRPr="003B3476">
        <w:rPr>
          <w:lang w:val="fr-FR" w:eastAsia="fr-FR" w:bidi="fr-FR"/>
        </w:rPr>
        <w:t xml:space="preserve"> t. IV, 1900, p. 333-371.</w:t>
      </w:r>
    </w:p>
  </w:footnote>
  <w:footnote w:id="591">
    <w:p w14:paraId="44CC86A3" w14:textId="77777777" w:rsidR="00B9662D" w:rsidRPr="000C0A54"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A</w:t>
      </w:r>
      <w:r w:rsidRPr="003B3476">
        <w:rPr>
          <w:bCs/>
        </w:rPr>
        <w:t xml:space="preserve">. </w:t>
      </w:r>
      <w:r w:rsidRPr="003B3476">
        <w:rPr>
          <w:bCs/>
          <w:i/>
        </w:rPr>
        <w:t>Cartulaires omis : 1</w:t>
      </w:r>
      <w:r w:rsidRPr="003B3476">
        <w:rPr>
          <w:lang w:val="fr-FR" w:eastAsia="fr-FR" w:bidi="fr-FR"/>
        </w:rPr>
        <w:t xml:space="preserve"> abbaye de Clairefontaine, dioc. Chartres,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 55 feuillets, 1175-1522, Archives Seine-et-Oise, série H ; </w:t>
      </w:r>
      <w:r w:rsidRPr="003B3476">
        <w:rPr>
          <w:bCs/>
          <w:i/>
        </w:rPr>
        <w:t>2</w:t>
      </w:r>
      <w:r w:rsidRPr="003B3476">
        <w:rPr>
          <w:lang w:val="fr-FR" w:eastAsia="fr-FR" w:bidi="fr-FR"/>
        </w:rPr>
        <w:t xml:space="preserve"> abbaye de Gran</w:t>
      </w:r>
      <w:r w:rsidRPr="003B3476">
        <w:rPr>
          <w:lang w:val="fr-FR" w:eastAsia="fr-FR" w:bidi="fr-FR"/>
        </w:rPr>
        <w:t>d</w:t>
      </w:r>
      <w:r w:rsidRPr="003B3476">
        <w:rPr>
          <w:lang w:val="fr-FR" w:eastAsia="fr-FR" w:bidi="fr-FR"/>
        </w:rPr>
        <w:t xml:space="preserve">champ, dioc. Chartres,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 18 feuillets, mai 1216-mai 1561, </w:t>
      </w:r>
      <w:r w:rsidRPr="003B3476">
        <w:rPr>
          <w:bCs/>
          <w:i/>
        </w:rPr>
        <w:t>ibid.</w:t>
      </w:r>
      <w:r w:rsidRPr="003B3476">
        <w:rPr>
          <w:bCs/>
        </w:rPr>
        <w:t xml:space="preserve"> ; </w:t>
      </w:r>
      <w:r w:rsidRPr="003B3476">
        <w:rPr>
          <w:bCs/>
          <w:i/>
        </w:rPr>
        <w:t>3</w:t>
      </w:r>
      <w:r w:rsidRPr="003B3476">
        <w:rPr>
          <w:lang w:val="fr-FR" w:eastAsia="fr-FR" w:bidi="fr-FR"/>
        </w:rPr>
        <w:t xml:space="preserve"> a</w:t>
      </w:r>
      <w:r w:rsidRPr="003B3476">
        <w:rPr>
          <w:lang w:val="fr-FR" w:eastAsia="fr-FR" w:bidi="fr-FR"/>
        </w:rPr>
        <w:t>b</w:t>
      </w:r>
      <w:r w:rsidRPr="003B3476">
        <w:rPr>
          <w:lang w:val="fr-FR" w:eastAsia="fr-FR" w:bidi="fr-FR"/>
        </w:rPr>
        <w:t xml:space="preserve">baye de Jarcy, dioc. Paris,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 nov. 1269-sept. 1511, </w:t>
      </w:r>
      <w:r w:rsidRPr="003B3476">
        <w:rPr>
          <w:bCs/>
          <w:i/>
        </w:rPr>
        <w:t>ibid.</w:t>
      </w:r>
      <w:r w:rsidRPr="003B3476">
        <w:rPr>
          <w:bCs/>
        </w:rPr>
        <w:t xml:space="preserve"> ; </w:t>
      </w:r>
      <w:r w:rsidRPr="003B3476">
        <w:rPr>
          <w:bCs/>
          <w:i/>
        </w:rPr>
        <w:t>4</w:t>
      </w:r>
      <w:r w:rsidRPr="003B3476">
        <w:rPr>
          <w:lang w:val="fr-FR" w:eastAsia="fr-FR" w:bidi="fr-FR"/>
        </w:rPr>
        <w:t xml:space="preserve"> abbaye de Joyenval, dioc. Chartres, </w:t>
      </w:r>
      <w:r w:rsidRPr="003B3476">
        <w:rPr>
          <w:caps/>
          <w:lang w:val="fr-FR" w:eastAsia="fr-FR" w:bidi="fr-FR"/>
        </w:rPr>
        <w:t>xvIII</w:t>
      </w:r>
      <w:r w:rsidRPr="003B3476">
        <w:rPr>
          <w:vertAlign w:val="superscript"/>
          <w:lang w:val="fr-FR" w:eastAsia="fr-FR" w:bidi="fr-FR"/>
        </w:rPr>
        <w:t>e</w:t>
      </w:r>
      <w:r w:rsidRPr="003B3476">
        <w:rPr>
          <w:lang w:val="fr-FR" w:eastAsia="fr-FR" w:bidi="fr-FR"/>
        </w:rPr>
        <w:t xml:space="preserve"> s., 43 feuillets, mai 1223-juin 1718, </w:t>
      </w:r>
      <w:r w:rsidRPr="003B3476">
        <w:rPr>
          <w:bCs/>
          <w:i/>
        </w:rPr>
        <w:t>ibid.</w:t>
      </w:r>
      <w:r w:rsidRPr="003B3476">
        <w:rPr>
          <w:bCs/>
        </w:rPr>
        <w:t xml:space="preserve"> ; </w:t>
      </w:r>
      <w:r w:rsidRPr="003B3476">
        <w:rPr>
          <w:bCs/>
          <w:i/>
        </w:rPr>
        <w:t>5</w:t>
      </w:r>
      <w:r w:rsidRPr="003B3476">
        <w:rPr>
          <w:lang w:val="fr-FR" w:eastAsia="fr-FR" w:bidi="fr-FR"/>
        </w:rPr>
        <w:t xml:space="preserve"> prieuré de Saint-Louis de Poissy, dioc. Chartres ; les archives de Seine-et-Oise, série H, renferment, provenant de ce prieuré : </w:t>
      </w:r>
      <w:r w:rsidRPr="003B3476">
        <w:rPr>
          <w:i/>
          <w:lang w:val="fr-FR" w:eastAsia="fr-FR" w:bidi="fr-FR"/>
        </w:rPr>
        <w:t>a</w:t>
      </w:r>
      <w:r w:rsidRPr="003B3476">
        <w:rPr>
          <w:lang w:val="fr-FR" w:eastAsia="fr-FR" w:bidi="fr-FR"/>
        </w:rPr>
        <w:t>) un cartulaire du XVII</w:t>
      </w:r>
      <w:r w:rsidRPr="003B3476">
        <w:rPr>
          <w:vertAlign w:val="superscript"/>
          <w:lang w:val="fr-FR" w:eastAsia="fr-FR" w:bidi="fr-FR"/>
        </w:rPr>
        <w:t>e</w:t>
      </w:r>
      <w:r w:rsidRPr="003B3476">
        <w:rPr>
          <w:lang w:val="fr-FR" w:eastAsia="fr-FR" w:bidi="fr-FR"/>
        </w:rPr>
        <w:t xml:space="preserve"> s. établi sur l’ordre de la prieure Jeanne de Gondi (1583-1623), 276 p. ; </w:t>
      </w:r>
      <w:r w:rsidRPr="003B3476">
        <w:rPr>
          <w:bCs/>
          <w:i/>
        </w:rPr>
        <w:t>b</w:t>
      </w:r>
      <w:r w:rsidRPr="003B3476">
        <w:rPr>
          <w:bCs/>
        </w:rPr>
        <w:t>)</w:t>
      </w:r>
      <w:r w:rsidRPr="003B3476">
        <w:rPr>
          <w:lang w:val="fr-FR" w:eastAsia="fr-FR" w:bidi="fr-FR"/>
        </w:rPr>
        <w:t xml:space="preserve"> six cartulaires-terriers établis dans la seconde moitié du XVIII</w:t>
      </w:r>
      <w:r w:rsidRPr="003B3476">
        <w:rPr>
          <w:vertAlign w:val="superscript"/>
          <w:lang w:val="fr-FR" w:eastAsia="fr-FR" w:bidi="fr-FR"/>
        </w:rPr>
        <w:t>e</w:t>
      </w:r>
      <w:r w:rsidRPr="003B3476">
        <w:rPr>
          <w:lang w:val="fr-FR" w:eastAsia="fr-FR" w:bidi="fr-FR"/>
        </w:rPr>
        <w:t xml:space="preserve"> s., l’un d’eux, qui concerne le « bac » a été indiqué par M. Stein sous le n° 3033 ; les cinq </w:t>
      </w:r>
      <w:r w:rsidRPr="000C0A54">
        <w:rPr>
          <w:lang w:val="fr-FR" w:eastAsia="fr-FR" w:bidi="fr-FR"/>
        </w:rPr>
        <w:t xml:space="preserve">autres concernent respectivement les terres de « Carrières », « Corny », « Puchay », « Noyers » et « Pissefontaine ». — Le titre de </w:t>
      </w:r>
      <w:r w:rsidRPr="000C0A54">
        <w:rPr>
          <w:bCs/>
          <w:i/>
        </w:rPr>
        <w:t>Cartulaire de la l</w:t>
      </w:r>
      <w:r w:rsidRPr="000C0A54">
        <w:rPr>
          <w:bCs/>
          <w:i/>
        </w:rPr>
        <w:t>é</w:t>
      </w:r>
      <w:r w:rsidRPr="000C0A54">
        <w:rPr>
          <w:bCs/>
          <w:i/>
        </w:rPr>
        <w:t>proserie du</w:t>
      </w:r>
      <w:r w:rsidRPr="000C0A54">
        <w:rPr>
          <w:bCs/>
        </w:rPr>
        <w:t xml:space="preserve"> </w:t>
      </w:r>
      <w:r w:rsidRPr="000C0A54">
        <w:rPr>
          <w:bCs/>
          <w:i/>
        </w:rPr>
        <w:t>Grand Beaulieu et du prieuré de N.-D. de la Bourdinière</w:t>
      </w:r>
      <w:r w:rsidRPr="000C0A54">
        <w:rPr>
          <w:bCs/>
        </w:rPr>
        <w:t>,</w:t>
      </w:r>
      <w:r w:rsidRPr="000C0A54">
        <w:rPr>
          <w:lang w:val="fr-FR" w:eastAsia="fr-FR" w:bidi="fr-FR"/>
        </w:rPr>
        <w:t xml:space="preserve"> formé et annoté par R. </w:t>
      </w:r>
      <w:r w:rsidRPr="000C0A54">
        <w:rPr>
          <w:bCs/>
          <w:smallCaps/>
        </w:rPr>
        <w:t>Merlet</w:t>
      </w:r>
      <w:r w:rsidRPr="000C0A54">
        <w:rPr>
          <w:bCs/>
        </w:rPr>
        <w:t xml:space="preserve"> </w:t>
      </w:r>
      <w:r w:rsidRPr="000C0A54">
        <w:rPr>
          <w:lang w:val="fr-FR" w:eastAsia="fr-FR" w:bidi="fr-FR"/>
        </w:rPr>
        <w:t xml:space="preserve">et M. </w:t>
      </w:r>
      <w:r w:rsidRPr="000C0A54">
        <w:rPr>
          <w:bCs/>
          <w:smallCaps/>
        </w:rPr>
        <w:t>Jusselin</w:t>
      </w:r>
      <w:r w:rsidRPr="000C0A54">
        <w:rPr>
          <w:bCs/>
        </w:rPr>
        <w:t xml:space="preserve"> </w:t>
      </w:r>
      <w:r w:rsidRPr="000C0A54">
        <w:rPr>
          <w:lang w:val="fr-FR" w:eastAsia="fr-FR" w:bidi="fr-FR"/>
        </w:rPr>
        <w:t>(</w:t>
      </w:r>
      <w:r w:rsidRPr="000C0A54">
        <w:rPr>
          <w:bCs/>
        </w:rPr>
        <w:t xml:space="preserve">Cartul. </w:t>
      </w:r>
      <w:r w:rsidRPr="000C0A54">
        <w:rPr>
          <w:bCs/>
          <w:i/>
        </w:rPr>
        <w:t>Chartrains</w:t>
      </w:r>
      <w:r w:rsidRPr="000C0A54">
        <w:rPr>
          <w:bCs/>
        </w:rPr>
        <w:t>,</w:t>
      </w:r>
      <w:r w:rsidRPr="000C0A54">
        <w:rPr>
          <w:lang w:val="fr-FR" w:eastAsia="fr-FR" w:bidi="fr-FR"/>
        </w:rPr>
        <w:t xml:space="preserve"> II, gr. in-4°, Cha</w:t>
      </w:r>
      <w:r w:rsidRPr="000C0A54">
        <w:rPr>
          <w:lang w:val="fr-FR" w:eastAsia="fr-FR" w:bidi="fr-FR"/>
        </w:rPr>
        <w:t>r</w:t>
      </w:r>
      <w:r w:rsidRPr="000C0A54">
        <w:rPr>
          <w:lang w:val="fr-FR" w:eastAsia="fr-FR" w:bidi="fr-FR"/>
        </w:rPr>
        <w:t>tres, 1909. — Enfin, sur les cartulaires de l’abbaye de Chelles et sur les cart</w:t>
      </w:r>
      <w:r w:rsidRPr="000C0A54">
        <w:rPr>
          <w:lang w:val="fr-FR" w:eastAsia="fr-FR" w:bidi="fr-FR"/>
        </w:rPr>
        <w:t>u</w:t>
      </w:r>
      <w:r w:rsidRPr="000C0A54">
        <w:rPr>
          <w:lang w:val="fr-FR" w:eastAsia="fr-FR" w:bidi="fr-FR"/>
        </w:rPr>
        <w:t>laires d’une famille seigneuriale, celle des Bouville, on me permettra de re</w:t>
      </w:r>
      <w:r w:rsidRPr="000C0A54">
        <w:rPr>
          <w:lang w:val="fr-FR" w:eastAsia="fr-FR" w:bidi="fr-FR"/>
        </w:rPr>
        <w:t>n</w:t>
      </w:r>
      <w:r w:rsidRPr="000C0A54">
        <w:rPr>
          <w:lang w:val="fr-FR" w:eastAsia="fr-FR" w:bidi="fr-FR"/>
        </w:rPr>
        <w:t xml:space="preserve">voyer à des </w:t>
      </w:r>
      <w:r w:rsidRPr="000C0A54">
        <w:rPr>
          <w:bCs/>
          <w:i/>
        </w:rPr>
        <w:t>Notes sur les sources de l'histoire de l'Île-de-France au Moyen Âge</w:t>
      </w:r>
      <w:r w:rsidRPr="000C0A54">
        <w:rPr>
          <w:bCs/>
        </w:rPr>
        <w:t>,</w:t>
      </w:r>
      <w:r w:rsidRPr="000C0A54">
        <w:rPr>
          <w:lang w:val="fr-FR" w:eastAsia="fr-FR" w:bidi="fr-FR"/>
        </w:rPr>
        <w:t xml:space="preserve"> parues dans le </w:t>
      </w:r>
      <w:r w:rsidRPr="000C0A54">
        <w:rPr>
          <w:bCs/>
          <w:i/>
        </w:rPr>
        <w:t>Bullet. Soc. hist. Paris</w:t>
      </w:r>
      <w:r w:rsidRPr="000C0A54">
        <w:rPr>
          <w:bCs/>
        </w:rPr>
        <w:t>,</w:t>
      </w:r>
      <w:r w:rsidRPr="000C0A54">
        <w:rPr>
          <w:lang w:val="fr-FR" w:eastAsia="fr-FR" w:bidi="fr-FR"/>
        </w:rPr>
        <w:t xml:space="preserve"> t. XL (1913), p. 145-164 et </w:t>
      </w:r>
      <w:r w:rsidRPr="000C0A54">
        <w:rPr>
          <w:bCs/>
          <w:i/>
        </w:rPr>
        <w:t>supra</w:t>
      </w:r>
      <w:r w:rsidRPr="000C0A54">
        <w:rPr>
          <w:bCs/>
        </w:rPr>
        <w:t>,</w:t>
      </w:r>
      <w:r w:rsidRPr="000C0A54">
        <w:rPr>
          <w:lang w:val="fr-FR" w:eastAsia="fr-FR" w:bidi="fr-FR"/>
        </w:rPr>
        <w:t xml:space="preserve"> p. 677-691, XVII</w:t>
      </w:r>
      <w:r w:rsidRPr="000C0A54">
        <w:rPr>
          <w:vertAlign w:val="superscript"/>
          <w:lang w:val="fr-FR" w:eastAsia="fr-FR" w:bidi="fr-FR"/>
        </w:rPr>
        <w:t>e</w:t>
      </w:r>
      <w:r w:rsidRPr="000C0A54">
        <w:rPr>
          <w:lang w:val="fr-FR" w:eastAsia="fr-FR" w:bidi="fr-FR"/>
        </w:rPr>
        <w:t xml:space="preserve"> s., 275 p., </w:t>
      </w:r>
      <w:r w:rsidRPr="000C0A54">
        <w:rPr>
          <w:bCs/>
          <w:i/>
        </w:rPr>
        <w:t>ibid.</w:t>
      </w:r>
      <w:r w:rsidRPr="000C0A54">
        <w:rPr>
          <w:bCs/>
        </w:rPr>
        <w:t xml:space="preserve"> ; </w:t>
      </w:r>
      <w:r w:rsidRPr="000C0A54">
        <w:rPr>
          <w:bCs/>
          <w:i/>
        </w:rPr>
        <w:t>6</w:t>
      </w:r>
      <w:r w:rsidRPr="000C0A54">
        <w:rPr>
          <w:lang w:val="fr-FR" w:eastAsia="fr-FR" w:bidi="fr-FR"/>
        </w:rPr>
        <w:t xml:space="preserve"> abbaye de Saint-Martin de Pontoise, dioc. Rouen, cartulaire particulier au domaine d’Amblainville (Oise), XVI</w:t>
      </w:r>
      <w:r w:rsidRPr="000C0A54">
        <w:rPr>
          <w:vertAlign w:val="superscript"/>
          <w:lang w:val="fr-FR" w:eastAsia="fr-FR" w:bidi="fr-FR"/>
        </w:rPr>
        <w:t>e</w:t>
      </w:r>
      <w:r w:rsidRPr="000C0A54">
        <w:rPr>
          <w:lang w:val="fr-FR" w:eastAsia="fr-FR" w:bidi="fr-FR"/>
        </w:rPr>
        <w:t xml:space="preserve"> s., 29 juillet, XII</w:t>
      </w:r>
      <w:r w:rsidRPr="000C0A54">
        <w:rPr>
          <w:vertAlign w:val="superscript"/>
          <w:lang w:val="fr-FR" w:eastAsia="fr-FR" w:bidi="fr-FR"/>
        </w:rPr>
        <w:t>e</w:t>
      </w:r>
      <w:r w:rsidRPr="000C0A54">
        <w:rPr>
          <w:lang w:val="fr-FR" w:eastAsia="fr-FR" w:bidi="fr-FR"/>
        </w:rPr>
        <w:t xml:space="preserve"> s., 7 janv. 1413 n. st., </w:t>
      </w:r>
      <w:r w:rsidRPr="000C0A54">
        <w:rPr>
          <w:bCs/>
          <w:i/>
        </w:rPr>
        <w:t>ibid.</w:t>
      </w:r>
      <w:r w:rsidRPr="000C0A54">
        <w:rPr>
          <w:bCs/>
        </w:rPr>
        <w:t xml:space="preserve"> ; </w:t>
      </w:r>
      <w:r w:rsidRPr="000C0A54">
        <w:rPr>
          <w:bCs/>
          <w:i/>
        </w:rPr>
        <w:t>7</w:t>
      </w:r>
      <w:r w:rsidRPr="000C0A54">
        <w:rPr>
          <w:lang w:val="fr-FR" w:eastAsia="fr-FR" w:bidi="fr-FR"/>
        </w:rPr>
        <w:t xml:space="preserve"> prieuré de La Saussaye, dioc. P</w:t>
      </w:r>
      <w:r w:rsidRPr="000C0A54">
        <w:rPr>
          <w:lang w:val="fr-FR" w:eastAsia="fr-FR" w:bidi="fr-FR"/>
        </w:rPr>
        <w:t>a</w:t>
      </w:r>
      <w:r w:rsidRPr="000C0A54">
        <w:rPr>
          <w:lang w:val="fr-FR" w:eastAsia="fr-FR" w:bidi="fr-FR"/>
        </w:rPr>
        <w:t>ris, inventaire-cartulaire XVIII</w:t>
      </w:r>
      <w:r w:rsidRPr="000C0A54">
        <w:rPr>
          <w:vertAlign w:val="superscript"/>
          <w:lang w:val="fr-FR" w:eastAsia="fr-FR" w:bidi="fr-FR"/>
        </w:rPr>
        <w:t>e</w:t>
      </w:r>
      <w:r w:rsidRPr="000C0A54">
        <w:rPr>
          <w:lang w:val="fr-FR" w:eastAsia="fr-FR" w:bidi="fr-FR"/>
        </w:rPr>
        <w:t xml:space="preserve"> s., 305 feuillets, 1161-sept. 1786 ; Arch. de Seine-et-Oise, série </w:t>
      </w:r>
      <w:r w:rsidRPr="000C0A54">
        <w:rPr>
          <w:bCs/>
        </w:rPr>
        <w:t xml:space="preserve">D </w:t>
      </w:r>
      <w:r w:rsidRPr="000C0A54">
        <w:rPr>
          <w:lang w:val="fr-FR" w:eastAsia="fr-FR" w:bidi="fr-FR"/>
        </w:rPr>
        <w:t>(fonds de Saint-Cyr). — </w:t>
      </w:r>
      <w:r w:rsidRPr="000C0A54">
        <w:rPr>
          <w:bCs/>
          <w:i/>
        </w:rPr>
        <w:t>B</w:t>
      </w:r>
      <w:r w:rsidRPr="000C0A54">
        <w:rPr>
          <w:bCs/>
        </w:rPr>
        <w:t xml:space="preserve">. </w:t>
      </w:r>
      <w:r w:rsidRPr="000C0A54">
        <w:rPr>
          <w:bCs/>
          <w:i/>
        </w:rPr>
        <w:t>Rectifications </w:t>
      </w:r>
      <w:r w:rsidRPr="000C0A54">
        <w:rPr>
          <w:bCs/>
        </w:rPr>
        <w:t>: 1</w:t>
      </w:r>
      <w:r w:rsidRPr="000C0A54">
        <w:rPr>
          <w:lang w:val="fr-FR" w:eastAsia="fr-FR" w:bidi="fr-FR"/>
        </w:rPr>
        <w:t xml:space="preserve"> chapitre de Saint-Germain-l’Auxerrois, à Paris, Stein, n</w:t>
      </w:r>
      <w:r w:rsidRPr="000C0A54">
        <w:rPr>
          <w:vertAlign w:val="superscript"/>
          <w:lang w:val="fr-FR" w:eastAsia="fr-FR" w:bidi="fr-FR"/>
        </w:rPr>
        <w:t>os</w:t>
      </w:r>
      <w:r w:rsidRPr="000C0A54">
        <w:rPr>
          <w:lang w:val="fr-FR" w:eastAsia="fr-FR" w:bidi="fr-FR"/>
        </w:rPr>
        <w:t xml:space="preserve"> 2905 et suiv. ; lire LL 387 au lieu de LL 386, LL 388 au lieu de LL 387, LL 389 au lieu de LL 388 ; </w:t>
      </w:r>
      <w:r w:rsidRPr="000C0A54">
        <w:rPr>
          <w:bCs/>
        </w:rPr>
        <w:t>2</w:t>
      </w:r>
      <w:r w:rsidRPr="000C0A54">
        <w:rPr>
          <w:lang w:val="fr-FR" w:eastAsia="fr-FR" w:bidi="fr-FR"/>
        </w:rPr>
        <w:t xml:space="preserve"> Stein, n</w:t>
      </w:r>
      <w:r w:rsidRPr="000C0A54">
        <w:rPr>
          <w:vertAlign w:val="superscript"/>
          <w:lang w:val="fr-FR" w:eastAsia="fr-FR" w:bidi="fr-FR"/>
        </w:rPr>
        <w:t>os</w:t>
      </w:r>
      <w:r w:rsidRPr="000C0A54">
        <w:rPr>
          <w:lang w:val="fr-FR" w:eastAsia="fr-FR" w:bidi="fr-FR"/>
        </w:rPr>
        <w:t xml:space="preserve"> 4123 LL 1575 indiqué comme cartul. des Minimes du Bois de Vincennes, en réalité cartulaire de la maison d’Aulnoy, ordre de Grandmont, dioc. de Sens. — C. </w:t>
      </w:r>
      <w:r w:rsidRPr="000C0A54">
        <w:rPr>
          <w:bCs/>
        </w:rPr>
        <w:t>Cartulaires imprimés depuis l'apparition de l'ouvrage de M. Stein :</w:t>
      </w:r>
      <w:r w:rsidRPr="000C0A54">
        <w:rPr>
          <w:lang w:val="fr-FR" w:eastAsia="fr-FR" w:bidi="fr-FR"/>
        </w:rPr>
        <w:t xml:space="preserve"> R. </w:t>
      </w:r>
      <w:r w:rsidRPr="000C0A54">
        <w:rPr>
          <w:bCs/>
        </w:rPr>
        <w:t>Merlet, Cartulaire de Saint-Jean en Vallée de Chartres</w:t>
      </w:r>
      <w:r w:rsidRPr="000C0A54">
        <w:rPr>
          <w:lang w:val="fr-FR" w:eastAsia="fr-FR" w:bidi="fr-FR"/>
        </w:rPr>
        <w:t xml:space="preserve"> (</w:t>
      </w:r>
      <w:r w:rsidRPr="000C0A54">
        <w:rPr>
          <w:bCs/>
        </w:rPr>
        <w:t>Cartul. chartrains,</w:t>
      </w:r>
      <w:r w:rsidRPr="000C0A54">
        <w:rPr>
          <w:lang w:val="fr-FR" w:eastAsia="fr-FR" w:bidi="fr-FR"/>
        </w:rPr>
        <w:t xml:space="preserve"> I), in-4°, Chartres, 1906 ; R. </w:t>
      </w:r>
      <w:r w:rsidRPr="000C0A54">
        <w:rPr>
          <w:bCs/>
          <w:smallCaps/>
        </w:rPr>
        <w:t>Poupardin</w:t>
      </w:r>
      <w:r w:rsidRPr="000C0A54">
        <w:rPr>
          <w:bCs/>
        </w:rPr>
        <w:t xml:space="preserve">, </w:t>
      </w:r>
      <w:r w:rsidRPr="000C0A54">
        <w:rPr>
          <w:bCs/>
          <w:i/>
        </w:rPr>
        <w:t>Recueil des Chartes de Saint-Germain-des-Prés</w:t>
      </w:r>
      <w:r w:rsidRPr="000C0A54">
        <w:rPr>
          <w:bCs/>
        </w:rPr>
        <w:t xml:space="preserve"> (Public, de la Soc. de l’Hist. de Paris), t. I, in-8°, Paris, 1909 ; R. </w:t>
      </w:r>
      <w:r w:rsidRPr="000C0A54">
        <w:rPr>
          <w:bCs/>
          <w:smallCaps/>
        </w:rPr>
        <w:t>Merlet</w:t>
      </w:r>
      <w:r w:rsidRPr="000C0A54">
        <w:rPr>
          <w:bCs/>
        </w:rPr>
        <w:t xml:space="preserve"> et M. </w:t>
      </w:r>
      <w:r w:rsidRPr="000C0A54">
        <w:rPr>
          <w:bCs/>
          <w:smallCaps/>
        </w:rPr>
        <w:t>Jusselin</w:t>
      </w:r>
      <w:r w:rsidRPr="000C0A54">
        <w:rPr>
          <w:bCs/>
        </w:rPr>
        <w:t xml:space="preserve">, </w:t>
      </w:r>
      <w:r w:rsidRPr="000C0A54">
        <w:rPr>
          <w:bCs/>
          <w:i/>
        </w:rPr>
        <w:t>Cartulaire de la léproserie du Grand-Beaulieu</w:t>
      </w:r>
      <w:r w:rsidRPr="000C0A54">
        <w:rPr>
          <w:bCs/>
        </w:rPr>
        <w:t xml:space="preserve"> (Cartul. chartrains, II), in-4°, Chartres, 1909 ; H. </w:t>
      </w:r>
      <w:r w:rsidRPr="000C0A54">
        <w:rPr>
          <w:bCs/>
          <w:smallCaps/>
        </w:rPr>
        <w:t>Omont</w:t>
      </w:r>
      <w:r w:rsidRPr="000C0A54">
        <w:rPr>
          <w:bCs/>
        </w:rPr>
        <w:t xml:space="preserve">, </w:t>
      </w:r>
      <w:r w:rsidRPr="000C0A54">
        <w:rPr>
          <w:bCs/>
          <w:i/>
        </w:rPr>
        <w:t>Chartes inédites de rois de France</w:t>
      </w:r>
      <w:r w:rsidRPr="000C0A54">
        <w:rPr>
          <w:bCs/>
        </w:rPr>
        <w:t xml:space="preserve">, dans </w:t>
      </w:r>
      <w:r w:rsidRPr="000C0A54">
        <w:rPr>
          <w:bCs/>
          <w:i/>
        </w:rPr>
        <w:t>Bullet. Soc. hist. Paris</w:t>
      </w:r>
      <w:r w:rsidRPr="000C0A54">
        <w:rPr>
          <w:bCs/>
        </w:rPr>
        <w:t xml:space="preserve">, t. XXXVI, 1909, p. 67-74 (extraits du cartul. du prieuré de Longpont, Stein n° 2218, devenu Bibl. Nat. nouv. acq. lat. 932) ; J. </w:t>
      </w:r>
      <w:r w:rsidRPr="000C0A54">
        <w:rPr>
          <w:bCs/>
          <w:smallCaps/>
        </w:rPr>
        <w:t>Depoin</w:t>
      </w:r>
      <w:r w:rsidRPr="000C0A54">
        <w:rPr>
          <w:bCs/>
        </w:rPr>
        <w:t xml:space="preserve">, </w:t>
      </w:r>
      <w:r w:rsidRPr="000C0A54">
        <w:rPr>
          <w:bCs/>
          <w:i/>
        </w:rPr>
        <w:t>Chartrier de l'abbaye Saint-Martin de Pontoise</w:t>
      </w:r>
      <w:r w:rsidRPr="000C0A54">
        <w:rPr>
          <w:bCs/>
        </w:rPr>
        <w:t xml:space="preserve"> </w:t>
      </w:r>
      <w:r w:rsidRPr="000C0A54">
        <w:rPr>
          <w:lang w:val="fr-FR" w:eastAsia="fr-FR" w:bidi="fr-FR"/>
        </w:rPr>
        <w:t xml:space="preserve">(Public. Soc. histor. Pontoise), in-4°, Pontoise, 1911 (suite du </w:t>
      </w:r>
      <w:r w:rsidRPr="000C0A54">
        <w:rPr>
          <w:bCs/>
        </w:rPr>
        <w:t>Cartulaire,</w:t>
      </w:r>
      <w:r w:rsidRPr="000C0A54">
        <w:rPr>
          <w:lang w:val="fr-FR" w:eastAsia="fr-FR" w:bidi="fr-FR"/>
        </w:rPr>
        <w:t xml:space="preserve"> Stein, n° 3067), J. </w:t>
      </w:r>
      <w:r w:rsidRPr="000C0A54">
        <w:rPr>
          <w:rStyle w:val="Notedebasdepage65ptPetitesmajuscules"/>
          <w:b w:val="0"/>
          <w:sz w:val="24"/>
        </w:rPr>
        <w:t xml:space="preserve">Depoin, </w:t>
      </w:r>
      <w:r w:rsidRPr="000C0A54">
        <w:rPr>
          <w:bCs/>
          <w:i/>
        </w:rPr>
        <w:t>Recueil de Chartes et documents de Saint-Martin-des-Champs</w:t>
      </w:r>
      <w:r w:rsidRPr="000C0A54">
        <w:rPr>
          <w:lang w:val="fr-FR" w:eastAsia="fr-FR" w:bidi="fr-FR"/>
        </w:rPr>
        <w:t>, 2 vol. (</w:t>
      </w:r>
      <w:r w:rsidRPr="000C0A54">
        <w:rPr>
          <w:bCs/>
        </w:rPr>
        <w:t xml:space="preserve">Archives de la </w:t>
      </w:r>
      <w:r w:rsidRPr="000C0A54">
        <w:rPr>
          <w:bCs/>
          <w:i/>
        </w:rPr>
        <w:t>Fr. monastique</w:t>
      </w:r>
      <w:r w:rsidRPr="000C0A54">
        <w:rPr>
          <w:lang w:val="fr-FR" w:eastAsia="fr-FR" w:bidi="fr-FR"/>
        </w:rPr>
        <w:t>, XIII et XVI), in-8°, Paris, 1912 et 1913.</w:t>
      </w:r>
    </w:p>
  </w:footnote>
  <w:footnote w:id="592">
    <w:p w14:paraId="7555E5C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 France monastique. Recueil historique des Archevêchés</w:t>
      </w:r>
      <w:r w:rsidRPr="003B3476">
        <w:rPr>
          <w:bCs/>
          <w:i/>
        </w:rPr>
        <w:t xml:space="preserve">, </w:t>
      </w:r>
      <w:r w:rsidRPr="003B3476">
        <w:rPr>
          <w:i/>
          <w:lang w:val="fr-FR" w:eastAsia="fr-FR" w:bidi="fr-FR"/>
        </w:rPr>
        <w:t>Évêchés</w:t>
      </w:r>
      <w:r w:rsidRPr="003B3476">
        <w:rPr>
          <w:bCs/>
          <w:i/>
        </w:rPr>
        <w:t xml:space="preserve">, </w:t>
      </w:r>
      <w:r w:rsidRPr="003B3476">
        <w:rPr>
          <w:i/>
          <w:lang w:val="fr-FR" w:eastAsia="fr-FR" w:bidi="fr-FR"/>
        </w:rPr>
        <w:t>Abbayes et Prieurés de France par Dom Beaunier. Nouvelle édition</w:t>
      </w:r>
      <w:r w:rsidRPr="003B3476">
        <w:rPr>
          <w:bCs/>
          <w:i/>
        </w:rPr>
        <w:t xml:space="preserve">, </w:t>
      </w:r>
      <w:r w:rsidRPr="003B3476">
        <w:rPr>
          <w:i/>
          <w:lang w:val="fr-FR" w:eastAsia="fr-FR" w:bidi="fr-FR"/>
        </w:rPr>
        <w:t>revue et compl</w:t>
      </w:r>
      <w:r w:rsidRPr="003B3476">
        <w:rPr>
          <w:i/>
          <w:lang w:val="fr-FR" w:eastAsia="fr-FR" w:bidi="fr-FR"/>
        </w:rPr>
        <w:t>é</w:t>
      </w:r>
      <w:r w:rsidRPr="003B3476">
        <w:rPr>
          <w:i/>
          <w:lang w:val="fr-FR" w:eastAsia="fr-FR" w:bidi="fr-FR"/>
        </w:rPr>
        <w:t>tée par les Bénédictins de Ligugé-Chevetogne</w:t>
      </w:r>
      <w:r w:rsidRPr="003B3476">
        <w:rPr>
          <w:lang w:val="fr-FR" w:eastAsia="fr-FR" w:bidi="fr-FR"/>
        </w:rPr>
        <w:t>.</w:t>
      </w:r>
      <w:r w:rsidRPr="003B3476">
        <w:rPr>
          <w:bCs/>
        </w:rPr>
        <w:t xml:space="preserve"> T. I : </w:t>
      </w:r>
      <w:r w:rsidRPr="003B3476">
        <w:rPr>
          <w:i/>
          <w:lang w:val="fr-FR" w:eastAsia="fr-FR" w:bidi="fr-FR"/>
        </w:rPr>
        <w:t>Province ecclésiastique de Paris</w:t>
      </w:r>
      <w:r w:rsidRPr="003B3476">
        <w:rPr>
          <w:bCs/>
        </w:rPr>
        <w:t xml:space="preserve">, in-8°, Paris, 1905, </w:t>
      </w:r>
      <w:r w:rsidRPr="003B3476">
        <w:rPr>
          <w:bCs/>
          <w:smallCaps/>
        </w:rPr>
        <w:t>xxiv</w:t>
      </w:r>
      <w:r w:rsidRPr="003B3476">
        <w:rPr>
          <w:bCs/>
        </w:rPr>
        <w:t xml:space="preserve"> + 396 p. Tome VI </w:t>
      </w:r>
      <w:r w:rsidRPr="003B3476">
        <w:rPr>
          <w:lang w:val="fr-FR" w:eastAsia="fr-FR" w:bidi="fr-FR"/>
        </w:rPr>
        <w:t>(</w:t>
      </w:r>
      <w:r w:rsidRPr="003B3476">
        <w:rPr>
          <w:i/>
          <w:lang w:val="fr-FR" w:eastAsia="fr-FR" w:bidi="fr-FR"/>
        </w:rPr>
        <w:t>Province de Sens</w:t>
      </w:r>
      <w:r w:rsidRPr="003B3476">
        <w:rPr>
          <w:lang w:val="fr-FR" w:eastAsia="fr-FR" w:bidi="fr-FR"/>
        </w:rPr>
        <w:t>) :</w:t>
      </w:r>
      <w:r w:rsidRPr="003B3476">
        <w:rPr>
          <w:bCs/>
        </w:rPr>
        <w:t xml:space="preserve"> in-8°, Paris, 1913, 177 p. La disposition typographique paraît moins heureuse que celle du tome I.</w:t>
      </w:r>
    </w:p>
  </w:footnote>
  <w:footnote w:id="593">
    <w:p w14:paraId="7B5C862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Chronologie des évêques de Meaux</w:t>
      </w:r>
      <w:r w:rsidRPr="003B3476">
        <w:rPr>
          <w:bCs/>
        </w:rPr>
        <w:t xml:space="preserve">, dans </w:t>
      </w:r>
      <w:r w:rsidRPr="003B3476">
        <w:rPr>
          <w:i/>
          <w:lang w:val="fr-FR" w:eastAsia="fr-FR" w:bidi="fr-FR"/>
        </w:rPr>
        <w:t>Bullet. hist. et archéol. du dioc. de Meaux</w:t>
      </w:r>
      <w:r w:rsidRPr="003B3476">
        <w:rPr>
          <w:bCs/>
        </w:rPr>
        <w:t xml:space="preserve">, t. II, p. 395-410, 474-487 et </w:t>
      </w:r>
      <w:r w:rsidRPr="003B3476">
        <w:rPr>
          <w:i/>
          <w:lang w:val="fr-FR" w:eastAsia="fr-FR" w:bidi="fr-FR"/>
        </w:rPr>
        <w:t>Supplément à la chronologie des évêques de Meaux</w:t>
      </w:r>
      <w:r w:rsidRPr="003B3476">
        <w:rPr>
          <w:bCs/>
        </w:rPr>
        <w:t xml:space="preserve">, t. IV, 1905, p. 77-79. L’ouvrage de M. Aug. </w:t>
      </w:r>
      <w:r w:rsidRPr="003B3476">
        <w:rPr>
          <w:rStyle w:val="Notedebasdepage265ptNonItaliquePetitesmajuscules"/>
          <w:b w:val="0"/>
          <w:i/>
          <w:iCs/>
        </w:rPr>
        <w:t xml:space="preserve">Alloud, </w:t>
      </w:r>
      <w:r w:rsidRPr="003B3476">
        <w:rPr>
          <w:i/>
          <w:lang w:val="fr-FR" w:eastAsia="fr-FR" w:bidi="fr-FR"/>
        </w:rPr>
        <w:t>Chronique des évêques de Meaux</w:t>
      </w:r>
      <w:r w:rsidRPr="003B3476">
        <w:rPr>
          <w:bCs/>
          <w:i/>
        </w:rPr>
        <w:t xml:space="preserve">, </w:t>
      </w:r>
      <w:r w:rsidRPr="003B3476">
        <w:rPr>
          <w:i/>
          <w:lang w:val="fr-FR" w:eastAsia="fr-FR" w:bidi="fr-FR"/>
        </w:rPr>
        <w:t>suivie d’un état de l’ancien diocèse et du diocèse actuel</w:t>
      </w:r>
      <w:r w:rsidRPr="003B3476">
        <w:rPr>
          <w:bCs/>
        </w:rPr>
        <w:t>, in-8°, Meaux, 1875, 408 p. est médiocre.</w:t>
      </w:r>
    </w:p>
  </w:footnote>
  <w:footnote w:id="594">
    <w:p w14:paraId="2792E9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Diocèse de Meaux. Dignitaires des abbayes</w:t>
      </w:r>
      <w:r w:rsidRPr="003B3476">
        <w:rPr>
          <w:i/>
          <w:lang w:val="fr-FR" w:eastAsia="fr-FR" w:bidi="fr-FR"/>
        </w:rPr>
        <w:t xml:space="preserve">, </w:t>
      </w:r>
      <w:r w:rsidRPr="003B3476">
        <w:rPr>
          <w:bCs/>
          <w:i/>
        </w:rPr>
        <w:t>chapitres et prieurés</w:t>
      </w:r>
      <w:r w:rsidRPr="003B3476">
        <w:rPr>
          <w:lang w:val="fr-FR" w:eastAsia="fr-FR" w:bidi="fr-FR"/>
        </w:rPr>
        <w:t>, in-8°, M</w:t>
      </w:r>
      <w:r w:rsidRPr="003B3476">
        <w:rPr>
          <w:lang w:val="fr-FR" w:eastAsia="fr-FR" w:bidi="fr-FR"/>
        </w:rPr>
        <w:t>e</w:t>
      </w:r>
      <w:r w:rsidRPr="003B3476">
        <w:rPr>
          <w:lang w:val="fr-FR" w:eastAsia="fr-FR" w:bidi="fr-FR"/>
        </w:rPr>
        <w:t>lun, 1885, 98 p. Le nom de l’auteur ne figure pas sur la couverture. Les limites sont celles du diocèse actuel.</w:t>
      </w:r>
    </w:p>
  </w:footnote>
  <w:footnote w:id="595">
    <w:p w14:paraId="4A080B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 xml:space="preserve">Catalogues des </w:t>
      </w:r>
      <w:r w:rsidRPr="000C0A54">
        <w:rPr>
          <w:i/>
          <w:lang w:val="fr-FR" w:eastAsia="fr-FR" w:bidi="fr-FR"/>
        </w:rPr>
        <w:t>évêques de Chartres</w:t>
      </w:r>
      <w:r w:rsidRPr="000C0A54">
        <w:rPr>
          <w:bCs/>
        </w:rPr>
        <w:t xml:space="preserve">, dans </w:t>
      </w:r>
      <w:r w:rsidRPr="000C0A54">
        <w:rPr>
          <w:i/>
          <w:lang w:val="fr-FR" w:eastAsia="fr-FR" w:bidi="fr-FR"/>
        </w:rPr>
        <w:t>Mém. Soc. archéol. Eure-et-Loir</w:t>
      </w:r>
      <w:r w:rsidRPr="000C0A54">
        <w:rPr>
          <w:bCs/>
        </w:rPr>
        <w:t xml:space="preserve">, t. IX, 1889, p. 453-459. </w:t>
      </w:r>
      <w:r w:rsidRPr="000C0A54">
        <w:rPr>
          <w:i/>
          <w:lang w:val="fr-FR" w:eastAsia="fr-FR" w:bidi="fr-FR"/>
        </w:rPr>
        <w:t>Cf.</w:t>
      </w:r>
      <w:r w:rsidRPr="000C0A54">
        <w:rPr>
          <w:bCs/>
        </w:rPr>
        <w:t xml:space="preserve"> </w:t>
      </w:r>
      <w:r w:rsidRPr="000C0A54">
        <w:rPr>
          <w:rStyle w:val="Notedebasdepage265ptNonItalique"/>
          <w:b w:val="0"/>
          <w:i/>
          <w:iCs/>
          <w:smallCaps/>
          <w:sz w:val="24"/>
        </w:rPr>
        <w:t>Haye</w:t>
      </w:r>
      <w:r w:rsidRPr="000C0A54">
        <w:rPr>
          <w:rStyle w:val="Notedebasdepage265ptNonItalique"/>
          <w:b w:val="0"/>
          <w:i/>
          <w:iCs/>
          <w:sz w:val="24"/>
        </w:rPr>
        <w:t xml:space="preserve">, </w:t>
      </w:r>
      <w:r w:rsidRPr="000C0A54">
        <w:rPr>
          <w:i/>
          <w:lang w:val="fr-FR" w:eastAsia="fr-FR" w:bidi="fr-FR"/>
        </w:rPr>
        <w:t>Évêques attribués par erreur et sans preuves au diocèse de Chartres</w:t>
      </w:r>
      <w:r w:rsidRPr="000C0A54">
        <w:rPr>
          <w:bCs/>
        </w:rPr>
        <w:t xml:space="preserve">, </w:t>
      </w:r>
      <w:r w:rsidRPr="000C0A54">
        <w:rPr>
          <w:i/>
          <w:lang w:val="fr-FR" w:eastAsia="fr-FR" w:bidi="fr-FR"/>
        </w:rPr>
        <w:t>ibid.</w:t>
      </w:r>
      <w:r w:rsidRPr="000C0A54">
        <w:rPr>
          <w:lang w:val="fr-FR" w:eastAsia="fr-FR" w:bidi="fr-FR"/>
        </w:rPr>
        <w:t xml:space="preserve">, </w:t>
      </w:r>
      <w:r w:rsidRPr="000C0A54">
        <w:rPr>
          <w:bCs/>
        </w:rPr>
        <w:t>p. 460-462. Pour les archevêques de Sens, on util</w:t>
      </w:r>
      <w:r w:rsidRPr="000C0A54">
        <w:rPr>
          <w:bCs/>
        </w:rPr>
        <w:t>i</w:t>
      </w:r>
      <w:r w:rsidRPr="000C0A54">
        <w:rPr>
          <w:bCs/>
        </w:rPr>
        <w:t xml:space="preserve">sera la </w:t>
      </w:r>
      <w:r w:rsidRPr="000C0A54">
        <w:rPr>
          <w:i/>
          <w:lang w:val="fr-FR" w:eastAsia="fr-FR" w:bidi="fr-FR"/>
        </w:rPr>
        <w:t>Chronologie des évêques de Sens au X</w:t>
      </w:r>
      <w:r w:rsidRPr="000C0A54">
        <w:rPr>
          <w:i/>
          <w:vertAlign w:val="superscript"/>
          <w:lang w:val="fr-FR" w:eastAsia="fr-FR" w:bidi="fr-FR"/>
        </w:rPr>
        <w:t>e</w:t>
      </w:r>
      <w:r w:rsidRPr="000C0A54">
        <w:rPr>
          <w:i/>
          <w:lang w:val="fr-FR" w:eastAsia="fr-FR" w:bidi="fr-FR"/>
        </w:rPr>
        <w:t xml:space="preserve"> siècle</w:t>
      </w:r>
      <w:r w:rsidRPr="000C0A54">
        <w:rPr>
          <w:bCs/>
        </w:rPr>
        <w:t xml:space="preserve">, publiée par </w:t>
      </w:r>
      <w:r w:rsidRPr="000C0A54">
        <w:rPr>
          <w:rStyle w:val="Notedebasdepage265ptNonItalique"/>
          <w:b w:val="0"/>
          <w:i/>
          <w:iCs/>
          <w:sz w:val="24"/>
        </w:rPr>
        <w:t xml:space="preserve">M. </w:t>
      </w:r>
      <w:r w:rsidRPr="000C0A54">
        <w:rPr>
          <w:bCs/>
        </w:rPr>
        <w:t xml:space="preserve">Ferd. </w:t>
      </w:r>
      <w:r w:rsidRPr="000C0A54">
        <w:rPr>
          <w:rStyle w:val="Notedebasdepage265ptNonItaliquePetitesmajuscules"/>
          <w:b w:val="0"/>
          <w:i/>
          <w:iCs/>
          <w:sz w:val="24"/>
        </w:rPr>
        <w:t xml:space="preserve">Lot </w:t>
      </w:r>
      <w:r w:rsidRPr="000C0A54">
        <w:rPr>
          <w:bCs/>
        </w:rPr>
        <w:t xml:space="preserve">comme le sixième </w:t>
      </w:r>
      <w:r w:rsidRPr="000C0A54">
        <w:rPr>
          <w:i/>
          <w:lang w:val="fr-FR" w:eastAsia="fr-FR" w:bidi="fr-FR"/>
        </w:rPr>
        <w:t>Appendice</w:t>
      </w:r>
      <w:r w:rsidRPr="000C0A54">
        <w:rPr>
          <w:bCs/>
          <w:i/>
        </w:rPr>
        <w:t xml:space="preserve"> de ses </w:t>
      </w:r>
      <w:r w:rsidRPr="000C0A54">
        <w:rPr>
          <w:i/>
          <w:lang w:val="fr-FR" w:eastAsia="fr-FR" w:bidi="fr-FR"/>
        </w:rPr>
        <w:t>Derniers Carolingiens</w:t>
      </w:r>
      <w:r w:rsidRPr="000C0A54">
        <w:rPr>
          <w:lang w:val="fr-FR" w:eastAsia="fr-FR" w:bidi="fr-FR"/>
        </w:rPr>
        <w:t xml:space="preserve"> </w:t>
      </w:r>
      <w:r w:rsidRPr="000C0A54">
        <w:rPr>
          <w:bCs/>
        </w:rPr>
        <w:t>(Bibl. Ëc. Hautes Études, fasc. 87), in-8°, Paris, 1891, p.</w:t>
      </w:r>
      <w:r w:rsidRPr="003B3476">
        <w:rPr>
          <w:bCs/>
        </w:rPr>
        <w:t xml:space="preserve"> 235-337.</w:t>
      </w:r>
    </w:p>
  </w:footnote>
  <w:footnote w:id="596">
    <w:p w14:paraId="31B141B9" w14:textId="77777777" w:rsidR="00B9662D" w:rsidRPr="000C0A54"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0C0A54">
        <w:rPr>
          <w:i/>
          <w:lang w:val="fr-FR" w:eastAsia="fr-FR" w:bidi="fr-FR"/>
        </w:rPr>
        <w:t>Dignitaires de l’église Notre-Dame de Chartres</w:t>
      </w:r>
      <w:r w:rsidRPr="000C0A54">
        <w:rPr>
          <w:lang w:val="fr-FR" w:eastAsia="fr-FR" w:bidi="fr-FR"/>
        </w:rPr>
        <w:t xml:space="preserve"> (</w:t>
      </w:r>
      <w:r w:rsidRPr="000C0A54">
        <w:rPr>
          <w:i/>
          <w:lang w:val="fr-FR" w:eastAsia="fr-FR" w:bidi="fr-FR"/>
        </w:rPr>
        <w:t>Archives du dioc. de Cha</w:t>
      </w:r>
      <w:r w:rsidRPr="000C0A54">
        <w:rPr>
          <w:i/>
          <w:lang w:val="fr-FR" w:eastAsia="fr-FR" w:bidi="fr-FR"/>
        </w:rPr>
        <w:t>r</w:t>
      </w:r>
      <w:r w:rsidRPr="000C0A54">
        <w:rPr>
          <w:i/>
          <w:lang w:val="fr-FR" w:eastAsia="fr-FR" w:bidi="fr-FR"/>
        </w:rPr>
        <w:t>tres</w:t>
      </w:r>
      <w:r w:rsidRPr="000C0A54">
        <w:rPr>
          <w:bCs/>
        </w:rPr>
        <w:t xml:space="preserve">, t. V), </w:t>
      </w:r>
      <w:r w:rsidRPr="000C0A54">
        <w:rPr>
          <w:rStyle w:val="Notedebasdepage265ptNonItalique"/>
          <w:b w:val="0"/>
          <w:i/>
          <w:iCs/>
          <w:sz w:val="24"/>
        </w:rPr>
        <w:t xml:space="preserve">in-8°, </w:t>
      </w:r>
      <w:r w:rsidRPr="000C0A54">
        <w:rPr>
          <w:bCs/>
        </w:rPr>
        <w:t xml:space="preserve">Paris, 1900, </w:t>
      </w:r>
      <w:r w:rsidRPr="000C0A54">
        <w:rPr>
          <w:rStyle w:val="Notedebasdepage265ptNonItaliquePetitesmajuscules"/>
          <w:b w:val="0"/>
          <w:i/>
          <w:iCs/>
          <w:sz w:val="24"/>
        </w:rPr>
        <w:t>lviii</w:t>
      </w:r>
      <w:r w:rsidRPr="000C0A54">
        <w:rPr>
          <w:rStyle w:val="Notedebasdepage265ptNonItalique"/>
          <w:b w:val="0"/>
          <w:i/>
          <w:iCs/>
          <w:sz w:val="24"/>
        </w:rPr>
        <w:t xml:space="preserve"> + </w:t>
      </w:r>
      <w:r w:rsidRPr="000C0A54">
        <w:rPr>
          <w:bCs/>
        </w:rPr>
        <w:t xml:space="preserve">334 </w:t>
      </w:r>
      <w:r w:rsidRPr="000C0A54">
        <w:rPr>
          <w:rStyle w:val="Notedebasdepage265ptNonItalique"/>
          <w:b w:val="0"/>
          <w:i/>
          <w:iCs/>
          <w:sz w:val="24"/>
        </w:rPr>
        <w:t>p.</w:t>
      </w:r>
    </w:p>
  </w:footnote>
  <w:footnote w:id="597">
    <w:p w14:paraId="783333F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 rôle des communautés religieuses chartraines comme centres d’études au Moyen Âge, nous possédons le livre excellent de M. l’abbé A. </w:t>
      </w:r>
      <w:r w:rsidRPr="003B3476">
        <w:rPr>
          <w:rStyle w:val="Notedebasdepage65ptPetitesmajuscules"/>
          <w:b w:val="0"/>
          <w:sz w:val="24"/>
        </w:rPr>
        <w:t xml:space="preserve">Clerval, </w:t>
      </w:r>
      <w:r w:rsidRPr="003B3476">
        <w:rPr>
          <w:bCs/>
          <w:i/>
        </w:rPr>
        <w:t>Les Écoles de Chartres au Moyen Age</w:t>
      </w:r>
      <w:r w:rsidRPr="003B3476">
        <w:rPr>
          <w:bCs/>
          <w:i/>
          <w:vertAlign w:val="subscript"/>
        </w:rPr>
        <w:t>t</w:t>
      </w:r>
      <w:r w:rsidRPr="003B3476">
        <w:rPr>
          <w:bCs/>
          <w:i/>
        </w:rPr>
        <w:t xml:space="preserve"> du V</w:t>
      </w:r>
      <w:r w:rsidRPr="003B3476">
        <w:rPr>
          <w:bCs/>
          <w:i/>
          <w:vertAlign w:val="superscript"/>
        </w:rPr>
        <w:t>e</w:t>
      </w:r>
      <w:r w:rsidRPr="003B3476">
        <w:rPr>
          <w:bCs/>
          <w:i/>
        </w:rPr>
        <w:t xml:space="preserve"> au XVI</w:t>
      </w:r>
      <w:r w:rsidRPr="003B3476">
        <w:rPr>
          <w:bCs/>
          <w:i/>
          <w:vertAlign w:val="superscript"/>
        </w:rPr>
        <w:t>e</w:t>
      </w:r>
      <w:r w:rsidRPr="003B3476">
        <w:rPr>
          <w:i/>
          <w:lang w:val="fr-FR" w:eastAsia="fr-FR" w:bidi="fr-FR"/>
        </w:rPr>
        <w:t xml:space="preserve"> s</w:t>
      </w:r>
      <w:r w:rsidRPr="003B3476">
        <w:rPr>
          <w:lang w:val="fr-FR" w:eastAsia="fr-FR" w:bidi="fr-FR"/>
        </w:rPr>
        <w:t xml:space="preserve">., dans </w:t>
      </w:r>
      <w:r w:rsidRPr="003B3476">
        <w:rPr>
          <w:bCs/>
          <w:i/>
        </w:rPr>
        <w:t>Mém. Soc. a</w:t>
      </w:r>
      <w:r w:rsidRPr="003B3476">
        <w:rPr>
          <w:bCs/>
          <w:i/>
        </w:rPr>
        <w:t>r</w:t>
      </w:r>
      <w:r w:rsidRPr="003B3476">
        <w:rPr>
          <w:bCs/>
          <w:i/>
        </w:rPr>
        <w:t>chéol. Eure-et-Loir</w:t>
      </w:r>
      <w:r w:rsidRPr="003B3476">
        <w:rPr>
          <w:lang w:val="fr-FR" w:eastAsia="fr-FR" w:bidi="fr-FR"/>
        </w:rPr>
        <w:t xml:space="preserve">, t. XI, 1895, </w:t>
      </w:r>
      <w:r w:rsidRPr="003B3476">
        <w:rPr>
          <w:smallCaps/>
          <w:lang w:val="fr-FR" w:eastAsia="fr-FR" w:bidi="fr-FR"/>
        </w:rPr>
        <w:t>xx</w:t>
      </w:r>
      <w:r w:rsidRPr="003B3476">
        <w:rPr>
          <w:lang w:val="fr-FR" w:eastAsia="fr-FR" w:bidi="fr-FR"/>
        </w:rPr>
        <w:t xml:space="preserve"> + 572 p.</w:t>
      </w:r>
    </w:p>
  </w:footnote>
  <w:footnote w:id="598">
    <w:p w14:paraId="5F5C87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les très fines considérations exprimées par l’auteur d’une des plus pén</w:t>
      </w:r>
      <w:r w:rsidRPr="003B3476">
        <w:rPr>
          <w:lang w:val="fr-FR" w:eastAsia="fr-FR" w:bidi="fr-FR"/>
        </w:rPr>
        <w:t>é</w:t>
      </w:r>
      <w:r w:rsidRPr="003B3476">
        <w:rPr>
          <w:lang w:val="fr-FR" w:eastAsia="fr-FR" w:bidi="fr-FR"/>
        </w:rPr>
        <w:t xml:space="preserve">trantes monographies d’abbayes que nous possédions, M. R. N. </w:t>
      </w:r>
      <w:r w:rsidRPr="003B3476">
        <w:rPr>
          <w:rStyle w:val="Notedebasdepage65ptPetitesmajuscules"/>
          <w:b w:val="0"/>
          <w:sz w:val="24"/>
        </w:rPr>
        <w:t xml:space="preserve">Sauvage, </w:t>
      </w:r>
      <w:r w:rsidRPr="003B3476">
        <w:rPr>
          <w:bCs/>
          <w:i/>
        </w:rPr>
        <w:t>L’abbaye de Saint-Martin de Troarn au diocèse de Bayeux des origines au seizième siècle</w:t>
      </w:r>
      <w:r w:rsidRPr="003B3476">
        <w:rPr>
          <w:lang w:val="fr-FR" w:eastAsia="fr-FR" w:bidi="fr-FR"/>
        </w:rPr>
        <w:t>, in-4°, Caen, 1911, surtout, p. 135-136 et 282-283.</w:t>
      </w:r>
    </w:p>
  </w:footnote>
  <w:footnote w:id="599">
    <w:p w14:paraId="7BBFA49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y a peu de choses à tirer de l’ouvrage de M</w:t>
      </w:r>
      <w:r w:rsidRPr="003B3476">
        <w:rPr>
          <w:vertAlign w:val="superscript"/>
          <w:lang w:val="fr-FR" w:eastAsia="fr-FR" w:bidi="fr-FR"/>
        </w:rPr>
        <w:t>lle</w:t>
      </w:r>
      <w:r w:rsidRPr="003B3476">
        <w:rPr>
          <w:lang w:val="fr-FR" w:eastAsia="fr-FR" w:bidi="fr-FR"/>
        </w:rPr>
        <w:t xml:space="preserve"> Félicie </w:t>
      </w:r>
      <w:r w:rsidRPr="003B3476">
        <w:rPr>
          <w:bCs/>
        </w:rPr>
        <w:t xml:space="preserve">d’AYZAC, </w:t>
      </w:r>
      <w:r w:rsidRPr="003B3476">
        <w:rPr>
          <w:bCs/>
          <w:i/>
        </w:rPr>
        <w:t>Histoire de l’Abbaye de Saint-Denis en France</w:t>
      </w:r>
      <w:r w:rsidRPr="003B3476">
        <w:rPr>
          <w:lang w:val="fr-FR" w:eastAsia="fr-FR" w:bidi="fr-FR"/>
        </w:rPr>
        <w:t xml:space="preserve">, 2 vol. in-8°, Paris, 1860, </w:t>
      </w:r>
      <w:r w:rsidRPr="003B3476">
        <w:rPr>
          <w:smallCaps/>
          <w:lang w:val="fr-FR" w:eastAsia="fr-FR" w:bidi="fr-FR"/>
        </w:rPr>
        <w:t>cxxxi</w:t>
      </w:r>
      <w:r w:rsidRPr="003B3476">
        <w:rPr>
          <w:lang w:val="fr-FR" w:eastAsia="fr-FR" w:bidi="fr-FR"/>
        </w:rPr>
        <w:t xml:space="preserve"> + 597 et 573 p. Sur les origines de Saint-Denis — question archéologique autant qu’historique —, </w:t>
      </w:r>
      <w:r w:rsidRPr="003B3476">
        <w:rPr>
          <w:bCs/>
          <w:i/>
        </w:rPr>
        <w:t>cf</w:t>
      </w:r>
      <w:r w:rsidRPr="003B3476">
        <w:rPr>
          <w:bCs/>
        </w:rPr>
        <w:t xml:space="preserve">. </w:t>
      </w:r>
      <w:r w:rsidRPr="003B3476">
        <w:rPr>
          <w:bCs/>
          <w:i/>
        </w:rPr>
        <w:t>infra.</w:t>
      </w:r>
      <w:r w:rsidRPr="003B3476">
        <w:rPr>
          <w:lang w:val="fr-FR" w:eastAsia="fr-FR" w:bidi="fr-FR"/>
        </w:rPr>
        <w:t>, p. 766, n. 4.</w:t>
      </w:r>
    </w:p>
  </w:footnote>
  <w:footnote w:id="600">
    <w:p w14:paraId="021AD6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Fulrad</w:t>
      </w:r>
      <w:r w:rsidRPr="003B3476">
        <w:rPr>
          <w:bCs/>
          <w:i/>
        </w:rPr>
        <w:t xml:space="preserve">, </w:t>
      </w:r>
      <w:r w:rsidRPr="003B3476">
        <w:rPr>
          <w:i/>
          <w:lang w:val="fr-FR" w:eastAsia="fr-FR" w:bidi="fr-FR"/>
        </w:rPr>
        <w:t>archichapelain des premiers rois carolingiens et abbé de Saint-Denis en France</w:t>
      </w:r>
      <w:r w:rsidRPr="003B3476">
        <w:rPr>
          <w:bCs/>
        </w:rPr>
        <w:t xml:space="preserve">, dans </w:t>
      </w:r>
      <w:r w:rsidRPr="003B3476">
        <w:rPr>
          <w:i/>
          <w:lang w:val="fr-FR" w:eastAsia="fr-FR" w:bidi="fr-FR"/>
        </w:rPr>
        <w:t>Rev. d’Alsace</w:t>
      </w:r>
      <w:r w:rsidRPr="003B3476">
        <w:rPr>
          <w:bCs/>
        </w:rPr>
        <w:t>, t. LII, 1901, p. 139-152, 354-373, 517-540 et LIII, 1902, p. 35-56 et 274-309.</w:t>
      </w:r>
    </w:p>
  </w:footnote>
  <w:footnote w:id="601">
    <w:p w14:paraId="5A9F1B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Notes sur Ebles</w:t>
      </w:r>
      <w:r w:rsidRPr="003B3476">
        <w:rPr>
          <w:bCs/>
          <w:i/>
        </w:rPr>
        <w:t xml:space="preserve">, </w:t>
      </w:r>
      <w:r w:rsidRPr="003B3476">
        <w:rPr>
          <w:i/>
          <w:lang w:val="fr-FR" w:eastAsia="fr-FR" w:bidi="fr-FR"/>
        </w:rPr>
        <w:t>abbé de Saint-Denis au temps du roi Eudes. Université de Paris. Bibl</w:t>
      </w:r>
      <w:r w:rsidRPr="003B3476">
        <w:rPr>
          <w:i/>
          <w:vertAlign w:val="subscript"/>
          <w:lang w:val="fr-FR" w:eastAsia="fr-FR" w:bidi="fr-FR"/>
        </w:rPr>
        <w:t xml:space="preserve">t </w:t>
      </w:r>
      <w:r w:rsidRPr="003B3476">
        <w:rPr>
          <w:i/>
          <w:lang w:val="fr-FR" w:eastAsia="fr-FR" w:bidi="fr-FR"/>
        </w:rPr>
        <w:t>Fac. des Lettres</w:t>
      </w:r>
      <w:r w:rsidRPr="003B3476">
        <w:rPr>
          <w:bCs/>
        </w:rPr>
        <w:t xml:space="preserve">, </w:t>
      </w:r>
      <w:r w:rsidRPr="003B3476">
        <w:rPr>
          <w:rStyle w:val="Notedebasdepage265ptNonItalique"/>
          <w:b w:val="0"/>
          <w:i/>
          <w:iCs/>
          <w:sz w:val="24"/>
        </w:rPr>
        <w:t xml:space="preserve">t. </w:t>
      </w:r>
      <w:r w:rsidRPr="003B3476">
        <w:rPr>
          <w:bCs/>
        </w:rPr>
        <w:t xml:space="preserve">III </w:t>
      </w:r>
      <w:r w:rsidRPr="003B3476">
        <w:rPr>
          <w:lang w:val="fr-FR" w:eastAsia="fr-FR" w:bidi="fr-FR"/>
        </w:rPr>
        <w:t>(</w:t>
      </w:r>
      <w:r w:rsidRPr="003B3476">
        <w:rPr>
          <w:i/>
          <w:lang w:val="fr-FR" w:eastAsia="fr-FR" w:bidi="fr-FR"/>
        </w:rPr>
        <w:t>Mélanges d’histoire du Moyen Âge</w:t>
      </w:r>
      <w:r w:rsidRPr="003B3476">
        <w:rPr>
          <w:lang w:val="fr-FR" w:eastAsia="fr-FR" w:bidi="fr-FR"/>
        </w:rPr>
        <w:t>)</w:t>
      </w:r>
      <w:r w:rsidRPr="003B3476">
        <w:rPr>
          <w:bCs/>
        </w:rPr>
        <w:t xml:space="preserve">, </w:t>
      </w:r>
      <w:r w:rsidRPr="003B3476">
        <w:rPr>
          <w:rStyle w:val="Notedebasdepage265ptNonItalique"/>
          <w:b w:val="0"/>
          <w:i/>
          <w:iCs/>
          <w:sz w:val="24"/>
        </w:rPr>
        <w:t xml:space="preserve">p. 89-98. </w:t>
      </w:r>
      <w:r w:rsidRPr="003B3476">
        <w:rPr>
          <w:i/>
          <w:lang w:val="fr-FR" w:eastAsia="fr-FR" w:bidi="fr-FR"/>
        </w:rPr>
        <w:t>Cf.</w:t>
      </w:r>
      <w:r w:rsidRPr="003B3476">
        <w:rPr>
          <w:bCs/>
        </w:rPr>
        <w:t xml:space="preserve"> L. </w:t>
      </w:r>
      <w:r w:rsidRPr="003B3476">
        <w:rPr>
          <w:rStyle w:val="Notedebasdepage265ptNonItaliquePetitesmajuscules"/>
          <w:b w:val="0"/>
          <w:i/>
          <w:iCs/>
          <w:sz w:val="24"/>
        </w:rPr>
        <w:t xml:space="preserve">Levillain, </w:t>
      </w:r>
      <w:r w:rsidRPr="003B3476">
        <w:rPr>
          <w:i/>
          <w:lang w:val="fr-FR" w:eastAsia="fr-FR" w:bidi="fr-FR"/>
        </w:rPr>
        <w:t xml:space="preserve">L’abbé </w:t>
      </w:r>
      <w:r w:rsidRPr="003B3476">
        <w:rPr>
          <w:bCs/>
          <w:i/>
        </w:rPr>
        <w:t>Ebles, chancelier du roi Eudes</w:t>
      </w:r>
      <w:r w:rsidRPr="003B3476">
        <w:rPr>
          <w:bCs/>
        </w:rPr>
        <w:t>,</w:t>
      </w:r>
      <w:r w:rsidRPr="003B3476">
        <w:rPr>
          <w:lang w:val="fr-FR" w:eastAsia="fr-FR" w:bidi="fr-FR"/>
        </w:rPr>
        <w:t xml:space="preserve"> dans </w:t>
      </w:r>
      <w:r w:rsidRPr="003B3476">
        <w:rPr>
          <w:bCs/>
          <w:i/>
        </w:rPr>
        <w:t>Correspond, histor. et archéol</w:t>
      </w:r>
      <w:r w:rsidRPr="003B3476">
        <w:rPr>
          <w:bCs/>
        </w:rPr>
        <w:t>.,</w:t>
      </w:r>
      <w:r w:rsidRPr="003B3476">
        <w:rPr>
          <w:lang w:val="fr-FR" w:eastAsia="fr-FR" w:bidi="fr-FR"/>
        </w:rPr>
        <w:t xml:space="preserve"> t. IX, 1902, p. 359-371. M. L. Levillain a établi la liste des abbés de Saint-Denis de 980 à 1049 dans un article de la </w:t>
      </w:r>
      <w:r w:rsidRPr="003B3476">
        <w:rPr>
          <w:bCs/>
          <w:i/>
        </w:rPr>
        <w:t>Revue Mabillon</w:t>
      </w:r>
      <w:r w:rsidRPr="003B3476">
        <w:rPr>
          <w:i/>
          <w:lang w:val="fr-FR" w:eastAsia="fr-FR" w:bidi="fr-FR"/>
        </w:rPr>
        <w:t xml:space="preserve"> </w:t>
      </w:r>
      <w:r w:rsidRPr="003B3476">
        <w:rPr>
          <w:bCs/>
          <w:i/>
        </w:rPr>
        <w:t>(A</w:t>
      </w:r>
      <w:r w:rsidRPr="003B3476">
        <w:rPr>
          <w:bCs/>
          <w:i/>
        </w:rPr>
        <w:t>r</w:t>
      </w:r>
      <w:r w:rsidRPr="003B3476">
        <w:rPr>
          <w:bCs/>
          <w:i/>
        </w:rPr>
        <w:t>chives de la France Monastique</w:t>
      </w:r>
      <w:r w:rsidRPr="003B3476">
        <w:rPr>
          <w:i/>
          <w:lang w:val="fr-FR" w:eastAsia="fr-FR" w:bidi="fr-FR"/>
        </w:rPr>
        <w:t>)</w:t>
      </w:r>
      <w:r w:rsidRPr="003B3476">
        <w:rPr>
          <w:lang w:val="fr-FR" w:eastAsia="fr-FR" w:bidi="fr-FR"/>
        </w:rPr>
        <w:t xml:space="preserve">, t. I, 1905, p. 41-54. </w:t>
      </w:r>
      <w:r w:rsidRPr="003B3476">
        <w:rPr>
          <w:bCs/>
          <w:i/>
        </w:rPr>
        <w:t>Notes sur quelques a</w:t>
      </w:r>
      <w:r w:rsidRPr="003B3476">
        <w:rPr>
          <w:bCs/>
          <w:i/>
        </w:rPr>
        <w:t>b</w:t>
      </w:r>
      <w:r w:rsidRPr="003B3476">
        <w:rPr>
          <w:bCs/>
          <w:i/>
        </w:rPr>
        <w:t>bés de Saint-Denis</w:t>
      </w:r>
      <w:r w:rsidRPr="003B3476">
        <w:rPr>
          <w:bCs/>
        </w:rPr>
        <w:t>.</w:t>
      </w:r>
    </w:p>
  </w:footnote>
  <w:footnote w:id="602">
    <w:p w14:paraId="24F5D74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 xml:space="preserve">Guillaume de Massouris, abbé de Saint-Denis, Université de Paris, Bibl. Fac. Lettres, </w:t>
      </w:r>
      <w:r w:rsidRPr="003B3476">
        <w:rPr>
          <w:bCs/>
          <w:i/>
        </w:rPr>
        <w:t xml:space="preserve">XVIII </w:t>
      </w:r>
      <w:r w:rsidRPr="003B3476">
        <w:rPr>
          <w:i/>
          <w:lang w:val="fr-FR" w:eastAsia="fr-FR" w:bidi="fr-FR"/>
        </w:rPr>
        <w:t>(Troisièmes mélanges d'histoire du Moyen Âge</w:t>
      </w:r>
      <w:r w:rsidRPr="003B3476">
        <w:rPr>
          <w:lang w:val="fr-FR" w:eastAsia="fr-FR" w:bidi="fr-FR"/>
        </w:rPr>
        <w:t>)</w:t>
      </w:r>
      <w:r w:rsidRPr="003B3476">
        <w:rPr>
          <w:bCs/>
        </w:rPr>
        <w:t>, p. 187-266.</w:t>
      </w:r>
    </w:p>
  </w:footnote>
  <w:footnote w:id="603">
    <w:p w14:paraId="064F987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Abt Suger von Saint-Denis, 1081-1151</w:t>
      </w:r>
      <w:r w:rsidRPr="003B3476">
        <w:rPr>
          <w:bCs/>
        </w:rPr>
        <w:t>, (</w:t>
      </w:r>
      <w:r w:rsidRPr="003B3476">
        <w:rPr>
          <w:i/>
          <w:lang w:val="fr-FR" w:eastAsia="fr-FR" w:bidi="fr-FR"/>
        </w:rPr>
        <w:t>Histor. Studien veröff</w:t>
      </w:r>
      <w:r w:rsidRPr="003B3476">
        <w:rPr>
          <w:lang w:val="fr-FR" w:eastAsia="fr-FR" w:bidi="fr-FR"/>
        </w:rPr>
        <w:t xml:space="preserve">. </w:t>
      </w:r>
      <w:r w:rsidRPr="003B3476">
        <w:rPr>
          <w:i/>
          <w:lang w:val="fr-FR" w:eastAsia="fr-FR" w:bidi="fr-FR"/>
        </w:rPr>
        <w:t>v. E. Ebering</w:t>
      </w:r>
      <w:r w:rsidRPr="003B3476">
        <w:rPr>
          <w:bCs/>
          <w:i/>
        </w:rPr>
        <w:t>,</w:t>
      </w:r>
      <w:r w:rsidRPr="003B3476">
        <w:rPr>
          <w:bCs/>
        </w:rPr>
        <w:t xml:space="preserve"> H. XI), in-8°, Berlin, 1898, </w:t>
      </w:r>
      <w:r w:rsidRPr="003B3476">
        <w:rPr>
          <w:bCs/>
          <w:smallCaps/>
        </w:rPr>
        <w:t>xv</w:t>
      </w:r>
      <w:r w:rsidRPr="003B3476">
        <w:rPr>
          <w:bCs/>
        </w:rPr>
        <w:t xml:space="preserve"> + 192 p.</w:t>
      </w:r>
    </w:p>
  </w:footnote>
  <w:footnote w:id="604">
    <w:p w14:paraId="36986AB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Œuvres complètes de Suger</w:t>
      </w:r>
      <w:r w:rsidRPr="003B3476">
        <w:rPr>
          <w:lang w:val="fr-FR" w:eastAsia="fr-FR" w:bidi="fr-FR"/>
        </w:rPr>
        <w:t xml:space="preserve"> (Soc. de l’Hist. de France), in-8°, Paris, 1867. Sur les manuscrits de Suger, on consultera l’importante étude de M. </w:t>
      </w:r>
      <w:r w:rsidRPr="003B3476">
        <w:rPr>
          <w:rStyle w:val="Notedebasdepage65ptPetitesmajuscules"/>
          <w:b w:val="0"/>
          <w:sz w:val="24"/>
        </w:rPr>
        <w:t xml:space="preserve">Luchaire, </w:t>
      </w:r>
      <w:r w:rsidRPr="003B3476">
        <w:rPr>
          <w:bCs/>
          <w:i/>
        </w:rPr>
        <w:t>Les œ</w:t>
      </w:r>
      <w:r w:rsidRPr="003B3476">
        <w:rPr>
          <w:bCs/>
          <w:i/>
        </w:rPr>
        <w:t>u</w:t>
      </w:r>
      <w:r w:rsidRPr="003B3476">
        <w:rPr>
          <w:bCs/>
          <w:i/>
        </w:rPr>
        <w:t>vres de Suger. Univ. de Paris. Bibl. Fac. Lettres</w:t>
      </w:r>
      <w:r w:rsidRPr="003B3476">
        <w:rPr>
          <w:lang w:val="fr-FR" w:eastAsia="fr-FR" w:bidi="fr-FR"/>
        </w:rPr>
        <w:t xml:space="preserve">, t. VIII : </w:t>
      </w:r>
      <w:r w:rsidRPr="003B3476">
        <w:rPr>
          <w:bCs/>
          <w:i/>
        </w:rPr>
        <w:t>Études sur quelques manuscrits de Rome et de Paris</w:t>
      </w:r>
      <w:r w:rsidRPr="003B3476">
        <w:rPr>
          <w:bCs/>
        </w:rPr>
        <w:t>,</w:t>
      </w:r>
      <w:r w:rsidRPr="003B3476">
        <w:rPr>
          <w:lang w:val="fr-FR" w:eastAsia="fr-FR" w:bidi="fr-FR"/>
        </w:rPr>
        <w:t xml:space="preserve"> p. 1-5.</w:t>
      </w:r>
    </w:p>
  </w:footnote>
  <w:footnote w:id="605">
    <w:p w14:paraId="1041C5E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rPr>
        <w:t xml:space="preserve">Baron François de </w:t>
      </w:r>
      <w:r w:rsidRPr="003B3476">
        <w:rPr>
          <w:rStyle w:val="Notedebasdepage265ptNonItaliquePetitesmajuscules"/>
          <w:b w:val="0"/>
          <w:i/>
          <w:iCs/>
          <w:sz w:val="24"/>
        </w:rPr>
        <w:t xml:space="preserve">Béthune, </w:t>
      </w:r>
      <w:r w:rsidRPr="003B3476">
        <w:rPr>
          <w:i/>
          <w:lang w:val="fr-FR" w:eastAsia="fr-FR" w:bidi="fr-FR"/>
        </w:rPr>
        <w:t>Les écoles historiques de Saint-Denis et Saint-Germain-des-Prés dans leurs rapports avec la composition des Grandes Chroniques de France,</w:t>
      </w:r>
      <w:r w:rsidRPr="003B3476">
        <w:rPr>
          <w:bCs/>
        </w:rPr>
        <w:t xml:space="preserve"> dans </w:t>
      </w:r>
      <w:r w:rsidRPr="003B3476">
        <w:rPr>
          <w:i/>
          <w:lang w:val="fr-FR" w:eastAsia="fr-FR" w:bidi="fr-FR"/>
        </w:rPr>
        <w:t>Rev. d’hist. ecclésiastique</w:t>
      </w:r>
      <w:r w:rsidRPr="003B3476">
        <w:rPr>
          <w:bCs/>
        </w:rPr>
        <w:t xml:space="preserve"> (Univ. cathol. de Lo</w:t>
      </w:r>
      <w:r w:rsidRPr="003B3476">
        <w:rPr>
          <w:bCs/>
        </w:rPr>
        <w:t>u</w:t>
      </w:r>
      <w:r w:rsidRPr="003B3476">
        <w:rPr>
          <w:bCs/>
        </w:rPr>
        <w:t xml:space="preserve">vain), t. IV, 1903, p. 24-38. </w:t>
      </w:r>
      <w:r w:rsidRPr="003B3476">
        <w:rPr>
          <w:i/>
          <w:lang w:val="fr-FR" w:eastAsia="fr-FR" w:bidi="fr-FR"/>
        </w:rPr>
        <w:t>Cf.</w:t>
      </w:r>
      <w:r w:rsidRPr="003B3476">
        <w:rPr>
          <w:bCs/>
        </w:rPr>
        <w:t xml:space="preserve"> Paul </w:t>
      </w:r>
      <w:r w:rsidRPr="000C0A54">
        <w:rPr>
          <w:rStyle w:val="Notedebasdepage265ptNonItaliquePetitesmajuscules"/>
          <w:b w:val="0"/>
          <w:iCs/>
          <w:sz w:val="24"/>
        </w:rPr>
        <w:t>Meyer</w:t>
      </w:r>
      <w:r w:rsidRPr="003B3476">
        <w:rPr>
          <w:rStyle w:val="Notedebasdepage265ptNonItaliquePetitesmajuscules"/>
          <w:b w:val="0"/>
          <w:i/>
          <w:iCs/>
          <w:sz w:val="24"/>
        </w:rPr>
        <w:t xml:space="preserve">, </w:t>
      </w:r>
      <w:r w:rsidRPr="003B3476">
        <w:rPr>
          <w:i/>
          <w:lang w:val="fr-FR" w:eastAsia="fr-FR" w:bidi="fr-FR"/>
        </w:rPr>
        <w:t>Romania</w:t>
      </w:r>
      <w:r w:rsidRPr="003B3476">
        <w:rPr>
          <w:lang w:val="fr-FR" w:eastAsia="fr-FR" w:bidi="fr-FR"/>
        </w:rPr>
        <w:t xml:space="preserve">, </w:t>
      </w:r>
      <w:r w:rsidRPr="003B3476">
        <w:rPr>
          <w:bCs/>
        </w:rPr>
        <w:t>t. XXXIII, 1904, p. 101.</w:t>
      </w:r>
    </w:p>
  </w:footnote>
  <w:footnote w:id="606">
    <w:p w14:paraId="4651A18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In-8°, Paris, 1913, p. 121-175.</w:t>
      </w:r>
    </w:p>
  </w:footnote>
  <w:footnote w:id="607">
    <w:p w14:paraId="44ADBE5C"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Sur le Lendit, on peut déjà consulter un article de M. Ernest </w:t>
      </w:r>
      <w:r w:rsidRPr="000C0A54">
        <w:rPr>
          <w:rStyle w:val="Notedebasdepage265ptNonItaliquePetitesmajuscules"/>
          <w:b w:val="0"/>
          <w:iCs/>
          <w:sz w:val="24"/>
        </w:rPr>
        <w:t>Roussel</w:t>
      </w:r>
      <w:r w:rsidRPr="003B3476">
        <w:rPr>
          <w:rStyle w:val="Notedebasdepage265ptNonItaliquePetitesmajuscules"/>
          <w:b w:val="0"/>
          <w:i/>
          <w:iCs/>
          <w:sz w:val="24"/>
        </w:rPr>
        <w:t xml:space="preserve">, </w:t>
      </w:r>
      <w:r w:rsidRPr="003B3476">
        <w:rPr>
          <w:i/>
          <w:lang w:val="fr-FR" w:eastAsia="fr-FR" w:bidi="fr-FR"/>
        </w:rPr>
        <w:t>La Bénédi</w:t>
      </w:r>
      <w:r w:rsidRPr="003B3476">
        <w:rPr>
          <w:i/>
          <w:lang w:val="fr-FR" w:eastAsia="fr-FR" w:bidi="fr-FR"/>
        </w:rPr>
        <w:t>c</w:t>
      </w:r>
      <w:r w:rsidRPr="003B3476">
        <w:rPr>
          <w:i/>
          <w:lang w:val="fr-FR" w:eastAsia="fr-FR" w:bidi="fr-FR"/>
        </w:rPr>
        <w:t>tion du Lendit au XIV</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w:t>
      </w:r>
      <w:r w:rsidRPr="003B3476">
        <w:t xml:space="preserve"> article suivi d’une </w:t>
      </w:r>
      <w:r w:rsidRPr="003B3476">
        <w:rPr>
          <w:i/>
          <w:lang w:val="fr-FR" w:eastAsia="fr-FR" w:bidi="fr-FR"/>
        </w:rPr>
        <w:t>Note additionnelle</w:t>
      </w:r>
      <w:r w:rsidRPr="003B3476">
        <w:t xml:space="preserve"> de M. L. </w:t>
      </w:r>
      <w:r w:rsidRPr="000C0A54">
        <w:rPr>
          <w:rStyle w:val="Notedebasdepage265ptNonItaliquePetitesmajuscules"/>
          <w:b w:val="0"/>
          <w:iCs/>
          <w:sz w:val="24"/>
        </w:rPr>
        <w:t>Delisle</w:t>
      </w:r>
      <w:r w:rsidRPr="003B3476">
        <w:rPr>
          <w:rStyle w:val="Notedebasdepage265ptNonItaliquePetitesmajuscules"/>
          <w:b w:val="0"/>
          <w:i/>
          <w:iCs/>
          <w:sz w:val="24"/>
        </w:rPr>
        <w:t xml:space="preserve">, </w:t>
      </w:r>
      <w:r w:rsidRPr="003B3476">
        <w:rPr>
          <w:i/>
          <w:lang w:val="fr-FR" w:eastAsia="fr-FR" w:bidi="fr-FR"/>
        </w:rPr>
        <w:t>Bullet. Soc. hist. Paris</w:t>
      </w:r>
      <w:r w:rsidRPr="003B3476">
        <w:rPr>
          <w:lang w:val="fr-FR" w:eastAsia="fr-FR" w:bidi="fr-FR"/>
        </w:rPr>
        <w:t>,</w:t>
      </w:r>
      <w:r w:rsidRPr="003B3476">
        <w:t xml:space="preserve"> t. XXIX, 1897, p. 68-83 et </w:t>
      </w:r>
      <w:r w:rsidRPr="003B3476">
        <w:rPr>
          <w:lang w:val="fr-FR" w:eastAsia="fr-FR" w:bidi="fr-FR"/>
        </w:rPr>
        <w:t>la position de thèses</w:t>
      </w:r>
      <w:r w:rsidRPr="003B3476">
        <w:t xml:space="preserve"> de M. E. </w:t>
      </w:r>
      <w:r w:rsidRPr="000C0A54">
        <w:rPr>
          <w:rStyle w:val="Notedebasdepage265ptNonItaliquePetitesmajuscules"/>
          <w:b w:val="0"/>
          <w:iCs/>
          <w:sz w:val="24"/>
        </w:rPr>
        <w:t>Roussel</w:t>
      </w:r>
      <w:r w:rsidRPr="003B3476">
        <w:rPr>
          <w:rStyle w:val="Notedebasdepage265ptNonItaliquePetitesmajuscules"/>
          <w:b w:val="0"/>
          <w:i/>
          <w:iCs/>
          <w:sz w:val="24"/>
        </w:rPr>
        <w:t xml:space="preserve">, </w:t>
      </w:r>
      <w:r w:rsidRPr="003B3476">
        <w:rPr>
          <w:i/>
          <w:lang w:val="fr-FR" w:eastAsia="fr-FR" w:bidi="fr-FR"/>
        </w:rPr>
        <w:t>École Nat. des Chartes. Position des thèses so</w:t>
      </w:r>
      <w:r w:rsidRPr="003B3476">
        <w:rPr>
          <w:i/>
          <w:lang w:val="fr-FR" w:eastAsia="fr-FR" w:bidi="fr-FR"/>
        </w:rPr>
        <w:t>u</w:t>
      </w:r>
      <w:r w:rsidRPr="003B3476">
        <w:rPr>
          <w:i/>
          <w:lang w:val="fr-FR" w:eastAsia="fr-FR" w:bidi="fr-FR"/>
        </w:rPr>
        <w:t>tenues par les élèves de la promotion 1884</w:t>
      </w:r>
      <w:r w:rsidRPr="003B3476">
        <w:rPr>
          <w:lang w:val="fr-FR" w:eastAsia="fr-FR" w:bidi="fr-FR"/>
        </w:rPr>
        <w:t>,</w:t>
      </w:r>
      <w:r w:rsidRPr="003B3476">
        <w:t xml:space="preserve"> p. 103-107.</w:t>
      </w:r>
    </w:p>
  </w:footnote>
  <w:footnote w:id="608">
    <w:p w14:paraId="586CA9D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Histoire de l’abbaye et de l’ordre des chanoines réguliers de Saint-Victor de Paris</w:t>
      </w:r>
      <w:r w:rsidRPr="000C0A54">
        <w:rPr>
          <w:lang w:val="fr-FR" w:eastAsia="fr-FR" w:bidi="fr-FR"/>
        </w:rPr>
        <w:t>,</w:t>
      </w:r>
      <w:r w:rsidRPr="000C0A54">
        <w:rPr>
          <w:bCs/>
        </w:rPr>
        <w:t xml:space="preserve"> 2 vol., Paris, s. d. [1904-1907], </w:t>
      </w:r>
      <w:r w:rsidRPr="000C0A54">
        <w:rPr>
          <w:bCs/>
          <w:smallCaps/>
        </w:rPr>
        <w:t>xxx</w:t>
      </w:r>
      <w:r w:rsidRPr="000C0A54">
        <w:rPr>
          <w:bCs/>
        </w:rPr>
        <w:t xml:space="preserve"> + 477 et </w:t>
      </w:r>
      <w:r w:rsidRPr="000C0A54">
        <w:rPr>
          <w:bCs/>
          <w:smallCaps/>
        </w:rPr>
        <w:t>viii</w:t>
      </w:r>
      <w:r w:rsidRPr="000C0A54">
        <w:rPr>
          <w:bCs/>
        </w:rPr>
        <w:t xml:space="preserve"> + 327 p.</w:t>
      </w:r>
    </w:p>
  </w:footnote>
  <w:footnote w:id="609">
    <w:p w14:paraId="5BBD3FF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Étude sur l’histoire de l’abbaye de Sainte-Geneviève de Paris jusqu’à la fin du XIII</w:t>
      </w:r>
      <w:r w:rsidRPr="000C0A54">
        <w:rPr>
          <w:i/>
          <w:vertAlign w:val="superscript"/>
          <w:lang w:val="fr-FR" w:eastAsia="fr-FR" w:bidi="fr-FR"/>
        </w:rPr>
        <w:t>e</w:t>
      </w:r>
      <w:r w:rsidRPr="000C0A54">
        <w:rPr>
          <w:i/>
          <w:lang w:val="fr-FR" w:eastAsia="fr-FR" w:bidi="fr-FR"/>
        </w:rPr>
        <w:t xml:space="preserve"> siècle</w:t>
      </w:r>
      <w:r w:rsidRPr="000C0A54">
        <w:rPr>
          <w:lang w:val="fr-FR" w:eastAsia="fr-FR" w:bidi="fr-FR"/>
        </w:rPr>
        <w:t xml:space="preserve">, </w:t>
      </w:r>
      <w:r w:rsidRPr="000C0A54">
        <w:rPr>
          <w:bCs/>
        </w:rPr>
        <w:t xml:space="preserve">dans </w:t>
      </w:r>
      <w:r w:rsidRPr="000C0A54">
        <w:rPr>
          <w:i/>
          <w:lang w:val="fr-FR" w:eastAsia="fr-FR" w:bidi="fr-FR"/>
        </w:rPr>
        <w:t>Mém. Soc. hist. Paris</w:t>
      </w:r>
      <w:r w:rsidRPr="000C0A54">
        <w:rPr>
          <w:lang w:val="fr-FR" w:eastAsia="fr-FR" w:bidi="fr-FR"/>
        </w:rPr>
        <w:t>,</w:t>
      </w:r>
      <w:r w:rsidRPr="000C0A54">
        <w:rPr>
          <w:bCs/>
        </w:rPr>
        <w:t xml:space="preserve"> t. </w:t>
      </w:r>
      <w:r w:rsidRPr="000C0A54">
        <w:rPr>
          <w:rStyle w:val="Notedebasdepage27ptNonItalique"/>
          <w:b w:val="0"/>
          <w:i w:val="0"/>
          <w:iCs w:val="0"/>
          <w:sz w:val="24"/>
        </w:rPr>
        <w:t xml:space="preserve">XXX, </w:t>
      </w:r>
      <w:r w:rsidRPr="000C0A54">
        <w:rPr>
          <w:bCs/>
        </w:rPr>
        <w:t xml:space="preserve">1903, </w:t>
      </w:r>
      <w:r w:rsidRPr="000C0A54">
        <w:rPr>
          <w:rStyle w:val="Notedebasdepage27ptNonItalique"/>
          <w:b w:val="0"/>
          <w:i w:val="0"/>
          <w:iCs w:val="0"/>
          <w:sz w:val="24"/>
        </w:rPr>
        <w:t xml:space="preserve">p. </w:t>
      </w:r>
      <w:r w:rsidRPr="000C0A54">
        <w:rPr>
          <w:bCs/>
        </w:rPr>
        <w:t xml:space="preserve">41-126. L’ouvrage de l’abbé P. </w:t>
      </w:r>
      <w:r w:rsidRPr="000C0A54">
        <w:rPr>
          <w:rStyle w:val="Notedebasdepage27ptNonItaliquePetitesmajuscules"/>
          <w:b w:val="0"/>
          <w:i w:val="0"/>
          <w:iCs w:val="0"/>
          <w:sz w:val="24"/>
        </w:rPr>
        <w:t xml:space="preserve">Féret, </w:t>
      </w:r>
      <w:r w:rsidRPr="000C0A54">
        <w:rPr>
          <w:i/>
          <w:lang w:val="fr-FR" w:eastAsia="fr-FR" w:bidi="fr-FR"/>
        </w:rPr>
        <w:t>L’abbaye de Sainte-Geneviève et la Congrég</w:t>
      </w:r>
      <w:r w:rsidRPr="000C0A54">
        <w:rPr>
          <w:i/>
          <w:lang w:val="fr-FR" w:eastAsia="fr-FR" w:bidi="fr-FR"/>
        </w:rPr>
        <w:t>a</w:t>
      </w:r>
      <w:r w:rsidRPr="000C0A54">
        <w:rPr>
          <w:i/>
          <w:lang w:val="fr-FR" w:eastAsia="fr-FR" w:bidi="fr-FR"/>
        </w:rPr>
        <w:t>tion de France</w:t>
      </w:r>
      <w:r w:rsidRPr="000C0A54">
        <w:rPr>
          <w:lang w:val="fr-FR" w:eastAsia="fr-FR" w:bidi="fr-FR"/>
        </w:rPr>
        <w:t>,</w:t>
      </w:r>
      <w:r w:rsidRPr="000C0A54">
        <w:rPr>
          <w:bCs/>
        </w:rPr>
        <w:t xml:space="preserve"> 2 vol. in-8°, Paris, 1883, </w:t>
      </w:r>
      <w:r w:rsidRPr="000C0A54">
        <w:rPr>
          <w:bCs/>
          <w:smallCaps/>
        </w:rPr>
        <w:t>x</w:t>
      </w:r>
      <w:r w:rsidRPr="000C0A54">
        <w:rPr>
          <w:bCs/>
        </w:rPr>
        <w:t xml:space="preserve"> + 365 et 419 </w:t>
      </w:r>
      <w:r w:rsidRPr="000C0A54">
        <w:rPr>
          <w:rStyle w:val="Notedebasdepage27ptNonItalique"/>
          <w:b w:val="0"/>
          <w:i w:val="0"/>
          <w:iCs w:val="0"/>
          <w:sz w:val="24"/>
        </w:rPr>
        <w:t xml:space="preserve">p. </w:t>
      </w:r>
      <w:r w:rsidRPr="000C0A54">
        <w:rPr>
          <w:bCs/>
        </w:rPr>
        <w:t>est bien médiocre.</w:t>
      </w:r>
    </w:p>
  </w:footnote>
  <w:footnote w:id="610">
    <w:p w14:paraId="064C389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Histoire de l’abbaye et des religieuses bénédictines de N.-D. du Val de Gif</w:t>
      </w:r>
      <w:r w:rsidRPr="000C0A54">
        <w:rPr>
          <w:lang w:val="fr-FR" w:eastAsia="fr-FR" w:bidi="fr-FR"/>
        </w:rPr>
        <w:t>,</w:t>
      </w:r>
      <w:r w:rsidRPr="000C0A54">
        <w:rPr>
          <w:bCs/>
        </w:rPr>
        <w:t xml:space="preserve"> in-8°, Paris, 1892, 322 p.</w:t>
      </w:r>
    </w:p>
  </w:footnote>
  <w:footnote w:id="611">
    <w:p w14:paraId="3524638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Histoire de l’abbaye et des religieuses bénédictines de Notre-Dame de Yerres</w:t>
      </w:r>
      <w:r w:rsidRPr="000C0A54">
        <w:rPr>
          <w:lang w:val="fr-FR" w:eastAsia="fr-FR" w:bidi="fr-FR"/>
        </w:rPr>
        <w:t>,</w:t>
      </w:r>
      <w:r w:rsidRPr="000C0A54">
        <w:rPr>
          <w:bCs/>
        </w:rPr>
        <w:t xml:space="preserve"> in-8°, Paris, 1899, </w:t>
      </w:r>
      <w:r w:rsidRPr="000C0A54">
        <w:rPr>
          <w:bCs/>
          <w:smallCaps/>
        </w:rPr>
        <w:t>x</w:t>
      </w:r>
      <w:r w:rsidRPr="000C0A54">
        <w:rPr>
          <w:bCs/>
        </w:rPr>
        <w:t xml:space="preserve"> + 313 p.</w:t>
      </w:r>
    </w:p>
  </w:footnote>
  <w:footnote w:id="612">
    <w:p w14:paraId="500B2E5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Histoire de l’abbaye royale de Notre-Dame de Chelles</w:t>
      </w:r>
      <w:r w:rsidRPr="000C0A54">
        <w:rPr>
          <w:lang w:val="fr-FR" w:eastAsia="fr-FR" w:bidi="fr-FR"/>
        </w:rPr>
        <w:t>,</w:t>
      </w:r>
      <w:r w:rsidRPr="000C0A54">
        <w:rPr>
          <w:bCs/>
        </w:rPr>
        <w:t xml:space="preserve"> 2 vol. in-8°, Paris, 1889.</w:t>
      </w:r>
    </w:p>
  </w:footnote>
  <w:footnote w:id="613">
    <w:p w14:paraId="57FDF34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0C0A54">
        <w:rPr>
          <w:i/>
          <w:lang w:val="fr-FR" w:eastAsia="fr-FR" w:bidi="fr-FR"/>
        </w:rPr>
        <w:t>L’abbaye de Chelles, résumés chronologiques</w:t>
      </w:r>
      <w:r w:rsidRPr="000C0A54">
        <w:rPr>
          <w:lang w:val="fr-FR" w:eastAsia="fr-FR" w:bidi="fr-FR"/>
        </w:rPr>
        <w:t>,</w:t>
      </w:r>
      <w:r w:rsidRPr="000C0A54">
        <w:rPr>
          <w:bCs/>
        </w:rPr>
        <w:t xml:space="preserve"> 3 vol. in-8°, Meaux, 1889 à 1894.</w:t>
      </w:r>
    </w:p>
  </w:footnote>
  <w:footnote w:id="614">
    <w:p w14:paraId="446B01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0C0A54">
        <w:rPr>
          <w:bCs/>
          <w:i/>
        </w:rPr>
        <w:t>L'abbaye de Maubuisson (Notre-Dame la Royale) Histoire et cartulaire</w:t>
      </w:r>
      <w:r w:rsidRPr="000C0A54">
        <w:rPr>
          <w:lang w:val="fr-FR" w:eastAsia="fr-FR" w:bidi="fr-FR"/>
        </w:rPr>
        <w:t xml:space="preserve"> (D</w:t>
      </w:r>
      <w:r w:rsidRPr="000C0A54">
        <w:rPr>
          <w:lang w:val="fr-FR" w:eastAsia="fr-FR" w:bidi="fr-FR"/>
        </w:rPr>
        <w:t>o</w:t>
      </w:r>
      <w:r w:rsidRPr="000C0A54">
        <w:rPr>
          <w:lang w:val="fr-FR" w:eastAsia="fr-FR" w:bidi="fr-FR"/>
        </w:rPr>
        <w:t>cum. éd. par la soc. histor. Vexin), in-4°, Pontoise, 1882-85, iv + 318 p. Il va de soi que je n’indique ici que les plus importantes parmi les monographies d’abbayes. La plupart des cartulaires ou recueils de chartes imprimés sont pr</w:t>
      </w:r>
      <w:r w:rsidRPr="000C0A54">
        <w:rPr>
          <w:lang w:val="fr-FR" w:eastAsia="fr-FR" w:bidi="fr-FR"/>
        </w:rPr>
        <w:t>é</w:t>
      </w:r>
      <w:r w:rsidRPr="000C0A54">
        <w:rPr>
          <w:lang w:val="fr-FR" w:eastAsia="fr-FR" w:bidi="fr-FR"/>
        </w:rPr>
        <w:t xml:space="preserve">cédés de notices sur les établissements religieux auxquels ils se rapportent. L’une des plus considérables parmi les abbayes de l’Île-de-France, Saint-Père de Chartres, a fait l’objet d’une thèse de l’École des Chartes par M. E. </w:t>
      </w:r>
      <w:r w:rsidRPr="000C0A54">
        <w:rPr>
          <w:rStyle w:val="Notedebasdepage65ptPetitesmajuscules"/>
          <w:b w:val="0"/>
          <w:sz w:val="24"/>
        </w:rPr>
        <w:t>Be</w:t>
      </w:r>
      <w:r w:rsidRPr="000C0A54">
        <w:rPr>
          <w:rStyle w:val="Notedebasdepage65ptPetitesmajuscules"/>
          <w:b w:val="0"/>
          <w:sz w:val="24"/>
        </w:rPr>
        <w:t>r</w:t>
      </w:r>
      <w:r w:rsidRPr="000C0A54">
        <w:rPr>
          <w:rStyle w:val="Notedebasdepage65ptPetitesmajuscules"/>
          <w:b w:val="0"/>
          <w:sz w:val="24"/>
        </w:rPr>
        <w:t xml:space="preserve">ger, </w:t>
      </w:r>
      <w:r w:rsidRPr="000C0A54">
        <w:rPr>
          <w:bCs/>
          <w:i/>
        </w:rPr>
        <w:t>Cf.</w:t>
      </w:r>
      <w:r w:rsidRPr="000C0A54">
        <w:rPr>
          <w:bCs/>
        </w:rPr>
        <w:t xml:space="preserve"> </w:t>
      </w:r>
      <w:r w:rsidRPr="000C0A54">
        <w:rPr>
          <w:bCs/>
          <w:i/>
        </w:rPr>
        <w:t>Positions des thèses soutenues par les élèves de la promotion de 1913</w:t>
      </w:r>
      <w:r w:rsidRPr="000C0A54">
        <w:rPr>
          <w:lang w:val="fr-FR" w:eastAsia="fr-FR" w:bidi="fr-FR"/>
        </w:rPr>
        <w:t>, p. 9-18.</w:t>
      </w:r>
    </w:p>
  </w:footnote>
  <w:footnote w:id="615">
    <w:p w14:paraId="5813244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fortune territoriale de Saint-Germain-des-Prés a été étudiée par dom </w:t>
      </w:r>
      <w:r w:rsidRPr="003B3476">
        <w:rPr>
          <w:rStyle w:val="Notedebasdepage65ptPetitesmajuscules"/>
          <w:b w:val="0"/>
          <w:sz w:val="24"/>
        </w:rPr>
        <w:t>A</w:t>
      </w:r>
      <w:r w:rsidRPr="003B3476">
        <w:rPr>
          <w:rStyle w:val="Notedebasdepage65ptPetitesmajuscules"/>
          <w:b w:val="0"/>
          <w:sz w:val="24"/>
        </w:rPr>
        <w:t>n</w:t>
      </w:r>
      <w:r w:rsidRPr="003B3476">
        <w:rPr>
          <w:rStyle w:val="Notedebasdepage65ptPetitesmajuscules"/>
          <w:b w:val="0"/>
          <w:sz w:val="24"/>
        </w:rPr>
        <w:t xml:space="preserve">ger, </w:t>
      </w:r>
      <w:r w:rsidRPr="003B3476">
        <w:rPr>
          <w:i/>
        </w:rPr>
        <w:t>Les dépendances de l'abbaye de Saint-Germain-des-Prés</w:t>
      </w:r>
      <w:r w:rsidRPr="003B3476">
        <w:t>,</w:t>
      </w:r>
      <w:r w:rsidRPr="003B3476">
        <w:rPr>
          <w:lang w:val="fr-FR" w:eastAsia="fr-FR" w:bidi="fr-FR"/>
        </w:rPr>
        <w:t xml:space="preserve"> </w:t>
      </w:r>
      <w:r w:rsidRPr="003B3476">
        <w:t xml:space="preserve">3 </w:t>
      </w:r>
      <w:r w:rsidRPr="003B3476">
        <w:rPr>
          <w:lang w:val="fr-FR" w:eastAsia="fr-FR" w:bidi="fr-FR"/>
        </w:rPr>
        <w:t>vol. (</w:t>
      </w:r>
      <w:r w:rsidRPr="003B3476">
        <w:rPr>
          <w:i/>
        </w:rPr>
        <w:t>Arch</w:t>
      </w:r>
      <w:r w:rsidRPr="003B3476">
        <w:rPr>
          <w:i/>
        </w:rPr>
        <w:t>i</w:t>
      </w:r>
      <w:r w:rsidRPr="003B3476">
        <w:rPr>
          <w:i/>
        </w:rPr>
        <w:t>ves de la France monastique</w:t>
      </w:r>
      <w:r w:rsidRPr="003B3476">
        <w:t xml:space="preserve">, </w:t>
      </w:r>
      <w:r w:rsidRPr="003B3476">
        <w:rPr>
          <w:lang w:val="fr-FR" w:eastAsia="fr-FR" w:bidi="fr-FR"/>
        </w:rPr>
        <w:t xml:space="preserve">t. III, IV et VIII), Paris, </w:t>
      </w:r>
      <w:r w:rsidRPr="003B3476">
        <w:t xml:space="preserve">1906 à 1909, </w:t>
      </w:r>
      <w:r w:rsidRPr="003B3476">
        <w:rPr>
          <w:smallCaps/>
          <w:lang w:val="fr-FR" w:eastAsia="fr-FR" w:bidi="fr-FR"/>
        </w:rPr>
        <w:t>vii</w:t>
      </w:r>
      <w:r w:rsidRPr="003B3476">
        <w:rPr>
          <w:lang w:val="fr-FR" w:eastAsia="fr-FR" w:bidi="fr-FR"/>
        </w:rPr>
        <w:t xml:space="preserve"> + </w:t>
      </w:r>
      <w:r w:rsidRPr="003B3476">
        <w:t xml:space="preserve">362, </w:t>
      </w:r>
      <w:r w:rsidRPr="003B3476">
        <w:rPr>
          <w:smallCaps/>
          <w:lang w:val="fr-FR" w:eastAsia="fr-FR" w:bidi="fr-FR"/>
        </w:rPr>
        <w:t>vii</w:t>
      </w:r>
      <w:r w:rsidRPr="003B3476">
        <w:rPr>
          <w:lang w:val="fr-FR" w:eastAsia="fr-FR" w:bidi="fr-FR"/>
        </w:rPr>
        <w:t xml:space="preserve"> + </w:t>
      </w:r>
      <w:r w:rsidRPr="003B3476">
        <w:t xml:space="preserve">323 </w:t>
      </w:r>
      <w:r w:rsidRPr="003B3476">
        <w:rPr>
          <w:lang w:val="fr-FR" w:eastAsia="fr-FR" w:bidi="fr-FR"/>
        </w:rPr>
        <w:t xml:space="preserve">et </w:t>
      </w:r>
      <w:r w:rsidRPr="003B3476">
        <w:rPr>
          <w:smallCaps/>
          <w:lang w:val="fr-FR" w:eastAsia="fr-FR" w:bidi="fr-FR"/>
        </w:rPr>
        <w:t>ciii</w:t>
      </w:r>
      <w:r w:rsidRPr="003B3476">
        <w:rPr>
          <w:lang w:val="fr-FR" w:eastAsia="fr-FR" w:bidi="fr-FR"/>
        </w:rPr>
        <w:t xml:space="preserve"> </w:t>
      </w:r>
      <w:r w:rsidRPr="003B3476">
        <w:t xml:space="preserve">-f-363 </w:t>
      </w:r>
      <w:r w:rsidRPr="003B3476">
        <w:rPr>
          <w:lang w:val="fr-FR" w:eastAsia="fr-FR" w:bidi="fr-FR"/>
        </w:rPr>
        <w:t>p. — ouvrage peu sûr qu’on n’utilisera qu’avec pr</w:t>
      </w:r>
      <w:r w:rsidRPr="003B3476">
        <w:rPr>
          <w:lang w:val="fr-FR" w:eastAsia="fr-FR" w:bidi="fr-FR"/>
        </w:rPr>
        <w:t>u</w:t>
      </w:r>
      <w:r w:rsidRPr="003B3476">
        <w:rPr>
          <w:lang w:val="fr-FR" w:eastAsia="fr-FR" w:bidi="fr-FR"/>
        </w:rPr>
        <w:t>dence.</w:t>
      </w:r>
    </w:p>
  </w:footnote>
  <w:footnote w:id="616">
    <w:p w14:paraId="7163ED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C’est ce dont ne paraît pas s’être rendu compte </w:t>
      </w:r>
      <w:r w:rsidRPr="000C0A54">
        <w:rPr>
          <w:rStyle w:val="Notedebasdepage265ptNonItaliquePetitesmajuscules"/>
          <w:b w:val="0"/>
          <w:iCs/>
          <w:sz w:val="24"/>
        </w:rPr>
        <w:t>M. Bonnet-Maury</w:t>
      </w:r>
      <w:r w:rsidRPr="003B3476">
        <w:rPr>
          <w:rStyle w:val="Notedebasdepage265ptNonItaliquePetitesmajuscules"/>
          <w:b w:val="0"/>
          <w:i/>
          <w:iCs/>
          <w:sz w:val="24"/>
        </w:rPr>
        <w:t xml:space="preserve">, </w:t>
      </w:r>
      <w:r w:rsidRPr="003B3476">
        <w:rPr>
          <w:i/>
          <w:lang w:val="fr-FR" w:eastAsia="fr-FR" w:bidi="fr-FR"/>
        </w:rPr>
        <w:t>Saint C</w:t>
      </w:r>
      <w:r w:rsidRPr="003B3476">
        <w:rPr>
          <w:i/>
          <w:lang w:val="fr-FR" w:eastAsia="fr-FR" w:bidi="fr-FR"/>
        </w:rPr>
        <w:t>o</w:t>
      </w:r>
      <w:r w:rsidRPr="003B3476">
        <w:rPr>
          <w:i/>
          <w:lang w:val="fr-FR" w:eastAsia="fr-FR" w:bidi="fr-FR"/>
        </w:rPr>
        <w:t>lomban et la fondation des monastères irlandais en Brie</w:t>
      </w:r>
      <w:r w:rsidRPr="003B3476">
        <w:t xml:space="preserve">, dans </w:t>
      </w:r>
      <w:r w:rsidRPr="003B3476">
        <w:rPr>
          <w:i/>
          <w:lang w:val="fr-FR" w:eastAsia="fr-FR" w:bidi="fr-FR"/>
        </w:rPr>
        <w:t>Rev. histor</w:t>
      </w:r>
      <w:r w:rsidRPr="003B3476">
        <w:rPr>
          <w:lang w:val="fr-FR" w:eastAsia="fr-FR" w:bidi="fr-FR"/>
        </w:rPr>
        <w:t>.,</w:t>
      </w:r>
      <w:r w:rsidRPr="003B3476">
        <w:t xml:space="preserve"> t. </w:t>
      </w:r>
      <w:r w:rsidRPr="003B3476">
        <w:rPr>
          <w:rStyle w:val="Notedebasdepage265ptNonItalique"/>
          <w:b w:val="0"/>
          <w:i/>
          <w:iCs/>
          <w:sz w:val="24"/>
        </w:rPr>
        <w:t xml:space="preserve">83, 1903, </w:t>
      </w:r>
      <w:r w:rsidRPr="003B3476">
        <w:t xml:space="preserve">p. </w:t>
      </w:r>
      <w:r w:rsidRPr="003B3476">
        <w:rPr>
          <w:rStyle w:val="Notedebasdepage265ptNonItalique"/>
          <w:b w:val="0"/>
          <w:i/>
          <w:iCs/>
          <w:sz w:val="24"/>
        </w:rPr>
        <w:t>277-299.</w:t>
      </w:r>
    </w:p>
  </w:footnote>
  <w:footnote w:id="617">
    <w:p w14:paraId="21AC263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V. </w:t>
      </w:r>
      <w:r w:rsidRPr="000C0A54">
        <w:rPr>
          <w:rStyle w:val="Notedebasdepage265ptNonItaliquePetitesmajuscules"/>
          <w:b w:val="0"/>
          <w:iCs/>
          <w:sz w:val="24"/>
        </w:rPr>
        <w:t>Leblond</w:t>
      </w:r>
      <w:r w:rsidRPr="003B3476">
        <w:rPr>
          <w:rStyle w:val="Notedebasdepage265ptNonItaliquePetitesmajuscules"/>
          <w:b w:val="0"/>
          <w:i/>
          <w:iCs/>
          <w:sz w:val="24"/>
        </w:rPr>
        <w:t xml:space="preserve">, </w:t>
      </w:r>
      <w:r w:rsidRPr="003B3476">
        <w:rPr>
          <w:i/>
          <w:lang w:val="fr-FR" w:eastAsia="fr-FR" w:bidi="fr-FR"/>
        </w:rPr>
        <w:t>L'abbaye de Rebais-en-Brie, sommaire chronologique de 635 à 1800</w:t>
      </w:r>
      <w:r w:rsidRPr="003B3476">
        <w:rPr>
          <w:lang w:val="fr-FR" w:eastAsia="fr-FR" w:bidi="fr-FR"/>
        </w:rPr>
        <w:t xml:space="preserve">, </w:t>
      </w:r>
      <w:r w:rsidRPr="003B3476">
        <w:rPr>
          <w:bCs/>
        </w:rPr>
        <w:t xml:space="preserve">in-8°, Beauvais, 1898, 120 p. ; V. </w:t>
      </w:r>
      <w:r w:rsidRPr="000C0A54">
        <w:rPr>
          <w:rStyle w:val="Notedebasdepage265ptNonItaliquePetitesmajuscules"/>
          <w:b w:val="0"/>
          <w:iCs/>
          <w:sz w:val="24"/>
        </w:rPr>
        <w:t>Leblond</w:t>
      </w:r>
      <w:r w:rsidRPr="003B3476">
        <w:rPr>
          <w:rStyle w:val="Notedebasdepage265ptNonItaliquePetitesmajuscules"/>
          <w:b w:val="0"/>
          <w:i/>
          <w:iCs/>
          <w:sz w:val="24"/>
        </w:rPr>
        <w:t xml:space="preserve"> </w:t>
      </w:r>
      <w:r w:rsidRPr="003B3476">
        <w:rPr>
          <w:bCs/>
        </w:rPr>
        <w:t xml:space="preserve">et Maurice </w:t>
      </w:r>
      <w:r w:rsidRPr="000C0A54">
        <w:rPr>
          <w:rStyle w:val="Notedebasdepage265ptNonItaliquePetitesmajuscules"/>
          <w:b w:val="0"/>
          <w:iCs/>
          <w:sz w:val="24"/>
        </w:rPr>
        <w:t>Lecomte</w:t>
      </w:r>
      <w:r w:rsidRPr="003B3476">
        <w:rPr>
          <w:rStyle w:val="Notedebasdepage265ptNonItaliquePetitesmajuscules"/>
          <w:b w:val="0"/>
          <w:i/>
          <w:iCs/>
          <w:sz w:val="24"/>
        </w:rPr>
        <w:t xml:space="preserve">, </w:t>
      </w:r>
      <w:r w:rsidRPr="003B3476">
        <w:rPr>
          <w:i/>
          <w:lang w:val="fr-FR" w:eastAsia="fr-FR" w:bidi="fr-FR"/>
        </w:rPr>
        <w:t>Les privilèges de l'abbaye de Rebais-en-Brie</w:t>
      </w:r>
      <w:r w:rsidRPr="003B3476">
        <w:rPr>
          <w:lang w:val="fr-FR" w:eastAsia="fr-FR" w:bidi="fr-FR"/>
        </w:rPr>
        <w:t>,</w:t>
      </w:r>
      <w:r w:rsidRPr="003B3476">
        <w:rPr>
          <w:bCs/>
        </w:rPr>
        <w:t xml:space="preserve"> in-8°, Melun, 1910, 64 p. ; H.-M. </w:t>
      </w:r>
      <w:r w:rsidRPr="000C0A54">
        <w:rPr>
          <w:rStyle w:val="Notedebasdepage265ptNonItaliquePetitesmajuscules"/>
          <w:b w:val="0"/>
          <w:iCs/>
          <w:sz w:val="24"/>
        </w:rPr>
        <w:t>Delsart</w:t>
      </w:r>
      <w:r w:rsidRPr="003B3476">
        <w:rPr>
          <w:rStyle w:val="Notedebasdepage265ptNonItaliquePetitesmajuscules"/>
          <w:b w:val="0"/>
          <w:i/>
          <w:iCs/>
          <w:sz w:val="24"/>
        </w:rPr>
        <w:t xml:space="preserve">, </w:t>
      </w:r>
      <w:r w:rsidRPr="003B3476">
        <w:rPr>
          <w:i/>
          <w:lang w:val="fr-FR" w:eastAsia="fr-FR" w:bidi="fr-FR"/>
        </w:rPr>
        <w:t>Une fondatrice d'abbaye au VII</w:t>
      </w:r>
      <w:r w:rsidRPr="003B3476">
        <w:rPr>
          <w:i/>
          <w:vertAlign w:val="superscript"/>
          <w:lang w:val="fr-FR" w:eastAsia="fr-FR" w:bidi="fr-FR"/>
        </w:rPr>
        <w:t>e</w:t>
      </w:r>
      <w:r w:rsidRPr="003B3476">
        <w:rPr>
          <w:i/>
          <w:lang w:val="fr-FR" w:eastAsia="fr-FR" w:bidi="fr-FR"/>
        </w:rPr>
        <w:t xml:space="preserve"> siècle. Sainte Fare, sa vie et son culte</w:t>
      </w:r>
      <w:r w:rsidRPr="003B3476">
        <w:rPr>
          <w:lang w:val="fr-FR" w:eastAsia="fr-FR" w:bidi="fr-FR"/>
        </w:rPr>
        <w:t>,</w:t>
      </w:r>
      <w:r w:rsidRPr="003B3476">
        <w:rPr>
          <w:bCs/>
        </w:rPr>
        <w:t xml:space="preserve"> in-12, Paris, 1911, 372 p. (peu critique) ; Maurice </w:t>
      </w:r>
      <w:r w:rsidRPr="000C0A54">
        <w:rPr>
          <w:rStyle w:val="Notedebasdepage265ptNonItaliquePetitesmajuscules"/>
          <w:b w:val="0"/>
          <w:iCs/>
          <w:sz w:val="24"/>
        </w:rPr>
        <w:t>Lecomte</w:t>
      </w:r>
      <w:r w:rsidRPr="003B3476">
        <w:rPr>
          <w:rStyle w:val="Notedebasdepage265ptNonItaliquePetitesmajuscules"/>
          <w:b w:val="0"/>
          <w:i/>
          <w:iCs/>
          <w:sz w:val="24"/>
        </w:rPr>
        <w:t xml:space="preserve">, </w:t>
      </w:r>
      <w:r w:rsidRPr="003B3476">
        <w:rPr>
          <w:i/>
        </w:rPr>
        <w:t>Le pr</w:t>
      </w:r>
      <w:r w:rsidRPr="003B3476">
        <w:rPr>
          <w:i/>
        </w:rPr>
        <w:t>i</w:t>
      </w:r>
      <w:r w:rsidRPr="003B3476">
        <w:rPr>
          <w:i/>
        </w:rPr>
        <w:t>vil</w:t>
      </w:r>
      <w:r w:rsidRPr="003B3476">
        <w:rPr>
          <w:i/>
        </w:rPr>
        <w:t>è</w:t>
      </w:r>
      <w:r w:rsidRPr="003B3476">
        <w:rPr>
          <w:i/>
        </w:rPr>
        <w:t>ge de saint Faron</w:t>
      </w:r>
      <w:r w:rsidRPr="003B3476">
        <w:rPr>
          <w:i/>
          <w:lang w:val="fr-FR" w:eastAsia="fr-FR" w:bidi="fr-FR"/>
        </w:rPr>
        <w:t xml:space="preserve">, </w:t>
      </w:r>
      <w:r w:rsidRPr="003B3476">
        <w:rPr>
          <w:i/>
        </w:rPr>
        <w:t>évêque de Meaux</w:t>
      </w:r>
      <w:r w:rsidRPr="003B3476">
        <w:rPr>
          <w:i/>
          <w:lang w:val="fr-FR" w:eastAsia="fr-FR" w:bidi="fr-FR"/>
        </w:rPr>
        <w:t xml:space="preserve">, </w:t>
      </w:r>
      <w:r w:rsidRPr="003B3476">
        <w:rPr>
          <w:i/>
        </w:rPr>
        <w:t>pour l'abbaye de Faremoutiers,</w:t>
      </w:r>
      <w:r w:rsidRPr="003B3476">
        <w:rPr>
          <w:lang w:val="fr-FR" w:eastAsia="fr-FR" w:bidi="fr-FR"/>
        </w:rPr>
        <w:t xml:space="preserve"> dans </w:t>
      </w:r>
      <w:r w:rsidRPr="003B3476">
        <w:rPr>
          <w:i/>
        </w:rPr>
        <w:t>Bullet. confér. hist., diocèse Meaux</w:t>
      </w:r>
      <w:r w:rsidRPr="003B3476">
        <w:rPr>
          <w:lang w:val="fr-FR" w:eastAsia="fr-FR" w:bidi="fr-FR"/>
        </w:rPr>
        <w:t>, t. I, 1898, p. 263-287 (compte rendu i</w:t>
      </w:r>
      <w:r w:rsidRPr="003B3476">
        <w:rPr>
          <w:lang w:val="fr-FR" w:eastAsia="fr-FR" w:bidi="fr-FR"/>
        </w:rPr>
        <w:t>m</w:t>
      </w:r>
      <w:r w:rsidRPr="003B3476">
        <w:rPr>
          <w:lang w:val="fr-FR" w:eastAsia="fr-FR" w:bidi="fr-FR"/>
        </w:rPr>
        <w:t xml:space="preserve">portant par L. </w:t>
      </w:r>
      <w:r w:rsidRPr="003B3476">
        <w:rPr>
          <w:rStyle w:val="Notedebasdepage65ptPetitesmajuscules"/>
          <w:b w:val="0"/>
          <w:sz w:val="24"/>
        </w:rPr>
        <w:t xml:space="preserve">Levillain, </w:t>
      </w:r>
      <w:r w:rsidRPr="003B3476">
        <w:rPr>
          <w:i/>
        </w:rPr>
        <w:t>Moyen Âge</w:t>
      </w:r>
      <w:r w:rsidRPr="003B3476">
        <w:rPr>
          <w:lang w:val="fr-FR" w:eastAsia="fr-FR" w:bidi="fr-FR"/>
        </w:rPr>
        <w:t xml:space="preserve">, t. XI, p. 469-473) ; Maurice </w:t>
      </w:r>
      <w:r w:rsidRPr="003B3476">
        <w:rPr>
          <w:rStyle w:val="Notedebasdepage65ptPetitesmajuscules"/>
          <w:b w:val="0"/>
          <w:sz w:val="24"/>
        </w:rPr>
        <w:t xml:space="preserve">Lecomte, </w:t>
      </w:r>
      <w:r w:rsidRPr="003B3476">
        <w:rPr>
          <w:i/>
        </w:rPr>
        <w:t>Le testament de sainte Fare, fondatrice et première abbesse de Faremoutiers</w:t>
      </w:r>
      <w:r w:rsidRPr="003B3476">
        <w:rPr>
          <w:lang w:val="fr-FR" w:eastAsia="fr-FR" w:bidi="fr-FR"/>
        </w:rPr>
        <w:t xml:space="preserve">, </w:t>
      </w:r>
      <w:r w:rsidRPr="003B3476">
        <w:rPr>
          <w:i/>
        </w:rPr>
        <w:t>ibid.</w:t>
      </w:r>
      <w:r w:rsidRPr="003B3476">
        <w:t>,</w:t>
      </w:r>
      <w:r w:rsidRPr="003B3476">
        <w:rPr>
          <w:lang w:val="fr-FR" w:eastAsia="fr-FR" w:bidi="fr-FR"/>
        </w:rPr>
        <w:t xml:space="preserve"> p. 321-338) compte rendu important de L. </w:t>
      </w:r>
      <w:r w:rsidRPr="003B3476">
        <w:rPr>
          <w:rStyle w:val="Notedebasdepage65ptPetitesmajuscules"/>
          <w:b w:val="0"/>
          <w:sz w:val="24"/>
        </w:rPr>
        <w:t xml:space="preserve">Levillain, </w:t>
      </w:r>
      <w:r w:rsidRPr="003B3476">
        <w:t xml:space="preserve">Bibl. </w:t>
      </w:r>
      <w:r w:rsidRPr="003B3476">
        <w:rPr>
          <w:i/>
        </w:rPr>
        <w:t>Éc. Chartes</w:t>
      </w:r>
      <w:r w:rsidRPr="003B3476">
        <w:rPr>
          <w:lang w:val="fr-FR" w:eastAsia="fr-FR" w:bidi="fr-FR"/>
        </w:rPr>
        <w:t>, t. LX, 1899, p. 95-100) ; Ga</w:t>
      </w:r>
      <w:r w:rsidRPr="003B3476">
        <w:rPr>
          <w:lang w:val="fr-FR" w:eastAsia="fr-FR" w:bidi="fr-FR"/>
        </w:rPr>
        <w:t>s</w:t>
      </w:r>
      <w:r w:rsidRPr="003B3476">
        <w:rPr>
          <w:lang w:val="fr-FR" w:eastAsia="fr-FR" w:bidi="fr-FR"/>
        </w:rPr>
        <w:t xml:space="preserve">ton </w:t>
      </w:r>
      <w:r w:rsidRPr="003B3476">
        <w:rPr>
          <w:rStyle w:val="Notedebasdepage65ptPetitesmajuscules"/>
          <w:b w:val="0"/>
          <w:sz w:val="24"/>
        </w:rPr>
        <w:t xml:space="preserve">Sénéchal, </w:t>
      </w:r>
      <w:r w:rsidRPr="003B3476">
        <w:rPr>
          <w:i/>
        </w:rPr>
        <w:t>La parenté de saint Faron et de sainte Fare</w:t>
      </w:r>
      <w:r w:rsidRPr="003B3476">
        <w:t xml:space="preserve">, </w:t>
      </w:r>
      <w:r w:rsidRPr="003B3476">
        <w:rPr>
          <w:lang w:val="fr-FR" w:eastAsia="fr-FR" w:bidi="fr-FR"/>
        </w:rPr>
        <w:t xml:space="preserve">dans </w:t>
      </w:r>
      <w:r w:rsidRPr="003B3476">
        <w:rPr>
          <w:i/>
        </w:rPr>
        <w:t>Bulletin. Soc. a</w:t>
      </w:r>
      <w:r w:rsidRPr="003B3476">
        <w:rPr>
          <w:i/>
        </w:rPr>
        <w:t>r</w:t>
      </w:r>
      <w:r w:rsidRPr="003B3476">
        <w:rPr>
          <w:i/>
        </w:rPr>
        <w:t>chéol. Seine-et-Marne</w:t>
      </w:r>
      <w:r w:rsidRPr="003B3476">
        <w:rPr>
          <w:lang w:val="fr-FR" w:eastAsia="fr-FR" w:bidi="fr-FR"/>
        </w:rPr>
        <w:t>, t. XI, 1905-06, p. 323-333 ; et naturellement les o</w:t>
      </w:r>
      <w:r w:rsidRPr="003B3476">
        <w:rPr>
          <w:lang w:val="fr-FR" w:eastAsia="fr-FR" w:bidi="fr-FR"/>
        </w:rPr>
        <w:t>u</w:t>
      </w:r>
      <w:r w:rsidRPr="003B3476">
        <w:rPr>
          <w:lang w:val="fr-FR" w:eastAsia="fr-FR" w:bidi="fr-FR"/>
        </w:rPr>
        <w:t>vrages généraux sur Colomban et les moines irlandais que l’on trouvera indiqués dans les bibliographies de l’histoire mér</w:t>
      </w:r>
      <w:r w:rsidRPr="003B3476">
        <w:rPr>
          <w:lang w:val="fr-FR" w:eastAsia="fr-FR" w:bidi="fr-FR"/>
        </w:rPr>
        <w:t>o</w:t>
      </w:r>
      <w:r w:rsidRPr="003B3476">
        <w:rPr>
          <w:lang w:val="fr-FR" w:eastAsia="fr-FR" w:bidi="fr-FR"/>
        </w:rPr>
        <w:t>vingienne. La question des monastères briards est liée dans une certaine mes</w:t>
      </w:r>
      <w:r w:rsidRPr="003B3476">
        <w:rPr>
          <w:lang w:val="fr-FR" w:eastAsia="fr-FR" w:bidi="fr-FR"/>
        </w:rPr>
        <w:t>u</w:t>
      </w:r>
      <w:r w:rsidRPr="003B3476">
        <w:rPr>
          <w:lang w:val="fr-FR" w:eastAsia="fr-FR" w:bidi="fr-FR"/>
        </w:rPr>
        <w:t xml:space="preserve">re au problème de la </w:t>
      </w:r>
      <w:r w:rsidRPr="003B3476">
        <w:rPr>
          <w:i/>
        </w:rPr>
        <w:t>Cantilène de saint Faron</w:t>
      </w:r>
      <w:r w:rsidRPr="003B3476">
        <w:rPr>
          <w:lang w:val="fr-FR" w:eastAsia="fr-FR" w:bidi="fr-FR"/>
        </w:rPr>
        <w:t xml:space="preserve"> (poésie latine, insérée dans la </w:t>
      </w:r>
      <w:r w:rsidRPr="003B3476">
        <w:t xml:space="preserve">Vita </w:t>
      </w:r>
      <w:r w:rsidRPr="003B3476">
        <w:rPr>
          <w:bCs/>
        </w:rPr>
        <w:t>S. Faronis</w:t>
      </w:r>
      <w:r w:rsidRPr="003B3476">
        <w:rPr>
          <w:lang w:val="fr-FR" w:eastAsia="fr-FR" w:bidi="fr-FR"/>
        </w:rPr>
        <w:t>) et par là, assez singulièrement, à celui de l’origine des cha</w:t>
      </w:r>
      <w:r w:rsidRPr="003B3476">
        <w:rPr>
          <w:lang w:val="fr-FR" w:eastAsia="fr-FR" w:bidi="fr-FR"/>
        </w:rPr>
        <w:t>n</w:t>
      </w:r>
      <w:r w:rsidRPr="003B3476">
        <w:rPr>
          <w:lang w:val="fr-FR" w:eastAsia="fr-FR" w:bidi="fr-FR"/>
        </w:rPr>
        <w:t xml:space="preserve">sons de geste. </w:t>
      </w:r>
      <w:r w:rsidRPr="003B3476">
        <w:rPr>
          <w:bCs/>
          <w:i/>
        </w:rPr>
        <w:t>Cf.</w:t>
      </w:r>
      <w:r w:rsidRPr="003B3476">
        <w:rPr>
          <w:bCs/>
        </w:rPr>
        <w:t xml:space="preserve"> </w:t>
      </w:r>
      <w:r w:rsidRPr="003B3476">
        <w:rPr>
          <w:bCs/>
          <w:i/>
        </w:rPr>
        <w:t>Les légendes épiques</w:t>
      </w:r>
      <w:r w:rsidRPr="003B3476">
        <w:rPr>
          <w:lang w:val="fr-FR" w:eastAsia="fr-FR" w:bidi="fr-FR"/>
        </w:rPr>
        <w:t>, t. IV, p. 289-335.</w:t>
      </w:r>
    </w:p>
  </w:footnote>
  <w:footnote w:id="618">
    <w:p w14:paraId="644218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t xml:space="preserve"> </w:t>
      </w:r>
      <w:r w:rsidRPr="000C0A54">
        <w:t xml:space="preserve">Aug. </w:t>
      </w:r>
      <w:r w:rsidRPr="000C0A54">
        <w:rPr>
          <w:rStyle w:val="Notedebasdepage265ptNonItaliquePetitesmajuscules"/>
          <w:b w:val="0"/>
          <w:i/>
          <w:iCs/>
          <w:sz w:val="24"/>
        </w:rPr>
        <w:t xml:space="preserve">Molinier, </w:t>
      </w:r>
      <w:r w:rsidRPr="000C0A54">
        <w:rPr>
          <w:i/>
          <w:lang w:val="fr-FR" w:eastAsia="fr-FR" w:bidi="fr-FR"/>
        </w:rPr>
        <w:t>Les sources</w:t>
      </w:r>
      <w:r w:rsidRPr="003B3476">
        <w:rPr>
          <w:i/>
          <w:lang w:val="fr-FR" w:eastAsia="fr-FR" w:bidi="fr-FR"/>
        </w:rPr>
        <w:t xml:space="preserve"> de l'histoire de France</w:t>
      </w:r>
      <w:r w:rsidRPr="003B3476">
        <w:rPr>
          <w:lang w:val="fr-FR" w:eastAsia="fr-FR" w:bidi="fr-FR"/>
        </w:rPr>
        <w:t>,</w:t>
      </w:r>
      <w:r w:rsidRPr="003B3476">
        <w:t xml:space="preserve"> t. II, p. 192, n° 1878.</w:t>
      </w:r>
    </w:p>
  </w:footnote>
  <w:footnote w:id="619">
    <w:p w14:paraId="56AD9D9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Quelques ouvrages, intéressant l’histoire rurale de l’Île-de-France, en général, seront indiqués plus bas, à propos de l’histoire rurale de l’époque moderne.</w:t>
      </w:r>
    </w:p>
  </w:footnote>
  <w:footnote w:id="620">
    <w:p w14:paraId="5D82D8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chartes de la commune de Meaux (1179-1222)</w:t>
      </w:r>
      <w:r w:rsidRPr="003B3476">
        <w:rPr>
          <w:bCs/>
          <w:i/>
        </w:rPr>
        <w:t>,</w:t>
      </w:r>
      <w:r w:rsidRPr="003B3476">
        <w:rPr>
          <w:bCs/>
        </w:rPr>
        <w:t xml:space="preserve"> dans </w:t>
      </w:r>
      <w:r w:rsidRPr="003B3476">
        <w:rPr>
          <w:i/>
          <w:lang w:val="fr-FR" w:eastAsia="fr-FR" w:bidi="fr-FR"/>
        </w:rPr>
        <w:t>Bullet. Soc. lettres. Brie,</w:t>
      </w:r>
      <w:r w:rsidRPr="003B3476">
        <w:rPr>
          <w:bCs/>
        </w:rPr>
        <w:t xml:space="preserve"> p. </w:t>
      </w:r>
      <w:r w:rsidRPr="003B3476">
        <w:rPr>
          <w:bCs/>
          <w:smallCaps/>
        </w:rPr>
        <w:t>iii</w:t>
      </w:r>
      <w:r w:rsidRPr="003B3476">
        <w:rPr>
          <w:bCs/>
        </w:rPr>
        <w:t>, fasc. 1, 1900.</w:t>
      </w:r>
    </w:p>
  </w:footnote>
  <w:footnote w:id="621">
    <w:p w14:paraId="7FBABCB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Du mouvement communal dans le comté de Champagne aux XII</w:t>
      </w:r>
      <w:r w:rsidRPr="003B3476">
        <w:rPr>
          <w:i/>
          <w:vertAlign w:val="superscript"/>
          <w:lang w:val="fr-FR" w:eastAsia="fr-FR" w:bidi="fr-FR"/>
        </w:rPr>
        <w:t>e</w:t>
      </w:r>
      <w:r w:rsidRPr="003B3476">
        <w:rPr>
          <w:i/>
          <w:lang w:val="fr-FR" w:eastAsia="fr-FR" w:bidi="fr-FR"/>
        </w:rPr>
        <w:t xml:space="preserve"> et XIII</w:t>
      </w:r>
      <w:r w:rsidRPr="003B3476">
        <w:rPr>
          <w:i/>
          <w:vertAlign w:val="superscript"/>
          <w:lang w:val="fr-FR" w:eastAsia="fr-FR" w:bidi="fr-FR"/>
        </w:rPr>
        <w:t>e</w:t>
      </w:r>
      <w:r w:rsidRPr="003B3476">
        <w:rPr>
          <w:i/>
          <w:lang w:val="fr-FR" w:eastAsia="fr-FR" w:bidi="fr-FR"/>
        </w:rPr>
        <w:t xml:space="preserve"> si</w:t>
      </w:r>
      <w:r w:rsidRPr="003B3476">
        <w:rPr>
          <w:i/>
          <w:lang w:val="fr-FR" w:eastAsia="fr-FR" w:bidi="fr-FR"/>
        </w:rPr>
        <w:t>è</w:t>
      </w:r>
      <w:r w:rsidRPr="003B3476">
        <w:rPr>
          <w:i/>
          <w:lang w:val="fr-FR" w:eastAsia="fr-FR" w:bidi="fr-FR"/>
        </w:rPr>
        <w:t>cles</w:t>
      </w:r>
      <w:r w:rsidRPr="003B3476">
        <w:rPr>
          <w:bCs/>
        </w:rPr>
        <w:t xml:space="preserve"> (thèse Fac. Droit Paris), in-8°, Paris, 1904, 180 p.</w:t>
      </w:r>
    </w:p>
  </w:footnote>
  <w:footnote w:id="622">
    <w:p w14:paraId="39E69F5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La commune de Soissons et le groupe communal soissonnais</w:t>
      </w:r>
      <w:r w:rsidRPr="003B3476">
        <w:rPr>
          <w:lang w:val="fr-FR" w:eastAsia="fr-FR" w:bidi="fr-FR"/>
        </w:rPr>
        <w:t xml:space="preserve"> (Bibl. Éc. Hautes Études, fac. 167), in-8°, Paris, 1908. Troisième partie, chap. </w:t>
      </w:r>
      <w:r w:rsidRPr="003B3476">
        <w:rPr>
          <w:smallCaps/>
          <w:lang w:val="fr-FR" w:eastAsia="fr-FR" w:bidi="fr-FR"/>
        </w:rPr>
        <w:t>v </w:t>
      </w:r>
      <w:r w:rsidRPr="003B3476">
        <w:rPr>
          <w:lang w:val="fr-FR" w:eastAsia="fr-FR" w:bidi="fr-FR"/>
        </w:rPr>
        <w:t xml:space="preserve">: </w:t>
      </w:r>
      <w:r w:rsidRPr="003B3476">
        <w:rPr>
          <w:bCs/>
          <w:i/>
        </w:rPr>
        <w:t>Meaux et les communes de Champagne</w:t>
      </w:r>
      <w:r w:rsidRPr="003B3476">
        <w:rPr>
          <w:bCs/>
        </w:rPr>
        <w:t xml:space="preserve">. </w:t>
      </w:r>
      <w:r w:rsidRPr="003B3476">
        <w:rPr>
          <w:lang w:val="fr-FR" w:eastAsia="fr-FR" w:bidi="fr-FR"/>
        </w:rPr>
        <w:t>Je compte revenir ailleurs sur l’histoire du mo</w:t>
      </w:r>
      <w:r w:rsidRPr="003B3476">
        <w:rPr>
          <w:lang w:val="fr-FR" w:eastAsia="fr-FR" w:bidi="fr-FR"/>
        </w:rPr>
        <w:t>u</w:t>
      </w:r>
      <w:r w:rsidRPr="003B3476">
        <w:rPr>
          <w:lang w:val="fr-FR" w:eastAsia="fr-FR" w:bidi="fr-FR"/>
        </w:rPr>
        <w:t>vement communal dans la région parisienne.</w:t>
      </w:r>
    </w:p>
  </w:footnote>
  <w:footnote w:id="623">
    <w:p w14:paraId="5F7C4F0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rPr>
        <w:t xml:space="preserve">André </w:t>
      </w:r>
      <w:r w:rsidRPr="000C0A54">
        <w:rPr>
          <w:rStyle w:val="Notedebasdepage265ptNonItaliquePetitesmajuscules"/>
          <w:b w:val="0"/>
          <w:iCs/>
          <w:sz w:val="24"/>
        </w:rPr>
        <w:t>Blondel</w:t>
      </w:r>
      <w:r w:rsidRPr="003B3476">
        <w:rPr>
          <w:rStyle w:val="Notedebasdepage265ptNonItaliquePetitesmajuscules"/>
          <w:b w:val="0"/>
          <w:i/>
          <w:iCs/>
          <w:sz w:val="24"/>
        </w:rPr>
        <w:t xml:space="preserve">, </w:t>
      </w:r>
      <w:r w:rsidRPr="003B3476">
        <w:rPr>
          <w:i/>
          <w:lang w:val="fr-FR" w:eastAsia="fr-FR" w:bidi="fr-FR"/>
        </w:rPr>
        <w:t>Essai sur les institutions municipales de Chartres</w:t>
      </w:r>
      <w:r w:rsidRPr="003B3476">
        <w:rPr>
          <w:bCs/>
          <w:i/>
        </w:rPr>
        <w:t xml:space="preserve">, </w:t>
      </w:r>
      <w:r w:rsidRPr="003B3476">
        <w:rPr>
          <w:i/>
          <w:lang w:val="fr-FR" w:eastAsia="fr-FR" w:bidi="fr-FR"/>
        </w:rPr>
        <w:t>spécial</w:t>
      </w:r>
      <w:r w:rsidRPr="003B3476">
        <w:rPr>
          <w:i/>
          <w:lang w:val="fr-FR" w:eastAsia="fr-FR" w:bidi="fr-FR"/>
        </w:rPr>
        <w:t>e</w:t>
      </w:r>
      <w:r w:rsidRPr="003B3476">
        <w:rPr>
          <w:i/>
          <w:lang w:val="fr-FR" w:eastAsia="fr-FR" w:bidi="fr-FR"/>
        </w:rPr>
        <w:t>ment du XIII</w:t>
      </w:r>
      <w:r w:rsidRPr="003B3476">
        <w:rPr>
          <w:i/>
          <w:vertAlign w:val="superscript"/>
          <w:lang w:val="fr-FR" w:eastAsia="fr-FR" w:bidi="fr-FR"/>
        </w:rPr>
        <w:t>e</w:t>
      </w:r>
      <w:r w:rsidRPr="003B3476">
        <w:rPr>
          <w:i/>
          <w:lang w:val="fr-FR" w:eastAsia="fr-FR" w:bidi="fr-FR"/>
        </w:rPr>
        <w:t xml:space="preserve"> au XIV</w:t>
      </w:r>
      <w:r w:rsidRPr="003B3476">
        <w:rPr>
          <w:i/>
          <w:vertAlign w:val="superscript"/>
          <w:lang w:val="fr-FR" w:eastAsia="fr-FR" w:bidi="fr-FR"/>
        </w:rPr>
        <w:t>e</w:t>
      </w:r>
      <w:r w:rsidRPr="003B3476">
        <w:rPr>
          <w:i/>
          <w:lang w:val="fr-FR" w:eastAsia="fr-FR" w:bidi="fr-FR"/>
        </w:rPr>
        <w:t xml:space="preserve"> siècle</w:t>
      </w:r>
      <w:r w:rsidRPr="003B3476">
        <w:rPr>
          <w:bCs/>
        </w:rPr>
        <w:t xml:space="preserve"> (thèse Fac. Droit Paris), in-8°, Paris, 1903, 156 p.</w:t>
      </w:r>
    </w:p>
  </w:footnote>
  <w:footnote w:id="624">
    <w:p w14:paraId="3EF0D2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Vois </w:t>
      </w:r>
      <w:r w:rsidRPr="003B3476">
        <w:rPr>
          <w:rStyle w:val="Notedebasdepage265ptNonItalique"/>
          <w:b w:val="0"/>
          <w:i/>
          <w:iCs/>
          <w:sz w:val="24"/>
        </w:rPr>
        <w:t xml:space="preserve">la </w:t>
      </w:r>
      <w:r w:rsidRPr="003B3476">
        <w:rPr>
          <w:bCs/>
        </w:rPr>
        <w:t>thèse d’École des Chartes de M</w:t>
      </w:r>
      <w:r w:rsidRPr="003B3476">
        <w:rPr>
          <w:bCs/>
          <w:vertAlign w:val="superscript"/>
        </w:rPr>
        <w:t>lle</w:t>
      </w:r>
      <w:r w:rsidRPr="003B3476">
        <w:rPr>
          <w:bCs/>
        </w:rPr>
        <w:t xml:space="preserve"> G. </w:t>
      </w:r>
      <w:r w:rsidRPr="000C0A54">
        <w:rPr>
          <w:rStyle w:val="Notedebasdepage265ptNonItaliquePetitesmajuscules"/>
          <w:b w:val="0"/>
          <w:iCs/>
          <w:sz w:val="24"/>
        </w:rPr>
        <w:t>Acloque</w:t>
      </w:r>
      <w:r w:rsidRPr="003B3476">
        <w:rPr>
          <w:rStyle w:val="Notedebasdepage265ptNonItaliquePetitesmajuscules"/>
          <w:b w:val="0"/>
          <w:i/>
          <w:iCs/>
          <w:sz w:val="24"/>
        </w:rPr>
        <w:t xml:space="preserve">, </w:t>
      </w:r>
      <w:r w:rsidRPr="003B3476">
        <w:rPr>
          <w:i/>
          <w:lang w:val="fr-FR" w:eastAsia="fr-FR" w:bidi="fr-FR"/>
        </w:rPr>
        <w:t>Études sur le comme</w:t>
      </w:r>
      <w:r w:rsidRPr="003B3476">
        <w:rPr>
          <w:i/>
          <w:lang w:val="fr-FR" w:eastAsia="fr-FR" w:bidi="fr-FR"/>
        </w:rPr>
        <w:t>r</w:t>
      </w:r>
      <w:r w:rsidRPr="003B3476">
        <w:rPr>
          <w:i/>
          <w:lang w:val="fr-FR" w:eastAsia="fr-FR" w:bidi="fr-FR"/>
        </w:rPr>
        <w:t>ce et l’industrie à Chartres depuis le XI</w:t>
      </w:r>
      <w:r w:rsidRPr="003B3476">
        <w:rPr>
          <w:i/>
          <w:vertAlign w:val="superscript"/>
          <w:lang w:val="fr-FR" w:eastAsia="fr-FR" w:bidi="fr-FR"/>
        </w:rPr>
        <w:t>e</w:t>
      </w:r>
      <w:r w:rsidRPr="003B3476">
        <w:rPr>
          <w:i/>
          <w:lang w:val="fr-FR" w:eastAsia="fr-FR" w:bidi="fr-FR"/>
        </w:rPr>
        <w:t xml:space="preserve"> siècle jusqu'à la fin du ministère de Co</w:t>
      </w:r>
      <w:r w:rsidRPr="003B3476">
        <w:rPr>
          <w:i/>
          <w:lang w:val="fr-FR" w:eastAsia="fr-FR" w:bidi="fr-FR"/>
        </w:rPr>
        <w:t>l</w:t>
      </w:r>
      <w:r w:rsidRPr="003B3476">
        <w:rPr>
          <w:i/>
          <w:lang w:val="fr-FR" w:eastAsia="fr-FR" w:bidi="fr-FR"/>
        </w:rPr>
        <w:t>bert</w:t>
      </w:r>
      <w:r w:rsidRPr="003B3476">
        <w:rPr>
          <w:lang w:val="fr-FR" w:eastAsia="fr-FR" w:bidi="fr-FR"/>
        </w:rPr>
        <w:t xml:space="preserve">, </w:t>
      </w:r>
      <w:r w:rsidRPr="003B3476">
        <w:rPr>
          <w:i/>
          <w:lang w:val="fr-FR" w:eastAsia="fr-FR" w:bidi="fr-FR"/>
        </w:rPr>
        <w:t>Cf.</w:t>
      </w:r>
      <w:r w:rsidRPr="003B3476">
        <w:rPr>
          <w:lang w:val="fr-FR" w:eastAsia="fr-FR" w:bidi="fr-FR"/>
        </w:rPr>
        <w:t xml:space="preserve"> Positions des thèses soutenues par les élèves de la promotion de 1910,</w:t>
      </w:r>
      <w:r w:rsidRPr="003B3476">
        <w:rPr>
          <w:bCs/>
        </w:rPr>
        <w:t xml:space="preserve"> p. 1-12.</w:t>
      </w:r>
    </w:p>
  </w:footnote>
  <w:footnote w:id="625">
    <w:p w14:paraId="37B9146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L’histoire juridique, au Moyen Âge, est, par excellence, une histoire locale. J’aurais donné ici quelques indications bibliographiques à ce sujet, et me</w:t>
      </w:r>
      <w:r w:rsidRPr="003B3476">
        <w:rPr>
          <w:lang w:val="fr-FR" w:eastAsia="fr-FR" w:bidi="fr-FR"/>
        </w:rPr>
        <w:t>n</w:t>
      </w:r>
      <w:r w:rsidRPr="003B3476">
        <w:rPr>
          <w:lang w:val="fr-FR" w:eastAsia="fr-FR" w:bidi="fr-FR"/>
        </w:rPr>
        <w:t xml:space="preserve">tionné les principaux problèmes si l’apparition d’une </w:t>
      </w:r>
      <w:r w:rsidRPr="003B3476">
        <w:rPr>
          <w:bCs/>
          <w:i/>
        </w:rPr>
        <w:t>Histoire de la Coutume de Paris</w:t>
      </w:r>
      <w:r w:rsidRPr="003B3476">
        <w:rPr>
          <w:lang w:val="fr-FR" w:eastAsia="fr-FR" w:bidi="fr-FR"/>
        </w:rPr>
        <w:t xml:space="preserve"> par M. Olivier </w:t>
      </w:r>
      <w:r w:rsidRPr="003B3476">
        <w:rPr>
          <w:rStyle w:val="Notedebasdepage65ptPetitesmajuscules"/>
          <w:b w:val="0"/>
          <w:sz w:val="24"/>
        </w:rPr>
        <w:t xml:space="preserve">Martin </w:t>
      </w:r>
      <w:r w:rsidRPr="003B3476">
        <w:rPr>
          <w:lang w:val="fr-FR" w:eastAsia="fr-FR" w:bidi="fr-FR"/>
        </w:rPr>
        <w:t>ne s’annonçait comme devant renouveler la que</w:t>
      </w:r>
      <w:r w:rsidRPr="003B3476">
        <w:rPr>
          <w:lang w:val="fr-FR" w:eastAsia="fr-FR" w:bidi="fr-FR"/>
        </w:rPr>
        <w:t>s</w:t>
      </w:r>
      <w:r w:rsidRPr="003B3476">
        <w:rPr>
          <w:lang w:val="fr-FR" w:eastAsia="fr-FR" w:bidi="fr-FR"/>
        </w:rPr>
        <w:t xml:space="preserve">tion. L’ouvrage de M. </w:t>
      </w:r>
      <w:r w:rsidRPr="003B3476">
        <w:rPr>
          <w:rStyle w:val="Notedebasdepage65ptPetitesmajuscules"/>
          <w:b w:val="0"/>
          <w:sz w:val="24"/>
        </w:rPr>
        <w:t xml:space="preserve">Bûche, </w:t>
      </w:r>
      <w:r w:rsidRPr="003B3476">
        <w:rPr>
          <w:bCs/>
          <w:i/>
        </w:rPr>
        <w:t>Essai sur l'ancienne coutume de Paris aux XIII</w:t>
      </w:r>
      <w:r w:rsidRPr="003B3476">
        <w:rPr>
          <w:bCs/>
          <w:i/>
          <w:vertAlign w:val="superscript"/>
        </w:rPr>
        <w:t>e</w:t>
      </w:r>
      <w:r w:rsidRPr="003B3476">
        <w:rPr>
          <w:bCs/>
          <w:i/>
        </w:rPr>
        <w:t xml:space="preserve"> et XIV</w:t>
      </w:r>
      <w:r w:rsidRPr="003B3476">
        <w:rPr>
          <w:bCs/>
          <w:i/>
          <w:vertAlign w:val="superscript"/>
        </w:rPr>
        <w:t>e</w:t>
      </w:r>
      <w:r w:rsidRPr="003B3476">
        <w:rPr>
          <w:bCs/>
          <w:i/>
        </w:rPr>
        <w:t xml:space="preserve"> siècles</w:t>
      </w:r>
      <w:r w:rsidRPr="003B3476">
        <w:rPr>
          <w:bCs/>
        </w:rPr>
        <w:t>,</w:t>
      </w:r>
      <w:r w:rsidRPr="003B3476">
        <w:rPr>
          <w:lang w:val="fr-FR" w:eastAsia="fr-FR" w:bidi="fr-FR"/>
        </w:rPr>
        <w:t xml:space="preserve"> in-8°, Paris, 1886,136 p., est tout à fait insuffisant. La grande di</w:t>
      </w:r>
      <w:r w:rsidRPr="003B3476">
        <w:rPr>
          <w:lang w:val="fr-FR" w:eastAsia="fr-FR" w:bidi="fr-FR"/>
        </w:rPr>
        <w:t>f</w:t>
      </w:r>
      <w:r w:rsidRPr="003B3476">
        <w:rPr>
          <w:lang w:val="fr-FR" w:eastAsia="fr-FR" w:bidi="fr-FR"/>
        </w:rPr>
        <w:t>ficulté de l’étude de l’histoire juridique de l’Île-de-France (coutume de Paris et coutumes voisines) au Moyen Âge vient de l’état des sources. Ces sources extrêmement dispersées, sont : 1° les pièces des procès, jugements, actes de procédure et les contrats ; tous ces textes se trouvent épars dans les fonds d’archives ; une faible partie des archives du Parlement de Paris est p</w:t>
      </w:r>
      <w:r w:rsidRPr="003B3476">
        <w:rPr>
          <w:lang w:val="fr-FR" w:eastAsia="fr-FR" w:bidi="fr-FR"/>
        </w:rPr>
        <w:t>u</w:t>
      </w:r>
      <w:r w:rsidRPr="003B3476">
        <w:rPr>
          <w:lang w:val="fr-FR" w:eastAsia="fr-FR" w:bidi="fr-FR"/>
        </w:rPr>
        <w:t>bliée ou inventoriée ; les registres de justice d’un certain nombre de comm</w:t>
      </w:r>
      <w:r w:rsidRPr="003B3476">
        <w:rPr>
          <w:lang w:val="fr-FR" w:eastAsia="fr-FR" w:bidi="fr-FR"/>
        </w:rPr>
        <w:t>u</w:t>
      </w:r>
      <w:r w:rsidRPr="003B3476">
        <w:rPr>
          <w:lang w:val="fr-FR" w:eastAsia="fr-FR" w:bidi="fr-FR"/>
        </w:rPr>
        <w:t>nautés r</w:t>
      </w:r>
      <w:r w:rsidRPr="003B3476">
        <w:rPr>
          <w:lang w:val="fr-FR" w:eastAsia="fr-FR" w:bidi="fr-FR"/>
        </w:rPr>
        <w:t>e</w:t>
      </w:r>
      <w:r w:rsidRPr="003B3476">
        <w:rPr>
          <w:lang w:val="fr-FR" w:eastAsia="fr-FR" w:bidi="fr-FR"/>
        </w:rPr>
        <w:t>ligieuses parisiennes sont publiés (</w:t>
      </w:r>
      <w:r w:rsidRPr="003B3476">
        <w:rPr>
          <w:i/>
          <w:lang w:val="fr-FR" w:eastAsia="fr-FR" w:bidi="fr-FR"/>
        </w:rPr>
        <w:t>cf.</w:t>
      </w:r>
      <w:r w:rsidRPr="003B3476">
        <w:rPr>
          <w:lang w:val="fr-FR" w:eastAsia="fr-FR" w:bidi="fr-FR"/>
        </w:rPr>
        <w:t> </w:t>
      </w:r>
      <w:r w:rsidRPr="003B3476">
        <w:rPr>
          <w:bCs/>
          <w:i/>
        </w:rPr>
        <w:t>infra.</w:t>
      </w:r>
      <w:r w:rsidRPr="003B3476">
        <w:rPr>
          <w:bCs/>
        </w:rPr>
        <w:t>,</w:t>
      </w:r>
      <w:r w:rsidRPr="003B3476">
        <w:rPr>
          <w:lang w:val="fr-FR" w:eastAsia="fr-FR" w:bidi="fr-FR"/>
        </w:rPr>
        <w:t xml:space="preserve"> n. 3), 2° les coutumiers, auxquels il faut joindre les recueils d’arrêts notables ; ces ouvrages, les uns imprimés, les autres manuscrits, posent de très délicats problèmes : filiation des ouvr</w:t>
      </w:r>
      <w:r w:rsidRPr="003B3476">
        <w:rPr>
          <w:lang w:val="fr-FR" w:eastAsia="fr-FR" w:bidi="fr-FR"/>
        </w:rPr>
        <w:t>a</w:t>
      </w:r>
      <w:r w:rsidRPr="003B3476">
        <w:rPr>
          <w:lang w:val="fr-FR" w:eastAsia="fr-FR" w:bidi="fr-FR"/>
        </w:rPr>
        <w:t>ges, influence des uns sur les autres, influence sur tous (mais à des degrés divers) du droit canon et du droit romain. Outre les indications des m</w:t>
      </w:r>
      <w:r w:rsidRPr="003B3476">
        <w:rPr>
          <w:lang w:val="fr-FR" w:eastAsia="fr-FR" w:bidi="fr-FR"/>
        </w:rPr>
        <w:t>a</w:t>
      </w:r>
      <w:r w:rsidRPr="003B3476">
        <w:rPr>
          <w:lang w:val="fr-FR" w:eastAsia="fr-FR" w:bidi="fr-FR"/>
        </w:rPr>
        <w:t xml:space="preserve">nuels, on notera, sur ces textes les articles que M. André </w:t>
      </w:r>
      <w:r w:rsidRPr="003B3476">
        <w:rPr>
          <w:rStyle w:val="Notedebasdepage65ptPetitesmajuscules"/>
          <w:b w:val="0"/>
          <w:sz w:val="24"/>
        </w:rPr>
        <w:t xml:space="preserve">Giffard </w:t>
      </w:r>
      <w:r w:rsidRPr="003B3476">
        <w:rPr>
          <w:lang w:val="fr-FR" w:eastAsia="fr-FR" w:bidi="fr-FR"/>
        </w:rPr>
        <w:t xml:space="preserve">a publiés depuis plusieurs années dans la </w:t>
      </w:r>
      <w:r w:rsidRPr="003B3476">
        <w:rPr>
          <w:bCs/>
          <w:i/>
        </w:rPr>
        <w:t>Nouvelle Revue Historique du Droit</w:t>
      </w:r>
      <w:r w:rsidRPr="003B3476">
        <w:rPr>
          <w:lang w:val="fr-FR" w:eastAsia="fr-FR" w:bidi="fr-FR"/>
        </w:rPr>
        <w:t xml:space="preserve">, sous le titre de : </w:t>
      </w:r>
      <w:r w:rsidRPr="003B3476">
        <w:rPr>
          <w:bCs/>
          <w:i/>
        </w:rPr>
        <w:t>Études sur les sources du droit coutumier </w:t>
      </w:r>
      <w:r w:rsidRPr="003B3476">
        <w:rPr>
          <w:bCs/>
        </w:rPr>
        <w:t>;</w:t>
      </w:r>
      <w:r w:rsidRPr="003B3476">
        <w:rPr>
          <w:lang w:val="fr-FR" w:eastAsia="fr-FR" w:bidi="fr-FR"/>
        </w:rPr>
        <w:t xml:space="preserve"> 3° ordonnances royales, ou d’une façon générale, émanées des pouvoirs publics ; on remarquera que le texte le plus ancien où la coutume féodale de la </w:t>
      </w:r>
      <w:r w:rsidRPr="003B3476">
        <w:rPr>
          <w:bCs/>
          <w:i/>
        </w:rPr>
        <w:t>Francia</w:t>
      </w:r>
      <w:r w:rsidRPr="003B3476">
        <w:rPr>
          <w:lang w:val="fr-FR" w:eastAsia="fr-FR" w:bidi="fr-FR"/>
        </w:rPr>
        <w:t xml:space="preserve"> soit exposée, est un texte langu</w:t>
      </w:r>
      <w:r w:rsidRPr="003B3476">
        <w:rPr>
          <w:lang w:val="fr-FR" w:eastAsia="fr-FR" w:bidi="fr-FR"/>
        </w:rPr>
        <w:t>e</w:t>
      </w:r>
      <w:r w:rsidRPr="003B3476">
        <w:rPr>
          <w:lang w:val="fr-FR" w:eastAsia="fr-FR" w:bidi="fr-FR"/>
        </w:rPr>
        <w:t>docien : ordonnance promulguée le 1</w:t>
      </w:r>
      <w:r w:rsidRPr="003B3476">
        <w:rPr>
          <w:vertAlign w:val="superscript"/>
          <w:lang w:val="fr-FR" w:eastAsia="fr-FR" w:bidi="fr-FR"/>
        </w:rPr>
        <w:t>er</w:t>
      </w:r>
      <w:r w:rsidRPr="003B3476">
        <w:rPr>
          <w:lang w:val="fr-FR" w:eastAsia="fr-FR" w:bidi="fr-FR"/>
        </w:rPr>
        <w:t xml:space="preserve"> déc. 1212 par Simon de Montfort, vicomte de Béziers et de Carcassonne, sire d’Albi et du Razès, r</w:t>
      </w:r>
      <w:r w:rsidRPr="003B3476">
        <w:rPr>
          <w:lang w:val="fr-FR" w:eastAsia="fr-FR" w:bidi="fr-FR"/>
        </w:rPr>
        <w:t>é</w:t>
      </w:r>
      <w:r w:rsidRPr="003B3476">
        <w:rPr>
          <w:lang w:val="fr-FR" w:eastAsia="fr-FR" w:bidi="fr-FR"/>
        </w:rPr>
        <w:t>glant les co</w:t>
      </w:r>
      <w:r w:rsidRPr="003B3476">
        <w:rPr>
          <w:lang w:val="fr-FR" w:eastAsia="fr-FR" w:bidi="fr-FR"/>
        </w:rPr>
        <w:t>u</w:t>
      </w:r>
      <w:r w:rsidRPr="003B3476">
        <w:rPr>
          <w:lang w:val="fr-FR" w:eastAsia="fr-FR" w:bidi="fr-FR"/>
        </w:rPr>
        <w:t xml:space="preserve">tumes de sa terre méridionale, sur beaucoup de points à l’exemple de celles de la </w:t>
      </w:r>
      <w:r w:rsidRPr="003B3476">
        <w:rPr>
          <w:bCs/>
          <w:i/>
        </w:rPr>
        <w:t>Francia circa</w:t>
      </w:r>
      <w:r w:rsidRPr="003B3476">
        <w:rPr>
          <w:bCs/>
        </w:rPr>
        <w:t xml:space="preserve"> </w:t>
      </w:r>
      <w:r w:rsidRPr="003B3476">
        <w:rPr>
          <w:bCs/>
          <w:i/>
        </w:rPr>
        <w:t>Parisius : Histoire du Languedoc,</w:t>
      </w:r>
      <w:r w:rsidRPr="003B3476">
        <w:rPr>
          <w:lang w:val="fr-FR" w:eastAsia="fr-FR" w:bidi="fr-FR"/>
        </w:rPr>
        <w:t xml:space="preserve"> par dom Cla</w:t>
      </w:r>
      <w:r w:rsidRPr="003B3476">
        <w:rPr>
          <w:lang w:val="fr-FR" w:eastAsia="fr-FR" w:bidi="fr-FR"/>
        </w:rPr>
        <w:t>u</w:t>
      </w:r>
      <w:r w:rsidRPr="003B3476">
        <w:rPr>
          <w:lang w:val="fr-FR" w:eastAsia="fr-FR" w:bidi="fr-FR"/>
        </w:rPr>
        <w:t xml:space="preserve">de </w:t>
      </w:r>
      <w:r w:rsidRPr="003B3476">
        <w:rPr>
          <w:rStyle w:val="Notedebasdepage65ptPetitesmajuscules"/>
          <w:b w:val="0"/>
          <w:sz w:val="24"/>
        </w:rPr>
        <w:t xml:space="preserve">Devic </w:t>
      </w:r>
      <w:r w:rsidRPr="003B3476">
        <w:rPr>
          <w:lang w:val="fr-FR" w:eastAsia="fr-FR" w:bidi="fr-FR"/>
        </w:rPr>
        <w:t xml:space="preserve">et dom J. </w:t>
      </w:r>
      <w:r w:rsidRPr="003B3476">
        <w:rPr>
          <w:rStyle w:val="Notedebasdepage65ptPetitesmajuscules"/>
          <w:b w:val="0"/>
          <w:sz w:val="24"/>
        </w:rPr>
        <w:t xml:space="preserve">Vaissete, </w:t>
      </w:r>
      <w:r w:rsidRPr="003B3476">
        <w:rPr>
          <w:lang w:val="fr-FR" w:eastAsia="fr-FR" w:bidi="fr-FR"/>
        </w:rPr>
        <w:t>nouv. éd., t. VIII, in-4°, Toulouse, 1879, col. 625-635.</w:t>
      </w:r>
    </w:p>
  </w:footnote>
  <w:footnote w:id="626">
    <w:p w14:paraId="524F74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 </w:t>
      </w:r>
      <w:r w:rsidRPr="003B3476">
        <w:rPr>
          <w:rStyle w:val="Notedebasdepage265ptNonItaliquePetitesmajuscules"/>
          <w:b w:val="0"/>
          <w:iCs/>
          <w:sz w:val="24"/>
        </w:rPr>
        <w:t>Tanon</w:t>
      </w:r>
      <w:r w:rsidRPr="003B3476">
        <w:rPr>
          <w:rStyle w:val="Notedebasdepage265ptNonItaliquePetitesmajuscules"/>
          <w:b w:val="0"/>
          <w:i/>
          <w:iCs/>
          <w:sz w:val="24"/>
        </w:rPr>
        <w:t xml:space="preserve">, </w:t>
      </w:r>
      <w:r w:rsidRPr="003B3476">
        <w:rPr>
          <w:i/>
          <w:lang w:val="fr-FR" w:eastAsia="fr-FR" w:bidi="fr-FR"/>
        </w:rPr>
        <w:t>Histoire des justices des anciennes églises et communautés de P</w:t>
      </w:r>
      <w:r w:rsidRPr="003B3476">
        <w:rPr>
          <w:i/>
          <w:lang w:val="fr-FR" w:eastAsia="fr-FR" w:bidi="fr-FR"/>
        </w:rPr>
        <w:t>a</w:t>
      </w:r>
      <w:r w:rsidRPr="003B3476">
        <w:rPr>
          <w:i/>
          <w:lang w:val="fr-FR" w:eastAsia="fr-FR" w:bidi="fr-FR"/>
        </w:rPr>
        <w:t>ris,</w:t>
      </w:r>
      <w:r w:rsidRPr="003B3476">
        <w:rPr>
          <w:lang w:val="fr-FR" w:eastAsia="fr-FR" w:bidi="fr-FR"/>
        </w:rPr>
        <w:t xml:space="preserve"> </w:t>
      </w:r>
      <w:r w:rsidRPr="003B3476">
        <w:rPr>
          <w:i/>
          <w:lang w:val="fr-FR" w:eastAsia="fr-FR" w:bidi="fr-FR"/>
        </w:rPr>
        <w:t>suivie des registres inédits de Saint-Maur-des-Fossés, Sainte-Geneviève, Saint-Germain-des-Près et du registre de Saint-Martin-des-Champs</w:t>
      </w:r>
      <w:r w:rsidRPr="003B3476">
        <w:rPr>
          <w:bCs/>
        </w:rPr>
        <w:t xml:space="preserve">, in-8°, Paris, 1883, 572 p. </w:t>
      </w:r>
      <w:r w:rsidRPr="003B3476">
        <w:rPr>
          <w:i/>
          <w:lang w:val="fr-FR" w:eastAsia="fr-FR" w:bidi="fr-FR"/>
        </w:rPr>
        <w:t>Cf.</w:t>
      </w:r>
      <w:r w:rsidRPr="003B3476">
        <w:rPr>
          <w:bCs/>
        </w:rPr>
        <w:t xml:space="preserve"> </w:t>
      </w:r>
      <w:r w:rsidRPr="003B3476">
        <w:rPr>
          <w:bCs/>
          <w:i/>
        </w:rPr>
        <w:t xml:space="preserve">le </w:t>
      </w:r>
      <w:r w:rsidRPr="003B3476">
        <w:rPr>
          <w:i/>
          <w:lang w:val="fr-FR" w:eastAsia="fr-FR" w:bidi="fr-FR"/>
        </w:rPr>
        <w:t>registre civil de la seigneurie de Villeneuve-Saint-Georges</w:t>
      </w:r>
      <w:r w:rsidRPr="003B3476">
        <w:rPr>
          <w:lang w:val="fr-FR" w:eastAsia="fr-FR" w:bidi="fr-FR"/>
        </w:rPr>
        <w:t>,</w:t>
      </w:r>
      <w:r w:rsidRPr="003B3476">
        <w:rPr>
          <w:bCs/>
        </w:rPr>
        <w:t xml:space="preserve"> publié par le même auteur dans son ouvrage intitulé </w:t>
      </w:r>
      <w:r w:rsidRPr="003B3476">
        <w:rPr>
          <w:i/>
          <w:lang w:val="fr-FR" w:eastAsia="fr-FR" w:bidi="fr-FR"/>
        </w:rPr>
        <w:t>L'ordre du pr</w:t>
      </w:r>
      <w:r w:rsidRPr="003B3476">
        <w:rPr>
          <w:i/>
          <w:lang w:val="fr-FR" w:eastAsia="fr-FR" w:bidi="fr-FR"/>
        </w:rPr>
        <w:t>o</w:t>
      </w:r>
      <w:r w:rsidRPr="003B3476">
        <w:rPr>
          <w:i/>
          <w:lang w:val="fr-FR" w:eastAsia="fr-FR" w:bidi="fr-FR"/>
        </w:rPr>
        <w:t>cès civil au XIV</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w:t>
      </w:r>
      <w:r w:rsidRPr="003B3476">
        <w:rPr>
          <w:bCs/>
        </w:rPr>
        <w:t xml:space="preserve"> in-8°, Paris, 1886, p. 85-165.</w:t>
      </w:r>
    </w:p>
  </w:footnote>
  <w:footnote w:id="627">
    <w:p w14:paraId="4D23F40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Cs/>
          <w:sz w:val="24"/>
        </w:rPr>
        <w:t>Rethoré</w:t>
      </w:r>
      <w:r w:rsidRPr="003B3476">
        <w:rPr>
          <w:rStyle w:val="Notedebasdepage265ptNonItaliquePetitesmajuscules"/>
          <w:b w:val="0"/>
          <w:i/>
          <w:iCs/>
          <w:sz w:val="24"/>
        </w:rPr>
        <w:t xml:space="preserve">, </w:t>
      </w:r>
      <w:r w:rsidRPr="003B3476">
        <w:rPr>
          <w:i/>
          <w:lang w:val="fr-FR" w:eastAsia="fr-FR" w:bidi="fr-FR"/>
        </w:rPr>
        <w:t>Les cryptes de Jouarre</w:t>
      </w:r>
      <w:r w:rsidRPr="003B3476">
        <w:t>, in-8°, 1885.</w:t>
      </w:r>
    </w:p>
  </w:footnote>
  <w:footnote w:id="628">
    <w:p w14:paraId="7754D00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les indications bibliographiques données ci-dessous, p. 769.</w:t>
      </w:r>
    </w:p>
  </w:footnote>
  <w:footnote w:id="629">
    <w:p w14:paraId="0BBDC4E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Paul </w:t>
      </w:r>
      <w:r w:rsidRPr="003B3476">
        <w:rPr>
          <w:rStyle w:val="Notedebasdepage265ptNonItaliquePetitesmajuscules"/>
          <w:b w:val="0"/>
          <w:iCs/>
          <w:sz w:val="24"/>
        </w:rPr>
        <w:t>Durand</w:t>
      </w:r>
      <w:r w:rsidRPr="003B3476">
        <w:rPr>
          <w:rStyle w:val="Notedebasdepage265ptNonItaliquePetitesmajuscules"/>
          <w:b w:val="0"/>
          <w:i/>
          <w:iCs/>
          <w:sz w:val="24"/>
        </w:rPr>
        <w:t xml:space="preserve">, </w:t>
      </w:r>
      <w:r w:rsidRPr="003B3476">
        <w:rPr>
          <w:i/>
          <w:lang w:val="fr-FR" w:eastAsia="fr-FR" w:bidi="fr-FR"/>
        </w:rPr>
        <w:t>Rapport sur l’église et la crypte de Saint-Martin-au-Val</w:t>
      </w:r>
      <w:r w:rsidRPr="003B3476">
        <w:rPr>
          <w:lang w:val="fr-FR" w:eastAsia="fr-FR" w:bidi="fr-FR"/>
        </w:rPr>
        <w:t>,</w:t>
      </w:r>
      <w:r w:rsidRPr="003B3476">
        <w:rPr>
          <w:bCs/>
        </w:rPr>
        <w:t xml:space="preserve"> dans </w:t>
      </w:r>
      <w:r w:rsidRPr="003B3476">
        <w:rPr>
          <w:i/>
          <w:lang w:val="fr-FR" w:eastAsia="fr-FR" w:bidi="fr-FR"/>
        </w:rPr>
        <w:t>Mém. Soc. archéol. Eure-et-Loir</w:t>
      </w:r>
      <w:r w:rsidRPr="003B3476">
        <w:rPr>
          <w:bCs/>
        </w:rPr>
        <w:t xml:space="preserve">, </w:t>
      </w:r>
      <w:r w:rsidRPr="003B3476">
        <w:rPr>
          <w:rStyle w:val="Notedebasdepage265ptNonItalique"/>
          <w:b w:val="0"/>
          <w:i/>
          <w:iCs/>
          <w:sz w:val="24"/>
        </w:rPr>
        <w:t>t. I, 1858, p. 305-318.</w:t>
      </w:r>
    </w:p>
  </w:footnote>
  <w:footnote w:id="630">
    <w:p w14:paraId="0A37D7D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les origines de l’abbaye de Saint-Denis, trois théories se combattent : 1° celle de Mabillon et de Félibien, reprise par MM. Vitry et Brière (</w:t>
      </w:r>
      <w:r w:rsidRPr="003B3476">
        <w:rPr>
          <w:i/>
          <w:lang w:val="fr-FR" w:eastAsia="fr-FR" w:bidi="fr-FR"/>
        </w:rPr>
        <w:t>cf.</w:t>
      </w:r>
      <w:r w:rsidRPr="003B3476">
        <w:rPr>
          <w:lang w:val="fr-FR" w:eastAsia="fr-FR" w:bidi="fr-FR"/>
        </w:rPr>
        <w:t xml:space="preserve"> </w:t>
      </w:r>
      <w:r w:rsidRPr="003B3476">
        <w:rPr>
          <w:bCs/>
          <w:i/>
        </w:rPr>
        <w:t>infra.</w:t>
      </w:r>
      <w:r w:rsidRPr="003B3476">
        <w:rPr>
          <w:lang w:val="fr-FR" w:eastAsia="fr-FR" w:bidi="fr-FR"/>
        </w:rPr>
        <w:t xml:space="preserve">, p. 768, n° 3) et par M. Léon </w:t>
      </w:r>
      <w:r w:rsidRPr="003B3476">
        <w:rPr>
          <w:rStyle w:val="Notedebasdepage65ptPetitesmajuscules"/>
          <w:b w:val="0"/>
          <w:sz w:val="24"/>
        </w:rPr>
        <w:t xml:space="preserve">Maître, </w:t>
      </w:r>
      <w:r w:rsidRPr="003B3476">
        <w:rPr>
          <w:bCs/>
          <w:i/>
        </w:rPr>
        <w:t>Le culte de saint Denis et de ses comp</w:t>
      </w:r>
      <w:r w:rsidRPr="003B3476">
        <w:rPr>
          <w:bCs/>
          <w:i/>
        </w:rPr>
        <w:t>a</w:t>
      </w:r>
      <w:r w:rsidRPr="003B3476">
        <w:rPr>
          <w:bCs/>
          <w:i/>
        </w:rPr>
        <w:t>gnons</w:t>
      </w:r>
      <w:r w:rsidRPr="003B3476">
        <w:rPr>
          <w:i/>
          <w:lang w:val="fr-FR" w:eastAsia="fr-FR" w:bidi="fr-FR"/>
        </w:rPr>
        <w:t xml:space="preserve">, dans </w:t>
      </w:r>
      <w:r w:rsidRPr="003B3476">
        <w:rPr>
          <w:bCs/>
          <w:i/>
        </w:rPr>
        <w:t>Rev. de l’art chrétien</w:t>
      </w:r>
      <w:r w:rsidRPr="003B3476">
        <w:rPr>
          <w:lang w:val="fr-FR" w:eastAsia="fr-FR" w:bidi="fr-FR"/>
        </w:rPr>
        <w:t>, t. LVIII, 1908, p. 361-370 et t. LIX, 1909, p. 80-94 et 174-183 ; la basilique s’est toujours élevée au lieu qu’elle occupe maintenant, et qu’elle occupait dès le début de l’époque mérovingienne ; D</w:t>
      </w:r>
      <w:r w:rsidRPr="003B3476">
        <w:rPr>
          <w:lang w:val="fr-FR" w:eastAsia="fr-FR" w:bidi="fr-FR"/>
        </w:rPr>
        <w:t>a</w:t>
      </w:r>
      <w:r w:rsidRPr="003B3476">
        <w:rPr>
          <w:lang w:val="fr-FR" w:eastAsia="fr-FR" w:bidi="fr-FR"/>
        </w:rPr>
        <w:t xml:space="preserve">gobert l’a reconstruite sur place ; 2° celle de Julien </w:t>
      </w:r>
      <w:r w:rsidRPr="003B3476">
        <w:rPr>
          <w:rStyle w:val="Notedebasdepage65ptPetitesmajuscules"/>
          <w:b w:val="0"/>
          <w:sz w:val="24"/>
        </w:rPr>
        <w:t xml:space="preserve">Havet, </w:t>
      </w:r>
      <w:r w:rsidRPr="003B3476">
        <w:rPr>
          <w:bCs/>
          <w:i/>
        </w:rPr>
        <w:t>Les origines de Saint-Denis</w:t>
      </w:r>
      <w:r w:rsidRPr="003B3476">
        <w:rPr>
          <w:lang w:val="fr-FR" w:eastAsia="fr-FR" w:bidi="fr-FR"/>
        </w:rPr>
        <w:t xml:space="preserve">, dans </w:t>
      </w:r>
      <w:r w:rsidRPr="003B3476">
        <w:rPr>
          <w:bCs/>
          <w:i/>
        </w:rPr>
        <w:t>Bibl. Éc. Chartes</w:t>
      </w:r>
      <w:r w:rsidRPr="003B3476">
        <w:rPr>
          <w:lang w:val="fr-FR" w:eastAsia="fr-FR" w:bidi="fr-FR"/>
        </w:rPr>
        <w:t xml:space="preserve">, t. LI, 1890, p. 5-62, et </w:t>
      </w:r>
      <w:r w:rsidRPr="003B3476">
        <w:rPr>
          <w:bCs/>
          <w:i/>
        </w:rPr>
        <w:t>Œuvres</w:t>
      </w:r>
      <w:r w:rsidRPr="003B3476">
        <w:rPr>
          <w:lang w:val="fr-FR" w:eastAsia="fr-FR" w:bidi="fr-FR"/>
        </w:rPr>
        <w:t>, t. I, in-8°, Paris, 1896, p. 191-246 : la basilique s’élevait primitivement au lieu dit plus tard Saint-Denis-de-l’Étrée, sur la voie romaine ; Dagobert, fondant l’abbaye, a transpo</w:t>
      </w:r>
      <w:r w:rsidRPr="003B3476">
        <w:rPr>
          <w:lang w:val="fr-FR" w:eastAsia="fr-FR" w:bidi="fr-FR"/>
        </w:rPr>
        <w:t>r</w:t>
      </w:r>
      <w:r w:rsidRPr="003B3476">
        <w:rPr>
          <w:lang w:val="fr-FR" w:eastAsia="fr-FR" w:bidi="fr-FR"/>
        </w:rPr>
        <w:t xml:space="preserve">té les reliques de Saint-Denis-de-l’Étrée dans une église nouvelle, construite par lui sur l’emplacement de l’église actuelle ; 3° celle de M. L. </w:t>
      </w:r>
      <w:r w:rsidRPr="003B3476">
        <w:rPr>
          <w:rStyle w:val="Notedebasdepage65ptPetitesmajuscules"/>
          <w:b w:val="0"/>
          <w:sz w:val="24"/>
        </w:rPr>
        <w:t xml:space="preserve">Levillain </w:t>
      </w:r>
      <w:r w:rsidRPr="003B3476">
        <w:rPr>
          <w:lang w:val="fr-FR" w:eastAsia="fr-FR" w:bidi="fr-FR"/>
        </w:rPr>
        <w:t>(art. c</w:t>
      </w:r>
      <w:r w:rsidRPr="003B3476">
        <w:rPr>
          <w:lang w:val="fr-FR" w:eastAsia="fr-FR" w:bidi="fr-FR"/>
        </w:rPr>
        <w:t>i</w:t>
      </w:r>
      <w:r w:rsidRPr="003B3476">
        <w:rPr>
          <w:lang w:val="fr-FR" w:eastAsia="fr-FR" w:bidi="fr-FR"/>
        </w:rPr>
        <w:t>té, p. 769, n. 1) : la basilique s’est élevée à l’origine à Saint-Denis-de-l’Étrée ; mais la translation n’eut lieu que sous Pépin le Bref. D’après les deux premi</w:t>
      </w:r>
      <w:r w:rsidRPr="003B3476">
        <w:rPr>
          <w:lang w:val="fr-FR" w:eastAsia="fr-FR" w:bidi="fr-FR"/>
        </w:rPr>
        <w:t>è</w:t>
      </w:r>
      <w:r w:rsidRPr="003B3476">
        <w:rPr>
          <w:lang w:val="fr-FR" w:eastAsia="fr-FR" w:bidi="fr-FR"/>
        </w:rPr>
        <w:t>res théories, les plus anciens vestiges d’architecture que l’on trouve sous le sol de la basilique actuelle seraient d’âge mérovi</w:t>
      </w:r>
      <w:r w:rsidRPr="003B3476">
        <w:rPr>
          <w:lang w:val="fr-FR" w:eastAsia="fr-FR" w:bidi="fr-FR"/>
        </w:rPr>
        <w:t>n</w:t>
      </w:r>
      <w:r w:rsidRPr="003B3476">
        <w:rPr>
          <w:lang w:val="fr-FR" w:eastAsia="fr-FR" w:bidi="fr-FR"/>
        </w:rPr>
        <w:t>gien ; d’après la troisième, ils représenteraient les restes de l’église caroli</w:t>
      </w:r>
      <w:r w:rsidRPr="003B3476">
        <w:rPr>
          <w:lang w:val="fr-FR" w:eastAsia="fr-FR" w:bidi="fr-FR"/>
        </w:rPr>
        <w:t>n</w:t>
      </w:r>
      <w:r w:rsidRPr="003B3476">
        <w:rPr>
          <w:lang w:val="fr-FR" w:eastAsia="fr-FR" w:bidi="fr-FR"/>
        </w:rPr>
        <w:t>gienne.</w:t>
      </w:r>
    </w:p>
  </w:footnote>
  <w:footnote w:id="631">
    <w:p w14:paraId="1B5F37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Églises romanes du Vexin français</w:t>
      </w:r>
      <w:r w:rsidRPr="003B3476">
        <w:rPr>
          <w:bCs/>
          <w:i/>
        </w:rPr>
        <w:t xml:space="preserve">, dans </w:t>
      </w:r>
      <w:r w:rsidRPr="003B3476">
        <w:rPr>
          <w:i/>
          <w:lang w:val="fr-FR" w:eastAsia="fr-FR" w:bidi="fr-FR"/>
        </w:rPr>
        <w:t>Confér. soc. savantes Seine-et-Oise. Deuxième réunion</w:t>
      </w:r>
      <w:r w:rsidRPr="003B3476">
        <w:rPr>
          <w:bCs/>
        </w:rPr>
        <w:t xml:space="preserve"> (1904), p. 35-52, et </w:t>
      </w:r>
      <w:r w:rsidRPr="003B3476">
        <w:rPr>
          <w:i/>
          <w:lang w:val="fr-FR" w:eastAsia="fr-FR" w:bidi="fr-FR"/>
        </w:rPr>
        <w:t>Les Églises romanes du Pinc</w:t>
      </w:r>
      <w:r w:rsidRPr="003B3476">
        <w:rPr>
          <w:i/>
          <w:lang w:val="fr-FR" w:eastAsia="fr-FR" w:bidi="fr-FR"/>
        </w:rPr>
        <w:t>e</w:t>
      </w:r>
      <w:r w:rsidRPr="003B3476">
        <w:rPr>
          <w:i/>
          <w:lang w:val="fr-FR" w:eastAsia="fr-FR" w:bidi="fr-FR"/>
        </w:rPr>
        <w:t>rais</w:t>
      </w:r>
      <w:r w:rsidRPr="003B3476">
        <w:rPr>
          <w:bCs/>
        </w:rPr>
        <w:t xml:space="preserve">, </w:t>
      </w:r>
      <w:r w:rsidRPr="003B3476">
        <w:rPr>
          <w:i/>
          <w:lang w:val="fr-FR" w:eastAsia="fr-FR" w:bidi="fr-FR"/>
        </w:rPr>
        <w:t>ibid.</w:t>
      </w:r>
      <w:r w:rsidRPr="003B3476">
        <w:rPr>
          <w:lang w:val="fr-FR" w:eastAsia="fr-FR" w:bidi="fr-FR"/>
        </w:rPr>
        <w:t xml:space="preserve"> </w:t>
      </w:r>
      <w:r w:rsidRPr="003B3476">
        <w:rPr>
          <w:i/>
          <w:lang w:val="fr-FR" w:eastAsia="fr-FR" w:bidi="fr-FR"/>
        </w:rPr>
        <w:t>Troisième réunion</w:t>
      </w:r>
      <w:r w:rsidRPr="003B3476">
        <w:rPr>
          <w:lang w:val="fr-FR" w:eastAsia="fr-FR" w:bidi="fr-FR"/>
        </w:rPr>
        <w:t xml:space="preserve"> </w:t>
      </w:r>
      <w:r w:rsidRPr="003B3476">
        <w:rPr>
          <w:bCs/>
        </w:rPr>
        <w:t xml:space="preserve">(1906), p. 53-68. Outre divers travaux, antérieurs aces deux études, M. </w:t>
      </w:r>
      <w:r w:rsidRPr="003B3476">
        <w:rPr>
          <w:rStyle w:val="Notedebasdepage265ptNonItaliquePetitesmajuscules"/>
          <w:b w:val="0"/>
          <w:iCs/>
          <w:sz w:val="24"/>
        </w:rPr>
        <w:t>Coquelle</w:t>
      </w:r>
      <w:r w:rsidRPr="003B3476">
        <w:rPr>
          <w:rStyle w:val="Notedebasdepage265ptNonItaliquePetitesmajuscules"/>
          <w:b w:val="0"/>
          <w:i/>
          <w:iCs/>
          <w:sz w:val="24"/>
        </w:rPr>
        <w:t xml:space="preserve"> </w:t>
      </w:r>
      <w:r w:rsidRPr="003B3476">
        <w:rPr>
          <w:bCs/>
        </w:rPr>
        <w:t xml:space="preserve">a publié depuis : </w:t>
      </w:r>
      <w:r w:rsidRPr="003B3476">
        <w:rPr>
          <w:i/>
          <w:lang w:val="fr-FR" w:eastAsia="fr-FR" w:bidi="fr-FR"/>
        </w:rPr>
        <w:t xml:space="preserve">Les portails romans du Vexin français et du </w:t>
      </w:r>
      <w:r w:rsidRPr="003B3476">
        <w:rPr>
          <w:lang w:val="fr-FR" w:eastAsia="fr-FR" w:bidi="fr-FR"/>
        </w:rPr>
        <w:t>Pincerais</w:t>
      </w:r>
      <w:r w:rsidRPr="003B3476">
        <w:rPr>
          <w:bCs/>
        </w:rPr>
        <w:t xml:space="preserve">, dans </w:t>
      </w:r>
      <w:r w:rsidRPr="003B3476">
        <w:rPr>
          <w:i/>
          <w:lang w:val="fr-FR" w:eastAsia="fr-FR" w:bidi="fr-FR"/>
        </w:rPr>
        <w:t>Mém. Soc. histor. Pontoise</w:t>
      </w:r>
      <w:r w:rsidRPr="003B3476">
        <w:rPr>
          <w:bCs/>
        </w:rPr>
        <w:t>, t. XXVII, 1906, p. 41-60.</w:t>
      </w:r>
    </w:p>
  </w:footnote>
  <w:footnote w:id="632">
    <w:p w14:paraId="2ED1D9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Île-de-France (École de V) . Encyclopédie de Varchitecture et de la constru</w:t>
      </w:r>
      <w:r w:rsidRPr="003B3476">
        <w:rPr>
          <w:i/>
          <w:lang w:val="fr-FR" w:eastAsia="fr-FR" w:bidi="fr-FR"/>
        </w:rPr>
        <w:t>c</w:t>
      </w:r>
      <w:r w:rsidRPr="003B3476">
        <w:rPr>
          <w:i/>
          <w:lang w:val="fr-FR" w:eastAsia="fr-FR" w:bidi="fr-FR"/>
        </w:rPr>
        <w:t>tion</w:t>
      </w:r>
      <w:r w:rsidRPr="003B3476">
        <w:rPr>
          <w:lang w:val="fr-FR" w:eastAsia="fr-FR" w:bidi="fr-FR"/>
        </w:rPr>
        <w:t>,</w:t>
      </w:r>
      <w:r w:rsidRPr="003B3476">
        <w:rPr>
          <w:bCs/>
        </w:rPr>
        <w:t xml:space="preserve"> </w:t>
      </w:r>
      <w:r w:rsidRPr="003B3476">
        <w:rPr>
          <w:rStyle w:val="Notedebasdepage265ptNonItalique"/>
          <w:b w:val="0"/>
          <w:i/>
          <w:iCs/>
          <w:sz w:val="24"/>
        </w:rPr>
        <w:t xml:space="preserve">de </w:t>
      </w:r>
      <w:r w:rsidRPr="003B3476">
        <w:rPr>
          <w:bCs/>
        </w:rPr>
        <w:t xml:space="preserve">P. </w:t>
      </w:r>
      <w:r w:rsidRPr="003B3476">
        <w:rPr>
          <w:rStyle w:val="Notedebasdepage265ptNonItaliquePetitesmajuscules"/>
          <w:b w:val="0"/>
          <w:iCs/>
          <w:sz w:val="24"/>
        </w:rPr>
        <w:t>Planât</w:t>
      </w:r>
      <w:r w:rsidRPr="003B3476">
        <w:rPr>
          <w:rStyle w:val="Notedebasdepage265ptNonItaliquePetitesmajuscules"/>
          <w:b w:val="0"/>
          <w:i/>
          <w:iCs/>
          <w:sz w:val="24"/>
        </w:rPr>
        <w:t xml:space="preserve">, </w:t>
      </w:r>
      <w:r w:rsidRPr="003B3476">
        <w:rPr>
          <w:bCs/>
        </w:rPr>
        <w:t>t. V, in-4°, Paris, p. 181-201.</w:t>
      </w:r>
    </w:p>
  </w:footnote>
  <w:footnote w:id="633">
    <w:p w14:paraId="43A15D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influences normandes au XI</w:t>
      </w:r>
      <w:r w:rsidRPr="003B3476">
        <w:rPr>
          <w:i/>
          <w:vertAlign w:val="superscript"/>
          <w:lang w:val="fr-FR" w:eastAsia="fr-FR" w:bidi="fr-FR"/>
        </w:rPr>
        <w:t>e</w:t>
      </w:r>
      <w:r w:rsidRPr="003B3476">
        <w:rPr>
          <w:i/>
          <w:lang w:val="fr-FR" w:eastAsia="fr-FR" w:bidi="fr-FR"/>
        </w:rPr>
        <w:t xml:space="preserve"> et au XII</w:t>
      </w:r>
      <w:r w:rsidRPr="003B3476">
        <w:rPr>
          <w:i/>
          <w:vertAlign w:val="superscript"/>
          <w:lang w:val="fr-FR" w:eastAsia="fr-FR" w:bidi="fr-FR"/>
        </w:rPr>
        <w:t>e</w:t>
      </w:r>
      <w:r w:rsidRPr="003B3476">
        <w:rPr>
          <w:i/>
          <w:lang w:val="fr-FR" w:eastAsia="fr-FR" w:bidi="fr-FR"/>
        </w:rPr>
        <w:t xml:space="preserve"> siècle dans le Nord de la France</w:t>
      </w:r>
      <w:r w:rsidRPr="003B3476">
        <w:rPr>
          <w:bCs/>
        </w:rPr>
        <w:t xml:space="preserve">, dans </w:t>
      </w:r>
      <w:r w:rsidRPr="003B3476">
        <w:rPr>
          <w:i/>
          <w:lang w:val="fr-FR" w:eastAsia="fr-FR" w:bidi="fr-FR"/>
        </w:rPr>
        <w:t>Bullet. monum</w:t>
      </w:r>
      <w:r w:rsidRPr="003B3476">
        <w:rPr>
          <w:lang w:val="fr-FR" w:eastAsia="fr-FR" w:bidi="fr-FR"/>
        </w:rPr>
        <w:t>.,</w:t>
      </w:r>
      <w:r w:rsidRPr="003B3476">
        <w:rPr>
          <w:bCs/>
        </w:rPr>
        <w:t xml:space="preserve"> t. LXX, 1906, p. 3-37.</w:t>
      </w:r>
    </w:p>
  </w:footnote>
  <w:footnote w:id="634">
    <w:p w14:paraId="209143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M. Enlart, d’ailleurs, l’appelle « école du Nord de la France ».</w:t>
      </w:r>
    </w:p>
  </w:footnote>
  <w:footnote w:id="635">
    <w:p w14:paraId="7FC61C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Lefèvre-Pontalis, </w:t>
      </w:r>
      <w:r w:rsidRPr="003B3476">
        <w:rPr>
          <w:lang w:val="fr-FR" w:eastAsia="fr-FR" w:bidi="fr-FR"/>
        </w:rPr>
        <w:t xml:space="preserve">article cité, p. </w:t>
      </w:r>
      <w:r w:rsidRPr="003B3476">
        <w:rPr>
          <w:bCs/>
        </w:rPr>
        <w:t xml:space="preserve">766, </w:t>
      </w:r>
      <w:r w:rsidRPr="003B3476">
        <w:rPr>
          <w:lang w:val="fr-FR" w:eastAsia="fr-FR" w:bidi="fr-FR"/>
        </w:rPr>
        <w:t xml:space="preserve">n. </w:t>
      </w:r>
      <w:r w:rsidRPr="003B3476">
        <w:rPr>
          <w:bCs/>
        </w:rPr>
        <w:t xml:space="preserve">7. </w:t>
      </w:r>
      <w:r w:rsidRPr="003B3476">
        <w:rPr>
          <w:lang w:val="fr-FR" w:eastAsia="fr-FR" w:bidi="fr-FR"/>
        </w:rPr>
        <w:t>Sur l’influence de l’école rhén</w:t>
      </w:r>
      <w:r w:rsidRPr="003B3476">
        <w:rPr>
          <w:lang w:val="fr-FR" w:eastAsia="fr-FR" w:bidi="fr-FR"/>
        </w:rPr>
        <w:t>a</w:t>
      </w:r>
      <w:r w:rsidRPr="003B3476">
        <w:rPr>
          <w:lang w:val="fr-FR" w:eastAsia="fr-FR" w:bidi="fr-FR"/>
        </w:rPr>
        <w:t>ne sur l’architecture religieuse de la France du Nord, au début de l’époque g</w:t>
      </w:r>
      <w:r w:rsidRPr="003B3476">
        <w:rPr>
          <w:lang w:val="fr-FR" w:eastAsia="fr-FR" w:bidi="fr-FR"/>
        </w:rPr>
        <w:t>o</w:t>
      </w:r>
      <w:r w:rsidRPr="003B3476">
        <w:rPr>
          <w:lang w:val="fr-FR" w:eastAsia="fr-FR" w:bidi="fr-FR"/>
        </w:rPr>
        <w:t xml:space="preserve">thique, consulter </w:t>
      </w:r>
      <w:r w:rsidRPr="003B3476">
        <w:rPr>
          <w:rStyle w:val="Notedebasdepage65ptPetitesmajuscules"/>
          <w:b w:val="0"/>
          <w:sz w:val="24"/>
        </w:rPr>
        <w:t xml:space="preserve">Enlart, </w:t>
      </w:r>
      <w:r w:rsidRPr="003B3476">
        <w:rPr>
          <w:bCs/>
          <w:i/>
        </w:rPr>
        <w:t>De quelques influences germaniques dans les pr</w:t>
      </w:r>
      <w:r w:rsidRPr="003B3476">
        <w:rPr>
          <w:bCs/>
          <w:i/>
        </w:rPr>
        <w:t>e</w:t>
      </w:r>
      <w:r w:rsidRPr="003B3476">
        <w:rPr>
          <w:bCs/>
          <w:i/>
        </w:rPr>
        <w:t>miers monuments gothiques du Nord de la France</w:t>
      </w:r>
      <w:r w:rsidRPr="003B3476">
        <w:rPr>
          <w:lang w:val="fr-FR" w:eastAsia="fr-FR" w:bidi="fr-FR"/>
        </w:rPr>
        <w:t xml:space="preserve">, dans </w:t>
      </w:r>
      <w:r w:rsidRPr="003B3476">
        <w:rPr>
          <w:bCs/>
          <w:i/>
        </w:rPr>
        <w:t>Mélanges Paul F</w:t>
      </w:r>
      <w:r w:rsidRPr="003B3476">
        <w:rPr>
          <w:bCs/>
          <w:i/>
        </w:rPr>
        <w:t>a</w:t>
      </w:r>
      <w:r w:rsidRPr="003B3476">
        <w:rPr>
          <w:bCs/>
          <w:i/>
        </w:rPr>
        <w:t>bre</w:t>
      </w:r>
      <w:r w:rsidRPr="003B3476">
        <w:rPr>
          <w:i/>
          <w:lang w:val="fr-FR" w:eastAsia="fr-FR" w:bidi="fr-FR"/>
        </w:rPr>
        <w:t>,</w:t>
      </w:r>
      <w:r w:rsidRPr="003B3476">
        <w:rPr>
          <w:lang w:val="fr-FR" w:eastAsia="fr-FR" w:bidi="fr-FR"/>
        </w:rPr>
        <w:t xml:space="preserve"> in-8°, P</w:t>
      </w:r>
      <w:r w:rsidRPr="003B3476">
        <w:rPr>
          <w:lang w:val="fr-FR" w:eastAsia="fr-FR" w:bidi="fr-FR"/>
        </w:rPr>
        <w:t>a</w:t>
      </w:r>
      <w:r w:rsidRPr="003B3476">
        <w:rPr>
          <w:lang w:val="fr-FR" w:eastAsia="fr-FR" w:bidi="fr-FR"/>
        </w:rPr>
        <w:t>ris, 1902, p. 258-264.</w:t>
      </w:r>
    </w:p>
  </w:footnote>
  <w:footnote w:id="636">
    <w:p w14:paraId="6E43C90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L. Saint-John Crèvecœur </w:t>
      </w:r>
      <w:r w:rsidRPr="003B3476">
        <w:rPr>
          <w:lang w:val="fr-FR" w:eastAsia="fr-FR" w:bidi="fr-FR"/>
        </w:rPr>
        <w:t xml:space="preserve">a publié, dans les </w:t>
      </w:r>
      <w:r w:rsidRPr="003B3476">
        <w:rPr>
          <w:i/>
        </w:rPr>
        <w:t>Positions de thèses des élèves de l’École des Chartes : promotion de 1896</w:t>
      </w:r>
      <w:r w:rsidRPr="003B3476">
        <w:t>,</w:t>
      </w:r>
      <w:r w:rsidRPr="003B3476">
        <w:rPr>
          <w:lang w:val="fr-FR" w:eastAsia="fr-FR" w:bidi="fr-FR"/>
        </w:rPr>
        <w:t xml:space="preserve"> p. 43-47, le résumé d’une thèse restée manuscr</w:t>
      </w:r>
      <w:r w:rsidRPr="003B3476">
        <w:rPr>
          <w:lang w:val="fr-FR" w:eastAsia="fr-FR" w:bidi="fr-FR"/>
        </w:rPr>
        <w:t>i</w:t>
      </w:r>
      <w:r w:rsidRPr="003B3476">
        <w:rPr>
          <w:lang w:val="fr-FR" w:eastAsia="fr-FR" w:bidi="fr-FR"/>
        </w:rPr>
        <w:t xml:space="preserve">te, intitulée : </w:t>
      </w:r>
      <w:r w:rsidRPr="003B3476">
        <w:rPr>
          <w:i/>
        </w:rPr>
        <w:t>Étude sur l’architecture religieuse aux XI</w:t>
      </w:r>
      <w:r w:rsidRPr="003B3476">
        <w:rPr>
          <w:i/>
          <w:vertAlign w:val="superscript"/>
        </w:rPr>
        <w:t>e</w:t>
      </w:r>
      <w:r w:rsidRPr="003B3476">
        <w:rPr>
          <w:i/>
        </w:rPr>
        <w:t xml:space="preserve"> et XII</w:t>
      </w:r>
      <w:r w:rsidRPr="003B3476">
        <w:rPr>
          <w:i/>
          <w:vertAlign w:val="superscript"/>
        </w:rPr>
        <w:t>e</w:t>
      </w:r>
      <w:r w:rsidRPr="003B3476">
        <w:rPr>
          <w:i/>
        </w:rPr>
        <w:t xml:space="preserve"> siècles dans l’ancien diocèse de Paris</w:t>
      </w:r>
      <w:r w:rsidRPr="003B3476">
        <w:t>.</w:t>
      </w:r>
      <w:r w:rsidRPr="003B3476">
        <w:rPr>
          <w:lang w:val="fr-FR" w:eastAsia="fr-FR" w:bidi="fr-FR"/>
        </w:rPr>
        <w:t xml:space="preserve"> Je m’abstiens de donner ici aucune b</w:t>
      </w:r>
      <w:r w:rsidRPr="003B3476">
        <w:rPr>
          <w:lang w:val="fr-FR" w:eastAsia="fr-FR" w:bidi="fr-FR"/>
        </w:rPr>
        <w:t>i</w:t>
      </w:r>
      <w:r w:rsidRPr="003B3476">
        <w:rPr>
          <w:lang w:val="fr-FR" w:eastAsia="fr-FR" w:bidi="fr-FR"/>
        </w:rPr>
        <w:t>bliographie touchant le problème des origines de l’architecture ogivale, me contentant de renvoyer aux manuels archéologiques.</w:t>
      </w:r>
    </w:p>
  </w:footnote>
  <w:footnote w:id="637">
    <w:p w14:paraId="3983512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L’ouvrage essentiel sur les débuts de la sculpture dans l’Île-de-France est c</w:t>
      </w:r>
      <w:r w:rsidRPr="003B3476">
        <w:rPr>
          <w:lang w:val="fr-FR" w:eastAsia="fr-FR" w:bidi="fr-FR"/>
        </w:rPr>
        <w:t>e</w:t>
      </w:r>
      <w:r w:rsidRPr="003B3476">
        <w:rPr>
          <w:lang w:val="fr-FR" w:eastAsia="fr-FR" w:bidi="fr-FR"/>
        </w:rPr>
        <w:t xml:space="preserve">lui de </w:t>
      </w:r>
      <w:r w:rsidRPr="003B3476">
        <w:rPr>
          <w:bCs/>
        </w:rPr>
        <w:t xml:space="preserve">M. </w:t>
      </w:r>
      <w:r w:rsidRPr="003B3476">
        <w:rPr>
          <w:lang w:val="fr-FR" w:eastAsia="fr-FR" w:bidi="fr-FR"/>
        </w:rPr>
        <w:t xml:space="preserve">R. de </w:t>
      </w:r>
      <w:r w:rsidRPr="003B3476">
        <w:rPr>
          <w:rStyle w:val="Notedebasdepage65ptPetitesmajuscules"/>
          <w:b w:val="0"/>
          <w:sz w:val="24"/>
        </w:rPr>
        <w:t xml:space="preserve">Lasteyrie, </w:t>
      </w:r>
      <w:r w:rsidRPr="003B3476">
        <w:rPr>
          <w:bCs/>
          <w:i/>
        </w:rPr>
        <w:t>Étude sur la sculpture française au Moyen Âge</w:t>
      </w:r>
      <w:r w:rsidRPr="003B3476">
        <w:rPr>
          <w:i/>
          <w:lang w:val="fr-FR" w:eastAsia="fr-FR" w:bidi="fr-FR"/>
        </w:rPr>
        <w:t xml:space="preserve">, dans </w:t>
      </w:r>
      <w:r w:rsidRPr="003B3476">
        <w:rPr>
          <w:bCs/>
          <w:i/>
        </w:rPr>
        <w:t>Monuments Piot</w:t>
      </w:r>
      <w:r w:rsidRPr="003B3476">
        <w:rPr>
          <w:bCs/>
        </w:rPr>
        <w:t>.,</w:t>
      </w:r>
      <w:r w:rsidRPr="003B3476">
        <w:rPr>
          <w:lang w:val="fr-FR" w:eastAsia="fr-FR" w:bidi="fr-FR"/>
        </w:rPr>
        <w:t xml:space="preserve"> t. VIII, in-4°, Paris, 1902, chap. i et n, p. 1 à 44. Sur la date des sculptures et d’une façon générale des monuments de l’Île-de-France, </w:t>
      </w:r>
      <w:r w:rsidRPr="003B3476">
        <w:rPr>
          <w:bCs/>
        </w:rPr>
        <w:t xml:space="preserve">M. </w:t>
      </w:r>
      <w:r w:rsidRPr="003B3476">
        <w:rPr>
          <w:lang w:val="fr-FR" w:eastAsia="fr-FR" w:bidi="fr-FR"/>
        </w:rPr>
        <w:t xml:space="preserve">A </w:t>
      </w:r>
      <w:r w:rsidRPr="003B3476">
        <w:rPr>
          <w:rStyle w:val="Notedebasdepage65ptPetitesmajuscules"/>
          <w:b w:val="0"/>
          <w:sz w:val="24"/>
        </w:rPr>
        <w:t xml:space="preserve">Marignan </w:t>
      </w:r>
      <w:r w:rsidRPr="003B3476">
        <w:rPr>
          <w:lang w:val="fr-FR" w:eastAsia="fr-FR" w:bidi="fr-FR"/>
        </w:rPr>
        <w:t>a émis des opinions différentes de celles qui sont habitue</w:t>
      </w:r>
      <w:r w:rsidRPr="003B3476">
        <w:rPr>
          <w:lang w:val="fr-FR" w:eastAsia="fr-FR" w:bidi="fr-FR"/>
        </w:rPr>
        <w:t>l</w:t>
      </w:r>
      <w:r w:rsidRPr="003B3476">
        <w:rPr>
          <w:lang w:val="fr-FR" w:eastAsia="fr-FR" w:bidi="fr-FR"/>
        </w:rPr>
        <w:t>lement r</w:t>
      </w:r>
      <w:r w:rsidRPr="003B3476">
        <w:rPr>
          <w:lang w:val="fr-FR" w:eastAsia="fr-FR" w:bidi="fr-FR"/>
        </w:rPr>
        <w:t>e</w:t>
      </w:r>
      <w:r w:rsidRPr="003B3476">
        <w:rPr>
          <w:lang w:val="fr-FR" w:eastAsia="fr-FR" w:bidi="fr-FR"/>
        </w:rPr>
        <w:t xml:space="preserve">çues ; il leur assigne des dates plus récentes que celles qu’on leur fixe d’ordinaire. </w:t>
      </w:r>
      <w:r w:rsidRPr="003B3476">
        <w:rPr>
          <w:bCs/>
          <w:i/>
        </w:rPr>
        <w:t>Cf.</w:t>
      </w:r>
      <w:r w:rsidRPr="003B3476">
        <w:rPr>
          <w:lang w:val="fr-FR" w:eastAsia="fr-FR" w:bidi="fr-FR"/>
        </w:rPr>
        <w:t xml:space="preserve"> ses deux ouvrages : </w:t>
      </w:r>
      <w:r w:rsidRPr="003B3476">
        <w:rPr>
          <w:bCs/>
          <w:i/>
        </w:rPr>
        <w:t>La décoration monumentale des égl</w:t>
      </w:r>
      <w:r w:rsidRPr="003B3476">
        <w:rPr>
          <w:bCs/>
          <w:i/>
        </w:rPr>
        <w:t>i</w:t>
      </w:r>
      <w:r w:rsidRPr="003B3476">
        <w:rPr>
          <w:bCs/>
          <w:i/>
        </w:rPr>
        <w:t>ses de la France septentrionale du XII</w:t>
      </w:r>
      <w:r w:rsidRPr="003B3476">
        <w:rPr>
          <w:bCs/>
          <w:i/>
          <w:vertAlign w:val="superscript"/>
        </w:rPr>
        <w:t>e</w:t>
      </w:r>
      <w:r w:rsidRPr="003B3476">
        <w:rPr>
          <w:bCs/>
          <w:i/>
        </w:rPr>
        <w:t xml:space="preserve"> au XIII</w:t>
      </w:r>
      <w:r w:rsidRPr="003B3476">
        <w:rPr>
          <w:bCs/>
          <w:i/>
          <w:vertAlign w:val="superscript"/>
        </w:rPr>
        <w:t>e</w:t>
      </w:r>
      <w:r w:rsidRPr="003B3476">
        <w:rPr>
          <w:bCs/>
          <w:i/>
        </w:rPr>
        <w:t xml:space="preserve"> siècle</w:t>
      </w:r>
      <w:r w:rsidRPr="003B3476">
        <w:rPr>
          <w:lang w:val="fr-FR" w:eastAsia="fr-FR" w:bidi="fr-FR"/>
        </w:rPr>
        <w:t xml:space="preserve">, in-16, 1911, </w:t>
      </w:r>
      <w:r w:rsidRPr="003B3476">
        <w:rPr>
          <w:smallCaps/>
          <w:lang w:val="fr-FR" w:eastAsia="fr-FR" w:bidi="fr-FR"/>
        </w:rPr>
        <w:t>xix</w:t>
      </w:r>
      <w:r w:rsidRPr="003B3476">
        <w:rPr>
          <w:lang w:val="fr-FR" w:eastAsia="fr-FR" w:bidi="fr-FR"/>
        </w:rPr>
        <w:t xml:space="preserve">-334 p., et </w:t>
      </w:r>
      <w:r w:rsidRPr="003B3476">
        <w:rPr>
          <w:bCs/>
          <w:i/>
        </w:rPr>
        <w:t xml:space="preserve">Les méthodes du passé dans l’archéologie </w:t>
      </w:r>
      <w:r w:rsidRPr="003B3476">
        <w:rPr>
          <w:i/>
          <w:lang w:val="fr-FR" w:eastAsia="fr-FR" w:bidi="fr-FR"/>
        </w:rPr>
        <w:t>française</w:t>
      </w:r>
      <w:r w:rsidRPr="003B3476">
        <w:rPr>
          <w:lang w:val="fr-FR" w:eastAsia="fr-FR" w:bidi="fr-FR"/>
        </w:rPr>
        <w:t>, in-8°, Paris [1911], 242 p.</w:t>
      </w:r>
    </w:p>
  </w:footnote>
  <w:footnote w:id="638">
    <w:p w14:paraId="7DCE2A7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faut rappeler qu’un certain nombre des sculptures qui se trouvent actuell</w:t>
      </w:r>
      <w:r w:rsidRPr="003B3476">
        <w:rPr>
          <w:lang w:val="fr-FR" w:eastAsia="fr-FR" w:bidi="fr-FR"/>
        </w:rPr>
        <w:t>e</w:t>
      </w:r>
      <w:r w:rsidRPr="003B3476">
        <w:rPr>
          <w:lang w:val="fr-FR" w:eastAsia="fr-FR" w:bidi="fr-FR"/>
        </w:rPr>
        <w:t>ment à Saint-Denis n’y ont été transportées qu’après la Révolution. Beaucoup d’ailleurs provenaient d’autres églises de l’Île-de-France.</w:t>
      </w:r>
    </w:p>
  </w:footnote>
  <w:footnote w:id="639">
    <w:p w14:paraId="694153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L’église abbatiale de Saint-Denis et ses tombeaux. Notice historique et a</w:t>
      </w:r>
      <w:r w:rsidRPr="003B3476">
        <w:rPr>
          <w:i/>
          <w:lang w:val="fr-FR" w:eastAsia="fr-FR" w:bidi="fr-FR"/>
        </w:rPr>
        <w:t>r</w:t>
      </w:r>
      <w:r w:rsidRPr="003B3476">
        <w:rPr>
          <w:i/>
          <w:lang w:val="fr-FR" w:eastAsia="fr-FR" w:bidi="fr-FR"/>
        </w:rPr>
        <w:t>chéologique</w:t>
      </w:r>
      <w:r w:rsidRPr="003B3476">
        <w:rPr>
          <w:bCs/>
        </w:rPr>
        <w:t xml:space="preserve">, in-12, Paris, 1908, </w:t>
      </w:r>
      <w:r w:rsidRPr="003B3476">
        <w:rPr>
          <w:bCs/>
          <w:smallCaps/>
        </w:rPr>
        <w:t>xii</w:t>
      </w:r>
      <w:r w:rsidRPr="003B3476">
        <w:rPr>
          <w:bCs/>
        </w:rPr>
        <w:t xml:space="preserve"> +179 p.</w:t>
      </w:r>
    </w:p>
  </w:footnote>
  <w:footnote w:id="640">
    <w:p w14:paraId="0A350D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plus anciennes églises abbatiales de Saint-Denis,</w:t>
      </w:r>
      <w:r w:rsidRPr="003B3476">
        <w:rPr>
          <w:bCs/>
          <w:i/>
        </w:rPr>
        <w:t xml:space="preserve"> dans </w:t>
      </w:r>
      <w:r w:rsidRPr="003B3476">
        <w:rPr>
          <w:i/>
          <w:lang w:val="fr-FR" w:eastAsia="fr-FR" w:bidi="fr-FR"/>
        </w:rPr>
        <w:t>Mém. Soc. hist.</w:t>
      </w:r>
      <w:r w:rsidRPr="003B3476">
        <w:rPr>
          <w:lang w:val="fr-FR" w:eastAsia="fr-FR" w:bidi="fr-FR"/>
        </w:rPr>
        <w:t xml:space="preserve"> Paris, </w:t>
      </w:r>
      <w:r w:rsidRPr="003B3476">
        <w:rPr>
          <w:bCs/>
        </w:rPr>
        <w:t>t. XXXVI, 1909, p. 143-222.</w:t>
      </w:r>
    </w:p>
  </w:footnote>
  <w:footnote w:id="641">
    <w:p w14:paraId="3044DA8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Monographie de la cathédrale de Chartres</w:t>
      </w:r>
      <w:r w:rsidRPr="003B3476">
        <w:rPr>
          <w:lang w:val="fr-FR" w:eastAsia="fr-FR" w:bidi="fr-FR"/>
        </w:rPr>
        <w:t xml:space="preserve">, </w:t>
      </w:r>
      <w:r w:rsidRPr="003B3476">
        <w:rPr>
          <w:bCs/>
        </w:rPr>
        <w:t>2</w:t>
      </w:r>
      <w:r w:rsidRPr="003B3476">
        <w:rPr>
          <w:bCs/>
          <w:vertAlign w:val="superscript"/>
        </w:rPr>
        <w:t>e</w:t>
      </w:r>
      <w:r w:rsidRPr="003B3476">
        <w:rPr>
          <w:bCs/>
        </w:rPr>
        <w:t xml:space="preserve"> </w:t>
      </w:r>
      <w:r w:rsidRPr="003B3476">
        <w:rPr>
          <w:lang w:val="fr-FR" w:eastAsia="fr-FR" w:bidi="fr-FR"/>
        </w:rPr>
        <w:t xml:space="preserve">éd. revue et augmentée (Soc. archéol. Eure-et-Loir), 3 vol., Chartres, 1891-1901, v + 288, 415 et 350 + LII p. ; le tome III renferme une bibliographie due </w:t>
      </w:r>
      <w:r w:rsidRPr="003B3476">
        <w:rPr>
          <w:bCs/>
        </w:rPr>
        <w:t xml:space="preserve">à </w:t>
      </w:r>
      <w:r w:rsidRPr="003B3476">
        <w:rPr>
          <w:lang w:val="fr-FR" w:eastAsia="fr-FR" w:bidi="fr-FR"/>
        </w:rPr>
        <w:t xml:space="preserve">M. l’abbé </w:t>
      </w:r>
      <w:r w:rsidRPr="003B3476">
        <w:rPr>
          <w:bCs/>
          <w:smallCaps/>
        </w:rPr>
        <w:t>Sainsot</w:t>
      </w:r>
      <w:r w:rsidRPr="003B3476">
        <w:rPr>
          <w:bCs/>
        </w:rPr>
        <w:t>.</w:t>
      </w:r>
    </w:p>
  </w:footnote>
  <w:footnote w:id="642">
    <w:p w14:paraId="5C7FD0A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0A4F4B">
        <w:rPr>
          <w:lang w:val="fr-FR" w:eastAsia="fr-FR" w:bidi="fr-FR"/>
        </w:rPr>
        <w:t xml:space="preserve">René </w:t>
      </w:r>
      <w:r w:rsidRPr="000A4F4B">
        <w:rPr>
          <w:rStyle w:val="Notedebasdepage65ptPetitesmajuscules"/>
          <w:b w:val="0"/>
          <w:sz w:val="24"/>
        </w:rPr>
        <w:t xml:space="preserve">Merlet, </w:t>
      </w:r>
      <w:r w:rsidRPr="000A4F4B">
        <w:rPr>
          <w:bCs/>
          <w:i/>
        </w:rPr>
        <w:t>La cathédrale de Chartres</w:t>
      </w:r>
      <w:r w:rsidRPr="000A4F4B">
        <w:rPr>
          <w:i/>
          <w:lang w:val="fr-FR" w:eastAsia="fr-FR" w:bidi="fr-FR"/>
        </w:rPr>
        <w:t xml:space="preserve"> (.</w:t>
      </w:r>
      <w:r w:rsidRPr="000A4F4B">
        <w:rPr>
          <w:bCs/>
          <w:i/>
        </w:rPr>
        <w:t>Petite monographie des grands édifices de la France</w:t>
      </w:r>
      <w:r w:rsidRPr="000A4F4B">
        <w:rPr>
          <w:i/>
          <w:lang w:val="fr-FR" w:eastAsia="fr-FR" w:bidi="fr-FR"/>
        </w:rPr>
        <w:t>)</w:t>
      </w:r>
      <w:r w:rsidRPr="000A4F4B">
        <w:rPr>
          <w:lang w:val="fr-FR" w:eastAsia="fr-FR" w:bidi="fr-FR"/>
        </w:rPr>
        <w:t>, pet</w:t>
      </w:r>
      <w:r w:rsidRPr="003B3476">
        <w:rPr>
          <w:lang w:val="fr-FR" w:eastAsia="fr-FR" w:bidi="fr-FR"/>
        </w:rPr>
        <w:t>. in-8°, Paris, s. d., 100 p. A ce propos, je crois d</w:t>
      </w:r>
      <w:r w:rsidRPr="003B3476">
        <w:rPr>
          <w:lang w:val="fr-FR" w:eastAsia="fr-FR" w:bidi="fr-FR"/>
        </w:rPr>
        <w:t>e</w:t>
      </w:r>
      <w:r w:rsidRPr="003B3476">
        <w:rPr>
          <w:lang w:val="fr-FR" w:eastAsia="fr-FR" w:bidi="fr-FR"/>
        </w:rPr>
        <w:t xml:space="preserve">voir faire amende honorable à Sébastien Rouillard ; j’ai dit par inadvertance, au chap. </w:t>
      </w:r>
      <w:r w:rsidRPr="003B3476">
        <w:rPr>
          <w:smallCaps/>
          <w:lang w:val="fr-FR" w:eastAsia="fr-FR" w:bidi="fr-FR"/>
        </w:rPr>
        <w:t>ii</w:t>
      </w:r>
      <w:r w:rsidRPr="003B3476">
        <w:rPr>
          <w:lang w:val="fr-FR" w:eastAsia="fr-FR" w:bidi="fr-FR"/>
        </w:rPr>
        <w:t xml:space="preserve">, que sa </w:t>
      </w:r>
      <w:r w:rsidRPr="003B3476">
        <w:rPr>
          <w:bCs/>
        </w:rPr>
        <w:t>Parthénie</w:t>
      </w:r>
      <w:r w:rsidRPr="003B3476">
        <w:rPr>
          <w:lang w:val="fr-FR" w:eastAsia="fr-FR" w:bidi="fr-FR"/>
        </w:rPr>
        <w:t xml:space="preserve"> ne pouvait plus guère intéresser que l’historien de la celtomanie. Elle sert pourtant à l’archéologue. Rouillard si animé de l’esprit de la Renaissance qu’il fût, admirait la cathédrale gothique ; il en a donné des descriptions utiles.</w:t>
      </w:r>
    </w:p>
  </w:footnote>
  <w:footnote w:id="643">
    <w:p w14:paraId="2E7429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est absolument impossible, cela va sans dire, de donner ici une bibliographie de ces monographies ; mais il convient de signaler quelques études plus gén</w:t>
      </w:r>
      <w:r w:rsidRPr="003B3476">
        <w:rPr>
          <w:lang w:val="fr-FR" w:eastAsia="fr-FR" w:bidi="fr-FR"/>
        </w:rPr>
        <w:t>é</w:t>
      </w:r>
      <w:r w:rsidRPr="003B3476">
        <w:rPr>
          <w:lang w:val="fr-FR" w:eastAsia="fr-FR" w:bidi="fr-FR"/>
        </w:rPr>
        <w:t>rales où les églises d’une région donnée se trouvent groupées : 1° </w:t>
      </w:r>
      <w:r w:rsidRPr="003B3476">
        <w:rPr>
          <w:bCs/>
          <w:i/>
        </w:rPr>
        <w:t>environs de Paris </w:t>
      </w:r>
      <w:r w:rsidRPr="003B3476">
        <w:rPr>
          <w:bCs/>
        </w:rPr>
        <w:t>:</w:t>
      </w:r>
      <w:r w:rsidRPr="003B3476">
        <w:rPr>
          <w:lang w:val="fr-FR" w:eastAsia="fr-FR" w:bidi="fr-FR"/>
        </w:rPr>
        <w:t xml:space="preserve"> Anthyme </w:t>
      </w:r>
      <w:r w:rsidRPr="003B3476">
        <w:rPr>
          <w:rStyle w:val="Notedebasdepage65ptPetitesmajuscules"/>
          <w:b w:val="0"/>
          <w:sz w:val="24"/>
        </w:rPr>
        <w:t xml:space="preserve">Saint-Paul, </w:t>
      </w:r>
      <w:r w:rsidRPr="003B3476">
        <w:rPr>
          <w:bCs/>
          <w:i/>
        </w:rPr>
        <w:t>Notices et observations comparatives sur les églises des environs de Paris</w:t>
      </w:r>
      <w:r w:rsidRPr="003B3476">
        <w:rPr>
          <w:lang w:val="fr-FR" w:eastAsia="fr-FR" w:bidi="fr-FR"/>
        </w:rPr>
        <w:t xml:space="preserve">, dans </w:t>
      </w:r>
      <w:r w:rsidRPr="003B3476">
        <w:rPr>
          <w:bCs/>
          <w:i/>
        </w:rPr>
        <w:t>Bullet. monum</w:t>
      </w:r>
      <w:r w:rsidRPr="003B3476">
        <w:rPr>
          <w:bCs/>
        </w:rPr>
        <w:t>.,</w:t>
      </w:r>
      <w:r w:rsidRPr="003B3476">
        <w:rPr>
          <w:lang w:val="fr-FR" w:eastAsia="fr-FR" w:bidi="fr-FR"/>
        </w:rPr>
        <w:t xml:space="preserve"> t. XXXIV, 1868, p. 861-879 et XXXV, 1869, p. 707-737 ; 2° </w:t>
      </w:r>
      <w:r w:rsidRPr="003B3476">
        <w:rPr>
          <w:bCs/>
          <w:i/>
        </w:rPr>
        <w:t>ancien diocèse de Paris </w:t>
      </w:r>
      <w:r w:rsidRPr="003B3476">
        <w:rPr>
          <w:bCs/>
        </w:rPr>
        <w:t>:</w:t>
      </w:r>
      <w:r w:rsidRPr="003B3476">
        <w:rPr>
          <w:lang w:val="fr-FR" w:eastAsia="fr-FR" w:bidi="fr-FR"/>
        </w:rPr>
        <w:t xml:space="preserve"> P. </w:t>
      </w:r>
      <w:r w:rsidRPr="003B3476">
        <w:rPr>
          <w:rStyle w:val="Notedebasdepage65ptPetitesmajuscules"/>
          <w:b w:val="0"/>
          <w:sz w:val="24"/>
        </w:rPr>
        <w:t xml:space="preserve">Hérard, </w:t>
      </w:r>
      <w:r w:rsidRPr="003B3476">
        <w:rPr>
          <w:bCs/>
          <w:i/>
        </w:rPr>
        <w:t>Recherches archéologiques sur les abbayes de l’ancien diocèse de Paris</w:t>
      </w:r>
      <w:r w:rsidRPr="003B3476">
        <w:rPr>
          <w:lang w:val="fr-FR" w:eastAsia="fr-FR" w:bidi="fr-FR"/>
        </w:rPr>
        <w:t>, in-4°, Paris, s. d. [1902], v + 178 p. (les brochures, réunies dans ce volume, avaient été éditées une première fois de 1851 à 1857, et renferment des re</w:t>
      </w:r>
      <w:r w:rsidRPr="003B3476">
        <w:rPr>
          <w:lang w:val="fr-FR" w:eastAsia="fr-FR" w:bidi="fr-FR"/>
        </w:rPr>
        <w:t>n</w:t>
      </w:r>
      <w:r w:rsidRPr="003B3476">
        <w:rPr>
          <w:lang w:val="fr-FR" w:eastAsia="fr-FR" w:bidi="fr-FR"/>
        </w:rPr>
        <w:t>seignements intére</w:t>
      </w:r>
      <w:r w:rsidRPr="003B3476">
        <w:rPr>
          <w:lang w:val="fr-FR" w:eastAsia="fr-FR" w:bidi="fr-FR"/>
        </w:rPr>
        <w:t>s</w:t>
      </w:r>
      <w:r w:rsidRPr="003B3476">
        <w:rPr>
          <w:lang w:val="fr-FR" w:eastAsia="fr-FR" w:bidi="fr-FR"/>
        </w:rPr>
        <w:t>sants sur des ruines qui, depuis cette époque, ont beaucoup souffert) ; 3° </w:t>
      </w:r>
      <w:r w:rsidRPr="003B3476">
        <w:rPr>
          <w:bCs/>
          <w:i/>
        </w:rPr>
        <w:t>Seine-et-Marne </w:t>
      </w:r>
      <w:r w:rsidRPr="003B3476">
        <w:rPr>
          <w:bCs/>
        </w:rPr>
        <w:t>:</w:t>
      </w:r>
      <w:r w:rsidRPr="003B3476">
        <w:rPr>
          <w:lang w:val="fr-FR" w:eastAsia="fr-FR" w:bidi="fr-FR"/>
        </w:rPr>
        <w:t xml:space="preserve"> M</w:t>
      </w:r>
      <w:r w:rsidRPr="003B3476">
        <w:rPr>
          <w:vertAlign w:val="superscript"/>
          <w:lang w:val="fr-FR" w:eastAsia="fr-FR" w:bidi="fr-FR"/>
        </w:rPr>
        <w:t>gr</w:t>
      </w:r>
      <w:r w:rsidRPr="003B3476">
        <w:rPr>
          <w:lang w:val="fr-FR" w:eastAsia="fr-FR" w:bidi="fr-FR"/>
        </w:rPr>
        <w:t xml:space="preserve"> </w:t>
      </w:r>
      <w:r w:rsidRPr="003B3476">
        <w:rPr>
          <w:rStyle w:val="Notedebasdepage65ptPetitesmajuscules"/>
          <w:b w:val="0"/>
          <w:sz w:val="24"/>
        </w:rPr>
        <w:t>Allou</w:t>
      </w:r>
      <w:r w:rsidRPr="003B3476">
        <w:rPr>
          <w:rStyle w:val="Notedebasdepage65ptPetitesmajuscules"/>
          <w:b w:val="0"/>
          <w:i/>
          <w:sz w:val="24"/>
        </w:rPr>
        <w:t xml:space="preserve">, </w:t>
      </w:r>
      <w:r w:rsidRPr="003B3476">
        <w:rPr>
          <w:bCs/>
          <w:i/>
        </w:rPr>
        <w:t>Rapport sur les églises de l’arrondissement de Meaux</w:t>
      </w:r>
      <w:r w:rsidRPr="003B3476">
        <w:rPr>
          <w:bCs/>
        </w:rPr>
        <w:t xml:space="preserve">, </w:t>
      </w:r>
      <w:r w:rsidRPr="003B3476">
        <w:rPr>
          <w:lang w:val="fr-FR" w:eastAsia="fr-FR" w:bidi="fr-FR"/>
        </w:rPr>
        <w:t xml:space="preserve">dans </w:t>
      </w:r>
      <w:r w:rsidRPr="003B3476">
        <w:rPr>
          <w:bCs/>
          <w:i/>
        </w:rPr>
        <w:t>Bullet. Comité arts et monuments</w:t>
      </w:r>
      <w:r w:rsidRPr="003B3476">
        <w:rPr>
          <w:lang w:val="fr-FR" w:eastAsia="fr-FR" w:bidi="fr-FR"/>
        </w:rPr>
        <w:t xml:space="preserve">, t. II, 1842-43, p. 40-54 ; et surtout </w:t>
      </w:r>
      <w:r w:rsidRPr="003B3476">
        <w:rPr>
          <w:rStyle w:val="Notedebasdepage65ptPetitesmajuscules"/>
          <w:b w:val="0"/>
          <w:sz w:val="24"/>
        </w:rPr>
        <w:t xml:space="preserve">Gassies, </w:t>
      </w:r>
      <w:r w:rsidRPr="003B3476">
        <w:rPr>
          <w:bCs/>
          <w:i/>
        </w:rPr>
        <w:t>Coup d’œil sur l’archéologie du Moyen Age d’après les mon</w:t>
      </w:r>
      <w:r w:rsidRPr="003B3476">
        <w:rPr>
          <w:bCs/>
          <w:i/>
        </w:rPr>
        <w:t>u</w:t>
      </w:r>
      <w:r w:rsidRPr="003B3476">
        <w:rPr>
          <w:bCs/>
          <w:i/>
        </w:rPr>
        <w:t>ments français et en particulier d’après ceux du département de Seine-et-Marne et de la région avoisinante (Brie, Champagne, Soissonnais, Beauva</w:t>
      </w:r>
      <w:r w:rsidRPr="003B3476">
        <w:rPr>
          <w:bCs/>
          <w:i/>
        </w:rPr>
        <w:t>i</w:t>
      </w:r>
      <w:r w:rsidRPr="003B3476">
        <w:rPr>
          <w:bCs/>
          <w:i/>
        </w:rPr>
        <w:t>sis, etc.)</w:t>
      </w:r>
      <w:r w:rsidRPr="003B3476">
        <w:rPr>
          <w:bCs/>
        </w:rPr>
        <w:t>,</w:t>
      </w:r>
      <w:r w:rsidRPr="003B3476">
        <w:rPr>
          <w:lang w:val="fr-FR" w:eastAsia="fr-FR" w:bidi="fr-FR"/>
        </w:rPr>
        <w:t xml:space="preserve"> dans </w:t>
      </w:r>
      <w:r w:rsidRPr="003B3476">
        <w:rPr>
          <w:bCs/>
          <w:i/>
        </w:rPr>
        <w:t>Bullet. Soc. littér.</w:t>
      </w:r>
      <w:r w:rsidRPr="003B3476">
        <w:rPr>
          <w:bCs/>
        </w:rPr>
        <w:t xml:space="preserve"> </w:t>
      </w:r>
      <w:r w:rsidRPr="003B3476">
        <w:rPr>
          <w:bCs/>
          <w:i/>
        </w:rPr>
        <w:t>Brie</w:t>
      </w:r>
      <w:r w:rsidRPr="003B3476">
        <w:rPr>
          <w:bCs/>
        </w:rPr>
        <w:t>,</w:t>
      </w:r>
      <w:r w:rsidRPr="003B3476">
        <w:rPr>
          <w:lang w:val="fr-FR" w:eastAsia="fr-FR" w:bidi="fr-FR"/>
        </w:rPr>
        <w:t xml:space="preserve"> t. II, 1894-1897, p. 151-316. Je n’ai pu voir E.-W. </w:t>
      </w:r>
      <w:r w:rsidRPr="003B3476">
        <w:rPr>
          <w:rStyle w:val="Notedebasdepage65ptPetitesmajuscules"/>
          <w:b w:val="0"/>
          <w:sz w:val="24"/>
        </w:rPr>
        <w:t xml:space="preserve">Rose, </w:t>
      </w:r>
      <w:r w:rsidRPr="003B3476">
        <w:rPr>
          <w:bCs/>
          <w:i/>
        </w:rPr>
        <w:t>Cathedrals and Cloisters of the Isle de France,</w:t>
      </w:r>
      <w:r w:rsidRPr="003B3476">
        <w:rPr>
          <w:bCs/>
        </w:rPr>
        <w:t xml:space="preserve"> 2</w:t>
      </w:r>
      <w:r w:rsidRPr="003B3476">
        <w:rPr>
          <w:lang w:val="fr-FR" w:eastAsia="fr-FR" w:bidi="fr-FR"/>
        </w:rPr>
        <w:t xml:space="preserve"> vol. in-8°, Londres, 1911, qui est surtout, je crois, un recueil icon</w:t>
      </w:r>
      <w:r w:rsidRPr="003B3476">
        <w:rPr>
          <w:lang w:val="fr-FR" w:eastAsia="fr-FR" w:bidi="fr-FR"/>
        </w:rPr>
        <w:t>o</w:t>
      </w:r>
      <w:r w:rsidRPr="003B3476">
        <w:rPr>
          <w:lang w:val="fr-FR" w:eastAsia="fr-FR" w:bidi="fr-FR"/>
        </w:rPr>
        <w:t>graphique.</w:t>
      </w:r>
    </w:p>
  </w:footnote>
  <w:footnote w:id="644">
    <w:p w14:paraId="397656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 </w:t>
      </w:r>
      <w:r w:rsidRPr="003B3476">
        <w:rPr>
          <w:rStyle w:val="Notedebasdepage65ptPetitesmajuscules"/>
          <w:b w:val="0"/>
          <w:sz w:val="24"/>
        </w:rPr>
        <w:t xml:space="preserve">Lefèvre-Pontalis </w:t>
      </w:r>
      <w:r w:rsidRPr="003B3476">
        <w:rPr>
          <w:lang w:val="fr-FR" w:eastAsia="fr-FR" w:bidi="fr-FR"/>
        </w:rPr>
        <w:t>a tout récemment cherché à préciser les caractérist</w:t>
      </w:r>
      <w:r w:rsidRPr="003B3476">
        <w:rPr>
          <w:lang w:val="fr-FR" w:eastAsia="fr-FR" w:bidi="fr-FR"/>
        </w:rPr>
        <w:t>i</w:t>
      </w:r>
      <w:r w:rsidRPr="003B3476">
        <w:rPr>
          <w:lang w:val="fr-FR" w:eastAsia="fr-FR" w:bidi="fr-FR"/>
        </w:rPr>
        <w:t>ques co</w:t>
      </w:r>
      <w:r w:rsidRPr="003B3476">
        <w:rPr>
          <w:lang w:val="fr-FR" w:eastAsia="fr-FR" w:bidi="fr-FR"/>
        </w:rPr>
        <w:t>m</w:t>
      </w:r>
      <w:r w:rsidRPr="003B3476">
        <w:rPr>
          <w:lang w:val="fr-FR" w:eastAsia="fr-FR" w:bidi="fr-FR"/>
        </w:rPr>
        <w:t xml:space="preserve">munes à toutes les églises non d’une même région, mais d’un même ordre monastique : </w:t>
      </w:r>
      <w:r w:rsidRPr="003B3476">
        <w:rPr>
          <w:bCs/>
        </w:rPr>
        <w:t>Les plans des églises romanes bénédictines,</w:t>
      </w:r>
      <w:r w:rsidRPr="003B3476">
        <w:rPr>
          <w:lang w:val="fr-FR" w:eastAsia="fr-FR" w:bidi="fr-FR"/>
        </w:rPr>
        <w:t xml:space="preserve"> dans </w:t>
      </w:r>
      <w:r w:rsidRPr="003B3476">
        <w:rPr>
          <w:bCs/>
          <w:i/>
        </w:rPr>
        <w:t>Bullet. m</w:t>
      </w:r>
      <w:r w:rsidRPr="003B3476">
        <w:rPr>
          <w:bCs/>
          <w:i/>
        </w:rPr>
        <w:t>o</w:t>
      </w:r>
      <w:r w:rsidRPr="003B3476">
        <w:rPr>
          <w:bCs/>
          <w:i/>
        </w:rPr>
        <w:t>num</w:t>
      </w:r>
      <w:r w:rsidRPr="003B3476">
        <w:rPr>
          <w:bCs/>
        </w:rPr>
        <w:t>.,</w:t>
      </w:r>
      <w:r w:rsidRPr="003B3476">
        <w:rPr>
          <w:lang w:val="fr-FR" w:eastAsia="fr-FR" w:bidi="fr-FR"/>
        </w:rPr>
        <w:t xml:space="preserve"> t. LXXVI, 1912, p. 439-485. L’essai de M. Albert </w:t>
      </w:r>
      <w:r w:rsidRPr="003B3476">
        <w:rPr>
          <w:rStyle w:val="Notedebasdepage65ptPetitesmajuscules"/>
          <w:b w:val="0"/>
          <w:sz w:val="24"/>
        </w:rPr>
        <w:t xml:space="preserve">Mayeux, </w:t>
      </w:r>
      <w:r w:rsidRPr="003B3476">
        <w:rPr>
          <w:bCs/>
          <w:i/>
        </w:rPr>
        <w:t>Les grands po</w:t>
      </w:r>
      <w:r w:rsidRPr="003B3476">
        <w:rPr>
          <w:bCs/>
          <w:i/>
        </w:rPr>
        <w:t>r</w:t>
      </w:r>
      <w:r w:rsidRPr="003B3476">
        <w:rPr>
          <w:bCs/>
          <w:i/>
        </w:rPr>
        <w:t>traits du XII</w:t>
      </w:r>
      <w:r w:rsidRPr="003B3476">
        <w:rPr>
          <w:bCs/>
          <w:i/>
          <w:vertAlign w:val="superscript"/>
        </w:rPr>
        <w:t>e</w:t>
      </w:r>
      <w:r w:rsidRPr="003B3476">
        <w:rPr>
          <w:bCs/>
          <w:i/>
        </w:rPr>
        <w:t xml:space="preserve"> siècle et les bénédictins de Tiron</w:t>
      </w:r>
      <w:r w:rsidRPr="003B3476">
        <w:rPr>
          <w:bCs/>
        </w:rPr>
        <w:t>,</w:t>
      </w:r>
      <w:r w:rsidRPr="003B3476">
        <w:rPr>
          <w:lang w:val="fr-FR" w:eastAsia="fr-FR" w:bidi="fr-FR"/>
        </w:rPr>
        <w:t xml:space="preserve"> dans </w:t>
      </w:r>
      <w:r w:rsidRPr="003B3476">
        <w:rPr>
          <w:bCs/>
          <w:i/>
        </w:rPr>
        <w:t>Rev. Mabillon</w:t>
      </w:r>
      <w:r w:rsidRPr="003B3476">
        <w:rPr>
          <w:bCs/>
        </w:rPr>
        <w:t>,</w:t>
      </w:r>
      <w:r w:rsidRPr="003B3476">
        <w:rPr>
          <w:lang w:val="fr-FR" w:eastAsia="fr-FR" w:bidi="fr-FR"/>
        </w:rPr>
        <w:t xml:space="preserve"> t. II, 1906, p. 96-122, qui intéresse très directement l’Île-de-France, est moins heureux. </w:t>
      </w:r>
      <w:r w:rsidRPr="003B3476">
        <w:rPr>
          <w:bCs/>
          <w:i/>
        </w:rPr>
        <w:t>Cf.</w:t>
      </w:r>
      <w:r w:rsidRPr="003B3476">
        <w:rPr>
          <w:bCs/>
        </w:rPr>
        <w:t xml:space="preserve"> </w:t>
      </w:r>
      <w:r w:rsidRPr="003B3476">
        <w:rPr>
          <w:bCs/>
          <w:i/>
        </w:rPr>
        <w:t>Bullet. monum</w:t>
      </w:r>
      <w:r w:rsidRPr="003B3476">
        <w:rPr>
          <w:bCs/>
        </w:rPr>
        <w:t>.,</w:t>
      </w:r>
      <w:r w:rsidRPr="003B3476">
        <w:rPr>
          <w:lang w:val="fr-FR" w:eastAsia="fr-FR" w:bidi="fr-FR"/>
        </w:rPr>
        <w:t xml:space="preserve"> t. LXX, 1906, p. 605-609, compte rendu par M. </w:t>
      </w:r>
      <w:r w:rsidRPr="003B3476">
        <w:rPr>
          <w:rStyle w:val="Notedebasdepage65ptPetitesmajuscules"/>
          <w:b w:val="0"/>
          <w:sz w:val="24"/>
        </w:rPr>
        <w:t>Lefèvre-Pontalis.</w:t>
      </w:r>
    </w:p>
  </w:footnote>
  <w:footnote w:id="645">
    <w:p w14:paraId="0BEECE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N. </w:t>
      </w:r>
      <w:r w:rsidRPr="003B3476">
        <w:rPr>
          <w:rStyle w:val="Notedebasdepage265ptNonItaliquePetitesmajuscules"/>
          <w:b w:val="0"/>
          <w:iCs/>
          <w:sz w:val="24"/>
        </w:rPr>
        <w:t>Weiss</w:t>
      </w:r>
      <w:r w:rsidRPr="003B3476">
        <w:rPr>
          <w:rStyle w:val="Notedebasdepage265ptNonItaliquePetitesmajuscules"/>
          <w:b w:val="0"/>
          <w:i/>
          <w:iCs/>
          <w:sz w:val="24"/>
        </w:rPr>
        <w:t xml:space="preserve">, </w:t>
      </w:r>
      <w:r w:rsidRPr="003B3476">
        <w:rPr>
          <w:i/>
          <w:lang w:val="fr-FR" w:eastAsia="fr-FR" w:bidi="fr-FR"/>
        </w:rPr>
        <w:t>Notes et documents sur la réforme en Brie (1518-1776),</w:t>
      </w:r>
      <w:r w:rsidRPr="003B3476">
        <w:rPr>
          <w:lang w:val="fr-FR" w:eastAsia="fr-FR" w:bidi="fr-FR"/>
        </w:rPr>
        <w:t xml:space="preserve"> </w:t>
      </w:r>
      <w:r w:rsidRPr="003B3476">
        <w:rPr>
          <w:i/>
          <w:lang w:val="fr-FR" w:eastAsia="fr-FR" w:bidi="fr-FR"/>
        </w:rPr>
        <w:t>Bullet. Soc. hist. protestant, français</w:t>
      </w:r>
      <w:r w:rsidRPr="003B3476">
        <w:rPr>
          <w:lang w:val="fr-FR" w:eastAsia="fr-FR" w:bidi="fr-FR"/>
        </w:rPr>
        <w:t>,</w:t>
      </w:r>
      <w:r w:rsidRPr="003B3476">
        <w:rPr>
          <w:bCs/>
        </w:rPr>
        <w:t xml:space="preserve"> t. XLVI (1897), p. 631-658.</w:t>
      </w:r>
    </w:p>
  </w:footnote>
  <w:footnote w:id="646">
    <w:p w14:paraId="63638EE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Cf.</w:t>
      </w:r>
      <w:r w:rsidRPr="003B3476">
        <w:rPr>
          <w:lang w:val="fr-FR" w:eastAsia="fr-FR" w:bidi="fr-FR"/>
        </w:rPr>
        <w:t xml:space="preserve"> J. </w:t>
      </w:r>
      <w:r w:rsidRPr="003B3476">
        <w:rPr>
          <w:rStyle w:val="Notedebasdepage65ptPetitesmajuscules"/>
          <w:b w:val="0"/>
          <w:i/>
          <w:sz w:val="24"/>
        </w:rPr>
        <w:t>Pannier</w:t>
      </w:r>
      <w:r w:rsidRPr="003B3476">
        <w:rPr>
          <w:rStyle w:val="Notedebasdepage65ptPetitesmajuscules"/>
          <w:b w:val="0"/>
          <w:sz w:val="24"/>
        </w:rPr>
        <w:t xml:space="preserve">, </w:t>
      </w:r>
      <w:r w:rsidRPr="003B3476">
        <w:rPr>
          <w:i/>
        </w:rPr>
        <w:t>Le protestantisme à Claye de 1554 à 1700</w:t>
      </w:r>
      <w:r w:rsidRPr="003B3476">
        <w:t xml:space="preserve">., </w:t>
      </w:r>
      <w:r w:rsidRPr="003B3476">
        <w:rPr>
          <w:i/>
        </w:rPr>
        <w:t>Bullet. Soc. hist. pr</w:t>
      </w:r>
      <w:r w:rsidRPr="003B3476">
        <w:rPr>
          <w:i/>
        </w:rPr>
        <w:t>o</w:t>
      </w:r>
      <w:r w:rsidRPr="003B3476">
        <w:rPr>
          <w:i/>
        </w:rPr>
        <w:t>testant, français</w:t>
      </w:r>
      <w:r w:rsidRPr="003B3476">
        <w:t>,</w:t>
      </w:r>
      <w:r w:rsidRPr="003B3476">
        <w:rPr>
          <w:lang w:val="fr-FR" w:eastAsia="fr-FR" w:bidi="fr-FR"/>
        </w:rPr>
        <w:t xml:space="preserve"> t. LVIII (1909), p. 192-244, et Eug. et Ém. </w:t>
      </w:r>
      <w:r w:rsidRPr="003B3476">
        <w:rPr>
          <w:rStyle w:val="Notedebasdepage65ptPetitesmajuscules"/>
          <w:b w:val="0"/>
          <w:sz w:val="24"/>
        </w:rPr>
        <w:t xml:space="preserve">Haag, </w:t>
      </w:r>
      <w:r w:rsidRPr="003B3476">
        <w:rPr>
          <w:i/>
        </w:rPr>
        <w:t>La France protestante</w:t>
      </w:r>
      <w:r w:rsidRPr="003B3476">
        <w:t>,</w:t>
      </w:r>
      <w:r w:rsidRPr="003B3476">
        <w:rPr>
          <w:lang w:val="fr-FR" w:eastAsia="fr-FR" w:bidi="fr-FR"/>
        </w:rPr>
        <w:t xml:space="preserve"> 2</w:t>
      </w:r>
      <w:r w:rsidRPr="003B3476">
        <w:rPr>
          <w:vertAlign w:val="superscript"/>
          <w:lang w:val="fr-FR" w:eastAsia="fr-FR" w:bidi="fr-FR"/>
        </w:rPr>
        <w:t>e</w:t>
      </w:r>
      <w:r w:rsidRPr="003B3476">
        <w:rPr>
          <w:lang w:val="fr-FR" w:eastAsia="fr-FR" w:bidi="fr-FR"/>
        </w:rPr>
        <w:t xml:space="preserve"> éd., t. I, in-8°, Paris, 1877, au mot Anjorrant, p. 266 et suiv.</w:t>
      </w:r>
    </w:p>
  </w:footnote>
  <w:footnote w:id="647">
    <w:p w14:paraId="7D6F21D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t xml:space="preserve"> O. </w:t>
      </w:r>
      <w:r w:rsidRPr="003B3476">
        <w:rPr>
          <w:rStyle w:val="Notedebasdepage265ptNonItaliquePetitesmajuscules"/>
          <w:b w:val="0"/>
          <w:iCs/>
          <w:sz w:val="24"/>
        </w:rPr>
        <w:t>Douen</w:t>
      </w:r>
      <w:r w:rsidRPr="003B3476">
        <w:rPr>
          <w:rStyle w:val="Notedebasdepage265ptNonItaliquePetitesmajuscules"/>
          <w:b w:val="0"/>
          <w:i/>
          <w:iCs/>
          <w:sz w:val="24"/>
        </w:rPr>
        <w:t xml:space="preserve">, </w:t>
      </w:r>
      <w:r w:rsidRPr="003B3476">
        <w:rPr>
          <w:i/>
          <w:lang w:val="fr-FR" w:eastAsia="fr-FR" w:bidi="fr-FR"/>
        </w:rPr>
        <w:t>La Réforme en Picardie</w:t>
      </w:r>
      <w:r w:rsidRPr="003B3476">
        <w:rPr>
          <w:lang w:val="fr-FR" w:eastAsia="fr-FR" w:bidi="fr-FR"/>
        </w:rPr>
        <w:t xml:space="preserve">, </w:t>
      </w:r>
      <w:r w:rsidRPr="003B3476">
        <w:rPr>
          <w:i/>
          <w:lang w:val="fr-FR" w:eastAsia="fr-FR" w:bidi="fr-FR"/>
        </w:rPr>
        <w:t>Bullet. Soc. hist. protestant, français</w:t>
      </w:r>
      <w:r w:rsidRPr="003B3476">
        <w:rPr>
          <w:lang w:val="fr-FR" w:eastAsia="fr-FR" w:bidi="fr-FR"/>
        </w:rPr>
        <w:t>,</w:t>
      </w:r>
      <w:r w:rsidRPr="003B3476">
        <w:t xml:space="preserve"> t. VIII (1859), p. 391. Le fait est cité sans référence.</w:t>
      </w:r>
    </w:p>
  </w:footnote>
  <w:footnote w:id="648">
    <w:p w14:paraId="2B7320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guerres de religion dans l’Île-de-France on pourra consulter : </w:t>
      </w:r>
      <w:r w:rsidRPr="003B3476">
        <w:rPr>
          <w:rStyle w:val="Notedebasdepage65ptPetitesmajuscules"/>
          <w:b w:val="0"/>
          <w:sz w:val="24"/>
        </w:rPr>
        <w:t xml:space="preserve">H. Lecharpentier, </w:t>
      </w:r>
      <w:r w:rsidRPr="003B3476">
        <w:rPr>
          <w:bCs/>
          <w:i/>
        </w:rPr>
        <w:t>La ligue à Pontoise et dans le Vexin français</w:t>
      </w:r>
      <w:r w:rsidRPr="003B3476">
        <w:rPr>
          <w:bCs/>
        </w:rPr>
        <w:t>,</w:t>
      </w:r>
      <w:r w:rsidRPr="003B3476">
        <w:rPr>
          <w:lang w:val="fr-FR" w:eastAsia="fr-FR" w:bidi="fr-FR"/>
        </w:rPr>
        <w:t xml:space="preserve"> in-8°, Po</w:t>
      </w:r>
      <w:r w:rsidRPr="003B3476">
        <w:rPr>
          <w:lang w:val="fr-FR" w:eastAsia="fr-FR" w:bidi="fr-FR"/>
        </w:rPr>
        <w:t>n</w:t>
      </w:r>
      <w:r w:rsidRPr="003B3476">
        <w:rPr>
          <w:lang w:val="fr-FR" w:eastAsia="fr-FR" w:bidi="fr-FR"/>
        </w:rPr>
        <w:t xml:space="preserve">toise, 1878, 246 + </w:t>
      </w:r>
      <w:r w:rsidRPr="003B3476">
        <w:rPr>
          <w:smallCaps/>
          <w:lang w:val="fr-FR" w:eastAsia="fr-FR" w:bidi="fr-FR"/>
        </w:rPr>
        <w:t>cxiii</w:t>
      </w:r>
      <w:r w:rsidRPr="003B3476">
        <w:rPr>
          <w:lang w:val="fr-FR" w:eastAsia="fr-FR" w:bidi="fr-FR"/>
        </w:rPr>
        <w:t xml:space="preserve"> p., et G. </w:t>
      </w:r>
      <w:r w:rsidRPr="003B3476">
        <w:rPr>
          <w:rStyle w:val="Notedebasdepage65ptPetitesmajuscules"/>
          <w:b w:val="0"/>
          <w:sz w:val="24"/>
        </w:rPr>
        <w:t xml:space="preserve">Baguenault de Puchesse, </w:t>
      </w:r>
      <w:r w:rsidRPr="003B3476">
        <w:rPr>
          <w:lang w:val="fr-FR" w:eastAsia="fr-FR" w:bidi="fr-FR"/>
        </w:rPr>
        <w:t xml:space="preserve">L. </w:t>
      </w:r>
      <w:r w:rsidRPr="003B3476">
        <w:rPr>
          <w:rStyle w:val="Notedebasdepage65ptPetitesmajuscules"/>
          <w:b w:val="0"/>
          <w:sz w:val="24"/>
        </w:rPr>
        <w:t xml:space="preserve">Auyray </w:t>
      </w:r>
      <w:r w:rsidRPr="003B3476">
        <w:rPr>
          <w:lang w:val="fr-FR" w:eastAsia="fr-FR" w:bidi="fr-FR"/>
        </w:rPr>
        <w:t xml:space="preserve">et B. de </w:t>
      </w:r>
      <w:r w:rsidRPr="003B3476">
        <w:rPr>
          <w:rStyle w:val="Notedebasdepage65ptPetitesmajuscules"/>
          <w:b w:val="0"/>
          <w:sz w:val="24"/>
        </w:rPr>
        <w:t xml:space="preserve">Lacombe, </w:t>
      </w:r>
      <w:r w:rsidRPr="003B3476">
        <w:rPr>
          <w:i/>
        </w:rPr>
        <w:t>Documents sur les guerres de religion dans l’Orléanais,</w:t>
      </w:r>
      <w:r w:rsidRPr="003B3476">
        <w:rPr>
          <w:i/>
          <w:lang w:val="fr-FR" w:eastAsia="fr-FR" w:bidi="fr-FR"/>
        </w:rPr>
        <w:t xml:space="preserve"> I</w:t>
      </w:r>
      <w:r w:rsidRPr="003B3476">
        <w:rPr>
          <w:i/>
          <w:vertAlign w:val="superscript"/>
          <w:lang w:val="fr-FR" w:eastAsia="fr-FR" w:bidi="fr-FR"/>
        </w:rPr>
        <w:t>re</w:t>
      </w:r>
      <w:r w:rsidRPr="003B3476">
        <w:rPr>
          <w:i/>
          <w:lang w:val="fr-FR" w:eastAsia="fr-FR" w:bidi="fr-FR"/>
        </w:rPr>
        <w:t> série (1560-1565)</w:t>
      </w:r>
      <w:r w:rsidRPr="003B3476">
        <w:rPr>
          <w:lang w:val="fr-FR" w:eastAsia="fr-FR" w:bidi="fr-FR"/>
        </w:rPr>
        <w:t>, in-8°, O</w:t>
      </w:r>
      <w:r w:rsidRPr="003B3476">
        <w:rPr>
          <w:lang w:val="fr-FR" w:eastAsia="fr-FR" w:bidi="fr-FR"/>
        </w:rPr>
        <w:t>r</w:t>
      </w:r>
      <w:r w:rsidRPr="003B3476">
        <w:rPr>
          <w:lang w:val="fr-FR" w:eastAsia="fr-FR" w:bidi="fr-FR"/>
        </w:rPr>
        <w:t>léans, 1902, 155 p.</w:t>
      </w:r>
    </w:p>
  </w:footnote>
  <w:footnote w:id="649">
    <w:p w14:paraId="7AB5D35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w:t>
      </w:r>
      <w:r w:rsidRPr="003B3476">
        <w:rPr>
          <w:lang w:val="fr-FR" w:eastAsia="fr-FR" w:bidi="fr-FR"/>
        </w:rPr>
        <w:t xml:space="preserve"> Eugène </w:t>
      </w:r>
      <w:r w:rsidRPr="003B3476">
        <w:rPr>
          <w:rStyle w:val="Notedebasdepage65ptPetitesmajuscules"/>
          <w:b w:val="0"/>
          <w:sz w:val="24"/>
        </w:rPr>
        <w:t xml:space="preserve">Ritter, </w:t>
      </w:r>
      <w:r w:rsidRPr="003B3476">
        <w:rPr>
          <w:i/>
        </w:rPr>
        <w:t>Didier Rousseau, le quartaïeul de Jean-Jacques, Bullet. Soc. hist. protestant, français</w:t>
      </w:r>
      <w:r w:rsidRPr="003B3476">
        <w:rPr>
          <w:lang w:val="fr-FR" w:eastAsia="fr-FR" w:bidi="fr-FR"/>
        </w:rPr>
        <w:t xml:space="preserve">, t. XLII (1893), p. 281-292 ; </w:t>
      </w:r>
      <w:r w:rsidRPr="003B3476">
        <w:rPr>
          <w:i/>
        </w:rPr>
        <w:t>Didier Rousseau, qua</w:t>
      </w:r>
      <w:r w:rsidRPr="003B3476">
        <w:rPr>
          <w:i/>
        </w:rPr>
        <w:t>r</w:t>
      </w:r>
      <w:r w:rsidRPr="003B3476">
        <w:rPr>
          <w:i/>
        </w:rPr>
        <w:t>taïeul de Jean-Jacques Rousseau, nouveaux documents</w:t>
      </w:r>
      <w:r w:rsidRPr="003B3476">
        <w:t xml:space="preserve">, </w:t>
      </w:r>
      <w:r w:rsidRPr="003B3476">
        <w:rPr>
          <w:i/>
        </w:rPr>
        <w:t>Ibid.</w:t>
      </w:r>
      <w:r w:rsidRPr="003B3476">
        <w:t>,</w:t>
      </w:r>
      <w:r w:rsidRPr="003B3476">
        <w:rPr>
          <w:lang w:val="fr-FR" w:eastAsia="fr-FR" w:bidi="fr-FR"/>
        </w:rPr>
        <w:t xml:space="preserve"> t. XLIV (1895), p. 635-638, et J. </w:t>
      </w:r>
      <w:r w:rsidRPr="003B3476">
        <w:rPr>
          <w:rStyle w:val="Notedebasdepage65ptPetitesmajuscules"/>
          <w:b w:val="0"/>
          <w:sz w:val="24"/>
        </w:rPr>
        <w:t xml:space="preserve">Pannier, </w:t>
      </w:r>
      <w:r w:rsidRPr="003B3476">
        <w:rPr>
          <w:i/>
        </w:rPr>
        <w:t>Didier Rousseau de Montlhéry et autres r</w:t>
      </w:r>
      <w:r w:rsidRPr="003B3476">
        <w:rPr>
          <w:i/>
        </w:rPr>
        <w:t>é</w:t>
      </w:r>
      <w:r w:rsidRPr="003B3476">
        <w:rPr>
          <w:i/>
        </w:rPr>
        <w:t>fugiés à G</w:t>
      </w:r>
      <w:r w:rsidRPr="003B3476">
        <w:rPr>
          <w:i/>
        </w:rPr>
        <w:t>e</w:t>
      </w:r>
      <w:r w:rsidRPr="003B3476">
        <w:rPr>
          <w:i/>
        </w:rPr>
        <w:t>nève</w:t>
      </w:r>
      <w:r w:rsidRPr="003B3476">
        <w:t xml:space="preserve">, </w:t>
      </w:r>
      <w:r w:rsidRPr="003B3476">
        <w:rPr>
          <w:i/>
        </w:rPr>
        <w:t>Ibid.</w:t>
      </w:r>
      <w:r w:rsidRPr="003B3476">
        <w:t>,</w:t>
      </w:r>
      <w:r w:rsidRPr="003B3476">
        <w:rPr>
          <w:lang w:val="fr-FR" w:eastAsia="fr-FR" w:bidi="fr-FR"/>
        </w:rPr>
        <w:t xml:space="preserve"> t. XLVII (1898), p. 411-413. On remarquera l’expression Mo</w:t>
      </w:r>
      <w:r w:rsidRPr="003B3476">
        <w:rPr>
          <w:lang w:val="fr-FR" w:eastAsia="fr-FR" w:bidi="fr-FR"/>
        </w:rPr>
        <w:t>n</w:t>
      </w:r>
      <w:r w:rsidRPr="003B3476">
        <w:rPr>
          <w:lang w:val="fr-FR" w:eastAsia="fr-FR" w:bidi="fr-FR"/>
        </w:rPr>
        <w:t>tlhéry « en France » (exactement : « Montrichery lès Paris en France » ; ai</w:t>
      </w:r>
      <w:r w:rsidRPr="003B3476">
        <w:rPr>
          <w:lang w:val="fr-FR" w:eastAsia="fr-FR" w:bidi="fr-FR"/>
        </w:rPr>
        <w:t>l</w:t>
      </w:r>
      <w:r w:rsidRPr="003B3476">
        <w:rPr>
          <w:lang w:val="fr-FR" w:eastAsia="fr-FR" w:bidi="fr-FR"/>
        </w:rPr>
        <w:t xml:space="preserve">leurs « Montlechery »). Elle prouve que le nom de « France » au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siècle s’appliquait encore quelquefois au pays au Sud de la Seine.</w:t>
      </w:r>
    </w:p>
  </w:footnote>
  <w:footnote w:id="650">
    <w:p w14:paraId="2C7A6B7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La plupart des études de M. </w:t>
      </w:r>
      <w:r w:rsidRPr="003B3476">
        <w:rPr>
          <w:rStyle w:val="Notedebasdepage65ptPetitesmajuscules"/>
          <w:b w:val="0"/>
          <w:sz w:val="24"/>
        </w:rPr>
        <w:t xml:space="preserve">Pannier </w:t>
      </w:r>
      <w:r w:rsidRPr="003B3476">
        <w:rPr>
          <w:lang w:val="fr-FR" w:eastAsia="fr-FR" w:bidi="fr-FR"/>
        </w:rPr>
        <w:t xml:space="preserve">ont paru dans le </w:t>
      </w:r>
      <w:r w:rsidRPr="003B3476">
        <w:rPr>
          <w:i/>
        </w:rPr>
        <w:t>Bulletin de la Société de l’histoire du protestantisme français</w:t>
      </w:r>
      <w:r w:rsidRPr="003B3476">
        <w:rPr>
          <w:lang w:val="fr-FR" w:eastAsia="fr-FR" w:bidi="fr-FR"/>
        </w:rPr>
        <w:t xml:space="preserve">, — certaines d’entre elles sous le titre </w:t>
      </w:r>
      <w:r w:rsidRPr="003B3476">
        <w:t>Études historiques sur les églises réformées de l’Île-de-France.</w:t>
      </w:r>
      <w:r w:rsidRPr="003B3476">
        <w:rPr>
          <w:lang w:val="fr-FR" w:eastAsia="fr-FR" w:bidi="fr-FR"/>
        </w:rPr>
        <w:t xml:space="preserve"> On les trouv</w:t>
      </w:r>
      <w:r w:rsidRPr="003B3476">
        <w:rPr>
          <w:lang w:val="fr-FR" w:eastAsia="fr-FR" w:bidi="fr-FR"/>
        </w:rPr>
        <w:t>e</w:t>
      </w:r>
      <w:r w:rsidRPr="003B3476">
        <w:rPr>
          <w:lang w:val="fr-FR" w:eastAsia="fr-FR" w:bidi="fr-FR"/>
        </w:rPr>
        <w:t xml:space="preserve">ra énumérées dans ce </w:t>
      </w:r>
      <w:r w:rsidRPr="003B3476">
        <w:t>Bulletin,</w:t>
      </w:r>
      <w:r w:rsidRPr="003B3476">
        <w:rPr>
          <w:lang w:val="fr-FR" w:eastAsia="fr-FR" w:bidi="fr-FR"/>
        </w:rPr>
        <w:t xml:space="preserve"> t. L (1901), p. 169, n. 1, et t. LVIII (1909), p. 193, n. 1. Ajouter aux indications fournies par cette seconde note l’article su</w:t>
      </w:r>
      <w:r w:rsidRPr="003B3476">
        <w:rPr>
          <w:lang w:val="fr-FR" w:eastAsia="fr-FR" w:bidi="fr-FR"/>
        </w:rPr>
        <w:t>i</w:t>
      </w:r>
      <w:r w:rsidRPr="003B3476">
        <w:rPr>
          <w:lang w:val="fr-FR" w:eastAsia="fr-FR" w:bidi="fr-FR"/>
        </w:rPr>
        <w:t xml:space="preserve">vant : </w:t>
      </w:r>
      <w:r w:rsidRPr="003B3476">
        <w:t xml:space="preserve">Note complémentaire sur Grigny, </w:t>
      </w:r>
      <w:r w:rsidRPr="003B3476">
        <w:rPr>
          <w:i/>
        </w:rPr>
        <w:t>Ibid.</w:t>
      </w:r>
      <w:r w:rsidRPr="003B3476">
        <w:t>,</w:t>
      </w:r>
      <w:r w:rsidRPr="003B3476">
        <w:rPr>
          <w:lang w:val="fr-FR" w:eastAsia="fr-FR" w:bidi="fr-FR"/>
        </w:rPr>
        <w:t xml:space="preserve"> t. LV (1906), p. 95. M. </w:t>
      </w:r>
      <w:r w:rsidRPr="003B3476">
        <w:rPr>
          <w:rStyle w:val="Notedebasdepage65ptPetitesmajuscules"/>
          <w:b w:val="0"/>
          <w:sz w:val="24"/>
        </w:rPr>
        <w:t>Pa</w:t>
      </w:r>
      <w:r w:rsidRPr="003B3476">
        <w:rPr>
          <w:rStyle w:val="Notedebasdepage65ptPetitesmajuscules"/>
          <w:b w:val="0"/>
          <w:sz w:val="24"/>
        </w:rPr>
        <w:t>n</w:t>
      </w:r>
      <w:r w:rsidRPr="003B3476">
        <w:rPr>
          <w:rStyle w:val="Notedebasdepage65ptPetitesmajuscules"/>
          <w:b w:val="0"/>
          <w:sz w:val="24"/>
        </w:rPr>
        <w:t xml:space="preserve">nier </w:t>
      </w:r>
      <w:r w:rsidRPr="003B3476">
        <w:rPr>
          <w:lang w:val="fr-FR" w:eastAsia="fr-FR" w:bidi="fr-FR"/>
        </w:rPr>
        <w:t xml:space="preserve">est également l’auteur </w:t>
      </w:r>
      <w:r w:rsidRPr="003B3476">
        <w:t>d’</w:t>
      </w:r>
      <w:r w:rsidRPr="003B3476">
        <w:rPr>
          <w:i/>
        </w:rPr>
        <w:t>Études historiques sur la réforme à Corbeil et aux env</w:t>
      </w:r>
      <w:r w:rsidRPr="003B3476">
        <w:rPr>
          <w:i/>
        </w:rPr>
        <w:t>i</w:t>
      </w:r>
      <w:r w:rsidRPr="003B3476">
        <w:rPr>
          <w:i/>
        </w:rPr>
        <w:t>rons, au XVI</w:t>
      </w:r>
      <w:r w:rsidRPr="003B3476">
        <w:rPr>
          <w:i/>
          <w:vertAlign w:val="superscript"/>
        </w:rPr>
        <w:t>e</w:t>
      </w:r>
      <w:r w:rsidRPr="003B3476">
        <w:rPr>
          <w:i/>
        </w:rPr>
        <w:t xml:space="preserve"> siècle</w:t>
      </w:r>
      <w:r w:rsidRPr="003B3476">
        <w:t xml:space="preserve"> (</w:t>
      </w:r>
      <w:r w:rsidRPr="003B3476">
        <w:rPr>
          <w:i/>
        </w:rPr>
        <w:t>Mém. et doc. de la Soc. hist. de Corbeil</w:t>
      </w:r>
      <w:r w:rsidRPr="003B3476">
        <w:t>,</w:t>
      </w:r>
      <w:r w:rsidRPr="003B3476">
        <w:rPr>
          <w:lang w:val="fr-FR" w:eastAsia="fr-FR" w:bidi="fr-FR"/>
        </w:rPr>
        <w:t xml:space="preserve"> II), in-8°, Paris, 1900, 51 p. Son livre sur </w:t>
      </w:r>
      <w:r w:rsidRPr="003B3476">
        <w:rPr>
          <w:i/>
        </w:rPr>
        <w:t>L’Église réformée de Paris sous Henri IV</w:t>
      </w:r>
      <w:r w:rsidRPr="003B3476">
        <w:rPr>
          <w:lang w:val="fr-FR" w:eastAsia="fr-FR" w:bidi="fr-FR"/>
        </w:rPr>
        <w:t xml:space="preserve"> (thèse Fac. Lettres Paris), in-8°, Paris, 1911, intéresse naturellement par pl</w:t>
      </w:r>
      <w:r w:rsidRPr="003B3476">
        <w:rPr>
          <w:lang w:val="fr-FR" w:eastAsia="fr-FR" w:bidi="fr-FR"/>
        </w:rPr>
        <w:t>u</w:t>
      </w:r>
      <w:r w:rsidRPr="003B3476">
        <w:rPr>
          <w:lang w:val="fr-FR" w:eastAsia="fr-FR" w:bidi="fr-FR"/>
        </w:rPr>
        <w:t xml:space="preserve">sieurs points l’historien de l’Île-de-France. </w:t>
      </w:r>
      <w:r w:rsidRPr="003B3476">
        <w:rPr>
          <w:i/>
        </w:rPr>
        <w:t>Cf.</w:t>
      </w:r>
      <w:r w:rsidRPr="003B3476">
        <w:rPr>
          <w:lang w:val="fr-FR" w:eastAsia="fr-FR" w:bidi="fr-FR"/>
        </w:rPr>
        <w:t xml:space="preserve"> aussi G. </w:t>
      </w:r>
      <w:r w:rsidRPr="003B3476">
        <w:rPr>
          <w:rStyle w:val="Notedebasdepage65ptPetitesmajuscules"/>
          <w:b w:val="0"/>
          <w:sz w:val="24"/>
        </w:rPr>
        <w:t xml:space="preserve">Leroy, </w:t>
      </w:r>
      <w:r w:rsidRPr="003B3476">
        <w:rPr>
          <w:i/>
        </w:rPr>
        <w:t>Recherches historiques sur le protestantisme dans le Melunais (1567-1789),</w:t>
      </w:r>
      <w:r w:rsidRPr="003B3476">
        <w:rPr>
          <w:lang w:val="fr-FR" w:eastAsia="fr-FR" w:bidi="fr-FR"/>
        </w:rPr>
        <w:t xml:space="preserve"> pet. in-8°, Meaux, 1874, 63 p.</w:t>
      </w:r>
    </w:p>
  </w:footnote>
  <w:footnote w:id="651">
    <w:p w14:paraId="6F7924B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La Réforme et les églises réformées dans le département actuel d'Eure-et-Loir (1523-1911),</w:t>
      </w:r>
      <w:r w:rsidRPr="003B3476">
        <w:rPr>
          <w:lang w:val="fr-FR" w:eastAsia="fr-FR" w:bidi="fr-FR"/>
        </w:rPr>
        <w:t xml:space="preserve"> </w:t>
      </w:r>
      <w:r w:rsidRPr="003B3476">
        <w:rPr>
          <w:bCs/>
        </w:rPr>
        <w:t xml:space="preserve">in-8°, </w:t>
      </w:r>
      <w:r w:rsidRPr="003B3476">
        <w:rPr>
          <w:rStyle w:val="Notedebasdepage265ptNonItalique"/>
          <w:b w:val="0"/>
          <w:i/>
          <w:iCs/>
          <w:sz w:val="24"/>
        </w:rPr>
        <w:t xml:space="preserve">Paris, </w:t>
      </w:r>
      <w:r w:rsidRPr="003B3476">
        <w:rPr>
          <w:bCs/>
        </w:rPr>
        <w:t xml:space="preserve">1912, </w:t>
      </w:r>
      <w:r w:rsidRPr="003B3476">
        <w:rPr>
          <w:rStyle w:val="Notedebasdepage265ptNonItalique"/>
          <w:b w:val="0"/>
          <w:i/>
          <w:iCs/>
          <w:smallCaps/>
          <w:sz w:val="24"/>
        </w:rPr>
        <w:t>vi</w:t>
      </w:r>
      <w:r w:rsidRPr="003B3476">
        <w:rPr>
          <w:rStyle w:val="Notedebasdepage265ptNonItalique"/>
          <w:b w:val="0"/>
          <w:i/>
          <w:iCs/>
          <w:sz w:val="24"/>
        </w:rPr>
        <w:t xml:space="preserve"> </w:t>
      </w:r>
      <w:r w:rsidRPr="003B3476">
        <w:rPr>
          <w:bCs/>
        </w:rPr>
        <w:t xml:space="preserve">+ 595 </w:t>
      </w:r>
      <w:r w:rsidRPr="003B3476">
        <w:rPr>
          <w:rStyle w:val="Notedebasdepage265ptNonItalique"/>
          <w:b w:val="0"/>
          <w:i/>
          <w:iCs/>
          <w:sz w:val="24"/>
        </w:rPr>
        <w:t xml:space="preserve">p. </w:t>
      </w:r>
      <w:r w:rsidRPr="003B3476">
        <w:rPr>
          <w:i/>
          <w:lang w:val="fr-FR" w:eastAsia="fr-FR" w:bidi="fr-FR"/>
        </w:rPr>
        <w:t>Cf.</w:t>
      </w:r>
      <w:r w:rsidRPr="003B3476">
        <w:rPr>
          <w:bCs/>
        </w:rPr>
        <w:t xml:space="preserve"> </w:t>
      </w:r>
      <w:r w:rsidRPr="003B3476">
        <w:rPr>
          <w:rStyle w:val="Notedebasdepage265ptNonItalique"/>
          <w:b w:val="0"/>
          <w:i/>
          <w:iCs/>
          <w:sz w:val="24"/>
        </w:rPr>
        <w:t xml:space="preserve">Am. </w:t>
      </w:r>
      <w:r w:rsidRPr="003B3476">
        <w:rPr>
          <w:rStyle w:val="Notedebasdepage265ptNonItaliquePetitesmajuscules"/>
          <w:b w:val="0"/>
          <w:iCs/>
          <w:sz w:val="24"/>
        </w:rPr>
        <w:t>Lefèvre-Pontalis</w:t>
      </w:r>
      <w:r w:rsidRPr="003B3476">
        <w:rPr>
          <w:rStyle w:val="Notedebasdepage265ptNonItaliquePetitesmajuscules"/>
          <w:b w:val="0"/>
          <w:i/>
          <w:iCs/>
          <w:sz w:val="24"/>
        </w:rPr>
        <w:t xml:space="preserve">, </w:t>
      </w:r>
      <w:r w:rsidRPr="003B3476">
        <w:rPr>
          <w:i/>
          <w:lang w:val="fr-FR" w:eastAsia="fr-FR" w:bidi="fr-FR"/>
        </w:rPr>
        <w:t>Le calvinisme dans le Dunois au XVI</w:t>
      </w:r>
      <w:r w:rsidRPr="003B3476">
        <w:rPr>
          <w:i/>
          <w:vertAlign w:val="superscript"/>
          <w:lang w:val="fr-FR" w:eastAsia="fr-FR" w:bidi="fr-FR"/>
        </w:rPr>
        <w:t>e</w:t>
      </w:r>
      <w:r w:rsidRPr="003B3476">
        <w:rPr>
          <w:i/>
          <w:lang w:val="fr-FR" w:eastAsia="fr-FR" w:bidi="fr-FR"/>
        </w:rPr>
        <w:t xml:space="preserve"> siècle et au XVII</w:t>
      </w:r>
      <w:r w:rsidRPr="003B3476">
        <w:rPr>
          <w:i/>
          <w:vertAlign w:val="superscript"/>
          <w:lang w:val="fr-FR" w:eastAsia="fr-FR" w:bidi="fr-FR"/>
        </w:rPr>
        <w:t>e</w:t>
      </w:r>
      <w:r w:rsidRPr="003B3476">
        <w:rPr>
          <w:lang w:val="fr-FR" w:eastAsia="fr-FR" w:bidi="fr-FR"/>
        </w:rPr>
        <w:t xml:space="preserve">, </w:t>
      </w:r>
      <w:r w:rsidRPr="003B3476">
        <w:rPr>
          <w:i/>
          <w:lang w:val="fr-FR" w:eastAsia="fr-FR" w:bidi="fr-FR"/>
        </w:rPr>
        <w:t>Bullet. Soc. dunoise</w:t>
      </w:r>
      <w:r w:rsidRPr="003B3476">
        <w:rPr>
          <w:lang w:val="fr-FR" w:eastAsia="fr-FR" w:bidi="fr-FR"/>
        </w:rPr>
        <w:t>,</w:t>
      </w:r>
      <w:r w:rsidRPr="003B3476">
        <w:rPr>
          <w:bCs/>
        </w:rPr>
        <w:t xml:space="preserve"> t. III (1875-1880), </w:t>
      </w:r>
      <w:r>
        <w:rPr>
          <w:bCs/>
        </w:rPr>
        <w:t>p</w:t>
      </w:r>
      <w:r w:rsidRPr="000A4F4B">
        <w:rPr>
          <w:rStyle w:val="Notedebasdepage265ptNonItalique"/>
          <w:b w:val="0"/>
          <w:iCs/>
          <w:sz w:val="24"/>
        </w:rPr>
        <w:t>p</w:t>
      </w:r>
      <w:r w:rsidRPr="003B3476">
        <w:rPr>
          <w:rStyle w:val="Notedebasdepage265ptNonItalique"/>
          <w:b w:val="0"/>
          <w:i/>
          <w:iCs/>
          <w:sz w:val="24"/>
        </w:rPr>
        <w:t xml:space="preserve">. </w:t>
      </w:r>
      <w:r w:rsidRPr="003B3476">
        <w:rPr>
          <w:bCs/>
        </w:rPr>
        <w:t>275-292.</w:t>
      </w:r>
    </w:p>
  </w:footnote>
  <w:footnote w:id="652">
    <w:p w14:paraId="1582900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Le chapitre de Notre-Dame de Paris en 1790</w:t>
      </w:r>
      <w:r w:rsidRPr="003B3476">
        <w:rPr>
          <w:lang w:val="fr-FR" w:eastAsia="fr-FR" w:bidi="fr-FR"/>
        </w:rPr>
        <w:t>,</w:t>
      </w:r>
      <w:r w:rsidRPr="003B3476">
        <w:rPr>
          <w:bCs/>
        </w:rPr>
        <w:t xml:space="preserve"> gr. in-8°, Paris, [1903], </w:t>
      </w:r>
      <w:r w:rsidRPr="003B3476">
        <w:rPr>
          <w:bCs/>
          <w:smallCaps/>
        </w:rPr>
        <w:t>viii</w:t>
      </w:r>
      <w:r w:rsidRPr="003B3476">
        <w:rPr>
          <w:bCs/>
        </w:rPr>
        <w:t xml:space="preserve"> + 297 p.</w:t>
      </w:r>
    </w:p>
  </w:footnote>
  <w:footnote w:id="653">
    <w:p w14:paraId="4CDCD0B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Le livre de H. </w:t>
      </w:r>
      <w:r w:rsidRPr="003B3476">
        <w:rPr>
          <w:rStyle w:val="Notedebasdepage65ptPetitesmajuscules"/>
          <w:b w:val="0"/>
          <w:sz w:val="24"/>
        </w:rPr>
        <w:t xml:space="preserve">Druon, </w:t>
      </w:r>
      <w:r w:rsidRPr="003B3476">
        <w:rPr>
          <w:bCs/>
          <w:i/>
        </w:rPr>
        <w:t>Bossuet à Meaux</w:t>
      </w:r>
      <w:r w:rsidRPr="003B3476">
        <w:rPr>
          <w:bCs/>
        </w:rPr>
        <w:t>,</w:t>
      </w:r>
      <w:r w:rsidRPr="003B3476">
        <w:rPr>
          <w:lang w:val="fr-FR" w:eastAsia="fr-FR" w:bidi="fr-FR"/>
        </w:rPr>
        <w:t xml:space="preserve"> in-12, Paris, 1900. est tout fait insuff</w:t>
      </w:r>
      <w:r w:rsidRPr="003B3476">
        <w:rPr>
          <w:lang w:val="fr-FR" w:eastAsia="fr-FR" w:bidi="fr-FR"/>
        </w:rPr>
        <w:t>i</w:t>
      </w:r>
      <w:r w:rsidRPr="003B3476">
        <w:rPr>
          <w:lang w:val="fr-FR" w:eastAsia="fr-FR" w:bidi="fr-FR"/>
        </w:rPr>
        <w:t>sant.</w:t>
      </w:r>
    </w:p>
  </w:footnote>
  <w:footnote w:id="654">
    <w:p w14:paraId="4E4094D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w:t>
      </w:r>
      <w:r w:rsidRPr="003B3476">
        <w:rPr>
          <w:lang w:val="fr-FR" w:eastAsia="fr-FR" w:bidi="fr-FR"/>
        </w:rPr>
        <w:t xml:space="preserve"> les indications données par P. </w:t>
      </w:r>
      <w:r w:rsidRPr="003B3476">
        <w:rPr>
          <w:rStyle w:val="Notedebasdepage65ptPetitesmajuscules"/>
          <w:b w:val="0"/>
          <w:sz w:val="24"/>
        </w:rPr>
        <w:t xml:space="preserve">Caron </w:t>
      </w:r>
      <w:r w:rsidRPr="003B3476">
        <w:rPr>
          <w:lang w:val="fr-FR" w:eastAsia="fr-FR" w:bidi="fr-FR"/>
        </w:rPr>
        <w:t xml:space="preserve">et </w:t>
      </w:r>
      <w:r w:rsidRPr="003B3476">
        <w:rPr>
          <w:rStyle w:val="Notedebasdepage65ptPetitesmajuscules"/>
          <w:b w:val="0"/>
          <w:sz w:val="24"/>
        </w:rPr>
        <w:t xml:space="preserve">Sagnac, </w:t>
      </w:r>
      <w:r w:rsidRPr="003B3476">
        <w:rPr>
          <w:i/>
        </w:rPr>
        <w:t>L’état actuel des études d'histo</w:t>
      </w:r>
      <w:r w:rsidRPr="003B3476">
        <w:rPr>
          <w:i/>
        </w:rPr>
        <w:t>i</w:t>
      </w:r>
      <w:r w:rsidRPr="003B3476">
        <w:rPr>
          <w:i/>
        </w:rPr>
        <w:t>re moderne en France</w:t>
      </w:r>
      <w:r w:rsidRPr="003B3476">
        <w:t>,</w:t>
      </w:r>
      <w:r w:rsidRPr="003B3476">
        <w:rPr>
          <w:lang w:val="fr-FR" w:eastAsia="fr-FR" w:bidi="fr-FR"/>
        </w:rPr>
        <w:t xml:space="preserve"> in-8°, Paris, 1902, p. 66.</w:t>
      </w:r>
    </w:p>
  </w:footnote>
  <w:footnote w:id="655">
    <w:p w14:paraId="1E9BB096"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La Renaissance dans le Vexin et une partie du Parisis</w:t>
      </w:r>
      <w:r w:rsidRPr="003B3476">
        <w:rPr>
          <w:bCs/>
          <w:i/>
        </w:rPr>
        <w:t xml:space="preserve">, à </w:t>
      </w:r>
      <w:r w:rsidRPr="003B3476">
        <w:rPr>
          <w:i/>
          <w:lang w:val="fr-FR" w:eastAsia="fr-FR" w:bidi="fr-FR"/>
        </w:rPr>
        <w:t>propos de l'ouvrage de M. Léon Palustre : La Renaissance en France</w:t>
      </w:r>
      <w:r w:rsidRPr="003B3476">
        <w:rPr>
          <w:bCs/>
        </w:rPr>
        <w:t>, gr. in-4°, Pontoise, 1886, 102 p.</w:t>
      </w:r>
    </w:p>
  </w:footnote>
  <w:footnote w:id="656">
    <w:p w14:paraId="55D23D36"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Th. </w:t>
      </w:r>
      <w:r w:rsidRPr="003B3476">
        <w:rPr>
          <w:rStyle w:val="Notedebasdepage265ptNonItaliquePetitesmajuscules"/>
          <w:b w:val="0"/>
          <w:iCs/>
          <w:sz w:val="24"/>
        </w:rPr>
        <w:t>Lhuillier</w:t>
      </w:r>
      <w:r w:rsidRPr="003B3476">
        <w:rPr>
          <w:rStyle w:val="Notedebasdepage265ptNonItaliquePetitesmajuscules"/>
          <w:b w:val="0"/>
          <w:i/>
          <w:iCs/>
          <w:sz w:val="24"/>
        </w:rPr>
        <w:t xml:space="preserve">, </w:t>
      </w:r>
      <w:r w:rsidRPr="003B3476">
        <w:rPr>
          <w:i/>
          <w:lang w:val="fr-FR" w:eastAsia="fr-FR" w:bidi="fr-FR"/>
        </w:rPr>
        <w:t>L'ancien château royal de Montceaux-en-Brie</w:t>
      </w:r>
      <w:r w:rsidRPr="003B3476">
        <w:rPr>
          <w:bCs/>
        </w:rPr>
        <w:t>, in-8°, Paris, 1885, 40 p.</w:t>
      </w:r>
    </w:p>
  </w:footnote>
  <w:footnote w:id="657">
    <w:p w14:paraId="7D832ED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t xml:space="preserve"> Ferd. de </w:t>
      </w:r>
      <w:r w:rsidRPr="003B3476">
        <w:rPr>
          <w:rStyle w:val="Notedebasdepage265ptNonItaliquePetitesmajuscules"/>
          <w:b w:val="0"/>
          <w:iCs/>
          <w:sz w:val="24"/>
        </w:rPr>
        <w:t>Lasteyrie</w:t>
      </w:r>
      <w:r w:rsidRPr="003B3476">
        <w:rPr>
          <w:rStyle w:val="Notedebasdepage265ptNonItaliquePetitesmajuscules"/>
          <w:b w:val="0"/>
          <w:i/>
          <w:iCs/>
          <w:sz w:val="24"/>
        </w:rPr>
        <w:t xml:space="preserve">, </w:t>
      </w:r>
      <w:r w:rsidRPr="003B3476">
        <w:rPr>
          <w:i/>
          <w:lang w:val="fr-FR" w:eastAsia="fr-FR" w:bidi="fr-FR"/>
        </w:rPr>
        <w:t>Un grand seigneur du XVI</w:t>
      </w:r>
      <w:r w:rsidRPr="003B3476">
        <w:rPr>
          <w:i/>
          <w:vertAlign w:val="superscript"/>
          <w:lang w:val="fr-FR" w:eastAsia="fr-FR" w:bidi="fr-FR"/>
        </w:rPr>
        <w:t>e</w:t>
      </w:r>
      <w:r w:rsidRPr="003B3476">
        <w:rPr>
          <w:i/>
          <w:lang w:val="fr-FR" w:eastAsia="fr-FR" w:bidi="fr-FR"/>
        </w:rPr>
        <w:t xml:space="preserve"> siècle. Le connétable de Mon</w:t>
      </w:r>
      <w:r w:rsidRPr="003B3476">
        <w:rPr>
          <w:i/>
          <w:lang w:val="fr-FR" w:eastAsia="fr-FR" w:bidi="fr-FR"/>
        </w:rPr>
        <w:t>t</w:t>
      </w:r>
      <w:r w:rsidRPr="003B3476">
        <w:rPr>
          <w:i/>
          <w:lang w:val="fr-FR" w:eastAsia="fr-FR" w:bidi="fr-FR"/>
        </w:rPr>
        <w:t>morency, Gaz. des Beaux-Arts</w:t>
      </w:r>
      <w:r w:rsidRPr="003B3476">
        <w:t>, 2</w:t>
      </w:r>
      <w:r w:rsidRPr="003B3476">
        <w:rPr>
          <w:vertAlign w:val="superscript"/>
        </w:rPr>
        <w:t>e</w:t>
      </w:r>
      <w:r w:rsidRPr="003B3476">
        <w:t xml:space="preserve"> période, t. XIX (1879), p. 305-320, et t. XX (1879), p. 97-114.</w:t>
      </w:r>
    </w:p>
  </w:footnote>
  <w:footnote w:id="658">
    <w:p w14:paraId="2CA8A90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w:t>
      </w:r>
      <w:r w:rsidRPr="003B3476">
        <w:rPr>
          <w:rStyle w:val="Notedebasdepage265ptNonItaliquePetitesmajuscules"/>
          <w:b w:val="0"/>
          <w:iCs/>
          <w:sz w:val="24"/>
        </w:rPr>
        <w:t>Lorin</w:t>
      </w:r>
      <w:r w:rsidRPr="003B3476">
        <w:rPr>
          <w:rStyle w:val="Notedebasdepage265ptNonItaliquePetitesmajuscules"/>
          <w:b w:val="0"/>
          <w:i/>
          <w:iCs/>
          <w:sz w:val="24"/>
        </w:rPr>
        <w:t xml:space="preserve">, </w:t>
      </w:r>
      <w:r w:rsidRPr="003B3476">
        <w:rPr>
          <w:i/>
          <w:lang w:val="fr-FR" w:eastAsia="fr-FR" w:bidi="fr-FR"/>
        </w:rPr>
        <w:t>La Société archéologique à Senlis et à Dampierre</w:t>
      </w:r>
      <w:r w:rsidRPr="003B3476">
        <w:rPr>
          <w:lang w:val="fr-FR" w:eastAsia="fr-FR" w:bidi="fr-FR"/>
        </w:rPr>
        <w:t xml:space="preserve">, </w:t>
      </w:r>
      <w:r w:rsidRPr="003B3476">
        <w:rPr>
          <w:i/>
          <w:lang w:val="fr-FR" w:eastAsia="fr-FR" w:bidi="fr-FR"/>
        </w:rPr>
        <w:t>Mém. Soc. a</w:t>
      </w:r>
      <w:r w:rsidRPr="003B3476">
        <w:rPr>
          <w:i/>
          <w:lang w:val="fr-FR" w:eastAsia="fr-FR" w:bidi="fr-FR"/>
        </w:rPr>
        <w:t>r</w:t>
      </w:r>
      <w:r w:rsidRPr="003B3476">
        <w:rPr>
          <w:i/>
          <w:lang w:val="fr-FR" w:eastAsia="fr-FR" w:bidi="fr-FR"/>
        </w:rPr>
        <w:t>chéol. Rambouillet</w:t>
      </w:r>
      <w:r w:rsidRPr="003B3476">
        <w:rPr>
          <w:bCs/>
        </w:rPr>
        <w:t>, série in-8°, t. XV (1900-1901), p. 1-118.</w:t>
      </w:r>
    </w:p>
  </w:footnote>
  <w:footnote w:id="659">
    <w:p w14:paraId="5D6835F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w:t>
      </w:r>
      <w:r w:rsidRPr="003B3476">
        <w:rPr>
          <w:rStyle w:val="Notedebasdepage265ptNonItalique"/>
          <w:b w:val="0"/>
          <w:i/>
          <w:iCs/>
          <w:sz w:val="24"/>
        </w:rPr>
        <w:t xml:space="preserve">Em. </w:t>
      </w:r>
      <w:r w:rsidRPr="003B3476">
        <w:rPr>
          <w:rStyle w:val="Notedebasdepage265ptNonItaliquePetitesmajuscules"/>
          <w:b w:val="0"/>
          <w:iCs/>
          <w:sz w:val="24"/>
        </w:rPr>
        <w:t>Galtier</w:t>
      </w:r>
      <w:r w:rsidRPr="003B3476">
        <w:rPr>
          <w:rStyle w:val="Notedebasdepage265ptNonItaliquePetitesmajuscules"/>
          <w:b w:val="0"/>
          <w:i/>
          <w:iCs/>
          <w:sz w:val="24"/>
        </w:rPr>
        <w:t xml:space="preserve">, </w:t>
      </w:r>
      <w:r w:rsidRPr="003B3476">
        <w:rPr>
          <w:i/>
          <w:lang w:val="fr-FR" w:eastAsia="fr-FR" w:bidi="fr-FR"/>
        </w:rPr>
        <w:t>Histoire de Saint-Maur-des-Fossés depuis les origines ju</w:t>
      </w:r>
      <w:r w:rsidRPr="003B3476">
        <w:rPr>
          <w:i/>
          <w:lang w:val="fr-FR" w:eastAsia="fr-FR" w:bidi="fr-FR"/>
        </w:rPr>
        <w:t>s</w:t>
      </w:r>
      <w:r w:rsidRPr="003B3476">
        <w:rPr>
          <w:i/>
          <w:lang w:val="fr-FR" w:eastAsia="fr-FR" w:bidi="fr-FR"/>
        </w:rPr>
        <w:t>qu'à nos jours</w:t>
      </w:r>
      <w:r w:rsidRPr="003B3476">
        <w:rPr>
          <w:bCs/>
        </w:rPr>
        <w:t>, in-8°, Paris, 1912, p. 131-169.</w:t>
      </w:r>
    </w:p>
  </w:footnote>
  <w:footnote w:id="660">
    <w:p w14:paraId="01EC5F0B"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H. </w:t>
      </w:r>
      <w:r w:rsidRPr="003B3476">
        <w:rPr>
          <w:rStyle w:val="Notedebasdepage265ptNonItaliquePetitesmajuscules"/>
          <w:b w:val="0"/>
          <w:iCs/>
          <w:sz w:val="24"/>
        </w:rPr>
        <w:t>Longnon</w:t>
      </w:r>
      <w:r w:rsidRPr="003B3476">
        <w:rPr>
          <w:rStyle w:val="Notedebasdepage265ptNonItaliquePetitesmajuscules"/>
          <w:b w:val="0"/>
          <w:i/>
          <w:iCs/>
          <w:sz w:val="24"/>
        </w:rPr>
        <w:t xml:space="preserve">, </w:t>
      </w:r>
      <w:r w:rsidRPr="003B3476">
        <w:rPr>
          <w:lang w:val="fr-FR" w:eastAsia="fr-FR" w:bidi="fr-FR"/>
        </w:rPr>
        <w:t>Le château de Rambouillet (Petites monographies des grands éd</w:t>
      </w:r>
      <w:r w:rsidRPr="003B3476">
        <w:rPr>
          <w:lang w:val="fr-FR" w:eastAsia="fr-FR" w:bidi="fr-FR"/>
        </w:rPr>
        <w:t>i</w:t>
      </w:r>
      <w:r w:rsidRPr="003B3476">
        <w:rPr>
          <w:lang w:val="fr-FR" w:eastAsia="fr-FR" w:bidi="fr-FR"/>
        </w:rPr>
        <w:t>fices de la France),</w:t>
      </w:r>
      <w:r w:rsidRPr="003B3476">
        <w:rPr>
          <w:bCs/>
        </w:rPr>
        <w:t xml:space="preserve"> in-12, Paris, s. d., 108 p.</w:t>
      </w:r>
    </w:p>
  </w:footnote>
  <w:footnote w:id="661">
    <w:p w14:paraId="6406CF95"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t xml:space="preserve"> vicomte de </w:t>
      </w:r>
      <w:r w:rsidRPr="003B3476">
        <w:rPr>
          <w:rStyle w:val="Notedebasdepage265ptNonItaliquePetitesmajuscules"/>
          <w:b w:val="0"/>
          <w:iCs/>
          <w:sz w:val="24"/>
        </w:rPr>
        <w:t>Grouchy</w:t>
      </w:r>
      <w:r w:rsidRPr="003B3476">
        <w:rPr>
          <w:rStyle w:val="Notedebasdepage265ptNonItaliquePetitesmajuscules"/>
          <w:b w:val="0"/>
          <w:i/>
          <w:iCs/>
          <w:sz w:val="24"/>
        </w:rPr>
        <w:t xml:space="preserve">, </w:t>
      </w:r>
      <w:r w:rsidRPr="003B3476">
        <w:rPr>
          <w:i/>
          <w:lang w:val="fr-FR" w:eastAsia="fr-FR" w:bidi="fr-FR"/>
        </w:rPr>
        <w:t>Meudon</w:t>
      </w:r>
      <w:r w:rsidRPr="003B3476">
        <w:rPr>
          <w:i/>
        </w:rPr>
        <w:t xml:space="preserve">, </w:t>
      </w:r>
      <w:r w:rsidRPr="003B3476">
        <w:rPr>
          <w:i/>
          <w:lang w:val="fr-FR" w:eastAsia="fr-FR" w:bidi="fr-FR"/>
        </w:rPr>
        <w:t>Bellevue et Chaville</w:t>
      </w:r>
      <w:r w:rsidRPr="003B3476">
        <w:rPr>
          <w:i/>
        </w:rPr>
        <w:t xml:space="preserve">, </w:t>
      </w:r>
      <w:r w:rsidRPr="003B3476">
        <w:rPr>
          <w:i/>
          <w:lang w:val="fr-FR" w:eastAsia="fr-FR" w:bidi="fr-FR"/>
        </w:rPr>
        <w:t>Mém. Soc. hist. P</w:t>
      </w:r>
      <w:r w:rsidRPr="003B3476">
        <w:rPr>
          <w:i/>
          <w:lang w:val="fr-FR" w:eastAsia="fr-FR" w:bidi="fr-FR"/>
        </w:rPr>
        <w:t>a</w:t>
      </w:r>
      <w:r w:rsidRPr="003B3476">
        <w:rPr>
          <w:i/>
          <w:lang w:val="fr-FR" w:eastAsia="fr-FR" w:bidi="fr-FR"/>
        </w:rPr>
        <w:t>ris</w:t>
      </w:r>
      <w:r w:rsidRPr="003B3476">
        <w:t>, t. XX (1893), p. 51-206.</w:t>
      </w:r>
    </w:p>
  </w:footnote>
  <w:footnote w:id="662">
    <w:p w14:paraId="745675D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rPr>
        <w:t xml:space="preserve">Aujourd’hui Maisons-Laffitte. </w:t>
      </w:r>
      <w:r w:rsidRPr="003B3476">
        <w:rPr>
          <w:i/>
          <w:lang w:val="fr-FR" w:eastAsia="fr-FR" w:bidi="fr-FR"/>
        </w:rPr>
        <w:t>Cf.</w:t>
      </w:r>
      <w:r w:rsidRPr="003B3476">
        <w:rPr>
          <w:bCs/>
        </w:rPr>
        <w:t xml:space="preserve"> Henri </w:t>
      </w:r>
      <w:r w:rsidRPr="003B3476">
        <w:rPr>
          <w:rStyle w:val="Notedebasdepage265ptNonItaliquePetitesmajuscules"/>
          <w:b w:val="0"/>
          <w:iCs/>
          <w:sz w:val="24"/>
        </w:rPr>
        <w:t>Nicolle</w:t>
      </w:r>
      <w:r w:rsidRPr="003B3476">
        <w:rPr>
          <w:rStyle w:val="Notedebasdepage265ptNonItaliquePetitesmajuscules"/>
          <w:b w:val="0"/>
          <w:i/>
          <w:iCs/>
          <w:sz w:val="24"/>
        </w:rPr>
        <w:t xml:space="preserve">, </w:t>
      </w:r>
      <w:r w:rsidRPr="003B3476">
        <w:rPr>
          <w:i/>
          <w:lang w:val="fr-FR" w:eastAsia="fr-FR" w:bidi="fr-FR"/>
        </w:rPr>
        <w:t>Le château de Maisons, son histoire et celle des principaux personnages qui l'ont possédé</w:t>
      </w:r>
      <w:r w:rsidRPr="003B3476">
        <w:rPr>
          <w:bCs/>
        </w:rPr>
        <w:t xml:space="preserve">, in-8°, Paris, 1858, 187 p. J. E. </w:t>
      </w:r>
      <w:r w:rsidRPr="003B3476">
        <w:rPr>
          <w:rStyle w:val="Notedebasdepage265ptNonItaliquePetitesmajuscules"/>
          <w:b w:val="0"/>
          <w:iCs/>
          <w:sz w:val="24"/>
        </w:rPr>
        <w:t>Engrand</w:t>
      </w:r>
      <w:r w:rsidRPr="003B3476">
        <w:rPr>
          <w:rStyle w:val="Notedebasdepage265ptNonItaliquePetitesmajuscules"/>
          <w:b w:val="0"/>
          <w:i/>
          <w:iCs/>
          <w:sz w:val="24"/>
        </w:rPr>
        <w:t xml:space="preserve">, </w:t>
      </w:r>
      <w:r w:rsidRPr="003B3476">
        <w:rPr>
          <w:i/>
          <w:lang w:val="fr-FR" w:eastAsia="fr-FR" w:bidi="fr-FR"/>
        </w:rPr>
        <w:t>Le château de Maisons de 1642 à l'an V de la Rép</w:t>
      </w:r>
      <w:r w:rsidRPr="003B3476">
        <w:rPr>
          <w:i/>
          <w:lang w:val="fr-FR" w:eastAsia="fr-FR" w:bidi="fr-FR"/>
        </w:rPr>
        <w:t>u</w:t>
      </w:r>
      <w:r w:rsidRPr="003B3476">
        <w:rPr>
          <w:i/>
          <w:lang w:val="fr-FR" w:eastAsia="fr-FR" w:bidi="fr-FR"/>
        </w:rPr>
        <w:t>blique</w:t>
      </w:r>
      <w:r w:rsidRPr="003B3476">
        <w:rPr>
          <w:bCs/>
          <w:i/>
        </w:rPr>
        <w:t xml:space="preserve">, </w:t>
      </w:r>
      <w:r w:rsidRPr="003B3476">
        <w:rPr>
          <w:i/>
          <w:lang w:val="fr-FR" w:eastAsia="fr-FR" w:bidi="fr-FR"/>
        </w:rPr>
        <w:t>Rev. de l'hist. de Versailles</w:t>
      </w:r>
      <w:r w:rsidRPr="003B3476">
        <w:rPr>
          <w:bCs/>
        </w:rPr>
        <w:t xml:space="preserve">, t. XIV (1912), p. 305-336, et Léon </w:t>
      </w:r>
      <w:r w:rsidRPr="003B3476">
        <w:rPr>
          <w:rStyle w:val="Notedebasdepage265ptNonItaliquePetitesmajuscules"/>
          <w:b w:val="0"/>
          <w:i/>
          <w:iCs/>
          <w:sz w:val="24"/>
        </w:rPr>
        <w:t xml:space="preserve">Deshairs, </w:t>
      </w:r>
      <w:r w:rsidRPr="003B3476">
        <w:rPr>
          <w:i/>
          <w:lang w:val="fr-FR" w:eastAsia="fr-FR" w:bidi="fr-FR"/>
        </w:rPr>
        <w:t>Le château de Maisons-Laffitte. Notice historique et descriptive</w:t>
      </w:r>
      <w:r w:rsidRPr="003B3476">
        <w:rPr>
          <w:bCs/>
        </w:rPr>
        <w:t>, in-fol., Paris, s. d., 4 + viii p. et 41 pl.</w:t>
      </w:r>
    </w:p>
  </w:footnote>
  <w:footnote w:id="663">
    <w:p w14:paraId="33F4EEB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Cf.</w:t>
      </w:r>
      <w:r w:rsidRPr="003B3476">
        <w:rPr>
          <w:bCs/>
        </w:rPr>
        <w:t xml:space="preserve"> Rod. </w:t>
      </w:r>
      <w:r w:rsidRPr="003B3476">
        <w:rPr>
          <w:rStyle w:val="Notedebasdepage265ptNonItaliquePetitesmajuscules"/>
          <w:b w:val="0"/>
          <w:iCs/>
          <w:sz w:val="24"/>
        </w:rPr>
        <w:t>Pfnor</w:t>
      </w:r>
      <w:r w:rsidRPr="003B3476">
        <w:rPr>
          <w:rStyle w:val="Notedebasdepage265ptNonItaliquePetitesmajuscules"/>
          <w:b w:val="0"/>
          <w:i/>
          <w:iCs/>
          <w:sz w:val="24"/>
        </w:rPr>
        <w:t xml:space="preserve">, </w:t>
      </w:r>
      <w:r w:rsidRPr="003B3476">
        <w:rPr>
          <w:i/>
          <w:lang w:val="fr-FR" w:eastAsia="fr-FR" w:bidi="fr-FR"/>
        </w:rPr>
        <w:t>Le château de Vaux-le-Vicomte, accompagné d'un texte hi</w:t>
      </w:r>
      <w:r w:rsidRPr="003B3476">
        <w:rPr>
          <w:i/>
          <w:lang w:val="fr-FR" w:eastAsia="fr-FR" w:bidi="fr-FR"/>
        </w:rPr>
        <w:t>s</w:t>
      </w:r>
      <w:r w:rsidRPr="003B3476">
        <w:rPr>
          <w:i/>
          <w:lang w:val="fr-FR" w:eastAsia="fr-FR" w:bidi="fr-FR"/>
        </w:rPr>
        <w:t>tor</w:t>
      </w:r>
      <w:r w:rsidRPr="003B3476">
        <w:rPr>
          <w:i/>
          <w:lang w:val="fr-FR" w:eastAsia="fr-FR" w:bidi="fr-FR"/>
        </w:rPr>
        <w:t>i</w:t>
      </w:r>
      <w:r w:rsidRPr="003B3476">
        <w:rPr>
          <w:i/>
          <w:lang w:val="fr-FR" w:eastAsia="fr-FR" w:bidi="fr-FR"/>
        </w:rPr>
        <w:t>que et descriptif par Anatole France</w:t>
      </w:r>
      <w:r w:rsidRPr="003B3476">
        <w:rPr>
          <w:bCs/>
        </w:rPr>
        <w:t xml:space="preserve">, in-fol., Paris, 1888, 72 p. et </w:t>
      </w:r>
      <w:r w:rsidRPr="003B3476">
        <w:rPr>
          <w:bCs/>
          <w:smallCaps/>
        </w:rPr>
        <w:t>xx</w:t>
      </w:r>
      <w:r w:rsidRPr="003B3476">
        <w:rPr>
          <w:bCs/>
        </w:rPr>
        <w:t xml:space="preserve"> pl. ; </w:t>
      </w:r>
      <w:r w:rsidRPr="003B3476">
        <w:rPr>
          <w:rStyle w:val="Notedebasdepage265ptNonItaliquePetitesmajuscules"/>
          <w:b w:val="0"/>
          <w:iCs/>
          <w:sz w:val="24"/>
        </w:rPr>
        <w:t>Fou</w:t>
      </w:r>
      <w:r w:rsidRPr="003B3476">
        <w:rPr>
          <w:rStyle w:val="Notedebasdepage265ptNonItaliquePetitesmajuscules"/>
          <w:b w:val="0"/>
          <w:iCs/>
          <w:sz w:val="24"/>
        </w:rPr>
        <w:t>r</w:t>
      </w:r>
      <w:r w:rsidRPr="003B3476">
        <w:rPr>
          <w:rStyle w:val="Notedebasdepage265ptNonItaliquePetitesmajuscules"/>
          <w:b w:val="0"/>
          <w:iCs/>
          <w:sz w:val="24"/>
        </w:rPr>
        <w:t>nier-Salovèze</w:t>
      </w:r>
      <w:r w:rsidRPr="003B3476">
        <w:rPr>
          <w:rStyle w:val="Notedebasdepage265ptNonItaliquePetitesmajuscules"/>
          <w:b w:val="0"/>
          <w:i/>
          <w:iCs/>
          <w:sz w:val="24"/>
        </w:rPr>
        <w:t xml:space="preserve">, </w:t>
      </w:r>
      <w:r w:rsidRPr="003B3476">
        <w:rPr>
          <w:i/>
          <w:lang w:val="fr-FR" w:eastAsia="fr-FR" w:bidi="fr-FR"/>
        </w:rPr>
        <w:t>Les châteaux de France. Vaux-le-Vicomte, Rev. de l’art anc. et moderne</w:t>
      </w:r>
      <w:r w:rsidRPr="003B3476">
        <w:rPr>
          <w:lang w:val="fr-FR" w:eastAsia="fr-FR" w:bidi="fr-FR"/>
        </w:rPr>
        <w:t>,</w:t>
      </w:r>
      <w:r w:rsidRPr="003B3476">
        <w:rPr>
          <w:bCs/>
        </w:rPr>
        <w:t xml:space="preserve"> 1898, II, p. 397-410 et 529-540 ; et surtout U.-V. </w:t>
      </w:r>
      <w:r w:rsidRPr="003B3476">
        <w:rPr>
          <w:rStyle w:val="Notedebasdepage265ptNonItaliquePetitesmajuscules"/>
          <w:b w:val="0"/>
          <w:iCs/>
          <w:sz w:val="24"/>
        </w:rPr>
        <w:t>Chât</w:t>
      </w:r>
      <w:r w:rsidRPr="003B3476">
        <w:rPr>
          <w:rStyle w:val="Notedebasdepage265ptNonItaliquePetitesmajuscules"/>
          <w:b w:val="0"/>
          <w:iCs/>
          <w:sz w:val="24"/>
        </w:rPr>
        <w:t>e</w:t>
      </w:r>
      <w:r w:rsidRPr="003B3476">
        <w:rPr>
          <w:rStyle w:val="Notedebasdepage265ptNonItaliquePetitesmajuscules"/>
          <w:b w:val="0"/>
          <w:iCs/>
          <w:sz w:val="24"/>
        </w:rPr>
        <w:t>lain</w:t>
      </w:r>
      <w:r w:rsidRPr="003B3476">
        <w:rPr>
          <w:rStyle w:val="Notedebasdepage265ptNonItaliquePetitesmajuscules"/>
          <w:b w:val="0"/>
          <w:i/>
          <w:iCs/>
          <w:sz w:val="24"/>
        </w:rPr>
        <w:t xml:space="preserve">. </w:t>
      </w:r>
      <w:r w:rsidRPr="003B3476">
        <w:rPr>
          <w:i/>
          <w:lang w:val="fr-FR" w:eastAsia="fr-FR" w:bidi="fr-FR"/>
        </w:rPr>
        <w:t>Le surintendant Nicolas Foucquet, protecteur des lettres, des arts et des sciences</w:t>
      </w:r>
      <w:r w:rsidRPr="003B3476">
        <w:rPr>
          <w:bCs/>
        </w:rPr>
        <w:t xml:space="preserve"> (thèse Fac. Lettres Paris), in-8°, Paris, 1905, p. 346-415.</w:t>
      </w:r>
    </w:p>
  </w:footnote>
  <w:footnote w:id="664">
    <w:p w14:paraId="5675A7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P. </w:t>
      </w:r>
      <w:r w:rsidRPr="003B3476">
        <w:rPr>
          <w:rStyle w:val="Notedebasdepage265ptNonItaliquePetitesmajuscules"/>
          <w:b w:val="0"/>
          <w:iCs/>
          <w:sz w:val="24"/>
        </w:rPr>
        <w:t>Hartmann</w:t>
      </w:r>
      <w:r w:rsidRPr="003B3476">
        <w:rPr>
          <w:rStyle w:val="Notedebasdepage265ptNonItaliquePetitesmajuscules"/>
          <w:b w:val="0"/>
          <w:i/>
          <w:iCs/>
          <w:sz w:val="24"/>
        </w:rPr>
        <w:t xml:space="preserve">, </w:t>
      </w:r>
      <w:r w:rsidRPr="003B3476">
        <w:rPr>
          <w:i/>
          <w:lang w:val="fr-FR" w:eastAsia="fr-FR" w:bidi="fr-FR"/>
        </w:rPr>
        <w:t>Conflans près Paris, Mém. Soc. hist. Paris</w:t>
      </w:r>
      <w:r w:rsidRPr="003B3476">
        <w:rPr>
          <w:lang w:val="fr-FR" w:eastAsia="fr-FR" w:bidi="fr-FR"/>
        </w:rPr>
        <w:t>,</w:t>
      </w:r>
      <w:r w:rsidRPr="003B3476">
        <w:rPr>
          <w:bCs/>
        </w:rPr>
        <w:t xml:space="preserve"> t. XXXV (1908), p. 1-188.</w:t>
      </w:r>
    </w:p>
  </w:footnote>
  <w:footnote w:id="665">
    <w:p w14:paraId="7AA345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Victor </w:t>
      </w:r>
      <w:r w:rsidRPr="003B3476">
        <w:rPr>
          <w:rStyle w:val="Notedebasdepage65ptPetitesmajuscules"/>
          <w:b w:val="0"/>
          <w:sz w:val="24"/>
        </w:rPr>
        <w:t xml:space="preserve">Advielle, </w:t>
      </w:r>
      <w:r w:rsidRPr="003B3476">
        <w:rPr>
          <w:bCs/>
          <w:i/>
        </w:rPr>
        <w:t>Histoire de la ville de Sceaux</w:t>
      </w:r>
      <w:r w:rsidRPr="003B3476">
        <w:rPr>
          <w:bCs/>
        </w:rPr>
        <w:t>,</w:t>
      </w:r>
      <w:r w:rsidRPr="003B3476">
        <w:rPr>
          <w:lang w:val="fr-FR" w:eastAsia="fr-FR" w:bidi="fr-FR"/>
        </w:rPr>
        <w:t xml:space="preserve"> in-8°. Sceaux et Paris, 1883. </w:t>
      </w:r>
      <w:r w:rsidRPr="003B3476">
        <w:rPr>
          <w:smallCaps/>
          <w:lang w:val="fr-FR" w:eastAsia="fr-FR" w:bidi="fr-FR"/>
        </w:rPr>
        <w:t>iii</w:t>
      </w:r>
      <w:r w:rsidRPr="003B3476">
        <w:rPr>
          <w:lang w:val="fr-FR" w:eastAsia="fr-FR" w:bidi="fr-FR"/>
        </w:rPr>
        <w:t xml:space="preserve"> -f 546 p.</w:t>
      </w:r>
    </w:p>
  </w:footnote>
  <w:footnote w:id="666">
    <w:p w14:paraId="64AC27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l’aimable petit volume de Stanislas-Xavier de </w:t>
      </w:r>
      <w:r w:rsidRPr="003B3476">
        <w:rPr>
          <w:rStyle w:val="Notedebasdepage65ptPetitesmajuscules"/>
          <w:b w:val="0"/>
          <w:sz w:val="24"/>
        </w:rPr>
        <w:t xml:space="preserve">Girardin, </w:t>
      </w:r>
      <w:r w:rsidRPr="003B3476">
        <w:rPr>
          <w:bCs/>
          <w:i/>
        </w:rPr>
        <w:t>Promenade ou itin</w:t>
      </w:r>
      <w:r w:rsidRPr="003B3476">
        <w:rPr>
          <w:bCs/>
          <w:i/>
        </w:rPr>
        <w:t>é</w:t>
      </w:r>
      <w:r w:rsidRPr="003B3476">
        <w:rPr>
          <w:bCs/>
          <w:i/>
        </w:rPr>
        <w:t>raire des jardins d'Ermenonville</w:t>
      </w:r>
      <w:r w:rsidRPr="003B3476">
        <w:rPr>
          <w:bCs/>
        </w:rPr>
        <w:t>,</w:t>
      </w:r>
      <w:r w:rsidRPr="003B3476">
        <w:rPr>
          <w:lang w:val="fr-FR" w:eastAsia="fr-FR" w:bidi="fr-FR"/>
        </w:rPr>
        <w:t xml:space="preserve"> sans nom d’auteur, in-8°, Paris, 1788, 68 p. ; 2</w:t>
      </w:r>
      <w:r w:rsidRPr="003B3476">
        <w:rPr>
          <w:vertAlign w:val="superscript"/>
          <w:lang w:val="fr-FR" w:eastAsia="fr-FR" w:bidi="fr-FR"/>
        </w:rPr>
        <w:t>e</w:t>
      </w:r>
      <w:r w:rsidRPr="003B3476">
        <w:rPr>
          <w:lang w:val="fr-FR" w:eastAsia="fr-FR" w:bidi="fr-FR"/>
        </w:rPr>
        <w:t xml:space="preserve"> éd. en 1811.</w:t>
      </w:r>
    </w:p>
  </w:footnote>
  <w:footnote w:id="667">
    <w:p w14:paraId="3B6F0B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Georges </w:t>
      </w:r>
      <w:r w:rsidRPr="003B3476">
        <w:rPr>
          <w:rStyle w:val="Notedebasdepage265ptNonItaliquePetitesmajuscules"/>
          <w:b w:val="0"/>
          <w:iCs/>
          <w:sz w:val="24"/>
        </w:rPr>
        <w:t xml:space="preserve">Houdard, </w:t>
      </w:r>
      <w:r w:rsidRPr="003B3476">
        <w:rPr>
          <w:lang w:val="fr-FR" w:eastAsia="fr-FR" w:bidi="fr-FR"/>
        </w:rPr>
        <w:t>Les châteaux royaux de Saint-Germain-en-Laye (1124-1789),</w:t>
      </w:r>
      <w:r w:rsidRPr="003B3476">
        <w:rPr>
          <w:bCs/>
        </w:rPr>
        <w:t xml:space="preserve"> t. I, in-4°, Paris, 1909-1910, </w:t>
      </w:r>
      <w:r w:rsidRPr="003B3476">
        <w:rPr>
          <w:bCs/>
          <w:smallCaps/>
        </w:rPr>
        <w:t>xvi</w:t>
      </w:r>
      <w:r w:rsidRPr="003B3476">
        <w:rPr>
          <w:bCs/>
        </w:rPr>
        <w:t xml:space="preserve"> + 264 + 47 p. </w:t>
      </w:r>
      <w:r w:rsidRPr="003B3476">
        <w:rPr>
          <w:i/>
          <w:lang w:val="fr-FR" w:eastAsia="fr-FR" w:bidi="fr-FR"/>
        </w:rPr>
        <w:t>Les Archives du Pinc</w:t>
      </w:r>
      <w:r w:rsidRPr="003B3476">
        <w:rPr>
          <w:i/>
          <w:lang w:val="fr-FR" w:eastAsia="fr-FR" w:bidi="fr-FR"/>
        </w:rPr>
        <w:t>e</w:t>
      </w:r>
      <w:r w:rsidRPr="003B3476">
        <w:rPr>
          <w:i/>
          <w:lang w:val="fr-FR" w:eastAsia="fr-FR" w:bidi="fr-FR"/>
        </w:rPr>
        <w:t>rais, B</w:t>
      </w:r>
      <w:r w:rsidRPr="003B3476">
        <w:rPr>
          <w:i/>
          <w:lang w:val="fr-FR" w:eastAsia="fr-FR" w:bidi="fr-FR"/>
        </w:rPr>
        <w:t>i</w:t>
      </w:r>
      <w:r w:rsidRPr="003B3476">
        <w:rPr>
          <w:i/>
          <w:lang w:val="fr-FR" w:eastAsia="fr-FR" w:bidi="fr-FR"/>
        </w:rPr>
        <w:t>blioth. histor. de Saint-Germain-en-Laye et de sa Région</w:t>
      </w:r>
      <w:r w:rsidRPr="003B3476">
        <w:rPr>
          <w:lang w:val="fr-FR" w:eastAsia="fr-FR" w:bidi="fr-FR"/>
        </w:rPr>
        <w:t>.</w:t>
      </w:r>
    </w:p>
  </w:footnote>
  <w:footnote w:id="668">
    <w:p w14:paraId="2E2687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In-8°, Paris, 1908, 102 p. On y trouvera une </w:t>
      </w:r>
      <w:r w:rsidRPr="003B3476">
        <w:rPr>
          <w:bCs/>
          <w:i/>
        </w:rPr>
        <w:t>Bibliographie</w:t>
      </w:r>
      <w:r w:rsidRPr="003B3476">
        <w:rPr>
          <w:bCs/>
        </w:rPr>
        <w:t>.</w:t>
      </w:r>
      <w:r w:rsidRPr="003B3476">
        <w:rPr>
          <w:lang w:val="fr-FR" w:eastAsia="fr-FR" w:bidi="fr-FR"/>
        </w:rPr>
        <w:t xml:space="preserve"> Il convient mai</w:t>
      </w:r>
      <w:r w:rsidRPr="003B3476">
        <w:rPr>
          <w:lang w:val="fr-FR" w:eastAsia="fr-FR" w:bidi="fr-FR"/>
        </w:rPr>
        <w:t>n</w:t>
      </w:r>
      <w:r w:rsidRPr="003B3476">
        <w:rPr>
          <w:lang w:val="fr-FR" w:eastAsia="fr-FR" w:bidi="fr-FR"/>
        </w:rPr>
        <w:t xml:space="preserve">tenant d’y joindre l’article de F. </w:t>
      </w:r>
      <w:r w:rsidRPr="003B3476">
        <w:rPr>
          <w:rStyle w:val="Notedebasdepage65ptPetitesmajuscules"/>
          <w:b w:val="0"/>
          <w:sz w:val="24"/>
        </w:rPr>
        <w:t xml:space="preserve">Herbet, </w:t>
      </w:r>
      <w:r w:rsidRPr="003B3476">
        <w:rPr>
          <w:bCs/>
          <w:i/>
        </w:rPr>
        <w:t>Les architectes du château de Fo</w:t>
      </w:r>
      <w:r w:rsidRPr="003B3476">
        <w:rPr>
          <w:bCs/>
          <w:i/>
        </w:rPr>
        <w:t>n</w:t>
      </w:r>
      <w:r w:rsidRPr="003B3476">
        <w:rPr>
          <w:bCs/>
          <w:i/>
        </w:rPr>
        <w:t>tain</w:t>
      </w:r>
      <w:r w:rsidRPr="003B3476">
        <w:rPr>
          <w:bCs/>
          <w:i/>
        </w:rPr>
        <w:t>e</w:t>
      </w:r>
      <w:r w:rsidRPr="003B3476">
        <w:rPr>
          <w:bCs/>
          <w:i/>
        </w:rPr>
        <w:t>bleau sous François</w:t>
      </w:r>
      <w:r w:rsidRPr="003B3476">
        <w:rPr>
          <w:i/>
          <w:lang w:val="fr-FR" w:eastAsia="fr-FR" w:bidi="fr-FR"/>
        </w:rPr>
        <w:t xml:space="preserve"> I</w:t>
      </w:r>
      <w:r w:rsidRPr="003B3476">
        <w:rPr>
          <w:i/>
          <w:vertAlign w:val="superscript"/>
          <w:lang w:val="fr-FR" w:eastAsia="fr-FR" w:bidi="fr-FR"/>
        </w:rPr>
        <w:t>er</w:t>
      </w:r>
      <w:r w:rsidRPr="003B3476">
        <w:rPr>
          <w:i/>
          <w:lang w:val="fr-FR" w:eastAsia="fr-FR" w:bidi="fr-FR"/>
        </w:rPr>
        <w:t xml:space="preserve">, </w:t>
      </w:r>
      <w:r w:rsidRPr="003B3476">
        <w:rPr>
          <w:bCs/>
          <w:i/>
        </w:rPr>
        <w:t>Brie et Gâtinais,</w:t>
      </w:r>
      <w:r w:rsidRPr="003B3476">
        <w:rPr>
          <w:lang w:val="fr-FR" w:eastAsia="fr-FR" w:bidi="fr-FR"/>
        </w:rPr>
        <w:t xml:space="preserve"> t. I (1909), p. 424-428, et t. II (1910), p. 22-27 et 49-54.</w:t>
      </w:r>
    </w:p>
  </w:footnote>
  <w:footnote w:id="669">
    <w:p w14:paraId="1730F89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 de </w:t>
      </w:r>
      <w:r w:rsidRPr="003B3476">
        <w:rPr>
          <w:rStyle w:val="Notedebasdepage65ptPetitesmajuscules"/>
          <w:b w:val="0"/>
          <w:sz w:val="24"/>
        </w:rPr>
        <w:t xml:space="preserve">Nolhac, </w:t>
      </w:r>
      <w:r w:rsidRPr="003B3476">
        <w:rPr>
          <w:bCs/>
          <w:i/>
        </w:rPr>
        <w:t>Histoire du château de Versailles</w:t>
      </w:r>
      <w:r w:rsidRPr="003B3476">
        <w:rPr>
          <w:bCs/>
        </w:rPr>
        <w:t>.</w:t>
      </w:r>
      <w:r w:rsidRPr="003B3476">
        <w:rPr>
          <w:lang w:val="fr-FR" w:eastAsia="fr-FR" w:bidi="fr-FR"/>
        </w:rPr>
        <w:t xml:space="preserve"> Voici l’indication des pri</w:t>
      </w:r>
      <w:r w:rsidRPr="003B3476">
        <w:rPr>
          <w:lang w:val="fr-FR" w:eastAsia="fr-FR" w:bidi="fr-FR"/>
        </w:rPr>
        <w:t>n</w:t>
      </w:r>
      <w:r w:rsidRPr="003B3476">
        <w:rPr>
          <w:lang w:val="fr-FR" w:eastAsia="fr-FR" w:bidi="fr-FR"/>
        </w:rPr>
        <w:t xml:space="preserve">cipaux travaux par où M. de Nolhac a préparé cette grande histoire. </w:t>
      </w:r>
      <w:r w:rsidRPr="003B3476">
        <w:rPr>
          <w:bCs/>
          <w:i/>
        </w:rPr>
        <w:t>La Cré</w:t>
      </w:r>
      <w:r w:rsidRPr="003B3476">
        <w:rPr>
          <w:bCs/>
          <w:i/>
        </w:rPr>
        <w:t>a</w:t>
      </w:r>
      <w:r w:rsidRPr="003B3476">
        <w:rPr>
          <w:bCs/>
          <w:i/>
        </w:rPr>
        <w:t>tion de Versailles</w:t>
      </w:r>
      <w:r w:rsidRPr="003B3476">
        <w:rPr>
          <w:bCs/>
        </w:rPr>
        <w:t>,</w:t>
      </w:r>
      <w:r w:rsidRPr="003B3476">
        <w:rPr>
          <w:lang w:val="fr-FR" w:eastAsia="fr-FR" w:bidi="fr-FR"/>
        </w:rPr>
        <w:t xml:space="preserve"> in-fol., Versailles, 1901, 250 p. (repris et résumé dans </w:t>
      </w:r>
      <w:r w:rsidRPr="003B3476">
        <w:rPr>
          <w:bCs/>
        </w:rPr>
        <w:t>l'</w:t>
      </w:r>
      <w:r w:rsidRPr="003B3476">
        <w:rPr>
          <w:bCs/>
          <w:i/>
        </w:rPr>
        <w:t>Hi</w:t>
      </w:r>
      <w:r w:rsidRPr="003B3476">
        <w:rPr>
          <w:bCs/>
          <w:i/>
        </w:rPr>
        <w:t>s</w:t>
      </w:r>
      <w:r w:rsidRPr="003B3476">
        <w:rPr>
          <w:bCs/>
          <w:i/>
        </w:rPr>
        <w:t>toire du château</w:t>
      </w:r>
      <w:r w:rsidRPr="003B3476">
        <w:rPr>
          <w:bCs/>
        </w:rPr>
        <w:t xml:space="preserve">) ; </w:t>
      </w:r>
      <w:r w:rsidRPr="003B3476">
        <w:rPr>
          <w:bCs/>
          <w:i/>
        </w:rPr>
        <w:t>L'art de Versailles. La Chambre de Louis XIV, Rev. de l'art anc. et mod</w:t>
      </w:r>
      <w:r w:rsidRPr="003B3476">
        <w:rPr>
          <w:bCs/>
        </w:rPr>
        <w:t>.,</w:t>
      </w:r>
      <w:r w:rsidRPr="003B3476">
        <w:rPr>
          <w:lang w:val="fr-FR" w:eastAsia="fr-FR" w:bidi="fr-FR"/>
        </w:rPr>
        <w:t xml:space="preserve"> 1897, II, p. 221-230 et 315-326 ; </w:t>
      </w:r>
      <w:r w:rsidRPr="003B3476">
        <w:rPr>
          <w:bCs/>
          <w:i/>
        </w:rPr>
        <w:t>Le château de Versailles sous Louis XV</w:t>
      </w:r>
      <w:r w:rsidRPr="003B3476">
        <w:rPr>
          <w:bCs/>
        </w:rPr>
        <w:t>,</w:t>
      </w:r>
      <w:r w:rsidRPr="003B3476">
        <w:rPr>
          <w:lang w:val="fr-FR" w:eastAsia="fr-FR" w:bidi="fr-FR"/>
        </w:rPr>
        <w:t xml:space="preserve"> in-8°, Paris, 1898, </w:t>
      </w:r>
      <w:r w:rsidRPr="003B3476">
        <w:rPr>
          <w:smallCaps/>
          <w:lang w:val="fr-FR" w:eastAsia="fr-FR" w:bidi="fr-FR"/>
        </w:rPr>
        <w:t>viii</w:t>
      </w:r>
      <w:r w:rsidRPr="003B3476">
        <w:rPr>
          <w:lang w:val="fr-FR" w:eastAsia="fr-FR" w:bidi="fr-FR"/>
        </w:rPr>
        <w:t xml:space="preserve"> + 280 p. ; </w:t>
      </w:r>
      <w:r w:rsidRPr="003B3476">
        <w:rPr>
          <w:bCs/>
          <w:i/>
        </w:rPr>
        <w:t>La décoration de Ve</w:t>
      </w:r>
      <w:r w:rsidRPr="003B3476">
        <w:rPr>
          <w:bCs/>
          <w:i/>
        </w:rPr>
        <w:t>r</w:t>
      </w:r>
      <w:r w:rsidRPr="003B3476">
        <w:rPr>
          <w:bCs/>
          <w:i/>
        </w:rPr>
        <w:t>sailles au XVIII siècle. Gaz. des Beaux-Arts</w:t>
      </w:r>
      <w:r w:rsidRPr="003B3476">
        <w:rPr>
          <w:bCs/>
        </w:rPr>
        <w:t>,</w:t>
      </w:r>
      <w:r w:rsidRPr="003B3476">
        <w:rPr>
          <w:lang w:val="fr-FR" w:eastAsia="fr-FR" w:bidi="fr-FR"/>
        </w:rPr>
        <w:t xml:space="preserve"> 1895, I, p. 265-276 ; 1895, II, p. 217-232 ; 1896, II, p. 36-50 ; 1897, I, p. 104-114 et 186-194 ; 1898, I, p. 63-76 et 143-156 ; </w:t>
      </w:r>
      <w:r w:rsidRPr="003B3476">
        <w:rPr>
          <w:bCs/>
          <w:i/>
        </w:rPr>
        <w:t>Le château de Versailles au temps de Marie-Antoinette (1770-1789)</w:t>
      </w:r>
      <w:r w:rsidRPr="003B3476">
        <w:rPr>
          <w:bCs/>
        </w:rPr>
        <w:t xml:space="preserve">, </w:t>
      </w:r>
      <w:r w:rsidRPr="003B3476">
        <w:rPr>
          <w:bCs/>
          <w:i/>
        </w:rPr>
        <w:t>Mém. Soc. sc. morales S.-et-Oise</w:t>
      </w:r>
      <w:r w:rsidRPr="003B3476">
        <w:rPr>
          <w:bCs/>
        </w:rPr>
        <w:t>,</w:t>
      </w:r>
      <w:r w:rsidRPr="003B3476">
        <w:rPr>
          <w:lang w:val="fr-FR" w:eastAsia="fr-FR" w:bidi="fr-FR"/>
        </w:rPr>
        <w:t xml:space="preserve"> t. XVI (1889), p. 19-124. </w:t>
      </w:r>
      <w:r w:rsidRPr="003B3476">
        <w:rPr>
          <w:bCs/>
          <w:i/>
        </w:rPr>
        <w:t>Cf.</w:t>
      </w:r>
      <w:r w:rsidRPr="003B3476">
        <w:rPr>
          <w:lang w:val="fr-FR" w:eastAsia="fr-FR" w:bidi="fr-FR"/>
        </w:rPr>
        <w:t xml:space="preserve"> aussi, P. de </w:t>
      </w:r>
      <w:r w:rsidRPr="003B3476">
        <w:rPr>
          <w:rStyle w:val="Notedebasdepage65ptPetitesmajuscules"/>
          <w:b w:val="0"/>
          <w:sz w:val="24"/>
        </w:rPr>
        <w:t xml:space="preserve">Nolhac </w:t>
      </w:r>
      <w:r w:rsidRPr="003B3476">
        <w:rPr>
          <w:lang w:val="fr-FR" w:eastAsia="fr-FR" w:bidi="fr-FR"/>
        </w:rPr>
        <w:t xml:space="preserve">et A. </w:t>
      </w:r>
      <w:r w:rsidRPr="003B3476">
        <w:rPr>
          <w:rStyle w:val="Notedebasdepage65ptPetitesmajuscules"/>
          <w:b w:val="0"/>
          <w:sz w:val="24"/>
        </w:rPr>
        <w:t xml:space="preserve">Pératé, </w:t>
      </w:r>
      <w:r w:rsidRPr="003B3476">
        <w:rPr>
          <w:bCs/>
          <w:i/>
        </w:rPr>
        <w:t>Le musée national de Versailles, description du ch</w:t>
      </w:r>
      <w:r w:rsidRPr="003B3476">
        <w:rPr>
          <w:bCs/>
          <w:i/>
        </w:rPr>
        <w:t>â</w:t>
      </w:r>
      <w:r w:rsidRPr="003B3476">
        <w:rPr>
          <w:bCs/>
          <w:i/>
        </w:rPr>
        <w:t>teau et de ses colle</w:t>
      </w:r>
      <w:r w:rsidRPr="003B3476">
        <w:rPr>
          <w:bCs/>
          <w:i/>
        </w:rPr>
        <w:t>c</w:t>
      </w:r>
      <w:r w:rsidRPr="003B3476">
        <w:rPr>
          <w:bCs/>
          <w:i/>
        </w:rPr>
        <w:t>tions</w:t>
      </w:r>
      <w:r w:rsidRPr="003B3476">
        <w:rPr>
          <w:bCs/>
        </w:rPr>
        <w:t>,</w:t>
      </w:r>
      <w:r w:rsidRPr="003B3476">
        <w:rPr>
          <w:lang w:val="fr-FR" w:eastAsia="fr-FR" w:bidi="fr-FR"/>
        </w:rPr>
        <w:t xml:space="preserve"> in-8°, Paris, s. d., 397 p. ; A. </w:t>
      </w:r>
      <w:r w:rsidRPr="003B3476">
        <w:rPr>
          <w:rStyle w:val="Notedebasdepage65ptPetitesmajuscules"/>
          <w:b w:val="0"/>
          <w:sz w:val="24"/>
        </w:rPr>
        <w:t xml:space="preserve">Pératé, </w:t>
      </w:r>
      <w:r w:rsidRPr="003B3476">
        <w:rPr>
          <w:bCs/>
          <w:i/>
        </w:rPr>
        <w:t>Versailles (Les Villes d'Art célèbres),</w:t>
      </w:r>
      <w:r w:rsidRPr="003B3476">
        <w:rPr>
          <w:bCs/>
        </w:rPr>
        <w:t xml:space="preserve"> </w:t>
      </w:r>
      <w:r w:rsidRPr="003B3476">
        <w:rPr>
          <w:lang w:val="fr-FR" w:eastAsia="fr-FR" w:bidi="fr-FR"/>
        </w:rPr>
        <w:t>in-8°, Paris, 1904, 203 p. (avec bibli</w:t>
      </w:r>
      <w:r w:rsidRPr="003B3476">
        <w:rPr>
          <w:lang w:val="fr-FR" w:eastAsia="fr-FR" w:bidi="fr-FR"/>
        </w:rPr>
        <w:t>o</w:t>
      </w:r>
      <w:r w:rsidRPr="003B3476">
        <w:rPr>
          <w:lang w:val="fr-FR" w:eastAsia="fr-FR" w:bidi="fr-FR"/>
        </w:rPr>
        <w:t xml:space="preserve">graphie). Le livre de Dussieux, </w:t>
      </w:r>
      <w:r w:rsidRPr="003B3476">
        <w:rPr>
          <w:bCs/>
          <w:i/>
        </w:rPr>
        <w:t>Le ch</w:t>
      </w:r>
      <w:r w:rsidRPr="003B3476">
        <w:rPr>
          <w:bCs/>
          <w:i/>
        </w:rPr>
        <w:t>â</w:t>
      </w:r>
      <w:r w:rsidRPr="003B3476">
        <w:rPr>
          <w:bCs/>
          <w:i/>
        </w:rPr>
        <w:t>teau de Versailles</w:t>
      </w:r>
      <w:r w:rsidRPr="003B3476">
        <w:rPr>
          <w:bCs/>
        </w:rPr>
        <w:t xml:space="preserve">, </w:t>
      </w:r>
      <w:r w:rsidRPr="003B3476">
        <w:rPr>
          <w:lang w:val="fr-FR" w:eastAsia="fr-FR" w:bidi="fr-FR"/>
        </w:rPr>
        <w:t xml:space="preserve">2 vol., in-8°, Versailles, 1881, est erroné. L’ouvrage de Ph. </w:t>
      </w:r>
      <w:r w:rsidRPr="003B3476">
        <w:rPr>
          <w:rStyle w:val="Notedebasdepage65ptPetitesmajuscules"/>
          <w:b w:val="0"/>
          <w:sz w:val="24"/>
        </w:rPr>
        <w:t xml:space="preserve">Gille </w:t>
      </w:r>
      <w:r w:rsidRPr="003B3476">
        <w:rPr>
          <w:lang w:val="fr-FR" w:eastAsia="fr-FR" w:bidi="fr-FR"/>
        </w:rPr>
        <w:t xml:space="preserve">et M. </w:t>
      </w:r>
      <w:r w:rsidRPr="003B3476">
        <w:rPr>
          <w:rStyle w:val="Notedebasdepage65ptPetitesmajuscules"/>
          <w:b w:val="0"/>
          <w:sz w:val="24"/>
        </w:rPr>
        <w:t xml:space="preserve">Lambert, </w:t>
      </w:r>
      <w:r w:rsidRPr="003B3476">
        <w:rPr>
          <w:bCs/>
          <w:i/>
        </w:rPr>
        <w:t>Versailles et les deux Tri</w:t>
      </w:r>
      <w:r w:rsidRPr="003B3476">
        <w:rPr>
          <w:bCs/>
          <w:i/>
        </w:rPr>
        <w:t>a</w:t>
      </w:r>
      <w:r w:rsidRPr="003B3476">
        <w:rPr>
          <w:bCs/>
          <w:i/>
        </w:rPr>
        <w:t>nons</w:t>
      </w:r>
      <w:r w:rsidRPr="003B3476">
        <w:rPr>
          <w:bCs/>
        </w:rPr>
        <w:t>,</w:t>
      </w:r>
      <w:r w:rsidRPr="003B3476">
        <w:rPr>
          <w:lang w:val="fr-FR" w:eastAsia="fr-FR" w:bidi="fr-FR"/>
        </w:rPr>
        <w:t xml:space="preserve"> 2 vol., in-fol., Versai</w:t>
      </w:r>
      <w:r w:rsidRPr="003B3476">
        <w:rPr>
          <w:lang w:val="fr-FR" w:eastAsia="fr-FR" w:bidi="fr-FR"/>
        </w:rPr>
        <w:t>l</w:t>
      </w:r>
      <w:r w:rsidRPr="003B3476">
        <w:rPr>
          <w:lang w:val="fr-FR" w:eastAsia="fr-FR" w:bidi="fr-FR"/>
        </w:rPr>
        <w:t xml:space="preserve">les, 1899 et 1900, xv + 308 et 297 p., est surtout un recueil iconographique. Sur les Trianons : Léon </w:t>
      </w:r>
      <w:r w:rsidRPr="003B3476">
        <w:rPr>
          <w:rStyle w:val="Notedebasdepage65ptPetitesmajuscules"/>
          <w:b w:val="0"/>
          <w:sz w:val="24"/>
        </w:rPr>
        <w:t xml:space="preserve">Deshairs, </w:t>
      </w:r>
      <w:r w:rsidRPr="003B3476">
        <w:rPr>
          <w:bCs/>
          <w:i/>
        </w:rPr>
        <w:t>Le Grand Tri</w:t>
      </w:r>
      <w:r w:rsidRPr="003B3476">
        <w:rPr>
          <w:bCs/>
          <w:i/>
        </w:rPr>
        <w:t>a</w:t>
      </w:r>
      <w:r w:rsidRPr="003B3476">
        <w:rPr>
          <w:bCs/>
          <w:i/>
        </w:rPr>
        <w:t>non</w:t>
      </w:r>
      <w:r w:rsidRPr="003B3476">
        <w:rPr>
          <w:bCs/>
        </w:rPr>
        <w:t>,</w:t>
      </w:r>
      <w:r w:rsidRPr="003B3476">
        <w:rPr>
          <w:lang w:val="fr-FR" w:eastAsia="fr-FR" w:bidi="fr-FR"/>
        </w:rPr>
        <w:t xml:space="preserve"> in-fol., Paris, s. d., xv p. et 60 pl. ; </w:t>
      </w:r>
      <w:r w:rsidRPr="003B3476">
        <w:rPr>
          <w:bCs/>
          <w:i/>
        </w:rPr>
        <w:t>Le Petit Trianon</w:t>
      </w:r>
      <w:r w:rsidRPr="003B3476">
        <w:rPr>
          <w:bCs/>
        </w:rPr>
        <w:t>,</w:t>
      </w:r>
      <w:r w:rsidRPr="003B3476">
        <w:rPr>
          <w:lang w:val="fr-FR" w:eastAsia="fr-FR" w:bidi="fr-FR"/>
        </w:rPr>
        <w:t xml:space="preserve"> Paris, s. d., x p. et 100 pl. Sur les jardins : P. de </w:t>
      </w:r>
      <w:r w:rsidRPr="003B3476">
        <w:rPr>
          <w:rStyle w:val="Notedebasdepage65ptPetitesmajuscules"/>
          <w:b w:val="0"/>
          <w:sz w:val="24"/>
        </w:rPr>
        <w:t>Nolhac</w:t>
      </w:r>
      <w:r w:rsidRPr="003B3476">
        <w:rPr>
          <w:rStyle w:val="Notedebasdepage65ptPetitesmajuscules"/>
          <w:b w:val="0"/>
          <w:i/>
          <w:sz w:val="24"/>
        </w:rPr>
        <w:t xml:space="preserve">, </w:t>
      </w:r>
      <w:r w:rsidRPr="003B3476">
        <w:rPr>
          <w:bCs/>
          <w:i/>
        </w:rPr>
        <w:t>Les jardins de Versai</w:t>
      </w:r>
      <w:r w:rsidRPr="003B3476">
        <w:rPr>
          <w:bCs/>
          <w:i/>
        </w:rPr>
        <w:t>l</w:t>
      </w:r>
      <w:r w:rsidRPr="003B3476">
        <w:rPr>
          <w:bCs/>
          <w:i/>
        </w:rPr>
        <w:t>les</w:t>
      </w:r>
      <w:r w:rsidRPr="003B3476">
        <w:rPr>
          <w:bCs/>
        </w:rPr>
        <w:t>,</w:t>
      </w:r>
      <w:r w:rsidRPr="003B3476">
        <w:rPr>
          <w:lang w:val="fr-FR" w:eastAsia="fr-FR" w:bidi="fr-FR"/>
        </w:rPr>
        <w:t xml:space="preserve"> in-4°, Paris, 1906, 186 p. ; J. </w:t>
      </w:r>
      <w:r w:rsidRPr="003B3476">
        <w:rPr>
          <w:rStyle w:val="Notedebasdepage65ptPetitesmajuscules"/>
          <w:b w:val="0"/>
          <w:sz w:val="24"/>
        </w:rPr>
        <w:t xml:space="preserve">Guiffrey, </w:t>
      </w:r>
      <w:r w:rsidRPr="003B3476">
        <w:rPr>
          <w:bCs/>
        </w:rPr>
        <w:t>André Le Nostre (</w:t>
      </w:r>
      <w:r w:rsidRPr="003B3476">
        <w:rPr>
          <w:bCs/>
          <w:i/>
        </w:rPr>
        <w:t>Les Grands Artistes</w:t>
      </w:r>
      <w:r w:rsidRPr="003B3476">
        <w:rPr>
          <w:bCs/>
        </w:rPr>
        <w:t>),</w:t>
      </w:r>
      <w:r w:rsidRPr="003B3476">
        <w:rPr>
          <w:lang w:val="fr-FR" w:eastAsia="fr-FR" w:bidi="fr-FR"/>
        </w:rPr>
        <w:t xml:space="preserve"> in-8°, P</w:t>
      </w:r>
      <w:r w:rsidRPr="003B3476">
        <w:rPr>
          <w:lang w:val="fr-FR" w:eastAsia="fr-FR" w:bidi="fr-FR"/>
        </w:rPr>
        <w:t>a</w:t>
      </w:r>
      <w:r w:rsidRPr="003B3476">
        <w:rPr>
          <w:lang w:val="fr-FR" w:eastAsia="fr-FR" w:bidi="fr-FR"/>
        </w:rPr>
        <w:t xml:space="preserve">ris, s. d., 126 p. (médiocre). Le livre de Lucien </w:t>
      </w:r>
      <w:r w:rsidRPr="003B3476">
        <w:rPr>
          <w:rStyle w:val="Notedebasdepage65ptPetitesmajuscules"/>
          <w:b w:val="0"/>
          <w:sz w:val="24"/>
        </w:rPr>
        <w:t xml:space="preserve">Corpechot, </w:t>
      </w:r>
      <w:r w:rsidRPr="003B3476">
        <w:rPr>
          <w:bCs/>
          <w:i/>
        </w:rPr>
        <w:t>Les jardins de l'intelligence</w:t>
      </w:r>
      <w:r w:rsidRPr="003B3476">
        <w:rPr>
          <w:bCs/>
        </w:rPr>
        <w:t>,</w:t>
      </w:r>
      <w:r w:rsidRPr="003B3476">
        <w:rPr>
          <w:lang w:val="fr-FR" w:eastAsia="fr-FR" w:bidi="fr-FR"/>
        </w:rPr>
        <w:t xml:space="preserve"> in-12, Paris, 1912, 285 p., se lit agréabl</w:t>
      </w:r>
      <w:r w:rsidRPr="003B3476">
        <w:rPr>
          <w:lang w:val="fr-FR" w:eastAsia="fr-FR" w:bidi="fr-FR"/>
        </w:rPr>
        <w:t>e</w:t>
      </w:r>
      <w:r w:rsidRPr="003B3476">
        <w:rPr>
          <w:lang w:val="fr-FR" w:eastAsia="fr-FR" w:bidi="fr-FR"/>
        </w:rPr>
        <w:t>ment ; mais il fera connaître moins les jardins de Le Nôtre que l’idée obscure et singulière que certains esprits se font aujourd’hui de l’art « classique ».</w:t>
      </w:r>
    </w:p>
  </w:footnote>
  <w:footnote w:id="670">
    <w:p w14:paraId="4CBE21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Quelques villages du Vexin français appartenant à la généralité de Rouen.</w:t>
      </w:r>
    </w:p>
  </w:footnote>
  <w:footnote w:id="671">
    <w:p w14:paraId="351B31B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Recueil de documents relatifs à la Convocation des États généraux de 1789</w:t>
      </w:r>
      <w:r w:rsidRPr="003B3476">
        <w:rPr>
          <w:bCs/>
        </w:rPr>
        <w:t xml:space="preserve">, 3 vol. in-4°, Paris, 1894-1904 ; </w:t>
      </w:r>
      <w:r w:rsidRPr="003B3476">
        <w:rPr>
          <w:i/>
          <w:lang w:val="fr-FR" w:eastAsia="fr-FR" w:bidi="fr-FR"/>
        </w:rPr>
        <w:t>Atlas des bailliages ou juridictions assimilées ayant formé unité électorale en 1789</w:t>
      </w:r>
      <w:r w:rsidRPr="003B3476">
        <w:rPr>
          <w:bCs/>
        </w:rPr>
        <w:t xml:space="preserve"> (avec une importante Introduction), in-fol., Paris, 1904 ; </w:t>
      </w:r>
      <w:r w:rsidRPr="003B3476">
        <w:rPr>
          <w:i/>
          <w:lang w:val="fr-FR" w:eastAsia="fr-FR" w:bidi="fr-FR"/>
        </w:rPr>
        <w:t>Les limites et les divisions territoriales de la France en 1789</w:t>
      </w:r>
      <w:r w:rsidRPr="003B3476">
        <w:rPr>
          <w:bCs/>
        </w:rPr>
        <w:t>, in-8°, Paris, 1907.</w:t>
      </w:r>
    </w:p>
  </w:footnote>
  <w:footnote w:id="672">
    <w:p w14:paraId="6F4EF22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bailliages royaux en 1789. Villes</w:t>
      </w:r>
      <w:r w:rsidRPr="003B3476">
        <w:rPr>
          <w:bCs/>
          <w:i/>
        </w:rPr>
        <w:t xml:space="preserve">, </w:t>
      </w:r>
      <w:r w:rsidRPr="003B3476">
        <w:rPr>
          <w:i/>
          <w:lang w:val="fr-FR" w:eastAsia="fr-FR" w:bidi="fr-FR"/>
        </w:rPr>
        <w:t>bourgs</w:t>
      </w:r>
      <w:r w:rsidRPr="003B3476">
        <w:rPr>
          <w:bCs/>
          <w:i/>
        </w:rPr>
        <w:t xml:space="preserve">, </w:t>
      </w:r>
      <w:r w:rsidRPr="003B3476">
        <w:rPr>
          <w:i/>
          <w:lang w:val="fr-FR" w:eastAsia="fr-FR" w:bidi="fr-FR"/>
        </w:rPr>
        <w:t>paroisses et annexes dont les territoires ont formé en 1790</w:t>
      </w:r>
      <w:r w:rsidRPr="003B3476">
        <w:rPr>
          <w:bCs/>
          <w:i/>
        </w:rPr>
        <w:t xml:space="preserve">, </w:t>
      </w:r>
      <w:r w:rsidRPr="003B3476">
        <w:rPr>
          <w:i/>
          <w:lang w:val="fr-FR" w:eastAsia="fr-FR" w:bidi="fr-FR"/>
        </w:rPr>
        <w:t>le département de Seine-et-Oise</w:t>
      </w:r>
      <w:r w:rsidRPr="003B3476">
        <w:rPr>
          <w:bCs/>
          <w:i/>
        </w:rPr>
        <w:t xml:space="preserve">, </w:t>
      </w:r>
      <w:r w:rsidRPr="003B3476">
        <w:rPr>
          <w:i/>
          <w:lang w:val="fr-FR" w:eastAsia="fr-FR" w:bidi="fr-FR"/>
        </w:rPr>
        <w:t>répartis su</w:t>
      </w:r>
      <w:r w:rsidRPr="003B3476">
        <w:rPr>
          <w:i/>
          <w:lang w:val="fr-FR" w:eastAsia="fr-FR" w:bidi="fr-FR"/>
        </w:rPr>
        <w:t>i</w:t>
      </w:r>
      <w:r w:rsidRPr="003B3476">
        <w:rPr>
          <w:i/>
          <w:lang w:val="fr-FR" w:eastAsia="fr-FR" w:bidi="fr-FR"/>
        </w:rPr>
        <w:t>vant les bailliages royaux auxquels ces localités ressortissaient à la date de la convocation aux États généraux de 1789</w:t>
      </w:r>
      <w:r w:rsidRPr="003B3476">
        <w:rPr>
          <w:bCs/>
          <w:i/>
        </w:rPr>
        <w:t xml:space="preserve"> </w:t>
      </w:r>
      <w:r w:rsidRPr="003B3476">
        <w:rPr>
          <w:i/>
          <w:lang w:val="fr-FR" w:eastAsia="fr-FR" w:bidi="fr-FR"/>
        </w:rPr>
        <w:t>(Essais et notices pour servir à l’histoire du département de Seine-et-Oise</w:t>
      </w:r>
      <w:r w:rsidRPr="003B3476">
        <w:rPr>
          <w:bCs/>
          <w:i/>
        </w:rPr>
        <w:t>, II)</w:t>
      </w:r>
      <w:r w:rsidRPr="003B3476">
        <w:rPr>
          <w:bCs/>
        </w:rPr>
        <w:t>, in-4°, Versailles, 1901, 43 p. et carte.</w:t>
      </w:r>
    </w:p>
  </w:footnote>
  <w:footnote w:id="673">
    <w:p w14:paraId="42AB9B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Forme l’Introduction du t. III de l’</w:t>
      </w:r>
      <w:r w:rsidRPr="003B3476">
        <w:rPr>
          <w:bCs/>
          <w:i/>
        </w:rPr>
        <w:t>Invent, sommaire des archives départeme</w:t>
      </w:r>
      <w:r w:rsidRPr="003B3476">
        <w:rPr>
          <w:bCs/>
          <w:i/>
        </w:rPr>
        <w:t>n</w:t>
      </w:r>
      <w:r w:rsidRPr="003B3476">
        <w:rPr>
          <w:bCs/>
          <w:i/>
        </w:rPr>
        <w:t xml:space="preserve">tales </w:t>
      </w:r>
      <w:r w:rsidRPr="003B3476">
        <w:rPr>
          <w:i/>
          <w:lang w:val="fr-FR" w:eastAsia="fr-FR" w:bidi="fr-FR"/>
        </w:rPr>
        <w:t xml:space="preserve">[du Loiret] </w:t>
      </w:r>
      <w:r w:rsidRPr="003B3476">
        <w:rPr>
          <w:bCs/>
          <w:i/>
        </w:rPr>
        <w:t>antérieures à 1790</w:t>
      </w:r>
      <w:r w:rsidRPr="003B3476">
        <w:rPr>
          <w:bCs/>
        </w:rPr>
        <w:t xml:space="preserve">, </w:t>
      </w:r>
      <w:r w:rsidRPr="003B3476">
        <w:rPr>
          <w:bCs/>
          <w:i/>
        </w:rPr>
        <w:t>Série</w:t>
      </w:r>
      <w:r w:rsidRPr="003B3476">
        <w:rPr>
          <w:i/>
          <w:lang w:val="fr-FR" w:eastAsia="fr-FR" w:bidi="fr-FR"/>
        </w:rPr>
        <w:t xml:space="preserve"> B</w:t>
      </w:r>
      <w:r w:rsidRPr="003B3476">
        <w:rPr>
          <w:lang w:val="fr-FR" w:eastAsia="fr-FR" w:bidi="fr-FR"/>
        </w:rPr>
        <w:t>, n</w:t>
      </w:r>
      <w:r w:rsidRPr="003B3476">
        <w:rPr>
          <w:vertAlign w:val="superscript"/>
          <w:lang w:val="fr-FR" w:eastAsia="fr-FR" w:bidi="fr-FR"/>
        </w:rPr>
        <w:t>os</w:t>
      </w:r>
      <w:r w:rsidRPr="003B3476">
        <w:rPr>
          <w:lang w:val="fr-FR" w:eastAsia="fr-FR" w:bidi="fr-FR"/>
        </w:rPr>
        <w:t xml:space="preserve"> 1536 à 3025 ; 45 p. avec ca</w:t>
      </w:r>
      <w:r w:rsidRPr="003B3476">
        <w:rPr>
          <w:lang w:val="fr-FR" w:eastAsia="fr-FR" w:bidi="fr-FR"/>
        </w:rPr>
        <w:t>r</w:t>
      </w:r>
      <w:r w:rsidRPr="003B3476">
        <w:rPr>
          <w:lang w:val="fr-FR" w:eastAsia="fr-FR" w:bidi="fr-FR"/>
        </w:rPr>
        <w:t xml:space="preserve">te. On devra aussi consulter sur la géographie de l’ancien bailliage d’Orléans l’édition des cahiers de ce bailliage, due à M. Camille </w:t>
      </w:r>
      <w:r w:rsidRPr="003B3476">
        <w:rPr>
          <w:rStyle w:val="Notedebasdepage65ptPetitesmajuscules"/>
          <w:b w:val="0"/>
          <w:sz w:val="24"/>
        </w:rPr>
        <w:t xml:space="preserve">Bloch. </w:t>
      </w:r>
      <w:r w:rsidRPr="003B3476">
        <w:rPr>
          <w:bCs/>
          <w:i/>
        </w:rPr>
        <w:t>Cf.</w:t>
      </w:r>
      <w:r w:rsidRPr="003B3476">
        <w:rPr>
          <w:bCs/>
        </w:rPr>
        <w:t xml:space="preserve"> </w:t>
      </w:r>
      <w:r w:rsidRPr="003B3476">
        <w:rPr>
          <w:bCs/>
          <w:i/>
        </w:rPr>
        <w:t>infra.</w:t>
      </w:r>
      <w:r w:rsidRPr="003B3476">
        <w:rPr>
          <w:lang w:val="fr-FR" w:eastAsia="fr-FR" w:bidi="fr-FR"/>
        </w:rPr>
        <w:t>, p. 777, n. 4.</w:t>
      </w:r>
    </w:p>
  </w:footnote>
  <w:footnote w:id="674">
    <w:p w14:paraId="4C8304C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Mém. Soc. hist. Paris</w:t>
      </w:r>
      <w:r w:rsidRPr="003B3476">
        <w:rPr>
          <w:lang w:val="fr-FR" w:eastAsia="fr-FR" w:bidi="fr-FR"/>
        </w:rPr>
        <w:t>, t. I, p. 1-43 (avec carte).</w:t>
      </w:r>
    </w:p>
  </w:footnote>
  <w:footnote w:id="675">
    <w:p w14:paraId="595AC23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Dans </w:t>
      </w:r>
      <w:r w:rsidRPr="003B3476">
        <w:rPr>
          <w:bCs/>
        </w:rPr>
        <w:t>l’</w:t>
      </w:r>
      <w:r w:rsidRPr="003B3476">
        <w:rPr>
          <w:bCs/>
          <w:i/>
        </w:rPr>
        <w:t>Introduction</w:t>
      </w:r>
      <w:r w:rsidRPr="003B3476">
        <w:rPr>
          <w:lang w:val="fr-FR" w:eastAsia="fr-FR" w:bidi="fr-FR"/>
        </w:rPr>
        <w:t xml:space="preserve"> de l’ouvrage cité </w:t>
      </w:r>
      <w:r w:rsidRPr="003B3476">
        <w:rPr>
          <w:bCs/>
          <w:i/>
        </w:rPr>
        <w:t>infra.</w:t>
      </w:r>
      <w:r w:rsidRPr="003B3476">
        <w:rPr>
          <w:lang w:val="fr-FR" w:eastAsia="fr-FR" w:bidi="fr-FR"/>
        </w:rPr>
        <w:t>, p. 775, n. 1.</w:t>
      </w:r>
    </w:p>
  </w:footnote>
  <w:footnote w:id="676">
    <w:p w14:paraId="09DACC13" w14:textId="77777777" w:rsidR="00B9662D" w:rsidRPr="003B3476" w:rsidRDefault="00B9662D" w:rsidP="00B9662D">
      <w:pPr>
        <w:pStyle w:val="Notedebasdepage"/>
        <w:rPr>
          <w:lang w:val="fr-FR"/>
        </w:rPr>
      </w:pPr>
      <w:r w:rsidRPr="003B3476">
        <w:rPr>
          <w:rStyle w:val="Appelnotedebasdep"/>
        </w:rPr>
        <w:footnoteRef/>
      </w:r>
      <w:r w:rsidRPr="003B3476">
        <w:tab/>
      </w:r>
      <w:r w:rsidRPr="003B3476">
        <w:rPr>
          <w:lang w:val="fr-FR" w:eastAsia="fr-FR" w:bidi="fr-FR"/>
        </w:rPr>
        <w:t>Dans le mémoire cité p. 775, n. 3.</w:t>
      </w:r>
    </w:p>
  </w:footnote>
  <w:footnote w:id="677">
    <w:p w14:paraId="29D3989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La condition juridique de l’Orléanais dans l'ancien droit</w:t>
      </w:r>
      <w:r w:rsidRPr="003B3476">
        <w:rPr>
          <w:lang w:val="fr-FR" w:eastAsia="fr-FR" w:bidi="fr-FR"/>
        </w:rPr>
        <w:t xml:space="preserve"> (thèse Fac. Droit Paris), in-8°, Orléans, 1912, </w:t>
      </w:r>
      <w:r w:rsidRPr="003B3476">
        <w:rPr>
          <w:smallCaps/>
          <w:lang w:val="fr-FR" w:eastAsia="fr-FR" w:bidi="fr-FR"/>
        </w:rPr>
        <w:t>xiii</w:t>
      </w:r>
      <w:r w:rsidRPr="003B3476">
        <w:rPr>
          <w:lang w:val="fr-FR" w:eastAsia="fr-FR" w:bidi="fr-FR"/>
        </w:rPr>
        <w:t xml:space="preserve"> + 161 p.</w:t>
      </w:r>
    </w:p>
  </w:footnote>
  <w:footnote w:id="678">
    <w:p w14:paraId="3590DE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In-4°, Paris, 1881, </w:t>
      </w:r>
      <w:r w:rsidRPr="003B3476">
        <w:rPr>
          <w:smallCaps/>
          <w:lang w:val="fr-FR" w:eastAsia="fr-FR" w:bidi="fr-FR"/>
        </w:rPr>
        <w:t>xciv</w:t>
      </w:r>
      <w:r w:rsidRPr="003B3476">
        <w:rPr>
          <w:lang w:val="fr-FR" w:eastAsia="fr-FR" w:bidi="fr-FR"/>
        </w:rPr>
        <w:t xml:space="preserve"> + 854 p. Des documents importants sur la Généralité sont publiés en appendice. Le mémoire sur la généralité d’Orléans est inédit ; mais il a été largement utilisé par M. de </w:t>
      </w:r>
      <w:r w:rsidRPr="003B3476">
        <w:rPr>
          <w:rStyle w:val="Notedebasdepage65ptPetitesmajuscules"/>
          <w:b w:val="0"/>
          <w:sz w:val="24"/>
        </w:rPr>
        <w:t xml:space="preserve">Beaucorps </w:t>
      </w:r>
      <w:r w:rsidRPr="003B3476">
        <w:rPr>
          <w:lang w:val="fr-FR" w:eastAsia="fr-FR" w:bidi="fr-FR"/>
        </w:rPr>
        <w:t xml:space="preserve">dans son ouvrage cité ci-dessous, n. </w:t>
      </w:r>
      <w:r w:rsidRPr="003B3476">
        <w:rPr>
          <w:bCs/>
        </w:rPr>
        <w:t>3.</w:t>
      </w:r>
    </w:p>
  </w:footnote>
  <w:footnote w:id="679">
    <w:p w14:paraId="11A917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Pages </w:t>
      </w:r>
      <w:r w:rsidRPr="003B3476">
        <w:rPr>
          <w:rStyle w:val="Notedebasdepage65ptPetitesmajuscules"/>
          <w:b w:val="0"/>
          <w:sz w:val="24"/>
        </w:rPr>
        <w:t>lxxi-xc ;</w:t>
      </w:r>
      <w:r w:rsidRPr="003B3476">
        <w:rPr>
          <w:lang w:val="fr-FR" w:eastAsia="fr-FR" w:bidi="fr-FR"/>
        </w:rPr>
        <w:t xml:space="preserve"> pages déjà publiées dans les </w:t>
      </w:r>
      <w:r w:rsidRPr="003B3476">
        <w:rPr>
          <w:bCs/>
          <w:i/>
        </w:rPr>
        <w:t>Mém. de la Soc. de l’hist. de Paris</w:t>
      </w:r>
      <w:r w:rsidRPr="003B3476">
        <w:rPr>
          <w:lang w:val="fr-FR" w:eastAsia="fr-FR" w:bidi="fr-FR"/>
        </w:rPr>
        <w:t xml:space="preserve">, t. VII (1880), p. 291-298. On trouvera la liste des gouverneurs de l’Île-de-France dans le mémoire de M. </w:t>
      </w:r>
      <w:r w:rsidRPr="003B3476">
        <w:rPr>
          <w:bCs/>
          <w:smallCaps/>
        </w:rPr>
        <w:t>Longnon</w:t>
      </w:r>
      <w:r w:rsidRPr="003B3476">
        <w:rPr>
          <w:bCs/>
        </w:rPr>
        <w:t xml:space="preserve">, </w:t>
      </w:r>
      <w:r w:rsidRPr="003B3476">
        <w:rPr>
          <w:lang w:val="fr-FR" w:eastAsia="fr-FR" w:bidi="fr-FR"/>
        </w:rPr>
        <w:t>cité p. 774, n. 5.</w:t>
      </w:r>
    </w:p>
  </w:footnote>
  <w:footnote w:id="680">
    <w:p w14:paraId="1EE832B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Une province sous Louis XIV : L’administration des intendants d'Orléans, de Creil, Jubert de Bouville et de la Bourdonnaye (1686-1713),</w:t>
      </w:r>
      <w:r w:rsidRPr="003B3476">
        <w:rPr>
          <w:lang w:val="fr-FR" w:eastAsia="fr-FR" w:bidi="fr-FR"/>
        </w:rPr>
        <w:t xml:space="preserve"> </w:t>
      </w:r>
      <w:r w:rsidRPr="003B3476">
        <w:rPr>
          <w:i/>
          <w:lang w:val="fr-FR" w:eastAsia="fr-FR" w:bidi="fr-FR"/>
        </w:rPr>
        <w:t>Mém. Soc. a</w:t>
      </w:r>
      <w:r w:rsidRPr="003B3476">
        <w:rPr>
          <w:i/>
          <w:lang w:val="fr-FR" w:eastAsia="fr-FR" w:bidi="fr-FR"/>
        </w:rPr>
        <w:t>r</w:t>
      </w:r>
      <w:r w:rsidRPr="003B3476">
        <w:rPr>
          <w:i/>
          <w:lang w:val="fr-FR" w:eastAsia="fr-FR" w:bidi="fr-FR"/>
        </w:rPr>
        <w:t>chéol. Orléanais</w:t>
      </w:r>
      <w:r w:rsidRPr="003B3476">
        <w:rPr>
          <w:lang w:val="fr-FR" w:eastAsia="fr-FR" w:bidi="fr-FR"/>
        </w:rPr>
        <w:t>,</w:t>
      </w:r>
      <w:r w:rsidRPr="003B3476">
        <w:rPr>
          <w:bCs/>
        </w:rPr>
        <w:t xml:space="preserve"> t. XXXIII (1911), p. 37-500.</w:t>
      </w:r>
    </w:p>
  </w:footnote>
  <w:footnote w:id="681">
    <w:p w14:paraId="4CEE4A0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L'Assistance et l'État en France à la veille de la Révolution (généralités de Paris, Rouen, Alençon, Orléans, Châlons, Soissons, Amiens), 1764-1790</w:t>
      </w:r>
      <w:r w:rsidRPr="003B3476">
        <w:rPr>
          <w:bCs/>
        </w:rPr>
        <w:t xml:space="preserve"> (th</w:t>
      </w:r>
      <w:r w:rsidRPr="003B3476">
        <w:rPr>
          <w:bCs/>
        </w:rPr>
        <w:t>è</w:t>
      </w:r>
      <w:r w:rsidRPr="003B3476">
        <w:rPr>
          <w:bCs/>
        </w:rPr>
        <w:t xml:space="preserve">se Fac. Lettres Paris), in-8°, Paris, 1908, </w:t>
      </w:r>
      <w:r w:rsidRPr="0049721E">
        <w:rPr>
          <w:rStyle w:val="Notedebasdepage265ptNonItaliquePetitesmajuscules"/>
          <w:b w:val="0"/>
          <w:iCs/>
          <w:sz w:val="24"/>
        </w:rPr>
        <w:t xml:space="preserve">lxiv </w:t>
      </w:r>
      <w:r w:rsidRPr="0049721E">
        <w:rPr>
          <w:bCs/>
        </w:rPr>
        <w:t>+</w:t>
      </w:r>
      <w:r w:rsidRPr="003B3476">
        <w:rPr>
          <w:bCs/>
        </w:rPr>
        <w:t xml:space="preserve"> 504 p.</w:t>
      </w:r>
    </w:p>
  </w:footnote>
  <w:footnote w:id="682">
    <w:p w14:paraId="6C9AED8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 </w:t>
      </w:r>
      <w:r w:rsidRPr="003B3476">
        <w:rPr>
          <w:rStyle w:val="Notedebasdepage265ptNonItaliquePetitesmajuscules"/>
          <w:b w:val="0"/>
          <w:iCs/>
          <w:sz w:val="24"/>
        </w:rPr>
        <w:t>Merlet</w:t>
      </w:r>
      <w:r w:rsidRPr="003B3476">
        <w:rPr>
          <w:rStyle w:val="Notedebasdepage265ptNonItaliquePetitesmajuscules"/>
          <w:b w:val="0"/>
          <w:i/>
          <w:iCs/>
          <w:sz w:val="24"/>
        </w:rPr>
        <w:t xml:space="preserve">, </w:t>
      </w:r>
      <w:r w:rsidRPr="003B3476">
        <w:rPr>
          <w:i/>
          <w:lang w:val="fr-FR" w:eastAsia="fr-FR" w:bidi="fr-FR"/>
        </w:rPr>
        <w:t>Des assemblées de communautés d'habitants dans l'ancien comté de Dunois (publié sous les auspices de la Soc. Dunoise),</w:t>
      </w:r>
      <w:r w:rsidRPr="003B3476">
        <w:rPr>
          <w:bCs/>
        </w:rPr>
        <w:t xml:space="preserve"> in-12, Châteaudun, 1888, 327 p.</w:t>
      </w:r>
    </w:p>
  </w:footnote>
  <w:footnote w:id="683">
    <w:p w14:paraId="0E97E92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Documents historiques se rattachant à la vie des villages avant 1789 et sous la Révolution</w:t>
      </w:r>
      <w:r w:rsidRPr="003B3476">
        <w:rPr>
          <w:lang w:val="fr-FR" w:eastAsia="fr-FR" w:bidi="fr-FR"/>
        </w:rPr>
        <w:t xml:space="preserve">, </w:t>
      </w:r>
      <w:r w:rsidRPr="003B3476">
        <w:rPr>
          <w:bCs/>
        </w:rPr>
        <w:t>gr. in-8°, Versailles, 1908, 174 p.</w:t>
      </w:r>
    </w:p>
  </w:footnote>
  <w:footnote w:id="684">
    <w:p w14:paraId="74D765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Registres des délibérations municipales de la ville de Pontoise (1608-1683),</w:t>
      </w:r>
      <w:r w:rsidRPr="003B3476">
        <w:rPr>
          <w:bCs/>
        </w:rPr>
        <w:t xml:space="preserve"> in-4° Pontoise </w:t>
      </w:r>
      <w:r w:rsidRPr="003B3476">
        <w:rPr>
          <w:i/>
          <w:lang w:val="fr-FR" w:eastAsia="fr-FR" w:bidi="fr-FR"/>
        </w:rPr>
        <w:t>(Doc. édit, par la Soc. histor. du Vexin).</w:t>
      </w:r>
    </w:p>
  </w:footnote>
  <w:footnote w:id="685">
    <w:p w14:paraId="06611A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Les Assemblées municipales de 1787 ; leur caractère économique ; leur fon</w:t>
      </w:r>
      <w:r w:rsidRPr="003B3476">
        <w:rPr>
          <w:i/>
          <w:lang w:val="fr-FR" w:eastAsia="fr-FR" w:bidi="fr-FR"/>
        </w:rPr>
        <w:t>c</w:t>
      </w:r>
      <w:r w:rsidRPr="003B3476">
        <w:rPr>
          <w:i/>
          <w:lang w:val="fr-FR" w:eastAsia="fr-FR" w:bidi="fr-FR"/>
        </w:rPr>
        <w:t>tionnement</w:t>
      </w:r>
      <w:r w:rsidRPr="003B3476">
        <w:rPr>
          <w:lang w:val="fr-FR" w:eastAsia="fr-FR" w:bidi="fr-FR"/>
        </w:rPr>
        <w:t xml:space="preserve">, </w:t>
      </w:r>
      <w:r w:rsidRPr="003B3476">
        <w:rPr>
          <w:bCs/>
        </w:rPr>
        <w:t xml:space="preserve">dans </w:t>
      </w:r>
      <w:r w:rsidRPr="003B3476">
        <w:rPr>
          <w:i/>
          <w:lang w:val="fr-FR" w:eastAsia="fr-FR" w:bidi="fr-FR"/>
        </w:rPr>
        <w:t>Études sur l’histoire économique de la France</w:t>
      </w:r>
      <w:r w:rsidRPr="003B3476">
        <w:rPr>
          <w:lang w:val="fr-FR" w:eastAsia="fr-FR" w:bidi="fr-FR"/>
        </w:rPr>
        <w:t>,</w:t>
      </w:r>
      <w:r w:rsidRPr="003B3476">
        <w:rPr>
          <w:bCs/>
        </w:rPr>
        <w:t xml:space="preserve"> in-8°, Paris, 1900, p. 117-156.</w:t>
      </w:r>
    </w:p>
  </w:footnote>
  <w:footnote w:id="686">
    <w:p w14:paraId="56329BB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Étude sur l’administration provinciale avant 1789 ; les assemblées provinci</w:t>
      </w:r>
      <w:r w:rsidRPr="003B3476">
        <w:rPr>
          <w:i/>
          <w:lang w:val="fr-FR" w:eastAsia="fr-FR" w:bidi="fr-FR"/>
        </w:rPr>
        <w:t>a</w:t>
      </w:r>
      <w:r w:rsidRPr="003B3476">
        <w:rPr>
          <w:i/>
          <w:lang w:val="fr-FR" w:eastAsia="fr-FR" w:bidi="fr-FR"/>
        </w:rPr>
        <w:t>les instituées sous Louis XVI et spécialement celle tenue à Melun en 1787</w:t>
      </w:r>
      <w:r w:rsidRPr="003B3476">
        <w:rPr>
          <w:lang w:val="fr-FR" w:eastAsia="fr-FR" w:bidi="fr-FR"/>
        </w:rPr>
        <w:t xml:space="preserve">, </w:t>
      </w:r>
      <w:r w:rsidRPr="003B3476">
        <w:rPr>
          <w:i/>
          <w:lang w:val="fr-FR" w:eastAsia="fr-FR" w:bidi="fr-FR"/>
        </w:rPr>
        <w:t>Bullet. Soc. archéol. Seine-et-Marne</w:t>
      </w:r>
      <w:r w:rsidRPr="003B3476">
        <w:rPr>
          <w:lang w:val="fr-FR" w:eastAsia="fr-FR" w:bidi="fr-FR"/>
        </w:rPr>
        <w:t xml:space="preserve">, </w:t>
      </w:r>
      <w:r w:rsidRPr="003B3476">
        <w:rPr>
          <w:bCs/>
        </w:rPr>
        <w:t>t. VIII (1875-77), p. 123-144.</w:t>
      </w:r>
    </w:p>
  </w:footnote>
  <w:footnote w:id="687">
    <w:p w14:paraId="6E8D115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L’Assemblée provinciale de l’Île-de-France. Les départements de Saint-Germain et de Corbeil</w:t>
      </w:r>
      <w:r w:rsidRPr="003B3476">
        <w:rPr>
          <w:bCs/>
          <w:i/>
        </w:rPr>
        <w:t xml:space="preserve"> (</w:t>
      </w:r>
      <w:r w:rsidRPr="003B3476">
        <w:rPr>
          <w:i/>
          <w:lang w:val="fr-FR" w:eastAsia="fr-FR" w:bidi="fr-FR"/>
        </w:rPr>
        <w:t>1787-1790</w:t>
      </w:r>
      <w:r w:rsidRPr="003B3476">
        <w:rPr>
          <w:bCs/>
          <w:i/>
        </w:rPr>
        <w:t xml:space="preserve">) </w:t>
      </w:r>
      <w:r w:rsidRPr="003B3476">
        <w:rPr>
          <w:i/>
          <w:lang w:val="fr-FR" w:eastAsia="fr-FR" w:bidi="fr-FR"/>
        </w:rPr>
        <w:t>Correspond, histor. et archéol</w:t>
      </w:r>
      <w:r w:rsidRPr="003B3476">
        <w:rPr>
          <w:lang w:val="fr-FR" w:eastAsia="fr-FR" w:bidi="fr-FR"/>
        </w:rPr>
        <w:t>.,</w:t>
      </w:r>
      <w:r w:rsidRPr="003B3476">
        <w:rPr>
          <w:bCs/>
        </w:rPr>
        <w:t xml:space="preserve"> t. VI (1899), p. 258-268, et </w:t>
      </w:r>
      <w:r w:rsidRPr="003B3476">
        <w:rPr>
          <w:i/>
          <w:lang w:val="fr-FR" w:eastAsia="fr-FR" w:bidi="fr-FR"/>
        </w:rPr>
        <w:t>Bullet. Soc. histor. et archéol. de Corbeil</w:t>
      </w:r>
      <w:r w:rsidRPr="003B3476">
        <w:rPr>
          <w:lang w:val="fr-FR" w:eastAsia="fr-FR" w:bidi="fr-FR"/>
        </w:rPr>
        <w:t>,</w:t>
      </w:r>
      <w:r w:rsidRPr="003B3476">
        <w:rPr>
          <w:bCs/>
        </w:rPr>
        <w:t xml:space="preserve"> t. VI (1900), p. 60-78. </w:t>
      </w:r>
      <w:r w:rsidRPr="003B3476">
        <w:rPr>
          <w:i/>
          <w:lang w:val="fr-FR" w:eastAsia="fr-FR" w:bidi="fr-FR"/>
        </w:rPr>
        <w:t>Cf.</w:t>
      </w:r>
      <w:r w:rsidRPr="003B3476">
        <w:rPr>
          <w:bCs/>
        </w:rPr>
        <w:t xml:space="preserve"> aussi Adalbert </w:t>
      </w:r>
      <w:r w:rsidRPr="003B3476">
        <w:rPr>
          <w:rStyle w:val="Notedebasdepage265ptNonItaliquePetitesmajuscules"/>
          <w:b w:val="0"/>
          <w:i/>
          <w:iCs/>
        </w:rPr>
        <w:t xml:space="preserve">Wahl, </w:t>
      </w:r>
      <w:r w:rsidRPr="003B3476">
        <w:rPr>
          <w:i/>
          <w:lang w:val="fr-FR" w:eastAsia="fr-FR" w:bidi="fr-FR"/>
        </w:rPr>
        <w:t>Die Entstehung der Taille in der Provinz Isle-de-France (Généralité von Paris) unter Ludwig XVI</w:t>
      </w:r>
      <w:r w:rsidRPr="003B3476">
        <w:rPr>
          <w:lang w:val="fr-FR" w:eastAsia="fr-FR" w:bidi="fr-FR"/>
        </w:rPr>
        <w:t>.,</w:t>
      </w:r>
      <w:r w:rsidRPr="003B3476">
        <w:rPr>
          <w:bCs/>
        </w:rPr>
        <w:t xml:space="preserve"> dans </w:t>
      </w:r>
      <w:r w:rsidRPr="003B3476">
        <w:rPr>
          <w:i/>
          <w:lang w:val="fr-FR" w:eastAsia="fr-FR" w:bidi="fr-FR"/>
        </w:rPr>
        <w:t>Studien zur Vo</w:t>
      </w:r>
      <w:r w:rsidRPr="003B3476">
        <w:rPr>
          <w:i/>
          <w:lang w:val="fr-FR" w:eastAsia="fr-FR" w:bidi="fr-FR"/>
        </w:rPr>
        <w:t>r</w:t>
      </w:r>
      <w:r w:rsidRPr="003B3476">
        <w:rPr>
          <w:i/>
          <w:lang w:val="fr-FR" w:eastAsia="fr-FR" w:bidi="fr-FR"/>
        </w:rPr>
        <w:t>gescliichte der französischen Revolution,</w:t>
      </w:r>
      <w:r w:rsidRPr="003B3476">
        <w:rPr>
          <w:bCs/>
        </w:rPr>
        <w:t xml:space="preserve"> in-8°, Tübingen u. Leipzig, 1901, p. 69-90.</w:t>
      </w:r>
    </w:p>
  </w:footnote>
  <w:footnote w:id="688">
    <w:p w14:paraId="34DE86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Essai sur l’administration de l’Assemblée Provinciale de la Généralité d’Orléans (1787-1790)</w:t>
      </w:r>
      <w:r w:rsidRPr="003B3476">
        <w:rPr>
          <w:bCs/>
        </w:rPr>
        <w:t xml:space="preserve"> (thèse Fac. Droit Paris), </w:t>
      </w:r>
      <w:r w:rsidRPr="003B3476">
        <w:rPr>
          <w:rStyle w:val="Notedebasdepage265ptNonItalique"/>
          <w:b w:val="0"/>
          <w:i/>
          <w:iCs/>
          <w:sz w:val="24"/>
        </w:rPr>
        <w:t xml:space="preserve">in-8°, </w:t>
      </w:r>
      <w:r w:rsidRPr="003B3476">
        <w:rPr>
          <w:bCs/>
        </w:rPr>
        <w:t xml:space="preserve">Paris, 1907, </w:t>
      </w:r>
      <w:r w:rsidRPr="003B3476">
        <w:rPr>
          <w:bCs/>
          <w:smallCaps/>
        </w:rPr>
        <w:t>iv</w:t>
      </w:r>
      <w:r w:rsidRPr="003B3476">
        <w:rPr>
          <w:bCs/>
        </w:rPr>
        <w:t xml:space="preserve"> </w:t>
      </w:r>
      <w:r w:rsidRPr="003B3476">
        <w:rPr>
          <w:rStyle w:val="Notedebasdepage265ptNonItalique"/>
          <w:b w:val="0"/>
          <w:i/>
          <w:iCs/>
          <w:sz w:val="24"/>
        </w:rPr>
        <w:t xml:space="preserve">+ </w:t>
      </w:r>
      <w:r w:rsidRPr="003B3476">
        <w:rPr>
          <w:bCs/>
        </w:rPr>
        <w:t xml:space="preserve">634 </w:t>
      </w:r>
      <w:r w:rsidRPr="003B3476">
        <w:rPr>
          <w:rStyle w:val="Notedebasdepage265ptNonItalique"/>
          <w:b w:val="0"/>
          <w:i/>
          <w:iCs/>
          <w:sz w:val="24"/>
        </w:rPr>
        <w:t xml:space="preserve">p. </w:t>
      </w:r>
      <w:r w:rsidRPr="003B3476">
        <w:rPr>
          <w:i/>
          <w:lang w:val="fr-FR" w:eastAsia="fr-FR" w:bidi="fr-FR"/>
        </w:rPr>
        <w:t>Cf.</w:t>
      </w:r>
      <w:r w:rsidRPr="003B3476">
        <w:rPr>
          <w:bCs/>
        </w:rPr>
        <w:t xml:space="preserve"> Camille </w:t>
      </w:r>
      <w:r w:rsidRPr="003B3476">
        <w:rPr>
          <w:rStyle w:val="Notedebasdepage265ptNonItaliquePetitesmajuscules"/>
          <w:b w:val="0"/>
          <w:i/>
          <w:iCs/>
          <w:sz w:val="24"/>
        </w:rPr>
        <w:t xml:space="preserve">Bloch, </w:t>
      </w:r>
      <w:r w:rsidRPr="003B3476">
        <w:rPr>
          <w:i/>
          <w:lang w:val="fr-FR" w:eastAsia="fr-FR" w:bidi="fr-FR"/>
        </w:rPr>
        <w:t>Le département de Pithiviers et de Montargis en 1787, Ann. Soc. histor. Gâtinais</w:t>
      </w:r>
      <w:r w:rsidRPr="003B3476">
        <w:rPr>
          <w:lang w:val="fr-FR" w:eastAsia="fr-FR" w:bidi="fr-FR"/>
        </w:rPr>
        <w:t>,</w:t>
      </w:r>
      <w:r w:rsidRPr="003B3476">
        <w:rPr>
          <w:bCs/>
        </w:rPr>
        <w:t xml:space="preserve"> t. XVII (1898), p. 217-225.</w:t>
      </w:r>
    </w:p>
  </w:footnote>
  <w:footnote w:id="689">
    <w:p w14:paraId="57D7E56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Pour la bibliographie des cahiers, manuscrits et imprimés on consultera A. </w:t>
      </w:r>
      <w:r w:rsidRPr="003B3476">
        <w:rPr>
          <w:rStyle w:val="Notedebasdepage265ptNonItaliquePetitesmajuscules"/>
          <w:b w:val="0"/>
          <w:iCs/>
          <w:sz w:val="24"/>
        </w:rPr>
        <w:t>Brette</w:t>
      </w:r>
      <w:r w:rsidRPr="003B3476">
        <w:rPr>
          <w:rStyle w:val="Notedebasdepage265ptNonItaliquePetitesmajuscules"/>
          <w:b w:val="0"/>
          <w:i/>
          <w:iCs/>
          <w:sz w:val="24"/>
        </w:rPr>
        <w:t xml:space="preserve">, </w:t>
      </w:r>
      <w:r w:rsidRPr="003B3476">
        <w:rPr>
          <w:i/>
          <w:lang w:val="fr-FR" w:eastAsia="fr-FR" w:bidi="fr-FR"/>
        </w:rPr>
        <w:t>Recueil des documents relatifs à la convocation des États généraux de 1789</w:t>
      </w:r>
      <w:r w:rsidRPr="003B3476">
        <w:t xml:space="preserve">, t. III, in-4, Paris, 1907 ; </w:t>
      </w:r>
      <w:r w:rsidRPr="003B3476">
        <w:rPr>
          <w:rStyle w:val="Notedebasdepage265ptNonItaliquePetitesmajuscules"/>
          <w:b w:val="0"/>
          <w:iCs/>
          <w:sz w:val="24"/>
        </w:rPr>
        <w:t>Coüard</w:t>
      </w:r>
      <w:r w:rsidRPr="003B3476">
        <w:rPr>
          <w:rStyle w:val="Notedebasdepage265ptNonItaliquePetitesmajuscules"/>
          <w:b w:val="0"/>
          <w:i/>
          <w:iCs/>
          <w:sz w:val="24"/>
        </w:rPr>
        <w:t xml:space="preserve">, </w:t>
      </w:r>
      <w:r w:rsidRPr="003B3476">
        <w:rPr>
          <w:i/>
          <w:lang w:val="fr-FR" w:eastAsia="fr-FR" w:bidi="fr-FR"/>
        </w:rPr>
        <w:t>Les bailliages</w:t>
      </w:r>
      <w:r w:rsidRPr="003B3476">
        <w:t xml:space="preserve"> (cf. </w:t>
      </w:r>
      <w:r w:rsidRPr="003B3476">
        <w:rPr>
          <w:i/>
          <w:lang w:val="fr-FR" w:eastAsia="fr-FR" w:bidi="fr-FR"/>
        </w:rPr>
        <w:t>supra</w:t>
      </w:r>
      <w:r w:rsidRPr="003B3476">
        <w:rPr>
          <w:lang w:val="fr-FR" w:eastAsia="fr-FR" w:bidi="fr-FR"/>
        </w:rPr>
        <w:t>,</w:t>
      </w:r>
      <w:r w:rsidRPr="003B3476">
        <w:t xml:space="preserve"> p. 774, n. 3) ; </w:t>
      </w:r>
      <w:r w:rsidRPr="003B3476">
        <w:rPr>
          <w:rStyle w:val="Notedebasdepage265ptNonItaliquePetitesmajuscules"/>
          <w:b w:val="0"/>
          <w:i/>
          <w:iCs/>
          <w:sz w:val="24"/>
        </w:rPr>
        <w:t xml:space="preserve">Coüard, </w:t>
      </w:r>
      <w:r w:rsidRPr="003B3476">
        <w:rPr>
          <w:i/>
          <w:lang w:val="fr-FR" w:eastAsia="fr-FR" w:bidi="fr-FR"/>
        </w:rPr>
        <w:t>Les États généraux de 1789. Cahiers des paroisses et des co</w:t>
      </w:r>
      <w:r w:rsidRPr="003B3476">
        <w:rPr>
          <w:i/>
          <w:lang w:val="fr-FR" w:eastAsia="fr-FR" w:bidi="fr-FR"/>
        </w:rPr>
        <w:t>r</w:t>
      </w:r>
      <w:r w:rsidRPr="003B3476">
        <w:rPr>
          <w:i/>
          <w:lang w:val="fr-FR" w:eastAsia="fr-FR" w:bidi="fr-FR"/>
        </w:rPr>
        <w:t>porations. Recherche et public, des docum. relatifs à la vie économ. de la R</w:t>
      </w:r>
      <w:r w:rsidRPr="003B3476">
        <w:rPr>
          <w:i/>
          <w:lang w:val="fr-FR" w:eastAsia="fr-FR" w:bidi="fr-FR"/>
        </w:rPr>
        <w:t>é</w:t>
      </w:r>
      <w:r w:rsidRPr="003B3476">
        <w:rPr>
          <w:i/>
          <w:lang w:val="fr-FR" w:eastAsia="fr-FR" w:bidi="fr-FR"/>
        </w:rPr>
        <w:t>vol. Comité départemental de Seine-et-Oise</w:t>
      </w:r>
      <w:r w:rsidRPr="003B3476">
        <w:rPr>
          <w:lang w:val="fr-FR" w:eastAsia="fr-FR" w:bidi="fr-FR"/>
        </w:rPr>
        <w:t>,</w:t>
      </w:r>
      <w:r w:rsidRPr="003B3476">
        <w:t xml:space="preserve"> fasc. 1 (1907), p. 39-42.</w:t>
      </w:r>
    </w:p>
  </w:footnote>
  <w:footnote w:id="690">
    <w:p w14:paraId="108795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Quelques-uns ont été réédités : par exemple celui de Saint-Maur-les-Fossés par M. Émile </w:t>
      </w:r>
      <w:r w:rsidRPr="003B3476">
        <w:rPr>
          <w:rStyle w:val="Notedebasdepage65ptPetitesmajuscules"/>
          <w:b w:val="0"/>
          <w:sz w:val="24"/>
        </w:rPr>
        <w:t xml:space="preserve">Galtier, </w:t>
      </w:r>
      <w:r w:rsidRPr="003B3476">
        <w:rPr>
          <w:bCs/>
          <w:i/>
        </w:rPr>
        <w:t>Histoire de Saint-Maur</w:t>
      </w:r>
      <w:r w:rsidRPr="003B3476">
        <w:rPr>
          <w:bCs/>
        </w:rPr>
        <w:t>,</w:t>
      </w:r>
      <w:r w:rsidRPr="003B3476">
        <w:rPr>
          <w:lang w:val="fr-FR" w:eastAsia="fr-FR" w:bidi="fr-FR"/>
        </w:rPr>
        <w:t xml:space="preserve"> in-8°, Paris, 1912, p. 172-174 ; c</w:t>
      </w:r>
      <w:r w:rsidRPr="003B3476">
        <w:rPr>
          <w:lang w:val="fr-FR" w:eastAsia="fr-FR" w:bidi="fr-FR"/>
        </w:rPr>
        <w:t>e</w:t>
      </w:r>
      <w:r w:rsidRPr="003B3476">
        <w:rPr>
          <w:lang w:val="fr-FR" w:eastAsia="fr-FR" w:bidi="fr-FR"/>
        </w:rPr>
        <w:t xml:space="preserve">lui de Bourg-la-Reine par M. Fernand </w:t>
      </w:r>
      <w:r w:rsidRPr="003B3476">
        <w:rPr>
          <w:rStyle w:val="Notedebasdepage65ptPetitesmajuscules"/>
          <w:b w:val="0"/>
          <w:sz w:val="24"/>
        </w:rPr>
        <w:t xml:space="preserve">Bournon, </w:t>
      </w:r>
      <w:r w:rsidRPr="003B3476">
        <w:rPr>
          <w:bCs/>
          <w:i/>
        </w:rPr>
        <w:t>Département de la Seine. État des communes à la fin du XIX</w:t>
      </w:r>
      <w:r w:rsidRPr="003B3476">
        <w:rPr>
          <w:bCs/>
          <w:i/>
          <w:vertAlign w:val="superscript"/>
        </w:rPr>
        <w:t>e</w:t>
      </w:r>
      <w:r w:rsidRPr="003B3476">
        <w:rPr>
          <w:bCs/>
          <w:i/>
        </w:rPr>
        <w:t xml:space="preserve"> siècle, </w:t>
      </w:r>
      <w:r w:rsidRPr="003B3476">
        <w:rPr>
          <w:i/>
          <w:lang w:val="fr-FR" w:eastAsia="fr-FR" w:bidi="fr-FR"/>
        </w:rPr>
        <w:t>Bourg-la-Reine</w:t>
      </w:r>
      <w:r w:rsidRPr="003B3476">
        <w:rPr>
          <w:lang w:val="fr-FR" w:eastAsia="fr-FR" w:bidi="fr-FR"/>
        </w:rPr>
        <w:t>,</w:t>
      </w:r>
      <w:r w:rsidRPr="003B3476">
        <w:rPr>
          <w:bCs/>
        </w:rPr>
        <w:t xml:space="preserve"> in-8°, Paris, 1899. La pl</w:t>
      </w:r>
      <w:r w:rsidRPr="003B3476">
        <w:rPr>
          <w:bCs/>
        </w:rPr>
        <w:t>u</w:t>
      </w:r>
      <w:r w:rsidRPr="003B3476">
        <w:rPr>
          <w:bCs/>
        </w:rPr>
        <w:t xml:space="preserve">part ont été analysés et étudiés par Ch.-L. </w:t>
      </w:r>
      <w:r w:rsidRPr="003B3476">
        <w:rPr>
          <w:rStyle w:val="Notedebasdepage265ptNonItaliquePetitesmajuscules"/>
          <w:b w:val="0"/>
          <w:iCs/>
          <w:sz w:val="24"/>
        </w:rPr>
        <w:t>Chassin</w:t>
      </w:r>
      <w:r w:rsidRPr="003B3476">
        <w:rPr>
          <w:rStyle w:val="Notedebasdepage265ptNonItaliquePetitesmajuscules"/>
          <w:b w:val="0"/>
          <w:i/>
          <w:iCs/>
          <w:sz w:val="24"/>
        </w:rPr>
        <w:t xml:space="preserve">, </w:t>
      </w:r>
      <w:r w:rsidRPr="003B3476">
        <w:rPr>
          <w:i/>
          <w:lang w:val="fr-FR" w:eastAsia="fr-FR" w:bidi="fr-FR"/>
        </w:rPr>
        <w:t>Les élections et les cahiers de Paris en 1789</w:t>
      </w:r>
      <w:r w:rsidRPr="003B3476">
        <w:rPr>
          <w:lang w:val="fr-FR" w:eastAsia="fr-FR" w:bidi="fr-FR"/>
        </w:rPr>
        <w:t xml:space="preserve"> </w:t>
      </w:r>
      <w:r w:rsidRPr="003B3476">
        <w:rPr>
          <w:i/>
          <w:lang w:val="fr-FR" w:eastAsia="fr-FR" w:bidi="fr-FR"/>
        </w:rPr>
        <w:t>(Coll, de docum. relat. à l'hist. de Paris pe</w:t>
      </w:r>
      <w:r w:rsidRPr="003B3476">
        <w:rPr>
          <w:i/>
          <w:lang w:val="fr-FR" w:eastAsia="fr-FR" w:bidi="fr-FR"/>
        </w:rPr>
        <w:t>n</w:t>
      </w:r>
      <w:r w:rsidRPr="003B3476">
        <w:rPr>
          <w:i/>
          <w:lang w:val="fr-FR" w:eastAsia="fr-FR" w:bidi="fr-FR"/>
        </w:rPr>
        <w:t>dant la Rév. franç.),</w:t>
      </w:r>
      <w:r w:rsidRPr="003B3476">
        <w:rPr>
          <w:bCs/>
        </w:rPr>
        <w:t xml:space="preserve"> t. IV, in-8°, Paris, 1889.</w:t>
      </w:r>
    </w:p>
  </w:footnote>
  <w:footnote w:id="691">
    <w:p w14:paraId="3C84F2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J.-F. </w:t>
      </w:r>
      <w:r w:rsidRPr="003B3476">
        <w:rPr>
          <w:rStyle w:val="Notedebasdepage265ptNonItaliquePetitesmajuscules"/>
          <w:b w:val="0"/>
          <w:iCs/>
          <w:sz w:val="24"/>
        </w:rPr>
        <w:t>Thénard</w:t>
      </w:r>
      <w:r w:rsidRPr="003B3476">
        <w:rPr>
          <w:rStyle w:val="Notedebasdepage265ptNonItaliquePetitesmajuscules"/>
          <w:b w:val="0"/>
          <w:i/>
          <w:iCs/>
          <w:sz w:val="24"/>
        </w:rPr>
        <w:t xml:space="preserve">, </w:t>
      </w:r>
      <w:r w:rsidRPr="003B3476">
        <w:rPr>
          <w:i/>
          <w:lang w:val="fr-FR" w:eastAsia="fr-FR" w:bidi="fr-FR"/>
        </w:rPr>
        <w:t>Bailliages de Versailles et de Meudon. Les cahiers des paroi</w:t>
      </w:r>
      <w:r w:rsidRPr="003B3476">
        <w:rPr>
          <w:i/>
          <w:lang w:val="fr-FR" w:eastAsia="fr-FR" w:bidi="fr-FR"/>
        </w:rPr>
        <w:t>s</w:t>
      </w:r>
      <w:r w:rsidRPr="003B3476">
        <w:rPr>
          <w:i/>
          <w:lang w:val="fr-FR" w:eastAsia="fr-FR" w:bidi="fr-FR"/>
        </w:rPr>
        <w:t>ses avec commentaires</w:t>
      </w:r>
      <w:r w:rsidRPr="003B3476">
        <w:rPr>
          <w:bCs/>
        </w:rPr>
        <w:t xml:space="preserve">, in-16, Versailles, 1889, </w:t>
      </w:r>
      <w:r w:rsidRPr="003B3476">
        <w:rPr>
          <w:bCs/>
          <w:smallCaps/>
        </w:rPr>
        <w:t>xxxvi</w:t>
      </w:r>
      <w:r w:rsidRPr="003B3476">
        <w:rPr>
          <w:bCs/>
        </w:rPr>
        <w:t xml:space="preserve"> + 324 p.</w:t>
      </w:r>
    </w:p>
  </w:footnote>
  <w:footnote w:id="692">
    <w:p w14:paraId="534D444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Maxime </w:t>
      </w:r>
      <w:r w:rsidRPr="003B3476">
        <w:rPr>
          <w:rStyle w:val="Notedebasdepage265ptNonItaliquePetitesmajuscules"/>
          <w:b w:val="0"/>
          <w:iCs/>
          <w:sz w:val="24"/>
        </w:rPr>
        <w:t>Legrand</w:t>
      </w:r>
      <w:r w:rsidRPr="003B3476">
        <w:rPr>
          <w:rStyle w:val="Notedebasdepage265ptNonItaliquePetitesmajuscules"/>
          <w:b w:val="0"/>
          <w:i/>
          <w:iCs/>
          <w:sz w:val="24"/>
        </w:rPr>
        <w:t xml:space="preserve"> </w:t>
      </w:r>
      <w:r w:rsidRPr="003B3476">
        <w:rPr>
          <w:bCs/>
        </w:rPr>
        <w:t xml:space="preserve">et Léon </w:t>
      </w:r>
      <w:r w:rsidRPr="003B3476">
        <w:rPr>
          <w:rStyle w:val="Notedebasdepage265ptNonItaliquePetitesmajuscules"/>
          <w:b w:val="0"/>
          <w:i/>
          <w:iCs/>
          <w:sz w:val="24"/>
        </w:rPr>
        <w:t xml:space="preserve">Marquis, </w:t>
      </w:r>
      <w:r w:rsidRPr="003B3476">
        <w:rPr>
          <w:lang w:val="fr-FR" w:eastAsia="fr-FR" w:bidi="fr-FR"/>
        </w:rPr>
        <w:t xml:space="preserve">1789. </w:t>
      </w:r>
      <w:r w:rsidRPr="003B3476">
        <w:rPr>
          <w:i/>
          <w:lang w:val="fr-FR" w:eastAsia="fr-FR" w:bidi="fr-FR"/>
        </w:rPr>
        <w:t>Les trois États du bailliage d’Étampes aux États généraux</w:t>
      </w:r>
      <w:r w:rsidRPr="003B3476">
        <w:rPr>
          <w:bCs/>
        </w:rPr>
        <w:t xml:space="preserve">, in-8°, Étampes, 1892, x + </w:t>
      </w:r>
      <w:r w:rsidRPr="003B3476">
        <w:rPr>
          <w:bCs/>
          <w:smallCaps/>
        </w:rPr>
        <w:t>iii</w:t>
      </w:r>
      <w:r w:rsidRPr="003B3476">
        <w:rPr>
          <w:bCs/>
        </w:rPr>
        <w:t xml:space="preserve"> + 410 p., et </w:t>
      </w:r>
      <w:r w:rsidRPr="003B3476">
        <w:rPr>
          <w:lang w:val="fr-FR" w:eastAsia="fr-FR" w:bidi="fr-FR"/>
        </w:rPr>
        <w:t xml:space="preserve">1789. </w:t>
      </w:r>
      <w:r w:rsidRPr="003B3476">
        <w:rPr>
          <w:i/>
          <w:lang w:val="fr-FR" w:eastAsia="fr-FR" w:bidi="fr-FR"/>
        </w:rPr>
        <w:t>Le bailliage d'Étampes aux États généraux. Cahiers de la ville et des paroi</w:t>
      </w:r>
      <w:r w:rsidRPr="003B3476">
        <w:rPr>
          <w:i/>
          <w:lang w:val="fr-FR" w:eastAsia="fr-FR" w:bidi="fr-FR"/>
        </w:rPr>
        <w:t>s</w:t>
      </w:r>
      <w:r w:rsidRPr="003B3476">
        <w:rPr>
          <w:i/>
          <w:lang w:val="fr-FR" w:eastAsia="fr-FR" w:bidi="fr-FR"/>
        </w:rPr>
        <w:t>ses</w:t>
      </w:r>
      <w:r w:rsidRPr="003B3476">
        <w:rPr>
          <w:bCs/>
        </w:rPr>
        <w:t xml:space="preserve">, in-8°, Étampes, 1898, </w:t>
      </w:r>
      <w:r w:rsidRPr="003B3476">
        <w:rPr>
          <w:bCs/>
          <w:smallCaps/>
        </w:rPr>
        <w:t>xxiv</w:t>
      </w:r>
      <w:r w:rsidRPr="003B3476">
        <w:rPr>
          <w:bCs/>
        </w:rPr>
        <w:t xml:space="preserve"> + 588 p.</w:t>
      </w:r>
    </w:p>
  </w:footnote>
  <w:footnote w:id="693">
    <w:p w14:paraId="5641543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 </w:t>
      </w:r>
      <w:r w:rsidRPr="003B3476">
        <w:rPr>
          <w:rStyle w:val="Notedebasdepage265ptNonItaliquePetitesmajuscules"/>
          <w:b w:val="0"/>
          <w:iCs/>
          <w:sz w:val="24"/>
        </w:rPr>
        <w:t>Coüard</w:t>
      </w:r>
      <w:r w:rsidRPr="003B3476">
        <w:rPr>
          <w:rStyle w:val="Notedebasdepage265ptNonItaliquePetitesmajuscules"/>
          <w:b w:val="0"/>
          <w:i/>
          <w:iCs/>
          <w:sz w:val="24"/>
        </w:rPr>
        <w:t xml:space="preserve"> </w:t>
      </w:r>
      <w:r w:rsidRPr="003B3476">
        <w:rPr>
          <w:bCs/>
        </w:rPr>
        <w:t xml:space="preserve">et F. </w:t>
      </w:r>
      <w:r w:rsidRPr="003B3476">
        <w:rPr>
          <w:rStyle w:val="Notedebasdepage265ptNonItaliquePetitesmajuscules"/>
          <w:b w:val="0"/>
          <w:iCs/>
          <w:sz w:val="24"/>
        </w:rPr>
        <w:t>Lorin</w:t>
      </w:r>
      <w:r w:rsidRPr="003B3476">
        <w:rPr>
          <w:rStyle w:val="Notedebasdepage265ptNonItaliquePetitesmajuscules"/>
          <w:b w:val="0"/>
          <w:i/>
          <w:iCs/>
          <w:sz w:val="24"/>
        </w:rPr>
        <w:t xml:space="preserve">, </w:t>
      </w:r>
      <w:r w:rsidRPr="003B3476">
        <w:rPr>
          <w:i/>
          <w:lang w:val="fr-FR" w:eastAsia="fr-FR" w:bidi="fr-FR"/>
        </w:rPr>
        <w:t>Les Trois États du bailliage royal de Montfort-l’Amaury aux États généraux, 1789</w:t>
      </w:r>
      <w:r w:rsidRPr="003B3476">
        <w:rPr>
          <w:lang w:val="fr-FR" w:eastAsia="fr-FR" w:bidi="fr-FR"/>
        </w:rPr>
        <w:t xml:space="preserve">. </w:t>
      </w:r>
      <w:r w:rsidRPr="003B3476">
        <w:rPr>
          <w:i/>
          <w:lang w:val="fr-FR" w:eastAsia="fr-FR" w:bidi="fr-FR"/>
        </w:rPr>
        <w:t>Mém. Soc. archéol. Rambouillet</w:t>
      </w:r>
      <w:r w:rsidRPr="003B3476">
        <w:rPr>
          <w:bCs/>
        </w:rPr>
        <w:t>, t. XVI (1902), p. 1-301.</w:t>
      </w:r>
    </w:p>
  </w:footnote>
  <w:footnote w:id="694">
    <w:p w14:paraId="2349E9C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Collection de docum. inédits sur l’hist. écon. de la Rév. franç</w:t>
      </w:r>
      <w:r w:rsidRPr="003B3476">
        <w:rPr>
          <w:lang w:val="fr-FR" w:eastAsia="fr-FR" w:bidi="fr-FR"/>
        </w:rPr>
        <w:t xml:space="preserve">. </w:t>
      </w:r>
      <w:r w:rsidRPr="003B3476">
        <w:rPr>
          <w:i/>
          <w:lang w:val="fr-FR" w:eastAsia="fr-FR" w:bidi="fr-FR"/>
        </w:rPr>
        <w:t>Département du Loiret. Cahiers de Doléances du bailliage d'Orléans pour les États généraux de 1789</w:t>
      </w:r>
      <w:r w:rsidRPr="003B3476">
        <w:rPr>
          <w:bCs/>
        </w:rPr>
        <w:t xml:space="preserve">, publiés par Camille </w:t>
      </w:r>
      <w:r w:rsidRPr="0049721E">
        <w:rPr>
          <w:rStyle w:val="Notedebasdepage265ptNonItaliquePetitesmajuscules"/>
          <w:b w:val="0"/>
          <w:iCs/>
          <w:sz w:val="24"/>
        </w:rPr>
        <w:t>Bloch</w:t>
      </w:r>
      <w:r w:rsidRPr="003B3476">
        <w:rPr>
          <w:rStyle w:val="Notedebasdepage265ptNonItaliquePetitesmajuscules"/>
          <w:b w:val="0"/>
          <w:i/>
          <w:iCs/>
          <w:sz w:val="24"/>
        </w:rPr>
        <w:t xml:space="preserve">, </w:t>
      </w:r>
      <w:r w:rsidRPr="003B3476">
        <w:rPr>
          <w:bCs/>
        </w:rPr>
        <w:t xml:space="preserve">2 vol. in-8°, Orléans, 1906 et 1907, </w:t>
      </w:r>
      <w:r w:rsidRPr="003B3476">
        <w:rPr>
          <w:rStyle w:val="Notedebasdepage265ptNonItaliquePetitesmajuscules"/>
          <w:b w:val="0"/>
          <w:i/>
          <w:iCs/>
          <w:sz w:val="24"/>
        </w:rPr>
        <w:t xml:space="preserve">lxxiv </w:t>
      </w:r>
      <w:r w:rsidRPr="003B3476">
        <w:rPr>
          <w:bCs/>
        </w:rPr>
        <w:t xml:space="preserve">+ 800 et h + 514 p. </w:t>
      </w:r>
      <w:r w:rsidRPr="003B3476">
        <w:rPr>
          <w:i/>
          <w:lang w:val="fr-FR" w:eastAsia="fr-FR" w:bidi="fr-FR"/>
        </w:rPr>
        <w:t>Cf.</w:t>
      </w:r>
      <w:r w:rsidRPr="003B3476">
        <w:rPr>
          <w:bCs/>
        </w:rPr>
        <w:t xml:space="preserve"> C. </w:t>
      </w:r>
      <w:r w:rsidRPr="0049721E">
        <w:rPr>
          <w:rStyle w:val="Notedebasdepage265ptNonItaliquePetitesmajuscules"/>
          <w:b w:val="0"/>
          <w:iCs/>
          <w:sz w:val="24"/>
        </w:rPr>
        <w:t>Bloch</w:t>
      </w:r>
      <w:r w:rsidRPr="003B3476">
        <w:rPr>
          <w:rStyle w:val="Notedebasdepage265ptNonItaliquePetitesmajuscules"/>
          <w:b w:val="0"/>
          <w:i/>
          <w:iCs/>
          <w:sz w:val="24"/>
        </w:rPr>
        <w:t xml:space="preserve">, </w:t>
      </w:r>
      <w:r w:rsidRPr="003B3476">
        <w:rPr>
          <w:i/>
          <w:lang w:val="fr-FR" w:eastAsia="fr-FR" w:bidi="fr-FR"/>
        </w:rPr>
        <w:t>Les cahiers du bailliage d'Orléans au point de vue économique. Études sur l'histoire économ. de la France</w:t>
      </w:r>
      <w:r w:rsidRPr="003B3476">
        <w:rPr>
          <w:lang w:val="fr-FR" w:eastAsia="fr-FR" w:bidi="fr-FR"/>
        </w:rPr>
        <w:t xml:space="preserve">, </w:t>
      </w:r>
      <w:r w:rsidRPr="003B3476">
        <w:rPr>
          <w:bCs/>
        </w:rPr>
        <w:t>in-8°, Paris, 1900, p. 157-223.</w:t>
      </w:r>
    </w:p>
  </w:footnote>
  <w:footnote w:id="695">
    <w:p w14:paraId="659A38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Ernest </w:t>
      </w:r>
      <w:r w:rsidRPr="003B3476">
        <w:rPr>
          <w:rStyle w:val="Notedebasdepage265ptNonItaliquePetitesmajuscules"/>
          <w:b w:val="0"/>
          <w:iCs/>
          <w:sz w:val="24"/>
        </w:rPr>
        <w:t>Mallet</w:t>
      </w:r>
      <w:r w:rsidRPr="003B3476">
        <w:rPr>
          <w:rStyle w:val="Notedebasdepage265ptNonItaliquePetitesmajuscules"/>
          <w:b w:val="0"/>
          <w:i/>
          <w:iCs/>
          <w:sz w:val="24"/>
        </w:rPr>
        <w:t xml:space="preserve">, </w:t>
      </w:r>
      <w:r w:rsidRPr="003B3476">
        <w:rPr>
          <w:i/>
          <w:lang w:val="fr-FR" w:eastAsia="fr-FR" w:bidi="fr-FR"/>
        </w:rPr>
        <w:t>Les élections du bailliage secondaire de Pontoise en 1789</w:t>
      </w:r>
      <w:r w:rsidRPr="003B3476">
        <w:rPr>
          <w:lang w:val="fr-FR" w:eastAsia="fr-FR" w:bidi="fr-FR"/>
        </w:rPr>
        <w:t xml:space="preserve"> (Public. Soc. histor. Vexin),</w:t>
      </w:r>
      <w:r w:rsidRPr="003B3476">
        <w:rPr>
          <w:bCs/>
        </w:rPr>
        <w:t xml:space="preserve"> in-8°, Pontoise, 1909, 421 p.</w:t>
      </w:r>
    </w:p>
  </w:footnote>
  <w:footnote w:id="696">
    <w:p w14:paraId="6878817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Die Cahiers der ländlichen Gemeinden von Paris-Hors-les-Murs</w:t>
      </w:r>
      <w:r w:rsidRPr="003B3476">
        <w:rPr>
          <w:lang w:val="fr-FR" w:eastAsia="fr-FR" w:bidi="fr-FR"/>
        </w:rPr>
        <w:t>,</w:t>
      </w:r>
      <w:r w:rsidRPr="003B3476">
        <w:rPr>
          <w:bCs/>
        </w:rPr>
        <w:t xml:space="preserve"> dans </w:t>
      </w:r>
      <w:r w:rsidRPr="003B3476">
        <w:rPr>
          <w:i/>
          <w:lang w:val="fr-FR" w:eastAsia="fr-FR" w:bidi="fr-FR"/>
        </w:rPr>
        <w:t>St</w:t>
      </w:r>
      <w:r w:rsidRPr="003B3476">
        <w:rPr>
          <w:i/>
          <w:lang w:val="fr-FR" w:eastAsia="fr-FR" w:bidi="fr-FR"/>
        </w:rPr>
        <w:t>u</w:t>
      </w:r>
      <w:r w:rsidRPr="003B3476">
        <w:rPr>
          <w:i/>
          <w:lang w:val="fr-FR" w:eastAsia="fr-FR" w:bidi="fr-FR"/>
        </w:rPr>
        <w:t>dien zur Vorgesch. der franzôs. Rev</w:t>
      </w:r>
      <w:r w:rsidRPr="003B3476">
        <w:rPr>
          <w:lang w:val="fr-FR" w:eastAsia="fr-FR" w:bidi="fr-FR"/>
        </w:rPr>
        <w:t>.,</w:t>
      </w:r>
      <w:r w:rsidRPr="003B3476">
        <w:rPr>
          <w:bCs/>
        </w:rPr>
        <w:t xml:space="preserve"> in-8°, Tübingen u. Leipzig, 1901, p. 1-68. </w:t>
      </w:r>
      <w:r w:rsidRPr="003B3476">
        <w:rPr>
          <w:i/>
          <w:lang w:val="fr-FR" w:eastAsia="fr-FR" w:bidi="fr-FR"/>
        </w:rPr>
        <w:t>Cf.</w:t>
      </w:r>
      <w:r w:rsidRPr="003B3476">
        <w:rPr>
          <w:bCs/>
        </w:rPr>
        <w:t xml:space="preserve"> Ém. </w:t>
      </w:r>
      <w:r w:rsidRPr="003B3476">
        <w:rPr>
          <w:rStyle w:val="Notedebasdepage265ptNonItaliquePetitesmajuscules"/>
          <w:b w:val="0"/>
          <w:iCs/>
          <w:sz w:val="24"/>
        </w:rPr>
        <w:t>Walch</w:t>
      </w:r>
      <w:r w:rsidRPr="003B3476">
        <w:rPr>
          <w:rStyle w:val="Notedebasdepage265ptNonItaliquePetitesmajuscules"/>
          <w:b w:val="0"/>
          <w:i/>
          <w:iCs/>
          <w:sz w:val="24"/>
        </w:rPr>
        <w:t xml:space="preserve"> </w:t>
      </w:r>
      <w:r w:rsidRPr="003B3476">
        <w:rPr>
          <w:bCs/>
        </w:rPr>
        <w:t xml:space="preserve">dans </w:t>
      </w:r>
      <w:r w:rsidRPr="003B3476">
        <w:rPr>
          <w:i/>
          <w:lang w:val="fr-FR" w:eastAsia="fr-FR" w:bidi="fr-FR"/>
        </w:rPr>
        <w:t>la Révol. française</w:t>
      </w:r>
      <w:r w:rsidRPr="003B3476">
        <w:rPr>
          <w:lang w:val="fr-FR" w:eastAsia="fr-FR" w:bidi="fr-FR"/>
        </w:rPr>
        <w:t>,</w:t>
      </w:r>
      <w:r w:rsidRPr="003B3476">
        <w:rPr>
          <w:bCs/>
        </w:rPr>
        <w:t xml:space="preserve"> t. XLI (1901 n), p. 373-378, et H. </w:t>
      </w:r>
      <w:r w:rsidRPr="003B3476">
        <w:rPr>
          <w:rStyle w:val="Notedebasdepage265ptNonItaliquePetitesmajuscules"/>
          <w:b w:val="0"/>
          <w:i/>
          <w:iCs/>
          <w:sz w:val="24"/>
        </w:rPr>
        <w:t xml:space="preserve">Sée, </w:t>
      </w:r>
      <w:r w:rsidRPr="003B3476">
        <w:rPr>
          <w:i/>
          <w:lang w:val="fr-FR" w:eastAsia="fr-FR" w:bidi="fr-FR"/>
        </w:rPr>
        <w:t>Rev. histor</w:t>
      </w:r>
      <w:r w:rsidRPr="003B3476">
        <w:rPr>
          <w:bCs/>
        </w:rPr>
        <w:t xml:space="preserve">., t. CIII (1910, </w:t>
      </w:r>
      <w:r w:rsidRPr="003B3476">
        <w:rPr>
          <w:bCs/>
          <w:smallCaps/>
        </w:rPr>
        <w:t>i</w:t>
      </w:r>
      <w:r w:rsidRPr="003B3476">
        <w:rPr>
          <w:bCs/>
        </w:rPr>
        <w:t>), p. 292.</w:t>
      </w:r>
    </w:p>
  </w:footnote>
  <w:footnote w:id="697">
    <w:p w14:paraId="720AAE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 création du département de Paris et son étendue, 1789-1790</w:t>
      </w:r>
      <w:r w:rsidRPr="003B3476">
        <w:rPr>
          <w:bCs/>
          <w:i/>
        </w:rPr>
        <w:t xml:space="preserve">, </w:t>
      </w:r>
      <w:r w:rsidRPr="003B3476">
        <w:rPr>
          <w:bCs/>
        </w:rPr>
        <w:t>dans</w:t>
      </w:r>
      <w:r w:rsidRPr="003B3476">
        <w:rPr>
          <w:bCs/>
          <w:i/>
        </w:rPr>
        <w:t xml:space="preserve"> </w:t>
      </w:r>
      <w:r w:rsidRPr="003B3476">
        <w:rPr>
          <w:i/>
          <w:lang w:val="fr-FR" w:eastAsia="fr-FR" w:bidi="fr-FR"/>
        </w:rPr>
        <w:t>Co</w:t>
      </w:r>
      <w:r w:rsidRPr="003B3476">
        <w:rPr>
          <w:i/>
          <w:lang w:val="fr-FR" w:eastAsia="fr-FR" w:bidi="fr-FR"/>
        </w:rPr>
        <w:t>r</w:t>
      </w:r>
      <w:r w:rsidRPr="003B3476">
        <w:rPr>
          <w:i/>
          <w:lang w:val="fr-FR" w:eastAsia="fr-FR" w:bidi="fr-FR"/>
        </w:rPr>
        <w:t>resp. histor. et archéol</w:t>
      </w:r>
      <w:r w:rsidRPr="003B3476">
        <w:rPr>
          <w:lang w:val="fr-FR" w:eastAsia="fr-FR" w:bidi="fr-FR"/>
        </w:rPr>
        <w:t>.,</w:t>
      </w:r>
      <w:r w:rsidRPr="003B3476">
        <w:rPr>
          <w:bCs/>
        </w:rPr>
        <w:t xml:space="preserve"> t. IV (1897), p. 323-329 et 354-368.</w:t>
      </w:r>
    </w:p>
  </w:footnote>
  <w:footnote w:id="698">
    <w:p w14:paraId="1ED29EC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La formation du département de Seine-et-Marne en 1790</w:t>
      </w:r>
      <w:r w:rsidRPr="003B3476">
        <w:rPr>
          <w:bCs/>
        </w:rPr>
        <w:t>,</w:t>
      </w:r>
      <w:r w:rsidRPr="003B3476">
        <w:rPr>
          <w:lang w:val="fr-FR" w:eastAsia="fr-FR" w:bidi="fr-FR"/>
        </w:rPr>
        <w:t xml:space="preserve"> dans </w:t>
      </w:r>
      <w:r w:rsidRPr="003B3476">
        <w:rPr>
          <w:bCs/>
          <w:i/>
        </w:rPr>
        <w:t>Bullet. Soc. archéol. Seine-et-Marne</w:t>
      </w:r>
      <w:r w:rsidRPr="003B3476">
        <w:rPr>
          <w:bCs/>
        </w:rPr>
        <w:t>,</w:t>
      </w:r>
      <w:r w:rsidRPr="003B3476">
        <w:rPr>
          <w:lang w:val="fr-FR" w:eastAsia="fr-FR" w:bidi="fr-FR"/>
        </w:rPr>
        <w:t xml:space="preserve"> t. VII (1873-1874), p. 161-182. Une petite difficulté est créée, à l’historien de la Révolution, par les changements qu’ont subis, à cette époque, certains noms de lieux. Il importe de noter que la partie de </w:t>
      </w:r>
      <w:r w:rsidRPr="003B3476">
        <w:rPr>
          <w:bCs/>
        </w:rPr>
        <w:t>l'</w:t>
      </w:r>
      <w:r w:rsidRPr="003B3476">
        <w:rPr>
          <w:bCs/>
          <w:i/>
        </w:rPr>
        <w:t>I</w:t>
      </w:r>
      <w:r w:rsidRPr="003B3476">
        <w:rPr>
          <w:bCs/>
          <w:i/>
        </w:rPr>
        <w:t>n</w:t>
      </w:r>
      <w:r w:rsidRPr="003B3476">
        <w:rPr>
          <w:bCs/>
          <w:i/>
        </w:rPr>
        <w:t>dex des noms révolutionnaires des communes de France</w:t>
      </w:r>
      <w:r w:rsidRPr="003B3476">
        <w:rPr>
          <w:lang w:val="fr-FR" w:eastAsia="fr-FR" w:bidi="fr-FR"/>
        </w:rPr>
        <w:t xml:space="preserve"> de R. de Fi</w:t>
      </w:r>
      <w:r w:rsidRPr="003B3476">
        <w:rPr>
          <w:rStyle w:val="Notedebasdepage65ptPetitesmajuscules"/>
          <w:b w:val="0"/>
          <w:sz w:val="24"/>
        </w:rPr>
        <w:t xml:space="preserve">guières, </w:t>
      </w:r>
      <w:r w:rsidRPr="003B3476">
        <w:rPr>
          <w:lang w:val="fr-FR" w:eastAsia="fr-FR" w:bidi="fr-FR"/>
        </w:rPr>
        <w:t xml:space="preserve">in-8°, Poitiers, 1896, qui touchait la Seine, la Seine-et-Oise et la Seine-et-Marne, a été rééditée, avec des rectifications, sous le titre suivant : </w:t>
      </w:r>
      <w:r w:rsidRPr="003B3476">
        <w:rPr>
          <w:bCs/>
          <w:i/>
        </w:rPr>
        <w:t>Débaptis</w:t>
      </w:r>
      <w:r w:rsidRPr="003B3476">
        <w:rPr>
          <w:bCs/>
          <w:i/>
        </w:rPr>
        <w:t>a</w:t>
      </w:r>
      <w:r w:rsidRPr="003B3476">
        <w:rPr>
          <w:bCs/>
          <w:i/>
        </w:rPr>
        <w:t>tions r</w:t>
      </w:r>
      <w:r w:rsidRPr="003B3476">
        <w:rPr>
          <w:bCs/>
          <w:i/>
        </w:rPr>
        <w:t>é</w:t>
      </w:r>
      <w:r w:rsidRPr="003B3476">
        <w:rPr>
          <w:bCs/>
          <w:i/>
        </w:rPr>
        <w:t>volutionnaires des communes, 1790-1795, Seine, Seine-et-Oise, Seine-et-Marne</w:t>
      </w:r>
      <w:r w:rsidRPr="003B3476">
        <w:rPr>
          <w:bCs/>
        </w:rPr>
        <w:t>,</w:t>
      </w:r>
      <w:r w:rsidRPr="003B3476">
        <w:rPr>
          <w:lang w:val="fr-FR" w:eastAsia="fr-FR" w:bidi="fr-FR"/>
        </w:rPr>
        <w:t xml:space="preserve"> in-8°, Paris, 1896, 12 pp.</w:t>
      </w:r>
    </w:p>
  </w:footnote>
  <w:footnote w:id="699">
    <w:p w14:paraId="112148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Par exemple, </w:t>
      </w:r>
      <w:r w:rsidRPr="003B3476">
        <w:rPr>
          <w:rStyle w:val="Notedebasdepage265ptNonItaliquePetitesmajuscules"/>
          <w:b w:val="0"/>
          <w:iCs/>
          <w:sz w:val="24"/>
        </w:rPr>
        <w:t>Lorin</w:t>
      </w:r>
      <w:r w:rsidRPr="003B3476">
        <w:rPr>
          <w:rStyle w:val="Notedebasdepage265ptNonItaliquePetitesmajuscules"/>
          <w:b w:val="0"/>
          <w:i/>
          <w:iCs/>
          <w:sz w:val="24"/>
        </w:rPr>
        <w:t xml:space="preserve">, </w:t>
      </w:r>
      <w:r w:rsidRPr="003B3476">
        <w:rPr>
          <w:i/>
          <w:lang w:val="fr-FR" w:eastAsia="fr-FR" w:bidi="fr-FR"/>
        </w:rPr>
        <w:t>Huit années de l'histoire municipale de Rambouillet,</w:t>
      </w:r>
      <w:r w:rsidRPr="003B3476">
        <w:rPr>
          <w:bCs/>
          <w:i/>
        </w:rPr>
        <w:t xml:space="preserve"> dans </w:t>
      </w:r>
      <w:r w:rsidRPr="003B3476">
        <w:rPr>
          <w:i/>
          <w:lang w:val="fr-FR" w:eastAsia="fr-FR" w:bidi="fr-FR"/>
        </w:rPr>
        <w:t>Études sur la Révolution</w:t>
      </w:r>
      <w:r w:rsidRPr="003B3476">
        <w:rPr>
          <w:lang w:val="fr-FR" w:eastAsia="fr-FR" w:bidi="fr-FR"/>
        </w:rPr>
        <w:t>,</w:t>
      </w:r>
      <w:r w:rsidRPr="003B3476">
        <w:rPr>
          <w:bCs/>
        </w:rPr>
        <w:t xml:space="preserve"> in-8°. Tours, 1898, 268 p. ; Ch. </w:t>
      </w:r>
      <w:r w:rsidRPr="003B3476">
        <w:rPr>
          <w:rStyle w:val="Notedebasdepage265ptNonItaliquePetitesmajuscules"/>
          <w:b w:val="0"/>
          <w:iCs/>
          <w:sz w:val="24"/>
        </w:rPr>
        <w:t>Forteau</w:t>
      </w:r>
      <w:r w:rsidRPr="003B3476">
        <w:rPr>
          <w:rStyle w:val="Notedebasdepage265ptNonItaliquePetitesmajuscules"/>
          <w:b w:val="0"/>
          <w:i/>
          <w:iCs/>
          <w:sz w:val="24"/>
        </w:rPr>
        <w:t xml:space="preserve">, </w:t>
      </w:r>
      <w:r w:rsidRPr="003B3476">
        <w:rPr>
          <w:i/>
          <w:lang w:val="fr-FR" w:eastAsia="fr-FR" w:bidi="fr-FR"/>
        </w:rPr>
        <w:t>M</w:t>
      </w:r>
      <w:r w:rsidRPr="003B3476">
        <w:rPr>
          <w:i/>
          <w:lang w:val="fr-FR" w:eastAsia="fr-FR" w:bidi="fr-FR"/>
        </w:rPr>
        <w:t>é</w:t>
      </w:r>
      <w:r w:rsidRPr="003B3476">
        <w:rPr>
          <w:i/>
          <w:lang w:val="fr-FR" w:eastAsia="fr-FR" w:bidi="fr-FR"/>
        </w:rPr>
        <w:t>reville pe</w:t>
      </w:r>
      <w:r w:rsidRPr="003B3476">
        <w:rPr>
          <w:i/>
          <w:lang w:val="fr-FR" w:eastAsia="fr-FR" w:bidi="fr-FR"/>
        </w:rPr>
        <w:t>n</w:t>
      </w:r>
      <w:r w:rsidRPr="003B3476">
        <w:rPr>
          <w:i/>
          <w:lang w:val="fr-FR" w:eastAsia="fr-FR" w:bidi="fr-FR"/>
        </w:rPr>
        <w:t>dant la Révolution (1788-1804) ; extraits des registres municipaux</w:t>
      </w:r>
      <w:r w:rsidRPr="003B3476">
        <w:rPr>
          <w:bCs/>
          <w:i/>
        </w:rPr>
        <w:t>,</w:t>
      </w:r>
      <w:r w:rsidRPr="003B3476">
        <w:rPr>
          <w:bCs/>
        </w:rPr>
        <w:t xml:space="preserve"> in-12, Étampes, 1899, </w:t>
      </w:r>
      <w:r w:rsidRPr="003B3476">
        <w:rPr>
          <w:bCs/>
          <w:smallCaps/>
        </w:rPr>
        <w:t>iv</w:t>
      </w:r>
      <w:r w:rsidRPr="003B3476">
        <w:rPr>
          <w:bCs/>
        </w:rPr>
        <w:t xml:space="preserve"> + 108 p. ; E. </w:t>
      </w:r>
      <w:r w:rsidRPr="003B3476">
        <w:rPr>
          <w:rStyle w:val="Notedebasdepage265ptNonItaliquePetitesmajuscules"/>
          <w:b w:val="0"/>
          <w:iCs/>
          <w:sz w:val="24"/>
        </w:rPr>
        <w:t>Tambour</w:t>
      </w:r>
      <w:r w:rsidRPr="003B3476">
        <w:rPr>
          <w:rStyle w:val="Notedebasdepage265ptNonItaliquePetitesmajuscules"/>
          <w:b w:val="0"/>
          <w:i/>
          <w:iCs/>
          <w:sz w:val="24"/>
        </w:rPr>
        <w:t xml:space="preserve">, </w:t>
      </w:r>
      <w:r w:rsidRPr="003B3476">
        <w:rPr>
          <w:i/>
          <w:lang w:val="fr-FR" w:eastAsia="fr-FR" w:bidi="fr-FR"/>
        </w:rPr>
        <w:t>Les registres municipaux de Rennemo</w:t>
      </w:r>
      <w:r w:rsidRPr="003B3476">
        <w:rPr>
          <w:i/>
          <w:lang w:val="fr-FR" w:eastAsia="fr-FR" w:bidi="fr-FR"/>
        </w:rPr>
        <w:t>u</w:t>
      </w:r>
      <w:r w:rsidRPr="003B3476">
        <w:rPr>
          <w:i/>
          <w:lang w:val="fr-FR" w:eastAsia="fr-FR" w:bidi="fr-FR"/>
        </w:rPr>
        <w:t>lin, juillet 1789 à floréal an IV</w:t>
      </w:r>
      <w:r w:rsidRPr="003B3476">
        <w:rPr>
          <w:bCs/>
        </w:rPr>
        <w:t xml:space="preserve">, in-12, Corbeil, 1903, 263 p. </w:t>
      </w:r>
      <w:r w:rsidRPr="003B3476">
        <w:rPr>
          <w:i/>
          <w:lang w:val="fr-FR" w:eastAsia="fr-FR" w:bidi="fr-FR"/>
        </w:rPr>
        <w:t>Cf.</w:t>
      </w:r>
      <w:r w:rsidRPr="003B3476">
        <w:rPr>
          <w:lang w:val="fr-FR" w:eastAsia="fr-FR" w:bidi="fr-FR"/>
        </w:rPr>
        <w:t xml:space="preserve"> J.</w:t>
      </w:r>
      <w:r w:rsidRPr="003B3476">
        <w:rPr>
          <w:bCs/>
        </w:rPr>
        <w:t xml:space="preserve"> </w:t>
      </w:r>
      <w:r w:rsidRPr="003B3476">
        <w:rPr>
          <w:rStyle w:val="Notedebasdepage265ptNonItaliquePetitesmajuscules"/>
          <w:b w:val="0"/>
          <w:iCs/>
          <w:sz w:val="24"/>
        </w:rPr>
        <w:t>Doinel</w:t>
      </w:r>
      <w:r w:rsidRPr="003B3476">
        <w:rPr>
          <w:rStyle w:val="Notedebasdepage265ptNonItaliquePetitesmajuscules"/>
          <w:b w:val="0"/>
          <w:i/>
          <w:iCs/>
          <w:sz w:val="24"/>
        </w:rPr>
        <w:t xml:space="preserve">, </w:t>
      </w:r>
      <w:r w:rsidRPr="003B3476">
        <w:rPr>
          <w:i/>
          <w:lang w:val="fr-FR" w:eastAsia="fr-FR" w:bidi="fr-FR"/>
        </w:rPr>
        <w:t>Documents de la période révolutionnaire : tableau (par arrondiss</w:t>
      </w:r>
      <w:r w:rsidRPr="003B3476">
        <w:rPr>
          <w:i/>
          <w:lang w:val="fr-FR" w:eastAsia="fr-FR" w:bidi="fr-FR"/>
        </w:rPr>
        <w:t>e</w:t>
      </w:r>
      <w:r w:rsidRPr="003B3476">
        <w:rPr>
          <w:i/>
          <w:lang w:val="fr-FR" w:eastAsia="fr-FR" w:bidi="fr-FR"/>
        </w:rPr>
        <w:t>ments et ca</w:t>
      </w:r>
      <w:r w:rsidRPr="003B3476">
        <w:rPr>
          <w:i/>
          <w:lang w:val="fr-FR" w:eastAsia="fr-FR" w:bidi="fr-FR"/>
        </w:rPr>
        <w:t>n</w:t>
      </w:r>
      <w:r w:rsidRPr="003B3476">
        <w:rPr>
          <w:i/>
          <w:lang w:val="fr-FR" w:eastAsia="fr-FR" w:bidi="fr-FR"/>
        </w:rPr>
        <w:t>tons) des documents conservés dans les archives des communes du Loiret. Rapport de l'archiviste du dép. du Loiret au préfet</w:t>
      </w:r>
      <w:r w:rsidRPr="003B3476">
        <w:rPr>
          <w:bCs/>
        </w:rPr>
        <w:t xml:space="preserve">, 1887, p. 10-24, et le livre de </w:t>
      </w:r>
      <w:r w:rsidRPr="003B3476">
        <w:rPr>
          <w:rStyle w:val="Notedebasdepage265ptNonItaliquePetitesmajuscules"/>
          <w:b w:val="0"/>
          <w:iCs/>
          <w:sz w:val="24"/>
        </w:rPr>
        <w:t>Defresne</w:t>
      </w:r>
      <w:r w:rsidRPr="003B3476">
        <w:rPr>
          <w:rStyle w:val="Notedebasdepage265ptNonItaliquePetitesmajuscules"/>
          <w:b w:val="0"/>
          <w:i/>
          <w:iCs/>
          <w:sz w:val="24"/>
        </w:rPr>
        <w:t xml:space="preserve"> </w:t>
      </w:r>
      <w:r w:rsidRPr="003B3476">
        <w:rPr>
          <w:bCs/>
        </w:rPr>
        <w:t xml:space="preserve">cité </w:t>
      </w:r>
      <w:r w:rsidRPr="003B3476">
        <w:rPr>
          <w:i/>
          <w:lang w:val="fr-FR" w:eastAsia="fr-FR" w:bidi="fr-FR"/>
        </w:rPr>
        <w:t>supra</w:t>
      </w:r>
      <w:r w:rsidRPr="003B3476">
        <w:rPr>
          <w:bCs/>
        </w:rPr>
        <w:t>, p. 775, n. 6.</w:t>
      </w:r>
    </w:p>
  </w:footnote>
  <w:footnote w:id="700">
    <w:p w14:paraId="44E450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Ern. </w:t>
      </w:r>
      <w:r w:rsidRPr="003B3476">
        <w:rPr>
          <w:rStyle w:val="Notedebasdepage265ptNonItaliquePetitesmajuscules"/>
          <w:b w:val="0"/>
          <w:iCs/>
          <w:sz w:val="24"/>
        </w:rPr>
        <w:t>Noiriel</w:t>
      </w:r>
      <w:r w:rsidRPr="003B3476">
        <w:rPr>
          <w:rStyle w:val="Notedebasdepage265ptNonItaliquePetitesmajuscules"/>
          <w:b w:val="0"/>
          <w:i/>
          <w:iCs/>
          <w:sz w:val="24"/>
        </w:rPr>
        <w:t xml:space="preserve">, </w:t>
      </w:r>
      <w:r w:rsidRPr="003B3476">
        <w:rPr>
          <w:i/>
          <w:lang w:val="fr-FR" w:eastAsia="fr-FR" w:bidi="fr-FR"/>
        </w:rPr>
        <w:t>La société des amis de la Constitution de Melun, Rév. franç</w:t>
      </w:r>
      <w:r w:rsidRPr="003B3476">
        <w:rPr>
          <w:bCs/>
        </w:rPr>
        <w:t xml:space="preserve">., t. XLVI (1904, </w:t>
      </w:r>
      <w:r w:rsidRPr="003B3476">
        <w:rPr>
          <w:bCs/>
          <w:smallCaps/>
        </w:rPr>
        <w:t>i</w:t>
      </w:r>
      <w:r w:rsidRPr="003B3476">
        <w:rPr>
          <w:bCs/>
        </w:rPr>
        <w:t xml:space="preserve">), p. 323-345 ; G. </w:t>
      </w:r>
      <w:r w:rsidRPr="003B3476">
        <w:rPr>
          <w:rStyle w:val="Notedebasdepage265ptNonItaliquePetitesmajuscules"/>
          <w:b w:val="0"/>
          <w:i/>
          <w:iCs/>
          <w:sz w:val="24"/>
        </w:rPr>
        <w:t xml:space="preserve">Leroy, </w:t>
      </w:r>
      <w:r w:rsidRPr="003B3476">
        <w:rPr>
          <w:i/>
          <w:lang w:val="fr-FR" w:eastAsia="fr-FR" w:bidi="fr-FR"/>
        </w:rPr>
        <w:t>Le Club des Jacobins de Melun,</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t. XLI (1901, </w:t>
      </w:r>
      <w:r w:rsidRPr="003B3476">
        <w:rPr>
          <w:bCs/>
          <w:smallCaps/>
        </w:rPr>
        <w:t>ii</w:t>
      </w:r>
      <w:r w:rsidRPr="003B3476">
        <w:rPr>
          <w:bCs/>
        </w:rPr>
        <w:t>), p. 439-446.</w:t>
      </w:r>
    </w:p>
  </w:footnote>
  <w:footnote w:id="701">
    <w:p w14:paraId="05E461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Charles </w:t>
      </w:r>
      <w:r w:rsidRPr="003B3476">
        <w:rPr>
          <w:rStyle w:val="Notedebasdepage65ptPetitesmajuscules"/>
          <w:b w:val="0"/>
          <w:sz w:val="24"/>
        </w:rPr>
        <w:t xml:space="preserve">Constant, </w:t>
      </w:r>
      <w:r w:rsidRPr="003B3476">
        <w:rPr>
          <w:i/>
        </w:rPr>
        <w:t>Histoire d'un club jacobin en province. Fontainebleau pendant la Révolution</w:t>
      </w:r>
      <w:r w:rsidRPr="003B3476">
        <w:rPr>
          <w:lang w:val="fr-FR" w:eastAsia="fr-FR" w:bidi="fr-FR"/>
        </w:rPr>
        <w:t xml:space="preserve">, in-12, Paris, 1875, </w:t>
      </w:r>
      <w:r w:rsidRPr="003B3476">
        <w:rPr>
          <w:smallCaps/>
          <w:lang w:val="fr-FR" w:eastAsia="fr-FR" w:bidi="fr-FR"/>
        </w:rPr>
        <w:t>viii</w:t>
      </w:r>
      <w:r w:rsidRPr="003B3476">
        <w:rPr>
          <w:lang w:val="fr-FR" w:eastAsia="fr-FR" w:bidi="fr-FR"/>
        </w:rPr>
        <w:t xml:space="preserve"> + 100 p. L’article de </w:t>
      </w:r>
      <w:r w:rsidRPr="003B3476">
        <w:rPr>
          <w:rStyle w:val="Notedebasdepage65ptPetitesmajuscules"/>
          <w:b w:val="0"/>
          <w:sz w:val="24"/>
        </w:rPr>
        <w:t xml:space="preserve">Lorin, </w:t>
      </w:r>
      <w:r w:rsidRPr="003B3476">
        <w:rPr>
          <w:i/>
        </w:rPr>
        <w:t>La société p</w:t>
      </w:r>
      <w:r w:rsidRPr="003B3476">
        <w:rPr>
          <w:i/>
        </w:rPr>
        <w:t>o</w:t>
      </w:r>
      <w:r w:rsidRPr="003B3476">
        <w:rPr>
          <w:i/>
        </w:rPr>
        <w:t>pulaire de Rambouillet,</w:t>
      </w:r>
      <w:r w:rsidRPr="003B3476">
        <w:rPr>
          <w:i/>
          <w:lang w:val="fr-FR" w:eastAsia="fr-FR" w:bidi="fr-FR"/>
        </w:rPr>
        <w:t xml:space="preserve"> </w:t>
      </w:r>
      <w:r w:rsidRPr="003B3476">
        <w:rPr>
          <w:lang w:val="fr-FR" w:eastAsia="fr-FR" w:bidi="fr-FR"/>
        </w:rPr>
        <w:t xml:space="preserve">dans </w:t>
      </w:r>
      <w:r w:rsidRPr="003B3476">
        <w:rPr>
          <w:i/>
        </w:rPr>
        <w:t>Études</w:t>
      </w:r>
      <w:r w:rsidRPr="003B3476">
        <w:rPr>
          <w:lang w:val="fr-FR" w:eastAsia="fr-FR" w:bidi="fr-FR"/>
        </w:rPr>
        <w:t xml:space="preserve"> (</w:t>
      </w:r>
      <w:r w:rsidRPr="003B3476">
        <w:rPr>
          <w:i/>
          <w:lang w:val="fr-FR" w:eastAsia="fr-FR" w:bidi="fr-FR"/>
        </w:rPr>
        <w:t>cf.</w:t>
      </w:r>
      <w:r w:rsidRPr="003B3476">
        <w:rPr>
          <w:lang w:val="fr-FR" w:eastAsia="fr-FR" w:bidi="fr-FR"/>
        </w:rPr>
        <w:t xml:space="preserve"> </w:t>
      </w:r>
      <w:r w:rsidRPr="003B3476">
        <w:rPr>
          <w:i/>
        </w:rPr>
        <w:t>supra</w:t>
      </w:r>
      <w:r w:rsidRPr="003B3476">
        <w:rPr>
          <w:lang w:val="fr-FR" w:eastAsia="fr-FR" w:bidi="fr-FR"/>
        </w:rPr>
        <w:t>, n. 1), p. 237-251, ne renferme guère qu’une liste des membres du club.</w:t>
      </w:r>
    </w:p>
  </w:footnote>
  <w:footnote w:id="702">
    <w:p w14:paraId="258CC4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Edm. </w:t>
      </w:r>
      <w:r w:rsidRPr="003B3476">
        <w:rPr>
          <w:rStyle w:val="Notedebasdepage65ptPetitesmajuscules"/>
          <w:b w:val="0"/>
          <w:sz w:val="24"/>
        </w:rPr>
        <w:t xml:space="preserve">Campagnac, </w:t>
      </w:r>
      <w:r w:rsidRPr="003B3476">
        <w:rPr>
          <w:bCs/>
          <w:i/>
        </w:rPr>
        <w:t>Le comité de surveillance de Melun, Annales révolut</w:t>
      </w:r>
      <w:r w:rsidRPr="003B3476">
        <w:rPr>
          <w:bCs/>
        </w:rPr>
        <w:t>.,</w:t>
      </w:r>
      <w:r w:rsidRPr="003B3476">
        <w:rPr>
          <w:lang w:val="fr-FR" w:eastAsia="fr-FR" w:bidi="fr-FR"/>
        </w:rPr>
        <w:t xml:space="preserve"> t. I (1908), p. 467-482, et t. II (1909), p. 38-54 et 541-566.</w:t>
      </w:r>
    </w:p>
  </w:footnote>
  <w:footnote w:id="703">
    <w:p w14:paraId="24580D1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
          <w:iCs/>
          <w:sz w:val="24"/>
        </w:rPr>
        <w:t xml:space="preserve">L.-A. Gatin, </w:t>
      </w:r>
      <w:r w:rsidRPr="003B3476">
        <w:rPr>
          <w:i/>
          <w:lang w:val="fr-FR" w:eastAsia="fr-FR" w:bidi="fr-FR"/>
        </w:rPr>
        <w:t>Versailles pendant la Révolution française</w:t>
      </w:r>
      <w:r w:rsidRPr="003B3476">
        <w:rPr>
          <w:lang w:val="fr-FR" w:eastAsia="fr-FR" w:bidi="fr-FR"/>
        </w:rPr>
        <w:t>,</w:t>
      </w:r>
      <w:r w:rsidRPr="003B3476">
        <w:rPr>
          <w:bCs/>
        </w:rPr>
        <w:t xml:space="preserve"> in-8°, Versailles, 1908, 340 </w:t>
      </w:r>
      <w:r w:rsidRPr="003B3476">
        <w:rPr>
          <w:rStyle w:val="Notedebasdepage265ptNonItalique"/>
          <w:b w:val="0"/>
          <w:i/>
          <w:iCs/>
          <w:sz w:val="24"/>
        </w:rPr>
        <w:t xml:space="preserve">p. </w:t>
      </w:r>
      <w:r w:rsidRPr="003B3476">
        <w:rPr>
          <w:i/>
          <w:lang w:val="fr-FR" w:eastAsia="fr-FR" w:bidi="fr-FR"/>
        </w:rPr>
        <w:t>Cf.</w:t>
      </w:r>
      <w:r w:rsidRPr="003B3476">
        <w:rPr>
          <w:bCs/>
        </w:rPr>
        <w:t xml:space="preserve"> aussi </w:t>
      </w:r>
      <w:r w:rsidRPr="003B3476">
        <w:rPr>
          <w:rStyle w:val="Notedebasdepage265ptNonItaliquePetitesmajuscules"/>
          <w:b w:val="0"/>
          <w:i/>
          <w:iCs/>
          <w:sz w:val="24"/>
        </w:rPr>
        <w:t xml:space="preserve">Laurent-Hanin, </w:t>
      </w:r>
      <w:r w:rsidRPr="003B3476">
        <w:rPr>
          <w:i/>
          <w:lang w:val="fr-FR" w:eastAsia="fr-FR" w:bidi="fr-FR"/>
        </w:rPr>
        <w:t>Histoire municipale de Versailles, P</w:t>
      </w:r>
      <w:r w:rsidRPr="003B3476">
        <w:rPr>
          <w:i/>
          <w:lang w:val="fr-FR" w:eastAsia="fr-FR" w:bidi="fr-FR"/>
        </w:rPr>
        <w:t>o</w:t>
      </w:r>
      <w:r w:rsidRPr="003B3476">
        <w:rPr>
          <w:i/>
          <w:lang w:val="fr-FR" w:eastAsia="fr-FR" w:bidi="fr-FR"/>
        </w:rPr>
        <w:t>litique, administr</w:t>
      </w:r>
      <w:r w:rsidRPr="003B3476">
        <w:rPr>
          <w:i/>
          <w:lang w:val="fr-FR" w:eastAsia="fr-FR" w:bidi="fr-FR"/>
        </w:rPr>
        <w:t>a</w:t>
      </w:r>
      <w:r w:rsidRPr="003B3476">
        <w:rPr>
          <w:i/>
          <w:lang w:val="fr-FR" w:eastAsia="fr-FR" w:bidi="fr-FR"/>
        </w:rPr>
        <w:t>tion, finances (1787-1789),</w:t>
      </w:r>
      <w:r w:rsidRPr="003B3476">
        <w:rPr>
          <w:lang w:val="fr-FR" w:eastAsia="fr-FR" w:bidi="fr-FR"/>
        </w:rPr>
        <w:t xml:space="preserve"> 4</w:t>
      </w:r>
      <w:r w:rsidRPr="003B3476">
        <w:rPr>
          <w:bCs/>
        </w:rPr>
        <w:t xml:space="preserve"> vol. in-8°, Versailles, 1885-1889.</w:t>
      </w:r>
    </w:p>
  </w:footnote>
  <w:footnote w:id="704">
    <w:p w14:paraId="60FC265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Raoul </w:t>
      </w:r>
      <w:r w:rsidRPr="003B3476">
        <w:rPr>
          <w:rStyle w:val="Notedebasdepage65ptPetitesmajuscules"/>
          <w:b w:val="0"/>
          <w:sz w:val="24"/>
        </w:rPr>
        <w:t xml:space="preserve">Rosières, </w:t>
      </w:r>
      <w:r w:rsidRPr="003B3476">
        <w:rPr>
          <w:i/>
        </w:rPr>
        <w:t>La Révolution dans une petite ville</w:t>
      </w:r>
      <w:r w:rsidRPr="003B3476">
        <w:t>,</w:t>
      </w:r>
      <w:r w:rsidRPr="003B3476">
        <w:rPr>
          <w:lang w:val="fr-FR" w:eastAsia="fr-FR" w:bidi="fr-FR"/>
        </w:rPr>
        <w:t xml:space="preserve"> in-12, Paris, 1888, 220 p.</w:t>
      </w:r>
    </w:p>
  </w:footnote>
  <w:footnote w:id="705">
    <w:p w14:paraId="4457CDC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H. </w:t>
      </w:r>
      <w:r w:rsidRPr="003B3476">
        <w:rPr>
          <w:rStyle w:val="Notedebasdepage265ptNonItaliquePetitesmajuscules"/>
          <w:b w:val="0"/>
          <w:i/>
          <w:iCs/>
          <w:sz w:val="24"/>
        </w:rPr>
        <w:t xml:space="preserve">Bezaui.t, </w:t>
      </w:r>
      <w:r w:rsidRPr="003B3476">
        <w:rPr>
          <w:i/>
          <w:lang w:val="fr-FR" w:eastAsia="fr-FR" w:bidi="fr-FR"/>
        </w:rPr>
        <w:t>Histoire municipale de Longjumeau pendant la Révolution</w:t>
      </w:r>
      <w:r w:rsidRPr="003B3476">
        <w:rPr>
          <w:lang w:val="fr-FR" w:eastAsia="fr-FR" w:bidi="fr-FR"/>
        </w:rPr>
        <w:t>,</w:t>
      </w:r>
      <w:r w:rsidRPr="003B3476">
        <w:rPr>
          <w:bCs/>
        </w:rPr>
        <w:t xml:space="preserve"> in-8°, Paris, 1887, 401 p.</w:t>
      </w:r>
    </w:p>
  </w:footnote>
  <w:footnote w:id="706">
    <w:p w14:paraId="777DC3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Cs/>
          <w:sz w:val="24"/>
        </w:rPr>
        <w:t>Bertaut-Couture</w:t>
      </w:r>
      <w:r w:rsidRPr="003B3476">
        <w:rPr>
          <w:rStyle w:val="Notedebasdepage265ptNonItaliquePetitesmajuscules"/>
          <w:b w:val="0"/>
          <w:i/>
          <w:iCs/>
          <w:sz w:val="24"/>
        </w:rPr>
        <w:t xml:space="preserve">, </w:t>
      </w:r>
      <w:r w:rsidRPr="003B3476">
        <w:rPr>
          <w:i/>
          <w:lang w:val="fr-FR" w:eastAsia="fr-FR" w:bidi="fr-FR"/>
        </w:rPr>
        <w:t>Histoire de Villiers-le-Bel (Seine-et-Oise) pendant la R</w:t>
      </w:r>
      <w:r w:rsidRPr="003B3476">
        <w:rPr>
          <w:i/>
          <w:lang w:val="fr-FR" w:eastAsia="fr-FR" w:bidi="fr-FR"/>
        </w:rPr>
        <w:t>é</w:t>
      </w:r>
      <w:r w:rsidRPr="003B3476">
        <w:rPr>
          <w:i/>
          <w:lang w:val="fr-FR" w:eastAsia="fr-FR" w:bidi="fr-FR"/>
        </w:rPr>
        <w:t>volution (1787-1795),</w:t>
      </w:r>
      <w:r w:rsidRPr="003B3476">
        <w:rPr>
          <w:bCs/>
        </w:rPr>
        <w:t xml:space="preserve"> </w:t>
      </w:r>
      <w:r w:rsidRPr="003B3476">
        <w:rPr>
          <w:rStyle w:val="Notedebasdepage265ptNonItalique"/>
          <w:b w:val="0"/>
          <w:i/>
          <w:iCs/>
          <w:sz w:val="24"/>
        </w:rPr>
        <w:t xml:space="preserve">in-8°, </w:t>
      </w:r>
      <w:r w:rsidRPr="003B3476">
        <w:rPr>
          <w:bCs/>
        </w:rPr>
        <w:t xml:space="preserve">Villiers-le-Bel, 1891, 141 p. </w:t>
      </w:r>
      <w:r w:rsidRPr="003B3476">
        <w:rPr>
          <w:i/>
          <w:lang w:val="fr-FR" w:eastAsia="fr-FR" w:bidi="fr-FR"/>
        </w:rPr>
        <w:t>Cf.</w:t>
      </w:r>
      <w:r w:rsidRPr="003B3476">
        <w:rPr>
          <w:bCs/>
        </w:rPr>
        <w:t xml:space="preserve"> aussi pour Meaux </w:t>
      </w:r>
      <w:r w:rsidRPr="003B3476">
        <w:rPr>
          <w:rStyle w:val="Notedebasdepage265ptNonItaliquePetitesmajuscules"/>
          <w:b w:val="0"/>
          <w:i/>
          <w:iCs/>
          <w:sz w:val="24"/>
        </w:rPr>
        <w:t xml:space="preserve">G. George, </w:t>
      </w:r>
      <w:r w:rsidRPr="003B3476">
        <w:rPr>
          <w:i/>
          <w:lang w:val="fr-FR" w:eastAsia="fr-FR" w:bidi="fr-FR"/>
        </w:rPr>
        <w:t>Les débuts de la Révolution à Meaux</w:t>
      </w:r>
      <w:r w:rsidRPr="003B3476">
        <w:rPr>
          <w:bCs/>
          <w:i/>
        </w:rPr>
        <w:t xml:space="preserve">, </w:t>
      </w:r>
      <w:r w:rsidRPr="003B3476">
        <w:rPr>
          <w:i/>
          <w:lang w:val="fr-FR" w:eastAsia="fr-FR" w:bidi="fr-FR"/>
        </w:rPr>
        <w:t>Brie et Gâtinais</w:t>
      </w:r>
      <w:r w:rsidRPr="003B3476">
        <w:rPr>
          <w:lang w:val="fr-FR" w:eastAsia="fr-FR" w:bidi="fr-FR"/>
        </w:rPr>
        <w:t>,</w:t>
      </w:r>
      <w:r w:rsidRPr="003B3476">
        <w:rPr>
          <w:bCs/>
        </w:rPr>
        <w:t xml:space="preserve"> t. I (1909), p. 92-94, 115-120, 148-151, et </w:t>
      </w:r>
      <w:r w:rsidRPr="003B3476">
        <w:rPr>
          <w:i/>
          <w:lang w:val="fr-FR" w:eastAsia="fr-FR" w:bidi="fr-FR"/>
        </w:rPr>
        <w:t>Aperçu de l'Histoire de la Révolution à Meaux de 1791 à thermidor an I</w:t>
      </w:r>
      <w:r w:rsidRPr="003B3476">
        <w:rPr>
          <w:lang w:val="fr-FR" w:eastAsia="fr-FR" w:bidi="fr-FR"/>
        </w:rPr>
        <w:t xml:space="preserve">I, </w:t>
      </w:r>
      <w:r w:rsidRPr="003B3476">
        <w:rPr>
          <w:i/>
          <w:lang w:val="fr-FR" w:eastAsia="fr-FR" w:bidi="fr-FR"/>
        </w:rPr>
        <w:t>Ibid.</w:t>
      </w:r>
      <w:r w:rsidRPr="003B3476">
        <w:rPr>
          <w:lang w:val="fr-FR" w:eastAsia="fr-FR" w:bidi="fr-FR"/>
        </w:rPr>
        <w:t>,</w:t>
      </w:r>
      <w:r w:rsidRPr="003B3476">
        <w:rPr>
          <w:bCs/>
        </w:rPr>
        <w:t xml:space="preserve"> p. 387-391, et t. II, p. 9-15 et 87-88 ; pour Melun, R. </w:t>
      </w:r>
      <w:r w:rsidRPr="003B3476">
        <w:rPr>
          <w:rStyle w:val="Notedebasdepage265ptNonItaliquePetitesmajuscules"/>
          <w:b w:val="0"/>
          <w:iCs/>
          <w:sz w:val="24"/>
        </w:rPr>
        <w:t>L</w:t>
      </w:r>
      <w:r w:rsidRPr="003B3476">
        <w:rPr>
          <w:rStyle w:val="Notedebasdepage265ptNonItaliquePetitesmajuscules"/>
          <w:b w:val="0"/>
          <w:iCs/>
          <w:sz w:val="24"/>
        </w:rPr>
        <w:t>a</w:t>
      </w:r>
      <w:r w:rsidRPr="003B3476">
        <w:rPr>
          <w:rStyle w:val="Notedebasdepage265ptNonItaliquePetitesmajuscules"/>
          <w:b w:val="0"/>
          <w:iCs/>
          <w:sz w:val="24"/>
        </w:rPr>
        <w:t>joye</w:t>
      </w:r>
      <w:r w:rsidRPr="003B3476">
        <w:rPr>
          <w:rStyle w:val="Notedebasdepage265ptNonItaliquePetitesmajuscules"/>
          <w:b w:val="0"/>
          <w:i/>
          <w:iCs/>
          <w:sz w:val="24"/>
        </w:rPr>
        <w:t xml:space="preserve">, </w:t>
      </w:r>
      <w:r w:rsidRPr="003B3476">
        <w:rPr>
          <w:i/>
          <w:lang w:val="fr-FR" w:eastAsia="fr-FR" w:bidi="fr-FR"/>
        </w:rPr>
        <w:t>Chronique de Melun et de son district en 1792 et 1793</w:t>
      </w:r>
      <w:r w:rsidRPr="003B3476">
        <w:rPr>
          <w:lang w:val="fr-FR" w:eastAsia="fr-FR" w:bidi="fr-FR"/>
        </w:rPr>
        <w:t>,</w:t>
      </w:r>
      <w:r w:rsidRPr="003B3476">
        <w:rPr>
          <w:bCs/>
        </w:rPr>
        <w:t xml:space="preserve"> Paris, 1883.</w:t>
      </w:r>
    </w:p>
  </w:footnote>
  <w:footnote w:id="707">
    <w:p w14:paraId="2EB664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L'administration centrale de Seine-et-Oise et le Directoire</w:t>
      </w:r>
      <w:r w:rsidRPr="003B3476">
        <w:rPr>
          <w:lang w:val="fr-FR" w:eastAsia="fr-FR" w:bidi="fr-FR"/>
        </w:rPr>
        <w:t>,</w:t>
      </w:r>
      <w:r w:rsidRPr="003B3476">
        <w:rPr>
          <w:bCs/>
        </w:rPr>
        <w:t xml:space="preserve"> dans </w:t>
      </w:r>
      <w:r w:rsidRPr="003B3476">
        <w:rPr>
          <w:i/>
          <w:lang w:val="fr-FR" w:eastAsia="fr-FR" w:bidi="fr-FR"/>
        </w:rPr>
        <w:t>Rev. de l'Hist. de Versailles</w:t>
      </w:r>
      <w:r w:rsidRPr="003B3476">
        <w:rPr>
          <w:lang w:val="fr-FR" w:eastAsia="fr-FR" w:bidi="fr-FR"/>
        </w:rPr>
        <w:t>,</w:t>
      </w:r>
      <w:r w:rsidRPr="003B3476">
        <w:rPr>
          <w:bCs/>
        </w:rPr>
        <w:t xml:space="preserve"> t. XIII (1911), p. 194-213, 304-325, et XIV, p. 45-67 et 127-139.</w:t>
      </w:r>
    </w:p>
  </w:footnote>
  <w:footnote w:id="708">
    <w:p w14:paraId="26292F8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Recherches sur l'histoire de la Révolution</w:t>
      </w:r>
      <w:r w:rsidRPr="003B3476">
        <w:rPr>
          <w:lang w:val="fr-FR" w:eastAsia="fr-FR" w:bidi="fr-FR"/>
        </w:rPr>
        <w:t xml:space="preserve"> </w:t>
      </w:r>
      <w:r w:rsidRPr="003B3476">
        <w:rPr>
          <w:i/>
          <w:lang w:val="fr-FR" w:eastAsia="fr-FR" w:bidi="fr-FR"/>
        </w:rPr>
        <w:t>dans la Brie</w:t>
      </w:r>
      <w:r w:rsidRPr="003B3476">
        <w:rPr>
          <w:lang w:val="fr-FR" w:eastAsia="fr-FR" w:bidi="fr-FR"/>
        </w:rPr>
        <w:t xml:space="preserve">. </w:t>
      </w:r>
      <w:r w:rsidRPr="003B3476">
        <w:rPr>
          <w:i/>
          <w:lang w:val="fr-FR" w:eastAsia="fr-FR" w:bidi="fr-FR"/>
        </w:rPr>
        <w:t>Les députés à la Convention en mission dans le département de Seine-et-Marne</w:t>
      </w:r>
      <w:r w:rsidRPr="003B3476">
        <w:rPr>
          <w:lang w:val="fr-FR" w:eastAsia="fr-FR" w:bidi="fr-FR"/>
        </w:rPr>
        <w:t>,</w:t>
      </w:r>
      <w:r w:rsidRPr="003B3476">
        <w:rPr>
          <w:bCs/>
        </w:rPr>
        <w:t xml:space="preserve"> in-16, Meaux, 1876, 188 p.</w:t>
      </w:r>
    </w:p>
  </w:footnote>
  <w:footnote w:id="709">
    <w:p w14:paraId="1511EC1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Voir surtout A. </w:t>
      </w:r>
      <w:r w:rsidRPr="003B3476">
        <w:rPr>
          <w:rStyle w:val="Notedebasdepage265ptNonItaliquePetitesmajuscules"/>
          <w:b w:val="0"/>
          <w:iCs/>
          <w:sz w:val="24"/>
        </w:rPr>
        <w:t>Hugues</w:t>
      </w:r>
      <w:r w:rsidRPr="003B3476">
        <w:rPr>
          <w:rStyle w:val="Notedebasdepage265ptNonItaliquePetitesmajuscules"/>
          <w:b w:val="0"/>
          <w:i/>
          <w:iCs/>
          <w:sz w:val="24"/>
        </w:rPr>
        <w:t xml:space="preserve">, </w:t>
      </w:r>
      <w:r w:rsidRPr="003B3476">
        <w:rPr>
          <w:i/>
          <w:lang w:val="fr-FR" w:eastAsia="fr-FR" w:bidi="fr-FR"/>
        </w:rPr>
        <w:t>Le droit de champart en 1790 et la révolte des paysans du Gâtinais</w:t>
      </w:r>
      <w:r w:rsidRPr="003B3476">
        <w:rPr>
          <w:lang w:val="fr-FR" w:eastAsia="fr-FR" w:bidi="fr-FR"/>
        </w:rPr>
        <w:t>,</w:t>
      </w:r>
      <w:r w:rsidRPr="003B3476">
        <w:rPr>
          <w:bCs/>
        </w:rPr>
        <w:t xml:space="preserve"> dons </w:t>
      </w:r>
      <w:r w:rsidRPr="003B3476">
        <w:rPr>
          <w:i/>
          <w:lang w:val="fr-FR" w:eastAsia="fr-FR" w:bidi="fr-FR"/>
        </w:rPr>
        <w:t>Ann. Soc. hist. Gâtinais</w:t>
      </w:r>
      <w:r w:rsidRPr="003B3476">
        <w:rPr>
          <w:lang w:val="fr-FR" w:eastAsia="fr-FR" w:bidi="fr-FR"/>
        </w:rPr>
        <w:t>,</w:t>
      </w:r>
      <w:r w:rsidRPr="003B3476">
        <w:rPr>
          <w:bCs/>
        </w:rPr>
        <w:t xml:space="preserve"> t. XX (1902), p. 113-137 ; A. </w:t>
      </w:r>
      <w:r w:rsidRPr="003B3476">
        <w:rPr>
          <w:rStyle w:val="Notedebasdepage265ptNonItaliquePetitesmajuscules"/>
          <w:b w:val="0"/>
          <w:iCs/>
          <w:sz w:val="24"/>
        </w:rPr>
        <w:t>Hugues</w:t>
      </w:r>
      <w:r w:rsidRPr="003B3476">
        <w:rPr>
          <w:rStyle w:val="Notedebasdepage265ptNonItaliquePetitesmajuscules"/>
          <w:b w:val="0"/>
          <w:i/>
          <w:iCs/>
          <w:sz w:val="24"/>
        </w:rPr>
        <w:t xml:space="preserve">, </w:t>
      </w:r>
      <w:r w:rsidRPr="003B3476">
        <w:rPr>
          <w:i/>
          <w:lang w:val="fr-FR" w:eastAsia="fr-FR" w:bidi="fr-FR"/>
        </w:rPr>
        <w:t>Les troubles de Brie-Comte-Robert en 1790-1791</w:t>
      </w:r>
      <w:r w:rsidRPr="003B3476">
        <w:rPr>
          <w:lang w:val="fr-FR" w:eastAsia="fr-FR" w:bidi="fr-FR"/>
        </w:rPr>
        <w:t>,</w:t>
      </w:r>
      <w:r w:rsidRPr="003B3476">
        <w:rPr>
          <w:bCs/>
        </w:rPr>
        <w:t xml:space="preserve"> dans </w:t>
      </w:r>
      <w:r w:rsidRPr="003B3476">
        <w:rPr>
          <w:i/>
          <w:lang w:val="fr-FR" w:eastAsia="fr-FR" w:bidi="fr-FR"/>
        </w:rPr>
        <w:t>Bullet. Soc. archéol. Brie-Comte-Robert.</w:t>
      </w:r>
      <w:r w:rsidRPr="003B3476">
        <w:rPr>
          <w:bCs/>
          <w:i/>
        </w:rPr>
        <w:t xml:space="preserve"> I (1898-1901),</w:t>
      </w:r>
      <w:r w:rsidRPr="003B3476">
        <w:rPr>
          <w:bCs/>
        </w:rPr>
        <w:t xml:space="preserve"> p. 70-74 ; </w:t>
      </w:r>
      <w:r w:rsidRPr="003B3476">
        <w:rPr>
          <w:rStyle w:val="Notedebasdepage265ptNonItaliquePetitesmajuscules"/>
          <w:b w:val="0"/>
          <w:iCs/>
          <w:sz w:val="24"/>
        </w:rPr>
        <w:t>Coüard Luys</w:t>
      </w:r>
      <w:r w:rsidRPr="003B3476">
        <w:rPr>
          <w:rStyle w:val="Notedebasdepage265ptNonItaliquePetitesmajuscules"/>
          <w:b w:val="0"/>
          <w:i/>
          <w:iCs/>
          <w:sz w:val="24"/>
        </w:rPr>
        <w:t xml:space="preserve">, </w:t>
      </w:r>
      <w:r w:rsidRPr="003B3476">
        <w:rPr>
          <w:i/>
          <w:lang w:val="fr-FR" w:eastAsia="fr-FR" w:bidi="fr-FR"/>
        </w:rPr>
        <w:t>Une émeute populaire à Versailles, le 13 septembre 1789</w:t>
      </w:r>
      <w:r w:rsidRPr="003B3476">
        <w:rPr>
          <w:lang w:val="fr-FR" w:eastAsia="fr-FR" w:bidi="fr-FR"/>
        </w:rPr>
        <w:t>, d'après des doc</w:t>
      </w:r>
      <w:r w:rsidRPr="003B3476">
        <w:rPr>
          <w:lang w:val="fr-FR" w:eastAsia="fr-FR" w:bidi="fr-FR"/>
        </w:rPr>
        <w:t>u</w:t>
      </w:r>
      <w:r w:rsidRPr="003B3476">
        <w:rPr>
          <w:lang w:val="fr-FR" w:eastAsia="fr-FR" w:bidi="fr-FR"/>
        </w:rPr>
        <w:t>ments inédits,</w:t>
      </w:r>
      <w:r w:rsidRPr="003B3476">
        <w:rPr>
          <w:bCs/>
        </w:rPr>
        <w:t xml:space="preserve"> dans </w:t>
      </w:r>
      <w:r w:rsidRPr="003B3476">
        <w:rPr>
          <w:lang w:val="fr-FR" w:eastAsia="fr-FR" w:bidi="fr-FR"/>
        </w:rPr>
        <w:t>Mém</w:t>
      </w:r>
      <w:r w:rsidRPr="003B3476">
        <w:rPr>
          <w:i/>
          <w:lang w:val="fr-FR" w:eastAsia="fr-FR" w:bidi="fr-FR"/>
        </w:rPr>
        <w:t>. Soc. sciences mor. S.-et-Oise</w:t>
      </w:r>
      <w:r w:rsidRPr="003B3476">
        <w:rPr>
          <w:lang w:val="fr-FR" w:eastAsia="fr-FR" w:bidi="fr-FR"/>
        </w:rPr>
        <w:t>,</w:t>
      </w:r>
      <w:r w:rsidRPr="003B3476">
        <w:rPr>
          <w:bCs/>
        </w:rPr>
        <w:t xml:space="preserve"> t. XVI (1889), p. 152-184 ; </w:t>
      </w:r>
      <w:r w:rsidRPr="003B3476">
        <w:rPr>
          <w:rStyle w:val="Notedebasdepage265ptNonItaliquePetitesmajuscules"/>
          <w:b w:val="0"/>
          <w:iCs/>
          <w:sz w:val="24"/>
        </w:rPr>
        <w:t>Rabouin</w:t>
      </w:r>
      <w:r w:rsidRPr="003B3476">
        <w:rPr>
          <w:rStyle w:val="Notedebasdepage265ptNonItaliquePetitesmajuscules"/>
          <w:b w:val="0"/>
          <w:i/>
          <w:iCs/>
          <w:sz w:val="24"/>
        </w:rPr>
        <w:t xml:space="preserve">, </w:t>
      </w:r>
      <w:r w:rsidRPr="003B3476">
        <w:rPr>
          <w:i/>
          <w:lang w:val="fr-FR" w:eastAsia="fr-FR" w:bidi="fr-FR"/>
        </w:rPr>
        <w:t>Troubles en Beauce à l'occasion de la cherté du blé : nove</w:t>
      </w:r>
      <w:r w:rsidRPr="003B3476">
        <w:rPr>
          <w:i/>
          <w:lang w:val="fr-FR" w:eastAsia="fr-FR" w:bidi="fr-FR"/>
        </w:rPr>
        <w:t>m</w:t>
      </w:r>
      <w:r w:rsidRPr="003B3476">
        <w:rPr>
          <w:i/>
          <w:lang w:val="fr-FR" w:eastAsia="fr-FR" w:bidi="fr-FR"/>
        </w:rPr>
        <w:t>bre et décembre 1792</w:t>
      </w:r>
      <w:r w:rsidRPr="003B3476">
        <w:rPr>
          <w:lang w:val="fr-FR" w:eastAsia="fr-FR" w:bidi="fr-FR"/>
        </w:rPr>
        <w:t>,</w:t>
      </w:r>
      <w:r w:rsidRPr="003B3476">
        <w:rPr>
          <w:bCs/>
        </w:rPr>
        <w:t xml:space="preserve"> dans </w:t>
      </w:r>
      <w:r w:rsidRPr="003B3476">
        <w:rPr>
          <w:i/>
          <w:lang w:val="fr-FR" w:eastAsia="fr-FR" w:bidi="fr-FR"/>
        </w:rPr>
        <w:t>Révol. franç</w:t>
      </w:r>
      <w:r w:rsidRPr="003B3476">
        <w:rPr>
          <w:lang w:val="fr-FR" w:eastAsia="fr-FR" w:bidi="fr-FR"/>
        </w:rPr>
        <w:t>.,</w:t>
      </w:r>
      <w:r w:rsidRPr="003B3476">
        <w:rPr>
          <w:bCs/>
        </w:rPr>
        <w:t xml:space="preserve"> t. XLII (1902, n), p. 392-416.</w:t>
      </w:r>
    </w:p>
  </w:footnote>
  <w:footnote w:id="710">
    <w:p w14:paraId="6B9C281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Histoire de la bande d'Orgères</w:t>
      </w:r>
      <w:r w:rsidRPr="003B3476">
        <w:rPr>
          <w:bCs/>
        </w:rPr>
        <w:t>,</w:t>
      </w:r>
      <w:r w:rsidRPr="003B3476">
        <w:rPr>
          <w:lang w:val="fr-FR" w:eastAsia="fr-FR" w:bidi="fr-FR"/>
        </w:rPr>
        <w:t xml:space="preserve"> in-12, Chartres, 1858, 108 p.</w:t>
      </w:r>
    </w:p>
  </w:footnote>
  <w:footnote w:id="711">
    <w:p w14:paraId="60BA06F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w:t>
      </w:r>
      <w:r w:rsidRPr="003B3476">
        <w:rPr>
          <w:rStyle w:val="Notedebasdepage65ptPetitesmajuscules"/>
          <w:b w:val="0"/>
          <w:sz w:val="24"/>
        </w:rPr>
        <w:t xml:space="preserve">Lanfant, </w:t>
      </w:r>
      <w:r w:rsidRPr="003B3476">
        <w:rPr>
          <w:i/>
        </w:rPr>
        <w:t>Le Conseil général de la Seine</w:t>
      </w:r>
      <w:r w:rsidRPr="003B3476">
        <w:rPr>
          <w:lang w:val="fr-FR" w:eastAsia="fr-FR" w:bidi="fr-FR"/>
        </w:rPr>
        <w:t xml:space="preserve">, in-8°, Paris, [1903], </w:t>
      </w:r>
      <w:r w:rsidRPr="003B3476">
        <w:rPr>
          <w:smallCaps/>
        </w:rPr>
        <w:t>viii</w:t>
      </w:r>
      <w:r w:rsidRPr="003B3476">
        <w:t xml:space="preserve"> </w:t>
      </w:r>
      <w:r w:rsidRPr="003B3476">
        <w:rPr>
          <w:lang w:val="fr-FR" w:eastAsia="fr-FR" w:bidi="fr-FR"/>
        </w:rPr>
        <w:t>+ 446 p.</w:t>
      </w:r>
    </w:p>
  </w:footnote>
  <w:footnote w:id="712">
    <w:p w14:paraId="5BAA160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 </w:t>
      </w:r>
      <w:r w:rsidRPr="003B3476">
        <w:rPr>
          <w:rStyle w:val="Notedebasdepage265ptNonItaliquePetitesmajuscules"/>
          <w:b w:val="0"/>
          <w:iCs/>
          <w:sz w:val="24"/>
        </w:rPr>
        <w:t>David</w:t>
      </w:r>
      <w:r w:rsidRPr="003B3476">
        <w:rPr>
          <w:rStyle w:val="Notedebasdepage265ptNonItaliquePetitesmajuscules"/>
          <w:b w:val="0"/>
          <w:i/>
          <w:iCs/>
          <w:sz w:val="24"/>
        </w:rPr>
        <w:t xml:space="preserve">, </w:t>
      </w:r>
      <w:r w:rsidRPr="003B3476">
        <w:rPr>
          <w:i/>
          <w:lang w:val="fr-FR" w:eastAsia="fr-FR" w:bidi="fr-FR"/>
        </w:rPr>
        <w:t>Le Conseil général de Seine-et-Marne</w:t>
      </w:r>
      <w:r w:rsidRPr="003B3476">
        <w:rPr>
          <w:bCs/>
          <w:i/>
        </w:rPr>
        <w:t xml:space="preserve">, </w:t>
      </w:r>
      <w:r w:rsidRPr="003B3476">
        <w:rPr>
          <w:i/>
          <w:lang w:val="fr-FR" w:eastAsia="fr-FR" w:bidi="fr-FR"/>
        </w:rPr>
        <w:t>sous le Consulat et l’Empire,</w:t>
      </w:r>
      <w:r w:rsidRPr="003B3476">
        <w:rPr>
          <w:bCs/>
        </w:rPr>
        <w:t xml:space="preserve"> in-8°, Fontainebleau, 1904, 136 p. ; A. </w:t>
      </w:r>
      <w:r w:rsidRPr="003B3476">
        <w:rPr>
          <w:rStyle w:val="Notedebasdepage265ptNonItaliquePetitesmajuscules"/>
          <w:b w:val="0"/>
          <w:i/>
          <w:iCs/>
          <w:sz w:val="24"/>
        </w:rPr>
        <w:t xml:space="preserve">Hugues, </w:t>
      </w:r>
      <w:r w:rsidRPr="003B3476">
        <w:rPr>
          <w:i/>
          <w:lang w:val="fr-FR" w:eastAsia="fr-FR" w:bidi="fr-FR"/>
        </w:rPr>
        <w:t>Le département de Seine-et-Marne</w:t>
      </w:r>
      <w:r w:rsidRPr="003B3476">
        <w:rPr>
          <w:bCs/>
          <w:i/>
        </w:rPr>
        <w:t xml:space="preserve">, </w:t>
      </w:r>
      <w:r w:rsidRPr="003B3476">
        <w:rPr>
          <w:i/>
          <w:lang w:val="fr-FR" w:eastAsia="fr-FR" w:bidi="fr-FR"/>
        </w:rPr>
        <w:t>1800-1895</w:t>
      </w:r>
      <w:r w:rsidRPr="003B3476">
        <w:rPr>
          <w:bCs/>
          <w:i/>
        </w:rPr>
        <w:t xml:space="preserve">, </w:t>
      </w:r>
      <w:r w:rsidRPr="003B3476">
        <w:rPr>
          <w:i/>
          <w:lang w:val="fr-FR" w:eastAsia="fr-FR" w:bidi="fr-FR"/>
        </w:rPr>
        <w:t>d’après les documents officiels</w:t>
      </w:r>
      <w:r w:rsidRPr="003B3476">
        <w:rPr>
          <w:bCs/>
          <w:i/>
        </w:rPr>
        <w:t xml:space="preserve">, </w:t>
      </w:r>
      <w:r w:rsidRPr="003B3476">
        <w:rPr>
          <w:i/>
          <w:lang w:val="fr-FR" w:eastAsia="fr-FR" w:bidi="fr-FR"/>
        </w:rPr>
        <w:t>notamment les délibér</w:t>
      </w:r>
      <w:r w:rsidRPr="003B3476">
        <w:rPr>
          <w:i/>
          <w:lang w:val="fr-FR" w:eastAsia="fr-FR" w:bidi="fr-FR"/>
        </w:rPr>
        <w:t>a</w:t>
      </w:r>
      <w:r w:rsidRPr="003B3476">
        <w:rPr>
          <w:i/>
          <w:lang w:val="fr-FR" w:eastAsia="fr-FR" w:bidi="fr-FR"/>
        </w:rPr>
        <w:t>tions du Conseil général</w:t>
      </w:r>
      <w:r w:rsidRPr="003B3476">
        <w:rPr>
          <w:bCs/>
          <w:i/>
        </w:rPr>
        <w:t xml:space="preserve">, </w:t>
      </w:r>
      <w:r w:rsidRPr="003B3476">
        <w:rPr>
          <w:i/>
          <w:lang w:val="fr-FR" w:eastAsia="fr-FR" w:bidi="fr-FR"/>
        </w:rPr>
        <w:t>inédites jusqu’en 1840</w:t>
      </w:r>
      <w:r w:rsidRPr="003B3476">
        <w:rPr>
          <w:bCs/>
          <w:i/>
        </w:rPr>
        <w:t>,</w:t>
      </w:r>
      <w:r w:rsidRPr="003B3476">
        <w:rPr>
          <w:bCs/>
        </w:rPr>
        <w:t xml:space="preserve"> in-8°, Melun, 1895, </w:t>
      </w:r>
      <w:r w:rsidRPr="003B3476">
        <w:rPr>
          <w:bCs/>
          <w:smallCaps/>
        </w:rPr>
        <w:t>iv</w:t>
      </w:r>
      <w:r w:rsidRPr="003B3476">
        <w:rPr>
          <w:bCs/>
        </w:rPr>
        <w:t xml:space="preserve"> + 566 p.</w:t>
      </w:r>
    </w:p>
  </w:footnote>
  <w:footnote w:id="713">
    <w:p w14:paraId="271D1F9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F. </w:t>
      </w:r>
      <w:r w:rsidRPr="003B3476">
        <w:rPr>
          <w:rStyle w:val="Notedebasdepage65ptPetitesmajuscules"/>
          <w:b w:val="0"/>
          <w:sz w:val="24"/>
        </w:rPr>
        <w:t xml:space="preserve">Dieudonné, </w:t>
      </w:r>
      <w:r w:rsidRPr="003B3476">
        <w:rPr>
          <w:bCs/>
          <w:i/>
        </w:rPr>
        <w:t>La Révol. de 1848</w:t>
      </w:r>
      <w:r w:rsidRPr="003B3476">
        <w:rPr>
          <w:lang w:val="fr-FR" w:eastAsia="fr-FR" w:bidi="fr-FR"/>
        </w:rPr>
        <w:t>, t. II (1905-06), p. 281-313, et t. III (1906-07). p. 79-90.</w:t>
      </w:r>
    </w:p>
  </w:footnote>
  <w:footnote w:id="714">
    <w:p w14:paraId="2352553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Aug. </w:t>
      </w:r>
      <w:r w:rsidRPr="003B3476">
        <w:rPr>
          <w:rStyle w:val="Notedebasdepage265ptNonItaliquePetitesmajuscules"/>
          <w:b w:val="0"/>
          <w:i/>
          <w:iCs/>
          <w:sz w:val="24"/>
        </w:rPr>
        <w:t xml:space="preserve">Bernard, </w:t>
      </w:r>
      <w:r w:rsidRPr="003B3476">
        <w:rPr>
          <w:i/>
          <w:lang w:val="fr-FR" w:eastAsia="fr-FR" w:bidi="fr-FR"/>
        </w:rPr>
        <w:t>Simon de Colines</w:t>
      </w:r>
      <w:r w:rsidRPr="003B3476">
        <w:rPr>
          <w:bCs/>
        </w:rPr>
        <w:t xml:space="preserve">, </w:t>
      </w:r>
      <w:r w:rsidRPr="003B3476">
        <w:rPr>
          <w:i/>
          <w:lang w:val="fr-FR" w:eastAsia="fr-FR" w:bidi="fr-FR"/>
        </w:rPr>
        <w:t>Bull, du bouquiniste</w:t>
      </w:r>
      <w:r w:rsidRPr="003B3476">
        <w:rPr>
          <w:bCs/>
        </w:rPr>
        <w:t xml:space="preserve">, t. VII (1860, </w:t>
      </w:r>
      <w:r w:rsidRPr="003B3476">
        <w:rPr>
          <w:bCs/>
          <w:smallCaps/>
        </w:rPr>
        <w:t>i</w:t>
      </w:r>
      <w:r w:rsidRPr="003B3476">
        <w:rPr>
          <w:bCs/>
        </w:rPr>
        <w:t xml:space="preserve">), p. 101-105. </w:t>
      </w:r>
      <w:r w:rsidRPr="003B3476">
        <w:rPr>
          <w:i/>
          <w:lang w:val="fr-FR" w:eastAsia="fr-FR" w:bidi="fr-FR"/>
        </w:rPr>
        <w:t>Cf.</w:t>
      </w:r>
      <w:r w:rsidRPr="003B3476">
        <w:rPr>
          <w:bCs/>
        </w:rPr>
        <w:t xml:space="preserve"> Ph. </w:t>
      </w:r>
      <w:r w:rsidRPr="003B3476">
        <w:rPr>
          <w:rStyle w:val="Notedebasdepage265ptNonItaliquePetitesmajuscules"/>
          <w:b w:val="0"/>
          <w:iCs/>
          <w:sz w:val="24"/>
        </w:rPr>
        <w:t>Renouard</w:t>
      </w:r>
      <w:r w:rsidRPr="003B3476">
        <w:rPr>
          <w:rStyle w:val="Notedebasdepage265ptNonItaliquePetitesmajuscules"/>
          <w:b w:val="0"/>
          <w:i/>
          <w:iCs/>
          <w:sz w:val="24"/>
        </w:rPr>
        <w:t xml:space="preserve">, </w:t>
      </w:r>
      <w:r w:rsidRPr="003B3476">
        <w:rPr>
          <w:i/>
          <w:lang w:val="fr-FR" w:eastAsia="fr-FR" w:bidi="fr-FR"/>
        </w:rPr>
        <w:t>Bibliographie des éditions de Simon de Col</w:t>
      </w:r>
      <w:r w:rsidRPr="003B3476">
        <w:rPr>
          <w:i/>
          <w:lang w:val="fr-FR" w:eastAsia="fr-FR" w:bidi="fr-FR"/>
        </w:rPr>
        <w:t>i</w:t>
      </w:r>
      <w:r w:rsidRPr="003B3476">
        <w:rPr>
          <w:i/>
          <w:lang w:val="fr-FR" w:eastAsia="fr-FR" w:bidi="fr-FR"/>
        </w:rPr>
        <w:t>nes</w:t>
      </w:r>
      <w:r w:rsidRPr="003B3476">
        <w:rPr>
          <w:bCs/>
          <w:i/>
        </w:rPr>
        <w:t xml:space="preserve"> (</w:t>
      </w:r>
      <w:r w:rsidRPr="003B3476">
        <w:rPr>
          <w:i/>
          <w:lang w:val="fr-FR" w:eastAsia="fr-FR" w:bidi="fr-FR"/>
        </w:rPr>
        <w:t>1520-1546</w:t>
      </w:r>
      <w:r w:rsidRPr="003B3476">
        <w:rPr>
          <w:bCs/>
          <w:i/>
        </w:rPr>
        <w:t>),</w:t>
      </w:r>
      <w:r w:rsidRPr="003B3476">
        <w:rPr>
          <w:bCs/>
        </w:rPr>
        <w:t xml:space="preserve"> in-8°, Paris, 1894.</w:t>
      </w:r>
    </w:p>
  </w:footnote>
  <w:footnote w:id="715">
    <w:p w14:paraId="289B61D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 </w:t>
      </w:r>
      <w:r w:rsidRPr="003B3476">
        <w:rPr>
          <w:rStyle w:val="Notedebasdepage265ptNonItaliquePetitesmajuscules"/>
          <w:b w:val="0"/>
          <w:iCs/>
          <w:sz w:val="24"/>
        </w:rPr>
        <w:t>Leroy</w:t>
      </w:r>
      <w:r w:rsidRPr="003B3476">
        <w:rPr>
          <w:rStyle w:val="Notedebasdepage265ptNonItaliquePetitesmajuscules"/>
          <w:b w:val="0"/>
          <w:i/>
          <w:iCs/>
          <w:sz w:val="24"/>
        </w:rPr>
        <w:t xml:space="preserve">, </w:t>
      </w:r>
      <w:r w:rsidRPr="003B3476">
        <w:rPr>
          <w:i/>
          <w:lang w:val="fr-FR" w:eastAsia="fr-FR" w:bidi="fr-FR"/>
        </w:rPr>
        <w:t>Recherches sur l’introd. de l’imprimerie à Melun</w:t>
      </w:r>
      <w:r w:rsidRPr="003B3476">
        <w:rPr>
          <w:bCs/>
          <w:i/>
        </w:rPr>
        <w:t xml:space="preserve">, </w:t>
      </w:r>
      <w:r w:rsidRPr="003B3476">
        <w:rPr>
          <w:i/>
          <w:lang w:val="fr-FR" w:eastAsia="fr-FR" w:bidi="fr-FR"/>
        </w:rPr>
        <w:t>Bullet. Soc. a</w:t>
      </w:r>
      <w:r w:rsidRPr="003B3476">
        <w:rPr>
          <w:i/>
          <w:lang w:val="fr-FR" w:eastAsia="fr-FR" w:bidi="fr-FR"/>
        </w:rPr>
        <w:t>r</w:t>
      </w:r>
      <w:r w:rsidRPr="003B3476">
        <w:rPr>
          <w:i/>
          <w:lang w:val="fr-FR" w:eastAsia="fr-FR" w:bidi="fr-FR"/>
        </w:rPr>
        <w:t>chéol. Melun</w:t>
      </w:r>
      <w:r w:rsidRPr="003B3476">
        <w:rPr>
          <w:bCs/>
          <w:i/>
        </w:rPr>
        <w:t>,</w:t>
      </w:r>
      <w:r w:rsidRPr="003B3476">
        <w:rPr>
          <w:bCs/>
        </w:rPr>
        <w:t xml:space="preserve"> t. VIII (1875-77), p. 51-69.</w:t>
      </w:r>
    </w:p>
  </w:footnote>
  <w:footnote w:id="716">
    <w:p w14:paraId="6C05468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H. </w:t>
      </w:r>
      <w:r w:rsidRPr="003B3476">
        <w:rPr>
          <w:rStyle w:val="Notedebasdepage265ptNonItaliquePetitesmajuscules"/>
          <w:b w:val="0"/>
          <w:iCs/>
          <w:sz w:val="24"/>
        </w:rPr>
        <w:t>Stein</w:t>
      </w:r>
      <w:r w:rsidRPr="003B3476">
        <w:rPr>
          <w:rStyle w:val="Notedebasdepage265ptNonItaliquePetitesmajuscules"/>
          <w:b w:val="0"/>
          <w:i/>
          <w:iCs/>
          <w:sz w:val="24"/>
        </w:rPr>
        <w:t xml:space="preserve">, </w:t>
      </w:r>
      <w:r w:rsidRPr="003B3476">
        <w:rPr>
          <w:i/>
          <w:lang w:val="fr-FR" w:eastAsia="fr-FR" w:bidi="fr-FR"/>
        </w:rPr>
        <w:t>Nouvelles recherches sur l’imprimerie à Étampes</w:t>
      </w:r>
      <w:r w:rsidRPr="003B3476">
        <w:rPr>
          <w:bCs/>
          <w:i/>
        </w:rPr>
        <w:t xml:space="preserve">, </w:t>
      </w:r>
      <w:r w:rsidRPr="003B3476">
        <w:rPr>
          <w:i/>
          <w:lang w:val="fr-FR" w:eastAsia="fr-FR" w:bidi="fr-FR"/>
        </w:rPr>
        <w:t>Ann. Gâtinais</w:t>
      </w:r>
      <w:r w:rsidRPr="003B3476">
        <w:rPr>
          <w:bCs/>
        </w:rPr>
        <w:t>, t. XV (1897), p. 92-96.</w:t>
      </w:r>
    </w:p>
  </w:footnote>
  <w:footnote w:id="717">
    <w:p w14:paraId="21707A1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H. </w:t>
      </w:r>
      <w:r w:rsidRPr="003B3476">
        <w:rPr>
          <w:rStyle w:val="Notedebasdepage265ptNonItaliquePetitesmajuscules"/>
          <w:b w:val="0"/>
          <w:iCs/>
          <w:sz w:val="24"/>
        </w:rPr>
        <w:t>Stein</w:t>
      </w:r>
      <w:r w:rsidRPr="003B3476">
        <w:rPr>
          <w:rStyle w:val="Notedebasdepage265ptNonItaliquePetitesmajuscules"/>
          <w:b w:val="0"/>
          <w:i/>
          <w:iCs/>
          <w:sz w:val="24"/>
        </w:rPr>
        <w:t xml:space="preserve">, </w:t>
      </w:r>
      <w:r w:rsidRPr="003B3476">
        <w:rPr>
          <w:i/>
          <w:lang w:val="fr-FR" w:eastAsia="fr-FR" w:bidi="fr-FR"/>
        </w:rPr>
        <w:t>Notice sur l’imprimerie à Châteaudun avant la Révolution</w:t>
      </w:r>
      <w:r w:rsidRPr="003B3476">
        <w:rPr>
          <w:bCs/>
          <w:i/>
        </w:rPr>
        <w:t xml:space="preserve">, </w:t>
      </w:r>
      <w:r w:rsidRPr="003B3476">
        <w:rPr>
          <w:i/>
          <w:lang w:val="fr-FR" w:eastAsia="fr-FR" w:bidi="fr-FR"/>
        </w:rPr>
        <w:t>Bullet. Soc. dunoise,</w:t>
      </w:r>
      <w:r w:rsidRPr="003B3476">
        <w:rPr>
          <w:lang w:val="fr-FR" w:eastAsia="fr-FR" w:bidi="fr-FR"/>
        </w:rPr>
        <w:t xml:space="preserve"> </w:t>
      </w:r>
      <w:r w:rsidRPr="003B3476">
        <w:rPr>
          <w:bCs/>
        </w:rPr>
        <w:t>t. VI, 1888-90, p. 211-224.</w:t>
      </w:r>
    </w:p>
  </w:footnote>
  <w:footnote w:id="718">
    <w:p w14:paraId="7307DF2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peut citer : Th. </w:t>
      </w:r>
      <w:r w:rsidRPr="003B3476">
        <w:rPr>
          <w:rStyle w:val="Notedebasdepage65ptPetitesmajuscules"/>
          <w:b w:val="0"/>
          <w:sz w:val="24"/>
        </w:rPr>
        <w:t xml:space="preserve">Lhuillier, </w:t>
      </w:r>
      <w:r w:rsidRPr="003B3476">
        <w:rPr>
          <w:i/>
        </w:rPr>
        <w:t>Recherches historiques sur l’enseignement primaire dans la Brie</w:t>
      </w:r>
      <w:r w:rsidRPr="003B3476">
        <w:rPr>
          <w:i/>
          <w:lang w:val="fr-FR" w:eastAsia="fr-FR" w:bidi="fr-FR"/>
        </w:rPr>
        <w:t>,</w:t>
      </w:r>
      <w:r w:rsidRPr="003B3476">
        <w:rPr>
          <w:lang w:val="fr-FR" w:eastAsia="fr-FR" w:bidi="fr-FR"/>
        </w:rPr>
        <w:t xml:space="preserve"> in-8°, Meaux, 1884, 130 p. ; les études de M. </w:t>
      </w:r>
      <w:r w:rsidRPr="003B3476">
        <w:rPr>
          <w:rStyle w:val="Notedebasdepage65ptPetitesmajuscules"/>
          <w:b w:val="0"/>
          <w:sz w:val="24"/>
        </w:rPr>
        <w:t xml:space="preserve">Godart </w:t>
      </w:r>
      <w:r w:rsidRPr="003B3476">
        <w:rPr>
          <w:lang w:val="fr-FR" w:eastAsia="fr-FR" w:bidi="fr-FR"/>
        </w:rPr>
        <w:t xml:space="preserve">sur </w:t>
      </w:r>
      <w:r w:rsidRPr="003B3476">
        <w:rPr>
          <w:i/>
        </w:rPr>
        <w:t xml:space="preserve">l’École Centrale de Seine-et-Oise </w:t>
      </w:r>
      <w:r w:rsidRPr="003B3476">
        <w:rPr>
          <w:i/>
          <w:lang w:val="fr-FR" w:eastAsia="fr-FR" w:bidi="fr-FR"/>
        </w:rPr>
        <w:t xml:space="preserve">dans la </w:t>
      </w:r>
      <w:r w:rsidRPr="003B3476">
        <w:rPr>
          <w:i/>
        </w:rPr>
        <w:t>Revue de l’histoire de Versai</w:t>
      </w:r>
      <w:r w:rsidRPr="003B3476">
        <w:rPr>
          <w:i/>
        </w:rPr>
        <w:t>l</w:t>
      </w:r>
      <w:r w:rsidRPr="003B3476">
        <w:rPr>
          <w:i/>
        </w:rPr>
        <w:t>les</w:t>
      </w:r>
      <w:r w:rsidRPr="003B3476">
        <w:rPr>
          <w:lang w:val="fr-FR" w:eastAsia="fr-FR" w:bidi="fr-FR"/>
        </w:rPr>
        <w:t xml:space="preserve">, années 1909 </w:t>
      </w:r>
      <w:r w:rsidRPr="003B3476">
        <w:t xml:space="preserve">à </w:t>
      </w:r>
      <w:r w:rsidRPr="003B3476">
        <w:rPr>
          <w:lang w:val="fr-FR" w:eastAsia="fr-FR" w:bidi="fr-FR"/>
        </w:rPr>
        <w:t>1911 (t. XI-XIII), et, dans la même revue, celles de M. le D</w:t>
      </w:r>
      <w:r w:rsidRPr="003B3476">
        <w:rPr>
          <w:vertAlign w:val="superscript"/>
          <w:lang w:val="fr-FR" w:eastAsia="fr-FR" w:bidi="fr-FR"/>
        </w:rPr>
        <w:t>r</w:t>
      </w:r>
      <w:r w:rsidRPr="003B3476">
        <w:rPr>
          <w:lang w:val="fr-FR" w:eastAsia="fr-FR" w:bidi="fr-FR"/>
        </w:rPr>
        <w:t xml:space="preserve"> </w:t>
      </w:r>
      <w:r w:rsidRPr="003B3476">
        <w:rPr>
          <w:rStyle w:val="Notedebasdepage65ptPetitesmajuscules"/>
          <w:b w:val="0"/>
          <w:sz w:val="24"/>
        </w:rPr>
        <w:t xml:space="preserve">Duhaut </w:t>
      </w:r>
      <w:r w:rsidRPr="003B3476">
        <w:rPr>
          <w:lang w:val="fr-FR" w:eastAsia="fr-FR" w:bidi="fr-FR"/>
        </w:rPr>
        <w:t xml:space="preserve">sur le </w:t>
      </w:r>
      <w:r w:rsidRPr="003B3476">
        <w:rPr>
          <w:i/>
        </w:rPr>
        <w:t>Lycée de Versailles de 1803 à 1860</w:t>
      </w:r>
      <w:r w:rsidRPr="003B3476">
        <w:rPr>
          <w:lang w:val="fr-FR" w:eastAsia="fr-FR" w:bidi="fr-FR"/>
        </w:rPr>
        <w:t xml:space="preserve">, années 1907 </w:t>
      </w:r>
      <w:r w:rsidRPr="003B3476">
        <w:t xml:space="preserve">à </w:t>
      </w:r>
      <w:r w:rsidRPr="003B3476">
        <w:rPr>
          <w:lang w:val="fr-FR" w:eastAsia="fr-FR" w:bidi="fr-FR"/>
        </w:rPr>
        <w:t xml:space="preserve">1911 (t. IX </w:t>
      </w:r>
      <w:r w:rsidRPr="003B3476">
        <w:t xml:space="preserve">à </w:t>
      </w:r>
      <w:r w:rsidRPr="003B3476">
        <w:rPr>
          <w:lang w:val="fr-FR" w:eastAsia="fr-FR" w:bidi="fr-FR"/>
        </w:rPr>
        <w:t>XIII).</w:t>
      </w:r>
    </w:p>
  </w:footnote>
  <w:footnote w:id="719">
    <w:p w14:paraId="1007BF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Histoire de l’imagerie populaire et des cartes à jouer a Chartres suivie de recherches sur le commerce du colportage des complaintes</w:t>
      </w:r>
      <w:r w:rsidRPr="003B3476">
        <w:rPr>
          <w:bCs/>
          <w:i/>
        </w:rPr>
        <w:t xml:space="preserve">, </w:t>
      </w:r>
      <w:r w:rsidRPr="003B3476">
        <w:rPr>
          <w:i/>
          <w:lang w:val="fr-FR" w:eastAsia="fr-FR" w:bidi="fr-FR"/>
        </w:rPr>
        <w:t>canards et cha</w:t>
      </w:r>
      <w:r w:rsidRPr="003B3476">
        <w:rPr>
          <w:i/>
          <w:lang w:val="fr-FR" w:eastAsia="fr-FR" w:bidi="fr-FR"/>
        </w:rPr>
        <w:t>n</w:t>
      </w:r>
      <w:r w:rsidRPr="003B3476">
        <w:rPr>
          <w:i/>
          <w:lang w:val="fr-FR" w:eastAsia="fr-FR" w:bidi="fr-FR"/>
        </w:rPr>
        <w:t>sons des rues</w:t>
      </w:r>
      <w:r w:rsidRPr="003B3476">
        <w:rPr>
          <w:bCs/>
        </w:rPr>
        <w:t xml:space="preserve">, in-12, Chartres, 1869, </w:t>
      </w:r>
      <w:r w:rsidRPr="003B3476">
        <w:rPr>
          <w:bCs/>
          <w:smallCaps/>
        </w:rPr>
        <w:t>viii</w:t>
      </w:r>
      <w:r w:rsidRPr="003B3476">
        <w:rPr>
          <w:bCs/>
        </w:rPr>
        <w:t xml:space="preserve"> + 450 p.</w:t>
      </w:r>
    </w:p>
  </w:footnote>
  <w:footnote w:id="720">
    <w:p w14:paraId="144EE6F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 Folk-Lore de la Beauce et du Perche (Les littératures populaires de toutes les nations),</w:t>
      </w:r>
      <w:r w:rsidRPr="003B3476">
        <w:rPr>
          <w:lang w:val="fr-FR" w:eastAsia="fr-FR" w:bidi="fr-FR"/>
        </w:rPr>
        <w:t xml:space="preserve"> </w:t>
      </w:r>
      <w:r w:rsidRPr="003B3476">
        <w:t xml:space="preserve">2 vol. petit in-8°, Paris, 1902, </w:t>
      </w:r>
      <w:r w:rsidRPr="003B3476">
        <w:rPr>
          <w:smallCaps/>
        </w:rPr>
        <w:t>xiii</w:t>
      </w:r>
      <w:r w:rsidRPr="003B3476">
        <w:t xml:space="preserve"> + 366 et 356 p. Sur le parler populaire des environs de Paris, on pourra consulter Charles </w:t>
      </w:r>
      <w:r w:rsidRPr="003B3476">
        <w:rPr>
          <w:rStyle w:val="Notedebasdepage265ptNonItaliquePetitesmajuscules"/>
          <w:b w:val="0"/>
          <w:iCs/>
          <w:sz w:val="24"/>
        </w:rPr>
        <w:t>Nisard</w:t>
      </w:r>
      <w:r w:rsidRPr="003B3476">
        <w:rPr>
          <w:rStyle w:val="Notedebasdepage265ptNonItaliquePetitesmajuscules"/>
          <w:b w:val="0"/>
          <w:i/>
          <w:iCs/>
          <w:sz w:val="24"/>
        </w:rPr>
        <w:t xml:space="preserve">, </w:t>
      </w:r>
      <w:r w:rsidRPr="003B3476">
        <w:rPr>
          <w:i/>
          <w:lang w:val="fr-FR" w:eastAsia="fr-FR" w:bidi="fr-FR"/>
        </w:rPr>
        <w:t>Étude sur le langage populaire ou patois de Paris et de sa banlieue</w:t>
      </w:r>
      <w:r w:rsidRPr="003B3476">
        <w:t xml:space="preserve">, in-8°, Paris, 1873 ; Théod. </w:t>
      </w:r>
      <w:r w:rsidRPr="003B3476">
        <w:rPr>
          <w:rStyle w:val="Notedebasdepage265ptNonItaliquePetitesmajuscules"/>
          <w:b w:val="0"/>
          <w:iCs/>
          <w:sz w:val="24"/>
        </w:rPr>
        <w:t>Rosset</w:t>
      </w:r>
      <w:r w:rsidRPr="003B3476">
        <w:rPr>
          <w:rStyle w:val="Notedebasdepage265ptNonItaliquePetitesmajuscules"/>
          <w:b w:val="0"/>
          <w:i/>
          <w:iCs/>
          <w:sz w:val="24"/>
        </w:rPr>
        <w:t xml:space="preserve">, </w:t>
      </w:r>
      <w:r w:rsidRPr="003B3476">
        <w:rPr>
          <w:i/>
          <w:lang w:val="fr-FR" w:eastAsia="fr-FR" w:bidi="fr-FR"/>
        </w:rPr>
        <w:t>Les origines de la prononciation moderne étudiées au XVII</w:t>
      </w:r>
      <w:r w:rsidRPr="003B3476">
        <w:rPr>
          <w:i/>
          <w:vertAlign w:val="superscript"/>
          <w:lang w:val="fr-FR" w:eastAsia="fr-FR" w:bidi="fr-FR"/>
        </w:rPr>
        <w:t>e</w:t>
      </w:r>
      <w:r w:rsidRPr="003B3476">
        <w:rPr>
          <w:i/>
          <w:lang w:val="fr-FR" w:eastAsia="fr-FR" w:bidi="fr-FR"/>
        </w:rPr>
        <w:t xml:space="preserve"> siècle d’après les remarques des grammairiens et les textes en patois de la banlieue parisienne</w:t>
      </w:r>
      <w:r w:rsidRPr="003B3476">
        <w:t xml:space="preserve">, in-8°, Paris, 1911, 418 p. (thèse Fac. Lettres Paris), avec un </w:t>
      </w:r>
      <w:r w:rsidRPr="003B3476">
        <w:rPr>
          <w:i/>
          <w:lang w:val="fr-FR" w:eastAsia="fr-FR" w:bidi="fr-FR"/>
        </w:rPr>
        <w:t>Appendice</w:t>
      </w:r>
      <w:r w:rsidRPr="003B3476">
        <w:t>, renfermant des textes en patois du XVII</w:t>
      </w:r>
      <w:r w:rsidRPr="003B3476">
        <w:rPr>
          <w:vertAlign w:val="superscript"/>
        </w:rPr>
        <w:t>e</w:t>
      </w:r>
      <w:r w:rsidRPr="003B3476">
        <w:t> siècle, in-8°, P</w:t>
      </w:r>
      <w:r w:rsidRPr="003B3476">
        <w:t>a</w:t>
      </w:r>
      <w:r w:rsidRPr="003B3476">
        <w:t xml:space="preserve">ris, 1911, 84 p. </w:t>
      </w:r>
      <w:r w:rsidRPr="003B3476">
        <w:rPr>
          <w:i/>
          <w:lang w:val="fr-FR" w:eastAsia="fr-FR" w:bidi="fr-FR"/>
        </w:rPr>
        <w:t>Cf.</w:t>
      </w:r>
      <w:r w:rsidRPr="003B3476">
        <w:t xml:space="preserve"> aussi J. </w:t>
      </w:r>
      <w:r w:rsidRPr="003B3476">
        <w:rPr>
          <w:rStyle w:val="Notedebasdepage265ptNonItaliquePetitesmajuscules"/>
          <w:b w:val="0"/>
          <w:iCs/>
          <w:sz w:val="24"/>
        </w:rPr>
        <w:t>Depoin</w:t>
      </w:r>
      <w:r w:rsidRPr="003B3476">
        <w:rPr>
          <w:rStyle w:val="Notedebasdepage265ptNonItaliquePetitesmajuscules"/>
          <w:b w:val="0"/>
          <w:i/>
          <w:iCs/>
          <w:sz w:val="24"/>
        </w:rPr>
        <w:t xml:space="preserve">, </w:t>
      </w:r>
      <w:r w:rsidRPr="003B3476">
        <w:rPr>
          <w:i/>
          <w:lang w:val="fr-FR" w:eastAsia="fr-FR" w:bidi="fr-FR"/>
        </w:rPr>
        <w:t>Proverbes et locutions du Vexin français</w:t>
      </w:r>
      <w:r w:rsidRPr="003B3476">
        <w:rPr>
          <w:bCs/>
          <w:i/>
        </w:rPr>
        <w:t xml:space="preserve">, </w:t>
      </w:r>
      <w:r w:rsidRPr="003B3476">
        <w:rPr>
          <w:i/>
          <w:lang w:val="fr-FR" w:eastAsia="fr-FR" w:bidi="fr-FR"/>
        </w:rPr>
        <w:t>Confér. des Soc. sav. de Seine-et-Oise</w:t>
      </w:r>
      <w:r w:rsidRPr="003B3476">
        <w:rPr>
          <w:bCs/>
          <w:i/>
        </w:rPr>
        <w:t xml:space="preserve">, </w:t>
      </w:r>
      <w:r w:rsidRPr="003B3476">
        <w:rPr>
          <w:i/>
          <w:lang w:val="fr-FR" w:eastAsia="fr-FR" w:bidi="fr-FR"/>
        </w:rPr>
        <w:t>Deux, réunion (1904),</w:t>
      </w:r>
      <w:r w:rsidRPr="003B3476">
        <w:rPr>
          <w:bCs/>
        </w:rPr>
        <w:t xml:space="preserve"> p. 66 et que</w:t>
      </w:r>
      <w:r w:rsidRPr="003B3476">
        <w:rPr>
          <w:bCs/>
        </w:rPr>
        <w:t>l</w:t>
      </w:r>
      <w:r w:rsidRPr="003B3476">
        <w:rPr>
          <w:bCs/>
        </w:rPr>
        <w:t xml:space="preserve">ques indications d’ordre linguistique données par </w:t>
      </w:r>
      <w:r w:rsidRPr="003B3476">
        <w:rPr>
          <w:rStyle w:val="Notedebasdepage265ptNonItaliquePetitesmajuscules"/>
          <w:b w:val="0"/>
          <w:i/>
          <w:iCs/>
          <w:sz w:val="24"/>
        </w:rPr>
        <w:t xml:space="preserve">Cassan </w:t>
      </w:r>
      <w:r w:rsidRPr="003B3476">
        <w:rPr>
          <w:bCs/>
        </w:rPr>
        <w:t xml:space="preserve">dans sa </w:t>
      </w:r>
      <w:r w:rsidRPr="003B3476">
        <w:rPr>
          <w:i/>
          <w:lang w:val="fr-FR" w:eastAsia="fr-FR" w:bidi="fr-FR"/>
        </w:rPr>
        <w:t>Statistique de l'arrondissement de Mantes</w:t>
      </w:r>
      <w:r w:rsidRPr="003B3476">
        <w:rPr>
          <w:bCs/>
        </w:rPr>
        <w:t>, in-8°. Mantes, 1833, p. 47 et suiv.</w:t>
      </w:r>
    </w:p>
  </w:footnote>
  <w:footnote w:id="721">
    <w:p w14:paraId="31FE7D8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Voir, outre l’ouvrage général de F. </w:t>
      </w:r>
      <w:r w:rsidRPr="003B3476">
        <w:rPr>
          <w:rStyle w:val="Notedebasdepage265ptNonItaliquePetitesmajuscules"/>
          <w:b w:val="0"/>
          <w:iCs/>
          <w:sz w:val="24"/>
        </w:rPr>
        <w:t>Gattey</w:t>
      </w:r>
      <w:r w:rsidRPr="003B3476">
        <w:rPr>
          <w:rStyle w:val="Notedebasdepage265ptNonItaliquePetitesmajuscules"/>
          <w:b w:val="0"/>
          <w:i/>
          <w:iCs/>
          <w:sz w:val="24"/>
        </w:rPr>
        <w:t xml:space="preserve">, </w:t>
      </w:r>
      <w:r w:rsidRPr="003B3476">
        <w:rPr>
          <w:i/>
          <w:lang w:val="fr-FR" w:eastAsia="fr-FR" w:bidi="fr-FR"/>
        </w:rPr>
        <w:t>Tableau des rapports des ancie</w:t>
      </w:r>
      <w:r w:rsidRPr="003B3476">
        <w:rPr>
          <w:i/>
          <w:lang w:val="fr-FR" w:eastAsia="fr-FR" w:bidi="fr-FR"/>
        </w:rPr>
        <w:t>n</w:t>
      </w:r>
      <w:r w:rsidRPr="003B3476">
        <w:rPr>
          <w:i/>
          <w:lang w:val="fr-FR" w:eastAsia="fr-FR" w:bidi="fr-FR"/>
        </w:rPr>
        <w:t>nes mesures agraires avec les nouvelles</w:t>
      </w:r>
      <w:r w:rsidRPr="003B3476">
        <w:rPr>
          <w:bCs/>
        </w:rPr>
        <w:t>, 3</w:t>
      </w:r>
      <w:r w:rsidRPr="003B3476">
        <w:rPr>
          <w:bCs/>
          <w:vertAlign w:val="superscript"/>
        </w:rPr>
        <w:t>e</w:t>
      </w:r>
      <w:r w:rsidRPr="003B3476">
        <w:rPr>
          <w:bCs/>
        </w:rPr>
        <w:t xml:space="preserve"> édit. in-8°, Paris, 1812 : </w:t>
      </w:r>
      <w:r w:rsidRPr="003B3476">
        <w:rPr>
          <w:i/>
          <w:lang w:val="fr-FR" w:eastAsia="fr-FR" w:bidi="fr-FR"/>
        </w:rPr>
        <w:t>Tableau des anciennes mesures du département de Seine-et-Marne</w:t>
      </w:r>
      <w:r w:rsidRPr="003B3476">
        <w:rPr>
          <w:bCs/>
          <w:i/>
        </w:rPr>
        <w:t xml:space="preserve">, </w:t>
      </w:r>
      <w:r w:rsidRPr="003B3476">
        <w:rPr>
          <w:i/>
          <w:lang w:val="fr-FR" w:eastAsia="fr-FR" w:bidi="fr-FR"/>
        </w:rPr>
        <w:t>comparées aux mes</w:t>
      </w:r>
      <w:r w:rsidRPr="003B3476">
        <w:rPr>
          <w:i/>
          <w:lang w:val="fr-FR" w:eastAsia="fr-FR" w:bidi="fr-FR"/>
        </w:rPr>
        <w:t>u</w:t>
      </w:r>
      <w:r w:rsidRPr="003B3476">
        <w:rPr>
          <w:i/>
          <w:lang w:val="fr-FR" w:eastAsia="fr-FR" w:bidi="fr-FR"/>
        </w:rPr>
        <w:t>res républicaines</w:t>
      </w:r>
      <w:r w:rsidRPr="003B3476">
        <w:rPr>
          <w:bCs/>
          <w:i/>
        </w:rPr>
        <w:t xml:space="preserve">, </w:t>
      </w:r>
      <w:r w:rsidRPr="003B3476">
        <w:rPr>
          <w:i/>
          <w:lang w:val="fr-FR" w:eastAsia="fr-FR" w:bidi="fr-FR"/>
        </w:rPr>
        <w:t>par ordre du Ministre de l’Intérieur</w:t>
      </w:r>
      <w:r w:rsidRPr="003B3476">
        <w:rPr>
          <w:lang w:val="fr-FR" w:eastAsia="fr-FR" w:bidi="fr-FR"/>
        </w:rPr>
        <w:t xml:space="preserve">, </w:t>
      </w:r>
      <w:r w:rsidRPr="003B3476">
        <w:rPr>
          <w:bCs/>
        </w:rPr>
        <w:t xml:space="preserve">in-4°, Paris, an VIII ; F.-A. </w:t>
      </w:r>
      <w:r w:rsidRPr="003B3476">
        <w:rPr>
          <w:rStyle w:val="Notedebasdepage265ptNonItaliquePetitesmajuscules"/>
          <w:b w:val="0"/>
          <w:iCs/>
          <w:sz w:val="24"/>
        </w:rPr>
        <w:t>Delacroix</w:t>
      </w:r>
      <w:r w:rsidRPr="003B3476">
        <w:rPr>
          <w:rStyle w:val="Notedebasdepage265ptNonItaliquePetitesmajuscules"/>
          <w:b w:val="0"/>
          <w:i/>
          <w:iCs/>
          <w:sz w:val="24"/>
        </w:rPr>
        <w:t xml:space="preserve">, </w:t>
      </w:r>
      <w:r w:rsidRPr="003B3476">
        <w:rPr>
          <w:i/>
          <w:lang w:val="fr-FR" w:eastAsia="fr-FR" w:bidi="fr-FR"/>
        </w:rPr>
        <w:t>Manuel pratique des nouveaux poids et mesures</w:t>
      </w:r>
      <w:r w:rsidRPr="003B3476">
        <w:rPr>
          <w:bCs/>
          <w:i/>
        </w:rPr>
        <w:t xml:space="preserve">, </w:t>
      </w:r>
      <w:r w:rsidRPr="003B3476">
        <w:rPr>
          <w:i/>
          <w:lang w:val="fr-FR" w:eastAsia="fr-FR" w:bidi="fr-FR"/>
        </w:rPr>
        <w:t>sp</w:t>
      </w:r>
      <w:r w:rsidRPr="003B3476">
        <w:rPr>
          <w:i/>
          <w:lang w:val="fr-FR" w:eastAsia="fr-FR" w:bidi="fr-FR"/>
        </w:rPr>
        <w:t>é</w:t>
      </w:r>
      <w:r w:rsidRPr="003B3476">
        <w:rPr>
          <w:i/>
          <w:lang w:val="fr-FR" w:eastAsia="fr-FR" w:bidi="fr-FR"/>
        </w:rPr>
        <w:t>cialement destiné aux habitants du Loiret</w:t>
      </w:r>
      <w:r w:rsidRPr="003B3476">
        <w:rPr>
          <w:bCs/>
        </w:rPr>
        <w:t xml:space="preserve">, in-12, Orléans, an XI (1802), 74 p. </w:t>
      </w:r>
      <w:r w:rsidRPr="003B3476">
        <w:rPr>
          <w:i/>
          <w:lang w:val="fr-FR" w:eastAsia="fr-FR" w:bidi="fr-FR"/>
        </w:rPr>
        <w:t>Cf.</w:t>
      </w:r>
      <w:r w:rsidRPr="003B3476">
        <w:rPr>
          <w:bCs/>
        </w:rPr>
        <w:t xml:space="preserve"> aussi A. </w:t>
      </w:r>
      <w:r w:rsidRPr="003B3476">
        <w:rPr>
          <w:rStyle w:val="Notedebasdepage265ptNonItaliquePetitesmajuscules"/>
          <w:b w:val="0"/>
          <w:iCs/>
          <w:sz w:val="24"/>
        </w:rPr>
        <w:t>Benoit</w:t>
      </w:r>
      <w:r w:rsidRPr="003B3476">
        <w:rPr>
          <w:rStyle w:val="Notedebasdepage265ptNonItaliquePetitesmajuscules"/>
          <w:b w:val="0"/>
          <w:i/>
          <w:iCs/>
          <w:sz w:val="24"/>
        </w:rPr>
        <w:t xml:space="preserve">, </w:t>
      </w:r>
      <w:r w:rsidRPr="003B3476">
        <w:rPr>
          <w:i/>
          <w:lang w:val="fr-FR" w:eastAsia="fr-FR" w:bidi="fr-FR"/>
        </w:rPr>
        <w:t>Anciennes mesures d'Eure-et-Loir</w:t>
      </w:r>
      <w:r w:rsidRPr="003B3476">
        <w:rPr>
          <w:bCs/>
        </w:rPr>
        <w:t>, petit in-4°, Cha</w:t>
      </w:r>
      <w:r w:rsidRPr="003B3476">
        <w:rPr>
          <w:bCs/>
        </w:rPr>
        <w:t>r</w:t>
      </w:r>
      <w:r w:rsidRPr="003B3476">
        <w:rPr>
          <w:bCs/>
        </w:rPr>
        <w:t>tres, 1843, 70 p.</w:t>
      </w:r>
    </w:p>
  </w:footnote>
  <w:footnote w:id="722">
    <w:p w14:paraId="0B224C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Recherches sur les anciennes mesures en usage dans le Gâtinais Seine et Marnais et sur leur valeur en mesures métriques</w:t>
      </w:r>
      <w:r w:rsidRPr="003B3476">
        <w:rPr>
          <w:lang w:val="fr-FR" w:eastAsia="fr-FR" w:bidi="fr-FR"/>
        </w:rPr>
        <w:t xml:space="preserve">. </w:t>
      </w:r>
      <w:r w:rsidRPr="003B3476">
        <w:rPr>
          <w:i/>
          <w:lang w:val="fr-FR" w:eastAsia="fr-FR" w:bidi="fr-FR"/>
        </w:rPr>
        <w:t>Bullet. histor. et philolog</w:t>
      </w:r>
      <w:r w:rsidRPr="003B3476">
        <w:rPr>
          <w:bCs/>
        </w:rPr>
        <w:t>., t. XXI (1903), p. 328-406.</w:t>
      </w:r>
    </w:p>
  </w:footnote>
  <w:footnote w:id="723">
    <w:p w14:paraId="3DE0ADD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Anciennes mesures agraires de la Brie. Le jugère et le journal</w:t>
      </w:r>
      <w:r w:rsidRPr="003B3476">
        <w:rPr>
          <w:bCs/>
          <w:i/>
        </w:rPr>
        <w:t xml:space="preserve">, </w:t>
      </w:r>
      <w:r w:rsidRPr="003B3476">
        <w:rPr>
          <w:i/>
          <w:lang w:val="fr-FR" w:eastAsia="fr-FR" w:bidi="fr-FR"/>
        </w:rPr>
        <w:t>Bullet. Soc. hist. Brie-Comte-Robert</w:t>
      </w:r>
      <w:r w:rsidRPr="003B3476">
        <w:rPr>
          <w:bCs/>
        </w:rPr>
        <w:t>, t. II (1801-03), p. 167-169.</w:t>
      </w:r>
    </w:p>
  </w:footnote>
  <w:footnote w:id="724">
    <w:p w14:paraId="6F7B11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faut rappeler l’existence de l’ouvrage, vieilli, mais encore utile d’Alfred </w:t>
      </w:r>
      <w:r w:rsidRPr="003B3476">
        <w:rPr>
          <w:rStyle w:val="Notedebasdepage65ptPetitesmajuscules"/>
          <w:b w:val="0"/>
          <w:sz w:val="24"/>
        </w:rPr>
        <w:t xml:space="preserve">Maury, </w:t>
      </w:r>
      <w:r w:rsidRPr="003B3476">
        <w:rPr>
          <w:bCs/>
          <w:i/>
        </w:rPr>
        <w:t>Les forêts de la Gaule et de l’ancienne France</w:t>
      </w:r>
      <w:r w:rsidRPr="003B3476">
        <w:rPr>
          <w:lang w:val="fr-FR" w:eastAsia="fr-FR" w:bidi="fr-FR"/>
        </w:rPr>
        <w:t xml:space="preserve">, in-8°, Paris, 1867, </w:t>
      </w:r>
      <w:r w:rsidRPr="003B3476">
        <w:rPr>
          <w:smallCaps/>
          <w:lang w:val="fr-FR" w:eastAsia="fr-FR" w:bidi="fr-FR"/>
        </w:rPr>
        <w:t>viii</w:t>
      </w:r>
      <w:r w:rsidRPr="003B3476">
        <w:rPr>
          <w:lang w:val="fr-FR" w:eastAsia="fr-FR" w:bidi="fr-FR"/>
        </w:rPr>
        <w:t xml:space="preserve"> + 501 p. (nouv. édition, augmentée, d’un mémoire paru en 1860 dans le t. IV, 2</w:t>
      </w:r>
      <w:r w:rsidRPr="003B3476">
        <w:rPr>
          <w:vertAlign w:val="superscript"/>
          <w:lang w:val="fr-FR" w:eastAsia="fr-FR" w:bidi="fr-FR"/>
        </w:rPr>
        <w:t>e</w:t>
      </w:r>
      <w:r w:rsidRPr="003B3476">
        <w:rPr>
          <w:lang w:val="fr-FR" w:eastAsia="fr-FR" w:bidi="fr-FR"/>
        </w:rPr>
        <w:t xml:space="preserve"> série des </w:t>
      </w:r>
      <w:r w:rsidRPr="003B3476">
        <w:rPr>
          <w:bCs/>
          <w:i/>
        </w:rPr>
        <w:t>Mém. présentés par divers savants à l’Acad. des Inscri</w:t>
      </w:r>
      <w:r w:rsidRPr="003B3476">
        <w:rPr>
          <w:bCs/>
          <w:i/>
        </w:rPr>
        <w:t>p</w:t>
      </w:r>
      <w:r w:rsidRPr="003B3476">
        <w:rPr>
          <w:bCs/>
          <w:i/>
        </w:rPr>
        <w:t>tions</w:t>
      </w:r>
      <w:r w:rsidRPr="003B3476">
        <w:rPr>
          <w:lang w:val="fr-FR" w:eastAsia="fr-FR" w:bidi="fr-FR"/>
        </w:rPr>
        <w:t xml:space="preserve">). On trouvera quelques indications sur les forêts de l’Île-de-France dans </w:t>
      </w:r>
      <w:r w:rsidRPr="003B3476">
        <w:rPr>
          <w:rStyle w:val="Notedebasdepage65ptPetitesmajuscules"/>
          <w:b w:val="0"/>
          <w:sz w:val="24"/>
        </w:rPr>
        <w:t xml:space="preserve">Daubrée, </w:t>
      </w:r>
      <w:r w:rsidRPr="003B3476">
        <w:rPr>
          <w:bCs/>
          <w:i/>
        </w:rPr>
        <w:t>La crue récente de la Seine dans ses rapports avec la question f</w:t>
      </w:r>
      <w:r w:rsidRPr="003B3476">
        <w:rPr>
          <w:bCs/>
          <w:i/>
        </w:rPr>
        <w:t>o</w:t>
      </w:r>
      <w:r w:rsidRPr="003B3476">
        <w:rPr>
          <w:bCs/>
          <w:i/>
        </w:rPr>
        <w:t>restière, Mini</w:t>
      </w:r>
      <w:r w:rsidRPr="003B3476">
        <w:rPr>
          <w:bCs/>
          <w:i/>
        </w:rPr>
        <w:t>s</w:t>
      </w:r>
      <w:r w:rsidRPr="003B3476">
        <w:rPr>
          <w:bCs/>
          <w:i/>
        </w:rPr>
        <w:t>tère de l’Intérieur. Commission des inondations. Rapports et documents d</w:t>
      </w:r>
      <w:r w:rsidRPr="003B3476">
        <w:rPr>
          <w:bCs/>
          <w:i/>
        </w:rPr>
        <w:t>i</w:t>
      </w:r>
      <w:r w:rsidRPr="003B3476">
        <w:rPr>
          <w:bCs/>
          <w:i/>
        </w:rPr>
        <w:t>vers</w:t>
      </w:r>
      <w:r w:rsidRPr="003B3476">
        <w:rPr>
          <w:lang w:val="fr-FR" w:eastAsia="fr-FR" w:bidi="fr-FR"/>
        </w:rPr>
        <w:t>, in-4°, Paris, 1910, p. 501-524.</w:t>
      </w:r>
    </w:p>
  </w:footnote>
  <w:footnote w:id="725">
    <w:p w14:paraId="5F521B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 de </w:t>
      </w:r>
      <w:r w:rsidRPr="003B3476">
        <w:rPr>
          <w:rStyle w:val="Notedebasdepage65ptPetitesmajuscules"/>
          <w:b w:val="0"/>
          <w:sz w:val="24"/>
        </w:rPr>
        <w:t xml:space="preserve">Maulde, </w:t>
      </w:r>
      <w:r w:rsidRPr="003B3476">
        <w:rPr>
          <w:i/>
        </w:rPr>
        <w:t>Étude sur la condition forestière de l’Orléanais au Moyen Âge et à la Renaissance</w:t>
      </w:r>
      <w:r w:rsidRPr="003B3476">
        <w:rPr>
          <w:lang w:val="fr-FR" w:eastAsia="fr-FR" w:bidi="fr-FR"/>
        </w:rPr>
        <w:t xml:space="preserve">, in-8°, Orléans, s. d., </w:t>
      </w:r>
      <w:r w:rsidRPr="003B3476">
        <w:rPr>
          <w:smallCaps/>
          <w:lang w:val="fr-FR" w:eastAsia="fr-FR" w:bidi="fr-FR"/>
        </w:rPr>
        <w:t>xi</w:t>
      </w:r>
      <w:r w:rsidRPr="003B3476">
        <w:rPr>
          <w:lang w:val="fr-FR" w:eastAsia="fr-FR" w:bidi="fr-FR"/>
        </w:rPr>
        <w:t xml:space="preserve"> + 532 p. (</w:t>
      </w:r>
      <w:r w:rsidRPr="003B3476">
        <w:rPr>
          <w:i/>
          <w:lang w:val="fr-FR" w:eastAsia="fr-FR" w:bidi="fr-FR"/>
        </w:rPr>
        <w:t>cf.</w:t>
      </w:r>
      <w:r w:rsidRPr="003B3476">
        <w:rPr>
          <w:lang w:val="fr-FR" w:eastAsia="fr-FR" w:bidi="fr-FR"/>
        </w:rPr>
        <w:t xml:space="preserve"> pour l’identification des noms des lieux, Aug. </w:t>
      </w:r>
      <w:r w:rsidRPr="003B3476">
        <w:rPr>
          <w:rStyle w:val="Notedebasdepage65ptPetitesmajuscules"/>
          <w:b w:val="0"/>
          <w:sz w:val="24"/>
        </w:rPr>
        <w:t xml:space="preserve">Longnon, </w:t>
      </w:r>
      <w:r w:rsidRPr="003B3476">
        <w:rPr>
          <w:i/>
        </w:rPr>
        <w:t>Rev. critique</w:t>
      </w:r>
      <w:r w:rsidRPr="003B3476">
        <w:rPr>
          <w:lang w:val="fr-FR" w:eastAsia="fr-FR" w:bidi="fr-FR"/>
        </w:rPr>
        <w:t xml:space="preserve">, 1873 </w:t>
      </w:r>
      <w:r w:rsidRPr="003B3476">
        <w:rPr>
          <w:rStyle w:val="Notedebasdepage65ptPetitesmajuscules"/>
          <w:b w:val="0"/>
          <w:sz w:val="24"/>
        </w:rPr>
        <w:t xml:space="preserve">ii, </w:t>
      </w:r>
      <w:r w:rsidRPr="003B3476">
        <w:rPr>
          <w:lang w:val="fr-FR" w:eastAsia="fr-FR" w:bidi="fr-FR"/>
        </w:rPr>
        <w:t xml:space="preserve">p. 264-267) ; Paul </w:t>
      </w:r>
      <w:r w:rsidRPr="003B3476">
        <w:rPr>
          <w:rStyle w:val="Notedebasdepage65ptPetitesmajuscules"/>
          <w:b w:val="0"/>
          <w:sz w:val="24"/>
        </w:rPr>
        <w:t>Domet</w:t>
      </w:r>
      <w:r w:rsidRPr="003B3476">
        <w:rPr>
          <w:rStyle w:val="Notedebasdepage65ptPetitesmajuscules"/>
          <w:b w:val="0"/>
          <w:i/>
          <w:sz w:val="24"/>
        </w:rPr>
        <w:t xml:space="preserve">, </w:t>
      </w:r>
      <w:r w:rsidRPr="003B3476">
        <w:rPr>
          <w:i/>
        </w:rPr>
        <w:t>Hi</w:t>
      </w:r>
      <w:r w:rsidRPr="003B3476">
        <w:rPr>
          <w:i/>
        </w:rPr>
        <w:t>s</w:t>
      </w:r>
      <w:r w:rsidRPr="003B3476">
        <w:rPr>
          <w:i/>
        </w:rPr>
        <w:t>toire de la forêt d'Orléans</w:t>
      </w:r>
      <w:r w:rsidRPr="003B3476">
        <w:t xml:space="preserve">, </w:t>
      </w:r>
      <w:r w:rsidRPr="003B3476">
        <w:rPr>
          <w:lang w:val="fr-FR" w:eastAsia="fr-FR" w:bidi="fr-FR"/>
        </w:rPr>
        <w:t>in-12, Orléans, 1892.</w:t>
      </w:r>
    </w:p>
  </w:footnote>
  <w:footnote w:id="726">
    <w:p w14:paraId="6BF9716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Paul </w:t>
      </w:r>
      <w:r w:rsidRPr="003B3476">
        <w:rPr>
          <w:bCs/>
          <w:smallCaps/>
        </w:rPr>
        <w:t>Domet</w:t>
      </w:r>
      <w:r w:rsidRPr="003B3476">
        <w:rPr>
          <w:bCs/>
        </w:rPr>
        <w:t xml:space="preserve">, </w:t>
      </w:r>
      <w:r w:rsidRPr="003B3476">
        <w:rPr>
          <w:bCs/>
          <w:i/>
        </w:rPr>
        <w:t>Histoire de la forêt de Fontainebleau</w:t>
      </w:r>
      <w:r w:rsidRPr="003B3476">
        <w:rPr>
          <w:bCs/>
        </w:rPr>
        <w:t xml:space="preserve">, </w:t>
      </w:r>
      <w:r w:rsidRPr="003B3476">
        <w:rPr>
          <w:lang w:val="fr-FR" w:eastAsia="fr-FR" w:bidi="fr-FR"/>
        </w:rPr>
        <w:t xml:space="preserve">in-16, Paris, 1873, </w:t>
      </w:r>
      <w:r w:rsidRPr="003B3476">
        <w:rPr>
          <w:smallCaps/>
          <w:lang w:val="fr-FR" w:eastAsia="fr-FR" w:bidi="fr-FR"/>
        </w:rPr>
        <w:t>iii</w:t>
      </w:r>
      <w:r w:rsidRPr="003B3476">
        <w:rPr>
          <w:bCs/>
        </w:rPr>
        <w:t xml:space="preserve"> + </w:t>
      </w:r>
      <w:r w:rsidRPr="003B3476">
        <w:rPr>
          <w:lang w:val="fr-FR" w:eastAsia="fr-FR" w:bidi="fr-FR"/>
        </w:rPr>
        <w:t xml:space="preserve">404 p., — livre bien insuffisant ; on tirera peu de choses de Félix </w:t>
      </w:r>
      <w:r w:rsidRPr="003B3476">
        <w:rPr>
          <w:bCs/>
          <w:smallCaps/>
        </w:rPr>
        <w:t>Herbert</w:t>
      </w:r>
      <w:r w:rsidRPr="003B3476">
        <w:rPr>
          <w:bCs/>
        </w:rPr>
        <w:t xml:space="preserve">, </w:t>
      </w:r>
      <w:r w:rsidRPr="003B3476">
        <w:rPr>
          <w:bCs/>
          <w:i/>
        </w:rPr>
        <w:t>Dictionnaire historique et artistique de la forêt de Fontainebleau</w:t>
      </w:r>
      <w:r w:rsidRPr="003B3476">
        <w:rPr>
          <w:lang w:val="fr-FR" w:eastAsia="fr-FR" w:bidi="fr-FR"/>
        </w:rPr>
        <w:t>, in-8°, Fo</w:t>
      </w:r>
      <w:r w:rsidRPr="003B3476">
        <w:rPr>
          <w:lang w:val="fr-FR" w:eastAsia="fr-FR" w:bidi="fr-FR"/>
        </w:rPr>
        <w:t>n</w:t>
      </w:r>
      <w:r w:rsidRPr="003B3476">
        <w:rPr>
          <w:lang w:val="fr-FR" w:eastAsia="fr-FR" w:bidi="fr-FR"/>
        </w:rPr>
        <w:t xml:space="preserve">tainebleau, 1903, </w:t>
      </w:r>
      <w:r w:rsidRPr="003B3476">
        <w:rPr>
          <w:smallCaps/>
          <w:lang w:val="fr-FR" w:eastAsia="fr-FR" w:bidi="fr-FR"/>
        </w:rPr>
        <w:t>xx</w:t>
      </w:r>
      <w:r w:rsidRPr="003B3476">
        <w:rPr>
          <w:lang w:val="fr-FR" w:eastAsia="fr-FR" w:bidi="fr-FR"/>
        </w:rPr>
        <w:t xml:space="preserve"> + 522 p. et de Émile </w:t>
      </w:r>
      <w:r w:rsidRPr="003B3476">
        <w:rPr>
          <w:bCs/>
          <w:smallCaps/>
        </w:rPr>
        <w:t>Michel</w:t>
      </w:r>
      <w:r w:rsidRPr="003B3476">
        <w:rPr>
          <w:bCs/>
        </w:rPr>
        <w:t xml:space="preserve">, </w:t>
      </w:r>
      <w:r w:rsidRPr="003B3476">
        <w:rPr>
          <w:bCs/>
          <w:i/>
        </w:rPr>
        <w:t>La forêt de Fontainebleau dans l'histoire, dans la littérature et dans l'art</w:t>
      </w:r>
      <w:r w:rsidRPr="003B3476">
        <w:rPr>
          <w:lang w:val="fr-FR" w:eastAsia="fr-FR" w:bidi="fr-FR"/>
        </w:rPr>
        <w:t xml:space="preserve">, in-8°, Paris, [1909], </w:t>
      </w:r>
      <w:r w:rsidRPr="003B3476">
        <w:rPr>
          <w:smallCaps/>
          <w:lang w:val="fr-FR" w:eastAsia="fr-FR" w:bidi="fr-FR"/>
        </w:rPr>
        <w:t>viii</w:t>
      </w:r>
      <w:r w:rsidRPr="003B3476">
        <w:rPr>
          <w:lang w:val="fr-FR" w:eastAsia="fr-FR" w:bidi="fr-FR"/>
        </w:rPr>
        <w:t xml:space="preserve"> + 260 p.</w:t>
      </w:r>
    </w:p>
  </w:footnote>
  <w:footnote w:id="727">
    <w:p w14:paraId="5B807E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Gaston </w:t>
      </w:r>
      <w:r w:rsidRPr="003B3476">
        <w:rPr>
          <w:rStyle w:val="Notedebasdepage265ptNonItaliquePetitesmajuscules"/>
          <w:b w:val="0"/>
          <w:iCs/>
          <w:sz w:val="24"/>
        </w:rPr>
        <w:t>Duchesne</w:t>
      </w:r>
      <w:r w:rsidRPr="003B3476">
        <w:rPr>
          <w:rStyle w:val="Notedebasdepage265ptNonItaliquePetitesmajuscules"/>
          <w:b w:val="0"/>
          <w:i/>
          <w:iCs/>
          <w:sz w:val="24"/>
        </w:rPr>
        <w:t xml:space="preserve">, </w:t>
      </w:r>
      <w:r w:rsidRPr="003B3476">
        <w:rPr>
          <w:i/>
          <w:lang w:val="fr-FR" w:eastAsia="fr-FR" w:bidi="fr-FR"/>
        </w:rPr>
        <w:t>La forêt de Rouvray, Bullet. Soc. histor. d'Auteuil et de Passy</w:t>
      </w:r>
      <w:r w:rsidRPr="003B3476">
        <w:rPr>
          <w:lang w:val="fr-FR" w:eastAsia="fr-FR" w:bidi="fr-FR"/>
        </w:rPr>
        <w:t>,</w:t>
      </w:r>
      <w:r w:rsidRPr="003B3476">
        <w:t xml:space="preserve"> t. II (1895-1897), p. 170-172, et t. III (1898-1900), p. 8-11. </w:t>
      </w:r>
      <w:r w:rsidRPr="003B3476">
        <w:rPr>
          <w:i/>
          <w:lang w:val="fr-FR" w:eastAsia="fr-FR" w:bidi="fr-FR"/>
        </w:rPr>
        <w:t>Cf.</w:t>
      </w:r>
      <w:r w:rsidRPr="003B3476">
        <w:t xml:space="preserve"> Rose </w:t>
      </w:r>
      <w:r w:rsidRPr="003B3476">
        <w:rPr>
          <w:rStyle w:val="Notedebasdepage265ptNonItaliquePetitesmajuscules"/>
          <w:b w:val="0"/>
          <w:i/>
          <w:iCs/>
          <w:sz w:val="24"/>
        </w:rPr>
        <w:t xml:space="preserve">Cochod-Laverge, </w:t>
      </w:r>
      <w:r w:rsidRPr="003B3476">
        <w:rPr>
          <w:i/>
          <w:lang w:val="fr-FR" w:eastAsia="fr-FR" w:bidi="fr-FR"/>
        </w:rPr>
        <w:t>Le bois de Boulogne pendant la Révolution</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t xml:space="preserve"> t. III, p. 11-15.</w:t>
      </w:r>
    </w:p>
  </w:footnote>
  <w:footnote w:id="728">
    <w:p w14:paraId="6B8D0D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7ptNonItalique"/>
          <w:b w:val="0"/>
          <w:i w:val="0"/>
          <w:iCs w:val="0"/>
          <w:sz w:val="24"/>
        </w:rPr>
        <w:t xml:space="preserve">L. </w:t>
      </w:r>
      <w:r w:rsidRPr="003B3476">
        <w:rPr>
          <w:rStyle w:val="Notedebasdepage265ptNonItalique"/>
          <w:b w:val="0"/>
          <w:iCs/>
          <w:smallCaps/>
          <w:sz w:val="24"/>
        </w:rPr>
        <w:t>Plancouard</w:t>
      </w:r>
      <w:r w:rsidRPr="003B3476">
        <w:rPr>
          <w:rStyle w:val="Notedebasdepage265ptNonItalique"/>
          <w:b w:val="0"/>
          <w:i/>
          <w:iCs/>
          <w:sz w:val="24"/>
        </w:rPr>
        <w:t xml:space="preserve">, </w:t>
      </w:r>
      <w:r w:rsidRPr="003B3476">
        <w:rPr>
          <w:i/>
          <w:lang w:val="fr-FR" w:eastAsia="fr-FR" w:bidi="fr-FR"/>
        </w:rPr>
        <w:t>La forêt royale d'Artie en Vexin délimitée comparativement au XV</w:t>
      </w:r>
      <w:r w:rsidRPr="003B3476">
        <w:rPr>
          <w:i/>
          <w:vertAlign w:val="superscript"/>
          <w:lang w:val="fr-FR" w:eastAsia="fr-FR" w:bidi="fr-FR"/>
        </w:rPr>
        <w:t>e</w:t>
      </w:r>
      <w:r w:rsidRPr="003B3476">
        <w:rPr>
          <w:i/>
          <w:lang w:val="fr-FR" w:eastAsia="fr-FR" w:bidi="fr-FR"/>
        </w:rPr>
        <w:t xml:space="preserve"> siècle et à l'époque actuelle, Bullet. géogr. histor. et descript.</w:t>
      </w:r>
      <w:r w:rsidRPr="003B3476">
        <w:rPr>
          <w:lang w:val="fr-FR" w:eastAsia="fr-FR" w:bidi="fr-FR"/>
        </w:rPr>
        <w:t>,</w:t>
      </w:r>
      <w:r w:rsidRPr="003B3476">
        <w:rPr>
          <w:bCs/>
        </w:rPr>
        <w:t xml:space="preserve"> 1895, p. 339-378.</w:t>
      </w:r>
    </w:p>
  </w:footnote>
  <w:footnote w:id="729">
    <w:p w14:paraId="1D52C78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 </w:t>
      </w:r>
      <w:r w:rsidRPr="003B3476">
        <w:rPr>
          <w:rStyle w:val="Notedebasdepage265ptNonItaliquePetitesmajuscules"/>
          <w:b w:val="0"/>
          <w:iCs/>
          <w:sz w:val="24"/>
        </w:rPr>
        <w:t>Guillemot</w:t>
      </w:r>
      <w:r w:rsidRPr="003B3476">
        <w:rPr>
          <w:rStyle w:val="Notedebasdepage265ptNonItaliquePetitesmajuscules"/>
          <w:b w:val="0"/>
          <w:i/>
          <w:iCs/>
          <w:sz w:val="24"/>
        </w:rPr>
        <w:t xml:space="preserve">, </w:t>
      </w:r>
      <w:r w:rsidRPr="003B3476">
        <w:rPr>
          <w:i/>
          <w:lang w:val="fr-FR" w:eastAsia="fr-FR" w:bidi="fr-FR"/>
        </w:rPr>
        <w:t>Les forêts de Senlis. Étude sur le régime des forêts de Halla</w:t>
      </w:r>
      <w:r w:rsidRPr="003B3476">
        <w:rPr>
          <w:i/>
          <w:lang w:val="fr-FR" w:eastAsia="fr-FR" w:bidi="fr-FR"/>
        </w:rPr>
        <w:t>t</w:t>
      </w:r>
      <w:r w:rsidRPr="003B3476">
        <w:rPr>
          <w:i/>
          <w:lang w:val="fr-FR" w:eastAsia="fr-FR" w:bidi="fr-FR"/>
        </w:rPr>
        <w:t>te, de Chantilly et d'Ermenonville, au Moyen Âge et jusqu'à la Révolution, Mém. Soc. hist. Paris</w:t>
      </w:r>
      <w:r w:rsidRPr="003B3476">
        <w:rPr>
          <w:lang w:val="fr-FR" w:eastAsia="fr-FR" w:bidi="fr-FR"/>
        </w:rPr>
        <w:t>,</w:t>
      </w:r>
      <w:r w:rsidRPr="003B3476">
        <w:rPr>
          <w:bCs/>
        </w:rPr>
        <w:t xml:space="preserve"> </w:t>
      </w:r>
      <w:r w:rsidRPr="003B3476">
        <w:rPr>
          <w:rStyle w:val="Notedebasdepage265ptNonItalique"/>
          <w:b w:val="0"/>
          <w:i/>
          <w:iCs/>
          <w:sz w:val="24"/>
        </w:rPr>
        <w:t xml:space="preserve">t. </w:t>
      </w:r>
      <w:r w:rsidRPr="003B3476">
        <w:rPr>
          <w:bCs/>
        </w:rPr>
        <w:t xml:space="preserve">XXXIII </w:t>
      </w:r>
      <w:r w:rsidRPr="003B3476">
        <w:rPr>
          <w:rStyle w:val="Notedebasdepage265ptNonItalique"/>
          <w:b w:val="0"/>
          <w:i/>
          <w:iCs/>
          <w:sz w:val="24"/>
        </w:rPr>
        <w:t>(1905), p. 89-97 ;</w:t>
      </w:r>
      <w:r w:rsidRPr="003B3476">
        <w:rPr>
          <w:bCs/>
        </w:rPr>
        <w:t xml:space="preserve"> G. </w:t>
      </w:r>
      <w:r w:rsidRPr="003B3476">
        <w:rPr>
          <w:rStyle w:val="Notedebasdepage265ptNonItaliquePetitesmajuscules"/>
          <w:b w:val="0"/>
          <w:i/>
          <w:iCs/>
          <w:sz w:val="24"/>
        </w:rPr>
        <w:t xml:space="preserve">Maçon, </w:t>
      </w:r>
      <w:r w:rsidRPr="003B3476">
        <w:rPr>
          <w:i/>
          <w:lang w:val="fr-FR" w:eastAsia="fr-FR" w:bidi="fr-FR"/>
        </w:rPr>
        <w:t>Historique du doma</w:t>
      </w:r>
      <w:r w:rsidRPr="003B3476">
        <w:rPr>
          <w:i/>
          <w:lang w:val="fr-FR" w:eastAsia="fr-FR" w:bidi="fr-FR"/>
        </w:rPr>
        <w:t>i</w:t>
      </w:r>
      <w:r w:rsidRPr="003B3476">
        <w:rPr>
          <w:i/>
          <w:lang w:val="fr-FR" w:eastAsia="fr-FR" w:bidi="fr-FR"/>
        </w:rPr>
        <w:t>ne forestier de Chantilly</w:t>
      </w:r>
      <w:r w:rsidRPr="003B3476">
        <w:rPr>
          <w:lang w:val="fr-FR" w:eastAsia="fr-FR" w:bidi="fr-FR"/>
        </w:rPr>
        <w:t>,</w:t>
      </w:r>
      <w:r w:rsidRPr="003B3476">
        <w:rPr>
          <w:bCs/>
        </w:rPr>
        <w:t xml:space="preserve"> </w:t>
      </w:r>
      <w:r w:rsidRPr="003B3476">
        <w:rPr>
          <w:rStyle w:val="Notedebasdepage265ptNonItalique"/>
          <w:b w:val="0"/>
          <w:i/>
          <w:iCs/>
          <w:sz w:val="24"/>
        </w:rPr>
        <w:t>2 vol. in-8°, Senlis, 1905-06, 139 et 155 p.</w:t>
      </w:r>
    </w:p>
  </w:footnote>
  <w:footnote w:id="730">
    <w:p w14:paraId="0BBDF8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65ptNonItaliquePetitesmajuscules"/>
          <w:b w:val="0"/>
          <w:iCs/>
          <w:sz w:val="24"/>
        </w:rPr>
        <w:t>Melaye</w:t>
      </w:r>
      <w:r w:rsidRPr="003B3476">
        <w:rPr>
          <w:rStyle w:val="Notedebasdepage265ptNonItaliquePetitesmajuscules"/>
          <w:b w:val="0"/>
          <w:i/>
          <w:iCs/>
          <w:sz w:val="24"/>
        </w:rPr>
        <w:t xml:space="preserve">, </w:t>
      </w:r>
      <w:r w:rsidRPr="003B3476">
        <w:rPr>
          <w:i/>
          <w:lang w:val="fr-FR" w:eastAsia="fr-FR" w:bidi="fr-FR"/>
        </w:rPr>
        <w:t>La forêt de Montgé en 1778</w:t>
      </w:r>
      <w:r w:rsidRPr="003B3476">
        <w:rPr>
          <w:rStyle w:val="Notedebasdepage265ptNonItalique"/>
          <w:b w:val="0"/>
          <w:i/>
          <w:iCs/>
          <w:sz w:val="24"/>
        </w:rPr>
        <w:t xml:space="preserve">, </w:t>
      </w:r>
      <w:r w:rsidRPr="003B3476">
        <w:rPr>
          <w:i/>
          <w:lang w:val="fr-FR" w:eastAsia="fr-FR" w:bidi="fr-FR"/>
        </w:rPr>
        <w:t>Bullet. Soc. de la Brie</w:t>
      </w:r>
      <w:r w:rsidRPr="003B3476">
        <w:rPr>
          <w:lang w:val="fr-FR" w:eastAsia="fr-FR" w:bidi="fr-FR"/>
        </w:rPr>
        <w:t>,</w:t>
      </w:r>
      <w:r w:rsidRPr="003B3476">
        <w:rPr>
          <w:bCs/>
        </w:rPr>
        <w:t xml:space="preserve"> </w:t>
      </w:r>
      <w:r w:rsidRPr="003B3476">
        <w:rPr>
          <w:rStyle w:val="Notedebasdepage265ptNonItalique"/>
          <w:b w:val="0"/>
          <w:i/>
          <w:iCs/>
          <w:sz w:val="24"/>
        </w:rPr>
        <w:t xml:space="preserve">t. </w:t>
      </w:r>
      <w:r w:rsidRPr="003B3476">
        <w:rPr>
          <w:bCs/>
        </w:rPr>
        <w:t xml:space="preserve">IV </w:t>
      </w:r>
      <w:r w:rsidRPr="003B3476">
        <w:rPr>
          <w:rStyle w:val="Notedebasdepage265ptNonItalique"/>
          <w:b w:val="0"/>
          <w:i/>
          <w:iCs/>
          <w:sz w:val="24"/>
        </w:rPr>
        <w:t>(1907), fasc. 5.</w:t>
      </w:r>
    </w:p>
  </w:footnote>
  <w:footnote w:id="731">
    <w:p w14:paraId="11F66B3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 </w:t>
      </w:r>
      <w:r w:rsidRPr="003B3476">
        <w:rPr>
          <w:rStyle w:val="Notedebasdepage265ptNonItaliquePetitesmajuscules"/>
          <w:b w:val="0"/>
          <w:iCs/>
          <w:sz w:val="24"/>
        </w:rPr>
        <w:t>Rethoré</w:t>
      </w:r>
      <w:r w:rsidRPr="003B3476">
        <w:rPr>
          <w:rStyle w:val="Notedebasdepage265ptNonItaliquePetitesmajuscules"/>
          <w:b w:val="0"/>
          <w:i/>
          <w:iCs/>
          <w:sz w:val="24"/>
        </w:rPr>
        <w:t xml:space="preserve">, </w:t>
      </w:r>
      <w:r w:rsidRPr="003B3476">
        <w:rPr>
          <w:i/>
          <w:lang w:val="fr-FR" w:eastAsia="fr-FR" w:bidi="fr-FR"/>
        </w:rPr>
        <w:t>La forêt du Mans, Almanach hist. Seine-et-Marne</w:t>
      </w:r>
      <w:r w:rsidRPr="003B3476">
        <w:rPr>
          <w:lang w:val="fr-FR" w:eastAsia="fr-FR" w:bidi="fr-FR"/>
        </w:rPr>
        <w:t>,</w:t>
      </w:r>
      <w:r w:rsidRPr="003B3476">
        <w:rPr>
          <w:bCs/>
        </w:rPr>
        <w:t xml:space="preserve"> </w:t>
      </w:r>
      <w:r w:rsidRPr="003B3476">
        <w:rPr>
          <w:rStyle w:val="Notedebasdepage265ptNonItalique"/>
          <w:b w:val="0"/>
          <w:i/>
          <w:iCs/>
          <w:sz w:val="24"/>
        </w:rPr>
        <w:t xml:space="preserve">années </w:t>
      </w:r>
      <w:r w:rsidRPr="003B3476">
        <w:rPr>
          <w:bCs/>
        </w:rPr>
        <w:t xml:space="preserve">1887 </w:t>
      </w:r>
      <w:r w:rsidRPr="003B3476">
        <w:rPr>
          <w:rStyle w:val="Notedebasdepage265ptNonItalique"/>
          <w:b w:val="0"/>
          <w:i/>
          <w:iCs/>
          <w:sz w:val="24"/>
        </w:rPr>
        <w:t xml:space="preserve">à </w:t>
      </w:r>
      <w:r w:rsidRPr="003B3476">
        <w:rPr>
          <w:bCs/>
        </w:rPr>
        <w:t xml:space="preserve">1896 ; </w:t>
      </w:r>
      <w:r w:rsidRPr="003B3476">
        <w:rPr>
          <w:rStyle w:val="Notedebasdepage265ptNonItalique"/>
          <w:b w:val="0"/>
          <w:i/>
          <w:iCs/>
          <w:sz w:val="24"/>
        </w:rPr>
        <w:t xml:space="preserve">pour une autre forêt briarde, voir </w:t>
      </w:r>
      <w:r w:rsidRPr="003B3476">
        <w:rPr>
          <w:bCs/>
        </w:rPr>
        <w:t xml:space="preserve">J. </w:t>
      </w:r>
      <w:r w:rsidRPr="003B3476">
        <w:rPr>
          <w:rStyle w:val="Notedebasdepage265ptNonItaliquePetitesmajuscules"/>
          <w:b w:val="0"/>
          <w:i/>
          <w:iCs/>
          <w:sz w:val="24"/>
        </w:rPr>
        <w:t xml:space="preserve">Fortin, </w:t>
      </w:r>
      <w:r w:rsidRPr="003B3476">
        <w:rPr>
          <w:i/>
          <w:lang w:val="fr-FR" w:eastAsia="fr-FR" w:bidi="fr-FR"/>
        </w:rPr>
        <w:t>La forêt de Beaulieu, près Melun, Saint-Leu, Saint-Assise et le Larré</w:t>
      </w:r>
      <w:r w:rsidRPr="003B3476">
        <w:rPr>
          <w:lang w:val="fr-FR" w:eastAsia="fr-FR" w:bidi="fr-FR"/>
        </w:rPr>
        <w:t xml:space="preserve">, </w:t>
      </w:r>
      <w:r w:rsidRPr="003B3476">
        <w:rPr>
          <w:i/>
          <w:lang w:val="fr-FR" w:eastAsia="fr-FR" w:bidi="fr-FR"/>
        </w:rPr>
        <w:t>Bullet. Commiss. histor. dioc. Meaux</w:t>
      </w:r>
      <w:r w:rsidRPr="003B3476">
        <w:rPr>
          <w:lang w:val="fr-FR" w:eastAsia="fr-FR" w:bidi="fr-FR"/>
        </w:rPr>
        <w:t>,</w:t>
      </w:r>
      <w:r w:rsidRPr="003B3476">
        <w:rPr>
          <w:bCs/>
        </w:rPr>
        <w:t xml:space="preserve"> </w:t>
      </w:r>
      <w:r w:rsidRPr="003B3476">
        <w:rPr>
          <w:rStyle w:val="Notedebasdepage265ptNonItalique"/>
          <w:b w:val="0"/>
          <w:i/>
          <w:iCs/>
          <w:sz w:val="24"/>
        </w:rPr>
        <w:t xml:space="preserve">t. </w:t>
      </w:r>
      <w:r w:rsidRPr="003B3476">
        <w:rPr>
          <w:bCs/>
        </w:rPr>
        <w:t xml:space="preserve">II (1899-1901), </w:t>
      </w:r>
      <w:r w:rsidRPr="003B3476">
        <w:rPr>
          <w:rStyle w:val="Notedebasdepage265ptNonItalique"/>
          <w:b w:val="0"/>
          <w:i/>
          <w:iCs/>
          <w:sz w:val="24"/>
        </w:rPr>
        <w:t xml:space="preserve">p. </w:t>
      </w:r>
      <w:r w:rsidRPr="003B3476">
        <w:rPr>
          <w:bCs/>
        </w:rPr>
        <w:t>524-545.</w:t>
      </w:r>
    </w:p>
  </w:footnote>
  <w:footnote w:id="732">
    <w:p w14:paraId="357BAC7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G. </w:t>
      </w:r>
      <w:r w:rsidRPr="003B3476">
        <w:rPr>
          <w:rStyle w:val="Notedebasdepage265ptNonItaliquePetitesmajuscules"/>
          <w:b w:val="0"/>
          <w:iCs/>
          <w:sz w:val="24"/>
        </w:rPr>
        <w:t>Leroy</w:t>
      </w:r>
      <w:r w:rsidRPr="003B3476">
        <w:rPr>
          <w:rStyle w:val="Notedebasdepage265ptNonItaliquePetitesmajuscules"/>
          <w:b w:val="0"/>
          <w:i/>
          <w:iCs/>
          <w:sz w:val="24"/>
        </w:rPr>
        <w:t xml:space="preserve">, </w:t>
      </w:r>
      <w:r w:rsidRPr="003B3476">
        <w:rPr>
          <w:i/>
          <w:lang w:val="fr-FR" w:eastAsia="fr-FR" w:bidi="fr-FR"/>
        </w:rPr>
        <w:t>Recherches historiques sur l'agriculture de Seine-et-Marne, aux XVII</w:t>
      </w:r>
      <w:r w:rsidRPr="003B3476">
        <w:rPr>
          <w:i/>
          <w:vertAlign w:val="superscript"/>
          <w:lang w:val="fr-FR" w:eastAsia="fr-FR" w:bidi="fr-FR"/>
        </w:rPr>
        <w:t>e</w:t>
      </w:r>
      <w:r w:rsidRPr="003B3476">
        <w:rPr>
          <w:i/>
          <w:lang w:val="fr-FR" w:eastAsia="fr-FR" w:bidi="fr-FR"/>
        </w:rPr>
        <w:t xml:space="preserve"> et XVIII</w:t>
      </w:r>
      <w:r w:rsidRPr="003B3476">
        <w:rPr>
          <w:i/>
          <w:vertAlign w:val="superscript"/>
          <w:lang w:val="fr-FR" w:eastAsia="fr-FR" w:bidi="fr-FR"/>
        </w:rPr>
        <w:t>e</w:t>
      </w:r>
      <w:r w:rsidRPr="003B3476">
        <w:rPr>
          <w:i/>
          <w:lang w:val="fr-FR" w:eastAsia="fr-FR" w:bidi="fr-FR"/>
        </w:rPr>
        <w:t xml:space="preserve"> siècles</w:t>
      </w:r>
      <w:r w:rsidRPr="003B3476">
        <w:rPr>
          <w:lang w:val="fr-FR" w:eastAsia="fr-FR" w:bidi="fr-FR"/>
        </w:rPr>
        <w:t xml:space="preserve">, </w:t>
      </w:r>
      <w:r w:rsidRPr="003B3476">
        <w:rPr>
          <w:i/>
          <w:lang w:val="fr-FR" w:eastAsia="fr-FR" w:bidi="fr-FR"/>
        </w:rPr>
        <w:t>Bullet. Soc. archéol. S.-et-Marne</w:t>
      </w:r>
      <w:r w:rsidRPr="003B3476">
        <w:rPr>
          <w:lang w:val="fr-FR" w:eastAsia="fr-FR" w:bidi="fr-FR"/>
        </w:rPr>
        <w:t>,</w:t>
      </w:r>
      <w:r w:rsidRPr="003B3476">
        <w:rPr>
          <w:bCs/>
        </w:rPr>
        <w:t xml:space="preserve"> t. V (1869), p. 361-453.</w:t>
      </w:r>
    </w:p>
  </w:footnote>
  <w:footnote w:id="733">
    <w:p w14:paraId="6495284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In-8°, Meaux, 1880, 376 </w:t>
      </w:r>
      <w:r w:rsidRPr="003B3476">
        <w:rPr>
          <w:bCs/>
        </w:rPr>
        <w:t xml:space="preserve">p. </w:t>
      </w:r>
      <w:r w:rsidRPr="003B3476">
        <w:rPr>
          <w:lang w:val="fr-FR" w:eastAsia="fr-FR" w:bidi="fr-FR"/>
        </w:rPr>
        <w:t xml:space="preserve">Une seule </w:t>
      </w:r>
      <w:r w:rsidRPr="003B3476">
        <w:rPr>
          <w:bCs/>
        </w:rPr>
        <w:t>« </w:t>
      </w:r>
      <w:r w:rsidRPr="003B3476">
        <w:rPr>
          <w:lang w:val="fr-FR" w:eastAsia="fr-FR" w:bidi="fr-FR"/>
        </w:rPr>
        <w:t>lecture »</w:t>
      </w:r>
      <w:r w:rsidRPr="003B3476">
        <w:rPr>
          <w:bCs/>
        </w:rPr>
        <w:t xml:space="preserve"> </w:t>
      </w:r>
      <w:r w:rsidRPr="003B3476">
        <w:rPr>
          <w:lang w:val="fr-FR" w:eastAsia="fr-FR" w:bidi="fr-FR"/>
        </w:rPr>
        <w:t>concerne la période post</w:t>
      </w:r>
      <w:r w:rsidRPr="003B3476">
        <w:rPr>
          <w:lang w:val="fr-FR" w:eastAsia="fr-FR" w:bidi="fr-FR"/>
        </w:rPr>
        <w:t>é</w:t>
      </w:r>
      <w:r w:rsidRPr="003B3476">
        <w:rPr>
          <w:lang w:val="fr-FR" w:eastAsia="fr-FR" w:bidi="fr-FR"/>
        </w:rPr>
        <w:t xml:space="preserve">rieure </w:t>
      </w:r>
      <w:r w:rsidRPr="003B3476">
        <w:rPr>
          <w:bCs/>
        </w:rPr>
        <w:t xml:space="preserve">à </w:t>
      </w:r>
      <w:r w:rsidRPr="003B3476">
        <w:rPr>
          <w:lang w:val="fr-FR" w:eastAsia="fr-FR" w:bidi="fr-FR"/>
        </w:rPr>
        <w:t>la Révolution.</w:t>
      </w:r>
    </w:p>
  </w:footnote>
  <w:footnote w:id="734">
    <w:p w14:paraId="49360E3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In-8°, </w:t>
      </w:r>
      <w:r w:rsidRPr="0049721E">
        <w:rPr>
          <w:lang w:val="fr-FR" w:eastAsia="fr-FR" w:bidi="fr-FR"/>
        </w:rPr>
        <w:t xml:space="preserve">Paris, 1789, 300 p., </w:t>
      </w:r>
      <w:r w:rsidRPr="0049721E">
        <w:rPr>
          <w:bCs/>
        </w:rPr>
        <w:t>cf.</w:t>
      </w:r>
      <w:r w:rsidRPr="0049721E">
        <w:rPr>
          <w:lang w:val="fr-FR" w:eastAsia="fr-FR" w:bidi="fr-FR"/>
        </w:rPr>
        <w:t xml:space="preserve"> notamment p. 20. L’histoire des sociétés d’agriculture importe à l’étude de la technique agricole. </w:t>
      </w:r>
      <w:r w:rsidRPr="0049721E">
        <w:rPr>
          <w:bCs/>
          <w:i/>
        </w:rPr>
        <w:t>Cf.</w:t>
      </w:r>
      <w:r w:rsidRPr="0049721E">
        <w:rPr>
          <w:lang w:val="fr-FR" w:eastAsia="fr-FR" w:bidi="fr-FR"/>
        </w:rPr>
        <w:t xml:space="preserve"> les indications données p. 725, n. 3, et ajouter : abbé </w:t>
      </w:r>
      <w:r w:rsidRPr="0049721E">
        <w:rPr>
          <w:rStyle w:val="Notedebasdepage65ptPetitesmajuscules"/>
          <w:b w:val="0"/>
          <w:sz w:val="24"/>
        </w:rPr>
        <w:t xml:space="preserve">Denis, </w:t>
      </w:r>
      <w:r w:rsidRPr="0049721E">
        <w:rPr>
          <w:bCs/>
          <w:i/>
        </w:rPr>
        <w:t>Notice sur la Société d'agricult</w:t>
      </w:r>
      <w:r w:rsidRPr="0049721E">
        <w:rPr>
          <w:bCs/>
          <w:i/>
        </w:rPr>
        <w:t>u</w:t>
      </w:r>
      <w:r w:rsidRPr="0049721E">
        <w:rPr>
          <w:bCs/>
          <w:i/>
        </w:rPr>
        <w:t>re, sciences et arts de Meaux</w:t>
      </w:r>
      <w:r w:rsidRPr="0049721E">
        <w:rPr>
          <w:bCs/>
        </w:rPr>
        <w:t xml:space="preserve">, </w:t>
      </w:r>
      <w:r w:rsidRPr="0049721E">
        <w:rPr>
          <w:bCs/>
          <w:i/>
        </w:rPr>
        <w:t>Public. Soc. agricult. Meaux</w:t>
      </w:r>
      <w:r w:rsidRPr="003B3476">
        <w:rPr>
          <w:lang w:val="fr-FR" w:eastAsia="fr-FR" w:bidi="fr-FR"/>
        </w:rPr>
        <w:t>, 1874, p. 81-86.</w:t>
      </w:r>
    </w:p>
  </w:footnote>
  <w:footnote w:id="735">
    <w:p w14:paraId="39CC54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49721E">
        <w:rPr>
          <w:bCs/>
        </w:rPr>
        <w:t xml:space="preserve"> </w:t>
      </w:r>
      <w:r w:rsidRPr="0049721E">
        <w:rPr>
          <w:rStyle w:val="Notedebasdepage265ptNonItaliquePetitesmajuscules"/>
          <w:b w:val="0"/>
          <w:iCs/>
          <w:sz w:val="24"/>
        </w:rPr>
        <w:t xml:space="preserve">H. </w:t>
      </w:r>
      <w:r w:rsidRPr="003B3476">
        <w:rPr>
          <w:rStyle w:val="Notedebasdepage265ptNonItaliquePetitesmajuscules"/>
          <w:b w:val="0"/>
          <w:iCs/>
          <w:sz w:val="24"/>
        </w:rPr>
        <w:t>Watrin</w:t>
      </w:r>
      <w:r w:rsidRPr="003B3476">
        <w:rPr>
          <w:rStyle w:val="Notedebasdepage265ptNonItaliquePetitesmajuscules"/>
          <w:b w:val="0"/>
          <w:i/>
          <w:iCs/>
          <w:sz w:val="24"/>
        </w:rPr>
        <w:t xml:space="preserve">, </w:t>
      </w:r>
      <w:r w:rsidRPr="003B3476">
        <w:rPr>
          <w:i/>
          <w:lang w:val="fr-FR" w:eastAsia="fr-FR" w:bidi="fr-FR"/>
        </w:rPr>
        <w:t>Étude sur la nécessité de réviser les usages locaux du dépa</w:t>
      </w:r>
      <w:r w:rsidRPr="003B3476">
        <w:rPr>
          <w:i/>
          <w:lang w:val="fr-FR" w:eastAsia="fr-FR" w:bidi="fr-FR"/>
        </w:rPr>
        <w:t>r</w:t>
      </w:r>
      <w:r w:rsidRPr="003B3476">
        <w:rPr>
          <w:i/>
          <w:lang w:val="fr-FR" w:eastAsia="fr-FR" w:bidi="fr-FR"/>
        </w:rPr>
        <w:t>tement d'Eure-et-Loir</w:t>
      </w:r>
      <w:r w:rsidRPr="003B3476">
        <w:rPr>
          <w:bCs/>
        </w:rPr>
        <w:t>, in-4°, Chartres, 1889, 32 p.</w:t>
      </w:r>
    </w:p>
  </w:footnote>
  <w:footnote w:id="736">
    <w:p w14:paraId="6ED4C01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Eure-et-Loir</w:t>
      </w:r>
      <w:r w:rsidRPr="003B3476">
        <w:rPr>
          <w:bCs/>
        </w:rPr>
        <w:t xml:space="preserve">. </w:t>
      </w:r>
      <w:r w:rsidRPr="003B3476">
        <w:rPr>
          <w:lang w:val="fr-FR" w:eastAsia="fr-FR" w:bidi="fr-FR"/>
        </w:rPr>
        <w:t xml:space="preserve">H. </w:t>
      </w:r>
      <w:r w:rsidRPr="003B3476">
        <w:rPr>
          <w:bCs/>
          <w:i/>
        </w:rPr>
        <w:t>Watrin</w:t>
      </w:r>
      <w:r w:rsidRPr="003B3476">
        <w:rPr>
          <w:bCs/>
        </w:rPr>
        <w:t xml:space="preserve"> </w:t>
      </w:r>
      <w:r w:rsidRPr="003B3476">
        <w:rPr>
          <w:lang w:val="fr-FR" w:eastAsia="fr-FR" w:bidi="fr-FR"/>
        </w:rPr>
        <w:t>dans l’ouvrage que l’on trouvera cité ci-après ind</w:t>
      </w:r>
      <w:r w:rsidRPr="003B3476">
        <w:rPr>
          <w:lang w:val="fr-FR" w:eastAsia="fr-FR" w:bidi="fr-FR"/>
        </w:rPr>
        <w:t>i</w:t>
      </w:r>
      <w:r w:rsidRPr="003B3476">
        <w:rPr>
          <w:lang w:val="fr-FR" w:eastAsia="fr-FR" w:bidi="fr-FR"/>
        </w:rPr>
        <w:t xml:space="preserve">que qu’à la suite d’une décision du Conseil général, prise en août 1839, les </w:t>
      </w:r>
      <w:r w:rsidRPr="003B3476">
        <w:rPr>
          <w:bCs/>
          <w:i/>
        </w:rPr>
        <w:t>Usages locaux</w:t>
      </w:r>
      <w:r w:rsidRPr="003B3476">
        <w:rPr>
          <w:i/>
          <w:lang w:val="fr-FR" w:eastAsia="fr-FR" w:bidi="fr-FR"/>
        </w:rPr>
        <w:t xml:space="preserve"> des cantons </w:t>
      </w:r>
      <w:r w:rsidRPr="003B3476">
        <w:rPr>
          <w:bCs/>
          <w:i/>
        </w:rPr>
        <w:t>Chartres Nord et Sud</w:t>
      </w:r>
      <w:r w:rsidRPr="003B3476">
        <w:rPr>
          <w:lang w:val="fr-FR" w:eastAsia="fr-FR" w:bidi="fr-FR"/>
        </w:rPr>
        <w:t xml:space="preserve"> furent publiés par M. </w:t>
      </w:r>
      <w:r w:rsidRPr="003B3476">
        <w:rPr>
          <w:bCs/>
          <w:smallCaps/>
        </w:rPr>
        <w:t>Bouvet-Mézières</w:t>
      </w:r>
      <w:r w:rsidRPr="003B3476">
        <w:rPr>
          <w:bCs/>
        </w:rPr>
        <w:t xml:space="preserve">, </w:t>
      </w:r>
      <w:r w:rsidRPr="003B3476">
        <w:rPr>
          <w:lang w:val="fr-FR" w:eastAsia="fr-FR" w:bidi="fr-FR"/>
        </w:rPr>
        <w:t xml:space="preserve">et que, </w:t>
      </w:r>
      <w:r w:rsidRPr="003B3476">
        <w:rPr>
          <w:bCs/>
        </w:rPr>
        <w:t xml:space="preserve">à </w:t>
      </w:r>
      <w:r w:rsidRPr="003B3476">
        <w:rPr>
          <w:lang w:val="fr-FR" w:eastAsia="fr-FR" w:bidi="fr-FR"/>
        </w:rPr>
        <w:t xml:space="preserve">la suite d’une circulaire du Ministre de l’Intérieur du 26 juillet 1844, les </w:t>
      </w:r>
      <w:r w:rsidRPr="003B3476">
        <w:rPr>
          <w:bCs/>
          <w:i/>
        </w:rPr>
        <w:t>Usages locaux d'Eure-et-Loir</w:t>
      </w:r>
      <w:r w:rsidRPr="003B3476">
        <w:rPr>
          <w:lang w:val="fr-FR" w:eastAsia="fr-FR" w:bidi="fr-FR"/>
        </w:rPr>
        <w:t xml:space="preserve"> (rédaction o</w:t>
      </w:r>
      <w:r w:rsidRPr="003B3476">
        <w:rPr>
          <w:lang w:val="fr-FR" w:eastAsia="fr-FR" w:bidi="fr-FR"/>
        </w:rPr>
        <w:t>f</w:t>
      </w:r>
      <w:r w:rsidRPr="003B3476">
        <w:rPr>
          <w:lang w:val="fr-FR" w:eastAsia="fr-FR" w:bidi="fr-FR"/>
        </w:rPr>
        <w:t xml:space="preserve">ficielle) parurent, en 1845. En 1861, J.-B. </w:t>
      </w:r>
      <w:r w:rsidRPr="003B3476">
        <w:rPr>
          <w:bCs/>
          <w:smallCaps/>
        </w:rPr>
        <w:t>Hénault</w:t>
      </w:r>
      <w:r w:rsidRPr="003B3476">
        <w:rPr>
          <w:bCs/>
        </w:rPr>
        <w:t xml:space="preserve"> </w:t>
      </w:r>
      <w:r w:rsidRPr="003B3476">
        <w:rPr>
          <w:lang w:val="fr-FR" w:eastAsia="fr-FR" w:bidi="fr-FR"/>
        </w:rPr>
        <w:t xml:space="preserve">fit paraître les </w:t>
      </w:r>
      <w:r w:rsidRPr="003B3476">
        <w:rPr>
          <w:bCs/>
          <w:i/>
        </w:rPr>
        <w:t>Usages l</w:t>
      </w:r>
      <w:r w:rsidRPr="003B3476">
        <w:rPr>
          <w:bCs/>
          <w:i/>
        </w:rPr>
        <w:t>o</w:t>
      </w:r>
      <w:r w:rsidRPr="003B3476">
        <w:rPr>
          <w:bCs/>
          <w:i/>
        </w:rPr>
        <w:t>caux du département d'Eure-et-Loir</w:t>
      </w:r>
      <w:r w:rsidRPr="003B3476">
        <w:rPr>
          <w:bCs/>
        </w:rPr>
        <w:t>, et particulièrement de l'arrondissement de Dreux</w:t>
      </w:r>
      <w:r w:rsidRPr="003B3476">
        <w:rPr>
          <w:lang w:val="fr-FR" w:eastAsia="fr-FR" w:bidi="fr-FR"/>
        </w:rPr>
        <w:t xml:space="preserve">, in-18, Chartres et Dreux, 1861, </w:t>
      </w:r>
      <w:r w:rsidRPr="003B3476">
        <w:rPr>
          <w:smallCaps/>
          <w:lang w:val="fr-FR" w:eastAsia="fr-FR" w:bidi="fr-FR"/>
        </w:rPr>
        <w:t>xxxi</w:t>
      </w:r>
      <w:r w:rsidRPr="003B3476">
        <w:rPr>
          <w:lang w:val="fr-FR" w:eastAsia="fr-FR" w:bidi="fr-FR"/>
        </w:rPr>
        <w:t xml:space="preserve"> + 264 p. ; 2</w:t>
      </w:r>
      <w:r w:rsidRPr="003B3476">
        <w:rPr>
          <w:vertAlign w:val="superscript"/>
          <w:lang w:val="fr-FR" w:eastAsia="fr-FR" w:bidi="fr-FR"/>
        </w:rPr>
        <w:t>e</w:t>
      </w:r>
      <w:r w:rsidRPr="003B3476">
        <w:rPr>
          <w:lang w:val="fr-FR" w:eastAsia="fr-FR" w:bidi="fr-FR"/>
        </w:rPr>
        <w:t xml:space="preserve"> éd. mise au co</w:t>
      </w:r>
      <w:r w:rsidRPr="003B3476">
        <w:rPr>
          <w:lang w:val="fr-FR" w:eastAsia="fr-FR" w:bidi="fr-FR"/>
        </w:rPr>
        <w:t>u</w:t>
      </w:r>
      <w:r w:rsidRPr="003B3476">
        <w:rPr>
          <w:lang w:val="fr-FR" w:eastAsia="fr-FR" w:bidi="fr-FR"/>
        </w:rPr>
        <w:t xml:space="preserve">rant par J. </w:t>
      </w:r>
      <w:r w:rsidRPr="003B3476">
        <w:rPr>
          <w:bCs/>
          <w:smallCaps/>
        </w:rPr>
        <w:t>Parmentier</w:t>
      </w:r>
      <w:r w:rsidRPr="003B3476">
        <w:rPr>
          <w:bCs/>
        </w:rPr>
        <w:t xml:space="preserve">, </w:t>
      </w:r>
      <w:r w:rsidRPr="003B3476">
        <w:rPr>
          <w:lang w:val="fr-FR" w:eastAsia="fr-FR" w:bidi="fr-FR"/>
        </w:rPr>
        <w:t xml:space="preserve">in-8°, Chartres, 1889, 380 p. Enfin, en 1892, les </w:t>
      </w:r>
      <w:r w:rsidRPr="003B3476">
        <w:rPr>
          <w:bCs/>
          <w:i/>
        </w:rPr>
        <w:t>Us</w:t>
      </w:r>
      <w:r w:rsidRPr="003B3476">
        <w:rPr>
          <w:bCs/>
          <w:i/>
        </w:rPr>
        <w:t>a</w:t>
      </w:r>
      <w:r w:rsidRPr="003B3476">
        <w:rPr>
          <w:bCs/>
          <w:i/>
        </w:rPr>
        <w:t>ges locaux</w:t>
      </w:r>
      <w:r w:rsidRPr="003B3476">
        <w:rPr>
          <w:lang w:val="fr-FR" w:eastAsia="fr-FR" w:bidi="fr-FR"/>
        </w:rPr>
        <w:t xml:space="preserve"> élaborés par des commissions cantonales et d’arrondissement f</w:t>
      </w:r>
      <w:r w:rsidRPr="003B3476">
        <w:rPr>
          <w:lang w:val="fr-FR" w:eastAsia="fr-FR" w:bidi="fr-FR"/>
        </w:rPr>
        <w:t>u</w:t>
      </w:r>
      <w:r w:rsidRPr="003B3476">
        <w:rPr>
          <w:lang w:val="fr-FR" w:eastAsia="fr-FR" w:bidi="fr-FR"/>
        </w:rPr>
        <w:t xml:space="preserve">rent publiés en annexes au </w:t>
      </w:r>
      <w:r w:rsidRPr="003B3476">
        <w:rPr>
          <w:bCs/>
          <w:i/>
        </w:rPr>
        <w:t>Recueil des Actes administratifs de la préfecture</w:t>
      </w:r>
      <w:r w:rsidRPr="003B3476">
        <w:rPr>
          <w:lang w:val="fr-FR" w:eastAsia="fr-FR" w:bidi="fr-FR"/>
        </w:rPr>
        <w:t xml:space="preserve"> (1892, n° 28) ; ils ont été édités plusieurs fois depuis, notamment par H. </w:t>
      </w:r>
      <w:r w:rsidRPr="003B3476">
        <w:rPr>
          <w:bCs/>
          <w:smallCaps/>
        </w:rPr>
        <w:t>Watrin</w:t>
      </w:r>
      <w:r w:rsidRPr="003B3476">
        <w:rPr>
          <w:bCs/>
        </w:rPr>
        <w:t xml:space="preserve">, </w:t>
      </w:r>
      <w:r w:rsidRPr="003B3476">
        <w:rPr>
          <w:bCs/>
          <w:i/>
        </w:rPr>
        <w:t>Département d'Eure-et-Loir. Usages locaux et Notions de droit usuel</w:t>
      </w:r>
      <w:r w:rsidRPr="003B3476">
        <w:rPr>
          <w:lang w:val="fr-FR" w:eastAsia="fr-FR" w:bidi="fr-FR"/>
        </w:rPr>
        <w:t>, 3</w:t>
      </w:r>
      <w:r w:rsidRPr="003B3476">
        <w:rPr>
          <w:vertAlign w:val="superscript"/>
          <w:lang w:val="fr-FR" w:eastAsia="fr-FR" w:bidi="fr-FR"/>
        </w:rPr>
        <w:t>e</w:t>
      </w:r>
      <w:r w:rsidRPr="003B3476">
        <w:rPr>
          <w:lang w:val="fr-FR" w:eastAsia="fr-FR" w:bidi="fr-FR"/>
        </w:rPr>
        <w:t xml:space="preserve"> éd., in-8°, Chartres, 1910, </w:t>
      </w:r>
      <w:r w:rsidRPr="003B3476">
        <w:rPr>
          <w:smallCaps/>
          <w:lang w:val="fr-FR" w:eastAsia="fr-FR" w:bidi="fr-FR"/>
        </w:rPr>
        <w:t>vii</w:t>
      </w:r>
      <w:r w:rsidRPr="003B3476">
        <w:rPr>
          <w:lang w:val="fr-FR" w:eastAsia="fr-FR" w:bidi="fr-FR"/>
        </w:rPr>
        <w:t xml:space="preserve"> + 535 p. ; les </w:t>
      </w:r>
      <w:r w:rsidRPr="003B3476">
        <w:rPr>
          <w:bCs/>
        </w:rPr>
        <w:t>notions de droit usuel</w:t>
      </w:r>
      <w:r w:rsidRPr="003B3476">
        <w:rPr>
          <w:lang w:val="fr-FR" w:eastAsia="fr-FR" w:bidi="fr-FR"/>
        </w:rPr>
        <w:t xml:space="preserve"> contenues dans cet ouvrage renferment des renseignements utiles sur les m</w:t>
      </w:r>
      <w:r w:rsidRPr="003B3476">
        <w:rPr>
          <w:lang w:val="fr-FR" w:eastAsia="fr-FR" w:bidi="fr-FR"/>
        </w:rPr>
        <w:t>é</w:t>
      </w:r>
      <w:r w:rsidRPr="003B3476">
        <w:rPr>
          <w:lang w:val="fr-FR" w:eastAsia="fr-FR" w:bidi="fr-FR"/>
        </w:rPr>
        <w:t>thodes de l’agriculture. — </w:t>
      </w:r>
      <w:r w:rsidRPr="003B3476">
        <w:rPr>
          <w:bCs/>
          <w:smallCaps/>
        </w:rPr>
        <w:t>Loiret</w:t>
      </w:r>
      <w:r w:rsidRPr="003B3476">
        <w:rPr>
          <w:bCs/>
        </w:rPr>
        <w:t xml:space="preserve">. </w:t>
      </w:r>
      <w:r w:rsidRPr="003B3476">
        <w:rPr>
          <w:lang w:val="fr-FR" w:eastAsia="fr-FR" w:bidi="fr-FR"/>
        </w:rPr>
        <w:t xml:space="preserve">Je ne connais comme recueil imprimé que le volume officiel : </w:t>
      </w:r>
      <w:r w:rsidRPr="003B3476">
        <w:rPr>
          <w:bCs/>
          <w:i/>
        </w:rPr>
        <w:t>Recueil des Usages locaux publié sous les auspices du Conseil général et de l'Administration départementale</w:t>
      </w:r>
      <w:r w:rsidRPr="003B3476">
        <w:rPr>
          <w:lang w:val="fr-FR" w:eastAsia="fr-FR" w:bidi="fr-FR"/>
        </w:rPr>
        <w:t xml:space="preserve">, in-12, Orléans, 1905, </w:t>
      </w:r>
      <w:r w:rsidRPr="003B3476">
        <w:rPr>
          <w:smallCaps/>
          <w:lang w:val="fr-FR" w:eastAsia="fr-FR" w:bidi="fr-FR"/>
        </w:rPr>
        <w:t>xxiv</w:t>
      </w:r>
      <w:r w:rsidRPr="003B3476">
        <w:rPr>
          <w:lang w:val="fr-FR" w:eastAsia="fr-FR" w:bidi="fr-FR"/>
        </w:rPr>
        <w:t xml:space="preserve"> </w:t>
      </w:r>
      <w:r w:rsidRPr="003B3476">
        <w:rPr>
          <w:bCs/>
        </w:rPr>
        <w:t>4-</w:t>
      </w:r>
      <w:r w:rsidRPr="003B3476">
        <w:rPr>
          <w:lang w:val="fr-FR" w:eastAsia="fr-FR" w:bidi="fr-FR"/>
        </w:rPr>
        <w:t xml:space="preserve">112 + 89 + 87 + 80 </w:t>
      </w:r>
      <w:r w:rsidRPr="003B3476">
        <w:rPr>
          <w:bCs/>
        </w:rPr>
        <w:t>-1-</w:t>
      </w:r>
      <w:r w:rsidRPr="003B3476">
        <w:rPr>
          <w:bCs/>
          <w:smallCaps/>
        </w:rPr>
        <w:t>xxii</w:t>
      </w:r>
      <w:r w:rsidRPr="003B3476">
        <w:rPr>
          <w:bCs/>
        </w:rPr>
        <w:t xml:space="preserve"> </w:t>
      </w:r>
      <w:r w:rsidRPr="003B3476">
        <w:rPr>
          <w:lang w:val="fr-FR" w:eastAsia="fr-FR" w:bidi="fr-FR"/>
        </w:rPr>
        <w:t>p. ;</w:t>
      </w:r>
      <w:r w:rsidRPr="003B3476">
        <w:rPr>
          <w:bCs/>
        </w:rPr>
        <w:t xml:space="preserve"> l'</w:t>
      </w:r>
      <w:r w:rsidRPr="003B3476">
        <w:rPr>
          <w:bCs/>
          <w:i/>
        </w:rPr>
        <w:t>introduction</w:t>
      </w:r>
      <w:r w:rsidRPr="003B3476">
        <w:rPr>
          <w:lang w:val="fr-FR" w:eastAsia="fr-FR" w:bidi="fr-FR"/>
        </w:rPr>
        <w:t xml:space="preserve"> indique que les procès-verbaux d’enquêtes sur les usages locaux, faites en 1803 et 1845, subsistent dans les archives du département. — </w:t>
      </w:r>
      <w:r w:rsidRPr="003B3476">
        <w:rPr>
          <w:bCs/>
          <w:smallCaps/>
        </w:rPr>
        <w:t>Seine-et-Oise</w:t>
      </w:r>
      <w:r w:rsidRPr="003B3476">
        <w:rPr>
          <w:bCs/>
        </w:rPr>
        <w:t xml:space="preserve">. </w:t>
      </w:r>
      <w:r w:rsidRPr="003B3476">
        <w:rPr>
          <w:lang w:val="fr-FR" w:eastAsia="fr-FR" w:bidi="fr-FR"/>
        </w:rPr>
        <w:t>Jusqu’en 1905, il n’y a eu que des publications privées :</w:t>
      </w:r>
      <w:r w:rsidRPr="003B3476">
        <w:rPr>
          <w:bCs/>
        </w:rPr>
        <w:t xml:space="preserve"> </w:t>
      </w:r>
      <w:r w:rsidRPr="003B3476">
        <w:rPr>
          <w:lang w:val="fr-FR" w:eastAsia="fr-FR" w:bidi="fr-FR"/>
        </w:rPr>
        <w:t xml:space="preserve">L.-G. </w:t>
      </w:r>
      <w:r w:rsidRPr="003B3476">
        <w:rPr>
          <w:bCs/>
          <w:smallCaps/>
        </w:rPr>
        <w:t>Sauger</w:t>
      </w:r>
      <w:r w:rsidRPr="003B3476">
        <w:rPr>
          <w:bCs/>
        </w:rPr>
        <w:t xml:space="preserve">, </w:t>
      </w:r>
      <w:r w:rsidRPr="003B3476">
        <w:rPr>
          <w:rStyle w:val="Notedebasdepage65ptNonGrasItaliquePetitesmajuscules"/>
          <w:b w:val="0"/>
          <w:bCs w:val="0"/>
          <w:smallCaps w:val="0"/>
        </w:rPr>
        <w:t>Du</w:t>
      </w:r>
      <w:r w:rsidRPr="003B3476">
        <w:rPr>
          <w:rStyle w:val="Notedebasdepage65ptNonGrasItaliquePetitesmajuscules"/>
          <w:b w:val="0"/>
          <w:bCs w:val="0"/>
        </w:rPr>
        <w:t xml:space="preserve"> </w:t>
      </w:r>
      <w:r w:rsidRPr="003B3476">
        <w:rPr>
          <w:bCs/>
          <w:i/>
        </w:rPr>
        <w:t>louage et des servitudes dans leurs rapports avec les usages locaux</w:t>
      </w:r>
      <w:r w:rsidRPr="003B3476">
        <w:rPr>
          <w:lang w:val="fr-FR" w:eastAsia="fr-FR" w:bidi="fr-FR"/>
        </w:rPr>
        <w:t xml:space="preserve">, in-8°, Fontainebleau, Versailles et Paris, 551 p. : A. </w:t>
      </w:r>
      <w:r w:rsidRPr="003B3476">
        <w:rPr>
          <w:bCs/>
          <w:smallCaps/>
        </w:rPr>
        <w:t>Meunier</w:t>
      </w:r>
      <w:r w:rsidRPr="003B3476">
        <w:rPr>
          <w:bCs/>
        </w:rPr>
        <w:t xml:space="preserve">, </w:t>
      </w:r>
      <w:r w:rsidRPr="003B3476">
        <w:rPr>
          <w:bCs/>
          <w:i/>
        </w:rPr>
        <w:t>Recueil des usages locaux du canton de Meulan</w:t>
      </w:r>
      <w:r w:rsidRPr="003B3476">
        <w:rPr>
          <w:lang w:val="fr-FR" w:eastAsia="fr-FR" w:bidi="fr-FR"/>
        </w:rPr>
        <w:t xml:space="preserve">, in-12, 40 p., Meulan, 1885 ; </w:t>
      </w:r>
      <w:r w:rsidRPr="003B3476">
        <w:rPr>
          <w:bCs/>
          <w:i/>
        </w:rPr>
        <w:t>Usages locaux</w:t>
      </w:r>
      <w:r w:rsidRPr="003B3476">
        <w:rPr>
          <w:lang w:val="fr-FR" w:eastAsia="fr-FR" w:bidi="fr-FR"/>
        </w:rPr>
        <w:t xml:space="preserve"> des six arrondissements publiés successivement dans </w:t>
      </w:r>
      <w:r w:rsidRPr="003B3476">
        <w:rPr>
          <w:bCs/>
        </w:rPr>
        <w:t>l'</w:t>
      </w:r>
      <w:r w:rsidRPr="003B3476">
        <w:rPr>
          <w:bCs/>
          <w:i/>
        </w:rPr>
        <w:t>Annuaire de Seine-et-Oise</w:t>
      </w:r>
      <w:r w:rsidRPr="003B3476">
        <w:rPr>
          <w:lang w:val="fr-FR" w:eastAsia="fr-FR" w:bidi="fr-FR"/>
        </w:rPr>
        <w:t xml:space="preserve">, années 1865 </w:t>
      </w:r>
      <w:r w:rsidRPr="003B3476">
        <w:rPr>
          <w:bCs/>
        </w:rPr>
        <w:t xml:space="preserve">à </w:t>
      </w:r>
      <w:r w:rsidRPr="003B3476">
        <w:rPr>
          <w:lang w:val="fr-FR" w:eastAsia="fr-FR" w:bidi="fr-FR"/>
        </w:rPr>
        <w:t xml:space="preserve">1870 ; Paul </w:t>
      </w:r>
      <w:r w:rsidRPr="003B3476">
        <w:rPr>
          <w:bCs/>
          <w:smallCaps/>
        </w:rPr>
        <w:t>Vieille</w:t>
      </w:r>
      <w:r w:rsidRPr="003B3476">
        <w:rPr>
          <w:bCs/>
        </w:rPr>
        <w:t xml:space="preserve"> </w:t>
      </w:r>
      <w:r w:rsidRPr="003B3476">
        <w:rPr>
          <w:lang w:val="fr-FR" w:eastAsia="fr-FR" w:bidi="fr-FR"/>
        </w:rPr>
        <w:t xml:space="preserve">et P. </w:t>
      </w:r>
      <w:r w:rsidRPr="003B3476">
        <w:rPr>
          <w:bCs/>
          <w:smallCaps/>
        </w:rPr>
        <w:t>Marais</w:t>
      </w:r>
      <w:r w:rsidRPr="003B3476">
        <w:rPr>
          <w:bCs/>
        </w:rPr>
        <w:t xml:space="preserve">, </w:t>
      </w:r>
      <w:r w:rsidRPr="003B3476">
        <w:rPr>
          <w:bCs/>
          <w:i/>
        </w:rPr>
        <w:t>Code des usages locaux</w:t>
      </w:r>
      <w:r w:rsidRPr="003B3476">
        <w:rPr>
          <w:bCs/>
        </w:rPr>
        <w:t xml:space="preserve">. </w:t>
      </w:r>
      <w:r w:rsidRPr="003B3476">
        <w:rPr>
          <w:bCs/>
          <w:i/>
        </w:rPr>
        <w:t>Arrondissement de Corbeil</w:t>
      </w:r>
      <w:r w:rsidRPr="003B3476">
        <w:rPr>
          <w:lang w:val="fr-FR" w:eastAsia="fr-FR" w:bidi="fr-FR"/>
        </w:rPr>
        <w:t xml:space="preserve">, in-8°, Paris, 1891, 70 p. ; </w:t>
      </w:r>
      <w:r w:rsidRPr="003B3476">
        <w:rPr>
          <w:bCs/>
        </w:rPr>
        <w:t>cf.</w:t>
      </w:r>
      <w:r w:rsidRPr="003B3476">
        <w:rPr>
          <w:lang w:val="fr-FR" w:eastAsia="fr-FR" w:bidi="fr-FR"/>
        </w:rPr>
        <w:t xml:space="preserve"> aussi </w:t>
      </w:r>
      <w:r w:rsidRPr="003B3476">
        <w:rPr>
          <w:bCs/>
          <w:i/>
        </w:rPr>
        <w:t>Journal de la Librairie</w:t>
      </w:r>
      <w:r w:rsidRPr="003B3476">
        <w:rPr>
          <w:bCs/>
        </w:rPr>
        <w:t>, années 1892,</w:t>
      </w:r>
      <w:r w:rsidRPr="003B3476">
        <w:rPr>
          <w:lang w:val="fr-FR" w:eastAsia="fr-FR" w:bidi="fr-FR"/>
        </w:rPr>
        <w:t xml:space="preserve"> n</w:t>
      </w:r>
      <w:r w:rsidRPr="003B3476">
        <w:rPr>
          <w:vertAlign w:val="superscript"/>
          <w:lang w:val="fr-FR" w:eastAsia="fr-FR" w:bidi="fr-FR"/>
        </w:rPr>
        <w:t>os</w:t>
      </w:r>
      <w:r w:rsidRPr="003B3476">
        <w:rPr>
          <w:lang w:val="fr-FR" w:eastAsia="fr-FR" w:bidi="fr-FR"/>
        </w:rPr>
        <w:t xml:space="preserve"> 7891 à 7893 (je n’ai pu trouver les volumes ainsi indiqués). En 1905, le Conseil général a entrepris la publication des </w:t>
      </w:r>
      <w:r w:rsidRPr="003B3476">
        <w:rPr>
          <w:bCs/>
        </w:rPr>
        <w:t>Usages locaux :</w:t>
      </w:r>
      <w:r w:rsidRPr="003B3476">
        <w:rPr>
          <w:lang w:val="fr-FR" w:eastAsia="fr-FR" w:bidi="fr-FR"/>
        </w:rPr>
        <w:t xml:space="preserve"> ont paru les v</w:t>
      </w:r>
      <w:r w:rsidRPr="003B3476">
        <w:rPr>
          <w:lang w:val="fr-FR" w:eastAsia="fr-FR" w:bidi="fr-FR"/>
        </w:rPr>
        <w:t>o</w:t>
      </w:r>
      <w:r w:rsidRPr="003B3476">
        <w:rPr>
          <w:lang w:val="fr-FR" w:eastAsia="fr-FR" w:bidi="fr-FR"/>
        </w:rPr>
        <w:t>lumes concernant les arrondissements de Versailles (in-8°, Versailles, 1906, 104 p.), Étampes (in-8°, Versailles, 1907, 108 p.) et Pontoise (in-8°, Versai</w:t>
      </w:r>
      <w:r w:rsidRPr="003B3476">
        <w:rPr>
          <w:lang w:val="fr-FR" w:eastAsia="fr-FR" w:bidi="fr-FR"/>
        </w:rPr>
        <w:t>l</w:t>
      </w:r>
      <w:r w:rsidRPr="003B3476">
        <w:rPr>
          <w:lang w:val="fr-FR" w:eastAsia="fr-FR" w:bidi="fr-FR"/>
        </w:rPr>
        <w:t>les, 1908, 148 p.). — </w:t>
      </w:r>
      <w:r w:rsidRPr="003B3476">
        <w:rPr>
          <w:bCs/>
          <w:smallCaps/>
        </w:rPr>
        <w:t>Seine-et-Marne</w:t>
      </w:r>
      <w:r w:rsidRPr="003B3476">
        <w:rPr>
          <w:bCs/>
        </w:rPr>
        <w:t xml:space="preserve">, </w:t>
      </w:r>
      <w:r w:rsidRPr="003B3476">
        <w:rPr>
          <w:lang w:val="fr-FR" w:eastAsia="fr-FR" w:bidi="fr-FR"/>
        </w:rPr>
        <w:t xml:space="preserve">Paul </w:t>
      </w:r>
      <w:r w:rsidRPr="003B3476">
        <w:rPr>
          <w:bCs/>
          <w:smallCaps/>
        </w:rPr>
        <w:t>Quesvers</w:t>
      </w:r>
      <w:r w:rsidRPr="003B3476">
        <w:rPr>
          <w:bCs/>
        </w:rPr>
        <w:t>, Usages locaux de Monter eau-fault-Yonne,</w:t>
      </w:r>
      <w:r w:rsidRPr="003B3476">
        <w:rPr>
          <w:lang w:val="fr-FR" w:eastAsia="fr-FR" w:bidi="fr-FR"/>
        </w:rPr>
        <w:t xml:space="preserve"> l</w:t>
      </w:r>
      <w:r w:rsidRPr="003B3476">
        <w:rPr>
          <w:vertAlign w:val="superscript"/>
          <w:lang w:val="fr-FR" w:eastAsia="fr-FR" w:bidi="fr-FR"/>
        </w:rPr>
        <w:t>re</w:t>
      </w:r>
      <w:r w:rsidRPr="003B3476">
        <w:rPr>
          <w:lang w:val="fr-FR" w:eastAsia="fr-FR" w:bidi="fr-FR"/>
        </w:rPr>
        <w:t xml:space="preserve"> éd. ; 2</w:t>
      </w:r>
      <w:r w:rsidRPr="003B3476">
        <w:rPr>
          <w:vertAlign w:val="superscript"/>
          <w:lang w:val="fr-FR" w:eastAsia="fr-FR" w:bidi="fr-FR"/>
        </w:rPr>
        <w:t>e</w:t>
      </w:r>
      <w:r w:rsidRPr="003B3476">
        <w:rPr>
          <w:lang w:val="fr-FR" w:eastAsia="fr-FR" w:bidi="fr-FR"/>
        </w:rPr>
        <w:t xml:space="preserve"> éd., Montereau, 1901 ; </w:t>
      </w:r>
      <w:r w:rsidRPr="003B3476">
        <w:rPr>
          <w:bCs/>
          <w:i/>
        </w:rPr>
        <w:t>Département de Seine-et-Marne, Recueil des usages locaux publiés sous les auspices du Conseil général et de l'Administration départementale,</w:t>
      </w:r>
      <w:r w:rsidRPr="003B3476">
        <w:rPr>
          <w:i/>
          <w:lang w:val="fr-FR" w:eastAsia="fr-FR" w:bidi="fr-FR"/>
        </w:rPr>
        <w:t xml:space="preserve"> in-8°, Melun</w:t>
      </w:r>
      <w:r w:rsidRPr="003B3476">
        <w:rPr>
          <w:lang w:val="fr-FR" w:eastAsia="fr-FR" w:bidi="fr-FR"/>
        </w:rPr>
        <w:t>, 1910, 285 p.</w:t>
      </w:r>
    </w:p>
  </w:footnote>
  <w:footnote w:id="737">
    <w:p w14:paraId="72DA6A3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Mém. Soc. agricult. Orléans</w:t>
      </w:r>
      <w:r w:rsidRPr="003B3476">
        <w:rPr>
          <w:bCs/>
        </w:rPr>
        <w:t>,</w:t>
      </w:r>
      <w:r w:rsidRPr="003B3476">
        <w:rPr>
          <w:lang w:val="fr-FR" w:eastAsia="fr-FR" w:bidi="fr-FR"/>
        </w:rPr>
        <w:t xml:space="preserve"> t. VIII (1864), p. 59-128. Sur l’agriculture bea</w:t>
      </w:r>
      <w:r w:rsidRPr="003B3476">
        <w:rPr>
          <w:lang w:val="fr-FR" w:eastAsia="fr-FR" w:bidi="fr-FR"/>
        </w:rPr>
        <w:t>u</w:t>
      </w:r>
      <w:r w:rsidRPr="003B3476">
        <w:rPr>
          <w:lang w:val="fr-FR" w:eastAsia="fr-FR" w:bidi="fr-FR"/>
        </w:rPr>
        <w:t xml:space="preserve">ceronne à la fin du </w:t>
      </w:r>
      <w:r w:rsidRPr="003B3476">
        <w:rPr>
          <w:smallCaps/>
          <w:lang w:val="fr-FR" w:eastAsia="fr-FR" w:bidi="fr-FR"/>
        </w:rPr>
        <w:t>xviii</w:t>
      </w:r>
      <w:r w:rsidRPr="003B3476">
        <w:rPr>
          <w:vertAlign w:val="superscript"/>
          <w:lang w:val="fr-FR" w:eastAsia="fr-FR" w:bidi="fr-FR"/>
        </w:rPr>
        <w:t>e</w:t>
      </w:r>
      <w:r w:rsidRPr="003B3476">
        <w:rPr>
          <w:lang w:val="fr-FR" w:eastAsia="fr-FR" w:bidi="fr-FR"/>
        </w:rPr>
        <w:t xml:space="preserve"> siècle, on trouvera des renseignements intéressants dans [L. </w:t>
      </w:r>
      <w:r w:rsidRPr="003B3476">
        <w:rPr>
          <w:rStyle w:val="Notedebasdepage65ptPetitesmajuscules"/>
          <w:b w:val="0"/>
          <w:sz w:val="24"/>
        </w:rPr>
        <w:t xml:space="preserve">Merlet], </w:t>
      </w:r>
      <w:r w:rsidRPr="003B3476">
        <w:rPr>
          <w:bCs/>
          <w:i/>
        </w:rPr>
        <w:t>L'Agriculture en Beauce en l'an II ; correspondance du c</w:t>
      </w:r>
      <w:r w:rsidRPr="003B3476">
        <w:rPr>
          <w:bCs/>
          <w:i/>
        </w:rPr>
        <w:t>i</w:t>
      </w:r>
      <w:r w:rsidRPr="003B3476">
        <w:rPr>
          <w:bCs/>
          <w:i/>
        </w:rPr>
        <w:t>toyen Villeneuve avec l'administration du département d'Eure-et-Loir</w:t>
      </w:r>
      <w:r w:rsidRPr="003B3476">
        <w:rPr>
          <w:bCs/>
        </w:rPr>
        <w:t>,</w:t>
      </w:r>
      <w:r w:rsidRPr="003B3476">
        <w:rPr>
          <w:lang w:val="fr-FR" w:eastAsia="fr-FR" w:bidi="fr-FR"/>
        </w:rPr>
        <w:t xml:space="preserve"> in-12, Cha</w:t>
      </w:r>
      <w:r w:rsidRPr="003B3476">
        <w:rPr>
          <w:lang w:val="fr-FR" w:eastAsia="fr-FR" w:bidi="fr-FR"/>
        </w:rPr>
        <w:t>r</w:t>
      </w:r>
      <w:r w:rsidRPr="003B3476">
        <w:rPr>
          <w:lang w:val="fr-FR" w:eastAsia="fr-FR" w:bidi="fr-FR"/>
        </w:rPr>
        <w:t xml:space="preserve">tres, 1859, 77 p. Je n’ai pu voir </w:t>
      </w:r>
      <w:r w:rsidRPr="003B3476">
        <w:rPr>
          <w:rStyle w:val="Notedebasdepage65ptPetitesmajuscules"/>
          <w:b w:val="0"/>
          <w:sz w:val="24"/>
        </w:rPr>
        <w:t xml:space="preserve">Béthouart, </w:t>
      </w:r>
      <w:r w:rsidRPr="003B3476">
        <w:rPr>
          <w:bCs/>
          <w:i/>
        </w:rPr>
        <w:t>Histoire du blé en Beauce</w:t>
      </w:r>
      <w:r w:rsidRPr="003B3476">
        <w:rPr>
          <w:bCs/>
        </w:rPr>
        <w:t>.</w:t>
      </w:r>
    </w:p>
  </w:footnote>
  <w:footnote w:id="738">
    <w:p w14:paraId="402A298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In-12, Corbeil, 1895.</w:t>
      </w:r>
    </w:p>
  </w:footnote>
  <w:footnote w:id="739">
    <w:p w14:paraId="2C8826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In-8°, Chartres, 1900, 24 p.</w:t>
      </w:r>
    </w:p>
  </w:footnote>
  <w:footnote w:id="740">
    <w:p w14:paraId="7E4C96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14 mars 1903. Le </w:t>
      </w:r>
      <w:r w:rsidRPr="003B3476">
        <w:rPr>
          <w:bCs/>
        </w:rPr>
        <w:t xml:space="preserve">t. il </w:t>
      </w:r>
      <w:r w:rsidRPr="003B3476">
        <w:rPr>
          <w:lang w:val="fr-FR" w:eastAsia="fr-FR" w:bidi="fr-FR"/>
        </w:rPr>
        <w:t xml:space="preserve">de l’ouvrage de Henri </w:t>
      </w:r>
      <w:r w:rsidRPr="003B3476">
        <w:rPr>
          <w:rStyle w:val="Notedebasdepage65ptPetitesmajuscules"/>
          <w:b w:val="0"/>
          <w:sz w:val="24"/>
        </w:rPr>
        <w:t xml:space="preserve">Baudrillart, </w:t>
      </w:r>
      <w:r w:rsidRPr="003B3476">
        <w:rPr>
          <w:bCs/>
          <w:i/>
        </w:rPr>
        <w:t>Les populations agricoles de la France</w:t>
      </w:r>
      <w:r w:rsidRPr="003B3476">
        <w:rPr>
          <w:lang w:val="fr-FR" w:eastAsia="fr-FR" w:bidi="fr-FR"/>
        </w:rPr>
        <w:t xml:space="preserve">, in-8°, Paris, 1888, renferme un chapitre médiocre sur </w:t>
      </w:r>
      <w:r w:rsidRPr="003B3476">
        <w:rPr>
          <w:bCs/>
          <w:i/>
        </w:rPr>
        <w:t>Les Pop</w:t>
      </w:r>
      <w:r w:rsidRPr="003B3476">
        <w:rPr>
          <w:bCs/>
          <w:i/>
        </w:rPr>
        <w:t>u</w:t>
      </w:r>
      <w:r w:rsidRPr="003B3476">
        <w:rPr>
          <w:bCs/>
          <w:i/>
        </w:rPr>
        <w:t>lations agricoles de l’Île-de-France</w:t>
      </w:r>
      <w:r w:rsidRPr="003B3476">
        <w:rPr>
          <w:lang w:val="fr-FR" w:eastAsia="fr-FR" w:bidi="fr-FR"/>
        </w:rPr>
        <w:t xml:space="preserve"> (Seine, Seine-et-Oise, Seine-et-Marne, parties de l’Aisne et de l’Oise), p. 455-626.</w:t>
      </w:r>
    </w:p>
  </w:footnote>
  <w:footnote w:id="741">
    <w:p w14:paraId="5B469B7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 </w:t>
      </w:r>
      <w:r w:rsidRPr="003B3476">
        <w:rPr>
          <w:rStyle w:val="Notedebasdepage65ptPetitesmajuscules"/>
          <w:b w:val="0"/>
          <w:sz w:val="24"/>
        </w:rPr>
        <w:t xml:space="preserve">Chiffert, </w:t>
      </w:r>
      <w:r w:rsidRPr="003B3476">
        <w:rPr>
          <w:bCs/>
          <w:i/>
        </w:rPr>
        <w:t>De la vaine pâture</w:t>
      </w:r>
      <w:r w:rsidRPr="003B3476">
        <w:rPr>
          <w:lang w:val="fr-FR" w:eastAsia="fr-FR" w:bidi="fr-FR"/>
        </w:rPr>
        <w:t xml:space="preserve"> (thèse Fac. Droit Paris), in-8°, Paris, 1899, 192 p. </w:t>
      </w:r>
      <w:r w:rsidRPr="003B3476">
        <w:rPr>
          <w:bCs/>
        </w:rPr>
        <w:t xml:space="preserve">et les </w:t>
      </w:r>
      <w:r w:rsidRPr="003B3476">
        <w:rPr>
          <w:i/>
          <w:lang w:val="fr-FR" w:eastAsia="fr-FR" w:bidi="fr-FR"/>
        </w:rPr>
        <w:t>Usages locaux</w:t>
      </w:r>
      <w:r w:rsidRPr="003B3476">
        <w:rPr>
          <w:lang w:val="fr-FR" w:eastAsia="fr-FR" w:bidi="fr-FR"/>
        </w:rPr>
        <w:t>.</w:t>
      </w:r>
    </w:p>
  </w:footnote>
  <w:footnote w:id="742">
    <w:p w14:paraId="3EC8472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Les rôles du vingtième ont été utilisés par M. Camille </w:t>
      </w:r>
      <w:r w:rsidRPr="003B3476">
        <w:rPr>
          <w:rStyle w:val="Notedebasdepage265ptNonItaliquePetitesmajuscules"/>
          <w:b w:val="0"/>
          <w:iCs/>
          <w:sz w:val="24"/>
        </w:rPr>
        <w:t>Bloch</w:t>
      </w:r>
      <w:r w:rsidRPr="003B3476">
        <w:rPr>
          <w:rStyle w:val="Notedebasdepage265ptNonItaliquePetitesmajuscules"/>
          <w:b w:val="0"/>
          <w:i/>
          <w:iCs/>
          <w:sz w:val="24"/>
        </w:rPr>
        <w:t xml:space="preserve">, </w:t>
      </w:r>
      <w:r w:rsidRPr="003B3476">
        <w:rPr>
          <w:bCs/>
        </w:rPr>
        <w:t>dans une étude int</w:t>
      </w:r>
      <w:r w:rsidRPr="003B3476">
        <w:rPr>
          <w:bCs/>
        </w:rPr>
        <w:t>é</w:t>
      </w:r>
      <w:r w:rsidRPr="003B3476">
        <w:rPr>
          <w:bCs/>
        </w:rPr>
        <w:t xml:space="preserve">ressante, malgré sa faible étendue : </w:t>
      </w:r>
      <w:r w:rsidRPr="003B3476">
        <w:rPr>
          <w:i/>
          <w:lang w:val="fr-FR" w:eastAsia="fr-FR" w:bidi="fr-FR"/>
        </w:rPr>
        <w:t>La répartition de la propriété foncière à la veille de la Révolution</w:t>
      </w:r>
      <w:r w:rsidRPr="003B3476">
        <w:rPr>
          <w:bCs/>
          <w:i/>
        </w:rPr>
        <w:t xml:space="preserve">, </w:t>
      </w:r>
      <w:r w:rsidRPr="003B3476">
        <w:rPr>
          <w:i/>
          <w:lang w:val="fr-FR" w:eastAsia="fr-FR" w:bidi="fr-FR"/>
        </w:rPr>
        <w:t>dans quelques paroisses de la Généralité d'O</w:t>
      </w:r>
      <w:r w:rsidRPr="003B3476">
        <w:rPr>
          <w:i/>
          <w:lang w:val="fr-FR" w:eastAsia="fr-FR" w:bidi="fr-FR"/>
        </w:rPr>
        <w:t>r</w:t>
      </w:r>
      <w:r w:rsidRPr="003B3476">
        <w:rPr>
          <w:i/>
          <w:lang w:val="fr-FR" w:eastAsia="fr-FR" w:bidi="fr-FR"/>
        </w:rPr>
        <w:t>léans</w:t>
      </w:r>
      <w:r w:rsidRPr="003B3476">
        <w:rPr>
          <w:bCs/>
        </w:rPr>
        <w:t xml:space="preserve">, </w:t>
      </w:r>
      <w:r w:rsidRPr="003B3476">
        <w:rPr>
          <w:i/>
          <w:lang w:val="fr-FR" w:eastAsia="fr-FR" w:bidi="fr-FR"/>
        </w:rPr>
        <w:t>Études sur l'hist. économ. de la France</w:t>
      </w:r>
      <w:r w:rsidRPr="003B3476">
        <w:rPr>
          <w:bCs/>
        </w:rPr>
        <w:t>, in-8°, Paris 1900, p. 81-116.</w:t>
      </w:r>
    </w:p>
  </w:footnote>
  <w:footnote w:id="743">
    <w:p w14:paraId="245E92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Die Nationalgüterveräusserung während der französischen Revolution mit besonderer Berücksichtigung des Departements Seine und Oise (Staatswi</w:t>
      </w:r>
      <w:r w:rsidRPr="003B3476">
        <w:rPr>
          <w:i/>
          <w:lang w:val="fr-FR" w:eastAsia="fr-FR" w:bidi="fr-FR"/>
        </w:rPr>
        <w:t>s</w:t>
      </w:r>
      <w:r w:rsidRPr="003B3476">
        <w:rPr>
          <w:i/>
          <w:lang w:val="fr-FR" w:eastAsia="fr-FR" w:bidi="fr-FR"/>
        </w:rPr>
        <w:t>sensch. Studien</w:t>
      </w:r>
      <w:r w:rsidRPr="003B3476">
        <w:rPr>
          <w:bCs/>
          <w:i/>
        </w:rPr>
        <w:t xml:space="preserve">, </w:t>
      </w:r>
      <w:r w:rsidRPr="003B3476">
        <w:rPr>
          <w:i/>
          <w:lang w:val="fr-FR" w:eastAsia="fr-FR" w:bidi="fr-FR"/>
        </w:rPr>
        <w:t>herausgg. v. L. Elster</w:t>
      </w:r>
      <w:r w:rsidRPr="003B3476">
        <w:rPr>
          <w:bCs/>
          <w:i/>
        </w:rPr>
        <w:t xml:space="preserve">, </w:t>
      </w:r>
      <w:r w:rsidRPr="003B3476">
        <w:rPr>
          <w:i/>
          <w:lang w:val="fr-FR" w:eastAsia="fr-FR" w:bidi="fr-FR"/>
        </w:rPr>
        <w:t>Bd. 4</w:t>
      </w:r>
      <w:r w:rsidRPr="003B3476">
        <w:rPr>
          <w:bCs/>
          <w:i/>
        </w:rPr>
        <w:t xml:space="preserve">, </w:t>
      </w:r>
      <w:r w:rsidRPr="003B3476">
        <w:rPr>
          <w:i/>
          <w:lang w:val="fr-FR" w:eastAsia="fr-FR" w:bidi="fr-FR"/>
        </w:rPr>
        <w:t>H. 2),</w:t>
      </w:r>
      <w:r w:rsidRPr="003B3476">
        <w:rPr>
          <w:bCs/>
        </w:rPr>
        <w:t xml:space="preserve"> in-8°, Iéna, 1892, </w:t>
      </w:r>
      <w:r w:rsidRPr="003B3476">
        <w:rPr>
          <w:bCs/>
          <w:smallCaps/>
        </w:rPr>
        <w:t>vii</w:t>
      </w:r>
      <w:r w:rsidRPr="003B3476">
        <w:rPr>
          <w:bCs/>
        </w:rPr>
        <w:t xml:space="preserve"> + 167 p.</w:t>
      </w:r>
    </w:p>
  </w:footnote>
  <w:footnote w:id="744">
    <w:p w14:paraId="5B1C02C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En 1877 les biens communaux occupaient moins de 1/2 % du territoire, dans la Seine-et-Oise, l’Eure-et-Loir et le Loiret, 1 % dans la Seine-et-Marne. </w:t>
      </w:r>
      <w:r w:rsidRPr="003B3476">
        <w:rPr>
          <w:bCs/>
          <w:i/>
        </w:rPr>
        <w:t>Cf.</w:t>
      </w:r>
      <w:r w:rsidRPr="003B3476">
        <w:rPr>
          <w:lang w:val="fr-FR" w:eastAsia="fr-FR" w:bidi="fr-FR"/>
        </w:rPr>
        <w:t xml:space="preserve"> R. </w:t>
      </w:r>
      <w:r w:rsidRPr="003B3476">
        <w:rPr>
          <w:rStyle w:val="Notedebasdepage65ptPetitesmajuscules"/>
          <w:b w:val="0"/>
          <w:sz w:val="24"/>
        </w:rPr>
        <w:t xml:space="preserve">Graffin, </w:t>
      </w:r>
      <w:r w:rsidRPr="003B3476">
        <w:rPr>
          <w:bCs/>
          <w:i/>
        </w:rPr>
        <w:t>Les biens communaux en France</w:t>
      </w:r>
      <w:r w:rsidRPr="003B3476">
        <w:rPr>
          <w:lang w:val="fr-FR" w:eastAsia="fr-FR" w:bidi="fr-FR"/>
        </w:rPr>
        <w:t>, in-8°, Paris, 1889, carte en face la p. 270.</w:t>
      </w:r>
    </w:p>
  </w:footnote>
  <w:footnote w:id="745">
    <w:p w14:paraId="5CA43C8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Voir notamment Maurice </w:t>
      </w:r>
      <w:r w:rsidRPr="003B3476">
        <w:rPr>
          <w:rStyle w:val="Notedebasdepage265ptNonItaliquePetitesmajuscules"/>
          <w:b w:val="0"/>
          <w:iCs/>
          <w:sz w:val="24"/>
        </w:rPr>
        <w:t>Lecomte</w:t>
      </w:r>
      <w:r w:rsidRPr="003B3476">
        <w:rPr>
          <w:rStyle w:val="Notedebasdepage265ptNonItaliquePetitesmajuscules"/>
          <w:b w:val="0"/>
          <w:i/>
          <w:iCs/>
          <w:sz w:val="24"/>
        </w:rPr>
        <w:t xml:space="preserve">, </w:t>
      </w:r>
      <w:r w:rsidRPr="003B3476">
        <w:rPr>
          <w:i/>
          <w:lang w:val="fr-FR" w:eastAsia="fr-FR" w:bidi="fr-FR"/>
        </w:rPr>
        <w:t>La question des biens communaux en Seine-et-Marne à l'époque révolutionnaire</w:t>
      </w:r>
      <w:r w:rsidRPr="003B3476">
        <w:rPr>
          <w:bCs/>
          <w:i/>
        </w:rPr>
        <w:t xml:space="preserve">, </w:t>
      </w:r>
      <w:r w:rsidRPr="003B3476">
        <w:rPr>
          <w:i/>
          <w:lang w:val="fr-FR" w:eastAsia="fr-FR" w:bidi="fr-FR"/>
        </w:rPr>
        <w:t>Brie et Gâtinais</w:t>
      </w:r>
      <w:r w:rsidRPr="003B3476">
        <w:rPr>
          <w:bCs/>
        </w:rPr>
        <w:t xml:space="preserve">, t. Il (1910), p. 244-247, 294-299, 330-334, 425-427 ; A. </w:t>
      </w:r>
      <w:r w:rsidRPr="003B3476">
        <w:rPr>
          <w:rStyle w:val="Notedebasdepage265ptNonItaliquePetitesmajuscules"/>
          <w:b w:val="0"/>
          <w:iCs/>
          <w:sz w:val="24"/>
        </w:rPr>
        <w:t>Defresne</w:t>
      </w:r>
      <w:r w:rsidRPr="003B3476">
        <w:rPr>
          <w:rStyle w:val="Notedebasdepage265ptNonItaliquePetitesmajuscules"/>
          <w:b w:val="0"/>
          <w:i/>
          <w:iCs/>
          <w:sz w:val="24"/>
        </w:rPr>
        <w:t xml:space="preserve">, </w:t>
      </w:r>
      <w:r w:rsidRPr="003B3476">
        <w:rPr>
          <w:i/>
          <w:lang w:val="fr-FR" w:eastAsia="fr-FR" w:bidi="fr-FR"/>
        </w:rPr>
        <w:t>Partage des biens communaux dans quatre communes du district de Versailles, Recherche et public, des doc. relat. à la vie éc. de la Révol. Comité département, de Seine-et-Oise. Bullet.,</w:t>
      </w:r>
      <w:r w:rsidRPr="003B3476">
        <w:rPr>
          <w:bCs/>
        </w:rPr>
        <w:t xml:space="preserve"> fasc. 3 (1908-09), p. 44-96.</w:t>
      </w:r>
    </w:p>
  </w:footnote>
  <w:footnote w:id="746">
    <w:p w14:paraId="23B1E6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Camille </w:t>
      </w:r>
      <w:r w:rsidRPr="003B3476">
        <w:rPr>
          <w:rStyle w:val="Notedebasdepage265ptNonItaliquePetitesmajuscules"/>
          <w:b w:val="0"/>
          <w:iCs/>
          <w:sz w:val="24"/>
        </w:rPr>
        <w:t>Bloch</w:t>
      </w:r>
      <w:r w:rsidRPr="003B3476">
        <w:rPr>
          <w:rStyle w:val="Notedebasdepage265ptNonItaliquePetitesmajuscules"/>
          <w:b w:val="0"/>
          <w:i/>
          <w:iCs/>
          <w:sz w:val="24"/>
        </w:rPr>
        <w:t xml:space="preserve">, </w:t>
      </w:r>
      <w:r w:rsidRPr="003B3476">
        <w:rPr>
          <w:i/>
          <w:lang w:val="fr-FR" w:eastAsia="fr-FR" w:bidi="fr-FR"/>
        </w:rPr>
        <w:t>Le commerce des grains dans la généralité d'Orléans (1768), Études sur l'histoire économique de la France</w:t>
      </w:r>
      <w:r w:rsidRPr="003B3476">
        <w:rPr>
          <w:bCs/>
        </w:rPr>
        <w:t>, p. 1-80 (publiée antérieur</w:t>
      </w:r>
      <w:r w:rsidRPr="003B3476">
        <w:rPr>
          <w:bCs/>
        </w:rPr>
        <w:t>e</w:t>
      </w:r>
      <w:r w:rsidRPr="003B3476">
        <w:rPr>
          <w:bCs/>
        </w:rPr>
        <w:t xml:space="preserve">ment dans </w:t>
      </w:r>
      <w:r w:rsidRPr="003B3476">
        <w:rPr>
          <w:i/>
          <w:lang w:val="fr-FR" w:eastAsia="fr-FR" w:bidi="fr-FR"/>
        </w:rPr>
        <w:t>Mém. Soc. archéol. Orléanais</w:t>
      </w:r>
      <w:r w:rsidRPr="003B3476">
        <w:rPr>
          <w:bCs/>
        </w:rPr>
        <w:t>, t. XXVII (1898), p. 351-519) ; Ma</w:t>
      </w:r>
      <w:r w:rsidRPr="003B3476">
        <w:rPr>
          <w:bCs/>
        </w:rPr>
        <w:t>u</w:t>
      </w:r>
      <w:r w:rsidRPr="003B3476">
        <w:rPr>
          <w:bCs/>
        </w:rPr>
        <w:t xml:space="preserve">rice </w:t>
      </w:r>
      <w:r w:rsidRPr="003B3476">
        <w:rPr>
          <w:rStyle w:val="Notedebasdepage265ptNonItaliquePetitesmajuscules"/>
          <w:b w:val="0"/>
          <w:iCs/>
          <w:sz w:val="24"/>
        </w:rPr>
        <w:t>Lecomte</w:t>
      </w:r>
      <w:r w:rsidRPr="003B3476">
        <w:rPr>
          <w:rStyle w:val="Notedebasdepage265ptNonItaliquePetitesmajuscules"/>
          <w:b w:val="0"/>
          <w:i/>
          <w:iCs/>
          <w:sz w:val="24"/>
        </w:rPr>
        <w:t xml:space="preserve">, </w:t>
      </w:r>
      <w:r w:rsidRPr="003B3476">
        <w:rPr>
          <w:i/>
          <w:lang w:val="fr-FR" w:eastAsia="fr-FR" w:bidi="fr-FR"/>
        </w:rPr>
        <w:t>La disette des blés en Brie et Gâtinais de 1693 à 1709, Brie et Gâtinais</w:t>
      </w:r>
      <w:r w:rsidRPr="003B3476">
        <w:rPr>
          <w:bCs/>
        </w:rPr>
        <w:t xml:space="preserve">, t. I (1909), p. 134-139, 204-208, 278-283, 342-348 ; </w:t>
      </w:r>
      <w:r w:rsidRPr="003B3476">
        <w:rPr>
          <w:rStyle w:val="Notedebasdepage265ptNonItaliquePetitesmajuscules"/>
          <w:b w:val="0"/>
          <w:iCs/>
          <w:sz w:val="24"/>
        </w:rPr>
        <w:t>Grave</w:t>
      </w:r>
      <w:r w:rsidRPr="003B3476">
        <w:rPr>
          <w:rStyle w:val="Notedebasdepage265ptNonItaliquePetitesmajuscules"/>
          <w:b w:val="0"/>
          <w:i/>
          <w:iCs/>
          <w:sz w:val="24"/>
        </w:rPr>
        <w:t xml:space="preserve">, </w:t>
      </w:r>
      <w:r w:rsidRPr="003B3476">
        <w:rPr>
          <w:i/>
          <w:lang w:val="fr-FR" w:eastAsia="fr-FR" w:bidi="fr-FR"/>
        </w:rPr>
        <w:t>Le se</w:t>
      </w:r>
      <w:r w:rsidRPr="003B3476">
        <w:rPr>
          <w:i/>
          <w:lang w:val="fr-FR" w:eastAsia="fr-FR" w:bidi="fr-FR"/>
        </w:rPr>
        <w:t>r</w:t>
      </w:r>
      <w:r w:rsidRPr="003B3476">
        <w:rPr>
          <w:i/>
          <w:lang w:val="fr-FR" w:eastAsia="fr-FR" w:bidi="fr-FR"/>
        </w:rPr>
        <w:t>vice des subsistances à Mantes, d'après le registre des délibérations. Reche</w:t>
      </w:r>
      <w:r w:rsidRPr="003B3476">
        <w:rPr>
          <w:i/>
          <w:lang w:val="fr-FR" w:eastAsia="fr-FR" w:bidi="fr-FR"/>
        </w:rPr>
        <w:t>r</w:t>
      </w:r>
      <w:r w:rsidRPr="003B3476">
        <w:rPr>
          <w:i/>
          <w:lang w:val="fr-FR" w:eastAsia="fr-FR" w:bidi="fr-FR"/>
        </w:rPr>
        <w:t>che et doc. relat. à la vie économ. de la Révol. Com.</w:t>
      </w:r>
      <w:r w:rsidRPr="003B3476">
        <w:rPr>
          <w:lang w:val="fr-FR" w:eastAsia="fr-FR" w:bidi="fr-FR"/>
        </w:rPr>
        <w:t xml:space="preserve"> </w:t>
      </w:r>
      <w:r w:rsidRPr="003B3476">
        <w:rPr>
          <w:i/>
          <w:lang w:val="fr-FR" w:eastAsia="fr-FR" w:bidi="fr-FR"/>
        </w:rPr>
        <w:t>département. Seine-et-Oise</w:t>
      </w:r>
      <w:r w:rsidRPr="003B3476">
        <w:rPr>
          <w:bCs/>
        </w:rPr>
        <w:t xml:space="preserve">, fasc. 1 (1907), p. 53-71, et </w:t>
      </w:r>
      <w:r w:rsidRPr="003B3476">
        <w:rPr>
          <w:i/>
          <w:lang w:val="fr-FR" w:eastAsia="fr-FR" w:bidi="fr-FR"/>
        </w:rPr>
        <w:t>Les subsistances à Manies en 1793 et 1794.</w:t>
      </w:r>
      <w:r w:rsidRPr="003B3476">
        <w:rPr>
          <w:lang w:val="fr-FR" w:eastAsia="fr-FR" w:bidi="fr-FR"/>
        </w:rPr>
        <w:t xml:space="preserve"> </w:t>
      </w:r>
      <w:r w:rsidRPr="003B3476">
        <w:rPr>
          <w:i/>
          <w:lang w:val="fr-FR" w:eastAsia="fr-FR" w:bidi="fr-FR"/>
        </w:rPr>
        <w:t>Ibid.</w:t>
      </w:r>
      <w:r w:rsidRPr="003B3476">
        <w:rPr>
          <w:lang w:val="fr-FR" w:eastAsia="fr-FR" w:bidi="fr-FR"/>
        </w:rPr>
        <w:t>,</w:t>
      </w:r>
      <w:r w:rsidRPr="003B3476">
        <w:rPr>
          <w:bCs/>
        </w:rPr>
        <w:t xml:space="preserve"> fasc. 2 (1908), p. 60-70 ; P. </w:t>
      </w:r>
      <w:r w:rsidRPr="003B3476">
        <w:rPr>
          <w:rStyle w:val="Notedebasdepage265ptNonItaliquePetitesmajuscules"/>
          <w:b w:val="0"/>
          <w:iCs/>
          <w:sz w:val="24"/>
        </w:rPr>
        <w:t>Caron</w:t>
      </w:r>
      <w:r w:rsidRPr="003B3476">
        <w:rPr>
          <w:rStyle w:val="Notedebasdepage265ptNonItaliquePetitesmajuscules"/>
          <w:b w:val="0"/>
          <w:i/>
          <w:iCs/>
          <w:sz w:val="24"/>
        </w:rPr>
        <w:t xml:space="preserve"> </w:t>
      </w:r>
      <w:r w:rsidRPr="003B3476">
        <w:rPr>
          <w:bCs/>
        </w:rPr>
        <w:t>et L. </w:t>
      </w:r>
      <w:r w:rsidRPr="003B3476">
        <w:rPr>
          <w:rStyle w:val="Notedebasdepage265ptNonItaliquePetitesmajuscules"/>
          <w:b w:val="0"/>
          <w:iCs/>
          <w:sz w:val="24"/>
        </w:rPr>
        <w:t>Raulet</w:t>
      </w:r>
      <w:r w:rsidRPr="003B3476">
        <w:rPr>
          <w:rStyle w:val="Notedebasdepage265ptNonItaliquePetitesmajuscules"/>
          <w:b w:val="0"/>
          <w:i/>
          <w:iCs/>
          <w:sz w:val="24"/>
        </w:rPr>
        <w:t xml:space="preserve">, </w:t>
      </w:r>
      <w:r w:rsidRPr="003B3476">
        <w:rPr>
          <w:i/>
          <w:lang w:val="fr-FR" w:eastAsia="fr-FR" w:bidi="fr-FR"/>
        </w:rPr>
        <w:t>Le comité des subsi</w:t>
      </w:r>
      <w:r w:rsidRPr="003B3476">
        <w:rPr>
          <w:i/>
          <w:lang w:val="fr-FR" w:eastAsia="fr-FR" w:bidi="fr-FR"/>
        </w:rPr>
        <w:t>s</w:t>
      </w:r>
      <w:r w:rsidRPr="003B3476">
        <w:rPr>
          <w:i/>
          <w:lang w:val="fr-FR" w:eastAsia="fr-FR" w:bidi="fr-FR"/>
        </w:rPr>
        <w:t>tances de Meulan et l'approvisionnement de Paris (1789-1791),</w:t>
      </w:r>
      <w:r w:rsidRPr="003B3476">
        <w:rPr>
          <w:lang w:val="fr-FR" w:eastAsia="fr-FR" w:bidi="fr-FR"/>
        </w:rPr>
        <w:t xml:space="preserve"> </w:t>
      </w:r>
      <w:r w:rsidRPr="003B3476">
        <w:rPr>
          <w:i/>
          <w:lang w:val="fr-FR" w:eastAsia="fr-FR" w:bidi="fr-FR"/>
        </w:rPr>
        <w:t>Bullet. Co</w:t>
      </w:r>
      <w:r w:rsidRPr="003B3476">
        <w:rPr>
          <w:i/>
          <w:lang w:val="fr-FR" w:eastAsia="fr-FR" w:bidi="fr-FR"/>
        </w:rPr>
        <w:t>m</w:t>
      </w:r>
      <w:r w:rsidRPr="003B3476">
        <w:rPr>
          <w:i/>
          <w:lang w:val="fr-FR" w:eastAsia="fr-FR" w:bidi="fr-FR"/>
        </w:rPr>
        <w:t>miss recherche des doc. relat. à la vie économ. de la Révol</w:t>
      </w:r>
      <w:r w:rsidRPr="003B3476">
        <w:rPr>
          <w:lang w:val="fr-FR" w:eastAsia="fr-FR" w:bidi="fr-FR"/>
        </w:rPr>
        <w:t>.,</w:t>
      </w:r>
      <w:r w:rsidRPr="003B3476">
        <w:rPr>
          <w:bCs/>
        </w:rPr>
        <w:t xml:space="preserve"> 1908, p. 25-66.</w:t>
      </w:r>
    </w:p>
  </w:footnote>
  <w:footnote w:id="747">
    <w:p w14:paraId="7AD240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In-8°, Melun, 1897, 88 p.</w:t>
      </w:r>
    </w:p>
  </w:footnote>
  <w:footnote w:id="748">
    <w:p w14:paraId="6F0B1E6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Quelques recherches sur le port d'Étampes</w:t>
      </w:r>
      <w:r w:rsidRPr="003B3476">
        <w:rPr>
          <w:lang w:val="fr-FR" w:eastAsia="fr-FR" w:bidi="fr-FR"/>
        </w:rPr>
        <w:t>,</w:t>
      </w:r>
      <w:r w:rsidRPr="003B3476">
        <w:rPr>
          <w:bCs/>
        </w:rPr>
        <w:t xml:space="preserve"> in-8°, Étampes, 1860, 90 p.</w:t>
      </w:r>
    </w:p>
  </w:footnote>
  <w:footnote w:id="749">
    <w:p w14:paraId="189949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Recherches sur la navigation d'Étampes à Corbeil depuis le XV</w:t>
      </w:r>
      <w:r w:rsidRPr="003B3476">
        <w:rPr>
          <w:i/>
          <w:vertAlign w:val="superscript"/>
          <w:lang w:val="fr-FR" w:eastAsia="fr-FR" w:bidi="fr-FR"/>
        </w:rPr>
        <w:t>e</w:t>
      </w:r>
      <w:r w:rsidRPr="003B3476">
        <w:rPr>
          <w:i/>
          <w:lang w:val="fr-FR" w:eastAsia="fr-FR" w:bidi="fr-FR"/>
        </w:rPr>
        <w:t xml:space="preserve"> siècle jusqu'à sa suppression en 1676, suivies d'un exposé historique des tentatives faites au </w:t>
      </w:r>
      <w:r w:rsidRPr="003B3476">
        <w:rPr>
          <w:bCs/>
          <w:i/>
          <w:iCs/>
        </w:rPr>
        <w:t>XVIII</w:t>
      </w:r>
      <w:r w:rsidRPr="003B3476">
        <w:rPr>
          <w:bCs/>
          <w:i/>
          <w:iCs/>
          <w:vertAlign w:val="superscript"/>
        </w:rPr>
        <w:t>e</w:t>
      </w:r>
      <w:r w:rsidRPr="003B3476">
        <w:rPr>
          <w:i/>
          <w:lang w:val="fr-FR" w:eastAsia="fr-FR" w:bidi="fr-FR"/>
        </w:rPr>
        <w:t xml:space="preserve"> siècle pour son rétablissement, d'après des documents inédits</w:t>
      </w:r>
      <w:r w:rsidRPr="003B3476">
        <w:rPr>
          <w:lang w:val="fr-FR" w:eastAsia="fr-FR" w:bidi="fr-FR"/>
        </w:rPr>
        <w:t xml:space="preserve">, </w:t>
      </w:r>
      <w:r w:rsidRPr="003B3476">
        <w:rPr>
          <w:i/>
          <w:lang w:val="fr-FR" w:eastAsia="fr-FR" w:bidi="fr-FR"/>
        </w:rPr>
        <w:t>Bullet. Soc. histor. Corbeil</w:t>
      </w:r>
      <w:r w:rsidRPr="003B3476">
        <w:rPr>
          <w:lang w:val="fr-FR" w:eastAsia="fr-FR" w:bidi="fr-FR"/>
        </w:rPr>
        <w:t>,</w:t>
      </w:r>
      <w:r w:rsidRPr="003B3476">
        <w:rPr>
          <w:bCs/>
        </w:rPr>
        <w:t xml:space="preserve"> t. V (1899), p. 118-158.</w:t>
      </w:r>
    </w:p>
  </w:footnote>
  <w:footnote w:id="750">
    <w:p w14:paraId="4B9B15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Étude sur les droits de navigation de la Seine de Paris à la Roche-Guyon, du XI</w:t>
      </w:r>
      <w:r w:rsidRPr="003B3476">
        <w:rPr>
          <w:i/>
          <w:vertAlign w:val="superscript"/>
          <w:lang w:val="fr-FR" w:eastAsia="fr-FR" w:bidi="fr-FR"/>
        </w:rPr>
        <w:t>e</w:t>
      </w:r>
      <w:r w:rsidRPr="003B3476">
        <w:rPr>
          <w:i/>
          <w:lang w:val="fr-FR" w:eastAsia="fr-FR" w:bidi="fr-FR"/>
        </w:rPr>
        <w:t xml:space="preserve"> au </w:t>
      </w:r>
      <w:r w:rsidRPr="003B3476">
        <w:rPr>
          <w:bCs/>
          <w:i/>
          <w:iCs/>
        </w:rPr>
        <w:t>XVIII</w:t>
      </w:r>
      <w:r w:rsidRPr="003B3476">
        <w:rPr>
          <w:bCs/>
          <w:i/>
          <w:iCs/>
          <w:vertAlign w:val="superscript"/>
        </w:rPr>
        <w:t>e</w:t>
      </w:r>
      <w:r w:rsidRPr="003B3476">
        <w:rPr>
          <w:i/>
          <w:lang w:val="fr-FR" w:eastAsia="fr-FR" w:bidi="fr-FR"/>
        </w:rPr>
        <w:t xml:space="preserve"> siècle</w:t>
      </w:r>
      <w:r w:rsidRPr="003B3476">
        <w:rPr>
          <w:lang w:val="fr-FR" w:eastAsia="fr-FR" w:bidi="fr-FR"/>
        </w:rPr>
        <w:t>,</w:t>
      </w:r>
      <w:r w:rsidRPr="003B3476">
        <w:rPr>
          <w:bCs/>
        </w:rPr>
        <w:t xml:space="preserve"> in-8°, Paris, 1889, </w:t>
      </w:r>
      <w:r w:rsidRPr="003B3476">
        <w:rPr>
          <w:rStyle w:val="Notedebasdepage265ptNonItalique"/>
          <w:b w:val="0"/>
          <w:i/>
          <w:iCs/>
          <w:sz w:val="24"/>
        </w:rPr>
        <w:t xml:space="preserve">ix </w:t>
      </w:r>
      <w:r w:rsidRPr="003B3476">
        <w:rPr>
          <w:bCs/>
        </w:rPr>
        <w:t xml:space="preserve">+ 139 p. Pour le Moyen Age, </w:t>
      </w:r>
      <w:r w:rsidRPr="003B3476">
        <w:rPr>
          <w:i/>
          <w:lang w:val="fr-FR" w:eastAsia="fr-FR" w:bidi="fr-FR"/>
        </w:rPr>
        <w:t>cf</w:t>
      </w:r>
      <w:r w:rsidRPr="003B3476">
        <w:rPr>
          <w:lang w:val="fr-FR" w:eastAsia="fr-FR" w:bidi="fr-FR"/>
        </w:rPr>
        <w:t>.</w:t>
      </w:r>
      <w:r w:rsidRPr="003B3476">
        <w:rPr>
          <w:bCs/>
        </w:rPr>
        <w:t xml:space="preserve"> G. </w:t>
      </w:r>
      <w:r w:rsidRPr="003B3476">
        <w:rPr>
          <w:rStyle w:val="Notedebasdepage265ptNonItaliquePetitesmajuscules"/>
          <w:b w:val="0"/>
          <w:iCs/>
          <w:sz w:val="24"/>
        </w:rPr>
        <w:t>Huisman</w:t>
      </w:r>
      <w:r w:rsidRPr="003B3476">
        <w:rPr>
          <w:rStyle w:val="Notedebasdepage265ptNonItaliquePetitesmajuscules"/>
          <w:b w:val="0"/>
          <w:i/>
          <w:iCs/>
          <w:sz w:val="24"/>
        </w:rPr>
        <w:t xml:space="preserve">, </w:t>
      </w:r>
      <w:r w:rsidRPr="003B3476">
        <w:rPr>
          <w:i/>
          <w:lang w:val="fr-FR" w:eastAsia="fr-FR" w:bidi="fr-FR"/>
        </w:rPr>
        <w:t>La juridiction de la municipalité parisienne de saint Louis à Cha</w:t>
      </w:r>
      <w:r w:rsidRPr="003B3476">
        <w:rPr>
          <w:i/>
          <w:lang w:val="fr-FR" w:eastAsia="fr-FR" w:bidi="fr-FR"/>
        </w:rPr>
        <w:t>r</w:t>
      </w:r>
      <w:r w:rsidRPr="003B3476">
        <w:rPr>
          <w:i/>
          <w:lang w:val="fr-FR" w:eastAsia="fr-FR" w:bidi="fr-FR"/>
        </w:rPr>
        <w:t>les VII</w:t>
      </w:r>
      <w:r w:rsidRPr="003B3476">
        <w:rPr>
          <w:lang w:val="fr-FR" w:eastAsia="fr-FR" w:bidi="fr-FR"/>
        </w:rPr>
        <w:t xml:space="preserve"> (</w:t>
      </w:r>
      <w:r w:rsidRPr="003B3476">
        <w:rPr>
          <w:i/>
          <w:lang w:val="fr-FR" w:eastAsia="fr-FR" w:bidi="fr-FR"/>
        </w:rPr>
        <w:t>Biblioth. d'hist. de Paris publiée sous les auspices du service de la Bibl. de la Ville</w:t>
      </w:r>
      <w:r w:rsidRPr="003B3476">
        <w:rPr>
          <w:lang w:val="fr-FR" w:eastAsia="fr-FR" w:bidi="fr-FR"/>
        </w:rPr>
        <w:t>),</w:t>
      </w:r>
      <w:r w:rsidRPr="003B3476">
        <w:rPr>
          <w:bCs/>
        </w:rPr>
        <w:t xml:space="preserve"> in-8°, Paris, 1912, chap. </w:t>
      </w:r>
      <w:r w:rsidRPr="003B3476">
        <w:rPr>
          <w:bCs/>
          <w:smallCaps/>
        </w:rPr>
        <w:t>iii</w:t>
      </w:r>
      <w:r w:rsidRPr="003B3476">
        <w:rPr>
          <w:bCs/>
        </w:rPr>
        <w:t>.</w:t>
      </w:r>
    </w:p>
  </w:footnote>
  <w:footnote w:id="751">
    <w:p w14:paraId="179E65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H. </w:t>
      </w:r>
      <w:r w:rsidRPr="003B3476">
        <w:rPr>
          <w:rStyle w:val="Notedebasdepage265ptNonItaliquePetitesmajuscules"/>
          <w:b w:val="0"/>
          <w:i/>
          <w:iCs/>
          <w:sz w:val="24"/>
        </w:rPr>
        <w:t>Ste</w:t>
      </w:r>
      <w:r w:rsidRPr="0049721E">
        <w:rPr>
          <w:rStyle w:val="Notedebasdepage265ptNonItaliquePetitesmajuscules"/>
          <w:b w:val="0"/>
          <w:iCs/>
          <w:sz w:val="24"/>
        </w:rPr>
        <w:t>i</w:t>
      </w:r>
      <w:r w:rsidRPr="003B3476">
        <w:rPr>
          <w:rStyle w:val="Notedebasdepage265ptNonItaliquePetitesmajuscules"/>
          <w:b w:val="0"/>
          <w:i/>
          <w:iCs/>
          <w:sz w:val="24"/>
        </w:rPr>
        <w:t xml:space="preserve">n, </w:t>
      </w:r>
      <w:r w:rsidRPr="003B3476">
        <w:rPr>
          <w:i/>
          <w:lang w:val="fr-FR" w:eastAsia="fr-FR" w:bidi="fr-FR"/>
        </w:rPr>
        <w:t>La papeterie d'Essonnes, Ann. Soc. histor. Gâtinais</w:t>
      </w:r>
      <w:r w:rsidRPr="003B3476">
        <w:rPr>
          <w:lang w:val="fr-FR" w:eastAsia="fr-FR" w:bidi="fr-FR"/>
        </w:rPr>
        <w:t>,</w:t>
      </w:r>
      <w:r w:rsidRPr="003B3476">
        <w:rPr>
          <w:bCs/>
        </w:rPr>
        <w:t xml:space="preserve"> t. XII (1894), p. 335-364 ; Fern. </w:t>
      </w:r>
      <w:r w:rsidRPr="003B3476">
        <w:rPr>
          <w:rStyle w:val="Notedebasdepage265ptNonItaliquePetitesmajuscules"/>
          <w:b w:val="0"/>
          <w:iCs/>
          <w:sz w:val="24"/>
        </w:rPr>
        <w:t>Gerbaux</w:t>
      </w:r>
      <w:r w:rsidRPr="003B3476">
        <w:rPr>
          <w:rStyle w:val="Notedebasdepage265ptNonItaliquePetitesmajuscules"/>
          <w:b w:val="0"/>
          <w:i/>
          <w:iCs/>
          <w:sz w:val="24"/>
        </w:rPr>
        <w:t xml:space="preserve">, </w:t>
      </w:r>
      <w:r w:rsidRPr="003B3476">
        <w:rPr>
          <w:i/>
          <w:lang w:val="fr-FR" w:eastAsia="fr-FR" w:bidi="fr-FR"/>
        </w:rPr>
        <w:t>Les papeteries d'Essonnes, de Courtalin et du M</w:t>
      </w:r>
      <w:r w:rsidRPr="003B3476">
        <w:rPr>
          <w:i/>
          <w:lang w:val="fr-FR" w:eastAsia="fr-FR" w:bidi="fr-FR"/>
        </w:rPr>
        <w:t>a</w:t>
      </w:r>
      <w:r w:rsidRPr="003B3476">
        <w:rPr>
          <w:i/>
          <w:lang w:val="fr-FR" w:eastAsia="fr-FR" w:bidi="fr-FR"/>
        </w:rPr>
        <w:t>rais, de 1791 à 1794</w:t>
      </w:r>
      <w:r w:rsidRPr="003B3476">
        <w:rPr>
          <w:lang w:val="fr-FR" w:eastAsia="fr-FR" w:bidi="fr-FR"/>
        </w:rPr>
        <w:t xml:space="preserve">, </w:t>
      </w:r>
      <w:r w:rsidRPr="003B3476">
        <w:rPr>
          <w:i/>
          <w:lang w:val="fr-FR" w:eastAsia="fr-FR" w:bidi="fr-FR"/>
        </w:rPr>
        <w:t>Le Bibliogr. mod</w:t>
      </w:r>
      <w:r w:rsidRPr="003B3476">
        <w:rPr>
          <w:lang w:val="fr-FR" w:eastAsia="fr-FR" w:bidi="fr-FR"/>
        </w:rPr>
        <w:t>.,</w:t>
      </w:r>
      <w:r w:rsidRPr="003B3476">
        <w:rPr>
          <w:bCs/>
        </w:rPr>
        <w:t xml:space="preserve"> t. III (1899), p. 206-215.</w:t>
      </w:r>
    </w:p>
  </w:footnote>
  <w:footnote w:id="752">
    <w:p w14:paraId="329E53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In-4°, Paris, 1728.</w:t>
      </w:r>
    </w:p>
  </w:footnote>
  <w:footnote w:id="753">
    <w:p w14:paraId="7EEE02F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Page 3 de la </w:t>
      </w:r>
      <w:r w:rsidRPr="003B3476">
        <w:rPr>
          <w:bCs/>
          <w:i/>
        </w:rPr>
        <w:t>Préface</w:t>
      </w:r>
      <w:r w:rsidRPr="003B3476">
        <w:rPr>
          <w:bCs/>
        </w:rPr>
        <w:t>.</w:t>
      </w:r>
    </w:p>
  </w:footnote>
  <w:footnote w:id="754">
    <w:p w14:paraId="0BF4A9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va de soi que je laisse de côté, en ce moment, tout ce qui est instrument de travail, recueil de textes, ou simple dégrossissement de la matière historique.</w:t>
      </w:r>
    </w:p>
  </w:footnote>
  <w:footnote w:id="755">
    <w:p w14:paraId="441F2E7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p. 735, n. 1.</w:t>
      </w:r>
    </w:p>
  </w:footnote>
  <w:footnote w:id="756">
    <w:p w14:paraId="7B4751E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Journal de psychologie normale et pathologique</w:t>
      </w:r>
      <w:r w:rsidRPr="003B3476">
        <w:rPr>
          <w:bCs/>
        </w:rPr>
        <w:t>, janv.-mars 1948, p. 104-115.</w:t>
      </w:r>
    </w:p>
  </w:footnote>
  <w:footnote w:id="757">
    <w:p w14:paraId="7A1E7C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 Bloch se réfère à la communication faite par M. Daniel Faucher au cours de la Journée de Psychologie et d’Histoire du travail et des Techniques du 23 juin 1941. </w:t>
      </w:r>
      <w:r w:rsidRPr="003B3476">
        <w:rPr>
          <w:bCs/>
          <w:i/>
        </w:rPr>
        <w:t>Cf.</w:t>
      </w:r>
      <w:r w:rsidRPr="003B3476">
        <w:rPr>
          <w:bCs/>
        </w:rPr>
        <w:t xml:space="preserve"> </w:t>
      </w:r>
      <w:r w:rsidRPr="003B3476">
        <w:rPr>
          <w:bCs/>
          <w:i/>
        </w:rPr>
        <w:t>Le Travail et les Techniques</w:t>
      </w:r>
      <w:r w:rsidRPr="003B3476">
        <w:rPr>
          <w:lang w:val="fr-FR" w:eastAsia="fr-FR" w:bidi="fr-FR"/>
        </w:rPr>
        <w:t xml:space="preserve">, numéro spécial du </w:t>
      </w:r>
      <w:r w:rsidRPr="003B3476">
        <w:rPr>
          <w:bCs/>
          <w:i/>
        </w:rPr>
        <w:t>Journal de Psychologie</w:t>
      </w:r>
      <w:r w:rsidRPr="003B3476">
        <w:rPr>
          <w:lang w:val="fr-FR" w:eastAsia="fr-FR" w:bidi="fr-FR"/>
        </w:rPr>
        <w:t>, 1948.</w:t>
      </w:r>
    </w:p>
  </w:footnote>
  <w:footnote w:id="758">
    <w:p w14:paraId="7E97B27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Lex Alamannorum</w:t>
      </w:r>
      <w:r w:rsidRPr="003B3476">
        <w:rPr>
          <w:lang w:val="fr-FR" w:eastAsia="fr-FR" w:bidi="fr-FR"/>
        </w:rPr>
        <w:t xml:space="preserve">, LXXX ; </w:t>
      </w:r>
      <w:r w:rsidRPr="003B3476">
        <w:rPr>
          <w:i/>
        </w:rPr>
        <w:t>Lex Baiwariorum</w:t>
      </w:r>
      <w:r w:rsidRPr="003B3476">
        <w:rPr>
          <w:lang w:val="fr-FR" w:eastAsia="fr-FR" w:bidi="fr-FR"/>
        </w:rPr>
        <w:t xml:space="preserve">, IX, 2 ; </w:t>
      </w:r>
      <w:r w:rsidRPr="003B3476">
        <w:rPr>
          <w:i/>
        </w:rPr>
        <w:t>S.S. rer. merov</w:t>
      </w:r>
      <w:r w:rsidRPr="003B3476">
        <w:t>.,</w:t>
      </w:r>
      <w:r w:rsidRPr="003B3476">
        <w:rPr>
          <w:lang w:val="fr-FR" w:eastAsia="fr-FR" w:bidi="fr-FR"/>
        </w:rPr>
        <w:t xml:space="preserve"> t. IV, p. 513 ; </w:t>
      </w:r>
      <w:r w:rsidRPr="003B3476">
        <w:rPr>
          <w:i/>
        </w:rPr>
        <w:t>Diplomata Karolina</w:t>
      </w:r>
      <w:r w:rsidRPr="003B3476">
        <w:t>,</w:t>
      </w:r>
      <w:r w:rsidRPr="003B3476">
        <w:rPr>
          <w:lang w:val="fr-FR" w:eastAsia="fr-FR" w:bidi="fr-FR"/>
        </w:rPr>
        <w:t xml:space="preserve"> t. I, n° 104 ; </w:t>
      </w:r>
      <w:r w:rsidRPr="003B3476">
        <w:t>S.S..,</w:t>
      </w:r>
      <w:r w:rsidRPr="003B3476">
        <w:rPr>
          <w:lang w:val="fr-FR" w:eastAsia="fr-FR" w:bidi="fr-FR"/>
        </w:rPr>
        <w:t xml:space="preserve"> t. XV, 1, p. 127. La citation de 837 que W. </w:t>
      </w:r>
      <w:r w:rsidRPr="003B3476">
        <w:rPr>
          <w:rStyle w:val="Notedebasdepage65ptPetitesmajuscules"/>
          <w:b w:val="0"/>
          <w:sz w:val="24"/>
        </w:rPr>
        <w:t xml:space="preserve">Arnold ; </w:t>
      </w:r>
      <w:r w:rsidRPr="003B3476">
        <w:rPr>
          <w:i/>
        </w:rPr>
        <w:t>Ansiedlungen und Wanderungen der deutschen Stàmme</w:t>
      </w:r>
      <w:r w:rsidRPr="003B3476">
        <w:rPr>
          <w:i/>
          <w:lang w:val="fr-FR" w:eastAsia="fr-FR" w:bidi="fr-FR"/>
        </w:rPr>
        <w:t xml:space="preserve"> </w:t>
      </w:r>
      <w:r w:rsidRPr="003B3476">
        <w:rPr>
          <w:lang w:val="fr-FR" w:eastAsia="fr-FR" w:bidi="fr-FR"/>
        </w:rPr>
        <w:t xml:space="preserve">(p. 592), a empruntée </w:t>
      </w:r>
      <w:r w:rsidRPr="003B3476">
        <w:t xml:space="preserve">à </w:t>
      </w:r>
      <w:r w:rsidRPr="003B3476">
        <w:rPr>
          <w:rStyle w:val="Notedebasdepage65ptPetitesmajuscules"/>
          <w:b w:val="0"/>
          <w:sz w:val="24"/>
        </w:rPr>
        <w:t>Dronke</w:t>
      </w:r>
      <w:r w:rsidRPr="003B3476">
        <w:rPr>
          <w:rStyle w:val="Notedebasdepage65ptPetitesmajuscules"/>
          <w:b w:val="0"/>
          <w:i/>
          <w:sz w:val="24"/>
        </w:rPr>
        <w:t xml:space="preserve">, </w:t>
      </w:r>
      <w:r w:rsidRPr="003B3476">
        <w:rPr>
          <w:i/>
        </w:rPr>
        <w:t>Codex</w:t>
      </w:r>
      <w:r w:rsidRPr="003B3476">
        <w:rPr>
          <w:i/>
          <w:lang w:val="fr-FR" w:eastAsia="fr-FR" w:bidi="fr-FR"/>
        </w:rPr>
        <w:t xml:space="preserve">, </w:t>
      </w:r>
      <w:r w:rsidRPr="003B3476">
        <w:rPr>
          <w:i/>
        </w:rPr>
        <w:t>diplomaticus Fuldensis</w:t>
      </w:r>
      <w:r w:rsidRPr="003B3476">
        <w:rPr>
          <w:lang w:val="fr-FR" w:eastAsia="fr-FR" w:bidi="fr-FR"/>
        </w:rPr>
        <w:t xml:space="preserve">, n° 504, n’est pas probante, le mot </w:t>
      </w:r>
      <w:r w:rsidRPr="003B3476">
        <w:rPr>
          <w:i/>
        </w:rPr>
        <w:t>farmariis</w:t>
      </w:r>
      <w:r w:rsidRPr="003B3476">
        <w:rPr>
          <w:lang w:val="fr-FR" w:eastAsia="fr-FR" w:bidi="fr-FR"/>
        </w:rPr>
        <w:t xml:space="preserve"> n’apparaissant que dans la form</w:t>
      </w:r>
      <w:r w:rsidRPr="003B3476">
        <w:rPr>
          <w:lang w:val="fr-FR" w:eastAsia="fr-FR" w:bidi="fr-FR"/>
        </w:rPr>
        <w:t>u</w:t>
      </w:r>
      <w:r w:rsidRPr="003B3476">
        <w:rPr>
          <w:lang w:val="fr-FR" w:eastAsia="fr-FR" w:bidi="fr-FR"/>
        </w:rPr>
        <w:t>le stéréotypée des « appartenances ». —Par l’exemple de Mühlhausen, on voit tout le profit que l’histoire de la propagation du moulin pourrait retirer d’une étude systémat</w:t>
      </w:r>
      <w:r w:rsidRPr="003B3476">
        <w:rPr>
          <w:lang w:val="fr-FR" w:eastAsia="fr-FR" w:bidi="fr-FR"/>
        </w:rPr>
        <w:t>i</w:t>
      </w:r>
      <w:r w:rsidRPr="003B3476">
        <w:rPr>
          <w:lang w:val="fr-FR" w:eastAsia="fr-FR" w:bidi="fr-FR"/>
        </w:rPr>
        <w:t>que de la toponymie.</w:t>
      </w:r>
    </w:p>
  </w:footnote>
  <w:footnote w:id="759">
    <w:p w14:paraId="1CA675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J. </w:t>
      </w:r>
      <w:r w:rsidRPr="003B3476">
        <w:rPr>
          <w:smallCaps/>
        </w:rPr>
        <w:t>Déchelette</w:t>
      </w:r>
      <w:r w:rsidRPr="003B3476">
        <w:t xml:space="preserve">, </w:t>
      </w:r>
      <w:r w:rsidRPr="003B3476">
        <w:rPr>
          <w:rStyle w:val="Notedebasdepage275ptItalique"/>
          <w:b w:val="0"/>
          <w:sz w:val="24"/>
        </w:rPr>
        <w:t>Manuel d'archéologie</w:t>
      </w:r>
      <w:r w:rsidRPr="003B3476">
        <w:t xml:space="preserve">, </w:t>
      </w:r>
      <w:r w:rsidRPr="003B3476">
        <w:rPr>
          <w:lang w:val="fr-FR" w:eastAsia="fr-FR" w:bidi="fr-FR"/>
        </w:rPr>
        <w:t xml:space="preserve">t. </w:t>
      </w:r>
      <w:r w:rsidRPr="003B3476">
        <w:t xml:space="preserve">II, </w:t>
      </w:r>
      <w:r w:rsidRPr="003B3476">
        <w:rPr>
          <w:lang w:val="fr-FR" w:eastAsia="fr-FR" w:bidi="fr-FR"/>
        </w:rPr>
        <w:t>3</w:t>
      </w:r>
      <w:r w:rsidRPr="003B3476">
        <w:rPr>
          <w:vertAlign w:val="superscript"/>
          <w:lang w:val="fr-FR" w:eastAsia="fr-FR" w:bidi="fr-FR"/>
        </w:rPr>
        <w:t>e</w:t>
      </w:r>
      <w:r w:rsidRPr="003B3476">
        <w:rPr>
          <w:lang w:val="fr-FR" w:eastAsia="fr-FR" w:bidi="fr-FR"/>
        </w:rPr>
        <w:t xml:space="preserve"> partie, p. 1386 et suiv.</w:t>
      </w:r>
    </w:p>
  </w:footnote>
  <w:footnote w:id="760">
    <w:p w14:paraId="3903A7A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Suétone</w:t>
      </w:r>
      <w:r w:rsidRPr="003B3476">
        <w:t xml:space="preserve">, </w:t>
      </w:r>
      <w:r w:rsidRPr="003B3476">
        <w:rPr>
          <w:rStyle w:val="Notedebasdepage275ptItalique"/>
          <w:b w:val="0"/>
          <w:sz w:val="24"/>
        </w:rPr>
        <w:t>Caligula</w:t>
      </w:r>
      <w:r w:rsidRPr="003B3476">
        <w:t>, 39.</w:t>
      </w:r>
    </w:p>
  </w:footnote>
  <w:footnote w:id="761">
    <w:p w14:paraId="5C427B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Strabon, </w:t>
      </w:r>
      <w:r w:rsidRPr="003B3476">
        <w:rPr>
          <w:lang w:val="fr-FR" w:eastAsia="fr-FR" w:bidi="fr-FR"/>
        </w:rPr>
        <w:t xml:space="preserve">XII, 556 ; </w:t>
      </w:r>
      <w:r w:rsidRPr="003B3476">
        <w:rPr>
          <w:bCs/>
          <w:i/>
        </w:rPr>
        <w:t>Antholog. Palat</w:t>
      </w:r>
      <w:r w:rsidRPr="003B3476">
        <w:rPr>
          <w:lang w:val="fr-FR" w:eastAsia="fr-FR" w:bidi="fr-FR"/>
        </w:rPr>
        <w:t>., IX, 418. L’épigramme est général</w:t>
      </w:r>
      <w:r w:rsidRPr="003B3476">
        <w:rPr>
          <w:lang w:val="fr-FR" w:eastAsia="fr-FR" w:bidi="fr-FR"/>
        </w:rPr>
        <w:t>e</w:t>
      </w:r>
      <w:r w:rsidRPr="003B3476">
        <w:rPr>
          <w:lang w:val="fr-FR" w:eastAsia="fr-FR" w:bidi="fr-FR"/>
        </w:rPr>
        <w:t xml:space="preserve">ment attribuée à Antipatros de Thessalonique. Le dernier éditeur, H. </w:t>
      </w:r>
      <w:r w:rsidRPr="003B3476">
        <w:rPr>
          <w:rStyle w:val="Notedebasdepage65ptPetitesmajuscules"/>
          <w:b w:val="0"/>
          <w:sz w:val="24"/>
        </w:rPr>
        <w:t>Stad</w:t>
      </w:r>
      <w:r w:rsidRPr="003B3476">
        <w:rPr>
          <w:rStyle w:val="Notedebasdepage65ptPetitesmajuscules"/>
          <w:b w:val="0"/>
          <w:sz w:val="24"/>
        </w:rPr>
        <w:t>t</w:t>
      </w:r>
      <w:r w:rsidRPr="003B3476">
        <w:rPr>
          <w:rStyle w:val="Notedebasdepage65ptPetitesmajuscules"/>
          <w:b w:val="0"/>
          <w:sz w:val="24"/>
        </w:rPr>
        <w:t xml:space="preserve">müller </w:t>
      </w:r>
      <w:r w:rsidRPr="003B3476">
        <w:rPr>
          <w:lang w:val="fr-FR" w:eastAsia="fr-FR" w:bidi="fr-FR"/>
        </w:rPr>
        <w:t>(</w:t>
      </w:r>
      <w:r w:rsidRPr="003B3476">
        <w:rPr>
          <w:bCs/>
          <w:i/>
        </w:rPr>
        <w:t>A</w:t>
      </w:r>
      <w:r w:rsidRPr="003B3476">
        <w:rPr>
          <w:bCs/>
          <w:i/>
        </w:rPr>
        <w:t>n</w:t>
      </w:r>
      <w:r w:rsidRPr="003B3476">
        <w:rPr>
          <w:bCs/>
          <w:i/>
        </w:rPr>
        <w:t>thologia graeca</w:t>
      </w:r>
      <w:r w:rsidRPr="003B3476">
        <w:rPr>
          <w:lang w:val="fr-FR" w:eastAsia="fr-FR" w:bidi="fr-FR"/>
        </w:rPr>
        <w:t xml:space="preserve">, t. II, 1, 1906), lui donne cependant pour auteur Antiphile de Byzance, à peu près contemporain, d’ailleurs, d’Antipatros ; </w:t>
      </w:r>
      <w:r w:rsidRPr="003B3476">
        <w:rPr>
          <w:rStyle w:val="Notedebasdepage65ptPetitesmajuscules"/>
          <w:b w:val="0"/>
          <w:sz w:val="24"/>
        </w:rPr>
        <w:t>V</w:t>
      </w:r>
      <w:r w:rsidRPr="003B3476">
        <w:rPr>
          <w:rStyle w:val="Notedebasdepage65ptPetitesmajuscules"/>
          <w:b w:val="0"/>
          <w:sz w:val="24"/>
        </w:rPr>
        <w:t>i</w:t>
      </w:r>
      <w:r w:rsidRPr="003B3476">
        <w:rPr>
          <w:rStyle w:val="Notedebasdepage65ptPetitesmajuscules"/>
          <w:b w:val="0"/>
          <w:sz w:val="24"/>
        </w:rPr>
        <w:t xml:space="preserve">truve, </w:t>
      </w:r>
      <w:r w:rsidRPr="003B3476">
        <w:rPr>
          <w:lang w:val="fr-FR" w:eastAsia="fr-FR" w:bidi="fr-FR"/>
        </w:rPr>
        <w:t xml:space="preserve">X, 257 ; </w:t>
      </w:r>
      <w:r w:rsidRPr="003B3476">
        <w:rPr>
          <w:rStyle w:val="Notedebasdepage65ptPetitesmajuscules"/>
          <w:b w:val="0"/>
          <w:sz w:val="24"/>
        </w:rPr>
        <w:t xml:space="preserve">Pline, </w:t>
      </w:r>
      <w:r w:rsidRPr="003B3476">
        <w:rPr>
          <w:lang w:val="fr-FR" w:eastAsia="fr-FR" w:bidi="fr-FR"/>
        </w:rPr>
        <w:t>XVIII, 23.</w:t>
      </w:r>
    </w:p>
  </w:footnote>
  <w:footnote w:id="762">
    <w:p w14:paraId="7D97C0B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Ausone</w:t>
      </w:r>
      <w:r w:rsidRPr="003B3476">
        <w:t xml:space="preserve">, </w:t>
      </w:r>
      <w:r w:rsidRPr="003B3476">
        <w:rPr>
          <w:rStyle w:val="Notedebasdepage275ptItalique"/>
          <w:b w:val="0"/>
          <w:sz w:val="24"/>
        </w:rPr>
        <w:t>Mosella</w:t>
      </w:r>
      <w:r w:rsidRPr="003B3476">
        <w:rPr>
          <w:lang w:val="fr-FR" w:eastAsia="fr-FR" w:bidi="fr-FR"/>
        </w:rPr>
        <w:t xml:space="preserve">, v. </w:t>
      </w:r>
      <w:r w:rsidRPr="003B3476">
        <w:t>362.</w:t>
      </w:r>
    </w:p>
  </w:footnote>
  <w:footnote w:id="763">
    <w:p w14:paraId="41C8A2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Lex Alamannorum</w:t>
      </w:r>
      <w:r w:rsidRPr="003B3476">
        <w:rPr>
          <w:lang w:val="fr-FR" w:eastAsia="fr-FR" w:bidi="fr-FR"/>
        </w:rPr>
        <w:t xml:space="preserve">, LXXX ; </w:t>
      </w:r>
      <w:r w:rsidRPr="003B3476">
        <w:rPr>
          <w:i/>
        </w:rPr>
        <w:t>Lex Baiwariorum</w:t>
      </w:r>
      <w:r w:rsidRPr="003B3476">
        <w:rPr>
          <w:lang w:val="fr-FR" w:eastAsia="fr-FR" w:bidi="fr-FR"/>
        </w:rPr>
        <w:t xml:space="preserve">, IX, 2 ; </w:t>
      </w:r>
      <w:r w:rsidRPr="003B3476">
        <w:rPr>
          <w:i/>
        </w:rPr>
        <w:t>S.S. rer. merov</w:t>
      </w:r>
      <w:r w:rsidRPr="003B3476">
        <w:t>.,</w:t>
      </w:r>
      <w:r w:rsidRPr="003B3476">
        <w:rPr>
          <w:lang w:val="fr-FR" w:eastAsia="fr-FR" w:bidi="fr-FR"/>
        </w:rPr>
        <w:t xml:space="preserve"> t. IV, p. 513 ; </w:t>
      </w:r>
      <w:r w:rsidRPr="003B3476">
        <w:rPr>
          <w:i/>
        </w:rPr>
        <w:t>Diplomata Karolina</w:t>
      </w:r>
      <w:r w:rsidRPr="003B3476">
        <w:t>,</w:t>
      </w:r>
      <w:r w:rsidRPr="003B3476">
        <w:rPr>
          <w:lang w:val="fr-FR" w:eastAsia="fr-FR" w:bidi="fr-FR"/>
        </w:rPr>
        <w:t xml:space="preserve"> t. I, n° 104 ; </w:t>
      </w:r>
      <w:r w:rsidRPr="003B3476">
        <w:t>S.S..,</w:t>
      </w:r>
      <w:r w:rsidRPr="003B3476">
        <w:rPr>
          <w:lang w:val="fr-FR" w:eastAsia="fr-FR" w:bidi="fr-FR"/>
        </w:rPr>
        <w:t xml:space="preserve"> t. XV, 1, p. 127. La citation de 837 que W. </w:t>
      </w:r>
      <w:r w:rsidRPr="003B3476">
        <w:rPr>
          <w:rStyle w:val="Notedebasdepage65ptPetitesmajuscules"/>
          <w:b w:val="0"/>
          <w:sz w:val="24"/>
        </w:rPr>
        <w:t xml:space="preserve">Arnold ; </w:t>
      </w:r>
      <w:r w:rsidRPr="003B3476">
        <w:rPr>
          <w:i/>
        </w:rPr>
        <w:t>Ansiedlungen und Wanderungen der deutschen Stàmme</w:t>
      </w:r>
      <w:r w:rsidRPr="003B3476">
        <w:rPr>
          <w:i/>
          <w:lang w:val="fr-FR" w:eastAsia="fr-FR" w:bidi="fr-FR"/>
        </w:rPr>
        <w:t xml:space="preserve"> </w:t>
      </w:r>
      <w:r w:rsidRPr="003B3476">
        <w:rPr>
          <w:lang w:val="fr-FR" w:eastAsia="fr-FR" w:bidi="fr-FR"/>
        </w:rPr>
        <w:t xml:space="preserve">(p. 592), a empruntée </w:t>
      </w:r>
      <w:r w:rsidRPr="003B3476">
        <w:t xml:space="preserve">à </w:t>
      </w:r>
      <w:r w:rsidRPr="003B3476">
        <w:rPr>
          <w:rStyle w:val="Notedebasdepage65ptPetitesmajuscules"/>
          <w:b w:val="0"/>
          <w:sz w:val="24"/>
        </w:rPr>
        <w:t>Dronke</w:t>
      </w:r>
      <w:r w:rsidRPr="003B3476">
        <w:rPr>
          <w:rStyle w:val="Notedebasdepage65ptPetitesmajuscules"/>
          <w:b w:val="0"/>
          <w:i/>
          <w:sz w:val="24"/>
        </w:rPr>
        <w:t xml:space="preserve">, </w:t>
      </w:r>
      <w:r w:rsidRPr="003B3476">
        <w:rPr>
          <w:i/>
        </w:rPr>
        <w:t>Codex</w:t>
      </w:r>
      <w:r w:rsidRPr="003B3476">
        <w:rPr>
          <w:i/>
          <w:lang w:val="fr-FR" w:eastAsia="fr-FR" w:bidi="fr-FR"/>
        </w:rPr>
        <w:t xml:space="preserve">, </w:t>
      </w:r>
      <w:r w:rsidRPr="003B3476">
        <w:rPr>
          <w:i/>
        </w:rPr>
        <w:t>diplomaticus Fuldensis</w:t>
      </w:r>
      <w:r w:rsidRPr="003B3476">
        <w:rPr>
          <w:lang w:val="fr-FR" w:eastAsia="fr-FR" w:bidi="fr-FR"/>
        </w:rPr>
        <w:t xml:space="preserve">, n° 504, n’est pas probante, le mot </w:t>
      </w:r>
      <w:r w:rsidRPr="003B3476">
        <w:rPr>
          <w:i/>
        </w:rPr>
        <w:t>farmariis</w:t>
      </w:r>
      <w:r w:rsidRPr="003B3476">
        <w:rPr>
          <w:lang w:val="fr-FR" w:eastAsia="fr-FR" w:bidi="fr-FR"/>
        </w:rPr>
        <w:t xml:space="preserve"> n’apparaissant que dans la form</w:t>
      </w:r>
      <w:r w:rsidRPr="003B3476">
        <w:rPr>
          <w:lang w:val="fr-FR" w:eastAsia="fr-FR" w:bidi="fr-FR"/>
        </w:rPr>
        <w:t>u</w:t>
      </w:r>
      <w:r w:rsidRPr="003B3476">
        <w:rPr>
          <w:lang w:val="fr-FR" w:eastAsia="fr-FR" w:bidi="fr-FR"/>
        </w:rPr>
        <w:t>le stéréotypée des « appartenances ». —Par l’exemple de Mühlhausen, on voit tout le profit que l’histoire de la propagation du moulin pourrait retirer d’une étude systémat</w:t>
      </w:r>
      <w:r w:rsidRPr="003B3476">
        <w:rPr>
          <w:lang w:val="fr-FR" w:eastAsia="fr-FR" w:bidi="fr-FR"/>
        </w:rPr>
        <w:t>i</w:t>
      </w:r>
      <w:r w:rsidRPr="003B3476">
        <w:rPr>
          <w:lang w:val="fr-FR" w:eastAsia="fr-FR" w:bidi="fr-FR"/>
        </w:rPr>
        <w:t>que de la toponymie.</w:t>
      </w:r>
    </w:p>
  </w:footnote>
  <w:footnote w:id="764">
    <w:p w14:paraId="4906D61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Kemble, </w:t>
      </w:r>
      <w:r w:rsidRPr="003B3476">
        <w:rPr>
          <w:bCs/>
          <w:i/>
        </w:rPr>
        <w:t>Codex diplomaticus</w:t>
      </w:r>
      <w:r w:rsidRPr="003B3476">
        <w:rPr>
          <w:lang w:val="fr-FR" w:eastAsia="fr-FR" w:bidi="fr-FR"/>
        </w:rPr>
        <w:t xml:space="preserve">, t. I, p. 317, n° </w:t>
      </w:r>
      <w:r w:rsidRPr="003B3476">
        <w:rPr>
          <w:smallCaps/>
          <w:lang w:val="fr-FR" w:eastAsia="fr-FR" w:bidi="fr-FR"/>
        </w:rPr>
        <w:t>ccxxxix </w:t>
      </w:r>
      <w:r w:rsidRPr="003B3476">
        <w:rPr>
          <w:lang w:val="fr-FR" w:eastAsia="fr-FR" w:bidi="fr-FR"/>
        </w:rPr>
        <w:t xml:space="preserve">; W. de </w:t>
      </w:r>
      <w:r w:rsidRPr="003B3476">
        <w:rPr>
          <w:rStyle w:val="Notedebasdepage65ptPetitesmajuscules"/>
          <w:b w:val="0"/>
          <w:sz w:val="24"/>
        </w:rPr>
        <w:t xml:space="preserve">Gray Birch, </w:t>
      </w:r>
      <w:r w:rsidRPr="003B3476">
        <w:rPr>
          <w:bCs/>
          <w:i/>
        </w:rPr>
        <w:t>Cartularium saxonicum</w:t>
      </w:r>
      <w:r w:rsidRPr="003B3476">
        <w:rPr>
          <w:bCs/>
        </w:rPr>
        <w:t>,</w:t>
      </w:r>
      <w:r w:rsidRPr="003B3476">
        <w:rPr>
          <w:lang w:val="fr-FR" w:eastAsia="fr-FR" w:bidi="fr-FR"/>
        </w:rPr>
        <w:t xml:space="preserve"> t. I, n° 418. Autre mention, peu avant la conquête normande, dans le Gerefa, c. 9 </w:t>
      </w:r>
      <w:r w:rsidRPr="003B3476">
        <w:rPr>
          <w:rStyle w:val="Notedebasdepage65ptPetitesmajuscules"/>
          <w:b w:val="0"/>
          <w:sz w:val="24"/>
        </w:rPr>
        <w:t xml:space="preserve">(Liebermann, </w:t>
      </w:r>
      <w:r w:rsidRPr="003B3476">
        <w:rPr>
          <w:bCs/>
        </w:rPr>
        <w:t>Gesetze</w:t>
      </w:r>
      <w:r w:rsidRPr="003B3476">
        <w:rPr>
          <w:lang w:val="fr-FR" w:eastAsia="fr-FR" w:bidi="fr-FR"/>
        </w:rPr>
        <w:t xml:space="preserve">, p. 454) ; </w:t>
      </w:r>
      <w:r w:rsidRPr="003B3476">
        <w:rPr>
          <w:bCs/>
          <w:i/>
        </w:rPr>
        <w:t>Ancient Laws of Ireland</w:t>
      </w:r>
      <w:r w:rsidRPr="003B3476">
        <w:rPr>
          <w:lang w:val="fr-FR" w:eastAsia="fr-FR" w:bidi="fr-FR"/>
        </w:rPr>
        <w:t xml:space="preserve">, t. I, p. 125 et 141 ; J. </w:t>
      </w:r>
      <w:r w:rsidRPr="003B3476">
        <w:rPr>
          <w:rStyle w:val="Notedebasdepage65ptPetitesmajuscules"/>
          <w:b w:val="0"/>
          <w:sz w:val="24"/>
        </w:rPr>
        <w:t xml:space="preserve">Vendryes, </w:t>
      </w:r>
      <w:r w:rsidRPr="003B3476">
        <w:rPr>
          <w:lang w:val="fr-FR" w:eastAsia="fr-FR" w:bidi="fr-FR"/>
        </w:rPr>
        <w:t xml:space="preserve">dans </w:t>
      </w:r>
      <w:r w:rsidRPr="003B3476">
        <w:rPr>
          <w:bCs/>
          <w:i/>
        </w:rPr>
        <w:t>Revue archéologique</w:t>
      </w:r>
      <w:r w:rsidRPr="003B3476">
        <w:rPr>
          <w:lang w:val="fr-FR" w:eastAsia="fr-FR" w:bidi="fr-FR"/>
        </w:rPr>
        <w:t>, 1921, H. p. 370.</w:t>
      </w:r>
    </w:p>
  </w:footnote>
  <w:footnote w:id="765">
    <w:p w14:paraId="2650D9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L. </w:t>
      </w:r>
      <w:r w:rsidRPr="003B3476">
        <w:rPr>
          <w:smallCaps/>
        </w:rPr>
        <w:t>Niederle</w:t>
      </w:r>
      <w:r w:rsidRPr="003B3476">
        <w:t xml:space="preserve">, </w:t>
      </w:r>
      <w:r w:rsidRPr="003B3476">
        <w:rPr>
          <w:rStyle w:val="Notedebasdepage275ptItalique"/>
          <w:b w:val="0"/>
          <w:sz w:val="24"/>
        </w:rPr>
        <w:t>Manuel de l'antiquité slave</w:t>
      </w:r>
      <w:r w:rsidRPr="003B3476">
        <w:t xml:space="preserve">, t. II, p. 198-199 ; </w:t>
      </w:r>
      <w:r w:rsidRPr="003B3476">
        <w:rPr>
          <w:smallCaps/>
        </w:rPr>
        <w:t>Helmold</w:t>
      </w:r>
      <w:r w:rsidRPr="003B3476">
        <w:t xml:space="preserve">, </w:t>
      </w:r>
      <w:r w:rsidRPr="003B3476">
        <w:rPr>
          <w:rStyle w:val="Notedebasdepage275ptItalique"/>
          <w:b w:val="0"/>
          <w:sz w:val="24"/>
        </w:rPr>
        <w:t>Chr</w:t>
      </w:r>
      <w:r w:rsidRPr="003B3476">
        <w:rPr>
          <w:rStyle w:val="Notedebasdepage275ptItalique"/>
          <w:b w:val="0"/>
          <w:sz w:val="24"/>
        </w:rPr>
        <w:t>o</w:t>
      </w:r>
      <w:r w:rsidRPr="003B3476">
        <w:rPr>
          <w:rStyle w:val="Notedebasdepage275ptItalique"/>
          <w:b w:val="0"/>
          <w:sz w:val="24"/>
        </w:rPr>
        <w:t>nica Slava</w:t>
      </w:r>
      <w:r w:rsidRPr="003B3476">
        <w:t xml:space="preserve">rum, I, </w:t>
      </w:r>
      <w:r w:rsidRPr="003B3476">
        <w:rPr>
          <w:lang w:val="fr-FR" w:eastAsia="fr-FR" w:bidi="fr-FR"/>
        </w:rPr>
        <w:t xml:space="preserve">c. </w:t>
      </w:r>
      <w:r w:rsidRPr="003B3476">
        <w:t xml:space="preserve">12 </w:t>
      </w:r>
      <w:r w:rsidRPr="003B3476">
        <w:rPr>
          <w:lang w:val="fr-FR" w:eastAsia="fr-FR" w:bidi="fr-FR"/>
        </w:rPr>
        <w:t xml:space="preserve">(éd. </w:t>
      </w:r>
      <w:r w:rsidRPr="003B3476">
        <w:rPr>
          <w:smallCaps/>
        </w:rPr>
        <w:t>Lappenberg-Schmeidler</w:t>
      </w:r>
      <w:r w:rsidRPr="003B3476">
        <w:t>,</w:t>
      </w:r>
      <w:r w:rsidRPr="003B3476">
        <w:rPr>
          <w:lang w:val="fr-FR" w:eastAsia="fr-FR" w:bidi="fr-FR"/>
        </w:rPr>
        <w:t xml:space="preserve"> p. </w:t>
      </w:r>
      <w:r w:rsidRPr="003B3476">
        <w:t>24).</w:t>
      </w:r>
    </w:p>
  </w:footnote>
  <w:footnote w:id="766">
    <w:p w14:paraId="06AA2C8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Axel </w:t>
      </w:r>
      <w:r w:rsidRPr="003B3476">
        <w:rPr>
          <w:rStyle w:val="Notedebasdepage65ptPetitesmajuscules"/>
          <w:b w:val="0"/>
          <w:sz w:val="24"/>
        </w:rPr>
        <w:t xml:space="preserve">Olbik, </w:t>
      </w:r>
      <w:r w:rsidRPr="003B3476">
        <w:rPr>
          <w:bCs/>
          <w:i/>
        </w:rPr>
        <w:t>Danmarks Heldedigtning</w:t>
      </w:r>
      <w:r w:rsidRPr="003B3476">
        <w:rPr>
          <w:lang w:val="fr-FR" w:eastAsia="fr-FR" w:bidi="fr-FR"/>
        </w:rPr>
        <w:t>, t. I (Copenhague, 1903), p. 287.</w:t>
      </w:r>
    </w:p>
  </w:footnote>
  <w:footnote w:id="767">
    <w:p w14:paraId="497A58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Peut-être ces lignes concentriques devraient-elles être prolongées vers l’Orient. Selon l’historien byzantin Cedrenus, dans un passage probablement inspiré par un récit perdu d’Ammien Marcellin </w:t>
      </w:r>
      <w:r w:rsidRPr="003B3476">
        <w:rPr>
          <w:bCs/>
        </w:rPr>
        <w:t>(</w:t>
      </w:r>
      <w:r w:rsidRPr="003B3476">
        <w:rPr>
          <w:bCs/>
          <w:i/>
        </w:rPr>
        <w:t>cf.</w:t>
      </w:r>
      <w:r w:rsidRPr="003B3476">
        <w:rPr>
          <w:bCs/>
        </w:rPr>
        <w:t xml:space="preserve"> </w:t>
      </w:r>
      <w:r w:rsidRPr="003B3476">
        <w:rPr>
          <w:rStyle w:val="Notedebasdepage65ptPetitesmajuscules"/>
          <w:b w:val="0"/>
          <w:sz w:val="24"/>
        </w:rPr>
        <w:t xml:space="preserve">Pauly-Wissowa, </w:t>
      </w:r>
      <w:r w:rsidRPr="003B3476">
        <w:rPr>
          <w:bCs/>
          <w:i/>
        </w:rPr>
        <w:t>Reale</w:t>
      </w:r>
      <w:r w:rsidRPr="003B3476">
        <w:rPr>
          <w:bCs/>
          <w:i/>
        </w:rPr>
        <w:t>n</w:t>
      </w:r>
      <w:r w:rsidRPr="003B3476">
        <w:rPr>
          <w:bCs/>
          <w:i/>
        </w:rPr>
        <w:t>cyclop</w:t>
      </w:r>
      <w:r w:rsidRPr="003B3476">
        <w:rPr>
          <w:bCs/>
          <w:i/>
        </w:rPr>
        <w:t>a</w:t>
      </w:r>
      <w:r w:rsidRPr="003B3476">
        <w:rPr>
          <w:bCs/>
          <w:i/>
        </w:rPr>
        <w:t>die</w:t>
      </w:r>
      <w:r w:rsidRPr="003B3476">
        <w:rPr>
          <w:lang w:val="fr-FR" w:eastAsia="fr-FR" w:bidi="fr-FR"/>
        </w:rPr>
        <w:t xml:space="preserve"> au mot </w:t>
      </w:r>
      <w:r w:rsidRPr="003B3476">
        <w:rPr>
          <w:bCs/>
          <w:i/>
        </w:rPr>
        <w:t>Metrodoros</w:t>
      </w:r>
      <w:r w:rsidRPr="003B3476">
        <w:rPr>
          <w:bCs/>
        </w:rPr>
        <w:t xml:space="preserve">), </w:t>
      </w:r>
      <w:r w:rsidRPr="003B3476">
        <w:rPr>
          <w:lang w:val="fr-FR" w:eastAsia="fr-FR" w:bidi="fr-FR"/>
        </w:rPr>
        <w:t>le Perse hellénisé Metrodoros, durant un voyage qu’il fit dans l’Inde, au temps de Constantin, y aurait construit des moulins à eau « jusqu’alors ignorés des Brahmanes » (</w:t>
      </w:r>
      <w:r w:rsidRPr="003B3476">
        <w:rPr>
          <w:bCs/>
          <w:i/>
        </w:rPr>
        <w:t>Historiarum Compe</w:t>
      </w:r>
      <w:r w:rsidRPr="003B3476">
        <w:rPr>
          <w:bCs/>
          <w:i/>
        </w:rPr>
        <w:t>n</w:t>
      </w:r>
      <w:r w:rsidRPr="003B3476">
        <w:rPr>
          <w:bCs/>
          <w:i/>
        </w:rPr>
        <w:t>dium</w:t>
      </w:r>
      <w:r w:rsidRPr="003B3476">
        <w:rPr>
          <w:lang w:val="fr-FR" w:eastAsia="fr-FR" w:bidi="fr-FR"/>
        </w:rPr>
        <w:t xml:space="preserve">, 516, dans </w:t>
      </w:r>
      <w:r w:rsidRPr="003B3476">
        <w:rPr>
          <w:rStyle w:val="Notedebasdepage65ptPetitesmajuscules"/>
          <w:b w:val="0"/>
          <w:sz w:val="24"/>
        </w:rPr>
        <w:t xml:space="preserve">Migne, </w:t>
      </w:r>
      <w:r w:rsidRPr="003B3476">
        <w:rPr>
          <w:lang w:val="fr-FR" w:eastAsia="fr-FR" w:bidi="fr-FR"/>
        </w:rPr>
        <w:t xml:space="preserve">P. G., t. CXXI, col. 562). Je livre le problème aux spécialistes. D’après </w:t>
      </w:r>
      <w:r w:rsidRPr="003B3476">
        <w:rPr>
          <w:rStyle w:val="Notedebasdepage65ptPetitesmajuscules"/>
          <w:b w:val="0"/>
          <w:sz w:val="24"/>
        </w:rPr>
        <w:t xml:space="preserve">Feldhaus, </w:t>
      </w:r>
      <w:r w:rsidRPr="003B3476">
        <w:rPr>
          <w:bCs/>
          <w:i/>
        </w:rPr>
        <w:t>Die Technik</w:t>
      </w:r>
      <w:r w:rsidRPr="003B3476">
        <w:rPr>
          <w:lang w:val="fr-FR" w:eastAsia="fr-FR" w:bidi="fr-FR"/>
        </w:rPr>
        <w:t xml:space="preserve"> (p. 70), un jésuite aurait, en 1612, publié en chinois un l</w:t>
      </w:r>
      <w:r w:rsidRPr="003B3476">
        <w:rPr>
          <w:lang w:val="fr-FR" w:eastAsia="fr-FR" w:bidi="fr-FR"/>
        </w:rPr>
        <w:t>i</w:t>
      </w:r>
      <w:r w:rsidRPr="003B3476">
        <w:rPr>
          <w:lang w:val="fr-FR" w:eastAsia="fr-FR" w:bidi="fr-FR"/>
        </w:rPr>
        <w:t>vre sur les machines hydrauliques de l’Occident ; mais (p. 65) le moulin à eau serait attesté en Chine dès 1609. Autres points d’interrogation, qui mérit</w:t>
      </w:r>
      <w:r w:rsidRPr="003B3476">
        <w:rPr>
          <w:lang w:val="fr-FR" w:eastAsia="fr-FR" w:bidi="fr-FR"/>
        </w:rPr>
        <w:t>e</w:t>
      </w:r>
      <w:r w:rsidRPr="003B3476">
        <w:rPr>
          <w:lang w:val="fr-FR" w:eastAsia="fr-FR" w:bidi="fr-FR"/>
        </w:rPr>
        <w:t>raient aussi de tenter les compétences.</w:t>
      </w:r>
    </w:p>
  </w:footnote>
  <w:footnote w:id="768">
    <w:p w14:paraId="75901E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65ptNonItaliquePetitesmajuscules"/>
          <w:b w:val="0"/>
          <w:i w:val="0"/>
          <w:iCs w:val="0"/>
          <w:sz w:val="24"/>
        </w:rPr>
        <w:t xml:space="preserve">Strabon, </w:t>
      </w:r>
      <w:r w:rsidRPr="003B3476">
        <w:t>XVII, 807. — </w:t>
      </w:r>
      <w:r w:rsidRPr="003B3476">
        <w:rPr>
          <w:i/>
        </w:rPr>
        <w:t>Pour l’Égypte</w:t>
      </w:r>
      <w:r w:rsidRPr="003B3476">
        <w:t xml:space="preserve">, </w:t>
      </w:r>
      <w:r w:rsidRPr="003B3476">
        <w:rPr>
          <w:i/>
          <w:lang w:val="fr-FR" w:eastAsia="fr-FR" w:bidi="fr-FR"/>
        </w:rPr>
        <w:t>cf.</w:t>
      </w:r>
      <w:r w:rsidRPr="003B3476">
        <w:t xml:space="preserve"> E. H. </w:t>
      </w:r>
      <w:r w:rsidRPr="003B3476">
        <w:rPr>
          <w:rStyle w:val="Notedebasdepage365ptNonItaliquePetitesmajuscules"/>
          <w:b w:val="0"/>
          <w:i w:val="0"/>
          <w:iCs w:val="0"/>
          <w:sz w:val="24"/>
        </w:rPr>
        <w:t xml:space="preserve">Winlock </w:t>
      </w:r>
      <w:r w:rsidRPr="003B3476">
        <w:t xml:space="preserve">et W. E. </w:t>
      </w:r>
      <w:r w:rsidRPr="003B3476">
        <w:rPr>
          <w:rStyle w:val="Notedebasdepage365ptNonItaliquePetitesmajuscules"/>
          <w:b w:val="0"/>
          <w:i w:val="0"/>
          <w:iCs w:val="0"/>
          <w:sz w:val="24"/>
        </w:rPr>
        <w:t xml:space="preserve">Cram, </w:t>
      </w:r>
      <w:r w:rsidRPr="003B3476">
        <w:rPr>
          <w:i/>
          <w:lang w:val="fr-FR" w:eastAsia="fr-FR" w:bidi="fr-FR"/>
        </w:rPr>
        <w:t>The monastery of Epiphanius at Thebes</w:t>
      </w:r>
      <w:r w:rsidRPr="003B3476">
        <w:t xml:space="preserve">, t. I, New York, 1926, p. 65 </w:t>
      </w:r>
      <w:r w:rsidRPr="003B3476">
        <w:rPr>
          <w:lang w:val="fr-FR" w:eastAsia="fr-FR" w:bidi="fr-FR"/>
        </w:rPr>
        <w:t>(</w:t>
      </w:r>
      <w:r w:rsidRPr="003B3476">
        <w:rPr>
          <w:i/>
          <w:lang w:val="fr-FR" w:eastAsia="fr-FR" w:bidi="fr-FR"/>
        </w:rPr>
        <w:t>The M</w:t>
      </w:r>
      <w:r w:rsidRPr="003B3476">
        <w:rPr>
          <w:i/>
          <w:lang w:val="fr-FR" w:eastAsia="fr-FR" w:bidi="fr-FR"/>
        </w:rPr>
        <w:t>e</w:t>
      </w:r>
      <w:r w:rsidRPr="003B3476">
        <w:rPr>
          <w:i/>
          <w:lang w:val="fr-FR" w:eastAsia="fr-FR" w:bidi="fr-FR"/>
        </w:rPr>
        <w:t>tropolitan M</w:t>
      </w:r>
      <w:r w:rsidRPr="003B3476">
        <w:rPr>
          <w:i/>
          <w:lang w:val="fr-FR" w:eastAsia="fr-FR" w:bidi="fr-FR"/>
        </w:rPr>
        <w:t>u</w:t>
      </w:r>
      <w:r w:rsidRPr="003B3476">
        <w:rPr>
          <w:i/>
          <w:lang w:val="fr-FR" w:eastAsia="fr-FR" w:bidi="fr-FR"/>
        </w:rPr>
        <w:t xml:space="preserve">seum of Art, </w:t>
      </w:r>
      <w:r w:rsidRPr="003B3476">
        <w:rPr>
          <w:i/>
          <w:vertAlign w:val="subscript"/>
          <w:lang w:val="fr-FR" w:eastAsia="fr-FR" w:bidi="fr-FR"/>
        </w:rPr>
        <w:t xml:space="preserve"> </w:t>
      </w:r>
      <w:r w:rsidRPr="003B3476">
        <w:rPr>
          <w:i/>
          <w:lang w:val="fr-FR" w:eastAsia="fr-FR" w:bidi="fr-FR"/>
        </w:rPr>
        <w:t>Egyptian Expedition</w:t>
      </w:r>
      <w:r w:rsidRPr="003B3476">
        <w:rPr>
          <w:lang w:val="fr-FR" w:eastAsia="fr-FR" w:bidi="fr-FR"/>
        </w:rPr>
        <w:t>)</w:t>
      </w:r>
      <w:r w:rsidRPr="003B3476">
        <w:t xml:space="preserve"> ; </w:t>
      </w:r>
      <w:r w:rsidRPr="003B3476">
        <w:rPr>
          <w:rStyle w:val="Notedebasdepage365ptNonItaliquePetitesmajuscules"/>
          <w:b w:val="0"/>
          <w:i w:val="0"/>
          <w:iCs w:val="0"/>
          <w:sz w:val="24"/>
        </w:rPr>
        <w:t xml:space="preserve">Lucrèce, </w:t>
      </w:r>
      <w:r w:rsidRPr="003B3476">
        <w:t xml:space="preserve">V, </w:t>
      </w:r>
      <w:r w:rsidRPr="003B3476">
        <w:rPr>
          <w:rStyle w:val="Notedebasdepage365ptNonItalique"/>
          <w:b w:val="0"/>
          <w:i w:val="0"/>
          <w:iCs w:val="0"/>
          <w:sz w:val="24"/>
        </w:rPr>
        <w:t xml:space="preserve">v. </w:t>
      </w:r>
      <w:r w:rsidRPr="003B3476">
        <w:t>517.</w:t>
      </w:r>
    </w:p>
  </w:footnote>
  <w:footnote w:id="769">
    <w:p w14:paraId="34FB38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Phérécrate </w:t>
      </w:r>
      <w:r w:rsidRPr="003B3476">
        <w:rPr>
          <w:lang w:val="fr-FR" w:eastAsia="fr-FR" w:bidi="fr-FR"/>
        </w:rPr>
        <w:t xml:space="preserve">dans </w:t>
      </w:r>
      <w:r w:rsidRPr="003B3476">
        <w:rPr>
          <w:rStyle w:val="Notedebasdepage65ptPetitesmajuscules"/>
          <w:b w:val="0"/>
          <w:sz w:val="24"/>
        </w:rPr>
        <w:t xml:space="preserve">Athénée, </w:t>
      </w:r>
      <w:r w:rsidRPr="003B3476">
        <w:rPr>
          <w:lang w:val="fr-FR" w:eastAsia="fr-FR" w:bidi="fr-FR"/>
        </w:rPr>
        <w:t xml:space="preserve">VI, 263 ; </w:t>
      </w:r>
      <w:r w:rsidRPr="003B3476">
        <w:rPr>
          <w:i/>
          <w:lang w:val="fr-FR" w:eastAsia="fr-FR" w:bidi="fr-FR"/>
        </w:rPr>
        <w:t>C.I.L</w:t>
      </w:r>
      <w:r w:rsidRPr="003B3476">
        <w:rPr>
          <w:lang w:val="fr-FR" w:eastAsia="fr-FR" w:bidi="fr-FR"/>
        </w:rPr>
        <w:t>., t. VI, 1002 ; photographie d’une boulang</w:t>
      </w:r>
      <w:r w:rsidRPr="003B3476">
        <w:rPr>
          <w:lang w:val="fr-FR" w:eastAsia="fr-FR" w:bidi="fr-FR"/>
        </w:rPr>
        <w:t>e</w:t>
      </w:r>
      <w:r w:rsidRPr="003B3476">
        <w:rPr>
          <w:lang w:val="fr-FR" w:eastAsia="fr-FR" w:bidi="fr-FR"/>
        </w:rPr>
        <w:t xml:space="preserve">rie de Pompéi, </w:t>
      </w:r>
      <w:r w:rsidRPr="003B3476">
        <w:rPr>
          <w:bCs/>
          <w:i/>
        </w:rPr>
        <w:t>Dictionnaire d'archéologie chrétienne</w:t>
      </w:r>
      <w:r w:rsidRPr="003B3476">
        <w:rPr>
          <w:lang w:val="fr-FR" w:eastAsia="fr-FR" w:bidi="fr-FR"/>
        </w:rPr>
        <w:t xml:space="preserve"> (art. </w:t>
      </w:r>
      <w:r w:rsidRPr="003B3476">
        <w:rPr>
          <w:bCs/>
          <w:i/>
        </w:rPr>
        <w:t>Moulin</w:t>
      </w:r>
      <w:r w:rsidRPr="003B3476">
        <w:rPr>
          <w:bCs/>
        </w:rPr>
        <w:t>).</w:t>
      </w:r>
    </w:p>
  </w:footnote>
  <w:footnote w:id="770">
    <w:p w14:paraId="24A23B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C.I.L</w:t>
      </w:r>
      <w:r w:rsidRPr="003B3476">
        <w:rPr>
          <w:lang w:val="fr-FR" w:eastAsia="fr-FR" w:bidi="fr-FR"/>
        </w:rPr>
        <w:t>., t. VI, 1711.</w:t>
      </w:r>
    </w:p>
  </w:footnote>
  <w:footnote w:id="771">
    <w:p w14:paraId="7EDC91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Tractatus singularis de molendinis eoriimque jure</w:t>
      </w:r>
      <w:r w:rsidRPr="003B3476">
        <w:t xml:space="preserve">, Ludguni, </w:t>
      </w:r>
      <w:r w:rsidRPr="003B3476">
        <w:rPr>
          <w:rStyle w:val="Notedebasdepage365ptNonItalique"/>
          <w:b w:val="0"/>
          <w:i w:val="0"/>
          <w:iCs w:val="0"/>
          <w:sz w:val="24"/>
        </w:rPr>
        <w:t xml:space="preserve">1663. </w:t>
      </w:r>
      <w:r w:rsidRPr="003B3476">
        <w:rPr>
          <w:lang w:val="fr-FR" w:eastAsia="fr-FR" w:bidi="fr-FR"/>
        </w:rPr>
        <w:t xml:space="preserve">Quaestio prima : </w:t>
      </w:r>
      <w:r w:rsidRPr="003B3476">
        <w:t xml:space="preserve">« An ars sive scientia molitoria sit honesta, nec ne ? » ; </w:t>
      </w:r>
      <w:r w:rsidRPr="003B3476">
        <w:rPr>
          <w:i/>
          <w:lang w:val="fr-FR" w:eastAsia="fr-FR" w:bidi="fr-FR"/>
        </w:rPr>
        <w:t>Zeitschrift für deutsches Altertum</w:t>
      </w:r>
      <w:r w:rsidRPr="003B3476">
        <w:t xml:space="preserve">, t. III, </w:t>
      </w:r>
      <w:r w:rsidRPr="003B3476">
        <w:rPr>
          <w:rStyle w:val="Notedebasdepage365ptNonItalique"/>
          <w:b w:val="0"/>
          <w:i w:val="0"/>
          <w:iCs w:val="0"/>
          <w:sz w:val="24"/>
        </w:rPr>
        <w:t>1843, p. 32, c. 44.</w:t>
      </w:r>
    </w:p>
  </w:footnote>
  <w:footnote w:id="772">
    <w:p w14:paraId="6ED5CC0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smallCaps/>
        </w:rPr>
        <w:t>Ausone</w:t>
      </w:r>
      <w:r w:rsidRPr="003B3476">
        <w:t xml:space="preserve">, Mosella, v. 363 (il s’agit d’une scie à marbre) ; </w:t>
      </w:r>
      <w:r w:rsidRPr="003B3476">
        <w:rPr>
          <w:i/>
        </w:rPr>
        <w:t>Cartulaires de l'égl</w:t>
      </w:r>
      <w:r w:rsidRPr="003B3476">
        <w:rPr>
          <w:i/>
        </w:rPr>
        <w:t>i</w:t>
      </w:r>
      <w:r w:rsidRPr="003B3476">
        <w:rPr>
          <w:i/>
        </w:rPr>
        <w:t xml:space="preserve">se cathédrale </w:t>
      </w:r>
      <w:r w:rsidRPr="003B3476">
        <w:rPr>
          <w:bCs/>
          <w:i/>
        </w:rPr>
        <w:t>de Grenoble</w:t>
      </w:r>
      <w:r w:rsidRPr="003B3476">
        <w:rPr>
          <w:bCs/>
        </w:rPr>
        <w:t>,</w:t>
      </w:r>
      <w:r w:rsidRPr="003B3476">
        <w:rPr>
          <w:lang w:val="fr-FR" w:eastAsia="fr-FR" w:bidi="fr-FR"/>
        </w:rPr>
        <w:t xml:space="preserve"> éd. J. </w:t>
      </w:r>
      <w:r w:rsidRPr="003B3476">
        <w:rPr>
          <w:bCs/>
          <w:smallCaps/>
        </w:rPr>
        <w:t>Marion</w:t>
      </w:r>
      <w:r w:rsidRPr="003B3476">
        <w:rPr>
          <w:bCs/>
        </w:rPr>
        <w:t xml:space="preserve"> </w:t>
      </w:r>
      <w:r w:rsidRPr="003B3476">
        <w:rPr>
          <w:rStyle w:val="Notedebasdepage65ptItaliquePetitesmajuscules"/>
          <w:b w:val="0"/>
          <w:smallCaps w:val="0"/>
        </w:rPr>
        <w:t>(Doc</w:t>
      </w:r>
      <w:r w:rsidRPr="003B3476">
        <w:rPr>
          <w:rStyle w:val="Notedebasdepage65ptItaliquePetitesmajuscules"/>
          <w:b w:val="0"/>
          <w:i w:val="0"/>
        </w:rPr>
        <w:t xml:space="preserve">. </w:t>
      </w:r>
      <w:r w:rsidRPr="003B3476">
        <w:rPr>
          <w:bCs/>
          <w:i/>
        </w:rPr>
        <w:t>inéd.),</w:t>
      </w:r>
      <w:r w:rsidRPr="003B3476">
        <w:rPr>
          <w:i/>
          <w:lang w:val="fr-FR" w:eastAsia="fr-FR" w:bidi="fr-FR"/>
        </w:rPr>
        <w:t xml:space="preserve"> </w:t>
      </w:r>
      <w:r w:rsidRPr="003B3476">
        <w:rPr>
          <w:lang w:val="fr-FR" w:eastAsia="fr-FR" w:bidi="fr-FR"/>
        </w:rPr>
        <w:t xml:space="preserve">p. 119, n° </w:t>
      </w:r>
      <w:r w:rsidRPr="003B3476">
        <w:rPr>
          <w:bCs/>
          <w:smallCaps/>
        </w:rPr>
        <w:t>xlvi </w:t>
      </w:r>
      <w:r w:rsidRPr="003B3476">
        <w:rPr>
          <w:bCs/>
        </w:rPr>
        <w:t>;</w:t>
      </w:r>
      <w:r w:rsidRPr="003B3476">
        <w:rPr>
          <w:lang w:val="fr-FR" w:eastAsia="fr-FR" w:bidi="fr-FR"/>
        </w:rPr>
        <w:t xml:space="preserve"> acte non daté, des environs de 1050 C’est à tort que A. </w:t>
      </w:r>
      <w:r w:rsidRPr="003B3476">
        <w:rPr>
          <w:bCs/>
          <w:smallCaps/>
        </w:rPr>
        <w:t>Dopsch</w:t>
      </w:r>
      <w:r w:rsidRPr="003B3476">
        <w:rPr>
          <w:bCs/>
        </w:rPr>
        <w:t xml:space="preserve">, </w:t>
      </w:r>
      <w:r w:rsidRPr="003B3476">
        <w:rPr>
          <w:bCs/>
          <w:i/>
        </w:rPr>
        <w:t>Die Wirtschaflsen</w:t>
      </w:r>
      <w:r w:rsidRPr="003B3476">
        <w:rPr>
          <w:bCs/>
          <w:i/>
        </w:rPr>
        <w:t>t</w:t>
      </w:r>
      <w:r w:rsidRPr="003B3476">
        <w:rPr>
          <w:bCs/>
          <w:i/>
        </w:rPr>
        <w:t>wicklung der Karolingerzeit</w:t>
      </w:r>
      <w:r w:rsidRPr="003B3476">
        <w:rPr>
          <w:lang w:val="fr-FR" w:eastAsia="fr-FR" w:bidi="fr-FR"/>
        </w:rPr>
        <w:t xml:space="preserve"> (t. II, 2</w:t>
      </w:r>
      <w:r w:rsidRPr="003B3476">
        <w:rPr>
          <w:vertAlign w:val="superscript"/>
          <w:lang w:val="fr-FR" w:eastAsia="fr-FR" w:bidi="fr-FR"/>
        </w:rPr>
        <w:t>e</w:t>
      </w:r>
      <w:r w:rsidRPr="003B3476">
        <w:rPr>
          <w:lang w:val="fr-FR" w:eastAsia="fr-FR" w:bidi="fr-FR"/>
        </w:rPr>
        <w:t xml:space="preserve"> éd. p. 150), a cru trouver la mention d’un moulin à foulon dans les </w:t>
      </w:r>
      <w:r w:rsidRPr="003B3476">
        <w:rPr>
          <w:bCs/>
          <w:i/>
        </w:rPr>
        <w:t>Formulae Sangallenses Miscellaneae</w:t>
      </w:r>
      <w:r w:rsidRPr="003B3476">
        <w:rPr>
          <w:bCs/>
        </w:rPr>
        <w:t xml:space="preserve"> </w:t>
      </w:r>
      <w:r w:rsidRPr="003B3476">
        <w:rPr>
          <w:lang w:val="fr-FR" w:eastAsia="fr-FR" w:bidi="fr-FR"/>
        </w:rPr>
        <w:t xml:space="preserve">(c. 11). Les </w:t>
      </w:r>
      <w:r w:rsidRPr="003B3476">
        <w:rPr>
          <w:bCs/>
        </w:rPr>
        <w:t>p</w:t>
      </w:r>
      <w:r w:rsidRPr="003B3476">
        <w:rPr>
          <w:bCs/>
        </w:rPr>
        <w:t>i</w:t>
      </w:r>
      <w:r w:rsidRPr="003B3476">
        <w:rPr>
          <w:bCs/>
        </w:rPr>
        <w:t>lae</w:t>
      </w:r>
      <w:r w:rsidRPr="003B3476">
        <w:rPr>
          <w:lang w:val="fr-FR" w:eastAsia="fr-FR" w:bidi="fr-FR"/>
        </w:rPr>
        <w:t xml:space="preserve"> mentionnées par ce texte sont analogues à celles qu’a dessinées l’auteur du fameux plan de Saint-Gall : un instrument de broyage qui, sur le plan, n’était certainement pas mû par l’eau, et ne l’était sans doute pas davantage, dans le cas envisagé par la formule. Un moulin à foulon fonctionnait encore en 1910 dans le Val d’Herens pour la fabrication du gros drap local, dit « drap de gu</w:t>
      </w:r>
      <w:r w:rsidRPr="003B3476">
        <w:rPr>
          <w:lang w:val="fr-FR" w:eastAsia="fr-FR" w:bidi="fr-FR"/>
        </w:rPr>
        <w:t>i</w:t>
      </w:r>
      <w:r w:rsidRPr="003B3476">
        <w:rPr>
          <w:lang w:val="fr-FR" w:eastAsia="fr-FR" w:bidi="fr-FR"/>
        </w:rPr>
        <w:t>des ».</w:t>
      </w:r>
    </w:p>
  </w:footnote>
  <w:footnote w:id="773">
    <w:p w14:paraId="1B01915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 type a été longuement étudié par </w:t>
      </w:r>
      <w:r w:rsidRPr="003B3476">
        <w:rPr>
          <w:rStyle w:val="Notedebasdepage65ptPetitesmajuscules"/>
          <w:b w:val="0"/>
          <w:sz w:val="24"/>
        </w:rPr>
        <w:t xml:space="preserve">Bennett </w:t>
      </w:r>
      <w:r w:rsidRPr="003B3476">
        <w:rPr>
          <w:lang w:val="fr-FR" w:eastAsia="fr-FR" w:bidi="fr-FR"/>
        </w:rPr>
        <w:t xml:space="preserve">et </w:t>
      </w:r>
      <w:r w:rsidRPr="003B3476">
        <w:rPr>
          <w:rStyle w:val="Notedebasdepage65ptPetitesmajuscules"/>
          <w:b w:val="0"/>
          <w:sz w:val="24"/>
        </w:rPr>
        <w:t xml:space="preserve">Elton, </w:t>
      </w:r>
      <w:r w:rsidRPr="003B3476">
        <w:rPr>
          <w:bCs/>
          <w:i/>
        </w:rPr>
        <w:t>Historg of Corn Mi</w:t>
      </w:r>
      <w:r w:rsidRPr="003B3476">
        <w:rPr>
          <w:bCs/>
          <w:i/>
        </w:rPr>
        <w:t>l</w:t>
      </w:r>
      <w:r w:rsidRPr="003B3476">
        <w:rPr>
          <w:bCs/>
          <w:i/>
        </w:rPr>
        <w:t>ling</w:t>
      </w:r>
      <w:r w:rsidRPr="003B3476">
        <w:rPr>
          <w:bCs/>
        </w:rPr>
        <w:t xml:space="preserve">. </w:t>
      </w:r>
      <w:r w:rsidRPr="003B3476">
        <w:rPr>
          <w:lang w:val="fr-FR" w:eastAsia="fr-FR" w:bidi="fr-FR"/>
        </w:rPr>
        <w:t xml:space="preserve">Il semble bien d’ailleurs que, par certaines interprétations de textes, quelque peu téméraires, ils en aient exagéré l’extension. C’est à tort, par exemple, qu’ils le présentent comme attesté clairement, sur la Garonne, par Paul </w:t>
      </w:r>
      <w:r w:rsidRPr="003B3476">
        <w:rPr>
          <w:rStyle w:val="Notedebasdepage65ptPetitesmajuscules"/>
          <w:b w:val="0"/>
          <w:sz w:val="24"/>
        </w:rPr>
        <w:t xml:space="preserve">Hentzner, </w:t>
      </w:r>
      <w:r w:rsidRPr="003B3476">
        <w:rPr>
          <w:bCs/>
          <w:i/>
        </w:rPr>
        <w:t>Itiner</w:t>
      </w:r>
      <w:r w:rsidRPr="003B3476">
        <w:rPr>
          <w:bCs/>
          <w:i/>
        </w:rPr>
        <w:t>a</w:t>
      </w:r>
      <w:r w:rsidRPr="003B3476">
        <w:rPr>
          <w:bCs/>
          <w:i/>
        </w:rPr>
        <w:t>rium</w:t>
      </w:r>
      <w:r w:rsidRPr="003B3476">
        <w:rPr>
          <w:lang w:val="fr-FR" w:eastAsia="fr-FR" w:bidi="fr-FR"/>
        </w:rPr>
        <w:t>, éd. de 1619, p. 56.</w:t>
      </w:r>
    </w:p>
  </w:footnote>
  <w:footnote w:id="774">
    <w:p w14:paraId="2631C49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Ausone, </w:t>
      </w:r>
      <w:r w:rsidRPr="003B3476">
        <w:rPr>
          <w:bCs/>
          <w:i/>
        </w:rPr>
        <w:t>Mosella</w:t>
      </w:r>
      <w:r w:rsidRPr="003B3476">
        <w:rPr>
          <w:lang w:val="fr-FR" w:eastAsia="fr-FR" w:bidi="fr-FR"/>
        </w:rPr>
        <w:t xml:space="preserve">, v. 362 ; </w:t>
      </w:r>
      <w:r w:rsidRPr="003B3476">
        <w:rPr>
          <w:rStyle w:val="Notedebasdepage65ptPetitesmajuscules"/>
          <w:b w:val="0"/>
          <w:sz w:val="24"/>
        </w:rPr>
        <w:t xml:space="preserve">Grégoire de Tours, </w:t>
      </w:r>
      <w:r w:rsidRPr="003B3476">
        <w:rPr>
          <w:bCs/>
          <w:i/>
        </w:rPr>
        <w:t>Vitae Patrum</w:t>
      </w:r>
      <w:r w:rsidRPr="003B3476">
        <w:rPr>
          <w:bCs/>
        </w:rPr>
        <w:t>,</w:t>
      </w:r>
      <w:r w:rsidRPr="003B3476">
        <w:rPr>
          <w:lang w:val="fr-FR" w:eastAsia="fr-FR" w:bidi="fr-FR"/>
        </w:rPr>
        <w:t xml:space="preserve"> XVIII, 2 (l’épisode se place sous le règne du roi visigoth Alaric II : 484-507) ; </w:t>
      </w:r>
      <w:r w:rsidRPr="003B3476">
        <w:rPr>
          <w:bCs/>
          <w:i/>
        </w:rPr>
        <w:t>Historia Francorum</w:t>
      </w:r>
      <w:r w:rsidRPr="003B3476">
        <w:rPr>
          <w:lang w:val="fr-FR" w:eastAsia="fr-FR" w:bidi="fr-FR"/>
        </w:rPr>
        <w:t xml:space="preserve">, III, 19 ; </w:t>
      </w:r>
      <w:r w:rsidRPr="003B3476">
        <w:rPr>
          <w:rStyle w:val="Notedebasdepage65ptPetitesmajuscules"/>
          <w:b w:val="0"/>
          <w:sz w:val="24"/>
        </w:rPr>
        <w:t xml:space="preserve">Fortunat, </w:t>
      </w:r>
      <w:r w:rsidRPr="003B3476">
        <w:rPr>
          <w:bCs/>
          <w:i/>
        </w:rPr>
        <w:t>Carmina</w:t>
      </w:r>
      <w:r w:rsidRPr="003B3476">
        <w:rPr>
          <w:lang w:val="fr-FR" w:eastAsia="fr-FR" w:bidi="fr-FR"/>
        </w:rPr>
        <w:t xml:space="preserve">, III, 12, v. 37 et suiv. ; </w:t>
      </w:r>
      <w:r w:rsidRPr="003B3476">
        <w:rPr>
          <w:rStyle w:val="Notedebasdepage65ptPetitesmajuscules"/>
          <w:b w:val="0"/>
          <w:sz w:val="24"/>
        </w:rPr>
        <w:t xml:space="preserve">Marius </w:t>
      </w:r>
      <w:r w:rsidRPr="003B3476">
        <w:rPr>
          <w:lang w:val="fr-FR" w:eastAsia="fr-FR" w:bidi="fr-FR"/>
        </w:rPr>
        <w:t xml:space="preserve">d’AVENCHES, </w:t>
      </w:r>
      <w:r w:rsidRPr="003B3476">
        <w:rPr>
          <w:bCs/>
          <w:i/>
        </w:rPr>
        <w:t>Chronica</w:t>
      </w:r>
      <w:r w:rsidRPr="003B3476">
        <w:rPr>
          <w:lang w:val="fr-FR" w:eastAsia="fr-FR" w:bidi="fr-FR"/>
        </w:rPr>
        <w:t xml:space="preserve">, a. 563 ; </w:t>
      </w:r>
      <w:r w:rsidRPr="003B3476">
        <w:rPr>
          <w:bCs/>
          <w:i/>
        </w:rPr>
        <w:t>Lex Salica</w:t>
      </w:r>
      <w:r w:rsidRPr="003B3476">
        <w:rPr>
          <w:lang w:val="fr-FR" w:eastAsia="fr-FR" w:bidi="fr-FR"/>
        </w:rPr>
        <w:t xml:space="preserve">, XXII, 2 ; </w:t>
      </w:r>
      <w:r w:rsidRPr="003B3476">
        <w:rPr>
          <w:bCs/>
          <w:i/>
        </w:rPr>
        <w:t>Vita S. Romani</w:t>
      </w:r>
      <w:r w:rsidRPr="003B3476">
        <w:rPr>
          <w:i/>
          <w:lang w:val="fr-FR" w:eastAsia="fr-FR" w:bidi="fr-FR"/>
        </w:rPr>
        <w:t xml:space="preserve"> dans </w:t>
      </w:r>
      <w:r w:rsidRPr="003B3476">
        <w:rPr>
          <w:bCs/>
          <w:i/>
        </w:rPr>
        <w:t>S.S. rer merov</w:t>
      </w:r>
      <w:r w:rsidRPr="003B3476">
        <w:rPr>
          <w:i/>
          <w:lang w:val="fr-FR" w:eastAsia="fr-FR" w:bidi="fr-FR"/>
        </w:rPr>
        <w:t>.</w:t>
      </w:r>
      <w:r w:rsidRPr="003B3476">
        <w:rPr>
          <w:lang w:val="fr-FR" w:eastAsia="fr-FR" w:bidi="fr-FR"/>
        </w:rPr>
        <w:t>, t. III, p. 142, c. 18 (j’adopte pour ce texte la datation défendue par M</w:t>
      </w:r>
      <w:r w:rsidRPr="003B3476">
        <w:rPr>
          <w:vertAlign w:val="superscript"/>
          <w:lang w:val="fr-FR" w:eastAsia="fr-FR" w:bidi="fr-FR"/>
        </w:rPr>
        <w:t>gr</w:t>
      </w:r>
      <w:r w:rsidRPr="003B3476">
        <w:rPr>
          <w:lang w:val="fr-FR" w:eastAsia="fr-FR" w:bidi="fr-FR"/>
        </w:rPr>
        <w:t xml:space="preserve"> Duchesne et R. Po</w:t>
      </w:r>
      <w:r w:rsidRPr="003B3476">
        <w:rPr>
          <w:lang w:val="fr-FR" w:eastAsia="fr-FR" w:bidi="fr-FR"/>
        </w:rPr>
        <w:t>u</w:t>
      </w:r>
      <w:r w:rsidRPr="003B3476">
        <w:rPr>
          <w:lang w:val="fr-FR" w:eastAsia="fr-FR" w:bidi="fr-FR"/>
        </w:rPr>
        <w:t xml:space="preserve">pardin). </w:t>
      </w:r>
      <w:r w:rsidRPr="003B3476">
        <w:rPr>
          <w:bCs/>
          <w:i/>
        </w:rPr>
        <w:t>Cf.</w:t>
      </w:r>
      <w:r w:rsidRPr="003B3476">
        <w:rPr>
          <w:lang w:val="fr-FR" w:eastAsia="fr-FR" w:bidi="fr-FR"/>
        </w:rPr>
        <w:t xml:space="preserve"> aussi la </w:t>
      </w:r>
      <w:r w:rsidRPr="003B3476">
        <w:rPr>
          <w:bCs/>
          <w:i/>
        </w:rPr>
        <w:t>Lex Visigothorum</w:t>
      </w:r>
      <w:r w:rsidRPr="003B3476">
        <w:rPr>
          <w:bCs/>
        </w:rPr>
        <w:t>,</w:t>
      </w:r>
      <w:r w:rsidRPr="003B3476">
        <w:rPr>
          <w:lang w:val="fr-FR" w:eastAsia="fr-FR" w:bidi="fr-FR"/>
        </w:rPr>
        <w:t xml:space="preserve"> VII, 2, 12 et VIII, 4, 30 (</w:t>
      </w:r>
      <w:r w:rsidRPr="003B3476">
        <w:rPr>
          <w:bCs/>
          <w:i/>
        </w:rPr>
        <w:t>Antiqua</w:t>
      </w:r>
      <w:r w:rsidRPr="003B3476">
        <w:rPr>
          <w:lang w:val="fr-FR" w:eastAsia="fr-FR" w:bidi="fr-FR"/>
        </w:rPr>
        <w:t>, c’est-à-dire dispositions antérieures à la mort du roi Léovigild, en 586). Faute d’accès aisé aux documents, j’ai dû laisser ici co</w:t>
      </w:r>
      <w:r w:rsidRPr="003B3476">
        <w:rPr>
          <w:lang w:val="fr-FR" w:eastAsia="fr-FR" w:bidi="fr-FR"/>
        </w:rPr>
        <w:t>m</w:t>
      </w:r>
      <w:r w:rsidRPr="003B3476">
        <w:rPr>
          <w:lang w:val="fr-FR" w:eastAsia="fr-FR" w:bidi="fr-FR"/>
        </w:rPr>
        <w:t>plètement de côté tout ce qui regarde l’histoire du moulin à eau en Espagne et, à partir du Moyen Âge, en Italie.</w:t>
      </w:r>
    </w:p>
  </w:footnote>
  <w:footnote w:id="775">
    <w:p w14:paraId="5E4FDD1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moulins du Janicule, voir </w:t>
      </w:r>
      <w:r w:rsidRPr="003B3476">
        <w:rPr>
          <w:i/>
        </w:rPr>
        <w:t>Description des 14 régions de Rome</w:t>
      </w:r>
      <w:r w:rsidRPr="003B3476">
        <w:rPr>
          <w:lang w:val="fr-FR" w:eastAsia="fr-FR" w:bidi="fr-FR"/>
        </w:rPr>
        <w:t>, dans O. </w:t>
      </w:r>
      <w:r w:rsidRPr="003B3476">
        <w:rPr>
          <w:rStyle w:val="Notedebasdepage65ptPetitesmajuscules"/>
          <w:b w:val="0"/>
          <w:sz w:val="24"/>
        </w:rPr>
        <w:t xml:space="preserve">Richter. </w:t>
      </w:r>
      <w:r w:rsidRPr="003B3476">
        <w:rPr>
          <w:i/>
        </w:rPr>
        <w:t>Topographie der Stadt Rom</w:t>
      </w:r>
      <w:r w:rsidRPr="003B3476">
        <w:rPr>
          <w:lang w:val="fr-FR" w:eastAsia="fr-FR" w:bidi="fr-FR"/>
        </w:rPr>
        <w:t xml:space="preserve"> (Iwan </w:t>
      </w:r>
      <w:r w:rsidRPr="003B3476">
        <w:rPr>
          <w:rStyle w:val="Notedebasdepage65ptPetitesmajuscules"/>
          <w:b w:val="0"/>
          <w:sz w:val="24"/>
        </w:rPr>
        <w:t xml:space="preserve">Müller, </w:t>
      </w:r>
      <w:r w:rsidRPr="003B3476">
        <w:t>Handbuch</w:t>
      </w:r>
      <w:r w:rsidRPr="003B3476">
        <w:rPr>
          <w:lang w:val="fr-FR" w:eastAsia="fr-FR" w:bidi="fr-FR"/>
        </w:rPr>
        <w:t xml:space="preserve">), p. 374, </w:t>
      </w:r>
      <w:r w:rsidRPr="003B3476">
        <w:rPr>
          <w:i/>
        </w:rPr>
        <w:t>Regio</w:t>
      </w:r>
      <w:r w:rsidRPr="003B3476">
        <w:t xml:space="preserve"> </w:t>
      </w:r>
      <w:r w:rsidRPr="003B3476">
        <w:rPr>
          <w:rStyle w:val="NotedebasdepageItaliqueEspacement1pt"/>
          <w:b w:val="0"/>
          <w:sz w:val="24"/>
        </w:rPr>
        <w:t>XIIII</w:t>
      </w:r>
      <w:r w:rsidRPr="003B3476">
        <w:t xml:space="preserve"> ; </w:t>
      </w:r>
      <w:r w:rsidRPr="003B3476">
        <w:rPr>
          <w:i/>
        </w:rPr>
        <w:t>Cod. Theod</w:t>
      </w:r>
      <w:r w:rsidRPr="003B3476">
        <w:t>.,</w:t>
      </w:r>
      <w:r w:rsidRPr="003B3476">
        <w:rPr>
          <w:vertAlign w:val="subscript"/>
        </w:rPr>
        <w:t xml:space="preserve"> </w:t>
      </w:r>
      <w:r w:rsidRPr="003B3476">
        <w:rPr>
          <w:lang w:val="fr-FR" w:eastAsia="fr-FR" w:bidi="fr-FR"/>
        </w:rPr>
        <w:t xml:space="preserve">XIV, 5, 4 ; </w:t>
      </w:r>
      <w:r w:rsidRPr="003B3476">
        <w:rPr>
          <w:rStyle w:val="Notedebasdepage65ptPetitesmajuscules"/>
          <w:b w:val="0"/>
          <w:sz w:val="24"/>
        </w:rPr>
        <w:t xml:space="preserve">Prudence, </w:t>
      </w:r>
      <w:r w:rsidRPr="003B3476">
        <w:rPr>
          <w:i/>
        </w:rPr>
        <w:t>Contra Sgmmachum</w:t>
      </w:r>
      <w:r w:rsidRPr="003B3476">
        <w:rPr>
          <w:lang w:val="fr-FR" w:eastAsia="fr-FR" w:bidi="fr-FR"/>
        </w:rPr>
        <w:t xml:space="preserve">, II, v. 950 ; </w:t>
      </w:r>
      <w:r w:rsidRPr="003B3476">
        <w:rPr>
          <w:rStyle w:val="Notedebasdepage65ptPetitesmajuscules"/>
          <w:b w:val="0"/>
          <w:sz w:val="24"/>
        </w:rPr>
        <w:t xml:space="preserve">Cassiodore, </w:t>
      </w:r>
      <w:r w:rsidRPr="003B3476">
        <w:rPr>
          <w:i/>
        </w:rPr>
        <w:t>Variae</w:t>
      </w:r>
      <w:r w:rsidRPr="003B3476">
        <w:rPr>
          <w:lang w:val="fr-FR" w:eastAsia="fr-FR" w:bidi="fr-FR"/>
        </w:rPr>
        <w:t>, III, 31 (</w:t>
      </w:r>
      <w:r w:rsidRPr="003B3476">
        <w:rPr>
          <w:i/>
          <w:lang w:val="fr-FR" w:eastAsia="fr-FR" w:bidi="fr-FR"/>
        </w:rPr>
        <w:t>cf.</w:t>
      </w:r>
      <w:r w:rsidRPr="003B3476">
        <w:rPr>
          <w:lang w:val="fr-FR" w:eastAsia="fr-FR" w:bidi="fr-FR"/>
        </w:rPr>
        <w:t xml:space="preserve"> XI, 39) ; </w:t>
      </w:r>
      <w:r w:rsidRPr="003B3476">
        <w:rPr>
          <w:i/>
          <w:lang w:val="fr-FR" w:eastAsia="fr-FR" w:bidi="fr-FR"/>
        </w:rPr>
        <w:t>C.I.L.,</w:t>
      </w:r>
      <w:r w:rsidRPr="003B3476">
        <w:rPr>
          <w:lang w:val="fr-FR" w:eastAsia="fr-FR" w:bidi="fr-FR"/>
        </w:rPr>
        <w:t xml:space="preserve"> t. VI, n° 1711 ; </w:t>
      </w:r>
      <w:r w:rsidRPr="003B3476">
        <w:rPr>
          <w:rStyle w:val="Notedebasdepage65ptPetitesmajuscules"/>
          <w:b w:val="0"/>
          <w:sz w:val="24"/>
        </w:rPr>
        <w:t>Pr</w:t>
      </w:r>
      <w:r w:rsidRPr="003B3476">
        <w:rPr>
          <w:rStyle w:val="Notedebasdepage65ptPetitesmajuscules"/>
          <w:b w:val="0"/>
          <w:sz w:val="24"/>
        </w:rPr>
        <w:t>o</w:t>
      </w:r>
      <w:r w:rsidRPr="003B3476">
        <w:rPr>
          <w:rStyle w:val="Notedebasdepage65ptPetitesmajuscules"/>
          <w:b w:val="0"/>
          <w:sz w:val="24"/>
        </w:rPr>
        <w:t xml:space="preserve">cope, </w:t>
      </w:r>
      <w:r w:rsidRPr="003B3476">
        <w:rPr>
          <w:i/>
        </w:rPr>
        <w:t>De bello Gothico</w:t>
      </w:r>
      <w:r w:rsidRPr="003B3476">
        <w:t>,</w:t>
      </w:r>
      <w:r w:rsidRPr="003B3476">
        <w:rPr>
          <w:lang w:val="fr-FR" w:eastAsia="fr-FR" w:bidi="fr-FR"/>
        </w:rPr>
        <w:t xml:space="preserve"> I, 19 ; </w:t>
      </w:r>
      <w:r w:rsidRPr="003B3476">
        <w:rPr>
          <w:i/>
        </w:rPr>
        <w:t>Liber Pontificalis</w:t>
      </w:r>
      <w:r w:rsidRPr="003B3476">
        <w:rPr>
          <w:lang w:val="fr-FR" w:eastAsia="fr-FR" w:bidi="fr-FR"/>
        </w:rPr>
        <w:t xml:space="preserve">, éd. </w:t>
      </w:r>
      <w:r w:rsidRPr="003B3476">
        <w:rPr>
          <w:rStyle w:val="Notedebasdepage65ptPetitesmajuscules"/>
          <w:b w:val="0"/>
          <w:sz w:val="24"/>
        </w:rPr>
        <w:t xml:space="preserve">Duchesne, </w:t>
      </w:r>
      <w:r w:rsidRPr="003B3476">
        <w:rPr>
          <w:lang w:val="fr-FR" w:eastAsia="fr-FR" w:bidi="fr-FR"/>
        </w:rPr>
        <w:t>t. I, p. 324 (</w:t>
      </w:r>
      <w:r w:rsidRPr="003B3476">
        <w:rPr>
          <w:i/>
          <w:lang w:val="fr-FR" w:eastAsia="fr-FR" w:bidi="fr-FR"/>
        </w:rPr>
        <w:t>cf.</w:t>
      </w:r>
      <w:r w:rsidRPr="003B3476">
        <w:rPr>
          <w:lang w:val="fr-FR" w:eastAsia="fr-FR" w:bidi="fr-FR"/>
        </w:rPr>
        <w:t xml:space="preserve"> p. 327, n. 20) : </w:t>
      </w:r>
      <w:r w:rsidRPr="003B3476">
        <w:rPr>
          <w:i/>
          <w:lang w:val="fr-FR" w:eastAsia="fr-FR" w:bidi="fr-FR"/>
        </w:rPr>
        <w:t>Honorius</w:t>
      </w:r>
      <w:r w:rsidRPr="003B3476">
        <w:rPr>
          <w:lang w:val="fr-FR" w:eastAsia="fr-FR" w:bidi="fr-FR"/>
        </w:rPr>
        <w:t xml:space="preserve"> I</w:t>
      </w:r>
      <w:r w:rsidRPr="003B3476">
        <w:rPr>
          <w:vertAlign w:val="superscript"/>
          <w:lang w:val="fr-FR" w:eastAsia="fr-FR" w:bidi="fr-FR"/>
        </w:rPr>
        <w:t>er</w:t>
      </w:r>
      <w:r w:rsidRPr="003B3476">
        <w:rPr>
          <w:lang w:val="fr-FR" w:eastAsia="fr-FR" w:bidi="fr-FR"/>
        </w:rPr>
        <w:t>. — Naturellement, au temps du siège de R</w:t>
      </w:r>
      <w:r w:rsidRPr="003B3476">
        <w:rPr>
          <w:lang w:val="fr-FR" w:eastAsia="fr-FR" w:bidi="fr-FR"/>
        </w:rPr>
        <w:t>o</w:t>
      </w:r>
      <w:r w:rsidRPr="003B3476">
        <w:rPr>
          <w:lang w:val="fr-FR" w:eastAsia="fr-FR" w:bidi="fr-FR"/>
        </w:rPr>
        <w:t>me, la difficulté fut accrue par la disette de fourrage, qui empêchait de se r</w:t>
      </w:r>
      <w:r w:rsidRPr="003B3476">
        <w:rPr>
          <w:lang w:val="fr-FR" w:eastAsia="fr-FR" w:bidi="fr-FR"/>
        </w:rPr>
        <w:t>a</w:t>
      </w:r>
      <w:r w:rsidRPr="003B3476">
        <w:rPr>
          <w:lang w:val="fr-FR" w:eastAsia="fr-FR" w:bidi="fr-FR"/>
        </w:rPr>
        <w:t>battre sur les meules à chevaux.</w:t>
      </w:r>
    </w:p>
  </w:footnote>
  <w:footnote w:id="776">
    <w:p w14:paraId="38E1044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Genséric</w:t>
      </w:r>
      <w:r w:rsidRPr="003B3476">
        <w:rPr>
          <w:lang w:val="fr-FR" w:eastAsia="fr-FR" w:bidi="fr-FR"/>
        </w:rPr>
        <w:t>, p. 32.</w:t>
      </w:r>
    </w:p>
  </w:footnote>
  <w:footnote w:id="777">
    <w:p w14:paraId="2B6E2A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Vespasien</w:t>
      </w:r>
      <w:r w:rsidRPr="003B3476">
        <w:rPr>
          <w:lang w:val="fr-FR" w:eastAsia="fr-FR" w:bidi="fr-FR"/>
        </w:rPr>
        <w:t>, c. 18.</w:t>
      </w:r>
    </w:p>
  </w:footnote>
  <w:footnote w:id="778">
    <w:p w14:paraId="3C72A2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Opus agriculturae</w:t>
      </w:r>
      <w:r w:rsidRPr="003B3476">
        <w:rPr>
          <w:bCs/>
        </w:rPr>
        <w:t>, I, 41.</w:t>
      </w:r>
    </w:p>
  </w:footnote>
  <w:footnote w:id="779">
    <w:p w14:paraId="14D44D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 </w:t>
      </w:r>
      <w:r w:rsidRPr="003B3476">
        <w:rPr>
          <w:rStyle w:val="Notedebasdepage65ptPetitesmajuscules"/>
          <w:b w:val="0"/>
          <w:sz w:val="24"/>
        </w:rPr>
        <w:t xml:space="preserve">Vendryes, </w:t>
      </w:r>
      <w:r w:rsidRPr="003B3476">
        <w:rPr>
          <w:lang w:val="fr-FR" w:eastAsia="fr-FR" w:bidi="fr-FR"/>
        </w:rPr>
        <w:t xml:space="preserve">dans </w:t>
      </w:r>
      <w:r w:rsidRPr="003B3476">
        <w:rPr>
          <w:bCs/>
          <w:i/>
        </w:rPr>
        <w:t>Revue archéologique</w:t>
      </w:r>
      <w:r w:rsidRPr="003B3476">
        <w:rPr>
          <w:lang w:val="fr-FR" w:eastAsia="fr-FR" w:bidi="fr-FR"/>
        </w:rPr>
        <w:t>, 1921, II, p. 369.</w:t>
      </w:r>
    </w:p>
  </w:footnote>
  <w:footnote w:id="780">
    <w:p w14:paraId="2FAB2EE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XVIII, 23.</w:t>
      </w:r>
    </w:p>
  </w:footnote>
  <w:footnote w:id="781">
    <w:p w14:paraId="5532573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Codex The</w:t>
      </w:r>
      <w:r w:rsidRPr="003B3476">
        <w:rPr>
          <w:bCs/>
        </w:rPr>
        <w:t>.</w:t>
      </w:r>
      <w:r w:rsidRPr="003B3476">
        <w:rPr>
          <w:lang w:val="fr-FR" w:eastAsia="fr-FR" w:bidi="fr-FR"/>
        </w:rPr>
        <w:t xml:space="preserve"> </w:t>
      </w:r>
      <w:r w:rsidRPr="003B3476">
        <w:rPr>
          <w:i/>
          <w:lang w:val="fr-FR" w:eastAsia="fr-FR" w:bidi="fr-FR"/>
        </w:rPr>
        <w:t>d</w:t>
      </w:r>
      <w:r w:rsidRPr="003B3476">
        <w:rPr>
          <w:lang w:val="fr-FR" w:eastAsia="fr-FR" w:bidi="fr-FR"/>
        </w:rPr>
        <w:t>., IX, 40, 3, 5, 6, 9, et XIV, 17, 6.</w:t>
      </w:r>
    </w:p>
  </w:footnote>
  <w:footnote w:id="782">
    <w:p w14:paraId="07498F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65ptNonItaliquePetitesmajuscules"/>
          <w:b w:val="0"/>
          <w:i w:val="0"/>
          <w:iCs w:val="0"/>
          <w:sz w:val="24"/>
        </w:rPr>
        <w:t xml:space="preserve">Grégoire de Tours, </w:t>
      </w:r>
      <w:r w:rsidRPr="003B3476">
        <w:rPr>
          <w:i/>
          <w:lang w:val="fr-FR" w:eastAsia="fr-FR" w:bidi="fr-FR"/>
        </w:rPr>
        <w:t>Historia Francorum</w:t>
      </w:r>
      <w:r w:rsidRPr="003B3476">
        <w:t xml:space="preserve">, IX, 38 ; </w:t>
      </w:r>
      <w:r w:rsidRPr="003B3476">
        <w:rPr>
          <w:rStyle w:val="Notedebasdepage365ptNonItaliquePetitesmajuscules"/>
          <w:b w:val="0"/>
          <w:i w:val="0"/>
          <w:iCs w:val="0"/>
          <w:sz w:val="24"/>
        </w:rPr>
        <w:t xml:space="preserve">Flodoard, </w:t>
      </w:r>
      <w:r w:rsidRPr="003B3476">
        <w:rPr>
          <w:i/>
          <w:lang w:val="fr-FR" w:eastAsia="fr-FR" w:bidi="fr-FR"/>
        </w:rPr>
        <w:t>Historia R</w:t>
      </w:r>
      <w:r w:rsidRPr="003B3476">
        <w:rPr>
          <w:i/>
          <w:lang w:val="fr-FR" w:eastAsia="fr-FR" w:bidi="fr-FR"/>
        </w:rPr>
        <w:t>e</w:t>
      </w:r>
      <w:r w:rsidRPr="003B3476">
        <w:rPr>
          <w:i/>
          <w:lang w:val="fr-FR" w:eastAsia="fr-FR" w:bidi="fr-FR"/>
        </w:rPr>
        <w:t>mensis ecclesiae</w:t>
      </w:r>
      <w:r w:rsidRPr="003B3476">
        <w:t xml:space="preserve">, I, 24 ; </w:t>
      </w:r>
      <w:r w:rsidRPr="003B3476">
        <w:rPr>
          <w:i/>
          <w:lang w:val="fr-FR" w:eastAsia="fr-FR" w:bidi="fr-FR"/>
        </w:rPr>
        <w:t>Miracula S. Bertini</w:t>
      </w:r>
      <w:r w:rsidRPr="003B3476">
        <w:t xml:space="preserve">, dans </w:t>
      </w:r>
      <w:r w:rsidRPr="003B3476">
        <w:rPr>
          <w:rStyle w:val="Notedebasdepage365ptNonItaliquePetitesmajuscules"/>
          <w:b w:val="0"/>
          <w:i w:val="0"/>
          <w:iCs w:val="0"/>
          <w:sz w:val="24"/>
        </w:rPr>
        <w:t xml:space="preserve">Mabillon, </w:t>
      </w:r>
      <w:r w:rsidRPr="003B3476">
        <w:rPr>
          <w:lang w:val="fr-FR" w:eastAsia="fr-FR" w:bidi="fr-FR"/>
        </w:rPr>
        <w:t xml:space="preserve">A.A. S.S. </w:t>
      </w:r>
      <w:r w:rsidRPr="003B3476">
        <w:rPr>
          <w:i/>
          <w:lang w:val="fr-FR" w:eastAsia="fr-FR" w:bidi="fr-FR"/>
        </w:rPr>
        <w:t>ord. S. Benedicti</w:t>
      </w:r>
      <w:r w:rsidRPr="003B3476">
        <w:t>, III, 1, p. 112, c. 13.</w:t>
      </w:r>
    </w:p>
  </w:footnote>
  <w:footnote w:id="783">
    <w:p w14:paraId="2C0F773A" w14:textId="77777777" w:rsidR="00B9662D" w:rsidRPr="003B3476" w:rsidRDefault="00B9662D" w:rsidP="00B9662D">
      <w:pPr>
        <w:pStyle w:val="Notedebasdepage"/>
        <w:rPr>
          <w:lang w:val="fr-FR"/>
        </w:rPr>
      </w:pPr>
      <w:r w:rsidRPr="003B3476">
        <w:rPr>
          <w:rStyle w:val="Appelnotedebasdep"/>
          <w:sz w:val="24"/>
        </w:rPr>
        <w:footnoteRef/>
      </w:r>
      <w:r w:rsidRPr="003B3476">
        <w:t xml:space="preserve"> </w:t>
      </w:r>
      <w:r w:rsidRPr="003B3476">
        <w:rPr>
          <w:lang w:val="fr-FR"/>
        </w:rPr>
        <w:tab/>
      </w:r>
      <w:r w:rsidRPr="003B3476">
        <w:rPr>
          <w:rStyle w:val="Notedebasdepage65ptPetitesmajuscules"/>
          <w:b w:val="0"/>
          <w:sz w:val="24"/>
        </w:rPr>
        <w:t xml:space="preserve">Déchelette, </w:t>
      </w:r>
      <w:r w:rsidRPr="003B3476">
        <w:rPr>
          <w:bCs/>
          <w:i/>
        </w:rPr>
        <w:t>Manuel</w:t>
      </w:r>
      <w:r w:rsidRPr="003B3476">
        <w:rPr>
          <w:lang w:val="fr-FR" w:eastAsia="fr-FR" w:bidi="fr-FR"/>
        </w:rPr>
        <w:t>, t. II, 3</w:t>
      </w:r>
      <w:r w:rsidRPr="003B3476">
        <w:rPr>
          <w:vertAlign w:val="superscript"/>
          <w:lang w:val="fr-FR" w:eastAsia="fr-FR" w:bidi="fr-FR"/>
        </w:rPr>
        <w:t>e</w:t>
      </w:r>
      <w:r w:rsidRPr="003B3476">
        <w:rPr>
          <w:lang w:val="fr-FR" w:eastAsia="fr-FR" w:bidi="fr-FR"/>
        </w:rPr>
        <w:t xml:space="preserve"> partie, p. 1386 et suiv. ; </w:t>
      </w:r>
      <w:r w:rsidRPr="003B3476">
        <w:rPr>
          <w:rStyle w:val="Notedebasdepage65ptPetitesmajuscules"/>
          <w:b w:val="0"/>
          <w:sz w:val="24"/>
        </w:rPr>
        <w:t xml:space="preserve">Lindet, </w:t>
      </w:r>
      <w:r w:rsidRPr="003B3476">
        <w:rPr>
          <w:lang w:val="fr-FR" w:eastAsia="fr-FR" w:bidi="fr-FR"/>
        </w:rPr>
        <w:t xml:space="preserve">dans </w:t>
      </w:r>
      <w:r w:rsidRPr="003B3476">
        <w:rPr>
          <w:bCs/>
          <w:i/>
        </w:rPr>
        <w:t>Revue archéolog</w:t>
      </w:r>
      <w:r w:rsidRPr="003B3476">
        <w:rPr>
          <w:bCs/>
          <w:i/>
        </w:rPr>
        <w:t>i</w:t>
      </w:r>
      <w:r w:rsidRPr="003B3476">
        <w:rPr>
          <w:bCs/>
          <w:i/>
        </w:rPr>
        <w:t>que</w:t>
      </w:r>
      <w:r w:rsidRPr="003B3476">
        <w:rPr>
          <w:lang w:val="fr-FR" w:eastAsia="fr-FR" w:bidi="fr-FR"/>
        </w:rPr>
        <w:t>, 1900, I, p. 30 et suiv.</w:t>
      </w:r>
    </w:p>
  </w:footnote>
  <w:footnote w:id="784">
    <w:p w14:paraId="685DBBD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A. P. </w:t>
      </w:r>
      <w:r w:rsidRPr="003B3476">
        <w:rPr>
          <w:rStyle w:val="Notedebasdepage365ptNonItaliquePetitesmajuscules"/>
          <w:b w:val="0"/>
          <w:i w:val="0"/>
          <w:iCs w:val="0"/>
          <w:sz w:val="24"/>
        </w:rPr>
        <w:t xml:space="preserve">Usher, </w:t>
      </w:r>
      <w:r w:rsidRPr="003B3476">
        <w:rPr>
          <w:i/>
          <w:lang w:val="fr-FR" w:eastAsia="fr-FR" w:bidi="fr-FR"/>
        </w:rPr>
        <w:t>A history of mechanical inventions</w:t>
      </w:r>
      <w:r w:rsidRPr="003B3476">
        <w:rPr>
          <w:bCs/>
        </w:rPr>
        <w:t>, p. 126 et suiv.</w:t>
      </w:r>
    </w:p>
  </w:footnote>
  <w:footnote w:id="785">
    <w:p w14:paraId="6EFD1EA5" w14:textId="77777777" w:rsidR="00B9662D" w:rsidRPr="003B3476" w:rsidRDefault="00B9662D" w:rsidP="00B9662D">
      <w:pPr>
        <w:pStyle w:val="Notedebasdepage"/>
      </w:pPr>
      <w:r w:rsidRPr="003B3476">
        <w:rPr>
          <w:rStyle w:val="Appelnotedebasdep"/>
        </w:rPr>
        <w:footnoteRef/>
      </w:r>
      <w:r w:rsidRPr="003B3476">
        <w:t xml:space="preserve"> </w:t>
      </w:r>
      <w:r w:rsidRPr="003B3476">
        <w:tab/>
        <w:t>Un passage du chroniqueur strasbourgeois Jacques de Königshofen sembl</w:t>
      </w:r>
      <w:r w:rsidRPr="003B3476">
        <w:t>e</w:t>
      </w:r>
      <w:r w:rsidRPr="003B3476">
        <w:t xml:space="preserve">rait, à première vue, attester la coexistence, à Strasbourg, jusqu’au </w:t>
      </w:r>
      <w:r w:rsidRPr="003B3476">
        <w:rPr>
          <w:caps/>
        </w:rPr>
        <w:t>xiv</w:t>
      </w:r>
      <w:r w:rsidRPr="003B3476">
        <w:rPr>
          <w:vertAlign w:val="superscript"/>
        </w:rPr>
        <w:t>e</w:t>
      </w:r>
      <w:r w:rsidRPr="003B3476">
        <w:t xml:space="preserve"> si</w:t>
      </w:r>
      <w:r w:rsidRPr="003B3476">
        <w:t>è</w:t>
      </w:r>
      <w:r w:rsidRPr="003B3476">
        <w:t>cle, des deux types d’instruments. Durant le siège de 1392, nous dit-il, comme les assiégeants avaient détourné le cours de l’Ill et qu’en outre la sécheresse de l’été avait presque tari la Bruche, les pauvres, « s’ils n’avaient pas d’amis », durent « écraser le grain dans des mortiers », tandis que « diverses perso</w:t>
      </w:r>
      <w:r w:rsidRPr="003B3476">
        <w:t>n</w:t>
      </w:r>
      <w:r w:rsidRPr="003B3476">
        <w:t>nes établissaient dans leurs maisons des moulins à tourner ou des moulins à vent et aidaient [d’autres] pauvres » (</w:t>
      </w:r>
      <w:r w:rsidRPr="003B3476">
        <w:rPr>
          <w:i/>
        </w:rPr>
        <w:t>Die</w:t>
      </w:r>
      <w:r w:rsidRPr="003B3476">
        <w:t xml:space="preserve"> </w:t>
      </w:r>
      <w:r w:rsidRPr="003B3476">
        <w:rPr>
          <w:i/>
        </w:rPr>
        <w:t>Chroniken der deutschen Stadte</w:t>
      </w:r>
      <w:r w:rsidRPr="003B3476">
        <w:t>, t. IX, p. 694). Mais les meules tour</w:t>
      </w:r>
      <w:r w:rsidRPr="003B3476">
        <w:rPr>
          <w:lang w:val="fr-FR" w:eastAsia="fr-FR" w:bidi="fr-FR"/>
        </w:rPr>
        <w:t>nantes étaient visiblement improvisées et les mortiers, auxquels, sous l’empire de la nécessité, on avait recours pour le broyage du blé, servaient sans doute, en temps normal, à d’autres usages : ce texte, finalement, porte simplement témoignage en faveur de l’ingéniosité de la population.</w:t>
      </w:r>
    </w:p>
  </w:footnote>
  <w:footnote w:id="786">
    <w:p w14:paraId="7F8D887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L’histoire du moulin à vent a été longtemps viciée par des faux, mensongèr</w:t>
      </w:r>
      <w:r w:rsidRPr="003B3476">
        <w:rPr>
          <w:lang w:val="fr-FR" w:eastAsia="fr-FR" w:bidi="fr-FR"/>
        </w:rPr>
        <w:t>e</w:t>
      </w:r>
      <w:r w:rsidRPr="003B3476">
        <w:rPr>
          <w:lang w:val="fr-FR" w:eastAsia="fr-FR" w:bidi="fr-FR"/>
        </w:rPr>
        <w:t xml:space="preserve">ment datés du </w:t>
      </w:r>
      <w:r w:rsidRPr="003B3476">
        <w:rPr>
          <w:bCs/>
        </w:rPr>
        <w:t>XI</w:t>
      </w:r>
      <w:r w:rsidRPr="003B3476">
        <w:rPr>
          <w:bCs/>
          <w:vertAlign w:val="superscript"/>
        </w:rPr>
        <w:t>e</w:t>
      </w:r>
      <w:r w:rsidRPr="003B3476">
        <w:rPr>
          <w:bCs/>
        </w:rPr>
        <w:t xml:space="preserve">, </w:t>
      </w:r>
      <w:r w:rsidRPr="003B3476">
        <w:rPr>
          <w:lang w:val="fr-FR" w:eastAsia="fr-FR" w:bidi="fr-FR"/>
        </w:rPr>
        <w:t xml:space="preserve">voire du </w:t>
      </w:r>
      <w:r w:rsidRPr="003B3476">
        <w:rPr>
          <w:bCs/>
        </w:rPr>
        <w:t>ix</w:t>
      </w:r>
      <w:r w:rsidRPr="003B3476">
        <w:rPr>
          <w:bCs/>
          <w:vertAlign w:val="superscript"/>
        </w:rPr>
        <w:t>e</w:t>
      </w:r>
      <w:r w:rsidRPr="003B3476">
        <w:rPr>
          <w:bCs/>
        </w:rPr>
        <w:t xml:space="preserve"> </w:t>
      </w:r>
      <w:r w:rsidRPr="003B3476">
        <w:rPr>
          <w:lang w:val="fr-FR" w:eastAsia="fr-FR" w:bidi="fr-FR"/>
        </w:rPr>
        <w:t xml:space="preserve">siècle. </w:t>
      </w:r>
      <w:r w:rsidRPr="003B3476">
        <w:rPr>
          <w:bCs/>
          <w:i/>
        </w:rPr>
        <w:t>Cf.</w:t>
      </w:r>
      <w:r w:rsidRPr="003B3476">
        <w:rPr>
          <w:lang w:val="fr-FR" w:eastAsia="fr-FR" w:bidi="fr-FR"/>
        </w:rPr>
        <w:t xml:space="preserve"> L. </w:t>
      </w:r>
      <w:r w:rsidRPr="003B3476">
        <w:rPr>
          <w:rStyle w:val="Notedebasdepage65ptPetitesmajuscules"/>
          <w:b w:val="0"/>
          <w:sz w:val="24"/>
        </w:rPr>
        <w:t xml:space="preserve">Delisle, </w:t>
      </w:r>
      <w:r w:rsidRPr="003B3476">
        <w:rPr>
          <w:bCs/>
          <w:i/>
        </w:rPr>
        <w:t>Études sur la condition de la classe agricole... en Normandie</w:t>
      </w:r>
      <w:r w:rsidRPr="003B3476">
        <w:rPr>
          <w:lang w:val="fr-FR" w:eastAsia="fr-FR" w:bidi="fr-FR"/>
        </w:rPr>
        <w:t>, p. 514, où l’on trouvera également cité le d</w:t>
      </w:r>
      <w:r w:rsidRPr="003B3476">
        <w:rPr>
          <w:lang w:val="fr-FR" w:eastAsia="fr-FR" w:bidi="fr-FR"/>
        </w:rPr>
        <w:t>o</w:t>
      </w:r>
      <w:r w:rsidRPr="003B3476">
        <w:rPr>
          <w:lang w:val="fr-FR" w:eastAsia="fr-FR" w:bidi="fr-FR"/>
        </w:rPr>
        <w:t>cument français le plus ancien qui jusqu’ici ait été relevé : vers 1180. Le pr</w:t>
      </w:r>
      <w:r w:rsidRPr="003B3476">
        <w:rPr>
          <w:lang w:val="fr-FR" w:eastAsia="fr-FR" w:bidi="fr-FR"/>
        </w:rPr>
        <w:t>e</w:t>
      </w:r>
      <w:r w:rsidRPr="003B3476">
        <w:rPr>
          <w:lang w:val="fr-FR" w:eastAsia="fr-FR" w:bidi="fr-FR"/>
        </w:rPr>
        <w:t xml:space="preserve">mier témoignage, en Angleterre, est sensiblement de même date, puisqu’il se rapporte à l’abbé Samson, de Bury St. Edmunds, élu en 1182, et nous a été conservé par la chronique de Jocelin de Brakelonde, rédigée peu après 1202 ; </w:t>
      </w:r>
      <w:r w:rsidRPr="003B3476">
        <w:rPr>
          <w:bCs/>
          <w:i/>
        </w:rPr>
        <w:t>Memorials of St. Edmund’s Abbey</w:t>
      </w:r>
      <w:r w:rsidRPr="003B3476">
        <w:rPr>
          <w:lang w:val="fr-FR" w:eastAsia="fr-FR" w:bidi="fr-FR"/>
        </w:rPr>
        <w:t xml:space="preserve">, éd. Th. </w:t>
      </w:r>
      <w:r w:rsidRPr="003B3476">
        <w:rPr>
          <w:rStyle w:val="Notedebasdepage65ptPetitesmajuscules"/>
          <w:b w:val="0"/>
          <w:sz w:val="24"/>
        </w:rPr>
        <w:t xml:space="preserve">Arnold </w:t>
      </w:r>
      <w:r w:rsidRPr="003B3476">
        <w:rPr>
          <w:bCs/>
        </w:rPr>
        <w:t>(</w:t>
      </w:r>
      <w:r w:rsidRPr="003B3476">
        <w:rPr>
          <w:bCs/>
          <w:i/>
        </w:rPr>
        <w:t>Rolls Series</w:t>
      </w:r>
      <w:r w:rsidRPr="003B3476">
        <w:rPr>
          <w:bCs/>
        </w:rPr>
        <w:t>)</w:t>
      </w:r>
      <w:r w:rsidRPr="003B3476">
        <w:rPr>
          <w:lang w:val="fr-FR" w:eastAsia="fr-FR" w:bidi="fr-FR"/>
        </w:rPr>
        <w:t>, t. I, p. 263, c. 45.</w:t>
      </w:r>
    </w:p>
  </w:footnote>
  <w:footnote w:id="787">
    <w:p w14:paraId="73B926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Terrier de Saint-Martin-des-Champs (</w:t>
      </w:r>
      <w:r w:rsidRPr="003B3476">
        <w:rPr>
          <w:bCs/>
        </w:rPr>
        <w:t>Arch. Nat.,</w:t>
      </w:r>
      <w:r w:rsidRPr="003B3476">
        <w:rPr>
          <w:lang w:val="fr-FR" w:eastAsia="fr-FR" w:bidi="fr-FR"/>
        </w:rPr>
        <w:t xml:space="preserve"> LL 1879), f° 1 ; Thomas </w:t>
      </w:r>
      <w:r w:rsidRPr="003B3476">
        <w:rPr>
          <w:rStyle w:val="Notedebasdepage65ptPetitesmajuscules"/>
          <w:b w:val="0"/>
          <w:sz w:val="24"/>
        </w:rPr>
        <w:t xml:space="preserve">Walsingham, </w:t>
      </w:r>
      <w:r w:rsidRPr="003B3476">
        <w:rPr>
          <w:bCs/>
          <w:i/>
        </w:rPr>
        <w:t>Gesta S. Albani</w:t>
      </w:r>
      <w:r w:rsidRPr="003B3476">
        <w:rPr>
          <w:bCs/>
        </w:rPr>
        <w:t xml:space="preserve"> (Rolls Series)</w:t>
      </w:r>
      <w:r w:rsidRPr="003B3476">
        <w:rPr>
          <w:lang w:val="fr-FR" w:eastAsia="fr-FR" w:bidi="fr-FR"/>
        </w:rPr>
        <w:t xml:space="preserve">, t. I, p. 323. </w:t>
      </w:r>
      <w:r w:rsidRPr="003B3476">
        <w:rPr>
          <w:bCs/>
          <w:i/>
        </w:rPr>
        <w:t>Cf.</w:t>
      </w:r>
      <w:r w:rsidRPr="003B3476">
        <w:rPr>
          <w:lang w:val="fr-FR" w:eastAsia="fr-FR" w:bidi="fr-FR"/>
        </w:rPr>
        <w:t xml:space="preserve"> dans le même sens, L. </w:t>
      </w:r>
      <w:r w:rsidRPr="003B3476">
        <w:rPr>
          <w:rStyle w:val="Notedebasdepage65ptPetitesmajuscules"/>
          <w:b w:val="0"/>
          <w:sz w:val="24"/>
        </w:rPr>
        <w:t xml:space="preserve">Delisle, </w:t>
      </w:r>
      <w:r w:rsidRPr="003B3476">
        <w:rPr>
          <w:lang w:val="fr-FR" w:eastAsia="fr-FR" w:bidi="fr-FR"/>
        </w:rPr>
        <w:t xml:space="preserve">ouvr. cité, p. 518, n. 37 ; M. </w:t>
      </w:r>
      <w:r w:rsidRPr="003B3476">
        <w:rPr>
          <w:rStyle w:val="Notedebasdepage65ptPetitesmajuscules"/>
          <w:b w:val="0"/>
          <w:sz w:val="24"/>
        </w:rPr>
        <w:t xml:space="preserve">Malouin, </w:t>
      </w:r>
      <w:r w:rsidRPr="003B3476">
        <w:rPr>
          <w:bCs/>
          <w:i/>
        </w:rPr>
        <w:t>Descriptions et d</w:t>
      </w:r>
      <w:r w:rsidRPr="003B3476">
        <w:rPr>
          <w:bCs/>
          <w:i/>
        </w:rPr>
        <w:t>é</w:t>
      </w:r>
      <w:r w:rsidRPr="003B3476">
        <w:rPr>
          <w:bCs/>
          <w:i/>
        </w:rPr>
        <w:t>tails des arts du meunier</w:t>
      </w:r>
      <w:r w:rsidRPr="003B3476">
        <w:rPr>
          <w:lang w:val="fr-FR" w:eastAsia="fr-FR" w:bidi="fr-FR"/>
        </w:rPr>
        <w:t xml:space="preserve">, p. 55 ; Léon </w:t>
      </w:r>
      <w:r w:rsidRPr="003B3476">
        <w:rPr>
          <w:rStyle w:val="Notedebasdepage65ptPetitesmajuscules"/>
          <w:b w:val="0"/>
          <w:sz w:val="24"/>
        </w:rPr>
        <w:t xml:space="preserve">Cahen, </w:t>
      </w:r>
      <w:r w:rsidRPr="003B3476">
        <w:rPr>
          <w:lang w:val="fr-FR" w:eastAsia="fr-FR" w:bidi="fr-FR"/>
        </w:rPr>
        <w:t xml:space="preserve">dans </w:t>
      </w:r>
      <w:r w:rsidRPr="003B3476">
        <w:rPr>
          <w:bCs/>
          <w:i/>
        </w:rPr>
        <w:t>Cahiers de la Révolution française</w:t>
      </w:r>
      <w:r w:rsidRPr="003B3476">
        <w:rPr>
          <w:lang w:val="fr-FR" w:eastAsia="fr-FR" w:bidi="fr-FR"/>
        </w:rPr>
        <w:t>, t. I, 1934, p. 56. — Ces soucis de prudence expliquent que, sur le célèbre plan de mona</w:t>
      </w:r>
      <w:r w:rsidRPr="003B3476">
        <w:rPr>
          <w:lang w:val="fr-FR" w:eastAsia="fr-FR" w:bidi="fr-FR"/>
        </w:rPr>
        <w:t>s</w:t>
      </w:r>
      <w:r w:rsidRPr="003B3476">
        <w:rPr>
          <w:lang w:val="fr-FR" w:eastAsia="fr-FR" w:bidi="fr-FR"/>
        </w:rPr>
        <w:t xml:space="preserve">tère, offert à l’abbé Gozbert de Saint-Gail (816-836), des meules, à chevaux ou à bras, soient représentées dans un des bâtiments d’exploitation (F. </w:t>
      </w:r>
      <w:r w:rsidRPr="003B3476">
        <w:rPr>
          <w:rStyle w:val="Notedebasdepage65ptPetitesmajuscules"/>
          <w:b w:val="0"/>
          <w:sz w:val="24"/>
        </w:rPr>
        <w:t xml:space="preserve">Keller, </w:t>
      </w:r>
      <w:r w:rsidRPr="003B3476">
        <w:rPr>
          <w:bCs/>
          <w:i/>
        </w:rPr>
        <w:t>Bauriss des Klosters S. Galien</w:t>
      </w:r>
      <w:r w:rsidRPr="003B3476">
        <w:rPr>
          <w:i/>
          <w:lang w:val="fr-FR" w:eastAsia="fr-FR" w:bidi="fr-FR"/>
        </w:rPr>
        <w:t>, Zurich, 1844 </w:t>
      </w:r>
      <w:r w:rsidRPr="003B3476">
        <w:rPr>
          <w:lang w:val="fr-FR" w:eastAsia="fr-FR" w:bidi="fr-FR"/>
        </w:rPr>
        <w:t>; repr</w:t>
      </w:r>
      <w:r w:rsidRPr="003B3476">
        <w:rPr>
          <w:lang w:val="fr-FR" w:eastAsia="fr-FR" w:bidi="fr-FR"/>
        </w:rPr>
        <w:t>o</w:t>
      </w:r>
      <w:r w:rsidRPr="003B3476">
        <w:rPr>
          <w:lang w:val="fr-FR" w:eastAsia="fr-FR" w:bidi="fr-FR"/>
        </w:rPr>
        <w:t xml:space="preserve">duction à échelle réduite dans C. </w:t>
      </w:r>
      <w:r w:rsidRPr="003B3476">
        <w:rPr>
          <w:rStyle w:val="Notedebasdepage65ptPetitesmajuscules"/>
          <w:b w:val="0"/>
          <w:sz w:val="24"/>
        </w:rPr>
        <w:t xml:space="preserve">Enlart, </w:t>
      </w:r>
      <w:r w:rsidRPr="003B3476">
        <w:rPr>
          <w:bCs/>
          <w:i/>
        </w:rPr>
        <w:t>Manuel</w:t>
      </w:r>
      <w:r w:rsidRPr="003B3476">
        <w:rPr>
          <w:bCs/>
        </w:rPr>
        <w:t xml:space="preserve">, </w:t>
      </w:r>
      <w:r w:rsidRPr="003B3476">
        <w:rPr>
          <w:lang w:val="fr-FR" w:eastAsia="fr-FR" w:bidi="fr-FR"/>
        </w:rPr>
        <w:t>2</w:t>
      </w:r>
      <w:r w:rsidRPr="003B3476">
        <w:rPr>
          <w:vertAlign w:val="superscript"/>
          <w:lang w:val="fr-FR" w:eastAsia="fr-FR" w:bidi="fr-FR"/>
        </w:rPr>
        <w:t>e</w:t>
      </w:r>
      <w:r w:rsidRPr="003B3476">
        <w:rPr>
          <w:lang w:val="fr-FR" w:eastAsia="fr-FR" w:bidi="fr-FR"/>
        </w:rPr>
        <w:t xml:space="preserve"> éd., II</w:t>
      </w:r>
      <w:r w:rsidRPr="003B3476">
        <w:rPr>
          <w:vertAlign w:val="superscript"/>
          <w:lang w:val="fr-FR" w:eastAsia="fr-FR" w:bidi="fr-FR"/>
        </w:rPr>
        <w:t>e</w:t>
      </w:r>
      <w:r w:rsidRPr="003B3476">
        <w:rPr>
          <w:lang w:val="fr-FR" w:eastAsia="fr-FR" w:bidi="fr-FR"/>
        </w:rPr>
        <w:t> partie, t. III, p. 10). Elles servaient en cas d’urgence. Les moulins à eau que possédaient tous les grands établissements religieux du temps, ne pouvaient être figurés sur un plan type, puisque leur emplacement variait forcément selon les cond</w:t>
      </w:r>
      <w:r w:rsidRPr="003B3476">
        <w:rPr>
          <w:lang w:val="fr-FR" w:eastAsia="fr-FR" w:bidi="fr-FR"/>
        </w:rPr>
        <w:t>i</w:t>
      </w:r>
      <w:r w:rsidRPr="003B3476">
        <w:rPr>
          <w:lang w:val="fr-FR" w:eastAsia="fr-FR" w:bidi="fr-FR"/>
        </w:rPr>
        <w:t>tions l</w:t>
      </w:r>
      <w:r w:rsidRPr="003B3476">
        <w:rPr>
          <w:lang w:val="fr-FR" w:eastAsia="fr-FR" w:bidi="fr-FR"/>
        </w:rPr>
        <w:t>o</w:t>
      </w:r>
      <w:r w:rsidRPr="003B3476">
        <w:rPr>
          <w:lang w:val="fr-FR" w:eastAsia="fr-FR" w:bidi="fr-FR"/>
        </w:rPr>
        <w:t>cales et que, par ailleurs, ils n’étaient généralement point compris dans l’enceinte du monastère. — </w:t>
      </w:r>
      <w:r w:rsidRPr="003B3476">
        <w:rPr>
          <w:bCs/>
          <w:i/>
        </w:rPr>
        <w:t>Cf.</w:t>
      </w:r>
      <w:r w:rsidRPr="003B3476">
        <w:rPr>
          <w:lang w:val="fr-FR" w:eastAsia="fr-FR" w:bidi="fr-FR"/>
        </w:rPr>
        <w:t xml:space="preserve"> encore, pour Augsbourg (1442), </w:t>
      </w:r>
      <w:r w:rsidRPr="003B3476">
        <w:rPr>
          <w:bCs/>
          <w:i/>
        </w:rPr>
        <w:t>Chroniken der deutschen Stadte</w:t>
      </w:r>
      <w:r w:rsidRPr="003B3476">
        <w:rPr>
          <w:bCs/>
        </w:rPr>
        <w:t>,</w:t>
      </w:r>
      <w:r w:rsidRPr="003B3476">
        <w:rPr>
          <w:lang w:val="fr-FR" w:eastAsia="fr-FR" w:bidi="fr-FR"/>
        </w:rPr>
        <w:t xml:space="preserve"> t. IV, p. 324.</w:t>
      </w:r>
    </w:p>
  </w:footnote>
  <w:footnote w:id="788">
    <w:p w14:paraId="20F5C56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F. </w:t>
      </w:r>
      <w:r w:rsidRPr="003B3476">
        <w:rPr>
          <w:rStyle w:val="Notedebasdepage65ptPetitesmajuscules"/>
          <w:b w:val="0"/>
          <w:sz w:val="24"/>
        </w:rPr>
        <w:t xml:space="preserve">Lot </w:t>
      </w:r>
      <w:r w:rsidRPr="003B3476">
        <w:rPr>
          <w:lang w:val="fr-FR" w:eastAsia="fr-FR" w:bidi="fr-FR"/>
        </w:rPr>
        <w:t xml:space="preserve">et R. </w:t>
      </w:r>
      <w:r w:rsidRPr="003B3476">
        <w:rPr>
          <w:rStyle w:val="Notedebasdepage65ptPetitesmajuscules"/>
          <w:b w:val="0"/>
          <w:sz w:val="24"/>
        </w:rPr>
        <w:t xml:space="preserve">Fawtier, </w:t>
      </w:r>
      <w:r w:rsidRPr="003B3476">
        <w:rPr>
          <w:i/>
        </w:rPr>
        <w:t>Le premier budget de la monarchie française</w:t>
      </w:r>
      <w:r w:rsidRPr="003B3476">
        <w:rPr>
          <w:lang w:val="fr-FR" w:eastAsia="fr-FR" w:bidi="fr-FR"/>
        </w:rPr>
        <w:t xml:space="preserve"> (repr</w:t>
      </w:r>
      <w:r w:rsidRPr="003B3476">
        <w:rPr>
          <w:lang w:val="fr-FR" w:eastAsia="fr-FR" w:bidi="fr-FR"/>
        </w:rPr>
        <w:t>o</w:t>
      </w:r>
      <w:r w:rsidRPr="003B3476">
        <w:rPr>
          <w:lang w:val="fr-FR" w:eastAsia="fr-FR" w:bidi="fr-FR"/>
        </w:rPr>
        <w:t xml:space="preserve">duction du compte publié par </w:t>
      </w:r>
      <w:r w:rsidRPr="003B3476">
        <w:rPr>
          <w:rStyle w:val="Notedebasdepage65ptPetitesmajuscules"/>
          <w:b w:val="0"/>
          <w:sz w:val="24"/>
        </w:rPr>
        <w:t xml:space="preserve">Brussel, </w:t>
      </w:r>
      <w:r w:rsidRPr="003B3476">
        <w:rPr>
          <w:i/>
        </w:rPr>
        <w:t>Nouvel examen de l’usage général des fiefs</w:t>
      </w:r>
      <w:r w:rsidRPr="003B3476">
        <w:t>,</w:t>
      </w:r>
      <w:r w:rsidRPr="003B3476">
        <w:rPr>
          <w:lang w:val="fr-FR" w:eastAsia="fr-FR" w:bidi="fr-FR"/>
        </w:rPr>
        <w:t xml:space="preserve"> t. II, p. </w:t>
      </w:r>
      <w:r w:rsidRPr="003B3476">
        <w:rPr>
          <w:rStyle w:val="Notedebasdepage65ptPetitesmajuscules"/>
          <w:b w:val="0"/>
          <w:sz w:val="24"/>
        </w:rPr>
        <w:t xml:space="preserve">clvi </w:t>
      </w:r>
      <w:r w:rsidRPr="003B3476">
        <w:rPr>
          <w:lang w:val="fr-FR" w:eastAsia="fr-FR" w:bidi="fr-FR"/>
        </w:rPr>
        <w:t xml:space="preserve">et </w:t>
      </w:r>
      <w:r w:rsidRPr="003B3476">
        <w:rPr>
          <w:rStyle w:val="Notedebasdepage65ptPetitesmajuscules"/>
          <w:b w:val="0"/>
          <w:sz w:val="24"/>
        </w:rPr>
        <w:t xml:space="preserve">clxxv) ; </w:t>
      </w:r>
      <w:r w:rsidRPr="003B3476">
        <w:rPr>
          <w:lang w:val="fr-FR" w:eastAsia="fr-FR" w:bidi="fr-FR"/>
        </w:rPr>
        <w:t xml:space="preserve">L. </w:t>
      </w:r>
      <w:r w:rsidRPr="003B3476">
        <w:rPr>
          <w:rStyle w:val="Notedebasdepage65ptPetitesmajuscules"/>
          <w:b w:val="0"/>
          <w:sz w:val="24"/>
        </w:rPr>
        <w:t xml:space="preserve">Delisle, </w:t>
      </w:r>
      <w:r w:rsidRPr="003B3476">
        <w:rPr>
          <w:i/>
        </w:rPr>
        <w:t>Études sur la condition de la classe agricole</w:t>
      </w:r>
      <w:r w:rsidRPr="003B3476">
        <w:t>,</w:t>
      </w:r>
      <w:r w:rsidRPr="003B3476">
        <w:rPr>
          <w:lang w:val="fr-FR" w:eastAsia="fr-FR" w:bidi="fr-FR"/>
        </w:rPr>
        <w:t xml:space="preserve"> p. 518, n. 38 ; </w:t>
      </w:r>
      <w:r w:rsidRPr="003B3476">
        <w:rPr>
          <w:rStyle w:val="Notedebasdepage65ptPetitesmajuscules"/>
          <w:b w:val="0"/>
          <w:sz w:val="24"/>
        </w:rPr>
        <w:t>M</w:t>
      </w:r>
      <w:r w:rsidRPr="003B3476">
        <w:rPr>
          <w:rStyle w:val="Notedebasdepage65ptPetitesmajuscules"/>
          <w:b w:val="0"/>
          <w:sz w:val="24"/>
        </w:rPr>
        <w:t>é</w:t>
      </w:r>
      <w:r w:rsidRPr="003B3476">
        <w:rPr>
          <w:rStyle w:val="Notedebasdepage65ptPetitesmajuscules"/>
          <w:b w:val="0"/>
          <w:sz w:val="24"/>
        </w:rPr>
        <w:t xml:space="preserve">nard, </w:t>
      </w:r>
      <w:r w:rsidRPr="003B3476">
        <w:rPr>
          <w:i/>
        </w:rPr>
        <w:t>Histoire de la ville de Nismes</w:t>
      </w:r>
      <w:r w:rsidRPr="003B3476">
        <w:rPr>
          <w:lang w:val="fr-FR" w:eastAsia="fr-FR" w:bidi="fr-FR"/>
        </w:rPr>
        <w:t>, t. II, 1702, pr. p. 181, col. 2. Dans ce texte, comme au t. I, pr., p. 10, col. 1, dans un pa</w:t>
      </w:r>
      <w:r w:rsidRPr="003B3476">
        <w:rPr>
          <w:lang w:val="fr-FR" w:eastAsia="fr-FR" w:bidi="fr-FR"/>
        </w:rPr>
        <w:t>s</w:t>
      </w:r>
      <w:r w:rsidRPr="003B3476">
        <w:rPr>
          <w:lang w:val="fr-FR" w:eastAsia="fr-FR" w:bidi="fr-FR"/>
        </w:rPr>
        <w:t xml:space="preserve">sage d’un catalogue des évêques de Nîmes, relatif à l’évêque Jean de Blanzac (1348-1361), le moulin à main est qualifié de </w:t>
      </w:r>
      <w:r w:rsidRPr="003B3476">
        <w:rPr>
          <w:i/>
        </w:rPr>
        <w:t>molendinum sanguinis</w:t>
      </w:r>
      <w:r w:rsidRPr="003B3476">
        <w:t> ;</w:t>
      </w:r>
      <w:r w:rsidRPr="003B3476">
        <w:rPr>
          <w:lang w:val="fr-FR" w:eastAsia="fr-FR" w:bidi="fr-FR"/>
        </w:rPr>
        <w:t xml:space="preserve"> l’expression a fait beaucoup rêver ; j’avoue mon incapacité à en fournir une interprétation satisfaisante ; en tout cas, son caractère local et tardif semble avéré ; </w:t>
      </w:r>
      <w:r w:rsidRPr="003B3476">
        <w:rPr>
          <w:i/>
        </w:rPr>
        <w:t>Annales Parmenses maiores</w:t>
      </w:r>
      <w:r w:rsidRPr="003B3476">
        <w:rPr>
          <w:i/>
          <w:lang w:val="fr-FR" w:eastAsia="fr-FR" w:bidi="fr-FR"/>
        </w:rPr>
        <w:t xml:space="preserve">, dans </w:t>
      </w:r>
      <w:r w:rsidRPr="003B3476">
        <w:rPr>
          <w:i/>
        </w:rPr>
        <w:t>S.S</w:t>
      </w:r>
      <w:r w:rsidRPr="003B3476">
        <w:t>.,</w:t>
      </w:r>
      <w:r w:rsidRPr="003B3476">
        <w:rPr>
          <w:lang w:val="fr-FR" w:eastAsia="fr-FR" w:bidi="fr-FR"/>
        </w:rPr>
        <w:t xml:space="preserve"> t. XVIII, p. 674. — Autres exemples de meules à bras dans les fo</w:t>
      </w:r>
      <w:r w:rsidRPr="003B3476">
        <w:rPr>
          <w:lang w:val="fr-FR" w:eastAsia="fr-FR" w:bidi="fr-FR"/>
        </w:rPr>
        <w:t>r</w:t>
      </w:r>
      <w:r w:rsidRPr="003B3476">
        <w:rPr>
          <w:lang w:val="fr-FR" w:eastAsia="fr-FR" w:bidi="fr-FR"/>
        </w:rPr>
        <w:t xml:space="preserve">teresses : J. A. </w:t>
      </w:r>
      <w:r w:rsidRPr="003B3476">
        <w:rPr>
          <w:rStyle w:val="Notedebasdepage65ptPetitesmajuscules"/>
          <w:b w:val="0"/>
          <w:sz w:val="24"/>
        </w:rPr>
        <w:t xml:space="preserve">Brutails. </w:t>
      </w:r>
      <w:r w:rsidRPr="003B3476">
        <w:rPr>
          <w:i/>
        </w:rPr>
        <w:t>Étude sur la condition des populations rurales en Rou</w:t>
      </w:r>
      <w:r w:rsidRPr="003B3476">
        <w:rPr>
          <w:i/>
        </w:rPr>
        <w:t>s</w:t>
      </w:r>
      <w:r w:rsidRPr="003B3476">
        <w:rPr>
          <w:i/>
        </w:rPr>
        <w:t>sillon au Moyen Âge,</w:t>
      </w:r>
      <w:r w:rsidRPr="003B3476">
        <w:rPr>
          <w:lang w:val="fr-FR" w:eastAsia="fr-FR" w:bidi="fr-FR"/>
        </w:rPr>
        <w:t xml:space="preserve"> p. 23 ; V. </w:t>
      </w:r>
      <w:r w:rsidRPr="003B3476">
        <w:rPr>
          <w:rStyle w:val="Notedebasdepage65ptPetitesmajuscules"/>
          <w:b w:val="0"/>
          <w:sz w:val="24"/>
        </w:rPr>
        <w:t xml:space="preserve">Mortet </w:t>
      </w:r>
      <w:r w:rsidRPr="003B3476">
        <w:rPr>
          <w:lang w:val="fr-FR" w:eastAsia="fr-FR" w:bidi="fr-FR"/>
        </w:rPr>
        <w:t xml:space="preserve">et P. </w:t>
      </w:r>
      <w:r w:rsidRPr="003B3476">
        <w:rPr>
          <w:rStyle w:val="Notedebasdepage65ptPetitesmajuscules"/>
          <w:b w:val="0"/>
          <w:sz w:val="24"/>
        </w:rPr>
        <w:t xml:space="preserve">Deschamps, </w:t>
      </w:r>
      <w:r w:rsidRPr="003B3476">
        <w:rPr>
          <w:i/>
        </w:rPr>
        <w:t>Recueil de textes relatifs à l’histoire de l’architecture</w:t>
      </w:r>
      <w:r w:rsidRPr="003B3476">
        <w:t>,</w:t>
      </w:r>
      <w:r w:rsidRPr="003B3476">
        <w:rPr>
          <w:lang w:val="fr-FR" w:eastAsia="fr-FR" w:bidi="fr-FR"/>
        </w:rPr>
        <w:t xml:space="preserve"> t. II, n</w:t>
      </w:r>
      <w:r w:rsidRPr="003B3476">
        <w:rPr>
          <w:vertAlign w:val="superscript"/>
          <w:lang w:val="fr-FR" w:eastAsia="fr-FR" w:bidi="fr-FR"/>
        </w:rPr>
        <w:t>os</w:t>
      </w:r>
      <w:r w:rsidRPr="003B3476">
        <w:rPr>
          <w:lang w:val="fr-FR" w:eastAsia="fr-FR" w:bidi="fr-FR"/>
        </w:rPr>
        <w:t xml:space="preserve"> </w:t>
      </w:r>
      <w:r w:rsidRPr="003B3476">
        <w:rPr>
          <w:smallCaps/>
          <w:lang w:val="fr-FR" w:eastAsia="fr-FR" w:bidi="fr-FR"/>
        </w:rPr>
        <w:t>cxxiv</w:t>
      </w:r>
      <w:r w:rsidRPr="003B3476">
        <w:rPr>
          <w:lang w:val="fr-FR" w:eastAsia="fr-FR" w:bidi="fr-FR"/>
        </w:rPr>
        <w:t xml:space="preserve"> (p. 264) et </w:t>
      </w:r>
      <w:r w:rsidRPr="003B3476">
        <w:rPr>
          <w:rStyle w:val="Notedebasdepage65ptPetitesmajuscules"/>
          <w:b w:val="0"/>
          <w:sz w:val="24"/>
        </w:rPr>
        <w:t xml:space="preserve">clvii </w:t>
      </w:r>
      <w:r w:rsidRPr="003B3476">
        <w:rPr>
          <w:lang w:val="fr-FR" w:eastAsia="fr-FR" w:bidi="fr-FR"/>
        </w:rPr>
        <w:t xml:space="preserve">(p. 330). </w:t>
      </w:r>
      <w:r w:rsidRPr="003B3476">
        <w:rPr>
          <w:i/>
        </w:rPr>
        <w:t>Cf.</w:t>
      </w:r>
      <w:r w:rsidRPr="003B3476">
        <w:rPr>
          <w:lang w:val="fr-FR" w:eastAsia="fr-FR" w:bidi="fr-FR"/>
        </w:rPr>
        <w:t xml:space="preserve"> aussi, sur le siège de Strasbourg, en 1392, ci-dessus, p. 809, n. 4.</w:t>
      </w:r>
    </w:p>
  </w:footnote>
  <w:footnote w:id="789">
    <w:p w14:paraId="0FA38E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Capitularia</w:t>
      </w:r>
      <w:r w:rsidRPr="003B3476">
        <w:rPr>
          <w:bCs/>
        </w:rPr>
        <w:t>,</w:t>
      </w:r>
      <w:r w:rsidRPr="003B3476">
        <w:rPr>
          <w:lang w:val="fr-FR" w:eastAsia="fr-FR" w:bidi="fr-FR"/>
        </w:rPr>
        <w:t xml:space="preserve"> t. I, n° 77, c. 10. — L’existence de meules à bras, que les ma</w:t>
      </w:r>
      <w:r w:rsidRPr="003B3476">
        <w:rPr>
          <w:lang w:val="fr-FR" w:eastAsia="fr-FR" w:bidi="fr-FR"/>
        </w:rPr>
        <w:t>r</w:t>
      </w:r>
      <w:r w:rsidRPr="003B3476">
        <w:rPr>
          <w:lang w:val="fr-FR" w:eastAsia="fr-FR" w:bidi="fr-FR"/>
        </w:rPr>
        <w:t>chands emportaient avec eux, paraît attestée par ce passage d’un accord conclu en 1207 entre Thomas de Viville et les moines de Jumièges : « Moltam de tota terra Tliome abbas habebit. Si homo de terra Thome ad aliud molend</w:t>
      </w:r>
      <w:r w:rsidRPr="003B3476">
        <w:rPr>
          <w:lang w:val="fr-FR" w:eastAsia="fr-FR" w:bidi="fr-FR"/>
        </w:rPr>
        <w:t>i</w:t>
      </w:r>
      <w:r w:rsidRPr="003B3476">
        <w:rPr>
          <w:lang w:val="fr-FR" w:eastAsia="fr-FR" w:bidi="fr-FR"/>
        </w:rPr>
        <w:t>num ierit, molendinarius abbatis per servientem Thome ea[m]dem justitiam faciet quam faceret in terra abbatis et tantam... Si mole ad manum in terra Thome reperte fuerint, omnes frangentur, preter unam propter egros. Si me</w:t>
      </w:r>
      <w:r w:rsidRPr="003B3476">
        <w:rPr>
          <w:lang w:val="fr-FR" w:eastAsia="fr-FR" w:bidi="fr-FR"/>
        </w:rPr>
        <w:t>r</w:t>
      </w:r>
      <w:r w:rsidRPr="003B3476">
        <w:rPr>
          <w:lang w:val="fr-FR" w:eastAsia="fr-FR" w:bidi="fr-FR"/>
        </w:rPr>
        <w:t>cator de terra Thome undecumque venerit cum blado vel frumento et in domo sua comedere voluerit vel quippiam aliud facere et statim recedere, licebit ei. Si nocte una morabitur, vel redam suam sub solario vel super limen domus sue deposuerit, moltam debebit » (</w:t>
      </w:r>
      <w:r w:rsidRPr="003B3476">
        <w:rPr>
          <w:bCs/>
          <w:i/>
        </w:rPr>
        <w:t>Arch</w:t>
      </w:r>
      <w:r w:rsidRPr="003B3476">
        <w:rPr>
          <w:i/>
          <w:lang w:val="fr-FR" w:eastAsia="fr-FR" w:bidi="fr-FR"/>
        </w:rPr>
        <w:t xml:space="preserve">. </w:t>
      </w:r>
      <w:r w:rsidRPr="003B3476">
        <w:rPr>
          <w:bCs/>
          <w:i/>
        </w:rPr>
        <w:t>de la Seine-Inférieure</w:t>
      </w:r>
      <w:r w:rsidRPr="003B3476">
        <w:rPr>
          <w:bCs/>
        </w:rPr>
        <w:t xml:space="preserve">, </w:t>
      </w:r>
      <w:r w:rsidRPr="003B3476">
        <w:rPr>
          <w:lang w:val="fr-FR" w:eastAsia="fr-FR" w:bidi="fr-FR"/>
        </w:rPr>
        <w:t xml:space="preserve">Grand Cartulaire de Jumièges, n° 218). Un fragment de cette charte a été cité par L. </w:t>
      </w:r>
      <w:r w:rsidRPr="003B3476">
        <w:rPr>
          <w:bCs/>
          <w:smallCaps/>
        </w:rPr>
        <w:t>Delisle</w:t>
      </w:r>
      <w:r w:rsidRPr="003B3476">
        <w:rPr>
          <w:bCs/>
        </w:rPr>
        <w:t xml:space="preserve">, </w:t>
      </w:r>
      <w:r w:rsidRPr="003B3476">
        <w:rPr>
          <w:bCs/>
          <w:i/>
        </w:rPr>
        <w:t>Études sur la classe agricole</w:t>
      </w:r>
      <w:r w:rsidRPr="003B3476">
        <w:rPr>
          <w:lang w:val="fr-FR" w:eastAsia="fr-FR" w:bidi="fr-FR"/>
        </w:rPr>
        <w:t xml:space="preserve"> (p. 518, n. 39) ; j’en dois la copie à l’obligeance de </w:t>
      </w:r>
      <w:r w:rsidRPr="003B3476">
        <w:rPr>
          <w:bCs/>
        </w:rPr>
        <w:t xml:space="preserve">M. </w:t>
      </w:r>
      <w:r w:rsidRPr="003B3476">
        <w:rPr>
          <w:lang w:val="fr-FR" w:eastAsia="fr-FR" w:bidi="fr-FR"/>
        </w:rPr>
        <w:t>l’Archiviste Le Cacheux. Bien que les meules à main domestiques aient dû être brisées, le marchand à son retour peut moudre son blé ailleurs qu’au moulin banal ; c’est, donc, semble-t-il, qu’il dispose de ce que j’oserai appeler une meule de voyage.</w:t>
      </w:r>
    </w:p>
  </w:footnote>
  <w:footnote w:id="790">
    <w:p w14:paraId="108EB1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Lex Frisionum</w:t>
      </w:r>
      <w:r w:rsidRPr="003B3476">
        <w:rPr>
          <w:lang w:val="fr-FR" w:eastAsia="fr-FR" w:bidi="fr-FR"/>
        </w:rPr>
        <w:t xml:space="preserve"> (</w:t>
      </w:r>
      <w:r w:rsidRPr="003B3476">
        <w:rPr>
          <w:smallCaps/>
          <w:lang w:val="fr-FR" w:eastAsia="fr-FR" w:bidi="fr-FR"/>
        </w:rPr>
        <w:t>ix</w:t>
      </w:r>
      <w:r w:rsidRPr="003B3476">
        <w:rPr>
          <w:vertAlign w:val="superscript"/>
          <w:lang w:val="fr-FR" w:eastAsia="fr-FR" w:bidi="fr-FR"/>
        </w:rPr>
        <w:t>e</w:t>
      </w:r>
      <w:r w:rsidRPr="003B3476">
        <w:rPr>
          <w:lang w:val="fr-FR" w:eastAsia="fr-FR" w:bidi="fr-FR"/>
        </w:rPr>
        <w:t xml:space="preserve"> siècle), c. 13. </w:t>
      </w:r>
      <w:r w:rsidRPr="003B3476">
        <w:rPr>
          <w:bCs/>
          <w:i/>
        </w:rPr>
        <w:t>Cf.</w:t>
      </w:r>
      <w:r w:rsidRPr="003B3476">
        <w:rPr>
          <w:lang w:val="fr-FR" w:eastAsia="fr-FR" w:bidi="fr-FR"/>
        </w:rPr>
        <w:t xml:space="preserve"> encore, au début du XIII</w:t>
      </w:r>
      <w:r w:rsidRPr="003B3476">
        <w:rPr>
          <w:vertAlign w:val="superscript"/>
          <w:lang w:val="fr-FR" w:eastAsia="fr-FR" w:bidi="fr-FR"/>
        </w:rPr>
        <w:t>e</w:t>
      </w:r>
      <w:r w:rsidRPr="003B3476">
        <w:rPr>
          <w:lang w:val="fr-FR" w:eastAsia="fr-FR" w:bidi="fr-FR"/>
        </w:rPr>
        <w:t xml:space="preserve"> siècle, </w:t>
      </w:r>
      <w:r w:rsidRPr="003B3476">
        <w:rPr>
          <w:bCs/>
        </w:rPr>
        <w:t>l’</w:t>
      </w:r>
      <w:r w:rsidRPr="003B3476">
        <w:rPr>
          <w:bCs/>
          <w:i/>
        </w:rPr>
        <w:t>Ueberküre</w:t>
      </w:r>
      <w:r w:rsidRPr="003B3476">
        <w:rPr>
          <w:bCs/>
        </w:rPr>
        <w:t>,</w:t>
      </w:r>
      <w:r w:rsidRPr="003B3476">
        <w:rPr>
          <w:bCs/>
          <w:vertAlign w:val="subscript"/>
        </w:rPr>
        <w:t xml:space="preserve"> </w:t>
      </w:r>
      <w:r w:rsidRPr="003B3476">
        <w:rPr>
          <w:lang w:val="fr-FR" w:eastAsia="fr-FR" w:bidi="fr-FR"/>
        </w:rPr>
        <w:t xml:space="preserve">c. 7, dans </w:t>
      </w:r>
      <w:r w:rsidRPr="003B3476">
        <w:rPr>
          <w:rStyle w:val="Notedebasdepage65ptPetitesmajuscules"/>
          <w:b w:val="0"/>
          <w:sz w:val="24"/>
        </w:rPr>
        <w:t xml:space="preserve">Richthofen, </w:t>
      </w:r>
      <w:r w:rsidRPr="003B3476">
        <w:rPr>
          <w:bCs/>
          <w:i/>
        </w:rPr>
        <w:t>Friesische Rechtsquellen</w:t>
      </w:r>
      <w:r w:rsidRPr="003B3476">
        <w:rPr>
          <w:lang w:val="fr-FR" w:eastAsia="fr-FR" w:bidi="fr-FR"/>
        </w:rPr>
        <w:t xml:space="preserve">, p. 100-101 ; Lois d’Aethelbert (597-617), c. 11. </w:t>
      </w:r>
      <w:r w:rsidRPr="003B3476">
        <w:rPr>
          <w:bCs/>
          <w:i/>
        </w:rPr>
        <w:t>Cf.</w:t>
      </w:r>
      <w:r w:rsidRPr="003B3476">
        <w:rPr>
          <w:lang w:val="fr-FR" w:eastAsia="fr-FR" w:bidi="fr-FR"/>
        </w:rPr>
        <w:t xml:space="preserve"> ci-dessous, p. 817, n. 1, à pour une disposition analogue dans une loi galloise ; et voir J. </w:t>
      </w:r>
      <w:r w:rsidRPr="003B3476">
        <w:rPr>
          <w:rStyle w:val="Notedebasdepage65ptPetitesmajuscules"/>
          <w:b w:val="0"/>
          <w:sz w:val="24"/>
        </w:rPr>
        <w:t xml:space="preserve">Grimm, </w:t>
      </w:r>
      <w:r w:rsidRPr="003B3476">
        <w:rPr>
          <w:bCs/>
          <w:i/>
        </w:rPr>
        <w:t>Deutsche Rec</w:t>
      </w:r>
      <w:r w:rsidRPr="003B3476">
        <w:rPr>
          <w:bCs/>
          <w:i/>
        </w:rPr>
        <w:t>h</w:t>
      </w:r>
      <w:r w:rsidRPr="003B3476">
        <w:rPr>
          <w:bCs/>
          <w:i/>
        </w:rPr>
        <w:t>tsaltertümer</w:t>
      </w:r>
      <w:r w:rsidRPr="003B3476">
        <w:rPr>
          <w:lang w:val="fr-FR" w:eastAsia="fr-FR" w:bidi="fr-FR"/>
        </w:rPr>
        <w:t>, 4</w:t>
      </w:r>
      <w:r w:rsidRPr="003B3476">
        <w:rPr>
          <w:vertAlign w:val="superscript"/>
          <w:lang w:val="fr-FR" w:eastAsia="fr-FR" w:bidi="fr-FR"/>
        </w:rPr>
        <w:t>e</w:t>
      </w:r>
      <w:r w:rsidRPr="003B3476">
        <w:rPr>
          <w:lang w:val="fr-FR" w:eastAsia="fr-FR" w:bidi="fr-FR"/>
        </w:rPr>
        <w:t xml:space="preserve"> éd., t. I, p. 485.</w:t>
      </w:r>
    </w:p>
  </w:footnote>
  <w:footnote w:id="791">
    <w:p w14:paraId="4D335E4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Grégoire de Tours</w:t>
      </w:r>
      <w:r w:rsidRPr="003B3476">
        <w:t xml:space="preserve">, </w:t>
      </w:r>
      <w:r w:rsidRPr="003B3476">
        <w:rPr>
          <w:rStyle w:val="Notedebasdepage275ptItalique"/>
          <w:b w:val="0"/>
          <w:sz w:val="24"/>
        </w:rPr>
        <w:t>Historia Francorum</w:t>
      </w:r>
      <w:r w:rsidRPr="003B3476">
        <w:rPr>
          <w:rStyle w:val="Notedebasdepage275ptItalique"/>
          <w:b w:val="0"/>
          <w:sz w:val="24"/>
          <w:vertAlign w:val="subscript"/>
        </w:rPr>
        <w:t>t</w:t>
      </w:r>
      <w:r w:rsidRPr="003B3476">
        <w:t xml:space="preserve"> IX, </w:t>
      </w:r>
      <w:r w:rsidRPr="003B3476">
        <w:rPr>
          <w:lang w:val="fr-FR" w:eastAsia="fr-FR" w:bidi="fr-FR"/>
        </w:rPr>
        <w:t>38.</w:t>
      </w:r>
    </w:p>
  </w:footnote>
  <w:footnote w:id="792">
    <w:p w14:paraId="46B4F58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Ibid</w:t>
      </w:r>
      <w:r w:rsidRPr="003B3476">
        <w:t>.,</w:t>
      </w:r>
      <w:r w:rsidRPr="003B3476">
        <w:rPr>
          <w:lang w:val="fr-FR" w:eastAsia="fr-FR" w:bidi="fr-FR"/>
        </w:rPr>
        <w:t xml:space="preserve"> III, 19 ; </w:t>
      </w:r>
      <w:r w:rsidRPr="003B3476">
        <w:rPr>
          <w:rStyle w:val="Notedebasdepage65ptPetitesmajuscules"/>
          <w:b w:val="0"/>
          <w:sz w:val="24"/>
        </w:rPr>
        <w:t xml:space="preserve">Marius d’Avenches, </w:t>
      </w:r>
      <w:r w:rsidRPr="003B3476">
        <w:rPr>
          <w:i/>
        </w:rPr>
        <w:t>Chronica</w:t>
      </w:r>
      <w:r w:rsidRPr="003B3476">
        <w:rPr>
          <w:lang w:val="fr-FR" w:eastAsia="fr-FR" w:bidi="fr-FR"/>
        </w:rPr>
        <w:t>, a. 563.</w:t>
      </w:r>
    </w:p>
  </w:footnote>
  <w:footnote w:id="793">
    <w:p w14:paraId="273C22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Lex Baiwariorum</w:t>
      </w:r>
      <w:r w:rsidRPr="003B3476">
        <w:rPr>
          <w:bCs/>
        </w:rPr>
        <w:t>,</w:t>
      </w:r>
      <w:r w:rsidRPr="003B3476">
        <w:rPr>
          <w:lang w:val="fr-FR" w:eastAsia="fr-FR" w:bidi="fr-FR"/>
        </w:rPr>
        <w:t xml:space="preserve"> IX, 2. Sur la « paix » du moulin et la longue durée de cette notion en droit germanique, </w:t>
      </w:r>
      <w:r w:rsidRPr="003B3476">
        <w:rPr>
          <w:rStyle w:val="Notedebasdepage65ptItaliqueEspacement0pt"/>
          <w:b w:val="0"/>
          <w:sz w:val="24"/>
        </w:rPr>
        <w:t>cf.</w:t>
      </w:r>
      <w:r w:rsidRPr="003B3476">
        <w:rPr>
          <w:rStyle w:val="Notedebasdepage65ptNonGras"/>
          <w:b w:val="0"/>
          <w:bCs w:val="0"/>
          <w:sz w:val="24"/>
        </w:rPr>
        <w:t xml:space="preserve"> </w:t>
      </w:r>
      <w:r w:rsidRPr="003B3476">
        <w:rPr>
          <w:lang w:val="fr-FR" w:eastAsia="fr-FR" w:bidi="fr-FR"/>
        </w:rPr>
        <w:t xml:space="preserve">M. </w:t>
      </w:r>
      <w:r w:rsidRPr="003B3476">
        <w:rPr>
          <w:bCs/>
          <w:smallCaps/>
        </w:rPr>
        <w:t>Krammer</w:t>
      </w:r>
      <w:r w:rsidRPr="003B3476">
        <w:rPr>
          <w:bCs/>
        </w:rPr>
        <w:t xml:space="preserve">, </w:t>
      </w:r>
      <w:r w:rsidRPr="003B3476">
        <w:rPr>
          <w:lang w:val="fr-FR" w:eastAsia="fr-FR" w:bidi="fr-FR"/>
        </w:rPr>
        <w:t xml:space="preserve">dans </w:t>
      </w:r>
      <w:r w:rsidRPr="003B3476">
        <w:rPr>
          <w:rStyle w:val="Notedebasdepage65ptItaliqueEspacement0pt"/>
          <w:b w:val="0"/>
          <w:sz w:val="24"/>
        </w:rPr>
        <w:t>Neues</w:t>
      </w:r>
      <w:r w:rsidRPr="003B3476">
        <w:rPr>
          <w:bCs/>
        </w:rPr>
        <w:t xml:space="preserve"> </w:t>
      </w:r>
      <w:r w:rsidRPr="003B3476">
        <w:rPr>
          <w:rStyle w:val="Notedebasdepage65ptItaliqueEspacement0pt"/>
          <w:b w:val="0"/>
          <w:sz w:val="24"/>
        </w:rPr>
        <w:t>Archiv.,</w:t>
      </w:r>
      <w:r w:rsidRPr="003B3476">
        <w:rPr>
          <w:rStyle w:val="Notedebasdepage65ptNonGras"/>
          <w:b w:val="0"/>
          <w:bCs w:val="0"/>
          <w:sz w:val="24"/>
        </w:rPr>
        <w:t xml:space="preserve"> </w:t>
      </w:r>
      <w:r w:rsidRPr="003B3476">
        <w:rPr>
          <w:lang w:val="fr-FR" w:eastAsia="fr-FR" w:bidi="fr-FR"/>
        </w:rPr>
        <w:t xml:space="preserve">t. XXX, 1904, p. 278. « Le moulin », dit, au </w:t>
      </w:r>
      <w:r w:rsidRPr="003B3476">
        <w:rPr>
          <w:smallCaps/>
          <w:lang w:val="fr-FR" w:eastAsia="fr-FR" w:bidi="fr-FR"/>
        </w:rPr>
        <w:t>xiii</w:t>
      </w:r>
      <w:r w:rsidRPr="003B3476">
        <w:rPr>
          <w:vertAlign w:val="superscript"/>
          <w:lang w:val="fr-FR" w:eastAsia="fr-FR" w:bidi="fr-FR"/>
        </w:rPr>
        <w:t>e</w:t>
      </w:r>
      <w:r w:rsidRPr="003B3476">
        <w:rPr>
          <w:lang w:val="fr-FR" w:eastAsia="fr-FR" w:bidi="fr-FR"/>
        </w:rPr>
        <w:t xml:space="preserve"> siècle, le Miroir de Souabe, « a mei</w:t>
      </w:r>
      <w:r w:rsidRPr="003B3476">
        <w:rPr>
          <w:lang w:val="fr-FR" w:eastAsia="fr-FR" w:bidi="fr-FR"/>
        </w:rPr>
        <w:t>l</w:t>
      </w:r>
      <w:r w:rsidRPr="003B3476">
        <w:rPr>
          <w:lang w:val="fr-FR" w:eastAsia="fr-FR" w:bidi="fr-FR"/>
        </w:rPr>
        <w:t xml:space="preserve">leur droit que les autres maisons » (éd. </w:t>
      </w:r>
      <w:r w:rsidRPr="003B3476">
        <w:rPr>
          <w:bCs/>
        </w:rPr>
        <w:t xml:space="preserve">Lassberg, </w:t>
      </w:r>
      <w:r w:rsidRPr="003B3476">
        <w:rPr>
          <w:rStyle w:val="Notedebasdepage275ptItalique"/>
          <w:b w:val="0"/>
          <w:sz w:val="24"/>
        </w:rPr>
        <w:t>Ldr</w:t>
      </w:r>
      <w:r w:rsidRPr="003B3476">
        <w:rPr>
          <w:bCs/>
        </w:rPr>
        <w:t>,</w:t>
      </w:r>
      <w:r w:rsidRPr="003B3476">
        <w:rPr>
          <w:lang w:val="fr-FR" w:eastAsia="fr-FR" w:bidi="fr-FR"/>
        </w:rPr>
        <w:t xml:space="preserve"> c. 249). Sur la condition juridique des moulins, C. </w:t>
      </w:r>
      <w:r w:rsidRPr="003B3476">
        <w:rPr>
          <w:smallCaps/>
          <w:lang w:val="fr-FR" w:eastAsia="fr-FR" w:bidi="fr-FR"/>
        </w:rPr>
        <w:t>Koehne</w:t>
      </w:r>
      <w:r w:rsidRPr="003B3476">
        <w:rPr>
          <w:lang w:val="fr-FR" w:eastAsia="fr-FR" w:bidi="fr-FR"/>
        </w:rPr>
        <w:t xml:space="preserve">, </w:t>
      </w:r>
      <w:r w:rsidRPr="003B3476">
        <w:rPr>
          <w:rStyle w:val="Notedebasdepage275ptItalique"/>
          <w:b w:val="0"/>
          <w:sz w:val="24"/>
        </w:rPr>
        <w:t>Das Redit der Mühlen bis zum Ende der Karolingerzeit</w:t>
      </w:r>
      <w:r w:rsidRPr="003B3476">
        <w:rPr>
          <w:lang w:val="fr-FR" w:eastAsia="fr-FR" w:bidi="fr-FR"/>
        </w:rPr>
        <w:t xml:space="preserve">, p. 22 et suiv. ; pour la » paix », </w:t>
      </w:r>
      <w:r w:rsidRPr="003B3476">
        <w:rPr>
          <w:rStyle w:val="Notedebasdepage275ptItalique"/>
          <w:b w:val="0"/>
          <w:sz w:val="24"/>
        </w:rPr>
        <w:t>ibid,</w:t>
      </w:r>
      <w:r w:rsidRPr="003B3476">
        <w:rPr>
          <w:bCs/>
        </w:rPr>
        <w:t xml:space="preserve"> </w:t>
      </w:r>
      <w:r w:rsidRPr="003B3476">
        <w:rPr>
          <w:lang w:val="fr-FR" w:eastAsia="fr-FR" w:bidi="fr-FR"/>
        </w:rPr>
        <w:t>p. 33 et suiv.</w:t>
      </w:r>
    </w:p>
  </w:footnote>
  <w:footnote w:id="794">
    <w:p w14:paraId="48F7BB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7ptItaliqueEspacement1pt"/>
          <w:b w:val="0"/>
          <w:sz w:val="24"/>
        </w:rPr>
        <w:t>Cf.,</w:t>
      </w:r>
      <w:r w:rsidRPr="003B3476">
        <w:rPr>
          <w:rStyle w:val="Notedebasdepage27ptNonGras"/>
          <w:b w:val="0"/>
          <w:bCs w:val="0"/>
          <w:sz w:val="24"/>
        </w:rPr>
        <w:t xml:space="preserve"> </w:t>
      </w:r>
      <w:r w:rsidRPr="003B3476">
        <w:rPr>
          <w:lang w:val="fr-FR" w:eastAsia="fr-FR" w:bidi="fr-FR"/>
        </w:rPr>
        <w:t>au XIII</w:t>
      </w:r>
      <w:r w:rsidRPr="003B3476">
        <w:rPr>
          <w:vertAlign w:val="superscript"/>
          <w:lang w:val="fr-FR" w:eastAsia="fr-FR" w:bidi="fr-FR"/>
        </w:rPr>
        <w:t>e</w:t>
      </w:r>
      <w:r w:rsidRPr="003B3476">
        <w:rPr>
          <w:lang w:val="fr-FR" w:eastAsia="fr-FR" w:bidi="fr-FR"/>
        </w:rPr>
        <w:t xml:space="preserve"> siècle, l’</w:t>
      </w:r>
      <w:r w:rsidRPr="003B3476">
        <w:rPr>
          <w:rStyle w:val="Notedebasdepage275ptItalique"/>
          <w:b w:val="0"/>
          <w:sz w:val="24"/>
        </w:rPr>
        <w:t>Ueberküre</w:t>
      </w:r>
      <w:r w:rsidRPr="003B3476">
        <w:rPr>
          <w:lang w:val="fr-FR" w:eastAsia="fr-FR" w:bidi="fr-FR"/>
        </w:rPr>
        <w:t>, citée ci-dessus, p. 812, n. 1.</w:t>
      </w:r>
    </w:p>
  </w:footnote>
  <w:footnote w:id="795">
    <w:p w14:paraId="62E36B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tire ces chiffres des </w:t>
      </w:r>
      <w:r w:rsidRPr="003B3476">
        <w:rPr>
          <w:bCs/>
        </w:rPr>
        <w:t>Statuts</w:t>
      </w:r>
      <w:r w:rsidRPr="003B3476">
        <w:rPr>
          <w:lang w:val="fr-FR" w:eastAsia="fr-FR" w:bidi="fr-FR"/>
        </w:rPr>
        <w:t xml:space="preserve"> de l’abbé Alard, publiés par </w:t>
      </w:r>
      <w:r w:rsidRPr="003B3476">
        <w:rPr>
          <w:rStyle w:val="Notedebasdepage65ptPetitesmajuscules"/>
          <w:b w:val="0"/>
          <w:sz w:val="24"/>
        </w:rPr>
        <w:t xml:space="preserve">L. Levillain, </w:t>
      </w:r>
      <w:r w:rsidRPr="003B3476">
        <w:rPr>
          <w:lang w:val="fr-FR" w:eastAsia="fr-FR" w:bidi="fr-FR"/>
        </w:rPr>
        <w:t xml:space="preserve">dans </w:t>
      </w:r>
      <w:r w:rsidRPr="003B3476">
        <w:rPr>
          <w:bCs/>
          <w:i/>
        </w:rPr>
        <w:t>Le Moyen Âge</w:t>
      </w:r>
      <w:r w:rsidRPr="003B3476">
        <w:rPr>
          <w:bCs/>
        </w:rPr>
        <w:t>,</w:t>
      </w:r>
      <w:r w:rsidRPr="003B3476">
        <w:rPr>
          <w:lang w:val="fr-FR" w:eastAsia="fr-FR" w:bidi="fr-FR"/>
        </w:rPr>
        <w:t xml:space="preserve"> </w:t>
      </w:r>
      <w:r w:rsidRPr="003B3476">
        <w:rPr>
          <w:bCs/>
        </w:rPr>
        <w:t>1900 ;</w:t>
      </w:r>
      <w:r w:rsidRPr="003B3476">
        <w:rPr>
          <w:lang w:val="fr-FR" w:eastAsia="fr-FR" w:bidi="fr-FR"/>
        </w:rPr>
        <w:t xml:space="preserve"> impossible d’entrer ici dans l’examen critique du texte. On ne s’étonnera pas qu’à Corbie les moulins à eau se révèlent particulièr</w:t>
      </w:r>
      <w:r w:rsidRPr="003B3476">
        <w:rPr>
          <w:lang w:val="fr-FR" w:eastAsia="fr-FR" w:bidi="fr-FR"/>
        </w:rPr>
        <w:t>e</w:t>
      </w:r>
      <w:r w:rsidRPr="003B3476">
        <w:rPr>
          <w:lang w:val="fr-FR" w:eastAsia="fr-FR" w:bidi="fr-FR"/>
        </w:rPr>
        <w:t>ment importants.</w:t>
      </w:r>
    </w:p>
  </w:footnote>
  <w:footnote w:id="796">
    <w:p w14:paraId="499B9A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S</w:t>
      </w:r>
      <w:r w:rsidRPr="003B3476">
        <w:rPr>
          <w:bCs/>
          <w:i/>
        </w:rPr>
        <w:t>.S. rer. merov</w:t>
      </w:r>
      <w:r w:rsidRPr="003B3476">
        <w:rPr>
          <w:bCs/>
        </w:rPr>
        <w:t>.,</w:t>
      </w:r>
      <w:r w:rsidRPr="003B3476">
        <w:rPr>
          <w:lang w:val="fr-FR" w:eastAsia="fr-FR" w:bidi="fr-FR"/>
        </w:rPr>
        <w:t xml:space="preserve"> t. VII, p. </w:t>
      </w:r>
      <w:r w:rsidRPr="003B3476">
        <w:rPr>
          <w:bCs/>
        </w:rPr>
        <w:t xml:space="preserve">252, </w:t>
      </w:r>
      <w:r w:rsidRPr="003B3476">
        <w:rPr>
          <w:lang w:val="fr-FR" w:eastAsia="fr-FR" w:bidi="fr-FR"/>
        </w:rPr>
        <w:t xml:space="preserve">c. </w:t>
      </w:r>
      <w:r w:rsidRPr="003B3476">
        <w:rPr>
          <w:bCs/>
        </w:rPr>
        <w:t>3 ;</w:t>
      </w:r>
      <w:r w:rsidRPr="003B3476">
        <w:rPr>
          <w:lang w:val="fr-FR" w:eastAsia="fr-FR" w:bidi="fr-FR"/>
        </w:rPr>
        <w:t xml:space="preserve"> II, p. </w:t>
      </w:r>
      <w:r w:rsidRPr="003B3476">
        <w:rPr>
          <w:bCs/>
        </w:rPr>
        <w:t xml:space="preserve">369-370, c. 16 </w:t>
      </w:r>
      <w:r w:rsidRPr="003B3476">
        <w:rPr>
          <w:lang w:val="fr-FR" w:eastAsia="fr-FR" w:bidi="fr-FR"/>
        </w:rPr>
        <w:t xml:space="preserve">et I, p. </w:t>
      </w:r>
      <w:r w:rsidRPr="003B3476">
        <w:rPr>
          <w:bCs/>
        </w:rPr>
        <w:t>734 (</w:t>
      </w:r>
      <w:r w:rsidRPr="003B3476">
        <w:rPr>
          <w:bCs/>
          <w:smallCaps/>
        </w:rPr>
        <w:t>Grégo</w:t>
      </w:r>
      <w:r w:rsidRPr="003B3476">
        <w:rPr>
          <w:bCs/>
          <w:smallCaps/>
        </w:rPr>
        <w:t>i</w:t>
      </w:r>
      <w:r w:rsidRPr="003B3476">
        <w:rPr>
          <w:bCs/>
          <w:smallCaps/>
        </w:rPr>
        <w:t>re de Tours</w:t>
      </w:r>
      <w:r w:rsidRPr="003B3476">
        <w:rPr>
          <w:bCs/>
        </w:rPr>
        <w:t xml:space="preserve">, </w:t>
      </w:r>
      <w:r w:rsidRPr="003B3476">
        <w:rPr>
          <w:bCs/>
          <w:i/>
        </w:rPr>
        <w:t>Vitae Patrum</w:t>
      </w:r>
      <w:r w:rsidRPr="003B3476">
        <w:rPr>
          <w:bCs/>
        </w:rPr>
        <w:t xml:space="preserve"> </w:t>
      </w:r>
      <w:r w:rsidRPr="003B3476">
        <w:rPr>
          <w:rStyle w:val="NotedebasdepageItaliqueEspacement1pt"/>
          <w:b w:val="0"/>
          <w:sz w:val="24"/>
        </w:rPr>
        <w:t>XVIII,</w:t>
      </w:r>
      <w:r w:rsidRPr="003B3476">
        <w:rPr>
          <w:lang w:val="fr-FR" w:eastAsia="fr-FR" w:bidi="fr-FR"/>
        </w:rPr>
        <w:t xml:space="preserve"> </w:t>
      </w:r>
      <w:r w:rsidRPr="003B3476">
        <w:rPr>
          <w:bCs/>
        </w:rPr>
        <w:t xml:space="preserve">2) ; </w:t>
      </w:r>
      <w:r w:rsidRPr="003B3476">
        <w:rPr>
          <w:bCs/>
          <w:smallCaps/>
        </w:rPr>
        <w:t>Cassiodore</w:t>
      </w:r>
      <w:r w:rsidRPr="003B3476">
        <w:rPr>
          <w:bCs/>
        </w:rPr>
        <w:t xml:space="preserve">, </w:t>
      </w:r>
      <w:r w:rsidRPr="003B3476">
        <w:rPr>
          <w:bCs/>
          <w:i/>
        </w:rPr>
        <w:t>De Institutione</w:t>
      </w:r>
      <w:r w:rsidRPr="003B3476">
        <w:rPr>
          <w:bCs/>
        </w:rPr>
        <w:t>,</w:t>
      </w:r>
      <w:r w:rsidRPr="003B3476">
        <w:rPr>
          <w:lang w:val="fr-FR" w:eastAsia="fr-FR" w:bidi="fr-FR"/>
        </w:rPr>
        <w:t xml:space="preserve"> c. </w:t>
      </w:r>
      <w:r w:rsidRPr="003B3476">
        <w:rPr>
          <w:bCs/>
        </w:rPr>
        <w:t xml:space="preserve">29. </w:t>
      </w:r>
      <w:r w:rsidRPr="003B3476">
        <w:rPr>
          <w:rStyle w:val="Notedebasdepage7ptItaliqueEspacement1pt"/>
          <w:b w:val="0"/>
          <w:sz w:val="24"/>
        </w:rPr>
        <w:t>Cf.,</w:t>
      </w:r>
      <w:r w:rsidRPr="003B3476">
        <w:rPr>
          <w:rStyle w:val="Notedebasdepage7ptNonGras"/>
          <w:b w:val="0"/>
          <w:bCs w:val="0"/>
          <w:sz w:val="24"/>
        </w:rPr>
        <w:t xml:space="preserve"> </w:t>
      </w:r>
      <w:r w:rsidRPr="003B3476">
        <w:rPr>
          <w:lang w:val="fr-FR" w:eastAsia="fr-FR" w:bidi="fr-FR"/>
        </w:rPr>
        <w:t>bien que moins nettement, la règle de saint Benoît, c. 66. Un moulin fa</w:t>
      </w:r>
      <w:r w:rsidRPr="003B3476">
        <w:rPr>
          <w:lang w:val="fr-FR" w:eastAsia="fr-FR" w:bidi="fr-FR"/>
        </w:rPr>
        <w:t>i</w:t>
      </w:r>
      <w:r w:rsidRPr="003B3476">
        <w:rPr>
          <w:lang w:val="fr-FR" w:eastAsia="fr-FR" w:bidi="fr-FR"/>
        </w:rPr>
        <w:t>sait partie, à Bobbio, des premières installations de saint Colomban (</w:t>
      </w:r>
      <w:r w:rsidRPr="003B3476">
        <w:rPr>
          <w:bCs/>
          <w:i/>
        </w:rPr>
        <w:t>Vita au</w:t>
      </w:r>
      <w:r w:rsidRPr="003B3476">
        <w:rPr>
          <w:bCs/>
          <w:i/>
        </w:rPr>
        <w:t>c</w:t>
      </w:r>
      <w:r w:rsidRPr="003B3476">
        <w:rPr>
          <w:bCs/>
          <w:i/>
        </w:rPr>
        <w:t>tore Iona</w:t>
      </w:r>
      <w:r w:rsidRPr="003B3476">
        <w:rPr>
          <w:bCs/>
        </w:rPr>
        <w:t>,</w:t>
      </w:r>
      <w:r w:rsidRPr="003B3476">
        <w:rPr>
          <w:lang w:val="fr-FR" w:eastAsia="fr-FR" w:bidi="fr-FR"/>
        </w:rPr>
        <w:t xml:space="preserve"> II, </w:t>
      </w:r>
      <w:r w:rsidRPr="003B3476">
        <w:rPr>
          <w:bCs/>
        </w:rPr>
        <w:t xml:space="preserve">2, </w:t>
      </w:r>
      <w:r w:rsidRPr="003B3476">
        <w:rPr>
          <w:lang w:val="fr-FR" w:eastAsia="fr-FR" w:bidi="fr-FR"/>
        </w:rPr>
        <w:t xml:space="preserve">dans </w:t>
      </w:r>
      <w:r w:rsidRPr="003B3476">
        <w:rPr>
          <w:bCs/>
          <w:i/>
        </w:rPr>
        <w:t>S.S. rer. merov</w:t>
      </w:r>
      <w:r w:rsidRPr="003B3476">
        <w:rPr>
          <w:bCs/>
        </w:rPr>
        <w:t>.,</w:t>
      </w:r>
      <w:r w:rsidRPr="003B3476">
        <w:rPr>
          <w:lang w:val="fr-FR" w:eastAsia="fr-FR" w:bidi="fr-FR"/>
        </w:rPr>
        <w:t xml:space="preserve"> t. IV, p. </w:t>
      </w:r>
      <w:r w:rsidRPr="003B3476">
        <w:rPr>
          <w:bCs/>
        </w:rPr>
        <w:t>115).</w:t>
      </w:r>
    </w:p>
  </w:footnote>
  <w:footnote w:id="797">
    <w:p w14:paraId="717A12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C’est ce qui semble ressortir, en particulier, de l’étude des revenus que les moines de Corbie tiraient de leurs moulins.</w:t>
      </w:r>
    </w:p>
  </w:footnote>
  <w:footnote w:id="798">
    <w:p w14:paraId="732D0BE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Comme l’a bien vu </w:t>
      </w:r>
      <w:r w:rsidRPr="003B3476">
        <w:rPr>
          <w:rStyle w:val="Notedebasdepage65ptPetitesmajuscules"/>
          <w:b w:val="0"/>
          <w:sz w:val="24"/>
        </w:rPr>
        <w:t xml:space="preserve">Guérard, </w:t>
      </w:r>
      <w:r w:rsidRPr="003B3476">
        <w:rPr>
          <w:bCs/>
          <w:i/>
        </w:rPr>
        <w:t>Polyptyque d’Irminon, Prolég</w:t>
      </w:r>
      <w:r w:rsidRPr="003B3476">
        <w:rPr>
          <w:lang w:val="fr-FR" w:eastAsia="fr-FR" w:bidi="fr-FR"/>
        </w:rPr>
        <w:t>., t. I, 2, p. 633, l’existence du broyage domestique, sur les terres de Saint-Bertin, ressort des nombreuses redevances en farine exigées des tenanciers. Un témoignage pr</w:t>
      </w:r>
      <w:r w:rsidRPr="003B3476">
        <w:rPr>
          <w:lang w:val="fr-FR" w:eastAsia="fr-FR" w:bidi="fr-FR"/>
        </w:rPr>
        <w:t>é</w:t>
      </w:r>
      <w:r w:rsidRPr="003B3476">
        <w:rPr>
          <w:lang w:val="fr-FR" w:eastAsia="fr-FR" w:bidi="fr-FR"/>
        </w:rPr>
        <w:t>cis est d’ailleurs fourni, à cet égard, par un récit, de date malheureusement i</w:t>
      </w:r>
      <w:r w:rsidRPr="003B3476">
        <w:rPr>
          <w:lang w:val="fr-FR" w:eastAsia="fr-FR" w:bidi="fr-FR"/>
        </w:rPr>
        <w:t>n</w:t>
      </w:r>
      <w:r w:rsidRPr="003B3476">
        <w:rPr>
          <w:lang w:val="fr-FR" w:eastAsia="fr-FR" w:bidi="fr-FR"/>
        </w:rPr>
        <w:t xml:space="preserve">certaine, qui a été inséré dans un recueil des miracles accomplis par le saint du monastère : </w:t>
      </w:r>
      <w:r w:rsidRPr="003B3476">
        <w:rPr>
          <w:bCs/>
          <w:i/>
        </w:rPr>
        <w:t>cf.</w:t>
      </w:r>
      <w:r w:rsidRPr="003B3476">
        <w:rPr>
          <w:lang w:val="fr-FR" w:eastAsia="fr-FR" w:bidi="fr-FR"/>
        </w:rPr>
        <w:t xml:space="preserve"> ci-dessus, p. 809, n. 1 (la compilation, qui est du XIII</w:t>
      </w:r>
      <w:r w:rsidRPr="003B3476">
        <w:rPr>
          <w:vertAlign w:val="superscript"/>
          <w:lang w:val="fr-FR" w:eastAsia="fr-FR" w:bidi="fr-FR"/>
        </w:rPr>
        <w:t>e</w:t>
      </w:r>
      <w:r w:rsidRPr="003B3476">
        <w:rPr>
          <w:lang w:val="fr-FR" w:eastAsia="fr-FR" w:bidi="fr-FR"/>
        </w:rPr>
        <w:t xml:space="preserve"> siècle, a incorporé des éléments plus anciens : </w:t>
      </w:r>
      <w:r w:rsidRPr="003B3476">
        <w:rPr>
          <w:bCs/>
          <w:i/>
        </w:rPr>
        <w:t>cf.</w:t>
      </w:r>
      <w:r w:rsidRPr="003B3476">
        <w:rPr>
          <w:lang w:val="fr-FR" w:eastAsia="fr-FR" w:bidi="fr-FR"/>
        </w:rPr>
        <w:t xml:space="preserve"> la notice de </w:t>
      </w:r>
      <w:r w:rsidRPr="003B3476">
        <w:rPr>
          <w:rStyle w:val="Notedebasdepage65ptPetitesmajuscules"/>
          <w:b w:val="0"/>
          <w:sz w:val="24"/>
        </w:rPr>
        <w:t xml:space="preserve">Holder-Egger, </w:t>
      </w:r>
      <w:r w:rsidRPr="003B3476">
        <w:rPr>
          <w:bCs/>
          <w:i/>
        </w:rPr>
        <w:t>S.S.,</w:t>
      </w:r>
      <w:r w:rsidRPr="003B3476">
        <w:rPr>
          <w:lang w:val="fr-FR" w:eastAsia="fr-FR" w:bidi="fr-FR"/>
        </w:rPr>
        <w:t xml:space="preserve"> t. XV, 1, p. 508). — Pour Concevreux, </w:t>
      </w:r>
      <w:r w:rsidRPr="003B3476">
        <w:rPr>
          <w:rStyle w:val="Notedebasdepage65ptPetitesmajuscules"/>
          <w:b w:val="0"/>
          <w:sz w:val="24"/>
        </w:rPr>
        <w:t xml:space="preserve">Flodoard, </w:t>
      </w:r>
      <w:r w:rsidRPr="003B3476">
        <w:rPr>
          <w:bCs/>
          <w:i/>
        </w:rPr>
        <w:t>Historia Remensis ecclesiae</w:t>
      </w:r>
      <w:r w:rsidRPr="003B3476">
        <w:rPr>
          <w:lang w:val="fr-FR" w:eastAsia="fr-FR" w:bidi="fr-FR"/>
        </w:rPr>
        <w:t>, I, 24.</w:t>
      </w:r>
    </w:p>
  </w:footnote>
  <w:footnote w:id="799">
    <w:p w14:paraId="222DE4A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W. B. </w:t>
      </w:r>
      <w:r w:rsidRPr="003B3476">
        <w:rPr>
          <w:rStyle w:val="Notedebasdepage365ptNonItalique"/>
          <w:b w:val="0"/>
          <w:i w:val="0"/>
          <w:iCs w:val="0"/>
          <w:smallCaps/>
          <w:sz w:val="24"/>
        </w:rPr>
        <w:t>Munro</w:t>
      </w:r>
      <w:r w:rsidRPr="003B3476">
        <w:rPr>
          <w:rStyle w:val="Notedebasdepage365ptNonItalique"/>
          <w:b w:val="0"/>
          <w:i w:val="0"/>
          <w:iCs w:val="0"/>
          <w:sz w:val="24"/>
        </w:rPr>
        <w:t xml:space="preserve">, </w:t>
      </w:r>
      <w:r w:rsidRPr="003B3476">
        <w:rPr>
          <w:i/>
          <w:lang w:val="fr-FR" w:eastAsia="fr-FR" w:bidi="fr-FR"/>
        </w:rPr>
        <w:t xml:space="preserve">The seigniorial </w:t>
      </w:r>
      <w:r w:rsidRPr="003B3476">
        <w:rPr>
          <w:i/>
          <w:iCs/>
        </w:rPr>
        <w:t xml:space="preserve">System </w:t>
      </w:r>
      <w:r w:rsidRPr="003B3476">
        <w:rPr>
          <w:i/>
          <w:lang w:val="fr-FR" w:eastAsia="fr-FR" w:bidi="fr-FR"/>
        </w:rPr>
        <w:t>in Canada</w:t>
      </w:r>
      <w:r w:rsidRPr="003B3476">
        <w:t>, New York, 1907 (</w:t>
      </w:r>
      <w:r w:rsidRPr="003B3476">
        <w:rPr>
          <w:i/>
          <w:lang w:val="fr-FR" w:eastAsia="fr-FR" w:bidi="fr-FR"/>
        </w:rPr>
        <w:t>Harvard Hi</w:t>
      </w:r>
      <w:r w:rsidRPr="003B3476">
        <w:rPr>
          <w:i/>
          <w:lang w:val="fr-FR" w:eastAsia="fr-FR" w:bidi="fr-FR"/>
        </w:rPr>
        <w:t>s</w:t>
      </w:r>
      <w:r w:rsidRPr="003B3476">
        <w:rPr>
          <w:i/>
          <w:lang w:val="fr-FR" w:eastAsia="fr-FR" w:bidi="fr-FR"/>
        </w:rPr>
        <w:t>torical Studies</w:t>
      </w:r>
      <w:r w:rsidRPr="003B3476">
        <w:t>, 13), p. 245 et suiv.</w:t>
      </w:r>
    </w:p>
  </w:footnote>
  <w:footnote w:id="800">
    <w:p w14:paraId="55A97E6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Texte cité plus haut, p. 811, n. 2. Pourquoi permettait-on de conserver une meule à mains « pour les malades » ? Sans doute afin qu’échappant à l’encombrement du moulin banal on pût, sans retards, leur procurer de la far</w:t>
      </w:r>
      <w:r w:rsidRPr="003B3476">
        <w:rPr>
          <w:lang w:val="fr-FR" w:eastAsia="fr-FR" w:bidi="fr-FR"/>
        </w:rPr>
        <w:t>i</w:t>
      </w:r>
      <w:r w:rsidRPr="003B3476">
        <w:rPr>
          <w:lang w:val="fr-FR" w:eastAsia="fr-FR" w:bidi="fr-FR"/>
        </w:rPr>
        <w:t>ne.</w:t>
      </w:r>
    </w:p>
  </w:footnote>
  <w:footnote w:id="801">
    <w:p w14:paraId="62634E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Continuateur de Königshofen dans F. I. </w:t>
      </w:r>
      <w:r w:rsidRPr="003B3476">
        <w:rPr>
          <w:rStyle w:val="Notedebasdepage65ptPetitesmajuscules"/>
          <w:b w:val="0"/>
          <w:sz w:val="24"/>
        </w:rPr>
        <w:t xml:space="preserve">Mone, </w:t>
      </w:r>
      <w:r w:rsidRPr="003B3476">
        <w:rPr>
          <w:bCs/>
          <w:i/>
        </w:rPr>
        <w:t>Quellensammlung der badi</w:t>
      </w:r>
      <w:r w:rsidRPr="003B3476">
        <w:rPr>
          <w:bCs/>
          <w:i/>
        </w:rPr>
        <w:t>s</w:t>
      </w:r>
      <w:r w:rsidRPr="003B3476">
        <w:rPr>
          <w:bCs/>
          <w:i/>
        </w:rPr>
        <w:t>chen Landes-geschichte</w:t>
      </w:r>
      <w:r w:rsidRPr="003B3476">
        <w:rPr>
          <w:lang w:val="fr-FR" w:eastAsia="fr-FR" w:bidi="fr-FR"/>
        </w:rPr>
        <w:t>, t. III, p. 530.</w:t>
      </w:r>
    </w:p>
  </w:footnote>
  <w:footnote w:id="802">
    <w:p w14:paraId="16BE9BE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 </w:t>
      </w:r>
      <w:r w:rsidRPr="003B3476">
        <w:rPr>
          <w:rStyle w:val="Notedebasdepage65ptPetitesmajuscules"/>
          <w:b w:val="0"/>
          <w:sz w:val="24"/>
        </w:rPr>
        <w:t xml:space="preserve">Latouche, </w:t>
      </w:r>
      <w:r w:rsidRPr="003B3476">
        <w:rPr>
          <w:bCs/>
          <w:i/>
        </w:rPr>
        <w:t>La vie en Bas-Quercy</w:t>
      </w:r>
      <w:r w:rsidRPr="003B3476">
        <w:rPr>
          <w:bCs/>
        </w:rPr>
        <w:t>,</w:t>
      </w:r>
      <w:r w:rsidRPr="003B3476">
        <w:rPr>
          <w:lang w:val="fr-FR" w:eastAsia="fr-FR" w:bidi="fr-FR"/>
        </w:rPr>
        <w:t xml:space="preserve"> p. just. n° v, p. 472 (inventaire après décès) : « unum molendinum brachiorum pro molendo blada ». Des meules à bras sont mentionnées, vers 1150, dans le traité </w:t>
      </w:r>
      <w:r w:rsidRPr="003B3476">
        <w:rPr>
          <w:bCs/>
          <w:i/>
        </w:rPr>
        <w:t>De Ustensilibus</w:t>
      </w:r>
      <w:r w:rsidRPr="003B3476">
        <w:rPr>
          <w:lang w:val="fr-FR" w:eastAsia="fr-FR" w:bidi="fr-FR"/>
        </w:rPr>
        <w:t xml:space="preserve"> d’Adam du Petit-Pont </w:t>
      </w:r>
      <w:r w:rsidRPr="003B3476">
        <w:rPr>
          <w:rStyle w:val="Notedebasdepage65ptPetitesmajuscules"/>
          <w:b w:val="0"/>
          <w:sz w:val="24"/>
        </w:rPr>
        <w:t xml:space="preserve">(Mortet </w:t>
      </w:r>
      <w:r w:rsidRPr="003B3476">
        <w:rPr>
          <w:lang w:val="fr-FR" w:eastAsia="fr-FR" w:bidi="fr-FR"/>
        </w:rPr>
        <w:t xml:space="preserve">et </w:t>
      </w:r>
      <w:r w:rsidRPr="003B3476">
        <w:rPr>
          <w:rStyle w:val="Notedebasdepage65ptPetitesmajuscules"/>
          <w:b w:val="0"/>
          <w:sz w:val="24"/>
        </w:rPr>
        <w:t xml:space="preserve">Deschamps, </w:t>
      </w:r>
      <w:r w:rsidRPr="003B3476">
        <w:rPr>
          <w:bCs/>
          <w:i/>
        </w:rPr>
        <w:t>Recueil de textes</w:t>
      </w:r>
      <w:r w:rsidRPr="003B3476">
        <w:rPr>
          <w:lang w:val="fr-FR" w:eastAsia="fr-FR" w:bidi="fr-FR"/>
        </w:rPr>
        <w:t>, t. II, p. 85). Mais cet écrit, plein de rémini</w:t>
      </w:r>
      <w:r w:rsidRPr="003B3476">
        <w:rPr>
          <w:lang w:val="fr-FR" w:eastAsia="fr-FR" w:bidi="fr-FR"/>
        </w:rPr>
        <w:t>s</w:t>
      </w:r>
      <w:r w:rsidRPr="003B3476">
        <w:rPr>
          <w:lang w:val="fr-FR" w:eastAsia="fr-FR" w:bidi="fr-FR"/>
        </w:rPr>
        <w:t>cences classiques, n’est pas sans inspirer une certaine méfiance.</w:t>
      </w:r>
    </w:p>
  </w:footnote>
  <w:footnote w:id="803">
    <w:p w14:paraId="296F1FB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Ad. </w:t>
      </w:r>
      <w:r w:rsidRPr="003B3476">
        <w:rPr>
          <w:rStyle w:val="Notedebasdepage65ptPetitesmajuscules"/>
          <w:b w:val="0"/>
          <w:sz w:val="24"/>
        </w:rPr>
        <w:t xml:space="preserve">Dorider, </w:t>
      </w:r>
      <w:r w:rsidRPr="003B3476">
        <w:rPr>
          <w:i/>
        </w:rPr>
        <w:t>Die Entwicklung des Mühlenwesens in der eliemaligen Graf</w:t>
      </w:r>
      <w:r w:rsidRPr="003B3476">
        <w:rPr>
          <w:i/>
        </w:rPr>
        <w:t>s</w:t>
      </w:r>
      <w:r w:rsidRPr="003B3476">
        <w:rPr>
          <w:i/>
        </w:rPr>
        <w:t>chaft Mark</w:t>
      </w:r>
      <w:r w:rsidRPr="003B3476">
        <w:t xml:space="preserve"> </w:t>
      </w:r>
      <w:r w:rsidRPr="003B3476">
        <w:rPr>
          <w:lang w:val="fr-FR" w:eastAsia="fr-FR" w:bidi="fr-FR"/>
        </w:rPr>
        <w:t xml:space="preserve">(Diss. Munster, </w:t>
      </w:r>
      <w:r w:rsidRPr="003B3476">
        <w:t xml:space="preserve">1909), </w:t>
      </w:r>
      <w:r w:rsidRPr="003B3476">
        <w:rPr>
          <w:lang w:val="fr-FR" w:eastAsia="fr-FR" w:bidi="fr-FR"/>
        </w:rPr>
        <w:t xml:space="preserve">p. </w:t>
      </w:r>
      <w:r w:rsidRPr="003B3476">
        <w:t>38 ;</w:t>
      </w:r>
      <w:r w:rsidRPr="003B3476">
        <w:rPr>
          <w:lang w:val="fr-FR" w:eastAsia="fr-FR" w:bidi="fr-FR"/>
        </w:rPr>
        <w:t xml:space="preserve"> A. </w:t>
      </w:r>
      <w:r w:rsidRPr="003B3476">
        <w:rPr>
          <w:rStyle w:val="Notedebasdepage65ptPetitesmajuscules"/>
          <w:b w:val="0"/>
          <w:sz w:val="24"/>
        </w:rPr>
        <w:t xml:space="preserve">Treichel, </w:t>
      </w:r>
      <w:r w:rsidRPr="003B3476">
        <w:rPr>
          <w:lang w:val="fr-FR" w:eastAsia="fr-FR" w:bidi="fr-FR"/>
        </w:rPr>
        <w:t xml:space="preserve">dans </w:t>
      </w:r>
      <w:r w:rsidRPr="003B3476">
        <w:rPr>
          <w:i/>
        </w:rPr>
        <w:t>Zeitschrift für Ethnologie</w:t>
      </w:r>
      <w:r w:rsidRPr="003B3476">
        <w:rPr>
          <w:lang w:val="fr-FR" w:eastAsia="fr-FR" w:bidi="fr-FR"/>
        </w:rPr>
        <w:t xml:space="preserve">, t. XXVI, </w:t>
      </w:r>
      <w:r w:rsidRPr="003B3476">
        <w:t xml:space="preserve">1894, </w:t>
      </w:r>
      <w:r w:rsidRPr="003B3476">
        <w:rPr>
          <w:lang w:val="fr-FR" w:eastAsia="fr-FR" w:bidi="fr-FR"/>
        </w:rPr>
        <w:t xml:space="preserve">p. </w:t>
      </w:r>
      <w:r w:rsidRPr="003B3476">
        <w:t xml:space="preserve">415 </w:t>
      </w:r>
      <w:r w:rsidRPr="003B3476">
        <w:rPr>
          <w:lang w:val="fr-FR" w:eastAsia="fr-FR" w:bidi="fr-FR"/>
        </w:rPr>
        <w:t xml:space="preserve">et suiv. ; </w:t>
      </w:r>
      <w:r w:rsidRPr="003B3476">
        <w:rPr>
          <w:rStyle w:val="Notedebasdepage65ptPetitesmajuscules"/>
          <w:b w:val="0"/>
          <w:sz w:val="24"/>
        </w:rPr>
        <w:t xml:space="preserve">Koehne, </w:t>
      </w:r>
      <w:r w:rsidRPr="003B3476">
        <w:rPr>
          <w:lang w:val="fr-FR" w:eastAsia="fr-FR" w:bidi="fr-FR"/>
        </w:rPr>
        <w:t xml:space="preserve">dans </w:t>
      </w:r>
      <w:r w:rsidRPr="003B3476">
        <w:rPr>
          <w:i/>
        </w:rPr>
        <w:t>Zeitschrift der Sav. Stiftung</w:t>
      </w:r>
      <w:r w:rsidRPr="003B3476">
        <w:rPr>
          <w:i/>
          <w:vertAlign w:val="subscript"/>
        </w:rPr>
        <w:t>y</w:t>
      </w:r>
      <w:r w:rsidRPr="003B3476">
        <w:rPr>
          <w:lang w:val="fr-FR" w:eastAsia="fr-FR" w:bidi="fr-FR"/>
        </w:rPr>
        <w:t xml:space="preserve"> G.A., </w:t>
      </w:r>
      <w:r w:rsidRPr="003B3476">
        <w:t xml:space="preserve">1907, </w:t>
      </w:r>
      <w:r w:rsidRPr="003B3476">
        <w:rPr>
          <w:lang w:val="fr-FR" w:eastAsia="fr-FR" w:bidi="fr-FR"/>
        </w:rPr>
        <w:t xml:space="preserve">p. </w:t>
      </w:r>
      <w:r w:rsidRPr="003B3476">
        <w:t>68. — </w:t>
      </w:r>
      <w:r w:rsidRPr="003B3476">
        <w:rPr>
          <w:lang w:val="fr-FR" w:eastAsia="fr-FR" w:bidi="fr-FR"/>
        </w:rPr>
        <w:t>En Prusse, la guerre de l’État contre les mo</w:t>
      </w:r>
      <w:r w:rsidRPr="003B3476">
        <w:rPr>
          <w:lang w:val="fr-FR" w:eastAsia="fr-FR" w:bidi="fr-FR"/>
        </w:rPr>
        <w:t>u</w:t>
      </w:r>
      <w:r w:rsidRPr="003B3476">
        <w:rPr>
          <w:lang w:val="fr-FR" w:eastAsia="fr-FR" w:bidi="fr-FR"/>
        </w:rPr>
        <w:t xml:space="preserve">lins à bras, qu’avait multipliés en </w:t>
      </w:r>
      <w:r w:rsidRPr="003B3476">
        <w:t xml:space="preserve">1808 </w:t>
      </w:r>
      <w:r w:rsidRPr="003B3476">
        <w:rPr>
          <w:lang w:val="fr-FR" w:eastAsia="fr-FR" w:bidi="fr-FR"/>
        </w:rPr>
        <w:t xml:space="preserve">l’abolition des banalités, reprit en </w:t>
      </w:r>
      <w:r w:rsidRPr="003B3476">
        <w:t xml:space="preserve">1810 </w:t>
      </w:r>
      <w:r w:rsidRPr="003B3476">
        <w:rPr>
          <w:lang w:val="fr-FR" w:eastAsia="fr-FR" w:bidi="fr-FR"/>
        </w:rPr>
        <w:t>lorsque Hardenberg eut établi sur la meunerie une lourde » accise », dont la perception eût été rendue impossible par le broyage domestique ; mais cet i</w:t>
      </w:r>
      <w:r w:rsidRPr="003B3476">
        <w:rPr>
          <w:lang w:val="fr-FR" w:eastAsia="fr-FR" w:bidi="fr-FR"/>
        </w:rPr>
        <w:t>m</w:t>
      </w:r>
      <w:r w:rsidRPr="003B3476">
        <w:rPr>
          <w:lang w:val="fr-FR" w:eastAsia="fr-FR" w:bidi="fr-FR"/>
        </w:rPr>
        <w:t>pôt, extr</w:t>
      </w:r>
      <w:r w:rsidRPr="003B3476">
        <w:rPr>
          <w:lang w:val="fr-FR" w:eastAsia="fr-FR" w:bidi="fr-FR"/>
        </w:rPr>
        <w:t>ê</w:t>
      </w:r>
      <w:r w:rsidRPr="003B3476">
        <w:rPr>
          <w:lang w:val="fr-FR" w:eastAsia="fr-FR" w:bidi="fr-FR"/>
        </w:rPr>
        <w:t xml:space="preserve">mement impopulaire, fut aboli dès </w:t>
      </w:r>
      <w:r w:rsidRPr="003B3476">
        <w:t>1811 :</w:t>
      </w:r>
      <w:r w:rsidRPr="003B3476">
        <w:rPr>
          <w:lang w:val="fr-FR" w:eastAsia="fr-FR" w:bidi="fr-FR"/>
        </w:rPr>
        <w:t xml:space="preserve"> voir G. </w:t>
      </w:r>
      <w:r w:rsidRPr="003B3476">
        <w:rPr>
          <w:rStyle w:val="Notedebasdepage65ptPetitesmajuscules"/>
          <w:b w:val="0"/>
          <w:sz w:val="24"/>
        </w:rPr>
        <w:t xml:space="preserve">Cavaignac, </w:t>
      </w:r>
      <w:r w:rsidRPr="003B3476">
        <w:rPr>
          <w:i/>
        </w:rPr>
        <w:t>La formation de la Prusse contemporaine</w:t>
      </w:r>
      <w:r w:rsidRPr="003B3476">
        <w:rPr>
          <w:lang w:val="fr-FR" w:eastAsia="fr-FR" w:bidi="fr-FR"/>
        </w:rPr>
        <w:t xml:space="preserve">, t. II, p. </w:t>
      </w:r>
      <w:r w:rsidRPr="003B3476">
        <w:t xml:space="preserve">55 </w:t>
      </w:r>
      <w:r w:rsidRPr="003B3476">
        <w:rPr>
          <w:lang w:val="fr-FR" w:eastAsia="fr-FR" w:bidi="fr-FR"/>
        </w:rPr>
        <w:t xml:space="preserve">et </w:t>
      </w:r>
      <w:r w:rsidRPr="003B3476">
        <w:t xml:space="preserve">60 </w:t>
      </w:r>
      <w:r w:rsidRPr="003B3476">
        <w:rPr>
          <w:lang w:val="fr-FR" w:eastAsia="fr-FR" w:bidi="fr-FR"/>
        </w:rPr>
        <w:t xml:space="preserve">(avec références). — Sur les moulins </w:t>
      </w:r>
      <w:r w:rsidRPr="003B3476">
        <w:t xml:space="preserve">à </w:t>
      </w:r>
      <w:r w:rsidRPr="003B3476">
        <w:rPr>
          <w:lang w:val="fr-FR" w:eastAsia="fr-FR" w:bidi="fr-FR"/>
        </w:rPr>
        <w:t xml:space="preserve">bras, chapitre, très riche, de A. </w:t>
      </w:r>
      <w:r w:rsidRPr="003B3476">
        <w:rPr>
          <w:rStyle w:val="Notedebasdepage65ptPetitesmajuscules"/>
          <w:b w:val="0"/>
          <w:sz w:val="24"/>
        </w:rPr>
        <w:t xml:space="preserve">Maurizio, </w:t>
      </w:r>
      <w:r w:rsidRPr="003B3476">
        <w:rPr>
          <w:i/>
        </w:rPr>
        <w:t>Histoire de l’alimentation végétale</w:t>
      </w:r>
      <w:r w:rsidRPr="003B3476">
        <w:rPr>
          <w:lang w:val="fr-FR" w:eastAsia="fr-FR" w:bidi="fr-FR"/>
        </w:rPr>
        <w:t xml:space="preserve">, p. </w:t>
      </w:r>
      <w:r w:rsidRPr="003B3476">
        <w:t xml:space="preserve">377 </w:t>
      </w:r>
      <w:r w:rsidRPr="003B3476">
        <w:rPr>
          <w:lang w:val="fr-FR" w:eastAsia="fr-FR" w:bidi="fr-FR"/>
        </w:rPr>
        <w:t>et suiv. Ils ont longtemps servi à concasser les grains pour les bouillies consommées par les hommes et pour la nourriture des animaux, alors qu’on avait tout à fait cessé de leur demander la farine panifi</w:t>
      </w:r>
      <w:r w:rsidRPr="003B3476">
        <w:rPr>
          <w:lang w:val="fr-FR" w:eastAsia="fr-FR" w:bidi="fr-FR"/>
        </w:rPr>
        <w:t>a</w:t>
      </w:r>
      <w:r w:rsidRPr="003B3476">
        <w:rPr>
          <w:lang w:val="fr-FR" w:eastAsia="fr-FR" w:bidi="fr-FR"/>
        </w:rPr>
        <w:t>ble.</w:t>
      </w:r>
    </w:p>
  </w:footnote>
  <w:footnote w:id="804">
    <w:p w14:paraId="2721926B"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Arrêt de Dijon, 1653, juillet 29, cité par </w:t>
      </w:r>
      <w:r w:rsidRPr="003B3476">
        <w:rPr>
          <w:smallCaps/>
        </w:rPr>
        <w:t>Bouhier</w:t>
      </w:r>
      <w:r w:rsidRPr="003B3476">
        <w:t xml:space="preserve">, </w:t>
      </w:r>
      <w:r w:rsidRPr="003B3476">
        <w:rPr>
          <w:i/>
        </w:rPr>
        <w:t>Les coutumes du duché de Bourgogne,</w:t>
      </w:r>
      <w:r w:rsidRPr="003B3476">
        <w:t xml:space="preserve"> t. II, 1846, p. 367 ; Arrêt de Rouen de 1743, mars 9, cité par </w:t>
      </w:r>
      <w:r w:rsidRPr="003B3476">
        <w:rPr>
          <w:smallCaps/>
        </w:rPr>
        <w:t>Guyot</w:t>
      </w:r>
      <w:r w:rsidRPr="003B3476">
        <w:t xml:space="preserve"> et </w:t>
      </w:r>
      <w:r w:rsidRPr="003B3476">
        <w:rPr>
          <w:smallCaps/>
        </w:rPr>
        <w:t>Merlin</w:t>
      </w:r>
      <w:r w:rsidRPr="003B3476">
        <w:t xml:space="preserve">, </w:t>
      </w:r>
      <w:r w:rsidRPr="003B3476">
        <w:rPr>
          <w:i/>
        </w:rPr>
        <w:t>Répertoire</w:t>
      </w:r>
      <w:r w:rsidRPr="003B3476">
        <w:t>, éd. de 1830, t. XI, p. 327, d’après un comme</w:t>
      </w:r>
      <w:r w:rsidRPr="003B3476">
        <w:t>n</w:t>
      </w:r>
      <w:r w:rsidRPr="003B3476">
        <w:t xml:space="preserve">tateur de Basnage ; </w:t>
      </w:r>
      <w:r w:rsidRPr="003B3476">
        <w:rPr>
          <w:smallCaps/>
        </w:rPr>
        <w:t>Mainsard</w:t>
      </w:r>
      <w:r w:rsidRPr="003B3476">
        <w:t xml:space="preserve">, </w:t>
      </w:r>
      <w:r w:rsidRPr="003B3476">
        <w:rPr>
          <w:i/>
        </w:rPr>
        <w:t>Les banalités en Bretagne</w:t>
      </w:r>
      <w:r w:rsidRPr="003B3476">
        <w:t xml:space="preserve">, 1912, p. 142 et suiv. et 177 ; M. </w:t>
      </w:r>
      <w:r w:rsidRPr="003B3476">
        <w:rPr>
          <w:smallCaps/>
        </w:rPr>
        <w:t>Sauvageon</w:t>
      </w:r>
      <w:r w:rsidRPr="003B3476">
        <w:t xml:space="preserve">, </w:t>
      </w:r>
      <w:r w:rsidRPr="003B3476">
        <w:rPr>
          <w:i/>
        </w:rPr>
        <w:t>Coutumes de Bretagne</w:t>
      </w:r>
      <w:r w:rsidRPr="003B3476">
        <w:t xml:space="preserve">, 1747, sur l’art. 387 (1629, juillet 16, et 1684, avril 13) ; </w:t>
      </w:r>
      <w:r w:rsidRPr="003B3476">
        <w:rPr>
          <w:smallCaps/>
        </w:rPr>
        <w:t>Poullain du Parc</w:t>
      </w:r>
      <w:r w:rsidRPr="003B3476">
        <w:t xml:space="preserve">, </w:t>
      </w:r>
      <w:r w:rsidRPr="003B3476">
        <w:rPr>
          <w:i/>
        </w:rPr>
        <w:t>Journal des audie</w:t>
      </w:r>
      <w:r w:rsidRPr="003B3476">
        <w:rPr>
          <w:i/>
        </w:rPr>
        <w:t>n</w:t>
      </w:r>
      <w:r w:rsidRPr="003B3476">
        <w:rPr>
          <w:i/>
        </w:rPr>
        <w:t>ces et arrêts du Parlement de Bretagne</w:t>
      </w:r>
      <w:r w:rsidRPr="003B3476">
        <w:t xml:space="preserve">, t. II, 1775, p. 321 et suiv. (1751-1752-1755) ; H. </w:t>
      </w:r>
      <w:r w:rsidRPr="003B3476">
        <w:rPr>
          <w:smallCaps/>
        </w:rPr>
        <w:t>Sée</w:t>
      </w:r>
      <w:r w:rsidRPr="003B3476">
        <w:t xml:space="preserve"> et A. </w:t>
      </w:r>
      <w:r w:rsidRPr="003B3476">
        <w:rPr>
          <w:smallCaps/>
        </w:rPr>
        <w:t>Lesort</w:t>
      </w:r>
      <w:r w:rsidRPr="003B3476">
        <w:t xml:space="preserve">, </w:t>
      </w:r>
      <w:r w:rsidRPr="003B3476">
        <w:rPr>
          <w:i/>
        </w:rPr>
        <w:t>Cahiers de doléances de la sénéchaussée de Rennes</w:t>
      </w:r>
      <w:r w:rsidRPr="003B3476">
        <w:t xml:space="preserve"> (références à la table, mot Meules à bras). Par contre, les </w:t>
      </w:r>
      <w:r w:rsidRPr="003B3476">
        <w:rPr>
          <w:i/>
        </w:rPr>
        <w:t>Cahiers de doléances des sénéchaussées de Quimper et de Concarneau</w:t>
      </w:r>
      <w:r w:rsidRPr="003B3476">
        <w:t xml:space="preserve"> (éd. J. </w:t>
      </w:r>
      <w:r w:rsidRPr="003B3476">
        <w:rPr>
          <w:smallCaps/>
        </w:rPr>
        <w:t>Savina</w:t>
      </w:r>
      <w:r w:rsidRPr="003B3476">
        <w:t xml:space="preserve"> et D. </w:t>
      </w:r>
      <w:r w:rsidRPr="003B3476">
        <w:rPr>
          <w:smallCaps/>
        </w:rPr>
        <w:t>Bernard</w:t>
      </w:r>
      <w:r w:rsidRPr="003B3476">
        <w:t xml:space="preserve">) </w:t>
      </w:r>
      <w:r w:rsidRPr="003B3476">
        <w:rPr>
          <w:lang w:val="fr-FR" w:eastAsia="fr-FR" w:bidi="fr-FR"/>
        </w:rPr>
        <w:t>ne mentionnent point les meules à bras : silence d’autant plus frappant qu’ils protestent violemment contre les banalités. Le cahier de Pou</w:t>
      </w:r>
      <w:r w:rsidRPr="003B3476">
        <w:rPr>
          <w:lang w:val="fr-FR" w:eastAsia="fr-FR" w:bidi="fr-FR"/>
        </w:rPr>
        <w:t>l</w:t>
      </w:r>
      <w:r w:rsidRPr="003B3476">
        <w:rPr>
          <w:lang w:val="fr-FR" w:eastAsia="fr-FR" w:bidi="fr-FR"/>
        </w:rPr>
        <w:t>drezic (p. 54, c. 1) présente même, avec beaucoup de netteté, l’abolition de la contrainte banale comme de nature à ne pas diminuer la clientèle des moulins (à eau ou à vent).</w:t>
      </w:r>
    </w:p>
  </w:footnote>
  <w:footnote w:id="805">
    <w:p w14:paraId="4DFAD6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Ballard, </w:t>
      </w:r>
      <w:r w:rsidRPr="003B3476">
        <w:rPr>
          <w:bCs/>
          <w:i/>
        </w:rPr>
        <w:t>British Borough Charters</w:t>
      </w:r>
      <w:r w:rsidRPr="003B3476">
        <w:rPr>
          <w:lang w:val="fr-FR" w:eastAsia="fr-FR" w:bidi="fr-FR"/>
        </w:rPr>
        <w:t>, 1916. Il convient sans doute d’ajouter aux villes citées ci-dessus celle de Bristol, bien que le texte soit moins pr</w:t>
      </w:r>
      <w:r w:rsidRPr="003B3476">
        <w:rPr>
          <w:lang w:val="fr-FR" w:eastAsia="fr-FR" w:bidi="fr-FR"/>
        </w:rPr>
        <w:t>é</w:t>
      </w:r>
      <w:r w:rsidRPr="003B3476">
        <w:rPr>
          <w:lang w:val="fr-FR" w:eastAsia="fr-FR" w:bidi="fr-FR"/>
        </w:rPr>
        <w:t xml:space="preserve">cis. — Pour Londres, </w:t>
      </w:r>
      <w:r w:rsidRPr="003B3476">
        <w:rPr>
          <w:bCs/>
          <w:i/>
        </w:rPr>
        <w:t>cf.</w:t>
      </w:r>
      <w:r w:rsidRPr="003B3476">
        <w:rPr>
          <w:bCs/>
        </w:rPr>
        <w:t xml:space="preserve"> </w:t>
      </w:r>
      <w:r w:rsidRPr="003B3476">
        <w:rPr>
          <w:bCs/>
          <w:i/>
        </w:rPr>
        <w:t>Liber Albus</w:t>
      </w:r>
      <w:r w:rsidRPr="003B3476">
        <w:rPr>
          <w:bCs/>
        </w:rPr>
        <w:t>,</w:t>
      </w:r>
      <w:r w:rsidRPr="003B3476">
        <w:rPr>
          <w:lang w:val="fr-FR" w:eastAsia="fr-FR" w:bidi="fr-FR"/>
        </w:rPr>
        <w:t xml:space="preserve"> éd. </w:t>
      </w:r>
      <w:r w:rsidRPr="003B3476">
        <w:rPr>
          <w:rStyle w:val="Notedebasdepage65ptPetitesmajuscules"/>
          <w:b w:val="0"/>
          <w:sz w:val="24"/>
        </w:rPr>
        <w:t xml:space="preserve">Riley, </w:t>
      </w:r>
      <w:r w:rsidRPr="003B3476">
        <w:rPr>
          <w:lang w:val="fr-FR" w:eastAsia="fr-FR" w:bidi="fr-FR"/>
        </w:rPr>
        <w:t xml:space="preserve">p. </w:t>
      </w:r>
      <w:r w:rsidRPr="003B3476">
        <w:rPr>
          <w:rStyle w:val="Notedebasdepage65ptPetitesmajuscules"/>
          <w:b w:val="0"/>
          <w:sz w:val="24"/>
        </w:rPr>
        <w:t xml:space="preserve">lxxiv. </w:t>
      </w:r>
      <w:r w:rsidRPr="003B3476">
        <w:rPr>
          <w:lang w:val="fr-FR" w:eastAsia="fr-FR" w:bidi="fr-FR"/>
        </w:rPr>
        <w:t>Dans le Pays de Galles, vers le XII</w:t>
      </w:r>
      <w:r w:rsidRPr="003B3476">
        <w:rPr>
          <w:vertAlign w:val="superscript"/>
          <w:lang w:val="fr-FR" w:eastAsia="fr-FR" w:bidi="fr-FR"/>
        </w:rPr>
        <w:t>e</w:t>
      </w:r>
      <w:r w:rsidRPr="003B3476">
        <w:rPr>
          <w:lang w:val="fr-FR" w:eastAsia="fr-FR" w:bidi="fr-FR"/>
        </w:rPr>
        <w:t xml:space="preserve"> siècle, le grain était encore couramment broyé à main, par des femmes de condition servile (</w:t>
      </w:r>
      <w:r w:rsidRPr="003B3476">
        <w:rPr>
          <w:bCs/>
          <w:i/>
        </w:rPr>
        <w:t>Ancient laws of Wales</w:t>
      </w:r>
      <w:r w:rsidRPr="003B3476">
        <w:rPr>
          <w:lang w:val="fr-FR" w:eastAsia="fr-FR" w:bidi="fr-FR"/>
        </w:rPr>
        <w:t>, t. II, p. 7, c. 17).</w:t>
      </w:r>
    </w:p>
  </w:footnote>
  <w:footnote w:id="806">
    <w:p w14:paraId="2B13596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Bennett </w:t>
      </w:r>
      <w:r w:rsidRPr="003B3476">
        <w:rPr>
          <w:lang w:val="fr-FR" w:eastAsia="fr-FR" w:bidi="fr-FR"/>
        </w:rPr>
        <w:t xml:space="preserve">et </w:t>
      </w:r>
      <w:r w:rsidRPr="003B3476">
        <w:rPr>
          <w:rStyle w:val="Notedebasdepage65ptPetitesmajuscules"/>
          <w:b w:val="0"/>
          <w:sz w:val="24"/>
        </w:rPr>
        <w:t xml:space="preserve">Elton, </w:t>
      </w:r>
      <w:r w:rsidRPr="003B3476">
        <w:rPr>
          <w:lang w:val="fr-FR" w:eastAsia="fr-FR" w:bidi="fr-FR"/>
        </w:rPr>
        <w:t xml:space="preserve">t. I, p. 211, et fac-similé en frontispice du volume (pour la date, </w:t>
      </w:r>
      <w:r w:rsidRPr="003B3476">
        <w:rPr>
          <w:bCs/>
          <w:i/>
        </w:rPr>
        <w:t>cf.</w:t>
      </w:r>
      <w:r w:rsidRPr="003B3476">
        <w:rPr>
          <w:bCs/>
        </w:rPr>
        <w:t xml:space="preserve"> </w:t>
      </w:r>
      <w:r w:rsidRPr="003B3476">
        <w:rPr>
          <w:bCs/>
          <w:i/>
        </w:rPr>
        <w:t>Victoria County Histories, Yorskshire</w:t>
      </w:r>
      <w:r w:rsidRPr="003B3476">
        <w:rPr>
          <w:lang w:val="fr-FR" w:eastAsia="fr-FR" w:bidi="fr-FR"/>
        </w:rPr>
        <w:t xml:space="preserve">, t. III, p. 195). — Voir aussi, sous Édouard III, le règlement des moulins de Chester </w:t>
      </w:r>
      <w:r w:rsidRPr="003B3476">
        <w:rPr>
          <w:rStyle w:val="Notedebasdepage65ptPetitesmajuscules"/>
          <w:b w:val="0"/>
          <w:sz w:val="24"/>
        </w:rPr>
        <w:t xml:space="preserve">(Bennett, </w:t>
      </w:r>
      <w:r w:rsidRPr="003B3476">
        <w:rPr>
          <w:lang w:val="fr-FR" w:eastAsia="fr-FR" w:bidi="fr-FR"/>
        </w:rPr>
        <w:t>t. I, p. 212.)</w:t>
      </w:r>
    </w:p>
  </w:footnote>
  <w:footnote w:id="807">
    <w:p w14:paraId="205A67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Chronicum Petroburgense</w:t>
      </w:r>
      <w:r w:rsidRPr="003B3476">
        <w:rPr>
          <w:lang w:val="fr-FR" w:eastAsia="fr-FR" w:bidi="fr-FR"/>
        </w:rPr>
        <w:t xml:space="preserve">, éd. </w:t>
      </w:r>
      <w:r w:rsidRPr="003B3476">
        <w:rPr>
          <w:rStyle w:val="Notedebasdepage65ptPetitesmajuscules"/>
          <w:b w:val="0"/>
          <w:sz w:val="24"/>
        </w:rPr>
        <w:t xml:space="preserve">Stapleton </w:t>
      </w:r>
      <w:r w:rsidRPr="003B3476">
        <w:rPr>
          <w:lang w:val="fr-FR" w:eastAsia="fr-FR" w:bidi="fr-FR"/>
        </w:rPr>
        <w:t>(</w:t>
      </w:r>
      <w:r w:rsidRPr="003B3476">
        <w:t>Camden Soc.,</w:t>
      </w:r>
      <w:r w:rsidRPr="003B3476">
        <w:rPr>
          <w:lang w:val="fr-FR" w:eastAsia="fr-FR" w:bidi="fr-FR"/>
        </w:rPr>
        <w:t xml:space="preserve"> 1849), p. 67 (1284) ; </w:t>
      </w:r>
      <w:r w:rsidRPr="003B3476">
        <w:t xml:space="preserve">E. </w:t>
      </w:r>
      <w:r w:rsidRPr="003B3476">
        <w:rPr>
          <w:lang w:val="fr-FR" w:eastAsia="fr-FR" w:bidi="fr-FR"/>
        </w:rPr>
        <w:t xml:space="preserve">A. </w:t>
      </w:r>
      <w:r w:rsidRPr="003B3476">
        <w:rPr>
          <w:rStyle w:val="Notedebasdepage65ptPetitesmajuscules"/>
          <w:b w:val="0"/>
          <w:sz w:val="24"/>
        </w:rPr>
        <w:t xml:space="preserve">Fuller, </w:t>
      </w:r>
      <w:r w:rsidRPr="003B3476">
        <w:rPr>
          <w:i/>
        </w:rPr>
        <w:t>Cirencester : the manor and the town</w:t>
      </w:r>
      <w:r w:rsidRPr="003B3476">
        <w:rPr>
          <w:lang w:val="fr-FR" w:eastAsia="fr-FR" w:bidi="fr-FR"/>
        </w:rPr>
        <w:t xml:space="preserve">, dans </w:t>
      </w:r>
      <w:r w:rsidRPr="003B3476">
        <w:rPr>
          <w:i/>
        </w:rPr>
        <w:t>Bristol and Gloucesters. archaeological transactions</w:t>
      </w:r>
      <w:r w:rsidRPr="003B3476">
        <w:rPr>
          <w:lang w:val="fr-FR" w:eastAsia="fr-FR" w:bidi="fr-FR"/>
        </w:rPr>
        <w:t xml:space="preserve">, t. IX, 1884-1885, p. 311 et suiv. (1306-1307) ; </w:t>
      </w:r>
      <w:r w:rsidRPr="003B3476">
        <w:rPr>
          <w:i/>
        </w:rPr>
        <w:t>Registra quorumdam abbatum monasterii S. Albani</w:t>
      </w:r>
      <w:r w:rsidRPr="003B3476">
        <w:t>,</w:t>
      </w:r>
      <w:r w:rsidRPr="003B3476">
        <w:rPr>
          <w:lang w:val="fr-FR" w:eastAsia="fr-FR" w:bidi="fr-FR"/>
        </w:rPr>
        <w:t xml:space="preserve"> éd. </w:t>
      </w:r>
      <w:r w:rsidRPr="003B3476">
        <w:rPr>
          <w:rStyle w:val="Notedebasdepage65ptPetitesmajuscules"/>
          <w:b w:val="0"/>
          <w:sz w:val="24"/>
        </w:rPr>
        <w:t xml:space="preserve">Riley </w:t>
      </w:r>
      <w:r w:rsidRPr="003B3476">
        <w:t>(Rolls Series)</w:t>
      </w:r>
      <w:r w:rsidRPr="003B3476">
        <w:rPr>
          <w:lang w:val="fr-FR" w:eastAsia="fr-FR" w:bidi="fr-FR"/>
        </w:rPr>
        <w:t xml:space="preserve">, t. 1, p. 199 et suiv. (1499 : émeute de femmes provoquée par l’interdiction d’un moulin à chevaux) ; en 1381, les gens de Whatford avaient, comme ceux de Saint-Alban, extorqué à l’abbé une charte leur reconnaissant la faculté d’user de moulins </w:t>
      </w:r>
      <w:r w:rsidRPr="003B3476">
        <w:t xml:space="preserve">à </w:t>
      </w:r>
      <w:r w:rsidRPr="003B3476">
        <w:rPr>
          <w:lang w:val="fr-FR" w:eastAsia="fr-FR" w:bidi="fr-FR"/>
        </w:rPr>
        <w:t xml:space="preserve">bras ; voir Th. </w:t>
      </w:r>
      <w:r w:rsidRPr="003B3476">
        <w:rPr>
          <w:rStyle w:val="Notedebasdepage65ptPetitesmajuscules"/>
          <w:b w:val="0"/>
          <w:sz w:val="24"/>
        </w:rPr>
        <w:t xml:space="preserve">Walsingham, </w:t>
      </w:r>
      <w:r w:rsidRPr="003B3476">
        <w:rPr>
          <w:i/>
        </w:rPr>
        <w:t>Gesta S. Albani</w:t>
      </w:r>
      <w:r w:rsidRPr="003B3476">
        <w:rPr>
          <w:lang w:val="fr-FR" w:eastAsia="fr-FR" w:bidi="fr-FR"/>
        </w:rPr>
        <w:t>, t. III, p. 325.</w:t>
      </w:r>
    </w:p>
  </w:footnote>
  <w:footnote w:id="808">
    <w:p w14:paraId="4744E0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Thomas </w:t>
      </w:r>
      <w:r w:rsidRPr="003B3476">
        <w:rPr>
          <w:rStyle w:val="Notedebasdepage65ptPetitesmajuscules"/>
          <w:b w:val="0"/>
          <w:sz w:val="24"/>
        </w:rPr>
        <w:t xml:space="preserve">Walsingham, </w:t>
      </w:r>
      <w:r w:rsidRPr="003B3476">
        <w:rPr>
          <w:bCs/>
          <w:i/>
        </w:rPr>
        <w:t>Gesta S. Albani</w:t>
      </w:r>
      <w:r w:rsidRPr="003B3476">
        <w:rPr>
          <w:lang w:val="fr-FR" w:eastAsia="fr-FR" w:bidi="fr-FR"/>
        </w:rPr>
        <w:t xml:space="preserve">, éd. </w:t>
      </w:r>
      <w:r w:rsidRPr="003B3476">
        <w:rPr>
          <w:rStyle w:val="Notedebasdepage65ptPetitesmajuscules"/>
          <w:b w:val="0"/>
          <w:sz w:val="24"/>
        </w:rPr>
        <w:t xml:space="preserve">Riley </w:t>
      </w:r>
      <w:r w:rsidRPr="003B3476">
        <w:rPr>
          <w:bCs/>
        </w:rPr>
        <w:t>(</w:t>
      </w:r>
      <w:r w:rsidRPr="003B3476">
        <w:rPr>
          <w:bCs/>
          <w:i/>
        </w:rPr>
        <w:t>Rolls Series</w:t>
      </w:r>
      <w:r w:rsidRPr="003B3476">
        <w:rPr>
          <w:bCs/>
        </w:rPr>
        <w:t>),</w:t>
      </w:r>
      <w:r w:rsidRPr="003B3476">
        <w:rPr>
          <w:lang w:val="fr-FR" w:eastAsia="fr-FR" w:bidi="fr-FR"/>
        </w:rPr>
        <w:t xml:space="preserve"> t. I, p. 410 et suiv. ; t. II, p. 149, 158, 287 et suiv. ; t. III, p. 286 et suiv., 360-361, 367-371. </w:t>
      </w:r>
      <w:r w:rsidRPr="003B3476">
        <w:rPr>
          <w:bCs/>
          <w:i/>
        </w:rPr>
        <w:t>Cf.</w:t>
      </w:r>
      <w:r w:rsidRPr="003B3476">
        <w:rPr>
          <w:bCs/>
        </w:rPr>
        <w:t xml:space="preserve"> l’</w:t>
      </w:r>
      <w:r w:rsidRPr="003B3476">
        <w:rPr>
          <w:bCs/>
          <w:i/>
        </w:rPr>
        <w:t xml:space="preserve">Historia anglicana </w:t>
      </w:r>
      <w:r w:rsidRPr="003B3476">
        <w:rPr>
          <w:lang w:val="fr-FR" w:eastAsia="fr-FR" w:bidi="fr-FR"/>
        </w:rPr>
        <w:t xml:space="preserve">du même auteur, éd. </w:t>
      </w:r>
      <w:r w:rsidRPr="003B3476">
        <w:rPr>
          <w:rStyle w:val="Notedebasdepage65ptPetitesmajuscules"/>
          <w:b w:val="0"/>
          <w:sz w:val="24"/>
        </w:rPr>
        <w:t xml:space="preserve">Riley </w:t>
      </w:r>
      <w:r w:rsidRPr="003B3476">
        <w:rPr>
          <w:bCs/>
        </w:rPr>
        <w:t>(</w:t>
      </w:r>
      <w:r w:rsidRPr="003B3476">
        <w:rPr>
          <w:bCs/>
          <w:i/>
        </w:rPr>
        <w:t>Rolls Series</w:t>
      </w:r>
      <w:r w:rsidRPr="003B3476">
        <w:rPr>
          <w:bCs/>
        </w:rPr>
        <w:t>),</w:t>
      </w:r>
      <w:r w:rsidRPr="003B3476">
        <w:rPr>
          <w:lang w:val="fr-FR" w:eastAsia="fr-FR" w:bidi="fr-FR"/>
        </w:rPr>
        <w:t xml:space="preserve"> p. 475. Sur les événements de 1381, voir A. </w:t>
      </w:r>
      <w:r w:rsidRPr="003B3476">
        <w:rPr>
          <w:rStyle w:val="Notedebasdepage65ptPetitesmajuscules"/>
          <w:b w:val="0"/>
          <w:sz w:val="24"/>
        </w:rPr>
        <w:t xml:space="preserve">Réville, </w:t>
      </w:r>
      <w:r w:rsidRPr="003B3476">
        <w:rPr>
          <w:bCs/>
          <w:i/>
        </w:rPr>
        <w:t>Le soulèvement des travailleurs d'Anglete</w:t>
      </w:r>
      <w:r w:rsidRPr="003B3476">
        <w:rPr>
          <w:bCs/>
          <w:i/>
        </w:rPr>
        <w:t>r</w:t>
      </w:r>
      <w:r w:rsidRPr="003B3476">
        <w:rPr>
          <w:bCs/>
          <w:i/>
        </w:rPr>
        <w:t>re en 1381</w:t>
      </w:r>
      <w:r w:rsidRPr="003B3476">
        <w:rPr>
          <w:lang w:val="fr-FR" w:eastAsia="fr-FR" w:bidi="fr-FR"/>
        </w:rPr>
        <w:t xml:space="preserve">, p. 5 et suiv., 142 et suiv. et Ch. </w:t>
      </w:r>
      <w:r w:rsidRPr="003B3476">
        <w:rPr>
          <w:rStyle w:val="Notedebasdepage65ptPetitesmajuscules"/>
          <w:b w:val="0"/>
          <w:sz w:val="24"/>
        </w:rPr>
        <w:t xml:space="preserve">Oman, </w:t>
      </w:r>
      <w:r w:rsidRPr="003B3476">
        <w:rPr>
          <w:bCs/>
          <w:i/>
        </w:rPr>
        <w:t>The great revolt of 1381</w:t>
      </w:r>
      <w:r w:rsidRPr="003B3476">
        <w:rPr>
          <w:lang w:val="fr-FR" w:eastAsia="fr-FR" w:bidi="fr-FR"/>
        </w:rPr>
        <w:t>, p. 91 et suiv.</w:t>
      </w:r>
    </w:p>
  </w:footnote>
  <w:footnote w:id="809">
    <w:p w14:paraId="3857F8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Bennet </w:t>
      </w:r>
      <w:r w:rsidRPr="003B3476">
        <w:rPr>
          <w:lang w:val="fr-FR" w:eastAsia="fr-FR" w:bidi="fr-FR"/>
        </w:rPr>
        <w:t xml:space="preserve">et </w:t>
      </w:r>
      <w:r w:rsidRPr="003B3476">
        <w:rPr>
          <w:rStyle w:val="Notedebasdepage65ptPetitesmajuscules"/>
          <w:b w:val="0"/>
          <w:sz w:val="24"/>
        </w:rPr>
        <w:t xml:space="preserve">Elton, </w:t>
      </w:r>
      <w:r w:rsidRPr="003B3476">
        <w:rPr>
          <w:lang w:val="fr-FR" w:eastAsia="fr-FR" w:bidi="fr-FR"/>
        </w:rPr>
        <w:t xml:space="preserve">t. I, p. 224 ; P. </w:t>
      </w:r>
      <w:r w:rsidRPr="003B3476">
        <w:rPr>
          <w:rStyle w:val="Notedebasdepage65ptPetitesmajuscules"/>
          <w:b w:val="0"/>
          <w:sz w:val="24"/>
        </w:rPr>
        <w:t xml:space="preserve">Mantoux, </w:t>
      </w:r>
      <w:r w:rsidRPr="003B3476">
        <w:rPr>
          <w:i/>
        </w:rPr>
        <w:t>La révolution industrielle</w:t>
      </w:r>
      <w:r w:rsidRPr="003B3476">
        <w:t>,</w:t>
      </w:r>
      <w:r w:rsidRPr="003B3476">
        <w:rPr>
          <w:lang w:val="fr-FR" w:eastAsia="fr-FR" w:bidi="fr-FR"/>
        </w:rPr>
        <w:t xml:space="preserve"> 1905, p. 341.</w:t>
      </w:r>
    </w:p>
  </w:footnote>
  <w:footnote w:id="810">
    <w:p w14:paraId="21F4B3B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Bennett </w:t>
      </w:r>
      <w:r w:rsidRPr="003B3476">
        <w:rPr>
          <w:lang w:val="fr-FR" w:eastAsia="fr-FR" w:bidi="fr-FR"/>
        </w:rPr>
        <w:t xml:space="preserve">et </w:t>
      </w:r>
      <w:r w:rsidRPr="003B3476">
        <w:rPr>
          <w:rStyle w:val="Notedebasdepage65ptPetitesmajuscules"/>
          <w:b w:val="0"/>
          <w:sz w:val="24"/>
        </w:rPr>
        <w:t xml:space="preserve">Elton, </w:t>
      </w:r>
      <w:r w:rsidRPr="003B3476">
        <w:rPr>
          <w:lang w:val="fr-FR" w:eastAsia="fr-FR" w:bidi="fr-FR"/>
        </w:rPr>
        <w:t xml:space="preserve">t. I, p. 167 ; </w:t>
      </w:r>
      <w:r w:rsidRPr="003B3476">
        <w:rPr>
          <w:bCs/>
          <w:i/>
        </w:rPr>
        <w:t>Revue archéologique</w:t>
      </w:r>
      <w:r w:rsidRPr="003B3476">
        <w:rPr>
          <w:lang w:val="fr-FR" w:eastAsia="fr-FR" w:bidi="fr-FR"/>
        </w:rPr>
        <w:t xml:space="preserve">, 1900, I, p. 35 ; </w:t>
      </w:r>
      <w:r w:rsidRPr="003B3476">
        <w:rPr>
          <w:bCs/>
          <w:i/>
        </w:rPr>
        <w:t>Zeit</w:t>
      </w:r>
      <w:r w:rsidRPr="003B3476">
        <w:rPr>
          <w:bCs/>
          <w:i/>
        </w:rPr>
        <w:t>s</w:t>
      </w:r>
      <w:r w:rsidRPr="003B3476">
        <w:rPr>
          <w:bCs/>
          <w:i/>
        </w:rPr>
        <w:t>chrift für Ethnologie</w:t>
      </w:r>
      <w:r w:rsidRPr="003B3476">
        <w:rPr>
          <w:bCs/>
        </w:rPr>
        <w:t>,</w:t>
      </w:r>
      <w:r w:rsidRPr="003B3476">
        <w:rPr>
          <w:lang w:val="fr-FR" w:eastAsia="fr-FR" w:bidi="fr-FR"/>
        </w:rPr>
        <w:t xml:space="preserve"> t. XXII, 1890, p. 607 et t. XXVIII, 1896, p. 372 ; </w:t>
      </w:r>
      <w:r w:rsidRPr="003B3476">
        <w:rPr>
          <w:rStyle w:val="Notedebasdepage65ptPetitesmajuscules"/>
          <w:b w:val="0"/>
          <w:sz w:val="24"/>
        </w:rPr>
        <w:t>La</w:t>
      </w:r>
      <w:r w:rsidRPr="003B3476">
        <w:rPr>
          <w:rStyle w:val="Notedebasdepage65ptPetitesmajuscules"/>
          <w:b w:val="0"/>
          <w:sz w:val="24"/>
        </w:rPr>
        <w:t>m</w:t>
      </w:r>
      <w:r w:rsidRPr="003B3476">
        <w:rPr>
          <w:rStyle w:val="Notedebasdepage65ptPetitesmajuscules"/>
          <w:b w:val="0"/>
          <w:sz w:val="24"/>
        </w:rPr>
        <w:t xml:space="preserve">precht, </w:t>
      </w:r>
      <w:r w:rsidRPr="003B3476">
        <w:rPr>
          <w:bCs/>
        </w:rPr>
        <w:t>Deutsche Wirtschaftsgeschichte,</w:t>
      </w:r>
      <w:r w:rsidRPr="003B3476">
        <w:rPr>
          <w:lang w:val="fr-FR" w:eastAsia="fr-FR" w:bidi="fr-FR"/>
        </w:rPr>
        <w:t xml:space="preserve"> t. I, p. 585. Des recherches dans nos provinces apport</w:t>
      </w:r>
      <w:r w:rsidRPr="003B3476">
        <w:rPr>
          <w:lang w:val="fr-FR" w:eastAsia="fr-FR" w:bidi="fr-FR"/>
        </w:rPr>
        <w:t>e</w:t>
      </w:r>
      <w:r w:rsidRPr="003B3476">
        <w:rPr>
          <w:lang w:val="fr-FR" w:eastAsia="fr-FR" w:bidi="fr-FR"/>
        </w:rPr>
        <w:t xml:space="preserve">raient sans doute bien des clartés nouvelles sur la longévité de la mouture à mains. C’est ainsi qu’au témoignage d’A. </w:t>
      </w:r>
      <w:r w:rsidRPr="003B3476">
        <w:rPr>
          <w:rStyle w:val="Notedebasdepage65ptPetitesmajuscules"/>
          <w:b w:val="0"/>
          <w:sz w:val="24"/>
        </w:rPr>
        <w:t xml:space="preserve">Demont </w:t>
      </w:r>
      <w:r w:rsidRPr="003B3476">
        <w:rPr>
          <w:bCs/>
        </w:rPr>
        <w:t>(</w:t>
      </w:r>
      <w:r w:rsidRPr="003B3476">
        <w:rPr>
          <w:bCs/>
          <w:i/>
        </w:rPr>
        <w:t>Le blé dans les traditions a</w:t>
      </w:r>
      <w:r w:rsidRPr="003B3476">
        <w:rPr>
          <w:bCs/>
          <w:i/>
        </w:rPr>
        <w:t>r</w:t>
      </w:r>
      <w:r w:rsidRPr="003B3476">
        <w:rPr>
          <w:bCs/>
          <w:i/>
        </w:rPr>
        <w:t>tésiennes</w:t>
      </w:r>
      <w:r w:rsidRPr="003B3476">
        <w:rPr>
          <w:bCs/>
        </w:rPr>
        <w:t>,</w:t>
      </w:r>
      <w:r w:rsidRPr="003B3476">
        <w:rPr>
          <w:lang w:val="fr-FR" w:eastAsia="fr-FR" w:bidi="fr-FR"/>
        </w:rPr>
        <w:t xml:space="preserve"> dans </w:t>
      </w:r>
      <w:r w:rsidRPr="003B3476">
        <w:rPr>
          <w:bCs/>
          <w:i/>
        </w:rPr>
        <w:t>Revue de Folklore</w:t>
      </w:r>
      <w:r w:rsidRPr="003B3476">
        <w:rPr>
          <w:bCs/>
        </w:rPr>
        <w:t xml:space="preserve"> </w:t>
      </w:r>
      <w:r w:rsidRPr="003B3476">
        <w:rPr>
          <w:bCs/>
          <w:i/>
        </w:rPr>
        <w:t>français</w:t>
      </w:r>
      <w:r w:rsidRPr="003B3476">
        <w:rPr>
          <w:bCs/>
        </w:rPr>
        <w:t>,</w:t>
      </w:r>
      <w:r w:rsidRPr="003B3476">
        <w:rPr>
          <w:lang w:val="fr-FR" w:eastAsia="fr-FR" w:bidi="fr-FR"/>
        </w:rPr>
        <w:t xml:space="preserve"> 1935, p. 49) un « moulin à bras » fut découvert en 1856 « au beau milieu du clocher de l’église d’Hermaville. Les meules portaient les marques d’un long service. La cage en chêne était un ouvrage de charpente dans le genre du XVIII</w:t>
      </w:r>
      <w:r w:rsidRPr="003B3476">
        <w:rPr>
          <w:vertAlign w:val="superscript"/>
          <w:lang w:val="fr-FR" w:eastAsia="fr-FR" w:bidi="fr-FR"/>
        </w:rPr>
        <w:t>e</w:t>
      </w:r>
      <w:r w:rsidRPr="003B3476">
        <w:rPr>
          <w:lang w:val="fr-FR" w:eastAsia="fr-FR" w:bidi="fr-FR"/>
        </w:rPr>
        <w:t xml:space="preserve"> siècle ». </w:t>
      </w:r>
      <w:r w:rsidRPr="003B3476">
        <w:rPr>
          <w:bCs/>
          <w:i/>
        </w:rPr>
        <w:t>Cf.</w:t>
      </w:r>
      <w:r w:rsidRPr="003B3476">
        <w:rPr>
          <w:lang w:val="fr-FR" w:eastAsia="fr-FR" w:bidi="fr-FR"/>
        </w:rPr>
        <w:t xml:space="preserve"> aussi </w:t>
      </w:r>
      <w:r w:rsidRPr="003B3476">
        <w:rPr>
          <w:bCs/>
          <w:i/>
        </w:rPr>
        <w:t>Bull. Soc. A</w:t>
      </w:r>
      <w:r w:rsidRPr="003B3476">
        <w:rPr>
          <w:bCs/>
          <w:i/>
        </w:rPr>
        <w:t>r</w:t>
      </w:r>
      <w:r w:rsidRPr="003B3476">
        <w:rPr>
          <w:bCs/>
          <w:i/>
        </w:rPr>
        <w:t>chéol. Limousin</w:t>
      </w:r>
      <w:r w:rsidRPr="003B3476">
        <w:rPr>
          <w:bCs/>
        </w:rPr>
        <w:t>,</w:t>
      </w:r>
      <w:r w:rsidRPr="003B3476">
        <w:rPr>
          <w:lang w:val="fr-FR" w:eastAsia="fr-FR" w:bidi="fr-FR"/>
        </w:rPr>
        <w:t xml:space="preserve"> t. CXXLV, p. </w:t>
      </w:r>
      <w:r w:rsidRPr="003B3476">
        <w:rPr>
          <w:rStyle w:val="Notedebasdepage65ptPetitesmajuscules"/>
          <w:b w:val="0"/>
          <w:caps/>
          <w:smallCaps w:val="0"/>
          <w:sz w:val="24"/>
        </w:rPr>
        <w:t>xlvii</w:t>
      </w:r>
      <w:r w:rsidRPr="003B3476">
        <w:rPr>
          <w:rStyle w:val="Notedebasdepage65ptPetitesmajuscules"/>
          <w:b w:val="0"/>
          <w:sz w:val="24"/>
        </w:rPr>
        <w:t xml:space="preserve"> </w:t>
      </w:r>
      <w:r w:rsidRPr="003B3476">
        <w:rPr>
          <w:lang w:val="fr-FR" w:eastAsia="fr-FR" w:bidi="fr-FR"/>
        </w:rPr>
        <w:t xml:space="preserve">et LXXV, p. </w:t>
      </w:r>
      <w:r w:rsidRPr="003B3476">
        <w:rPr>
          <w:rStyle w:val="Notedebasdepage65ptPetitesmajuscules"/>
          <w:b w:val="0"/>
          <w:caps/>
          <w:smallCaps w:val="0"/>
          <w:sz w:val="24"/>
        </w:rPr>
        <w:t>lviii</w:t>
      </w:r>
      <w:r w:rsidRPr="003B3476">
        <w:rPr>
          <w:rStyle w:val="Notedebasdepage65ptPetitesmajuscules"/>
          <w:b w:val="0"/>
          <w:sz w:val="24"/>
        </w:rPr>
        <w:t>.</w:t>
      </w:r>
    </w:p>
  </w:footnote>
  <w:footnote w:id="811">
    <w:p w14:paraId="439F991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L’ouvrage de William </w:t>
      </w:r>
      <w:r w:rsidRPr="003B3476">
        <w:rPr>
          <w:rStyle w:val="Notedebasdepage65ptPetitesmajuscules"/>
          <w:b w:val="0"/>
          <w:sz w:val="24"/>
        </w:rPr>
        <w:t xml:space="preserve">Coles Finch, </w:t>
      </w:r>
      <w:r w:rsidRPr="003B3476">
        <w:rPr>
          <w:bCs/>
          <w:i/>
        </w:rPr>
        <w:t>Watermills and Windmills, a historical survey of their rise, decline and fall as portrayed by those of Kent</w:t>
      </w:r>
      <w:r w:rsidRPr="003B3476">
        <w:rPr>
          <w:bCs/>
        </w:rPr>
        <w:t>,</w:t>
      </w:r>
      <w:r w:rsidRPr="003B3476">
        <w:rPr>
          <w:lang w:val="fr-FR" w:eastAsia="fr-FR" w:bidi="fr-FR"/>
        </w:rPr>
        <w:t xml:space="preserve"> Londres, 1933, appartient au genre anecdotique et pittoresque ; l’historien du moulin le négl</w:t>
      </w:r>
      <w:r w:rsidRPr="003B3476">
        <w:rPr>
          <w:lang w:val="fr-FR" w:eastAsia="fr-FR" w:bidi="fr-FR"/>
        </w:rPr>
        <w:t>i</w:t>
      </w:r>
      <w:r w:rsidRPr="003B3476">
        <w:rPr>
          <w:lang w:val="fr-FR" w:eastAsia="fr-FR" w:bidi="fr-FR"/>
        </w:rPr>
        <w:t xml:space="preserve">gera sans grand dommage. Je n’ai pu voir </w:t>
      </w:r>
      <w:r w:rsidRPr="003B3476">
        <w:rPr>
          <w:rStyle w:val="Notedebasdepage65ptPetitesmajuscules"/>
          <w:b w:val="0"/>
          <w:sz w:val="24"/>
        </w:rPr>
        <w:t xml:space="preserve">M. Ringelmann, </w:t>
      </w:r>
      <w:r w:rsidRPr="003B3476">
        <w:rPr>
          <w:bCs/>
          <w:i/>
        </w:rPr>
        <w:t>Essai sur l’histoire du g</w:t>
      </w:r>
      <w:r w:rsidRPr="003B3476">
        <w:rPr>
          <w:bCs/>
          <w:i/>
        </w:rPr>
        <w:t>é</w:t>
      </w:r>
      <w:r w:rsidRPr="003B3476">
        <w:rPr>
          <w:bCs/>
          <w:i/>
        </w:rPr>
        <w:t>nie rural</w:t>
      </w:r>
      <w:r w:rsidRPr="003B3476">
        <w:rPr>
          <w:lang w:val="fr-FR" w:eastAsia="fr-FR" w:bidi="fr-FR"/>
        </w:rPr>
        <w:t>, Paris, 1907 ( ?).</w:t>
      </w:r>
    </w:p>
  </w:footnote>
  <w:footnote w:id="812">
    <w:p w14:paraId="5CC031B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L’exposé d’A. </w:t>
      </w:r>
      <w:r w:rsidRPr="003B3476">
        <w:rPr>
          <w:rStyle w:val="Notedebasdepage65ptPetitesmajuscules"/>
          <w:b w:val="0"/>
          <w:sz w:val="24"/>
        </w:rPr>
        <w:t xml:space="preserve">Maurizio, </w:t>
      </w:r>
      <w:r w:rsidRPr="003B3476">
        <w:rPr>
          <w:lang w:val="fr-FR" w:eastAsia="fr-FR" w:bidi="fr-FR"/>
        </w:rPr>
        <w:t xml:space="preserve">dans </w:t>
      </w:r>
      <w:r w:rsidRPr="003B3476">
        <w:rPr>
          <w:bCs/>
          <w:i/>
        </w:rPr>
        <w:t>Histoire de l’alimentation végétale</w:t>
      </w:r>
      <w:r w:rsidRPr="003B3476">
        <w:rPr>
          <w:lang w:val="fr-FR" w:eastAsia="fr-FR" w:bidi="fr-FR"/>
        </w:rPr>
        <w:t xml:space="preserve"> (trad. F. Gidon, 1932, p. 377-422) intéresse l’histoire de la mouture à bras, sur l</w:t>
      </w:r>
      <w:r w:rsidRPr="003B3476">
        <w:rPr>
          <w:lang w:val="fr-FR" w:eastAsia="fr-FR" w:bidi="fr-FR"/>
        </w:rPr>
        <w:t>a</w:t>
      </w:r>
      <w:r w:rsidRPr="003B3476">
        <w:rPr>
          <w:lang w:val="fr-FR" w:eastAsia="fr-FR" w:bidi="fr-FR"/>
        </w:rPr>
        <w:t>quelle il apporte beaucoup de renseignements utiles, plutôt que celle du mo</w:t>
      </w:r>
      <w:r w:rsidRPr="003B3476">
        <w:rPr>
          <w:lang w:val="fr-FR" w:eastAsia="fr-FR" w:bidi="fr-FR"/>
        </w:rPr>
        <w:t>u</w:t>
      </w:r>
      <w:r w:rsidRPr="003B3476">
        <w:rPr>
          <w:lang w:val="fr-FR" w:eastAsia="fr-FR" w:bidi="fr-FR"/>
        </w:rPr>
        <w:t>lin à eau.</w:t>
      </w:r>
    </w:p>
  </w:footnote>
  <w:footnote w:id="813">
    <w:p w14:paraId="543FFBB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Les excellents articles de P. </w:t>
      </w:r>
      <w:r w:rsidRPr="003B3476">
        <w:rPr>
          <w:rStyle w:val="Notedebasdepage365ptNonItaliquePetitesmajuscules"/>
          <w:b w:val="0"/>
          <w:i w:val="0"/>
          <w:iCs w:val="0"/>
          <w:sz w:val="24"/>
        </w:rPr>
        <w:t xml:space="preserve">Aebischer, </w:t>
      </w:r>
      <w:r w:rsidRPr="003B3476">
        <w:rPr>
          <w:lang w:val="fr-FR" w:eastAsia="fr-FR" w:bidi="fr-FR"/>
        </w:rPr>
        <w:t>Les dénominations du</w:t>
      </w:r>
      <w:r w:rsidRPr="003B3476">
        <w:rPr>
          <w:bCs/>
        </w:rPr>
        <w:t xml:space="preserve"> « </w:t>
      </w:r>
      <w:r w:rsidRPr="003B3476">
        <w:rPr>
          <w:lang w:val="fr-FR" w:eastAsia="fr-FR" w:bidi="fr-FR"/>
        </w:rPr>
        <w:t>moulin</w:t>
      </w:r>
      <w:r w:rsidRPr="003B3476">
        <w:rPr>
          <w:bCs/>
        </w:rPr>
        <w:t xml:space="preserve"> » </w:t>
      </w:r>
      <w:r w:rsidRPr="003B3476">
        <w:rPr>
          <w:lang w:val="fr-FR" w:eastAsia="fr-FR" w:bidi="fr-FR"/>
        </w:rPr>
        <w:t>dans les chartes italiennes du Moyen Âge (</w:t>
      </w:r>
      <w:r w:rsidRPr="003B3476">
        <w:rPr>
          <w:i/>
          <w:lang w:val="fr-FR" w:eastAsia="fr-FR" w:bidi="fr-FR"/>
        </w:rPr>
        <w:t>Bulletin Du Cange</w:t>
      </w:r>
      <w:r w:rsidRPr="003B3476">
        <w:rPr>
          <w:bCs/>
        </w:rPr>
        <w:t xml:space="preserve">, 1932) et </w:t>
      </w:r>
      <w:r w:rsidRPr="003B3476">
        <w:rPr>
          <w:lang w:val="fr-FR" w:eastAsia="fr-FR" w:bidi="fr-FR"/>
        </w:rPr>
        <w:t xml:space="preserve">Les termes servant à désigner le </w:t>
      </w:r>
      <w:r w:rsidRPr="003B3476">
        <w:rPr>
          <w:bCs/>
        </w:rPr>
        <w:t>« </w:t>
      </w:r>
      <w:r w:rsidRPr="003B3476">
        <w:rPr>
          <w:lang w:val="fr-FR" w:eastAsia="fr-FR" w:bidi="fr-FR"/>
        </w:rPr>
        <w:t>moulin</w:t>
      </w:r>
      <w:r w:rsidRPr="003B3476">
        <w:rPr>
          <w:bCs/>
        </w:rPr>
        <w:t xml:space="preserve"> » </w:t>
      </w:r>
      <w:r w:rsidRPr="003B3476">
        <w:rPr>
          <w:lang w:val="fr-FR" w:eastAsia="fr-FR" w:bidi="fr-FR"/>
        </w:rPr>
        <w:t>dans quelques anciennes chartes rel</w:t>
      </w:r>
      <w:r w:rsidRPr="003B3476">
        <w:rPr>
          <w:lang w:val="fr-FR" w:eastAsia="fr-FR" w:bidi="fr-FR"/>
        </w:rPr>
        <w:t>a</w:t>
      </w:r>
      <w:r w:rsidRPr="003B3476">
        <w:rPr>
          <w:lang w:val="fr-FR" w:eastAsia="fr-FR" w:bidi="fr-FR"/>
        </w:rPr>
        <w:t>tives à la Belgique</w:t>
      </w:r>
      <w:r w:rsidRPr="003B3476">
        <w:rPr>
          <w:bCs/>
        </w:rPr>
        <w:t xml:space="preserve"> </w:t>
      </w:r>
      <w:r w:rsidRPr="003B3476">
        <w:rPr>
          <w:lang w:val="fr-FR" w:eastAsia="fr-FR" w:bidi="fr-FR"/>
        </w:rPr>
        <w:t>(</w:t>
      </w:r>
      <w:r w:rsidRPr="003B3476">
        <w:rPr>
          <w:i/>
          <w:lang w:val="fr-FR" w:eastAsia="fr-FR" w:bidi="fr-FR"/>
        </w:rPr>
        <w:t>Bulletin du dictionnaire wallon</w:t>
      </w:r>
      <w:r w:rsidRPr="003B3476">
        <w:rPr>
          <w:lang w:val="fr-FR" w:eastAsia="fr-FR" w:bidi="fr-FR"/>
        </w:rPr>
        <w:t xml:space="preserve">, </w:t>
      </w:r>
      <w:r w:rsidRPr="003B3476">
        <w:rPr>
          <w:bCs/>
        </w:rPr>
        <w:t>t. XVII, 1932) ont un i</w:t>
      </w:r>
      <w:r w:rsidRPr="003B3476">
        <w:rPr>
          <w:bCs/>
        </w:rPr>
        <w:t>n</w:t>
      </w:r>
      <w:r w:rsidRPr="003B3476">
        <w:rPr>
          <w:bCs/>
        </w:rPr>
        <w:t>térêt pur</w:t>
      </w:r>
      <w:r w:rsidRPr="003B3476">
        <w:rPr>
          <w:bCs/>
        </w:rPr>
        <w:t>e</w:t>
      </w:r>
      <w:r w:rsidRPr="003B3476">
        <w:rPr>
          <w:bCs/>
        </w:rPr>
        <w:t>ment linguistique.</w:t>
      </w:r>
    </w:p>
  </w:footnote>
  <w:footnote w:id="814">
    <w:p w14:paraId="35A88B3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Annales d'histoire économique et sociale</w:t>
      </w:r>
      <w:r w:rsidRPr="003B3476">
        <w:rPr>
          <w:lang w:val="fr-FR" w:eastAsia="fr-FR" w:bidi="fr-FR"/>
        </w:rPr>
        <w:t>, n° 36, t. VII, nov. 1935, p. 634-644.</w:t>
      </w:r>
    </w:p>
  </w:footnote>
  <w:footnote w:id="815">
    <w:p w14:paraId="1DF0F6B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A. </w:t>
      </w:r>
      <w:r w:rsidRPr="003B3476">
        <w:rPr>
          <w:rStyle w:val="Notedebasdepage365ptNonItaliquePetitesmajuscules"/>
          <w:b w:val="0"/>
          <w:i w:val="0"/>
          <w:iCs w:val="0"/>
          <w:sz w:val="24"/>
        </w:rPr>
        <w:t xml:space="preserve">Vierendeel, </w:t>
      </w:r>
      <w:r w:rsidRPr="003B3476">
        <w:rPr>
          <w:i/>
          <w:lang w:val="fr-FR" w:eastAsia="fr-FR" w:bidi="fr-FR"/>
        </w:rPr>
        <w:t>Esquisse d'une histoire de la technique</w:t>
      </w:r>
      <w:r w:rsidRPr="003B3476">
        <w:t>, Louvain, 1921, t. I, p. 44.</w:t>
      </w:r>
    </w:p>
  </w:footnote>
  <w:footnote w:id="816">
    <w:p w14:paraId="4034FC5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Un tableau général des acquisitions techniques qu’il tient pour médiévales a été donné par M. </w:t>
      </w:r>
      <w:r w:rsidRPr="003B3476">
        <w:rPr>
          <w:rStyle w:val="Notedebasdepage65ptPetitesmajuscules"/>
          <w:b w:val="0"/>
          <w:sz w:val="24"/>
        </w:rPr>
        <w:t xml:space="preserve">Lefebvre des Noëttes, </w:t>
      </w:r>
      <w:r w:rsidRPr="003B3476">
        <w:rPr>
          <w:lang w:val="fr-FR" w:eastAsia="fr-FR" w:bidi="fr-FR"/>
        </w:rPr>
        <w:t xml:space="preserve">dans le </w:t>
      </w:r>
      <w:r w:rsidRPr="003B3476">
        <w:rPr>
          <w:bCs/>
          <w:i/>
        </w:rPr>
        <w:t>Mercure de France</w:t>
      </w:r>
      <w:r w:rsidRPr="003B3476">
        <w:rPr>
          <w:lang w:val="fr-FR" w:eastAsia="fr-FR" w:bidi="fr-FR"/>
        </w:rPr>
        <w:t xml:space="preserve">, t. CCXXXV, 1932 : </w:t>
      </w:r>
      <w:r w:rsidRPr="003B3476">
        <w:rPr>
          <w:bCs/>
          <w:i/>
        </w:rPr>
        <w:t>La</w:t>
      </w:r>
      <w:r w:rsidRPr="003B3476">
        <w:rPr>
          <w:i/>
          <w:lang w:val="fr-FR" w:eastAsia="fr-FR" w:bidi="fr-FR"/>
        </w:rPr>
        <w:t xml:space="preserve"> « </w:t>
      </w:r>
      <w:r w:rsidRPr="003B3476">
        <w:rPr>
          <w:bCs/>
          <w:i/>
        </w:rPr>
        <w:t>nuit</w:t>
      </w:r>
      <w:r w:rsidRPr="003B3476">
        <w:rPr>
          <w:i/>
          <w:lang w:val="fr-FR" w:eastAsia="fr-FR" w:bidi="fr-FR"/>
        </w:rPr>
        <w:t xml:space="preserve"> » </w:t>
      </w:r>
      <w:r w:rsidRPr="003B3476">
        <w:rPr>
          <w:bCs/>
          <w:i/>
        </w:rPr>
        <w:t>du Moyen Âge et son inventaire</w:t>
      </w:r>
      <w:r w:rsidRPr="003B3476">
        <w:rPr>
          <w:bCs/>
        </w:rPr>
        <w:t>.</w:t>
      </w:r>
      <w:r w:rsidRPr="003B3476">
        <w:rPr>
          <w:lang w:val="fr-FR" w:eastAsia="fr-FR" w:bidi="fr-FR"/>
        </w:rPr>
        <w:t xml:space="preserve"> Son ouvrage fondamental a paru d’abord en 1924 ; il s’intitulait alors </w:t>
      </w:r>
      <w:r w:rsidRPr="003B3476">
        <w:rPr>
          <w:bCs/>
        </w:rPr>
        <w:t>La force animale à travers les âges</w:t>
      </w:r>
      <w:r w:rsidRPr="003B3476">
        <w:rPr>
          <w:lang w:val="fr-FR" w:eastAsia="fr-FR" w:bidi="fr-FR"/>
        </w:rPr>
        <w:t xml:space="preserve"> (</w:t>
      </w:r>
      <w:r w:rsidRPr="003B3476">
        <w:rPr>
          <w:i/>
          <w:lang w:val="fr-FR" w:eastAsia="fr-FR" w:bidi="fr-FR"/>
        </w:rPr>
        <w:t>cf.</w:t>
      </w:r>
      <w:r w:rsidRPr="003B3476">
        <w:rPr>
          <w:lang w:val="fr-FR" w:eastAsia="fr-FR" w:bidi="fr-FR"/>
        </w:rPr>
        <w:t xml:space="preserve"> un résumé des thèses essentielles par l’auteur lui-même dans </w:t>
      </w:r>
      <w:r w:rsidRPr="003B3476">
        <w:rPr>
          <w:bCs/>
        </w:rPr>
        <w:t>La Nature</w:t>
      </w:r>
      <w:r w:rsidRPr="003B3476">
        <w:rPr>
          <w:lang w:val="fr-FR" w:eastAsia="fr-FR" w:bidi="fr-FR"/>
        </w:rPr>
        <w:t xml:space="preserve">, 1927, t. I). Le livre a été réédité, en 1931, avec des additions considérables et sous un titre nouveau : </w:t>
      </w:r>
      <w:r w:rsidRPr="003B3476">
        <w:rPr>
          <w:bCs/>
        </w:rPr>
        <w:t>L'attelage et le cheval de selle à tr</w:t>
      </w:r>
      <w:r w:rsidRPr="003B3476">
        <w:rPr>
          <w:bCs/>
        </w:rPr>
        <w:t>a</w:t>
      </w:r>
      <w:r w:rsidRPr="003B3476">
        <w:rPr>
          <w:bCs/>
        </w:rPr>
        <w:t xml:space="preserve">vers les âges. </w:t>
      </w:r>
      <w:r w:rsidRPr="003B3476">
        <w:rPr>
          <w:bCs/>
          <w:i/>
        </w:rPr>
        <w:t>Contribution à l'histoire de l'esclavage</w:t>
      </w:r>
      <w:r w:rsidRPr="003B3476">
        <w:rPr>
          <w:lang w:val="fr-FR" w:eastAsia="fr-FR" w:bidi="fr-FR"/>
        </w:rPr>
        <w:t>, Paris, 1931,1 vol. de texte et 1 vol. de planches (</w:t>
      </w:r>
      <w:r w:rsidRPr="003B3476">
        <w:rPr>
          <w:i/>
          <w:lang w:val="fr-FR" w:eastAsia="fr-FR" w:bidi="fr-FR"/>
        </w:rPr>
        <w:t>cf.</w:t>
      </w:r>
      <w:r w:rsidRPr="003B3476">
        <w:rPr>
          <w:lang w:val="fr-FR" w:eastAsia="fr-FR" w:bidi="fr-FR"/>
        </w:rPr>
        <w:t xml:space="preserve"> mon compte rendu dans </w:t>
      </w:r>
      <w:r w:rsidRPr="003B3476">
        <w:rPr>
          <w:bCs/>
          <w:i/>
        </w:rPr>
        <w:t>Annales</w:t>
      </w:r>
      <w:r w:rsidRPr="003B3476">
        <w:rPr>
          <w:bCs/>
        </w:rPr>
        <w:t xml:space="preserve">, </w:t>
      </w:r>
      <w:r w:rsidRPr="003B3476">
        <w:rPr>
          <w:lang w:val="fr-FR" w:eastAsia="fr-FR" w:bidi="fr-FR"/>
        </w:rPr>
        <w:t>t. IV, 1932, p. 483). On y tro</w:t>
      </w:r>
      <w:r w:rsidRPr="003B3476">
        <w:rPr>
          <w:lang w:val="fr-FR" w:eastAsia="fr-FR" w:bidi="fr-FR"/>
        </w:rPr>
        <w:t>u</w:t>
      </w:r>
      <w:r w:rsidRPr="003B3476">
        <w:rPr>
          <w:lang w:val="fr-FR" w:eastAsia="fr-FR" w:bidi="fr-FR"/>
        </w:rPr>
        <w:t xml:space="preserve">vera notamment sur les voies romaines des vues très neuves, qui avaient déjà été exposées dans un article de la </w:t>
      </w:r>
      <w:r w:rsidRPr="003B3476">
        <w:rPr>
          <w:bCs/>
          <w:i/>
        </w:rPr>
        <w:t>Revue archéologique</w:t>
      </w:r>
      <w:r w:rsidRPr="003B3476">
        <w:rPr>
          <w:lang w:val="fr-FR" w:eastAsia="fr-FR" w:bidi="fr-FR"/>
        </w:rPr>
        <w:t xml:space="preserve">, 1925, t. II, p. 105. Nulle part, peut-être, mieux que dans cette brève étude routière, M. Lefebvre des Noëttes n’a donné la preuve de la saine horreur des poncifs qui est, pour nos études, un si fécond principe de renouvellement. En même temps, il s’attaquait au problème du gouvernail : </w:t>
      </w:r>
      <w:r w:rsidRPr="003B3476">
        <w:rPr>
          <w:bCs/>
        </w:rPr>
        <w:t>Le gouvernail : contribution à l'histo</w:t>
      </w:r>
      <w:r w:rsidRPr="003B3476">
        <w:rPr>
          <w:bCs/>
        </w:rPr>
        <w:t>i</w:t>
      </w:r>
      <w:r w:rsidRPr="003B3476">
        <w:rPr>
          <w:bCs/>
        </w:rPr>
        <w:t>re de l'esclavage</w:t>
      </w:r>
      <w:r w:rsidRPr="003B3476">
        <w:rPr>
          <w:lang w:val="fr-FR" w:eastAsia="fr-FR" w:bidi="fr-FR"/>
        </w:rPr>
        <w:t xml:space="preserve">, dans </w:t>
      </w:r>
      <w:r w:rsidRPr="003B3476">
        <w:rPr>
          <w:bCs/>
          <w:i/>
        </w:rPr>
        <w:t>Mémoires de la Société des Antiquaires de France</w:t>
      </w:r>
      <w:r w:rsidRPr="003B3476">
        <w:rPr>
          <w:lang w:val="fr-FR" w:eastAsia="fr-FR" w:bidi="fr-FR"/>
        </w:rPr>
        <w:t xml:space="preserve">, t. LXXVIII, 1932 ; </w:t>
      </w:r>
      <w:r w:rsidRPr="003B3476">
        <w:rPr>
          <w:bCs/>
        </w:rPr>
        <w:t xml:space="preserve">Autour du vaisseau de Boro-Boudour ; </w:t>
      </w:r>
      <w:r w:rsidRPr="003B3476">
        <w:rPr>
          <w:bCs/>
          <w:i/>
        </w:rPr>
        <w:t>l'invention du go</w:t>
      </w:r>
      <w:r w:rsidRPr="003B3476">
        <w:rPr>
          <w:bCs/>
          <w:i/>
        </w:rPr>
        <w:t>u</w:t>
      </w:r>
      <w:r w:rsidRPr="003B3476">
        <w:rPr>
          <w:bCs/>
          <w:i/>
        </w:rPr>
        <w:t>vernail (Contribution à l'histoire de l'esclavage)</w:t>
      </w:r>
      <w:r w:rsidRPr="003B3476">
        <w:rPr>
          <w:i/>
          <w:lang w:val="fr-FR" w:eastAsia="fr-FR" w:bidi="fr-FR"/>
        </w:rPr>
        <w:t>,</w:t>
      </w:r>
      <w:r w:rsidRPr="003B3476">
        <w:rPr>
          <w:lang w:val="fr-FR" w:eastAsia="fr-FR" w:bidi="fr-FR"/>
        </w:rPr>
        <w:t xml:space="preserve"> dans </w:t>
      </w:r>
      <w:r w:rsidRPr="003B3476">
        <w:rPr>
          <w:bCs/>
          <w:i/>
        </w:rPr>
        <w:t>La Nature</w:t>
      </w:r>
      <w:r w:rsidRPr="003B3476">
        <w:rPr>
          <w:lang w:val="fr-FR" w:eastAsia="fr-FR" w:bidi="fr-FR"/>
        </w:rPr>
        <w:t xml:space="preserve">, 1932, I; </w:t>
      </w:r>
      <w:r w:rsidRPr="003B3476">
        <w:rPr>
          <w:bCs/>
          <w:i/>
        </w:rPr>
        <w:t>De la marine antique à la marine moderne</w:t>
      </w:r>
      <w:r w:rsidRPr="003B3476">
        <w:rPr>
          <w:lang w:val="fr-FR" w:eastAsia="fr-FR" w:bidi="fr-FR"/>
        </w:rPr>
        <w:t>, Paris, 1935. On voudra bien perme</w:t>
      </w:r>
      <w:r w:rsidRPr="003B3476">
        <w:rPr>
          <w:lang w:val="fr-FR" w:eastAsia="fr-FR" w:bidi="fr-FR"/>
        </w:rPr>
        <w:t>t</w:t>
      </w:r>
      <w:r w:rsidRPr="003B3476">
        <w:rPr>
          <w:lang w:val="fr-FR" w:eastAsia="fr-FR" w:bidi="fr-FR"/>
        </w:rPr>
        <w:t>tre au terrien que je suis d’observer, vis-à-vis de ces délicates questions d’archéologie navale, un silence prudent. Toute une littérature de comptes rendus et de critiques s’est développée autour de ce que j’oserai a</w:t>
      </w:r>
      <w:r w:rsidRPr="003B3476">
        <w:rPr>
          <w:lang w:val="fr-FR" w:eastAsia="fr-FR" w:bidi="fr-FR"/>
        </w:rPr>
        <w:t>p</w:t>
      </w:r>
      <w:r w:rsidRPr="003B3476">
        <w:rPr>
          <w:lang w:val="fr-FR" w:eastAsia="fr-FR" w:bidi="fr-FR"/>
        </w:rPr>
        <w:t>peler le « problème Lefebvre des Noëttes ». Je me bornerai à citer l’article de M. R</w:t>
      </w:r>
      <w:r w:rsidRPr="003B3476">
        <w:rPr>
          <w:lang w:val="fr-FR" w:eastAsia="fr-FR" w:bidi="fr-FR"/>
        </w:rPr>
        <w:t>o</w:t>
      </w:r>
      <w:r w:rsidRPr="003B3476">
        <w:rPr>
          <w:lang w:val="fr-FR" w:eastAsia="fr-FR" w:bidi="fr-FR"/>
        </w:rPr>
        <w:t xml:space="preserve">ger </w:t>
      </w:r>
      <w:r w:rsidRPr="003B3476">
        <w:rPr>
          <w:rStyle w:val="Notedebasdepage65ptPetitesmajuscules"/>
          <w:b w:val="0"/>
          <w:sz w:val="24"/>
        </w:rPr>
        <w:t xml:space="preserve">Grand, </w:t>
      </w:r>
      <w:r w:rsidRPr="003B3476">
        <w:rPr>
          <w:bCs/>
          <w:i/>
        </w:rPr>
        <w:t>La force motrice animale à travers les âges et son influence sur l'év</w:t>
      </w:r>
      <w:r w:rsidRPr="003B3476">
        <w:rPr>
          <w:bCs/>
          <w:i/>
        </w:rPr>
        <w:t>o</w:t>
      </w:r>
      <w:r w:rsidRPr="003B3476">
        <w:rPr>
          <w:bCs/>
          <w:i/>
        </w:rPr>
        <w:t>lution sociale</w:t>
      </w:r>
      <w:r w:rsidRPr="003B3476">
        <w:rPr>
          <w:lang w:val="fr-FR" w:eastAsia="fr-FR" w:bidi="fr-FR"/>
        </w:rPr>
        <w:t xml:space="preserve">, dans </w:t>
      </w:r>
      <w:r w:rsidRPr="003B3476">
        <w:rPr>
          <w:bCs/>
          <w:i/>
        </w:rPr>
        <w:t>Bulletin de la Société Internationale de Science Sociale</w:t>
      </w:r>
      <w:r w:rsidRPr="003B3476">
        <w:rPr>
          <w:lang w:val="fr-FR" w:eastAsia="fr-FR" w:bidi="fr-FR"/>
        </w:rPr>
        <w:t xml:space="preserve">, 1926, et — parce que j’aurai à reprendre tout à l’heure quelques-unes des idées qui y sont indiquées — mes deux notes de la </w:t>
      </w:r>
      <w:r w:rsidRPr="003B3476">
        <w:rPr>
          <w:bCs/>
          <w:i/>
        </w:rPr>
        <w:t>Revue de synthèse hi</w:t>
      </w:r>
      <w:r w:rsidRPr="003B3476">
        <w:rPr>
          <w:bCs/>
          <w:i/>
        </w:rPr>
        <w:t>s</w:t>
      </w:r>
      <w:r w:rsidRPr="003B3476">
        <w:rPr>
          <w:bCs/>
          <w:i/>
        </w:rPr>
        <w:t>torique ! Technique et évolution sociale</w:t>
      </w:r>
      <w:r w:rsidRPr="003B3476">
        <w:rPr>
          <w:lang w:val="fr-FR" w:eastAsia="fr-FR" w:bidi="fr-FR"/>
        </w:rPr>
        <w:t xml:space="preserve">, t. XLI, 1926 et </w:t>
      </w:r>
      <w:r w:rsidRPr="003B3476">
        <w:rPr>
          <w:bCs/>
          <w:i/>
        </w:rPr>
        <w:t>La force motrice an</w:t>
      </w:r>
      <w:r w:rsidRPr="003B3476">
        <w:rPr>
          <w:bCs/>
          <w:i/>
        </w:rPr>
        <w:t>i</w:t>
      </w:r>
      <w:r w:rsidRPr="003B3476">
        <w:rPr>
          <w:bCs/>
          <w:i/>
        </w:rPr>
        <w:t>male et le rôle des inventions techniques</w:t>
      </w:r>
      <w:r w:rsidRPr="003B3476">
        <w:rPr>
          <w:lang w:val="fr-FR" w:eastAsia="fr-FR" w:bidi="fr-FR"/>
        </w:rPr>
        <w:t>, t. XLIII, 1927 (avec une lettre de M. L</w:t>
      </w:r>
      <w:r w:rsidRPr="003B3476">
        <w:rPr>
          <w:lang w:val="fr-FR" w:eastAsia="fr-FR" w:bidi="fr-FR"/>
        </w:rPr>
        <w:t>e</w:t>
      </w:r>
      <w:r w:rsidRPr="003B3476">
        <w:rPr>
          <w:lang w:val="fr-FR" w:eastAsia="fr-FR" w:bidi="fr-FR"/>
        </w:rPr>
        <w:t>febvre des Noëttes). Il ne semble pas, en revanche, qu’à l’étranger on ait gén</w:t>
      </w:r>
      <w:r w:rsidRPr="003B3476">
        <w:rPr>
          <w:lang w:val="fr-FR" w:eastAsia="fr-FR" w:bidi="fr-FR"/>
        </w:rPr>
        <w:t>é</w:t>
      </w:r>
      <w:r w:rsidRPr="003B3476">
        <w:rPr>
          <w:lang w:val="fr-FR" w:eastAsia="fr-FR" w:bidi="fr-FR"/>
        </w:rPr>
        <w:t>ralement accordé aux études de M. Lefebvre des Noëttes toute l’attention qu’elles méritent.</w:t>
      </w:r>
    </w:p>
  </w:footnote>
  <w:footnote w:id="817">
    <w:p w14:paraId="4BC111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Pour les histoires générales de la technique, voir plus haut, p. 820, l’« orientation bibliographique », en appendice à l’article de M. Bloch sur le moulin à eau.</w:t>
      </w:r>
    </w:p>
  </w:footnote>
  <w:footnote w:id="818">
    <w:p w14:paraId="48C5BC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Annales monastici</w:t>
      </w:r>
      <w:r w:rsidRPr="003B3476">
        <w:t xml:space="preserve">, </w:t>
      </w:r>
      <w:r w:rsidRPr="003B3476">
        <w:rPr>
          <w:rStyle w:val="Notedebasdepage37ptNonItalique"/>
          <w:b w:val="0"/>
          <w:i w:val="0"/>
          <w:iCs w:val="0"/>
          <w:sz w:val="24"/>
        </w:rPr>
        <w:t xml:space="preserve">éd. </w:t>
      </w:r>
      <w:r w:rsidRPr="003B3476">
        <w:rPr>
          <w:rStyle w:val="Notedebasdepage37ptNonItaliquePetitesmajuscules"/>
          <w:b w:val="0"/>
          <w:i w:val="0"/>
          <w:iCs w:val="0"/>
          <w:sz w:val="24"/>
        </w:rPr>
        <w:t xml:space="preserve">Luard, </w:t>
      </w:r>
      <w:r w:rsidRPr="003B3476">
        <w:rPr>
          <w:i/>
          <w:lang w:val="fr-FR" w:eastAsia="fr-FR" w:bidi="fr-FR"/>
        </w:rPr>
        <w:t>Rolls Séries</w:t>
      </w:r>
      <w:r w:rsidRPr="003B3476">
        <w:t xml:space="preserve">, t. III, </w:t>
      </w:r>
      <w:r w:rsidRPr="003B3476">
        <w:rPr>
          <w:rStyle w:val="Notedebasdepage37ptNonItalique"/>
          <w:b w:val="0"/>
          <w:i w:val="0"/>
          <w:iCs w:val="0"/>
          <w:sz w:val="24"/>
        </w:rPr>
        <w:t>p. 402.</w:t>
      </w:r>
    </w:p>
  </w:footnote>
  <w:footnote w:id="819">
    <w:p w14:paraId="64D91A9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Percy E. </w:t>
      </w:r>
      <w:r w:rsidRPr="003B3476">
        <w:rPr>
          <w:rStyle w:val="Notedebasdepage365ptNonItalique"/>
          <w:b w:val="0"/>
          <w:i w:val="0"/>
          <w:iCs w:val="0"/>
          <w:smallCaps/>
          <w:sz w:val="24"/>
        </w:rPr>
        <w:t>Schramm</w:t>
      </w:r>
      <w:r w:rsidRPr="003B3476">
        <w:rPr>
          <w:rStyle w:val="Notedebasdepage365ptNonItalique"/>
          <w:b w:val="0"/>
          <w:i w:val="0"/>
          <w:iCs w:val="0"/>
          <w:sz w:val="24"/>
        </w:rPr>
        <w:t xml:space="preserve">, </w:t>
      </w:r>
      <w:r w:rsidRPr="003B3476">
        <w:rPr>
          <w:i/>
          <w:lang w:val="fr-FR" w:eastAsia="fr-FR" w:bidi="fr-FR"/>
        </w:rPr>
        <w:t>Die deutschen Kaiser und Könige in Bildern ihrer Zeit</w:t>
      </w:r>
      <w:r w:rsidRPr="003B3476">
        <w:rPr>
          <w:bCs/>
        </w:rPr>
        <w:t xml:space="preserve">, </w:t>
      </w:r>
      <w:r w:rsidRPr="003B3476">
        <w:rPr>
          <w:rStyle w:val="Notedebasdepage365ptNonItalique"/>
          <w:b w:val="0"/>
          <w:i w:val="0"/>
          <w:iCs w:val="0"/>
          <w:sz w:val="24"/>
        </w:rPr>
        <w:t>t. </w:t>
      </w:r>
      <w:r w:rsidRPr="003B3476">
        <w:rPr>
          <w:rStyle w:val="Notedebasdepage37ptNonItalique"/>
          <w:b w:val="0"/>
          <w:i w:val="0"/>
          <w:iCs w:val="0"/>
          <w:sz w:val="24"/>
        </w:rPr>
        <w:t xml:space="preserve">I, 1928, </w:t>
      </w:r>
      <w:r w:rsidRPr="003B3476">
        <w:rPr>
          <w:rStyle w:val="Notedebasdepage365ptNonItalique"/>
          <w:b w:val="0"/>
          <w:i w:val="0"/>
          <w:iCs w:val="0"/>
          <w:sz w:val="24"/>
        </w:rPr>
        <w:t xml:space="preserve">p. </w:t>
      </w:r>
      <w:r w:rsidRPr="003B3476">
        <w:rPr>
          <w:bCs/>
        </w:rPr>
        <w:t>5.</w:t>
      </w:r>
    </w:p>
  </w:footnote>
  <w:footnote w:id="820">
    <w:p w14:paraId="77DE4A5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la note de M. Louis </w:t>
      </w:r>
      <w:r w:rsidRPr="003B3476">
        <w:rPr>
          <w:rStyle w:val="Notedebasdepage65ptPetitesmajuscules"/>
          <w:b w:val="0"/>
          <w:sz w:val="24"/>
        </w:rPr>
        <w:t xml:space="preserve">Lacrocq, </w:t>
      </w:r>
      <w:r w:rsidRPr="003B3476">
        <w:rPr>
          <w:bCs/>
          <w:i/>
        </w:rPr>
        <w:t>Annales d’Hist. Ec. et Soc</w:t>
      </w:r>
      <w:r w:rsidRPr="003B3476">
        <w:rPr>
          <w:bCs/>
        </w:rPr>
        <w:t>.,</w:t>
      </w:r>
      <w:r w:rsidRPr="003B3476">
        <w:rPr>
          <w:lang w:val="fr-FR" w:eastAsia="fr-FR" w:bidi="fr-FR"/>
        </w:rPr>
        <w:t xml:space="preserve"> n° 36, t. VII, p. 644-646.</w:t>
      </w:r>
    </w:p>
  </w:footnote>
  <w:footnote w:id="821">
    <w:p w14:paraId="25D758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Annales</w:t>
      </w:r>
      <w:r w:rsidRPr="003B3476">
        <w:rPr>
          <w:lang w:val="fr-FR" w:eastAsia="fr-FR" w:bidi="fr-FR"/>
        </w:rPr>
        <w:t>, t. VI, 1934, p. 479.</w:t>
      </w:r>
    </w:p>
  </w:footnote>
  <w:footnote w:id="822">
    <w:p w14:paraId="5171D9F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l’étrier, outre le livre de </w:t>
      </w:r>
      <w:r w:rsidRPr="003B3476">
        <w:rPr>
          <w:bCs/>
        </w:rPr>
        <w:t xml:space="preserve">M. </w:t>
      </w:r>
      <w:r w:rsidRPr="003B3476">
        <w:rPr>
          <w:lang w:val="fr-FR" w:eastAsia="fr-FR" w:bidi="fr-FR"/>
        </w:rPr>
        <w:t xml:space="preserve">Lefebvre des Noëttes, voir E. H. </w:t>
      </w:r>
      <w:r w:rsidRPr="003B3476">
        <w:rPr>
          <w:rStyle w:val="Notedebasdepage65ptPetitesmajuscules"/>
          <w:b w:val="0"/>
          <w:sz w:val="24"/>
        </w:rPr>
        <w:t xml:space="preserve">Minns, </w:t>
      </w:r>
      <w:r w:rsidRPr="003B3476">
        <w:rPr>
          <w:bCs/>
          <w:i/>
        </w:rPr>
        <w:t>Sc</w:t>
      </w:r>
      <w:r w:rsidRPr="003B3476">
        <w:rPr>
          <w:bCs/>
          <w:i/>
        </w:rPr>
        <w:t>y</w:t>
      </w:r>
      <w:r w:rsidRPr="003B3476">
        <w:rPr>
          <w:bCs/>
          <w:i/>
        </w:rPr>
        <w:t>thians and Greeks</w:t>
      </w:r>
      <w:r w:rsidRPr="003B3476">
        <w:rPr>
          <w:lang w:val="fr-FR" w:eastAsia="fr-FR" w:bidi="fr-FR"/>
        </w:rPr>
        <w:t xml:space="preserve">, </w:t>
      </w:r>
      <w:r w:rsidRPr="003B3476">
        <w:rPr>
          <w:bCs/>
        </w:rPr>
        <w:t xml:space="preserve">1913, </w:t>
      </w:r>
      <w:r w:rsidRPr="003B3476">
        <w:rPr>
          <w:lang w:val="fr-FR" w:eastAsia="fr-FR" w:bidi="fr-FR"/>
        </w:rPr>
        <w:t xml:space="preserve">p. </w:t>
      </w:r>
      <w:r w:rsidRPr="003B3476">
        <w:rPr>
          <w:bCs/>
        </w:rPr>
        <w:t xml:space="preserve">250 </w:t>
      </w:r>
      <w:r w:rsidRPr="003B3476">
        <w:rPr>
          <w:lang w:val="fr-FR" w:eastAsia="fr-FR" w:bidi="fr-FR"/>
        </w:rPr>
        <w:t xml:space="preserve">et </w:t>
      </w:r>
      <w:r w:rsidRPr="003B3476">
        <w:rPr>
          <w:bCs/>
        </w:rPr>
        <w:t xml:space="preserve">277 </w:t>
      </w:r>
      <w:r w:rsidRPr="003B3476">
        <w:rPr>
          <w:lang w:val="fr-FR" w:eastAsia="fr-FR" w:bidi="fr-FR"/>
        </w:rPr>
        <w:t>(</w:t>
      </w:r>
      <w:r w:rsidRPr="003B3476">
        <w:rPr>
          <w:i/>
          <w:lang w:val="fr-FR" w:eastAsia="fr-FR" w:bidi="fr-FR"/>
        </w:rPr>
        <w:t>cf.</w:t>
      </w:r>
      <w:r w:rsidRPr="003B3476">
        <w:rPr>
          <w:lang w:val="fr-FR" w:eastAsia="fr-FR" w:bidi="fr-FR"/>
        </w:rPr>
        <w:t xml:space="preserve"> </w:t>
      </w:r>
      <w:r w:rsidRPr="003B3476">
        <w:rPr>
          <w:bCs/>
        </w:rPr>
        <w:t xml:space="preserve">p. 75), </w:t>
      </w:r>
      <w:r w:rsidRPr="003B3476">
        <w:rPr>
          <w:lang w:val="fr-FR" w:eastAsia="fr-FR" w:bidi="fr-FR"/>
        </w:rPr>
        <w:t xml:space="preserve">et surtout </w:t>
      </w:r>
      <w:r w:rsidRPr="003B3476">
        <w:rPr>
          <w:rStyle w:val="Notedebasdepage65ptPetitesmajuscules"/>
          <w:b w:val="0"/>
          <w:sz w:val="24"/>
        </w:rPr>
        <w:t xml:space="preserve">M. Rostovtzeff, </w:t>
      </w:r>
      <w:r w:rsidRPr="003B3476">
        <w:rPr>
          <w:bCs/>
          <w:i/>
        </w:rPr>
        <w:t>Iranians and Greeks in South Russia</w:t>
      </w:r>
      <w:r w:rsidRPr="003B3476">
        <w:rPr>
          <w:lang w:val="fr-FR" w:eastAsia="fr-FR" w:bidi="fr-FR"/>
        </w:rPr>
        <w:t xml:space="preserve">, </w:t>
      </w:r>
      <w:r w:rsidRPr="003B3476">
        <w:rPr>
          <w:bCs/>
        </w:rPr>
        <w:t xml:space="preserve">1922, </w:t>
      </w:r>
      <w:r w:rsidRPr="003B3476">
        <w:rPr>
          <w:lang w:val="fr-FR" w:eastAsia="fr-FR" w:bidi="fr-FR"/>
        </w:rPr>
        <w:t xml:space="preserve">p. </w:t>
      </w:r>
      <w:r w:rsidRPr="003B3476">
        <w:rPr>
          <w:bCs/>
        </w:rPr>
        <w:t xml:space="preserve">121 </w:t>
      </w:r>
      <w:r w:rsidRPr="003B3476">
        <w:rPr>
          <w:lang w:val="fr-FR" w:eastAsia="fr-FR" w:bidi="fr-FR"/>
        </w:rPr>
        <w:t xml:space="preserve">et </w:t>
      </w:r>
      <w:r w:rsidRPr="003B3476">
        <w:rPr>
          <w:bCs/>
        </w:rPr>
        <w:t xml:space="preserve">130. </w:t>
      </w:r>
      <w:r w:rsidRPr="003B3476">
        <w:rPr>
          <w:lang w:val="fr-FR" w:eastAsia="fr-FR" w:bidi="fr-FR"/>
        </w:rPr>
        <w:t xml:space="preserve">Prédécesseurs des Sarmates, les Scythes l’avaient ignoré. </w:t>
      </w:r>
      <w:r w:rsidRPr="003B3476">
        <w:rPr>
          <w:bCs/>
          <w:i/>
        </w:rPr>
        <w:t>Cf.</w:t>
      </w:r>
      <w:r w:rsidRPr="003B3476">
        <w:rPr>
          <w:lang w:val="fr-FR" w:eastAsia="fr-FR" w:bidi="fr-FR"/>
        </w:rPr>
        <w:t xml:space="preserve"> aussi les intelligentes suggestions de E. </w:t>
      </w:r>
      <w:r w:rsidRPr="003B3476">
        <w:rPr>
          <w:rStyle w:val="Notedebasdepage65ptPetitesmajuscules"/>
          <w:b w:val="0"/>
          <w:sz w:val="24"/>
        </w:rPr>
        <w:t xml:space="preserve">Gautier, </w:t>
      </w:r>
      <w:r w:rsidRPr="003B3476">
        <w:rPr>
          <w:bCs/>
          <w:i/>
        </w:rPr>
        <w:t>Genséric</w:t>
      </w:r>
      <w:r w:rsidRPr="003B3476">
        <w:rPr>
          <w:i/>
          <w:lang w:val="fr-FR" w:eastAsia="fr-FR" w:bidi="fr-FR"/>
        </w:rPr>
        <w:t xml:space="preserve">, </w:t>
      </w:r>
      <w:r w:rsidRPr="003B3476">
        <w:rPr>
          <w:bCs/>
          <w:i/>
        </w:rPr>
        <w:t>roi des Vandales</w:t>
      </w:r>
      <w:r w:rsidRPr="003B3476">
        <w:rPr>
          <w:lang w:val="fr-FR" w:eastAsia="fr-FR" w:bidi="fr-FR"/>
        </w:rPr>
        <w:t xml:space="preserve">, </w:t>
      </w:r>
      <w:r w:rsidRPr="003B3476">
        <w:rPr>
          <w:bCs/>
        </w:rPr>
        <w:t xml:space="preserve">p. 80. </w:t>
      </w:r>
      <w:r w:rsidRPr="003B3476">
        <w:rPr>
          <w:lang w:val="fr-FR" w:eastAsia="fr-FR" w:bidi="fr-FR"/>
        </w:rPr>
        <w:t>Sur l’Espagne, utiles ind</w:t>
      </w:r>
      <w:r w:rsidRPr="003B3476">
        <w:rPr>
          <w:lang w:val="fr-FR" w:eastAsia="fr-FR" w:bidi="fr-FR"/>
        </w:rPr>
        <w:t>i</w:t>
      </w:r>
      <w:r w:rsidRPr="003B3476">
        <w:rPr>
          <w:lang w:val="fr-FR" w:eastAsia="fr-FR" w:bidi="fr-FR"/>
        </w:rPr>
        <w:t xml:space="preserve">cations, dans Cl. </w:t>
      </w:r>
      <w:r w:rsidRPr="003B3476">
        <w:rPr>
          <w:rStyle w:val="Notedebasdepage65ptPetitesmajuscules"/>
          <w:b w:val="0"/>
          <w:sz w:val="24"/>
        </w:rPr>
        <w:t xml:space="preserve">Sànchez-Albornoz, </w:t>
      </w:r>
      <w:r w:rsidRPr="003B3476">
        <w:rPr>
          <w:bCs/>
          <w:i/>
        </w:rPr>
        <w:t>Estampas de la vida en Leόn hace mil anos</w:t>
      </w:r>
      <w:r w:rsidRPr="003B3476">
        <w:rPr>
          <w:bCs/>
        </w:rPr>
        <w:t>,</w:t>
      </w:r>
      <w:r w:rsidRPr="003B3476">
        <w:rPr>
          <w:lang w:val="fr-FR" w:eastAsia="fr-FR" w:bidi="fr-FR"/>
        </w:rPr>
        <w:t xml:space="preserve"> </w:t>
      </w:r>
      <w:r w:rsidRPr="003B3476">
        <w:rPr>
          <w:bCs/>
        </w:rPr>
        <w:t>2</w:t>
      </w:r>
      <w:r w:rsidRPr="003B3476">
        <w:rPr>
          <w:bCs/>
          <w:vertAlign w:val="superscript"/>
        </w:rPr>
        <w:t>e</w:t>
      </w:r>
      <w:r w:rsidRPr="003B3476">
        <w:rPr>
          <w:bCs/>
        </w:rPr>
        <w:t xml:space="preserve"> </w:t>
      </w:r>
      <w:r w:rsidRPr="003B3476">
        <w:rPr>
          <w:lang w:val="fr-FR" w:eastAsia="fr-FR" w:bidi="fr-FR"/>
        </w:rPr>
        <w:t xml:space="preserve">éd., </w:t>
      </w:r>
      <w:r w:rsidRPr="003B3476">
        <w:rPr>
          <w:bCs/>
        </w:rPr>
        <w:t xml:space="preserve">1934, </w:t>
      </w:r>
      <w:r w:rsidRPr="003B3476">
        <w:rPr>
          <w:lang w:val="fr-FR" w:eastAsia="fr-FR" w:bidi="fr-FR"/>
        </w:rPr>
        <w:t xml:space="preserve">p. </w:t>
      </w:r>
      <w:r w:rsidRPr="003B3476">
        <w:rPr>
          <w:bCs/>
        </w:rPr>
        <w:t xml:space="preserve">134, </w:t>
      </w:r>
      <w:r w:rsidRPr="003B3476">
        <w:rPr>
          <w:lang w:val="fr-FR" w:eastAsia="fr-FR" w:bidi="fr-FR"/>
        </w:rPr>
        <w:t xml:space="preserve">n. </w:t>
      </w:r>
      <w:r w:rsidRPr="003B3476">
        <w:rPr>
          <w:bCs/>
        </w:rPr>
        <w:t>18.</w:t>
      </w:r>
    </w:p>
  </w:footnote>
  <w:footnote w:id="823">
    <w:p w14:paraId="17C3888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Anciennes modes orientales à la fin du Moyen Âge</w:t>
      </w:r>
      <w:r w:rsidRPr="003B3476">
        <w:rPr>
          <w:lang w:val="fr-FR" w:eastAsia="fr-FR" w:bidi="fr-FR"/>
        </w:rPr>
        <w:t xml:space="preserve">, dans </w:t>
      </w:r>
      <w:r w:rsidRPr="003B3476">
        <w:rPr>
          <w:bCs/>
          <w:i/>
        </w:rPr>
        <w:t>Seminarium Kond</w:t>
      </w:r>
      <w:r w:rsidRPr="003B3476">
        <w:rPr>
          <w:bCs/>
          <w:i/>
        </w:rPr>
        <w:t>a</w:t>
      </w:r>
      <w:r w:rsidRPr="003B3476">
        <w:rPr>
          <w:bCs/>
          <w:i/>
        </w:rPr>
        <w:t>kovianum</w:t>
      </w:r>
      <w:r w:rsidRPr="003B3476">
        <w:rPr>
          <w:lang w:val="fr-FR" w:eastAsia="fr-FR" w:bidi="fr-FR"/>
        </w:rPr>
        <w:t>, Prague, t. VII, 1935, p. 165-168. Ce petit article abonde en indic</w:t>
      </w:r>
      <w:r w:rsidRPr="003B3476">
        <w:rPr>
          <w:lang w:val="fr-FR" w:eastAsia="fr-FR" w:bidi="fr-FR"/>
        </w:rPr>
        <w:t>a</w:t>
      </w:r>
      <w:r w:rsidRPr="003B3476">
        <w:rPr>
          <w:lang w:val="fr-FR" w:eastAsia="fr-FR" w:bidi="fr-FR"/>
        </w:rPr>
        <w:t>tions ingénieuses et suggestives.</w:t>
      </w:r>
    </w:p>
  </w:footnote>
  <w:footnote w:id="824">
    <w:p w14:paraId="4359C5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Exactement à Spire, en 1298 (</w:t>
      </w:r>
      <w:r w:rsidRPr="003B3476">
        <w:rPr>
          <w:bCs/>
          <w:i/>
        </w:rPr>
        <w:t>Zeitschrift für die Geschichte des Oberrheins</w:t>
      </w:r>
      <w:r w:rsidRPr="003B3476">
        <w:rPr>
          <w:lang w:val="fr-FR" w:eastAsia="fr-FR" w:bidi="fr-FR"/>
        </w:rPr>
        <w:t>, t. XV, 1863. p. 281).</w:t>
      </w:r>
    </w:p>
  </w:footnote>
  <w:footnote w:id="825">
    <w:p w14:paraId="65F17E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O. von </w:t>
      </w:r>
      <w:r w:rsidRPr="003B3476">
        <w:rPr>
          <w:rStyle w:val="Notedebasdepage65ptPetitesmajuscules"/>
          <w:b w:val="0"/>
          <w:sz w:val="24"/>
        </w:rPr>
        <w:t xml:space="preserve">Lippmann, </w:t>
      </w:r>
      <w:r w:rsidRPr="003B3476">
        <w:rPr>
          <w:bCs/>
          <w:i/>
        </w:rPr>
        <w:t>Geschichte der Magnetnadel</w:t>
      </w:r>
      <w:r w:rsidRPr="003B3476">
        <w:rPr>
          <w:lang w:val="fr-FR" w:eastAsia="fr-FR" w:bidi="fr-FR"/>
        </w:rPr>
        <w:t xml:space="preserve">, 1922, dans </w:t>
      </w:r>
      <w:r w:rsidRPr="003B3476">
        <w:rPr>
          <w:bCs/>
          <w:i/>
        </w:rPr>
        <w:t>Quellen und Studien zur Geschichte der Naturwissenschaften</w:t>
      </w:r>
      <w:r w:rsidRPr="003B3476">
        <w:rPr>
          <w:bCs/>
        </w:rPr>
        <w:t>,</w:t>
      </w:r>
      <w:r w:rsidRPr="003B3476">
        <w:rPr>
          <w:lang w:val="fr-FR" w:eastAsia="fr-FR" w:bidi="fr-FR"/>
        </w:rPr>
        <w:t xml:space="preserve"> t. III, I. La partie critique se</w:t>
      </w:r>
      <w:r w:rsidRPr="003B3476">
        <w:rPr>
          <w:lang w:val="fr-FR" w:eastAsia="fr-FR" w:bidi="fr-FR"/>
        </w:rPr>
        <w:t>m</w:t>
      </w:r>
      <w:r w:rsidRPr="003B3476">
        <w:rPr>
          <w:lang w:val="fr-FR" w:eastAsia="fr-FR" w:bidi="fr-FR"/>
        </w:rPr>
        <w:t>ble convaincante. Il ne paraît point, par contre, que l’auteur ait réussi à apporter la preuve de l’origine Scandinave qu’il attribue à l’invention. Au d</w:t>
      </w:r>
      <w:r w:rsidRPr="003B3476">
        <w:rPr>
          <w:lang w:val="fr-FR" w:eastAsia="fr-FR" w:bidi="fr-FR"/>
        </w:rPr>
        <w:t>é</w:t>
      </w:r>
      <w:r w:rsidRPr="003B3476">
        <w:rPr>
          <w:lang w:val="fr-FR" w:eastAsia="fr-FR" w:bidi="fr-FR"/>
        </w:rPr>
        <w:t xml:space="preserve">but du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 Hauk Erlendsson, reproduisant les vieux récits de la prise de po</w:t>
      </w:r>
      <w:r w:rsidRPr="003B3476">
        <w:rPr>
          <w:lang w:val="fr-FR" w:eastAsia="fr-FR" w:bidi="fr-FR"/>
        </w:rPr>
        <w:t>s</w:t>
      </w:r>
      <w:r w:rsidRPr="003B3476">
        <w:rPr>
          <w:lang w:val="fr-FR" w:eastAsia="fr-FR" w:bidi="fr-FR"/>
        </w:rPr>
        <w:t xml:space="preserve">session de l’Islande par les Norvégiens </w:t>
      </w:r>
      <w:r w:rsidRPr="003B3476">
        <w:rPr>
          <w:bCs/>
        </w:rPr>
        <w:t>(</w:t>
      </w:r>
      <w:r w:rsidRPr="003B3476">
        <w:rPr>
          <w:bCs/>
          <w:i/>
        </w:rPr>
        <w:t>Landndmabók</w:t>
      </w:r>
      <w:r w:rsidRPr="003B3476">
        <w:rPr>
          <w:bCs/>
        </w:rPr>
        <w:t>)</w:t>
      </w:r>
      <w:r w:rsidRPr="003B3476">
        <w:rPr>
          <w:lang w:val="fr-FR" w:eastAsia="fr-FR" w:bidi="fr-FR"/>
        </w:rPr>
        <w:t>, observait qu’alors « les marins du Nord n’avaient point l’aiguille aimantée » (</w:t>
      </w:r>
      <w:r w:rsidRPr="003B3476">
        <w:rPr>
          <w:i/>
          <w:lang w:val="fr-FR" w:eastAsia="fr-FR" w:bidi="fr-FR"/>
        </w:rPr>
        <w:t>cf.</w:t>
      </w:r>
      <w:r w:rsidRPr="003B3476">
        <w:rPr>
          <w:lang w:val="fr-FR" w:eastAsia="fr-FR" w:bidi="fr-FR"/>
        </w:rPr>
        <w:t xml:space="preserve"> E. M. </w:t>
      </w:r>
      <w:r w:rsidRPr="003B3476">
        <w:rPr>
          <w:rStyle w:val="Notedebasdepage65ptPetitesmajuscules"/>
          <w:b w:val="0"/>
          <w:sz w:val="24"/>
        </w:rPr>
        <w:t xml:space="preserve">Carus Wilson, </w:t>
      </w:r>
      <w:r w:rsidRPr="003B3476">
        <w:rPr>
          <w:bCs/>
          <w:i/>
        </w:rPr>
        <w:t>The Iceland Trade</w:t>
      </w:r>
      <w:r w:rsidRPr="003B3476">
        <w:rPr>
          <w:lang w:val="fr-FR" w:eastAsia="fr-FR" w:bidi="fr-FR"/>
        </w:rPr>
        <w:t xml:space="preserve">, dans E. </w:t>
      </w:r>
      <w:r w:rsidRPr="003B3476">
        <w:rPr>
          <w:rStyle w:val="Notedebasdepage65ptPetitesmajuscules"/>
          <w:b w:val="0"/>
          <w:sz w:val="24"/>
        </w:rPr>
        <w:t xml:space="preserve">Power </w:t>
      </w:r>
      <w:r w:rsidRPr="003B3476">
        <w:rPr>
          <w:lang w:val="fr-FR" w:eastAsia="fr-FR" w:bidi="fr-FR"/>
        </w:rPr>
        <w:t xml:space="preserve">et M. M. </w:t>
      </w:r>
      <w:r w:rsidRPr="003B3476">
        <w:rPr>
          <w:rStyle w:val="Notedebasdepage65ptPetitesmajuscules"/>
          <w:b w:val="0"/>
          <w:sz w:val="24"/>
        </w:rPr>
        <w:t xml:space="preserve">Postan, </w:t>
      </w:r>
      <w:r w:rsidRPr="003B3476">
        <w:rPr>
          <w:bCs/>
          <w:i/>
        </w:rPr>
        <w:t>Studies in english trade in the fifteenth century</w:t>
      </w:r>
      <w:r w:rsidRPr="003B3476">
        <w:rPr>
          <w:bCs/>
        </w:rPr>
        <w:t>,</w:t>
      </w:r>
      <w:r w:rsidRPr="003B3476">
        <w:rPr>
          <w:lang w:val="fr-FR" w:eastAsia="fr-FR" w:bidi="fr-FR"/>
        </w:rPr>
        <w:t xml:space="preserve"> 1933, p. 160). Puis-je faire observer à ce propos combien il est désirable que, dans toute étude sur la technique du navire et ses possibilités, une suffisante attention soit accordée aux extraord</w:t>
      </w:r>
      <w:r w:rsidRPr="003B3476">
        <w:rPr>
          <w:lang w:val="fr-FR" w:eastAsia="fr-FR" w:bidi="fr-FR"/>
        </w:rPr>
        <w:t>i</w:t>
      </w:r>
      <w:r w:rsidRPr="003B3476">
        <w:rPr>
          <w:lang w:val="fr-FR" w:eastAsia="fr-FR" w:bidi="fr-FR"/>
        </w:rPr>
        <w:t>naires exploits océan</w:t>
      </w:r>
      <w:r w:rsidRPr="003B3476">
        <w:rPr>
          <w:lang w:val="fr-FR" w:eastAsia="fr-FR" w:bidi="fr-FR"/>
        </w:rPr>
        <w:t>i</w:t>
      </w:r>
      <w:r w:rsidRPr="003B3476">
        <w:rPr>
          <w:lang w:val="fr-FR" w:eastAsia="fr-FR" w:bidi="fr-FR"/>
        </w:rPr>
        <w:t>ques des Vikings ? « On s’est avisé depuis peu que la grande navigation date du XIII</w:t>
      </w:r>
      <w:r w:rsidRPr="003B3476">
        <w:rPr>
          <w:vertAlign w:val="superscript"/>
          <w:lang w:val="fr-FR" w:eastAsia="fr-FR" w:bidi="fr-FR"/>
        </w:rPr>
        <w:t>e</w:t>
      </w:r>
      <w:r w:rsidRPr="003B3476">
        <w:rPr>
          <w:lang w:val="fr-FR" w:eastAsia="fr-FR" w:bidi="fr-FR"/>
        </w:rPr>
        <w:t xml:space="preserve"> siècle », écrivait M. Paul Valéry dans </w:t>
      </w:r>
      <w:r w:rsidRPr="003B3476">
        <w:rPr>
          <w:bCs/>
          <w:i/>
        </w:rPr>
        <w:t>L’idée fixe</w:t>
      </w:r>
      <w:r w:rsidRPr="003B3476">
        <w:rPr>
          <w:lang w:val="fr-FR" w:eastAsia="fr-FR" w:bidi="fr-FR"/>
        </w:rPr>
        <w:t>, (p. 38). Heureus</w:t>
      </w:r>
      <w:r w:rsidRPr="003B3476">
        <w:rPr>
          <w:lang w:val="fr-FR" w:eastAsia="fr-FR" w:bidi="fr-FR"/>
        </w:rPr>
        <w:t>e</w:t>
      </w:r>
      <w:r w:rsidRPr="003B3476">
        <w:rPr>
          <w:lang w:val="fr-FR" w:eastAsia="fr-FR" w:bidi="fr-FR"/>
        </w:rPr>
        <w:t>ment non. Car ce serait s’aviser d’une erreur.</w:t>
      </w:r>
    </w:p>
  </w:footnote>
  <w:footnote w:id="826">
    <w:p w14:paraId="7C9C06B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Annales d</w:t>
      </w:r>
      <w:r w:rsidRPr="003B3476">
        <w:rPr>
          <w:lang w:val="fr-FR" w:eastAsia="fr-FR" w:bidi="fr-FR"/>
        </w:rPr>
        <w:t>’</w:t>
      </w:r>
      <w:r w:rsidRPr="003B3476">
        <w:rPr>
          <w:i/>
          <w:lang w:val="fr-FR" w:eastAsia="fr-FR" w:bidi="fr-FR"/>
        </w:rPr>
        <w:t>Histoire économique et sociale</w:t>
      </w:r>
      <w:r w:rsidRPr="003B3476">
        <w:rPr>
          <w:lang w:val="fr-FR" w:eastAsia="fr-FR" w:bidi="fr-FR"/>
        </w:rPr>
        <w:t>,</w:t>
      </w:r>
      <w:r w:rsidRPr="003B3476">
        <w:rPr>
          <w:bCs/>
        </w:rPr>
        <w:t xml:space="preserve"> nov. 1935, t. VII, p. 628-633. </w:t>
      </w:r>
      <w:r w:rsidRPr="003B3476">
        <w:rPr>
          <w:bCs/>
          <w:i/>
        </w:rPr>
        <w:t>Cf.</w:t>
      </w:r>
      <w:r w:rsidRPr="003B3476">
        <w:rPr>
          <w:bCs/>
        </w:rPr>
        <w:t xml:space="preserve">, aussi du même auteur. </w:t>
      </w:r>
      <w:r w:rsidRPr="003B3476">
        <w:rPr>
          <w:i/>
          <w:lang w:val="fr-FR" w:eastAsia="fr-FR" w:bidi="fr-FR"/>
        </w:rPr>
        <w:t>Notes sur les répercussions sociales d'une techn</w:t>
      </w:r>
      <w:r w:rsidRPr="003B3476">
        <w:rPr>
          <w:i/>
          <w:lang w:val="fr-FR" w:eastAsia="fr-FR" w:bidi="fr-FR"/>
        </w:rPr>
        <w:t>i</w:t>
      </w:r>
      <w:r w:rsidRPr="003B3476">
        <w:rPr>
          <w:i/>
          <w:lang w:val="fr-FR" w:eastAsia="fr-FR" w:bidi="fr-FR"/>
        </w:rPr>
        <w:t>que</w:t>
      </w:r>
      <w:r w:rsidRPr="003B3476">
        <w:rPr>
          <w:bCs/>
        </w:rPr>
        <w:t xml:space="preserve">, dans </w:t>
      </w:r>
      <w:r w:rsidRPr="003B3476">
        <w:rPr>
          <w:i/>
          <w:lang w:val="fr-FR" w:eastAsia="fr-FR" w:bidi="fr-FR"/>
        </w:rPr>
        <w:t>Annales sociologiques</w:t>
      </w:r>
      <w:r w:rsidRPr="003B3476">
        <w:rPr>
          <w:bCs/>
        </w:rPr>
        <w:t>, série E, fasc. 1, 1934, p. 117-123.</w:t>
      </w:r>
    </w:p>
  </w:footnote>
  <w:footnote w:id="827">
    <w:p w14:paraId="08B9DF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R. </w:t>
      </w:r>
      <w:r w:rsidRPr="003B3476">
        <w:rPr>
          <w:rStyle w:val="Notedebasdepage365ptNonItaliquePetitesmajuscules"/>
          <w:b w:val="0"/>
          <w:i w:val="0"/>
          <w:iCs w:val="0"/>
          <w:sz w:val="24"/>
        </w:rPr>
        <w:t xml:space="preserve">Musset, </w:t>
      </w:r>
      <w:r w:rsidRPr="003B3476">
        <w:rPr>
          <w:i/>
          <w:lang w:val="fr-FR" w:eastAsia="fr-FR" w:bidi="fr-FR"/>
        </w:rPr>
        <w:t>Le Bas-Maine</w:t>
      </w:r>
      <w:r w:rsidRPr="003B3476">
        <w:t xml:space="preserve">, p. 307, et Magnus </w:t>
      </w:r>
      <w:r w:rsidRPr="003B3476">
        <w:rPr>
          <w:rStyle w:val="Notedebasdepage365ptNonItaliquePetitesmajuscules"/>
          <w:b w:val="0"/>
          <w:i w:val="0"/>
          <w:iCs w:val="0"/>
          <w:sz w:val="24"/>
        </w:rPr>
        <w:t xml:space="preserve">Olsen, </w:t>
      </w:r>
      <w:r w:rsidRPr="003B3476">
        <w:rPr>
          <w:i/>
          <w:lang w:val="fr-FR" w:eastAsia="fr-FR" w:bidi="fr-FR"/>
        </w:rPr>
        <w:t>Farms and fanes of a</w:t>
      </w:r>
      <w:r w:rsidRPr="003B3476">
        <w:rPr>
          <w:i/>
          <w:lang w:val="fr-FR" w:eastAsia="fr-FR" w:bidi="fr-FR"/>
        </w:rPr>
        <w:t>n</w:t>
      </w:r>
      <w:r w:rsidRPr="003B3476">
        <w:rPr>
          <w:i/>
          <w:lang w:val="fr-FR" w:eastAsia="fr-FR" w:bidi="fr-FR"/>
        </w:rPr>
        <w:t>cient Norway</w:t>
      </w:r>
      <w:r w:rsidRPr="003B3476">
        <w:t>, p. 10.</w:t>
      </w:r>
    </w:p>
  </w:footnote>
  <w:footnote w:id="828">
    <w:p w14:paraId="5DCEDF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bCs/>
          <w:i/>
        </w:rPr>
        <w:t>Cf.</w:t>
      </w:r>
      <w:r w:rsidRPr="003B3476">
        <w:rPr>
          <w:lang w:val="fr-FR" w:eastAsia="fr-FR" w:bidi="fr-FR"/>
        </w:rPr>
        <w:t xml:space="preserve"> G. </w:t>
      </w:r>
      <w:r w:rsidRPr="003B3476">
        <w:rPr>
          <w:rStyle w:val="Notedebasdepage65ptPetitesmajuscules"/>
          <w:b w:val="0"/>
          <w:sz w:val="24"/>
        </w:rPr>
        <w:t xml:space="preserve">Méautis, </w:t>
      </w:r>
      <w:r w:rsidRPr="003B3476">
        <w:rPr>
          <w:bCs/>
          <w:i/>
        </w:rPr>
        <w:t>Les Romains connaissaient-ils le fer à cheval ?</w:t>
      </w:r>
      <w:r w:rsidRPr="003B3476">
        <w:rPr>
          <w:lang w:val="fr-FR" w:eastAsia="fr-FR" w:bidi="fr-FR"/>
        </w:rPr>
        <w:t xml:space="preserve"> dans </w:t>
      </w:r>
      <w:r w:rsidRPr="003B3476">
        <w:rPr>
          <w:bCs/>
          <w:i/>
        </w:rPr>
        <w:t>Revue des études anciennes</w:t>
      </w:r>
      <w:r w:rsidRPr="003B3476">
        <w:rPr>
          <w:bCs/>
        </w:rPr>
        <w:t>,</w:t>
      </w:r>
      <w:r w:rsidRPr="003B3476">
        <w:rPr>
          <w:lang w:val="fr-FR" w:eastAsia="fr-FR" w:bidi="fr-FR"/>
        </w:rPr>
        <w:t xml:space="preserve"> 1934, p. 88. Une grande importance s’attache, à ce pr</w:t>
      </w:r>
      <w:r w:rsidRPr="003B3476">
        <w:rPr>
          <w:lang w:val="fr-FR" w:eastAsia="fr-FR" w:bidi="fr-FR"/>
        </w:rPr>
        <w:t>o</w:t>
      </w:r>
      <w:r w:rsidRPr="003B3476">
        <w:rPr>
          <w:lang w:val="fr-FR" w:eastAsia="fr-FR" w:bidi="fr-FR"/>
        </w:rPr>
        <w:t xml:space="preserve">pos, aux </w:t>
      </w:r>
      <w:r w:rsidRPr="003B3476">
        <w:rPr>
          <w:bCs/>
          <w:i/>
        </w:rPr>
        <w:t>Tactica</w:t>
      </w:r>
      <w:r w:rsidRPr="003B3476">
        <w:rPr>
          <w:lang w:val="fr-FR" w:eastAsia="fr-FR" w:bidi="fr-FR"/>
        </w:rPr>
        <w:t xml:space="preserve"> de l’empereur Léon. Contrairement à ce que j’indiquais e</w:t>
      </w:r>
      <w:r w:rsidRPr="003B3476">
        <w:rPr>
          <w:lang w:val="fr-FR" w:eastAsia="fr-FR" w:bidi="fr-FR"/>
        </w:rPr>
        <w:t>n</w:t>
      </w:r>
      <w:r w:rsidRPr="003B3476">
        <w:rPr>
          <w:lang w:val="fr-FR" w:eastAsia="fr-FR" w:bidi="fr-FR"/>
        </w:rPr>
        <w:t xml:space="preserve">core, dans les </w:t>
      </w:r>
      <w:r w:rsidRPr="003B3476">
        <w:rPr>
          <w:bCs/>
          <w:i/>
        </w:rPr>
        <w:t>Annales</w:t>
      </w:r>
      <w:r w:rsidRPr="003B3476">
        <w:rPr>
          <w:lang w:val="fr-FR" w:eastAsia="fr-FR" w:bidi="fr-FR"/>
        </w:rPr>
        <w:t xml:space="preserve"> (t. V, 1932, p. 484), les travaux récents reviennent, pour ce traité, à la datation ancienne qu’avait adoptée M. Lefebvre des Noë</w:t>
      </w:r>
      <w:r w:rsidRPr="003B3476">
        <w:rPr>
          <w:lang w:val="fr-FR" w:eastAsia="fr-FR" w:bidi="fr-FR"/>
        </w:rPr>
        <w:t>t</w:t>
      </w:r>
      <w:r w:rsidRPr="003B3476">
        <w:rPr>
          <w:lang w:val="fr-FR" w:eastAsia="fr-FR" w:bidi="fr-FR"/>
        </w:rPr>
        <w:t>tes : attr</w:t>
      </w:r>
      <w:r w:rsidRPr="003B3476">
        <w:rPr>
          <w:lang w:val="fr-FR" w:eastAsia="fr-FR" w:bidi="fr-FR"/>
        </w:rPr>
        <w:t>i</w:t>
      </w:r>
      <w:r w:rsidRPr="003B3476">
        <w:rPr>
          <w:lang w:val="fr-FR" w:eastAsia="fr-FR" w:bidi="fr-FR"/>
        </w:rPr>
        <w:t xml:space="preserve">bution à Léon VI ; </w:t>
      </w:r>
      <w:r w:rsidRPr="003B3476">
        <w:rPr>
          <w:bCs/>
          <w:i/>
        </w:rPr>
        <w:t>cf.</w:t>
      </w:r>
      <w:r w:rsidRPr="003B3476">
        <w:rPr>
          <w:bCs/>
        </w:rPr>
        <w:t xml:space="preserve"> </w:t>
      </w:r>
      <w:r w:rsidRPr="003B3476">
        <w:rPr>
          <w:bCs/>
          <w:i/>
        </w:rPr>
        <w:t>Byzantinische Zeitschrift</w:t>
      </w:r>
      <w:r w:rsidRPr="003B3476">
        <w:rPr>
          <w:lang w:val="fr-FR" w:eastAsia="fr-FR" w:bidi="fr-FR"/>
        </w:rPr>
        <w:t>, t. XXX, 1929-1930, p. 396. Par contre, le manuscrit 764 de Saint-Omer est assurément du X</w:t>
      </w:r>
      <w:r w:rsidRPr="003B3476">
        <w:rPr>
          <w:vertAlign w:val="superscript"/>
          <w:lang w:val="fr-FR" w:eastAsia="fr-FR" w:bidi="fr-FR"/>
        </w:rPr>
        <w:t>e</w:t>
      </w:r>
      <w:r w:rsidRPr="003B3476">
        <w:rPr>
          <w:lang w:val="fr-FR" w:eastAsia="fr-FR" w:bidi="fr-FR"/>
        </w:rPr>
        <w:t> siècle, non du IX</w:t>
      </w:r>
      <w:r w:rsidRPr="003B3476">
        <w:rPr>
          <w:vertAlign w:val="superscript"/>
          <w:lang w:val="fr-FR" w:eastAsia="fr-FR" w:bidi="fr-FR"/>
        </w:rPr>
        <w:t>e</w:t>
      </w:r>
      <w:r w:rsidRPr="003B3476">
        <w:rPr>
          <w:lang w:val="fr-FR" w:eastAsia="fr-FR" w:bidi="fr-FR"/>
        </w:rPr>
        <w:t>.</w:t>
      </w:r>
    </w:p>
  </w:footnote>
  <w:footnote w:id="829">
    <w:p w14:paraId="646701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Rien de plus incertain d’ailleurs, en tout état de cause, que cette chronologie. Comme M. Roger Grand, dans l’article cité ci-dessus, p. 822, n. 3, l’a just</w:t>
      </w:r>
      <w:r w:rsidRPr="003B3476">
        <w:rPr>
          <w:lang w:val="fr-FR" w:eastAsia="fr-FR" w:bidi="fr-FR"/>
        </w:rPr>
        <w:t>e</w:t>
      </w:r>
      <w:r w:rsidRPr="003B3476">
        <w:rPr>
          <w:lang w:val="fr-FR" w:eastAsia="fr-FR" w:bidi="fr-FR"/>
        </w:rPr>
        <w:t>ment observé, le collier d’épaules a probablement été en usage bien avant que, toujours enclins à reproduire les images traditionnelles, les artistes ne se soient décidés à le figurer. La sagesse est de dire que le harnachement nouveau m</w:t>
      </w:r>
      <w:r w:rsidRPr="003B3476">
        <w:rPr>
          <w:lang w:val="fr-FR" w:eastAsia="fr-FR" w:bidi="fr-FR"/>
        </w:rPr>
        <w:t>o</w:t>
      </w:r>
      <w:r w:rsidRPr="003B3476">
        <w:rPr>
          <w:lang w:val="fr-FR" w:eastAsia="fr-FR" w:bidi="fr-FR"/>
        </w:rPr>
        <w:t xml:space="preserve">dèle a été </w:t>
      </w:r>
      <w:r w:rsidRPr="003B3476">
        <w:rPr>
          <w:bCs/>
        </w:rPr>
        <w:t>représenté</w:t>
      </w:r>
      <w:r w:rsidRPr="003B3476">
        <w:rPr>
          <w:lang w:val="fr-FR" w:eastAsia="fr-FR" w:bidi="fr-FR"/>
        </w:rPr>
        <w:t xml:space="preserve"> pour la première fois, à notre connaissance, au X</w:t>
      </w:r>
      <w:r w:rsidRPr="003B3476">
        <w:rPr>
          <w:vertAlign w:val="superscript"/>
          <w:lang w:val="fr-FR" w:eastAsia="fr-FR" w:bidi="fr-FR"/>
        </w:rPr>
        <w:t>e</w:t>
      </w:r>
      <w:r w:rsidRPr="003B3476">
        <w:rPr>
          <w:lang w:val="fr-FR" w:eastAsia="fr-FR" w:bidi="fr-FR"/>
        </w:rPr>
        <w:t xml:space="preserve"> si</w:t>
      </w:r>
      <w:r w:rsidRPr="003B3476">
        <w:rPr>
          <w:lang w:val="fr-FR" w:eastAsia="fr-FR" w:bidi="fr-FR"/>
        </w:rPr>
        <w:t>è</w:t>
      </w:r>
      <w:r w:rsidRPr="003B3476">
        <w:rPr>
          <w:lang w:val="fr-FR" w:eastAsia="fr-FR" w:bidi="fr-FR"/>
        </w:rPr>
        <w:t xml:space="preserve">cle — non qu’il a été </w:t>
      </w:r>
      <w:r w:rsidRPr="003B3476">
        <w:rPr>
          <w:bCs/>
        </w:rPr>
        <w:t>inventé</w:t>
      </w:r>
      <w:r w:rsidRPr="003B3476">
        <w:rPr>
          <w:lang w:val="fr-FR" w:eastAsia="fr-FR" w:bidi="fr-FR"/>
        </w:rPr>
        <w:t xml:space="preserve"> à cette date. Il semble que M. Lefebvre des Noëttes ait parfois glissé de la première affirmation à la seconde.</w:t>
      </w:r>
    </w:p>
  </w:footnote>
  <w:footnote w:id="830">
    <w:p w14:paraId="5EBEEF8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 savant belge, M. Ch. Verlinden, poursuit en ce moment d’importantes r</w:t>
      </w:r>
      <w:r w:rsidRPr="003B3476">
        <w:rPr>
          <w:lang w:val="fr-FR" w:eastAsia="fr-FR" w:bidi="fr-FR"/>
        </w:rPr>
        <w:t>e</w:t>
      </w:r>
      <w:r w:rsidRPr="003B3476">
        <w:rPr>
          <w:lang w:val="fr-FR" w:eastAsia="fr-FR" w:bidi="fr-FR"/>
        </w:rPr>
        <w:t>cherches sur l’esclavage médiéval ; leurs résultats, sans doute, renouvelleront le sujet. Aussi bien l’histoire de l’esclavage proprement dit est-elle intim</w:t>
      </w:r>
      <w:r w:rsidRPr="003B3476">
        <w:rPr>
          <w:lang w:val="fr-FR" w:eastAsia="fr-FR" w:bidi="fr-FR"/>
        </w:rPr>
        <w:t>e</w:t>
      </w:r>
      <w:r w:rsidRPr="003B3476">
        <w:rPr>
          <w:lang w:val="fr-FR" w:eastAsia="fr-FR" w:bidi="fr-FR"/>
        </w:rPr>
        <w:t xml:space="preserve">ment liée à celle des relations de dépendance, en général, telles que les ont conçues les sociétés de l’Occident. Or, là aussi, nos connaissances sont en plein devenir. L’esquisse qu’on va lire n’a d’autre dessein que de présenter, sous une forme volontairement schématique, quelques faits particulièrement considérables et à peu près assurés. J’ai dû renoncer, notamment, à rendre pleine justice aux nuances régionales. Pour la bibliographie de l’esclavage, je me contenterai de renvoyer — en attendant les travaux de M. Verlinden — à mes deux notes de la </w:t>
      </w:r>
      <w:r w:rsidRPr="003B3476">
        <w:rPr>
          <w:bCs/>
          <w:i/>
        </w:rPr>
        <w:t>Revue de synthèse historique</w:t>
      </w:r>
      <w:r w:rsidRPr="003B3476">
        <w:rPr>
          <w:lang w:val="fr-FR" w:eastAsia="fr-FR" w:bidi="fr-FR"/>
        </w:rPr>
        <w:t xml:space="preserve"> citées ci-dessus, p. 822, n. 3, et aux divers comptes rendus des </w:t>
      </w:r>
      <w:r w:rsidRPr="003B3476">
        <w:rPr>
          <w:bCs/>
        </w:rPr>
        <w:t>Annales</w:t>
      </w:r>
      <w:r w:rsidRPr="003B3476">
        <w:rPr>
          <w:lang w:val="fr-FR" w:eastAsia="fr-FR" w:bidi="fr-FR"/>
        </w:rPr>
        <w:t xml:space="preserve"> (notamment, t. I, 1929, p. 98 et t. IV, 1932, p. 597). Sur les relations de dépendance, dans leurs rapports avec la notion de liberté, voir notamment mon article intitulé </w:t>
      </w:r>
      <w:r w:rsidRPr="003B3476">
        <w:rPr>
          <w:bCs/>
          <w:i/>
        </w:rPr>
        <w:t>Liberté et servitude pe</w:t>
      </w:r>
      <w:r w:rsidRPr="003B3476">
        <w:rPr>
          <w:bCs/>
          <w:i/>
        </w:rPr>
        <w:t>r</w:t>
      </w:r>
      <w:r w:rsidRPr="003B3476">
        <w:rPr>
          <w:bCs/>
          <w:i/>
        </w:rPr>
        <w:t>sonnelles au Moyen Âge</w:t>
      </w:r>
      <w:r w:rsidRPr="003B3476">
        <w:rPr>
          <w:lang w:val="fr-FR" w:eastAsia="fr-FR" w:bidi="fr-FR"/>
        </w:rPr>
        <w:t xml:space="preserve">, dans </w:t>
      </w:r>
      <w:r w:rsidRPr="003B3476">
        <w:rPr>
          <w:bCs/>
          <w:i/>
        </w:rPr>
        <w:t>Anuario de historia del derecho español</w:t>
      </w:r>
      <w:r w:rsidRPr="003B3476">
        <w:rPr>
          <w:bCs/>
        </w:rPr>
        <w:t>,</w:t>
      </w:r>
      <w:r w:rsidRPr="003B3476">
        <w:rPr>
          <w:lang w:val="fr-FR" w:eastAsia="fr-FR" w:bidi="fr-FR"/>
        </w:rPr>
        <w:t xml:space="preserve"> 1933 et </w:t>
      </w:r>
      <w:r w:rsidRPr="003B3476">
        <w:rPr>
          <w:bCs/>
          <w:i/>
        </w:rPr>
        <w:t>Mélanges historiques</w:t>
      </w:r>
      <w:r w:rsidRPr="003B3476">
        <w:rPr>
          <w:lang w:val="fr-FR" w:eastAsia="fr-FR" w:bidi="fr-FR"/>
        </w:rPr>
        <w:t xml:space="preserve">, t. I, p. 286-355, voir aussi le compte rendu de M. Ch.-Edmond Perrin, dans </w:t>
      </w:r>
      <w:r w:rsidRPr="003B3476">
        <w:rPr>
          <w:bCs/>
          <w:i/>
        </w:rPr>
        <w:t>Annales</w:t>
      </w:r>
      <w:r w:rsidRPr="003B3476">
        <w:rPr>
          <w:lang w:val="fr-FR" w:eastAsia="fr-FR" w:bidi="fr-FR"/>
        </w:rPr>
        <w:t>, t. VI, 1934, p. 274.</w:t>
      </w:r>
    </w:p>
  </w:footnote>
  <w:footnote w:id="831">
    <w:p w14:paraId="5DF7ADA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Comme M. Sion l’a très justement observé, l’existence d’un rapport précis entre l’avènement d’un nouveau système d’attelage et les conditions du travail humain sera démontrée seulement le jour ou l’on pourra prouver qu’antérieurement à la propagation du harnachement « moderne » le portage à dos d’homme était largement pratiqué. Or, au moment de corriger les épre</w:t>
      </w:r>
      <w:r w:rsidRPr="003B3476">
        <w:rPr>
          <w:lang w:val="fr-FR" w:eastAsia="fr-FR" w:bidi="fr-FR"/>
        </w:rPr>
        <w:t>u</w:t>
      </w:r>
      <w:r w:rsidRPr="003B3476">
        <w:rPr>
          <w:lang w:val="fr-FR" w:eastAsia="fr-FR" w:bidi="fr-FR"/>
        </w:rPr>
        <w:t>ves du présent article, le hasard d’une lecture me met face à face avec que</w:t>
      </w:r>
      <w:r w:rsidRPr="003B3476">
        <w:rPr>
          <w:lang w:val="fr-FR" w:eastAsia="fr-FR" w:bidi="fr-FR"/>
        </w:rPr>
        <w:t>l</w:t>
      </w:r>
      <w:r w:rsidRPr="003B3476">
        <w:rPr>
          <w:lang w:val="fr-FR" w:eastAsia="fr-FR" w:bidi="fr-FR"/>
        </w:rPr>
        <w:t xml:space="preserve">ques-uns de ces coolies médiévaux. Parmi les corvées qu’au </w:t>
      </w:r>
      <w:r w:rsidRPr="003B3476">
        <w:rPr>
          <w:caps/>
          <w:lang w:val="fr-FR" w:eastAsia="fr-FR" w:bidi="fr-FR"/>
        </w:rPr>
        <w:t>xi</w:t>
      </w:r>
      <w:r w:rsidRPr="003B3476">
        <w:rPr>
          <w:vertAlign w:val="superscript"/>
          <w:lang w:val="fr-FR" w:eastAsia="fr-FR" w:bidi="fr-FR"/>
        </w:rPr>
        <w:t>e</w:t>
      </w:r>
      <w:r w:rsidRPr="003B3476">
        <w:rPr>
          <w:lang w:val="fr-FR" w:eastAsia="fr-FR" w:bidi="fr-FR"/>
        </w:rPr>
        <w:t xml:space="preserve"> siècle les moines de Saint-Vanne exigeaient de leurs </w:t>
      </w:r>
      <w:r w:rsidRPr="003B3476">
        <w:rPr>
          <w:bCs/>
          <w:i/>
        </w:rPr>
        <w:t>homines de potestate</w:t>
      </w:r>
      <w:r w:rsidRPr="003B3476">
        <w:rPr>
          <w:lang w:val="fr-FR" w:eastAsia="fr-FR" w:bidi="fr-FR"/>
        </w:rPr>
        <w:t xml:space="preserve"> domiciliés à Laumesfeld en Lorraine figure « l’obligation de véhiculer du blé sur une di</w:t>
      </w:r>
      <w:r w:rsidRPr="003B3476">
        <w:rPr>
          <w:lang w:val="fr-FR" w:eastAsia="fr-FR" w:bidi="fr-FR"/>
        </w:rPr>
        <w:t>s</w:t>
      </w:r>
      <w:r w:rsidRPr="003B3476">
        <w:rPr>
          <w:lang w:val="fr-FR" w:eastAsia="fr-FR" w:bidi="fr-FR"/>
        </w:rPr>
        <w:t xml:space="preserve">tance de six mille </w:t>
      </w:r>
      <w:r w:rsidRPr="003B3476">
        <w:rPr>
          <w:bCs/>
          <w:i/>
        </w:rPr>
        <w:t>cum collo</w:t>
      </w:r>
      <w:r w:rsidRPr="003B3476">
        <w:rPr>
          <w:i/>
          <w:lang w:val="fr-FR" w:eastAsia="fr-FR" w:bidi="fr-FR"/>
        </w:rPr>
        <w:t> </w:t>
      </w:r>
      <w:r w:rsidRPr="003B3476">
        <w:rPr>
          <w:lang w:val="fr-FR" w:eastAsia="fr-FR" w:bidi="fr-FR"/>
        </w:rPr>
        <w:t xml:space="preserve">» (texte cité par Ch.-Edmond </w:t>
      </w:r>
      <w:r w:rsidRPr="003B3476">
        <w:rPr>
          <w:rStyle w:val="Notedebasdepage65ptPetitesmajuscules"/>
          <w:b w:val="0"/>
          <w:sz w:val="24"/>
        </w:rPr>
        <w:t xml:space="preserve">Perrin, </w:t>
      </w:r>
      <w:r w:rsidRPr="003B3476">
        <w:rPr>
          <w:bCs/>
          <w:i/>
        </w:rPr>
        <w:t>Recherches sur la Seigneurie rurale en Lorraine</w:t>
      </w:r>
      <w:r w:rsidRPr="003B3476">
        <w:rPr>
          <w:i/>
          <w:lang w:val="fr-FR" w:eastAsia="fr-FR" w:bidi="fr-FR"/>
        </w:rPr>
        <w:t>, 1935</w:t>
      </w:r>
      <w:r w:rsidRPr="003B3476">
        <w:rPr>
          <w:lang w:val="fr-FR" w:eastAsia="fr-FR" w:bidi="fr-FR"/>
        </w:rPr>
        <w:t xml:space="preserve">, p. 666, n. 4). Le polyptyque de Saint-Germain-des-Prés, d’autre part, mentionne à plusieurs reprises, à côté des charrois, certains services dénommés </w:t>
      </w:r>
      <w:r w:rsidRPr="003B3476">
        <w:rPr>
          <w:bCs/>
          <w:i/>
        </w:rPr>
        <w:t>portaturae </w:t>
      </w:r>
      <w:r w:rsidRPr="003B3476">
        <w:rPr>
          <w:bCs/>
        </w:rPr>
        <w:t>:</w:t>
      </w:r>
      <w:r w:rsidRPr="003B3476">
        <w:rPr>
          <w:lang w:val="fr-FR" w:eastAsia="fr-FR" w:bidi="fr-FR"/>
        </w:rPr>
        <w:t xml:space="preserve"> là encore les distances indiquées sont loin d’être négligeables </w:t>
      </w:r>
      <w:r w:rsidRPr="003B3476">
        <w:rPr>
          <w:bCs/>
        </w:rPr>
        <w:t>(</w:t>
      </w:r>
      <w:r w:rsidRPr="003B3476">
        <w:rPr>
          <w:bCs/>
          <w:i/>
        </w:rPr>
        <w:t>Cf.</w:t>
      </w:r>
      <w:r w:rsidRPr="003B3476">
        <w:rPr>
          <w:lang w:val="fr-FR" w:eastAsia="fr-FR" w:bidi="fr-FR"/>
        </w:rPr>
        <w:t xml:space="preserve"> B. </w:t>
      </w:r>
      <w:r w:rsidRPr="003B3476">
        <w:rPr>
          <w:smallCaps/>
          <w:lang w:val="fr-FR" w:eastAsia="fr-FR" w:bidi="fr-FR"/>
        </w:rPr>
        <w:t>Gué</w:t>
      </w:r>
      <w:r w:rsidRPr="003B3476">
        <w:rPr>
          <w:rStyle w:val="Notedebasdepage65ptPetitesmajuscules"/>
          <w:b w:val="0"/>
          <w:sz w:val="24"/>
        </w:rPr>
        <w:t xml:space="preserve">rard. </w:t>
      </w:r>
      <w:r w:rsidRPr="003B3476">
        <w:rPr>
          <w:bCs/>
          <w:i/>
        </w:rPr>
        <w:t>Polyptyque de l'A</w:t>
      </w:r>
      <w:r w:rsidRPr="003B3476">
        <w:rPr>
          <w:bCs/>
          <w:i/>
        </w:rPr>
        <w:t>b</w:t>
      </w:r>
      <w:r w:rsidRPr="003B3476">
        <w:rPr>
          <w:bCs/>
          <w:i/>
        </w:rPr>
        <w:t>bé Irminon</w:t>
      </w:r>
      <w:r w:rsidRPr="003B3476">
        <w:rPr>
          <w:lang w:val="fr-FR" w:eastAsia="fr-FR" w:bidi="fr-FR"/>
        </w:rPr>
        <w:t>, t. I, 2, p. 773). Je ne crois pas qu’aucune prescription de cette n</w:t>
      </w:r>
      <w:r w:rsidRPr="003B3476">
        <w:rPr>
          <w:lang w:val="fr-FR" w:eastAsia="fr-FR" w:bidi="fr-FR"/>
        </w:rPr>
        <w:t>a</w:t>
      </w:r>
      <w:r w:rsidRPr="003B3476">
        <w:rPr>
          <w:lang w:val="fr-FR" w:eastAsia="fr-FR" w:bidi="fr-FR"/>
        </w:rPr>
        <w:t>ture se rencontre plus tard que le XII</w:t>
      </w:r>
      <w:r w:rsidRPr="003B3476">
        <w:rPr>
          <w:vertAlign w:val="superscript"/>
          <w:lang w:val="fr-FR" w:eastAsia="fr-FR" w:bidi="fr-FR"/>
        </w:rPr>
        <w:t>e</w:t>
      </w:r>
      <w:r w:rsidRPr="003B3476">
        <w:rPr>
          <w:lang w:val="fr-FR" w:eastAsia="fr-FR" w:bidi="fr-FR"/>
        </w:rPr>
        <w:t xml:space="preserve"> siècle. La disparition des </w:t>
      </w:r>
      <w:r w:rsidRPr="003B3476">
        <w:rPr>
          <w:bCs/>
          <w:i/>
        </w:rPr>
        <w:t>portaturae</w:t>
      </w:r>
      <w:r w:rsidRPr="003B3476">
        <w:rPr>
          <w:lang w:val="fr-FR" w:eastAsia="fr-FR" w:bidi="fr-FR"/>
        </w:rPr>
        <w:t xml:space="preserve"> n’intéresse d’ailleurs point à proprement parler l’historien de l’esclavage. Bien que parmi les sujets de Saint-Germain que l’on y voit astreints, la plupart — non pas tous à la vérité — soient qualifiés de serai, on ne saurait oublier qu’en dépit de leur statut personnel le genre de vie de ces tenanciers différait profondément de l’ancienne servitude. Quant à </w:t>
      </w:r>
      <w:r w:rsidRPr="003B3476">
        <w:rPr>
          <w:bCs/>
        </w:rPr>
        <w:t>L’</w:t>
      </w:r>
      <w:r w:rsidRPr="003B3476">
        <w:rPr>
          <w:bCs/>
          <w:i/>
        </w:rPr>
        <w:t>homo de potestate</w:t>
      </w:r>
      <w:r w:rsidRPr="003B3476">
        <w:rPr>
          <w:lang w:val="fr-FR" w:eastAsia="fr-FR" w:bidi="fr-FR"/>
        </w:rPr>
        <w:t xml:space="preserve"> du XI</w:t>
      </w:r>
      <w:r w:rsidRPr="003B3476">
        <w:rPr>
          <w:vertAlign w:val="superscript"/>
          <w:lang w:val="fr-FR" w:eastAsia="fr-FR" w:bidi="fr-FR"/>
        </w:rPr>
        <w:t>e</w:t>
      </w:r>
      <w:r w:rsidRPr="003B3476">
        <w:rPr>
          <w:lang w:val="fr-FR" w:eastAsia="fr-FR" w:bidi="fr-FR"/>
        </w:rPr>
        <w:t xml:space="preserve"> siècle, il n’avait, c</w:t>
      </w:r>
      <w:r w:rsidRPr="003B3476">
        <w:rPr>
          <w:lang w:val="fr-FR" w:eastAsia="fr-FR" w:bidi="fr-FR"/>
        </w:rPr>
        <w:t>e</w:t>
      </w:r>
      <w:r w:rsidRPr="003B3476">
        <w:rPr>
          <w:lang w:val="fr-FR" w:eastAsia="fr-FR" w:bidi="fr-FR"/>
        </w:rPr>
        <w:t>la va de soi, rien d’un esclave. C’est donc entre les progrès de la traction an</w:t>
      </w:r>
      <w:r w:rsidRPr="003B3476">
        <w:rPr>
          <w:lang w:val="fr-FR" w:eastAsia="fr-FR" w:bidi="fr-FR"/>
        </w:rPr>
        <w:t>i</w:t>
      </w:r>
      <w:r w:rsidRPr="003B3476">
        <w:rPr>
          <w:lang w:val="fr-FR" w:eastAsia="fr-FR" w:bidi="fr-FR"/>
        </w:rPr>
        <w:t>male et le travail forcé au sens large du mot, que la liaison semble s’établir sans qu’il soit facile de déterminer avec exactitude dans que</w:t>
      </w:r>
      <w:r w:rsidRPr="003B3476">
        <w:rPr>
          <w:lang w:val="fr-FR" w:eastAsia="fr-FR" w:bidi="fr-FR"/>
        </w:rPr>
        <w:t>l</w:t>
      </w:r>
      <w:r w:rsidRPr="003B3476">
        <w:rPr>
          <w:lang w:val="fr-FR" w:eastAsia="fr-FR" w:bidi="fr-FR"/>
        </w:rPr>
        <w:t>le direction elle joua : faut-il supposer que l’adoption d’une meilleure techn</w:t>
      </w:r>
      <w:r w:rsidRPr="003B3476">
        <w:rPr>
          <w:lang w:val="fr-FR" w:eastAsia="fr-FR" w:bidi="fr-FR"/>
        </w:rPr>
        <w:t>i</w:t>
      </w:r>
      <w:r w:rsidRPr="003B3476">
        <w:rPr>
          <w:lang w:val="fr-FR" w:eastAsia="fr-FR" w:bidi="fr-FR"/>
        </w:rPr>
        <w:t>que amena à adoucir les anciennes exigences ? Ou au contraire, la difficulté d’obtenir l’accomplissement de dures corvées poussa-t-elle à chercher un plus efficace emploi de la bête de somme ? En tout cas, le dossier est encore un peu mince. Avis aux travailleurs curieux.</w:t>
      </w:r>
    </w:p>
  </w:footnote>
  <w:footnote w:id="832">
    <w:p w14:paraId="01CE1F4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Europe</w:t>
      </w:r>
      <w:r w:rsidRPr="003B3476">
        <w:rPr>
          <w:lang w:val="fr-FR" w:eastAsia="fr-FR" w:bidi="fr-FR"/>
        </w:rPr>
        <w:t>, 1938, p</w:t>
      </w:r>
      <w:r>
        <w:rPr>
          <w:lang w:val="fr-FR" w:eastAsia="fr-FR" w:bidi="fr-FR"/>
        </w:rPr>
        <w:t>p</w:t>
      </w:r>
      <w:r w:rsidRPr="003B3476">
        <w:rPr>
          <w:lang w:val="fr-FR" w:eastAsia="fr-FR" w:bidi="fr-FR"/>
        </w:rPr>
        <w:t>. 23-32.</w:t>
      </w:r>
    </w:p>
  </w:footnote>
  <w:footnote w:id="833">
    <w:p w14:paraId="5B921246"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Annales d’histoire économique et sociale</w:t>
      </w:r>
      <w:r w:rsidRPr="003B3476">
        <w:rPr>
          <w:bCs/>
        </w:rPr>
        <w:t>.</w:t>
      </w:r>
      <w:r w:rsidRPr="003B3476">
        <w:rPr>
          <w:lang w:val="fr-FR" w:eastAsia="fr-FR" w:bidi="fr-FR"/>
        </w:rPr>
        <w:t xml:space="preserve"> N° 19, t. V, 31 janvier 1933, p. 1, 34. —Sur les problèmes de l’or, dans le monde contemporain, </w:t>
      </w:r>
      <w:r w:rsidRPr="003B3476">
        <w:rPr>
          <w:bCs/>
          <w:i/>
        </w:rPr>
        <w:t>cf.</w:t>
      </w:r>
      <w:r w:rsidRPr="003B3476">
        <w:rPr>
          <w:bCs/>
        </w:rPr>
        <w:t xml:space="preserve"> </w:t>
      </w:r>
      <w:r w:rsidRPr="003B3476">
        <w:rPr>
          <w:bCs/>
          <w:i/>
        </w:rPr>
        <w:t>Annales</w:t>
      </w:r>
      <w:r w:rsidRPr="003B3476">
        <w:rPr>
          <w:lang w:val="fr-FR" w:eastAsia="fr-FR" w:bidi="fr-FR"/>
        </w:rPr>
        <w:t>, t. III, 1931, p. 361 et t. IV, 1932, p. 359.</w:t>
      </w:r>
    </w:p>
  </w:footnote>
  <w:footnote w:id="834">
    <w:p w14:paraId="0DD3E57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Pour la bibliographie du sujet, le lecteur voudra bien se reporter à l’« orientation bibliographique », en appendice au présent article. Les seules références qui seront données en notes se rapportent soit aux documents eux-mêmes, soit à des travaux d’érudition qui, à de rares exceptions près, ne fig</w:t>
      </w:r>
      <w:r w:rsidRPr="003B3476">
        <w:rPr>
          <w:lang w:val="fr-FR" w:eastAsia="fr-FR" w:bidi="fr-FR"/>
        </w:rPr>
        <w:t>u</w:t>
      </w:r>
      <w:r w:rsidRPr="003B3476">
        <w:rPr>
          <w:lang w:val="fr-FR" w:eastAsia="fr-FR" w:bidi="fr-FR"/>
        </w:rPr>
        <w:t>rent pas dans l’« orientation » ; encore ai-je cru pouvoir me dispenser de re</w:t>
      </w:r>
      <w:r w:rsidRPr="003B3476">
        <w:rPr>
          <w:lang w:val="fr-FR" w:eastAsia="fr-FR" w:bidi="fr-FR"/>
        </w:rPr>
        <w:t>n</w:t>
      </w:r>
      <w:r w:rsidRPr="003B3476">
        <w:rPr>
          <w:lang w:val="fr-FR" w:eastAsia="fr-FR" w:bidi="fr-FR"/>
        </w:rPr>
        <w:t>vois toutes les fois que les faits invoqués étaient du domaine commun.</w:t>
      </w:r>
    </w:p>
  </w:footnote>
  <w:footnote w:id="835">
    <w:p w14:paraId="1516F58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J. </w:t>
      </w:r>
      <w:r w:rsidRPr="003B3476">
        <w:rPr>
          <w:rStyle w:val="Notedebasdepage365ptNonItaliquePetitesmajuscules"/>
          <w:b w:val="0"/>
          <w:i w:val="0"/>
          <w:iCs w:val="0"/>
          <w:sz w:val="24"/>
        </w:rPr>
        <w:t xml:space="preserve">Kulischer, </w:t>
      </w:r>
      <w:r w:rsidRPr="003B3476">
        <w:rPr>
          <w:i/>
          <w:lang w:val="fr-FR" w:eastAsia="fr-FR" w:bidi="fr-FR"/>
        </w:rPr>
        <w:t>Russische Wirtschaftsgeschichte</w:t>
      </w:r>
      <w:r w:rsidRPr="003B3476">
        <w:rPr>
          <w:bCs/>
        </w:rPr>
        <w:t>, 1925, p. 19.</w:t>
      </w:r>
    </w:p>
  </w:footnote>
  <w:footnote w:id="836">
    <w:p w14:paraId="2CD4FF3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w:t>
      </w:r>
      <w:r w:rsidRPr="003B3476">
        <w:rPr>
          <w:bCs/>
          <w:smallCaps/>
        </w:rPr>
        <w:t>Dannenberg</w:t>
      </w:r>
      <w:r w:rsidRPr="003B3476">
        <w:rPr>
          <w:bCs/>
        </w:rPr>
        <w:t xml:space="preserve">, </w:t>
      </w:r>
      <w:r w:rsidRPr="003B3476">
        <w:rPr>
          <w:rStyle w:val="Notedebasdepage7ptItalique"/>
          <w:b w:val="0"/>
          <w:sz w:val="24"/>
        </w:rPr>
        <w:t>Die deutschen Münze der sâchsischen und frankischen Ka</w:t>
      </w:r>
      <w:r w:rsidRPr="003B3476">
        <w:rPr>
          <w:rStyle w:val="Notedebasdepage7ptItalique"/>
          <w:b w:val="0"/>
          <w:sz w:val="24"/>
        </w:rPr>
        <w:t>i</w:t>
      </w:r>
      <w:r w:rsidRPr="003B3476">
        <w:rPr>
          <w:rStyle w:val="Notedebasdepage7ptItalique"/>
          <w:b w:val="0"/>
          <w:sz w:val="24"/>
        </w:rPr>
        <w:t>serzeit</w:t>
      </w:r>
      <w:r w:rsidRPr="003B3476">
        <w:rPr>
          <w:bCs/>
        </w:rPr>
        <w:t xml:space="preserve">, </w:t>
      </w:r>
      <w:r w:rsidRPr="003B3476">
        <w:rPr>
          <w:lang w:val="fr-FR" w:eastAsia="fr-FR" w:bidi="fr-FR"/>
        </w:rPr>
        <w:t>t. I, n</w:t>
      </w:r>
      <w:r w:rsidRPr="003B3476">
        <w:rPr>
          <w:vertAlign w:val="superscript"/>
          <w:lang w:val="fr-FR" w:eastAsia="fr-FR" w:bidi="fr-FR"/>
        </w:rPr>
        <w:t>os</w:t>
      </w:r>
      <w:r w:rsidRPr="003B3476">
        <w:rPr>
          <w:lang w:val="fr-FR" w:eastAsia="fr-FR" w:bidi="fr-FR"/>
        </w:rPr>
        <w:t xml:space="preserve"> 797 et 1385, signale deux monnaies d’or, de deux Henri (pr</w:t>
      </w:r>
      <w:r w:rsidRPr="003B3476">
        <w:rPr>
          <w:lang w:val="fr-FR" w:eastAsia="fr-FR" w:bidi="fr-FR"/>
        </w:rPr>
        <w:t>o</w:t>
      </w:r>
      <w:r w:rsidRPr="003B3476">
        <w:rPr>
          <w:lang w:val="fr-FR" w:eastAsia="fr-FR" w:bidi="fr-FR"/>
        </w:rPr>
        <w:t>bablement Henri II et He</w:t>
      </w:r>
      <w:r w:rsidRPr="003B3476">
        <w:rPr>
          <w:lang w:val="fr-FR" w:eastAsia="fr-FR" w:bidi="fr-FR"/>
        </w:rPr>
        <w:t>n</w:t>
      </w:r>
      <w:r w:rsidRPr="003B3476">
        <w:rPr>
          <w:lang w:val="fr-FR" w:eastAsia="fr-FR" w:bidi="fr-FR"/>
        </w:rPr>
        <w:t>ri IV). Si les pièces sont authentiques, il ne saurait, de l’avis unanime des ér</w:t>
      </w:r>
      <w:r w:rsidRPr="003B3476">
        <w:rPr>
          <w:lang w:val="fr-FR" w:eastAsia="fr-FR" w:bidi="fr-FR"/>
        </w:rPr>
        <w:t>u</w:t>
      </w:r>
      <w:r w:rsidRPr="003B3476">
        <w:rPr>
          <w:lang w:val="fr-FR" w:eastAsia="fr-FR" w:bidi="fr-FR"/>
        </w:rPr>
        <w:t>dits, s’agir que de médailles purement ornementales.</w:t>
      </w:r>
    </w:p>
  </w:footnote>
  <w:footnote w:id="837">
    <w:p w14:paraId="025011B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65ptNonItalique"/>
          <w:b w:val="0"/>
          <w:i w:val="0"/>
          <w:iCs w:val="0"/>
          <w:smallCaps/>
          <w:sz w:val="24"/>
        </w:rPr>
        <w:t>Bitterauf</w:t>
      </w:r>
      <w:r w:rsidRPr="003B3476">
        <w:rPr>
          <w:rStyle w:val="Notedebasdepage465ptNonItalique"/>
          <w:b w:val="0"/>
          <w:i w:val="0"/>
          <w:iCs w:val="0"/>
          <w:sz w:val="24"/>
        </w:rPr>
        <w:t xml:space="preserve">, </w:t>
      </w:r>
      <w:r w:rsidRPr="003B3476">
        <w:rPr>
          <w:i/>
          <w:lang w:val="fr-FR" w:eastAsia="fr-FR" w:bidi="fr-FR"/>
        </w:rPr>
        <w:t>Die Traditionen des Hochstifts Freising</w:t>
      </w:r>
      <w:r w:rsidRPr="003B3476">
        <w:rPr>
          <w:rStyle w:val="Notedebasdepage48ptNonItalique"/>
          <w:b w:val="0"/>
          <w:i w:val="0"/>
          <w:iCs w:val="0"/>
          <w:sz w:val="24"/>
        </w:rPr>
        <w:t xml:space="preserve">, </w:t>
      </w:r>
      <w:r w:rsidRPr="003B3476">
        <w:rPr>
          <w:rStyle w:val="Notedebasdepage465ptNonItalique"/>
          <w:b w:val="0"/>
          <w:i w:val="0"/>
          <w:iCs w:val="0"/>
          <w:sz w:val="24"/>
        </w:rPr>
        <w:t>t. I, n</w:t>
      </w:r>
      <w:r w:rsidRPr="003B3476">
        <w:rPr>
          <w:rStyle w:val="Notedebasdepage465ptNonItalique"/>
          <w:b w:val="0"/>
          <w:i w:val="0"/>
          <w:iCs w:val="0"/>
          <w:sz w:val="24"/>
          <w:vertAlign w:val="superscript"/>
        </w:rPr>
        <w:t>os</w:t>
      </w:r>
      <w:r w:rsidRPr="003B3476">
        <w:rPr>
          <w:rStyle w:val="Notedebasdepage465ptNonItalique"/>
          <w:b w:val="0"/>
          <w:i w:val="0"/>
          <w:iCs w:val="0"/>
          <w:sz w:val="24"/>
        </w:rPr>
        <w:t xml:space="preserve"> </w:t>
      </w:r>
      <w:r w:rsidRPr="003B3476">
        <w:rPr>
          <w:rStyle w:val="Notedebasdepage475ptNonItalique"/>
          <w:b w:val="0"/>
          <w:i w:val="0"/>
          <w:iCs w:val="0"/>
          <w:sz w:val="24"/>
        </w:rPr>
        <w:t>177 (799, 28 </w:t>
      </w:r>
      <w:r w:rsidRPr="003B3476">
        <w:rPr>
          <w:rStyle w:val="Notedebasdepage465ptNonItalique"/>
          <w:b w:val="0"/>
          <w:i w:val="0"/>
          <w:iCs w:val="0"/>
          <w:sz w:val="24"/>
        </w:rPr>
        <w:t xml:space="preserve">oct.) et </w:t>
      </w:r>
      <w:r w:rsidRPr="003B3476">
        <w:rPr>
          <w:rStyle w:val="Notedebasdepage475ptNonItalique"/>
          <w:b w:val="0"/>
          <w:i w:val="0"/>
          <w:iCs w:val="0"/>
          <w:sz w:val="24"/>
        </w:rPr>
        <w:t xml:space="preserve">620 (836, 23 </w:t>
      </w:r>
      <w:r w:rsidRPr="003B3476">
        <w:rPr>
          <w:rStyle w:val="Notedebasdepage465ptNonItalique"/>
          <w:b w:val="0"/>
          <w:i w:val="0"/>
          <w:iCs w:val="0"/>
          <w:sz w:val="24"/>
        </w:rPr>
        <w:t>nov.).</w:t>
      </w:r>
    </w:p>
  </w:footnote>
  <w:footnote w:id="838">
    <w:p w14:paraId="54C545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Cf.</w:t>
      </w:r>
      <w:r w:rsidRPr="003B3476">
        <w:rPr>
          <w:bCs/>
        </w:rPr>
        <w:t xml:space="preserve"> </w:t>
      </w:r>
      <w:r w:rsidRPr="003B3476">
        <w:rPr>
          <w:lang w:val="fr-FR" w:eastAsia="fr-FR" w:bidi="fr-FR"/>
        </w:rPr>
        <w:t xml:space="preserve">Cl. </w:t>
      </w:r>
      <w:r w:rsidRPr="003B3476">
        <w:rPr>
          <w:bCs/>
          <w:smallCaps/>
        </w:rPr>
        <w:t>Sánchez-Albornoz</w:t>
      </w:r>
      <w:r w:rsidRPr="003B3476">
        <w:rPr>
          <w:bCs/>
        </w:rPr>
        <w:t xml:space="preserve">, </w:t>
      </w:r>
      <w:r w:rsidRPr="003B3476">
        <w:rPr>
          <w:rStyle w:val="Notedebasdepage7ptItalique"/>
          <w:b w:val="0"/>
          <w:sz w:val="24"/>
        </w:rPr>
        <w:t>La primitiva organización monetaria de León y Castilla,</w:t>
      </w:r>
      <w:r w:rsidRPr="003B3476">
        <w:rPr>
          <w:rStyle w:val="Notedebasdepage7ptItalique"/>
          <w:b w:val="0"/>
          <w:sz w:val="24"/>
          <w:vertAlign w:val="subscript"/>
        </w:rPr>
        <w:t xml:space="preserve"> </w:t>
      </w:r>
      <w:r w:rsidRPr="003B3476">
        <w:rPr>
          <w:lang w:val="fr-FR" w:eastAsia="fr-FR" w:bidi="fr-FR"/>
        </w:rPr>
        <w:t xml:space="preserve">dans </w:t>
      </w:r>
      <w:r w:rsidRPr="003B3476">
        <w:rPr>
          <w:rStyle w:val="Notedebasdepage7ptItalique"/>
          <w:b w:val="0"/>
          <w:sz w:val="24"/>
        </w:rPr>
        <w:t>Anuario de historia del derecho español</w:t>
      </w:r>
      <w:r w:rsidRPr="003B3476">
        <w:rPr>
          <w:lang w:val="fr-FR" w:eastAsia="fr-FR" w:bidi="fr-FR"/>
        </w:rPr>
        <w:t>, 1928, p. 335. Il convient d’ajouter qu’en 1193 le roi de Léon, Alphonse IX, accorda aux a</w:t>
      </w:r>
      <w:r w:rsidRPr="003B3476">
        <w:rPr>
          <w:lang w:val="fr-FR" w:eastAsia="fr-FR" w:bidi="fr-FR"/>
        </w:rPr>
        <w:t>r</w:t>
      </w:r>
      <w:r w:rsidRPr="003B3476">
        <w:rPr>
          <w:lang w:val="fr-FR" w:eastAsia="fr-FR" w:bidi="fr-FR"/>
        </w:rPr>
        <w:t xml:space="preserve">chevêques de Compostelle le droit de frapper l’or </w:t>
      </w:r>
      <w:r w:rsidRPr="003B3476">
        <w:rPr>
          <w:rStyle w:val="Notedebasdepage7ptItalique"/>
          <w:b w:val="0"/>
          <w:sz w:val="24"/>
        </w:rPr>
        <w:t>(ibid</w:t>
      </w:r>
      <w:r w:rsidRPr="003B3476">
        <w:rPr>
          <w:lang w:val="fr-FR" w:eastAsia="fr-FR" w:bidi="fr-FR"/>
        </w:rPr>
        <w:t>., p. 337) ; par là, le monnayage de l’or s’étendait à des régions qui n’avaient jamais été vraiment islamisées. Mais la situation de l’atelier, en ce coin de terre reculé, ne s’explique évidemment que par l’incomparable prestige religieux dont joui</w:t>
      </w:r>
      <w:r w:rsidRPr="003B3476">
        <w:rPr>
          <w:lang w:val="fr-FR" w:eastAsia="fr-FR" w:bidi="fr-FR"/>
        </w:rPr>
        <w:t>s</w:t>
      </w:r>
      <w:r w:rsidRPr="003B3476">
        <w:rPr>
          <w:lang w:val="fr-FR" w:eastAsia="fr-FR" w:bidi="fr-FR"/>
        </w:rPr>
        <w:t>sait l’église de saint Jacques, et le résultat économique de la mesure restait toujours le même : aux dinars qui avaient circulé, sur les marchés du Léon, alors que la plus grande partie du pays obéissait aux princes musulmans, sub</w:t>
      </w:r>
      <w:r w:rsidRPr="003B3476">
        <w:rPr>
          <w:lang w:val="fr-FR" w:eastAsia="fr-FR" w:bidi="fr-FR"/>
        </w:rPr>
        <w:t>s</w:t>
      </w:r>
      <w:r w:rsidRPr="003B3476">
        <w:rPr>
          <w:lang w:val="fr-FR" w:eastAsia="fr-FR" w:bidi="fr-FR"/>
        </w:rPr>
        <w:t>tituer les frappes de chefs chrétiens.</w:t>
      </w:r>
    </w:p>
  </w:footnote>
  <w:footnote w:id="839">
    <w:p w14:paraId="2F1916E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Voir, par exemple, A. </w:t>
      </w:r>
      <w:r w:rsidRPr="003B3476">
        <w:rPr>
          <w:rStyle w:val="Notedebasdepage465ptNonItalique"/>
          <w:b w:val="0"/>
          <w:i w:val="0"/>
          <w:iCs w:val="0"/>
          <w:smallCaps/>
          <w:sz w:val="24"/>
        </w:rPr>
        <w:t>Molinier</w:t>
      </w:r>
      <w:r w:rsidRPr="003B3476">
        <w:rPr>
          <w:rStyle w:val="Notedebasdepage465ptNonItalique"/>
          <w:b w:val="0"/>
          <w:i w:val="0"/>
          <w:iCs w:val="0"/>
          <w:sz w:val="24"/>
        </w:rPr>
        <w:t xml:space="preserve">, </w:t>
      </w:r>
      <w:r w:rsidRPr="003B3476">
        <w:rPr>
          <w:i/>
          <w:lang w:val="fr-FR" w:eastAsia="fr-FR" w:bidi="fr-FR"/>
        </w:rPr>
        <w:t>Correspondance administrative d’Alphonse de Poitiers</w:t>
      </w:r>
      <w:r w:rsidRPr="003B3476">
        <w:rPr>
          <w:rStyle w:val="Notedebasdepage48ptNonItalique"/>
          <w:b w:val="0"/>
          <w:i w:val="0"/>
          <w:iCs w:val="0"/>
          <w:sz w:val="24"/>
        </w:rPr>
        <w:t xml:space="preserve">, </w:t>
      </w:r>
      <w:r w:rsidRPr="003B3476">
        <w:rPr>
          <w:lang w:val="fr-FR" w:eastAsia="fr-FR" w:bidi="fr-FR"/>
        </w:rPr>
        <w:t>t. I, n</w:t>
      </w:r>
      <w:r w:rsidRPr="003B3476">
        <w:rPr>
          <w:vertAlign w:val="superscript"/>
          <w:lang w:val="fr-FR" w:eastAsia="fr-FR" w:bidi="fr-FR"/>
        </w:rPr>
        <w:t>os</w:t>
      </w:r>
      <w:r w:rsidRPr="003B3476">
        <w:rPr>
          <w:lang w:val="fr-FR" w:eastAsia="fr-FR" w:bidi="fr-FR"/>
        </w:rPr>
        <w:t xml:space="preserve"> 643, 644, 702, 863, 870 et 881.</w:t>
      </w:r>
    </w:p>
  </w:footnote>
  <w:footnote w:id="840">
    <w:p w14:paraId="709173E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65ptNonItalique"/>
          <w:b w:val="0"/>
          <w:i w:val="0"/>
          <w:iCs w:val="0"/>
          <w:smallCaps/>
          <w:sz w:val="24"/>
        </w:rPr>
        <w:t>Huillard-Bréholles</w:t>
      </w:r>
      <w:r w:rsidRPr="003B3476">
        <w:rPr>
          <w:rStyle w:val="Notedebasdepage465ptNonItalique"/>
          <w:b w:val="0"/>
          <w:i w:val="0"/>
          <w:iCs w:val="0"/>
          <w:sz w:val="24"/>
        </w:rPr>
        <w:t xml:space="preserve">, </w:t>
      </w:r>
      <w:r w:rsidRPr="003B3476">
        <w:rPr>
          <w:i/>
          <w:lang w:val="fr-FR" w:eastAsia="fr-FR" w:bidi="fr-FR"/>
        </w:rPr>
        <w:t>Historia diplomatica Frederici secundi</w:t>
      </w:r>
      <w:r w:rsidRPr="003B3476">
        <w:rPr>
          <w:rStyle w:val="Notedebasdepage475ptNonItalique"/>
          <w:b w:val="0"/>
          <w:i w:val="0"/>
          <w:iCs w:val="0"/>
          <w:sz w:val="24"/>
        </w:rPr>
        <w:t>, t. II, p. 688 (1226, 8 nov.).</w:t>
      </w:r>
    </w:p>
  </w:footnote>
  <w:footnote w:id="841">
    <w:p w14:paraId="1718AE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A. </w:t>
      </w:r>
      <w:r w:rsidRPr="003B3476">
        <w:rPr>
          <w:rStyle w:val="Notedebasdepage465ptNonItalique"/>
          <w:b w:val="0"/>
          <w:i w:val="0"/>
          <w:iCs w:val="0"/>
          <w:smallCaps/>
          <w:sz w:val="24"/>
        </w:rPr>
        <w:t>Schaube</w:t>
      </w:r>
      <w:r w:rsidRPr="003B3476">
        <w:rPr>
          <w:rStyle w:val="Notedebasdepage465ptNonItalique"/>
          <w:b w:val="0"/>
          <w:i w:val="0"/>
          <w:iCs w:val="0"/>
          <w:sz w:val="24"/>
        </w:rPr>
        <w:t xml:space="preserve">, </w:t>
      </w:r>
      <w:r w:rsidRPr="003B3476">
        <w:rPr>
          <w:i/>
          <w:lang w:val="fr-FR" w:eastAsia="fr-FR" w:bidi="fr-FR"/>
        </w:rPr>
        <w:t>Ein italienischer Coursbericht von der Messe von Troyes aus dem 13. Jahrhundert,</w:t>
      </w:r>
      <w:r w:rsidRPr="003B3476">
        <w:rPr>
          <w:rStyle w:val="Notedebasdepage48ptNonItalique"/>
          <w:b w:val="0"/>
          <w:i w:val="0"/>
          <w:iCs w:val="0"/>
          <w:sz w:val="24"/>
        </w:rPr>
        <w:t xml:space="preserve"> </w:t>
      </w:r>
      <w:r w:rsidRPr="003B3476">
        <w:rPr>
          <w:rStyle w:val="Notedebasdepage475ptNonItalique"/>
          <w:b w:val="0"/>
          <w:i w:val="0"/>
          <w:iCs w:val="0"/>
          <w:sz w:val="24"/>
        </w:rPr>
        <w:t xml:space="preserve">dans </w:t>
      </w:r>
      <w:r w:rsidRPr="003B3476">
        <w:rPr>
          <w:i/>
          <w:lang w:val="fr-FR" w:eastAsia="fr-FR" w:bidi="fr-FR"/>
        </w:rPr>
        <w:t>Zeitschrift für Social- und Wirtschaftsgeschichte</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t. V, 1897, p. 299.</w:t>
      </w:r>
    </w:p>
  </w:footnote>
  <w:footnote w:id="842">
    <w:p w14:paraId="28EA495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Pratica della mercatura</w:t>
      </w:r>
      <w:r w:rsidRPr="003B3476">
        <w:rPr>
          <w:lang w:val="fr-FR" w:eastAsia="fr-FR" w:bidi="fr-FR"/>
        </w:rPr>
        <w:t xml:space="preserve">, dans </w:t>
      </w:r>
      <w:r w:rsidRPr="003B3476">
        <w:rPr>
          <w:bCs/>
          <w:smallCaps/>
        </w:rPr>
        <w:t>Pagnini</w:t>
      </w:r>
      <w:r w:rsidRPr="003B3476">
        <w:rPr>
          <w:bCs/>
        </w:rPr>
        <w:t xml:space="preserve">, </w:t>
      </w:r>
      <w:r w:rsidRPr="003B3476">
        <w:rPr>
          <w:rStyle w:val="Notedebasdepage7ptItalique"/>
          <w:b w:val="0"/>
          <w:sz w:val="24"/>
        </w:rPr>
        <w:t>Della decima</w:t>
      </w:r>
      <w:r w:rsidRPr="003B3476">
        <w:rPr>
          <w:lang w:val="fr-FR" w:eastAsia="fr-FR" w:bidi="fr-FR"/>
        </w:rPr>
        <w:t>, t. III, 1766, p. 260. Cette observation tendrait à prouver qu’au moins la partie de l’ouvrage qui r</w:t>
      </w:r>
      <w:r w:rsidRPr="003B3476">
        <w:rPr>
          <w:lang w:val="fr-FR" w:eastAsia="fr-FR" w:bidi="fr-FR"/>
        </w:rPr>
        <w:t>e</w:t>
      </w:r>
      <w:r w:rsidRPr="003B3476">
        <w:rPr>
          <w:lang w:val="fr-FR" w:eastAsia="fr-FR" w:bidi="fr-FR"/>
        </w:rPr>
        <w:t>garde l’Angleterre a été rédigée avant 1344 : indice à retenir par l’érudit qui, il faut l’espérer, se décidera un jour à nous donner sur ce texte célèbre l’étude critique qui nous fait encore défaut.</w:t>
      </w:r>
    </w:p>
  </w:footnote>
  <w:footnote w:id="843">
    <w:p w14:paraId="3F0BC8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pays plus tard incorporés à la couronne d’Autriche, voir </w:t>
      </w:r>
      <w:r w:rsidRPr="003B3476">
        <w:rPr>
          <w:bCs/>
          <w:smallCaps/>
        </w:rPr>
        <w:t>Luschin von Ebengreuth</w:t>
      </w:r>
      <w:r w:rsidRPr="003B3476">
        <w:rPr>
          <w:bCs/>
        </w:rPr>
        <w:t xml:space="preserve">, </w:t>
      </w:r>
      <w:r w:rsidRPr="003B3476">
        <w:rPr>
          <w:lang w:val="fr-FR" w:eastAsia="fr-FR" w:bidi="fr-FR"/>
        </w:rPr>
        <w:t xml:space="preserve">dans </w:t>
      </w:r>
      <w:r w:rsidRPr="003B3476">
        <w:rPr>
          <w:rStyle w:val="Notedebasdepage7ptItalique"/>
          <w:b w:val="0"/>
          <w:sz w:val="24"/>
        </w:rPr>
        <w:t>Numismatische Zeitschrift</w:t>
      </w:r>
      <w:r w:rsidRPr="003B3476">
        <w:rPr>
          <w:lang w:val="fr-FR" w:eastAsia="fr-FR" w:bidi="fr-FR"/>
        </w:rPr>
        <w:t xml:space="preserve">, t. XLII, 1909, p. 169. Les </w:t>
      </w:r>
      <w:r w:rsidRPr="003B3476">
        <w:rPr>
          <w:rStyle w:val="Notedebasdepage7ptItalique"/>
          <w:b w:val="0"/>
          <w:sz w:val="24"/>
        </w:rPr>
        <w:t>A</w:t>
      </w:r>
      <w:r w:rsidRPr="003B3476">
        <w:rPr>
          <w:rStyle w:val="Notedebasdepage7ptItalique"/>
          <w:b w:val="0"/>
          <w:sz w:val="24"/>
        </w:rPr>
        <w:t>n</w:t>
      </w:r>
      <w:r w:rsidRPr="003B3476">
        <w:rPr>
          <w:rStyle w:val="Notedebasdepage7ptItalique"/>
          <w:b w:val="0"/>
          <w:sz w:val="24"/>
        </w:rPr>
        <w:t>nales Reinhardsbru</w:t>
      </w:r>
      <w:r w:rsidRPr="003B3476">
        <w:rPr>
          <w:rStyle w:val="Notedebasdepage7ptItalique"/>
          <w:b w:val="0"/>
          <w:sz w:val="24"/>
        </w:rPr>
        <w:t>n</w:t>
      </w:r>
      <w:r w:rsidRPr="003B3476">
        <w:rPr>
          <w:rStyle w:val="Notedebasdepage7ptItalique"/>
          <w:b w:val="0"/>
          <w:sz w:val="24"/>
        </w:rPr>
        <w:t xml:space="preserve">nenses </w:t>
      </w:r>
      <w:r w:rsidRPr="003B3476">
        <w:rPr>
          <w:lang w:val="fr-FR" w:eastAsia="fr-FR" w:bidi="fr-FR"/>
        </w:rPr>
        <w:t>que nous possédons seulement sous la forme d’une compilation tardive et plusieurs fois remaniée, prêtent à l’empereur O</w:t>
      </w:r>
      <w:r w:rsidRPr="003B3476">
        <w:rPr>
          <w:lang w:val="fr-FR" w:eastAsia="fr-FR" w:bidi="fr-FR"/>
        </w:rPr>
        <w:t>t</w:t>
      </w:r>
      <w:r w:rsidRPr="003B3476">
        <w:rPr>
          <w:lang w:val="fr-FR" w:eastAsia="fr-FR" w:bidi="fr-FR"/>
        </w:rPr>
        <w:t>ton IV le projet d’établir sur chaque charrue un impôt fixé d’abord à une pièce d’or, puis à deux ; mais au</w:t>
      </w:r>
      <w:r w:rsidRPr="003B3476">
        <w:rPr>
          <w:lang w:val="fr-FR" w:eastAsia="fr-FR" w:bidi="fr-FR"/>
        </w:rPr>
        <w:t>s</w:t>
      </w:r>
      <w:r w:rsidRPr="003B3476">
        <w:rPr>
          <w:lang w:val="fr-FR" w:eastAsia="fr-FR" w:bidi="fr-FR"/>
        </w:rPr>
        <w:t xml:space="preserve">si, le dessein, toutes les fois que trois filles seraient nées d’un même couple, de prendre la troisième pour les lupanars où l’empereur lui-même choisirait ses favorites : ce qui suffît, semble-t-il, à juger le témoignage (éd. </w:t>
      </w:r>
      <w:r w:rsidRPr="003B3476">
        <w:rPr>
          <w:bCs/>
          <w:smallCaps/>
        </w:rPr>
        <w:t>Wegele</w:t>
      </w:r>
      <w:r w:rsidRPr="003B3476">
        <w:rPr>
          <w:bCs/>
        </w:rPr>
        <w:t xml:space="preserve">, </w:t>
      </w:r>
      <w:r w:rsidRPr="003B3476">
        <w:rPr>
          <w:lang w:val="fr-FR" w:eastAsia="fr-FR" w:bidi="fr-FR"/>
        </w:rPr>
        <w:t xml:space="preserve">dans </w:t>
      </w:r>
      <w:r w:rsidRPr="003B3476">
        <w:rPr>
          <w:rStyle w:val="Notedebasdepage7ptItalique"/>
          <w:b w:val="0"/>
          <w:sz w:val="24"/>
        </w:rPr>
        <w:t>Thüringische Geschichtsquellen</w:t>
      </w:r>
      <w:r w:rsidRPr="003B3476">
        <w:rPr>
          <w:lang w:val="fr-FR" w:eastAsia="fr-FR" w:bidi="fr-FR"/>
        </w:rPr>
        <w:t>, t. I, p. 128 et 134).</w:t>
      </w:r>
    </w:p>
  </w:footnote>
  <w:footnote w:id="844">
    <w:p w14:paraId="420B23B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J’ai laissé de côté, pour les raisons indiquées plus haut, les faits espagnols. Là même il est notable que l’Aragon ne semble pas avoir entrepris la frappe de l’or avant 1346 : </w:t>
      </w:r>
      <w:r w:rsidRPr="003B3476">
        <w:rPr>
          <w:bCs/>
          <w:i/>
        </w:rPr>
        <w:t>cf.</w:t>
      </w:r>
      <w:r w:rsidRPr="003B3476">
        <w:rPr>
          <w:bCs/>
        </w:rPr>
        <w:t xml:space="preserve"> A. </w:t>
      </w:r>
      <w:r w:rsidRPr="003B3476">
        <w:rPr>
          <w:bCs/>
          <w:smallCaps/>
        </w:rPr>
        <w:t>Heiss</w:t>
      </w:r>
      <w:r w:rsidRPr="003B3476">
        <w:rPr>
          <w:bCs/>
        </w:rPr>
        <w:t xml:space="preserve">, </w:t>
      </w:r>
      <w:r w:rsidRPr="003B3476">
        <w:rPr>
          <w:rStyle w:val="Notedebasdepage7ptItalique"/>
          <w:b w:val="0"/>
          <w:sz w:val="24"/>
        </w:rPr>
        <w:t>Descripción general de las monetas hispano-cristianas.</w:t>
      </w:r>
    </w:p>
  </w:footnote>
  <w:footnote w:id="845">
    <w:p w14:paraId="4065F4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C. </w:t>
      </w:r>
      <w:r w:rsidRPr="003B3476">
        <w:rPr>
          <w:lang w:val="fr-FR" w:eastAsia="fr-FR" w:bidi="fr-FR"/>
        </w:rPr>
        <w:t xml:space="preserve">G. </w:t>
      </w:r>
      <w:r w:rsidRPr="003B3476">
        <w:rPr>
          <w:smallCaps/>
        </w:rPr>
        <w:t>Crump</w:t>
      </w:r>
      <w:r w:rsidRPr="003B3476">
        <w:t xml:space="preserve"> </w:t>
      </w:r>
      <w:r w:rsidRPr="003B3476">
        <w:rPr>
          <w:lang w:val="fr-FR" w:eastAsia="fr-FR" w:bidi="fr-FR"/>
        </w:rPr>
        <w:t xml:space="preserve">et A. </w:t>
      </w:r>
      <w:r w:rsidRPr="003B3476">
        <w:rPr>
          <w:smallCaps/>
        </w:rPr>
        <w:t>Hugues</w:t>
      </w:r>
      <w:r w:rsidRPr="003B3476">
        <w:t xml:space="preserve">, </w:t>
      </w:r>
      <w:r w:rsidRPr="003B3476">
        <w:rPr>
          <w:rStyle w:val="Notedebasdepage7ptItalique"/>
          <w:b w:val="0"/>
          <w:sz w:val="24"/>
        </w:rPr>
        <w:t>The english currency under Edward</w:t>
      </w:r>
      <w:r w:rsidRPr="003B3476">
        <w:t xml:space="preserve"> </w:t>
      </w:r>
      <w:r w:rsidRPr="003B3476">
        <w:rPr>
          <w:lang w:val="fr-FR" w:eastAsia="fr-FR" w:bidi="fr-FR"/>
        </w:rPr>
        <w:t xml:space="preserve">J, dans </w:t>
      </w:r>
      <w:r w:rsidRPr="003B3476">
        <w:rPr>
          <w:rStyle w:val="Notedebasdepage7ptItalique"/>
          <w:b w:val="0"/>
          <w:sz w:val="24"/>
        </w:rPr>
        <w:t>The economic journal</w:t>
      </w:r>
      <w:r w:rsidRPr="003B3476">
        <w:rPr>
          <w:lang w:val="fr-FR" w:eastAsia="fr-FR" w:bidi="fr-FR"/>
        </w:rPr>
        <w:t xml:space="preserve">, 1895, p. 58 (mention de l’argent de Limoges) ; J. </w:t>
      </w:r>
      <w:r w:rsidRPr="003B3476">
        <w:rPr>
          <w:smallCaps/>
        </w:rPr>
        <w:t>Petit</w:t>
      </w:r>
      <w:r w:rsidRPr="003B3476">
        <w:t xml:space="preserve">, </w:t>
      </w:r>
      <w:r w:rsidRPr="003B3476">
        <w:rPr>
          <w:rStyle w:val="Notedebasdepage7ptItalique"/>
          <w:b w:val="0"/>
          <w:sz w:val="24"/>
        </w:rPr>
        <w:t>Essai de restitution des plus anciens mémoriaux de la Chambre des Comptes</w:t>
      </w:r>
      <w:r w:rsidRPr="003B3476">
        <w:rPr>
          <w:lang w:val="fr-FR" w:eastAsia="fr-FR" w:bidi="fr-FR"/>
        </w:rPr>
        <w:t>, 1899 (Université de Paris. Bibliothèque de la Faculté des Lettres, t. VII), p. just. n° XXIII, p. 166 (avant le 18 oct. 1312).</w:t>
      </w:r>
    </w:p>
  </w:footnote>
  <w:footnote w:id="846">
    <w:p w14:paraId="225834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Henri de </w:t>
      </w:r>
      <w:r w:rsidRPr="003B3476">
        <w:rPr>
          <w:bCs/>
          <w:smallCaps/>
        </w:rPr>
        <w:t>Huntingdon</w:t>
      </w:r>
      <w:r w:rsidRPr="003B3476">
        <w:rPr>
          <w:bCs/>
        </w:rPr>
        <w:t xml:space="preserve">, </w:t>
      </w:r>
      <w:r w:rsidRPr="003B3476">
        <w:rPr>
          <w:rStyle w:val="Notedebasdepage7ptItalique"/>
          <w:b w:val="0"/>
          <w:sz w:val="24"/>
        </w:rPr>
        <w:t>Historia Anglorum</w:t>
      </w:r>
      <w:r w:rsidRPr="003B3476">
        <w:rPr>
          <w:rStyle w:val="Notedebasdepage7ptItalique"/>
          <w:b w:val="0"/>
          <w:sz w:val="24"/>
          <w:vertAlign w:val="subscript"/>
        </w:rPr>
        <w:t>t</w:t>
      </w:r>
      <w:r w:rsidRPr="003B3476">
        <w:rPr>
          <w:bCs/>
        </w:rPr>
        <w:t xml:space="preserve"> </w:t>
      </w:r>
      <w:r w:rsidRPr="003B3476">
        <w:rPr>
          <w:lang w:val="fr-FR" w:eastAsia="fr-FR" w:bidi="fr-FR"/>
        </w:rPr>
        <w:t xml:space="preserve">éd. Th. </w:t>
      </w:r>
      <w:r w:rsidRPr="003B3476">
        <w:rPr>
          <w:bCs/>
          <w:smallCaps/>
        </w:rPr>
        <w:t>Arnold</w:t>
      </w:r>
      <w:r w:rsidRPr="003B3476">
        <w:rPr>
          <w:bCs/>
        </w:rPr>
        <w:t xml:space="preserve"> </w:t>
      </w:r>
      <w:r w:rsidRPr="003B3476">
        <w:rPr>
          <w:rStyle w:val="Notedebasdepage7ptItalique"/>
          <w:b w:val="0"/>
          <w:sz w:val="24"/>
        </w:rPr>
        <w:t>(Rolls Series</w:t>
      </w:r>
      <w:r w:rsidRPr="003B3476">
        <w:rPr>
          <w:bCs/>
        </w:rPr>
        <w:t>),</w:t>
      </w:r>
      <w:r w:rsidRPr="003B3476">
        <w:rPr>
          <w:lang w:val="fr-FR" w:eastAsia="fr-FR" w:bidi="fr-FR"/>
        </w:rPr>
        <w:t xml:space="preserve"> p. 5, l’ouvrage, sous sa première forme, a été rédigé en 1129.</w:t>
      </w:r>
    </w:p>
  </w:footnote>
  <w:footnote w:id="847">
    <w:p w14:paraId="2CD3EF7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G. von </w:t>
      </w:r>
      <w:r w:rsidRPr="003B3476">
        <w:rPr>
          <w:rStyle w:val="Notedebasdepage65ptPetitesmajuscules"/>
          <w:b w:val="0"/>
          <w:sz w:val="24"/>
        </w:rPr>
        <w:t xml:space="preserve">Karajan, </w:t>
      </w:r>
      <w:r w:rsidRPr="003B3476">
        <w:rPr>
          <w:lang w:val="fr-FR" w:eastAsia="fr-FR" w:bidi="fr-FR"/>
        </w:rPr>
        <w:t xml:space="preserve">dans </w:t>
      </w:r>
      <w:r w:rsidRPr="003B3476">
        <w:rPr>
          <w:i/>
        </w:rPr>
        <w:t>Das österreichische Geschichtsforscher</w:t>
      </w:r>
      <w:r w:rsidRPr="003B3476">
        <w:rPr>
          <w:lang w:val="fr-FR" w:eastAsia="fr-FR" w:bidi="fr-FR"/>
        </w:rPr>
        <w:t>, hgg. v. J. </w:t>
      </w:r>
      <w:r w:rsidRPr="003B3476">
        <w:rPr>
          <w:rStyle w:val="Notedebasdepage65ptPetitesmajuscules"/>
          <w:b w:val="0"/>
          <w:sz w:val="24"/>
        </w:rPr>
        <w:t xml:space="preserve">Chmel, </w:t>
      </w:r>
      <w:r w:rsidRPr="003B3476">
        <w:rPr>
          <w:lang w:val="fr-FR" w:eastAsia="fr-FR" w:bidi="fr-FR"/>
        </w:rPr>
        <w:t xml:space="preserve">t. I, 1838, p. 497 et 499 ; </w:t>
      </w:r>
      <w:r w:rsidRPr="003B3476">
        <w:rPr>
          <w:i/>
        </w:rPr>
        <w:t>cf.</w:t>
      </w:r>
      <w:r w:rsidRPr="003B3476">
        <w:rPr>
          <w:lang w:val="fr-FR" w:eastAsia="fr-FR" w:bidi="fr-FR"/>
        </w:rPr>
        <w:t xml:space="preserve"> p. 292 et 293. De même, en 1261, pour les deniers melgoriens : A. </w:t>
      </w:r>
      <w:r w:rsidRPr="003B3476">
        <w:rPr>
          <w:rStyle w:val="Notedebasdepage65ptPetitesmajuscules"/>
          <w:b w:val="0"/>
          <w:sz w:val="24"/>
        </w:rPr>
        <w:t xml:space="preserve">Germain, </w:t>
      </w:r>
      <w:r w:rsidRPr="003B3476">
        <w:rPr>
          <w:i/>
        </w:rPr>
        <w:t>Mémoire sur les anciennes monnaies seigneuriales de Melgueil et de Montpellier</w:t>
      </w:r>
      <w:r w:rsidRPr="003B3476">
        <w:rPr>
          <w:lang w:val="fr-FR" w:eastAsia="fr-FR" w:bidi="fr-FR"/>
        </w:rPr>
        <w:t xml:space="preserve">, dans </w:t>
      </w:r>
      <w:r w:rsidRPr="003B3476">
        <w:rPr>
          <w:i/>
        </w:rPr>
        <w:t>Mém. Soc. Archéologique Montpellier</w:t>
      </w:r>
      <w:r w:rsidRPr="003B3476">
        <w:rPr>
          <w:lang w:val="fr-FR" w:eastAsia="fr-FR" w:bidi="fr-FR"/>
        </w:rPr>
        <w:t>, t. III, 1850-1854, p. 195.</w:t>
      </w:r>
    </w:p>
  </w:footnote>
  <w:footnote w:id="848">
    <w:p w14:paraId="599755A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 de </w:t>
      </w:r>
      <w:r w:rsidRPr="003B3476">
        <w:rPr>
          <w:rStyle w:val="Notedebasdepage65ptPetitesmajuscules"/>
          <w:b w:val="0"/>
          <w:sz w:val="24"/>
        </w:rPr>
        <w:t xml:space="preserve">Launay, </w:t>
      </w:r>
      <w:r w:rsidRPr="003B3476">
        <w:rPr>
          <w:i/>
          <w:lang w:val="fr-FR" w:eastAsia="fr-FR" w:bidi="fr-FR"/>
        </w:rPr>
        <w:t xml:space="preserve">L’or </w:t>
      </w:r>
      <w:r w:rsidRPr="003B3476">
        <w:rPr>
          <w:bCs/>
          <w:i/>
        </w:rPr>
        <w:t>dans le monde</w:t>
      </w:r>
      <w:r w:rsidRPr="003B3476">
        <w:rPr>
          <w:lang w:val="fr-FR" w:eastAsia="fr-FR" w:bidi="fr-FR"/>
        </w:rPr>
        <w:t>, 1907, p. 89. Sur l’histoire de la produ</w:t>
      </w:r>
      <w:r w:rsidRPr="003B3476">
        <w:rPr>
          <w:lang w:val="fr-FR" w:eastAsia="fr-FR" w:bidi="fr-FR"/>
        </w:rPr>
        <w:t>c</w:t>
      </w:r>
      <w:r w:rsidRPr="003B3476">
        <w:rPr>
          <w:lang w:val="fr-FR" w:eastAsia="fr-FR" w:bidi="fr-FR"/>
        </w:rPr>
        <w:t xml:space="preserve">tion de l’or, </w:t>
      </w:r>
      <w:r w:rsidRPr="003B3476">
        <w:rPr>
          <w:bCs/>
          <w:i/>
        </w:rPr>
        <w:t>cf.</w:t>
      </w:r>
      <w:r w:rsidRPr="003B3476">
        <w:rPr>
          <w:lang w:val="fr-FR" w:eastAsia="fr-FR" w:bidi="fr-FR"/>
        </w:rPr>
        <w:t xml:space="preserve"> </w:t>
      </w:r>
      <w:r w:rsidRPr="003B3476">
        <w:rPr>
          <w:rStyle w:val="Notedebasdepage65ptPetitesmajuscules"/>
          <w:b w:val="0"/>
          <w:sz w:val="24"/>
        </w:rPr>
        <w:t xml:space="preserve">H. Hauser, </w:t>
      </w:r>
      <w:r w:rsidRPr="003B3476">
        <w:rPr>
          <w:i/>
          <w:lang w:val="fr-FR" w:eastAsia="fr-FR" w:bidi="fr-FR"/>
        </w:rPr>
        <w:t>L’or</w:t>
      </w:r>
      <w:r w:rsidRPr="003B3476">
        <w:rPr>
          <w:lang w:val="fr-FR" w:eastAsia="fr-FR" w:bidi="fr-FR"/>
        </w:rPr>
        <w:t xml:space="preserve">, 1901, et un article, malheureusement bien rapide et dépourvu de références, de M. </w:t>
      </w:r>
      <w:r w:rsidRPr="003B3476">
        <w:rPr>
          <w:rStyle w:val="Notedebasdepage65ptPetitesmajuscules"/>
          <w:b w:val="0"/>
          <w:sz w:val="24"/>
        </w:rPr>
        <w:t xml:space="preserve">Zimmermann, </w:t>
      </w:r>
      <w:r w:rsidRPr="003B3476">
        <w:rPr>
          <w:bCs/>
          <w:i/>
        </w:rPr>
        <w:t>Les foyers de produ</w:t>
      </w:r>
      <w:r w:rsidRPr="003B3476">
        <w:rPr>
          <w:bCs/>
          <w:i/>
        </w:rPr>
        <w:t>c</w:t>
      </w:r>
      <w:r w:rsidRPr="003B3476">
        <w:rPr>
          <w:bCs/>
          <w:i/>
        </w:rPr>
        <w:t>tion de l’or dans l'antiquité et au Moyen Âge</w:t>
      </w:r>
      <w:r w:rsidRPr="003B3476">
        <w:rPr>
          <w:lang w:val="fr-FR" w:eastAsia="fr-FR" w:bidi="fr-FR"/>
        </w:rPr>
        <w:t xml:space="preserve">, dans </w:t>
      </w:r>
      <w:r w:rsidRPr="003B3476">
        <w:rPr>
          <w:bCs/>
          <w:i/>
        </w:rPr>
        <w:t>Bullet. de la Soc. de Gé</w:t>
      </w:r>
      <w:r w:rsidRPr="003B3476">
        <w:rPr>
          <w:bCs/>
          <w:i/>
        </w:rPr>
        <w:t>o</w:t>
      </w:r>
      <w:r w:rsidRPr="003B3476">
        <w:rPr>
          <w:bCs/>
          <w:i/>
        </w:rPr>
        <w:t>graphie de Lyon</w:t>
      </w:r>
      <w:r w:rsidRPr="003B3476">
        <w:rPr>
          <w:lang w:val="fr-FR" w:eastAsia="fr-FR" w:bidi="fr-FR"/>
        </w:rPr>
        <w:t>, t. XX, 1905.</w:t>
      </w:r>
    </w:p>
  </w:footnote>
  <w:footnote w:id="849">
    <w:p w14:paraId="1DBE50F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la Silésie, </w:t>
      </w:r>
      <w:r w:rsidRPr="003B3476">
        <w:rPr>
          <w:rStyle w:val="Notedebasdepage7ptItalique"/>
          <w:b w:val="0"/>
          <w:sz w:val="24"/>
        </w:rPr>
        <w:t>cf.</w:t>
      </w:r>
      <w:r w:rsidRPr="003B3476">
        <w:rPr>
          <w:bCs/>
        </w:rPr>
        <w:t xml:space="preserve"> </w:t>
      </w:r>
      <w:r w:rsidRPr="003B3476">
        <w:rPr>
          <w:lang w:val="fr-FR" w:eastAsia="fr-FR" w:bidi="fr-FR"/>
        </w:rPr>
        <w:t xml:space="preserve">C. </w:t>
      </w:r>
      <w:r w:rsidRPr="003B3476">
        <w:rPr>
          <w:bCs/>
          <w:smallCaps/>
        </w:rPr>
        <w:t>Faulhaber</w:t>
      </w:r>
      <w:r w:rsidRPr="003B3476">
        <w:rPr>
          <w:bCs/>
        </w:rPr>
        <w:t xml:space="preserve">, </w:t>
      </w:r>
      <w:r w:rsidRPr="003B3476">
        <w:rPr>
          <w:rStyle w:val="Notedebasdepage7ptItalique"/>
          <w:b w:val="0"/>
          <w:sz w:val="24"/>
        </w:rPr>
        <w:t>Die ehemalige schlesische Goldproduktion</w:t>
      </w:r>
      <w:r w:rsidRPr="003B3476">
        <w:rPr>
          <w:lang w:val="fr-FR" w:eastAsia="fr-FR" w:bidi="fr-FR"/>
        </w:rPr>
        <w:t>, 1896, p. 2. — Il semble que des filons — plutôt que des placers — aient été exploités en Cal</w:t>
      </w:r>
      <w:r w:rsidRPr="003B3476">
        <w:rPr>
          <w:lang w:val="fr-FR" w:eastAsia="fr-FR" w:bidi="fr-FR"/>
        </w:rPr>
        <w:t>a</w:t>
      </w:r>
      <w:r w:rsidRPr="003B3476">
        <w:rPr>
          <w:lang w:val="fr-FR" w:eastAsia="fr-FR" w:bidi="fr-FR"/>
        </w:rPr>
        <w:t xml:space="preserve">bre (le Bruttium des Anciens) : voir </w:t>
      </w:r>
      <w:r w:rsidRPr="003B3476">
        <w:rPr>
          <w:bCs/>
          <w:smallCaps/>
        </w:rPr>
        <w:t>Cassiodore</w:t>
      </w:r>
      <w:r w:rsidRPr="003B3476">
        <w:rPr>
          <w:bCs/>
        </w:rPr>
        <w:t xml:space="preserve">, </w:t>
      </w:r>
      <w:r w:rsidRPr="003B3476">
        <w:rPr>
          <w:rStyle w:val="Notedebasdepage7ptItalique"/>
          <w:b w:val="0"/>
          <w:sz w:val="24"/>
        </w:rPr>
        <w:t xml:space="preserve">Variae., </w:t>
      </w:r>
      <w:r w:rsidRPr="003B3476">
        <w:rPr>
          <w:lang w:val="fr-FR" w:eastAsia="fr-FR" w:bidi="fr-FR"/>
        </w:rPr>
        <w:t>IX, 3, et, au XI</w:t>
      </w:r>
      <w:r w:rsidRPr="003B3476">
        <w:rPr>
          <w:vertAlign w:val="superscript"/>
          <w:lang w:val="fr-FR" w:eastAsia="fr-FR" w:bidi="fr-FR"/>
        </w:rPr>
        <w:t>e</w:t>
      </w:r>
      <w:r w:rsidRPr="003B3476">
        <w:rPr>
          <w:lang w:val="fr-FR" w:eastAsia="fr-FR" w:bidi="fr-FR"/>
        </w:rPr>
        <w:t xml:space="preserve"> siècle, </w:t>
      </w:r>
      <w:r w:rsidRPr="003B3476">
        <w:rPr>
          <w:bCs/>
          <w:smallCaps/>
        </w:rPr>
        <w:t>Benzo d’Albe</w:t>
      </w:r>
      <w:r w:rsidRPr="003B3476">
        <w:rPr>
          <w:bCs/>
        </w:rPr>
        <w:t xml:space="preserve">, </w:t>
      </w:r>
      <w:r w:rsidRPr="003B3476">
        <w:rPr>
          <w:lang w:val="fr-FR" w:eastAsia="fr-FR" w:bidi="fr-FR"/>
        </w:rPr>
        <w:t xml:space="preserve">III, 1, dans </w:t>
      </w:r>
      <w:r w:rsidRPr="003B3476">
        <w:rPr>
          <w:rStyle w:val="Notedebasdepage7ptItalique"/>
          <w:b w:val="0"/>
          <w:sz w:val="24"/>
        </w:rPr>
        <w:t>S.S.</w:t>
      </w:r>
      <w:r w:rsidRPr="003B3476">
        <w:rPr>
          <w:bCs/>
        </w:rPr>
        <w:t>,</w:t>
      </w:r>
      <w:r w:rsidRPr="003B3476">
        <w:rPr>
          <w:lang w:val="fr-FR" w:eastAsia="fr-FR" w:bidi="fr-FR"/>
        </w:rPr>
        <w:t xml:space="preserve"> t. XI, p. 622 (plus loin, cependant — p. 678 — le même Benzo oppose à l’or d’Arabie </w:t>
      </w:r>
      <w:r w:rsidRPr="003B3476">
        <w:rPr>
          <w:rStyle w:val="Notedebasdepage7ptItalique"/>
          <w:b w:val="0"/>
          <w:sz w:val="24"/>
        </w:rPr>
        <w:t>l'argent</w:t>
      </w:r>
      <w:r w:rsidRPr="003B3476">
        <w:rPr>
          <w:bCs/>
        </w:rPr>
        <w:t xml:space="preserve"> </w:t>
      </w:r>
      <w:r w:rsidRPr="003B3476">
        <w:rPr>
          <w:lang w:val="fr-FR" w:eastAsia="fr-FR" w:bidi="fr-FR"/>
        </w:rPr>
        <w:t>de Calabre). Mais l’Italie du Sud n’appartient pas à la partie de l’Europe qui, au ix</w:t>
      </w:r>
      <w:r w:rsidRPr="003B3476">
        <w:rPr>
          <w:vertAlign w:val="superscript"/>
          <w:lang w:val="fr-FR" w:eastAsia="fr-FR" w:bidi="fr-FR"/>
        </w:rPr>
        <w:t>e</w:t>
      </w:r>
      <w:r w:rsidRPr="003B3476">
        <w:rPr>
          <w:lang w:val="fr-FR" w:eastAsia="fr-FR" w:bidi="fr-FR"/>
        </w:rPr>
        <w:t xml:space="preserve"> siècle, renonça à la frappe officielle de l’or. Par ailleurs, les mines ill</w:t>
      </w:r>
      <w:r w:rsidRPr="003B3476">
        <w:rPr>
          <w:lang w:val="fr-FR" w:eastAsia="fr-FR" w:bidi="fr-FR"/>
        </w:rPr>
        <w:t>y</w:t>
      </w:r>
      <w:r w:rsidRPr="003B3476">
        <w:rPr>
          <w:lang w:val="fr-FR" w:eastAsia="fr-FR" w:bidi="fr-FR"/>
        </w:rPr>
        <w:t>riennes, abandonnées à l’époque des invasions, ne semblent guère avoir été remises en état avant le XIII</w:t>
      </w:r>
      <w:r w:rsidRPr="003B3476">
        <w:rPr>
          <w:vertAlign w:val="superscript"/>
          <w:lang w:val="fr-FR" w:eastAsia="fr-FR" w:bidi="fr-FR"/>
        </w:rPr>
        <w:t>e</w:t>
      </w:r>
      <w:r w:rsidRPr="003B3476">
        <w:rPr>
          <w:lang w:val="fr-FR" w:eastAsia="fr-FR" w:bidi="fr-FR"/>
        </w:rPr>
        <w:t xml:space="preserve"> si</w:t>
      </w:r>
      <w:r w:rsidRPr="003B3476">
        <w:rPr>
          <w:lang w:val="fr-FR" w:eastAsia="fr-FR" w:bidi="fr-FR"/>
        </w:rPr>
        <w:t>è</w:t>
      </w:r>
      <w:r w:rsidRPr="003B3476">
        <w:rPr>
          <w:lang w:val="fr-FR" w:eastAsia="fr-FR" w:bidi="fr-FR"/>
        </w:rPr>
        <w:t xml:space="preserve">cle : </w:t>
      </w:r>
      <w:r w:rsidRPr="003B3476">
        <w:rPr>
          <w:rStyle w:val="Notedebasdepage7ptItalique"/>
          <w:b w:val="0"/>
          <w:sz w:val="24"/>
        </w:rPr>
        <w:t>cf.</w:t>
      </w:r>
      <w:r w:rsidRPr="003B3476">
        <w:rPr>
          <w:bCs/>
        </w:rPr>
        <w:t xml:space="preserve"> </w:t>
      </w:r>
      <w:r w:rsidRPr="003B3476">
        <w:rPr>
          <w:lang w:val="fr-FR" w:eastAsia="fr-FR" w:bidi="fr-FR"/>
        </w:rPr>
        <w:t xml:space="preserve">C. J. </w:t>
      </w:r>
      <w:r w:rsidRPr="003B3476">
        <w:rPr>
          <w:bCs/>
          <w:smallCaps/>
        </w:rPr>
        <w:t>Jireček</w:t>
      </w:r>
      <w:r w:rsidRPr="003B3476">
        <w:rPr>
          <w:bCs/>
        </w:rPr>
        <w:t xml:space="preserve">, </w:t>
      </w:r>
      <w:r w:rsidRPr="003B3476">
        <w:rPr>
          <w:rStyle w:val="Notedebasdepage7ptItalique"/>
          <w:b w:val="0"/>
          <w:sz w:val="24"/>
        </w:rPr>
        <w:t>Die Handelstrassen und Bergwerke von Serbien und Bosnien</w:t>
      </w:r>
      <w:r w:rsidRPr="003B3476">
        <w:rPr>
          <w:bCs/>
        </w:rPr>
        <w:t xml:space="preserve">, </w:t>
      </w:r>
      <w:r w:rsidRPr="003B3476">
        <w:rPr>
          <w:lang w:val="fr-FR" w:eastAsia="fr-FR" w:bidi="fr-FR"/>
        </w:rPr>
        <w:t xml:space="preserve">Prague, 1879, p. 41 et suiv. — Y eut-il, au </w:t>
      </w:r>
      <w:r w:rsidRPr="003B3476">
        <w:rPr>
          <w:smallCaps/>
          <w:lang w:val="fr-FR" w:eastAsia="fr-FR" w:bidi="fr-FR"/>
        </w:rPr>
        <w:t>xiii</w:t>
      </w:r>
      <w:r w:rsidRPr="003B3476">
        <w:rPr>
          <w:vertAlign w:val="superscript"/>
          <w:lang w:val="fr-FR" w:eastAsia="fr-FR" w:bidi="fr-FR"/>
        </w:rPr>
        <w:t>e</w:t>
      </w:r>
      <w:r w:rsidRPr="003B3476">
        <w:rPr>
          <w:lang w:val="fr-FR" w:eastAsia="fr-FR" w:bidi="fr-FR"/>
        </w:rPr>
        <w:t xml:space="preserve"> siècle du moins, des exploitations dans le Massif Central ? La mention, dans un compte établi pour Alphonse de Poitiers (ci-dessous, p. 860, n. 1) d’un marc d’or « de Montferrand » m’a amené à me p</w:t>
      </w:r>
      <w:r w:rsidRPr="003B3476">
        <w:rPr>
          <w:lang w:val="fr-FR" w:eastAsia="fr-FR" w:bidi="fr-FR"/>
        </w:rPr>
        <w:t>o</w:t>
      </w:r>
      <w:r w:rsidRPr="003B3476">
        <w:rPr>
          <w:lang w:val="fr-FR" w:eastAsia="fr-FR" w:bidi="fr-FR"/>
        </w:rPr>
        <w:t>ser la question ; je n’ai pu la résoudre.</w:t>
      </w:r>
    </w:p>
  </w:footnote>
  <w:footnote w:id="850">
    <w:p w14:paraId="2936123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65ptNonItaliquePetitesmajuscules"/>
          <w:b w:val="0"/>
          <w:i w:val="0"/>
          <w:iCs w:val="0"/>
          <w:sz w:val="24"/>
        </w:rPr>
        <w:t xml:space="preserve">Barbier, </w:t>
      </w:r>
      <w:r w:rsidRPr="003B3476">
        <w:rPr>
          <w:i/>
          <w:lang w:val="fr-FR" w:eastAsia="fr-FR" w:bidi="fr-FR"/>
        </w:rPr>
        <w:t>La cueillette de l'or à Pamiers</w:t>
      </w:r>
      <w:r w:rsidRPr="003B3476">
        <w:rPr>
          <w:bCs/>
          <w:i/>
        </w:rPr>
        <w:t xml:space="preserve">, dans </w:t>
      </w:r>
      <w:r w:rsidRPr="003B3476">
        <w:rPr>
          <w:i/>
          <w:lang w:val="fr-FR" w:eastAsia="fr-FR" w:bidi="fr-FR"/>
        </w:rPr>
        <w:t>Bulletin périodique de la Soc. Ari</w:t>
      </w:r>
      <w:r w:rsidRPr="003B3476">
        <w:rPr>
          <w:i/>
          <w:lang w:val="fr-FR" w:eastAsia="fr-FR" w:bidi="fr-FR"/>
        </w:rPr>
        <w:t>é</w:t>
      </w:r>
      <w:r w:rsidRPr="003B3476">
        <w:rPr>
          <w:i/>
          <w:lang w:val="fr-FR" w:eastAsia="fr-FR" w:bidi="fr-FR"/>
        </w:rPr>
        <w:t>geoise des Sciences</w:t>
      </w:r>
      <w:r w:rsidRPr="003B3476">
        <w:rPr>
          <w:lang w:val="fr-FR" w:eastAsia="fr-FR" w:bidi="fr-FR"/>
        </w:rPr>
        <w:t>,</w:t>
      </w:r>
      <w:r w:rsidRPr="003B3476">
        <w:rPr>
          <w:bCs/>
        </w:rPr>
        <w:t xml:space="preserve"> t. IX, 1903-1904 ; H. </w:t>
      </w:r>
      <w:r w:rsidRPr="003B3476">
        <w:rPr>
          <w:rStyle w:val="Notedebasdepage365ptNonItaliquePetitesmajuscules"/>
          <w:b w:val="0"/>
          <w:i w:val="0"/>
          <w:iCs w:val="0"/>
          <w:sz w:val="24"/>
        </w:rPr>
        <w:t xml:space="preserve">Heimpel, </w:t>
      </w:r>
      <w:r w:rsidRPr="003B3476">
        <w:rPr>
          <w:i/>
          <w:lang w:val="fr-FR" w:eastAsia="fr-FR" w:bidi="fr-FR"/>
        </w:rPr>
        <w:t>Das Gewerbe der Stadt R</w:t>
      </w:r>
      <w:r w:rsidRPr="003B3476">
        <w:rPr>
          <w:i/>
          <w:lang w:val="fr-FR" w:eastAsia="fr-FR" w:bidi="fr-FR"/>
        </w:rPr>
        <w:t>e</w:t>
      </w:r>
      <w:r w:rsidRPr="003B3476">
        <w:rPr>
          <w:i/>
          <w:lang w:val="fr-FR" w:eastAsia="fr-FR" w:bidi="fr-FR"/>
        </w:rPr>
        <w:t>gensburg</w:t>
      </w:r>
      <w:r w:rsidRPr="003B3476">
        <w:rPr>
          <w:lang w:val="fr-FR" w:eastAsia="fr-FR" w:bidi="fr-FR"/>
        </w:rPr>
        <w:t>,</w:t>
      </w:r>
      <w:r w:rsidRPr="003B3476">
        <w:rPr>
          <w:bCs/>
        </w:rPr>
        <w:t xml:space="preserve"> 1926, p. 159 </w:t>
      </w:r>
      <w:r w:rsidRPr="003B3476">
        <w:rPr>
          <w:lang w:val="fr-FR" w:eastAsia="fr-FR" w:bidi="fr-FR"/>
        </w:rPr>
        <w:t>(</w:t>
      </w:r>
      <w:r w:rsidRPr="003B3476">
        <w:rPr>
          <w:i/>
          <w:lang w:val="fr-FR" w:eastAsia="fr-FR" w:bidi="fr-FR"/>
        </w:rPr>
        <w:t>Beihefte zur Vierteljahrschrift für Soz. -und Wir</w:t>
      </w:r>
      <w:r w:rsidRPr="003B3476">
        <w:rPr>
          <w:i/>
          <w:lang w:val="fr-FR" w:eastAsia="fr-FR" w:bidi="fr-FR"/>
        </w:rPr>
        <w:t>t</w:t>
      </w:r>
      <w:r w:rsidRPr="003B3476">
        <w:rPr>
          <w:i/>
          <w:lang w:val="fr-FR" w:eastAsia="fr-FR" w:bidi="fr-FR"/>
        </w:rPr>
        <w:t>schaftsgesch</w:t>
      </w:r>
      <w:r w:rsidRPr="003B3476">
        <w:rPr>
          <w:lang w:val="fr-FR" w:eastAsia="fr-FR" w:bidi="fr-FR"/>
        </w:rPr>
        <w:t>,</w:t>
      </w:r>
      <w:r w:rsidRPr="003B3476">
        <w:rPr>
          <w:bCs/>
        </w:rPr>
        <w:t xml:space="preserve"> t. IX) ; A. </w:t>
      </w:r>
      <w:r w:rsidRPr="003B3476">
        <w:rPr>
          <w:rStyle w:val="Notedebasdepage365ptNonItaliquePetitesmajuscules"/>
          <w:b w:val="0"/>
          <w:i w:val="0"/>
          <w:iCs w:val="0"/>
          <w:sz w:val="24"/>
        </w:rPr>
        <w:t xml:space="preserve">Solmi, </w:t>
      </w:r>
      <w:r w:rsidRPr="003B3476">
        <w:rPr>
          <w:i/>
          <w:lang w:val="fr-FR" w:eastAsia="fr-FR" w:bidi="fr-FR"/>
        </w:rPr>
        <w:t>L'amministrazione finanzaria del regno italico nell’alto medio evo,</w:t>
      </w:r>
      <w:r w:rsidRPr="003B3476">
        <w:rPr>
          <w:bCs/>
        </w:rPr>
        <w:t xml:space="preserve"> 1932 </w:t>
      </w:r>
      <w:r w:rsidRPr="003B3476">
        <w:rPr>
          <w:lang w:val="fr-FR" w:eastAsia="fr-FR" w:bidi="fr-FR"/>
        </w:rPr>
        <w:t>(</w:t>
      </w:r>
      <w:r w:rsidRPr="003B3476">
        <w:rPr>
          <w:i/>
          <w:lang w:val="fr-FR" w:eastAsia="fr-FR" w:bidi="fr-FR"/>
        </w:rPr>
        <w:t>Biblioteca délia Societa Pavese di Storia Patria</w:t>
      </w:r>
      <w:r w:rsidRPr="003B3476">
        <w:rPr>
          <w:i/>
          <w:vertAlign w:val="subscript"/>
          <w:lang w:val="fr-FR" w:eastAsia="fr-FR" w:bidi="fr-FR"/>
        </w:rPr>
        <w:t>y</w:t>
      </w:r>
      <w:r w:rsidRPr="003B3476">
        <w:rPr>
          <w:bCs/>
        </w:rPr>
        <w:t xml:space="preserve"> 2), p. 129 et suiv.</w:t>
      </w:r>
    </w:p>
  </w:footnote>
  <w:footnote w:id="851">
    <w:p w14:paraId="1A6692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Ermoldus Nigellus, </w:t>
      </w:r>
      <w:r w:rsidRPr="003B3476">
        <w:rPr>
          <w:lang w:val="fr-FR" w:eastAsia="fr-FR" w:bidi="fr-FR"/>
        </w:rPr>
        <w:t xml:space="preserve">dans </w:t>
      </w:r>
      <w:r w:rsidRPr="003B3476">
        <w:rPr>
          <w:i/>
        </w:rPr>
        <w:t>Poetae aevi Karolini</w:t>
      </w:r>
      <w:r w:rsidRPr="003B3476">
        <w:t>,</w:t>
      </w:r>
      <w:r w:rsidRPr="003B3476">
        <w:rPr>
          <w:lang w:val="fr-FR" w:eastAsia="fr-FR" w:bidi="fr-FR"/>
        </w:rPr>
        <w:t xml:space="preserve"> t. II, p. 83, v. 125 ; </w:t>
      </w:r>
      <w:r w:rsidRPr="003B3476">
        <w:rPr>
          <w:rStyle w:val="Notedebasdepage65ptPetitesmajuscules"/>
          <w:b w:val="0"/>
          <w:sz w:val="24"/>
        </w:rPr>
        <w:t>O</w:t>
      </w:r>
      <w:r w:rsidRPr="003B3476">
        <w:rPr>
          <w:rStyle w:val="Notedebasdepage65ptPetitesmajuscules"/>
          <w:b w:val="0"/>
          <w:sz w:val="24"/>
        </w:rPr>
        <w:t>t</w:t>
      </w:r>
      <w:r w:rsidRPr="003B3476">
        <w:rPr>
          <w:rStyle w:val="Notedebasdepage65ptPetitesmajuscules"/>
          <w:b w:val="0"/>
          <w:sz w:val="24"/>
        </w:rPr>
        <w:t xml:space="preserve">fried, </w:t>
      </w:r>
      <w:r w:rsidRPr="003B3476">
        <w:rPr>
          <w:i/>
        </w:rPr>
        <w:t>Evan-gelienbuchy</w:t>
      </w:r>
      <w:r w:rsidRPr="003B3476">
        <w:rPr>
          <w:lang w:val="fr-FR" w:eastAsia="fr-FR" w:bidi="fr-FR"/>
        </w:rPr>
        <w:t xml:space="preserve"> I, v. 72 ; </w:t>
      </w:r>
      <w:r w:rsidRPr="003B3476">
        <w:t>S.S.</w:t>
      </w:r>
      <w:r w:rsidRPr="003B3476">
        <w:rPr>
          <w:vertAlign w:val="subscript"/>
        </w:rPr>
        <w:t>t</w:t>
      </w:r>
      <w:r w:rsidRPr="003B3476">
        <w:rPr>
          <w:lang w:val="fr-FR" w:eastAsia="fr-FR" w:bidi="fr-FR"/>
        </w:rPr>
        <w:t xml:space="preserve"> t. XV, p. 995 ; XXIII, p. 436, c. 9 ; </w:t>
      </w:r>
      <w:r w:rsidRPr="003B3476">
        <w:rPr>
          <w:rStyle w:val="Notedebasdepage65ptPetitesmajuscules"/>
          <w:b w:val="0"/>
          <w:sz w:val="24"/>
        </w:rPr>
        <w:t xml:space="preserve">Theophilus, </w:t>
      </w:r>
      <w:r w:rsidRPr="003B3476">
        <w:rPr>
          <w:i/>
        </w:rPr>
        <w:t>Sched</w:t>
      </w:r>
      <w:r w:rsidRPr="003B3476">
        <w:rPr>
          <w:i/>
        </w:rPr>
        <w:t>u</w:t>
      </w:r>
      <w:r w:rsidRPr="003B3476">
        <w:rPr>
          <w:i/>
        </w:rPr>
        <w:t>la</w:t>
      </w:r>
      <w:r w:rsidRPr="003B3476">
        <w:rPr>
          <w:i/>
          <w:vertAlign w:val="subscript"/>
        </w:rPr>
        <w:t>t</w:t>
      </w:r>
      <w:r w:rsidRPr="003B3476">
        <w:rPr>
          <w:lang w:val="fr-FR" w:eastAsia="fr-FR" w:bidi="fr-FR"/>
        </w:rPr>
        <w:t xml:space="preserve"> éd. </w:t>
      </w:r>
      <w:r w:rsidRPr="003B3476">
        <w:rPr>
          <w:rStyle w:val="Notedebasdepage65ptPetitesmajuscules"/>
          <w:b w:val="0"/>
          <w:sz w:val="24"/>
        </w:rPr>
        <w:t xml:space="preserve">Ilg </w:t>
      </w:r>
      <w:r w:rsidRPr="003B3476">
        <w:t>(</w:t>
      </w:r>
      <w:r w:rsidRPr="003B3476">
        <w:rPr>
          <w:i/>
        </w:rPr>
        <w:t>Quellenschriften für Kunstgeschichte,</w:t>
      </w:r>
      <w:r w:rsidRPr="003B3476">
        <w:rPr>
          <w:lang w:val="fr-FR" w:eastAsia="fr-FR" w:bidi="fr-FR"/>
        </w:rPr>
        <w:t xml:space="preserve"> t VII), III, 49. — Une laverie entre Bâle et Strasbourg est encore décrite en 1438 par l’Espagnol Pierre T</w:t>
      </w:r>
      <w:r w:rsidRPr="003B3476">
        <w:rPr>
          <w:lang w:val="fr-FR" w:eastAsia="fr-FR" w:bidi="fr-FR"/>
        </w:rPr>
        <w:t>a</w:t>
      </w:r>
      <w:r w:rsidRPr="003B3476">
        <w:rPr>
          <w:lang w:val="fr-FR" w:eastAsia="fr-FR" w:bidi="fr-FR"/>
        </w:rPr>
        <w:t>fur :</w:t>
      </w:r>
      <w:r w:rsidRPr="003B3476">
        <w:rPr>
          <w:i/>
        </w:rPr>
        <w:t>cf.</w:t>
      </w:r>
      <w:r w:rsidRPr="003B3476">
        <w:t xml:space="preserve"> </w:t>
      </w:r>
      <w:r w:rsidRPr="003B3476">
        <w:rPr>
          <w:i/>
        </w:rPr>
        <w:t>Festschri fiA. Cartellieri</w:t>
      </w:r>
      <w:r w:rsidRPr="003B3476">
        <w:t>,</w:t>
      </w:r>
      <w:r w:rsidRPr="003B3476">
        <w:rPr>
          <w:lang w:val="fr-FR" w:eastAsia="fr-FR" w:bidi="fr-FR"/>
        </w:rPr>
        <w:t xml:space="preserve"> 1927, p. 33.</w:t>
      </w:r>
    </w:p>
  </w:footnote>
  <w:footnote w:id="852">
    <w:p w14:paraId="6C11876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Ep</w:t>
      </w:r>
      <w:r w:rsidRPr="003B3476">
        <w:rPr>
          <w:bCs/>
        </w:rPr>
        <w:t>.</w:t>
      </w:r>
      <w:r w:rsidRPr="003B3476">
        <w:rPr>
          <w:lang w:val="fr-FR" w:eastAsia="fr-FR" w:bidi="fr-FR"/>
        </w:rPr>
        <w:t xml:space="preserve"> X, 29.</w:t>
      </w:r>
    </w:p>
  </w:footnote>
  <w:footnote w:id="853">
    <w:p w14:paraId="7785A77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Cod. Theod</w:t>
      </w:r>
      <w:r w:rsidRPr="003B3476">
        <w:rPr>
          <w:bCs/>
        </w:rPr>
        <w:t>.,</w:t>
      </w:r>
      <w:r w:rsidRPr="003B3476">
        <w:rPr>
          <w:lang w:val="fr-FR" w:eastAsia="fr-FR" w:bidi="fr-FR"/>
        </w:rPr>
        <w:t xml:space="preserve"> XIII, 2,1 ; VIII, 4, 27.</w:t>
      </w:r>
    </w:p>
  </w:footnote>
  <w:footnote w:id="854">
    <w:p w14:paraId="5D76103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Nov. Maioriani</w:t>
      </w:r>
      <w:r w:rsidRPr="003B3476">
        <w:rPr>
          <w:lang w:val="fr-FR" w:eastAsia="fr-FR" w:bidi="fr-FR"/>
        </w:rPr>
        <w:t xml:space="preserve">, VII, 14 ; </w:t>
      </w:r>
      <w:r w:rsidRPr="003B3476">
        <w:rPr>
          <w:i/>
        </w:rPr>
        <w:t>Greg. Ep</w:t>
      </w:r>
      <w:r w:rsidRPr="003B3476">
        <w:rPr>
          <w:lang w:val="fr-FR" w:eastAsia="fr-FR" w:bidi="fr-FR"/>
        </w:rPr>
        <w:t xml:space="preserve">., VI, 10 ; </w:t>
      </w:r>
      <w:r w:rsidRPr="003B3476">
        <w:rPr>
          <w:i/>
        </w:rPr>
        <w:t>Lex Burg</w:t>
      </w:r>
      <w:r w:rsidRPr="003B3476">
        <w:t>.,</w:t>
      </w:r>
      <w:r w:rsidRPr="003B3476">
        <w:rPr>
          <w:lang w:val="fr-FR" w:eastAsia="fr-FR" w:bidi="fr-FR"/>
        </w:rPr>
        <w:t xml:space="preserve"> XXI, 7 ; </w:t>
      </w:r>
      <w:r w:rsidRPr="003B3476">
        <w:rPr>
          <w:i/>
        </w:rPr>
        <w:t>Aviti Ep</w:t>
      </w:r>
      <w:r w:rsidRPr="003B3476">
        <w:t xml:space="preserve">., dans </w:t>
      </w:r>
      <w:r w:rsidRPr="003B3476">
        <w:rPr>
          <w:i/>
        </w:rPr>
        <w:t>A.A</w:t>
      </w:r>
      <w:r w:rsidRPr="003B3476">
        <w:t>.</w:t>
      </w:r>
      <w:r w:rsidRPr="003B3476">
        <w:rPr>
          <w:lang w:val="fr-FR" w:eastAsia="fr-FR" w:bidi="fr-FR"/>
        </w:rPr>
        <w:t xml:space="preserve">, </w:t>
      </w:r>
      <w:r w:rsidRPr="003B3476">
        <w:rPr>
          <w:bCs/>
        </w:rPr>
        <w:t xml:space="preserve">t. </w:t>
      </w:r>
      <w:r w:rsidRPr="003B3476">
        <w:rPr>
          <w:lang w:val="fr-FR" w:eastAsia="fr-FR" w:bidi="fr-FR"/>
        </w:rPr>
        <w:t>VI, 2, p. 96, 1. 33.</w:t>
      </w:r>
    </w:p>
  </w:footnote>
  <w:footnote w:id="855">
    <w:p w14:paraId="1557F5C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w:t>
      </w:r>
      <w:r w:rsidRPr="003B3476">
        <w:t xml:space="preserve"> </w:t>
      </w:r>
      <w:r w:rsidRPr="003B3476">
        <w:rPr>
          <w:smallCaps/>
        </w:rPr>
        <w:t>Luschin</w:t>
      </w:r>
      <w:r w:rsidRPr="003B3476">
        <w:t xml:space="preserve"> </w:t>
      </w:r>
      <w:r w:rsidRPr="003B3476">
        <w:rPr>
          <w:smallCaps/>
        </w:rPr>
        <w:t>von Ebengreuth</w:t>
      </w:r>
      <w:r w:rsidRPr="003B3476">
        <w:t xml:space="preserve">, dans </w:t>
      </w:r>
      <w:r w:rsidRPr="003B3476">
        <w:rPr>
          <w:i/>
        </w:rPr>
        <w:t>Neus Archiv</w:t>
      </w:r>
      <w:r w:rsidRPr="003B3476">
        <w:t>., 1908, p. 449.</w:t>
      </w:r>
    </w:p>
  </w:footnote>
  <w:footnote w:id="856">
    <w:p w14:paraId="6A7D96A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rPr>
        <w:t xml:space="preserve">Havard, </w:t>
      </w:r>
      <w:r w:rsidRPr="003B3476">
        <w:rPr>
          <w:rStyle w:val="Notedebasdepage7ptItalique"/>
          <w:b w:val="0"/>
          <w:sz w:val="24"/>
        </w:rPr>
        <w:t>Histoire de l’orfèvrerie française</w:t>
      </w:r>
      <w:r w:rsidRPr="003B3476">
        <w:rPr>
          <w:lang w:val="fr-FR" w:eastAsia="fr-FR" w:bidi="fr-FR"/>
        </w:rPr>
        <w:t>, 1896, p. 59. — Le souvenir de cet appauvriss</w:t>
      </w:r>
      <w:r w:rsidRPr="003B3476">
        <w:rPr>
          <w:lang w:val="fr-FR" w:eastAsia="fr-FR" w:bidi="fr-FR"/>
        </w:rPr>
        <w:t>e</w:t>
      </w:r>
      <w:r w:rsidRPr="003B3476">
        <w:rPr>
          <w:lang w:val="fr-FR" w:eastAsia="fr-FR" w:bidi="fr-FR"/>
        </w:rPr>
        <w:t xml:space="preserve">ment s’exprime, sous forme légendaire, dans une curieuse notice de la </w:t>
      </w:r>
      <w:r w:rsidRPr="003B3476">
        <w:rPr>
          <w:rStyle w:val="Notedebasdepage7ptItalique"/>
          <w:b w:val="0"/>
          <w:sz w:val="24"/>
        </w:rPr>
        <w:t>Chronique anglo-saxonne</w:t>
      </w:r>
      <w:r w:rsidRPr="003B3476">
        <w:rPr>
          <w:lang w:val="fr-FR" w:eastAsia="fr-FR" w:bidi="fr-FR"/>
        </w:rPr>
        <w:t>, à l’année 418 : « Les Romains rassemblèrent tous les trésors d’or qui se trouvaient en Bretagne ; ils en cachèrent une partie sous la terre, pour que nul homme ne pût jamais la retrouver, et emportèrent le reste avec eux, en Gaule ».</w:t>
      </w:r>
    </w:p>
  </w:footnote>
  <w:footnote w:id="857">
    <w:p w14:paraId="6F0A8F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Revue numismatique</w:t>
      </w:r>
      <w:r w:rsidRPr="003B3476">
        <w:rPr>
          <w:rStyle w:val="Notedebasdepage475ptNonItalique"/>
          <w:b w:val="0"/>
          <w:i w:val="0"/>
          <w:iCs w:val="0"/>
          <w:sz w:val="24"/>
        </w:rPr>
        <w:t>, 1845, p. 14.</w:t>
      </w:r>
    </w:p>
  </w:footnote>
  <w:footnote w:id="858">
    <w:p w14:paraId="033FE3C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 J</w:t>
      </w:r>
      <w:r w:rsidRPr="003B3476">
        <w:rPr>
          <w:lang w:val="fr-FR" w:eastAsia="fr-FR" w:bidi="fr-FR"/>
        </w:rPr>
        <w:t>., IV, 63, 2.</w:t>
      </w:r>
    </w:p>
  </w:footnote>
  <w:footnote w:id="859">
    <w:p w14:paraId="4511B5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Adam Bremensis</w:t>
      </w:r>
      <w:r w:rsidRPr="003B3476">
        <w:rPr>
          <w:bCs/>
        </w:rPr>
        <w:t xml:space="preserve">, </w:t>
      </w:r>
      <w:r w:rsidRPr="003B3476">
        <w:rPr>
          <w:lang w:val="fr-FR" w:eastAsia="fr-FR" w:bidi="fr-FR"/>
        </w:rPr>
        <w:t xml:space="preserve">IV, 6 ; </w:t>
      </w:r>
      <w:r w:rsidRPr="003B3476">
        <w:rPr>
          <w:rStyle w:val="Notedebasdepage7ptItalique"/>
          <w:b w:val="0"/>
          <w:sz w:val="24"/>
        </w:rPr>
        <w:t>Encomium Emmae</w:t>
      </w:r>
      <w:r w:rsidRPr="003B3476">
        <w:rPr>
          <w:rStyle w:val="Notedebasdepage7ptItalique"/>
          <w:b w:val="0"/>
          <w:i w:val="0"/>
          <w:sz w:val="24"/>
        </w:rPr>
        <w:t>,</w:t>
      </w:r>
      <w:r w:rsidRPr="003B3476">
        <w:rPr>
          <w:bCs/>
        </w:rPr>
        <w:t xml:space="preserve"> </w:t>
      </w:r>
      <w:r w:rsidRPr="003B3476">
        <w:rPr>
          <w:lang w:val="fr-FR" w:eastAsia="fr-FR" w:bidi="fr-FR"/>
        </w:rPr>
        <w:t xml:space="preserve">II, 4, dans </w:t>
      </w:r>
      <w:r w:rsidRPr="003B3476">
        <w:rPr>
          <w:i/>
          <w:lang w:val="fr-FR" w:eastAsia="fr-FR" w:bidi="fr-FR"/>
        </w:rPr>
        <w:t>S.S</w:t>
      </w:r>
      <w:r w:rsidRPr="003B3476">
        <w:rPr>
          <w:lang w:val="fr-FR" w:eastAsia="fr-FR" w:bidi="fr-FR"/>
        </w:rPr>
        <w:t xml:space="preserve">., t. XIX, p. 515. </w:t>
      </w:r>
      <w:r w:rsidRPr="003B3476">
        <w:rPr>
          <w:rStyle w:val="Notedebasdepage7ptItalique"/>
          <w:b w:val="0"/>
          <w:sz w:val="24"/>
        </w:rPr>
        <w:t>Cf.</w:t>
      </w:r>
      <w:r w:rsidRPr="003B3476">
        <w:rPr>
          <w:bCs/>
        </w:rPr>
        <w:t xml:space="preserve"> </w:t>
      </w:r>
      <w:r w:rsidRPr="003B3476">
        <w:rPr>
          <w:lang w:val="fr-FR" w:eastAsia="fr-FR" w:bidi="fr-FR"/>
        </w:rPr>
        <w:t xml:space="preserve">les travaux d’O. R. </w:t>
      </w:r>
      <w:r w:rsidRPr="003B3476">
        <w:rPr>
          <w:bCs/>
        </w:rPr>
        <w:t xml:space="preserve">Janse, </w:t>
      </w:r>
      <w:r w:rsidRPr="003B3476">
        <w:rPr>
          <w:rStyle w:val="Notedebasdepage7ptItalique"/>
          <w:b w:val="0"/>
          <w:sz w:val="24"/>
        </w:rPr>
        <w:t>Le travail de l’or en Suède,</w:t>
      </w:r>
      <w:r w:rsidRPr="003B3476">
        <w:rPr>
          <w:bCs/>
        </w:rPr>
        <w:t xml:space="preserve"> </w:t>
      </w:r>
      <w:r w:rsidRPr="003B3476">
        <w:rPr>
          <w:lang w:val="fr-FR" w:eastAsia="fr-FR" w:bidi="fr-FR"/>
        </w:rPr>
        <w:t xml:space="preserve">1922, et </w:t>
      </w:r>
      <w:r w:rsidRPr="003B3476">
        <w:rPr>
          <w:rStyle w:val="Notedebasdepage7ptItalique"/>
          <w:b w:val="0"/>
          <w:sz w:val="24"/>
        </w:rPr>
        <w:t>Note sur les solidi</w:t>
      </w:r>
      <w:r w:rsidRPr="003B3476">
        <w:rPr>
          <w:lang w:val="fr-FR" w:eastAsia="fr-FR" w:bidi="fr-FR"/>
        </w:rPr>
        <w:t xml:space="preserve">, dans </w:t>
      </w:r>
      <w:r w:rsidRPr="003B3476">
        <w:rPr>
          <w:rStyle w:val="Notedebasdepage7ptItalique"/>
          <w:b w:val="0"/>
          <w:sz w:val="24"/>
        </w:rPr>
        <w:t>Revue numismatique</w:t>
      </w:r>
      <w:r w:rsidRPr="003B3476">
        <w:rPr>
          <w:lang w:val="fr-FR" w:eastAsia="fr-FR" w:bidi="fr-FR"/>
        </w:rPr>
        <w:t xml:space="preserve">, 1922. — On sait qu’au début du </w:t>
      </w:r>
      <w:r w:rsidRPr="003B3476">
        <w:rPr>
          <w:caps/>
          <w:lang w:val="fr-FR" w:eastAsia="fr-FR" w:bidi="fr-FR"/>
        </w:rPr>
        <w:t>vi</w:t>
      </w:r>
      <w:r w:rsidRPr="003B3476">
        <w:rPr>
          <w:vertAlign w:val="superscript"/>
          <w:lang w:val="fr-FR" w:eastAsia="fr-FR" w:bidi="fr-FR"/>
        </w:rPr>
        <w:t>e</w:t>
      </w:r>
      <w:r w:rsidRPr="003B3476">
        <w:rPr>
          <w:lang w:val="fr-FR" w:eastAsia="fr-FR" w:bidi="fr-FR"/>
        </w:rPr>
        <w:t> siècle une fraction du peuple hérule quitta le haut Danube pour regagner la Scand</w:t>
      </w:r>
      <w:r w:rsidRPr="003B3476">
        <w:rPr>
          <w:lang w:val="fr-FR" w:eastAsia="fr-FR" w:bidi="fr-FR"/>
        </w:rPr>
        <w:t>i</w:t>
      </w:r>
      <w:r w:rsidRPr="003B3476">
        <w:rPr>
          <w:lang w:val="fr-FR" w:eastAsia="fr-FR" w:bidi="fr-FR"/>
        </w:rPr>
        <w:t>navie ; un prince norvégien vécut à la cour de Théodoric le Grand.</w:t>
      </w:r>
    </w:p>
  </w:footnote>
  <w:footnote w:id="860">
    <w:p w14:paraId="53649E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Cf.,</w:t>
      </w:r>
      <w:r w:rsidRPr="003B3476">
        <w:rPr>
          <w:lang w:val="fr-FR" w:eastAsia="fr-FR" w:bidi="fr-FR"/>
        </w:rPr>
        <w:t xml:space="preserve"> outre les travaux relatifs à l’hyperpère, pour lesquels je renvoie à l’orientation bibliographique. Ch. </w:t>
      </w:r>
      <w:r w:rsidRPr="003B3476">
        <w:rPr>
          <w:bCs/>
          <w:smallCaps/>
        </w:rPr>
        <w:t>Diehl</w:t>
      </w:r>
      <w:r w:rsidRPr="003B3476">
        <w:rPr>
          <w:bCs/>
        </w:rPr>
        <w:t xml:space="preserve">, </w:t>
      </w:r>
      <w:r w:rsidRPr="003B3476">
        <w:rPr>
          <w:rStyle w:val="Notedebasdepage7ptItalique"/>
          <w:b w:val="0"/>
          <w:sz w:val="24"/>
        </w:rPr>
        <w:t>Une crise monétaire au VI</w:t>
      </w:r>
      <w:r w:rsidRPr="003B3476">
        <w:rPr>
          <w:rStyle w:val="Notedebasdepage7ptItalique"/>
          <w:b w:val="0"/>
          <w:sz w:val="24"/>
          <w:vertAlign w:val="superscript"/>
        </w:rPr>
        <w:t>e</w:t>
      </w:r>
      <w:r w:rsidRPr="003B3476">
        <w:rPr>
          <w:rStyle w:val="Notedebasdepage7ptItalique"/>
          <w:b w:val="0"/>
          <w:sz w:val="24"/>
        </w:rPr>
        <w:t xml:space="preserve"> siècle</w:t>
      </w:r>
      <w:r w:rsidRPr="003B3476">
        <w:rPr>
          <w:lang w:val="fr-FR" w:eastAsia="fr-FR" w:bidi="fr-FR"/>
        </w:rPr>
        <w:t xml:space="preserve">, dans </w:t>
      </w:r>
      <w:r w:rsidRPr="003B3476">
        <w:rPr>
          <w:rStyle w:val="Notedebasdepage7ptItalique"/>
          <w:b w:val="0"/>
          <w:sz w:val="24"/>
        </w:rPr>
        <w:t>Revue des études grecques</w:t>
      </w:r>
      <w:r w:rsidRPr="003B3476">
        <w:rPr>
          <w:bCs/>
        </w:rPr>
        <w:t xml:space="preserve">, </w:t>
      </w:r>
      <w:r w:rsidRPr="003B3476">
        <w:rPr>
          <w:lang w:val="fr-FR" w:eastAsia="fr-FR" w:bidi="fr-FR"/>
        </w:rPr>
        <w:t>t. XXXII, 1919.</w:t>
      </w:r>
    </w:p>
  </w:footnote>
  <w:footnote w:id="861">
    <w:p w14:paraId="5625EF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M. </w:t>
      </w:r>
      <w:r w:rsidRPr="003B3476">
        <w:rPr>
          <w:rStyle w:val="Notedebasdepage465ptNonItalique"/>
          <w:b w:val="0"/>
          <w:i w:val="0"/>
          <w:iCs w:val="0"/>
          <w:smallCaps/>
          <w:sz w:val="24"/>
        </w:rPr>
        <w:t>Prou</w:t>
      </w:r>
      <w:r w:rsidRPr="003B3476">
        <w:rPr>
          <w:rStyle w:val="Notedebasdepage465ptNonItalique"/>
          <w:b w:val="0"/>
          <w:i w:val="0"/>
          <w:iCs w:val="0"/>
          <w:sz w:val="24"/>
        </w:rPr>
        <w:t xml:space="preserve"> </w:t>
      </w:r>
      <w:r w:rsidRPr="003B3476">
        <w:rPr>
          <w:rStyle w:val="Notedebasdepage475ptNonItalique"/>
          <w:b w:val="0"/>
          <w:i w:val="0"/>
          <w:iCs w:val="0"/>
          <w:sz w:val="24"/>
        </w:rPr>
        <w:t xml:space="preserve">et A. </w:t>
      </w:r>
      <w:r w:rsidRPr="003B3476">
        <w:rPr>
          <w:rStyle w:val="Notedebasdepage465ptNonItalique"/>
          <w:b w:val="0"/>
          <w:i w:val="0"/>
          <w:iCs w:val="0"/>
          <w:smallCaps/>
          <w:sz w:val="24"/>
        </w:rPr>
        <w:t>Vidier</w:t>
      </w:r>
      <w:r w:rsidRPr="003B3476">
        <w:rPr>
          <w:rStyle w:val="Notedebasdepage465ptNonItalique"/>
          <w:b w:val="0"/>
          <w:i w:val="0"/>
          <w:iCs w:val="0"/>
          <w:sz w:val="24"/>
        </w:rPr>
        <w:t xml:space="preserve">, </w:t>
      </w:r>
      <w:r w:rsidRPr="003B3476">
        <w:rPr>
          <w:i/>
          <w:lang w:val="fr-FR" w:eastAsia="fr-FR" w:bidi="fr-FR"/>
        </w:rPr>
        <w:t>Recueil des chartes de Saint-Benoît-sur-Loire</w:t>
      </w:r>
      <w:r w:rsidRPr="003B3476">
        <w:rPr>
          <w:rStyle w:val="Notedebasdepage475ptNonItalique"/>
          <w:b w:val="0"/>
          <w:i w:val="0"/>
          <w:iCs w:val="0"/>
          <w:sz w:val="24"/>
        </w:rPr>
        <w:t>, n° XXV.</w:t>
      </w:r>
    </w:p>
  </w:footnote>
  <w:footnote w:id="862">
    <w:p w14:paraId="086FAA4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 H. </w:t>
      </w:r>
      <w:r w:rsidRPr="003B3476">
        <w:rPr>
          <w:bCs/>
          <w:smallCaps/>
        </w:rPr>
        <w:t>Warmington</w:t>
      </w:r>
      <w:r w:rsidRPr="003B3476">
        <w:rPr>
          <w:bCs/>
        </w:rPr>
        <w:t xml:space="preserve">, </w:t>
      </w:r>
      <w:r w:rsidRPr="003B3476">
        <w:rPr>
          <w:rStyle w:val="Notedebasdepage7ptItalique"/>
          <w:b w:val="0"/>
          <w:sz w:val="24"/>
        </w:rPr>
        <w:t>The commerce between the Roman Empire and India</w:t>
      </w:r>
      <w:r w:rsidRPr="003B3476">
        <w:rPr>
          <w:lang w:val="fr-FR" w:eastAsia="fr-FR" w:bidi="fr-FR"/>
        </w:rPr>
        <w:t xml:space="preserve">, 1928, p. 272 et suiv. ; J. H. </w:t>
      </w:r>
      <w:r w:rsidRPr="003B3476">
        <w:rPr>
          <w:bCs/>
          <w:smallCaps/>
        </w:rPr>
        <w:t>Clapham</w:t>
      </w:r>
      <w:r w:rsidRPr="003B3476">
        <w:rPr>
          <w:bCs/>
        </w:rPr>
        <w:t xml:space="preserve">, </w:t>
      </w:r>
      <w:r w:rsidRPr="003B3476">
        <w:rPr>
          <w:rStyle w:val="Notedebasdepage7ptItalique"/>
          <w:b w:val="0"/>
          <w:sz w:val="24"/>
        </w:rPr>
        <w:t>An economic history of modem Britain,</w:t>
      </w:r>
      <w:r w:rsidRPr="003B3476">
        <w:rPr>
          <w:bCs/>
        </w:rPr>
        <w:t xml:space="preserve"> </w:t>
      </w:r>
      <w:r w:rsidRPr="003B3476">
        <w:rPr>
          <w:lang w:val="fr-FR" w:eastAsia="fr-FR" w:bidi="fr-FR"/>
        </w:rPr>
        <w:t>1926, p. 488. — Aux XII</w:t>
      </w:r>
      <w:r w:rsidRPr="003B3476">
        <w:rPr>
          <w:vertAlign w:val="superscript"/>
          <w:lang w:val="fr-FR" w:eastAsia="fr-FR" w:bidi="fr-FR"/>
        </w:rPr>
        <w:t>e</w:t>
      </w:r>
      <w:r w:rsidRPr="003B3476">
        <w:rPr>
          <w:lang w:val="fr-FR" w:eastAsia="fr-FR" w:bidi="fr-FR"/>
        </w:rPr>
        <w:t xml:space="preserve"> et XIII</w:t>
      </w:r>
      <w:r w:rsidRPr="003B3476">
        <w:rPr>
          <w:vertAlign w:val="superscript"/>
          <w:lang w:val="fr-FR" w:eastAsia="fr-FR" w:bidi="fr-FR"/>
        </w:rPr>
        <w:t>e</w:t>
      </w:r>
      <w:r w:rsidRPr="003B3476">
        <w:rPr>
          <w:lang w:val="fr-FR" w:eastAsia="fr-FR" w:bidi="fr-FR"/>
        </w:rPr>
        <w:t xml:space="preserve"> siècles encore, alors que la balance co</w:t>
      </w:r>
      <w:r w:rsidRPr="003B3476">
        <w:rPr>
          <w:lang w:val="fr-FR" w:eastAsia="fr-FR" w:bidi="fr-FR"/>
        </w:rPr>
        <w:t>m</w:t>
      </w:r>
      <w:r w:rsidRPr="003B3476">
        <w:rPr>
          <w:lang w:val="fr-FR" w:eastAsia="fr-FR" w:bidi="fr-FR"/>
        </w:rPr>
        <w:t>merciale était devenue bien plus favor</w:t>
      </w:r>
      <w:r w:rsidRPr="003B3476">
        <w:rPr>
          <w:lang w:val="fr-FR" w:eastAsia="fr-FR" w:bidi="fr-FR"/>
        </w:rPr>
        <w:t>a</w:t>
      </w:r>
      <w:r w:rsidRPr="003B3476">
        <w:rPr>
          <w:lang w:val="fr-FR" w:eastAsia="fr-FR" w:bidi="fr-FR"/>
        </w:rPr>
        <w:t>ble, les ports de la mer Tyrrhénienne étaient contraints d’exporter de grandes] quantités de monnaies et de métaux précieux ; à plus forte raison, en avait-il été de même, toutes proportions ga</w:t>
      </w:r>
      <w:r w:rsidRPr="003B3476">
        <w:rPr>
          <w:lang w:val="fr-FR" w:eastAsia="fr-FR" w:bidi="fr-FR"/>
        </w:rPr>
        <w:t>r</w:t>
      </w:r>
      <w:r w:rsidRPr="003B3476">
        <w:rPr>
          <w:lang w:val="fr-FR" w:eastAsia="fr-FR" w:bidi="fr-FR"/>
        </w:rPr>
        <w:t>dées, durant les siècles précédents.</w:t>
      </w:r>
    </w:p>
  </w:footnote>
  <w:footnote w:id="863">
    <w:p w14:paraId="3EE554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Ch. de </w:t>
      </w:r>
      <w:r w:rsidRPr="003B3476">
        <w:rPr>
          <w:rStyle w:val="Notedebasdepage475ptNonItalique"/>
          <w:b w:val="0"/>
          <w:i w:val="0"/>
          <w:iCs w:val="0"/>
          <w:smallCaps/>
          <w:sz w:val="24"/>
        </w:rPr>
        <w:t xml:space="preserve">La </w:t>
      </w:r>
      <w:r w:rsidRPr="003B3476">
        <w:rPr>
          <w:rStyle w:val="Notedebasdepage465ptNonItalique"/>
          <w:b w:val="0"/>
          <w:i w:val="0"/>
          <w:iCs w:val="0"/>
          <w:smallCaps/>
          <w:sz w:val="24"/>
        </w:rPr>
        <w:t>Roncière</w:t>
      </w:r>
      <w:r w:rsidRPr="003B3476">
        <w:rPr>
          <w:rStyle w:val="Notedebasdepage465ptNonItalique"/>
          <w:b w:val="0"/>
          <w:i w:val="0"/>
          <w:iCs w:val="0"/>
          <w:sz w:val="24"/>
        </w:rPr>
        <w:t xml:space="preserve">, </w:t>
      </w:r>
      <w:r w:rsidRPr="003B3476">
        <w:rPr>
          <w:i/>
          <w:lang w:val="fr-FR" w:eastAsia="fr-FR" w:bidi="fr-FR"/>
        </w:rPr>
        <w:t>La découverte de l'Afrique au Moyen Âge,</w:t>
      </w:r>
      <w:r w:rsidRPr="003B3476">
        <w:rPr>
          <w:rStyle w:val="Notedebasdepage48ptNonItalique"/>
          <w:b w:val="0"/>
          <w:i w:val="0"/>
          <w:iCs w:val="0"/>
          <w:sz w:val="24"/>
        </w:rPr>
        <w:t xml:space="preserve"> </w:t>
      </w:r>
      <w:r w:rsidRPr="003B3476">
        <w:rPr>
          <w:rStyle w:val="Notedebasdepage475ptNonItalique"/>
          <w:b w:val="0"/>
          <w:i w:val="0"/>
          <w:iCs w:val="0"/>
          <w:sz w:val="24"/>
        </w:rPr>
        <w:t>t. I, p. 163.</w:t>
      </w:r>
    </w:p>
  </w:footnote>
  <w:footnote w:id="864">
    <w:p w14:paraId="7EF87CE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iCs/>
          <w:szCs w:val="14"/>
        </w:rPr>
        <w:t>S.S.</w:t>
      </w:r>
      <w:r w:rsidRPr="003B3476">
        <w:rPr>
          <w:bCs/>
          <w:i/>
          <w:iCs/>
          <w:szCs w:val="15"/>
        </w:rPr>
        <w:t xml:space="preserve">, </w:t>
      </w:r>
      <w:r w:rsidRPr="003B3476">
        <w:rPr>
          <w:bCs/>
          <w:szCs w:val="15"/>
        </w:rPr>
        <w:t xml:space="preserve">t. XVII, p. 29. Sur l’utilisation économique des trésors, voir les très fines observations de M. Van </w:t>
      </w:r>
      <w:r w:rsidRPr="003B3476">
        <w:rPr>
          <w:bCs/>
          <w:szCs w:val="13"/>
        </w:rPr>
        <w:t xml:space="preserve">Werveke, </w:t>
      </w:r>
      <w:r w:rsidRPr="003B3476">
        <w:rPr>
          <w:bCs/>
          <w:szCs w:val="15"/>
        </w:rPr>
        <w:t>dans l’article cité ci-dessous, p. 849, n. 2.</w:t>
      </w:r>
    </w:p>
  </w:footnote>
  <w:footnote w:id="865">
    <w:p w14:paraId="1DDBFA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On appelait, dans l’Angleterre du XII</w:t>
      </w:r>
      <w:r w:rsidRPr="003B3476">
        <w:rPr>
          <w:vertAlign w:val="superscript"/>
          <w:lang w:val="fr-FR" w:eastAsia="fr-FR" w:bidi="fr-FR"/>
        </w:rPr>
        <w:t>e</w:t>
      </w:r>
      <w:r w:rsidRPr="003B3476">
        <w:rPr>
          <w:lang w:val="fr-FR" w:eastAsia="fr-FR" w:bidi="fr-FR"/>
        </w:rPr>
        <w:t xml:space="preserve"> siècle, </w:t>
      </w:r>
      <w:r w:rsidRPr="003B3476">
        <w:rPr>
          <w:rStyle w:val="Notedebasdepage7ptItalique"/>
          <w:b w:val="0"/>
          <w:sz w:val="24"/>
        </w:rPr>
        <w:t>aurum reginae</w:t>
      </w:r>
      <w:r w:rsidRPr="003B3476">
        <w:rPr>
          <w:lang w:val="fr-FR" w:eastAsia="fr-FR" w:bidi="fr-FR"/>
        </w:rPr>
        <w:t>, un paiement additionnel de 10% dû à la reine par les personnes qui achetaient au roi une l</w:t>
      </w:r>
      <w:r w:rsidRPr="003B3476">
        <w:rPr>
          <w:lang w:val="fr-FR" w:eastAsia="fr-FR" w:bidi="fr-FR"/>
        </w:rPr>
        <w:t>i</w:t>
      </w:r>
      <w:r w:rsidRPr="003B3476">
        <w:rPr>
          <w:lang w:val="fr-FR" w:eastAsia="fr-FR" w:bidi="fr-FR"/>
        </w:rPr>
        <w:t xml:space="preserve">cence ou grâce quelconque (T. F. </w:t>
      </w:r>
      <w:r w:rsidRPr="003B3476">
        <w:rPr>
          <w:bCs/>
          <w:smallCaps/>
        </w:rPr>
        <w:t>Tout</w:t>
      </w:r>
      <w:r w:rsidRPr="003B3476">
        <w:rPr>
          <w:bCs/>
        </w:rPr>
        <w:t xml:space="preserve">, </w:t>
      </w:r>
      <w:r w:rsidRPr="003B3476">
        <w:rPr>
          <w:rStyle w:val="Notedebasdepage7ptItalique"/>
          <w:b w:val="0"/>
          <w:sz w:val="24"/>
        </w:rPr>
        <w:t>Chapters in the administrative hist</w:t>
      </w:r>
      <w:r w:rsidRPr="003B3476">
        <w:rPr>
          <w:rStyle w:val="Notedebasdepage7ptItalique"/>
          <w:b w:val="0"/>
          <w:sz w:val="24"/>
        </w:rPr>
        <w:t>o</w:t>
      </w:r>
      <w:r w:rsidRPr="003B3476">
        <w:rPr>
          <w:rStyle w:val="Notedebasdepage7ptItalique"/>
          <w:b w:val="0"/>
          <w:sz w:val="24"/>
        </w:rPr>
        <w:t>ry of mediaeval England,</w:t>
      </w:r>
      <w:r w:rsidRPr="003B3476">
        <w:rPr>
          <w:bCs/>
        </w:rPr>
        <w:t xml:space="preserve"> </w:t>
      </w:r>
      <w:r w:rsidRPr="003B3476">
        <w:rPr>
          <w:lang w:val="fr-FR" w:eastAsia="fr-FR" w:bidi="fr-FR"/>
        </w:rPr>
        <w:t>t. V, 1930, p. 264). Le terme est curieux ; mais on n’en saurait conclure que tous les ve</w:t>
      </w:r>
      <w:r w:rsidRPr="003B3476">
        <w:rPr>
          <w:lang w:val="fr-FR" w:eastAsia="fr-FR" w:bidi="fr-FR"/>
        </w:rPr>
        <w:t>r</w:t>
      </w:r>
      <w:r w:rsidRPr="003B3476">
        <w:rPr>
          <w:lang w:val="fr-FR" w:eastAsia="fr-FR" w:bidi="fr-FR"/>
        </w:rPr>
        <w:t>sements se fissent réellement en or.</w:t>
      </w:r>
    </w:p>
  </w:footnote>
  <w:footnote w:id="866">
    <w:p w14:paraId="1B2288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Un excellent exemple de ce genre de recherches a été donné, pour la Flandre et la Lotharingie, par M. H. </w:t>
      </w:r>
      <w:r w:rsidRPr="003B3476">
        <w:rPr>
          <w:smallCaps/>
          <w:lang w:val="fr-FR" w:eastAsia="fr-FR" w:bidi="fr-FR"/>
        </w:rPr>
        <w:t xml:space="preserve">Van </w:t>
      </w:r>
      <w:r w:rsidRPr="003B3476">
        <w:rPr>
          <w:bCs/>
          <w:smallCaps/>
        </w:rPr>
        <w:t>Werveke</w:t>
      </w:r>
      <w:r w:rsidRPr="003B3476">
        <w:rPr>
          <w:bCs/>
        </w:rPr>
        <w:t xml:space="preserve">, </w:t>
      </w:r>
      <w:r w:rsidRPr="003B3476">
        <w:rPr>
          <w:rStyle w:val="Notedebasdepage7ptItalique"/>
          <w:b w:val="0"/>
          <w:sz w:val="24"/>
        </w:rPr>
        <w:t>Monnaie</w:t>
      </w:r>
      <w:r w:rsidRPr="003B3476">
        <w:rPr>
          <w:lang w:val="fr-FR" w:eastAsia="fr-FR" w:bidi="fr-FR"/>
        </w:rPr>
        <w:t xml:space="preserve">, </w:t>
      </w:r>
      <w:r w:rsidRPr="003B3476">
        <w:rPr>
          <w:rStyle w:val="Notedebasdepage7ptItalique"/>
          <w:b w:val="0"/>
          <w:sz w:val="24"/>
        </w:rPr>
        <w:t>lingots ou marchand</w:t>
      </w:r>
      <w:r w:rsidRPr="003B3476">
        <w:rPr>
          <w:rStyle w:val="Notedebasdepage7ptItalique"/>
          <w:b w:val="0"/>
          <w:sz w:val="24"/>
        </w:rPr>
        <w:t>i</w:t>
      </w:r>
      <w:r w:rsidRPr="003B3476">
        <w:rPr>
          <w:rStyle w:val="Notedebasdepage7ptItalique"/>
          <w:b w:val="0"/>
          <w:sz w:val="24"/>
        </w:rPr>
        <w:t>ses ?</w:t>
      </w:r>
      <w:r w:rsidRPr="003B3476">
        <w:rPr>
          <w:lang w:val="fr-FR" w:eastAsia="fr-FR" w:bidi="fr-FR"/>
        </w:rPr>
        <w:t xml:space="preserve"> dans </w:t>
      </w:r>
      <w:r w:rsidRPr="003B3476">
        <w:rPr>
          <w:rStyle w:val="Notedebasdepage7ptItalique"/>
          <w:b w:val="0"/>
          <w:sz w:val="24"/>
        </w:rPr>
        <w:t>Annales</w:t>
      </w:r>
      <w:r w:rsidRPr="003B3476">
        <w:rPr>
          <w:lang w:val="fr-FR" w:eastAsia="fr-FR" w:bidi="fr-FR"/>
        </w:rPr>
        <w:t>, t. IV, 1932, p. 452 et suiv. Je compte, si je trouve les concours nécessaires, provoquer des enquêtes analogues dans diverses régions françaises.</w:t>
      </w:r>
    </w:p>
  </w:footnote>
  <w:footnote w:id="867">
    <w:p w14:paraId="16D0089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Mabillon</w:t>
      </w:r>
      <w:r w:rsidRPr="003B3476">
        <w:rPr>
          <w:bCs/>
        </w:rPr>
        <w:t xml:space="preserve">, </w:t>
      </w:r>
      <w:r w:rsidRPr="003B3476">
        <w:rPr>
          <w:rStyle w:val="Notedebasdepage7ptItalique"/>
          <w:b w:val="0"/>
          <w:sz w:val="24"/>
        </w:rPr>
        <w:t>Ann. ord. S. Bened.,</w:t>
      </w:r>
      <w:r w:rsidRPr="003B3476">
        <w:rPr>
          <w:bCs/>
        </w:rPr>
        <w:t xml:space="preserve"> </w:t>
      </w:r>
      <w:r w:rsidRPr="003B3476">
        <w:rPr>
          <w:lang w:val="fr-FR" w:eastAsia="fr-FR" w:bidi="fr-FR"/>
        </w:rPr>
        <w:t xml:space="preserve">1060, n° LXXI ; L. </w:t>
      </w:r>
      <w:r w:rsidRPr="003B3476">
        <w:rPr>
          <w:bCs/>
          <w:smallCaps/>
        </w:rPr>
        <w:t>Lex</w:t>
      </w:r>
      <w:r w:rsidRPr="003B3476">
        <w:rPr>
          <w:bCs/>
        </w:rPr>
        <w:t xml:space="preserve">, </w:t>
      </w:r>
      <w:r w:rsidRPr="003B3476">
        <w:rPr>
          <w:rStyle w:val="Notedebasdepage7ptItalique"/>
          <w:b w:val="0"/>
          <w:sz w:val="24"/>
        </w:rPr>
        <w:t>Eudes</w:t>
      </w:r>
      <w:r w:rsidRPr="003B3476">
        <w:rPr>
          <w:lang w:val="fr-FR" w:eastAsia="fr-FR" w:bidi="fr-FR"/>
        </w:rPr>
        <w:t xml:space="preserve">, </w:t>
      </w:r>
      <w:r w:rsidRPr="003B3476">
        <w:rPr>
          <w:rStyle w:val="Notedebasdepage7ptItalique"/>
          <w:b w:val="0"/>
          <w:sz w:val="24"/>
        </w:rPr>
        <w:t>comte de Blois</w:t>
      </w:r>
      <w:r w:rsidRPr="003B3476">
        <w:rPr>
          <w:lang w:val="fr-FR" w:eastAsia="fr-FR" w:bidi="fr-FR"/>
        </w:rPr>
        <w:t xml:space="preserve">, 1892, p. just. n° X ; le mot </w:t>
      </w:r>
      <w:r w:rsidRPr="003B3476">
        <w:rPr>
          <w:rStyle w:val="Notedebasdepage7ptItalique"/>
          <w:b w:val="0"/>
          <w:sz w:val="24"/>
        </w:rPr>
        <w:t>sépias</w:t>
      </w:r>
      <w:r w:rsidRPr="003B3476">
        <w:rPr>
          <w:bCs/>
        </w:rPr>
        <w:t xml:space="preserve"> (</w:t>
      </w:r>
      <w:r w:rsidRPr="003B3476">
        <w:rPr>
          <w:bCs/>
          <w:i/>
        </w:rPr>
        <w:t>cf</w:t>
      </w:r>
      <w:r w:rsidRPr="003B3476">
        <w:rPr>
          <w:bCs/>
        </w:rPr>
        <w:t xml:space="preserve">. </w:t>
      </w:r>
      <w:r w:rsidRPr="003B3476">
        <w:rPr>
          <w:smallCaps/>
          <w:lang w:val="fr-FR" w:eastAsia="fr-FR" w:bidi="fr-FR"/>
        </w:rPr>
        <w:t xml:space="preserve">Du </w:t>
      </w:r>
      <w:r w:rsidRPr="003B3476">
        <w:rPr>
          <w:bCs/>
          <w:smallCaps/>
        </w:rPr>
        <w:t>Cange</w:t>
      </w:r>
      <w:r w:rsidRPr="003B3476">
        <w:rPr>
          <w:bCs/>
        </w:rPr>
        <w:t xml:space="preserve">, </w:t>
      </w:r>
      <w:r w:rsidRPr="003B3476">
        <w:rPr>
          <w:rStyle w:val="Notedebasdepage7ptItalique"/>
          <w:b w:val="0"/>
          <w:sz w:val="24"/>
        </w:rPr>
        <w:t>Glossarium</w:t>
      </w:r>
      <w:r w:rsidRPr="003B3476">
        <w:rPr>
          <w:lang w:val="fr-FR" w:eastAsia="fr-FR" w:bidi="fr-FR"/>
        </w:rPr>
        <w:t>) me par</w:t>
      </w:r>
      <w:r w:rsidRPr="003B3476">
        <w:rPr>
          <w:lang w:val="fr-FR" w:eastAsia="fr-FR" w:bidi="fr-FR"/>
        </w:rPr>
        <w:t>a</w:t>
      </w:r>
      <w:r w:rsidRPr="003B3476">
        <w:rPr>
          <w:lang w:val="fr-FR" w:eastAsia="fr-FR" w:bidi="fr-FR"/>
        </w:rPr>
        <w:t>ît ne pouvoir s’entendre que de poissons, probablement séchés.</w:t>
      </w:r>
    </w:p>
  </w:footnote>
  <w:footnote w:id="868">
    <w:p w14:paraId="45E71A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Revues des études juives</w:t>
      </w:r>
      <w:r w:rsidRPr="003B3476">
        <w:rPr>
          <w:lang w:val="fr-FR" w:eastAsia="fr-FR" w:bidi="fr-FR"/>
        </w:rPr>
        <w:t>, t. LXVIII, 1914, p. 64 et 73.</w:t>
      </w:r>
    </w:p>
  </w:footnote>
  <w:footnote w:id="869">
    <w:p w14:paraId="4DF8DAB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L. </w:t>
      </w:r>
      <w:r w:rsidRPr="003B3476">
        <w:rPr>
          <w:rStyle w:val="Notedebasdepage465ptNonItalique"/>
          <w:b w:val="0"/>
          <w:i w:val="0"/>
          <w:iCs w:val="0"/>
          <w:smallCaps/>
          <w:sz w:val="24"/>
        </w:rPr>
        <w:t>Blancard</w:t>
      </w:r>
      <w:r w:rsidRPr="003B3476">
        <w:rPr>
          <w:rStyle w:val="Notedebasdepage465ptNonItalique"/>
          <w:b w:val="0"/>
          <w:i w:val="0"/>
          <w:iCs w:val="0"/>
          <w:sz w:val="24"/>
        </w:rPr>
        <w:t xml:space="preserve">, </w:t>
      </w:r>
      <w:r w:rsidRPr="003B3476">
        <w:rPr>
          <w:i/>
          <w:lang w:val="fr-FR" w:eastAsia="fr-FR" w:bidi="fr-FR"/>
        </w:rPr>
        <w:t>Le besant d’or sarrazinois pendant les croisades</w:t>
      </w:r>
      <w:r w:rsidRPr="003B3476">
        <w:rPr>
          <w:rStyle w:val="Notedebasdepage475ptNonItalique"/>
          <w:b w:val="0"/>
          <w:i w:val="0"/>
          <w:iCs w:val="0"/>
          <w:sz w:val="24"/>
        </w:rPr>
        <w:t xml:space="preserve">, dans </w:t>
      </w:r>
      <w:r w:rsidRPr="003B3476">
        <w:rPr>
          <w:i/>
          <w:lang w:val="fr-FR" w:eastAsia="fr-FR" w:bidi="fr-FR"/>
        </w:rPr>
        <w:t>Mémo</w:t>
      </w:r>
      <w:r w:rsidRPr="003B3476">
        <w:rPr>
          <w:i/>
          <w:lang w:val="fr-FR" w:eastAsia="fr-FR" w:bidi="fr-FR"/>
        </w:rPr>
        <w:t>i</w:t>
      </w:r>
      <w:r w:rsidRPr="003B3476">
        <w:rPr>
          <w:i/>
          <w:lang w:val="fr-FR" w:eastAsia="fr-FR" w:bidi="fr-FR"/>
        </w:rPr>
        <w:t>res de l’Acad, des Sciences... de Marseille,</w:t>
      </w:r>
      <w:r w:rsidRPr="003B3476">
        <w:rPr>
          <w:rStyle w:val="Notedebasdepage48ptNonItalique"/>
          <w:b w:val="0"/>
          <w:i w:val="0"/>
          <w:iCs w:val="0"/>
          <w:sz w:val="24"/>
        </w:rPr>
        <w:t xml:space="preserve"> </w:t>
      </w:r>
      <w:r w:rsidRPr="003B3476">
        <w:rPr>
          <w:rStyle w:val="Notedebasdepage475ptNonItalique"/>
          <w:b w:val="0"/>
          <w:i w:val="0"/>
          <w:iCs w:val="0"/>
          <w:sz w:val="24"/>
        </w:rPr>
        <w:t>t. XXIV, 1879-1880.</w:t>
      </w:r>
    </w:p>
  </w:footnote>
  <w:footnote w:id="870">
    <w:p w14:paraId="5EEB5819"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Il est possible, naturellement, que d’anciens sous romains aient continué à circuler quelque temps, du moins par endroits ; </w:t>
      </w:r>
      <w:r w:rsidRPr="003B3476">
        <w:rPr>
          <w:i/>
        </w:rPr>
        <w:t>cf.</w:t>
      </w:r>
      <w:r w:rsidRPr="003B3476">
        <w:t xml:space="preserve">, pour les trouvailles, U. Monneret de Villars, </w:t>
      </w:r>
      <w:r w:rsidRPr="003B3476">
        <w:rPr>
          <w:i/>
        </w:rPr>
        <w:t>Rivista italiana di numismatica</w:t>
      </w:r>
      <w:r w:rsidRPr="003B3476">
        <w:t xml:space="preserve">, t. XXXII, p. 29, et, pour les textes (expression de </w:t>
      </w:r>
      <w:r w:rsidRPr="003B3476">
        <w:rPr>
          <w:i/>
        </w:rPr>
        <w:t xml:space="preserve">solidos </w:t>
      </w:r>
      <w:r w:rsidRPr="003B3476">
        <w:rPr>
          <w:rStyle w:val="Notedebasdepage7ptItalique"/>
          <w:b w:val="0"/>
          <w:sz w:val="24"/>
        </w:rPr>
        <w:t>romanos</w:t>
      </w:r>
      <w:r w:rsidRPr="003B3476">
        <w:rPr>
          <w:lang w:val="fr-FR" w:eastAsia="fr-FR" w:bidi="fr-FR"/>
        </w:rPr>
        <w:t xml:space="preserve">), l’article de M. </w:t>
      </w:r>
      <w:r w:rsidRPr="003B3476">
        <w:rPr>
          <w:bCs/>
          <w:smallCaps/>
        </w:rPr>
        <w:t>Sánchez-Albornoz</w:t>
      </w:r>
      <w:r w:rsidRPr="003B3476">
        <w:rPr>
          <w:bCs/>
        </w:rPr>
        <w:t xml:space="preserve">, </w:t>
      </w:r>
      <w:r w:rsidRPr="003B3476">
        <w:rPr>
          <w:lang w:val="fr-FR" w:eastAsia="fr-FR" w:bidi="fr-FR"/>
        </w:rPr>
        <w:t>cité plus haut, p., 841 n. 3 ; M. Sánchez-Albornoz semble d’ailleurs croire plutôt à la survivance de monnaies d’argent.</w:t>
      </w:r>
    </w:p>
  </w:footnote>
  <w:footnote w:id="871">
    <w:p w14:paraId="059FAB1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Bulletin des musées royaux... à Bruxelles</w:t>
      </w:r>
      <w:r w:rsidRPr="003B3476">
        <w:rPr>
          <w:lang w:val="fr-FR" w:eastAsia="fr-FR" w:bidi="fr-FR"/>
        </w:rPr>
        <w:t xml:space="preserve">, 1909, p. 74 ; </w:t>
      </w:r>
      <w:r w:rsidRPr="003B3476">
        <w:rPr>
          <w:rStyle w:val="Notedebasdepage7ptItalique"/>
          <w:b w:val="0"/>
          <w:sz w:val="24"/>
        </w:rPr>
        <w:t>Numismatic Chronicle</w:t>
      </w:r>
      <w:r w:rsidRPr="003B3476">
        <w:rPr>
          <w:lang w:val="fr-FR" w:eastAsia="fr-FR" w:bidi="fr-FR"/>
        </w:rPr>
        <w:t xml:space="preserve">, 1914, p. 79 et 84 ; G. </w:t>
      </w:r>
      <w:r w:rsidRPr="003B3476">
        <w:rPr>
          <w:bCs/>
          <w:smallCaps/>
        </w:rPr>
        <w:t>Colson</w:t>
      </w:r>
      <w:r w:rsidRPr="003B3476">
        <w:rPr>
          <w:bCs/>
        </w:rPr>
        <w:t xml:space="preserve"> </w:t>
      </w:r>
      <w:r w:rsidRPr="003B3476">
        <w:rPr>
          <w:lang w:val="fr-FR" w:eastAsia="fr-FR" w:bidi="fr-FR"/>
        </w:rPr>
        <w:t xml:space="preserve">(dans </w:t>
      </w:r>
      <w:r w:rsidRPr="003B3476">
        <w:rPr>
          <w:rStyle w:val="Notedebasdepage7ptItalique"/>
          <w:b w:val="0"/>
          <w:sz w:val="24"/>
        </w:rPr>
        <w:t>Revue numismatique</w:t>
      </w:r>
      <w:r w:rsidRPr="003B3476">
        <w:rPr>
          <w:lang w:val="fr-FR" w:eastAsia="fr-FR" w:bidi="fr-FR"/>
        </w:rPr>
        <w:t>, 1850, p. 240 et 243) a signalé une trouvaille d’une centaine de dinars « dans l’ancienne ch</w:t>
      </w:r>
      <w:r w:rsidRPr="003B3476">
        <w:rPr>
          <w:lang w:val="fr-FR" w:eastAsia="fr-FR" w:bidi="fr-FR"/>
        </w:rPr>
        <w:t>a</w:t>
      </w:r>
      <w:r w:rsidRPr="003B3476">
        <w:rPr>
          <w:lang w:val="fr-FR" w:eastAsia="fr-FR" w:bidi="fr-FR"/>
        </w:rPr>
        <w:t>pelle du monastère Del Camp » ; je n’ai pu identifier ce lieu.</w:t>
      </w:r>
    </w:p>
  </w:footnote>
  <w:footnote w:id="872">
    <w:p w14:paraId="5972B2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Versus contra iudices,</w:t>
      </w:r>
      <w:r w:rsidRPr="003B3476">
        <w:rPr>
          <w:bCs/>
        </w:rPr>
        <w:t xml:space="preserve"> </w:t>
      </w:r>
      <w:r w:rsidRPr="003B3476">
        <w:rPr>
          <w:lang w:val="fr-FR" w:eastAsia="fr-FR" w:bidi="fr-FR"/>
        </w:rPr>
        <w:t xml:space="preserve">dans </w:t>
      </w:r>
      <w:r w:rsidRPr="003B3476">
        <w:rPr>
          <w:rStyle w:val="Notedebasdepage7ptItalique"/>
          <w:b w:val="0"/>
          <w:sz w:val="24"/>
        </w:rPr>
        <w:t>Poetae aevi karol.,</w:t>
      </w:r>
      <w:r w:rsidRPr="003B3476">
        <w:rPr>
          <w:bCs/>
        </w:rPr>
        <w:t xml:space="preserve"> </w:t>
      </w:r>
      <w:r w:rsidRPr="003B3476">
        <w:rPr>
          <w:lang w:val="fr-FR" w:eastAsia="fr-FR" w:bidi="fr-FR"/>
        </w:rPr>
        <w:t xml:space="preserve">t. I, p. 498, v. 173 et suiv. ; </w:t>
      </w:r>
      <w:r w:rsidRPr="003B3476">
        <w:rPr>
          <w:rStyle w:val="Notedebasdepage7ptItalique"/>
          <w:b w:val="0"/>
          <w:sz w:val="24"/>
        </w:rPr>
        <w:t>Gesta abbatum Trudonensium</w:t>
      </w:r>
      <w:r w:rsidRPr="003B3476">
        <w:rPr>
          <w:lang w:val="fr-FR" w:eastAsia="fr-FR" w:bidi="fr-FR"/>
        </w:rPr>
        <w:t xml:space="preserve">, I, </w:t>
      </w:r>
      <w:r w:rsidRPr="003B3476">
        <w:rPr>
          <w:bCs/>
        </w:rPr>
        <w:t xml:space="preserve">3, </w:t>
      </w:r>
      <w:r w:rsidRPr="003B3476">
        <w:rPr>
          <w:lang w:val="fr-FR" w:eastAsia="fr-FR" w:bidi="fr-FR"/>
        </w:rPr>
        <w:t xml:space="preserve">dans </w:t>
      </w:r>
      <w:r w:rsidRPr="003B3476">
        <w:rPr>
          <w:rStyle w:val="Notedebasdepage7ptItalique"/>
          <w:b w:val="0"/>
          <w:sz w:val="24"/>
        </w:rPr>
        <w:t>S.S.,</w:t>
      </w:r>
      <w:r w:rsidRPr="003B3476">
        <w:rPr>
          <w:bCs/>
        </w:rPr>
        <w:t xml:space="preserve"> </w:t>
      </w:r>
      <w:r w:rsidRPr="003B3476">
        <w:rPr>
          <w:lang w:val="fr-FR" w:eastAsia="fr-FR" w:bidi="fr-FR"/>
        </w:rPr>
        <w:t xml:space="preserve">X, p. 231, et éd. C. de </w:t>
      </w:r>
      <w:r w:rsidRPr="003B3476">
        <w:rPr>
          <w:bCs/>
          <w:smallCaps/>
        </w:rPr>
        <w:t>Borman</w:t>
      </w:r>
      <w:r w:rsidRPr="003B3476">
        <w:rPr>
          <w:bCs/>
        </w:rPr>
        <w:t xml:space="preserve">, </w:t>
      </w:r>
      <w:r w:rsidRPr="003B3476">
        <w:rPr>
          <w:lang w:val="fr-FR" w:eastAsia="fr-FR" w:bidi="fr-FR"/>
        </w:rPr>
        <w:t xml:space="preserve">t. </w:t>
      </w:r>
      <w:r w:rsidRPr="003B3476">
        <w:rPr>
          <w:bCs/>
        </w:rPr>
        <w:t xml:space="preserve">I, </w:t>
      </w:r>
      <w:r w:rsidRPr="003B3476">
        <w:rPr>
          <w:lang w:val="fr-FR" w:eastAsia="fr-FR" w:bidi="fr-FR"/>
        </w:rPr>
        <w:t xml:space="preserve">p. 9. Les deux éditions donnent : </w:t>
      </w:r>
      <w:r w:rsidRPr="003B3476">
        <w:rPr>
          <w:rStyle w:val="Notedebasdepage7ptItalique"/>
          <w:b w:val="0"/>
          <w:sz w:val="24"/>
        </w:rPr>
        <w:t>mancosos 5 pensantes denarios 6,</w:t>
      </w:r>
      <w:r w:rsidRPr="003B3476">
        <w:rPr>
          <w:bCs/>
        </w:rPr>
        <w:t xml:space="preserve"> </w:t>
      </w:r>
      <w:r w:rsidRPr="003B3476">
        <w:rPr>
          <w:lang w:val="fr-FR" w:eastAsia="fr-FR" w:bidi="fr-FR"/>
        </w:rPr>
        <w:t>et ce</w:t>
      </w:r>
      <w:r w:rsidRPr="003B3476">
        <w:rPr>
          <w:lang w:val="fr-FR" w:eastAsia="fr-FR" w:bidi="fr-FR"/>
        </w:rPr>
        <w:t>t</w:t>
      </w:r>
      <w:r w:rsidRPr="003B3476">
        <w:rPr>
          <w:lang w:val="fr-FR" w:eastAsia="fr-FR" w:bidi="fr-FR"/>
        </w:rPr>
        <w:t>te lecture, comme veulent bien m’en aviser M. F. L. Ganshof et M. l’abbé De Clercq, est conforme à celles des manuscrits n</w:t>
      </w:r>
      <w:r w:rsidRPr="003B3476">
        <w:rPr>
          <w:vertAlign w:val="superscript"/>
          <w:lang w:val="fr-FR" w:eastAsia="fr-FR" w:bidi="fr-FR"/>
        </w:rPr>
        <w:t>os</w:t>
      </w:r>
      <w:r w:rsidRPr="003B3476">
        <w:rPr>
          <w:lang w:val="fr-FR" w:eastAsia="fr-FR" w:bidi="fr-FR"/>
        </w:rPr>
        <w:t xml:space="preserve"> 18181 et 7647-7651 de la Bibl. Royale de Bruxelles et n° 6 du Grand Sém</w:t>
      </w:r>
      <w:r w:rsidRPr="003B3476">
        <w:rPr>
          <w:lang w:val="fr-FR" w:eastAsia="fr-FR" w:bidi="fr-FR"/>
        </w:rPr>
        <w:t>i</w:t>
      </w:r>
      <w:r w:rsidRPr="003B3476">
        <w:rPr>
          <w:lang w:val="fr-FR" w:eastAsia="fr-FR" w:bidi="fr-FR"/>
        </w:rPr>
        <w:t>naire de Malines. Mais elle est en elle-même impossible. Peut-être, au lieu de « den. VI », convient-il de rétablir « den. XI » qui donnerait, comme poids global des maneus, un chiffre raisonnable (entre 19 et 20 g, donc un peu moins de 4 g par maneus).</w:t>
      </w:r>
    </w:p>
  </w:footnote>
  <w:footnote w:id="873">
    <w:p w14:paraId="202DEE0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smallCaps/>
          <w:lang w:eastAsia="fr-FR" w:bidi="fr-FR"/>
        </w:rPr>
        <w:t>Bitterauf</w:t>
      </w:r>
      <w:r w:rsidRPr="003B3476">
        <w:rPr>
          <w:lang w:eastAsia="fr-FR" w:bidi="fr-FR"/>
        </w:rPr>
        <w:t xml:space="preserve">, </w:t>
      </w:r>
      <w:r w:rsidRPr="003B3476">
        <w:rPr>
          <w:i/>
          <w:lang w:eastAsia="fr-FR" w:bidi="fr-FR"/>
        </w:rPr>
        <w:t>Die Traditionen des Hochstifts Freising</w:t>
      </w:r>
      <w:r w:rsidRPr="003B3476">
        <w:rPr>
          <w:lang w:eastAsia="fr-FR" w:bidi="fr-FR"/>
        </w:rPr>
        <w:t xml:space="preserve">. La dernière mention d’un sou d’or, au </w:t>
      </w:r>
      <w:r w:rsidRPr="003B3476">
        <w:rPr>
          <w:smallCaps/>
          <w:lang w:eastAsia="fr-FR" w:bidi="fr-FR"/>
        </w:rPr>
        <w:t>ix</w:t>
      </w:r>
      <w:r w:rsidRPr="003B3476">
        <w:rPr>
          <w:vertAlign w:val="superscript"/>
          <w:lang w:eastAsia="fr-FR" w:bidi="fr-FR"/>
        </w:rPr>
        <w:t>e</w:t>
      </w:r>
      <w:r w:rsidRPr="003B3476">
        <w:rPr>
          <w:lang w:eastAsia="fr-FR" w:bidi="fr-FR"/>
        </w:rPr>
        <w:t xml:space="preserve"> siècle, y est de 846 (t. I, n. 679) ; encore la rente peut-elle être payée, au choix, en or — un sou — ou en argent: 30 deniers (c’était l’équivalence usuelle en Bavière). La première mention de besant apparaît e</w:t>
      </w:r>
      <w:r w:rsidRPr="003B3476">
        <w:rPr>
          <w:lang w:eastAsia="fr-FR" w:bidi="fr-FR"/>
        </w:rPr>
        <w:t>n</w:t>
      </w:r>
      <w:r w:rsidRPr="003B3476">
        <w:rPr>
          <w:lang w:eastAsia="fr-FR" w:bidi="fr-FR"/>
        </w:rPr>
        <w:t xml:space="preserve">tre 1024 et 1031 (t. II, n° 1609). Depuis ce moment, les pièces </w:t>
      </w:r>
      <w:r w:rsidRPr="003B3476">
        <w:rPr>
          <w:lang w:val="fr-FR" w:eastAsia="fr-FR" w:bidi="fr-FR"/>
        </w:rPr>
        <w:t>d’or, soit qual</w:t>
      </w:r>
      <w:r w:rsidRPr="003B3476">
        <w:rPr>
          <w:lang w:val="fr-FR" w:eastAsia="fr-FR" w:bidi="fr-FR"/>
        </w:rPr>
        <w:t>i</w:t>
      </w:r>
      <w:r w:rsidRPr="003B3476">
        <w:rPr>
          <w:lang w:val="fr-FR" w:eastAsia="fr-FR" w:bidi="fr-FR"/>
        </w:rPr>
        <w:t>fiées simplement d’aura, soit sous leur nom spécifique de besants, figurent a</w:t>
      </w:r>
      <w:r w:rsidRPr="003B3476">
        <w:rPr>
          <w:lang w:val="fr-FR" w:eastAsia="fr-FR" w:bidi="fr-FR"/>
        </w:rPr>
        <w:t>s</w:t>
      </w:r>
      <w:r w:rsidRPr="003B3476">
        <w:rPr>
          <w:lang w:val="fr-FR" w:eastAsia="fr-FR" w:bidi="fr-FR"/>
        </w:rPr>
        <w:t>sez fréquemment dans les clauses relatives au droit de rachat qui était reconnu aux héritiers du donateur, au cas où le don aurait été détourné de son affect</w:t>
      </w:r>
      <w:r w:rsidRPr="003B3476">
        <w:rPr>
          <w:lang w:val="fr-FR" w:eastAsia="fr-FR" w:bidi="fr-FR"/>
        </w:rPr>
        <w:t>a</w:t>
      </w:r>
      <w:r w:rsidRPr="003B3476">
        <w:rPr>
          <w:lang w:val="fr-FR" w:eastAsia="fr-FR" w:bidi="fr-FR"/>
        </w:rPr>
        <w:t>tion propre.</w:t>
      </w:r>
    </w:p>
  </w:footnote>
  <w:footnote w:id="874">
    <w:p w14:paraId="1D10C6F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lang w:val="fr-FR" w:eastAsia="fr-FR" w:bidi="fr-FR"/>
        </w:rPr>
        <w:t>Petri Damiani</w:t>
      </w:r>
      <w:r w:rsidRPr="003B3476">
        <w:rPr>
          <w:lang w:val="fr-FR" w:eastAsia="fr-FR" w:bidi="fr-FR"/>
        </w:rPr>
        <w:t xml:space="preserve">, </w:t>
      </w:r>
      <w:r w:rsidRPr="003B3476">
        <w:rPr>
          <w:rStyle w:val="Notedebasdepage27ptItalique"/>
          <w:b w:val="0"/>
          <w:sz w:val="24"/>
        </w:rPr>
        <w:t>Ep</w:t>
      </w:r>
      <w:r w:rsidRPr="003B3476">
        <w:rPr>
          <w:bCs/>
        </w:rPr>
        <w:t>., V, 3.</w:t>
      </w:r>
    </w:p>
  </w:footnote>
  <w:footnote w:id="875">
    <w:p w14:paraId="27AE2F2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Cantatorium sive Chronicon S. Huberii</w:t>
      </w:r>
      <w:r w:rsidRPr="003B3476">
        <w:rPr>
          <w:lang w:val="fr-FR" w:eastAsia="fr-FR" w:bidi="fr-FR"/>
        </w:rPr>
        <w:t xml:space="preserve">, c. 65 ; éd. </w:t>
      </w:r>
      <w:r w:rsidRPr="003B3476">
        <w:rPr>
          <w:bCs/>
          <w:smallCaps/>
        </w:rPr>
        <w:t>Hanquet</w:t>
      </w:r>
      <w:r w:rsidRPr="003B3476">
        <w:rPr>
          <w:bCs/>
        </w:rPr>
        <w:t xml:space="preserve">, </w:t>
      </w:r>
      <w:r w:rsidRPr="003B3476">
        <w:rPr>
          <w:lang w:val="fr-FR" w:eastAsia="fr-FR" w:bidi="fr-FR"/>
        </w:rPr>
        <w:t xml:space="preserve">p. 68. p. 121, cette somme est donnée comme équivalente à 700 marcs d’argent, ce qui, en supposant qu’il s’agit du marc de Cologne et en évaluant celui-ci en chiffres ronds à 230 g, donnerait 1,610 kg d’argent. Malheureusement, nous ne savons pas de quelle date étaient les hyperpères, ce qui rend bien difficile d’établir le rapport des deux métaux. Sur cette opération, et d’autres du même milieu et du même temps, qui mettent en jeu de l’or, cette fois sous forme de lingots, </w:t>
      </w:r>
      <w:r w:rsidRPr="003B3476">
        <w:rPr>
          <w:rStyle w:val="Notedebasdepage7ptItalique"/>
          <w:b w:val="0"/>
          <w:sz w:val="24"/>
        </w:rPr>
        <w:t>cf.</w:t>
      </w:r>
      <w:r w:rsidRPr="003B3476">
        <w:rPr>
          <w:bCs/>
        </w:rPr>
        <w:t xml:space="preserve"> </w:t>
      </w:r>
      <w:r w:rsidRPr="003B3476">
        <w:rPr>
          <w:smallCaps/>
          <w:lang w:val="fr-FR" w:eastAsia="fr-FR" w:bidi="fr-FR"/>
        </w:rPr>
        <w:t xml:space="preserve">Van </w:t>
      </w:r>
      <w:r w:rsidRPr="003B3476">
        <w:rPr>
          <w:bCs/>
          <w:smallCaps/>
        </w:rPr>
        <w:t>Werveke</w:t>
      </w:r>
      <w:r w:rsidRPr="003B3476">
        <w:rPr>
          <w:bCs/>
        </w:rPr>
        <w:t xml:space="preserve">, </w:t>
      </w:r>
      <w:r w:rsidRPr="003B3476">
        <w:rPr>
          <w:lang w:val="fr-FR" w:eastAsia="fr-FR" w:bidi="fr-FR"/>
        </w:rPr>
        <w:t xml:space="preserve">dans </w:t>
      </w:r>
      <w:r w:rsidRPr="003B3476">
        <w:rPr>
          <w:rStyle w:val="Notedebasdepage7ptItalique"/>
          <w:b w:val="0"/>
          <w:sz w:val="24"/>
        </w:rPr>
        <w:t>Annales</w:t>
      </w:r>
      <w:r w:rsidRPr="003B3476">
        <w:rPr>
          <w:lang w:val="fr-FR" w:eastAsia="fr-FR" w:bidi="fr-FR"/>
        </w:rPr>
        <w:t>, t. II, 1932, p. 459 et suiv.</w:t>
      </w:r>
    </w:p>
  </w:footnote>
  <w:footnote w:id="876">
    <w:p w14:paraId="6053A5D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 </w:t>
      </w:r>
      <w:r w:rsidRPr="003B3476">
        <w:rPr>
          <w:bCs/>
          <w:smallCaps/>
        </w:rPr>
        <w:t>Delisle</w:t>
      </w:r>
      <w:r w:rsidRPr="003B3476">
        <w:rPr>
          <w:bCs/>
        </w:rPr>
        <w:t xml:space="preserve">, </w:t>
      </w:r>
      <w:r w:rsidRPr="003B3476">
        <w:rPr>
          <w:lang w:val="fr-FR" w:eastAsia="fr-FR" w:bidi="fr-FR"/>
        </w:rPr>
        <w:t xml:space="preserve">dans </w:t>
      </w:r>
      <w:r w:rsidRPr="003B3476">
        <w:rPr>
          <w:rStyle w:val="Notedebasdepage7ptItalique"/>
          <w:b w:val="0"/>
          <w:sz w:val="24"/>
        </w:rPr>
        <w:t>Bibliothèque de l’École des Chartes</w:t>
      </w:r>
      <w:r w:rsidRPr="003B3476">
        <w:rPr>
          <w:lang w:val="fr-FR" w:eastAsia="fr-FR" w:bidi="fr-FR"/>
        </w:rPr>
        <w:t>, 1848-1849 (2</w:t>
      </w:r>
      <w:r w:rsidRPr="003B3476">
        <w:rPr>
          <w:vertAlign w:val="superscript"/>
          <w:lang w:val="fr-FR" w:eastAsia="fr-FR" w:bidi="fr-FR"/>
        </w:rPr>
        <w:t>e</w:t>
      </w:r>
      <w:r w:rsidRPr="003B3476">
        <w:rPr>
          <w:lang w:val="fr-FR" w:eastAsia="fr-FR" w:bidi="fr-FR"/>
        </w:rPr>
        <w:t> série, t. V), p. 207.</w:t>
      </w:r>
    </w:p>
  </w:footnote>
  <w:footnote w:id="877">
    <w:p w14:paraId="040DE53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 L. </w:t>
      </w:r>
      <w:r w:rsidRPr="003B3476">
        <w:rPr>
          <w:smallCaps/>
        </w:rPr>
        <w:t>Poole</w:t>
      </w:r>
      <w:r w:rsidRPr="003B3476">
        <w:t xml:space="preserve">, </w:t>
      </w:r>
      <w:r w:rsidRPr="003B3476">
        <w:rPr>
          <w:rStyle w:val="Notedebasdepage7ptItalique"/>
          <w:b w:val="0"/>
          <w:sz w:val="24"/>
        </w:rPr>
        <w:t>The Exchequer in the twelfth century</w:t>
      </w:r>
      <w:r w:rsidRPr="003B3476">
        <w:rPr>
          <w:lang w:val="fr-FR" w:eastAsia="fr-FR" w:bidi="fr-FR"/>
        </w:rPr>
        <w:t>, 1912, p. 84-85 ; M</w:t>
      </w:r>
      <w:r w:rsidRPr="003B3476">
        <w:rPr>
          <w:smallCaps/>
          <w:lang w:val="fr-FR" w:eastAsia="fr-FR" w:bidi="fr-FR"/>
        </w:rPr>
        <w:t>. </w:t>
      </w:r>
      <w:r w:rsidRPr="003B3476">
        <w:rPr>
          <w:smallCaps/>
        </w:rPr>
        <w:t>Prou</w:t>
      </w:r>
      <w:r w:rsidRPr="003B3476">
        <w:t xml:space="preserve"> </w:t>
      </w:r>
      <w:r w:rsidRPr="003B3476">
        <w:rPr>
          <w:lang w:val="fr-FR" w:eastAsia="fr-FR" w:bidi="fr-FR"/>
        </w:rPr>
        <w:t xml:space="preserve">et A. </w:t>
      </w:r>
      <w:r w:rsidRPr="003B3476">
        <w:rPr>
          <w:smallCaps/>
        </w:rPr>
        <w:t>Vidier</w:t>
      </w:r>
      <w:r w:rsidRPr="003B3476">
        <w:t xml:space="preserve">, </w:t>
      </w:r>
      <w:r w:rsidRPr="003B3476">
        <w:rPr>
          <w:rStyle w:val="Notedebasdepage7ptItalique"/>
          <w:b w:val="0"/>
          <w:sz w:val="24"/>
        </w:rPr>
        <w:t>Recueil des Chartes de Saint-Benoît-sur-Loire</w:t>
      </w:r>
      <w:r w:rsidRPr="003B3476">
        <w:rPr>
          <w:lang w:val="fr-FR" w:eastAsia="fr-FR" w:bidi="fr-FR"/>
        </w:rPr>
        <w:t xml:space="preserve">, t. I, n° CL ; M. </w:t>
      </w:r>
      <w:r w:rsidRPr="003B3476">
        <w:rPr>
          <w:smallCaps/>
        </w:rPr>
        <w:t>Quantin</w:t>
      </w:r>
      <w:r w:rsidRPr="003B3476">
        <w:t xml:space="preserve">, </w:t>
      </w:r>
      <w:r w:rsidRPr="003B3476">
        <w:rPr>
          <w:rStyle w:val="Notedebasdepage7ptItalique"/>
          <w:b w:val="0"/>
          <w:sz w:val="24"/>
        </w:rPr>
        <w:t>Cartulaire général de l’Yonne</w:t>
      </w:r>
      <w:r w:rsidRPr="003B3476">
        <w:rPr>
          <w:lang w:val="fr-FR" w:eastAsia="fr-FR" w:bidi="fr-FR"/>
        </w:rPr>
        <w:t>, t. II, n° CCLXXIX. L’abbé de Saint-Benoît paraît avoir préféré le paiement de 500 besants à celui de 200 marcs d’argent.</w:t>
      </w:r>
    </w:p>
  </w:footnote>
  <w:footnote w:id="878">
    <w:p w14:paraId="241EA2E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Marc </w:t>
      </w:r>
      <w:r w:rsidRPr="003B3476">
        <w:rPr>
          <w:bCs/>
          <w:smallCaps/>
        </w:rPr>
        <w:t>Bloch</w:t>
      </w:r>
      <w:r w:rsidRPr="003B3476">
        <w:rPr>
          <w:bCs/>
        </w:rPr>
        <w:t xml:space="preserve">, </w:t>
      </w:r>
      <w:r w:rsidRPr="003B3476">
        <w:rPr>
          <w:rStyle w:val="Notedebasdepage7ptItalique"/>
          <w:b w:val="0"/>
          <w:sz w:val="24"/>
        </w:rPr>
        <w:t>Les rois thaumaturges</w:t>
      </w:r>
      <w:r w:rsidRPr="003B3476">
        <w:rPr>
          <w:lang w:val="fr-FR" w:eastAsia="fr-FR" w:bidi="fr-FR"/>
        </w:rPr>
        <w:t>, 1924 (</w:t>
      </w:r>
      <w:r w:rsidRPr="003B3476">
        <w:rPr>
          <w:rStyle w:val="Notedebasdepage7ptItalique"/>
          <w:b w:val="0"/>
          <w:sz w:val="24"/>
        </w:rPr>
        <w:t>Publications de la Faculté des Lettres de Strasbourg</w:t>
      </w:r>
      <w:r w:rsidRPr="003B3476">
        <w:rPr>
          <w:lang w:val="fr-FR" w:eastAsia="fr-FR" w:bidi="fr-FR"/>
        </w:rPr>
        <w:t xml:space="preserve">, XIX), p. 240, n. 2 (avec bibliographie). Ajoutez, pour le règne de Philippe Auguste, </w:t>
      </w:r>
      <w:r w:rsidRPr="003B3476">
        <w:rPr>
          <w:bCs/>
          <w:smallCaps/>
        </w:rPr>
        <w:t>Le Blanc</w:t>
      </w:r>
      <w:r w:rsidRPr="003B3476">
        <w:rPr>
          <w:bCs/>
        </w:rPr>
        <w:t xml:space="preserve">, </w:t>
      </w:r>
      <w:r w:rsidRPr="003B3476">
        <w:rPr>
          <w:rStyle w:val="Notedebasdepage7ptItalique"/>
          <w:b w:val="0"/>
          <w:sz w:val="24"/>
        </w:rPr>
        <w:t>Traité des monnoies</w:t>
      </w:r>
      <w:r w:rsidRPr="003B3476">
        <w:rPr>
          <w:lang w:val="fr-FR" w:eastAsia="fr-FR" w:bidi="fr-FR"/>
        </w:rPr>
        <w:t xml:space="preserve">, p. 170. Le compte de l’Hôtel, dont Le Blanc donne ici quelques extraits, semble avoir été omis par </w:t>
      </w:r>
      <w:r w:rsidRPr="003B3476">
        <w:rPr>
          <w:bCs/>
          <w:smallCaps/>
        </w:rPr>
        <w:t>Borrelli de Serres</w:t>
      </w:r>
      <w:r w:rsidRPr="003B3476">
        <w:rPr>
          <w:bCs/>
        </w:rPr>
        <w:t xml:space="preserve"> </w:t>
      </w:r>
      <w:r w:rsidRPr="003B3476">
        <w:rPr>
          <w:lang w:val="fr-FR" w:eastAsia="fr-FR" w:bidi="fr-FR"/>
        </w:rPr>
        <w:t xml:space="preserve">dans son </w:t>
      </w:r>
      <w:r w:rsidRPr="003B3476">
        <w:rPr>
          <w:rStyle w:val="Notedebasdepage7ptItalique"/>
          <w:b w:val="0"/>
          <w:sz w:val="24"/>
        </w:rPr>
        <w:t>Ét</w:t>
      </w:r>
      <w:r w:rsidRPr="003B3476">
        <w:rPr>
          <w:rStyle w:val="Notedebasdepage7ptItalique"/>
          <w:b w:val="0"/>
          <w:sz w:val="24"/>
        </w:rPr>
        <w:t>u</w:t>
      </w:r>
      <w:r w:rsidRPr="003B3476">
        <w:rPr>
          <w:rStyle w:val="Notedebasdepage7ptItalique"/>
          <w:b w:val="0"/>
          <w:sz w:val="24"/>
        </w:rPr>
        <w:t>de sur la comptabilité publique au XIII</w:t>
      </w:r>
      <w:r w:rsidRPr="003B3476">
        <w:rPr>
          <w:rStyle w:val="Notedebasdepage7ptItalique"/>
          <w:b w:val="0"/>
          <w:sz w:val="24"/>
          <w:vertAlign w:val="superscript"/>
        </w:rPr>
        <w:t>e</w:t>
      </w:r>
      <w:r w:rsidRPr="003B3476">
        <w:rPr>
          <w:rStyle w:val="Notedebasdepage7ptItalique"/>
          <w:b w:val="0"/>
          <w:sz w:val="24"/>
        </w:rPr>
        <w:t xml:space="preserve"> siècle</w:t>
      </w:r>
      <w:r w:rsidRPr="003B3476">
        <w:rPr>
          <w:lang w:val="fr-FR" w:eastAsia="fr-FR" w:bidi="fr-FR"/>
        </w:rPr>
        <w:t xml:space="preserve">, qui forme la première partie de ses </w:t>
      </w:r>
      <w:r w:rsidRPr="003B3476">
        <w:rPr>
          <w:rStyle w:val="Notedebasdepage7ptItalique"/>
          <w:b w:val="0"/>
          <w:sz w:val="24"/>
        </w:rPr>
        <w:t>Recherches sur divers services publics,</w:t>
      </w:r>
      <w:r w:rsidRPr="003B3476">
        <w:rPr>
          <w:rStyle w:val="Notedebasdepage7ptItalique"/>
          <w:b w:val="0"/>
          <w:sz w:val="24"/>
          <w:vertAlign w:val="subscript"/>
        </w:rPr>
        <w:t xml:space="preserve"> </w:t>
      </w:r>
      <w:r w:rsidRPr="003B3476">
        <w:rPr>
          <w:lang w:val="fr-FR" w:eastAsia="fr-FR" w:bidi="fr-FR"/>
        </w:rPr>
        <w:t>1895.</w:t>
      </w:r>
    </w:p>
  </w:footnote>
  <w:footnote w:id="879">
    <w:p w14:paraId="465D50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Le Blanc</w:t>
      </w:r>
      <w:r w:rsidRPr="003B3476">
        <w:rPr>
          <w:bCs/>
        </w:rPr>
        <w:t xml:space="preserve">, ouv. </w:t>
      </w:r>
      <w:r w:rsidRPr="003B3476">
        <w:rPr>
          <w:lang w:val="fr-FR" w:eastAsia="fr-FR" w:bidi="fr-FR"/>
        </w:rPr>
        <w:t xml:space="preserve">cité, p. 170 ; </w:t>
      </w:r>
      <w:r w:rsidRPr="003B3476">
        <w:rPr>
          <w:rStyle w:val="Notedebasdepage7ptItalique"/>
          <w:b w:val="0"/>
          <w:sz w:val="24"/>
        </w:rPr>
        <w:t>Livre des Métiers</w:t>
      </w:r>
      <w:r w:rsidRPr="003B3476">
        <w:rPr>
          <w:bCs/>
        </w:rPr>
        <w:t xml:space="preserve">, </w:t>
      </w:r>
      <w:r w:rsidRPr="003B3476">
        <w:rPr>
          <w:lang w:val="fr-FR" w:eastAsia="fr-FR" w:bidi="fr-FR"/>
        </w:rPr>
        <w:t xml:space="preserve">I, XVII, 13 ; </w:t>
      </w:r>
      <w:r w:rsidRPr="003B3476">
        <w:rPr>
          <w:rStyle w:val="Notedebasdepage7ptItalique"/>
          <w:b w:val="0"/>
          <w:sz w:val="24"/>
        </w:rPr>
        <w:t>Calendar of P</w:t>
      </w:r>
      <w:r w:rsidRPr="003B3476">
        <w:rPr>
          <w:rStyle w:val="Notedebasdepage7ptItalique"/>
          <w:b w:val="0"/>
          <w:sz w:val="24"/>
        </w:rPr>
        <w:t>a</w:t>
      </w:r>
      <w:r w:rsidRPr="003B3476">
        <w:rPr>
          <w:rStyle w:val="Notedebasdepage7ptItalique"/>
          <w:b w:val="0"/>
          <w:sz w:val="24"/>
        </w:rPr>
        <w:t>tent Rolls</w:t>
      </w:r>
      <w:r w:rsidRPr="003B3476">
        <w:rPr>
          <w:bCs/>
        </w:rPr>
        <w:t xml:space="preserve">, </w:t>
      </w:r>
      <w:r w:rsidRPr="003B3476">
        <w:rPr>
          <w:rStyle w:val="Notedebasdepage7ptItalique"/>
          <w:b w:val="0"/>
          <w:sz w:val="24"/>
        </w:rPr>
        <w:t>Henry III</w:t>
      </w:r>
      <w:r w:rsidRPr="003B3476">
        <w:rPr>
          <w:lang w:val="fr-FR" w:eastAsia="fr-FR" w:bidi="fr-FR"/>
        </w:rPr>
        <w:t xml:space="preserve">, </w:t>
      </w:r>
      <w:r w:rsidRPr="003B3476">
        <w:rPr>
          <w:bCs/>
        </w:rPr>
        <w:t>1247-1258</w:t>
      </w:r>
      <w:r w:rsidRPr="003B3476">
        <w:rPr>
          <w:lang w:val="fr-FR" w:eastAsia="fr-FR" w:bidi="fr-FR"/>
        </w:rPr>
        <w:t>, p. 314 (1254,</w:t>
      </w:r>
      <w:r>
        <w:rPr>
          <w:lang w:val="fr-FR" w:eastAsia="fr-FR" w:bidi="fr-FR"/>
        </w:rPr>
        <w:t xml:space="preserve"> </w:t>
      </w:r>
      <w:r w:rsidRPr="003B3476">
        <w:rPr>
          <w:lang w:val="fr-FR" w:eastAsia="fr-FR" w:bidi="fr-FR"/>
        </w:rPr>
        <w:t>21 juillet). Le trésor comprend, en outre, de l’or non monnayé et diverses autres monnaies d’or, dont, si je comprends bien l’analyse du document, la provenance n’était pas spécifiée, sans doute en ra</w:t>
      </w:r>
      <w:r w:rsidRPr="003B3476">
        <w:rPr>
          <w:lang w:val="fr-FR" w:eastAsia="fr-FR" w:bidi="fr-FR"/>
        </w:rPr>
        <w:t>i</w:t>
      </w:r>
      <w:r w:rsidRPr="003B3476">
        <w:rPr>
          <w:lang w:val="fr-FR" w:eastAsia="fr-FR" w:bidi="fr-FR"/>
        </w:rPr>
        <w:t>son de leur petit nombre.</w:t>
      </w:r>
    </w:p>
  </w:footnote>
  <w:footnote w:id="880">
    <w:p w14:paraId="04DDF9D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exemples abondent dans le texte et les notes de l’édition du </w:t>
      </w:r>
      <w:r w:rsidRPr="003B3476">
        <w:rPr>
          <w:rStyle w:val="Notedebasdepage7ptItalique"/>
          <w:b w:val="0"/>
          <w:sz w:val="24"/>
        </w:rPr>
        <w:t>Liber Ce</w:t>
      </w:r>
      <w:r w:rsidRPr="003B3476">
        <w:rPr>
          <w:rStyle w:val="Notedebasdepage7ptItalique"/>
          <w:b w:val="0"/>
          <w:sz w:val="24"/>
        </w:rPr>
        <w:t>n</w:t>
      </w:r>
      <w:r w:rsidRPr="003B3476">
        <w:rPr>
          <w:rStyle w:val="Notedebasdepage7ptItalique"/>
          <w:b w:val="0"/>
          <w:sz w:val="24"/>
        </w:rPr>
        <w:t>suum</w:t>
      </w:r>
      <w:r w:rsidRPr="003B3476">
        <w:rPr>
          <w:bCs/>
        </w:rPr>
        <w:t xml:space="preserve"> </w:t>
      </w:r>
      <w:r w:rsidRPr="003B3476">
        <w:rPr>
          <w:lang w:val="fr-FR" w:eastAsia="fr-FR" w:bidi="fr-FR"/>
        </w:rPr>
        <w:t xml:space="preserve">par P. </w:t>
      </w:r>
      <w:r w:rsidRPr="003B3476">
        <w:rPr>
          <w:bCs/>
          <w:smallCaps/>
        </w:rPr>
        <w:t>Fabre</w:t>
      </w:r>
      <w:r w:rsidRPr="003B3476">
        <w:rPr>
          <w:bCs/>
        </w:rPr>
        <w:t xml:space="preserve">. </w:t>
      </w:r>
      <w:r w:rsidRPr="003B3476">
        <w:rPr>
          <w:lang w:val="fr-FR" w:eastAsia="fr-FR" w:bidi="fr-FR"/>
        </w:rPr>
        <w:t>On remarquera, p. 110, que le cens dû par Sainte-Marie-Majeure de Verceil était indifféremment fixé à un besant ou un marabotin. Les nombreux deniers anglo-saxons trouvés à Rome paraissent prouver que, stip</w:t>
      </w:r>
      <w:r w:rsidRPr="003B3476">
        <w:rPr>
          <w:lang w:val="fr-FR" w:eastAsia="fr-FR" w:bidi="fr-FR"/>
        </w:rPr>
        <w:t>u</w:t>
      </w:r>
      <w:r w:rsidRPr="003B3476">
        <w:rPr>
          <w:lang w:val="fr-FR" w:eastAsia="fr-FR" w:bidi="fr-FR"/>
        </w:rPr>
        <w:t xml:space="preserve">lé en </w:t>
      </w:r>
      <w:r w:rsidRPr="003B3476">
        <w:rPr>
          <w:rStyle w:val="Notedebasdepage7ptItalique"/>
          <w:b w:val="0"/>
          <w:sz w:val="24"/>
        </w:rPr>
        <w:t>mancus</w:t>
      </w:r>
      <w:r w:rsidRPr="003B3476">
        <w:rPr>
          <w:lang w:val="fr-FR" w:eastAsia="fr-FR" w:bidi="fr-FR"/>
        </w:rPr>
        <w:t xml:space="preserve">, le tribut dû à Saint-Pierre était, en fait, souvent payé en argent ; </w:t>
      </w:r>
      <w:r w:rsidRPr="003B3476">
        <w:rPr>
          <w:rStyle w:val="Notedebasdepage7ptItalique"/>
          <w:b w:val="0"/>
          <w:sz w:val="24"/>
        </w:rPr>
        <w:t>cf.</w:t>
      </w:r>
      <w:r w:rsidRPr="003B3476">
        <w:rPr>
          <w:bCs/>
        </w:rPr>
        <w:t xml:space="preserve"> </w:t>
      </w:r>
      <w:r w:rsidRPr="003B3476">
        <w:rPr>
          <w:lang w:val="fr-FR" w:eastAsia="fr-FR" w:bidi="fr-FR"/>
        </w:rPr>
        <w:t xml:space="preserve">O. </w:t>
      </w:r>
      <w:r w:rsidRPr="003B3476">
        <w:rPr>
          <w:bCs/>
          <w:smallCaps/>
        </w:rPr>
        <w:t>Jensen</w:t>
      </w:r>
      <w:r w:rsidRPr="003B3476">
        <w:rPr>
          <w:bCs/>
        </w:rPr>
        <w:t xml:space="preserve">, </w:t>
      </w:r>
      <w:r w:rsidRPr="003B3476">
        <w:rPr>
          <w:rStyle w:val="Notedebasdepage7ptItalique"/>
          <w:b w:val="0"/>
          <w:sz w:val="24"/>
        </w:rPr>
        <w:t>Denarius Sancti Petri</w:t>
      </w:r>
      <w:r w:rsidRPr="003B3476">
        <w:rPr>
          <w:lang w:val="fr-FR" w:eastAsia="fr-FR" w:bidi="fr-FR"/>
        </w:rPr>
        <w:t xml:space="preserve">, dans </w:t>
      </w:r>
      <w:r w:rsidRPr="003B3476">
        <w:rPr>
          <w:rStyle w:val="Notedebasdepage7ptItalique"/>
          <w:b w:val="0"/>
          <w:sz w:val="24"/>
        </w:rPr>
        <w:t>Transactions of the Historical S</w:t>
      </w:r>
      <w:r w:rsidRPr="003B3476">
        <w:rPr>
          <w:rStyle w:val="Notedebasdepage7ptItalique"/>
          <w:b w:val="0"/>
          <w:sz w:val="24"/>
        </w:rPr>
        <w:t>o</w:t>
      </w:r>
      <w:r w:rsidRPr="003B3476">
        <w:rPr>
          <w:rStyle w:val="Notedebasdepage7ptItalique"/>
          <w:b w:val="0"/>
          <w:sz w:val="24"/>
        </w:rPr>
        <w:t>ciety</w:t>
      </w:r>
      <w:r w:rsidRPr="003B3476">
        <w:rPr>
          <w:lang w:val="fr-FR" w:eastAsia="fr-FR" w:bidi="fr-FR"/>
        </w:rPr>
        <w:t xml:space="preserve">, 1901, p. 191. Il est significatif que le type d’un des deniers d’Édouard l’Ancien (901-924) ait vraisemblablement été copié par le pape Jean XII (955-969) : </w:t>
      </w:r>
      <w:r w:rsidRPr="003B3476">
        <w:rPr>
          <w:rStyle w:val="Notedebasdepage7ptItalique"/>
          <w:b w:val="0"/>
          <w:sz w:val="24"/>
        </w:rPr>
        <w:t>cf.</w:t>
      </w:r>
      <w:r w:rsidRPr="003B3476">
        <w:rPr>
          <w:bCs/>
        </w:rPr>
        <w:t xml:space="preserve"> </w:t>
      </w:r>
      <w:r w:rsidRPr="003B3476">
        <w:rPr>
          <w:bCs/>
          <w:smallCaps/>
        </w:rPr>
        <w:t>Oman</w:t>
      </w:r>
      <w:r w:rsidRPr="003B3476">
        <w:rPr>
          <w:bCs/>
        </w:rPr>
        <w:t xml:space="preserve">, </w:t>
      </w:r>
      <w:r w:rsidRPr="003B3476">
        <w:rPr>
          <w:rStyle w:val="Notedebasdepage7ptItalique"/>
          <w:b w:val="0"/>
          <w:sz w:val="24"/>
        </w:rPr>
        <w:t>The coinage of England,</w:t>
      </w:r>
      <w:r w:rsidRPr="003B3476">
        <w:rPr>
          <w:bCs/>
        </w:rPr>
        <w:t xml:space="preserve"> </w:t>
      </w:r>
      <w:r w:rsidRPr="003B3476">
        <w:rPr>
          <w:lang w:val="fr-FR" w:eastAsia="fr-FR" w:bidi="fr-FR"/>
        </w:rPr>
        <w:t>p. 55.</w:t>
      </w:r>
    </w:p>
  </w:footnote>
  <w:footnote w:id="881">
    <w:p w14:paraId="52C616C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Liber testamentorum S. Martini de Campis</w:t>
      </w:r>
      <w:r w:rsidRPr="003B3476">
        <w:rPr>
          <w:lang w:val="fr-FR" w:eastAsia="fr-FR" w:bidi="fr-FR"/>
        </w:rPr>
        <w:t>,</w:t>
      </w:r>
      <w:r w:rsidRPr="003B3476">
        <w:rPr>
          <w:rStyle w:val="Notedebasdepage48ptNonItalique"/>
          <w:b w:val="0"/>
          <w:i w:val="0"/>
          <w:iCs w:val="0"/>
          <w:sz w:val="24"/>
        </w:rPr>
        <w:t xml:space="preserve"> </w:t>
      </w:r>
      <w:r w:rsidRPr="003B3476">
        <w:rPr>
          <w:rStyle w:val="Notedebasdepage465ptNonItalique"/>
          <w:b w:val="0"/>
          <w:i w:val="0"/>
          <w:iCs w:val="0"/>
          <w:sz w:val="24"/>
        </w:rPr>
        <w:t xml:space="preserve">éd. </w:t>
      </w:r>
      <w:r w:rsidRPr="003B3476">
        <w:rPr>
          <w:rStyle w:val="Notedebasdepage465ptNonItalique"/>
          <w:b w:val="0"/>
          <w:i w:val="0"/>
          <w:iCs w:val="0"/>
          <w:smallCaps/>
          <w:sz w:val="24"/>
        </w:rPr>
        <w:t>Depoin</w:t>
      </w:r>
      <w:r w:rsidRPr="003B3476">
        <w:rPr>
          <w:rStyle w:val="Notedebasdepage465ptNonItalique"/>
          <w:b w:val="0"/>
          <w:i w:val="0"/>
          <w:iCs w:val="0"/>
          <w:sz w:val="24"/>
        </w:rPr>
        <w:t>, 1905, n° </w:t>
      </w:r>
      <w:r w:rsidRPr="003B3476">
        <w:rPr>
          <w:rStyle w:val="Notedebasdepage475ptNonItalique"/>
          <w:b w:val="0"/>
          <w:i w:val="0"/>
          <w:iCs w:val="0"/>
          <w:sz w:val="24"/>
        </w:rPr>
        <w:t>XXXVII.</w:t>
      </w:r>
    </w:p>
  </w:footnote>
  <w:footnote w:id="882">
    <w:p w14:paraId="1464A53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V.-L. </w:t>
      </w:r>
      <w:r w:rsidRPr="003B3476">
        <w:rPr>
          <w:bCs/>
          <w:smallCaps/>
        </w:rPr>
        <w:t>Bourrilly</w:t>
      </w:r>
      <w:r w:rsidRPr="003B3476">
        <w:rPr>
          <w:bCs/>
        </w:rPr>
        <w:t xml:space="preserve">, </w:t>
      </w:r>
      <w:r w:rsidRPr="003B3476">
        <w:rPr>
          <w:lang w:val="fr-FR" w:eastAsia="fr-FR" w:bidi="fr-FR"/>
        </w:rPr>
        <w:t xml:space="preserve">dans </w:t>
      </w:r>
      <w:r w:rsidRPr="003B3476">
        <w:rPr>
          <w:rStyle w:val="Notedebasdepage7ptItalique"/>
          <w:b w:val="0"/>
          <w:sz w:val="24"/>
        </w:rPr>
        <w:t>Les Bouches-du-Rhône</w:t>
      </w:r>
      <w:r w:rsidRPr="003B3476">
        <w:rPr>
          <w:lang w:val="fr-FR" w:eastAsia="fr-FR" w:bidi="fr-FR"/>
        </w:rPr>
        <w:t xml:space="preserve">, </w:t>
      </w:r>
      <w:r w:rsidRPr="003B3476">
        <w:rPr>
          <w:rStyle w:val="Notedebasdepage7ptItalique"/>
          <w:b w:val="0"/>
          <w:sz w:val="24"/>
        </w:rPr>
        <w:t>Encyclopédie département</w:t>
      </w:r>
      <w:r w:rsidRPr="003B3476">
        <w:rPr>
          <w:rStyle w:val="Notedebasdepage7ptItalique"/>
          <w:b w:val="0"/>
          <w:sz w:val="24"/>
        </w:rPr>
        <w:t>a</w:t>
      </w:r>
      <w:r w:rsidRPr="003B3476">
        <w:rPr>
          <w:rStyle w:val="Notedebasdepage7ptItalique"/>
          <w:b w:val="0"/>
          <w:sz w:val="24"/>
        </w:rPr>
        <w:t>le</w:t>
      </w:r>
      <w:r w:rsidRPr="003B3476">
        <w:rPr>
          <w:bCs/>
        </w:rPr>
        <w:t>, 1</w:t>
      </w:r>
      <w:r w:rsidRPr="003B3476">
        <w:rPr>
          <w:vertAlign w:val="superscript"/>
          <w:lang w:val="fr-FR" w:eastAsia="fr-FR" w:bidi="fr-FR"/>
        </w:rPr>
        <w:t>re</w:t>
      </w:r>
      <w:r w:rsidRPr="003B3476">
        <w:rPr>
          <w:lang w:val="fr-FR" w:eastAsia="fr-FR" w:bidi="fr-FR"/>
        </w:rPr>
        <w:t xml:space="preserve"> partie, t. II, 1924, p. 316 ; le comte s’engageait, en outre, à un vers</w:t>
      </w:r>
      <w:r w:rsidRPr="003B3476">
        <w:rPr>
          <w:lang w:val="fr-FR" w:eastAsia="fr-FR" w:bidi="fr-FR"/>
        </w:rPr>
        <w:t>e</w:t>
      </w:r>
      <w:r w:rsidRPr="003B3476">
        <w:rPr>
          <w:lang w:val="fr-FR" w:eastAsia="fr-FR" w:bidi="fr-FR"/>
        </w:rPr>
        <w:t>ment annuel de 15.000 marcs d’or.</w:t>
      </w:r>
    </w:p>
  </w:footnote>
  <w:footnote w:id="883">
    <w:p w14:paraId="7421F4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A. </w:t>
      </w:r>
      <w:r w:rsidRPr="003B3476">
        <w:rPr>
          <w:bCs/>
          <w:smallCaps/>
        </w:rPr>
        <w:t>Erhard</w:t>
      </w:r>
      <w:r w:rsidRPr="003B3476">
        <w:rPr>
          <w:bCs/>
        </w:rPr>
        <w:t xml:space="preserve">, </w:t>
      </w:r>
      <w:r w:rsidRPr="003B3476">
        <w:rPr>
          <w:rStyle w:val="Notedebasdepage7ptItalique"/>
          <w:b w:val="0"/>
          <w:sz w:val="24"/>
        </w:rPr>
        <w:t>Regesta historiae Westfaliae</w:t>
      </w:r>
      <w:r w:rsidRPr="003B3476">
        <w:rPr>
          <w:lang w:val="fr-FR" w:eastAsia="fr-FR" w:bidi="fr-FR"/>
        </w:rPr>
        <w:t>, t. II, p. 135, n° CCCLXXXV.</w:t>
      </w:r>
    </w:p>
  </w:footnote>
  <w:footnote w:id="884">
    <w:p w14:paraId="55AFEEC9"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M. </w:t>
      </w:r>
      <w:r w:rsidRPr="003B3476">
        <w:rPr>
          <w:smallCaps/>
        </w:rPr>
        <w:t>Quantin</w:t>
      </w:r>
      <w:r w:rsidRPr="003B3476">
        <w:t xml:space="preserve">, </w:t>
      </w:r>
      <w:r w:rsidRPr="003B3476">
        <w:rPr>
          <w:i/>
        </w:rPr>
        <w:t>Cartulaire général de l’Yonne</w:t>
      </w:r>
      <w:r w:rsidRPr="003B3476">
        <w:t>, t. II, n° GLXXVII. Mais la cro</w:t>
      </w:r>
      <w:r w:rsidRPr="003B3476">
        <w:t>i</w:t>
      </w:r>
      <w:r w:rsidRPr="003B3476">
        <w:t xml:space="preserve">sade provoquait également des mouvements en sens inverse, car les partants cherchaient à emporter </w:t>
      </w:r>
      <w:r w:rsidRPr="003B3476">
        <w:rPr>
          <w:lang w:val="fr-FR" w:eastAsia="fr-FR" w:bidi="fr-FR"/>
        </w:rPr>
        <w:t xml:space="preserve">l’or ; il nous est bien impossible de déterminer en quel sens penchait la balance. En 1189, le comte de Frensdorf, qui se préparait à accompagner en Terre Sainte l’Empereur, son maître, engagea ses droit d’avouerie à l’église de Bamberg ; le montant du prêt avait été fixé à 400 marcs d’argent ; le comte, sur sa demande, reçut, à la place, 40 marcs d’or. </w:t>
      </w:r>
      <w:r w:rsidRPr="003B3476">
        <w:rPr>
          <w:i/>
          <w:lang w:val="fr-FR" w:eastAsia="fr-FR" w:bidi="fr-FR"/>
        </w:rPr>
        <w:t>Cf.</w:t>
      </w:r>
      <w:r w:rsidRPr="003B3476">
        <w:rPr>
          <w:lang w:val="fr-FR" w:eastAsia="fr-FR" w:bidi="fr-FR"/>
        </w:rPr>
        <w:t xml:space="preserve"> A. </w:t>
      </w:r>
      <w:r w:rsidRPr="003B3476">
        <w:rPr>
          <w:bCs/>
          <w:smallCaps/>
        </w:rPr>
        <w:t>Köberlin</w:t>
      </w:r>
      <w:r w:rsidRPr="003B3476">
        <w:rPr>
          <w:bCs/>
        </w:rPr>
        <w:t xml:space="preserve">, </w:t>
      </w:r>
      <w:r w:rsidRPr="003B3476">
        <w:rPr>
          <w:rStyle w:val="Notedebasdepage7ptItalique"/>
          <w:b w:val="0"/>
          <w:sz w:val="24"/>
        </w:rPr>
        <w:t>Frankische Münzverhältnisse</w:t>
      </w:r>
      <w:r w:rsidRPr="003B3476">
        <w:rPr>
          <w:lang w:val="fr-FR" w:eastAsia="fr-FR" w:bidi="fr-FR"/>
        </w:rPr>
        <w:t>, 1899, p. 3.</w:t>
      </w:r>
    </w:p>
  </w:footnote>
  <w:footnote w:id="885">
    <w:p w14:paraId="596870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Codex Hirsaugiensis</w:t>
      </w:r>
      <w:r w:rsidRPr="003B3476">
        <w:rPr>
          <w:lang w:val="fr-FR" w:eastAsia="fr-FR" w:bidi="fr-FR"/>
        </w:rPr>
        <w:t xml:space="preserve">, dans </w:t>
      </w:r>
      <w:r w:rsidRPr="003B3476">
        <w:rPr>
          <w:rStyle w:val="Notedebasdepage7ptItalique"/>
          <w:b w:val="0"/>
          <w:sz w:val="24"/>
        </w:rPr>
        <w:t>Bibliothek des literarischen Vereins</w:t>
      </w:r>
      <w:r w:rsidRPr="003B3476">
        <w:rPr>
          <w:lang w:val="fr-FR" w:eastAsia="fr-FR" w:bidi="fr-FR"/>
        </w:rPr>
        <w:t>, t. I, 2, p. 51. Les quelques rense</w:t>
      </w:r>
      <w:r w:rsidRPr="003B3476">
        <w:rPr>
          <w:lang w:val="fr-FR" w:eastAsia="fr-FR" w:bidi="fr-FR"/>
        </w:rPr>
        <w:t>i</w:t>
      </w:r>
      <w:r w:rsidRPr="003B3476">
        <w:rPr>
          <w:lang w:val="fr-FR" w:eastAsia="fr-FR" w:bidi="fr-FR"/>
        </w:rPr>
        <w:t>gnements qu’on peut recueillir sur les cours réciproques des deux métaux pr</w:t>
      </w:r>
      <w:r w:rsidRPr="003B3476">
        <w:rPr>
          <w:lang w:val="fr-FR" w:eastAsia="fr-FR" w:bidi="fr-FR"/>
        </w:rPr>
        <w:t>é</w:t>
      </w:r>
      <w:r w:rsidRPr="003B3476">
        <w:rPr>
          <w:lang w:val="fr-FR" w:eastAsia="fr-FR" w:bidi="fr-FR"/>
        </w:rPr>
        <w:t xml:space="preserve">cieux, avant la reprise de la frappe, en prouvent surtout la grande variabilité, comme l’a bien vu E. </w:t>
      </w:r>
      <w:r w:rsidRPr="003B3476">
        <w:rPr>
          <w:bCs/>
          <w:smallCaps/>
        </w:rPr>
        <w:t>Born</w:t>
      </w:r>
      <w:r w:rsidRPr="003B3476">
        <w:rPr>
          <w:bCs/>
        </w:rPr>
        <w:t xml:space="preserve">, </w:t>
      </w:r>
      <w:r w:rsidRPr="003B3476">
        <w:rPr>
          <w:rStyle w:val="Notedebasdepage7ptItalique"/>
          <w:b w:val="0"/>
          <w:sz w:val="24"/>
        </w:rPr>
        <w:t>Das Zeitalter des Denars</w:t>
      </w:r>
      <w:r w:rsidRPr="003B3476">
        <w:rPr>
          <w:rStyle w:val="Notedebasdepage7ptItalique"/>
          <w:b w:val="0"/>
          <w:sz w:val="24"/>
          <w:vertAlign w:val="subscript"/>
        </w:rPr>
        <w:t>t</w:t>
      </w:r>
      <w:r w:rsidRPr="003B3476">
        <w:rPr>
          <w:bCs/>
        </w:rPr>
        <w:t xml:space="preserve"> </w:t>
      </w:r>
      <w:r w:rsidRPr="003B3476">
        <w:rPr>
          <w:lang w:val="fr-FR" w:eastAsia="fr-FR" w:bidi="fr-FR"/>
        </w:rPr>
        <w:t>p. 115 ; d’une façon générale, ils n’indiquent pas une très forte appréciation de l’or. — En 1044, Henri III e</w:t>
      </w:r>
      <w:r w:rsidRPr="003B3476">
        <w:rPr>
          <w:lang w:val="fr-FR" w:eastAsia="fr-FR" w:bidi="fr-FR"/>
        </w:rPr>
        <w:t>m</w:t>
      </w:r>
      <w:r w:rsidRPr="003B3476">
        <w:rPr>
          <w:lang w:val="fr-FR" w:eastAsia="fr-FR" w:bidi="fr-FR"/>
        </w:rPr>
        <w:t>prunta à l’église de Worms 20 livres d’or et 200 marcs d’argent ; l’évêque en même temps se fit donner parle chapitre, pour être dépensés « au service du roi », 57 marcs d’argent ; l’église de Worms v</w:t>
      </w:r>
      <w:r w:rsidRPr="003B3476">
        <w:rPr>
          <w:lang w:val="fr-FR" w:eastAsia="fr-FR" w:bidi="fr-FR"/>
        </w:rPr>
        <w:t>i</w:t>
      </w:r>
      <w:r w:rsidRPr="003B3476">
        <w:rPr>
          <w:lang w:val="fr-FR" w:eastAsia="fr-FR" w:bidi="fr-FR"/>
        </w:rPr>
        <w:t>siblement disposait de bea</w:t>
      </w:r>
      <w:r w:rsidRPr="003B3476">
        <w:rPr>
          <w:lang w:val="fr-FR" w:eastAsia="fr-FR" w:bidi="fr-FR"/>
        </w:rPr>
        <w:t>u</w:t>
      </w:r>
      <w:r w:rsidRPr="003B3476">
        <w:rPr>
          <w:lang w:val="fr-FR" w:eastAsia="fr-FR" w:bidi="fr-FR"/>
        </w:rPr>
        <w:t>coup plus d’argent que d’or (si l’on admet que le marc valait, en gros, les deux tiers de la livre, les chanoines auraient, en cette circonstance, déboursé 171 l</w:t>
      </w:r>
      <w:r w:rsidRPr="003B3476">
        <w:rPr>
          <w:lang w:val="fr-FR" w:eastAsia="fr-FR" w:bidi="fr-FR"/>
        </w:rPr>
        <w:t>i</w:t>
      </w:r>
      <w:r w:rsidRPr="003B3476">
        <w:rPr>
          <w:lang w:val="fr-FR" w:eastAsia="fr-FR" w:bidi="fr-FR"/>
        </w:rPr>
        <w:t xml:space="preserve">vres d’argent contre 20 livres d’or) ; mais une demande d’or ne la prenait pas au dépourvu </w:t>
      </w:r>
      <w:r w:rsidRPr="003B3476">
        <w:rPr>
          <w:rStyle w:val="Notedebasdepage7ptItalique"/>
          <w:b w:val="0"/>
          <w:sz w:val="24"/>
        </w:rPr>
        <w:t xml:space="preserve">(Dipl. H. </w:t>
      </w:r>
      <w:r w:rsidRPr="003B3476">
        <w:rPr>
          <w:bCs/>
        </w:rPr>
        <w:t>III</w:t>
      </w:r>
      <w:r w:rsidRPr="003B3476">
        <w:rPr>
          <w:lang w:val="fr-FR" w:eastAsia="fr-FR" w:bidi="fr-FR"/>
        </w:rPr>
        <w:t xml:space="preserve">, n° 125 ; </w:t>
      </w:r>
      <w:r w:rsidRPr="003B3476">
        <w:rPr>
          <w:rStyle w:val="Notedebasdepage7ptItalique"/>
          <w:b w:val="0"/>
          <w:sz w:val="24"/>
        </w:rPr>
        <w:t>Neues A</w:t>
      </w:r>
      <w:r w:rsidRPr="003B3476">
        <w:rPr>
          <w:rStyle w:val="Notedebasdepage7ptItalique"/>
          <w:b w:val="0"/>
          <w:sz w:val="24"/>
        </w:rPr>
        <w:t>r</w:t>
      </w:r>
      <w:r w:rsidRPr="003B3476">
        <w:rPr>
          <w:rStyle w:val="Notedebasdepage7ptItalique"/>
          <w:b w:val="0"/>
          <w:sz w:val="24"/>
        </w:rPr>
        <w:t>chiv</w:t>
      </w:r>
      <w:r w:rsidRPr="003B3476">
        <w:rPr>
          <w:lang w:val="fr-FR" w:eastAsia="fr-FR" w:bidi="fr-FR"/>
        </w:rPr>
        <w:t>, 1899, p. 725).</w:t>
      </w:r>
    </w:p>
  </w:footnote>
  <w:footnote w:id="886">
    <w:p w14:paraId="16C23BF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L’intéressant ouvrage de M. </w:t>
      </w:r>
      <w:r w:rsidRPr="003B3476">
        <w:rPr>
          <w:bCs/>
          <w:smallCaps/>
        </w:rPr>
        <w:t>Levi Provençal</w:t>
      </w:r>
      <w:r w:rsidRPr="003B3476">
        <w:rPr>
          <w:bCs/>
        </w:rPr>
        <w:t xml:space="preserve">, </w:t>
      </w:r>
      <w:r w:rsidRPr="003B3476">
        <w:rPr>
          <w:rStyle w:val="Notedebasdepage7ptItalique"/>
          <w:b w:val="0"/>
          <w:sz w:val="24"/>
        </w:rPr>
        <w:t>L’Espagne musulmane au X</w:t>
      </w:r>
      <w:r w:rsidRPr="003B3476">
        <w:rPr>
          <w:rStyle w:val="Notedebasdepage7ptItalique"/>
          <w:b w:val="0"/>
          <w:sz w:val="24"/>
          <w:vertAlign w:val="superscript"/>
        </w:rPr>
        <w:t>e</w:t>
      </w:r>
      <w:r w:rsidRPr="003B3476">
        <w:rPr>
          <w:rStyle w:val="Notedebasdepage7ptItalique"/>
          <w:b w:val="0"/>
          <w:sz w:val="24"/>
        </w:rPr>
        <w:t xml:space="preserve"> siècle</w:t>
      </w:r>
      <w:r w:rsidRPr="003B3476">
        <w:rPr>
          <w:lang w:val="fr-FR" w:eastAsia="fr-FR" w:bidi="fr-FR"/>
        </w:rPr>
        <w:t>, 1932, ne fournit pas de précisions sur la provenance des importations, sauf toutefois en ce qui regarde les esclaves.</w:t>
      </w:r>
    </w:p>
  </w:footnote>
  <w:footnote w:id="887">
    <w:p w14:paraId="3483988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G. de </w:t>
      </w:r>
      <w:r w:rsidRPr="003B3476">
        <w:rPr>
          <w:rStyle w:val="Notedebasdepage465ptNonItalique"/>
          <w:b w:val="0"/>
          <w:i w:val="0"/>
          <w:iCs w:val="0"/>
          <w:smallCaps/>
          <w:sz w:val="24"/>
        </w:rPr>
        <w:t>Tournadre</w:t>
      </w:r>
      <w:r w:rsidRPr="003B3476">
        <w:rPr>
          <w:rStyle w:val="Notedebasdepage465ptNonItalique"/>
          <w:b w:val="0"/>
          <w:i w:val="0"/>
          <w:iCs w:val="0"/>
          <w:sz w:val="24"/>
        </w:rPr>
        <w:t xml:space="preserve">, </w:t>
      </w:r>
      <w:r w:rsidRPr="003B3476">
        <w:rPr>
          <w:i/>
          <w:lang w:val="fr-FR" w:eastAsia="fr-FR" w:bidi="fr-FR"/>
        </w:rPr>
        <w:t>Histoire du comté de Forcalquier</w:t>
      </w:r>
      <w:r w:rsidRPr="003B3476">
        <w:rPr>
          <w:rStyle w:val="Notedebasdepage475ptNonItalique"/>
          <w:b w:val="0"/>
          <w:i w:val="0"/>
          <w:iCs w:val="0"/>
          <w:sz w:val="24"/>
        </w:rPr>
        <w:t>, 1930, p. 39.</w:t>
      </w:r>
    </w:p>
  </w:footnote>
  <w:footnote w:id="888">
    <w:p w14:paraId="37800B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L’obligation pesait, en principe, sur toutes les rivières lombardes ; mais, dès Otton III, des privilèges octroyés à diverses églises y apportèrent quelques e</w:t>
      </w:r>
      <w:r w:rsidRPr="003B3476">
        <w:rPr>
          <w:lang w:val="fr-FR" w:eastAsia="fr-FR" w:bidi="fr-FR"/>
        </w:rPr>
        <w:t>x</w:t>
      </w:r>
      <w:r w:rsidRPr="003B3476">
        <w:rPr>
          <w:lang w:val="fr-FR" w:eastAsia="fr-FR" w:bidi="fr-FR"/>
        </w:rPr>
        <w:t xml:space="preserve">ceptions : </w:t>
      </w:r>
      <w:r w:rsidRPr="003B3476">
        <w:rPr>
          <w:rStyle w:val="Notedebasdepage7ptItalique"/>
          <w:b w:val="0"/>
          <w:sz w:val="24"/>
        </w:rPr>
        <w:t>cf.</w:t>
      </w:r>
      <w:r w:rsidRPr="003B3476">
        <w:rPr>
          <w:bCs/>
        </w:rPr>
        <w:t xml:space="preserve"> </w:t>
      </w:r>
      <w:r w:rsidRPr="003B3476">
        <w:rPr>
          <w:rStyle w:val="Notedebasdepage65ptPetitesmajuscules"/>
          <w:b w:val="0"/>
          <w:sz w:val="24"/>
        </w:rPr>
        <w:t xml:space="preserve">Solmi, </w:t>
      </w:r>
      <w:r w:rsidRPr="003B3476">
        <w:rPr>
          <w:rStyle w:val="Notedebasdepage7ptItalique"/>
          <w:b w:val="0"/>
          <w:sz w:val="24"/>
        </w:rPr>
        <w:t>L’amministrazione,</w:t>
      </w:r>
      <w:r w:rsidRPr="003B3476">
        <w:rPr>
          <w:bCs/>
        </w:rPr>
        <w:t xml:space="preserve"> </w:t>
      </w:r>
      <w:r w:rsidRPr="003B3476">
        <w:rPr>
          <w:lang w:val="fr-FR" w:eastAsia="fr-FR" w:bidi="fr-FR"/>
        </w:rPr>
        <w:t>p. 138, n. 1.</w:t>
      </w:r>
    </w:p>
  </w:footnote>
  <w:footnote w:id="889">
    <w:p w14:paraId="4648E2A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Liber monasterii de Hyda</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éd. E. </w:t>
      </w:r>
      <w:r w:rsidRPr="003B3476">
        <w:rPr>
          <w:rStyle w:val="Notedebasdepage465ptNonItalique"/>
          <w:b w:val="0"/>
          <w:i w:val="0"/>
          <w:iCs w:val="0"/>
          <w:smallCaps/>
          <w:sz w:val="24"/>
        </w:rPr>
        <w:t>Edwards</w:t>
      </w:r>
      <w:r w:rsidRPr="003B3476">
        <w:rPr>
          <w:rStyle w:val="Notedebasdepage465ptNonItalique"/>
          <w:b w:val="0"/>
          <w:i w:val="0"/>
          <w:iCs w:val="0"/>
          <w:sz w:val="24"/>
        </w:rPr>
        <w:t xml:space="preserve"> </w:t>
      </w:r>
      <w:r w:rsidRPr="003B3476">
        <w:rPr>
          <w:bCs/>
          <w:i/>
          <w:iCs/>
        </w:rPr>
        <w:t>(</w:t>
      </w:r>
      <w:r w:rsidRPr="003B3476">
        <w:rPr>
          <w:lang w:val="fr-FR" w:eastAsia="fr-FR" w:bidi="fr-FR"/>
        </w:rPr>
        <w:t>Rolls Séries</w:t>
      </w:r>
      <w:r w:rsidRPr="003B3476">
        <w:rPr>
          <w:bCs/>
          <w:i/>
          <w:iCs/>
        </w:rPr>
        <w:t>)</w:t>
      </w:r>
      <w:r w:rsidRPr="003B3476">
        <w:rPr>
          <w:rStyle w:val="Notedebasdepage475ptNonItalique"/>
          <w:b w:val="0"/>
          <w:i w:val="0"/>
          <w:iCs w:val="0"/>
          <w:sz w:val="24"/>
        </w:rPr>
        <w:t>, p. 154.</w:t>
      </w:r>
    </w:p>
  </w:footnote>
  <w:footnote w:id="890">
    <w:p w14:paraId="752B78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existe, sur cette pièce célèbre, toute une littérature, qu’on trouvera énumérée par U. </w:t>
      </w:r>
      <w:r w:rsidRPr="003B3476">
        <w:rPr>
          <w:bCs/>
          <w:smallCaps/>
        </w:rPr>
        <w:t>Monneret</w:t>
      </w:r>
      <w:r w:rsidRPr="003B3476">
        <w:rPr>
          <w:bCs/>
        </w:rPr>
        <w:t xml:space="preserve">, </w:t>
      </w:r>
      <w:r w:rsidRPr="003B3476">
        <w:rPr>
          <w:rStyle w:val="Notedebasdepage7ptItalique"/>
          <w:b w:val="0"/>
          <w:sz w:val="24"/>
        </w:rPr>
        <w:t>Rivista italiana di numismatica</w:t>
      </w:r>
      <w:r w:rsidRPr="003B3476">
        <w:rPr>
          <w:lang w:val="fr-FR" w:eastAsia="fr-FR" w:bidi="fr-FR"/>
        </w:rPr>
        <w:t>, t. XXXII, p. 95, n. 5.</w:t>
      </w:r>
    </w:p>
  </w:footnote>
  <w:footnote w:id="891">
    <w:p w14:paraId="1FA9A00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H. </w:t>
      </w:r>
      <w:r w:rsidRPr="003B3476">
        <w:rPr>
          <w:bCs/>
          <w:smallCaps/>
        </w:rPr>
        <w:t>Lavoix</w:t>
      </w:r>
      <w:r w:rsidRPr="003B3476">
        <w:rPr>
          <w:bCs/>
        </w:rPr>
        <w:t xml:space="preserve">, </w:t>
      </w:r>
      <w:r w:rsidRPr="003B3476">
        <w:rPr>
          <w:rStyle w:val="Notedebasdepage7ptItalique"/>
          <w:b w:val="0"/>
          <w:sz w:val="24"/>
        </w:rPr>
        <w:t>Catalogue des monnaies arabes</w:t>
      </w:r>
      <w:r w:rsidRPr="003B3476">
        <w:rPr>
          <w:lang w:val="fr-FR" w:eastAsia="fr-FR" w:bidi="fr-FR"/>
        </w:rPr>
        <w:t xml:space="preserve">, t. II, p. </w:t>
      </w:r>
      <w:r w:rsidRPr="003B3476">
        <w:rPr>
          <w:smallCaps/>
          <w:lang w:val="fr-FR" w:eastAsia="fr-FR" w:bidi="fr-FR"/>
        </w:rPr>
        <w:t>xxxv </w:t>
      </w:r>
      <w:r w:rsidRPr="003B3476">
        <w:rPr>
          <w:lang w:val="fr-FR" w:eastAsia="fr-FR" w:bidi="fr-FR"/>
        </w:rPr>
        <w:t xml:space="preserve">; </w:t>
      </w:r>
      <w:r w:rsidRPr="003B3476">
        <w:rPr>
          <w:i/>
          <w:lang w:val="fr-FR" w:eastAsia="fr-FR" w:bidi="fr-FR"/>
        </w:rPr>
        <w:t>cf.</w:t>
      </w:r>
      <w:r w:rsidRPr="003B3476">
        <w:rPr>
          <w:lang w:val="fr-FR" w:eastAsia="fr-FR" w:bidi="fr-FR"/>
        </w:rPr>
        <w:t xml:space="preserve"> p. </w:t>
      </w:r>
      <w:r w:rsidRPr="003B3476">
        <w:rPr>
          <w:smallCaps/>
          <w:lang w:val="fr-FR" w:eastAsia="fr-FR" w:bidi="fr-FR"/>
        </w:rPr>
        <w:t>xxv</w:t>
      </w:r>
      <w:r w:rsidRPr="003B3476">
        <w:rPr>
          <w:lang w:val="fr-FR" w:eastAsia="fr-FR" w:bidi="fr-FR"/>
        </w:rPr>
        <w:t xml:space="preserve"> et suiv., sur des contrefaçons de dinars attestées encore, en 1273, à Majorque.</w:t>
      </w:r>
    </w:p>
  </w:footnote>
  <w:footnote w:id="892">
    <w:p w14:paraId="496E136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Histoire du Languedoc</w:t>
      </w:r>
      <w:r w:rsidRPr="003B3476">
        <w:rPr>
          <w:lang w:val="fr-FR" w:eastAsia="fr-FR" w:bidi="fr-FR"/>
        </w:rPr>
        <w:t>, t. V, n° 346 (« </w:t>
      </w:r>
      <w:r w:rsidRPr="003B3476">
        <w:rPr>
          <w:i/>
          <w:lang w:val="fr-FR" w:eastAsia="fr-FR" w:bidi="fr-FR"/>
        </w:rPr>
        <w:t>de ipsa moneta de ipso auro </w:t>
      </w:r>
      <w:r w:rsidRPr="003B3476">
        <w:rPr>
          <w:lang w:val="fr-FR" w:eastAsia="fr-FR" w:bidi="fr-FR"/>
        </w:rPr>
        <w:t>»).</w:t>
      </w:r>
    </w:p>
  </w:footnote>
  <w:footnote w:id="893">
    <w:p w14:paraId="1EEA1EF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Liber Jurium</w:t>
      </w:r>
      <w:r w:rsidRPr="003B3476">
        <w:rPr>
          <w:lang w:val="fr-FR" w:eastAsia="fr-FR" w:bidi="fr-FR"/>
        </w:rPr>
        <w:t>, t. I, n° CL. À première vue, on pourrait être tenté de rapprocher ce document du texte relatif à Marseille, qui a été cité plus haut, p. 842, n. 1. Les deux témoignages appellent cependant une interprétation bien différente. Tous deux, sans doute, font allusion à une frappe, à laquelle ne correspond a</w:t>
      </w:r>
      <w:r w:rsidRPr="003B3476">
        <w:rPr>
          <w:lang w:val="fr-FR" w:eastAsia="fr-FR" w:bidi="fr-FR"/>
        </w:rPr>
        <w:t>u</w:t>
      </w:r>
      <w:r w:rsidRPr="003B3476">
        <w:rPr>
          <w:lang w:val="fr-FR" w:eastAsia="fr-FR" w:bidi="fr-FR"/>
        </w:rPr>
        <w:t>cun monnayage identifié. Mais, à Marseille, nous avions affaire à un privilège, qui ne peut guère s’appliquer qu’à un monnayage officiel prévu et non exéc</w:t>
      </w:r>
      <w:r w:rsidRPr="003B3476">
        <w:rPr>
          <w:lang w:val="fr-FR" w:eastAsia="fr-FR" w:bidi="fr-FR"/>
        </w:rPr>
        <w:t>u</w:t>
      </w:r>
      <w:r w:rsidRPr="003B3476">
        <w:rPr>
          <w:lang w:val="fr-FR" w:eastAsia="fr-FR" w:bidi="fr-FR"/>
        </w:rPr>
        <w:t>té ; à Gênes, le bail atteste une frappe réellement accomplie, sans que nous pui</w:t>
      </w:r>
      <w:r w:rsidRPr="003B3476">
        <w:rPr>
          <w:lang w:val="fr-FR" w:eastAsia="fr-FR" w:bidi="fr-FR"/>
        </w:rPr>
        <w:t>s</w:t>
      </w:r>
      <w:r w:rsidRPr="003B3476">
        <w:rPr>
          <w:lang w:val="fr-FR" w:eastAsia="fr-FR" w:bidi="fr-FR"/>
        </w:rPr>
        <w:t>sions en discerner les produits.</w:t>
      </w:r>
    </w:p>
  </w:footnote>
  <w:footnote w:id="894">
    <w:p w14:paraId="16B3DD4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 millares, voir les mémoires, encore fondamentaux, de A. </w:t>
      </w:r>
      <w:r w:rsidRPr="003B3476">
        <w:rPr>
          <w:bCs/>
          <w:smallCaps/>
        </w:rPr>
        <w:t>Germain</w:t>
      </w:r>
      <w:r w:rsidRPr="003B3476">
        <w:rPr>
          <w:bCs/>
        </w:rPr>
        <w:t xml:space="preserve">, </w:t>
      </w:r>
      <w:r w:rsidRPr="003B3476">
        <w:rPr>
          <w:rStyle w:val="Notedebasdepage7ptItalique"/>
          <w:b w:val="0"/>
          <w:sz w:val="24"/>
        </w:rPr>
        <w:t xml:space="preserve">De la monnaie mahométane attribuée à un évêque de Maguelonne, </w:t>
      </w:r>
      <w:r w:rsidRPr="003B3476">
        <w:rPr>
          <w:rStyle w:val="Notedebasdepage7ptItalique"/>
          <w:b w:val="0"/>
          <w:i w:val="0"/>
          <w:sz w:val="24"/>
        </w:rPr>
        <w:t>dans</w:t>
      </w:r>
      <w:r w:rsidRPr="003B3476">
        <w:rPr>
          <w:rStyle w:val="Notedebasdepage7ptItalique"/>
          <w:b w:val="0"/>
          <w:sz w:val="24"/>
        </w:rPr>
        <w:t xml:space="preserve"> Mémo</w:t>
      </w:r>
      <w:r w:rsidRPr="003B3476">
        <w:rPr>
          <w:rStyle w:val="Notedebasdepage7ptItalique"/>
          <w:b w:val="0"/>
          <w:sz w:val="24"/>
        </w:rPr>
        <w:t>i</w:t>
      </w:r>
      <w:r w:rsidRPr="003B3476">
        <w:rPr>
          <w:rStyle w:val="Notedebasdepage7ptItalique"/>
          <w:b w:val="0"/>
          <w:sz w:val="24"/>
        </w:rPr>
        <w:t>res de la Soc. Archéologique de Montpellier</w:t>
      </w:r>
      <w:r w:rsidRPr="003B3476">
        <w:rPr>
          <w:lang w:val="fr-FR" w:eastAsia="fr-FR" w:bidi="fr-FR"/>
        </w:rPr>
        <w:t>, t. III, 1850-1854 (</w:t>
      </w:r>
      <w:r w:rsidRPr="003B3476">
        <w:rPr>
          <w:i/>
          <w:lang w:val="fr-FR" w:eastAsia="fr-FR" w:bidi="fr-FR"/>
        </w:rPr>
        <w:t>cf.</w:t>
      </w:r>
      <w:r w:rsidRPr="003B3476">
        <w:rPr>
          <w:lang w:val="fr-FR" w:eastAsia="fr-FR" w:bidi="fr-FR"/>
        </w:rPr>
        <w:t xml:space="preserve"> sur la fra</w:t>
      </w:r>
      <w:r w:rsidRPr="003B3476">
        <w:rPr>
          <w:lang w:val="fr-FR" w:eastAsia="fr-FR" w:bidi="fr-FR"/>
        </w:rPr>
        <w:t>p</w:t>
      </w:r>
      <w:r w:rsidRPr="003B3476">
        <w:rPr>
          <w:lang w:val="fr-FR" w:eastAsia="fr-FR" w:bidi="fr-FR"/>
        </w:rPr>
        <w:t xml:space="preserve">pe majorcaine de 1268, p. 694), et L. </w:t>
      </w:r>
      <w:r w:rsidRPr="003B3476">
        <w:rPr>
          <w:bCs/>
          <w:smallCaps/>
        </w:rPr>
        <w:t>Blancard</w:t>
      </w:r>
      <w:r w:rsidRPr="003B3476">
        <w:rPr>
          <w:bCs/>
        </w:rPr>
        <w:t xml:space="preserve">, </w:t>
      </w:r>
      <w:r w:rsidRPr="003B3476">
        <w:rPr>
          <w:rStyle w:val="Notedebasdepage7ptItalique"/>
          <w:b w:val="0"/>
          <w:sz w:val="24"/>
        </w:rPr>
        <w:t xml:space="preserve">Le millares ; étude sur une monnaie du </w:t>
      </w:r>
      <w:r w:rsidRPr="003B3476">
        <w:rPr>
          <w:bCs/>
          <w:i/>
        </w:rPr>
        <w:t>XIII</w:t>
      </w:r>
      <w:r w:rsidRPr="003B3476">
        <w:rPr>
          <w:bCs/>
          <w:i/>
          <w:vertAlign w:val="superscript"/>
        </w:rPr>
        <w:t>e</w:t>
      </w:r>
      <w:r w:rsidRPr="003B3476">
        <w:rPr>
          <w:bCs/>
        </w:rPr>
        <w:t xml:space="preserve"> </w:t>
      </w:r>
      <w:r w:rsidRPr="003B3476">
        <w:rPr>
          <w:rStyle w:val="Notedebasdepage7ptItalique"/>
          <w:b w:val="0"/>
          <w:sz w:val="24"/>
        </w:rPr>
        <w:t>siècle imitée de l’arabe par les chrétiens pour les besoins de leur commerce en pays maure,</w:t>
      </w:r>
      <w:r w:rsidRPr="003B3476">
        <w:rPr>
          <w:bCs/>
        </w:rPr>
        <w:t xml:space="preserve"> </w:t>
      </w:r>
      <w:r w:rsidRPr="003B3476">
        <w:rPr>
          <w:lang w:val="fr-FR" w:eastAsia="fr-FR" w:bidi="fr-FR"/>
        </w:rPr>
        <w:t xml:space="preserve">Marseille, 1876. — Sur les dirhems allemands, H. </w:t>
      </w:r>
      <w:r w:rsidRPr="003B3476">
        <w:rPr>
          <w:bCs/>
          <w:smallCaps/>
        </w:rPr>
        <w:t>Dannenberg</w:t>
      </w:r>
      <w:r w:rsidRPr="003B3476">
        <w:rPr>
          <w:bCs/>
        </w:rPr>
        <w:t xml:space="preserve">, </w:t>
      </w:r>
      <w:r w:rsidRPr="003B3476">
        <w:rPr>
          <w:rStyle w:val="Notedebasdepage7ptItalique"/>
          <w:b w:val="0"/>
          <w:sz w:val="24"/>
        </w:rPr>
        <w:t>Die deut</w:t>
      </w:r>
      <w:r w:rsidRPr="003B3476">
        <w:rPr>
          <w:rStyle w:val="Notedebasdepage7ptItalique"/>
          <w:b w:val="0"/>
          <w:sz w:val="24"/>
        </w:rPr>
        <w:t>s</w:t>
      </w:r>
      <w:r w:rsidRPr="003B3476">
        <w:rPr>
          <w:rStyle w:val="Notedebasdepage7ptItalique"/>
          <w:b w:val="0"/>
          <w:sz w:val="24"/>
        </w:rPr>
        <w:t>chen Münzen der sachsischen... Kaiserzeit</w:t>
      </w:r>
      <w:r w:rsidRPr="003B3476">
        <w:rPr>
          <w:lang w:val="fr-FR" w:eastAsia="fr-FR" w:bidi="fr-FR"/>
        </w:rPr>
        <w:t xml:space="preserve">, t. I, n° 1185, et t. II, n° 1738. — Sur Oléron, A. </w:t>
      </w:r>
      <w:r w:rsidRPr="003B3476">
        <w:rPr>
          <w:bCs/>
          <w:smallCaps/>
        </w:rPr>
        <w:t>Molinier</w:t>
      </w:r>
      <w:r w:rsidRPr="003B3476">
        <w:rPr>
          <w:bCs/>
        </w:rPr>
        <w:t xml:space="preserve">, </w:t>
      </w:r>
      <w:r w:rsidRPr="003B3476">
        <w:rPr>
          <w:rStyle w:val="Notedebasdepage7ptItalique"/>
          <w:b w:val="0"/>
          <w:sz w:val="24"/>
        </w:rPr>
        <w:t>Correspondance admini</w:t>
      </w:r>
      <w:r w:rsidRPr="003B3476">
        <w:rPr>
          <w:rStyle w:val="Notedebasdepage7ptItalique"/>
          <w:b w:val="0"/>
          <w:sz w:val="24"/>
        </w:rPr>
        <w:t>s</w:t>
      </w:r>
      <w:r w:rsidRPr="003B3476">
        <w:rPr>
          <w:rStyle w:val="Notedebasdepage7ptItalique"/>
          <w:b w:val="0"/>
          <w:sz w:val="24"/>
        </w:rPr>
        <w:t>trative d'Alphonse de Poitiers</w:t>
      </w:r>
      <w:r w:rsidRPr="003B3476">
        <w:rPr>
          <w:lang w:val="fr-FR" w:eastAsia="fr-FR" w:bidi="fr-FR"/>
        </w:rPr>
        <w:t>, t. I, n° 695. Le monnayeur comtal de Mo</w:t>
      </w:r>
      <w:r w:rsidRPr="003B3476">
        <w:rPr>
          <w:lang w:val="fr-FR" w:eastAsia="fr-FR" w:bidi="fr-FR"/>
        </w:rPr>
        <w:t>n</w:t>
      </w:r>
      <w:r w:rsidRPr="003B3476">
        <w:rPr>
          <w:lang w:val="fr-FR" w:eastAsia="fr-FR" w:bidi="fr-FR"/>
        </w:rPr>
        <w:t>treuil-Bonnin, soucieux de son approvisionnement, s’était plaint des achats de billon faits à La Rochelle par l’atelier de l’île, alors anglaise ; Alphonse pre</w:t>
      </w:r>
      <w:r w:rsidRPr="003B3476">
        <w:rPr>
          <w:lang w:val="fr-FR" w:eastAsia="fr-FR" w:bidi="fr-FR"/>
        </w:rPr>
        <w:t>s</w:t>
      </w:r>
      <w:r w:rsidRPr="003B3476">
        <w:rPr>
          <w:lang w:val="fr-FR" w:eastAsia="fr-FR" w:bidi="fr-FR"/>
        </w:rPr>
        <w:t>crit au sénéchal de Saintonge de s’informer si ces achats sont, en effet, illic</w:t>
      </w:r>
      <w:r w:rsidRPr="003B3476">
        <w:rPr>
          <w:lang w:val="fr-FR" w:eastAsia="fr-FR" w:bidi="fr-FR"/>
        </w:rPr>
        <w:t>i</w:t>
      </w:r>
      <w:r w:rsidRPr="003B3476">
        <w:rPr>
          <w:lang w:val="fr-FR" w:eastAsia="fr-FR" w:bidi="fr-FR"/>
        </w:rPr>
        <w:t>tes ; auquel cas, il devra faire observer l’interdiction. Visiblement, la légitim</w:t>
      </w:r>
      <w:r w:rsidRPr="003B3476">
        <w:rPr>
          <w:lang w:val="fr-FR" w:eastAsia="fr-FR" w:bidi="fr-FR"/>
        </w:rPr>
        <w:t>i</w:t>
      </w:r>
      <w:r w:rsidRPr="003B3476">
        <w:rPr>
          <w:lang w:val="fr-FR" w:eastAsia="fr-FR" w:bidi="fr-FR"/>
        </w:rPr>
        <w:t>té des frappes, en elle-même, n’est pas contestée.</w:t>
      </w:r>
    </w:p>
  </w:footnote>
  <w:footnote w:id="895">
    <w:p w14:paraId="0D3DA37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Bulle d’innocent IV, en réponse à une requête du cardinal Eudes de Châtea</w:t>
      </w:r>
      <w:r w:rsidRPr="003B3476">
        <w:rPr>
          <w:lang w:val="fr-FR" w:eastAsia="fr-FR" w:bidi="fr-FR"/>
        </w:rPr>
        <w:t>u</w:t>
      </w:r>
      <w:r w:rsidRPr="003B3476">
        <w:rPr>
          <w:lang w:val="fr-FR" w:eastAsia="fr-FR" w:bidi="fr-FR"/>
        </w:rPr>
        <w:t xml:space="preserve">roux, légat en Terre Sainte, 1253, 8 février : </w:t>
      </w:r>
      <w:r w:rsidRPr="003B3476">
        <w:rPr>
          <w:bCs/>
          <w:smallCaps/>
        </w:rPr>
        <w:t>Raynaldi</w:t>
      </w:r>
      <w:r w:rsidRPr="003B3476">
        <w:rPr>
          <w:bCs/>
        </w:rPr>
        <w:t xml:space="preserve">, </w:t>
      </w:r>
      <w:r w:rsidRPr="003B3476">
        <w:rPr>
          <w:i/>
          <w:lang w:val="fr-FR" w:eastAsia="fr-FR" w:bidi="fr-FR"/>
        </w:rPr>
        <w:t>Ann</w:t>
      </w:r>
      <w:r w:rsidRPr="003B3476">
        <w:rPr>
          <w:lang w:val="fr-FR" w:eastAsia="fr-FR" w:bidi="fr-FR"/>
        </w:rPr>
        <w:t xml:space="preserve">., 1253, § 52 ; </w:t>
      </w:r>
      <w:r w:rsidRPr="003B3476">
        <w:rPr>
          <w:rStyle w:val="Notedebasdepage7ptItalique"/>
          <w:b w:val="0"/>
          <w:sz w:val="24"/>
        </w:rPr>
        <w:t>cf.</w:t>
      </w:r>
      <w:r w:rsidRPr="003B3476">
        <w:rPr>
          <w:bCs/>
        </w:rPr>
        <w:t xml:space="preserve"> </w:t>
      </w:r>
      <w:r w:rsidRPr="003B3476">
        <w:rPr>
          <w:bCs/>
          <w:smallCaps/>
        </w:rPr>
        <w:t>Potthast</w:t>
      </w:r>
      <w:r w:rsidRPr="003B3476">
        <w:rPr>
          <w:bCs/>
        </w:rPr>
        <w:t xml:space="preserve">, </w:t>
      </w:r>
      <w:r w:rsidRPr="003B3476">
        <w:rPr>
          <w:lang w:val="fr-FR" w:eastAsia="fr-FR" w:bidi="fr-FR"/>
        </w:rPr>
        <w:t>n° 14868 ; Bulle de Clément IV, à l’évêque de Maguelonne, 1266, 16 sept. (</w:t>
      </w:r>
      <w:r w:rsidRPr="003B3476">
        <w:rPr>
          <w:rStyle w:val="Notedebasdepage7ptItalique"/>
          <w:b w:val="0"/>
          <w:sz w:val="24"/>
        </w:rPr>
        <w:t xml:space="preserve">Gallia christ., </w:t>
      </w:r>
      <w:r w:rsidRPr="003B3476">
        <w:rPr>
          <w:lang w:val="fr-FR" w:eastAsia="fr-FR" w:bidi="fr-FR"/>
        </w:rPr>
        <w:t xml:space="preserve">t. VI, </w:t>
      </w:r>
      <w:r w:rsidRPr="003B3476">
        <w:rPr>
          <w:rStyle w:val="Notedebasdepage7ptItalique"/>
          <w:b w:val="0"/>
          <w:sz w:val="24"/>
        </w:rPr>
        <w:t>instr</w:t>
      </w:r>
      <w:r w:rsidRPr="003B3476">
        <w:rPr>
          <w:lang w:val="fr-FR" w:eastAsia="fr-FR" w:bidi="fr-FR"/>
        </w:rPr>
        <w:t xml:space="preserve">., p. 374, n° XIV) ; </w:t>
      </w:r>
      <w:r w:rsidRPr="003B3476">
        <w:rPr>
          <w:rStyle w:val="Notedebasdepage7ptItalique"/>
          <w:b w:val="0"/>
          <w:sz w:val="24"/>
        </w:rPr>
        <w:t>cf.</w:t>
      </w:r>
      <w:r w:rsidRPr="003B3476">
        <w:rPr>
          <w:bCs/>
        </w:rPr>
        <w:t> </w:t>
      </w:r>
      <w:r w:rsidRPr="003B3476">
        <w:rPr>
          <w:lang w:val="fr-FR" w:eastAsia="fr-FR" w:bidi="fr-FR"/>
        </w:rPr>
        <w:t xml:space="preserve">A. </w:t>
      </w:r>
      <w:r w:rsidRPr="003B3476">
        <w:rPr>
          <w:bCs/>
          <w:smallCaps/>
        </w:rPr>
        <w:t>Germain</w:t>
      </w:r>
      <w:r w:rsidRPr="003B3476">
        <w:rPr>
          <w:bCs/>
        </w:rPr>
        <w:t xml:space="preserve">, </w:t>
      </w:r>
      <w:r w:rsidRPr="003B3476">
        <w:rPr>
          <w:rStyle w:val="Notedebasdepage7ptItalique"/>
          <w:b w:val="0"/>
          <w:sz w:val="24"/>
        </w:rPr>
        <w:t>De la monnaie musulmane attribuée à un évêque de Maguelonne,</w:t>
      </w:r>
      <w:r w:rsidRPr="003B3476">
        <w:rPr>
          <w:bCs/>
        </w:rPr>
        <w:t xml:space="preserve"> </w:t>
      </w:r>
      <w:r w:rsidRPr="003B3476">
        <w:rPr>
          <w:lang w:val="fr-FR" w:eastAsia="fr-FR" w:bidi="fr-FR"/>
        </w:rPr>
        <w:t xml:space="preserve">dans </w:t>
      </w:r>
      <w:r w:rsidRPr="003B3476">
        <w:rPr>
          <w:rStyle w:val="Notedebasdepage7ptItalique"/>
          <w:b w:val="0"/>
          <w:sz w:val="24"/>
        </w:rPr>
        <w:t>Mémoires de la Société Archéologique de Montpellier,</w:t>
      </w:r>
      <w:r w:rsidRPr="003B3476">
        <w:rPr>
          <w:bCs/>
        </w:rPr>
        <w:t xml:space="preserve"> </w:t>
      </w:r>
      <w:r w:rsidRPr="003B3476">
        <w:rPr>
          <w:lang w:val="fr-FR" w:eastAsia="fr-FR" w:bidi="fr-FR"/>
        </w:rPr>
        <w:t xml:space="preserve">t. III, p. 685, n. 1, et E. </w:t>
      </w:r>
      <w:r w:rsidRPr="003B3476">
        <w:rPr>
          <w:bCs/>
          <w:smallCaps/>
        </w:rPr>
        <w:t>Cartier</w:t>
      </w:r>
      <w:r w:rsidRPr="003B3476">
        <w:rPr>
          <w:bCs/>
        </w:rPr>
        <w:t xml:space="preserve">, </w:t>
      </w:r>
      <w:r w:rsidRPr="003B3476">
        <w:rPr>
          <w:lang w:val="fr-FR" w:eastAsia="fr-FR" w:bidi="fr-FR"/>
        </w:rPr>
        <w:t xml:space="preserve">dans </w:t>
      </w:r>
      <w:r w:rsidRPr="003B3476">
        <w:rPr>
          <w:rStyle w:val="Notedebasdepage7ptItalique"/>
          <w:b w:val="0"/>
          <w:sz w:val="24"/>
        </w:rPr>
        <w:t>Revue numismatique,</w:t>
      </w:r>
      <w:r w:rsidRPr="003B3476">
        <w:rPr>
          <w:bCs/>
        </w:rPr>
        <w:t xml:space="preserve"> </w:t>
      </w:r>
      <w:r w:rsidRPr="003B3476">
        <w:rPr>
          <w:lang w:val="fr-FR" w:eastAsia="fr-FR" w:bidi="fr-FR"/>
        </w:rPr>
        <w:t>1855, p. 198 ; Lettre de saint Louis à A</w:t>
      </w:r>
      <w:r w:rsidRPr="003B3476">
        <w:rPr>
          <w:lang w:val="fr-FR" w:eastAsia="fr-FR" w:bidi="fr-FR"/>
        </w:rPr>
        <w:t>l</w:t>
      </w:r>
      <w:r w:rsidRPr="003B3476">
        <w:rPr>
          <w:lang w:val="fr-FR" w:eastAsia="fr-FR" w:bidi="fr-FR"/>
        </w:rPr>
        <w:t xml:space="preserve">phonse de Poitiers, 1267,19 juillet, dans </w:t>
      </w:r>
      <w:r w:rsidRPr="003B3476">
        <w:rPr>
          <w:rStyle w:val="Notedebasdepage7ptItalique"/>
          <w:b w:val="0"/>
          <w:sz w:val="24"/>
        </w:rPr>
        <w:t>Layettes du Trésor des Chartes,</w:t>
      </w:r>
      <w:r w:rsidRPr="003B3476">
        <w:rPr>
          <w:bCs/>
        </w:rPr>
        <w:t xml:space="preserve"> </w:t>
      </w:r>
      <w:r w:rsidRPr="003B3476">
        <w:rPr>
          <w:lang w:val="fr-FR" w:eastAsia="fr-FR" w:bidi="fr-FR"/>
        </w:rPr>
        <w:t>t. V, n° 812, et mandement d’Alphonse, dans A. </w:t>
      </w:r>
      <w:r w:rsidRPr="003B3476">
        <w:rPr>
          <w:bCs/>
          <w:smallCaps/>
        </w:rPr>
        <w:t>Molinier</w:t>
      </w:r>
      <w:r w:rsidRPr="003B3476">
        <w:rPr>
          <w:bCs/>
        </w:rPr>
        <w:t xml:space="preserve">, </w:t>
      </w:r>
      <w:r w:rsidRPr="003B3476">
        <w:rPr>
          <w:rStyle w:val="Notedebasdepage7ptItalique"/>
          <w:b w:val="0"/>
          <w:sz w:val="24"/>
        </w:rPr>
        <w:t>Correspondance administrative d'Alphonse de Poitiers,</w:t>
      </w:r>
      <w:r w:rsidRPr="003B3476">
        <w:rPr>
          <w:bCs/>
        </w:rPr>
        <w:t xml:space="preserve"> </w:t>
      </w:r>
      <w:r w:rsidRPr="003B3476">
        <w:rPr>
          <w:lang w:val="fr-FR" w:eastAsia="fr-FR" w:bidi="fr-FR"/>
        </w:rPr>
        <w:t xml:space="preserve">t. I, n° 556. Dans les deux derniers cas, il s’agit de millares, c’est-à-dire d’argent ; mais la bulle d’Innocent IV mentionne les monnaies d’or </w:t>
      </w:r>
      <w:r w:rsidRPr="003B3476">
        <w:rPr>
          <w:rStyle w:val="Notedebasdepage7ptItalique"/>
          <w:b w:val="0"/>
          <w:sz w:val="24"/>
        </w:rPr>
        <w:t>(bisanciis)</w:t>
      </w:r>
      <w:r w:rsidRPr="003B3476">
        <w:rPr>
          <w:bCs/>
        </w:rPr>
        <w:t xml:space="preserve"> </w:t>
      </w:r>
      <w:r w:rsidRPr="003B3476">
        <w:rPr>
          <w:lang w:val="fr-FR" w:eastAsia="fr-FR" w:bidi="fr-FR"/>
        </w:rPr>
        <w:t xml:space="preserve">aussi bien que d’argent </w:t>
      </w:r>
      <w:r w:rsidRPr="003B3476">
        <w:rPr>
          <w:rStyle w:val="Notedebasdepage7ptItalique"/>
          <w:b w:val="0"/>
          <w:sz w:val="24"/>
        </w:rPr>
        <w:t>(drachmis).</w:t>
      </w:r>
    </w:p>
  </w:footnote>
  <w:footnote w:id="896">
    <w:p w14:paraId="10B4296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lang w:val="fr-FR" w:eastAsia="fr-FR" w:bidi="fr-FR"/>
        </w:rPr>
        <w:t>Lavoix</w:t>
      </w:r>
      <w:r w:rsidRPr="003B3476">
        <w:rPr>
          <w:lang w:val="fr-FR" w:eastAsia="fr-FR" w:bidi="fr-FR"/>
        </w:rPr>
        <w:t xml:space="preserve">, </w:t>
      </w:r>
      <w:r w:rsidRPr="003B3476">
        <w:rPr>
          <w:rStyle w:val="Notedebasdepage27ptItalique"/>
          <w:b w:val="0"/>
          <w:sz w:val="24"/>
        </w:rPr>
        <w:t>Catalogue,</w:t>
      </w:r>
      <w:r w:rsidRPr="003B3476">
        <w:t xml:space="preserve"> </w:t>
      </w:r>
      <w:r w:rsidRPr="003B3476">
        <w:rPr>
          <w:lang w:val="fr-FR" w:eastAsia="fr-FR" w:bidi="fr-FR"/>
        </w:rPr>
        <w:t xml:space="preserve">t. </w:t>
      </w:r>
      <w:r w:rsidRPr="003B3476">
        <w:t xml:space="preserve">II, </w:t>
      </w:r>
      <w:r w:rsidRPr="003B3476">
        <w:rPr>
          <w:rStyle w:val="Notedebasdepage27ptItalique"/>
          <w:b w:val="0"/>
          <w:sz w:val="24"/>
        </w:rPr>
        <w:t>Préface,</w:t>
      </w:r>
      <w:r w:rsidRPr="003B3476">
        <w:t xml:space="preserve"> </w:t>
      </w:r>
      <w:r w:rsidRPr="003B3476">
        <w:rPr>
          <w:lang w:val="fr-FR" w:eastAsia="fr-FR" w:bidi="fr-FR"/>
        </w:rPr>
        <w:t xml:space="preserve">p. </w:t>
      </w:r>
      <w:r w:rsidRPr="003B3476">
        <w:rPr>
          <w:smallCaps/>
          <w:lang w:val="fr-FR" w:eastAsia="fr-FR" w:bidi="fr-FR"/>
        </w:rPr>
        <w:t>xxxi </w:t>
      </w:r>
      <w:r w:rsidRPr="003B3476">
        <w:rPr>
          <w:lang w:val="fr-FR" w:eastAsia="fr-FR" w:bidi="fr-FR"/>
        </w:rPr>
        <w:t>;</w:t>
      </w:r>
      <w:r w:rsidRPr="003B3476">
        <w:t xml:space="preserve"> G. </w:t>
      </w:r>
      <w:r w:rsidRPr="003B3476">
        <w:rPr>
          <w:smallCaps/>
          <w:lang w:val="fr-FR" w:eastAsia="fr-FR" w:bidi="fr-FR"/>
        </w:rPr>
        <w:t>Schlumberger</w:t>
      </w:r>
      <w:r w:rsidRPr="003B3476">
        <w:rPr>
          <w:lang w:val="fr-FR" w:eastAsia="fr-FR" w:bidi="fr-FR"/>
        </w:rPr>
        <w:t xml:space="preserve">, </w:t>
      </w:r>
      <w:r w:rsidRPr="003B3476">
        <w:rPr>
          <w:rStyle w:val="Notedebasdepage27ptItalique"/>
          <w:b w:val="0"/>
          <w:sz w:val="24"/>
        </w:rPr>
        <w:t>Numismat</w:t>
      </w:r>
      <w:r w:rsidRPr="003B3476">
        <w:rPr>
          <w:rStyle w:val="Notedebasdepage27ptItalique"/>
          <w:b w:val="0"/>
          <w:sz w:val="24"/>
        </w:rPr>
        <w:t>i</w:t>
      </w:r>
      <w:r w:rsidRPr="003B3476">
        <w:rPr>
          <w:rStyle w:val="Notedebasdepage27ptItalique"/>
          <w:b w:val="0"/>
          <w:sz w:val="24"/>
        </w:rPr>
        <w:t>que de l'Orient latin,</w:t>
      </w:r>
      <w:r w:rsidRPr="003B3476">
        <w:t xml:space="preserve"> </w:t>
      </w:r>
      <w:r w:rsidRPr="003B3476">
        <w:rPr>
          <w:lang w:val="fr-FR" w:eastAsia="fr-FR" w:bidi="fr-FR"/>
        </w:rPr>
        <w:t>1878, p. 140 et suiv.</w:t>
      </w:r>
    </w:p>
  </w:footnote>
  <w:footnote w:id="897">
    <w:p w14:paraId="6AA517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Rotuli litter. patentium</w:t>
      </w:r>
      <w:r w:rsidRPr="003B3476">
        <w:rPr>
          <w:bCs/>
        </w:rPr>
        <w:t>,</w:t>
      </w:r>
      <w:r w:rsidRPr="003B3476">
        <w:rPr>
          <w:lang w:val="fr-FR" w:eastAsia="fr-FR" w:bidi="fr-FR"/>
        </w:rPr>
        <w:t xml:space="preserve"> t. I, p. 135 et 141. </w:t>
      </w:r>
      <w:r w:rsidRPr="003B3476">
        <w:rPr>
          <w:rStyle w:val="Notedebasdepage7ptItalique"/>
          <w:b w:val="0"/>
          <w:sz w:val="24"/>
        </w:rPr>
        <w:t>Cf.</w:t>
      </w:r>
      <w:r w:rsidRPr="003B3476">
        <w:rPr>
          <w:bCs/>
        </w:rPr>
        <w:t xml:space="preserve"> </w:t>
      </w:r>
      <w:r w:rsidRPr="003B3476">
        <w:rPr>
          <w:lang w:val="fr-FR" w:eastAsia="fr-FR" w:bidi="fr-FR"/>
        </w:rPr>
        <w:t>déjà, sur la Germanie, l’intelligente rema</w:t>
      </w:r>
      <w:r w:rsidRPr="003B3476">
        <w:rPr>
          <w:lang w:val="fr-FR" w:eastAsia="fr-FR" w:bidi="fr-FR"/>
        </w:rPr>
        <w:t>r</w:t>
      </w:r>
      <w:r w:rsidRPr="003B3476">
        <w:rPr>
          <w:lang w:val="fr-FR" w:eastAsia="fr-FR" w:bidi="fr-FR"/>
        </w:rPr>
        <w:t>que de Tacite (V) : « Leurs préférences vont à l’argent, plutôt qu’à l’or, non par goût, mais parce que les pièces d’argent sont quant</w:t>
      </w:r>
      <w:r w:rsidRPr="003B3476">
        <w:rPr>
          <w:lang w:val="fr-FR" w:eastAsia="fr-FR" w:bidi="fr-FR"/>
        </w:rPr>
        <w:t>i</w:t>
      </w:r>
      <w:r w:rsidRPr="003B3476">
        <w:rPr>
          <w:lang w:val="fr-FR" w:eastAsia="fr-FR" w:bidi="fr-FR"/>
        </w:rPr>
        <w:t>tativement d’usage plus commode à des gens qui ne font commerce que d’objets communs et de médiocre valeur. »</w:t>
      </w:r>
    </w:p>
  </w:footnote>
  <w:footnote w:id="898">
    <w:p w14:paraId="5A90F25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Une partie notable de l’or en circulation se trouvait, bien entendu, aux mains des changeurs, qui étaient souvent, en même temps, monnayeurs. La plus a</w:t>
      </w:r>
      <w:r w:rsidRPr="003B3476">
        <w:rPr>
          <w:lang w:val="fr-FR" w:eastAsia="fr-FR" w:bidi="fr-FR"/>
        </w:rPr>
        <w:t>n</w:t>
      </w:r>
      <w:r w:rsidRPr="003B3476">
        <w:rPr>
          <w:lang w:val="fr-FR" w:eastAsia="fr-FR" w:bidi="fr-FR"/>
        </w:rPr>
        <w:t>cienne rédaction du droit urbain de Strasbourg — vers 1150 — ordonne (c. 77) que tout nouveau monnayeur devra verser à l’évêque une demi-once d’or et au maître de la monnaie 5 « deniers d’or » (marabotins ou besants ? on ne sait).</w:t>
      </w:r>
    </w:p>
  </w:footnote>
  <w:footnote w:id="899">
    <w:p w14:paraId="05ACEB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 </w:t>
      </w:r>
      <w:r w:rsidRPr="003B3476">
        <w:rPr>
          <w:bCs/>
          <w:smallCaps/>
        </w:rPr>
        <w:t>Hoeniger</w:t>
      </w:r>
      <w:r w:rsidRPr="003B3476">
        <w:rPr>
          <w:bCs/>
        </w:rPr>
        <w:t xml:space="preserve">, </w:t>
      </w:r>
      <w:r w:rsidRPr="003B3476">
        <w:rPr>
          <w:rStyle w:val="Notedebasdepage7ptItalique"/>
          <w:b w:val="0"/>
          <w:sz w:val="24"/>
        </w:rPr>
        <w:t>Kölner Schreinsurkunden</w:t>
      </w:r>
      <w:r w:rsidRPr="003B3476">
        <w:rPr>
          <w:lang w:val="fr-FR" w:eastAsia="fr-FR" w:bidi="fr-FR"/>
        </w:rPr>
        <w:t>, t. II, 1 (</w:t>
      </w:r>
      <w:r w:rsidRPr="003B3476">
        <w:rPr>
          <w:rStyle w:val="Notedebasdepage7ptItalique"/>
          <w:b w:val="0"/>
          <w:sz w:val="24"/>
        </w:rPr>
        <w:t>Publikationen der Gesellsch. für rheinische Geschichlskunde,</w:t>
      </w:r>
      <w:r w:rsidRPr="003B3476">
        <w:rPr>
          <w:bCs/>
        </w:rPr>
        <w:t xml:space="preserve"> </w:t>
      </w:r>
      <w:r w:rsidRPr="003B3476">
        <w:rPr>
          <w:lang w:val="fr-FR" w:eastAsia="fr-FR" w:bidi="fr-FR"/>
        </w:rPr>
        <w:t>I), p. 273. Des immeubles voisins (p. 274, 276, 277) paient une livre de poivre. L’emploi du mancus comme unité de poids du métal-or s’explique peut-être par une influence anglaise : Cologne entretenait avec l’Angleterre des rapports commerciaux anciens et étroits.</w:t>
      </w:r>
    </w:p>
  </w:footnote>
  <w:footnote w:id="900">
    <w:p w14:paraId="55CF064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Topographia christiana</w:t>
      </w:r>
      <w:r w:rsidRPr="003B3476">
        <w:rPr>
          <w:bCs/>
        </w:rPr>
        <w:t xml:space="preserve">, II, 148 ; </w:t>
      </w:r>
      <w:r w:rsidRPr="003B3476">
        <w:rPr>
          <w:rStyle w:val="Notedebasdepage365ptNonItalique"/>
          <w:b w:val="0"/>
          <w:iCs w:val="0"/>
          <w:sz w:val="24"/>
        </w:rPr>
        <w:t>cf.</w:t>
      </w:r>
      <w:r w:rsidRPr="003B3476">
        <w:rPr>
          <w:rStyle w:val="Notedebasdepage365ptNonItalique"/>
          <w:b w:val="0"/>
          <w:i w:val="0"/>
          <w:iCs w:val="0"/>
          <w:sz w:val="24"/>
        </w:rPr>
        <w:t xml:space="preserve"> </w:t>
      </w:r>
      <w:r w:rsidRPr="003B3476">
        <w:rPr>
          <w:rStyle w:val="Notedebasdepage365ptNonItaliquePetitesmajuscules"/>
          <w:b w:val="0"/>
          <w:i w:val="0"/>
          <w:iCs w:val="0"/>
          <w:sz w:val="24"/>
        </w:rPr>
        <w:t xml:space="preserve">Procope, </w:t>
      </w:r>
      <w:r w:rsidRPr="003B3476">
        <w:rPr>
          <w:i/>
          <w:lang w:val="fr-FR" w:eastAsia="fr-FR" w:bidi="fr-FR"/>
        </w:rPr>
        <w:t>De bello gothico</w:t>
      </w:r>
      <w:r w:rsidRPr="003B3476">
        <w:rPr>
          <w:bCs/>
        </w:rPr>
        <w:t>, 416.</w:t>
      </w:r>
    </w:p>
  </w:footnote>
  <w:footnote w:id="901">
    <w:p w14:paraId="023015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L’importance croissante attribuée à l’or comme instrument d’échanges, bien avant la reprise de la frappe, ressort clairement des mesures successives prises par les ducs d’Autriche. En 1192, ils défendaient aux marchands de Ratisbo</w:t>
      </w:r>
      <w:r w:rsidRPr="003B3476">
        <w:rPr>
          <w:lang w:val="fr-FR" w:eastAsia="fr-FR" w:bidi="fr-FR"/>
        </w:rPr>
        <w:t>n</w:t>
      </w:r>
      <w:r w:rsidRPr="003B3476">
        <w:rPr>
          <w:lang w:val="fr-FR" w:eastAsia="fr-FR" w:bidi="fr-FR"/>
        </w:rPr>
        <w:t xml:space="preserve">ne l’achat, en pays autrichien, du métal-argent, évidemment réservé à l’atelier monétaire ducal, mais leur permettaient celui de l’or </w:t>
      </w:r>
      <w:r w:rsidRPr="003B3476">
        <w:rPr>
          <w:rStyle w:val="Notedebasdepage7ptItalique"/>
          <w:b w:val="0"/>
          <w:sz w:val="24"/>
        </w:rPr>
        <w:t>(Regensburger Urku</w:t>
      </w:r>
      <w:r w:rsidRPr="003B3476">
        <w:rPr>
          <w:rStyle w:val="Notedebasdepage7ptItalique"/>
          <w:b w:val="0"/>
          <w:sz w:val="24"/>
        </w:rPr>
        <w:t>n</w:t>
      </w:r>
      <w:r w:rsidRPr="003B3476">
        <w:rPr>
          <w:rStyle w:val="Notedebasdepage7ptItalique"/>
          <w:b w:val="0"/>
          <w:sz w:val="24"/>
        </w:rPr>
        <w:t>denbuch,</w:t>
      </w:r>
      <w:r w:rsidRPr="003B3476">
        <w:rPr>
          <w:bCs/>
        </w:rPr>
        <w:t xml:space="preserve"> </w:t>
      </w:r>
      <w:r w:rsidRPr="003B3476">
        <w:rPr>
          <w:lang w:val="fr-FR" w:eastAsia="fr-FR" w:bidi="fr-FR"/>
        </w:rPr>
        <w:t xml:space="preserve">t. I, n° 44, dans </w:t>
      </w:r>
      <w:r w:rsidRPr="003B3476">
        <w:rPr>
          <w:rStyle w:val="Notedebasdepage7ptItalique"/>
          <w:b w:val="0"/>
          <w:sz w:val="24"/>
        </w:rPr>
        <w:t>Monumenta boica,</w:t>
      </w:r>
      <w:r w:rsidRPr="003B3476">
        <w:rPr>
          <w:bCs/>
        </w:rPr>
        <w:t xml:space="preserve"> </w:t>
      </w:r>
      <w:r w:rsidRPr="003B3476">
        <w:rPr>
          <w:lang w:val="fr-FR" w:eastAsia="fr-FR" w:bidi="fr-FR"/>
        </w:rPr>
        <w:t>t. LIII) ; en 1221, l’interdiction atteint l’or comme l’argent ; tous deux ne peuvent être acquis que par le duc lui-même (</w:t>
      </w:r>
      <w:r w:rsidRPr="003B3476">
        <w:rPr>
          <w:rStyle w:val="Notedebasdepage7ptItalique"/>
          <w:b w:val="0"/>
          <w:sz w:val="24"/>
        </w:rPr>
        <w:t>Stadtrecht</w:t>
      </w:r>
      <w:r w:rsidRPr="003B3476">
        <w:rPr>
          <w:bCs/>
        </w:rPr>
        <w:t xml:space="preserve"> </w:t>
      </w:r>
      <w:r w:rsidRPr="003B3476">
        <w:rPr>
          <w:lang w:val="fr-FR" w:eastAsia="fr-FR" w:bidi="fr-FR"/>
        </w:rPr>
        <w:t xml:space="preserve">de Vienne, c. 23, dans </w:t>
      </w:r>
      <w:r w:rsidRPr="003B3476">
        <w:rPr>
          <w:bCs/>
          <w:smallCaps/>
        </w:rPr>
        <w:t>Keutgen</w:t>
      </w:r>
      <w:r w:rsidRPr="003B3476">
        <w:rPr>
          <w:bCs/>
        </w:rPr>
        <w:t xml:space="preserve">, </w:t>
      </w:r>
      <w:r w:rsidRPr="003B3476">
        <w:rPr>
          <w:rStyle w:val="Notedebasdepage7ptItalique"/>
          <w:b w:val="0"/>
          <w:sz w:val="24"/>
        </w:rPr>
        <w:t>Urkunden zur städti</w:t>
      </w:r>
      <w:r w:rsidRPr="003B3476">
        <w:rPr>
          <w:rStyle w:val="Notedebasdepage7ptItalique"/>
          <w:b w:val="0"/>
          <w:sz w:val="24"/>
        </w:rPr>
        <w:t>s</w:t>
      </w:r>
      <w:r w:rsidRPr="003B3476">
        <w:rPr>
          <w:rStyle w:val="Notedebasdepage7ptItalique"/>
          <w:b w:val="0"/>
          <w:sz w:val="24"/>
        </w:rPr>
        <w:t xml:space="preserve">chen Verfassungsgeschichte, </w:t>
      </w:r>
      <w:r w:rsidRPr="003B3476">
        <w:rPr>
          <w:lang w:val="fr-FR" w:eastAsia="fr-FR" w:bidi="fr-FR"/>
        </w:rPr>
        <w:t>p. 209).</w:t>
      </w:r>
    </w:p>
  </w:footnote>
  <w:footnote w:id="902">
    <w:p w14:paraId="09AC1B1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7ptItalique"/>
          <w:b w:val="0"/>
          <w:sz w:val="24"/>
        </w:rPr>
        <w:t>Regensburger Urkundenbuch</w:t>
      </w:r>
      <w:r w:rsidRPr="003B3476">
        <w:rPr>
          <w:lang w:val="fr-FR" w:eastAsia="fr-FR" w:bidi="fr-FR"/>
        </w:rPr>
        <w:t xml:space="preserve">, t. I, n° 445 (1324) ; </w:t>
      </w:r>
      <w:r w:rsidRPr="003B3476">
        <w:rPr>
          <w:smallCaps/>
        </w:rPr>
        <w:t>Luschin von Ebe</w:t>
      </w:r>
      <w:r w:rsidRPr="003B3476">
        <w:rPr>
          <w:smallCaps/>
        </w:rPr>
        <w:t>n</w:t>
      </w:r>
      <w:r w:rsidRPr="003B3476">
        <w:rPr>
          <w:smallCaps/>
        </w:rPr>
        <w:t>greuth</w:t>
      </w:r>
      <w:r w:rsidRPr="003B3476">
        <w:t xml:space="preserve">, </w:t>
      </w:r>
      <w:r w:rsidRPr="003B3476">
        <w:rPr>
          <w:rStyle w:val="Notedebasdepage7ptItalique"/>
          <w:b w:val="0"/>
          <w:sz w:val="24"/>
        </w:rPr>
        <w:t xml:space="preserve">Goldge-schafte Meinhards </w:t>
      </w:r>
      <w:r w:rsidRPr="003B3476">
        <w:t xml:space="preserve">II., </w:t>
      </w:r>
      <w:r w:rsidRPr="003B3476">
        <w:rPr>
          <w:rStyle w:val="Notedebasdepage7ptItalique"/>
          <w:b w:val="0"/>
          <w:sz w:val="24"/>
        </w:rPr>
        <w:t>Grafen von Tirol, und seiner Söhne,</w:t>
      </w:r>
      <w:r w:rsidRPr="003B3476">
        <w:t xml:space="preserve"> </w:t>
      </w:r>
      <w:r w:rsidRPr="003B3476">
        <w:rPr>
          <w:lang w:val="fr-FR" w:eastAsia="fr-FR" w:bidi="fr-FR"/>
        </w:rPr>
        <w:t xml:space="preserve">dans </w:t>
      </w:r>
      <w:r w:rsidRPr="003B3476">
        <w:rPr>
          <w:rStyle w:val="Notedebasdepage7ptItalique"/>
          <w:b w:val="0"/>
          <w:sz w:val="24"/>
        </w:rPr>
        <w:t>Veroffentlichungen des Museums Ferdinandeum,</w:t>
      </w:r>
      <w:r w:rsidRPr="003B3476">
        <w:t xml:space="preserve"> </w:t>
      </w:r>
      <w:r w:rsidRPr="003B3476">
        <w:rPr>
          <w:lang w:val="fr-FR" w:eastAsia="fr-FR" w:bidi="fr-FR"/>
        </w:rPr>
        <w:t>1928, p. 449. On r</w:t>
      </w:r>
      <w:r w:rsidRPr="003B3476">
        <w:rPr>
          <w:lang w:val="fr-FR" w:eastAsia="fr-FR" w:bidi="fr-FR"/>
        </w:rPr>
        <w:t>e</w:t>
      </w:r>
      <w:r w:rsidRPr="003B3476">
        <w:rPr>
          <w:lang w:val="fr-FR" w:eastAsia="fr-FR" w:bidi="fr-FR"/>
        </w:rPr>
        <w:t>marquera le rôle des comtes de Tyrol, qui faisaient grand commerce d’or, l’achetant en Allemagne, le revendant ensuite en Italie.</w:t>
      </w:r>
    </w:p>
  </w:footnote>
  <w:footnote w:id="903">
    <w:p w14:paraId="2A97BE8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E. Cartier, </w:t>
      </w:r>
      <w:r w:rsidRPr="003B3476">
        <w:rPr>
          <w:lang w:val="fr-FR" w:eastAsia="fr-FR" w:bidi="fr-FR"/>
        </w:rPr>
        <w:t xml:space="preserve">dans </w:t>
      </w:r>
      <w:r w:rsidRPr="003B3476">
        <w:rPr>
          <w:bCs/>
          <w:i/>
        </w:rPr>
        <w:t>Revue numismatique,</w:t>
      </w:r>
      <w:r w:rsidRPr="003B3476">
        <w:rPr>
          <w:lang w:val="fr-FR" w:eastAsia="fr-FR" w:bidi="fr-FR"/>
        </w:rPr>
        <w:t xml:space="preserve"> 1847, p. 120 et suiv. L’envoi compr</w:t>
      </w:r>
      <w:r w:rsidRPr="003B3476">
        <w:rPr>
          <w:lang w:val="fr-FR" w:eastAsia="fr-FR" w:bidi="fr-FR"/>
        </w:rPr>
        <w:t>e</w:t>
      </w:r>
      <w:r w:rsidRPr="003B3476">
        <w:rPr>
          <w:lang w:val="fr-FR" w:eastAsia="fr-FR" w:bidi="fr-FR"/>
        </w:rPr>
        <w:t xml:space="preserve">nait aussi un marc d’or « de Montlerrand » ; </w:t>
      </w:r>
      <w:r w:rsidRPr="003B3476">
        <w:rPr>
          <w:bCs/>
          <w:i/>
        </w:rPr>
        <w:t>cf.</w:t>
      </w:r>
      <w:r w:rsidRPr="003B3476">
        <w:rPr>
          <w:lang w:val="fr-FR" w:eastAsia="fr-FR" w:bidi="fr-FR"/>
        </w:rPr>
        <w:t xml:space="preserve"> ci-dessus, p. 844, n. 3. Le seul auteur, semble-t-il, qui ait cité ce texte </w:t>
      </w:r>
      <w:r w:rsidRPr="003B3476">
        <w:rPr>
          <w:bCs/>
        </w:rPr>
        <w:t xml:space="preserve">à </w:t>
      </w:r>
      <w:r w:rsidRPr="003B3476">
        <w:rPr>
          <w:lang w:val="fr-FR" w:eastAsia="fr-FR" w:bidi="fr-FR"/>
        </w:rPr>
        <w:t xml:space="preserve">propos de l’hyperpère est </w:t>
      </w:r>
      <w:r w:rsidRPr="003B3476">
        <w:rPr>
          <w:rStyle w:val="Notedebasdepage65ptPetitesmajuscules"/>
          <w:b w:val="0"/>
          <w:sz w:val="24"/>
        </w:rPr>
        <w:t>Gasare</w:t>
      </w:r>
      <w:r w:rsidRPr="003B3476">
        <w:rPr>
          <w:rStyle w:val="Notedebasdepage65ptPetitesmajuscules"/>
          <w:b w:val="0"/>
          <w:sz w:val="24"/>
        </w:rPr>
        <w:t>t</w:t>
      </w:r>
      <w:r w:rsidRPr="003B3476">
        <w:rPr>
          <w:rStyle w:val="Notedebasdepage65ptPetitesmajuscules"/>
          <w:b w:val="0"/>
          <w:sz w:val="24"/>
        </w:rPr>
        <w:t xml:space="preserve">to, </w:t>
      </w:r>
      <w:r w:rsidRPr="003B3476">
        <w:rPr>
          <w:bCs/>
          <w:i/>
        </w:rPr>
        <w:t>La moneta genovese</w:t>
      </w:r>
      <w:r w:rsidRPr="003B3476">
        <w:rPr>
          <w:lang w:val="fr-FR" w:eastAsia="fr-FR" w:bidi="fr-FR"/>
        </w:rPr>
        <w:t>, p. 136 et suiv.</w:t>
      </w:r>
    </w:p>
  </w:footnote>
  <w:footnote w:id="904">
    <w:p w14:paraId="1A7475C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Rotuli parlamentiorum</w:t>
      </w:r>
      <w:r w:rsidRPr="003B3476">
        <w:rPr>
          <w:lang w:val="fr-FR" w:eastAsia="fr-FR" w:bidi="fr-FR"/>
        </w:rPr>
        <w:t>, t. II, p. 137, c. 14 ; le remède proposé était non seul</w:t>
      </w:r>
      <w:r w:rsidRPr="003B3476">
        <w:rPr>
          <w:lang w:val="fr-FR" w:eastAsia="fr-FR" w:bidi="fr-FR"/>
        </w:rPr>
        <w:t>e</w:t>
      </w:r>
      <w:r w:rsidRPr="003B3476">
        <w:rPr>
          <w:lang w:val="fr-FR" w:eastAsia="fr-FR" w:bidi="fr-FR"/>
        </w:rPr>
        <w:t>ment une monnaie d’or indigène, mais une monnaie d’or commune à l’Angleterre et à la Flandre.</w:t>
      </w:r>
    </w:p>
  </w:footnote>
  <w:footnote w:id="905">
    <w:p w14:paraId="00D842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65ptNonItalique"/>
          <w:b w:val="0"/>
          <w:i w:val="0"/>
          <w:iCs w:val="0"/>
          <w:smallCaps/>
          <w:sz w:val="24"/>
        </w:rPr>
        <w:t>Inama-Sternegg</w:t>
      </w:r>
      <w:r w:rsidRPr="003B3476">
        <w:rPr>
          <w:rStyle w:val="Notedebasdepage465ptNonItalique"/>
          <w:b w:val="0"/>
          <w:i w:val="0"/>
          <w:iCs w:val="0"/>
          <w:sz w:val="24"/>
        </w:rPr>
        <w:t xml:space="preserve">, </w:t>
      </w:r>
      <w:r w:rsidRPr="003B3476">
        <w:rPr>
          <w:i/>
          <w:lang w:val="fr-FR" w:eastAsia="fr-FR" w:bidi="fr-FR"/>
        </w:rPr>
        <w:t>Die Goldwährung des deutschen Reiches während des Mittelalters</w:t>
      </w:r>
      <w:r w:rsidRPr="003B3476">
        <w:rPr>
          <w:rStyle w:val="Notedebasdepage475ptNonItalique"/>
          <w:b w:val="0"/>
          <w:i w:val="0"/>
          <w:iCs w:val="0"/>
          <w:sz w:val="24"/>
        </w:rPr>
        <w:t xml:space="preserve">, dans </w:t>
      </w:r>
      <w:r w:rsidRPr="003B3476">
        <w:rPr>
          <w:i/>
          <w:lang w:val="fr-FR" w:eastAsia="fr-FR" w:bidi="fr-FR"/>
        </w:rPr>
        <w:t>Zeitschrift für Social- und Wirtschaftsgeschichte</w:t>
      </w:r>
      <w:r w:rsidRPr="003B3476">
        <w:rPr>
          <w:rStyle w:val="Notedebasdepage475ptNonItalique"/>
          <w:b w:val="0"/>
          <w:i w:val="0"/>
          <w:iCs w:val="0"/>
          <w:sz w:val="24"/>
        </w:rPr>
        <w:t xml:space="preserve">, t. III, 1894, p. 55 ; W. </w:t>
      </w:r>
      <w:r w:rsidRPr="003B3476">
        <w:rPr>
          <w:rStyle w:val="Notedebasdepage465ptNonItalique"/>
          <w:b w:val="0"/>
          <w:i w:val="0"/>
          <w:iCs w:val="0"/>
          <w:smallCaps/>
          <w:sz w:val="24"/>
        </w:rPr>
        <w:t>Jesse</w:t>
      </w:r>
      <w:r w:rsidRPr="003B3476">
        <w:rPr>
          <w:rStyle w:val="Notedebasdepage465ptNonItalique"/>
          <w:b w:val="0"/>
          <w:i w:val="0"/>
          <w:iCs w:val="0"/>
          <w:sz w:val="24"/>
        </w:rPr>
        <w:t xml:space="preserve">, </w:t>
      </w:r>
      <w:r w:rsidRPr="003B3476">
        <w:rPr>
          <w:i/>
          <w:lang w:val="fr-FR" w:eastAsia="fr-FR" w:bidi="fr-FR"/>
        </w:rPr>
        <w:t>Das wendische Münzverein</w:t>
      </w:r>
      <w:r w:rsidRPr="003B3476">
        <w:rPr>
          <w:rStyle w:val="Notedebasdepage475ptNonItalique"/>
          <w:b w:val="0"/>
          <w:i w:val="0"/>
          <w:iCs w:val="0"/>
          <w:sz w:val="24"/>
        </w:rPr>
        <w:t>, 1928 (</w:t>
      </w:r>
      <w:r w:rsidRPr="003B3476">
        <w:rPr>
          <w:i/>
          <w:lang w:val="fr-FR" w:eastAsia="fr-FR" w:bidi="fr-FR"/>
        </w:rPr>
        <w:t>Quellen und Dar</w:t>
      </w:r>
      <w:r w:rsidRPr="003B3476">
        <w:rPr>
          <w:i/>
          <w:lang w:val="fr-FR" w:eastAsia="fr-FR" w:bidi="fr-FR"/>
        </w:rPr>
        <w:t>s</w:t>
      </w:r>
      <w:r w:rsidRPr="003B3476">
        <w:rPr>
          <w:i/>
          <w:lang w:val="fr-FR" w:eastAsia="fr-FR" w:bidi="fr-FR"/>
        </w:rPr>
        <w:t>tellungen zur hansischen Ge</w:t>
      </w:r>
      <w:r w:rsidRPr="003B3476">
        <w:rPr>
          <w:i/>
          <w:lang w:val="fr-FR" w:eastAsia="fr-FR" w:bidi="fr-FR"/>
        </w:rPr>
        <w:t>s</w:t>
      </w:r>
      <w:r w:rsidRPr="003B3476">
        <w:rPr>
          <w:i/>
          <w:lang w:val="fr-FR" w:eastAsia="fr-FR" w:bidi="fr-FR"/>
        </w:rPr>
        <w:t>chichte</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N.F. VI), p. 115.</w:t>
      </w:r>
    </w:p>
  </w:footnote>
  <w:footnote w:id="906">
    <w:p w14:paraId="0383D3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Peut-être, à l’origine du moins, convient-il de faire leur part à certaines hostil</w:t>
      </w:r>
      <w:r w:rsidRPr="003B3476">
        <w:rPr>
          <w:lang w:val="fr-FR" w:eastAsia="fr-FR" w:bidi="fr-FR"/>
        </w:rPr>
        <w:t>i</w:t>
      </w:r>
      <w:r w:rsidRPr="003B3476">
        <w:rPr>
          <w:lang w:val="fr-FR" w:eastAsia="fr-FR" w:bidi="fr-FR"/>
        </w:rPr>
        <w:t>tés que la simple routine ne suffît sans doute pas à expliquer. Lorsqu’en 1257 Henri III d’Angleterre forma le projet de lancer une monnaie d’or, il prit l’avis des principaux bourgeois de Londres. Ceux-ci déclarèrent la réforme inoppo</w:t>
      </w:r>
      <w:r w:rsidRPr="003B3476">
        <w:rPr>
          <w:lang w:val="fr-FR" w:eastAsia="fr-FR" w:bidi="fr-FR"/>
        </w:rPr>
        <w:t>r</w:t>
      </w:r>
      <w:r w:rsidRPr="003B3476">
        <w:rPr>
          <w:lang w:val="fr-FR" w:eastAsia="fr-FR" w:bidi="fr-FR"/>
        </w:rPr>
        <w:t xml:space="preserve">tune. Leurs raisons, telles qu’ils les exposèrent au roi, nous ont été rapportées par l’un d’eux, l’alderman Fitz Thedmar, dans sa </w:t>
      </w:r>
      <w:r w:rsidRPr="003B3476">
        <w:rPr>
          <w:rStyle w:val="Notedebasdepage7ptItalique"/>
          <w:b w:val="0"/>
          <w:sz w:val="24"/>
        </w:rPr>
        <w:t>Chronica maiorum et vic</w:t>
      </w:r>
      <w:r w:rsidRPr="003B3476">
        <w:rPr>
          <w:rStyle w:val="Notedebasdepage7ptItalique"/>
          <w:b w:val="0"/>
          <w:sz w:val="24"/>
        </w:rPr>
        <w:t>e</w:t>
      </w:r>
      <w:r w:rsidRPr="003B3476">
        <w:rPr>
          <w:rStyle w:val="Notedebasdepage7ptItalique"/>
          <w:b w:val="0"/>
          <w:sz w:val="24"/>
        </w:rPr>
        <w:t>comitum Londoni</w:t>
      </w:r>
      <w:r w:rsidRPr="003B3476">
        <w:rPr>
          <w:rStyle w:val="Notedebasdepage7ptItalique"/>
          <w:b w:val="0"/>
          <w:sz w:val="24"/>
        </w:rPr>
        <w:t>a</w:t>
      </w:r>
      <w:r w:rsidRPr="003B3476">
        <w:rPr>
          <w:rStyle w:val="Notedebasdepage7ptItalique"/>
          <w:b w:val="0"/>
          <w:sz w:val="24"/>
        </w:rPr>
        <w:t>rum</w:t>
      </w:r>
      <w:r w:rsidRPr="003B3476">
        <w:rPr>
          <w:lang w:val="fr-FR" w:eastAsia="fr-FR" w:bidi="fr-FR"/>
        </w:rPr>
        <w:t>, qu’il rédigea peu d’années après (</w:t>
      </w:r>
      <w:r w:rsidRPr="003B3476">
        <w:rPr>
          <w:rStyle w:val="Notedebasdepage7ptItalique"/>
          <w:b w:val="0"/>
          <w:sz w:val="24"/>
        </w:rPr>
        <w:t>De antiquis legibus liber</w:t>
      </w:r>
      <w:r w:rsidRPr="003B3476">
        <w:rPr>
          <w:lang w:val="fr-FR" w:eastAsia="fr-FR" w:bidi="fr-FR"/>
        </w:rPr>
        <w:t xml:space="preserve">, éd. </w:t>
      </w:r>
      <w:r w:rsidRPr="003B3476">
        <w:rPr>
          <w:bCs/>
          <w:smallCaps/>
        </w:rPr>
        <w:t>Stapleton</w:t>
      </w:r>
      <w:r w:rsidRPr="003B3476">
        <w:rPr>
          <w:bCs/>
        </w:rPr>
        <w:t xml:space="preserve">, </w:t>
      </w:r>
      <w:r w:rsidRPr="003B3476">
        <w:rPr>
          <w:rStyle w:val="Notedebasdepage7ptItalique"/>
          <w:b w:val="0"/>
          <w:sz w:val="24"/>
        </w:rPr>
        <w:t>Camden Society</w:t>
      </w:r>
      <w:r w:rsidRPr="003B3476">
        <w:rPr>
          <w:lang w:val="fr-FR" w:eastAsia="fr-FR" w:bidi="fr-FR"/>
        </w:rPr>
        <w:t>, 1846, p. 29-30). Elles sont bien étra</w:t>
      </w:r>
      <w:r w:rsidRPr="003B3476">
        <w:rPr>
          <w:lang w:val="fr-FR" w:eastAsia="fr-FR" w:bidi="fr-FR"/>
        </w:rPr>
        <w:t>n</w:t>
      </w:r>
      <w:r w:rsidRPr="003B3476">
        <w:rPr>
          <w:lang w:val="fr-FR" w:eastAsia="fr-FR" w:bidi="fr-FR"/>
        </w:rPr>
        <w:t>ges. Nos gens prévoyaient à la fois de graves difficultés pour les pauvres, « dont beaucoup ne possèdent de biens meubles que pour une valeur inférieure à une pièce d’or », et une baisse des prix du métal. À en croire Fitz Thedmar, celle-ci — le roi ayant passé outre — se serait, en fait, produite. Il est cepe</w:t>
      </w:r>
      <w:r w:rsidRPr="003B3476">
        <w:rPr>
          <w:lang w:val="fr-FR" w:eastAsia="fr-FR" w:bidi="fr-FR"/>
        </w:rPr>
        <w:t>n</w:t>
      </w:r>
      <w:r w:rsidRPr="003B3476">
        <w:rPr>
          <w:lang w:val="fr-FR" w:eastAsia="fr-FR" w:bidi="fr-FR"/>
        </w:rPr>
        <w:t>dant à peine besoin de dire que (compte tenu de variations locales, toujours possibles) l’effet d’ensemble, partout où le monnayage de l’or avait repris, fut exactement inverse ; la demande des at</w:t>
      </w:r>
      <w:r w:rsidRPr="003B3476">
        <w:rPr>
          <w:lang w:val="fr-FR" w:eastAsia="fr-FR" w:bidi="fr-FR"/>
        </w:rPr>
        <w:t>e</w:t>
      </w:r>
      <w:r w:rsidRPr="003B3476">
        <w:rPr>
          <w:lang w:val="fr-FR" w:eastAsia="fr-FR" w:bidi="fr-FR"/>
        </w:rPr>
        <w:t>liers fit hausser les cours. Mais il est probable qu’elle contribua aussi à les régulariser. Ne serait-ce pas ce que cra</w:t>
      </w:r>
      <w:r w:rsidRPr="003B3476">
        <w:rPr>
          <w:lang w:val="fr-FR" w:eastAsia="fr-FR" w:bidi="fr-FR"/>
        </w:rPr>
        <w:t>i</w:t>
      </w:r>
      <w:r w:rsidRPr="003B3476">
        <w:rPr>
          <w:lang w:val="fr-FR" w:eastAsia="fr-FR" w:bidi="fr-FR"/>
        </w:rPr>
        <w:t>gnaient les riches bourgeois, plus ou moins intéressés à des spéculations sur le métal ?</w:t>
      </w:r>
    </w:p>
  </w:footnote>
  <w:footnote w:id="907">
    <w:p w14:paraId="7366668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les cours des métaux, depuis la reprise de la frappe, voir surtout : A. </w:t>
      </w:r>
      <w:r w:rsidRPr="003B3476">
        <w:rPr>
          <w:smallCaps/>
        </w:rPr>
        <w:t>Nagl</w:t>
      </w:r>
      <w:r w:rsidRPr="003B3476">
        <w:t xml:space="preserve">, </w:t>
      </w:r>
      <w:r w:rsidRPr="003B3476">
        <w:rPr>
          <w:rStyle w:val="Notedebasdepage7ptItalique"/>
          <w:b w:val="0"/>
          <w:sz w:val="24"/>
        </w:rPr>
        <w:t>Die Goldwahrung und die handelsmassige Geldrechnung im Mitt</w:t>
      </w:r>
      <w:r w:rsidRPr="003B3476">
        <w:rPr>
          <w:rStyle w:val="Notedebasdepage7ptItalique"/>
          <w:b w:val="0"/>
          <w:sz w:val="24"/>
        </w:rPr>
        <w:t>e</w:t>
      </w:r>
      <w:r w:rsidRPr="003B3476">
        <w:rPr>
          <w:rStyle w:val="Notedebasdepage7ptItalique"/>
          <w:b w:val="0"/>
          <w:sz w:val="24"/>
        </w:rPr>
        <w:t>lalter,</w:t>
      </w:r>
      <w:r w:rsidRPr="003B3476">
        <w:t xml:space="preserve"> </w:t>
      </w:r>
      <w:r w:rsidRPr="003B3476">
        <w:rPr>
          <w:lang w:val="fr-FR" w:eastAsia="fr-FR" w:bidi="fr-FR"/>
        </w:rPr>
        <w:t xml:space="preserve">dans </w:t>
      </w:r>
      <w:r w:rsidRPr="003B3476">
        <w:rPr>
          <w:rStyle w:val="Notedebasdepage7ptItalique"/>
          <w:b w:val="0"/>
          <w:sz w:val="24"/>
        </w:rPr>
        <w:t xml:space="preserve">Numismatische Zeitschrift, </w:t>
      </w:r>
      <w:r w:rsidRPr="003B3476">
        <w:rPr>
          <w:lang w:val="fr-FR" w:eastAsia="fr-FR" w:bidi="fr-FR"/>
        </w:rPr>
        <w:t xml:space="preserve">t. XXVI, 1894, p. 79 ; </w:t>
      </w:r>
      <w:r w:rsidRPr="003B3476">
        <w:rPr>
          <w:smallCaps/>
        </w:rPr>
        <w:t>E. Luschin von Ebengreuth</w:t>
      </w:r>
      <w:r w:rsidRPr="003B3476">
        <w:t xml:space="preserve">, </w:t>
      </w:r>
      <w:r w:rsidRPr="003B3476">
        <w:rPr>
          <w:rStyle w:val="Notedebasdepage65ptItalique"/>
          <w:b w:val="0"/>
          <w:sz w:val="24"/>
        </w:rPr>
        <w:t xml:space="preserve">Dos </w:t>
      </w:r>
      <w:r w:rsidRPr="003B3476">
        <w:rPr>
          <w:rStyle w:val="Notedebasdepage7ptItalique"/>
          <w:b w:val="0"/>
          <w:sz w:val="24"/>
        </w:rPr>
        <w:t>Wertverhaltnis zwischen den Edelmeta</w:t>
      </w:r>
      <w:r w:rsidRPr="003B3476">
        <w:rPr>
          <w:rStyle w:val="Notedebasdepage7ptItalique"/>
          <w:b w:val="0"/>
          <w:sz w:val="24"/>
        </w:rPr>
        <w:t>l</w:t>
      </w:r>
      <w:r w:rsidRPr="003B3476">
        <w:rPr>
          <w:rStyle w:val="Notedebasdepage7ptItalique"/>
          <w:b w:val="0"/>
          <w:sz w:val="24"/>
        </w:rPr>
        <w:t>len in Deutschland während des Mittelalters,</w:t>
      </w:r>
      <w:r w:rsidRPr="003B3476">
        <w:t xml:space="preserve"> </w:t>
      </w:r>
      <w:r w:rsidRPr="003B3476">
        <w:rPr>
          <w:lang w:val="fr-FR" w:eastAsia="fr-FR" w:bidi="fr-FR"/>
        </w:rPr>
        <w:t xml:space="preserve">dans </w:t>
      </w:r>
      <w:r w:rsidRPr="003B3476">
        <w:rPr>
          <w:rStyle w:val="Notedebasdepage7ptItalique"/>
          <w:b w:val="0"/>
          <w:sz w:val="24"/>
        </w:rPr>
        <w:t>Congrès international de Numismatique org</w:t>
      </w:r>
      <w:r w:rsidRPr="003B3476">
        <w:rPr>
          <w:rStyle w:val="Notedebasdepage7ptItalique"/>
          <w:b w:val="0"/>
          <w:sz w:val="24"/>
        </w:rPr>
        <w:t>a</w:t>
      </w:r>
      <w:r w:rsidRPr="003B3476">
        <w:rPr>
          <w:rStyle w:val="Notedebasdepage7ptItalique"/>
          <w:b w:val="0"/>
          <w:sz w:val="24"/>
        </w:rPr>
        <w:t>nisé... à Bruxelles</w:t>
      </w:r>
      <w:r w:rsidRPr="003B3476">
        <w:rPr>
          <w:lang w:val="fr-FR" w:eastAsia="fr-FR" w:bidi="fr-FR"/>
        </w:rPr>
        <w:t xml:space="preserve">, 1891, p. 471, et </w:t>
      </w:r>
      <w:r w:rsidRPr="003B3476">
        <w:rPr>
          <w:rStyle w:val="Notedebasdepage7ptItalique"/>
          <w:b w:val="0"/>
          <w:sz w:val="24"/>
        </w:rPr>
        <w:t xml:space="preserve">Goldgeschafte Meinhards </w:t>
      </w:r>
      <w:r w:rsidRPr="003B3476">
        <w:t>II,</w:t>
      </w:r>
      <w:r w:rsidRPr="003B3476">
        <w:rPr>
          <w:lang w:val="fr-FR" w:eastAsia="fr-FR" w:bidi="fr-FR"/>
        </w:rPr>
        <w:t xml:space="preserve"> p. 444. </w:t>
      </w:r>
      <w:r w:rsidRPr="003B3476">
        <w:rPr>
          <w:rStyle w:val="Notedebasdepage7ptItalique"/>
          <w:b w:val="0"/>
          <w:sz w:val="24"/>
        </w:rPr>
        <w:t>Cf.</w:t>
      </w:r>
      <w:r w:rsidRPr="003B3476">
        <w:t xml:space="preserve"> </w:t>
      </w:r>
      <w:r w:rsidRPr="003B3476">
        <w:rPr>
          <w:lang w:val="fr-FR" w:eastAsia="fr-FR" w:bidi="fr-FR"/>
        </w:rPr>
        <w:t xml:space="preserve">aussi la controverse entre divers numismates, dans </w:t>
      </w:r>
      <w:r w:rsidRPr="003B3476">
        <w:rPr>
          <w:rStyle w:val="Notedebasdepage7ptItalique"/>
          <w:b w:val="0"/>
          <w:sz w:val="24"/>
        </w:rPr>
        <w:t>Annuaire Soc. Franç. N</w:t>
      </w:r>
      <w:r w:rsidRPr="003B3476">
        <w:rPr>
          <w:rStyle w:val="Notedebasdepage7ptItalique"/>
          <w:b w:val="0"/>
          <w:sz w:val="24"/>
        </w:rPr>
        <w:t>u</w:t>
      </w:r>
      <w:r w:rsidRPr="003B3476">
        <w:rPr>
          <w:rStyle w:val="Notedebasdepage7ptItalique"/>
          <w:b w:val="0"/>
          <w:sz w:val="24"/>
        </w:rPr>
        <w:t>mismat</w:t>
      </w:r>
      <w:r w:rsidRPr="003B3476">
        <w:t>.,</w:t>
      </w:r>
      <w:r w:rsidRPr="003B3476">
        <w:rPr>
          <w:lang w:val="fr-FR" w:eastAsia="fr-FR" w:bidi="fr-FR"/>
        </w:rPr>
        <w:t xml:space="preserve"> 1890 et 1891. Naturellement la hausse des cours du métal réagit sur ceux des monnaies. Il est caractéristique que, peu avant la cessation de la première frappe anglaise, la valeur des pièces d’or ait passé de 20 deniers d’argent à 24. Le même mouvement, un peu obscurci par les spéculations m</w:t>
      </w:r>
      <w:r w:rsidRPr="003B3476">
        <w:rPr>
          <w:lang w:val="fr-FR" w:eastAsia="fr-FR" w:bidi="fr-FR"/>
        </w:rPr>
        <w:t>o</w:t>
      </w:r>
      <w:r w:rsidRPr="003B3476">
        <w:rPr>
          <w:lang w:val="fr-FR" w:eastAsia="fr-FR" w:bidi="fr-FR"/>
        </w:rPr>
        <w:t>nétaires de la monarchie, suffisamment net cependant, s’observe en France, sous saint Louis, Philippe III et Philippe IV.</w:t>
      </w:r>
    </w:p>
  </w:footnote>
  <w:footnote w:id="908">
    <w:p w14:paraId="3A784F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R. </w:t>
      </w:r>
      <w:r w:rsidRPr="003B3476">
        <w:rPr>
          <w:rStyle w:val="Notedebasdepage465ptNonItalique"/>
          <w:b w:val="0"/>
          <w:i w:val="0"/>
          <w:iCs w:val="0"/>
          <w:smallCaps/>
          <w:sz w:val="24"/>
        </w:rPr>
        <w:t>Cessi</w:t>
      </w:r>
      <w:r w:rsidRPr="003B3476">
        <w:rPr>
          <w:rStyle w:val="Notedebasdepage465ptNonItalique"/>
          <w:b w:val="0"/>
          <w:i w:val="0"/>
          <w:iCs w:val="0"/>
          <w:sz w:val="24"/>
        </w:rPr>
        <w:t xml:space="preserve">, </w:t>
      </w:r>
      <w:r w:rsidRPr="003B3476">
        <w:rPr>
          <w:i/>
          <w:lang w:val="fr-FR" w:eastAsia="fr-FR" w:bidi="fr-FR"/>
        </w:rPr>
        <w:t xml:space="preserve">Problemi monetari e bancari veneziani del secolo </w:t>
      </w:r>
      <w:r w:rsidRPr="003B3476">
        <w:rPr>
          <w:bCs/>
          <w:i/>
          <w:iCs/>
        </w:rPr>
        <w:t>XIV,</w:t>
      </w:r>
      <w:r w:rsidRPr="003B3476">
        <w:rPr>
          <w:rStyle w:val="Notedebasdepage48ptNonItalique"/>
          <w:b w:val="0"/>
          <w:i w:val="0"/>
          <w:iCs w:val="0"/>
          <w:sz w:val="24"/>
        </w:rPr>
        <w:t xml:space="preserve"> </w:t>
      </w:r>
      <w:r w:rsidRPr="003B3476">
        <w:rPr>
          <w:rStyle w:val="Notedebasdepage465ptNonItalique"/>
          <w:b w:val="0"/>
          <w:i w:val="0"/>
          <w:iCs w:val="0"/>
          <w:sz w:val="24"/>
        </w:rPr>
        <w:t xml:space="preserve">dans </w:t>
      </w:r>
      <w:r w:rsidRPr="003B3476">
        <w:rPr>
          <w:i/>
          <w:lang w:val="fr-FR" w:eastAsia="fr-FR" w:bidi="fr-FR"/>
        </w:rPr>
        <w:t>Arch</w:t>
      </w:r>
      <w:r w:rsidRPr="003B3476">
        <w:rPr>
          <w:i/>
          <w:lang w:val="fr-FR" w:eastAsia="fr-FR" w:bidi="fr-FR"/>
        </w:rPr>
        <w:t>i</w:t>
      </w:r>
      <w:r w:rsidRPr="003B3476">
        <w:rPr>
          <w:i/>
          <w:lang w:val="fr-FR" w:eastAsia="fr-FR" w:bidi="fr-FR"/>
        </w:rPr>
        <w:t>vio V</w:t>
      </w:r>
      <w:r w:rsidRPr="003B3476">
        <w:rPr>
          <w:i/>
          <w:lang w:val="fr-FR" w:eastAsia="fr-FR" w:bidi="fr-FR"/>
        </w:rPr>
        <w:t>e</w:t>
      </w:r>
      <w:r w:rsidRPr="003B3476">
        <w:rPr>
          <w:i/>
          <w:lang w:val="fr-FR" w:eastAsia="fr-FR" w:bidi="fr-FR"/>
        </w:rPr>
        <w:t>neto-Tridentino</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t. IX, </w:t>
      </w:r>
      <w:r w:rsidRPr="003B3476">
        <w:rPr>
          <w:rStyle w:val="Notedebasdepage465ptNonItalique"/>
          <w:b w:val="0"/>
          <w:i w:val="0"/>
          <w:iCs w:val="0"/>
          <w:sz w:val="24"/>
        </w:rPr>
        <w:t>1926, p. 241 ;</w:t>
      </w:r>
      <w:r w:rsidRPr="003B3476">
        <w:rPr>
          <w:rStyle w:val="Notedebasdepage475ptNonItalique"/>
          <w:b w:val="0"/>
          <w:i w:val="0"/>
          <w:iCs w:val="0"/>
          <w:sz w:val="24"/>
        </w:rPr>
        <w:t xml:space="preserve"> </w:t>
      </w:r>
      <w:r w:rsidRPr="003B3476">
        <w:rPr>
          <w:rStyle w:val="Notedebasdepage465ptNonItaliquePetitesmajuscules"/>
          <w:b w:val="0"/>
          <w:i w:val="0"/>
          <w:iCs w:val="0"/>
          <w:sz w:val="24"/>
        </w:rPr>
        <w:t xml:space="preserve">Villani, </w:t>
      </w:r>
      <w:r w:rsidRPr="003B3476">
        <w:rPr>
          <w:rStyle w:val="Notedebasdepage475ptNonItalique"/>
          <w:b w:val="0"/>
          <w:i w:val="0"/>
          <w:iCs w:val="0"/>
          <w:sz w:val="24"/>
        </w:rPr>
        <w:t xml:space="preserve">XII, </w:t>
      </w:r>
      <w:r w:rsidRPr="003B3476">
        <w:rPr>
          <w:rStyle w:val="Notedebasdepage465ptNonItalique"/>
          <w:b w:val="0"/>
          <w:i w:val="0"/>
          <w:iCs w:val="0"/>
          <w:sz w:val="24"/>
        </w:rPr>
        <w:t>53.</w:t>
      </w:r>
    </w:p>
  </w:footnote>
  <w:footnote w:id="909">
    <w:p w14:paraId="349E9C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Zeitschrift des Vereins für lübeckische Geschichte</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t. I, 1855, p. 52 ; W. </w:t>
      </w:r>
      <w:r w:rsidRPr="003B3476">
        <w:rPr>
          <w:rStyle w:val="Notedebasdepage465ptNonItalique"/>
          <w:b w:val="0"/>
          <w:i w:val="0"/>
          <w:iCs w:val="0"/>
          <w:smallCaps/>
          <w:sz w:val="24"/>
        </w:rPr>
        <w:t>Jesse</w:t>
      </w:r>
      <w:r w:rsidRPr="003B3476">
        <w:rPr>
          <w:rStyle w:val="Notedebasdepage465ptNonItalique"/>
          <w:b w:val="0"/>
          <w:i w:val="0"/>
          <w:iCs w:val="0"/>
          <w:sz w:val="24"/>
        </w:rPr>
        <w:t xml:space="preserve">, </w:t>
      </w:r>
      <w:r w:rsidRPr="003B3476">
        <w:rPr>
          <w:i/>
          <w:lang w:val="fr-FR" w:eastAsia="fr-FR" w:bidi="fr-FR"/>
        </w:rPr>
        <w:t>Der we</w:t>
      </w:r>
      <w:r w:rsidRPr="003B3476">
        <w:rPr>
          <w:i/>
          <w:lang w:val="fr-FR" w:eastAsia="fr-FR" w:bidi="fr-FR"/>
        </w:rPr>
        <w:t>n</w:t>
      </w:r>
      <w:r w:rsidRPr="003B3476">
        <w:rPr>
          <w:i/>
          <w:lang w:val="fr-FR" w:eastAsia="fr-FR" w:bidi="fr-FR"/>
        </w:rPr>
        <w:t>dische Münzverein</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p. 78 et 161. En 1399-1400, de l’or s’expédie des Pays-Bas à Hambourg : H. </w:t>
      </w:r>
      <w:r w:rsidRPr="003B3476">
        <w:rPr>
          <w:rStyle w:val="Notedebasdepage465ptNonItalique"/>
          <w:b w:val="0"/>
          <w:i w:val="0"/>
          <w:iCs w:val="0"/>
          <w:smallCaps/>
          <w:sz w:val="24"/>
        </w:rPr>
        <w:t>Nirnnheim</w:t>
      </w:r>
      <w:r w:rsidRPr="003B3476">
        <w:rPr>
          <w:rStyle w:val="Notedebasdepage465ptNonItalique"/>
          <w:b w:val="0"/>
          <w:i w:val="0"/>
          <w:iCs w:val="0"/>
          <w:sz w:val="24"/>
        </w:rPr>
        <w:t xml:space="preserve">, </w:t>
      </w:r>
      <w:r w:rsidRPr="003B3476">
        <w:rPr>
          <w:i/>
          <w:iCs/>
        </w:rPr>
        <w:t xml:space="preserve">Dos </w:t>
      </w:r>
      <w:r w:rsidRPr="003B3476">
        <w:rPr>
          <w:i/>
          <w:lang w:val="fr-FR" w:eastAsia="fr-FR" w:bidi="fr-FR"/>
        </w:rPr>
        <w:t>hamburgische Pfund-und Wer</w:t>
      </w:r>
      <w:r w:rsidRPr="003B3476">
        <w:rPr>
          <w:i/>
          <w:lang w:val="fr-FR" w:eastAsia="fr-FR" w:bidi="fr-FR"/>
        </w:rPr>
        <w:t>k</w:t>
      </w:r>
      <w:r w:rsidRPr="003B3476">
        <w:rPr>
          <w:i/>
          <w:lang w:val="fr-FR" w:eastAsia="fr-FR" w:bidi="fr-FR"/>
        </w:rPr>
        <w:t>zollbuch</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1930 </w:t>
      </w:r>
      <w:r w:rsidRPr="003B3476">
        <w:rPr>
          <w:lang w:val="fr-FR" w:eastAsia="fr-FR" w:bidi="fr-FR"/>
        </w:rPr>
        <w:t>(Veröffentlichungen aus dem Staatsarchiv der Freien und Ha</w:t>
      </w:r>
      <w:r w:rsidRPr="003B3476">
        <w:rPr>
          <w:lang w:val="fr-FR" w:eastAsia="fr-FR" w:bidi="fr-FR"/>
        </w:rPr>
        <w:t>n</w:t>
      </w:r>
      <w:r w:rsidRPr="003B3476">
        <w:rPr>
          <w:lang w:val="fr-FR" w:eastAsia="fr-FR" w:bidi="fr-FR"/>
        </w:rPr>
        <w:t>sestadt Hamburg,</w:t>
      </w:r>
      <w:r w:rsidRPr="003B3476">
        <w:rPr>
          <w:rStyle w:val="Notedebasdepage48ptNonItalique"/>
          <w:b w:val="0"/>
          <w:i w:val="0"/>
          <w:iCs w:val="0"/>
          <w:sz w:val="24"/>
        </w:rPr>
        <w:t xml:space="preserve"> </w:t>
      </w:r>
      <w:r w:rsidRPr="003B3476">
        <w:rPr>
          <w:rStyle w:val="Notedebasdepage465ptNonItalique"/>
          <w:b w:val="0"/>
          <w:i w:val="0"/>
          <w:iCs w:val="0"/>
          <w:sz w:val="24"/>
        </w:rPr>
        <w:t xml:space="preserve">t. </w:t>
      </w:r>
      <w:r w:rsidRPr="003B3476">
        <w:rPr>
          <w:rStyle w:val="Notedebasdepage475ptNonItalique"/>
          <w:b w:val="0"/>
          <w:i w:val="0"/>
          <w:iCs w:val="0"/>
          <w:sz w:val="24"/>
        </w:rPr>
        <w:t xml:space="preserve">II), p. </w:t>
      </w:r>
      <w:r w:rsidRPr="003B3476">
        <w:rPr>
          <w:rStyle w:val="Notedebasdepage465ptNonItalique"/>
          <w:b w:val="0"/>
          <w:i w:val="0"/>
          <w:iCs w:val="0"/>
          <w:smallCaps/>
          <w:sz w:val="24"/>
        </w:rPr>
        <w:t>lvii</w:t>
      </w:r>
      <w:r w:rsidRPr="003B3476">
        <w:rPr>
          <w:rStyle w:val="Notedebasdepage465ptNonItalique"/>
          <w:b w:val="0"/>
          <w:i w:val="0"/>
          <w:iCs w:val="0"/>
          <w:sz w:val="24"/>
        </w:rPr>
        <w:t>.</w:t>
      </w:r>
    </w:p>
  </w:footnote>
  <w:footnote w:id="910">
    <w:p w14:paraId="43D5629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Outre les textes cités plus haut, p. 849, n. 1, </w:t>
      </w:r>
      <w:r w:rsidRPr="003B3476">
        <w:rPr>
          <w:rStyle w:val="Notedebasdepage7ptItalique"/>
          <w:b w:val="0"/>
          <w:sz w:val="24"/>
        </w:rPr>
        <w:t>Regensburger Urkundenbuch,</w:t>
      </w:r>
      <w:r w:rsidRPr="003B3476">
        <w:t xml:space="preserve"> </w:t>
      </w:r>
      <w:r w:rsidRPr="003B3476">
        <w:rPr>
          <w:lang w:val="fr-FR" w:eastAsia="fr-FR" w:bidi="fr-FR"/>
        </w:rPr>
        <w:t>t. I, n</w:t>
      </w:r>
      <w:r w:rsidRPr="003B3476">
        <w:rPr>
          <w:vertAlign w:val="superscript"/>
          <w:lang w:val="fr-FR" w:eastAsia="fr-FR" w:bidi="fr-FR"/>
        </w:rPr>
        <w:t>os</w:t>
      </w:r>
      <w:r w:rsidRPr="003B3476">
        <w:rPr>
          <w:lang w:val="fr-FR" w:eastAsia="fr-FR" w:bidi="fr-FR"/>
        </w:rPr>
        <w:t xml:space="preserve"> 41, 44, 466 et (pour Tournai) 539 ; </w:t>
      </w:r>
      <w:r w:rsidRPr="003B3476">
        <w:t xml:space="preserve">F. Bastian, </w:t>
      </w:r>
      <w:r w:rsidRPr="003B3476">
        <w:rPr>
          <w:rStyle w:val="Notedebasdepage7ptItalique"/>
          <w:b w:val="0"/>
          <w:sz w:val="24"/>
        </w:rPr>
        <w:t>Oberdeutsche Kaufleute in den älteren Tiroler Raitbüchern,</w:t>
      </w:r>
      <w:r w:rsidRPr="003B3476">
        <w:t xml:space="preserve"> </w:t>
      </w:r>
      <w:r w:rsidRPr="003B3476">
        <w:rPr>
          <w:lang w:val="fr-FR" w:eastAsia="fr-FR" w:bidi="fr-FR"/>
        </w:rPr>
        <w:t>1931 (</w:t>
      </w:r>
      <w:r w:rsidRPr="003B3476">
        <w:rPr>
          <w:rStyle w:val="Notedebasdepage7ptItalique"/>
          <w:b w:val="0"/>
          <w:sz w:val="24"/>
        </w:rPr>
        <w:t>Schriftenreihe zur bagerischen La</w:t>
      </w:r>
      <w:r w:rsidRPr="003B3476">
        <w:rPr>
          <w:rStyle w:val="Notedebasdepage7ptItalique"/>
          <w:b w:val="0"/>
          <w:sz w:val="24"/>
        </w:rPr>
        <w:t>n</w:t>
      </w:r>
      <w:r w:rsidRPr="003B3476">
        <w:rPr>
          <w:rStyle w:val="Notedebasdepage7ptItalique"/>
          <w:b w:val="0"/>
          <w:sz w:val="24"/>
        </w:rPr>
        <w:t>desgeschichte,</w:t>
      </w:r>
      <w:r w:rsidRPr="003B3476">
        <w:t xml:space="preserve"> </w:t>
      </w:r>
      <w:r w:rsidRPr="003B3476">
        <w:rPr>
          <w:lang w:val="fr-FR" w:eastAsia="fr-FR" w:bidi="fr-FR"/>
        </w:rPr>
        <w:t>10), p. 121 et 124, n</w:t>
      </w:r>
      <w:r w:rsidRPr="003B3476">
        <w:rPr>
          <w:vertAlign w:val="superscript"/>
          <w:lang w:val="fr-FR" w:eastAsia="fr-FR" w:bidi="fr-FR"/>
        </w:rPr>
        <w:t>os</w:t>
      </w:r>
      <w:r w:rsidRPr="003B3476">
        <w:rPr>
          <w:lang w:val="fr-FR" w:eastAsia="fr-FR" w:bidi="fr-FR"/>
        </w:rPr>
        <w:t xml:space="preserve"> 2, 4 et 5.</w:t>
      </w:r>
    </w:p>
  </w:footnote>
  <w:footnote w:id="911">
    <w:p w14:paraId="6C34C3E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tout ceci, voir le livre, très riche, de Ch. de La </w:t>
      </w:r>
      <w:r w:rsidRPr="003B3476">
        <w:rPr>
          <w:rStyle w:val="Notedebasdepage65ptPetitesmajuscules"/>
          <w:b w:val="0"/>
          <w:sz w:val="24"/>
        </w:rPr>
        <w:t xml:space="preserve">Roncière, </w:t>
      </w:r>
      <w:r w:rsidRPr="003B3476">
        <w:rPr>
          <w:i/>
        </w:rPr>
        <w:t>La découverte de l’Afrique au Moyen Age</w:t>
      </w:r>
      <w:r w:rsidRPr="003B3476">
        <w:rPr>
          <w:lang w:val="fr-FR" w:eastAsia="fr-FR" w:bidi="fr-FR"/>
        </w:rPr>
        <w:t>, 3 vol., Le Caire, 1925-1927 (</w:t>
      </w:r>
      <w:r w:rsidRPr="003B3476">
        <w:rPr>
          <w:i/>
        </w:rPr>
        <w:t>Mém. de la Soc. Royale de Géographie d’Égypte</w:t>
      </w:r>
      <w:r w:rsidRPr="003B3476">
        <w:t>,</w:t>
      </w:r>
      <w:r w:rsidRPr="003B3476">
        <w:rPr>
          <w:lang w:val="fr-FR" w:eastAsia="fr-FR" w:bidi="fr-FR"/>
        </w:rPr>
        <w:t xml:space="preserve"> t. V, VI et XIII). </w:t>
      </w:r>
      <w:r w:rsidRPr="003B3476">
        <w:rPr>
          <w:i/>
        </w:rPr>
        <w:t>Cf.</w:t>
      </w:r>
      <w:r w:rsidRPr="003B3476">
        <w:rPr>
          <w:lang w:val="fr-FR" w:eastAsia="fr-FR" w:bidi="fr-FR"/>
        </w:rPr>
        <w:t xml:space="preserve"> H. </w:t>
      </w:r>
      <w:r w:rsidRPr="003B3476">
        <w:rPr>
          <w:rStyle w:val="Notedebasdepage65ptPetitesmajuscules"/>
          <w:b w:val="0"/>
          <w:sz w:val="24"/>
        </w:rPr>
        <w:t xml:space="preserve">Sieveking, </w:t>
      </w:r>
      <w:r w:rsidRPr="003B3476">
        <w:rPr>
          <w:i/>
        </w:rPr>
        <w:t>Genueser Finanzw</w:t>
      </w:r>
      <w:r w:rsidRPr="003B3476">
        <w:rPr>
          <w:i/>
        </w:rPr>
        <w:t>e</w:t>
      </w:r>
      <w:r w:rsidRPr="003B3476">
        <w:rPr>
          <w:i/>
        </w:rPr>
        <w:t>sen</w:t>
      </w:r>
      <w:r w:rsidRPr="003B3476">
        <w:rPr>
          <w:lang w:val="fr-FR" w:eastAsia="fr-FR" w:bidi="fr-FR"/>
        </w:rPr>
        <w:t xml:space="preserve">, t. II, 1899, p. 92, et Eustache de La </w:t>
      </w:r>
      <w:r w:rsidRPr="003B3476">
        <w:rPr>
          <w:rStyle w:val="Notedebasdepage65ptPetitesmajuscules"/>
          <w:b w:val="0"/>
          <w:sz w:val="24"/>
        </w:rPr>
        <w:t xml:space="preserve">Fosse, </w:t>
      </w:r>
      <w:r w:rsidRPr="003B3476">
        <w:rPr>
          <w:i/>
        </w:rPr>
        <w:t>Voyage</w:t>
      </w:r>
      <w:r w:rsidRPr="003B3476">
        <w:rPr>
          <w:lang w:val="fr-FR" w:eastAsia="fr-FR" w:bidi="fr-FR"/>
        </w:rPr>
        <w:t xml:space="preserve">, éd. </w:t>
      </w:r>
      <w:r w:rsidRPr="003B3476">
        <w:rPr>
          <w:rStyle w:val="Notedebasdepage65ptPetitesmajuscules"/>
          <w:b w:val="0"/>
          <w:sz w:val="24"/>
        </w:rPr>
        <w:t xml:space="preserve">Fouché-Delbosc, </w:t>
      </w:r>
      <w:r w:rsidRPr="003B3476">
        <w:rPr>
          <w:lang w:val="fr-FR" w:eastAsia="fr-FR" w:bidi="fr-FR"/>
        </w:rPr>
        <w:t xml:space="preserve">dans </w:t>
      </w:r>
      <w:r w:rsidRPr="003B3476">
        <w:rPr>
          <w:i/>
        </w:rPr>
        <w:t>Revue hispanique</w:t>
      </w:r>
      <w:r w:rsidRPr="003B3476">
        <w:rPr>
          <w:lang w:val="fr-FR" w:eastAsia="fr-FR" w:bidi="fr-FR"/>
        </w:rPr>
        <w:t>, 1897.</w:t>
      </w:r>
    </w:p>
  </w:footnote>
  <w:footnote w:id="912">
    <w:p w14:paraId="3F4B53F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365ptNonItaliquePetitesmajuscules"/>
          <w:b w:val="0"/>
          <w:i w:val="0"/>
          <w:iCs w:val="0"/>
          <w:sz w:val="24"/>
        </w:rPr>
        <w:t xml:space="preserve">Borrelli de Serres, </w:t>
      </w:r>
      <w:r w:rsidRPr="003B3476">
        <w:rPr>
          <w:i/>
          <w:lang w:val="fr-FR" w:eastAsia="fr-FR" w:bidi="fr-FR"/>
        </w:rPr>
        <w:t>Les variations monétaires sous Philippe le Bel</w:t>
      </w:r>
      <w:r w:rsidRPr="003B3476">
        <w:rPr>
          <w:bCs/>
        </w:rPr>
        <w:t xml:space="preserve">, dans </w:t>
      </w:r>
      <w:r w:rsidRPr="003B3476">
        <w:rPr>
          <w:i/>
          <w:lang w:val="fr-FR" w:eastAsia="fr-FR" w:bidi="fr-FR"/>
        </w:rPr>
        <w:t>Gazette n</w:t>
      </w:r>
      <w:r w:rsidRPr="003B3476">
        <w:rPr>
          <w:i/>
          <w:lang w:val="fr-FR" w:eastAsia="fr-FR" w:bidi="fr-FR"/>
        </w:rPr>
        <w:t>u</w:t>
      </w:r>
      <w:r w:rsidRPr="003B3476">
        <w:rPr>
          <w:i/>
          <w:lang w:val="fr-FR" w:eastAsia="fr-FR" w:bidi="fr-FR"/>
        </w:rPr>
        <w:t>mismatique</w:t>
      </w:r>
      <w:r w:rsidRPr="003B3476">
        <w:rPr>
          <w:bCs/>
        </w:rPr>
        <w:t>, 1901, p. 377, n. 3.</w:t>
      </w:r>
    </w:p>
  </w:footnote>
  <w:footnote w:id="913">
    <w:p w14:paraId="47E14B0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L. </w:t>
      </w:r>
      <w:r w:rsidRPr="003B3476">
        <w:rPr>
          <w:rStyle w:val="Notedebasdepage365ptNonItalique"/>
          <w:b w:val="0"/>
          <w:i w:val="0"/>
          <w:iCs w:val="0"/>
          <w:smallCaps/>
          <w:sz w:val="24"/>
        </w:rPr>
        <w:t>Blancard</w:t>
      </w:r>
      <w:r w:rsidRPr="003B3476">
        <w:rPr>
          <w:rStyle w:val="Notedebasdepage365ptNonItalique"/>
          <w:b w:val="0"/>
          <w:i w:val="0"/>
          <w:iCs w:val="0"/>
          <w:sz w:val="24"/>
        </w:rPr>
        <w:t xml:space="preserve">, </w:t>
      </w:r>
      <w:r w:rsidRPr="003B3476">
        <w:rPr>
          <w:rStyle w:val="Notedebasdepage365ptNonItalique"/>
          <w:b w:val="0"/>
          <w:iCs w:val="0"/>
          <w:sz w:val="24"/>
        </w:rPr>
        <w:t>Du</w:t>
      </w:r>
      <w:r w:rsidRPr="003B3476">
        <w:rPr>
          <w:rStyle w:val="Notedebasdepage365ptPetitesmajuscules"/>
          <w:b w:val="0"/>
          <w:sz w:val="24"/>
        </w:rPr>
        <w:t xml:space="preserve"> </w:t>
      </w:r>
      <w:r w:rsidRPr="003B3476">
        <w:rPr>
          <w:i/>
          <w:lang w:val="fr-FR" w:eastAsia="fr-FR" w:bidi="fr-FR"/>
        </w:rPr>
        <w:t>rapport de l’or à l’argent en Sicile de 1278 à 1302</w:t>
      </w:r>
      <w:r w:rsidRPr="003B3476">
        <w:rPr>
          <w:bCs/>
        </w:rPr>
        <w:t xml:space="preserve">, dans </w:t>
      </w:r>
      <w:r w:rsidRPr="003B3476">
        <w:rPr>
          <w:i/>
          <w:lang w:val="fr-FR" w:eastAsia="fr-FR" w:bidi="fr-FR"/>
        </w:rPr>
        <w:t>Mém. Acad</w:t>
      </w:r>
      <w:r w:rsidRPr="003B3476">
        <w:rPr>
          <w:bCs/>
          <w:i/>
        </w:rPr>
        <w:t xml:space="preserve">. </w:t>
      </w:r>
      <w:r w:rsidRPr="003B3476">
        <w:rPr>
          <w:i/>
          <w:lang w:val="fr-FR" w:eastAsia="fr-FR" w:bidi="fr-FR"/>
        </w:rPr>
        <w:t>Sciences Marseille</w:t>
      </w:r>
      <w:r w:rsidRPr="003B3476">
        <w:rPr>
          <w:bCs/>
        </w:rPr>
        <w:t>, t. XXIX, 1888-1892.</w:t>
      </w:r>
    </w:p>
  </w:footnote>
  <w:footnote w:id="914">
    <w:p w14:paraId="29072D2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Cf.</w:t>
      </w:r>
      <w:r w:rsidRPr="003B3476">
        <w:rPr>
          <w:bCs/>
        </w:rPr>
        <w:t xml:space="preserve"> </w:t>
      </w:r>
      <w:r w:rsidRPr="003B3476">
        <w:rPr>
          <w:lang w:val="fr-FR" w:eastAsia="fr-FR" w:bidi="fr-FR"/>
        </w:rPr>
        <w:t xml:space="preserve">en Angleterre, en 1257, </w:t>
      </w:r>
      <w:r w:rsidRPr="003B3476">
        <w:rPr>
          <w:rStyle w:val="Notedebasdepage7ptItalique"/>
          <w:b w:val="0"/>
          <w:sz w:val="24"/>
        </w:rPr>
        <w:t>Chronica maiorum,</w:t>
      </w:r>
      <w:r w:rsidRPr="003B3476">
        <w:rPr>
          <w:bCs/>
        </w:rPr>
        <w:t xml:space="preserve"> </w:t>
      </w:r>
      <w:r w:rsidRPr="003B3476">
        <w:rPr>
          <w:lang w:val="fr-FR" w:eastAsia="fr-FR" w:bidi="fr-FR"/>
        </w:rPr>
        <w:t>p. 30, et les divers textes a</w:t>
      </w:r>
      <w:r w:rsidRPr="003B3476">
        <w:rPr>
          <w:lang w:val="fr-FR" w:eastAsia="fr-FR" w:bidi="fr-FR"/>
        </w:rPr>
        <w:t>l</w:t>
      </w:r>
      <w:r w:rsidRPr="003B3476">
        <w:rPr>
          <w:lang w:val="fr-FR" w:eastAsia="fr-FR" w:bidi="fr-FR"/>
        </w:rPr>
        <w:t xml:space="preserve">lemands résumés par </w:t>
      </w:r>
      <w:r w:rsidRPr="003B3476">
        <w:rPr>
          <w:rStyle w:val="Notedebasdepage7ptPetitesmajuscules"/>
          <w:b w:val="0"/>
          <w:sz w:val="24"/>
        </w:rPr>
        <w:t xml:space="preserve">Inama-Sternegg, </w:t>
      </w:r>
      <w:r w:rsidRPr="003B3476">
        <w:rPr>
          <w:rStyle w:val="Notedebasdepage7ptItalique"/>
          <w:b w:val="0"/>
          <w:sz w:val="24"/>
        </w:rPr>
        <w:t>Die Goldwährung.</w:t>
      </w:r>
    </w:p>
  </w:footnote>
  <w:footnote w:id="915">
    <w:p w14:paraId="135BBEB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Rotuli parlamentiorum</w:t>
      </w:r>
      <w:r w:rsidRPr="003B3476">
        <w:t xml:space="preserve">, </w:t>
      </w:r>
      <w:r w:rsidRPr="003B3476">
        <w:rPr>
          <w:lang w:val="fr-FR" w:eastAsia="fr-FR" w:bidi="fr-FR"/>
        </w:rPr>
        <w:t>t. II, p. 138, c. 14.</w:t>
      </w:r>
    </w:p>
  </w:footnote>
  <w:footnote w:id="916">
    <w:p w14:paraId="41B0E1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Villani</w:t>
      </w:r>
      <w:r w:rsidRPr="003B3476">
        <w:t xml:space="preserve">, XI, 93 ; </w:t>
      </w:r>
      <w:r w:rsidRPr="003B3476">
        <w:rPr>
          <w:smallCaps/>
        </w:rPr>
        <w:t>Inama-Sternegg</w:t>
      </w:r>
      <w:r w:rsidRPr="003B3476">
        <w:t xml:space="preserve">, </w:t>
      </w:r>
      <w:r w:rsidRPr="003B3476">
        <w:rPr>
          <w:i/>
        </w:rPr>
        <w:t>Die Goldwährung</w:t>
      </w:r>
      <w:r w:rsidRPr="003B3476">
        <w:t>, p. 14, n. 17.</w:t>
      </w:r>
    </w:p>
  </w:footnote>
  <w:footnote w:id="917">
    <w:p w14:paraId="39B696C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rStyle w:val="Notedebasdepage48ptNonItalique"/>
          <w:b w:val="0"/>
          <w:i w:val="0"/>
          <w:iCs w:val="0"/>
          <w:sz w:val="24"/>
        </w:rPr>
        <w:t xml:space="preserve"> </w:t>
      </w:r>
      <w:r w:rsidRPr="003B3476">
        <w:rPr>
          <w:rStyle w:val="Notedebasdepage475ptNonItalique"/>
          <w:b w:val="0"/>
          <w:i w:val="0"/>
          <w:iCs w:val="0"/>
          <w:sz w:val="24"/>
        </w:rPr>
        <w:t xml:space="preserve">le rapport de Pepe Bonaprise (vers 1323), cité par N. de </w:t>
      </w:r>
      <w:r w:rsidRPr="003B3476">
        <w:rPr>
          <w:rStyle w:val="Notedebasdepage4NonItaliquePetitesmajuscules"/>
          <w:b w:val="0"/>
          <w:i w:val="0"/>
          <w:iCs w:val="0"/>
          <w:sz w:val="24"/>
        </w:rPr>
        <w:t xml:space="preserve">Wailly, </w:t>
      </w:r>
      <w:r w:rsidRPr="003B3476">
        <w:rPr>
          <w:i/>
          <w:lang w:val="fr-FR" w:eastAsia="fr-FR" w:bidi="fr-FR"/>
        </w:rPr>
        <w:t>Mémoire sur les variations de la livre tournois</w:t>
      </w:r>
      <w:r w:rsidRPr="003B3476">
        <w:rPr>
          <w:rStyle w:val="Notedebasdepage48ptNonItalique"/>
          <w:b w:val="0"/>
          <w:i w:val="0"/>
          <w:iCs w:val="0"/>
          <w:sz w:val="24"/>
        </w:rPr>
        <w:t xml:space="preserve">, </w:t>
      </w:r>
      <w:r w:rsidRPr="003B3476">
        <w:rPr>
          <w:rStyle w:val="Notedebasdepage475ptNonItalique"/>
          <w:b w:val="0"/>
          <w:i w:val="0"/>
          <w:iCs w:val="0"/>
          <w:sz w:val="24"/>
        </w:rPr>
        <w:t xml:space="preserve">dans </w:t>
      </w:r>
      <w:r w:rsidRPr="003B3476">
        <w:rPr>
          <w:i/>
          <w:lang w:val="fr-FR" w:eastAsia="fr-FR" w:bidi="fr-FR"/>
        </w:rPr>
        <w:t>Mémoires de l'Acad. des Inscri</w:t>
      </w:r>
      <w:r w:rsidRPr="003B3476">
        <w:rPr>
          <w:i/>
          <w:lang w:val="fr-FR" w:eastAsia="fr-FR" w:bidi="fr-FR"/>
        </w:rPr>
        <w:t>p</w:t>
      </w:r>
      <w:r w:rsidRPr="003B3476">
        <w:rPr>
          <w:i/>
          <w:lang w:val="fr-FR" w:eastAsia="fr-FR" w:bidi="fr-FR"/>
        </w:rPr>
        <w:t>tions</w:t>
      </w:r>
      <w:r w:rsidRPr="003B3476">
        <w:rPr>
          <w:rStyle w:val="Notedebasdepage48ptNonItalique"/>
          <w:b w:val="0"/>
          <w:i w:val="0"/>
          <w:iCs w:val="0"/>
          <w:sz w:val="24"/>
        </w:rPr>
        <w:t xml:space="preserve">, </w:t>
      </w:r>
      <w:r w:rsidRPr="003B3476">
        <w:rPr>
          <w:rStyle w:val="Notedebasdepage475ptNonItalique"/>
          <w:b w:val="0"/>
          <w:i w:val="0"/>
          <w:iCs w:val="0"/>
          <w:sz w:val="24"/>
        </w:rPr>
        <w:t>t. XXI, p. 213.</w:t>
      </w:r>
    </w:p>
  </w:footnote>
  <w:footnote w:id="918">
    <w:p w14:paraId="2CC214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Ordonnance du duc de Bretagne Jean V (1425, 12 févr.), dans M. </w:t>
      </w:r>
      <w:r w:rsidRPr="003B3476">
        <w:rPr>
          <w:rStyle w:val="Notedebasdepage65ptPetitesmajuscules"/>
          <w:b w:val="0"/>
          <w:sz w:val="24"/>
        </w:rPr>
        <w:t xml:space="preserve">Planiol, </w:t>
      </w:r>
      <w:r w:rsidRPr="003B3476">
        <w:rPr>
          <w:rStyle w:val="Notedebasdepage7ptItalique"/>
          <w:b w:val="0"/>
          <w:sz w:val="24"/>
        </w:rPr>
        <w:t>La Très Ancienne Coutume de Bretagne</w:t>
      </w:r>
      <w:r w:rsidRPr="003B3476">
        <w:rPr>
          <w:lang w:val="fr-FR" w:eastAsia="fr-FR" w:bidi="fr-FR"/>
        </w:rPr>
        <w:t xml:space="preserve">, 1896, p. 385 ; </w:t>
      </w:r>
      <w:r w:rsidRPr="003B3476">
        <w:rPr>
          <w:bCs/>
          <w:i/>
        </w:rPr>
        <w:t>cf.</w:t>
      </w:r>
      <w:r w:rsidRPr="003B3476">
        <w:rPr>
          <w:bCs/>
        </w:rPr>
        <w:t xml:space="preserve">, </w:t>
      </w:r>
      <w:r w:rsidRPr="003B3476">
        <w:rPr>
          <w:rStyle w:val="Notedebasdepage7ptItalique"/>
          <w:b w:val="0"/>
          <w:sz w:val="24"/>
        </w:rPr>
        <w:t>ibid</w:t>
      </w:r>
      <w:r w:rsidRPr="003B3476">
        <w:rPr>
          <w:lang w:val="fr-FR" w:eastAsia="fr-FR" w:bidi="fr-FR"/>
        </w:rPr>
        <w:t>., ordonnance du 1</w:t>
      </w:r>
      <w:r w:rsidRPr="003B3476">
        <w:rPr>
          <w:vertAlign w:val="superscript"/>
          <w:lang w:val="fr-FR" w:eastAsia="fr-FR" w:bidi="fr-FR"/>
        </w:rPr>
        <w:t>er</w:t>
      </w:r>
      <w:r w:rsidRPr="003B3476">
        <w:rPr>
          <w:lang w:val="fr-FR" w:eastAsia="fr-FR" w:bidi="fr-FR"/>
        </w:rPr>
        <w:t xml:space="preserve"> février 1385 et du 15 mai 1386 et </w:t>
      </w:r>
      <w:r w:rsidRPr="003B3476">
        <w:rPr>
          <w:rStyle w:val="Notedebasdepage65ptPetitesmajuscules"/>
          <w:b w:val="0"/>
          <w:sz w:val="24"/>
        </w:rPr>
        <w:t xml:space="preserve">L. Lièvre, </w:t>
      </w:r>
      <w:r w:rsidRPr="003B3476">
        <w:rPr>
          <w:rStyle w:val="Notedebasdepage7ptItalique"/>
          <w:b w:val="0"/>
          <w:sz w:val="24"/>
        </w:rPr>
        <w:t>La monnaie et le change en Bourgogne sous les ducs Valois</w:t>
      </w:r>
      <w:r w:rsidRPr="003B3476">
        <w:rPr>
          <w:lang w:val="fr-FR" w:eastAsia="fr-FR" w:bidi="fr-FR"/>
        </w:rPr>
        <w:t xml:space="preserve">, 1929, </w:t>
      </w:r>
      <w:r w:rsidRPr="003B3476">
        <w:rPr>
          <w:bCs/>
        </w:rPr>
        <w:t xml:space="preserve">p. </w:t>
      </w:r>
      <w:r w:rsidRPr="003B3476">
        <w:rPr>
          <w:lang w:val="fr-FR" w:eastAsia="fr-FR" w:bidi="fr-FR"/>
        </w:rPr>
        <w:t>80 et 108.</w:t>
      </w:r>
    </w:p>
  </w:footnote>
  <w:footnote w:id="919">
    <w:p w14:paraId="2C8EABB2"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Annales d’Histoire sociale</w:t>
      </w:r>
      <w:r w:rsidRPr="003B3476">
        <w:rPr>
          <w:rStyle w:val="Notedebasdepage475ptNonItalique"/>
          <w:b w:val="0"/>
          <w:i w:val="0"/>
          <w:iCs w:val="0"/>
          <w:sz w:val="24"/>
        </w:rPr>
        <w:t>, t. V, 1933, p. 7-16.</w:t>
      </w:r>
    </w:p>
  </w:footnote>
  <w:footnote w:id="920">
    <w:p w14:paraId="785D8F1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Dans un article des </w:t>
      </w:r>
      <w:r w:rsidRPr="003B3476">
        <w:rPr>
          <w:rStyle w:val="Notedebasdepage7ptItalique"/>
          <w:b w:val="0"/>
          <w:sz w:val="24"/>
        </w:rPr>
        <w:t>Jahrbücher für Nationalokonomie,</w:t>
      </w:r>
      <w:r w:rsidRPr="003B3476">
        <w:rPr>
          <w:bCs/>
        </w:rPr>
        <w:t xml:space="preserve"> </w:t>
      </w:r>
      <w:r w:rsidRPr="003B3476">
        <w:rPr>
          <w:lang w:val="fr-FR" w:eastAsia="fr-FR" w:bidi="fr-FR"/>
        </w:rPr>
        <w:t xml:space="preserve">t. II : </w:t>
      </w:r>
      <w:r w:rsidRPr="003B3476">
        <w:rPr>
          <w:rStyle w:val="Notedebasdepage7ptItalique"/>
          <w:b w:val="0"/>
          <w:sz w:val="24"/>
        </w:rPr>
        <w:t>Naturalwir</w:t>
      </w:r>
      <w:r w:rsidRPr="003B3476">
        <w:rPr>
          <w:rStyle w:val="Notedebasdepage7ptItalique"/>
          <w:b w:val="0"/>
          <w:sz w:val="24"/>
        </w:rPr>
        <w:t>t</w:t>
      </w:r>
      <w:r w:rsidRPr="003B3476">
        <w:rPr>
          <w:rStyle w:val="Notedebasdepage7ptItalique"/>
          <w:b w:val="0"/>
          <w:sz w:val="24"/>
        </w:rPr>
        <w:t>schaft, Geldwirtschaft und Kreditwirtschaft.</w:t>
      </w:r>
      <w:r w:rsidRPr="003B3476">
        <w:rPr>
          <w:bCs/>
        </w:rPr>
        <w:t xml:space="preserve"> </w:t>
      </w:r>
      <w:r w:rsidRPr="003B3476">
        <w:rPr>
          <w:lang w:val="fr-FR" w:eastAsia="fr-FR" w:bidi="fr-FR"/>
        </w:rPr>
        <w:t>La littérature du sujet est imme</w:t>
      </w:r>
      <w:r w:rsidRPr="003B3476">
        <w:rPr>
          <w:lang w:val="fr-FR" w:eastAsia="fr-FR" w:bidi="fr-FR"/>
        </w:rPr>
        <w:t>n</w:t>
      </w:r>
      <w:r w:rsidRPr="003B3476">
        <w:rPr>
          <w:lang w:val="fr-FR" w:eastAsia="fr-FR" w:bidi="fr-FR"/>
        </w:rPr>
        <w:t xml:space="preserve">se et il n’y aurait aucun intérêt </w:t>
      </w:r>
      <w:r w:rsidRPr="003B3476">
        <w:rPr>
          <w:bCs/>
        </w:rPr>
        <w:t xml:space="preserve">à </w:t>
      </w:r>
      <w:r w:rsidRPr="003B3476">
        <w:rPr>
          <w:lang w:val="fr-FR" w:eastAsia="fr-FR" w:bidi="fr-FR"/>
        </w:rPr>
        <w:t xml:space="preserve">en tenter ici le recensement. Je me bornerai </w:t>
      </w:r>
      <w:r w:rsidRPr="003B3476">
        <w:rPr>
          <w:bCs/>
        </w:rPr>
        <w:t xml:space="preserve">à </w:t>
      </w:r>
      <w:r w:rsidRPr="003B3476">
        <w:rPr>
          <w:lang w:val="fr-FR" w:eastAsia="fr-FR" w:bidi="fr-FR"/>
        </w:rPr>
        <w:t xml:space="preserve">renvoyer </w:t>
      </w:r>
      <w:r w:rsidRPr="003B3476">
        <w:rPr>
          <w:bCs/>
        </w:rPr>
        <w:t xml:space="preserve">à </w:t>
      </w:r>
      <w:r w:rsidRPr="003B3476">
        <w:rPr>
          <w:lang w:val="fr-FR" w:eastAsia="fr-FR" w:bidi="fr-FR"/>
        </w:rPr>
        <w:t xml:space="preserve">l’ouvrage d’Alfons </w:t>
      </w:r>
      <w:r w:rsidRPr="003B3476">
        <w:rPr>
          <w:rStyle w:val="Notedebasdepage65ptPetitesmajuscules"/>
          <w:b w:val="0"/>
          <w:sz w:val="24"/>
        </w:rPr>
        <w:t xml:space="preserve">Dopsch, </w:t>
      </w:r>
      <w:r w:rsidRPr="003B3476">
        <w:rPr>
          <w:rStyle w:val="Notedebasdepage7ptItalique"/>
          <w:b w:val="0"/>
          <w:sz w:val="24"/>
        </w:rPr>
        <w:t>Natura</w:t>
      </w:r>
      <w:r w:rsidRPr="003B3476">
        <w:rPr>
          <w:rStyle w:val="Notedebasdepage7ptItalique"/>
          <w:b w:val="0"/>
          <w:sz w:val="24"/>
        </w:rPr>
        <w:t>l</w:t>
      </w:r>
      <w:r w:rsidRPr="003B3476">
        <w:rPr>
          <w:rStyle w:val="Notedebasdepage7ptItalique"/>
          <w:b w:val="0"/>
          <w:sz w:val="24"/>
        </w:rPr>
        <w:t>wirtschaft und Geldwirtschaft in der Weltgeschichte</w:t>
      </w:r>
      <w:r w:rsidRPr="003B3476">
        <w:rPr>
          <w:lang w:val="fr-FR" w:eastAsia="fr-FR" w:bidi="fr-FR"/>
        </w:rPr>
        <w:t xml:space="preserve">, Vienne, 1930, et </w:t>
      </w:r>
      <w:r w:rsidRPr="003B3476">
        <w:rPr>
          <w:bCs/>
        </w:rPr>
        <w:t xml:space="preserve">à </w:t>
      </w:r>
      <w:r w:rsidRPr="003B3476">
        <w:rPr>
          <w:lang w:val="fr-FR" w:eastAsia="fr-FR" w:bidi="fr-FR"/>
        </w:rPr>
        <w:t xml:space="preserve">l’excellent compte rendu critique qu’en a donné M. Van </w:t>
      </w:r>
      <w:r w:rsidRPr="003B3476">
        <w:rPr>
          <w:rStyle w:val="Notedebasdepage65ptPetitesmajuscules"/>
          <w:b w:val="0"/>
          <w:sz w:val="24"/>
        </w:rPr>
        <w:t xml:space="preserve">Werveke, </w:t>
      </w:r>
      <w:r w:rsidRPr="003B3476">
        <w:rPr>
          <w:lang w:val="fr-FR" w:eastAsia="fr-FR" w:bidi="fr-FR"/>
        </w:rPr>
        <w:t xml:space="preserve">dans les </w:t>
      </w:r>
      <w:r w:rsidRPr="003B3476">
        <w:rPr>
          <w:rStyle w:val="Notedebasdepage7ptItalique"/>
          <w:b w:val="0"/>
          <w:sz w:val="24"/>
        </w:rPr>
        <w:t>Annales d'histoire économique et sociale</w:t>
      </w:r>
      <w:r w:rsidRPr="003B3476">
        <w:rPr>
          <w:lang w:val="fr-FR" w:eastAsia="fr-FR" w:bidi="fr-FR"/>
        </w:rPr>
        <w:t xml:space="preserve">, t. III, 1931, p. 428. </w:t>
      </w:r>
      <w:r w:rsidRPr="003B3476">
        <w:rPr>
          <w:rStyle w:val="Notedebasdepage7ptItalique"/>
          <w:b w:val="0"/>
          <w:sz w:val="24"/>
        </w:rPr>
        <w:t>Cf.</w:t>
      </w:r>
      <w:r w:rsidRPr="003B3476">
        <w:rPr>
          <w:bCs/>
        </w:rPr>
        <w:t xml:space="preserve"> </w:t>
      </w:r>
      <w:r w:rsidRPr="003B3476">
        <w:rPr>
          <w:lang w:val="fr-FR" w:eastAsia="fr-FR" w:bidi="fr-FR"/>
        </w:rPr>
        <w:t xml:space="preserve">aussi mes observations </w:t>
      </w:r>
      <w:r w:rsidRPr="003B3476">
        <w:rPr>
          <w:bCs/>
        </w:rPr>
        <w:t xml:space="preserve">à </w:t>
      </w:r>
      <w:r w:rsidRPr="003B3476">
        <w:rPr>
          <w:lang w:val="fr-FR" w:eastAsia="fr-FR" w:bidi="fr-FR"/>
        </w:rPr>
        <w:t xml:space="preserve">propos d’un mémoire de M. </w:t>
      </w:r>
      <w:r w:rsidRPr="003B3476">
        <w:rPr>
          <w:rStyle w:val="Notedebasdepage65ptPetitesmajuscules"/>
          <w:b w:val="0"/>
          <w:sz w:val="24"/>
        </w:rPr>
        <w:t xml:space="preserve">Heckscher, </w:t>
      </w:r>
      <w:r w:rsidRPr="003B3476">
        <w:rPr>
          <w:rStyle w:val="Notedebasdepage7ptItalique"/>
          <w:b w:val="0"/>
          <w:sz w:val="24"/>
        </w:rPr>
        <w:t>ibid.,</w:t>
      </w:r>
      <w:r w:rsidRPr="003B3476">
        <w:rPr>
          <w:bCs/>
        </w:rPr>
        <w:t xml:space="preserve"> </w:t>
      </w:r>
      <w:r w:rsidRPr="003B3476">
        <w:rPr>
          <w:lang w:val="fr-FR" w:eastAsia="fr-FR" w:bidi="fr-FR"/>
        </w:rPr>
        <w:t xml:space="preserve">p. 435 et mon article sur </w:t>
      </w:r>
      <w:r w:rsidRPr="003B3476">
        <w:rPr>
          <w:rStyle w:val="Notedebasdepage7ptItalique"/>
          <w:b w:val="0"/>
          <w:sz w:val="24"/>
        </w:rPr>
        <w:t>Le problème de l'or au Moyen Âge</w:t>
      </w:r>
      <w:r w:rsidRPr="003B3476">
        <w:rPr>
          <w:lang w:val="fr-FR" w:eastAsia="fr-FR" w:bidi="fr-FR"/>
        </w:rPr>
        <w:t xml:space="preserve">, t. V, 1933 et </w:t>
      </w:r>
      <w:r w:rsidRPr="003B3476">
        <w:rPr>
          <w:rStyle w:val="Notedebasdepage7ptItalique"/>
          <w:b w:val="0"/>
          <w:sz w:val="24"/>
        </w:rPr>
        <w:t>supra</w:t>
      </w:r>
      <w:r w:rsidRPr="003B3476">
        <w:rPr>
          <w:bCs/>
        </w:rPr>
        <w:t xml:space="preserve"> </w:t>
      </w:r>
      <w:r w:rsidRPr="003B3476">
        <w:rPr>
          <w:lang w:val="fr-FR" w:eastAsia="fr-FR" w:bidi="fr-FR"/>
        </w:rPr>
        <w:t>p. 839-867.</w:t>
      </w:r>
    </w:p>
  </w:footnote>
  <w:footnote w:id="921">
    <w:p w14:paraId="38479E3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Cf.</w:t>
      </w:r>
      <w:r w:rsidRPr="003B3476">
        <w:t xml:space="preserve"> </w:t>
      </w:r>
      <w:r w:rsidRPr="003B3476">
        <w:rPr>
          <w:lang w:val="fr-FR" w:eastAsia="fr-FR" w:bidi="fr-FR"/>
        </w:rPr>
        <w:t xml:space="preserve">H. </w:t>
      </w:r>
      <w:r w:rsidRPr="003B3476">
        <w:rPr>
          <w:rStyle w:val="Notedebasdepage65ptPetitesmajuscules"/>
          <w:b w:val="0"/>
          <w:sz w:val="24"/>
        </w:rPr>
        <w:t xml:space="preserve">Jaeckel, </w:t>
      </w:r>
      <w:r w:rsidRPr="003B3476">
        <w:rPr>
          <w:rStyle w:val="Notedebasdepage7ptItalique"/>
          <w:b w:val="0"/>
          <w:sz w:val="24"/>
        </w:rPr>
        <w:t>Die friesische Wede</w:t>
      </w:r>
      <w:r w:rsidRPr="003B3476">
        <w:rPr>
          <w:lang w:val="fr-FR" w:eastAsia="fr-FR" w:bidi="fr-FR"/>
        </w:rPr>
        <w:t xml:space="preserve">, dans </w:t>
      </w:r>
      <w:r w:rsidRPr="003B3476">
        <w:rPr>
          <w:rStyle w:val="Notedebasdepage7ptItalique"/>
          <w:b w:val="0"/>
          <w:sz w:val="24"/>
        </w:rPr>
        <w:t>Zeitschrift für Numismatik</w:t>
      </w:r>
      <w:r w:rsidRPr="003B3476">
        <w:rPr>
          <w:lang w:val="fr-FR" w:eastAsia="fr-FR" w:bidi="fr-FR"/>
        </w:rPr>
        <w:t xml:space="preserve">, XI, 1884. L’usage de l’étoffe-monnaie a été également répandu chez les Slaves : </w:t>
      </w:r>
      <w:r w:rsidRPr="003B3476">
        <w:rPr>
          <w:rStyle w:val="Notedebasdepage7ptItalique"/>
          <w:b w:val="0"/>
          <w:sz w:val="24"/>
        </w:rPr>
        <w:t>cf.</w:t>
      </w:r>
      <w:r w:rsidRPr="003B3476">
        <w:t xml:space="preserve"> </w:t>
      </w:r>
      <w:r w:rsidRPr="003B3476">
        <w:rPr>
          <w:rStyle w:val="Notedebasdepage65ptPetitesmajuscules"/>
          <w:b w:val="0"/>
          <w:sz w:val="24"/>
        </w:rPr>
        <w:t xml:space="preserve">Helmold, </w:t>
      </w:r>
      <w:r w:rsidRPr="003B3476">
        <w:rPr>
          <w:rStyle w:val="Notedebasdepage7ptItalique"/>
          <w:b w:val="0"/>
          <w:sz w:val="24"/>
        </w:rPr>
        <w:t>Chronica Slavorum</w:t>
      </w:r>
      <w:r w:rsidRPr="003B3476">
        <w:t xml:space="preserve">, </w:t>
      </w:r>
      <w:r w:rsidRPr="003B3476">
        <w:rPr>
          <w:lang w:val="fr-FR" w:eastAsia="fr-FR" w:bidi="fr-FR"/>
        </w:rPr>
        <w:t xml:space="preserve">I, 38, éd. </w:t>
      </w:r>
      <w:r w:rsidRPr="003B3476">
        <w:rPr>
          <w:rStyle w:val="Notedebasdepage65ptPetitesmajuscules"/>
          <w:b w:val="0"/>
          <w:sz w:val="24"/>
        </w:rPr>
        <w:t xml:space="preserve">Schmeidler, </w:t>
      </w:r>
      <w:r w:rsidRPr="003B3476">
        <w:rPr>
          <w:lang w:val="fr-FR" w:eastAsia="fr-FR" w:bidi="fr-FR"/>
        </w:rPr>
        <w:t xml:space="preserve">p. 77 ; G. </w:t>
      </w:r>
      <w:r w:rsidRPr="003B3476">
        <w:rPr>
          <w:rStyle w:val="Notedebasdepage65ptPetitesmajuscules"/>
          <w:b w:val="0"/>
          <w:sz w:val="24"/>
        </w:rPr>
        <w:t xml:space="preserve">Jacob, </w:t>
      </w:r>
      <w:r w:rsidRPr="003B3476">
        <w:rPr>
          <w:rStyle w:val="Notedebasdepage7ptItalique"/>
          <w:b w:val="0"/>
          <w:sz w:val="24"/>
        </w:rPr>
        <w:t>Arabische Berichte von Gesandten an germanische Fürstenhöfe</w:t>
      </w:r>
      <w:r w:rsidRPr="003B3476">
        <w:rPr>
          <w:lang w:val="fr-FR" w:eastAsia="fr-FR" w:bidi="fr-FR"/>
        </w:rPr>
        <w:t>, Berlin, 1927, p. 13. Lorsqu’en 1124 l’évêque Otton de Bamberg s’en alla évangéliser les Poméraniens, il fit vendre son blé afin d’acquérir des pièces de drap, qui d</w:t>
      </w:r>
      <w:r w:rsidRPr="003B3476">
        <w:rPr>
          <w:lang w:val="fr-FR" w:eastAsia="fr-FR" w:bidi="fr-FR"/>
        </w:rPr>
        <w:t>e</w:t>
      </w:r>
      <w:r w:rsidRPr="003B3476">
        <w:rPr>
          <w:lang w:val="fr-FR" w:eastAsia="fr-FR" w:bidi="fr-FR"/>
        </w:rPr>
        <w:t xml:space="preserve">vaient lui servir de monnaie pour racheter les captifs chrétiens : </w:t>
      </w:r>
      <w:r w:rsidRPr="003B3476">
        <w:rPr>
          <w:rStyle w:val="Notedebasdepage65ptPetitesmajuscules"/>
          <w:b w:val="0"/>
          <w:sz w:val="24"/>
        </w:rPr>
        <w:t xml:space="preserve">Herbordi </w:t>
      </w:r>
      <w:r w:rsidRPr="003B3476">
        <w:rPr>
          <w:rStyle w:val="Notedebasdepage7ptItalique"/>
          <w:b w:val="0"/>
          <w:sz w:val="24"/>
        </w:rPr>
        <w:t>Dialogus</w:t>
      </w:r>
      <w:r w:rsidRPr="003B3476">
        <w:rPr>
          <w:lang w:val="fr-FR" w:eastAsia="fr-FR" w:bidi="fr-FR"/>
        </w:rPr>
        <w:t xml:space="preserve">, dans </w:t>
      </w:r>
      <w:r w:rsidRPr="003B3476">
        <w:rPr>
          <w:rStyle w:val="Notedebasdepage7ptItalique"/>
          <w:b w:val="0"/>
          <w:sz w:val="24"/>
        </w:rPr>
        <w:t>S.S.,</w:t>
      </w:r>
      <w:r w:rsidRPr="003B3476">
        <w:t xml:space="preserve"> </w:t>
      </w:r>
      <w:r w:rsidRPr="003B3476">
        <w:rPr>
          <w:lang w:val="fr-FR" w:eastAsia="fr-FR" w:bidi="fr-FR"/>
        </w:rPr>
        <w:t>t. XX, p. 717.</w:t>
      </w:r>
    </w:p>
  </w:footnote>
  <w:footnote w:id="922">
    <w:p w14:paraId="2E8D0EE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Textes nombreux, abondamment cités dans une littérature par malheur très dispersée. Je me contenterai de renvoyer à P. F. </w:t>
      </w:r>
      <w:r w:rsidRPr="003B3476">
        <w:rPr>
          <w:rStyle w:val="Notedebasdepage65ptPetitesmajuscules"/>
          <w:b w:val="0"/>
          <w:sz w:val="24"/>
        </w:rPr>
        <w:t xml:space="preserve">Casaretto, </w:t>
      </w:r>
      <w:r w:rsidRPr="003B3476">
        <w:rPr>
          <w:rStyle w:val="Notedebasdepage7ptItalique"/>
          <w:b w:val="0"/>
          <w:sz w:val="24"/>
        </w:rPr>
        <w:t>La moneta gen</w:t>
      </w:r>
      <w:r w:rsidRPr="003B3476">
        <w:rPr>
          <w:rStyle w:val="Notedebasdepage7ptItalique"/>
          <w:b w:val="0"/>
          <w:sz w:val="24"/>
        </w:rPr>
        <w:t>o</w:t>
      </w:r>
      <w:r w:rsidRPr="003B3476">
        <w:rPr>
          <w:rStyle w:val="Notedebasdepage7ptItalique"/>
          <w:b w:val="0"/>
          <w:sz w:val="24"/>
        </w:rPr>
        <w:t>vese,</w:t>
      </w:r>
      <w:r w:rsidRPr="003B3476">
        <w:rPr>
          <w:bCs/>
        </w:rPr>
        <w:t xml:space="preserve"> </w:t>
      </w:r>
      <w:r w:rsidRPr="003B3476">
        <w:rPr>
          <w:lang w:val="fr-FR" w:eastAsia="fr-FR" w:bidi="fr-FR"/>
        </w:rPr>
        <w:t xml:space="preserve">dans </w:t>
      </w:r>
      <w:r w:rsidRPr="003B3476">
        <w:rPr>
          <w:rStyle w:val="Notedebasdepage7ptItalique"/>
          <w:b w:val="0"/>
          <w:sz w:val="24"/>
        </w:rPr>
        <w:t>Atti della Società Ligure di Storia Patria</w:t>
      </w:r>
      <w:r w:rsidRPr="003B3476">
        <w:rPr>
          <w:lang w:val="fr-FR" w:eastAsia="fr-FR" w:bidi="fr-FR"/>
        </w:rPr>
        <w:t xml:space="preserve">, LV, 1928 (notamment p. 3 et suiv.), aux références rassemblées par A.-E. </w:t>
      </w:r>
      <w:r w:rsidRPr="003B3476">
        <w:rPr>
          <w:rStyle w:val="Notedebasdepage65ptPetitesmajuscules"/>
          <w:b w:val="0"/>
          <w:sz w:val="24"/>
        </w:rPr>
        <w:t xml:space="preserve">Sayous, </w:t>
      </w:r>
      <w:r w:rsidRPr="003B3476">
        <w:rPr>
          <w:lang w:val="fr-FR" w:eastAsia="fr-FR" w:bidi="fr-FR"/>
        </w:rPr>
        <w:t xml:space="preserve">dans </w:t>
      </w:r>
      <w:r w:rsidRPr="003B3476">
        <w:rPr>
          <w:rStyle w:val="Notedebasdepage7ptItalique"/>
          <w:b w:val="0"/>
          <w:sz w:val="24"/>
        </w:rPr>
        <w:t>Revue Histor</w:t>
      </w:r>
      <w:r w:rsidRPr="003B3476">
        <w:rPr>
          <w:rStyle w:val="Notedebasdepage7ptItalique"/>
          <w:b w:val="0"/>
          <w:sz w:val="24"/>
        </w:rPr>
        <w:t>i</w:t>
      </w:r>
      <w:r w:rsidRPr="003B3476">
        <w:rPr>
          <w:rStyle w:val="Notedebasdepage7ptItalique"/>
          <w:b w:val="0"/>
          <w:sz w:val="24"/>
        </w:rPr>
        <w:t>que</w:t>
      </w:r>
      <w:r w:rsidRPr="003B3476">
        <w:rPr>
          <w:lang w:val="fr-FR" w:eastAsia="fr-FR" w:bidi="fr-FR"/>
        </w:rPr>
        <w:t xml:space="preserve">, CLXX, 1932, p. 9, n. 2 : </w:t>
      </w:r>
      <w:r w:rsidRPr="003B3476">
        <w:rPr>
          <w:bCs/>
        </w:rPr>
        <w:t xml:space="preserve">à </w:t>
      </w:r>
      <w:r w:rsidRPr="003B3476">
        <w:rPr>
          <w:lang w:val="fr-FR" w:eastAsia="fr-FR" w:bidi="fr-FR"/>
        </w:rPr>
        <w:t xml:space="preserve">A. </w:t>
      </w:r>
      <w:r w:rsidRPr="003B3476">
        <w:rPr>
          <w:rStyle w:val="Notedebasdepage65ptPetitesmajuscules"/>
          <w:b w:val="0"/>
          <w:sz w:val="24"/>
        </w:rPr>
        <w:t xml:space="preserve">Schulte, </w:t>
      </w:r>
      <w:r w:rsidRPr="003B3476">
        <w:rPr>
          <w:rStyle w:val="Notedebasdepage7ptItalique"/>
          <w:b w:val="0"/>
          <w:sz w:val="24"/>
        </w:rPr>
        <w:t>Geschichte des mittelalterlichen Handels</w:t>
      </w:r>
      <w:r w:rsidRPr="003B3476">
        <w:rPr>
          <w:lang w:val="fr-FR" w:eastAsia="fr-FR" w:bidi="fr-FR"/>
        </w:rPr>
        <w:t xml:space="preserve">, t. I, p. 73 et n. 1, et à J. </w:t>
      </w:r>
      <w:r w:rsidRPr="003B3476">
        <w:rPr>
          <w:rStyle w:val="Notedebasdepage65ptPetitesmajuscules"/>
          <w:b w:val="0"/>
          <w:sz w:val="24"/>
        </w:rPr>
        <w:t xml:space="preserve">Kulischer, </w:t>
      </w:r>
      <w:r w:rsidRPr="003B3476">
        <w:rPr>
          <w:rStyle w:val="Notedebasdepage7ptItalique"/>
          <w:b w:val="0"/>
          <w:sz w:val="24"/>
        </w:rPr>
        <w:t>Allgemeine Wirtschaftsgeschic</w:t>
      </w:r>
      <w:r w:rsidRPr="003B3476">
        <w:rPr>
          <w:rStyle w:val="Notedebasdepage7ptItalique"/>
          <w:b w:val="0"/>
          <w:sz w:val="24"/>
        </w:rPr>
        <w:t>h</w:t>
      </w:r>
      <w:r w:rsidRPr="003B3476">
        <w:rPr>
          <w:rStyle w:val="Notedebasdepage7ptItalique"/>
          <w:b w:val="0"/>
          <w:sz w:val="24"/>
        </w:rPr>
        <w:t xml:space="preserve">te, </w:t>
      </w:r>
      <w:r w:rsidRPr="003B3476">
        <w:rPr>
          <w:lang w:val="fr-FR" w:eastAsia="fr-FR" w:bidi="fr-FR"/>
        </w:rPr>
        <w:t xml:space="preserve">I, p. 317. Exemples tardifs, dans H. </w:t>
      </w:r>
      <w:r w:rsidRPr="003B3476">
        <w:rPr>
          <w:rStyle w:val="Notedebasdepage65ptPetitesmajuscules"/>
          <w:b w:val="0"/>
          <w:sz w:val="24"/>
        </w:rPr>
        <w:t xml:space="preserve">du Halgouet. </w:t>
      </w:r>
      <w:r w:rsidRPr="003B3476">
        <w:rPr>
          <w:rStyle w:val="Notedebasdepage7ptItalique"/>
          <w:b w:val="0"/>
          <w:sz w:val="24"/>
        </w:rPr>
        <w:t>La vicomté de Rohan</w:t>
      </w:r>
      <w:r w:rsidRPr="003B3476">
        <w:rPr>
          <w:lang w:val="fr-FR" w:eastAsia="fr-FR" w:bidi="fr-FR"/>
        </w:rPr>
        <w:t>, 1921, t. I, p. 151. Il s</w:t>
      </w:r>
      <w:r w:rsidRPr="003B3476">
        <w:rPr>
          <w:lang w:val="fr-FR" w:eastAsia="fr-FR" w:bidi="fr-FR"/>
        </w:rPr>
        <w:t>e</w:t>
      </w:r>
      <w:r w:rsidRPr="003B3476">
        <w:rPr>
          <w:lang w:val="fr-FR" w:eastAsia="fr-FR" w:bidi="fr-FR"/>
        </w:rPr>
        <w:t>rait aisé de multiplier les références.</w:t>
      </w:r>
    </w:p>
  </w:footnote>
  <w:footnote w:id="923">
    <w:p w14:paraId="748272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w:t>
      </w:r>
      <w:r w:rsidRPr="003B3476">
        <w:rPr>
          <w:rStyle w:val="Notedebasdepage65ptPetitesmajuscules"/>
          <w:b w:val="0"/>
          <w:sz w:val="24"/>
        </w:rPr>
        <w:t xml:space="preserve">Le Cacheux, </w:t>
      </w:r>
      <w:r w:rsidRPr="003B3476">
        <w:rPr>
          <w:rStyle w:val="Notedebasdepage7ptItalique"/>
          <w:b w:val="0"/>
          <w:sz w:val="24"/>
        </w:rPr>
        <w:t>Chartes du prieuré de Longueville</w:t>
      </w:r>
      <w:r w:rsidRPr="003B3476">
        <w:rPr>
          <w:lang w:val="fr-FR" w:eastAsia="fr-FR" w:bidi="fr-FR"/>
        </w:rPr>
        <w:t>, n° LXIX (</w:t>
      </w:r>
      <w:r w:rsidRPr="003B3476">
        <w:rPr>
          <w:rStyle w:val="Notedebasdepage7ptItalique"/>
          <w:b w:val="0"/>
          <w:sz w:val="24"/>
        </w:rPr>
        <w:t>Publications de la Soc. de l’hist. de la Normandie</w:t>
      </w:r>
      <w:r w:rsidRPr="003B3476">
        <w:rPr>
          <w:lang w:val="fr-FR" w:eastAsia="fr-FR" w:bidi="fr-FR"/>
        </w:rPr>
        <w:t>, 1934). Autre exemple, dans la même r</w:t>
      </w:r>
      <w:r w:rsidRPr="003B3476">
        <w:rPr>
          <w:lang w:val="fr-FR" w:eastAsia="fr-FR" w:bidi="fr-FR"/>
        </w:rPr>
        <w:t>é</w:t>
      </w:r>
      <w:r w:rsidRPr="003B3476">
        <w:rPr>
          <w:lang w:val="fr-FR" w:eastAsia="fr-FR" w:bidi="fr-FR"/>
        </w:rPr>
        <w:t xml:space="preserve">gion, approximativement </w:t>
      </w:r>
      <w:r w:rsidRPr="003B3476">
        <w:t xml:space="preserve">à </w:t>
      </w:r>
      <w:r w:rsidRPr="003B3476">
        <w:rPr>
          <w:lang w:val="fr-FR" w:eastAsia="fr-FR" w:bidi="fr-FR"/>
        </w:rPr>
        <w:t>la même date (r</w:t>
      </w:r>
      <w:r w:rsidRPr="003B3476">
        <w:rPr>
          <w:lang w:val="fr-FR" w:eastAsia="fr-FR" w:bidi="fr-FR"/>
        </w:rPr>
        <w:t>è</w:t>
      </w:r>
      <w:r w:rsidRPr="003B3476">
        <w:rPr>
          <w:lang w:val="fr-FR" w:eastAsia="fr-FR" w:bidi="fr-FR"/>
        </w:rPr>
        <w:t>gne de Henri II Plantagenet) et concernant également l’octroi d’un nouvel e</w:t>
      </w:r>
      <w:r w:rsidRPr="003B3476">
        <w:rPr>
          <w:lang w:val="fr-FR" w:eastAsia="fr-FR" w:bidi="fr-FR"/>
        </w:rPr>
        <w:t>s</w:t>
      </w:r>
      <w:r w:rsidRPr="003B3476">
        <w:rPr>
          <w:lang w:val="fr-FR" w:eastAsia="fr-FR" w:bidi="fr-FR"/>
        </w:rPr>
        <w:t xml:space="preserve">sart : </w:t>
      </w:r>
      <w:r w:rsidRPr="003B3476">
        <w:rPr>
          <w:rStyle w:val="Notedebasdepage465ptNonItaliquePetitesmajuscules"/>
          <w:b w:val="0"/>
          <w:i w:val="0"/>
          <w:iCs w:val="0"/>
          <w:sz w:val="24"/>
        </w:rPr>
        <w:t xml:space="preserve">Deck, </w:t>
      </w:r>
      <w:r w:rsidRPr="003B3476">
        <w:rPr>
          <w:i/>
          <w:lang w:val="fr-FR" w:eastAsia="fr-FR" w:bidi="fr-FR"/>
        </w:rPr>
        <w:t>Étude sur la forêt d’Eu</w:t>
      </w:r>
      <w:r w:rsidRPr="003B3476">
        <w:rPr>
          <w:rStyle w:val="Notedebasdepage475ptNonItalique"/>
          <w:b w:val="0"/>
          <w:i w:val="0"/>
          <w:iCs w:val="0"/>
          <w:sz w:val="24"/>
        </w:rPr>
        <w:t>, 1929, p. 47.</w:t>
      </w:r>
    </w:p>
  </w:footnote>
  <w:footnote w:id="924">
    <w:p w14:paraId="4B6A32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 </w:t>
      </w:r>
      <w:r w:rsidRPr="003B3476">
        <w:rPr>
          <w:rStyle w:val="Notedebasdepage7ptPetitesmajuscules"/>
          <w:b w:val="0"/>
          <w:sz w:val="24"/>
        </w:rPr>
        <w:t xml:space="preserve">Haskins, </w:t>
      </w:r>
      <w:r w:rsidRPr="003B3476">
        <w:rPr>
          <w:bCs/>
          <w:i/>
        </w:rPr>
        <w:t>Studies in</w:t>
      </w:r>
      <w:r w:rsidRPr="003B3476">
        <w:rPr>
          <w:bCs/>
        </w:rPr>
        <w:t xml:space="preserve"> </w:t>
      </w:r>
      <w:r w:rsidRPr="003B3476">
        <w:rPr>
          <w:bCs/>
          <w:i/>
        </w:rPr>
        <w:t>Norman institutions</w:t>
      </w:r>
      <w:r w:rsidRPr="003B3476">
        <w:rPr>
          <w:lang w:val="fr-FR" w:eastAsia="fr-FR" w:bidi="fr-FR"/>
        </w:rPr>
        <w:t xml:space="preserve">, 1918, p. 45, note qu’aux </w:t>
      </w:r>
      <w:r w:rsidRPr="003B3476">
        <w:rPr>
          <w:bCs/>
          <w:caps/>
        </w:rPr>
        <w:t>xi</w:t>
      </w:r>
      <w:r w:rsidRPr="003B3476">
        <w:rPr>
          <w:bCs/>
          <w:vertAlign w:val="superscript"/>
        </w:rPr>
        <w:t>e</w:t>
      </w:r>
      <w:r w:rsidRPr="003B3476">
        <w:rPr>
          <w:bCs/>
        </w:rPr>
        <w:t> </w:t>
      </w:r>
      <w:r w:rsidRPr="003B3476">
        <w:rPr>
          <w:lang w:val="fr-FR" w:eastAsia="fr-FR" w:bidi="fr-FR"/>
        </w:rPr>
        <w:t xml:space="preserve">et </w:t>
      </w:r>
      <w:r w:rsidRPr="003B3476">
        <w:rPr>
          <w:bCs/>
        </w:rPr>
        <w:t>XII</w:t>
      </w:r>
      <w:r w:rsidRPr="003B3476">
        <w:rPr>
          <w:bCs/>
          <w:vertAlign w:val="superscript"/>
        </w:rPr>
        <w:t>e</w:t>
      </w:r>
      <w:r w:rsidRPr="003B3476">
        <w:rPr>
          <w:bCs/>
        </w:rPr>
        <w:t xml:space="preserve"> </w:t>
      </w:r>
      <w:r w:rsidRPr="003B3476">
        <w:rPr>
          <w:lang w:val="fr-FR" w:eastAsia="fr-FR" w:bidi="fr-FR"/>
        </w:rPr>
        <w:t>siècles les rentes en argent tiennent une grande place parmi les donations des ducs, alors que les rois de France, à la même date, octroient beaucoup plus volontiers des rentes en nature.</w:t>
      </w:r>
    </w:p>
  </w:footnote>
  <w:footnote w:id="925">
    <w:p w14:paraId="442314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rPr>
        <w:t>Statuts d’Adalhard</w:t>
      </w:r>
      <w:r w:rsidRPr="003B3476">
        <w:rPr>
          <w:lang w:val="fr-FR"/>
        </w:rPr>
        <w:t xml:space="preserve">, éd. L. </w:t>
      </w:r>
      <w:r w:rsidRPr="003B3476">
        <w:rPr>
          <w:smallCaps/>
          <w:lang w:val="fr-FR"/>
        </w:rPr>
        <w:t>Levillain</w:t>
      </w:r>
      <w:r w:rsidRPr="003B3476">
        <w:rPr>
          <w:lang w:val="fr-FR"/>
        </w:rPr>
        <w:t xml:space="preserve">, dans </w:t>
      </w:r>
      <w:r w:rsidRPr="003B3476">
        <w:rPr>
          <w:i/>
          <w:lang w:val="fr-FR"/>
        </w:rPr>
        <w:t>Le Moyen Âge</w:t>
      </w:r>
      <w:r w:rsidRPr="003B3476">
        <w:rPr>
          <w:lang w:val="fr-FR"/>
        </w:rPr>
        <w:t>, 1900, p. 355.</w:t>
      </w:r>
    </w:p>
  </w:footnote>
  <w:footnote w:id="926">
    <w:p w14:paraId="10DD4A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R. L. </w:t>
      </w:r>
      <w:r w:rsidRPr="003B3476">
        <w:rPr>
          <w:smallCaps/>
        </w:rPr>
        <w:t>Poole</w:t>
      </w:r>
      <w:r w:rsidRPr="003B3476">
        <w:t xml:space="preserve">, </w:t>
      </w:r>
      <w:r w:rsidRPr="003B3476">
        <w:rPr>
          <w:rStyle w:val="Notedebasdepage775ptItalique"/>
          <w:b w:val="0"/>
          <w:sz w:val="24"/>
        </w:rPr>
        <w:t>The Exchequer in the twelfth century</w:t>
      </w:r>
      <w:r w:rsidRPr="003B3476">
        <w:rPr>
          <w:lang w:val="fr-FR" w:eastAsia="fr-FR" w:bidi="fr-FR"/>
        </w:rPr>
        <w:t>, 1912, p. 30 et suiv.</w:t>
      </w:r>
    </w:p>
  </w:footnote>
  <w:footnote w:id="927">
    <w:p w14:paraId="148F44C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Die Traditionen des Hochstifts Passau</w:t>
      </w:r>
      <w:r w:rsidRPr="003B3476">
        <w:rPr>
          <w:bCs/>
        </w:rPr>
        <w:t xml:space="preserve">, </w:t>
      </w:r>
      <w:r w:rsidRPr="003B3476">
        <w:rPr>
          <w:rStyle w:val="Notedebasdepage37ptNonItalique"/>
          <w:b w:val="0"/>
          <w:i w:val="0"/>
          <w:iCs w:val="0"/>
          <w:sz w:val="24"/>
        </w:rPr>
        <w:t xml:space="preserve">éd. </w:t>
      </w:r>
      <w:r w:rsidRPr="003B3476">
        <w:rPr>
          <w:rStyle w:val="Notedebasdepage365ptNonItalique"/>
          <w:b w:val="0"/>
          <w:i w:val="0"/>
          <w:iCs w:val="0"/>
          <w:smallCaps/>
          <w:sz w:val="24"/>
        </w:rPr>
        <w:t>Heuwieser</w:t>
      </w:r>
      <w:r w:rsidRPr="003B3476">
        <w:rPr>
          <w:rStyle w:val="Notedebasdepage365ptNonItalique"/>
          <w:b w:val="0"/>
          <w:i w:val="0"/>
          <w:iCs w:val="0"/>
          <w:sz w:val="24"/>
        </w:rPr>
        <w:t xml:space="preserve"> </w:t>
      </w:r>
      <w:r w:rsidRPr="003B3476">
        <w:rPr>
          <w:bCs/>
        </w:rPr>
        <w:t>(</w:t>
      </w:r>
      <w:r w:rsidRPr="003B3476">
        <w:rPr>
          <w:i/>
          <w:lang w:val="fr-FR" w:eastAsia="fr-FR" w:bidi="fr-FR"/>
        </w:rPr>
        <w:t>Quellen und Erört</w:t>
      </w:r>
      <w:r w:rsidRPr="003B3476">
        <w:rPr>
          <w:i/>
          <w:lang w:val="fr-FR" w:eastAsia="fr-FR" w:bidi="fr-FR"/>
        </w:rPr>
        <w:t>e</w:t>
      </w:r>
      <w:r w:rsidRPr="003B3476">
        <w:rPr>
          <w:i/>
          <w:lang w:val="fr-FR" w:eastAsia="fr-FR" w:bidi="fr-FR"/>
        </w:rPr>
        <w:t>rimgen zur bayerischen Geschichte</w:t>
      </w:r>
      <w:r w:rsidRPr="003B3476">
        <w:rPr>
          <w:bCs/>
        </w:rPr>
        <w:t xml:space="preserve">, </w:t>
      </w:r>
      <w:r w:rsidRPr="003B3476">
        <w:rPr>
          <w:rStyle w:val="Notedebasdepage37ptNonItalique"/>
          <w:b w:val="0"/>
          <w:i w:val="0"/>
          <w:iCs w:val="0"/>
          <w:sz w:val="24"/>
        </w:rPr>
        <w:t>N.F., t. VI), n° 108.</w:t>
      </w:r>
    </w:p>
  </w:footnote>
  <w:footnote w:id="928">
    <w:p w14:paraId="574E5D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75ptItalique"/>
          <w:b w:val="0"/>
          <w:sz w:val="24"/>
        </w:rPr>
        <w:t>Cf.</w:t>
      </w:r>
      <w:r w:rsidRPr="003B3476">
        <w:rPr>
          <w:bCs/>
        </w:rPr>
        <w:t xml:space="preserve"> </w:t>
      </w:r>
      <w:r w:rsidRPr="003B3476">
        <w:rPr>
          <w:lang w:val="fr-FR" w:eastAsia="fr-FR" w:bidi="fr-FR"/>
        </w:rPr>
        <w:t xml:space="preserve">Le testament de l’évêque Bertrand (616, 27 mars), dans G. </w:t>
      </w:r>
      <w:r w:rsidRPr="003B3476">
        <w:rPr>
          <w:bCs/>
          <w:smallCaps/>
        </w:rPr>
        <w:t>Busson</w:t>
      </w:r>
      <w:r w:rsidRPr="003B3476">
        <w:rPr>
          <w:lang w:val="fr-FR" w:eastAsia="fr-FR" w:bidi="fr-FR"/>
        </w:rPr>
        <w:t xml:space="preserve"> et A. </w:t>
      </w:r>
      <w:r w:rsidRPr="003B3476">
        <w:rPr>
          <w:bCs/>
          <w:smallCaps/>
        </w:rPr>
        <w:t>Ledru</w:t>
      </w:r>
      <w:r w:rsidRPr="003B3476">
        <w:rPr>
          <w:bCs/>
        </w:rPr>
        <w:t xml:space="preserve">, </w:t>
      </w:r>
      <w:r w:rsidRPr="003B3476">
        <w:rPr>
          <w:rStyle w:val="Notedebasdepage775ptItalique"/>
          <w:b w:val="0"/>
          <w:sz w:val="24"/>
        </w:rPr>
        <w:t>Actus Pontificum Cenomannis in urbe degentium</w:t>
      </w:r>
      <w:r w:rsidRPr="003B3476">
        <w:rPr>
          <w:bCs/>
        </w:rPr>
        <w:t xml:space="preserve">, </w:t>
      </w:r>
      <w:r w:rsidRPr="003B3476">
        <w:rPr>
          <w:lang w:val="fr-FR" w:eastAsia="fr-FR" w:bidi="fr-FR"/>
        </w:rPr>
        <w:t>p. 137 : « in aurum aut in caballos solidos V ».</w:t>
      </w:r>
    </w:p>
  </w:footnote>
  <w:footnote w:id="929">
    <w:p w14:paraId="74606EC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Ed. </w:t>
      </w:r>
      <w:r w:rsidRPr="003B3476">
        <w:rPr>
          <w:rStyle w:val="Notedebasdepage7ptPetitesmajuscules"/>
          <w:b w:val="0"/>
          <w:sz w:val="24"/>
        </w:rPr>
        <w:t xml:space="preserve">Menendez </w:t>
      </w:r>
      <w:r w:rsidRPr="003B3476">
        <w:rPr>
          <w:smallCaps/>
          <w:lang w:val="fr-FR" w:eastAsia="fr-FR" w:bidi="fr-FR"/>
        </w:rPr>
        <w:t>Pidal</w:t>
      </w:r>
      <w:r w:rsidRPr="003B3476">
        <w:rPr>
          <w:lang w:val="fr-FR" w:eastAsia="fr-FR" w:bidi="fr-FR"/>
        </w:rPr>
        <w:t>, t. III, v. 3236 b et suiv. Tout le passage est du plus vif int</w:t>
      </w:r>
      <w:r w:rsidRPr="003B3476">
        <w:rPr>
          <w:lang w:val="fr-FR" w:eastAsia="fr-FR" w:bidi="fr-FR"/>
        </w:rPr>
        <w:t>é</w:t>
      </w:r>
      <w:r w:rsidRPr="003B3476">
        <w:rPr>
          <w:lang w:val="fr-FR" w:eastAsia="fr-FR" w:bidi="fr-FR"/>
        </w:rPr>
        <w:t>rêt pour l’histoire des paiements.</w:t>
      </w:r>
    </w:p>
  </w:footnote>
  <w:footnote w:id="930">
    <w:p w14:paraId="3287D3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 </w:t>
      </w:r>
      <w:r w:rsidRPr="003B3476">
        <w:rPr>
          <w:rStyle w:val="Notedebasdepage7ptPetitesmajuscules"/>
          <w:b w:val="0"/>
          <w:sz w:val="24"/>
        </w:rPr>
        <w:t xml:space="preserve">Guérard, </w:t>
      </w:r>
      <w:r w:rsidRPr="003B3476">
        <w:rPr>
          <w:bCs/>
          <w:i/>
        </w:rPr>
        <w:t>Cartulaire de l'abbaye de Saint-Père de Chartres</w:t>
      </w:r>
      <w:r w:rsidRPr="003B3476">
        <w:rPr>
          <w:lang w:val="fr-FR" w:eastAsia="fr-FR" w:bidi="fr-FR"/>
        </w:rPr>
        <w:t>, t. II, p. 274, n° XVII. Milon, par la suite, contesta la donation, moins, semble-t-il, parce qu’il avait reçu un cheval, au lieu de monnaie, qu’en raison du retard qui avait été apporté à la remise du cadeau. Il finit d’ailleurs par retirer sa plainte.</w:t>
      </w:r>
    </w:p>
  </w:footnote>
  <w:footnote w:id="931">
    <w:p w14:paraId="1FCE14C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bCs/>
        </w:rPr>
        <w:t xml:space="preserve"> Ch.-E. </w:t>
      </w:r>
      <w:r w:rsidRPr="003B3476">
        <w:rPr>
          <w:rStyle w:val="Notedebasdepage37ptNonItaliquePetitesmajuscules"/>
          <w:b w:val="0"/>
          <w:i w:val="0"/>
          <w:iCs w:val="0"/>
          <w:sz w:val="24"/>
        </w:rPr>
        <w:t xml:space="preserve">Perrin, </w:t>
      </w:r>
      <w:r w:rsidRPr="003B3476">
        <w:rPr>
          <w:i/>
          <w:lang w:val="fr-FR" w:eastAsia="fr-FR" w:bidi="fr-FR"/>
        </w:rPr>
        <w:t>Recherches sur la seigneurie rurale en Lorraine</w:t>
      </w:r>
      <w:r w:rsidRPr="003B3476">
        <w:rPr>
          <w:bCs/>
        </w:rPr>
        <w:t>, 1935, p. 303-304.</w:t>
      </w:r>
    </w:p>
  </w:footnote>
  <w:footnote w:id="932">
    <w:p w14:paraId="3FFF57C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R. </w:t>
      </w:r>
      <w:r w:rsidRPr="003B3476">
        <w:rPr>
          <w:rStyle w:val="Notedebasdepage465ptNonItaliquePetitesmajuscules"/>
          <w:b w:val="0"/>
          <w:i w:val="0"/>
          <w:iCs w:val="0"/>
          <w:sz w:val="24"/>
        </w:rPr>
        <w:t xml:space="preserve">Charles </w:t>
      </w:r>
      <w:r w:rsidRPr="003B3476">
        <w:rPr>
          <w:rStyle w:val="Notedebasdepage475ptNonItalique"/>
          <w:b w:val="0"/>
          <w:i w:val="0"/>
          <w:iCs w:val="0"/>
          <w:sz w:val="24"/>
        </w:rPr>
        <w:t xml:space="preserve">et S. </w:t>
      </w:r>
      <w:r w:rsidRPr="003B3476">
        <w:rPr>
          <w:rStyle w:val="Notedebasdepage465ptNonItaliquePetitesmajuscules"/>
          <w:b w:val="0"/>
          <w:i w:val="0"/>
          <w:iCs w:val="0"/>
          <w:sz w:val="24"/>
        </w:rPr>
        <w:t xml:space="preserve">Menjot d’Elbenne, </w:t>
      </w:r>
      <w:r w:rsidRPr="003B3476">
        <w:rPr>
          <w:i/>
          <w:lang w:val="fr-FR" w:eastAsia="fr-FR" w:bidi="fr-FR"/>
        </w:rPr>
        <w:t>Cartulaire de Saint-Vincent du Mans</w:t>
      </w:r>
      <w:r w:rsidRPr="003B3476">
        <w:rPr>
          <w:rStyle w:val="Notedebasdepage475ptNonItalique"/>
          <w:b w:val="0"/>
          <w:i w:val="0"/>
          <w:iCs w:val="0"/>
          <w:sz w:val="24"/>
        </w:rPr>
        <w:t xml:space="preserve">, n° </w:t>
      </w:r>
      <w:r w:rsidRPr="003B3476">
        <w:rPr>
          <w:rStyle w:val="Notedebasdepage465ptNonItalique"/>
          <w:b w:val="0"/>
          <w:i w:val="0"/>
          <w:iCs w:val="0"/>
          <w:sz w:val="24"/>
        </w:rPr>
        <w:t>802.</w:t>
      </w:r>
    </w:p>
  </w:footnote>
  <w:footnote w:id="933">
    <w:p w14:paraId="41D840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Naluralwirtschaft und Geldwirtschaft</w:t>
      </w:r>
      <w:r w:rsidRPr="003B3476">
        <w:rPr>
          <w:lang w:val="fr-FR" w:eastAsia="fr-FR" w:bidi="fr-FR"/>
        </w:rPr>
        <w:t>, p. 138. Les administrateurs prudents estimaient qu’a fin de parer aux fluctuations des prix, il convenait de perc</w:t>
      </w:r>
      <w:r w:rsidRPr="003B3476">
        <w:rPr>
          <w:lang w:val="fr-FR" w:eastAsia="fr-FR" w:bidi="fr-FR"/>
        </w:rPr>
        <w:t>e</w:t>
      </w:r>
      <w:r w:rsidRPr="003B3476">
        <w:rPr>
          <w:lang w:val="fr-FR" w:eastAsia="fr-FR" w:bidi="fr-FR"/>
        </w:rPr>
        <w:t xml:space="preserve">voir </w:t>
      </w:r>
      <w:r w:rsidRPr="003B3476">
        <w:rPr>
          <w:bCs/>
        </w:rPr>
        <w:t xml:space="preserve">à </w:t>
      </w:r>
      <w:r w:rsidRPr="003B3476">
        <w:rPr>
          <w:lang w:val="fr-FR" w:eastAsia="fr-FR" w:bidi="fr-FR"/>
        </w:rPr>
        <w:t>la fois, sur chaque terre, des redevances en nature et des redevances en argent, sans sacrifier les unes aux autres : voyez les explications, remarqu</w:t>
      </w:r>
      <w:r w:rsidRPr="003B3476">
        <w:rPr>
          <w:lang w:val="fr-FR" w:eastAsia="fr-FR" w:bidi="fr-FR"/>
        </w:rPr>
        <w:t>a</w:t>
      </w:r>
      <w:r w:rsidRPr="003B3476">
        <w:rPr>
          <w:lang w:val="fr-FR" w:eastAsia="fr-FR" w:bidi="fr-FR"/>
        </w:rPr>
        <w:t xml:space="preserve">blement intelligentes, des </w:t>
      </w:r>
      <w:r w:rsidRPr="003B3476">
        <w:rPr>
          <w:rStyle w:val="Notedebasdepage7ptItalique"/>
          <w:b w:val="0"/>
          <w:sz w:val="24"/>
        </w:rPr>
        <w:t>Gesta abbatum Trudonensium</w:t>
      </w:r>
      <w:r w:rsidRPr="003B3476">
        <w:rPr>
          <w:bCs/>
        </w:rPr>
        <w:t xml:space="preserve"> </w:t>
      </w:r>
      <w:r w:rsidRPr="003B3476">
        <w:rPr>
          <w:lang w:val="fr-FR" w:eastAsia="fr-FR" w:bidi="fr-FR"/>
        </w:rPr>
        <w:t xml:space="preserve">(X, 6 ; éd. de </w:t>
      </w:r>
      <w:r w:rsidRPr="003B3476">
        <w:rPr>
          <w:rStyle w:val="Notedebasdepage65ptPetitesmajuscules"/>
          <w:b w:val="0"/>
          <w:sz w:val="24"/>
        </w:rPr>
        <w:t>Bo</w:t>
      </w:r>
      <w:r w:rsidRPr="003B3476">
        <w:rPr>
          <w:rStyle w:val="Notedebasdepage65ptPetitesmajuscules"/>
          <w:b w:val="0"/>
          <w:sz w:val="24"/>
        </w:rPr>
        <w:t>r</w:t>
      </w:r>
      <w:r w:rsidRPr="003B3476">
        <w:rPr>
          <w:rStyle w:val="Notedebasdepage65ptPetitesmajuscules"/>
          <w:b w:val="0"/>
          <w:sz w:val="24"/>
        </w:rPr>
        <w:t xml:space="preserve">man, </w:t>
      </w:r>
      <w:r w:rsidRPr="003B3476">
        <w:rPr>
          <w:lang w:val="fr-FR" w:eastAsia="fr-FR" w:bidi="fr-FR"/>
        </w:rPr>
        <w:t xml:space="preserve">t. </w:t>
      </w:r>
      <w:r w:rsidRPr="003B3476">
        <w:rPr>
          <w:bCs/>
        </w:rPr>
        <w:t xml:space="preserve">I, </w:t>
      </w:r>
      <w:r w:rsidRPr="003B3476">
        <w:rPr>
          <w:lang w:val="fr-FR" w:eastAsia="fr-FR" w:bidi="fr-FR"/>
        </w:rPr>
        <w:t xml:space="preserve">p. 176-177), </w:t>
      </w:r>
      <w:r w:rsidRPr="003B3476">
        <w:rPr>
          <w:bCs/>
        </w:rPr>
        <w:t xml:space="preserve">à </w:t>
      </w:r>
      <w:r w:rsidRPr="003B3476">
        <w:rPr>
          <w:lang w:val="fr-FR" w:eastAsia="fr-FR" w:bidi="fr-FR"/>
        </w:rPr>
        <w:t xml:space="preserve">propos de l’abbatiat de Rodolphe (1108-1138). Mais, en 1184, ces mêmes fluctuations dans la valeur des denrées faisaient, </w:t>
      </w:r>
      <w:r w:rsidRPr="003B3476">
        <w:rPr>
          <w:bCs/>
        </w:rPr>
        <w:t xml:space="preserve">à </w:t>
      </w:r>
      <w:r w:rsidRPr="003B3476">
        <w:rPr>
          <w:lang w:val="fr-FR" w:eastAsia="fr-FR" w:bidi="fr-FR"/>
        </w:rPr>
        <w:t>Saint-Denis, substituer la rente en a</w:t>
      </w:r>
      <w:r w:rsidRPr="003B3476">
        <w:rPr>
          <w:lang w:val="fr-FR" w:eastAsia="fr-FR" w:bidi="fr-FR"/>
        </w:rPr>
        <w:t>r</w:t>
      </w:r>
      <w:r w:rsidRPr="003B3476">
        <w:rPr>
          <w:lang w:val="fr-FR" w:eastAsia="fr-FR" w:bidi="fr-FR"/>
        </w:rPr>
        <w:t xml:space="preserve">gent </w:t>
      </w:r>
      <w:r w:rsidRPr="003B3476">
        <w:rPr>
          <w:bCs/>
        </w:rPr>
        <w:t xml:space="preserve">à </w:t>
      </w:r>
      <w:r w:rsidRPr="003B3476">
        <w:rPr>
          <w:lang w:val="fr-FR" w:eastAsia="fr-FR" w:bidi="fr-FR"/>
        </w:rPr>
        <w:t xml:space="preserve">la rente en nature : Archives Nationales LL 1157, p. 57. Sur l’inconvenance qu’il y avait, pour un roi, </w:t>
      </w:r>
      <w:r w:rsidRPr="003B3476">
        <w:rPr>
          <w:bCs/>
        </w:rPr>
        <w:t xml:space="preserve">à </w:t>
      </w:r>
      <w:r w:rsidRPr="003B3476">
        <w:rPr>
          <w:lang w:val="fr-FR" w:eastAsia="fr-FR" w:bidi="fr-FR"/>
        </w:rPr>
        <w:t xml:space="preserve">être obligé d’acheter des vivres, </w:t>
      </w:r>
      <w:r w:rsidRPr="003B3476">
        <w:rPr>
          <w:rStyle w:val="Notedebasdepage7ptItalique"/>
          <w:b w:val="0"/>
          <w:sz w:val="24"/>
        </w:rPr>
        <w:t>cf.</w:t>
      </w:r>
      <w:r w:rsidRPr="003B3476">
        <w:rPr>
          <w:bCs/>
        </w:rPr>
        <w:t xml:space="preserve"> </w:t>
      </w:r>
      <w:r w:rsidRPr="003B3476">
        <w:rPr>
          <w:lang w:val="fr-FR" w:eastAsia="fr-FR" w:bidi="fr-FR"/>
        </w:rPr>
        <w:t xml:space="preserve">Lambert de </w:t>
      </w:r>
      <w:r w:rsidRPr="003B3476">
        <w:rPr>
          <w:rStyle w:val="Notedebasdepage65ptPetitesmajuscules"/>
          <w:b w:val="0"/>
          <w:sz w:val="24"/>
        </w:rPr>
        <w:t xml:space="preserve">Hersfeld, </w:t>
      </w:r>
      <w:r w:rsidRPr="003B3476">
        <w:rPr>
          <w:rStyle w:val="Notedebasdepage7ptItalique"/>
          <w:b w:val="0"/>
          <w:sz w:val="24"/>
        </w:rPr>
        <w:t>Annales</w:t>
      </w:r>
      <w:r w:rsidRPr="003B3476">
        <w:rPr>
          <w:bCs/>
        </w:rPr>
        <w:t xml:space="preserve">, </w:t>
      </w:r>
      <w:r w:rsidRPr="003B3476">
        <w:rPr>
          <w:lang w:val="fr-FR" w:eastAsia="fr-FR" w:bidi="fr-FR"/>
        </w:rPr>
        <w:t xml:space="preserve">éd. </w:t>
      </w:r>
      <w:r w:rsidRPr="003B3476">
        <w:rPr>
          <w:rStyle w:val="Notedebasdepage65ptPetitesmajuscules"/>
          <w:b w:val="0"/>
          <w:sz w:val="24"/>
        </w:rPr>
        <w:t xml:space="preserve">Holder-Egger, </w:t>
      </w:r>
      <w:r w:rsidRPr="003B3476">
        <w:rPr>
          <w:lang w:val="fr-FR" w:eastAsia="fr-FR" w:bidi="fr-FR"/>
        </w:rPr>
        <w:t>p. 100 et 173.</w:t>
      </w:r>
    </w:p>
  </w:footnote>
  <w:footnote w:id="934">
    <w:p w14:paraId="204045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R. de </w:t>
      </w:r>
      <w:r w:rsidRPr="003B3476">
        <w:rPr>
          <w:rStyle w:val="Notedebasdepage465ptNonItalique"/>
          <w:b w:val="0"/>
          <w:i w:val="0"/>
          <w:iCs w:val="0"/>
          <w:smallCaps/>
          <w:sz w:val="24"/>
        </w:rPr>
        <w:t>Lasteyrie</w:t>
      </w:r>
      <w:r w:rsidRPr="003B3476">
        <w:rPr>
          <w:rStyle w:val="Notedebasdepage465ptNonItalique"/>
          <w:b w:val="0"/>
          <w:i w:val="0"/>
          <w:iCs w:val="0"/>
          <w:sz w:val="24"/>
        </w:rPr>
        <w:t xml:space="preserve">, </w:t>
      </w:r>
      <w:r w:rsidRPr="003B3476">
        <w:rPr>
          <w:i/>
          <w:lang w:val="fr-FR" w:eastAsia="fr-FR" w:bidi="fr-FR"/>
        </w:rPr>
        <w:t>Cartulaire général de Paris</w:t>
      </w:r>
      <w:r w:rsidRPr="003B3476">
        <w:rPr>
          <w:rStyle w:val="Notedebasdepage475ptNonItalique"/>
          <w:b w:val="0"/>
          <w:i w:val="0"/>
          <w:iCs w:val="0"/>
          <w:sz w:val="24"/>
        </w:rPr>
        <w:t xml:space="preserve">, n° </w:t>
      </w:r>
      <w:r w:rsidRPr="003B3476">
        <w:rPr>
          <w:rStyle w:val="Notedebasdepage465ptNonItalique"/>
          <w:b w:val="0"/>
          <w:i w:val="0"/>
          <w:iCs w:val="0"/>
          <w:sz w:val="24"/>
        </w:rPr>
        <w:t xml:space="preserve">127 </w:t>
      </w:r>
      <w:r w:rsidRPr="003B3476">
        <w:rPr>
          <w:rStyle w:val="Notedebasdepage475ptNonItalique"/>
          <w:b w:val="0"/>
          <w:i w:val="0"/>
          <w:iCs w:val="0"/>
          <w:sz w:val="24"/>
        </w:rPr>
        <w:t xml:space="preserve">et J. </w:t>
      </w:r>
      <w:r w:rsidRPr="003B3476">
        <w:rPr>
          <w:rStyle w:val="Notedebasdepage465ptNonItalique"/>
          <w:b w:val="0"/>
          <w:i w:val="0"/>
          <w:iCs w:val="0"/>
          <w:smallCaps/>
          <w:sz w:val="24"/>
        </w:rPr>
        <w:t>Depoin</w:t>
      </w:r>
      <w:r w:rsidRPr="003B3476">
        <w:rPr>
          <w:rStyle w:val="Notedebasdepage465ptNonItalique"/>
          <w:b w:val="0"/>
          <w:i w:val="0"/>
          <w:iCs w:val="0"/>
          <w:sz w:val="24"/>
        </w:rPr>
        <w:t xml:space="preserve">, </w:t>
      </w:r>
      <w:r w:rsidRPr="003B3476">
        <w:rPr>
          <w:i/>
          <w:lang w:val="fr-FR" w:eastAsia="fr-FR" w:bidi="fr-FR"/>
        </w:rPr>
        <w:t>Recueil de Chartes et documents de Saint-Martin-des-Champs</w:t>
      </w:r>
      <w:r w:rsidRPr="003B3476">
        <w:rPr>
          <w:rStyle w:val="Notedebasdepage475ptNonItalique"/>
          <w:b w:val="0"/>
          <w:i w:val="0"/>
          <w:iCs w:val="0"/>
          <w:sz w:val="24"/>
        </w:rPr>
        <w:t xml:space="preserve">, I, n° </w:t>
      </w:r>
      <w:r w:rsidRPr="003B3476">
        <w:rPr>
          <w:rStyle w:val="Notedebasdepage465ptNonItalique"/>
          <w:b w:val="0"/>
          <w:i w:val="0"/>
          <w:iCs w:val="0"/>
          <w:sz w:val="24"/>
        </w:rPr>
        <w:t xml:space="preserve">102. </w:t>
      </w:r>
      <w:r w:rsidRPr="003B3476">
        <w:rPr>
          <w:rStyle w:val="Notedebasdepage475ptNonItalique"/>
          <w:b w:val="0"/>
          <w:i w:val="0"/>
          <w:iCs w:val="0"/>
          <w:sz w:val="24"/>
        </w:rPr>
        <w:t>Mention anal</w:t>
      </w:r>
      <w:r w:rsidRPr="003B3476">
        <w:rPr>
          <w:rStyle w:val="Notedebasdepage475ptNonItalique"/>
          <w:b w:val="0"/>
          <w:i w:val="0"/>
          <w:iCs w:val="0"/>
          <w:sz w:val="24"/>
        </w:rPr>
        <w:t>o</w:t>
      </w:r>
      <w:r w:rsidRPr="003B3476">
        <w:rPr>
          <w:rStyle w:val="Notedebasdepage475ptNonItalique"/>
          <w:b w:val="0"/>
          <w:i w:val="0"/>
          <w:iCs w:val="0"/>
          <w:sz w:val="24"/>
        </w:rPr>
        <w:t xml:space="preserve">gue, dans </w:t>
      </w:r>
      <w:r w:rsidRPr="003B3476">
        <w:rPr>
          <w:i/>
          <w:lang w:val="fr-FR" w:eastAsia="fr-FR" w:bidi="fr-FR"/>
        </w:rPr>
        <w:t>Cartulaire de N</w:t>
      </w:r>
      <w:r w:rsidRPr="003B3476">
        <w:rPr>
          <w:i/>
          <w:lang w:val="fr-FR" w:eastAsia="fr-FR" w:bidi="fr-FR"/>
        </w:rPr>
        <w:t>o</w:t>
      </w:r>
      <w:r w:rsidRPr="003B3476">
        <w:rPr>
          <w:i/>
          <w:lang w:val="fr-FR" w:eastAsia="fr-FR" w:bidi="fr-FR"/>
        </w:rPr>
        <w:t>tre-Dame de Josaphat</w:t>
      </w:r>
      <w:r w:rsidRPr="003B3476">
        <w:rPr>
          <w:rStyle w:val="Notedebasdepage48ptNonItalique"/>
          <w:b w:val="0"/>
          <w:i w:val="0"/>
          <w:iCs w:val="0"/>
          <w:sz w:val="24"/>
        </w:rPr>
        <w:t xml:space="preserve">, </w:t>
      </w:r>
      <w:r w:rsidRPr="003B3476">
        <w:rPr>
          <w:rStyle w:val="Notedebasdepage465ptNonItalique"/>
          <w:b w:val="0"/>
          <w:i w:val="0"/>
          <w:iCs w:val="0"/>
          <w:sz w:val="24"/>
        </w:rPr>
        <w:t xml:space="preserve">éd. </w:t>
      </w:r>
      <w:r w:rsidRPr="003B3476">
        <w:rPr>
          <w:rStyle w:val="Notedebasdepage465ptNonItalique"/>
          <w:b w:val="0"/>
          <w:i w:val="0"/>
          <w:iCs w:val="0"/>
          <w:smallCaps/>
          <w:sz w:val="24"/>
        </w:rPr>
        <w:t>Métais</w:t>
      </w:r>
      <w:r w:rsidRPr="003B3476">
        <w:rPr>
          <w:rStyle w:val="Notedebasdepage465ptNonItalique"/>
          <w:b w:val="0"/>
          <w:i w:val="0"/>
          <w:iCs w:val="0"/>
          <w:sz w:val="24"/>
        </w:rPr>
        <w:t xml:space="preserve">, </w:t>
      </w:r>
      <w:r w:rsidRPr="003B3476">
        <w:rPr>
          <w:rStyle w:val="Notedebasdepage475ptNonItalique"/>
          <w:b w:val="0"/>
          <w:i w:val="0"/>
          <w:iCs w:val="0"/>
          <w:sz w:val="24"/>
        </w:rPr>
        <w:t xml:space="preserve">n° </w:t>
      </w:r>
      <w:r w:rsidRPr="003B3476">
        <w:rPr>
          <w:rStyle w:val="Notedebasdepage465ptNonItalique"/>
          <w:b w:val="0"/>
          <w:i w:val="0"/>
          <w:iCs w:val="0"/>
          <w:sz w:val="24"/>
        </w:rPr>
        <w:t>62.</w:t>
      </w:r>
    </w:p>
  </w:footnote>
  <w:footnote w:id="935">
    <w:p w14:paraId="5CC4900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Annales d’Histoire sociale</w:t>
      </w:r>
      <w:r w:rsidRPr="003B3476">
        <w:rPr>
          <w:lang w:val="fr-FR" w:eastAsia="fr-FR" w:bidi="fr-FR"/>
        </w:rPr>
        <w:t>, t. XI, 1939, p. 141-151.</w:t>
      </w:r>
    </w:p>
  </w:footnote>
  <w:footnote w:id="936">
    <w:p w14:paraId="7BD6B34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w:t>
      </w:r>
      <w:r w:rsidRPr="003B3476">
        <w:t xml:space="preserve">, sur ces travaux, G. Lefebvre, Le </w:t>
      </w:r>
      <w:r w:rsidRPr="003B3476">
        <w:rPr>
          <w:i/>
        </w:rPr>
        <w:t>mouvement des prix et les origines de la Révolution française</w:t>
      </w:r>
      <w:r w:rsidRPr="003B3476">
        <w:t xml:space="preserve">, dans </w:t>
      </w:r>
      <w:r w:rsidRPr="003B3476">
        <w:rPr>
          <w:i/>
        </w:rPr>
        <w:t>Annales</w:t>
      </w:r>
      <w:r w:rsidRPr="003B3476">
        <w:t xml:space="preserve">, t. IX, 1937. À signaler le très utile article de M. Labrousse, destiné spécialement aux historiens : Quelques observations sur la lecture des courbes économiques, dans </w:t>
      </w:r>
      <w:r w:rsidRPr="003B3476">
        <w:rPr>
          <w:rStyle w:val="Notedebasdepage7ptItalique"/>
          <w:b w:val="0"/>
          <w:sz w:val="24"/>
        </w:rPr>
        <w:t>Annales historiques de la Rév</w:t>
      </w:r>
      <w:r w:rsidRPr="003B3476">
        <w:rPr>
          <w:rStyle w:val="Notedebasdepage7ptItalique"/>
          <w:b w:val="0"/>
          <w:sz w:val="24"/>
        </w:rPr>
        <w:t>o</w:t>
      </w:r>
      <w:r w:rsidRPr="003B3476">
        <w:rPr>
          <w:rStyle w:val="Notedebasdepage7ptItalique"/>
          <w:b w:val="0"/>
          <w:sz w:val="24"/>
        </w:rPr>
        <w:t>lution</w:t>
      </w:r>
      <w:r w:rsidRPr="003B3476">
        <w:rPr>
          <w:lang w:val="fr-FR" w:eastAsia="fr-FR" w:bidi="fr-FR"/>
        </w:rPr>
        <w:t xml:space="preserve">, 1937. — Déjà, sur l’histoire des prix, dans le tome II des </w:t>
      </w:r>
      <w:r w:rsidRPr="003B3476">
        <w:rPr>
          <w:rStyle w:val="Notedebasdepage7ptItalique"/>
          <w:b w:val="0"/>
          <w:sz w:val="24"/>
        </w:rPr>
        <w:t>Annales</w:t>
      </w:r>
      <w:r w:rsidRPr="003B3476">
        <w:rPr>
          <w:lang w:val="fr-FR" w:eastAsia="fr-FR" w:bidi="fr-FR"/>
        </w:rPr>
        <w:t>, 1930, une « enquête » de Lucien Febvre.</w:t>
      </w:r>
    </w:p>
  </w:footnote>
  <w:footnote w:id="937">
    <w:p w14:paraId="76A8E7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Recherches et documents sur l'histoire des prix en France de 1500 à 1800</w:t>
      </w:r>
      <w:r w:rsidRPr="003B3476">
        <w:rPr>
          <w:rStyle w:val="Notedebasdepage475ptNonItalique"/>
          <w:b w:val="0"/>
          <w:i w:val="0"/>
          <w:iCs w:val="0"/>
          <w:sz w:val="24"/>
        </w:rPr>
        <w:t>, Paris, Les Presses Modernes, 1936, in-8°, 523 p.</w:t>
      </w:r>
    </w:p>
  </w:footnote>
  <w:footnote w:id="938">
    <w:p w14:paraId="48CD21A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Umriss einer Geschichte der Preise und Löhne in Deutschland vom ausg</w:t>
      </w:r>
      <w:r w:rsidRPr="003B3476">
        <w:rPr>
          <w:rStyle w:val="Notedebasdepage7ptItalique"/>
          <w:b w:val="0"/>
          <w:sz w:val="24"/>
        </w:rPr>
        <w:t>e</w:t>
      </w:r>
      <w:r w:rsidRPr="003B3476">
        <w:rPr>
          <w:rStyle w:val="Notedebasdepage7ptItalique"/>
          <w:b w:val="0"/>
          <w:sz w:val="24"/>
        </w:rPr>
        <w:t>henden Mittelalter bis zum Beginn des neunzehnten Jah</w:t>
      </w:r>
      <w:r w:rsidRPr="003B3476">
        <w:rPr>
          <w:rStyle w:val="Notedebasdepage7ptItalique"/>
          <w:b w:val="0"/>
          <w:sz w:val="24"/>
        </w:rPr>
        <w:t>r</w:t>
      </w:r>
      <w:r w:rsidRPr="003B3476">
        <w:rPr>
          <w:rStyle w:val="Notedebasdepage7ptItalique"/>
          <w:b w:val="0"/>
          <w:sz w:val="24"/>
        </w:rPr>
        <w:t>hunderts</w:t>
      </w:r>
      <w:r w:rsidRPr="003B3476">
        <w:rPr>
          <w:lang w:val="fr-FR" w:eastAsia="fr-FR" w:bidi="fr-FR"/>
        </w:rPr>
        <w:t>, t. I, Leiden, Sijthofï, 1936 ; in-8°, x-808 p. Il n’est pas sans intérêt de noter que les évén</w:t>
      </w:r>
      <w:r w:rsidRPr="003B3476">
        <w:rPr>
          <w:lang w:val="fr-FR" w:eastAsia="fr-FR" w:bidi="fr-FR"/>
        </w:rPr>
        <w:t>e</w:t>
      </w:r>
      <w:r w:rsidRPr="003B3476">
        <w:rPr>
          <w:lang w:val="fr-FR" w:eastAsia="fr-FR" w:bidi="fr-FR"/>
        </w:rPr>
        <w:t>ments politiques ont amené la section allemande du Com</w:t>
      </w:r>
      <w:r w:rsidRPr="003B3476">
        <w:rPr>
          <w:lang w:val="fr-FR" w:eastAsia="fr-FR" w:bidi="fr-FR"/>
        </w:rPr>
        <w:t>i</w:t>
      </w:r>
      <w:r w:rsidRPr="003B3476">
        <w:rPr>
          <w:lang w:val="fr-FR" w:eastAsia="fr-FR" w:bidi="fr-FR"/>
        </w:rPr>
        <w:t xml:space="preserve">té International pour l’histoire des prix à chercher refuge à Londres, auprès de la </w:t>
      </w:r>
      <w:r w:rsidRPr="003B3476">
        <w:rPr>
          <w:rStyle w:val="Notedebasdepage7ptItalique"/>
          <w:b w:val="0"/>
          <w:sz w:val="24"/>
        </w:rPr>
        <w:t>London School of Economics.</w:t>
      </w:r>
    </w:p>
  </w:footnote>
  <w:footnote w:id="939">
    <w:p w14:paraId="008FFD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Money</w:t>
      </w:r>
      <w:r w:rsidRPr="003B3476">
        <w:rPr>
          <w:lang w:val="fr-FR" w:eastAsia="fr-FR" w:bidi="fr-FR"/>
        </w:rPr>
        <w:t xml:space="preserve">, </w:t>
      </w:r>
      <w:r w:rsidRPr="003B3476">
        <w:rPr>
          <w:rStyle w:val="Notedebasdepage7ptItalique"/>
          <w:b w:val="0"/>
          <w:sz w:val="24"/>
        </w:rPr>
        <w:t>prices and wages in Valencia, Aragon and Navarre</w:t>
      </w:r>
      <w:r w:rsidRPr="003B3476">
        <w:rPr>
          <w:bCs/>
        </w:rPr>
        <w:t xml:space="preserve">, </w:t>
      </w:r>
      <w:r w:rsidRPr="003B3476">
        <w:rPr>
          <w:rStyle w:val="Notedebasdepage7ptItalique"/>
          <w:b w:val="0"/>
          <w:sz w:val="24"/>
        </w:rPr>
        <w:t>1351-1500,</w:t>
      </w:r>
      <w:r w:rsidRPr="003B3476">
        <w:rPr>
          <w:bCs/>
        </w:rPr>
        <w:t xml:space="preserve"> </w:t>
      </w:r>
      <w:r w:rsidRPr="003B3476">
        <w:rPr>
          <w:lang w:val="fr-FR" w:eastAsia="fr-FR" w:bidi="fr-FR"/>
        </w:rPr>
        <w:t xml:space="preserve">Cambridge (Mass.), Harvard University Press, 1926, </w:t>
      </w:r>
      <w:r w:rsidRPr="003B3476">
        <w:rPr>
          <w:smallCaps/>
          <w:lang w:val="fr-FR" w:eastAsia="fr-FR" w:bidi="fr-FR"/>
        </w:rPr>
        <w:t>xxviii</w:t>
      </w:r>
      <w:r w:rsidRPr="003B3476">
        <w:rPr>
          <w:lang w:val="fr-FR" w:eastAsia="fr-FR" w:bidi="fr-FR"/>
        </w:rPr>
        <w:t xml:space="preserve">-320 p. </w:t>
      </w:r>
      <w:r w:rsidRPr="003B3476">
        <w:rPr>
          <w:rStyle w:val="Notedebasdepage7ptItalique"/>
          <w:b w:val="0"/>
          <w:sz w:val="24"/>
        </w:rPr>
        <w:t>Cf. Annales,</w:t>
      </w:r>
      <w:r w:rsidRPr="003B3476">
        <w:rPr>
          <w:bCs/>
        </w:rPr>
        <w:t xml:space="preserve"> </w:t>
      </w:r>
      <w:r w:rsidRPr="003B3476">
        <w:rPr>
          <w:lang w:val="fr-FR" w:eastAsia="fr-FR" w:bidi="fr-FR"/>
        </w:rPr>
        <w:t>t. VIII, 1936, p. 570.</w:t>
      </w:r>
    </w:p>
  </w:footnote>
  <w:footnote w:id="940">
    <w:p w14:paraId="2EFBD8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85ptItalique"/>
          <w:b w:val="0"/>
          <w:sz w:val="24"/>
        </w:rPr>
        <w:t>Cf.</w:t>
      </w:r>
      <w:r w:rsidRPr="003B3476">
        <w:rPr>
          <w:bCs/>
        </w:rPr>
        <w:t xml:space="preserve"> </w:t>
      </w:r>
      <w:r w:rsidRPr="003B3476">
        <w:rPr>
          <w:bCs/>
          <w:smallCaps/>
        </w:rPr>
        <w:t>Elsas</w:t>
      </w:r>
      <w:r w:rsidRPr="003B3476">
        <w:rPr>
          <w:bCs/>
        </w:rPr>
        <w:t>,</w:t>
      </w:r>
      <w:r w:rsidRPr="003B3476">
        <w:rPr>
          <w:lang w:val="fr-FR" w:eastAsia="fr-FR" w:bidi="fr-FR"/>
        </w:rPr>
        <w:t xml:space="preserve"> ouvr. cité, p. 12 et suiv. M. Elsas signale, chemin faisant, un des premiers procédés employés pour amener cet écart, sans le rendre trop patent : on usait de poids légèrement différents pour les pesées les plus considérables et pour les petites.</w:t>
      </w:r>
    </w:p>
  </w:footnote>
  <w:footnote w:id="941">
    <w:p w14:paraId="0EB0ACD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Le prix du blé à Grenoble</w:t>
      </w:r>
      <w:r w:rsidRPr="003B3476">
        <w:rPr>
          <w:bCs/>
        </w:rPr>
        <w:t xml:space="preserve"> </w:t>
      </w:r>
      <w:r w:rsidRPr="003B3476">
        <w:rPr>
          <w:lang w:val="fr-FR" w:eastAsia="fr-FR" w:bidi="fr-FR"/>
        </w:rPr>
        <w:t>(</w:t>
      </w:r>
      <w:r w:rsidRPr="003B3476">
        <w:rPr>
          <w:i/>
          <w:lang w:val="fr-FR" w:eastAsia="fr-FR" w:bidi="fr-FR"/>
        </w:rPr>
        <w:t>Revue d’hist. économique</w:t>
      </w:r>
      <w:r w:rsidRPr="003B3476">
        <w:rPr>
          <w:bCs/>
        </w:rPr>
        <w:t xml:space="preserve">, 1932) et </w:t>
      </w:r>
      <w:r w:rsidRPr="003B3476">
        <w:rPr>
          <w:i/>
          <w:lang w:val="fr-FR" w:eastAsia="fr-FR" w:bidi="fr-FR"/>
        </w:rPr>
        <w:t>Le mouvement des prix en Dauphiné sous l’Ancien Régime</w:t>
      </w:r>
      <w:r w:rsidRPr="003B3476">
        <w:rPr>
          <w:bCs/>
        </w:rPr>
        <w:t xml:space="preserve"> </w:t>
      </w:r>
      <w:r w:rsidRPr="003B3476">
        <w:rPr>
          <w:lang w:val="fr-FR" w:eastAsia="fr-FR" w:bidi="fr-FR"/>
        </w:rPr>
        <w:t>(</w:t>
      </w:r>
      <w:r w:rsidRPr="003B3476">
        <w:rPr>
          <w:i/>
          <w:lang w:val="fr-FR" w:eastAsia="fr-FR" w:bidi="fr-FR"/>
        </w:rPr>
        <w:t>Annales de l’Université de Gr</w:t>
      </w:r>
      <w:r w:rsidRPr="003B3476">
        <w:rPr>
          <w:i/>
          <w:lang w:val="fr-FR" w:eastAsia="fr-FR" w:bidi="fr-FR"/>
        </w:rPr>
        <w:t>e</w:t>
      </w:r>
      <w:r w:rsidRPr="003B3476">
        <w:rPr>
          <w:i/>
          <w:lang w:val="fr-FR" w:eastAsia="fr-FR" w:bidi="fr-FR"/>
        </w:rPr>
        <w:t>noble</w:t>
      </w:r>
      <w:r w:rsidRPr="003B3476">
        <w:rPr>
          <w:bCs/>
        </w:rPr>
        <w:t xml:space="preserve">, </w:t>
      </w:r>
      <w:r w:rsidRPr="003B3476">
        <w:rPr>
          <w:i/>
          <w:lang w:val="fr-FR" w:eastAsia="fr-FR" w:bidi="fr-FR"/>
        </w:rPr>
        <w:t>Lettres-Droit</w:t>
      </w:r>
      <w:r w:rsidRPr="003B3476">
        <w:rPr>
          <w:bCs/>
        </w:rPr>
        <w:t xml:space="preserve">, t. XI, 1934). </w:t>
      </w:r>
      <w:r w:rsidRPr="003B3476">
        <w:rPr>
          <w:i/>
          <w:lang w:val="fr-FR" w:eastAsia="fr-FR" w:bidi="fr-FR"/>
        </w:rPr>
        <w:t>Cf.</w:t>
      </w:r>
      <w:r w:rsidRPr="003B3476">
        <w:rPr>
          <w:lang w:val="fr-FR" w:eastAsia="fr-FR" w:bidi="fr-FR"/>
        </w:rPr>
        <w:t xml:space="preserve"> Annales</w:t>
      </w:r>
      <w:r w:rsidRPr="003B3476">
        <w:rPr>
          <w:bCs/>
        </w:rPr>
        <w:t>, t. IX, 1937, p. 110.</w:t>
      </w:r>
    </w:p>
  </w:footnote>
  <w:footnote w:id="942">
    <w:p w14:paraId="2AE46C5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y aurait d’ailleurs une réserve à faire sur le mot d’unité de compte, appliqué au denier. Celui-ci, en effet, était originellement matérialisé par une pièce d’argent. En lui, monnaie de compte et monnaie réelle se confondaient donc. Mais, depuis le début du XIV</w:t>
      </w:r>
      <w:r w:rsidRPr="003B3476">
        <w:rPr>
          <w:vertAlign w:val="superscript"/>
          <w:lang w:val="fr-FR" w:eastAsia="fr-FR" w:bidi="fr-FR"/>
        </w:rPr>
        <w:t>e</w:t>
      </w:r>
      <w:r w:rsidRPr="003B3476">
        <w:rPr>
          <w:lang w:val="fr-FR" w:eastAsia="fr-FR" w:bidi="fr-FR"/>
        </w:rPr>
        <w:t xml:space="preserve"> siècle environ, la teneur métallique de cette piécette étant devenue très faible, le denier se trouva réduit, en fait, au rôle de monnaie d’appoint. Une livre, en expression comptable, équivalait toujours à 240 deniers. Par contre, le total d’argent fin obtenu par l’addition de 240 pi</w:t>
      </w:r>
      <w:r w:rsidRPr="003B3476">
        <w:rPr>
          <w:lang w:val="fr-FR" w:eastAsia="fr-FR" w:bidi="fr-FR"/>
        </w:rPr>
        <w:t>è</w:t>
      </w:r>
      <w:r w:rsidRPr="003B3476">
        <w:rPr>
          <w:lang w:val="fr-FR" w:eastAsia="fr-FR" w:bidi="fr-FR"/>
        </w:rPr>
        <w:t>ces d’un denier chacune était loin d’atteindre la quantité du même métal que contenaient, mises bout à bout, les pièces plus fortes avec lesquelles s’opérait normalement le paiement d’une somme stipulée en livres : tout comme, dans le système français d’avant-guerre, depuis 1866, le total d’argent représenté par cinq pièces divisionnaires de 1 franc se tenait notablement au-dessous de la teneur d’un écu de 5 francs. Dès lors, le décrochage de la monnaie de com</w:t>
      </w:r>
      <w:r w:rsidRPr="003B3476">
        <w:rPr>
          <w:lang w:val="fr-FR" w:eastAsia="fr-FR" w:bidi="fr-FR"/>
        </w:rPr>
        <w:t>p</w:t>
      </w:r>
      <w:r w:rsidRPr="003B3476">
        <w:rPr>
          <w:lang w:val="fr-FR" w:eastAsia="fr-FR" w:bidi="fr-FR"/>
        </w:rPr>
        <w:t>te, définitivement séparée de la monnaie réelle, était accompli. Plus tard, le denier passa au cuivre. Puis il cessa, en France, d’être frappé.</w:t>
      </w:r>
    </w:p>
  </w:footnote>
  <w:footnote w:id="943">
    <w:p w14:paraId="181E3E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Restait le choix de l’unité de compte à retenir pour base des calculs. M. Elsas et M. Hamilton ont adopté la plus basse : le denier. Cela afin d’écarter toute expression fractionnaire. Là où les textes, par exemple, disent 1 sou, ils écr</w:t>
      </w:r>
      <w:r w:rsidRPr="003B3476">
        <w:rPr>
          <w:lang w:val="fr-FR" w:eastAsia="fr-FR" w:bidi="fr-FR"/>
        </w:rPr>
        <w:t>i</w:t>
      </w:r>
      <w:r w:rsidRPr="003B3476">
        <w:rPr>
          <w:lang w:val="fr-FR" w:eastAsia="fr-FR" w:bidi="fr-FR"/>
        </w:rPr>
        <w:t>vent 12 deniers. Préoccupé, au contraire, d’éviter l’emploi de chiffres trop élevés, M. Hauser a préféré établir les tableaux tantôt en livres tournois, tantôt en sous tournois. Les unités inférieures sont transposées sous forme de déc</w:t>
      </w:r>
      <w:r w:rsidRPr="003B3476">
        <w:rPr>
          <w:lang w:val="fr-FR" w:eastAsia="fr-FR" w:bidi="fr-FR"/>
        </w:rPr>
        <w:t>i</w:t>
      </w:r>
      <w:r w:rsidRPr="003B3476">
        <w:rPr>
          <w:lang w:val="fr-FR" w:eastAsia="fr-FR" w:bidi="fr-FR"/>
        </w:rPr>
        <w:t>males : 1 livre 2 sous s’écrira 1 1.1. Simplification, peut-être, plus apparente que réelle. Car le denier, étant le douzième du sou, n’est susceptible, par ra</w:t>
      </w:r>
      <w:r w:rsidRPr="003B3476">
        <w:rPr>
          <w:lang w:val="fr-FR" w:eastAsia="fr-FR" w:bidi="fr-FR"/>
        </w:rPr>
        <w:t>p</w:t>
      </w:r>
      <w:r w:rsidRPr="003B3476">
        <w:rPr>
          <w:lang w:val="fr-FR" w:eastAsia="fr-FR" w:bidi="fr-FR"/>
        </w:rPr>
        <w:t>port à celui-ci et, en conséquence, quant à la livre, d’aucune réduction décim</w:t>
      </w:r>
      <w:r w:rsidRPr="003B3476">
        <w:rPr>
          <w:lang w:val="fr-FR" w:eastAsia="fr-FR" w:bidi="fr-FR"/>
        </w:rPr>
        <w:t>a</w:t>
      </w:r>
      <w:r w:rsidRPr="003B3476">
        <w:rPr>
          <w:lang w:val="fr-FR" w:eastAsia="fr-FR" w:bidi="fr-FR"/>
        </w:rPr>
        <w:t>le exacte. Assez peu grave, assurément, en lui-même, en raison de la faible v</w:t>
      </w:r>
      <w:r w:rsidRPr="003B3476">
        <w:rPr>
          <w:lang w:val="fr-FR" w:eastAsia="fr-FR" w:bidi="fr-FR"/>
        </w:rPr>
        <w:t>a</w:t>
      </w:r>
      <w:r w:rsidRPr="003B3476">
        <w:rPr>
          <w:lang w:val="fr-FR" w:eastAsia="fr-FR" w:bidi="fr-FR"/>
        </w:rPr>
        <w:t>leur du denier, l’élément d’approximation ainsi introduit dans les calculs était-il, cependant, bien utile ?</w:t>
      </w:r>
    </w:p>
  </w:footnote>
  <w:footnote w:id="944">
    <w:p w14:paraId="5B578A5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Annales</w:t>
      </w:r>
      <w:r w:rsidRPr="003B3476">
        <w:rPr>
          <w:lang w:val="fr-FR" w:eastAsia="fr-FR" w:bidi="fr-FR"/>
        </w:rPr>
        <w:t>, t. III, 1931, p. 228.</w:t>
      </w:r>
    </w:p>
  </w:footnote>
  <w:footnote w:id="945">
    <w:p w14:paraId="486213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Esquisse du mouvement des prix et des revenus en France au XVIII</w:t>
      </w:r>
      <w:r w:rsidRPr="003B3476">
        <w:rPr>
          <w:bCs/>
          <w:i/>
          <w:vertAlign w:val="superscript"/>
        </w:rPr>
        <w:t>e</w:t>
      </w:r>
      <w:r w:rsidRPr="003B3476">
        <w:rPr>
          <w:bCs/>
          <w:i/>
        </w:rPr>
        <w:t xml:space="preserve"> siècle</w:t>
      </w:r>
      <w:r w:rsidRPr="003B3476">
        <w:rPr>
          <w:lang w:val="fr-FR" w:eastAsia="fr-FR" w:bidi="fr-FR"/>
        </w:rPr>
        <w:t>, t. I, p. 117, n. 1. Le passage d’Abot de Bazinghem, auquel M. Labrousse se réf</w:t>
      </w:r>
      <w:r w:rsidRPr="003B3476">
        <w:rPr>
          <w:lang w:val="fr-FR" w:eastAsia="fr-FR" w:bidi="fr-FR"/>
        </w:rPr>
        <w:t>è</w:t>
      </w:r>
      <w:r w:rsidRPr="003B3476">
        <w:rPr>
          <w:lang w:val="fr-FR" w:eastAsia="fr-FR" w:bidi="fr-FR"/>
        </w:rPr>
        <w:t>re, est décisif.</w:t>
      </w:r>
    </w:p>
  </w:footnote>
  <w:footnote w:id="946">
    <w:p w14:paraId="7588EA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notamment, la discussion qu’il a lui-même poursuivie avec M. A. </w:t>
      </w:r>
      <w:r w:rsidRPr="003B3476">
        <w:rPr>
          <w:rStyle w:val="Notedebasdepage7ptPetitesmajuscules"/>
          <w:b w:val="0"/>
          <w:sz w:val="24"/>
        </w:rPr>
        <w:t>Fa</w:t>
      </w:r>
      <w:r w:rsidRPr="003B3476">
        <w:rPr>
          <w:rStyle w:val="Notedebasdepage7ptPetitesmajuscules"/>
          <w:b w:val="0"/>
          <w:sz w:val="24"/>
        </w:rPr>
        <w:t>n</w:t>
      </w:r>
      <w:r w:rsidRPr="003B3476">
        <w:rPr>
          <w:rStyle w:val="Notedebasdepage7ptPetitesmajuscules"/>
          <w:b w:val="0"/>
          <w:sz w:val="24"/>
        </w:rPr>
        <w:t xml:space="preserve">fani, </w:t>
      </w:r>
      <w:r w:rsidRPr="003B3476">
        <w:rPr>
          <w:lang w:val="fr-FR" w:eastAsia="fr-FR" w:bidi="fr-FR"/>
        </w:rPr>
        <w:t xml:space="preserve">dans </w:t>
      </w:r>
      <w:r w:rsidRPr="003B3476">
        <w:rPr>
          <w:bCs/>
          <w:i/>
        </w:rPr>
        <w:t>Rivista internazionale di scienza sociali</w:t>
      </w:r>
      <w:r w:rsidRPr="003B3476">
        <w:rPr>
          <w:lang w:val="fr-FR" w:eastAsia="fr-FR" w:bidi="fr-FR"/>
        </w:rPr>
        <w:t xml:space="preserve">, t. XLV, 1937, p. 357, 874 et 883. Le remarquable article de M. Fanfani méritera d’être lu de près. </w:t>
      </w:r>
      <w:r w:rsidRPr="003B3476">
        <w:rPr>
          <w:i/>
          <w:lang w:val="fr-FR" w:eastAsia="fr-FR" w:bidi="fr-FR"/>
        </w:rPr>
        <w:t>Cf.</w:t>
      </w:r>
      <w:r w:rsidRPr="003B3476">
        <w:rPr>
          <w:lang w:val="fr-FR" w:eastAsia="fr-FR" w:bidi="fr-FR"/>
        </w:rPr>
        <w:t xml:space="preserve"> aussi pour les ingénieuses méthodes statistiques qui y sont appliquées à l’histoire des prix, l’article de M. </w:t>
      </w:r>
      <w:r w:rsidRPr="003B3476">
        <w:rPr>
          <w:rStyle w:val="Notedebasdepage7ptPetitesmajuscules"/>
          <w:b w:val="0"/>
          <w:sz w:val="24"/>
        </w:rPr>
        <w:t>Einaudi (</w:t>
      </w:r>
      <w:r w:rsidRPr="003B3476">
        <w:rPr>
          <w:rStyle w:val="Notedebasdepage7ptPetitesmajuscules"/>
          <w:b w:val="0"/>
          <w:i/>
          <w:smallCaps w:val="0"/>
          <w:sz w:val="24"/>
        </w:rPr>
        <w:t>cf</w:t>
      </w:r>
      <w:r w:rsidRPr="003B3476">
        <w:rPr>
          <w:rStyle w:val="Notedebasdepage7ptPetitesmajuscules"/>
          <w:b w:val="0"/>
          <w:i/>
          <w:sz w:val="24"/>
        </w:rPr>
        <w:t>.</w:t>
      </w:r>
      <w:r w:rsidRPr="003B3476">
        <w:rPr>
          <w:rStyle w:val="Notedebasdepage7ptPetitesmajuscules"/>
          <w:b w:val="0"/>
          <w:sz w:val="24"/>
        </w:rPr>
        <w:t xml:space="preserve"> </w:t>
      </w:r>
      <w:r w:rsidRPr="003B3476">
        <w:rPr>
          <w:bCs/>
          <w:i/>
        </w:rPr>
        <w:t>Annales</w:t>
      </w:r>
      <w:r w:rsidRPr="003B3476">
        <w:rPr>
          <w:lang w:val="fr-FR" w:eastAsia="fr-FR" w:bidi="fr-FR"/>
        </w:rPr>
        <w:t xml:space="preserve">, t. X, 1938, </w:t>
      </w:r>
      <w:r w:rsidRPr="003B3476">
        <w:rPr>
          <w:bCs/>
        </w:rPr>
        <w:t xml:space="preserve">p. </w:t>
      </w:r>
      <w:r w:rsidRPr="003B3476">
        <w:rPr>
          <w:lang w:val="fr-FR" w:eastAsia="fr-FR" w:bidi="fr-FR"/>
        </w:rPr>
        <w:t>361).</w:t>
      </w:r>
    </w:p>
  </w:footnote>
  <w:footnote w:id="947">
    <w:p w14:paraId="208C59C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7ptItalique"/>
          <w:b w:val="0"/>
          <w:sz w:val="24"/>
        </w:rPr>
        <w:t>Rev. Histor.,</w:t>
      </w:r>
      <w:r w:rsidRPr="003B3476">
        <w:rPr>
          <w:bCs/>
        </w:rPr>
        <w:t xml:space="preserve"> </w:t>
      </w:r>
      <w:r w:rsidRPr="003B3476">
        <w:rPr>
          <w:lang w:val="fr-FR" w:eastAsia="fr-FR" w:bidi="fr-FR"/>
        </w:rPr>
        <w:t>t. CLXXIII, janv.-juin 1934, p. 1 à 31.</w:t>
      </w:r>
    </w:p>
  </w:footnote>
  <w:footnote w:id="948">
    <w:p w14:paraId="435BE46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Paris, Félix Alcan, 1932, 3 vol. in-8°, </w:t>
      </w:r>
      <w:r w:rsidRPr="003B3476">
        <w:rPr>
          <w:smallCaps/>
          <w:lang w:val="fr-FR" w:eastAsia="fr-FR" w:bidi="fr-FR"/>
        </w:rPr>
        <w:t>xxxii</w:t>
      </w:r>
      <w:r w:rsidRPr="003B3476">
        <w:rPr>
          <w:lang w:val="fr-FR" w:eastAsia="fr-FR" w:bidi="fr-FR"/>
        </w:rPr>
        <w:t xml:space="preserve">-586, 620 et 152 p. </w:t>
      </w:r>
      <w:r w:rsidRPr="003B3476">
        <w:rPr>
          <w:rStyle w:val="Notedebasdepage7ptItalique"/>
          <w:b w:val="0"/>
          <w:sz w:val="24"/>
        </w:rPr>
        <w:t>(Nouvelle B</w:t>
      </w:r>
      <w:r w:rsidRPr="003B3476">
        <w:rPr>
          <w:rStyle w:val="Notedebasdepage7ptItalique"/>
          <w:b w:val="0"/>
          <w:sz w:val="24"/>
        </w:rPr>
        <w:t>i</w:t>
      </w:r>
      <w:r w:rsidRPr="003B3476">
        <w:rPr>
          <w:rStyle w:val="Notedebasdepage7ptItalique"/>
          <w:b w:val="0"/>
          <w:sz w:val="24"/>
        </w:rPr>
        <w:t>bliothèque économique)</w:t>
      </w:r>
      <w:r w:rsidRPr="003B3476">
        <w:rPr>
          <w:lang w:val="fr-FR" w:eastAsia="fr-FR" w:bidi="fr-FR"/>
        </w:rPr>
        <w:t>. Le tome III renferme, avec les annexes », consacrées à l’examen cr</w:t>
      </w:r>
      <w:r w:rsidRPr="003B3476">
        <w:rPr>
          <w:lang w:val="fr-FR" w:eastAsia="fr-FR" w:bidi="fr-FR"/>
        </w:rPr>
        <w:t>i</w:t>
      </w:r>
      <w:r w:rsidRPr="003B3476">
        <w:rPr>
          <w:lang w:val="fr-FR" w:eastAsia="fr-FR" w:bidi="fr-FR"/>
        </w:rPr>
        <w:t xml:space="preserve">tique des sources, les tableaux et diagrammes. Dès 1907, M. </w:t>
      </w:r>
      <w:r w:rsidRPr="003B3476">
        <w:rPr>
          <w:rStyle w:val="Notedebasdepage65ptPetitesmajuscules"/>
          <w:b w:val="0"/>
          <w:sz w:val="24"/>
        </w:rPr>
        <w:t xml:space="preserve">Simiand </w:t>
      </w:r>
      <w:r w:rsidRPr="003B3476">
        <w:rPr>
          <w:lang w:val="fr-FR" w:eastAsia="fr-FR" w:bidi="fr-FR"/>
        </w:rPr>
        <w:t xml:space="preserve">avait étudié </w:t>
      </w:r>
      <w:r w:rsidRPr="003B3476">
        <w:rPr>
          <w:rStyle w:val="Notedebasdepage7ptItalique"/>
          <w:b w:val="0"/>
          <w:sz w:val="24"/>
        </w:rPr>
        <w:t>Le salaire des ouvriers des mines de charbon en France</w:t>
      </w:r>
      <w:r w:rsidRPr="003B3476">
        <w:rPr>
          <w:bCs/>
        </w:rPr>
        <w:t xml:space="preserve"> </w:t>
      </w:r>
      <w:r w:rsidRPr="003B3476">
        <w:rPr>
          <w:lang w:val="fr-FR" w:eastAsia="fr-FR" w:bidi="fr-FR"/>
        </w:rPr>
        <w:t>(Paris, Cornély).</w:t>
      </w:r>
    </w:p>
  </w:footnote>
  <w:footnote w:id="949">
    <w:p w14:paraId="3756327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Paris, éditions Domat-Montchrestien, s. d., 3 vol. polycopiés, 850, 654 et 765 p. </w:t>
      </w:r>
      <w:r w:rsidRPr="003B3476">
        <w:rPr>
          <w:rStyle w:val="Notedebasdepage7ptItalique"/>
          <w:b w:val="0"/>
          <w:sz w:val="24"/>
        </w:rPr>
        <w:t>Cf.</w:t>
      </w:r>
      <w:r w:rsidRPr="003B3476">
        <w:rPr>
          <w:bCs/>
        </w:rPr>
        <w:t xml:space="preserve"> </w:t>
      </w:r>
      <w:r w:rsidRPr="003B3476">
        <w:rPr>
          <w:lang w:val="fr-FR" w:eastAsia="fr-FR" w:bidi="fr-FR"/>
        </w:rPr>
        <w:t xml:space="preserve">les comptes rendus de M. L. </w:t>
      </w:r>
      <w:r w:rsidRPr="003B3476">
        <w:rPr>
          <w:rStyle w:val="Notedebasdepage65ptPetitesmajuscules"/>
          <w:b w:val="0"/>
          <w:sz w:val="24"/>
        </w:rPr>
        <w:t xml:space="preserve">Febvre, </w:t>
      </w:r>
      <w:r w:rsidRPr="003B3476">
        <w:rPr>
          <w:lang w:val="fr-FR" w:eastAsia="fr-FR" w:bidi="fr-FR"/>
        </w:rPr>
        <w:t xml:space="preserve">dans les </w:t>
      </w:r>
      <w:r w:rsidRPr="003B3476">
        <w:rPr>
          <w:rStyle w:val="Notedebasdepage7ptItalique"/>
          <w:b w:val="0"/>
          <w:sz w:val="24"/>
        </w:rPr>
        <w:t>Annales d'histoire éc</w:t>
      </w:r>
      <w:r w:rsidRPr="003B3476">
        <w:rPr>
          <w:rStyle w:val="Notedebasdepage7ptItalique"/>
          <w:b w:val="0"/>
          <w:sz w:val="24"/>
        </w:rPr>
        <w:t>o</w:t>
      </w:r>
      <w:r w:rsidRPr="003B3476">
        <w:rPr>
          <w:rStyle w:val="Notedebasdepage7ptItalique"/>
          <w:b w:val="0"/>
          <w:sz w:val="24"/>
        </w:rPr>
        <w:t>nomique et sociale</w:t>
      </w:r>
      <w:r w:rsidRPr="003B3476">
        <w:rPr>
          <w:lang w:val="fr-FR" w:eastAsia="fr-FR" w:bidi="fr-FR"/>
        </w:rPr>
        <w:t xml:space="preserve">, t. II, 1930, p. 581, et t. V, 1933, p. 161, réunis dans : </w:t>
      </w:r>
      <w:r w:rsidRPr="003B3476">
        <w:rPr>
          <w:rStyle w:val="Notedebasdepage7ptItalique"/>
          <w:b w:val="0"/>
          <w:sz w:val="24"/>
        </w:rPr>
        <w:t>Pour une Histoire à part entière.</w:t>
      </w:r>
      <w:r w:rsidRPr="003B3476">
        <w:rPr>
          <w:bCs/>
        </w:rPr>
        <w:t xml:space="preserve"> </w:t>
      </w:r>
      <w:r w:rsidRPr="003B3476">
        <w:rPr>
          <w:lang w:val="fr-FR" w:eastAsia="fr-FR" w:bidi="fr-FR"/>
        </w:rPr>
        <w:t>Paris. S.E. V.P.E.N., 1962 (Bibliothèque Générale de l’École Pratique des Hautes Ét</w:t>
      </w:r>
      <w:r w:rsidRPr="003B3476">
        <w:rPr>
          <w:lang w:val="fr-FR" w:eastAsia="fr-FR" w:bidi="fr-FR"/>
        </w:rPr>
        <w:t>u</w:t>
      </w:r>
      <w:r w:rsidRPr="003B3476">
        <w:rPr>
          <w:lang w:val="fr-FR" w:eastAsia="fr-FR" w:bidi="fr-FR"/>
        </w:rPr>
        <w:t>des), p. 185-202, sur le tome II (le premier dans l’ordre de parution), voir au</w:t>
      </w:r>
      <w:r w:rsidRPr="003B3476">
        <w:rPr>
          <w:lang w:val="fr-FR" w:eastAsia="fr-FR" w:bidi="fr-FR"/>
        </w:rPr>
        <w:t>s</w:t>
      </w:r>
      <w:r w:rsidRPr="003B3476">
        <w:rPr>
          <w:lang w:val="fr-FR" w:eastAsia="fr-FR" w:bidi="fr-FR"/>
        </w:rPr>
        <w:t xml:space="preserve">si ma note, dans la </w:t>
      </w:r>
      <w:r w:rsidRPr="003B3476">
        <w:rPr>
          <w:rStyle w:val="Notedebasdepage7ptItalique"/>
          <w:b w:val="0"/>
          <w:sz w:val="24"/>
        </w:rPr>
        <w:t>Revue de synthèse</w:t>
      </w:r>
      <w:r w:rsidRPr="003B3476">
        <w:rPr>
          <w:lang w:val="fr-FR" w:eastAsia="fr-FR" w:bidi="fr-FR"/>
        </w:rPr>
        <w:t>, t. I, 1931, p. 253. Le cours a été professé, en trois années, au Conservatoire des Arts et Métiers.</w:t>
      </w:r>
    </w:p>
  </w:footnote>
  <w:footnote w:id="950">
    <w:p w14:paraId="00DABA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Paris, Félix Alcan, 1932, in-12, 142 p. (</w:t>
      </w:r>
      <w:r w:rsidRPr="003B3476">
        <w:rPr>
          <w:rStyle w:val="Notedebasdepage7ptItalique"/>
          <w:b w:val="0"/>
          <w:sz w:val="24"/>
        </w:rPr>
        <w:t>Les questions du temps présent),</w:t>
      </w:r>
      <w:r w:rsidRPr="003B3476">
        <w:rPr>
          <w:bCs/>
        </w:rPr>
        <w:t xml:space="preserve"> </w:t>
      </w:r>
      <w:r w:rsidRPr="003B3476">
        <w:rPr>
          <w:lang w:val="fr-FR" w:eastAsia="fr-FR" w:bidi="fr-FR"/>
        </w:rPr>
        <w:t>r</w:t>
      </w:r>
      <w:r w:rsidRPr="003B3476">
        <w:rPr>
          <w:lang w:val="fr-FR" w:eastAsia="fr-FR" w:bidi="fr-FR"/>
        </w:rPr>
        <w:t>e</w:t>
      </w:r>
      <w:r w:rsidRPr="003B3476">
        <w:rPr>
          <w:lang w:val="fr-FR" w:eastAsia="fr-FR" w:bidi="fr-FR"/>
        </w:rPr>
        <w:t>produisant avec quelques compléments, des conférences données à l’Inst. des Htes. Ét. de Be</w:t>
      </w:r>
      <w:r w:rsidRPr="003B3476">
        <w:rPr>
          <w:lang w:val="fr-FR" w:eastAsia="fr-FR" w:bidi="fr-FR"/>
        </w:rPr>
        <w:t>l</w:t>
      </w:r>
      <w:r w:rsidRPr="003B3476">
        <w:rPr>
          <w:lang w:val="fr-FR" w:eastAsia="fr-FR" w:bidi="fr-FR"/>
        </w:rPr>
        <w:t>gique.</w:t>
      </w:r>
    </w:p>
  </w:footnote>
  <w:footnote w:id="951">
    <w:p w14:paraId="62204EC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Recherches anciennes et nouvelles sur le mouvement général des prix du XVI</w:t>
      </w:r>
      <w:r w:rsidRPr="003B3476">
        <w:rPr>
          <w:i/>
          <w:vertAlign w:val="superscript"/>
          <w:lang w:val="fr-FR" w:eastAsia="fr-FR" w:bidi="fr-FR"/>
        </w:rPr>
        <w:t>e</w:t>
      </w:r>
      <w:r w:rsidRPr="003B3476">
        <w:rPr>
          <w:i/>
          <w:lang w:val="fr-FR" w:eastAsia="fr-FR" w:bidi="fr-FR"/>
        </w:rPr>
        <w:t xml:space="preserve"> au </w:t>
      </w:r>
      <w:r w:rsidRPr="003B3476">
        <w:rPr>
          <w:bCs/>
          <w:i/>
          <w:iCs/>
        </w:rPr>
        <w:t>XIX</w:t>
      </w:r>
      <w:r w:rsidRPr="003B3476">
        <w:rPr>
          <w:bCs/>
          <w:i/>
          <w:iCs/>
          <w:vertAlign w:val="superscript"/>
        </w:rPr>
        <w:t>e</w:t>
      </w:r>
      <w:r w:rsidRPr="003B3476">
        <w:rPr>
          <w:i/>
          <w:lang w:val="fr-FR" w:eastAsia="fr-FR" w:bidi="fr-FR"/>
        </w:rPr>
        <w:t xml:space="preserve"> siècle</w:t>
      </w:r>
      <w:r w:rsidRPr="003B3476">
        <w:rPr>
          <w:rStyle w:val="Notedebasdepage475ptNonItalique"/>
          <w:b w:val="0"/>
          <w:i w:val="0"/>
          <w:iCs w:val="0"/>
          <w:sz w:val="24"/>
        </w:rPr>
        <w:t>, Paris, éditions Domat-Montchrestien, 1 vol. polycopié, 676 p., 14 diagrammes.</w:t>
      </w:r>
    </w:p>
  </w:footnote>
  <w:footnote w:id="952">
    <w:p w14:paraId="0C7A074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Ajoutez que l’ouvrage est gros : ce qui était l’inévitable rançon de sa richesse. Or, comme M. Simiand l’observe tout le premier, pour beaucoup d’entre nous, accaparés par les tâches quotidiennes, « les loisirs de lecture sont limités ». C’est en pensant à cette cruelle insuffisance des heures vouées à la culture i</w:t>
      </w:r>
      <w:r w:rsidRPr="003B3476">
        <w:rPr>
          <w:lang w:val="fr-FR" w:eastAsia="fr-FR" w:bidi="fr-FR"/>
        </w:rPr>
        <w:t>n</w:t>
      </w:r>
      <w:r w:rsidRPr="003B3476">
        <w:rPr>
          <w:lang w:val="fr-FR" w:eastAsia="fr-FR" w:bidi="fr-FR"/>
        </w:rPr>
        <w:t>tellectuelle qu’il a eu soin d’indiquer lui-même (p. x, à la note) les parties fo</w:t>
      </w:r>
      <w:r w:rsidRPr="003B3476">
        <w:rPr>
          <w:lang w:val="fr-FR" w:eastAsia="fr-FR" w:bidi="fr-FR"/>
        </w:rPr>
        <w:t>n</w:t>
      </w:r>
      <w:r w:rsidRPr="003B3476">
        <w:rPr>
          <w:lang w:val="fr-FR" w:eastAsia="fr-FR" w:bidi="fr-FR"/>
        </w:rPr>
        <w:t>damentales de son exposé, celles dont le lecteur, s’il n’a pas le temps de tout voir et de tout scruter, devra du moins prendre connaissance. Afin de rendre service aux personnes qui craindraient d’aborder de plain-pied ces trois vol</w:t>
      </w:r>
      <w:r w:rsidRPr="003B3476">
        <w:rPr>
          <w:lang w:val="fr-FR" w:eastAsia="fr-FR" w:bidi="fr-FR"/>
        </w:rPr>
        <w:t>u</w:t>
      </w:r>
      <w:r w:rsidRPr="003B3476">
        <w:rPr>
          <w:lang w:val="fr-FR" w:eastAsia="fr-FR" w:bidi="fr-FR"/>
        </w:rPr>
        <w:t xml:space="preserve">mes très drus, je leur signalerai, </w:t>
      </w:r>
      <w:r w:rsidRPr="003B3476">
        <w:rPr>
          <w:bCs/>
        </w:rPr>
        <w:t xml:space="preserve">à </w:t>
      </w:r>
      <w:r w:rsidRPr="003B3476">
        <w:rPr>
          <w:lang w:val="fr-FR" w:eastAsia="fr-FR" w:bidi="fr-FR"/>
        </w:rPr>
        <w:t xml:space="preserve">mon tour, deux études qui leur feront un chemin aisé. L’une est de M. </w:t>
      </w:r>
      <w:r w:rsidRPr="003B3476">
        <w:rPr>
          <w:rStyle w:val="Notedebasdepage65ptPetitesmajuscules"/>
          <w:b w:val="0"/>
          <w:sz w:val="24"/>
        </w:rPr>
        <w:t xml:space="preserve">Simiand </w:t>
      </w:r>
      <w:r w:rsidRPr="003B3476">
        <w:rPr>
          <w:lang w:val="fr-FR" w:eastAsia="fr-FR" w:bidi="fr-FR"/>
        </w:rPr>
        <w:t xml:space="preserve">lui-même : ces conférences sur </w:t>
      </w:r>
      <w:r w:rsidRPr="003B3476">
        <w:rPr>
          <w:rStyle w:val="Notedebasdepage7ptItalique"/>
          <w:b w:val="0"/>
          <w:sz w:val="24"/>
        </w:rPr>
        <w:t>Les fluctuations éc</w:t>
      </w:r>
      <w:r w:rsidRPr="003B3476">
        <w:rPr>
          <w:rStyle w:val="Notedebasdepage7ptItalique"/>
          <w:b w:val="0"/>
          <w:sz w:val="24"/>
        </w:rPr>
        <w:t>o</w:t>
      </w:r>
      <w:r w:rsidRPr="003B3476">
        <w:rPr>
          <w:rStyle w:val="Notedebasdepage7ptItalique"/>
          <w:b w:val="0"/>
          <w:sz w:val="24"/>
        </w:rPr>
        <w:t>nomiques</w:t>
      </w:r>
      <w:r w:rsidRPr="003B3476">
        <w:rPr>
          <w:bCs/>
        </w:rPr>
        <w:t xml:space="preserve"> </w:t>
      </w:r>
      <w:r w:rsidRPr="003B3476">
        <w:rPr>
          <w:lang w:val="fr-FR" w:eastAsia="fr-FR" w:bidi="fr-FR"/>
        </w:rPr>
        <w:t>que j’ai déjà signalées plus haut (</w:t>
      </w:r>
      <w:r w:rsidRPr="003B3476">
        <w:rPr>
          <w:i/>
          <w:lang w:val="fr-FR" w:eastAsia="fr-FR" w:bidi="fr-FR"/>
        </w:rPr>
        <w:t>cf.</w:t>
      </w:r>
      <w:r w:rsidRPr="003B3476">
        <w:rPr>
          <w:lang w:val="fr-FR" w:eastAsia="fr-FR" w:bidi="fr-FR"/>
        </w:rPr>
        <w:t xml:space="preserve"> ci-dessus, p. 890). Bien que leur objet soit très loin de se confondre avec celui du principal ouvrage, les mêmes idées se retrouvent souvent des deux parts et, ici, sous une forme à la fois plus brève et plus proche de la vulgarisation au meilleur sens du mot. Par ailleurs, dans la </w:t>
      </w:r>
      <w:r w:rsidRPr="003B3476">
        <w:rPr>
          <w:rStyle w:val="Notedebasdepage7ptItalique"/>
          <w:b w:val="0"/>
          <w:sz w:val="24"/>
        </w:rPr>
        <w:t xml:space="preserve">Revue philosophique </w:t>
      </w:r>
      <w:r w:rsidRPr="003B3476">
        <w:rPr>
          <w:lang w:val="fr-FR" w:eastAsia="fr-FR" w:bidi="fr-FR"/>
        </w:rPr>
        <w:t xml:space="preserve">(1933), sous le titre : </w:t>
      </w:r>
      <w:r w:rsidRPr="003B3476">
        <w:rPr>
          <w:rStyle w:val="Notedebasdepage7ptItalique"/>
          <w:b w:val="0"/>
          <w:sz w:val="24"/>
        </w:rPr>
        <w:t>Une théorie expérimentale du salaire</w:t>
      </w:r>
      <w:r w:rsidRPr="003B3476">
        <w:rPr>
          <w:lang w:val="fr-FR" w:eastAsia="fr-FR" w:bidi="fr-FR"/>
        </w:rPr>
        <w:t xml:space="preserve">, M. Maurice </w:t>
      </w:r>
      <w:r w:rsidRPr="003B3476">
        <w:rPr>
          <w:rStyle w:val="Notedebasdepage65ptPetitesmajuscules"/>
          <w:b w:val="0"/>
          <w:sz w:val="24"/>
        </w:rPr>
        <w:t xml:space="preserve">Halbwachs </w:t>
      </w:r>
      <w:r w:rsidRPr="003B3476">
        <w:rPr>
          <w:lang w:val="fr-FR" w:eastAsia="fr-FR" w:bidi="fr-FR"/>
        </w:rPr>
        <w:t>a donné, de la m</w:t>
      </w:r>
      <w:r w:rsidRPr="003B3476">
        <w:rPr>
          <w:lang w:val="fr-FR" w:eastAsia="fr-FR" w:bidi="fr-FR"/>
        </w:rPr>
        <w:t>é</w:t>
      </w:r>
      <w:r w:rsidRPr="003B3476">
        <w:rPr>
          <w:lang w:val="fr-FR" w:eastAsia="fr-FR" w:bidi="fr-FR"/>
        </w:rPr>
        <w:t>thode et des conclusions de M. Simiand, un exposé remarquablement lucide et pénétrant ; sur certains points — je me devais de l’indiquer — elle apporte des précisions plus grandes que je ne pourrai en fournir dans l’analyse que je vais tenter.</w:t>
      </w:r>
    </w:p>
  </w:footnote>
  <w:footnote w:id="953">
    <w:p w14:paraId="4075E07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Je dois avertir que M. Simiand n’est pas responsable de cette distinction ; il ne sépare pas, dans son vocabulaire, « expérimentation » et « expérience ». Je la hasarde cependant, parce qu’elle me paraît exprimer, assez commodément, un contraste sur lequel tout le monde s’accorde.</w:t>
      </w:r>
    </w:p>
  </w:footnote>
  <w:footnote w:id="954">
    <w:p w14:paraId="053145D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Paris, Rivière, 1922.</w:t>
      </w:r>
    </w:p>
  </w:footnote>
  <w:footnote w:id="955">
    <w:p w14:paraId="4E5138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Resterait, d’ailleurs, à rechercher, profession par profession ou nature de tr</w:t>
      </w:r>
      <w:r w:rsidRPr="003B3476">
        <w:rPr>
          <w:lang w:eastAsia="fr-FR" w:bidi="fr-FR"/>
        </w:rPr>
        <w:t>a</w:t>
      </w:r>
      <w:r w:rsidRPr="003B3476">
        <w:rPr>
          <w:lang w:eastAsia="fr-FR" w:bidi="fr-FR"/>
        </w:rPr>
        <w:t>vail par nature de travail, les rapports, entre eux, des divers salaires et les v</w:t>
      </w:r>
      <w:r w:rsidRPr="003B3476">
        <w:rPr>
          <w:lang w:eastAsia="fr-FR" w:bidi="fr-FR"/>
        </w:rPr>
        <w:t>a</w:t>
      </w:r>
      <w:r w:rsidRPr="003B3476">
        <w:rPr>
          <w:lang w:eastAsia="fr-FR" w:bidi="fr-FR"/>
        </w:rPr>
        <w:t>riations de ces rapports. Il serait du plus haut intérêt, par exemple, de conna</w:t>
      </w:r>
      <w:r w:rsidRPr="003B3476">
        <w:rPr>
          <w:lang w:eastAsia="fr-FR" w:bidi="fr-FR"/>
        </w:rPr>
        <w:t>î</w:t>
      </w:r>
      <w:r w:rsidRPr="003B3476">
        <w:rPr>
          <w:lang w:eastAsia="fr-FR" w:bidi="fr-FR"/>
        </w:rPr>
        <w:t>tre les écarts entre la rémunération du mineur et celle du docker, ou, dans la mine même, entre celles du piqueur et du herscheur, et de déterminer si les courbes, dans le temps, se rapprochent ou s’éloignent. Mais cette étude, cap</w:t>
      </w:r>
      <w:r w:rsidRPr="003B3476">
        <w:rPr>
          <w:lang w:eastAsia="fr-FR" w:bidi="fr-FR"/>
        </w:rPr>
        <w:t>i</w:t>
      </w:r>
      <w:r w:rsidRPr="003B3476">
        <w:rPr>
          <w:lang w:eastAsia="fr-FR" w:bidi="fr-FR"/>
        </w:rPr>
        <w:t>tale pour l’histoire de la structure sociale, était en dehors du dessein de l’ouvrage. Nul ne serait mieux placé que M. Simiand pour nous la donner un jour.</w:t>
      </w:r>
    </w:p>
  </w:footnote>
  <w:footnote w:id="956">
    <w:p w14:paraId="1CF80A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Cf.</w:t>
      </w:r>
      <w:r w:rsidRPr="003B3476">
        <w:rPr>
          <w:rStyle w:val="Notedebasdepage8ptEspacement0pt"/>
          <w:b w:val="0"/>
          <w:sz w:val="24"/>
        </w:rPr>
        <w:t xml:space="preserve"> </w:t>
      </w:r>
      <w:r w:rsidRPr="003B3476">
        <w:rPr>
          <w:lang w:val="fr-FR" w:eastAsia="fr-FR" w:bidi="fr-FR"/>
        </w:rPr>
        <w:t xml:space="preserve">aussi, dans le volume intitulé </w:t>
      </w:r>
      <w:r w:rsidRPr="003B3476">
        <w:rPr>
          <w:rStyle w:val="Notedebasdepage7ptItalique"/>
          <w:b w:val="0"/>
          <w:sz w:val="24"/>
        </w:rPr>
        <w:t>La méthode positive en science économique</w:t>
      </w:r>
      <w:r w:rsidRPr="003B3476">
        <w:rPr>
          <w:rStyle w:val="Notedebasdepage8ptEspacement0pt"/>
          <w:b w:val="0"/>
          <w:sz w:val="24"/>
        </w:rPr>
        <w:t xml:space="preserve"> </w:t>
      </w:r>
      <w:r w:rsidRPr="003B3476">
        <w:rPr>
          <w:lang w:val="fr-FR" w:eastAsia="fr-FR" w:bidi="fr-FR"/>
        </w:rPr>
        <w:t xml:space="preserve">(Paris, Félix Alcan, 1912), le chapitre intitulé </w:t>
      </w:r>
      <w:r w:rsidRPr="003B3476">
        <w:rPr>
          <w:rStyle w:val="Notedebasdepage7ptItalique"/>
          <w:b w:val="0"/>
          <w:sz w:val="24"/>
        </w:rPr>
        <w:t>Le problème de la classification</w:t>
      </w:r>
      <w:r w:rsidRPr="003B3476">
        <w:rPr>
          <w:rStyle w:val="Notedebasdepage8ptEspacement0pt"/>
          <w:b w:val="0"/>
          <w:sz w:val="24"/>
        </w:rPr>
        <w:t xml:space="preserve"> </w:t>
      </w:r>
      <w:r w:rsidRPr="003B3476">
        <w:rPr>
          <w:lang w:val="fr-FR" w:eastAsia="fr-FR" w:bidi="fr-FR"/>
        </w:rPr>
        <w:t>(p. 153 et suiv.).</w:t>
      </w:r>
    </w:p>
  </w:footnote>
  <w:footnote w:id="957">
    <w:p w14:paraId="72A79B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Au moins jusqu’à l’avènement des grands transports automobiles sur routes. Mais il est postérieur à l’époque envisagée.</w:t>
      </w:r>
    </w:p>
  </w:footnote>
  <w:footnote w:id="958">
    <w:p w14:paraId="22F8D522"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La classe des possesseurs de seigneuries, qui, au </w:t>
      </w:r>
      <w:r w:rsidRPr="003B3476">
        <w:rPr>
          <w:caps/>
        </w:rPr>
        <w:t>xvi</w:t>
      </w:r>
      <w:r w:rsidRPr="003B3476">
        <w:rPr>
          <w:vertAlign w:val="superscript"/>
        </w:rPr>
        <w:t>e</w:t>
      </w:r>
      <w:r w:rsidRPr="003B3476">
        <w:t xml:space="preserve"> siècle, avait été si la</w:t>
      </w:r>
      <w:r w:rsidRPr="003B3476">
        <w:t>r</w:t>
      </w:r>
      <w:r w:rsidRPr="003B3476">
        <w:t>gement renouvelée dans ses éléments humains, paraît s’être, en quelque mes</w:t>
      </w:r>
      <w:r w:rsidRPr="003B3476">
        <w:t>u</w:t>
      </w:r>
      <w:r w:rsidRPr="003B3476">
        <w:t xml:space="preserve">re, stabilisée, au cours du siècle suivant : moins de familles nouvelles, semble-t-il, y accèdent, moins de familles anciennes en sortent. On peut se demander si la baisse des prix, durant la « phase B » qui débuta vers 1650, ne fut pas, en partie du moins, responsable de cette cristallisation ; rendant plus lucratives </w:t>
      </w:r>
      <w:r w:rsidRPr="003B3476">
        <w:rPr>
          <w:lang w:val="fr-FR" w:eastAsia="fr-FR" w:bidi="fr-FR"/>
        </w:rPr>
        <w:t>les redevances, elle fortifiait les situations acquises. J’avais eu le sentiment d’une liaison de cette sorte, au moment où, dans un livre récent, j’essayais de retracer l’évolution seigneuriale ; faute d’études solides sur les prix, je n’avais pas osé aborder le problème. Il vaudrait la peine aujourd’hui de le reprendre, sans, bien entendu, préjuger de sa solution. Car l’hypothèse que je viens d’indiquer ne saurait avoir que la valeur d’une idée directrice, et peut-être l’examen des concordances en révélerait-il l’inanité. L’histoire même de la classe seigneuriale, en tant que classe, de sa constitution et de sa « durabilité « est encore tout entière à écrire. Est-il besoin d’ajouter qu’il y aurait un grave danger, pour l’historien, à se laisser hypnotiser par les fluctuations à longue période au point de négliger l’influence des oscillations plus courtes, des o</w:t>
      </w:r>
      <w:r w:rsidRPr="003B3476">
        <w:rPr>
          <w:lang w:val="fr-FR" w:eastAsia="fr-FR" w:bidi="fr-FR"/>
        </w:rPr>
        <w:t>s</w:t>
      </w:r>
      <w:r w:rsidRPr="003B3476">
        <w:rPr>
          <w:lang w:val="fr-FR" w:eastAsia="fr-FR" w:bidi="fr-FR"/>
        </w:rPr>
        <w:t>cillations « interdécennales », pour parler comme M. Simiand ? Leur étude n’entrait pas dans le dessein de l’ouvrage, mais en affaiblir à l’excès l’importance et les répercussions irait certainement contre le dessein de l’auteur. Enfin, il va de soi que le rythme d’évolution, si bien mis en lumière par M. Simiand, ne vaut tel quel, avec ses retentissements de toute sorte, que pour un système économique largement fondé sur les échanges. On peut et doit en tirer des suggestions précieuses pour l’examen d’autres types de stru</w:t>
      </w:r>
      <w:r w:rsidRPr="003B3476">
        <w:rPr>
          <w:lang w:val="fr-FR" w:eastAsia="fr-FR" w:bidi="fr-FR"/>
        </w:rPr>
        <w:t>c</w:t>
      </w:r>
      <w:r w:rsidRPr="003B3476">
        <w:rPr>
          <w:lang w:val="fr-FR" w:eastAsia="fr-FR" w:bidi="fr-FR"/>
        </w:rPr>
        <w:t>ture propres à un passé plus lointain. Il serait tout à fait vain de vouloir leur en faire une application mécanique.</w:t>
      </w:r>
    </w:p>
  </w:footnote>
  <w:footnote w:id="959">
    <w:p w14:paraId="3F152D4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7ptItalique"/>
          <w:b w:val="0"/>
          <w:sz w:val="24"/>
        </w:rPr>
        <w:t>Rev. Arch</w:t>
      </w:r>
      <w:r w:rsidRPr="003B3476">
        <w:rPr>
          <w:rStyle w:val="Notedebasdepage8ptEspacement0pt"/>
          <w:b w:val="0"/>
          <w:sz w:val="24"/>
        </w:rPr>
        <w:t xml:space="preserve">., </w:t>
      </w:r>
      <w:r w:rsidRPr="003B3476">
        <w:rPr>
          <w:lang w:val="fr-FR" w:eastAsia="fr-FR" w:bidi="fr-FR"/>
        </w:rPr>
        <w:t>t. XIX, p. 132-136.</w:t>
      </w:r>
    </w:p>
  </w:footnote>
  <w:footnote w:id="960">
    <w:p w14:paraId="2A76D1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Par exemple, l’excellente monographie de l’abbé </w:t>
      </w:r>
      <w:r w:rsidRPr="003B3476">
        <w:rPr>
          <w:rStyle w:val="Notedebasdepage465ptNonItalique"/>
          <w:b w:val="0"/>
          <w:i w:val="0"/>
          <w:iCs w:val="0"/>
          <w:smallCaps/>
          <w:sz w:val="24"/>
        </w:rPr>
        <w:t>Chartraire</w:t>
      </w:r>
      <w:r w:rsidRPr="003B3476">
        <w:rPr>
          <w:rStyle w:val="Notedebasdepage465ptNonItalique"/>
          <w:b w:val="0"/>
          <w:i w:val="0"/>
          <w:iCs w:val="0"/>
          <w:sz w:val="24"/>
        </w:rPr>
        <w:t xml:space="preserve">, </w:t>
      </w:r>
      <w:r w:rsidRPr="003B3476">
        <w:rPr>
          <w:i/>
          <w:lang w:val="fr-FR" w:eastAsia="fr-FR" w:bidi="fr-FR"/>
        </w:rPr>
        <w:t>La cathédrale de Sens (Petites mon</w:t>
      </w:r>
      <w:r w:rsidRPr="003B3476">
        <w:rPr>
          <w:i/>
          <w:lang w:val="fr-FR" w:eastAsia="fr-FR" w:bidi="fr-FR"/>
        </w:rPr>
        <w:t>o</w:t>
      </w:r>
      <w:r w:rsidRPr="003B3476">
        <w:rPr>
          <w:i/>
          <w:lang w:val="fr-FR" w:eastAsia="fr-FR" w:bidi="fr-FR"/>
        </w:rPr>
        <w:t>graphies des grands édifices de la France)</w:t>
      </w:r>
      <w:r w:rsidRPr="003B3476">
        <w:rPr>
          <w:lang w:val="fr-FR" w:eastAsia="fr-FR" w:bidi="fr-FR"/>
        </w:rPr>
        <w: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p. 64.</w:t>
      </w:r>
    </w:p>
  </w:footnote>
  <w:footnote w:id="961">
    <w:p w14:paraId="2B5FBE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H. </w:t>
      </w:r>
      <w:r w:rsidRPr="003B3476">
        <w:rPr>
          <w:bCs/>
          <w:smallCaps/>
        </w:rPr>
        <w:t>Spondanus</w:t>
      </w:r>
      <w:r w:rsidRPr="003B3476">
        <w:rPr>
          <w:bCs/>
        </w:rPr>
        <w:t xml:space="preserve">, </w:t>
      </w:r>
      <w:r w:rsidRPr="003B3476">
        <w:rPr>
          <w:rStyle w:val="Notedebasdepage7ptItalique"/>
          <w:b w:val="0"/>
          <w:sz w:val="24"/>
        </w:rPr>
        <w:t>Annalium... C. Baronii continuation</w:t>
      </w:r>
      <w:r w:rsidRPr="003B3476">
        <w:rPr>
          <w:rStyle w:val="Notedebasdepage8ptEspacement0pt"/>
          <w:b w:val="0"/>
          <w:sz w:val="24"/>
        </w:rPr>
        <w:t xml:space="preserve"> </w:t>
      </w:r>
      <w:r w:rsidRPr="003B3476">
        <w:rPr>
          <w:lang w:val="fr-FR" w:eastAsia="fr-FR" w:bidi="fr-FR"/>
        </w:rPr>
        <w:t xml:space="preserve">éd. de 1659, Paris, in-folio, </w:t>
      </w:r>
      <w:r w:rsidRPr="003B3476">
        <w:rPr>
          <w:bCs/>
        </w:rPr>
        <w:t xml:space="preserve">t. I, </w:t>
      </w:r>
      <w:r w:rsidRPr="003B3476">
        <w:rPr>
          <w:lang w:val="fr-FR" w:eastAsia="fr-FR" w:bidi="fr-FR"/>
        </w:rPr>
        <w:t xml:space="preserve">p. 436 (année 1329, </w:t>
      </w:r>
      <w:r w:rsidRPr="003B3476">
        <w:rPr>
          <w:smallCaps/>
          <w:lang w:val="fr-FR" w:eastAsia="fr-FR" w:bidi="fr-FR"/>
        </w:rPr>
        <w:t>xv</w:t>
      </w:r>
      <w:r w:rsidRPr="003B3476">
        <w:rPr>
          <w:lang w:val="fr-FR" w:eastAsia="fr-FR" w:bidi="fr-FR"/>
        </w:rPr>
        <w:t>).</w:t>
      </w:r>
    </w:p>
  </w:footnote>
  <w:footnote w:id="962">
    <w:p w14:paraId="13229CF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Description de l’église métropolitaine de Saint-Étienne de Sens</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1841, p. 24.</w:t>
      </w:r>
    </w:p>
  </w:footnote>
  <w:footnote w:id="963">
    <w:p w14:paraId="31EC3FF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cite l’inscription telle que la donnait, au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 Jean Golein, dont on trouvera le texte un peu plus loin ; Sponde la reproduit sous une forme un peu différente, soit qu’au cours des temps quelques lettres, par suite d’une réfe</w:t>
      </w:r>
      <w:r w:rsidRPr="003B3476">
        <w:rPr>
          <w:lang w:val="fr-FR" w:eastAsia="fr-FR" w:bidi="fr-FR"/>
        </w:rPr>
        <w:t>c</w:t>
      </w:r>
      <w:r w:rsidRPr="003B3476">
        <w:rPr>
          <w:lang w:val="fr-FR" w:eastAsia="fr-FR" w:bidi="fr-FR"/>
        </w:rPr>
        <w:t xml:space="preserve">tion, se soient trouvées modifiées, soit qu’il ait tout simplement commis une erreur de copie, ou de mémoire : ligne 1, au lieu de </w:t>
      </w:r>
      <w:r w:rsidRPr="003B3476">
        <w:rPr>
          <w:rStyle w:val="Notedebasdepage7ptItalique"/>
          <w:b w:val="0"/>
          <w:sz w:val="24"/>
        </w:rPr>
        <w:t>verus</w:t>
      </w:r>
      <w:r w:rsidRPr="003B3476">
        <w:rPr>
          <w:rStyle w:val="Notedebasdepage8ptEspacement0pt"/>
          <w:b w:val="0"/>
          <w:sz w:val="24"/>
        </w:rPr>
        <w:t xml:space="preserve">, </w:t>
      </w:r>
      <w:r w:rsidRPr="003B3476">
        <w:rPr>
          <w:rStyle w:val="Notedebasdepage7ptItalique"/>
          <w:b w:val="0"/>
          <w:sz w:val="24"/>
        </w:rPr>
        <w:t>ego ;</w:t>
      </w:r>
      <w:r w:rsidRPr="003B3476">
        <w:rPr>
          <w:rStyle w:val="Notedebasdepage8ptEspacement0pt"/>
          <w:b w:val="0"/>
          <w:sz w:val="24"/>
        </w:rPr>
        <w:t> — </w:t>
      </w:r>
      <w:r w:rsidRPr="003B3476">
        <w:rPr>
          <w:lang w:val="fr-FR" w:eastAsia="fr-FR" w:bidi="fr-FR"/>
        </w:rPr>
        <w:t xml:space="preserve">ligne 2, au lieu de </w:t>
      </w:r>
      <w:r w:rsidRPr="003B3476">
        <w:rPr>
          <w:rStyle w:val="Notedebasdepage7ptItalique"/>
          <w:b w:val="0"/>
          <w:sz w:val="24"/>
        </w:rPr>
        <w:t>libertates, libertatem.</w:t>
      </w:r>
    </w:p>
  </w:footnote>
  <w:footnote w:id="964">
    <w:p w14:paraId="4F5FB6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Olivier </w:t>
      </w:r>
      <w:r w:rsidRPr="003B3476">
        <w:rPr>
          <w:rStyle w:val="Notedebasdepage465ptNonItalique"/>
          <w:b w:val="0"/>
          <w:i w:val="0"/>
          <w:iCs w:val="0"/>
          <w:smallCaps/>
          <w:sz w:val="24"/>
        </w:rPr>
        <w:t>Martin</w:t>
      </w:r>
      <w:r w:rsidRPr="003B3476">
        <w:rPr>
          <w:rStyle w:val="Notedebasdepage465ptNonItalique"/>
          <w:b w:val="0"/>
          <w:i w:val="0"/>
          <w:iCs w:val="0"/>
          <w:sz w:val="24"/>
        </w:rPr>
        <w:t xml:space="preserve">, </w:t>
      </w:r>
      <w:r w:rsidRPr="003B3476">
        <w:rPr>
          <w:i/>
          <w:lang w:val="fr-FR" w:eastAsia="fr-FR" w:bidi="fr-FR"/>
        </w:rPr>
        <w:t>L’Assemblée de Vincennes de 1329 et ses conséquences (B</w:t>
      </w:r>
      <w:r w:rsidRPr="003B3476">
        <w:rPr>
          <w:i/>
          <w:lang w:val="fr-FR" w:eastAsia="fr-FR" w:bidi="fr-FR"/>
        </w:rPr>
        <w:t>i</w:t>
      </w:r>
      <w:r w:rsidRPr="003B3476">
        <w:rPr>
          <w:i/>
          <w:lang w:val="fr-FR" w:eastAsia="fr-FR" w:bidi="fr-FR"/>
        </w:rPr>
        <w:t>blioth. de la Fondation Thiers</w:t>
      </w:r>
      <w:r w:rsidRPr="003B3476">
        <w:rPr>
          <w:rStyle w:val="Notedebasdepage475ptNonItalique"/>
          <w:b w:val="0"/>
          <w:i w:val="0"/>
          <w:iCs w:val="0"/>
          <w:sz w:val="24"/>
        </w:rPr>
        <w:t>, fasc. XVI), p. 252. Je dois beaucoup à ce très utile ouvrage.</w:t>
      </w:r>
    </w:p>
  </w:footnote>
  <w:footnote w:id="965">
    <w:p w14:paraId="25F129E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cite d’après le manuscrit 437 du fonds français de la Bibl. Nat. ; c’est celui-là même que J. Golein — en 1374 — offrit à Charles V ; il porte encore, à son dernier feuillet, </w:t>
      </w:r>
      <w:r w:rsidRPr="003B3476">
        <w:rPr>
          <w:rStyle w:val="Notedebasdepage7ptItalique"/>
          <w:b w:val="0"/>
          <w:i w:val="0"/>
          <w:sz w:val="24"/>
        </w:rPr>
        <w:t>l’</w:t>
      </w:r>
      <w:r w:rsidRPr="003B3476">
        <w:rPr>
          <w:rStyle w:val="Notedebasdepage7ptItalique"/>
          <w:b w:val="0"/>
          <w:sz w:val="24"/>
        </w:rPr>
        <w:t>ex-libris</w:t>
      </w:r>
      <w:r w:rsidRPr="003B3476">
        <w:rPr>
          <w:rStyle w:val="Notedebasdepage8ptEspacement0pt"/>
          <w:b w:val="0"/>
          <w:sz w:val="24"/>
        </w:rPr>
        <w:t xml:space="preserve"> </w:t>
      </w:r>
      <w:r w:rsidRPr="003B3476">
        <w:rPr>
          <w:lang w:val="fr-FR" w:eastAsia="fr-FR" w:bidi="fr-FR"/>
        </w:rPr>
        <w:t xml:space="preserve">autographe du roi ; notre texte se lit au fol. 47, col. 1. L’œuvre de J. Golein a été imprimée à Paris, en 1503, par </w:t>
      </w:r>
      <w:r w:rsidRPr="003B3476">
        <w:rPr>
          <w:bCs/>
        </w:rPr>
        <w:t xml:space="preserve">Vérard, </w:t>
      </w:r>
      <w:r w:rsidRPr="003B3476">
        <w:rPr>
          <w:rStyle w:val="Notedebasdepage7ptItalique"/>
          <w:b w:val="0"/>
          <w:sz w:val="24"/>
        </w:rPr>
        <w:t>Le rati</w:t>
      </w:r>
      <w:r w:rsidRPr="003B3476">
        <w:rPr>
          <w:rStyle w:val="Notedebasdepage7ptItalique"/>
          <w:b w:val="0"/>
          <w:sz w:val="24"/>
        </w:rPr>
        <w:t>o</w:t>
      </w:r>
      <w:r w:rsidRPr="003B3476">
        <w:rPr>
          <w:rStyle w:val="Notedebasdepage7ptItalique"/>
          <w:b w:val="0"/>
          <w:sz w:val="24"/>
        </w:rPr>
        <w:t>nal des d</w:t>
      </w:r>
      <w:r w:rsidRPr="003B3476">
        <w:rPr>
          <w:rStyle w:val="Notedebasdepage7ptItalique"/>
          <w:b w:val="0"/>
          <w:sz w:val="24"/>
        </w:rPr>
        <w:t>i</w:t>
      </w:r>
      <w:r w:rsidRPr="003B3476">
        <w:rPr>
          <w:rStyle w:val="Notedebasdepage7ptItalique"/>
          <w:b w:val="0"/>
          <w:sz w:val="24"/>
        </w:rPr>
        <w:t>vins offices ;</w:t>
      </w:r>
      <w:r w:rsidRPr="003B3476">
        <w:rPr>
          <w:lang w:val="fr-FR" w:eastAsia="fr-FR" w:bidi="fr-FR"/>
        </w:rPr>
        <w:t xml:space="preserve"> mais le texte de cette impression est souvent fautif. J’ai donné d’assez longs extraits du traité du sacre dans mes </w:t>
      </w:r>
      <w:r w:rsidRPr="003B3476">
        <w:rPr>
          <w:rStyle w:val="Notedebasdepage7ptItalique"/>
          <w:b w:val="0"/>
          <w:sz w:val="24"/>
        </w:rPr>
        <w:t>Rois Thaumaturges</w:t>
      </w:r>
      <w:r w:rsidRPr="003B3476">
        <w:rPr>
          <w:rStyle w:val="Notedebasdepage8ptEspacement0pt"/>
          <w:b w:val="0"/>
          <w:sz w:val="24"/>
        </w:rPr>
        <w:t xml:space="preserve"> </w:t>
      </w:r>
      <w:r w:rsidRPr="003B3476">
        <w:rPr>
          <w:lang w:val="fr-FR" w:eastAsia="fr-FR" w:bidi="fr-FR"/>
        </w:rPr>
        <w:t>(Publications de la Fac. des Lettres de Strasbourg) ; pour le texte cité ci-dessus, p. 482. Je signale en particulier à l’attention des archéologues le pa</w:t>
      </w:r>
      <w:r w:rsidRPr="003B3476">
        <w:rPr>
          <w:lang w:val="fr-FR" w:eastAsia="fr-FR" w:bidi="fr-FR"/>
        </w:rPr>
        <w:t>s</w:t>
      </w:r>
      <w:r w:rsidRPr="003B3476">
        <w:rPr>
          <w:lang w:val="fr-FR" w:eastAsia="fr-FR" w:bidi="fr-FR"/>
        </w:rPr>
        <w:t>sage suivant où se trouve me</w:t>
      </w:r>
      <w:r w:rsidRPr="003B3476">
        <w:rPr>
          <w:lang w:val="fr-FR" w:eastAsia="fr-FR" w:bidi="fr-FR"/>
        </w:rPr>
        <w:t>n</w:t>
      </w:r>
      <w:r w:rsidRPr="003B3476">
        <w:rPr>
          <w:lang w:val="fr-FR" w:eastAsia="fr-FR" w:bidi="fr-FR"/>
        </w:rPr>
        <w:t>tionné un détail iconographique, dont l’exactitude demanderait à être vérifiée (à première vue, elle me paraît plus que douteuse) : au fol. 49 v°, p. 483, e</w:t>
      </w:r>
      <w:r w:rsidRPr="003B3476">
        <w:rPr>
          <w:lang w:val="fr-FR" w:eastAsia="fr-FR" w:bidi="fr-FR"/>
        </w:rPr>
        <w:t>x</w:t>
      </w:r>
      <w:r w:rsidRPr="003B3476">
        <w:rPr>
          <w:lang w:val="fr-FR" w:eastAsia="fr-FR" w:bidi="fr-FR"/>
        </w:rPr>
        <w:t>posant comment, après l’onction, l’archevêque consécrateur passe les gants au roi « pour le saint cresme contr</w:t>
      </w:r>
      <w:r w:rsidRPr="003B3476">
        <w:rPr>
          <w:lang w:val="fr-FR" w:eastAsia="fr-FR" w:bidi="fr-FR"/>
        </w:rPr>
        <w:t>e</w:t>
      </w:r>
      <w:r w:rsidRPr="003B3476">
        <w:rPr>
          <w:lang w:val="fr-FR" w:eastAsia="fr-FR" w:bidi="fr-FR"/>
        </w:rPr>
        <w:t xml:space="preserve">garder d’autre atouchement », </w:t>
      </w:r>
      <w:r w:rsidRPr="003B3476">
        <w:rPr>
          <w:bCs/>
        </w:rPr>
        <w:t xml:space="preserve">J. </w:t>
      </w:r>
      <w:r w:rsidRPr="003B3476">
        <w:rPr>
          <w:lang w:val="fr-FR" w:eastAsia="fr-FR" w:bidi="fr-FR"/>
        </w:rPr>
        <w:t>Golein ajo</w:t>
      </w:r>
      <w:r w:rsidRPr="003B3476">
        <w:rPr>
          <w:lang w:val="fr-FR" w:eastAsia="fr-FR" w:bidi="fr-FR"/>
        </w:rPr>
        <w:t>u</w:t>
      </w:r>
      <w:r w:rsidRPr="003B3476">
        <w:rPr>
          <w:lang w:val="fr-FR" w:eastAsia="fr-FR" w:bidi="fr-FR"/>
        </w:rPr>
        <w:t>te : « Et pour ce que le Roy de France est especialment oint es mains oultre les</w:t>
      </w:r>
      <w:r w:rsidRPr="003B3476">
        <w:rPr>
          <w:lang w:eastAsia="fr-FR" w:bidi="fr-FR"/>
        </w:rPr>
        <w:t xml:space="preserve"> autres roys » — ceci est ce</w:t>
      </w:r>
      <w:r w:rsidRPr="003B3476">
        <w:rPr>
          <w:lang w:eastAsia="fr-FR" w:bidi="fr-FR"/>
        </w:rPr>
        <w:t>r</w:t>
      </w:r>
      <w:r w:rsidRPr="003B3476">
        <w:rPr>
          <w:lang w:eastAsia="fr-FR" w:bidi="fr-FR"/>
        </w:rPr>
        <w:t>tainement faux, les rois d’Angleterre, par exemple, recevaient également l’onction sur les mains — « on li met les gans sur les mains en painture a leurs ymages ».</w:t>
      </w:r>
    </w:p>
  </w:footnote>
  <w:footnote w:id="966">
    <w:p w14:paraId="2FE054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 xml:space="preserve">Olivier </w:t>
      </w:r>
      <w:r w:rsidRPr="003B3476">
        <w:rPr>
          <w:rStyle w:val="Corpsdutexte2665ptPetitesmajuscules"/>
          <w:b w:val="0"/>
          <w:sz w:val="28"/>
          <w:lang w:val="fr-CA"/>
        </w:rPr>
        <w:t xml:space="preserve">Martin, </w:t>
      </w:r>
      <w:r w:rsidRPr="003B3476">
        <w:rPr>
          <w:bCs/>
          <w:i/>
        </w:rPr>
        <w:t>op. laud</w:t>
      </w:r>
      <w:r w:rsidRPr="003B3476">
        <w:rPr>
          <w:bCs/>
        </w:rPr>
        <w:t>.,</w:t>
      </w:r>
      <w:r w:rsidRPr="003B3476">
        <w:rPr>
          <w:lang w:eastAsia="fr-FR" w:bidi="fr-FR"/>
        </w:rPr>
        <w:t xml:space="preserve"> p. 205 suiv.</w:t>
      </w:r>
    </w:p>
  </w:footnote>
  <w:footnote w:id="967">
    <w:p w14:paraId="4C10388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eastAsia="fr-FR" w:bidi="fr-FR"/>
        </w:rPr>
        <w:t xml:space="preserve">L’art religieux du </w:t>
      </w:r>
      <w:r w:rsidRPr="003B3476">
        <w:rPr>
          <w:bCs/>
          <w:i/>
          <w:iCs/>
        </w:rPr>
        <w:t>XII</w:t>
      </w:r>
      <w:r w:rsidRPr="003B3476">
        <w:rPr>
          <w:bCs/>
          <w:i/>
          <w:iCs/>
          <w:vertAlign w:val="superscript"/>
        </w:rPr>
        <w:t>e</w:t>
      </w:r>
      <w:r w:rsidRPr="003B3476">
        <w:rPr>
          <w:i/>
          <w:lang w:eastAsia="fr-FR" w:bidi="fr-FR"/>
        </w:rPr>
        <w:t xml:space="preserve"> siècle en France</w:t>
      </w:r>
      <w:r w:rsidRPr="003B3476">
        <w:rPr>
          <w:b/>
          <w:bCs/>
        </w:rPr>
        <w:t xml:space="preserve">, </w:t>
      </w:r>
      <w:r w:rsidRPr="003B3476">
        <w:rPr>
          <w:bCs/>
        </w:rPr>
        <w:t>p. 248 et suiv.</w:t>
      </w:r>
    </w:p>
  </w:footnote>
  <w:footnote w:id="968">
    <w:p w14:paraId="2555E30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7ptItalique"/>
          <w:b w:val="0"/>
          <w:sz w:val="24"/>
        </w:rPr>
        <w:t>Revue belge de Philologie et d’Histoire,</w:t>
      </w:r>
      <w:r w:rsidRPr="003B3476">
        <w:rPr>
          <w:rStyle w:val="Notedebasdepage8ptEspacement0pt"/>
          <w:sz w:val="24"/>
          <w:lang w:val="fr-CA"/>
        </w:rPr>
        <w:t xml:space="preserve"> </w:t>
      </w:r>
      <w:r w:rsidRPr="003B3476">
        <w:rPr>
          <w:lang w:eastAsia="fr-FR" w:bidi="fr-FR"/>
        </w:rPr>
        <w:t>t. IV, n</w:t>
      </w:r>
      <w:r w:rsidRPr="003B3476">
        <w:rPr>
          <w:vertAlign w:val="superscript"/>
          <w:lang w:eastAsia="fr-FR" w:bidi="fr-FR"/>
        </w:rPr>
        <w:t>os</w:t>
      </w:r>
      <w:r w:rsidRPr="003B3476">
        <w:rPr>
          <w:lang w:eastAsia="fr-FR" w:bidi="fr-FR"/>
        </w:rPr>
        <w:t xml:space="preserve"> 2-3, avril-sept. 1925.— La légende étudiée ici a déjà fait l’objet d’une communication au Congrès d’Histoire des Rel</w:t>
      </w:r>
      <w:r w:rsidRPr="003B3476">
        <w:rPr>
          <w:lang w:eastAsia="fr-FR" w:bidi="fr-FR"/>
        </w:rPr>
        <w:t>i</w:t>
      </w:r>
      <w:r w:rsidRPr="003B3476">
        <w:rPr>
          <w:lang w:eastAsia="fr-FR" w:bidi="fr-FR"/>
        </w:rPr>
        <w:t>gions, qui s’est tenu à Paris au mois d’octobre 1923 ; cette communication — d’ailleurs fort différente du présent travail et sensiblement moins dévelo</w:t>
      </w:r>
      <w:r w:rsidRPr="003B3476">
        <w:rPr>
          <w:lang w:eastAsia="fr-FR" w:bidi="fr-FR"/>
        </w:rPr>
        <w:t>p</w:t>
      </w:r>
      <w:r w:rsidRPr="003B3476">
        <w:rPr>
          <w:lang w:eastAsia="fr-FR" w:bidi="fr-FR"/>
        </w:rPr>
        <w:t>pée — est résumée dans le Recueil consacré au Congrès.</w:t>
      </w:r>
    </w:p>
  </w:footnote>
  <w:footnote w:id="969">
    <w:p w14:paraId="6AF3FFD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7ptItalique"/>
          <w:b w:val="0"/>
          <w:sz w:val="24"/>
          <w:szCs w:val="24"/>
        </w:rPr>
        <w:t>Analecta Bollandiana</w:t>
      </w:r>
      <w:r w:rsidRPr="003B3476">
        <w:rPr>
          <w:rStyle w:val="Notedebasdepage7ptItalique"/>
          <w:b w:val="0"/>
          <w:sz w:val="24"/>
        </w:rPr>
        <w:t>,</w:t>
      </w:r>
      <w:r w:rsidRPr="003B3476">
        <w:rPr>
          <w:rStyle w:val="Notedebasdepage8ptEspacement0pt"/>
          <w:sz w:val="24"/>
          <w:lang w:val="fr-CA"/>
        </w:rPr>
        <w:t xml:space="preserve"> </w:t>
      </w:r>
      <w:r w:rsidRPr="003B3476">
        <w:rPr>
          <w:lang w:eastAsia="fr-FR" w:bidi="fr-FR"/>
        </w:rPr>
        <w:t>t. XLI (1923), p. 124-125 : « Duo uiri ex Anglis per</w:t>
      </w:r>
      <w:r w:rsidRPr="003B3476">
        <w:rPr>
          <w:lang w:eastAsia="fr-FR" w:bidi="fr-FR"/>
        </w:rPr>
        <w:t>e</w:t>
      </w:r>
      <w:r w:rsidRPr="003B3476">
        <w:rPr>
          <w:lang w:eastAsia="fr-FR" w:bidi="fr-FR"/>
        </w:rPr>
        <w:t>gre profe</w:t>
      </w:r>
      <w:r w:rsidRPr="003B3476">
        <w:rPr>
          <w:lang w:eastAsia="fr-FR" w:bidi="fr-FR"/>
        </w:rPr>
        <w:t>c</w:t>
      </w:r>
      <w:r w:rsidRPr="003B3476">
        <w:rPr>
          <w:lang w:eastAsia="fr-FR" w:bidi="fr-FR"/>
        </w:rPr>
        <w:t>ti Ieorosolimam tendunt. Vbi precibus et oblationibus persolutis, ad montem Synai quibus potuerunt laboribus peruenerunt... Et quia fluuius de p</w:t>
      </w:r>
      <w:r w:rsidRPr="003B3476">
        <w:rPr>
          <w:lang w:eastAsia="fr-FR" w:bidi="fr-FR"/>
        </w:rPr>
        <w:t>a</w:t>
      </w:r>
      <w:r w:rsidRPr="003B3476">
        <w:rPr>
          <w:lang w:eastAsia="fr-FR" w:bidi="fr-FR"/>
        </w:rPr>
        <w:t>radiso egrediens haud longe subterfluil, huius ortum decreuerunt inquirere. Circumeuntes uero diuersos ineiderunt errores. Multis igitur diebus huius di</w:t>
      </w:r>
      <w:r w:rsidRPr="003B3476">
        <w:rPr>
          <w:lang w:eastAsia="fr-FR" w:bidi="fr-FR"/>
        </w:rPr>
        <w:t>s</w:t>
      </w:r>
      <w:r w:rsidRPr="003B3476">
        <w:rPr>
          <w:lang w:eastAsia="fr-FR" w:bidi="fr-FR"/>
        </w:rPr>
        <w:t>pendii uanitate consumptis, aduersum sibi murum ofïendunt in itinere, nec u</w:t>
      </w:r>
      <w:r w:rsidRPr="003B3476">
        <w:rPr>
          <w:lang w:eastAsia="fr-FR" w:bidi="fr-FR"/>
        </w:rPr>
        <w:t>s</w:t>
      </w:r>
      <w:r w:rsidRPr="003B3476">
        <w:rPr>
          <w:lang w:eastAsia="fr-FR" w:bidi="fr-FR"/>
        </w:rPr>
        <w:t>piam poterunt eundem pertransire. Longitudo eius erat inuestigabilis et altit</w:t>
      </w:r>
      <w:r w:rsidRPr="003B3476">
        <w:rPr>
          <w:lang w:eastAsia="fr-FR" w:bidi="fr-FR"/>
        </w:rPr>
        <w:t>u</w:t>
      </w:r>
      <w:r w:rsidRPr="003B3476">
        <w:rPr>
          <w:lang w:eastAsia="fr-FR" w:bidi="fr-FR"/>
        </w:rPr>
        <w:t>do infmita. Sequentes tamen Eufraten, arcum conspiciunt curuatum desuper et undas inferius ebullientes uehementer. « Quid » inquiunt « facimus ? quo in loco pertransire poterimus ? Angelus consilii qui nobis dux extitit in arida, i</w:t>
      </w:r>
      <w:r w:rsidRPr="003B3476">
        <w:rPr>
          <w:lang w:eastAsia="fr-FR" w:bidi="fr-FR"/>
        </w:rPr>
        <w:t>p</w:t>
      </w:r>
      <w:r w:rsidRPr="003B3476">
        <w:rPr>
          <w:lang w:eastAsia="fr-FR" w:bidi="fr-FR"/>
        </w:rPr>
        <w:t>se rector nobis esse potest et in unda ». Miserunt ergo manus ad aquam ea</w:t>
      </w:r>
      <w:r w:rsidRPr="003B3476">
        <w:rPr>
          <w:lang w:eastAsia="fr-FR" w:bidi="fr-FR"/>
        </w:rPr>
        <w:t>m</w:t>
      </w:r>
      <w:r w:rsidRPr="003B3476">
        <w:rPr>
          <w:lang w:eastAsia="fr-FR" w:bidi="fr-FR"/>
        </w:rPr>
        <w:t>que reppererunt tepidam et omnino temperatam. Vestes exuunt, seque celeriter undis immergunt ; et areu seposito ulterius allabuntur. Vident siluam in proximo optutibus suis oppositam, frondosam et umbrosam, quam ingredie</w:t>
      </w:r>
      <w:r w:rsidRPr="003B3476">
        <w:rPr>
          <w:lang w:eastAsia="fr-FR" w:bidi="fr-FR"/>
        </w:rPr>
        <w:t>n</w:t>
      </w:r>
      <w:r w:rsidRPr="003B3476">
        <w:rPr>
          <w:lang w:eastAsia="fr-FR" w:bidi="fr-FR"/>
        </w:rPr>
        <w:t>tes inuenere palatium nimia temporis uetustate consumptum. Multa ibi tric</w:t>
      </w:r>
      <w:r w:rsidRPr="003B3476">
        <w:rPr>
          <w:lang w:eastAsia="fr-FR" w:bidi="fr-FR"/>
        </w:rPr>
        <w:t>a</w:t>
      </w:r>
      <w:r w:rsidRPr="003B3476">
        <w:rPr>
          <w:lang w:eastAsia="fr-FR" w:bidi="fr-FR"/>
        </w:rPr>
        <w:t>merata cernentes et triclinia, circumeundo perscrutati sunt singula, et uacua hominibus inuenerunt uniuersa. Tandem extremum perlustrantes thalamum, ex inprouiso ofïenderunt in eo personam celebrem, iocundidate uultu ins</w:t>
      </w:r>
      <w:r w:rsidRPr="003B3476">
        <w:rPr>
          <w:lang w:eastAsia="fr-FR" w:bidi="fr-FR"/>
        </w:rPr>
        <w:t>i</w:t>
      </w:r>
      <w:r w:rsidRPr="003B3476">
        <w:rPr>
          <w:lang w:eastAsia="fr-FR" w:bidi="fr-FR"/>
        </w:rPr>
        <w:t>gnem. Qui eos ualde tremefactos huiusmodi sermonibus consolatur : « Cuius » inquid « nationis homines estis ? que tam longinqui itineris ratio ? Neminem hoc in loco diuturno uidere tempore potui, qui tôt et tantis annis in hac solit</w:t>
      </w:r>
      <w:r w:rsidRPr="003B3476">
        <w:rPr>
          <w:lang w:eastAsia="fr-FR" w:bidi="fr-FR"/>
        </w:rPr>
        <w:t>u</w:t>
      </w:r>
      <w:r w:rsidRPr="003B3476">
        <w:rPr>
          <w:lang w:eastAsia="fr-FR" w:bidi="fr-FR"/>
        </w:rPr>
        <w:t>dine moram feci. Sed ite uelocius, quia transposito nemore uobis apparebit ciuitas regia, omnibus salutis et uite deliciis plena. In hac si sortiri noctu contingat hospicium, omnium uobis non deerit copia bonorum ». Notam uero nominis eius inuestigantes, didicerunt ab eo se de femore Dauid traxisse carnis originem, uulgoque appellatum regem Salomonem. Qui quoniam Deum tam grauiter provocauit ad iracundiam, hanc in se pro penitentia usque ad diem i</w:t>
      </w:r>
      <w:r w:rsidRPr="003B3476">
        <w:rPr>
          <w:lang w:eastAsia="fr-FR" w:bidi="fr-FR"/>
        </w:rPr>
        <w:t>u</w:t>
      </w:r>
      <w:r w:rsidRPr="003B3476">
        <w:rPr>
          <w:lang w:eastAsia="fr-FR" w:bidi="fr-FR"/>
        </w:rPr>
        <w:t>dicii exercet uindictam. Quibus auditis corde compuncti sunt, et accepta lice</w:t>
      </w:r>
      <w:r w:rsidRPr="003B3476">
        <w:rPr>
          <w:lang w:eastAsia="fr-FR" w:bidi="fr-FR"/>
        </w:rPr>
        <w:t>n</w:t>
      </w:r>
      <w:r w:rsidRPr="003B3476">
        <w:rPr>
          <w:lang w:eastAsia="fr-FR" w:bidi="fr-FR"/>
        </w:rPr>
        <w:t>tia recesserunt. »</w:t>
      </w:r>
    </w:p>
  </w:footnote>
  <w:footnote w:id="970">
    <w:p w14:paraId="2DAA31E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C’est ainsi que je crois devoir rendre </w:t>
      </w:r>
      <w:r w:rsidRPr="003B3476">
        <w:rPr>
          <w:bCs/>
          <w:i/>
        </w:rPr>
        <w:t>celebrem</w:t>
      </w:r>
      <w:r w:rsidRPr="003B3476">
        <w:rPr>
          <w:lang w:val="fr-FR" w:eastAsia="fr-FR" w:bidi="fr-FR"/>
        </w:rPr>
        <w:t xml:space="preserve"> dont le sens n’est pas très clair.</w:t>
      </w:r>
    </w:p>
  </w:footnote>
  <w:footnote w:id="971">
    <w:p w14:paraId="7548FBC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différentes </w:t>
      </w:r>
      <w:r w:rsidRPr="003B3476">
        <w:rPr>
          <w:bCs/>
        </w:rPr>
        <w:t>Vies</w:t>
      </w:r>
      <w:r w:rsidRPr="003B3476">
        <w:rPr>
          <w:lang w:val="fr-FR" w:eastAsia="fr-FR" w:bidi="fr-FR"/>
        </w:rPr>
        <w:t xml:space="preserve"> d’Édouard le Confesseur, je me contenterai de re</w:t>
      </w:r>
      <w:r w:rsidRPr="003B3476">
        <w:rPr>
          <w:lang w:val="fr-FR" w:eastAsia="fr-FR" w:bidi="fr-FR"/>
        </w:rPr>
        <w:t>n</w:t>
      </w:r>
      <w:r w:rsidRPr="003B3476">
        <w:rPr>
          <w:lang w:val="fr-FR" w:eastAsia="fr-FR" w:bidi="fr-FR"/>
        </w:rPr>
        <w:t xml:space="preserve">voyer ici </w:t>
      </w:r>
      <w:r w:rsidRPr="003B3476">
        <w:rPr>
          <w:bCs/>
        </w:rPr>
        <w:t xml:space="preserve">à </w:t>
      </w:r>
      <w:r w:rsidRPr="003B3476">
        <w:rPr>
          <w:lang w:val="fr-FR" w:eastAsia="fr-FR" w:bidi="fr-FR"/>
        </w:rPr>
        <w:t xml:space="preserve">mon Introduction </w:t>
      </w:r>
      <w:r w:rsidRPr="003B3476">
        <w:rPr>
          <w:bCs/>
        </w:rPr>
        <w:t xml:space="preserve">à </w:t>
      </w:r>
      <w:r w:rsidRPr="003B3476">
        <w:rPr>
          <w:lang w:val="fr-FR" w:eastAsia="fr-FR" w:bidi="fr-FR"/>
        </w:rPr>
        <w:t xml:space="preserve">la </w:t>
      </w:r>
      <w:r w:rsidRPr="003B3476">
        <w:rPr>
          <w:bCs/>
          <w:i/>
        </w:rPr>
        <w:t>Vie</w:t>
      </w:r>
      <w:r w:rsidRPr="003B3476">
        <w:rPr>
          <w:lang w:val="fr-FR" w:eastAsia="fr-FR" w:bidi="fr-FR"/>
        </w:rPr>
        <w:t xml:space="preserve"> composée par </w:t>
      </w:r>
      <w:r w:rsidRPr="003B3476">
        <w:rPr>
          <w:rStyle w:val="Notedebasdepage65ptPetitesmajuscules"/>
          <w:b w:val="0"/>
          <w:sz w:val="24"/>
        </w:rPr>
        <w:t xml:space="preserve">Osbert de Clare, </w:t>
      </w:r>
      <w:r w:rsidRPr="003B3476">
        <w:rPr>
          <w:bCs/>
          <w:i/>
        </w:rPr>
        <w:t>An</w:t>
      </w:r>
      <w:r w:rsidRPr="003B3476">
        <w:rPr>
          <w:bCs/>
          <w:i/>
        </w:rPr>
        <w:t>a</w:t>
      </w:r>
      <w:r w:rsidRPr="003B3476">
        <w:rPr>
          <w:bCs/>
          <w:i/>
        </w:rPr>
        <w:t>lecta Bo</w:t>
      </w:r>
      <w:r w:rsidRPr="003B3476">
        <w:rPr>
          <w:bCs/>
          <w:i/>
        </w:rPr>
        <w:t>l</w:t>
      </w:r>
      <w:r w:rsidRPr="003B3476">
        <w:rPr>
          <w:bCs/>
          <w:i/>
        </w:rPr>
        <w:t>landiana</w:t>
      </w:r>
      <w:r w:rsidRPr="003B3476">
        <w:rPr>
          <w:lang w:val="fr-FR" w:eastAsia="fr-FR" w:bidi="fr-FR"/>
        </w:rPr>
        <w:t xml:space="preserve">, t. XLI, notamment p. 1-17 et p. 56-63, </w:t>
      </w:r>
      <w:r w:rsidRPr="003B3476">
        <w:rPr>
          <w:bCs/>
          <w:i/>
        </w:rPr>
        <w:t>infra</w:t>
      </w:r>
      <w:r w:rsidRPr="003B3476">
        <w:rPr>
          <w:bCs/>
        </w:rPr>
        <w:t>,</w:t>
      </w:r>
      <w:r w:rsidRPr="003B3476">
        <w:rPr>
          <w:lang w:val="fr-FR" w:eastAsia="fr-FR" w:bidi="fr-FR"/>
        </w:rPr>
        <w:t xml:space="preserve"> p. 948-955 et 980-984. La date de la rédaction de Cambridge</w:t>
      </w:r>
      <w:r w:rsidRPr="003B3476">
        <w:rPr>
          <w:lang w:eastAsia="fr-FR" w:bidi="fr-FR"/>
        </w:rPr>
        <w:t xml:space="preserve"> s’établit comme il suit. Elle est certa</w:t>
      </w:r>
      <w:r w:rsidRPr="003B3476">
        <w:rPr>
          <w:lang w:eastAsia="fr-FR" w:bidi="fr-FR"/>
        </w:rPr>
        <w:t>i</w:t>
      </w:r>
      <w:r w:rsidRPr="003B3476">
        <w:rPr>
          <w:lang w:eastAsia="fr-FR" w:bidi="fr-FR"/>
        </w:rPr>
        <w:t xml:space="preserve">nement postérieure à la canonisation de S. Édouard (7 février 1161), comme le prouve le passage publié </w:t>
      </w:r>
      <w:r w:rsidRPr="003B3476">
        <w:rPr>
          <w:rStyle w:val="Corpsdutexte267ptItalique"/>
          <w:rFonts w:eastAsia="Arial"/>
          <w:b w:val="0"/>
          <w:sz w:val="24"/>
          <w:lang w:val="fr-CA"/>
        </w:rPr>
        <w:t>Analecta</w:t>
      </w:r>
      <w:r w:rsidRPr="003B3476">
        <w:rPr>
          <w:lang w:eastAsia="fr-FR" w:bidi="fr-FR"/>
        </w:rPr>
        <w:t>, p. 128, où il est fait mention de la fête du saint. Par ailleurs le manuscrit qui nous l’a conservée semble, d’après ses c</w:t>
      </w:r>
      <w:r w:rsidRPr="003B3476">
        <w:rPr>
          <w:lang w:eastAsia="fr-FR" w:bidi="fr-FR"/>
        </w:rPr>
        <w:t>a</w:t>
      </w:r>
      <w:r w:rsidRPr="003B3476">
        <w:rPr>
          <w:lang w:eastAsia="fr-FR" w:bidi="fr-FR"/>
        </w:rPr>
        <w:t>ractères paléographiques, avoir été écrit dans la première moitié du XIII</w:t>
      </w:r>
      <w:r w:rsidRPr="003B3476">
        <w:rPr>
          <w:vertAlign w:val="superscript"/>
          <w:lang w:eastAsia="fr-FR" w:bidi="fr-FR"/>
        </w:rPr>
        <w:t>e</w:t>
      </w:r>
      <w:r w:rsidRPr="003B3476">
        <w:rPr>
          <w:lang w:eastAsia="fr-FR" w:bidi="fr-FR"/>
        </w:rPr>
        <w:t xml:space="preserve"> si</w:t>
      </w:r>
      <w:r w:rsidRPr="003B3476">
        <w:rPr>
          <w:lang w:eastAsia="fr-FR" w:bidi="fr-FR"/>
        </w:rPr>
        <w:t>è</w:t>
      </w:r>
      <w:r w:rsidRPr="003B3476">
        <w:rPr>
          <w:lang w:eastAsia="fr-FR" w:bidi="fr-FR"/>
        </w:rPr>
        <w:t>cle.</w:t>
      </w:r>
    </w:p>
  </w:footnote>
  <w:footnote w:id="972">
    <w:p w14:paraId="0BEFD61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szCs w:val="24"/>
          <w:lang w:eastAsia="fr-FR" w:bidi="fr-FR"/>
        </w:rPr>
        <w:t xml:space="preserve">R. </w:t>
      </w:r>
      <w:r w:rsidRPr="003B3476">
        <w:rPr>
          <w:bCs/>
          <w:smallCaps/>
          <w:szCs w:val="24"/>
        </w:rPr>
        <w:t>Twysden</w:t>
      </w:r>
      <w:r w:rsidRPr="003B3476">
        <w:rPr>
          <w:bCs/>
          <w:szCs w:val="24"/>
        </w:rPr>
        <w:t xml:space="preserve">, </w:t>
      </w:r>
      <w:r w:rsidRPr="003B3476">
        <w:rPr>
          <w:rStyle w:val="Corpsdutexte267ptItalique"/>
          <w:rFonts w:eastAsia="Arial"/>
          <w:b w:val="0"/>
          <w:sz w:val="24"/>
          <w:szCs w:val="24"/>
          <w:lang w:val="fr-CA"/>
        </w:rPr>
        <w:t>Historiae anglicanae scriptores</w:t>
      </w:r>
      <w:r w:rsidRPr="003B3476">
        <w:rPr>
          <w:rStyle w:val="Corpsdutexte267ptItalique"/>
          <w:rFonts w:eastAsia="Arial"/>
          <w:sz w:val="24"/>
          <w:szCs w:val="24"/>
          <w:lang w:val="fr-CA"/>
        </w:rPr>
        <w:t xml:space="preserve"> </w:t>
      </w:r>
      <w:r w:rsidRPr="003B3476">
        <w:rPr>
          <w:bCs/>
          <w:szCs w:val="24"/>
        </w:rPr>
        <w:t>X</w:t>
      </w:r>
      <w:r w:rsidRPr="003B3476">
        <w:rPr>
          <w:szCs w:val="24"/>
          <w:lang w:eastAsia="fr-FR" w:bidi="fr-FR"/>
        </w:rPr>
        <w:t xml:space="preserve">, col. 397 et </w:t>
      </w:r>
      <w:r w:rsidRPr="003B3476">
        <w:rPr>
          <w:bCs/>
          <w:szCs w:val="24"/>
        </w:rPr>
        <w:t xml:space="preserve">Migne, </w:t>
      </w:r>
      <w:r w:rsidRPr="003B3476">
        <w:rPr>
          <w:rStyle w:val="Corpsdutexte267ptItalique"/>
          <w:rFonts w:eastAsia="Arial"/>
          <w:b w:val="0"/>
          <w:sz w:val="24"/>
          <w:szCs w:val="24"/>
          <w:lang w:val="fr-CA"/>
        </w:rPr>
        <w:t>P.</w:t>
      </w:r>
      <w:r w:rsidRPr="003B3476">
        <w:rPr>
          <w:rStyle w:val="Corpsdutexte267ptItalique"/>
          <w:rFonts w:eastAsia="Arial"/>
          <w:sz w:val="24"/>
          <w:szCs w:val="24"/>
          <w:lang w:val="fr-CA"/>
        </w:rPr>
        <w:t xml:space="preserve"> </w:t>
      </w:r>
      <w:r w:rsidRPr="003B3476">
        <w:rPr>
          <w:bCs/>
          <w:i/>
          <w:szCs w:val="24"/>
        </w:rPr>
        <w:t>L</w:t>
      </w:r>
      <w:r w:rsidRPr="003B3476">
        <w:rPr>
          <w:bCs/>
          <w:szCs w:val="24"/>
        </w:rPr>
        <w:t>.,</w:t>
      </w:r>
      <w:r w:rsidRPr="003B3476">
        <w:rPr>
          <w:szCs w:val="24"/>
          <w:lang w:eastAsia="fr-FR" w:bidi="fr-FR"/>
        </w:rPr>
        <w:t xml:space="preserve"> </w:t>
      </w:r>
      <w:r w:rsidRPr="003B3476">
        <w:rPr>
          <w:lang w:eastAsia="fr-FR" w:bidi="fr-FR"/>
        </w:rPr>
        <w:t>t. 195, col. 769-770.</w:t>
      </w:r>
    </w:p>
  </w:footnote>
  <w:footnote w:id="973">
    <w:p w14:paraId="0AF5E1B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eastAsia="fr-FR" w:bidi="fr-FR"/>
        </w:rPr>
        <w:t>Historia Ecclesiastica</w:t>
      </w:r>
      <w:r w:rsidRPr="003B3476">
        <w:rPr>
          <w:rStyle w:val="Corpsdutexte3175ptNonItalique"/>
          <w:i w:val="0"/>
          <w:iCs w:val="0"/>
          <w:sz w:val="24"/>
          <w:lang w:val="fr-CA"/>
        </w:rPr>
        <w:t xml:space="preserve">, </w:t>
      </w:r>
      <w:r w:rsidRPr="003B3476">
        <w:rPr>
          <w:rStyle w:val="Corpsdutexte3175ptNonItalique"/>
          <w:b w:val="0"/>
          <w:i w:val="0"/>
          <w:iCs w:val="0"/>
          <w:sz w:val="24"/>
          <w:lang w:val="fr-CA"/>
        </w:rPr>
        <w:t xml:space="preserve">V, 12 (éd. </w:t>
      </w:r>
      <w:r w:rsidRPr="003B3476">
        <w:rPr>
          <w:rStyle w:val="Corpsdutexte3165ptNonItalique"/>
          <w:b w:val="0"/>
          <w:i w:val="0"/>
          <w:iCs w:val="0"/>
          <w:smallCaps/>
          <w:sz w:val="24"/>
          <w:lang w:val="fr-CA"/>
        </w:rPr>
        <w:t>Plummer</w:t>
      </w:r>
      <w:r w:rsidRPr="003B3476">
        <w:rPr>
          <w:rStyle w:val="Corpsdutexte3165ptNonItalique"/>
          <w:b w:val="0"/>
          <w:i w:val="0"/>
          <w:iCs w:val="0"/>
          <w:sz w:val="24"/>
          <w:lang w:val="fr-CA"/>
        </w:rPr>
        <w:t xml:space="preserve">, </w:t>
      </w:r>
      <w:r w:rsidRPr="003B3476">
        <w:rPr>
          <w:rStyle w:val="Corpsdutexte3175ptNonItalique"/>
          <w:b w:val="0"/>
          <w:i w:val="0"/>
          <w:iCs w:val="0"/>
          <w:sz w:val="24"/>
          <w:lang w:val="fr-CA"/>
        </w:rPr>
        <w:t>t. I, p. 307).</w:t>
      </w:r>
      <w:r w:rsidRPr="003B3476">
        <w:rPr>
          <w:rStyle w:val="Corpsdutexte3175ptNonItalique"/>
          <w:i w:val="0"/>
          <w:iCs w:val="0"/>
          <w:sz w:val="24"/>
          <w:lang w:val="fr-CA"/>
        </w:rPr>
        <w:t xml:space="preserve"> </w:t>
      </w:r>
      <w:r w:rsidRPr="003B3476">
        <w:rPr>
          <w:i/>
          <w:lang w:eastAsia="fr-FR" w:bidi="fr-FR"/>
        </w:rPr>
        <w:t>Cf.</w:t>
      </w:r>
      <w:r w:rsidRPr="003B3476">
        <w:rPr>
          <w:rStyle w:val="Corpsdutexte318ptNonItaliqueEspacement0pt"/>
          <w:i w:val="0"/>
          <w:iCs w:val="0"/>
          <w:sz w:val="24"/>
          <w:lang w:val="fr-CA"/>
        </w:rPr>
        <w:t xml:space="preserve"> </w:t>
      </w:r>
      <w:r w:rsidRPr="003B3476">
        <w:rPr>
          <w:rStyle w:val="Corpsdutexte3165ptNonItalique"/>
          <w:b w:val="0"/>
          <w:i w:val="0"/>
          <w:iCs w:val="0"/>
          <w:smallCaps/>
          <w:sz w:val="24"/>
          <w:lang w:val="fr-CA"/>
        </w:rPr>
        <w:t>Alcuin</w:t>
      </w:r>
      <w:r w:rsidRPr="003B3476">
        <w:rPr>
          <w:rStyle w:val="Corpsdutexte3165ptNonItalique"/>
          <w:b w:val="0"/>
          <w:i w:val="0"/>
          <w:iCs w:val="0"/>
          <w:sz w:val="24"/>
          <w:lang w:val="fr-CA"/>
        </w:rPr>
        <w:t>,</w:t>
      </w:r>
      <w:r w:rsidRPr="003B3476">
        <w:rPr>
          <w:rStyle w:val="Corpsdutexte3165ptNonItalique"/>
          <w:i w:val="0"/>
          <w:iCs w:val="0"/>
          <w:sz w:val="24"/>
          <w:lang w:val="fr-CA"/>
        </w:rPr>
        <w:t xml:space="preserve"> </w:t>
      </w:r>
      <w:r w:rsidRPr="003B3476">
        <w:rPr>
          <w:i/>
          <w:lang w:eastAsia="fr-FR" w:bidi="fr-FR"/>
        </w:rPr>
        <w:t>Versus de sanctis Euboricensis ecclesiae</w:t>
      </w:r>
      <w:r w:rsidRPr="003B3476">
        <w:rPr>
          <w:lang w:eastAsia="fr-FR" w:bidi="fr-FR"/>
        </w:rPr>
        <w:t>,</w:t>
      </w:r>
      <w:r w:rsidRPr="003B3476">
        <w:rPr>
          <w:rStyle w:val="Corpsdutexte318ptNonItaliqueEspacement0pt"/>
          <w:i w:val="0"/>
          <w:iCs w:val="0"/>
          <w:sz w:val="24"/>
          <w:lang w:val="fr-CA"/>
        </w:rPr>
        <w:t xml:space="preserve"> </w:t>
      </w:r>
      <w:r w:rsidRPr="003B3476">
        <w:rPr>
          <w:rStyle w:val="Corpsdutexte3175ptNonItalique"/>
          <w:b w:val="0"/>
          <w:i w:val="0"/>
          <w:iCs w:val="0"/>
          <w:sz w:val="24"/>
          <w:lang w:val="fr-CA"/>
        </w:rPr>
        <w:t>v. 959-960</w:t>
      </w:r>
      <w:r w:rsidRPr="003B3476">
        <w:rPr>
          <w:rStyle w:val="Corpsdutexte3175ptNonItalique"/>
          <w:i w:val="0"/>
          <w:iCs w:val="0"/>
          <w:sz w:val="24"/>
          <w:lang w:val="fr-CA"/>
        </w:rPr>
        <w:t xml:space="preserve"> (</w:t>
      </w:r>
      <w:r w:rsidRPr="003B3476">
        <w:rPr>
          <w:i/>
          <w:lang w:eastAsia="fr-FR" w:bidi="fr-FR"/>
        </w:rPr>
        <w:t>Monum</w:t>
      </w:r>
      <w:r w:rsidRPr="003B3476">
        <w:rPr>
          <w:b/>
          <w:bCs/>
          <w:i/>
          <w:iCs/>
        </w:rPr>
        <w:t xml:space="preserve">. </w:t>
      </w:r>
      <w:r w:rsidRPr="003B3476">
        <w:rPr>
          <w:i/>
          <w:lang w:eastAsia="fr-FR" w:bidi="fr-FR"/>
        </w:rPr>
        <w:t>German. Poetae latini aevi Carolini</w:t>
      </w:r>
      <w:r w:rsidRPr="003B3476">
        <w:rPr>
          <w:rStyle w:val="Corpsdutexte3175ptNonItalique"/>
          <w:i w:val="0"/>
          <w:iCs w:val="0"/>
          <w:sz w:val="24"/>
          <w:lang w:val="fr-CA"/>
        </w:rPr>
        <w:t xml:space="preserve">, </w:t>
      </w:r>
      <w:r w:rsidRPr="003B3476">
        <w:rPr>
          <w:rStyle w:val="Corpsdutexte3175ptNonItalique"/>
          <w:b w:val="0"/>
          <w:i w:val="0"/>
          <w:iCs w:val="0"/>
          <w:sz w:val="24"/>
          <w:lang w:val="fr-CA"/>
        </w:rPr>
        <w:t>t. I, p. 190).</w:t>
      </w:r>
    </w:p>
  </w:footnote>
  <w:footnote w:id="974">
    <w:p w14:paraId="15DFFDE6"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Corpsdutexte327ptItalique"/>
          <w:b w:val="0"/>
          <w:sz w:val="24"/>
          <w:lang w:val="fr-CA"/>
        </w:rPr>
        <w:t>Ep.</w:t>
      </w:r>
      <w:r w:rsidRPr="003B3476">
        <w:rPr>
          <w:rStyle w:val="Corpsdutexte328ptEspacement0pt"/>
          <w:b w:val="0"/>
        </w:rPr>
        <w:t xml:space="preserve"> </w:t>
      </w:r>
      <w:r w:rsidRPr="003B3476">
        <w:rPr>
          <w:bCs/>
        </w:rPr>
        <w:t>10</w:t>
      </w:r>
      <w:r w:rsidRPr="003B3476">
        <w:rPr>
          <w:b/>
          <w:bCs/>
        </w:rPr>
        <w:t xml:space="preserve"> </w:t>
      </w:r>
      <w:r w:rsidRPr="003B3476">
        <w:rPr>
          <w:lang w:eastAsia="fr-FR" w:bidi="fr-FR"/>
        </w:rPr>
        <w:t xml:space="preserve">(éd. </w:t>
      </w:r>
      <w:r w:rsidRPr="003B3476">
        <w:rPr>
          <w:smallCaps/>
          <w:lang w:eastAsia="fr-FR" w:bidi="fr-FR"/>
        </w:rPr>
        <w:t>Tangl</w:t>
      </w:r>
      <w:r w:rsidRPr="003B3476">
        <w:rPr>
          <w:lang w:eastAsia="fr-FR" w:bidi="fr-FR"/>
        </w:rPr>
        <w:t xml:space="preserve">, </w:t>
      </w:r>
      <w:r w:rsidRPr="003B3476">
        <w:rPr>
          <w:bCs/>
        </w:rPr>
        <w:t>p. 8</w:t>
      </w:r>
      <w:r w:rsidRPr="003B3476">
        <w:rPr>
          <w:b/>
          <w:bCs/>
        </w:rPr>
        <w:t xml:space="preserve"> </w:t>
      </w:r>
      <w:r w:rsidRPr="003B3476">
        <w:rPr>
          <w:lang w:eastAsia="fr-FR" w:bidi="fr-FR"/>
        </w:rPr>
        <w:t xml:space="preserve">et suiv.). </w:t>
      </w:r>
      <w:r w:rsidRPr="003B3476">
        <w:rPr>
          <w:rStyle w:val="Corpsdutexte327ptItalique"/>
          <w:b w:val="0"/>
          <w:sz w:val="24"/>
          <w:lang w:val="fr-CA"/>
        </w:rPr>
        <w:t>Cf.</w:t>
      </w:r>
      <w:r w:rsidRPr="003B3476">
        <w:rPr>
          <w:rStyle w:val="Corpsdutexte328ptEspacement0pt"/>
        </w:rPr>
        <w:t xml:space="preserve"> </w:t>
      </w:r>
      <w:r w:rsidRPr="003B3476">
        <w:rPr>
          <w:lang w:eastAsia="fr-FR" w:bidi="fr-FR"/>
        </w:rPr>
        <w:t xml:space="preserve">aussi </w:t>
      </w:r>
      <w:r w:rsidRPr="003B3476">
        <w:rPr>
          <w:bCs/>
        </w:rPr>
        <w:t>la</w:t>
      </w:r>
      <w:r w:rsidRPr="003B3476">
        <w:rPr>
          <w:b/>
          <w:bCs/>
        </w:rPr>
        <w:t xml:space="preserve"> </w:t>
      </w:r>
      <w:r w:rsidRPr="003B3476">
        <w:rPr>
          <w:rStyle w:val="Corpsdutexte327ptItalique"/>
          <w:b w:val="0"/>
          <w:sz w:val="24"/>
          <w:lang w:val="fr-CA"/>
        </w:rPr>
        <w:t>Visio cuiusdam pauperculae m</w:t>
      </w:r>
      <w:r w:rsidRPr="003B3476">
        <w:rPr>
          <w:rStyle w:val="Corpsdutexte327ptItalique"/>
          <w:b w:val="0"/>
          <w:sz w:val="24"/>
          <w:lang w:val="fr-CA"/>
        </w:rPr>
        <w:t>u</w:t>
      </w:r>
      <w:r w:rsidRPr="003B3476">
        <w:rPr>
          <w:rStyle w:val="Corpsdutexte327ptItalique"/>
          <w:b w:val="0"/>
          <w:sz w:val="24"/>
          <w:lang w:val="fr-CA"/>
        </w:rPr>
        <w:t>lieris</w:t>
      </w:r>
      <w:r w:rsidRPr="003B3476">
        <w:rPr>
          <w:rStyle w:val="Corpsdutexte328ptEspacement0pt"/>
          <w:b w:val="0"/>
        </w:rPr>
        <w:t xml:space="preserve">, </w:t>
      </w:r>
      <w:r w:rsidRPr="003B3476">
        <w:rPr>
          <w:lang w:eastAsia="fr-FR" w:bidi="fr-FR"/>
        </w:rPr>
        <w:t xml:space="preserve">dans </w:t>
      </w:r>
      <w:r w:rsidRPr="003B3476">
        <w:rPr>
          <w:smallCaps/>
          <w:lang w:eastAsia="fr-FR" w:bidi="fr-FR"/>
        </w:rPr>
        <w:t>Wattenbach</w:t>
      </w:r>
      <w:r w:rsidRPr="003B3476">
        <w:rPr>
          <w:lang w:eastAsia="fr-FR" w:bidi="fr-FR"/>
        </w:rPr>
        <w:t xml:space="preserve">, </w:t>
      </w:r>
      <w:r w:rsidRPr="003B3476">
        <w:rPr>
          <w:rStyle w:val="Corpsdutexte327ptItalique"/>
          <w:b w:val="0"/>
          <w:sz w:val="24"/>
          <w:lang w:val="fr-CA"/>
        </w:rPr>
        <w:t>Deutschlands Geschichtsquellen</w:t>
      </w:r>
      <w:r w:rsidRPr="003B3476">
        <w:rPr>
          <w:rStyle w:val="Corpsdutexte328ptEspacement0pt"/>
          <w:b w:val="0"/>
        </w:rPr>
        <w:t>,</w:t>
      </w:r>
      <w:r w:rsidRPr="003B3476">
        <w:rPr>
          <w:rStyle w:val="Corpsdutexte328ptEspacement0pt"/>
        </w:rPr>
        <w:t xml:space="preserve"> </w:t>
      </w:r>
      <w:r w:rsidRPr="003B3476">
        <w:rPr>
          <w:lang w:eastAsia="fr-FR" w:bidi="fr-FR"/>
        </w:rPr>
        <w:t>6</w:t>
      </w:r>
      <w:r w:rsidRPr="003B3476">
        <w:rPr>
          <w:vertAlign w:val="superscript"/>
          <w:lang w:eastAsia="fr-FR" w:bidi="fr-FR"/>
        </w:rPr>
        <w:t>e</w:t>
      </w:r>
      <w:r w:rsidRPr="003B3476">
        <w:rPr>
          <w:lang w:eastAsia="fr-FR" w:bidi="fr-FR"/>
        </w:rPr>
        <w:t xml:space="preserve"> éd., t. I, p. </w:t>
      </w:r>
      <w:r w:rsidRPr="003B3476">
        <w:rPr>
          <w:bCs/>
        </w:rPr>
        <w:t>278,</w:t>
      </w:r>
      <w:r w:rsidRPr="003B3476">
        <w:rPr>
          <w:b/>
          <w:bCs/>
        </w:rPr>
        <w:t xml:space="preserve"> </w:t>
      </w:r>
      <w:r w:rsidRPr="003B3476">
        <w:rPr>
          <w:lang w:eastAsia="fr-FR" w:bidi="fr-FR"/>
        </w:rPr>
        <w:t xml:space="preserve">en note (le texte n’a pas été reproduit dans la </w:t>
      </w:r>
      <w:r w:rsidRPr="003B3476">
        <w:rPr>
          <w:bCs/>
        </w:rPr>
        <w:t>7</w:t>
      </w:r>
      <w:r w:rsidRPr="003B3476">
        <w:rPr>
          <w:bCs/>
          <w:vertAlign w:val="superscript"/>
        </w:rPr>
        <w:t>e</w:t>
      </w:r>
      <w:r w:rsidRPr="003B3476">
        <w:rPr>
          <w:bCs/>
        </w:rPr>
        <w:t xml:space="preserve"> </w:t>
      </w:r>
      <w:r w:rsidRPr="003B3476">
        <w:rPr>
          <w:lang w:eastAsia="fr-FR" w:bidi="fr-FR"/>
        </w:rPr>
        <w:t>éd.).</w:t>
      </w:r>
    </w:p>
  </w:footnote>
  <w:footnote w:id="975">
    <w:p w14:paraId="4D1C15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Tel est le cas, par exemple, dans le célèbre </w:t>
      </w:r>
      <w:r w:rsidRPr="003B3476">
        <w:rPr>
          <w:rStyle w:val="Notedebasdepage7ptItalique"/>
          <w:b w:val="0"/>
          <w:sz w:val="24"/>
        </w:rPr>
        <w:t>Tractatus de Purgatorio sancti Patricii</w:t>
      </w:r>
      <w:r w:rsidRPr="003B3476">
        <w:rPr>
          <w:rStyle w:val="Notedebasdepage8ptEspacement0pt"/>
          <w:b w:val="0"/>
          <w:sz w:val="24"/>
        </w:rPr>
        <w:t xml:space="preserve"> </w:t>
      </w:r>
      <w:r w:rsidRPr="003B3476">
        <w:rPr>
          <w:lang w:val="fr-FR" w:eastAsia="fr-FR" w:bidi="fr-FR"/>
        </w:rPr>
        <w:t xml:space="preserve">de Henri de </w:t>
      </w:r>
      <w:r w:rsidRPr="003B3476">
        <w:rPr>
          <w:bCs/>
          <w:smallCaps/>
        </w:rPr>
        <w:t>Saltrey</w:t>
      </w:r>
      <w:r w:rsidRPr="003B3476">
        <w:rPr>
          <w:bCs/>
        </w:rPr>
        <w:t xml:space="preserve"> (</w:t>
      </w:r>
      <w:r w:rsidRPr="003B3476">
        <w:rPr>
          <w:bCs/>
          <w:smallCaps/>
        </w:rPr>
        <w:t>Migne</w:t>
      </w:r>
      <w:r w:rsidRPr="003B3476">
        <w:rPr>
          <w:bCs/>
        </w:rPr>
        <w:t xml:space="preserve">, </w:t>
      </w:r>
      <w:r w:rsidRPr="003B3476">
        <w:rPr>
          <w:i/>
          <w:lang w:val="fr-FR" w:eastAsia="fr-FR" w:bidi="fr-FR"/>
        </w:rPr>
        <w:t>P. L</w:t>
      </w:r>
      <w:r w:rsidRPr="003B3476">
        <w:rPr>
          <w:lang w:val="fr-FR" w:eastAsia="fr-FR" w:bidi="fr-FR"/>
        </w:rPr>
        <w:t xml:space="preserve">., t. 180, col. 997-998 et </w:t>
      </w:r>
      <w:r w:rsidRPr="003B3476">
        <w:rPr>
          <w:rStyle w:val="Notedebasdepage7ptItalique"/>
          <w:b w:val="0"/>
          <w:sz w:val="24"/>
        </w:rPr>
        <w:t>Romani</w:t>
      </w:r>
      <w:r w:rsidRPr="003B3476">
        <w:rPr>
          <w:rStyle w:val="Notedebasdepage7ptItalique"/>
          <w:b w:val="0"/>
          <w:sz w:val="24"/>
        </w:rPr>
        <w:t>s</w:t>
      </w:r>
      <w:r w:rsidRPr="003B3476">
        <w:rPr>
          <w:rStyle w:val="Notedebasdepage7ptItalique"/>
          <w:b w:val="0"/>
          <w:sz w:val="24"/>
        </w:rPr>
        <w:t>che Forschungen,</w:t>
      </w:r>
      <w:r w:rsidRPr="003B3476">
        <w:rPr>
          <w:rStyle w:val="Notedebasdepage8ptEspacement0pt"/>
          <w:b w:val="0"/>
          <w:sz w:val="24"/>
        </w:rPr>
        <w:t xml:space="preserve"> </w:t>
      </w:r>
      <w:r w:rsidRPr="003B3476">
        <w:rPr>
          <w:lang w:val="fr-FR" w:eastAsia="fr-FR" w:bidi="fr-FR"/>
        </w:rPr>
        <w:t>t. VI (1891), p. 184-185) qui, soit dans son texte original, soit par l’intermédiaire de tradu</w:t>
      </w:r>
      <w:r w:rsidRPr="003B3476">
        <w:rPr>
          <w:lang w:val="fr-FR" w:eastAsia="fr-FR" w:bidi="fr-FR"/>
        </w:rPr>
        <w:t>c</w:t>
      </w:r>
      <w:r w:rsidRPr="003B3476">
        <w:rPr>
          <w:lang w:val="fr-FR" w:eastAsia="fr-FR" w:bidi="fr-FR"/>
        </w:rPr>
        <w:t xml:space="preserve">tions ou adaptations françaises ou anglaises, fut du </w:t>
      </w:r>
      <w:r w:rsidRPr="003B3476">
        <w:rPr>
          <w:smallCaps/>
          <w:lang w:val="fr-FR" w:eastAsia="fr-FR" w:bidi="fr-FR"/>
        </w:rPr>
        <w:t>xii</w:t>
      </w:r>
      <w:r w:rsidRPr="003B3476">
        <w:rPr>
          <w:vertAlign w:val="superscript"/>
          <w:lang w:val="fr-FR" w:eastAsia="fr-FR" w:bidi="fr-FR"/>
        </w:rPr>
        <w:t>e</w:t>
      </w:r>
      <w:r w:rsidRPr="003B3476">
        <w:rPr>
          <w:lang w:val="fr-FR" w:eastAsia="fr-FR" w:bidi="fr-FR"/>
        </w:rPr>
        <w:t xml:space="preserve"> au </w:t>
      </w:r>
      <w:r w:rsidRPr="003B3476">
        <w:rPr>
          <w:smallCaps/>
          <w:lang w:val="fr-FR" w:eastAsia="fr-FR" w:bidi="fr-FR"/>
        </w:rPr>
        <w:t>xiv</w:t>
      </w:r>
      <w:r w:rsidRPr="003B3476">
        <w:rPr>
          <w:vertAlign w:val="superscript"/>
          <w:lang w:val="fr-FR" w:eastAsia="fr-FR" w:bidi="fr-FR"/>
        </w:rPr>
        <w:t>e</w:t>
      </w:r>
      <w:r w:rsidRPr="003B3476">
        <w:rPr>
          <w:lang w:val="fr-FR" w:eastAsia="fr-FR" w:bidi="fr-FR"/>
        </w:rPr>
        <w:t xml:space="preserve"> siècle l’une des plus populaires des visions d’outre-tombe. </w:t>
      </w:r>
      <w:r w:rsidRPr="003B3476">
        <w:rPr>
          <w:rStyle w:val="Notedebasdepage7ptItalique"/>
          <w:b w:val="0"/>
          <w:sz w:val="24"/>
        </w:rPr>
        <w:t>Cf.</w:t>
      </w:r>
      <w:r w:rsidRPr="003B3476">
        <w:rPr>
          <w:rStyle w:val="Notedebasdepage8ptEspacement0pt"/>
          <w:b w:val="0"/>
          <w:sz w:val="24"/>
        </w:rPr>
        <w:t xml:space="preserve"> </w:t>
      </w:r>
      <w:r w:rsidRPr="003B3476">
        <w:rPr>
          <w:lang w:val="fr-FR" w:eastAsia="fr-FR" w:bidi="fr-FR"/>
        </w:rPr>
        <w:t xml:space="preserve">sur ce rôle attribué au paradis terrestre, J. </w:t>
      </w:r>
      <w:r w:rsidRPr="003B3476">
        <w:rPr>
          <w:bCs/>
          <w:smallCaps/>
        </w:rPr>
        <w:t>Turmel</w:t>
      </w:r>
      <w:r w:rsidRPr="003B3476">
        <w:rPr>
          <w:bCs/>
        </w:rPr>
        <w:t xml:space="preserve">, </w:t>
      </w:r>
      <w:r w:rsidRPr="003B3476">
        <w:rPr>
          <w:rStyle w:val="Notedebasdepage7ptItalique"/>
          <w:b w:val="0"/>
          <w:sz w:val="24"/>
        </w:rPr>
        <w:t>La descente du Christ aux Enfers</w:t>
      </w:r>
      <w:r w:rsidRPr="003B3476">
        <w:rPr>
          <w:lang w:val="fr-FR" w:eastAsia="fr-FR" w:bidi="fr-FR"/>
        </w:rPr>
        <w:t xml:space="preserve">, p. 55-56 ; Fr. </w:t>
      </w:r>
      <w:r w:rsidRPr="003B3476">
        <w:rPr>
          <w:bCs/>
          <w:smallCaps/>
        </w:rPr>
        <w:t>d’Ovidio</w:t>
      </w:r>
      <w:r w:rsidRPr="003B3476">
        <w:rPr>
          <w:bCs/>
        </w:rPr>
        <w:t xml:space="preserve">, </w:t>
      </w:r>
      <w:r w:rsidRPr="003B3476">
        <w:rPr>
          <w:rStyle w:val="Notedebasdepage7ptItalique"/>
          <w:b w:val="0"/>
          <w:sz w:val="24"/>
        </w:rPr>
        <w:t>Nuovi studi dante</w:t>
      </w:r>
      <w:r w:rsidRPr="003B3476">
        <w:rPr>
          <w:rStyle w:val="Notedebasdepage7ptItalique"/>
          <w:b w:val="0"/>
          <w:sz w:val="24"/>
        </w:rPr>
        <w:t>s</w:t>
      </w:r>
      <w:r w:rsidRPr="003B3476">
        <w:rPr>
          <w:rStyle w:val="Notedebasdepage7ptItalique"/>
          <w:b w:val="0"/>
          <w:sz w:val="24"/>
        </w:rPr>
        <w:t>chi. Il purgatorio</w:t>
      </w:r>
      <w:r w:rsidRPr="003B3476">
        <w:rPr>
          <w:lang w:val="fr-FR" w:eastAsia="fr-FR" w:bidi="fr-FR"/>
        </w:rPr>
        <w:t>, p. 472 et suiv.</w:t>
      </w:r>
    </w:p>
  </w:footnote>
  <w:footnote w:id="976">
    <w:p w14:paraId="497885B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me suis servi du texte publié en appendice au tome IV de </w:t>
      </w:r>
      <w:r w:rsidRPr="003B3476">
        <w:rPr>
          <w:bCs/>
          <w:smallCaps/>
        </w:rPr>
        <w:t>Dante</w:t>
      </w:r>
      <w:r w:rsidRPr="003B3476">
        <w:rPr>
          <w:bCs/>
        </w:rPr>
        <w:t xml:space="preserve">, </w:t>
      </w:r>
      <w:r w:rsidRPr="003B3476">
        <w:rPr>
          <w:rStyle w:val="Notedebasdepage7ptItalique"/>
          <w:b w:val="0"/>
          <w:sz w:val="24"/>
        </w:rPr>
        <w:t>Divina Comm</w:t>
      </w:r>
      <w:r w:rsidRPr="003B3476">
        <w:rPr>
          <w:rStyle w:val="Notedebasdepage7ptItalique"/>
          <w:b w:val="0"/>
          <w:sz w:val="24"/>
        </w:rPr>
        <w:t>e</w:t>
      </w:r>
      <w:r w:rsidRPr="003B3476">
        <w:rPr>
          <w:rStyle w:val="Notedebasdepage7ptItalique"/>
          <w:b w:val="0"/>
          <w:sz w:val="24"/>
        </w:rPr>
        <w:t xml:space="preserve">dia, </w:t>
      </w:r>
      <w:r w:rsidRPr="003B3476">
        <w:rPr>
          <w:lang w:val="fr-FR" w:eastAsia="fr-FR" w:bidi="fr-FR"/>
        </w:rPr>
        <w:t xml:space="preserve">Padoue, 1822, p. 314, c. XX et 319, c. XXX. Je n’ai pu voir l’édition de C. de </w:t>
      </w:r>
      <w:r w:rsidRPr="003B3476">
        <w:rPr>
          <w:smallCaps/>
          <w:lang w:val="fr-FR" w:eastAsia="fr-FR" w:bidi="fr-FR"/>
        </w:rPr>
        <w:t>Vivo</w:t>
      </w:r>
      <w:r w:rsidRPr="003B3476">
        <w:rPr>
          <w:lang w:val="fr-FR" w:eastAsia="fr-FR" w:bidi="fr-FR"/>
        </w:rPr>
        <w:t xml:space="preserve">, </w:t>
      </w:r>
      <w:r w:rsidRPr="003B3476">
        <w:rPr>
          <w:rStyle w:val="Notedebasdepage7ptItalique"/>
          <w:b w:val="0"/>
          <w:sz w:val="24"/>
        </w:rPr>
        <w:t>La visione di Alberico,</w:t>
      </w:r>
      <w:r w:rsidRPr="003B3476">
        <w:rPr>
          <w:rStyle w:val="Notedebasdepage8ptEspacement0pt"/>
          <w:b w:val="0"/>
          <w:sz w:val="24"/>
        </w:rPr>
        <w:t xml:space="preserve"> </w:t>
      </w:r>
      <w:r w:rsidRPr="003B3476">
        <w:rPr>
          <w:lang w:val="fr-FR" w:eastAsia="fr-FR" w:bidi="fr-FR"/>
        </w:rPr>
        <w:t>1899. Des conceptions de même ordre, transportées sur le plan proprement théologique, devaient plus tard inspirer au pape Jean XXII une thèse fameuse, qui fit scandale : il refusait à tous les Élus sans e</w:t>
      </w:r>
      <w:r w:rsidRPr="003B3476">
        <w:rPr>
          <w:lang w:val="fr-FR" w:eastAsia="fr-FR" w:bidi="fr-FR"/>
        </w:rPr>
        <w:t>x</w:t>
      </w:r>
      <w:r w:rsidRPr="003B3476">
        <w:rPr>
          <w:lang w:val="fr-FR" w:eastAsia="fr-FR" w:bidi="fr-FR"/>
        </w:rPr>
        <w:t>ception le droit de participer, avant la Fin du Monde, à la Vision Béatifique. L’Église, en condamnant cette opinion, fut amenée à préciser sa doctrine sur ce point délicat ; mais ce ne fut qu’en 1336 (constit</w:t>
      </w:r>
      <w:r w:rsidRPr="003B3476">
        <w:rPr>
          <w:lang w:val="fr-FR" w:eastAsia="fr-FR" w:bidi="fr-FR"/>
        </w:rPr>
        <w:t>u</w:t>
      </w:r>
      <w:r w:rsidRPr="003B3476">
        <w:rPr>
          <w:lang w:val="fr-FR" w:eastAsia="fr-FR" w:bidi="fr-FR"/>
        </w:rPr>
        <w:t xml:space="preserve">tion </w:t>
      </w:r>
      <w:r w:rsidRPr="003B3476">
        <w:rPr>
          <w:rStyle w:val="Notedebasdepage7ptItalique"/>
          <w:b w:val="0"/>
          <w:sz w:val="24"/>
        </w:rPr>
        <w:t>Bcnedictus Deus</w:t>
      </w:r>
      <w:r w:rsidRPr="003B3476">
        <w:rPr>
          <w:lang w:val="fr-FR" w:eastAsia="fr-FR" w:bidi="fr-FR"/>
        </w:rPr>
        <w:t>, promu</w:t>
      </w:r>
      <w:r w:rsidRPr="003B3476">
        <w:rPr>
          <w:lang w:val="fr-FR" w:eastAsia="fr-FR" w:bidi="fr-FR"/>
        </w:rPr>
        <w:t>l</w:t>
      </w:r>
      <w:r w:rsidRPr="003B3476">
        <w:rPr>
          <w:lang w:val="fr-FR" w:eastAsia="fr-FR" w:bidi="fr-FR"/>
        </w:rPr>
        <w:t xml:space="preserve">guée par le pape Benoît XII le 29 janvier) ; au temps de notre hagiographe, la question était encore ouverte. </w:t>
      </w:r>
      <w:r w:rsidRPr="003B3476">
        <w:rPr>
          <w:rStyle w:val="Notedebasdepage7ptItalique"/>
          <w:b w:val="0"/>
          <w:sz w:val="24"/>
        </w:rPr>
        <w:t>Cf.</w:t>
      </w:r>
      <w:r w:rsidRPr="003B3476">
        <w:rPr>
          <w:rStyle w:val="Notedebasdepage8ptEspacement0pt"/>
          <w:b w:val="0"/>
          <w:sz w:val="24"/>
        </w:rPr>
        <w:t xml:space="preserve"> </w:t>
      </w:r>
      <w:r w:rsidRPr="003B3476">
        <w:rPr>
          <w:lang w:val="fr-FR" w:eastAsia="fr-FR" w:bidi="fr-FR"/>
        </w:rPr>
        <w:t xml:space="preserve">X. </w:t>
      </w:r>
      <w:r w:rsidRPr="003B3476">
        <w:rPr>
          <w:bCs/>
        </w:rPr>
        <w:t xml:space="preserve">Le </w:t>
      </w:r>
      <w:r w:rsidRPr="003B3476">
        <w:rPr>
          <w:bCs/>
          <w:smallCaps/>
        </w:rPr>
        <w:t>B</w:t>
      </w:r>
      <w:r w:rsidRPr="003B3476">
        <w:rPr>
          <w:bCs/>
          <w:smallCaps/>
        </w:rPr>
        <w:t>a</w:t>
      </w:r>
      <w:r w:rsidRPr="003B3476">
        <w:rPr>
          <w:bCs/>
          <w:smallCaps/>
        </w:rPr>
        <w:t>chelet</w:t>
      </w:r>
      <w:r w:rsidRPr="003B3476">
        <w:rPr>
          <w:bCs/>
        </w:rPr>
        <w:t xml:space="preserve">, </w:t>
      </w:r>
      <w:r w:rsidRPr="003B3476">
        <w:rPr>
          <w:lang w:val="fr-FR" w:eastAsia="fr-FR" w:bidi="fr-FR"/>
        </w:rPr>
        <w:t xml:space="preserve">dans </w:t>
      </w:r>
      <w:r w:rsidRPr="003B3476">
        <w:rPr>
          <w:bCs/>
          <w:smallCaps/>
        </w:rPr>
        <w:t>Vacant</w:t>
      </w:r>
      <w:r w:rsidRPr="003B3476">
        <w:rPr>
          <w:bCs/>
        </w:rPr>
        <w:t xml:space="preserve"> </w:t>
      </w:r>
      <w:r w:rsidRPr="003B3476">
        <w:rPr>
          <w:lang w:val="fr-FR" w:eastAsia="fr-FR" w:bidi="fr-FR"/>
        </w:rPr>
        <w:t xml:space="preserve">et </w:t>
      </w:r>
      <w:r w:rsidRPr="003B3476">
        <w:rPr>
          <w:bCs/>
          <w:smallCaps/>
        </w:rPr>
        <w:t>Mang</w:t>
      </w:r>
      <w:r w:rsidRPr="003B3476">
        <w:rPr>
          <w:bCs/>
          <w:smallCaps/>
        </w:rPr>
        <w:t>e</w:t>
      </w:r>
      <w:r w:rsidRPr="003B3476">
        <w:rPr>
          <w:bCs/>
          <w:smallCaps/>
        </w:rPr>
        <w:t>not</w:t>
      </w:r>
      <w:r w:rsidRPr="003B3476">
        <w:rPr>
          <w:bCs/>
        </w:rPr>
        <w:t xml:space="preserve">, </w:t>
      </w:r>
      <w:r w:rsidRPr="003B3476">
        <w:rPr>
          <w:rStyle w:val="Notedebasdepage7ptItalique"/>
          <w:b w:val="0"/>
          <w:sz w:val="24"/>
        </w:rPr>
        <w:t>Dictionnaire de Théologie Catholique</w:t>
      </w:r>
      <w:r w:rsidRPr="003B3476">
        <w:rPr>
          <w:lang w:val="fr-FR" w:eastAsia="fr-FR" w:bidi="fr-FR"/>
        </w:rPr>
        <w:t xml:space="preserve">, t. II, col. 657 et suiv., et N. </w:t>
      </w:r>
      <w:r w:rsidRPr="003B3476">
        <w:rPr>
          <w:bCs/>
        </w:rPr>
        <w:t xml:space="preserve">Valois, </w:t>
      </w:r>
      <w:r w:rsidRPr="003B3476">
        <w:rPr>
          <w:lang w:val="fr-FR" w:eastAsia="fr-FR" w:bidi="fr-FR"/>
        </w:rPr>
        <w:t>dans l</w:t>
      </w:r>
      <w:r w:rsidRPr="003B3476">
        <w:rPr>
          <w:rStyle w:val="Notedebasdepage7ptItalique"/>
          <w:b w:val="0"/>
          <w:sz w:val="24"/>
        </w:rPr>
        <w:t>'Histoire litt</w:t>
      </w:r>
      <w:r w:rsidRPr="003B3476">
        <w:rPr>
          <w:rStyle w:val="Notedebasdepage7ptItalique"/>
          <w:b w:val="0"/>
          <w:sz w:val="24"/>
        </w:rPr>
        <w:t>é</w:t>
      </w:r>
      <w:r w:rsidRPr="003B3476">
        <w:rPr>
          <w:rStyle w:val="Notedebasdepage7ptItalique"/>
          <w:b w:val="0"/>
          <w:sz w:val="24"/>
        </w:rPr>
        <w:t>raire</w:t>
      </w:r>
      <w:r w:rsidRPr="003B3476">
        <w:rPr>
          <w:lang w:val="fr-FR" w:eastAsia="fr-FR" w:bidi="fr-FR"/>
        </w:rPr>
        <w:t>, t. XXXIV, p. 551 et suiv. On peut aussi consulter sur ce genre de probl</w:t>
      </w:r>
      <w:r w:rsidRPr="003B3476">
        <w:rPr>
          <w:lang w:val="fr-FR" w:eastAsia="fr-FR" w:bidi="fr-FR"/>
        </w:rPr>
        <w:t>è</w:t>
      </w:r>
      <w:r w:rsidRPr="003B3476">
        <w:rPr>
          <w:lang w:val="fr-FR" w:eastAsia="fr-FR" w:bidi="fr-FR"/>
        </w:rPr>
        <w:t xml:space="preserve">me un livre très érudit de l’illustre </w:t>
      </w:r>
      <w:r w:rsidRPr="003B3476">
        <w:rPr>
          <w:bCs/>
          <w:smallCaps/>
        </w:rPr>
        <w:t>Muratori</w:t>
      </w:r>
      <w:r w:rsidRPr="003B3476">
        <w:rPr>
          <w:bCs/>
        </w:rPr>
        <w:t xml:space="preserve">, </w:t>
      </w:r>
      <w:r w:rsidRPr="003B3476">
        <w:rPr>
          <w:rStyle w:val="Notedebasdepage7ptItalique"/>
          <w:b w:val="0"/>
          <w:sz w:val="24"/>
        </w:rPr>
        <w:t>De paradiso regnique cœlestis gloria non expectata corporum resurrectione justis a Deo contata</w:t>
      </w:r>
      <w:r w:rsidRPr="003B3476">
        <w:rPr>
          <w:rStyle w:val="Notedebasdepage8ptEspacement0pt"/>
          <w:b w:val="0"/>
          <w:sz w:val="24"/>
        </w:rPr>
        <w:t xml:space="preserve">, </w:t>
      </w:r>
      <w:r w:rsidRPr="003B3476">
        <w:rPr>
          <w:rStyle w:val="Notedebasdepage7ptItalique"/>
          <w:b w:val="0"/>
          <w:sz w:val="24"/>
        </w:rPr>
        <w:t>adversus Thomae Burneti Br</w:t>
      </w:r>
      <w:r w:rsidRPr="003B3476">
        <w:rPr>
          <w:rStyle w:val="Notedebasdepage7ptItalique"/>
          <w:b w:val="0"/>
          <w:sz w:val="24"/>
        </w:rPr>
        <w:t>i</w:t>
      </w:r>
      <w:r w:rsidRPr="003B3476">
        <w:rPr>
          <w:rStyle w:val="Notedebasdepage7ptItalique"/>
          <w:b w:val="0"/>
          <w:sz w:val="24"/>
        </w:rPr>
        <w:t>tanni librum de statu mortuorum,</w:t>
      </w:r>
      <w:r w:rsidRPr="003B3476">
        <w:rPr>
          <w:rStyle w:val="Notedebasdepage8ptEspacement0pt"/>
          <w:b w:val="0"/>
          <w:sz w:val="24"/>
        </w:rPr>
        <w:t xml:space="preserve"> </w:t>
      </w:r>
      <w:r w:rsidRPr="003B3476">
        <w:rPr>
          <w:lang w:val="fr-FR" w:eastAsia="fr-FR" w:bidi="fr-FR"/>
        </w:rPr>
        <w:t>Venise, 1738. On pensait que pour chaque âme les peines ou les récompenses commençaient dès après la mort ; par ai</w:t>
      </w:r>
      <w:r w:rsidRPr="003B3476">
        <w:rPr>
          <w:lang w:val="fr-FR" w:eastAsia="fr-FR" w:bidi="fr-FR"/>
        </w:rPr>
        <w:t>l</w:t>
      </w:r>
      <w:r w:rsidRPr="003B3476">
        <w:rPr>
          <w:lang w:val="fr-FR" w:eastAsia="fr-FR" w:bidi="fr-FR"/>
        </w:rPr>
        <w:t>leurs on vivait dans l’attente d’un grand jugement, qui devait coïncider avec la Fin du Monde. Il y avait entre ces deux idées une espèce de contradiction qui ne fut pas sans troubler parfois les pe</w:t>
      </w:r>
      <w:r w:rsidRPr="003B3476">
        <w:rPr>
          <w:lang w:val="fr-FR" w:eastAsia="fr-FR" w:bidi="fr-FR"/>
        </w:rPr>
        <w:t>r</w:t>
      </w:r>
      <w:r w:rsidRPr="003B3476">
        <w:rPr>
          <w:lang w:val="fr-FR" w:eastAsia="fr-FR" w:bidi="fr-FR"/>
        </w:rPr>
        <w:t xml:space="preserve">sonnes pieuses. </w:t>
      </w:r>
      <w:r w:rsidRPr="003B3476">
        <w:rPr>
          <w:rStyle w:val="Notedebasdepage7ptItalique"/>
          <w:b w:val="0"/>
          <w:sz w:val="24"/>
        </w:rPr>
        <w:t>Cf.</w:t>
      </w:r>
      <w:r w:rsidRPr="003B3476">
        <w:rPr>
          <w:rStyle w:val="Notedebasdepage8ptEspacement0pt"/>
          <w:b w:val="0"/>
          <w:sz w:val="24"/>
        </w:rPr>
        <w:t> </w:t>
      </w:r>
      <w:r w:rsidRPr="003B3476">
        <w:rPr>
          <w:lang w:val="fr-FR" w:eastAsia="fr-FR" w:bidi="fr-FR"/>
        </w:rPr>
        <w:t xml:space="preserve">dans les </w:t>
      </w:r>
      <w:r w:rsidRPr="003B3476">
        <w:rPr>
          <w:rStyle w:val="Notedebasdepage7ptItalique"/>
          <w:b w:val="0"/>
          <w:sz w:val="24"/>
        </w:rPr>
        <w:t>Berichte über die Verhandlungen der k. sächsischen Gesellschaft der Wissenschaften,</w:t>
      </w:r>
      <w:r w:rsidRPr="003B3476">
        <w:rPr>
          <w:rStyle w:val="Notedebasdepage8ptEspacement0pt"/>
          <w:b w:val="0"/>
          <w:sz w:val="24"/>
        </w:rPr>
        <w:t xml:space="preserve"> </w:t>
      </w:r>
      <w:r w:rsidRPr="003B3476">
        <w:rPr>
          <w:lang w:val="fr-FR" w:eastAsia="fr-FR" w:bidi="fr-FR"/>
        </w:rPr>
        <w:t xml:space="preserve">1.18 (1866), les textes réunis par Zarncke, à propos du poème vieil allemand le </w:t>
      </w:r>
      <w:r w:rsidRPr="003B3476">
        <w:rPr>
          <w:rStyle w:val="Notedebasdepage7ptItalique"/>
          <w:b w:val="0"/>
          <w:sz w:val="24"/>
        </w:rPr>
        <w:t>Muspilli</w:t>
      </w:r>
      <w:r w:rsidRPr="003B3476">
        <w:rPr>
          <w:rStyle w:val="Notedebasdepage8ptEspacement0pt"/>
          <w:b w:val="0"/>
          <w:sz w:val="24"/>
        </w:rPr>
        <w:t xml:space="preserve"> </w:t>
      </w:r>
      <w:r w:rsidRPr="003B3476">
        <w:rPr>
          <w:lang w:val="fr-FR" w:eastAsia="fr-FR" w:bidi="fr-FR"/>
        </w:rPr>
        <w:t>où l’on voit l’âme subir un double jugement, une première fois au so</w:t>
      </w:r>
      <w:r w:rsidRPr="003B3476">
        <w:rPr>
          <w:lang w:val="fr-FR" w:eastAsia="fr-FR" w:bidi="fr-FR"/>
        </w:rPr>
        <w:t>r</w:t>
      </w:r>
      <w:r w:rsidRPr="003B3476">
        <w:rPr>
          <w:lang w:val="fr-FR" w:eastAsia="fr-FR" w:bidi="fr-FR"/>
        </w:rPr>
        <w:t>tir du corps, une seconde fois au moment de la résurrection générale des morts.</w:t>
      </w:r>
    </w:p>
  </w:footnote>
  <w:footnote w:id="977">
    <w:p w14:paraId="2FAF48C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Loc. cit</w:t>
      </w:r>
      <w:r w:rsidRPr="003B3476">
        <w:rPr>
          <w:lang w:val="fr-FR" w:eastAsia="fr-FR" w:bidi="fr-FR"/>
        </w:rPr>
        <w: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 xml:space="preserve">p. 307-398 </w:t>
      </w:r>
      <w:r w:rsidRPr="003B3476">
        <w:rPr>
          <w:rStyle w:val="Notedebasdepage465ptNonItalique"/>
          <w:b w:val="0"/>
          <w:i w:val="0"/>
          <w:iCs w:val="0"/>
          <w:sz w:val="24"/>
        </w:rPr>
        <w:t xml:space="preserve">(Alcuin, </w:t>
      </w:r>
      <w:r w:rsidRPr="003B3476">
        <w:rPr>
          <w:lang w:val="fr-FR" w:eastAsia="fr-FR" w:bidi="fr-FR"/>
        </w:rPr>
        <w:t>Versus de sanctis Euboricensis ecclesie</w:t>
      </w:r>
      <w:r w:rsidRPr="003B3476">
        <w:rPr>
          <w:vertAlign w:val="subscript"/>
          <w:lang w:val="fr-FR" w:eastAsia="fr-FR" w:bidi="fr-FR"/>
        </w:rPr>
        <w:t>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v. 993 et suiv.). Il faut citer aussi, parmi les plus célèbres visions où cette idée se re</w:t>
      </w:r>
      <w:r w:rsidRPr="003B3476">
        <w:rPr>
          <w:rStyle w:val="Notedebasdepage475ptNonItalique"/>
          <w:b w:val="0"/>
          <w:i w:val="0"/>
          <w:iCs w:val="0"/>
          <w:sz w:val="24"/>
        </w:rPr>
        <w:t>n</w:t>
      </w:r>
      <w:r w:rsidRPr="003B3476">
        <w:rPr>
          <w:rStyle w:val="Notedebasdepage475ptNonItalique"/>
          <w:b w:val="0"/>
          <w:i w:val="0"/>
          <w:iCs w:val="0"/>
          <w:sz w:val="24"/>
        </w:rPr>
        <w:t xml:space="preserve">contre, celle de </w:t>
      </w:r>
      <w:r w:rsidRPr="003B3476">
        <w:rPr>
          <w:rStyle w:val="Notedebasdepage465ptNonItalique"/>
          <w:b w:val="0"/>
          <w:i w:val="0"/>
          <w:iCs w:val="0"/>
          <w:smallCaps/>
          <w:sz w:val="24"/>
        </w:rPr>
        <w:t>Tundal </w:t>
      </w:r>
      <w:r w:rsidRPr="003B3476">
        <w:rPr>
          <w:rStyle w:val="Notedebasdepage465ptNonItalique"/>
          <w:b w:val="0"/>
          <w:i w:val="0"/>
          <w:iCs w:val="0"/>
          <w:sz w:val="24"/>
        </w:rPr>
        <w:t xml:space="preserve">: </w:t>
      </w:r>
      <w:r w:rsidRPr="003B3476">
        <w:rPr>
          <w:i/>
          <w:lang w:val="fr-FR" w:eastAsia="fr-FR" w:bidi="fr-FR"/>
        </w:rPr>
        <w:t>Visio Tnugdali</w:t>
      </w:r>
      <w:r w:rsidRPr="003B3476">
        <w:rPr>
          <w:rStyle w:val="Notedebasdepage475ptNonItalique"/>
          <w:b w:val="0"/>
          <w:i w:val="0"/>
          <w:iCs w:val="0"/>
          <w:sz w:val="24"/>
        </w:rPr>
        <w:t xml:space="preserve">, c. 16 et 28 (éd. O. </w:t>
      </w:r>
      <w:r w:rsidRPr="003B3476">
        <w:rPr>
          <w:rStyle w:val="Notedebasdepage465ptNonItalique"/>
          <w:b w:val="0"/>
          <w:i w:val="0"/>
          <w:iCs w:val="0"/>
          <w:smallCaps/>
          <w:sz w:val="24"/>
        </w:rPr>
        <w:t>Schade</w:t>
      </w:r>
      <w:r w:rsidRPr="003B3476">
        <w:rPr>
          <w:rStyle w:val="Notedebasdepage465ptNonItalique"/>
          <w:b w:val="0"/>
          <w:i w:val="0"/>
          <w:iCs w:val="0"/>
          <w:sz w:val="24"/>
        </w:rPr>
        <w:t xml:space="preserve">, </w:t>
      </w:r>
      <w:r w:rsidRPr="003B3476">
        <w:rPr>
          <w:rStyle w:val="Notedebasdepage475ptNonItalique"/>
          <w:b w:val="0"/>
          <w:i w:val="0"/>
          <w:iCs w:val="0"/>
          <w:sz w:val="24"/>
        </w:rPr>
        <w:t xml:space="preserve">dans </w:t>
      </w:r>
      <w:r w:rsidRPr="003B3476">
        <w:rPr>
          <w:i/>
          <w:lang w:val="fr-FR" w:eastAsia="fr-FR" w:bidi="fr-FR"/>
        </w:rPr>
        <w:t xml:space="preserve">Natalicia... Guilielmi die </w:t>
      </w:r>
      <w:r w:rsidRPr="003B3476">
        <w:rPr>
          <w:i/>
          <w:iCs/>
        </w:rPr>
        <w:t>XXII</w:t>
      </w:r>
      <w:r w:rsidRPr="003B3476">
        <w:rPr>
          <w:i/>
          <w:lang w:val="fr-FR" w:eastAsia="fr-FR" w:bidi="fr-FR"/>
        </w:rPr>
        <w:t xml:space="preserve"> martii anno MDCCCLXIX pie cel branda ind</w:t>
      </w:r>
      <w:r w:rsidRPr="003B3476">
        <w:rPr>
          <w:i/>
          <w:lang w:val="fr-FR" w:eastAsia="fr-FR" w:bidi="fr-FR"/>
        </w:rPr>
        <w:t>i</w:t>
      </w:r>
      <w:r w:rsidRPr="003B3476">
        <w:rPr>
          <w:i/>
          <w:lang w:val="fr-FR" w:eastAsia="fr-FR" w:bidi="fr-FR"/>
        </w:rPr>
        <w:t>cunt Academiae Albertinae</w:t>
      </w:r>
      <w:r w:rsidRPr="003B3476">
        <w:rPr>
          <w:lang w:val="fr-FR" w:eastAsia="fr-FR" w:bidi="fr-FR"/>
        </w:rPr>
        <w: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 xml:space="preserve">Ratisbonne, [1869], p. 17 et 24). On trouvera d’autres références dans Arturo </w:t>
      </w:r>
      <w:r w:rsidRPr="003B3476">
        <w:rPr>
          <w:rStyle w:val="Notedebasdepage465ptNonItalique"/>
          <w:b w:val="0"/>
          <w:i w:val="0"/>
          <w:iCs w:val="0"/>
          <w:smallCaps/>
          <w:sz w:val="24"/>
        </w:rPr>
        <w:t>Graf</w:t>
      </w:r>
      <w:r w:rsidRPr="003B3476">
        <w:rPr>
          <w:rStyle w:val="Notedebasdepage465ptNonItalique"/>
          <w:b w:val="0"/>
          <w:i w:val="0"/>
          <w:iCs w:val="0"/>
          <w:sz w:val="24"/>
        </w:rPr>
        <w:t xml:space="preserve">, </w:t>
      </w:r>
      <w:r w:rsidRPr="003B3476">
        <w:rPr>
          <w:i/>
          <w:lang w:val="fr-FR" w:eastAsia="fr-FR" w:bidi="fr-FR"/>
        </w:rPr>
        <w:t>Miti</w:t>
      </w:r>
      <w:r w:rsidRPr="003B3476">
        <w:rPr>
          <w:rStyle w:val="Notedebasdepage48ptNonItaliqueEspacement0pt"/>
          <w:rFonts w:eastAsia="MS Gothic"/>
          <w:b w:val="0"/>
          <w:i w:val="0"/>
          <w:iCs w:val="0"/>
          <w:sz w:val="24"/>
        </w:rPr>
        <w:t xml:space="preserve">, </w:t>
      </w:r>
      <w:r w:rsidRPr="003B3476">
        <w:rPr>
          <w:i/>
          <w:lang w:val="fr-FR" w:eastAsia="fr-FR" w:bidi="fr-FR"/>
        </w:rPr>
        <w:t>leggende e superstizioni del m</w:t>
      </w:r>
      <w:r w:rsidRPr="003B3476">
        <w:rPr>
          <w:i/>
          <w:lang w:val="fr-FR" w:eastAsia="fr-FR" w:bidi="fr-FR"/>
        </w:rPr>
        <w:t>e</w:t>
      </w:r>
      <w:r w:rsidRPr="003B3476">
        <w:rPr>
          <w:i/>
          <w:lang w:val="fr-FR" w:eastAsia="fr-FR" w:bidi="fr-FR"/>
        </w:rPr>
        <w:t>dio evo</w:t>
      </w:r>
      <w:r w:rsidRPr="003B3476">
        <w:rPr>
          <w:lang w:val="fr-FR" w:eastAsia="fr-FR" w:bidi="fr-FR"/>
        </w:rPr>
        <w: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 xml:space="preserve">t. I, p. 67 et dans Elisabeth </w:t>
      </w:r>
      <w:r w:rsidRPr="003B3476">
        <w:rPr>
          <w:rStyle w:val="Notedebasdepage465ptNonItalique"/>
          <w:b w:val="0"/>
          <w:i w:val="0"/>
          <w:iCs w:val="0"/>
          <w:smallCaps/>
          <w:sz w:val="24"/>
        </w:rPr>
        <w:t>Peters</w:t>
      </w:r>
      <w:r w:rsidRPr="003B3476">
        <w:rPr>
          <w:rStyle w:val="Notedebasdepage465ptNonItalique"/>
          <w:b w:val="0"/>
          <w:i w:val="0"/>
          <w:iCs w:val="0"/>
          <w:sz w:val="24"/>
        </w:rPr>
        <w:t xml:space="preserve">, </w:t>
      </w:r>
      <w:r w:rsidRPr="003B3476">
        <w:rPr>
          <w:i/>
          <w:lang w:val="fr-FR" w:eastAsia="fr-FR" w:bidi="fr-FR"/>
        </w:rPr>
        <w:t>Quellen und Charakter der Par</w:t>
      </w:r>
      <w:r w:rsidRPr="003B3476">
        <w:rPr>
          <w:i/>
          <w:lang w:val="fr-FR" w:eastAsia="fr-FR" w:bidi="fr-FR"/>
        </w:rPr>
        <w:t>a</w:t>
      </w:r>
      <w:r w:rsidRPr="003B3476">
        <w:rPr>
          <w:i/>
          <w:lang w:val="fr-FR" w:eastAsia="fr-FR" w:bidi="fr-FR"/>
        </w:rPr>
        <w:t>diesesvorstellungen in der deutschen Dichtung vom 9. bis 12. Jahrhundert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w:t>
      </w:r>
      <w:r w:rsidRPr="003B3476">
        <w:rPr>
          <w:i/>
          <w:lang w:val="fr-FR" w:eastAsia="fr-FR" w:bidi="fr-FR"/>
        </w:rPr>
        <w:t>Germanistische Abhandlungen</w:t>
      </w:r>
      <w:r w:rsidRPr="003B3476">
        <w:rPr>
          <w:lang w:val="fr-FR" w:eastAsia="fr-FR" w:bidi="fr-FR"/>
        </w:rPr>
        <w:t>,</w:t>
      </w:r>
      <w:r w:rsidRPr="003B3476">
        <w:rPr>
          <w:rStyle w:val="Notedebasdepage48ptNonItaliqueEspacement0pt"/>
          <w:rFonts w:eastAsia="MS Gothic"/>
          <w:b w:val="0"/>
          <w:i w:val="0"/>
          <w:iCs w:val="0"/>
          <w:sz w:val="24"/>
        </w:rPr>
        <w:t xml:space="preserve"> </w:t>
      </w:r>
      <w:r w:rsidRPr="003B3476">
        <w:rPr>
          <w:rStyle w:val="Notedebasdepage475ptNonItalique"/>
          <w:b w:val="0"/>
          <w:i w:val="0"/>
          <w:iCs w:val="0"/>
          <w:sz w:val="24"/>
        </w:rPr>
        <w:t>H. 48), p. 116.</w:t>
      </w:r>
    </w:p>
  </w:footnote>
  <w:footnote w:id="978">
    <w:p w14:paraId="7286C4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phrase par laquelle Salomon avertit les pèlerins que s’ils obtiennent de passer une nuit au Paradis, ils « jouiront sans faute de l’abondance de tous les biens » — c’est-à-dire ils appartiendront désormais sans retour à ce lieu de d</w:t>
      </w:r>
      <w:r w:rsidRPr="003B3476">
        <w:rPr>
          <w:lang w:val="fr-FR" w:eastAsia="fr-FR" w:bidi="fr-FR"/>
        </w:rPr>
        <w:t>é</w:t>
      </w:r>
      <w:r w:rsidRPr="003B3476">
        <w:rPr>
          <w:lang w:val="fr-FR" w:eastAsia="fr-FR" w:bidi="fr-FR"/>
        </w:rPr>
        <w:t>lices — se rapporte elle aussi à un thème folklorique connu. Elle est d’ailleurs en contradiction avec le récit d’Ailred, d’après lequel nos deux hommes se</w:t>
      </w:r>
      <w:r w:rsidRPr="003B3476">
        <w:rPr>
          <w:lang w:val="fr-FR" w:eastAsia="fr-FR" w:bidi="fr-FR"/>
        </w:rPr>
        <w:t>m</w:t>
      </w:r>
      <w:r w:rsidRPr="003B3476">
        <w:rPr>
          <w:lang w:val="fr-FR" w:eastAsia="fr-FR" w:bidi="fr-FR"/>
        </w:rPr>
        <w:t>blent bien avoir été hébergés, une nuit durant, dans la « très noble cité ».</w:t>
      </w:r>
    </w:p>
  </w:footnote>
  <w:footnote w:id="979">
    <w:p w14:paraId="3722635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Jean </w:t>
      </w:r>
      <w:r w:rsidRPr="003B3476">
        <w:rPr>
          <w:rStyle w:val="Notedebasdepage65ptPetitesmajuscules"/>
          <w:b w:val="0"/>
          <w:sz w:val="24"/>
        </w:rPr>
        <w:t xml:space="preserve">Jouvenel des Ursins, </w:t>
      </w:r>
      <w:r w:rsidRPr="003B3476">
        <w:rPr>
          <w:rStyle w:val="Notedebasdepage7ptItalique"/>
          <w:b w:val="0"/>
          <w:sz w:val="24"/>
        </w:rPr>
        <w:t>Histoire de Charles</w:t>
      </w:r>
      <w:r w:rsidRPr="003B3476">
        <w:rPr>
          <w:rStyle w:val="Notedebasdepage8ptEspacement0pt"/>
          <w:b w:val="0"/>
          <w:sz w:val="24"/>
        </w:rPr>
        <w:t> </w:t>
      </w:r>
      <w:r w:rsidRPr="003B3476">
        <w:rPr>
          <w:lang w:val="fr-FR" w:eastAsia="fr-FR" w:bidi="fr-FR"/>
        </w:rPr>
        <w:t xml:space="preserve">VI, dans </w:t>
      </w:r>
      <w:r w:rsidRPr="003B3476">
        <w:rPr>
          <w:rStyle w:val="Notedebasdepage65ptPetitesmajuscules"/>
          <w:b w:val="0"/>
          <w:sz w:val="24"/>
        </w:rPr>
        <w:t xml:space="preserve">Michaud </w:t>
      </w:r>
      <w:r w:rsidRPr="003B3476">
        <w:rPr>
          <w:lang w:val="fr-FR" w:eastAsia="fr-FR" w:bidi="fr-FR"/>
        </w:rPr>
        <w:t xml:space="preserve">et </w:t>
      </w:r>
      <w:r w:rsidRPr="003B3476">
        <w:rPr>
          <w:rStyle w:val="Notedebasdepage65ptPetitesmajuscules"/>
          <w:b w:val="0"/>
          <w:sz w:val="24"/>
        </w:rPr>
        <w:t>Po</w:t>
      </w:r>
      <w:r w:rsidRPr="003B3476">
        <w:rPr>
          <w:rStyle w:val="Notedebasdepage65ptPetitesmajuscules"/>
          <w:b w:val="0"/>
          <w:sz w:val="24"/>
        </w:rPr>
        <w:t>u</w:t>
      </w:r>
      <w:r w:rsidRPr="003B3476">
        <w:rPr>
          <w:rStyle w:val="Notedebasdepage65ptPetitesmajuscules"/>
          <w:b w:val="0"/>
          <w:sz w:val="24"/>
        </w:rPr>
        <w:t xml:space="preserve">joulat, </w:t>
      </w:r>
      <w:r w:rsidRPr="003B3476">
        <w:rPr>
          <w:rStyle w:val="Notedebasdepage7ptItalique"/>
          <w:b w:val="0"/>
          <w:sz w:val="24"/>
        </w:rPr>
        <w:t>Nouvelle collection des mémoires pour servir à l’histoire de France</w:t>
      </w:r>
      <w:r w:rsidRPr="003B3476">
        <w:rPr>
          <w:lang w:val="fr-FR" w:eastAsia="fr-FR" w:bidi="fr-FR"/>
        </w:rPr>
        <w:t>, 1</w:t>
      </w:r>
      <w:r w:rsidRPr="003B3476">
        <w:rPr>
          <w:vertAlign w:val="superscript"/>
          <w:lang w:val="fr-FR" w:eastAsia="fr-FR" w:bidi="fr-FR"/>
        </w:rPr>
        <w:t>re</w:t>
      </w:r>
      <w:r w:rsidRPr="003B3476">
        <w:rPr>
          <w:lang w:val="fr-FR" w:eastAsia="fr-FR" w:bidi="fr-FR"/>
        </w:rPr>
        <w:t xml:space="preserve"> série, t. II, p. 425. En l’absence d’édition critique, j’ai v</w:t>
      </w:r>
      <w:r w:rsidRPr="003B3476">
        <w:rPr>
          <w:lang w:val="fr-FR" w:eastAsia="fr-FR" w:bidi="fr-FR"/>
        </w:rPr>
        <w:t>é</w:t>
      </w:r>
      <w:r w:rsidRPr="003B3476">
        <w:rPr>
          <w:lang w:val="fr-FR" w:eastAsia="fr-FR" w:bidi="fr-FR"/>
        </w:rPr>
        <w:t xml:space="preserve">rifié le texte sur le ms. 5020 du fonds français de la Bibliothèque Nationale, fol. 64 r° et v°, dont je suis ici les graphies. Le passage a été signalé par L. </w:t>
      </w:r>
      <w:r w:rsidRPr="003B3476">
        <w:rPr>
          <w:rStyle w:val="Notedebasdepage65ptPetitesmajuscules"/>
          <w:b w:val="0"/>
          <w:sz w:val="24"/>
        </w:rPr>
        <w:t>L</w:t>
      </w:r>
      <w:r w:rsidRPr="003B3476">
        <w:rPr>
          <w:rStyle w:val="Notedebasdepage65ptPetitesmajuscules"/>
          <w:b w:val="0"/>
          <w:sz w:val="24"/>
        </w:rPr>
        <w:t>a</w:t>
      </w:r>
      <w:r w:rsidRPr="003B3476">
        <w:rPr>
          <w:rStyle w:val="Notedebasdepage65ptPetitesmajuscules"/>
          <w:b w:val="0"/>
          <w:sz w:val="24"/>
        </w:rPr>
        <w:t xml:space="preserve">lanne, </w:t>
      </w:r>
      <w:r w:rsidRPr="003B3476">
        <w:rPr>
          <w:rStyle w:val="Notedebasdepage7ptItalique"/>
          <w:b w:val="0"/>
          <w:sz w:val="24"/>
        </w:rPr>
        <w:t>Curiosités des traditions</w:t>
      </w:r>
      <w:r w:rsidRPr="003B3476">
        <w:rPr>
          <w:rStyle w:val="Notedebasdepage8ptEspacement0pt"/>
          <w:b w:val="0"/>
          <w:sz w:val="24"/>
        </w:rPr>
        <w:t xml:space="preserve">, </w:t>
      </w:r>
      <w:r w:rsidRPr="003B3476">
        <w:rPr>
          <w:rStyle w:val="Notedebasdepage7ptItalique"/>
          <w:b w:val="0"/>
          <w:sz w:val="24"/>
        </w:rPr>
        <w:t>des mœurs et des légendes</w:t>
      </w:r>
      <w:r w:rsidRPr="003B3476">
        <w:rPr>
          <w:lang w:val="fr-FR" w:eastAsia="fr-FR" w:bidi="fr-FR"/>
        </w:rPr>
        <w:t>, 1847, p. 86-87.</w:t>
      </w:r>
    </w:p>
  </w:footnote>
  <w:footnote w:id="980">
    <w:p w14:paraId="3D4A206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Corpsdutexte267ptItalique"/>
          <w:rFonts w:eastAsia="Arial"/>
          <w:b w:val="0"/>
          <w:sz w:val="24"/>
        </w:rPr>
        <w:t>Aen.,</w:t>
      </w:r>
      <w:r w:rsidRPr="003B3476">
        <w:rPr>
          <w:rStyle w:val="Corpsdutexte268ptEspacement0pt"/>
          <w:b w:val="0"/>
          <w:sz w:val="24"/>
        </w:rPr>
        <w:t xml:space="preserve"> </w:t>
      </w:r>
      <w:r w:rsidRPr="003B3476">
        <w:rPr>
          <w:lang w:val="fr-FR" w:eastAsia="fr-FR" w:bidi="fr-FR"/>
        </w:rPr>
        <w:t xml:space="preserve">VI, 597. M. S. </w:t>
      </w:r>
      <w:r w:rsidRPr="003B3476">
        <w:rPr>
          <w:rStyle w:val="Corpsdutexte2665ptPetitesmajuscules"/>
          <w:b w:val="0"/>
          <w:sz w:val="24"/>
        </w:rPr>
        <w:t xml:space="preserve">Reinach </w:t>
      </w:r>
      <w:r w:rsidRPr="003B3476">
        <w:rPr>
          <w:lang w:val="fr-FR" w:eastAsia="fr-FR" w:bidi="fr-FR"/>
        </w:rPr>
        <w:t>reconnaissait à ces légendes une origine icon</w:t>
      </w:r>
      <w:r w:rsidRPr="003B3476">
        <w:rPr>
          <w:lang w:val="fr-FR" w:eastAsia="fr-FR" w:bidi="fr-FR"/>
        </w:rPr>
        <w:t>o</w:t>
      </w:r>
      <w:r w:rsidRPr="003B3476">
        <w:rPr>
          <w:lang w:val="fr-FR" w:eastAsia="fr-FR" w:bidi="fr-FR"/>
        </w:rPr>
        <w:t xml:space="preserve">graphique </w:t>
      </w:r>
      <w:r w:rsidRPr="003B3476">
        <w:rPr>
          <w:rStyle w:val="Corpsdutexte267ptItalique"/>
          <w:rFonts w:eastAsia="Arial"/>
          <w:b w:val="0"/>
          <w:sz w:val="24"/>
        </w:rPr>
        <w:t>(Cultes, mythes et religions</w:t>
      </w:r>
      <w:r w:rsidRPr="003B3476">
        <w:rPr>
          <w:bCs/>
        </w:rPr>
        <w:t>,</w:t>
      </w:r>
      <w:r w:rsidRPr="003B3476">
        <w:rPr>
          <w:lang w:val="fr-FR" w:eastAsia="fr-FR" w:bidi="fr-FR"/>
        </w:rPr>
        <w:t xml:space="preserve"> t. II, p. 171) ; mais par la suite, du moins en ce qui concerne Prométhée, il a abandonné cette interprétation </w:t>
      </w:r>
      <w:r w:rsidRPr="003B3476">
        <w:rPr>
          <w:rStyle w:val="Corpsdutexte267ptItalique"/>
          <w:rFonts w:eastAsia="Arial"/>
          <w:b w:val="0"/>
          <w:i w:val="0"/>
          <w:sz w:val="24"/>
        </w:rPr>
        <w:t>(</w:t>
      </w:r>
      <w:r w:rsidRPr="003B3476">
        <w:rPr>
          <w:rStyle w:val="Corpsdutexte267ptItalique"/>
          <w:rFonts w:eastAsia="Arial"/>
          <w:b w:val="0"/>
          <w:sz w:val="24"/>
        </w:rPr>
        <w:t>Ibid.,</w:t>
      </w:r>
      <w:r w:rsidRPr="003B3476">
        <w:rPr>
          <w:rStyle w:val="Corpsdutexte268ptEspacement0pt"/>
          <w:b w:val="0"/>
          <w:sz w:val="24"/>
        </w:rPr>
        <w:t xml:space="preserve"> </w:t>
      </w:r>
      <w:r w:rsidRPr="003B3476">
        <w:rPr>
          <w:lang w:val="fr-FR" w:eastAsia="fr-FR" w:bidi="fr-FR"/>
        </w:rPr>
        <w:t>t. III, p. 90).</w:t>
      </w:r>
    </w:p>
  </w:footnote>
  <w:footnote w:id="981">
    <w:p w14:paraId="5FCAE04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iCs/>
        </w:rPr>
        <w:t>Cf.,</w:t>
      </w:r>
      <w:r w:rsidRPr="003B3476">
        <w:rPr>
          <w:rStyle w:val="Corpsdutexte318ptNonItaliqueEspacement0pt"/>
          <w:b w:val="0"/>
          <w:i w:val="0"/>
          <w:iCs w:val="0"/>
          <w:sz w:val="24"/>
        </w:rPr>
        <w:t xml:space="preserve"> </w:t>
      </w:r>
      <w:r w:rsidRPr="003B3476">
        <w:rPr>
          <w:rStyle w:val="Corpsdutexte3165ptNonItalique"/>
          <w:b w:val="0"/>
          <w:i w:val="0"/>
          <w:iCs w:val="0"/>
          <w:sz w:val="24"/>
        </w:rPr>
        <w:t xml:space="preserve">entre autres, A. </w:t>
      </w:r>
      <w:r w:rsidRPr="003B3476">
        <w:rPr>
          <w:rStyle w:val="Corpsdutexte3165ptNonItalique"/>
          <w:b w:val="0"/>
          <w:i w:val="0"/>
          <w:iCs w:val="0"/>
          <w:smallCaps/>
          <w:sz w:val="24"/>
        </w:rPr>
        <w:t>Maury</w:t>
      </w:r>
      <w:r w:rsidRPr="003B3476">
        <w:rPr>
          <w:rStyle w:val="Corpsdutexte3165ptNonItalique"/>
          <w:b w:val="0"/>
          <w:i w:val="0"/>
          <w:iCs w:val="0"/>
          <w:sz w:val="24"/>
        </w:rPr>
        <w:t xml:space="preserve">, </w:t>
      </w:r>
      <w:r w:rsidRPr="003B3476">
        <w:rPr>
          <w:i/>
          <w:lang w:val="fr-FR" w:eastAsia="fr-FR" w:bidi="fr-FR"/>
        </w:rPr>
        <w:t>Croyances et légendes du Moyen Age</w:t>
      </w:r>
      <w:r w:rsidRPr="003B3476">
        <w:rPr>
          <w:lang w:val="fr-FR" w:eastAsia="fr-FR" w:bidi="fr-FR"/>
        </w:rPr>
        <w:t>,</w:t>
      </w:r>
      <w:r w:rsidRPr="003B3476">
        <w:rPr>
          <w:rStyle w:val="Corpsdutexte318ptNonItaliqueEspacement0pt"/>
          <w:b w:val="0"/>
          <w:i w:val="0"/>
          <w:iCs w:val="0"/>
          <w:sz w:val="24"/>
        </w:rPr>
        <w:t xml:space="preserve"> </w:t>
      </w:r>
      <w:r w:rsidRPr="003B3476">
        <w:rPr>
          <w:rStyle w:val="Corpsdutexte3165ptNonItalique"/>
          <w:b w:val="0"/>
          <w:i w:val="0"/>
          <w:iCs w:val="0"/>
          <w:sz w:val="24"/>
        </w:rPr>
        <w:t xml:space="preserve">nouv. éd., p. 273 ; </w:t>
      </w:r>
      <w:r w:rsidRPr="003B3476">
        <w:rPr>
          <w:rStyle w:val="Corpsdutexte3165ptNonItaliquePetitesmajuscules"/>
          <w:b w:val="0"/>
          <w:i w:val="0"/>
          <w:iCs w:val="0"/>
          <w:sz w:val="24"/>
        </w:rPr>
        <w:t xml:space="preserve">Sébillot, </w:t>
      </w:r>
      <w:r w:rsidRPr="003B3476">
        <w:rPr>
          <w:i/>
          <w:lang w:val="fr-FR" w:eastAsia="fr-FR" w:bidi="fr-FR"/>
        </w:rPr>
        <w:t>Le Folk-Lore de France</w:t>
      </w:r>
      <w:r w:rsidRPr="003B3476">
        <w:rPr>
          <w:lang w:val="fr-FR" w:eastAsia="fr-FR" w:bidi="fr-FR"/>
        </w:rPr>
        <w:t>,</w:t>
      </w:r>
      <w:r w:rsidRPr="003B3476">
        <w:rPr>
          <w:rStyle w:val="Corpsdutexte318ptNonItaliqueEspacement0pt"/>
          <w:b w:val="0"/>
          <w:i w:val="0"/>
          <w:iCs w:val="0"/>
          <w:sz w:val="24"/>
        </w:rPr>
        <w:t xml:space="preserve"> </w:t>
      </w:r>
      <w:r w:rsidRPr="003B3476">
        <w:rPr>
          <w:rStyle w:val="Corpsdutexte3165ptNonItalique"/>
          <w:b w:val="0"/>
          <w:i w:val="0"/>
          <w:iCs w:val="0"/>
          <w:sz w:val="24"/>
        </w:rPr>
        <w:t xml:space="preserve">t. </w:t>
      </w:r>
      <w:r w:rsidRPr="003B3476">
        <w:rPr>
          <w:rStyle w:val="Corpsdutexte3175ptNonItalique"/>
          <w:b w:val="0"/>
          <w:i w:val="0"/>
          <w:iCs w:val="0"/>
          <w:sz w:val="24"/>
        </w:rPr>
        <w:t xml:space="preserve">III, </w:t>
      </w:r>
      <w:r w:rsidRPr="003B3476">
        <w:rPr>
          <w:rStyle w:val="Corpsdutexte3165ptNonItalique"/>
          <w:b w:val="0"/>
          <w:i w:val="0"/>
          <w:iCs w:val="0"/>
          <w:sz w:val="24"/>
        </w:rPr>
        <w:t xml:space="preserve">p. 156 </w:t>
      </w:r>
      <w:r w:rsidRPr="003B3476">
        <w:rPr>
          <w:rStyle w:val="Corpsdutexte3175ptNonItalique"/>
          <w:b w:val="0"/>
          <w:i w:val="0"/>
          <w:iCs w:val="0"/>
          <w:sz w:val="24"/>
        </w:rPr>
        <w:t xml:space="preserve">et </w:t>
      </w:r>
      <w:r w:rsidRPr="003B3476">
        <w:rPr>
          <w:rStyle w:val="Corpsdutexte3165ptNonItalique"/>
          <w:b w:val="0"/>
          <w:i w:val="0"/>
          <w:iCs w:val="0"/>
          <w:sz w:val="24"/>
        </w:rPr>
        <w:t>193 ; A. </w:t>
      </w:r>
      <w:r w:rsidRPr="003B3476">
        <w:rPr>
          <w:rStyle w:val="Corpsdutexte3165ptNonItaliquePetitesmajuscules"/>
          <w:b w:val="0"/>
          <w:i w:val="0"/>
          <w:iCs w:val="0"/>
          <w:sz w:val="24"/>
        </w:rPr>
        <w:t xml:space="preserve">Wüttke, </w:t>
      </w:r>
      <w:r w:rsidRPr="003B3476">
        <w:rPr>
          <w:i/>
          <w:lang w:val="fr-FR" w:eastAsia="fr-FR" w:bidi="fr-FR"/>
        </w:rPr>
        <w:t>Der deutsche Volksaber-glaube</w:t>
      </w:r>
      <w:r w:rsidRPr="003B3476">
        <w:rPr>
          <w:lang w:val="fr-FR" w:eastAsia="fr-FR" w:bidi="fr-FR"/>
        </w:rPr>
        <w:t>,</w:t>
      </w:r>
      <w:r w:rsidRPr="003B3476">
        <w:rPr>
          <w:rStyle w:val="Corpsdutexte318ptNonItaliqueEspacement0pt"/>
          <w:b w:val="0"/>
          <w:i w:val="0"/>
          <w:iCs w:val="0"/>
          <w:sz w:val="24"/>
        </w:rPr>
        <w:t xml:space="preserve"> </w:t>
      </w:r>
      <w:r w:rsidRPr="003B3476">
        <w:rPr>
          <w:rStyle w:val="Corpsdutexte3165ptNonItalique"/>
          <w:b w:val="0"/>
          <w:i w:val="0"/>
          <w:iCs w:val="0"/>
          <w:sz w:val="24"/>
        </w:rPr>
        <w:t>2</w:t>
      </w:r>
      <w:r w:rsidRPr="003B3476">
        <w:rPr>
          <w:rStyle w:val="Corpsdutexte3165ptNonItalique"/>
          <w:b w:val="0"/>
          <w:i w:val="0"/>
          <w:iCs w:val="0"/>
          <w:sz w:val="24"/>
          <w:vertAlign w:val="superscript"/>
        </w:rPr>
        <w:t>e</w:t>
      </w:r>
      <w:r w:rsidRPr="003B3476">
        <w:rPr>
          <w:rStyle w:val="Corpsdutexte3165ptNonItalique"/>
          <w:b w:val="0"/>
          <w:i w:val="0"/>
          <w:iCs w:val="0"/>
          <w:sz w:val="24"/>
        </w:rPr>
        <w:t xml:space="preserve"> éd., p. 116 (162).</w:t>
      </w:r>
    </w:p>
  </w:footnote>
  <w:footnote w:id="982">
    <w:p w14:paraId="050B904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À dire vrai, dans le récit français, c’est visiblement à des diables, tortionnaires habituels de l’enfer et du purgatoire, qu’incombe le soin de présider au chât</w:t>
      </w:r>
      <w:r w:rsidRPr="003B3476">
        <w:rPr>
          <w:lang w:val="fr-FR" w:eastAsia="fr-FR" w:bidi="fr-FR"/>
        </w:rPr>
        <w:t>i</w:t>
      </w:r>
      <w:r w:rsidRPr="003B3476">
        <w:rPr>
          <w:lang w:val="fr-FR" w:eastAsia="fr-FR" w:bidi="fr-FR"/>
        </w:rPr>
        <w:t>ment de Salomon ; et c’est sans doute vers quelque lieu infernal que ses d</w:t>
      </w:r>
      <w:r w:rsidRPr="003B3476">
        <w:rPr>
          <w:lang w:val="fr-FR" w:eastAsia="fr-FR" w:bidi="fr-FR"/>
        </w:rPr>
        <w:t>é</w:t>
      </w:r>
      <w:r w:rsidRPr="003B3476">
        <w:rPr>
          <w:lang w:val="fr-FR" w:eastAsia="fr-FR" w:bidi="fr-FR"/>
        </w:rPr>
        <w:t>moniaques porteurs le ramènent chaque jour après le supplice. Mais il subit ses tourments en dehors des géhennes ordinaires ; et par ailleurs sa pun</w:t>
      </w:r>
      <w:r w:rsidRPr="003B3476">
        <w:rPr>
          <w:lang w:val="fr-FR" w:eastAsia="fr-FR" w:bidi="fr-FR"/>
        </w:rPr>
        <w:t>i</w:t>
      </w:r>
      <w:r w:rsidRPr="003B3476">
        <w:rPr>
          <w:lang w:val="fr-FR" w:eastAsia="fr-FR" w:bidi="fr-FR"/>
        </w:rPr>
        <w:t>tion — chose tout à fait anormale — a pour terme préétabli la Fin du Monde.</w:t>
      </w:r>
    </w:p>
  </w:footnote>
  <w:footnote w:id="983">
    <w:p w14:paraId="27AA2D3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La légende de Trajan</w:t>
      </w:r>
      <w:r w:rsidRPr="003B3476">
        <w:rPr>
          <w:bCs/>
        </w:rPr>
        <w:t>,</w:t>
      </w:r>
      <w:r w:rsidRPr="003B3476">
        <w:rPr>
          <w:lang w:val="fr-FR" w:eastAsia="fr-FR" w:bidi="fr-FR"/>
        </w:rPr>
        <w:t xml:space="preserve"> dans Biblioth. de l’École des Hautes Études, fasc. 35, p. 297.</w:t>
      </w:r>
    </w:p>
  </w:footnote>
  <w:footnote w:id="984">
    <w:p w14:paraId="469546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Traduction J. F. </w:t>
      </w:r>
      <w:r w:rsidRPr="003B3476">
        <w:rPr>
          <w:smallCaps/>
          <w:lang w:val="fr-FR" w:eastAsia="fr-FR" w:bidi="fr-FR"/>
        </w:rPr>
        <w:t>Ostervald</w:t>
      </w:r>
      <w:r w:rsidRPr="003B3476">
        <w:rPr>
          <w:lang w:val="fr-FR" w:eastAsia="fr-FR" w:bidi="fr-FR"/>
        </w:rPr>
        <w:t>.</w:t>
      </w:r>
    </w:p>
  </w:footnote>
  <w:footnote w:id="985">
    <w:p w14:paraId="67BB032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Je ne fais ici que m’approprier les conclusions de R. </w:t>
      </w:r>
      <w:r w:rsidRPr="003B3476">
        <w:rPr>
          <w:rStyle w:val="Notedebasdepage65ptPetitesmajuscules"/>
          <w:b w:val="0"/>
          <w:sz w:val="24"/>
        </w:rPr>
        <w:t xml:space="preserve">Faerber, </w:t>
      </w:r>
      <w:r w:rsidRPr="003B3476">
        <w:rPr>
          <w:rStyle w:val="Notedebasdepage7ptItalique"/>
          <w:b w:val="0"/>
          <w:sz w:val="24"/>
        </w:rPr>
        <w:t>König Salomon in der Tradition : ein historisch-kritischer Beitrag zur Geschichte der Hagg</w:t>
      </w:r>
      <w:r w:rsidRPr="003B3476">
        <w:rPr>
          <w:rStyle w:val="Notedebasdepage7ptItalique"/>
          <w:b w:val="0"/>
          <w:sz w:val="24"/>
        </w:rPr>
        <w:t>a</w:t>
      </w:r>
      <w:r w:rsidRPr="003B3476">
        <w:rPr>
          <w:rStyle w:val="Notedebasdepage7ptItalique"/>
          <w:b w:val="0"/>
          <w:sz w:val="24"/>
        </w:rPr>
        <w:t>da</w:t>
      </w:r>
      <w:r w:rsidRPr="003B3476">
        <w:rPr>
          <w:rStyle w:val="Notedebasdepage8ptEspacement0pt"/>
          <w:b w:val="0"/>
          <w:sz w:val="24"/>
        </w:rPr>
        <w:t xml:space="preserve">, </w:t>
      </w:r>
      <w:r w:rsidRPr="003B3476">
        <w:rPr>
          <w:rStyle w:val="Notedebasdepage7ptItalique"/>
          <w:b w:val="0"/>
          <w:sz w:val="24"/>
        </w:rPr>
        <w:t>der Tannaiten und Amoraer</w:t>
      </w:r>
      <w:r w:rsidRPr="003B3476">
        <w:rPr>
          <w:rStyle w:val="Notedebasdepage8ptEspacement0pt"/>
          <w:b w:val="0"/>
          <w:sz w:val="24"/>
        </w:rPr>
        <w:t xml:space="preserve"> </w:t>
      </w:r>
      <w:r w:rsidRPr="003B3476">
        <w:rPr>
          <w:lang w:val="fr-FR" w:eastAsia="fr-FR" w:bidi="fr-FR"/>
        </w:rPr>
        <w:t xml:space="preserve">(Diss. de Strasbourg, Vienne, 1902). </w:t>
      </w:r>
      <w:r w:rsidRPr="003B3476">
        <w:rPr>
          <w:rStyle w:val="Notedebasdepage7ptItalique"/>
          <w:b w:val="0"/>
          <w:sz w:val="24"/>
        </w:rPr>
        <w:t>Cf.</w:t>
      </w:r>
      <w:r w:rsidRPr="003B3476">
        <w:rPr>
          <w:rStyle w:val="Notedebasdepage8ptEspacement0pt"/>
          <w:b w:val="0"/>
          <w:sz w:val="24"/>
        </w:rPr>
        <w:t xml:space="preserve"> </w:t>
      </w:r>
      <w:r w:rsidRPr="003B3476">
        <w:rPr>
          <w:lang w:val="fr-FR" w:eastAsia="fr-FR" w:bidi="fr-FR"/>
        </w:rPr>
        <w:t xml:space="preserve">aussi </w:t>
      </w:r>
      <w:r w:rsidRPr="003B3476">
        <w:rPr>
          <w:rStyle w:val="Notedebasdepage7ptItalique"/>
          <w:b w:val="0"/>
          <w:sz w:val="24"/>
        </w:rPr>
        <w:t>Jewish Encyclopaedia</w:t>
      </w:r>
      <w:r w:rsidRPr="003B3476">
        <w:rPr>
          <w:lang w:val="fr-FR" w:eastAsia="fr-FR" w:bidi="fr-FR"/>
        </w:rPr>
        <w:t xml:space="preserve">, à l’article « Solomon » (t. XI, p. 444, par Max </w:t>
      </w:r>
      <w:r w:rsidRPr="003B3476">
        <w:rPr>
          <w:rStyle w:val="Notedebasdepage65ptPetitesmajuscules"/>
          <w:b w:val="0"/>
          <w:sz w:val="24"/>
        </w:rPr>
        <w:t>Seli</w:t>
      </w:r>
      <w:r w:rsidRPr="003B3476">
        <w:rPr>
          <w:rStyle w:val="Notedebasdepage65ptPetitesmajuscules"/>
          <w:b w:val="0"/>
          <w:sz w:val="24"/>
        </w:rPr>
        <w:t>g</w:t>
      </w:r>
      <w:r w:rsidRPr="003B3476">
        <w:rPr>
          <w:rStyle w:val="Notedebasdepage65ptPetitesmajuscules"/>
          <w:b w:val="0"/>
          <w:sz w:val="24"/>
        </w:rPr>
        <w:t xml:space="preserve">sohn). </w:t>
      </w:r>
      <w:r w:rsidRPr="003B3476">
        <w:rPr>
          <w:lang w:val="fr-FR" w:eastAsia="fr-FR" w:bidi="fr-FR"/>
        </w:rPr>
        <w:t>M. Ginsburger, bibliothécaire à la Bibliothèque Universitaire et Régi</w:t>
      </w:r>
      <w:r w:rsidRPr="003B3476">
        <w:rPr>
          <w:lang w:val="fr-FR" w:eastAsia="fr-FR" w:bidi="fr-FR"/>
        </w:rPr>
        <w:t>o</w:t>
      </w:r>
      <w:r w:rsidRPr="003B3476">
        <w:rPr>
          <w:lang w:val="fr-FR" w:eastAsia="fr-FR" w:bidi="fr-FR"/>
        </w:rPr>
        <w:t>nale de Strasbourg, dont la compétence en matière talmudique est bien connue, m’a fait l’amitié de guider mes recherches et de me traduire les textes nécessaires ; je le prie d’accepter l’expression de ma reconnaissance.</w:t>
      </w:r>
    </w:p>
  </w:footnote>
  <w:footnote w:id="986">
    <w:p w14:paraId="0C750DA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Comme la citation précédente, </w:t>
      </w:r>
      <w:r w:rsidRPr="003B3476">
        <w:rPr>
          <w:rStyle w:val="Notedebasdepage7ptItalique"/>
          <w:b w:val="0"/>
          <w:sz w:val="24"/>
        </w:rPr>
        <w:t>Prov.,</w:t>
      </w:r>
      <w:r w:rsidRPr="003B3476">
        <w:rPr>
          <w:bCs/>
        </w:rPr>
        <w:t xml:space="preserve"> </w:t>
      </w:r>
      <w:r w:rsidRPr="003B3476">
        <w:rPr>
          <w:lang w:val="fr-FR" w:eastAsia="fr-FR" w:bidi="fr-FR"/>
        </w:rPr>
        <w:t xml:space="preserve">XXII, 29 : dans la phrase relative aux durées, de construction comparées du Temple et du Palais, le texte du </w:t>
      </w:r>
      <w:r w:rsidRPr="003B3476">
        <w:rPr>
          <w:rStyle w:val="Notedebasdepage7ptItalique"/>
          <w:b w:val="0"/>
          <w:sz w:val="24"/>
        </w:rPr>
        <w:t>M</w:t>
      </w:r>
      <w:r w:rsidRPr="003B3476">
        <w:rPr>
          <w:rStyle w:val="Notedebasdepage7ptItalique"/>
          <w:b w:val="0"/>
          <w:sz w:val="24"/>
        </w:rPr>
        <w:t>i</w:t>
      </w:r>
      <w:r w:rsidRPr="003B3476">
        <w:rPr>
          <w:rStyle w:val="Notedebasdepage7ptItalique"/>
          <w:b w:val="0"/>
          <w:sz w:val="24"/>
        </w:rPr>
        <w:t>drasch</w:t>
      </w:r>
      <w:r w:rsidRPr="003B3476">
        <w:rPr>
          <w:lang w:val="fr-FR" w:eastAsia="fr-FR" w:bidi="fr-FR"/>
        </w:rPr>
        <w:t>, éd</w:t>
      </w:r>
      <w:r w:rsidRPr="003B3476">
        <w:rPr>
          <w:lang w:val="fr-FR" w:eastAsia="fr-FR" w:bidi="fr-FR"/>
        </w:rPr>
        <w:t>i</w:t>
      </w:r>
      <w:r w:rsidRPr="003B3476">
        <w:rPr>
          <w:lang w:val="fr-FR" w:eastAsia="fr-FR" w:bidi="fr-FR"/>
        </w:rPr>
        <w:t xml:space="preserve">tion de Berlin (1866) porte par erreur deux fois : </w:t>
      </w:r>
      <w:r w:rsidRPr="003B3476">
        <w:rPr>
          <w:rStyle w:val="Notedebasdepage7ptItalique"/>
          <w:b w:val="0"/>
          <w:sz w:val="24"/>
        </w:rPr>
        <w:t>ma</w:t>
      </w:r>
      <w:r w:rsidRPr="003B3476">
        <w:rPr>
          <w:bCs/>
        </w:rPr>
        <w:t xml:space="preserve"> </w:t>
      </w:r>
      <w:r w:rsidRPr="003B3476">
        <w:rPr>
          <w:lang w:val="fr-FR" w:eastAsia="fr-FR" w:bidi="fr-FR"/>
        </w:rPr>
        <w:t xml:space="preserve">maison. Wünsche dans sa traduction rectifie mal </w:t>
      </w:r>
      <w:r w:rsidRPr="003B3476">
        <w:t xml:space="preserve">à </w:t>
      </w:r>
      <w:r w:rsidRPr="003B3476">
        <w:rPr>
          <w:lang w:val="fr-FR" w:eastAsia="fr-FR" w:bidi="fr-FR"/>
        </w:rPr>
        <w:t xml:space="preserve">propos en attribuant une durée de sept ans </w:t>
      </w:r>
      <w:r w:rsidRPr="003B3476">
        <w:t xml:space="preserve">à </w:t>
      </w:r>
      <w:r w:rsidRPr="003B3476">
        <w:rPr>
          <w:lang w:val="fr-FR" w:eastAsia="fr-FR" w:bidi="fr-FR"/>
        </w:rPr>
        <w:t xml:space="preserve">la construction du Palais et de treize </w:t>
      </w:r>
      <w:r w:rsidRPr="003B3476">
        <w:t xml:space="preserve">à </w:t>
      </w:r>
      <w:r w:rsidRPr="003B3476">
        <w:rPr>
          <w:lang w:val="fr-FR" w:eastAsia="fr-FR" w:bidi="fr-FR"/>
        </w:rPr>
        <w:t>celle du Temple. Le texte b</w:t>
      </w:r>
      <w:r w:rsidRPr="003B3476">
        <w:rPr>
          <w:lang w:val="fr-FR" w:eastAsia="fr-FR" w:bidi="fr-FR"/>
        </w:rPr>
        <w:t>i</w:t>
      </w:r>
      <w:r w:rsidRPr="003B3476">
        <w:rPr>
          <w:lang w:val="fr-FR" w:eastAsia="fr-FR" w:bidi="fr-FR"/>
        </w:rPr>
        <w:t xml:space="preserve">blique (I </w:t>
      </w:r>
      <w:r w:rsidRPr="003B3476">
        <w:rPr>
          <w:bCs/>
          <w:i/>
          <w:iCs/>
        </w:rPr>
        <w:t>Rois</w:t>
      </w:r>
      <w:r w:rsidRPr="003B3476">
        <w:rPr>
          <w:lang w:val="fr-FR" w:eastAsia="fr-FR" w:bidi="fr-FR"/>
        </w:rPr>
        <w:t>, VI, 38 et VII, 1) ainsi que le Talmud babylonien (</w:t>
      </w:r>
      <w:r w:rsidRPr="003B3476">
        <w:rPr>
          <w:rStyle w:val="Notedebasdepage7ptItalique"/>
          <w:b w:val="0"/>
          <w:sz w:val="24"/>
        </w:rPr>
        <w:t>Sanh</w:t>
      </w:r>
      <w:r w:rsidRPr="003B3476">
        <w:rPr>
          <w:lang w:val="fr-FR" w:eastAsia="fr-FR" w:bidi="fr-FR"/>
        </w:rPr>
        <w:t>., fol. 1046) prouvent qu’il faut au contraire corriger, comme j’ai fait, en sens inverse.</w:t>
      </w:r>
    </w:p>
  </w:footnote>
  <w:footnote w:id="987">
    <w:p w14:paraId="01992C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Job</w:t>
      </w:r>
      <w:r w:rsidRPr="003B3476">
        <w:rPr>
          <w:lang w:val="fr-FR" w:eastAsia="fr-FR" w:bidi="fr-FR"/>
        </w:rPr>
        <w:t>, XXXIV, 33. La première phrase est terriblement obscure ; il est probable que le texte est corrompu (</w:t>
      </w:r>
      <w:r w:rsidRPr="003B3476">
        <w:rPr>
          <w:i/>
          <w:lang w:val="fr-FR" w:eastAsia="fr-FR" w:bidi="fr-FR"/>
        </w:rPr>
        <w:t>cf.</w:t>
      </w:r>
      <w:r w:rsidRPr="003B3476">
        <w:rPr>
          <w:lang w:val="fr-FR" w:eastAsia="fr-FR" w:bidi="fr-FR"/>
        </w:rPr>
        <w:t xml:space="preserve"> Harry </w:t>
      </w:r>
      <w:r w:rsidRPr="003B3476">
        <w:rPr>
          <w:rStyle w:val="Notedebasdepage65ptPetitesmajuscules"/>
          <w:b w:val="0"/>
          <w:sz w:val="24"/>
        </w:rPr>
        <w:t xml:space="preserve">Torczyner, </w:t>
      </w:r>
      <w:r w:rsidRPr="003B3476">
        <w:rPr>
          <w:rStyle w:val="Notedebasdepage65ptItaliqueEspacement1pt"/>
          <w:b w:val="0"/>
          <w:sz w:val="24"/>
        </w:rPr>
        <w:t xml:space="preserve">Dos </w:t>
      </w:r>
      <w:r w:rsidRPr="003B3476">
        <w:rPr>
          <w:rStyle w:val="Notedebasdepage7ptItalique"/>
          <w:b w:val="0"/>
          <w:sz w:val="24"/>
        </w:rPr>
        <w:t>Buch Hiob</w:t>
      </w:r>
      <w:r w:rsidRPr="003B3476">
        <w:rPr>
          <w:lang w:val="fr-FR" w:eastAsia="fr-FR" w:bidi="fr-FR"/>
        </w:rPr>
        <w:t xml:space="preserve">, p. 252) ; mais ici il ne servirait </w:t>
      </w:r>
      <w:r w:rsidRPr="003B3476">
        <w:t xml:space="preserve">à </w:t>
      </w:r>
      <w:r w:rsidRPr="003B3476">
        <w:rPr>
          <w:lang w:val="fr-FR" w:eastAsia="fr-FR" w:bidi="fr-FR"/>
        </w:rPr>
        <w:t xml:space="preserve">rien de chercher </w:t>
      </w:r>
      <w:r w:rsidRPr="003B3476">
        <w:t xml:space="preserve">à </w:t>
      </w:r>
      <w:r w:rsidRPr="003B3476">
        <w:rPr>
          <w:lang w:val="fr-FR" w:eastAsia="fr-FR" w:bidi="fr-FR"/>
        </w:rPr>
        <w:t>le corriger, puisque celui que l</w:t>
      </w:r>
      <w:r w:rsidRPr="003B3476">
        <w:rPr>
          <w:lang w:val="fr-FR" w:eastAsia="fr-FR" w:bidi="fr-FR"/>
        </w:rPr>
        <w:t>i</w:t>
      </w:r>
      <w:r w:rsidRPr="003B3476">
        <w:rPr>
          <w:lang w:val="fr-FR" w:eastAsia="fr-FR" w:bidi="fr-FR"/>
        </w:rPr>
        <w:t>saient les Talm</w:t>
      </w:r>
      <w:r w:rsidRPr="003B3476">
        <w:rPr>
          <w:lang w:val="fr-FR" w:eastAsia="fr-FR" w:bidi="fr-FR"/>
        </w:rPr>
        <w:t>u</w:t>
      </w:r>
      <w:r w:rsidRPr="003B3476">
        <w:rPr>
          <w:lang w:val="fr-FR" w:eastAsia="fr-FR" w:bidi="fr-FR"/>
        </w:rPr>
        <w:t xml:space="preserve">distes était le même que le nôtre. Ma traduction, établie avec l’aide de M. Ginsburger, vise </w:t>
      </w:r>
      <w:r w:rsidRPr="003B3476">
        <w:t xml:space="preserve">à </w:t>
      </w:r>
      <w:r w:rsidRPr="003B3476">
        <w:rPr>
          <w:lang w:val="fr-FR" w:eastAsia="fr-FR" w:bidi="fr-FR"/>
        </w:rPr>
        <w:t>serrer l’original hébreu de plus près que les traductions courantes, en même temps qu’à faire saisir le lien que l’on devait établir entre ce verset et le cas de Salomon, condamné par d’indiscrets do</w:t>
      </w:r>
      <w:r w:rsidRPr="003B3476">
        <w:rPr>
          <w:lang w:val="fr-FR" w:eastAsia="fr-FR" w:bidi="fr-FR"/>
        </w:rPr>
        <w:t>c</w:t>
      </w:r>
      <w:r w:rsidRPr="003B3476">
        <w:rPr>
          <w:lang w:val="fr-FR" w:eastAsia="fr-FR" w:bidi="fr-FR"/>
        </w:rPr>
        <w:t>teurs. Mais il faut bien reconnaître que la Voix céleste aurait pu trouver une citation plus t</w:t>
      </w:r>
      <w:r w:rsidRPr="003B3476">
        <w:rPr>
          <w:lang w:val="fr-FR" w:eastAsia="fr-FR" w:bidi="fr-FR"/>
        </w:rPr>
        <w:t>o</w:t>
      </w:r>
      <w:r w:rsidRPr="003B3476">
        <w:rPr>
          <w:lang w:val="fr-FR" w:eastAsia="fr-FR" w:bidi="fr-FR"/>
        </w:rPr>
        <w:t>pique.</w:t>
      </w:r>
    </w:p>
  </w:footnote>
  <w:footnote w:id="988">
    <w:p w14:paraId="6C5DBD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Midrasch Bemidbar rabba,</w:t>
      </w:r>
      <w:r w:rsidRPr="003B3476">
        <w:rPr>
          <w:bCs/>
        </w:rPr>
        <w:t xml:space="preserve"> </w:t>
      </w:r>
      <w:r w:rsidRPr="003B3476">
        <w:rPr>
          <w:lang w:val="fr-FR" w:eastAsia="fr-FR" w:bidi="fr-FR"/>
        </w:rPr>
        <w:t xml:space="preserve">traduction </w:t>
      </w:r>
      <w:r w:rsidRPr="003B3476">
        <w:rPr>
          <w:rStyle w:val="Notedebasdepage65ptPetitesmajuscules"/>
          <w:b w:val="0"/>
          <w:sz w:val="24"/>
        </w:rPr>
        <w:t xml:space="preserve">Wünsche </w:t>
      </w:r>
      <w:r w:rsidRPr="003B3476">
        <w:rPr>
          <w:lang w:val="fr-FR" w:eastAsia="fr-FR" w:bidi="fr-FR"/>
        </w:rPr>
        <w:t xml:space="preserve">dans </w:t>
      </w:r>
      <w:r w:rsidRPr="003B3476">
        <w:rPr>
          <w:rStyle w:val="Notedebasdepage7ptItalique"/>
          <w:b w:val="0"/>
          <w:sz w:val="24"/>
        </w:rPr>
        <w:t>Bibliotheca rabbinica,</w:t>
      </w:r>
      <w:r w:rsidRPr="003B3476">
        <w:rPr>
          <w:bCs/>
        </w:rPr>
        <w:t xml:space="preserve"> </w:t>
      </w:r>
      <w:r w:rsidRPr="003B3476">
        <w:rPr>
          <w:lang w:val="fr-FR" w:eastAsia="fr-FR" w:bidi="fr-FR"/>
        </w:rPr>
        <w:t xml:space="preserve">p. 340 (Par. XIV, chap. </w:t>
      </w:r>
      <w:r w:rsidRPr="003B3476">
        <w:rPr>
          <w:rStyle w:val="Notedebasdepage65ptPetitesmajuscules"/>
          <w:b w:val="0"/>
          <w:sz w:val="24"/>
        </w:rPr>
        <w:t xml:space="preserve">vii, </w:t>
      </w:r>
      <w:r w:rsidRPr="003B3476">
        <w:rPr>
          <w:lang w:val="fr-FR" w:eastAsia="fr-FR" w:bidi="fr-FR"/>
        </w:rPr>
        <w:t xml:space="preserve">48). </w:t>
      </w:r>
      <w:r w:rsidRPr="003B3476">
        <w:rPr>
          <w:rStyle w:val="Notedebasdepage65ptItaliqueEspacement1pt"/>
          <w:b w:val="0"/>
          <w:sz w:val="24"/>
        </w:rPr>
        <w:t>Cf.</w:t>
      </w:r>
      <w:r w:rsidRPr="003B3476">
        <w:rPr>
          <w:rStyle w:val="Notedebasdepage65ptNonGras"/>
          <w:b w:val="0"/>
          <w:bCs w:val="0"/>
          <w:sz w:val="24"/>
        </w:rPr>
        <w:t xml:space="preserve"> </w:t>
      </w:r>
      <w:r w:rsidRPr="003B3476">
        <w:rPr>
          <w:lang w:val="fr-FR" w:eastAsia="fr-FR" w:bidi="fr-FR"/>
        </w:rPr>
        <w:t xml:space="preserve">le Talmud de Babylone, </w:t>
      </w:r>
      <w:r w:rsidRPr="003B3476">
        <w:rPr>
          <w:rStyle w:val="Notedebasdepage7ptItalique"/>
          <w:b w:val="0"/>
          <w:sz w:val="24"/>
        </w:rPr>
        <w:t>Sanhédrin</w:t>
      </w:r>
      <w:r w:rsidRPr="003B3476">
        <w:rPr>
          <w:bCs/>
        </w:rPr>
        <w:t xml:space="preserve">, </w:t>
      </w:r>
      <w:r w:rsidRPr="003B3476">
        <w:rPr>
          <w:lang w:val="fr-FR" w:eastAsia="fr-FR" w:bidi="fr-FR"/>
        </w:rPr>
        <w:t xml:space="preserve">fol. 1046 (avec la </w:t>
      </w:r>
      <w:r w:rsidRPr="003B3476">
        <w:rPr>
          <w:rStyle w:val="Notedebasdepage7ptItalique"/>
          <w:b w:val="0"/>
          <w:sz w:val="24"/>
        </w:rPr>
        <w:t>Mischna</w:t>
      </w:r>
      <w:r w:rsidRPr="003B3476">
        <w:rPr>
          <w:bCs/>
        </w:rPr>
        <w:t xml:space="preserve">, </w:t>
      </w:r>
      <w:r w:rsidRPr="003B3476">
        <w:rPr>
          <w:rStyle w:val="Notedebasdepage7ptItalique"/>
          <w:b w:val="0"/>
          <w:sz w:val="24"/>
        </w:rPr>
        <w:t>ibid.,</w:t>
      </w:r>
      <w:r w:rsidRPr="003B3476">
        <w:rPr>
          <w:bCs/>
        </w:rPr>
        <w:t xml:space="preserve"> </w:t>
      </w:r>
      <w:r w:rsidRPr="003B3476">
        <w:rPr>
          <w:lang w:val="fr-FR" w:eastAsia="fr-FR" w:bidi="fr-FR"/>
        </w:rPr>
        <w:t>fol. 90a), traduction L. </w:t>
      </w:r>
      <w:r w:rsidRPr="003B3476">
        <w:rPr>
          <w:rStyle w:val="Notedebasdepage65ptPetitesmajuscules"/>
          <w:b w:val="0"/>
          <w:sz w:val="24"/>
        </w:rPr>
        <w:t xml:space="preserve">Goldschmidt, </w:t>
      </w:r>
      <w:r w:rsidRPr="003B3476">
        <w:rPr>
          <w:rStyle w:val="Notedebasdepage7ptItalique"/>
          <w:b w:val="0"/>
          <w:sz w:val="24"/>
        </w:rPr>
        <w:t>Der b</w:t>
      </w:r>
      <w:r w:rsidRPr="003B3476">
        <w:rPr>
          <w:rStyle w:val="Notedebasdepage7ptItalique"/>
          <w:b w:val="0"/>
          <w:sz w:val="24"/>
        </w:rPr>
        <w:t>a</w:t>
      </w:r>
      <w:r w:rsidRPr="003B3476">
        <w:rPr>
          <w:rStyle w:val="Notedebasdepage7ptItalique"/>
          <w:b w:val="0"/>
          <w:sz w:val="24"/>
        </w:rPr>
        <w:t>bylonische Talmud</w:t>
      </w:r>
      <w:r w:rsidRPr="003B3476">
        <w:rPr>
          <w:lang w:val="fr-FR" w:eastAsia="fr-FR" w:bidi="fr-FR"/>
        </w:rPr>
        <w:t>, t. VII, p. 463 et 379 ; le Talmud de J</w:t>
      </w:r>
      <w:r w:rsidRPr="003B3476">
        <w:rPr>
          <w:lang w:val="fr-FR" w:eastAsia="fr-FR" w:bidi="fr-FR"/>
        </w:rPr>
        <w:t>é</w:t>
      </w:r>
      <w:r w:rsidRPr="003B3476">
        <w:rPr>
          <w:lang w:val="fr-FR" w:eastAsia="fr-FR" w:bidi="fr-FR"/>
        </w:rPr>
        <w:t xml:space="preserve">rusalem, </w:t>
      </w:r>
      <w:r w:rsidRPr="003B3476">
        <w:rPr>
          <w:rStyle w:val="Notedebasdepage7ptItalique"/>
          <w:b w:val="0"/>
          <w:sz w:val="24"/>
        </w:rPr>
        <w:t>Sanhédrin</w:t>
      </w:r>
      <w:r w:rsidRPr="003B3476">
        <w:rPr>
          <w:lang w:val="fr-FR" w:eastAsia="fr-FR" w:bidi="fr-FR"/>
        </w:rPr>
        <w:t xml:space="preserve">, X, 2 ; </w:t>
      </w:r>
      <w:r w:rsidRPr="003B3476">
        <w:rPr>
          <w:rStyle w:val="Notedebasdepage7ptItalique"/>
          <w:b w:val="0"/>
          <w:sz w:val="24"/>
        </w:rPr>
        <w:t>Midrasch Schir lia-schirim</w:t>
      </w:r>
      <w:r w:rsidRPr="003B3476">
        <w:rPr>
          <w:lang w:val="fr-FR" w:eastAsia="fr-FR" w:bidi="fr-FR"/>
        </w:rPr>
        <w:t xml:space="preserve">, I, 1 </w:t>
      </w:r>
      <w:r w:rsidRPr="003B3476">
        <w:rPr>
          <w:rStyle w:val="Notedebasdepage65ptPetitesmajuscules"/>
          <w:b w:val="0"/>
          <w:sz w:val="24"/>
        </w:rPr>
        <w:t xml:space="preserve">(Wünsche, </w:t>
      </w:r>
      <w:r w:rsidRPr="003B3476">
        <w:rPr>
          <w:rStyle w:val="Notedebasdepage7ptItalique"/>
          <w:b w:val="0"/>
          <w:sz w:val="24"/>
        </w:rPr>
        <w:t>loc. cit</w:t>
      </w:r>
      <w:r w:rsidRPr="003B3476">
        <w:rPr>
          <w:lang w:val="fr-FR" w:eastAsia="fr-FR" w:bidi="fr-FR"/>
        </w:rPr>
        <w:t>., p. 3) ;</w:t>
      </w:r>
      <w:r w:rsidRPr="003B3476">
        <w:rPr>
          <w:bCs/>
        </w:rPr>
        <w:t xml:space="preserve"> </w:t>
      </w:r>
      <w:r w:rsidRPr="003B3476">
        <w:rPr>
          <w:rStyle w:val="Notedebasdepage7ptItalique"/>
          <w:b w:val="0"/>
          <w:sz w:val="24"/>
        </w:rPr>
        <w:t>Midrasch Mischle</w:t>
      </w:r>
      <w:r w:rsidRPr="003B3476">
        <w:rPr>
          <w:lang w:val="fr-FR" w:eastAsia="fr-FR" w:bidi="fr-FR"/>
        </w:rPr>
        <w:t xml:space="preserve">, XXII, V, 29 </w:t>
      </w:r>
      <w:r w:rsidRPr="003B3476">
        <w:rPr>
          <w:rStyle w:val="Notedebasdepage7ptItalique"/>
          <w:b w:val="0"/>
          <w:sz w:val="24"/>
        </w:rPr>
        <w:t>(Ibid.,</w:t>
      </w:r>
      <w:r w:rsidRPr="003B3476">
        <w:rPr>
          <w:bCs/>
        </w:rPr>
        <w:t xml:space="preserve"> </w:t>
      </w:r>
      <w:r w:rsidRPr="003B3476">
        <w:rPr>
          <w:lang w:val="fr-FR" w:eastAsia="fr-FR" w:bidi="fr-FR"/>
        </w:rPr>
        <w:t xml:space="preserve">p. 60) ; </w:t>
      </w:r>
      <w:r w:rsidRPr="003B3476">
        <w:rPr>
          <w:rStyle w:val="Notedebasdepage7ptItalique"/>
          <w:b w:val="0"/>
          <w:sz w:val="24"/>
        </w:rPr>
        <w:t>Midrasch Tanchuma</w:t>
      </w:r>
      <w:r w:rsidRPr="003B3476">
        <w:rPr>
          <w:lang w:val="fr-FR" w:eastAsia="fr-FR" w:bidi="fr-FR"/>
        </w:rPr>
        <w:t xml:space="preserve">, III, </w:t>
      </w:r>
      <w:r w:rsidRPr="003B3476">
        <w:rPr>
          <w:rStyle w:val="Notedebasdepage7ptItalique"/>
          <w:b w:val="0"/>
          <w:sz w:val="24"/>
        </w:rPr>
        <w:t>Lévitique</w:t>
      </w:r>
      <w:r w:rsidRPr="003B3476">
        <w:rPr>
          <w:lang w:val="fr-FR" w:eastAsia="fr-FR" w:bidi="fr-FR"/>
        </w:rPr>
        <w:t xml:space="preserve">, XIV, 1, éd. </w:t>
      </w:r>
      <w:r w:rsidRPr="003B3476">
        <w:rPr>
          <w:rStyle w:val="Notedebasdepage65ptPetitesmajuscules"/>
          <w:b w:val="0"/>
          <w:sz w:val="24"/>
        </w:rPr>
        <w:t xml:space="preserve">Buber, </w:t>
      </w:r>
      <w:r w:rsidRPr="003B3476">
        <w:rPr>
          <w:lang w:val="fr-FR" w:eastAsia="fr-FR" w:bidi="fr-FR"/>
        </w:rPr>
        <w:t xml:space="preserve">p. 22a : et sans doute aussi </w:t>
      </w:r>
      <w:r w:rsidRPr="003B3476">
        <w:rPr>
          <w:rStyle w:val="Notedebasdepage7ptItalique"/>
          <w:b w:val="0"/>
          <w:sz w:val="24"/>
        </w:rPr>
        <w:t>Yoma,</w:t>
      </w:r>
      <w:r w:rsidRPr="003B3476">
        <w:rPr>
          <w:bCs/>
        </w:rPr>
        <w:t xml:space="preserve"> </w:t>
      </w:r>
      <w:r w:rsidRPr="003B3476">
        <w:rPr>
          <w:lang w:val="fr-FR" w:eastAsia="fr-FR" w:bidi="fr-FR"/>
        </w:rPr>
        <w:t xml:space="preserve">fol. 666 ; </w:t>
      </w:r>
      <w:r w:rsidRPr="003B3476">
        <w:rPr>
          <w:rStyle w:val="Notedebasdepage7ptItalique"/>
          <w:b w:val="0"/>
          <w:sz w:val="24"/>
        </w:rPr>
        <w:t>Tosephta, Jeb</w:t>
      </w:r>
      <w:r w:rsidRPr="003B3476">
        <w:rPr>
          <w:rStyle w:val="Notedebasdepage7ptItalique"/>
          <w:b w:val="0"/>
          <w:sz w:val="24"/>
        </w:rPr>
        <w:t>a</w:t>
      </w:r>
      <w:r w:rsidRPr="003B3476">
        <w:rPr>
          <w:rStyle w:val="Notedebasdepage7ptItalique"/>
          <w:b w:val="0"/>
          <w:sz w:val="24"/>
        </w:rPr>
        <w:t>moth</w:t>
      </w:r>
      <w:r w:rsidRPr="003B3476">
        <w:rPr>
          <w:lang w:val="fr-FR" w:eastAsia="fr-FR" w:bidi="fr-FR"/>
        </w:rPr>
        <w:t xml:space="preserve">, III, 4 (éd. </w:t>
      </w:r>
      <w:r w:rsidRPr="003B3476">
        <w:rPr>
          <w:rStyle w:val="Notedebasdepage65ptPetitesmajuscules"/>
          <w:b w:val="0"/>
          <w:sz w:val="24"/>
        </w:rPr>
        <w:t xml:space="preserve">Zucker-mandel, </w:t>
      </w:r>
      <w:r w:rsidRPr="003B3476">
        <w:rPr>
          <w:lang w:val="fr-FR" w:eastAsia="fr-FR" w:bidi="fr-FR"/>
        </w:rPr>
        <w:t>p. 244).</w:t>
      </w:r>
    </w:p>
  </w:footnote>
  <w:footnote w:id="989">
    <w:p w14:paraId="6333B25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XXXVIII, 39 (traduction de M. </w:t>
      </w:r>
      <w:r w:rsidRPr="003B3476">
        <w:rPr>
          <w:smallCaps/>
          <w:lang w:val="fr-FR" w:eastAsia="fr-FR" w:bidi="fr-FR"/>
        </w:rPr>
        <w:t>Kasimirski</w:t>
      </w:r>
      <w:r w:rsidRPr="003B3476">
        <w:rPr>
          <w:lang w:val="fr-FR" w:eastAsia="fr-FR" w:bidi="fr-FR"/>
        </w:rPr>
        <w:t xml:space="preserve">, p. 372). </w:t>
      </w:r>
      <w:r w:rsidRPr="003B3476">
        <w:rPr>
          <w:rStyle w:val="Notedebasdepage65ptItaliqueEspacement1pt"/>
          <w:b w:val="0"/>
          <w:sz w:val="24"/>
        </w:rPr>
        <w:t>Cf.</w:t>
      </w:r>
      <w:r w:rsidRPr="003B3476">
        <w:rPr>
          <w:rStyle w:val="Notedebasdepage65ptNonGras"/>
          <w:b w:val="0"/>
          <w:bCs w:val="0"/>
        </w:rPr>
        <w:t xml:space="preserve"> </w:t>
      </w:r>
      <w:r w:rsidRPr="003B3476">
        <w:rPr>
          <w:lang w:val="fr-FR" w:eastAsia="fr-FR" w:bidi="fr-FR"/>
        </w:rPr>
        <w:t>les versets préc</w:t>
      </w:r>
      <w:r w:rsidRPr="003B3476">
        <w:rPr>
          <w:lang w:val="fr-FR" w:eastAsia="fr-FR" w:bidi="fr-FR"/>
        </w:rPr>
        <w:t>é</w:t>
      </w:r>
      <w:r w:rsidRPr="003B3476">
        <w:rPr>
          <w:lang w:val="fr-FR" w:eastAsia="fr-FR" w:bidi="fr-FR"/>
        </w:rPr>
        <w:t>dents de la même sourate, et aussi II, 16 ; VI, 84.</w:t>
      </w:r>
    </w:p>
  </w:footnote>
  <w:footnote w:id="990">
    <w:p w14:paraId="514EE0D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Cité par S. </w:t>
      </w:r>
      <w:r w:rsidRPr="003B3476">
        <w:rPr>
          <w:rStyle w:val="Notedebasdepage465ptNonItaliquePetitesmajuscules"/>
          <w:b w:val="0"/>
          <w:i w:val="0"/>
          <w:iCs w:val="0"/>
          <w:sz w:val="24"/>
        </w:rPr>
        <w:t xml:space="preserve">Cyrille d’Alexandrie, </w:t>
      </w:r>
      <w:r w:rsidRPr="003B3476">
        <w:rPr>
          <w:i/>
          <w:lang w:val="fr-FR" w:eastAsia="fr-FR" w:bidi="fr-FR"/>
        </w:rPr>
        <w:t>Contra Julianum</w:t>
      </w:r>
      <w:r w:rsidRPr="003B3476">
        <w:rPr>
          <w:rStyle w:val="Notedebasdepage475ptNonItalique"/>
          <w:b w:val="0"/>
          <w:i w:val="0"/>
          <w:iCs w:val="0"/>
          <w:sz w:val="24"/>
        </w:rPr>
        <w:t xml:space="preserve">, lib. VII, 224 D ; </w:t>
      </w:r>
      <w:r w:rsidRPr="003B3476">
        <w:rPr>
          <w:i/>
          <w:lang w:val="fr-FR" w:eastAsia="fr-FR" w:bidi="fr-FR"/>
        </w:rPr>
        <w:t>cf.</w:t>
      </w:r>
      <w:r w:rsidRPr="003B3476">
        <w:rPr>
          <w:lang w:val="fr-FR" w:eastAsia="fr-FR" w:bidi="fr-FR"/>
        </w:rPr>
        <w:t> </w:t>
      </w:r>
      <w:r w:rsidRPr="003B3476">
        <w:rPr>
          <w:i/>
          <w:lang w:val="fr-FR" w:eastAsia="fr-FR" w:bidi="fr-FR"/>
        </w:rPr>
        <w:t>Scriplorum Graecorum qui christianam impugnaverunt religionem quae supersunt</w:t>
      </w:r>
      <w:r w:rsidRPr="003B3476">
        <w:rPr>
          <w:rStyle w:val="Notedebasdepage475ptNonItalique"/>
          <w:b w:val="0"/>
          <w:i w:val="0"/>
          <w:iCs w:val="0"/>
          <w:sz w:val="24"/>
        </w:rPr>
        <w:t xml:space="preserve">, éd. C. J. </w:t>
      </w:r>
      <w:r w:rsidRPr="003B3476">
        <w:rPr>
          <w:rStyle w:val="Notedebasdepage465ptNonItaliquePetitesmajuscules"/>
          <w:b w:val="0"/>
          <w:i w:val="0"/>
          <w:iCs w:val="0"/>
          <w:sz w:val="24"/>
        </w:rPr>
        <w:t xml:space="preserve">Neumann, </w:t>
      </w:r>
      <w:r w:rsidRPr="003B3476">
        <w:rPr>
          <w:rStyle w:val="Notedebasdepage475ptNonItalique"/>
          <w:b w:val="0"/>
          <w:i w:val="0"/>
          <w:iCs w:val="0"/>
          <w:sz w:val="24"/>
        </w:rPr>
        <w:t>fasc. III, p. 203.</w:t>
      </w:r>
    </w:p>
  </w:footnote>
  <w:footnote w:id="991">
    <w:p w14:paraId="5A1596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est vrai que Salomon passa également de bonne heure pour avoir composé des livres magiques, jugés fort peu orthodoxes. Mais les docteurs tenaient, à juste titre, ces écrits pour apocryphes. Il ne semble pas que la réputation de sorcier faite à Salomon par la tradition populaire, chez les chrétiens comme chez les juifs ou dans l’Islam, ait contribué aux doutes qui s’élevèrent, dans des milieux plus instruits, au sujet de son salut. Sur ces traditions, </w:t>
      </w:r>
      <w:r w:rsidRPr="003B3476">
        <w:rPr>
          <w:i/>
          <w:lang w:val="fr-FR" w:eastAsia="fr-FR" w:bidi="fr-FR"/>
        </w:rPr>
        <w:t>cf.</w:t>
      </w:r>
      <w:r w:rsidRPr="003B3476">
        <w:rPr>
          <w:lang w:val="fr-FR" w:eastAsia="fr-FR" w:bidi="fr-FR"/>
        </w:rPr>
        <w:t xml:space="preserve"> P. </w:t>
      </w:r>
      <w:r w:rsidRPr="003B3476">
        <w:rPr>
          <w:rStyle w:val="Notedebasdepage65ptPetitesmajuscules"/>
          <w:b w:val="0"/>
          <w:sz w:val="24"/>
        </w:rPr>
        <w:t xml:space="preserve">Sain-tyves, </w:t>
      </w:r>
      <w:r w:rsidRPr="003B3476">
        <w:rPr>
          <w:rStyle w:val="Notedebasdepage7ptItalique"/>
          <w:b w:val="0"/>
          <w:sz w:val="24"/>
        </w:rPr>
        <w:t>Salomon</w:t>
      </w:r>
      <w:r w:rsidRPr="003B3476">
        <w:rPr>
          <w:lang w:val="fr-FR" w:eastAsia="fr-FR" w:bidi="fr-FR"/>
        </w:rPr>
        <w:t xml:space="preserve">, </w:t>
      </w:r>
      <w:r w:rsidRPr="003B3476">
        <w:rPr>
          <w:rStyle w:val="Notedebasdepage7ptItalique"/>
          <w:b w:val="0"/>
          <w:sz w:val="24"/>
        </w:rPr>
        <w:t>son pouvoir et ses livres magiques</w:t>
      </w:r>
      <w:r w:rsidRPr="003B3476">
        <w:rPr>
          <w:lang w:val="fr-FR" w:eastAsia="fr-FR" w:bidi="fr-FR"/>
        </w:rPr>
        <w:t xml:space="preserve">, dans </w:t>
      </w:r>
      <w:r w:rsidRPr="003B3476">
        <w:rPr>
          <w:rStyle w:val="Notedebasdepage7ptItalique"/>
          <w:b w:val="0"/>
          <w:sz w:val="24"/>
        </w:rPr>
        <w:t>Revue des traditions populaires</w:t>
      </w:r>
      <w:r w:rsidRPr="003B3476">
        <w:rPr>
          <w:lang w:val="fr-FR" w:eastAsia="fr-FR" w:bidi="fr-FR"/>
        </w:rPr>
        <w:t>, t. XXVIII (1913), p. 410-425.</w:t>
      </w:r>
    </w:p>
  </w:footnote>
  <w:footnote w:id="992">
    <w:p w14:paraId="09318A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65ptNonItaliquePetitesmajuscules"/>
          <w:b w:val="0"/>
          <w:i w:val="0"/>
          <w:iCs w:val="0"/>
          <w:sz w:val="24"/>
        </w:rPr>
        <w:t xml:space="preserve">Origène, </w:t>
      </w:r>
      <w:r w:rsidRPr="003B3476">
        <w:rPr>
          <w:i/>
          <w:lang w:val="fr-FR" w:eastAsia="fr-FR" w:bidi="fr-FR"/>
        </w:rPr>
        <w:t>Comment, in Joann</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X, 23 ; </w:t>
      </w:r>
      <w:r w:rsidRPr="003B3476">
        <w:rPr>
          <w:rStyle w:val="Notedebasdepage465ptNonItaliquePetitesmajuscules"/>
          <w:b w:val="0"/>
          <w:i w:val="0"/>
          <w:iCs w:val="0"/>
          <w:sz w:val="24"/>
        </w:rPr>
        <w:t xml:space="preserve">Tertullien, </w:t>
      </w:r>
      <w:r w:rsidRPr="003B3476">
        <w:rPr>
          <w:i/>
          <w:lang w:val="fr-FR" w:eastAsia="fr-FR" w:bidi="fr-FR"/>
        </w:rPr>
        <w:t>Adv. Marcionem</w:t>
      </w:r>
      <w:r w:rsidRPr="003B3476">
        <w:rPr>
          <w:rStyle w:val="Notedebasdepage475ptNonItalique"/>
          <w:b w:val="0"/>
          <w:i w:val="0"/>
          <w:iCs w:val="0"/>
          <w:sz w:val="24"/>
        </w:rPr>
        <w:t>, IV, 11.</w:t>
      </w:r>
    </w:p>
  </w:footnote>
  <w:footnote w:id="993">
    <w:p w14:paraId="4C8B45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Egredimini et videte, filiae Sion, regem Salomonem in diademate quo cor</w:t>
      </w:r>
      <w:r w:rsidRPr="003B3476">
        <w:rPr>
          <w:lang w:val="fr-FR" w:eastAsia="fr-FR" w:bidi="fr-FR"/>
        </w:rPr>
        <w:t>o</w:t>
      </w:r>
      <w:r w:rsidRPr="003B3476">
        <w:rPr>
          <w:lang w:val="fr-FR" w:eastAsia="fr-FR" w:bidi="fr-FR"/>
        </w:rPr>
        <w:t xml:space="preserve">navit eum mater sua, parans crucem Salvatori suo ». </w:t>
      </w:r>
      <w:r w:rsidRPr="003B3476">
        <w:rPr>
          <w:rStyle w:val="Notedebasdepage7ptItalique"/>
          <w:b w:val="0"/>
          <w:sz w:val="24"/>
        </w:rPr>
        <w:t>Magnificat</w:t>
      </w:r>
      <w:r w:rsidRPr="003B3476">
        <w:rPr>
          <w:bCs/>
        </w:rPr>
        <w:t xml:space="preserve"> </w:t>
      </w:r>
      <w:r w:rsidRPr="003B3476">
        <w:rPr>
          <w:lang w:val="fr-FR" w:eastAsia="fr-FR" w:bidi="fr-FR"/>
        </w:rPr>
        <w:t xml:space="preserve">des premières vêpres, Office de la Couronne d’Ëpines (vendredi après les Cendres), dans </w:t>
      </w:r>
      <w:r w:rsidRPr="003B3476">
        <w:rPr>
          <w:rStyle w:val="Notedebasdepage7ptItalique"/>
          <w:b w:val="0"/>
          <w:sz w:val="24"/>
        </w:rPr>
        <w:t>O</w:t>
      </w:r>
      <w:r w:rsidRPr="003B3476">
        <w:rPr>
          <w:rStyle w:val="Notedebasdepage7ptItalique"/>
          <w:b w:val="0"/>
          <w:sz w:val="24"/>
        </w:rPr>
        <w:t>f</w:t>
      </w:r>
      <w:r w:rsidRPr="003B3476">
        <w:rPr>
          <w:rStyle w:val="Notedebasdepage7ptItalique"/>
          <w:b w:val="0"/>
          <w:sz w:val="24"/>
        </w:rPr>
        <w:t>ficia propria archidiocoesis Parisiensis</w:t>
      </w:r>
      <w:r w:rsidRPr="003B3476">
        <w:rPr>
          <w:bCs/>
        </w:rPr>
        <w:t xml:space="preserve">, </w:t>
      </w:r>
      <w:r w:rsidRPr="003B3476">
        <w:rPr>
          <w:rStyle w:val="Notedebasdepage7ptItalique"/>
          <w:b w:val="0"/>
          <w:sz w:val="24"/>
        </w:rPr>
        <w:t>Pars Hiemalis</w:t>
      </w:r>
      <w:r w:rsidRPr="003B3476">
        <w:rPr>
          <w:lang w:val="fr-FR" w:eastAsia="fr-FR" w:bidi="fr-FR"/>
        </w:rPr>
        <w:t xml:space="preserve">, 1884, p. 28*. La phrase, jusqu’à </w:t>
      </w:r>
      <w:r w:rsidRPr="003B3476">
        <w:rPr>
          <w:rStyle w:val="Notedebasdepage7ptItalique"/>
          <w:b w:val="0"/>
          <w:sz w:val="24"/>
        </w:rPr>
        <w:t>mater sua</w:t>
      </w:r>
      <w:r w:rsidRPr="003B3476">
        <w:rPr>
          <w:bCs/>
        </w:rPr>
        <w:t xml:space="preserve"> </w:t>
      </w:r>
      <w:r w:rsidRPr="003B3476">
        <w:rPr>
          <w:lang w:val="fr-FR" w:eastAsia="fr-FR" w:bidi="fr-FR"/>
        </w:rPr>
        <w:t xml:space="preserve">inclusivement, est empruntée au </w:t>
      </w:r>
      <w:r w:rsidRPr="003B3476">
        <w:rPr>
          <w:rStyle w:val="Notedebasdepage7ptItalique"/>
          <w:b w:val="0"/>
          <w:sz w:val="24"/>
        </w:rPr>
        <w:t>Cantique des ca</w:t>
      </w:r>
      <w:r w:rsidRPr="003B3476">
        <w:rPr>
          <w:rStyle w:val="Notedebasdepage7ptItalique"/>
          <w:b w:val="0"/>
          <w:sz w:val="24"/>
        </w:rPr>
        <w:t>n</w:t>
      </w:r>
      <w:r w:rsidRPr="003B3476">
        <w:rPr>
          <w:rStyle w:val="Notedebasdepage7ptItalique"/>
          <w:b w:val="0"/>
          <w:sz w:val="24"/>
        </w:rPr>
        <w:t>tiques</w:t>
      </w:r>
      <w:r w:rsidRPr="003B3476">
        <w:rPr>
          <w:bCs/>
        </w:rPr>
        <w:t xml:space="preserve"> </w:t>
      </w:r>
      <w:r w:rsidRPr="003B3476">
        <w:rPr>
          <w:lang w:val="fr-FR" w:eastAsia="fr-FR" w:bidi="fr-FR"/>
        </w:rPr>
        <w:t xml:space="preserve">(III, 11). </w:t>
      </w:r>
      <w:r w:rsidRPr="003B3476">
        <w:rPr>
          <w:rStyle w:val="Notedebasdepage7ptItalique"/>
          <w:b w:val="0"/>
          <w:sz w:val="24"/>
        </w:rPr>
        <w:t>Cf.</w:t>
      </w:r>
      <w:r w:rsidRPr="003B3476">
        <w:rPr>
          <w:bCs/>
        </w:rPr>
        <w:t xml:space="preserve"> </w:t>
      </w:r>
      <w:r w:rsidRPr="003B3476">
        <w:rPr>
          <w:lang w:val="fr-FR" w:eastAsia="fr-FR" w:bidi="fr-FR"/>
        </w:rPr>
        <w:t xml:space="preserve">capitule des Laudes, </w:t>
      </w:r>
      <w:r w:rsidRPr="003B3476">
        <w:rPr>
          <w:rStyle w:val="Notedebasdepage7ptItalique"/>
          <w:b w:val="0"/>
          <w:sz w:val="24"/>
        </w:rPr>
        <w:t>ibid.,</w:t>
      </w:r>
      <w:r w:rsidRPr="003B3476">
        <w:rPr>
          <w:bCs/>
        </w:rPr>
        <w:t xml:space="preserve"> </w:t>
      </w:r>
      <w:r w:rsidRPr="003B3476">
        <w:rPr>
          <w:lang w:val="fr-FR" w:eastAsia="fr-FR" w:bidi="fr-FR"/>
        </w:rPr>
        <w:t xml:space="preserve">p. 36* et les leçons de matines tirées d’un sermon de S. Bernard, </w:t>
      </w:r>
      <w:r w:rsidRPr="003B3476">
        <w:rPr>
          <w:rStyle w:val="Notedebasdepage7ptItalique"/>
          <w:b w:val="0"/>
          <w:sz w:val="24"/>
        </w:rPr>
        <w:t>ibid.,</w:t>
      </w:r>
      <w:r w:rsidRPr="003B3476">
        <w:rPr>
          <w:bCs/>
        </w:rPr>
        <w:t xml:space="preserve"> </w:t>
      </w:r>
      <w:r w:rsidRPr="003B3476">
        <w:rPr>
          <w:lang w:val="fr-FR" w:eastAsia="fr-FR" w:bidi="fr-FR"/>
        </w:rPr>
        <w:t xml:space="preserve">p. 35* et 36*. Pour l’iconographie, </w:t>
      </w:r>
      <w:r w:rsidRPr="003B3476">
        <w:rPr>
          <w:rStyle w:val="Notedebasdepage7ptItalique"/>
          <w:b w:val="0"/>
          <w:sz w:val="24"/>
        </w:rPr>
        <w:t>cf.</w:t>
      </w:r>
      <w:r w:rsidRPr="003B3476">
        <w:rPr>
          <w:bCs/>
        </w:rPr>
        <w:t xml:space="preserve"> </w:t>
      </w:r>
      <w:r w:rsidRPr="003B3476">
        <w:rPr>
          <w:lang w:val="fr-FR" w:eastAsia="fr-FR" w:bidi="fr-FR"/>
        </w:rPr>
        <w:t>ci-dessous, p. 931-934.</w:t>
      </w:r>
    </w:p>
  </w:footnote>
  <w:footnote w:id="994">
    <w:p w14:paraId="15F0AC5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V, 2, col. 1395.</w:t>
      </w:r>
    </w:p>
  </w:footnote>
  <w:footnote w:id="995">
    <w:p w14:paraId="4D0F8DB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De unitate ecclesiae</w:t>
      </w:r>
      <w:r w:rsidRPr="003B3476">
        <w:rPr>
          <w:rStyle w:val="Notedebasdepage475ptNonItalique"/>
          <w:b w:val="0"/>
          <w:i w:val="0"/>
          <w:iCs w:val="0"/>
          <w:sz w:val="24"/>
        </w:rPr>
        <w:t xml:space="preserve">, c. XX ; </w:t>
      </w:r>
      <w:r w:rsidRPr="003B3476">
        <w:rPr>
          <w:i/>
          <w:lang w:val="fr-FR" w:eastAsia="fr-FR" w:bidi="fr-FR"/>
        </w:rPr>
        <w:t>cf.</w:t>
      </w:r>
      <w:r w:rsidRPr="003B3476">
        <w:rPr>
          <w:lang w:val="fr-FR" w:eastAsia="fr-FR" w:bidi="fr-FR"/>
        </w:rPr>
        <w:t xml:space="preserve"> </w:t>
      </w:r>
      <w:r w:rsidRPr="003B3476">
        <w:rPr>
          <w:i/>
          <w:lang w:val="fr-FR" w:eastAsia="fr-FR" w:bidi="fr-FR"/>
        </w:rPr>
        <w:t>Ep. VI ad Rogatianum presbyterum</w:t>
      </w:r>
      <w:r w:rsidRPr="003B3476">
        <w:rPr>
          <w:rStyle w:val="Notedebasdepage475ptNonItalique"/>
          <w:b w:val="0"/>
          <w:i w:val="0"/>
          <w:iCs w:val="0"/>
          <w:sz w:val="24"/>
        </w:rPr>
        <w:t>, c. II.</w:t>
      </w:r>
    </w:p>
  </w:footnote>
  <w:footnote w:id="996">
    <w:p w14:paraId="68BCB411" w14:textId="77777777" w:rsidR="00B9662D" w:rsidRPr="003B3476" w:rsidRDefault="00B9662D" w:rsidP="00B9662D">
      <w:pPr>
        <w:pStyle w:val="Notedebasdepage"/>
        <w:rPr>
          <w:lang w:val="fr-FR"/>
        </w:rPr>
      </w:pPr>
      <w:r w:rsidRPr="003B3476">
        <w:rPr>
          <w:rStyle w:val="Appelnotedebasdep"/>
        </w:rPr>
        <w:footnoteRef/>
      </w:r>
      <w:r w:rsidRPr="003B3476">
        <w:tab/>
      </w:r>
      <w:r w:rsidRPr="003B3476">
        <w:rPr>
          <w:bCs/>
          <w:smallCaps/>
        </w:rPr>
        <w:t>Migne</w:t>
      </w:r>
      <w:r w:rsidRPr="003B3476">
        <w:rPr>
          <w:bCs/>
        </w:rPr>
        <w:t xml:space="preserve">, </w:t>
      </w:r>
      <w:r w:rsidRPr="003B3476">
        <w:rPr>
          <w:lang w:val="fr-FR" w:eastAsia="fr-FR" w:bidi="fr-FR"/>
        </w:rPr>
        <w:t xml:space="preserve">P. L., t. 203 (pour les </w:t>
      </w:r>
      <w:r w:rsidRPr="003B3476">
        <w:rPr>
          <w:rStyle w:val="Notedebasdepage7ptItalique"/>
          <w:b w:val="0"/>
          <w:sz w:val="24"/>
        </w:rPr>
        <w:t>foliola</w:t>
      </w:r>
      <w:r w:rsidRPr="003B3476">
        <w:rPr>
          <w:bCs/>
        </w:rPr>
        <w:t xml:space="preserve"> </w:t>
      </w:r>
      <w:r w:rsidRPr="003B3476">
        <w:rPr>
          <w:lang w:val="fr-FR" w:eastAsia="fr-FR" w:bidi="fr-FR"/>
        </w:rPr>
        <w:t>qui donnaient des témoignages favor</w:t>
      </w:r>
      <w:r w:rsidRPr="003B3476">
        <w:rPr>
          <w:lang w:val="fr-FR" w:eastAsia="fr-FR" w:bidi="fr-FR"/>
        </w:rPr>
        <w:t>a</w:t>
      </w:r>
      <w:r w:rsidRPr="003B3476">
        <w:rPr>
          <w:lang w:val="fr-FR" w:eastAsia="fr-FR" w:bidi="fr-FR"/>
        </w:rPr>
        <w:t xml:space="preserve">bles à Salomon, col. 644). Sur l’auteur, </w:t>
      </w:r>
      <w:r w:rsidRPr="003B3476">
        <w:rPr>
          <w:rStyle w:val="Notedebasdepage7ptItalique"/>
          <w:b w:val="0"/>
          <w:sz w:val="24"/>
        </w:rPr>
        <w:t>cf.</w:t>
      </w:r>
      <w:r w:rsidRPr="003B3476">
        <w:rPr>
          <w:bCs/>
        </w:rPr>
        <w:t xml:space="preserve"> </w:t>
      </w:r>
      <w:r w:rsidRPr="003B3476">
        <w:rPr>
          <w:lang w:val="fr-FR" w:eastAsia="fr-FR" w:bidi="fr-FR"/>
        </w:rPr>
        <w:t xml:space="preserve">le mémoire de dom </w:t>
      </w:r>
      <w:r w:rsidRPr="003B3476">
        <w:rPr>
          <w:rStyle w:val="Notedebasdepage65ptPetitesmajuscules"/>
          <w:b w:val="0"/>
          <w:sz w:val="24"/>
        </w:rPr>
        <w:t>Ursmer Be</w:t>
      </w:r>
      <w:r w:rsidRPr="003B3476">
        <w:rPr>
          <w:rStyle w:val="Notedebasdepage65ptPetitesmajuscules"/>
          <w:b w:val="0"/>
          <w:sz w:val="24"/>
        </w:rPr>
        <w:t>r</w:t>
      </w:r>
      <w:r w:rsidRPr="003B3476">
        <w:rPr>
          <w:rStyle w:val="Notedebasdepage65ptPetitesmajuscules"/>
          <w:b w:val="0"/>
          <w:sz w:val="24"/>
        </w:rPr>
        <w:t xml:space="preserve">lière, </w:t>
      </w:r>
      <w:r w:rsidRPr="003B3476">
        <w:rPr>
          <w:rStyle w:val="Notedebasdepage7ptItalique"/>
          <w:b w:val="0"/>
          <w:sz w:val="24"/>
        </w:rPr>
        <w:t>Philippe de Harvengt,</w:t>
      </w:r>
      <w:r w:rsidRPr="003B3476">
        <w:rPr>
          <w:rStyle w:val="Notedebasdepage7ptItalique"/>
          <w:b w:val="0"/>
          <w:sz w:val="24"/>
          <w:vertAlign w:val="subscript"/>
        </w:rPr>
        <w:t xml:space="preserve"> </w:t>
      </w:r>
      <w:r w:rsidRPr="003B3476">
        <w:rPr>
          <w:rStyle w:val="Notedebasdepage7ptItalique"/>
          <w:b w:val="0"/>
          <w:sz w:val="24"/>
        </w:rPr>
        <w:t>abbé de Bonne-Espérance</w:t>
      </w:r>
      <w:r w:rsidRPr="003B3476">
        <w:rPr>
          <w:lang w:val="fr-FR" w:eastAsia="fr-FR" w:bidi="fr-FR"/>
        </w:rPr>
        <w:t xml:space="preserve">, dans </w:t>
      </w:r>
      <w:r w:rsidRPr="003B3476">
        <w:rPr>
          <w:rStyle w:val="Notedebasdepage7ptItalique"/>
          <w:b w:val="0"/>
          <w:sz w:val="24"/>
        </w:rPr>
        <w:t>Revue bénédi</w:t>
      </w:r>
      <w:r w:rsidRPr="003B3476">
        <w:rPr>
          <w:rStyle w:val="Notedebasdepage7ptItalique"/>
          <w:b w:val="0"/>
          <w:sz w:val="24"/>
        </w:rPr>
        <w:t>c</w:t>
      </w:r>
      <w:r w:rsidRPr="003B3476">
        <w:rPr>
          <w:rStyle w:val="Notedebasdepage7ptItalique"/>
          <w:b w:val="0"/>
          <w:sz w:val="24"/>
        </w:rPr>
        <w:t>tine</w:t>
      </w:r>
      <w:r w:rsidRPr="003B3476">
        <w:rPr>
          <w:lang w:val="fr-FR" w:eastAsia="fr-FR" w:bidi="fr-FR"/>
        </w:rPr>
        <w:t>, t. IX (1892) (annoncé comme réimprimé à part, en 1923, à Charleroi). Philippe de Harvengt pouvait passer pour un spécialiste de ce genre de pr</w:t>
      </w:r>
      <w:r w:rsidRPr="003B3476">
        <w:rPr>
          <w:lang w:val="fr-FR" w:eastAsia="fr-FR" w:bidi="fr-FR"/>
        </w:rPr>
        <w:t>o</w:t>
      </w:r>
      <w:r w:rsidRPr="003B3476">
        <w:rPr>
          <w:lang w:val="fr-FR" w:eastAsia="fr-FR" w:bidi="fr-FR"/>
        </w:rPr>
        <w:t xml:space="preserve">blèmes ; on a également de lui un traité </w:t>
      </w:r>
      <w:r w:rsidRPr="003B3476">
        <w:rPr>
          <w:rStyle w:val="Notedebasdepage7ptItalique"/>
          <w:b w:val="0"/>
          <w:sz w:val="24"/>
        </w:rPr>
        <w:t>De salute primi hominis.</w:t>
      </w:r>
    </w:p>
  </w:footnote>
  <w:footnote w:id="997">
    <w:p w14:paraId="2A54E3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Revelationes Gertrudianae ac Mechtildianae</w:t>
      </w:r>
      <w:r w:rsidRPr="003B3476">
        <w:rPr>
          <w:bCs/>
        </w:rPr>
        <w:t xml:space="preserve"> </w:t>
      </w:r>
      <w:r w:rsidRPr="003B3476">
        <w:rPr>
          <w:lang w:val="fr-FR" w:eastAsia="fr-FR" w:bidi="fr-FR"/>
        </w:rPr>
        <w:t>(éd. par les Bénédictins de S</w:t>
      </w:r>
      <w:r w:rsidRPr="003B3476">
        <w:rPr>
          <w:lang w:val="fr-FR" w:eastAsia="fr-FR" w:bidi="fr-FR"/>
        </w:rPr>
        <w:t>o</w:t>
      </w:r>
      <w:r w:rsidRPr="003B3476">
        <w:rPr>
          <w:lang w:val="fr-FR" w:eastAsia="fr-FR" w:bidi="fr-FR"/>
        </w:rPr>
        <w:t xml:space="preserve">lesmes), t. II : </w:t>
      </w:r>
      <w:r w:rsidRPr="003B3476">
        <w:rPr>
          <w:rStyle w:val="Notedebasdepage7ptItalique"/>
          <w:b w:val="0"/>
          <w:sz w:val="24"/>
        </w:rPr>
        <w:t>Sanctae Mechtildis... liber specialis gratiae, Pars quinta,</w:t>
      </w:r>
      <w:r w:rsidRPr="003B3476">
        <w:rPr>
          <w:bCs/>
        </w:rPr>
        <w:t xml:space="preserve"> </w:t>
      </w:r>
      <w:r w:rsidRPr="003B3476">
        <w:rPr>
          <w:lang w:val="fr-FR" w:eastAsia="fr-FR" w:bidi="fr-FR"/>
        </w:rPr>
        <w:t>cap. XVI : « Rogata a quodam Fratre, Dominum requisivit ubinam essent animae videlicet Samsonis, Salomonis, Origenis et Trajani. Ad quod Dominus re</w:t>
      </w:r>
      <w:r w:rsidRPr="003B3476">
        <w:rPr>
          <w:lang w:val="fr-FR" w:eastAsia="fr-FR" w:bidi="fr-FR"/>
        </w:rPr>
        <w:t>s</w:t>
      </w:r>
      <w:r w:rsidRPr="003B3476">
        <w:rPr>
          <w:lang w:val="fr-FR" w:eastAsia="fr-FR" w:bidi="fr-FR"/>
        </w:rPr>
        <w:t>pondit : Quid misericordia mea cum anima S</w:t>
      </w:r>
      <w:r w:rsidRPr="003B3476">
        <w:rPr>
          <w:lang w:val="fr-FR" w:eastAsia="fr-FR" w:bidi="fr-FR"/>
        </w:rPr>
        <w:t>a</w:t>
      </w:r>
      <w:r w:rsidRPr="003B3476">
        <w:rPr>
          <w:lang w:val="fr-FR" w:eastAsia="fr-FR" w:bidi="fr-FR"/>
        </w:rPr>
        <w:t xml:space="preserve">lomonis fecerit volo hominibus latere, quatenus carnalia peccata magis ab hominibus devitentur ». Ce texte paraît avoir été ignoré de G. Paris, dont le beau travail sur </w:t>
      </w:r>
      <w:r w:rsidRPr="003B3476">
        <w:rPr>
          <w:rStyle w:val="Notedebasdepage7ptItalique"/>
          <w:b w:val="0"/>
          <w:sz w:val="24"/>
        </w:rPr>
        <w:t>La légende de Tr</w:t>
      </w:r>
      <w:r w:rsidRPr="003B3476">
        <w:rPr>
          <w:rStyle w:val="Notedebasdepage7ptItalique"/>
          <w:b w:val="0"/>
          <w:sz w:val="24"/>
        </w:rPr>
        <w:t>a</w:t>
      </w:r>
      <w:r w:rsidRPr="003B3476">
        <w:rPr>
          <w:rStyle w:val="Notedebasdepage7ptItalique"/>
          <w:b w:val="0"/>
          <w:sz w:val="24"/>
        </w:rPr>
        <w:t>jan</w:t>
      </w:r>
      <w:r w:rsidRPr="003B3476">
        <w:rPr>
          <w:bCs/>
        </w:rPr>
        <w:t xml:space="preserve"> </w:t>
      </w:r>
      <w:r w:rsidRPr="003B3476">
        <w:rPr>
          <w:lang w:val="fr-FR" w:eastAsia="fr-FR" w:bidi="fr-FR"/>
        </w:rPr>
        <w:t xml:space="preserve">a déjà été rappelé ci-dessus, p. 926, n. 1. Sur la floraison mystique dont Helfta fut le théâtre, </w:t>
      </w:r>
      <w:r w:rsidRPr="003B3476">
        <w:rPr>
          <w:i/>
          <w:lang w:val="fr-FR" w:eastAsia="fr-FR" w:bidi="fr-FR"/>
        </w:rPr>
        <w:t>cf.</w:t>
      </w:r>
      <w:r w:rsidRPr="003B3476">
        <w:rPr>
          <w:lang w:val="fr-FR" w:eastAsia="fr-FR" w:bidi="fr-FR"/>
        </w:rPr>
        <w:t xml:space="preserve"> A. </w:t>
      </w:r>
      <w:r w:rsidRPr="003B3476">
        <w:rPr>
          <w:rStyle w:val="Notedebasdepage65ptPetitesmajuscules"/>
          <w:b w:val="0"/>
          <w:sz w:val="24"/>
        </w:rPr>
        <w:t xml:space="preserve">Hauck, </w:t>
      </w:r>
      <w:r w:rsidRPr="003B3476">
        <w:rPr>
          <w:rStyle w:val="Notedebasdepage7ptItalique"/>
          <w:b w:val="0"/>
          <w:sz w:val="24"/>
        </w:rPr>
        <w:t>Kirchengeschichte Deutschlands,</w:t>
      </w:r>
      <w:r w:rsidRPr="003B3476">
        <w:rPr>
          <w:bCs/>
        </w:rPr>
        <w:t xml:space="preserve"> </w:t>
      </w:r>
      <w:r w:rsidRPr="003B3476">
        <w:rPr>
          <w:lang w:val="fr-FR" w:eastAsia="fr-FR" w:bidi="fr-FR"/>
        </w:rPr>
        <w:t>V</w:t>
      </w:r>
      <w:r w:rsidRPr="003B3476">
        <w:rPr>
          <w:vertAlign w:val="superscript"/>
          <w:lang w:val="fr-FR" w:eastAsia="fr-FR" w:bidi="fr-FR"/>
        </w:rPr>
        <w:t>1</w:t>
      </w:r>
      <w:r w:rsidRPr="003B3476">
        <w:rPr>
          <w:lang w:val="fr-FR" w:eastAsia="fr-FR" w:bidi="fr-FR"/>
        </w:rPr>
        <w:t>, p. 385 et suiv., et 432 et suiv.</w:t>
      </w:r>
    </w:p>
  </w:footnote>
  <w:footnote w:id="998">
    <w:p w14:paraId="15A5414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Par.</w:t>
      </w:r>
      <w:r w:rsidRPr="003B3476">
        <w:rPr>
          <w:bCs/>
        </w:rPr>
        <w:t xml:space="preserve"> </w:t>
      </w:r>
      <w:r w:rsidRPr="003B3476">
        <w:rPr>
          <w:lang w:val="fr-FR" w:eastAsia="fr-FR" w:bidi="fr-FR"/>
        </w:rPr>
        <w:t xml:space="preserve">X, v. 112 et suiv. </w:t>
      </w:r>
      <w:r w:rsidRPr="003B3476">
        <w:rPr>
          <w:rStyle w:val="Notedebasdepage7ptItalique"/>
          <w:b w:val="0"/>
          <w:sz w:val="24"/>
        </w:rPr>
        <w:t>Cf.</w:t>
      </w:r>
      <w:r w:rsidRPr="003B3476">
        <w:rPr>
          <w:bCs/>
        </w:rPr>
        <w:t xml:space="preserve"> </w:t>
      </w:r>
      <w:r w:rsidRPr="003B3476">
        <w:rPr>
          <w:lang w:val="fr-FR" w:eastAsia="fr-FR" w:bidi="fr-FR"/>
        </w:rPr>
        <w:t xml:space="preserve">XIII, v. 94 et suiv. : « Non ho parlato si, che tu non posse — ben veder ch’ el fu re, che chiese senno — acciò che re sufficïente fosse ». Salomon est également placé au Paradis par Pucci, </w:t>
      </w:r>
      <w:r w:rsidRPr="003B3476">
        <w:rPr>
          <w:rStyle w:val="Notedebasdepage7ptItalique"/>
          <w:b w:val="0"/>
          <w:sz w:val="24"/>
        </w:rPr>
        <w:t>Historia délia Re</w:t>
      </w:r>
      <w:r w:rsidRPr="003B3476">
        <w:rPr>
          <w:rStyle w:val="Notedebasdepage7ptItalique"/>
          <w:b w:val="0"/>
          <w:sz w:val="24"/>
        </w:rPr>
        <w:t>i</w:t>
      </w:r>
      <w:r w:rsidRPr="003B3476">
        <w:rPr>
          <w:rStyle w:val="Notedebasdepage7ptItalique"/>
          <w:b w:val="0"/>
          <w:sz w:val="24"/>
        </w:rPr>
        <w:t>na d'Oriente</w:t>
      </w:r>
      <w:r w:rsidRPr="003B3476">
        <w:rPr>
          <w:lang w:val="fr-FR" w:eastAsia="fr-FR" w:bidi="fr-FR"/>
        </w:rPr>
        <w:t xml:space="preserve">, st. 39 (cité par A. </w:t>
      </w:r>
      <w:r w:rsidRPr="003B3476">
        <w:rPr>
          <w:rStyle w:val="Notedebasdepage65ptPetitesmajuscules"/>
          <w:b w:val="0"/>
          <w:sz w:val="24"/>
        </w:rPr>
        <w:t xml:space="preserve">Graf, </w:t>
      </w:r>
      <w:r w:rsidRPr="003B3476">
        <w:rPr>
          <w:rStyle w:val="Notedebasdepage7ptItalique"/>
          <w:b w:val="0"/>
          <w:sz w:val="24"/>
        </w:rPr>
        <w:t>Miti</w:t>
      </w:r>
      <w:r w:rsidRPr="003B3476">
        <w:rPr>
          <w:lang w:val="fr-FR" w:eastAsia="fr-FR" w:bidi="fr-FR"/>
        </w:rPr>
        <w:t xml:space="preserve">, </w:t>
      </w:r>
      <w:r w:rsidRPr="003B3476">
        <w:rPr>
          <w:rStyle w:val="Notedebasdepage7ptItalique"/>
          <w:b w:val="0"/>
          <w:sz w:val="24"/>
        </w:rPr>
        <w:t>leggende e superstizioni del medio evo,</w:t>
      </w:r>
      <w:r w:rsidRPr="003B3476">
        <w:rPr>
          <w:bCs/>
        </w:rPr>
        <w:t xml:space="preserve"> </w:t>
      </w:r>
      <w:r w:rsidRPr="003B3476">
        <w:rPr>
          <w:lang w:val="fr-FR" w:eastAsia="fr-FR" w:bidi="fr-FR"/>
        </w:rPr>
        <w:t>t. I, p. 173). Il est possible que Dante ait connu les révélations de Mathi</w:t>
      </w:r>
      <w:r w:rsidRPr="003B3476">
        <w:rPr>
          <w:lang w:val="fr-FR" w:eastAsia="fr-FR" w:bidi="fr-FR"/>
        </w:rPr>
        <w:t>l</w:t>
      </w:r>
      <w:r w:rsidRPr="003B3476">
        <w:rPr>
          <w:lang w:val="fr-FR" w:eastAsia="fr-FR" w:bidi="fr-FR"/>
        </w:rPr>
        <w:t>de de Hackeborn — auquel cas les doutes soulevés au sujet du salut de Sal</w:t>
      </w:r>
      <w:r w:rsidRPr="003B3476">
        <w:rPr>
          <w:lang w:val="fr-FR" w:eastAsia="fr-FR" w:bidi="fr-FR"/>
        </w:rPr>
        <w:t>o</w:t>
      </w:r>
      <w:r w:rsidRPr="003B3476">
        <w:rPr>
          <w:lang w:val="fr-FR" w:eastAsia="fr-FR" w:bidi="fr-FR"/>
        </w:rPr>
        <w:t xml:space="preserve">mon n’auraient pu lui demeurer étrangers — ; l’on a même voulu identifier cette voyante avec l’énigmatique </w:t>
      </w:r>
      <w:r w:rsidRPr="003B3476">
        <w:rPr>
          <w:rStyle w:val="Notedebasdepage7ptItalique"/>
          <w:b w:val="0"/>
          <w:sz w:val="24"/>
        </w:rPr>
        <w:t>Matelda</w:t>
      </w:r>
      <w:r w:rsidRPr="003B3476">
        <w:rPr>
          <w:bCs/>
        </w:rPr>
        <w:t xml:space="preserve"> </w:t>
      </w:r>
      <w:r w:rsidRPr="003B3476">
        <w:rPr>
          <w:lang w:val="fr-FR" w:eastAsia="fr-FR" w:bidi="fr-FR"/>
        </w:rPr>
        <w:t xml:space="preserve">que mettent en scène les derniers chants du </w:t>
      </w:r>
      <w:r w:rsidRPr="003B3476">
        <w:rPr>
          <w:rStyle w:val="Notedebasdepage7ptItalique"/>
          <w:b w:val="0"/>
          <w:sz w:val="24"/>
        </w:rPr>
        <w:t>Purgatoire.</w:t>
      </w:r>
      <w:r w:rsidRPr="003B3476">
        <w:rPr>
          <w:bCs/>
        </w:rPr>
        <w:t xml:space="preserve"> </w:t>
      </w:r>
      <w:r w:rsidRPr="003B3476">
        <w:rPr>
          <w:lang w:val="fr-FR" w:eastAsia="fr-FR" w:bidi="fr-FR"/>
        </w:rPr>
        <w:t>Mais ce double pr</w:t>
      </w:r>
      <w:r w:rsidRPr="003B3476">
        <w:rPr>
          <w:lang w:val="fr-FR" w:eastAsia="fr-FR" w:bidi="fr-FR"/>
        </w:rPr>
        <w:t>o</w:t>
      </w:r>
      <w:r w:rsidRPr="003B3476">
        <w:rPr>
          <w:lang w:val="fr-FR" w:eastAsia="fr-FR" w:bidi="fr-FR"/>
        </w:rPr>
        <w:t>blème est loin d’être résolu.</w:t>
      </w:r>
    </w:p>
  </w:footnote>
  <w:footnote w:id="999">
    <w:p w14:paraId="7FC656F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 notamment, E. </w:t>
      </w:r>
      <w:r w:rsidRPr="003B3476">
        <w:rPr>
          <w:rStyle w:val="Notedebasdepage65ptPetitesmajuscules"/>
          <w:b w:val="0"/>
          <w:sz w:val="24"/>
        </w:rPr>
        <w:t xml:space="preserve">Mâle, </w:t>
      </w:r>
      <w:r w:rsidRPr="003B3476">
        <w:rPr>
          <w:rStyle w:val="Notedebasdepage7ptItalique"/>
          <w:b w:val="0"/>
          <w:sz w:val="24"/>
        </w:rPr>
        <w:t>L'art religieux du XIII</w:t>
      </w:r>
      <w:r w:rsidRPr="003B3476">
        <w:rPr>
          <w:rStyle w:val="Notedebasdepage7ptItalique"/>
          <w:b w:val="0"/>
          <w:sz w:val="24"/>
          <w:vertAlign w:val="superscript"/>
        </w:rPr>
        <w:t>e</w:t>
      </w:r>
      <w:r w:rsidRPr="003B3476">
        <w:rPr>
          <w:rStyle w:val="Notedebasdepage7ptItalique"/>
          <w:b w:val="0"/>
          <w:sz w:val="24"/>
        </w:rPr>
        <w:t xml:space="preserve"> siècle</w:t>
      </w:r>
      <w:r w:rsidRPr="003B3476">
        <w:rPr>
          <w:lang w:val="fr-FR" w:eastAsia="fr-FR" w:bidi="fr-FR"/>
        </w:rPr>
        <w:t>, 3</w:t>
      </w:r>
      <w:r w:rsidRPr="003B3476">
        <w:rPr>
          <w:vertAlign w:val="superscript"/>
          <w:lang w:val="fr-FR" w:eastAsia="fr-FR" w:bidi="fr-FR"/>
        </w:rPr>
        <w:t>e</w:t>
      </w:r>
      <w:r w:rsidRPr="003B3476">
        <w:rPr>
          <w:lang w:val="fr-FR" w:eastAsia="fr-FR" w:bidi="fr-FR"/>
        </w:rPr>
        <w:t xml:space="preserve"> éd., p. 190 ; H. </w:t>
      </w:r>
      <w:r w:rsidRPr="003B3476">
        <w:rPr>
          <w:rStyle w:val="Notedebasdepage65ptPetitesmajuscules"/>
          <w:b w:val="0"/>
          <w:sz w:val="24"/>
        </w:rPr>
        <w:t xml:space="preserve">Oidtmann, </w:t>
      </w:r>
      <w:r w:rsidRPr="003B3476">
        <w:rPr>
          <w:rStyle w:val="Notedebasdepage7ptItalique"/>
          <w:b w:val="0"/>
          <w:sz w:val="24"/>
        </w:rPr>
        <w:t>Die Geschichte der Glasmalerei</w:t>
      </w:r>
      <w:r w:rsidRPr="003B3476">
        <w:rPr>
          <w:lang w:val="fr-FR" w:eastAsia="fr-FR" w:bidi="fr-FR"/>
        </w:rPr>
        <w:t xml:space="preserve">, p. 283 ; P. </w:t>
      </w:r>
      <w:r w:rsidRPr="003B3476">
        <w:rPr>
          <w:rStyle w:val="Notedebasdepage65ptPetitesmajuscules"/>
          <w:b w:val="0"/>
          <w:sz w:val="24"/>
        </w:rPr>
        <w:t xml:space="preserve">Perdrizet, </w:t>
      </w:r>
      <w:r w:rsidRPr="003B3476">
        <w:rPr>
          <w:rStyle w:val="Notedebasdepage7ptItalique"/>
          <w:b w:val="0"/>
          <w:sz w:val="24"/>
        </w:rPr>
        <w:t>Étude sur le Speculum humanae saluationis,</w:t>
      </w:r>
      <w:r w:rsidRPr="003B3476">
        <w:t xml:space="preserve"> </w:t>
      </w:r>
      <w:r w:rsidRPr="003B3476">
        <w:rPr>
          <w:lang w:val="fr-FR" w:eastAsia="fr-FR" w:bidi="fr-FR"/>
        </w:rPr>
        <w:t xml:space="preserve">p. 43 ; V. </w:t>
      </w:r>
      <w:r w:rsidRPr="003B3476">
        <w:rPr>
          <w:rStyle w:val="Notedebasdepage65ptPetitesmajuscules"/>
          <w:b w:val="0"/>
          <w:sz w:val="24"/>
        </w:rPr>
        <w:t xml:space="preserve">Terret, </w:t>
      </w:r>
      <w:r w:rsidRPr="003B3476">
        <w:rPr>
          <w:rStyle w:val="Notedebasdepage7ptItalique"/>
          <w:b w:val="0"/>
          <w:sz w:val="24"/>
        </w:rPr>
        <w:t>La sculpture bou</w:t>
      </w:r>
      <w:r w:rsidRPr="003B3476">
        <w:rPr>
          <w:rStyle w:val="Notedebasdepage7ptItalique"/>
          <w:b w:val="0"/>
          <w:sz w:val="24"/>
        </w:rPr>
        <w:t>r</w:t>
      </w:r>
      <w:r w:rsidRPr="003B3476">
        <w:rPr>
          <w:rStyle w:val="Notedebasdepage7ptItalique"/>
          <w:b w:val="0"/>
          <w:sz w:val="24"/>
        </w:rPr>
        <w:t>guignonne : Cluny</w:t>
      </w:r>
      <w:r w:rsidRPr="003B3476">
        <w:rPr>
          <w:lang w:val="fr-FR" w:eastAsia="fr-FR" w:bidi="fr-FR"/>
        </w:rPr>
        <w:t xml:space="preserve">, p. 64-65 ; </w:t>
      </w:r>
      <w:r w:rsidRPr="003B3476">
        <w:rPr>
          <w:rStyle w:val="Notedebasdepage65ptPetitesmajuscules"/>
          <w:b w:val="0"/>
          <w:sz w:val="24"/>
        </w:rPr>
        <w:t xml:space="preserve">J. Walter, </w:t>
      </w:r>
      <w:r w:rsidRPr="003B3476">
        <w:rPr>
          <w:rStyle w:val="Notedebasdepage7ptItalique"/>
          <w:b w:val="0"/>
          <w:sz w:val="24"/>
        </w:rPr>
        <w:t>L'iconographie de la façade de la cathédrale de Strasbourg</w:t>
      </w:r>
      <w:r w:rsidRPr="003B3476">
        <w:rPr>
          <w:lang w:val="fr-FR" w:eastAsia="fr-FR" w:bidi="fr-FR"/>
        </w:rPr>
        <w:t xml:space="preserve">, dans </w:t>
      </w:r>
      <w:r w:rsidRPr="003B3476">
        <w:rPr>
          <w:rStyle w:val="Notedebasdepage7ptItalique"/>
          <w:b w:val="0"/>
          <w:sz w:val="24"/>
        </w:rPr>
        <w:t>Archives als</w:t>
      </w:r>
      <w:r w:rsidRPr="003B3476">
        <w:rPr>
          <w:rStyle w:val="Notedebasdepage7ptItalique"/>
          <w:b w:val="0"/>
          <w:sz w:val="24"/>
        </w:rPr>
        <w:t>a</w:t>
      </w:r>
      <w:r w:rsidRPr="003B3476">
        <w:rPr>
          <w:rStyle w:val="Notedebasdepage7ptItalique"/>
          <w:b w:val="0"/>
          <w:sz w:val="24"/>
        </w:rPr>
        <w:t>ciennes d'histoire de l'art,</w:t>
      </w:r>
      <w:r w:rsidRPr="003B3476">
        <w:t xml:space="preserve"> </w:t>
      </w:r>
      <w:r w:rsidRPr="003B3476">
        <w:rPr>
          <w:lang w:val="fr-FR" w:eastAsia="fr-FR" w:bidi="fr-FR"/>
        </w:rPr>
        <w:t xml:space="preserve">t. II (1924), p. 41. Pour l’interprétation du jugement </w:t>
      </w:r>
      <w:r w:rsidRPr="003B3476">
        <w:rPr>
          <w:rStyle w:val="Notedebasdepage7ptItalique"/>
          <w:b w:val="0"/>
          <w:sz w:val="24"/>
        </w:rPr>
        <w:t>cf.</w:t>
      </w:r>
      <w:r w:rsidRPr="003B3476">
        <w:t xml:space="preserve"> </w:t>
      </w:r>
      <w:r w:rsidRPr="003B3476">
        <w:rPr>
          <w:lang w:val="fr-FR" w:eastAsia="fr-FR" w:bidi="fr-FR"/>
        </w:rPr>
        <w:t xml:space="preserve">le </w:t>
      </w:r>
      <w:r w:rsidRPr="003B3476">
        <w:rPr>
          <w:rStyle w:val="Notedebasdepage7ptItalique"/>
          <w:b w:val="0"/>
          <w:sz w:val="24"/>
        </w:rPr>
        <w:t>Credo</w:t>
      </w:r>
      <w:r w:rsidRPr="003B3476">
        <w:t xml:space="preserve"> </w:t>
      </w:r>
      <w:r w:rsidRPr="003B3476">
        <w:rPr>
          <w:lang w:val="fr-FR" w:eastAsia="fr-FR" w:bidi="fr-FR"/>
        </w:rPr>
        <w:t xml:space="preserve">de </w:t>
      </w:r>
      <w:r w:rsidRPr="003B3476">
        <w:rPr>
          <w:rStyle w:val="Notedebasdepage65ptPetitesmajuscules"/>
          <w:b w:val="0"/>
          <w:sz w:val="24"/>
        </w:rPr>
        <w:t xml:space="preserve">Joinville, </w:t>
      </w:r>
      <w:r w:rsidRPr="003B3476">
        <w:rPr>
          <w:lang w:val="fr-FR" w:eastAsia="fr-FR" w:bidi="fr-FR"/>
        </w:rPr>
        <w:t xml:space="preserve">art. XLIV (éd. de la </w:t>
      </w:r>
      <w:r w:rsidRPr="003B3476">
        <w:rPr>
          <w:rStyle w:val="Notedebasdepage7ptItalique"/>
          <w:b w:val="0"/>
          <w:sz w:val="24"/>
        </w:rPr>
        <w:t>Soc. de l'Hist. de France</w:t>
      </w:r>
      <w:r w:rsidRPr="003B3476">
        <w:rPr>
          <w:lang w:val="fr-FR" w:eastAsia="fr-FR" w:bidi="fr-FR"/>
        </w:rPr>
        <w:t xml:space="preserve">, p. 282), ainsi que </w:t>
      </w:r>
      <w:r w:rsidRPr="003B3476">
        <w:rPr>
          <w:rStyle w:val="Notedebasdepage65ptPetitesmajuscules"/>
          <w:b w:val="0"/>
          <w:sz w:val="24"/>
        </w:rPr>
        <w:t>Walafrid Str</w:t>
      </w:r>
      <w:r w:rsidRPr="003B3476">
        <w:rPr>
          <w:rStyle w:val="Notedebasdepage65ptPetitesmajuscules"/>
          <w:b w:val="0"/>
          <w:sz w:val="24"/>
        </w:rPr>
        <w:t>a</w:t>
      </w:r>
      <w:r w:rsidRPr="003B3476">
        <w:rPr>
          <w:rStyle w:val="Notedebasdepage65ptPetitesmajuscules"/>
          <w:b w:val="0"/>
          <w:sz w:val="24"/>
        </w:rPr>
        <w:t xml:space="preserve">bo, </w:t>
      </w:r>
      <w:r w:rsidRPr="003B3476">
        <w:rPr>
          <w:rStyle w:val="Notedebasdepage7ptItalique"/>
          <w:b w:val="0"/>
          <w:sz w:val="24"/>
        </w:rPr>
        <w:t>Glossa ordinaria</w:t>
      </w:r>
      <w:r w:rsidRPr="003B3476">
        <w:rPr>
          <w:lang w:val="fr-FR" w:eastAsia="fr-FR" w:bidi="fr-FR"/>
        </w:rPr>
        <w:t>, Reg. III, cap. III ; c’est parce que les deux femmes fig</w:t>
      </w:r>
      <w:r w:rsidRPr="003B3476">
        <w:rPr>
          <w:lang w:val="fr-FR" w:eastAsia="fr-FR" w:bidi="fr-FR"/>
        </w:rPr>
        <w:t>u</w:t>
      </w:r>
      <w:r w:rsidRPr="003B3476">
        <w:rPr>
          <w:lang w:val="fr-FR" w:eastAsia="fr-FR" w:bidi="fr-FR"/>
        </w:rPr>
        <w:t>raient l’Ancienne et la Nouvelle Loi que le jugement de Salomon se trouvait repr</w:t>
      </w:r>
      <w:r w:rsidRPr="003B3476">
        <w:rPr>
          <w:lang w:val="fr-FR" w:eastAsia="fr-FR" w:bidi="fr-FR"/>
        </w:rPr>
        <w:t>é</w:t>
      </w:r>
      <w:r w:rsidRPr="003B3476">
        <w:rPr>
          <w:lang w:val="fr-FR" w:eastAsia="fr-FR" w:bidi="fr-FR"/>
        </w:rPr>
        <w:t>senté, à Strasbourg, sur le trumeau du portail méridional, qu’encadrent les deux statues célèbres de la Synagogue et de l’Église.</w:t>
      </w:r>
    </w:p>
  </w:footnote>
  <w:footnote w:id="1000">
    <w:p w14:paraId="7702826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Une étude d’ensemble du thème iconographique de la Descente aux Limbes a été tentée par Jean </w:t>
      </w:r>
      <w:r w:rsidRPr="003B3476">
        <w:rPr>
          <w:bCs/>
          <w:smallCaps/>
        </w:rPr>
        <w:t>Monnier</w:t>
      </w:r>
      <w:r w:rsidRPr="003B3476">
        <w:rPr>
          <w:bCs/>
        </w:rPr>
        <w:t xml:space="preserve">, </w:t>
      </w:r>
      <w:r w:rsidRPr="003B3476">
        <w:rPr>
          <w:rStyle w:val="Notedebasdepage65ptItalique"/>
          <w:b w:val="0"/>
          <w:sz w:val="24"/>
        </w:rPr>
        <w:t>La descente aux Enfers</w:t>
      </w:r>
      <w:r w:rsidRPr="003B3476">
        <w:rPr>
          <w:bCs/>
        </w:rPr>
        <w:t xml:space="preserve"> </w:t>
      </w:r>
      <w:r w:rsidRPr="003B3476">
        <w:rPr>
          <w:lang w:val="fr-FR" w:eastAsia="fr-FR" w:bidi="fr-FR"/>
        </w:rPr>
        <w:t>(thèse de la Faculté de Théologie protestante de Paris), p. 193-209. Mais cette esquisse, d’ailleurs ut</w:t>
      </w:r>
      <w:r w:rsidRPr="003B3476">
        <w:rPr>
          <w:lang w:val="fr-FR" w:eastAsia="fr-FR" w:bidi="fr-FR"/>
        </w:rPr>
        <w:t>i</w:t>
      </w:r>
      <w:r w:rsidRPr="003B3476">
        <w:rPr>
          <w:lang w:val="fr-FR" w:eastAsia="fr-FR" w:bidi="fr-FR"/>
        </w:rPr>
        <w:t xml:space="preserve">le, est fort insuffisante. Pour l’art byzantin, v. la note suivante. Pour l’art de l’Occident, force est de se contenter des ouvrages généraux relatifs </w:t>
      </w:r>
      <w:r w:rsidRPr="003B3476">
        <w:rPr>
          <w:rStyle w:val="Notedebasdepage105ptNonGras"/>
          <w:b w:val="0"/>
          <w:bCs w:val="0"/>
          <w:sz w:val="24"/>
        </w:rPr>
        <w:t xml:space="preserve">à </w:t>
      </w:r>
      <w:r w:rsidRPr="003B3476">
        <w:rPr>
          <w:lang w:val="fr-FR" w:eastAsia="fr-FR" w:bidi="fr-FR"/>
        </w:rPr>
        <w:t xml:space="preserve">l’iconographie médiévale, voir notamment H. </w:t>
      </w:r>
      <w:r w:rsidRPr="003B3476">
        <w:rPr>
          <w:bCs/>
          <w:smallCaps/>
        </w:rPr>
        <w:t>Detzel</w:t>
      </w:r>
      <w:r w:rsidRPr="003B3476">
        <w:rPr>
          <w:bCs/>
        </w:rPr>
        <w:t xml:space="preserve">, </w:t>
      </w:r>
      <w:r w:rsidRPr="003B3476">
        <w:rPr>
          <w:rStyle w:val="Notedebasdepage65ptItalique"/>
          <w:b w:val="0"/>
          <w:sz w:val="24"/>
        </w:rPr>
        <w:t>Christliche Ikonogr</w:t>
      </w:r>
      <w:r w:rsidRPr="003B3476">
        <w:rPr>
          <w:rStyle w:val="Notedebasdepage65ptItalique"/>
          <w:b w:val="0"/>
          <w:sz w:val="24"/>
        </w:rPr>
        <w:t>a</w:t>
      </w:r>
      <w:r w:rsidRPr="003B3476">
        <w:rPr>
          <w:rStyle w:val="Notedebasdepage65ptItalique"/>
          <w:b w:val="0"/>
          <w:sz w:val="24"/>
        </w:rPr>
        <w:t>phie</w:t>
      </w:r>
      <w:r w:rsidRPr="003B3476">
        <w:rPr>
          <w:lang w:val="fr-FR" w:eastAsia="fr-FR" w:bidi="fr-FR"/>
        </w:rPr>
        <w:t xml:space="preserve">, t. I, p. 459-466 ; </w:t>
      </w:r>
      <w:r w:rsidRPr="003B3476">
        <w:rPr>
          <w:bCs/>
          <w:smallCaps/>
        </w:rPr>
        <w:t>Jameson</w:t>
      </w:r>
      <w:r w:rsidRPr="003B3476">
        <w:rPr>
          <w:bCs/>
        </w:rPr>
        <w:t xml:space="preserve"> </w:t>
      </w:r>
      <w:r w:rsidRPr="003B3476">
        <w:rPr>
          <w:lang w:val="fr-FR" w:eastAsia="fr-FR" w:bidi="fr-FR"/>
        </w:rPr>
        <w:t xml:space="preserve">et </w:t>
      </w:r>
      <w:r w:rsidRPr="003B3476">
        <w:rPr>
          <w:bCs/>
          <w:smallCaps/>
        </w:rPr>
        <w:t>Eastlake</w:t>
      </w:r>
      <w:r w:rsidRPr="003B3476">
        <w:rPr>
          <w:bCs/>
        </w:rPr>
        <w:t xml:space="preserve">, </w:t>
      </w:r>
      <w:r w:rsidRPr="003B3476">
        <w:rPr>
          <w:rStyle w:val="Notedebasdepage65ptItalique"/>
          <w:b w:val="0"/>
          <w:sz w:val="24"/>
        </w:rPr>
        <w:t>History of our Lord</w:t>
      </w:r>
      <w:r w:rsidRPr="003B3476">
        <w:rPr>
          <w:lang w:val="fr-FR" w:eastAsia="fr-FR" w:bidi="fr-FR"/>
        </w:rPr>
        <w:t xml:space="preserve">, t. II, p. 250-262 ; </w:t>
      </w:r>
      <w:r w:rsidRPr="003B3476">
        <w:rPr>
          <w:bCs/>
          <w:smallCaps/>
        </w:rPr>
        <w:t>Grimouard de Saint-Laurent</w:t>
      </w:r>
      <w:r w:rsidRPr="003B3476">
        <w:rPr>
          <w:bCs/>
        </w:rPr>
        <w:t xml:space="preserve">, </w:t>
      </w:r>
      <w:r w:rsidRPr="003B3476">
        <w:rPr>
          <w:rStyle w:val="Notedebasdepage65ptItalique"/>
          <w:b w:val="0"/>
          <w:sz w:val="24"/>
        </w:rPr>
        <w:t>Guide de l’art chrétien</w:t>
      </w:r>
      <w:r w:rsidRPr="003B3476">
        <w:rPr>
          <w:lang w:val="fr-FR" w:eastAsia="fr-FR" w:bidi="fr-FR"/>
        </w:rPr>
        <w:t xml:space="preserve">, t. IV, p. 359-370 ; F. X. </w:t>
      </w:r>
      <w:r w:rsidRPr="003B3476">
        <w:rPr>
          <w:bCs/>
          <w:smallCaps/>
        </w:rPr>
        <w:t>Kraus</w:t>
      </w:r>
      <w:r w:rsidRPr="003B3476">
        <w:rPr>
          <w:bCs/>
        </w:rPr>
        <w:t xml:space="preserve">, </w:t>
      </w:r>
      <w:r w:rsidRPr="003B3476">
        <w:rPr>
          <w:rStyle w:val="Notedebasdepage65ptItalique"/>
          <w:b w:val="0"/>
          <w:sz w:val="24"/>
        </w:rPr>
        <w:t>Geschichte der christlichen Kunst,</w:t>
      </w:r>
      <w:r w:rsidRPr="003B3476">
        <w:rPr>
          <w:bCs/>
        </w:rPr>
        <w:t xml:space="preserve"> </w:t>
      </w:r>
      <w:r w:rsidRPr="003B3476">
        <w:rPr>
          <w:lang w:val="fr-FR" w:eastAsia="fr-FR" w:bidi="fr-FR"/>
        </w:rPr>
        <w:t xml:space="preserve">t. II, p. 349-350 ; G. </w:t>
      </w:r>
      <w:r w:rsidRPr="003B3476">
        <w:rPr>
          <w:bCs/>
          <w:smallCaps/>
        </w:rPr>
        <w:t>Sanoner</w:t>
      </w:r>
      <w:r w:rsidRPr="003B3476">
        <w:rPr>
          <w:bCs/>
        </w:rPr>
        <w:t xml:space="preserve">, </w:t>
      </w:r>
      <w:r w:rsidRPr="003B3476">
        <w:rPr>
          <w:rStyle w:val="Notedebasdepage65ptItalique"/>
          <w:b w:val="0"/>
          <w:sz w:val="24"/>
        </w:rPr>
        <w:t>La vie de Jésus-Christ racontée par les imagiers du Moyen Âge sur les portes d'églises</w:t>
      </w:r>
      <w:r w:rsidRPr="003B3476">
        <w:rPr>
          <w:lang w:val="fr-FR" w:eastAsia="fr-FR" w:bidi="fr-FR"/>
        </w:rPr>
        <w:t xml:space="preserve">, dans </w:t>
      </w:r>
      <w:r w:rsidRPr="003B3476">
        <w:rPr>
          <w:rStyle w:val="Notedebasdepage65ptItalique"/>
          <w:b w:val="0"/>
          <w:sz w:val="24"/>
        </w:rPr>
        <w:t>Rev. de l'art chrétien</w:t>
      </w:r>
      <w:r w:rsidRPr="003B3476">
        <w:rPr>
          <w:lang w:val="fr-FR" w:eastAsia="fr-FR" w:bidi="fr-FR"/>
        </w:rPr>
        <w:t>, 1907, p. 321-325.</w:t>
      </w:r>
    </w:p>
  </w:footnote>
  <w:footnote w:id="1001">
    <w:p w14:paraId="36520A2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Ch. </w:t>
      </w:r>
      <w:r w:rsidRPr="003B3476">
        <w:rPr>
          <w:smallCaps/>
        </w:rPr>
        <w:t>Diehl</w:t>
      </w:r>
      <w:r w:rsidRPr="003B3476">
        <w:t xml:space="preserve">, </w:t>
      </w:r>
      <w:r w:rsidRPr="003B3476">
        <w:rPr>
          <w:rStyle w:val="Notedebasdepage7ptItalique"/>
          <w:b w:val="0"/>
          <w:sz w:val="24"/>
        </w:rPr>
        <w:t>Notice sur deux manuscrits à miniatures de l’Université de Messine,</w:t>
      </w:r>
      <w:r w:rsidRPr="003B3476">
        <w:rPr>
          <w:rStyle w:val="Notedebasdepage7ptItalique"/>
          <w:b w:val="0"/>
          <w:sz w:val="24"/>
          <w:vertAlign w:val="subscript"/>
        </w:rPr>
        <w:t xml:space="preserve"> </w:t>
      </w:r>
      <w:r w:rsidRPr="003B3476">
        <w:rPr>
          <w:lang w:val="fr-FR" w:eastAsia="fr-FR" w:bidi="fr-FR"/>
        </w:rPr>
        <w:t xml:space="preserve">dans </w:t>
      </w:r>
      <w:r w:rsidRPr="003B3476">
        <w:rPr>
          <w:rStyle w:val="Notedebasdepage7ptItalique"/>
          <w:b w:val="0"/>
          <w:sz w:val="24"/>
        </w:rPr>
        <w:t>Mélanges d'archéologie et d'histoire</w:t>
      </w:r>
      <w:r w:rsidRPr="003B3476">
        <w:rPr>
          <w:lang w:val="fr-FR" w:eastAsia="fr-FR" w:bidi="fr-FR"/>
        </w:rPr>
        <w:t>, 1888, p. 316-318 ; le m</w:t>
      </w:r>
      <w:r w:rsidRPr="003B3476">
        <w:rPr>
          <w:lang w:val="fr-FR" w:eastAsia="fr-FR" w:bidi="fr-FR"/>
        </w:rPr>
        <w:t>ê</w:t>
      </w:r>
      <w:r w:rsidRPr="003B3476">
        <w:rPr>
          <w:lang w:val="fr-FR" w:eastAsia="fr-FR" w:bidi="fr-FR"/>
        </w:rPr>
        <w:t xml:space="preserve">me, </w:t>
      </w:r>
      <w:r w:rsidRPr="003B3476">
        <w:rPr>
          <w:rStyle w:val="Notedebasdepage7ptItalique"/>
          <w:b w:val="0"/>
          <w:sz w:val="24"/>
        </w:rPr>
        <w:t>L'église et les mosaïques du couvent de Saint-Luc</w:t>
      </w:r>
      <w:r w:rsidRPr="003B3476">
        <w:t xml:space="preserve"> </w:t>
      </w:r>
      <w:r w:rsidRPr="003B3476">
        <w:rPr>
          <w:lang w:val="fr-FR" w:eastAsia="fr-FR" w:bidi="fr-FR"/>
        </w:rPr>
        <w:t>(</w:t>
      </w:r>
      <w:r w:rsidRPr="003B3476">
        <w:rPr>
          <w:rStyle w:val="Notedebasdepage7ptItalique"/>
          <w:b w:val="0"/>
          <w:sz w:val="24"/>
        </w:rPr>
        <w:t>Bibl</w:t>
      </w:r>
      <w:r w:rsidRPr="003B3476">
        <w:rPr>
          <w:rStyle w:val="NotedebasdepageItaliqueEspacement1pt"/>
          <w:b w:val="0"/>
          <w:sz w:val="24"/>
        </w:rPr>
        <w:t xml:space="preserve">. </w:t>
      </w:r>
      <w:r w:rsidRPr="003B3476">
        <w:rPr>
          <w:rStyle w:val="Notedebasdepage7ptItalique"/>
          <w:b w:val="0"/>
          <w:sz w:val="24"/>
        </w:rPr>
        <w:t>des Éc. d'Ath</w:t>
      </w:r>
      <w:r w:rsidRPr="003B3476">
        <w:rPr>
          <w:rStyle w:val="Notedebasdepage7ptItalique"/>
          <w:b w:val="0"/>
          <w:sz w:val="24"/>
        </w:rPr>
        <w:t>è</w:t>
      </w:r>
      <w:r w:rsidRPr="003B3476">
        <w:rPr>
          <w:rStyle w:val="Notedebasdepage7ptItalique"/>
          <w:b w:val="0"/>
          <w:sz w:val="24"/>
        </w:rPr>
        <w:t>nes et de Rome</w:t>
      </w:r>
      <w:r w:rsidRPr="003B3476">
        <w:rPr>
          <w:lang w:val="fr-FR" w:eastAsia="fr-FR" w:bidi="fr-FR"/>
        </w:rPr>
        <w:t xml:space="preserve">, fasc. 55), p. 42-43 ; le même dans </w:t>
      </w:r>
      <w:r w:rsidRPr="003B3476">
        <w:rPr>
          <w:rStyle w:val="Notedebasdepage7ptItalique"/>
          <w:b w:val="0"/>
          <w:sz w:val="24"/>
        </w:rPr>
        <w:t>Monuments Piot</w:t>
      </w:r>
      <w:r w:rsidRPr="003B3476">
        <w:rPr>
          <w:lang w:val="fr-FR" w:eastAsia="fr-FR" w:bidi="fr-FR"/>
        </w:rPr>
        <w:t xml:space="preserve">, t. III, p. 232-234 ; </w:t>
      </w:r>
      <w:r w:rsidRPr="003B3476">
        <w:rPr>
          <w:smallCaps/>
        </w:rPr>
        <w:t>Millet</w:t>
      </w:r>
      <w:r w:rsidRPr="003B3476">
        <w:t xml:space="preserve">, </w:t>
      </w:r>
      <w:r w:rsidRPr="003B3476">
        <w:rPr>
          <w:lang w:val="fr-FR" w:eastAsia="fr-FR" w:bidi="fr-FR"/>
        </w:rPr>
        <w:t xml:space="preserve">dans </w:t>
      </w:r>
      <w:r w:rsidRPr="003B3476">
        <w:rPr>
          <w:rStyle w:val="Notedebasdepage7ptItalique"/>
          <w:b w:val="0"/>
          <w:sz w:val="24"/>
        </w:rPr>
        <w:t>Monuments Piot</w:t>
      </w:r>
      <w:r w:rsidRPr="003B3476">
        <w:rPr>
          <w:lang w:val="fr-FR" w:eastAsia="fr-FR" w:bidi="fr-FR"/>
        </w:rPr>
        <w:t xml:space="preserve">, t. II, p. 209 ; G. </w:t>
      </w:r>
      <w:r w:rsidRPr="003B3476">
        <w:t xml:space="preserve">M. </w:t>
      </w:r>
      <w:r w:rsidRPr="003B3476">
        <w:rPr>
          <w:smallCaps/>
        </w:rPr>
        <w:t>Rushforth</w:t>
      </w:r>
      <w:r w:rsidRPr="003B3476">
        <w:t xml:space="preserve">, </w:t>
      </w:r>
      <w:r w:rsidRPr="003B3476">
        <w:rPr>
          <w:rStyle w:val="Notedebasdepage7ptItalique"/>
          <w:b w:val="0"/>
          <w:sz w:val="24"/>
        </w:rPr>
        <w:t>The « descent into Hell</w:t>
      </w:r>
      <w:r w:rsidRPr="003B3476">
        <w:t xml:space="preserve"> » </w:t>
      </w:r>
      <w:r w:rsidRPr="003B3476">
        <w:rPr>
          <w:rStyle w:val="Notedebasdepage7ptItalique"/>
          <w:b w:val="0"/>
          <w:sz w:val="24"/>
        </w:rPr>
        <w:t>in b</w:t>
      </w:r>
      <w:r w:rsidRPr="003B3476">
        <w:rPr>
          <w:rStyle w:val="Notedebasdepage7ptItalique"/>
          <w:b w:val="0"/>
          <w:sz w:val="24"/>
        </w:rPr>
        <w:t>y</w:t>
      </w:r>
      <w:r w:rsidRPr="003B3476">
        <w:rPr>
          <w:rStyle w:val="Notedebasdepage7ptItalique"/>
          <w:b w:val="0"/>
          <w:sz w:val="24"/>
        </w:rPr>
        <w:t>zantine art</w:t>
      </w:r>
      <w:r w:rsidRPr="003B3476">
        <w:rPr>
          <w:lang w:val="fr-FR" w:eastAsia="fr-FR" w:bidi="fr-FR"/>
        </w:rPr>
        <w:t xml:space="preserve">, dans </w:t>
      </w:r>
      <w:r w:rsidRPr="003B3476">
        <w:rPr>
          <w:rStyle w:val="Notedebasdepage7ptItalique"/>
          <w:b w:val="0"/>
          <w:sz w:val="24"/>
        </w:rPr>
        <w:t>Papers of the British School at Rome</w:t>
      </w:r>
      <w:r w:rsidRPr="003B3476">
        <w:rPr>
          <w:lang w:val="fr-FR" w:eastAsia="fr-FR" w:bidi="fr-FR"/>
        </w:rPr>
        <w:t>, t. I (1902), p. 114-119. On trouvera dans ces articles l’indication et souvent la reproduction des monuments les plus caractéristiques (pour la m</w:t>
      </w:r>
      <w:r w:rsidRPr="003B3476">
        <w:rPr>
          <w:lang w:val="fr-FR" w:eastAsia="fr-FR" w:bidi="fr-FR"/>
        </w:rPr>
        <w:t>o</w:t>
      </w:r>
      <w:r w:rsidRPr="003B3476">
        <w:rPr>
          <w:lang w:val="fr-FR" w:eastAsia="fr-FR" w:bidi="fr-FR"/>
        </w:rPr>
        <w:t xml:space="preserve">saïque de Torcello, v. aussi une bonne reproduction dans E. </w:t>
      </w:r>
      <w:r w:rsidRPr="003B3476">
        <w:rPr>
          <w:smallCaps/>
        </w:rPr>
        <w:t>Mâle</w:t>
      </w:r>
      <w:r w:rsidRPr="003B3476">
        <w:t xml:space="preserve">, </w:t>
      </w:r>
      <w:r w:rsidRPr="003B3476">
        <w:rPr>
          <w:rStyle w:val="Notedebasdepage7ptItalique"/>
          <w:b w:val="0"/>
          <w:sz w:val="24"/>
        </w:rPr>
        <w:t>L'art rel</w:t>
      </w:r>
      <w:r w:rsidRPr="003B3476">
        <w:rPr>
          <w:rStyle w:val="Notedebasdepage7ptItalique"/>
          <w:b w:val="0"/>
          <w:sz w:val="24"/>
        </w:rPr>
        <w:t>i</w:t>
      </w:r>
      <w:r w:rsidRPr="003B3476">
        <w:rPr>
          <w:rStyle w:val="Notedebasdepage7ptItalique"/>
          <w:b w:val="0"/>
          <w:sz w:val="24"/>
        </w:rPr>
        <w:t xml:space="preserve">gieux du </w:t>
      </w:r>
      <w:r w:rsidRPr="003B3476">
        <w:rPr>
          <w:rStyle w:val="NotedebasdepageItaliqueEspacement1pt"/>
          <w:b w:val="0"/>
          <w:sz w:val="24"/>
        </w:rPr>
        <w:t>XII</w:t>
      </w:r>
      <w:r w:rsidRPr="003B3476">
        <w:rPr>
          <w:rStyle w:val="NotedebasdepageItaliqueEspacement1pt"/>
          <w:b w:val="0"/>
          <w:sz w:val="24"/>
          <w:vertAlign w:val="superscript"/>
        </w:rPr>
        <w:t>e</w:t>
      </w:r>
      <w:r w:rsidRPr="003B3476">
        <w:rPr>
          <w:rStyle w:val="NotedebasdepageItaliqueEspacement1pt"/>
          <w:b w:val="0"/>
          <w:sz w:val="24"/>
        </w:rPr>
        <w:t xml:space="preserve"> </w:t>
      </w:r>
      <w:r w:rsidRPr="003B3476">
        <w:rPr>
          <w:rStyle w:val="Notedebasdepage7ptItalique"/>
          <w:b w:val="0"/>
          <w:sz w:val="24"/>
        </w:rPr>
        <w:t>siècle</w:t>
      </w:r>
      <w:r w:rsidRPr="003B3476">
        <w:rPr>
          <w:lang w:val="fr-FR" w:eastAsia="fr-FR" w:bidi="fr-FR"/>
        </w:rPr>
        <w:t>, p. 104). Selon Ch. </w:t>
      </w:r>
      <w:r w:rsidRPr="003B3476">
        <w:rPr>
          <w:smallCaps/>
        </w:rPr>
        <w:t>Diehl</w:t>
      </w:r>
      <w:r w:rsidRPr="003B3476">
        <w:t xml:space="preserve"> </w:t>
      </w:r>
      <w:r w:rsidRPr="003B3476">
        <w:rPr>
          <w:rStyle w:val="Notedebasdepage7ptItalique"/>
          <w:b w:val="0"/>
          <w:sz w:val="24"/>
        </w:rPr>
        <w:t>(Mon. Piot</w:t>
      </w:r>
      <w:r w:rsidRPr="003B3476">
        <w:rPr>
          <w:lang w:val="fr-FR" w:eastAsia="fr-FR" w:bidi="fr-FR"/>
        </w:rPr>
        <w:t>, t. III, p. 234) le monument le plus ancien où dans une représentation de la Descente aux Li</w:t>
      </w:r>
      <w:r w:rsidRPr="003B3476">
        <w:rPr>
          <w:lang w:val="fr-FR" w:eastAsia="fr-FR" w:bidi="fr-FR"/>
        </w:rPr>
        <w:t>m</w:t>
      </w:r>
      <w:r w:rsidRPr="003B3476">
        <w:rPr>
          <w:lang w:val="fr-FR" w:eastAsia="fr-FR" w:bidi="fr-FR"/>
        </w:rPr>
        <w:t>bes on voit apparaître les deux rois est l’émail de Chémokmédi, de la fin du x</w:t>
      </w:r>
      <w:r w:rsidRPr="003B3476">
        <w:rPr>
          <w:vertAlign w:val="superscript"/>
          <w:lang w:val="fr-FR" w:eastAsia="fr-FR" w:bidi="fr-FR"/>
        </w:rPr>
        <w:t>e</w:t>
      </w:r>
      <w:r w:rsidRPr="003B3476">
        <w:rPr>
          <w:lang w:val="fr-FR" w:eastAsia="fr-FR" w:bidi="fr-FR"/>
        </w:rPr>
        <w:t xml:space="preserve"> siècle, étudié et reproduit par N. </w:t>
      </w:r>
      <w:r w:rsidRPr="003B3476">
        <w:rPr>
          <w:smallCaps/>
        </w:rPr>
        <w:t>Kondakov</w:t>
      </w:r>
      <w:r w:rsidRPr="003B3476">
        <w:t xml:space="preserve">, </w:t>
      </w:r>
      <w:r w:rsidRPr="003B3476">
        <w:rPr>
          <w:rStyle w:val="Notedebasdepage7ptItalique"/>
          <w:b w:val="0"/>
          <w:sz w:val="24"/>
        </w:rPr>
        <w:t>Histoire et monuments des émaux b</w:t>
      </w:r>
      <w:r w:rsidRPr="003B3476">
        <w:rPr>
          <w:rStyle w:val="Notedebasdepage7ptItalique"/>
          <w:b w:val="0"/>
          <w:sz w:val="24"/>
        </w:rPr>
        <w:t>y</w:t>
      </w:r>
      <w:r w:rsidRPr="003B3476">
        <w:rPr>
          <w:rStyle w:val="Notedebasdepage7ptItalique"/>
          <w:b w:val="0"/>
          <w:sz w:val="24"/>
        </w:rPr>
        <w:t>zantins</w:t>
      </w:r>
      <w:r w:rsidRPr="003B3476">
        <w:rPr>
          <w:lang w:val="fr-FR" w:eastAsia="fr-FR" w:bidi="fr-FR"/>
        </w:rPr>
        <w:t xml:space="preserve">, p. 145, reproduit aussi dans G. </w:t>
      </w:r>
      <w:r w:rsidRPr="003B3476">
        <w:rPr>
          <w:smallCaps/>
        </w:rPr>
        <w:t>Schlumberger</w:t>
      </w:r>
      <w:r w:rsidRPr="003B3476">
        <w:t xml:space="preserve">, </w:t>
      </w:r>
      <w:r w:rsidRPr="003B3476">
        <w:rPr>
          <w:rStyle w:val="Notedebasdepage7ptItalique"/>
          <w:b w:val="0"/>
          <w:sz w:val="24"/>
        </w:rPr>
        <w:t>L'épopée byzantine</w:t>
      </w:r>
      <w:r w:rsidRPr="003B3476">
        <w:rPr>
          <w:lang w:val="fr-FR" w:eastAsia="fr-FR" w:bidi="fr-FR"/>
        </w:rPr>
        <w:t xml:space="preserve">, p. 129. Le moine </w:t>
      </w:r>
      <w:r w:rsidRPr="003B3476">
        <w:rPr>
          <w:smallCaps/>
        </w:rPr>
        <w:t>Denys de Fourma</w:t>
      </w:r>
      <w:r w:rsidRPr="003B3476">
        <w:t xml:space="preserve">, </w:t>
      </w:r>
      <w:r w:rsidRPr="003B3476">
        <w:rPr>
          <w:lang w:val="fr-FR" w:eastAsia="fr-FR" w:bidi="fr-FR"/>
        </w:rPr>
        <w:t xml:space="preserve">dans son célèbre </w:t>
      </w:r>
      <w:r w:rsidRPr="003B3476">
        <w:rPr>
          <w:rStyle w:val="Notedebasdepage7ptItalique"/>
          <w:b w:val="0"/>
          <w:sz w:val="24"/>
        </w:rPr>
        <w:t>Guide de la Peinture</w:t>
      </w:r>
      <w:r w:rsidRPr="003B3476">
        <w:t xml:space="preserve"> </w:t>
      </w:r>
      <w:r w:rsidRPr="003B3476">
        <w:rPr>
          <w:lang w:val="fr-FR" w:eastAsia="fr-FR" w:bidi="fr-FR"/>
        </w:rPr>
        <w:t xml:space="preserve">(éd. </w:t>
      </w:r>
      <w:r w:rsidRPr="003B3476">
        <w:rPr>
          <w:smallCaps/>
        </w:rPr>
        <w:t>Papadopoulo-Kérameus</w:t>
      </w:r>
      <w:r w:rsidRPr="003B3476">
        <w:t xml:space="preserve">, </w:t>
      </w:r>
      <w:r w:rsidRPr="003B3476">
        <w:rPr>
          <w:lang w:val="fr-FR" w:eastAsia="fr-FR" w:bidi="fr-FR"/>
        </w:rPr>
        <w:t xml:space="preserve">p. 110 ; </w:t>
      </w:r>
      <w:r w:rsidRPr="003B3476">
        <w:rPr>
          <w:rStyle w:val="Notedebasdepage7ptItalique"/>
          <w:b w:val="0"/>
          <w:sz w:val="24"/>
        </w:rPr>
        <w:t>cf.</w:t>
      </w:r>
      <w:r w:rsidRPr="003B3476">
        <w:t xml:space="preserve"> </w:t>
      </w:r>
      <w:r w:rsidRPr="003B3476">
        <w:rPr>
          <w:lang w:val="fr-FR" w:eastAsia="fr-FR" w:bidi="fr-FR"/>
        </w:rPr>
        <w:t xml:space="preserve">traduction </w:t>
      </w:r>
      <w:r w:rsidRPr="003B3476">
        <w:rPr>
          <w:smallCaps/>
          <w:lang w:val="fr-FR" w:eastAsia="fr-FR" w:bidi="fr-FR"/>
        </w:rPr>
        <w:t>Durand</w:t>
      </w:r>
      <w:r w:rsidRPr="003B3476">
        <w:rPr>
          <w:lang w:val="fr-FR" w:eastAsia="fr-FR" w:bidi="fr-FR"/>
        </w:rPr>
        <w:t xml:space="preserve"> et </w:t>
      </w:r>
      <w:r w:rsidRPr="003B3476">
        <w:rPr>
          <w:smallCaps/>
          <w:lang w:val="fr-FR" w:eastAsia="fr-FR" w:bidi="fr-FR"/>
        </w:rPr>
        <w:t>Didron</w:t>
      </w:r>
      <w:r w:rsidRPr="003B3476">
        <w:rPr>
          <w:lang w:val="fr-FR" w:eastAsia="fr-FR" w:bidi="fr-FR"/>
        </w:rPr>
        <w:t>, p. 199) mentionne si</w:t>
      </w:r>
      <w:r w:rsidRPr="003B3476">
        <w:rPr>
          <w:lang w:val="fr-FR" w:eastAsia="fr-FR" w:bidi="fr-FR"/>
        </w:rPr>
        <w:t>m</w:t>
      </w:r>
      <w:r w:rsidRPr="003B3476">
        <w:rPr>
          <w:lang w:val="fr-FR" w:eastAsia="fr-FR" w:bidi="fr-FR"/>
        </w:rPr>
        <w:t xml:space="preserve">plement parmi les personnages que le peintre doit faire figurer dans les scène des Limbes « texte en grec » ; il ne fait donc pas de place spéciale </w:t>
      </w:r>
      <w:r w:rsidRPr="003B3476">
        <w:rPr>
          <w:rStyle w:val="Notedebasdepage105ptNonGras"/>
          <w:b w:val="0"/>
          <w:bCs w:val="0"/>
          <w:sz w:val="24"/>
        </w:rPr>
        <w:t xml:space="preserve">à </w:t>
      </w:r>
      <w:r w:rsidRPr="003B3476">
        <w:rPr>
          <w:lang w:val="fr-FR" w:eastAsia="fr-FR" w:bidi="fr-FR"/>
        </w:rPr>
        <w:t>Salomon. Mais on sait que cet ouvrage ne date que du début du XVIII</w:t>
      </w:r>
      <w:r w:rsidRPr="003B3476">
        <w:rPr>
          <w:vertAlign w:val="superscript"/>
          <w:lang w:val="fr-FR" w:eastAsia="fr-FR" w:bidi="fr-FR"/>
        </w:rPr>
        <w:t>e</w:t>
      </w:r>
      <w:r w:rsidRPr="003B3476">
        <w:rPr>
          <w:lang w:val="fr-FR" w:eastAsia="fr-FR" w:bidi="fr-FR"/>
        </w:rPr>
        <w:t xml:space="preserve"> siècle. Les a</w:t>
      </w:r>
      <w:r w:rsidRPr="003B3476">
        <w:rPr>
          <w:lang w:val="fr-FR" w:eastAsia="fr-FR" w:bidi="fr-FR"/>
        </w:rPr>
        <w:t>n</w:t>
      </w:r>
      <w:r w:rsidRPr="003B3476">
        <w:rPr>
          <w:lang w:val="fr-FR" w:eastAsia="fr-FR" w:bidi="fr-FR"/>
        </w:rPr>
        <w:t xml:space="preserve">ciens monuments présentent régulièrement non plusieurs « rois justes », mais deux seulement ; il n’y a pas lieu d’hésiter </w:t>
      </w:r>
      <w:r w:rsidRPr="003B3476">
        <w:rPr>
          <w:rStyle w:val="Notedebasdepage105ptNonGras"/>
          <w:b w:val="0"/>
          <w:bCs w:val="0"/>
          <w:sz w:val="24"/>
        </w:rPr>
        <w:t xml:space="preserve">à </w:t>
      </w:r>
      <w:r w:rsidRPr="003B3476">
        <w:rPr>
          <w:lang w:val="fr-FR" w:eastAsia="fr-FR" w:bidi="fr-FR"/>
        </w:rPr>
        <w:t>r</w:t>
      </w:r>
      <w:r w:rsidRPr="003B3476">
        <w:rPr>
          <w:lang w:val="fr-FR" w:eastAsia="fr-FR" w:bidi="fr-FR"/>
        </w:rPr>
        <w:t>e</w:t>
      </w:r>
      <w:r w:rsidRPr="003B3476">
        <w:rPr>
          <w:lang w:val="fr-FR" w:eastAsia="fr-FR" w:bidi="fr-FR"/>
        </w:rPr>
        <w:t>connaître en eux — avec l’unanimité des byzantinistes — Salomon à côté de David.</w:t>
      </w:r>
    </w:p>
  </w:footnote>
  <w:footnote w:id="1002">
    <w:p w14:paraId="045B63F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[Texte en grec]</w:t>
      </w:r>
      <w:r w:rsidRPr="003B3476">
        <w:rPr>
          <w:lang w:val="fr-FR" w:eastAsia="fr-FR" w:bidi="fr-FR"/>
        </w:rPr>
        <w:t xml:space="preserve">, v. 17, éd. P. de </w:t>
      </w:r>
      <w:r w:rsidRPr="003B3476">
        <w:rPr>
          <w:bCs/>
          <w:smallCaps/>
        </w:rPr>
        <w:t>Lagarde</w:t>
      </w:r>
      <w:r w:rsidRPr="003B3476">
        <w:rPr>
          <w:bCs/>
        </w:rPr>
        <w:t xml:space="preserve">, </w:t>
      </w:r>
      <w:r w:rsidRPr="003B3476">
        <w:rPr>
          <w:lang w:val="fr-FR" w:eastAsia="fr-FR" w:bidi="fr-FR"/>
        </w:rPr>
        <w:t xml:space="preserve">dans </w:t>
      </w:r>
      <w:r w:rsidRPr="003B3476">
        <w:rPr>
          <w:rStyle w:val="Notedebasdepage65ptItalique"/>
          <w:b w:val="0"/>
          <w:sz w:val="24"/>
        </w:rPr>
        <w:t>Abhandl. der K. Gesellschaft der Wissenschaften zu Göttingen</w:t>
      </w:r>
      <w:r w:rsidRPr="003B3476">
        <w:rPr>
          <w:lang w:val="fr-FR" w:eastAsia="fr-FR" w:bidi="fr-FR"/>
        </w:rPr>
        <w:t xml:space="preserve">, t. 28 (1881), p. 7 ; </w:t>
      </w:r>
      <w:r w:rsidRPr="003B3476">
        <w:rPr>
          <w:rStyle w:val="Notedebasdepage65ptItalique"/>
          <w:b w:val="0"/>
          <w:sz w:val="24"/>
        </w:rPr>
        <w:t>cf.</w:t>
      </w:r>
      <w:r w:rsidRPr="003B3476">
        <w:rPr>
          <w:bCs/>
        </w:rPr>
        <w:t xml:space="preserve"> </w:t>
      </w:r>
      <w:r w:rsidRPr="003B3476">
        <w:rPr>
          <w:bCs/>
          <w:smallCaps/>
        </w:rPr>
        <w:t>Migne</w:t>
      </w:r>
      <w:r w:rsidRPr="003B3476">
        <w:rPr>
          <w:bCs/>
        </w:rPr>
        <w:t xml:space="preserve">, </w:t>
      </w:r>
      <w:r w:rsidRPr="003B3476">
        <w:rPr>
          <w:rStyle w:val="Notedebasdepage7ptItalique"/>
          <w:b w:val="0"/>
          <w:sz w:val="24"/>
        </w:rPr>
        <w:t xml:space="preserve">P. </w:t>
      </w:r>
      <w:r w:rsidRPr="003B3476">
        <w:rPr>
          <w:rStyle w:val="Notedebasdepage65ptItalique"/>
          <w:b w:val="0"/>
          <w:sz w:val="24"/>
        </w:rPr>
        <w:t>G</w:t>
      </w:r>
      <w:r w:rsidRPr="003B3476">
        <w:rPr>
          <w:lang w:val="fr-FR" w:eastAsia="fr-FR" w:bidi="fr-FR"/>
        </w:rPr>
        <w:t xml:space="preserve">., 1.120, col. 1132. Jean </w:t>
      </w:r>
      <w:r w:rsidRPr="003B3476">
        <w:rPr>
          <w:rStyle w:val="Notedebasdepage65ptItalique"/>
          <w:b w:val="0"/>
          <w:sz w:val="24"/>
        </w:rPr>
        <w:t>Mauropous</w:t>
      </w:r>
      <w:r w:rsidRPr="003B3476">
        <w:rPr>
          <w:lang w:val="fr-FR" w:eastAsia="fr-FR" w:bidi="fr-FR"/>
        </w:rPr>
        <w:t xml:space="preserve">, appelé aussi, du nom de son siège métropolitain </w:t>
      </w:r>
      <w:r w:rsidRPr="003B3476">
        <w:rPr>
          <w:rStyle w:val="Notedebasdepage65ptItalique"/>
          <w:b w:val="0"/>
          <w:sz w:val="24"/>
        </w:rPr>
        <w:t>Euchaitês,</w:t>
      </w:r>
      <w:r w:rsidRPr="003B3476">
        <w:rPr>
          <w:bCs/>
        </w:rPr>
        <w:t xml:space="preserve"> </w:t>
      </w:r>
      <w:r w:rsidRPr="003B3476">
        <w:rPr>
          <w:lang w:val="fr-FR" w:eastAsia="fr-FR" w:bidi="fr-FR"/>
        </w:rPr>
        <w:t>apparaît comme métropolite d’Euchaita, en Asie Mineure, au plus tard en 1047.</w:t>
      </w:r>
    </w:p>
  </w:footnote>
  <w:footnote w:id="1003">
    <w:p w14:paraId="4115C0C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L’observation a déjà été faite par </w:t>
      </w:r>
      <w:r w:rsidRPr="003B3476">
        <w:rPr>
          <w:rStyle w:val="Notedebasdepage7ptPetitesmajuscules"/>
          <w:b w:val="0"/>
          <w:sz w:val="24"/>
        </w:rPr>
        <w:t xml:space="preserve">M. E. Mâle, </w:t>
      </w:r>
      <w:r w:rsidRPr="003B3476">
        <w:rPr>
          <w:rStyle w:val="Notedebasdepage7ptItalique"/>
          <w:b w:val="0"/>
          <w:sz w:val="24"/>
        </w:rPr>
        <w:t>L’art religieux du XIII</w:t>
      </w:r>
      <w:r w:rsidRPr="003B3476">
        <w:rPr>
          <w:rStyle w:val="Notedebasdepage7ptItalique"/>
          <w:b w:val="0"/>
          <w:sz w:val="24"/>
          <w:vertAlign w:val="superscript"/>
        </w:rPr>
        <w:t>e</w:t>
      </w:r>
      <w:r w:rsidRPr="003B3476">
        <w:rPr>
          <w:rStyle w:val="Notedebasdepage7ptItalique"/>
          <w:b w:val="0"/>
          <w:sz w:val="24"/>
        </w:rPr>
        <w:t> siècle</w:t>
      </w:r>
      <w:r w:rsidRPr="003B3476">
        <w:rPr>
          <w:lang w:val="fr-FR" w:eastAsia="fr-FR" w:bidi="fr-FR"/>
        </w:rPr>
        <w:t xml:space="preserve">, </w:t>
      </w:r>
      <w:r w:rsidRPr="003B3476">
        <w:rPr>
          <w:bCs/>
        </w:rPr>
        <w:t>3</w:t>
      </w:r>
      <w:r w:rsidRPr="003B3476">
        <w:rPr>
          <w:bCs/>
          <w:vertAlign w:val="superscript"/>
        </w:rPr>
        <w:t>e</w:t>
      </w:r>
      <w:r w:rsidRPr="003B3476">
        <w:rPr>
          <w:bCs/>
        </w:rPr>
        <w:t xml:space="preserve"> </w:t>
      </w:r>
      <w:r w:rsidRPr="003B3476">
        <w:rPr>
          <w:lang w:val="fr-FR" w:eastAsia="fr-FR" w:bidi="fr-FR"/>
        </w:rPr>
        <w:t xml:space="preserve">éd., p. 267 et n. 5. D’ailleurs l’art français incline à représenter les Justes de l'Ancienne Loi dans la nudité glorieuse des Élus, ce qui empêche tout attribut précis ; </w:t>
      </w:r>
      <w:r w:rsidRPr="003B3476">
        <w:rPr>
          <w:i/>
          <w:lang w:val="fr-FR" w:eastAsia="fr-FR" w:bidi="fr-FR"/>
        </w:rPr>
        <w:t>cf.</w:t>
      </w:r>
      <w:r w:rsidRPr="003B3476">
        <w:rPr>
          <w:lang w:val="fr-FR" w:eastAsia="fr-FR" w:bidi="fr-FR"/>
        </w:rPr>
        <w:t xml:space="preserve"> E. </w:t>
      </w:r>
      <w:r w:rsidRPr="003B3476">
        <w:rPr>
          <w:rStyle w:val="Notedebasdepage7ptPetitesmajuscules"/>
          <w:b w:val="0"/>
          <w:sz w:val="24"/>
        </w:rPr>
        <w:t xml:space="preserve">Mâle, </w:t>
      </w:r>
      <w:r w:rsidRPr="003B3476">
        <w:rPr>
          <w:rStyle w:val="Notedebasdepage7ptItalique"/>
          <w:b w:val="0"/>
          <w:sz w:val="24"/>
        </w:rPr>
        <w:t xml:space="preserve">L’art religieux </w:t>
      </w:r>
      <w:r w:rsidRPr="003B3476">
        <w:rPr>
          <w:rStyle w:val="NotedebasdepageItaliqueEspacement1pt"/>
          <w:b w:val="0"/>
          <w:sz w:val="24"/>
        </w:rPr>
        <w:t xml:space="preserve">du </w:t>
      </w:r>
      <w:r w:rsidRPr="003B3476">
        <w:rPr>
          <w:rStyle w:val="Notedebasdepage7ptItalique"/>
          <w:b w:val="0"/>
          <w:sz w:val="24"/>
        </w:rPr>
        <w:t>XII</w:t>
      </w:r>
      <w:r w:rsidRPr="003B3476">
        <w:rPr>
          <w:rStyle w:val="Notedebasdepage7ptItalique"/>
          <w:b w:val="0"/>
          <w:sz w:val="24"/>
          <w:vertAlign w:val="superscript"/>
        </w:rPr>
        <w:t>e</w:t>
      </w:r>
      <w:r w:rsidRPr="003B3476">
        <w:rPr>
          <w:rStyle w:val="Notedebasdepage7ptItalique"/>
          <w:b w:val="0"/>
          <w:sz w:val="24"/>
        </w:rPr>
        <w:t xml:space="preserve"> siècle</w:t>
      </w:r>
      <w:r w:rsidRPr="003B3476">
        <w:rPr>
          <w:lang w:val="fr-FR" w:eastAsia="fr-FR" w:bidi="fr-FR"/>
        </w:rPr>
        <w:t>, p. 115.</w:t>
      </w:r>
    </w:p>
  </w:footnote>
  <w:footnote w:id="1004">
    <w:p w14:paraId="7A90B2C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Tympan du portail occidental de la cathédrale de Bitonto : A. </w:t>
      </w:r>
      <w:r w:rsidRPr="003B3476">
        <w:rPr>
          <w:bCs/>
          <w:smallCaps/>
        </w:rPr>
        <w:t>Kingsley Po</w:t>
      </w:r>
      <w:r w:rsidRPr="003B3476">
        <w:rPr>
          <w:bCs/>
          <w:smallCaps/>
        </w:rPr>
        <w:t>r</w:t>
      </w:r>
      <w:r w:rsidRPr="003B3476">
        <w:rPr>
          <w:bCs/>
          <w:smallCaps/>
        </w:rPr>
        <w:t>ter</w:t>
      </w:r>
      <w:r w:rsidRPr="003B3476">
        <w:rPr>
          <w:bCs/>
        </w:rPr>
        <w:t xml:space="preserve">, </w:t>
      </w:r>
      <w:r w:rsidRPr="003B3476">
        <w:rPr>
          <w:rStyle w:val="Notedebasdepage7ptItalique"/>
          <w:b w:val="0"/>
          <w:sz w:val="24"/>
        </w:rPr>
        <w:t>Romanesque sculpture of the pilgrimage roads</w:t>
      </w:r>
      <w:r w:rsidRPr="003B3476">
        <w:rPr>
          <w:lang w:val="fr-FR" w:eastAsia="fr-FR" w:bidi="fr-FR"/>
        </w:rPr>
        <w:t>, t. III, pl. 233 ; on y voit l’un derrière l’autre David, avec sa harpe, le Baptiste, et un petit personnage couronné qui est év</w:t>
      </w:r>
      <w:r w:rsidRPr="003B3476">
        <w:rPr>
          <w:lang w:val="fr-FR" w:eastAsia="fr-FR" w:bidi="fr-FR"/>
        </w:rPr>
        <w:t>i</w:t>
      </w:r>
      <w:r w:rsidRPr="003B3476">
        <w:rPr>
          <w:lang w:val="fr-FR" w:eastAsia="fr-FR" w:bidi="fr-FR"/>
        </w:rPr>
        <w:t xml:space="preserve">demment Salomon. </w:t>
      </w:r>
      <w:r w:rsidRPr="003B3476">
        <w:rPr>
          <w:i/>
          <w:lang w:val="fr-FR" w:eastAsia="fr-FR" w:bidi="fr-FR"/>
        </w:rPr>
        <w:t>Cf.</w:t>
      </w:r>
      <w:r w:rsidRPr="003B3476">
        <w:rPr>
          <w:lang w:val="fr-FR" w:eastAsia="fr-FR" w:bidi="fr-FR"/>
        </w:rPr>
        <w:t xml:space="preserve"> aussi les plaquettes de mosaïques conservées à l’</w:t>
      </w:r>
      <w:r w:rsidRPr="003B3476">
        <w:rPr>
          <w:rStyle w:val="Notedebasdepage7ptItalique"/>
          <w:b w:val="0"/>
          <w:sz w:val="24"/>
        </w:rPr>
        <w:t>Opéra del Duomo</w:t>
      </w:r>
      <w:r w:rsidRPr="003B3476">
        <w:rPr>
          <w:bCs/>
        </w:rPr>
        <w:t xml:space="preserve"> </w:t>
      </w:r>
      <w:r w:rsidRPr="003B3476">
        <w:rPr>
          <w:lang w:val="fr-FR" w:eastAsia="fr-FR" w:bidi="fr-FR"/>
        </w:rPr>
        <w:t xml:space="preserve">de Florence, </w:t>
      </w:r>
      <w:r w:rsidRPr="003B3476">
        <w:rPr>
          <w:rStyle w:val="Notedebasdepage7ptItalique"/>
          <w:b w:val="0"/>
          <w:sz w:val="24"/>
        </w:rPr>
        <w:t>Zeitschrift für christliche Kunst</w:t>
      </w:r>
      <w:r w:rsidRPr="003B3476">
        <w:rPr>
          <w:lang w:val="fr-FR" w:eastAsia="fr-FR" w:bidi="fr-FR"/>
        </w:rPr>
        <w:t>, t. IV (1891), pl. IX ; des miniatures de rouleaux d’</w:t>
      </w:r>
      <w:r w:rsidRPr="003B3476">
        <w:rPr>
          <w:rStyle w:val="Notedebasdepage7ptItalique"/>
          <w:b w:val="0"/>
          <w:sz w:val="24"/>
        </w:rPr>
        <w:t>Exultet,</w:t>
      </w:r>
      <w:r w:rsidRPr="003B3476">
        <w:rPr>
          <w:bCs/>
        </w:rPr>
        <w:t xml:space="preserve"> </w:t>
      </w:r>
      <w:r w:rsidRPr="003B3476">
        <w:rPr>
          <w:lang w:val="fr-FR" w:eastAsia="fr-FR" w:bidi="fr-FR"/>
        </w:rPr>
        <w:t xml:space="preserve">E. </w:t>
      </w:r>
      <w:r w:rsidRPr="003B3476">
        <w:rPr>
          <w:bCs/>
          <w:smallCaps/>
        </w:rPr>
        <w:t>Bertaux</w:t>
      </w:r>
      <w:r w:rsidRPr="003B3476">
        <w:rPr>
          <w:bCs/>
        </w:rPr>
        <w:t xml:space="preserve">, </w:t>
      </w:r>
      <w:r w:rsidRPr="003B3476">
        <w:rPr>
          <w:rStyle w:val="Notedebasdepage7ptItalique"/>
          <w:b w:val="0"/>
          <w:sz w:val="24"/>
        </w:rPr>
        <w:t>Ic</w:t>
      </w:r>
      <w:r w:rsidRPr="003B3476">
        <w:rPr>
          <w:rStyle w:val="Notedebasdepage7ptItalique"/>
          <w:b w:val="0"/>
          <w:sz w:val="24"/>
        </w:rPr>
        <w:t>o</w:t>
      </w:r>
      <w:r w:rsidRPr="003B3476">
        <w:rPr>
          <w:rStyle w:val="Notedebasdepage7ptItalique"/>
          <w:b w:val="0"/>
          <w:sz w:val="24"/>
        </w:rPr>
        <w:t>nographie comparée des rouleaux de l’Exultet</w:t>
      </w:r>
      <w:r w:rsidRPr="003B3476">
        <w:rPr>
          <w:bCs/>
        </w:rPr>
        <w:t xml:space="preserve"> </w:t>
      </w:r>
      <w:r w:rsidRPr="003B3476">
        <w:rPr>
          <w:lang w:val="fr-FR" w:eastAsia="fr-FR" w:bidi="fr-FR"/>
        </w:rPr>
        <w:t xml:space="preserve">(en appendice à </w:t>
      </w:r>
      <w:r w:rsidRPr="003B3476">
        <w:rPr>
          <w:rStyle w:val="Notedebasdepage7ptItalique"/>
          <w:b w:val="0"/>
          <w:sz w:val="24"/>
        </w:rPr>
        <w:t>L’art dans l’Italie méridionale</w:t>
      </w:r>
      <w:r w:rsidRPr="003B3476">
        <w:rPr>
          <w:lang w:val="fr-FR" w:eastAsia="fr-FR" w:bidi="fr-FR"/>
        </w:rPr>
        <w:t>), col. n</w:t>
      </w:r>
      <w:r w:rsidRPr="003B3476">
        <w:rPr>
          <w:vertAlign w:val="superscript"/>
          <w:lang w:val="fr-FR" w:eastAsia="fr-FR" w:bidi="fr-FR"/>
        </w:rPr>
        <w:t>os</w:t>
      </w:r>
      <w:r w:rsidRPr="003B3476">
        <w:rPr>
          <w:lang w:val="fr-FR" w:eastAsia="fr-FR" w:bidi="fr-FR"/>
        </w:rPr>
        <w:t xml:space="preserve"> 1, 5, 9, 10, 12 ; et sans doute aussi le vantail de gauche (2</w:t>
      </w:r>
      <w:r w:rsidRPr="003B3476">
        <w:rPr>
          <w:vertAlign w:val="superscript"/>
          <w:lang w:val="fr-FR" w:eastAsia="fr-FR" w:bidi="fr-FR"/>
        </w:rPr>
        <w:t>e</w:t>
      </w:r>
      <w:r w:rsidRPr="003B3476">
        <w:rPr>
          <w:lang w:val="fr-FR" w:eastAsia="fr-FR" w:bidi="fr-FR"/>
        </w:rPr>
        <w:t xml:space="preserve"> registre à partir du haut, à g.) de la porte de la cathédrale de Pise, mais les photographies que j’ai vues sont trop médiocres pour permettre une certitude. Souvent Salomon est barbu et David imberbe (rouleaux d</w:t>
      </w:r>
      <w:r w:rsidRPr="003B3476">
        <w:rPr>
          <w:rStyle w:val="Notedebasdepage7ptItalique"/>
          <w:b w:val="0"/>
          <w:sz w:val="24"/>
        </w:rPr>
        <w:t xml:space="preserve">’Exultet </w:t>
      </w:r>
      <w:r w:rsidRPr="003B3476">
        <w:rPr>
          <w:lang w:val="fr-FR" w:eastAsia="fr-FR" w:bidi="fr-FR"/>
        </w:rPr>
        <w:t>n</w:t>
      </w:r>
      <w:r w:rsidRPr="003B3476">
        <w:rPr>
          <w:vertAlign w:val="superscript"/>
          <w:lang w:val="fr-FR" w:eastAsia="fr-FR" w:bidi="fr-FR"/>
        </w:rPr>
        <w:t>os</w:t>
      </w:r>
      <w:r w:rsidRPr="003B3476">
        <w:rPr>
          <w:lang w:val="fr-FR" w:eastAsia="fr-FR" w:bidi="fr-FR"/>
        </w:rPr>
        <w:t xml:space="preserve"> 10 et 12, par exemple) mais il arrive, comme à Bitonto, que les deux rois portent la barbe. Il est possible que David et Salomon figurent déjà tous deux sur une mosaïque de Sainte-Praxède, à Rome, qui date du pontificat de Pascal I</w:t>
      </w:r>
      <w:r w:rsidRPr="003B3476">
        <w:rPr>
          <w:vertAlign w:val="superscript"/>
          <w:lang w:val="fr-FR" w:eastAsia="fr-FR" w:bidi="fr-FR"/>
        </w:rPr>
        <w:t>er</w:t>
      </w:r>
      <w:r w:rsidRPr="003B3476">
        <w:rPr>
          <w:lang w:val="fr-FR" w:eastAsia="fr-FR" w:bidi="fr-FR"/>
        </w:rPr>
        <w:t xml:space="preserve"> (817-824) ; on y voit derrière le Christ aux Limbes deux personnages assez peu distincts mais qui semblent bien porter couronne (J. </w:t>
      </w:r>
      <w:r w:rsidRPr="003B3476">
        <w:rPr>
          <w:smallCaps/>
          <w:lang w:val="fr-FR" w:eastAsia="fr-FR" w:bidi="fr-FR"/>
        </w:rPr>
        <w:t>Wil</w:t>
      </w:r>
      <w:r w:rsidRPr="003B3476">
        <w:rPr>
          <w:bCs/>
          <w:smallCaps/>
        </w:rPr>
        <w:t>pert</w:t>
      </w:r>
      <w:r w:rsidRPr="003B3476">
        <w:rPr>
          <w:bCs/>
        </w:rPr>
        <w:t xml:space="preserve">, </w:t>
      </w:r>
      <w:r w:rsidRPr="003B3476">
        <w:rPr>
          <w:rStyle w:val="Notedebasdepage7ptItalique"/>
          <w:b w:val="0"/>
          <w:sz w:val="24"/>
        </w:rPr>
        <w:t>Die römi</w:t>
      </w:r>
      <w:r w:rsidRPr="003B3476">
        <w:rPr>
          <w:rStyle w:val="Notedebasdepage7ptItalique"/>
          <w:b w:val="0"/>
          <w:sz w:val="24"/>
        </w:rPr>
        <w:t>s</w:t>
      </w:r>
      <w:r w:rsidRPr="003B3476">
        <w:rPr>
          <w:rStyle w:val="Notedebasdepage7ptItalique"/>
          <w:b w:val="0"/>
          <w:sz w:val="24"/>
        </w:rPr>
        <w:t>chen Mosaiken und Malereien der kirchlichen Bauten vom IV. bis XIII. Jah</w:t>
      </w:r>
      <w:r w:rsidRPr="003B3476">
        <w:rPr>
          <w:rStyle w:val="Notedebasdepage7ptItalique"/>
          <w:b w:val="0"/>
          <w:sz w:val="24"/>
        </w:rPr>
        <w:t>r</w:t>
      </w:r>
      <w:r w:rsidRPr="003B3476">
        <w:rPr>
          <w:rStyle w:val="Notedebasdepage7ptItalique"/>
          <w:b w:val="0"/>
          <w:sz w:val="24"/>
        </w:rPr>
        <w:t>hundert,</w:t>
      </w:r>
      <w:r w:rsidRPr="003B3476">
        <w:rPr>
          <w:bCs/>
        </w:rPr>
        <w:t xml:space="preserve"> </w:t>
      </w:r>
      <w:r w:rsidRPr="003B3476">
        <w:rPr>
          <w:lang w:val="fr-FR" w:eastAsia="fr-FR" w:bidi="fr-FR"/>
        </w:rPr>
        <w:t>t. II, p. 892). On doit donc se demander si, en éliminant, comme nous allons le voir, à partir du XIII</w:t>
      </w:r>
      <w:r w:rsidRPr="003B3476">
        <w:rPr>
          <w:vertAlign w:val="superscript"/>
          <w:lang w:val="fr-FR" w:eastAsia="fr-FR" w:bidi="fr-FR"/>
        </w:rPr>
        <w:t>e</w:t>
      </w:r>
      <w:r w:rsidRPr="003B3476">
        <w:rPr>
          <w:lang w:val="fr-FR" w:eastAsia="fr-FR" w:bidi="fr-FR"/>
        </w:rPr>
        <w:t xml:space="preserve"> siècle. Salomon du groupe des rois justes, les artistes italiens faisaient preuve d’indépendance seulement vis-à-vis de l’influence byzantine ; n’avaient-ils pas à se dégager aussi de l’emprise d’une tradition proprement latine ? Je ne puis que livrer ce petit problème aux a</w:t>
      </w:r>
      <w:r w:rsidRPr="003B3476">
        <w:rPr>
          <w:lang w:val="fr-FR" w:eastAsia="fr-FR" w:bidi="fr-FR"/>
        </w:rPr>
        <w:t>r</w:t>
      </w:r>
      <w:r w:rsidRPr="003B3476">
        <w:rPr>
          <w:lang w:val="fr-FR" w:eastAsia="fr-FR" w:bidi="fr-FR"/>
        </w:rPr>
        <w:t>chéologues.</w:t>
      </w:r>
    </w:p>
  </w:footnote>
  <w:footnote w:id="1005">
    <w:p w14:paraId="1C26A5F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Pour l’étude comparée des œuvres de </w:t>
      </w:r>
      <w:r w:rsidRPr="003B3476">
        <w:rPr>
          <w:rStyle w:val="Notedebasdepage7ptItalique"/>
          <w:b w:val="0"/>
          <w:sz w:val="24"/>
        </w:rPr>
        <w:t>Barisanus</w:t>
      </w:r>
      <w:r w:rsidRPr="003B3476">
        <w:rPr>
          <w:bCs/>
        </w:rPr>
        <w:t xml:space="preserve"> </w:t>
      </w:r>
      <w:r w:rsidRPr="003B3476">
        <w:rPr>
          <w:lang w:val="fr-FR" w:eastAsia="fr-FR" w:bidi="fr-FR"/>
        </w:rPr>
        <w:t>de Trani et de la porte de Bén</w:t>
      </w:r>
      <w:r w:rsidRPr="003B3476">
        <w:rPr>
          <w:lang w:val="fr-FR" w:eastAsia="fr-FR" w:bidi="fr-FR"/>
        </w:rPr>
        <w:t>é</w:t>
      </w:r>
      <w:r w:rsidRPr="003B3476">
        <w:rPr>
          <w:lang w:val="fr-FR" w:eastAsia="fr-FR" w:bidi="fr-FR"/>
        </w:rPr>
        <w:t xml:space="preserve">vent, </w:t>
      </w:r>
      <w:r w:rsidRPr="003B3476">
        <w:rPr>
          <w:i/>
          <w:lang w:val="fr-FR" w:eastAsia="fr-FR" w:bidi="fr-FR"/>
        </w:rPr>
        <w:t>cf.</w:t>
      </w:r>
      <w:r w:rsidRPr="003B3476">
        <w:rPr>
          <w:lang w:val="fr-FR" w:eastAsia="fr-FR" w:bidi="fr-FR"/>
        </w:rPr>
        <w:t xml:space="preserve"> E. </w:t>
      </w:r>
      <w:r w:rsidRPr="003B3476">
        <w:rPr>
          <w:bCs/>
          <w:smallCaps/>
        </w:rPr>
        <w:t>Bertaux</w:t>
      </w:r>
      <w:r w:rsidRPr="003B3476">
        <w:rPr>
          <w:bCs/>
        </w:rPr>
        <w:t xml:space="preserve">, </w:t>
      </w:r>
      <w:r w:rsidRPr="003B3476">
        <w:rPr>
          <w:rStyle w:val="Notedebasdepage7ptItalique"/>
          <w:b w:val="0"/>
          <w:sz w:val="24"/>
        </w:rPr>
        <w:t>L’art dans l’Italie méridionale</w:t>
      </w:r>
      <w:r w:rsidRPr="003B3476">
        <w:rPr>
          <w:lang w:val="fr-FR" w:eastAsia="fr-FR" w:bidi="fr-FR"/>
        </w:rPr>
        <w:t>, p. 418-423 et 427 ; mais Bertaux, dont l’attention n’avait pas été attirée par le personnage de S</w:t>
      </w:r>
      <w:r w:rsidRPr="003B3476">
        <w:rPr>
          <w:lang w:val="fr-FR" w:eastAsia="fr-FR" w:bidi="fr-FR"/>
        </w:rPr>
        <w:t>a</w:t>
      </w:r>
      <w:r w:rsidRPr="003B3476">
        <w:rPr>
          <w:lang w:val="fr-FR" w:eastAsia="fr-FR" w:bidi="fr-FR"/>
        </w:rPr>
        <w:t>lomon, range, à tort, la représentation de la Descente aux Limbes parmi les scènes où, par e</w:t>
      </w:r>
      <w:r w:rsidRPr="003B3476">
        <w:rPr>
          <w:lang w:val="fr-FR" w:eastAsia="fr-FR" w:bidi="fr-FR"/>
        </w:rPr>
        <w:t>x</w:t>
      </w:r>
      <w:r w:rsidRPr="003B3476">
        <w:rPr>
          <w:lang w:val="fr-FR" w:eastAsia="fr-FR" w:bidi="fr-FR"/>
        </w:rPr>
        <w:t xml:space="preserve">ception, l’artiste de Bénévent se montre encore imitateur exact de l’iconographie byzantine. Reproductions, entre autres : </w:t>
      </w:r>
      <w:r w:rsidRPr="003B3476">
        <w:rPr>
          <w:bCs/>
          <w:smallCaps/>
        </w:rPr>
        <w:t>Monreale</w:t>
      </w:r>
      <w:r w:rsidRPr="003B3476">
        <w:rPr>
          <w:bCs/>
        </w:rPr>
        <w:t xml:space="preserve"> </w:t>
      </w:r>
      <w:r w:rsidRPr="003B3476">
        <w:rPr>
          <w:lang w:val="fr-FR" w:eastAsia="fr-FR" w:bidi="fr-FR"/>
        </w:rPr>
        <w:t xml:space="preserve">et </w:t>
      </w:r>
      <w:r w:rsidRPr="003B3476">
        <w:rPr>
          <w:bCs/>
          <w:smallCaps/>
        </w:rPr>
        <w:t>Rave</w:t>
      </w:r>
      <w:r w:rsidRPr="003B3476">
        <w:rPr>
          <w:bCs/>
          <w:smallCaps/>
        </w:rPr>
        <w:t>l</w:t>
      </w:r>
      <w:r w:rsidRPr="003B3476">
        <w:rPr>
          <w:bCs/>
          <w:smallCaps/>
        </w:rPr>
        <w:t>lo </w:t>
      </w:r>
      <w:r w:rsidRPr="003B3476">
        <w:rPr>
          <w:bCs/>
        </w:rPr>
        <w:t>:</w:t>
      </w:r>
      <w:r w:rsidRPr="003B3476">
        <w:rPr>
          <w:lang w:val="fr-FR" w:eastAsia="fr-FR" w:bidi="fr-FR"/>
        </w:rPr>
        <w:t xml:space="preserve"> Th. </w:t>
      </w:r>
      <w:r w:rsidRPr="003B3476">
        <w:rPr>
          <w:bCs/>
          <w:smallCaps/>
        </w:rPr>
        <w:t>Kutschmann</w:t>
      </w:r>
      <w:r w:rsidRPr="003B3476">
        <w:rPr>
          <w:bCs/>
        </w:rPr>
        <w:t xml:space="preserve">, </w:t>
      </w:r>
      <w:r w:rsidRPr="003B3476">
        <w:rPr>
          <w:rStyle w:val="Notedebasdepage7ptItalique"/>
          <w:b w:val="0"/>
          <w:sz w:val="24"/>
        </w:rPr>
        <w:t>Meisterwerke Saracenisch-Normannischen Kunst</w:t>
      </w:r>
      <w:r w:rsidRPr="003B3476">
        <w:rPr>
          <w:lang w:val="fr-FR" w:eastAsia="fr-FR" w:bidi="fr-FR"/>
        </w:rPr>
        <w:t xml:space="preserve">, pl. 31 et 33 ; ou mieux, </w:t>
      </w:r>
      <w:r w:rsidRPr="003B3476">
        <w:rPr>
          <w:rStyle w:val="Notedebasdepage465ptNonItalique"/>
          <w:b w:val="0"/>
          <w:i w:val="0"/>
          <w:iCs w:val="0"/>
          <w:smallCaps/>
          <w:sz w:val="24"/>
        </w:rPr>
        <w:t>Trani</w:t>
      </w:r>
      <w:r w:rsidRPr="003B3476">
        <w:rPr>
          <w:rStyle w:val="Notedebasdepage465ptNonItalique"/>
          <w:b w:val="0"/>
          <w:i w:val="0"/>
          <w:iCs w:val="0"/>
          <w:sz w:val="24"/>
        </w:rPr>
        <w:t xml:space="preserve"> </w:t>
      </w:r>
      <w:r w:rsidRPr="003B3476">
        <w:rPr>
          <w:rStyle w:val="Notedebasdepage475ptNonItalique"/>
          <w:b w:val="0"/>
          <w:i w:val="0"/>
          <w:iCs w:val="0"/>
          <w:sz w:val="24"/>
        </w:rPr>
        <w:t xml:space="preserve">et </w:t>
      </w:r>
      <w:r w:rsidRPr="003B3476">
        <w:rPr>
          <w:rStyle w:val="Notedebasdepage465ptNonItalique"/>
          <w:b w:val="0"/>
          <w:i w:val="0"/>
          <w:iCs w:val="0"/>
          <w:smallCaps/>
          <w:sz w:val="24"/>
        </w:rPr>
        <w:t>Ravello </w:t>
      </w:r>
      <w:r w:rsidRPr="003B3476">
        <w:rPr>
          <w:rStyle w:val="Notedebasdepage465ptNonItalique"/>
          <w:b w:val="0"/>
          <w:i w:val="0"/>
          <w:iCs w:val="0"/>
          <w:sz w:val="24"/>
        </w:rPr>
        <w:t>:</w:t>
      </w:r>
      <w:r w:rsidRPr="003B3476">
        <w:rPr>
          <w:rStyle w:val="Notedebasdepage475ptNonItalique"/>
          <w:b w:val="0"/>
          <w:i w:val="0"/>
          <w:iCs w:val="0"/>
          <w:sz w:val="24"/>
        </w:rPr>
        <w:t xml:space="preserve"> H. W. </w:t>
      </w:r>
      <w:r w:rsidRPr="003B3476">
        <w:rPr>
          <w:rStyle w:val="Notedebasdepage465ptNonItalique"/>
          <w:b w:val="0"/>
          <w:i w:val="0"/>
          <w:iCs w:val="0"/>
          <w:smallCaps/>
          <w:sz w:val="24"/>
        </w:rPr>
        <w:t>Schulz</w:t>
      </w:r>
      <w:r w:rsidRPr="003B3476">
        <w:rPr>
          <w:rStyle w:val="Notedebasdepage465ptNonItalique"/>
          <w:b w:val="0"/>
          <w:i w:val="0"/>
          <w:iCs w:val="0"/>
          <w:sz w:val="24"/>
        </w:rPr>
        <w:t xml:space="preserve">, </w:t>
      </w:r>
      <w:r w:rsidRPr="003B3476">
        <w:rPr>
          <w:lang w:val="fr-FR" w:eastAsia="fr-FR" w:bidi="fr-FR"/>
        </w:rPr>
        <w:t>Denkm</w:t>
      </w:r>
      <w:r w:rsidRPr="003B3476">
        <w:rPr>
          <w:lang w:val="fr-FR" w:eastAsia="fr-FR" w:bidi="fr-FR"/>
        </w:rPr>
        <w:t>ä</w:t>
      </w:r>
      <w:r w:rsidRPr="003B3476">
        <w:rPr>
          <w:lang w:val="fr-FR" w:eastAsia="fr-FR" w:bidi="fr-FR"/>
        </w:rPr>
        <w:t xml:space="preserve">ler der Kunst des </w:t>
      </w:r>
      <w:r w:rsidRPr="003B3476">
        <w:rPr>
          <w:i/>
          <w:lang w:val="fr-FR" w:eastAsia="fr-FR" w:bidi="fr-FR"/>
        </w:rPr>
        <w:t xml:space="preserve">Mittelalters in Unteritalien, pl. XXIII, 8 ; </w:t>
      </w:r>
      <w:r w:rsidRPr="003B3476">
        <w:rPr>
          <w:smallCaps/>
          <w:lang w:val="fr-FR" w:eastAsia="fr-FR" w:bidi="fr-FR"/>
        </w:rPr>
        <w:t>Bénévent</w:t>
      </w:r>
      <w:r w:rsidRPr="003B3476">
        <w:rPr>
          <w:i/>
          <w:lang w:val="fr-FR" w:eastAsia="fr-FR" w:bidi="fr-FR"/>
        </w:rPr>
        <w:t>, Revue</w:t>
      </w:r>
      <w:r w:rsidRPr="003B3476">
        <w:rPr>
          <w:lang w:val="fr-FR" w:eastAsia="fr-FR" w:bidi="fr-FR"/>
        </w:rPr>
        <w:t xml:space="preserve"> de l’art chrétien, 1907, p. 323.</w:t>
      </w:r>
    </w:p>
  </w:footnote>
  <w:footnote w:id="1006">
    <w:p w14:paraId="11BA381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Fresque reproduite maintes fois ; </w:t>
      </w:r>
      <w:r w:rsidRPr="003B3476">
        <w:rPr>
          <w:rStyle w:val="Notedebasdepage7ptItalique"/>
          <w:b w:val="0"/>
          <w:sz w:val="24"/>
        </w:rPr>
        <w:t>cf.</w:t>
      </w:r>
      <w:r w:rsidRPr="003B3476">
        <w:rPr>
          <w:bCs/>
        </w:rPr>
        <w:t xml:space="preserve"> </w:t>
      </w:r>
      <w:r w:rsidRPr="003B3476">
        <w:rPr>
          <w:lang w:val="fr-FR" w:eastAsia="fr-FR" w:bidi="fr-FR"/>
        </w:rPr>
        <w:t xml:space="preserve">notamment </w:t>
      </w:r>
      <w:r w:rsidRPr="003B3476">
        <w:rPr>
          <w:bCs/>
          <w:smallCaps/>
        </w:rPr>
        <w:t>Kraus</w:t>
      </w:r>
      <w:r w:rsidRPr="003B3476">
        <w:rPr>
          <w:bCs/>
        </w:rPr>
        <w:t xml:space="preserve">, </w:t>
      </w:r>
      <w:r w:rsidRPr="003B3476">
        <w:rPr>
          <w:rStyle w:val="Notedebasdepage7ptItalique"/>
          <w:b w:val="0"/>
          <w:sz w:val="24"/>
        </w:rPr>
        <w:t>Gesch. der chrisl</w:t>
      </w:r>
      <w:r w:rsidRPr="003B3476">
        <w:rPr>
          <w:rStyle w:val="Notedebasdepage7ptItalique"/>
          <w:b w:val="0"/>
          <w:sz w:val="24"/>
        </w:rPr>
        <w:t>i</w:t>
      </w:r>
      <w:r w:rsidRPr="003B3476">
        <w:rPr>
          <w:rStyle w:val="Notedebasdepage7ptItalique"/>
          <w:b w:val="0"/>
          <w:sz w:val="24"/>
        </w:rPr>
        <w:t xml:space="preserve">cher Kunst, </w:t>
      </w:r>
      <w:r w:rsidRPr="003B3476">
        <w:rPr>
          <w:lang w:val="fr-FR" w:eastAsia="fr-FR" w:bidi="fr-FR"/>
        </w:rPr>
        <w:t>t. II, p. 351.</w:t>
      </w:r>
    </w:p>
  </w:footnote>
  <w:footnote w:id="1007">
    <w:p w14:paraId="3005D2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Reproductions : </w:t>
      </w:r>
      <w:r w:rsidRPr="003B3476">
        <w:rPr>
          <w:rStyle w:val="Notedebasdepage7ptItalique"/>
          <w:b w:val="0"/>
          <w:sz w:val="24"/>
        </w:rPr>
        <w:t>Klassiker der Kunst</w:t>
      </w:r>
      <w:r w:rsidRPr="003B3476">
        <w:rPr>
          <w:lang w:val="fr-FR" w:eastAsia="fr-FR" w:bidi="fr-FR"/>
        </w:rPr>
        <w:t>, t. XVIII, p. 124 (Cellule de S. Marco, n° 31) et p. 180 (Portes de l’armoire de S</w:t>
      </w:r>
      <w:r w:rsidRPr="003B3476">
        <w:rPr>
          <w:vertAlign w:val="superscript"/>
          <w:lang w:val="fr-FR" w:eastAsia="fr-FR" w:bidi="fr-FR"/>
        </w:rPr>
        <w:t>ta</w:t>
      </w:r>
      <w:r w:rsidRPr="003B3476">
        <w:rPr>
          <w:lang w:val="fr-FR" w:eastAsia="fr-FR" w:bidi="fr-FR"/>
        </w:rPr>
        <w:t xml:space="preserve"> Annunziata, autrefois à l’Académie, et mai</w:t>
      </w:r>
      <w:r w:rsidRPr="003B3476">
        <w:rPr>
          <w:lang w:val="fr-FR" w:eastAsia="fr-FR" w:bidi="fr-FR"/>
        </w:rPr>
        <w:t>n</w:t>
      </w:r>
      <w:r w:rsidRPr="003B3476">
        <w:rPr>
          <w:lang w:val="fr-FR" w:eastAsia="fr-FR" w:bidi="fr-FR"/>
        </w:rPr>
        <w:t>tenant, je pense, au musée de S. Marco). — Entre 1291 et 1293 Pietro Cavallini peignit sur les murs de la Basilique de Sainte-Cécile à Rome un va</w:t>
      </w:r>
      <w:r w:rsidRPr="003B3476">
        <w:rPr>
          <w:lang w:val="fr-FR" w:eastAsia="fr-FR" w:bidi="fr-FR"/>
        </w:rPr>
        <w:t>s</w:t>
      </w:r>
      <w:r w:rsidRPr="003B3476">
        <w:rPr>
          <w:lang w:val="fr-FR" w:eastAsia="fr-FR" w:bidi="fr-FR"/>
        </w:rPr>
        <w:t>te Jugement Dernier. On y aperçoit parmi les élus deux personnages couro</w:t>
      </w:r>
      <w:r w:rsidRPr="003B3476">
        <w:rPr>
          <w:lang w:val="fr-FR" w:eastAsia="fr-FR" w:bidi="fr-FR"/>
        </w:rPr>
        <w:t>n</w:t>
      </w:r>
      <w:r w:rsidRPr="003B3476">
        <w:rPr>
          <w:lang w:val="fr-FR" w:eastAsia="fr-FR" w:bidi="fr-FR"/>
        </w:rPr>
        <w:t xml:space="preserve">nés, qui sont sans doute David et Salomon (J. </w:t>
      </w:r>
      <w:r w:rsidRPr="003B3476">
        <w:rPr>
          <w:bCs/>
          <w:i/>
        </w:rPr>
        <w:t>Wilpert</w:t>
      </w:r>
      <w:r w:rsidRPr="003B3476">
        <w:rPr>
          <w:bCs/>
        </w:rPr>
        <w:t xml:space="preserve">, </w:t>
      </w:r>
      <w:r w:rsidRPr="003B3476">
        <w:rPr>
          <w:rStyle w:val="Notedebasdepage7ptItalique"/>
          <w:b w:val="0"/>
          <w:sz w:val="24"/>
        </w:rPr>
        <w:t>Die römischen Mosa</w:t>
      </w:r>
      <w:r w:rsidRPr="003B3476">
        <w:rPr>
          <w:rStyle w:val="Notedebasdepage7ptItalique"/>
          <w:b w:val="0"/>
          <w:sz w:val="24"/>
        </w:rPr>
        <w:t>i</w:t>
      </w:r>
      <w:r w:rsidRPr="003B3476">
        <w:rPr>
          <w:rStyle w:val="Notedebasdepage7ptItalique"/>
          <w:b w:val="0"/>
          <w:sz w:val="24"/>
        </w:rPr>
        <w:t>ken une Malereien</w:t>
      </w:r>
      <w:r w:rsidRPr="003B3476">
        <w:rPr>
          <w:lang w:val="fr-FR" w:eastAsia="fr-FR" w:bidi="fr-FR"/>
        </w:rPr>
        <w:t>, t. II, p. 1047). C’était aller contre l’opinion de certains théologiens ; mais, si parmi les personnes qui contemplèrent la fresque dans sa nouveauté, il s’en trouva qui connaissaient la légende rapportée plus haut, e</w:t>
      </w:r>
      <w:r w:rsidRPr="003B3476">
        <w:rPr>
          <w:lang w:val="fr-FR" w:eastAsia="fr-FR" w:bidi="fr-FR"/>
        </w:rPr>
        <w:t>l</w:t>
      </w:r>
      <w:r w:rsidRPr="003B3476">
        <w:rPr>
          <w:lang w:val="fr-FR" w:eastAsia="fr-FR" w:bidi="fr-FR"/>
        </w:rPr>
        <w:t>les ne durent point s’étonner en voyant le Paradis s’ouvrir devant Salomon au jour marqué pour le terme de sa pénitence.</w:t>
      </w:r>
    </w:p>
  </w:footnote>
  <w:footnote w:id="1008">
    <w:p w14:paraId="6A6DED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Evangelia Apocrypha,</w:t>
      </w:r>
      <w:r w:rsidRPr="003B3476">
        <w:rPr>
          <w:bCs/>
        </w:rPr>
        <w:t xml:space="preserve"> </w:t>
      </w:r>
      <w:r w:rsidRPr="003B3476">
        <w:rPr>
          <w:lang w:val="fr-FR" w:eastAsia="fr-FR" w:bidi="fr-FR"/>
        </w:rPr>
        <w:t xml:space="preserve">éd. </w:t>
      </w:r>
      <w:r w:rsidRPr="003B3476">
        <w:rPr>
          <w:bCs/>
          <w:smallCaps/>
        </w:rPr>
        <w:t>Tischendorf</w:t>
      </w:r>
      <w:r w:rsidRPr="003B3476">
        <w:rPr>
          <w:bCs/>
        </w:rPr>
        <w:t xml:space="preserve">, </w:t>
      </w:r>
      <w:r w:rsidRPr="003B3476">
        <w:rPr>
          <w:rStyle w:val="NotedebasdepageItaliqueEspacement1pt"/>
          <w:b w:val="0"/>
          <w:sz w:val="24"/>
        </w:rPr>
        <w:t xml:space="preserve">Eu. </w:t>
      </w:r>
      <w:r w:rsidRPr="003B3476">
        <w:rPr>
          <w:rStyle w:val="Notedebasdepage7ptItalique"/>
          <w:b w:val="0"/>
          <w:sz w:val="24"/>
        </w:rPr>
        <w:t>Nicodemi,</w:t>
      </w:r>
      <w:r w:rsidRPr="003B3476">
        <w:rPr>
          <w:bCs/>
        </w:rPr>
        <w:t xml:space="preserve"> </w:t>
      </w:r>
      <w:r w:rsidRPr="003B3476">
        <w:rPr>
          <w:lang w:val="fr-FR" w:eastAsia="fr-FR" w:bidi="fr-FR"/>
        </w:rPr>
        <w:t xml:space="preserve">pars II, A, c. V et VIII (p. 397, 398, 403), B, c. VI et VII (p. 427, 428) ; </w:t>
      </w:r>
      <w:r w:rsidRPr="003B3476">
        <w:rPr>
          <w:rStyle w:val="Notedebasdepage7ptItalique"/>
          <w:b w:val="0"/>
          <w:sz w:val="24"/>
        </w:rPr>
        <w:t>cf.</w:t>
      </w:r>
      <w:r w:rsidRPr="003B3476">
        <w:rPr>
          <w:bCs/>
        </w:rPr>
        <w:t xml:space="preserve"> </w:t>
      </w:r>
      <w:r w:rsidRPr="003B3476">
        <w:rPr>
          <w:lang w:val="fr-FR" w:eastAsia="fr-FR" w:bidi="fr-FR"/>
        </w:rPr>
        <w:t xml:space="preserve">le texte grec c. V, </w:t>
      </w:r>
      <w:r w:rsidRPr="003B3476">
        <w:rPr>
          <w:rStyle w:val="Notedebasdepage7ptItalique"/>
          <w:b w:val="0"/>
          <w:sz w:val="24"/>
        </w:rPr>
        <w:t>ibid.,</w:t>
      </w:r>
      <w:r w:rsidRPr="003B3476">
        <w:rPr>
          <w:bCs/>
        </w:rPr>
        <w:t xml:space="preserve"> </w:t>
      </w:r>
      <w:r w:rsidRPr="003B3476">
        <w:rPr>
          <w:lang w:val="fr-FR" w:eastAsia="fr-FR" w:bidi="fr-FR"/>
        </w:rPr>
        <w:t xml:space="preserve">p. 328. </w:t>
      </w:r>
      <w:r w:rsidRPr="003B3476">
        <w:rPr>
          <w:rStyle w:val="Notedebasdepage7ptItalique"/>
          <w:b w:val="0"/>
          <w:sz w:val="24"/>
        </w:rPr>
        <w:t>Cf.</w:t>
      </w:r>
      <w:r w:rsidRPr="003B3476">
        <w:rPr>
          <w:bCs/>
        </w:rPr>
        <w:t xml:space="preserve"> </w:t>
      </w:r>
      <w:r w:rsidRPr="003B3476">
        <w:rPr>
          <w:lang w:val="fr-FR" w:eastAsia="fr-FR" w:bidi="fr-FR"/>
        </w:rPr>
        <w:t>aussi la liste des Justes de l’Ancienne Loi, sauvés par le R</w:t>
      </w:r>
      <w:r w:rsidRPr="003B3476">
        <w:rPr>
          <w:lang w:val="fr-FR" w:eastAsia="fr-FR" w:bidi="fr-FR"/>
        </w:rPr>
        <w:t>é</w:t>
      </w:r>
      <w:r w:rsidRPr="003B3476">
        <w:rPr>
          <w:lang w:val="fr-FR" w:eastAsia="fr-FR" w:bidi="fr-FR"/>
        </w:rPr>
        <w:t xml:space="preserve">dempteur, que donne S. Cyrille de Jérusalem, Catéchèse, XIV </w:t>
      </w:r>
      <w:r w:rsidRPr="003B3476">
        <w:rPr>
          <w:bCs/>
        </w:rPr>
        <w:t>(</w:t>
      </w:r>
      <w:r w:rsidRPr="003B3476">
        <w:rPr>
          <w:bCs/>
          <w:smallCaps/>
        </w:rPr>
        <w:t>Migne</w:t>
      </w:r>
      <w:r w:rsidRPr="003B3476">
        <w:rPr>
          <w:bCs/>
        </w:rPr>
        <w:t xml:space="preserve">, </w:t>
      </w:r>
      <w:r w:rsidRPr="003B3476">
        <w:rPr>
          <w:rStyle w:val="Notedebasdepage7ptItalique"/>
          <w:b w:val="0"/>
          <w:sz w:val="24"/>
        </w:rPr>
        <w:t>P. G.,</w:t>
      </w:r>
      <w:r w:rsidRPr="003B3476">
        <w:rPr>
          <w:bCs/>
        </w:rPr>
        <w:t xml:space="preserve"> </w:t>
      </w:r>
      <w:r w:rsidRPr="003B3476">
        <w:rPr>
          <w:lang w:val="fr-FR" w:eastAsia="fr-FR" w:bidi="fr-FR"/>
        </w:rPr>
        <w:t>t. 33, col. 849) ; Salomon n’y figure point.</w:t>
      </w:r>
    </w:p>
  </w:footnote>
  <w:footnote w:id="1009">
    <w:p w14:paraId="163F71F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lang w:val="fr-FR" w:eastAsia="fr-FR" w:bidi="fr-FR"/>
        </w:rPr>
        <w:t xml:space="preserve"> </w:t>
      </w:r>
      <w:r w:rsidRPr="003B3476">
        <w:rPr>
          <w:i/>
          <w:lang w:val="fr-FR" w:eastAsia="fr-FR" w:bidi="fr-FR"/>
        </w:rPr>
        <w:t>Passion de Semur</w:t>
      </w:r>
      <w:r w:rsidRPr="003B3476">
        <w:rPr>
          <w:rStyle w:val="Notedebasdepage475ptNonItalique"/>
          <w:b w:val="0"/>
          <w:i w:val="0"/>
          <w:iCs w:val="0"/>
          <w:sz w:val="24"/>
        </w:rPr>
        <w:t xml:space="preserve">, dans E. </w:t>
      </w:r>
      <w:r w:rsidRPr="003B3476">
        <w:rPr>
          <w:rStyle w:val="Notedebasdepage465ptNonItalique"/>
          <w:b w:val="0"/>
          <w:i w:val="0"/>
          <w:iCs w:val="0"/>
          <w:smallCaps/>
          <w:sz w:val="24"/>
        </w:rPr>
        <w:t>Roy</w:t>
      </w:r>
      <w:r w:rsidRPr="003B3476">
        <w:rPr>
          <w:rStyle w:val="Notedebasdepage465ptNonItalique"/>
          <w:b w:val="0"/>
          <w:i w:val="0"/>
          <w:iCs w:val="0"/>
          <w:sz w:val="24"/>
        </w:rPr>
        <w:t xml:space="preserve">, </w:t>
      </w:r>
      <w:r w:rsidRPr="003B3476">
        <w:rPr>
          <w:i/>
          <w:lang w:val="fr-FR" w:eastAsia="fr-FR" w:bidi="fr-FR"/>
        </w:rPr>
        <w:t>Le mystère de la Passion en France du XIV</w:t>
      </w:r>
      <w:r w:rsidRPr="003B3476">
        <w:rPr>
          <w:i/>
          <w:vertAlign w:val="superscript"/>
          <w:lang w:val="fr-FR" w:eastAsia="fr-FR" w:bidi="fr-FR"/>
        </w:rPr>
        <w:t>e</w:t>
      </w:r>
      <w:r w:rsidRPr="003B3476">
        <w:rPr>
          <w:i/>
          <w:lang w:val="fr-FR" w:eastAsia="fr-FR" w:bidi="fr-FR"/>
        </w:rPr>
        <w:t xml:space="preserve"> au XVI</w:t>
      </w:r>
      <w:r w:rsidRPr="003B3476">
        <w:rPr>
          <w:i/>
          <w:vertAlign w:val="superscript"/>
          <w:lang w:val="fr-FR" w:eastAsia="fr-FR" w:bidi="fr-FR"/>
        </w:rPr>
        <w:t>e</w:t>
      </w:r>
      <w:r w:rsidRPr="003B3476">
        <w:rPr>
          <w:i/>
          <w:lang w:val="fr-FR" w:eastAsia="fr-FR" w:bidi="fr-FR"/>
        </w:rPr>
        <w:t xml:space="preserve"> siècle</w:t>
      </w:r>
      <w:r w:rsidRPr="003B3476">
        <w:rPr>
          <w:lang w:val="fr-FR" w:eastAsia="fr-FR" w:bidi="fr-FR"/>
        </w:rPr>
        <w:t xml:space="preserve"> </w:t>
      </w:r>
      <w:r w:rsidRPr="003B3476">
        <w:rPr>
          <w:rStyle w:val="Notedebasdepage475ptEspacement1pt"/>
          <w:b w:val="0"/>
          <w:sz w:val="24"/>
        </w:rPr>
        <w:t>(</w:t>
      </w:r>
      <w:r w:rsidRPr="003B3476">
        <w:rPr>
          <w:lang w:val="fr-FR" w:eastAsia="fr-FR" w:bidi="fr-FR"/>
        </w:rPr>
        <w:t>Revue bourguignonne</w:t>
      </w:r>
      <w:r w:rsidRPr="003B3476">
        <w:rPr>
          <w:rStyle w:val="Notedebasdepage48ptNonItalique"/>
          <w:b w:val="0"/>
          <w:i w:val="0"/>
          <w:iCs w:val="0"/>
          <w:sz w:val="24"/>
        </w:rPr>
        <w:t xml:space="preserve"> </w:t>
      </w:r>
      <w:r w:rsidRPr="003B3476">
        <w:rPr>
          <w:rStyle w:val="Notedebasdepage475ptNonItalique"/>
          <w:b w:val="0"/>
          <w:i w:val="0"/>
          <w:iCs w:val="0"/>
          <w:sz w:val="24"/>
        </w:rPr>
        <w:t xml:space="preserve">[t. XIII 3 et </w:t>
      </w:r>
      <w:r w:rsidRPr="003B3476">
        <w:rPr>
          <w:bCs/>
        </w:rPr>
        <w:t xml:space="preserve">4], </w:t>
      </w:r>
      <w:r w:rsidRPr="003B3476">
        <w:rPr>
          <w:rStyle w:val="Notedebasdepage475ptNonItalique"/>
          <w:b w:val="0"/>
          <w:i w:val="0"/>
          <w:iCs w:val="0"/>
          <w:sz w:val="24"/>
        </w:rPr>
        <w:t xml:space="preserve">p. 171 et suiv.) ; </w:t>
      </w:r>
      <w:r w:rsidRPr="003B3476">
        <w:rPr>
          <w:i/>
          <w:lang w:val="fr-FR" w:eastAsia="fr-FR" w:bidi="fr-FR"/>
        </w:rPr>
        <w:t>La Passion Nostre Seigneur</w:t>
      </w:r>
      <w:r w:rsidRPr="003B3476">
        <w:rPr>
          <w:rStyle w:val="Notedebasdepage475ptNonItalique"/>
          <w:b w:val="0"/>
          <w:i w:val="0"/>
          <w:iCs w:val="0"/>
          <w:sz w:val="24"/>
        </w:rPr>
        <w:t xml:space="preserve">, dans A. </w:t>
      </w:r>
      <w:r w:rsidRPr="003B3476">
        <w:rPr>
          <w:rStyle w:val="Notedebasdepage465ptNonItalique"/>
          <w:b w:val="0"/>
          <w:i w:val="0"/>
          <w:iCs w:val="0"/>
          <w:sz w:val="24"/>
        </w:rPr>
        <w:t xml:space="preserve">Jubinal, </w:t>
      </w:r>
      <w:r w:rsidRPr="003B3476">
        <w:rPr>
          <w:i/>
          <w:lang w:val="fr-FR" w:eastAsia="fr-FR" w:bidi="fr-FR"/>
        </w:rPr>
        <w:t>Mystères inédits du XV</w:t>
      </w:r>
      <w:r w:rsidRPr="003B3476">
        <w:rPr>
          <w:i/>
          <w:vertAlign w:val="superscript"/>
          <w:lang w:val="fr-FR" w:eastAsia="fr-FR" w:bidi="fr-FR"/>
        </w:rPr>
        <w:t>e</w:t>
      </w:r>
      <w:r w:rsidRPr="003B3476">
        <w:rPr>
          <w:i/>
          <w:lang w:val="fr-FR" w:eastAsia="fr-FR" w:bidi="fr-FR"/>
        </w:rPr>
        <w:t xml:space="preserve"> siècle</w:t>
      </w:r>
      <w:r w:rsidRPr="003B3476">
        <w:rPr>
          <w:rStyle w:val="Notedebasdepage475ptNonItalique"/>
          <w:b w:val="0"/>
          <w:i w:val="0"/>
          <w:iCs w:val="0"/>
          <w:sz w:val="24"/>
        </w:rPr>
        <w:t xml:space="preserve">, t. II, p. 292 et suiv. ; </w:t>
      </w:r>
      <w:r w:rsidRPr="003B3476">
        <w:rPr>
          <w:i/>
          <w:lang w:val="fr-FR" w:eastAsia="fr-FR" w:bidi="fr-FR"/>
        </w:rPr>
        <w:t>Mistere de la Résurrection</w:t>
      </w:r>
      <w:r w:rsidRPr="003B3476">
        <w:rPr>
          <w:rStyle w:val="Notedebasdepage475ptNonItalique"/>
          <w:b w:val="0"/>
          <w:i w:val="0"/>
          <w:iCs w:val="0"/>
          <w:sz w:val="24"/>
        </w:rPr>
        <w:t xml:space="preserve">, attribué faussement à Jean Michel, in-4°, Paris, A. Vérard, s. d. (Bibl. Nat. Rés., Yf, 15) ; Arnoul </w:t>
      </w:r>
      <w:r w:rsidRPr="003B3476">
        <w:rPr>
          <w:rStyle w:val="Notedebasdepage465ptNonItalique"/>
          <w:b w:val="0"/>
          <w:i w:val="0"/>
          <w:iCs w:val="0"/>
          <w:sz w:val="24"/>
        </w:rPr>
        <w:t xml:space="preserve">Gréban, </w:t>
      </w:r>
      <w:r w:rsidRPr="003B3476">
        <w:rPr>
          <w:i/>
          <w:lang w:val="fr-FR" w:eastAsia="fr-FR" w:bidi="fr-FR"/>
        </w:rPr>
        <w:t>Le my</w:t>
      </w:r>
      <w:r w:rsidRPr="003B3476">
        <w:rPr>
          <w:i/>
          <w:lang w:val="fr-FR" w:eastAsia="fr-FR" w:bidi="fr-FR"/>
        </w:rPr>
        <w:t>s</w:t>
      </w:r>
      <w:r w:rsidRPr="003B3476">
        <w:rPr>
          <w:i/>
          <w:lang w:val="fr-FR" w:eastAsia="fr-FR" w:bidi="fr-FR"/>
        </w:rPr>
        <w:t>tère de la Passion</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éd. G. </w:t>
      </w:r>
      <w:r w:rsidRPr="003B3476">
        <w:rPr>
          <w:rStyle w:val="Notedebasdepage465ptNonItalique"/>
          <w:b w:val="0"/>
          <w:i w:val="0"/>
          <w:iCs w:val="0"/>
          <w:smallCaps/>
          <w:sz w:val="24"/>
        </w:rPr>
        <w:t>Paris</w:t>
      </w:r>
      <w:r w:rsidRPr="003B3476">
        <w:rPr>
          <w:rStyle w:val="Notedebasdepage465ptNonItalique"/>
          <w:b w:val="0"/>
          <w:i w:val="0"/>
          <w:iCs w:val="0"/>
          <w:sz w:val="24"/>
        </w:rPr>
        <w:t xml:space="preserve"> </w:t>
      </w:r>
      <w:r w:rsidRPr="003B3476">
        <w:rPr>
          <w:rStyle w:val="Notedebasdepage475ptNonItalique"/>
          <w:b w:val="0"/>
          <w:i w:val="0"/>
          <w:iCs w:val="0"/>
          <w:sz w:val="24"/>
        </w:rPr>
        <w:t xml:space="preserve">et G. </w:t>
      </w:r>
      <w:r w:rsidRPr="003B3476">
        <w:rPr>
          <w:rStyle w:val="Notedebasdepage465ptNonItalique"/>
          <w:b w:val="0"/>
          <w:i w:val="0"/>
          <w:iCs w:val="0"/>
          <w:smallCaps/>
          <w:sz w:val="24"/>
        </w:rPr>
        <w:t>Raynaud</w:t>
      </w:r>
      <w:r w:rsidRPr="003B3476">
        <w:rPr>
          <w:rStyle w:val="Notedebasdepage465ptNonItalique"/>
          <w:b w:val="0"/>
          <w:i w:val="0"/>
          <w:iCs w:val="0"/>
          <w:sz w:val="24"/>
        </w:rPr>
        <w:t xml:space="preserve">, </w:t>
      </w:r>
      <w:r w:rsidRPr="003B3476">
        <w:rPr>
          <w:rStyle w:val="Notedebasdepage475ptNonItalique"/>
          <w:b w:val="0"/>
          <w:i w:val="0"/>
          <w:iCs w:val="0"/>
          <w:sz w:val="24"/>
        </w:rPr>
        <w:t>p. 342 et suiv. ; G. </w:t>
      </w:r>
      <w:r w:rsidRPr="003B3476">
        <w:rPr>
          <w:rStyle w:val="Notedebasdepage465ptNonItalique"/>
          <w:b w:val="0"/>
          <w:i w:val="0"/>
          <w:iCs w:val="0"/>
          <w:smallCaps/>
          <w:sz w:val="24"/>
        </w:rPr>
        <w:t>Cohen</w:t>
      </w:r>
      <w:r w:rsidRPr="003B3476">
        <w:rPr>
          <w:rStyle w:val="Notedebasdepage465ptNonItalique"/>
          <w:b w:val="0"/>
          <w:i w:val="0"/>
          <w:iCs w:val="0"/>
          <w:sz w:val="24"/>
        </w:rPr>
        <w:t xml:space="preserve">, </w:t>
      </w:r>
      <w:r w:rsidRPr="003B3476">
        <w:rPr>
          <w:i/>
          <w:lang w:val="fr-FR" w:eastAsia="fr-FR" w:bidi="fr-FR"/>
        </w:rPr>
        <w:t>Le livre de conduite du régisseur... pour le mystère de la Passion</w:t>
      </w:r>
      <w:r w:rsidRPr="003B3476">
        <w:rPr>
          <w:rStyle w:val="Notedebasdepage48ptNonItalique"/>
          <w:b w:val="0"/>
          <w:i w:val="0"/>
          <w:iCs w:val="0"/>
          <w:sz w:val="24"/>
        </w:rPr>
        <w:t xml:space="preserve"> </w:t>
      </w:r>
      <w:r w:rsidRPr="003B3476">
        <w:rPr>
          <w:rStyle w:val="Notedebasdepage475ptNonItalique"/>
          <w:b w:val="0"/>
          <w:i w:val="0"/>
          <w:iCs w:val="0"/>
          <w:sz w:val="24"/>
        </w:rPr>
        <w:t>(Public</w:t>
      </w:r>
      <w:r w:rsidRPr="003B3476">
        <w:rPr>
          <w:rStyle w:val="Notedebasdepage475ptNonItalique"/>
          <w:b w:val="0"/>
          <w:i w:val="0"/>
          <w:iCs w:val="0"/>
          <w:sz w:val="24"/>
        </w:rPr>
        <w:t>a</w:t>
      </w:r>
      <w:r w:rsidRPr="003B3476">
        <w:rPr>
          <w:rStyle w:val="Notedebasdepage475ptNonItalique"/>
          <w:b w:val="0"/>
          <w:i w:val="0"/>
          <w:iCs w:val="0"/>
          <w:sz w:val="24"/>
        </w:rPr>
        <w:t>tions de la Fac. des Lettres de Strasbourg), p. 383 et suiv. — </w:t>
      </w:r>
      <w:r w:rsidRPr="003B3476">
        <w:rPr>
          <w:i/>
          <w:lang w:val="fr-FR" w:eastAsia="fr-FR" w:bidi="fr-FR"/>
        </w:rPr>
        <w:t>Rappresentazione di Gesù Cristo</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dans A. d’ANCONA, </w:t>
      </w:r>
      <w:r w:rsidRPr="003B3476">
        <w:rPr>
          <w:i/>
          <w:lang w:val="fr-FR" w:eastAsia="fr-FR" w:bidi="fr-FR"/>
        </w:rPr>
        <w:t>Sacre reppresent</w:t>
      </w:r>
      <w:r w:rsidRPr="003B3476">
        <w:rPr>
          <w:i/>
          <w:lang w:val="fr-FR" w:eastAsia="fr-FR" w:bidi="fr-FR"/>
        </w:rPr>
        <w:t>a</w:t>
      </w:r>
      <w:r w:rsidRPr="003B3476">
        <w:rPr>
          <w:i/>
          <w:lang w:val="fr-FR" w:eastAsia="fr-FR" w:bidi="fr-FR"/>
        </w:rPr>
        <w:t>zioni</w:t>
      </w:r>
      <w:r w:rsidRPr="003B3476">
        <w:rPr>
          <w:rStyle w:val="Notedebasdepage475ptNonItalique"/>
          <w:b w:val="0"/>
          <w:i w:val="0"/>
          <w:iCs w:val="0"/>
          <w:sz w:val="24"/>
        </w:rPr>
        <w:t>, t. I, p. 332 et suiv. — </w:t>
      </w:r>
      <w:r w:rsidRPr="003B3476">
        <w:rPr>
          <w:i/>
          <w:lang w:val="fr-FR" w:eastAsia="fr-FR" w:bidi="fr-FR"/>
        </w:rPr>
        <w:t>The middle-english Harrowing of the Hell</w:t>
      </w:r>
      <w:r w:rsidRPr="003B3476">
        <w:rPr>
          <w:rStyle w:val="Notedebasdepage48ptNonItalique"/>
          <w:b w:val="0"/>
          <w:i w:val="0"/>
          <w:iCs w:val="0"/>
          <w:sz w:val="24"/>
        </w:rPr>
        <w:t xml:space="preserve"> </w:t>
      </w:r>
      <w:r w:rsidRPr="003B3476">
        <w:rPr>
          <w:lang w:val="fr-FR" w:eastAsia="fr-FR" w:bidi="fr-FR"/>
        </w:rPr>
        <w:t>(</w:t>
      </w:r>
      <w:r w:rsidRPr="003B3476">
        <w:rPr>
          <w:i/>
          <w:lang w:val="fr-FR" w:eastAsia="fr-FR" w:bidi="fr-FR"/>
        </w:rPr>
        <w:t>Early English Texts Society</w:t>
      </w:r>
      <w:r w:rsidRPr="003B3476">
        <w:rPr>
          <w:lang w:val="fr-FR" w:eastAsia="fr-FR" w:bidi="fr-FR"/>
        </w:rPr>
        <w:t>, Extra Series</w:t>
      </w:r>
      <w:r w:rsidRPr="003B3476">
        <w:rPr>
          <w:rStyle w:val="Notedebasdepage475ptNonItalique"/>
          <w:b w:val="0"/>
          <w:i w:val="0"/>
          <w:iCs w:val="0"/>
          <w:sz w:val="24"/>
        </w:rPr>
        <w:t xml:space="preserve">, 100) ; </w:t>
      </w:r>
      <w:r w:rsidRPr="003B3476">
        <w:rPr>
          <w:i/>
          <w:lang w:val="fr-FR" w:eastAsia="fr-FR" w:bidi="fr-FR"/>
        </w:rPr>
        <w:t>The Towneley Plays</w:t>
      </w:r>
      <w:r w:rsidRPr="003B3476">
        <w:rPr>
          <w:lang w:val="fr-FR" w:eastAsia="fr-FR" w:bidi="fr-FR"/>
        </w:rPr>
        <w:t xml:space="preserve"> (Ibid.,</w:t>
      </w:r>
      <w:r w:rsidRPr="003B3476">
        <w:rPr>
          <w:rStyle w:val="Notedebasdepage48ptNonItalique"/>
          <w:b w:val="0"/>
          <w:i w:val="0"/>
          <w:iCs w:val="0"/>
          <w:sz w:val="24"/>
        </w:rPr>
        <w:t xml:space="preserve"> </w:t>
      </w:r>
      <w:r w:rsidRPr="003B3476">
        <w:rPr>
          <w:rStyle w:val="Notedebasdepage475ptNonItalique"/>
          <w:b w:val="0"/>
          <w:i w:val="0"/>
          <w:iCs w:val="0"/>
          <w:sz w:val="24"/>
        </w:rPr>
        <w:t xml:space="preserve">71), XXV ; </w:t>
      </w:r>
      <w:r w:rsidRPr="003B3476">
        <w:rPr>
          <w:i/>
          <w:lang w:val="fr-FR" w:eastAsia="fr-FR" w:bidi="fr-FR"/>
        </w:rPr>
        <w:t>L</w:t>
      </w:r>
      <w:r w:rsidRPr="003B3476">
        <w:rPr>
          <w:i/>
          <w:lang w:val="fr-FR" w:eastAsia="fr-FR" w:bidi="fr-FR"/>
        </w:rPr>
        <w:t>u</w:t>
      </w:r>
      <w:r w:rsidRPr="003B3476">
        <w:rPr>
          <w:i/>
          <w:lang w:val="fr-FR" w:eastAsia="fr-FR" w:bidi="fr-FR"/>
        </w:rPr>
        <w:t>dus Coventriae</w:t>
      </w:r>
      <w:r w:rsidRPr="003B3476">
        <w:rPr>
          <w:rStyle w:val="Notedebasdepage475ptNonItalique"/>
          <w:b w:val="0"/>
          <w:i w:val="0"/>
          <w:iCs w:val="0"/>
          <w:sz w:val="24"/>
        </w:rPr>
        <w:t xml:space="preserve">, éd. </w:t>
      </w:r>
      <w:r w:rsidRPr="003B3476">
        <w:rPr>
          <w:rStyle w:val="Notedebasdepage465ptNonItalique"/>
          <w:b w:val="0"/>
          <w:i w:val="0"/>
          <w:iCs w:val="0"/>
          <w:smallCaps/>
          <w:sz w:val="24"/>
        </w:rPr>
        <w:t>Halliwell</w:t>
      </w:r>
      <w:r w:rsidRPr="003B3476">
        <w:rPr>
          <w:rStyle w:val="Notedebasdepage465ptNonItalique"/>
          <w:b w:val="0"/>
          <w:i w:val="0"/>
          <w:iCs w:val="0"/>
          <w:sz w:val="24"/>
        </w:rPr>
        <w:t xml:space="preserve"> </w:t>
      </w:r>
      <w:r w:rsidRPr="003B3476">
        <w:rPr>
          <w:lang w:val="fr-FR" w:eastAsia="fr-FR" w:bidi="fr-FR"/>
        </w:rPr>
        <w:t>(</w:t>
      </w:r>
      <w:r w:rsidRPr="003B3476">
        <w:rPr>
          <w:i/>
          <w:lang w:val="fr-FR" w:eastAsia="fr-FR" w:bidi="fr-FR"/>
        </w:rPr>
        <w:t>The Shakespeare Society</w:t>
      </w:r>
      <w:r w:rsidRPr="003B3476">
        <w:rPr>
          <w:rStyle w:val="Notedebasdepage475ptNonItalique"/>
          <w:b w:val="0"/>
          <w:i w:val="0"/>
          <w:iCs w:val="0"/>
          <w:sz w:val="24"/>
        </w:rPr>
        <w:t xml:space="preserve">, 1841), p. 344 et suiv. ; </w:t>
      </w:r>
      <w:r w:rsidRPr="003B3476">
        <w:rPr>
          <w:i/>
          <w:lang w:val="fr-FR" w:eastAsia="fr-FR" w:bidi="fr-FR"/>
        </w:rPr>
        <w:t>The Chester Plays</w:t>
      </w:r>
      <w:r w:rsidRPr="003B3476">
        <w:rPr>
          <w:rStyle w:val="Notedebasdepage475ptNonItalique"/>
          <w:b w:val="0"/>
          <w:i w:val="0"/>
          <w:iCs w:val="0"/>
          <w:sz w:val="24"/>
        </w:rPr>
        <w:t xml:space="preserve">, éd. </w:t>
      </w:r>
      <w:r w:rsidRPr="003B3476">
        <w:rPr>
          <w:rStyle w:val="Notedebasdepage475ptNonItalique"/>
          <w:b w:val="0"/>
          <w:i w:val="0"/>
          <w:iCs w:val="0"/>
          <w:smallCaps/>
          <w:sz w:val="24"/>
        </w:rPr>
        <w:t>Wright</w:t>
      </w:r>
      <w:r w:rsidRPr="003B3476">
        <w:rPr>
          <w:rStyle w:val="Notedebasdepage475ptNonItalique"/>
          <w:b w:val="0"/>
          <w:i w:val="0"/>
          <w:iCs w:val="0"/>
          <w:sz w:val="24"/>
        </w:rPr>
        <w:t xml:space="preserve">, I. II, </w:t>
      </w:r>
      <w:r w:rsidRPr="003B3476">
        <w:rPr>
          <w:lang w:val="fr-FR" w:eastAsia="fr-FR" w:bidi="fr-FR"/>
        </w:rPr>
        <w:t>(</w:t>
      </w:r>
      <w:r w:rsidRPr="003B3476">
        <w:rPr>
          <w:i/>
          <w:lang w:val="fr-FR" w:eastAsia="fr-FR" w:bidi="fr-FR"/>
        </w:rPr>
        <w:t>Ibid</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1847), p. 71 et suiv. ; </w:t>
      </w:r>
      <w:r w:rsidRPr="003B3476">
        <w:rPr>
          <w:i/>
          <w:lang w:val="fr-FR" w:eastAsia="fr-FR" w:bidi="fr-FR"/>
        </w:rPr>
        <w:t>York Plays</w:t>
      </w:r>
      <w:r w:rsidRPr="003B3476">
        <w:rPr>
          <w:rStyle w:val="Notedebasdepage475ptNonItalique"/>
          <w:b w:val="0"/>
          <w:i w:val="0"/>
          <w:iCs w:val="0"/>
          <w:sz w:val="24"/>
        </w:rPr>
        <w:t xml:space="preserve">, éd. L. </w:t>
      </w:r>
      <w:r w:rsidRPr="003B3476">
        <w:rPr>
          <w:rStyle w:val="Notedebasdepage465ptNonItalique"/>
          <w:b w:val="0"/>
          <w:i w:val="0"/>
          <w:iCs w:val="0"/>
          <w:smallCaps/>
          <w:sz w:val="24"/>
        </w:rPr>
        <w:t>Toulmin Smith</w:t>
      </w:r>
      <w:r w:rsidRPr="003B3476">
        <w:rPr>
          <w:rStyle w:val="Notedebasdepage465ptNonItalique"/>
          <w:b w:val="0"/>
          <w:i w:val="0"/>
          <w:iCs w:val="0"/>
          <w:sz w:val="24"/>
        </w:rPr>
        <w:t xml:space="preserve">, </w:t>
      </w:r>
      <w:r w:rsidRPr="003B3476">
        <w:rPr>
          <w:rStyle w:val="Notedebasdepage475ptNonItalique"/>
          <w:b w:val="0"/>
          <w:i w:val="0"/>
          <w:iCs w:val="0"/>
          <w:sz w:val="24"/>
        </w:rPr>
        <w:t>p. 372</w:t>
      </w:r>
      <w:r w:rsidRPr="003B3476">
        <w:rPr>
          <w:lang w:eastAsia="fr-FR" w:bidi="fr-FR"/>
        </w:rPr>
        <w:t xml:space="preserve"> et suiv. (et comparer </w:t>
      </w:r>
      <w:r w:rsidRPr="003B3476">
        <w:rPr>
          <w:bCs/>
          <w:i/>
          <w:iCs/>
          <w:color w:val="auto"/>
        </w:rPr>
        <w:t>The Harr</w:t>
      </w:r>
      <w:r w:rsidRPr="003B3476">
        <w:rPr>
          <w:bCs/>
          <w:i/>
          <w:iCs/>
          <w:color w:val="auto"/>
        </w:rPr>
        <w:t>o</w:t>
      </w:r>
      <w:r w:rsidRPr="003B3476">
        <w:rPr>
          <w:bCs/>
          <w:i/>
          <w:iCs/>
          <w:color w:val="auto"/>
        </w:rPr>
        <w:t>wing of Hell, Das altenglische Spiel von Christi H</w:t>
      </w:r>
      <w:r w:rsidRPr="003B3476">
        <w:rPr>
          <w:bCs/>
          <w:i/>
          <w:iCs/>
        </w:rPr>
        <w:t>ö</w:t>
      </w:r>
      <w:r w:rsidRPr="003B3476">
        <w:rPr>
          <w:bCs/>
          <w:i/>
          <w:iCs/>
          <w:color w:val="auto"/>
        </w:rPr>
        <w:t>lle</w:t>
      </w:r>
      <w:r w:rsidRPr="003B3476">
        <w:rPr>
          <w:bCs/>
          <w:i/>
          <w:iCs/>
          <w:color w:val="auto"/>
        </w:rPr>
        <w:t>n</w:t>
      </w:r>
      <w:r w:rsidRPr="003B3476">
        <w:rPr>
          <w:bCs/>
          <w:i/>
          <w:iCs/>
          <w:color w:val="auto"/>
        </w:rPr>
        <w:t>fahrt,</w:t>
      </w:r>
      <w:r w:rsidRPr="003B3476">
        <w:rPr>
          <w:b/>
          <w:bCs/>
          <w:i/>
          <w:iCs/>
          <w:color w:val="auto"/>
        </w:rPr>
        <w:t xml:space="preserve"> </w:t>
      </w:r>
      <w:r w:rsidRPr="003B3476">
        <w:rPr>
          <w:lang w:eastAsia="fr-FR" w:bidi="fr-FR"/>
        </w:rPr>
        <w:t xml:space="preserve">éd. E. </w:t>
      </w:r>
      <w:r w:rsidRPr="003B3476">
        <w:rPr>
          <w:smallCaps/>
          <w:lang w:eastAsia="fr-FR" w:bidi="fr-FR"/>
        </w:rPr>
        <w:t>Mall</w:t>
      </w:r>
      <w:r w:rsidRPr="003B3476">
        <w:rPr>
          <w:lang w:eastAsia="fr-FR" w:bidi="fr-FR"/>
        </w:rPr>
        <w:t xml:space="preserve">). </w:t>
      </w:r>
      <w:r w:rsidRPr="003B3476">
        <w:rPr>
          <w:bCs/>
          <w:i/>
          <w:iCs/>
          <w:color w:val="auto"/>
        </w:rPr>
        <w:t>Cf.</w:t>
      </w:r>
      <w:r w:rsidRPr="003B3476">
        <w:rPr>
          <w:lang w:eastAsia="fr-FR" w:bidi="fr-FR"/>
        </w:rPr>
        <w:t xml:space="preserve"> E. K. </w:t>
      </w:r>
      <w:r w:rsidRPr="003B3476">
        <w:rPr>
          <w:smallCaps/>
          <w:lang w:eastAsia="fr-FR" w:bidi="fr-FR"/>
        </w:rPr>
        <w:t>Chambers</w:t>
      </w:r>
      <w:r w:rsidRPr="003B3476">
        <w:rPr>
          <w:lang w:eastAsia="fr-FR" w:bidi="fr-FR"/>
        </w:rPr>
        <w:t xml:space="preserve">, </w:t>
      </w:r>
      <w:r w:rsidRPr="003B3476">
        <w:rPr>
          <w:bCs/>
          <w:i/>
          <w:iCs/>
          <w:color w:val="auto"/>
        </w:rPr>
        <w:t>The mediaeval stage</w:t>
      </w:r>
      <w:r w:rsidRPr="003B3476">
        <w:rPr>
          <w:lang w:eastAsia="fr-FR" w:bidi="fr-FR"/>
        </w:rPr>
        <w:t xml:space="preserve">, t. II, p. 74. Pour l’Allemagne, voir Ludwig </w:t>
      </w:r>
      <w:r w:rsidRPr="003B3476">
        <w:rPr>
          <w:smallCaps/>
          <w:lang w:eastAsia="fr-FR" w:bidi="fr-FR"/>
        </w:rPr>
        <w:t>Wirth</w:t>
      </w:r>
      <w:r w:rsidRPr="003B3476">
        <w:rPr>
          <w:lang w:eastAsia="fr-FR" w:bidi="fr-FR"/>
        </w:rPr>
        <w:t xml:space="preserve">, </w:t>
      </w:r>
      <w:r w:rsidRPr="003B3476">
        <w:rPr>
          <w:bCs/>
          <w:i/>
          <w:iCs/>
          <w:color w:val="auto"/>
        </w:rPr>
        <w:t>Die Oslerund Passionsspiele bis zum XVI. Jahrhunder</w:t>
      </w:r>
      <w:r w:rsidRPr="003B3476">
        <w:rPr>
          <w:bCs/>
          <w:i/>
          <w:iCs/>
        </w:rPr>
        <w:t>t.</w:t>
      </w:r>
      <w:r w:rsidRPr="003B3476">
        <w:rPr>
          <w:lang w:eastAsia="fr-FR" w:bidi="fr-FR"/>
        </w:rPr>
        <w:t xml:space="preserve"> p. 24-25 et G. </w:t>
      </w:r>
      <w:r w:rsidRPr="003B3476">
        <w:rPr>
          <w:smallCaps/>
          <w:lang w:eastAsia="fr-FR" w:bidi="fr-FR"/>
        </w:rPr>
        <w:t>Duriez</w:t>
      </w:r>
      <w:r w:rsidRPr="003B3476">
        <w:rPr>
          <w:lang w:eastAsia="fr-FR" w:bidi="fr-FR"/>
        </w:rPr>
        <w:t xml:space="preserve">, </w:t>
      </w:r>
      <w:r w:rsidRPr="003B3476">
        <w:rPr>
          <w:bCs/>
          <w:i/>
          <w:iCs/>
          <w:color w:val="auto"/>
        </w:rPr>
        <w:t>Les apocryphes dans le drame rel</w:t>
      </w:r>
      <w:r w:rsidRPr="003B3476">
        <w:rPr>
          <w:bCs/>
          <w:i/>
          <w:iCs/>
          <w:color w:val="auto"/>
        </w:rPr>
        <w:t>i</w:t>
      </w:r>
      <w:r w:rsidRPr="003B3476">
        <w:rPr>
          <w:bCs/>
          <w:i/>
          <w:iCs/>
          <w:color w:val="auto"/>
        </w:rPr>
        <w:t>gieux en Allemagne au Moyen Âge</w:t>
      </w:r>
      <w:r w:rsidRPr="003B3476">
        <w:rPr>
          <w:lang w:eastAsia="fr-FR" w:bidi="fr-FR"/>
        </w:rPr>
        <w:t>, p. 44 et suiv. Bien entendu pas plus sur ce point qu’en ce qui concerne l’iconographie, je n’ai d’autre prétention que de soumettre une conjecture aux spécialistes. Il convient de rappeler qu’un grand nombre des drames médiévaux consacrés à la vie du Christ sont encore in</w:t>
      </w:r>
      <w:r w:rsidRPr="003B3476">
        <w:rPr>
          <w:lang w:eastAsia="fr-FR" w:bidi="fr-FR"/>
        </w:rPr>
        <w:t>é</w:t>
      </w:r>
      <w:r w:rsidRPr="003B3476">
        <w:rPr>
          <w:lang w:eastAsia="fr-FR" w:bidi="fr-FR"/>
        </w:rPr>
        <w:t>dits.</w:t>
      </w:r>
    </w:p>
  </w:footnote>
  <w:footnote w:id="1010">
    <w:p w14:paraId="1B03397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Corpsdutexte267ptItalique"/>
          <w:rFonts w:eastAsia="Arial"/>
          <w:b w:val="0"/>
          <w:sz w:val="24"/>
          <w:lang w:val="fr-CA"/>
        </w:rPr>
        <w:t>Colloquia</w:t>
      </w:r>
      <w:r w:rsidRPr="003B3476">
        <w:rPr>
          <w:lang w:eastAsia="fr-FR" w:bidi="fr-FR"/>
        </w:rPr>
        <w:t xml:space="preserve">, éd. H. E. </w:t>
      </w:r>
      <w:r w:rsidRPr="003B3476">
        <w:rPr>
          <w:bCs/>
          <w:smallCaps/>
        </w:rPr>
        <w:t>Bindseil</w:t>
      </w:r>
      <w:r w:rsidRPr="003B3476">
        <w:rPr>
          <w:bCs/>
        </w:rPr>
        <w:t>,</w:t>
      </w:r>
      <w:r w:rsidRPr="003B3476">
        <w:rPr>
          <w:b/>
          <w:bCs/>
        </w:rPr>
        <w:t xml:space="preserve"> </w:t>
      </w:r>
      <w:r w:rsidRPr="003B3476">
        <w:rPr>
          <w:lang w:eastAsia="fr-FR" w:bidi="fr-FR"/>
        </w:rPr>
        <w:t>t. II, p. 257.</w:t>
      </w:r>
    </w:p>
  </w:footnote>
  <w:footnote w:id="1011">
    <w:p w14:paraId="65BF666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eastAsia="fr-FR" w:bidi="fr-FR"/>
        </w:rPr>
        <w:t xml:space="preserve">J’emprunte ces expressions à la dissertation du théologien protestant Caleb </w:t>
      </w:r>
      <w:r w:rsidRPr="003B3476">
        <w:rPr>
          <w:bCs/>
          <w:smallCaps/>
        </w:rPr>
        <w:t>Dalechamp</w:t>
      </w:r>
      <w:r w:rsidRPr="003B3476">
        <w:rPr>
          <w:bCs/>
        </w:rPr>
        <w:t xml:space="preserve">, </w:t>
      </w:r>
      <w:r w:rsidRPr="003B3476">
        <w:rPr>
          <w:rStyle w:val="Corpsdutexte267ptItalique"/>
          <w:rFonts w:eastAsia="Arial"/>
          <w:b w:val="0"/>
          <w:sz w:val="24"/>
          <w:lang w:val="fr-CA"/>
        </w:rPr>
        <w:t>Vindiciae Salomonis</w:t>
      </w:r>
      <w:r w:rsidRPr="003B3476">
        <w:rPr>
          <w:b/>
          <w:bCs/>
        </w:rPr>
        <w:t xml:space="preserve"> </w:t>
      </w:r>
      <w:r w:rsidRPr="003B3476">
        <w:rPr>
          <w:lang w:eastAsia="fr-FR" w:bidi="fr-FR"/>
        </w:rPr>
        <w:t>(Londres, 1622), p. 1. « Causae Romanae iam diu ruinam minitantis alter ille Atlas et nouus Pontificiorum Aquinas Be</w:t>
      </w:r>
      <w:r w:rsidRPr="003B3476">
        <w:rPr>
          <w:lang w:eastAsia="fr-FR" w:bidi="fr-FR"/>
        </w:rPr>
        <w:t>l</w:t>
      </w:r>
      <w:r w:rsidRPr="003B3476">
        <w:rPr>
          <w:lang w:eastAsia="fr-FR" w:bidi="fr-FR"/>
        </w:rPr>
        <w:t>larminus...</w:t>
      </w:r>
    </w:p>
  </w:footnote>
  <w:footnote w:id="1012">
    <w:p w14:paraId="7AC9ADF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De justificatione</w:t>
      </w:r>
      <w:r w:rsidRPr="003B3476">
        <w:rPr>
          <w:bCs/>
        </w:rPr>
        <w:t>, III,</w:t>
      </w:r>
      <w:r w:rsidRPr="003B3476">
        <w:rPr>
          <w:b/>
          <w:bCs/>
        </w:rPr>
        <w:t xml:space="preserve"> </w:t>
      </w:r>
      <w:r w:rsidRPr="003B3476">
        <w:rPr>
          <w:lang w:eastAsia="fr-FR" w:bidi="fr-FR"/>
        </w:rPr>
        <w:t xml:space="preserve">14 </w:t>
      </w:r>
      <w:r w:rsidRPr="003B3476">
        <w:rPr>
          <w:b/>
          <w:bCs/>
        </w:rPr>
        <w:t>(</w:t>
      </w:r>
      <w:r w:rsidRPr="003B3476">
        <w:rPr>
          <w:bCs/>
          <w:i/>
        </w:rPr>
        <w:t>Opera</w:t>
      </w:r>
      <w:r w:rsidRPr="003B3476">
        <w:rPr>
          <w:bCs/>
        </w:rPr>
        <w:t>,</w:t>
      </w:r>
      <w:r w:rsidRPr="003B3476">
        <w:rPr>
          <w:b/>
          <w:bCs/>
        </w:rPr>
        <w:t xml:space="preserve"> </w:t>
      </w:r>
      <w:r w:rsidRPr="003B3476">
        <w:rPr>
          <w:lang w:eastAsia="fr-FR" w:bidi="fr-FR"/>
        </w:rPr>
        <w:t xml:space="preserve">éd. </w:t>
      </w:r>
      <w:r w:rsidRPr="003B3476">
        <w:rPr>
          <w:bCs/>
        </w:rPr>
        <w:t xml:space="preserve">J. </w:t>
      </w:r>
      <w:r w:rsidRPr="003B3476">
        <w:rPr>
          <w:bCs/>
          <w:smallCaps/>
        </w:rPr>
        <w:t>Fèvre</w:t>
      </w:r>
      <w:r w:rsidRPr="003B3476">
        <w:rPr>
          <w:bCs/>
        </w:rPr>
        <w:t>,</w:t>
      </w:r>
      <w:r w:rsidRPr="003B3476">
        <w:rPr>
          <w:lang w:eastAsia="fr-FR" w:bidi="fr-FR"/>
        </w:rPr>
        <w:t xml:space="preserve"> t. </w:t>
      </w:r>
      <w:r w:rsidRPr="003B3476">
        <w:rPr>
          <w:bCs/>
        </w:rPr>
        <w:t>VI,</w:t>
      </w:r>
      <w:r w:rsidRPr="003B3476">
        <w:rPr>
          <w:b/>
          <w:bCs/>
        </w:rPr>
        <w:t xml:space="preserve"> </w:t>
      </w:r>
      <w:r w:rsidRPr="003B3476">
        <w:rPr>
          <w:lang w:eastAsia="fr-FR" w:bidi="fr-FR"/>
        </w:rPr>
        <w:t>p. 287-288).</w:t>
      </w:r>
    </w:p>
  </w:footnote>
  <w:footnote w:id="1013">
    <w:p w14:paraId="2624411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eastAsia="fr-FR" w:bidi="fr-FR"/>
        </w:rPr>
        <w:t xml:space="preserve">On trouvera une liste assez complète de ces dissertations dans J. A. </w:t>
      </w:r>
      <w:r w:rsidRPr="003B3476">
        <w:rPr>
          <w:bCs/>
        </w:rPr>
        <w:t xml:space="preserve">Fabricius, </w:t>
      </w:r>
      <w:r w:rsidRPr="003B3476">
        <w:rPr>
          <w:rStyle w:val="Corpsdutexte267ptItalique"/>
          <w:rFonts w:eastAsia="Arial"/>
          <w:b w:val="0"/>
          <w:sz w:val="24"/>
          <w:lang w:val="fr-CA"/>
        </w:rPr>
        <w:t>Codex pseudepigraphicus Veteris Testamenti</w:t>
      </w:r>
      <w:r w:rsidRPr="003B3476">
        <w:rPr>
          <w:lang w:eastAsia="fr-FR" w:bidi="fr-FR"/>
        </w:rPr>
        <w:t>, 2</w:t>
      </w:r>
      <w:r w:rsidRPr="003B3476">
        <w:rPr>
          <w:vertAlign w:val="superscript"/>
          <w:lang w:eastAsia="fr-FR" w:bidi="fr-FR"/>
        </w:rPr>
        <w:t>e</w:t>
      </w:r>
      <w:r w:rsidRPr="003B3476">
        <w:rPr>
          <w:lang w:eastAsia="fr-FR" w:bidi="fr-FR"/>
        </w:rPr>
        <w:t xml:space="preserve"> éd., Hambourg, 1722, t. I, p. 1060-1063. La plus utile, sans conteste, est celle qu’un pasteur d’Iéna, Chri</w:t>
      </w:r>
      <w:r w:rsidRPr="003B3476">
        <w:rPr>
          <w:lang w:eastAsia="fr-FR" w:bidi="fr-FR"/>
        </w:rPr>
        <w:t>s</w:t>
      </w:r>
      <w:r w:rsidRPr="003B3476">
        <w:rPr>
          <w:lang w:eastAsia="fr-FR" w:bidi="fr-FR"/>
        </w:rPr>
        <w:t>tian Chemnitz (sous le nom de qui les catalogues de bibliothèques la mettent d’ordinaire) fit soutenir, devant l’Université de cette ville, le 1</w:t>
      </w:r>
      <w:r w:rsidRPr="003B3476">
        <w:rPr>
          <w:vertAlign w:val="superscript"/>
          <w:lang w:eastAsia="fr-FR" w:bidi="fr-FR"/>
        </w:rPr>
        <w:t>er</w:t>
      </w:r>
      <w:r w:rsidRPr="003B3476">
        <w:rPr>
          <w:lang w:eastAsia="fr-FR" w:bidi="fr-FR"/>
        </w:rPr>
        <w:t xml:space="preserve"> mars 1655, par un de ses élèves, M. J. </w:t>
      </w:r>
      <w:r w:rsidRPr="003B3476">
        <w:rPr>
          <w:bCs/>
          <w:smallCaps/>
        </w:rPr>
        <w:t>Petersen</w:t>
      </w:r>
      <w:r w:rsidRPr="003B3476">
        <w:rPr>
          <w:bCs/>
        </w:rPr>
        <w:t xml:space="preserve">, </w:t>
      </w:r>
      <w:r w:rsidRPr="003B3476">
        <w:rPr>
          <w:rStyle w:val="Corpsdutexte267ptItalique"/>
          <w:rFonts w:eastAsia="Arial"/>
          <w:b w:val="0"/>
          <w:sz w:val="24"/>
          <w:lang w:val="fr-CA"/>
        </w:rPr>
        <w:t>De salute regis Salomonis.</w:t>
      </w:r>
      <w:r w:rsidRPr="003B3476">
        <w:rPr>
          <w:b/>
          <w:bCs/>
        </w:rPr>
        <w:t xml:space="preserve"> </w:t>
      </w:r>
      <w:r w:rsidRPr="003B3476">
        <w:rPr>
          <w:lang w:eastAsia="fr-FR" w:bidi="fr-FR"/>
        </w:rPr>
        <w:t xml:space="preserve">Elle a été imprimée en 1681. </w:t>
      </w:r>
      <w:r w:rsidRPr="003B3476">
        <w:rPr>
          <w:bCs/>
        </w:rPr>
        <w:t>D.</w:t>
      </w:r>
      <w:r w:rsidRPr="003B3476">
        <w:rPr>
          <w:b/>
          <w:bCs/>
        </w:rPr>
        <w:t xml:space="preserve"> </w:t>
      </w:r>
      <w:r w:rsidRPr="003B3476">
        <w:rPr>
          <w:lang w:eastAsia="fr-FR" w:bidi="fr-FR"/>
        </w:rPr>
        <w:t xml:space="preserve">Ursmer </w:t>
      </w:r>
      <w:r w:rsidRPr="003B3476">
        <w:rPr>
          <w:bCs/>
          <w:smallCaps/>
        </w:rPr>
        <w:t>Berlière</w:t>
      </w:r>
      <w:r w:rsidRPr="003B3476">
        <w:rPr>
          <w:bCs/>
        </w:rPr>
        <w:t>,</w:t>
      </w:r>
      <w:r w:rsidRPr="003B3476">
        <w:rPr>
          <w:b/>
          <w:bCs/>
        </w:rPr>
        <w:t xml:space="preserve"> </w:t>
      </w:r>
      <w:r w:rsidRPr="003B3476">
        <w:rPr>
          <w:lang w:eastAsia="fr-FR" w:bidi="fr-FR"/>
        </w:rPr>
        <w:t xml:space="preserve">dans la </w:t>
      </w:r>
      <w:r w:rsidRPr="003B3476">
        <w:rPr>
          <w:rStyle w:val="Corpsdutexte267ptItalique"/>
          <w:rFonts w:eastAsia="Arial"/>
          <w:b w:val="0"/>
          <w:sz w:val="24"/>
          <w:lang w:val="fr-CA"/>
        </w:rPr>
        <w:t>Revue bénédictine</w:t>
      </w:r>
      <w:r w:rsidRPr="003B3476">
        <w:rPr>
          <w:lang w:eastAsia="fr-FR" w:bidi="fr-FR"/>
        </w:rPr>
        <w:t xml:space="preserve">, t. IX, p. 197, n. 1, signale qu’un petit ouvrage intitulé </w:t>
      </w:r>
      <w:r w:rsidRPr="003B3476">
        <w:rPr>
          <w:rStyle w:val="Corpsdutexte267ptItalique"/>
          <w:rFonts w:eastAsia="Arial"/>
          <w:b w:val="0"/>
          <w:sz w:val="24"/>
          <w:lang w:val="fr-CA"/>
        </w:rPr>
        <w:t>Salomon poenitens</w:t>
      </w:r>
      <w:r w:rsidRPr="003B3476">
        <w:rPr>
          <w:b/>
          <w:bCs/>
        </w:rPr>
        <w:t xml:space="preserve"> </w:t>
      </w:r>
      <w:r w:rsidRPr="003B3476">
        <w:rPr>
          <w:lang w:eastAsia="fr-FR" w:bidi="fr-FR"/>
        </w:rPr>
        <w:t>fut encore publié en 1727 à Mons par un religieux de Bonne-Espérance, le P. Gilles Ma</w:t>
      </w:r>
      <w:r w:rsidRPr="003B3476">
        <w:rPr>
          <w:lang w:eastAsia="fr-FR" w:bidi="fr-FR"/>
        </w:rPr>
        <w:t>r</w:t>
      </w:r>
      <w:r w:rsidRPr="003B3476">
        <w:rPr>
          <w:lang w:eastAsia="fr-FR" w:bidi="fr-FR"/>
        </w:rPr>
        <w:t>tin.</w:t>
      </w:r>
    </w:p>
  </w:footnote>
  <w:footnote w:id="1014">
    <w:p w14:paraId="57E2C1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témoignage de ces apocryphes est invoqué en faveur de Salomon par le Jésuite Juan de </w:t>
      </w:r>
      <w:r w:rsidRPr="003B3476">
        <w:rPr>
          <w:bCs/>
          <w:smallCaps/>
        </w:rPr>
        <w:t>Pineda</w:t>
      </w:r>
      <w:r w:rsidRPr="003B3476">
        <w:rPr>
          <w:bCs/>
        </w:rPr>
        <w:t xml:space="preserve">, </w:t>
      </w:r>
      <w:r w:rsidRPr="003B3476">
        <w:rPr>
          <w:rStyle w:val="Notedebasdepage7ptItalique"/>
          <w:b w:val="0"/>
          <w:sz w:val="24"/>
        </w:rPr>
        <w:t>Ad suos in Salomonem commentarios, Salomon pra</w:t>
      </w:r>
      <w:r w:rsidRPr="003B3476">
        <w:rPr>
          <w:rStyle w:val="Notedebasdepage7ptItalique"/>
          <w:b w:val="0"/>
          <w:sz w:val="24"/>
        </w:rPr>
        <w:t>e</w:t>
      </w:r>
      <w:r w:rsidRPr="003B3476">
        <w:rPr>
          <w:rStyle w:val="Notedebasdepage7ptItalique"/>
          <w:b w:val="0"/>
          <w:sz w:val="24"/>
        </w:rPr>
        <w:t>vius, id est de rebus Salomonis regis,</w:t>
      </w:r>
      <w:r w:rsidRPr="003B3476">
        <w:rPr>
          <w:bCs/>
        </w:rPr>
        <w:t xml:space="preserve"> </w:t>
      </w:r>
      <w:r w:rsidRPr="003B3476">
        <w:rPr>
          <w:lang w:val="fr-FR" w:eastAsia="fr-FR" w:bidi="fr-FR"/>
        </w:rPr>
        <w:t xml:space="preserve">Lyon, 1609, p. 577. Sur l’histoire du faux de Grenade, </w:t>
      </w:r>
      <w:r w:rsidRPr="003B3476">
        <w:rPr>
          <w:rStyle w:val="Notedebasdepage7ptItalique"/>
          <w:b w:val="0"/>
          <w:sz w:val="24"/>
        </w:rPr>
        <w:t>cf.</w:t>
      </w:r>
      <w:r w:rsidRPr="003B3476">
        <w:rPr>
          <w:bCs/>
        </w:rPr>
        <w:t xml:space="preserve"> </w:t>
      </w:r>
      <w:r w:rsidRPr="003B3476">
        <w:rPr>
          <w:lang w:val="fr-FR" w:eastAsia="fr-FR" w:bidi="fr-FR"/>
        </w:rPr>
        <w:t xml:space="preserve">le P. A. </w:t>
      </w:r>
      <w:r w:rsidRPr="003B3476">
        <w:rPr>
          <w:bCs/>
          <w:smallCaps/>
        </w:rPr>
        <w:t>Possevin</w:t>
      </w:r>
      <w:r w:rsidRPr="003B3476">
        <w:rPr>
          <w:bCs/>
        </w:rPr>
        <w:t xml:space="preserve">, </w:t>
      </w:r>
      <w:r w:rsidRPr="003B3476">
        <w:rPr>
          <w:rStyle w:val="Notedebasdepage7ptItalique"/>
          <w:b w:val="0"/>
          <w:sz w:val="24"/>
        </w:rPr>
        <w:t>A</w:t>
      </w:r>
      <w:r w:rsidRPr="003B3476">
        <w:rPr>
          <w:rStyle w:val="Notedebasdepage7ptItalique"/>
          <w:b w:val="0"/>
          <w:sz w:val="24"/>
        </w:rPr>
        <w:t>p</w:t>
      </w:r>
      <w:r w:rsidRPr="003B3476">
        <w:rPr>
          <w:rStyle w:val="Notedebasdepage7ptItalique"/>
          <w:b w:val="0"/>
          <w:sz w:val="24"/>
        </w:rPr>
        <w:t>paratus sacer</w:t>
      </w:r>
      <w:r w:rsidRPr="003B3476">
        <w:rPr>
          <w:lang w:val="fr-FR" w:eastAsia="fr-FR" w:bidi="fr-FR"/>
        </w:rPr>
        <w:t xml:space="preserve">, éd. de 1608, t. I, p. 243 ; AA. </w:t>
      </w:r>
      <w:r w:rsidRPr="003B3476">
        <w:rPr>
          <w:bCs/>
        </w:rPr>
        <w:t xml:space="preserve">SS. </w:t>
      </w:r>
      <w:r w:rsidRPr="003B3476">
        <w:rPr>
          <w:lang w:val="fr-FR" w:eastAsia="fr-FR" w:bidi="fr-FR"/>
        </w:rPr>
        <w:t xml:space="preserve">maii VII, p. 285 ; José </w:t>
      </w:r>
      <w:r w:rsidRPr="003B3476">
        <w:rPr>
          <w:bCs/>
        </w:rPr>
        <w:t xml:space="preserve">Godoy </w:t>
      </w:r>
      <w:r w:rsidRPr="003B3476">
        <w:rPr>
          <w:bCs/>
          <w:smallCaps/>
        </w:rPr>
        <w:t>A</w:t>
      </w:r>
      <w:r w:rsidRPr="003B3476">
        <w:rPr>
          <w:bCs/>
          <w:smallCaps/>
        </w:rPr>
        <w:t>l</w:t>
      </w:r>
      <w:r w:rsidRPr="003B3476">
        <w:rPr>
          <w:bCs/>
          <w:smallCaps/>
        </w:rPr>
        <w:t>cántara</w:t>
      </w:r>
      <w:r w:rsidRPr="003B3476">
        <w:rPr>
          <w:bCs/>
        </w:rPr>
        <w:t xml:space="preserve">, </w:t>
      </w:r>
      <w:r w:rsidRPr="003B3476">
        <w:rPr>
          <w:rStyle w:val="Notedebasdepage7ptItalique"/>
          <w:b w:val="0"/>
          <w:sz w:val="24"/>
        </w:rPr>
        <w:t>Historia critica de los falsos cronicones,</w:t>
      </w:r>
      <w:r w:rsidRPr="003B3476">
        <w:rPr>
          <w:bCs/>
        </w:rPr>
        <w:t xml:space="preserve"> </w:t>
      </w:r>
      <w:r w:rsidRPr="003B3476">
        <w:rPr>
          <w:lang w:val="fr-FR" w:eastAsia="fr-FR" w:bidi="fr-FR"/>
        </w:rPr>
        <w:t>p. 317 et suiv. La « découverte » fut faite, selon Poss</w:t>
      </w:r>
      <w:r w:rsidRPr="003B3476">
        <w:rPr>
          <w:lang w:val="fr-FR" w:eastAsia="fr-FR" w:bidi="fr-FR"/>
        </w:rPr>
        <w:t>e</w:t>
      </w:r>
      <w:r w:rsidRPr="003B3476">
        <w:rPr>
          <w:lang w:val="fr-FR" w:eastAsia="fr-FR" w:bidi="fr-FR"/>
        </w:rPr>
        <w:t>vin, sous le pontificat du pape Clément VIII (1592-1605), ce qui correspond bien au renseignement donné par Pineda, qui la place au temps de l’archevêque de Grenade, Pierre de Castro y Quinones. Parmi les autres part</w:t>
      </w:r>
      <w:r w:rsidRPr="003B3476">
        <w:rPr>
          <w:lang w:val="fr-FR" w:eastAsia="fr-FR" w:bidi="fr-FR"/>
        </w:rPr>
        <w:t>i</w:t>
      </w:r>
      <w:r w:rsidRPr="003B3476">
        <w:rPr>
          <w:lang w:val="fr-FR" w:eastAsia="fr-FR" w:bidi="fr-FR"/>
        </w:rPr>
        <w:t>sans catholiques de Salomon, on peut citer le jésuite Théophile Raynaud ; s</w:t>
      </w:r>
      <w:r w:rsidRPr="003B3476">
        <w:rPr>
          <w:lang w:val="fr-FR" w:eastAsia="fr-FR" w:bidi="fr-FR"/>
        </w:rPr>
        <w:t>e</w:t>
      </w:r>
      <w:r w:rsidRPr="003B3476">
        <w:rPr>
          <w:lang w:val="fr-FR" w:eastAsia="fr-FR" w:bidi="fr-FR"/>
        </w:rPr>
        <w:t>lon cet écrivain Salomon peut « absque temeritate et errore practico » être a</w:t>
      </w:r>
      <w:r w:rsidRPr="003B3476">
        <w:rPr>
          <w:lang w:val="fr-FR" w:eastAsia="fr-FR" w:bidi="fr-FR"/>
        </w:rPr>
        <w:t>p</w:t>
      </w:r>
      <w:r w:rsidRPr="003B3476">
        <w:rPr>
          <w:lang w:val="fr-FR" w:eastAsia="fr-FR" w:bidi="fr-FR"/>
        </w:rPr>
        <w:t>pelé saint et bienheureux ; il est licite de lui vouer un culte, non pas public, â la vérité, mais privé (</w:t>
      </w:r>
      <w:r w:rsidRPr="003B3476">
        <w:rPr>
          <w:rStyle w:val="Notedebasdepage7ptItalique"/>
          <w:b w:val="0"/>
          <w:sz w:val="24"/>
        </w:rPr>
        <w:t>Heteroclita spiritualia coelestium et infernorum</w:t>
      </w:r>
      <w:r w:rsidRPr="003B3476">
        <w:rPr>
          <w:rStyle w:val="NotedebasdepageItaliqueEspacement1pt"/>
          <w:b w:val="0"/>
          <w:sz w:val="24"/>
        </w:rPr>
        <w:t>,</w:t>
      </w:r>
      <w:r w:rsidRPr="003B3476">
        <w:rPr>
          <w:lang w:val="fr-FR" w:eastAsia="fr-FR" w:bidi="fr-FR"/>
        </w:rPr>
        <w:t xml:space="preserve"> dans </w:t>
      </w:r>
      <w:r w:rsidRPr="003B3476">
        <w:rPr>
          <w:rStyle w:val="Notedebasdepage7ptItalique"/>
          <w:b w:val="0"/>
          <w:sz w:val="24"/>
        </w:rPr>
        <w:t>Opéra,</w:t>
      </w:r>
      <w:r w:rsidRPr="003B3476">
        <w:rPr>
          <w:bCs/>
        </w:rPr>
        <w:t xml:space="preserve"> </w:t>
      </w:r>
      <w:r w:rsidRPr="003B3476">
        <w:rPr>
          <w:lang w:val="fr-FR" w:eastAsia="fr-FR" w:bidi="fr-FR"/>
        </w:rPr>
        <w:t>Lyon, 1665, t. X, p. 248).</w:t>
      </w:r>
    </w:p>
  </w:footnote>
  <w:footnote w:id="1015">
    <w:p w14:paraId="31297F5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ItaliqueEspacement1pt"/>
          <w:b w:val="0"/>
          <w:sz w:val="24"/>
        </w:rPr>
        <w:t>Cf.</w:t>
      </w:r>
      <w:r w:rsidRPr="003B3476">
        <w:rPr>
          <w:lang w:val="fr-FR" w:eastAsia="fr-FR" w:bidi="fr-FR"/>
        </w:rPr>
        <w:t xml:space="preserve"> dom </w:t>
      </w:r>
      <w:r w:rsidRPr="003B3476">
        <w:rPr>
          <w:bCs/>
          <w:smallCaps/>
        </w:rPr>
        <w:t>Calmet</w:t>
      </w:r>
      <w:r w:rsidRPr="003B3476">
        <w:rPr>
          <w:bCs/>
        </w:rPr>
        <w:t xml:space="preserve">, </w:t>
      </w:r>
      <w:r w:rsidRPr="003B3476">
        <w:rPr>
          <w:rStyle w:val="Notedebasdepage7ptItalique"/>
          <w:b w:val="0"/>
          <w:sz w:val="24"/>
        </w:rPr>
        <w:t>Dictionnaire historique de la Bible</w:t>
      </w:r>
      <w:r w:rsidRPr="003B3476">
        <w:rPr>
          <w:rStyle w:val="NotedebasdepageItaliqueEspacement1pt"/>
          <w:b w:val="0"/>
          <w:sz w:val="24"/>
        </w:rPr>
        <w:t>,</w:t>
      </w:r>
      <w:r w:rsidRPr="003B3476">
        <w:rPr>
          <w:lang w:val="fr-FR" w:eastAsia="fr-FR" w:bidi="fr-FR"/>
        </w:rPr>
        <w:t xml:space="preserve"> t. III, p. 438 : « On forme ici une question fameuse sur le salut de Salomon ».</w:t>
      </w:r>
    </w:p>
  </w:footnote>
  <w:footnote w:id="1016">
    <w:p w14:paraId="2007235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Je n’ai rien trouvé, notamment, dans les ouvrages suivants : J. </w:t>
      </w:r>
      <w:r w:rsidRPr="003B3476">
        <w:rPr>
          <w:rStyle w:val="Notedebasdepage465ptNonItalique"/>
          <w:b w:val="0"/>
          <w:i w:val="0"/>
          <w:iCs w:val="0"/>
          <w:smallCaps/>
          <w:sz w:val="24"/>
        </w:rPr>
        <w:t>Bergmann</w:t>
      </w:r>
      <w:r w:rsidRPr="003B3476">
        <w:rPr>
          <w:rStyle w:val="Notedebasdepage465ptNonItalique"/>
          <w:b w:val="0"/>
          <w:i w:val="0"/>
          <w:iCs w:val="0"/>
          <w:sz w:val="24"/>
        </w:rPr>
        <w:t xml:space="preserve">, </w:t>
      </w:r>
      <w:r w:rsidRPr="003B3476">
        <w:rPr>
          <w:i/>
          <w:lang w:val="fr-FR" w:eastAsia="fr-FR" w:bidi="fr-FR"/>
        </w:rPr>
        <w:t>Die Legenden der Juden </w:t>
      </w:r>
      <w:r w:rsidRPr="003B3476">
        <w:rPr>
          <w:lang w:val="fr-FR" w:eastAsia="fr-FR" w:bidi="fr-FR"/>
        </w:rPr>
        <w:t>;</w:t>
      </w:r>
      <w:r w:rsidRPr="003B3476">
        <w:rPr>
          <w:rStyle w:val="Notedebasdepage475ptNonItalique"/>
          <w:b w:val="0"/>
          <w:i w:val="0"/>
          <w:iCs w:val="0"/>
          <w:sz w:val="24"/>
        </w:rPr>
        <w:t xml:space="preserve"> M. </w:t>
      </w:r>
      <w:r w:rsidRPr="003B3476">
        <w:rPr>
          <w:rStyle w:val="Notedebasdepage465ptNonItalique"/>
          <w:b w:val="0"/>
          <w:i w:val="0"/>
          <w:iCs w:val="0"/>
          <w:smallCaps/>
          <w:sz w:val="24"/>
        </w:rPr>
        <w:t>Grünbaum</w:t>
      </w:r>
      <w:r w:rsidRPr="003B3476">
        <w:rPr>
          <w:rStyle w:val="Notedebasdepage465ptNonItalique"/>
          <w:b w:val="0"/>
          <w:i w:val="0"/>
          <w:iCs w:val="0"/>
          <w:sz w:val="24"/>
        </w:rPr>
        <w:t xml:space="preserve">, </w:t>
      </w:r>
      <w:r w:rsidRPr="003B3476">
        <w:rPr>
          <w:lang w:val="fr-FR" w:eastAsia="fr-FR" w:bidi="fr-FR"/>
        </w:rPr>
        <w:t>N eue Beitràge zur semitischen S</w:t>
      </w:r>
      <w:r w:rsidRPr="003B3476">
        <w:rPr>
          <w:lang w:val="fr-FR" w:eastAsia="fr-FR" w:bidi="fr-FR"/>
        </w:rPr>
        <w:t>a</w:t>
      </w:r>
      <w:r w:rsidRPr="003B3476">
        <w:rPr>
          <w:lang w:val="fr-FR" w:eastAsia="fr-FR" w:bidi="fr-FR"/>
        </w:rPr>
        <w:t>genkunde</w:t>
      </w:r>
      <w:r w:rsidRPr="003B3476">
        <w:rPr>
          <w:rStyle w:val="Notedebasdepage48ptNonItalique"/>
          <w:b w:val="0"/>
          <w:i w:val="0"/>
          <w:iCs w:val="0"/>
          <w:sz w:val="24"/>
        </w:rPr>
        <w:t xml:space="preserve"> </w:t>
      </w:r>
      <w:r w:rsidRPr="003B3476">
        <w:rPr>
          <w:rStyle w:val="Notedebasdepage475ptNonItalique"/>
          <w:b w:val="0"/>
          <w:i w:val="0"/>
          <w:iCs w:val="0"/>
          <w:sz w:val="24"/>
        </w:rPr>
        <w:t xml:space="preserve">et </w:t>
      </w:r>
      <w:r w:rsidRPr="003B3476">
        <w:rPr>
          <w:lang w:val="fr-FR" w:eastAsia="fr-FR" w:bidi="fr-FR"/>
        </w:rPr>
        <w:t>Gesammelte Aufsàtze zur Sprache und Sagenkunde ;</w:t>
      </w:r>
      <w:r w:rsidRPr="003B3476">
        <w:rPr>
          <w:rStyle w:val="Notedebasdepage48ptNonItalique"/>
          <w:b w:val="0"/>
          <w:i w:val="0"/>
          <w:iCs w:val="0"/>
          <w:sz w:val="24"/>
        </w:rPr>
        <w:t xml:space="preserve"> </w:t>
      </w:r>
      <w:r w:rsidRPr="003B3476">
        <w:rPr>
          <w:rStyle w:val="Notedebasdepage475ptNonItalique"/>
          <w:b w:val="0"/>
          <w:i w:val="0"/>
          <w:iCs w:val="0"/>
          <w:sz w:val="24"/>
        </w:rPr>
        <w:t xml:space="preserve">E. </w:t>
      </w:r>
      <w:r w:rsidRPr="003B3476">
        <w:rPr>
          <w:rStyle w:val="Notedebasdepage465ptNonItalique"/>
          <w:b w:val="0"/>
          <w:i w:val="0"/>
          <w:iCs w:val="0"/>
          <w:smallCaps/>
          <w:sz w:val="24"/>
        </w:rPr>
        <w:t>Weil</w:t>
      </w:r>
      <w:r w:rsidRPr="003B3476">
        <w:rPr>
          <w:rStyle w:val="Notedebasdepage465ptNonItalique"/>
          <w:b w:val="0"/>
          <w:i w:val="0"/>
          <w:iCs w:val="0"/>
          <w:sz w:val="24"/>
        </w:rPr>
        <w:t xml:space="preserve">, </w:t>
      </w:r>
      <w:r w:rsidRPr="003B3476">
        <w:rPr>
          <w:lang w:val="fr-FR" w:eastAsia="fr-FR" w:bidi="fr-FR"/>
        </w:rPr>
        <w:t xml:space="preserve">Biblische Legenden der Muselmanner ; </w:t>
      </w:r>
      <w:r w:rsidRPr="003B3476">
        <w:rPr>
          <w:rStyle w:val="Notedebasdepage475ptNonItalique"/>
          <w:b w:val="0"/>
          <w:i w:val="0"/>
          <w:iCs w:val="0"/>
          <w:sz w:val="24"/>
        </w:rPr>
        <w:t xml:space="preserve">J. E. </w:t>
      </w:r>
      <w:r w:rsidRPr="003B3476">
        <w:rPr>
          <w:rStyle w:val="Notedebasdepage465ptNonItalique"/>
          <w:b w:val="0"/>
          <w:i w:val="0"/>
          <w:iCs w:val="0"/>
          <w:smallCaps/>
          <w:sz w:val="24"/>
        </w:rPr>
        <w:t>Hanauer</w:t>
      </w:r>
      <w:r w:rsidRPr="003B3476">
        <w:rPr>
          <w:rStyle w:val="Notedebasdepage465ptNonItalique"/>
          <w:b w:val="0"/>
          <w:i w:val="0"/>
          <w:iCs w:val="0"/>
          <w:sz w:val="24"/>
        </w:rPr>
        <w:t xml:space="preserve">, </w:t>
      </w:r>
      <w:r w:rsidRPr="003B3476">
        <w:rPr>
          <w:lang w:val="fr-FR" w:eastAsia="fr-FR" w:bidi="fr-FR"/>
        </w:rPr>
        <w:t>Folklore of the Holy Land, Moslem, Christian and Jewish ;</w:t>
      </w:r>
      <w:r w:rsidRPr="003B3476">
        <w:rPr>
          <w:rStyle w:val="Notedebasdepage475ptNonItalique"/>
          <w:b w:val="0"/>
          <w:i w:val="0"/>
          <w:iCs w:val="0"/>
          <w:sz w:val="24"/>
        </w:rPr>
        <w:t xml:space="preserve"> R. </w:t>
      </w:r>
      <w:r w:rsidRPr="003B3476">
        <w:rPr>
          <w:rStyle w:val="Notedebasdepage465ptNonItalique"/>
          <w:b w:val="0"/>
          <w:i w:val="0"/>
          <w:iCs w:val="0"/>
          <w:smallCaps/>
          <w:sz w:val="24"/>
        </w:rPr>
        <w:t>Basset</w:t>
      </w:r>
      <w:r w:rsidRPr="003B3476">
        <w:rPr>
          <w:rStyle w:val="Notedebasdepage465ptNonItalique"/>
          <w:b w:val="0"/>
          <w:i w:val="0"/>
          <w:iCs w:val="0"/>
          <w:sz w:val="24"/>
        </w:rPr>
        <w:t xml:space="preserve">, </w:t>
      </w:r>
      <w:r w:rsidRPr="003B3476">
        <w:rPr>
          <w:i/>
          <w:lang w:val="fr-FR" w:eastAsia="fr-FR" w:bidi="fr-FR"/>
        </w:rPr>
        <w:t>S</w:t>
      </w:r>
      <w:r w:rsidRPr="003B3476">
        <w:rPr>
          <w:i/>
          <w:lang w:val="fr-FR" w:eastAsia="fr-FR" w:bidi="fr-FR"/>
        </w:rPr>
        <w:t>a</w:t>
      </w:r>
      <w:r w:rsidRPr="003B3476">
        <w:rPr>
          <w:i/>
          <w:lang w:val="fr-FR" w:eastAsia="fr-FR" w:bidi="fr-FR"/>
        </w:rPr>
        <w:t>lomon (Solaiman)</w:t>
      </w:r>
      <w:r w:rsidRPr="003B3476">
        <w:rPr>
          <w:lang w:val="fr-FR" w:eastAsia="fr-FR" w:bidi="fr-FR"/>
        </w:rPr>
        <w:t xml:space="preserve"> dans </w:t>
      </w:r>
      <w:r w:rsidRPr="003B3476">
        <w:rPr>
          <w:i/>
          <w:lang w:val="fr-FR" w:eastAsia="fr-FR" w:bidi="fr-FR"/>
        </w:rPr>
        <w:t>les légendes musulmanes</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 xml:space="preserve">dans </w:t>
      </w:r>
      <w:r w:rsidRPr="003B3476">
        <w:rPr>
          <w:i/>
          <w:lang w:val="fr-FR" w:eastAsia="fr-FR" w:bidi="fr-FR"/>
        </w:rPr>
        <w:t>Revue des traditions p</w:t>
      </w:r>
      <w:r w:rsidRPr="003B3476">
        <w:rPr>
          <w:i/>
          <w:lang w:val="fr-FR" w:eastAsia="fr-FR" w:bidi="fr-FR"/>
        </w:rPr>
        <w:t>o</w:t>
      </w:r>
      <w:r w:rsidRPr="003B3476">
        <w:rPr>
          <w:i/>
          <w:lang w:val="fr-FR" w:eastAsia="fr-FR" w:bidi="fr-FR"/>
        </w:rPr>
        <w:t>pulaires</w:t>
      </w:r>
      <w:r w:rsidRPr="003B3476">
        <w:rPr>
          <w:lang w:val="fr-FR" w:eastAsia="fr-FR" w:bidi="fr-FR"/>
        </w:rPr>
        <w:t>,</w:t>
      </w:r>
      <w:r w:rsidRPr="003B3476">
        <w:rPr>
          <w:rStyle w:val="Notedebasdepage48ptNonItalique"/>
          <w:b w:val="0"/>
          <w:i w:val="0"/>
          <w:iCs w:val="0"/>
          <w:sz w:val="24"/>
        </w:rPr>
        <w:t xml:space="preserve"> </w:t>
      </w:r>
      <w:r w:rsidRPr="003B3476">
        <w:rPr>
          <w:rStyle w:val="Notedebasdepage475ptNonItalique"/>
          <w:b w:val="0"/>
          <w:i w:val="0"/>
          <w:iCs w:val="0"/>
          <w:sz w:val="24"/>
        </w:rPr>
        <w:t>t. III (1888) ; IV (1889) ; VI (1891) ; VII (1892) ; IX (1894) ; X (1895). Les deux dissert</w:t>
      </w:r>
      <w:r w:rsidRPr="003B3476">
        <w:rPr>
          <w:rStyle w:val="Notedebasdepage475ptNonItalique"/>
          <w:b w:val="0"/>
          <w:i w:val="0"/>
          <w:iCs w:val="0"/>
          <w:sz w:val="24"/>
        </w:rPr>
        <w:t>a</w:t>
      </w:r>
      <w:r w:rsidRPr="003B3476">
        <w:rPr>
          <w:rStyle w:val="Notedebasdepage475ptNonItalique"/>
          <w:b w:val="0"/>
          <w:i w:val="0"/>
          <w:iCs w:val="0"/>
          <w:sz w:val="24"/>
        </w:rPr>
        <w:t xml:space="preserve">tions de R. </w:t>
      </w:r>
      <w:r w:rsidRPr="003B3476">
        <w:rPr>
          <w:rStyle w:val="Notedebasdepage465ptNonItalique"/>
          <w:b w:val="0"/>
          <w:i w:val="0"/>
          <w:iCs w:val="0"/>
          <w:smallCaps/>
          <w:sz w:val="24"/>
        </w:rPr>
        <w:t>Faerber</w:t>
      </w:r>
      <w:r w:rsidRPr="003B3476">
        <w:rPr>
          <w:rStyle w:val="Notedebasdepage465ptNonItalique"/>
          <w:b w:val="0"/>
          <w:i w:val="0"/>
          <w:iCs w:val="0"/>
          <w:sz w:val="24"/>
        </w:rPr>
        <w:t xml:space="preserve">, </w:t>
      </w:r>
      <w:r w:rsidRPr="003B3476">
        <w:rPr>
          <w:i/>
          <w:lang w:val="fr-FR" w:eastAsia="fr-FR" w:bidi="fr-FR"/>
        </w:rPr>
        <w:t>König Salomon in der Tradition</w:t>
      </w:r>
      <w:r w:rsidRPr="003B3476">
        <w:rPr>
          <w:rStyle w:val="Notedebasdepage48ptNonItalique"/>
          <w:b w:val="0"/>
          <w:i w:val="0"/>
          <w:iCs w:val="0"/>
          <w:sz w:val="24"/>
        </w:rPr>
        <w:t xml:space="preserve"> </w:t>
      </w:r>
      <w:r w:rsidRPr="003B3476">
        <w:rPr>
          <w:rStyle w:val="Notedebasdepage475ptNonItalique"/>
          <w:b w:val="0"/>
          <w:i w:val="0"/>
          <w:iCs w:val="0"/>
          <w:sz w:val="24"/>
        </w:rPr>
        <w:t xml:space="preserve">et de Georg </w:t>
      </w:r>
      <w:r w:rsidRPr="003B3476">
        <w:rPr>
          <w:rStyle w:val="Notedebasdepage465ptNonItalique"/>
          <w:b w:val="0"/>
          <w:i w:val="0"/>
          <w:iCs w:val="0"/>
          <w:smallCaps/>
          <w:sz w:val="24"/>
        </w:rPr>
        <w:t>Salzbe</w:t>
      </w:r>
      <w:r w:rsidRPr="003B3476">
        <w:rPr>
          <w:rStyle w:val="Notedebasdepage465ptNonItalique"/>
          <w:b w:val="0"/>
          <w:i w:val="0"/>
          <w:iCs w:val="0"/>
          <w:smallCaps/>
          <w:sz w:val="24"/>
        </w:rPr>
        <w:t>r</w:t>
      </w:r>
      <w:r w:rsidRPr="003B3476">
        <w:rPr>
          <w:rStyle w:val="Notedebasdepage465ptNonItalique"/>
          <w:b w:val="0"/>
          <w:i w:val="0"/>
          <w:iCs w:val="0"/>
          <w:smallCaps/>
          <w:sz w:val="24"/>
        </w:rPr>
        <w:t>ger</w:t>
      </w:r>
      <w:r w:rsidRPr="003B3476">
        <w:rPr>
          <w:rStyle w:val="Notedebasdepage465ptNonItalique"/>
          <w:b w:val="0"/>
          <w:i w:val="0"/>
          <w:iCs w:val="0"/>
          <w:sz w:val="24"/>
        </w:rPr>
        <w:t xml:space="preserve">, </w:t>
      </w:r>
      <w:r w:rsidRPr="003B3476">
        <w:rPr>
          <w:i/>
          <w:lang w:val="fr-FR" w:eastAsia="fr-FR" w:bidi="fr-FR"/>
        </w:rPr>
        <w:t>Die Salomosage in der semitischen</w:t>
      </w:r>
      <w:r w:rsidRPr="003B3476">
        <w:rPr>
          <w:lang w:val="fr-FR" w:eastAsia="fr-FR" w:bidi="fr-FR"/>
        </w:rPr>
        <w:t xml:space="preserve"> </w:t>
      </w:r>
      <w:r w:rsidRPr="003B3476">
        <w:rPr>
          <w:bCs/>
          <w:i/>
          <w:iCs/>
        </w:rPr>
        <w:t>Literatur</w:t>
      </w:r>
      <w:r w:rsidRPr="003B3476">
        <w:rPr>
          <w:lang w:eastAsia="fr-FR" w:bidi="fr-FR"/>
        </w:rPr>
        <w:t xml:space="preserve"> (Diss. de Heidelberg, Be</w:t>
      </w:r>
      <w:r w:rsidRPr="003B3476">
        <w:rPr>
          <w:lang w:eastAsia="fr-FR" w:bidi="fr-FR"/>
        </w:rPr>
        <w:t>r</w:t>
      </w:r>
      <w:r w:rsidRPr="003B3476">
        <w:rPr>
          <w:lang w:eastAsia="fr-FR" w:bidi="fr-FR"/>
        </w:rPr>
        <w:t>lin, 1907) ne traitent malheureus</w:t>
      </w:r>
      <w:r w:rsidRPr="003B3476">
        <w:rPr>
          <w:lang w:eastAsia="fr-FR" w:bidi="fr-FR"/>
        </w:rPr>
        <w:t>e</w:t>
      </w:r>
      <w:r w:rsidRPr="003B3476">
        <w:rPr>
          <w:lang w:eastAsia="fr-FR" w:bidi="fr-FR"/>
        </w:rPr>
        <w:t>ment, l’une comme l’autre, leur sujet que d’une manière incomplète ; toute deux se présentent comme la première partie d’un travail plus ample qui, dans aucun des deux cas, ne paraît avoir été ach</w:t>
      </w:r>
      <w:r w:rsidRPr="003B3476">
        <w:rPr>
          <w:lang w:eastAsia="fr-FR" w:bidi="fr-FR"/>
        </w:rPr>
        <w:t>e</w:t>
      </w:r>
      <w:r w:rsidRPr="003B3476">
        <w:rPr>
          <w:lang w:eastAsia="fr-FR" w:bidi="fr-FR"/>
        </w:rPr>
        <w:t xml:space="preserve">vé ; elles n’envisagent pas toute la carrière de Salomon, à plus forte raison n’étudient-elles pas (sauf R. </w:t>
      </w:r>
      <w:r w:rsidRPr="003B3476">
        <w:rPr>
          <w:smallCaps/>
          <w:lang w:eastAsia="fr-FR" w:bidi="fr-FR"/>
        </w:rPr>
        <w:t>Faerber</w:t>
      </w:r>
      <w:r w:rsidRPr="003B3476">
        <w:rPr>
          <w:lang w:eastAsia="fr-FR" w:bidi="fr-FR"/>
        </w:rPr>
        <w:t xml:space="preserve">, dans son </w:t>
      </w:r>
      <w:r w:rsidRPr="003B3476">
        <w:rPr>
          <w:bCs/>
          <w:i/>
          <w:iCs/>
        </w:rPr>
        <w:t>Introduction</w:t>
      </w:r>
      <w:r w:rsidRPr="003B3476">
        <w:rPr>
          <w:lang w:eastAsia="fr-FR" w:bidi="fr-FR"/>
        </w:rPr>
        <w:t>, mais d’un point de vue plus théologique que légenda</w:t>
      </w:r>
      <w:r w:rsidRPr="003B3476">
        <w:rPr>
          <w:lang w:eastAsia="fr-FR" w:bidi="fr-FR"/>
        </w:rPr>
        <w:t>i</w:t>
      </w:r>
      <w:r w:rsidRPr="003B3476">
        <w:rPr>
          <w:lang w:eastAsia="fr-FR" w:bidi="fr-FR"/>
        </w:rPr>
        <w:t>re) les croyances relatives à sa mort et à sa destinée dans l’autre monde.</w:t>
      </w:r>
    </w:p>
  </w:footnote>
  <w:footnote w:id="1017">
    <w:p w14:paraId="4CE4A32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rPr>
        <w:t xml:space="preserve">René </w:t>
      </w:r>
      <w:r w:rsidRPr="003B3476">
        <w:rPr>
          <w:bCs/>
          <w:smallCaps/>
        </w:rPr>
        <w:t>Basset</w:t>
      </w:r>
      <w:r w:rsidRPr="003B3476">
        <w:rPr>
          <w:bCs/>
        </w:rPr>
        <w:t xml:space="preserve">, </w:t>
      </w:r>
      <w:r w:rsidRPr="003B3476">
        <w:rPr>
          <w:i/>
          <w:lang w:eastAsia="fr-FR" w:bidi="fr-FR"/>
        </w:rPr>
        <w:t>Les apocryphes éthiopiens traduits en français</w:t>
      </w:r>
      <w:r w:rsidRPr="003B3476">
        <w:rPr>
          <w:bCs/>
        </w:rPr>
        <w:t>, t. VII, p. 27 et suiv.</w:t>
      </w:r>
    </w:p>
  </w:footnote>
  <w:footnote w:id="1018">
    <w:p w14:paraId="7A54702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eastAsia="fr-FR" w:bidi="fr-FR"/>
        </w:rPr>
        <w:t xml:space="preserve">Alfred </w:t>
      </w:r>
      <w:r w:rsidRPr="003B3476">
        <w:rPr>
          <w:smallCaps/>
          <w:lang w:eastAsia="fr-FR" w:bidi="fr-FR"/>
        </w:rPr>
        <w:t>Rambaud</w:t>
      </w:r>
      <w:r w:rsidRPr="003B3476">
        <w:rPr>
          <w:lang w:eastAsia="fr-FR" w:bidi="fr-FR"/>
        </w:rPr>
        <w:t xml:space="preserve">, </w:t>
      </w:r>
      <w:r w:rsidRPr="003B3476">
        <w:rPr>
          <w:bCs/>
          <w:i/>
          <w:iCs/>
        </w:rPr>
        <w:t>La Russie épique</w:t>
      </w:r>
      <w:r w:rsidRPr="003B3476">
        <w:rPr>
          <w:lang w:eastAsia="fr-FR" w:bidi="fr-FR"/>
        </w:rPr>
        <w:t xml:space="preserve">, p. 398-399. On ne trouve rien qui concerne le sort posthume de Salomon dans le travail de A. Wesselofsky, </w:t>
      </w:r>
      <w:r w:rsidRPr="003B3476">
        <w:rPr>
          <w:bCs/>
          <w:i/>
          <w:iCs/>
        </w:rPr>
        <w:t>Neue Beiträge zur Geschichte der Salomonssage</w:t>
      </w:r>
      <w:r w:rsidRPr="003B3476">
        <w:rPr>
          <w:lang w:eastAsia="fr-FR" w:bidi="fr-FR"/>
        </w:rPr>
        <w:t xml:space="preserve">, dans </w:t>
      </w:r>
      <w:r w:rsidRPr="003B3476">
        <w:rPr>
          <w:bCs/>
          <w:i/>
          <w:iCs/>
        </w:rPr>
        <w:t>Archiv fürslavische Philologie,</w:t>
      </w:r>
      <w:r w:rsidRPr="003B3476">
        <w:rPr>
          <w:lang w:eastAsia="fr-FR" w:bidi="fr-FR"/>
        </w:rPr>
        <w:t xml:space="preserve"> t. VI (1882), non plus que dans celui de M. Michel </w:t>
      </w:r>
      <w:r w:rsidRPr="003B3476">
        <w:rPr>
          <w:smallCaps/>
          <w:lang w:eastAsia="fr-FR" w:bidi="fr-FR"/>
        </w:rPr>
        <w:t>Dragomanof</w:t>
      </w:r>
      <w:r w:rsidRPr="003B3476">
        <w:rPr>
          <w:lang w:eastAsia="fr-FR" w:bidi="fr-FR"/>
        </w:rPr>
        <w:t xml:space="preserve">, </w:t>
      </w:r>
      <w:r w:rsidRPr="003B3476">
        <w:rPr>
          <w:bCs/>
          <w:i/>
          <w:iCs/>
        </w:rPr>
        <w:t>Traditions et contes populaires de la Petite Russie</w:t>
      </w:r>
      <w:r w:rsidRPr="003B3476">
        <w:rPr>
          <w:lang w:eastAsia="fr-FR" w:bidi="fr-FR"/>
        </w:rPr>
        <w:t xml:space="preserve">, dans </w:t>
      </w:r>
      <w:r w:rsidRPr="003B3476">
        <w:rPr>
          <w:bCs/>
          <w:i/>
          <w:iCs/>
        </w:rPr>
        <w:t>Revue des traditions populaires,</w:t>
      </w:r>
      <w:r w:rsidRPr="003B3476">
        <w:rPr>
          <w:lang w:eastAsia="fr-FR" w:bidi="fr-FR"/>
        </w:rPr>
        <w:t xml:space="preserve"> t. II (1887), où sont pourtant relevées un certain nombre de lége</w:t>
      </w:r>
      <w:r w:rsidRPr="003B3476">
        <w:rPr>
          <w:lang w:eastAsia="fr-FR" w:bidi="fr-FR"/>
        </w:rPr>
        <w:t>n</w:t>
      </w:r>
      <w:r w:rsidRPr="003B3476">
        <w:rPr>
          <w:lang w:eastAsia="fr-FR" w:bidi="fr-FR"/>
        </w:rPr>
        <w:t>des relatives à l’Ancien Testament (pour Salomon, voir p. 510-521).</w:t>
      </w:r>
    </w:p>
  </w:footnote>
  <w:footnote w:id="1019">
    <w:p w14:paraId="14605A1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eastAsia="fr-FR" w:bidi="fr-FR"/>
        </w:rPr>
        <w:t xml:space="preserve">Une version de ce conte se lit dans le </w:t>
      </w:r>
      <w:r w:rsidRPr="003B3476">
        <w:rPr>
          <w:bCs/>
          <w:i/>
          <w:iCs/>
        </w:rPr>
        <w:t>Recueil du pope Stefan Teslevetsky</w:t>
      </w:r>
      <w:r w:rsidRPr="003B3476">
        <w:rPr>
          <w:lang w:eastAsia="fr-FR" w:bidi="fr-FR"/>
        </w:rPr>
        <w:t>, composé dans la Russie sub-carpathique vers la fin du XVII</w:t>
      </w:r>
      <w:r w:rsidRPr="003B3476">
        <w:rPr>
          <w:vertAlign w:val="superscript"/>
          <w:lang w:eastAsia="fr-FR" w:bidi="fr-FR"/>
        </w:rPr>
        <w:t>e</w:t>
      </w:r>
      <w:r w:rsidRPr="003B3476">
        <w:rPr>
          <w:lang w:eastAsia="fr-FR" w:bidi="fr-FR"/>
        </w:rPr>
        <w:t xml:space="preserve"> siècle ou le d</w:t>
      </w:r>
      <w:r w:rsidRPr="003B3476">
        <w:rPr>
          <w:lang w:eastAsia="fr-FR" w:bidi="fr-FR"/>
        </w:rPr>
        <w:t>é</w:t>
      </w:r>
      <w:r w:rsidRPr="003B3476">
        <w:rPr>
          <w:lang w:eastAsia="fr-FR" w:bidi="fr-FR"/>
        </w:rPr>
        <w:t>but du XVIII</w:t>
      </w:r>
      <w:r w:rsidRPr="003B3476">
        <w:rPr>
          <w:vertAlign w:val="superscript"/>
          <w:lang w:eastAsia="fr-FR" w:bidi="fr-FR"/>
        </w:rPr>
        <w:t>e</w:t>
      </w:r>
      <w:r w:rsidRPr="003B3476">
        <w:rPr>
          <w:lang w:eastAsia="fr-FR" w:bidi="fr-FR"/>
        </w:rPr>
        <w:t xml:space="preserve"> ; elle a été publiée par Ivan </w:t>
      </w:r>
      <w:r w:rsidRPr="003B3476">
        <w:rPr>
          <w:smallCaps/>
          <w:lang w:eastAsia="fr-FR" w:bidi="fr-FR"/>
        </w:rPr>
        <w:t>Franko</w:t>
      </w:r>
      <w:r w:rsidRPr="003B3476">
        <w:rPr>
          <w:lang w:eastAsia="fr-FR" w:bidi="fr-FR"/>
        </w:rPr>
        <w:t xml:space="preserve"> au tome I des </w:t>
      </w:r>
      <w:r w:rsidRPr="003B3476">
        <w:rPr>
          <w:bCs/>
          <w:i/>
          <w:iCs/>
        </w:rPr>
        <w:t>Monumenta linguae nec non litterarum ukraino-russicorum (ruthenicorum) a collegio a</w:t>
      </w:r>
      <w:r w:rsidRPr="003B3476">
        <w:rPr>
          <w:bCs/>
          <w:i/>
          <w:iCs/>
        </w:rPr>
        <w:t>r</w:t>
      </w:r>
      <w:r w:rsidRPr="003B3476">
        <w:rPr>
          <w:bCs/>
          <w:i/>
          <w:iCs/>
        </w:rPr>
        <w:t>chaeographico Societatis Scientiarum Sevifenkianae édita</w:t>
      </w:r>
      <w:r w:rsidRPr="003B3476">
        <w:rPr>
          <w:lang w:eastAsia="fr-FR" w:bidi="fr-FR"/>
        </w:rPr>
        <w:t xml:space="preserve"> (Leopol, 1896, p. 293-294) ; c’est celle que j’ai analysée et citée ci-dessus ; elle m’a été signalée et traduite par mon ami M. André Mazon, professeur au collège de France, à qui je dois également l’indication du texte cité à la p. 936, n. 2 (t. III) et les renseignements qui vont suivre. La même légende se retrouve dans un drame russo-ukrainien de la fête de Pâques, publié par </w:t>
      </w:r>
      <w:r w:rsidRPr="003B3476">
        <w:rPr>
          <w:smallCaps/>
          <w:lang w:eastAsia="fr-FR" w:bidi="fr-FR"/>
        </w:rPr>
        <w:t>Franko</w:t>
      </w:r>
      <w:r w:rsidRPr="003B3476">
        <w:rPr>
          <w:lang w:eastAsia="fr-FR" w:bidi="fr-FR"/>
        </w:rPr>
        <w:t xml:space="preserve"> dans la </w:t>
      </w:r>
      <w:r w:rsidRPr="003B3476">
        <w:rPr>
          <w:bCs/>
          <w:i/>
          <w:iCs/>
        </w:rPr>
        <w:t>Kievskaïa Starina</w:t>
      </w:r>
      <w:r w:rsidRPr="003B3476">
        <w:rPr>
          <w:lang w:eastAsia="fr-FR" w:bidi="fr-FR"/>
        </w:rPr>
        <w:t xml:space="preserve">, t. LUI (1896), p. 387 et suiv., dans un poème ukrainien et des contes populaires recueillis dans les gouvernements de Kharkov et d’Ekaterinoslav ainsi qu’en Russie subcarpathique, étudiés également par </w:t>
      </w:r>
      <w:r w:rsidRPr="003B3476">
        <w:rPr>
          <w:smallCaps/>
          <w:lang w:eastAsia="fr-FR" w:bidi="fr-FR"/>
        </w:rPr>
        <w:t>Franko</w:t>
      </w:r>
      <w:r w:rsidRPr="003B3476">
        <w:rPr>
          <w:lang w:eastAsia="fr-FR" w:bidi="fr-FR"/>
        </w:rPr>
        <w:t xml:space="preserve"> dans la </w:t>
      </w:r>
      <w:r w:rsidRPr="003B3476">
        <w:rPr>
          <w:bCs/>
          <w:i/>
          <w:iCs/>
        </w:rPr>
        <w:t>Kievskaia Starina</w:t>
      </w:r>
      <w:r w:rsidRPr="003B3476">
        <w:rPr>
          <w:lang w:eastAsia="fr-FR" w:bidi="fr-FR"/>
        </w:rPr>
        <w:t>, t. (LIV 1896), p. 1 et suiv.</w:t>
      </w:r>
    </w:p>
  </w:footnote>
  <w:footnote w:id="1020">
    <w:p w14:paraId="4F6D2C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7ptItalique"/>
          <w:b w:val="0"/>
          <w:sz w:val="24"/>
        </w:rPr>
        <w:t>Cf.</w:t>
      </w:r>
      <w:r w:rsidRPr="003B3476">
        <w:t xml:space="preserve"> </w:t>
      </w:r>
      <w:r w:rsidRPr="003B3476">
        <w:rPr>
          <w:lang w:val="fr-FR" w:eastAsia="fr-FR" w:bidi="fr-FR"/>
        </w:rPr>
        <w:t xml:space="preserve">L. </w:t>
      </w:r>
      <w:r w:rsidRPr="003B3476">
        <w:rPr>
          <w:smallCaps/>
        </w:rPr>
        <w:t>Wirth</w:t>
      </w:r>
      <w:r w:rsidRPr="003B3476">
        <w:t xml:space="preserve">, </w:t>
      </w:r>
      <w:r w:rsidRPr="003B3476">
        <w:rPr>
          <w:rStyle w:val="Notedebasdepage7ptItalique"/>
          <w:b w:val="0"/>
          <w:sz w:val="24"/>
        </w:rPr>
        <w:t>Die Oster- und Passionsspiele</w:t>
      </w:r>
      <w:r w:rsidRPr="003B3476">
        <w:rPr>
          <w:lang w:val="fr-FR" w:eastAsia="fr-FR" w:bidi="fr-FR"/>
        </w:rPr>
        <w:t xml:space="preserve">, p. 26 ; </w:t>
      </w:r>
      <w:r w:rsidRPr="003B3476">
        <w:rPr>
          <w:smallCaps/>
        </w:rPr>
        <w:t>Duriez</w:t>
      </w:r>
      <w:r w:rsidRPr="003B3476">
        <w:t xml:space="preserve">, </w:t>
      </w:r>
      <w:r w:rsidRPr="003B3476">
        <w:rPr>
          <w:rStyle w:val="Notedebasdepage7ptItalique"/>
          <w:b w:val="0"/>
          <w:sz w:val="24"/>
        </w:rPr>
        <w:t>Les apocryphes dans le drame religieux en Allem</w:t>
      </w:r>
      <w:r w:rsidRPr="003B3476">
        <w:rPr>
          <w:rStyle w:val="Notedebasdepage7ptItalique"/>
          <w:b w:val="0"/>
          <w:sz w:val="24"/>
        </w:rPr>
        <w:t>a</w:t>
      </w:r>
      <w:r w:rsidRPr="003B3476">
        <w:rPr>
          <w:rStyle w:val="Notedebasdepage7ptItalique"/>
          <w:b w:val="0"/>
          <w:sz w:val="24"/>
        </w:rPr>
        <w:t>gne</w:t>
      </w:r>
      <w:r w:rsidRPr="003B3476">
        <w:rPr>
          <w:lang w:val="fr-FR" w:eastAsia="fr-FR" w:bidi="fr-FR"/>
        </w:rPr>
        <w:t xml:space="preserve">, p. 62, et </w:t>
      </w:r>
      <w:r w:rsidRPr="003B3476">
        <w:rPr>
          <w:rStyle w:val="Notedebasdepage7ptItalique"/>
          <w:b w:val="0"/>
          <w:sz w:val="24"/>
        </w:rPr>
        <w:t>La théologie dans le drame religieux en Allemagne</w:t>
      </w:r>
      <w:r w:rsidRPr="003B3476">
        <w:rPr>
          <w:lang w:val="fr-FR" w:eastAsia="fr-FR" w:bidi="fr-FR"/>
        </w:rPr>
        <w:t xml:space="preserve">, p. 514. </w:t>
      </w:r>
      <w:r w:rsidRPr="003B3476">
        <w:rPr>
          <w:smallCaps/>
        </w:rPr>
        <w:t>Franko</w:t>
      </w:r>
      <w:r w:rsidRPr="003B3476">
        <w:t xml:space="preserve"> </w:t>
      </w:r>
      <w:r w:rsidRPr="003B3476">
        <w:rPr>
          <w:lang w:val="fr-FR" w:eastAsia="fr-FR" w:bidi="fr-FR"/>
        </w:rPr>
        <w:t xml:space="preserve">dans la </w:t>
      </w:r>
      <w:r w:rsidRPr="003B3476">
        <w:rPr>
          <w:rStyle w:val="Notedebasdepage7ptItalique"/>
          <w:b w:val="0"/>
          <w:sz w:val="24"/>
        </w:rPr>
        <w:t>Kievskaïa Starina,</w:t>
      </w:r>
      <w:r w:rsidRPr="003B3476">
        <w:t xml:space="preserve"> </w:t>
      </w:r>
      <w:r w:rsidRPr="003B3476">
        <w:rPr>
          <w:lang w:val="fr-FR" w:eastAsia="fr-FR" w:bidi="fr-FR"/>
        </w:rPr>
        <w:t>t. LIV, suggère ce rapprochement ; il croit à l’origine occidentale du conte, et, bien qu’ayant en vain cherché dans les textes un intermédiaire polonais, il i</w:t>
      </w:r>
      <w:r w:rsidRPr="003B3476">
        <w:rPr>
          <w:lang w:val="fr-FR" w:eastAsia="fr-FR" w:bidi="fr-FR"/>
        </w:rPr>
        <w:t>n</w:t>
      </w:r>
      <w:r w:rsidRPr="003B3476">
        <w:rPr>
          <w:lang w:val="fr-FR" w:eastAsia="fr-FR" w:bidi="fr-FR"/>
        </w:rPr>
        <w:t xml:space="preserve">cline à penser que la transmission s’est faite parle canal de la Pologne. Mais il semble confondre le thème de </w:t>
      </w:r>
      <w:r w:rsidRPr="003B3476">
        <w:rPr>
          <w:rStyle w:val="Notedebasdepage7ptItalique"/>
          <w:b w:val="0"/>
          <w:sz w:val="24"/>
        </w:rPr>
        <w:t>Vanima infelix</w:t>
      </w:r>
      <w:r w:rsidRPr="003B3476">
        <w:t> — </w:t>
      </w:r>
      <w:r w:rsidRPr="003B3476">
        <w:rPr>
          <w:lang w:val="fr-FR" w:eastAsia="fr-FR" w:bidi="fr-FR"/>
        </w:rPr>
        <w:t>qui est, comme le montre bien D</w:t>
      </w:r>
      <w:r w:rsidRPr="003B3476">
        <w:rPr>
          <w:lang w:val="fr-FR" w:eastAsia="fr-FR" w:bidi="fr-FR"/>
        </w:rPr>
        <w:t>u</w:t>
      </w:r>
      <w:r w:rsidRPr="003B3476">
        <w:rPr>
          <w:lang w:val="fr-FR" w:eastAsia="fr-FR" w:bidi="fr-FR"/>
        </w:rPr>
        <w:t>riez, d’origine nettement théologique — avec un épisode pittoresque que deux drames allemands au moins insèrent dans la scène aux Limbes : celui de l’âme juste que les démons essayent en vain de retenir et qui leur est aussitôt arr</w:t>
      </w:r>
      <w:r w:rsidRPr="003B3476">
        <w:rPr>
          <w:lang w:val="fr-FR" w:eastAsia="fr-FR" w:bidi="fr-FR"/>
        </w:rPr>
        <w:t>a</w:t>
      </w:r>
      <w:r w:rsidRPr="003B3476">
        <w:rPr>
          <w:lang w:val="fr-FR" w:eastAsia="fr-FR" w:bidi="fr-FR"/>
        </w:rPr>
        <w:t>chée. Je ne vois pas que, quoi qu’en dise Franko, il soit question dans les te</w:t>
      </w:r>
      <w:r w:rsidRPr="003B3476">
        <w:rPr>
          <w:lang w:val="fr-FR" w:eastAsia="fr-FR" w:bidi="fr-FR"/>
        </w:rPr>
        <w:t>x</w:t>
      </w:r>
      <w:r w:rsidRPr="003B3476">
        <w:rPr>
          <w:lang w:val="fr-FR" w:eastAsia="fr-FR" w:bidi="fr-FR"/>
        </w:rPr>
        <w:t>tes cités par Wirth de juste laissé aux Enfers et effrayant les diables par l’annonce d’un retour du Christ.</w:t>
      </w:r>
    </w:p>
  </w:footnote>
  <w:footnote w:id="1021">
    <w:p w14:paraId="2A45866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Revue d’Histoire et de Littérature religieuses</w:t>
      </w:r>
      <w:r w:rsidRPr="003B3476">
        <w:rPr>
          <w:rStyle w:val="Notedebasdepage475ptNonItalique"/>
          <w:b w:val="0"/>
          <w:i w:val="0"/>
          <w:iCs w:val="0"/>
          <w:sz w:val="24"/>
        </w:rPr>
        <w:t>, 1921.</w:t>
      </w:r>
    </w:p>
  </w:footnote>
  <w:footnote w:id="1022">
    <w:p w14:paraId="4843050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NonItalique"/>
          <w:b w:val="0"/>
          <w:i w:val="0"/>
          <w:iCs w:val="0"/>
          <w:sz w:val="24"/>
        </w:rPr>
        <w:t xml:space="preserve">E. </w:t>
      </w:r>
      <w:r w:rsidRPr="003B3476">
        <w:rPr>
          <w:rStyle w:val="Notedebasdepage465ptNonItalique"/>
          <w:b w:val="0"/>
          <w:i w:val="0"/>
          <w:iCs w:val="0"/>
          <w:smallCaps/>
          <w:sz w:val="24"/>
        </w:rPr>
        <w:t>Babut</w:t>
      </w:r>
      <w:r w:rsidRPr="003B3476">
        <w:rPr>
          <w:rStyle w:val="Notedebasdepage465ptNonItalique"/>
          <w:b w:val="0"/>
          <w:i w:val="0"/>
          <w:iCs w:val="0"/>
          <w:sz w:val="24"/>
        </w:rPr>
        <w:t xml:space="preserve">, </w:t>
      </w:r>
      <w:r w:rsidRPr="003B3476">
        <w:rPr>
          <w:i/>
          <w:lang w:val="fr-FR" w:eastAsia="fr-FR" w:bidi="fr-FR"/>
        </w:rPr>
        <w:t>Saint Martin de Tours</w:t>
      </w:r>
      <w:r w:rsidRPr="003B3476">
        <w:rPr>
          <w:rStyle w:val="Notedebasdepage475ptNonItalique"/>
          <w:b w:val="0"/>
          <w:i w:val="0"/>
          <w:iCs w:val="0"/>
          <w:sz w:val="24"/>
        </w:rPr>
        <w:t xml:space="preserve">, in-8°, Paris, s. d. [1912] ; </w:t>
      </w:r>
      <w:r w:rsidRPr="003B3476">
        <w:rPr>
          <w:i/>
          <w:lang w:val="fr-FR" w:eastAsia="fr-FR" w:bidi="fr-FR"/>
        </w:rPr>
        <w:t>cf.</w:t>
      </w:r>
      <w:r w:rsidRPr="003B3476">
        <w:rPr>
          <w:lang w:val="fr-FR" w:eastAsia="fr-FR" w:bidi="fr-FR"/>
        </w:rPr>
        <w:t xml:space="preserve"> </w:t>
      </w:r>
      <w:r w:rsidRPr="003B3476">
        <w:rPr>
          <w:i/>
          <w:lang w:val="fr-FR" w:eastAsia="fr-FR" w:bidi="fr-FR"/>
        </w:rPr>
        <w:t>Revue d’Histoire et de Litt</w:t>
      </w:r>
      <w:r w:rsidRPr="003B3476">
        <w:rPr>
          <w:i/>
          <w:lang w:val="fr-FR" w:eastAsia="fr-FR" w:bidi="fr-FR"/>
        </w:rPr>
        <w:t>é</w:t>
      </w:r>
      <w:r w:rsidRPr="003B3476">
        <w:rPr>
          <w:i/>
          <w:lang w:val="fr-FR" w:eastAsia="fr-FR" w:bidi="fr-FR"/>
        </w:rPr>
        <w:t>rature religieuses</w:t>
      </w:r>
      <w:r w:rsidRPr="003B3476">
        <w:rPr>
          <w:rStyle w:val="Notedebasdepage475ptNonItalique"/>
          <w:b w:val="0"/>
          <w:i w:val="0"/>
          <w:iCs w:val="0"/>
          <w:sz w:val="24"/>
        </w:rPr>
        <w:t>, 1910 et 1911.</w:t>
      </w:r>
    </w:p>
  </w:footnote>
  <w:footnote w:id="1023">
    <w:p w14:paraId="4E239F1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Analecta Bollandiana</w:t>
      </w:r>
      <w:r w:rsidRPr="003B3476">
        <w:rPr>
          <w:lang w:val="fr-FR" w:eastAsia="fr-FR" w:bidi="fr-FR"/>
        </w:rPr>
        <w:t xml:space="preserve">, t. XXXVIII, 1920, p. 5-136. Le P. Delahaye avait déjà rendu compte, mais beaucoup plus brièvement, du livre de </w:t>
      </w:r>
      <w:r w:rsidRPr="003B3476">
        <w:rPr>
          <w:bCs/>
        </w:rPr>
        <w:t xml:space="preserve">M. Babut </w:t>
      </w:r>
      <w:r w:rsidRPr="003B3476">
        <w:rPr>
          <w:lang w:val="fr-FR" w:eastAsia="fr-FR" w:bidi="fr-FR"/>
        </w:rPr>
        <w:t xml:space="preserve">dans les </w:t>
      </w:r>
      <w:r w:rsidRPr="003B3476">
        <w:rPr>
          <w:rStyle w:val="Notedebasdepage7ptItalique"/>
          <w:b w:val="0"/>
          <w:sz w:val="24"/>
        </w:rPr>
        <w:t>Analecta,</w:t>
      </w:r>
      <w:r w:rsidRPr="003B3476">
        <w:rPr>
          <w:bCs/>
        </w:rPr>
        <w:t xml:space="preserve"> </w:t>
      </w:r>
      <w:r w:rsidRPr="003B3476">
        <w:rPr>
          <w:lang w:val="fr-FR" w:eastAsia="fr-FR" w:bidi="fr-FR"/>
        </w:rPr>
        <w:t>t. XXXII, 1913, p. 469-472.</w:t>
      </w:r>
    </w:p>
  </w:footnote>
  <w:footnote w:id="1024">
    <w:p w14:paraId="479A80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Un pareil raccourci ne va point sans inconvénients. Je crains de paraître inju</w:t>
      </w:r>
      <w:r w:rsidRPr="003B3476">
        <w:rPr>
          <w:lang w:val="fr-FR" w:eastAsia="fr-FR" w:bidi="fr-FR"/>
        </w:rPr>
        <w:t>s</w:t>
      </w:r>
      <w:r w:rsidRPr="003B3476">
        <w:rPr>
          <w:lang w:val="fr-FR" w:eastAsia="fr-FR" w:bidi="fr-FR"/>
        </w:rPr>
        <w:t>te envers le P. Delehaye, en passant sous silence les discussions de détail où sa rare érudition et son sens critique se sont donné libre carrière. En ce qui to</w:t>
      </w:r>
      <w:r w:rsidRPr="003B3476">
        <w:rPr>
          <w:lang w:val="fr-FR" w:eastAsia="fr-FR" w:bidi="fr-FR"/>
        </w:rPr>
        <w:t>u</w:t>
      </w:r>
      <w:r w:rsidRPr="003B3476">
        <w:rPr>
          <w:lang w:val="fr-FR" w:eastAsia="fr-FR" w:bidi="fr-FR"/>
        </w:rPr>
        <w:t>che le livre de M. Babut, je cours un risque encore plus grave. Contraint de r</w:t>
      </w:r>
      <w:r w:rsidRPr="003B3476">
        <w:rPr>
          <w:lang w:val="fr-FR" w:eastAsia="fr-FR" w:bidi="fr-FR"/>
        </w:rPr>
        <w:t>é</w:t>
      </w:r>
      <w:r w:rsidRPr="003B3476">
        <w:rPr>
          <w:lang w:val="fr-FR" w:eastAsia="fr-FR" w:bidi="fr-FR"/>
        </w:rPr>
        <w:t>sumer sèchement des démonstrations nourries de faits et d’idées, de substituer à des développements finement nuancés un trait trop gros, et trop lourdement appuyé, ne semblerai-je point trahir la pensée même dont je cherche à montrer la justesse ? Ce sont là les dangers auxquels on s’expose toutes les fois que, dans une théorie ou dans une controverse, on s’efforce de ne retenir que l’essentiel ; il faut quelquefois les braver.</w:t>
      </w:r>
    </w:p>
  </w:footnote>
  <w:footnote w:id="1025">
    <w:p w14:paraId="0D3079D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Vita S. Martini</w:t>
      </w:r>
      <w:r w:rsidRPr="003B3476">
        <w:rPr>
          <w:lang w:val="fr-FR" w:eastAsia="fr-FR" w:bidi="fr-FR"/>
        </w:rPr>
        <w:t xml:space="preserve">, </w:t>
      </w:r>
      <w:r w:rsidRPr="003B3476">
        <w:rPr>
          <w:bCs/>
        </w:rPr>
        <w:t xml:space="preserve">3, 4 </w:t>
      </w:r>
      <w:r w:rsidRPr="003B3476">
        <w:rPr>
          <w:lang w:val="fr-FR" w:eastAsia="fr-FR" w:bidi="fr-FR"/>
        </w:rPr>
        <w:t xml:space="preserve">et </w:t>
      </w:r>
      <w:r w:rsidRPr="003B3476">
        <w:rPr>
          <w:bCs/>
        </w:rPr>
        <w:t xml:space="preserve">5, </w:t>
      </w:r>
      <w:r w:rsidRPr="003B3476">
        <w:rPr>
          <w:lang w:val="fr-FR" w:eastAsia="fr-FR" w:bidi="fr-FR"/>
        </w:rPr>
        <w:t xml:space="preserve">et </w:t>
      </w:r>
      <w:r w:rsidRPr="003B3476">
        <w:rPr>
          <w:bCs/>
        </w:rPr>
        <w:t xml:space="preserve">4, 1-3. </w:t>
      </w:r>
      <w:r w:rsidRPr="003B3476">
        <w:rPr>
          <w:lang w:val="fr-FR" w:eastAsia="fr-FR" w:bidi="fr-FR"/>
        </w:rPr>
        <w:t xml:space="preserve">Pour les variantes des manuscrits </w:t>
      </w:r>
      <w:r w:rsidRPr="003B3476">
        <w:rPr>
          <w:bCs/>
          <w:i/>
        </w:rPr>
        <w:t>cf.</w:t>
      </w:r>
      <w:r w:rsidRPr="003B3476">
        <w:rPr>
          <w:lang w:val="fr-FR" w:eastAsia="fr-FR" w:bidi="fr-FR"/>
        </w:rPr>
        <w:t> </w:t>
      </w:r>
      <w:r w:rsidRPr="003B3476">
        <w:rPr>
          <w:bCs/>
        </w:rPr>
        <w:t xml:space="preserve">Delehaye, </w:t>
      </w:r>
      <w:r w:rsidRPr="003B3476">
        <w:rPr>
          <w:lang w:val="fr-FR" w:eastAsia="fr-FR" w:bidi="fr-FR"/>
        </w:rPr>
        <w:t xml:space="preserve">loc. </w:t>
      </w:r>
      <w:r w:rsidRPr="003B3476">
        <w:rPr>
          <w:bCs/>
        </w:rPr>
        <w:t>cit.y</w:t>
      </w:r>
      <w:r w:rsidRPr="003B3476">
        <w:rPr>
          <w:lang w:val="fr-FR" w:eastAsia="fr-FR" w:bidi="fr-FR"/>
        </w:rPr>
        <w:t xml:space="preserve"> p. 21.</w:t>
      </w:r>
    </w:p>
  </w:footnote>
  <w:footnote w:id="1026">
    <w:p w14:paraId="17BF59F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Dialog</w:t>
      </w:r>
      <w:r w:rsidRPr="003B3476">
        <w:rPr>
          <w:bCs/>
        </w:rPr>
        <w:t>.,</w:t>
      </w:r>
      <w:r w:rsidRPr="003B3476">
        <w:rPr>
          <w:lang w:val="fr-FR" w:eastAsia="fr-FR" w:bidi="fr-FR"/>
        </w:rPr>
        <w:t xml:space="preserve"> II, 7, 4. Il s’agit d’un repas servi à Martin parla « reine » elle-même, c’est-à-dire pour l’impératrice, femme de Maxime. Tous les érudits sont d’accord pour penser que cet épisode ne peut se placer qu’avant l’affaire du Priscillianisme, qui brouilla Martin avec la cour de Trêves, c’est-à-dire </w:t>
      </w:r>
      <w:r w:rsidRPr="003B3476">
        <w:rPr>
          <w:bCs/>
          <w:i/>
        </w:rPr>
        <w:t>au plus tard</w:t>
      </w:r>
      <w:r w:rsidRPr="003B3476">
        <w:rPr>
          <w:lang w:val="fr-FR" w:eastAsia="fr-FR" w:bidi="fr-FR"/>
        </w:rPr>
        <w:t xml:space="preserve"> en </w:t>
      </w:r>
      <w:r w:rsidRPr="003B3476">
        <w:rPr>
          <w:bCs/>
        </w:rPr>
        <w:t>386.</w:t>
      </w:r>
    </w:p>
  </w:footnote>
  <w:footnote w:id="1027">
    <w:p w14:paraId="22EB344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275ptItalique"/>
          <w:b w:val="0"/>
          <w:sz w:val="24"/>
        </w:rPr>
        <w:t>Vita,</w:t>
      </w:r>
      <w:r w:rsidRPr="003B3476">
        <w:t xml:space="preserve"> </w:t>
      </w:r>
      <w:r w:rsidRPr="003B3476">
        <w:rPr>
          <w:lang w:val="fr-FR" w:eastAsia="fr-FR" w:bidi="fr-FR"/>
        </w:rPr>
        <w:t>3, 5.</w:t>
      </w:r>
    </w:p>
  </w:footnote>
  <w:footnote w:id="1028">
    <w:p w14:paraId="3441F9B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Il y a bien d’autres difficultés chronologiques chez Sulpice Sévère. Mais je ne retiens ici que l’essentiel.</w:t>
      </w:r>
    </w:p>
  </w:footnote>
  <w:footnote w:id="1029">
    <w:p w14:paraId="62168EF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
          <w:b w:val="0"/>
          <w:sz w:val="24"/>
        </w:rPr>
        <w:t>Vita,</w:t>
      </w:r>
      <w:r w:rsidRPr="003B3476">
        <w:rPr>
          <w:rStyle w:val="Notedebasdepage7ptNonGras"/>
          <w:b w:val="0"/>
          <w:bCs w:val="0"/>
          <w:sz w:val="24"/>
        </w:rPr>
        <w:t xml:space="preserve"> </w:t>
      </w:r>
      <w:r w:rsidRPr="003B3476">
        <w:rPr>
          <w:lang w:val="fr-FR" w:eastAsia="fr-FR" w:bidi="fr-FR"/>
        </w:rPr>
        <w:t>6, 4.</w:t>
      </w:r>
    </w:p>
  </w:footnote>
  <w:footnote w:id="1030">
    <w:p w14:paraId="16787D1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95.</w:t>
      </w:r>
    </w:p>
  </w:footnote>
  <w:footnote w:id="1031">
    <w:p w14:paraId="2764AF6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96.</w:t>
      </w:r>
    </w:p>
  </w:footnote>
  <w:footnote w:id="1032">
    <w:p w14:paraId="5CA9010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184.</w:t>
      </w:r>
    </w:p>
  </w:footnote>
  <w:footnote w:id="1033">
    <w:p w14:paraId="5A98DC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Toute la période de la vie de saint Martin qui s’étend entre le moment où il quitta l’armée et son élection à l’épiscopat est difficile à connaître. M. Babut a essayé de porter la lumière dans le récit de Sulpice, qui est fort obscur. Sur l’épisode de la persécution pannonienne, je crois, comme on l’a vu, qu’il a touché juste. Sur d’autres points sa critique peut sembler subtile à l’excès. Il faut nous résigner à beaucoup ignorer.</w:t>
      </w:r>
    </w:p>
  </w:footnote>
  <w:footnote w:id="1034">
    <w:p w14:paraId="353EEA9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P. 136.</w:t>
      </w:r>
    </w:p>
  </w:footnote>
  <w:footnote w:id="1035">
    <w:p w14:paraId="49BB679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Et bien entendu, par l’intermédiaire de la littérature monastique, à des récits païens. Mais cela ne nous importe pas ici.</w:t>
      </w:r>
    </w:p>
  </w:footnote>
  <w:footnote w:id="1036">
    <w:p w14:paraId="358214E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Dialog</w:t>
      </w:r>
      <w:r w:rsidRPr="003B3476">
        <w:rPr>
          <w:bCs/>
        </w:rPr>
        <w:t>.,</w:t>
      </w:r>
      <w:r w:rsidRPr="003B3476">
        <w:t xml:space="preserve"> </w:t>
      </w:r>
      <w:r w:rsidRPr="003B3476">
        <w:rPr>
          <w:lang w:val="fr-FR" w:eastAsia="fr-FR" w:bidi="fr-FR"/>
        </w:rPr>
        <w:t>III, 13, 6.</w:t>
      </w:r>
    </w:p>
  </w:footnote>
  <w:footnote w:id="1037">
    <w:p w14:paraId="5A689D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Dialog</w:t>
      </w:r>
      <w:r w:rsidRPr="003B3476">
        <w:rPr>
          <w:lang w:val="fr-FR" w:eastAsia="fr-FR" w:bidi="fr-FR"/>
        </w:rPr>
        <w:t>, 2, 4.</w:t>
      </w:r>
    </w:p>
  </w:footnote>
  <w:footnote w:id="1038">
    <w:p w14:paraId="7A7CE6B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105.</w:t>
      </w:r>
    </w:p>
  </w:footnote>
  <w:footnote w:id="1039">
    <w:p w14:paraId="24AD27D2"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V. </w:t>
      </w:r>
      <w:r w:rsidRPr="003B3476">
        <w:rPr>
          <w:smallCaps/>
        </w:rPr>
        <w:t>Babut</w:t>
      </w:r>
      <w:r w:rsidRPr="003B3476">
        <w:t xml:space="preserve">, </w:t>
      </w:r>
      <w:r w:rsidRPr="003B3476">
        <w:rPr>
          <w:rStyle w:val="Notedebasdepage475ptItalique"/>
          <w:b w:val="0"/>
          <w:sz w:val="24"/>
        </w:rPr>
        <w:t>loc. cit</w:t>
      </w:r>
      <w:r w:rsidRPr="003B3476">
        <w:t xml:space="preserve">., </w:t>
      </w:r>
      <w:r w:rsidRPr="003B3476">
        <w:rPr>
          <w:lang w:val="fr-FR" w:eastAsia="fr-FR" w:bidi="fr-FR"/>
        </w:rPr>
        <w:t xml:space="preserve">p. </w:t>
      </w:r>
      <w:r w:rsidRPr="003B3476">
        <w:t xml:space="preserve">138 </w:t>
      </w:r>
      <w:r w:rsidRPr="003B3476">
        <w:rPr>
          <w:lang w:val="fr-FR" w:eastAsia="fr-FR" w:bidi="fr-FR"/>
        </w:rPr>
        <w:t>et suiv.</w:t>
      </w:r>
    </w:p>
  </w:footnote>
  <w:footnote w:id="1040">
    <w:p w14:paraId="21DD757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P. 234.</w:t>
      </w:r>
    </w:p>
  </w:footnote>
  <w:footnote w:id="1041">
    <w:p w14:paraId="47F0F9D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Si du moins je comprends bien cette phrase : « disons tout de suite que, quand Sulpice veut faire de Martin l’égal des apôtres et des prophètes, il songe moins à une activité spéciale qu’au rang éminent qu’ils occupent dans l’ordre de la sainteté » (p. 52).</w:t>
      </w:r>
    </w:p>
  </w:footnote>
  <w:footnote w:id="1042">
    <w:p w14:paraId="02ADF7F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P. 133.</w:t>
      </w:r>
    </w:p>
  </w:footnote>
  <w:footnote w:id="1043">
    <w:p w14:paraId="670D808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Notamment p. 135.</w:t>
      </w:r>
    </w:p>
  </w:footnote>
  <w:footnote w:id="1044">
    <w:p w14:paraId="0C09EE02"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Dans l’instauration du culte de saint Martin à Tours, quel fut le rôle exact de l’évêque Perpetuus ? M. Babut le croyait considérable ; le P. Delehaye tend à le réduire. C’est une question difficile. On ne pourra sans doute présenter de réponse certaine que le jour où nous posséderons sur la tradition manuscrite des œuvres de Sulpice Sévère des lumières que pour l’instant nous n’avons point (</w:t>
      </w:r>
      <w:r w:rsidRPr="003B3476">
        <w:rPr>
          <w:i/>
          <w:lang w:val="fr-FR" w:eastAsia="fr-FR" w:bidi="fr-FR"/>
        </w:rPr>
        <w:t>cf.</w:t>
      </w:r>
      <w:r w:rsidRPr="003B3476">
        <w:rPr>
          <w:lang w:val="fr-FR" w:eastAsia="fr-FR" w:bidi="fr-FR"/>
        </w:rPr>
        <w:t xml:space="preserve"> le mémoire du P. </w:t>
      </w:r>
      <w:r w:rsidRPr="003B3476">
        <w:rPr>
          <w:rStyle w:val="Notedebasdepage65ptPetitesmajuscules"/>
          <w:b w:val="0"/>
          <w:sz w:val="24"/>
        </w:rPr>
        <w:t xml:space="preserve">Delehaye, </w:t>
      </w:r>
      <w:r w:rsidRPr="003B3476">
        <w:rPr>
          <w:lang w:val="fr-FR" w:eastAsia="fr-FR" w:bidi="fr-FR"/>
        </w:rPr>
        <w:t xml:space="preserve">p. </w:t>
      </w:r>
      <w:r w:rsidRPr="003B3476">
        <w:rPr>
          <w:bCs/>
        </w:rPr>
        <w:t xml:space="preserve">8 </w:t>
      </w:r>
      <w:r w:rsidRPr="003B3476">
        <w:rPr>
          <w:lang w:val="fr-FR" w:eastAsia="fr-FR" w:bidi="fr-FR"/>
        </w:rPr>
        <w:t>et suiv.). Un petit poème de Sido</w:t>
      </w:r>
      <w:r w:rsidRPr="003B3476">
        <w:rPr>
          <w:lang w:val="fr-FR" w:eastAsia="fr-FR" w:bidi="fr-FR"/>
        </w:rPr>
        <w:t>i</w:t>
      </w:r>
      <w:r w:rsidRPr="003B3476">
        <w:rPr>
          <w:lang w:val="fr-FR" w:eastAsia="fr-FR" w:bidi="fr-FR"/>
        </w:rPr>
        <w:t xml:space="preserve">ne Apollinaire forme dans le dossier de Perpetuus une des pièces essentielles. M. Babut et le P. Delehaye l’interprètent différemment. La controverse porte en particulier sur le sens plus ou moins fort à donner au mot </w:t>
      </w:r>
      <w:r w:rsidRPr="003B3476">
        <w:rPr>
          <w:bCs/>
        </w:rPr>
        <w:t>invidia.</w:t>
      </w:r>
      <w:r w:rsidRPr="003B3476">
        <w:rPr>
          <w:lang w:val="fr-FR" w:eastAsia="fr-FR" w:bidi="fr-FR"/>
        </w:rPr>
        <w:t xml:space="preserve"> Il s’agit d’une nuance, assez malaisée à préciser. C’est pourquoi on est étonné de voir le P. Delehaye qualifier de « contresens » la traduction de M. Babut (p. 123). Tout en me ralliant à l’avis de M. Babut, je n’oserais pour ma part appliquer ce terme de collège à la traduction, trop atténuée à mon gré, qu’a proposée le P. Delehaye.</w:t>
      </w:r>
    </w:p>
  </w:footnote>
  <w:footnote w:id="1045">
    <w:p w14:paraId="73FC771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65ptPetitesmajuscules"/>
          <w:b w:val="0"/>
          <w:sz w:val="24"/>
        </w:rPr>
        <w:t xml:space="preserve">Grégoire de Tours, </w:t>
      </w:r>
      <w:r w:rsidRPr="003B3476">
        <w:rPr>
          <w:bCs/>
          <w:i/>
        </w:rPr>
        <w:t>Historia Francomm</w:t>
      </w:r>
      <w:r w:rsidRPr="003B3476">
        <w:rPr>
          <w:lang w:val="fr-FR" w:eastAsia="fr-FR" w:bidi="fr-FR"/>
        </w:rPr>
        <w:t>, II, 26 et X, 31 (il s’agit des év</w:t>
      </w:r>
      <w:r w:rsidRPr="003B3476">
        <w:rPr>
          <w:lang w:val="fr-FR" w:eastAsia="fr-FR" w:bidi="fr-FR"/>
        </w:rPr>
        <w:t>ê</w:t>
      </w:r>
      <w:r w:rsidRPr="003B3476">
        <w:rPr>
          <w:lang w:val="fr-FR" w:eastAsia="fr-FR" w:bidi="fr-FR"/>
        </w:rPr>
        <w:t>ques Volusi</w:t>
      </w:r>
      <w:r w:rsidRPr="003B3476">
        <w:rPr>
          <w:lang w:val="fr-FR" w:eastAsia="fr-FR" w:bidi="fr-FR"/>
        </w:rPr>
        <w:t>a</w:t>
      </w:r>
      <w:r w:rsidRPr="003B3476">
        <w:rPr>
          <w:lang w:val="fr-FR" w:eastAsia="fr-FR" w:bidi="fr-FR"/>
        </w:rPr>
        <w:t>nus et Verus).</w:t>
      </w:r>
    </w:p>
  </w:footnote>
  <w:footnote w:id="1046">
    <w:p w14:paraId="3771F90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Ibid</w:t>
      </w:r>
      <w:r w:rsidRPr="003B3476">
        <w:rPr>
          <w:bCs/>
        </w:rPr>
        <w:t>.,</w:t>
      </w:r>
      <w:r w:rsidRPr="003B3476">
        <w:rPr>
          <w:lang w:val="fr-FR" w:eastAsia="fr-FR" w:bidi="fr-FR"/>
        </w:rPr>
        <w:t xml:space="preserve"> t. II, 37, 38. Si l’on en croit la lettre de l’évêque de Trêves Nicetius à la reine des Lombards Chlodosuinde (dans la collection dite </w:t>
      </w:r>
      <w:r w:rsidRPr="003B3476">
        <w:rPr>
          <w:bCs/>
          <w:i/>
        </w:rPr>
        <w:t>Epistolae Austras</w:t>
      </w:r>
      <w:r w:rsidRPr="003B3476">
        <w:rPr>
          <w:bCs/>
          <w:i/>
        </w:rPr>
        <w:t>i</w:t>
      </w:r>
      <w:r w:rsidRPr="003B3476">
        <w:rPr>
          <w:bCs/>
          <w:i/>
        </w:rPr>
        <w:t>cae Monum. German. Epistol</w:t>
      </w:r>
      <w:r w:rsidRPr="003B3476">
        <w:rPr>
          <w:lang w:val="fr-FR" w:eastAsia="fr-FR" w:bidi="fr-FR"/>
        </w:rPr>
        <w:t>., III, p. 119), c’est à Saint-Martin de Tours que Clovis aurait reçu le baptême. Mais c’est là un point obscur, et fort controve</w:t>
      </w:r>
      <w:r w:rsidRPr="003B3476">
        <w:rPr>
          <w:lang w:val="fr-FR" w:eastAsia="fr-FR" w:bidi="fr-FR"/>
        </w:rPr>
        <w:t>r</w:t>
      </w:r>
      <w:r w:rsidRPr="003B3476">
        <w:rPr>
          <w:lang w:val="fr-FR" w:eastAsia="fr-FR" w:bidi="fr-FR"/>
        </w:rPr>
        <w:t>sé.</w:t>
      </w:r>
    </w:p>
  </w:footnote>
  <w:footnote w:id="1047">
    <w:p w14:paraId="2A6AB66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Analecta Bollandiana</w:t>
      </w:r>
      <w:r w:rsidRPr="003B3476">
        <w:rPr>
          <w:lang w:val="fr-FR" w:eastAsia="fr-FR" w:bidi="fr-FR"/>
        </w:rPr>
        <w:t>, t. XLI, 1923, p. 5-131.</w:t>
      </w:r>
    </w:p>
  </w:footnote>
  <w:footnote w:id="1048">
    <w:p w14:paraId="5AE3ED0C" w14:textId="77777777" w:rsidR="00B9662D" w:rsidRPr="003B3476" w:rsidRDefault="00B9662D" w:rsidP="00B9662D">
      <w:pPr>
        <w:pStyle w:val="Notedebasdepage"/>
      </w:pPr>
      <w:r w:rsidRPr="003B3476">
        <w:rPr>
          <w:rStyle w:val="Appelnotedebasdep"/>
        </w:rPr>
        <w:t>*</w:t>
      </w:r>
      <w:r w:rsidRPr="003B3476">
        <w:t xml:space="preserve"> </w:t>
      </w:r>
      <w:r w:rsidRPr="003B3476">
        <w:tab/>
      </w:r>
      <w:r w:rsidRPr="003B3476">
        <w:rPr>
          <w:lang w:val="fr-FR" w:eastAsia="fr-FR" w:bidi="fr-FR"/>
        </w:rPr>
        <w:t xml:space="preserve">Voir </w:t>
      </w:r>
      <w:r w:rsidRPr="003B3476">
        <w:rPr>
          <w:bCs/>
        </w:rPr>
        <w:t>in fine</w:t>
      </w:r>
      <w:r w:rsidRPr="003B3476">
        <w:rPr>
          <w:lang w:val="fr-FR" w:eastAsia="fr-FR" w:bidi="fr-FR"/>
        </w:rPr>
        <w:t xml:space="preserve"> la liste des abréviations bibliographiques.</w:t>
      </w:r>
    </w:p>
  </w:footnote>
  <w:footnote w:id="1049">
    <w:p w14:paraId="7509D393" w14:textId="77777777" w:rsidR="00B9662D" w:rsidRPr="003B3476" w:rsidRDefault="00B9662D" w:rsidP="00B9662D">
      <w:pPr>
        <w:pStyle w:val="Notedebasdepage"/>
      </w:pPr>
      <w:r w:rsidRPr="003B3476">
        <w:rPr>
          <w:rStyle w:val="Appelnotedebasdep"/>
        </w:rPr>
        <w:footnoteRef/>
      </w:r>
      <w:r w:rsidRPr="003B3476">
        <w:t xml:space="preserve"> </w:t>
      </w:r>
      <w:r w:rsidRPr="003B3476">
        <w:tab/>
        <w:t>Voici l’indication des principaux ouvrages que l’on trouvera cités soit dans l’</w:t>
      </w:r>
      <w:r w:rsidRPr="003B3476">
        <w:rPr>
          <w:i/>
        </w:rPr>
        <w:t>Introduction</w:t>
      </w:r>
      <w:r w:rsidRPr="003B3476">
        <w:t xml:space="preserve"> soit dans les notes dont j’ai accompagné le texte d’Osbert :</w:t>
      </w:r>
    </w:p>
    <w:p w14:paraId="1506B607" w14:textId="77777777" w:rsidR="00B9662D" w:rsidRPr="003B3476" w:rsidRDefault="00B9662D" w:rsidP="00B9662D">
      <w:pPr>
        <w:pStyle w:val="Notedebasdepage"/>
      </w:pPr>
      <w:r w:rsidRPr="003B3476">
        <w:tab/>
      </w:r>
      <w:r w:rsidRPr="003B3476">
        <w:tab/>
        <w:t xml:space="preserve">AILREDI </w:t>
      </w:r>
      <w:r w:rsidRPr="003B3476">
        <w:rPr>
          <w:i/>
        </w:rPr>
        <w:t>abbatis Rieuallensis Vita Edwardi regis et confessoris</w:t>
      </w:r>
      <w:r w:rsidRPr="003B3476">
        <w:t xml:space="preserve">, éd. R. TWYSDEN, </w:t>
      </w:r>
      <w:r w:rsidRPr="003B3476">
        <w:rPr>
          <w:i/>
        </w:rPr>
        <w:t>Historiae anglicanae scriptores X</w:t>
      </w:r>
      <w:r w:rsidRPr="003B3476">
        <w:t xml:space="preserve">, Londres, 1652, col. 369 et suiv. (pour les autres éditions, </w:t>
      </w:r>
      <w:r w:rsidRPr="003B3476">
        <w:rPr>
          <w:i/>
        </w:rPr>
        <w:t>cf.</w:t>
      </w:r>
      <w:r w:rsidRPr="003B3476">
        <w:t xml:space="preserve"> </w:t>
      </w:r>
      <w:r w:rsidRPr="003B3476">
        <w:rPr>
          <w:i/>
        </w:rPr>
        <w:t>infra</w:t>
      </w:r>
      <w:r w:rsidRPr="003B3476">
        <w:t xml:space="preserve">, p. 955, n. 8 ; Heinrich BÖHMER, </w:t>
      </w:r>
      <w:r w:rsidRPr="003B3476">
        <w:rPr>
          <w:i/>
        </w:rPr>
        <w:t>Ki</w:t>
      </w:r>
      <w:r w:rsidRPr="003B3476">
        <w:rPr>
          <w:i/>
        </w:rPr>
        <w:t>r</w:t>
      </w:r>
      <w:r w:rsidRPr="003B3476">
        <w:rPr>
          <w:i/>
        </w:rPr>
        <w:t>che und Staat in England und in der Normandie im XI. und XII. Jahrhundert</w:t>
      </w:r>
      <w:r w:rsidRPr="003B3476">
        <w:t xml:space="preserve">, Leipzig, 1899 ; William DUGDALE, </w:t>
      </w:r>
      <w:r w:rsidRPr="003B3476">
        <w:rPr>
          <w:i/>
        </w:rPr>
        <w:t>Monasticon Anglicanum</w:t>
      </w:r>
      <w:r w:rsidRPr="003B3476">
        <w:t xml:space="preserve">, éd. de 1846, 6 vol. Londres ; E. A. FREEMAN, </w:t>
      </w:r>
      <w:r w:rsidRPr="003B3476">
        <w:rPr>
          <w:i/>
        </w:rPr>
        <w:t>History of the Norman Conquest</w:t>
      </w:r>
      <w:r w:rsidRPr="003B3476">
        <w:t>, 6 vol, O</w:t>
      </w:r>
      <w:r w:rsidRPr="003B3476">
        <w:t>x</w:t>
      </w:r>
      <w:r w:rsidRPr="003B3476">
        <w:t xml:space="preserve">ford, 1867-1879 (je n’ai pu </w:t>
      </w:r>
      <w:r w:rsidRPr="003B3476">
        <w:rPr>
          <w:lang w:val="fr-FR" w:eastAsia="fr-FR" w:bidi="fr-FR"/>
        </w:rPr>
        <w:t>consulter que pour les tomes I et II la 2</w:t>
      </w:r>
      <w:r w:rsidRPr="003B3476">
        <w:rPr>
          <w:vertAlign w:val="superscript"/>
          <w:lang w:val="fr-FR" w:eastAsia="fr-FR" w:bidi="fr-FR"/>
        </w:rPr>
        <w:t>e</w:t>
      </w:r>
      <w:r w:rsidRPr="003B3476">
        <w:rPr>
          <w:lang w:val="fr-FR" w:eastAsia="fr-FR" w:bidi="fr-FR"/>
        </w:rPr>
        <w:t xml:space="preserve"> édition, datée de 1870) ; J. M. </w:t>
      </w:r>
      <w:r w:rsidRPr="003B3476">
        <w:rPr>
          <w:rStyle w:val="Notedebasdepage65ptPetitesmajuscules"/>
          <w:b w:val="0"/>
          <w:sz w:val="24"/>
        </w:rPr>
        <w:t xml:space="preserve">Kemble, </w:t>
      </w:r>
      <w:r w:rsidRPr="003B3476">
        <w:rPr>
          <w:i/>
        </w:rPr>
        <w:t xml:space="preserve">Codex diplomaticus aevi saxonici </w:t>
      </w:r>
      <w:r w:rsidRPr="003B3476">
        <w:t>(Engl. Hist. Soc.)</w:t>
      </w:r>
      <w:r w:rsidRPr="003B3476">
        <w:rPr>
          <w:lang w:val="fr-FR" w:eastAsia="fr-FR" w:bidi="fr-FR"/>
        </w:rPr>
        <w:t xml:space="preserve"> 6 vol. Londres, 1839-1848 ; </w:t>
      </w:r>
      <w:r w:rsidRPr="003B3476">
        <w:rPr>
          <w:i/>
        </w:rPr>
        <w:t>Lives of Edward the Confessor</w:t>
      </w:r>
      <w:r w:rsidRPr="003B3476">
        <w:t xml:space="preserve"> </w:t>
      </w:r>
      <w:r w:rsidRPr="003B3476">
        <w:rPr>
          <w:lang w:val="fr-FR" w:eastAsia="fr-FR" w:bidi="fr-FR"/>
        </w:rPr>
        <w:t xml:space="preserve">éd. </w:t>
      </w:r>
      <w:r w:rsidRPr="003B3476">
        <w:rPr>
          <w:rStyle w:val="Notedebasdepage65ptPetitesmajuscules"/>
          <w:b w:val="0"/>
          <w:sz w:val="24"/>
        </w:rPr>
        <w:t xml:space="preserve">Luard, </w:t>
      </w:r>
      <w:r w:rsidRPr="003B3476">
        <w:rPr>
          <w:i/>
        </w:rPr>
        <w:t>Rolls Series</w:t>
      </w:r>
      <w:r w:rsidRPr="003B3476">
        <w:rPr>
          <w:lang w:val="fr-FR" w:eastAsia="fr-FR" w:bidi="fr-FR"/>
        </w:rPr>
        <w:t xml:space="preserve">, 1858 ; </w:t>
      </w:r>
      <w:r w:rsidRPr="003B3476">
        <w:rPr>
          <w:i/>
        </w:rPr>
        <w:t>Notes and documents relating to Westminster Abbey</w:t>
      </w:r>
      <w:r w:rsidRPr="003B3476">
        <w:t> : 2.</w:t>
      </w:r>
      <w:r w:rsidRPr="003B3476">
        <w:rPr>
          <w:lang w:val="fr-FR" w:eastAsia="fr-FR" w:bidi="fr-FR"/>
        </w:rPr>
        <w:t xml:space="preserve"> J. Armitage </w:t>
      </w:r>
      <w:r w:rsidRPr="003B3476">
        <w:rPr>
          <w:rStyle w:val="Notedebasdepage65ptPetitesmajuscules"/>
          <w:b w:val="0"/>
          <w:sz w:val="24"/>
        </w:rPr>
        <w:t xml:space="preserve">Robinson, </w:t>
      </w:r>
      <w:r w:rsidRPr="003B3476">
        <w:rPr>
          <w:i/>
        </w:rPr>
        <w:t>The History of Westminster Abbey by John Flete</w:t>
      </w:r>
      <w:r w:rsidRPr="003B3476">
        <w:rPr>
          <w:lang w:val="fr-FR" w:eastAsia="fr-FR" w:bidi="fr-FR"/>
        </w:rPr>
        <w:t>, Ca</w:t>
      </w:r>
      <w:r w:rsidRPr="003B3476">
        <w:rPr>
          <w:lang w:val="fr-FR" w:eastAsia="fr-FR" w:bidi="fr-FR"/>
        </w:rPr>
        <w:t>m</w:t>
      </w:r>
      <w:r w:rsidRPr="003B3476">
        <w:rPr>
          <w:lang w:val="fr-FR" w:eastAsia="fr-FR" w:bidi="fr-FR"/>
        </w:rPr>
        <w:t xml:space="preserve">bridge, 1909, 3. J. Armitage </w:t>
      </w:r>
      <w:r w:rsidRPr="003B3476">
        <w:rPr>
          <w:rStyle w:val="Notedebasdepage65ptPetitesmajuscules"/>
          <w:b w:val="0"/>
          <w:sz w:val="24"/>
        </w:rPr>
        <w:t xml:space="preserve">Robinson, </w:t>
      </w:r>
      <w:r w:rsidRPr="003B3476">
        <w:rPr>
          <w:i/>
        </w:rPr>
        <w:t>Gilbert Crispin</w:t>
      </w:r>
      <w:r w:rsidRPr="003B3476">
        <w:rPr>
          <w:i/>
          <w:lang w:val="fr-FR" w:eastAsia="fr-FR" w:bidi="fr-FR"/>
        </w:rPr>
        <w:t xml:space="preserve">, </w:t>
      </w:r>
      <w:r w:rsidRPr="003B3476">
        <w:rPr>
          <w:i/>
        </w:rPr>
        <w:t>abbot of Westminster</w:t>
      </w:r>
      <w:r w:rsidRPr="003B3476">
        <w:rPr>
          <w:lang w:val="fr-FR" w:eastAsia="fr-FR" w:bidi="fr-FR"/>
        </w:rPr>
        <w:t xml:space="preserve">, 1911, 5. E. </w:t>
      </w:r>
      <w:r w:rsidRPr="003B3476">
        <w:rPr>
          <w:rStyle w:val="Notedebasdepage65ptPetitesmajuscules"/>
          <w:b w:val="0"/>
          <w:sz w:val="24"/>
        </w:rPr>
        <w:t xml:space="preserve">H. Pearce, </w:t>
      </w:r>
      <w:r w:rsidRPr="003B3476">
        <w:rPr>
          <w:i/>
        </w:rPr>
        <w:t>The monks of Westminster</w:t>
      </w:r>
      <w:r w:rsidRPr="003B3476">
        <w:rPr>
          <w:lang w:val="fr-FR" w:eastAsia="fr-FR" w:bidi="fr-FR"/>
        </w:rPr>
        <w:t xml:space="preserve">, 1916 ; </w:t>
      </w:r>
      <w:r w:rsidRPr="003B3476">
        <w:rPr>
          <w:i/>
        </w:rPr>
        <w:t>Two of the Saxon Chronicles parallel with supplementary extracts from the others</w:t>
      </w:r>
      <w:r w:rsidRPr="003B3476">
        <w:rPr>
          <w:lang w:val="fr-FR" w:eastAsia="fr-FR" w:bidi="fr-FR"/>
        </w:rPr>
        <w:t xml:space="preserve">, éd. Ch. </w:t>
      </w:r>
      <w:r w:rsidRPr="003B3476">
        <w:rPr>
          <w:rStyle w:val="Notedebasdepage65ptPetitesmajuscules"/>
          <w:b w:val="0"/>
          <w:sz w:val="24"/>
        </w:rPr>
        <w:t xml:space="preserve">Plummer, </w:t>
      </w:r>
      <w:r w:rsidRPr="003B3476">
        <w:rPr>
          <w:lang w:val="fr-FR" w:eastAsia="fr-FR" w:bidi="fr-FR"/>
        </w:rPr>
        <w:t>2 vol. Oxford, 1892-1899 (je citerai régulièrement les chroniques anglo-saxonnes d’après cette édition et j’ai fait le plus large emploi des pr</w:t>
      </w:r>
      <w:r w:rsidRPr="003B3476">
        <w:rPr>
          <w:lang w:val="fr-FR" w:eastAsia="fr-FR" w:bidi="fr-FR"/>
        </w:rPr>
        <w:t>é</w:t>
      </w:r>
      <w:r w:rsidRPr="003B3476">
        <w:rPr>
          <w:lang w:val="fr-FR" w:eastAsia="fr-FR" w:bidi="fr-FR"/>
        </w:rPr>
        <w:t>cieuses notes de M. Plummer contenues dans le tome II ; pour toutes les que</w:t>
      </w:r>
      <w:r w:rsidRPr="003B3476">
        <w:rPr>
          <w:lang w:val="fr-FR" w:eastAsia="fr-FR" w:bidi="fr-FR"/>
        </w:rPr>
        <w:t>s</w:t>
      </w:r>
      <w:r w:rsidRPr="003B3476">
        <w:rPr>
          <w:lang w:val="fr-FR" w:eastAsia="fr-FR" w:bidi="fr-FR"/>
        </w:rPr>
        <w:t>tions controversées relat</w:t>
      </w:r>
      <w:r w:rsidRPr="003B3476">
        <w:rPr>
          <w:lang w:val="fr-FR" w:eastAsia="fr-FR" w:bidi="fr-FR"/>
        </w:rPr>
        <w:t>i</w:t>
      </w:r>
      <w:r w:rsidRPr="003B3476">
        <w:rPr>
          <w:lang w:val="fr-FR" w:eastAsia="fr-FR" w:bidi="fr-FR"/>
        </w:rPr>
        <w:t xml:space="preserve">ves aux lieux d’origine des différentes chroniques, je suis M. Plummer ; on trouvera une bibliographie commode dans Ch. </w:t>
      </w:r>
      <w:r w:rsidRPr="003B3476">
        <w:rPr>
          <w:rStyle w:val="Notedebasdepage65ptPetitesmajuscules"/>
          <w:b w:val="0"/>
          <w:sz w:val="24"/>
        </w:rPr>
        <w:t xml:space="preserve">Gross, </w:t>
      </w:r>
      <w:r w:rsidRPr="003B3476">
        <w:rPr>
          <w:i/>
        </w:rPr>
        <w:t>The sources and literature of English History</w:t>
      </w:r>
      <w:r w:rsidRPr="003B3476">
        <w:rPr>
          <w:lang w:val="fr-FR" w:eastAsia="fr-FR" w:bidi="fr-FR"/>
        </w:rPr>
        <w:t>, 2</w:t>
      </w:r>
      <w:r w:rsidRPr="003B3476">
        <w:rPr>
          <w:vertAlign w:val="superscript"/>
          <w:lang w:val="fr-FR" w:eastAsia="fr-FR" w:bidi="fr-FR"/>
        </w:rPr>
        <w:t>e</w:t>
      </w:r>
      <w:r w:rsidRPr="003B3476">
        <w:rPr>
          <w:lang w:val="fr-FR" w:eastAsia="fr-FR" w:bidi="fr-FR"/>
        </w:rPr>
        <w:t xml:space="preserve"> éd., n° 1349) ; </w:t>
      </w:r>
      <w:r w:rsidRPr="003B3476">
        <w:rPr>
          <w:rStyle w:val="Notedebasdepage65ptPetitesmajuscules"/>
          <w:b w:val="0"/>
          <w:sz w:val="24"/>
        </w:rPr>
        <w:t xml:space="preserve">Willelmi Malmesbi-riensis monachi. </w:t>
      </w:r>
      <w:r w:rsidRPr="003B3476">
        <w:rPr>
          <w:i/>
        </w:rPr>
        <w:t>De gestis regum Anglorum libri quinque</w:t>
      </w:r>
      <w:r w:rsidRPr="003B3476">
        <w:rPr>
          <w:lang w:val="fr-FR" w:eastAsia="fr-FR" w:bidi="fr-FR"/>
        </w:rPr>
        <w:t xml:space="preserve">, éd. W. </w:t>
      </w:r>
      <w:r w:rsidRPr="003B3476">
        <w:rPr>
          <w:rStyle w:val="Notedebasdepage65ptPetitesmajuscules"/>
          <w:b w:val="0"/>
          <w:sz w:val="24"/>
        </w:rPr>
        <w:t xml:space="preserve">Stubbs, </w:t>
      </w:r>
      <w:r w:rsidRPr="003B3476">
        <w:rPr>
          <w:i/>
        </w:rPr>
        <w:t>Rolls Series</w:t>
      </w:r>
      <w:r w:rsidRPr="003B3476">
        <w:rPr>
          <w:lang w:val="fr-FR" w:eastAsia="fr-FR" w:bidi="fr-FR"/>
        </w:rPr>
        <w:t xml:space="preserve">, 1887-1889 [cité couramment comme G. </w:t>
      </w:r>
      <w:r w:rsidRPr="003B3476">
        <w:rPr>
          <w:rStyle w:val="Notedebasdepage65ptPetitesmajuscules"/>
          <w:b w:val="0"/>
          <w:sz w:val="24"/>
        </w:rPr>
        <w:t>de Malme</w:t>
      </w:r>
      <w:r w:rsidRPr="003B3476">
        <w:rPr>
          <w:rStyle w:val="Notedebasdepage65ptPetitesmajuscules"/>
          <w:b w:val="0"/>
          <w:sz w:val="24"/>
        </w:rPr>
        <w:t>s</w:t>
      </w:r>
      <w:r w:rsidRPr="003B3476">
        <w:rPr>
          <w:rStyle w:val="Notedebasdepage65ptPetitesmajuscules"/>
          <w:b w:val="0"/>
          <w:sz w:val="24"/>
        </w:rPr>
        <w:t xml:space="preserve">bury, </w:t>
      </w:r>
      <w:r w:rsidRPr="003B3476">
        <w:rPr>
          <w:i/>
        </w:rPr>
        <w:t>Gesta regum</w:t>
      </w:r>
      <w:r w:rsidRPr="003B3476">
        <w:rPr>
          <w:lang w:val="fr-FR" w:eastAsia="fr-FR" w:bidi="fr-FR"/>
        </w:rPr>
        <w:t xml:space="preserve"> ou, lorsqu’aucune équivoque n’est possible, G. </w:t>
      </w:r>
      <w:r w:rsidRPr="003B3476">
        <w:rPr>
          <w:rStyle w:val="Notedebasdepage65ptPetitesmajuscules"/>
          <w:b w:val="0"/>
          <w:sz w:val="24"/>
        </w:rPr>
        <w:t>de Ma</w:t>
      </w:r>
      <w:r w:rsidRPr="003B3476">
        <w:rPr>
          <w:rStyle w:val="Notedebasdepage65ptPetitesmajuscules"/>
          <w:b w:val="0"/>
          <w:sz w:val="24"/>
        </w:rPr>
        <w:t>l</w:t>
      </w:r>
      <w:r w:rsidRPr="003B3476">
        <w:rPr>
          <w:rStyle w:val="Notedebasdepage65ptPetitesmajuscules"/>
          <w:b w:val="0"/>
          <w:sz w:val="24"/>
        </w:rPr>
        <w:t>mesbury] ;</w:t>
      </w:r>
      <w:r w:rsidRPr="003B3476">
        <w:rPr>
          <w:lang w:val="fr-FR" w:eastAsia="fr-FR" w:bidi="fr-FR"/>
        </w:rPr>
        <w:t xml:space="preserve"> </w:t>
      </w:r>
      <w:r w:rsidRPr="003B3476">
        <w:rPr>
          <w:rStyle w:val="Notedebasdepage65ptPetitesmajuscules"/>
          <w:b w:val="0"/>
          <w:sz w:val="24"/>
        </w:rPr>
        <w:t xml:space="preserve">Willelmi Malmesbiriensis, </w:t>
      </w:r>
      <w:r w:rsidRPr="003B3476">
        <w:rPr>
          <w:i/>
        </w:rPr>
        <w:t>De gestis pontificum Anglorum libri quinque</w:t>
      </w:r>
      <w:r w:rsidRPr="003B3476">
        <w:rPr>
          <w:lang w:val="fr-FR" w:eastAsia="fr-FR" w:bidi="fr-FR"/>
        </w:rPr>
        <w:t xml:space="preserve">, éd. N. E. S. A. </w:t>
      </w:r>
      <w:r w:rsidRPr="003B3476">
        <w:rPr>
          <w:rStyle w:val="Notedebasdepage65ptPetitesmajuscules"/>
          <w:b w:val="0"/>
          <w:sz w:val="24"/>
        </w:rPr>
        <w:t xml:space="preserve">Hamilton, </w:t>
      </w:r>
      <w:r w:rsidRPr="003B3476">
        <w:rPr>
          <w:i/>
        </w:rPr>
        <w:t>Rolls Serie</w:t>
      </w:r>
      <w:r w:rsidRPr="003B3476">
        <w:rPr>
          <w:lang w:val="fr-FR" w:eastAsia="fr-FR" w:bidi="fr-FR"/>
        </w:rPr>
        <w:t xml:space="preserve">, 1870 [G. </w:t>
      </w:r>
      <w:r w:rsidRPr="003B3476">
        <w:rPr>
          <w:rStyle w:val="Notedebasdepage65ptPetitesmajuscules"/>
          <w:b w:val="0"/>
          <w:sz w:val="24"/>
        </w:rPr>
        <w:t xml:space="preserve">de Malmesbury, </w:t>
      </w:r>
      <w:r w:rsidRPr="003B3476">
        <w:rPr>
          <w:i/>
        </w:rPr>
        <w:t>Gesta Pontificum</w:t>
      </w:r>
      <w:r w:rsidRPr="003B3476">
        <w:t xml:space="preserve">]. </w:t>
      </w:r>
      <w:r w:rsidRPr="003B3476">
        <w:rPr>
          <w:lang w:val="fr-FR" w:eastAsia="fr-FR" w:bidi="fr-FR"/>
        </w:rPr>
        <w:t>Au cours de l’</w:t>
      </w:r>
      <w:r w:rsidRPr="003B3476">
        <w:t>Introduction,</w:t>
      </w:r>
      <w:r w:rsidRPr="003B3476">
        <w:rPr>
          <w:lang w:val="fr-FR" w:eastAsia="fr-FR" w:bidi="fr-FR"/>
        </w:rPr>
        <w:t xml:space="preserve"> j’ai été amené à plusieurs r</w:t>
      </w:r>
      <w:r w:rsidRPr="003B3476">
        <w:rPr>
          <w:lang w:val="fr-FR" w:eastAsia="fr-FR" w:bidi="fr-FR"/>
        </w:rPr>
        <w:t>e</w:t>
      </w:r>
      <w:r w:rsidRPr="003B3476">
        <w:rPr>
          <w:lang w:val="fr-FR" w:eastAsia="fr-FR" w:bidi="fr-FR"/>
        </w:rPr>
        <w:t>prises à rappeler des faits historiques, relatifs à l’Angleterre ; toutes les fois qu’il s’est agi d’événements bien connus, ne pi étant pas à la controverse, je me suis abstenu d’alourdir mon exposé de renvois superflus. Le lecteur pourra se reporter aux ouvrages courants ; il trouvera en particulier la plupart des r</w:t>
      </w:r>
      <w:r w:rsidRPr="003B3476">
        <w:rPr>
          <w:lang w:val="fr-FR" w:eastAsia="fr-FR" w:bidi="fr-FR"/>
        </w:rPr>
        <w:t>é</w:t>
      </w:r>
      <w:r w:rsidRPr="003B3476">
        <w:rPr>
          <w:lang w:val="fr-FR" w:eastAsia="fr-FR" w:bidi="fr-FR"/>
        </w:rPr>
        <w:t xml:space="preserve">férences utiles dans James </w:t>
      </w:r>
      <w:r w:rsidRPr="003B3476">
        <w:rPr>
          <w:rStyle w:val="Notedebasdepage65ptPetitesmajuscules"/>
          <w:b w:val="0"/>
          <w:sz w:val="24"/>
        </w:rPr>
        <w:t xml:space="preserve">H. Ramsay, </w:t>
      </w:r>
      <w:r w:rsidRPr="003B3476">
        <w:rPr>
          <w:i/>
        </w:rPr>
        <w:t>The Foundations of England</w:t>
      </w:r>
      <w:r w:rsidRPr="003B3476">
        <w:rPr>
          <w:lang w:val="fr-FR" w:eastAsia="fr-FR" w:bidi="fr-FR"/>
        </w:rPr>
        <w:t xml:space="preserve">, t. II, Londres, 1898. Il est peut-être bon de signaler que la brochure de M. G. F. </w:t>
      </w:r>
      <w:r w:rsidRPr="003B3476">
        <w:rPr>
          <w:rStyle w:val="Notedebasdepage65ptPetitesmajuscules"/>
          <w:b w:val="0"/>
          <w:sz w:val="24"/>
        </w:rPr>
        <w:t xml:space="preserve">Browne, </w:t>
      </w:r>
      <w:r w:rsidRPr="003B3476">
        <w:rPr>
          <w:i/>
        </w:rPr>
        <w:t>St. Edward the Confessor and Westminster Abbey</w:t>
      </w:r>
      <w:r w:rsidRPr="003B3476">
        <w:rPr>
          <w:lang w:val="fr-FR" w:eastAsia="fr-FR" w:bidi="fr-FR"/>
        </w:rPr>
        <w:t xml:space="preserve">, Londres, 1918 </w:t>
      </w:r>
      <w:r w:rsidRPr="003B3476">
        <w:t>(</w:t>
      </w:r>
      <w:r w:rsidRPr="003B3476">
        <w:rPr>
          <w:i/>
        </w:rPr>
        <w:t>Soc. for promoting Christian knowledge</w:t>
      </w:r>
      <w:r w:rsidRPr="003B3476">
        <w:t>)</w:t>
      </w:r>
      <w:r w:rsidRPr="003B3476">
        <w:rPr>
          <w:lang w:val="fr-FR" w:eastAsia="fr-FR" w:bidi="fr-FR"/>
        </w:rPr>
        <w:t xml:space="preserve"> est un sermon, sans prétentions ér</w:t>
      </w:r>
      <w:r w:rsidRPr="003B3476">
        <w:rPr>
          <w:lang w:val="fr-FR" w:eastAsia="fr-FR" w:bidi="fr-FR"/>
        </w:rPr>
        <w:t>u</w:t>
      </w:r>
      <w:r w:rsidRPr="003B3476">
        <w:rPr>
          <w:lang w:val="fr-FR" w:eastAsia="fr-FR" w:bidi="fr-FR"/>
        </w:rPr>
        <w:t>dites, et sans intérêt pour les érudits.</w:t>
      </w:r>
    </w:p>
  </w:footnote>
  <w:footnote w:id="1050">
    <w:p w14:paraId="3D81D52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Voir ci-dessous, p. 951, n. 1.</w:t>
      </w:r>
    </w:p>
  </w:footnote>
  <w:footnote w:id="1051">
    <w:p w14:paraId="38DC06C0"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Two </w:t>
      </w:r>
      <w:r w:rsidRPr="003B3476">
        <w:rPr>
          <w:i/>
        </w:rPr>
        <w:t>Saxon chronicles</w:t>
      </w:r>
      <w:r w:rsidRPr="003B3476">
        <w:rPr>
          <w:lang w:val="fr-FR" w:eastAsia="fr-FR" w:bidi="fr-FR"/>
        </w:rPr>
        <w:t>, t. I, p. 192-195.</w:t>
      </w:r>
    </w:p>
  </w:footnote>
  <w:footnote w:id="1052">
    <w:p w14:paraId="6BFBC0B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On trouvera ci-dessous à </w:t>
      </w:r>
      <w:r w:rsidRPr="003B3476">
        <w:rPr>
          <w:bCs/>
        </w:rPr>
        <w:t>l’Appendice II</w:t>
      </w:r>
      <w:r w:rsidRPr="003B3476">
        <w:rPr>
          <w:lang w:val="fr-FR" w:eastAsia="fr-FR" w:bidi="fr-FR"/>
        </w:rPr>
        <w:t xml:space="preserve"> le passage relatif à saint Édouard. Pour les dates — vraisemblables — de l’abbatiat de Vital, voir E. H. </w:t>
      </w:r>
      <w:r w:rsidRPr="003B3476">
        <w:rPr>
          <w:rStyle w:val="Notedebasdepage65ptPetitesmajuscules"/>
          <w:b w:val="0"/>
          <w:sz w:val="24"/>
        </w:rPr>
        <w:t xml:space="preserve">Pearce, </w:t>
      </w:r>
      <w:r w:rsidRPr="003B3476">
        <w:rPr>
          <w:bCs/>
          <w:i/>
        </w:rPr>
        <w:t>The monks of Westminster</w:t>
      </w:r>
      <w:r w:rsidRPr="003B3476">
        <w:rPr>
          <w:bCs/>
        </w:rPr>
        <w:t>,</w:t>
      </w:r>
      <w:r w:rsidRPr="003B3476">
        <w:rPr>
          <w:lang w:val="fr-FR" w:eastAsia="fr-FR" w:bidi="fr-FR"/>
        </w:rPr>
        <w:t xml:space="preserve"> p. 40.</w:t>
      </w:r>
    </w:p>
  </w:footnote>
  <w:footnote w:id="1053">
    <w:p w14:paraId="341C81C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1023.</w:t>
      </w:r>
    </w:p>
  </w:footnote>
  <w:footnote w:id="1054">
    <w:p w14:paraId="44AB4E3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 xml:space="preserve">J. Armitage </w:t>
      </w:r>
      <w:r w:rsidRPr="003B3476">
        <w:rPr>
          <w:smallCaps/>
        </w:rPr>
        <w:t>Robinson</w:t>
      </w:r>
      <w:r w:rsidRPr="003B3476">
        <w:t xml:space="preserve">, </w:t>
      </w:r>
      <w:r w:rsidRPr="003B3476">
        <w:rPr>
          <w:rStyle w:val="Notedebasdepage475ptItalique"/>
          <w:b w:val="0"/>
          <w:sz w:val="24"/>
        </w:rPr>
        <w:t>Gilbert Crispin</w:t>
      </w:r>
      <w:r w:rsidRPr="003B3476">
        <w:t xml:space="preserve">, </w:t>
      </w:r>
      <w:r w:rsidRPr="003B3476">
        <w:rPr>
          <w:lang w:val="fr-FR" w:eastAsia="fr-FR" w:bidi="fr-FR"/>
        </w:rPr>
        <w:t>p. 37.</w:t>
      </w:r>
    </w:p>
  </w:footnote>
  <w:footnote w:id="1055">
    <w:p w14:paraId="7AE554A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xml:space="preserve">, p. 986 « Ex diuersis namque hoc opus fratrum imperio collectum est scedulis quas sancti patres nostri nobis reliquerunt scriptas, qui eas viderunt et audierunt, sicut referimus, perpetratas. » </w:t>
      </w:r>
      <w:r w:rsidRPr="003B3476">
        <w:rPr>
          <w:bCs/>
          <w:i/>
        </w:rPr>
        <w:t>Cf.</w:t>
      </w:r>
      <w:r w:rsidRPr="003B3476">
        <w:rPr>
          <w:lang w:val="fr-FR" w:eastAsia="fr-FR" w:bidi="fr-FR"/>
        </w:rPr>
        <w:t xml:space="preserve"> la lettre d’Osbert </w:t>
      </w:r>
      <w:r w:rsidRPr="003B3476">
        <w:rPr>
          <w:bCs/>
        </w:rPr>
        <w:t xml:space="preserve">à </w:t>
      </w:r>
      <w:r w:rsidRPr="003B3476">
        <w:rPr>
          <w:lang w:val="fr-FR" w:eastAsia="fr-FR" w:bidi="fr-FR"/>
        </w:rPr>
        <w:t xml:space="preserve">Henri de </w:t>
      </w:r>
      <w:r w:rsidRPr="003B3476">
        <w:rPr>
          <w:smallCaps/>
          <w:lang w:val="fr-FR" w:eastAsia="fr-FR" w:bidi="fr-FR"/>
        </w:rPr>
        <w:t>Winchester</w:t>
      </w:r>
      <w:r w:rsidRPr="003B3476">
        <w:rPr>
          <w:lang w:val="fr-FR" w:eastAsia="fr-FR" w:bidi="fr-FR"/>
        </w:rPr>
        <w:t xml:space="preserve">, éd. </w:t>
      </w:r>
      <w:r w:rsidRPr="003B3476">
        <w:rPr>
          <w:bCs/>
          <w:smallCaps/>
        </w:rPr>
        <w:t>Anstruther</w:t>
      </w:r>
      <w:r w:rsidRPr="003B3476">
        <w:rPr>
          <w:bCs/>
        </w:rPr>
        <w:t xml:space="preserve"> </w:t>
      </w:r>
      <w:r w:rsidRPr="003B3476">
        <w:rPr>
          <w:rStyle w:val="Notedebasdepage65ptPetitesmajuscules"/>
          <w:b w:val="0"/>
          <w:sz w:val="24"/>
        </w:rPr>
        <w:t>(</w:t>
      </w:r>
      <w:r w:rsidRPr="003B3476">
        <w:rPr>
          <w:rStyle w:val="Notedebasdepage65ptPetitesmajuscules"/>
          <w:b w:val="0"/>
          <w:i/>
          <w:smallCaps w:val="0"/>
          <w:sz w:val="24"/>
        </w:rPr>
        <w:t>cf</w:t>
      </w:r>
      <w:r w:rsidRPr="003B3476">
        <w:rPr>
          <w:rStyle w:val="Notedebasdepage65ptPetitesmajuscules"/>
          <w:b w:val="0"/>
          <w:smallCaps w:val="0"/>
          <w:sz w:val="24"/>
        </w:rPr>
        <w:t>.</w:t>
      </w:r>
      <w:r w:rsidRPr="003B3476">
        <w:rPr>
          <w:rStyle w:val="Notedebasdepage65ptPetitesmajuscules"/>
          <w:b w:val="0"/>
          <w:sz w:val="24"/>
        </w:rPr>
        <w:t xml:space="preserve"> </w:t>
      </w:r>
      <w:r w:rsidRPr="003B3476">
        <w:rPr>
          <w:bCs/>
          <w:i/>
        </w:rPr>
        <w:t>infra</w:t>
      </w:r>
      <w:r w:rsidRPr="003B3476">
        <w:rPr>
          <w:bCs/>
        </w:rPr>
        <w:t>,</w:t>
      </w:r>
      <w:r w:rsidRPr="003B3476">
        <w:rPr>
          <w:lang w:val="fr-FR" w:eastAsia="fr-FR" w:bidi="fr-FR"/>
        </w:rPr>
        <w:t xml:space="preserve"> </w:t>
      </w:r>
      <w:r w:rsidRPr="003B3476">
        <w:rPr>
          <w:bCs/>
        </w:rPr>
        <w:t xml:space="preserve">p. </w:t>
      </w:r>
      <w:r w:rsidRPr="003B3476">
        <w:rPr>
          <w:lang w:val="fr-FR" w:eastAsia="fr-FR" w:bidi="fr-FR"/>
        </w:rPr>
        <w:t>951, n. 3), p. 116 : « Plurima namque ad monumentum uiri Dei reliquerant post se scripta nostri praedece</w:t>
      </w:r>
      <w:r w:rsidRPr="003B3476">
        <w:rPr>
          <w:lang w:val="fr-FR" w:eastAsia="fr-FR" w:bidi="fr-FR"/>
        </w:rPr>
        <w:t>s</w:t>
      </w:r>
      <w:r w:rsidRPr="003B3476">
        <w:rPr>
          <w:lang w:val="fr-FR" w:eastAsia="fr-FR" w:bidi="fr-FR"/>
        </w:rPr>
        <w:t>sores in ecclesia, qui ei in regno temporali ofïiciosa sedulitate ministrare soliti, st</w:t>
      </w:r>
      <w:r w:rsidRPr="003B3476">
        <w:rPr>
          <w:lang w:val="fr-FR" w:eastAsia="fr-FR" w:bidi="fr-FR"/>
        </w:rPr>
        <w:t>u</w:t>
      </w:r>
      <w:r w:rsidRPr="003B3476">
        <w:rPr>
          <w:lang w:val="fr-FR" w:eastAsia="fr-FR" w:bidi="fr-FR"/>
        </w:rPr>
        <w:t>dere diligentius sanctitatem vitae eius sollicita investigatione perscrutari ».</w:t>
      </w:r>
    </w:p>
  </w:footnote>
  <w:footnote w:id="1056">
    <w:p w14:paraId="4AEE3482"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Lives of Edward the Confessor</w:t>
      </w:r>
      <w:r w:rsidRPr="003B3476">
        <w:rPr>
          <w:bCs/>
        </w:rPr>
        <w:t>,</w:t>
      </w:r>
      <w:r w:rsidRPr="003B3476">
        <w:rPr>
          <w:lang w:val="fr-FR" w:eastAsia="fr-FR" w:bidi="fr-FR"/>
        </w:rPr>
        <w:t xml:space="preserve"> p. 387-435. Le titre est donné par le manu</w:t>
      </w:r>
      <w:r w:rsidRPr="003B3476">
        <w:rPr>
          <w:lang w:val="fr-FR" w:eastAsia="fr-FR" w:bidi="fr-FR"/>
        </w:rPr>
        <w:t>s</w:t>
      </w:r>
      <w:r w:rsidRPr="003B3476">
        <w:rPr>
          <w:lang w:val="fr-FR" w:eastAsia="fr-FR" w:bidi="fr-FR"/>
        </w:rPr>
        <w:t>crit, sur lequel voir ci-dessous, p. 956.</w:t>
      </w:r>
    </w:p>
  </w:footnote>
  <w:footnote w:id="1057">
    <w:p w14:paraId="2F6139F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Gesta Regum</w:t>
      </w:r>
      <w:r w:rsidRPr="003B3476">
        <w:rPr>
          <w:lang w:val="fr-FR" w:eastAsia="fr-FR" w:bidi="fr-FR"/>
        </w:rPr>
        <w:t xml:space="preserve">, notamment t. II, p. 220-227. </w:t>
      </w:r>
      <w:r w:rsidRPr="003B3476">
        <w:rPr>
          <w:bCs/>
          <w:i/>
        </w:rPr>
        <w:t>Cf.</w:t>
      </w:r>
      <w:r w:rsidRPr="003B3476">
        <w:rPr>
          <w:lang w:val="fr-FR" w:eastAsia="fr-FR" w:bidi="fr-FR"/>
        </w:rPr>
        <w:t xml:space="preserve"> aussi </w:t>
      </w:r>
      <w:r w:rsidRPr="003B3476">
        <w:rPr>
          <w:bCs/>
          <w:i/>
        </w:rPr>
        <w:t>Gesta Pontificum</w:t>
      </w:r>
      <w:r w:rsidRPr="003B3476">
        <w:rPr>
          <w:lang w:val="fr-FR" w:eastAsia="fr-FR" w:bidi="fr-FR"/>
        </w:rPr>
        <w:t>, t. II, p. 83 (pour la vision de l’évêque Brithwold).</w:t>
      </w:r>
    </w:p>
  </w:footnote>
  <w:footnote w:id="1058">
    <w:p w14:paraId="3FF9914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Epistolae Herberti de Losinga, Osberti de Clara et Elmeri prioris Cantu</w:t>
      </w:r>
      <w:r w:rsidRPr="003B3476">
        <w:rPr>
          <w:bCs/>
          <w:i/>
        </w:rPr>
        <w:t>a</w:t>
      </w:r>
      <w:r w:rsidRPr="003B3476">
        <w:rPr>
          <w:bCs/>
          <w:i/>
        </w:rPr>
        <w:t>riensis</w:t>
      </w:r>
      <w:r w:rsidRPr="003B3476">
        <w:rPr>
          <w:lang w:val="fr-FR" w:eastAsia="fr-FR" w:bidi="fr-FR"/>
        </w:rPr>
        <w:t xml:space="preserve"> (= </w:t>
      </w:r>
      <w:r w:rsidRPr="003B3476">
        <w:rPr>
          <w:bCs/>
          <w:i/>
        </w:rPr>
        <w:t>Caxton Society</w:t>
      </w:r>
      <w:r w:rsidRPr="003B3476">
        <w:rPr>
          <w:lang w:val="fr-FR" w:eastAsia="fr-FR" w:bidi="fr-FR"/>
        </w:rPr>
        <w:t xml:space="preserve">), Londres. Deux des lettres ont été rééditées par les Pères Thurston et Slater, </w:t>
      </w:r>
      <w:r w:rsidRPr="003B3476">
        <w:rPr>
          <w:bCs/>
          <w:i/>
        </w:rPr>
        <w:t>cf.</w:t>
      </w:r>
      <w:r w:rsidRPr="003B3476">
        <w:rPr>
          <w:bCs/>
        </w:rPr>
        <w:t xml:space="preserve"> </w:t>
      </w:r>
      <w:r w:rsidRPr="003B3476">
        <w:rPr>
          <w:bCs/>
          <w:i/>
        </w:rPr>
        <w:t>infra</w:t>
      </w:r>
      <w:r w:rsidRPr="003B3476">
        <w:rPr>
          <w:bCs/>
        </w:rPr>
        <w:t xml:space="preserve">, </w:t>
      </w:r>
      <w:r w:rsidRPr="003B3476">
        <w:rPr>
          <w:lang w:val="fr-FR" w:eastAsia="fr-FR" w:bidi="fr-FR"/>
        </w:rPr>
        <w:t xml:space="preserve">p. 952, n. 5. Sur les manuscrits des lettres </w:t>
      </w:r>
      <w:r w:rsidRPr="003B3476">
        <w:rPr>
          <w:bCs/>
          <w:i/>
        </w:rPr>
        <w:t>cf.</w:t>
      </w:r>
      <w:r w:rsidRPr="003B3476">
        <w:rPr>
          <w:bCs/>
        </w:rPr>
        <w:t xml:space="preserve"> </w:t>
      </w:r>
      <w:r w:rsidRPr="003B3476">
        <w:rPr>
          <w:bCs/>
          <w:i/>
        </w:rPr>
        <w:t>infra</w:t>
      </w:r>
      <w:r w:rsidRPr="003B3476">
        <w:rPr>
          <w:bCs/>
        </w:rPr>
        <w:t>,</w:t>
      </w:r>
      <w:r w:rsidRPr="003B3476">
        <w:rPr>
          <w:lang w:val="fr-FR" w:eastAsia="fr-FR" w:bidi="fr-FR"/>
        </w:rPr>
        <w:t xml:space="preserve"> p. 983.</w:t>
      </w:r>
    </w:p>
  </w:footnote>
  <w:footnote w:id="1059">
    <w:p w14:paraId="6447DEE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Publiée en 1929 par E. W. Williamson, Oxford University Press, Londres.</w:t>
      </w:r>
    </w:p>
  </w:footnote>
  <w:footnote w:id="1060">
    <w:p w14:paraId="343F635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Westminster in the twelfth century : Osbert of Clare</w:t>
      </w:r>
      <w:r w:rsidRPr="003B3476">
        <w:rPr>
          <w:lang w:val="fr-FR" w:eastAsia="fr-FR" w:bidi="fr-FR"/>
        </w:rPr>
        <w:t xml:space="preserve">, dans </w:t>
      </w:r>
      <w:r w:rsidRPr="003B3476">
        <w:rPr>
          <w:i/>
        </w:rPr>
        <w:t>The Church Qua</w:t>
      </w:r>
      <w:r w:rsidRPr="003B3476">
        <w:rPr>
          <w:i/>
        </w:rPr>
        <w:t>r</w:t>
      </w:r>
      <w:r w:rsidRPr="003B3476">
        <w:rPr>
          <w:i/>
        </w:rPr>
        <w:t>tely Review</w:t>
      </w:r>
      <w:r w:rsidRPr="003B3476">
        <w:rPr>
          <w:lang w:val="fr-FR" w:eastAsia="fr-FR" w:bidi="fr-FR"/>
        </w:rPr>
        <w:t xml:space="preserve">, t. LXVIII (1909), p. 336. Cet article rectifie sur bien des points la notice du </w:t>
      </w:r>
      <w:r w:rsidRPr="003B3476">
        <w:rPr>
          <w:i/>
        </w:rPr>
        <w:t>Dictionary of National Biography</w:t>
      </w:r>
      <w:r w:rsidRPr="003B3476">
        <w:rPr>
          <w:lang w:val="fr-FR" w:eastAsia="fr-FR" w:bidi="fr-FR"/>
        </w:rPr>
        <w:t>, due à M. Bradley.</w:t>
      </w:r>
    </w:p>
  </w:footnote>
  <w:footnote w:id="1061">
    <w:p w14:paraId="7ED3D50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lettre adressée au début de 1139 par le roi Étienne au pape Innocent II pour lui recommander Osbert s’exprime en ces termes : « Osbertum nomine, qui per quinque annorum tempora congregationi in prioritate jam prefuit » </w:t>
      </w:r>
      <w:r w:rsidRPr="003B3476">
        <w:rPr>
          <w:rStyle w:val="Notedebasdepage65ptPetitesmajuscules"/>
          <w:b w:val="0"/>
          <w:sz w:val="24"/>
        </w:rPr>
        <w:t>(An</w:t>
      </w:r>
      <w:r w:rsidRPr="003B3476">
        <w:rPr>
          <w:rStyle w:val="Notedebasdepage65ptPetitesmajuscules"/>
          <w:b w:val="0"/>
          <w:sz w:val="24"/>
        </w:rPr>
        <w:t>s</w:t>
      </w:r>
      <w:r w:rsidRPr="003B3476">
        <w:rPr>
          <w:rStyle w:val="Notedebasdepage65ptPetitesmajuscules"/>
          <w:b w:val="0"/>
          <w:sz w:val="24"/>
        </w:rPr>
        <w:t xml:space="preserve">truther, </w:t>
      </w:r>
      <w:r w:rsidRPr="003B3476">
        <w:rPr>
          <w:lang w:val="fr-FR" w:eastAsia="fr-FR" w:bidi="fr-FR"/>
        </w:rPr>
        <w:t>p. 121). Osbert aurait donc été nommé en 1134. M. Armitage R</w:t>
      </w:r>
      <w:r w:rsidRPr="003B3476">
        <w:rPr>
          <w:lang w:val="fr-FR" w:eastAsia="fr-FR" w:bidi="fr-FR"/>
        </w:rPr>
        <w:t>o</w:t>
      </w:r>
      <w:r w:rsidRPr="003B3476">
        <w:rPr>
          <w:lang w:val="fr-FR" w:eastAsia="fr-FR" w:bidi="fr-FR"/>
        </w:rPr>
        <w:t>binson pense toutefois qu’alors l’office de prieur lui fut simplement rendu ; il en a</w:t>
      </w:r>
      <w:r w:rsidRPr="003B3476">
        <w:rPr>
          <w:lang w:val="fr-FR" w:eastAsia="fr-FR" w:bidi="fr-FR"/>
        </w:rPr>
        <w:t>u</w:t>
      </w:r>
      <w:r w:rsidRPr="003B3476">
        <w:rPr>
          <w:lang w:val="fr-FR" w:eastAsia="fr-FR" w:bidi="fr-FR"/>
        </w:rPr>
        <w:t>rait été revêtu dès avant l’abbatiat de Herbert. Tout dépend de la date qu’on attribue à la lettre XIX, dépourvue comme les autres de mention chr</w:t>
      </w:r>
      <w:r w:rsidRPr="003B3476">
        <w:rPr>
          <w:lang w:val="fr-FR" w:eastAsia="fr-FR" w:bidi="fr-FR"/>
        </w:rPr>
        <w:t>o</w:t>
      </w:r>
      <w:r w:rsidRPr="003B3476">
        <w:rPr>
          <w:lang w:val="fr-FR" w:eastAsia="fr-FR" w:bidi="fr-FR"/>
        </w:rPr>
        <w:t>nolog</w:t>
      </w:r>
      <w:r w:rsidRPr="003B3476">
        <w:rPr>
          <w:lang w:val="fr-FR" w:eastAsia="fr-FR" w:bidi="fr-FR"/>
        </w:rPr>
        <w:t>i</w:t>
      </w:r>
      <w:r w:rsidRPr="003B3476">
        <w:rPr>
          <w:lang w:val="fr-FR" w:eastAsia="fr-FR" w:bidi="fr-FR"/>
        </w:rPr>
        <w:t>que. Je ne puis entrer dans cette discussion.</w:t>
      </w:r>
    </w:p>
  </w:footnote>
  <w:footnote w:id="1062">
    <w:p w14:paraId="1F9F689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Donnée par Anstruther, dans son édition des lettres, p. 205-211 ; et auparavant par J. Stevenson, dans son édition de la </w:t>
      </w:r>
      <w:r w:rsidRPr="003B3476">
        <w:rPr>
          <w:bCs/>
        </w:rPr>
        <w:t>Scalacronica</w:t>
      </w:r>
      <w:r w:rsidRPr="003B3476">
        <w:rPr>
          <w:lang w:val="fr-FR" w:eastAsia="fr-FR" w:bidi="fr-FR"/>
        </w:rPr>
        <w:t xml:space="preserve"> de Th. </w:t>
      </w:r>
      <w:r w:rsidRPr="003B3476">
        <w:rPr>
          <w:rStyle w:val="Notedebasdepage65ptPetitesmajuscules"/>
          <w:b w:val="0"/>
          <w:sz w:val="24"/>
        </w:rPr>
        <w:t xml:space="preserve">Gray </w:t>
      </w:r>
      <w:r w:rsidRPr="003B3476">
        <w:rPr>
          <w:lang w:val="fr-FR" w:eastAsia="fr-FR" w:bidi="fr-FR"/>
        </w:rPr>
        <w:t>(Edi</w:t>
      </w:r>
      <w:r w:rsidRPr="003B3476">
        <w:rPr>
          <w:lang w:val="fr-FR" w:eastAsia="fr-FR" w:bidi="fr-FR"/>
        </w:rPr>
        <w:t>m</w:t>
      </w:r>
      <w:r w:rsidRPr="003B3476">
        <w:rPr>
          <w:lang w:val="fr-FR" w:eastAsia="fr-FR" w:bidi="fr-FR"/>
        </w:rPr>
        <w:t xml:space="preserve">bourg, 1836 = </w:t>
      </w:r>
      <w:r w:rsidRPr="003B3476">
        <w:rPr>
          <w:bCs/>
          <w:i/>
        </w:rPr>
        <w:t>Maitland Club</w:t>
      </w:r>
      <w:r w:rsidRPr="003B3476">
        <w:rPr>
          <w:lang w:val="fr-FR" w:eastAsia="fr-FR" w:bidi="fr-FR"/>
        </w:rPr>
        <w:t>, p. 242). Quelle est la date exacte de cette pi</w:t>
      </w:r>
      <w:r w:rsidRPr="003B3476">
        <w:rPr>
          <w:lang w:val="fr-FR" w:eastAsia="fr-FR" w:bidi="fr-FR"/>
        </w:rPr>
        <w:t>è</w:t>
      </w:r>
      <w:r w:rsidRPr="003B3476">
        <w:rPr>
          <w:lang w:val="fr-FR" w:eastAsia="fr-FR" w:bidi="fr-FR"/>
        </w:rPr>
        <w:t>ce ? C’est ce qu’il ne semble pas possible de déterminer ; il n’est pas sur qu’elle soit po</w:t>
      </w:r>
      <w:r w:rsidRPr="003B3476">
        <w:rPr>
          <w:lang w:val="fr-FR" w:eastAsia="fr-FR" w:bidi="fr-FR"/>
        </w:rPr>
        <w:t>s</w:t>
      </w:r>
      <w:r w:rsidRPr="003B3476">
        <w:rPr>
          <w:lang w:val="fr-FR" w:eastAsia="fr-FR" w:bidi="fr-FR"/>
        </w:rPr>
        <w:t>térieure à l’avènement officiel de Henri II, c’est-à-dire à la mort d’Étienne de Blois (25 oct. 1154) ; elle peut avoir été écrite quelques mois plus tôt ; mais non pas avant la dernière expédition de Henri en Angl</w:t>
      </w:r>
      <w:r w:rsidRPr="003B3476">
        <w:rPr>
          <w:lang w:val="fr-FR" w:eastAsia="fr-FR" w:bidi="fr-FR"/>
        </w:rPr>
        <w:t>e</w:t>
      </w:r>
      <w:r w:rsidRPr="003B3476">
        <w:rPr>
          <w:lang w:val="fr-FR" w:eastAsia="fr-FR" w:bidi="fr-FR"/>
        </w:rPr>
        <w:t>terre (janv. 1153). Au moment où elle fut composée, Osbert, semble-t-il, ne vivait plus à Westminster ; il dirigeait une communauté (p. 210 de l’éd. An</w:t>
      </w:r>
      <w:r w:rsidRPr="003B3476">
        <w:rPr>
          <w:lang w:val="fr-FR" w:eastAsia="fr-FR" w:bidi="fr-FR"/>
        </w:rPr>
        <w:t>s</w:t>
      </w:r>
      <w:r w:rsidRPr="003B3476">
        <w:rPr>
          <w:lang w:val="fr-FR" w:eastAsia="fr-FR" w:bidi="fr-FR"/>
        </w:rPr>
        <w:t>truther, v. 5-6), peut-être un prieuré de la grande abbaye.</w:t>
      </w:r>
    </w:p>
  </w:footnote>
  <w:footnote w:id="1063">
    <w:p w14:paraId="417D6CC2"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On peut voir sur ce point </w:t>
      </w:r>
      <w:r w:rsidRPr="003B3476">
        <w:rPr>
          <w:smallCaps/>
        </w:rPr>
        <w:t>Vacandard</w:t>
      </w:r>
      <w:r w:rsidRPr="003B3476">
        <w:t xml:space="preserve">, </w:t>
      </w:r>
      <w:r w:rsidRPr="003B3476">
        <w:rPr>
          <w:i/>
        </w:rPr>
        <w:t>Les origines de la fête de la Conce</w:t>
      </w:r>
      <w:r w:rsidRPr="003B3476">
        <w:rPr>
          <w:i/>
        </w:rPr>
        <w:t>p</w:t>
      </w:r>
      <w:r w:rsidRPr="003B3476">
        <w:rPr>
          <w:i/>
        </w:rPr>
        <w:t>tion dans le diocèse de Rouen et en Angleterre</w:t>
      </w:r>
      <w:r w:rsidRPr="003B3476">
        <w:t xml:space="preserve">, dans </w:t>
      </w:r>
      <w:r w:rsidRPr="003B3476">
        <w:rPr>
          <w:i/>
        </w:rPr>
        <w:t>Revue des Questions Hi</w:t>
      </w:r>
      <w:r w:rsidRPr="003B3476">
        <w:rPr>
          <w:i/>
        </w:rPr>
        <w:t>s</w:t>
      </w:r>
      <w:r w:rsidRPr="003B3476">
        <w:rPr>
          <w:i/>
        </w:rPr>
        <w:t>toriques</w:t>
      </w:r>
      <w:r w:rsidRPr="003B3476">
        <w:t>, t. LXI (1897) et l’ouvrage indiqué ci-dessous n. 5.</w:t>
      </w:r>
    </w:p>
  </w:footnote>
  <w:footnote w:id="1064">
    <w:p w14:paraId="03C235E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Publié ainsi que deux lettres d’Osbert relatives au même sujet parles Pères H. Thurston et Th. Slater, en appendice à leur édition </w:t>
      </w:r>
      <w:r w:rsidRPr="003B3476">
        <w:rPr>
          <w:bCs/>
        </w:rPr>
        <w:t xml:space="preserve">d’EADMER, </w:t>
      </w:r>
      <w:r w:rsidRPr="003B3476">
        <w:rPr>
          <w:bCs/>
          <w:i/>
        </w:rPr>
        <w:t>Tractatus de conceptione Sanctae Mariae</w:t>
      </w:r>
      <w:r w:rsidRPr="003B3476">
        <w:rPr>
          <w:lang w:val="fr-FR" w:eastAsia="fr-FR" w:bidi="fr-FR"/>
        </w:rPr>
        <w:t>, Eribourg-en-Brisgau, 1904.</w:t>
      </w:r>
    </w:p>
  </w:footnote>
  <w:footnote w:id="1065">
    <w:p w14:paraId="4C99C5B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Sous forme de lettre à Alice, abbesse de Barking : </w:t>
      </w:r>
      <w:r w:rsidRPr="003B3476">
        <w:rPr>
          <w:rStyle w:val="Notedebasdepage65ptPetitesmajuscules"/>
          <w:b w:val="0"/>
          <w:sz w:val="24"/>
        </w:rPr>
        <w:t xml:space="preserve">Anstruther, </w:t>
      </w:r>
      <w:r w:rsidRPr="003B3476">
        <w:rPr>
          <w:lang w:val="fr-FR" w:eastAsia="fr-FR" w:bidi="fr-FR"/>
        </w:rPr>
        <w:t>p. 189.</w:t>
      </w:r>
    </w:p>
  </w:footnote>
  <w:footnote w:id="1066">
    <w:p w14:paraId="4241DF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Soit les Vies de saint Edmond </w:t>
      </w:r>
      <w:r w:rsidRPr="003B3476">
        <w:rPr>
          <w:bCs/>
        </w:rPr>
        <w:t>(BHL.</w:t>
      </w:r>
      <w:r w:rsidRPr="003B3476">
        <w:rPr>
          <w:lang w:val="fr-FR" w:eastAsia="fr-FR" w:bidi="fr-FR"/>
        </w:rPr>
        <w:t xml:space="preserve"> 2397), de sainte Eadburge (</w:t>
      </w:r>
      <w:r w:rsidRPr="003B3476">
        <w:rPr>
          <w:bCs/>
        </w:rPr>
        <w:t>BHL</w:t>
      </w:r>
      <w:r w:rsidRPr="003B3476">
        <w:rPr>
          <w:lang w:val="fr-FR" w:eastAsia="fr-FR" w:bidi="fr-FR"/>
        </w:rPr>
        <w:t xml:space="preserve">. 2385), de saint Ethelbert </w:t>
      </w:r>
      <w:r w:rsidRPr="003B3476">
        <w:rPr>
          <w:bCs/>
        </w:rPr>
        <w:t>(</w:t>
      </w:r>
      <w:r w:rsidRPr="003B3476">
        <w:rPr>
          <w:bCs/>
          <w:i/>
        </w:rPr>
        <w:t>cf.</w:t>
      </w:r>
      <w:r w:rsidRPr="003B3476">
        <w:rPr>
          <w:bCs/>
        </w:rPr>
        <w:t xml:space="preserve"> </w:t>
      </w:r>
      <w:r w:rsidRPr="003B3476">
        <w:rPr>
          <w:lang w:val="fr-FR" w:eastAsia="fr-FR" w:bidi="fr-FR"/>
        </w:rPr>
        <w:t xml:space="preserve">M. R. </w:t>
      </w:r>
      <w:r w:rsidRPr="003B3476">
        <w:rPr>
          <w:rStyle w:val="Notedebasdepage65ptPetitesmajuscules"/>
          <w:b w:val="0"/>
          <w:sz w:val="24"/>
        </w:rPr>
        <w:t xml:space="preserve">James, </w:t>
      </w:r>
      <w:r w:rsidRPr="003B3476">
        <w:rPr>
          <w:bCs/>
          <w:i/>
        </w:rPr>
        <w:t>Two lives of saint Ethelbert</w:t>
      </w:r>
      <w:r w:rsidRPr="003B3476">
        <w:rPr>
          <w:i/>
          <w:lang w:val="fr-FR" w:eastAsia="fr-FR" w:bidi="fr-FR"/>
        </w:rPr>
        <w:t xml:space="preserve">, </w:t>
      </w:r>
      <w:r w:rsidRPr="003B3476">
        <w:rPr>
          <w:bCs/>
          <w:i/>
        </w:rPr>
        <w:t>king and martyr</w:t>
      </w:r>
      <w:r w:rsidRPr="003B3476">
        <w:rPr>
          <w:lang w:val="fr-FR" w:eastAsia="fr-FR" w:bidi="fr-FR"/>
        </w:rPr>
        <w:t xml:space="preserve">, dans </w:t>
      </w:r>
      <w:r w:rsidRPr="003B3476">
        <w:rPr>
          <w:bCs/>
          <w:i/>
        </w:rPr>
        <w:t>English Historical Review</w:t>
      </w:r>
      <w:r w:rsidRPr="003B3476">
        <w:rPr>
          <w:lang w:val="fr-FR" w:eastAsia="fr-FR" w:bidi="fr-FR"/>
        </w:rPr>
        <w:t>, 1917, p. 214).</w:t>
      </w:r>
    </w:p>
  </w:footnote>
  <w:footnote w:id="1067">
    <w:p w14:paraId="742F01E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 Adiuuent igitur seniores sanctis orationibus quorum imperio explanando suscepimus », </w:t>
      </w:r>
      <w:r w:rsidRPr="003B3476">
        <w:rPr>
          <w:bCs/>
          <w:i/>
        </w:rPr>
        <w:t>infra</w:t>
      </w:r>
      <w:r w:rsidRPr="003B3476">
        <w:rPr>
          <w:bCs/>
        </w:rPr>
        <w:t>,</w:t>
      </w:r>
      <w:r w:rsidRPr="003B3476">
        <w:rPr>
          <w:lang w:val="fr-FR" w:eastAsia="fr-FR" w:bidi="fr-FR"/>
        </w:rPr>
        <w:t xml:space="preserve"> p. 988.</w:t>
      </w:r>
    </w:p>
  </w:footnote>
  <w:footnote w:id="1068">
    <w:p w14:paraId="4A68159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Voir la lettre que lui adressa Osbert, en </w:t>
      </w:r>
      <w:r w:rsidRPr="003B3476">
        <w:rPr>
          <w:bCs/>
        </w:rPr>
        <w:t xml:space="preserve">1139 </w:t>
      </w:r>
      <w:r w:rsidRPr="003B3476">
        <w:rPr>
          <w:lang w:val="fr-FR" w:eastAsia="fr-FR" w:bidi="fr-FR"/>
        </w:rPr>
        <w:t xml:space="preserve">(après le </w:t>
      </w:r>
      <w:r w:rsidRPr="003B3476">
        <w:rPr>
          <w:bCs/>
        </w:rPr>
        <w:t>1</w:t>
      </w:r>
      <w:r w:rsidRPr="003B3476">
        <w:rPr>
          <w:bCs/>
          <w:vertAlign w:val="superscript"/>
        </w:rPr>
        <w:t>er</w:t>
      </w:r>
      <w:r w:rsidRPr="003B3476">
        <w:rPr>
          <w:bCs/>
        </w:rPr>
        <w:t xml:space="preserve"> </w:t>
      </w:r>
      <w:r w:rsidRPr="003B3476">
        <w:rPr>
          <w:lang w:val="fr-FR" w:eastAsia="fr-FR" w:bidi="fr-FR"/>
        </w:rPr>
        <w:t xml:space="preserve">mars), </w:t>
      </w:r>
      <w:r w:rsidRPr="003B3476">
        <w:rPr>
          <w:rStyle w:val="Notedebasdepage65ptPetitesmajuscules"/>
          <w:b w:val="0"/>
          <w:sz w:val="24"/>
        </w:rPr>
        <w:t>Anstr</w:t>
      </w:r>
      <w:r w:rsidRPr="003B3476">
        <w:rPr>
          <w:rStyle w:val="Notedebasdepage65ptPetitesmajuscules"/>
          <w:b w:val="0"/>
          <w:sz w:val="24"/>
        </w:rPr>
        <w:t>u</w:t>
      </w:r>
      <w:r w:rsidRPr="003B3476">
        <w:rPr>
          <w:rStyle w:val="Notedebasdepage65ptPetitesmajuscules"/>
          <w:b w:val="0"/>
          <w:sz w:val="24"/>
        </w:rPr>
        <w:t>ther,</w:t>
      </w:r>
      <w:r w:rsidRPr="003B3476">
        <w:rPr>
          <w:bCs/>
        </w:rPr>
        <w:t xml:space="preserve"> p. 114.</w:t>
      </w:r>
    </w:p>
  </w:footnote>
  <w:footnote w:id="1069">
    <w:p w14:paraId="161212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p. 180.</w:t>
      </w:r>
    </w:p>
  </w:footnote>
  <w:footnote w:id="1070">
    <w:p w14:paraId="4E4BA4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p. 120.</w:t>
      </w:r>
    </w:p>
  </w:footnote>
  <w:footnote w:id="1071">
    <w:p w14:paraId="46E3BE2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p. 118.</w:t>
      </w:r>
    </w:p>
  </w:footnote>
  <w:footnote w:id="1072">
    <w:p w14:paraId="2A01F0C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y est fait allusion dans la bulle d’innocent II, </w:t>
      </w:r>
      <w:r w:rsidRPr="003B3476">
        <w:rPr>
          <w:bCs/>
          <w:i/>
        </w:rPr>
        <w:t>ibid</w:t>
      </w:r>
      <w:r w:rsidRPr="003B3476">
        <w:rPr>
          <w:bCs/>
        </w:rPr>
        <w:t>.,</w:t>
      </w:r>
      <w:r w:rsidRPr="003B3476">
        <w:rPr>
          <w:lang w:val="fr-FR" w:eastAsia="fr-FR" w:bidi="fr-FR"/>
        </w:rPr>
        <w:t xml:space="preserve"> p. 123.</w:t>
      </w:r>
    </w:p>
  </w:footnote>
  <w:footnote w:id="1073">
    <w:p w14:paraId="277EAE4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Ibid</w:t>
      </w:r>
      <w:r w:rsidRPr="003B3476">
        <w:rPr>
          <w:bCs/>
        </w:rPr>
        <w:t>.,</w:t>
      </w:r>
      <w:r w:rsidRPr="003B3476">
        <w:rPr>
          <w:lang w:val="fr-FR" w:eastAsia="fr-FR" w:bidi="fr-FR"/>
        </w:rPr>
        <w:t xml:space="preserve"> p. 119.</w:t>
      </w:r>
    </w:p>
  </w:footnote>
  <w:footnote w:id="1074">
    <w:p w14:paraId="41F0A52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par exemple ce qu’il dit de l’arc de Titus, </w:t>
      </w:r>
      <w:r w:rsidRPr="003B3476">
        <w:rPr>
          <w:rStyle w:val="Notedebasdepage65ptPetitesmajuscules"/>
          <w:b w:val="0"/>
          <w:sz w:val="24"/>
        </w:rPr>
        <w:t xml:space="preserve">Anstruther, </w:t>
      </w:r>
      <w:r w:rsidRPr="003B3476">
        <w:rPr>
          <w:lang w:val="fr-FR" w:eastAsia="fr-FR" w:bidi="fr-FR"/>
        </w:rPr>
        <w:t>p. 186.</w:t>
      </w:r>
    </w:p>
  </w:footnote>
  <w:footnote w:id="1075">
    <w:p w14:paraId="47FD587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Jaffé-Wattenbach, </w:t>
      </w:r>
      <w:r w:rsidRPr="003B3476">
        <w:rPr>
          <w:lang w:val="fr-FR" w:eastAsia="fr-FR" w:bidi="fr-FR"/>
        </w:rPr>
        <w:t xml:space="preserve">n° 8182 : Latran </w:t>
      </w:r>
      <w:r w:rsidRPr="003B3476">
        <w:rPr>
          <w:bCs/>
        </w:rPr>
        <w:t xml:space="preserve">5 </w:t>
      </w:r>
      <w:r w:rsidRPr="003B3476">
        <w:rPr>
          <w:lang w:val="fr-FR" w:eastAsia="fr-FR" w:bidi="fr-FR"/>
        </w:rPr>
        <w:t>ides déc. (9 déc.), sans indication d’année. Ja</w:t>
      </w:r>
      <w:r w:rsidRPr="003B3476">
        <w:rPr>
          <w:lang w:val="fr-FR" w:eastAsia="fr-FR" w:bidi="fr-FR"/>
        </w:rPr>
        <w:t>f</w:t>
      </w:r>
      <w:r w:rsidRPr="003B3476">
        <w:rPr>
          <w:lang w:val="fr-FR" w:eastAsia="fr-FR" w:bidi="fr-FR"/>
        </w:rPr>
        <w:t>fé-Wattenbach proposent 1141, parce que la bulle mentionne l’abbé Gervais de Blois qui selon eux n’aurait été nommé qu’après le mois de septembre 1140, date supposée de la mort de l’abbé Herbert. Mais ce raiso</w:t>
      </w:r>
      <w:r w:rsidRPr="003B3476">
        <w:rPr>
          <w:lang w:val="fr-FR" w:eastAsia="fr-FR" w:bidi="fr-FR"/>
        </w:rPr>
        <w:t>n</w:t>
      </w:r>
      <w:r w:rsidRPr="003B3476">
        <w:rPr>
          <w:lang w:val="fr-FR" w:eastAsia="fr-FR" w:bidi="fr-FR"/>
        </w:rPr>
        <w:t>nement repose sur une erreur. Nous savons par Jean de Worcester, un conte</w:t>
      </w:r>
      <w:r w:rsidRPr="003B3476">
        <w:rPr>
          <w:lang w:val="fr-FR" w:eastAsia="fr-FR" w:bidi="fr-FR"/>
        </w:rPr>
        <w:t>m</w:t>
      </w:r>
      <w:r w:rsidRPr="003B3476">
        <w:rPr>
          <w:lang w:val="fr-FR" w:eastAsia="fr-FR" w:bidi="fr-FR"/>
        </w:rPr>
        <w:t xml:space="preserve">porain, que Gervais fut ordonné par le légat Albéric le 16 kal. janvier (17 déc.) 1138 (éd. J. H. </w:t>
      </w:r>
      <w:r w:rsidRPr="003B3476">
        <w:rPr>
          <w:rStyle w:val="Notedebasdepage65ptPetitesmajuscules"/>
          <w:b w:val="0"/>
          <w:sz w:val="24"/>
        </w:rPr>
        <w:t xml:space="preserve">Weaver, </w:t>
      </w:r>
      <w:r w:rsidRPr="003B3476">
        <w:rPr>
          <w:lang w:val="fr-FR" w:eastAsia="fr-FR" w:bidi="fr-FR"/>
        </w:rPr>
        <w:t>Oxford, 1908, p. 53 ; je dois cette précieuse indic</w:t>
      </w:r>
      <w:r w:rsidRPr="003B3476">
        <w:rPr>
          <w:lang w:val="fr-FR" w:eastAsia="fr-FR" w:bidi="fr-FR"/>
        </w:rPr>
        <w:t>a</w:t>
      </w:r>
      <w:r w:rsidRPr="003B3476">
        <w:rPr>
          <w:lang w:val="fr-FR" w:eastAsia="fr-FR" w:bidi="fr-FR"/>
        </w:rPr>
        <w:t>tion à M. E. W. Williamson). Le 22 avril 1139, le pape lui adressait deux bu</w:t>
      </w:r>
      <w:r w:rsidRPr="003B3476">
        <w:rPr>
          <w:lang w:val="fr-FR" w:eastAsia="fr-FR" w:bidi="fr-FR"/>
        </w:rPr>
        <w:t>l</w:t>
      </w:r>
      <w:r w:rsidRPr="003B3476">
        <w:rPr>
          <w:lang w:val="fr-FR" w:eastAsia="fr-FR" w:bidi="fr-FR"/>
        </w:rPr>
        <w:t xml:space="preserve">les (J. A. </w:t>
      </w:r>
      <w:r w:rsidRPr="003B3476">
        <w:rPr>
          <w:rStyle w:val="Notedebasdepage65ptPetitesmajuscules"/>
          <w:b w:val="0"/>
          <w:sz w:val="24"/>
        </w:rPr>
        <w:t xml:space="preserve">Robinson, </w:t>
      </w:r>
      <w:r w:rsidRPr="003B3476">
        <w:rPr>
          <w:bCs/>
          <w:i/>
        </w:rPr>
        <w:t>The history of Westminster Abbey by John Flete</w:t>
      </w:r>
      <w:r w:rsidRPr="003B3476">
        <w:rPr>
          <w:lang w:val="fr-FR" w:eastAsia="fr-FR" w:bidi="fr-FR"/>
        </w:rPr>
        <w:t>, p. 142). Donc aucune raison de fixer à 1141 la date du texte qui nous occupe. Il serait d’ailleurs étonnant que la réponse d’innocent II se fût fait attendre aussi lon</w:t>
      </w:r>
      <w:r w:rsidRPr="003B3476">
        <w:rPr>
          <w:lang w:val="fr-FR" w:eastAsia="fr-FR" w:bidi="fr-FR"/>
        </w:rPr>
        <w:t>g</w:t>
      </w:r>
      <w:r w:rsidRPr="003B3476">
        <w:rPr>
          <w:lang w:val="fr-FR" w:eastAsia="fr-FR" w:bidi="fr-FR"/>
        </w:rPr>
        <w:t>temps ; elle a dû être donnée en 1139 ou 1140 au plus tard. En même temps qu’il ajournait la canonisation de saint Édouard, Innocent II prescrivait à He</w:t>
      </w:r>
      <w:r w:rsidRPr="003B3476">
        <w:rPr>
          <w:lang w:val="fr-FR" w:eastAsia="fr-FR" w:bidi="fr-FR"/>
        </w:rPr>
        <w:t>n</w:t>
      </w:r>
      <w:r w:rsidRPr="003B3476">
        <w:rPr>
          <w:lang w:val="fr-FR" w:eastAsia="fr-FR" w:bidi="fr-FR"/>
        </w:rPr>
        <w:t>ri de Winchester de protéger les moines de Westminster (J. W., 8181) ; Osbert ne revint donc pas les mains tout à fait vides.</w:t>
      </w:r>
    </w:p>
  </w:footnote>
  <w:footnote w:id="1076">
    <w:p w14:paraId="5D385C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Materials for the history of Thomas Becket</w:t>
      </w:r>
      <w:r w:rsidRPr="003B3476">
        <w:t xml:space="preserve">, </w:t>
      </w:r>
      <w:r w:rsidRPr="003B3476">
        <w:rPr>
          <w:rStyle w:val="Notedebasdepage565ptNonItalique"/>
          <w:b w:val="0"/>
          <w:i w:val="0"/>
          <w:iCs w:val="0"/>
          <w:sz w:val="24"/>
        </w:rPr>
        <w:t xml:space="preserve">éd. </w:t>
      </w:r>
      <w:r w:rsidRPr="003B3476">
        <w:t xml:space="preserve">J. C. </w:t>
      </w:r>
      <w:r w:rsidRPr="003B3476">
        <w:rPr>
          <w:rStyle w:val="Notedebasdepage565ptNonItaliquePetitesmajuscules"/>
          <w:b w:val="0"/>
          <w:i w:val="0"/>
          <w:iCs w:val="0"/>
          <w:sz w:val="24"/>
        </w:rPr>
        <w:t xml:space="preserve">Robertson, </w:t>
      </w:r>
      <w:r w:rsidRPr="003B3476">
        <w:rPr>
          <w:i/>
          <w:lang w:val="fr-FR" w:eastAsia="fr-FR" w:bidi="fr-FR"/>
        </w:rPr>
        <w:t>Rolls Serie</w:t>
      </w:r>
      <w:r w:rsidRPr="003B3476">
        <w:t xml:space="preserve">, </w:t>
      </w:r>
      <w:r w:rsidRPr="003B3476">
        <w:rPr>
          <w:rStyle w:val="Notedebasdepage565ptNonItalique"/>
          <w:b w:val="0"/>
          <w:i w:val="0"/>
          <w:iCs w:val="0"/>
          <w:sz w:val="24"/>
        </w:rPr>
        <w:t xml:space="preserve">t. </w:t>
      </w:r>
      <w:r w:rsidRPr="003B3476">
        <w:t xml:space="preserve">V, p. </w:t>
      </w:r>
      <w:r w:rsidRPr="003B3476">
        <w:rPr>
          <w:rStyle w:val="Notedebasdepage565ptNonItalique"/>
          <w:b w:val="0"/>
          <w:i w:val="0"/>
          <w:iCs w:val="0"/>
          <w:sz w:val="24"/>
        </w:rPr>
        <w:t xml:space="preserve">19 ; </w:t>
      </w:r>
      <w:r w:rsidRPr="003B3476">
        <w:rPr>
          <w:i/>
        </w:rPr>
        <w:t xml:space="preserve">P. </w:t>
      </w:r>
      <w:r w:rsidRPr="003B3476">
        <w:rPr>
          <w:i/>
          <w:lang w:val="fr-FR" w:eastAsia="fr-FR" w:bidi="fr-FR"/>
        </w:rPr>
        <w:t>L</w:t>
      </w:r>
      <w:r w:rsidRPr="003B3476">
        <w:rPr>
          <w:lang w:val="fr-FR" w:eastAsia="fr-FR" w:bidi="fr-FR"/>
        </w:rPr>
        <w:t>.,</w:t>
      </w:r>
      <w:r w:rsidRPr="003B3476">
        <w:t xml:space="preserve"> t. CXC, p. 833.</w:t>
      </w:r>
    </w:p>
  </w:footnote>
  <w:footnote w:id="1077">
    <w:p w14:paraId="5634D6A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t>Jaffé-Wattenbach, n° 10653.</w:t>
      </w:r>
    </w:p>
  </w:footnote>
  <w:footnote w:id="1078">
    <w:p w14:paraId="441AC5B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Ailred, voir F. M. </w:t>
      </w:r>
      <w:r w:rsidRPr="003B3476">
        <w:rPr>
          <w:rStyle w:val="Notedebasdepage65ptPetitesmajuscules"/>
          <w:b w:val="0"/>
          <w:sz w:val="24"/>
        </w:rPr>
        <w:t xml:space="preserve">Powicke, </w:t>
      </w:r>
      <w:r w:rsidRPr="003B3476">
        <w:rPr>
          <w:bCs/>
          <w:i/>
        </w:rPr>
        <w:t>Ailred of Rievaulx and his biographer Walter D</w:t>
      </w:r>
      <w:r w:rsidRPr="003B3476">
        <w:rPr>
          <w:bCs/>
          <w:i/>
        </w:rPr>
        <w:t>a</w:t>
      </w:r>
      <w:r w:rsidRPr="003B3476">
        <w:rPr>
          <w:bCs/>
          <w:i/>
        </w:rPr>
        <w:t>niel</w:t>
      </w:r>
      <w:r w:rsidRPr="003B3476">
        <w:rPr>
          <w:i/>
          <w:lang w:val="fr-FR" w:eastAsia="fr-FR" w:bidi="fr-FR"/>
        </w:rPr>
        <w:t>, Manchester</w:t>
      </w:r>
      <w:r w:rsidRPr="003B3476">
        <w:rPr>
          <w:lang w:val="fr-FR" w:eastAsia="fr-FR" w:bidi="fr-FR"/>
        </w:rPr>
        <w:t xml:space="preserve">, s. d. (extrait du </w:t>
      </w:r>
      <w:r w:rsidRPr="003B3476">
        <w:rPr>
          <w:bCs/>
          <w:i/>
        </w:rPr>
        <w:t>Bulletin of the John Rylands Library</w:t>
      </w:r>
      <w:r w:rsidRPr="003B3476">
        <w:rPr>
          <w:lang w:val="fr-FR" w:eastAsia="fr-FR" w:bidi="fr-FR"/>
        </w:rPr>
        <w:t xml:space="preserve">, t. VI, 1921-1922). La parenté de Laurent et d’Ailred est attestée par Walter, </w:t>
      </w:r>
      <w:r w:rsidRPr="003B3476">
        <w:rPr>
          <w:rStyle w:val="Notedebasdepage65ptPetitesmajuscules"/>
          <w:b w:val="0"/>
          <w:sz w:val="24"/>
        </w:rPr>
        <w:t xml:space="preserve">Powicke, </w:t>
      </w:r>
      <w:r w:rsidRPr="003B3476">
        <w:rPr>
          <w:bCs/>
          <w:i/>
        </w:rPr>
        <w:t>loc. cit</w:t>
      </w:r>
      <w:r w:rsidRPr="003B3476">
        <w:rPr>
          <w:bCs/>
        </w:rPr>
        <w:t>.,</w:t>
      </w:r>
      <w:r w:rsidRPr="003B3476">
        <w:rPr>
          <w:lang w:val="fr-FR" w:eastAsia="fr-FR" w:bidi="fr-FR"/>
        </w:rPr>
        <w:t xml:space="preserve"> p. 99.</w:t>
      </w:r>
    </w:p>
  </w:footnote>
  <w:footnote w:id="1079">
    <w:p w14:paraId="5220C90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Chronicon Angliae Petriburgense</w:t>
      </w:r>
      <w:r w:rsidRPr="003B3476">
        <w:rPr>
          <w:bCs/>
        </w:rPr>
        <w:t>,</w:t>
      </w:r>
      <w:r w:rsidRPr="003B3476">
        <w:rPr>
          <w:lang w:val="fr-FR" w:eastAsia="fr-FR" w:bidi="fr-FR"/>
        </w:rPr>
        <w:t xml:space="preserve"> éd. J. A. </w:t>
      </w:r>
      <w:r w:rsidRPr="003B3476">
        <w:rPr>
          <w:rStyle w:val="Notedebasdepage65ptPetitesmajuscules"/>
          <w:b w:val="0"/>
          <w:sz w:val="24"/>
        </w:rPr>
        <w:t xml:space="preserve">Giles </w:t>
      </w:r>
      <w:r w:rsidRPr="003B3476">
        <w:rPr>
          <w:lang w:val="fr-FR" w:eastAsia="fr-FR" w:bidi="fr-FR"/>
        </w:rPr>
        <w:t xml:space="preserve">(= </w:t>
      </w:r>
      <w:r w:rsidRPr="003B3476">
        <w:rPr>
          <w:bCs/>
        </w:rPr>
        <w:t>Caxton Soc.),</w:t>
      </w:r>
      <w:r w:rsidRPr="003B3476">
        <w:rPr>
          <w:lang w:val="fr-FR" w:eastAsia="fr-FR" w:bidi="fr-FR"/>
        </w:rPr>
        <w:t xml:space="preserve"> 1845, p. 98 : « Sanctus Alredus abbas huic translationi interfuit, ofïerens vitam regis et homeliam super </w:t>
      </w:r>
      <w:r w:rsidRPr="003B3476">
        <w:rPr>
          <w:bCs/>
        </w:rPr>
        <w:t>Nemo accendit lucernam</w:t>
      </w:r>
      <w:r w:rsidRPr="003B3476">
        <w:rPr>
          <w:bCs/>
          <w:vertAlign w:val="subscript"/>
        </w:rPr>
        <w:t>y</w:t>
      </w:r>
      <w:r w:rsidRPr="003B3476">
        <w:rPr>
          <w:lang w:val="fr-FR" w:eastAsia="fr-FR" w:bidi="fr-FR"/>
        </w:rPr>
        <w:t xml:space="preserve"> etc. ad laudem ejus sancti mirif</w:t>
      </w:r>
      <w:r w:rsidRPr="003B3476">
        <w:rPr>
          <w:lang w:val="fr-FR" w:eastAsia="fr-FR" w:bidi="fr-FR"/>
        </w:rPr>
        <w:t>i</w:t>
      </w:r>
      <w:r w:rsidRPr="003B3476">
        <w:rPr>
          <w:lang w:val="fr-FR" w:eastAsia="fr-FR" w:bidi="fr-FR"/>
        </w:rPr>
        <w:t>ce dictatam ». La chronique de Peterborough sous sa forme actuelle n’est pas a</w:t>
      </w:r>
      <w:r w:rsidRPr="003B3476">
        <w:rPr>
          <w:lang w:val="fr-FR" w:eastAsia="fr-FR" w:bidi="fr-FR"/>
        </w:rPr>
        <w:t>n</w:t>
      </w:r>
      <w:r w:rsidRPr="003B3476">
        <w:rPr>
          <w:lang w:val="fr-FR" w:eastAsia="fr-FR" w:bidi="fr-FR"/>
        </w:rPr>
        <w:t xml:space="preserve">térieure au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 </w:t>
      </w:r>
      <w:r w:rsidRPr="003B3476">
        <w:rPr>
          <w:bCs/>
        </w:rPr>
        <w:t>(</w:t>
      </w:r>
      <w:r w:rsidRPr="003B3476">
        <w:rPr>
          <w:bCs/>
          <w:i/>
        </w:rPr>
        <w:t>cf.</w:t>
      </w:r>
      <w:r w:rsidRPr="003B3476">
        <w:rPr>
          <w:bCs/>
        </w:rPr>
        <w:t xml:space="preserve"> </w:t>
      </w:r>
      <w:r w:rsidRPr="003B3476">
        <w:rPr>
          <w:bCs/>
          <w:smallCaps/>
        </w:rPr>
        <w:t>Liebermann</w:t>
      </w:r>
      <w:r w:rsidRPr="003B3476">
        <w:rPr>
          <w:bCs/>
        </w:rPr>
        <w:t xml:space="preserve">, </w:t>
      </w:r>
      <w:r w:rsidRPr="003B3476">
        <w:rPr>
          <w:lang w:val="fr-FR" w:eastAsia="fr-FR" w:bidi="fr-FR"/>
        </w:rPr>
        <w:t xml:space="preserve">dans </w:t>
      </w:r>
      <w:r w:rsidRPr="003B3476">
        <w:rPr>
          <w:bCs/>
          <w:i/>
        </w:rPr>
        <w:t>Neues Archiv</w:t>
      </w:r>
      <w:r w:rsidRPr="003B3476">
        <w:rPr>
          <w:bCs/>
        </w:rPr>
        <w:t>,</w:t>
      </w:r>
      <w:r w:rsidRPr="003B3476">
        <w:rPr>
          <w:bCs/>
          <w:vertAlign w:val="subscript"/>
        </w:rPr>
        <w:t xml:space="preserve"> </w:t>
      </w:r>
      <w:r w:rsidRPr="003B3476">
        <w:rPr>
          <w:lang w:val="fr-FR" w:eastAsia="fr-FR" w:bidi="fr-FR"/>
        </w:rPr>
        <w:t xml:space="preserve">t. XVIII, 1893, p. 236), mais elle a sans doute incorporé des renseignements empruntés à des sources plus anciennes. L’existence de l’homélie relative à saint Édouard, sur le texte </w:t>
      </w:r>
      <w:r w:rsidRPr="003B3476">
        <w:rPr>
          <w:bCs/>
          <w:i/>
        </w:rPr>
        <w:t>Nemo lucernam accendit</w:t>
      </w:r>
      <w:r w:rsidRPr="003B3476">
        <w:rPr>
          <w:lang w:val="fr-FR" w:eastAsia="fr-FR" w:bidi="fr-FR"/>
        </w:rPr>
        <w:t xml:space="preserve"> (Luc XI, 33) est également attestée par le disciple et biographe d’Ailred, Walter Daniel, </w:t>
      </w:r>
      <w:r w:rsidRPr="003B3476">
        <w:rPr>
          <w:bCs/>
        </w:rPr>
        <w:t xml:space="preserve">Powicke, </w:t>
      </w:r>
      <w:r w:rsidRPr="003B3476">
        <w:rPr>
          <w:bCs/>
          <w:i/>
        </w:rPr>
        <w:t>loc. cit</w:t>
      </w:r>
      <w:r w:rsidRPr="003B3476">
        <w:rPr>
          <w:bCs/>
        </w:rPr>
        <w:t>.,</w:t>
      </w:r>
      <w:r w:rsidRPr="003B3476">
        <w:rPr>
          <w:lang w:val="fr-FR" w:eastAsia="fr-FR" w:bidi="fr-FR"/>
        </w:rPr>
        <w:t xml:space="preserve"> p. 99 ; cet opuscule paraît perdu.</w:t>
      </w:r>
    </w:p>
  </w:footnote>
  <w:footnote w:id="1080">
    <w:p w14:paraId="4ECD554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Paul </w:t>
      </w:r>
      <w:r w:rsidRPr="003B3476">
        <w:rPr>
          <w:rStyle w:val="Notedebasdepage65ptPetitesmajuscules"/>
          <w:b w:val="0"/>
          <w:sz w:val="24"/>
        </w:rPr>
        <w:t xml:space="preserve">Meyer </w:t>
      </w:r>
      <w:r w:rsidRPr="003B3476">
        <w:rPr>
          <w:lang w:val="fr-FR" w:eastAsia="fr-FR" w:bidi="fr-FR"/>
        </w:rPr>
        <w:t>(</w:t>
      </w:r>
      <w:r w:rsidRPr="003B3476">
        <w:rPr>
          <w:bCs/>
          <w:i/>
        </w:rPr>
        <w:t>Romania</w:t>
      </w:r>
      <w:r w:rsidRPr="003B3476">
        <w:rPr>
          <w:bCs/>
        </w:rPr>
        <w:t>,</w:t>
      </w:r>
      <w:r w:rsidRPr="003B3476">
        <w:rPr>
          <w:lang w:val="fr-FR" w:eastAsia="fr-FR" w:bidi="fr-FR"/>
        </w:rPr>
        <w:t xml:space="preserve"> t. XL, 1911, p. 41) a mis en doute l’opinion traditio</w:t>
      </w:r>
      <w:r w:rsidRPr="003B3476">
        <w:rPr>
          <w:lang w:val="fr-FR" w:eastAsia="fr-FR" w:bidi="fr-FR"/>
        </w:rPr>
        <w:t>n</w:t>
      </w:r>
      <w:r w:rsidRPr="003B3476">
        <w:rPr>
          <w:lang w:val="fr-FR" w:eastAsia="fr-FR" w:bidi="fr-FR"/>
        </w:rPr>
        <w:t>nelle d’après laquelle Osbert aurait été la principale source d’Ailred. À tort s</w:t>
      </w:r>
      <w:r w:rsidRPr="003B3476">
        <w:rPr>
          <w:lang w:val="fr-FR" w:eastAsia="fr-FR" w:bidi="fr-FR"/>
        </w:rPr>
        <w:t>e</w:t>
      </w:r>
      <w:r w:rsidRPr="003B3476">
        <w:rPr>
          <w:lang w:val="fr-FR" w:eastAsia="fr-FR" w:bidi="fr-FR"/>
        </w:rPr>
        <w:t>lon moi. N’ayant fait que parcourir l’œuvre d’Osbert, il demeura surtout fra</w:t>
      </w:r>
      <w:r w:rsidRPr="003B3476">
        <w:rPr>
          <w:lang w:val="fr-FR" w:eastAsia="fr-FR" w:bidi="fr-FR"/>
        </w:rPr>
        <w:t>p</w:t>
      </w:r>
      <w:r w:rsidRPr="003B3476">
        <w:rPr>
          <w:lang w:val="fr-FR" w:eastAsia="fr-FR" w:bidi="fr-FR"/>
        </w:rPr>
        <w:t>pé par les différences de forme qui séparent les deux écrits. S’il avait pu les co</w:t>
      </w:r>
      <w:r w:rsidRPr="003B3476">
        <w:rPr>
          <w:lang w:val="fr-FR" w:eastAsia="fr-FR" w:bidi="fr-FR"/>
        </w:rPr>
        <w:t>m</w:t>
      </w:r>
      <w:r w:rsidRPr="003B3476">
        <w:rPr>
          <w:lang w:val="fr-FR" w:eastAsia="fr-FR" w:bidi="fr-FR"/>
        </w:rPr>
        <w:t>parer avec plus de soin, il eût certainement reconnu que, sous des mots diff</w:t>
      </w:r>
      <w:r w:rsidRPr="003B3476">
        <w:rPr>
          <w:lang w:val="fr-FR" w:eastAsia="fr-FR" w:bidi="fr-FR"/>
        </w:rPr>
        <w:t>é</w:t>
      </w:r>
      <w:r w:rsidRPr="003B3476">
        <w:rPr>
          <w:lang w:val="fr-FR" w:eastAsia="fr-FR" w:bidi="fr-FR"/>
        </w:rPr>
        <w:t>rents, le fond du récit est presque partout le même.</w:t>
      </w:r>
    </w:p>
  </w:footnote>
  <w:footnote w:id="1081">
    <w:p w14:paraId="364C898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Vies de saint Édouard en français, </w:t>
      </w:r>
      <w:r w:rsidRPr="003B3476">
        <w:rPr>
          <w:bCs/>
          <w:i/>
        </w:rPr>
        <w:t>cf.</w:t>
      </w:r>
      <w:r w:rsidRPr="003B3476">
        <w:rPr>
          <w:lang w:val="fr-FR" w:eastAsia="fr-FR" w:bidi="fr-FR"/>
        </w:rPr>
        <w:t xml:space="preserve"> Paul </w:t>
      </w:r>
      <w:r w:rsidRPr="003B3476">
        <w:rPr>
          <w:bCs/>
          <w:smallCaps/>
        </w:rPr>
        <w:t>Meyer</w:t>
      </w:r>
      <w:r w:rsidRPr="003B3476">
        <w:rPr>
          <w:bCs/>
        </w:rPr>
        <w:t xml:space="preserve">, </w:t>
      </w:r>
      <w:r w:rsidRPr="003B3476">
        <w:rPr>
          <w:bCs/>
          <w:i/>
        </w:rPr>
        <w:t>Notice du ms. Egerton 745 du Musée Britannique,</w:t>
      </w:r>
      <w:r w:rsidRPr="003B3476">
        <w:rPr>
          <w:lang w:val="fr-FR" w:eastAsia="fr-FR" w:bidi="fr-FR"/>
        </w:rPr>
        <w:t xml:space="preserve"> dans </w:t>
      </w:r>
      <w:r w:rsidRPr="003B3476">
        <w:rPr>
          <w:bCs/>
          <w:i/>
        </w:rPr>
        <w:t>Romania</w:t>
      </w:r>
      <w:r w:rsidRPr="003B3476">
        <w:rPr>
          <w:bCs/>
        </w:rPr>
        <w:t>,</w:t>
      </w:r>
      <w:r w:rsidRPr="003B3476">
        <w:rPr>
          <w:lang w:val="fr-FR" w:eastAsia="fr-FR" w:bidi="fr-FR"/>
        </w:rPr>
        <w:t xml:space="preserve"> t. XXXIX (1910), p. 532 et t. XL (1911), p. 41 ; </w:t>
      </w:r>
      <w:r w:rsidRPr="003B3476">
        <w:rPr>
          <w:bCs/>
          <w:i/>
        </w:rPr>
        <w:t>Histoire littéraire</w:t>
      </w:r>
      <w:r w:rsidRPr="003B3476">
        <w:rPr>
          <w:lang w:val="fr-FR" w:eastAsia="fr-FR" w:bidi="fr-FR"/>
        </w:rPr>
        <w:t>, t. XXXIII, p. 347.</w:t>
      </w:r>
    </w:p>
  </w:footnote>
  <w:footnote w:id="1082">
    <w:p w14:paraId="31452E5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Paul </w:t>
      </w:r>
      <w:r w:rsidRPr="003B3476">
        <w:rPr>
          <w:rStyle w:val="Notedebasdepage65ptPetitesmajuscules"/>
          <w:b w:val="0"/>
          <w:sz w:val="24"/>
        </w:rPr>
        <w:t xml:space="preserve">Meyer, </w:t>
      </w:r>
      <w:r w:rsidRPr="003B3476">
        <w:rPr>
          <w:bCs/>
          <w:i/>
        </w:rPr>
        <w:t>Romania</w:t>
      </w:r>
      <w:r w:rsidRPr="003B3476">
        <w:rPr>
          <w:bCs/>
        </w:rPr>
        <w:t>,</w:t>
      </w:r>
      <w:r w:rsidRPr="003B3476">
        <w:rPr>
          <w:lang w:val="fr-FR" w:eastAsia="fr-FR" w:bidi="fr-FR"/>
        </w:rPr>
        <w:t xml:space="preserve"> t. XL, p. 42. Il y aurait lieu de rechercher si la ve</w:t>
      </w:r>
      <w:r w:rsidRPr="003B3476">
        <w:rPr>
          <w:lang w:val="fr-FR" w:eastAsia="fr-FR" w:bidi="fr-FR"/>
        </w:rPr>
        <w:t>r</w:t>
      </w:r>
      <w:r w:rsidRPr="003B3476">
        <w:rPr>
          <w:lang w:val="fr-FR" w:eastAsia="fr-FR" w:bidi="fr-FR"/>
        </w:rPr>
        <w:t>sion abrégée que signale Paul Meyer remonte aux manuscrits ou si elle est simpl</w:t>
      </w:r>
      <w:r w:rsidRPr="003B3476">
        <w:rPr>
          <w:lang w:val="fr-FR" w:eastAsia="fr-FR" w:bidi="fr-FR"/>
        </w:rPr>
        <w:t>e</w:t>
      </w:r>
      <w:r w:rsidRPr="003B3476">
        <w:rPr>
          <w:lang w:val="fr-FR" w:eastAsia="fr-FR" w:bidi="fr-FR"/>
        </w:rPr>
        <w:t>ment le fait du premier éditeur, Capgrave. Nous n’avons pas d’édition critique de l’œuvre d’Ailred.</w:t>
      </w:r>
    </w:p>
  </w:footnote>
  <w:footnote w:id="1083">
    <w:p w14:paraId="460F13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British Museum</w:t>
      </w:r>
      <w:r w:rsidRPr="003B3476">
        <w:rPr>
          <w:bCs/>
        </w:rPr>
        <w:t>,</w:t>
      </w:r>
      <w:r w:rsidRPr="003B3476">
        <w:rPr>
          <w:lang w:val="fr-FR" w:eastAsia="fr-FR" w:bidi="fr-FR"/>
        </w:rPr>
        <w:t xml:space="preserve"> Add. Mss. 36737.</w:t>
      </w:r>
    </w:p>
  </w:footnote>
  <w:footnote w:id="1084">
    <w:p w14:paraId="4B59A41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Nova legenda Angliae</w:t>
      </w:r>
      <w:r w:rsidRPr="003B3476">
        <w:rPr>
          <w:bCs/>
        </w:rPr>
        <w:t>,</w:t>
      </w:r>
      <w:r w:rsidRPr="003B3476">
        <w:rPr>
          <w:lang w:val="fr-FR" w:eastAsia="fr-FR" w:bidi="fr-FR"/>
        </w:rPr>
        <w:t xml:space="preserve"> éd. C. </w:t>
      </w:r>
      <w:r w:rsidRPr="003B3476">
        <w:rPr>
          <w:rStyle w:val="Notedebasdepage65ptPetitesmajuscules"/>
          <w:b w:val="0"/>
          <w:sz w:val="24"/>
        </w:rPr>
        <w:t xml:space="preserve">Horstmann, </w:t>
      </w:r>
      <w:r w:rsidRPr="003B3476">
        <w:rPr>
          <w:lang w:val="fr-FR" w:eastAsia="fr-FR" w:bidi="fr-FR"/>
        </w:rPr>
        <w:t>Oxford, 1901 ; le texte de Ca</w:t>
      </w:r>
      <w:r w:rsidRPr="003B3476">
        <w:rPr>
          <w:lang w:val="fr-FR" w:eastAsia="fr-FR" w:bidi="fr-FR"/>
        </w:rPr>
        <w:t>p</w:t>
      </w:r>
      <w:r w:rsidRPr="003B3476">
        <w:rPr>
          <w:lang w:val="fr-FR" w:eastAsia="fr-FR" w:bidi="fr-FR"/>
        </w:rPr>
        <w:t xml:space="preserve">grave a été reproduit par </w:t>
      </w:r>
      <w:r w:rsidRPr="003B3476">
        <w:rPr>
          <w:rStyle w:val="Notedebasdepage65ptPetitesmajuscules"/>
          <w:b w:val="0"/>
          <w:sz w:val="24"/>
        </w:rPr>
        <w:t xml:space="preserve">Surius, </w:t>
      </w:r>
      <w:r w:rsidRPr="003B3476">
        <w:rPr>
          <w:bCs/>
          <w:i/>
        </w:rPr>
        <w:t>De probatis sanctorum historiis</w:t>
      </w:r>
      <w:r w:rsidRPr="003B3476">
        <w:rPr>
          <w:lang w:val="fr-FR" w:eastAsia="fr-FR" w:bidi="fr-FR"/>
        </w:rPr>
        <w:t xml:space="preserve">, au 5 janvier et </w:t>
      </w:r>
      <w:r w:rsidRPr="003B3476">
        <w:rPr>
          <w:bCs/>
        </w:rPr>
        <w:t xml:space="preserve">Act. </w:t>
      </w:r>
      <w:r w:rsidRPr="003B3476">
        <w:rPr>
          <w:bCs/>
          <w:i/>
        </w:rPr>
        <w:t>SS</w:t>
      </w:r>
      <w:r w:rsidRPr="003B3476">
        <w:rPr>
          <w:bCs/>
        </w:rPr>
        <w:t>.,</w:t>
      </w:r>
      <w:r w:rsidRPr="003B3476">
        <w:rPr>
          <w:lang w:val="fr-FR" w:eastAsia="fr-FR" w:bidi="fr-FR"/>
        </w:rPr>
        <w:t xml:space="preserve"> Ian. t. I, p. 290.</w:t>
      </w:r>
    </w:p>
  </w:footnote>
  <w:footnote w:id="1085">
    <w:p w14:paraId="48F9218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475ptItalique"/>
          <w:b w:val="0"/>
          <w:sz w:val="24"/>
        </w:rPr>
        <w:t>Historiae Anglicanae scriptores X</w:t>
      </w:r>
      <w:r w:rsidRPr="003B3476">
        <w:rPr>
          <w:rStyle w:val="Notedebasdepage475ptItalique"/>
          <w:b w:val="0"/>
          <w:i w:val="0"/>
          <w:sz w:val="24"/>
        </w:rPr>
        <w:t>,</w:t>
      </w:r>
      <w:r w:rsidRPr="003B3476">
        <w:t xml:space="preserve"> </w:t>
      </w:r>
      <w:r w:rsidRPr="003B3476">
        <w:rPr>
          <w:lang w:val="fr-FR" w:eastAsia="fr-FR" w:bidi="fr-FR"/>
        </w:rPr>
        <w:t xml:space="preserve">col. </w:t>
      </w:r>
      <w:r w:rsidRPr="003B3476">
        <w:t xml:space="preserve">369 ; </w:t>
      </w:r>
      <w:r w:rsidRPr="003B3476">
        <w:rPr>
          <w:lang w:val="fr-FR" w:eastAsia="fr-FR" w:bidi="fr-FR"/>
        </w:rPr>
        <w:t xml:space="preserve">édition reproduite par </w:t>
      </w:r>
      <w:r w:rsidRPr="003B3476">
        <w:t>Migne,</w:t>
      </w:r>
      <w:r w:rsidRPr="003B3476">
        <w:rPr>
          <w:lang w:val="fr-FR" w:eastAsia="fr-FR" w:bidi="fr-FR"/>
        </w:rPr>
        <w:t xml:space="preserve"> t. </w:t>
      </w:r>
      <w:r w:rsidRPr="003B3476">
        <w:t xml:space="preserve">CXCV, </w:t>
      </w:r>
      <w:r w:rsidRPr="003B3476">
        <w:rPr>
          <w:lang w:val="fr-FR" w:eastAsia="fr-FR" w:bidi="fr-FR"/>
        </w:rPr>
        <w:t xml:space="preserve">col. </w:t>
      </w:r>
      <w:r w:rsidRPr="003B3476">
        <w:t>739.</w:t>
      </w:r>
    </w:p>
  </w:footnote>
  <w:footnote w:id="1086">
    <w:p w14:paraId="18883F1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Sauf deux courts fragments ; </w:t>
      </w:r>
      <w:r w:rsidRPr="003B3476">
        <w:rPr>
          <w:bCs/>
          <w:i/>
        </w:rPr>
        <w:t>cf.</w:t>
      </w:r>
      <w:r w:rsidRPr="003B3476">
        <w:rPr>
          <w:bCs/>
        </w:rPr>
        <w:t xml:space="preserve"> </w:t>
      </w:r>
      <w:r w:rsidRPr="003B3476">
        <w:rPr>
          <w:bCs/>
          <w:i/>
        </w:rPr>
        <w:t>infra,</w:t>
      </w:r>
      <w:r w:rsidRPr="003B3476">
        <w:rPr>
          <w:lang w:val="fr-FR" w:eastAsia="fr-FR" w:bidi="fr-FR"/>
        </w:rPr>
        <w:t xml:space="preserve"> p. 984, n. 4.</w:t>
      </w:r>
    </w:p>
  </w:footnote>
  <w:footnote w:id="1087">
    <w:p w14:paraId="3DE82EC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Entre le troisième et le quatrième feuillet (éd. </w:t>
      </w:r>
      <w:r w:rsidRPr="003B3476">
        <w:rPr>
          <w:rStyle w:val="Notedebasdepage65ptPetitesmajuscules"/>
          <w:b w:val="0"/>
          <w:sz w:val="24"/>
        </w:rPr>
        <w:t xml:space="preserve">Luard, </w:t>
      </w:r>
      <w:r w:rsidRPr="003B3476">
        <w:rPr>
          <w:lang w:val="fr-FR" w:eastAsia="fr-FR" w:bidi="fr-FR"/>
        </w:rPr>
        <w:t xml:space="preserve">p. </w:t>
      </w:r>
      <w:r w:rsidRPr="003B3476">
        <w:rPr>
          <w:bCs/>
        </w:rPr>
        <w:t xml:space="preserve">397) </w:t>
      </w:r>
      <w:r w:rsidRPr="003B3476">
        <w:rPr>
          <w:lang w:val="fr-FR" w:eastAsia="fr-FR" w:bidi="fr-FR"/>
        </w:rPr>
        <w:t>et les seizième et dix-septième (p. 430).</w:t>
      </w:r>
    </w:p>
  </w:footnote>
  <w:footnote w:id="1088">
    <w:p w14:paraId="0F57DD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La publication de Luard est particulièrement insuffisante en ce qui concerne les textes français qu’il a édités. </w:t>
      </w:r>
      <w:r w:rsidRPr="003B3476">
        <w:rPr>
          <w:bCs/>
          <w:i/>
        </w:rPr>
        <w:t>Cf.</w:t>
      </w:r>
      <w:r w:rsidRPr="003B3476">
        <w:rPr>
          <w:lang w:val="fr-FR" w:eastAsia="fr-FR" w:bidi="fr-FR"/>
        </w:rPr>
        <w:t xml:space="preserve"> l’article de R. </w:t>
      </w:r>
      <w:r w:rsidRPr="003B3476">
        <w:rPr>
          <w:rStyle w:val="Notedebasdepage65ptPetitesmajuscules"/>
          <w:b w:val="0"/>
          <w:sz w:val="24"/>
        </w:rPr>
        <w:t xml:space="preserve">Atkinson, </w:t>
      </w:r>
      <w:r w:rsidRPr="003B3476">
        <w:rPr>
          <w:bCs/>
          <w:i/>
        </w:rPr>
        <w:t>Hermathena</w:t>
      </w:r>
      <w:r w:rsidRPr="003B3476">
        <w:rPr>
          <w:i/>
          <w:lang w:val="fr-FR" w:eastAsia="fr-FR" w:bidi="fr-FR"/>
        </w:rPr>
        <w:t xml:space="preserve">, </w:t>
      </w:r>
      <w:r w:rsidRPr="003B3476">
        <w:rPr>
          <w:bCs/>
          <w:i/>
        </w:rPr>
        <w:t>a series of papers... by members of Trinity College</w:t>
      </w:r>
      <w:r w:rsidRPr="003B3476">
        <w:rPr>
          <w:lang w:val="fr-FR" w:eastAsia="fr-FR" w:bidi="fr-FR"/>
        </w:rPr>
        <w:t xml:space="preserve">, </w:t>
      </w:r>
      <w:r w:rsidRPr="003B3476">
        <w:rPr>
          <w:bCs/>
        </w:rPr>
        <w:t>Dublin</w:t>
      </w:r>
      <w:r w:rsidRPr="003B3476">
        <w:rPr>
          <w:lang w:val="fr-FR" w:eastAsia="fr-FR" w:bidi="fr-FR"/>
        </w:rPr>
        <w:t xml:space="preserve">, t. I (1874), p. 1. On trouve l’œuvre du Biographe citée dès la fin du </w:t>
      </w:r>
      <w:r w:rsidRPr="003B3476">
        <w:rPr>
          <w:caps/>
          <w:lang w:val="fr-FR" w:eastAsia="fr-FR" w:bidi="fr-FR"/>
        </w:rPr>
        <w:t>xvi</w:t>
      </w:r>
      <w:r w:rsidRPr="003B3476">
        <w:rPr>
          <w:vertAlign w:val="superscript"/>
          <w:lang w:val="fr-FR" w:eastAsia="fr-FR" w:bidi="fr-FR"/>
        </w:rPr>
        <w:t>e</w:t>
      </w:r>
      <w:r w:rsidRPr="003B3476">
        <w:rPr>
          <w:lang w:val="fr-FR" w:eastAsia="fr-FR" w:bidi="fr-FR"/>
        </w:rPr>
        <w:t xml:space="preserve"> siècle par William </w:t>
      </w:r>
      <w:r w:rsidRPr="003B3476">
        <w:rPr>
          <w:rStyle w:val="Notedebasdepage65ptPetitesmajuscules"/>
          <w:b w:val="0"/>
          <w:sz w:val="24"/>
        </w:rPr>
        <w:t xml:space="preserve">Camden </w:t>
      </w:r>
      <w:r w:rsidRPr="003B3476">
        <w:rPr>
          <w:lang w:val="fr-FR" w:eastAsia="fr-FR" w:bidi="fr-FR"/>
        </w:rPr>
        <w:t xml:space="preserve">dans sa </w:t>
      </w:r>
      <w:r w:rsidRPr="003B3476">
        <w:rPr>
          <w:bCs/>
          <w:i/>
        </w:rPr>
        <w:t>Britannia</w:t>
      </w:r>
      <w:r w:rsidRPr="003B3476">
        <w:rPr>
          <w:lang w:val="fr-FR" w:eastAsia="fr-FR" w:bidi="fr-FR"/>
        </w:rPr>
        <w:t>, parue pour la première fois en 1586 : éd. de 1607, Londres, p. 179.</w:t>
      </w:r>
    </w:p>
  </w:footnote>
  <w:footnote w:id="1089">
    <w:p w14:paraId="38D50F4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Scribes reginam primo tibi subvenientem », p. 427, v. 1331.</w:t>
      </w:r>
    </w:p>
  </w:footnote>
  <w:footnote w:id="1090">
    <w:p w14:paraId="60B821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426, v. 1305.</w:t>
      </w:r>
    </w:p>
  </w:footnote>
  <w:footnote w:id="1091">
    <w:p w14:paraId="12F213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430, 1. 1440 et suiv. ; p. 434, 1. 1586. </w:t>
      </w:r>
      <w:r w:rsidRPr="003B3476">
        <w:rPr>
          <w:bCs/>
          <w:i/>
        </w:rPr>
        <w:t>Cf.</w:t>
      </w:r>
      <w:r w:rsidRPr="003B3476">
        <w:rPr>
          <w:lang w:val="fr-FR" w:eastAsia="fr-FR" w:bidi="fr-FR"/>
        </w:rPr>
        <w:t xml:space="preserve"> aussi les allusions aux miracles accomplis sur la tombe (p. 435,1.1605 et suiv.) ; elles supposent évidemment qu’au moment où la </w:t>
      </w:r>
      <w:r w:rsidRPr="003B3476">
        <w:rPr>
          <w:bCs/>
        </w:rPr>
        <w:t>Vie</w:t>
      </w:r>
      <w:r w:rsidRPr="003B3476">
        <w:rPr>
          <w:lang w:val="fr-FR" w:eastAsia="fr-FR" w:bidi="fr-FR"/>
        </w:rPr>
        <w:t xml:space="preserve"> fut écrite, un certain temps s’était déjà écoulé depuis la mort de saint Édouard.</w:t>
      </w:r>
    </w:p>
  </w:footnote>
  <w:footnote w:id="1092">
    <w:p w14:paraId="6BEF047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427, v. 1337 et suiv.</w:t>
      </w:r>
    </w:p>
  </w:footnote>
  <w:footnote w:id="1093">
    <w:p w14:paraId="4B8AB39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427, v. 1350 et suiv.</w:t>
      </w:r>
    </w:p>
  </w:footnote>
  <w:footnote w:id="1094">
    <w:p w14:paraId="2317FBB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Freeman</w:t>
      </w:r>
      <w:r w:rsidRPr="003B3476">
        <w:t>,</w:t>
      </w:r>
      <w:r w:rsidRPr="003B3476">
        <w:rPr>
          <w:lang w:val="fr-FR" w:eastAsia="fr-FR" w:bidi="fr-FR"/>
        </w:rPr>
        <w:t xml:space="preserve"> t. </w:t>
      </w:r>
      <w:r w:rsidRPr="003B3476">
        <w:t xml:space="preserve">III, p. </w:t>
      </w:r>
      <w:r w:rsidRPr="003B3476">
        <w:rPr>
          <w:lang w:val="fr-FR" w:eastAsia="fr-FR" w:bidi="fr-FR"/>
        </w:rPr>
        <w:t>635.</w:t>
      </w:r>
    </w:p>
  </w:footnote>
  <w:footnote w:id="1095">
    <w:p w14:paraId="6A20C2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 II, p. 524 ; </w:t>
      </w:r>
      <w:r w:rsidRPr="003B3476">
        <w:rPr>
          <w:bCs/>
          <w:i/>
        </w:rPr>
        <w:t>cf.</w:t>
      </w:r>
      <w:r w:rsidRPr="003B3476">
        <w:rPr>
          <w:bCs/>
        </w:rPr>
        <w:t xml:space="preserve"> </w:t>
      </w:r>
      <w:r w:rsidRPr="003B3476">
        <w:rPr>
          <w:bCs/>
          <w:i/>
        </w:rPr>
        <w:t>infra</w:t>
      </w:r>
      <w:r w:rsidRPr="003B3476">
        <w:rPr>
          <w:lang w:val="fr-FR" w:eastAsia="fr-FR" w:bidi="fr-FR"/>
        </w:rPr>
        <w:t>, p. 960, n. 3.</w:t>
      </w:r>
    </w:p>
  </w:footnote>
  <w:footnote w:id="1096">
    <w:p w14:paraId="05D5372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sur </w:t>
      </w:r>
      <w:r w:rsidRPr="003B3476">
        <w:rPr>
          <w:bCs/>
          <w:smallCaps/>
        </w:rPr>
        <w:t>Freeman</w:t>
      </w:r>
      <w:r w:rsidRPr="003B3476">
        <w:rPr>
          <w:bCs/>
        </w:rPr>
        <w:t xml:space="preserve">, </w:t>
      </w:r>
      <w:r w:rsidRPr="003B3476">
        <w:rPr>
          <w:lang w:val="fr-FR" w:eastAsia="fr-FR" w:bidi="fr-FR"/>
        </w:rPr>
        <w:t xml:space="preserve">l’appréciation de M. </w:t>
      </w:r>
      <w:r w:rsidRPr="003B3476">
        <w:rPr>
          <w:bCs/>
        </w:rPr>
        <w:t xml:space="preserve">Plummer, </w:t>
      </w:r>
      <w:r w:rsidRPr="003B3476">
        <w:rPr>
          <w:rStyle w:val="Notedebasdepage6ptItaliquePetitesmajuscules"/>
          <w:b w:val="0"/>
          <w:i w:val="0"/>
          <w:smallCaps w:val="0"/>
          <w:sz w:val="24"/>
        </w:rPr>
        <w:t>Two</w:t>
      </w:r>
      <w:r w:rsidRPr="003B3476">
        <w:rPr>
          <w:rStyle w:val="Notedebasdepage6ptItaliquePetitesmajuscules"/>
          <w:b w:val="0"/>
          <w:i w:val="0"/>
          <w:sz w:val="24"/>
        </w:rPr>
        <w:t xml:space="preserve"> </w:t>
      </w:r>
      <w:r w:rsidRPr="003B3476">
        <w:rPr>
          <w:bCs/>
          <w:i/>
        </w:rPr>
        <w:t>Saxon Chronicles</w:t>
      </w:r>
      <w:r w:rsidRPr="003B3476">
        <w:rPr>
          <w:lang w:val="fr-FR" w:eastAsia="fr-FR" w:bidi="fr-FR"/>
        </w:rPr>
        <w:t>, t. II, p. 225.</w:t>
      </w:r>
    </w:p>
  </w:footnote>
  <w:footnote w:id="1097">
    <w:p w14:paraId="5FB0A98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seul érudit, à ma connaissance, qui ait émis quelques doutes sur l’authenticité de la </w:t>
      </w:r>
      <w:r w:rsidRPr="003B3476">
        <w:rPr>
          <w:bCs/>
          <w:i/>
        </w:rPr>
        <w:t>Vita</w:t>
      </w:r>
      <w:r w:rsidRPr="003B3476">
        <w:rPr>
          <w:lang w:val="fr-FR" w:eastAsia="fr-FR" w:bidi="fr-FR"/>
        </w:rPr>
        <w:t xml:space="preserve"> est un historien français, M. H. </w:t>
      </w:r>
      <w:r w:rsidRPr="003B3476">
        <w:rPr>
          <w:rStyle w:val="Notedebasdepage65ptPetitesmajuscules"/>
          <w:b w:val="0"/>
          <w:sz w:val="24"/>
        </w:rPr>
        <w:t xml:space="preserve">F. Delaborde </w:t>
      </w:r>
      <w:r w:rsidRPr="003B3476">
        <w:rPr>
          <w:lang w:val="fr-FR" w:eastAsia="fr-FR" w:bidi="fr-FR"/>
        </w:rPr>
        <w:t xml:space="preserve">qui, dans un article intitulé </w:t>
      </w:r>
      <w:r w:rsidRPr="003B3476">
        <w:rPr>
          <w:bCs/>
          <w:i/>
        </w:rPr>
        <w:t>Du toucher des écrouelles par les rois d’Angleterre</w:t>
      </w:r>
      <w:r w:rsidRPr="003B3476">
        <w:rPr>
          <w:lang w:val="fr-FR" w:eastAsia="fr-FR" w:bidi="fr-FR"/>
        </w:rPr>
        <w:t xml:space="preserve">, dans </w:t>
      </w:r>
      <w:r w:rsidRPr="003B3476">
        <w:rPr>
          <w:bCs/>
          <w:i/>
        </w:rPr>
        <w:t>M</w:t>
      </w:r>
      <w:r w:rsidRPr="003B3476">
        <w:rPr>
          <w:bCs/>
          <w:i/>
        </w:rPr>
        <w:t>é</w:t>
      </w:r>
      <w:r w:rsidRPr="003B3476">
        <w:rPr>
          <w:bCs/>
          <w:i/>
        </w:rPr>
        <w:t>langes Bémont</w:t>
      </w:r>
      <w:r w:rsidRPr="003B3476">
        <w:rPr>
          <w:lang w:val="fr-FR" w:eastAsia="fr-FR" w:bidi="fr-FR"/>
        </w:rPr>
        <w:t xml:space="preserve"> (Paris, 1913), p. 175, n. 3, va jusqu’à déclarer que t cet ouvr</w:t>
      </w:r>
      <w:r w:rsidRPr="003B3476">
        <w:rPr>
          <w:lang w:val="fr-FR" w:eastAsia="fr-FR" w:bidi="fr-FR"/>
        </w:rPr>
        <w:t>a</w:t>
      </w:r>
      <w:r w:rsidRPr="003B3476">
        <w:rPr>
          <w:lang w:val="fr-FR" w:eastAsia="fr-FR" w:bidi="fr-FR"/>
        </w:rPr>
        <w:t>ge, postérieur à Guillaume de Malmesbury, n’a été écrit qu’un siècle après la mort d’Édouard le Confesseur » ; malheureusement M. Delaborde n’a point exposé ses preuves ; tout en refusant comme lui de prendre l’œuvre du « Biographe » pour aussi ancienne qu’elle se donne, je la crois, comme on le verra, antérieure tout de même à Guillaume de Malmesbury ; mais c’est une grande sécurité pour moi que de me trouver d’accord, pour le fond, sur a que</w:t>
      </w:r>
      <w:r w:rsidRPr="003B3476">
        <w:rPr>
          <w:lang w:val="fr-FR" w:eastAsia="fr-FR" w:bidi="fr-FR"/>
        </w:rPr>
        <w:t>s</w:t>
      </w:r>
      <w:r w:rsidRPr="003B3476">
        <w:rPr>
          <w:lang w:val="fr-FR" w:eastAsia="fr-FR" w:bidi="fr-FR"/>
        </w:rPr>
        <w:t>tion d’authenticité, avec un savant de la compétence de M. Delaborde.</w:t>
      </w:r>
    </w:p>
  </w:footnote>
  <w:footnote w:id="1098">
    <w:p w14:paraId="1764974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w:t>
      </w:r>
      <w:r w:rsidRPr="003B3476">
        <w:rPr>
          <w:bCs/>
        </w:rPr>
        <w:t xml:space="preserve">430, </w:t>
      </w:r>
      <w:r w:rsidRPr="003B3476">
        <w:rPr>
          <w:lang w:val="fr-FR" w:eastAsia="fr-FR" w:bidi="fr-FR"/>
        </w:rPr>
        <w:t xml:space="preserve">1. </w:t>
      </w:r>
      <w:r w:rsidRPr="003B3476">
        <w:rPr>
          <w:bCs/>
        </w:rPr>
        <w:t xml:space="preserve">1455 </w:t>
      </w:r>
      <w:r w:rsidRPr="003B3476">
        <w:rPr>
          <w:lang w:val="fr-FR" w:eastAsia="fr-FR" w:bidi="fr-FR"/>
        </w:rPr>
        <w:t>et suiv. : « Nunc », inquit, « duo aderant monachi, quondam cum in Normannia adolescens essem mihi notissimi, multae scilicet sanctitatis viri, rebusque mundanis iam multo tempore exempti, sicque ex Dei legatione me sunt alïati : « Quoniam » inquiunt « hi qui in hoc regno Anglico in culmine praelationis conscenderunt, duces, episcopi, et abbates, et quique sacrorum graduum ordines adepti, non sunt quod videntur esse, sed e contra ministri diaboli, tradidit Deus post obitus mei diem anno uno et die una omne hoc r</w:t>
      </w:r>
      <w:r w:rsidRPr="003B3476">
        <w:rPr>
          <w:lang w:val="fr-FR" w:eastAsia="fr-FR" w:bidi="fr-FR"/>
        </w:rPr>
        <w:t>e</w:t>
      </w:r>
      <w:r w:rsidRPr="003B3476">
        <w:rPr>
          <w:lang w:val="fr-FR" w:eastAsia="fr-FR" w:bidi="fr-FR"/>
        </w:rPr>
        <w:t>gnum a se maledictum in manu inimici pervagabuntur diaboli totam hanc te</w:t>
      </w:r>
      <w:r w:rsidRPr="003B3476">
        <w:rPr>
          <w:lang w:val="fr-FR" w:eastAsia="fr-FR" w:bidi="fr-FR"/>
        </w:rPr>
        <w:t>r</w:t>
      </w:r>
      <w:r w:rsidRPr="003B3476">
        <w:rPr>
          <w:lang w:val="fr-FR" w:eastAsia="fr-FR" w:bidi="fr-FR"/>
        </w:rPr>
        <w:t>ram igné, ferro, et depraedatione hostili. » Tum ego adillos hoc modo : « Ostendam », inquam, « haec ex voluntate Dei populo, et poenitentibus eis Dei miserebitur propitiatio. Misertus est enim Ninivitis, cum poeniterent ad audientiam divinae comminationis ». — « Non poenitebunt », aiuntilli, « nec perveniet illis miseratio Dei ». — « Et quid » inquam « erit, vel quando tantae comminationis remissio sperari poterit ? » — « Tune », inquiunt, « si arbor v</w:t>
      </w:r>
      <w:r w:rsidRPr="003B3476">
        <w:rPr>
          <w:lang w:val="fr-FR" w:eastAsia="fr-FR" w:bidi="fr-FR"/>
        </w:rPr>
        <w:t>i</w:t>
      </w:r>
      <w:r w:rsidRPr="003B3476">
        <w:rPr>
          <w:lang w:val="fr-FR" w:eastAsia="fr-FR" w:bidi="fr-FR"/>
        </w:rPr>
        <w:t>ridis a medio sui succidatur corpore, et pars abscisa trium iugerum spatio a suo deportetur stipite, cum per se et absque humana manu vel quovis ammin</w:t>
      </w:r>
      <w:r w:rsidRPr="003B3476">
        <w:rPr>
          <w:lang w:val="fr-FR" w:eastAsia="fr-FR" w:bidi="fr-FR"/>
        </w:rPr>
        <w:t>i</w:t>
      </w:r>
      <w:r w:rsidRPr="003B3476">
        <w:rPr>
          <w:lang w:val="fr-FR" w:eastAsia="fr-FR" w:bidi="fr-FR"/>
        </w:rPr>
        <w:t>culo suo connectetur trunco, coeperitque denuo virescere et fructificare ex coalescentis sui amore pristino, tune primum tantorum malorum sperari poterit remissio. » — « Anno uno et die » : « Pan et jour » : mode de langage familier au droit médiéval pour indiquer un délai d’une année pleine.</w:t>
      </w:r>
    </w:p>
  </w:footnote>
  <w:footnote w:id="1099">
    <w:p w14:paraId="090B72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G. </w:t>
      </w:r>
      <w:r w:rsidRPr="003B3476">
        <w:rPr>
          <w:rStyle w:val="Notedebasdepage65ptPetitesmajuscules"/>
          <w:b w:val="0"/>
          <w:sz w:val="24"/>
        </w:rPr>
        <w:t xml:space="preserve">de Malmesbury, </w:t>
      </w:r>
      <w:r w:rsidRPr="003B3476">
        <w:rPr>
          <w:lang w:val="fr-FR" w:eastAsia="fr-FR" w:bidi="fr-FR"/>
        </w:rPr>
        <w:t>t. II, § 394.</w:t>
      </w:r>
    </w:p>
  </w:footnote>
  <w:footnote w:id="1100">
    <w:p w14:paraId="17243E7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Two Saxon Chronicles</w:t>
      </w:r>
      <w:r w:rsidRPr="003B3476">
        <w:rPr>
          <w:bCs/>
        </w:rPr>
        <w:t>,</w:t>
      </w:r>
      <w:r w:rsidRPr="003B3476">
        <w:rPr>
          <w:lang w:val="fr-FR" w:eastAsia="fr-FR" w:bidi="fr-FR"/>
        </w:rPr>
        <w:t xml:space="preserve"> t. I, p. 236. « And siththan sonaheraeftersecynggenam Mahalde him to wife Malcolmes cynges dohter of Scotlande and Margareta thaere goda cwaene Eadwardes cynges magan and of than rihtan Aenglalandes kyne kynne ». </w:t>
      </w:r>
      <w:r w:rsidRPr="003B3476">
        <w:rPr>
          <w:bCs/>
          <w:i/>
        </w:rPr>
        <w:t>Cf.</w:t>
      </w:r>
      <w:r w:rsidRPr="003B3476">
        <w:rPr>
          <w:lang w:val="fr-FR" w:eastAsia="fr-FR" w:bidi="fr-FR"/>
        </w:rPr>
        <w:t xml:space="preserve"> les additions faites au </w:t>
      </w:r>
      <w:r w:rsidRPr="003B3476">
        <w:rPr>
          <w:smallCaps/>
          <w:lang w:val="fr-FR" w:eastAsia="fr-FR" w:bidi="fr-FR"/>
        </w:rPr>
        <w:t>xii</w:t>
      </w:r>
      <w:r w:rsidRPr="003B3476">
        <w:rPr>
          <w:vertAlign w:val="superscript"/>
          <w:lang w:val="fr-FR" w:eastAsia="fr-FR" w:bidi="fr-FR"/>
        </w:rPr>
        <w:t>e</w:t>
      </w:r>
      <w:r w:rsidRPr="003B3476">
        <w:rPr>
          <w:lang w:val="fr-FR" w:eastAsia="fr-FR" w:bidi="fr-FR"/>
        </w:rPr>
        <w:t xml:space="preserve"> siècle aux passages des anciennes chroniques relatifs à Cerdic, </w:t>
      </w:r>
      <w:r w:rsidRPr="003B3476">
        <w:rPr>
          <w:bCs/>
          <w:i/>
        </w:rPr>
        <w:t>ibid</w:t>
      </w:r>
      <w:r w:rsidRPr="003B3476">
        <w:rPr>
          <w:bCs/>
        </w:rPr>
        <w:t>.,</w:t>
      </w:r>
      <w:r w:rsidRPr="003B3476">
        <w:rPr>
          <w:lang w:val="fr-FR" w:eastAsia="fr-FR" w:bidi="fr-FR"/>
        </w:rPr>
        <w:t xml:space="preserve"> t. I, p. 16 et 17 (519) et la note de M. Plummer à ce sujet, t. II, p. 13.</w:t>
      </w:r>
    </w:p>
  </w:footnote>
  <w:footnote w:id="1101">
    <w:p w14:paraId="647CFC7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II, § 410, p. 495. t Plures ergo provinciae spectabant nutum pueri, putab</w:t>
      </w:r>
      <w:r w:rsidRPr="003B3476">
        <w:rPr>
          <w:lang w:val="fr-FR" w:eastAsia="fr-FR" w:bidi="fr-FR"/>
        </w:rPr>
        <w:t>a</w:t>
      </w:r>
      <w:r w:rsidRPr="003B3476">
        <w:rPr>
          <w:lang w:val="fr-FR" w:eastAsia="fr-FR" w:bidi="fr-FR"/>
        </w:rPr>
        <w:t>turque regis Edwardi vaticinium in eo complendum ; ferebaturque spes A</w:t>
      </w:r>
      <w:r w:rsidRPr="003B3476">
        <w:rPr>
          <w:lang w:val="fr-FR" w:eastAsia="fr-FR" w:bidi="fr-FR"/>
        </w:rPr>
        <w:t>n</w:t>
      </w:r>
      <w:r w:rsidRPr="003B3476">
        <w:rPr>
          <w:lang w:val="fr-FR" w:eastAsia="fr-FR" w:bidi="fr-FR"/>
        </w:rPr>
        <w:t>gliae, modo arboris succisa, in illo iuvenculo iterum floribus pubescere, fru</w:t>
      </w:r>
      <w:r w:rsidRPr="003B3476">
        <w:rPr>
          <w:lang w:val="fr-FR" w:eastAsia="fr-FR" w:bidi="fr-FR"/>
        </w:rPr>
        <w:t>c</w:t>
      </w:r>
      <w:r w:rsidRPr="003B3476">
        <w:rPr>
          <w:lang w:val="fr-FR" w:eastAsia="fr-FR" w:bidi="fr-FR"/>
        </w:rPr>
        <w:t>tus protrudere, et ideo finem malorum sperari posse. »</w:t>
      </w:r>
    </w:p>
  </w:footnote>
  <w:footnote w:id="1102">
    <w:p w14:paraId="29EF86D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C’est du moins ce que peut faire supposer cette phrase d’Orderic Vital, </w:t>
      </w:r>
      <w:r w:rsidRPr="003B3476">
        <w:rPr>
          <w:bCs/>
          <w:i/>
        </w:rPr>
        <w:t>Histo</w:t>
      </w:r>
      <w:r w:rsidRPr="003B3476">
        <w:rPr>
          <w:bCs/>
          <w:i/>
        </w:rPr>
        <w:t>i</w:t>
      </w:r>
      <w:r w:rsidRPr="003B3476">
        <w:rPr>
          <w:bCs/>
          <w:i/>
        </w:rPr>
        <w:t>re Ecclésiastique</w:t>
      </w:r>
      <w:r w:rsidRPr="003B3476">
        <w:rPr>
          <w:bCs/>
        </w:rPr>
        <w:t>,</w:t>
      </w:r>
      <w:r w:rsidRPr="003B3476">
        <w:rPr>
          <w:lang w:val="fr-FR" w:eastAsia="fr-FR" w:bidi="fr-FR"/>
        </w:rPr>
        <w:t xml:space="preserve"> X, </w:t>
      </w:r>
      <w:r w:rsidRPr="003B3476">
        <w:rPr>
          <w:smallCaps/>
          <w:lang w:val="fr-FR" w:eastAsia="fr-FR" w:bidi="fr-FR"/>
        </w:rPr>
        <w:t>xiv</w:t>
      </w:r>
      <w:r w:rsidRPr="003B3476">
        <w:rPr>
          <w:lang w:val="fr-FR" w:eastAsia="fr-FR" w:bidi="fr-FR"/>
        </w:rPr>
        <w:t xml:space="preserve">, éd. </w:t>
      </w:r>
      <w:r w:rsidRPr="003B3476">
        <w:rPr>
          <w:rStyle w:val="Notedebasdepage65ptPetitesmajuscules"/>
          <w:b w:val="0"/>
          <w:sz w:val="24"/>
        </w:rPr>
        <w:t xml:space="preserve">Leprévost </w:t>
      </w:r>
      <w:r w:rsidRPr="003B3476">
        <w:rPr>
          <w:lang w:val="fr-FR" w:eastAsia="fr-FR" w:bidi="fr-FR"/>
        </w:rPr>
        <w:t>(= Soc. de l’Hist. de France), t. IV, p. 88 : « Tandem... arx cum regalibus gazis fllio regis Henrico reddita est. Hoc antea dudum fuit a Britonibus prophetatum... ». Mais la très célèbre prophétie de Merlin, relative à Henri I</w:t>
      </w:r>
      <w:r w:rsidRPr="003B3476">
        <w:rPr>
          <w:vertAlign w:val="superscript"/>
          <w:lang w:val="fr-FR" w:eastAsia="fr-FR" w:bidi="fr-FR"/>
        </w:rPr>
        <w:t>er</w:t>
      </w:r>
      <w:r w:rsidRPr="003B3476">
        <w:rPr>
          <w:lang w:val="fr-FR" w:eastAsia="fr-FR" w:bidi="fr-FR"/>
        </w:rPr>
        <w:t xml:space="preserve">, que l’on trouve chez Orderic lui-même (XII, </w:t>
      </w:r>
      <w:r w:rsidRPr="003B3476">
        <w:rPr>
          <w:rStyle w:val="Notedebasdepage65ptPetitesmajuscules"/>
          <w:b w:val="0"/>
          <w:sz w:val="24"/>
        </w:rPr>
        <w:t>xlvii ;</w:t>
      </w:r>
      <w:r w:rsidRPr="003B3476">
        <w:rPr>
          <w:lang w:val="fr-FR" w:eastAsia="fr-FR" w:bidi="fr-FR"/>
        </w:rPr>
        <w:t xml:space="preserve"> t. IV, p. 490) et sous une forme légèrement différente dans </w:t>
      </w:r>
      <w:r w:rsidRPr="003B3476">
        <w:rPr>
          <w:bCs/>
        </w:rPr>
        <w:t>l’</w:t>
      </w:r>
      <w:r w:rsidRPr="003B3476">
        <w:rPr>
          <w:bCs/>
          <w:i/>
        </w:rPr>
        <w:t>Historia Britonum</w:t>
      </w:r>
      <w:r w:rsidRPr="003B3476">
        <w:rPr>
          <w:i/>
          <w:lang w:val="fr-FR" w:eastAsia="fr-FR" w:bidi="fr-FR"/>
        </w:rPr>
        <w:t xml:space="preserve"> </w:t>
      </w:r>
      <w:r w:rsidRPr="003B3476">
        <w:rPr>
          <w:lang w:val="fr-FR" w:eastAsia="fr-FR" w:bidi="fr-FR"/>
        </w:rPr>
        <w:t xml:space="preserve">de Geoffroi de Monmouth, éd. </w:t>
      </w:r>
      <w:r w:rsidRPr="003B3476">
        <w:rPr>
          <w:rStyle w:val="Notedebasdepage65ptPetitesmajuscules"/>
          <w:b w:val="0"/>
          <w:sz w:val="24"/>
        </w:rPr>
        <w:t xml:space="preserve">Giles </w:t>
      </w:r>
      <w:r w:rsidRPr="003B3476">
        <w:rPr>
          <w:lang w:val="fr-FR" w:eastAsia="fr-FR" w:bidi="fr-FR"/>
        </w:rPr>
        <w:t xml:space="preserve">(= Caxton Society), p. 121 et dans la </w:t>
      </w:r>
      <w:r w:rsidRPr="003B3476">
        <w:rPr>
          <w:bCs/>
          <w:i/>
        </w:rPr>
        <w:t>Vie de Louis VI</w:t>
      </w:r>
      <w:r w:rsidRPr="003B3476">
        <w:rPr>
          <w:lang w:val="fr-FR" w:eastAsia="fr-FR" w:bidi="fr-FR"/>
        </w:rPr>
        <w:t xml:space="preserve"> de Suger, XV, éd. </w:t>
      </w:r>
      <w:r w:rsidRPr="003B3476">
        <w:rPr>
          <w:rStyle w:val="Notedebasdepage65ptPetitesmajuscules"/>
          <w:b w:val="0"/>
          <w:sz w:val="24"/>
        </w:rPr>
        <w:t>Molinier (</w:t>
      </w:r>
      <w:r w:rsidRPr="003B3476">
        <w:rPr>
          <w:rStyle w:val="Notedebasdepage65ptPetitesmajuscules"/>
          <w:b w:val="0"/>
          <w:smallCaps w:val="0"/>
          <w:sz w:val="24"/>
        </w:rPr>
        <w:t>Soc</w:t>
      </w:r>
      <w:r w:rsidRPr="003B3476">
        <w:rPr>
          <w:rStyle w:val="Notedebasdepage65ptPetitesmajuscules"/>
          <w:b w:val="0"/>
          <w:sz w:val="24"/>
        </w:rPr>
        <w:t xml:space="preserve">., </w:t>
      </w:r>
      <w:r w:rsidRPr="003B3476">
        <w:rPr>
          <w:lang w:val="fr-FR" w:eastAsia="fr-FR" w:bidi="fr-FR"/>
        </w:rPr>
        <w:t>pour l’étude... de l’histoire, p. 46, n’a certainement pris sa forme définitive que plus tard, pui</w:t>
      </w:r>
      <w:r w:rsidRPr="003B3476">
        <w:rPr>
          <w:lang w:val="fr-FR" w:eastAsia="fr-FR" w:bidi="fr-FR"/>
        </w:rPr>
        <w:t>s</w:t>
      </w:r>
      <w:r w:rsidRPr="003B3476">
        <w:rPr>
          <w:lang w:val="fr-FR" w:eastAsia="fr-FR" w:bidi="fr-FR"/>
        </w:rPr>
        <w:t>qu’elle renferme une a</w:t>
      </w:r>
      <w:r w:rsidRPr="003B3476">
        <w:rPr>
          <w:lang w:val="fr-FR" w:eastAsia="fr-FR" w:bidi="fr-FR"/>
        </w:rPr>
        <w:t>l</w:t>
      </w:r>
      <w:r w:rsidRPr="003B3476">
        <w:rPr>
          <w:lang w:val="fr-FR" w:eastAsia="fr-FR" w:bidi="fr-FR"/>
        </w:rPr>
        <w:t>lusion au naufrage de la Blanche Nef.</w:t>
      </w:r>
    </w:p>
  </w:footnote>
  <w:footnote w:id="1103">
    <w:p w14:paraId="6515368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rStyle w:val="Notedebasdepage65ptPetitesmajuscules"/>
          <w:b w:val="0"/>
          <w:sz w:val="24"/>
        </w:rPr>
        <w:t xml:space="preserve">Guillaume de Jumièges, </w:t>
      </w:r>
      <w:r w:rsidRPr="003B3476">
        <w:rPr>
          <w:bCs/>
          <w:i/>
        </w:rPr>
        <w:t>Gesta Normannorum Ducum</w:t>
      </w:r>
      <w:r w:rsidRPr="003B3476">
        <w:rPr>
          <w:lang w:val="fr-FR" w:eastAsia="fr-FR" w:bidi="fr-FR"/>
        </w:rPr>
        <w:t xml:space="preserve">, éd. </w:t>
      </w:r>
      <w:r w:rsidRPr="003B3476">
        <w:rPr>
          <w:rStyle w:val="Notedebasdepage65ptPetitesmajuscules"/>
          <w:b w:val="0"/>
          <w:sz w:val="24"/>
        </w:rPr>
        <w:t>J. Marx (</w:t>
      </w:r>
      <w:r w:rsidRPr="003B3476">
        <w:rPr>
          <w:rStyle w:val="Notedebasdepage65ptPetitesmajuscules"/>
          <w:b w:val="0"/>
          <w:smallCaps w:val="0"/>
          <w:sz w:val="24"/>
        </w:rPr>
        <w:t>Soc</w:t>
      </w:r>
      <w:r w:rsidRPr="003B3476">
        <w:rPr>
          <w:rStyle w:val="Notedebasdepage65ptPetitesmajuscules"/>
          <w:b w:val="0"/>
          <w:sz w:val="24"/>
        </w:rPr>
        <w:t xml:space="preserve">. </w:t>
      </w:r>
      <w:r w:rsidRPr="003B3476">
        <w:rPr>
          <w:lang w:val="fr-FR" w:eastAsia="fr-FR" w:bidi="fr-FR"/>
        </w:rPr>
        <w:t>de l’Histoire de No</w:t>
      </w:r>
      <w:r w:rsidRPr="003B3476">
        <w:rPr>
          <w:lang w:val="fr-FR" w:eastAsia="fr-FR" w:bidi="fr-FR"/>
        </w:rPr>
        <w:t>r</w:t>
      </w:r>
      <w:r w:rsidRPr="003B3476">
        <w:rPr>
          <w:lang w:val="fr-FR" w:eastAsia="fr-FR" w:bidi="fr-FR"/>
        </w:rPr>
        <w:t>mandie), 1914, p. 161 : « Multoties divina mysteria vidit, et vaticinia, quae r</w:t>
      </w:r>
      <w:r w:rsidRPr="003B3476">
        <w:rPr>
          <w:lang w:val="fr-FR" w:eastAsia="fr-FR" w:bidi="fr-FR"/>
        </w:rPr>
        <w:t>e</w:t>
      </w:r>
      <w:r w:rsidRPr="003B3476">
        <w:rPr>
          <w:lang w:val="fr-FR" w:eastAsia="fr-FR" w:bidi="fr-FR"/>
        </w:rPr>
        <w:t>rum eventu postmodum comprobata sunt, deprompsit ».</w:t>
      </w:r>
    </w:p>
  </w:footnote>
  <w:footnote w:id="1104">
    <w:p w14:paraId="79DACB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Dans le récit de la prophétie, tel qu’il apparaît chez le Biographe comme chez les autres auteurs, un très vilain rôle est prêté à l’archevêque de Canterbury, Stigand, présenté comme tournant en dérision les propos de son roi. Stigand avait été substitué par le parti godwiniste à son prédécesseur le Normand R</w:t>
      </w:r>
      <w:r w:rsidRPr="003B3476">
        <w:rPr>
          <w:lang w:val="fr-FR" w:eastAsia="fr-FR" w:bidi="fr-FR"/>
        </w:rPr>
        <w:t>o</w:t>
      </w:r>
      <w:r w:rsidRPr="003B3476">
        <w:rPr>
          <w:lang w:val="fr-FR" w:eastAsia="fr-FR" w:bidi="fr-FR"/>
        </w:rPr>
        <w:t>bert de Jumièges, chassé de son siège et exilé ; il avait reçu le pallium des mains d’un antipape ; tout cela lui avait valu la haine à la fois des Normands et de la portion rigoriste du clergé ; les paroles malséantes que lui attribue le récit classique de la prophétie sont un indice de plus sur le milieu où naquit le mythe de l’arbre coupé.</w:t>
      </w:r>
    </w:p>
  </w:footnote>
  <w:footnote w:id="1105">
    <w:p w14:paraId="59CBB4C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III, p. 1l, n. 1.</w:t>
      </w:r>
    </w:p>
  </w:footnote>
  <w:footnote w:id="1106">
    <w:p w14:paraId="76E3FC4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399, 1. 360 et suiv.</w:t>
      </w:r>
    </w:p>
  </w:footnote>
  <w:footnote w:id="1107">
    <w:p w14:paraId="235322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422.</w:t>
      </w:r>
    </w:p>
  </w:footnote>
  <w:footnote w:id="1108">
    <w:p w14:paraId="475B18F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971.</w:t>
      </w:r>
    </w:p>
  </w:footnote>
  <w:footnote w:id="1109">
    <w:p w14:paraId="0CD89B6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Freeman</w:t>
      </w:r>
      <w:r w:rsidRPr="003B3476">
        <w:rPr>
          <w:bCs/>
        </w:rPr>
        <w:t>,</w:t>
      </w:r>
      <w:r w:rsidRPr="003B3476">
        <w:rPr>
          <w:lang w:val="fr-FR" w:eastAsia="fr-FR" w:bidi="fr-FR"/>
        </w:rPr>
        <w:t xml:space="preserve"> t. </w:t>
      </w:r>
      <w:r w:rsidRPr="003B3476">
        <w:rPr>
          <w:bCs/>
        </w:rPr>
        <w:t xml:space="preserve">II, </w:t>
      </w:r>
      <w:r w:rsidRPr="003B3476">
        <w:rPr>
          <w:lang w:val="fr-FR" w:eastAsia="fr-FR" w:bidi="fr-FR"/>
        </w:rPr>
        <w:t>p. 552, note F.</w:t>
      </w:r>
    </w:p>
  </w:footnote>
  <w:footnote w:id="1110">
    <w:p w14:paraId="6CCDE38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396, v. 76 et 80 ; p. 397, v. 293 ; p. 398, v. 300 ; p. 424, v. 1256.</w:t>
      </w:r>
    </w:p>
  </w:footnote>
  <w:footnote w:id="1111">
    <w:p w14:paraId="319EA5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les références, voir l’édition </w:t>
      </w:r>
      <w:r w:rsidRPr="003B3476">
        <w:rPr>
          <w:bCs/>
          <w:smallCaps/>
        </w:rPr>
        <w:t>Luard</w:t>
      </w:r>
      <w:r w:rsidRPr="003B3476">
        <w:rPr>
          <w:lang w:val="fr-FR" w:eastAsia="fr-FR" w:bidi="fr-FR"/>
        </w:rPr>
        <w:t xml:space="preserve"> à la table.</w:t>
      </w:r>
    </w:p>
  </w:footnote>
  <w:footnote w:id="1112">
    <w:p w14:paraId="2E4322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 II, p. 235. </w:t>
      </w:r>
      <w:r w:rsidRPr="003B3476">
        <w:rPr>
          <w:bCs/>
          <w:i/>
        </w:rPr>
        <w:t>Cf.</w:t>
      </w:r>
      <w:r w:rsidRPr="003B3476">
        <w:rPr>
          <w:lang w:val="fr-FR" w:eastAsia="fr-FR" w:bidi="fr-FR"/>
        </w:rPr>
        <w:t xml:space="preserve"> </w:t>
      </w:r>
      <w:r w:rsidRPr="003B3476">
        <w:rPr>
          <w:rStyle w:val="Notedebasdepage65ptPetitesmajuscules"/>
          <w:b w:val="0"/>
          <w:sz w:val="24"/>
        </w:rPr>
        <w:t xml:space="preserve">Freeman, </w:t>
      </w:r>
      <w:r w:rsidRPr="003B3476">
        <w:rPr>
          <w:lang w:val="fr-FR" w:eastAsia="fr-FR" w:bidi="fr-FR"/>
        </w:rPr>
        <w:t>t. II, p. 599, note R.</w:t>
      </w:r>
    </w:p>
  </w:footnote>
  <w:footnote w:id="1113">
    <w:p w14:paraId="608C1B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infra</w:t>
      </w:r>
      <w:r w:rsidRPr="003B3476">
        <w:rPr>
          <w:lang w:val="fr-FR" w:eastAsia="fr-FR" w:bidi="fr-FR"/>
        </w:rPr>
        <w:t>, p. 975.</w:t>
      </w:r>
    </w:p>
  </w:footnote>
  <w:footnote w:id="1114">
    <w:p w14:paraId="7A13FC8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410. </w:t>
      </w:r>
      <w:r w:rsidRPr="003B3476">
        <w:rPr>
          <w:bCs/>
          <w:i/>
        </w:rPr>
        <w:t>Cf.</w:t>
      </w:r>
      <w:r w:rsidRPr="003B3476">
        <w:rPr>
          <w:lang w:val="fr-FR" w:eastAsia="fr-FR" w:bidi="fr-FR"/>
        </w:rPr>
        <w:t xml:space="preserve"> </w:t>
      </w:r>
      <w:r w:rsidRPr="003B3476">
        <w:rPr>
          <w:bCs/>
          <w:smallCaps/>
        </w:rPr>
        <w:t>Freeman</w:t>
      </w:r>
      <w:r w:rsidRPr="003B3476">
        <w:rPr>
          <w:bCs/>
        </w:rPr>
        <w:t xml:space="preserve">, </w:t>
      </w:r>
      <w:r w:rsidRPr="003B3476">
        <w:rPr>
          <w:lang w:val="fr-FR" w:eastAsia="fr-FR" w:bidi="fr-FR"/>
        </w:rPr>
        <w:t>t. II, p. 665, note MM.</w:t>
      </w:r>
    </w:p>
  </w:footnote>
  <w:footnote w:id="1115">
    <w:p w14:paraId="6BCCFFC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Vita Haroldi</w:t>
      </w:r>
      <w:r w:rsidRPr="003B3476">
        <w:rPr>
          <w:lang w:val="fr-FR" w:eastAsia="fr-FR" w:bidi="fr-FR"/>
        </w:rPr>
        <w:t xml:space="preserve">, c. VII, éd. </w:t>
      </w:r>
      <w:r w:rsidRPr="003B3476">
        <w:rPr>
          <w:bCs/>
          <w:smallCaps/>
        </w:rPr>
        <w:t>Giles</w:t>
      </w:r>
      <w:r w:rsidRPr="003B3476">
        <w:rPr>
          <w:bCs/>
        </w:rPr>
        <w:t xml:space="preserve">. </w:t>
      </w:r>
      <w:r w:rsidRPr="003B3476">
        <w:rPr>
          <w:bCs/>
          <w:i/>
        </w:rPr>
        <w:t>Vita quorundam Anglo-Saxonum</w:t>
      </w:r>
      <w:r w:rsidRPr="003B3476">
        <w:rPr>
          <w:lang w:val="fr-FR" w:eastAsia="fr-FR" w:bidi="fr-FR"/>
        </w:rPr>
        <w:t xml:space="preserve"> (= Caxton Society), p. 63. Il est fait allusion, d’une façon vague, aux voyages d’Harold dans le petit traité. </w:t>
      </w:r>
      <w:r w:rsidRPr="003B3476">
        <w:rPr>
          <w:bCs/>
          <w:i/>
        </w:rPr>
        <w:t>De inventione sanctae crucis nostrae</w:t>
      </w:r>
      <w:r w:rsidRPr="003B3476">
        <w:rPr>
          <w:lang w:val="fr-FR" w:eastAsia="fr-FR" w:bidi="fr-FR"/>
        </w:rPr>
        <w:t>, écrit vers la fin du XII</w:t>
      </w:r>
      <w:r w:rsidRPr="003B3476">
        <w:rPr>
          <w:vertAlign w:val="superscript"/>
          <w:lang w:val="fr-FR" w:eastAsia="fr-FR" w:bidi="fr-FR"/>
        </w:rPr>
        <w:t>e</w:t>
      </w:r>
      <w:r w:rsidRPr="003B3476">
        <w:rPr>
          <w:lang w:val="fr-FR" w:eastAsia="fr-FR" w:bidi="fr-FR"/>
        </w:rPr>
        <w:t xml:space="preserve"> siècle, à Waltham également, c. XIV. </w:t>
      </w:r>
      <w:r w:rsidRPr="003B3476">
        <w:rPr>
          <w:bCs/>
          <w:smallCaps/>
        </w:rPr>
        <w:t>Giles</w:t>
      </w:r>
      <w:r w:rsidRPr="003B3476">
        <w:rPr>
          <w:bCs/>
        </w:rPr>
        <w:t xml:space="preserve">, </w:t>
      </w:r>
      <w:r w:rsidRPr="003B3476">
        <w:rPr>
          <w:i/>
          <w:lang w:val="fr-FR" w:eastAsia="fr-FR" w:bidi="fr-FR"/>
        </w:rPr>
        <w:t xml:space="preserve">op. </w:t>
      </w:r>
      <w:r w:rsidRPr="003B3476">
        <w:rPr>
          <w:bCs/>
          <w:i/>
        </w:rPr>
        <w:t>cit</w:t>
      </w:r>
      <w:r w:rsidRPr="003B3476">
        <w:rPr>
          <w:bCs/>
        </w:rPr>
        <w:t>.,</w:t>
      </w:r>
      <w:r w:rsidRPr="003B3476">
        <w:rPr>
          <w:lang w:val="fr-FR" w:eastAsia="fr-FR" w:bidi="fr-FR"/>
        </w:rPr>
        <w:t xml:space="preserve"> p. 292.</w:t>
      </w:r>
    </w:p>
  </w:footnote>
  <w:footnote w:id="1116">
    <w:p w14:paraId="327D12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7F796A">
        <w:rPr>
          <w:rStyle w:val="Notedebasdepage275ptItalique"/>
          <w:b w:val="0"/>
          <w:sz w:val="24"/>
        </w:rPr>
        <w:t>Cf.</w:t>
      </w:r>
      <w:r w:rsidRPr="007F796A">
        <w:rPr>
          <w:bCs/>
        </w:rPr>
        <w:t xml:space="preserve"> </w:t>
      </w:r>
      <w:r w:rsidRPr="007F796A">
        <w:rPr>
          <w:smallCaps/>
          <w:lang w:val="fr-FR" w:eastAsia="fr-FR" w:bidi="fr-FR"/>
        </w:rPr>
        <w:t>Freeman</w:t>
      </w:r>
      <w:r w:rsidRPr="003B3476">
        <w:rPr>
          <w:lang w:val="fr-FR" w:eastAsia="fr-FR" w:bidi="fr-FR"/>
        </w:rPr>
        <w:t xml:space="preserve">, </w:t>
      </w:r>
      <w:r w:rsidRPr="003B3476">
        <w:rPr>
          <w:bCs/>
        </w:rPr>
        <w:t xml:space="preserve">t. II, </w:t>
      </w:r>
      <w:r w:rsidRPr="003B3476">
        <w:rPr>
          <w:lang w:val="fr-FR" w:eastAsia="fr-FR" w:bidi="fr-FR"/>
        </w:rPr>
        <w:t>p. 665.</w:t>
      </w:r>
    </w:p>
  </w:footnote>
  <w:footnote w:id="1117">
    <w:p w14:paraId="032DC660" w14:textId="77777777" w:rsidR="00B9662D" w:rsidRPr="003B3476" w:rsidRDefault="00B9662D" w:rsidP="00B9662D">
      <w:pPr>
        <w:pStyle w:val="Notedebasdepage"/>
        <w:rPr>
          <w:lang w:val="fr-FR"/>
        </w:rPr>
      </w:pPr>
      <w:r w:rsidRPr="003B3476">
        <w:rPr>
          <w:rStyle w:val="Appelnotedebasdep"/>
        </w:rPr>
        <w:footnoteRef/>
      </w:r>
      <w:r w:rsidRPr="003B3476">
        <w:tab/>
        <w:t xml:space="preserve"> </w:t>
      </w:r>
      <w:r w:rsidRPr="003B3476">
        <w:rPr>
          <w:lang w:val="fr-FR" w:eastAsia="fr-FR" w:bidi="fr-FR"/>
        </w:rPr>
        <w:t xml:space="preserve">P. 395, 1. 198. </w:t>
      </w:r>
      <w:r w:rsidRPr="003B3476">
        <w:rPr>
          <w:bCs/>
          <w:i/>
        </w:rPr>
        <w:t>Cf.</w:t>
      </w:r>
      <w:r w:rsidRPr="003B3476">
        <w:rPr>
          <w:bCs/>
        </w:rPr>
        <w:t xml:space="preserve"> </w:t>
      </w:r>
      <w:r w:rsidRPr="003B3476">
        <w:rPr>
          <w:bCs/>
          <w:i/>
        </w:rPr>
        <w:t>Two Saxon Chronicles</w:t>
      </w:r>
      <w:r w:rsidRPr="003B3476">
        <w:rPr>
          <w:lang w:val="fr-FR" w:eastAsia="fr-FR" w:bidi="fr-FR"/>
        </w:rPr>
        <w:t>, t. II, p. 221.</w:t>
      </w:r>
    </w:p>
  </w:footnote>
  <w:footnote w:id="1118">
    <w:p w14:paraId="0E1FF5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395, 1. 216.</w:t>
      </w:r>
    </w:p>
  </w:footnote>
  <w:footnote w:id="1119">
    <w:p w14:paraId="7B17BC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403, 1. 488. </w:t>
      </w:r>
      <w:r w:rsidRPr="003B3476">
        <w:rPr>
          <w:bCs/>
          <w:i/>
        </w:rPr>
        <w:t>Cf.</w:t>
      </w:r>
      <w:r w:rsidRPr="003B3476">
        <w:rPr>
          <w:bCs/>
        </w:rPr>
        <w:t xml:space="preserve"> </w:t>
      </w:r>
      <w:r w:rsidRPr="003B3476">
        <w:rPr>
          <w:bCs/>
          <w:i/>
        </w:rPr>
        <w:t>Two Saxon Chronicles</w:t>
      </w:r>
      <w:r w:rsidRPr="003B3476">
        <w:rPr>
          <w:lang w:val="fr-FR" w:eastAsia="fr-FR" w:bidi="fr-FR"/>
        </w:rPr>
        <w:t>, t. II, p. 238.</w:t>
      </w:r>
    </w:p>
  </w:footnote>
  <w:footnote w:id="1120">
    <w:p w14:paraId="5898304C"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P. 406, 1. 619 et suiv.</w:t>
      </w:r>
    </w:p>
  </w:footnote>
  <w:footnote w:id="1121">
    <w:p w14:paraId="6181C16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427, 1. 1350.</w:t>
      </w:r>
    </w:p>
  </w:footnote>
  <w:footnote w:id="1122">
    <w:p w14:paraId="49E4840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403 et suiv.</w:t>
      </w:r>
    </w:p>
  </w:footnote>
  <w:footnote w:id="1123">
    <w:p w14:paraId="5EAAAA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415, 1. 919-920. « Plerumque etiam ipsa praeire videbatur ». Le ms. donne </w:t>
      </w:r>
      <w:r w:rsidRPr="003B3476">
        <w:rPr>
          <w:bCs/>
          <w:i/>
        </w:rPr>
        <w:t>ipse </w:t>
      </w:r>
      <w:r w:rsidRPr="003B3476">
        <w:rPr>
          <w:bCs/>
        </w:rPr>
        <w:t xml:space="preserve">; </w:t>
      </w:r>
      <w:r w:rsidRPr="003B3476">
        <w:rPr>
          <w:lang w:val="fr-FR" w:eastAsia="fr-FR" w:bidi="fr-FR"/>
        </w:rPr>
        <w:t xml:space="preserve">mais le contexte impose la correction </w:t>
      </w:r>
      <w:r w:rsidRPr="003B3476">
        <w:rPr>
          <w:bCs/>
        </w:rPr>
        <w:t>ipsa</w:t>
      </w:r>
      <w:r w:rsidRPr="003B3476">
        <w:rPr>
          <w:lang w:val="fr-FR" w:eastAsia="fr-FR" w:bidi="fr-FR"/>
        </w:rPr>
        <w:t xml:space="preserve"> proposée par Luard ou, mieux peut-être, </w:t>
      </w:r>
      <w:r w:rsidRPr="003B3476">
        <w:rPr>
          <w:bCs/>
        </w:rPr>
        <w:t>ipsi</w:t>
      </w:r>
      <w:r w:rsidRPr="003B3476">
        <w:rPr>
          <w:lang w:val="fr-FR" w:eastAsia="fr-FR" w:bidi="fr-FR"/>
        </w:rPr>
        <w:t xml:space="preserve"> (ce qui fournit le même sens).</w:t>
      </w:r>
    </w:p>
  </w:footnote>
  <w:footnote w:id="1124">
    <w:p w14:paraId="544BCCC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415, 1. 920. « Nam cum ipse interdum daret, ilia largiebatur ».</w:t>
      </w:r>
    </w:p>
  </w:footnote>
  <w:footnote w:id="1125">
    <w:p w14:paraId="7AFBF6B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418, 1. 1036 et suiv. « Contendunt hinc rex, illinc regina, contentione Deo grata, in invicem quoque non iniocunda. Sed hoc tanto citius ad perfectum surrexit, quanto a sapiente regina moderatius coeptum ».</w:t>
      </w:r>
    </w:p>
  </w:footnote>
  <w:footnote w:id="1126">
    <w:p w14:paraId="2F3581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p. 435,1. 1605. « Revelatum vero, ut </w:t>
      </w:r>
      <w:r w:rsidRPr="003B3476">
        <w:rPr>
          <w:i/>
          <w:lang w:val="fr-FR" w:eastAsia="fr-FR" w:bidi="fr-FR"/>
        </w:rPr>
        <w:t>supra</w:t>
      </w:r>
      <w:r w:rsidRPr="003B3476">
        <w:rPr>
          <w:lang w:val="fr-FR" w:eastAsia="fr-FR" w:bidi="fr-FR"/>
        </w:rPr>
        <w:t xml:space="preserve"> texuimus, sanctum adhuc v</w:t>
      </w:r>
      <w:r w:rsidRPr="003B3476">
        <w:rPr>
          <w:lang w:val="fr-FR" w:eastAsia="fr-FR" w:bidi="fr-FR"/>
        </w:rPr>
        <w:t>i</w:t>
      </w:r>
      <w:r w:rsidRPr="003B3476">
        <w:rPr>
          <w:lang w:val="fr-FR" w:eastAsia="fr-FR" w:bidi="fr-FR"/>
        </w:rPr>
        <w:t>ventem in mundo » et tout ce qui suit concernant les miracles accomplis sur la tombe.</w:t>
      </w:r>
    </w:p>
  </w:footnote>
  <w:footnote w:id="1127">
    <w:p w14:paraId="32B911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G. de Malmesbury raconte que les conseillers de saint Édouard, désireux de vérifier l’exactitude d’une vision, envoyèrent des ambassadeurs « Manicheti Constantinopolitano imperatori » (t. I, p. </w:t>
      </w:r>
      <w:r w:rsidRPr="003B3476">
        <w:rPr>
          <w:bCs/>
        </w:rPr>
        <w:t xml:space="preserve">275). </w:t>
      </w:r>
      <w:r w:rsidRPr="003B3476">
        <w:rPr>
          <w:lang w:val="fr-FR" w:eastAsia="fr-FR" w:bidi="fr-FR"/>
        </w:rPr>
        <w:t>Il s’agit évidemment de Geo</w:t>
      </w:r>
      <w:r w:rsidRPr="003B3476">
        <w:rPr>
          <w:lang w:val="fr-FR" w:eastAsia="fr-FR" w:bidi="fr-FR"/>
        </w:rPr>
        <w:t>r</w:t>
      </w:r>
      <w:r w:rsidRPr="003B3476">
        <w:rPr>
          <w:lang w:val="fr-FR" w:eastAsia="fr-FR" w:bidi="fr-FR"/>
        </w:rPr>
        <w:t xml:space="preserve">ges Maniakes, qui, en </w:t>
      </w:r>
      <w:r w:rsidRPr="003B3476">
        <w:rPr>
          <w:bCs/>
        </w:rPr>
        <w:t xml:space="preserve">1042, </w:t>
      </w:r>
      <w:r w:rsidRPr="003B3476">
        <w:rPr>
          <w:lang w:val="fr-FR" w:eastAsia="fr-FR" w:bidi="fr-FR"/>
        </w:rPr>
        <w:t>à l’avènement de Constantin IX Monomaque, se fit proclamer empereur par l’armée d’Italie, qu’il commandait ; mais Mani</w:t>
      </w:r>
      <w:r w:rsidRPr="003B3476">
        <w:rPr>
          <w:lang w:val="fr-FR" w:eastAsia="fr-FR" w:bidi="fr-FR"/>
        </w:rPr>
        <w:t>a</w:t>
      </w:r>
      <w:r w:rsidRPr="003B3476">
        <w:rPr>
          <w:lang w:val="fr-FR" w:eastAsia="fr-FR" w:bidi="fr-FR"/>
        </w:rPr>
        <w:t xml:space="preserve">kes, tué dans un combat près de Durazzo, au début de </w:t>
      </w:r>
      <w:r w:rsidRPr="003B3476">
        <w:rPr>
          <w:bCs/>
        </w:rPr>
        <w:t xml:space="preserve">1043, </w:t>
      </w:r>
      <w:r w:rsidRPr="003B3476">
        <w:rPr>
          <w:lang w:val="fr-FR" w:eastAsia="fr-FR" w:bidi="fr-FR"/>
        </w:rPr>
        <w:t>alors qu’il ma</w:t>
      </w:r>
      <w:r w:rsidRPr="003B3476">
        <w:rPr>
          <w:lang w:val="fr-FR" w:eastAsia="fr-FR" w:bidi="fr-FR"/>
        </w:rPr>
        <w:t>r</w:t>
      </w:r>
      <w:r w:rsidRPr="003B3476">
        <w:rPr>
          <w:lang w:val="fr-FR" w:eastAsia="fr-FR" w:bidi="fr-FR"/>
        </w:rPr>
        <w:t xml:space="preserve">chait sur la capitale de l’Empire, ne régna jamais à Constantinople. Il avait cessé de vivre avant même le couronnement d’Édouard </w:t>
      </w:r>
      <w:r w:rsidRPr="003B3476">
        <w:rPr>
          <w:bCs/>
        </w:rPr>
        <w:t xml:space="preserve">(3 </w:t>
      </w:r>
      <w:r w:rsidRPr="003B3476">
        <w:rPr>
          <w:lang w:val="fr-FR" w:eastAsia="fr-FR" w:bidi="fr-FR"/>
        </w:rPr>
        <w:t xml:space="preserve">avril </w:t>
      </w:r>
      <w:r w:rsidRPr="003B3476">
        <w:rPr>
          <w:bCs/>
        </w:rPr>
        <w:t xml:space="preserve">1043). </w:t>
      </w:r>
      <w:r w:rsidRPr="003B3476">
        <w:rPr>
          <w:bCs/>
          <w:i/>
        </w:rPr>
        <w:t>Cf.</w:t>
      </w:r>
      <w:r w:rsidRPr="003B3476">
        <w:rPr>
          <w:lang w:val="fr-FR" w:eastAsia="fr-FR" w:bidi="fr-FR"/>
        </w:rPr>
        <w:t xml:space="preserve"> </w:t>
      </w:r>
      <w:r w:rsidRPr="003B3476">
        <w:rPr>
          <w:rStyle w:val="Notedebasdepage65ptPetitesmajuscules"/>
          <w:b w:val="0"/>
          <w:sz w:val="24"/>
        </w:rPr>
        <w:t>Ge</w:t>
      </w:r>
      <w:r w:rsidRPr="003B3476">
        <w:rPr>
          <w:rStyle w:val="Notedebasdepage65ptPetitesmajuscules"/>
          <w:b w:val="0"/>
          <w:sz w:val="24"/>
        </w:rPr>
        <w:t>l</w:t>
      </w:r>
      <w:r w:rsidRPr="003B3476">
        <w:rPr>
          <w:rStyle w:val="Notedebasdepage65ptPetitesmajuscules"/>
          <w:b w:val="0"/>
          <w:sz w:val="24"/>
        </w:rPr>
        <w:t xml:space="preserve">zer, </w:t>
      </w:r>
      <w:r w:rsidRPr="003B3476">
        <w:rPr>
          <w:bCs/>
          <w:i/>
        </w:rPr>
        <w:t>Abriss der byzantinischen Kaiser-geschichte</w:t>
      </w:r>
      <w:r w:rsidRPr="003B3476">
        <w:rPr>
          <w:lang w:val="fr-FR" w:eastAsia="fr-FR" w:bidi="fr-FR"/>
        </w:rPr>
        <w:t xml:space="preserve">, p. </w:t>
      </w:r>
      <w:r w:rsidRPr="003B3476">
        <w:rPr>
          <w:bCs/>
        </w:rPr>
        <w:t xml:space="preserve">1003. </w:t>
      </w:r>
      <w:r w:rsidRPr="003B3476">
        <w:rPr>
          <w:lang w:val="fr-FR" w:eastAsia="fr-FR" w:bidi="fr-FR"/>
        </w:rPr>
        <w:t>Voilà donc une pr</w:t>
      </w:r>
      <w:r w:rsidRPr="003B3476">
        <w:rPr>
          <w:lang w:val="fr-FR" w:eastAsia="fr-FR" w:bidi="fr-FR"/>
        </w:rPr>
        <w:t>e</w:t>
      </w:r>
      <w:r w:rsidRPr="003B3476">
        <w:rPr>
          <w:lang w:val="fr-FR" w:eastAsia="fr-FR" w:bidi="fr-FR"/>
        </w:rPr>
        <w:t>mière erreur à l’actif de notre historien. Plus loin Guillaume énumère les e</w:t>
      </w:r>
      <w:r w:rsidRPr="003B3476">
        <w:rPr>
          <w:lang w:val="fr-FR" w:eastAsia="fr-FR" w:bidi="fr-FR"/>
        </w:rPr>
        <w:t>m</w:t>
      </w:r>
      <w:r w:rsidRPr="003B3476">
        <w:rPr>
          <w:lang w:val="fr-FR" w:eastAsia="fr-FR" w:bidi="fr-FR"/>
        </w:rPr>
        <w:t xml:space="preserve">pereurs qui vinrent après Maniakes (p. </w:t>
      </w:r>
      <w:r w:rsidRPr="003B3476">
        <w:rPr>
          <w:bCs/>
        </w:rPr>
        <w:t>276) ;</w:t>
      </w:r>
      <w:r w:rsidRPr="003B3476">
        <w:rPr>
          <w:lang w:val="fr-FR" w:eastAsia="fr-FR" w:bidi="fr-FR"/>
        </w:rPr>
        <w:t xml:space="preserve"> le successeur immédiat de celui-ci eût été, d’après lui, </w:t>
      </w:r>
      <w:r w:rsidRPr="003B3476">
        <w:rPr>
          <w:bCs/>
        </w:rPr>
        <w:t>Diogenes</w:t>
      </w:r>
      <w:r w:rsidRPr="003B3476">
        <w:rPr>
          <w:lang w:val="fr-FR" w:eastAsia="fr-FR" w:bidi="fr-FR"/>
        </w:rPr>
        <w:t>, c’est-à-dire Romain IV Diogène, pr</w:t>
      </w:r>
      <w:r w:rsidRPr="003B3476">
        <w:rPr>
          <w:lang w:val="fr-FR" w:eastAsia="fr-FR" w:bidi="fr-FR"/>
        </w:rPr>
        <w:t>o</w:t>
      </w:r>
      <w:r w:rsidRPr="003B3476">
        <w:rPr>
          <w:lang w:val="fr-FR" w:eastAsia="fr-FR" w:bidi="fr-FR"/>
        </w:rPr>
        <w:t xml:space="preserve">clamé en décembre </w:t>
      </w:r>
      <w:r w:rsidRPr="003B3476">
        <w:rPr>
          <w:bCs/>
        </w:rPr>
        <w:t>1067 ;</w:t>
      </w:r>
      <w:r w:rsidRPr="003B3476">
        <w:rPr>
          <w:lang w:val="fr-FR" w:eastAsia="fr-FR" w:bidi="fr-FR"/>
        </w:rPr>
        <w:t xml:space="preserve"> les règnes de Constantin IX, Théodora, Michel VI, Isaac I</w:t>
      </w:r>
      <w:r w:rsidRPr="003B3476">
        <w:rPr>
          <w:vertAlign w:val="superscript"/>
          <w:lang w:val="fr-FR" w:eastAsia="fr-FR" w:bidi="fr-FR"/>
        </w:rPr>
        <w:t>er</w:t>
      </w:r>
      <w:r w:rsidRPr="003B3476">
        <w:rPr>
          <w:lang w:val="fr-FR" w:eastAsia="fr-FR" w:bidi="fr-FR"/>
        </w:rPr>
        <w:t xml:space="preserve"> et Constantin X sont donc passés sous silence. Le reste de la liste (de Romain Diogène à Alexis Comnène) est exact. </w:t>
      </w:r>
      <w:r w:rsidRPr="003B3476">
        <w:rPr>
          <w:bCs/>
          <w:i/>
        </w:rPr>
        <w:t>Cf.</w:t>
      </w:r>
      <w:r w:rsidRPr="003B3476">
        <w:rPr>
          <w:bCs/>
        </w:rPr>
        <w:t xml:space="preserve"> </w:t>
      </w:r>
      <w:r w:rsidRPr="003B3476">
        <w:rPr>
          <w:bCs/>
          <w:i/>
        </w:rPr>
        <w:t>infra</w:t>
      </w:r>
      <w:r w:rsidRPr="003B3476">
        <w:rPr>
          <w:lang w:val="fr-FR" w:eastAsia="fr-FR" w:bidi="fr-FR"/>
        </w:rPr>
        <w:t xml:space="preserve">, p. </w:t>
      </w:r>
      <w:r w:rsidRPr="003B3476">
        <w:rPr>
          <w:bCs/>
        </w:rPr>
        <w:t xml:space="preserve">1010. </w:t>
      </w:r>
      <w:r w:rsidRPr="003B3476">
        <w:rPr>
          <w:lang w:val="fr-FR" w:eastAsia="fr-FR" w:bidi="fr-FR"/>
        </w:rPr>
        <w:t xml:space="preserve">Reportons-nous maintenant au tome II, § </w:t>
      </w:r>
      <w:r w:rsidRPr="003B3476">
        <w:rPr>
          <w:bCs/>
        </w:rPr>
        <w:t xml:space="preserve">356, </w:t>
      </w:r>
      <w:r w:rsidRPr="003B3476">
        <w:rPr>
          <w:lang w:val="fr-FR" w:eastAsia="fr-FR" w:bidi="fr-FR"/>
        </w:rPr>
        <w:t xml:space="preserve">p. </w:t>
      </w:r>
      <w:r w:rsidRPr="003B3476">
        <w:rPr>
          <w:bCs/>
        </w:rPr>
        <w:t xml:space="preserve">412-413, </w:t>
      </w:r>
      <w:r w:rsidRPr="003B3476">
        <w:rPr>
          <w:lang w:val="fr-FR" w:eastAsia="fr-FR" w:bidi="fr-FR"/>
        </w:rPr>
        <w:t xml:space="preserve">des mêmes </w:t>
      </w:r>
      <w:r w:rsidRPr="003B3476">
        <w:rPr>
          <w:bCs/>
        </w:rPr>
        <w:t>Gesta Regum.</w:t>
      </w:r>
      <w:r w:rsidRPr="003B3476">
        <w:rPr>
          <w:lang w:val="fr-FR" w:eastAsia="fr-FR" w:bidi="fr-FR"/>
        </w:rPr>
        <w:t xml:space="preserve"> Nous y trouvons un tableau parfaitement correct des empereurs du XII</w:t>
      </w:r>
      <w:r w:rsidRPr="003B3476">
        <w:rPr>
          <w:vertAlign w:val="superscript"/>
          <w:lang w:val="fr-FR" w:eastAsia="fr-FR" w:bidi="fr-FR"/>
        </w:rPr>
        <w:t>e</w:t>
      </w:r>
      <w:r w:rsidRPr="003B3476">
        <w:rPr>
          <w:lang w:val="fr-FR" w:eastAsia="fr-FR" w:bidi="fr-FR"/>
        </w:rPr>
        <w:t xml:space="preserve"> siècle (l’interversion, p. </w:t>
      </w:r>
      <w:r w:rsidRPr="003B3476">
        <w:rPr>
          <w:bCs/>
        </w:rPr>
        <w:t xml:space="preserve">413, </w:t>
      </w:r>
      <w:r w:rsidRPr="003B3476">
        <w:rPr>
          <w:lang w:val="fr-FR" w:eastAsia="fr-FR" w:bidi="fr-FR"/>
        </w:rPr>
        <w:t>de Nicéphore III et Michel VII, peut être considérée comme un lapsus). Maniakes n’y figure point et les règnes ci-dessus omis y défilent en bon ordre. Guillaume évidemment ne s’est pas préoccupé de rét</w:t>
      </w:r>
      <w:r w:rsidRPr="003B3476">
        <w:rPr>
          <w:lang w:val="fr-FR" w:eastAsia="fr-FR" w:bidi="fr-FR"/>
        </w:rPr>
        <w:t>a</w:t>
      </w:r>
      <w:r w:rsidRPr="003B3476">
        <w:rPr>
          <w:lang w:val="fr-FR" w:eastAsia="fr-FR" w:bidi="fr-FR"/>
        </w:rPr>
        <w:t>blir l’harmonie entre ses sources. Il est fâcheux que nous ayons perdu le pa</w:t>
      </w:r>
      <w:r w:rsidRPr="003B3476">
        <w:rPr>
          <w:lang w:val="fr-FR" w:eastAsia="fr-FR" w:bidi="fr-FR"/>
        </w:rPr>
        <w:t>s</w:t>
      </w:r>
      <w:r w:rsidRPr="003B3476">
        <w:rPr>
          <w:lang w:val="fr-FR" w:eastAsia="fr-FR" w:bidi="fr-FR"/>
        </w:rPr>
        <w:t xml:space="preserve">sage du Biographe, où, peut-être, était relatée la vision des Sept Dormants ; nous ne saurons jamais s’il renfermait, au sujet de la chronologie byzantine, les mêmes indications erronées que Guillaume. </w:t>
      </w:r>
      <w:r w:rsidRPr="003B3476">
        <w:rPr>
          <w:bCs/>
          <w:i/>
        </w:rPr>
        <w:t>Cf.</w:t>
      </w:r>
      <w:r w:rsidRPr="003B3476">
        <w:rPr>
          <w:bCs/>
        </w:rPr>
        <w:t xml:space="preserve"> </w:t>
      </w:r>
      <w:r w:rsidRPr="003B3476">
        <w:rPr>
          <w:bCs/>
          <w:i/>
        </w:rPr>
        <w:t>infra</w:t>
      </w:r>
      <w:r w:rsidRPr="003B3476">
        <w:rPr>
          <w:lang w:val="fr-FR" w:eastAsia="fr-FR" w:bidi="fr-FR"/>
        </w:rPr>
        <w:t xml:space="preserve">, p. </w:t>
      </w:r>
      <w:r w:rsidRPr="003B3476">
        <w:rPr>
          <w:bCs/>
        </w:rPr>
        <w:t xml:space="preserve">966, </w:t>
      </w:r>
      <w:r w:rsidRPr="003B3476">
        <w:rPr>
          <w:lang w:val="fr-FR" w:eastAsia="fr-FR" w:bidi="fr-FR"/>
        </w:rPr>
        <w:t xml:space="preserve">n. </w:t>
      </w:r>
      <w:r w:rsidRPr="003B3476">
        <w:rPr>
          <w:bCs/>
        </w:rPr>
        <w:t>4.</w:t>
      </w:r>
    </w:p>
  </w:footnote>
  <w:footnote w:id="1128">
    <w:p w14:paraId="00E3926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396, 1. 246 et suiv. Il y a aussi chez Guillaume un court portrait (§ 220, p. 272) : il présente bien entendu quelques analogies avec celui du Biographe, puisque le personnage portraituré est le même : mais rien qui sente l’imitation verbale.</w:t>
      </w:r>
    </w:p>
  </w:footnote>
  <w:footnote w:id="1129">
    <w:p w14:paraId="3573A7F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Comparez par exemple le récit du couronnement de saint Édouard, chez le Biographe, p. 394-395,1.195 et suiv., et chez Osbert, m/ra,p.990. On y retro</w:t>
      </w:r>
      <w:r w:rsidRPr="003B3476">
        <w:rPr>
          <w:lang w:val="fr-FR" w:eastAsia="fr-FR" w:bidi="fr-FR"/>
        </w:rPr>
        <w:t>u</w:t>
      </w:r>
      <w:r w:rsidRPr="003B3476">
        <w:rPr>
          <w:lang w:val="fr-FR" w:eastAsia="fr-FR" w:bidi="fr-FR"/>
        </w:rPr>
        <w:t>ve les mêmes expressions (« festivo... tripudio » par exemple) et les mêmes erreurs : sacre à Canterbury, parenté d’Henri I</w:t>
      </w:r>
      <w:r w:rsidRPr="003B3476">
        <w:rPr>
          <w:vertAlign w:val="superscript"/>
          <w:lang w:val="fr-FR" w:eastAsia="fr-FR" w:bidi="fr-FR"/>
        </w:rPr>
        <w:t xml:space="preserve">er </w:t>
      </w:r>
      <w:r w:rsidRPr="003B3476">
        <w:rPr>
          <w:lang w:val="fr-FR" w:eastAsia="fr-FR" w:bidi="fr-FR"/>
        </w:rPr>
        <w:t>de France avec saint Édouard. Toutefois Osbert, au lieu de citer, comme le Biographe, parmi les rois étra</w:t>
      </w:r>
      <w:r w:rsidRPr="003B3476">
        <w:rPr>
          <w:lang w:val="fr-FR" w:eastAsia="fr-FR" w:bidi="fr-FR"/>
        </w:rPr>
        <w:t>n</w:t>
      </w:r>
      <w:r w:rsidRPr="003B3476">
        <w:rPr>
          <w:lang w:val="fr-FR" w:eastAsia="fr-FR" w:bidi="fr-FR"/>
        </w:rPr>
        <w:t xml:space="preserve">gers qui félicitèrent saint Édouard, le roi de Danemark, prend soin d’indiquer expressément que « seule la farouche et orgueilleuse Dacie » se tint alors à l’écart : c’est qu’il avait à raconter plus loin la vision du saint contemplant en esprit la mort de son ennemi danois, au moment où celui-ci partait pour une expédition contre l’Angleterre </w:t>
      </w:r>
      <w:r w:rsidRPr="003B3476">
        <w:rPr>
          <w:bCs/>
        </w:rPr>
        <w:t>(</w:t>
      </w:r>
      <w:r w:rsidRPr="003B3476">
        <w:rPr>
          <w:bCs/>
          <w:i/>
        </w:rPr>
        <w:t>infra</w:t>
      </w:r>
      <w:r w:rsidRPr="003B3476">
        <w:rPr>
          <w:bCs/>
        </w:rPr>
        <w:t>,</w:t>
      </w:r>
      <w:r w:rsidRPr="003B3476">
        <w:rPr>
          <w:lang w:val="fr-FR" w:eastAsia="fr-FR" w:bidi="fr-FR"/>
        </w:rPr>
        <w:t xml:space="preserve"> p. 992),et qu’il voulait maintenir l’harmonie dans son récit ; le Biographe ne connaissait pas ce miracle. Co</w:t>
      </w:r>
      <w:r w:rsidRPr="003B3476">
        <w:rPr>
          <w:lang w:val="fr-FR" w:eastAsia="fr-FR" w:bidi="fr-FR"/>
        </w:rPr>
        <w:t>m</w:t>
      </w:r>
      <w:r w:rsidRPr="003B3476">
        <w:rPr>
          <w:lang w:val="fr-FR" w:eastAsia="fr-FR" w:bidi="fr-FR"/>
        </w:rPr>
        <w:t>parer aussi Biographe, p. 396, 1. 234 et suiv., avec Osbert, p. 991, 1. 10 ; ce qui concerne l’aspect du cadavre du saint après la mort : Biographe, p. 434 ; Osbert, p. 1016. Naturellement les longs développements, sur un mode dith</w:t>
      </w:r>
      <w:r w:rsidRPr="003B3476">
        <w:rPr>
          <w:lang w:val="fr-FR" w:eastAsia="fr-FR" w:bidi="fr-FR"/>
        </w:rPr>
        <w:t>y</w:t>
      </w:r>
      <w:r w:rsidRPr="003B3476">
        <w:rPr>
          <w:lang w:val="fr-FR" w:eastAsia="fr-FR" w:bidi="fr-FR"/>
        </w:rPr>
        <w:t>rambique, que le Biographe consacre à la reine Édith et à toute la famille de Godwin ne se retrouvent pas chez Osbert. Osbert n’est pas « godwiniste » : pourquoi l’eût-il été ?</w:t>
      </w:r>
    </w:p>
  </w:footnote>
  <w:footnote w:id="1130">
    <w:p w14:paraId="30FFC4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Biographe, p. 396,1. 246 et suiv. ; Osbert, p. 991.</w:t>
      </w:r>
    </w:p>
  </w:footnote>
  <w:footnote w:id="1131">
    <w:p w14:paraId="5F1A1F1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infra</w:t>
      </w:r>
      <w:r w:rsidRPr="003B3476">
        <w:rPr>
          <w:lang w:val="fr-FR" w:eastAsia="fr-FR" w:bidi="fr-FR"/>
        </w:rPr>
        <w:t xml:space="preserve">, p. 980. Manque également chez le Biographe, </w:t>
      </w:r>
      <w:r w:rsidRPr="003B3476">
        <w:rPr>
          <w:bCs/>
          <w:i/>
        </w:rPr>
        <w:t>tel que nous le lisons aujourd'hui</w:t>
      </w:r>
      <w:r w:rsidRPr="003B3476">
        <w:rPr>
          <w:bCs/>
        </w:rPr>
        <w:t xml:space="preserve">, </w:t>
      </w:r>
      <w:r w:rsidRPr="003B3476">
        <w:rPr>
          <w:lang w:val="fr-FR" w:eastAsia="fr-FR" w:bidi="fr-FR"/>
        </w:rPr>
        <w:t xml:space="preserve">la vision fameuse de saint Édouard, contemplant le sommeil des Sept Dormants </w:t>
      </w:r>
      <w:r w:rsidRPr="003B3476">
        <w:rPr>
          <w:bCs/>
        </w:rPr>
        <w:t>(</w:t>
      </w:r>
      <w:r w:rsidRPr="003B3476">
        <w:rPr>
          <w:bCs/>
          <w:i/>
        </w:rPr>
        <w:t>infra</w:t>
      </w:r>
      <w:r w:rsidRPr="003B3476">
        <w:rPr>
          <w:bCs/>
        </w:rPr>
        <w:t>,</w:t>
      </w:r>
      <w:r w:rsidRPr="003B3476">
        <w:rPr>
          <w:lang w:val="fr-FR" w:eastAsia="fr-FR" w:bidi="fr-FR"/>
        </w:rPr>
        <w:t xml:space="preserve"> p. 1007). Mais nous ne possédons plus la </w:t>
      </w:r>
      <w:r w:rsidRPr="003B3476">
        <w:rPr>
          <w:bCs/>
          <w:i/>
        </w:rPr>
        <w:t>Vita A</w:t>
      </w:r>
      <w:r w:rsidRPr="003B3476">
        <w:rPr>
          <w:bCs/>
          <w:i/>
        </w:rPr>
        <w:t>e</w:t>
      </w:r>
      <w:r w:rsidRPr="003B3476">
        <w:rPr>
          <w:bCs/>
          <w:i/>
        </w:rPr>
        <w:t>duuardi</w:t>
      </w:r>
      <w:r w:rsidRPr="003B3476">
        <w:rPr>
          <w:lang w:val="fr-FR" w:eastAsia="fr-FR" w:bidi="fr-FR"/>
        </w:rPr>
        <w:t xml:space="preserve"> dans son entier ; notre manuscrit unique est incomplet, et l’une de ses lacunes (éd. </w:t>
      </w:r>
      <w:r w:rsidRPr="003B3476">
        <w:rPr>
          <w:rStyle w:val="Notedebasdepage65ptPetitesmajuscules"/>
          <w:b w:val="0"/>
          <w:sz w:val="24"/>
        </w:rPr>
        <w:t xml:space="preserve">Luard, </w:t>
      </w:r>
      <w:r w:rsidRPr="003B3476">
        <w:rPr>
          <w:lang w:val="fr-FR" w:eastAsia="fr-FR" w:bidi="fr-FR"/>
        </w:rPr>
        <w:t xml:space="preserve">p. 430) occupe précisément la place qui dans la suite du récit devrait naturellement échoir à l’épisode des sept jeunes gens d’Éphèse </w:t>
      </w:r>
      <w:r w:rsidRPr="003B3476">
        <w:rPr>
          <w:rStyle w:val="NotedebasdepageItaliqueEspacement1pt"/>
          <w:b w:val="0"/>
          <w:sz w:val="24"/>
        </w:rPr>
        <w:t>(cf.</w:t>
      </w:r>
      <w:r w:rsidRPr="003B3476">
        <w:rPr>
          <w:bCs/>
        </w:rPr>
        <w:t xml:space="preserve"> </w:t>
      </w:r>
      <w:r w:rsidRPr="003B3476">
        <w:rPr>
          <w:bCs/>
          <w:i/>
        </w:rPr>
        <w:t>i</w:t>
      </w:r>
      <w:r w:rsidRPr="003B3476">
        <w:rPr>
          <w:bCs/>
          <w:i/>
        </w:rPr>
        <w:t>n</w:t>
      </w:r>
      <w:r w:rsidRPr="003B3476">
        <w:rPr>
          <w:bCs/>
          <w:i/>
        </w:rPr>
        <w:t>fra</w:t>
      </w:r>
      <w:r w:rsidRPr="003B3476">
        <w:rPr>
          <w:bCs/>
        </w:rPr>
        <w:t xml:space="preserve">, </w:t>
      </w:r>
      <w:r w:rsidRPr="003B3476">
        <w:rPr>
          <w:lang w:val="fr-FR" w:eastAsia="fr-FR" w:bidi="fr-FR"/>
        </w:rPr>
        <w:t>p. 1010, n. 5). L’omission apparente que je viens de signaler risque donc d’être simplement l’effet d’un malencontreux hasard ; l’on ne peut rien fonder sur elle. Il paraît certain, au contraire, que le Biographe ignorait la v</w:t>
      </w:r>
      <w:r w:rsidRPr="003B3476">
        <w:rPr>
          <w:lang w:val="fr-FR" w:eastAsia="fr-FR" w:bidi="fr-FR"/>
        </w:rPr>
        <w:t>i</w:t>
      </w:r>
      <w:r w:rsidRPr="003B3476">
        <w:rPr>
          <w:lang w:val="fr-FR" w:eastAsia="fr-FR" w:bidi="fr-FR"/>
        </w:rPr>
        <w:t>sion rel</w:t>
      </w:r>
      <w:r w:rsidRPr="003B3476">
        <w:rPr>
          <w:lang w:val="fr-FR" w:eastAsia="fr-FR" w:bidi="fr-FR"/>
        </w:rPr>
        <w:t>a</w:t>
      </w:r>
      <w:r w:rsidRPr="003B3476">
        <w:rPr>
          <w:lang w:val="fr-FR" w:eastAsia="fr-FR" w:bidi="fr-FR"/>
        </w:rPr>
        <w:t xml:space="preserve">tive au roi de Danemark, puisqu’il mentionne ce prince parmi ceux qui congratulèrent saint Édouard à son avènement </w:t>
      </w:r>
      <w:r w:rsidRPr="003B3476">
        <w:rPr>
          <w:bCs/>
        </w:rPr>
        <w:t>(</w:t>
      </w:r>
      <w:r w:rsidRPr="003B3476">
        <w:rPr>
          <w:bCs/>
          <w:i/>
        </w:rPr>
        <w:t>supra</w:t>
      </w:r>
      <w:r w:rsidRPr="003B3476">
        <w:rPr>
          <w:bCs/>
        </w:rPr>
        <w:t>,</w:t>
      </w:r>
      <w:r w:rsidRPr="003B3476">
        <w:rPr>
          <w:lang w:val="fr-FR" w:eastAsia="fr-FR" w:bidi="fr-FR"/>
        </w:rPr>
        <w:t xml:space="preserve"> p. 966, n. 2). Rien ne permet de supposer que la première lacune du manuscrit </w:t>
      </w:r>
      <w:r w:rsidRPr="003B3476">
        <w:rPr>
          <w:rStyle w:val="Notedebasdepage65ptPetitesmajuscules"/>
          <w:b w:val="0"/>
          <w:sz w:val="24"/>
        </w:rPr>
        <w:t xml:space="preserve">(Luard, </w:t>
      </w:r>
      <w:r w:rsidRPr="003B3476">
        <w:rPr>
          <w:lang w:val="fr-FR" w:eastAsia="fr-FR" w:bidi="fr-FR"/>
        </w:rPr>
        <w:t>p. 397) corre</w:t>
      </w:r>
      <w:r w:rsidRPr="003B3476">
        <w:rPr>
          <w:lang w:val="fr-FR" w:eastAsia="fr-FR" w:bidi="fr-FR"/>
        </w:rPr>
        <w:t>s</w:t>
      </w:r>
      <w:r w:rsidRPr="003B3476">
        <w:rPr>
          <w:lang w:val="fr-FR" w:eastAsia="fr-FR" w:bidi="fr-FR"/>
        </w:rPr>
        <w:t xml:space="preserve">ponde </w:t>
      </w:r>
      <w:r w:rsidRPr="003B3476">
        <w:rPr>
          <w:bCs/>
        </w:rPr>
        <w:t xml:space="preserve">à </w:t>
      </w:r>
      <w:r w:rsidRPr="003B3476">
        <w:rPr>
          <w:lang w:val="fr-FR" w:eastAsia="fr-FR" w:bidi="fr-FR"/>
        </w:rPr>
        <w:t>la vision de l’hostie.</w:t>
      </w:r>
    </w:p>
  </w:footnote>
  <w:footnote w:id="1132">
    <w:p w14:paraId="082808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992. « Edeiha deligitur, que, versu et prosa celebris et eximia... ».</w:t>
      </w:r>
    </w:p>
  </w:footnote>
  <w:footnote w:id="1133">
    <w:p w14:paraId="02DDF15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II, § 419, p. 496. « Huiuscemodi enim opinionem tulerunt aurae ».</w:t>
      </w:r>
    </w:p>
  </w:footnote>
  <w:footnote w:id="1134">
    <w:p w14:paraId="177FFC0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T. I, § 226, p. 277. « Huius ergo vaticinii veritatem nos experimur, quod scil</w:t>
      </w:r>
      <w:r w:rsidRPr="003B3476">
        <w:rPr>
          <w:lang w:val="fr-FR" w:eastAsia="fr-FR" w:bidi="fr-FR"/>
        </w:rPr>
        <w:t>i</w:t>
      </w:r>
      <w:r w:rsidRPr="003B3476">
        <w:rPr>
          <w:lang w:val="fr-FR" w:eastAsia="fr-FR" w:bidi="fr-FR"/>
        </w:rPr>
        <w:t>cet Anglia exterorum facta est habitatio et alienigenarum dominatio. Nullus hodie Anglus vel dux, vel pontifex, vel abbas ; advenae quique divitias et vi</w:t>
      </w:r>
      <w:r w:rsidRPr="003B3476">
        <w:rPr>
          <w:lang w:val="fr-FR" w:eastAsia="fr-FR" w:bidi="fr-FR"/>
        </w:rPr>
        <w:t>s</w:t>
      </w:r>
      <w:r w:rsidRPr="003B3476">
        <w:rPr>
          <w:lang w:val="fr-FR" w:eastAsia="fr-FR" w:bidi="fr-FR"/>
        </w:rPr>
        <w:t>cera corrodunt Angliae ; nec ulla spes est finiendae miseriae ».</w:t>
      </w:r>
    </w:p>
  </w:footnote>
  <w:footnote w:id="1135">
    <w:p w14:paraId="23F3A01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 Rex, Dei spiritu imbutus, ex impossibili statuit similitudinem ». </w:t>
      </w:r>
      <w:r w:rsidRPr="003B3476">
        <w:rPr>
          <w:bCs/>
          <w:i/>
        </w:rPr>
        <w:t>Infra</w:t>
      </w:r>
      <w:r w:rsidRPr="003B3476">
        <w:rPr>
          <w:lang w:val="fr-FR" w:eastAsia="fr-FR" w:bidi="fr-FR"/>
        </w:rPr>
        <w:t xml:space="preserve">, p. 1014 : l’expression, mais non le sens général, empruntée au Biographe, ou à une source commune ; </w:t>
      </w:r>
      <w:r w:rsidRPr="003B3476">
        <w:rPr>
          <w:bCs/>
          <w:i/>
        </w:rPr>
        <w:t>infra</w:t>
      </w:r>
      <w:r w:rsidRPr="003B3476">
        <w:rPr>
          <w:lang w:val="fr-FR" w:eastAsia="fr-FR" w:bidi="fr-FR"/>
        </w:rPr>
        <w:t>, p. 969, n. 3.</w:t>
      </w:r>
    </w:p>
  </w:footnote>
  <w:footnote w:id="1136">
    <w:p w14:paraId="54504D4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femme d’Étienne de Blois, la reine Mathilde de Boulogne, descendait elle aussi de sainte Marguerite d’Ëcosse dont elle était, par sa mère, la petite-fille ; elle appartenait donc, et ses fils par elle, à la lignée de Cerdic ; mais les part</w:t>
      </w:r>
      <w:r w:rsidRPr="003B3476">
        <w:rPr>
          <w:lang w:val="fr-FR" w:eastAsia="fr-FR" w:bidi="fr-FR"/>
        </w:rPr>
        <w:t>i</w:t>
      </w:r>
      <w:r w:rsidRPr="003B3476">
        <w:rPr>
          <w:lang w:val="fr-FR" w:eastAsia="fr-FR" w:bidi="fr-FR"/>
        </w:rPr>
        <w:t>sans d’Étienne, qui ne fondait sa propre légitimité que sur l’élection et la consécration par l’Église, ne pouvaient guère se risquer à invoquer, de que</w:t>
      </w:r>
      <w:r w:rsidRPr="003B3476">
        <w:rPr>
          <w:lang w:val="fr-FR" w:eastAsia="fr-FR" w:bidi="fr-FR"/>
        </w:rPr>
        <w:t>l</w:t>
      </w:r>
      <w:r w:rsidRPr="003B3476">
        <w:rPr>
          <w:lang w:val="fr-FR" w:eastAsia="fr-FR" w:bidi="fr-FR"/>
        </w:rPr>
        <w:t xml:space="preserve">que façon que ce fût, le droit héréditaire ; ils ne paraissent pas avoir jamais fait usage de ce titre anglo-saxon. Sur l’attitude d’Étienne vis-à-vis du principe d’hérédité, </w:t>
      </w:r>
      <w:r w:rsidRPr="003B3476">
        <w:rPr>
          <w:i/>
          <w:lang w:val="fr-FR" w:eastAsia="fr-FR" w:bidi="fr-FR"/>
        </w:rPr>
        <w:t>cf</w:t>
      </w:r>
      <w:r w:rsidRPr="003B3476">
        <w:rPr>
          <w:lang w:val="fr-FR" w:eastAsia="fr-FR" w:bidi="fr-FR"/>
        </w:rPr>
        <w:t xml:space="preserve">. J. H. </w:t>
      </w:r>
      <w:r w:rsidRPr="003B3476">
        <w:rPr>
          <w:smallCaps/>
          <w:lang w:val="fr-FR" w:eastAsia="fr-FR" w:bidi="fr-FR"/>
        </w:rPr>
        <w:t>Round</w:t>
      </w:r>
      <w:r w:rsidRPr="003B3476">
        <w:rPr>
          <w:lang w:val="fr-FR" w:eastAsia="fr-FR" w:bidi="fr-FR"/>
        </w:rPr>
        <w:t xml:space="preserve">, </w:t>
      </w:r>
      <w:r w:rsidRPr="003B3476">
        <w:rPr>
          <w:bCs/>
          <w:i/>
        </w:rPr>
        <w:t>Geoffrey de Mandeville</w:t>
      </w:r>
      <w:r w:rsidRPr="003B3476">
        <w:rPr>
          <w:lang w:val="fr-FR" w:eastAsia="fr-FR" w:bidi="fr-FR"/>
        </w:rPr>
        <w:t xml:space="preserve"> (Londres, 1892,) p. 26 et suiv.</w:t>
      </w:r>
    </w:p>
  </w:footnote>
  <w:footnote w:id="1137">
    <w:p w14:paraId="27B21B0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Col. 401, 1. 20.</w:t>
      </w:r>
    </w:p>
  </w:footnote>
  <w:footnote w:id="1138">
    <w:p w14:paraId="76C39AC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Col. 401, 1. 36. « Floruit sane arbor, quando de utroque semine imperatrix Matillis processit. At tune fructum fecit, quando de ipsa noster Henricus velut lucifer matutinus exoriens, quasi lapis angularis utrumque populum copulavit. Habet nunc certe de genere Anglorum Anglia regem, habet de eadem gente episcopos et abbates, habet et principes, milites etiam optimos, qui ex utriu</w:t>
      </w:r>
      <w:r w:rsidRPr="003B3476">
        <w:rPr>
          <w:lang w:val="fr-FR" w:eastAsia="fr-FR" w:bidi="fr-FR"/>
        </w:rPr>
        <w:t>s</w:t>
      </w:r>
      <w:r w:rsidRPr="003B3476">
        <w:rPr>
          <w:lang w:val="fr-FR" w:eastAsia="fr-FR" w:bidi="fr-FR"/>
        </w:rPr>
        <w:t>que seminis conjunctione procreati aliis sunt honori, aliis consolationi ». A</w:t>
      </w:r>
      <w:r w:rsidRPr="003B3476">
        <w:rPr>
          <w:lang w:val="fr-FR" w:eastAsia="fr-FR" w:bidi="fr-FR"/>
        </w:rPr>
        <w:t>i</w:t>
      </w:r>
      <w:r w:rsidRPr="003B3476">
        <w:rPr>
          <w:lang w:val="fr-FR" w:eastAsia="fr-FR" w:bidi="fr-FR"/>
        </w:rPr>
        <w:t>lred faisait déjà allusion à la prophétie de saint Édouard dans sa dédicace au roi, col. 370,1. 31 et suiv. J’ignore quelle est la prophétie de saint Dunstan mentionnée col. 401,1. 50.</w:t>
      </w:r>
    </w:p>
  </w:footnote>
  <w:footnote w:id="1139">
    <w:p w14:paraId="4915D02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Lives of Edward the Confessor</w:t>
      </w:r>
      <w:r w:rsidRPr="003B3476">
        <w:rPr>
          <w:lang w:val="fr-FR" w:eastAsia="fr-FR" w:bidi="fr-FR"/>
        </w:rPr>
        <w:t xml:space="preserve">, éd. </w:t>
      </w:r>
      <w:r w:rsidRPr="003B3476">
        <w:rPr>
          <w:rStyle w:val="Notedebasdepage65ptPetitesmajuscules"/>
          <w:b w:val="0"/>
          <w:sz w:val="24"/>
        </w:rPr>
        <w:t xml:space="preserve">Luard, </w:t>
      </w:r>
      <w:r w:rsidRPr="003B3476">
        <w:rPr>
          <w:lang w:val="fr-FR" w:eastAsia="fr-FR" w:bidi="fr-FR"/>
        </w:rPr>
        <w:t xml:space="preserve">p. 132, v. 3805 et suiv. ; </w:t>
      </w:r>
      <w:r w:rsidRPr="003B3476">
        <w:rPr>
          <w:bCs/>
          <w:i/>
        </w:rPr>
        <w:t>R</w:t>
      </w:r>
      <w:r w:rsidRPr="003B3476">
        <w:rPr>
          <w:bCs/>
          <w:i/>
        </w:rPr>
        <w:t>o</w:t>
      </w:r>
      <w:r w:rsidRPr="003B3476">
        <w:rPr>
          <w:bCs/>
          <w:i/>
        </w:rPr>
        <w:t>mania</w:t>
      </w:r>
      <w:r w:rsidRPr="003B3476">
        <w:rPr>
          <w:lang w:val="fr-FR" w:eastAsia="fr-FR" w:bidi="fr-FR"/>
        </w:rPr>
        <w:t>, t. XL (1911), p. 57, c. 51.</w:t>
      </w:r>
    </w:p>
  </w:footnote>
  <w:footnote w:id="1140">
    <w:p w14:paraId="64E079B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432,1.1525 et suiv. « Unde non inmerito demonstratur benedicto régi a n</w:t>
      </w:r>
      <w:r w:rsidRPr="003B3476">
        <w:rPr>
          <w:lang w:val="fr-FR" w:eastAsia="fr-FR" w:bidi="fr-FR"/>
        </w:rPr>
        <w:t>o</w:t>
      </w:r>
      <w:r w:rsidRPr="003B3476">
        <w:rPr>
          <w:lang w:val="fr-FR" w:eastAsia="fr-FR" w:bidi="fr-FR"/>
        </w:rPr>
        <w:t>bis migratura revelatio, impossibilitatis ad similitudinem, inquam, nostrae infmitae et obduratae iniquitatis. Neque enim arborem abscisam per se mov</w:t>
      </w:r>
      <w:r w:rsidRPr="003B3476">
        <w:rPr>
          <w:lang w:val="fr-FR" w:eastAsia="fr-FR" w:bidi="fr-FR"/>
        </w:rPr>
        <w:t>e</w:t>
      </w:r>
      <w:r w:rsidRPr="003B3476">
        <w:rPr>
          <w:lang w:val="fr-FR" w:eastAsia="fr-FR" w:bidi="fr-FR"/>
        </w:rPr>
        <w:t>re, vel semel suci sui gratia destitutam, solide trunco suo incorporari et vire</w:t>
      </w:r>
      <w:r w:rsidRPr="003B3476">
        <w:rPr>
          <w:lang w:val="fr-FR" w:eastAsia="fr-FR" w:bidi="fr-FR"/>
        </w:rPr>
        <w:t>s</w:t>
      </w:r>
      <w:r w:rsidRPr="003B3476">
        <w:rPr>
          <w:lang w:val="fr-FR" w:eastAsia="fr-FR" w:bidi="fr-FR"/>
        </w:rPr>
        <w:t>cere et fructificare apud homines est possibile. Nos quoque cum ob nostrorum scelerum meritum Deum videmus irasci populo, nec a nobis aliqua procedit saltem pro nobis poenitudo vel confessio, quae vel quando tantorum malorum sperari poterit remissio ? Si ad nos Deus respicit, nihil (proh dolor !) in nostris invenit, unde a feriendo cessare possit.... Sed cum nondum terremur ex impo</w:t>
      </w:r>
      <w:r w:rsidRPr="003B3476">
        <w:rPr>
          <w:lang w:val="fr-FR" w:eastAsia="fr-FR" w:bidi="fr-FR"/>
        </w:rPr>
        <w:t>s</w:t>
      </w:r>
      <w:r w:rsidRPr="003B3476">
        <w:rPr>
          <w:lang w:val="fr-FR" w:eastAsia="fr-FR" w:bidi="fr-FR"/>
        </w:rPr>
        <w:t>sibilate praedictae revelationis et adhuc non sedamus, vel poenitendo vel ad Deum clamando, iram suae indignationis, quid praestolamur praeter infelicem exitum internicionis, nisi ilia infinita et inaestimabilis Domini clementia, cui omnia sunt possibilia, solito [more] duritiam nostram praeveniat ilia remissi</w:t>
      </w:r>
      <w:r w:rsidRPr="003B3476">
        <w:rPr>
          <w:lang w:val="fr-FR" w:eastAsia="fr-FR" w:bidi="fr-FR"/>
        </w:rPr>
        <w:t>o</w:t>
      </w:r>
      <w:r w:rsidRPr="003B3476">
        <w:rPr>
          <w:lang w:val="fr-FR" w:eastAsia="fr-FR" w:bidi="fr-FR"/>
        </w:rPr>
        <w:t>ne et benedictione sua gratuita. »</w:t>
      </w:r>
    </w:p>
  </w:footnote>
  <w:footnote w:id="1141">
    <w:p w14:paraId="12A9FE6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 417. </w:t>
      </w:r>
      <w:r w:rsidRPr="003B3476">
        <w:rPr>
          <w:bCs/>
          <w:i/>
        </w:rPr>
        <w:t>Cf.</w:t>
      </w:r>
      <w:r w:rsidRPr="003B3476">
        <w:rPr>
          <w:lang w:val="fr-FR" w:eastAsia="fr-FR" w:bidi="fr-FR"/>
        </w:rPr>
        <w:t xml:space="preserve"> J. Armitage </w:t>
      </w:r>
      <w:r w:rsidRPr="003B3476">
        <w:rPr>
          <w:rStyle w:val="Notedebasdepage65ptPetitesmajuscules"/>
          <w:b w:val="0"/>
          <w:sz w:val="24"/>
        </w:rPr>
        <w:t xml:space="preserve">Robinson, </w:t>
      </w:r>
      <w:r w:rsidRPr="003B3476">
        <w:rPr>
          <w:bCs/>
          <w:i/>
        </w:rPr>
        <w:t>Archaeologia</w:t>
      </w:r>
      <w:r w:rsidRPr="003B3476">
        <w:rPr>
          <w:lang w:val="fr-FR" w:eastAsia="fr-FR" w:bidi="fr-FR"/>
        </w:rPr>
        <w:t>, 1910.</w:t>
      </w:r>
    </w:p>
  </w:footnote>
  <w:footnote w:id="1142">
    <w:p w14:paraId="1E91939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422, 1. 1172. Il s’agit de Britford, comté de Wilts.</w:t>
      </w:r>
    </w:p>
  </w:footnote>
  <w:footnote w:id="1143">
    <w:p w14:paraId="51D8612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403, 1. 488.</w:t>
      </w:r>
    </w:p>
  </w:footnote>
  <w:footnote w:id="1144">
    <w:p w14:paraId="7513BF5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418, 1. 1014 et suiv.</w:t>
      </w:r>
    </w:p>
  </w:footnote>
  <w:footnote w:id="1145">
    <w:p w14:paraId="11A0C3A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Typicum epithalamium », p. 419,1. 1065 et suiv.</w:t>
      </w:r>
    </w:p>
  </w:footnote>
  <w:footnote w:id="1146">
    <w:p w14:paraId="5F7E9C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Amoenum... locum », p. 419, 1. 1063.</w:t>
      </w:r>
    </w:p>
  </w:footnote>
  <w:footnote w:id="1147">
    <w:p w14:paraId="175935A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lit dans la </w:t>
      </w:r>
      <w:r w:rsidRPr="003B3476">
        <w:rPr>
          <w:bCs/>
          <w:i/>
        </w:rPr>
        <w:t>Vita</w:t>
      </w:r>
      <w:r w:rsidRPr="003B3476">
        <w:rPr>
          <w:bCs/>
        </w:rPr>
        <w:t>,</w:t>
      </w:r>
      <w:r w:rsidRPr="003B3476">
        <w:rPr>
          <w:lang w:val="fr-FR" w:eastAsia="fr-FR" w:bidi="fr-FR"/>
        </w:rPr>
        <w:t xml:space="preserve"> p. 427, à propos des guerres de Harold contre les Gallois, les deux vers suivants (v. 1327-1328) : « Si non describis hostilia bella Gr</w:t>
      </w:r>
      <w:r w:rsidRPr="003B3476">
        <w:rPr>
          <w:lang w:val="fr-FR" w:eastAsia="fr-FR" w:bidi="fr-FR"/>
        </w:rPr>
        <w:t>i</w:t>
      </w:r>
      <w:r w:rsidRPr="003B3476">
        <w:rPr>
          <w:lang w:val="fr-FR" w:eastAsia="fr-FR" w:bidi="fr-FR"/>
        </w:rPr>
        <w:t>phini — Yel busam vetitum corporibus fluere », qu’on peut traduire ainsi (c’est la muse qui parle à l’hagiographe) : « Si tu ne veux pas décrire les gue</w:t>
      </w:r>
      <w:r w:rsidRPr="003B3476">
        <w:rPr>
          <w:lang w:val="fr-FR" w:eastAsia="fr-FR" w:bidi="fr-FR"/>
        </w:rPr>
        <w:t>r</w:t>
      </w:r>
      <w:r w:rsidRPr="003B3476">
        <w:rPr>
          <w:lang w:val="fr-FR" w:eastAsia="fr-FR" w:bidi="fr-FR"/>
        </w:rPr>
        <w:t xml:space="preserve">res soutenues contre Grifyn, ni la </w:t>
      </w:r>
      <w:r w:rsidRPr="003B3476">
        <w:rPr>
          <w:bCs/>
        </w:rPr>
        <w:t>busa</w:t>
      </w:r>
      <w:r w:rsidRPr="003B3476">
        <w:rPr>
          <w:lang w:val="fr-FR" w:eastAsia="fr-FR" w:bidi="fr-FR"/>
        </w:rPr>
        <w:t xml:space="preserve"> roulant un liquide interdit aux corps [du sang ?] » Le second vers est singulièrement obscur ; mais le sens général après tout se laisse deviner. Un seul mot résiste, semble-t-il, à toute interprét</w:t>
      </w:r>
      <w:r w:rsidRPr="003B3476">
        <w:rPr>
          <w:lang w:val="fr-FR" w:eastAsia="fr-FR" w:bidi="fr-FR"/>
        </w:rPr>
        <w:t>a</w:t>
      </w:r>
      <w:r w:rsidRPr="003B3476">
        <w:rPr>
          <w:lang w:val="fr-FR" w:eastAsia="fr-FR" w:bidi="fr-FR"/>
        </w:rPr>
        <w:t xml:space="preserve">tion : </w:t>
      </w:r>
      <w:r w:rsidRPr="003B3476">
        <w:rPr>
          <w:bCs/>
          <w:i/>
        </w:rPr>
        <w:t>busa</w:t>
      </w:r>
      <w:r w:rsidRPr="003B3476">
        <w:rPr>
          <w:bCs/>
        </w:rPr>
        <w:t>.</w:t>
      </w:r>
      <w:r w:rsidRPr="003B3476">
        <w:rPr>
          <w:lang w:val="fr-FR" w:eastAsia="fr-FR" w:bidi="fr-FR"/>
        </w:rPr>
        <w:t xml:space="preserve"> J’ai à peine besoin de faire remarquer qu’il n’appartient point à la langue latine ; mon collègue et ami M. Pons veut bien m’assurer qu’on ne sa</w:t>
      </w:r>
      <w:r w:rsidRPr="003B3476">
        <w:rPr>
          <w:lang w:val="fr-FR" w:eastAsia="fr-FR" w:bidi="fr-FR"/>
        </w:rPr>
        <w:t>u</w:t>
      </w:r>
      <w:r w:rsidRPr="003B3476">
        <w:rPr>
          <w:lang w:val="fr-FR" w:eastAsia="fr-FR" w:bidi="fr-FR"/>
        </w:rPr>
        <w:t xml:space="preserve">rait non plus le rapprocher d’aucun mot anglo-saxon. </w:t>
      </w:r>
      <w:r w:rsidRPr="003B3476">
        <w:rPr>
          <w:rStyle w:val="Notedebasdepage65ptPetitesmajuscules"/>
          <w:b w:val="0"/>
          <w:sz w:val="24"/>
        </w:rPr>
        <w:t xml:space="preserve">Luard, </w:t>
      </w:r>
      <w:r w:rsidRPr="003B3476">
        <w:rPr>
          <w:lang w:val="fr-FR" w:eastAsia="fr-FR" w:bidi="fr-FR"/>
        </w:rPr>
        <w:t>p. 427, n. 1, a pr</w:t>
      </w:r>
      <w:r w:rsidRPr="003B3476">
        <w:rPr>
          <w:lang w:val="fr-FR" w:eastAsia="fr-FR" w:bidi="fr-FR"/>
        </w:rPr>
        <w:t>o</w:t>
      </w:r>
      <w:r w:rsidRPr="003B3476">
        <w:rPr>
          <w:lang w:val="fr-FR" w:eastAsia="fr-FR" w:bidi="fr-FR"/>
        </w:rPr>
        <w:t xml:space="preserve">posé d’avoir recours au flamand où le substantif féminin </w:t>
      </w:r>
      <w:r w:rsidRPr="003B3476">
        <w:rPr>
          <w:bCs/>
        </w:rPr>
        <w:t>buis</w:t>
      </w:r>
      <w:r w:rsidRPr="003B3476">
        <w:rPr>
          <w:lang w:val="fr-FR" w:eastAsia="fr-FR" w:bidi="fr-FR"/>
        </w:rPr>
        <w:t xml:space="preserve"> signifie tuyau, et quelquefois aussi, semble-t-il, canal d’irrigation ; dans ce dernier sens on trouve </w:t>
      </w:r>
      <w:r w:rsidRPr="003B3476">
        <w:rPr>
          <w:bCs/>
        </w:rPr>
        <w:t xml:space="preserve">busa </w:t>
      </w:r>
      <w:r w:rsidRPr="003B3476">
        <w:rPr>
          <w:lang w:val="fr-FR" w:eastAsia="fr-FR" w:bidi="fr-FR"/>
        </w:rPr>
        <w:t xml:space="preserve">dans des chartes des Pays-Bas (voir Du </w:t>
      </w:r>
      <w:r w:rsidRPr="003B3476">
        <w:rPr>
          <w:rStyle w:val="Notedebasdepage65ptPetitesmajuscules"/>
          <w:b w:val="0"/>
          <w:sz w:val="24"/>
        </w:rPr>
        <w:t xml:space="preserve">Cange, </w:t>
      </w:r>
      <w:r w:rsidRPr="003B3476">
        <w:rPr>
          <w:lang w:val="fr-FR" w:eastAsia="fr-FR" w:bidi="fr-FR"/>
        </w:rPr>
        <w:t xml:space="preserve">à ce mot). </w:t>
      </w:r>
      <w:r w:rsidRPr="003B3476">
        <w:rPr>
          <w:rStyle w:val="Notedebasdepage65ptPetitesmajuscules"/>
          <w:b w:val="0"/>
          <w:sz w:val="24"/>
        </w:rPr>
        <w:t xml:space="preserve">Bôhmer </w:t>
      </w:r>
      <w:r w:rsidRPr="003B3476">
        <w:rPr>
          <w:lang w:val="fr-FR" w:eastAsia="fr-FR" w:bidi="fr-FR"/>
        </w:rPr>
        <w:t>(</w:t>
      </w:r>
      <w:r w:rsidRPr="003B3476">
        <w:rPr>
          <w:bCs/>
          <w:i/>
        </w:rPr>
        <w:t>Ki</w:t>
      </w:r>
      <w:r w:rsidRPr="003B3476">
        <w:rPr>
          <w:bCs/>
          <w:i/>
        </w:rPr>
        <w:t>r</w:t>
      </w:r>
      <w:r w:rsidRPr="003B3476">
        <w:rPr>
          <w:bCs/>
          <w:i/>
        </w:rPr>
        <w:t>che und Staat</w:t>
      </w:r>
      <w:r w:rsidRPr="003B3476">
        <w:rPr>
          <w:lang w:val="fr-FR" w:eastAsia="fr-FR" w:bidi="fr-FR"/>
        </w:rPr>
        <w:t xml:space="preserve">, p. 75, n. 4) adoptant cette hypothèse en conclut ingénieusement que le t Biographe » était sans doute un clerc lotharingien, comme il en était venu, en si grand nombre, en Angleterre, sous le règne du Confesseur. (Les autres raisons, données par Böhmer à l’appui de cette thèse, tombent si l’on admet, comme je le fais, que la </w:t>
      </w:r>
      <w:r w:rsidRPr="003B3476">
        <w:rPr>
          <w:bCs/>
          <w:i/>
        </w:rPr>
        <w:t>Vita</w:t>
      </w:r>
      <w:r w:rsidRPr="003B3476">
        <w:rPr>
          <w:lang w:val="fr-FR" w:eastAsia="fr-FR" w:bidi="fr-FR"/>
        </w:rPr>
        <w:t xml:space="preserve"> n’a pas été rédigée avant 1103). Mais le rapprochement </w:t>
      </w:r>
      <w:r w:rsidRPr="003B3476">
        <w:rPr>
          <w:bCs/>
        </w:rPr>
        <w:t>busa, buis</w:t>
      </w:r>
      <w:r w:rsidRPr="003B3476">
        <w:rPr>
          <w:lang w:val="fr-FR" w:eastAsia="fr-FR" w:bidi="fr-FR"/>
        </w:rPr>
        <w:t xml:space="preserve"> est-il bien sûr ? Que vient faire là ce canal ? Il y a danger à bâtir une théorie sur un mot d’interprétation très do</w:t>
      </w:r>
      <w:r w:rsidRPr="003B3476">
        <w:rPr>
          <w:lang w:val="fr-FR" w:eastAsia="fr-FR" w:bidi="fr-FR"/>
        </w:rPr>
        <w:t>u</w:t>
      </w:r>
      <w:r w:rsidRPr="003B3476">
        <w:rPr>
          <w:lang w:val="fr-FR" w:eastAsia="fr-FR" w:bidi="fr-FR"/>
        </w:rPr>
        <w:t>teuse, transmis par un manuscrit unique. Je soupçonne une erreur de copiste, dissimulant peut-être un nom propre de cours d’eau.</w:t>
      </w:r>
    </w:p>
  </w:footnote>
  <w:footnote w:id="1148">
    <w:p w14:paraId="546D2EA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w:t>
      </w:r>
      <w:r w:rsidRPr="003B3476">
        <w:rPr>
          <w:rStyle w:val="Notedebasdepage65ptPetitesmajuscules"/>
          <w:b w:val="0"/>
          <w:sz w:val="24"/>
        </w:rPr>
        <w:t xml:space="preserve">Dugdale, </w:t>
      </w:r>
      <w:r w:rsidRPr="003B3476">
        <w:rPr>
          <w:lang w:val="fr-FR" w:eastAsia="fr-FR" w:bidi="fr-FR"/>
        </w:rPr>
        <w:t xml:space="preserve">t. III, p. 315. </w:t>
      </w:r>
      <w:r w:rsidRPr="003B3476">
        <w:rPr>
          <w:i/>
          <w:lang w:val="fr-FR" w:eastAsia="fr-FR" w:bidi="fr-FR"/>
        </w:rPr>
        <w:t>Les Vies de sainte Édith</w:t>
      </w:r>
      <w:r w:rsidRPr="003B3476">
        <w:rPr>
          <w:lang w:val="fr-FR" w:eastAsia="fr-FR" w:bidi="fr-FR"/>
        </w:rPr>
        <w:t xml:space="preserve">, </w:t>
      </w:r>
      <w:r w:rsidRPr="003B3476">
        <w:rPr>
          <w:bCs/>
        </w:rPr>
        <w:t>BHL.</w:t>
      </w:r>
      <w:r w:rsidRPr="003B3476">
        <w:rPr>
          <w:lang w:val="fr-FR" w:eastAsia="fr-FR" w:bidi="fr-FR"/>
        </w:rPr>
        <w:t xml:space="preserve"> 2388-2391.</w:t>
      </w:r>
    </w:p>
  </w:footnote>
  <w:footnote w:id="1149">
    <w:p w14:paraId="7BA3795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Voir dans le </w:t>
      </w:r>
      <w:r w:rsidRPr="003B3476">
        <w:rPr>
          <w:bCs/>
          <w:i/>
        </w:rPr>
        <w:t>Dictionary of National Biography</w:t>
      </w:r>
      <w:r w:rsidRPr="003B3476">
        <w:rPr>
          <w:lang w:val="fr-FR" w:eastAsia="fr-FR" w:bidi="fr-FR"/>
        </w:rPr>
        <w:t xml:space="preserve"> l’article « Édith ». « A charter in the </w:t>
      </w:r>
      <w:r w:rsidRPr="003B3476">
        <w:rPr>
          <w:i/>
          <w:lang w:val="fr-FR" w:eastAsia="fr-FR" w:bidi="fr-FR"/>
        </w:rPr>
        <w:t xml:space="preserve">Liber </w:t>
      </w:r>
      <w:r w:rsidRPr="003B3476">
        <w:rPr>
          <w:bCs/>
          <w:i/>
        </w:rPr>
        <w:t>Albus</w:t>
      </w:r>
      <w:r w:rsidRPr="003B3476">
        <w:rPr>
          <w:lang w:val="fr-FR" w:eastAsia="fr-FR" w:bidi="fr-FR"/>
        </w:rPr>
        <w:t xml:space="preserve"> belonging to the chapter of Wells proves that she was at Wilton in the Lent of 1072 ».</w:t>
      </w:r>
    </w:p>
  </w:footnote>
  <w:footnote w:id="1150">
    <w:p w14:paraId="49739D3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427, v. 1337.</w:t>
      </w:r>
    </w:p>
  </w:footnote>
  <w:footnote w:id="1151">
    <w:p w14:paraId="7362CB8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Guillaume </w:t>
      </w:r>
      <w:r w:rsidRPr="003B3476">
        <w:rPr>
          <w:rStyle w:val="Notedebasdepage65ptPetitesmajuscules"/>
          <w:b w:val="0"/>
          <w:sz w:val="24"/>
        </w:rPr>
        <w:t xml:space="preserve">de Malmesbury, </w:t>
      </w:r>
      <w:r w:rsidRPr="003B3476">
        <w:rPr>
          <w:lang w:val="fr-FR" w:eastAsia="fr-FR" w:bidi="fr-FR"/>
        </w:rPr>
        <w:t>t. II, § 418, p. 494.</w:t>
      </w:r>
    </w:p>
  </w:footnote>
  <w:footnote w:id="1152">
    <w:p w14:paraId="3027BD2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1024. « Sancte pater patrie nostre et rex insignis Eadwarde…. Hec enim gesta tue regie fortitudinis ex diversorum collegit uarietate uolominum, et gloria Dei dictante redegit in unum ».</w:t>
      </w:r>
    </w:p>
  </w:footnote>
  <w:footnote w:id="1153">
    <w:p w14:paraId="7F8FA42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Éd. </w:t>
      </w:r>
      <w:r w:rsidRPr="003B3476">
        <w:rPr>
          <w:rStyle w:val="Notedebasdepage65ptPetitesmajuscules"/>
          <w:b w:val="0"/>
        </w:rPr>
        <w:t xml:space="preserve">Anstruther, </w:t>
      </w:r>
      <w:r w:rsidRPr="003B3476">
        <w:rPr>
          <w:lang w:val="fr-FR" w:eastAsia="fr-FR" w:bidi="fr-FR"/>
        </w:rPr>
        <w:t>p. 116. « Nonnulla vero didicimus ab his qui ea propriis meruerunt oculis cernere, qui usque ad annum quartum, quo Stephanus frater vester r</w:t>
      </w:r>
      <w:r w:rsidRPr="003B3476">
        <w:rPr>
          <w:lang w:val="fr-FR" w:eastAsia="fr-FR" w:bidi="fr-FR"/>
        </w:rPr>
        <w:t>e</w:t>
      </w:r>
      <w:r w:rsidRPr="003B3476">
        <w:rPr>
          <w:lang w:val="fr-FR" w:eastAsia="fr-FR" w:bidi="fr-FR"/>
        </w:rPr>
        <w:t>gnavit, superstites extiterunt ». Ainsi les derniers contemporains de saint Édouard qu’Osbert a pu connaître ont vécu jusqu’à la quatrième année du r</w:t>
      </w:r>
      <w:r w:rsidRPr="003B3476">
        <w:rPr>
          <w:lang w:val="fr-FR" w:eastAsia="fr-FR" w:bidi="fr-FR"/>
        </w:rPr>
        <w:t>è</w:t>
      </w:r>
      <w:r w:rsidRPr="003B3476">
        <w:rPr>
          <w:lang w:val="fr-FR" w:eastAsia="fr-FR" w:bidi="fr-FR"/>
        </w:rPr>
        <w:t>gne d’Étienne, qui commença le 22 décembre 1138 (la lettre à Henri de Wi</w:t>
      </w:r>
      <w:r w:rsidRPr="003B3476">
        <w:rPr>
          <w:lang w:val="fr-FR" w:eastAsia="fr-FR" w:bidi="fr-FR"/>
        </w:rPr>
        <w:t>n</w:t>
      </w:r>
      <w:r w:rsidRPr="003B3476">
        <w:rPr>
          <w:lang w:val="fr-FR" w:eastAsia="fr-FR" w:bidi="fr-FR"/>
        </w:rPr>
        <w:t>chester a été écrite après le 1</w:t>
      </w:r>
      <w:r w:rsidRPr="003B3476">
        <w:rPr>
          <w:vertAlign w:val="superscript"/>
          <w:lang w:val="fr-FR" w:eastAsia="fr-FR" w:bidi="fr-FR"/>
        </w:rPr>
        <w:t>er</w:t>
      </w:r>
      <w:r w:rsidRPr="003B3476">
        <w:rPr>
          <w:lang w:val="fr-FR" w:eastAsia="fr-FR" w:bidi="fr-FR"/>
        </w:rPr>
        <w:t xml:space="preserve"> mars 1139, car l’évêque y est qualifié de légat du pape, ce qu’il ne fut qu’après cette date : </w:t>
      </w:r>
      <w:r w:rsidRPr="003B3476">
        <w:rPr>
          <w:i/>
          <w:lang w:val="fr-FR" w:eastAsia="fr-FR" w:bidi="fr-FR"/>
        </w:rPr>
        <w:t>cf</w:t>
      </w:r>
      <w:r w:rsidRPr="003B3476">
        <w:rPr>
          <w:lang w:val="fr-FR" w:eastAsia="fr-FR" w:bidi="fr-FR"/>
        </w:rPr>
        <w:t xml:space="preserve">. </w:t>
      </w:r>
      <w:r w:rsidRPr="003B3476">
        <w:rPr>
          <w:rStyle w:val="Notedebasdepage65ptPetitesmajuscules"/>
          <w:b w:val="0"/>
        </w:rPr>
        <w:t xml:space="preserve">Bôhmer, </w:t>
      </w:r>
      <w:r w:rsidRPr="003B3476">
        <w:rPr>
          <w:bCs/>
          <w:i/>
        </w:rPr>
        <w:t>Kirche und Staat</w:t>
      </w:r>
      <w:r w:rsidRPr="003B3476">
        <w:rPr>
          <w:bCs/>
        </w:rPr>
        <w:t>,</w:t>
      </w:r>
      <w:r w:rsidRPr="003B3476">
        <w:rPr>
          <w:lang w:val="fr-FR" w:eastAsia="fr-FR" w:bidi="fr-FR"/>
        </w:rPr>
        <w:t xml:space="preserve"> p. 340). À côté de ces vieillards, qui n’avaient sans doute que des souvenirs quelque peu lointains, il faut faire place, parmi les témoins d’Osbert, aux « miraculés » guéris sur la tombe du saint. Osbert fait allusion à eux, au même endroit, en ces termes : « Quaedam autem ab hiis qui haec in semetipsis senserunt a</w:t>
      </w:r>
      <w:r w:rsidRPr="003B3476">
        <w:rPr>
          <w:lang w:val="fr-FR" w:eastAsia="fr-FR" w:bidi="fr-FR"/>
        </w:rPr>
        <w:t>u</w:t>
      </w:r>
      <w:r w:rsidRPr="003B3476">
        <w:rPr>
          <w:lang w:val="fr-FR" w:eastAsia="fr-FR" w:bidi="fr-FR"/>
        </w:rPr>
        <w:t>diuimus, quaedam in nobismetipsis, teste Deo et angelis eius, experti sumus. » On remarquera qu’Osbert paraît se ranger lui-même parmi ces bénéficiaires des vertus du saint. Nous savons en effet, par Ailred (col. 410) qu’il passait pour avoir été l’objet d’un miracle de guérison ; mais on ne trouve dans son œuvre aucune narration de ce fait.</w:t>
      </w:r>
    </w:p>
  </w:footnote>
  <w:footnote w:id="1154">
    <w:p w14:paraId="449A68F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V. </w:t>
      </w:r>
      <w:r w:rsidRPr="003B3476">
        <w:rPr>
          <w:bCs/>
          <w:i/>
        </w:rPr>
        <w:t>supra</w:t>
      </w:r>
      <w:r w:rsidRPr="003B3476">
        <w:rPr>
          <w:bCs/>
        </w:rPr>
        <w:t>,</w:t>
      </w:r>
      <w:r w:rsidRPr="003B3476">
        <w:rPr>
          <w:lang w:val="fr-FR" w:eastAsia="fr-FR" w:bidi="fr-FR"/>
        </w:rPr>
        <w:t xml:space="preserve"> p. 965-967. Osbert avait-il lu Guillaume de Malmesbury ? Cela est possible, et même, en soi, vraisemblable : mais certain non pas. Les resse</w:t>
      </w:r>
      <w:r w:rsidRPr="003B3476">
        <w:rPr>
          <w:lang w:val="fr-FR" w:eastAsia="fr-FR" w:bidi="fr-FR"/>
        </w:rPr>
        <w:t>m</w:t>
      </w:r>
      <w:r w:rsidRPr="003B3476">
        <w:rPr>
          <w:lang w:val="fr-FR" w:eastAsia="fr-FR" w:bidi="fr-FR"/>
        </w:rPr>
        <w:t>blances entre les deux auteurs peuvent toutes s’expliquer par une source commune, les « cédules » que je viens de mentionner ; elles portent en effet uniquement sur les miracles accomplis par le saint pendant sa vie et ce sont ces mêmes miracles qu’on trouve chez le Biographe (pour les miracles donnés par Guillaume et Osbert et dont l’absence chez le Biographe s’explique un</w:t>
      </w:r>
      <w:r w:rsidRPr="003B3476">
        <w:rPr>
          <w:lang w:val="fr-FR" w:eastAsia="fr-FR" w:bidi="fr-FR"/>
        </w:rPr>
        <w:t>i</w:t>
      </w:r>
      <w:r w:rsidRPr="003B3476">
        <w:rPr>
          <w:lang w:val="fr-FR" w:eastAsia="fr-FR" w:bidi="fr-FR"/>
        </w:rPr>
        <w:t xml:space="preserve">quement par une lacune du ms., </w:t>
      </w:r>
      <w:r w:rsidRPr="003B3476">
        <w:rPr>
          <w:bCs/>
          <w:i/>
        </w:rPr>
        <w:t>cf.</w:t>
      </w:r>
      <w:r w:rsidRPr="003B3476">
        <w:rPr>
          <w:bCs/>
        </w:rPr>
        <w:t xml:space="preserve"> </w:t>
      </w:r>
      <w:r w:rsidRPr="003B3476">
        <w:rPr>
          <w:bCs/>
          <w:i/>
        </w:rPr>
        <w:t>infra</w:t>
      </w:r>
      <w:r w:rsidRPr="003B3476">
        <w:rPr>
          <w:bCs/>
        </w:rPr>
        <w:t>,</w:t>
      </w:r>
      <w:r w:rsidRPr="003B3476">
        <w:rPr>
          <w:lang w:val="fr-FR" w:eastAsia="fr-FR" w:bidi="fr-FR"/>
        </w:rPr>
        <w:t xml:space="preserve"> p. 1007, n. 2 et 1010, n. 5.</w:t>
      </w:r>
    </w:p>
  </w:footnote>
  <w:footnote w:id="1155">
    <w:p w14:paraId="72B9363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rPr>
        <w:t xml:space="preserve">The </w:t>
      </w:r>
      <w:r w:rsidRPr="003B3476">
        <w:rPr>
          <w:bCs/>
          <w:i/>
        </w:rPr>
        <w:t>history of Westminster Abbey by John Flete</w:t>
      </w:r>
      <w:r w:rsidRPr="003B3476">
        <w:rPr>
          <w:bCs/>
        </w:rPr>
        <w:t>,</w:t>
      </w:r>
      <w:r w:rsidRPr="003B3476">
        <w:rPr>
          <w:lang w:val="fr-FR" w:eastAsia="fr-FR" w:bidi="fr-FR"/>
        </w:rPr>
        <w:t xml:space="preserve"> p. 9. L’œuvre de Gosselin (un moine venu de Saint-Bertin en Angleterre et qui mourut vers 1099) est e</w:t>
      </w:r>
      <w:r w:rsidRPr="003B3476">
        <w:rPr>
          <w:lang w:val="fr-FR" w:eastAsia="fr-FR" w:bidi="fr-FR"/>
        </w:rPr>
        <w:t>n</w:t>
      </w:r>
      <w:r w:rsidRPr="003B3476">
        <w:rPr>
          <w:lang w:val="fr-FR" w:eastAsia="fr-FR" w:bidi="fr-FR"/>
        </w:rPr>
        <w:t xml:space="preserve">core inédite. </w:t>
      </w:r>
      <w:r w:rsidRPr="003B3476">
        <w:rPr>
          <w:bCs/>
          <w:i/>
        </w:rPr>
        <w:t>Cf.</w:t>
      </w:r>
      <w:r w:rsidRPr="003B3476">
        <w:rPr>
          <w:lang w:val="fr-FR" w:eastAsia="fr-FR" w:bidi="fr-FR"/>
        </w:rPr>
        <w:t xml:space="preserve"> J. A. </w:t>
      </w:r>
      <w:r w:rsidRPr="003B3476">
        <w:rPr>
          <w:rStyle w:val="Notedebasdepage65ptPetitesmajuscules"/>
          <w:b w:val="0"/>
        </w:rPr>
        <w:t xml:space="preserve">Robinson, </w:t>
      </w:r>
      <w:r w:rsidRPr="003B3476">
        <w:rPr>
          <w:bCs/>
          <w:i/>
        </w:rPr>
        <w:t>loc. cit.</w:t>
      </w:r>
      <w:r w:rsidRPr="003B3476">
        <w:rPr>
          <w:bCs/>
        </w:rPr>
        <w:t>,</w:t>
      </w:r>
      <w:r w:rsidRPr="003B3476">
        <w:rPr>
          <w:lang w:val="fr-FR" w:eastAsia="fr-FR" w:bidi="fr-FR"/>
        </w:rPr>
        <w:t xml:space="preserve"> p. 3. L’imitation de Sulcard est également visible au début du chap. vu. </w:t>
      </w:r>
      <w:r w:rsidRPr="003B3476">
        <w:rPr>
          <w:bCs/>
          <w:i/>
        </w:rPr>
        <w:t>Cf.</w:t>
      </w:r>
      <w:r w:rsidRPr="003B3476">
        <w:rPr>
          <w:bCs/>
        </w:rPr>
        <w:t xml:space="preserve"> </w:t>
      </w:r>
      <w:r w:rsidRPr="003B3476">
        <w:rPr>
          <w:bCs/>
          <w:i/>
        </w:rPr>
        <w:t>infra</w:t>
      </w:r>
      <w:r w:rsidRPr="003B3476">
        <w:rPr>
          <w:bCs/>
        </w:rPr>
        <w:t xml:space="preserve">, </w:t>
      </w:r>
      <w:r w:rsidRPr="003B3476">
        <w:rPr>
          <w:lang w:val="fr-FR" w:eastAsia="fr-FR" w:bidi="fr-FR"/>
        </w:rPr>
        <w:t>p. 994 et p. 1028.</w:t>
      </w:r>
    </w:p>
  </w:footnote>
  <w:footnote w:id="1156">
    <w:p w14:paraId="466223E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995 ; reproduite par </w:t>
      </w:r>
      <w:r w:rsidRPr="003B3476">
        <w:rPr>
          <w:rStyle w:val="Notedebasdepage65ptPetitesmajuscules"/>
          <w:b w:val="0"/>
          <w:sz w:val="24"/>
        </w:rPr>
        <w:t xml:space="preserve">Ailred, </w:t>
      </w:r>
      <w:r w:rsidRPr="003B3476">
        <w:rPr>
          <w:lang w:val="fr-FR" w:eastAsia="fr-FR" w:bidi="fr-FR"/>
        </w:rPr>
        <w:t xml:space="preserve">col. 381 ; </w:t>
      </w:r>
      <w:r w:rsidRPr="003B3476">
        <w:rPr>
          <w:rStyle w:val="Notedebasdepage65ptPetitesmajuscules"/>
          <w:b w:val="0"/>
          <w:sz w:val="24"/>
        </w:rPr>
        <w:t xml:space="preserve">Jaffé-Wattenbach, </w:t>
      </w:r>
      <w:r w:rsidRPr="003B3476">
        <w:rPr>
          <w:lang w:val="fr-FR" w:eastAsia="fr-FR" w:bidi="fr-FR"/>
        </w:rPr>
        <w:t>n° 4257.</w:t>
      </w:r>
    </w:p>
  </w:footnote>
  <w:footnote w:id="1157">
    <w:p w14:paraId="3E07AC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1001 ; </w:t>
      </w:r>
      <w:r w:rsidRPr="003B3476">
        <w:rPr>
          <w:rStyle w:val="Notedebasdepage65ptPetitesmajuscules"/>
          <w:b w:val="0"/>
          <w:sz w:val="24"/>
        </w:rPr>
        <w:t xml:space="preserve">Ailred, </w:t>
      </w:r>
      <w:r w:rsidRPr="003B3476">
        <w:rPr>
          <w:lang w:val="fr-FR" w:eastAsia="fr-FR" w:bidi="fr-FR"/>
        </w:rPr>
        <w:t xml:space="preserve">col. 387 ; </w:t>
      </w:r>
      <w:r w:rsidRPr="003B3476">
        <w:rPr>
          <w:rStyle w:val="Notedebasdepage65ptPetitesmajuscules"/>
          <w:b w:val="0"/>
          <w:sz w:val="24"/>
        </w:rPr>
        <w:t xml:space="preserve">Jaffé-Wattenbach, </w:t>
      </w:r>
      <w:r w:rsidRPr="003B3476">
        <w:rPr>
          <w:lang w:val="fr-FR" w:eastAsia="fr-FR" w:bidi="fr-FR"/>
        </w:rPr>
        <w:t>n° 4462.</w:t>
      </w:r>
    </w:p>
  </w:footnote>
  <w:footnote w:id="1158">
    <w:p w14:paraId="4783FA2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xml:space="preserve">, p. 1000 ; </w:t>
      </w:r>
      <w:r w:rsidRPr="003B3476">
        <w:rPr>
          <w:rStyle w:val="Notedebasdepage65ptPetitesmajuscules"/>
          <w:b w:val="0"/>
          <w:sz w:val="24"/>
        </w:rPr>
        <w:t xml:space="preserve">Ailred, </w:t>
      </w:r>
      <w:r w:rsidRPr="003B3476">
        <w:rPr>
          <w:lang w:val="fr-FR" w:eastAsia="fr-FR" w:bidi="fr-FR"/>
        </w:rPr>
        <w:t>col. 387.</w:t>
      </w:r>
    </w:p>
  </w:footnote>
  <w:footnote w:id="1159">
    <w:p w14:paraId="2D2012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Les deux diplômes ont été publiés par </w:t>
      </w:r>
      <w:r w:rsidRPr="003B3476">
        <w:rPr>
          <w:rStyle w:val="Notedebasdepage65ptPetitesmajuscules"/>
          <w:b w:val="0"/>
          <w:sz w:val="24"/>
        </w:rPr>
        <w:t xml:space="preserve">Kemble. </w:t>
      </w:r>
      <w:r w:rsidRPr="003B3476">
        <w:rPr>
          <w:bCs/>
          <w:i/>
        </w:rPr>
        <w:t>Codex diplomaticus</w:t>
      </w:r>
      <w:r w:rsidRPr="003B3476">
        <w:rPr>
          <w:lang w:val="fr-FR" w:eastAsia="fr-FR" w:bidi="fr-FR"/>
        </w:rPr>
        <w:t xml:space="preserve">, t. IV, p. 173, n° DCCGXXIV et p. 181, n° DCGCXXV, et par </w:t>
      </w:r>
      <w:r w:rsidRPr="003B3476">
        <w:rPr>
          <w:rStyle w:val="Notedebasdepage65ptPetitesmajuscules"/>
          <w:b w:val="0"/>
          <w:sz w:val="24"/>
        </w:rPr>
        <w:t xml:space="preserve">Dugdale, </w:t>
      </w:r>
      <w:r w:rsidRPr="003B3476">
        <w:rPr>
          <w:bCs/>
          <w:i/>
        </w:rPr>
        <w:t>Monasticon</w:t>
      </w:r>
      <w:r w:rsidRPr="003B3476">
        <w:rPr>
          <w:bCs/>
        </w:rPr>
        <w:t>,</w:t>
      </w:r>
      <w:r w:rsidRPr="003B3476">
        <w:rPr>
          <w:lang w:val="fr-FR" w:eastAsia="fr-FR" w:bidi="fr-FR"/>
        </w:rPr>
        <w:t xml:space="preserve"> t. I, p. 293, n° IV et p. 295, n° VI. L’« original » du premier fait partie de la collection Hatton qui, en 1852, se trouvait </w:t>
      </w:r>
      <w:r w:rsidRPr="003B3476">
        <w:rPr>
          <w:bCs/>
        </w:rPr>
        <w:t xml:space="preserve">à </w:t>
      </w:r>
      <w:r w:rsidRPr="003B3476">
        <w:rPr>
          <w:lang w:val="fr-FR" w:eastAsia="fr-FR" w:bidi="fr-FR"/>
        </w:rPr>
        <w:t>Eastwill, Kent, propriété appart</w:t>
      </w:r>
      <w:r w:rsidRPr="003B3476">
        <w:rPr>
          <w:lang w:val="fr-FR" w:eastAsia="fr-FR" w:bidi="fr-FR"/>
        </w:rPr>
        <w:t>e</w:t>
      </w:r>
      <w:r w:rsidRPr="003B3476">
        <w:rPr>
          <w:lang w:val="fr-FR" w:eastAsia="fr-FR" w:bidi="fr-FR"/>
        </w:rPr>
        <w:t>nant au comte de Winchelsea (</w:t>
      </w:r>
      <w:r w:rsidRPr="003B3476">
        <w:rPr>
          <w:bCs/>
          <w:i/>
        </w:rPr>
        <w:t>The archaeological Journal</w:t>
      </w:r>
      <w:r w:rsidRPr="003B3476">
        <w:rPr>
          <w:lang w:val="fr-FR" w:eastAsia="fr-FR" w:bidi="fr-FR"/>
        </w:rPr>
        <w:t xml:space="preserve">, t. XIX, p. 176). L’« original » du second est conservé </w:t>
      </w:r>
      <w:r w:rsidRPr="003B3476">
        <w:rPr>
          <w:bCs/>
        </w:rPr>
        <w:t xml:space="preserve">à </w:t>
      </w:r>
      <w:r w:rsidRPr="003B3476">
        <w:rPr>
          <w:lang w:val="fr-FR" w:eastAsia="fr-FR" w:bidi="fr-FR"/>
        </w:rPr>
        <w:t>Westminster (chap. </w:t>
      </w:r>
      <w:r w:rsidRPr="003B3476">
        <w:rPr>
          <w:smallCaps/>
          <w:lang w:val="fr-FR" w:eastAsia="fr-FR" w:bidi="fr-FR"/>
        </w:rPr>
        <w:t>xx</w:t>
      </w:r>
      <w:r w:rsidRPr="003B3476">
        <w:rPr>
          <w:lang w:val="fr-FR" w:eastAsia="fr-FR" w:bidi="fr-FR"/>
        </w:rPr>
        <w:t>). Parmi les c</w:t>
      </w:r>
      <w:r w:rsidRPr="003B3476">
        <w:rPr>
          <w:lang w:val="fr-FR" w:eastAsia="fr-FR" w:bidi="fr-FR"/>
        </w:rPr>
        <w:t>o</w:t>
      </w:r>
      <w:r w:rsidRPr="003B3476">
        <w:rPr>
          <w:lang w:val="fr-FR" w:eastAsia="fr-FR" w:bidi="fr-FR"/>
        </w:rPr>
        <w:t>pies, je citerai, sans prétendre être complet, celles des cartulaires de Wes</w:t>
      </w:r>
      <w:r w:rsidRPr="003B3476">
        <w:rPr>
          <w:lang w:val="fr-FR" w:eastAsia="fr-FR" w:bidi="fr-FR"/>
        </w:rPr>
        <w:t>t</w:t>
      </w:r>
      <w:r w:rsidRPr="003B3476">
        <w:rPr>
          <w:lang w:val="fr-FR" w:eastAsia="fr-FR" w:bidi="fr-FR"/>
        </w:rPr>
        <w:t xml:space="preserve">minster, British Museum </w:t>
      </w:r>
      <w:r w:rsidRPr="003B3476">
        <w:rPr>
          <w:bCs/>
          <w:i/>
        </w:rPr>
        <w:t>Cotton Faustina</w:t>
      </w:r>
      <w:r w:rsidRPr="003B3476">
        <w:rPr>
          <w:lang w:val="fr-FR" w:eastAsia="fr-FR" w:bidi="fr-FR"/>
        </w:rPr>
        <w:t xml:space="preserve"> A III, fol. 25 v° et 31 v°, </w:t>
      </w:r>
      <w:r w:rsidRPr="003B3476">
        <w:rPr>
          <w:bCs/>
          <w:i/>
        </w:rPr>
        <w:t>Titus</w:t>
      </w:r>
      <w:r w:rsidRPr="003B3476">
        <w:rPr>
          <w:lang w:val="fr-FR" w:eastAsia="fr-FR" w:bidi="fr-FR"/>
        </w:rPr>
        <w:t xml:space="preserve"> A VIII, fol. 9 et ll v° et pour le premier un acte notarié, de 1313 </w:t>
      </w:r>
      <w:r w:rsidRPr="003B3476">
        <w:rPr>
          <w:bCs/>
        </w:rPr>
        <w:t xml:space="preserve">à </w:t>
      </w:r>
      <w:r w:rsidRPr="003B3476">
        <w:rPr>
          <w:lang w:val="fr-FR" w:eastAsia="fr-FR" w:bidi="fr-FR"/>
        </w:rPr>
        <w:t xml:space="preserve">Westminster (chap. </w:t>
      </w:r>
      <w:r w:rsidRPr="003B3476">
        <w:rPr>
          <w:smallCaps/>
          <w:lang w:val="fr-FR" w:eastAsia="fr-FR" w:bidi="fr-FR"/>
        </w:rPr>
        <w:t>xxi</w:t>
      </w:r>
      <w:r w:rsidRPr="003B3476">
        <w:rPr>
          <w:lang w:val="fr-FR" w:eastAsia="fr-FR" w:bidi="fr-FR"/>
        </w:rPr>
        <w:t xml:space="preserve">). </w:t>
      </w:r>
      <w:r w:rsidRPr="003B3476">
        <w:rPr>
          <w:bCs/>
          <w:i/>
        </w:rPr>
        <w:t>Cf.</w:t>
      </w:r>
      <w:r w:rsidRPr="003B3476">
        <w:rPr>
          <w:lang w:val="fr-FR" w:eastAsia="fr-FR" w:bidi="fr-FR"/>
        </w:rPr>
        <w:t xml:space="preserve"> J. A. </w:t>
      </w:r>
      <w:r w:rsidRPr="003B3476">
        <w:rPr>
          <w:rStyle w:val="Notedebasdepage65ptPetitesmajuscules"/>
          <w:b w:val="0"/>
          <w:sz w:val="24"/>
        </w:rPr>
        <w:t xml:space="preserve">Robinson, </w:t>
      </w:r>
      <w:r w:rsidRPr="003B3476">
        <w:rPr>
          <w:bCs/>
          <w:i/>
        </w:rPr>
        <w:t>The history of Westminster Abbey by John Flete</w:t>
      </w:r>
      <w:r w:rsidRPr="003B3476">
        <w:rPr>
          <w:bCs/>
        </w:rPr>
        <w:t>,</w:t>
      </w:r>
      <w:r w:rsidRPr="003B3476">
        <w:rPr>
          <w:lang w:val="fr-FR" w:eastAsia="fr-FR" w:bidi="fr-FR"/>
        </w:rPr>
        <w:t xml:space="preserve"> p. 14. Je dois de précieux renseignements </w:t>
      </w:r>
      <w:r w:rsidRPr="003B3476">
        <w:rPr>
          <w:bCs/>
        </w:rPr>
        <w:t xml:space="preserve">à </w:t>
      </w:r>
      <w:r w:rsidRPr="003B3476">
        <w:rPr>
          <w:lang w:val="fr-FR" w:eastAsia="fr-FR" w:bidi="fr-FR"/>
        </w:rPr>
        <w:t>M. H. H. E. Craster, bibli</w:t>
      </w:r>
      <w:r w:rsidRPr="003B3476">
        <w:rPr>
          <w:lang w:val="fr-FR" w:eastAsia="fr-FR" w:bidi="fr-FR"/>
        </w:rPr>
        <w:t>o</w:t>
      </w:r>
      <w:r w:rsidRPr="003B3476">
        <w:rPr>
          <w:lang w:val="fr-FR" w:eastAsia="fr-FR" w:bidi="fr-FR"/>
        </w:rPr>
        <w:t xml:space="preserve">thécaire </w:t>
      </w:r>
      <w:r w:rsidRPr="003B3476">
        <w:rPr>
          <w:bCs/>
        </w:rPr>
        <w:t xml:space="preserve">à </w:t>
      </w:r>
      <w:r w:rsidRPr="003B3476">
        <w:rPr>
          <w:lang w:val="fr-FR" w:eastAsia="fr-FR" w:bidi="fr-FR"/>
        </w:rPr>
        <w:t>la Bodléienne. La confrontation du texte d’Osbert avec celui des deux diplômes prendrait ici trop de place ; et les ressemblances sont trop év</w:t>
      </w:r>
      <w:r w:rsidRPr="003B3476">
        <w:rPr>
          <w:lang w:val="fr-FR" w:eastAsia="fr-FR" w:bidi="fr-FR"/>
        </w:rPr>
        <w:t>i</w:t>
      </w:r>
      <w:r w:rsidRPr="003B3476">
        <w:rPr>
          <w:lang w:val="fr-FR" w:eastAsia="fr-FR" w:bidi="fr-FR"/>
        </w:rPr>
        <w:t xml:space="preserve">dentes pour qu’il ne suffise pas de renvoyer une fois pour toutes les lecteurs </w:t>
      </w:r>
      <w:r w:rsidRPr="003B3476">
        <w:rPr>
          <w:bCs/>
        </w:rPr>
        <w:t xml:space="preserve">à </w:t>
      </w:r>
      <w:r w:rsidRPr="003B3476">
        <w:rPr>
          <w:lang w:val="fr-FR" w:eastAsia="fr-FR" w:bidi="fr-FR"/>
        </w:rPr>
        <w:t xml:space="preserve">Kemble ou </w:t>
      </w:r>
      <w:r w:rsidRPr="003B3476">
        <w:rPr>
          <w:bCs/>
        </w:rPr>
        <w:t xml:space="preserve">à </w:t>
      </w:r>
      <w:r w:rsidRPr="003B3476">
        <w:rPr>
          <w:lang w:val="fr-FR" w:eastAsia="fr-FR" w:bidi="fr-FR"/>
        </w:rPr>
        <w:t xml:space="preserve">Dugdale. Il n’est pas jusqu’à l’orthographe </w:t>
      </w:r>
      <w:r w:rsidRPr="003B3476">
        <w:rPr>
          <w:bCs/>
          <w:i/>
        </w:rPr>
        <w:t>Otholie</w:t>
      </w:r>
      <w:r w:rsidRPr="003B3476">
        <w:rPr>
          <w:lang w:val="fr-FR" w:eastAsia="fr-FR" w:bidi="fr-FR"/>
        </w:rPr>
        <w:t xml:space="preserve"> (pour </w:t>
      </w:r>
      <w:r w:rsidRPr="003B3476">
        <w:rPr>
          <w:bCs/>
          <w:i/>
        </w:rPr>
        <w:t>Ath</w:t>
      </w:r>
      <w:r w:rsidRPr="003B3476">
        <w:rPr>
          <w:bCs/>
          <w:i/>
        </w:rPr>
        <w:t>a</w:t>
      </w:r>
      <w:r w:rsidRPr="003B3476">
        <w:rPr>
          <w:bCs/>
          <w:i/>
        </w:rPr>
        <w:t>lie</w:t>
      </w:r>
      <w:r w:rsidRPr="003B3476">
        <w:rPr>
          <w:lang w:val="fr-FR" w:eastAsia="fr-FR" w:bidi="fr-FR"/>
        </w:rPr>
        <w:t xml:space="preserve">) qui ne se trouve </w:t>
      </w:r>
      <w:r w:rsidRPr="003B3476">
        <w:rPr>
          <w:bCs/>
        </w:rPr>
        <w:t xml:space="preserve">à </w:t>
      </w:r>
      <w:r w:rsidRPr="003B3476">
        <w:rPr>
          <w:lang w:val="fr-FR" w:eastAsia="fr-FR" w:bidi="fr-FR"/>
        </w:rPr>
        <w:t>la fois dans le premier diplôme et chez Osbert. La su</w:t>
      </w:r>
      <w:r w:rsidRPr="003B3476">
        <w:rPr>
          <w:lang w:val="fr-FR" w:eastAsia="fr-FR" w:bidi="fr-FR"/>
        </w:rPr>
        <w:t>s</w:t>
      </w:r>
      <w:r w:rsidRPr="003B3476">
        <w:rPr>
          <w:lang w:val="fr-FR" w:eastAsia="fr-FR" w:bidi="fr-FR"/>
        </w:rPr>
        <w:t xml:space="preserve">cription et l’adresse du premier diplôme, presque textuellement reproduites par Osbert </w:t>
      </w:r>
      <w:r w:rsidRPr="003B3476">
        <w:rPr>
          <w:bCs/>
        </w:rPr>
        <w:t>(</w:t>
      </w:r>
      <w:r w:rsidRPr="003B3476">
        <w:rPr>
          <w:bCs/>
          <w:i/>
        </w:rPr>
        <w:t>infra</w:t>
      </w:r>
      <w:r w:rsidRPr="003B3476">
        <w:rPr>
          <w:bCs/>
        </w:rPr>
        <w:t>,</w:t>
      </w:r>
      <w:r w:rsidRPr="003B3476">
        <w:rPr>
          <w:lang w:val="fr-FR" w:eastAsia="fr-FR" w:bidi="fr-FR"/>
        </w:rPr>
        <w:t xml:space="preserve"> p. 993, qui les met dans la bouche même du roi font </w:t>
      </w:r>
      <w:r w:rsidRPr="003B3476">
        <w:rPr>
          <w:bCs/>
        </w:rPr>
        <w:t xml:space="preserve">à </w:t>
      </w:r>
      <w:r w:rsidRPr="003B3476">
        <w:rPr>
          <w:lang w:val="fr-FR" w:eastAsia="fr-FR" w:bidi="fr-FR"/>
        </w:rPr>
        <w:t>cette place le plus singulier effet.</w:t>
      </w:r>
    </w:p>
  </w:footnote>
  <w:footnote w:id="1160">
    <w:p w14:paraId="4275163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1028. « Hic ergo, ut Deo et sancto Petro referret gracias pro sibi cel</w:t>
      </w:r>
      <w:r w:rsidRPr="003B3476">
        <w:rPr>
          <w:lang w:val="fr-FR" w:eastAsia="fr-FR" w:bidi="fr-FR"/>
        </w:rPr>
        <w:t>i</w:t>
      </w:r>
      <w:r w:rsidRPr="003B3476">
        <w:rPr>
          <w:lang w:val="fr-FR" w:eastAsia="fr-FR" w:bidi="fr-FR"/>
        </w:rPr>
        <w:t>tus concesso honore et pace, Romam statuit ire. Quod ubi regni primatibus claruit, hinc inde turbatis tandem hoc consilium cunctis consulentibus co</w:t>
      </w:r>
      <w:r w:rsidRPr="003B3476">
        <w:rPr>
          <w:lang w:val="fr-FR" w:eastAsia="fr-FR" w:bidi="fr-FR"/>
        </w:rPr>
        <w:t>m</w:t>
      </w:r>
      <w:r w:rsidRPr="003B3476">
        <w:rPr>
          <w:lang w:val="fr-FR" w:eastAsia="fr-FR" w:bidi="fr-FR"/>
        </w:rPr>
        <w:t>placuit, ne tanto domino et pio patrie rege absente regnum noviter sedatum aliqua turbaretur hostilitate, remanens ex hiis sumptibus aliquem emendaret locum in eiusdem beati Petri honore. »</w:t>
      </w:r>
    </w:p>
  </w:footnote>
  <w:footnote w:id="1161">
    <w:p w14:paraId="20E16D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Osbert a également passé sous silence les aventures romanesques du comte et des prélats, dépouillés par des brigands dans la Campagne romaine.</w:t>
      </w:r>
    </w:p>
  </w:footnote>
  <w:footnote w:id="1162">
    <w:p w14:paraId="03450CA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voyage de 1050 est signalé par les chroniques d’Abingdon, Evesham et Peterborough (</w:t>
      </w:r>
      <w:r w:rsidRPr="003B3476">
        <w:rPr>
          <w:bCs/>
          <w:i/>
        </w:rPr>
        <w:t>Two Saxon Chronicles</w:t>
      </w:r>
      <w:r w:rsidRPr="003B3476">
        <w:rPr>
          <w:bCs/>
        </w:rPr>
        <w:t>,</w:t>
      </w:r>
      <w:r w:rsidRPr="003B3476">
        <w:rPr>
          <w:lang w:val="fr-FR" w:eastAsia="fr-FR" w:bidi="fr-FR"/>
        </w:rPr>
        <w:t xml:space="preserve"> t. I, p. 170-171) et par Florence de Worcester, </w:t>
      </w:r>
      <w:r w:rsidRPr="003B3476">
        <w:rPr>
          <w:bCs/>
          <w:i/>
        </w:rPr>
        <w:t>Chronicon</w:t>
      </w:r>
      <w:r w:rsidRPr="003B3476">
        <w:rPr>
          <w:bCs/>
        </w:rPr>
        <w:t xml:space="preserve">, </w:t>
      </w:r>
      <w:r w:rsidRPr="003B3476">
        <w:rPr>
          <w:lang w:val="fr-FR" w:eastAsia="fr-FR" w:bidi="fr-FR"/>
        </w:rPr>
        <w:t xml:space="preserve">éd. B. </w:t>
      </w:r>
      <w:r w:rsidRPr="003B3476">
        <w:rPr>
          <w:rStyle w:val="Notedebasdepage65ptPetitesmajuscules"/>
          <w:b w:val="0"/>
          <w:sz w:val="24"/>
        </w:rPr>
        <w:t xml:space="preserve">Thorpe </w:t>
      </w:r>
      <w:r w:rsidRPr="003B3476">
        <w:rPr>
          <w:bCs/>
        </w:rPr>
        <w:t>(</w:t>
      </w:r>
      <w:r w:rsidRPr="003B3476">
        <w:rPr>
          <w:bCs/>
          <w:i/>
        </w:rPr>
        <w:t>English Historical Society</w:t>
      </w:r>
      <w:r w:rsidRPr="003B3476">
        <w:rPr>
          <w:bCs/>
        </w:rPr>
        <w:t>),</w:t>
      </w:r>
      <w:r w:rsidRPr="003B3476">
        <w:rPr>
          <w:lang w:val="fr-FR" w:eastAsia="fr-FR" w:bidi="fr-FR"/>
        </w:rPr>
        <w:t xml:space="preserve"> I, p. 204. Il y a sur la date des incertitudes que le texte cité </w:t>
      </w:r>
      <w:r w:rsidRPr="003B3476">
        <w:rPr>
          <w:bCs/>
          <w:i/>
        </w:rPr>
        <w:t>infra</w:t>
      </w:r>
      <w:r w:rsidRPr="003B3476">
        <w:rPr>
          <w:lang w:val="fr-FR" w:eastAsia="fr-FR" w:bidi="fr-FR"/>
        </w:rPr>
        <w:t>, p. 976, n. 1, doit diss</w:t>
      </w:r>
      <w:r w:rsidRPr="003B3476">
        <w:rPr>
          <w:lang w:val="fr-FR" w:eastAsia="fr-FR" w:bidi="fr-FR"/>
        </w:rPr>
        <w:t>i</w:t>
      </w:r>
      <w:r w:rsidRPr="003B3476">
        <w:rPr>
          <w:lang w:val="fr-FR" w:eastAsia="fr-FR" w:bidi="fr-FR"/>
        </w:rPr>
        <w:t xml:space="preserve">per. Sur le voyage de 1061 </w:t>
      </w:r>
      <w:r w:rsidRPr="003B3476">
        <w:rPr>
          <w:bCs/>
          <w:i/>
        </w:rPr>
        <w:t>cf.</w:t>
      </w:r>
      <w:r w:rsidRPr="003B3476">
        <w:rPr>
          <w:lang w:val="fr-FR" w:eastAsia="fr-FR" w:bidi="fr-FR"/>
        </w:rPr>
        <w:t xml:space="preserve"> notamment une bulle de Nicolas II pour Do</w:t>
      </w:r>
      <w:r w:rsidRPr="003B3476">
        <w:rPr>
          <w:lang w:val="fr-FR" w:eastAsia="fr-FR" w:bidi="fr-FR"/>
        </w:rPr>
        <w:t>r</w:t>
      </w:r>
      <w:r w:rsidRPr="003B3476">
        <w:rPr>
          <w:lang w:val="fr-FR" w:eastAsia="fr-FR" w:bidi="fr-FR"/>
        </w:rPr>
        <w:t xml:space="preserve">chester, </w:t>
      </w:r>
      <w:r w:rsidRPr="003B3476">
        <w:rPr>
          <w:rStyle w:val="Notedebasdepage65ptPetitesmajuscules"/>
          <w:b w:val="0"/>
          <w:sz w:val="24"/>
        </w:rPr>
        <w:t xml:space="preserve">J\ffé-Wattenbach, </w:t>
      </w:r>
      <w:r w:rsidRPr="003B3476">
        <w:rPr>
          <w:lang w:val="fr-FR" w:eastAsia="fr-FR" w:bidi="fr-FR"/>
        </w:rPr>
        <w:t xml:space="preserve">n° 4461 ; le fragment d’un écrit composé par un des envoyés, l’évêque Gisa, J. </w:t>
      </w:r>
      <w:r w:rsidRPr="003B3476">
        <w:rPr>
          <w:rStyle w:val="Notedebasdepage65ptPetitesmajuscules"/>
          <w:b w:val="0"/>
          <w:sz w:val="24"/>
        </w:rPr>
        <w:t xml:space="preserve">Hunter, </w:t>
      </w:r>
      <w:r w:rsidRPr="003B3476">
        <w:rPr>
          <w:bCs/>
        </w:rPr>
        <w:t>Ecclesiastical Documents</w:t>
      </w:r>
      <w:r w:rsidRPr="003B3476">
        <w:rPr>
          <w:lang w:val="fr-FR" w:eastAsia="fr-FR" w:bidi="fr-FR"/>
        </w:rPr>
        <w:t xml:space="preserve"> (Camden Society), 1840, p. 16 ; le Biographe, p. 410-412 ; </w:t>
      </w:r>
      <w:r w:rsidRPr="003B3476">
        <w:rPr>
          <w:rStyle w:val="Notedebasdepage65ptPetitesmajuscules"/>
          <w:b w:val="0"/>
          <w:sz w:val="24"/>
        </w:rPr>
        <w:t xml:space="preserve">Guill. de Malmesbury, </w:t>
      </w:r>
      <w:r w:rsidRPr="003B3476">
        <w:rPr>
          <w:bCs/>
          <w:i/>
        </w:rPr>
        <w:t>Gesta pontificum</w:t>
      </w:r>
      <w:r w:rsidRPr="003B3476">
        <w:rPr>
          <w:bCs/>
        </w:rPr>
        <w:t>,</w:t>
      </w:r>
      <w:r w:rsidRPr="003B3476">
        <w:rPr>
          <w:lang w:val="fr-FR" w:eastAsia="fr-FR" w:bidi="fr-FR"/>
        </w:rPr>
        <w:t xml:space="preserve"> § 115, p. 251 et </w:t>
      </w:r>
      <w:r w:rsidRPr="003B3476">
        <w:rPr>
          <w:bCs/>
        </w:rPr>
        <w:t>Vita Wulfstani,</w:t>
      </w:r>
      <w:r w:rsidRPr="003B3476">
        <w:rPr>
          <w:lang w:val="fr-FR" w:eastAsia="fr-FR" w:bidi="fr-FR"/>
        </w:rPr>
        <w:t xml:space="preserve"> 1. I, c. X ; pour les autres sources et la littérature, </w:t>
      </w:r>
      <w:r w:rsidRPr="003B3476">
        <w:rPr>
          <w:bCs/>
          <w:i/>
        </w:rPr>
        <w:t>Two Saxon Chronicles</w:t>
      </w:r>
      <w:r w:rsidRPr="003B3476">
        <w:rPr>
          <w:lang w:val="fr-FR" w:eastAsia="fr-FR" w:bidi="fr-FR"/>
        </w:rPr>
        <w:t>, t. II, p. 249-250.</w:t>
      </w:r>
    </w:p>
  </w:footnote>
  <w:footnote w:id="1163">
    <w:p w14:paraId="0B032DA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le voyage de 1061, une allusion contenue dans un traité de saint Pierre Damien a été signalée par </w:t>
      </w:r>
      <w:r w:rsidRPr="003B3476">
        <w:rPr>
          <w:bCs/>
        </w:rPr>
        <w:t xml:space="preserve">M. </w:t>
      </w:r>
      <w:r w:rsidRPr="003B3476">
        <w:rPr>
          <w:bCs/>
          <w:smallCaps/>
        </w:rPr>
        <w:t>Plummer</w:t>
      </w:r>
      <w:r w:rsidRPr="003B3476">
        <w:rPr>
          <w:bCs/>
        </w:rPr>
        <w:t xml:space="preserve">, </w:t>
      </w:r>
      <w:r w:rsidRPr="003B3476">
        <w:rPr>
          <w:rStyle w:val="Notedebasdepage6ptItaliquePetitesmajuscules"/>
          <w:b w:val="0"/>
          <w:smallCaps w:val="0"/>
          <w:sz w:val="24"/>
        </w:rPr>
        <w:t xml:space="preserve">Two </w:t>
      </w:r>
      <w:r w:rsidRPr="003B3476">
        <w:rPr>
          <w:bCs/>
          <w:i/>
        </w:rPr>
        <w:t>Saxon Chronicles</w:t>
      </w:r>
      <w:r w:rsidRPr="003B3476">
        <w:rPr>
          <w:bCs/>
        </w:rPr>
        <w:t>,</w:t>
      </w:r>
      <w:r w:rsidRPr="003B3476">
        <w:rPr>
          <w:lang w:val="fr-FR" w:eastAsia="fr-FR" w:bidi="fr-FR"/>
        </w:rPr>
        <w:t xml:space="preserve"> t. II, p. 250 ; pour le voyage de 1050, </w:t>
      </w:r>
      <w:r w:rsidRPr="003B3476">
        <w:rPr>
          <w:bCs/>
          <w:i/>
        </w:rPr>
        <w:t>cf.</w:t>
      </w:r>
      <w:r w:rsidRPr="003B3476">
        <w:rPr>
          <w:lang w:val="fr-FR" w:eastAsia="fr-FR" w:bidi="fr-FR"/>
        </w:rPr>
        <w:t xml:space="preserve"> la note suivante.</w:t>
      </w:r>
    </w:p>
  </w:footnote>
  <w:footnote w:id="1164">
    <w:p w14:paraId="13FBF28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Bulle de canonisation de saint Gérard de Toul </w:t>
      </w:r>
      <w:r w:rsidRPr="003B3476">
        <w:rPr>
          <w:rStyle w:val="Notedebasdepage65ptPetitesmajuscules"/>
          <w:b w:val="0"/>
          <w:sz w:val="24"/>
        </w:rPr>
        <w:t xml:space="preserve">(Jaffé-Wattenbæh, </w:t>
      </w:r>
      <w:r w:rsidRPr="003B3476">
        <w:rPr>
          <w:lang w:val="fr-FR" w:eastAsia="fr-FR" w:bidi="fr-FR"/>
        </w:rPr>
        <w:t xml:space="preserve">n° 4219, 2 mai 1050) ; les éditeurs donnent parmi les membres du synode, signataires de l’acte, </w:t>
      </w:r>
      <w:r w:rsidRPr="003B3476">
        <w:rPr>
          <w:bCs/>
        </w:rPr>
        <w:t>Aldredus Wigradiensis episcopus ;</w:t>
      </w:r>
      <w:r w:rsidRPr="003B3476">
        <w:rPr>
          <w:lang w:val="fr-FR" w:eastAsia="fr-FR" w:bidi="fr-FR"/>
        </w:rPr>
        <w:t xml:space="preserve"> il ne faut pas hésiter à lire </w:t>
      </w:r>
      <w:r w:rsidRPr="003B3476">
        <w:rPr>
          <w:bCs/>
          <w:i/>
        </w:rPr>
        <w:t>W</w:t>
      </w:r>
      <w:r w:rsidRPr="003B3476">
        <w:rPr>
          <w:bCs/>
          <w:i/>
        </w:rPr>
        <w:t>i</w:t>
      </w:r>
      <w:r w:rsidRPr="003B3476">
        <w:rPr>
          <w:bCs/>
          <w:i/>
        </w:rPr>
        <w:t>gornensis</w:t>
      </w:r>
      <w:r w:rsidRPr="003B3476">
        <w:rPr>
          <w:bCs/>
        </w:rPr>
        <w:t>.</w:t>
      </w:r>
      <w:r w:rsidRPr="003B3476">
        <w:rPr>
          <w:lang w:val="fr-FR" w:eastAsia="fr-FR" w:bidi="fr-FR"/>
        </w:rPr>
        <w:t xml:space="preserve"> À côté d’Eldred figure </w:t>
      </w:r>
      <w:r w:rsidRPr="003B3476">
        <w:rPr>
          <w:bCs/>
          <w:i/>
        </w:rPr>
        <w:t>Hermanus Corbinensis episcopus </w:t>
      </w:r>
      <w:r w:rsidRPr="003B3476">
        <w:rPr>
          <w:bCs/>
        </w:rPr>
        <w:t>;</w:t>
      </w:r>
      <w:r w:rsidRPr="003B3476">
        <w:rPr>
          <w:lang w:val="fr-FR" w:eastAsia="fr-FR" w:bidi="fr-FR"/>
        </w:rPr>
        <w:t xml:space="preserve"> je ne sais quel est le siège épiscopal désigné par </w:t>
      </w:r>
      <w:r w:rsidRPr="003B3476">
        <w:rPr>
          <w:bCs/>
          <w:i/>
        </w:rPr>
        <w:t>Corbinensis </w:t>
      </w:r>
      <w:r w:rsidRPr="003B3476">
        <w:rPr>
          <w:bCs/>
        </w:rPr>
        <w:t>;</w:t>
      </w:r>
      <w:r w:rsidRPr="003B3476">
        <w:rPr>
          <w:lang w:val="fr-FR" w:eastAsia="fr-FR" w:bidi="fr-FR"/>
        </w:rPr>
        <w:t xml:space="preserve"> il doit y avoir là aussi une faute ; mais cet Hermann est-il notre évêque du Wiltshire ? Je n’oserais l’affirmer. Sur le synode, voir </w:t>
      </w:r>
      <w:r w:rsidRPr="003B3476">
        <w:rPr>
          <w:rStyle w:val="Notedebasdepage65ptPetitesmajuscules"/>
          <w:b w:val="0"/>
          <w:sz w:val="24"/>
        </w:rPr>
        <w:t xml:space="preserve">Hefelé, </w:t>
      </w:r>
      <w:r w:rsidRPr="003B3476">
        <w:rPr>
          <w:bCs/>
          <w:i/>
        </w:rPr>
        <w:t>Histoire des conciles</w:t>
      </w:r>
      <w:r w:rsidRPr="003B3476">
        <w:rPr>
          <w:lang w:val="fr-FR" w:eastAsia="fr-FR" w:bidi="fr-FR"/>
        </w:rPr>
        <w:t xml:space="preserve">, traduction dom </w:t>
      </w:r>
      <w:r w:rsidRPr="003B3476">
        <w:rPr>
          <w:rStyle w:val="Notedebasdepage65ptPetitesmajuscules"/>
          <w:b w:val="0"/>
          <w:sz w:val="24"/>
        </w:rPr>
        <w:t xml:space="preserve">Leclerc., </w:t>
      </w:r>
      <w:r w:rsidRPr="003B3476">
        <w:rPr>
          <w:lang w:val="fr-FR" w:eastAsia="fr-FR" w:bidi="fr-FR"/>
        </w:rPr>
        <w:t xml:space="preserve">t. IV, 2, p. 1040 et suiv. ; l’indication donnée </w:t>
      </w:r>
      <w:r w:rsidRPr="003B3476">
        <w:rPr>
          <w:bCs/>
          <w:i/>
        </w:rPr>
        <w:t>ibid</w:t>
      </w:r>
      <w:r w:rsidRPr="003B3476">
        <w:rPr>
          <w:lang w:val="fr-FR" w:eastAsia="fr-FR" w:bidi="fr-FR"/>
        </w:rPr>
        <w:t>., p. 1069, est e</w:t>
      </w:r>
      <w:r w:rsidRPr="003B3476">
        <w:rPr>
          <w:lang w:val="fr-FR" w:eastAsia="fr-FR" w:bidi="fr-FR"/>
        </w:rPr>
        <w:t>r</w:t>
      </w:r>
      <w:r w:rsidRPr="003B3476">
        <w:rPr>
          <w:lang w:val="fr-FR" w:eastAsia="fr-FR" w:bidi="fr-FR"/>
        </w:rPr>
        <w:t>ronée.</w:t>
      </w:r>
    </w:p>
  </w:footnote>
  <w:footnote w:id="1165">
    <w:p w14:paraId="4393399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La première ambassade, celle de 1050, comprenait, au dire d’Osbert, outre les deux évêques — Eldred de Worcester et Hermann de Wiltshire — deux abbés. Osbert « propter uocabulorum barbariem » s’est refusé à donner leurs noms (</w:t>
      </w:r>
      <w:r w:rsidRPr="003B3476">
        <w:rPr>
          <w:i/>
          <w:lang w:val="fr-FR" w:eastAsia="fr-FR" w:bidi="fr-FR"/>
        </w:rPr>
        <w:t>cf</w:t>
      </w:r>
      <w:r w:rsidRPr="003B3476">
        <w:rPr>
          <w:lang w:val="fr-FR" w:eastAsia="fr-FR" w:bidi="fr-FR"/>
        </w:rPr>
        <w:t xml:space="preserve">. </w:t>
      </w:r>
      <w:r w:rsidRPr="003B3476">
        <w:rPr>
          <w:bCs/>
          <w:i/>
        </w:rPr>
        <w:t>infra</w:t>
      </w:r>
      <w:r w:rsidRPr="003B3476">
        <w:rPr>
          <w:lang w:val="fr-FR" w:eastAsia="fr-FR" w:bidi="fr-FR"/>
        </w:rPr>
        <w:t xml:space="preserve">, p. 978), mais, comme ils paraissent aussi dans le premier pseudo-diplôme de saint Édouard </w:t>
      </w:r>
      <w:r w:rsidRPr="003B3476">
        <w:rPr>
          <w:rStyle w:val="Notedebasdepage65ptPetitesmajuscules"/>
          <w:b w:val="0"/>
          <w:sz w:val="24"/>
        </w:rPr>
        <w:t xml:space="preserve">(Kemble, </w:t>
      </w:r>
      <w:r w:rsidRPr="003B3476">
        <w:rPr>
          <w:lang w:val="fr-FR" w:eastAsia="fr-FR" w:bidi="fr-FR"/>
        </w:rPr>
        <w:t>p. 174), dont le rédacteur n’a pas eu le même scrupule de purisme, nous pouvons aisément les identifier : ils s’appelaient Wulfric et Aelfwin ; nul doute qu’il ne faille reconnaître en eux les abbés de Saint-Augustin de Canterbury et de Ramsey, qui portaient respe</w:t>
      </w:r>
      <w:r w:rsidRPr="003B3476">
        <w:rPr>
          <w:lang w:val="fr-FR" w:eastAsia="fr-FR" w:bidi="fr-FR"/>
        </w:rPr>
        <w:t>c</w:t>
      </w:r>
      <w:r w:rsidRPr="003B3476">
        <w:rPr>
          <w:lang w:val="fr-FR" w:eastAsia="fr-FR" w:bidi="fr-FR"/>
        </w:rPr>
        <w:t>tivement ces deux noms. Mais Wulfric et Aelfwin s’en furent-ils vraiment à Rome avec les deux évêques ? Il semble bien que la réponse doive être nég</w:t>
      </w:r>
      <w:r w:rsidRPr="003B3476">
        <w:rPr>
          <w:lang w:val="fr-FR" w:eastAsia="fr-FR" w:bidi="fr-FR"/>
        </w:rPr>
        <w:t>a</w:t>
      </w:r>
      <w:r w:rsidRPr="003B3476">
        <w:rPr>
          <w:lang w:val="fr-FR" w:eastAsia="fr-FR" w:bidi="fr-FR"/>
        </w:rPr>
        <w:t>tive. Le rédacteur du diplôme et Osbert à sa suite ont commis ici une inexact</w:t>
      </w:r>
      <w:r w:rsidRPr="003B3476">
        <w:rPr>
          <w:lang w:val="fr-FR" w:eastAsia="fr-FR" w:bidi="fr-FR"/>
        </w:rPr>
        <w:t>i</w:t>
      </w:r>
      <w:r w:rsidRPr="003B3476">
        <w:rPr>
          <w:lang w:val="fr-FR" w:eastAsia="fr-FR" w:bidi="fr-FR"/>
        </w:rPr>
        <w:t>tude, volontaire ou non. Les chroniques anglo-saxonnes ne mentionnent pas les deux abbés parmi les membres de l’ambassade romaine. En revanche les chroniques d’Evesham et de Peterborough signalent leur présence au célèbre concile de Reims, tenu par Léon IX non pas en 1050, comme le dit la chron</w:t>
      </w:r>
      <w:r w:rsidRPr="003B3476">
        <w:rPr>
          <w:lang w:val="fr-FR" w:eastAsia="fr-FR" w:bidi="fr-FR"/>
        </w:rPr>
        <w:t>i</w:t>
      </w:r>
      <w:r w:rsidRPr="003B3476">
        <w:rPr>
          <w:lang w:val="fr-FR" w:eastAsia="fr-FR" w:bidi="fr-FR"/>
        </w:rPr>
        <w:t xml:space="preserve">que d’Evesham (éd. </w:t>
      </w:r>
      <w:r w:rsidRPr="003B3476">
        <w:rPr>
          <w:rStyle w:val="Notedebasdepage65ptPetitesmajuscules"/>
          <w:b w:val="0"/>
          <w:sz w:val="24"/>
        </w:rPr>
        <w:t>Plu</w:t>
      </w:r>
      <w:r w:rsidRPr="003B3476">
        <w:rPr>
          <w:rStyle w:val="Notedebasdepage65ptPetitesmajuscules"/>
          <w:b w:val="0"/>
          <w:sz w:val="24"/>
        </w:rPr>
        <w:t>m</w:t>
      </w:r>
      <w:r w:rsidRPr="003B3476">
        <w:rPr>
          <w:rStyle w:val="Notedebasdepage65ptPetitesmajuscules"/>
          <w:b w:val="0"/>
          <w:sz w:val="24"/>
        </w:rPr>
        <w:t xml:space="preserve">mer, </w:t>
      </w:r>
      <w:r w:rsidRPr="003B3476">
        <w:rPr>
          <w:lang w:val="fr-FR" w:eastAsia="fr-FR" w:bidi="fr-FR"/>
        </w:rPr>
        <w:t xml:space="preserve">t. I, p. 170), moins encore en 1046, comme le dit celle de Peterborough </w:t>
      </w:r>
      <w:r w:rsidRPr="003B3476">
        <w:rPr>
          <w:bCs/>
        </w:rPr>
        <w:t>(</w:t>
      </w:r>
      <w:r w:rsidRPr="003B3476">
        <w:rPr>
          <w:bCs/>
          <w:i/>
        </w:rPr>
        <w:t>ibid</w:t>
      </w:r>
      <w:r w:rsidRPr="003B3476">
        <w:rPr>
          <w:bCs/>
        </w:rPr>
        <w:t>.,</w:t>
      </w:r>
      <w:r w:rsidRPr="003B3476">
        <w:rPr>
          <w:lang w:val="fr-FR" w:eastAsia="fr-FR" w:bidi="fr-FR"/>
        </w:rPr>
        <w:t xml:space="preserve"> p. 167) mais en octobre 1049 ; ce renseign</w:t>
      </w:r>
      <w:r w:rsidRPr="003B3476">
        <w:rPr>
          <w:lang w:val="fr-FR" w:eastAsia="fr-FR" w:bidi="fr-FR"/>
        </w:rPr>
        <w:t>e</w:t>
      </w:r>
      <w:r w:rsidRPr="003B3476">
        <w:rPr>
          <w:lang w:val="fr-FR" w:eastAsia="fr-FR" w:bidi="fr-FR"/>
        </w:rPr>
        <w:t>ment est corroboré par l’opuscule dans lequel un contemporain, le moine r</w:t>
      </w:r>
      <w:r w:rsidRPr="003B3476">
        <w:rPr>
          <w:lang w:val="fr-FR" w:eastAsia="fr-FR" w:bidi="fr-FR"/>
        </w:rPr>
        <w:t>é</w:t>
      </w:r>
      <w:r w:rsidRPr="003B3476">
        <w:rPr>
          <w:lang w:val="fr-FR" w:eastAsia="fr-FR" w:bidi="fr-FR"/>
        </w:rPr>
        <w:t xml:space="preserve">mois Anselme, décrivit l’assemblée de Reims : </w:t>
      </w:r>
      <w:r w:rsidRPr="003B3476">
        <w:rPr>
          <w:rStyle w:val="Notedebasdepage65ptPetitesmajuscules"/>
          <w:b w:val="0"/>
          <w:sz w:val="24"/>
        </w:rPr>
        <w:t xml:space="preserve">Mabillon, </w:t>
      </w:r>
      <w:r w:rsidRPr="003B3476">
        <w:rPr>
          <w:bCs/>
          <w:i/>
        </w:rPr>
        <w:t>Ad. SS. ord. S. B</w:t>
      </w:r>
      <w:r w:rsidRPr="003B3476">
        <w:rPr>
          <w:bCs/>
          <w:i/>
        </w:rPr>
        <w:t>e</w:t>
      </w:r>
      <w:r w:rsidRPr="003B3476">
        <w:rPr>
          <w:bCs/>
          <w:i/>
        </w:rPr>
        <w:t>ned</w:t>
      </w:r>
      <w:r w:rsidRPr="003B3476">
        <w:rPr>
          <w:bCs/>
        </w:rPr>
        <w:t>. VI,</w:t>
      </w:r>
      <w:r w:rsidRPr="003B3476">
        <w:rPr>
          <w:lang w:val="fr-FR" w:eastAsia="fr-FR" w:bidi="fr-FR"/>
        </w:rPr>
        <w:t xml:space="preserve"> 1, p. 633. La conf</w:t>
      </w:r>
      <w:r w:rsidRPr="003B3476">
        <w:rPr>
          <w:lang w:val="fr-FR" w:eastAsia="fr-FR" w:bidi="fr-FR"/>
        </w:rPr>
        <w:t>u</w:t>
      </w:r>
      <w:r w:rsidRPr="003B3476">
        <w:rPr>
          <w:lang w:val="fr-FR" w:eastAsia="fr-FR" w:bidi="fr-FR"/>
        </w:rPr>
        <w:t>sion entre deux conciles — celui de Reims et celui de Rome — convoqués à peu de mois d’intervalle par le même pape, était a</w:t>
      </w:r>
      <w:r w:rsidRPr="003B3476">
        <w:rPr>
          <w:lang w:val="fr-FR" w:eastAsia="fr-FR" w:bidi="fr-FR"/>
        </w:rPr>
        <w:t>i</w:t>
      </w:r>
      <w:r w:rsidRPr="003B3476">
        <w:rPr>
          <w:lang w:val="fr-FR" w:eastAsia="fr-FR" w:bidi="fr-FR"/>
        </w:rPr>
        <w:t>sée, surtout pour un faussa</w:t>
      </w:r>
      <w:r w:rsidRPr="003B3476">
        <w:rPr>
          <w:lang w:val="fr-FR" w:eastAsia="fr-FR" w:bidi="fr-FR"/>
        </w:rPr>
        <w:t>i</w:t>
      </w:r>
      <w:r w:rsidRPr="003B3476">
        <w:rPr>
          <w:lang w:val="fr-FR" w:eastAsia="fr-FR" w:bidi="fr-FR"/>
        </w:rPr>
        <w:t>re qui cherchait à grouper autour de Westminster restauré le plus grand no</w:t>
      </w:r>
      <w:r w:rsidRPr="003B3476">
        <w:rPr>
          <w:lang w:val="fr-FR" w:eastAsia="fr-FR" w:bidi="fr-FR"/>
        </w:rPr>
        <w:t>m</w:t>
      </w:r>
      <w:r w:rsidRPr="003B3476">
        <w:rPr>
          <w:lang w:val="fr-FR" w:eastAsia="fr-FR" w:bidi="fr-FR"/>
        </w:rPr>
        <w:t>bre possible de hauts patrons ecclésiastiques.</w:t>
      </w:r>
    </w:p>
  </w:footnote>
  <w:footnote w:id="1166">
    <w:p w14:paraId="02150E5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Kemble, </w:t>
      </w:r>
      <w:r w:rsidRPr="003B3476">
        <w:rPr>
          <w:lang w:val="fr-FR" w:eastAsia="fr-FR" w:bidi="fr-FR"/>
        </w:rPr>
        <w:t xml:space="preserve">t. IV, p. 173 ; </w:t>
      </w:r>
      <w:r w:rsidRPr="003B3476">
        <w:rPr>
          <w:rStyle w:val="Notedebasdepage65ptPetitesmajuscules"/>
          <w:b w:val="0"/>
          <w:sz w:val="24"/>
        </w:rPr>
        <w:t xml:space="preserve">Dugdale, </w:t>
      </w:r>
      <w:r w:rsidRPr="003B3476">
        <w:rPr>
          <w:lang w:val="fr-FR" w:eastAsia="fr-FR" w:bidi="fr-FR"/>
        </w:rPr>
        <w:t>t. I, p. 293.</w:t>
      </w:r>
    </w:p>
  </w:footnote>
  <w:footnote w:id="1167">
    <w:p w14:paraId="7CD2FAF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On peut du reste se demander si cet original, ou pseudo-original, a jamais existé. De même pour la bulle de Nicolas II. Dans le cartulaire de Westmin</w:t>
      </w:r>
      <w:r w:rsidRPr="003B3476">
        <w:rPr>
          <w:lang w:val="fr-FR" w:eastAsia="fr-FR" w:bidi="fr-FR"/>
        </w:rPr>
        <w:t>s</w:t>
      </w:r>
      <w:r w:rsidRPr="003B3476">
        <w:rPr>
          <w:lang w:val="fr-FR" w:eastAsia="fr-FR" w:bidi="fr-FR"/>
        </w:rPr>
        <w:t>ter, du temps d’Édouard I</w:t>
      </w:r>
      <w:r w:rsidRPr="003B3476">
        <w:rPr>
          <w:vertAlign w:val="superscript"/>
          <w:lang w:val="fr-FR" w:eastAsia="fr-FR" w:bidi="fr-FR"/>
        </w:rPr>
        <w:t>er</w:t>
      </w:r>
      <w:r w:rsidRPr="003B3476">
        <w:rPr>
          <w:lang w:val="fr-FR" w:eastAsia="fr-FR" w:bidi="fr-FR"/>
        </w:rPr>
        <w:t xml:space="preserve">, conservé au Musée Britannique sous la cote </w:t>
      </w:r>
      <w:r w:rsidRPr="003B3476">
        <w:rPr>
          <w:bCs/>
          <w:i/>
        </w:rPr>
        <w:t>Co</w:t>
      </w:r>
      <w:r w:rsidRPr="003B3476">
        <w:rPr>
          <w:bCs/>
          <w:i/>
        </w:rPr>
        <w:t>t</w:t>
      </w:r>
      <w:r w:rsidRPr="003B3476">
        <w:rPr>
          <w:bCs/>
          <w:i/>
        </w:rPr>
        <w:t>ton Faustina A</w:t>
      </w:r>
      <w:r w:rsidRPr="003B3476">
        <w:rPr>
          <w:i/>
          <w:lang w:val="fr-FR" w:eastAsia="fr-FR" w:bidi="fr-FR"/>
        </w:rPr>
        <w:t xml:space="preserve"> </w:t>
      </w:r>
      <w:r w:rsidRPr="003B3476">
        <w:rPr>
          <w:lang w:val="fr-FR" w:eastAsia="fr-FR" w:bidi="fr-FR"/>
        </w:rPr>
        <w:t>III, on lit au fol. 149, en tête de la section consacrée aux priv</w:t>
      </w:r>
      <w:r w:rsidRPr="003B3476">
        <w:rPr>
          <w:lang w:val="fr-FR" w:eastAsia="fr-FR" w:bidi="fr-FR"/>
        </w:rPr>
        <w:t>i</w:t>
      </w:r>
      <w:r w:rsidRPr="003B3476">
        <w:rPr>
          <w:lang w:val="fr-FR" w:eastAsia="fr-FR" w:bidi="fr-FR"/>
        </w:rPr>
        <w:t xml:space="preserve">lèges pontificaux, la note suivante : « Nicholaus et Léo suscipiunt ecclesiam beati Petri Westmonasteriensis sub proteccione sedis apostolice, set hec duo Privilégia rémanent in custodia domini Regis : quarum note reperiri poterunt in Cartis sancti Regis Edwardi. » Ainsi on ne connaissait à Westminster les deux bulles que par les copies données dans les deux diplômes royaux. Le compilateur du cartulaire supposait que les originaux se trouvaient dans les archives royales ; il est permis de penser que cette supposition n’avait d’autre fondement que l’idée, conçue </w:t>
      </w:r>
      <w:r w:rsidRPr="003B3476">
        <w:rPr>
          <w:bCs/>
          <w:i/>
        </w:rPr>
        <w:t>a priori</w:t>
      </w:r>
      <w:r w:rsidRPr="003B3476">
        <w:rPr>
          <w:bCs/>
        </w:rPr>
        <w:t>,</w:t>
      </w:r>
      <w:r w:rsidRPr="003B3476">
        <w:rPr>
          <w:lang w:val="fr-FR" w:eastAsia="fr-FR" w:bidi="fr-FR"/>
        </w:rPr>
        <w:t xml:space="preserve"> que ces pièces devaient se trouver quelque part. Selon toute vraisemblance, le faussaire à qui, comme on va le voir, nous devons les bulles comme les diplômes ne se donna pas la peine de confectionner pour les bulles des pseudo-originaux distincts ; il se contenta d’en insérer le texte, inventé par lui, dans les diplômes.</w:t>
      </w:r>
    </w:p>
  </w:footnote>
  <w:footnote w:id="1168">
    <w:p w14:paraId="44F3934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t xml:space="preserve"> </w:t>
      </w:r>
      <w:r w:rsidRPr="003B3476">
        <w:rPr>
          <w:rStyle w:val="Notedebasdepage565ptNonItalique"/>
          <w:b w:val="0"/>
          <w:i w:val="0"/>
          <w:iCs w:val="0"/>
          <w:sz w:val="24"/>
        </w:rPr>
        <w:t xml:space="preserve">Plummer, </w:t>
      </w:r>
      <w:r w:rsidRPr="003B3476">
        <w:rPr>
          <w:rStyle w:val="Notedebasdepage56ptPetitesmajuscules"/>
          <w:b w:val="0"/>
          <w:smallCaps w:val="0"/>
          <w:sz w:val="24"/>
        </w:rPr>
        <w:t>Two</w:t>
      </w:r>
      <w:r w:rsidRPr="003B3476">
        <w:rPr>
          <w:rStyle w:val="Notedebasdepage56ptPetitesmajuscules"/>
          <w:b w:val="0"/>
          <w:sz w:val="24"/>
        </w:rPr>
        <w:t xml:space="preserve"> </w:t>
      </w:r>
      <w:r w:rsidRPr="003B3476">
        <w:rPr>
          <w:i/>
          <w:lang w:val="fr-FR" w:eastAsia="fr-FR" w:bidi="fr-FR"/>
        </w:rPr>
        <w:t>Saxon Chronicles</w:t>
      </w:r>
      <w:r w:rsidRPr="003B3476">
        <w:t xml:space="preserve">, t. II, </w:t>
      </w:r>
      <w:r w:rsidRPr="003B3476">
        <w:rPr>
          <w:rStyle w:val="Notedebasdepage565ptNonItalique"/>
          <w:b w:val="0"/>
          <w:i w:val="0"/>
          <w:iCs w:val="0"/>
          <w:sz w:val="24"/>
        </w:rPr>
        <w:t xml:space="preserve">p. </w:t>
      </w:r>
      <w:r w:rsidRPr="003B3476">
        <w:t xml:space="preserve">252 ; J. Armitage </w:t>
      </w:r>
      <w:r w:rsidRPr="003B3476">
        <w:rPr>
          <w:rStyle w:val="Notedebasdepage565ptNonItalique"/>
          <w:b w:val="0"/>
          <w:i w:val="0"/>
          <w:iCs w:val="0"/>
          <w:smallCaps/>
          <w:sz w:val="24"/>
        </w:rPr>
        <w:t>Robinson</w:t>
      </w:r>
      <w:r w:rsidRPr="003B3476">
        <w:rPr>
          <w:rStyle w:val="Notedebasdepage565ptNonItalique"/>
          <w:b w:val="0"/>
          <w:i w:val="0"/>
          <w:iCs w:val="0"/>
          <w:sz w:val="24"/>
        </w:rPr>
        <w:t xml:space="preserve">, </w:t>
      </w:r>
      <w:r w:rsidRPr="003B3476">
        <w:rPr>
          <w:i/>
          <w:lang w:val="fr-FR" w:eastAsia="fr-FR" w:bidi="fr-FR"/>
        </w:rPr>
        <w:t>Flete’s History of Westminster Abbey</w:t>
      </w:r>
      <w:r w:rsidRPr="003B3476">
        <w:t xml:space="preserve">, p. 14 ; Hubert </w:t>
      </w:r>
      <w:r w:rsidRPr="003B3476">
        <w:rPr>
          <w:rStyle w:val="Notedebasdepage565ptNonItalique"/>
          <w:b w:val="0"/>
          <w:i w:val="0"/>
          <w:iCs w:val="0"/>
          <w:smallCaps/>
          <w:sz w:val="24"/>
        </w:rPr>
        <w:t>Hall</w:t>
      </w:r>
      <w:r w:rsidRPr="003B3476">
        <w:rPr>
          <w:rStyle w:val="Notedebasdepage565ptNonItalique"/>
          <w:b w:val="0"/>
          <w:i w:val="0"/>
          <w:iCs w:val="0"/>
          <w:sz w:val="24"/>
        </w:rPr>
        <w:t xml:space="preserve">, </w:t>
      </w:r>
      <w:r w:rsidRPr="003B3476">
        <w:rPr>
          <w:i/>
          <w:lang w:val="fr-FR" w:eastAsia="fr-FR" w:bidi="fr-FR"/>
        </w:rPr>
        <w:t>Studies in English Official Documents</w:t>
      </w:r>
      <w:r w:rsidRPr="003B3476">
        <w:rPr>
          <w:lang w:val="fr-FR" w:eastAsia="fr-FR" w:bidi="fr-FR"/>
        </w:rPr>
        <w:t xml:space="preserve"> </w:t>
      </w:r>
      <w:r w:rsidRPr="003B3476">
        <w:t>(Cambridge, 1908), p. 169-170.</w:t>
      </w:r>
    </w:p>
  </w:footnote>
  <w:footnote w:id="1169">
    <w:p w14:paraId="4F65F39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Kemble, </w:t>
      </w:r>
      <w:r w:rsidRPr="003B3476">
        <w:rPr>
          <w:lang w:val="fr-FR" w:eastAsia="fr-FR" w:bidi="fr-FR"/>
        </w:rPr>
        <w:t xml:space="preserve">t. IV, p. 173 ; </w:t>
      </w:r>
      <w:r w:rsidRPr="003B3476">
        <w:rPr>
          <w:rStyle w:val="Notedebasdepage65ptPetitesmajuscules"/>
          <w:b w:val="0"/>
          <w:sz w:val="24"/>
        </w:rPr>
        <w:t xml:space="preserve">Dugdale, </w:t>
      </w:r>
      <w:r w:rsidRPr="003B3476">
        <w:rPr>
          <w:lang w:val="fr-FR" w:eastAsia="fr-FR" w:bidi="fr-FR"/>
        </w:rPr>
        <w:t>t. I, p. 295.</w:t>
      </w:r>
    </w:p>
  </w:footnote>
  <w:footnote w:id="1170">
    <w:p w14:paraId="153FD2A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1002 : « Vobis uero et posteris uestris regibus committimus aduoc</w:t>
      </w:r>
      <w:r w:rsidRPr="003B3476">
        <w:rPr>
          <w:lang w:val="fr-FR" w:eastAsia="fr-FR" w:bidi="fr-FR"/>
        </w:rPr>
        <w:t>a</w:t>
      </w:r>
      <w:r w:rsidRPr="003B3476">
        <w:rPr>
          <w:lang w:val="fr-FR" w:eastAsia="fr-FR" w:bidi="fr-FR"/>
        </w:rPr>
        <w:t>tionem et tuitionem eiusdem loci et omnium totius Anglie ecclesiarum, ut uice nostra cum consilio episcoporum et abbatum constituatis ubique que iusta sunt. » Pas plus que la bulle de Léon IX, celle de Nicolas II ne porte de date.</w:t>
      </w:r>
    </w:p>
  </w:footnote>
  <w:footnote w:id="1171">
    <w:p w14:paraId="4C81643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rPr>
        <w:t>The Archaeological Journal</w:t>
      </w:r>
      <w:r w:rsidRPr="003B3476">
        <w:rPr>
          <w:lang w:val="fr-FR"/>
        </w:rPr>
        <w:t>, t. XIX (1862), p. 176.</w:t>
      </w:r>
    </w:p>
  </w:footnote>
  <w:footnote w:id="1172">
    <w:p w14:paraId="1AEDEB5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J’ai cherché à relever, le plus attentivement que j’ai pu, les citations </w:t>
      </w:r>
      <w:r w:rsidRPr="003B3476">
        <w:rPr>
          <w:bCs/>
        </w:rPr>
        <w:t>textuelles</w:t>
      </w:r>
      <w:r w:rsidRPr="003B3476">
        <w:rPr>
          <w:lang w:val="fr-FR" w:eastAsia="fr-FR" w:bidi="fr-FR"/>
        </w:rPr>
        <w:t xml:space="preserve"> du texte biblique, d’une certaine ampleur, faites par Osbert ; mais non pas, ce qui sans profit aucun, eût exigé une bien trop grande place, ses innombrables emprunts au vocabulaire du Livre Sacré.</w:t>
      </w:r>
    </w:p>
  </w:footnote>
  <w:footnote w:id="1173">
    <w:p w14:paraId="346966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rPr>
        <w:t>Ep</w:t>
      </w:r>
      <w:r w:rsidRPr="003B3476">
        <w:t>.,</w:t>
      </w:r>
      <w:r w:rsidRPr="003B3476">
        <w:rPr>
          <w:lang w:val="fr-FR" w:eastAsia="fr-FR" w:bidi="fr-FR"/>
        </w:rPr>
        <w:t xml:space="preserve"> éd. </w:t>
      </w:r>
      <w:r w:rsidRPr="003B3476">
        <w:rPr>
          <w:rStyle w:val="Notedebasdepage65ptPetitesmajuscules"/>
          <w:b w:val="0"/>
          <w:sz w:val="24"/>
        </w:rPr>
        <w:t xml:space="preserve">Anstruther, </w:t>
      </w:r>
      <w:r w:rsidRPr="003B3476">
        <w:rPr>
          <w:lang w:val="fr-FR" w:eastAsia="fr-FR" w:bidi="fr-FR"/>
        </w:rPr>
        <w:t>p. 197.</w:t>
      </w:r>
    </w:p>
  </w:footnote>
  <w:footnote w:id="1174">
    <w:p w14:paraId="4A97DC4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992.</w:t>
      </w:r>
    </w:p>
  </w:footnote>
  <w:footnote w:id="1175">
    <w:p w14:paraId="3EEA1AF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988.</w:t>
      </w:r>
    </w:p>
  </w:footnote>
  <w:footnote w:id="1176">
    <w:p w14:paraId="3619055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994. Ce purisme ne lui était d’ailleurs point personnel. M. E. W. Wi</w:t>
      </w:r>
      <w:r w:rsidRPr="003B3476">
        <w:rPr>
          <w:lang w:val="fr-FR" w:eastAsia="fr-FR" w:bidi="fr-FR"/>
        </w:rPr>
        <w:t>l</w:t>
      </w:r>
      <w:r w:rsidRPr="003B3476">
        <w:rPr>
          <w:lang w:val="fr-FR" w:eastAsia="fr-FR" w:bidi="fr-FR"/>
        </w:rPr>
        <w:t xml:space="preserve">liamson veut bien me signaler un passage de Guillaume de Malmesbury, </w:t>
      </w:r>
      <w:r w:rsidRPr="003B3476">
        <w:rPr>
          <w:bCs/>
          <w:i/>
        </w:rPr>
        <w:t>Vita saint Wlstani</w:t>
      </w:r>
      <w:r w:rsidRPr="003B3476">
        <w:rPr>
          <w:i/>
          <w:lang w:val="fr-FR" w:eastAsia="fr-FR" w:bidi="fr-FR"/>
        </w:rPr>
        <w:t xml:space="preserve">, </w:t>
      </w:r>
      <w:r w:rsidRPr="003B3476">
        <w:rPr>
          <w:bCs/>
          <w:i/>
        </w:rPr>
        <w:t>Anglia Sacra</w:t>
      </w:r>
      <w:r w:rsidRPr="003B3476">
        <w:rPr>
          <w:lang w:val="fr-FR" w:eastAsia="fr-FR" w:bidi="fr-FR"/>
        </w:rPr>
        <w:t>, t. II, p. 254, où s’exprime le même scrupule : « me nomina testium pene omnium suppressisse, ne vocabulorum barbaries delicati lectoris sauciaret aures ». On trouverait sans doute d’autres exemples.</w:t>
      </w:r>
    </w:p>
  </w:footnote>
  <w:footnote w:id="1177">
    <w:p w14:paraId="78EDC5D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Ep</w:t>
      </w:r>
      <w:r w:rsidRPr="003B3476">
        <w:rPr>
          <w:bCs/>
        </w:rPr>
        <w:t>.,</w:t>
      </w:r>
      <w:r w:rsidRPr="003B3476">
        <w:rPr>
          <w:lang w:val="fr-FR" w:eastAsia="fr-FR" w:bidi="fr-FR"/>
        </w:rPr>
        <w:t xml:space="preserve"> p. 144.</w:t>
      </w:r>
    </w:p>
  </w:footnote>
  <w:footnote w:id="1178">
    <w:p w14:paraId="54CCE6D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Espacement0pt"/>
          <w:b w:val="0"/>
          <w:sz w:val="24"/>
        </w:rPr>
        <w:t>Infra,</w:t>
      </w:r>
      <w:r w:rsidRPr="003B3476">
        <w:rPr>
          <w:rStyle w:val="Notedebasdepage7ptNonGras"/>
          <w:b w:val="0"/>
          <w:bCs w:val="0"/>
          <w:sz w:val="24"/>
        </w:rPr>
        <w:t xml:space="preserve"> </w:t>
      </w:r>
      <w:r w:rsidRPr="003B3476">
        <w:rPr>
          <w:lang w:val="fr-FR" w:eastAsia="fr-FR" w:bidi="fr-FR"/>
        </w:rPr>
        <w:t>p. 986, n. 2.</w:t>
      </w:r>
    </w:p>
  </w:footnote>
  <w:footnote w:id="1179">
    <w:p w14:paraId="53C1608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Espacement0pt"/>
          <w:b w:val="0"/>
          <w:sz w:val="24"/>
        </w:rPr>
        <w:t>Infra,</w:t>
      </w:r>
      <w:r w:rsidRPr="003B3476">
        <w:rPr>
          <w:rStyle w:val="Notedebasdepage7ptNonGras"/>
          <w:b w:val="0"/>
          <w:bCs w:val="0"/>
          <w:sz w:val="24"/>
        </w:rPr>
        <w:t xml:space="preserve"> </w:t>
      </w:r>
      <w:r w:rsidRPr="003B3476">
        <w:rPr>
          <w:lang w:val="fr-FR" w:eastAsia="fr-FR" w:bidi="fr-FR"/>
        </w:rPr>
        <w:t>p. 985, n. 8.</w:t>
      </w:r>
    </w:p>
  </w:footnote>
  <w:footnote w:id="1180">
    <w:p w14:paraId="3CA04C3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7ptItaliqueEspacement0pt"/>
          <w:b w:val="0"/>
          <w:sz w:val="24"/>
        </w:rPr>
        <w:t>Infra,</w:t>
      </w:r>
      <w:r w:rsidRPr="003B3476">
        <w:rPr>
          <w:rStyle w:val="Notedebasdepage7ptNonGras"/>
          <w:b w:val="0"/>
          <w:bCs w:val="0"/>
          <w:sz w:val="24"/>
        </w:rPr>
        <w:t xml:space="preserve"> </w:t>
      </w:r>
      <w:r w:rsidRPr="003B3476">
        <w:rPr>
          <w:lang w:val="fr-FR" w:eastAsia="fr-FR" w:bidi="fr-FR"/>
        </w:rPr>
        <w:t>p. 987, n. 2.</w:t>
      </w:r>
    </w:p>
  </w:footnote>
  <w:footnote w:id="1181">
    <w:p w14:paraId="6C98D6E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p. 1024, n. 1.</w:t>
      </w:r>
    </w:p>
  </w:footnote>
  <w:footnote w:id="1182">
    <w:p w14:paraId="3E78947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Horace est cité trois fois dans les Lettres. M. E. W. Williamson veut bien me faire remarquer que de ces trois citations l’une (p. 155) est en réalité d’Ovide (</w:t>
      </w:r>
      <w:r w:rsidRPr="003B3476">
        <w:rPr>
          <w:i/>
          <w:lang w:val="fr-FR" w:eastAsia="fr-FR" w:bidi="fr-FR"/>
        </w:rPr>
        <w:t>Am</w:t>
      </w:r>
      <w:r w:rsidRPr="003B3476">
        <w:rPr>
          <w:lang w:val="fr-FR" w:eastAsia="fr-FR" w:bidi="fr-FR"/>
        </w:rPr>
        <w:t xml:space="preserve">. </w:t>
      </w:r>
      <w:r w:rsidRPr="003B3476">
        <w:rPr>
          <w:bCs/>
        </w:rPr>
        <w:t>III, IV,</w:t>
      </w:r>
      <w:r w:rsidRPr="003B3476">
        <w:rPr>
          <w:lang w:val="fr-FR" w:eastAsia="fr-FR" w:bidi="fr-FR"/>
        </w:rPr>
        <w:t xml:space="preserve"> 17) et les deux autres (pp. 146 et 156) sont empruntées à saint J</w:t>
      </w:r>
      <w:r w:rsidRPr="003B3476">
        <w:rPr>
          <w:lang w:val="fr-FR" w:eastAsia="fr-FR" w:bidi="fr-FR"/>
        </w:rPr>
        <w:t>é</w:t>
      </w:r>
      <w:r w:rsidRPr="003B3476">
        <w:rPr>
          <w:lang w:val="fr-FR" w:eastAsia="fr-FR" w:bidi="fr-FR"/>
        </w:rPr>
        <w:t>rôme.</w:t>
      </w:r>
    </w:p>
  </w:footnote>
  <w:footnote w:id="1183">
    <w:p w14:paraId="32E35B9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987, n. 1.</w:t>
      </w:r>
    </w:p>
  </w:footnote>
  <w:footnote w:id="1184">
    <w:p w14:paraId="573D6D9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bCs/>
        </w:rPr>
        <w:t>,</w:t>
      </w:r>
      <w:r w:rsidRPr="003B3476">
        <w:rPr>
          <w:lang w:val="fr-FR" w:eastAsia="fr-FR" w:bidi="fr-FR"/>
        </w:rPr>
        <w:t xml:space="preserve"> p. 987.</w:t>
      </w:r>
    </w:p>
  </w:footnote>
  <w:footnote w:id="1185">
    <w:p w14:paraId="6AA253D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prose rythmée et rimée au Moyen Age, je me contenterai de renvoyer au livre classique de E. </w:t>
      </w:r>
      <w:r w:rsidRPr="003B3476">
        <w:rPr>
          <w:rStyle w:val="Notedebasdepage65ptPetitesmajuscules"/>
          <w:b w:val="0"/>
          <w:sz w:val="24"/>
        </w:rPr>
        <w:t xml:space="preserve">Norden, </w:t>
      </w:r>
      <w:r w:rsidRPr="003B3476">
        <w:rPr>
          <w:bCs/>
          <w:i/>
        </w:rPr>
        <w:t>Die antike Kunstprosa</w:t>
      </w:r>
      <w:r w:rsidRPr="003B3476">
        <w:rPr>
          <w:bCs/>
        </w:rPr>
        <w:t>,</w:t>
      </w:r>
      <w:r w:rsidRPr="003B3476">
        <w:rPr>
          <w:lang w:val="fr-FR" w:eastAsia="fr-FR" w:bidi="fr-FR"/>
        </w:rPr>
        <w:t xml:space="preserve"> 2 vol., Leipzig, 1898 ; </w:t>
      </w:r>
      <w:r w:rsidRPr="003B3476">
        <w:rPr>
          <w:bCs/>
          <w:i/>
        </w:rPr>
        <w:t>cf.</w:t>
      </w:r>
      <w:r w:rsidRPr="003B3476">
        <w:rPr>
          <w:lang w:val="fr-FR" w:eastAsia="fr-FR" w:bidi="fr-FR"/>
        </w:rPr>
        <w:t xml:space="preserve"> aussi, pour la prose rimée, P. </w:t>
      </w:r>
      <w:r w:rsidRPr="003B3476">
        <w:rPr>
          <w:rStyle w:val="Notedebasdepage65ptPetitesmajuscules"/>
          <w:b w:val="0"/>
          <w:sz w:val="24"/>
        </w:rPr>
        <w:t xml:space="preserve">Perdrizet, </w:t>
      </w:r>
      <w:r w:rsidRPr="003B3476">
        <w:rPr>
          <w:bCs/>
          <w:i/>
        </w:rPr>
        <w:t>Étude sur le Speculum humanae salvati</w:t>
      </w:r>
      <w:r w:rsidRPr="003B3476">
        <w:rPr>
          <w:bCs/>
          <w:i/>
        </w:rPr>
        <w:t>o</w:t>
      </w:r>
      <w:r w:rsidRPr="003B3476">
        <w:rPr>
          <w:bCs/>
          <w:i/>
        </w:rPr>
        <w:t>nis</w:t>
      </w:r>
      <w:r w:rsidRPr="003B3476">
        <w:rPr>
          <w:lang w:val="fr-FR" w:eastAsia="fr-FR" w:bidi="fr-FR"/>
        </w:rPr>
        <w:t xml:space="preserve"> (Paris, 1908), p. 1 et suiv. Au sujet du style d’Osbert, je me borne volontairement à des indications sommaires ; les spécialistes trouv</w:t>
      </w:r>
      <w:r w:rsidRPr="003B3476">
        <w:rPr>
          <w:lang w:val="fr-FR" w:eastAsia="fr-FR" w:bidi="fr-FR"/>
        </w:rPr>
        <w:t>e</w:t>
      </w:r>
      <w:r w:rsidRPr="003B3476">
        <w:rPr>
          <w:lang w:val="fr-FR" w:eastAsia="fr-FR" w:bidi="fr-FR"/>
        </w:rPr>
        <w:t xml:space="preserve">ront dans la </w:t>
      </w:r>
      <w:r w:rsidRPr="003B3476">
        <w:rPr>
          <w:bCs/>
          <w:i/>
        </w:rPr>
        <w:t>Vie de saint Édouard</w:t>
      </w:r>
      <w:r w:rsidRPr="003B3476">
        <w:rPr>
          <w:lang w:val="fr-FR" w:eastAsia="fr-FR" w:bidi="fr-FR"/>
        </w:rPr>
        <w:t xml:space="preserve"> un bon exemple de prose d’art de qualité moyenne. Dans les discours qu’il prête à ses personnages, Osbert applique, semble-t-il, les règles traditionnelles avec beaucoup moins de soin que dans son propre récit.</w:t>
      </w:r>
    </w:p>
  </w:footnote>
  <w:footnote w:id="1186">
    <w:p w14:paraId="7076F6A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Chap. </w:t>
      </w:r>
      <w:r w:rsidRPr="003B3476">
        <w:rPr>
          <w:smallCaps/>
          <w:lang w:val="fr-FR" w:eastAsia="fr-FR" w:bidi="fr-FR"/>
        </w:rPr>
        <w:t>viii</w:t>
      </w:r>
      <w:r w:rsidRPr="003B3476">
        <w:rPr>
          <w:lang w:val="fr-FR" w:eastAsia="fr-FR" w:bidi="fr-FR"/>
        </w:rPr>
        <w:t xml:space="preserve">. La connaissance qu’avait Osbert de ce miracle nouveau l’amena à modifier le récit du couronnement de saint Édouard tel qu'il le trouvait chez le Biographe. </w:t>
      </w:r>
      <w:r w:rsidRPr="003B3476">
        <w:rPr>
          <w:bCs/>
          <w:i/>
        </w:rPr>
        <w:t>Cf.</w:t>
      </w:r>
      <w:r w:rsidRPr="003B3476">
        <w:rPr>
          <w:bCs/>
        </w:rPr>
        <w:t xml:space="preserve"> </w:t>
      </w:r>
      <w:r w:rsidRPr="003B3476">
        <w:rPr>
          <w:bCs/>
          <w:i/>
        </w:rPr>
        <w:t>supra</w:t>
      </w:r>
      <w:r w:rsidRPr="003B3476">
        <w:rPr>
          <w:bCs/>
        </w:rPr>
        <w:t xml:space="preserve">, </w:t>
      </w:r>
      <w:r w:rsidRPr="003B3476">
        <w:rPr>
          <w:lang w:val="fr-FR" w:eastAsia="fr-FR" w:bidi="fr-FR"/>
        </w:rPr>
        <w:t>p. 966, n. 2.</w:t>
      </w:r>
    </w:p>
  </w:footnote>
  <w:footnote w:id="1187">
    <w:p w14:paraId="1EE080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Chap. </w:t>
      </w:r>
      <w:r w:rsidRPr="003B3476">
        <w:rPr>
          <w:smallCaps/>
          <w:lang w:val="fr-FR" w:eastAsia="fr-FR" w:bidi="fr-FR"/>
        </w:rPr>
        <w:t>ix</w:t>
      </w:r>
      <w:r w:rsidRPr="003B3476">
        <w:rPr>
          <w:lang w:val="fr-FR" w:eastAsia="fr-FR" w:bidi="fr-FR"/>
        </w:rPr>
        <w:t>.</w:t>
      </w:r>
    </w:p>
  </w:footnote>
  <w:footnote w:id="1188">
    <w:p w14:paraId="259CDBB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Chap. </w:t>
      </w:r>
      <w:r w:rsidRPr="003B3476">
        <w:rPr>
          <w:smallCaps/>
          <w:lang w:val="fr-FR" w:eastAsia="fr-FR" w:bidi="fr-FR"/>
        </w:rPr>
        <w:t>xii</w:t>
      </w:r>
      <w:r w:rsidRPr="003B3476">
        <w:rPr>
          <w:lang w:val="fr-FR" w:eastAsia="fr-FR" w:bidi="fr-FR"/>
        </w:rPr>
        <w:t>.</w:t>
      </w:r>
    </w:p>
  </w:footnote>
  <w:footnote w:id="1189">
    <w:p w14:paraId="0DA604C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Chap. </w:t>
      </w:r>
      <w:r w:rsidRPr="003B3476">
        <w:rPr>
          <w:smallCaps/>
          <w:lang w:val="fr-FR" w:eastAsia="fr-FR" w:bidi="fr-FR"/>
        </w:rPr>
        <w:t>xxix</w:t>
      </w:r>
      <w:r w:rsidRPr="003B3476">
        <w:rPr>
          <w:lang w:val="fr-FR" w:eastAsia="fr-FR" w:bidi="fr-FR"/>
        </w:rPr>
        <w:t>. Le récit n’est pas sans intérêt pour l’histoire de l’investiture épi</w:t>
      </w:r>
      <w:r w:rsidRPr="003B3476">
        <w:rPr>
          <w:lang w:val="fr-FR" w:eastAsia="fr-FR" w:bidi="fr-FR"/>
        </w:rPr>
        <w:t>s</w:t>
      </w:r>
      <w:r w:rsidRPr="003B3476">
        <w:rPr>
          <w:lang w:val="fr-FR" w:eastAsia="fr-FR" w:bidi="fr-FR"/>
        </w:rPr>
        <w:t xml:space="preserve">copale : </w:t>
      </w:r>
      <w:r w:rsidRPr="003B3476">
        <w:rPr>
          <w:i/>
          <w:lang w:val="fr-FR" w:eastAsia="fr-FR" w:bidi="fr-FR"/>
        </w:rPr>
        <w:t>cf</w:t>
      </w:r>
      <w:r w:rsidRPr="003B3476">
        <w:rPr>
          <w:lang w:val="fr-FR" w:eastAsia="fr-FR" w:bidi="fr-FR"/>
        </w:rPr>
        <w:t xml:space="preserve">. </w:t>
      </w:r>
      <w:r w:rsidRPr="003B3476">
        <w:rPr>
          <w:bCs/>
          <w:i/>
        </w:rPr>
        <w:t>infra</w:t>
      </w:r>
      <w:r w:rsidRPr="003B3476">
        <w:rPr>
          <w:bCs/>
        </w:rPr>
        <w:t>,</w:t>
      </w:r>
      <w:r w:rsidRPr="003B3476">
        <w:rPr>
          <w:lang w:val="fr-FR" w:eastAsia="fr-FR" w:bidi="fr-FR"/>
        </w:rPr>
        <w:t xml:space="preserve"> p. 1022, n. 1, </w:t>
      </w:r>
      <w:r w:rsidRPr="003B3476">
        <w:rPr>
          <w:bCs/>
          <w:i/>
        </w:rPr>
        <w:t>in fine</w:t>
      </w:r>
      <w:r w:rsidRPr="003B3476">
        <w:rPr>
          <w:bCs/>
        </w:rPr>
        <w:t>.</w:t>
      </w:r>
    </w:p>
  </w:footnote>
  <w:footnote w:id="1190">
    <w:p w14:paraId="35110A9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infra</w:t>
      </w:r>
      <w:r w:rsidRPr="003B3476">
        <w:rPr>
          <w:lang w:val="fr-FR" w:eastAsia="fr-FR" w:bidi="fr-FR"/>
        </w:rPr>
        <w:t xml:space="preserve">, p. 981-982. Parmi les miracles de guérison ajoutés par Ailred, figure un récit dont le héros est Osbert lui-même. </w:t>
      </w:r>
      <w:r w:rsidRPr="003B3476">
        <w:rPr>
          <w:rStyle w:val="Notedebasdepage65ptPetitesmajuscules"/>
          <w:b w:val="0"/>
          <w:sz w:val="24"/>
        </w:rPr>
        <w:t xml:space="preserve">Ailred, </w:t>
      </w:r>
      <w:r w:rsidRPr="003B3476">
        <w:rPr>
          <w:lang w:val="fr-FR" w:eastAsia="fr-FR" w:bidi="fr-FR"/>
        </w:rPr>
        <w:t>col. 410.</w:t>
      </w:r>
    </w:p>
  </w:footnote>
  <w:footnote w:id="1191">
    <w:p w14:paraId="69D069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 manuscrit, voir en dernier lieu W. </w:t>
      </w:r>
      <w:r w:rsidRPr="003B3476">
        <w:rPr>
          <w:rStyle w:val="Notedebasdepage65ptPetitesmajuscules"/>
          <w:b w:val="0"/>
          <w:sz w:val="24"/>
        </w:rPr>
        <w:t xml:space="preserve">Levison, </w:t>
      </w:r>
      <w:r w:rsidRPr="003B3476">
        <w:rPr>
          <w:lang w:val="fr-FR" w:eastAsia="fr-FR" w:bidi="fr-FR"/>
        </w:rPr>
        <w:t xml:space="preserve">dans </w:t>
      </w:r>
      <w:r w:rsidRPr="003B3476">
        <w:rPr>
          <w:i/>
          <w:lang w:val="fr-FR" w:eastAsia="fr-FR" w:bidi="fr-FR"/>
        </w:rPr>
        <w:t xml:space="preserve">M. </w:t>
      </w:r>
      <w:r w:rsidRPr="003B3476">
        <w:rPr>
          <w:bCs/>
          <w:i/>
        </w:rPr>
        <w:t>G., Scr. rer. M</w:t>
      </w:r>
      <w:r w:rsidRPr="003B3476">
        <w:rPr>
          <w:bCs/>
          <w:i/>
        </w:rPr>
        <w:t>e</w:t>
      </w:r>
      <w:r w:rsidRPr="003B3476">
        <w:rPr>
          <w:bCs/>
          <w:i/>
        </w:rPr>
        <w:t>rov</w:t>
      </w:r>
      <w:r w:rsidRPr="003B3476">
        <w:rPr>
          <w:bCs/>
        </w:rPr>
        <w:t>.,</w:t>
      </w:r>
      <w:r w:rsidRPr="003B3476">
        <w:rPr>
          <w:lang w:val="fr-FR" w:eastAsia="fr-FR" w:bidi="fr-FR"/>
        </w:rPr>
        <w:t xml:space="preserve"> t. VII, 2, p. 608, n° 316.</w:t>
      </w:r>
    </w:p>
  </w:footnote>
  <w:footnote w:id="1192">
    <w:p w14:paraId="7B5AC68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Pour les noms de personnes, </w:t>
      </w:r>
      <w:r w:rsidRPr="003B3476">
        <w:rPr>
          <w:bCs/>
          <w:i/>
        </w:rPr>
        <w:t>cf.</w:t>
      </w:r>
      <w:r w:rsidRPr="003B3476">
        <w:rPr>
          <w:bCs/>
        </w:rPr>
        <w:t xml:space="preserve"> </w:t>
      </w:r>
      <w:r w:rsidRPr="003B3476">
        <w:rPr>
          <w:bCs/>
          <w:i/>
        </w:rPr>
        <w:t>infra</w:t>
      </w:r>
      <w:r w:rsidRPr="003B3476">
        <w:rPr>
          <w:lang w:val="fr-FR" w:eastAsia="fr-FR" w:bidi="fr-FR"/>
        </w:rPr>
        <w:t xml:space="preserve">, p. 984, n. 3 ; noms de lieux, voir </w:t>
      </w:r>
      <w:r w:rsidRPr="003B3476">
        <w:rPr>
          <w:bCs/>
          <w:i/>
        </w:rPr>
        <w:t>infra</w:t>
      </w:r>
      <w:r w:rsidRPr="003B3476">
        <w:rPr>
          <w:lang w:val="fr-FR" w:eastAsia="fr-FR" w:bidi="fr-FR"/>
        </w:rPr>
        <w:t xml:space="preserve"> </w:t>
      </w:r>
      <w:r w:rsidRPr="003B3476">
        <w:rPr>
          <w:bCs/>
        </w:rPr>
        <w:t>à l’</w:t>
      </w:r>
      <w:r w:rsidRPr="003B3476">
        <w:rPr>
          <w:bCs/>
          <w:i/>
        </w:rPr>
        <w:t>apparatus</w:t>
      </w:r>
      <w:r w:rsidRPr="003B3476">
        <w:rPr>
          <w:bCs/>
        </w:rPr>
        <w:t xml:space="preserve">, </w:t>
      </w:r>
      <w:r w:rsidRPr="003B3476">
        <w:rPr>
          <w:lang w:val="fr-FR" w:eastAsia="fr-FR" w:bidi="fr-FR"/>
        </w:rPr>
        <w:t>p. 990, 994, 1018, 1020.</w:t>
      </w:r>
    </w:p>
  </w:footnote>
  <w:footnote w:id="1193">
    <w:p w14:paraId="647FFD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importe du reste de remarquer que ces deux notes, d’une main du </w:t>
      </w:r>
      <w:r w:rsidRPr="003B3476">
        <w:rPr>
          <w:caps/>
          <w:lang w:val="fr-FR" w:eastAsia="fr-FR" w:bidi="fr-FR"/>
        </w:rPr>
        <w:t>x</w:t>
      </w:r>
      <w:r w:rsidRPr="003B3476">
        <w:rPr>
          <w:caps/>
          <w:lang w:val="fr-FR" w:eastAsia="fr-FR" w:bidi="fr-FR"/>
        </w:rPr>
        <w:t>i</w:t>
      </w:r>
      <w:r w:rsidRPr="003B3476">
        <w:rPr>
          <w:caps/>
          <w:lang w:val="fr-FR" w:eastAsia="fr-FR" w:bidi="fr-FR"/>
        </w:rPr>
        <w:t>v</w:t>
      </w:r>
      <w:r w:rsidRPr="003B3476">
        <w:rPr>
          <w:vertAlign w:val="superscript"/>
          <w:lang w:val="fr-FR" w:eastAsia="fr-FR" w:bidi="fr-FR"/>
        </w:rPr>
        <w:t>e</w:t>
      </w:r>
      <w:r w:rsidRPr="003B3476">
        <w:rPr>
          <w:lang w:val="fr-FR" w:eastAsia="fr-FR" w:bidi="fr-FR"/>
        </w:rPr>
        <w:t> siècle, se rencontrent toutes les deux dans la première partie du ms. ; la s</w:t>
      </w:r>
      <w:r w:rsidRPr="003B3476">
        <w:rPr>
          <w:lang w:val="fr-FR" w:eastAsia="fr-FR" w:bidi="fr-FR"/>
        </w:rPr>
        <w:t>e</w:t>
      </w:r>
      <w:r w:rsidRPr="003B3476">
        <w:rPr>
          <w:lang w:val="fr-FR" w:eastAsia="fr-FR" w:bidi="fr-FR"/>
        </w:rPr>
        <w:t xml:space="preserve">conde partie, qui renferme la </w:t>
      </w:r>
      <w:r w:rsidRPr="003B3476">
        <w:rPr>
          <w:bCs/>
          <w:i/>
        </w:rPr>
        <w:t>Vie</w:t>
      </w:r>
      <w:r w:rsidRPr="003B3476">
        <w:rPr>
          <w:i/>
          <w:lang w:val="fr-FR" w:eastAsia="fr-FR" w:bidi="fr-FR"/>
        </w:rPr>
        <w:t xml:space="preserve"> d’Osbert</w:t>
      </w:r>
      <w:r w:rsidRPr="003B3476">
        <w:rPr>
          <w:lang w:val="fr-FR" w:eastAsia="fr-FR" w:bidi="fr-FR"/>
        </w:rPr>
        <w:t>, a constitué primitivement un v</w:t>
      </w:r>
      <w:r w:rsidRPr="003B3476">
        <w:rPr>
          <w:lang w:val="fr-FR" w:eastAsia="fr-FR" w:bidi="fr-FR"/>
        </w:rPr>
        <w:t>o</w:t>
      </w:r>
      <w:r w:rsidRPr="003B3476">
        <w:rPr>
          <w:lang w:val="fr-FR" w:eastAsia="fr-FR" w:bidi="fr-FR"/>
        </w:rPr>
        <w:t>lume indépendant et a été reliée avec la première à une époque qu’il est i</w:t>
      </w:r>
      <w:r w:rsidRPr="003B3476">
        <w:rPr>
          <w:lang w:val="fr-FR" w:eastAsia="fr-FR" w:bidi="fr-FR"/>
        </w:rPr>
        <w:t>m</w:t>
      </w:r>
      <w:r w:rsidRPr="003B3476">
        <w:rPr>
          <w:lang w:val="fr-FR" w:eastAsia="fr-FR" w:bidi="fr-FR"/>
        </w:rPr>
        <w:t xml:space="preserve">possible de préciser, et qui peut avoir été postérieure au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w:t>
      </w:r>
    </w:p>
  </w:footnote>
  <w:footnote w:id="1194">
    <w:p w14:paraId="1D2219B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collection </w:t>
      </w:r>
      <w:r w:rsidRPr="003B3476">
        <w:rPr>
          <w:bCs/>
        </w:rPr>
        <w:t xml:space="preserve">de </w:t>
      </w:r>
      <w:r w:rsidRPr="003B3476">
        <w:rPr>
          <w:lang w:val="fr-FR" w:eastAsia="fr-FR" w:bidi="fr-FR"/>
        </w:rPr>
        <w:t xml:space="preserve">Joseph de Görres, </w:t>
      </w:r>
      <w:r w:rsidRPr="003B3476">
        <w:rPr>
          <w:bCs/>
          <w:i/>
        </w:rPr>
        <w:t>cf</w:t>
      </w:r>
      <w:r w:rsidRPr="003B3476">
        <w:rPr>
          <w:bCs/>
        </w:rPr>
        <w:t xml:space="preserve">. </w:t>
      </w:r>
      <w:r w:rsidRPr="003B3476">
        <w:rPr>
          <w:lang w:val="fr-FR" w:eastAsia="fr-FR" w:bidi="fr-FR"/>
        </w:rPr>
        <w:t xml:space="preserve">une note de L. </w:t>
      </w:r>
      <w:r w:rsidRPr="003B3476">
        <w:rPr>
          <w:rStyle w:val="Notedebasdepage65ptPetitesmajuscules"/>
          <w:b w:val="0"/>
          <w:sz w:val="24"/>
        </w:rPr>
        <w:t xml:space="preserve">Traube, </w:t>
      </w:r>
      <w:r w:rsidRPr="003B3476">
        <w:rPr>
          <w:bCs/>
          <w:i/>
        </w:rPr>
        <w:t>Neues A</w:t>
      </w:r>
      <w:r w:rsidRPr="003B3476">
        <w:rPr>
          <w:bCs/>
          <w:i/>
        </w:rPr>
        <w:t>r</w:t>
      </w:r>
      <w:r w:rsidRPr="003B3476">
        <w:rPr>
          <w:bCs/>
          <w:i/>
        </w:rPr>
        <w:t>chiv</w:t>
      </w:r>
      <w:r w:rsidRPr="003B3476">
        <w:rPr>
          <w:lang w:val="fr-FR" w:eastAsia="fr-FR" w:bidi="fr-FR"/>
        </w:rPr>
        <w:t>, t. XXVII (1902), p. 735.</w:t>
      </w:r>
    </w:p>
  </w:footnote>
  <w:footnote w:id="1195">
    <w:p w14:paraId="40409F0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l’</w:t>
      </w:r>
      <w:r w:rsidRPr="003B3476">
        <w:rPr>
          <w:bCs/>
          <w:i/>
        </w:rPr>
        <w:t>explicit</w:t>
      </w:r>
      <w:r w:rsidRPr="003B3476">
        <w:rPr>
          <w:bCs/>
        </w:rPr>
        <w:t xml:space="preserve">, </w:t>
      </w:r>
      <w:r w:rsidRPr="003B3476">
        <w:rPr>
          <w:bCs/>
          <w:i/>
        </w:rPr>
        <w:t>infra</w:t>
      </w:r>
      <w:r w:rsidRPr="003B3476">
        <w:rPr>
          <w:lang w:val="fr-FR" w:eastAsia="fr-FR" w:bidi="fr-FR"/>
        </w:rPr>
        <w:t xml:space="preserve">, p. 1022. Le seul chapitre que C donne à peu près en entier est le chapitre </w:t>
      </w:r>
      <w:r w:rsidRPr="003B3476">
        <w:rPr>
          <w:bCs/>
        </w:rPr>
        <w:t xml:space="preserve">n </w:t>
      </w:r>
      <w:r w:rsidRPr="003B3476">
        <w:rPr>
          <w:lang w:val="fr-FR" w:eastAsia="fr-FR" w:bidi="fr-FR"/>
        </w:rPr>
        <w:t xml:space="preserve">de L. La table des chapitres de C placée en tête de la </w:t>
      </w:r>
      <w:r w:rsidRPr="003B3476">
        <w:rPr>
          <w:bCs/>
          <w:i/>
        </w:rPr>
        <w:t>Vie</w:t>
      </w:r>
      <w:r w:rsidRPr="003B3476">
        <w:rPr>
          <w:lang w:val="fr-FR" w:eastAsia="fr-FR" w:bidi="fr-FR"/>
        </w:rPr>
        <w:t xml:space="preserve"> a été éditée par </w:t>
      </w:r>
      <w:r w:rsidRPr="003B3476">
        <w:rPr>
          <w:rStyle w:val="Notedebasdepage65ptPetitesmajuscules"/>
          <w:b w:val="0"/>
          <w:sz w:val="24"/>
        </w:rPr>
        <w:t xml:space="preserve">Luard, </w:t>
      </w:r>
      <w:r w:rsidRPr="003B3476">
        <w:rPr>
          <w:bCs/>
          <w:i/>
        </w:rPr>
        <w:t>Lives</w:t>
      </w:r>
      <w:r w:rsidRPr="003B3476">
        <w:rPr>
          <w:bCs/>
        </w:rPr>
        <w:t>,</w:t>
      </w:r>
      <w:r w:rsidRPr="003B3476">
        <w:rPr>
          <w:lang w:val="fr-FR" w:eastAsia="fr-FR" w:bidi="fr-FR"/>
        </w:rPr>
        <w:t xml:space="preserve"> p. </w:t>
      </w:r>
      <w:r w:rsidRPr="003B3476">
        <w:rPr>
          <w:smallCaps/>
          <w:lang w:val="fr-FR" w:eastAsia="fr-FR" w:bidi="fr-FR"/>
        </w:rPr>
        <w:t>xxv</w:t>
      </w:r>
      <w:r w:rsidRPr="003B3476">
        <w:rPr>
          <w:lang w:val="fr-FR" w:eastAsia="fr-FR" w:bidi="fr-FR"/>
        </w:rPr>
        <w:t>, n. 1.</w:t>
      </w:r>
    </w:p>
  </w:footnote>
  <w:footnote w:id="1196">
    <w:p w14:paraId="0A218F7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Par exemple la plus grande partie de ce qui forme dans L le chapitre </w:t>
      </w:r>
      <w:r w:rsidRPr="003B3476">
        <w:rPr>
          <w:smallCaps/>
          <w:lang w:val="fr-FR" w:eastAsia="fr-FR" w:bidi="fr-FR"/>
        </w:rPr>
        <w:t>vi</w:t>
      </w:r>
      <w:r w:rsidRPr="003B3476">
        <w:rPr>
          <w:lang w:val="fr-FR" w:eastAsia="fr-FR" w:bidi="fr-FR"/>
        </w:rPr>
        <w:t xml:space="preserve"> et to</w:t>
      </w:r>
      <w:r w:rsidRPr="003B3476">
        <w:rPr>
          <w:lang w:val="fr-FR" w:eastAsia="fr-FR" w:bidi="fr-FR"/>
        </w:rPr>
        <w:t>u</w:t>
      </w:r>
      <w:r w:rsidRPr="003B3476">
        <w:rPr>
          <w:lang w:val="fr-FR" w:eastAsia="fr-FR" w:bidi="fr-FR"/>
        </w:rPr>
        <w:t xml:space="preserve">te la fin (depuis l’alinéa, </w:t>
      </w:r>
      <w:r w:rsidRPr="003B3476">
        <w:rPr>
          <w:bCs/>
          <w:i/>
        </w:rPr>
        <w:t>infra</w:t>
      </w:r>
      <w:r w:rsidRPr="003B3476">
        <w:rPr>
          <w:lang w:val="fr-FR" w:eastAsia="fr-FR" w:bidi="fr-FR"/>
        </w:rPr>
        <w:t xml:space="preserve">, p. 999) du chapitre </w:t>
      </w:r>
      <w:r w:rsidRPr="003B3476">
        <w:rPr>
          <w:smallCaps/>
          <w:lang w:val="fr-FR" w:eastAsia="fr-FR" w:bidi="fr-FR"/>
        </w:rPr>
        <w:t>x</w:t>
      </w:r>
      <w:r w:rsidRPr="003B3476">
        <w:rPr>
          <w:lang w:val="fr-FR" w:eastAsia="fr-FR" w:bidi="fr-FR"/>
        </w:rPr>
        <w:t xml:space="preserve"> de L. Les miracles po</w:t>
      </w:r>
      <w:r w:rsidRPr="003B3476">
        <w:rPr>
          <w:lang w:val="fr-FR" w:eastAsia="fr-FR" w:bidi="fr-FR"/>
        </w:rPr>
        <w:t>s</w:t>
      </w:r>
      <w:r w:rsidRPr="003B3476">
        <w:rPr>
          <w:lang w:val="fr-FR" w:eastAsia="fr-FR" w:bidi="fr-FR"/>
        </w:rPr>
        <w:t>thumes sont particulièrement abrégés.</w:t>
      </w:r>
    </w:p>
  </w:footnote>
  <w:footnote w:id="1197">
    <w:p w14:paraId="4489530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On sent dans certaines de ces suppressions et modifications une volonté très nette de rendre le texte d’Osbert à la fois plus bref et plus simple. Exemple p. 1013 ; Osbert écrit : </w:t>
      </w:r>
      <w:r w:rsidRPr="003B3476">
        <w:rPr>
          <w:bCs/>
          <w:i/>
        </w:rPr>
        <w:t>post fauillas meas et cineres </w:t>
      </w:r>
      <w:r w:rsidRPr="003B3476">
        <w:rPr>
          <w:bCs/>
        </w:rPr>
        <w:t>;</w:t>
      </w:r>
      <w:r w:rsidRPr="003B3476">
        <w:rPr>
          <w:lang w:val="fr-FR" w:eastAsia="fr-FR" w:bidi="fr-FR"/>
        </w:rPr>
        <w:t xml:space="preserve"> le remanieur de C : </w:t>
      </w:r>
      <w:r w:rsidRPr="003B3476">
        <w:rPr>
          <w:bCs/>
          <w:i/>
        </w:rPr>
        <w:t>post obitum meum</w:t>
      </w:r>
      <w:r w:rsidRPr="003B3476">
        <w:rPr>
          <w:bCs/>
        </w:rPr>
        <w:t>.</w:t>
      </w:r>
    </w:p>
  </w:footnote>
  <w:footnote w:id="1198">
    <w:p w14:paraId="6342C6A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 découpe en deux chapitres — numérotés d’une part n et ni, d’autre part </w:t>
      </w:r>
      <w:r w:rsidRPr="003B3476">
        <w:rPr>
          <w:smallCaps/>
          <w:lang w:val="fr-FR" w:eastAsia="fr-FR" w:bidi="fr-FR"/>
        </w:rPr>
        <w:t>v</w:t>
      </w:r>
      <w:r w:rsidRPr="003B3476">
        <w:rPr>
          <w:lang w:val="fr-FR" w:eastAsia="fr-FR" w:bidi="fr-FR"/>
        </w:rPr>
        <w:t xml:space="preserve"> et </w:t>
      </w:r>
      <w:r w:rsidRPr="003B3476">
        <w:rPr>
          <w:smallCaps/>
          <w:lang w:val="fr-FR" w:eastAsia="fr-FR" w:bidi="fr-FR"/>
        </w:rPr>
        <w:t>vi </w:t>
      </w:r>
      <w:r w:rsidRPr="003B3476">
        <w:rPr>
          <w:lang w:val="fr-FR" w:eastAsia="fr-FR" w:bidi="fr-FR"/>
        </w:rPr>
        <w:t xml:space="preserve">— les chapitres </w:t>
      </w:r>
      <w:r w:rsidRPr="003B3476">
        <w:rPr>
          <w:bCs/>
          <w:smallCaps/>
        </w:rPr>
        <w:t>ii</w:t>
      </w:r>
      <w:r w:rsidRPr="003B3476">
        <w:rPr>
          <w:bCs/>
        </w:rPr>
        <w:t xml:space="preserve"> </w:t>
      </w:r>
      <w:r w:rsidRPr="003B3476">
        <w:rPr>
          <w:lang w:val="fr-FR" w:eastAsia="fr-FR" w:bidi="fr-FR"/>
        </w:rPr>
        <w:t xml:space="preserve">et </w:t>
      </w:r>
      <w:r w:rsidRPr="003B3476">
        <w:rPr>
          <w:smallCaps/>
          <w:lang w:val="fr-FR" w:eastAsia="fr-FR" w:bidi="fr-FR"/>
        </w:rPr>
        <w:t>iv</w:t>
      </w:r>
      <w:r w:rsidRPr="003B3476">
        <w:rPr>
          <w:lang w:val="fr-FR" w:eastAsia="fr-FR" w:bidi="fr-FR"/>
        </w:rPr>
        <w:t xml:space="preserve"> de L. Par ailleurs les chapitres </w:t>
      </w:r>
      <w:r w:rsidRPr="003B3476">
        <w:rPr>
          <w:smallCaps/>
          <w:lang w:val="fr-FR" w:eastAsia="fr-FR" w:bidi="fr-FR"/>
        </w:rPr>
        <w:t>vi</w:t>
      </w:r>
      <w:r w:rsidRPr="003B3476">
        <w:rPr>
          <w:lang w:val="fr-FR" w:eastAsia="fr-FR" w:bidi="fr-FR"/>
        </w:rPr>
        <w:t xml:space="preserve"> et </w:t>
      </w:r>
      <w:r w:rsidRPr="003B3476">
        <w:rPr>
          <w:smallCaps/>
          <w:lang w:val="fr-FR" w:eastAsia="fr-FR" w:bidi="fr-FR"/>
        </w:rPr>
        <w:t>vii, xix</w:t>
      </w:r>
      <w:r w:rsidRPr="003B3476">
        <w:rPr>
          <w:lang w:val="fr-FR" w:eastAsia="fr-FR" w:bidi="fr-FR"/>
        </w:rPr>
        <w:t xml:space="preserve"> et </w:t>
      </w:r>
      <w:r w:rsidRPr="003B3476">
        <w:rPr>
          <w:smallCaps/>
          <w:lang w:val="fr-FR" w:eastAsia="fr-FR" w:bidi="fr-FR"/>
        </w:rPr>
        <w:t>xx, xxi</w:t>
      </w:r>
      <w:r w:rsidRPr="003B3476">
        <w:rPr>
          <w:lang w:val="fr-FR" w:eastAsia="fr-FR" w:bidi="fr-FR"/>
        </w:rPr>
        <w:t xml:space="preserve"> et </w:t>
      </w:r>
      <w:r w:rsidRPr="003B3476">
        <w:rPr>
          <w:bCs/>
          <w:smallCaps/>
        </w:rPr>
        <w:t xml:space="preserve">xxii, </w:t>
      </w:r>
      <w:r w:rsidRPr="003B3476">
        <w:rPr>
          <w:smallCaps/>
          <w:lang w:val="fr-FR" w:eastAsia="fr-FR" w:bidi="fr-FR"/>
        </w:rPr>
        <w:t>xxiii</w:t>
      </w:r>
      <w:r w:rsidRPr="003B3476">
        <w:rPr>
          <w:lang w:val="fr-FR" w:eastAsia="fr-FR" w:bidi="fr-FR"/>
        </w:rPr>
        <w:t xml:space="preserve"> et </w:t>
      </w:r>
      <w:r w:rsidRPr="003B3476">
        <w:rPr>
          <w:smallCaps/>
          <w:lang w:val="fr-FR" w:eastAsia="fr-FR" w:bidi="fr-FR"/>
        </w:rPr>
        <w:t>xxiv</w:t>
      </w:r>
      <w:r w:rsidRPr="003B3476">
        <w:rPr>
          <w:lang w:val="fr-FR" w:eastAsia="fr-FR" w:bidi="fr-FR"/>
        </w:rPr>
        <w:t xml:space="preserve"> de L forment respectivement les chapitres </w:t>
      </w:r>
      <w:r w:rsidRPr="003B3476">
        <w:rPr>
          <w:smallCaps/>
          <w:lang w:val="fr-FR" w:eastAsia="fr-FR" w:bidi="fr-FR"/>
        </w:rPr>
        <w:t xml:space="preserve">viii, xxi, </w:t>
      </w:r>
      <w:r w:rsidRPr="003B3476">
        <w:rPr>
          <w:bCs/>
          <w:smallCaps/>
        </w:rPr>
        <w:t>xxii</w:t>
      </w:r>
      <w:r w:rsidRPr="003B3476">
        <w:rPr>
          <w:bCs/>
        </w:rPr>
        <w:t xml:space="preserve">, </w:t>
      </w:r>
      <w:r w:rsidRPr="003B3476">
        <w:rPr>
          <w:lang w:val="fr-FR" w:eastAsia="fr-FR" w:bidi="fr-FR"/>
        </w:rPr>
        <w:t xml:space="preserve">et </w:t>
      </w:r>
      <w:r w:rsidRPr="003B3476">
        <w:rPr>
          <w:smallCaps/>
          <w:lang w:val="fr-FR" w:eastAsia="fr-FR" w:bidi="fr-FR"/>
        </w:rPr>
        <w:t>xxiii</w:t>
      </w:r>
      <w:r w:rsidRPr="003B3476">
        <w:rPr>
          <w:lang w:val="fr-FR" w:eastAsia="fr-FR" w:bidi="fr-FR"/>
        </w:rPr>
        <w:t xml:space="preserve"> de C.</w:t>
      </w:r>
    </w:p>
  </w:footnote>
  <w:footnote w:id="1199">
    <w:p w14:paraId="13CBB4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En France, par exemple, un vitrail de la cathédrale d’Amiens (G. </w:t>
      </w:r>
      <w:r w:rsidRPr="003B3476">
        <w:rPr>
          <w:rStyle w:val="Notedebasdepage65ptPetitesmajuscules"/>
          <w:b w:val="0"/>
          <w:sz w:val="24"/>
        </w:rPr>
        <w:t xml:space="preserve">Durand, </w:t>
      </w:r>
      <w:r w:rsidRPr="003B3476">
        <w:rPr>
          <w:bCs/>
          <w:i/>
        </w:rPr>
        <w:t>Mon</w:t>
      </w:r>
      <w:r w:rsidRPr="003B3476">
        <w:rPr>
          <w:bCs/>
          <w:i/>
        </w:rPr>
        <w:t>o</w:t>
      </w:r>
      <w:r w:rsidRPr="003B3476">
        <w:rPr>
          <w:bCs/>
          <w:i/>
        </w:rPr>
        <w:t>graphie de l’église cathédrale N.-D. d’Amiens</w:t>
      </w:r>
      <w:r w:rsidRPr="003B3476">
        <w:rPr>
          <w:lang w:val="fr-FR" w:eastAsia="fr-FR" w:bidi="fr-FR"/>
        </w:rPr>
        <w:t>, t. I, p. 550). Pour l’Angleterre, les exemples sont extrêmement nombreux.</w:t>
      </w:r>
    </w:p>
  </w:footnote>
  <w:footnote w:id="1200">
    <w:p w14:paraId="08D2F00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Je compte étudier ailleurs les traditions relatives au sort posthume de Sal</w:t>
      </w:r>
      <w:r w:rsidRPr="003B3476">
        <w:rPr>
          <w:lang w:val="fr-FR" w:eastAsia="fr-FR" w:bidi="fr-FR"/>
        </w:rPr>
        <w:t>o</w:t>
      </w:r>
      <w:r w:rsidRPr="003B3476">
        <w:rPr>
          <w:lang w:val="fr-FR" w:eastAsia="fr-FR" w:bidi="fr-FR"/>
        </w:rPr>
        <w:t xml:space="preserve">mon. </w:t>
      </w:r>
      <w:r w:rsidRPr="003B3476">
        <w:rPr>
          <w:bCs/>
        </w:rPr>
        <w:t>(</w:t>
      </w:r>
      <w:r w:rsidRPr="003B3476">
        <w:rPr>
          <w:bCs/>
          <w:i/>
        </w:rPr>
        <w:t>Cf.</w:t>
      </w:r>
      <w:r w:rsidRPr="003B3476">
        <w:rPr>
          <w:bCs/>
        </w:rPr>
        <w:t xml:space="preserve"> </w:t>
      </w:r>
      <w:r w:rsidRPr="003B3476">
        <w:rPr>
          <w:bCs/>
          <w:i/>
        </w:rPr>
        <w:t>supra</w:t>
      </w:r>
      <w:r w:rsidRPr="003B3476">
        <w:rPr>
          <w:lang w:val="fr-FR" w:eastAsia="fr-FR" w:bidi="fr-FR"/>
        </w:rPr>
        <w:t xml:space="preserve">, p. 920-938). Une légende, non tout à fait pareille à celle du ms. de Cambridge, mais de sens analogue, a été rapportée par Jean </w:t>
      </w:r>
      <w:r w:rsidRPr="003B3476">
        <w:rPr>
          <w:rStyle w:val="Notedebasdepage65ptPetitesmajuscules"/>
          <w:b w:val="0"/>
          <w:sz w:val="24"/>
        </w:rPr>
        <w:t>Jouvenel des U</w:t>
      </w:r>
      <w:r w:rsidRPr="003B3476">
        <w:rPr>
          <w:rStyle w:val="Notedebasdepage65ptPetitesmajuscules"/>
          <w:b w:val="0"/>
          <w:sz w:val="24"/>
        </w:rPr>
        <w:t>r</w:t>
      </w:r>
      <w:r w:rsidRPr="003B3476">
        <w:rPr>
          <w:rStyle w:val="Notedebasdepage65ptPetitesmajuscules"/>
          <w:b w:val="0"/>
          <w:sz w:val="24"/>
        </w:rPr>
        <w:t xml:space="preserve">sins, </w:t>
      </w:r>
      <w:r w:rsidRPr="003B3476">
        <w:rPr>
          <w:bCs/>
          <w:i/>
        </w:rPr>
        <w:t>Histoire de Charles</w:t>
      </w:r>
      <w:r w:rsidRPr="003B3476">
        <w:rPr>
          <w:i/>
          <w:lang w:val="fr-FR" w:eastAsia="fr-FR" w:bidi="fr-FR"/>
        </w:rPr>
        <w:t xml:space="preserve"> VI</w:t>
      </w:r>
      <w:r w:rsidRPr="003B3476">
        <w:rPr>
          <w:lang w:val="fr-FR" w:eastAsia="fr-FR" w:bidi="fr-FR"/>
        </w:rPr>
        <w:t xml:space="preserve">, éd. </w:t>
      </w:r>
      <w:r w:rsidRPr="003B3476">
        <w:rPr>
          <w:rStyle w:val="Notedebasdepage65ptPetitesmajuscules"/>
          <w:b w:val="0"/>
          <w:sz w:val="24"/>
        </w:rPr>
        <w:t xml:space="preserve">Michaud </w:t>
      </w:r>
      <w:r w:rsidRPr="003B3476">
        <w:rPr>
          <w:lang w:val="fr-FR" w:eastAsia="fr-FR" w:bidi="fr-FR"/>
        </w:rPr>
        <w:t xml:space="preserve">et </w:t>
      </w:r>
      <w:r w:rsidRPr="003B3476">
        <w:rPr>
          <w:rStyle w:val="Notedebasdepage65ptPetitesmajuscules"/>
          <w:b w:val="0"/>
          <w:sz w:val="24"/>
        </w:rPr>
        <w:t xml:space="preserve">Poujoulat </w:t>
      </w:r>
      <w:r w:rsidRPr="003B3476">
        <w:rPr>
          <w:lang w:val="fr-FR" w:eastAsia="fr-FR" w:bidi="fr-FR"/>
        </w:rPr>
        <w:t xml:space="preserve">dans </w:t>
      </w:r>
      <w:r w:rsidRPr="003B3476">
        <w:rPr>
          <w:bCs/>
          <w:i/>
        </w:rPr>
        <w:t>Nouv. collection des mémo</w:t>
      </w:r>
      <w:r w:rsidRPr="003B3476">
        <w:rPr>
          <w:bCs/>
          <w:i/>
        </w:rPr>
        <w:t>i</w:t>
      </w:r>
      <w:r w:rsidRPr="003B3476">
        <w:rPr>
          <w:bCs/>
          <w:i/>
        </w:rPr>
        <w:t>res pour servir à l’Hist. de France</w:t>
      </w:r>
      <w:r w:rsidRPr="003B3476">
        <w:rPr>
          <w:lang w:val="fr-FR" w:eastAsia="fr-FR" w:bidi="fr-FR"/>
        </w:rPr>
        <w:t>, 1</w:t>
      </w:r>
      <w:r w:rsidRPr="003B3476">
        <w:rPr>
          <w:vertAlign w:val="superscript"/>
          <w:lang w:val="fr-FR" w:eastAsia="fr-FR" w:bidi="fr-FR"/>
        </w:rPr>
        <w:t>re</w:t>
      </w:r>
      <w:r w:rsidRPr="003B3476">
        <w:rPr>
          <w:lang w:val="fr-FR" w:eastAsia="fr-FR" w:bidi="fr-FR"/>
        </w:rPr>
        <w:t xml:space="preserve"> série, t. II, p. 425. Par ailleurs, on po</w:t>
      </w:r>
      <w:r w:rsidRPr="003B3476">
        <w:rPr>
          <w:lang w:val="fr-FR" w:eastAsia="fr-FR" w:bidi="fr-FR"/>
        </w:rPr>
        <w:t>s</w:t>
      </w:r>
      <w:r w:rsidRPr="003B3476">
        <w:rPr>
          <w:lang w:val="fr-FR" w:eastAsia="fr-FR" w:bidi="fr-FR"/>
        </w:rPr>
        <w:t xml:space="preserve">sède un traité de Philippe de Harvengt, abbé du monastère prémontré de Bonne-Espérance (mort le 11 avril 1183) </w:t>
      </w:r>
      <w:r w:rsidRPr="003B3476">
        <w:rPr>
          <w:bCs/>
          <w:i/>
        </w:rPr>
        <w:t>De damnatione Sal</w:t>
      </w:r>
      <w:r w:rsidRPr="003B3476">
        <w:rPr>
          <w:bCs/>
          <w:i/>
        </w:rPr>
        <w:t>o</w:t>
      </w:r>
      <w:r w:rsidRPr="003B3476">
        <w:rPr>
          <w:bCs/>
          <w:i/>
        </w:rPr>
        <w:t>monis</w:t>
      </w:r>
      <w:r w:rsidRPr="003B3476">
        <w:rPr>
          <w:bCs/>
          <w:i/>
          <w:vertAlign w:val="subscript"/>
        </w:rPr>
        <w:t>t</w:t>
      </w:r>
      <w:r w:rsidRPr="003B3476">
        <w:rPr>
          <w:bCs/>
          <w:vertAlign w:val="subscript"/>
        </w:rPr>
        <w:t xml:space="preserve"> </w:t>
      </w:r>
      <w:r w:rsidRPr="003B3476">
        <w:rPr>
          <w:lang w:val="fr-FR" w:eastAsia="fr-FR" w:bidi="fr-FR"/>
        </w:rPr>
        <w:t>écrit en réponse à un opuscule, de sens contraire, qui semble a</w:t>
      </w:r>
      <w:r w:rsidRPr="003B3476">
        <w:rPr>
          <w:lang w:val="fr-FR" w:eastAsia="fr-FR" w:bidi="fr-FR"/>
        </w:rPr>
        <w:t>u</w:t>
      </w:r>
      <w:r w:rsidRPr="003B3476">
        <w:rPr>
          <w:lang w:val="fr-FR" w:eastAsia="fr-FR" w:bidi="fr-FR"/>
        </w:rPr>
        <w:t>jourd’hui perdu (</w:t>
      </w:r>
      <w:r w:rsidRPr="003B3476">
        <w:rPr>
          <w:i/>
          <w:lang w:val="fr-FR" w:eastAsia="fr-FR" w:bidi="fr-FR"/>
        </w:rPr>
        <w:t>P. L</w:t>
      </w:r>
      <w:r w:rsidRPr="003B3476">
        <w:rPr>
          <w:lang w:val="fr-FR" w:eastAsia="fr-FR" w:bidi="fr-FR"/>
        </w:rPr>
        <w:t xml:space="preserve">., t. CCIII ; </w:t>
      </w:r>
      <w:r w:rsidRPr="003B3476">
        <w:rPr>
          <w:bCs/>
          <w:i/>
        </w:rPr>
        <w:t>cf.</w:t>
      </w:r>
      <w:r w:rsidRPr="003B3476">
        <w:rPr>
          <w:lang w:val="fr-FR" w:eastAsia="fr-FR" w:bidi="fr-FR"/>
        </w:rPr>
        <w:t xml:space="preserve"> Ursmer </w:t>
      </w:r>
      <w:r w:rsidRPr="003B3476">
        <w:rPr>
          <w:rStyle w:val="Notedebasdepage65ptPetitesmajuscules"/>
          <w:b w:val="0"/>
          <w:sz w:val="24"/>
        </w:rPr>
        <w:t xml:space="preserve">Berlière, </w:t>
      </w:r>
      <w:r w:rsidRPr="003B3476">
        <w:rPr>
          <w:bCs/>
          <w:i/>
        </w:rPr>
        <w:t>Revue bénédictine</w:t>
      </w:r>
      <w:r w:rsidRPr="003B3476">
        <w:rPr>
          <w:lang w:val="fr-FR" w:eastAsia="fr-FR" w:bidi="fr-FR"/>
        </w:rPr>
        <w:t xml:space="preserve">, 1892, p. 197). La même question avait préoccupé les rabbins ; voir à ce sujet l’article » Salomon » de la </w:t>
      </w:r>
      <w:r w:rsidRPr="003B3476">
        <w:rPr>
          <w:bCs/>
          <w:i/>
        </w:rPr>
        <w:t>Jewish Encyclopaedia</w:t>
      </w:r>
      <w:r w:rsidRPr="003B3476">
        <w:rPr>
          <w:bCs/>
        </w:rPr>
        <w:t>.</w:t>
      </w:r>
      <w:r w:rsidRPr="003B3476">
        <w:rPr>
          <w:lang w:val="fr-FR" w:eastAsia="fr-FR" w:bidi="fr-FR"/>
        </w:rPr>
        <w:t xml:space="preserve"> Sur l’iconographie de S</w:t>
      </w:r>
      <w:r w:rsidRPr="003B3476">
        <w:rPr>
          <w:lang w:val="fr-FR" w:eastAsia="fr-FR" w:bidi="fr-FR"/>
        </w:rPr>
        <w:t>a</w:t>
      </w:r>
      <w:r w:rsidRPr="003B3476">
        <w:rPr>
          <w:lang w:val="fr-FR" w:eastAsia="fr-FR" w:bidi="fr-FR"/>
        </w:rPr>
        <w:t xml:space="preserve">lomon, de nombreuses références ont été réunies par H. </w:t>
      </w:r>
      <w:r w:rsidRPr="003B3476">
        <w:rPr>
          <w:rStyle w:val="Notedebasdepage65ptPetitesmajuscules"/>
          <w:b w:val="0"/>
          <w:sz w:val="24"/>
        </w:rPr>
        <w:t>Oidtmann</w:t>
      </w:r>
      <w:r w:rsidRPr="003B3476">
        <w:rPr>
          <w:rStyle w:val="Notedebasdepage65ptPetitesmajuscules"/>
          <w:b w:val="0"/>
          <w:i/>
          <w:sz w:val="24"/>
        </w:rPr>
        <w:t xml:space="preserve">, </w:t>
      </w:r>
      <w:r w:rsidRPr="003B3476">
        <w:rPr>
          <w:bCs/>
          <w:i/>
        </w:rPr>
        <w:t>Die Ge</w:t>
      </w:r>
      <w:r w:rsidRPr="003B3476">
        <w:rPr>
          <w:bCs/>
          <w:i/>
        </w:rPr>
        <w:t>s</w:t>
      </w:r>
      <w:r w:rsidRPr="003B3476">
        <w:rPr>
          <w:bCs/>
          <w:i/>
        </w:rPr>
        <w:t>chichte der Glasmalerei</w:t>
      </w:r>
      <w:r w:rsidRPr="003B3476">
        <w:rPr>
          <w:lang w:val="fr-FR" w:eastAsia="fr-FR" w:bidi="fr-FR"/>
        </w:rPr>
        <w:t xml:space="preserve"> (Cologne, 1898), p. 283 ; </w:t>
      </w:r>
      <w:r w:rsidRPr="003B3476">
        <w:rPr>
          <w:bCs/>
          <w:i/>
        </w:rPr>
        <w:t>cf.</w:t>
      </w:r>
      <w:r w:rsidRPr="003B3476">
        <w:rPr>
          <w:lang w:val="fr-FR" w:eastAsia="fr-FR" w:bidi="fr-FR"/>
        </w:rPr>
        <w:t xml:space="preserve"> aussi P. </w:t>
      </w:r>
      <w:r w:rsidRPr="003B3476">
        <w:rPr>
          <w:rStyle w:val="Notedebasdepage65ptPetitesmajuscules"/>
          <w:b w:val="0"/>
          <w:sz w:val="24"/>
        </w:rPr>
        <w:t xml:space="preserve">Perdrizet, </w:t>
      </w:r>
      <w:r w:rsidRPr="003B3476">
        <w:rPr>
          <w:bCs/>
          <w:i/>
        </w:rPr>
        <w:t>Ét</w:t>
      </w:r>
      <w:r w:rsidRPr="003B3476">
        <w:rPr>
          <w:bCs/>
          <w:i/>
        </w:rPr>
        <w:t>u</w:t>
      </w:r>
      <w:r w:rsidRPr="003B3476">
        <w:rPr>
          <w:bCs/>
          <w:i/>
        </w:rPr>
        <w:t>de sur le Speculum humanae salvationis,</w:t>
      </w:r>
      <w:r w:rsidRPr="003B3476">
        <w:rPr>
          <w:lang w:val="fr-FR" w:eastAsia="fr-FR" w:bidi="fr-FR"/>
        </w:rPr>
        <w:t xml:space="preserve"> p. 43 et E. </w:t>
      </w:r>
      <w:r w:rsidRPr="003B3476">
        <w:rPr>
          <w:rStyle w:val="Notedebasdepage65ptPetitesmajuscules"/>
          <w:b w:val="0"/>
          <w:sz w:val="24"/>
        </w:rPr>
        <w:t xml:space="preserve">Mâle, </w:t>
      </w:r>
      <w:r w:rsidRPr="003B3476">
        <w:rPr>
          <w:bCs/>
          <w:i/>
        </w:rPr>
        <w:t>L’art religieux du XIII</w:t>
      </w:r>
      <w:r w:rsidRPr="003B3476">
        <w:rPr>
          <w:bCs/>
          <w:i/>
          <w:vertAlign w:val="superscript"/>
        </w:rPr>
        <w:t>e</w:t>
      </w:r>
      <w:r w:rsidRPr="003B3476">
        <w:rPr>
          <w:bCs/>
          <w:i/>
        </w:rPr>
        <w:t xml:space="preserve"> siècle,</w:t>
      </w:r>
      <w:r w:rsidRPr="003B3476">
        <w:rPr>
          <w:lang w:val="fr-FR" w:eastAsia="fr-FR" w:bidi="fr-FR"/>
        </w:rPr>
        <w:t xml:space="preserve"> p. 190. On pourrait être tenté d’attribuer au récit du ms. de Ca</w:t>
      </w:r>
      <w:r w:rsidRPr="003B3476">
        <w:rPr>
          <w:lang w:val="fr-FR" w:eastAsia="fr-FR" w:bidi="fr-FR"/>
        </w:rPr>
        <w:t>m</w:t>
      </w:r>
      <w:r w:rsidRPr="003B3476">
        <w:rPr>
          <w:lang w:val="fr-FR" w:eastAsia="fr-FR" w:bidi="fr-FR"/>
        </w:rPr>
        <w:t>bridge une origine orientale ; je n’ai jusqu’ici rien trouvé ni dans les légendes hébraïques, ni dans les légendes arabes qui puisse s’en rapprocher. On rema</w:t>
      </w:r>
      <w:r w:rsidRPr="003B3476">
        <w:rPr>
          <w:lang w:val="fr-FR" w:eastAsia="fr-FR" w:bidi="fr-FR"/>
        </w:rPr>
        <w:t>r</w:t>
      </w:r>
      <w:r w:rsidRPr="003B3476">
        <w:rPr>
          <w:lang w:val="fr-FR" w:eastAsia="fr-FR" w:bidi="fr-FR"/>
        </w:rPr>
        <w:t xml:space="preserve">quera que le même miracle est narré d’une façon toute différente par </w:t>
      </w:r>
      <w:r w:rsidRPr="003B3476">
        <w:rPr>
          <w:rStyle w:val="Notedebasdepage65ptPetitesmajuscules"/>
          <w:b w:val="0"/>
          <w:sz w:val="24"/>
        </w:rPr>
        <w:t xml:space="preserve">Ailred, </w:t>
      </w:r>
      <w:r w:rsidRPr="003B3476">
        <w:rPr>
          <w:lang w:val="fr-FR" w:eastAsia="fr-FR" w:bidi="fr-FR"/>
        </w:rPr>
        <w:t>col. 397.</w:t>
      </w:r>
    </w:p>
  </w:footnote>
  <w:footnote w:id="1201">
    <w:p w14:paraId="1F4F4F1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xml:space="preserve">, p. 1022. « Attamen </w:t>
      </w:r>
      <w:r w:rsidRPr="003B3476">
        <w:rPr>
          <w:bCs/>
          <w:i/>
        </w:rPr>
        <w:t>unum</w:t>
      </w:r>
      <w:r w:rsidRPr="003B3476">
        <w:rPr>
          <w:lang w:val="fr-FR" w:eastAsia="fr-FR" w:bidi="fr-FR"/>
        </w:rPr>
        <w:t xml:space="preserve"> restat quia liber clausulam postulat ».</w:t>
      </w:r>
    </w:p>
  </w:footnote>
  <w:footnote w:id="1202">
    <w:p w14:paraId="409A7D6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Infra</w:t>
      </w:r>
      <w:r w:rsidRPr="003B3476">
        <w:rPr>
          <w:lang w:val="fr-FR" w:eastAsia="fr-FR" w:bidi="fr-FR"/>
        </w:rPr>
        <w:t xml:space="preserve">, chap. </w:t>
      </w:r>
      <w:r w:rsidRPr="003B3476">
        <w:rPr>
          <w:smallCaps/>
          <w:lang w:val="fr-FR" w:eastAsia="fr-FR" w:bidi="fr-FR"/>
        </w:rPr>
        <w:t>xxx</w:t>
      </w:r>
      <w:r w:rsidRPr="003B3476">
        <w:rPr>
          <w:lang w:val="fr-FR" w:eastAsia="fr-FR" w:bidi="fr-FR"/>
        </w:rPr>
        <w:t>. Dans ce chapitre Osbert n’a pas pour unique objet de mettre en lumière l’incorruptibilité du cadavre royal et par suite la sainteté de son h</w:t>
      </w:r>
      <w:r w:rsidRPr="003B3476">
        <w:rPr>
          <w:lang w:val="fr-FR" w:eastAsia="fr-FR" w:bidi="fr-FR"/>
        </w:rPr>
        <w:t>é</w:t>
      </w:r>
      <w:r w:rsidRPr="003B3476">
        <w:rPr>
          <w:lang w:val="fr-FR" w:eastAsia="fr-FR" w:bidi="fr-FR"/>
        </w:rPr>
        <w:t>ros. L’épisode de l’évêque de Rochester, cherchant à arracher un poil à la ba</w:t>
      </w:r>
      <w:r w:rsidRPr="003B3476">
        <w:rPr>
          <w:lang w:val="fr-FR" w:eastAsia="fr-FR" w:bidi="fr-FR"/>
        </w:rPr>
        <w:t>r</w:t>
      </w:r>
      <w:r w:rsidRPr="003B3476">
        <w:rPr>
          <w:lang w:val="fr-FR" w:eastAsia="fr-FR" w:bidi="fr-FR"/>
        </w:rPr>
        <w:t>be du saint roi et renonçant ensuite à cette entreprise malséante, répond à une autre préoccupation. Osbert veut affirmer que seuls les moines de Westmin</w:t>
      </w:r>
      <w:r w:rsidRPr="003B3476">
        <w:rPr>
          <w:lang w:val="fr-FR" w:eastAsia="fr-FR" w:bidi="fr-FR"/>
        </w:rPr>
        <w:t>s</w:t>
      </w:r>
      <w:r w:rsidRPr="003B3476">
        <w:rPr>
          <w:lang w:val="fr-FR" w:eastAsia="fr-FR" w:bidi="fr-FR"/>
        </w:rPr>
        <w:t>ter possèdent, dans leur intégrité, les reliques de leur protecteur.</w:t>
      </w:r>
    </w:p>
  </w:footnote>
  <w:footnote w:id="1203">
    <w:p w14:paraId="01C8990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Ajoutons l’observation suivante. À la différence du récit relatif au miracle de l’anneau, l’épisode de l’ouvrière londonienne, tel qu’il est rapporté par le ms. de Cambridge, offre avec le chapitre correspondant d’Ailred (col. 409) des ressemblances évidentes. En soi, ces ressemblances ne prouvent pas que le morceau soit, dans l’œuvre d’Osbert, une interpolation ; s’il émanait d’Osbert, Ailred eût pu s’en inspirer ; en d’autres termes, il n’est pas possible de décider </w:t>
      </w:r>
      <w:r w:rsidRPr="003B3476">
        <w:rPr>
          <w:bCs/>
          <w:i/>
        </w:rPr>
        <w:t>a priori</w:t>
      </w:r>
      <w:r w:rsidRPr="003B3476">
        <w:rPr>
          <w:lang w:val="fr-FR" w:eastAsia="fr-FR" w:bidi="fr-FR"/>
        </w:rPr>
        <w:t xml:space="preserve"> si Ailred en l’espèce fut le modèle ou le plagiaire. Mais regardons-y de plus près. Il y a entre les deux récits une curieuse divergence. Pour Ailred, la fête qui tombe le jour où les couturières ont un travail pressé est celle de saint Édouard </w:t>
      </w:r>
      <w:r w:rsidRPr="003B3476">
        <w:rPr>
          <w:bCs/>
          <w:i/>
        </w:rPr>
        <w:t>le Martyr </w:t>
      </w:r>
      <w:r w:rsidRPr="003B3476">
        <w:rPr>
          <w:bCs/>
        </w:rPr>
        <w:t>;</w:t>
      </w:r>
      <w:r w:rsidRPr="003B3476">
        <w:rPr>
          <w:lang w:val="fr-FR" w:eastAsia="fr-FR" w:bidi="fr-FR"/>
        </w:rPr>
        <w:t xml:space="preserve"> la patronne demande à son employée si elle croit pouvoir travailler ce jour-là. c Quel est cet Édouard ? est-ce celui que les ru</w:t>
      </w:r>
      <w:r w:rsidRPr="003B3476">
        <w:rPr>
          <w:lang w:val="fr-FR" w:eastAsia="fr-FR" w:bidi="fr-FR"/>
        </w:rPr>
        <w:t>s</w:t>
      </w:r>
      <w:r w:rsidRPr="003B3476">
        <w:rPr>
          <w:lang w:val="fr-FR" w:eastAsia="fr-FR" w:bidi="fr-FR"/>
        </w:rPr>
        <w:t xml:space="preserve">tres vénèrent à Westminster ? que me chaut de lui ? » répond à peu près la jeune femme qui, évidemment peu familière avec l’histoire anglo-saxonne, confond saint Édouard le </w:t>
      </w:r>
      <w:r w:rsidRPr="003B3476">
        <w:rPr>
          <w:bCs/>
          <w:i/>
        </w:rPr>
        <w:t>Martyr</w:t>
      </w:r>
      <w:r w:rsidRPr="003B3476">
        <w:rPr>
          <w:lang w:val="fr-FR" w:eastAsia="fr-FR" w:bidi="fr-FR"/>
        </w:rPr>
        <w:t xml:space="preserve"> avec son neveu le </w:t>
      </w:r>
      <w:r w:rsidRPr="003B3476">
        <w:rPr>
          <w:bCs/>
          <w:i/>
        </w:rPr>
        <w:t>Confesseur </w:t>
      </w:r>
      <w:r w:rsidRPr="003B3476">
        <w:rPr>
          <w:bCs/>
        </w:rPr>
        <w:t>:</w:t>
      </w:r>
      <w:r w:rsidRPr="003B3476">
        <w:rPr>
          <w:lang w:val="fr-FR" w:eastAsia="fr-FR" w:bidi="fr-FR"/>
        </w:rPr>
        <w:t xml:space="preserve"> sur quoi saint Édouard le Confesseur, atteint par l’irrespect de l’ouvrière, en quelque sorte à la place de son oncle, se venge d’abord, comme l’on sait, puis pardonne. Pourquoi cette façon assez singulière de présenter les choses ? C'est qu’au temps où écrit Ailred saint Édouard le </w:t>
      </w:r>
      <w:r w:rsidRPr="003B3476">
        <w:rPr>
          <w:bCs/>
          <w:i/>
        </w:rPr>
        <w:t>Confesseur</w:t>
      </w:r>
      <w:r w:rsidRPr="003B3476">
        <w:rPr>
          <w:bCs/>
        </w:rPr>
        <w:t>,</w:t>
      </w:r>
      <w:r w:rsidRPr="003B3476">
        <w:rPr>
          <w:lang w:val="fr-FR" w:eastAsia="fr-FR" w:bidi="fr-FR"/>
        </w:rPr>
        <w:t xml:space="preserve"> n’étant pas encore canon</w:t>
      </w:r>
      <w:r w:rsidRPr="003B3476">
        <w:rPr>
          <w:lang w:val="fr-FR" w:eastAsia="fr-FR" w:bidi="fr-FR"/>
        </w:rPr>
        <w:t>i</w:t>
      </w:r>
      <w:r w:rsidRPr="003B3476">
        <w:rPr>
          <w:lang w:val="fr-FR" w:eastAsia="fr-FR" w:bidi="fr-FR"/>
        </w:rPr>
        <w:t>sé, n’a pas de fête régulière qu’il faille chômer ; tandis que la fête de saint Édouard le Martyr est depuis longtemps une solennité reconnue (depuis le d</w:t>
      </w:r>
      <w:r w:rsidRPr="003B3476">
        <w:rPr>
          <w:lang w:val="fr-FR" w:eastAsia="fr-FR" w:bidi="fr-FR"/>
        </w:rPr>
        <w:t>é</w:t>
      </w:r>
      <w:r w:rsidRPr="003B3476">
        <w:rPr>
          <w:lang w:val="fr-FR" w:eastAsia="fr-FR" w:bidi="fr-FR"/>
        </w:rPr>
        <w:t xml:space="preserve">but du </w:t>
      </w:r>
      <w:r w:rsidRPr="003B3476">
        <w:rPr>
          <w:caps/>
          <w:lang w:val="fr-FR" w:eastAsia="fr-FR" w:bidi="fr-FR"/>
        </w:rPr>
        <w:t>xi</w:t>
      </w:r>
      <w:r w:rsidRPr="003B3476">
        <w:rPr>
          <w:vertAlign w:val="superscript"/>
          <w:lang w:val="fr-FR" w:eastAsia="fr-FR" w:bidi="fr-FR"/>
        </w:rPr>
        <w:t>e</w:t>
      </w:r>
      <w:r w:rsidRPr="003B3476">
        <w:rPr>
          <w:lang w:val="fr-FR" w:eastAsia="fr-FR" w:bidi="fr-FR"/>
        </w:rPr>
        <w:t xml:space="preserve"> siècle : </w:t>
      </w:r>
      <w:r w:rsidRPr="003B3476">
        <w:rPr>
          <w:bCs/>
          <w:i/>
        </w:rPr>
        <w:t>cf.</w:t>
      </w:r>
      <w:r w:rsidRPr="003B3476">
        <w:rPr>
          <w:lang w:val="fr-FR" w:eastAsia="fr-FR" w:bidi="fr-FR"/>
        </w:rPr>
        <w:t xml:space="preserve"> </w:t>
      </w:r>
      <w:r w:rsidRPr="003B3476">
        <w:rPr>
          <w:rStyle w:val="Notedebasdepage65ptPetitesmajuscules"/>
          <w:b w:val="0"/>
          <w:sz w:val="24"/>
        </w:rPr>
        <w:t xml:space="preserve">Freeman, </w:t>
      </w:r>
      <w:r w:rsidRPr="003B3476">
        <w:rPr>
          <w:lang w:val="fr-FR" w:eastAsia="fr-FR" w:bidi="fr-FR"/>
        </w:rPr>
        <w:t>t. I, p. 334). Dans le manuscrit de Cambridge au contraire le récit apparaît sous une forme simplifiée ; plus de confusion e</w:t>
      </w:r>
      <w:r w:rsidRPr="003B3476">
        <w:rPr>
          <w:lang w:val="fr-FR" w:eastAsia="fr-FR" w:bidi="fr-FR"/>
        </w:rPr>
        <w:t>n</w:t>
      </w:r>
      <w:r w:rsidRPr="003B3476">
        <w:rPr>
          <w:lang w:val="fr-FR" w:eastAsia="fr-FR" w:bidi="fr-FR"/>
        </w:rPr>
        <w:t>tre les deux saints ; la fête que la jeune impie refuse de célébrer est tout un</w:t>
      </w:r>
      <w:r w:rsidRPr="003B3476">
        <w:rPr>
          <w:lang w:val="fr-FR" w:eastAsia="fr-FR" w:bidi="fr-FR"/>
        </w:rPr>
        <w:t>i</w:t>
      </w:r>
      <w:r w:rsidRPr="003B3476">
        <w:rPr>
          <w:lang w:val="fr-FR" w:eastAsia="fr-FR" w:bidi="fr-FR"/>
        </w:rPr>
        <w:t>ment celle du Confesseur. Évidemment le rédacteur de l’épisode écrit après la c</w:t>
      </w:r>
      <w:r w:rsidRPr="003B3476">
        <w:rPr>
          <w:lang w:val="fr-FR" w:eastAsia="fr-FR" w:bidi="fr-FR"/>
        </w:rPr>
        <w:t>a</w:t>
      </w:r>
      <w:r w:rsidRPr="003B3476">
        <w:rPr>
          <w:lang w:val="fr-FR" w:eastAsia="fr-FR" w:bidi="fr-FR"/>
        </w:rPr>
        <w:t>nonisation de saint Édouard le Confesseur. Il ne peut donc être identifié avec Osbert. — Les différences du style tendraient à faire croire que les deux mir</w:t>
      </w:r>
      <w:r w:rsidRPr="003B3476">
        <w:rPr>
          <w:lang w:val="fr-FR" w:eastAsia="fr-FR" w:bidi="fr-FR"/>
        </w:rPr>
        <w:t>a</w:t>
      </w:r>
      <w:r w:rsidRPr="003B3476">
        <w:rPr>
          <w:lang w:val="fr-FR" w:eastAsia="fr-FR" w:bidi="fr-FR"/>
        </w:rPr>
        <w:t>cles interpolés — celui de l’anneau et celui de la couturière — sont l’œuvre de deux auteurs différents.</w:t>
      </w:r>
    </w:p>
  </w:footnote>
  <w:footnote w:id="1204">
    <w:p w14:paraId="07A4650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P. 110, n° II.</w:t>
      </w:r>
    </w:p>
  </w:footnote>
  <w:footnote w:id="1205">
    <w:p w14:paraId="48C3DD0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Toutefois je me suis écarté de cette règle sur les deux points suivants : 1° le scribe de L avait un « tic » particulier : de temps en temps il oublie une lettre dans un mot (qu’ailleurs il orthographie parfaitement) : par exemple il écrit </w:t>
      </w:r>
      <w:r w:rsidRPr="003B3476">
        <w:rPr>
          <w:bCs/>
          <w:i/>
        </w:rPr>
        <w:t>misericordam</w:t>
      </w:r>
      <w:r w:rsidRPr="003B3476">
        <w:rPr>
          <w:i/>
          <w:lang w:val="fr-FR" w:eastAsia="fr-FR" w:bidi="fr-FR"/>
        </w:rPr>
        <w:t xml:space="preserve"> pour </w:t>
      </w:r>
      <w:r w:rsidRPr="003B3476">
        <w:rPr>
          <w:bCs/>
          <w:i/>
        </w:rPr>
        <w:t>misericordiam</w:t>
      </w:r>
      <w:r w:rsidRPr="003B3476">
        <w:rPr>
          <w:lang w:val="fr-FR" w:eastAsia="fr-FR" w:bidi="fr-FR"/>
        </w:rPr>
        <w:t>, — </w:t>
      </w:r>
      <w:r w:rsidRPr="003B3476">
        <w:rPr>
          <w:bCs/>
          <w:i/>
        </w:rPr>
        <w:t>pretera</w:t>
      </w:r>
      <w:r w:rsidRPr="003B3476">
        <w:rPr>
          <w:bCs/>
        </w:rPr>
        <w:t xml:space="preserve"> </w:t>
      </w:r>
      <w:r w:rsidRPr="003B3476">
        <w:rPr>
          <w:lang w:val="fr-FR" w:eastAsia="fr-FR" w:bidi="fr-FR"/>
        </w:rPr>
        <w:t xml:space="preserve">pour </w:t>
      </w:r>
      <w:r w:rsidRPr="003B3476">
        <w:rPr>
          <w:bCs/>
          <w:i/>
        </w:rPr>
        <w:t>preterea</w:t>
      </w:r>
      <w:r w:rsidRPr="003B3476">
        <w:rPr>
          <w:lang w:val="fr-FR" w:eastAsia="fr-FR" w:bidi="fr-FR"/>
        </w:rPr>
        <w:t xml:space="preserve">, etc. J’ai dans les cas de cette sorte rétabli simplement l’orthographe correcte, sans croire devoir surcharger </w:t>
      </w:r>
      <w:r w:rsidRPr="003B3476">
        <w:rPr>
          <w:bCs/>
        </w:rPr>
        <w:t>l’</w:t>
      </w:r>
      <w:r w:rsidRPr="003B3476">
        <w:rPr>
          <w:bCs/>
          <w:i/>
        </w:rPr>
        <w:t>apparatus</w:t>
      </w:r>
      <w:r w:rsidRPr="003B3476">
        <w:rPr>
          <w:lang w:val="fr-FR" w:eastAsia="fr-FR" w:bidi="fr-FR"/>
        </w:rPr>
        <w:t xml:space="preserve"> d’une mention bien inutile ; 2° le même scribe transcrit l’ae latin tantôt par un e simple, tantôt par un cédillé, sans aucune règle fixe. Des nécessités typographiques m’ont amené à adopter partout l’e simple. J’ai rétabli pour les chapitres une numérotation continue.</w:t>
      </w:r>
    </w:p>
  </w:footnote>
  <w:footnote w:id="1206">
    <w:p w14:paraId="1D0394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tab/>
      </w:r>
      <w:r w:rsidRPr="003B3476">
        <w:rPr>
          <w:lang w:val="fr-FR" w:eastAsia="fr-FR" w:bidi="fr-FR"/>
        </w:rPr>
        <w:t xml:space="preserve">Là où j’ai substitué à une leçon de L une leçon de C, </w:t>
      </w:r>
      <w:r w:rsidRPr="003B3476">
        <w:rPr>
          <w:bCs/>
        </w:rPr>
        <w:t>l’</w:t>
      </w:r>
      <w:r w:rsidRPr="003B3476">
        <w:rPr>
          <w:bCs/>
          <w:i/>
        </w:rPr>
        <w:t>apparatus</w:t>
      </w:r>
      <w:r w:rsidRPr="003B3476">
        <w:rPr>
          <w:lang w:val="fr-FR" w:eastAsia="fr-FR" w:bidi="fr-FR"/>
        </w:rPr>
        <w:t xml:space="preserve"> indique si</w:t>
      </w:r>
      <w:r w:rsidRPr="003B3476">
        <w:rPr>
          <w:lang w:val="fr-FR" w:eastAsia="fr-FR" w:bidi="fr-FR"/>
        </w:rPr>
        <w:t>m</w:t>
      </w:r>
      <w:r w:rsidRPr="003B3476">
        <w:rPr>
          <w:lang w:val="fr-FR" w:eastAsia="fr-FR" w:bidi="fr-FR"/>
        </w:rPr>
        <w:t xml:space="preserve">plement la leçon de L ; là où ma correction est purement conjecturale, </w:t>
      </w:r>
      <w:r w:rsidRPr="003B3476">
        <w:rPr>
          <w:bCs/>
        </w:rPr>
        <w:t>l’</w:t>
      </w:r>
      <w:r w:rsidRPr="003B3476">
        <w:rPr>
          <w:bCs/>
          <w:i/>
        </w:rPr>
        <w:t>apparatus</w:t>
      </w:r>
      <w:r w:rsidRPr="003B3476">
        <w:rPr>
          <w:lang w:val="fr-FR" w:eastAsia="fr-FR" w:bidi="fr-FR"/>
        </w:rPr>
        <w:t xml:space="preserve"> mentionne les leçons des deux manuscrits, ou bien, si le passage manque dans C, indique cette lacune.</w:t>
      </w:r>
    </w:p>
  </w:footnote>
  <w:footnote w:id="1207">
    <w:p w14:paraId="2D74290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Le scribe de C, qui était anglais, donne d’ordinaire pour les noms propres de personnes une graphie certainement supérieure à celle du scribe allemand de L : par exemple il écrit Edghicta (p. 12 de notre édition) ou Edida, avec le s</w:t>
      </w:r>
      <w:r w:rsidRPr="003B3476">
        <w:rPr>
          <w:lang w:val="fr-FR" w:eastAsia="fr-FR" w:bidi="fr-FR"/>
        </w:rPr>
        <w:t>e</w:t>
      </w:r>
      <w:r w:rsidRPr="003B3476">
        <w:rPr>
          <w:lang w:val="fr-FR" w:eastAsia="fr-FR" w:bidi="fr-FR"/>
        </w:rPr>
        <w:t xml:space="preserve">cond </w:t>
      </w:r>
      <w:r w:rsidRPr="003B3476">
        <w:rPr>
          <w:bCs/>
          <w:i/>
        </w:rPr>
        <w:t>d</w:t>
      </w:r>
      <w:r w:rsidRPr="003B3476">
        <w:rPr>
          <w:lang w:val="fr-FR" w:eastAsia="fr-FR" w:bidi="fr-FR"/>
        </w:rPr>
        <w:t xml:space="preserve"> barré — le </w:t>
      </w:r>
      <w:r w:rsidRPr="003B3476">
        <w:rPr>
          <w:bCs/>
          <w:i/>
        </w:rPr>
        <w:t>th</w:t>
      </w:r>
      <w:r w:rsidRPr="003B3476">
        <w:rPr>
          <w:lang w:val="fr-FR" w:eastAsia="fr-FR" w:bidi="fr-FR"/>
        </w:rPr>
        <w:t xml:space="preserve"> anglais d’aujourd’hui — (p. 20) là où L donne Edeiha. Mais le fait que C ne représente qu’un texte abrégé rendait impossible de substituer sa graphie à celle de L.</w:t>
      </w:r>
    </w:p>
  </w:footnote>
  <w:footnote w:id="1208">
    <w:p w14:paraId="5C56B3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L’ouvrage d’Osbert, dans son ensemble, était jusqu’ici inédit. Toutefois il faut signaler 1° qu’une partie du chapitre </w:t>
      </w:r>
      <w:r w:rsidRPr="003B3476">
        <w:rPr>
          <w:smallCaps/>
          <w:lang w:val="fr-FR" w:eastAsia="fr-FR" w:bidi="fr-FR"/>
        </w:rPr>
        <w:t>iv</w:t>
      </w:r>
      <w:r w:rsidRPr="003B3476">
        <w:rPr>
          <w:lang w:val="fr-FR" w:eastAsia="fr-FR" w:bidi="fr-FR"/>
        </w:rPr>
        <w:t xml:space="preserve"> (de </w:t>
      </w:r>
      <w:r w:rsidRPr="003B3476">
        <w:rPr>
          <w:bCs/>
          <w:i/>
        </w:rPr>
        <w:t>decentissima hominis erat persona</w:t>
      </w:r>
      <w:r w:rsidRPr="003B3476">
        <w:rPr>
          <w:i/>
          <w:lang w:val="fr-FR" w:eastAsia="fr-FR" w:bidi="fr-FR"/>
        </w:rPr>
        <w:t xml:space="preserve"> à </w:t>
      </w:r>
      <w:r w:rsidRPr="003B3476">
        <w:rPr>
          <w:bCs/>
          <w:i/>
        </w:rPr>
        <w:t>leonis spectaret intuitum</w:t>
      </w:r>
      <w:r w:rsidRPr="003B3476">
        <w:rPr>
          <w:bCs/>
        </w:rPr>
        <w:t xml:space="preserve">) </w:t>
      </w:r>
      <w:r w:rsidRPr="003B3476">
        <w:rPr>
          <w:lang w:val="fr-FR" w:eastAsia="fr-FR" w:bidi="fr-FR"/>
        </w:rPr>
        <w:t xml:space="preserve">a été publiée par M. K. </w:t>
      </w:r>
      <w:r w:rsidRPr="003B3476">
        <w:rPr>
          <w:rStyle w:val="Notedebasdepage65ptPetitesmajuscules"/>
          <w:b w:val="0"/>
          <w:sz w:val="24"/>
        </w:rPr>
        <w:t xml:space="preserve">Pearson </w:t>
      </w:r>
      <w:r w:rsidRPr="003B3476">
        <w:rPr>
          <w:lang w:val="fr-FR" w:eastAsia="fr-FR" w:bidi="fr-FR"/>
        </w:rPr>
        <w:t>dans un article intit</w:t>
      </w:r>
      <w:r w:rsidRPr="003B3476">
        <w:rPr>
          <w:lang w:val="fr-FR" w:eastAsia="fr-FR" w:bidi="fr-FR"/>
        </w:rPr>
        <w:t>u</w:t>
      </w:r>
      <w:r w:rsidRPr="003B3476">
        <w:rPr>
          <w:lang w:val="fr-FR" w:eastAsia="fr-FR" w:bidi="fr-FR"/>
        </w:rPr>
        <w:t xml:space="preserve">lé </w:t>
      </w:r>
      <w:r w:rsidRPr="003B3476">
        <w:rPr>
          <w:bCs/>
          <w:i/>
        </w:rPr>
        <w:t>A Myth about Edward the Confessor</w:t>
      </w:r>
      <w:r w:rsidRPr="003B3476">
        <w:rPr>
          <w:bCs/>
        </w:rPr>
        <w:t xml:space="preserve">, </w:t>
      </w:r>
      <w:r w:rsidRPr="003B3476">
        <w:rPr>
          <w:lang w:val="fr-FR" w:eastAsia="fr-FR" w:bidi="fr-FR"/>
        </w:rPr>
        <w:t xml:space="preserve">dans </w:t>
      </w:r>
      <w:r w:rsidRPr="003B3476">
        <w:rPr>
          <w:bCs/>
          <w:i/>
        </w:rPr>
        <w:t>English Historical Review</w:t>
      </w:r>
      <w:r w:rsidRPr="003B3476">
        <w:rPr>
          <w:lang w:val="fr-FR" w:eastAsia="fr-FR" w:bidi="fr-FR"/>
        </w:rPr>
        <w:t xml:space="preserve">, 1910, p. 518 ; 2° que le chapitre x, depuis le début jusqu’aux mots </w:t>
      </w:r>
      <w:r w:rsidRPr="003B3476">
        <w:rPr>
          <w:bCs/>
          <w:i/>
        </w:rPr>
        <w:t>apostol</w:t>
      </w:r>
      <w:r w:rsidRPr="003B3476">
        <w:rPr>
          <w:bCs/>
          <w:i/>
        </w:rPr>
        <w:t>o</w:t>
      </w:r>
      <w:r w:rsidRPr="003B3476">
        <w:rPr>
          <w:bCs/>
          <w:i/>
        </w:rPr>
        <w:t>rum v</w:t>
      </w:r>
      <w:r w:rsidRPr="003B3476">
        <w:rPr>
          <w:bCs/>
          <w:i/>
        </w:rPr>
        <w:t>e</w:t>
      </w:r>
      <w:r w:rsidRPr="003B3476">
        <w:rPr>
          <w:bCs/>
          <w:i/>
        </w:rPr>
        <w:t>nerantur digniiatum</w:t>
      </w:r>
      <w:r w:rsidRPr="003B3476">
        <w:rPr>
          <w:bCs/>
        </w:rPr>
        <w:t>,</w:t>
      </w:r>
      <w:r w:rsidRPr="003B3476">
        <w:rPr>
          <w:lang w:val="fr-FR" w:eastAsia="fr-FR" w:bidi="fr-FR"/>
        </w:rPr>
        <w:t xml:space="preserve"> a été publié par M. J. Armitage </w:t>
      </w:r>
      <w:r w:rsidRPr="003B3476">
        <w:rPr>
          <w:rStyle w:val="Notedebasdepage65ptPetitesmajuscules"/>
          <w:b w:val="0"/>
          <w:sz w:val="24"/>
        </w:rPr>
        <w:t xml:space="preserve">Robinson, </w:t>
      </w:r>
      <w:r w:rsidRPr="003B3476">
        <w:rPr>
          <w:bCs/>
          <w:i/>
        </w:rPr>
        <w:t>Flete’s History of Westminster Abbey</w:t>
      </w:r>
      <w:r w:rsidRPr="003B3476">
        <w:rPr>
          <w:bCs/>
        </w:rPr>
        <w:t>,</w:t>
      </w:r>
      <w:r w:rsidRPr="003B3476">
        <w:rPr>
          <w:lang w:val="fr-FR" w:eastAsia="fr-FR" w:bidi="fr-FR"/>
        </w:rPr>
        <w:t xml:space="preserve"> p. 9-11 ; 3° qu’une partie du chapitre </w:t>
      </w:r>
      <w:r w:rsidRPr="003B3476">
        <w:rPr>
          <w:smallCaps/>
          <w:lang w:val="fr-FR" w:eastAsia="fr-FR" w:bidi="fr-FR"/>
        </w:rPr>
        <w:t>xxx</w:t>
      </w:r>
      <w:r w:rsidRPr="003B3476">
        <w:rPr>
          <w:lang w:val="fr-FR" w:eastAsia="fr-FR" w:bidi="fr-FR"/>
        </w:rPr>
        <w:t xml:space="preserve"> a été traduite par M. J. Armitage </w:t>
      </w:r>
      <w:r w:rsidRPr="003B3476">
        <w:rPr>
          <w:rStyle w:val="Notedebasdepage65ptPetitesmajuscules"/>
          <w:b w:val="0"/>
          <w:sz w:val="24"/>
        </w:rPr>
        <w:t xml:space="preserve">Robinson, </w:t>
      </w:r>
      <w:r w:rsidRPr="003B3476">
        <w:rPr>
          <w:bCs/>
          <w:i/>
        </w:rPr>
        <w:t>Gilbert Crispin</w:t>
      </w:r>
      <w:r w:rsidRPr="003B3476">
        <w:rPr>
          <w:lang w:val="fr-FR" w:eastAsia="fr-FR" w:bidi="fr-FR"/>
        </w:rPr>
        <w:t>, p. 24-25.</w:t>
      </w:r>
    </w:p>
  </w:footnote>
  <w:footnote w:id="1209">
    <w:p w14:paraId="05304988" w14:textId="77777777" w:rsidR="00B9662D" w:rsidRPr="003B3476" w:rsidRDefault="00B9662D">
      <w:pPr>
        <w:pStyle w:val="Notedebasdepage"/>
      </w:pPr>
      <w:r w:rsidRPr="003B3476">
        <w:rPr>
          <w:rStyle w:val="Appelnotedebasdep"/>
        </w:rPr>
        <w:t>*</w:t>
      </w:r>
      <w:r w:rsidRPr="003B3476">
        <w:t xml:space="preserve"> </w:t>
      </w:r>
      <w:r w:rsidRPr="003B3476">
        <w:tab/>
        <w:t>Lemma. — </w:t>
      </w:r>
      <w:r w:rsidRPr="003B3476">
        <w:rPr>
          <w:i/>
          <w:color w:val="FF0000"/>
        </w:rPr>
        <w:t>a</w:t>
      </w:r>
      <w:r w:rsidRPr="003B3476">
        <w:rPr>
          <w:lang w:val="fr-FR" w:eastAsia="fr-FR" w:bidi="fr-FR"/>
        </w:rPr>
        <w:t xml:space="preserve"> regis Eadwardi V. — </w:t>
      </w:r>
      <w:r w:rsidRPr="003B3476">
        <w:rPr>
          <w:rStyle w:val="Notedebasdepage6ptItalique"/>
          <w:b w:val="0"/>
          <w:color w:val="FF0000"/>
          <w:sz w:val="24"/>
        </w:rPr>
        <w:t>b</w:t>
      </w:r>
      <w:r w:rsidRPr="003B3476">
        <w:t xml:space="preserve"> </w:t>
      </w:r>
      <w:r w:rsidRPr="003B3476">
        <w:rPr>
          <w:lang w:val="fr-FR" w:eastAsia="fr-FR" w:bidi="fr-FR"/>
        </w:rPr>
        <w:t>Ostiensi V. — </w:t>
      </w:r>
      <w:r w:rsidRPr="003B3476">
        <w:rPr>
          <w:i/>
          <w:color w:val="FF0000"/>
        </w:rPr>
        <w:t>c</w:t>
      </w:r>
      <w:r w:rsidRPr="003B3476">
        <w:rPr>
          <w:lang w:val="fr-FR" w:eastAsia="fr-FR" w:bidi="fr-FR"/>
        </w:rPr>
        <w:t xml:space="preserve"> ecclesie Ostiensis V, C. — </w:t>
      </w:r>
      <w:r w:rsidRPr="003B3476">
        <w:rPr>
          <w:rStyle w:val="Notedebasdepage6ptItalique"/>
          <w:b w:val="0"/>
          <w:color w:val="FF0000"/>
          <w:sz w:val="24"/>
        </w:rPr>
        <w:t>d</w:t>
      </w:r>
      <w:r w:rsidRPr="003B3476">
        <w:t xml:space="preserve"> </w:t>
      </w:r>
      <w:r w:rsidRPr="003B3476">
        <w:rPr>
          <w:lang w:val="fr-FR" w:eastAsia="fr-FR" w:bidi="fr-FR"/>
        </w:rPr>
        <w:t xml:space="preserve">aditis V ; </w:t>
      </w:r>
      <w:r w:rsidRPr="003B3476">
        <w:t>tout le développement manque dans</w:t>
      </w:r>
      <w:r w:rsidRPr="003B3476">
        <w:rPr>
          <w:lang w:val="fr-FR" w:eastAsia="fr-FR" w:bidi="fr-FR"/>
        </w:rPr>
        <w:t xml:space="preserve"> C. — </w:t>
      </w:r>
      <w:r w:rsidRPr="003B3476">
        <w:rPr>
          <w:i/>
          <w:color w:val="FF0000"/>
        </w:rPr>
        <w:t>e</w:t>
      </w:r>
      <w:r w:rsidRPr="003B3476">
        <w:rPr>
          <w:lang w:val="fr-FR" w:eastAsia="fr-FR" w:bidi="fr-FR"/>
        </w:rPr>
        <w:t xml:space="preserve"> L </w:t>
      </w:r>
      <w:r w:rsidRPr="003B3476">
        <w:t>donne</w:t>
      </w:r>
      <w:r w:rsidRPr="003B3476">
        <w:rPr>
          <w:lang w:val="fr-FR" w:eastAsia="fr-FR" w:bidi="fr-FR"/>
        </w:rPr>
        <w:t xml:space="preserve"> gener</w:t>
      </w:r>
      <w:r w:rsidRPr="003B3476">
        <w:rPr>
          <w:lang w:val="fr-FR" w:eastAsia="fr-FR" w:bidi="fr-FR"/>
        </w:rPr>
        <w:t>o</w:t>
      </w:r>
      <w:r w:rsidRPr="003B3476">
        <w:rPr>
          <w:lang w:val="fr-FR" w:eastAsia="fr-FR" w:bidi="fr-FR"/>
        </w:rPr>
        <w:t xml:space="preserve">sa </w:t>
      </w:r>
      <w:r w:rsidRPr="003B3476">
        <w:t xml:space="preserve">mais avec la correction interlinéaire </w:t>
      </w:r>
      <w:r w:rsidRPr="003B3476">
        <w:rPr>
          <w:lang w:val="fr-FR" w:eastAsia="fr-FR" w:bidi="fr-FR"/>
        </w:rPr>
        <w:t xml:space="preserve">uel graciosa ; V </w:t>
      </w:r>
      <w:r w:rsidRPr="003B3476">
        <w:t>une abréviation par contra</w:t>
      </w:r>
      <w:r w:rsidRPr="003B3476">
        <w:t>c</w:t>
      </w:r>
      <w:r w:rsidRPr="003B3476">
        <w:t>tion d'interprétation douteuse.</w:t>
      </w:r>
      <w:r w:rsidRPr="003B3476">
        <w:rPr>
          <w:lang w:val="fr-FR" w:eastAsia="fr-FR" w:bidi="fr-FR"/>
        </w:rPr>
        <w:t> — </w:t>
      </w:r>
      <w:r w:rsidRPr="003B3476">
        <w:rPr>
          <w:i/>
          <w:color w:val="FF0000"/>
          <w:lang w:val="fr-FR" w:eastAsia="fr-FR" w:bidi="fr-FR"/>
        </w:rPr>
        <w:t>f</w:t>
      </w:r>
      <w:r w:rsidRPr="003B3476">
        <w:rPr>
          <w:i/>
          <w:lang w:val="fr-FR" w:eastAsia="fr-FR" w:bidi="fr-FR"/>
        </w:rPr>
        <w:t xml:space="preserve"> </w:t>
      </w:r>
      <w:r w:rsidRPr="003B3476">
        <w:rPr>
          <w:lang w:val="fr-FR" w:eastAsia="fr-FR" w:bidi="fr-FR"/>
        </w:rPr>
        <w:t>que L. — </w:t>
      </w:r>
      <w:r w:rsidRPr="003B3476">
        <w:rPr>
          <w:i/>
          <w:color w:val="FF0000"/>
        </w:rPr>
        <w:t>g</w:t>
      </w:r>
      <w:r w:rsidRPr="003B3476">
        <w:rPr>
          <w:lang w:val="fr-FR" w:eastAsia="fr-FR" w:bidi="fr-FR"/>
        </w:rPr>
        <w:t xml:space="preserve"> Ozia V. — </w:t>
      </w:r>
      <w:r w:rsidRPr="003B3476">
        <w:rPr>
          <w:i/>
          <w:color w:val="FF0000"/>
          <w:lang w:val="fr-FR" w:eastAsia="fr-FR" w:bidi="fr-FR"/>
        </w:rPr>
        <w:t>h</w:t>
      </w:r>
      <w:r w:rsidRPr="003B3476">
        <w:rPr>
          <w:lang w:val="fr-FR" w:eastAsia="fr-FR" w:bidi="fr-FR"/>
        </w:rPr>
        <w:t xml:space="preserve"> absorbebat L, </w:t>
      </w:r>
      <w:r w:rsidRPr="003B3476">
        <w:rPr>
          <w:i/>
          <w:color w:val="FF0000"/>
          <w:lang w:val="fr-FR" w:eastAsia="fr-FR" w:bidi="fr-FR"/>
        </w:rPr>
        <w:t>i</w:t>
      </w:r>
      <w:r w:rsidRPr="003B3476">
        <w:rPr>
          <w:bCs/>
        </w:rPr>
        <w:t xml:space="preserve"> m</w:t>
      </w:r>
      <w:r w:rsidRPr="003B3476">
        <w:rPr>
          <w:bCs/>
        </w:rPr>
        <w:t>a</w:t>
      </w:r>
      <w:r w:rsidRPr="003B3476">
        <w:rPr>
          <w:bCs/>
        </w:rPr>
        <w:t xml:space="preserve">gnas eum L, V ; </w:t>
      </w:r>
      <w:r w:rsidRPr="003B3476">
        <w:rPr>
          <w:lang w:val="fr-FR" w:eastAsia="fr-FR" w:bidi="fr-FR"/>
        </w:rPr>
        <w:t>je rétablis le texte correct des ms. de Sénèque.</w:t>
      </w:r>
      <w:r w:rsidRPr="003B3476">
        <w:rPr>
          <w:bCs/>
        </w:rPr>
        <w:t> — </w:t>
      </w:r>
      <w:r w:rsidRPr="003B3476">
        <w:rPr>
          <w:i/>
          <w:color w:val="FF0000"/>
          <w:lang w:val="fr-FR" w:eastAsia="fr-FR" w:bidi="fr-FR"/>
        </w:rPr>
        <w:t>j</w:t>
      </w:r>
      <w:r w:rsidRPr="003B3476">
        <w:rPr>
          <w:bCs/>
        </w:rPr>
        <w:t xml:space="preserve"> consolation est ecclesie V ; le </w:t>
      </w:r>
      <w:r w:rsidRPr="003B3476">
        <w:rPr>
          <w:lang w:val="fr-FR" w:eastAsia="fr-FR" w:bidi="fr-FR"/>
        </w:rPr>
        <w:t>copiste de</w:t>
      </w:r>
      <w:r w:rsidRPr="003B3476">
        <w:rPr>
          <w:bCs/>
        </w:rPr>
        <w:t xml:space="preserve"> L </w:t>
      </w:r>
      <w:r w:rsidRPr="003B3476">
        <w:rPr>
          <w:lang w:val="fr-FR" w:eastAsia="fr-FR" w:bidi="fr-FR"/>
        </w:rPr>
        <w:t>avait d'abord donné les mots dans le même ordre que</w:t>
      </w:r>
      <w:r w:rsidRPr="003B3476">
        <w:rPr>
          <w:bCs/>
        </w:rPr>
        <w:t xml:space="preserve"> V ; </w:t>
      </w:r>
      <w:r w:rsidRPr="003B3476">
        <w:rPr>
          <w:lang w:val="fr-FR" w:eastAsia="fr-FR" w:bidi="fr-FR"/>
        </w:rPr>
        <w:t>l'ordre actuel résulte d'une corre</w:t>
      </w:r>
      <w:r w:rsidRPr="003B3476">
        <w:rPr>
          <w:lang w:val="fr-FR" w:eastAsia="fr-FR" w:bidi="fr-FR"/>
        </w:rPr>
        <w:t>c</w:t>
      </w:r>
      <w:r w:rsidRPr="003B3476">
        <w:rPr>
          <w:lang w:val="fr-FR" w:eastAsia="fr-FR" w:bidi="fr-FR"/>
        </w:rPr>
        <w:t>tion.</w:t>
      </w:r>
      <w:r w:rsidRPr="003B3476">
        <w:rPr>
          <w:bCs/>
        </w:rPr>
        <w:t> — </w:t>
      </w:r>
      <w:r w:rsidRPr="003B3476">
        <w:rPr>
          <w:i/>
          <w:color w:val="FF0000"/>
          <w:lang w:val="fr-FR" w:eastAsia="fr-FR" w:bidi="fr-FR"/>
        </w:rPr>
        <w:t>k</w:t>
      </w:r>
      <w:r w:rsidRPr="003B3476">
        <w:rPr>
          <w:bCs/>
        </w:rPr>
        <w:t xml:space="preserve"> sanctorum est V. — </w:t>
      </w:r>
      <w:r w:rsidRPr="003B3476">
        <w:rPr>
          <w:i/>
          <w:color w:val="FF0000"/>
          <w:lang w:val="fr-FR" w:eastAsia="fr-FR" w:bidi="fr-FR"/>
        </w:rPr>
        <w:t>l</w:t>
      </w:r>
      <w:r w:rsidRPr="003B3476">
        <w:rPr>
          <w:bCs/>
        </w:rPr>
        <w:t xml:space="preserve"> ergo te V.</w:t>
      </w:r>
    </w:p>
  </w:footnote>
  <w:footnote w:id="1210">
    <w:p w14:paraId="2881A3B3"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regis Eadwardi V. </w:t>
      </w:r>
    </w:p>
  </w:footnote>
  <w:footnote w:id="1211">
    <w:p w14:paraId="1071D3D6"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Ostiensi V. </w:t>
      </w:r>
    </w:p>
  </w:footnote>
  <w:footnote w:id="1212">
    <w:p w14:paraId="79D868F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Lettre éditée (incorrectement) par </w:t>
      </w:r>
      <w:r w:rsidRPr="003B3476">
        <w:rPr>
          <w:rStyle w:val="Notedebasdepage65ptPetitesmajuscules"/>
          <w:b w:val="0"/>
          <w:sz w:val="24"/>
        </w:rPr>
        <w:t xml:space="preserve">Anstruther, </w:t>
      </w:r>
      <w:r w:rsidRPr="003B3476">
        <w:rPr>
          <w:bCs/>
          <w:i/>
        </w:rPr>
        <w:t>Epistolae</w:t>
      </w:r>
      <w:r w:rsidRPr="003B3476">
        <w:rPr>
          <w:lang w:val="fr-FR" w:eastAsia="fr-FR" w:bidi="fr-FR"/>
        </w:rPr>
        <w:t>, p. 110, ep. II. Sur les m</w:t>
      </w:r>
      <w:r w:rsidRPr="003B3476">
        <w:rPr>
          <w:lang w:val="fr-FR" w:eastAsia="fr-FR" w:bidi="fr-FR"/>
        </w:rPr>
        <w:t>a</w:t>
      </w:r>
      <w:r w:rsidRPr="003B3476">
        <w:rPr>
          <w:lang w:val="fr-FR" w:eastAsia="fr-FR" w:bidi="fr-FR"/>
        </w:rPr>
        <w:t xml:space="preserve">nuscrits, </w:t>
      </w:r>
      <w:r w:rsidRPr="003B3476">
        <w:rPr>
          <w:bCs/>
          <w:i/>
        </w:rPr>
        <w:t>cf.</w:t>
      </w:r>
      <w:r w:rsidRPr="003B3476">
        <w:rPr>
          <w:bCs/>
        </w:rPr>
        <w:t xml:space="preserve"> </w:t>
      </w:r>
      <w:r w:rsidRPr="003B3476">
        <w:rPr>
          <w:bCs/>
          <w:i/>
        </w:rPr>
        <w:t>supra</w:t>
      </w:r>
      <w:r w:rsidRPr="003B3476">
        <w:rPr>
          <w:lang w:val="fr-FR" w:eastAsia="fr-FR" w:bidi="fr-FR"/>
        </w:rPr>
        <w:t>, p. 983.</w:t>
      </w:r>
    </w:p>
  </w:footnote>
  <w:footnote w:id="1213">
    <w:p w14:paraId="7E40D793" w14:textId="77777777" w:rsidR="00B9662D" w:rsidRPr="003B3476" w:rsidRDefault="00B9662D">
      <w:pPr>
        <w:pStyle w:val="Notedebasdepage"/>
      </w:pPr>
      <w:r w:rsidRPr="003B3476">
        <w:rPr>
          <w:rStyle w:val="Appelnotedebasdep"/>
        </w:rPr>
        <w:t>C</w:t>
      </w:r>
      <w:r w:rsidRPr="003B3476">
        <w:tab/>
      </w:r>
      <w:r w:rsidRPr="003B3476">
        <w:rPr>
          <w:lang w:val="fr-FR" w:eastAsia="fr-FR" w:bidi="fr-FR"/>
        </w:rPr>
        <w:t>ecclesie Ostiensis V, C. </w:t>
      </w:r>
    </w:p>
  </w:footnote>
  <w:footnote w:id="1214">
    <w:p w14:paraId="189B139F"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lang w:val="fr-FR" w:eastAsia="fr-FR" w:bidi="fr-FR"/>
        </w:rPr>
        <w:t xml:space="preserve">aditis V ; </w:t>
      </w:r>
      <w:r w:rsidRPr="003B3476">
        <w:t>tout le développement manque dans</w:t>
      </w:r>
      <w:r w:rsidRPr="003B3476">
        <w:rPr>
          <w:lang w:val="fr-FR" w:eastAsia="fr-FR" w:bidi="fr-FR"/>
        </w:rPr>
        <w:t xml:space="preserve"> C. </w:t>
      </w:r>
    </w:p>
  </w:footnote>
  <w:footnote w:id="1215">
    <w:p w14:paraId="104C7FEC" w14:textId="77777777" w:rsidR="00B9662D" w:rsidRPr="003B3476" w:rsidRDefault="00B9662D">
      <w:pPr>
        <w:pStyle w:val="Notedebasdepage"/>
      </w:pPr>
      <w:r w:rsidRPr="003B3476">
        <w:rPr>
          <w:rStyle w:val="Appelnotedebasdep"/>
        </w:rPr>
        <w:t>e</w:t>
      </w:r>
      <w:r w:rsidRPr="003B3476">
        <w:tab/>
      </w:r>
      <w:r w:rsidRPr="003B3476">
        <w:rPr>
          <w:lang w:val="fr-FR" w:eastAsia="fr-FR" w:bidi="fr-FR"/>
        </w:rPr>
        <w:t xml:space="preserve">L </w:t>
      </w:r>
      <w:r w:rsidRPr="003B3476">
        <w:t>donne</w:t>
      </w:r>
      <w:r w:rsidRPr="003B3476">
        <w:rPr>
          <w:lang w:val="fr-FR" w:eastAsia="fr-FR" w:bidi="fr-FR"/>
        </w:rPr>
        <w:t xml:space="preserve"> gener</w:t>
      </w:r>
      <w:r w:rsidRPr="003B3476">
        <w:rPr>
          <w:lang w:val="fr-FR" w:eastAsia="fr-FR" w:bidi="fr-FR"/>
        </w:rPr>
        <w:t>o</w:t>
      </w:r>
      <w:r w:rsidRPr="003B3476">
        <w:rPr>
          <w:lang w:val="fr-FR" w:eastAsia="fr-FR" w:bidi="fr-FR"/>
        </w:rPr>
        <w:t xml:space="preserve">sa </w:t>
      </w:r>
      <w:r w:rsidRPr="003B3476">
        <w:t xml:space="preserve">mais avec la correction interlinéaire </w:t>
      </w:r>
      <w:r w:rsidRPr="003B3476">
        <w:rPr>
          <w:lang w:val="fr-FR" w:eastAsia="fr-FR" w:bidi="fr-FR"/>
        </w:rPr>
        <w:t xml:space="preserve">uel graciosa ; V </w:t>
      </w:r>
      <w:r w:rsidRPr="003B3476">
        <w:t>une abréviation par contra</w:t>
      </w:r>
      <w:r w:rsidRPr="003B3476">
        <w:t>c</w:t>
      </w:r>
      <w:r w:rsidRPr="003B3476">
        <w:t>tion d'interprétation douteuse.</w:t>
      </w:r>
    </w:p>
  </w:footnote>
  <w:footnote w:id="1216">
    <w:p w14:paraId="61D44D4F" w14:textId="77777777" w:rsidR="00B9662D" w:rsidRPr="003B3476" w:rsidRDefault="00B9662D">
      <w:pPr>
        <w:pStyle w:val="Notedebasdepage"/>
      </w:pPr>
      <w:r w:rsidRPr="003B3476">
        <w:rPr>
          <w:rStyle w:val="Appelnotedebasdep"/>
        </w:rPr>
        <w:t>f</w:t>
      </w:r>
      <w:r w:rsidRPr="003B3476">
        <w:t xml:space="preserve"> </w:t>
      </w:r>
      <w:r w:rsidRPr="003B3476">
        <w:tab/>
      </w:r>
      <w:r w:rsidRPr="003B3476">
        <w:rPr>
          <w:lang w:val="fr-FR" w:eastAsia="fr-FR" w:bidi="fr-FR"/>
        </w:rPr>
        <w:t>que L. </w:t>
      </w:r>
    </w:p>
  </w:footnote>
  <w:footnote w:id="1217">
    <w:p w14:paraId="28A6C1F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Ioann</w:t>
      </w:r>
      <w:r w:rsidRPr="003B3476">
        <w:rPr>
          <w:bCs/>
        </w:rPr>
        <w:t>.,</w:t>
      </w:r>
      <w:r w:rsidRPr="003B3476">
        <w:rPr>
          <w:lang w:val="fr-FR" w:eastAsia="fr-FR" w:bidi="fr-FR"/>
        </w:rPr>
        <w:t xml:space="preserve"> XVIII, 10.</w:t>
      </w:r>
    </w:p>
  </w:footnote>
  <w:footnote w:id="1218">
    <w:p w14:paraId="206BFAA6" w14:textId="77777777" w:rsidR="00B9662D" w:rsidRPr="003B3476" w:rsidRDefault="00B9662D">
      <w:pPr>
        <w:pStyle w:val="Notedebasdepage"/>
      </w:pPr>
      <w:r w:rsidRPr="003B3476">
        <w:rPr>
          <w:rStyle w:val="Appelnotedebasdep"/>
        </w:rPr>
        <w:t>g</w:t>
      </w:r>
      <w:r w:rsidRPr="003B3476">
        <w:t xml:space="preserve"> </w:t>
      </w:r>
      <w:r w:rsidRPr="003B3476">
        <w:tab/>
      </w:r>
      <w:r w:rsidRPr="003B3476">
        <w:rPr>
          <w:lang w:val="fr-FR" w:eastAsia="fr-FR" w:bidi="fr-FR"/>
        </w:rPr>
        <w:t>Ozia V. </w:t>
      </w:r>
    </w:p>
  </w:footnote>
  <w:footnote w:id="1219">
    <w:p w14:paraId="697B649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II </w:t>
      </w:r>
      <w:r w:rsidRPr="003B3476">
        <w:rPr>
          <w:bCs/>
        </w:rPr>
        <w:t>Reg.</w:t>
      </w:r>
      <w:r w:rsidRPr="003B3476">
        <w:rPr>
          <w:lang w:val="fr-FR" w:eastAsia="fr-FR" w:bidi="fr-FR"/>
        </w:rPr>
        <w:t xml:space="preserve"> VI, 6-7.</w:t>
      </w:r>
    </w:p>
  </w:footnote>
  <w:footnote w:id="1220">
    <w:p w14:paraId="3DCE7D66"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Levit</w:t>
      </w:r>
      <w:r w:rsidRPr="003B3476">
        <w:rPr>
          <w:bCs/>
        </w:rPr>
        <w:t>.</w:t>
      </w:r>
      <w:r w:rsidRPr="003B3476">
        <w:rPr>
          <w:lang w:val="fr-FR" w:eastAsia="fr-FR" w:bidi="fr-FR"/>
        </w:rPr>
        <w:t xml:space="preserve"> X, 1 ; </w:t>
      </w:r>
      <w:r w:rsidRPr="003B3476">
        <w:rPr>
          <w:bCs/>
          <w:i/>
        </w:rPr>
        <w:t>Num</w:t>
      </w:r>
      <w:r w:rsidRPr="003B3476">
        <w:rPr>
          <w:bCs/>
        </w:rPr>
        <w:t>.</w:t>
      </w:r>
      <w:r w:rsidRPr="003B3476">
        <w:rPr>
          <w:lang w:val="fr-FR" w:eastAsia="fr-FR" w:bidi="fr-FR"/>
        </w:rPr>
        <w:t xml:space="preserve"> III, 4 et XXVI, 61.</w:t>
      </w:r>
    </w:p>
  </w:footnote>
  <w:footnote w:id="1221">
    <w:p w14:paraId="35AD80A8" w14:textId="77777777" w:rsidR="00B9662D" w:rsidRPr="003B3476" w:rsidRDefault="00B9662D">
      <w:pPr>
        <w:pStyle w:val="Notedebasdepage"/>
      </w:pPr>
      <w:r w:rsidRPr="003B3476">
        <w:rPr>
          <w:rStyle w:val="Appelnotedebasdep"/>
        </w:rPr>
        <w:t>h</w:t>
      </w:r>
      <w:r w:rsidRPr="003B3476">
        <w:t xml:space="preserve"> </w:t>
      </w:r>
      <w:r w:rsidRPr="003B3476">
        <w:tab/>
      </w:r>
      <w:r w:rsidRPr="003B3476">
        <w:rPr>
          <w:lang w:val="fr-FR" w:eastAsia="fr-FR" w:bidi="fr-FR"/>
        </w:rPr>
        <w:t>Abigail L.</w:t>
      </w:r>
    </w:p>
  </w:footnote>
  <w:footnote w:id="1222">
    <w:p w14:paraId="5C2D754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Num</w:t>
      </w:r>
      <w:r w:rsidRPr="003B3476">
        <w:rPr>
          <w:bCs/>
        </w:rPr>
        <w:t>.</w:t>
      </w:r>
      <w:r w:rsidRPr="003B3476">
        <w:rPr>
          <w:lang w:val="fr-FR" w:eastAsia="fr-FR" w:bidi="fr-FR"/>
        </w:rPr>
        <w:t xml:space="preserve"> XVI.</w:t>
      </w:r>
    </w:p>
  </w:footnote>
  <w:footnote w:id="1223">
    <w:p w14:paraId="56F8691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II </w:t>
      </w:r>
      <w:r w:rsidRPr="003B3476">
        <w:rPr>
          <w:bCs/>
          <w:i/>
        </w:rPr>
        <w:t>Par</w:t>
      </w:r>
      <w:r w:rsidRPr="003B3476">
        <w:rPr>
          <w:bCs/>
        </w:rPr>
        <w:t>.</w:t>
      </w:r>
      <w:r w:rsidRPr="003B3476">
        <w:rPr>
          <w:lang w:val="fr-FR" w:eastAsia="fr-FR" w:bidi="fr-FR"/>
        </w:rPr>
        <w:t xml:space="preserve"> XXVI, 19, 21.</w:t>
      </w:r>
    </w:p>
  </w:footnote>
  <w:footnote w:id="1224">
    <w:p w14:paraId="12E3E0A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Il serait impossible d’indiquer ici avec précision la source d’Osbert. La lutte de Simon le Magicien avec saint Pierre était racontée, au Moyen Âge, dans presque toutes les Vies de l’Apôtre. Aussi bien la légende de saint Pierre d</w:t>
      </w:r>
      <w:r w:rsidRPr="003B3476">
        <w:rPr>
          <w:lang w:val="fr-FR" w:eastAsia="fr-FR" w:bidi="fr-FR"/>
        </w:rPr>
        <w:t>e</w:t>
      </w:r>
      <w:r w:rsidRPr="003B3476">
        <w:rPr>
          <w:lang w:val="fr-FR" w:eastAsia="fr-FR" w:bidi="fr-FR"/>
        </w:rPr>
        <w:t>vait-elle être particulièrement bien connue à Westminster, dont il était le p</w:t>
      </w:r>
      <w:r w:rsidRPr="003B3476">
        <w:rPr>
          <w:lang w:val="fr-FR" w:eastAsia="fr-FR" w:bidi="fr-FR"/>
        </w:rPr>
        <w:t>a</w:t>
      </w:r>
      <w:r w:rsidRPr="003B3476">
        <w:rPr>
          <w:lang w:val="fr-FR" w:eastAsia="fr-FR" w:bidi="fr-FR"/>
        </w:rPr>
        <w:t>tron.</w:t>
      </w:r>
    </w:p>
  </w:footnote>
  <w:footnote w:id="1225">
    <w:p w14:paraId="4B2E764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lang w:val="fr-FR" w:eastAsia="fr-FR" w:bidi="fr-FR"/>
        </w:rPr>
        <w:t>Symmachi Epistulae</w:t>
      </w:r>
      <w:r w:rsidRPr="003B3476">
        <w:rPr>
          <w:bCs/>
        </w:rPr>
        <w:t xml:space="preserve"> III, XXXV.</w:t>
      </w:r>
    </w:p>
  </w:footnote>
  <w:footnote w:id="1226">
    <w:p w14:paraId="507D700B"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Cantic</w:t>
      </w:r>
      <w:r w:rsidRPr="003B3476">
        <w:rPr>
          <w:bCs/>
        </w:rPr>
        <w:t>.</w:t>
      </w:r>
      <w:r w:rsidRPr="003B3476">
        <w:rPr>
          <w:lang w:val="fr-FR" w:eastAsia="fr-FR" w:bidi="fr-FR"/>
        </w:rPr>
        <w:t xml:space="preserve"> I, 2.</w:t>
      </w:r>
    </w:p>
  </w:footnote>
  <w:footnote w:id="1227">
    <w:p w14:paraId="77402A70" w14:textId="77777777" w:rsidR="00B9662D" w:rsidRPr="003B3476" w:rsidRDefault="00B9662D">
      <w:pPr>
        <w:pStyle w:val="Notedebasdepage"/>
      </w:pPr>
      <w:r w:rsidRPr="003B3476">
        <w:rPr>
          <w:rStyle w:val="Appelnotedebasdep"/>
        </w:rPr>
        <w:t>i</w:t>
      </w:r>
      <w:r w:rsidRPr="003B3476">
        <w:t xml:space="preserve"> </w:t>
      </w:r>
      <w:r w:rsidRPr="003B3476">
        <w:tab/>
      </w:r>
      <w:r w:rsidRPr="003B3476">
        <w:rPr>
          <w:bCs/>
        </w:rPr>
        <w:t>m</w:t>
      </w:r>
      <w:r w:rsidRPr="003B3476">
        <w:rPr>
          <w:bCs/>
        </w:rPr>
        <w:t>a</w:t>
      </w:r>
      <w:r w:rsidRPr="003B3476">
        <w:rPr>
          <w:bCs/>
        </w:rPr>
        <w:t xml:space="preserve">gnas eum L, V ; </w:t>
      </w:r>
      <w:r w:rsidRPr="003B3476">
        <w:rPr>
          <w:lang w:val="fr-FR" w:eastAsia="fr-FR" w:bidi="fr-FR"/>
        </w:rPr>
        <w:t>je rétablis le texte correct des ms. de Sénèque.</w:t>
      </w:r>
      <w:r w:rsidRPr="003B3476">
        <w:rPr>
          <w:bCs/>
        </w:rPr>
        <w:t> </w:t>
      </w:r>
    </w:p>
  </w:footnote>
  <w:footnote w:id="1228">
    <w:p w14:paraId="73A8FFB9"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Ep</w:t>
      </w:r>
      <w:r w:rsidRPr="003B3476">
        <w:rPr>
          <w:bCs/>
        </w:rPr>
        <w:t>.</w:t>
      </w:r>
      <w:r w:rsidRPr="003B3476">
        <w:rPr>
          <w:lang w:val="fr-FR" w:eastAsia="fr-FR" w:bidi="fr-FR"/>
        </w:rPr>
        <w:t xml:space="preserve"> XXXIX, 2-3.</w:t>
      </w:r>
    </w:p>
  </w:footnote>
  <w:footnote w:id="1229">
    <w:p w14:paraId="356751C5" w14:textId="77777777" w:rsidR="00B9662D" w:rsidRPr="003B3476" w:rsidRDefault="00B9662D">
      <w:pPr>
        <w:pStyle w:val="Notedebasdepage"/>
      </w:pPr>
      <w:r w:rsidRPr="003B3476">
        <w:rPr>
          <w:rStyle w:val="Appelnotedebasdep"/>
        </w:rPr>
        <w:t>j</w:t>
      </w:r>
      <w:r w:rsidRPr="003B3476">
        <w:t xml:space="preserve"> </w:t>
      </w:r>
      <w:r w:rsidRPr="003B3476">
        <w:tab/>
      </w:r>
      <w:r w:rsidRPr="003B3476">
        <w:rPr>
          <w:color w:val="auto"/>
        </w:rPr>
        <w:t xml:space="preserve">consolation est ecclesie V; le </w:t>
      </w:r>
      <w:r w:rsidRPr="003B3476">
        <w:rPr>
          <w:i/>
          <w:color w:val="auto"/>
        </w:rPr>
        <w:t xml:space="preserve">copiste de </w:t>
      </w:r>
      <w:r w:rsidRPr="003B3476">
        <w:rPr>
          <w:color w:val="auto"/>
        </w:rPr>
        <w:t>L</w:t>
      </w:r>
      <w:r w:rsidRPr="003B3476">
        <w:rPr>
          <w:i/>
          <w:color w:val="auto"/>
        </w:rPr>
        <w:t xml:space="preserve"> avait d’abord do</w:t>
      </w:r>
      <w:r w:rsidRPr="003B3476">
        <w:rPr>
          <w:i/>
          <w:color w:val="auto"/>
        </w:rPr>
        <w:t>n</w:t>
      </w:r>
      <w:r w:rsidRPr="003B3476">
        <w:rPr>
          <w:i/>
          <w:color w:val="auto"/>
        </w:rPr>
        <w:t>né les mots dans le même ordre</w:t>
      </w:r>
      <w:r w:rsidRPr="003B3476">
        <w:rPr>
          <w:color w:val="auto"/>
        </w:rPr>
        <w:t xml:space="preserve"> </w:t>
      </w:r>
      <w:r w:rsidRPr="003B3476">
        <w:rPr>
          <w:i/>
          <w:color w:val="auto"/>
        </w:rPr>
        <w:t>que</w:t>
      </w:r>
      <w:r w:rsidRPr="003B3476">
        <w:rPr>
          <w:color w:val="auto"/>
        </w:rPr>
        <w:t xml:space="preserve"> V ; </w:t>
      </w:r>
      <w:r w:rsidRPr="003B3476">
        <w:rPr>
          <w:i/>
          <w:color w:val="auto"/>
        </w:rPr>
        <w:t>l’ordre actuel résulte d’une correction</w:t>
      </w:r>
      <w:r w:rsidRPr="003B3476">
        <w:rPr>
          <w:color w:val="auto"/>
        </w:rPr>
        <w:t>. </w:t>
      </w:r>
    </w:p>
  </w:footnote>
  <w:footnote w:id="1230">
    <w:p w14:paraId="57B8CC41" w14:textId="77777777" w:rsidR="00B9662D" w:rsidRPr="003B3476" w:rsidRDefault="00B9662D">
      <w:pPr>
        <w:pStyle w:val="Notedebasdepage"/>
      </w:pPr>
      <w:r w:rsidRPr="003B3476">
        <w:rPr>
          <w:rStyle w:val="Appelnotedebasdep"/>
        </w:rPr>
        <w:t>k</w:t>
      </w:r>
      <w:r w:rsidRPr="003B3476">
        <w:t xml:space="preserve"> </w:t>
      </w:r>
      <w:r w:rsidRPr="003B3476">
        <w:tab/>
      </w:r>
      <w:r w:rsidRPr="003B3476">
        <w:rPr>
          <w:color w:val="auto"/>
        </w:rPr>
        <w:t>sanctorium est V. </w:t>
      </w:r>
    </w:p>
  </w:footnote>
  <w:footnote w:id="1231">
    <w:p w14:paraId="6780C3B6" w14:textId="77777777" w:rsidR="00B9662D" w:rsidRPr="003B3476" w:rsidRDefault="00B9662D">
      <w:pPr>
        <w:pStyle w:val="Notedebasdepage"/>
      </w:pPr>
      <w:r w:rsidRPr="003B3476">
        <w:rPr>
          <w:rStyle w:val="Appelnotedebasdep"/>
        </w:rPr>
        <w:t>l</w:t>
      </w:r>
      <w:r w:rsidRPr="003B3476">
        <w:t xml:space="preserve"> </w:t>
      </w:r>
      <w:r w:rsidRPr="003B3476">
        <w:tab/>
      </w:r>
      <w:r w:rsidRPr="003B3476">
        <w:rPr>
          <w:color w:val="auto"/>
        </w:rPr>
        <w:t>ergo te V.</w:t>
      </w:r>
    </w:p>
  </w:footnote>
  <w:footnote w:id="1232">
    <w:p w14:paraId="51E0FEB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lang w:val="fr-FR" w:eastAsia="fr-FR" w:bidi="fr-FR"/>
        </w:rPr>
        <w:t xml:space="preserve"> </w:t>
      </w:r>
      <w:r w:rsidRPr="003B3476">
        <w:rPr>
          <w:rStyle w:val="Notedebasdepage65ptPetitesmajuscules"/>
          <w:b w:val="0"/>
          <w:sz w:val="24"/>
        </w:rPr>
        <w:t xml:space="preserve">Fulgence, </w:t>
      </w:r>
      <w:r w:rsidRPr="003B3476">
        <w:rPr>
          <w:lang w:val="fr-FR" w:eastAsia="fr-FR" w:bidi="fr-FR"/>
        </w:rPr>
        <w:t xml:space="preserve">II, 10. Je dois cette indication comme beaucoup d’autres </w:t>
      </w:r>
      <w:r w:rsidRPr="003B3476">
        <w:rPr>
          <w:bCs/>
        </w:rPr>
        <w:t xml:space="preserve">à </w:t>
      </w:r>
      <w:r w:rsidRPr="003B3476">
        <w:rPr>
          <w:lang w:val="fr-FR" w:eastAsia="fr-FR" w:bidi="fr-FR"/>
        </w:rPr>
        <w:t>l’obligeance de mon collègue M. Vallette.</w:t>
      </w:r>
    </w:p>
  </w:footnote>
  <w:footnote w:id="1233">
    <w:p w14:paraId="3F99D93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bCs/>
        </w:rPr>
        <w:t xml:space="preserve"> Rep.</w:t>
      </w:r>
      <w:r w:rsidRPr="003B3476">
        <w:rPr>
          <w:lang w:val="fr-FR" w:eastAsia="fr-FR" w:bidi="fr-FR"/>
        </w:rPr>
        <w:t xml:space="preserve"> V, 473. C’est peut-être par </w:t>
      </w:r>
      <w:r w:rsidRPr="003B3476">
        <w:rPr>
          <w:rStyle w:val="Notedebasdepage65ptPetitesmajuscules"/>
          <w:b w:val="0"/>
          <w:sz w:val="24"/>
        </w:rPr>
        <w:t xml:space="preserve">Boèce, </w:t>
      </w:r>
      <w:r w:rsidRPr="003B3476">
        <w:rPr>
          <w:bCs/>
        </w:rPr>
        <w:t>De consol. philos.</w:t>
      </w:r>
      <w:r w:rsidRPr="003B3476">
        <w:rPr>
          <w:lang w:val="fr-FR" w:eastAsia="fr-FR" w:bidi="fr-FR"/>
        </w:rPr>
        <w:t xml:space="preserve"> I, 4, 5 ou par </w:t>
      </w:r>
      <w:r w:rsidRPr="003B3476">
        <w:rPr>
          <w:rStyle w:val="Notedebasdepage65ptPetitesmajuscules"/>
          <w:b w:val="0"/>
          <w:sz w:val="24"/>
        </w:rPr>
        <w:t xml:space="preserve">Alcuin, </w:t>
      </w:r>
      <w:r w:rsidRPr="003B3476">
        <w:rPr>
          <w:bCs/>
        </w:rPr>
        <w:t>Ep.</w:t>
      </w:r>
      <w:r w:rsidRPr="003B3476">
        <w:rPr>
          <w:lang w:val="fr-FR" w:eastAsia="fr-FR" w:bidi="fr-FR"/>
        </w:rPr>
        <w:t xml:space="preserve"> 229 (</w:t>
      </w:r>
      <w:r w:rsidRPr="003B3476">
        <w:rPr>
          <w:i/>
          <w:lang w:val="fr-FR" w:eastAsia="fr-FR" w:bidi="fr-FR"/>
        </w:rPr>
        <w:t>cf.</w:t>
      </w:r>
      <w:r w:rsidRPr="003B3476">
        <w:rPr>
          <w:lang w:val="fr-FR" w:eastAsia="fr-FR" w:bidi="fr-FR"/>
        </w:rPr>
        <w:t xml:space="preserve"> aussi </w:t>
      </w:r>
      <w:r w:rsidRPr="003B3476">
        <w:rPr>
          <w:rStyle w:val="Notedebasdepage65ptPetitesmajuscules"/>
          <w:b w:val="0"/>
          <w:sz w:val="24"/>
        </w:rPr>
        <w:t xml:space="preserve">Cicéron, </w:t>
      </w:r>
      <w:r w:rsidRPr="003B3476">
        <w:rPr>
          <w:bCs/>
        </w:rPr>
        <w:t>Ad Qu. fr.</w:t>
      </w:r>
      <w:r w:rsidRPr="003B3476">
        <w:rPr>
          <w:lang w:val="fr-FR" w:eastAsia="fr-FR" w:bidi="fr-FR"/>
        </w:rPr>
        <w:t xml:space="preserve"> I, 1, 29) qu’Osbert a connu cette pensée de Platon.</w:t>
      </w:r>
    </w:p>
  </w:footnote>
  <w:footnote w:id="1234">
    <w:p w14:paraId="0C2F58D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Cf.</w:t>
      </w:r>
      <w:r w:rsidRPr="003B3476">
        <w:rPr>
          <w:lang w:val="fr-FR" w:eastAsia="fr-FR" w:bidi="fr-FR"/>
        </w:rPr>
        <w:t xml:space="preserve"> </w:t>
      </w:r>
      <w:r w:rsidRPr="003B3476">
        <w:rPr>
          <w:i/>
          <w:lang w:val="fr-FR" w:eastAsia="fr-FR" w:bidi="fr-FR"/>
        </w:rPr>
        <w:t>Sapient</w:t>
      </w:r>
      <w:r w:rsidRPr="003B3476">
        <w:rPr>
          <w:lang w:val="fr-FR" w:eastAsia="fr-FR" w:bidi="fr-FR"/>
        </w:rPr>
        <w:t>.</w:t>
      </w:r>
      <w:r w:rsidRPr="003B3476">
        <w:rPr>
          <w:bCs/>
        </w:rPr>
        <w:t xml:space="preserve"> II, 2.</w:t>
      </w:r>
    </w:p>
  </w:footnote>
  <w:footnote w:id="1235">
    <w:p w14:paraId="0F710B7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 </w:t>
      </w:r>
      <w:r w:rsidRPr="003B3476">
        <w:rPr>
          <w:bCs/>
          <w:i/>
        </w:rPr>
        <w:t>Rey</w:t>
      </w:r>
      <w:r w:rsidRPr="003B3476">
        <w:rPr>
          <w:bCs/>
        </w:rPr>
        <w:t>.</w:t>
      </w:r>
      <w:r w:rsidRPr="003B3476">
        <w:rPr>
          <w:lang w:val="fr-FR" w:eastAsia="fr-FR" w:bidi="fr-FR"/>
        </w:rPr>
        <w:t xml:space="preserve"> 1.</w:t>
      </w:r>
    </w:p>
  </w:footnote>
  <w:footnote w:id="1236">
    <w:p w14:paraId="7ED1FE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Ezech</w:t>
      </w:r>
      <w:r w:rsidRPr="003B3476">
        <w:rPr>
          <w:bCs/>
        </w:rPr>
        <w:t>.</w:t>
      </w:r>
      <w:r w:rsidRPr="003B3476">
        <w:rPr>
          <w:lang w:val="fr-FR" w:eastAsia="fr-FR" w:bidi="fr-FR"/>
        </w:rPr>
        <w:t xml:space="preserve"> IX.</w:t>
      </w:r>
    </w:p>
  </w:footnote>
  <w:footnote w:id="1237">
    <w:p w14:paraId="590DB01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Proverb</w:t>
      </w:r>
      <w:r w:rsidRPr="003B3476">
        <w:rPr>
          <w:bCs/>
        </w:rPr>
        <w:t>.</w:t>
      </w:r>
      <w:r w:rsidRPr="003B3476">
        <w:rPr>
          <w:lang w:val="fr-FR" w:eastAsia="fr-FR" w:bidi="fr-FR"/>
        </w:rPr>
        <w:t xml:space="preserve"> XXVII, 14.</w:t>
      </w:r>
    </w:p>
  </w:footnote>
  <w:footnote w:id="1238">
    <w:p w14:paraId="7D29463B" w14:textId="77777777" w:rsidR="00B9662D" w:rsidRPr="003B3476" w:rsidRDefault="00B9662D">
      <w:pPr>
        <w:pStyle w:val="Notedebasdepage"/>
      </w:pPr>
      <w:r w:rsidRPr="003B3476">
        <w:rPr>
          <w:rStyle w:val="Appelnotedebasdep"/>
        </w:rPr>
        <w:t>a</w:t>
      </w:r>
      <w:r w:rsidRPr="003B3476">
        <w:tab/>
      </w:r>
      <w:r w:rsidRPr="003B3476">
        <w:rPr>
          <w:bCs/>
          <w:szCs w:val="15"/>
        </w:rPr>
        <w:t>Maternum uero genus L. </w:t>
      </w:r>
    </w:p>
  </w:footnote>
  <w:footnote w:id="1239">
    <w:p w14:paraId="33784A82"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bCs/>
          <w:szCs w:val="15"/>
        </w:rPr>
        <w:t>Cuius egregius genitor L. </w:t>
      </w:r>
    </w:p>
  </w:footnote>
  <w:footnote w:id="1240">
    <w:p w14:paraId="28CF277B"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Fécamp, non pas précisément fondé mais restauré et réformé par le duc R</w:t>
      </w:r>
      <w:r w:rsidRPr="003B3476">
        <w:rPr>
          <w:lang w:val="fr-FR" w:eastAsia="fr-FR" w:bidi="fr-FR"/>
        </w:rPr>
        <w:t>i</w:t>
      </w:r>
      <w:r w:rsidRPr="003B3476">
        <w:rPr>
          <w:lang w:val="fr-FR" w:eastAsia="fr-FR" w:bidi="fr-FR"/>
        </w:rPr>
        <w:t>chard II.</w:t>
      </w:r>
    </w:p>
  </w:footnote>
  <w:footnote w:id="1241">
    <w:p w14:paraId="2E2A73C0"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bCs/>
          <w:szCs w:val="15"/>
        </w:rPr>
        <w:t>Emme germanus L.</w:t>
      </w:r>
    </w:p>
  </w:footnote>
  <w:footnote w:id="1242">
    <w:p w14:paraId="2DA74CF7" w14:textId="77777777" w:rsidR="00B9662D" w:rsidRPr="003B3476" w:rsidRDefault="00B9662D" w:rsidP="00B9662D">
      <w:pPr>
        <w:pStyle w:val="Notedebasdepage"/>
        <w:rPr>
          <w:lang w:val="fr-FR" w:eastAsia="fr-FR" w:bidi="fr-FR"/>
        </w:rPr>
      </w:pPr>
      <w:r w:rsidRPr="003B3476">
        <w:rPr>
          <w:rStyle w:val="Appelnotedebasdep"/>
        </w:rPr>
        <w:footnoteRef/>
      </w:r>
      <w:r w:rsidRPr="003B3476">
        <w:t xml:space="preserve"> </w:t>
      </w:r>
      <w:r w:rsidRPr="003B3476">
        <w:tab/>
      </w:r>
      <w:r w:rsidRPr="003B3476">
        <w:rPr>
          <w:lang w:val="fr-FR" w:eastAsia="fr-FR" w:bidi="fr-FR"/>
        </w:rPr>
        <w:t>Les indications généalogiques d’Osbert sont exactes. Pour plus de clarté, je les résume dans le tableau ci-dessous, où bien entendu je ne fais figurer que les personnages mentionnés dans notre texte ; j’ajoute simplement les ancêtres Édouard I et Richard I. Les dates de règne, que j’indique entre parenthèses, sont souvent incertaines, du moins à un an près ; j’ai suivi sur les points do</w:t>
      </w:r>
      <w:r w:rsidRPr="003B3476">
        <w:rPr>
          <w:lang w:val="fr-FR" w:eastAsia="fr-FR" w:bidi="fr-FR"/>
        </w:rPr>
        <w:t>u</w:t>
      </w:r>
      <w:r w:rsidRPr="003B3476">
        <w:rPr>
          <w:lang w:val="fr-FR" w:eastAsia="fr-FR" w:bidi="fr-FR"/>
        </w:rPr>
        <w:t>teux l’opinion exprimée par M. Plummer, dans ses Notes sur les chroniques anglo-saxonnes.</w:t>
      </w:r>
    </w:p>
    <w:p w14:paraId="06406CC3" w14:textId="77777777" w:rsidR="00B9662D" w:rsidRPr="003B3476" w:rsidRDefault="00287BD5" w:rsidP="00B9662D">
      <w:pPr>
        <w:pStyle w:val="Notedebasdepagec"/>
      </w:pPr>
      <w:r w:rsidRPr="003B3476">
        <w:rPr>
          <w:noProof/>
        </w:rPr>
        <w:drawing>
          <wp:inline distT="0" distB="0" distL="0" distR="0" wp14:anchorId="32D1D5A2" wp14:editId="36FD703C">
            <wp:extent cx="4224655" cy="1726565"/>
            <wp:effectExtent l="0" t="0" r="0" b="0"/>
            <wp:docPr id="6"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24655" cy="1726565"/>
                    </a:xfrm>
                    <a:prstGeom prst="rect">
                      <a:avLst/>
                    </a:prstGeom>
                    <a:noFill/>
                    <a:ln>
                      <a:noFill/>
                    </a:ln>
                  </pic:spPr>
                </pic:pic>
              </a:graphicData>
            </a:graphic>
          </wp:inline>
        </w:drawing>
      </w:r>
    </w:p>
    <w:p w14:paraId="70991DD3" w14:textId="77777777" w:rsidR="00B9662D" w:rsidRPr="003B3476" w:rsidRDefault="00B9662D" w:rsidP="00B9662D">
      <w:pPr>
        <w:pStyle w:val="Notedebasdepage"/>
      </w:pPr>
      <w:r w:rsidRPr="003B3476">
        <w:rPr>
          <w:lang w:val="fr-FR" w:eastAsia="fr-FR" w:bidi="fr-FR"/>
        </w:rPr>
        <w:tab/>
        <w:t xml:space="preserve">On sait qu’Osbert écrivit la Vie d’une des deux saintes des race royale qu’il mentionne ici, sainte Eadburge, religieuse à Winchester. </w:t>
      </w:r>
      <w:r w:rsidRPr="003B3476">
        <w:rPr>
          <w:bCs/>
          <w:i/>
        </w:rPr>
        <w:t>Cf.</w:t>
      </w:r>
      <w:r w:rsidRPr="003B3476">
        <w:rPr>
          <w:bCs/>
        </w:rPr>
        <w:t xml:space="preserve"> </w:t>
      </w:r>
      <w:r w:rsidRPr="003B3476">
        <w:rPr>
          <w:bCs/>
          <w:i/>
        </w:rPr>
        <w:t>supra</w:t>
      </w:r>
      <w:r w:rsidRPr="003B3476">
        <w:rPr>
          <w:lang w:val="fr-FR" w:eastAsia="fr-FR" w:bidi="fr-FR"/>
        </w:rPr>
        <w:t>, p. 952. n. 7.</w:t>
      </w:r>
    </w:p>
  </w:footnote>
  <w:footnote w:id="1243">
    <w:p w14:paraId="3D1A0F34" w14:textId="77777777" w:rsidR="00B9662D" w:rsidRPr="003B3476" w:rsidRDefault="00B9662D">
      <w:pPr>
        <w:pStyle w:val="Notedebasdepage"/>
      </w:pPr>
      <w:r w:rsidRPr="003B3476">
        <w:rPr>
          <w:rStyle w:val="Appelnotedebasdep"/>
        </w:rPr>
        <w:t>*</w:t>
      </w:r>
      <w:r w:rsidRPr="003B3476">
        <w:t xml:space="preserve"> </w:t>
      </w:r>
      <w:r w:rsidRPr="003B3476">
        <w:tab/>
        <w:t>Wintoniensis L.</w:t>
      </w:r>
    </w:p>
  </w:footnote>
  <w:footnote w:id="1244">
    <w:p w14:paraId="2BC618C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C’est un des témoignages les plus anciens de la tradition, selon toute probab</w:t>
      </w:r>
      <w:r w:rsidRPr="003B3476">
        <w:rPr>
          <w:lang w:val="fr-FR" w:eastAsia="fr-FR" w:bidi="fr-FR"/>
        </w:rPr>
        <w:t>i</w:t>
      </w:r>
      <w:r w:rsidRPr="003B3476">
        <w:rPr>
          <w:lang w:val="fr-FR" w:eastAsia="fr-FR" w:bidi="fr-FR"/>
        </w:rPr>
        <w:t xml:space="preserve">lité erronée, d’après laquelle des deux fils d’Ethelred, Alfred eût été l’aîné et Édouard le plus jeune. </w:t>
      </w:r>
      <w:r w:rsidRPr="003B3476">
        <w:rPr>
          <w:bCs/>
          <w:i/>
        </w:rPr>
        <w:t>Cf.</w:t>
      </w:r>
      <w:r w:rsidRPr="003B3476">
        <w:rPr>
          <w:lang w:val="fr-FR" w:eastAsia="fr-FR" w:bidi="fr-FR"/>
        </w:rPr>
        <w:t xml:space="preserve"> </w:t>
      </w:r>
      <w:r w:rsidRPr="003B3476">
        <w:rPr>
          <w:rStyle w:val="Notedebasdepage65ptPetitesmajuscules"/>
          <w:b w:val="0"/>
          <w:sz w:val="24"/>
        </w:rPr>
        <w:t xml:space="preserve">Plummer, </w:t>
      </w:r>
      <w:r w:rsidRPr="003B3476">
        <w:rPr>
          <w:bCs/>
          <w:i/>
        </w:rPr>
        <w:t>Chronicles</w:t>
      </w:r>
      <w:r w:rsidRPr="003B3476">
        <w:rPr>
          <w:bCs/>
        </w:rPr>
        <w:t>,</w:t>
      </w:r>
      <w:r w:rsidRPr="003B3476">
        <w:rPr>
          <w:lang w:val="fr-FR" w:eastAsia="fr-FR" w:bidi="fr-FR"/>
        </w:rPr>
        <w:t xml:space="preserve"> t. II, p. 214, n. 2.</w:t>
      </w:r>
    </w:p>
  </w:footnote>
  <w:footnote w:id="1245">
    <w:p w14:paraId="69B170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Ce récit est singulier. Guillaume de Malmesbury l’ignore. Ailred l’a emprunté à Osbert, en l’abrégeant (col. 372). Tel qu’il se présente chez Osbert, il se d</w:t>
      </w:r>
      <w:r w:rsidRPr="003B3476">
        <w:rPr>
          <w:lang w:val="fr-FR" w:eastAsia="fr-FR" w:bidi="fr-FR"/>
        </w:rPr>
        <w:t>é</w:t>
      </w:r>
      <w:r w:rsidRPr="003B3476">
        <w:rPr>
          <w:lang w:val="fr-FR" w:eastAsia="fr-FR" w:bidi="fr-FR"/>
        </w:rPr>
        <w:t>compose en deux éléments : 1° Édouard encore enfant, est reconnu comme f</w:t>
      </w:r>
      <w:r w:rsidRPr="003B3476">
        <w:rPr>
          <w:lang w:val="fr-FR" w:eastAsia="fr-FR" w:bidi="fr-FR"/>
        </w:rPr>
        <w:t>u</w:t>
      </w:r>
      <w:r w:rsidRPr="003B3476">
        <w:rPr>
          <w:lang w:val="fr-FR" w:eastAsia="fr-FR" w:bidi="fr-FR"/>
        </w:rPr>
        <w:t>tur roi et à ce titre reçoit le serment ; 2° ce fait témoigne d’une prédestination miraculeuse, car, selon la loi humaine, l’héritier désigné eût dû être non pas Édouard mais son frère Alfred. Cette seconde considération est née d’une e</w:t>
      </w:r>
      <w:r w:rsidRPr="003B3476">
        <w:rPr>
          <w:lang w:val="fr-FR" w:eastAsia="fr-FR" w:bidi="fr-FR"/>
        </w:rPr>
        <w:t>r</w:t>
      </w:r>
      <w:r w:rsidRPr="003B3476">
        <w:rPr>
          <w:lang w:val="fr-FR" w:eastAsia="fr-FR" w:bidi="fr-FR"/>
        </w:rPr>
        <w:t>reur : Osbert s’est persuadé à tort qu’Alfred des deux frères était l’aîné. Si, comme cela paraît certain (</w:t>
      </w:r>
      <w:r w:rsidRPr="003B3476">
        <w:rPr>
          <w:i/>
          <w:lang w:val="fr-FR" w:eastAsia="fr-FR" w:bidi="fr-FR"/>
        </w:rPr>
        <w:t>cf</w:t>
      </w:r>
      <w:r w:rsidRPr="003B3476">
        <w:rPr>
          <w:lang w:val="fr-FR" w:eastAsia="fr-FR" w:bidi="fr-FR"/>
        </w:rPr>
        <w:t xml:space="preserve">. note précédente) il était au contraire le cadet, on ne saurait s’étonner qu’Édouard lui ait été préféré. Une difficulté subsiste pourtant. Édouard était vraisemblablement le premier-né des fils </w:t>
      </w:r>
      <w:r w:rsidRPr="003B3476">
        <w:t>que la No</w:t>
      </w:r>
      <w:r w:rsidRPr="003B3476">
        <w:t>r</w:t>
      </w:r>
      <w:r w:rsidRPr="003B3476">
        <w:t>mande Emma avait donnés à Ethelred ; mais d’une première femme Ethelred avait eu auparavant plusieurs autres fils. L’un d’eux au moins, Edmond Côte de Fer, lui survécut ; c’est lui — et non Édouard — qui en 1016, après la mort d’Ethelred, fut reconnu pour roi par ceux des grands qui refusaient d’obéir au Danois Cnut. N’était-ce pas ce même Edmond qui, du vivant de son père, eût dû recevoir le serment ? Le témoignage d’Osbert en lui-même est de peu de valeur ; mais il est confirmé par ceux d’autres écrivains, plus anciens : le Bi</w:t>
      </w:r>
      <w:r w:rsidRPr="003B3476">
        <w:t>o</w:t>
      </w:r>
      <w:r w:rsidRPr="003B3476">
        <w:t xml:space="preserve">graphe (p. 394, 1, </w:t>
      </w:r>
      <w:r w:rsidRPr="003B3476">
        <w:rPr>
          <w:lang w:val="fr-FR" w:eastAsia="fr-FR" w:bidi="fr-FR"/>
        </w:rPr>
        <w:t xml:space="preserve">161) et surtout l’auteur anonyme des </w:t>
      </w:r>
      <w:r w:rsidRPr="003B3476">
        <w:rPr>
          <w:bCs/>
          <w:i/>
        </w:rPr>
        <w:t>Miracles de saint Wu</w:t>
      </w:r>
      <w:r w:rsidRPr="003B3476">
        <w:rPr>
          <w:bCs/>
          <w:i/>
        </w:rPr>
        <w:t>l</w:t>
      </w:r>
      <w:r w:rsidRPr="003B3476">
        <w:rPr>
          <w:bCs/>
          <w:i/>
        </w:rPr>
        <w:t>fran</w:t>
      </w:r>
      <w:r w:rsidRPr="003B3476">
        <w:rPr>
          <w:lang w:val="fr-FR" w:eastAsia="fr-FR" w:bidi="fr-FR"/>
        </w:rPr>
        <w:t>, un moine normand contemporain de saint Édouard (d’</w:t>
      </w:r>
      <w:r w:rsidRPr="003B3476">
        <w:rPr>
          <w:i/>
          <w:lang w:val="fr-FR" w:eastAsia="fr-FR" w:bidi="fr-FR"/>
        </w:rPr>
        <w:t>Achery</w:t>
      </w:r>
      <w:r w:rsidRPr="003B3476">
        <w:rPr>
          <w:lang w:val="fr-FR" w:eastAsia="fr-FR" w:bidi="fr-FR"/>
        </w:rPr>
        <w:t xml:space="preserve">, </w:t>
      </w:r>
      <w:r w:rsidRPr="003B3476">
        <w:rPr>
          <w:bCs/>
          <w:i/>
        </w:rPr>
        <w:t>Spicil</w:t>
      </w:r>
      <w:r w:rsidRPr="003B3476">
        <w:rPr>
          <w:bCs/>
          <w:i/>
        </w:rPr>
        <w:t>e</w:t>
      </w:r>
      <w:r w:rsidRPr="003B3476">
        <w:rPr>
          <w:bCs/>
          <w:i/>
        </w:rPr>
        <w:t>gium</w:t>
      </w:r>
      <w:r w:rsidRPr="003B3476">
        <w:rPr>
          <w:lang w:val="fr-FR" w:eastAsia="fr-FR" w:bidi="fr-FR"/>
        </w:rPr>
        <w:t xml:space="preserve">, éd. de 1723, t. II, p. 286, col. 2). D’après les </w:t>
      </w:r>
      <w:r w:rsidRPr="003B3476">
        <w:rPr>
          <w:bCs/>
        </w:rPr>
        <w:t>Miracles</w:t>
      </w:r>
      <w:r w:rsidRPr="003B3476">
        <w:rPr>
          <w:lang w:val="fr-FR" w:eastAsia="fr-FR" w:bidi="fr-FR"/>
        </w:rPr>
        <w:t>, Édouard eût même été du vivant d’Ethelred associé à la dignité royale, comme l’était rég</w:t>
      </w:r>
      <w:r w:rsidRPr="003B3476">
        <w:rPr>
          <w:lang w:val="fr-FR" w:eastAsia="fr-FR" w:bidi="fr-FR"/>
        </w:rPr>
        <w:t>u</w:t>
      </w:r>
      <w:r w:rsidRPr="003B3476">
        <w:rPr>
          <w:lang w:val="fr-FR" w:eastAsia="fr-FR" w:bidi="fr-FR"/>
        </w:rPr>
        <w:t>lièrement en ce temps, de l’autre côté de la Manche, l’héritier capétien ; il a</w:t>
      </w:r>
      <w:r w:rsidRPr="003B3476">
        <w:rPr>
          <w:lang w:val="fr-FR" w:eastAsia="fr-FR" w:bidi="fr-FR"/>
        </w:rPr>
        <w:t>u</w:t>
      </w:r>
      <w:r w:rsidRPr="003B3476">
        <w:rPr>
          <w:lang w:val="fr-FR" w:eastAsia="fr-FR" w:bidi="fr-FR"/>
        </w:rPr>
        <w:t>rait reçu l’onction. Il est difïicile d’écarter ce texte. Sans doute faut-il conclure que la première union d’Ethelred n’était pas considérée comme légitime. E</w:t>
      </w:r>
      <w:r w:rsidRPr="003B3476">
        <w:rPr>
          <w:lang w:val="fr-FR" w:eastAsia="fr-FR" w:bidi="fr-FR"/>
        </w:rPr>
        <w:t>d</w:t>
      </w:r>
      <w:r w:rsidRPr="003B3476">
        <w:rPr>
          <w:lang w:val="fr-FR" w:eastAsia="fr-FR" w:bidi="fr-FR"/>
        </w:rPr>
        <w:t xml:space="preserve">mond aurait été d’abord laissé de côté comme bâtard ; puis en 1016, alors qu’il s’agissait avant tout d’opposer aux Danois un chef militaire, il aurait été préféré par les grands à Édouard, encore tout jeune. Sur les enfants d’Ethelred, </w:t>
      </w:r>
      <w:r w:rsidRPr="003B3476">
        <w:rPr>
          <w:bCs/>
          <w:i/>
        </w:rPr>
        <w:t>cf.</w:t>
      </w:r>
      <w:r w:rsidRPr="003B3476">
        <w:rPr>
          <w:bCs/>
        </w:rPr>
        <w:t xml:space="preserve"> </w:t>
      </w:r>
      <w:r w:rsidRPr="003B3476">
        <w:rPr>
          <w:rStyle w:val="Notedebasdepage65ptPetitesmajuscules"/>
          <w:b w:val="0"/>
          <w:sz w:val="24"/>
        </w:rPr>
        <w:t xml:space="preserve">Freeman, </w:t>
      </w:r>
      <w:r w:rsidRPr="003B3476">
        <w:rPr>
          <w:lang w:val="fr-FR" w:eastAsia="fr-FR" w:bidi="fr-FR"/>
        </w:rPr>
        <w:t xml:space="preserve">t. </w:t>
      </w:r>
      <w:r w:rsidRPr="003B3476">
        <w:rPr>
          <w:bCs/>
        </w:rPr>
        <w:t xml:space="preserve">I, </w:t>
      </w:r>
      <w:r w:rsidRPr="003B3476">
        <w:rPr>
          <w:lang w:val="fr-FR" w:eastAsia="fr-FR" w:bidi="fr-FR"/>
        </w:rPr>
        <w:t>p. 669.</w:t>
      </w:r>
    </w:p>
  </w:footnote>
  <w:footnote w:id="1246">
    <w:p w14:paraId="5741082B"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L’épisode de la vision de Brithwold, évêque du Wiltshire, pendant un séjour au monastère de Glastonbury, se trouve chez le Biographe, p. 394 et dans G. </w:t>
      </w:r>
      <w:r w:rsidRPr="003B3476">
        <w:rPr>
          <w:rStyle w:val="Notedebasdepage65ptPetitesmajuscules"/>
          <w:b w:val="0"/>
          <w:sz w:val="24"/>
        </w:rPr>
        <w:t xml:space="preserve">de Malmesbury, </w:t>
      </w:r>
      <w:r w:rsidRPr="003B3476">
        <w:rPr>
          <w:bCs/>
          <w:i/>
        </w:rPr>
        <w:t>Gesta regum</w:t>
      </w:r>
      <w:r w:rsidRPr="003B3476">
        <w:rPr>
          <w:lang w:val="fr-FR" w:eastAsia="fr-FR" w:bidi="fr-FR"/>
        </w:rPr>
        <w:t xml:space="preserve">, § 221, </w:t>
      </w:r>
      <w:r w:rsidRPr="003B3476">
        <w:rPr>
          <w:bCs/>
          <w:i/>
        </w:rPr>
        <w:t>Gesta Pontificum</w:t>
      </w:r>
      <w:r w:rsidRPr="003B3476">
        <w:rPr>
          <w:lang w:val="fr-FR" w:eastAsia="fr-FR" w:bidi="fr-FR"/>
        </w:rPr>
        <w:t>, § 83. Osbert repr</w:t>
      </w:r>
      <w:r w:rsidRPr="003B3476">
        <w:rPr>
          <w:lang w:val="fr-FR" w:eastAsia="fr-FR" w:bidi="fr-FR"/>
        </w:rPr>
        <w:t>o</w:t>
      </w:r>
      <w:r w:rsidRPr="003B3476">
        <w:rPr>
          <w:lang w:val="fr-FR" w:eastAsia="fr-FR" w:bidi="fr-FR"/>
        </w:rPr>
        <w:t xml:space="preserve">duit presque textuellement le Biographe, en l’amplifiant légèrement. </w:t>
      </w:r>
      <w:r w:rsidRPr="003B3476">
        <w:rPr>
          <w:bCs/>
          <w:i/>
        </w:rPr>
        <w:t>Cf.</w:t>
      </w:r>
      <w:r w:rsidRPr="003B3476">
        <w:rPr>
          <w:lang w:val="fr-FR" w:eastAsia="fr-FR" w:bidi="fr-FR"/>
        </w:rPr>
        <w:t xml:space="preserve"> </w:t>
      </w:r>
      <w:r w:rsidRPr="003B3476">
        <w:rPr>
          <w:rStyle w:val="Notedebasdepage65ptPetitesmajuscules"/>
          <w:b w:val="0"/>
          <w:sz w:val="24"/>
        </w:rPr>
        <w:t>A</w:t>
      </w:r>
      <w:r w:rsidRPr="003B3476">
        <w:rPr>
          <w:rStyle w:val="Notedebasdepage65ptPetitesmajuscules"/>
          <w:b w:val="0"/>
          <w:sz w:val="24"/>
        </w:rPr>
        <w:t>i</w:t>
      </w:r>
      <w:r w:rsidRPr="003B3476">
        <w:rPr>
          <w:rStyle w:val="Notedebasdepage65ptPetitesmajuscules"/>
          <w:b w:val="0"/>
          <w:sz w:val="24"/>
        </w:rPr>
        <w:t xml:space="preserve">lred, </w:t>
      </w:r>
      <w:r w:rsidRPr="003B3476">
        <w:rPr>
          <w:lang w:val="fr-FR" w:eastAsia="fr-FR" w:bidi="fr-FR"/>
        </w:rPr>
        <w:t>col. 373, qui amplifie à son tour.</w:t>
      </w:r>
    </w:p>
  </w:footnote>
  <w:footnote w:id="1247">
    <w:p w14:paraId="74E32D1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Erreur, prise sans doute au Biographe ; Édouard fut couronné à Winchester : </w:t>
      </w:r>
      <w:r w:rsidRPr="003B3476">
        <w:rPr>
          <w:bCs/>
          <w:i/>
        </w:rPr>
        <w:t>cf.</w:t>
      </w:r>
      <w:r w:rsidRPr="003B3476">
        <w:rPr>
          <w:bCs/>
        </w:rPr>
        <w:t xml:space="preserve"> </w:t>
      </w:r>
      <w:r w:rsidRPr="003B3476">
        <w:rPr>
          <w:bCs/>
          <w:i/>
        </w:rPr>
        <w:t>supra</w:t>
      </w:r>
      <w:r w:rsidRPr="003B3476">
        <w:rPr>
          <w:lang w:val="fr-FR" w:eastAsia="fr-FR" w:bidi="fr-FR"/>
        </w:rPr>
        <w:t> » p. 963.</w:t>
      </w:r>
    </w:p>
  </w:footnote>
  <w:footnote w:id="1248">
    <w:p w14:paraId="4A45B28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Tout le développement sur l’avènement emprunté au Biographe, p. </w:t>
      </w:r>
      <w:r w:rsidRPr="003B3476">
        <w:rPr>
          <w:bCs/>
        </w:rPr>
        <w:t xml:space="preserve">392, </w:t>
      </w:r>
      <w:r w:rsidRPr="003B3476">
        <w:rPr>
          <w:lang w:val="fr-FR" w:eastAsia="fr-FR" w:bidi="fr-FR"/>
        </w:rPr>
        <w:t>y compris deux erreurs : le couronnement à Canterbury et la parenté entre Henri I</w:t>
      </w:r>
      <w:r w:rsidRPr="003B3476">
        <w:rPr>
          <w:vertAlign w:val="superscript"/>
          <w:lang w:val="fr-FR" w:eastAsia="fr-FR" w:bidi="fr-FR"/>
        </w:rPr>
        <w:t>er</w:t>
      </w:r>
      <w:r w:rsidRPr="003B3476">
        <w:rPr>
          <w:lang w:val="fr-FR" w:eastAsia="fr-FR" w:bidi="fr-FR"/>
        </w:rPr>
        <w:t xml:space="preserve"> de France et saint Édouard ; une seule divergence, qui touche le rôle prêté au roi de Danemark. </w:t>
      </w:r>
      <w:r w:rsidRPr="003B3476">
        <w:rPr>
          <w:bCs/>
          <w:i/>
        </w:rPr>
        <w:t>Cf.</w:t>
      </w:r>
      <w:r w:rsidRPr="003B3476">
        <w:rPr>
          <w:bCs/>
        </w:rPr>
        <w:t xml:space="preserve"> </w:t>
      </w:r>
      <w:r w:rsidRPr="003B3476">
        <w:rPr>
          <w:bCs/>
          <w:i/>
        </w:rPr>
        <w:t>supra,</w:t>
      </w:r>
      <w:r w:rsidRPr="003B3476">
        <w:rPr>
          <w:bCs/>
          <w:vertAlign w:val="subscript"/>
        </w:rPr>
        <w:t xml:space="preserve"> </w:t>
      </w:r>
      <w:r w:rsidRPr="003B3476">
        <w:rPr>
          <w:lang w:val="fr-FR" w:eastAsia="fr-FR" w:bidi="fr-FR"/>
        </w:rPr>
        <w:t xml:space="preserve">p. </w:t>
      </w:r>
      <w:r w:rsidRPr="003B3476">
        <w:rPr>
          <w:bCs/>
        </w:rPr>
        <w:t xml:space="preserve">966, n. 2, </w:t>
      </w:r>
      <w:r w:rsidRPr="003B3476">
        <w:rPr>
          <w:rStyle w:val="Notedebasdepage65ptPetitesmajuscules"/>
          <w:b w:val="0"/>
          <w:sz w:val="24"/>
        </w:rPr>
        <w:t xml:space="preserve">Ailred, </w:t>
      </w:r>
      <w:r w:rsidRPr="003B3476">
        <w:rPr>
          <w:lang w:val="fr-FR" w:eastAsia="fr-FR" w:bidi="fr-FR"/>
        </w:rPr>
        <w:t xml:space="preserve">col. </w:t>
      </w:r>
      <w:r w:rsidRPr="003B3476">
        <w:rPr>
          <w:bCs/>
        </w:rPr>
        <w:t>374-375.</w:t>
      </w:r>
    </w:p>
  </w:footnote>
  <w:footnote w:id="1249">
    <w:p w14:paraId="6EDEE9E3" w14:textId="77777777" w:rsidR="00B9662D" w:rsidRPr="003B3476" w:rsidRDefault="00B9662D">
      <w:pPr>
        <w:pStyle w:val="Notedebasdepage"/>
      </w:pPr>
      <w:r w:rsidRPr="003B3476">
        <w:rPr>
          <w:rStyle w:val="Appelnotedebasdep"/>
        </w:rPr>
        <w:t>*</w:t>
      </w:r>
      <w:r w:rsidRPr="003B3476">
        <w:t xml:space="preserve"> </w:t>
      </w:r>
      <w:r w:rsidRPr="003B3476">
        <w:tab/>
      </w:r>
      <w:r w:rsidRPr="003B3476">
        <w:rPr>
          <w:i/>
          <w:color w:val="FF0000"/>
          <w:lang w:val="fr-FR" w:eastAsia="fr-FR" w:bidi="fr-FR"/>
        </w:rPr>
        <w:t>a</w:t>
      </w:r>
      <w:r w:rsidRPr="003B3476">
        <w:rPr>
          <w:bCs/>
        </w:rPr>
        <w:t xml:space="preserve"> Longinqui L ; </w:t>
      </w:r>
      <w:r w:rsidRPr="003B3476">
        <w:rPr>
          <w:i/>
          <w:lang w:val="fr-FR" w:eastAsia="fr-FR" w:bidi="fr-FR"/>
        </w:rPr>
        <w:t>la leçon</w:t>
      </w:r>
      <w:r w:rsidRPr="003B3476">
        <w:rPr>
          <w:bCs/>
        </w:rPr>
        <w:t xml:space="preserve"> longi quoque </w:t>
      </w:r>
      <w:r w:rsidRPr="003B3476">
        <w:rPr>
          <w:i/>
          <w:lang w:val="fr-FR" w:eastAsia="fr-FR" w:bidi="fr-FR"/>
        </w:rPr>
        <w:t>est attestée non se</w:t>
      </w:r>
      <w:r w:rsidRPr="003B3476">
        <w:rPr>
          <w:i/>
          <w:lang w:val="fr-FR" w:eastAsia="fr-FR" w:bidi="fr-FR"/>
        </w:rPr>
        <w:t>u</w:t>
      </w:r>
      <w:r w:rsidRPr="003B3476">
        <w:rPr>
          <w:i/>
          <w:lang w:val="fr-FR" w:eastAsia="fr-FR" w:bidi="fr-FR"/>
        </w:rPr>
        <w:t>lement par</w:t>
      </w:r>
      <w:r w:rsidRPr="003B3476">
        <w:rPr>
          <w:bCs/>
          <w:i/>
        </w:rPr>
        <w:t xml:space="preserve"> </w:t>
      </w:r>
      <w:r w:rsidRPr="003B3476">
        <w:rPr>
          <w:bCs/>
        </w:rPr>
        <w:t>C</w:t>
      </w:r>
      <w:r w:rsidRPr="003B3476">
        <w:rPr>
          <w:bCs/>
          <w:i/>
        </w:rPr>
        <w:t xml:space="preserve">, </w:t>
      </w:r>
      <w:r w:rsidRPr="003B3476">
        <w:rPr>
          <w:i/>
          <w:lang w:val="fr-FR" w:eastAsia="fr-FR" w:bidi="fr-FR"/>
        </w:rPr>
        <w:t>mais aussi par le Biographe de qui ce portrait est tiré.</w:t>
      </w:r>
    </w:p>
  </w:footnote>
  <w:footnote w:id="1250">
    <w:p w14:paraId="78BFAB8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Portrait emprunté, parfois textuellement, au Biographe, p. 396.</w:t>
      </w:r>
    </w:p>
  </w:footnote>
  <w:footnote w:id="1251">
    <w:p w14:paraId="6C24B38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Allusion à la légende bien connue au Moyen Âge de saint Alexis d’Édesse, et à ses chastes noces. </w:t>
      </w:r>
      <w:r w:rsidRPr="003B3476">
        <w:rPr>
          <w:bCs/>
          <w:i/>
        </w:rPr>
        <w:t>Cf.</w:t>
      </w:r>
      <w:r w:rsidRPr="003B3476">
        <w:rPr>
          <w:bCs/>
        </w:rPr>
        <w:t xml:space="preserve"> </w:t>
      </w:r>
      <w:r w:rsidRPr="003B3476">
        <w:rPr>
          <w:bCs/>
          <w:i/>
        </w:rPr>
        <w:t>BHL</w:t>
      </w:r>
      <w:r w:rsidRPr="003B3476">
        <w:rPr>
          <w:bCs/>
        </w:rPr>
        <w:t>.</w:t>
      </w:r>
      <w:r w:rsidRPr="003B3476">
        <w:rPr>
          <w:lang w:val="fr-FR" w:eastAsia="fr-FR" w:bidi="fr-FR"/>
        </w:rPr>
        <w:t xml:space="preserve"> 286-301.</w:t>
      </w:r>
    </w:p>
  </w:footnote>
  <w:footnote w:id="1252">
    <w:p w14:paraId="57095A7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65ptPetitesmajuscules"/>
          <w:b w:val="0"/>
          <w:sz w:val="24"/>
        </w:rPr>
        <w:t xml:space="preserve">Ailred, </w:t>
      </w:r>
      <w:r w:rsidRPr="003B3476">
        <w:rPr>
          <w:lang w:val="fr-FR" w:eastAsia="fr-FR" w:bidi="fr-FR"/>
        </w:rPr>
        <w:t>col. 378.</w:t>
      </w:r>
    </w:p>
  </w:footnote>
  <w:footnote w:id="1253">
    <w:p w14:paraId="1CE0D8F5"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Westimonarium L.</w:t>
      </w:r>
    </w:p>
  </w:footnote>
  <w:footnote w:id="1254">
    <w:p w14:paraId="78EFF249"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 xml:space="preserve">charinnum </w:t>
      </w:r>
      <w:r w:rsidRPr="003B3476">
        <w:rPr>
          <w:i/>
          <w:lang w:val="fr-FR" w:eastAsia="fr-FR" w:bidi="fr-FR"/>
        </w:rPr>
        <w:t>L </w:t>
      </w:r>
      <w:r w:rsidRPr="003B3476">
        <w:rPr>
          <w:lang w:val="fr-FR" w:eastAsia="fr-FR" w:bidi="fr-FR"/>
        </w:rPr>
        <w:t xml:space="preserve">; risum </w:t>
      </w:r>
      <w:r w:rsidRPr="003B3476">
        <w:rPr>
          <w:i/>
          <w:lang w:val="fr-FR" w:eastAsia="fr-FR" w:bidi="fr-FR"/>
        </w:rPr>
        <w:t>C</w:t>
      </w:r>
      <w:r w:rsidRPr="003B3476">
        <w:rPr>
          <w:lang w:val="fr-FR" w:eastAsia="fr-FR" w:bidi="fr-FR"/>
        </w:rPr>
        <w:t>.</w:t>
      </w:r>
    </w:p>
  </w:footnote>
  <w:footnote w:id="1255">
    <w:p w14:paraId="282EDF12"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Il est exact qu’au temps d’Édouard le Confesseur le Danemark fut gouverné par un roi appelé </w:t>
      </w:r>
      <w:r w:rsidRPr="003B3476">
        <w:rPr>
          <w:lang w:eastAsia="fr-FR" w:bidi="fr-FR"/>
        </w:rPr>
        <w:t>Swen : c’est Swen Estridsen qui fut proclamé roi en 1043 (</w:t>
      </w:r>
      <w:r w:rsidRPr="003B3476">
        <w:rPr>
          <w:i/>
          <w:lang w:eastAsia="fr-FR" w:bidi="fr-FR"/>
        </w:rPr>
        <w:t>cf.</w:t>
      </w:r>
      <w:r w:rsidRPr="003B3476">
        <w:rPr>
          <w:lang w:eastAsia="fr-FR" w:bidi="fr-FR"/>
        </w:rPr>
        <w:t xml:space="preserve"> F. C. </w:t>
      </w:r>
      <w:r w:rsidRPr="003B3476">
        <w:rPr>
          <w:smallCaps/>
          <w:lang w:eastAsia="fr-FR" w:bidi="fr-FR"/>
        </w:rPr>
        <w:t>Dahlmann</w:t>
      </w:r>
      <w:r w:rsidRPr="003B3476">
        <w:rPr>
          <w:lang w:eastAsia="fr-FR" w:bidi="fr-FR"/>
        </w:rPr>
        <w:t xml:space="preserve">, </w:t>
      </w:r>
      <w:r w:rsidRPr="003B3476">
        <w:rPr>
          <w:i/>
          <w:lang w:eastAsia="fr-FR" w:bidi="fr-FR"/>
        </w:rPr>
        <w:t>Geschichte von Danemark</w:t>
      </w:r>
      <w:r w:rsidRPr="003B3476">
        <w:rPr>
          <w:lang w:eastAsia="fr-FR" w:bidi="fr-FR"/>
        </w:rPr>
        <w:t>, t. I, p. 122) ; Osbert avait dû puiser ce détail dans quelque chronique. Nous sommes mal renseignés sur les rapports de Swen et d’Édouard (</w:t>
      </w:r>
      <w:r w:rsidRPr="003B3476">
        <w:rPr>
          <w:i/>
          <w:lang w:eastAsia="fr-FR" w:bidi="fr-FR"/>
        </w:rPr>
        <w:t>cf.</w:t>
      </w:r>
      <w:r w:rsidRPr="003B3476">
        <w:rPr>
          <w:lang w:eastAsia="fr-FR" w:bidi="fr-FR"/>
        </w:rPr>
        <w:t xml:space="preserve"> Adam </w:t>
      </w:r>
      <w:r w:rsidRPr="003B3476">
        <w:rPr>
          <w:smallCaps/>
          <w:lang w:eastAsia="fr-FR" w:bidi="fr-FR"/>
        </w:rPr>
        <w:t>Bremensis</w:t>
      </w:r>
      <w:r w:rsidRPr="003B3476">
        <w:rPr>
          <w:lang w:eastAsia="fr-FR" w:bidi="fr-FR"/>
        </w:rPr>
        <w:t xml:space="preserve">, </w:t>
      </w:r>
      <w:r w:rsidRPr="003B3476">
        <w:rPr>
          <w:i/>
          <w:lang w:eastAsia="fr-FR" w:bidi="fr-FR"/>
        </w:rPr>
        <w:t xml:space="preserve">Gesta </w:t>
      </w:r>
      <w:r w:rsidRPr="003B3476">
        <w:rPr>
          <w:bCs/>
          <w:i/>
        </w:rPr>
        <w:t>Hammaburg. e</w:t>
      </w:r>
      <w:r w:rsidRPr="003B3476">
        <w:rPr>
          <w:bCs/>
          <w:i/>
        </w:rPr>
        <w:t>c</w:t>
      </w:r>
      <w:r w:rsidRPr="003B3476">
        <w:rPr>
          <w:bCs/>
          <w:i/>
        </w:rPr>
        <w:t>clesiae pont</w:t>
      </w:r>
      <w:r w:rsidRPr="003B3476">
        <w:rPr>
          <w:bCs/>
        </w:rPr>
        <w:t>.</w:t>
      </w:r>
      <w:r w:rsidRPr="003B3476">
        <w:rPr>
          <w:lang w:val="fr-FR" w:eastAsia="fr-FR" w:bidi="fr-FR"/>
        </w:rPr>
        <w:t xml:space="preserve"> 1. III, c. </w:t>
      </w:r>
      <w:r w:rsidRPr="003B3476">
        <w:rPr>
          <w:bCs/>
          <w:i/>
        </w:rPr>
        <w:t>XII</w:t>
      </w:r>
      <w:r w:rsidRPr="003B3476">
        <w:rPr>
          <w:lang w:val="fr-FR" w:eastAsia="fr-FR" w:bidi="fr-FR"/>
        </w:rPr>
        <w:t xml:space="preserve"> et suiv.) ; mais une chose est certaine : loin de périr au cours d’une expédition contre le saint roi, Swen lui survécut et mourut, sans doute de maladie, en 1076 seulement.</w:t>
      </w:r>
    </w:p>
  </w:footnote>
  <w:footnote w:id="1256">
    <w:p w14:paraId="2930757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lang w:val="fr-FR" w:eastAsia="fr-FR" w:bidi="fr-FR"/>
        </w:rPr>
        <w:t xml:space="preserve"> II </w:t>
      </w:r>
      <w:r w:rsidRPr="003B3476">
        <w:rPr>
          <w:bCs/>
          <w:i/>
        </w:rPr>
        <w:t>Cor</w:t>
      </w:r>
      <w:r w:rsidRPr="003B3476">
        <w:rPr>
          <w:bCs/>
        </w:rPr>
        <w:t>.</w:t>
      </w:r>
      <w:r w:rsidRPr="003B3476">
        <w:rPr>
          <w:lang w:val="fr-FR" w:eastAsia="fr-FR" w:bidi="fr-FR"/>
        </w:rPr>
        <w:t xml:space="preserve"> XII, 2-3.</w:t>
      </w:r>
    </w:p>
  </w:footnote>
  <w:footnote w:id="1257">
    <w:p w14:paraId="4316BAA8"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Apoc</w:t>
      </w:r>
      <w:r w:rsidRPr="003B3476">
        <w:rPr>
          <w:bCs/>
        </w:rPr>
        <w:t>.</w:t>
      </w:r>
      <w:r w:rsidRPr="003B3476">
        <w:rPr>
          <w:lang w:val="fr-FR" w:eastAsia="fr-FR" w:bidi="fr-FR"/>
        </w:rPr>
        <w:t xml:space="preserve"> III, 7.</w:t>
      </w:r>
    </w:p>
  </w:footnote>
  <w:footnote w:id="1258">
    <w:p w14:paraId="5A039EDD"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 xml:space="preserve">rimari L ; </w:t>
      </w:r>
      <w:r w:rsidRPr="003B3476">
        <w:rPr>
          <w:bCs/>
          <w:i/>
        </w:rPr>
        <w:t>le passage manque dans</w:t>
      </w:r>
      <w:r w:rsidRPr="003B3476">
        <w:rPr>
          <w:lang w:val="fr-FR" w:eastAsia="fr-FR" w:bidi="fr-FR"/>
        </w:rPr>
        <w:t xml:space="preserve"> C. </w:t>
      </w:r>
    </w:p>
  </w:footnote>
  <w:footnote w:id="1259">
    <w:p w14:paraId="57F26A56"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lang w:val="fr-FR" w:eastAsia="fr-FR" w:bidi="fr-FR"/>
        </w:rPr>
        <w:t xml:space="preserve">coituntur L ; </w:t>
      </w:r>
      <w:r w:rsidRPr="003B3476">
        <w:rPr>
          <w:bCs/>
          <w:i/>
        </w:rPr>
        <w:t>le passage manque dans</w:t>
      </w:r>
      <w:r w:rsidRPr="003B3476">
        <w:rPr>
          <w:lang w:val="fr-FR" w:eastAsia="fr-FR" w:bidi="fr-FR"/>
        </w:rPr>
        <w:t xml:space="preserve"> C. </w:t>
      </w:r>
    </w:p>
  </w:footnote>
  <w:footnote w:id="1260">
    <w:p w14:paraId="09E64E38" w14:textId="77777777" w:rsidR="00B9662D" w:rsidRPr="003B3476" w:rsidRDefault="00B9662D">
      <w:pPr>
        <w:pStyle w:val="Notedebasdepage"/>
      </w:pPr>
      <w:r w:rsidRPr="003B3476">
        <w:rPr>
          <w:rStyle w:val="Appelnotedebasdep"/>
        </w:rPr>
        <w:t>e</w:t>
      </w:r>
      <w:r w:rsidRPr="003B3476">
        <w:t xml:space="preserve"> </w:t>
      </w:r>
      <w:r w:rsidRPr="003B3476">
        <w:tab/>
      </w:r>
      <w:r w:rsidRPr="003B3476">
        <w:rPr>
          <w:lang w:val="fr-FR" w:eastAsia="fr-FR" w:bidi="fr-FR"/>
        </w:rPr>
        <w:t>uenerabatur L.</w:t>
      </w:r>
    </w:p>
  </w:footnote>
  <w:footnote w:id="1261">
    <w:p w14:paraId="6353802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Sur le vœu d’Édouard et les sources d’Osbert pour les chapitres </w:t>
      </w:r>
      <w:r w:rsidRPr="003B3476">
        <w:rPr>
          <w:smallCaps/>
          <w:lang w:val="fr-FR" w:eastAsia="fr-FR" w:bidi="fr-FR"/>
        </w:rPr>
        <w:t>vi, vii</w:t>
      </w:r>
      <w:r w:rsidRPr="003B3476">
        <w:rPr>
          <w:lang w:val="fr-FR" w:eastAsia="fr-FR" w:bidi="fr-FR"/>
        </w:rPr>
        <w:t xml:space="preserve"> et </w:t>
      </w:r>
      <w:r w:rsidRPr="003B3476">
        <w:rPr>
          <w:smallCaps/>
          <w:lang w:val="fr-FR" w:eastAsia="fr-FR" w:bidi="fr-FR"/>
        </w:rPr>
        <w:t>xi</w:t>
      </w:r>
      <w:r w:rsidRPr="003B3476">
        <w:rPr>
          <w:lang w:val="fr-FR" w:eastAsia="fr-FR" w:bidi="fr-FR"/>
        </w:rPr>
        <w:t xml:space="preserve">, </w:t>
      </w:r>
      <w:r w:rsidRPr="003B3476">
        <w:rPr>
          <w:bCs/>
          <w:i/>
        </w:rPr>
        <w:t>cf.</w:t>
      </w:r>
      <w:r w:rsidRPr="003B3476">
        <w:rPr>
          <w:bCs/>
        </w:rPr>
        <w:t xml:space="preserve"> </w:t>
      </w:r>
      <w:r w:rsidRPr="003B3476">
        <w:rPr>
          <w:bCs/>
          <w:i/>
        </w:rPr>
        <w:t>supra</w:t>
      </w:r>
      <w:r w:rsidRPr="003B3476">
        <w:rPr>
          <w:lang w:val="fr-FR" w:eastAsia="fr-FR" w:bidi="fr-FR"/>
        </w:rPr>
        <w:t xml:space="preserve">, p. </w:t>
      </w:r>
      <w:r w:rsidRPr="003B3476">
        <w:rPr>
          <w:bCs/>
        </w:rPr>
        <w:t xml:space="preserve">973 </w:t>
      </w:r>
      <w:r w:rsidRPr="003B3476">
        <w:rPr>
          <w:lang w:val="fr-FR" w:eastAsia="fr-FR" w:bidi="fr-FR"/>
        </w:rPr>
        <w:t xml:space="preserve">et suiv. </w:t>
      </w:r>
      <w:r w:rsidRPr="003B3476">
        <w:rPr>
          <w:rStyle w:val="Notedebasdepage65ptPetitesmajuscules"/>
          <w:b w:val="0"/>
          <w:sz w:val="24"/>
        </w:rPr>
        <w:t xml:space="preserve">Ailred, </w:t>
      </w:r>
      <w:r w:rsidRPr="003B3476">
        <w:rPr>
          <w:lang w:val="fr-FR" w:eastAsia="fr-FR" w:bidi="fr-FR"/>
        </w:rPr>
        <w:t xml:space="preserve">col. </w:t>
      </w:r>
      <w:r w:rsidRPr="003B3476">
        <w:rPr>
          <w:bCs/>
        </w:rPr>
        <w:t>379.</w:t>
      </w:r>
    </w:p>
  </w:footnote>
  <w:footnote w:id="1262">
    <w:p w14:paraId="1569234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Psalm</w:t>
      </w:r>
      <w:r w:rsidRPr="003B3476">
        <w:rPr>
          <w:bCs/>
        </w:rPr>
        <w:t>.</w:t>
      </w:r>
      <w:r w:rsidRPr="003B3476">
        <w:rPr>
          <w:lang w:val="fr-FR" w:eastAsia="fr-FR" w:bidi="fr-FR"/>
        </w:rPr>
        <w:t xml:space="preserve"> LXXV, 12.</w:t>
      </w:r>
    </w:p>
  </w:footnote>
  <w:footnote w:id="1263">
    <w:p w14:paraId="7D7B27F7" w14:textId="77777777" w:rsidR="00B9662D" w:rsidRPr="003B3476" w:rsidRDefault="00B9662D">
      <w:pPr>
        <w:pStyle w:val="Notedebasdepage"/>
      </w:pPr>
      <w:r w:rsidRPr="003B3476">
        <w:rPr>
          <w:rStyle w:val="Appelnotedebasdep"/>
        </w:rPr>
        <w:t>a</w:t>
      </w:r>
      <w:r w:rsidRPr="003B3476">
        <w:tab/>
      </w:r>
      <w:r w:rsidRPr="003B3476">
        <w:rPr>
          <w:bCs/>
        </w:rPr>
        <w:t xml:space="preserve">Chuto L ; </w:t>
      </w:r>
      <w:r w:rsidRPr="003B3476">
        <w:rPr>
          <w:i/>
          <w:lang w:val="fr-FR" w:eastAsia="fr-FR" w:bidi="fr-FR"/>
        </w:rPr>
        <w:t>tout le discours d’Édouard manque dans</w:t>
      </w:r>
      <w:r w:rsidRPr="003B3476">
        <w:rPr>
          <w:bCs/>
        </w:rPr>
        <w:t xml:space="preserve"> C.</w:t>
      </w:r>
    </w:p>
  </w:footnote>
  <w:footnote w:id="1264">
    <w:p w14:paraId="78B93260"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Swen à la Barbe Fourchue, mort en 1014, et son fils Cnut le Grand, mort en 1035.</w:t>
      </w:r>
    </w:p>
  </w:footnote>
  <w:footnote w:id="1265">
    <w:p w14:paraId="73CE929F"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bCs/>
        </w:rPr>
        <w:t xml:space="preserve"> </w:t>
      </w:r>
      <w:r w:rsidRPr="003B3476">
        <w:rPr>
          <w:bCs/>
          <w:i/>
        </w:rPr>
        <w:t>Psalm</w:t>
      </w:r>
      <w:r w:rsidRPr="003B3476">
        <w:rPr>
          <w:bCs/>
        </w:rPr>
        <w:t>.</w:t>
      </w:r>
      <w:r w:rsidRPr="003B3476">
        <w:rPr>
          <w:lang w:val="fr-FR" w:eastAsia="fr-FR" w:bidi="fr-FR"/>
        </w:rPr>
        <w:t xml:space="preserve"> XXI, 29.</w:t>
      </w:r>
    </w:p>
  </w:footnote>
  <w:footnote w:id="1266">
    <w:p w14:paraId="56DBC071"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lang w:val="fr-FR" w:eastAsia="fr-FR" w:bidi="fr-FR"/>
        </w:rPr>
        <w:t xml:space="preserve"> I </w:t>
      </w:r>
      <w:r w:rsidRPr="003B3476">
        <w:rPr>
          <w:bCs/>
          <w:i/>
        </w:rPr>
        <w:t>Ioann</w:t>
      </w:r>
      <w:r w:rsidRPr="003B3476">
        <w:rPr>
          <w:bCs/>
        </w:rPr>
        <w:t>.</w:t>
      </w:r>
      <w:r w:rsidRPr="003B3476">
        <w:rPr>
          <w:lang w:val="fr-FR" w:eastAsia="fr-FR" w:bidi="fr-FR"/>
        </w:rPr>
        <w:t xml:space="preserve"> II, 17.</w:t>
      </w:r>
    </w:p>
  </w:footnote>
  <w:footnote w:id="1267">
    <w:p w14:paraId="4772916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i/>
        </w:rPr>
        <w:t>Cf.</w:t>
      </w:r>
      <w:r w:rsidRPr="003B3476">
        <w:rPr>
          <w:bCs/>
        </w:rPr>
        <w:t xml:space="preserve"> </w:t>
      </w:r>
      <w:r w:rsidRPr="003B3476">
        <w:rPr>
          <w:bCs/>
          <w:i/>
        </w:rPr>
        <w:t>Psalm</w:t>
      </w:r>
      <w:r w:rsidRPr="003B3476">
        <w:rPr>
          <w:bCs/>
        </w:rPr>
        <w:t>.</w:t>
      </w:r>
      <w:r w:rsidRPr="003B3476">
        <w:rPr>
          <w:lang w:val="fr-FR" w:eastAsia="fr-FR" w:bidi="fr-FR"/>
        </w:rPr>
        <w:t xml:space="preserve"> CXXXI, 2.</w:t>
      </w:r>
    </w:p>
  </w:footnote>
  <w:footnote w:id="1268">
    <w:p w14:paraId="114215C3" w14:textId="77777777" w:rsidR="00B9662D" w:rsidRPr="003B3476" w:rsidRDefault="00B9662D">
      <w:pPr>
        <w:pStyle w:val="Notedebasdepage"/>
      </w:pPr>
      <w:r w:rsidRPr="003B3476">
        <w:rPr>
          <w:rStyle w:val="Appelnotedebasdep"/>
        </w:rPr>
        <w:t>a</w:t>
      </w:r>
      <w:r w:rsidRPr="003B3476">
        <w:tab/>
        <w:t>Wintoniensis L.</w:t>
      </w:r>
    </w:p>
  </w:footnote>
  <w:footnote w:id="1269">
    <w:p w14:paraId="2F49836D"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Eldred, plus tard archevêque d’York, n’était en 1050 — moment où se place l’ambassade relatée ici par Osbert — qu’évêque de Worcester ; Hermann était évêque du Wilsthire. Sur leur mission à Rome, </w:t>
      </w:r>
      <w:r w:rsidRPr="003B3476">
        <w:rPr>
          <w:bCs/>
          <w:i/>
        </w:rPr>
        <w:t>cf.</w:t>
      </w:r>
      <w:r w:rsidRPr="003B3476">
        <w:rPr>
          <w:bCs/>
        </w:rPr>
        <w:t xml:space="preserve"> </w:t>
      </w:r>
      <w:r w:rsidRPr="003B3476">
        <w:rPr>
          <w:bCs/>
          <w:i/>
        </w:rPr>
        <w:t>supra</w:t>
      </w:r>
      <w:r w:rsidRPr="003B3476">
        <w:rPr>
          <w:lang w:val="fr-FR" w:eastAsia="fr-FR" w:bidi="fr-FR"/>
        </w:rPr>
        <w:t xml:space="preserve">, p. 975. Les abbés sont nommés dans le pseudo-diplôme de saint Édouard qui est la source de ce récit </w:t>
      </w:r>
      <w:r w:rsidRPr="003B3476">
        <w:rPr>
          <w:bCs/>
        </w:rPr>
        <w:t>(</w:t>
      </w:r>
      <w:r w:rsidRPr="003B3476">
        <w:rPr>
          <w:bCs/>
          <w:i/>
        </w:rPr>
        <w:t>cf.</w:t>
      </w:r>
      <w:r w:rsidRPr="003B3476">
        <w:rPr>
          <w:bCs/>
        </w:rPr>
        <w:t xml:space="preserve"> </w:t>
      </w:r>
      <w:r w:rsidRPr="003B3476">
        <w:rPr>
          <w:bCs/>
          <w:i/>
        </w:rPr>
        <w:t>supra</w:t>
      </w:r>
      <w:r w:rsidRPr="003B3476">
        <w:rPr>
          <w:lang w:val="fr-FR" w:eastAsia="fr-FR" w:bidi="fr-FR"/>
        </w:rPr>
        <w:t xml:space="preserve">, p. 974) ; ce sont Wulfric [de Saint-Augustin de Canterbury] et Aelfwin [de Ramsey]. </w:t>
      </w:r>
      <w:r w:rsidRPr="003B3476">
        <w:rPr>
          <w:bCs/>
          <w:i/>
        </w:rPr>
        <w:t>Cf.</w:t>
      </w:r>
      <w:r w:rsidRPr="003B3476">
        <w:rPr>
          <w:bCs/>
        </w:rPr>
        <w:t xml:space="preserve"> </w:t>
      </w:r>
      <w:r w:rsidRPr="003B3476">
        <w:rPr>
          <w:bCs/>
          <w:i/>
        </w:rPr>
        <w:t>supra</w:t>
      </w:r>
      <w:r w:rsidRPr="003B3476">
        <w:rPr>
          <w:lang w:val="fr-FR" w:eastAsia="fr-FR" w:bidi="fr-FR"/>
        </w:rPr>
        <w:t>, p. 976, n. 2.</w:t>
      </w:r>
    </w:p>
  </w:footnote>
  <w:footnote w:id="1270">
    <w:p w14:paraId="3243BF2B"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auctorititate L. </w:t>
      </w:r>
    </w:p>
  </w:footnote>
  <w:footnote w:id="1271">
    <w:p w14:paraId="6C09B4E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Prov</w:t>
      </w:r>
      <w:r w:rsidRPr="003B3476">
        <w:rPr>
          <w:bCs/>
        </w:rPr>
        <w:t>.</w:t>
      </w:r>
      <w:r w:rsidRPr="003B3476">
        <w:rPr>
          <w:lang w:val="fr-FR" w:eastAsia="fr-FR" w:bidi="fr-FR"/>
        </w:rPr>
        <w:t xml:space="preserve"> VIII, 15.</w:t>
      </w:r>
    </w:p>
  </w:footnote>
  <w:footnote w:id="1272">
    <w:p w14:paraId="4B6DEB6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Psalm</w:t>
      </w:r>
      <w:r w:rsidRPr="003B3476">
        <w:rPr>
          <w:bCs/>
        </w:rPr>
        <w:t>.</w:t>
      </w:r>
      <w:r w:rsidRPr="003B3476">
        <w:rPr>
          <w:lang w:val="fr-FR" w:eastAsia="fr-FR" w:bidi="fr-FR"/>
        </w:rPr>
        <w:t xml:space="preserve"> CXLIV, 18.</w:t>
      </w:r>
    </w:p>
  </w:footnote>
  <w:footnote w:id="1273">
    <w:p w14:paraId="52ED381E"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monochorum L.</w:t>
      </w:r>
    </w:p>
  </w:footnote>
  <w:footnote w:id="1274">
    <w:p w14:paraId="718EC55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Matth</w:t>
      </w:r>
      <w:r w:rsidRPr="003B3476">
        <w:rPr>
          <w:bCs/>
        </w:rPr>
        <w:t>.</w:t>
      </w:r>
      <w:r w:rsidRPr="003B3476">
        <w:rPr>
          <w:lang w:val="fr-FR" w:eastAsia="fr-FR" w:bidi="fr-FR"/>
        </w:rPr>
        <w:t xml:space="preserve"> XVI, 19 : « quodcumque solueris super terram, erit solutum in caelis », et XVIII, 18 : « quaecumque solueritis super terram, erunt soluta et in caelo ».</w:t>
      </w:r>
    </w:p>
  </w:footnote>
  <w:footnote w:id="1275">
    <w:p w14:paraId="0D3590C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Ailred</w:t>
      </w:r>
      <w:r w:rsidRPr="003B3476">
        <w:rPr>
          <w:bCs/>
        </w:rPr>
        <w:t>,</w:t>
      </w:r>
      <w:r w:rsidRPr="003B3476">
        <w:rPr>
          <w:lang w:val="fr-FR" w:eastAsia="fr-FR" w:bidi="fr-FR"/>
        </w:rPr>
        <w:t xml:space="preserve"> col. 382.</w:t>
      </w:r>
    </w:p>
  </w:footnote>
  <w:footnote w:id="1276">
    <w:p w14:paraId="5AFF9A4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 personnage, qui fut l’objet d’un culte à Evesham et dont les miracles fournirent la matière d’un recueil en trois livres, aujourd’hui perdu, écrit, à la fin du </w:t>
      </w:r>
      <w:r w:rsidRPr="003B3476">
        <w:rPr>
          <w:smallCaps/>
          <w:lang w:val="fr-FR" w:eastAsia="fr-FR" w:bidi="fr-FR"/>
        </w:rPr>
        <w:t>xii</w:t>
      </w:r>
      <w:r w:rsidRPr="003B3476">
        <w:rPr>
          <w:vertAlign w:val="superscript"/>
          <w:lang w:val="fr-FR" w:eastAsia="fr-FR" w:bidi="fr-FR"/>
        </w:rPr>
        <w:t>e</w:t>
      </w:r>
      <w:r w:rsidRPr="003B3476">
        <w:rPr>
          <w:lang w:val="fr-FR" w:eastAsia="fr-FR" w:bidi="fr-FR"/>
        </w:rPr>
        <w:t xml:space="preserve"> siècle ou dans les premières années du siècle suivant, par un moine de cette abbaye, m</w:t>
      </w:r>
      <w:r w:rsidRPr="003B3476">
        <w:rPr>
          <w:vertAlign w:val="superscript"/>
          <w:lang w:val="fr-FR" w:eastAsia="fr-FR" w:bidi="fr-FR"/>
        </w:rPr>
        <w:t>e</w:t>
      </w:r>
      <w:r w:rsidRPr="003B3476">
        <w:rPr>
          <w:lang w:val="fr-FR" w:eastAsia="fr-FR" w:bidi="fr-FR"/>
        </w:rPr>
        <w:t xml:space="preserve"> Thomas de Northwich, </w:t>
      </w:r>
      <w:r w:rsidRPr="003B3476">
        <w:rPr>
          <w:bCs/>
          <w:i/>
        </w:rPr>
        <w:t>cf.</w:t>
      </w:r>
      <w:r w:rsidRPr="003B3476">
        <w:rPr>
          <w:lang w:val="fr-FR" w:eastAsia="fr-FR" w:bidi="fr-FR"/>
        </w:rPr>
        <w:t xml:space="preserve"> </w:t>
      </w:r>
      <w:r w:rsidRPr="003B3476">
        <w:rPr>
          <w:rStyle w:val="Notedebasdepage65ptPetitesmajuscules"/>
          <w:b w:val="0"/>
          <w:sz w:val="24"/>
        </w:rPr>
        <w:t xml:space="preserve">Liebermann, </w:t>
      </w:r>
      <w:r w:rsidRPr="003B3476">
        <w:rPr>
          <w:bCs/>
          <w:i/>
        </w:rPr>
        <w:t>Neues Archiv,</w:t>
      </w:r>
      <w:r w:rsidRPr="003B3476">
        <w:rPr>
          <w:lang w:val="fr-FR" w:eastAsia="fr-FR" w:bidi="fr-FR"/>
        </w:rPr>
        <w:t xml:space="preserve"> 1893, p. 237-238.</w:t>
      </w:r>
    </w:p>
  </w:footnote>
  <w:footnote w:id="1277">
    <w:p w14:paraId="1ACE5EED" w14:textId="77777777" w:rsidR="00B9662D" w:rsidRPr="003B3476" w:rsidRDefault="00B9662D">
      <w:pPr>
        <w:pStyle w:val="Notedebasdepage"/>
      </w:pPr>
      <w:r w:rsidRPr="003B3476">
        <w:rPr>
          <w:rStyle w:val="Appelnotedebasdep"/>
        </w:rPr>
        <w:t>a</w:t>
      </w:r>
      <w:r w:rsidRPr="003B3476">
        <w:tab/>
      </w:r>
      <w:r w:rsidRPr="003B3476">
        <w:rPr>
          <w:lang w:val="fr-FR" w:eastAsia="fr-FR" w:bidi="fr-FR"/>
        </w:rPr>
        <w:t xml:space="preserve">differrat L ; </w:t>
      </w:r>
      <w:r w:rsidRPr="003B3476">
        <w:rPr>
          <w:bCs/>
          <w:i/>
        </w:rPr>
        <w:t>manque dans</w:t>
      </w:r>
      <w:r w:rsidRPr="003B3476">
        <w:rPr>
          <w:lang w:val="fr-FR" w:eastAsia="fr-FR" w:bidi="fr-FR"/>
        </w:rPr>
        <w:t xml:space="preserve"> C. </w:t>
      </w:r>
    </w:p>
  </w:footnote>
  <w:footnote w:id="1278">
    <w:p w14:paraId="7A1C685C"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uestutatis L.</w:t>
      </w:r>
    </w:p>
  </w:footnote>
  <w:footnote w:id="1279">
    <w:p w14:paraId="2EDC8F7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Le comté de Worcester.</w:t>
      </w:r>
    </w:p>
  </w:footnote>
  <w:footnote w:id="1280">
    <w:p w14:paraId="5E781C8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Psalm</w:t>
      </w:r>
      <w:r w:rsidRPr="003B3476">
        <w:rPr>
          <w:bCs/>
        </w:rPr>
        <w:t>.</w:t>
      </w:r>
      <w:r w:rsidRPr="003B3476">
        <w:rPr>
          <w:lang w:val="fr-FR" w:eastAsia="fr-FR" w:bidi="fr-FR"/>
        </w:rPr>
        <w:t xml:space="preserve"> LXVII, 36.</w:t>
      </w:r>
    </w:p>
  </w:footnote>
  <w:footnote w:id="1281">
    <w:p w14:paraId="40EC04A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Ailred</w:t>
      </w:r>
      <w:r w:rsidRPr="003B3476">
        <w:t>,</w:t>
      </w:r>
      <w:r w:rsidRPr="003B3476">
        <w:rPr>
          <w:lang w:val="fr-FR" w:eastAsia="fr-FR" w:bidi="fr-FR"/>
        </w:rPr>
        <w:t xml:space="preserve"> col. </w:t>
      </w:r>
      <w:r w:rsidRPr="003B3476">
        <w:t>383.</w:t>
      </w:r>
    </w:p>
  </w:footnote>
  <w:footnote w:id="1282">
    <w:p w14:paraId="397BFDD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 personnage, mentionné par divers textes et notamment par le </w:t>
      </w:r>
      <w:r w:rsidRPr="003B3476">
        <w:rPr>
          <w:bCs/>
        </w:rPr>
        <w:t>Dome</w:t>
      </w:r>
      <w:r w:rsidRPr="003B3476">
        <w:rPr>
          <w:bCs/>
        </w:rPr>
        <w:t>s</w:t>
      </w:r>
      <w:r w:rsidRPr="003B3476">
        <w:rPr>
          <w:bCs/>
        </w:rPr>
        <w:t xml:space="preserve">day, </w:t>
      </w:r>
      <w:r w:rsidRPr="003B3476">
        <w:rPr>
          <w:bCs/>
          <w:i/>
        </w:rPr>
        <w:t>cf.</w:t>
      </w:r>
      <w:r w:rsidRPr="003B3476">
        <w:rPr>
          <w:lang w:val="fr-FR" w:eastAsia="fr-FR" w:bidi="fr-FR"/>
        </w:rPr>
        <w:t xml:space="preserve"> </w:t>
      </w:r>
      <w:r w:rsidRPr="003B3476">
        <w:rPr>
          <w:rStyle w:val="Notedebasdepage65ptPetitesmajuscules"/>
          <w:b w:val="0"/>
          <w:sz w:val="24"/>
        </w:rPr>
        <w:t xml:space="preserve">Freeman, </w:t>
      </w:r>
      <w:r w:rsidRPr="003B3476">
        <w:rPr>
          <w:lang w:val="fr-FR" w:eastAsia="fr-FR" w:bidi="fr-FR"/>
        </w:rPr>
        <w:t xml:space="preserve">t. II, p. 346 et H. </w:t>
      </w:r>
      <w:r w:rsidRPr="003B3476">
        <w:rPr>
          <w:rStyle w:val="Notedebasdepage65ptPetitesmajuscules"/>
          <w:b w:val="0"/>
          <w:sz w:val="24"/>
        </w:rPr>
        <w:t xml:space="preserve">Round, </w:t>
      </w:r>
      <w:r w:rsidRPr="003B3476">
        <w:rPr>
          <w:bCs/>
          <w:i/>
        </w:rPr>
        <w:t>English Historical Reuiew,</w:t>
      </w:r>
      <w:r w:rsidRPr="003B3476">
        <w:rPr>
          <w:lang w:val="fr-FR" w:eastAsia="fr-FR" w:bidi="fr-FR"/>
        </w:rPr>
        <w:t xml:space="preserve"> 1904, p. 92.</w:t>
      </w:r>
    </w:p>
  </w:footnote>
  <w:footnote w:id="1283">
    <w:p w14:paraId="64C62C9F"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 xml:space="preserve">series L. </w:t>
      </w:r>
    </w:p>
  </w:footnote>
  <w:footnote w:id="1284">
    <w:p w14:paraId="21AAB1D8"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omittant L.</w:t>
      </w:r>
    </w:p>
  </w:footnote>
  <w:footnote w:id="1285">
    <w:p w14:paraId="2C757C6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Act</w:t>
      </w:r>
      <w:r w:rsidRPr="003B3476">
        <w:rPr>
          <w:lang w:val="fr-FR" w:eastAsia="fr-FR" w:bidi="fr-FR"/>
        </w:rPr>
        <w:t>. III, 2-8.</w:t>
      </w:r>
    </w:p>
  </w:footnote>
  <w:footnote w:id="1286">
    <w:p w14:paraId="3231E8C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cette légende et les sources d’Osbert en cet endroit (Sulcard et Gosselin), voir J. Armitage </w:t>
      </w:r>
      <w:r w:rsidRPr="003B3476">
        <w:rPr>
          <w:rStyle w:val="Notedebasdepage65ptPetitesmajuscules"/>
          <w:b w:val="0"/>
          <w:sz w:val="24"/>
        </w:rPr>
        <w:t xml:space="preserve">Robinson, </w:t>
      </w:r>
      <w:r w:rsidRPr="003B3476">
        <w:rPr>
          <w:bCs/>
          <w:i/>
        </w:rPr>
        <w:t>The History of Westminster Abbey</w:t>
      </w:r>
      <w:r w:rsidRPr="003B3476">
        <w:rPr>
          <w:bCs/>
        </w:rPr>
        <w:t xml:space="preserve"> by John Flete</w:t>
      </w:r>
      <w:r w:rsidRPr="003B3476">
        <w:rPr>
          <w:lang w:val="fr-FR" w:eastAsia="fr-FR" w:bidi="fr-FR"/>
        </w:rPr>
        <w:t xml:space="preserve">, p. </w:t>
      </w:r>
      <w:r w:rsidRPr="003B3476">
        <w:rPr>
          <w:bCs/>
        </w:rPr>
        <w:t>9 ;</w:t>
      </w:r>
      <w:r w:rsidRPr="003B3476">
        <w:rPr>
          <w:lang w:val="fr-FR" w:eastAsia="fr-FR" w:bidi="fr-FR"/>
        </w:rPr>
        <w:t xml:space="preserve"> on </w:t>
      </w:r>
      <w:r w:rsidRPr="003B3476">
        <w:rPr>
          <w:bCs/>
        </w:rPr>
        <w:t xml:space="preserve">y </w:t>
      </w:r>
      <w:r w:rsidRPr="003B3476">
        <w:rPr>
          <w:lang w:val="fr-FR" w:eastAsia="fr-FR" w:bidi="fr-FR"/>
        </w:rPr>
        <w:t xml:space="preserve">trouve reproduite une partie du chapitre x ; </w:t>
      </w:r>
      <w:r w:rsidRPr="003B3476">
        <w:rPr>
          <w:bCs/>
          <w:i/>
        </w:rPr>
        <w:t>cf.</w:t>
      </w:r>
      <w:r w:rsidRPr="003B3476">
        <w:rPr>
          <w:bCs/>
        </w:rPr>
        <w:t xml:space="preserve"> </w:t>
      </w:r>
      <w:r w:rsidRPr="003B3476">
        <w:rPr>
          <w:bCs/>
          <w:i/>
        </w:rPr>
        <w:t>supra</w:t>
      </w:r>
      <w:r w:rsidRPr="003B3476">
        <w:rPr>
          <w:lang w:val="fr-FR" w:eastAsia="fr-FR" w:bidi="fr-FR"/>
        </w:rPr>
        <w:t>, p. 984, n. 4. L’attribution au roi Sebert, neveu du roi de Kent Ethelbert, de la fondation de Westminster est propre à Osbert, et résulte sans doute chez lui d’une lecture trop rapide de Gosselin. L’histoire du pêcheur qui chercha à frauder les mo</w:t>
      </w:r>
      <w:r w:rsidRPr="003B3476">
        <w:rPr>
          <w:lang w:val="fr-FR" w:eastAsia="fr-FR" w:bidi="fr-FR"/>
        </w:rPr>
        <w:t>i</w:t>
      </w:r>
      <w:r w:rsidRPr="003B3476">
        <w:rPr>
          <w:lang w:val="fr-FR" w:eastAsia="fr-FR" w:bidi="fr-FR"/>
        </w:rPr>
        <w:t xml:space="preserve">nes (dernier alinéa du chapitre) ne se rencontre pas non plus avant lui. </w:t>
      </w:r>
      <w:r w:rsidRPr="003B3476">
        <w:rPr>
          <w:rStyle w:val="Notedebasdepage65ptPetitesmajuscules"/>
          <w:b w:val="0"/>
          <w:sz w:val="24"/>
        </w:rPr>
        <w:t>A</w:t>
      </w:r>
      <w:r w:rsidRPr="003B3476">
        <w:rPr>
          <w:rStyle w:val="Notedebasdepage65ptPetitesmajuscules"/>
          <w:b w:val="0"/>
          <w:sz w:val="24"/>
        </w:rPr>
        <w:t>i</w:t>
      </w:r>
      <w:r w:rsidRPr="003B3476">
        <w:rPr>
          <w:rStyle w:val="Notedebasdepage65ptPetitesmajuscules"/>
          <w:b w:val="0"/>
          <w:sz w:val="24"/>
        </w:rPr>
        <w:t xml:space="preserve">lred, </w:t>
      </w:r>
      <w:r w:rsidRPr="003B3476">
        <w:rPr>
          <w:lang w:val="fr-FR" w:eastAsia="fr-FR" w:bidi="fr-FR"/>
        </w:rPr>
        <w:t>col. 385.</w:t>
      </w:r>
    </w:p>
  </w:footnote>
  <w:footnote w:id="1287">
    <w:p w14:paraId="3FBB51E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les sources de ce chapitre, et la valeur du récit, </w:t>
      </w:r>
      <w:r w:rsidRPr="003B3476">
        <w:rPr>
          <w:bCs/>
          <w:i/>
        </w:rPr>
        <w:t>cf.</w:t>
      </w:r>
      <w:r w:rsidRPr="003B3476">
        <w:rPr>
          <w:bCs/>
        </w:rPr>
        <w:t xml:space="preserve"> </w:t>
      </w:r>
      <w:r w:rsidRPr="003B3476">
        <w:rPr>
          <w:bCs/>
          <w:i/>
        </w:rPr>
        <w:t>supra</w:t>
      </w:r>
      <w:r w:rsidRPr="003B3476">
        <w:rPr>
          <w:lang w:val="fr-FR" w:eastAsia="fr-FR" w:bidi="fr-FR"/>
        </w:rPr>
        <w:t xml:space="preserve">, p. 974 et suiv. </w:t>
      </w:r>
      <w:r w:rsidRPr="003B3476">
        <w:rPr>
          <w:rStyle w:val="Notedebasdepage65ptPetitesmajuscules"/>
          <w:b w:val="0"/>
          <w:sz w:val="24"/>
        </w:rPr>
        <w:t xml:space="preserve">Ailred, </w:t>
      </w:r>
      <w:r w:rsidRPr="003B3476">
        <w:rPr>
          <w:lang w:val="fr-FR" w:eastAsia="fr-FR" w:bidi="fr-FR"/>
        </w:rPr>
        <w:t>col. 386.</w:t>
      </w:r>
    </w:p>
  </w:footnote>
  <w:footnote w:id="1288">
    <w:p w14:paraId="10424604"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 xml:space="preserve">ingregitur L ; </w:t>
      </w:r>
      <w:r w:rsidRPr="003B3476">
        <w:rPr>
          <w:bCs/>
          <w:i/>
        </w:rPr>
        <w:t>le passage manque dans</w:t>
      </w:r>
      <w:r w:rsidRPr="003B3476">
        <w:rPr>
          <w:lang w:val="fr-FR" w:eastAsia="fr-FR" w:bidi="fr-FR"/>
        </w:rPr>
        <w:t xml:space="preserve"> C.</w:t>
      </w:r>
    </w:p>
  </w:footnote>
  <w:footnote w:id="1289">
    <w:p w14:paraId="5984D04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Consacré le 12 février 1049, mort le 19 avril 1054, Léon IX a régné en effet cinq ans, deux mois et sept jours.</w:t>
      </w:r>
    </w:p>
  </w:footnote>
  <w:footnote w:id="1290">
    <w:p w14:paraId="5737494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Victor II, consacré le 13 avril 1055, mort le 28 juillet 1057, a régné en réal</w:t>
      </w:r>
      <w:r w:rsidRPr="003B3476">
        <w:rPr>
          <w:lang w:val="fr-FR" w:eastAsia="fr-FR" w:bidi="fr-FR"/>
        </w:rPr>
        <w:t>i</w:t>
      </w:r>
      <w:r w:rsidRPr="003B3476">
        <w:rPr>
          <w:lang w:val="fr-FR" w:eastAsia="fr-FR" w:bidi="fr-FR"/>
        </w:rPr>
        <w:t xml:space="preserve">té — si, comme plus haut pour Léon IX, on ne compte pas le dernier jour — deux ans, trois mois et </w:t>
      </w:r>
      <w:r w:rsidRPr="003B3476">
        <w:rPr>
          <w:bCs/>
        </w:rPr>
        <w:t>quinze</w:t>
      </w:r>
      <w:r w:rsidRPr="003B3476">
        <w:rPr>
          <w:lang w:val="fr-FR" w:eastAsia="fr-FR" w:bidi="fr-FR"/>
        </w:rPr>
        <w:t xml:space="preserve"> jours ; mais le chiffre donné par Osbert se re</w:t>
      </w:r>
      <w:r w:rsidRPr="003B3476">
        <w:rPr>
          <w:lang w:val="fr-FR" w:eastAsia="fr-FR" w:bidi="fr-FR"/>
        </w:rPr>
        <w:t>n</w:t>
      </w:r>
      <w:r w:rsidRPr="003B3476">
        <w:rPr>
          <w:lang w:val="fr-FR" w:eastAsia="fr-FR" w:bidi="fr-FR"/>
        </w:rPr>
        <w:t xml:space="preserve">contre dans des catalogues anciens. </w:t>
      </w:r>
      <w:r w:rsidRPr="003B3476">
        <w:rPr>
          <w:bCs/>
          <w:i/>
        </w:rPr>
        <w:t>Cf.</w:t>
      </w:r>
      <w:r w:rsidRPr="003B3476">
        <w:rPr>
          <w:lang w:val="fr-FR" w:eastAsia="fr-FR" w:bidi="fr-FR"/>
        </w:rPr>
        <w:t xml:space="preserve"> L. </w:t>
      </w:r>
      <w:r w:rsidRPr="003B3476">
        <w:rPr>
          <w:bCs/>
          <w:smallCaps/>
        </w:rPr>
        <w:t>Duchesne</w:t>
      </w:r>
      <w:r w:rsidRPr="003B3476">
        <w:rPr>
          <w:bCs/>
        </w:rPr>
        <w:t xml:space="preserve">, </w:t>
      </w:r>
      <w:r w:rsidRPr="003B3476">
        <w:rPr>
          <w:bCs/>
          <w:i/>
        </w:rPr>
        <w:t>Liber Pontificalis</w:t>
      </w:r>
      <w:r w:rsidRPr="003B3476">
        <w:rPr>
          <w:lang w:val="fr-FR" w:eastAsia="fr-FR" w:bidi="fr-FR"/>
        </w:rPr>
        <w:t xml:space="preserve">, t. II, p. </w:t>
      </w:r>
      <w:r w:rsidRPr="003B3476">
        <w:rPr>
          <w:smallCaps/>
          <w:lang w:val="fr-FR" w:eastAsia="fr-FR" w:bidi="fr-FR"/>
        </w:rPr>
        <w:t>xix</w:t>
      </w:r>
      <w:r w:rsidRPr="003B3476">
        <w:rPr>
          <w:lang w:val="fr-FR" w:eastAsia="fr-FR" w:bidi="fr-FR"/>
        </w:rPr>
        <w:t xml:space="preserve"> et </w:t>
      </w:r>
      <w:r w:rsidRPr="003B3476">
        <w:rPr>
          <w:smallCaps/>
          <w:lang w:val="fr-FR" w:eastAsia="fr-FR" w:bidi="fr-FR"/>
        </w:rPr>
        <w:t>xx</w:t>
      </w:r>
      <w:r w:rsidRPr="003B3476">
        <w:rPr>
          <w:lang w:val="fr-FR" w:eastAsia="fr-FR" w:bidi="fr-FR"/>
        </w:rPr>
        <w:t xml:space="preserve">, et le catalogue anglais publié par W. </w:t>
      </w:r>
      <w:r w:rsidRPr="003B3476">
        <w:rPr>
          <w:bCs/>
          <w:smallCaps/>
        </w:rPr>
        <w:t>Levison</w:t>
      </w:r>
      <w:r w:rsidRPr="003B3476">
        <w:rPr>
          <w:bCs/>
        </w:rPr>
        <w:t xml:space="preserve">, </w:t>
      </w:r>
      <w:r w:rsidRPr="003B3476">
        <w:rPr>
          <w:bCs/>
          <w:i/>
        </w:rPr>
        <w:t>Neues Archiv</w:t>
      </w:r>
      <w:r w:rsidRPr="003B3476">
        <w:rPr>
          <w:lang w:val="fr-FR" w:eastAsia="fr-FR" w:bidi="fr-FR"/>
        </w:rPr>
        <w:t>, 1910, p. 390. Étienne IX, consacré le 3 août 1057, mort le 29 mars 1058, a r</w:t>
      </w:r>
      <w:r w:rsidRPr="003B3476">
        <w:rPr>
          <w:lang w:val="fr-FR" w:eastAsia="fr-FR" w:bidi="fr-FR"/>
        </w:rPr>
        <w:t>é</w:t>
      </w:r>
      <w:r w:rsidRPr="003B3476">
        <w:rPr>
          <w:lang w:val="fr-FR" w:eastAsia="fr-FR" w:bidi="fr-FR"/>
        </w:rPr>
        <w:t xml:space="preserve">gné sept mois et </w:t>
      </w:r>
      <w:r w:rsidRPr="003B3476">
        <w:rPr>
          <w:bCs/>
          <w:i/>
        </w:rPr>
        <w:t>vingt-six</w:t>
      </w:r>
      <w:r w:rsidRPr="003B3476">
        <w:rPr>
          <w:i/>
          <w:lang w:val="fr-FR" w:eastAsia="fr-FR" w:bidi="fr-FR"/>
        </w:rPr>
        <w:t xml:space="preserve"> jours </w:t>
      </w:r>
      <w:r w:rsidRPr="003B3476">
        <w:rPr>
          <w:lang w:val="fr-FR" w:eastAsia="fr-FR" w:bidi="fr-FR"/>
        </w:rPr>
        <w:t>; le chiffre d’Osbert est celui du catalogue a</w:t>
      </w:r>
      <w:r w:rsidRPr="003B3476">
        <w:rPr>
          <w:lang w:val="fr-FR" w:eastAsia="fr-FR" w:bidi="fr-FR"/>
        </w:rPr>
        <w:t>n</w:t>
      </w:r>
      <w:r w:rsidRPr="003B3476">
        <w:rPr>
          <w:lang w:val="fr-FR" w:eastAsia="fr-FR" w:bidi="fr-FR"/>
        </w:rPr>
        <w:t xml:space="preserve">glais. Benoît X, élu et intronisé au début d’avril 1058, fut chassé de Rome par son rival Nicolas II </w:t>
      </w:r>
      <w:r w:rsidRPr="003B3476">
        <w:rPr>
          <w:bCs/>
        </w:rPr>
        <w:t xml:space="preserve">à </w:t>
      </w:r>
      <w:r w:rsidRPr="003B3476">
        <w:rPr>
          <w:lang w:val="fr-FR" w:eastAsia="fr-FR" w:bidi="fr-FR"/>
        </w:rPr>
        <w:t xml:space="preserve">la fin de janvier 1059 ; le chiffre de neuf mois, vingt jours est traditionnel pour son pontificat : </w:t>
      </w:r>
      <w:r w:rsidRPr="003B3476">
        <w:rPr>
          <w:bCs/>
          <w:i/>
        </w:rPr>
        <w:t>cf.</w:t>
      </w:r>
      <w:r w:rsidRPr="003B3476">
        <w:rPr>
          <w:lang w:val="fr-FR" w:eastAsia="fr-FR" w:bidi="fr-FR"/>
        </w:rPr>
        <w:t xml:space="preserve"> </w:t>
      </w:r>
      <w:r w:rsidRPr="003B3476">
        <w:rPr>
          <w:bCs/>
          <w:smallCaps/>
        </w:rPr>
        <w:t>Duchesne</w:t>
      </w:r>
      <w:r w:rsidRPr="003B3476">
        <w:rPr>
          <w:bCs/>
        </w:rPr>
        <w:t xml:space="preserve">, </w:t>
      </w:r>
      <w:r w:rsidRPr="003B3476">
        <w:rPr>
          <w:bCs/>
          <w:i/>
        </w:rPr>
        <w:t>loc. cit</w:t>
      </w:r>
      <w:r w:rsidRPr="003B3476">
        <w:rPr>
          <w:lang w:val="fr-FR" w:eastAsia="fr-FR" w:bidi="fr-FR"/>
        </w:rPr>
        <w:t xml:space="preserve">., et p. 279 ; </w:t>
      </w:r>
      <w:r w:rsidRPr="003B3476">
        <w:rPr>
          <w:bCs/>
          <w:i/>
        </w:rPr>
        <w:t>Neues Archiv</w:t>
      </w:r>
      <w:r w:rsidRPr="003B3476">
        <w:rPr>
          <w:i/>
          <w:lang w:val="fr-FR" w:eastAsia="fr-FR" w:bidi="fr-FR"/>
        </w:rPr>
        <w:t xml:space="preserve">, </w:t>
      </w:r>
      <w:r w:rsidRPr="003B3476">
        <w:rPr>
          <w:bCs/>
          <w:i/>
        </w:rPr>
        <w:t>loc. cit</w:t>
      </w:r>
      <w:r w:rsidRPr="003B3476">
        <w:rPr>
          <w:bCs/>
        </w:rPr>
        <w:t>.</w:t>
      </w:r>
      <w:r w:rsidRPr="003B3476">
        <w:rPr>
          <w:lang w:val="fr-FR" w:eastAsia="fr-FR" w:bidi="fr-FR"/>
        </w:rPr>
        <w:t xml:space="preserve"> Osbert ne semble pas connaître les conditions dans le</w:t>
      </w:r>
      <w:r w:rsidRPr="003B3476">
        <w:rPr>
          <w:lang w:val="fr-FR" w:eastAsia="fr-FR" w:bidi="fr-FR"/>
        </w:rPr>
        <w:t>s</w:t>
      </w:r>
      <w:r w:rsidRPr="003B3476">
        <w:rPr>
          <w:lang w:val="fr-FR" w:eastAsia="fr-FR" w:bidi="fr-FR"/>
        </w:rPr>
        <w:t xml:space="preserve">quelles s’est terminé le pontificat de Benoît X ; mais il convient de remarquer que Benoît X a toujours figuré sur les catalogues romains. Sur les incertitudes des catalogues pontificaux au </w:t>
      </w:r>
      <w:r w:rsidRPr="003B3476">
        <w:rPr>
          <w:smallCaps/>
          <w:lang w:val="fr-FR" w:eastAsia="fr-FR" w:bidi="fr-FR"/>
        </w:rPr>
        <w:t>xi</w:t>
      </w:r>
      <w:r w:rsidRPr="003B3476">
        <w:rPr>
          <w:vertAlign w:val="superscript"/>
          <w:lang w:val="fr-FR" w:eastAsia="fr-FR" w:bidi="fr-FR"/>
        </w:rPr>
        <w:t>e</w:t>
      </w:r>
      <w:r w:rsidRPr="003B3476">
        <w:rPr>
          <w:lang w:val="fr-FR" w:eastAsia="fr-FR" w:bidi="fr-FR"/>
        </w:rPr>
        <w:t xml:space="preserve"> siècle, </w:t>
      </w:r>
      <w:r w:rsidRPr="003B3476">
        <w:rPr>
          <w:bCs/>
          <w:i/>
        </w:rPr>
        <w:t>cf.</w:t>
      </w:r>
      <w:r w:rsidRPr="003B3476">
        <w:rPr>
          <w:lang w:val="fr-FR" w:eastAsia="fr-FR" w:bidi="fr-FR"/>
        </w:rPr>
        <w:t xml:space="preserve"> Reginald </w:t>
      </w:r>
      <w:r w:rsidRPr="003B3476">
        <w:rPr>
          <w:bCs/>
          <w:i/>
        </w:rPr>
        <w:t>Poole</w:t>
      </w:r>
      <w:r w:rsidRPr="003B3476">
        <w:rPr>
          <w:bCs/>
        </w:rPr>
        <w:t xml:space="preserve">, </w:t>
      </w:r>
      <w:r w:rsidRPr="003B3476">
        <w:rPr>
          <w:bCs/>
          <w:i/>
        </w:rPr>
        <w:t>Papal Chronol</w:t>
      </w:r>
      <w:r w:rsidRPr="003B3476">
        <w:rPr>
          <w:bCs/>
          <w:i/>
        </w:rPr>
        <w:t>o</w:t>
      </w:r>
      <w:r w:rsidRPr="003B3476">
        <w:rPr>
          <w:bCs/>
          <w:i/>
        </w:rPr>
        <w:t>gy in the eleventh century</w:t>
      </w:r>
      <w:r w:rsidRPr="003B3476">
        <w:rPr>
          <w:lang w:val="fr-FR" w:eastAsia="fr-FR" w:bidi="fr-FR"/>
        </w:rPr>
        <w:t xml:space="preserve">, dans </w:t>
      </w:r>
      <w:r w:rsidRPr="003B3476">
        <w:rPr>
          <w:bCs/>
          <w:i/>
        </w:rPr>
        <w:t>English Historical Review</w:t>
      </w:r>
      <w:r w:rsidRPr="003B3476">
        <w:rPr>
          <w:lang w:val="fr-FR" w:eastAsia="fr-FR" w:bidi="fr-FR"/>
        </w:rPr>
        <w:t>, 1917.</w:t>
      </w:r>
    </w:p>
  </w:footnote>
  <w:footnote w:id="1291">
    <w:p w14:paraId="7F02EA9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Eldred, archevêque d’York ; Gisa, évêque de Wells ; Walter, évêque de Her</w:t>
      </w:r>
      <w:r w:rsidRPr="003B3476">
        <w:rPr>
          <w:lang w:val="fr-FR" w:eastAsia="fr-FR" w:bidi="fr-FR"/>
        </w:rPr>
        <w:t>e</w:t>
      </w:r>
      <w:r w:rsidRPr="003B3476">
        <w:rPr>
          <w:lang w:val="fr-FR" w:eastAsia="fr-FR" w:bidi="fr-FR"/>
        </w:rPr>
        <w:t>ford.</w:t>
      </w:r>
    </w:p>
  </w:footnote>
  <w:footnote w:id="1292">
    <w:p w14:paraId="2DEE1C0A"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bCs/>
        </w:rPr>
        <w:t xml:space="preserve">nostram L ; </w:t>
      </w:r>
      <w:r w:rsidRPr="003B3476">
        <w:rPr>
          <w:lang w:val="fr-FR" w:eastAsia="fr-FR" w:bidi="fr-FR"/>
        </w:rPr>
        <w:t xml:space="preserve">la </w:t>
      </w:r>
      <w:r w:rsidRPr="003B3476">
        <w:rPr>
          <w:i/>
          <w:lang w:val="fr-FR" w:eastAsia="fr-FR" w:bidi="fr-FR"/>
        </w:rPr>
        <w:t>lettre d’Édouard manque dans</w:t>
      </w:r>
      <w:r w:rsidRPr="003B3476">
        <w:rPr>
          <w:bCs/>
        </w:rPr>
        <w:t xml:space="preserve"> C ; </w:t>
      </w:r>
      <w:r w:rsidRPr="003B3476">
        <w:rPr>
          <w:i/>
          <w:lang w:val="fr-FR" w:eastAsia="fr-FR" w:bidi="fr-FR"/>
        </w:rPr>
        <w:t>mais la correction est atte</w:t>
      </w:r>
      <w:r w:rsidRPr="003B3476">
        <w:rPr>
          <w:i/>
          <w:lang w:val="fr-FR" w:eastAsia="fr-FR" w:bidi="fr-FR"/>
        </w:rPr>
        <w:t>s</w:t>
      </w:r>
      <w:r w:rsidRPr="003B3476">
        <w:rPr>
          <w:i/>
          <w:lang w:val="fr-FR" w:eastAsia="fr-FR" w:bidi="fr-FR"/>
        </w:rPr>
        <w:t>tée par le pseudo-diplôme royal</w:t>
      </w:r>
      <w:r w:rsidRPr="003B3476">
        <w:rPr>
          <w:bCs/>
        </w:rPr>
        <w:t xml:space="preserve">, </w:t>
      </w:r>
      <w:r w:rsidRPr="003B3476">
        <w:rPr>
          <w:rStyle w:val="Notedebasdepage565ptNonItaliquePetitesmajuscules"/>
          <w:b w:val="0"/>
          <w:i w:val="0"/>
          <w:iCs w:val="0"/>
          <w:sz w:val="24"/>
        </w:rPr>
        <w:t xml:space="preserve">Kemble, </w:t>
      </w:r>
      <w:r w:rsidRPr="003B3476">
        <w:rPr>
          <w:bCs/>
        </w:rPr>
        <w:t xml:space="preserve">t. IV, n. DCCCXXV ; </w:t>
      </w:r>
      <w:r w:rsidRPr="003B3476">
        <w:rPr>
          <w:i/>
          <w:lang w:val="fr-FR" w:eastAsia="fr-FR" w:bidi="fr-FR"/>
        </w:rPr>
        <w:t>de même pour les deux suivantes</w:t>
      </w:r>
      <w:r w:rsidRPr="003B3476">
        <w:rPr>
          <w:lang w:val="fr-FR" w:eastAsia="fr-FR" w:bidi="fr-FR"/>
        </w:rPr>
        <w:t>.</w:t>
      </w:r>
    </w:p>
  </w:footnote>
  <w:footnote w:id="1293">
    <w:p w14:paraId="22B6713E"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uouo L.</w:t>
      </w:r>
    </w:p>
  </w:footnote>
  <w:footnote w:id="1294">
    <w:p w14:paraId="4C23278C"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lang w:val="fr-FR" w:eastAsia="fr-FR" w:bidi="fr-FR"/>
        </w:rPr>
        <w:t>idem L. </w:t>
      </w:r>
    </w:p>
  </w:footnote>
  <w:footnote w:id="1295">
    <w:p w14:paraId="7BB0FF65" w14:textId="77777777" w:rsidR="00B9662D" w:rsidRPr="003B3476" w:rsidRDefault="00B9662D">
      <w:pPr>
        <w:pStyle w:val="Notedebasdepage"/>
      </w:pPr>
      <w:r w:rsidRPr="003B3476">
        <w:rPr>
          <w:rStyle w:val="Appelnotedebasdep"/>
        </w:rPr>
        <w:t>e</w:t>
      </w:r>
      <w:r w:rsidRPr="003B3476">
        <w:t xml:space="preserve"> </w:t>
      </w:r>
      <w:r w:rsidRPr="003B3476">
        <w:tab/>
      </w:r>
      <w:r w:rsidRPr="003B3476">
        <w:rPr>
          <w:lang w:val="fr-FR" w:eastAsia="fr-FR" w:bidi="fr-FR"/>
        </w:rPr>
        <w:t xml:space="preserve">sigilgo L ; </w:t>
      </w:r>
      <w:r w:rsidRPr="003B3476">
        <w:rPr>
          <w:bCs/>
          <w:i/>
        </w:rPr>
        <w:t>la phrase manque dans</w:t>
      </w:r>
      <w:r w:rsidRPr="003B3476">
        <w:rPr>
          <w:i/>
          <w:lang w:val="fr-FR" w:eastAsia="fr-FR" w:bidi="fr-FR"/>
        </w:rPr>
        <w:t xml:space="preserve"> </w:t>
      </w:r>
      <w:r w:rsidRPr="003B3476">
        <w:rPr>
          <w:lang w:val="fr-FR" w:eastAsia="fr-FR" w:bidi="fr-FR"/>
        </w:rPr>
        <w:t>C.</w:t>
      </w:r>
    </w:p>
  </w:footnote>
  <w:footnote w:id="1296">
    <w:p w14:paraId="5042C83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Ailred, </w:t>
      </w:r>
      <w:r w:rsidRPr="003B3476">
        <w:rPr>
          <w:lang w:val="fr-FR" w:eastAsia="fr-FR" w:bidi="fr-FR"/>
        </w:rPr>
        <w:t>col. 389</w:t>
      </w:r>
    </w:p>
  </w:footnote>
  <w:footnote w:id="1297">
    <w:p w14:paraId="2D07CFD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Leofric, comte de Mercie, fondateur du monastère de N.-D. de Coventry.</w:t>
      </w:r>
    </w:p>
  </w:footnote>
  <w:footnote w:id="1298">
    <w:p w14:paraId="1FBDD14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rouleau mortuaire de l’abbé Vital de Savigny — mort le 16 octobre 1122 —, ainsi qu’un acte de l’abbé Herbert (1121-1138), nous font connaître l’existence à "Westminster d’un moine du nom de Maurice. M. </w:t>
      </w:r>
      <w:r w:rsidRPr="003B3476">
        <w:rPr>
          <w:rStyle w:val="Notedebasdepage65ptPetitesmajuscules"/>
          <w:b w:val="0"/>
          <w:sz w:val="24"/>
        </w:rPr>
        <w:t xml:space="preserve">Peajrce, </w:t>
      </w:r>
      <w:r w:rsidRPr="003B3476">
        <w:rPr>
          <w:rStyle w:val="Notedebasdepage8ptItaliqueEspacement0pt"/>
          <w:b w:val="0"/>
          <w:sz w:val="24"/>
        </w:rPr>
        <w:t>Monks of Westminster</w:t>
      </w:r>
      <w:r w:rsidRPr="003B3476">
        <w:rPr>
          <w:lang w:val="fr-FR" w:eastAsia="fr-FR" w:bidi="fr-FR"/>
        </w:rPr>
        <w:t>, p. 42, qui cite ces textes, considère à juste titre comme probable l’identité de ce Maurice avec l’ancien « sous-diacre » de l’évêque de Worce</w:t>
      </w:r>
      <w:r w:rsidRPr="003B3476">
        <w:rPr>
          <w:lang w:val="fr-FR" w:eastAsia="fr-FR" w:bidi="fr-FR"/>
        </w:rPr>
        <w:t>s</w:t>
      </w:r>
      <w:r w:rsidRPr="003B3476">
        <w:rPr>
          <w:lang w:val="fr-FR" w:eastAsia="fr-FR" w:bidi="fr-FR"/>
        </w:rPr>
        <w:t xml:space="preserve">ter, mentionné par Osbert. L’évêque est bien entendu saint Wulfstan, au sujet duquel Osbert plus bas racontera un miracle : </w:t>
      </w:r>
      <w:r w:rsidRPr="003B3476">
        <w:rPr>
          <w:i/>
          <w:lang w:val="fr-FR" w:eastAsia="fr-FR" w:bidi="fr-FR"/>
        </w:rPr>
        <w:t>cf</w:t>
      </w:r>
      <w:r w:rsidRPr="003B3476">
        <w:rPr>
          <w:lang w:val="fr-FR" w:eastAsia="fr-FR" w:bidi="fr-FR"/>
        </w:rPr>
        <w:t xml:space="preserve">. </w:t>
      </w:r>
      <w:r w:rsidRPr="003B3476">
        <w:rPr>
          <w:rStyle w:val="Notedebasdepage8ptItaliqueEspacement0pt"/>
          <w:b w:val="0"/>
          <w:sz w:val="24"/>
        </w:rPr>
        <w:t>infra</w:t>
      </w:r>
      <w:r w:rsidRPr="003B3476">
        <w:rPr>
          <w:lang w:val="fr-FR" w:eastAsia="fr-FR" w:bidi="fr-FR"/>
        </w:rPr>
        <w:t>, p. 1019.</w:t>
      </w:r>
    </w:p>
  </w:footnote>
  <w:footnote w:id="1299">
    <w:p w14:paraId="5012B75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Récit emprunté au Biographe, </w:t>
      </w:r>
      <w:r w:rsidRPr="003B3476">
        <w:rPr>
          <w:bCs/>
        </w:rPr>
        <w:t xml:space="preserve">p. </w:t>
      </w:r>
      <w:r w:rsidRPr="003B3476">
        <w:rPr>
          <w:lang w:val="fr-FR" w:eastAsia="fr-FR" w:bidi="fr-FR"/>
        </w:rPr>
        <w:t xml:space="preserve">429-430 ; </w:t>
      </w:r>
      <w:r w:rsidRPr="003B3476">
        <w:rPr>
          <w:bCs/>
          <w:i/>
        </w:rPr>
        <w:t>cf.</w:t>
      </w:r>
      <w:r w:rsidRPr="003B3476">
        <w:rPr>
          <w:lang w:val="fr-FR" w:eastAsia="fr-FR" w:bidi="fr-FR"/>
        </w:rPr>
        <w:t xml:space="preserve"> </w:t>
      </w:r>
      <w:r w:rsidRPr="003B3476">
        <w:rPr>
          <w:rStyle w:val="Notedebasdepage65ptPetitesmajuscules"/>
          <w:b w:val="0"/>
          <w:sz w:val="24"/>
        </w:rPr>
        <w:t xml:space="preserve">G. de Malmesbury, </w:t>
      </w:r>
      <w:r w:rsidRPr="003B3476">
        <w:rPr>
          <w:bCs/>
          <w:i/>
        </w:rPr>
        <w:t>Historia regum</w:t>
      </w:r>
      <w:r w:rsidRPr="003B3476">
        <w:rPr>
          <w:i/>
          <w:lang w:val="fr-FR" w:eastAsia="fr-FR" w:bidi="fr-FR"/>
        </w:rPr>
        <w:t>,</w:t>
      </w:r>
      <w:r w:rsidRPr="003B3476">
        <w:rPr>
          <w:lang w:val="fr-FR" w:eastAsia="fr-FR" w:bidi="fr-FR"/>
        </w:rPr>
        <w:t xml:space="preserve"> § 222. </w:t>
      </w:r>
      <w:r w:rsidRPr="003B3476">
        <w:rPr>
          <w:rStyle w:val="Notedebasdepage65ptPetitesmajuscules"/>
          <w:b w:val="0"/>
          <w:sz w:val="24"/>
        </w:rPr>
        <w:t xml:space="preserve">Ailred, </w:t>
      </w:r>
      <w:r w:rsidRPr="003B3476">
        <w:rPr>
          <w:lang w:val="fr-FR" w:eastAsia="fr-FR" w:bidi="fr-FR"/>
        </w:rPr>
        <w:t>col. 390. C’est le témoignage sur lequel on a fondé, pendant des si</w:t>
      </w:r>
      <w:r w:rsidRPr="003B3476">
        <w:rPr>
          <w:lang w:val="fr-FR" w:eastAsia="fr-FR" w:bidi="fr-FR"/>
        </w:rPr>
        <w:t>è</w:t>
      </w:r>
      <w:r w:rsidRPr="003B3476">
        <w:rPr>
          <w:lang w:val="fr-FR" w:eastAsia="fr-FR" w:bidi="fr-FR"/>
        </w:rPr>
        <w:t>cles, le droit des rois d’Angleterre à toucher et, croyait-on, à guérir des mal</w:t>
      </w:r>
      <w:r w:rsidRPr="003B3476">
        <w:rPr>
          <w:lang w:val="fr-FR" w:eastAsia="fr-FR" w:bidi="fr-FR"/>
        </w:rPr>
        <w:t>a</w:t>
      </w:r>
      <w:r w:rsidRPr="003B3476">
        <w:rPr>
          <w:lang w:val="fr-FR" w:eastAsia="fr-FR" w:bidi="fr-FR"/>
        </w:rPr>
        <w:t xml:space="preserve">des, (« King’s Evil »). </w:t>
      </w:r>
      <w:r w:rsidRPr="003B3476">
        <w:rPr>
          <w:bCs/>
          <w:i/>
        </w:rPr>
        <w:t>cf.</w:t>
      </w:r>
      <w:r w:rsidRPr="003B3476">
        <w:rPr>
          <w:bCs/>
        </w:rPr>
        <w:t xml:space="preserve"> </w:t>
      </w:r>
      <w:r w:rsidRPr="003B3476">
        <w:rPr>
          <w:lang w:val="fr-FR" w:eastAsia="fr-FR" w:bidi="fr-FR"/>
        </w:rPr>
        <w:t xml:space="preserve">M. </w:t>
      </w:r>
      <w:r w:rsidRPr="003B3476">
        <w:rPr>
          <w:rStyle w:val="Notedebasdepage65ptPetitesmajuscules"/>
          <w:b w:val="0"/>
          <w:sz w:val="24"/>
        </w:rPr>
        <w:t>Bloch</w:t>
      </w:r>
      <w:r w:rsidRPr="003B3476">
        <w:rPr>
          <w:rStyle w:val="Notedebasdepage65ptPetitesmajuscules"/>
          <w:b w:val="0"/>
          <w:i/>
          <w:sz w:val="24"/>
        </w:rPr>
        <w:t xml:space="preserve">, </w:t>
      </w:r>
      <w:r w:rsidRPr="003B3476">
        <w:rPr>
          <w:bCs/>
          <w:i/>
        </w:rPr>
        <w:t>Les Rois Thaumaturges</w:t>
      </w:r>
      <w:r w:rsidRPr="003B3476">
        <w:rPr>
          <w:lang w:val="fr-FR" w:eastAsia="fr-FR" w:bidi="fr-FR"/>
        </w:rPr>
        <w:t>, Strasbourg, 1924, et (réédition) Paris, 1961.</w:t>
      </w:r>
    </w:p>
  </w:footnote>
  <w:footnote w:id="1300">
    <w:p w14:paraId="79111617" w14:textId="77777777" w:rsidR="00B9662D" w:rsidRPr="003B3476" w:rsidRDefault="00B9662D">
      <w:pPr>
        <w:pStyle w:val="Notedebasdepage"/>
      </w:pPr>
      <w:r w:rsidRPr="003B3476">
        <w:rPr>
          <w:rStyle w:val="Appelnotedebasdep"/>
        </w:rPr>
        <w:t>a</w:t>
      </w:r>
      <w:r w:rsidRPr="003B3476">
        <w:tab/>
      </w:r>
      <w:r w:rsidRPr="003B3476">
        <w:rPr>
          <w:lang w:val="fr-FR" w:eastAsia="fr-FR" w:bidi="fr-FR"/>
        </w:rPr>
        <w:t>innouarent L.</w:t>
      </w:r>
    </w:p>
  </w:footnote>
  <w:footnote w:id="1301">
    <w:p w14:paraId="1F89701C"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bCs/>
        </w:rPr>
        <w:t>oratarium L. </w:t>
      </w:r>
    </w:p>
  </w:footnote>
  <w:footnote w:id="1302">
    <w:p w14:paraId="769EB078"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i/>
          <w:lang w:val="fr-FR" w:eastAsia="fr-FR" w:bidi="fr-FR"/>
        </w:rPr>
        <w:t>je rajoute ce mot indispensable au sens </w:t>
      </w:r>
      <w:r w:rsidRPr="003B3476">
        <w:rPr>
          <w:lang w:val="fr-FR" w:eastAsia="fr-FR" w:bidi="fr-FR"/>
        </w:rPr>
        <w:t>;</w:t>
      </w:r>
      <w:r w:rsidRPr="003B3476">
        <w:rPr>
          <w:bCs/>
        </w:rPr>
        <w:t xml:space="preserve"> L </w:t>
      </w:r>
      <w:r w:rsidRPr="003B3476">
        <w:rPr>
          <w:i/>
          <w:lang w:val="fr-FR" w:eastAsia="fr-FR" w:bidi="fr-FR"/>
        </w:rPr>
        <w:t>l’omet ; la phr</w:t>
      </w:r>
      <w:r w:rsidRPr="003B3476">
        <w:rPr>
          <w:i/>
          <w:lang w:val="fr-FR" w:eastAsia="fr-FR" w:bidi="fr-FR"/>
        </w:rPr>
        <w:t>a</w:t>
      </w:r>
      <w:r w:rsidRPr="003B3476">
        <w:rPr>
          <w:i/>
          <w:lang w:val="fr-FR" w:eastAsia="fr-FR" w:bidi="fr-FR"/>
        </w:rPr>
        <w:t>se manque dans</w:t>
      </w:r>
      <w:r w:rsidRPr="003B3476">
        <w:rPr>
          <w:bCs/>
        </w:rPr>
        <w:t xml:space="preserve"> C.</w:t>
      </w:r>
    </w:p>
  </w:footnote>
  <w:footnote w:id="1303">
    <w:p w14:paraId="40E4E4AE" w14:textId="77777777" w:rsidR="00B9662D" w:rsidRPr="003B3476" w:rsidRDefault="00B9662D" w:rsidP="00B9662D">
      <w:pPr>
        <w:pStyle w:val="Notedebasdepage"/>
        <w:rPr>
          <w:lang w:val="fr-FR"/>
        </w:rPr>
      </w:pPr>
      <w:r w:rsidRPr="003B3476">
        <w:rPr>
          <w:rStyle w:val="Appelnotedebasdep"/>
        </w:rPr>
        <w:footnoteRef/>
      </w:r>
      <w:r w:rsidRPr="003B3476">
        <w:rPr>
          <w:lang w:val="fr-FR" w:eastAsia="fr-FR" w:bidi="fr-FR"/>
        </w:rPr>
        <w:tab/>
        <w:t xml:space="preserve">Récit emprunté au Biographe, p. 429, mais considérablement amplifié, </w:t>
      </w:r>
      <w:r w:rsidRPr="003B3476">
        <w:rPr>
          <w:bCs/>
          <w:i/>
        </w:rPr>
        <w:t>Cf.</w:t>
      </w:r>
      <w:r w:rsidRPr="003B3476">
        <w:rPr>
          <w:lang w:val="fr-FR" w:eastAsia="fr-FR" w:bidi="fr-FR"/>
        </w:rPr>
        <w:t xml:space="preserve"> </w:t>
      </w:r>
      <w:r w:rsidRPr="003B3476">
        <w:rPr>
          <w:rStyle w:val="Notedebasdepage65ptPetitesmajuscules"/>
          <w:b w:val="0"/>
          <w:smallCaps w:val="0"/>
          <w:sz w:val="24"/>
        </w:rPr>
        <w:t xml:space="preserve">G. De </w:t>
      </w:r>
      <w:r w:rsidRPr="003B3476">
        <w:rPr>
          <w:smallCaps/>
          <w:lang w:val="fr-FR" w:eastAsia="fr-FR" w:bidi="fr-FR"/>
        </w:rPr>
        <w:t>Malmesbury</w:t>
      </w:r>
      <w:r w:rsidRPr="003B3476">
        <w:rPr>
          <w:rStyle w:val="Notedebasdepage65ptPetitesmajuscules"/>
          <w:b w:val="0"/>
          <w:sz w:val="24"/>
        </w:rPr>
        <w:t xml:space="preserve">, </w:t>
      </w:r>
      <w:r w:rsidRPr="003B3476">
        <w:rPr>
          <w:bCs/>
          <w:i/>
        </w:rPr>
        <w:t>Historia regum</w:t>
      </w:r>
      <w:r w:rsidRPr="003B3476">
        <w:rPr>
          <w:bCs/>
        </w:rPr>
        <w:t>,</w:t>
      </w:r>
      <w:r w:rsidRPr="003B3476">
        <w:rPr>
          <w:lang w:val="fr-FR" w:eastAsia="fr-FR" w:bidi="fr-FR"/>
        </w:rPr>
        <w:t xml:space="preserve"> § 223. </w:t>
      </w:r>
      <w:r w:rsidRPr="003B3476">
        <w:rPr>
          <w:rStyle w:val="Notedebasdepage65ptPetitesmajuscules"/>
          <w:b w:val="0"/>
          <w:sz w:val="24"/>
        </w:rPr>
        <w:t xml:space="preserve">Ailred, </w:t>
      </w:r>
      <w:r w:rsidRPr="003B3476">
        <w:rPr>
          <w:lang w:val="fr-FR" w:eastAsia="fr-FR" w:bidi="fr-FR"/>
        </w:rPr>
        <w:t>col. 390.</w:t>
      </w:r>
    </w:p>
  </w:footnote>
  <w:footnote w:id="1304">
    <w:p w14:paraId="2825AF1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Lincoln.</w:t>
      </w:r>
    </w:p>
  </w:footnote>
  <w:footnote w:id="1305">
    <w:p w14:paraId="48BA006F"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 récit se trouvait chez le Biographe ; mais nous n’en avons plus que les premiers mots, le manuscrit ayant été mutilé à cet endroit : p. 430,1.1434. G. de Malmesbury le résume en une phrase, </w:t>
      </w:r>
      <w:r w:rsidRPr="003B3476">
        <w:rPr>
          <w:bCs/>
        </w:rPr>
        <w:t>Historia regum</w:t>
      </w:r>
      <w:r w:rsidRPr="003B3476">
        <w:rPr>
          <w:bCs/>
          <w:vertAlign w:val="subscript"/>
        </w:rPr>
        <w:t>t</w:t>
      </w:r>
      <w:r w:rsidRPr="003B3476">
        <w:rPr>
          <w:lang w:val="fr-FR" w:eastAsia="fr-FR" w:bidi="fr-FR"/>
        </w:rPr>
        <w:t xml:space="preserve"> § 223, </w:t>
      </w:r>
      <w:r w:rsidRPr="003B3476">
        <w:rPr>
          <w:bCs/>
          <w:i/>
        </w:rPr>
        <w:t>in fine</w:t>
      </w:r>
      <w:r w:rsidRPr="003B3476">
        <w:rPr>
          <w:bCs/>
        </w:rPr>
        <w:t>.</w:t>
      </w:r>
      <w:r w:rsidRPr="003B3476">
        <w:rPr>
          <w:lang w:val="fr-FR" w:eastAsia="fr-FR" w:bidi="fr-FR"/>
        </w:rPr>
        <w:t xml:space="preserve"> </w:t>
      </w:r>
      <w:r w:rsidRPr="003B3476">
        <w:rPr>
          <w:rStyle w:val="Notedebasdepage65ptPetitesmajuscules"/>
          <w:b w:val="0"/>
        </w:rPr>
        <w:t xml:space="preserve">Ailred, </w:t>
      </w:r>
      <w:r w:rsidRPr="003B3476">
        <w:rPr>
          <w:lang w:val="fr-FR" w:eastAsia="fr-FR" w:bidi="fr-FR"/>
        </w:rPr>
        <w:t>col. 391.</w:t>
      </w:r>
    </w:p>
  </w:footnote>
  <w:footnote w:id="1306">
    <w:p w14:paraId="22AF735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Brill, Bucks.</w:t>
      </w:r>
    </w:p>
  </w:footnote>
  <w:footnote w:id="1307">
    <w:p w14:paraId="3FE7F83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Traduction latine d’un surnom anglais que nous donne G. </w:t>
      </w:r>
      <w:r w:rsidRPr="003B3476">
        <w:rPr>
          <w:rStyle w:val="Notedebasdepage65ptPetitesmajuscules"/>
          <w:b w:val="0"/>
          <w:sz w:val="24"/>
        </w:rPr>
        <w:t xml:space="preserve">de Malmesbury, </w:t>
      </w:r>
      <w:r w:rsidRPr="003B3476">
        <w:rPr>
          <w:bCs/>
          <w:i/>
        </w:rPr>
        <w:t>Historia Regum</w:t>
      </w:r>
      <w:r w:rsidRPr="003B3476">
        <w:rPr>
          <w:bCs/>
        </w:rPr>
        <w:t>,</w:t>
      </w:r>
      <w:r w:rsidRPr="003B3476">
        <w:rPr>
          <w:lang w:val="fr-FR" w:eastAsia="fr-FR" w:bidi="fr-FR"/>
        </w:rPr>
        <w:t xml:space="preserve"> t. I, p. 273 : </w:t>
      </w:r>
      <w:r w:rsidRPr="003B3476">
        <w:rPr>
          <w:bCs/>
          <w:i/>
        </w:rPr>
        <w:t>Spillecorn</w:t>
      </w:r>
      <w:r w:rsidRPr="003B3476">
        <w:rPr>
          <w:bCs/>
        </w:rPr>
        <w:t>.</w:t>
      </w:r>
    </w:p>
  </w:footnote>
  <w:footnote w:id="1308">
    <w:p w14:paraId="41293CC1"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 xml:space="preserve">ascistat L ; </w:t>
      </w:r>
      <w:r w:rsidRPr="003B3476">
        <w:rPr>
          <w:bCs/>
          <w:i/>
        </w:rPr>
        <w:t>manque dans</w:t>
      </w:r>
      <w:r w:rsidRPr="003B3476">
        <w:rPr>
          <w:lang w:val="fr-FR" w:eastAsia="fr-FR" w:bidi="fr-FR"/>
        </w:rPr>
        <w:t xml:space="preserve"> C.</w:t>
      </w:r>
    </w:p>
  </w:footnote>
  <w:footnote w:id="1309">
    <w:p w14:paraId="660C807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Windsor, Berks.</w:t>
      </w:r>
    </w:p>
  </w:footnote>
  <w:footnote w:id="1310">
    <w:p w14:paraId="08AA4D73" w14:textId="77777777" w:rsidR="00B9662D" w:rsidRPr="00270165"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Windsor figure en effet </w:t>
      </w:r>
      <w:r w:rsidRPr="00270165">
        <w:rPr>
          <w:lang w:val="fr-FR" w:eastAsia="fr-FR" w:bidi="fr-FR"/>
        </w:rPr>
        <w:t xml:space="preserve">parmi les possessions données à Westminster dans le premier diplôme de S. Edouard en faveur du monastère </w:t>
      </w:r>
      <w:r w:rsidRPr="00270165">
        <w:rPr>
          <w:rStyle w:val="Notedebasdepage65ptPetitesmajuscules"/>
          <w:b w:val="0"/>
          <w:sz w:val="24"/>
        </w:rPr>
        <w:t xml:space="preserve">(Kemble, </w:t>
      </w:r>
      <w:r w:rsidRPr="00270165">
        <w:rPr>
          <w:lang w:val="fr-FR" w:eastAsia="fr-FR" w:bidi="fr-FR"/>
        </w:rPr>
        <w:t xml:space="preserve">t. IV, p. 178), — diplôme apocryphe, comme on le sait, mais qu’Osbert connaissait bien ; </w:t>
      </w:r>
      <w:r w:rsidRPr="00270165">
        <w:rPr>
          <w:bCs/>
          <w:i/>
        </w:rPr>
        <w:t>cf.</w:t>
      </w:r>
      <w:r w:rsidRPr="00270165">
        <w:rPr>
          <w:bCs/>
        </w:rPr>
        <w:t xml:space="preserve"> </w:t>
      </w:r>
      <w:r w:rsidRPr="00270165">
        <w:rPr>
          <w:bCs/>
          <w:i/>
        </w:rPr>
        <w:t>supra</w:t>
      </w:r>
      <w:r w:rsidRPr="00270165">
        <w:rPr>
          <w:lang w:val="fr-FR" w:eastAsia="fr-FR" w:bidi="fr-FR"/>
        </w:rPr>
        <w:t>, p. 974.</w:t>
      </w:r>
    </w:p>
  </w:footnote>
  <w:footnote w:id="1311">
    <w:p w14:paraId="0869E8EE" w14:textId="77777777" w:rsidR="00B9662D" w:rsidRPr="003B3476" w:rsidRDefault="00B9662D" w:rsidP="00B9662D">
      <w:pPr>
        <w:pStyle w:val="Notedebasdepage"/>
      </w:pPr>
      <w:r w:rsidRPr="003B3476">
        <w:rPr>
          <w:rStyle w:val="Appelnotedebasdep"/>
        </w:rPr>
        <w:footnoteRef/>
      </w:r>
      <w:r w:rsidRPr="003B3476">
        <w:t xml:space="preserve"> </w:t>
      </w:r>
      <w:r w:rsidRPr="003B3476">
        <w:tab/>
        <w:t>Ce récit et le précédent manquent dans l’œuvre du Biographe telle que nous la lisons aujourd’hui ; mais sans doute, venant après le miracle de l’aveugle de Lincoln dont nous n’avons plus que le début (</w:t>
      </w:r>
      <w:r w:rsidRPr="003B3476">
        <w:rPr>
          <w:i/>
        </w:rPr>
        <w:t>cf.</w:t>
      </w:r>
      <w:r w:rsidRPr="003B3476">
        <w:t xml:space="preserve"> </w:t>
      </w:r>
      <w:r w:rsidRPr="003B3476">
        <w:rPr>
          <w:i/>
        </w:rPr>
        <w:t>supra</w:t>
      </w:r>
      <w:r w:rsidRPr="003B3476">
        <w:t>, p. 1005, n. 3 ; se tro</w:t>
      </w:r>
      <w:r w:rsidRPr="003B3476">
        <w:t>u</w:t>
      </w:r>
      <w:r w:rsidRPr="003B3476">
        <w:t xml:space="preserve">vaient-ils consignés sur le feuillet (ouïes feuillets) du manuscrit qui manquent aujourd’hui entre la p. cotée 34 par Luard et la p. 35. G. de Malmesbury les a tous les deux, le second sous une forme très brève : </w:t>
      </w:r>
      <w:r w:rsidRPr="003B3476">
        <w:rPr>
          <w:i/>
        </w:rPr>
        <w:t>Historia regumt</w:t>
      </w:r>
      <w:r w:rsidRPr="003B3476">
        <w:t xml:space="preserve"> § 224. AILRED, col. 392 et 393.</w:t>
      </w:r>
    </w:p>
  </w:footnote>
  <w:footnote w:id="1312">
    <w:p w14:paraId="6219B61F"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 xml:space="preserve">regressum L ; </w:t>
      </w:r>
      <w:r w:rsidRPr="003B3476">
        <w:rPr>
          <w:bCs/>
          <w:i/>
        </w:rPr>
        <w:t>la phrase manque dans</w:t>
      </w:r>
      <w:r w:rsidRPr="003B3476">
        <w:rPr>
          <w:lang w:val="fr-FR" w:eastAsia="fr-FR" w:bidi="fr-FR"/>
        </w:rPr>
        <w:t xml:space="preserve"> C.</w:t>
      </w:r>
    </w:p>
  </w:footnote>
  <w:footnote w:id="1313">
    <w:p w14:paraId="0F6C9DEE"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eastAsia="fr-FR" w:bidi="fr-FR"/>
        </w:rPr>
        <w:t>familior L.</w:t>
      </w:r>
    </w:p>
  </w:footnote>
  <w:footnote w:id="1314">
    <w:p w14:paraId="54F35EB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8ptItaliqueEspacement0pt"/>
          <w:b w:val="0"/>
          <w:sz w:val="24"/>
        </w:rPr>
        <w:t>Luc.</w:t>
      </w:r>
      <w:r w:rsidRPr="003B3476">
        <w:rPr>
          <w:bCs/>
        </w:rPr>
        <w:t xml:space="preserve"> </w:t>
      </w:r>
      <w:r w:rsidRPr="003B3476">
        <w:rPr>
          <w:lang w:val="fr-FR" w:eastAsia="fr-FR" w:bidi="fr-FR"/>
        </w:rPr>
        <w:t xml:space="preserve">XXI, 10-11. </w:t>
      </w:r>
      <w:r w:rsidRPr="003B3476">
        <w:rPr>
          <w:rStyle w:val="Notedebasdepage8ptItaliqueEspacement0pt"/>
          <w:b w:val="0"/>
          <w:sz w:val="24"/>
        </w:rPr>
        <w:t>Cf. Matth.</w:t>
      </w:r>
      <w:r w:rsidRPr="003B3476">
        <w:rPr>
          <w:bCs/>
        </w:rPr>
        <w:t xml:space="preserve"> </w:t>
      </w:r>
      <w:r w:rsidRPr="003B3476">
        <w:rPr>
          <w:lang w:val="fr-FR" w:eastAsia="fr-FR" w:bidi="fr-FR"/>
        </w:rPr>
        <w:t xml:space="preserve">XXIV, 7 ; </w:t>
      </w:r>
      <w:r w:rsidRPr="003B3476">
        <w:rPr>
          <w:rStyle w:val="Notedebasdepage8ptItaliqueEspacement0pt"/>
          <w:b w:val="0"/>
          <w:sz w:val="24"/>
        </w:rPr>
        <w:t>Marc.</w:t>
      </w:r>
      <w:r w:rsidRPr="003B3476">
        <w:rPr>
          <w:bCs/>
        </w:rPr>
        <w:t xml:space="preserve"> </w:t>
      </w:r>
      <w:r w:rsidRPr="003B3476">
        <w:rPr>
          <w:lang w:val="fr-FR" w:eastAsia="fr-FR" w:bidi="fr-FR"/>
        </w:rPr>
        <w:t xml:space="preserve">XIII, 8. La citation est déjà dans G. </w:t>
      </w:r>
      <w:r w:rsidRPr="003B3476">
        <w:rPr>
          <w:rStyle w:val="Notedebasdepage65ptPetitesmajuscules"/>
          <w:b w:val="0"/>
          <w:sz w:val="24"/>
        </w:rPr>
        <w:t xml:space="preserve">de Malmesbury, </w:t>
      </w:r>
      <w:r w:rsidRPr="003B3476">
        <w:rPr>
          <w:rStyle w:val="Notedebasdepage8ptItaliqueEspacement0pt"/>
          <w:b w:val="0"/>
          <w:sz w:val="24"/>
        </w:rPr>
        <w:t>Historia regum</w:t>
      </w:r>
      <w:r w:rsidRPr="003B3476">
        <w:rPr>
          <w:bCs/>
        </w:rPr>
        <w:t xml:space="preserve">, p. </w:t>
      </w:r>
      <w:r w:rsidRPr="003B3476">
        <w:rPr>
          <w:lang w:val="fr-FR" w:eastAsia="fr-FR" w:bidi="fr-FR"/>
        </w:rPr>
        <w:t>275.</w:t>
      </w:r>
    </w:p>
  </w:footnote>
  <w:footnote w:id="1315">
    <w:p w14:paraId="1784A51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légende des Sept Dormants, on peut consulter John </w:t>
      </w:r>
      <w:r w:rsidRPr="003B3476">
        <w:rPr>
          <w:rStyle w:val="Notedebasdepage65ptPetitesmajuscules"/>
          <w:b w:val="0"/>
          <w:sz w:val="24"/>
        </w:rPr>
        <w:t xml:space="preserve">Koch, </w:t>
      </w:r>
      <w:r w:rsidRPr="003B3476">
        <w:rPr>
          <w:rStyle w:val="Notedebasdepage8ptItaliqueEspacement0pt"/>
          <w:b w:val="0"/>
          <w:sz w:val="24"/>
        </w:rPr>
        <w:t>Die Si</w:t>
      </w:r>
      <w:r w:rsidRPr="003B3476">
        <w:rPr>
          <w:rStyle w:val="Notedebasdepage8ptItaliqueEspacement0pt"/>
          <w:b w:val="0"/>
          <w:sz w:val="24"/>
        </w:rPr>
        <w:t>e</w:t>
      </w:r>
      <w:r w:rsidRPr="003B3476">
        <w:rPr>
          <w:rStyle w:val="Notedebasdepage8ptItaliqueEspacement0pt"/>
          <w:b w:val="0"/>
          <w:sz w:val="24"/>
        </w:rPr>
        <w:t>benschläferlegende</w:t>
      </w:r>
      <w:r w:rsidRPr="003B3476">
        <w:rPr>
          <w:lang w:val="fr-FR" w:eastAsia="fr-FR" w:bidi="fr-FR"/>
        </w:rPr>
        <w:t xml:space="preserve">, Leipzig, 1883, et Michael </w:t>
      </w:r>
      <w:r w:rsidRPr="003B3476">
        <w:rPr>
          <w:rStyle w:val="Notedebasdepage65ptPetitesmajuscules"/>
          <w:b w:val="0"/>
          <w:sz w:val="24"/>
        </w:rPr>
        <w:t xml:space="preserve">Huber, </w:t>
      </w:r>
      <w:r w:rsidRPr="003B3476">
        <w:rPr>
          <w:rStyle w:val="Notedebasdepage8ptItaliqueEspacement0pt"/>
          <w:b w:val="0"/>
          <w:sz w:val="24"/>
        </w:rPr>
        <w:t>Die Wanderlege</w:t>
      </w:r>
      <w:r w:rsidRPr="003B3476">
        <w:rPr>
          <w:rStyle w:val="Notedebasdepage8ptItaliqueEspacement0pt"/>
          <w:b w:val="0"/>
          <w:sz w:val="24"/>
        </w:rPr>
        <w:t>n</w:t>
      </w:r>
      <w:r w:rsidRPr="003B3476">
        <w:rPr>
          <w:rStyle w:val="Notedebasdepage8ptItaliqueEspacement0pt"/>
          <w:b w:val="0"/>
          <w:sz w:val="24"/>
        </w:rPr>
        <w:t>de von den Siebenschldfern</w:t>
      </w:r>
      <w:r w:rsidRPr="003B3476">
        <w:rPr>
          <w:lang w:val="fr-FR" w:eastAsia="fr-FR" w:bidi="fr-FR"/>
        </w:rPr>
        <w:t>, Leipzig, 1918. Désireux de faire montre de sa propre science, Osbert suppose les courtisans de saint Édouard plus ignorants qu’ils ne l’étaient sans doute en réalité. En fait le culte des Sept Dormants était en ce temps déjà ancien en Angleterre, ainsi que l’ont aisément établi Koch et Huber. Leur fête est me</w:t>
      </w:r>
      <w:r w:rsidRPr="003B3476">
        <w:rPr>
          <w:lang w:val="fr-FR" w:eastAsia="fr-FR" w:bidi="fr-FR"/>
        </w:rPr>
        <w:t>n</w:t>
      </w:r>
      <w:r w:rsidRPr="003B3476">
        <w:rPr>
          <w:lang w:val="fr-FR" w:eastAsia="fr-FR" w:bidi="fr-FR"/>
        </w:rPr>
        <w:t xml:space="preserve">tionnée dans un manuscrit liturgique du </w:t>
      </w:r>
      <w:r w:rsidRPr="003B3476">
        <w:rPr>
          <w:smallCaps/>
          <w:lang w:val="fr-FR" w:eastAsia="fr-FR" w:bidi="fr-FR"/>
        </w:rPr>
        <w:t>ix</w:t>
      </w:r>
      <w:r w:rsidRPr="003B3476">
        <w:rPr>
          <w:vertAlign w:val="superscript"/>
          <w:lang w:val="fr-FR" w:eastAsia="fr-FR" w:bidi="fr-FR"/>
        </w:rPr>
        <w:t>e</w:t>
      </w:r>
      <w:r w:rsidRPr="003B3476">
        <w:rPr>
          <w:lang w:val="fr-FR" w:eastAsia="fr-FR" w:bidi="fr-FR"/>
        </w:rPr>
        <w:t xml:space="preserve"> siècle, </w:t>
      </w:r>
      <w:r w:rsidRPr="003B3476">
        <w:rPr>
          <w:rStyle w:val="Notedebasdepage8ptItaliqueEspacement0pt"/>
          <w:b w:val="0"/>
          <w:sz w:val="24"/>
        </w:rPr>
        <w:t xml:space="preserve">the book of Cerne. </w:t>
      </w:r>
      <w:r w:rsidRPr="003B3476">
        <w:rPr>
          <w:lang w:val="fr-FR" w:eastAsia="fr-FR" w:bidi="fr-FR"/>
        </w:rPr>
        <w:t xml:space="preserve">Le moine Aelfric, au début du </w:t>
      </w:r>
      <w:r w:rsidRPr="003B3476">
        <w:rPr>
          <w:smallCaps/>
          <w:lang w:val="fr-FR" w:eastAsia="fr-FR" w:bidi="fr-FR"/>
        </w:rPr>
        <w:t>xi</w:t>
      </w:r>
      <w:r w:rsidRPr="003B3476">
        <w:rPr>
          <w:vertAlign w:val="superscript"/>
          <w:lang w:val="fr-FR" w:eastAsia="fr-FR" w:bidi="fr-FR"/>
        </w:rPr>
        <w:t>e</w:t>
      </w:r>
      <w:r w:rsidRPr="003B3476">
        <w:rPr>
          <w:lang w:val="fr-FR" w:eastAsia="fr-FR" w:bidi="fr-FR"/>
        </w:rPr>
        <w:t xml:space="preserve"> siècle, avait r</w:t>
      </w:r>
      <w:r w:rsidRPr="003B3476">
        <w:rPr>
          <w:lang w:val="fr-FR" w:eastAsia="fr-FR" w:bidi="fr-FR"/>
        </w:rPr>
        <w:t>a</w:t>
      </w:r>
      <w:r w:rsidRPr="003B3476">
        <w:rPr>
          <w:lang w:val="fr-FR" w:eastAsia="fr-FR" w:bidi="fr-FR"/>
        </w:rPr>
        <w:t>conté leur passion et leur avait consacré une homélie. On datait les évén</w:t>
      </w:r>
      <w:r w:rsidRPr="003B3476">
        <w:rPr>
          <w:lang w:val="fr-FR" w:eastAsia="fr-FR" w:bidi="fr-FR"/>
        </w:rPr>
        <w:t>e</w:t>
      </w:r>
      <w:r w:rsidRPr="003B3476">
        <w:rPr>
          <w:lang w:val="fr-FR" w:eastAsia="fr-FR" w:bidi="fr-FR"/>
        </w:rPr>
        <w:t>ments du jour de leur fête (</w:t>
      </w:r>
      <w:r w:rsidRPr="003B3476">
        <w:rPr>
          <w:rStyle w:val="Notedebasdepage8ptItaliqueEspacement0pt"/>
          <w:b w:val="0"/>
          <w:sz w:val="24"/>
        </w:rPr>
        <w:t>Two Saxon Chronicles</w:t>
      </w:r>
      <w:r w:rsidRPr="003B3476">
        <w:rPr>
          <w:lang w:val="fr-FR" w:eastAsia="fr-FR" w:bidi="fr-FR"/>
        </w:rPr>
        <w:t xml:space="preserve">, t. I, p. 185). Le nom de Mont </w:t>
      </w:r>
      <w:r w:rsidRPr="003B3476">
        <w:rPr>
          <w:rStyle w:val="Notedebasdepage8ptItaliqueEspacement0pt"/>
          <w:b w:val="0"/>
          <w:sz w:val="24"/>
        </w:rPr>
        <w:t>Celius</w:t>
      </w:r>
      <w:r w:rsidRPr="003B3476">
        <w:rPr>
          <w:bCs/>
        </w:rPr>
        <w:t xml:space="preserve"> </w:t>
      </w:r>
      <w:r w:rsidRPr="003B3476">
        <w:rPr>
          <w:lang w:val="fr-FR" w:eastAsia="fr-FR" w:bidi="fr-FR"/>
        </w:rPr>
        <w:t>donné par Osbert à la montagne où do</w:t>
      </w:r>
      <w:r w:rsidRPr="003B3476">
        <w:rPr>
          <w:lang w:val="fr-FR" w:eastAsia="fr-FR" w:bidi="fr-FR"/>
        </w:rPr>
        <w:t>r</w:t>
      </w:r>
      <w:r w:rsidRPr="003B3476">
        <w:rPr>
          <w:lang w:val="fr-FR" w:eastAsia="fr-FR" w:bidi="fr-FR"/>
        </w:rPr>
        <w:t xml:space="preserve">ment les sept saints est le nom courant dans les sources latines </w:t>
      </w:r>
      <w:r w:rsidRPr="003B3476">
        <w:rPr>
          <w:rStyle w:val="Notedebasdepage65ptPetitesmajuscules"/>
          <w:b w:val="0"/>
          <w:sz w:val="24"/>
        </w:rPr>
        <w:t>(Koch,</w:t>
      </w:r>
      <w:r w:rsidRPr="003B3476">
        <w:rPr>
          <w:bCs/>
        </w:rPr>
        <w:t xml:space="preserve"> p. </w:t>
      </w:r>
      <w:r w:rsidRPr="003B3476">
        <w:rPr>
          <w:lang w:val="fr-FR" w:eastAsia="fr-FR" w:bidi="fr-FR"/>
        </w:rPr>
        <w:t xml:space="preserve">59 ; </w:t>
      </w:r>
      <w:r w:rsidRPr="003B3476">
        <w:rPr>
          <w:rStyle w:val="Notedebasdepage65ptPetitesmajuscules"/>
          <w:b w:val="0"/>
          <w:sz w:val="24"/>
        </w:rPr>
        <w:t xml:space="preserve">Huber, </w:t>
      </w:r>
      <w:r w:rsidRPr="003B3476">
        <w:rPr>
          <w:lang w:val="fr-FR" w:eastAsia="fr-FR" w:bidi="fr-FR"/>
        </w:rPr>
        <w:t xml:space="preserve">p. 97) ; de même pour les noms des saints eux-mêmes, qu’Osbert énumère dans le même ordre qu’Aelfric </w:t>
      </w:r>
      <w:r w:rsidRPr="003B3476">
        <w:rPr>
          <w:rStyle w:val="Notedebasdepage65ptPetitesmajuscules"/>
          <w:b w:val="0"/>
          <w:sz w:val="24"/>
        </w:rPr>
        <w:t xml:space="preserve">(Koch, </w:t>
      </w:r>
      <w:r w:rsidRPr="003B3476">
        <w:rPr>
          <w:lang w:val="fr-FR" w:eastAsia="fr-FR" w:bidi="fr-FR"/>
        </w:rPr>
        <w:t xml:space="preserve">p. 92 ; </w:t>
      </w:r>
      <w:r w:rsidRPr="003B3476">
        <w:rPr>
          <w:rStyle w:val="Notedebasdepage65ptPetitesmajuscules"/>
          <w:b w:val="0"/>
          <w:sz w:val="24"/>
        </w:rPr>
        <w:t xml:space="preserve">Huber, </w:t>
      </w:r>
      <w:r w:rsidRPr="003B3476">
        <w:rPr>
          <w:lang w:val="fr-FR" w:eastAsia="fr-FR" w:bidi="fr-FR"/>
        </w:rPr>
        <w:t>p. 91).</w:t>
      </w:r>
    </w:p>
  </w:footnote>
  <w:footnote w:id="1316">
    <w:p w14:paraId="56BE0F56"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Georges Maniakes. </w:t>
      </w:r>
      <w:r w:rsidRPr="003B3476">
        <w:rPr>
          <w:bCs/>
          <w:i/>
        </w:rPr>
        <w:t>Cf.</w:t>
      </w:r>
      <w:r w:rsidRPr="003B3476">
        <w:rPr>
          <w:bCs/>
        </w:rPr>
        <w:t xml:space="preserve"> </w:t>
      </w:r>
      <w:r w:rsidRPr="003B3476">
        <w:rPr>
          <w:bCs/>
          <w:i/>
        </w:rPr>
        <w:t>supra</w:t>
      </w:r>
      <w:r w:rsidRPr="003B3476">
        <w:rPr>
          <w:lang w:val="fr-FR" w:eastAsia="fr-FR" w:bidi="fr-FR"/>
        </w:rPr>
        <w:t xml:space="preserve">, p. 965, n. 1, et </w:t>
      </w:r>
      <w:r w:rsidRPr="003B3476">
        <w:rPr>
          <w:bCs/>
          <w:i/>
        </w:rPr>
        <w:t>infra</w:t>
      </w:r>
      <w:r w:rsidRPr="003B3476">
        <w:rPr>
          <w:lang w:val="fr-FR" w:eastAsia="fr-FR" w:bidi="fr-FR"/>
        </w:rPr>
        <w:t>, p. 1010, n. 4.</w:t>
      </w:r>
    </w:p>
  </w:footnote>
  <w:footnote w:id="1317">
    <w:p w14:paraId="545F47F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Henri I</w:t>
      </w:r>
      <w:r w:rsidRPr="003B3476">
        <w:rPr>
          <w:vertAlign w:val="superscript"/>
          <w:lang w:val="fr-FR" w:eastAsia="fr-FR" w:bidi="fr-FR"/>
        </w:rPr>
        <w:t>er</w:t>
      </w:r>
      <w:r w:rsidRPr="003B3476">
        <w:rPr>
          <w:lang w:val="fr-FR" w:eastAsia="fr-FR" w:bidi="fr-FR"/>
        </w:rPr>
        <w:t xml:space="preserve"> mourut le 4 avril 1060 : </w:t>
      </w:r>
      <w:r w:rsidRPr="003B3476">
        <w:rPr>
          <w:rStyle w:val="Notedebasdepage8ptItaliqueEspacement0pt"/>
          <w:b w:val="0"/>
          <w:sz w:val="24"/>
        </w:rPr>
        <w:t>cf.</w:t>
      </w:r>
      <w:r w:rsidRPr="003B3476">
        <w:rPr>
          <w:bCs/>
        </w:rPr>
        <w:t xml:space="preserve"> </w:t>
      </w:r>
      <w:r w:rsidRPr="003B3476">
        <w:rPr>
          <w:lang w:val="fr-FR" w:eastAsia="fr-FR" w:bidi="fr-FR"/>
        </w:rPr>
        <w:t xml:space="preserve">M. </w:t>
      </w:r>
      <w:r w:rsidRPr="003B3476">
        <w:rPr>
          <w:rStyle w:val="Notedebasdepage65ptPetitesmajuscules"/>
          <w:b w:val="0"/>
          <w:sz w:val="24"/>
        </w:rPr>
        <w:t xml:space="preserve">Prou, </w:t>
      </w:r>
      <w:r w:rsidRPr="003B3476">
        <w:rPr>
          <w:rStyle w:val="Notedebasdepage8ptItaliqueEspacement0pt"/>
          <w:b w:val="0"/>
          <w:sz w:val="24"/>
        </w:rPr>
        <w:t>Recueil des actes de Phili</w:t>
      </w:r>
      <w:r w:rsidRPr="003B3476">
        <w:rPr>
          <w:rStyle w:val="Notedebasdepage8ptItaliqueEspacement0pt"/>
          <w:b w:val="0"/>
          <w:sz w:val="24"/>
        </w:rPr>
        <w:t>p</w:t>
      </w:r>
      <w:r w:rsidRPr="003B3476">
        <w:rPr>
          <w:rStyle w:val="Notedebasdepage8ptItaliqueEspacement0pt"/>
          <w:b w:val="0"/>
          <w:sz w:val="24"/>
        </w:rPr>
        <w:t>pe</w:t>
      </w:r>
      <w:r w:rsidRPr="003B3476">
        <w:rPr>
          <w:bCs/>
        </w:rPr>
        <w:t xml:space="preserve"> </w:t>
      </w:r>
      <w:r w:rsidRPr="003B3476">
        <w:rPr>
          <w:lang w:val="fr-FR" w:eastAsia="fr-FR" w:bidi="fr-FR"/>
        </w:rPr>
        <w:t>I</w:t>
      </w:r>
      <w:r w:rsidRPr="003B3476">
        <w:rPr>
          <w:vertAlign w:val="superscript"/>
          <w:lang w:val="fr-FR" w:eastAsia="fr-FR" w:bidi="fr-FR"/>
        </w:rPr>
        <w:t>er</w:t>
      </w:r>
      <w:r w:rsidRPr="003B3476">
        <w:rPr>
          <w:lang w:val="fr-FR" w:eastAsia="fr-FR" w:bidi="fr-FR"/>
        </w:rPr>
        <w:t xml:space="preserve">, p. xxviii. Sur son genre de mort, </w:t>
      </w:r>
      <w:r w:rsidRPr="003B3476">
        <w:rPr>
          <w:rStyle w:val="Notedebasdepage8ptItaliqueEspacement0pt"/>
          <w:b w:val="0"/>
          <w:sz w:val="24"/>
        </w:rPr>
        <w:t>cf.</w:t>
      </w:r>
      <w:r w:rsidRPr="003B3476">
        <w:rPr>
          <w:bCs/>
        </w:rPr>
        <w:t> — </w:t>
      </w:r>
      <w:r w:rsidRPr="003B3476">
        <w:rPr>
          <w:lang w:val="fr-FR" w:eastAsia="fr-FR" w:bidi="fr-FR"/>
        </w:rPr>
        <w:t>outre le passage correspondant de G. de Malme</w:t>
      </w:r>
      <w:r w:rsidRPr="003B3476">
        <w:rPr>
          <w:lang w:val="fr-FR" w:eastAsia="fr-FR" w:bidi="fr-FR"/>
        </w:rPr>
        <w:t>s</w:t>
      </w:r>
      <w:r w:rsidRPr="003B3476">
        <w:rPr>
          <w:lang w:val="fr-FR" w:eastAsia="fr-FR" w:bidi="fr-FR"/>
        </w:rPr>
        <w:t>bury, p. 276. — </w:t>
      </w:r>
      <w:r w:rsidRPr="003B3476">
        <w:rPr>
          <w:rStyle w:val="Notedebasdepage65ptPetitesmajuscules"/>
          <w:b w:val="0"/>
          <w:sz w:val="24"/>
        </w:rPr>
        <w:t xml:space="preserve">Orderic Vital, </w:t>
      </w:r>
      <w:r w:rsidRPr="003B3476">
        <w:rPr>
          <w:rStyle w:val="Notedebasdepage8ptItaliqueEspacement0pt"/>
          <w:b w:val="0"/>
          <w:sz w:val="24"/>
        </w:rPr>
        <w:t>Histoire ecclésiastique</w:t>
      </w:r>
      <w:r w:rsidRPr="003B3476">
        <w:rPr>
          <w:lang w:val="fr-FR" w:eastAsia="fr-FR" w:bidi="fr-FR"/>
        </w:rPr>
        <w:t xml:space="preserve">, éd. </w:t>
      </w:r>
      <w:r w:rsidRPr="003B3476">
        <w:rPr>
          <w:rStyle w:val="Notedebasdepage65ptPetitesmajuscules"/>
          <w:b w:val="0"/>
          <w:sz w:val="24"/>
        </w:rPr>
        <w:t xml:space="preserve">Leprévost, </w:t>
      </w:r>
      <w:r w:rsidRPr="003B3476">
        <w:rPr>
          <w:lang w:val="fr-FR" w:eastAsia="fr-FR" w:bidi="fr-FR"/>
        </w:rPr>
        <w:t>t. II, p. 79, et les inte</w:t>
      </w:r>
      <w:r w:rsidRPr="003B3476">
        <w:rPr>
          <w:lang w:val="fr-FR" w:eastAsia="fr-FR" w:bidi="fr-FR"/>
        </w:rPr>
        <w:t>r</w:t>
      </w:r>
      <w:r w:rsidRPr="003B3476">
        <w:rPr>
          <w:lang w:val="fr-FR" w:eastAsia="fr-FR" w:bidi="fr-FR"/>
        </w:rPr>
        <w:t xml:space="preserve">polations du même auteur au </w:t>
      </w:r>
      <w:r w:rsidRPr="003B3476">
        <w:rPr>
          <w:rStyle w:val="Notedebasdepage8ptItaliqueEspacement0pt"/>
          <w:b w:val="0"/>
          <w:sz w:val="24"/>
        </w:rPr>
        <w:t>Gesta Normannorum ducum</w:t>
      </w:r>
      <w:r w:rsidRPr="003B3476">
        <w:rPr>
          <w:bCs/>
        </w:rPr>
        <w:t xml:space="preserve"> </w:t>
      </w:r>
      <w:r w:rsidRPr="003B3476">
        <w:rPr>
          <w:lang w:val="fr-FR" w:eastAsia="fr-FR" w:bidi="fr-FR"/>
        </w:rPr>
        <w:t>de Guillaume de Jumièges, éd. J. </w:t>
      </w:r>
      <w:r w:rsidRPr="003B3476">
        <w:rPr>
          <w:rStyle w:val="Notedebasdepage65ptPetitesmajuscules"/>
          <w:b w:val="0"/>
          <w:sz w:val="24"/>
        </w:rPr>
        <w:t xml:space="preserve">Marx, </w:t>
      </w:r>
      <w:r w:rsidRPr="003B3476">
        <w:rPr>
          <w:lang w:val="fr-FR" w:eastAsia="fr-FR" w:bidi="fr-FR"/>
        </w:rPr>
        <w:t>p. 185.</w:t>
      </w:r>
    </w:p>
  </w:footnote>
  <w:footnote w:id="1318">
    <w:p w14:paraId="66595E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Henri III, fils de Conrad II, et père de Henri IV, mort le 5 oct. 1056.</w:t>
      </w:r>
    </w:p>
  </w:footnote>
  <w:footnote w:id="1319">
    <w:p w14:paraId="0D79C17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Nous serions bien embarrassés pour identifier les trois papes ainsi désignés par Osbert, si le passage correspondant de Guillaume de Malmesbury ne nous donnait leurs noms (p. 276). Ce sont Victor II, Étienne IX, Nicolas II. De l’avènement de Victor II (13 avril 1055) à la mort de Nicolas II (27 juillet 1061), il s’est écoulé sinon sept ans accomplis, du moins un peu plus de six ans.</w:t>
      </w:r>
    </w:p>
  </w:footnote>
  <w:footnote w:id="1320">
    <w:p w14:paraId="130084B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Cette liste d’empereurs se retrouve dans </w:t>
      </w:r>
      <w:r w:rsidRPr="003B3476">
        <w:rPr>
          <w:rStyle w:val="Notedebasdepage65ptPetitesmajuscules"/>
          <w:b w:val="0"/>
          <w:sz w:val="24"/>
        </w:rPr>
        <w:t xml:space="preserve">Guillaume de Malmesbury, </w:t>
      </w:r>
      <w:r w:rsidRPr="003B3476">
        <w:rPr>
          <w:rStyle w:val="Notedebasdepage8ptItaliqueEspacement0pt"/>
          <w:b w:val="0"/>
          <w:sz w:val="24"/>
        </w:rPr>
        <w:t>Gesta regum,</w:t>
      </w:r>
      <w:r w:rsidRPr="003B3476">
        <w:rPr>
          <w:rStyle w:val="Notedebasdepage8ptItaliqueEspacement0pt"/>
          <w:b w:val="0"/>
          <w:sz w:val="24"/>
          <w:vertAlign w:val="subscript"/>
        </w:rPr>
        <w:t xml:space="preserve"> </w:t>
      </w:r>
      <w:r w:rsidRPr="003B3476">
        <w:rPr>
          <w:lang w:val="fr-FR" w:eastAsia="fr-FR" w:bidi="fr-FR"/>
        </w:rPr>
        <w:t xml:space="preserve">t. I, p. 276, qui l’avait sans doute empruntée à un recueil de miracles aujourd’hui perdu ; </w:t>
      </w:r>
      <w:r w:rsidRPr="003B3476">
        <w:rPr>
          <w:rStyle w:val="Notedebasdepage8ptItaliqueEspacement0pt"/>
          <w:b w:val="0"/>
          <w:sz w:val="24"/>
        </w:rPr>
        <w:t>cf. supra</w:t>
      </w:r>
      <w:r w:rsidRPr="003B3476">
        <w:rPr>
          <w:lang w:val="fr-FR" w:eastAsia="fr-FR" w:bidi="fr-FR"/>
        </w:rPr>
        <w:t>, p. Il sera toujours impossible de savoir si O</w:t>
      </w:r>
      <w:r w:rsidRPr="003B3476">
        <w:rPr>
          <w:lang w:val="fr-FR" w:eastAsia="fr-FR" w:bidi="fr-FR"/>
        </w:rPr>
        <w:t>s</w:t>
      </w:r>
      <w:r w:rsidRPr="003B3476">
        <w:rPr>
          <w:lang w:val="fr-FR" w:eastAsia="fr-FR" w:bidi="fr-FR"/>
        </w:rPr>
        <w:t>bert s’est inspiré ou dire</w:t>
      </w:r>
      <w:r w:rsidRPr="003B3476">
        <w:rPr>
          <w:lang w:val="fr-FR" w:eastAsia="fr-FR" w:bidi="fr-FR"/>
        </w:rPr>
        <w:t>c</w:t>
      </w:r>
      <w:r w:rsidRPr="003B3476">
        <w:rPr>
          <w:lang w:val="fr-FR" w:eastAsia="fr-FR" w:bidi="fr-FR"/>
        </w:rPr>
        <w:t xml:space="preserve">tement de ce recueil ou de Guillaume lui-même. </w:t>
      </w:r>
      <w:r w:rsidRPr="003B3476">
        <w:rPr>
          <w:rStyle w:val="Notedebasdepage8ptItaliqueEspacement0pt"/>
          <w:b w:val="0"/>
          <w:sz w:val="24"/>
        </w:rPr>
        <w:t>Maniches</w:t>
      </w:r>
      <w:r w:rsidRPr="003B3476">
        <w:rPr>
          <w:bCs/>
        </w:rPr>
        <w:t xml:space="preserve"> </w:t>
      </w:r>
      <w:r w:rsidRPr="003B3476">
        <w:rPr>
          <w:lang w:val="fr-FR" w:eastAsia="fr-FR" w:bidi="fr-FR"/>
        </w:rPr>
        <w:t>est l’usurpateur Georges Maniakes, tué au début de 1043. Sur la l</w:t>
      </w:r>
      <w:r w:rsidRPr="003B3476">
        <w:rPr>
          <w:lang w:val="fr-FR" w:eastAsia="fr-FR" w:bidi="fr-FR"/>
        </w:rPr>
        <w:t>a</w:t>
      </w:r>
      <w:r w:rsidRPr="003B3476">
        <w:rPr>
          <w:lang w:val="fr-FR" w:eastAsia="fr-FR" w:bidi="fr-FR"/>
        </w:rPr>
        <w:t xml:space="preserve">cune qui suit, </w:t>
      </w:r>
      <w:r w:rsidRPr="003B3476">
        <w:rPr>
          <w:rStyle w:val="Notedebasdepage8ptItaliqueEspacement0pt"/>
          <w:b w:val="0"/>
          <w:sz w:val="24"/>
        </w:rPr>
        <w:t>cf. supra</w:t>
      </w:r>
      <w:r w:rsidRPr="003B3476">
        <w:rPr>
          <w:rStyle w:val="Notedebasdepage8ptItaliqueEspacement0pt"/>
          <w:b w:val="0"/>
          <w:sz w:val="24"/>
          <w:vertAlign w:val="subscript"/>
        </w:rPr>
        <w:t>y</w:t>
      </w:r>
      <w:r w:rsidRPr="003B3476">
        <w:rPr>
          <w:bCs/>
        </w:rPr>
        <w:t xml:space="preserve"> </w:t>
      </w:r>
      <w:r w:rsidRPr="003B3476">
        <w:rPr>
          <w:lang w:val="fr-FR" w:eastAsia="fr-FR" w:bidi="fr-FR"/>
        </w:rPr>
        <w:t>p. 965, n. 1. Diogenes est Romain IV Diogène pr</w:t>
      </w:r>
      <w:r w:rsidRPr="003B3476">
        <w:rPr>
          <w:lang w:val="fr-FR" w:eastAsia="fr-FR" w:bidi="fr-FR"/>
        </w:rPr>
        <w:t>o</w:t>
      </w:r>
      <w:r w:rsidRPr="003B3476">
        <w:rPr>
          <w:lang w:val="fr-FR" w:eastAsia="fr-FR" w:bidi="fr-FR"/>
        </w:rPr>
        <w:t xml:space="preserve">clamé en décembre 1067. La suite est exacte. Romain fut en 1071 renversé et mis à mort par Michel VII Doucas ; celui-ci fut détrôné à son tour, en 1078, par Nicéphore III Botoniate (le </w:t>
      </w:r>
      <w:r w:rsidRPr="003B3476">
        <w:rPr>
          <w:rStyle w:val="Notedebasdepage8ptItaliqueEspacement0pt"/>
          <w:b w:val="0"/>
          <w:sz w:val="24"/>
        </w:rPr>
        <w:t xml:space="preserve">Butiniacm </w:t>
      </w:r>
      <w:r w:rsidRPr="003B3476">
        <w:rPr>
          <w:lang w:val="fr-FR" w:eastAsia="fr-FR" w:bidi="fr-FR"/>
        </w:rPr>
        <w:t xml:space="preserve">d’Osbert) qui lui-même en 1081 succomba devant le </w:t>
      </w:r>
      <w:r w:rsidRPr="003B3476">
        <w:rPr>
          <w:rStyle w:val="Notedebasdepage8ptItaliqueEspacement0pt"/>
          <w:b w:val="0"/>
          <w:sz w:val="24"/>
        </w:rPr>
        <w:t>pronunciamiento</w:t>
      </w:r>
      <w:r w:rsidRPr="003B3476">
        <w:rPr>
          <w:bCs/>
        </w:rPr>
        <w:t xml:space="preserve"> </w:t>
      </w:r>
      <w:r w:rsidRPr="003B3476">
        <w:rPr>
          <w:lang w:val="fr-FR" w:eastAsia="fr-FR" w:bidi="fr-FR"/>
        </w:rPr>
        <w:t>dirigé par Alexis Comnène.</w:t>
      </w:r>
    </w:p>
  </w:footnote>
  <w:footnote w:id="1321">
    <w:p w14:paraId="15EF618E"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rStyle w:val="Notedebasdepage875ptNonItaliqueEspacement0pt"/>
          <w:b w:val="0"/>
          <w:i w:val="0"/>
          <w:iCs w:val="0"/>
          <w:sz w:val="24"/>
        </w:rPr>
        <w:t xml:space="preserve">monarchos L ; </w:t>
      </w:r>
      <w:r w:rsidRPr="003B3476">
        <w:rPr>
          <w:i/>
          <w:lang w:val="fr-FR" w:eastAsia="fr-FR" w:bidi="fr-FR"/>
        </w:rPr>
        <w:t>la phrase manque dans</w:t>
      </w:r>
      <w:r w:rsidRPr="003B3476">
        <w:rPr>
          <w:rStyle w:val="Notedebasdepage87ptNonItaliqueEspacement0pt"/>
          <w:b w:val="0"/>
          <w:i w:val="0"/>
          <w:iCs w:val="0"/>
          <w:sz w:val="24"/>
        </w:rPr>
        <w:t xml:space="preserve"> </w:t>
      </w:r>
      <w:r w:rsidRPr="003B3476">
        <w:rPr>
          <w:rStyle w:val="Notedebasdepage875ptNonItaliqueEspacement0pt"/>
          <w:b w:val="0"/>
          <w:i w:val="0"/>
          <w:iCs w:val="0"/>
          <w:sz w:val="24"/>
        </w:rPr>
        <w:t>C.</w:t>
      </w:r>
    </w:p>
  </w:footnote>
  <w:footnote w:id="1322">
    <w:p w14:paraId="1B7E439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La très curieuse vision d’Édouard contemplant le sommeil des Sept Dormants ne se rencontre pas chez le Biographe, tel que nous le lisons aujourd’hui ; il ne s’agit peut-être que d’une lacune du manuscrit. Guillaume de Malmesbury au contraire la donne, au § 225 des </w:t>
      </w:r>
      <w:r w:rsidRPr="003B3476">
        <w:rPr>
          <w:i/>
          <w:lang w:val="fr-FR" w:eastAsia="fr-FR" w:bidi="fr-FR"/>
        </w:rPr>
        <w:t>Gesta regum</w:t>
      </w:r>
      <w:r w:rsidRPr="003B3476">
        <w:rPr>
          <w:lang w:val="fr-FR" w:eastAsia="fr-FR" w:bidi="fr-FR"/>
        </w:rPr>
        <w:t>. Osbert la puisa-t-il chez Gui</w:t>
      </w:r>
      <w:r w:rsidRPr="003B3476">
        <w:rPr>
          <w:lang w:val="fr-FR" w:eastAsia="fr-FR" w:bidi="fr-FR"/>
        </w:rPr>
        <w:t>l</w:t>
      </w:r>
      <w:r w:rsidRPr="003B3476">
        <w:rPr>
          <w:lang w:val="fr-FR" w:eastAsia="fr-FR" w:bidi="fr-FR"/>
        </w:rPr>
        <w:t xml:space="preserve">laume, chez le Biographe, dont il connaissait sans doute le texte intégral, ou dans le recueil de miracles qui fut vraisemblablement la source commune et de Guillaume et du Biographe ? C’est ce qu’il est impossible de savoir. </w:t>
      </w:r>
      <w:r w:rsidRPr="003B3476">
        <w:rPr>
          <w:bCs/>
          <w:i/>
        </w:rPr>
        <w:t>Cf.</w:t>
      </w:r>
      <w:r w:rsidRPr="003B3476">
        <w:rPr>
          <w:bCs/>
        </w:rPr>
        <w:t xml:space="preserve"> </w:t>
      </w:r>
      <w:r w:rsidRPr="003B3476">
        <w:rPr>
          <w:bCs/>
          <w:i/>
        </w:rPr>
        <w:t>supra</w:t>
      </w:r>
      <w:r w:rsidRPr="003B3476">
        <w:rPr>
          <w:lang w:val="fr-FR" w:eastAsia="fr-FR" w:bidi="fr-FR"/>
        </w:rPr>
        <w:t xml:space="preserve">, p. 966, n. 4. Je ne sais pas à quoi correspond le chiffre de 74 ans, qui représente, chez Osbert comme chez Guillaume de Malmesbury, le temps pendant lequel les Dormants reposeront sur le côté gauche, — le temps par conséquent pendant lequel des malheurs sans nombre fondront sur l’humanité. Une vision analogue à celle de saint Édouard est (comme l’ont relevé, mais sans donner de référence exacte, Koch et Huber) attribuée à un roi de Hongrie « qui n’avait jamais ri » par un chroniqueur italien de la fin du </w:t>
      </w:r>
      <w:r w:rsidRPr="003B3476">
        <w:rPr>
          <w:caps/>
          <w:lang w:val="fr-FR" w:eastAsia="fr-FR" w:bidi="fr-FR"/>
        </w:rPr>
        <w:t>xiv</w:t>
      </w:r>
      <w:r w:rsidRPr="003B3476">
        <w:rPr>
          <w:vertAlign w:val="superscript"/>
          <w:lang w:val="fr-FR" w:eastAsia="fr-FR" w:bidi="fr-FR"/>
        </w:rPr>
        <w:t>e</w:t>
      </w:r>
      <w:r w:rsidRPr="003B3476">
        <w:rPr>
          <w:lang w:val="fr-FR" w:eastAsia="fr-FR" w:bidi="fr-FR"/>
        </w:rPr>
        <w:t xml:space="preserve"> siècle, Amaretto Mannelli </w:t>
      </w:r>
      <w:r w:rsidRPr="003B3476">
        <w:rPr>
          <w:bCs/>
        </w:rPr>
        <w:t>(</w:t>
      </w:r>
      <w:r w:rsidRPr="003B3476">
        <w:rPr>
          <w:bCs/>
          <w:i/>
        </w:rPr>
        <w:t>Chronichette antiche</w:t>
      </w:r>
      <w:r w:rsidRPr="003B3476">
        <w:rPr>
          <w:lang w:val="fr-FR" w:eastAsia="fr-FR" w:bidi="fr-FR"/>
        </w:rPr>
        <w:t xml:space="preserve">, éd. </w:t>
      </w:r>
      <w:r w:rsidRPr="003B3476">
        <w:rPr>
          <w:rStyle w:val="Notedebasdepage65ptPetitesmajuscules"/>
          <w:b w:val="0"/>
          <w:sz w:val="24"/>
        </w:rPr>
        <w:t xml:space="preserve">D. M. Manni, </w:t>
      </w:r>
      <w:r w:rsidRPr="003B3476">
        <w:rPr>
          <w:lang w:val="fr-FR" w:eastAsia="fr-FR" w:bidi="fr-FR"/>
        </w:rPr>
        <w:t xml:space="preserve">Florence, 1733, p. 122). Il est vraisemblable qu’une Vie de saint Édouard était tombée entre les mains du Florentin. </w:t>
      </w:r>
      <w:r w:rsidRPr="003B3476">
        <w:rPr>
          <w:bCs/>
          <w:smallCaps/>
        </w:rPr>
        <w:t>Ailred</w:t>
      </w:r>
      <w:r w:rsidRPr="003B3476">
        <w:rPr>
          <w:bCs/>
        </w:rPr>
        <w:t xml:space="preserve">, </w:t>
      </w:r>
      <w:r w:rsidRPr="003B3476">
        <w:rPr>
          <w:lang w:val="fr-FR" w:eastAsia="fr-FR" w:bidi="fr-FR"/>
        </w:rPr>
        <w:t>col. 395.</w:t>
      </w:r>
    </w:p>
  </w:footnote>
  <w:footnote w:id="1323">
    <w:p w14:paraId="55F43B9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AILRED, col. 398.</w:t>
      </w:r>
    </w:p>
  </w:footnote>
  <w:footnote w:id="1324">
    <w:p w14:paraId="159E149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eastAsia="fr-FR" w:bidi="fr-FR"/>
        </w:rPr>
        <w:t>28 décembre 1065.</w:t>
      </w:r>
    </w:p>
  </w:footnote>
  <w:footnote w:id="1325">
    <w:p w14:paraId="6C891323"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Psalm.</w:t>
      </w:r>
      <w:r w:rsidRPr="003B3476">
        <w:rPr>
          <w:lang w:val="fr-FR" w:eastAsia="fr-FR" w:bidi="fr-FR"/>
        </w:rPr>
        <w:t xml:space="preserve"> XLIV, 10.</w:t>
      </w:r>
    </w:p>
  </w:footnote>
  <w:footnote w:id="1326">
    <w:p w14:paraId="61B0129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Num</w:t>
      </w:r>
      <w:r w:rsidRPr="003B3476">
        <w:rPr>
          <w:bCs/>
        </w:rPr>
        <w:t>.</w:t>
      </w:r>
      <w:r w:rsidRPr="003B3476">
        <w:rPr>
          <w:lang w:val="fr-FR" w:eastAsia="fr-FR" w:bidi="fr-FR"/>
        </w:rPr>
        <w:t xml:space="preserve"> XII, 1.</w:t>
      </w:r>
    </w:p>
  </w:footnote>
  <w:footnote w:id="1327">
    <w:p w14:paraId="3AC5DB7C"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exitum cessum L.</w:t>
      </w:r>
    </w:p>
  </w:footnote>
  <w:footnote w:id="1328">
    <w:p w14:paraId="5381F977"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Sur ce personnage, dont la présence au lit de mort de saint Édouard est égal</w:t>
      </w:r>
      <w:r w:rsidRPr="003B3476">
        <w:rPr>
          <w:lang w:val="fr-FR" w:eastAsia="fr-FR" w:bidi="fr-FR"/>
        </w:rPr>
        <w:t>e</w:t>
      </w:r>
      <w:r w:rsidRPr="003B3476">
        <w:rPr>
          <w:lang w:val="fr-FR" w:eastAsia="fr-FR" w:bidi="fr-FR"/>
        </w:rPr>
        <w:t xml:space="preserve">ment attestée par le Biographe, voir en dernier lieu J. H. </w:t>
      </w:r>
      <w:r w:rsidRPr="003B3476">
        <w:rPr>
          <w:rStyle w:val="Notedebasdepage65ptPetitesmajuscules"/>
          <w:b w:val="0"/>
          <w:sz w:val="24"/>
        </w:rPr>
        <w:t xml:space="preserve">Round, </w:t>
      </w:r>
      <w:r w:rsidRPr="003B3476">
        <w:rPr>
          <w:rStyle w:val="Notedebasdepage8ptItaliqueEspacement0pt"/>
          <w:b w:val="0"/>
          <w:sz w:val="24"/>
        </w:rPr>
        <w:t>Feudal E</w:t>
      </w:r>
      <w:r w:rsidRPr="003B3476">
        <w:rPr>
          <w:rStyle w:val="Notedebasdepage8ptItaliqueEspacement0pt"/>
          <w:b w:val="0"/>
          <w:sz w:val="24"/>
        </w:rPr>
        <w:t>n</w:t>
      </w:r>
      <w:r w:rsidRPr="003B3476">
        <w:rPr>
          <w:rStyle w:val="Notedebasdepage8ptItaliqueEspacement0pt"/>
          <w:b w:val="0"/>
          <w:sz w:val="24"/>
        </w:rPr>
        <w:t>gland</w:t>
      </w:r>
      <w:r w:rsidRPr="003B3476">
        <w:rPr>
          <w:bCs/>
        </w:rPr>
        <w:t xml:space="preserve"> </w:t>
      </w:r>
      <w:r w:rsidRPr="003B3476">
        <w:rPr>
          <w:lang w:val="fr-FR" w:eastAsia="fr-FR" w:bidi="fr-FR"/>
        </w:rPr>
        <w:t>(Londres, 1895), p. 331. Il y a divergence sur son titre entre le Biogr</w:t>
      </w:r>
      <w:r w:rsidRPr="003B3476">
        <w:rPr>
          <w:lang w:val="fr-FR" w:eastAsia="fr-FR" w:bidi="fr-FR"/>
        </w:rPr>
        <w:t>a</w:t>
      </w:r>
      <w:r w:rsidRPr="003B3476">
        <w:rPr>
          <w:lang w:val="fr-FR" w:eastAsia="fr-FR" w:bidi="fr-FR"/>
        </w:rPr>
        <w:t xml:space="preserve">phe qui l’appelle </w:t>
      </w:r>
      <w:r w:rsidRPr="003B3476">
        <w:rPr>
          <w:rStyle w:val="Notedebasdepage8ptItaliqueEspacement0pt"/>
          <w:b w:val="0"/>
          <w:sz w:val="24"/>
        </w:rPr>
        <w:t xml:space="preserve">regalis palatii stabilitor </w:t>
      </w:r>
      <w:r w:rsidRPr="003B3476">
        <w:rPr>
          <w:lang w:val="fr-FR" w:eastAsia="fr-FR" w:bidi="fr-FR"/>
        </w:rPr>
        <w:t xml:space="preserve">(p. 431), c’est-à-dire </w:t>
      </w:r>
      <w:r w:rsidRPr="003B3476">
        <w:rPr>
          <w:rStyle w:val="Notedebasdepage8ptItaliqueEspacement0pt"/>
          <w:b w:val="0"/>
          <w:sz w:val="24"/>
        </w:rPr>
        <w:t>staller,</w:t>
      </w:r>
      <w:r w:rsidRPr="003B3476">
        <w:rPr>
          <w:bCs/>
        </w:rPr>
        <w:t xml:space="preserve"> </w:t>
      </w:r>
      <w:r w:rsidRPr="003B3476">
        <w:rPr>
          <w:lang w:val="fr-FR" w:eastAsia="fr-FR" w:bidi="fr-FR"/>
        </w:rPr>
        <w:t xml:space="preserve">garde des écuries, et Osbert qui lui attribue le rang plus relevé de connétable. Ailred (col. 400) préfère l’expression classique et vague : </w:t>
      </w:r>
      <w:r w:rsidRPr="003B3476">
        <w:rPr>
          <w:rStyle w:val="Notedebasdepage8ptItaliqueEspacement0pt"/>
          <w:b w:val="0"/>
          <w:sz w:val="24"/>
        </w:rPr>
        <w:t>sacri custos pal</w:t>
      </w:r>
      <w:r w:rsidRPr="003B3476">
        <w:rPr>
          <w:rStyle w:val="Notedebasdepage8ptItaliqueEspacement0pt"/>
          <w:b w:val="0"/>
          <w:sz w:val="24"/>
        </w:rPr>
        <w:t>a</w:t>
      </w:r>
      <w:r w:rsidRPr="003B3476">
        <w:rPr>
          <w:rStyle w:val="Notedebasdepage8ptItaliqueEspacement0pt"/>
          <w:b w:val="0"/>
          <w:sz w:val="24"/>
        </w:rPr>
        <w:t>tii.</w:t>
      </w:r>
      <w:r w:rsidRPr="003B3476">
        <w:rPr>
          <w:bCs/>
        </w:rPr>
        <w:t xml:space="preserve"> </w:t>
      </w:r>
      <w:r w:rsidRPr="003B3476">
        <w:rPr>
          <w:lang w:val="fr-FR" w:eastAsia="fr-FR" w:bidi="fr-FR"/>
        </w:rPr>
        <w:t xml:space="preserve">Sur les officiers de la cour de saint Édouard, </w:t>
      </w:r>
      <w:r w:rsidRPr="003B3476">
        <w:rPr>
          <w:rStyle w:val="Notedebasdepage8ptItaliqueEspacement0pt"/>
          <w:b w:val="0"/>
          <w:sz w:val="24"/>
        </w:rPr>
        <w:t>cf.</w:t>
      </w:r>
      <w:r w:rsidRPr="003B3476">
        <w:rPr>
          <w:bCs/>
        </w:rPr>
        <w:t xml:space="preserve"> </w:t>
      </w:r>
      <w:r w:rsidRPr="003B3476">
        <w:rPr>
          <w:lang w:val="fr-FR" w:eastAsia="fr-FR" w:bidi="fr-FR"/>
        </w:rPr>
        <w:t xml:space="preserve">J. H. </w:t>
      </w:r>
      <w:r w:rsidRPr="003B3476">
        <w:rPr>
          <w:rStyle w:val="Notedebasdepage65ptPetitesmajuscules"/>
          <w:b w:val="0"/>
          <w:sz w:val="24"/>
        </w:rPr>
        <w:t xml:space="preserve">Round, </w:t>
      </w:r>
      <w:r w:rsidRPr="003B3476">
        <w:rPr>
          <w:rStyle w:val="Notedebasdepage8ptItaliqueEspacement0pt"/>
          <w:b w:val="0"/>
          <w:sz w:val="24"/>
        </w:rPr>
        <w:t>English Historical Review</w:t>
      </w:r>
      <w:r w:rsidRPr="003B3476">
        <w:rPr>
          <w:lang w:val="fr-FR" w:eastAsia="fr-FR" w:bidi="fr-FR"/>
        </w:rPr>
        <w:t>, 1904, p. 90.</w:t>
      </w:r>
    </w:p>
  </w:footnote>
  <w:footnote w:id="1329">
    <w:p w14:paraId="3C4C26C4"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adimaverteret L. </w:t>
      </w:r>
    </w:p>
  </w:footnote>
  <w:footnote w:id="1330">
    <w:p w14:paraId="5078138E"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fratris L. </w:t>
      </w:r>
    </w:p>
  </w:footnote>
  <w:footnote w:id="1331">
    <w:p w14:paraId="29930D12"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exasperatur L. </w:t>
      </w:r>
    </w:p>
  </w:footnote>
  <w:footnote w:id="1332">
    <w:p w14:paraId="09694741"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rStyle w:val="Notedebasdepage8ptItaliqueEspacement0pt"/>
          <w:b w:val="0"/>
          <w:sz w:val="24"/>
        </w:rPr>
        <w:t>Le scribe de</w:t>
      </w:r>
      <w:r w:rsidRPr="003B3476">
        <w:rPr>
          <w:bCs/>
        </w:rPr>
        <w:t xml:space="preserve"> </w:t>
      </w:r>
      <w:r w:rsidRPr="003B3476">
        <w:rPr>
          <w:lang w:val="fr-FR" w:eastAsia="fr-FR" w:bidi="fr-FR"/>
        </w:rPr>
        <w:t xml:space="preserve">L </w:t>
      </w:r>
      <w:r w:rsidRPr="003B3476">
        <w:rPr>
          <w:rStyle w:val="Notedebasdepage8ptItaliqueEspacement0pt"/>
          <w:b w:val="0"/>
          <w:sz w:val="24"/>
        </w:rPr>
        <w:t>avait d’abord écrit</w:t>
      </w:r>
      <w:r w:rsidRPr="003B3476">
        <w:rPr>
          <w:bCs/>
        </w:rPr>
        <w:t xml:space="preserve"> </w:t>
      </w:r>
      <w:r w:rsidRPr="003B3476">
        <w:rPr>
          <w:lang w:val="fr-FR" w:eastAsia="fr-FR" w:bidi="fr-FR"/>
        </w:rPr>
        <w:t xml:space="preserve">ambularent, </w:t>
      </w:r>
      <w:r w:rsidRPr="003B3476">
        <w:rPr>
          <w:rStyle w:val="Notedebasdepage8ptItaliqueEspacement0pt"/>
          <w:b w:val="0"/>
          <w:sz w:val="24"/>
        </w:rPr>
        <w:t>corrigé ensuite en</w:t>
      </w:r>
      <w:r w:rsidRPr="003B3476">
        <w:rPr>
          <w:bCs/>
        </w:rPr>
        <w:t xml:space="preserve"> </w:t>
      </w:r>
      <w:r w:rsidRPr="003B3476">
        <w:rPr>
          <w:lang w:val="fr-FR" w:eastAsia="fr-FR" w:bidi="fr-FR"/>
        </w:rPr>
        <w:t>anel</w:t>
      </w:r>
      <w:r w:rsidRPr="003B3476">
        <w:rPr>
          <w:lang w:val="fr-FR" w:eastAsia="fr-FR" w:bidi="fr-FR"/>
        </w:rPr>
        <w:t>a</w:t>
      </w:r>
      <w:r w:rsidRPr="003B3476">
        <w:rPr>
          <w:lang w:val="fr-FR" w:eastAsia="fr-FR" w:bidi="fr-FR"/>
        </w:rPr>
        <w:t xml:space="preserve">rent ; </w:t>
      </w:r>
      <w:r w:rsidRPr="003B3476">
        <w:rPr>
          <w:rStyle w:val="Notedebasdepage8ptItaliqueEspacement0pt"/>
          <w:b w:val="0"/>
          <w:sz w:val="24"/>
        </w:rPr>
        <w:t>manque dans</w:t>
      </w:r>
      <w:r w:rsidRPr="003B3476">
        <w:rPr>
          <w:bCs/>
        </w:rPr>
        <w:t xml:space="preserve"> </w:t>
      </w:r>
      <w:r w:rsidRPr="003B3476">
        <w:rPr>
          <w:lang w:val="fr-FR" w:eastAsia="fr-FR" w:bidi="fr-FR"/>
        </w:rPr>
        <w:t>C.</w:t>
      </w:r>
    </w:p>
  </w:footnote>
  <w:footnote w:id="1333">
    <w:p w14:paraId="26DF48AE"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la célèbre prophétie d’Ëdouard mourant, voir </w:t>
      </w:r>
      <w:r w:rsidRPr="003B3476">
        <w:rPr>
          <w:i/>
          <w:lang w:val="fr-FR" w:eastAsia="fr-FR" w:bidi="fr-FR"/>
        </w:rPr>
        <w:t>supra</w:t>
      </w:r>
      <w:r w:rsidRPr="003B3476">
        <w:rPr>
          <w:lang w:val="fr-FR" w:eastAsia="fr-FR" w:bidi="fr-FR"/>
        </w:rPr>
        <w:t>, p. 957-967.</w:t>
      </w:r>
    </w:p>
  </w:footnote>
  <w:footnote w:id="1334">
    <w:p w14:paraId="5EF3FA4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Psalm</w:t>
      </w:r>
      <w:r w:rsidRPr="003B3476">
        <w:rPr>
          <w:bCs/>
        </w:rPr>
        <w:t>.</w:t>
      </w:r>
      <w:r w:rsidRPr="003B3476">
        <w:rPr>
          <w:lang w:val="fr-FR" w:eastAsia="fr-FR" w:bidi="fr-FR"/>
        </w:rPr>
        <w:t xml:space="preserve"> CXVII, 17.</w:t>
      </w:r>
    </w:p>
  </w:footnote>
  <w:footnote w:id="1335">
    <w:p w14:paraId="50D633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4 janvier 1066. Telle est également la date donnée par le Biographe, p. 434,1.1584. Au contraire les chroniques d’Abingdon et d’Evesham parlent de la douzième « </w:t>
      </w:r>
      <w:r w:rsidRPr="00270165">
        <w:rPr>
          <w:lang w:val="fr-FR" w:eastAsia="fr-FR" w:bidi="fr-FR"/>
        </w:rPr>
        <w:t xml:space="preserve">veille » après Noël, c’est-à-dire le 5 janvier </w:t>
      </w:r>
      <w:r w:rsidRPr="00270165">
        <w:rPr>
          <w:bCs/>
        </w:rPr>
        <w:t>(</w:t>
      </w:r>
      <w:r w:rsidRPr="00270165">
        <w:rPr>
          <w:bCs/>
          <w:i/>
        </w:rPr>
        <w:t>Two Saxon ehronicles</w:t>
      </w:r>
      <w:r w:rsidRPr="00270165">
        <w:rPr>
          <w:bCs/>
        </w:rPr>
        <w:t>,</w:t>
      </w:r>
      <w:r w:rsidRPr="00270165">
        <w:rPr>
          <w:lang w:val="fr-FR" w:eastAsia="fr-FR" w:bidi="fr-FR"/>
        </w:rPr>
        <w:t xml:space="preserve"> t. I, p. 192 et 193) ; et leur témoignage concorde avec celui de Fl</w:t>
      </w:r>
      <w:r w:rsidRPr="00270165">
        <w:rPr>
          <w:lang w:val="fr-FR" w:eastAsia="fr-FR" w:bidi="fr-FR"/>
        </w:rPr>
        <w:t>o</w:t>
      </w:r>
      <w:r w:rsidRPr="00270165">
        <w:rPr>
          <w:lang w:val="fr-FR" w:eastAsia="fr-FR" w:bidi="fr-FR"/>
        </w:rPr>
        <w:t xml:space="preserve">rence de Worcester (éd. </w:t>
      </w:r>
      <w:r w:rsidRPr="00270165">
        <w:rPr>
          <w:rStyle w:val="Notedebasdepage65ptPetitesmajuscules"/>
          <w:b w:val="0"/>
          <w:sz w:val="24"/>
        </w:rPr>
        <w:t xml:space="preserve">Thorpe, </w:t>
      </w:r>
      <w:r w:rsidRPr="00270165">
        <w:rPr>
          <w:bCs/>
          <w:i/>
        </w:rPr>
        <w:t>Engl. Historical</w:t>
      </w:r>
      <w:r w:rsidRPr="003B3476">
        <w:rPr>
          <w:bCs/>
          <w:i/>
        </w:rPr>
        <w:t xml:space="preserve"> Society</w:t>
      </w:r>
      <w:r w:rsidRPr="003B3476">
        <w:rPr>
          <w:lang w:val="fr-FR" w:eastAsia="fr-FR" w:bidi="fr-FR"/>
        </w:rPr>
        <w:t>, t. I, p. 224) qui, employant un autre procédé de datation (la veille de l’Épiphanie), reporte lui au</w:t>
      </w:r>
      <w:r w:rsidRPr="003B3476">
        <w:rPr>
          <w:lang w:val="fr-FR" w:eastAsia="fr-FR" w:bidi="fr-FR"/>
        </w:rPr>
        <w:t>s</w:t>
      </w:r>
      <w:r w:rsidRPr="003B3476">
        <w:rPr>
          <w:lang w:val="fr-FR" w:eastAsia="fr-FR" w:bidi="fr-FR"/>
        </w:rPr>
        <w:t xml:space="preserve">si l’événement au 5 janvier et ajoute même, ce qui est exact, que le 5, cette année-là, tomba un jeudi. Siméon de Durham, </w:t>
      </w:r>
      <w:r w:rsidRPr="003B3476">
        <w:rPr>
          <w:bCs/>
          <w:i/>
        </w:rPr>
        <w:t>Ilistoria regum</w:t>
      </w:r>
      <w:r w:rsidRPr="003B3476">
        <w:rPr>
          <w:lang w:val="fr-FR" w:eastAsia="fr-FR" w:bidi="fr-FR"/>
        </w:rPr>
        <w:t xml:space="preserve">, éd. </w:t>
      </w:r>
      <w:r w:rsidRPr="003B3476">
        <w:rPr>
          <w:rStyle w:val="Notedebasdepage65ptPetitesmajuscules"/>
          <w:b w:val="0"/>
        </w:rPr>
        <w:t xml:space="preserve">Arnold </w:t>
      </w:r>
      <w:r w:rsidRPr="003B3476">
        <w:rPr>
          <w:bCs/>
        </w:rPr>
        <w:t>(</w:t>
      </w:r>
      <w:r w:rsidRPr="003B3476">
        <w:rPr>
          <w:bCs/>
          <w:i/>
        </w:rPr>
        <w:t>Rolls Serie</w:t>
      </w:r>
      <w:r w:rsidRPr="003B3476">
        <w:rPr>
          <w:bCs/>
        </w:rPr>
        <w:t>),</w:t>
      </w:r>
      <w:r w:rsidRPr="003B3476">
        <w:rPr>
          <w:lang w:val="fr-FR" w:eastAsia="fr-FR" w:bidi="fr-FR"/>
        </w:rPr>
        <w:t xml:space="preserve"> t. II, p. 179, mélangeant évidemment au récit de Florence un autre r</w:t>
      </w:r>
      <w:r w:rsidRPr="003B3476">
        <w:rPr>
          <w:lang w:val="fr-FR" w:eastAsia="fr-FR" w:bidi="fr-FR"/>
        </w:rPr>
        <w:t>é</w:t>
      </w:r>
      <w:r w:rsidRPr="003B3476">
        <w:rPr>
          <w:lang w:val="fr-FR" w:eastAsia="fr-FR" w:bidi="fr-FR"/>
        </w:rPr>
        <w:t xml:space="preserve">cit, affirme que saint Édouard mourut </w:t>
      </w:r>
      <w:r w:rsidRPr="003B3476">
        <w:rPr>
          <w:bCs/>
          <w:i/>
        </w:rPr>
        <w:t>pridie nonas Ianuarii</w:t>
      </w:r>
      <w:r w:rsidRPr="003B3476">
        <w:rPr>
          <w:i/>
          <w:lang w:val="fr-FR" w:eastAsia="fr-FR" w:bidi="fr-FR"/>
        </w:rPr>
        <w:t xml:space="preserve">, </w:t>
      </w:r>
      <w:r w:rsidRPr="003B3476">
        <w:rPr>
          <w:bCs/>
          <w:i/>
        </w:rPr>
        <w:t>Epiplianiae D</w:t>
      </w:r>
      <w:r w:rsidRPr="003B3476">
        <w:rPr>
          <w:bCs/>
          <w:i/>
        </w:rPr>
        <w:t>o</w:t>
      </w:r>
      <w:r w:rsidRPr="003B3476">
        <w:rPr>
          <w:bCs/>
          <w:i/>
        </w:rPr>
        <w:t>mini vigilia</w:t>
      </w:r>
      <w:r w:rsidRPr="003B3476">
        <w:rPr>
          <w:i/>
          <w:lang w:val="fr-FR" w:eastAsia="fr-FR" w:bidi="fr-FR"/>
        </w:rPr>
        <w:t>,</w:t>
      </w:r>
      <w:r w:rsidRPr="003B3476">
        <w:rPr>
          <w:lang w:val="fr-FR" w:eastAsia="fr-FR" w:bidi="fr-FR"/>
        </w:rPr>
        <w:t xml:space="preserve"> ce qui est absurdement contradictoire. Quant à Ailred de de Ri</w:t>
      </w:r>
      <w:r w:rsidRPr="003B3476">
        <w:rPr>
          <w:lang w:val="fr-FR" w:eastAsia="fr-FR" w:bidi="fr-FR"/>
        </w:rPr>
        <w:t>e</w:t>
      </w:r>
      <w:r w:rsidRPr="003B3476">
        <w:rPr>
          <w:lang w:val="fr-FR" w:eastAsia="fr-FR" w:bidi="fr-FR"/>
        </w:rPr>
        <w:t xml:space="preserve">vaulx, dans sa Vie de saint Édouard, où il suit Osbert, il indique le 4 janvier (col. 402) et dans un autre de ses ouvrages, la </w:t>
      </w:r>
      <w:r w:rsidRPr="003B3476">
        <w:rPr>
          <w:bCs/>
          <w:i/>
        </w:rPr>
        <w:t>Genealogia regum</w:t>
      </w:r>
      <w:r w:rsidRPr="003B3476">
        <w:rPr>
          <w:lang w:val="fr-FR" w:eastAsia="fr-FR" w:bidi="fr-FR"/>
        </w:rPr>
        <w:t xml:space="preserve"> (éd. </w:t>
      </w:r>
      <w:r w:rsidRPr="003B3476">
        <w:rPr>
          <w:rStyle w:val="Notedebasdepage65ptPetitesmajuscules"/>
          <w:b w:val="0"/>
        </w:rPr>
        <w:t xml:space="preserve">Twysden), </w:t>
      </w:r>
      <w:r w:rsidRPr="003B3476">
        <w:rPr>
          <w:lang w:val="fr-FR" w:eastAsia="fr-FR" w:bidi="fr-FR"/>
        </w:rPr>
        <w:t>col. 366), empruntant sans doute ses renseignements à une autre source, il i</w:t>
      </w:r>
      <w:r w:rsidRPr="003B3476">
        <w:rPr>
          <w:lang w:val="fr-FR" w:eastAsia="fr-FR" w:bidi="fr-FR"/>
        </w:rPr>
        <w:t>n</w:t>
      </w:r>
      <w:r w:rsidRPr="003B3476">
        <w:rPr>
          <w:lang w:val="fr-FR" w:eastAsia="fr-FR" w:bidi="fr-FR"/>
        </w:rPr>
        <w:t>dique le 5. C’est cette dernière date qu’a adoptée le calendrier liturgique. Ces contradictions sont curieuses ; elles ne paraissent pas avoir jusqu’ici frappé les érudits.</w:t>
      </w:r>
    </w:p>
  </w:footnote>
  <w:footnote w:id="1336">
    <w:p w14:paraId="4485021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Eccli</w:t>
      </w:r>
      <w:r w:rsidRPr="003B3476">
        <w:rPr>
          <w:bCs/>
        </w:rPr>
        <w:t>.</w:t>
      </w:r>
      <w:r w:rsidRPr="003B3476">
        <w:rPr>
          <w:lang w:val="fr-FR" w:eastAsia="fr-FR" w:bidi="fr-FR"/>
        </w:rPr>
        <w:t xml:space="preserve"> XXII, 6.</w:t>
      </w:r>
    </w:p>
  </w:footnote>
  <w:footnote w:id="1337">
    <w:p w14:paraId="3DAEF478"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fraglantia L.</w:t>
      </w:r>
    </w:p>
  </w:footnote>
  <w:footnote w:id="1338">
    <w:p w14:paraId="7BE56294"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Le récit de la mort d’Édouard (c. </w:t>
      </w:r>
      <w:r w:rsidRPr="003B3476">
        <w:rPr>
          <w:smallCaps/>
          <w:lang w:val="fr-FR" w:eastAsia="fr-FR" w:bidi="fr-FR"/>
        </w:rPr>
        <w:t>xxiii</w:t>
      </w:r>
      <w:r w:rsidRPr="003B3476">
        <w:rPr>
          <w:lang w:val="fr-FR" w:eastAsia="fr-FR" w:bidi="fr-FR"/>
        </w:rPr>
        <w:t xml:space="preserve"> et </w:t>
      </w:r>
      <w:r w:rsidRPr="003B3476">
        <w:rPr>
          <w:smallCaps/>
          <w:lang w:val="fr-FR" w:eastAsia="fr-FR" w:bidi="fr-FR"/>
        </w:rPr>
        <w:t>xxiv</w:t>
      </w:r>
      <w:r w:rsidRPr="003B3476">
        <w:rPr>
          <w:lang w:val="fr-FR" w:eastAsia="fr-FR" w:bidi="fr-FR"/>
        </w:rPr>
        <w:t xml:space="preserve">) est très inspiré du Biographe, mais amplifié. </w:t>
      </w:r>
      <w:r w:rsidRPr="003B3476">
        <w:rPr>
          <w:rStyle w:val="Notedebasdepage65ptPetitesmajuscules"/>
          <w:b w:val="0"/>
          <w:sz w:val="24"/>
        </w:rPr>
        <w:t xml:space="preserve">Ailred, </w:t>
      </w:r>
      <w:r w:rsidRPr="003B3476">
        <w:rPr>
          <w:lang w:val="fr-FR" w:eastAsia="fr-FR" w:bidi="fr-FR"/>
        </w:rPr>
        <w:t>col. 40.</w:t>
      </w:r>
    </w:p>
  </w:footnote>
  <w:footnote w:id="1339">
    <w:p w14:paraId="2A03B07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smallCaps/>
        </w:rPr>
        <w:t>Ailred</w:t>
      </w:r>
      <w:r w:rsidRPr="003B3476">
        <w:t>,</w:t>
      </w:r>
      <w:r w:rsidRPr="003B3476">
        <w:rPr>
          <w:lang w:val="fr-FR" w:eastAsia="fr-FR" w:bidi="fr-FR"/>
        </w:rPr>
        <w:t xml:space="preserve"> col. </w:t>
      </w:r>
      <w:r w:rsidRPr="003B3476">
        <w:t>403.</w:t>
      </w:r>
    </w:p>
  </w:footnote>
  <w:footnote w:id="1340">
    <w:p w14:paraId="6A94AF7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Act</w:t>
      </w:r>
      <w:r w:rsidRPr="003B3476">
        <w:rPr>
          <w:bCs/>
        </w:rPr>
        <w:t>.</w:t>
      </w:r>
      <w:r w:rsidRPr="003B3476">
        <w:rPr>
          <w:lang w:val="fr-FR" w:eastAsia="fr-FR" w:bidi="fr-FR"/>
        </w:rPr>
        <w:t xml:space="preserve"> IX, 34.</w:t>
      </w:r>
    </w:p>
  </w:footnote>
  <w:footnote w:id="1341">
    <w:p w14:paraId="651BA4C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Ailred, </w:t>
      </w:r>
      <w:r w:rsidRPr="003B3476">
        <w:rPr>
          <w:lang w:val="fr-FR" w:eastAsia="fr-FR" w:bidi="fr-FR"/>
        </w:rPr>
        <w:t>col. 403.</w:t>
      </w:r>
    </w:p>
  </w:footnote>
  <w:footnote w:id="1342">
    <w:p w14:paraId="708DEDAA"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bCs/>
        </w:rPr>
        <w:t xml:space="preserve">L </w:t>
      </w:r>
      <w:r w:rsidRPr="003B3476">
        <w:rPr>
          <w:i/>
          <w:lang w:val="fr-FR" w:eastAsia="fr-FR" w:bidi="fr-FR"/>
        </w:rPr>
        <w:t>porte en interligne au-dessus de</w:t>
      </w:r>
      <w:r w:rsidRPr="003B3476">
        <w:rPr>
          <w:bCs/>
        </w:rPr>
        <w:t xml:space="preserve"> dapibus : </w:t>
      </w:r>
      <w:r w:rsidRPr="003B3476">
        <w:rPr>
          <w:bCs/>
          <w:i/>
        </w:rPr>
        <w:t xml:space="preserve">cibis, </w:t>
      </w:r>
      <w:r w:rsidRPr="003B3476">
        <w:rPr>
          <w:i/>
          <w:lang w:val="fr-FR" w:eastAsia="fr-FR" w:bidi="fr-FR"/>
        </w:rPr>
        <w:t>qui n'est peut-être qu'une glose ; la phrase manque dans</w:t>
      </w:r>
      <w:r w:rsidRPr="003B3476">
        <w:rPr>
          <w:bCs/>
        </w:rPr>
        <w:t xml:space="preserve"> C.</w:t>
      </w:r>
    </w:p>
  </w:footnote>
  <w:footnote w:id="1343">
    <w:p w14:paraId="0FE37E82"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smallCaps/>
        </w:rPr>
        <w:t>Ailred</w:t>
      </w:r>
      <w:r w:rsidRPr="003B3476">
        <w:rPr>
          <w:bCs/>
        </w:rPr>
        <w:t>,</w:t>
      </w:r>
      <w:r w:rsidRPr="003B3476">
        <w:rPr>
          <w:lang w:val="fr-FR" w:eastAsia="fr-FR" w:bidi="fr-FR"/>
        </w:rPr>
        <w:t xml:space="preserve"> col. 404.</w:t>
      </w:r>
    </w:p>
  </w:footnote>
  <w:footnote w:id="1344">
    <w:p w14:paraId="2578FC59"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 xml:space="preserve">Ebrocensi </w:t>
      </w:r>
      <w:r w:rsidRPr="003B3476">
        <w:rPr>
          <w:bCs/>
        </w:rPr>
        <w:t>L. </w:t>
      </w:r>
    </w:p>
  </w:footnote>
  <w:footnote w:id="1345">
    <w:p w14:paraId="2D75A1DF"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 xml:space="preserve">cui </w:t>
      </w:r>
      <w:r w:rsidRPr="003B3476">
        <w:rPr>
          <w:bCs/>
        </w:rPr>
        <w:t xml:space="preserve">L ; </w:t>
      </w:r>
      <w:r w:rsidRPr="003B3476">
        <w:rPr>
          <w:rStyle w:val="Notedebasdepage8ptItaliqueEspacement0pt"/>
          <w:b w:val="0"/>
          <w:sz w:val="24"/>
        </w:rPr>
        <w:t>manque dans</w:t>
      </w:r>
      <w:r w:rsidRPr="003B3476">
        <w:rPr>
          <w:bCs/>
        </w:rPr>
        <w:t xml:space="preserve"> </w:t>
      </w:r>
      <w:r w:rsidRPr="003B3476">
        <w:rPr>
          <w:lang w:val="fr-FR" w:eastAsia="fr-FR" w:bidi="fr-FR"/>
        </w:rPr>
        <w:t>C. </w:t>
      </w:r>
    </w:p>
  </w:footnote>
  <w:footnote w:id="1346">
    <w:p w14:paraId="14CFC30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cet abbé de Ramsey, on peut consulter une note de </w:t>
      </w:r>
      <w:r w:rsidRPr="003B3476">
        <w:rPr>
          <w:rStyle w:val="Notedebasdepage65ptPetitesmajuscules"/>
          <w:b w:val="0"/>
          <w:sz w:val="24"/>
        </w:rPr>
        <w:t xml:space="preserve">Freeman, </w:t>
      </w:r>
      <w:r w:rsidRPr="003B3476">
        <w:rPr>
          <w:lang w:val="fr-FR" w:eastAsia="fr-FR" w:bidi="fr-FR"/>
        </w:rPr>
        <w:t>t. IV, p. </w:t>
      </w:r>
      <w:r w:rsidRPr="003B3476">
        <w:rPr>
          <w:bCs/>
        </w:rPr>
        <w:t xml:space="preserve">749 </w:t>
      </w:r>
      <w:r w:rsidRPr="003B3476">
        <w:rPr>
          <w:lang w:val="fr-FR" w:eastAsia="fr-FR" w:bidi="fr-FR"/>
        </w:rPr>
        <w:t>et suiv. ; la tradition lui attribuait une vision, qui fut célèbre, touchant l’Immaculée Conception (</w:t>
      </w:r>
      <w:r w:rsidRPr="003B3476">
        <w:rPr>
          <w:i/>
          <w:lang w:val="fr-FR" w:eastAsia="fr-FR" w:bidi="fr-FR"/>
        </w:rPr>
        <w:t>Cf.</w:t>
      </w:r>
      <w:r w:rsidRPr="003B3476">
        <w:rPr>
          <w:lang w:val="fr-FR" w:eastAsia="fr-FR" w:bidi="fr-FR"/>
        </w:rPr>
        <w:t xml:space="preserve"> les travaux cités </w:t>
      </w:r>
      <w:r w:rsidRPr="003B3476">
        <w:rPr>
          <w:rStyle w:val="Notedebasdepage8ptItaliqueEspacement0pt"/>
          <w:b w:val="0"/>
          <w:sz w:val="24"/>
        </w:rPr>
        <w:t>supra</w:t>
      </w:r>
      <w:r w:rsidRPr="003B3476">
        <w:rPr>
          <w:lang w:val="fr-FR" w:eastAsia="fr-FR" w:bidi="fr-FR"/>
        </w:rPr>
        <w:t xml:space="preserve">, p. </w:t>
      </w:r>
      <w:r w:rsidRPr="003B3476">
        <w:rPr>
          <w:bCs/>
        </w:rPr>
        <w:t xml:space="preserve">952, </w:t>
      </w:r>
      <w:r w:rsidRPr="003B3476">
        <w:rPr>
          <w:lang w:val="fr-FR" w:eastAsia="fr-FR" w:bidi="fr-FR"/>
        </w:rPr>
        <w:t xml:space="preserve">n. </w:t>
      </w:r>
      <w:r w:rsidRPr="003B3476">
        <w:rPr>
          <w:bCs/>
        </w:rPr>
        <w:t xml:space="preserve">4 </w:t>
      </w:r>
      <w:r w:rsidRPr="003B3476">
        <w:rPr>
          <w:lang w:val="fr-FR" w:eastAsia="fr-FR" w:bidi="fr-FR"/>
        </w:rPr>
        <w:t xml:space="preserve">et </w:t>
      </w:r>
      <w:r w:rsidRPr="003B3476">
        <w:rPr>
          <w:bCs/>
        </w:rPr>
        <w:t xml:space="preserve">5 ; </w:t>
      </w:r>
      <w:r w:rsidRPr="003B3476">
        <w:rPr>
          <w:lang w:val="fr-FR" w:eastAsia="fr-FR" w:bidi="fr-FR"/>
        </w:rPr>
        <w:t xml:space="preserve">son nom devait être familier </w:t>
      </w:r>
      <w:r w:rsidRPr="003B3476">
        <w:rPr>
          <w:bCs/>
        </w:rPr>
        <w:t xml:space="preserve">à </w:t>
      </w:r>
      <w:r w:rsidRPr="003B3476">
        <w:rPr>
          <w:lang w:val="fr-FR" w:eastAsia="fr-FR" w:bidi="fr-FR"/>
        </w:rPr>
        <w:t>Osbert, ardent champion, comme l’on sait, de cette do</w:t>
      </w:r>
      <w:r w:rsidRPr="003B3476">
        <w:rPr>
          <w:lang w:val="fr-FR" w:eastAsia="fr-FR" w:bidi="fr-FR"/>
        </w:rPr>
        <w:t>c</w:t>
      </w:r>
      <w:r w:rsidRPr="003B3476">
        <w:rPr>
          <w:lang w:val="fr-FR" w:eastAsia="fr-FR" w:bidi="fr-FR"/>
        </w:rPr>
        <w:t>trine.</w:t>
      </w:r>
    </w:p>
  </w:footnote>
  <w:footnote w:id="1347">
    <w:p w14:paraId="017A97C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Il s’agit en réalité du roi de Norvège Harold </w:t>
      </w:r>
      <w:r w:rsidRPr="003B3476">
        <w:rPr>
          <w:rStyle w:val="Notedebasdepage8ptItaliqueEspacement0pt"/>
          <w:b w:val="0"/>
        </w:rPr>
        <w:t>Hardrata</w:t>
      </w:r>
      <w:r w:rsidRPr="003B3476">
        <w:rPr>
          <w:bCs/>
        </w:rPr>
        <w:t xml:space="preserve">, </w:t>
      </w:r>
      <w:r w:rsidRPr="003B3476">
        <w:rPr>
          <w:lang w:val="fr-FR" w:eastAsia="fr-FR" w:bidi="fr-FR"/>
        </w:rPr>
        <w:t xml:space="preserve">« au dur conseil », vaincu par Harold d’Angleterre </w:t>
      </w:r>
      <w:r w:rsidRPr="003B3476">
        <w:rPr>
          <w:bCs/>
        </w:rPr>
        <w:t xml:space="preserve">à </w:t>
      </w:r>
      <w:r w:rsidRPr="003B3476">
        <w:rPr>
          <w:lang w:val="fr-FR" w:eastAsia="fr-FR" w:bidi="fr-FR"/>
        </w:rPr>
        <w:t xml:space="preserve">Stamford Bridge le </w:t>
      </w:r>
      <w:r w:rsidRPr="003B3476">
        <w:rPr>
          <w:bCs/>
        </w:rPr>
        <w:t xml:space="preserve">25 </w:t>
      </w:r>
      <w:r w:rsidRPr="003B3476">
        <w:rPr>
          <w:lang w:val="fr-FR" w:eastAsia="fr-FR" w:bidi="fr-FR"/>
        </w:rPr>
        <w:t xml:space="preserve">septembre </w:t>
      </w:r>
      <w:r w:rsidRPr="003B3476">
        <w:rPr>
          <w:bCs/>
        </w:rPr>
        <w:t>1066 ;</w:t>
      </w:r>
      <w:r w:rsidRPr="003B3476">
        <w:rPr>
          <w:lang w:val="fr-FR" w:eastAsia="fr-FR" w:bidi="fr-FR"/>
        </w:rPr>
        <w:t xml:space="preserve"> il trouva la mort dans sa défaite. Osbert le confond ici avec son prédécesseur Harold </w:t>
      </w:r>
      <w:r w:rsidRPr="003B3476">
        <w:rPr>
          <w:rStyle w:val="Notedebasdepage8ptItaliqueEspacement0pt"/>
          <w:b w:val="0"/>
        </w:rPr>
        <w:t>Ha</w:t>
      </w:r>
      <w:r w:rsidRPr="003B3476">
        <w:rPr>
          <w:rStyle w:val="Notedebasdepage8ptItaliqueEspacement0pt"/>
          <w:b w:val="0"/>
        </w:rPr>
        <w:t>r</w:t>
      </w:r>
      <w:r w:rsidRPr="003B3476">
        <w:rPr>
          <w:rStyle w:val="Notedebasdepage8ptItaliqueEspacement0pt"/>
          <w:b w:val="0"/>
        </w:rPr>
        <w:t>fager,</w:t>
      </w:r>
      <w:r w:rsidRPr="003B3476">
        <w:rPr>
          <w:bCs/>
        </w:rPr>
        <w:t xml:space="preserve"> </w:t>
      </w:r>
      <w:r w:rsidRPr="003B3476">
        <w:rPr>
          <w:lang w:val="fr-FR" w:eastAsia="fr-FR" w:bidi="fr-FR"/>
        </w:rPr>
        <w:t>« aux beaux cheveux », le premier roi de Norvège et un des héros lége</w:t>
      </w:r>
      <w:r w:rsidRPr="003B3476">
        <w:rPr>
          <w:lang w:val="fr-FR" w:eastAsia="fr-FR" w:bidi="fr-FR"/>
        </w:rPr>
        <w:t>n</w:t>
      </w:r>
      <w:r w:rsidRPr="003B3476">
        <w:rPr>
          <w:lang w:val="fr-FR" w:eastAsia="fr-FR" w:bidi="fr-FR"/>
        </w:rPr>
        <w:t xml:space="preserve">daires du Nord ; cette confusion a été souvent commise par les chroniqueurs tant anglais que continentaux. </w:t>
      </w:r>
      <w:r w:rsidRPr="003B3476">
        <w:rPr>
          <w:rStyle w:val="Notedebasdepage8ptItaliqueEspacement0pt"/>
          <w:b w:val="0"/>
        </w:rPr>
        <w:t>Cf. Saxon Chronicles</w:t>
      </w:r>
      <w:r w:rsidRPr="003B3476">
        <w:rPr>
          <w:lang w:val="fr-FR" w:eastAsia="fr-FR" w:bidi="fr-FR"/>
        </w:rPr>
        <w:t>, t. II, p. </w:t>
      </w:r>
      <w:r w:rsidRPr="003B3476">
        <w:rPr>
          <w:bCs/>
        </w:rPr>
        <w:t>256.</w:t>
      </w:r>
    </w:p>
  </w:footnote>
  <w:footnote w:id="1348">
    <w:p w14:paraId="571E514A"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Haraldo L.</w:t>
      </w:r>
    </w:p>
  </w:footnote>
  <w:footnote w:id="1349">
    <w:p w14:paraId="4121581B"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lang w:val="fr-FR" w:eastAsia="fr-FR" w:bidi="fr-FR"/>
        </w:rPr>
        <w:t>o</w:t>
      </w:r>
      <w:r w:rsidRPr="003B3476">
        <w:rPr>
          <w:lang w:val="fr-FR" w:eastAsia="fr-FR" w:bidi="fr-FR"/>
        </w:rPr>
        <w:t>c</w:t>
      </w:r>
      <w:r w:rsidRPr="003B3476">
        <w:rPr>
          <w:lang w:val="fr-FR" w:eastAsia="fr-FR" w:bidi="fr-FR"/>
        </w:rPr>
        <w:t xml:space="preserve">cirsat </w:t>
      </w:r>
      <w:r w:rsidRPr="003B3476">
        <w:rPr>
          <w:bCs/>
        </w:rPr>
        <w:t xml:space="preserve">L ; </w:t>
      </w:r>
      <w:r w:rsidRPr="003B3476">
        <w:rPr>
          <w:rStyle w:val="Notedebasdepage8ptItaliqueEspacement0pt"/>
          <w:b w:val="0"/>
          <w:sz w:val="24"/>
        </w:rPr>
        <w:t>manque dans</w:t>
      </w:r>
      <w:r w:rsidRPr="003B3476">
        <w:rPr>
          <w:bCs/>
        </w:rPr>
        <w:t xml:space="preserve"> </w:t>
      </w:r>
      <w:r w:rsidRPr="003B3476">
        <w:rPr>
          <w:lang w:val="fr-FR" w:eastAsia="fr-FR" w:bidi="fr-FR"/>
        </w:rPr>
        <w:t>C.</w:t>
      </w:r>
    </w:p>
  </w:footnote>
  <w:footnote w:id="1350">
    <w:p w14:paraId="373DC90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rStyle w:val="Notedebasdepage65ptPetitesmajuscules"/>
          <w:b w:val="0"/>
          <w:sz w:val="24"/>
        </w:rPr>
        <w:t xml:space="preserve">Ailred, </w:t>
      </w:r>
      <w:r w:rsidRPr="003B3476">
        <w:rPr>
          <w:lang w:val="fr-FR" w:eastAsia="fr-FR" w:bidi="fr-FR"/>
        </w:rPr>
        <w:t>col. 405.</w:t>
      </w:r>
    </w:p>
  </w:footnote>
  <w:footnote w:id="1351">
    <w:p w14:paraId="58567E8A"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se sepulcro L.</w:t>
      </w:r>
    </w:p>
  </w:footnote>
  <w:footnote w:id="1352">
    <w:p w14:paraId="09416248"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 xml:space="preserve">gloriose L ; </w:t>
      </w:r>
      <w:r w:rsidRPr="003B3476">
        <w:rPr>
          <w:bCs/>
          <w:i/>
        </w:rPr>
        <w:t>la phrase manque dans</w:t>
      </w:r>
      <w:r w:rsidRPr="003B3476">
        <w:rPr>
          <w:lang w:val="fr-FR" w:eastAsia="fr-FR" w:bidi="fr-FR"/>
        </w:rPr>
        <w:t xml:space="preserve"> C.</w:t>
      </w:r>
    </w:p>
  </w:footnote>
  <w:footnote w:id="1353">
    <w:p w14:paraId="2C641815"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w:t>
      </w:r>
      <w:r w:rsidRPr="003B3476">
        <w:rPr>
          <w:bCs/>
          <w:i/>
        </w:rPr>
        <w:t>Prov</w:t>
      </w:r>
      <w:r w:rsidRPr="003B3476">
        <w:rPr>
          <w:bCs/>
        </w:rPr>
        <w:t>.</w:t>
      </w:r>
      <w:r w:rsidRPr="003B3476">
        <w:rPr>
          <w:lang w:val="fr-FR" w:eastAsia="fr-FR" w:bidi="fr-FR"/>
        </w:rPr>
        <w:t xml:space="preserve"> VIII, 34.</w:t>
      </w:r>
    </w:p>
  </w:footnote>
  <w:footnote w:id="1354">
    <w:p w14:paraId="16FCB2C0"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Wirgonensem L.</w:t>
      </w:r>
    </w:p>
  </w:footnote>
  <w:footnote w:id="1355">
    <w:p w14:paraId="77623069"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Job</w:t>
      </w:r>
      <w:r w:rsidRPr="003B3476">
        <w:rPr>
          <w:bCs/>
        </w:rPr>
        <w:t>.</w:t>
      </w:r>
      <w:r w:rsidRPr="003B3476">
        <w:rPr>
          <w:lang w:val="fr-FR" w:eastAsia="fr-FR" w:bidi="fr-FR"/>
        </w:rPr>
        <w:t xml:space="preserve"> I, 1.</w:t>
      </w:r>
    </w:p>
  </w:footnote>
  <w:footnote w:id="1356">
    <w:p w14:paraId="0CE822FC"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Lvc</w:t>
      </w:r>
      <w:r w:rsidRPr="003B3476">
        <w:rPr>
          <w:bCs/>
        </w:rPr>
        <w:t>.</w:t>
      </w:r>
      <w:r w:rsidRPr="003B3476">
        <w:rPr>
          <w:lang w:val="fr-FR" w:eastAsia="fr-FR" w:bidi="fr-FR"/>
        </w:rPr>
        <w:t xml:space="preserve"> I, 6.</w:t>
      </w:r>
    </w:p>
  </w:footnote>
  <w:footnote w:id="1357">
    <w:p w14:paraId="4092D42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Gundulf, évêque de Rochester (1077-1108).</w:t>
      </w:r>
    </w:p>
  </w:footnote>
  <w:footnote w:id="1358">
    <w:p w14:paraId="5BE25F6B"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 xml:space="preserve">uel probauerat </w:t>
      </w:r>
      <w:r w:rsidRPr="003B3476">
        <w:rPr>
          <w:bCs/>
          <w:i/>
        </w:rPr>
        <w:t>donné en interligne par</w:t>
      </w:r>
      <w:r w:rsidRPr="003B3476">
        <w:rPr>
          <w:lang w:val="fr-FR" w:eastAsia="fr-FR" w:bidi="fr-FR"/>
        </w:rPr>
        <w:t xml:space="preserve"> L </w:t>
      </w:r>
      <w:r w:rsidRPr="003B3476">
        <w:rPr>
          <w:bCs/>
          <w:i/>
        </w:rPr>
        <w:t>au-dessus de</w:t>
      </w:r>
      <w:r w:rsidRPr="003B3476">
        <w:rPr>
          <w:lang w:val="fr-FR" w:eastAsia="fr-FR" w:bidi="fr-FR"/>
        </w:rPr>
        <w:t xml:space="preserve"> uiderat ; C </w:t>
      </w:r>
      <w:r w:rsidRPr="003B3476">
        <w:rPr>
          <w:bCs/>
          <w:i/>
        </w:rPr>
        <w:t>donne</w:t>
      </w:r>
      <w:r w:rsidRPr="003B3476">
        <w:rPr>
          <w:i/>
          <w:lang w:val="fr-FR" w:eastAsia="fr-FR" w:bidi="fr-FR"/>
        </w:rPr>
        <w:t xml:space="preserve"> </w:t>
      </w:r>
      <w:r w:rsidRPr="003B3476">
        <w:rPr>
          <w:lang w:val="fr-FR" w:eastAsia="fr-FR" w:bidi="fr-FR"/>
        </w:rPr>
        <w:t>uid</w:t>
      </w:r>
      <w:r w:rsidRPr="003B3476">
        <w:rPr>
          <w:lang w:val="fr-FR" w:eastAsia="fr-FR" w:bidi="fr-FR"/>
        </w:rPr>
        <w:t>e</w:t>
      </w:r>
      <w:r w:rsidRPr="003B3476">
        <w:rPr>
          <w:lang w:val="fr-FR" w:eastAsia="fr-FR" w:bidi="fr-FR"/>
        </w:rPr>
        <w:t>rat. </w:t>
      </w:r>
    </w:p>
  </w:footnote>
  <w:footnote w:id="1359">
    <w:p w14:paraId="167377FF"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 xml:space="preserve">noluit L ; </w:t>
      </w:r>
      <w:r w:rsidRPr="003B3476">
        <w:rPr>
          <w:bCs/>
          <w:i/>
        </w:rPr>
        <w:t>manque dans</w:t>
      </w:r>
      <w:r w:rsidRPr="003B3476">
        <w:rPr>
          <w:lang w:val="fr-FR" w:eastAsia="fr-FR" w:bidi="fr-FR"/>
        </w:rPr>
        <w:t xml:space="preserve"> C.</w:t>
      </w:r>
    </w:p>
  </w:footnote>
  <w:footnote w:id="1360">
    <w:p w14:paraId="66CF293B"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Psalm</w:t>
      </w:r>
      <w:r w:rsidRPr="003B3476">
        <w:rPr>
          <w:bCs/>
        </w:rPr>
        <w:t>.</w:t>
      </w:r>
      <w:r w:rsidRPr="003B3476">
        <w:rPr>
          <w:lang w:val="fr-FR" w:eastAsia="fr-FR" w:bidi="fr-FR"/>
        </w:rPr>
        <w:t xml:space="preserve"> CXLVI, 11.</w:t>
      </w:r>
    </w:p>
  </w:footnote>
  <w:footnote w:id="1361">
    <w:p w14:paraId="346DB418"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Psalm</w:t>
      </w:r>
      <w:r w:rsidRPr="003B3476">
        <w:rPr>
          <w:bCs/>
        </w:rPr>
        <w:t>.</w:t>
      </w:r>
      <w:r w:rsidRPr="003B3476">
        <w:rPr>
          <w:lang w:val="fr-FR" w:eastAsia="fr-FR" w:bidi="fr-FR"/>
        </w:rPr>
        <w:t xml:space="preserve"> XXIII, 4.</w:t>
      </w:r>
    </w:p>
  </w:footnote>
  <w:footnote w:id="1362">
    <w:p w14:paraId="6FA2D9A1"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bCs/>
        </w:rPr>
        <w:t xml:space="preserve">ei L ; </w:t>
      </w:r>
      <w:r w:rsidRPr="003B3476">
        <w:rPr>
          <w:lang w:val="fr-FR" w:eastAsia="fr-FR" w:bidi="fr-FR"/>
        </w:rPr>
        <w:t>la phrase manque dans</w:t>
      </w:r>
      <w:r w:rsidRPr="003B3476">
        <w:rPr>
          <w:rStyle w:val="Notedebasdepage10NonGrasNonItalique"/>
          <w:b w:val="0"/>
          <w:bCs w:val="0"/>
          <w:i w:val="0"/>
          <w:iCs w:val="0"/>
          <w:sz w:val="24"/>
        </w:rPr>
        <w:t xml:space="preserve"> </w:t>
      </w:r>
      <w:r w:rsidRPr="003B3476">
        <w:rPr>
          <w:bCs/>
        </w:rPr>
        <w:t>C.</w:t>
      </w:r>
    </w:p>
  </w:footnote>
  <w:footnote w:id="1363">
    <w:p w14:paraId="5583D851"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Il est certainement exact que S. Wulfstan, évêque de Worcester, faillit être déposé par Lanfranc, le célèbre archevêque de Canterbury, et qu’il fut en fin de compte maintenu sur son siège. </w:t>
      </w:r>
      <w:r w:rsidRPr="003B3476">
        <w:rPr>
          <w:i/>
        </w:rPr>
        <w:t>Cf.</w:t>
      </w:r>
      <w:r w:rsidRPr="003B3476">
        <w:t xml:space="preserve"> Heinrich </w:t>
      </w:r>
      <w:r w:rsidRPr="003B3476">
        <w:rPr>
          <w:smallCaps/>
        </w:rPr>
        <w:t>Böhmer</w:t>
      </w:r>
      <w:r w:rsidRPr="003B3476">
        <w:t xml:space="preserve">, </w:t>
      </w:r>
      <w:r w:rsidRPr="003B3476">
        <w:rPr>
          <w:i/>
        </w:rPr>
        <w:t>Kirche und Staat in England und in der Normandie</w:t>
      </w:r>
      <w:r w:rsidRPr="003B3476">
        <w:t>, p. 88. Quant au miracle accompli en sa faveur sur la tombe de saint Édouard, Osbert est le plus ancien auteur chez qui il se trouve mentionné. Le concile devant lequel comparut saint Wulfstan paraît d’ailleurs s’être tenu non pas à Westminster, mais à Penenden Heath (</w:t>
      </w:r>
      <w:r w:rsidRPr="003B3476">
        <w:rPr>
          <w:i/>
        </w:rPr>
        <w:t>Pedr</w:t>
      </w:r>
      <w:r w:rsidRPr="003B3476">
        <w:rPr>
          <w:i/>
        </w:rPr>
        <w:t>e</w:t>
      </w:r>
      <w:r w:rsidRPr="003B3476">
        <w:rPr>
          <w:i/>
        </w:rPr>
        <w:t>da</w:t>
      </w:r>
      <w:r w:rsidRPr="003B3476">
        <w:t>) dans le comté de Kent, comme le montre la comparaison entre deux pa</w:t>
      </w:r>
      <w:r w:rsidRPr="003B3476">
        <w:t>s</w:t>
      </w:r>
      <w:r w:rsidRPr="003B3476">
        <w:t xml:space="preserve">sages de </w:t>
      </w:r>
      <w:r w:rsidRPr="003B3476">
        <w:rPr>
          <w:smallCaps/>
        </w:rPr>
        <w:t>G. de Malmesbury</w:t>
      </w:r>
      <w:r w:rsidRPr="003B3476">
        <w:t xml:space="preserve">, </w:t>
      </w:r>
      <w:r w:rsidRPr="003B3476">
        <w:rPr>
          <w:i/>
        </w:rPr>
        <w:t>Gesta pontificum</w:t>
      </w:r>
      <w:r w:rsidRPr="003B3476">
        <w:t xml:space="preserve">, § 143, et </w:t>
      </w:r>
      <w:r w:rsidRPr="003B3476">
        <w:rPr>
          <w:i/>
        </w:rPr>
        <w:t>Vita Wulfstani</w:t>
      </w:r>
      <w:r w:rsidRPr="003B3476">
        <w:t xml:space="preserve">, 1. II, </w:t>
      </w:r>
      <w:r w:rsidRPr="003B3476">
        <w:rPr>
          <w:lang w:val="fr-FR" w:eastAsia="fr-FR" w:bidi="fr-FR"/>
        </w:rPr>
        <w:t xml:space="preserve">c. 1 ; </w:t>
      </w:r>
      <w:r w:rsidRPr="003B3476">
        <w:rPr>
          <w:bCs/>
          <w:i/>
        </w:rPr>
        <w:t>cf.</w:t>
      </w:r>
      <w:r w:rsidRPr="003B3476">
        <w:t xml:space="preserve"> </w:t>
      </w:r>
      <w:r w:rsidRPr="003B3476">
        <w:rPr>
          <w:lang w:val="fr-FR" w:eastAsia="fr-FR" w:bidi="fr-FR"/>
        </w:rPr>
        <w:t xml:space="preserve">aussi </w:t>
      </w:r>
      <w:r w:rsidRPr="003B3476">
        <w:rPr>
          <w:rStyle w:val="Notedebasdepage65ptPetitesmajuscules"/>
          <w:b w:val="0"/>
          <w:sz w:val="24"/>
        </w:rPr>
        <w:t xml:space="preserve">Florence de Worcester, </w:t>
      </w:r>
      <w:r w:rsidRPr="003B3476">
        <w:rPr>
          <w:lang w:val="fr-FR" w:eastAsia="fr-FR" w:bidi="fr-FR"/>
        </w:rPr>
        <w:t>t. II, p. 8. On remarquera qu’Osbert considère comme parfaitement légitime qu’un roi donne à un év</w:t>
      </w:r>
      <w:r w:rsidRPr="003B3476">
        <w:rPr>
          <w:lang w:val="fr-FR" w:eastAsia="fr-FR" w:bidi="fr-FR"/>
        </w:rPr>
        <w:t>ê</w:t>
      </w:r>
      <w:r w:rsidRPr="003B3476">
        <w:rPr>
          <w:lang w:val="fr-FR" w:eastAsia="fr-FR" w:bidi="fr-FR"/>
        </w:rPr>
        <w:t xml:space="preserve">que l’investiture par la crosse. </w:t>
      </w:r>
      <w:r w:rsidRPr="003B3476">
        <w:rPr>
          <w:rStyle w:val="Notedebasdepage65ptPetitesmajuscules"/>
          <w:b w:val="0"/>
          <w:sz w:val="24"/>
        </w:rPr>
        <w:t xml:space="preserve">Ailred, </w:t>
      </w:r>
      <w:r w:rsidRPr="003B3476">
        <w:rPr>
          <w:lang w:val="fr-FR" w:eastAsia="fr-FR" w:bidi="fr-FR"/>
        </w:rPr>
        <w:t>col. 405.</w:t>
      </w:r>
    </w:p>
  </w:footnote>
  <w:footnote w:id="1364">
    <w:p w14:paraId="3E0E8BBE"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bCs/>
          <w:smallCaps/>
        </w:rPr>
        <w:t>Ailred</w:t>
      </w:r>
      <w:r w:rsidRPr="003B3476">
        <w:rPr>
          <w:bCs/>
        </w:rPr>
        <w:t>,</w:t>
      </w:r>
      <w:r w:rsidRPr="003B3476">
        <w:rPr>
          <w:lang w:val="fr-FR" w:eastAsia="fr-FR" w:bidi="fr-FR"/>
        </w:rPr>
        <w:t xml:space="preserve"> col. 408.</w:t>
      </w:r>
    </w:p>
  </w:footnote>
  <w:footnote w:id="1365">
    <w:p w14:paraId="4F13DC94"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lang w:val="fr-FR" w:eastAsia="fr-FR" w:bidi="fr-FR"/>
        </w:rPr>
        <w:t xml:space="preserve">Gilbert Crispin, abbé de 1085 environ à 1117 ; M. J. Armitage Robinson lui a consacré une étude biographique citée </w:t>
      </w:r>
      <w:r w:rsidRPr="003B3476">
        <w:rPr>
          <w:bCs/>
          <w:i/>
        </w:rPr>
        <w:t>supra</w:t>
      </w:r>
      <w:r w:rsidRPr="003B3476">
        <w:rPr>
          <w:lang w:val="fr-FR" w:eastAsia="fr-FR" w:bidi="fr-FR"/>
        </w:rPr>
        <w:t>, p. 948, n. 2.</w:t>
      </w:r>
    </w:p>
  </w:footnote>
  <w:footnote w:id="1366">
    <w:p w14:paraId="4801EA77"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Cf. supra,</w:t>
      </w:r>
      <w:r w:rsidRPr="003B3476">
        <w:t xml:space="preserve"> p. 1021, n. 1.</w:t>
      </w:r>
    </w:p>
  </w:footnote>
  <w:footnote w:id="1367">
    <w:p w14:paraId="0C8CA2C3" w14:textId="77777777" w:rsidR="00B9662D" w:rsidRPr="003B3476" w:rsidRDefault="00B9662D">
      <w:pPr>
        <w:pStyle w:val="Notedebasdepage"/>
      </w:pPr>
      <w:r w:rsidRPr="003B3476">
        <w:rPr>
          <w:rStyle w:val="Appelnotedebasdep"/>
        </w:rPr>
        <w:t>d</w:t>
      </w:r>
      <w:r w:rsidRPr="003B3476">
        <w:t xml:space="preserve"> </w:t>
      </w:r>
      <w:r w:rsidRPr="003B3476">
        <w:tab/>
        <w:t>ei L ; la phrase manque dans C.</w:t>
      </w:r>
    </w:p>
  </w:footnote>
  <w:footnote w:id="1368">
    <w:p w14:paraId="0A4CC9EA"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represantabat L.</w:t>
      </w:r>
    </w:p>
  </w:footnote>
  <w:footnote w:id="1369">
    <w:p w14:paraId="3EEADCE4" w14:textId="77777777" w:rsidR="00B9662D" w:rsidRPr="003B3476" w:rsidRDefault="00B9662D">
      <w:pPr>
        <w:pStyle w:val="Notedebasdepage"/>
      </w:pPr>
      <w:r w:rsidRPr="003B3476">
        <w:rPr>
          <w:rStyle w:val="Appelnotedebasdep"/>
        </w:rPr>
        <w:t>b</w:t>
      </w:r>
      <w:r w:rsidRPr="003B3476">
        <w:t xml:space="preserve"> </w:t>
      </w:r>
      <w:r w:rsidRPr="003B3476">
        <w:tab/>
      </w:r>
      <w:r w:rsidRPr="003B3476">
        <w:rPr>
          <w:lang w:val="fr-FR" w:eastAsia="fr-FR" w:bidi="fr-FR"/>
        </w:rPr>
        <w:t xml:space="preserve">auri preciosi L ; </w:t>
      </w:r>
      <w:r w:rsidRPr="003B3476">
        <w:rPr>
          <w:bCs/>
          <w:i/>
        </w:rPr>
        <w:t>manque dans</w:t>
      </w:r>
      <w:r w:rsidRPr="003B3476">
        <w:rPr>
          <w:lang w:val="fr-FR" w:eastAsia="fr-FR" w:bidi="fr-FR"/>
        </w:rPr>
        <w:t xml:space="preserve"> C.</w:t>
      </w:r>
    </w:p>
  </w:footnote>
  <w:footnote w:id="1370">
    <w:p w14:paraId="5328EA39" w14:textId="77777777" w:rsidR="00B9662D" w:rsidRPr="003B3476" w:rsidRDefault="00B9662D">
      <w:pPr>
        <w:pStyle w:val="Notedebasdepage"/>
      </w:pPr>
      <w:r w:rsidRPr="003B3476">
        <w:rPr>
          <w:rStyle w:val="Appelnotedebasdep"/>
        </w:rPr>
        <w:t>c</w:t>
      </w:r>
      <w:r w:rsidRPr="003B3476">
        <w:tab/>
      </w:r>
      <w:r w:rsidRPr="003B3476">
        <w:rPr>
          <w:lang w:val="fr-FR" w:eastAsia="fr-FR" w:bidi="fr-FR"/>
        </w:rPr>
        <w:t>fr</w:t>
      </w:r>
      <w:r w:rsidRPr="003B3476">
        <w:rPr>
          <w:lang w:val="fr-FR" w:eastAsia="fr-FR" w:bidi="fr-FR"/>
        </w:rPr>
        <w:t>a</w:t>
      </w:r>
      <w:r w:rsidRPr="003B3476">
        <w:rPr>
          <w:lang w:val="fr-FR" w:eastAsia="fr-FR" w:bidi="fr-FR"/>
        </w:rPr>
        <w:t>glantia L.</w:t>
      </w:r>
    </w:p>
  </w:footnote>
  <w:footnote w:id="1371">
    <w:p w14:paraId="63AE6CEA"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rStyle w:val="Notedebasdepage8ptItaliqueEspacement0pt"/>
          <w:b w:val="0"/>
        </w:rPr>
        <w:t>Cf.</w:t>
      </w:r>
      <w:r w:rsidRPr="003B3476">
        <w:rPr>
          <w:bCs/>
        </w:rPr>
        <w:t xml:space="preserve"> Horace, </w:t>
      </w:r>
      <w:r w:rsidRPr="003B3476">
        <w:rPr>
          <w:i/>
          <w:lang w:val="fr-FR" w:eastAsia="fr-FR" w:bidi="fr-FR"/>
        </w:rPr>
        <w:t>Odes</w:t>
      </w:r>
      <w:r w:rsidRPr="003B3476">
        <w:rPr>
          <w:lang w:val="fr-FR" w:eastAsia="fr-FR" w:bidi="fr-FR"/>
        </w:rPr>
        <w:t xml:space="preserve">, III, 30, </w:t>
      </w:r>
      <w:r w:rsidRPr="003B3476">
        <w:rPr>
          <w:bCs/>
        </w:rPr>
        <w:t>1 :</w:t>
      </w:r>
      <w:r w:rsidRPr="003B3476">
        <w:rPr>
          <w:lang w:val="fr-FR" w:eastAsia="fr-FR" w:bidi="fr-FR"/>
        </w:rPr>
        <w:t xml:space="preserve"> « Exegi monumentum aere perennius ».</w:t>
      </w:r>
    </w:p>
  </w:footnote>
  <w:footnote w:id="1372">
    <w:p w14:paraId="35952F8A" w14:textId="77777777" w:rsidR="00B9662D" w:rsidRPr="003B3476" w:rsidRDefault="00B9662D">
      <w:pPr>
        <w:pStyle w:val="Notedebasdepage"/>
      </w:pPr>
      <w:r w:rsidRPr="003B3476">
        <w:rPr>
          <w:rStyle w:val="Appelnotedebasdep"/>
        </w:rPr>
        <w:t>d</w:t>
      </w:r>
      <w:r w:rsidRPr="003B3476">
        <w:t xml:space="preserve"> </w:t>
      </w:r>
      <w:r w:rsidRPr="003B3476">
        <w:tab/>
      </w:r>
      <w:r w:rsidRPr="003B3476">
        <w:rPr>
          <w:rStyle w:val="Notedebasdepage875ptNonItaliqueEspacement0pt"/>
          <w:b w:val="0"/>
          <w:i w:val="0"/>
          <w:iCs w:val="0"/>
          <w:sz w:val="24"/>
        </w:rPr>
        <w:t xml:space="preserve">fumulantem L ; </w:t>
      </w:r>
      <w:r w:rsidRPr="003B3476">
        <w:rPr>
          <w:i/>
          <w:lang w:val="fr-FR" w:eastAsia="fr-FR" w:bidi="fr-FR"/>
        </w:rPr>
        <w:t>le passage manque dans</w:t>
      </w:r>
      <w:r w:rsidRPr="003B3476">
        <w:rPr>
          <w:rStyle w:val="Notedebasdepage87ptNonItaliqueEspacement0pt"/>
          <w:b w:val="0"/>
          <w:i w:val="0"/>
          <w:iCs w:val="0"/>
          <w:sz w:val="24"/>
        </w:rPr>
        <w:t xml:space="preserve"> </w:t>
      </w:r>
      <w:r w:rsidRPr="003B3476">
        <w:rPr>
          <w:rStyle w:val="Notedebasdepage875ptNonItaliqueEspacement0pt"/>
          <w:b w:val="0"/>
          <w:i w:val="0"/>
          <w:iCs w:val="0"/>
          <w:sz w:val="24"/>
        </w:rPr>
        <w:t>C. </w:t>
      </w:r>
    </w:p>
  </w:footnote>
  <w:footnote w:id="1373">
    <w:p w14:paraId="374D9581" w14:textId="77777777" w:rsidR="00B9662D" w:rsidRPr="003B3476" w:rsidRDefault="00B9662D">
      <w:pPr>
        <w:pStyle w:val="Notedebasdepage"/>
      </w:pPr>
      <w:r w:rsidRPr="003B3476">
        <w:rPr>
          <w:rStyle w:val="Appelnotedebasdep"/>
        </w:rPr>
        <w:t>e</w:t>
      </w:r>
      <w:r w:rsidRPr="003B3476">
        <w:t xml:space="preserve"> </w:t>
      </w:r>
      <w:r w:rsidRPr="003B3476">
        <w:tab/>
      </w:r>
      <w:r w:rsidRPr="003B3476">
        <w:rPr>
          <w:rStyle w:val="Notedebasdepage875ptNonItaliqueEspacement0pt"/>
          <w:b w:val="0"/>
          <w:i w:val="0"/>
          <w:iCs w:val="0"/>
          <w:sz w:val="24"/>
        </w:rPr>
        <w:t xml:space="preserve">quia L ; </w:t>
      </w:r>
      <w:r w:rsidRPr="003B3476">
        <w:rPr>
          <w:i/>
          <w:lang w:val="fr-FR" w:eastAsia="fr-FR" w:bidi="fr-FR"/>
        </w:rPr>
        <w:t>manque dans</w:t>
      </w:r>
      <w:r w:rsidRPr="003B3476">
        <w:rPr>
          <w:rStyle w:val="Notedebasdepage87ptNonItaliqueEspacement0pt"/>
          <w:b w:val="0"/>
          <w:i w:val="0"/>
          <w:iCs w:val="0"/>
          <w:sz w:val="24"/>
        </w:rPr>
        <w:t xml:space="preserve"> </w:t>
      </w:r>
      <w:r w:rsidRPr="003B3476">
        <w:rPr>
          <w:rStyle w:val="Notedebasdepage875ptNonItaliqueEspacement0pt"/>
          <w:b w:val="0"/>
          <w:i w:val="0"/>
          <w:iCs w:val="0"/>
          <w:sz w:val="24"/>
        </w:rPr>
        <w:t>C.</w:t>
      </w:r>
    </w:p>
  </w:footnote>
  <w:footnote w:id="1374">
    <w:p w14:paraId="366D3D92"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i/>
          <w:lang w:val="fr-FR" w:eastAsia="fr-FR" w:bidi="fr-FR"/>
        </w:rPr>
        <w:t>rubrique d’après la table générale des chapitres fol.</w:t>
      </w:r>
      <w:r w:rsidRPr="003B3476">
        <w:rPr>
          <w:rStyle w:val="Notedebasdepage87ptNonItaliqueEspacement0pt"/>
          <w:b w:val="0"/>
          <w:i w:val="0"/>
          <w:iCs w:val="0"/>
          <w:sz w:val="24"/>
        </w:rPr>
        <w:t xml:space="preserve"> </w:t>
      </w:r>
      <w:r w:rsidRPr="003B3476">
        <w:rPr>
          <w:rStyle w:val="Notedebasdepage875ptNonItaliqueEspacement0pt"/>
          <w:b w:val="0"/>
          <w:i w:val="0"/>
          <w:iCs w:val="0"/>
          <w:sz w:val="24"/>
        </w:rPr>
        <w:t>139</w:t>
      </w:r>
      <w:r w:rsidRPr="003B3476">
        <w:rPr>
          <w:rStyle w:val="Notedebasdepage875ptNonItaliqueEspacement0pt"/>
          <w:b w:val="0"/>
          <w:i w:val="0"/>
          <w:iCs w:val="0"/>
          <w:sz w:val="24"/>
          <w:vertAlign w:val="superscript"/>
        </w:rPr>
        <w:t>vo</w:t>
      </w:r>
      <w:r w:rsidRPr="003B3476">
        <w:rPr>
          <w:rStyle w:val="Notedebasdepage875ptNonItaliqueEspacement0pt"/>
          <w:b w:val="0"/>
          <w:i w:val="0"/>
          <w:iCs w:val="0"/>
          <w:sz w:val="24"/>
        </w:rPr>
        <w:t xml:space="preserve">, </w:t>
      </w:r>
      <w:r w:rsidRPr="003B3476">
        <w:rPr>
          <w:i/>
          <w:lang w:val="fr-FR" w:eastAsia="fr-FR" w:bidi="fr-FR"/>
        </w:rPr>
        <w:t>texte fol</w:t>
      </w:r>
      <w:r w:rsidRPr="003B3476">
        <w:rPr>
          <w:lang w:val="fr-FR" w:eastAsia="fr-FR" w:bidi="fr-FR"/>
        </w:rPr>
        <w:t>.</w:t>
      </w:r>
      <w:r w:rsidRPr="003B3476">
        <w:rPr>
          <w:rStyle w:val="Notedebasdepage87ptNonItaliqueEspacement0pt"/>
          <w:b w:val="0"/>
          <w:i w:val="0"/>
          <w:iCs w:val="0"/>
          <w:sz w:val="24"/>
        </w:rPr>
        <w:t xml:space="preserve"> </w:t>
      </w:r>
      <w:r w:rsidRPr="003B3476">
        <w:rPr>
          <w:rStyle w:val="Notedebasdepage875ptNonItaliqueEspacement0pt"/>
          <w:b w:val="0"/>
          <w:i w:val="0"/>
          <w:iCs w:val="0"/>
          <w:sz w:val="24"/>
        </w:rPr>
        <w:t xml:space="preserve">146 </w:t>
      </w:r>
      <w:r w:rsidRPr="003B3476">
        <w:rPr>
          <w:i/>
          <w:lang w:val="fr-FR" w:eastAsia="fr-FR" w:bidi="fr-FR"/>
        </w:rPr>
        <w:t>et suiv</w:t>
      </w:r>
      <w:r w:rsidRPr="003B3476">
        <w:rPr>
          <w:lang w:val="fr-FR" w:eastAsia="fr-FR" w:bidi="fr-FR"/>
        </w:rPr>
        <w:t>.</w:t>
      </w:r>
    </w:p>
  </w:footnote>
  <w:footnote w:id="1375">
    <w:p w14:paraId="17DFDD5D"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 xml:space="preserve">Sur ces miracles, </w:t>
      </w:r>
      <w:r w:rsidRPr="003B3476">
        <w:rPr>
          <w:rStyle w:val="Notedebasdepage8ptItaliqueEspacement0pt"/>
          <w:b w:val="0"/>
          <w:sz w:val="24"/>
        </w:rPr>
        <w:t>cf.</w:t>
      </w:r>
      <w:r w:rsidRPr="003B3476">
        <w:rPr>
          <w:bCs/>
        </w:rPr>
        <w:t xml:space="preserve"> </w:t>
      </w:r>
      <w:r w:rsidRPr="003B3476">
        <w:rPr>
          <w:lang w:val="fr-FR" w:eastAsia="fr-FR" w:bidi="fr-FR"/>
        </w:rPr>
        <w:t xml:space="preserve">l’Introduction, </w:t>
      </w:r>
      <w:r w:rsidRPr="003B3476">
        <w:rPr>
          <w:rStyle w:val="Notedebasdepage8ptItaliqueEspacement0pt"/>
          <w:b w:val="0"/>
          <w:sz w:val="24"/>
        </w:rPr>
        <w:t>supra</w:t>
      </w:r>
      <w:r w:rsidRPr="003B3476">
        <w:rPr>
          <w:lang w:val="fr-FR" w:eastAsia="fr-FR" w:bidi="fr-FR"/>
        </w:rPr>
        <w:t>, p. 981 et suiv.</w:t>
      </w:r>
    </w:p>
  </w:footnote>
  <w:footnote w:id="1376">
    <w:p w14:paraId="023BEBA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lang w:val="fr-FR" w:eastAsia="fr-FR" w:bidi="fr-FR"/>
        </w:rPr>
        <w:t>Le couvent du Sinaï, fondé par Justinien et qui devint célèbre au Moyen Âge sous le nom de Sainte-Catherine.</w:t>
      </w:r>
    </w:p>
  </w:footnote>
  <w:footnote w:id="1377">
    <w:p w14:paraId="4FCC990C" w14:textId="77777777" w:rsidR="00B9662D" w:rsidRPr="003B3476" w:rsidRDefault="00B9662D" w:rsidP="00B9662D">
      <w:pPr>
        <w:pStyle w:val="Notedebasdepage"/>
      </w:pPr>
      <w:r w:rsidRPr="003B3476">
        <w:rPr>
          <w:rStyle w:val="Appelnotedebasdep"/>
        </w:rPr>
        <w:footnoteRef/>
      </w:r>
      <w:r w:rsidRPr="003B3476">
        <w:t xml:space="preserve"> </w:t>
      </w:r>
      <w:r w:rsidRPr="003B3476">
        <w:tab/>
        <w:t xml:space="preserve">Sur cette tradition, </w:t>
      </w:r>
      <w:r w:rsidRPr="003B3476">
        <w:rPr>
          <w:i/>
        </w:rPr>
        <w:t>cf. supra</w:t>
      </w:r>
      <w:r w:rsidRPr="003B3476">
        <w:t>, p. 982, n. 1.</w:t>
      </w:r>
    </w:p>
  </w:footnote>
  <w:footnote w:id="1378">
    <w:p w14:paraId="7718355A" w14:textId="77777777" w:rsidR="00B9662D" w:rsidRPr="003B3476" w:rsidRDefault="00B9662D">
      <w:pPr>
        <w:pStyle w:val="Notedebasdepage"/>
      </w:pPr>
      <w:r w:rsidRPr="003B3476">
        <w:rPr>
          <w:rStyle w:val="Appelnotedebasdep"/>
        </w:rPr>
        <w:t>b</w:t>
      </w:r>
      <w:r w:rsidRPr="003B3476">
        <w:t xml:space="preserve"> </w:t>
      </w:r>
      <w:r w:rsidRPr="003B3476">
        <w:tab/>
        <w:t>reppereriunt C.</w:t>
      </w:r>
    </w:p>
  </w:footnote>
  <w:footnote w:id="1379">
    <w:p w14:paraId="76C3C649"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i/>
          <w:lang w:val="fr-FR" w:eastAsia="fr-FR" w:bidi="fr-FR"/>
        </w:rPr>
        <w:t>rubrique d'après la table fol</w:t>
      </w:r>
      <w:r w:rsidRPr="003B3476">
        <w:rPr>
          <w:lang w:val="fr-FR" w:eastAsia="fr-FR" w:bidi="fr-FR"/>
        </w:rPr>
        <w:t>.</w:t>
      </w:r>
      <w:r w:rsidRPr="003B3476">
        <w:rPr>
          <w:bCs/>
        </w:rPr>
        <w:t xml:space="preserve"> 139</w:t>
      </w:r>
      <w:r w:rsidRPr="003B3476">
        <w:rPr>
          <w:bCs/>
          <w:vertAlign w:val="superscript"/>
        </w:rPr>
        <w:t>vo</w:t>
      </w:r>
      <w:r w:rsidRPr="003B3476">
        <w:rPr>
          <w:bCs/>
        </w:rPr>
        <w:t xml:space="preserve">, </w:t>
      </w:r>
      <w:r w:rsidRPr="003B3476">
        <w:rPr>
          <w:i/>
          <w:lang w:val="fr-FR" w:eastAsia="fr-FR" w:bidi="fr-FR"/>
        </w:rPr>
        <w:t>texte fol.</w:t>
      </w:r>
      <w:r w:rsidRPr="003B3476">
        <w:rPr>
          <w:bCs/>
        </w:rPr>
        <w:t xml:space="preserve"> 152 </w:t>
      </w:r>
      <w:r w:rsidRPr="003B3476">
        <w:rPr>
          <w:i/>
          <w:lang w:val="fr-FR" w:eastAsia="fr-FR" w:bidi="fr-FR"/>
        </w:rPr>
        <w:t>et suiv</w:t>
      </w:r>
      <w:r w:rsidRPr="003B3476">
        <w:rPr>
          <w:lang w:val="fr-FR" w:eastAsia="fr-FR" w:bidi="fr-FR"/>
        </w:rPr>
        <w:t>.</w:t>
      </w:r>
    </w:p>
  </w:footnote>
  <w:footnote w:id="1380">
    <w:p w14:paraId="4F9AE3D1"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i/>
          <w:lang w:val="fr-FR" w:eastAsia="fr-FR" w:bidi="fr-FR"/>
        </w:rPr>
        <w:t>La Vie abrégée se termine</w:t>
      </w:r>
      <w:r w:rsidRPr="003B3476">
        <w:rPr>
          <w:bCs/>
        </w:rPr>
        <w:t xml:space="preserve">, </w:t>
      </w:r>
      <w:r w:rsidRPr="003B3476">
        <w:rPr>
          <w:i/>
          <w:lang w:val="fr-FR" w:eastAsia="fr-FR" w:bidi="fr-FR"/>
        </w:rPr>
        <w:t>fol.</w:t>
      </w:r>
      <w:r w:rsidRPr="003B3476">
        <w:rPr>
          <w:bCs/>
        </w:rPr>
        <w:t xml:space="preserve"> 152</w:t>
      </w:r>
      <w:r w:rsidRPr="003B3476">
        <w:rPr>
          <w:bCs/>
          <w:vertAlign w:val="superscript"/>
        </w:rPr>
        <w:t>vo</w:t>
      </w:r>
      <w:r w:rsidRPr="003B3476">
        <w:rPr>
          <w:bCs/>
        </w:rPr>
        <w:t xml:space="preserve">, </w:t>
      </w:r>
      <w:r w:rsidRPr="003B3476">
        <w:rPr>
          <w:i/>
          <w:lang w:val="fr-FR" w:eastAsia="fr-FR" w:bidi="fr-FR"/>
        </w:rPr>
        <w:t>par ces mots qui résument le dernier développement d'Osbert</w:t>
      </w:r>
      <w:r w:rsidRPr="003B3476">
        <w:rPr>
          <w:lang w:val="fr-FR" w:eastAsia="fr-FR" w:bidi="fr-FR"/>
        </w:rPr>
        <w:t> :</w:t>
      </w:r>
      <w:r w:rsidRPr="003B3476">
        <w:rPr>
          <w:bCs/>
        </w:rPr>
        <w:t xml:space="preserve"> Miracula namque pro eo in eodem loco tot et tanta operatus est Christus, quanta </w:t>
      </w:r>
      <w:r w:rsidRPr="003B3476">
        <w:rPr>
          <w:lang w:val="fr-FR" w:eastAsia="fr-FR" w:bidi="fr-FR"/>
        </w:rPr>
        <w:t>nec ego uerbis comprehendere, nec alii suffic</w:t>
      </w:r>
      <w:r w:rsidRPr="003B3476">
        <w:rPr>
          <w:lang w:val="fr-FR" w:eastAsia="fr-FR" w:bidi="fr-FR"/>
        </w:rPr>
        <w:t>e</w:t>
      </w:r>
      <w:r w:rsidRPr="003B3476">
        <w:rPr>
          <w:lang w:val="fr-FR" w:eastAsia="fr-FR" w:bidi="fr-FR"/>
        </w:rPr>
        <w:t>rent audire. Hinc superno regi laus et gloria, cuius maiestas et imperium extat in secula seculorum. Amen. Explicit Vita et Miracula sancti Eadwardi regis et confessons, abbreviata ex tractatu domini Osberni Westmonasterii prioris.</w:t>
      </w:r>
    </w:p>
  </w:footnote>
  <w:footnote w:id="1381">
    <w:p w14:paraId="0422A82A"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lang w:val="fr-FR" w:eastAsia="fr-FR" w:bidi="fr-FR"/>
        </w:rPr>
        <w:t xml:space="preserve"> J. A. </w:t>
      </w:r>
      <w:r w:rsidRPr="003B3476">
        <w:rPr>
          <w:rStyle w:val="Notedebasdepage65ptPetitesmajuscules"/>
          <w:b w:val="0"/>
          <w:sz w:val="24"/>
        </w:rPr>
        <w:t xml:space="preserve">Robinson, </w:t>
      </w:r>
      <w:r w:rsidRPr="003B3476">
        <w:rPr>
          <w:bCs/>
          <w:i/>
        </w:rPr>
        <w:t>The history of Westminster Abbey by John Flete</w:t>
      </w:r>
      <w:r w:rsidRPr="003B3476">
        <w:rPr>
          <w:lang w:val="fr-FR" w:eastAsia="fr-FR" w:bidi="fr-FR"/>
        </w:rPr>
        <w:t xml:space="preserve">, p. </w:t>
      </w:r>
      <w:r w:rsidRPr="003B3476">
        <w:rPr>
          <w:bCs/>
        </w:rPr>
        <w:t xml:space="preserve">3. </w:t>
      </w:r>
      <w:r w:rsidRPr="003B3476">
        <w:rPr>
          <w:lang w:val="fr-FR" w:eastAsia="fr-FR" w:bidi="fr-FR"/>
        </w:rPr>
        <w:t>Je dois de bien précieuses indications à M. J. A. Herbert.</w:t>
      </w:r>
    </w:p>
  </w:footnote>
  <w:footnote w:id="1382">
    <w:p w14:paraId="409A0190" w14:textId="77777777" w:rsidR="00B9662D" w:rsidRPr="003B3476" w:rsidRDefault="00B9662D" w:rsidP="00B9662D">
      <w:pPr>
        <w:pStyle w:val="Notedebasdepage"/>
        <w:rPr>
          <w:lang w:val="fr-FR"/>
        </w:rPr>
      </w:pPr>
      <w:r w:rsidRPr="003B3476">
        <w:rPr>
          <w:rStyle w:val="Appelnotedebasdep"/>
        </w:rPr>
        <w:footnoteRef/>
      </w:r>
      <w:r w:rsidRPr="003B3476">
        <w:t xml:space="preserve"> </w:t>
      </w:r>
      <w:r w:rsidRPr="003B3476">
        <w:rPr>
          <w:lang w:val="fr-FR"/>
        </w:rPr>
        <w:tab/>
      </w:r>
      <w:r w:rsidRPr="003B3476">
        <w:rPr>
          <w:bCs/>
          <w:i/>
        </w:rPr>
        <w:t>Cf.</w:t>
      </w:r>
      <w:r w:rsidRPr="003B3476">
        <w:rPr>
          <w:bCs/>
        </w:rPr>
        <w:t xml:space="preserve"> Psalm.</w:t>
      </w:r>
      <w:r w:rsidRPr="003B3476">
        <w:rPr>
          <w:lang w:val="fr-FR" w:eastAsia="fr-FR" w:bidi="fr-FR"/>
        </w:rPr>
        <w:t xml:space="preserve"> CI, 14.</w:t>
      </w:r>
    </w:p>
  </w:footnote>
  <w:footnote w:id="1383">
    <w:p w14:paraId="6F3AD4E4" w14:textId="77777777" w:rsidR="00B9662D" w:rsidRPr="003B3476" w:rsidRDefault="00B9662D">
      <w:pPr>
        <w:pStyle w:val="Notedebasdepage"/>
      </w:pPr>
      <w:r w:rsidRPr="003B3476">
        <w:rPr>
          <w:rStyle w:val="Appelnotedebasdep"/>
        </w:rPr>
        <w:t>a</w:t>
      </w:r>
      <w:r w:rsidRPr="003B3476">
        <w:t xml:space="preserve"> </w:t>
      </w:r>
      <w:r w:rsidRPr="003B3476">
        <w:tab/>
      </w:r>
      <w:r w:rsidRPr="003B3476">
        <w:rPr>
          <w:lang w:val="fr-FR" w:eastAsia="fr-FR" w:bidi="fr-FR"/>
        </w:rPr>
        <w:t>notuque consilio F, T. </w:t>
      </w:r>
    </w:p>
  </w:footnote>
  <w:footnote w:id="1384">
    <w:p w14:paraId="3F061807" w14:textId="77777777" w:rsidR="00B9662D" w:rsidRPr="003B3476" w:rsidRDefault="00B9662D">
      <w:pPr>
        <w:pStyle w:val="Notedebasdepage"/>
      </w:pPr>
      <w:r w:rsidRPr="003B3476">
        <w:rPr>
          <w:rStyle w:val="Appelnotedebasdep"/>
        </w:rPr>
        <w:t>b</w:t>
      </w:r>
      <w:r w:rsidRPr="003B3476">
        <w:tab/>
      </w:r>
      <w:r w:rsidRPr="003B3476">
        <w:rPr>
          <w:lang w:val="fr-FR" w:eastAsia="fr-FR" w:bidi="fr-FR"/>
        </w:rPr>
        <w:t>bella om. T. </w:t>
      </w:r>
    </w:p>
  </w:footnote>
  <w:footnote w:id="1385">
    <w:p w14:paraId="67D49F47" w14:textId="77777777" w:rsidR="00B9662D" w:rsidRPr="003B3476" w:rsidRDefault="00B9662D">
      <w:pPr>
        <w:pStyle w:val="Notedebasdepage"/>
      </w:pPr>
      <w:r w:rsidRPr="003B3476">
        <w:rPr>
          <w:rStyle w:val="Appelnotedebasdep"/>
        </w:rPr>
        <w:t>c</w:t>
      </w:r>
      <w:r w:rsidRPr="003B3476">
        <w:t xml:space="preserve"> </w:t>
      </w:r>
      <w:r w:rsidRPr="003B3476">
        <w:tab/>
      </w:r>
      <w:r w:rsidRPr="003B3476">
        <w:rPr>
          <w:lang w:val="fr-FR" w:eastAsia="fr-FR" w:bidi="fr-FR"/>
        </w:rPr>
        <w:t>concilium T. </w:t>
      </w:r>
    </w:p>
  </w:footnote>
  <w:footnote w:id="1386">
    <w:p w14:paraId="62EF65B8" w14:textId="77777777" w:rsidR="00B9662D" w:rsidRPr="003B3476" w:rsidRDefault="00B9662D">
      <w:pPr>
        <w:pStyle w:val="Notedebasdepage"/>
      </w:pPr>
      <w:r w:rsidRPr="003B3476">
        <w:rPr>
          <w:rStyle w:val="Appelnotedebasdep"/>
        </w:rPr>
        <w:t>d</w:t>
      </w:r>
      <w:r w:rsidRPr="003B3476">
        <w:tab/>
      </w:r>
      <w:r w:rsidRPr="003B3476">
        <w:rPr>
          <w:lang w:val="fr-FR" w:eastAsia="fr-FR" w:bidi="fr-FR"/>
        </w:rPr>
        <w:t>est T. </w:t>
      </w:r>
    </w:p>
  </w:footnote>
  <w:footnote w:id="1387">
    <w:p w14:paraId="151E3883" w14:textId="77777777" w:rsidR="00B9662D" w:rsidRPr="003B3476" w:rsidRDefault="00B9662D">
      <w:pPr>
        <w:pStyle w:val="Notedebasdepage"/>
      </w:pPr>
      <w:r w:rsidRPr="003B3476">
        <w:rPr>
          <w:rStyle w:val="Appelnotedebasdep"/>
        </w:rPr>
        <w:t>e</w:t>
      </w:r>
      <w:r w:rsidRPr="003B3476">
        <w:t xml:space="preserve"> </w:t>
      </w:r>
      <w:r w:rsidRPr="003B3476">
        <w:tab/>
      </w:r>
      <w:r w:rsidRPr="003B3476">
        <w:rPr>
          <w:lang w:val="fr-FR" w:eastAsia="fr-FR" w:bidi="fr-FR"/>
        </w:rPr>
        <w:t>aparantur T.</w:t>
      </w:r>
    </w:p>
  </w:footnote>
  <w:footnote w:id="1388">
    <w:p w14:paraId="436AA5F3" w14:textId="77777777" w:rsidR="00B9662D" w:rsidRPr="003B3476" w:rsidRDefault="00B9662D" w:rsidP="00B9662D">
      <w:pPr>
        <w:pStyle w:val="Notedebasdepage"/>
      </w:pPr>
      <w:r w:rsidRPr="003B3476">
        <w:rPr>
          <w:rStyle w:val="Appelnotedebasdep"/>
        </w:rPr>
        <w:footnoteRef/>
      </w:r>
      <w:r w:rsidRPr="003B3476">
        <w:t xml:space="preserve"> </w:t>
      </w:r>
      <w:r w:rsidRPr="003B3476">
        <w:tab/>
      </w:r>
      <w:r w:rsidRPr="003B3476">
        <w:rPr>
          <w:i/>
        </w:rPr>
        <w:t>Isai</w:t>
      </w:r>
      <w:r w:rsidRPr="003B3476">
        <w:t>, XLV, 7.</w:t>
      </w:r>
    </w:p>
  </w:footnote>
  <w:footnote w:id="1389">
    <w:p w14:paraId="6D6D2322" w14:textId="77777777" w:rsidR="00B9662D" w:rsidRPr="003B3476" w:rsidRDefault="00B9662D">
      <w:pPr>
        <w:pStyle w:val="Notedebasdepage"/>
      </w:pPr>
      <w:r w:rsidRPr="003B3476">
        <w:rPr>
          <w:rStyle w:val="Appelnotedebasdep"/>
        </w:rPr>
        <w:t>f</w:t>
      </w:r>
      <w:r w:rsidRPr="003B3476">
        <w:t xml:space="preserve"> </w:t>
      </w:r>
      <w:r w:rsidRPr="003B3476">
        <w:tab/>
        <w:t>diuina om. T. </w:t>
      </w:r>
    </w:p>
  </w:footnote>
  <w:footnote w:id="1390">
    <w:p w14:paraId="0EE9B09D" w14:textId="77777777" w:rsidR="00B9662D" w:rsidRPr="003B3476" w:rsidRDefault="00B9662D">
      <w:pPr>
        <w:pStyle w:val="Notedebasdepage"/>
      </w:pPr>
      <w:r w:rsidRPr="003B3476">
        <w:rPr>
          <w:rStyle w:val="Appelnotedebasdep"/>
        </w:rPr>
        <w:t>g</w:t>
      </w:r>
      <w:r w:rsidRPr="003B3476">
        <w:t xml:space="preserve"> </w:t>
      </w:r>
      <w:r w:rsidRPr="003B3476">
        <w:tab/>
        <w:t>commicio F, T. </w:t>
      </w:r>
    </w:p>
  </w:footnote>
  <w:footnote w:id="1391">
    <w:p w14:paraId="362921AC" w14:textId="77777777" w:rsidR="00B9662D" w:rsidRPr="003B3476" w:rsidRDefault="00B9662D">
      <w:pPr>
        <w:pStyle w:val="Notedebasdepage"/>
      </w:pPr>
      <w:r w:rsidRPr="003B3476">
        <w:rPr>
          <w:rStyle w:val="Appelnotedebasdep"/>
        </w:rPr>
        <w:t>h</w:t>
      </w:r>
      <w:r w:rsidRPr="003B3476">
        <w:t xml:space="preserve"> </w:t>
      </w:r>
      <w:r w:rsidRPr="003B3476">
        <w:tab/>
        <w:t>decebat om. 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2DDDB5" w14:textId="77777777" w:rsidR="00B9662D" w:rsidRDefault="00B9662D" w:rsidP="00B9662D">
    <w:pPr>
      <w:pStyle w:val="En-tte"/>
      <w:tabs>
        <w:tab w:val="clear" w:pos="4320"/>
        <w:tab w:val="clear" w:pos="8640"/>
        <w:tab w:val="right" w:pos="7380"/>
        <w:tab w:val="right" w:pos="7920"/>
      </w:tabs>
      <w:ind w:firstLine="0"/>
      <w:rPr>
        <w:rFonts w:ascii="Times New Roman" w:hAnsi="Times New Roman"/>
      </w:rPr>
    </w:pPr>
    <w:r>
      <w:rPr>
        <w:rFonts w:ascii="Times New Roman" w:hAnsi="Times New Roman"/>
      </w:rPr>
      <w:tab/>
      <w:t>Marc Bloch, Mélanges historiques. Tome II</w:t>
    </w:r>
    <w:r w:rsidRPr="00567B6C">
      <w:rPr>
        <w:rFonts w:ascii="Times New Roman" w:hAnsi="Times New Roman"/>
      </w:rPr>
      <w:t>.</w:t>
    </w:r>
    <w:r w:rsidRPr="00C90835">
      <w:rPr>
        <w:rFonts w:ascii="Times New Roman" w:hAnsi="Times New Roman"/>
      </w:rPr>
      <w:t xml:space="preserve"> </w:t>
    </w:r>
    <w:r>
      <w:rPr>
        <w:rFonts w:ascii="Times New Roman" w:hAnsi="Times New Roman"/>
      </w:rPr>
      <w:t>(1963)</w:t>
    </w:r>
    <w:r>
      <w:rPr>
        <w:rFonts w:ascii="Times New Roman" w:hAnsi="Times New Roman"/>
      </w:rPr>
      <w:tab/>
    </w:r>
    <w:r>
      <w:rPr>
        <w:rStyle w:val="Numrodepage"/>
        <w:rFonts w:ascii="Times New Roman" w:hAnsi="Times New Roman"/>
      </w:rPr>
      <w:fldChar w:fldCharType="begin"/>
    </w:r>
    <w:r>
      <w:rPr>
        <w:rStyle w:val="Numrodepage"/>
        <w:rFonts w:ascii="Times New Roman" w:hAnsi="Times New Roman"/>
      </w:rPr>
      <w:instrText xml:space="preserve"> </w:instrText>
    </w:r>
    <w:r w:rsidR="00000000">
      <w:rPr>
        <w:rStyle w:val="Numrodepage"/>
        <w:rFonts w:ascii="Times New Roman" w:hAnsi="Times New Roman"/>
      </w:rPr>
      <w:instrText>PAGE</w:instrText>
    </w:r>
    <w:r>
      <w:rPr>
        <w:rStyle w:val="Numrodepage"/>
        <w:rFonts w:ascii="Times New Roman" w:hAnsi="Times New Roman"/>
      </w:rPr>
      <w:instrText xml:space="preserve"> </w:instrText>
    </w:r>
    <w:r>
      <w:rPr>
        <w:rStyle w:val="Numrodepage"/>
        <w:rFonts w:ascii="Times New Roman" w:hAnsi="Times New Roman"/>
      </w:rPr>
      <w:fldChar w:fldCharType="separate"/>
    </w:r>
    <w:r>
      <w:rPr>
        <w:rStyle w:val="Numrodepage"/>
        <w:rFonts w:ascii="Times New Roman" w:hAnsi="Times New Roman"/>
        <w:noProof/>
      </w:rPr>
      <w:t>5</w:t>
    </w:r>
    <w:r>
      <w:rPr>
        <w:rStyle w:val="Numrodepage"/>
        <w:rFonts w:ascii="Times New Roman" w:hAnsi="Times New Roman"/>
      </w:rPr>
      <w:fldChar w:fldCharType="end"/>
    </w:r>
  </w:p>
  <w:p w14:paraId="609F3C86" w14:textId="77777777" w:rsidR="00B9662D" w:rsidRDefault="00B9662D">
    <w:pPr>
      <w:pBdr>
        <w:top w:val="single" w:sz="4" w:space="1" w:color="auto"/>
      </w:pBdr>
      <w:spacing w:before="60"/>
      <w:rPr>
        <w:rStyle w:val="Numrodepage"/>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6"/>
  <w:autoHyphenation/>
  <w:hyphenationZone w:val="432"/>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53"/>
    <w:rsid w:val="00287BD5"/>
    <w:rsid w:val="00B8094E"/>
    <w:rsid w:val="00B9662D"/>
  </w:rsids>
  <m:mathPr>
    <m:mathFont m:val="Cambria Math"/>
    <m:brkBin m:val="before"/>
    <m:brkBinSub m:val="--"/>
    <m:smallFrac m:val="0"/>
    <m:dispDef m:val="0"/>
    <m:lMargin m:val="0"/>
    <m:rMargin m:val="0"/>
    <m:wrapRight/>
    <m:intLim m:val="subSup"/>
    <m:naryLim m:val="subSup"/>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A388547"/>
  <w15:chartTrackingRefBased/>
  <w15:docId w15:val="{E5656E9B-0A09-0A40-AE08-CE7F70672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4FD"/>
    <w:pPr>
      <w:ind w:firstLine="360"/>
    </w:pPr>
    <w:rPr>
      <w:rFonts w:ascii="Times New Roman" w:eastAsia="Times New Roman" w:hAnsi="Times New Roman"/>
      <w:sz w:val="28"/>
      <w:lang w:eastAsia="en-US"/>
    </w:rPr>
  </w:style>
  <w:style w:type="paragraph" w:styleId="Titre1">
    <w:name w:val="heading 1"/>
    <w:next w:val="Normal"/>
    <w:link w:val="Titre1Car"/>
    <w:qFormat/>
    <w:rsid w:val="006614FD"/>
    <w:pPr>
      <w:outlineLvl w:val="0"/>
    </w:pPr>
    <w:rPr>
      <w:rFonts w:eastAsia="Times New Roman"/>
      <w:noProof/>
      <w:lang w:eastAsia="en-US"/>
    </w:rPr>
  </w:style>
  <w:style w:type="paragraph" w:styleId="Titre2">
    <w:name w:val="heading 2"/>
    <w:next w:val="Normal"/>
    <w:link w:val="Titre2Car"/>
    <w:qFormat/>
    <w:rsid w:val="006614FD"/>
    <w:pPr>
      <w:outlineLvl w:val="1"/>
    </w:pPr>
    <w:rPr>
      <w:rFonts w:eastAsia="Times New Roman"/>
      <w:noProof/>
      <w:lang w:eastAsia="en-US"/>
    </w:rPr>
  </w:style>
  <w:style w:type="paragraph" w:styleId="Titre3">
    <w:name w:val="heading 3"/>
    <w:next w:val="Normal"/>
    <w:link w:val="Titre3Car"/>
    <w:qFormat/>
    <w:rsid w:val="006614FD"/>
    <w:pPr>
      <w:outlineLvl w:val="2"/>
    </w:pPr>
    <w:rPr>
      <w:rFonts w:eastAsia="Times New Roman"/>
      <w:noProof/>
      <w:lang w:eastAsia="en-US"/>
    </w:rPr>
  </w:style>
  <w:style w:type="paragraph" w:styleId="Titre4">
    <w:name w:val="heading 4"/>
    <w:next w:val="Normal"/>
    <w:link w:val="Titre4Car"/>
    <w:qFormat/>
    <w:rsid w:val="006614FD"/>
    <w:pPr>
      <w:outlineLvl w:val="3"/>
    </w:pPr>
    <w:rPr>
      <w:rFonts w:eastAsia="Times New Roman"/>
      <w:noProof/>
      <w:lang w:eastAsia="en-US"/>
    </w:rPr>
  </w:style>
  <w:style w:type="paragraph" w:styleId="Titre5">
    <w:name w:val="heading 5"/>
    <w:next w:val="Normal"/>
    <w:link w:val="Titre5Car"/>
    <w:qFormat/>
    <w:rsid w:val="006614FD"/>
    <w:pPr>
      <w:outlineLvl w:val="4"/>
    </w:pPr>
    <w:rPr>
      <w:rFonts w:eastAsia="Times New Roman"/>
      <w:noProof/>
      <w:lang w:eastAsia="en-US"/>
    </w:rPr>
  </w:style>
  <w:style w:type="paragraph" w:styleId="Titre6">
    <w:name w:val="heading 6"/>
    <w:next w:val="Normal"/>
    <w:link w:val="Titre6Car"/>
    <w:qFormat/>
    <w:rsid w:val="006614FD"/>
    <w:pPr>
      <w:outlineLvl w:val="5"/>
    </w:pPr>
    <w:rPr>
      <w:rFonts w:eastAsia="Times New Roman"/>
      <w:noProof/>
      <w:lang w:eastAsia="en-US"/>
    </w:rPr>
  </w:style>
  <w:style w:type="paragraph" w:styleId="Titre7">
    <w:name w:val="heading 7"/>
    <w:next w:val="Normal"/>
    <w:link w:val="Titre7Car"/>
    <w:qFormat/>
    <w:rsid w:val="006614FD"/>
    <w:pPr>
      <w:outlineLvl w:val="6"/>
    </w:pPr>
    <w:rPr>
      <w:rFonts w:eastAsia="Times New Roman"/>
      <w:noProof/>
      <w:lang w:eastAsia="en-US"/>
    </w:rPr>
  </w:style>
  <w:style w:type="paragraph" w:styleId="Titre8">
    <w:name w:val="heading 8"/>
    <w:next w:val="Normal"/>
    <w:link w:val="Titre8Car"/>
    <w:qFormat/>
    <w:rsid w:val="006614FD"/>
    <w:pPr>
      <w:outlineLvl w:val="7"/>
    </w:pPr>
    <w:rPr>
      <w:rFonts w:eastAsia="Times New Roman"/>
      <w:noProof/>
      <w:lang w:eastAsia="en-US"/>
    </w:rPr>
  </w:style>
  <w:style w:type="paragraph" w:styleId="Titre9">
    <w:name w:val="heading 9"/>
    <w:next w:val="Normal"/>
    <w:link w:val="Titre9Car"/>
    <w:qFormat/>
    <w:rsid w:val="006614FD"/>
    <w:pPr>
      <w:outlineLvl w:val="8"/>
    </w:pPr>
    <w:rPr>
      <w:rFonts w:eastAsia="Times New Roman"/>
      <w:noProof/>
      <w:lang w:eastAsia="en-US"/>
    </w:rPr>
  </w:style>
  <w:style w:type="character" w:default="1" w:styleId="Policepardfaut">
    <w:name w:val="Default Paragraph Font"/>
    <w:rsid w:val="006614FD"/>
  </w:style>
  <w:style w:type="table" w:default="1" w:styleId="TableauNormal">
    <w:name w:val="Normal Table"/>
    <w:semiHidden/>
    <w:rsid w:val="0058603D"/>
    <w:rPr>
      <w:lang w:bidi="ar-SA"/>
    </w:rPr>
    <w:tblPr>
      <w:tblInd w:w="0" w:type="dxa"/>
      <w:tblCellMar>
        <w:top w:w="0" w:type="dxa"/>
        <w:left w:w="108" w:type="dxa"/>
        <w:bottom w:w="0" w:type="dxa"/>
        <w:right w:w="108" w:type="dxa"/>
      </w:tblCellMar>
    </w:tblPr>
  </w:style>
  <w:style w:type="numbering" w:default="1" w:styleId="Aucuneliste">
    <w:name w:val="No List"/>
    <w:semiHidden/>
    <w:rsid w:val="006614FD"/>
  </w:style>
  <w:style w:type="character" w:styleId="Appeldenotedefin">
    <w:name w:val="endnote reference"/>
    <w:basedOn w:val="Policepardfaut"/>
    <w:rsid w:val="006614FD"/>
    <w:rPr>
      <w:vertAlign w:val="superscript"/>
    </w:rPr>
  </w:style>
  <w:style w:type="character" w:styleId="Appelnotedebasdep">
    <w:name w:val="footnote reference"/>
    <w:basedOn w:val="Policepardfaut"/>
    <w:autoRedefine/>
    <w:qFormat/>
    <w:rsid w:val="006614FD"/>
    <w:rPr>
      <w:color w:val="FF0000"/>
      <w:position w:val="6"/>
      <w:sz w:val="20"/>
    </w:rPr>
  </w:style>
  <w:style w:type="paragraph" w:styleId="Grillecouleur-Accent1">
    <w:name w:val="Colorful Grid Accent 1"/>
    <w:basedOn w:val="Normal"/>
    <w:link w:val="Grillecouleur-Accent1Car"/>
    <w:autoRedefine/>
    <w:rsid w:val="00DF0E93"/>
    <w:pPr>
      <w:spacing w:before="120" w:after="120"/>
      <w:ind w:left="720" w:firstLine="0"/>
      <w:jc w:val="both"/>
    </w:pPr>
    <w:rPr>
      <w:color w:val="000080"/>
      <w:sz w:val="24"/>
    </w:rPr>
  </w:style>
  <w:style w:type="paragraph" w:customStyle="1" w:styleId="Niveau1">
    <w:name w:val="Niveau 1"/>
    <w:basedOn w:val="Normal"/>
    <w:rsid w:val="006614FD"/>
    <w:pPr>
      <w:ind w:firstLine="0"/>
    </w:pPr>
    <w:rPr>
      <w:b/>
      <w:color w:val="FF0000"/>
      <w:sz w:val="72"/>
    </w:rPr>
  </w:style>
  <w:style w:type="paragraph" w:customStyle="1" w:styleId="Niveau11">
    <w:name w:val="Niveau 1.1"/>
    <w:basedOn w:val="Niveau1"/>
    <w:autoRedefine/>
    <w:rsid w:val="006614FD"/>
    <w:rPr>
      <w:color w:val="008000"/>
      <w:sz w:val="60"/>
    </w:rPr>
  </w:style>
  <w:style w:type="paragraph" w:customStyle="1" w:styleId="Niveau12">
    <w:name w:val="Niveau 1.2"/>
    <w:basedOn w:val="Niveau11"/>
    <w:autoRedefine/>
    <w:rsid w:val="006614FD"/>
    <w:pPr>
      <w:jc w:val="center"/>
    </w:pPr>
    <w:rPr>
      <w:i/>
      <w:color w:val="000080"/>
      <w:sz w:val="36"/>
    </w:rPr>
  </w:style>
  <w:style w:type="paragraph" w:customStyle="1" w:styleId="Niveau2">
    <w:name w:val="Niveau 2"/>
    <w:basedOn w:val="Normal"/>
    <w:rsid w:val="006614FD"/>
    <w:rPr>
      <w:rFonts w:ascii="GillSans" w:hAnsi="GillSans"/>
      <w:sz w:val="20"/>
    </w:rPr>
  </w:style>
  <w:style w:type="paragraph" w:customStyle="1" w:styleId="Niveau3">
    <w:name w:val="Niveau 3"/>
    <w:basedOn w:val="Normal"/>
    <w:autoRedefine/>
    <w:rsid w:val="006614FD"/>
    <w:pPr>
      <w:ind w:left="1080" w:hanging="720"/>
    </w:pPr>
    <w:rPr>
      <w:b/>
    </w:rPr>
  </w:style>
  <w:style w:type="paragraph" w:customStyle="1" w:styleId="Titreniveau1">
    <w:name w:val="Titre niveau 1"/>
    <w:basedOn w:val="Niveau1"/>
    <w:autoRedefine/>
    <w:rsid w:val="00384B20"/>
    <w:pPr>
      <w:pBdr>
        <w:bottom w:val="single" w:sz="4" w:space="1" w:color="auto"/>
      </w:pBdr>
      <w:ind w:left="1440" w:right="1440"/>
      <w:jc w:val="center"/>
    </w:pPr>
    <w:rPr>
      <w:b w:val="0"/>
      <w:sz w:val="48"/>
      <w:szCs w:val="36"/>
    </w:rPr>
  </w:style>
  <w:style w:type="paragraph" w:customStyle="1" w:styleId="Titreniveau2">
    <w:name w:val="Titre niveau 2"/>
    <w:basedOn w:val="Titreniveau1"/>
    <w:autoRedefine/>
    <w:rsid w:val="003B2EE2"/>
    <w:pPr>
      <w:widowControl w:val="0"/>
      <w:pBdr>
        <w:bottom w:val="none" w:sz="0" w:space="0" w:color="auto"/>
      </w:pBdr>
      <w:ind w:left="0" w:right="0"/>
    </w:pPr>
    <w:rPr>
      <w:caps/>
      <w:color w:val="auto"/>
    </w:rPr>
  </w:style>
  <w:style w:type="paragraph" w:styleId="Corpsdetexte">
    <w:name w:val="Body Text"/>
    <w:basedOn w:val="Normal"/>
    <w:link w:val="CorpsdetexteCar"/>
    <w:rsid w:val="006614FD"/>
    <w:pPr>
      <w:spacing w:before="360" w:after="240"/>
      <w:ind w:firstLine="0"/>
      <w:jc w:val="center"/>
    </w:pPr>
    <w:rPr>
      <w:sz w:val="72"/>
    </w:rPr>
  </w:style>
  <w:style w:type="paragraph" w:styleId="En-tte">
    <w:name w:val="header"/>
    <w:basedOn w:val="Normal"/>
    <w:link w:val="En-tteCar"/>
    <w:uiPriority w:val="99"/>
    <w:rsid w:val="006614FD"/>
    <w:pPr>
      <w:tabs>
        <w:tab w:val="center" w:pos="4320"/>
        <w:tab w:val="right" w:pos="8640"/>
      </w:tabs>
    </w:pPr>
    <w:rPr>
      <w:rFonts w:ascii="GillSans" w:hAnsi="GillSans"/>
      <w:sz w:val="20"/>
    </w:rPr>
  </w:style>
  <w:style w:type="paragraph" w:styleId="Lgende">
    <w:name w:val="caption"/>
    <w:basedOn w:val="Normal"/>
    <w:next w:val="Normal"/>
    <w:qFormat/>
    <w:rsid w:val="006614FD"/>
    <w:pPr>
      <w:spacing w:before="120" w:after="120"/>
    </w:pPr>
    <w:rPr>
      <w:rFonts w:ascii="GillSans" w:hAnsi="GillSans"/>
      <w:b/>
      <w:sz w:val="20"/>
    </w:rPr>
  </w:style>
  <w:style w:type="character" w:styleId="Hyperlien">
    <w:name w:val="Hyperlink"/>
    <w:basedOn w:val="Policepardfaut"/>
    <w:uiPriority w:val="99"/>
    <w:rsid w:val="006614FD"/>
    <w:rPr>
      <w:color w:val="0000FF"/>
      <w:u w:val="single"/>
    </w:rPr>
  </w:style>
  <w:style w:type="character" w:styleId="Lienvisit">
    <w:name w:val="FollowedHyperlink"/>
    <w:basedOn w:val="Policepardfaut"/>
    <w:rsid w:val="006614FD"/>
    <w:rPr>
      <w:color w:val="800080"/>
      <w:u w:val="single"/>
    </w:rPr>
  </w:style>
  <w:style w:type="paragraph" w:customStyle="1" w:styleId="Niveau10">
    <w:name w:val="Niveau 1.0"/>
    <w:basedOn w:val="Niveau11"/>
    <w:autoRedefine/>
    <w:rsid w:val="006614FD"/>
    <w:pPr>
      <w:jc w:val="center"/>
    </w:pPr>
    <w:rPr>
      <w:b w:val="0"/>
      <w:sz w:val="48"/>
    </w:rPr>
  </w:style>
  <w:style w:type="paragraph" w:customStyle="1" w:styleId="Niveau13">
    <w:name w:val="Niveau 1.3"/>
    <w:basedOn w:val="Niveau12"/>
    <w:autoRedefine/>
    <w:rsid w:val="006614FD"/>
    <w:rPr>
      <w:b w:val="0"/>
      <w:i w:val="0"/>
      <w:color w:val="800080"/>
      <w:sz w:val="48"/>
    </w:rPr>
  </w:style>
  <w:style w:type="paragraph" w:styleId="Notedebasdepage">
    <w:name w:val="footnote text"/>
    <w:basedOn w:val="Normal"/>
    <w:link w:val="NotedebasdepageCar"/>
    <w:autoRedefine/>
    <w:qFormat/>
    <w:rsid w:val="003F3693"/>
    <w:pPr>
      <w:ind w:left="360" w:hanging="360"/>
      <w:jc w:val="both"/>
    </w:pPr>
    <w:rPr>
      <w:color w:val="000000"/>
      <w:sz w:val="24"/>
    </w:rPr>
  </w:style>
  <w:style w:type="character" w:customStyle="1" w:styleId="NotedebasdepageCar">
    <w:name w:val="Note de bas de page Car"/>
    <w:link w:val="Notedebasdepage"/>
    <w:rsid w:val="003F3693"/>
    <w:rPr>
      <w:rFonts w:ascii="Times New Roman" w:eastAsia="Times New Roman" w:hAnsi="Times New Roman"/>
      <w:color w:val="000000"/>
      <w:sz w:val="24"/>
      <w:lang w:val="fr-CA" w:eastAsia="en-US"/>
    </w:rPr>
  </w:style>
  <w:style w:type="character" w:styleId="Numrodepage">
    <w:name w:val="page number"/>
    <w:basedOn w:val="Policepardfaut"/>
    <w:rsid w:val="006614FD"/>
  </w:style>
  <w:style w:type="paragraph" w:styleId="Pieddepage">
    <w:name w:val="footer"/>
    <w:basedOn w:val="Normal"/>
    <w:link w:val="PieddepageCar"/>
    <w:uiPriority w:val="99"/>
    <w:rsid w:val="006614FD"/>
    <w:pPr>
      <w:tabs>
        <w:tab w:val="center" w:pos="4320"/>
        <w:tab w:val="right" w:pos="8640"/>
      </w:tabs>
    </w:pPr>
    <w:rPr>
      <w:rFonts w:ascii="GillSans" w:hAnsi="GillSans"/>
      <w:sz w:val="20"/>
    </w:rPr>
  </w:style>
  <w:style w:type="paragraph" w:customStyle="1" w:styleId="texteenvidence">
    <w:name w:val="texte en évidence"/>
    <w:basedOn w:val="Normal"/>
    <w:rsid w:val="006614FD"/>
    <w:pPr>
      <w:widowControl w:val="0"/>
      <w:jc w:val="both"/>
    </w:pPr>
    <w:rPr>
      <w:rFonts w:ascii="Arial" w:hAnsi="Arial"/>
      <w:b/>
      <w:color w:val="FF0000"/>
    </w:rPr>
  </w:style>
  <w:style w:type="paragraph" w:styleId="Titre">
    <w:name w:val="Title"/>
    <w:basedOn w:val="Normal"/>
    <w:link w:val="TitreCar"/>
    <w:autoRedefine/>
    <w:qFormat/>
    <w:rsid w:val="006614FD"/>
    <w:pPr>
      <w:ind w:firstLine="0"/>
      <w:jc w:val="center"/>
    </w:pPr>
    <w:rPr>
      <w:b/>
      <w:sz w:val="48"/>
    </w:rPr>
  </w:style>
  <w:style w:type="paragraph" w:customStyle="1" w:styleId="livre">
    <w:name w:val="livre"/>
    <w:basedOn w:val="Normal"/>
    <w:rsid w:val="006614FD"/>
    <w:pPr>
      <w:tabs>
        <w:tab w:val="right" w:pos="9360"/>
      </w:tabs>
      <w:ind w:firstLine="0"/>
    </w:pPr>
    <w:rPr>
      <w:b/>
      <w:color w:val="000080"/>
      <w:sz w:val="144"/>
    </w:rPr>
  </w:style>
  <w:style w:type="paragraph" w:customStyle="1" w:styleId="livrest">
    <w:name w:val="livre_st"/>
    <w:basedOn w:val="Normal"/>
    <w:rsid w:val="006614FD"/>
    <w:pPr>
      <w:tabs>
        <w:tab w:val="right" w:pos="9360"/>
      </w:tabs>
      <w:ind w:firstLine="0"/>
    </w:pPr>
    <w:rPr>
      <w:b/>
      <w:color w:val="FF0000"/>
      <w:sz w:val="72"/>
    </w:rPr>
  </w:style>
  <w:style w:type="paragraph" w:customStyle="1" w:styleId="tableautitre">
    <w:name w:val="tableau_titre"/>
    <w:basedOn w:val="Normal"/>
    <w:rsid w:val="006614FD"/>
    <w:pPr>
      <w:ind w:firstLine="0"/>
      <w:jc w:val="center"/>
    </w:pPr>
    <w:rPr>
      <w:rFonts w:ascii="Times" w:hAnsi="Times"/>
      <w:b/>
    </w:rPr>
  </w:style>
  <w:style w:type="paragraph" w:customStyle="1" w:styleId="planche">
    <w:name w:val="planche"/>
    <w:basedOn w:val="tableautitre"/>
    <w:autoRedefine/>
    <w:rsid w:val="00A865B8"/>
    <w:pPr>
      <w:widowControl w:val="0"/>
    </w:pPr>
    <w:rPr>
      <w:rFonts w:ascii="Times New Roman" w:hAnsi="Times New Roman"/>
      <w:b w:val="0"/>
      <w:bCs/>
      <w:color w:val="000090"/>
      <w:sz w:val="36"/>
      <w:lang w:eastAsia="fr-FR" w:bidi="fr-FR"/>
    </w:rPr>
  </w:style>
  <w:style w:type="paragraph" w:customStyle="1" w:styleId="tableaust">
    <w:name w:val="tableau_st"/>
    <w:basedOn w:val="Normal"/>
    <w:autoRedefine/>
    <w:rsid w:val="006614FD"/>
    <w:pPr>
      <w:ind w:firstLine="0"/>
      <w:jc w:val="center"/>
    </w:pPr>
    <w:rPr>
      <w:i/>
      <w:color w:val="FF0000"/>
    </w:rPr>
  </w:style>
  <w:style w:type="paragraph" w:customStyle="1" w:styleId="planchest">
    <w:name w:val="planche_st"/>
    <w:basedOn w:val="tableaust"/>
    <w:autoRedefine/>
    <w:rsid w:val="007D3797"/>
    <w:pPr>
      <w:spacing w:before="60"/>
    </w:pPr>
    <w:rPr>
      <w:i w:val="0"/>
      <w:caps/>
      <w:sz w:val="48"/>
    </w:rPr>
  </w:style>
  <w:style w:type="paragraph" w:customStyle="1" w:styleId="section">
    <w:name w:val="section"/>
    <w:basedOn w:val="Normal"/>
    <w:rsid w:val="006614FD"/>
    <w:pPr>
      <w:ind w:firstLine="0"/>
      <w:jc w:val="center"/>
    </w:pPr>
    <w:rPr>
      <w:rFonts w:ascii="Times" w:hAnsi="Times"/>
      <w:b/>
      <w:sz w:val="48"/>
    </w:rPr>
  </w:style>
  <w:style w:type="paragraph" w:customStyle="1" w:styleId="suite">
    <w:name w:val="suite"/>
    <w:basedOn w:val="Normal"/>
    <w:autoRedefine/>
    <w:rsid w:val="006614FD"/>
    <w:pPr>
      <w:tabs>
        <w:tab w:val="right" w:pos="9360"/>
      </w:tabs>
      <w:ind w:firstLine="0"/>
      <w:jc w:val="center"/>
    </w:pPr>
    <w:rPr>
      <w:b/>
      <w:color w:val="008000"/>
    </w:rPr>
  </w:style>
  <w:style w:type="paragraph" w:customStyle="1" w:styleId="tdmchap">
    <w:name w:val="tdm_chap"/>
    <w:basedOn w:val="Normal"/>
    <w:rsid w:val="006614FD"/>
    <w:pPr>
      <w:tabs>
        <w:tab w:val="left" w:pos="1980"/>
      </w:tabs>
      <w:ind w:firstLine="0"/>
    </w:pPr>
    <w:rPr>
      <w:rFonts w:ascii="Times" w:hAnsi="Times"/>
      <w:b/>
    </w:rPr>
  </w:style>
  <w:style w:type="paragraph" w:customStyle="1" w:styleId="partie">
    <w:name w:val="partie"/>
    <w:basedOn w:val="Normal"/>
    <w:rsid w:val="006614FD"/>
    <w:pPr>
      <w:ind w:firstLine="0"/>
      <w:jc w:val="right"/>
    </w:pPr>
    <w:rPr>
      <w:b/>
      <w:sz w:val="120"/>
    </w:rPr>
  </w:style>
  <w:style w:type="paragraph" w:styleId="Normalcentr">
    <w:name w:val="Block Text"/>
    <w:basedOn w:val="Normal"/>
    <w:rsid w:val="006614FD"/>
    <w:pPr>
      <w:ind w:left="180" w:right="180"/>
      <w:jc w:val="both"/>
    </w:pPr>
  </w:style>
  <w:style w:type="paragraph" w:customStyle="1" w:styleId="Titlest">
    <w:name w:val="Title_st"/>
    <w:basedOn w:val="Titre"/>
    <w:autoRedefine/>
    <w:rsid w:val="007D29D4"/>
    <w:rPr>
      <w:b w:val="0"/>
      <w:color w:val="0000FF"/>
      <w:sz w:val="96"/>
    </w:rPr>
  </w:style>
  <w:style w:type="paragraph" w:styleId="TableauGrille2">
    <w:name w:val="Grid Table 2"/>
    <w:basedOn w:val="Normal"/>
    <w:rsid w:val="006614FD"/>
    <w:pPr>
      <w:ind w:left="360" w:hanging="360"/>
    </w:pPr>
    <w:rPr>
      <w:sz w:val="20"/>
      <w:lang w:val="fr-FR"/>
    </w:rPr>
  </w:style>
  <w:style w:type="paragraph" w:styleId="Notedefin">
    <w:name w:val="endnote text"/>
    <w:basedOn w:val="Normal"/>
    <w:link w:val="NotedefinCar"/>
    <w:rsid w:val="006614FD"/>
    <w:pPr>
      <w:spacing w:before="240"/>
    </w:pPr>
    <w:rPr>
      <w:sz w:val="20"/>
      <w:lang w:val="x-none"/>
    </w:rPr>
  </w:style>
  <w:style w:type="paragraph" w:customStyle="1" w:styleId="niveau14">
    <w:name w:val="niveau 1"/>
    <w:basedOn w:val="Normal"/>
    <w:rsid w:val="006614FD"/>
    <w:pPr>
      <w:spacing w:before="240"/>
      <w:ind w:firstLine="0"/>
    </w:pPr>
    <w:rPr>
      <w:rFonts w:ascii="B Times Bold" w:hAnsi="B Times Bold"/>
      <w:lang w:val="fr-FR"/>
    </w:rPr>
  </w:style>
  <w:style w:type="paragraph" w:customStyle="1" w:styleId="Titlest2">
    <w:name w:val="Title_st2"/>
    <w:basedOn w:val="Titlest"/>
    <w:rsid w:val="006614FD"/>
  </w:style>
  <w:style w:type="paragraph" w:customStyle="1" w:styleId="p">
    <w:name w:val="p"/>
    <w:basedOn w:val="Normal"/>
    <w:autoRedefine/>
    <w:rsid w:val="006614FD"/>
    <w:pPr>
      <w:ind w:firstLine="0"/>
    </w:pPr>
  </w:style>
  <w:style w:type="paragraph" w:customStyle="1" w:styleId="Normal0">
    <w:name w:val="Normal +"/>
    <w:basedOn w:val="Normal"/>
    <w:rsid w:val="006614FD"/>
    <w:pPr>
      <w:spacing w:before="120" w:after="120"/>
      <w:jc w:val="both"/>
    </w:pPr>
  </w:style>
  <w:style w:type="paragraph" w:customStyle="1" w:styleId="a">
    <w:name w:val="a"/>
    <w:basedOn w:val="Normal0"/>
    <w:autoRedefine/>
    <w:rsid w:val="00A865B8"/>
    <w:pPr>
      <w:ind w:firstLine="0"/>
      <w:jc w:val="left"/>
    </w:pPr>
    <w:rPr>
      <w:b/>
      <w:i/>
      <w:iCs/>
      <w:color w:val="FF0000"/>
      <w:lang w:eastAsia="fr-FR" w:bidi="fr-FR"/>
    </w:rPr>
  </w:style>
  <w:style w:type="paragraph" w:customStyle="1" w:styleId="c">
    <w:name w:val="c"/>
    <w:basedOn w:val="Normal0"/>
    <w:rsid w:val="006614FD"/>
    <w:pPr>
      <w:keepLines/>
      <w:ind w:firstLine="0"/>
      <w:jc w:val="center"/>
    </w:pPr>
    <w:rPr>
      <w:color w:val="FF0000"/>
    </w:rPr>
  </w:style>
  <w:style w:type="paragraph" w:customStyle="1" w:styleId="Citation0">
    <w:name w:val="Citation 0"/>
    <w:basedOn w:val="Grillecouleur-Accent1"/>
    <w:autoRedefine/>
    <w:rsid w:val="006614FD"/>
  </w:style>
  <w:style w:type="paragraph" w:customStyle="1" w:styleId="fig">
    <w:name w:val="fig"/>
    <w:basedOn w:val="Normal0"/>
    <w:autoRedefine/>
    <w:rsid w:val="006614FD"/>
    <w:pPr>
      <w:ind w:firstLine="0"/>
      <w:jc w:val="center"/>
    </w:pPr>
  </w:style>
  <w:style w:type="paragraph" w:customStyle="1" w:styleId="figtexte">
    <w:name w:val="fig texte"/>
    <w:basedOn w:val="Normal0"/>
    <w:autoRedefine/>
    <w:rsid w:val="006614FD"/>
    <w:rPr>
      <w:color w:val="000090"/>
      <w:sz w:val="24"/>
    </w:rPr>
  </w:style>
  <w:style w:type="paragraph" w:customStyle="1" w:styleId="figtextec">
    <w:name w:val="fig texte c"/>
    <w:basedOn w:val="figtexte"/>
    <w:autoRedefine/>
    <w:rsid w:val="006614FD"/>
    <w:pPr>
      <w:ind w:firstLine="0"/>
      <w:jc w:val="center"/>
    </w:pPr>
  </w:style>
  <w:style w:type="table" w:styleId="Grilledutableau">
    <w:name w:val="Table Grid"/>
    <w:basedOn w:val="TableauNormal"/>
    <w:uiPriority w:val="99"/>
    <w:rsid w:val="006614F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act-emailto">
    <w:name w:val="contact-emailto"/>
    <w:basedOn w:val="Policepardfaut"/>
    <w:rsid w:val="003F7335"/>
  </w:style>
  <w:style w:type="paragraph" w:customStyle="1" w:styleId="Titlesti">
    <w:name w:val="Title_st i"/>
    <w:basedOn w:val="Titlest"/>
    <w:rsid w:val="00362640"/>
    <w:rPr>
      <w:i/>
    </w:rPr>
  </w:style>
  <w:style w:type="paragraph" w:styleId="NormalWeb">
    <w:name w:val="Normal (Web)"/>
    <w:basedOn w:val="Normal"/>
    <w:uiPriority w:val="99"/>
    <w:rsid w:val="00E07116"/>
    <w:pPr>
      <w:spacing w:beforeLines="1" w:afterLines="1"/>
      <w:ind w:firstLine="0"/>
    </w:pPr>
    <w:rPr>
      <w:rFonts w:ascii="Times" w:eastAsia="Times" w:hAnsi="Times"/>
      <w:sz w:val="20"/>
      <w:lang w:val="fr-FR" w:eastAsia="fr-FR"/>
    </w:rPr>
  </w:style>
  <w:style w:type="character" w:customStyle="1" w:styleId="Corpsdutexte3ItaliqueEspacement0pt">
    <w:name w:val="Corps du texte (3) + Italique;Espacement 0 pt"/>
    <w:rsid w:val="004436F8"/>
    <w:rPr>
      <w:rFonts w:ascii="Times New Roman" w:eastAsia="Times New Roman" w:hAnsi="Times New Roman" w:cs="Times New Roman"/>
      <w:b w:val="0"/>
      <w:bCs w:val="0"/>
      <w:i/>
      <w:iCs/>
      <w:smallCaps w:val="0"/>
      <w:strike w:val="0"/>
      <w:color w:val="000000"/>
      <w:spacing w:val="-10"/>
      <w:w w:val="100"/>
      <w:position w:val="0"/>
      <w:sz w:val="24"/>
      <w:szCs w:val="24"/>
      <w:u w:val="none"/>
      <w:lang w:val="fr-FR" w:eastAsia="fr-FR" w:bidi="fr-FR"/>
    </w:rPr>
  </w:style>
  <w:style w:type="character" w:customStyle="1" w:styleId="Corpsdutexte3105ptGrasPetitesmajuscules">
    <w:name w:val="Corps du texte (3) + 10.5 pt;Gras;Petites majuscules"/>
    <w:rsid w:val="004436F8"/>
    <w:rPr>
      <w:rFonts w:ascii="Times New Roman" w:eastAsia="Times New Roman" w:hAnsi="Times New Roman" w:cs="Times New Roman"/>
      <w:b/>
      <w:bCs/>
      <w:i w:val="0"/>
      <w:iCs w:val="0"/>
      <w:smallCaps/>
      <w:strike w:val="0"/>
      <w:color w:val="000000"/>
      <w:spacing w:val="0"/>
      <w:w w:val="100"/>
      <w:position w:val="0"/>
      <w:sz w:val="21"/>
      <w:szCs w:val="21"/>
      <w:u w:val="none"/>
      <w:lang w:val="fr-FR" w:eastAsia="fr-FR" w:bidi="fr-FR"/>
    </w:rPr>
  </w:style>
  <w:style w:type="character" w:customStyle="1" w:styleId="Corpsdutexte912ptNonGras">
    <w:name w:val="Corps du texte (9) + 12 pt;Non Gras"/>
    <w:rsid w:val="004436F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Notedebasdepage65ptPetitesmajuscules">
    <w:name w:val="Note de bas de page + 6.5 pt;Petites majuscules"/>
    <w:rsid w:val="004436F8"/>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Notedebasdepage265ptNonItaliquePetitesmajuscules">
    <w:name w:val="Note de bas de page (2) + 6.5 pt;Non Italique;Petites majuscules"/>
    <w:rsid w:val="004436F8"/>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Notedebasdepage265ptNonItalique">
    <w:name w:val="Note de bas de page (2) + 6.5 pt;Non Italique"/>
    <w:rsid w:val="004436F8"/>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Notedebasdepage9ptNonGrasEspacement0pt">
    <w:name w:val="Note de bas de page + 9 pt;Non Gras;Espacement 0 pt"/>
    <w:rsid w:val="004436F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fr-FR" w:eastAsia="fr-FR" w:bidi="fr-FR"/>
    </w:rPr>
  </w:style>
  <w:style w:type="character" w:customStyle="1" w:styleId="Corpsdutexte1065ptPetitesmajuscules">
    <w:name w:val="Corps du texte (10) + 6.5 pt;Petites majuscules"/>
    <w:rsid w:val="004436F8"/>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Corpsdutexte109ptNonGrasEspacement0pt">
    <w:name w:val="Corps du texte (10) + 9 pt;Non Gras;Espacement 0 pt"/>
    <w:rsid w:val="004436F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fr-FR" w:eastAsia="fr-FR" w:bidi="fr-FR"/>
    </w:rPr>
  </w:style>
  <w:style w:type="character" w:customStyle="1" w:styleId="Notedebasdepage29ptNonGrasNonItaliqueEspacement0pt">
    <w:name w:val="Note de bas de page (2) + 9 pt;Non Gras;Non Italique;Espacement 0 pt"/>
    <w:rsid w:val="004436F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fr-FR" w:eastAsia="fr-FR" w:bidi="fr-FR"/>
    </w:rPr>
  </w:style>
  <w:style w:type="character" w:customStyle="1" w:styleId="Notedebasdepage375ptItalique">
    <w:name w:val="Note de bas de page (3) + 7.5 pt;Italique"/>
    <w:rsid w:val="004436F8"/>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Arial65pt">
    <w:name w:val="Note de bas de page + Arial;6.5 pt"/>
    <w:rsid w:val="004436F8"/>
    <w:rPr>
      <w:rFonts w:ascii="Arial" w:eastAsia="Arial" w:hAnsi="Arial" w:cs="Arial"/>
      <w:b/>
      <w:bCs/>
      <w:i w:val="0"/>
      <w:iCs w:val="0"/>
      <w:smallCaps w:val="0"/>
      <w:strike w:val="0"/>
      <w:color w:val="000000"/>
      <w:spacing w:val="0"/>
      <w:w w:val="100"/>
      <w:position w:val="0"/>
      <w:sz w:val="13"/>
      <w:szCs w:val="13"/>
      <w:u w:val="none"/>
      <w:lang w:val="fr-FR" w:eastAsia="fr-FR" w:bidi="fr-FR"/>
    </w:rPr>
  </w:style>
  <w:style w:type="character" w:customStyle="1" w:styleId="Corpsdutexte2965ptNonItaliquePetitesmajuscules">
    <w:name w:val="Corps du texte (29) + 6.5 pt;Non Italique;Petites majuscules"/>
    <w:rsid w:val="004436F8"/>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Notedebasdepage9ptNonGras">
    <w:name w:val="Note de bas de page + 9 pt;Non Gras"/>
    <w:rsid w:val="004436F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fr-FR" w:eastAsia="fr-FR" w:bidi="fr-FR"/>
    </w:rPr>
  </w:style>
  <w:style w:type="character" w:customStyle="1" w:styleId="Lgendedelimage2">
    <w:name w:val="Légende de l'image (2)_"/>
    <w:link w:val="Lgendedelimage20"/>
    <w:rsid w:val="004436F8"/>
    <w:rPr>
      <w:rFonts w:ascii="MS Gothic" w:eastAsia="MS Gothic" w:hAnsi="MS Gothic" w:cs="MS Gothic"/>
      <w:sz w:val="11"/>
      <w:szCs w:val="11"/>
      <w:shd w:val="clear" w:color="auto" w:fill="FFFFFF"/>
    </w:rPr>
  </w:style>
  <w:style w:type="paragraph" w:customStyle="1" w:styleId="Lgendedelimage20">
    <w:name w:val="Légende de l'image (2)"/>
    <w:basedOn w:val="Normal"/>
    <w:link w:val="Lgendedelimage2"/>
    <w:rsid w:val="004436F8"/>
    <w:pPr>
      <w:widowControl w:val="0"/>
      <w:shd w:val="clear" w:color="auto" w:fill="FFFFFF"/>
      <w:spacing w:line="0" w:lineRule="atLeast"/>
      <w:ind w:firstLine="31"/>
    </w:pPr>
    <w:rPr>
      <w:rFonts w:ascii="MS Gothic" w:eastAsia="MS Gothic" w:hAnsi="MS Gothic"/>
      <w:sz w:val="11"/>
      <w:szCs w:val="11"/>
      <w:lang w:val="x-none" w:eastAsia="x-none"/>
    </w:rPr>
  </w:style>
  <w:style w:type="character" w:customStyle="1" w:styleId="En-tteoupieddepage65ptNonItaliqueEspacement0pt">
    <w:name w:val="En-tête ou pied de page + 6.5 pt;Non Italique;Espacement 0 pt"/>
    <w:rsid w:val="004436F8"/>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Corpsdutexte109ptNonGras">
    <w:name w:val="Corps du texte (10) + 9 pt;Non Gras"/>
    <w:rsid w:val="004436F8"/>
    <w:rPr>
      <w:rFonts w:ascii="Times New Roman" w:eastAsia="Times New Roman" w:hAnsi="Times New Roman" w:cs="Times New Roman"/>
      <w:b w:val="0"/>
      <w:bCs w:val="0"/>
      <w:i w:val="0"/>
      <w:iCs w:val="0"/>
      <w:smallCaps w:val="0"/>
      <w:strike w:val="0"/>
      <w:color w:val="000000"/>
      <w:spacing w:val="0"/>
      <w:w w:val="100"/>
      <w:position w:val="0"/>
      <w:sz w:val="18"/>
      <w:szCs w:val="18"/>
      <w:u w:val="none"/>
      <w:lang w:val="fr-FR" w:eastAsia="fr-FR" w:bidi="fr-FR"/>
    </w:rPr>
  </w:style>
  <w:style w:type="character" w:customStyle="1" w:styleId="Corpsdutexte16Arial13ptEspacement-2pt">
    <w:name w:val="Corps du texte (16) + Arial;13 pt;Espacement -2 pt"/>
    <w:rsid w:val="004436F8"/>
    <w:rPr>
      <w:rFonts w:ascii="Arial" w:eastAsia="Arial" w:hAnsi="Arial" w:cs="Arial"/>
      <w:b w:val="0"/>
      <w:bCs w:val="0"/>
      <w:i/>
      <w:iCs/>
      <w:smallCaps w:val="0"/>
      <w:strike w:val="0"/>
      <w:color w:val="000000"/>
      <w:spacing w:val="-50"/>
      <w:w w:val="100"/>
      <w:position w:val="0"/>
      <w:sz w:val="26"/>
      <w:szCs w:val="26"/>
      <w:u w:val="none"/>
      <w:lang w:val="fr-FR" w:eastAsia="fr-FR" w:bidi="fr-FR"/>
    </w:rPr>
  </w:style>
  <w:style w:type="character" w:customStyle="1" w:styleId="Corpsdutexte16105ptNonItaliqueEspacement1pt">
    <w:name w:val="Corps du texte (16) + 10.5 pt;Non Italique;Espacement 1 pt"/>
    <w:rsid w:val="004436F8"/>
    <w:rPr>
      <w:rFonts w:ascii="Times New Roman" w:eastAsia="Times New Roman" w:hAnsi="Times New Roman" w:cs="Times New Roman"/>
      <w:b w:val="0"/>
      <w:bCs w:val="0"/>
      <w:i w:val="0"/>
      <w:iCs w:val="0"/>
      <w:smallCaps w:val="0"/>
      <w:strike w:val="0"/>
      <w:color w:val="000000"/>
      <w:spacing w:val="30"/>
      <w:w w:val="100"/>
      <w:position w:val="0"/>
      <w:sz w:val="21"/>
      <w:szCs w:val="21"/>
      <w:u w:val="none"/>
      <w:lang w:val="fr-FR" w:eastAsia="fr-FR" w:bidi="fr-FR"/>
    </w:rPr>
  </w:style>
  <w:style w:type="character" w:customStyle="1" w:styleId="Corpsdutexte16105ptNonItalique">
    <w:name w:val="Corps du texte (16) + 10.5 pt;Non Italique"/>
    <w:rsid w:val="004436F8"/>
    <w:rPr>
      <w:rFonts w:ascii="Times New Roman" w:eastAsia="Times New Roman" w:hAnsi="Times New Roman" w:cs="Times New Roman"/>
      <w:b w:val="0"/>
      <w:bCs w:val="0"/>
      <w:i w:val="0"/>
      <w:iCs w:val="0"/>
      <w:smallCaps w:val="0"/>
      <w:strike w:val="0"/>
      <w:color w:val="000000"/>
      <w:spacing w:val="0"/>
      <w:w w:val="100"/>
      <w:position w:val="0"/>
      <w:sz w:val="21"/>
      <w:szCs w:val="21"/>
      <w:u w:val="none"/>
      <w:lang w:val="fr-FR" w:eastAsia="fr-FR" w:bidi="fr-FR"/>
    </w:rPr>
  </w:style>
  <w:style w:type="character" w:customStyle="1" w:styleId="Corpsdutexte265ptGras">
    <w:name w:val="Corps du texte (2) + 6.5 pt;Gras"/>
    <w:rsid w:val="004436F8"/>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En-tte1NonGrasItaliqueEspacement1pt">
    <w:name w:val="En-tête #1 + Non Gras;Italique;Espacement 1 pt"/>
    <w:rsid w:val="004436F8"/>
    <w:rPr>
      <w:rFonts w:ascii="Times New Roman" w:eastAsia="Times New Roman" w:hAnsi="Times New Roman" w:cs="Times New Roman"/>
      <w:b w:val="0"/>
      <w:bCs w:val="0"/>
      <w:i/>
      <w:iCs/>
      <w:smallCaps w:val="0"/>
      <w:strike w:val="0"/>
      <w:color w:val="000000"/>
      <w:spacing w:val="20"/>
      <w:w w:val="100"/>
      <w:position w:val="0"/>
      <w:sz w:val="26"/>
      <w:szCs w:val="26"/>
      <w:u w:val="none"/>
      <w:lang w:val="fr-FR" w:eastAsia="fr-FR" w:bidi="fr-FR"/>
    </w:rPr>
  </w:style>
  <w:style w:type="character" w:customStyle="1" w:styleId="Corpsdutexte295ptItalique">
    <w:name w:val="Corps du texte (2) + 9.5 pt;Italique"/>
    <w:rsid w:val="004436F8"/>
    <w:rPr>
      <w:rFonts w:ascii="Times New Roman" w:eastAsia="Times New Roman" w:hAnsi="Times New Roman" w:cs="Times New Roman"/>
      <w:b w:val="0"/>
      <w:bCs w:val="0"/>
      <w:i/>
      <w:iCs/>
      <w:smallCaps w:val="0"/>
      <w:strike w:val="0"/>
      <w:color w:val="000000"/>
      <w:spacing w:val="0"/>
      <w:w w:val="100"/>
      <w:position w:val="0"/>
      <w:sz w:val="19"/>
      <w:szCs w:val="19"/>
      <w:u w:val="none"/>
      <w:lang w:val="fr-FR" w:eastAsia="fr-FR" w:bidi="fr-FR"/>
    </w:rPr>
  </w:style>
  <w:style w:type="character" w:customStyle="1" w:styleId="En-tteoupieddepage10ptNonGrasNonItaliqueEspacement0pt">
    <w:name w:val="En-tête ou pied de page + 10 pt;Non Gras;Non Italique;Espacement 0 pt"/>
    <w:rsid w:val="004436F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style>
  <w:style w:type="character" w:customStyle="1" w:styleId="Corpsdutexte295ptItaliqueEspacement1pt">
    <w:name w:val="Corps du texte (2) + 9.5 pt;Italique;Espacement 1 pt"/>
    <w:rsid w:val="004436F8"/>
    <w:rPr>
      <w:rFonts w:ascii="Times New Roman" w:eastAsia="Times New Roman" w:hAnsi="Times New Roman" w:cs="Times New Roman"/>
      <w:b w:val="0"/>
      <w:bCs w:val="0"/>
      <w:i/>
      <w:iCs/>
      <w:smallCaps w:val="0"/>
      <w:strike w:val="0"/>
      <w:color w:val="000000"/>
      <w:spacing w:val="30"/>
      <w:w w:val="100"/>
      <w:position w:val="0"/>
      <w:sz w:val="19"/>
      <w:szCs w:val="19"/>
      <w:u w:val="none"/>
      <w:lang w:val="fr-FR" w:eastAsia="fr-FR" w:bidi="fr-FR"/>
    </w:rPr>
  </w:style>
  <w:style w:type="character" w:customStyle="1" w:styleId="Corpsdutexte2PetitesmajusculesEspacement-1pt">
    <w:name w:val="Corps du texte (2) + Petites majuscules;Espacement -1 pt"/>
    <w:rsid w:val="004436F8"/>
    <w:rPr>
      <w:rFonts w:ascii="Times New Roman" w:eastAsia="Times New Roman" w:hAnsi="Times New Roman" w:cs="Times New Roman"/>
      <w:b w:val="0"/>
      <w:bCs w:val="0"/>
      <w:i w:val="0"/>
      <w:iCs w:val="0"/>
      <w:smallCaps/>
      <w:strike w:val="0"/>
      <w:color w:val="000000"/>
      <w:spacing w:val="-20"/>
      <w:w w:val="100"/>
      <w:position w:val="0"/>
      <w:sz w:val="21"/>
      <w:szCs w:val="21"/>
      <w:u w:val="none"/>
      <w:lang w:val="fr-FR" w:eastAsia="fr-FR" w:bidi="fr-FR"/>
    </w:rPr>
  </w:style>
  <w:style w:type="character" w:customStyle="1" w:styleId="Corpsdutexte309ptNonGrasEspacement0pt">
    <w:name w:val="Corps du texte (30) + 9 pt;Non Gras;Espacement 0 pt"/>
    <w:rsid w:val="004436F8"/>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fr-FR" w:eastAsia="fr-FR" w:bidi="fr-FR"/>
    </w:rPr>
  </w:style>
  <w:style w:type="character" w:customStyle="1" w:styleId="Corpsdutexte3075ptItalique">
    <w:name w:val="Corps du texte (30) + 7.5 pt;Italique"/>
    <w:rsid w:val="004436F8"/>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Corpsdutexte28ptGras">
    <w:name w:val="Corps du texte (2) + 8 pt;Gras"/>
    <w:rsid w:val="004436F8"/>
    <w:rPr>
      <w:rFonts w:ascii="Times New Roman" w:eastAsia="Times New Roman" w:hAnsi="Times New Roman" w:cs="Times New Roman"/>
      <w:b/>
      <w:bCs/>
      <w:i w:val="0"/>
      <w:iCs w:val="0"/>
      <w:smallCaps w:val="0"/>
      <w:strike w:val="0"/>
      <w:color w:val="000000"/>
      <w:spacing w:val="0"/>
      <w:w w:val="100"/>
      <w:position w:val="0"/>
      <w:sz w:val="16"/>
      <w:szCs w:val="16"/>
      <w:u w:val="none"/>
      <w:lang w:val="fr-FR" w:eastAsia="fr-FR" w:bidi="fr-FR"/>
    </w:rPr>
  </w:style>
  <w:style w:type="character" w:customStyle="1" w:styleId="Corpsdutexte2965ptNonItalique">
    <w:name w:val="Corps du texte (29) + 6.5 pt;Non Italique"/>
    <w:rsid w:val="004436F8"/>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Notedebasdepage37ptItalique">
    <w:name w:val="Note de bas de page (3) + 7 pt;Italique"/>
    <w:rsid w:val="00004FAE"/>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2NonItaliquePetitesmajuscules">
    <w:name w:val="Note de bas de page (2) + Non Italique;Petites majuscules"/>
    <w:rsid w:val="00004FAE"/>
    <w:rPr>
      <w:rFonts w:ascii="Times New Roman" w:eastAsia="Times New Roman" w:hAnsi="Times New Roman" w:cs="Times New Roman"/>
      <w:b/>
      <w:bCs/>
      <w:i w:val="0"/>
      <w:iCs w:val="0"/>
      <w:smallCaps/>
      <w:strike w:val="0"/>
      <w:color w:val="000000"/>
      <w:spacing w:val="0"/>
      <w:w w:val="100"/>
      <w:position w:val="0"/>
      <w:sz w:val="14"/>
      <w:szCs w:val="14"/>
      <w:u w:val="none"/>
      <w:lang w:val="fr-FR" w:eastAsia="fr-FR" w:bidi="fr-FR"/>
    </w:rPr>
  </w:style>
  <w:style w:type="character" w:customStyle="1" w:styleId="Notedebasdepage310ptNonGrasItalique">
    <w:name w:val="Note de bas de page (3) + 10 pt;Non Gras;Italique"/>
    <w:rsid w:val="00004FAE"/>
    <w:rPr>
      <w:rFonts w:ascii="Times New Roman" w:eastAsia="Times New Roman" w:hAnsi="Times New Roman" w:cs="Times New Roman"/>
      <w:b w:val="0"/>
      <w:bCs w:val="0"/>
      <w:i/>
      <w:iCs/>
      <w:smallCaps w:val="0"/>
      <w:strike w:val="0"/>
      <w:color w:val="000000"/>
      <w:spacing w:val="0"/>
      <w:w w:val="100"/>
      <w:position w:val="0"/>
      <w:sz w:val="20"/>
      <w:szCs w:val="20"/>
      <w:u w:val="none"/>
      <w:lang w:val="fr-FR" w:eastAsia="fr-FR" w:bidi="fr-FR"/>
    </w:rPr>
  </w:style>
  <w:style w:type="character" w:customStyle="1" w:styleId="Corpsdutexte365ptPetitesmajuscules">
    <w:name w:val="Corps du texte (3) + 6.5 pt;Petites majuscules"/>
    <w:rsid w:val="00004FAE"/>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Corpsdutexte1165ptNonItalique">
    <w:name w:val="Corps du texte (11) + 6.5 pt;Non Italique"/>
    <w:rsid w:val="00004FAE"/>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Corpsdutexte1165ptNonItaliquePetitesmajuscules">
    <w:name w:val="Corps du texte (11) + 6.5 pt;Non Italique;Petites majuscules"/>
    <w:rsid w:val="00004FAE"/>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Notedebasdepage57ptItalique">
    <w:name w:val="Note de bas de page (5) + 7 pt;Italique"/>
    <w:rsid w:val="00004FAE"/>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8ptItaliqueEspacement1pt">
    <w:name w:val="Note de bas de page + 8 pt;Italique;Espacement 1 pt"/>
    <w:rsid w:val="00004FAE"/>
    <w:rPr>
      <w:rFonts w:ascii="Times New Roman" w:eastAsia="Times New Roman" w:hAnsi="Times New Roman" w:cs="Times New Roman"/>
      <w:b/>
      <w:bCs/>
      <w:i/>
      <w:iCs/>
      <w:smallCaps w:val="0"/>
      <w:strike w:val="0"/>
      <w:color w:val="000000"/>
      <w:spacing w:val="20"/>
      <w:w w:val="100"/>
      <w:position w:val="0"/>
      <w:sz w:val="16"/>
      <w:szCs w:val="16"/>
      <w:u w:val="none"/>
      <w:lang w:val="fr-FR" w:eastAsia="fr-FR" w:bidi="fr-FR"/>
    </w:rPr>
  </w:style>
  <w:style w:type="character" w:customStyle="1" w:styleId="En-tte1NonGrasEspacement0pt">
    <w:name w:val="En-tête #1 + Non Gras;Espacement 0 pt"/>
    <w:rsid w:val="00004FA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fr-FR" w:eastAsia="fr-FR" w:bidi="fr-FR"/>
    </w:rPr>
  </w:style>
  <w:style w:type="character" w:customStyle="1" w:styleId="En-tteoupieddepage10ptNonItaliqueEspacement0pt">
    <w:name w:val="En-tête ou pied de page + 10 pt;Non Italique;Espacement 0 pt"/>
    <w:rsid w:val="00004FAE"/>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Tabledesmatires">
    <w:name w:val="Table des matières_"/>
    <w:link w:val="Tabledesmatires0"/>
    <w:rsid w:val="00004FAE"/>
    <w:rPr>
      <w:rFonts w:ascii="Times New Roman" w:eastAsia="Times New Roman" w:hAnsi="Times New Roman"/>
      <w:b/>
      <w:bCs/>
      <w:sz w:val="17"/>
      <w:szCs w:val="17"/>
      <w:shd w:val="clear" w:color="auto" w:fill="FFFFFF"/>
    </w:rPr>
  </w:style>
  <w:style w:type="character" w:customStyle="1" w:styleId="En-tte112ptItaliqueEspacement1pt">
    <w:name w:val="En-tête #1 + 12 pt;Italique;Espacement 1 pt"/>
    <w:rsid w:val="00004FAE"/>
    <w:rPr>
      <w:rFonts w:ascii="Times New Roman" w:eastAsia="Times New Roman" w:hAnsi="Times New Roman" w:cs="Times New Roman"/>
      <w:b/>
      <w:bCs/>
      <w:i/>
      <w:iCs/>
      <w:smallCaps w:val="0"/>
      <w:strike w:val="0"/>
      <w:color w:val="000000"/>
      <w:spacing w:val="20"/>
      <w:w w:val="100"/>
      <w:position w:val="0"/>
      <w:sz w:val="24"/>
      <w:szCs w:val="24"/>
      <w:u w:val="none"/>
      <w:lang w:val="fr-FR" w:eastAsia="fr-FR" w:bidi="fr-FR"/>
    </w:rPr>
  </w:style>
  <w:style w:type="character" w:customStyle="1" w:styleId="Corpsdutexte4NonItaliqueEspacement0pt">
    <w:name w:val="Corps du texte (4) + Non Italique;Espacement 0 pt"/>
    <w:rsid w:val="00004FAE"/>
    <w:rPr>
      <w:rFonts w:ascii="Times New Roman" w:eastAsia="Times New Roman" w:hAnsi="Times New Roman" w:cs="Times New Roman"/>
      <w:b/>
      <w:bCs/>
      <w:i w:val="0"/>
      <w:iCs w:val="0"/>
      <w:smallCaps w:val="0"/>
      <w:strike w:val="0"/>
      <w:color w:val="000000"/>
      <w:spacing w:val="10"/>
      <w:w w:val="100"/>
      <w:position w:val="0"/>
      <w:sz w:val="16"/>
      <w:szCs w:val="16"/>
      <w:u w:val="none"/>
      <w:lang w:val="fr-FR" w:eastAsia="fr-FR" w:bidi="fr-FR"/>
    </w:rPr>
  </w:style>
  <w:style w:type="character" w:customStyle="1" w:styleId="Corpsdutexte1110ptNonItaliquePetitesmajuscules">
    <w:name w:val="Corps du texte (11) + 10 pt;Non Italique;Petites majuscules"/>
    <w:rsid w:val="00004FAE"/>
    <w:rPr>
      <w:rFonts w:ascii="Times New Roman" w:eastAsia="Times New Roman" w:hAnsi="Times New Roman" w:cs="Times New Roman"/>
      <w:b/>
      <w:bCs/>
      <w:i w:val="0"/>
      <w:iCs w:val="0"/>
      <w:smallCaps/>
      <w:strike w:val="0"/>
      <w:color w:val="000000"/>
      <w:spacing w:val="0"/>
      <w:w w:val="100"/>
      <w:position w:val="0"/>
      <w:sz w:val="20"/>
      <w:szCs w:val="20"/>
      <w:u w:val="none"/>
      <w:lang w:val="fr-FR" w:eastAsia="fr-FR" w:bidi="fr-FR"/>
    </w:rPr>
  </w:style>
  <w:style w:type="character" w:customStyle="1" w:styleId="Corpsdutexte217ptItalique">
    <w:name w:val="Corps du texte (21) + 7 pt;Italique"/>
    <w:rsid w:val="00004FAE"/>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26ItaliqueEspacement1pt">
    <w:name w:val="Corps du texte (26) + Italique;Espacement 1 pt"/>
    <w:rsid w:val="00004FAE"/>
    <w:rPr>
      <w:rFonts w:ascii="Times New Roman" w:eastAsia="Times New Roman" w:hAnsi="Times New Roman" w:cs="Times New Roman"/>
      <w:b/>
      <w:bCs/>
      <w:i/>
      <w:iCs/>
      <w:smallCaps w:val="0"/>
      <w:strike w:val="0"/>
      <w:color w:val="000000"/>
      <w:spacing w:val="20"/>
      <w:w w:val="100"/>
      <w:position w:val="0"/>
      <w:sz w:val="16"/>
      <w:szCs w:val="16"/>
      <w:u w:val="none"/>
      <w:lang w:val="fr-FR" w:eastAsia="fr-FR" w:bidi="fr-FR"/>
    </w:rPr>
  </w:style>
  <w:style w:type="character" w:customStyle="1" w:styleId="Corpsdutexte3ItaliqueEspacement1pt">
    <w:name w:val="Corps du texte (3) + Italique;Espacement 1 pt"/>
    <w:rsid w:val="00004FAE"/>
    <w:rPr>
      <w:rFonts w:ascii="Times New Roman" w:eastAsia="Times New Roman" w:hAnsi="Times New Roman" w:cs="Times New Roman"/>
      <w:b/>
      <w:bCs/>
      <w:i/>
      <w:iCs/>
      <w:smallCaps w:val="0"/>
      <w:strike w:val="0"/>
      <w:color w:val="000000"/>
      <w:spacing w:val="30"/>
      <w:w w:val="100"/>
      <w:position w:val="0"/>
      <w:sz w:val="14"/>
      <w:szCs w:val="14"/>
      <w:u w:val="none"/>
      <w:lang w:val="fr-FR" w:eastAsia="fr-FR" w:bidi="fr-FR"/>
    </w:rPr>
  </w:style>
  <w:style w:type="character" w:customStyle="1" w:styleId="Corpsdutexte277ptItalique">
    <w:name w:val="Corps du texte (27) + 7 pt;Italique"/>
    <w:rsid w:val="00004FAE"/>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27ptPetitesmajuscules">
    <w:name w:val="Corps du texte (2) + 7 pt;Petites majuscules"/>
    <w:rsid w:val="00004FAE"/>
    <w:rPr>
      <w:rFonts w:ascii="Times New Roman" w:eastAsia="Times New Roman" w:hAnsi="Times New Roman" w:cs="Times New Roman"/>
      <w:b/>
      <w:bCs/>
      <w:i w:val="0"/>
      <w:iCs w:val="0"/>
      <w:smallCaps/>
      <w:strike w:val="0"/>
      <w:color w:val="000000"/>
      <w:spacing w:val="0"/>
      <w:w w:val="100"/>
      <w:position w:val="0"/>
      <w:sz w:val="14"/>
      <w:szCs w:val="14"/>
      <w:u w:val="none"/>
      <w:lang w:val="fr-FR" w:eastAsia="fr-FR" w:bidi="fr-FR"/>
    </w:rPr>
  </w:style>
  <w:style w:type="character" w:customStyle="1" w:styleId="LgendedelimageExact">
    <w:name w:val="Légende de l'image Exact"/>
    <w:link w:val="Lgendedelimage"/>
    <w:rsid w:val="00004FAE"/>
    <w:rPr>
      <w:rFonts w:ascii="Times New Roman" w:eastAsia="Times New Roman" w:hAnsi="Times New Roman"/>
      <w:b/>
      <w:bCs/>
      <w:shd w:val="clear" w:color="auto" w:fill="FFFFFF"/>
    </w:rPr>
  </w:style>
  <w:style w:type="paragraph" w:customStyle="1" w:styleId="Tabledesmatires0">
    <w:name w:val="Table des matières"/>
    <w:basedOn w:val="Normal"/>
    <w:link w:val="Tabledesmatires"/>
    <w:rsid w:val="00004FAE"/>
    <w:pPr>
      <w:widowControl w:val="0"/>
      <w:shd w:val="clear" w:color="auto" w:fill="FFFFFF"/>
      <w:spacing w:before="120" w:line="194" w:lineRule="exact"/>
      <w:ind w:firstLine="0"/>
      <w:jc w:val="both"/>
    </w:pPr>
    <w:rPr>
      <w:b/>
      <w:bCs/>
      <w:sz w:val="17"/>
      <w:szCs w:val="17"/>
      <w:lang w:val="x-none" w:eastAsia="x-none"/>
    </w:rPr>
  </w:style>
  <w:style w:type="paragraph" w:customStyle="1" w:styleId="Lgendedelimage">
    <w:name w:val="Légende de l'image"/>
    <w:basedOn w:val="Normal"/>
    <w:link w:val="LgendedelimageExact"/>
    <w:rsid w:val="00004FAE"/>
    <w:pPr>
      <w:widowControl w:val="0"/>
      <w:shd w:val="clear" w:color="auto" w:fill="FFFFFF"/>
      <w:spacing w:line="0" w:lineRule="atLeast"/>
      <w:ind w:firstLine="31"/>
    </w:pPr>
    <w:rPr>
      <w:b/>
      <w:bCs/>
      <w:sz w:val="20"/>
      <w:lang w:val="x-none" w:eastAsia="x-none"/>
    </w:rPr>
  </w:style>
  <w:style w:type="paragraph" w:customStyle="1" w:styleId="figst">
    <w:name w:val="fig st"/>
    <w:basedOn w:val="Normal"/>
    <w:autoRedefine/>
    <w:rsid w:val="00B906D3"/>
    <w:pPr>
      <w:spacing w:before="120" w:after="120"/>
      <w:ind w:firstLine="0"/>
      <w:jc w:val="center"/>
    </w:pPr>
    <w:rPr>
      <w:color w:val="000090"/>
      <w:sz w:val="24"/>
    </w:rPr>
  </w:style>
  <w:style w:type="character" w:customStyle="1" w:styleId="Grillecouleur-Accent1Car">
    <w:name w:val="Grille couleur - Accent 1 Car"/>
    <w:link w:val="Grillecouleur-Accent1"/>
    <w:rsid w:val="00DF0E93"/>
    <w:rPr>
      <w:rFonts w:ascii="Times New Roman" w:eastAsia="Times New Roman" w:hAnsi="Times New Roman"/>
      <w:color w:val="000080"/>
      <w:sz w:val="24"/>
      <w:lang w:val="fr-CA" w:eastAsia="en-US"/>
    </w:rPr>
  </w:style>
  <w:style w:type="paragraph" w:customStyle="1" w:styleId="aa">
    <w:name w:val="aa"/>
    <w:basedOn w:val="Normal"/>
    <w:autoRedefine/>
    <w:rsid w:val="001D5609"/>
    <w:pPr>
      <w:spacing w:before="120" w:after="120"/>
      <w:jc w:val="both"/>
    </w:pPr>
    <w:rPr>
      <w:b/>
      <w:i/>
      <w:color w:val="FF0000"/>
      <w:sz w:val="32"/>
    </w:rPr>
  </w:style>
  <w:style w:type="paragraph" w:customStyle="1" w:styleId="b">
    <w:name w:val="b"/>
    <w:basedOn w:val="Normal"/>
    <w:autoRedefine/>
    <w:rsid w:val="003301CB"/>
    <w:pPr>
      <w:spacing w:before="120" w:after="120"/>
      <w:ind w:left="720" w:firstLine="0"/>
    </w:pPr>
    <w:rPr>
      <w:i/>
      <w:color w:val="0000FF"/>
    </w:rPr>
  </w:style>
  <w:style w:type="paragraph" w:customStyle="1" w:styleId="ba">
    <w:name w:val="ba"/>
    <w:basedOn w:val="Normal"/>
    <w:autoRedefine/>
    <w:rsid w:val="001D5609"/>
    <w:pPr>
      <w:spacing w:before="120" w:after="120"/>
      <w:ind w:left="1260" w:hanging="540"/>
    </w:pPr>
  </w:style>
  <w:style w:type="paragraph" w:customStyle="1" w:styleId="bb">
    <w:name w:val="bb"/>
    <w:basedOn w:val="Normal"/>
    <w:rsid w:val="001D5609"/>
    <w:pPr>
      <w:spacing w:before="120" w:after="120"/>
      <w:ind w:left="540"/>
    </w:pPr>
    <w:rPr>
      <w:i/>
      <w:color w:val="0000FF"/>
    </w:rPr>
  </w:style>
  <w:style w:type="character" w:customStyle="1" w:styleId="En-tteCar">
    <w:name w:val="En-tête Car"/>
    <w:link w:val="En-tte"/>
    <w:uiPriority w:val="99"/>
    <w:rsid w:val="001D5609"/>
    <w:rPr>
      <w:rFonts w:ascii="GillSans" w:eastAsia="Times New Roman" w:hAnsi="GillSans"/>
      <w:lang w:val="fr-CA" w:eastAsia="en-US"/>
    </w:rPr>
  </w:style>
  <w:style w:type="character" w:customStyle="1" w:styleId="NotedefinCar">
    <w:name w:val="Note de fin Car"/>
    <w:link w:val="Notedefin"/>
    <w:rsid w:val="001D5609"/>
    <w:rPr>
      <w:rFonts w:ascii="Times New Roman" w:eastAsia="Times New Roman" w:hAnsi="Times New Roman"/>
      <w:lang w:eastAsia="en-US"/>
    </w:rPr>
  </w:style>
  <w:style w:type="character" w:customStyle="1" w:styleId="PieddepageCar">
    <w:name w:val="Pied de page Car"/>
    <w:link w:val="Pieddepage"/>
    <w:uiPriority w:val="99"/>
    <w:rsid w:val="001D5609"/>
    <w:rPr>
      <w:rFonts w:ascii="GillSans" w:eastAsia="Times New Roman" w:hAnsi="GillSans"/>
      <w:lang w:val="fr-CA" w:eastAsia="en-US"/>
    </w:rPr>
  </w:style>
  <w:style w:type="paragraph" w:styleId="Retraitcorpsdetexte">
    <w:name w:val="Body Text Indent"/>
    <w:basedOn w:val="Normal"/>
    <w:link w:val="RetraitcorpsdetexteCar"/>
    <w:rsid w:val="001D5609"/>
    <w:pPr>
      <w:ind w:left="20" w:firstLine="400"/>
    </w:pPr>
    <w:rPr>
      <w:rFonts w:ascii="Arial" w:hAnsi="Arial"/>
    </w:rPr>
  </w:style>
  <w:style w:type="character" w:customStyle="1" w:styleId="RetraitcorpsdetexteCar">
    <w:name w:val="Retrait corps de texte Car"/>
    <w:basedOn w:val="Policepardfaut"/>
    <w:link w:val="Retraitcorpsdetexte"/>
    <w:rsid w:val="001D5609"/>
    <w:rPr>
      <w:rFonts w:ascii="Arial" w:eastAsia="Times New Roman" w:hAnsi="Arial"/>
      <w:sz w:val="28"/>
      <w:lang w:val="fr-CA" w:eastAsia="en-US"/>
    </w:rPr>
  </w:style>
  <w:style w:type="paragraph" w:styleId="Retraitcorpsdetexte2">
    <w:name w:val="Body Text Indent 2"/>
    <w:basedOn w:val="Normal"/>
    <w:link w:val="Retraitcorpsdetexte2Car"/>
    <w:rsid w:val="001D5609"/>
    <w:pPr>
      <w:tabs>
        <w:tab w:val="left" w:pos="840"/>
        <w:tab w:val="right" w:pos="9360"/>
        <w:tab w:val="left" w:pos="840"/>
      </w:tabs>
      <w:ind w:left="20"/>
      <w:jc w:val="both"/>
    </w:pPr>
    <w:rPr>
      <w:rFonts w:ascii="Arial" w:hAnsi="Arial"/>
    </w:rPr>
  </w:style>
  <w:style w:type="character" w:customStyle="1" w:styleId="Retraitcorpsdetexte2Car">
    <w:name w:val="Retrait corps de texte 2 Car"/>
    <w:basedOn w:val="Policepardfaut"/>
    <w:link w:val="Retraitcorpsdetexte2"/>
    <w:rsid w:val="001D5609"/>
    <w:rPr>
      <w:rFonts w:ascii="Arial" w:eastAsia="Times New Roman" w:hAnsi="Arial"/>
      <w:sz w:val="28"/>
      <w:lang w:val="fr-CA" w:eastAsia="en-US"/>
    </w:rPr>
  </w:style>
  <w:style w:type="paragraph" w:styleId="Retraitcorpsdetexte3">
    <w:name w:val="Body Text Indent 3"/>
    <w:basedOn w:val="Normal"/>
    <w:link w:val="Retraitcorpsdetexte3Car"/>
    <w:rsid w:val="001D5609"/>
    <w:pPr>
      <w:ind w:left="20" w:firstLine="380"/>
      <w:jc w:val="both"/>
    </w:pPr>
    <w:rPr>
      <w:rFonts w:ascii="Arial" w:hAnsi="Arial"/>
    </w:rPr>
  </w:style>
  <w:style w:type="character" w:customStyle="1" w:styleId="Retraitcorpsdetexte3Car">
    <w:name w:val="Retrait corps de texte 3 Car"/>
    <w:basedOn w:val="Policepardfaut"/>
    <w:link w:val="Retraitcorpsdetexte3"/>
    <w:rsid w:val="001D5609"/>
    <w:rPr>
      <w:rFonts w:ascii="Arial" w:eastAsia="Times New Roman" w:hAnsi="Arial"/>
      <w:sz w:val="28"/>
      <w:lang w:val="fr-CA" w:eastAsia="en-US"/>
    </w:rPr>
  </w:style>
  <w:style w:type="character" w:customStyle="1" w:styleId="TitreCar">
    <w:name w:val="Titre Car"/>
    <w:link w:val="Titre"/>
    <w:rsid w:val="001D5609"/>
    <w:rPr>
      <w:rFonts w:ascii="Times New Roman" w:eastAsia="Times New Roman" w:hAnsi="Times New Roman"/>
      <w:b/>
      <w:sz w:val="48"/>
      <w:lang w:val="fr-CA" w:eastAsia="en-US"/>
    </w:rPr>
  </w:style>
  <w:style w:type="character" w:customStyle="1" w:styleId="Titre1Car">
    <w:name w:val="Titre 1 Car"/>
    <w:link w:val="Titre1"/>
    <w:rsid w:val="001D5609"/>
    <w:rPr>
      <w:rFonts w:eastAsia="Times New Roman"/>
      <w:noProof/>
      <w:lang w:val="fr-CA" w:eastAsia="en-US" w:bidi="ar-SA"/>
    </w:rPr>
  </w:style>
  <w:style w:type="character" w:customStyle="1" w:styleId="Titre2Car">
    <w:name w:val="Titre 2 Car"/>
    <w:link w:val="Titre2"/>
    <w:rsid w:val="001D5609"/>
    <w:rPr>
      <w:rFonts w:eastAsia="Times New Roman"/>
      <w:noProof/>
      <w:lang w:val="fr-CA" w:eastAsia="en-US" w:bidi="ar-SA"/>
    </w:rPr>
  </w:style>
  <w:style w:type="character" w:customStyle="1" w:styleId="Titre3Car">
    <w:name w:val="Titre 3 Car"/>
    <w:link w:val="Titre3"/>
    <w:rsid w:val="001D5609"/>
    <w:rPr>
      <w:rFonts w:eastAsia="Times New Roman"/>
      <w:noProof/>
      <w:lang w:val="fr-CA" w:eastAsia="en-US" w:bidi="ar-SA"/>
    </w:rPr>
  </w:style>
  <w:style w:type="character" w:customStyle="1" w:styleId="Titre4Car">
    <w:name w:val="Titre 4 Car"/>
    <w:link w:val="Titre4"/>
    <w:rsid w:val="001D5609"/>
    <w:rPr>
      <w:rFonts w:eastAsia="Times New Roman"/>
      <w:noProof/>
      <w:lang w:val="fr-CA" w:eastAsia="en-US" w:bidi="ar-SA"/>
    </w:rPr>
  </w:style>
  <w:style w:type="character" w:customStyle="1" w:styleId="Titre5Car">
    <w:name w:val="Titre 5 Car"/>
    <w:link w:val="Titre5"/>
    <w:rsid w:val="001D5609"/>
    <w:rPr>
      <w:rFonts w:eastAsia="Times New Roman"/>
      <w:noProof/>
      <w:lang w:val="fr-CA" w:eastAsia="en-US" w:bidi="ar-SA"/>
    </w:rPr>
  </w:style>
  <w:style w:type="character" w:customStyle="1" w:styleId="Titre6Car">
    <w:name w:val="Titre 6 Car"/>
    <w:link w:val="Titre6"/>
    <w:rsid w:val="001D5609"/>
    <w:rPr>
      <w:rFonts w:eastAsia="Times New Roman"/>
      <w:noProof/>
      <w:lang w:val="fr-CA" w:eastAsia="en-US" w:bidi="ar-SA"/>
    </w:rPr>
  </w:style>
  <w:style w:type="character" w:customStyle="1" w:styleId="Titre7Car">
    <w:name w:val="Titre 7 Car"/>
    <w:link w:val="Titre7"/>
    <w:rsid w:val="001D5609"/>
    <w:rPr>
      <w:rFonts w:eastAsia="Times New Roman"/>
      <w:noProof/>
      <w:lang w:val="fr-CA" w:eastAsia="en-US" w:bidi="ar-SA"/>
    </w:rPr>
  </w:style>
  <w:style w:type="character" w:customStyle="1" w:styleId="Titre8Car">
    <w:name w:val="Titre 8 Car"/>
    <w:link w:val="Titre8"/>
    <w:rsid w:val="001D5609"/>
    <w:rPr>
      <w:rFonts w:eastAsia="Times New Roman"/>
      <w:noProof/>
      <w:lang w:val="fr-CA" w:eastAsia="en-US" w:bidi="ar-SA"/>
    </w:rPr>
  </w:style>
  <w:style w:type="character" w:customStyle="1" w:styleId="Titre9Car">
    <w:name w:val="Titre 9 Car"/>
    <w:link w:val="Titre9"/>
    <w:rsid w:val="001D5609"/>
    <w:rPr>
      <w:rFonts w:eastAsia="Times New Roman"/>
      <w:noProof/>
      <w:lang w:val="fr-CA" w:eastAsia="en-US" w:bidi="ar-SA"/>
    </w:rPr>
  </w:style>
  <w:style w:type="paragraph" w:customStyle="1" w:styleId="Citation0simple">
    <w:name w:val="Citation 0 simple"/>
    <w:basedOn w:val="Citation0"/>
    <w:rsid w:val="001D5609"/>
    <w:rPr>
      <w:lang w:eastAsia="fr-FR" w:bidi="fr-FR"/>
    </w:rPr>
  </w:style>
  <w:style w:type="character" w:customStyle="1" w:styleId="Notedebasdepage2ItaliqueEspacement0pt">
    <w:name w:val="Note de bas de page (2) + Italique;Espacement 0 pt"/>
    <w:rsid w:val="001D5609"/>
    <w:rPr>
      <w:rFonts w:ascii="Times New Roman" w:hAnsi="Times New Roman" w:cs="Times New Roman"/>
      <w:b/>
      <w:bCs/>
      <w:i/>
      <w:iCs/>
      <w:color w:val="000000"/>
      <w:spacing w:val="10"/>
      <w:w w:val="100"/>
      <w:position w:val="0"/>
      <w:sz w:val="15"/>
      <w:szCs w:val="15"/>
      <w:shd w:val="clear" w:color="auto" w:fill="FFFFFF"/>
      <w:lang w:val="fr-FR" w:eastAsia="fr-FR" w:bidi="fr-FR"/>
    </w:rPr>
  </w:style>
  <w:style w:type="character" w:customStyle="1" w:styleId="CorpsdetexteCar">
    <w:name w:val="Corps de texte Car"/>
    <w:basedOn w:val="Policepardfaut"/>
    <w:link w:val="Corpsdetexte"/>
    <w:rsid w:val="001D5609"/>
    <w:rPr>
      <w:rFonts w:ascii="Times New Roman" w:eastAsia="Times New Roman" w:hAnsi="Times New Roman"/>
      <w:sz w:val="72"/>
      <w:lang w:val="fr-CA" w:eastAsia="en-US"/>
    </w:rPr>
  </w:style>
  <w:style w:type="character" w:customStyle="1" w:styleId="Notedebasdepage365ptNonItaliqueEspacement0pt">
    <w:name w:val="Note de bas de page (3) + 6.5 pt;Non Italique;Espacement 0 pt"/>
    <w:rsid w:val="001D5609"/>
    <w:rPr>
      <w:rFonts w:ascii="Times New Roman" w:hAnsi="Times New Roman" w:cs="Times New Roman"/>
      <w:b/>
      <w:bCs/>
      <w:i/>
      <w:iCs/>
      <w:color w:val="000000"/>
      <w:spacing w:val="0"/>
      <w:w w:val="100"/>
      <w:position w:val="0"/>
      <w:sz w:val="13"/>
      <w:szCs w:val="13"/>
      <w:shd w:val="clear" w:color="auto" w:fill="FFFFFF"/>
      <w:lang w:val="fr-FR" w:eastAsia="fr-FR" w:bidi="fr-FR"/>
    </w:rPr>
  </w:style>
  <w:style w:type="character" w:customStyle="1" w:styleId="Notedebasdepage3NonItaliqueEspacement0pt">
    <w:name w:val="Note de bas de page (3) + Non Italique;Espacement 0 pt"/>
    <w:rsid w:val="001D5609"/>
    <w:rPr>
      <w:rFonts w:ascii="Times New Roman" w:hAnsi="Times New Roman" w:cs="Times New Roman"/>
      <w:b/>
      <w:bCs/>
      <w:i/>
      <w:iCs/>
      <w:color w:val="000000"/>
      <w:spacing w:val="0"/>
      <w:w w:val="100"/>
      <w:position w:val="0"/>
      <w:sz w:val="15"/>
      <w:szCs w:val="15"/>
      <w:shd w:val="clear" w:color="auto" w:fill="FFFFFF"/>
      <w:lang w:val="fr-FR" w:eastAsia="fr-FR" w:bidi="fr-FR"/>
    </w:rPr>
  </w:style>
  <w:style w:type="character" w:customStyle="1" w:styleId="Notedebasdepage365ptNonItaliquePetitesmajusculesEspacement0pt">
    <w:name w:val="Note de bas de page (3) + 6.5 pt;Non Italique;Petites majuscules;Espacement 0 pt"/>
    <w:rsid w:val="001D5609"/>
    <w:rPr>
      <w:rFonts w:ascii="Times New Roman" w:hAnsi="Times New Roman" w:cs="Times New Roman"/>
      <w:b/>
      <w:bCs/>
      <w:i/>
      <w:iCs/>
      <w:smallCaps/>
      <w:color w:val="000000"/>
      <w:spacing w:val="0"/>
      <w:w w:val="100"/>
      <w:position w:val="0"/>
      <w:sz w:val="13"/>
      <w:szCs w:val="13"/>
      <w:shd w:val="clear" w:color="auto" w:fill="FFFFFF"/>
      <w:lang w:val="fr-FR" w:eastAsia="fr-FR" w:bidi="fr-FR"/>
    </w:rPr>
  </w:style>
  <w:style w:type="paragraph" w:customStyle="1" w:styleId="d">
    <w:name w:val="d"/>
    <w:basedOn w:val="Normal"/>
    <w:autoRedefine/>
    <w:rsid w:val="001D5609"/>
    <w:pPr>
      <w:spacing w:before="120" w:after="120"/>
      <w:ind w:left="1440"/>
    </w:pPr>
    <w:rPr>
      <w:i/>
      <w:color w:val="008000"/>
      <w:szCs w:val="14"/>
      <w:u w:val="single"/>
    </w:rPr>
  </w:style>
  <w:style w:type="paragraph" w:customStyle="1" w:styleId="dd">
    <w:name w:val="dd"/>
    <w:basedOn w:val="Normal"/>
    <w:autoRedefine/>
    <w:rsid w:val="001D5609"/>
    <w:pPr>
      <w:spacing w:before="120" w:after="120"/>
      <w:ind w:left="1080"/>
    </w:pPr>
    <w:rPr>
      <w:i/>
      <w:color w:val="008000"/>
    </w:rPr>
  </w:style>
  <w:style w:type="paragraph" w:customStyle="1" w:styleId="En-tteimpaire">
    <w:name w:val="En-tÍte impaire"/>
    <w:basedOn w:val="En-tte"/>
    <w:rsid w:val="001D5609"/>
    <w:pPr>
      <w:tabs>
        <w:tab w:val="right" w:pos="8280"/>
        <w:tab w:val="right" w:pos="9000"/>
      </w:tabs>
      <w:ind w:firstLine="0"/>
    </w:pPr>
  </w:style>
  <w:style w:type="character" w:customStyle="1" w:styleId="Notedebasdepage475ptItaliqueEspacement0pt">
    <w:name w:val="Note de bas de page (4) + 7.5 pt;Italique;Espacement 0 pt"/>
    <w:rsid w:val="001D5609"/>
    <w:rPr>
      <w:rFonts w:ascii="Times New Roman" w:hAnsi="Times New Roman" w:cs="Times New Roman"/>
      <w:b/>
      <w:bCs/>
      <w:i/>
      <w:iCs/>
      <w:color w:val="000000"/>
      <w:spacing w:val="10"/>
      <w:w w:val="100"/>
      <w:position w:val="0"/>
      <w:sz w:val="15"/>
      <w:szCs w:val="15"/>
      <w:shd w:val="clear" w:color="auto" w:fill="FFFFFF"/>
      <w:lang w:val="fr-FR" w:eastAsia="fr-FR" w:bidi="fr-FR"/>
    </w:rPr>
  </w:style>
  <w:style w:type="paragraph" w:customStyle="1" w:styleId="En-ttepaire">
    <w:name w:val="En-tÍte paire"/>
    <w:basedOn w:val="En-tte"/>
    <w:rsid w:val="001D5609"/>
    <w:pPr>
      <w:tabs>
        <w:tab w:val="left" w:pos="720"/>
      </w:tabs>
      <w:ind w:firstLine="0"/>
    </w:pPr>
  </w:style>
  <w:style w:type="character" w:customStyle="1" w:styleId="Notedebasdepage265ptItaliquePetitesmajuscules">
    <w:name w:val="Note de bas de page (2) + 6.5 pt;Italique;Petites majuscules"/>
    <w:rsid w:val="001D5609"/>
    <w:rPr>
      <w:rFonts w:ascii="Times New Roman" w:hAnsi="Times New Roman" w:cs="Times New Roman"/>
      <w:b/>
      <w:bCs/>
      <w:i/>
      <w:iCs/>
      <w:smallCaps/>
      <w:color w:val="000000"/>
      <w:spacing w:val="0"/>
      <w:w w:val="100"/>
      <w:position w:val="0"/>
      <w:sz w:val="13"/>
      <w:szCs w:val="13"/>
      <w:shd w:val="clear" w:color="auto" w:fill="FFFFFF"/>
      <w:lang w:val="fr-FR" w:eastAsia="fr-FR" w:bidi="fr-FR"/>
    </w:rPr>
  </w:style>
  <w:style w:type="character" w:customStyle="1" w:styleId="Notedebasdepage265ptItalique">
    <w:name w:val="Note de bas de page (2) + 6.5 pt;Italique"/>
    <w:rsid w:val="001D5609"/>
    <w:rPr>
      <w:rFonts w:ascii="Times New Roman" w:hAnsi="Times New Roman" w:cs="Times New Roman"/>
      <w:b/>
      <w:bCs/>
      <w:i/>
      <w:iCs/>
      <w:color w:val="000000"/>
      <w:spacing w:val="0"/>
      <w:w w:val="100"/>
      <w:position w:val="0"/>
      <w:sz w:val="13"/>
      <w:szCs w:val="13"/>
      <w:shd w:val="clear" w:color="auto" w:fill="FFFFFF"/>
      <w:lang w:val="fr-FR" w:eastAsia="fr-FR" w:bidi="fr-FR"/>
    </w:rPr>
  </w:style>
  <w:style w:type="character" w:customStyle="1" w:styleId="Notedebasdepage265ptPetitesmajuscules">
    <w:name w:val="Note de bas de page (2) + 6.5 pt;Petites majuscules"/>
    <w:rsid w:val="001D5609"/>
    <w:rPr>
      <w:rFonts w:ascii="Times New Roman" w:hAnsi="Times New Roman" w:cs="Times New Roman"/>
      <w:b/>
      <w:bCs/>
      <w:smallCaps/>
      <w:color w:val="000000"/>
      <w:spacing w:val="0"/>
      <w:w w:val="100"/>
      <w:position w:val="0"/>
      <w:sz w:val="13"/>
      <w:szCs w:val="13"/>
      <w:shd w:val="clear" w:color="auto" w:fill="FFFFFF"/>
      <w:lang w:val="fr-FR" w:eastAsia="fr-FR" w:bidi="fr-FR"/>
    </w:rPr>
  </w:style>
  <w:style w:type="paragraph" w:customStyle="1" w:styleId="figlgende">
    <w:name w:val="fig légende"/>
    <w:basedOn w:val="Normal0"/>
    <w:rsid w:val="001D5609"/>
    <w:rPr>
      <w:color w:val="000090"/>
      <w:sz w:val="24"/>
      <w:szCs w:val="16"/>
      <w:lang w:eastAsia="fr-FR"/>
    </w:rPr>
  </w:style>
  <w:style w:type="character" w:customStyle="1" w:styleId="NotedebasdepageItaliqueEspacement1pt">
    <w:name w:val="Note de bas de page + Italique;Espacement 1 pt"/>
    <w:rsid w:val="001D5609"/>
    <w:rPr>
      <w:rFonts w:ascii="Times New Roman" w:hAnsi="Times New Roman" w:cs="Times New Roman"/>
      <w:b/>
      <w:bCs/>
      <w:i/>
      <w:iCs/>
      <w:color w:val="000000"/>
      <w:spacing w:val="30"/>
      <w:w w:val="100"/>
      <w:position w:val="0"/>
      <w:sz w:val="15"/>
      <w:szCs w:val="15"/>
      <w:shd w:val="clear" w:color="auto" w:fill="FFFFFF"/>
      <w:lang w:val="fr-FR" w:eastAsia="fr-FR" w:bidi="fr-FR"/>
    </w:rPr>
  </w:style>
  <w:style w:type="character" w:customStyle="1" w:styleId="Notedebasdepage675ptItalique">
    <w:name w:val="Note de bas de page (6) + 7.5 pt;Italique"/>
    <w:rsid w:val="001D5609"/>
    <w:rPr>
      <w:rFonts w:ascii="Times New Roman" w:hAnsi="Times New Roman" w:cs="Times New Roman"/>
      <w:b/>
      <w:bCs/>
      <w:i/>
      <w:iCs/>
      <w:color w:val="000000"/>
      <w:spacing w:val="0"/>
      <w:w w:val="100"/>
      <w:position w:val="0"/>
      <w:sz w:val="15"/>
      <w:szCs w:val="15"/>
      <w:shd w:val="clear" w:color="auto" w:fill="FFFFFF"/>
      <w:lang w:val="fr-FR" w:eastAsia="fr-FR" w:bidi="fr-FR"/>
    </w:rPr>
  </w:style>
  <w:style w:type="paragraph" w:customStyle="1" w:styleId="figtitre">
    <w:name w:val="fig titre"/>
    <w:basedOn w:val="Normal"/>
    <w:autoRedefine/>
    <w:rsid w:val="001D5609"/>
    <w:pPr>
      <w:spacing w:before="120" w:after="120"/>
      <w:jc w:val="center"/>
    </w:pPr>
    <w:rPr>
      <w:color w:val="0000FF"/>
      <w:sz w:val="24"/>
    </w:rPr>
  </w:style>
  <w:style w:type="character" w:customStyle="1" w:styleId="Notedebasdepage565ptNonItalique">
    <w:name w:val="Note de bas de page (5) + 6.5 pt;Non Italique"/>
    <w:rsid w:val="001D5609"/>
    <w:rPr>
      <w:rFonts w:ascii="Times New Roman" w:hAnsi="Times New Roman" w:cs="Times New Roman"/>
      <w:b/>
      <w:bCs/>
      <w:i/>
      <w:iCs/>
      <w:color w:val="000000"/>
      <w:spacing w:val="0"/>
      <w:w w:val="100"/>
      <w:position w:val="0"/>
      <w:sz w:val="13"/>
      <w:szCs w:val="13"/>
      <w:shd w:val="clear" w:color="auto" w:fill="FFFFFF"/>
      <w:lang w:val="fr-FR" w:eastAsia="fr-FR" w:bidi="fr-FR"/>
    </w:rPr>
  </w:style>
  <w:style w:type="paragraph" w:customStyle="1" w:styleId="figtitrest">
    <w:name w:val="fig titre st"/>
    <w:basedOn w:val="fig"/>
    <w:autoRedefine/>
    <w:rsid w:val="001D5609"/>
    <w:rPr>
      <w:color w:val="0000FF"/>
      <w:sz w:val="24"/>
    </w:rPr>
  </w:style>
  <w:style w:type="paragraph" w:customStyle="1" w:styleId="Heading1">
    <w:name w:val="Heading #1"/>
    <w:basedOn w:val="Normal"/>
    <w:rsid w:val="001D5609"/>
    <w:pPr>
      <w:shd w:val="clear" w:color="auto" w:fill="FFFFFF"/>
      <w:spacing w:after="360" w:line="0" w:lineRule="atLeast"/>
      <w:jc w:val="center"/>
      <w:outlineLvl w:val="0"/>
    </w:pPr>
    <w:rPr>
      <w:b/>
      <w:bCs/>
      <w:szCs w:val="28"/>
    </w:rPr>
  </w:style>
  <w:style w:type="character" w:customStyle="1" w:styleId="Notedebasdepage8ItaliqueEspacement1pt">
    <w:name w:val="Note de bas de page (8) + Italique;Espacement 1 pt"/>
    <w:rsid w:val="001D5609"/>
    <w:rPr>
      <w:rFonts w:ascii="Times New Roman" w:hAnsi="Times New Roman" w:cs="Times New Roman"/>
      <w:b/>
      <w:bCs/>
      <w:i/>
      <w:iCs/>
      <w:color w:val="000000"/>
      <w:spacing w:val="30"/>
      <w:w w:val="100"/>
      <w:position w:val="0"/>
      <w:sz w:val="15"/>
      <w:szCs w:val="15"/>
      <w:shd w:val="clear" w:color="auto" w:fill="FFFFFF"/>
      <w:lang w:val="fr-FR" w:eastAsia="fr-FR" w:bidi="fr-FR"/>
    </w:rPr>
  </w:style>
  <w:style w:type="paragraph" w:customStyle="1" w:styleId="Tableofcontents">
    <w:name w:val="Table of contents"/>
    <w:basedOn w:val="Normal"/>
    <w:rsid w:val="001D5609"/>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1D5609"/>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1D5609"/>
    <w:pPr>
      <w:widowControl w:val="0"/>
      <w:shd w:val="clear" w:color="auto" w:fill="FFFFFF"/>
      <w:spacing w:line="240" w:lineRule="exact"/>
      <w:ind w:hanging="5"/>
      <w:jc w:val="both"/>
    </w:pPr>
    <w:rPr>
      <w:sz w:val="22"/>
      <w:szCs w:val="22"/>
      <w:lang w:val="fr-FR" w:eastAsia="fr-FR"/>
    </w:rPr>
  </w:style>
  <w:style w:type="character" w:customStyle="1" w:styleId="Notedebasdepage105ptNonGrasItalique">
    <w:name w:val="Note de bas de page + 10.5 pt;Non Gras;Italique"/>
    <w:rsid w:val="001D5609"/>
    <w:rPr>
      <w:rFonts w:ascii="Times New Roman" w:hAnsi="Times New Roman" w:cs="Times New Roman"/>
      <w:b/>
      <w:bCs/>
      <w:i/>
      <w:iCs/>
      <w:color w:val="000000"/>
      <w:spacing w:val="0"/>
      <w:w w:val="100"/>
      <w:position w:val="0"/>
      <w:sz w:val="21"/>
      <w:szCs w:val="21"/>
      <w:shd w:val="clear" w:color="auto" w:fill="FFFFFF"/>
      <w:lang w:val="fr-FR" w:eastAsia="fr-FR" w:bidi="fr-FR"/>
    </w:rPr>
  </w:style>
  <w:style w:type="character" w:customStyle="1" w:styleId="TableofcontentsItalic">
    <w:name w:val="Table of contents + Italic"/>
    <w:basedOn w:val="Policepardfaut"/>
    <w:rsid w:val="001D5609"/>
    <w:rPr>
      <w:rFonts w:ascii="Times New Roman" w:eastAsia="Times New Roman" w:hAnsi="Times New Roman"/>
      <w:i/>
      <w:iCs/>
      <w:color w:val="000000"/>
      <w:spacing w:val="0"/>
      <w:w w:val="100"/>
      <w:position w:val="0"/>
      <w:sz w:val="21"/>
      <w:szCs w:val="21"/>
      <w:shd w:val="clear" w:color="auto" w:fill="FFFFFF"/>
      <w:lang w:val="uz-Cyrl-UZ"/>
    </w:rPr>
  </w:style>
  <w:style w:type="character" w:customStyle="1" w:styleId="Notedebasdepage65ptItalique">
    <w:name w:val="Note de bas de page + 6.5 pt;Italique"/>
    <w:rsid w:val="001D5609"/>
    <w:rPr>
      <w:rFonts w:ascii="Times New Roman" w:hAnsi="Times New Roman" w:cs="Times New Roman"/>
      <w:b/>
      <w:bCs/>
      <w:i/>
      <w:iCs/>
      <w:color w:val="000000"/>
      <w:spacing w:val="0"/>
      <w:w w:val="100"/>
      <w:position w:val="0"/>
      <w:sz w:val="13"/>
      <w:szCs w:val="13"/>
      <w:shd w:val="clear" w:color="auto" w:fill="FFFFFF"/>
      <w:lang w:val="fr-FR" w:eastAsia="fr-FR" w:bidi="fr-FR"/>
    </w:rPr>
  </w:style>
  <w:style w:type="character" w:customStyle="1" w:styleId="Notedebasdepage105ptNonGras">
    <w:name w:val="Note de bas de page + 10.5 pt;Non Gras"/>
    <w:rsid w:val="001D5609"/>
    <w:rPr>
      <w:rFonts w:ascii="Times New Roman" w:hAnsi="Times New Roman" w:cs="Times New Roman"/>
      <w:b/>
      <w:bCs/>
      <w:color w:val="000000"/>
      <w:spacing w:val="0"/>
      <w:w w:val="100"/>
      <w:position w:val="0"/>
      <w:sz w:val="21"/>
      <w:szCs w:val="21"/>
      <w:shd w:val="clear" w:color="auto" w:fill="FFFFFF"/>
      <w:lang w:val="fr-FR" w:eastAsia="fr-FR" w:bidi="fr-FR"/>
    </w:rPr>
  </w:style>
  <w:style w:type="paragraph" w:customStyle="1" w:styleId="Titreniveau2bis">
    <w:name w:val="Titre niveau 2 bis"/>
    <w:basedOn w:val="Titreniveau2"/>
    <w:rsid w:val="001D5609"/>
    <w:rPr>
      <w:caps w:val="0"/>
      <w:sz w:val="72"/>
    </w:rPr>
  </w:style>
  <w:style w:type="character" w:customStyle="1" w:styleId="Corpsdutexte4105ptNonGras">
    <w:name w:val="Corps du texte (4) + 10.5 pt;Non Gras"/>
    <w:rsid w:val="001D5609"/>
    <w:rPr>
      <w:rFonts w:ascii="Times New Roman" w:hAnsi="Times New Roman" w:cs="Times New Roman"/>
      <w:b/>
      <w:bCs/>
      <w:color w:val="000000"/>
      <w:spacing w:val="0"/>
      <w:w w:val="100"/>
      <w:position w:val="0"/>
      <w:sz w:val="21"/>
      <w:szCs w:val="21"/>
      <w:shd w:val="clear" w:color="auto" w:fill="FFFFFF"/>
      <w:lang w:val="fr-FR" w:eastAsia="fr-FR" w:bidi="fr-FR"/>
    </w:rPr>
  </w:style>
  <w:style w:type="character" w:customStyle="1" w:styleId="En-tteoupieddepage95ptNonItaliqueEspacement0pt">
    <w:name w:val="En-tête ou pied de page + 9.5 pt;Non Italique;Espacement 0 pt"/>
    <w:rsid w:val="001D5609"/>
    <w:rPr>
      <w:rFonts w:ascii="Times New Roman" w:eastAsia="Times New Roman" w:hAnsi="Times New Roman" w:cs="Times New Roman"/>
      <w:b/>
      <w:bCs/>
      <w:i/>
      <w:iCs/>
      <w:smallCaps w:val="0"/>
      <w:strike w:val="0"/>
      <w:color w:val="000000"/>
      <w:spacing w:val="0"/>
      <w:w w:val="100"/>
      <w:position w:val="0"/>
      <w:sz w:val="19"/>
      <w:szCs w:val="19"/>
      <w:u w:val="none"/>
      <w:lang w:val="fr-FR" w:eastAsia="fr-FR" w:bidi="fr-FR"/>
    </w:rPr>
  </w:style>
  <w:style w:type="character" w:customStyle="1" w:styleId="Corpsdutexte2ItaliqueEspacement1pt">
    <w:name w:val="Corps du texte (2) + Italique;Espacement 1 pt"/>
    <w:rsid w:val="001D5609"/>
    <w:rPr>
      <w:rFonts w:ascii="Times New Roman" w:hAnsi="Times New Roman" w:cs="Times New Roman"/>
      <w:i/>
      <w:iCs/>
      <w:color w:val="000000"/>
      <w:spacing w:val="20"/>
      <w:w w:val="100"/>
      <w:position w:val="0"/>
      <w:sz w:val="21"/>
      <w:szCs w:val="21"/>
      <w:shd w:val="clear" w:color="auto" w:fill="FFFFFF"/>
      <w:lang w:val="fr-FR" w:eastAsia="fr-FR" w:bidi="fr-FR"/>
    </w:rPr>
  </w:style>
  <w:style w:type="character" w:customStyle="1" w:styleId="Corpsdutexte7105ptNonGras">
    <w:name w:val="Corps du texte (7) + 10.5 pt;Non Gras"/>
    <w:rsid w:val="001D5609"/>
    <w:rPr>
      <w:rFonts w:ascii="Times New Roman" w:hAnsi="Times New Roman" w:cs="Times New Roman"/>
      <w:b/>
      <w:bCs/>
      <w:color w:val="000000"/>
      <w:spacing w:val="0"/>
      <w:w w:val="100"/>
      <w:position w:val="0"/>
      <w:sz w:val="21"/>
      <w:szCs w:val="21"/>
      <w:shd w:val="clear" w:color="auto" w:fill="FFFFFF"/>
      <w:lang w:val="fr-FR" w:eastAsia="fr-FR" w:bidi="fr-FR"/>
    </w:rPr>
  </w:style>
  <w:style w:type="character" w:customStyle="1" w:styleId="Corpsdutexte275ptGras">
    <w:name w:val="Corps du texte (2) + 7.5 pt;Gras"/>
    <w:rsid w:val="001D5609"/>
    <w:rPr>
      <w:rFonts w:ascii="Times New Roman" w:hAnsi="Times New Roman" w:cs="Times New Roman"/>
      <w:b/>
      <w:bCs/>
      <w:color w:val="000000"/>
      <w:spacing w:val="0"/>
      <w:w w:val="100"/>
      <w:position w:val="0"/>
      <w:sz w:val="15"/>
      <w:szCs w:val="15"/>
      <w:shd w:val="clear" w:color="auto" w:fill="FFFFFF"/>
      <w:lang w:val="fr-FR" w:eastAsia="fr-FR" w:bidi="fr-FR"/>
    </w:rPr>
  </w:style>
  <w:style w:type="character" w:customStyle="1" w:styleId="Corpsdutexte785ptPetitesmajuscules">
    <w:name w:val="Corps du texte (7) + 8.5 pt;Petites majuscules"/>
    <w:rsid w:val="001D5609"/>
    <w:rPr>
      <w:rFonts w:ascii="Times New Roman" w:hAnsi="Times New Roman" w:cs="Times New Roman"/>
      <w:b/>
      <w:bCs/>
      <w:smallCaps/>
      <w:color w:val="000000"/>
      <w:spacing w:val="0"/>
      <w:w w:val="100"/>
      <w:position w:val="0"/>
      <w:sz w:val="17"/>
      <w:szCs w:val="17"/>
      <w:shd w:val="clear" w:color="auto" w:fill="FFFFFF"/>
      <w:lang w:val="fr-FR" w:eastAsia="fr-FR" w:bidi="fr-FR"/>
    </w:rPr>
  </w:style>
  <w:style w:type="paragraph" w:customStyle="1" w:styleId="Default">
    <w:name w:val="Default"/>
    <w:rsid w:val="001D5609"/>
    <w:pPr>
      <w:widowControl w:val="0"/>
      <w:autoSpaceDE w:val="0"/>
      <w:autoSpaceDN w:val="0"/>
      <w:adjustRightInd w:val="0"/>
    </w:pPr>
    <w:rPr>
      <w:rFonts w:ascii="Times New Roman" w:eastAsia="Times New Roman" w:hAnsi="Times New Roman"/>
      <w:color w:val="000000"/>
      <w:sz w:val="24"/>
      <w:szCs w:val="24"/>
      <w:lang w:val="fr-FR" w:eastAsia="fr-FR"/>
    </w:rPr>
  </w:style>
  <w:style w:type="paragraph" w:customStyle="1" w:styleId="Titreniveau2st">
    <w:name w:val="Titre niveau 2 st"/>
    <w:basedOn w:val="Titreniveau2"/>
    <w:autoRedefine/>
    <w:rsid w:val="00C57723"/>
    <w:rPr>
      <w:sz w:val="36"/>
    </w:rPr>
  </w:style>
  <w:style w:type="character" w:customStyle="1" w:styleId="Notedebasdepage245ptNonGras">
    <w:name w:val="Note de bas de page (2) + 4.5 pt;Non Gras"/>
    <w:rsid w:val="009A103B"/>
    <w:rPr>
      <w:rFonts w:ascii="Times New Roman" w:hAnsi="Times New Roman"/>
      <w:b/>
      <w:bCs/>
      <w:i/>
      <w:iCs/>
      <w:color w:val="000000"/>
      <w:spacing w:val="0"/>
      <w:w w:val="100"/>
      <w:position w:val="0"/>
      <w:sz w:val="9"/>
      <w:szCs w:val="9"/>
      <w:shd w:val="clear" w:color="auto" w:fill="FFFFFF"/>
      <w:lang w:val="fr-FR" w:eastAsia="fr-FR" w:bidi="fr-FR"/>
    </w:rPr>
  </w:style>
  <w:style w:type="character" w:customStyle="1" w:styleId="Notedebasdepage210ptNonGrasNonItalique">
    <w:name w:val="Note de bas de page (2) + 10 pt;Non Gras;Non Italique"/>
    <w:rsid w:val="009A103B"/>
    <w:rPr>
      <w:rFonts w:ascii="Times New Roman" w:hAnsi="Times New Roman"/>
      <w:b/>
      <w:bCs/>
      <w:i/>
      <w:iCs/>
      <w:color w:val="000000"/>
      <w:spacing w:val="0"/>
      <w:w w:val="100"/>
      <w:position w:val="0"/>
      <w:sz w:val="20"/>
      <w:szCs w:val="20"/>
      <w:shd w:val="clear" w:color="auto" w:fill="FFFFFF"/>
      <w:lang w:val="fr-FR" w:eastAsia="fr-FR" w:bidi="fr-FR"/>
    </w:rPr>
  </w:style>
  <w:style w:type="character" w:customStyle="1" w:styleId="Notedebasdepage475ptItalique">
    <w:name w:val="Note de bas de page (4) + 7.5 pt;Italique"/>
    <w:rsid w:val="009A103B"/>
    <w:rPr>
      <w:rFonts w:ascii="Times New Roman" w:hAnsi="Times New Roman"/>
      <w:b/>
      <w:bCs/>
      <w:i/>
      <w:iCs/>
      <w:color w:val="000000"/>
      <w:spacing w:val="0"/>
      <w:w w:val="100"/>
      <w:position w:val="0"/>
      <w:sz w:val="15"/>
      <w:szCs w:val="15"/>
      <w:shd w:val="clear" w:color="auto" w:fill="FFFFFF"/>
      <w:lang w:val="fr-FR" w:eastAsia="fr-FR" w:bidi="fr-FR"/>
    </w:rPr>
  </w:style>
  <w:style w:type="character" w:customStyle="1" w:styleId="Notedebasdepage65ptNonGras">
    <w:name w:val="Note de bas de page + 6.5 pt;Non Gras"/>
    <w:rsid w:val="009A103B"/>
    <w:rPr>
      <w:rFonts w:ascii="Times New Roman" w:hAnsi="Times New Roman"/>
      <w:b/>
      <w:bCs/>
      <w:color w:val="000000"/>
      <w:spacing w:val="0"/>
      <w:w w:val="100"/>
      <w:position w:val="0"/>
      <w:sz w:val="13"/>
      <w:szCs w:val="13"/>
      <w:shd w:val="clear" w:color="auto" w:fill="FFFFFF"/>
      <w:lang w:val="fr-FR" w:eastAsia="fr-FR" w:bidi="fr-FR"/>
    </w:rPr>
  </w:style>
  <w:style w:type="character" w:customStyle="1" w:styleId="Notedebasdepage45ptItalique">
    <w:name w:val="Note de bas de page + 4.5 pt;Italique"/>
    <w:rsid w:val="009A103B"/>
    <w:rPr>
      <w:rFonts w:ascii="Times New Roman" w:hAnsi="Times New Roman"/>
      <w:b/>
      <w:bCs/>
      <w:i/>
      <w:iCs/>
      <w:color w:val="000000"/>
      <w:spacing w:val="0"/>
      <w:w w:val="100"/>
      <w:position w:val="0"/>
      <w:sz w:val="9"/>
      <w:szCs w:val="9"/>
      <w:shd w:val="clear" w:color="auto" w:fill="FFFFFF"/>
      <w:lang w:val="fr-FR" w:eastAsia="fr-FR" w:bidi="fr-FR"/>
    </w:rPr>
  </w:style>
  <w:style w:type="character" w:customStyle="1" w:styleId="Notedebasdepage27ptNonItalique">
    <w:name w:val="Note de bas de page (2) + 7 pt;Non Italique"/>
    <w:rsid w:val="009A103B"/>
    <w:rPr>
      <w:rFonts w:ascii="Times New Roman" w:hAnsi="Times New Roman"/>
      <w:b/>
      <w:bCs/>
      <w:i/>
      <w:iCs/>
      <w:color w:val="000000"/>
      <w:spacing w:val="0"/>
      <w:w w:val="100"/>
      <w:position w:val="0"/>
      <w:sz w:val="14"/>
      <w:szCs w:val="14"/>
      <w:shd w:val="clear" w:color="auto" w:fill="FFFFFF"/>
      <w:lang w:val="fr-FR" w:eastAsia="fr-FR" w:bidi="fr-FR"/>
    </w:rPr>
  </w:style>
  <w:style w:type="character" w:customStyle="1" w:styleId="Notedebasdepage27ptNonItaliquePetitesmajuscules">
    <w:name w:val="Note de bas de page (2) + 7 pt;Non Italique;Petites majuscules"/>
    <w:rsid w:val="009A103B"/>
    <w:rPr>
      <w:rFonts w:ascii="Times New Roman" w:hAnsi="Times New Roman"/>
      <w:b/>
      <w:bCs/>
      <w:i/>
      <w:iCs/>
      <w:smallCaps/>
      <w:color w:val="000000"/>
      <w:spacing w:val="0"/>
      <w:w w:val="100"/>
      <w:position w:val="0"/>
      <w:sz w:val="14"/>
      <w:szCs w:val="14"/>
      <w:shd w:val="clear" w:color="auto" w:fill="FFFFFF"/>
      <w:lang w:val="fr-FR" w:eastAsia="fr-FR" w:bidi="fr-FR"/>
    </w:rPr>
  </w:style>
  <w:style w:type="character" w:customStyle="1" w:styleId="Notedebasdepage5ptItaliquePetitesmajusculesEspacement0pt">
    <w:name w:val="Note de bas de page + 5 pt;Italique;Petites majuscules;Espacement 0 pt"/>
    <w:rsid w:val="009A103B"/>
    <w:rPr>
      <w:rFonts w:ascii="Times New Roman" w:hAnsi="Times New Roman"/>
      <w:b/>
      <w:bCs/>
      <w:i/>
      <w:iCs/>
      <w:smallCaps/>
      <w:color w:val="000000"/>
      <w:spacing w:val="10"/>
      <w:w w:val="100"/>
      <w:position w:val="0"/>
      <w:sz w:val="10"/>
      <w:szCs w:val="10"/>
      <w:shd w:val="clear" w:color="auto" w:fill="FFFFFF"/>
      <w:lang w:val="fr-FR" w:eastAsia="fr-FR" w:bidi="fr-FR"/>
    </w:rPr>
  </w:style>
  <w:style w:type="character" w:customStyle="1" w:styleId="En-tte1NonItaliqueEspacement0pt">
    <w:name w:val="En-tête #1 + Non Italique;Espacement 0 pt"/>
    <w:rsid w:val="009A103B"/>
    <w:rPr>
      <w:rFonts w:ascii="Times New Roman" w:hAnsi="Times New Roman"/>
      <w:b/>
      <w:bCs/>
      <w:i/>
      <w:iCs/>
      <w:color w:val="000000"/>
      <w:spacing w:val="0"/>
      <w:w w:val="100"/>
      <w:position w:val="0"/>
      <w:sz w:val="26"/>
      <w:szCs w:val="26"/>
      <w:shd w:val="clear" w:color="auto" w:fill="FFFFFF"/>
      <w:lang w:val="fr-FR" w:eastAsia="fr-FR" w:bidi="fr-FR"/>
    </w:rPr>
  </w:style>
  <w:style w:type="character" w:customStyle="1" w:styleId="En-tte1NonGrasNonItaliqueEspacement0pt">
    <w:name w:val="En-tête #1 + Non Gras;Non Italique;Espacement 0 pt"/>
    <w:rsid w:val="009A103B"/>
    <w:rPr>
      <w:rFonts w:ascii="Times New Roman" w:hAnsi="Times New Roman"/>
      <w:b/>
      <w:bCs/>
      <w:i/>
      <w:iCs/>
      <w:color w:val="000000"/>
      <w:spacing w:val="0"/>
      <w:w w:val="100"/>
      <w:position w:val="0"/>
      <w:sz w:val="26"/>
      <w:szCs w:val="26"/>
      <w:shd w:val="clear" w:color="auto" w:fill="FFFFFF"/>
      <w:lang w:val="fr-FR" w:eastAsia="fr-FR" w:bidi="fr-FR"/>
    </w:rPr>
  </w:style>
  <w:style w:type="character" w:customStyle="1" w:styleId="Corpsdutexte6ItaliqueEspacement0pt">
    <w:name w:val="Corps du texte (6) + Italique;Espacement 0 pt"/>
    <w:rsid w:val="009A103B"/>
    <w:rPr>
      <w:rFonts w:ascii="Times New Roman" w:hAnsi="Times New Roman"/>
      <w:b/>
      <w:bCs/>
      <w:i/>
      <w:iCs/>
      <w:color w:val="000000"/>
      <w:spacing w:val="10"/>
      <w:w w:val="100"/>
      <w:position w:val="0"/>
      <w:sz w:val="16"/>
      <w:szCs w:val="16"/>
      <w:shd w:val="clear" w:color="auto" w:fill="FFFFFF"/>
      <w:lang w:val="fr-FR" w:eastAsia="fr-FR" w:bidi="fr-FR"/>
    </w:rPr>
  </w:style>
  <w:style w:type="character" w:customStyle="1" w:styleId="Corpsdutexte78ptPetitesmajuscules">
    <w:name w:val="Corps du texte (7) + 8 pt;Petites majuscules"/>
    <w:rsid w:val="009A103B"/>
    <w:rPr>
      <w:rFonts w:ascii="Times New Roman" w:hAnsi="Times New Roman"/>
      <w:b/>
      <w:bCs/>
      <w:smallCaps/>
      <w:color w:val="000000"/>
      <w:spacing w:val="0"/>
      <w:w w:val="100"/>
      <w:position w:val="0"/>
      <w:sz w:val="16"/>
      <w:szCs w:val="16"/>
      <w:shd w:val="clear" w:color="auto" w:fill="FFFFFF"/>
      <w:lang w:val="fr-FR" w:eastAsia="fr-FR" w:bidi="fr-FR"/>
    </w:rPr>
  </w:style>
  <w:style w:type="character" w:customStyle="1" w:styleId="Corpsdutexte5NonItaliqueEspacement0pt">
    <w:name w:val="Corps du texte (5) + Non Italique;Espacement 0 pt"/>
    <w:rsid w:val="009A103B"/>
    <w:rPr>
      <w:rFonts w:ascii="Times New Roman" w:hAnsi="Times New Roman"/>
      <w:b/>
      <w:bCs/>
      <w:i/>
      <w:iCs/>
      <w:color w:val="000000"/>
      <w:spacing w:val="0"/>
      <w:w w:val="100"/>
      <w:position w:val="0"/>
      <w:sz w:val="16"/>
      <w:szCs w:val="16"/>
      <w:shd w:val="clear" w:color="auto" w:fill="FFFFFF"/>
      <w:lang w:val="fr-FR" w:eastAsia="fr-FR" w:bidi="fr-FR"/>
    </w:rPr>
  </w:style>
  <w:style w:type="character" w:customStyle="1" w:styleId="Corpsdutexte965ptNonItalique">
    <w:name w:val="Corps du texte (9) + 6.5 pt;Non Italique"/>
    <w:rsid w:val="009A103B"/>
    <w:rPr>
      <w:rFonts w:ascii="Times New Roman" w:hAnsi="Times New Roman"/>
      <w:b/>
      <w:bCs/>
      <w:i/>
      <w:iCs/>
      <w:color w:val="000000"/>
      <w:spacing w:val="0"/>
      <w:w w:val="100"/>
      <w:position w:val="0"/>
      <w:sz w:val="13"/>
      <w:szCs w:val="13"/>
      <w:shd w:val="clear" w:color="auto" w:fill="FFFFFF"/>
      <w:lang w:val="fr-FR" w:eastAsia="fr-FR" w:bidi="fr-FR"/>
    </w:rPr>
  </w:style>
  <w:style w:type="character" w:customStyle="1" w:styleId="Corpsdutexte765ptPetitesmajuscules">
    <w:name w:val="Corps du texte (7) + 6.5 pt;Petites majuscules"/>
    <w:rsid w:val="009A103B"/>
    <w:rPr>
      <w:rFonts w:ascii="Times New Roman" w:hAnsi="Times New Roman"/>
      <w:b/>
      <w:bCs/>
      <w:smallCaps/>
      <w:color w:val="000000"/>
      <w:spacing w:val="0"/>
      <w:w w:val="100"/>
      <w:position w:val="0"/>
      <w:sz w:val="13"/>
      <w:szCs w:val="13"/>
      <w:shd w:val="clear" w:color="auto" w:fill="FFFFFF"/>
      <w:lang w:val="fr-FR" w:eastAsia="fr-FR" w:bidi="fr-FR"/>
    </w:rPr>
  </w:style>
  <w:style w:type="character" w:customStyle="1" w:styleId="En-tteoupieddepage45ptNonGrasNonItaliqueEspacement0pt">
    <w:name w:val="En-tête ou pied de page + 4.5 pt;Non Gras;Non Italique;Espacement 0 pt"/>
    <w:rsid w:val="009A103B"/>
    <w:rPr>
      <w:rFonts w:ascii="Times New Roman" w:eastAsia="Times New Roman" w:hAnsi="Times New Roman" w:cs="Times New Roman"/>
      <w:b/>
      <w:bCs/>
      <w:i/>
      <w:iCs/>
      <w:smallCaps w:val="0"/>
      <w:strike w:val="0"/>
      <w:color w:val="000000"/>
      <w:spacing w:val="0"/>
      <w:w w:val="100"/>
      <w:position w:val="0"/>
      <w:sz w:val="9"/>
      <w:szCs w:val="9"/>
      <w:u w:val="none"/>
      <w:lang w:val="fr-FR" w:eastAsia="fr-FR" w:bidi="fr-FR"/>
    </w:rPr>
  </w:style>
  <w:style w:type="character" w:customStyle="1" w:styleId="Corpsdutexte765ptItaliquePetitesmajuscules">
    <w:name w:val="Corps du texte (7) + 6.5 pt;Italique;Petites majuscules"/>
    <w:rsid w:val="009A103B"/>
    <w:rPr>
      <w:rFonts w:ascii="Times New Roman" w:hAnsi="Times New Roman"/>
      <w:b/>
      <w:bCs/>
      <w:i/>
      <w:iCs/>
      <w:smallCaps/>
      <w:color w:val="000000"/>
      <w:spacing w:val="0"/>
      <w:w w:val="100"/>
      <w:position w:val="0"/>
      <w:sz w:val="13"/>
      <w:szCs w:val="13"/>
      <w:shd w:val="clear" w:color="auto" w:fill="FFFFFF"/>
      <w:lang w:val="fr-FR" w:eastAsia="fr-FR" w:bidi="fr-FR"/>
    </w:rPr>
  </w:style>
  <w:style w:type="character" w:customStyle="1" w:styleId="Corpsdutexte965ptNonItaliquePetitesmajusculesExact">
    <w:name w:val="Corps du texte (9) + 6.5 pt;Non Italique;Petites majuscules Exact"/>
    <w:rsid w:val="009A103B"/>
    <w:rPr>
      <w:rFonts w:ascii="Times New Roman" w:hAnsi="Times New Roman"/>
      <w:b/>
      <w:bCs/>
      <w:i/>
      <w:iCs/>
      <w:smallCaps/>
      <w:color w:val="000000"/>
      <w:spacing w:val="0"/>
      <w:w w:val="100"/>
      <w:position w:val="0"/>
      <w:sz w:val="13"/>
      <w:szCs w:val="13"/>
      <w:shd w:val="clear" w:color="auto" w:fill="FFFFFF"/>
      <w:lang w:val="fr-FR" w:eastAsia="fr-FR" w:bidi="fr-FR"/>
    </w:rPr>
  </w:style>
  <w:style w:type="character" w:customStyle="1" w:styleId="Notedebasdepage6ptNonGras">
    <w:name w:val="Note de bas de page + 6 pt;Non Gras"/>
    <w:rsid w:val="004E21D4"/>
    <w:rPr>
      <w:rFonts w:ascii="Times New Roman" w:hAnsi="Times New Roman"/>
      <w:b/>
      <w:bCs/>
      <w:color w:val="000000"/>
      <w:spacing w:val="0"/>
      <w:w w:val="100"/>
      <w:position w:val="0"/>
      <w:sz w:val="12"/>
      <w:szCs w:val="12"/>
      <w:shd w:val="clear" w:color="auto" w:fill="FFFFFF"/>
      <w:lang w:val="fr-FR" w:eastAsia="fr-FR" w:bidi="fr-FR"/>
    </w:rPr>
  </w:style>
  <w:style w:type="character" w:customStyle="1" w:styleId="Notedebasdepage285ptNonItalique">
    <w:name w:val="Note de bas de page (2) + 8.5 pt;Non Italique"/>
    <w:rsid w:val="004E21D4"/>
    <w:rPr>
      <w:rFonts w:ascii="Times New Roman" w:hAnsi="Times New Roman"/>
      <w:b/>
      <w:bCs/>
      <w:i/>
      <w:iCs/>
      <w:color w:val="000000"/>
      <w:spacing w:val="0"/>
      <w:w w:val="100"/>
      <w:position w:val="0"/>
      <w:sz w:val="17"/>
      <w:szCs w:val="17"/>
      <w:shd w:val="clear" w:color="auto" w:fill="FFFFFF"/>
      <w:lang w:val="fr-FR" w:eastAsia="fr-FR" w:bidi="fr-FR"/>
    </w:rPr>
  </w:style>
  <w:style w:type="character" w:customStyle="1" w:styleId="Notedebasdepage57ptNonItaliqueEspacement0pt">
    <w:name w:val="Note de bas de page (5) + 7 pt;Non Italique;Espacement 0 pt"/>
    <w:rsid w:val="004E21D4"/>
    <w:rPr>
      <w:rFonts w:ascii="Times New Roman" w:hAnsi="Times New Roman"/>
      <w:b/>
      <w:bCs/>
      <w:i/>
      <w:iCs/>
      <w:color w:val="000000"/>
      <w:spacing w:val="0"/>
      <w:w w:val="100"/>
      <w:position w:val="0"/>
      <w:sz w:val="14"/>
      <w:szCs w:val="14"/>
      <w:shd w:val="clear" w:color="auto" w:fill="FFFFFF"/>
      <w:lang w:val="fr-FR" w:eastAsia="fr-FR" w:bidi="fr-FR"/>
    </w:rPr>
  </w:style>
  <w:style w:type="character" w:customStyle="1" w:styleId="Notedebasdepage68ptItaliqueEspacement0pt">
    <w:name w:val="Note de bas de page (6) + 8 pt;Italique;Espacement 0 pt"/>
    <w:rsid w:val="004E21D4"/>
    <w:rPr>
      <w:rFonts w:ascii="Times New Roman" w:hAnsi="Times New Roman"/>
      <w:b/>
      <w:bCs/>
      <w:i/>
      <w:iCs/>
      <w:color w:val="000000"/>
      <w:spacing w:val="10"/>
      <w:w w:val="100"/>
      <w:position w:val="0"/>
      <w:sz w:val="16"/>
      <w:szCs w:val="16"/>
      <w:shd w:val="clear" w:color="auto" w:fill="FFFFFF"/>
      <w:lang w:val="fr-FR" w:eastAsia="fr-FR" w:bidi="fr-FR"/>
    </w:rPr>
  </w:style>
  <w:style w:type="character" w:customStyle="1" w:styleId="Corpsdutexte512ptNonItalique">
    <w:name w:val="Corps du texte (5) + 12 pt;Non Italique"/>
    <w:rsid w:val="004E21D4"/>
    <w:rPr>
      <w:rFonts w:ascii="Times New Roman" w:hAnsi="Times New Roman"/>
      <w:b/>
      <w:bCs/>
      <w:i/>
      <w:iCs/>
      <w:color w:val="000000"/>
      <w:spacing w:val="0"/>
      <w:w w:val="100"/>
      <w:position w:val="0"/>
      <w:sz w:val="24"/>
      <w:szCs w:val="24"/>
      <w:shd w:val="clear" w:color="auto" w:fill="FFFFFF"/>
      <w:lang w:val="fr-FR" w:eastAsia="fr-FR" w:bidi="fr-FR"/>
    </w:rPr>
  </w:style>
  <w:style w:type="character" w:customStyle="1" w:styleId="Corpsdutexte965ptPetitesmajuscules">
    <w:name w:val="Corps du texte (9) + 6.5 pt;Petites majuscules"/>
    <w:rsid w:val="004E21D4"/>
    <w:rPr>
      <w:rFonts w:ascii="Times New Roman" w:hAnsi="Times New Roman"/>
      <w:b/>
      <w:bCs/>
      <w:smallCaps/>
      <w:color w:val="000000"/>
      <w:spacing w:val="0"/>
      <w:w w:val="100"/>
      <w:position w:val="0"/>
      <w:sz w:val="13"/>
      <w:szCs w:val="13"/>
      <w:shd w:val="clear" w:color="auto" w:fill="FFFFFF"/>
      <w:lang w:val="fr-FR" w:eastAsia="fr-FR" w:bidi="fr-FR"/>
    </w:rPr>
  </w:style>
  <w:style w:type="character" w:customStyle="1" w:styleId="Corpsdutexte1510ptNonItaliquePetitesmajuscules">
    <w:name w:val="Corps du texte (15) + 10 pt;Non Italique;Petites majuscules"/>
    <w:rsid w:val="004E21D4"/>
    <w:rPr>
      <w:rFonts w:ascii="Times New Roman" w:hAnsi="Times New Roman"/>
      <w:i/>
      <w:iCs/>
      <w:smallCaps/>
      <w:color w:val="000000"/>
      <w:spacing w:val="0"/>
      <w:w w:val="100"/>
      <w:position w:val="0"/>
      <w:sz w:val="20"/>
      <w:szCs w:val="20"/>
      <w:shd w:val="clear" w:color="auto" w:fill="FFFFFF"/>
      <w:lang w:val="fr-FR" w:eastAsia="fr-FR" w:bidi="fr-FR"/>
    </w:rPr>
  </w:style>
  <w:style w:type="character" w:customStyle="1" w:styleId="Corpsdutexte1575ptGrasNonItalique">
    <w:name w:val="Corps du texte (15) + 7.5 pt;Gras;Non Italique"/>
    <w:rsid w:val="004E21D4"/>
    <w:rPr>
      <w:rFonts w:ascii="Times New Roman" w:hAnsi="Times New Roman"/>
      <w:b/>
      <w:bCs/>
      <w:i/>
      <w:iCs/>
      <w:color w:val="000000"/>
      <w:spacing w:val="0"/>
      <w:w w:val="100"/>
      <w:position w:val="0"/>
      <w:sz w:val="15"/>
      <w:szCs w:val="15"/>
      <w:shd w:val="clear" w:color="auto" w:fill="FFFFFF"/>
      <w:lang w:val="fr-FR" w:eastAsia="fr-FR" w:bidi="fr-FR"/>
    </w:rPr>
  </w:style>
  <w:style w:type="character" w:customStyle="1" w:styleId="Corpsdutexte9105ptNonGras">
    <w:name w:val="Corps du texte (9) + 10.5 pt;Non Gras"/>
    <w:rsid w:val="004E21D4"/>
    <w:rPr>
      <w:rFonts w:ascii="Times New Roman" w:hAnsi="Times New Roman"/>
      <w:b/>
      <w:bCs/>
      <w:color w:val="000000"/>
      <w:spacing w:val="0"/>
      <w:w w:val="100"/>
      <w:position w:val="0"/>
      <w:sz w:val="21"/>
      <w:szCs w:val="21"/>
      <w:shd w:val="clear" w:color="auto" w:fill="FFFFFF"/>
      <w:lang w:val="fr-FR" w:eastAsia="fr-FR" w:bidi="fr-FR"/>
    </w:rPr>
  </w:style>
  <w:style w:type="paragraph" w:styleId="Textedebulles">
    <w:name w:val="Balloon Text"/>
    <w:basedOn w:val="Normal"/>
    <w:link w:val="TextedebullesCar"/>
    <w:uiPriority w:val="99"/>
    <w:unhideWhenUsed/>
    <w:rsid w:val="004E21D4"/>
    <w:pPr>
      <w:widowControl w:val="0"/>
      <w:ind w:firstLine="0"/>
    </w:pPr>
    <w:rPr>
      <w:rFonts w:ascii="Lucida Grande" w:eastAsia="Courier New" w:hAnsi="Lucida Grande" w:cs="Lucida Grande"/>
      <w:color w:val="000000"/>
      <w:sz w:val="18"/>
      <w:szCs w:val="18"/>
      <w:lang w:val="fr-FR" w:eastAsia="fr-FR" w:bidi="fr-FR"/>
    </w:rPr>
  </w:style>
  <w:style w:type="character" w:customStyle="1" w:styleId="TextedebullesCar">
    <w:name w:val="Texte de bulles Car"/>
    <w:basedOn w:val="Policepardfaut"/>
    <w:link w:val="Textedebulles"/>
    <w:uiPriority w:val="99"/>
    <w:rsid w:val="004E21D4"/>
    <w:rPr>
      <w:rFonts w:ascii="Lucida Grande" w:eastAsia="Courier New" w:hAnsi="Lucida Grande" w:cs="Lucida Grande"/>
      <w:color w:val="000000"/>
      <w:sz w:val="18"/>
      <w:szCs w:val="18"/>
      <w:lang w:bidi="fr-FR"/>
    </w:rPr>
  </w:style>
  <w:style w:type="paragraph" w:customStyle="1" w:styleId="planchest0">
    <w:name w:val="planche st"/>
    <w:basedOn w:val="planche"/>
    <w:autoRedefine/>
    <w:rsid w:val="00D368F2"/>
    <w:rPr>
      <w:i/>
      <w:sz w:val="28"/>
    </w:rPr>
  </w:style>
  <w:style w:type="character" w:customStyle="1" w:styleId="Notedebasdepage65ptNonGrasItalique">
    <w:name w:val="Note de bas de page + 6.5 pt;Non Gras;Italique"/>
    <w:rsid w:val="00922268"/>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ItaliquePetitesmajuscules">
    <w:name w:val="Note de bas de page + Italique;Petites majuscules"/>
    <w:rsid w:val="00922268"/>
    <w:rPr>
      <w:rFonts w:ascii="Times New Roman" w:eastAsia="Times New Roman" w:hAnsi="Times New Roman" w:cs="Times New Roman"/>
      <w:b/>
      <w:bCs/>
      <w:i/>
      <w:iCs/>
      <w:smallCaps/>
      <w:strike w:val="0"/>
      <w:color w:val="000000"/>
      <w:spacing w:val="0"/>
      <w:w w:val="100"/>
      <w:position w:val="0"/>
      <w:sz w:val="15"/>
      <w:szCs w:val="15"/>
      <w:u w:val="none"/>
      <w:lang w:val="fr-FR" w:eastAsia="fr-FR" w:bidi="fr-FR"/>
    </w:rPr>
  </w:style>
  <w:style w:type="character" w:customStyle="1" w:styleId="Notedebasdepage265ptNonGrasNonItalique">
    <w:name w:val="Note de bas de page (2) + 6.5 pt;Non Gras;Non Italique"/>
    <w:rsid w:val="00922268"/>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7ptPetitesmajuscules">
    <w:name w:val="Note de bas de page + 7 pt;Petites majuscules"/>
    <w:rsid w:val="00922268"/>
    <w:rPr>
      <w:rFonts w:ascii="Times New Roman" w:eastAsia="Times New Roman" w:hAnsi="Times New Roman" w:cs="Times New Roman"/>
      <w:b/>
      <w:bCs/>
      <w:i w:val="0"/>
      <w:iCs w:val="0"/>
      <w:smallCaps/>
      <w:strike w:val="0"/>
      <w:color w:val="000000"/>
      <w:spacing w:val="0"/>
      <w:w w:val="100"/>
      <w:position w:val="0"/>
      <w:sz w:val="14"/>
      <w:szCs w:val="14"/>
      <w:u w:val="none"/>
      <w:lang w:val="fr-FR" w:eastAsia="fr-FR" w:bidi="fr-FR"/>
    </w:rPr>
  </w:style>
  <w:style w:type="character" w:customStyle="1" w:styleId="Notedebasdepage375ptGrasItalique">
    <w:name w:val="Note de bas de page (3) + 7.5 pt;Gras;Italique"/>
    <w:rsid w:val="00922268"/>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8ptNonGras">
    <w:name w:val="Note de bas de page + 8 pt;Non Gras"/>
    <w:rsid w:val="00922268"/>
    <w:rPr>
      <w:rFonts w:ascii="Times New Roman" w:eastAsia="Times New Roman" w:hAnsi="Times New Roman" w:cs="Times New Roman"/>
      <w:b/>
      <w:bCs/>
      <w:i w:val="0"/>
      <w:iCs w:val="0"/>
      <w:smallCaps w:val="0"/>
      <w:strike w:val="0"/>
      <w:color w:val="000000"/>
      <w:spacing w:val="0"/>
      <w:w w:val="100"/>
      <w:position w:val="0"/>
      <w:sz w:val="16"/>
      <w:szCs w:val="16"/>
      <w:u w:val="none"/>
      <w:lang w:val="fr-FR" w:eastAsia="fr-FR" w:bidi="fr-FR"/>
    </w:rPr>
  </w:style>
  <w:style w:type="character" w:customStyle="1" w:styleId="Notedebasdepage375ptGras">
    <w:name w:val="Note de bas de page (3) + 7.5 pt;Gras"/>
    <w:rsid w:val="00922268"/>
    <w:rPr>
      <w:rFonts w:ascii="Times New Roman" w:eastAsia="Times New Roman" w:hAnsi="Times New Roman" w:cs="Times New Roman"/>
      <w:b/>
      <w:bCs/>
      <w:i w:val="0"/>
      <w:iCs w:val="0"/>
      <w:smallCaps w:val="0"/>
      <w:strike w:val="0"/>
      <w:color w:val="000000"/>
      <w:spacing w:val="0"/>
      <w:w w:val="100"/>
      <w:position w:val="0"/>
      <w:sz w:val="15"/>
      <w:szCs w:val="15"/>
      <w:u w:val="none"/>
      <w:lang w:val="fr-FR" w:eastAsia="fr-FR" w:bidi="fr-FR"/>
    </w:rPr>
  </w:style>
  <w:style w:type="character" w:customStyle="1" w:styleId="Notedebasdepage37ptGras">
    <w:name w:val="Note de bas de page (3) + 7 pt;Gras"/>
    <w:rsid w:val="00922268"/>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Notedebasdepage65ptNonGrasPetitesmajuscules">
    <w:name w:val="Note de bas de page + 6.5 pt;Non Gras;Petites majuscules"/>
    <w:rsid w:val="00922268"/>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Notedebasdepage265ptNonGrasNonItaliquePetitesmajuscules">
    <w:name w:val="Note de bas de page (2) + 6.5 pt;Non Gras;Non Italique;Petites majuscules"/>
    <w:rsid w:val="00922268"/>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65ptNonGrasEspacement0pt">
    <w:name w:val="Note de bas de page + 6.5 pt;Non Gras;Espacement 0 pt"/>
    <w:rsid w:val="00922268"/>
    <w:rPr>
      <w:rFonts w:ascii="Times New Roman" w:eastAsia="Times New Roman" w:hAnsi="Times New Roman" w:cs="Times New Roman"/>
      <w:b/>
      <w:bCs/>
      <w:i w:val="0"/>
      <w:iCs w:val="0"/>
      <w:smallCaps w:val="0"/>
      <w:strike w:val="0"/>
      <w:color w:val="000000"/>
      <w:spacing w:val="-10"/>
      <w:w w:val="100"/>
      <w:position w:val="0"/>
      <w:sz w:val="13"/>
      <w:szCs w:val="13"/>
      <w:u w:val="none"/>
      <w:lang w:val="fr-FR" w:eastAsia="fr-FR" w:bidi="fr-FR"/>
    </w:rPr>
  </w:style>
  <w:style w:type="character" w:customStyle="1" w:styleId="Notedebasdepage6ptItalique">
    <w:name w:val="Note de bas de page + 6 pt;Italique"/>
    <w:rsid w:val="00922268"/>
    <w:rPr>
      <w:rFonts w:ascii="Times New Roman" w:eastAsia="Times New Roman" w:hAnsi="Times New Roman" w:cs="Times New Roman"/>
      <w:b/>
      <w:bCs/>
      <w:i/>
      <w:iCs/>
      <w:smallCaps w:val="0"/>
      <w:strike w:val="0"/>
      <w:color w:val="000000"/>
      <w:spacing w:val="0"/>
      <w:w w:val="100"/>
      <w:position w:val="0"/>
      <w:sz w:val="12"/>
      <w:szCs w:val="12"/>
      <w:u w:val="none"/>
      <w:lang w:val="fr-FR" w:eastAsia="fr-FR" w:bidi="fr-FR"/>
    </w:rPr>
  </w:style>
  <w:style w:type="character" w:customStyle="1" w:styleId="Notedebasdepage7ptItalique">
    <w:name w:val="Note de bas de page + 7 pt;Italique"/>
    <w:rsid w:val="00922268"/>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565ptNonGras">
    <w:name w:val="Note de bas de page (5) + 6.5 pt;Non Gras"/>
    <w:rsid w:val="00922268"/>
    <w:rPr>
      <w:rFonts w:ascii="Times New Roman" w:eastAsia="Times New Roman" w:hAnsi="Times New Roman" w:cs="Times New Roman"/>
      <w:b/>
      <w:bCs/>
      <w:i w:val="0"/>
      <w:iCs w:val="0"/>
      <w:smallCaps w:val="0"/>
      <w:strike w:val="0"/>
      <w:color w:val="000000"/>
      <w:spacing w:val="0"/>
      <w:w w:val="100"/>
      <w:position w:val="0"/>
      <w:sz w:val="13"/>
      <w:szCs w:val="13"/>
      <w:u w:val="none"/>
      <w:lang w:val="fr-FR" w:eastAsia="fr-FR" w:bidi="fr-FR"/>
    </w:rPr>
  </w:style>
  <w:style w:type="character" w:customStyle="1" w:styleId="Notedebasdepage565ptItalique">
    <w:name w:val="Note de bas de page (5) + 6.5 pt;Italique"/>
    <w:rsid w:val="00922268"/>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510ptNonGrasItalique">
    <w:name w:val="Note de bas de page (5) + 10 pt;Non Gras;Italique"/>
    <w:rsid w:val="00922268"/>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Notedebasdepage675ptNonItalique">
    <w:name w:val="Note de bas de page (6) + 7.5 pt;Non Italique"/>
    <w:rsid w:val="00922268"/>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67ptNonItalique">
    <w:name w:val="Note de bas de page (6) + 7 pt;Non Italique"/>
    <w:rsid w:val="00922268"/>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6NonGrasNonItalique">
    <w:name w:val="Note de bas de page (6) + Non Gras;Non Italique"/>
    <w:rsid w:val="00922268"/>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6NonGrasNonItaliquePetitesmajuscules">
    <w:name w:val="Note de bas de page (6) + Non Gras;Non Italique;Petites majuscules"/>
    <w:rsid w:val="00922268"/>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5ptItaliquePetitesmajuscules">
    <w:name w:val="Note de bas de page + 5 pt;Italique;Petites majuscules"/>
    <w:rsid w:val="00922268"/>
    <w:rPr>
      <w:rFonts w:ascii="Times New Roman" w:eastAsia="Times New Roman" w:hAnsi="Times New Roman" w:cs="Times New Roman"/>
      <w:b/>
      <w:bCs/>
      <w:i/>
      <w:iCs/>
      <w:smallCaps/>
      <w:strike w:val="0"/>
      <w:color w:val="000000"/>
      <w:spacing w:val="0"/>
      <w:w w:val="100"/>
      <w:position w:val="0"/>
      <w:sz w:val="10"/>
      <w:szCs w:val="10"/>
      <w:u w:val="none"/>
      <w:lang w:val="fr-FR" w:eastAsia="fr-FR" w:bidi="fr-FR"/>
    </w:rPr>
  </w:style>
  <w:style w:type="character" w:customStyle="1" w:styleId="NotedebasdepageItaliqueEspacement0pt">
    <w:name w:val="Note de bas de page + Italique;Espacement 0 pt"/>
    <w:rsid w:val="00922268"/>
    <w:rPr>
      <w:rFonts w:ascii="Times New Roman" w:eastAsia="Times New Roman" w:hAnsi="Times New Roman" w:cs="Times New Roman"/>
      <w:b/>
      <w:bCs/>
      <w:i/>
      <w:iCs/>
      <w:smallCaps w:val="0"/>
      <w:strike w:val="0"/>
      <w:color w:val="000000"/>
      <w:spacing w:val="10"/>
      <w:w w:val="100"/>
      <w:position w:val="0"/>
      <w:sz w:val="15"/>
      <w:szCs w:val="15"/>
      <w:u w:val="none"/>
      <w:lang w:val="fr-FR" w:eastAsia="fr-FR" w:bidi="fr-FR"/>
    </w:rPr>
  </w:style>
  <w:style w:type="character" w:customStyle="1" w:styleId="Corpsdutexte612ptNonGras">
    <w:name w:val="Corps du texte (6) + 12 pt;Non Gras"/>
    <w:rsid w:val="00922268"/>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En-tte212ptEspacement0ptchelle100">
    <w:name w:val="En-tête #2 + 12 pt;Espacement 0 pt;Échelle 100%"/>
    <w:rsid w:val="00922268"/>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Corpsdutexte210ptGras">
    <w:name w:val="Corps du texte (2) + 10 pt;Gras"/>
    <w:rsid w:val="00922268"/>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Corpsdutexte9105ptNonGrasPetitesmajuscules">
    <w:name w:val="Corps du texte (9) + 10.5 pt;Non Gras;Petites majuscules"/>
    <w:rsid w:val="00922268"/>
    <w:rPr>
      <w:rFonts w:ascii="Times New Roman" w:eastAsia="Times New Roman" w:hAnsi="Times New Roman" w:cs="Times New Roman"/>
      <w:b/>
      <w:bCs/>
      <w:i w:val="0"/>
      <w:iCs w:val="0"/>
      <w:smallCaps/>
      <w:strike w:val="0"/>
      <w:color w:val="000000"/>
      <w:spacing w:val="0"/>
      <w:w w:val="100"/>
      <w:position w:val="0"/>
      <w:sz w:val="21"/>
      <w:szCs w:val="21"/>
      <w:u w:val="none"/>
      <w:lang w:val="fr-FR" w:eastAsia="fr-FR" w:bidi="fr-FR"/>
    </w:rPr>
  </w:style>
  <w:style w:type="paragraph" w:customStyle="1" w:styleId="textecit">
    <w:name w:val="texte cité"/>
    <w:basedOn w:val="Normal"/>
    <w:autoRedefine/>
    <w:rsid w:val="00922268"/>
    <w:pPr>
      <w:ind w:left="1080" w:firstLine="0"/>
      <w:jc w:val="both"/>
    </w:pPr>
    <w:rPr>
      <w:color w:val="000000"/>
      <w:lang w:eastAsia="fr-FR" w:bidi="fr-FR"/>
    </w:rPr>
  </w:style>
  <w:style w:type="character" w:customStyle="1" w:styleId="Notedebasdepage65ptNonGrasItaliquePetitesmajuscules">
    <w:name w:val="Note de bas de page + 6.5 pt;Non Gras;Italique;Petites majuscules"/>
    <w:rsid w:val="00C115E7"/>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5ptPetitesmajuscules">
    <w:name w:val="Note de bas de page + 5 pt;Petites majuscules"/>
    <w:rsid w:val="00C115E7"/>
    <w:rPr>
      <w:rFonts w:ascii="Times New Roman" w:eastAsia="Times New Roman" w:hAnsi="Times New Roman" w:cs="Times New Roman"/>
      <w:b/>
      <w:bCs/>
      <w:i w:val="0"/>
      <w:iCs w:val="0"/>
      <w:smallCaps/>
      <w:strike w:val="0"/>
      <w:color w:val="000000"/>
      <w:spacing w:val="0"/>
      <w:w w:val="100"/>
      <w:position w:val="0"/>
      <w:sz w:val="10"/>
      <w:szCs w:val="10"/>
      <w:u w:val="none"/>
      <w:lang w:val="fr-FR" w:eastAsia="fr-FR" w:bidi="fr-FR"/>
    </w:rPr>
  </w:style>
  <w:style w:type="character" w:customStyle="1" w:styleId="Notedebasdepage27ptNonItaliqueEspacement0pt">
    <w:name w:val="Note de bas de page (2) + 7 pt;Non Italique;Espacement 0 pt"/>
    <w:rsid w:val="00C115E7"/>
    <w:rPr>
      <w:rFonts w:ascii="Times New Roman" w:eastAsia="Times New Roman" w:hAnsi="Times New Roman" w:cs="Times New Roman"/>
      <w:b/>
      <w:bCs/>
      <w:i/>
      <w:iCs/>
      <w:smallCaps w:val="0"/>
      <w:strike w:val="0"/>
      <w:color w:val="000000"/>
      <w:spacing w:val="10"/>
      <w:w w:val="100"/>
      <w:position w:val="0"/>
      <w:sz w:val="14"/>
      <w:szCs w:val="14"/>
      <w:u w:val="none"/>
      <w:lang w:val="fr-FR" w:eastAsia="fr-FR" w:bidi="fr-FR"/>
    </w:rPr>
  </w:style>
  <w:style w:type="character" w:customStyle="1" w:styleId="Notedebasdepage5ptEspacement0pt">
    <w:name w:val="Note de bas de page + 5 pt;Espacement 0 pt"/>
    <w:rsid w:val="00C115E7"/>
    <w:rPr>
      <w:rFonts w:ascii="Times New Roman" w:eastAsia="Times New Roman" w:hAnsi="Times New Roman" w:cs="Times New Roman"/>
      <w:b/>
      <w:bCs/>
      <w:i w:val="0"/>
      <w:iCs w:val="0"/>
      <w:smallCaps w:val="0"/>
      <w:strike w:val="0"/>
      <w:color w:val="000000"/>
      <w:spacing w:val="10"/>
      <w:w w:val="100"/>
      <w:position w:val="0"/>
      <w:sz w:val="10"/>
      <w:szCs w:val="10"/>
      <w:u w:val="none"/>
      <w:lang w:val="fr-FR" w:eastAsia="fr-FR" w:bidi="fr-FR"/>
    </w:rPr>
  </w:style>
  <w:style w:type="character" w:customStyle="1" w:styleId="Corpsdutexte3NonGrasEspacement0pt">
    <w:name w:val="Corps du texte (3) + Non Gras;Espacement 0 pt"/>
    <w:rsid w:val="00C115E7"/>
    <w:rPr>
      <w:rFonts w:ascii="Times New Roman" w:eastAsia="Times New Roman" w:hAnsi="Times New Roman" w:cs="Times New Roman"/>
      <w:b/>
      <w:bCs/>
      <w:i w:val="0"/>
      <w:iCs w:val="0"/>
      <w:smallCaps w:val="0"/>
      <w:strike w:val="0"/>
      <w:color w:val="000000"/>
      <w:spacing w:val="-10"/>
      <w:w w:val="100"/>
      <w:position w:val="0"/>
      <w:sz w:val="18"/>
      <w:szCs w:val="18"/>
      <w:u w:val="none"/>
      <w:lang w:val="fr-FR" w:eastAsia="fr-FR" w:bidi="fr-FR"/>
    </w:rPr>
  </w:style>
  <w:style w:type="character" w:customStyle="1" w:styleId="Corpsdutexte10105ptNonGras">
    <w:name w:val="Corps du texte (10) + 10.5 pt;Non Gras"/>
    <w:rsid w:val="00C115E7"/>
    <w:rPr>
      <w:rFonts w:ascii="Times New Roman" w:eastAsia="Times New Roman" w:hAnsi="Times New Roman" w:cs="Times New Roman"/>
      <w:b/>
      <w:bCs/>
      <w:i w:val="0"/>
      <w:iCs w:val="0"/>
      <w:smallCaps w:val="0"/>
      <w:strike w:val="0"/>
      <w:color w:val="000000"/>
      <w:spacing w:val="0"/>
      <w:w w:val="100"/>
      <w:position w:val="0"/>
      <w:sz w:val="21"/>
      <w:szCs w:val="21"/>
      <w:u w:val="none"/>
      <w:lang w:val="fr-FR" w:eastAsia="fr-FR" w:bidi="fr-FR"/>
    </w:rPr>
  </w:style>
  <w:style w:type="character" w:customStyle="1" w:styleId="Corpsdutexte785ptNonItaliqueEspacement0pt">
    <w:name w:val="Corps du texte (7) + 8.5 pt;Non Italique;Espacement 0 pt"/>
    <w:rsid w:val="00C115E7"/>
    <w:rPr>
      <w:rFonts w:ascii="Times New Roman" w:eastAsia="Times New Roman" w:hAnsi="Times New Roman" w:cs="Times New Roman"/>
      <w:b/>
      <w:bCs/>
      <w:i/>
      <w:iCs/>
      <w:smallCaps w:val="0"/>
      <w:strike w:val="0"/>
      <w:color w:val="000000"/>
      <w:spacing w:val="0"/>
      <w:w w:val="100"/>
      <w:position w:val="0"/>
      <w:sz w:val="17"/>
      <w:szCs w:val="17"/>
      <w:u w:val="none"/>
      <w:lang w:val="fr-FR" w:eastAsia="fr-FR" w:bidi="fr-FR"/>
    </w:rPr>
  </w:style>
  <w:style w:type="character" w:customStyle="1" w:styleId="Corpsdutexte128ptItaliqueEspacement0pt">
    <w:name w:val="Corps du texte (12) + 8 pt;Italique;Espacement 0 pt"/>
    <w:rsid w:val="00C115E7"/>
    <w:rPr>
      <w:rFonts w:ascii="Times New Roman" w:eastAsia="Times New Roman" w:hAnsi="Times New Roman" w:cs="Times New Roman"/>
      <w:b/>
      <w:bCs/>
      <w:i/>
      <w:iCs/>
      <w:smallCaps w:val="0"/>
      <w:strike w:val="0"/>
      <w:color w:val="000000"/>
      <w:spacing w:val="10"/>
      <w:w w:val="100"/>
      <w:position w:val="0"/>
      <w:sz w:val="16"/>
      <w:szCs w:val="16"/>
      <w:u w:val="none"/>
      <w:lang w:val="fr-FR" w:eastAsia="fr-FR" w:bidi="fr-FR"/>
    </w:rPr>
  </w:style>
  <w:style w:type="character" w:customStyle="1" w:styleId="Corpsdutexte1265ptPetitesmajuscules">
    <w:name w:val="Corps du texte (12) + 6.5 pt;Petites majuscules"/>
    <w:rsid w:val="00C115E7"/>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Corpsdutexte275ptGrasPetitesmajuscules">
    <w:name w:val="Corps du texte (2) + 7.5 pt;Gras;Petites majuscules"/>
    <w:rsid w:val="00C115E7"/>
    <w:rPr>
      <w:rFonts w:ascii="Times New Roman" w:eastAsia="Times New Roman" w:hAnsi="Times New Roman" w:cs="Times New Roman"/>
      <w:b/>
      <w:bCs/>
      <w:i w:val="0"/>
      <w:iCs w:val="0"/>
      <w:smallCaps/>
      <w:strike w:val="0"/>
      <w:color w:val="000000"/>
      <w:spacing w:val="0"/>
      <w:w w:val="100"/>
      <w:position w:val="0"/>
      <w:sz w:val="15"/>
      <w:szCs w:val="15"/>
      <w:u w:val="none"/>
      <w:lang w:val="fr-FR" w:eastAsia="fr-FR" w:bidi="fr-FR"/>
    </w:rPr>
  </w:style>
  <w:style w:type="character" w:customStyle="1" w:styleId="Corpsdutexte7105ptNonGrasNonItaliqueEspacement0pt">
    <w:name w:val="Corps du texte (7) + 10.5 pt;Non Gras;Non Italique;Espacement 0 pt"/>
    <w:rsid w:val="00C115E7"/>
    <w:rPr>
      <w:rFonts w:ascii="Times New Roman" w:eastAsia="Times New Roman" w:hAnsi="Times New Roman" w:cs="Times New Roman"/>
      <w:b/>
      <w:bCs/>
      <w:i/>
      <w:iCs/>
      <w:smallCaps w:val="0"/>
      <w:strike w:val="0"/>
      <w:color w:val="000000"/>
      <w:spacing w:val="0"/>
      <w:w w:val="100"/>
      <w:position w:val="0"/>
      <w:sz w:val="21"/>
      <w:szCs w:val="21"/>
      <w:u w:val="none"/>
      <w:lang w:val="fr-FR" w:eastAsia="fr-FR" w:bidi="fr-FR"/>
    </w:rPr>
  </w:style>
  <w:style w:type="character" w:customStyle="1" w:styleId="Corpsdutexte465ptNonItalique">
    <w:name w:val="Corps du texte (4) + 6.5 pt;Non Italique"/>
    <w:rsid w:val="00C115E7"/>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Corpsdutexte1275ptItalique">
    <w:name w:val="Corps du texte (12) + 7.5 pt;Italique"/>
    <w:rsid w:val="00C115E7"/>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Corpsdutexte675ptGrasNonItaliquePetitesmajuscules">
    <w:name w:val="Corps du texte (6) + 7.5 pt;Gras;Non Italique;Petites majuscules"/>
    <w:rsid w:val="00C115E7"/>
    <w:rPr>
      <w:rFonts w:ascii="Times New Roman" w:eastAsia="Times New Roman" w:hAnsi="Times New Roman" w:cs="Times New Roman"/>
      <w:b/>
      <w:bCs/>
      <w:i/>
      <w:iCs/>
      <w:smallCaps/>
      <w:strike w:val="0"/>
      <w:color w:val="000000"/>
      <w:spacing w:val="0"/>
      <w:w w:val="100"/>
      <w:position w:val="0"/>
      <w:sz w:val="15"/>
      <w:szCs w:val="15"/>
      <w:u w:val="none"/>
      <w:lang w:val="fr-FR" w:eastAsia="fr-FR" w:bidi="fr-FR"/>
    </w:rPr>
  </w:style>
  <w:style w:type="character" w:customStyle="1" w:styleId="Corpsdutexte16AppleGothic115ptNonGrasEspacement0pt">
    <w:name w:val="Corps du texte (16) + AppleGothic;11.5 pt;Non Gras;Espacement 0 pt"/>
    <w:rsid w:val="00C115E7"/>
    <w:rPr>
      <w:rFonts w:ascii="AppleGothic" w:eastAsia="AppleGothic" w:hAnsi="AppleGothic" w:cs="AppleGothic"/>
      <w:b/>
      <w:bCs/>
      <w:i/>
      <w:iCs/>
      <w:smallCaps w:val="0"/>
      <w:strike w:val="0"/>
      <w:color w:val="000000"/>
      <w:spacing w:val="0"/>
      <w:w w:val="100"/>
      <w:position w:val="0"/>
      <w:sz w:val="23"/>
      <w:szCs w:val="23"/>
      <w:u w:val="none"/>
      <w:lang w:val="fr-FR" w:eastAsia="fr-FR" w:bidi="fr-FR"/>
    </w:rPr>
  </w:style>
  <w:style w:type="character" w:customStyle="1" w:styleId="Corpsdutexte1910ptNonGras">
    <w:name w:val="Corps du texte (19) + 10 pt;Non Gras"/>
    <w:rsid w:val="00C115E7"/>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Notedebasdepage275ptItalique">
    <w:name w:val="Note de bas de page (2) + 7.5 pt;Italique"/>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365ptNonItaliquePetitesmajuscules">
    <w:name w:val="Note de bas de page (3) + 6.5 pt;Non Italique;Petites majuscules"/>
    <w:rsid w:val="001D0C86"/>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365ptNonItalique">
    <w:name w:val="Note de bas de page (3) + 6.5 pt;Non Italique"/>
    <w:rsid w:val="001D0C86"/>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65ptItaliquePetitesmajuscules">
    <w:name w:val="Note de bas de page + 6.5 pt;Italique;Petites majuscules"/>
    <w:rsid w:val="001D0C86"/>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65ptItaliqueEspacement0pt">
    <w:name w:val="Note de bas de page + 6.5 pt;Italique;Espacement 0 pt"/>
    <w:rsid w:val="001D0C86"/>
    <w:rPr>
      <w:rFonts w:ascii="Times New Roman" w:eastAsia="Times New Roman" w:hAnsi="Times New Roman" w:cs="Times New Roman"/>
      <w:b/>
      <w:bCs/>
      <w:i/>
      <w:iCs/>
      <w:smallCaps w:val="0"/>
      <w:strike w:val="0"/>
      <w:color w:val="000000"/>
      <w:spacing w:val="10"/>
      <w:w w:val="100"/>
      <w:position w:val="0"/>
      <w:sz w:val="13"/>
      <w:szCs w:val="13"/>
      <w:u w:val="none"/>
      <w:lang w:val="fr-FR" w:eastAsia="fr-FR" w:bidi="fr-FR"/>
    </w:rPr>
  </w:style>
  <w:style w:type="character" w:customStyle="1" w:styleId="Notedebasdepage27ptNonGras">
    <w:name w:val="Note de bas de page (2) + 7 pt;Non Gras"/>
    <w:rsid w:val="001D0C86"/>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Notedebasdepage27ptItaliqueEspacement1pt">
    <w:name w:val="Note de bas de page (2) + 7 pt;Italique;Espacement 1 pt"/>
    <w:rsid w:val="001D0C86"/>
    <w:rPr>
      <w:rFonts w:ascii="Times New Roman" w:eastAsia="Times New Roman" w:hAnsi="Times New Roman" w:cs="Times New Roman"/>
      <w:b/>
      <w:bCs/>
      <w:i/>
      <w:iCs/>
      <w:smallCaps w:val="0"/>
      <w:strike w:val="0"/>
      <w:color w:val="000000"/>
      <w:spacing w:val="20"/>
      <w:w w:val="100"/>
      <w:position w:val="0"/>
      <w:sz w:val="14"/>
      <w:szCs w:val="14"/>
      <w:u w:val="none"/>
      <w:lang w:val="fr-FR" w:eastAsia="fr-FR" w:bidi="fr-FR"/>
    </w:rPr>
  </w:style>
  <w:style w:type="character" w:customStyle="1" w:styleId="Notedebasdepage7ptItaliqueEspacement1pt">
    <w:name w:val="Note de bas de page + 7 pt;Italique;Espacement 1 pt"/>
    <w:rsid w:val="001D0C86"/>
    <w:rPr>
      <w:rFonts w:ascii="Times New Roman" w:eastAsia="Times New Roman" w:hAnsi="Times New Roman" w:cs="Times New Roman"/>
      <w:b/>
      <w:bCs/>
      <w:i/>
      <w:iCs/>
      <w:smallCaps w:val="0"/>
      <w:strike w:val="0"/>
      <w:color w:val="000000"/>
      <w:spacing w:val="20"/>
      <w:w w:val="100"/>
      <w:position w:val="0"/>
      <w:sz w:val="14"/>
      <w:szCs w:val="14"/>
      <w:u w:val="none"/>
      <w:lang w:val="fr-FR" w:eastAsia="fr-FR" w:bidi="fr-FR"/>
    </w:rPr>
  </w:style>
  <w:style w:type="character" w:customStyle="1" w:styleId="Notedebasdepage7ptNonGras">
    <w:name w:val="Note de bas de page + 7 pt;Non Gras"/>
    <w:rsid w:val="001D0C86"/>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Notedebasdepage37ptNonItalique">
    <w:name w:val="Note de bas de page (3) + 7 pt;Non Italique"/>
    <w:rsid w:val="001D0C86"/>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37ptNonItaliquePetitesmajuscules">
    <w:name w:val="Note de bas de page (3) + 7 pt;Non Italique;Petites majuscules"/>
    <w:rsid w:val="001D0C86"/>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Notedebasdepage475ptNonItalique">
    <w:name w:val="Note de bas de page (4) + 7.5 pt;Non Italique"/>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465ptNonItalique">
    <w:name w:val="Note de bas de page (4) + 6.5 pt;Non Italique"/>
    <w:rsid w:val="001D0C86"/>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Notedebasdepage48ptNonItalique">
    <w:name w:val="Note de bas de page (4) + 8 pt;Non Italique"/>
    <w:rsid w:val="001D0C86"/>
    <w:rPr>
      <w:rFonts w:ascii="Times New Roman" w:eastAsia="Times New Roman" w:hAnsi="Times New Roman" w:cs="Times New Roman"/>
      <w:b/>
      <w:bCs/>
      <w:i/>
      <w:iCs/>
      <w:smallCaps w:val="0"/>
      <w:strike w:val="0"/>
      <w:color w:val="000000"/>
      <w:spacing w:val="0"/>
      <w:w w:val="100"/>
      <w:position w:val="0"/>
      <w:sz w:val="16"/>
      <w:szCs w:val="16"/>
      <w:u w:val="none"/>
      <w:lang w:val="fr-FR" w:eastAsia="fr-FR" w:bidi="fr-FR"/>
    </w:rPr>
  </w:style>
  <w:style w:type="character" w:customStyle="1" w:styleId="Notedebasdepage27ptItalique">
    <w:name w:val="Note de bas de page (2) + 7 pt;Italique"/>
    <w:rsid w:val="001D0C86"/>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465ptNonItaliquePetitesmajuscules">
    <w:name w:val="Note de bas de page (4) + 6.5 pt;Non Italique;Petites majuscules"/>
    <w:rsid w:val="001D0C86"/>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365ptPetitesmajuscules">
    <w:name w:val="Note de bas de page (3) + 6.5 pt;Petites majuscules"/>
    <w:rsid w:val="001D0C86"/>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4NonItaliquePetitesmajuscules">
    <w:name w:val="Note de bas de page (4) + Non Italique;Petites majuscules"/>
    <w:rsid w:val="001D0C86"/>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Notedebasdepage775ptItalique">
    <w:name w:val="Note de bas de page (7) + 7.5 pt;Italique"/>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785ptItalique">
    <w:name w:val="Note de bas de page (7) + 8.5 pt;Italique"/>
    <w:rsid w:val="001D0C86"/>
    <w:rPr>
      <w:rFonts w:ascii="Times New Roman" w:eastAsia="Times New Roman" w:hAnsi="Times New Roman" w:cs="Times New Roman"/>
      <w:b/>
      <w:bCs/>
      <w:i/>
      <w:iCs/>
      <w:smallCaps w:val="0"/>
      <w:strike w:val="0"/>
      <w:color w:val="000000"/>
      <w:spacing w:val="0"/>
      <w:w w:val="100"/>
      <w:position w:val="0"/>
      <w:sz w:val="17"/>
      <w:szCs w:val="17"/>
      <w:u w:val="none"/>
      <w:lang w:val="fr-FR" w:eastAsia="fr-FR" w:bidi="fr-FR"/>
    </w:rPr>
  </w:style>
  <w:style w:type="character" w:customStyle="1" w:styleId="Notedebasdepage8ptEspacement0pt">
    <w:name w:val="Note de bas de page + 8 pt;Espacement 0 pt"/>
    <w:rsid w:val="001D0C86"/>
    <w:rPr>
      <w:rFonts w:ascii="Times New Roman" w:eastAsia="Times New Roman" w:hAnsi="Times New Roman" w:cs="Times New Roman"/>
      <w:b/>
      <w:bCs/>
      <w:i w:val="0"/>
      <w:iCs w:val="0"/>
      <w:smallCaps w:val="0"/>
      <w:strike w:val="0"/>
      <w:color w:val="000000"/>
      <w:spacing w:val="10"/>
      <w:w w:val="100"/>
      <w:position w:val="0"/>
      <w:sz w:val="16"/>
      <w:szCs w:val="16"/>
      <w:u w:val="none"/>
      <w:lang w:val="fr-FR" w:eastAsia="fr-FR" w:bidi="fr-FR"/>
    </w:rPr>
  </w:style>
  <w:style w:type="character" w:customStyle="1" w:styleId="Notedebasdepage48ptNonItaliqueEspacement0pt">
    <w:name w:val="Note de bas de page (4) + 8 pt;Non Italique;Espacement 0 pt"/>
    <w:rsid w:val="001D0C86"/>
    <w:rPr>
      <w:rFonts w:ascii="Times New Roman" w:eastAsia="Times New Roman" w:hAnsi="Times New Roman" w:cs="Times New Roman"/>
      <w:b/>
      <w:bCs/>
      <w:i/>
      <w:iCs/>
      <w:smallCaps w:val="0"/>
      <w:strike w:val="0"/>
      <w:color w:val="000000"/>
      <w:spacing w:val="10"/>
      <w:w w:val="100"/>
      <w:position w:val="0"/>
      <w:sz w:val="16"/>
      <w:szCs w:val="16"/>
      <w:u w:val="none"/>
      <w:lang w:val="fr-FR" w:eastAsia="fr-FR" w:bidi="fr-FR"/>
    </w:rPr>
  </w:style>
  <w:style w:type="character" w:customStyle="1" w:styleId="Corpsdutexte268ptEspacement0pt">
    <w:name w:val="Corps du texte (26) + 8 pt;Espacement 0 pt"/>
    <w:rsid w:val="001D0C86"/>
    <w:rPr>
      <w:rFonts w:ascii="Times New Roman" w:eastAsia="Times New Roman" w:hAnsi="Times New Roman" w:cs="Times New Roman"/>
      <w:b/>
      <w:bCs/>
      <w:i w:val="0"/>
      <w:iCs w:val="0"/>
      <w:smallCaps w:val="0"/>
      <w:strike w:val="0"/>
      <w:color w:val="000000"/>
      <w:spacing w:val="10"/>
      <w:w w:val="100"/>
      <w:position w:val="0"/>
      <w:sz w:val="16"/>
      <w:szCs w:val="16"/>
      <w:u w:val="none"/>
      <w:lang w:val="fr-FR" w:eastAsia="fr-FR" w:bidi="fr-FR"/>
    </w:rPr>
  </w:style>
  <w:style w:type="character" w:customStyle="1" w:styleId="Corpsdutexte267ptItalique">
    <w:name w:val="Corps du texte (26) + 7 pt;Italique"/>
    <w:rsid w:val="001D0C86"/>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2665ptPetitesmajuscules">
    <w:name w:val="Corps du texte (26) + 6.5 pt;Petites majuscules"/>
    <w:rsid w:val="001D0C86"/>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Corpsdutexte3165ptNonItalique">
    <w:name w:val="Corps du texte (31) + 6.5 pt;Non Italique"/>
    <w:rsid w:val="001D0C86"/>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Corpsdutexte318ptNonItaliqueEspacement0pt">
    <w:name w:val="Corps du texte (31) + 8 pt;Non Italique;Espacement 0 pt"/>
    <w:rsid w:val="001D0C86"/>
    <w:rPr>
      <w:rFonts w:ascii="Times New Roman" w:eastAsia="Times New Roman" w:hAnsi="Times New Roman" w:cs="Times New Roman"/>
      <w:b/>
      <w:bCs/>
      <w:i/>
      <w:iCs/>
      <w:smallCaps w:val="0"/>
      <w:strike w:val="0"/>
      <w:color w:val="000000"/>
      <w:spacing w:val="10"/>
      <w:w w:val="100"/>
      <w:position w:val="0"/>
      <w:sz w:val="16"/>
      <w:szCs w:val="16"/>
      <w:u w:val="none"/>
      <w:lang w:val="fr-FR" w:eastAsia="fr-FR" w:bidi="fr-FR"/>
    </w:rPr>
  </w:style>
  <w:style w:type="character" w:customStyle="1" w:styleId="Corpsdutexte3165ptNonItaliquePetitesmajuscules">
    <w:name w:val="Corps du texte (31) + 6.5 pt;Non Italique;Petites majuscules"/>
    <w:rsid w:val="001D0C86"/>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Corpsdutexte3175ptNonItalique">
    <w:name w:val="Corps du texte (31) + 7.5 pt;Non Italique"/>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65ptItaliqueEspacement1pt">
    <w:name w:val="Note de bas de page + 6.5 pt;Italique;Espacement 1 pt"/>
    <w:rsid w:val="001D0C86"/>
    <w:rPr>
      <w:rFonts w:ascii="Times New Roman" w:eastAsia="Times New Roman" w:hAnsi="Times New Roman" w:cs="Times New Roman"/>
      <w:b/>
      <w:bCs/>
      <w:i/>
      <w:iCs/>
      <w:smallCaps w:val="0"/>
      <w:strike w:val="0"/>
      <w:color w:val="000000"/>
      <w:spacing w:val="20"/>
      <w:w w:val="100"/>
      <w:position w:val="0"/>
      <w:sz w:val="13"/>
      <w:szCs w:val="13"/>
      <w:u w:val="none"/>
      <w:lang w:val="fr-FR" w:eastAsia="fr-FR" w:bidi="fr-FR"/>
    </w:rPr>
  </w:style>
  <w:style w:type="character" w:customStyle="1" w:styleId="Notedebasdepage5ptItalique">
    <w:name w:val="Note de bas de page + 5 pt;Italique"/>
    <w:rsid w:val="001D0C86"/>
    <w:rPr>
      <w:rFonts w:ascii="Times New Roman" w:eastAsia="Times New Roman" w:hAnsi="Times New Roman" w:cs="Times New Roman"/>
      <w:b/>
      <w:bCs/>
      <w:i/>
      <w:iCs/>
      <w:smallCaps w:val="0"/>
      <w:strike w:val="0"/>
      <w:color w:val="000000"/>
      <w:spacing w:val="0"/>
      <w:w w:val="100"/>
      <w:position w:val="0"/>
      <w:sz w:val="10"/>
      <w:szCs w:val="10"/>
      <w:u w:val="none"/>
      <w:lang w:val="fr-FR" w:eastAsia="fr-FR" w:bidi="fr-FR"/>
    </w:rPr>
  </w:style>
  <w:style w:type="character" w:customStyle="1" w:styleId="Notedebasdepage45ptNonGras">
    <w:name w:val="Note de bas de page + 4.5 pt;Non Gras"/>
    <w:rsid w:val="001D0C86"/>
    <w:rPr>
      <w:rFonts w:ascii="Times New Roman" w:eastAsia="Times New Roman" w:hAnsi="Times New Roman" w:cs="Times New Roman"/>
      <w:b/>
      <w:bCs/>
      <w:i w:val="0"/>
      <w:iCs w:val="0"/>
      <w:smallCaps w:val="0"/>
      <w:strike w:val="0"/>
      <w:color w:val="000000"/>
      <w:spacing w:val="0"/>
      <w:w w:val="100"/>
      <w:position w:val="0"/>
      <w:sz w:val="9"/>
      <w:szCs w:val="9"/>
      <w:u w:val="none"/>
      <w:lang w:val="fr-FR" w:eastAsia="fr-FR" w:bidi="fr-FR"/>
    </w:rPr>
  </w:style>
  <w:style w:type="character" w:customStyle="1" w:styleId="Notedebasdepage475ptEspacement1pt">
    <w:name w:val="Note de bas de page (4) + 7.5 pt;Espacement 1 pt"/>
    <w:rsid w:val="001D0C86"/>
    <w:rPr>
      <w:rFonts w:ascii="Times New Roman" w:eastAsia="Times New Roman" w:hAnsi="Times New Roman" w:cs="Times New Roman"/>
      <w:b/>
      <w:bCs/>
      <w:i/>
      <w:iCs/>
      <w:smallCaps w:val="0"/>
      <w:strike w:val="0"/>
      <w:color w:val="000000"/>
      <w:spacing w:val="20"/>
      <w:w w:val="100"/>
      <w:position w:val="0"/>
      <w:sz w:val="15"/>
      <w:szCs w:val="15"/>
      <w:u w:val="none"/>
      <w:lang w:val="fr-FR" w:eastAsia="fr-FR" w:bidi="fr-FR"/>
    </w:rPr>
  </w:style>
  <w:style w:type="character" w:customStyle="1" w:styleId="Corpsdutexte87ptPetitesmajuscules">
    <w:name w:val="Corps du texte (8) + 7 pt;Petites majuscules"/>
    <w:rsid w:val="001D0C86"/>
    <w:rPr>
      <w:rFonts w:ascii="Times New Roman" w:eastAsia="Times New Roman" w:hAnsi="Times New Roman" w:cs="Times New Roman"/>
      <w:b/>
      <w:bCs/>
      <w:i w:val="0"/>
      <w:iCs w:val="0"/>
      <w:smallCaps/>
      <w:strike w:val="0"/>
      <w:color w:val="000000"/>
      <w:spacing w:val="0"/>
      <w:w w:val="100"/>
      <w:position w:val="0"/>
      <w:sz w:val="14"/>
      <w:szCs w:val="14"/>
      <w:u w:val="none"/>
      <w:lang w:val="fr-FR" w:eastAsia="fr-FR" w:bidi="fr-FR"/>
    </w:rPr>
  </w:style>
  <w:style w:type="character" w:customStyle="1" w:styleId="Corpsdutexte8ItaliqueEspacement0pt">
    <w:name w:val="Corps du texte (8) + Italique;Espacement 0 pt"/>
    <w:rsid w:val="001D0C86"/>
    <w:rPr>
      <w:rFonts w:ascii="Times New Roman" w:eastAsia="Times New Roman" w:hAnsi="Times New Roman" w:cs="Times New Roman"/>
      <w:b/>
      <w:bCs/>
      <w:i/>
      <w:iCs/>
      <w:smallCaps w:val="0"/>
      <w:strike w:val="0"/>
      <w:color w:val="000000"/>
      <w:spacing w:val="10"/>
      <w:w w:val="100"/>
      <w:position w:val="0"/>
      <w:sz w:val="17"/>
      <w:szCs w:val="17"/>
      <w:u w:val="none"/>
      <w:lang w:val="fr-FR" w:eastAsia="fr-FR" w:bidi="fr-FR"/>
    </w:rPr>
  </w:style>
  <w:style w:type="character" w:customStyle="1" w:styleId="Corpsdutexte3NonItaliqueEspacement0pt">
    <w:name w:val="Corps du texte (3) + Non Italique;Espacement 0 pt"/>
    <w:rsid w:val="001D0C86"/>
    <w:rPr>
      <w:rFonts w:ascii="Times New Roman" w:eastAsia="Times New Roman" w:hAnsi="Times New Roman" w:cs="Times New Roman"/>
      <w:b/>
      <w:bCs/>
      <w:i/>
      <w:iCs/>
      <w:smallCaps w:val="0"/>
      <w:strike w:val="0"/>
      <w:color w:val="000000"/>
      <w:spacing w:val="0"/>
      <w:w w:val="100"/>
      <w:position w:val="0"/>
      <w:sz w:val="17"/>
      <w:szCs w:val="17"/>
      <w:u w:val="none"/>
      <w:lang w:val="fr-FR" w:eastAsia="fr-FR" w:bidi="fr-FR"/>
    </w:rPr>
  </w:style>
  <w:style w:type="character" w:customStyle="1" w:styleId="Corpsdutexte37ptNonItaliquePetitesmajusculesEspacement0pt">
    <w:name w:val="Corps du texte (3) + 7 pt;Non Italique;Petites majuscules;Espacement 0 pt"/>
    <w:rsid w:val="001D0C86"/>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Corpsdutexte37ptNonItaliqueEspacement0pt">
    <w:name w:val="Corps du texte (3) + 7 pt;Non Italique;Espacement 0 pt"/>
    <w:rsid w:val="001D0C86"/>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16105ptNonGras">
    <w:name w:val="Corps du texte (16) + 10.5 pt;Non Gras"/>
    <w:rsid w:val="001D0C86"/>
    <w:rPr>
      <w:rFonts w:ascii="Times New Roman" w:eastAsia="Times New Roman" w:hAnsi="Times New Roman" w:cs="Times New Roman"/>
      <w:b/>
      <w:bCs/>
      <w:i w:val="0"/>
      <w:iCs w:val="0"/>
      <w:smallCaps w:val="0"/>
      <w:strike w:val="0"/>
      <w:color w:val="000000"/>
      <w:spacing w:val="0"/>
      <w:w w:val="100"/>
      <w:position w:val="0"/>
      <w:sz w:val="21"/>
      <w:szCs w:val="21"/>
      <w:u w:val="none"/>
      <w:lang w:val="fr-FR" w:eastAsia="fr-FR" w:bidi="fr-FR"/>
    </w:rPr>
  </w:style>
  <w:style w:type="character" w:customStyle="1" w:styleId="Corpsdutexte2ItaliqueEspacement2pt">
    <w:name w:val="Corps du texte (2) + Italique;Espacement 2 pt"/>
    <w:rsid w:val="001D0C86"/>
    <w:rPr>
      <w:rFonts w:ascii="Times New Roman" w:eastAsia="Times New Roman" w:hAnsi="Times New Roman" w:cs="Times New Roman"/>
      <w:b w:val="0"/>
      <w:bCs w:val="0"/>
      <w:i/>
      <w:iCs/>
      <w:smallCaps w:val="0"/>
      <w:strike w:val="0"/>
      <w:color w:val="000000"/>
      <w:spacing w:val="50"/>
      <w:w w:val="100"/>
      <w:position w:val="0"/>
      <w:sz w:val="21"/>
      <w:szCs w:val="21"/>
      <w:u w:val="none"/>
      <w:lang w:val="fr-FR" w:eastAsia="fr-FR" w:bidi="fr-FR"/>
    </w:rPr>
  </w:style>
  <w:style w:type="character" w:customStyle="1" w:styleId="Corpsdutexte1945ptItalique">
    <w:name w:val="Corps du texte (19) + 4.5 pt;Italique"/>
    <w:rsid w:val="001D0C86"/>
    <w:rPr>
      <w:rFonts w:ascii="Times New Roman" w:eastAsia="Times New Roman" w:hAnsi="Times New Roman" w:cs="Times New Roman"/>
      <w:b/>
      <w:bCs/>
      <w:i/>
      <w:iCs/>
      <w:smallCaps w:val="0"/>
      <w:strike w:val="0"/>
      <w:color w:val="000000"/>
      <w:spacing w:val="0"/>
      <w:w w:val="100"/>
      <w:position w:val="0"/>
      <w:sz w:val="9"/>
      <w:szCs w:val="9"/>
      <w:u w:val="none"/>
      <w:lang w:val="fr-FR" w:eastAsia="fr-FR" w:bidi="fr-FR"/>
    </w:rPr>
  </w:style>
  <w:style w:type="character" w:customStyle="1" w:styleId="Corpsdutexte865ptPetitesmajuscules">
    <w:name w:val="Corps du texte (8) + 6.5 pt;Petites majuscules"/>
    <w:rsid w:val="001D0C86"/>
    <w:rPr>
      <w:rFonts w:ascii="Times New Roman" w:eastAsia="Times New Roman" w:hAnsi="Times New Roman" w:cs="Times New Roman"/>
      <w:b/>
      <w:bCs/>
      <w:i w:val="0"/>
      <w:iCs w:val="0"/>
      <w:smallCaps/>
      <w:strike w:val="0"/>
      <w:color w:val="000000"/>
      <w:spacing w:val="0"/>
      <w:w w:val="100"/>
      <w:position w:val="0"/>
      <w:sz w:val="13"/>
      <w:szCs w:val="13"/>
      <w:u w:val="none"/>
      <w:lang w:val="fr-FR" w:eastAsia="fr-FR" w:bidi="fr-FR"/>
    </w:rPr>
  </w:style>
  <w:style w:type="character" w:customStyle="1" w:styleId="Corpsdutexte21TimesNewRoman10ptEspacement0pt">
    <w:name w:val="Corps du texte (21) + Times New Roman;10 pt;Espacement 0 pt"/>
    <w:rsid w:val="001D0C8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fr-FR" w:eastAsia="fr-FR" w:bidi="fr-FR"/>
    </w:rPr>
  </w:style>
  <w:style w:type="character" w:customStyle="1" w:styleId="En-tteoupieddepage75ptEspacement0pt">
    <w:name w:val="En-tête ou pied de page + 7.5 pt;Espacement 0 pt"/>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En-tteoupieddepage75ptNonItaliqueEspacement0pt">
    <w:name w:val="En-tête ou pied de page + 7.5 pt;Non Italique;Espacement 0 pt"/>
    <w:rsid w:val="001D0C86"/>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En-tte1Arial15ptNonGras">
    <w:name w:val="En-tête #1 + Arial;15 pt;Non Gras"/>
    <w:rsid w:val="001D0C86"/>
    <w:rPr>
      <w:rFonts w:ascii="Arial" w:eastAsia="Arial" w:hAnsi="Arial" w:cs="Arial"/>
      <w:b/>
      <w:bCs/>
      <w:i w:val="0"/>
      <w:iCs w:val="0"/>
      <w:smallCaps w:val="0"/>
      <w:strike w:val="0"/>
      <w:color w:val="000000"/>
      <w:spacing w:val="0"/>
      <w:w w:val="100"/>
      <w:position w:val="0"/>
      <w:sz w:val="30"/>
      <w:szCs w:val="30"/>
      <w:u w:val="none"/>
      <w:lang w:val="fr-FR" w:eastAsia="fr-FR" w:bidi="fr-FR"/>
    </w:rPr>
  </w:style>
  <w:style w:type="character" w:customStyle="1" w:styleId="Corpsdutexte21TimesNewRomanGrasEspacement0pt">
    <w:name w:val="Corps du texte (21) + Times New Roman;Gras;Espacement 0 pt"/>
    <w:rsid w:val="001D0C86"/>
    <w:rPr>
      <w:rFonts w:ascii="Times New Roman" w:eastAsia="Times New Roman" w:hAnsi="Times New Roman" w:cs="Times New Roman"/>
      <w:b/>
      <w:bCs/>
      <w:i w:val="0"/>
      <w:iCs w:val="0"/>
      <w:smallCaps w:val="0"/>
      <w:strike w:val="0"/>
      <w:color w:val="000000"/>
      <w:spacing w:val="0"/>
      <w:w w:val="100"/>
      <w:position w:val="0"/>
      <w:sz w:val="18"/>
      <w:szCs w:val="18"/>
      <w:u w:val="none"/>
      <w:lang w:val="fr-FR" w:eastAsia="fr-FR" w:bidi="fr-FR"/>
    </w:rPr>
  </w:style>
  <w:style w:type="character" w:customStyle="1" w:styleId="Corpsdutexte21TimesNewRoman11ptGrasItaliqueEspacement0pt">
    <w:name w:val="Corps du texte (21) + Times New Roman;11 pt;Gras;Italique;Espacement 0 pt"/>
    <w:rsid w:val="001D0C86"/>
    <w:rPr>
      <w:rFonts w:ascii="Times New Roman" w:eastAsia="Times New Roman" w:hAnsi="Times New Roman" w:cs="Times New Roman"/>
      <w:b/>
      <w:bCs/>
      <w:i/>
      <w:iCs/>
      <w:smallCaps w:val="0"/>
      <w:strike w:val="0"/>
      <w:color w:val="000000"/>
      <w:spacing w:val="0"/>
      <w:w w:val="100"/>
      <w:position w:val="0"/>
      <w:sz w:val="22"/>
      <w:szCs w:val="22"/>
      <w:u w:val="none"/>
      <w:lang w:val="fr-FR" w:eastAsia="fr-FR" w:bidi="fr-FR"/>
    </w:rPr>
  </w:style>
  <w:style w:type="character" w:customStyle="1" w:styleId="Corpsdutexte21TimesNewRoman10ptItaliqueEspacement0pt">
    <w:name w:val="Corps du texte (21) + Times New Roman;10 pt;Italique;Espacement 0 pt"/>
    <w:rsid w:val="001D0C86"/>
    <w:rPr>
      <w:rFonts w:ascii="Times New Roman" w:eastAsia="Times New Roman" w:hAnsi="Times New Roman" w:cs="Times New Roman"/>
      <w:b w:val="0"/>
      <w:bCs w:val="0"/>
      <w:i/>
      <w:iCs/>
      <w:smallCaps w:val="0"/>
      <w:strike w:val="0"/>
      <w:color w:val="000000"/>
      <w:spacing w:val="0"/>
      <w:w w:val="100"/>
      <w:position w:val="0"/>
      <w:sz w:val="20"/>
      <w:szCs w:val="20"/>
      <w:u w:val="none"/>
      <w:lang w:val="fr-FR" w:eastAsia="fr-FR" w:bidi="fr-FR"/>
    </w:rPr>
  </w:style>
  <w:style w:type="character" w:customStyle="1" w:styleId="Corpsdutexte328ptEspacement0pt">
    <w:name w:val="Corps du texte (32) + 8 pt;Espacement 0 pt"/>
    <w:rsid w:val="001D0C86"/>
    <w:rPr>
      <w:rFonts w:ascii="Times New Roman" w:eastAsia="Times New Roman" w:hAnsi="Times New Roman" w:cs="Times New Roman"/>
      <w:b/>
      <w:bCs/>
      <w:i w:val="0"/>
      <w:iCs w:val="0"/>
      <w:smallCaps w:val="0"/>
      <w:strike w:val="0"/>
      <w:color w:val="000000"/>
      <w:spacing w:val="10"/>
      <w:w w:val="100"/>
      <w:position w:val="0"/>
      <w:sz w:val="16"/>
      <w:szCs w:val="16"/>
      <w:u w:val="none"/>
      <w:lang w:val="fr-FR" w:eastAsia="fr-FR" w:bidi="fr-FR"/>
    </w:rPr>
  </w:style>
  <w:style w:type="character" w:customStyle="1" w:styleId="Corpsdutexte327ptItalique">
    <w:name w:val="Corps du texte (32) + 7 pt;Italique"/>
    <w:rsid w:val="001D0C86"/>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3NonItaliqueEspacement1pt">
    <w:name w:val="Corps du texte (3) + Non Italique;Espacement 1 pt"/>
    <w:rsid w:val="001D0C86"/>
    <w:rPr>
      <w:rFonts w:ascii="Times New Roman" w:eastAsia="Times New Roman" w:hAnsi="Times New Roman" w:cs="Times New Roman"/>
      <w:b/>
      <w:bCs/>
      <w:i/>
      <w:iCs/>
      <w:smallCaps w:val="0"/>
      <w:strike w:val="0"/>
      <w:color w:val="000000"/>
      <w:spacing w:val="20"/>
      <w:w w:val="100"/>
      <w:position w:val="0"/>
      <w:sz w:val="17"/>
      <w:szCs w:val="17"/>
      <w:u w:val="none"/>
      <w:lang w:val="fr-FR" w:eastAsia="fr-FR" w:bidi="fr-FR"/>
    </w:rPr>
  </w:style>
  <w:style w:type="character" w:customStyle="1" w:styleId="Corpsdutexte267ptItaliqueEspacement1pt">
    <w:name w:val="Corps du texte (26) + 7 pt;Italique;Espacement 1 pt"/>
    <w:rsid w:val="001D0C86"/>
    <w:rPr>
      <w:rFonts w:ascii="Times New Roman" w:eastAsia="Times New Roman" w:hAnsi="Times New Roman" w:cs="Times New Roman"/>
      <w:b/>
      <w:bCs/>
      <w:i/>
      <w:iCs/>
      <w:smallCaps w:val="0"/>
      <w:strike w:val="0"/>
      <w:color w:val="000000"/>
      <w:spacing w:val="30"/>
      <w:w w:val="100"/>
      <w:position w:val="0"/>
      <w:sz w:val="14"/>
      <w:szCs w:val="14"/>
      <w:u w:val="none"/>
      <w:lang w:val="fr-FR" w:eastAsia="fr-FR" w:bidi="fr-FR"/>
    </w:rPr>
  </w:style>
  <w:style w:type="character" w:customStyle="1" w:styleId="Notedebasdepage565ptNonItaliquePetitesmajuscules">
    <w:name w:val="Note de bas de page (5) + 6.5 pt;Non Italique;Petites majuscules"/>
    <w:rsid w:val="00A63323"/>
    <w:rPr>
      <w:rFonts w:ascii="Times New Roman" w:eastAsia="Times New Roman" w:hAnsi="Times New Roman" w:cs="Times New Roman"/>
      <w:b/>
      <w:bCs/>
      <w:i/>
      <w:iCs/>
      <w:smallCaps/>
      <w:strike w:val="0"/>
      <w:color w:val="000000"/>
      <w:spacing w:val="0"/>
      <w:w w:val="100"/>
      <w:position w:val="0"/>
      <w:sz w:val="13"/>
      <w:szCs w:val="13"/>
      <w:u w:val="none"/>
      <w:lang w:val="fr-FR" w:eastAsia="fr-FR" w:bidi="fr-FR"/>
    </w:rPr>
  </w:style>
  <w:style w:type="character" w:customStyle="1" w:styleId="Notedebasdepage6ptItaliquePetitesmajuscules">
    <w:name w:val="Note de bas de page + 6 pt;Italique;Petites majuscules"/>
    <w:rsid w:val="00A63323"/>
    <w:rPr>
      <w:rFonts w:ascii="Times New Roman" w:eastAsia="Times New Roman" w:hAnsi="Times New Roman" w:cs="Times New Roman"/>
      <w:b/>
      <w:bCs/>
      <w:i/>
      <w:iCs/>
      <w:smallCaps/>
      <w:strike w:val="0"/>
      <w:color w:val="000000"/>
      <w:spacing w:val="0"/>
      <w:w w:val="100"/>
      <w:position w:val="0"/>
      <w:sz w:val="12"/>
      <w:szCs w:val="12"/>
      <w:u w:val="none"/>
      <w:lang w:val="fr-FR" w:eastAsia="fr-FR" w:bidi="fr-FR"/>
    </w:rPr>
  </w:style>
  <w:style w:type="character" w:customStyle="1" w:styleId="Notedebasdepage56ptPetitesmajuscules">
    <w:name w:val="Note de bas de page (5) + 6 pt;Petites majuscules"/>
    <w:rsid w:val="00A63323"/>
    <w:rPr>
      <w:rFonts w:ascii="Times New Roman" w:eastAsia="Times New Roman" w:hAnsi="Times New Roman" w:cs="Times New Roman"/>
      <w:b/>
      <w:bCs/>
      <w:i/>
      <w:iCs/>
      <w:smallCaps/>
      <w:strike w:val="0"/>
      <w:color w:val="000000"/>
      <w:spacing w:val="0"/>
      <w:w w:val="100"/>
      <w:position w:val="0"/>
      <w:sz w:val="12"/>
      <w:szCs w:val="12"/>
      <w:u w:val="none"/>
      <w:lang w:val="fr-FR" w:eastAsia="fr-FR" w:bidi="fr-FR"/>
    </w:rPr>
  </w:style>
  <w:style w:type="character" w:customStyle="1" w:styleId="Notedebasdepage7ptItaliqueEspacement0pt">
    <w:name w:val="Note de bas de page + 7 pt;Italique;Espacement 0 pt"/>
    <w:rsid w:val="00A63323"/>
    <w:rPr>
      <w:rFonts w:ascii="Times New Roman" w:eastAsia="Times New Roman" w:hAnsi="Times New Roman" w:cs="Times New Roman"/>
      <w:b/>
      <w:bCs/>
      <w:i/>
      <w:iCs/>
      <w:smallCaps w:val="0"/>
      <w:strike w:val="0"/>
      <w:color w:val="000000"/>
      <w:spacing w:val="10"/>
      <w:w w:val="100"/>
      <w:position w:val="0"/>
      <w:sz w:val="14"/>
      <w:szCs w:val="14"/>
      <w:u w:val="none"/>
      <w:lang w:val="fr-FR" w:eastAsia="fr-FR" w:bidi="fr-FR"/>
    </w:rPr>
  </w:style>
  <w:style w:type="character" w:customStyle="1" w:styleId="Notedebasdepage9ptNonGrasItalique">
    <w:name w:val="Note de bas de page + 9 pt;Non Gras;Italique"/>
    <w:rsid w:val="00A63323"/>
    <w:rPr>
      <w:rFonts w:ascii="Times New Roman" w:eastAsia="Times New Roman" w:hAnsi="Times New Roman" w:cs="Times New Roman"/>
      <w:b/>
      <w:bCs/>
      <w:i/>
      <w:iCs/>
      <w:smallCaps w:val="0"/>
      <w:strike w:val="0"/>
      <w:color w:val="000000"/>
      <w:spacing w:val="0"/>
      <w:w w:val="100"/>
      <w:position w:val="0"/>
      <w:sz w:val="18"/>
      <w:szCs w:val="18"/>
      <w:u w:val="none"/>
      <w:lang w:val="fr-FR" w:eastAsia="fr-FR" w:bidi="fr-FR"/>
    </w:rPr>
  </w:style>
  <w:style w:type="character" w:customStyle="1" w:styleId="Notedebasdepage10ptNonGras">
    <w:name w:val="Note de bas de page + 10 pt;Non Gras"/>
    <w:rsid w:val="00A63323"/>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Notedebasdepage8ptItaliqueEspacement0pt">
    <w:name w:val="Note de bas de page + 8 pt;Italique;Espacement 0 pt"/>
    <w:rsid w:val="00A63323"/>
    <w:rPr>
      <w:rFonts w:ascii="Times New Roman" w:eastAsia="Times New Roman" w:hAnsi="Times New Roman" w:cs="Times New Roman"/>
      <w:b/>
      <w:bCs/>
      <w:i/>
      <w:iCs/>
      <w:smallCaps w:val="0"/>
      <w:strike w:val="0"/>
      <w:color w:val="000000"/>
      <w:spacing w:val="10"/>
      <w:w w:val="100"/>
      <w:position w:val="0"/>
      <w:sz w:val="16"/>
      <w:szCs w:val="16"/>
      <w:u w:val="none"/>
      <w:lang w:val="fr-FR" w:eastAsia="fr-FR" w:bidi="fr-FR"/>
    </w:rPr>
  </w:style>
  <w:style w:type="character" w:customStyle="1" w:styleId="Notedebasdepage875ptEspacement0pt">
    <w:name w:val="Note de bas de page (8) + 7.5 pt;Espacement 0 pt"/>
    <w:rsid w:val="00A63323"/>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875ptNonItaliqueEspacement0pt">
    <w:name w:val="Note de bas de page (8) + 7.5 pt;Non Italique;Espacement 0 pt"/>
    <w:rsid w:val="00A63323"/>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87ptNonItaliqueEspacement0pt">
    <w:name w:val="Note de bas de page (8) + 7 pt;Non Italique;Espacement 0 pt"/>
    <w:rsid w:val="00A63323"/>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Notedebasdepage10NonGrasNonItalique">
    <w:name w:val="Note de bas de page (10) + Non Gras;Non Italique"/>
    <w:rsid w:val="00A63323"/>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Notedebasdepage118ptItaliqueEspacement0pt">
    <w:name w:val="Note de bas de page (11) + 8 pt;Italique;Espacement 0 pt"/>
    <w:rsid w:val="00A63323"/>
    <w:rPr>
      <w:rFonts w:ascii="Times New Roman" w:eastAsia="Times New Roman" w:hAnsi="Times New Roman" w:cs="Times New Roman"/>
      <w:b/>
      <w:bCs/>
      <w:i/>
      <w:iCs/>
      <w:smallCaps w:val="0"/>
      <w:strike w:val="0"/>
      <w:color w:val="000000"/>
      <w:spacing w:val="10"/>
      <w:w w:val="100"/>
      <w:position w:val="0"/>
      <w:sz w:val="16"/>
      <w:szCs w:val="16"/>
      <w:u w:val="none"/>
      <w:lang w:val="fr-FR" w:eastAsia="fr-FR" w:bidi="fr-FR"/>
    </w:rPr>
  </w:style>
  <w:style w:type="character" w:customStyle="1" w:styleId="Corpsdutexte585ptPetitesmajuscules">
    <w:name w:val="Corps du texte (5) + 8.5 pt;Petites majuscules"/>
    <w:rsid w:val="00A63323"/>
    <w:rPr>
      <w:rFonts w:ascii="Times New Roman" w:eastAsia="Times New Roman" w:hAnsi="Times New Roman" w:cs="Times New Roman"/>
      <w:b/>
      <w:bCs/>
      <w:i w:val="0"/>
      <w:iCs w:val="0"/>
      <w:smallCaps/>
      <w:strike w:val="0"/>
      <w:color w:val="000000"/>
      <w:spacing w:val="0"/>
      <w:w w:val="100"/>
      <w:position w:val="0"/>
      <w:sz w:val="17"/>
      <w:szCs w:val="17"/>
      <w:u w:val="none"/>
      <w:lang w:val="fr-FR" w:eastAsia="fr-FR" w:bidi="fr-FR"/>
    </w:rPr>
  </w:style>
  <w:style w:type="character" w:customStyle="1" w:styleId="Corpsdutexte29ptNonGrasEspacement0pt">
    <w:name w:val="Corps du texte (2) + 9 pt;Non Gras;Espacement 0 pt"/>
    <w:rsid w:val="00A63323"/>
    <w:rPr>
      <w:rFonts w:ascii="Times New Roman" w:eastAsia="Times New Roman" w:hAnsi="Times New Roman" w:cs="Times New Roman"/>
      <w:b/>
      <w:bCs/>
      <w:i/>
      <w:iCs/>
      <w:smallCaps w:val="0"/>
      <w:strike w:val="0"/>
      <w:color w:val="000000"/>
      <w:spacing w:val="-10"/>
      <w:w w:val="100"/>
      <w:position w:val="0"/>
      <w:sz w:val="18"/>
      <w:szCs w:val="18"/>
      <w:u w:val="none"/>
      <w:lang w:val="fr-FR" w:eastAsia="fr-FR" w:bidi="fr-FR"/>
    </w:rPr>
  </w:style>
  <w:style w:type="character" w:customStyle="1" w:styleId="Corpsdutexte275ptPetitesmajuscules">
    <w:name w:val="Corps du texte (2) + 7.5 pt;Petites majuscules"/>
    <w:rsid w:val="00A63323"/>
    <w:rPr>
      <w:rFonts w:ascii="Times New Roman" w:eastAsia="Times New Roman" w:hAnsi="Times New Roman" w:cs="Times New Roman"/>
      <w:b/>
      <w:bCs/>
      <w:i/>
      <w:iCs/>
      <w:smallCaps/>
      <w:strike w:val="0"/>
      <w:color w:val="000000"/>
      <w:spacing w:val="0"/>
      <w:w w:val="100"/>
      <w:position w:val="0"/>
      <w:sz w:val="15"/>
      <w:szCs w:val="15"/>
      <w:u w:val="none"/>
      <w:lang w:val="fr-FR" w:eastAsia="fr-FR" w:bidi="fr-FR"/>
    </w:rPr>
  </w:style>
  <w:style w:type="character" w:customStyle="1" w:styleId="Corpsdutexte210ptNonItalique">
    <w:name w:val="Corps du texte (2) + 10 pt;Non Italique"/>
    <w:rsid w:val="00A63323"/>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Corpsdutexte28ptEspacement1pt">
    <w:name w:val="Corps du texte (2) + 8 pt;Espacement 1 pt"/>
    <w:rsid w:val="00A63323"/>
    <w:rPr>
      <w:rFonts w:ascii="Times New Roman" w:eastAsia="Times New Roman" w:hAnsi="Times New Roman" w:cs="Times New Roman"/>
      <w:b/>
      <w:bCs/>
      <w:i/>
      <w:iCs/>
      <w:smallCaps w:val="0"/>
      <w:strike w:val="0"/>
      <w:color w:val="000000"/>
      <w:spacing w:val="20"/>
      <w:w w:val="100"/>
      <w:position w:val="0"/>
      <w:sz w:val="16"/>
      <w:szCs w:val="16"/>
      <w:u w:val="none"/>
      <w:lang w:val="fr-FR" w:eastAsia="fr-FR" w:bidi="fr-FR"/>
    </w:rPr>
  </w:style>
  <w:style w:type="character" w:customStyle="1" w:styleId="Corpsdutexte510ptNonGrasEspacement0pt">
    <w:name w:val="Corps du texte (5) + 10 pt;Non Gras;Espacement 0 pt"/>
    <w:rsid w:val="00A63323"/>
    <w:rPr>
      <w:rFonts w:ascii="Times New Roman" w:eastAsia="Times New Roman" w:hAnsi="Times New Roman" w:cs="Times New Roman"/>
      <w:b/>
      <w:bCs/>
      <w:i w:val="0"/>
      <w:iCs w:val="0"/>
      <w:smallCaps w:val="0"/>
      <w:strike w:val="0"/>
      <w:color w:val="000000"/>
      <w:spacing w:val="10"/>
      <w:w w:val="100"/>
      <w:position w:val="0"/>
      <w:sz w:val="20"/>
      <w:szCs w:val="20"/>
      <w:u w:val="none"/>
      <w:lang w:val="fr-FR" w:eastAsia="fr-FR" w:bidi="fr-FR"/>
    </w:rPr>
  </w:style>
  <w:style w:type="character" w:customStyle="1" w:styleId="Corpsdutexte29ptEspacement1pt">
    <w:name w:val="Corps du texte (2) + 9 pt;Espacement 1 pt"/>
    <w:rsid w:val="00A63323"/>
    <w:rPr>
      <w:rFonts w:ascii="Times New Roman" w:eastAsia="Times New Roman" w:hAnsi="Times New Roman" w:cs="Times New Roman"/>
      <w:b/>
      <w:bCs/>
      <w:i/>
      <w:iCs/>
      <w:smallCaps w:val="0"/>
      <w:strike w:val="0"/>
      <w:color w:val="000000"/>
      <w:spacing w:val="30"/>
      <w:w w:val="100"/>
      <w:position w:val="0"/>
      <w:sz w:val="18"/>
      <w:szCs w:val="18"/>
      <w:u w:val="none"/>
      <w:lang w:val="fr-FR" w:eastAsia="fr-FR" w:bidi="fr-FR"/>
    </w:rPr>
  </w:style>
  <w:style w:type="character" w:customStyle="1" w:styleId="Corpsdutexte275ptNonItaliquePetitesmajuscules">
    <w:name w:val="Corps du texte (2) + 7.5 pt;Non Italique;Petites majuscules"/>
    <w:rsid w:val="00A63323"/>
    <w:rPr>
      <w:rFonts w:ascii="Times New Roman" w:eastAsia="Times New Roman" w:hAnsi="Times New Roman" w:cs="Times New Roman"/>
      <w:b/>
      <w:bCs/>
      <w:i/>
      <w:iCs/>
      <w:smallCaps/>
      <w:strike w:val="0"/>
      <w:color w:val="000000"/>
      <w:spacing w:val="0"/>
      <w:w w:val="100"/>
      <w:position w:val="0"/>
      <w:sz w:val="15"/>
      <w:szCs w:val="15"/>
      <w:u w:val="none"/>
      <w:lang w:val="fr-FR" w:eastAsia="fr-FR" w:bidi="fr-FR"/>
    </w:rPr>
  </w:style>
  <w:style w:type="character" w:customStyle="1" w:styleId="Corpsdutexte2175ptItalique">
    <w:name w:val="Corps du texte (21) + 7.5 pt;Italique"/>
    <w:rsid w:val="00A63323"/>
    <w:rPr>
      <w:rFonts w:ascii="Times New Roman" w:eastAsia="Times New Roman" w:hAnsi="Times New Roman" w:cs="Times New Roman"/>
      <w:b/>
      <w:bCs/>
      <w:i/>
      <w:iCs/>
      <w:smallCaps w:val="0"/>
      <w:strike w:val="0"/>
      <w:color w:val="000000"/>
      <w:spacing w:val="0"/>
      <w:w w:val="100"/>
      <w:position w:val="0"/>
      <w:sz w:val="15"/>
      <w:szCs w:val="15"/>
      <w:u w:val="none"/>
      <w:lang w:val="fr-FR" w:eastAsia="fr-FR" w:bidi="fr-FR"/>
    </w:rPr>
  </w:style>
  <w:style w:type="character" w:customStyle="1" w:styleId="Corpsdutexte1345ptNonItalique">
    <w:name w:val="Corps du texte (13) + 4.5 pt;Non Italique"/>
    <w:rsid w:val="00A63323"/>
    <w:rPr>
      <w:rFonts w:ascii="Times New Roman" w:eastAsia="Times New Roman" w:hAnsi="Times New Roman" w:cs="Times New Roman"/>
      <w:b/>
      <w:bCs/>
      <w:i/>
      <w:iCs/>
      <w:smallCaps w:val="0"/>
      <w:strike w:val="0"/>
      <w:color w:val="000000"/>
      <w:spacing w:val="0"/>
      <w:w w:val="100"/>
      <w:position w:val="0"/>
      <w:sz w:val="9"/>
      <w:szCs w:val="9"/>
      <w:u w:val="none"/>
      <w:lang w:val="fr-FR" w:eastAsia="fr-FR" w:bidi="fr-FR"/>
    </w:rPr>
  </w:style>
  <w:style w:type="character" w:customStyle="1" w:styleId="Corpsdutexte138ptNonItalique">
    <w:name w:val="Corps du texte (13) + 8 pt;Non Italique"/>
    <w:rsid w:val="00A63323"/>
    <w:rPr>
      <w:rFonts w:ascii="Times New Roman" w:eastAsia="Times New Roman" w:hAnsi="Times New Roman" w:cs="Times New Roman"/>
      <w:b/>
      <w:bCs/>
      <w:i/>
      <w:iCs/>
      <w:smallCaps w:val="0"/>
      <w:strike w:val="0"/>
      <w:color w:val="000000"/>
      <w:spacing w:val="0"/>
      <w:w w:val="100"/>
      <w:position w:val="0"/>
      <w:sz w:val="16"/>
      <w:szCs w:val="16"/>
      <w:u w:val="none"/>
      <w:lang w:val="fr-FR" w:eastAsia="fr-FR" w:bidi="fr-FR"/>
    </w:rPr>
  </w:style>
  <w:style w:type="character" w:customStyle="1" w:styleId="Corpsdutexte1365ptNonItalique">
    <w:name w:val="Corps du texte (13) + 6.5 pt;Non Italique"/>
    <w:rsid w:val="00A63323"/>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Corpsdutexte3GrasNonItaliqueEspacement1ptchelle120">
    <w:name w:val="Corps du texte (3) + Gras;Non Italique;Espacement 1 pt;Échelle 120%"/>
    <w:rsid w:val="00113F41"/>
    <w:rPr>
      <w:rFonts w:ascii="Times New Roman" w:eastAsia="Times New Roman" w:hAnsi="Times New Roman" w:cs="Times New Roman"/>
      <w:b/>
      <w:bCs/>
      <w:i/>
      <w:iCs/>
      <w:smallCaps w:val="0"/>
      <w:strike w:val="0"/>
      <w:color w:val="000000"/>
      <w:spacing w:val="20"/>
      <w:w w:val="120"/>
      <w:position w:val="0"/>
      <w:sz w:val="16"/>
      <w:szCs w:val="16"/>
      <w:u w:val="none"/>
      <w:lang w:val="fr-FR" w:eastAsia="fr-FR" w:bidi="fr-FR"/>
    </w:rPr>
  </w:style>
  <w:style w:type="character" w:customStyle="1" w:styleId="Corpsdutexte385ptNonItalique">
    <w:name w:val="Corps du texte (3) + 8.5 pt;Non Italique"/>
    <w:rsid w:val="00113F41"/>
    <w:rPr>
      <w:rFonts w:ascii="Times New Roman" w:eastAsia="Times New Roman" w:hAnsi="Times New Roman" w:cs="Times New Roman"/>
      <w:b w:val="0"/>
      <w:bCs w:val="0"/>
      <w:i/>
      <w:iCs/>
      <w:smallCaps w:val="0"/>
      <w:strike w:val="0"/>
      <w:color w:val="000000"/>
      <w:spacing w:val="0"/>
      <w:w w:val="100"/>
      <w:position w:val="0"/>
      <w:sz w:val="17"/>
      <w:szCs w:val="17"/>
      <w:u w:val="none"/>
      <w:lang w:val="fr-FR" w:eastAsia="fr-FR" w:bidi="fr-FR"/>
    </w:rPr>
  </w:style>
  <w:style w:type="character" w:customStyle="1" w:styleId="Corpsdutexte37ptGrasNonItalique">
    <w:name w:val="Corps du texte (3) + 7 pt;Gras;Non Italique"/>
    <w:rsid w:val="00113F41"/>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510ptNonItalique">
    <w:name w:val="Corps du texte (5) + 10 pt;Non Italique"/>
    <w:rsid w:val="00113F41"/>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Corpsdutexte610ptGras">
    <w:name w:val="Corps du texte (6) + 10 pt;Gras"/>
    <w:rsid w:val="00113F41"/>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Corpsdutexte28ptItalique">
    <w:name w:val="Corps du texte (2) + 8 pt;Italique"/>
    <w:rsid w:val="00113F41"/>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28ptGrasEspacement1ptchelle120">
    <w:name w:val="Corps du texte (2) + 8 pt;Gras;Espacement 1 pt;Échelle 120%"/>
    <w:rsid w:val="00113F41"/>
    <w:rPr>
      <w:rFonts w:ascii="Times New Roman" w:eastAsia="Times New Roman" w:hAnsi="Times New Roman" w:cs="Times New Roman"/>
      <w:b/>
      <w:bCs/>
      <w:i w:val="0"/>
      <w:iCs w:val="0"/>
      <w:smallCaps w:val="0"/>
      <w:strike w:val="0"/>
      <w:color w:val="000000"/>
      <w:spacing w:val="20"/>
      <w:w w:val="120"/>
      <w:position w:val="0"/>
      <w:sz w:val="16"/>
      <w:szCs w:val="16"/>
      <w:u w:val="none"/>
      <w:lang w:val="fr-FR" w:eastAsia="fr-FR" w:bidi="fr-FR"/>
    </w:rPr>
  </w:style>
  <w:style w:type="character" w:customStyle="1" w:styleId="Corpsdutexte3GrasNonItaliquechelle120">
    <w:name w:val="Corps du texte (3) + Gras;Non Italique;Échelle 120%"/>
    <w:rsid w:val="00113F41"/>
    <w:rPr>
      <w:rFonts w:ascii="Times New Roman" w:eastAsia="Times New Roman" w:hAnsi="Times New Roman" w:cs="Times New Roman"/>
      <w:b/>
      <w:bCs/>
      <w:i/>
      <w:iCs/>
      <w:smallCaps w:val="0"/>
      <w:strike w:val="0"/>
      <w:color w:val="000000"/>
      <w:spacing w:val="0"/>
      <w:w w:val="120"/>
      <w:position w:val="0"/>
      <w:sz w:val="16"/>
      <w:szCs w:val="16"/>
      <w:u w:val="none"/>
      <w:lang w:val="fr-FR" w:eastAsia="fr-FR" w:bidi="fr-FR"/>
    </w:rPr>
  </w:style>
  <w:style w:type="character" w:customStyle="1" w:styleId="Corpsdutexte27ptGras">
    <w:name w:val="Corps du texte (2) + 7 pt;Gras"/>
    <w:rsid w:val="00113F41"/>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Corpsdutexte8NonGrasItaliquechelle100">
    <w:name w:val="Corps du texte (8) + Non Gras;Italique;Échelle 100%"/>
    <w:rsid w:val="00113F41"/>
    <w:rPr>
      <w:rFonts w:ascii="Times New Roman" w:eastAsia="Times New Roman" w:hAnsi="Times New Roman" w:cs="Times New Roman"/>
      <w:b/>
      <w:bCs/>
      <w:i/>
      <w:iCs/>
      <w:smallCaps w:val="0"/>
      <w:strike w:val="0"/>
      <w:color w:val="000000"/>
      <w:spacing w:val="0"/>
      <w:w w:val="100"/>
      <w:position w:val="0"/>
      <w:sz w:val="16"/>
      <w:szCs w:val="16"/>
      <w:u w:val="none"/>
      <w:lang w:val="fr-FR" w:eastAsia="fr-FR" w:bidi="fr-FR"/>
    </w:rPr>
  </w:style>
  <w:style w:type="character" w:customStyle="1" w:styleId="Corpsdutexte885ptNonGraschelle100">
    <w:name w:val="Corps du texte (8) + 8.5 pt;Non Gras;Échelle 100%"/>
    <w:rsid w:val="00113F41"/>
    <w:rPr>
      <w:rFonts w:ascii="Times New Roman" w:eastAsia="Times New Roman" w:hAnsi="Times New Roman" w:cs="Times New Roman"/>
      <w:b/>
      <w:bCs/>
      <w:i w:val="0"/>
      <w:iCs w:val="0"/>
      <w:smallCaps w:val="0"/>
      <w:strike w:val="0"/>
      <w:color w:val="000000"/>
      <w:spacing w:val="0"/>
      <w:w w:val="100"/>
      <w:position w:val="0"/>
      <w:sz w:val="17"/>
      <w:szCs w:val="17"/>
      <w:u w:val="none"/>
      <w:lang w:val="fr-FR" w:eastAsia="fr-FR" w:bidi="fr-FR"/>
    </w:rPr>
  </w:style>
  <w:style w:type="character" w:customStyle="1" w:styleId="Corpsdutexte385ptEspacement0pt">
    <w:name w:val="Corps du texte (3) + 8.5 pt;Espacement 0 pt"/>
    <w:rsid w:val="00113F41"/>
    <w:rPr>
      <w:rFonts w:ascii="Times New Roman" w:eastAsia="Times New Roman" w:hAnsi="Times New Roman" w:cs="Times New Roman"/>
      <w:b w:val="0"/>
      <w:bCs w:val="0"/>
      <w:i/>
      <w:iCs/>
      <w:smallCaps w:val="0"/>
      <w:strike w:val="0"/>
      <w:color w:val="000000"/>
      <w:spacing w:val="10"/>
      <w:w w:val="100"/>
      <w:position w:val="0"/>
      <w:sz w:val="17"/>
      <w:szCs w:val="17"/>
      <w:u w:val="none"/>
      <w:lang w:val="fr-FR" w:eastAsia="fr-FR" w:bidi="fr-FR"/>
    </w:rPr>
  </w:style>
  <w:style w:type="character" w:customStyle="1" w:styleId="Corpsdutexte28ptGraschelle120">
    <w:name w:val="Corps du texte (2) + 8 pt;Gras;Échelle 120%"/>
    <w:rsid w:val="00113F41"/>
    <w:rPr>
      <w:rFonts w:ascii="Times New Roman" w:eastAsia="Times New Roman" w:hAnsi="Times New Roman" w:cs="Times New Roman"/>
      <w:b/>
      <w:bCs/>
      <w:i w:val="0"/>
      <w:iCs w:val="0"/>
      <w:smallCaps w:val="0"/>
      <w:strike w:val="0"/>
      <w:color w:val="000000"/>
      <w:spacing w:val="0"/>
      <w:w w:val="120"/>
      <w:position w:val="0"/>
      <w:sz w:val="16"/>
      <w:szCs w:val="16"/>
      <w:u w:val="none"/>
      <w:lang w:val="fr-FR" w:eastAsia="fr-FR" w:bidi="fr-FR"/>
    </w:rPr>
  </w:style>
  <w:style w:type="character" w:customStyle="1" w:styleId="Corpsdutexte885ptNonGrasItaliquechelle100">
    <w:name w:val="Corps du texte (8) + 8.5 pt;Non Gras;Italique;Échelle 100%"/>
    <w:rsid w:val="00113F41"/>
    <w:rPr>
      <w:rFonts w:ascii="Times New Roman" w:eastAsia="Times New Roman" w:hAnsi="Times New Roman" w:cs="Times New Roman"/>
      <w:b/>
      <w:bCs/>
      <w:i/>
      <w:iCs/>
      <w:smallCaps w:val="0"/>
      <w:strike w:val="0"/>
      <w:color w:val="000000"/>
      <w:spacing w:val="0"/>
      <w:w w:val="100"/>
      <w:position w:val="0"/>
      <w:sz w:val="17"/>
      <w:szCs w:val="17"/>
      <w:u w:val="none"/>
      <w:lang w:val="fr-FR" w:eastAsia="fr-FR" w:bidi="fr-FR"/>
    </w:rPr>
  </w:style>
  <w:style w:type="character" w:customStyle="1" w:styleId="Corpsdutexte2ItaliqueEspacement0pt">
    <w:name w:val="Corps du texte (2) + Italique;Espacement 0 pt"/>
    <w:rsid w:val="00113F41"/>
    <w:rPr>
      <w:rFonts w:ascii="Times New Roman" w:eastAsia="Times New Roman" w:hAnsi="Times New Roman" w:cs="Times New Roman"/>
      <w:b w:val="0"/>
      <w:bCs w:val="0"/>
      <w:i/>
      <w:iCs/>
      <w:smallCaps w:val="0"/>
      <w:strike w:val="0"/>
      <w:color w:val="000000"/>
      <w:spacing w:val="10"/>
      <w:w w:val="100"/>
      <w:position w:val="0"/>
      <w:sz w:val="17"/>
      <w:szCs w:val="17"/>
      <w:u w:val="none"/>
      <w:lang w:val="fr-FR" w:eastAsia="fr-FR" w:bidi="fr-FR"/>
    </w:rPr>
  </w:style>
  <w:style w:type="character" w:customStyle="1" w:styleId="Corpsdutexte3NonItaliquePetitesmajuscules">
    <w:name w:val="Corps du texte (3) + Non Italique;Petites majuscules"/>
    <w:rsid w:val="00113F41"/>
    <w:rPr>
      <w:rFonts w:ascii="Times New Roman" w:eastAsia="Times New Roman" w:hAnsi="Times New Roman" w:cs="Times New Roman"/>
      <w:b w:val="0"/>
      <w:bCs w:val="0"/>
      <w:i/>
      <w:iCs/>
      <w:smallCaps/>
      <w:strike w:val="0"/>
      <w:color w:val="000000"/>
      <w:spacing w:val="0"/>
      <w:w w:val="100"/>
      <w:position w:val="0"/>
      <w:sz w:val="16"/>
      <w:szCs w:val="16"/>
      <w:u w:val="none"/>
      <w:lang w:val="fr-FR" w:eastAsia="fr-FR" w:bidi="fr-FR"/>
    </w:rPr>
  </w:style>
  <w:style w:type="character" w:customStyle="1" w:styleId="Corpsdutexte985ptNonGraschelle100">
    <w:name w:val="Corps du texte (9) + 8.5 pt;Non Gras;Échelle 100%"/>
    <w:rsid w:val="00113F41"/>
    <w:rPr>
      <w:rFonts w:ascii="Times New Roman" w:eastAsia="Times New Roman" w:hAnsi="Times New Roman" w:cs="Times New Roman"/>
      <w:b/>
      <w:bCs/>
      <w:i w:val="0"/>
      <w:iCs w:val="0"/>
      <w:smallCaps w:val="0"/>
      <w:strike w:val="0"/>
      <w:color w:val="000000"/>
      <w:spacing w:val="0"/>
      <w:w w:val="100"/>
      <w:position w:val="0"/>
      <w:sz w:val="17"/>
      <w:szCs w:val="17"/>
      <w:u w:val="none"/>
      <w:lang w:val="fr-FR" w:eastAsia="fr-FR" w:bidi="fr-FR"/>
    </w:rPr>
  </w:style>
  <w:style w:type="character" w:customStyle="1" w:styleId="Corpsdutexte9NonGrasItaliquechelle100">
    <w:name w:val="Corps du texte (9) + Non Gras;Italique;Échelle 100%"/>
    <w:rsid w:val="00113F41"/>
    <w:rPr>
      <w:rFonts w:ascii="Times New Roman" w:eastAsia="Times New Roman" w:hAnsi="Times New Roman" w:cs="Times New Roman"/>
      <w:b/>
      <w:bCs/>
      <w:i/>
      <w:iCs/>
      <w:smallCaps w:val="0"/>
      <w:strike w:val="0"/>
      <w:color w:val="000000"/>
      <w:spacing w:val="0"/>
      <w:w w:val="100"/>
      <w:position w:val="0"/>
      <w:sz w:val="16"/>
      <w:szCs w:val="16"/>
      <w:u w:val="none"/>
      <w:lang w:val="fr-FR" w:eastAsia="fr-FR" w:bidi="fr-FR"/>
    </w:rPr>
  </w:style>
  <w:style w:type="character" w:customStyle="1" w:styleId="Corpsdutexte385ptNonItaliquePetitesmajuscules">
    <w:name w:val="Corps du texte (3) + 8.5 pt;Non Italique;Petites majuscules"/>
    <w:rsid w:val="00113F41"/>
    <w:rPr>
      <w:rFonts w:ascii="Times New Roman" w:eastAsia="Times New Roman" w:hAnsi="Times New Roman" w:cs="Times New Roman"/>
      <w:b w:val="0"/>
      <w:bCs w:val="0"/>
      <w:i/>
      <w:iCs/>
      <w:smallCaps/>
      <w:strike w:val="0"/>
      <w:color w:val="000000"/>
      <w:spacing w:val="0"/>
      <w:w w:val="100"/>
      <w:position w:val="0"/>
      <w:sz w:val="17"/>
      <w:szCs w:val="17"/>
      <w:u w:val="none"/>
      <w:lang w:val="fr-FR" w:eastAsia="fr-FR" w:bidi="fr-FR"/>
    </w:rPr>
  </w:style>
  <w:style w:type="character" w:customStyle="1" w:styleId="Corpsdutexte2ItaliquePetitesmajuscules">
    <w:name w:val="Corps du texte (2) + Italique;Petites majuscules"/>
    <w:rsid w:val="00113F41"/>
    <w:rPr>
      <w:rFonts w:ascii="Times New Roman" w:eastAsia="Times New Roman" w:hAnsi="Times New Roman" w:cs="Times New Roman"/>
      <w:b w:val="0"/>
      <w:bCs w:val="0"/>
      <w:i/>
      <w:iCs/>
      <w:smallCaps/>
      <w:strike w:val="0"/>
      <w:color w:val="000000"/>
      <w:spacing w:val="0"/>
      <w:w w:val="100"/>
      <w:position w:val="0"/>
      <w:sz w:val="17"/>
      <w:szCs w:val="17"/>
      <w:u w:val="none"/>
      <w:lang w:val="fr-FR" w:eastAsia="fr-FR" w:bidi="fr-FR"/>
    </w:rPr>
  </w:style>
  <w:style w:type="character" w:customStyle="1" w:styleId="Corpsdutexte107ptGrasNonItalique">
    <w:name w:val="Corps du texte (10) + 7 pt;Gras;Non Italique"/>
    <w:rsid w:val="00113F41"/>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108ptGrasNonItaliquechelle120">
    <w:name w:val="Corps du texte (10) + 8 pt;Gras;Non Italique;Échelle 120%"/>
    <w:rsid w:val="00113F41"/>
    <w:rPr>
      <w:rFonts w:ascii="Times New Roman" w:eastAsia="Times New Roman" w:hAnsi="Times New Roman" w:cs="Times New Roman"/>
      <w:b/>
      <w:bCs/>
      <w:i/>
      <w:iCs/>
      <w:smallCaps w:val="0"/>
      <w:strike w:val="0"/>
      <w:color w:val="000000"/>
      <w:spacing w:val="0"/>
      <w:w w:val="120"/>
      <w:position w:val="0"/>
      <w:sz w:val="16"/>
      <w:szCs w:val="16"/>
      <w:u w:val="none"/>
      <w:lang w:val="fr-FR" w:eastAsia="fr-FR" w:bidi="fr-FR"/>
    </w:rPr>
  </w:style>
  <w:style w:type="character" w:customStyle="1" w:styleId="Corpsdutexte28ptItaliqueEspacement1pt">
    <w:name w:val="Corps du texte (2) + 8 pt;Italique;Espacement 1 pt"/>
    <w:rsid w:val="00113F41"/>
    <w:rPr>
      <w:rFonts w:ascii="Times New Roman" w:eastAsia="Times New Roman" w:hAnsi="Times New Roman" w:cs="Times New Roman"/>
      <w:b w:val="0"/>
      <w:bCs w:val="0"/>
      <w:i/>
      <w:iCs/>
      <w:smallCaps w:val="0"/>
      <w:strike w:val="0"/>
      <w:color w:val="000000"/>
      <w:spacing w:val="30"/>
      <w:w w:val="100"/>
      <w:position w:val="0"/>
      <w:sz w:val="16"/>
      <w:szCs w:val="16"/>
      <w:u w:val="none"/>
      <w:lang w:val="fr-FR" w:eastAsia="fr-FR" w:bidi="fr-FR"/>
    </w:rPr>
  </w:style>
  <w:style w:type="character" w:customStyle="1" w:styleId="Corpsdutexte27ptGrasItaliquePetitesmajusculesEspacement0pt">
    <w:name w:val="Corps du texte (2) + 7 pt;Gras;Italique;Petites majuscules;Espacement 0 pt"/>
    <w:rsid w:val="00113F41"/>
    <w:rPr>
      <w:rFonts w:ascii="Times New Roman" w:eastAsia="Times New Roman" w:hAnsi="Times New Roman" w:cs="Times New Roman"/>
      <w:b/>
      <w:bCs/>
      <w:i/>
      <w:iCs/>
      <w:smallCaps/>
      <w:strike w:val="0"/>
      <w:color w:val="000000"/>
      <w:spacing w:val="10"/>
      <w:w w:val="100"/>
      <w:position w:val="0"/>
      <w:sz w:val="14"/>
      <w:szCs w:val="14"/>
      <w:u w:val="none"/>
      <w:lang w:val="fr-FR" w:eastAsia="fr-FR" w:bidi="fr-FR"/>
    </w:rPr>
  </w:style>
  <w:style w:type="character" w:customStyle="1" w:styleId="Corpsdutexte28ptPetitesmajuscules">
    <w:name w:val="Corps du texte (2) + 8 pt;Petites majuscules"/>
    <w:rsid w:val="00113F41"/>
    <w:rPr>
      <w:rFonts w:ascii="Times New Roman" w:eastAsia="Times New Roman" w:hAnsi="Times New Roman" w:cs="Times New Roman"/>
      <w:b w:val="0"/>
      <w:bCs w:val="0"/>
      <w:i w:val="0"/>
      <w:iCs w:val="0"/>
      <w:smallCaps/>
      <w:strike w:val="0"/>
      <w:color w:val="000000"/>
      <w:spacing w:val="0"/>
      <w:w w:val="100"/>
      <w:position w:val="0"/>
      <w:sz w:val="16"/>
      <w:szCs w:val="16"/>
      <w:u w:val="none"/>
      <w:lang w:val="fr-FR" w:eastAsia="fr-FR" w:bidi="fr-FR"/>
    </w:rPr>
  </w:style>
  <w:style w:type="character" w:customStyle="1" w:styleId="Corpsdutexte27ptGrasPetitesmajuscules">
    <w:name w:val="Corps du texte (2) + 7 pt;Gras;Petites majuscules"/>
    <w:rsid w:val="00113F41"/>
    <w:rPr>
      <w:rFonts w:ascii="Times New Roman" w:eastAsia="Times New Roman" w:hAnsi="Times New Roman" w:cs="Times New Roman"/>
      <w:b/>
      <w:bCs/>
      <w:i w:val="0"/>
      <w:iCs w:val="0"/>
      <w:smallCaps/>
      <w:strike w:val="0"/>
      <w:color w:val="000000"/>
      <w:spacing w:val="0"/>
      <w:w w:val="100"/>
      <w:position w:val="0"/>
      <w:sz w:val="14"/>
      <w:szCs w:val="14"/>
      <w:u w:val="none"/>
      <w:lang w:val="fr-FR" w:eastAsia="fr-FR" w:bidi="fr-FR"/>
    </w:rPr>
  </w:style>
  <w:style w:type="character" w:customStyle="1" w:styleId="Corpsdutexte11NonItaliqueEspacement0pt">
    <w:name w:val="Corps du texte (11) + Non Italique;Espacement 0 pt"/>
    <w:rsid w:val="00113F41"/>
    <w:rPr>
      <w:rFonts w:ascii="Times New Roman" w:eastAsia="Times New Roman" w:hAnsi="Times New Roman" w:cs="Times New Roman"/>
      <w:b w:val="0"/>
      <w:bCs w:val="0"/>
      <w:i/>
      <w:iCs/>
      <w:smallCaps w:val="0"/>
      <w:strike w:val="0"/>
      <w:color w:val="000000"/>
      <w:spacing w:val="0"/>
      <w:w w:val="100"/>
      <w:position w:val="0"/>
      <w:sz w:val="17"/>
      <w:szCs w:val="17"/>
      <w:u w:val="none"/>
      <w:lang w:val="fr-FR" w:eastAsia="fr-FR" w:bidi="fr-FR"/>
    </w:rPr>
  </w:style>
  <w:style w:type="character" w:customStyle="1" w:styleId="Corpsdutexte117ptGrasNonItaliquePetitesmajusculesEspacement0pt">
    <w:name w:val="Corps du texte (11) + 7 pt;Gras;Non Italique;Petites majuscules;Espacement 0 pt"/>
    <w:rsid w:val="00113F41"/>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Corpsdutexte885ptNonGrasItaliqueEspacement0ptchelle100">
    <w:name w:val="Corps du texte (8) + 8.5 pt;Non Gras;Italique;Espacement 0 pt;Échelle 100%"/>
    <w:rsid w:val="00113F41"/>
    <w:rPr>
      <w:rFonts w:ascii="Times New Roman" w:eastAsia="Times New Roman" w:hAnsi="Times New Roman" w:cs="Times New Roman"/>
      <w:b/>
      <w:bCs/>
      <w:i/>
      <w:iCs/>
      <w:smallCaps w:val="0"/>
      <w:strike w:val="0"/>
      <w:color w:val="000000"/>
      <w:spacing w:val="10"/>
      <w:w w:val="100"/>
      <w:position w:val="0"/>
      <w:sz w:val="17"/>
      <w:szCs w:val="17"/>
      <w:u w:val="none"/>
      <w:lang w:val="fr-FR" w:eastAsia="fr-FR" w:bidi="fr-FR"/>
    </w:rPr>
  </w:style>
  <w:style w:type="character" w:customStyle="1" w:styleId="Corpsdutexte27ptGrasItaliquePetitesmajuscules">
    <w:name w:val="Corps du texte (2) + 7 pt;Gras;Italique;Petites majuscules"/>
    <w:rsid w:val="00113F41"/>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Corpsdutexte39ptNonItalique">
    <w:name w:val="Corps du texte (3) + 9 pt;Non Italique"/>
    <w:rsid w:val="00113F41"/>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Corpsdutexte39ptNonItaliquePetitesmajuscules">
    <w:name w:val="Corps du texte (3) + 9 pt;Non Italique;Petites majuscules"/>
    <w:rsid w:val="00113F41"/>
    <w:rPr>
      <w:rFonts w:ascii="Times New Roman" w:eastAsia="Times New Roman" w:hAnsi="Times New Roman" w:cs="Times New Roman"/>
      <w:b w:val="0"/>
      <w:bCs w:val="0"/>
      <w:i/>
      <w:iCs/>
      <w:smallCaps/>
      <w:strike w:val="0"/>
      <w:color w:val="000000"/>
      <w:spacing w:val="0"/>
      <w:w w:val="100"/>
      <w:position w:val="0"/>
      <w:sz w:val="18"/>
      <w:szCs w:val="18"/>
      <w:u w:val="none"/>
      <w:lang w:val="fr-FR" w:eastAsia="fr-FR" w:bidi="fr-FR"/>
    </w:rPr>
  </w:style>
  <w:style w:type="character" w:customStyle="1" w:styleId="Corpsdutexte158ptGraschelle120">
    <w:name w:val="Corps du texte (15) + 8 pt;Gras;Échelle 120%"/>
    <w:rsid w:val="00113F41"/>
    <w:rPr>
      <w:rFonts w:ascii="Times New Roman" w:eastAsia="Times New Roman" w:hAnsi="Times New Roman" w:cs="Times New Roman"/>
      <w:b/>
      <w:bCs/>
      <w:i w:val="0"/>
      <w:iCs w:val="0"/>
      <w:smallCaps w:val="0"/>
      <w:strike w:val="0"/>
      <w:color w:val="000000"/>
      <w:spacing w:val="0"/>
      <w:w w:val="120"/>
      <w:position w:val="0"/>
      <w:sz w:val="16"/>
      <w:szCs w:val="16"/>
      <w:u w:val="none"/>
      <w:lang w:val="fr-FR" w:eastAsia="fr-FR" w:bidi="fr-FR"/>
    </w:rPr>
  </w:style>
  <w:style w:type="character" w:customStyle="1" w:styleId="Corpsdutexte158ptItalique">
    <w:name w:val="Corps du texte (15) + 8 pt;Italique"/>
    <w:rsid w:val="00113F41"/>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1585ptItalique">
    <w:name w:val="Corps du texte (15) + 8.5 pt;Italique"/>
    <w:rsid w:val="00113F41"/>
    <w:rPr>
      <w:rFonts w:ascii="Times New Roman" w:eastAsia="Times New Roman" w:hAnsi="Times New Roman" w:cs="Times New Roman"/>
      <w:b w:val="0"/>
      <w:bCs w:val="0"/>
      <w:i/>
      <w:iCs/>
      <w:smallCaps w:val="0"/>
      <w:strike w:val="0"/>
      <w:color w:val="000000"/>
      <w:spacing w:val="0"/>
      <w:w w:val="100"/>
      <w:position w:val="0"/>
      <w:sz w:val="17"/>
      <w:szCs w:val="17"/>
      <w:u w:val="none"/>
      <w:lang w:val="fr-FR" w:eastAsia="fr-FR" w:bidi="fr-FR"/>
    </w:rPr>
  </w:style>
  <w:style w:type="character" w:customStyle="1" w:styleId="Corpsdutexte29ptPetitesmajuscules">
    <w:name w:val="Corps du texte (2) + 9 pt;Petites majuscules"/>
    <w:rsid w:val="00113F41"/>
    <w:rPr>
      <w:rFonts w:ascii="Times New Roman" w:eastAsia="Times New Roman" w:hAnsi="Times New Roman" w:cs="Times New Roman"/>
      <w:b w:val="0"/>
      <w:bCs w:val="0"/>
      <w:i w:val="0"/>
      <w:iCs w:val="0"/>
      <w:smallCaps/>
      <w:strike w:val="0"/>
      <w:color w:val="000000"/>
      <w:spacing w:val="0"/>
      <w:w w:val="100"/>
      <w:position w:val="0"/>
      <w:sz w:val="18"/>
      <w:szCs w:val="18"/>
      <w:u w:val="none"/>
      <w:lang w:val="fr-FR" w:eastAsia="fr-FR" w:bidi="fr-FR"/>
    </w:rPr>
  </w:style>
  <w:style w:type="character" w:customStyle="1" w:styleId="Corpsdutexte178ptItaliquePetitesmajuscules">
    <w:name w:val="Corps du texte (17) + 8 pt;Italique;Petites majuscules"/>
    <w:rsid w:val="00113F41"/>
    <w:rPr>
      <w:rFonts w:ascii="Times New Roman" w:eastAsia="Times New Roman" w:hAnsi="Times New Roman" w:cs="Times New Roman"/>
      <w:b w:val="0"/>
      <w:bCs w:val="0"/>
      <w:i/>
      <w:iCs/>
      <w:smallCaps/>
      <w:strike w:val="0"/>
      <w:color w:val="000000"/>
      <w:spacing w:val="0"/>
      <w:w w:val="100"/>
      <w:position w:val="0"/>
      <w:sz w:val="16"/>
      <w:szCs w:val="16"/>
      <w:u w:val="none"/>
      <w:lang w:val="fr-FR" w:eastAsia="fr-FR" w:bidi="fr-FR"/>
    </w:rPr>
  </w:style>
  <w:style w:type="character" w:customStyle="1" w:styleId="Corpsdutexte178ptItalique">
    <w:name w:val="Corps du texte (17) + 8 pt;Italique"/>
    <w:rsid w:val="00113F41"/>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11NonItaliquePetitesmajusculesEspacement0pt">
    <w:name w:val="Corps du texte (11) + Non Italique;Petites majuscules;Espacement 0 pt"/>
    <w:rsid w:val="00113F41"/>
    <w:rPr>
      <w:rFonts w:ascii="Times New Roman" w:eastAsia="Times New Roman" w:hAnsi="Times New Roman" w:cs="Times New Roman"/>
      <w:b w:val="0"/>
      <w:bCs w:val="0"/>
      <w:i/>
      <w:iCs/>
      <w:smallCaps/>
      <w:strike w:val="0"/>
      <w:color w:val="000000"/>
      <w:spacing w:val="0"/>
      <w:w w:val="100"/>
      <w:position w:val="0"/>
      <w:sz w:val="17"/>
      <w:szCs w:val="17"/>
      <w:u w:val="none"/>
      <w:lang w:val="fr-FR" w:eastAsia="fr-FR" w:bidi="fr-FR"/>
    </w:rPr>
  </w:style>
  <w:style w:type="character" w:customStyle="1" w:styleId="Corpsdutexte118ptEspacement0pt">
    <w:name w:val="Corps du texte (11) + 8 pt;Espacement 0 pt"/>
    <w:rsid w:val="00113F41"/>
    <w:rPr>
      <w:rFonts w:ascii="Times New Roman" w:eastAsia="Times New Roman" w:hAnsi="Times New Roman" w:cs="Times New Roman"/>
      <w:b w:val="0"/>
      <w:bCs w:val="0"/>
      <w:i/>
      <w:iCs/>
      <w:smallCaps w:val="0"/>
      <w:strike w:val="0"/>
      <w:color w:val="000000"/>
      <w:spacing w:val="0"/>
      <w:w w:val="100"/>
      <w:position w:val="0"/>
      <w:sz w:val="16"/>
      <w:szCs w:val="16"/>
      <w:u w:val="none"/>
      <w:lang w:val="fr-FR" w:eastAsia="fr-FR" w:bidi="fr-FR"/>
    </w:rPr>
  </w:style>
  <w:style w:type="character" w:customStyle="1" w:styleId="Corpsdutexte118ptGrasNonItaliqueEspacement0ptchelle120">
    <w:name w:val="Corps du texte (11) + 8 pt;Gras;Non Italique;Espacement 0 pt;Échelle 120%"/>
    <w:rsid w:val="00113F41"/>
    <w:rPr>
      <w:rFonts w:ascii="Times New Roman" w:eastAsia="Times New Roman" w:hAnsi="Times New Roman" w:cs="Times New Roman"/>
      <w:b/>
      <w:bCs/>
      <w:i/>
      <w:iCs/>
      <w:smallCaps w:val="0"/>
      <w:strike w:val="0"/>
      <w:color w:val="000000"/>
      <w:spacing w:val="0"/>
      <w:w w:val="120"/>
      <w:position w:val="0"/>
      <w:sz w:val="16"/>
      <w:szCs w:val="16"/>
      <w:u w:val="none"/>
      <w:lang w:val="fr-FR" w:eastAsia="fr-FR" w:bidi="fr-FR"/>
    </w:rPr>
  </w:style>
  <w:style w:type="character" w:customStyle="1" w:styleId="Corpsdutexte177ptGras">
    <w:name w:val="Corps du texte (17) + 7 pt;Gras"/>
    <w:rsid w:val="00113F41"/>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Corpsdutexte26ptGras">
    <w:name w:val="Corps du texte (2) + 6 pt;Gras"/>
    <w:rsid w:val="00113F41"/>
    <w:rPr>
      <w:rFonts w:ascii="Times New Roman" w:eastAsia="Times New Roman" w:hAnsi="Times New Roman" w:cs="Times New Roman"/>
      <w:b/>
      <w:bCs/>
      <w:i w:val="0"/>
      <w:iCs w:val="0"/>
      <w:smallCaps w:val="0"/>
      <w:strike w:val="0"/>
      <w:color w:val="000000"/>
      <w:spacing w:val="0"/>
      <w:w w:val="100"/>
      <w:position w:val="0"/>
      <w:sz w:val="12"/>
      <w:szCs w:val="12"/>
      <w:u w:val="none"/>
      <w:lang w:val="fr-FR" w:eastAsia="fr-FR" w:bidi="fr-FR"/>
    </w:rPr>
  </w:style>
  <w:style w:type="character" w:customStyle="1" w:styleId="Corpsdutexte117ptGrasNonItaliqueEspacement0pt">
    <w:name w:val="Corps du texte (11) + 7 pt;Gras;Non Italique;Espacement 0 pt"/>
    <w:rsid w:val="00113F41"/>
    <w:rPr>
      <w:rFonts w:ascii="Times New Roman" w:eastAsia="Times New Roman" w:hAnsi="Times New Roman" w:cs="Times New Roman"/>
      <w:b/>
      <w:bCs/>
      <w:i/>
      <w:iCs/>
      <w:smallCaps w:val="0"/>
      <w:strike w:val="0"/>
      <w:color w:val="000000"/>
      <w:spacing w:val="0"/>
      <w:w w:val="100"/>
      <w:position w:val="0"/>
      <w:sz w:val="14"/>
      <w:szCs w:val="14"/>
      <w:u w:val="none"/>
      <w:lang w:val="fr-FR" w:eastAsia="fr-FR" w:bidi="fr-FR"/>
    </w:rPr>
  </w:style>
  <w:style w:type="character" w:customStyle="1" w:styleId="Corpsdutexte310ptGrasNonItalique">
    <w:name w:val="Corps du texte (3) + 10 pt;Gras;Non Italique"/>
    <w:rsid w:val="00113F41"/>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Corpsdutexte119ptNonItaliqueEspacement0pt">
    <w:name w:val="Corps du texte (11) + 9 pt;Non Italique;Espacement 0 pt"/>
    <w:rsid w:val="00113F41"/>
    <w:rPr>
      <w:rFonts w:ascii="Times New Roman" w:eastAsia="Times New Roman" w:hAnsi="Times New Roman" w:cs="Times New Roman"/>
      <w:b w:val="0"/>
      <w:bCs w:val="0"/>
      <w:i/>
      <w:iCs/>
      <w:smallCaps w:val="0"/>
      <w:strike w:val="0"/>
      <w:color w:val="000000"/>
      <w:spacing w:val="0"/>
      <w:w w:val="100"/>
      <w:position w:val="0"/>
      <w:sz w:val="18"/>
      <w:szCs w:val="18"/>
      <w:u w:val="none"/>
      <w:lang w:val="fr-FR" w:eastAsia="fr-FR" w:bidi="fr-FR"/>
    </w:rPr>
  </w:style>
  <w:style w:type="character" w:customStyle="1" w:styleId="Corpsdutexte119ptNonItaliquePetitesmajusculesEspacement0pt">
    <w:name w:val="Corps du texte (11) + 9 pt;Non Italique;Petites majuscules;Espacement 0 pt"/>
    <w:rsid w:val="00113F41"/>
    <w:rPr>
      <w:rFonts w:ascii="Times New Roman" w:eastAsia="Times New Roman" w:hAnsi="Times New Roman" w:cs="Times New Roman"/>
      <w:b w:val="0"/>
      <w:bCs w:val="0"/>
      <w:i/>
      <w:iCs/>
      <w:smallCaps/>
      <w:strike w:val="0"/>
      <w:color w:val="000000"/>
      <w:spacing w:val="0"/>
      <w:w w:val="100"/>
      <w:position w:val="0"/>
      <w:sz w:val="18"/>
      <w:szCs w:val="18"/>
      <w:u w:val="none"/>
      <w:lang w:val="fr-FR" w:eastAsia="fr-FR" w:bidi="fr-FR"/>
    </w:rPr>
  </w:style>
  <w:style w:type="character" w:customStyle="1" w:styleId="Corpsdutexte87ptchelle100">
    <w:name w:val="Corps du texte (8) + 7 pt;Échelle 100%"/>
    <w:rsid w:val="00113F41"/>
    <w:rPr>
      <w:rFonts w:ascii="Times New Roman" w:eastAsia="Times New Roman" w:hAnsi="Times New Roman" w:cs="Times New Roman"/>
      <w:b/>
      <w:bCs/>
      <w:i w:val="0"/>
      <w:iCs w:val="0"/>
      <w:smallCaps w:val="0"/>
      <w:strike w:val="0"/>
      <w:color w:val="000000"/>
      <w:spacing w:val="0"/>
      <w:w w:val="100"/>
      <w:position w:val="0"/>
      <w:sz w:val="14"/>
      <w:szCs w:val="14"/>
      <w:u w:val="none"/>
      <w:lang w:val="fr-FR" w:eastAsia="fr-FR" w:bidi="fr-FR"/>
    </w:rPr>
  </w:style>
  <w:style w:type="character" w:customStyle="1" w:styleId="Corpsdutexte1165ptGrasNonItaliqueEspacement0pt">
    <w:name w:val="Corps du texte (11) + 6.5 pt;Gras;Non Italique;Espacement 0 pt"/>
    <w:rsid w:val="00113F41"/>
    <w:rPr>
      <w:rFonts w:ascii="Times New Roman" w:eastAsia="Times New Roman" w:hAnsi="Times New Roman" w:cs="Times New Roman"/>
      <w:b/>
      <w:bCs/>
      <w:i/>
      <w:iCs/>
      <w:smallCaps w:val="0"/>
      <w:strike w:val="0"/>
      <w:color w:val="000000"/>
      <w:spacing w:val="0"/>
      <w:w w:val="100"/>
      <w:position w:val="0"/>
      <w:sz w:val="13"/>
      <w:szCs w:val="13"/>
      <w:u w:val="none"/>
      <w:lang w:val="fr-FR" w:eastAsia="fr-FR" w:bidi="fr-FR"/>
    </w:rPr>
  </w:style>
  <w:style w:type="character" w:customStyle="1" w:styleId="Corpsdutexte118ptGrasNonItaliqueEspacement1ptchelle120">
    <w:name w:val="Corps du texte (11) + 8 pt;Gras;Non Italique;Espacement 1 pt;Échelle 120%"/>
    <w:rsid w:val="00113F41"/>
    <w:rPr>
      <w:rFonts w:ascii="Times New Roman" w:eastAsia="Times New Roman" w:hAnsi="Times New Roman" w:cs="Times New Roman"/>
      <w:b/>
      <w:bCs/>
      <w:i/>
      <w:iCs/>
      <w:smallCaps w:val="0"/>
      <w:strike w:val="0"/>
      <w:color w:val="000000"/>
      <w:spacing w:val="20"/>
      <w:w w:val="120"/>
      <w:position w:val="0"/>
      <w:sz w:val="16"/>
      <w:szCs w:val="16"/>
      <w:u w:val="none"/>
      <w:lang w:val="fr-FR" w:eastAsia="fr-FR" w:bidi="fr-FR"/>
    </w:rPr>
  </w:style>
  <w:style w:type="character" w:customStyle="1" w:styleId="Corpsdutexte117ptNonItaliqueEspacement0pt">
    <w:name w:val="Corps du texte (11) + 7 pt;Non Italique;Espacement 0 pt"/>
    <w:rsid w:val="00113F41"/>
    <w:rPr>
      <w:rFonts w:ascii="Times New Roman" w:eastAsia="Times New Roman" w:hAnsi="Times New Roman" w:cs="Times New Roman"/>
      <w:b w:val="0"/>
      <w:bCs w:val="0"/>
      <w:i/>
      <w:iCs/>
      <w:smallCaps w:val="0"/>
      <w:strike w:val="0"/>
      <w:color w:val="000000"/>
      <w:spacing w:val="0"/>
      <w:w w:val="100"/>
      <w:position w:val="0"/>
      <w:sz w:val="14"/>
      <w:szCs w:val="14"/>
      <w:u w:val="none"/>
      <w:lang w:val="fr-FR" w:eastAsia="fr-FR" w:bidi="fr-FR"/>
    </w:rPr>
  </w:style>
  <w:style w:type="character" w:customStyle="1" w:styleId="Corpsdutexte37ptGrasNonItaliquePetitesmajuscules">
    <w:name w:val="Corps du texte (3) + 7 pt;Gras;Non Italique;Petites majuscules"/>
    <w:rsid w:val="00113F41"/>
    <w:rPr>
      <w:rFonts w:ascii="Times New Roman" w:eastAsia="Times New Roman" w:hAnsi="Times New Roman" w:cs="Times New Roman"/>
      <w:b/>
      <w:bCs/>
      <w:i/>
      <w:iCs/>
      <w:smallCaps/>
      <w:strike w:val="0"/>
      <w:color w:val="000000"/>
      <w:spacing w:val="0"/>
      <w:w w:val="100"/>
      <w:position w:val="0"/>
      <w:sz w:val="14"/>
      <w:szCs w:val="14"/>
      <w:u w:val="none"/>
      <w:lang w:val="fr-FR" w:eastAsia="fr-FR" w:bidi="fr-FR"/>
    </w:rPr>
  </w:style>
  <w:style w:type="character" w:customStyle="1" w:styleId="Corpsdutexte1110ptGrasNonItaliqueEspacement0pt">
    <w:name w:val="Corps du texte (11) + 10 pt;Gras;Non Italique;Espacement 0 pt"/>
    <w:rsid w:val="00113F41"/>
    <w:rPr>
      <w:rFonts w:ascii="Times New Roman" w:eastAsia="Times New Roman" w:hAnsi="Times New Roman" w:cs="Times New Roman"/>
      <w:b/>
      <w:bCs/>
      <w:i/>
      <w:iCs/>
      <w:smallCaps w:val="0"/>
      <w:strike w:val="0"/>
      <w:color w:val="000000"/>
      <w:spacing w:val="0"/>
      <w:w w:val="100"/>
      <w:position w:val="0"/>
      <w:sz w:val="20"/>
      <w:szCs w:val="20"/>
      <w:u w:val="none"/>
      <w:lang w:val="fr-FR" w:eastAsia="fr-FR" w:bidi="fr-FR"/>
    </w:rPr>
  </w:style>
  <w:style w:type="character" w:customStyle="1" w:styleId="Corpsdutexte385ptEspacement1pt">
    <w:name w:val="Corps du texte (3) + 8.5 pt;Espacement 1 pt"/>
    <w:rsid w:val="00113F41"/>
    <w:rPr>
      <w:rFonts w:ascii="Times New Roman" w:eastAsia="Times New Roman" w:hAnsi="Times New Roman" w:cs="Times New Roman"/>
      <w:b w:val="0"/>
      <w:bCs w:val="0"/>
      <w:i/>
      <w:iCs/>
      <w:smallCaps w:val="0"/>
      <w:strike w:val="0"/>
      <w:color w:val="000000"/>
      <w:spacing w:val="20"/>
      <w:w w:val="100"/>
      <w:position w:val="0"/>
      <w:sz w:val="17"/>
      <w:szCs w:val="17"/>
      <w:u w:val="none"/>
      <w:lang w:val="fr-FR" w:eastAsia="fr-FR" w:bidi="fr-FR"/>
    </w:rPr>
  </w:style>
  <w:style w:type="character" w:customStyle="1" w:styleId="Corpsdutexte985ptNonGrasItaliquechelle100">
    <w:name w:val="Corps du texte (9) + 8.5 pt;Non Gras;Italique;Échelle 100%"/>
    <w:rsid w:val="00113F41"/>
    <w:rPr>
      <w:rFonts w:ascii="Times New Roman" w:eastAsia="Times New Roman" w:hAnsi="Times New Roman" w:cs="Times New Roman"/>
      <w:b/>
      <w:bCs/>
      <w:i/>
      <w:iCs/>
      <w:smallCaps w:val="0"/>
      <w:strike w:val="0"/>
      <w:color w:val="000000"/>
      <w:spacing w:val="0"/>
      <w:w w:val="100"/>
      <w:position w:val="0"/>
      <w:sz w:val="17"/>
      <w:szCs w:val="17"/>
      <w:u w:val="none"/>
      <w:lang w:val="fr-FR" w:eastAsia="fr-FR" w:bidi="fr-FR"/>
    </w:rPr>
  </w:style>
  <w:style w:type="character" w:customStyle="1" w:styleId="Tabledesmatires8ptNonGrasPetitesmajuscules">
    <w:name w:val="Table des matières + 8 pt;Non Gras;Petites majuscules"/>
    <w:rsid w:val="00113F41"/>
    <w:rPr>
      <w:rFonts w:ascii="Times New Roman" w:eastAsia="Times New Roman" w:hAnsi="Times New Roman" w:cs="Times New Roman"/>
      <w:b w:val="0"/>
      <w:bCs w:val="0"/>
      <w:i w:val="0"/>
      <w:iCs w:val="0"/>
      <w:smallCaps/>
      <w:strike w:val="0"/>
      <w:color w:val="000000"/>
      <w:spacing w:val="0"/>
      <w:w w:val="100"/>
      <w:position w:val="0"/>
      <w:sz w:val="16"/>
      <w:szCs w:val="16"/>
      <w:u w:val="none"/>
      <w:lang w:val="fr-FR" w:eastAsia="fr-FR" w:bidi="fr-FR"/>
    </w:rPr>
  </w:style>
  <w:style w:type="character" w:customStyle="1" w:styleId="Tabledesmatires95ptItalique">
    <w:name w:val="Table des matières + 9.5 pt;Italique"/>
    <w:rsid w:val="00113F41"/>
    <w:rPr>
      <w:rFonts w:ascii="Times New Roman" w:eastAsia="Times New Roman" w:hAnsi="Times New Roman" w:cs="Times New Roman"/>
      <w:b/>
      <w:bCs/>
      <w:i/>
      <w:iCs/>
      <w:smallCaps w:val="0"/>
      <w:strike w:val="0"/>
      <w:color w:val="000000"/>
      <w:spacing w:val="0"/>
      <w:w w:val="100"/>
      <w:position w:val="0"/>
      <w:sz w:val="19"/>
      <w:szCs w:val="19"/>
      <w:u w:val="none"/>
      <w:lang w:val="fr-FR" w:eastAsia="fr-FR" w:bidi="fr-FR"/>
    </w:rPr>
  </w:style>
  <w:style w:type="character" w:customStyle="1" w:styleId="Corpsdutexte495ptItalique">
    <w:name w:val="Corps du texte (4) + 9.5 pt;Italique"/>
    <w:rsid w:val="00113F41"/>
    <w:rPr>
      <w:rFonts w:ascii="Times New Roman" w:eastAsia="Times New Roman" w:hAnsi="Times New Roman" w:cs="Times New Roman"/>
      <w:b/>
      <w:bCs/>
      <w:i/>
      <w:iCs/>
      <w:smallCaps w:val="0"/>
      <w:strike w:val="0"/>
      <w:color w:val="000000"/>
      <w:spacing w:val="0"/>
      <w:w w:val="100"/>
      <w:position w:val="0"/>
      <w:sz w:val="19"/>
      <w:szCs w:val="19"/>
      <w:u w:val="none"/>
      <w:lang w:val="fr-FR" w:eastAsia="fr-FR" w:bidi="fr-FR"/>
    </w:rPr>
  </w:style>
  <w:style w:type="character" w:customStyle="1" w:styleId="TM1Car">
    <w:name w:val="TM 1 Car"/>
    <w:link w:val="TM1"/>
    <w:rsid w:val="00113F41"/>
    <w:rPr>
      <w:rFonts w:ascii="Times New Roman" w:eastAsia="Times New Roman" w:hAnsi="Times New Roman"/>
      <w:sz w:val="16"/>
      <w:szCs w:val="16"/>
      <w:shd w:val="clear" w:color="auto" w:fill="FFFFFF"/>
    </w:rPr>
  </w:style>
  <w:style w:type="character" w:customStyle="1" w:styleId="Tabledesmatires310ptGras">
    <w:name w:val="Table des matières (3) + 10 pt;Gras"/>
    <w:rsid w:val="00113F41"/>
    <w:rPr>
      <w:rFonts w:ascii="Times New Roman" w:eastAsia="Times New Roman" w:hAnsi="Times New Roman" w:cs="Times New Roman"/>
      <w:b/>
      <w:bCs/>
      <w:i w:val="0"/>
      <w:iCs w:val="0"/>
      <w:smallCaps w:val="0"/>
      <w:strike w:val="0"/>
      <w:color w:val="000000"/>
      <w:spacing w:val="0"/>
      <w:w w:val="100"/>
      <w:position w:val="0"/>
      <w:sz w:val="20"/>
      <w:szCs w:val="20"/>
      <w:u w:val="none"/>
      <w:lang w:val="fr-FR" w:eastAsia="fr-FR" w:bidi="fr-FR"/>
    </w:rPr>
  </w:style>
  <w:style w:type="character" w:customStyle="1" w:styleId="Corpsdutexte224ptGrasNonItalique">
    <w:name w:val="Corps du texte (22) + 4 pt;Gras;Non Italique"/>
    <w:rsid w:val="00113F41"/>
    <w:rPr>
      <w:rFonts w:ascii="Times New Roman" w:eastAsia="Times New Roman" w:hAnsi="Times New Roman" w:cs="Times New Roman"/>
      <w:b/>
      <w:bCs/>
      <w:i/>
      <w:iCs/>
      <w:smallCaps w:val="0"/>
      <w:strike w:val="0"/>
      <w:color w:val="000000"/>
      <w:spacing w:val="0"/>
      <w:w w:val="100"/>
      <w:position w:val="0"/>
      <w:sz w:val="8"/>
      <w:szCs w:val="8"/>
      <w:u w:val="none"/>
      <w:lang w:val="fr-FR" w:eastAsia="fr-FR" w:bidi="fr-FR"/>
    </w:rPr>
  </w:style>
  <w:style w:type="paragraph" w:styleId="TM1">
    <w:name w:val="toc 1"/>
    <w:basedOn w:val="Normal"/>
    <w:link w:val="TM1Car"/>
    <w:autoRedefine/>
    <w:rsid w:val="00113F41"/>
    <w:pPr>
      <w:widowControl w:val="0"/>
      <w:shd w:val="clear" w:color="auto" w:fill="FFFFFF"/>
      <w:spacing w:line="0" w:lineRule="atLeast"/>
      <w:ind w:firstLine="6"/>
      <w:jc w:val="both"/>
    </w:pPr>
    <w:rPr>
      <w:sz w:val="16"/>
      <w:szCs w:val="16"/>
      <w:lang w:val="x-none" w:eastAsia="x-none"/>
    </w:rPr>
  </w:style>
  <w:style w:type="paragraph" w:customStyle="1" w:styleId="Notedebasdepagec">
    <w:name w:val="Note de bas de page c"/>
    <w:basedOn w:val="Notedebasdepage"/>
    <w:autoRedefine/>
    <w:rsid w:val="00C05411"/>
    <w:pPr>
      <w:jc w:val="center"/>
    </w:pPr>
    <w:rPr>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25873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classiques.uqac.ca/" TargetMode="External"/><Relationship Id="rId18" Type="http://schemas.openxmlformats.org/officeDocument/2006/relationships/hyperlink" Target="https://classiques.uqam.ca/classiques/Halbwachs_maurice/morphologie/morphologie.html"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lassiques.uqam.ca/" TargetMode="External"/><Relationship Id="rId12" Type="http://schemas.openxmlformats.org/officeDocument/2006/relationships/hyperlink" Target="https://classiques.uqam.ca/"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mailto:pierre.patenaude@gmail.com"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lassiques.uqam.ca/" TargetMode="External"/><Relationship Id="rId14" Type="http://schemas.openxmlformats.org/officeDocument/2006/relationships/hyperlink" Target="http://classiques.uqac.ca/inter/benevoles_equipe/liste_patenaude_pierre.html" TargetMode="External"/></Relationships>
</file>

<file path=word/_rels/footnotes.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hyperlink" Target="https://classiques.uqam.ca/classiques/bloch_marc/rois_thaumaturges/rois_thaumaturges.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658</Pages>
  <Words>237540</Words>
  <Characters>1244712</Characters>
  <Application>Microsoft Office Word</Application>
  <DocSecurity>0</DocSecurity>
  <Lines>24406</Lines>
  <Paragraphs>3546</Paragraphs>
  <ScaleCrop>false</ScaleCrop>
  <HeadingPairs>
    <vt:vector size="2" baseType="variant">
      <vt:variant>
        <vt:lpstr>Title</vt:lpstr>
      </vt:variant>
      <vt:variant>
        <vt:i4>1</vt:i4>
      </vt:variant>
    </vt:vector>
  </HeadingPairs>
  <TitlesOfParts>
    <vt:vector size="1" baseType="lpstr">
      <vt:lpstr>Mélanges historiques. tome 2.</vt:lpstr>
    </vt:vector>
  </TitlesOfParts>
  <Manager>par Pierre Patenaude, bénévole, 2026</Manager>
  <Company>Les Classiques des sciences sociales</Company>
  <LinksUpToDate>false</LinksUpToDate>
  <CharactersWithSpaces>1478706</CharactersWithSpaces>
  <SharedDoc>false</SharedDoc>
  <HyperlinkBase/>
  <HLinks>
    <vt:vector size="750" baseType="variant">
      <vt:variant>
        <vt:i4>6488153</vt:i4>
      </vt:variant>
      <vt:variant>
        <vt:i4>351</vt:i4>
      </vt:variant>
      <vt:variant>
        <vt:i4>0</vt:i4>
      </vt:variant>
      <vt:variant>
        <vt:i4>5</vt:i4>
      </vt:variant>
      <vt:variant>
        <vt:lpwstr>https://classiques.uqam.ca/classiques/Halbwachs_maurice/morphologie/morphologie.html</vt:lpwstr>
      </vt:variant>
      <vt:variant>
        <vt:lpwstr/>
      </vt:variant>
      <vt:variant>
        <vt:i4>6553625</vt:i4>
      </vt:variant>
      <vt:variant>
        <vt:i4>348</vt:i4>
      </vt:variant>
      <vt:variant>
        <vt:i4>0</vt:i4>
      </vt:variant>
      <vt:variant>
        <vt:i4>5</vt:i4>
      </vt:variant>
      <vt:variant>
        <vt:lpwstr/>
      </vt:variant>
      <vt:variant>
        <vt:lpwstr>tdm</vt:lpwstr>
      </vt:variant>
      <vt:variant>
        <vt:i4>6553625</vt:i4>
      </vt:variant>
      <vt:variant>
        <vt:i4>345</vt:i4>
      </vt:variant>
      <vt:variant>
        <vt:i4>0</vt:i4>
      </vt:variant>
      <vt:variant>
        <vt:i4>5</vt:i4>
      </vt:variant>
      <vt:variant>
        <vt:lpwstr/>
      </vt:variant>
      <vt:variant>
        <vt:lpwstr>tdm</vt:lpwstr>
      </vt:variant>
      <vt:variant>
        <vt:i4>6553625</vt:i4>
      </vt:variant>
      <vt:variant>
        <vt:i4>342</vt:i4>
      </vt:variant>
      <vt:variant>
        <vt:i4>0</vt:i4>
      </vt:variant>
      <vt:variant>
        <vt:i4>5</vt:i4>
      </vt:variant>
      <vt:variant>
        <vt:lpwstr/>
      </vt:variant>
      <vt:variant>
        <vt:lpwstr>tdm</vt:lpwstr>
      </vt:variant>
      <vt:variant>
        <vt:i4>6553625</vt:i4>
      </vt:variant>
      <vt:variant>
        <vt:i4>339</vt:i4>
      </vt:variant>
      <vt:variant>
        <vt:i4>0</vt:i4>
      </vt:variant>
      <vt:variant>
        <vt:i4>5</vt:i4>
      </vt:variant>
      <vt:variant>
        <vt:lpwstr/>
      </vt:variant>
      <vt:variant>
        <vt:lpwstr>tdm</vt:lpwstr>
      </vt:variant>
      <vt:variant>
        <vt:i4>6553625</vt:i4>
      </vt:variant>
      <vt:variant>
        <vt:i4>336</vt:i4>
      </vt:variant>
      <vt:variant>
        <vt:i4>0</vt:i4>
      </vt:variant>
      <vt:variant>
        <vt:i4>5</vt:i4>
      </vt:variant>
      <vt:variant>
        <vt:lpwstr/>
      </vt:variant>
      <vt:variant>
        <vt:lpwstr>tdm</vt:lpwstr>
      </vt:variant>
      <vt:variant>
        <vt:i4>6553625</vt:i4>
      </vt:variant>
      <vt:variant>
        <vt:i4>333</vt:i4>
      </vt:variant>
      <vt:variant>
        <vt:i4>0</vt:i4>
      </vt:variant>
      <vt:variant>
        <vt:i4>5</vt:i4>
      </vt:variant>
      <vt:variant>
        <vt:lpwstr/>
      </vt:variant>
      <vt:variant>
        <vt:lpwstr>tdm</vt:lpwstr>
      </vt:variant>
      <vt:variant>
        <vt:i4>6553625</vt:i4>
      </vt:variant>
      <vt:variant>
        <vt:i4>330</vt:i4>
      </vt:variant>
      <vt:variant>
        <vt:i4>0</vt:i4>
      </vt:variant>
      <vt:variant>
        <vt:i4>5</vt:i4>
      </vt:variant>
      <vt:variant>
        <vt:lpwstr/>
      </vt:variant>
      <vt:variant>
        <vt:lpwstr>tdm</vt:lpwstr>
      </vt:variant>
      <vt:variant>
        <vt:i4>6553625</vt:i4>
      </vt:variant>
      <vt:variant>
        <vt:i4>327</vt:i4>
      </vt:variant>
      <vt:variant>
        <vt:i4>0</vt:i4>
      </vt:variant>
      <vt:variant>
        <vt:i4>5</vt:i4>
      </vt:variant>
      <vt:variant>
        <vt:lpwstr/>
      </vt:variant>
      <vt:variant>
        <vt:lpwstr>tdm</vt:lpwstr>
      </vt:variant>
      <vt:variant>
        <vt:i4>6553625</vt:i4>
      </vt:variant>
      <vt:variant>
        <vt:i4>324</vt:i4>
      </vt:variant>
      <vt:variant>
        <vt:i4>0</vt:i4>
      </vt:variant>
      <vt:variant>
        <vt:i4>5</vt:i4>
      </vt:variant>
      <vt:variant>
        <vt:lpwstr/>
      </vt:variant>
      <vt:variant>
        <vt:lpwstr>tdm</vt:lpwstr>
      </vt:variant>
      <vt:variant>
        <vt:i4>6553625</vt:i4>
      </vt:variant>
      <vt:variant>
        <vt:i4>321</vt:i4>
      </vt:variant>
      <vt:variant>
        <vt:i4>0</vt:i4>
      </vt:variant>
      <vt:variant>
        <vt:i4>5</vt:i4>
      </vt:variant>
      <vt:variant>
        <vt:lpwstr/>
      </vt:variant>
      <vt:variant>
        <vt:lpwstr>tdm</vt:lpwstr>
      </vt:variant>
      <vt:variant>
        <vt:i4>6553625</vt:i4>
      </vt:variant>
      <vt:variant>
        <vt:i4>318</vt:i4>
      </vt:variant>
      <vt:variant>
        <vt:i4>0</vt:i4>
      </vt:variant>
      <vt:variant>
        <vt:i4>5</vt:i4>
      </vt:variant>
      <vt:variant>
        <vt:lpwstr/>
      </vt:variant>
      <vt:variant>
        <vt:lpwstr>tdm</vt:lpwstr>
      </vt:variant>
      <vt:variant>
        <vt:i4>6553625</vt:i4>
      </vt:variant>
      <vt:variant>
        <vt:i4>315</vt:i4>
      </vt:variant>
      <vt:variant>
        <vt:i4>0</vt:i4>
      </vt:variant>
      <vt:variant>
        <vt:i4>5</vt:i4>
      </vt:variant>
      <vt:variant>
        <vt:lpwstr/>
      </vt:variant>
      <vt:variant>
        <vt:lpwstr>tdm</vt:lpwstr>
      </vt:variant>
      <vt:variant>
        <vt:i4>6553625</vt:i4>
      </vt:variant>
      <vt:variant>
        <vt:i4>312</vt:i4>
      </vt:variant>
      <vt:variant>
        <vt:i4>0</vt:i4>
      </vt:variant>
      <vt:variant>
        <vt:i4>5</vt:i4>
      </vt:variant>
      <vt:variant>
        <vt:lpwstr/>
      </vt:variant>
      <vt:variant>
        <vt:lpwstr>tdm</vt:lpwstr>
      </vt:variant>
      <vt:variant>
        <vt:i4>6553625</vt:i4>
      </vt:variant>
      <vt:variant>
        <vt:i4>309</vt:i4>
      </vt:variant>
      <vt:variant>
        <vt:i4>0</vt:i4>
      </vt:variant>
      <vt:variant>
        <vt:i4>5</vt:i4>
      </vt:variant>
      <vt:variant>
        <vt:lpwstr/>
      </vt:variant>
      <vt:variant>
        <vt:lpwstr>tdm</vt:lpwstr>
      </vt:variant>
      <vt:variant>
        <vt:i4>6553625</vt:i4>
      </vt:variant>
      <vt:variant>
        <vt:i4>306</vt:i4>
      </vt:variant>
      <vt:variant>
        <vt:i4>0</vt:i4>
      </vt:variant>
      <vt:variant>
        <vt:i4>5</vt:i4>
      </vt:variant>
      <vt:variant>
        <vt:lpwstr/>
      </vt:variant>
      <vt:variant>
        <vt:lpwstr>tdm</vt:lpwstr>
      </vt:variant>
      <vt:variant>
        <vt:i4>6553625</vt:i4>
      </vt:variant>
      <vt:variant>
        <vt:i4>303</vt:i4>
      </vt:variant>
      <vt:variant>
        <vt:i4>0</vt:i4>
      </vt:variant>
      <vt:variant>
        <vt:i4>5</vt:i4>
      </vt:variant>
      <vt:variant>
        <vt:lpwstr/>
      </vt:variant>
      <vt:variant>
        <vt:lpwstr>tdm</vt:lpwstr>
      </vt:variant>
      <vt:variant>
        <vt:i4>6553625</vt:i4>
      </vt:variant>
      <vt:variant>
        <vt:i4>300</vt:i4>
      </vt:variant>
      <vt:variant>
        <vt:i4>0</vt:i4>
      </vt:variant>
      <vt:variant>
        <vt:i4>5</vt:i4>
      </vt:variant>
      <vt:variant>
        <vt:lpwstr/>
      </vt:variant>
      <vt:variant>
        <vt:lpwstr>tdm</vt:lpwstr>
      </vt:variant>
      <vt:variant>
        <vt:i4>6553625</vt:i4>
      </vt:variant>
      <vt:variant>
        <vt:i4>297</vt:i4>
      </vt:variant>
      <vt:variant>
        <vt:i4>0</vt:i4>
      </vt:variant>
      <vt:variant>
        <vt:i4>5</vt:i4>
      </vt:variant>
      <vt:variant>
        <vt:lpwstr/>
      </vt:variant>
      <vt:variant>
        <vt:lpwstr>tdm</vt:lpwstr>
      </vt:variant>
      <vt:variant>
        <vt:i4>6553625</vt:i4>
      </vt:variant>
      <vt:variant>
        <vt:i4>294</vt:i4>
      </vt:variant>
      <vt:variant>
        <vt:i4>0</vt:i4>
      </vt:variant>
      <vt:variant>
        <vt:i4>5</vt:i4>
      </vt:variant>
      <vt:variant>
        <vt:lpwstr/>
      </vt:variant>
      <vt:variant>
        <vt:lpwstr>tdm</vt:lpwstr>
      </vt:variant>
      <vt:variant>
        <vt:i4>6553625</vt:i4>
      </vt:variant>
      <vt:variant>
        <vt:i4>291</vt:i4>
      </vt:variant>
      <vt:variant>
        <vt:i4>0</vt:i4>
      </vt:variant>
      <vt:variant>
        <vt:i4>5</vt:i4>
      </vt:variant>
      <vt:variant>
        <vt:lpwstr/>
      </vt:variant>
      <vt:variant>
        <vt:lpwstr>tdm</vt:lpwstr>
      </vt:variant>
      <vt:variant>
        <vt:i4>6553625</vt:i4>
      </vt:variant>
      <vt:variant>
        <vt:i4>288</vt:i4>
      </vt:variant>
      <vt:variant>
        <vt:i4>0</vt:i4>
      </vt:variant>
      <vt:variant>
        <vt:i4>5</vt:i4>
      </vt:variant>
      <vt:variant>
        <vt:lpwstr/>
      </vt:variant>
      <vt:variant>
        <vt:lpwstr>tdm</vt:lpwstr>
      </vt:variant>
      <vt:variant>
        <vt:i4>6553625</vt:i4>
      </vt:variant>
      <vt:variant>
        <vt:i4>285</vt:i4>
      </vt:variant>
      <vt:variant>
        <vt:i4>0</vt:i4>
      </vt:variant>
      <vt:variant>
        <vt:i4>5</vt:i4>
      </vt:variant>
      <vt:variant>
        <vt:lpwstr/>
      </vt:variant>
      <vt:variant>
        <vt:lpwstr>tdm</vt:lpwstr>
      </vt:variant>
      <vt:variant>
        <vt:i4>6553625</vt:i4>
      </vt:variant>
      <vt:variant>
        <vt:i4>282</vt:i4>
      </vt:variant>
      <vt:variant>
        <vt:i4>0</vt:i4>
      </vt:variant>
      <vt:variant>
        <vt:i4>5</vt:i4>
      </vt:variant>
      <vt:variant>
        <vt:lpwstr/>
      </vt:variant>
      <vt:variant>
        <vt:lpwstr>tdm</vt:lpwstr>
      </vt:variant>
      <vt:variant>
        <vt:i4>6553625</vt:i4>
      </vt:variant>
      <vt:variant>
        <vt:i4>279</vt:i4>
      </vt:variant>
      <vt:variant>
        <vt:i4>0</vt:i4>
      </vt:variant>
      <vt:variant>
        <vt:i4>5</vt:i4>
      </vt:variant>
      <vt:variant>
        <vt:lpwstr/>
      </vt:variant>
      <vt:variant>
        <vt:lpwstr>tdm</vt:lpwstr>
      </vt:variant>
      <vt:variant>
        <vt:i4>6553625</vt:i4>
      </vt:variant>
      <vt:variant>
        <vt:i4>276</vt:i4>
      </vt:variant>
      <vt:variant>
        <vt:i4>0</vt:i4>
      </vt:variant>
      <vt:variant>
        <vt:i4>5</vt:i4>
      </vt:variant>
      <vt:variant>
        <vt:lpwstr/>
      </vt:variant>
      <vt:variant>
        <vt:lpwstr>tdm</vt:lpwstr>
      </vt:variant>
      <vt:variant>
        <vt:i4>6553625</vt:i4>
      </vt:variant>
      <vt:variant>
        <vt:i4>273</vt:i4>
      </vt:variant>
      <vt:variant>
        <vt:i4>0</vt:i4>
      </vt:variant>
      <vt:variant>
        <vt:i4>5</vt:i4>
      </vt:variant>
      <vt:variant>
        <vt:lpwstr/>
      </vt:variant>
      <vt:variant>
        <vt:lpwstr>tdm</vt:lpwstr>
      </vt:variant>
      <vt:variant>
        <vt:i4>6553625</vt:i4>
      </vt:variant>
      <vt:variant>
        <vt:i4>270</vt:i4>
      </vt:variant>
      <vt:variant>
        <vt:i4>0</vt:i4>
      </vt:variant>
      <vt:variant>
        <vt:i4>5</vt:i4>
      </vt:variant>
      <vt:variant>
        <vt:lpwstr/>
      </vt:variant>
      <vt:variant>
        <vt:lpwstr>tdm</vt:lpwstr>
      </vt:variant>
      <vt:variant>
        <vt:i4>6553625</vt:i4>
      </vt:variant>
      <vt:variant>
        <vt:i4>267</vt:i4>
      </vt:variant>
      <vt:variant>
        <vt:i4>0</vt:i4>
      </vt:variant>
      <vt:variant>
        <vt:i4>5</vt:i4>
      </vt:variant>
      <vt:variant>
        <vt:lpwstr/>
      </vt:variant>
      <vt:variant>
        <vt:lpwstr>tdm</vt:lpwstr>
      </vt:variant>
      <vt:variant>
        <vt:i4>6553625</vt:i4>
      </vt:variant>
      <vt:variant>
        <vt:i4>264</vt:i4>
      </vt:variant>
      <vt:variant>
        <vt:i4>0</vt:i4>
      </vt:variant>
      <vt:variant>
        <vt:i4>5</vt:i4>
      </vt:variant>
      <vt:variant>
        <vt:lpwstr/>
      </vt:variant>
      <vt:variant>
        <vt:lpwstr>tdm</vt:lpwstr>
      </vt:variant>
      <vt:variant>
        <vt:i4>6553625</vt:i4>
      </vt:variant>
      <vt:variant>
        <vt:i4>261</vt:i4>
      </vt:variant>
      <vt:variant>
        <vt:i4>0</vt:i4>
      </vt:variant>
      <vt:variant>
        <vt:i4>5</vt:i4>
      </vt:variant>
      <vt:variant>
        <vt:lpwstr/>
      </vt:variant>
      <vt:variant>
        <vt:lpwstr>tdm</vt:lpwstr>
      </vt:variant>
      <vt:variant>
        <vt:i4>6553625</vt:i4>
      </vt:variant>
      <vt:variant>
        <vt:i4>258</vt:i4>
      </vt:variant>
      <vt:variant>
        <vt:i4>0</vt:i4>
      </vt:variant>
      <vt:variant>
        <vt:i4>5</vt:i4>
      </vt:variant>
      <vt:variant>
        <vt:lpwstr/>
      </vt:variant>
      <vt:variant>
        <vt:lpwstr>tdm</vt:lpwstr>
      </vt:variant>
      <vt:variant>
        <vt:i4>6553625</vt:i4>
      </vt:variant>
      <vt:variant>
        <vt:i4>255</vt:i4>
      </vt:variant>
      <vt:variant>
        <vt:i4>0</vt:i4>
      </vt:variant>
      <vt:variant>
        <vt:i4>5</vt:i4>
      </vt:variant>
      <vt:variant>
        <vt:lpwstr/>
      </vt:variant>
      <vt:variant>
        <vt:lpwstr>tdm</vt:lpwstr>
      </vt:variant>
      <vt:variant>
        <vt:i4>6553625</vt:i4>
      </vt:variant>
      <vt:variant>
        <vt:i4>252</vt:i4>
      </vt:variant>
      <vt:variant>
        <vt:i4>0</vt:i4>
      </vt:variant>
      <vt:variant>
        <vt:i4>5</vt:i4>
      </vt:variant>
      <vt:variant>
        <vt:lpwstr/>
      </vt:variant>
      <vt:variant>
        <vt:lpwstr>tdm</vt:lpwstr>
      </vt:variant>
      <vt:variant>
        <vt:i4>6553625</vt:i4>
      </vt:variant>
      <vt:variant>
        <vt:i4>249</vt:i4>
      </vt:variant>
      <vt:variant>
        <vt:i4>0</vt:i4>
      </vt:variant>
      <vt:variant>
        <vt:i4>5</vt:i4>
      </vt:variant>
      <vt:variant>
        <vt:lpwstr/>
      </vt:variant>
      <vt:variant>
        <vt:lpwstr>tdm</vt:lpwstr>
      </vt:variant>
      <vt:variant>
        <vt:i4>6553625</vt:i4>
      </vt:variant>
      <vt:variant>
        <vt:i4>246</vt:i4>
      </vt:variant>
      <vt:variant>
        <vt:i4>0</vt:i4>
      </vt:variant>
      <vt:variant>
        <vt:i4>5</vt:i4>
      </vt:variant>
      <vt:variant>
        <vt:lpwstr/>
      </vt:variant>
      <vt:variant>
        <vt:lpwstr>tdm</vt:lpwstr>
      </vt:variant>
      <vt:variant>
        <vt:i4>6553625</vt:i4>
      </vt:variant>
      <vt:variant>
        <vt:i4>243</vt:i4>
      </vt:variant>
      <vt:variant>
        <vt:i4>0</vt:i4>
      </vt:variant>
      <vt:variant>
        <vt:i4>5</vt:i4>
      </vt:variant>
      <vt:variant>
        <vt:lpwstr/>
      </vt:variant>
      <vt:variant>
        <vt:lpwstr>tdm</vt:lpwstr>
      </vt:variant>
      <vt:variant>
        <vt:i4>6553625</vt:i4>
      </vt:variant>
      <vt:variant>
        <vt:i4>240</vt:i4>
      </vt:variant>
      <vt:variant>
        <vt:i4>0</vt:i4>
      </vt:variant>
      <vt:variant>
        <vt:i4>5</vt:i4>
      </vt:variant>
      <vt:variant>
        <vt:lpwstr/>
      </vt:variant>
      <vt:variant>
        <vt:lpwstr>tdm</vt:lpwstr>
      </vt:variant>
      <vt:variant>
        <vt:i4>6553625</vt:i4>
      </vt:variant>
      <vt:variant>
        <vt:i4>237</vt:i4>
      </vt:variant>
      <vt:variant>
        <vt:i4>0</vt:i4>
      </vt:variant>
      <vt:variant>
        <vt:i4>5</vt:i4>
      </vt:variant>
      <vt:variant>
        <vt:lpwstr/>
      </vt:variant>
      <vt:variant>
        <vt:lpwstr>tdm</vt:lpwstr>
      </vt:variant>
      <vt:variant>
        <vt:i4>6553625</vt:i4>
      </vt:variant>
      <vt:variant>
        <vt:i4>234</vt:i4>
      </vt:variant>
      <vt:variant>
        <vt:i4>0</vt:i4>
      </vt:variant>
      <vt:variant>
        <vt:i4>5</vt:i4>
      </vt:variant>
      <vt:variant>
        <vt:lpwstr/>
      </vt:variant>
      <vt:variant>
        <vt:lpwstr>tdm</vt:lpwstr>
      </vt:variant>
      <vt:variant>
        <vt:i4>6553625</vt:i4>
      </vt:variant>
      <vt:variant>
        <vt:i4>231</vt:i4>
      </vt:variant>
      <vt:variant>
        <vt:i4>0</vt:i4>
      </vt:variant>
      <vt:variant>
        <vt:i4>5</vt:i4>
      </vt:variant>
      <vt:variant>
        <vt:lpwstr/>
      </vt:variant>
      <vt:variant>
        <vt:lpwstr>tdm</vt:lpwstr>
      </vt:variant>
      <vt:variant>
        <vt:i4>6553625</vt:i4>
      </vt:variant>
      <vt:variant>
        <vt:i4>228</vt:i4>
      </vt:variant>
      <vt:variant>
        <vt:i4>0</vt:i4>
      </vt:variant>
      <vt:variant>
        <vt:i4>5</vt:i4>
      </vt:variant>
      <vt:variant>
        <vt:lpwstr/>
      </vt:variant>
      <vt:variant>
        <vt:lpwstr>tdm</vt:lpwstr>
      </vt:variant>
      <vt:variant>
        <vt:i4>6553625</vt:i4>
      </vt:variant>
      <vt:variant>
        <vt:i4>225</vt:i4>
      </vt:variant>
      <vt:variant>
        <vt:i4>0</vt:i4>
      </vt:variant>
      <vt:variant>
        <vt:i4>5</vt:i4>
      </vt:variant>
      <vt:variant>
        <vt:lpwstr/>
      </vt:variant>
      <vt:variant>
        <vt:lpwstr>tdm</vt:lpwstr>
      </vt:variant>
      <vt:variant>
        <vt:i4>6553625</vt:i4>
      </vt:variant>
      <vt:variant>
        <vt:i4>222</vt:i4>
      </vt:variant>
      <vt:variant>
        <vt:i4>0</vt:i4>
      </vt:variant>
      <vt:variant>
        <vt:i4>5</vt:i4>
      </vt:variant>
      <vt:variant>
        <vt:lpwstr/>
      </vt:variant>
      <vt:variant>
        <vt:lpwstr>tdm</vt:lpwstr>
      </vt:variant>
      <vt:variant>
        <vt:i4>6553625</vt:i4>
      </vt:variant>
      <vt:variant>
        <vt:i4>219</vt:i4>
      </vt:variant>
      <vt:variant>
        <vt:i4>0</vt:i4>
      </vt:variant>
      <vt:variant>
        <vt:i4>5</vt:i4>
      </vt:variant>
      <vt:variant>
        <vt:lpwstr/>
      </vt:variant>
      <vt:variant>
        <vt:lpwstr>tdm</vt:lpwstr>
      </vt:variant>
      <vt:variant>
        <vt:i4>6553625</vt:i4>
      </vt:variant>
      <vt:variant>
        <vt:i4>216</vt:i4>
      </vt:variant>
      <vt:variant>
        <vt:i4>0</vt:i4>
      </vt:variant>
      <vt:variant>
        <vt:i4>5</vt:i4>
      </vt:variant>
      <vt:variant>
        <vt:lpwstr/>
      </vt:variant>
      <vt:variant>
        <vt:lpwstr>tdm</vt:lpwstr>
      </vt:variant>
      <vt:variant>
        <vt:i4>6553625</vt:i4>
      </vt:variant>
      <vt:variant>
        <vt:i4>213</vt:i4>
      </vt:variant>
      <vt:variant>
        <vt:i4>0</vt:i4>
      </vt:variant>
      <vt:variant>
        <vt:i4>5</vt:i4>
      </vt:variant>
      <vt:variant>
        <vt:lpwstr/>
      </vt:variant>
      <vt:variant>
        <vt:lpwstr>tdm</vt:lpwstr>
      </vt:variant>
      <vt:variant>
        <vt:i4>6553625</vt:i4>
      </vt:variant>
      <vt:variant>
        <vt:i4>210</vt:i4>
      </vt:variant>
      <vt:variant>
        <vt:i4>0</vt:i4>
      </vt:variant>
      <vt:variant>
        <vt:i4>5</vt:i4>
      </vt:variant>
      <vt:variant>
        <vt:lpwstr/>
      </vt:variant>
      <vt:variant>
        <vt:lpwstr>tdm</vt:lpwstr>
      </vt:variant>
      <vt:variant>
        <vt:i4>6553625</vt:i4>
      </vt:variant>
      <vt:variant>
        <vt:i4>207</vt:i4>
      </vt:variant>
      <vt:variant>
        <vt:i4>0</vt:i4>
      </vt:variant>
      <vt:variant>
        <vt:i4>5</vt:i4>
      </vt:variant>
      <vt:variant>
        <vt:lpwstr/>
      </vt:variant>
      <vt:variant>
        <vt:lpwstr>tdm</vt:lpwstr>
      </vt:variant>
      <vt:variant>
        <vt:i4>6553625</vt:i4>
      </vt:variant>
      <vt:variant>
        <vt:i4>204</vt:i4>
      </vt:variant>
      <vt:variant>
        <vt:i4>0</vt:i4>
      </vt:variant>
      <vt:variant>
        <vt:i4>5</vt:i4>
      </vt:variant>
      <vt:variant>
        <vt:lpwstr/>
      </vt:variant>
      <vt:variant>
        <vt:lpwstr>tdm</vt:lpwstr>
      </vt:variant>
      <vt:variant>
        <vt:i4>6553625</vt:i4>
      </vt:variant>
      <vt:variant>
        <vt:i4>201</vt:i4>
      </vt:variant>
      <vt:variant>
        <vt:i4>0</vt:i4>
      </vt:variant>
      <vt:variant>
        <vt:i4>5</vt:i4>
      </vt:variant>
      <vt:variant>
        <vt:lpwstr/>
      </vt:variant>
      <vt:variant>
        <vt:lpwstr>tdm</vt:lpwstr>
      </vt:variant>
      <vt:variant>
        <vt:i4>5308430</vt:i4>
      </vt:variant>
      <vt:variant>
        <vt:i4>198</vt:i4>
      </vt:variant>
      <vt:variant>
        <vt:i4>0</vt:i4>
      </vt:variant>
      <vt:variant>
        <vt:i4>5</vt:i4>
      </vt:variant>
      <vt:variant>
        <vt:lpwstr/>
      </vt:variant>
      <vt:variant>
        <vt:lpwstr>Melanges_t2_biblio</vt:lpwstr>
      </vt:variant>
      <vt:variant>
        <vt:i4>5177429</vt:i4>
      </vt:variant>
      <vt:variant>
        <vt:i4>195</vt:i4>
      </vt:variant>
      <vt:variant>
        <vt:i4>0</vt:i4>
      </vt:variant>
      <vt:variant>
        <vt:i4>5</vt:i4>
      </vt:variant>
      <vt:variant>
        <vt:lpwstr/>
      </vt:variant>
      <vt:variant>
        <vt:lpwstr>Melanges_t2_pt_9_chap_IV_IV_appendice_II</vt:lpwstr>
      </vt:variant>
      <vt:variant>
        <vt:i4>2490453</vt:i4>
      </vt:variant>
      <vt:variant>
        <vt:i4>192</vt:i4>
      </vt:variant>
      <vt:variant>
        <vt:i4>0</vt:i4>
      </vt:variant>
      <vt:variant>
        <vt:i4>5</vt:i4>
      </vt:variant>
      <vt:variant>
        <vt:lpwstr/>
      </vt:variant>
      <vt:variant>
        <vt:lpwstr>Melanges_t2_pt_9_chap_IV_IV_appendice_I</vt:lpwstr>
      </vt:variant>
      <vt:variant>
        <vt:i4>3407951</vt:i4>
      </vt:variant>
      <vt:variant>
        <vt:i4>189</vt:i4>
      </vt:variant>
      <vt:variant>
        <vt:i4>0</vt:i4>
      </vt:variant>
      <vt:variant>
        <vt:i4>5</vt:i4>
      </vt:variant>
      <vt:variant>
        <vt:lpwstr/>
      </vt:variant>
      <vt:variant>
        <vt:lpwstr>Melanges_t2_pt_9_chap_IV_IV</vt:lpwstr>
      </vt:variant>
      <vt:variant>
        <vt:i4>6094928</vt:i4>
      </vt:variant>
      <vt:variant>
        <vt:i4>186</vt:i4>
      </vt:variant>
      <vt:variant>
        <vt:i4>0</vt:i4>
      </vt:variant>
      <vt:variant>
        <vt:i4>5</vt:i4>
      </vt:variant>
      <vt:variant>
        <vt:lpwstr/>
      </vt:variant>
      <vt:variant>
        <vt:lpwstr>Melanges_t2_pt_9_chap_IV_III</vt:lpwstr>
      </vt:variant>
      <vt:variant>
        <vt:i4>3407952</vt:i4>
      </vt:variant>
      <vt:variant>
        <vt:i4>183</vt:i4>
      </vt:variant>
      <vt:variant>
        <vt:i4>0</vt:i4>
      </vt:variant>
      <vt:variant>
        <vt:i4>5</vt:i4>
      </vt:variant>
      <vt:variant>
        <vt:lpwstr/>
      </vt:variant>
      <vt:variant>
        <vt:lpwstr>Melanges_t2_pt_9_chap_IV_II</vt:lpwstr>
      </vt:variant>
      <vt:variant>
        <vt:i4>3407929</vt:i4>
      </vt:variant>
      <vt:variant>
        <vt:i4>180</vt:i4>
      </vt:variant>
      <vt:variant>
        <vt:i4>0</vt:i4>
      </vt:variant>
      <vt:variant>
        <vt:i4>5</vt:i4>
      </vt:variant>
      <vt:variant>
        <vt:lpwstr/>
      </vt:variant>
      <vt:variant>
        <vt:lpwstr>Melanges_t2_pt_9_chap_IV_I</vt:lpwstr>
      </vt:variant>
      <vt:variant>
        <vt:i4>3080229</vt:i4>
      </vt:variant>
      <vt:variant>
        <vt:i4>177</vt:i4>
      </vt:variant>
      <vt:variant>
        <vt:i4>0</vt:i4>
      </vt:variant>
      <vt:variant>
        <vt:i4>5</vt:i4>
      </vt:variant>
      <vt:variant>
        <vt:lpwstr/>
      </vt:variant>
      <vt:variant>
        <vt:lpwstr>Melanges_t2_pt_9_chap_IV_intro</vt:lpwstr>
      </vt:variant>
      <vt:variant>
        <vt:i4>6094950</vt:i4>
      </vt:variant>
      <vt:variant>
        <vt:i4>174</vt:i4>
      </vt:variant>
      <vt:variant>
        <vt:i4>0</vt:i4>
      </vt:variant>
      <vt:variant>
        <vt:i4>5</vt:i4>
      </vt:variant>
      <vt:variant>
        <vt:lpwstr/>
      </vt:variant>
      <vt:variant>
        <vt:lpwstr>Melanges_t2_pt_9_chap_IV</vt:lpwstr>
      </vt:variant>
      <vt:variant>
        <vt:i4>7602191</vt:i4>
      </vt:variant>
      <vt:variant>
        <vt:i4>171</vt:i4>
      </vt:variant>
      <vt:variant>
        <vt:i4>0</vt:i4>
      </vt:variant>
      <vt:variant>
        <vt:i4>5</vt:i4>
      </vt:variant>
      <vt:variant>
        <vt:lpwstr/>
      </vt:variant>
      <vt:variant>
        <vt:lpwstr>Melanges_t2_pt_9_chap_III_III</vt:lpwstr>
      </vt:variant>
      <vt:variant>
        <vt:i4>7602278</vt:i4>
      </vt:variant>
      <vt:variant>
        <vt:i4>168</vt:i4>
      </vt:variant>
      <vt:variant>
        <vt:i4>0</vt:i4>
      </vt:variant>
      <vt:variant>
        <vt:i4>5</vt:i4>
      </vt:variant>
      <vt:variant>
        <vt:lpwstr/>
      </vt:variant>
      <vt:variant>
        <vt:lpwstr>Melanges_t2_pt_9_chap_III_II</vt:lpwstr>
      </vt:variant>
      <vt:variant>
        <vt:i4>1900646</vt:i4>
      </vt:variant>
      <vt:variant>
        <vt:i4>165</vt:i4>
      </vt:variant>
      <vt:variant>
        <vt:i4>0</vt:i4>
      </vt:variant>
      <vt:variant>
        <vt:i4>5</vt:i4>
      </vt:variant>
      <vt:variant>
        <vt:lpwstr/>
      </vt:variant>
      <vt:variant>
        <vt:lpwstr>Melanges_t2_pt_9_chap_III_I</vt:lpwstr>
      </vt:variant>
      <vt:variant>
        <vt:i4>4325391</vt:i4>
      </vt:variant>
      <vt:variant>
        <vt:i4>162</vt:i4>
      </vt:variant>
      <vt:variant>
        <vt:i4>0</vt:i4>
      </vt:variant>
      <vt:variant>
        <vt:i4>5</vt:i4>
      </vt:variant>
      <vt:variant>
        <vt:lpwstr/>
      </vt:variant>
      <vt:variant>
        <vt:lpwstr>Melanges_t2_pt_9_chap_III</vt:lpwstr>
      </vt:variant>
      <vt:variant>
        <vt:i4>4325478</vt:i4>
      </vt:variant>
      <vt:variant>
        <vt:i4>159</vt:i4>
      </vt:variant>
      <vt:variant>
        <vt:i4>0</vt:i4>
      </vt:variant>
      <vt:variant>
        <vt:i4>5</vt:i4>
      </vt:variant>
      <vt:variant>
        <vt:lpwstr/>
      </vt:variant>
      <vt:variant>
        <vt:lpwstr>Melanges_t2_pt_9_chap_II</vt:lpwstr>
      </vt:variant>
      <vt:variant>
        <vt:i4>2818150</vt:i4>
      </vt:variant>
      <vt:variant>
        <vt:i4>156</vt:i4>
      </vt:variant>
      <vt:variant>
        <vt:i4>0</vt:i4>
      </vt:variant>
      <vt:variant>
        <vt:i4>5</vt:i4>
      </vt:variant>
      <vt:variant>
        <vt:lpwstr/>
      </vt:variant>
      <vt:variant>
        <vt:lpwstr>Melanges_t2_pt_9_chap_I</vt:lpwstr>
      </vt:variant>
      <vt:variant>
        <vt:i4>7733320</vt:i4>
      </vt:variant>
      <vt:variant>
        <vt:i4>153</vt:i4>
      </vt:variant>
      <vt:variant>
        <vt:i4>0</vt:i4>
      </vt:variant>
      <vt:variant>
        <vt:i4>5</vt:i4>
      </vt:variant>
      <vt:variant>
        <vt:lpwstr/>
      </vt:variant>
      <vt:variant>
        <vt:lpwstr>Melanges_t2_pt_9</vt:lpwstr>
      </vt:variant>
      <vt:variant>
        <vt:i4>2752528</vt:i4>
      </vt:variant>
      <vt:variant>
        <vt:i4>150</vt:i4>
      </vt:variant>
      <vt:variant>
        <vt:i4>0</vt:i4>
      </vt:variant>
      <vt:variant>
        <vt:i4>5</vt:i4>
      </vt:variant>
      <vt:variant>
        <vt:lpwstr/>
      </vt:variant>
      <vt:variant>
        <vt:lpwstr>Melanges_t2_pt_8_chap_VIII</vt:lpwstr>
      </vt:variant>
      <vt:variant>
        <vt:i4>4390928</vt:i4>
      </vt:variant>
      <vt:variant>
        <vt:i4>147</vt:i4>
      </vt:variant>
      <vt:variant>
        <vt:i4>0</vt:i4>
      </vt:variant>
      <vt:variant>
        <vt:i4>5</vt:i4>
      </vt:variant>
      <vt:variant>
        <vt:lpwstr/>
      </vt:variant>
      <vt:variant>
        <vt:lpwstr>Melanges_t2_pt_8_chap_VII</vt:lpwstr>
      </vt:variant>
      <vt:variant>
        <vt:i4>4391033</vt:i4>
      </vt:variant>
      <vt:variant>
        <vt:i4>144</vt:i4>
      </vt:variant>
      <vt:variant>
        <vt:i4>0</vt:i4>
      </vt:variant>
      <vt:variant>
        <vt:i4>5</vt:i4>
      </vt:variant>
      <vt:variant>
        <vt:lpwstr/>
      </vt:variant>
      <vt:variant>
        <vt:lpwstr>Melanges_t2_pt_8_chap_VI</vt:lpwstr>
      </vt:variant>
      <vt:variant>
        <vt:i4>2752633</vt:i4>
      </vt:variant>
      <vt:variant>
        <vt:i4>141</vt:i4>
      </vt:variant>
      <vt:variant>
        <vt:i4>0</vt:i4>
      </vt:variant>
      <vt:variant>
        <vt:i4>5</vt:i4>
      </vt:variant>
      <vt:variant>
        <vt:lpwstr/>
      </vt:variant>
      <vt:variant>
        <vt:lpwstr>Melanges_t2_pt_8_chap_V</vt:lpwstr>
      </vt:variant>
      <vt:variant>
        <vt:i4>6029414</vt:i4>
      </vt:variant>
      <vt:variant>
        <vt:i4>138</vt:i4>
      </vt:variant>
      <vt:variant>
        <vt:i4>0</vt:i4>
      </vt:variant>
      <vt:variant>
        <vt:i4>5</vt:i4>
      </vt:variant>
      <vt:variant>
        <vt:lpwstr/>
      </vt:variant>
      <vt:variant>
        <vt:lpwstr>Melanges_t2_pt_8_chap_IV</vt:lpwstr>
      </vt:variant>
      <vt:variant>
        <vt:i4>4390927</vt:i4>
      </vt:variant>
      <vt:variant>
        <vt:i4>135</vt:i4>
      </vt:variant>
      <vt:variant>
        <vt:i4>0</vt:i4>
      </vt:variant>
      <vt:variant>
        <vt:i4>5</vt:i4>
      </vt:variant>
      <vt:variant>
        <vt:lpwstr/>
      </vt:variant>
      <vt:variant>
        <vt:lpwstr>Melanges_t2_pt_8_chap_III</vt:lpwstr>
      </vt:variant>
      <vt:variant>
        <vt:i4>4391014</vt:i4>
      </vt:variant>
      <vt:variant>
        <vt:i4>132</vt:i4>
      </vt:variant>
      <vt:variant>
        <vt:i4>0</vt:i4>
      </vt:variant>
      <vt:variant>
        <vt:i4>5</vt:i4>
      </vt:variant>
      <vt:variant>
        <vt:lpwstr/>
      </vt:variant>
      <vt:variant>
        <vt:lpwstr>Melanges_t2_pt_8_chap_II</vt:lpwstr>
      </vt:variant>
      <vt:variant>
        <vt:i4>2752614</vt:i4>
      </vt:variant>
      <vt:variant>
        <vt:i4>129</vt:i4>
      </vt:variant>
      <vt:variant>
        <vt:i4>0</vt:i4>
      </vt:variant>
      <vt:variant>
        <vt:i4>5</vt:i4>
      </vt:variant>
      <vt:variant>
        <vt:lpwstr/>
      </vt:variant>
      <vt:variant>
        <vt:lpwstr>Melanges_t2_pt_8_chap_I</vt:lpwstr>
      </vt:variant>
      <vt:variant>
        <vt:i4>7798856</vt:i4>
      </vt:variant>
      <vt:variant>
        <vt:i4>126</vt:i4>
      </vt:variant>
      <vt:variant>
        <vt:i4>0</vt:i4>
      </vt:variant>
      <vt:variant>
        <vt:i4>5</vt:i4>
      </vt:variant>
      <vt:variant>
        <vt:lpwstr/>
      </vt:variant>
      <vt:variant>
        <vt:lpwstr>Melanges_t2_pt_8</vt:lpwstr>
      </vt:variant>
      <vt:variant>
        <vt:i4>3801145</vt:i4>
      </vt:variant>
      <vt:variant>
        <vt:i4>123</vt:i4>
      </vt:variant>
      <vt:variant>
        <vt:i4>0</vt:i4>
      </vt:variant>
      <vt:variant>
        <vt:i4>5</vt:i4>
      </vt:variant>
      <vt:variant>
        <vt:lpwstr/>
      </vt:variant>
      <vt:variant>
        <vt:lpwstr>Melanges_t2_pt_7_chap_II_V</vt:lpwstr>
      </vt:variant>
      <vt:variant>
        <vt:i4>1245222</vt:i4>
      </vt:variant>
      <vt:variant>
        <vt:i4>120</vt:i4>
      </vt:variant>
      <vt:variant>
        <vt:i4>0</vt:i4>
      </vt:variant>
      <vt:variant>
        <vt:i4>5</vt:i4>
      </vt:variant>
      <vt:variant>
        <vt:lpwstr/>
      </vt:variant>
      <vt:variant>
        <vt:lpwstr>Melanges_t2_pt_7_chap_II_IV_II</vt:lpwstr>
      </vt:variant>
      <vt:variant>
        <vt:i4>2424911</vt:i4>
      </vt:variant>
      <vt:variant>
        <vt:i4>117</vt:i4>
      </vt:variant>
      <vt:variant>
        <vt:i4>0</vt:i4>
      </vt:variant>
      <vt:variant>
        <vt:i4>5</vt:i4>
      </vt:variant>
      <vt:variant>
        <vt:lpwstr/>
      </vt:variant>
      <vt:variant>
        <vt:lpwstr>Melanges_t2_pt_7_chap_II_IV</vt:lpwstr>
      </vt:variant>
      <vt:variant>
        <vt:i4>4128797</vt:i4>
      </vt:variant>
      <vt:variant>
        <vt:i4>114</vt:i4>
      </vt:variant>
      <vt:variant>
        <vt:i4>0</vt:i4>
      </vt:variant>
      <vt:variant>
        <vt:i4>5</vt:i4>
      </vt:variant>
      <vt:variant>
        <vt:lpwstr/>
      </vt:variant>
      <vt:variant>
        <vt:lpwstr>Melanges_t2_pt_7_chap_II_III_appendice</vt:lpwstr>
      </vt:variant>
      <vt:variant>
        <vt:i4>2424847</vt:i4>
      </vt:variant>
      <vt:variant>
        <vt:i4>111</vt:i4>
      </vt:variant>
      <vt:variant>
        <vt:i4>0</vt:i4>
      </vt:variant>
      <vt:variant>
        <vt:i4>5</vt:i4>
      </vt:variant>
      <vt:variant>
        <vt:lpwstr/>
      </vt:variant>
      <vt:variant>
        <vt:lpwstr>Melanges_t2_pt_7_chap_II_III_I</vt:lpwstr>
      </vt:variant>
      <vt:variant>
        <vt:i4>4980816</vt:i4>
      </vt:variant>
      <vt:variant>
        <vt:i4>108</vt:i4>
      </vt:variant>
      <vt:variant>
        <vt:i4>0</vt:i4>
      </vt:variant>
      <vt:variant>
        <vt:i4>5</vt:i4>
      </vt:variant>
      <vt:variant>
        <vt:lpwstr/>
      </vt:variant>
      <vt:variant>
        <vt:lpwstr>Melanges_t2_pt_7_chap_II_III</vt:lpwstr>
      </vt:variant>
      <vt:variant>
        <vt:i4>2424912</vt:i4>
      </vt:variant>
      <vt:variant>
        <vt:i4>105</vt:i4>
      </vt:variant>
      <vt:variant>
        <vt:i4>0</vt:i4>
      </vt:variant>
      <vt:variant>
        <vt:i4>5</vt:i4>
      </vt:variant>
      <vt:variant>
        <vt:lpwstr/>
      </vt:variant>
      <vt:variant>
        <vt:lpwstr>Melanges_t2_pt_7_chap_II_II</vt:lpwstr>
      </vt:variant>
      <vt:variant>
        <vt:i4>1507430</vt:i4>
      </vt:variant>
      <vt:variant>
        <vt:i4>102</vt:i4>
      </vt:variant>
      <vt:variant>
        <vt:i4>0</vt:i4>
      </vt:variant>
      <vt:variant>
        <vt:i4>5</vt:i4>
      </vt:variant>
      <vt:variant>
        <vt:lpwstr/>
      </vt:variant>
      <vt:variant>
        <vt:lpwstr>Melanges_t2_pt_7_chap_II_I_2</vt:lpwstr>
      </vt:variant>
      <vt:variant>
        <vt:i4>1310822</vt:i4>
      </vt:variant>
      <vt:variant>
        <vt:i4>99</vt:i4>
      </vt:variant>
      <vt:variant>
        <vt:i4>0</vt:i4>
      </vt:variant>
      <vt:variant>
        <vt:i4>5</vt:i4>
      </vt:variant>
      <vt:variant>
        <vt:lpwstr/>
      </vt:variant>
      <vt:variant>
        <vt:lpwstr>Melanges_t2_pt_7_chap_II_I_1</vt:lpwstr>
      </vt:variant>
      <vt:variant>
        <vt:i4>2424889</vt:i4>
      </vt:variant>
      <vt:variant>
        <vt:i4>96</vt:i4>
      </vt:variant>
      <vt:variant>
        <vt:i4>0</vt:i4>
      </vt:variant>
      <vt:variant>
        <vt:i4>5</vt:i4>
      </vt:variant>
      <vt:variant>
        <vt:lpwstr/>
      </vt:variant>
      <vt:variant>
        <vt:lpwstr>Melanges_t2_pt_7_chap_II_I</vt:lpwstr>
      </vt:variant>
      <vt:variant>
        <vt:i4>4980838</vt:i4>
      </vt:variant>
      <vt:variant>
        <vt:i4>93</vt:i4>
      </vt:variant>
      <vt:variant>
        <vt:i4>0</vt:i4>
      </vt:variant>
      <vt:variant>
        <vt:i4>5</vt:i4>
      </vt:variant>
      <vt:variant>
        <vt:lpwstr/>
      </vt:variant>
      <vt:variant>
        <vt:lpwstr>Melanges_t2_pt_7_chap_II</vt:lpwstr>
      </vt:variant>
      <vt:variant>
        <vt:i4>1245199</vt:i4>
      </vt:variant>
      <vt:variant>
        <vt:i4>90</vt:i4>
      </vt:variant>
      <vt:variant>
        <vt:i4>0</vt:i4>
      </vt:variant>
      <vt:variant>
        <vt:i4>5</vt:i4>
      </vt:variant>
      <vt:variant>
        <vt:lpwstr/>
      </vt:variant>
      <vt:variant>
        <vt:lpwstr>Melanges_t2_pt_7_chap_I_II</vt:lpwstr>
      </vt:variant>
      <vt:variant>
        <vt:i4>7995407</vt:i4>
      </vt:variant>
      <vt:variant>
        <vt:i4>87</vt:i4>
      </vt:variant>
      <vt:variant>
        <vt:i4>0</vt:i4>
      </vt:variant>
      <vt:variant>
        <vt:i4>5</vt:i4>
      </vt:variant>
      <vt:variant>
        <vt:lpwstr/>
      </vt:variant>
      <vt:variant>
        <vt:lpwstr>Melanges_t2_pt_7_chap_I_I</vt:lpwstr>
      </vt:variant>
      <vt:variant>
        <vt:i4>2424934</vt:i4>
      </vt:variant>
      <vt:variant>
        <vt:i4>84</vt:i4>
      </vt:variant>
      <vt:variant>
        <vt:i4>0</vt:i4>
      </vt:variant>
      <vt:variant>
        <vt:i4>5</vt:i4>
      </vt:variant>
      <vt:variant>
        <vt:lpwstr/>
      </vt:variant>
      <vt:variant>
        <vt:lpwstr>Melanges_t2_pt_7_chap_I</vt:lpwstr>
      </vt:variant>
      <vt:variant>
        <vt:i4>7864392</vt:i4>
      </vt:variant>
      <vt:variant>
        <vt:i4>81</vt:i4>
      </vt:variant>
      <vt:variant>
        <vt:i4>0</vt:i4>
      </vt:variant>
      <vt:variant>
        <vt:i4>5</vt:i4>
      </vt:variant>
      <vt:variant>
        <vt:lpwstr/>
      </vt:variant>
      <vt:variant>
        <vt:lpwstr>Melanges_t2_pt_7</vt:lpwstr>
      </vt:variant>
      <vt:variant>
        <vt:i4>5046393</vt:i4>
      </vt:variant>
      <vt:variant>
        <vt:i4>78</vt:i4>
      </vt:variant>
      <vt:variant>
        <vt:i4>0</vt:i4>
      </vt:variant>
      <vt:variant>
        <vt:i4>5</vt:i4>
      </vt:variant>
      <vt:variant>
        <vt:lpwstr/>
      </vt:variant>
      <vt:variant>
        <vt:lpwstr>Melanges_t2_pt_6_chap_VI</vt:lpwstr>
      </vt:variant>
      <vt:variant>
        <vt:i4>2359417</vt:i4>
      </vt:variant>
      <vt:variant>
        <vt:i4>75</vt:i4>
      </vt:variant>
      <vt:variant>
        <vt:i4>0</vt:i4>
      </vt:variant>
      <vt:variant>
        <vt:i4>5</vt:i4>
      </vt:variant>
      <vt:variant>
        <vt:lpwstr/>
      </vt:variant>
      <vt:variant>
        <vt:lpwstr>Melanges_t2_pt_6_chap_V</vt:lpwstr>
      </vt:variant>
      <vt:variant>
        <vt:i4>5374054</vt:i4>
      </vt:variant>
      <vt:variant>
        <vt:i4>72</vt:i4>
      </vt:variant>
      <vt:variant>
        <vt:i4>0</vt:i4>
      </vt:variant>
      <vt:variant>
        <vt:i4>5</vt:i4>
      </vt:variant>
      <vt:variant>
        <vt:lpwstr/>
      </vt:variant>
      <vt:variant>
        <vt:lpwstr>Melanges_t2_pt_6_chap_IV</vt:lpwstr>
      </vt:variant>
      <vt:variant>
        <vt:i4>1179769</vt:i4>
      </vt:variant>
      <vt:variant>
        <vt:i4>69</vt:i4>
      </vt:variant>
      <vt:variant>
        <vt:i4>0</vt:i4>
      </vt:variant>
      <vt:variant>
        <vt:i4>5</vt:i4>
      </vt:variant>
      <vt:variant>
        <vt:lpwstr/>
      </vt:variant>
      <vt:variant>
        <vt:lpwstr>Melanges_t2_pt_6_chap_III_V</vt:lpwstr>
      </vt:variant>
      <vt:variant>
        <vt:i4>6553702</vt:i4>
      </vt:variant>
      <vt:variant>
        <vt:i4>66</vt:i4>
      </vt:variant>
      <vt:variant>
        <vt:i4>0</vt:i4>
      </vt:variant>
      <vt:variant>
        <vt:i4>5</vt:i4>
      </vt:variant>
      <vt:variant>
        <vt:lpwstr/>
      </vt:variant>
      <vt:variant>
        <vt:lpwstr>Melanges_t2_pt_6_chap_III_IV</vt:lpwstr>
      </vt:variant>
      <vt:variant>
        <vt:i4>8060943</vt:i4>
      </vt:variant>
      <vt:variant>
        <vt:i4>63</vt:i4>
      </vt:variant>
      <vt:variant>
        <vt:i4>0</vt:i4>
      </vt:variant>
      <vt:variant>
        <vt:i4>5</vt:i4>
      </vt:variant>
      <vt:variant>
        <vt:lpwstr/>
      </vt:variant>
      <vt:variant>
        <vt:lpwstr>Melanges_t2_pt_6_chap_III_III</vt:lpwstr>
      </vt:variant>
      <vt:variant>
        <vt:i4>8061030</vt:i4>
      </vt:variant>
      <vt:variant>
        <vt:i4>60</vt:i4>
      </vt:variant>
      <vt:variant>
        <vt:i4>0</vt:i4>
      </vt:variant>
      <vt:variant>
        <vt:i4>5</vt:i4>
      </vt:variant>
      <vt:variant>
        <vt:lpwstr/>
      </vt:variant>
      <vt:variant>
        <vt:lpwstr>Melanges_t2_pt_6_chap_III_II</vt:lpwstr>
      </vt:variant>
      <vt:variant>
        <vt:i4>1179750</vt:i4>
      </vt:variant>
      <vt:variant>
        <vt:i4>57</vt:i4>
      </vt:variant>
      <vt:variant>
        <vt:i4>0</vt:i4>
      </vt:variant>
      <vt:variant>
        <vt:i4>5</vt:i4>
      </vt:variant>
      <vt:variant>
        <vt:lpwstr/>
      </vt:variant>
      <vt:variant>
        <vt:lpwstr>Melanges_t2_pt_6_chap_III_I</vt:lpwstr>
      </vt:variant>
      <vt:variant>
        <vt:i4>5046287</vt:i4>
      </vt:variant>
      <vt:variant>
        <vt:i4>54</vt:i4>
      </vt:variant>
      <vt:variant>
        <vt:i4>0</vt:i4>
      </vt:variant>
      <vt:variant>
        <vt:i4>5</vt:i4>
      </vt:variant>
      <vt:variant>
        <vt:lpwstr/>
      </vt:variant>
      <vt:variant>
        <vt:lpwstr>Melanges_t2_pt_6_chap_III</vt:lpwstr>
      </vt:variant>
      <vt:variant>
        <vt:i4>3866681</vt:i4>
      </vt:variant>
      <vt:variant>
        <vt:i4>51</vt:i4>
      </vt:variant>
      <vt:variant>
        <vt:i4>0</vt:i4>
      </vt:variant>
      <vt:variant>
        <vt:i4>5</vt:i4>
      </vt:variant>
      <vt:variant>
        <vt:lpwstr/>
      </vt:variant>
      <vt:variant>
        <vt:lpwstr>Melanges_t2_pt_6_chap_II_V</vt:lpwstr>
      </vt:variant>
      <vt:variant>
        <vt:i4>2359375</vt:i4>
      </vt:variant>
      <vt:variant>
        <vt:i4>48</vt:i4>
      </vt:variant>
      <vt:variant>
        <vt:i4>0</vt:i4>
      </vt:variant>
      <vt:variant>
        <vt:i4>5</vt:i4>
      </vt:variant>
      <vt:variant>
        <vt:lpwstr/>
      </vt:variant>
      <vt:variant>
        <vt:lpwstr>Melanges_t2_pt_6_chap_II_IV</vt:lpwstr>
      </vt:variant>
      <vt:variant>
        <vt:i4>5046352</vt:i4>
      </vt:variant>
      <vt:variant>
        <vt:i4>45</vt:i4>
      </vt:variant>
      <vt:variant>
        <vt:i4>0</vt:i4>
      </vt:variant>
      <vt:variant>
        <vt:i4>5</vt:i4>
      </vt:variant>
      <vt:variant>
        <vt:lpwstr/>
      </vt:variant>
      <vt:variant>
        <vt:lpwstr>Melanges_t2_pt_6_chap_II_III</vt:lpwstr>
      </vt:variant>
      <vt:variant>
        <vt:i4>2359376</vt:i4>
      </vt:variant>
      <vt:variant>
        <vt:i4>42</vt:i4>
      </vt:variant>
      <vt:variant>
        <vt:i4>0</vt:i4>
      </vt:variant>
      <vt:variant>
        <vt:i4>5</vt:i4>
      </vt:variant>
      <vt:variant>
        <vt:lpwstr/>
      </vt:variant>
      <vt:variant>
        <vt:lpwstr>Melanges_t2_pt_6_chap_II_II</vt:lpwstr>
      </vt:variant>
      <vt:variant>
        <vt:i4>2359353</vt:i4>
      </vt:variant>
      <vt:variant>
        <vt:i4>39</vt:i4>
      </vt:variant>
      <vt:variant>
        <vt:i4>0</vt:i4>
      </vt:variant>
      <vt:variant>
        <vt:i4>5</vt:i4>
      </vt:variant>
      <vt:variant>
        <vt:lpwstr/>
      </vt:variant>
      <vt:variant>
        <vt:lpwstr>Melanges_t2_pt_6_chap_II_I</vt:lpwstr>
      </vt:variant>
      <vt:variant>
        <vt:i4>5046374</vt:i4>
      </vt:variant>
      <vt:variant>
        <vt:i4>36</vt:i4>
      </vt:variant>
      <vt:variant>
        <vt:i4>0</vt:i4>
      </vt:variant>
      <vt:variant>
        <vt:i4>5</vt:i4>
      </vt:variant>
      <vt:variant>
        <vt:lpwstr/>
      </vt:variant>
      <vt:variant>
        <vt:lpwstr>Melanges_t2_pt_6_chap_II</vt:lpwstr>
      </vt:variant>
      <vt:variant>
        <vt:i4>8061013</vt:i4>
      </vt:variant>
      <vt:variant>
        <vt:i4>33</vt:i4>
      </vt:variant>
      <vt:variant>
        <vt:i4>0</vt:i4>
      </vt:variant>
      <vt:variant>
        <vt:i4>5</vt:i4>
      </vt:variant>
      <vt:variant>
        <vt:lpwstr/>
      </vt:variant>
      <vt:variant>
        <vt:lpwstr>Melanges_t2_pt_6_chap_I_3</vt:lpwstr>
      </vt:variant>
      <vt:variant>
        <vt:i4>8061012</vt:i4>
      </vt:variant>
      <vt:variant>
        <vt:i4>30</vt:i4>
      </vt:variant>
      <vt:variant>
        <vt:i4>0</vt:i4>
      </vt:variant>
      <vt:variant>
        <vt:i4>5</vt:i4>
      </vt:variant>
      <vt:variant>
        <vt:lpwstr/>
      </vt:variant>
      <vt:variant>
        <vt:lpwstr>Melanges_t2_pt_6_chap_I_2</vt:lpwstr>
      </vt:variant>
      <vt:variant>
        <vt:i4>8061015</vt:i4>
      </vt:variant>
      <vt:variant>
        <vt:i4>27</vt:i4>
      </vt:variant>
      <vt:variant>
        <vt:i4>0</vt:i4>
      </vt:variant>
      <vt:variant>
        <vt:i4>5</vt:i4>
      </vt:variant>
      <vt:variant>
        <vt:lpwstr/>
      </vt:variant>
      <vt:variant>
        <vt:lpwstr>Melanges_t2_pt_6_chap_I_1</vt:lpwstr>
      </vt:variant>
      <vt:variant>
        <vt:i4>2359398</vt:i4>
      </vt:variant>
      <vt:variant>
        <vt:i4>24</vt:i4>
      </vt:variant>
      <vt:variant>
        <vt:i4>0</vt:i4>
      </vt:variant>
      <vt:variant>
        <vt:i4>5</vt:i4>
      </vt:variant>
      <vt:variant>
        <vt:lpwstr/>
      </vt:variant>
      <vt:variant>
        <vt:lpwstr>Melanges_t2_pt_6_chap_I</vt:lpwstr>
      </vt:variant>
      <vt:variant>
        <vt:i4>7929928</vt:i4>
      </vt:variant>
      <vt:variant>
        <vt:i4>21</vt:i4>
      </vt:variant>
      <vt:variant>
        <vt:i4>0</vt:i4>
      </vt:variant>
      <vt:variant>
        <vt:i4>5</vt:i4>
      </vt:variant>
      <vt:variant>
        <vt:lpwstr/>
      </vt:variant>
      <vt:variant>
        <vt:lpwstr>Melanges_t2_pt_6</vt:lpwstr>
      </vt:variant>
      <vt:variant>
        <vt:i4>4980853</vt:i4>
      </vt:variant>
      <vt:variant>
        <vt:i4>18</vt:i4>
      </vt:variant>
      <vt:variant>
        <vt:i4>0</vt:i4>
      </vt:variant>
      <vt:variant>
        <vt:i4>5</vt:i4>
      </vt:variant>
      <vt:variant>
        <vt:lpwstr/>
      </vt:variant>
      <vt:variant>
        <vt:lpwstr>Melanges_t1_preface</vt:lpwstr>
      </vt:variant>
      <vt:variant>
        <vt:i4>3080234</vt:i4>
      </vt:variant>
      <vt:variant>
        <vt:i4>15</vt:i4>
      </vt:variant>
      <vt:variant>
        <vt:i4>0</vt:i4>
      </vt:variant>
      <vt:variant>
        <vt:i4>5</vt:i4>
      </vt:variant>
      <vt:variant>
        <vt:lpwstr>mailto:pierre.patenaude@gmail.com</vt:lpwstr>
      </vt:variant>
      <vt:variant>
        <vt:lpwstr/>
      </vt:variant>
      <vt:variant>
        <vt:i4>6488064</vt:i4>
      </vt:variant>
      <vt:variant>
        <vt:i4>12</vt:i4>
      </vt:variant>
      <vt:variant>
        <vt:i4>0</vt:i4>
      </vt:variant>
      <vt:variant>
        <vt:i4>5</vt:i4>
      </vt:variant>
      <vt:variant>
        <vt:lpwstr>http://classiques.uqac.ca/inter/benevoles_equipe/liste_patenaude_pierre.html</vt:lpwstr>
      </vt:variant>
      <vt:variant>
        <vt:lpwstr/>
      </vt:variant>
      <vt:variant>
        <vt:i4>4063266</vt:i4>
      </vt:variant>
      <vt:variant>
        <vt:i4>9</vt:i4>
      </vt:variant>
      <vt:variant>
        <vt:i4>0</vt:i4>
      </vt:variant>
      <vt:variant>
        <vt:i4>5</vt:i4>
      </vt:variant>
      <vt:variant>
        <vt:lpwstr>http://classiques.uqac.ca/</vt:lpwstr>
      </vt:variant>
      <vt:variant>
        <vt:lpwstr/>
      </vt:variant>
      <vt:variant>
        <vt:i4>3801179</vt:i4>
      </vt:variant>
      <vt:variant>
        <vt:i4>6</vt:i4>
      </vt:variant>
      <vt:variant>
        <vt:i4>0</vt:i4>
      </vt:variant>
      <vt:variant>
        <vt:i4>5</vt:i4>
      </vt:variant>
      <vt:variant>
        <vt:lpwstr>https://classiques.uqam.ca/</vt:lpwstr>
      </vt:variant>
      <vt:variant>
        <vt:lpwstr/>
      </vt:variant>
      <vt:variant>
        <vt:i4>3801179</vt:i4>
      </vt:variant>
      <vt:variant>
        <vt:i4>3</vt:i4>
      </vt:variant>
      <vt:variant>
        <vt:i4>0</vt:i4>
      </vt:variant>
      <vt:variant>
        <vt:i4>5</vt:i4>
      </vt:variant>
      <vt:variant>
        <vt:lpwstr>https://classiques.uqam.ca/</vt:lpwstr>
      </vt:variant>
      <vt:variant>
        <vt:lpwstr/>
      </vt:variant>
      <vt:variant>
        <vt:i4>3801179</vt:i4>
      </vt:variant>
      <vt:variant>
        <vt:i4>0</vt:i4>
      </vt:variant>
      <vt:variant>
        <vt:i4>0</vt:i4>
      </vt:variant>
      <vt:variant>
        <vt:i4>5</vt:i4>
      </vt:variant>
      <vt:variant>
        <vt:lpwstr>https://classiques.uqam.ca/</vt:lpwstr>
      </vt:variant>
      <vt:variant>
        <vt:lpwstr/>
      </vt:variant>
      <vt:variant>
        <vt:i4>2556007</vt:i4>
      </vt:variant>
      <vt:variant>
        <vt:i4>0</vt:i4>
      </vt:variant>
      <vt:variant>
        <vt:i4>0</vt:i4>
      </vt:variant>
      <vt:variant>
        <vt:i4>5</vt:i4>
      </vt:variant>
      <vt:variant>
        <vt:lpwstr>https://classiques.uqam.ca/classiques/bloch_marc/rois_thaumaturges/rois_thaumaturges.html</vt:lpwstr>
      </vt:variant>
      <vt:variant>
        <vt:lpwstr/>
      </vt:variant>
      <vt:variant>
        <vt:i4>2228293</vt:i4>
      </vt:variant>
      <vt:variant>
        <vt:i4>2286</vt:i4>
      </vt:variant>
      <vt:variant>
        <vt:i4>1025</vt:i4>
      </vt:variant>
      <vt:variant>
        <vt:i4>1</vt:i4>
      </vt:variant>
      <vt:variant>
        <vt:lpwstr>css_logo_gris</vt:lpwstr>
      </vt:variant>
      <vt:variant>
        <vt:lpwstr/>
      </vt:variant>
      <vt:variant>
        <vt:i4>1507403</vt:i4>
      </vt:variant>
      <vt:variant>
        <vt:i4>2631</vt:i4>
      </vt:variant>
      <vt:variant>
        <vt:i4>1026</vt:i4>
      </vt:variant>
      <vt:variant>
        <vt:i4>1</vt:i4>
      </vt:variant>
      <vt:variant>
        <vt:lpwstr>UQAM_logo</vt:lpwstr>
      </vt:variant>
      <vt:variant>
        <vt:lpwstr/>
      </vt:variant>
      <vt:variant>
        <vt:i4>5111880</vt:i4>
      </vt:variant>
      <vt:variant>
        <vt:i4>2633</vt:i4>
      </vt:variant>
      <vt:variant>
        <vt:i4>1027</vt:i4>
      </vt:variant>
      <vt:variant>
        <vt:i4>1</vt:i4>
      </vt:variant>
      <vt:variant>
        <vt:lpwstr>UQAC_logo_2018</vt:lpwstr>
      </vt:variant>
      <vt:variant>
        <vt:lpwstr/>
      </vt:variant>
      <vt:variant>
        <vt:i4>1703963</vt:i4>
      </vt:variant>
      <vt:variant>
        <vt:i4>5446</vt:i4>
      </vt:variant>
      <vt:variant>
        <vt:i4>1028</vt:i4>
      </vt:variant>
      <vt:variant>
        <vt:i4>1</vt:i4>
      </vt:variant>
      <vt:variant>
        <vt:lpwstr>fait_sur_mac</vt:lpwstr>
      </vt:variant>
      <vt:variant>
        <vt:lpwstr/>
      </vt:variant>
      <vt:variant>
        <vt:i4>1179674</vt:i4>
      </vt:variant>
      <vt:variant>
        <vt:i4>5526</vt:i4>
      </vt:variant>
      <vt:variant>
        <vt:i4>1029</vt:i4>
      </vt:variant>
      <vt:variant>
        <vt:i4>1</vt:i4>
      </vt:variant>
      <vt:variant>
        <vt:lpwstr>melanges_historiques_t2_L25</vt:lpwstr>
      </vt:variant>
      <vt:variant>
        <vt:lpwstr/>
      </vt:variant>
      <vt:variant>
        <vt:i4>4784164</vt:i4>
      </vt:variant>
      <vt:variant>
        <vt:i4>1911019</vt:i4>
      </vt:variant>
      <vt:variant>
        <vt:i4>1030</vt:i4>
      </vt:variant>
      <vt:variant>
        <vt:i4>1</vt:i4>
      </vt:variant>
      <vt:variant>
        <vt:lpwstr>tableau_note_p_989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Mélanges historiques. tome 2.</dc:title>
  <dc:subject/>
  <dc:creator>par Marc Bloch, 1963.</dc:creator>
  <cp:keywords>classiques.sc.soc@gmail.com</cp:keywords>
  <dc:description>https://classiques.uqam.ca/</dc:description>
  <cp:lastModifiedBy>jean-marie tremblay</cp:lastModifiedBy>
  <cp:revision>2</cp:revision>
  <cp:lastPrinted>2001-08-26T19:33:00Z</cp:lastPrinted>
  <dcterms:created xsi:type="dcterms:W3CDTF">2026-07-19T11:58:00Z</dcterms:created>
  <dcterms:modified xsi:type="dcterms:W3CDTF">2026-07-19T11:58:00Z</dcterms:modified>
  <cp:category>jean-marie tremblay, sociologue, fondateur, 1993.</cp:category>
</cp:coreProperties>
</file>